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72"/>
        </w:rPr>
      </w:pPr>
      <w:r>
        <w:rPr>
          <w:rFonts w:ascii="Times New Roman"/>
          <w:sz w:val="72"/>
        </w:rPr>
        <mc:AlternateContent>
          <mc:Choice Requires="wps">
            <w:drawing>
              <wp:anchor distT="0" distB="0" distL="0" distR="0" allowOverlap="1" layoutInCell="1" locked="0" behindDoc="1" simplePos="0" relativeHeight="475330560">
                <wp:simplePos x="0" y="0"/>
                <wp:positionH relativeFrom="page">
                  <wp:posOffset>0</wp:posOffset>
                </wp:positionH>
                <wp:positionV relativeFrom="page">
                  <wp:posOffset>-6350</wp:posOffset>
                </wp:positionV>
                <wp:extent cx="7772400" cy="1001014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772400" cy="10010140"/>
                          <a:chExt cx="7772400" cy="10010140"/>
                        </a:xfrm>
                      </wpg:grpSpPr>
                      <wps:wsp>
                        <wps:cNvPr id="2" name="Graphic 2"/>
                        <wps:cNvSpPr/>
                        <wps:spPr>
                          <a:xfrm>
                            <a:off x="6005448" y="6350"/>
                            <a:ext cx="1767205" cy="10001885"/>
                          </a:xfrm>
                          <a:custGeom>
                            <a:avLst/>
                            <a:gdLst/>
                            <a:ahLst/>
                            <a:cxnLst/>
                            <a:rect l="l" t="t" r="r" b="b"/>
                            <a:pathLst>
                              <a:path w="1767205" h="10001885">
                                <a:moveTo>
                                  <a:pt x="0" y="0"/>
                                </a:moveTo>
                                <a:lnTo>
                                  <a:pt x="0" y="10001882"/>
                                </a:lnTo>
                                <a:lnTo>
                                  <a:pt x="1766951" y="10001882"/>
                                </a:lnTo>
                                <a:lnTo>
                                  <a:pt x="1766951" y="0"/>
                                </a:lnTo>
                                <a:lnTo>
                                  <a:pt x="0" y="0"/>
                                </a:lnTo>
                                <a:close/>
                              </a:path>
                            </a:pathLst>
                          </a:custGeom>
                          <a:solidFill>
                            <a:srgbClr val="244060"/>
                          </a:solidFill>
                        </wps:spPr>
                        <wps:bodyPr wrap="square" lIns="0" tIns="0" rIns="0" bIns="0" rtlCol="0">
                          <a:prstTxWarp prst="textNoShape">
                            <a:avLst/>
                          </a:prstTxWarp>
                          <a:noAutofit/>
                        </wps:bodyPr>
                      </wps:wsp>
                      <wps:wsp>
                        <wps:cNvPr id="3" name="Graphic 3"/>
                        <wps:cNvSpPr/>
                        <wps:spPr>
                          <a:xfrm>
                            <a:off x="5846826" y="6350"/>
                            <a:ext cx="158750" cy="9997440"/>
                          </a:xfrm>
                          <a:custGeom>
                            <a:avLst/>
                            <a:gdLst/>
                            <a:ahLst/>
                            <a:cxnLst/>
                            <a:rect l="l" t="t" r="r" b="b"/>
                            <a:pathLst>
                              <a:path w="158750" h="9997440">
                                <a:moveTo>
                                  <a:pt x="158661" y="0"/>
                                </a:moveTo>
                                <a:lnTo>
                                  <a:pt x="0" y="0"/>
                                </a:lnTo>
                                <a:lnTo>
                                  <a:pt x="0" y="9996925"/>
                                </a:lnTo>
                                <a:lnTo>
                                  <a:pt x="158661" y="9996925"/>
                                </a:lnTo>
                                <a:lnTo>
                                  <a:pt x="158661" y="0"/>
                                </a:lnTo>
                                <a:close/>
                              </a:path>
                            </a:pathLst>
                          </a:custGeom>
                          <a:solidFill>
                            <a:srgbClr val="938953"/>
                          </a:solidFill>
                        </wps:spPr>
                        <wps:bodyPr wrap="square" lIns="0" tIns="0" rIns="0" bIns="0" rtlCol="0">
                          <a:prstTxWarp prst="textNoShape">
                            <a:avLst/>
                          </a:prstTxWarp>
                          <a:noAutofit/>
                        </wps:bodyPr>
                      </wps:wsp>
                      <wps:wsp>
                        <wps:cNvPr id="4" name="Graphic 4"/>
                        <wps:cNvSpPr/>
                        <wps:spPr>
                          <a:xfrm>
                            <a:off x="5846826" y="6350"/>
                            <a:ext cx="158750" cy="9997440"/>
                          </a:xfrm>
                          <a:custGeom>
                            <a:avLst/>
                            <a:gdLst/>
                            <a:ahLst/>
                            <a:cxnLst/>
                            <a:rect l="l" t="t" r="r" b="b"/>
                            <a:pathLst>
                              <a:path w="158750" h="9997440">
                                <a:moveTo>
                                  <a:pt x="0" y="0"/>
                                </a:moveTo>
                                <a:lnTo>
                                  <a:pt x="0" y="9996925"/>
                                </a:lnTo>
                                <a:lnTo>
                                  <a:pt x="158661" y="9996925"/>
                                </a:lnTo>
                                <a:lnTo>
                                  <a:pt x="158661" y="0"/>
                                </a:lnTo>
                              </a:path>
                            </a:pathLst>
                          </a:custGeom>
                          <a:ln w="12700">
                            <a:solidFill>
                              <a:srgbClr val="FFFFFF"/>
                            </a:solidFill>
                            <a:prstDash val="solid"/>
                          </a:ln>
                        </wps:spPr>
                        <wps:bodyPr wrap="square" lIns="0" tIns="0" rIns="0" bIns="0" rtlCol="0">
                          <a:prstTxWarp prst="textNoShape">
                            <a:avLst/>
                          </a:prstTxWarp>
                          <a:noAutofit/>
                        </wps:bodyPr>
                      </wps:wsp>
                      <pic:pic>
                        <pic:nvPicPr>
                          <pic:cNvPr id="5" name="Image 5"/>
                          <pic:cNvPicPr/>
                        </pic:nvPicPr>
                        <pic:blipFill>
                          <a:blip r:embed="rId5" cstate="print"/>
                          <a:stretch>
                            <a:fillRect/>
                          </a:stretch>
                        </pic:blipFill>
                        <pic:spPr>
                          <a:xfrm>
                            <a:off x="0" y="3785857"/>
                            <a:ext cx="7218426" cy="1107198"/>
                          </a:xfrm>
                          <a:prstGeom prst="rect">
                            <a:avLst/>
                          </a:prstGeom>
                        </pic:spPr>
                      </pic:pic>
                      <pic:pic>
                        <pic:nvPicPr>
                          <pic:cNvPr id="6" name="Image 6"/>
                          <pic:cNvPicPr/>
                        </pic:nvPicPr>
                        <pic:blipFill>
                          <a:blip r:embed="rId6" cstate="print"/>
                          <a:stretch>
                            <a:fillRect/>
                          </a:stretch>
                        </pic:blipFill>
                        <pic:spPr>
                          <a:xfrm>
                            <a:off x="858374" y="1224175"/>
                            <a:ext cx="2079973" cy="604074"/>
                          </a:xfrm>
                          <a:prstGeom prst="rect">
                            <a:avLst/>
                          </a:prstGeom>
                        </pic:spPr>
                      </pic:pic>
                    </wpg:wgp>
                  </a:graphicData>
                </a:graphic>
              </wp:anchor>
            </w:drawing>
          </mc:Choice>
          <mc:Fallback>
            <w:pict>
              <v:group style="position:absolute;margin-left:0pt;margin-top:-.5pt;width:612pt;height:788.2pt;mso-position-horizontal-relative:page;mso-position-vertical-relative:page;z-index:-27985920" id="docshapegroup1" coordorigin="0,-10" coordsize="12240,15764">
                <v:rect style="position:absolute;left:9457;top:0;width:2783;height:15751" id="docshape2" filled="true" fillcolor="#244060" stroked="false">
                  <v:fill type="solid"/>
                </v:rect>
                <v:rect style="position:absolute;left:9207;top:0;width:250;height:15744" id="docshape3" filled="true" fillcolor="#938953" stroked="false">
                  <v:fill type="solid"/>
                </v:rect>
                <v:shape style="position:absolute;left:9207;top:0;width:250;height:15744" id="docshape4" coordorigin="9208,0" coordsize="250,15744" path="m9208,0l9208,15743,9457,15743,9457,0e" filled="false" stroked="true" strokeweight="1pt" strokecolor="#ffffff">
                  <v:path arrowok="t"/>
                  <v:stroke dashstyle="solid"/>
                </v:shape>
                <v:shape style="position:absolute;left:0;top:5951;width:11368;height:1744" type="#_x0000_t75" id="docshape5" stroked="false">
                  <v:imagedata r:id="rId5" o:title=""/>
                </v:shape>
                <v:shape style="position:absolute;left:1351;top:1917;width:3276;height:952" type="#_x0000_t75" id="docshape6" stroked="false">
                  <v:imagedata r:id="rId6" o:title=""/>
                </v:shape>
                <w10:wrap type="none"/>
              </v:group>
            </w:pict>
          </mc:Fallback>
        </mc:AlternateContent>
      </w:r>
    </w:p>
    <w:p>
      <w:pPr>
        <w:pStyle w:val="BodyText"/>
        <w:rPr>
          <w:rFonts w:ascii="Times New Roman"/>
          <w:sz w:val="72"/>
        </w:rPr>
      </w:pPr>
    </w:p>
    <w:p>
      <w:pPr>
        <w:pStyle w:val="BodyText"/>
        <w:rPr>
          <w:rFonts w:ascii="Times New Roman"/>
          <w:sz w:val="72"/>
        </w:rPr>
      </w:pPr>
    </w:p>
    <w:p>
      <w:pPr>
        <w:pStyle w:val="BodyText"/>
        <w:rPr>
          <w:rFonts w:ascii="Times New Roman"/>
          <w:sz w:val="72"/>
        </w:rPr>
      </w:pPr>
    </w:p>
    <w:p>
      <w:pPr>
        <w:pStyle w:val="BodyText"/>
        <w:spacing w:before="202"/>
        <w:rPr>
          <w:rFonts w:ascii="Times New Roman"/>
          <w:sz w:val="72"/>
        </w:rPr>
      </w:pPr>
    </w:p>
    <w:p>
      <w:pPr>
        <w:pStyle w:val="Title"/>
      </w:pPr>
      <w:r>
        <w:rPr>
          <w:color w:val="FFFFFF"/>
        </w:rPr>
        <w:t>Plan</w:t>
      </w:r>
      <w:r>
        <w:rPr>
          <w:color w:val="FFFFFF"/>
          <w:spacing w:val="-8"/>
        </w:rPr>
        <w:t> </w:t>
      </w:r>
      <w:r>
        <w:rPr>
          <w:color w:val="FFFFFF"/>
        </w:rPr>
        <w:t>Operativo</w:t>
      </w:r>
      <w:r>
        <w:rPr>
          <w:color w:val="FFFFFF"/>
          <w:spacing w:val="-8"/>
        </w:rPr>
        <w:t> </w:t>
      </w:r>
      <w:r>
        <w:rPr>
          <w:color w:val="FFFFFF"/>
        </w:rPr>
        <w:t>Institucional</w:t>
      </w:r>
      <w:r>
        <w:rPr>
          <w:color w:val="FFFFFF"/>
          <w:spacing w:val="-7"/>
        </w:rPr>
        <w:t> </w:t>
      </w:r>
      <w:r>
        <w:rPr>
          <w:color w:val="FFFFFF"/>
          <w:spacing w:val="-4"/>
        </w:rPr>
        <w:t>2027</w:t>
      </w: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spacing w:before="11"/>
        <w:rPr>
          <w:rFonts w:ascii="Cambria"/>
          <w:sz w:val="40"/>
        </w:rPr>
      </w:pPr>
    </w:p>
    <w:p>
      <w:pPr>
        <w:spacing w:before="0"/>
        <w:ind w:left="710" w:right="0" w:firstLine="0"/>
        <w:jc w:val="left"/>
        <w:rPr>
          <w:b/>
          <w:sz w:val="40"/>
        </w:rPr>
      </w:pPr>
      <w:r>
        <w:rPr>
          <w:b/>
          <w:color w:val="49442A"/>
          <w:sz w:val="40"/>
        </w:rPr>
        <w:t>Planificación</w:t>
      </w:r>
      <w:r>
        <w:rPr>
          <w:b/>
          <w:color w:val="49442A"/>
          <w:spacing w:val="-6"/>
          <w:sz w:val="40"/>
        </w:rPr>
        <w:t> </w:t>
      </w:r>
      <w:r>
        <w:rPr>
          <w:b/>
          <w:color w:val="49442A"/>
          <w:spacing w:val="-2"/>
          <w:sz w:val="40"/>
        </w:rPr>
        <w:t>Institucional</w:t>
      </w:r>
    </w:p>
    <w:p>
      <w:pPr>
        <w:pStyle w:val="BodyText"/>
        <w:spacing w:before="393"/>
        <w:rPr>
          <w:b/>
          <w:sz w:val="40"/>
        </w:rPr>
      </w:pPr>
    </w:p>
    <w:p>
      <w:pPr>
        <w:spacing w:before="1"/>
        <w:ind w:left="710" w:right="0" w:firstLine="0"/>
        <w:jc w:val="left"/>
        <w:rPr>
          <w:b/>
          <w:sz w:val="22"/>
        </w:rPr>
      </w:pPr>
      <w:r>
        <w:rPr>
          <w:b/>
          <w:color w:val="49442A"/>
          <w:sz w:val="22"/>
        </w:rPr>
        <w:t>Setiembre</w:t>
      </w:r>
      <w:r>
        <w:rPr>
          <w:b/>
          <w:color w:val="49442A"/>
          <w:spacing w:val="-5"/>
          <w:sz w:val="22"/>
        </w:rPr>
        <w:t> </w:t>
      </w:r>
      <w:r>
        <w:rPr>
          <w:b/>
          <w:color w:val="49442A"/>
          <w:spacing w:val="-4"/>
          <w:sz w:val="22"/>
        </w:rPr>
        <w:t>2026</w:t>
      </w:r>
    </w:p>
    <w:p>
      <w:pPr>
        <w:spacing w:after="0"/>
        <w:jc w:val="left"/>
        <w:rPr>
          <w:b/>
          <w:sz w:val="22"/>
        </w:rPr>
        <w:sectPr>
          <w:type w:val="continuous"/>
          <w:pgSz w:w="12240" w:h="15840"/>
          <w:pgMar w:top="1820" w:bottom="280" w:left="360" w:right="0"/>
        </w:sectPr>
      </w:pPr>
    </w:p>
    <w:p>
      <w:pPr>
        <w:spacing w:before="78"/>
        <w:ind w:left="1212" w:right="0" w:firstLine="0"/>
        <w:jc w:val="left"/>
        <w:rPr>
          <w:b/>
          <w:sz w:val="20"/>
        </w:rPr>
      </w:pPr>
      <w:r>
        <w:rPr>
          <w:b/>
          <w:sz w:val="20"/>
        </w:rPr>
        <w:t>Tabla</w:t>
      </w:r>
      <w:r>
        <w:rPr>
          <w:b/>
          <w:spacing w:val="-7"/>
          <w:sz w:val="20"/>
        </w:rPr>
        <w:t> </w:t>
      </w:r>
      <w:r>
        <w:rPr>
          <w:b/>
          <w:sz w:val="20"/>
        </w:rPr>
        <w:t>de</w:t>
      </w:r>
      <w:r>
        <w:rPr>
          <w:b/>
          <w:spacing w:val="-7"/>
          <w:sz w:val="20"/>
        </w:rPr>
        <w:t> </w:t>
      </w:r>
      <w:r>
        <w:rPr>
          <w:b/>
          <w:spacing w:val="-2"/>
          <w:sz w:val="20"/>
        </w:rPr>
        <w:t>Contenido</w:t>
      </w:r>
    </w:p>
    <w:p>
      <w:pPr>
        <w:spacing w:after="0"/>
        <w:jc w:val="left"/>
        <w:rPr>
          <w:b/>
          <w:sz w:val="20"/>
        </w:rPr>
        <w:sectPr>
          <w:footerReference w:type="default" r:id="rId7"/>
          <w:pgSz w:w="12240" w:h="15840"/>
          <w:pgMar w:header="0" w:footer="1692" w:top="1340" w:bottom="1982" w:left="360" w:right="0"/>
          <w:pgNumType w:start="2"/>
        </w:sectPr>
      </w:pPr>
    </w:p>
    <w:sdt>
      <w:sdtPr>
        <w:docPartObj>
          <w:docPartGallery w:val="Table of Contents"/>
          <w:docPartUnique/>
        </w:docPartObj>
      </w:sdtPr>
      <w:sdtEndPr/>
      <w:sdtContent>
        <w:p>
          <w:pPr>
            <w:pStyle w:val="TOC1"/>
            <w:numPr>
              <w:ilvl w:val="0"/>
              <w:numId w:val="1"/>
            </w:numPr>
            <w:tabs>
              <w:tab w:pos="1376" w:val="left" w:leader="none"/>
              <w:tab w:pos="10069" w:val="left" w:leader="dot"/>
            </w:tabs>
            <w:spacing w:line="240" w:lineRule="auto" w:before="229" w:after="0"/>
            <w:ind w:left="1376" w:right="0" w:hanging="164"/>
            <w:jc w:val="left"/>
          </w:pPr>
          <w:hyperlink w:history="true" w:anchor="_bookmark0">
            <w:r>
              <w:rPr/>
              <w:t>Marco</w:t>
            </w:r>
            <w:r>
              <w:rPr>
                <w:spacing w:val="-8"/>
              </w:rPr>
              <w:t> </w:t>
            </w:r>
            <w:r>
              <w:rPr>
                <w:spacing w:val="-2"/>
              </w:rPr>
              <w:t>General</w:t>
            </w:r>
            <w:r>
              <w:rPr/>
              <w:tab/>
            </w:r>
            <w:r>
              <w:rPr>
                <w:spacing w:val="-10"/>
              </w:rPr>
              <w:t>8</w:t>
            </w:r>
          </w:hyperlink>
        </w:p>
        <w:p>
          <w:pPr>
            <w:pStyle w:val="TOC4"/>
            <w:numPr>
              <w:ilvl w:val="1"/>
              <w:numId w:val="1"/>
            </w:numPr>
            <w:tabs>
              <w:tab w:pos="2151" w:val="left" w:leader="none"/>
              <w:tab w:pos="10060" w:val="left" w:leader="dot"/>
            </w:tabs>
            <w:spacing w:line="240" w:lineRule="auto" w:before="0" w:after="0"/>
            <w:ind w:left="2151" w:right="0" w:hanging="329"/>
            <w:jc w:val="left"/>
          </w:pPr>
          <w:hyperlink w:history="true" w:anchor="_bookmark1">
            <w:r>
              <w:rPr/>
              <w:t>Marco</w:t>
            </w:r>
            <w:r>
              <w:rPr>
                <w:spacing w:val="-8"/>
              </w:rPr>
              <w:t> </w:t>
            </w:r>
            <w:r>
              <w:rPr/>
              <w:t>Jurídico</w:t>
            </w:r>
            <w:r>
              <w:rPr>
                <w:spacing w:val="-8"/>
              </w:rPr>
              <w:t> </w:t>
            </w:r>
            <w:r>
              <w:rPr>
                <w:spacing w:val="-2"/>
              </w:rPr>
              <w:t>Institucional</w:t>
            </w:r>
            <w:r>
              <w:rPr/>
              <w:tab/>
            </w:r>
            <w:r>
              <w:rPr>
                <w:spacing w:val="-12"/>
              </w:rPr>
              <w:t>8</w:t>
            </w:r>
          </w:hyperlink>
        </w:p>
        <w:p>
          <w:pPr>
            <w:pStyle w:val="TOC4"/>
            <w:numPr>
              <w:ilvl w:val="1"/>
              <w:numId w:val="1"/>
            </w:numPr>
            <w:tabs>
              <w:tab w:pos="2150" w:val="left" w:leader="none"/>
              <w:tab w:pos="9947" w:val="left" w:leader="dot"/>
            </w:tabs>
            <w:spacing w:line="240" w:lineRule="auto" w:before="0" w:after="0"/>
            <w:ind w:left="1822" w:right="1709" w:firstLine="0"/>
            <w:jc w:val="left"/>
          </w:pPr>
          <w:hyperlink w:history="true" w:anchor="_bookmark2">
            <w:r>
              <w:rPr/>
              <w:t>Nombres cargos de la jerarquía y de las personas responsables que intervienen en la</w:t>
            </w:r>
          </w:hyperlink>
          <w:r>
            <w:rPr/>
            <w:t> </w:t>
          </w:r>
          <w:hyperlink w:history="true" w:anchor="_bookmark2">
            <w:r>
              <w:rPr/>
              <w:t>ejecución de los recursos de los programas</w:t>
            </w:r>
            <w:r>
              <w:rPr/>
              <w:tab/>
            </w:r>
            <w:r>
              <w:rPr>
                <w:spacing w:val="-6"/>
              </w:rPr>
              <w:t>39</w:t>
            </w:r>
          </w:hyperlink>
        </w:p>
        <w:p>
          <w:pPr>
            <w:pStyle w:val="TOC4"/>
            <w:numPr>
              <w:ilvl w:val="1"/>
              <w:numId w:val="1"/>
            </w:numPr>
            <w:tabs>
              <w:tab w:pos="2150" w:val="left" w:leader="none"/>
              <w:tab w:pos="9947" w:val="left" w:leader="dot"/>
            </w:tabs>
            <w:spacing w:line="240" w:lineRule="auto" w:before="1" w:after="0"/>
            <w:ind w:left="1822" w:right="1709" w:firstLine="0"/>
            <w:jc w:val="left"/>
          </w:pPr>
          <w:hyperlink w:history="true" w:anchor="_bookmark4">
            <w:r>
              <w:rPr/>
              <w:t>Nombres y cargos de las personas responsables de otras dependencias que intervienen</w:t>
            </w:r>
          </w:hyperlink>
          <w:r>
            <w:rPr/>
            <w:t> </w:t>
          </w:r>
          <w:hyperlink w:history="true" w:anchor="_bookmark4">
            <w:r>
              <w:rPr/>
              <w:t>en la ejecución de los recursos</w:t>
            </w:r>
            <w:r>
              <w:rPr/>
              <w:tab/>
            </w:r>
            <w:r>
              <w:rPr>
                <w:spacing w:val="-6"/>
              </w:rPr>
              <w:t>39</w:t>
            </w:r>
          </w:hyperlink>
        </w:p>
        <w:p>
          <w:pPr>
            <w:pStyle w:val="TOC4"/>
            <w:numPr>
              <w:ilvl w:val="1"/>
              <w:numId w:val="1"/>
            </w:numPr>
            <w:tabs>
              <w:tab w:pos="2150" w:val="left" w:leader="none"/>
              <w:tab w:pos="9947" w:val="left" w:leader="dot"/>
            </w:tabs>
            <w:spacing w:line="240" w:lineRule="auto" w:before="0" w:after="0"/>
            <w:ind w:left="1822" w:right="1709" w:firstLine="0"/>
            <w:jc w:val="left"/>
          </w:pPr>
          <w:hyperlink w:history="true" w:anchor="_bookmark6">
            <w:r>
              <w:rPr/>
              <w:t>Nombres y cargos de las personas funcionarias responsables de la ejecución del</w:t>
            </w:r>
          </w:hyperlink>
          <w:r>
            <w:rPr/>
            <w:t> </w:t>
          </w:r>
          <w:hyperlink w:history="true" w:anchor="_bookmark6">
            <w:r>
              <w:rPr/>
              <w:t>Programa</w:t>
            </w:r>
            <w:r>
              <w:rPr>
                <w:spacing w:val="-8"/>
              </w:rPr>
              <w:t> </w:t>
            </w:r>
            <w:r>
              <w:rPr/>
              <w:t>de</w:t>
            </w:r>
            <w:r>
              <w:rPr>
                <w:spacing w:val="-5"/>
              </w:rPr>
              <w:t> </w:t>
            </w:r>
            <w:r>
              <w:rPr/>
              <w:t>Protección</w:t>
            </w:r>
            <w:r>
              <w:rPr>
                <w:spacing w:val="-8"/>
              </w:rPr>
              <w:t> </w:t>
            </w:r>
            <w:r>
              <w:rPr/>
              <w:t>y</w:t>
            </w:r>
            <w:r>
              <w:rPr>
                <w:spacing w:val="-5"/>
              </w:rPr>
              <w:t> </w:t>
            </w:r>
            <w:r>
              <w:rPr/>
              <w:t>Promoción</w:t>
            </w:r>
            <w:r>
              <w:rPr>
                <w:spacing w:val="-5"/>
              </w:rPr>
              <w:t> </w:t>
            </w:r>
            <w:r>
              <w:rPr/>
              <w:t>Social</w:t>
            </w:r>
            <w:r>
              <w:rPr>
                <w:spacing w:val="-7"/>
              </w:rPr>
              <w:t> </w:t>
            </w:r>
            <w:r>
              <w:rPr/>
              <w:t>en</w:t>
            </w:r>
            <w:r>
              <w:rPr>
                <w:spacing w:val="-8"/>
              </w:rPr>
              <w:t> </w:t>
            </w:r>
            <w:r>
              <w:rPr/>
              <w:t>cada</w:t>
            </w:r>
            <w:r>
              <w:rPr>
                <w:spacing w:val="-6"/>
              </w:rPr>
              <w:t> </w:t>
            </w:r>
            <w:r>
              <w:rPr/>
              <w:t>Área</w:t>
            </w:r>
            <w:r>
              <w:rPr>
                <w:spacing w:val="-8"/>
              </w:rPr>
              <w:t> </w:t>
            </w:r>
            <w:r>
              <w:rPr/>
              <w:t>Regional</w:t>
            </w:r>
            <w:r>
              <w:rPr>
                <w:spacing w:val="-6"/>
              </w:rPr>
              <w:t> </w:t>
            </w:r>
            <w:r>
              <w:rPr/>
              <w:t>de</w:t>
            </w:r>
            <w:r>
              <w:rPr>
                <w:spacing w:val="-9"/>
              </w:rPr>
              <w:t> </w:t>
            </w:r>
            <w:r>
              <w:rPr/>
              <w:t>Desarrollo</w:t>
            </w:r>
            <w:r>
              <w:rPr>
                <w:spacing w:val="-7"/>
              </w:rPr>
              <w:t> </w:t>
            </w:r>
            <w:r>
              <w:rPr>
                <w:spacing w:val="-2"/>
              </w:rPr>
              <w:t>Social</w:t>
            </w:r>
            <w:r>
              <w:rPr/>
              <w:tab/>
            </w:r>
            <w:r>
              <w:rPr>
                <w:spacing w:val="-5"/>
              </w:rPr>
              <w:t>40</w:t>
            </w:r>
          </w:hyperlink>
        </w:p>
        <w:p>
          <w:pPr>
            <w:pStyle w:val="TOC1"/>
            <w:numPr>
              <w:ilvl w:val="0"/>
              <w:numId w:val="1"/>
            </w:numPr>
            <w:tabs>
              <w:tab w:pos="1432" w:val="left" w:leader="none"/>
              <w:tab w:pos="9957" w:val="left" w:leader="dot"/>
            </w:tabs>
            <w:spacing w:line="240" w:lineRule="auto" w:before="0" w:after="0"/>
            <w:ind w:left="1432" w:right="0" w:hanging="220"/>
            <w:jc w:val="left"/>
          </w:pPr>
          <w:hyperlink w:history="true" w:anchor="_bookmark8">
            <w:r>
              <w:rPr/>
              <w:t>Diagnóstico</w:t>
            </w:r>
            <w:r>
              <w:rPr>
                <w:spacing w:val="-11"/>
              </w:rPr>
              <w:t> </w:t>
            </w:r>
            <w:r>
              <w:rPr>
                <w:spacing w:val="-2"/>
              </w:rPr>
              <w:t>Institucional</w:t>
            </w:r>
            <w:r>
              <w:rPr/>
              <w:tab/>
            </w:r>
            <w:r>
              <w:rPr>
                <w:spacing w:val="-5"/>
              </w:rPr>
              <w:t>41</w:t>
            </w:r>
          </w:hyperlink>
        </w:p>
        <w:p>
          <w:pPr>
            <w:pStyle w:val="TOC4"/>
            <w:numPr>
              <w:ilvl w:val="1"/>
              <w:numId w:val="1"/>
            </w:numPr>
            <w:tabs>
              <w:tab w:pos="2152" w:val="left" w:leader="none"/>
              <w:tab w:pos="9947" w:val="left" w:leader="dot"/>
            </w:tabs>
            <w:spacing w:line="240" w:lineRule="auto" w:before="0" w:after="0"/>
            <w:ind w:left="2152" w:right="0" w:hanging="330"/>
            <w:jc w:val="left"/>
          </w:pPr>
          <w:hyperlink w:history="true" w:anchor="_bookmark9">
            <w:r>
              <w:rPr/>
              <w:t>Estructura</w:t>
            </w:r>
            <w:r>
              <w:rPr>
                <w:spacing w:val="-14"/>
              </w:rPr>
              <w:t> </w:t>
            </w:r>
            <w:r>
              <w:rPr>
                <w:spacing w:val="-2"/>
              </w:rPr>
              <w:t>Organizacional</w:t>
            </w:r>
            <w:r>
              <w:rPr/>
              <w:tab/>
            </w:r>
            <w:r>
              <w:rPr>
                <w:spacing w:val="-5"/>
              </w:rPr>
              <w:t>41</w:t>
            </w:r>
          </w:hyperlink>
        </w:p>
        <w:p>
          <w:pPr>
            <w:pStyle w:val="TOC4"/>
            <w:numPr>
              <w:ilvl w:val="1"/>
              <w:numId w:val="1"/>
            </w:numPr>
            <w:tabs>
              <w:tab w:pos="2150" w:val="left" w:leader="none"/>
              <w:tab w:pos="9947" w:val="left" w:leader="dot"/>
            </w:tabs>
            <w:spacing w:line="229" w:lineRule="exact" w:before="0" w:after="0"/>
            <w:ind w:left="2150" w:right="0" w:hanging="328"/>
            <w:jc w:val="left"/>
          </w:pPr>
          <w:hyperlink w:history="true" w:anchor="_bookmark11">
            <w:r>
              <w:rPr/>
              <w:t>Recursos</w:t>
            </w:r>
            <w:r>
              <w:rPr>
                <w:spacing w:val="-6"/>
              </w:rPr>
              <w:t> </w:t>
            </w:r>
            <w:r>
              <w:rPr>
                <w:spacing w:val="-2"/>
              </w:rPr>
              <w:t>Institucionales</w:t>
            </w:r>
            <w:r>
              <w:rPr/>
              <w:tab/>
            </w:r>
            <w:r>
              <w:rPr>
                <w:spacing w:val="-5"/>
              </w:rPr>
              <w:t>43</w:t>
            </w:r>
          </w:hyperlink>
        </w:p>
        <w:p>
          <w:pPr>
            <w:pStyle w:val="TOC4"/>
            <w:numPr>
              <w:ilvl w:val="1"/>
              <w:numId w:val="1"/>
            </w:numPr>
            <w:tabs>
              <w:tab w:pos="2150" w:val="left" w:leader="none"/>
              <w:tab w:pos="9947" w:val="left" w:leader="dot"/>
            </w:tabs>
            <w:spacing w:line="229" w:lineRule="exact" w:before="0" w:after="0"/>
            <w:ind w:left="2150" w:right="0" w:hanging="328"/>
            <w:jc w:val="left"/>
          </w:pPr>
          <w:hyperlink w:history="true" w:anchor="_bookmark17">
            <w:r>
              <w:rPr/>
              <w:t>Cumplimiento</w:t>
            </w:r>
            <w:r>
              <w:rPr>
                <w:spacing w:val="-8"/>
              </w:rPr>
              <w:t> </w:t>
            </w:r>
            <w:r>
              <w:rPr/>
              <w:t>del</w:t>
            </w:r>
            <w:r>
              <w:rPr>
                <w:spacing w:val="-8"/>
              </w:rPr>
              <w:t> </w:t>
            </w:r>
            <w:r>
              <w:rPr/>
              <w:t>Sistema</w:t>
            </w:r>
            <w:r>
              <w:rPr>
                <w:spacing w:val="-8"/>
              </w:rPr>
              <w:t> </w:t>
            </w:r>
            <w:r>
              <w:rPr/>
              <w:t>de</w:t>
            </w:r>
            <w:r>
              <w:rPr>
                <w:spacing w:val="-9"/>
              </w:rPr>
              <w:t> </w:t>
            </w:r>
            <w:r>
              <w:rPr/>
              <w:t>Control</w:t>
            </w:r>
            <w:r>
              <w:rPr>
                <w:spacing w:val="-8"/>
              </w:rPr>
              <w:t> </w:t>
            </w:r>
            <w:r>
              <w:rPr>
                <w:spacing w:val="-2"/>
              </w:rPr>
              <w:t>Interno</w:t>
            </w:r>
            <w:r>
              <w:rPr/>
              <w:tab/>
            </w:r>
            <w:r>
              <w:rPr>
                <w:spacing w:val="-5"/>
              </w:rPr>
              <w:t>49</w:t>
            </w:r>
          </w:hyperlink>
        </w:p>
        <w:p>
          <w:pPr>
            <w:pStyle w:val="TOC4"/>
            <w:numPr>
              <w:ilvl w:val="1"/>
              <w:numId w:val="1"/>
            </w:numPr>
            <w:tabs>
              <w:tab w:pos="2153" w:val="left" w:leader="none"/>
              <w:tab w:pos="9947" w:val="left" w:leader="dot"/>
            </w:tabs>
            <w:spacing w:line="240" w:lineRule="auto" w:before="1" w:after="0"/>
            <w:ind w:left="2153" w:right="0" w:hanging="331"/>
            <w:jc w:val="left"/>
          </w:pPr>
          <w:hyperlink w:history="true" w:anchor="_bookmark20">
            <w:r>
              <w:rPr/>
              <w:t>Estado</w:t>
            </w:r>
            <w:r>
              <w:rPr>
                <w:spacing w:val="-5"/>
              </w:rPr>
              <w:t> </w:t>
            </w:r>
            <w:r>
              <w:rPr/>
              <w:t>de</w:t>
            </w:r>
            <w:r>
              <w:rPr>
                <w:spacing w:val="-8"/>
              </w:rPr>
              <w:t> </w:t>
            </w:r>
            <w:r>
              <w:rPr/>
              <w:t>situación</w:t>
            </w:r>
            <w:r>
              <w:rPr>
                <w:spacing w:val="-5"/>
              </w:rPr>
              <w:t> </w:t>
            </w:r>
            <w:r>
              <w:rPr/>
              <w:t>de</w:t>
            </w:r>
            <w:r>
              <w:rPr>
                <w:spacing w:val="-6"/>
              </w:rPr>
              <w:t> </w:t>
            </w:r>
            <w:r>
              <w:rPr/>
              <w:t>la</w:t>
            </w:r>
            <w:r>
              <w:rPr>
                <w:spacing w:val="-7"/>
              </w:rPr>
              <w:t> </w:t>
            </w:r>
            <w:r>
              <w:rPr>
                <w:spacing w:val="-2"/>
              </w:rPr>
              <w:t>pobreza</w:t>
            </w:r>
            <w:r>
              <w:rPr/>
              <w:tab/>
            </w:r>
            <w:r>
              <w:rPr>
                <w:spacing w:val="-5"/>
              </w:rPr>
              <w:t>55</w:t>
            </w:r>
          </w:hyperlink>
        </w:p>
        <w:p>
          <w:pPr>
            <w:pStyle w:val="TOC1"/>
            <w:numPr>
              <w:ilvl w:val="0"/>
              <w:numId w:val="1"/>
            </w:numPr>
            <w:tabs>
              <w:tab w:pos="1432" w:val="left" w:leader="none"/>
              <w:tab w:pos="9957" w:val="left" w:leader="dot"/>
            </w:tabs>
            <w:spacing w:line="240" w:lineRule="auto" w:before="0" w:after="0"/>
            <w:ind w:left="1432" w:right="0" w:hanging="220"/>
            <w:jc w:val="left"/>
          </w:pPr>
          <w:hyperlink w:history="true" w:anchor="_bookmark38">
            <w:r>
              <w:rPr/>
              <w:t>Estructura</w:t>
            </w:r>
            <w:r>
              <w:rPr>
                <w:spacing w:val="-10"/>
              </w:rPr>
              <w:t> </w:t>
            </w:r>
            <w:r>
              <w:rPr/>
              <w:t>Programática</w:t>
            </w:r>
            <w:r>
              <w:rPr>
                <w:spacing w:val="-11"/>
              </w:rPr>
              <w:t> </w:t>
            </w:r>
            <w:r>
              <w:rPr/>
              <w:t>del</w:t>
            </w:r>
            <w:r>
              <w:rPr>
                <w:spacing w:val="-9"/>
              </w:rPr>
              <w:t> </w:t>
            </w:r>
            <w:r>
              <w:rPr/>
              <w:t>Plan-</w:t>
            </w:r>
            <w:r>
              <w:rPr>
                <w:spacing w:val="-2"/>
              </w:rPr>
              <w:t>Presupuesto</w:t>
            </w:r>
            <w:r>
              <w:rPr/>
              <w:tab/>
            </w:r>
            <w:r>
              <w:rPr>
                <w:spacing w:val="-5"/>
              </w:rPr>
              <w:t>83</w:t>
            </w:r>
          </w:hyperlink>
        </w:p>
        <w:p>
          <w:pPr>
            <w:pStyle w:val="TOC4"/>
            <w:numPr>
              <w:ilvl w:val="1"/>
              <w:numId w:val="1"/>
            </w:numPr>
            <w:tabs>
              <w:tab w:pos="2152" w:val="left" w:leader="none"/>
              <w:tab w:pos="9947" w:val="left" w:leader="dot"/>
            </w:tabs>
            <w:spacing w:line="240" w:lineRule="auto" w:before="1" w:after="0"/>
            <w:ind w:left="2152" w:right="0" w:hanging="330"/>
            <w:jc w:val="left"/>
          </w:pPr>
          <w:hyperlink w:history="true" w:anchor="_bookmark39">
            <w:r>
              <w:rPr/>
              <w:t>Programa</w:t>
            </w:r>
            <w:r>
              <w:rPr>
                <w:spacing w:val="-9"/>
              </w:rPr>
              <w:t> </w:t>
            </w:r>
            <w:r>
              <w:rPr/>
              <w:t>de</w:t>
            </w:r>
            <w:r>
              <w:rPr>
                <w:spacing w:val="-6"/>
              </w:rPr>
              <w:t> </w:t>
            </w:r>
            <w:r>
              <w:rPr/>
              <w:t>Protección</w:t>
            </w:r>
            <w:r>
              <w:rPr>
                <w:spacing w:val="-9"/>
              </w:rPr>
              <w:t> </w:t>
            </w:r>
            <w:r>
              <w:rPr/>
              <w:t>y</w:t>
            </w:r>
            <w:r>
              <w:rPr>
                <w:spacing w:val="-7"/>
              </w:rPr>
              <w:t> </w:t>
            </w:r>
            <w:r>
              <w:rPr/>
              <w:t>Promoción</w:t>
            </w:r>
            <w:r>
              <w:rPr>
                <w:spacing w:val="-9"/>
              </w:rPr>
              <w:t> </w:t>
            </w:r>
            <w:r>
              <w:rPr>
                <w:spacing w:val="-2"/>
              </w:rPr>
              <w:t>Social</w:t>
            </w:r>
            <w:r>
              <w:rPr/>
              <w:tab/>
            </w:r>
            <w:r>
              <w:rPr>
                <w:spacing w:val="-5"/>
              </w:rPr>
              <w:t>83</w:t>
            </w:r>
          </w:hyperlink>
        </w:p>
        <w:p>
          <w:pPr>
            <w:pStyle w:val="TOC4"/>
            <w:numPr>
              <w:ilvl w:val="2"/>
              <w:numId w:val="1"/>
            </w:numPr>
            <w:tabs>
              <w:tab w:pos="2317" w:val="left" w:leader="none"/>
              <w:tab w:pos="9947" w:val="left" w:leader="dot"/>
            </w:tabs>
            <w:spacing w:line="240" w:lineRule="auto" w:before="1" w:after="0"/>
            <w:ind w:left="2317" w:right="0" w:hanging="495"/>
            <w:jc w:val="left"/>
          </w:pPr>
          <w:hyperlink w:history="true" w:anchor="_bookmark40">
            <w:r>
              <w:rPr/>
              <w:t>Descripción</w:t>
            </w:r>
            <w:r>
              <w:rPr>
                <w:spacing w:val="-9"/>
              </w:rPr>
              <w:t> </w:t>
            </w:r>
            <w:r>
              <w:rPr/>
              <w:t>del</w:t>
            </w:r>
            <w:r>
              <w:rPr>
                <w:spacing w:val="-8"/>
              </w:rPr>
              <w:t> </w:t>
            </w:r>
            <w:r>
              <w:rPr>
                <w:spacing w:val="-2"/>
              </w:rPr>
              <w:t>Programa</w:t>
            </w:r>
            <w:r>
              <w:rPr/>
              <w:tab/>
            </w:r>
            <w:r>
              <w:rPr>
                <w:spacing w:val="-5"/>
              </w:rPr>
              <w:t>84</w:t>
            </w:r>
          </w:hyperlink>
        </w:p>
        <w:p>
          <w:pPr>
            <w:pStyle w:val="TOC4"/>
            <w:numPr>
              <w:ilvl w:val="2"/>
              <w:numId w:val="1"/>
            </w:numPr>
            <w:tabs>
              <w:tab w:pos="2317" w:val="left" w:leader="none"/>
              <w:tab w:pos="9947" w:val="left" w:leader="dot"/>
            </w:tabs>
            <w:spacing w:line="229" w:lineRule="exact" w:before="0" w:after="0"/>
            <w:ind w:left="2317" w:right="0" w:hanging="495"/>
            <w:jc w:val="left"/>
          </w:pPr>
          <w:hyperlink w:history="true" w:anchor="_bookmark41">
            <w:r>
              <w:rPr/>
              <w:t>Objetivos</w:t>
            </w:r>
            <w:r>
              <w:rPr>
                <w:spacing w:val="-8"/>
              </w:rPr>
              <w:t> </w:t>
            </w:r>
            <w:r>
              <w:rPr/>
              <w:t>del</w:t>
            </w:r>
            <w:r>
              <w:rPr>
                <w:spacing w:val="-7"/>
              </w:rPr>
              <w:t> </w:t>
            </w:r>
            <w:r>
              <w:rPr/>
              <w:t>Programa</w:t>
            </w:r>
            <w:r>
              <w:rPr>
                <w:spacing w:val="-8"/>
              </w:rPr>
              <w:t> </w:t>
            </w:r>
            <w:r>
              <w:rPr/>
              <w:t>de</w:t>
            </w:r>
            <w:r>
              <w:rPr>
                <w:spacing w:val="-7"/>
              </w:rPr>
              <w:t> </w:t>
            </w:r>
            <w:r>
              <w:rPr/>
              <w:t>Protección</w:t>
            </w:r>
            <w:r>
              <w:rPr>
                <w:spacing w:val="-8"/>
              </w:rPr>
              <w:t> </w:t>
            </w:r>
            <w:r>
              <w:rPr/>
              <w:t>y</w:t>
            </w:r>
            <w:r>
              <w:rPr>
                <w:spacing w:val="-7"/>
              </w:rPr>
              <w:t> </w:t>
            </w:r>
            <w:r>
              <w:rPr/>
              <w:t>Promoción</w:t>
            </w:r>
            <w:r>
              <w:rPr>
                <w:spacing w:val="-8"/>
              </w:rPr>
              <w:t> </w:t>
            </w:r>
            <w:r>
              <w:rPr>
                <w:spacing w:val="-2"/>
              </w:rPr>
              <w:t>Social</w:t>
            </w:r>
            <w:r>
              <w:rPr/>
              <w:tab/>
            </w:r>
            <w:r>
              <w:rPr>
                <w:spacing w:val="-5"/>
              </w:rPr>
              <w:t>85</w:t>
            </w:r>
          </w:hyperlink>
        </w:p>
        <w:p>
          <w:pPr>
            <w:pStyle w:val="TOC4"/>
            <w:numPr>
              <w:ilvl w:val="2"/>
              <w:numId w:val="1"/>
            </w:numPr>
            <w:tabs>
              <w:tab w:pos="2317" w:val="left" w:leader="none"/>
              <w:tab w:pos="9947" w:val="left" w:leader="dot"/>
            </w:tabs>
            <w:spacing w:line="229" w:lineRule="exact" w:before="0" w:after="0"/>
            <w:ind w:left="2317" w:right="0" w:hanging="495"/>
            <w:jc w:val="left"/>
          </w:pPr>
          <w:hyperlink w:history="true" w:anchor="_bookmark42">
            <w:r>
              <w:rPr/>
              <w:t>Estrategias,</w:t>
            </w:r>
            <w:r>
              <w:rPr>
                <w:spacing w:val="-8"/>
              </w:rPr>
              <w:t> </w:t>
            </w:r>
            <w:r>
              <w:rPr/>
              <w:t>acciones</w:t>
            </w:r>
            <w:r>
              <w:rPr>
                <w:spacing w:val="-3"/>
              </w:rPr>
              <w:t> </w:t>
            </w:r>
            <w:r>
              <w:rPr/>
              <w:t>y</w:t>
            </w:r>
            <w:r>
              <w:rPr>
                <w:spacing w:val="-7"/>
              </w:rPr>
              <w:t> </w:t>
            </w:r>
            <w:r>
              <w:rPr/>
              <w:t>metas</w:t>
            </w:r>
            <w:r>
              <w:rPr>
                <w:spacing w:val="-6"/>
              </w:rPr>
              <w:t> </w:t>
            </w:r>
            <w:r>
              <w:rPr/>
              <w:t>del</w:t>
            </w:r>
            <w:r>
              <w:rPr>
                <w:spacing w:val="-6"/>
              </w:rPr>
              <w:t> </w:t>
            </w:r>
            <w:r>
              <w:rPr>
                <w:spacing w:val="-2"/>
              </w:rPr>
              <w:t>programa</w:t>
            </w:r>
            <w:r>
              <w:rPr/>
              <w:tab/>
            </w:r>
            <w:r>
              <w:rPr>
                <w:spacing w:val="-5"/>
              </w:rPr>
              <w:t>85</w:t>
            </w:r>
          </w:hyperlink>
        </w:p>
        <w:p>
          <w:pPr>
            <w:pStyle w:val="TOC4"/>
            <w:numPr>
              <w:ilvl w:val="2"/>
              <w:numId w:val="1"/>
            </w:numPr>
            <w:tabs>
              <w:tab w:pos="2317" w:val="left" w:leader="none"/>
              <w:tab w:pos="9947" w:val="left" w:leader="dot"/>
            </w:tabs>
            <w:spacing w:line="240" w:lineRule="auto" w:before="0" w:after="0"/>
            <w:ind w:left="2317" w:right="0" w:hanging="495"/>
            <w:jc w:val="left"/>
          </w:pPr>
          <w:hyperlink w:history="true" w:anchor="_bookmark43">
            <w:r>
              <w:rPr/>
              <w:t>Estructura</w:t>
            </w:r>
            <w:r>
              <w:rPr>
                <w:spacing w:val="-7"/>
              </w:rPr>
              <w:t> </w:t>
            </w:r>
            <w:r>
              <w:rPr/>
              <w:t>del</w:t>
            </w:r>
            <w:r>
              <w:rPr>
                <w:spacing w:val="-8"/>
              </w:rPr>
              <w:t> </w:t>
            </w:r>
            <w:r>
              <w:rPr/>
              <w:t>Programa</w:t>
            </w:r>
            <w:r>
              <w:rPr>
                <w:spacing w:val="-8"/>
              </w:rPr>
              <w:t> </w:t>
            </w:r>
            <w:r>
              <w:rPr/>
              <w:t>de</w:t>
            </w:r>
            <w:r>
              <w:rPr>
                <w:spacing w:val="-8"/>
              </w:rPr>
              <w:t> </w:t>
            </w:r>
            <w:r>
              <w:rPr/>
              <w:t>Protección</w:t>
            </w:r>
            <w:r>
              <w:rPr>
                <w:spacing w:val="-8"/>
              </w:rPr>
              <w:t> </w:t>
            </w:r>
            <w:r>
              <w:rPr/>
              <w:t>y</w:t>
            </w:r>
            <w:r>
              <w:rPr>
                <w:spacing w:val="-7"/>
              </w:rPr>
              <w:t> </w:t>
            </w:r>
            <w:r>
              <w:rPr/>
              <w:t>Promoción</w:t>
            </w:r>
            <w:r>
              <w:rPr>
                <w:spacing w:val="-7"/>
              </w:rPr>
              <w:t> </w:t>
            </w:r>
            <w:r>
              <w:rPr>
                <w:spacing w:val="-2"/>
              </w:rPr>
              <w:t>Social</w:t>
            </w:r>
            <w:r>
              <w:rPr/>
              <w:tab/>
            </w:r>
            <w:r>
              <w:rPr>
                <w:spacing w:val="-5"/>
              </w:rPr>
              <w:t>86</w:t>
            </w:r>
          </w:hyperlink>
        </w:p>
        <w:p>
          <w:pPr>
            <w:pStyle w:val="TOC4"/>
            <w:numPr>
              <w:ilvl w:val="2"/>
              <w:numId w:val="1"/>
            </w:numPr>
            <w:tabs>
              <w:tab w:pos="2317" w:val="left" w:leader="none"/>
              <w:tab w:pos="9947" w:val="left" w:leader="dot"/>
            </w:tabs>
            <w:spacing w:line="240" w:lineRule="auto" w:before="1" w:after="0"/>
            <w:ind w:left="2317" w:right="0" w:hanging="495"/>
            <w:jc w:val="left"/>
          </w:pPr>
          <w:hyperlink w:history="true" w:anchor="_bookmark44">
            <w:r>
              <w:rPr/>
              <w:t>Dimensión</w:t>
            </w:r>
            <w:r>
              <w:rPr>
                <w:spacing w:val="-10"/>
              </w:rPr>
              <w:t> </w:t>
            </w:r>
            <w:r>
              <w:rPr/>
              <w:t>de</w:t>
            </w:r>
            <w:r>
              <w:rPr>
                <w:spacing w:val="-9"/>
              </w:rPr>
              <w:t> </w:t>
            </w:r>
            <w:r>
              <w:rPr/>
              <w:t>Protección</w:t>
            </w:r>
            <w:r>
              <w:rPr>
                <w:spacing w:val="-10"/>
              </w:rPr>
              <w:t> </w:t>
            </w:r>
            <w:r>
              <w:rPr>
                <w:spacing w:val="-2"/>
              </w:rPr>
              <w:t>Social</w:t>
            </w:r>
            <w:r>
              <w:rPr/>
              <w:tab/>
            </w:r>
            <w:r>
              <w:rPr>
                <w:spacing w:val="-5"/>
              </w:rPr>
              <w:t>86</w:t>
            </w:r>
          </w:hyperlink>
        </w:p>
        <w:p>
          <w:pPr>
            <w:pStyle w:val="TOC4"/>
            <w:numPr>
              <w:ilvl w:val="2"/>
              <w:numId w:val="1"/>
            </w:numPr>
            <w:tabs>
              <w:tab w:pos="2317" w:val="left" w:leader="none"/>
              <w:tab w:pos="9947" w:val="left" w:leader="dot"/>
            </w:tabs>
            <w:spacing w:line="240" w:lineRule="auto" w:before="0" w:after="0"/>
            <w:ind w:left="2317" w:right="0" w:hanging="495"/>
            <w:jc w:val="left"/>
          </w:pPr>
          <w:hyperlink w:history="true" w:anchor="_bookmark45">
            <w:r>
              <w:rPr/>
              <w:t>Dimensión</w:t>
            </w:r>
            <w:r>
              <w:rPr>
                <w:spacing w:val="-9"/>
              </w:rPr>
              <w:t> </w:t>
            </w:r>
            <w:r>
              <w:rPr/>
              <w:t>de</w:t>
            </w:r>
            <w:r>
              <w:rPr>
                <w:spacing w:val="-9"/>
              </w:rPr>
              <w:t> </w:t>
            </w:r>
            <w:r>
              <w:rPr/>
              <w:t>Promoción</w:t>
            </w:r>
            <w:r>
              <w:rPr>
                <w:spacing w:val="-9"/>
              </w:rPr>
              <w:t> </w:t>
            </w:r>
            <w:r>
              <w:rPr>
                <w:spacing w:val="-2"/>
              </w:rPr>
              <w:t>Social</w:t>
            </w:r>
            <w:r>
              <w:rPr/>
              <w:tab/>
            </w:r>
            <w:r>
              <w:rPr>
                <w:spacing w:val="-5"/>
              </w:rPr>
              <w:t>91</w:t>
            </w:r>
          </w:hyperlink>
        </w:p>
        <w:p>
          <w:pPr>
            <w:pStyle w:val="TOC4"/>
            <w:numPr>
              <w:ilvl w:val="1"/>
              <w:numId w:val="1"/>
            </w:numPr>
            <w:tabs>
              <w:tab w:pos="2153" w:val="left" w:leader="none"/>
              <w:tab w:pos="9947" w:val="left" w:leader="dot"/>
            </w:tabs>
            <w:spacing w:line="229" w:lineRule="exact" w:before="1" w:after="0"/>
            <w:ind w:left="2153" w:right="0" w:hanging="331"/>
            <w:jc w:val="left"/>
          </w:pPr>
          <w:hyperlink w:history="true" w:anchor="_bookmark46">
            <w:r>
              <w:rPr/>
              <w:t>Programa</w:t>
            </w:r>
            <w:r>
              <w:rPr>
                <w:spacing w:val="-10"/>
              </w:rPr>
              <w:t> </w:t>
            </w:r>
            <w:r>
              <w:rPr/>
              <w:t>de</w:t>
            </w:r>
            <w:r>
              <w:rPr>
                <w:spacing w:val="-8"/>
              </w:rPr>
              <w:t> </w:t>
            </w:r>
            <w:r>
              <w:rPr/>
              <w:t>Actividades</w:t>
            </w:r>
            <w:r>
              <w:rPr>
                <w:spacing w:val="-9"/>
              </w:rPr>
              <w:t> </w:t>
            </w:r>
            <w:r>
              <w:rPr>
                <w:spacing w:val="-2"/>
              </w:rPr>
              <w:t>Centrales</w:t>
            </w:r>
            <w:r>
              <w:rPr/>
              <w:tab/>
            </w:r>
            <w:r>
              <w:rPr>
                <w:spacing w:val="-5"/>
              </w:rPr>
              <w:t>95</w:t>
            </w:r>
          </w:hyperlink>
        </w:p>
        <w:p>
          <w:pPr>
            <w:pStyle w:val="TOC4"/>
            <w:numPr>
              <w:ilvl w:val="2"/>
              <w:numId w:val="1"/>
            </w:numPr>
            <w:tabs>
              <w:tab w:pos="2317" w:val="left" w:leader="none"/>
              <w:tab w:pos="9947" w:val="left" w:leader="dot"/>
            </w:tabs>
            <w:spacing w:line="229" w:lineRule="exact" w:before="0" w:after="0"/>
            <w:ind w:left="2317" w:right="0" w:hanging="495"/>
            <w:jc w:val="left"/>
          </w:pPr>
          <w:hyperlink w:history="true" w:anchor="_bookmark47">
            <w:r>
              <w:rPr/>
              <w:t>Descripción</w:t>
            </w:r>
            <w:r>
              <w:rPr>
                <w:spacing w:val="-9"/>
              </w:rPr>
              <w:t> </w:t>
            </w:r>
            <w:r>
              <w:rPr/>
              <w:t>del</w:t>
            </w:r>
            <w:r>
              <w:rPr>
                <w:spacing w:val="-8"/>
              </w:rPr>
              <w:t> </w:t>
            </w:r>
            <w:r>
              <w:rPr>
                <w:spacing w:val="-2"/>
              </w:rPr>
              <w:t>Programa</w:t>
            </w:r>
            <w:r>
              <w:rPr/>
              <w:tab/>
            </w:r>
            <w:r>
              <w:rPr>
                <w:spacing w:val="-5"/>
              </w:rPr>
              <w:t>95</w:t>
            </w:r>
          </w:hyperlink>
        </w:p>
        <w:p>
          <w:pPr>
            <w:pStyle w:val="TOC4"/>
            <w:numPr>
              <w:ilvl w:val="2"/>
              <w:numId w:val="1"/>
            </w:numPr>
            <w:tabs>
              <w:tab w:pos="2317" w:val="left" w:leader="none"/>
              <w:tab w:pos="9947" w:val="left" w:leader="dot"/>
            </w:tabs>
            <w:spacing w:line="240" w:lineRule="auto" w:before="0" w:after="0"/>
            <w:ind w:left="2317" w:right="0" w:hanging="495"/>
            <w:jc w:val="left"/>
          </w:pPr>
          <w:hyperlink w:history="true" w:anchor="_bookmark48">
            <w:r>
              <w:rPr/>
              <w:t>Objetivos</w:t>
            </w:r>
            <w:r>
              <w:rPr>
                <w:spacing w:val="-10"/>
              </w:rPr>
              <w:t> </w:t>
            </w:r>
            <w:r>
              <w:rPr/>
              <w:t>del</w:t>
            </w:r>
            <w:r>
              <w:rPr>
                <w:spacing w:val="-7"/>
              </w:rPr>
              <w:t> </w:t>
            </w:r>
            <w:r>
              <w:rPr>
                <w:spacing w:val="-2"/>
              </w:rPr>
              <w:t>Programa</w:t>
            </w:r>
            <w:r>
              <w:rPr/>
              <w:tab/>
            </w:r>
            <w:r>
              <w:rPr>
                <w:spacing w:val="-5"/>
              </w:rPr>
              <w:t>95</w:t>
            </w:r>
          </w:hyperlink>
        </w:p>
        <w:p>
          <w:pPr>
            <w:pStyle w:val="TOC4"/>
            <w:numPr>
              <w:ilvl w:val="2"/>
              <w:numId w:val="1"/>
            </w:numPr>
            <w:tabs>
              <w:tab w:pos="2317" w:val="left" w:leader="none"/>
              <w:tab w:pos="9947" w:val="left" w:leader="dot"/>
            </w:tabs>
            <w:spacing w:line="240" w:lineRule="auto" w:before="1" w:after="0"/>
            <w:ind w:left="2317" w:right="0" w:hanging="495"/>
            <w:jc w:val="left"/>
          </w:pPr>
          <w:hyperlink w:history="true" w:anchor="_bookmark49">
            <w:r>
              <w:rPr/>
              <w:t>Estructura</w:t>
            </w:r>
            <w:r>
              <w:rPr>
                <w:spacing w:val="-7"/>
              </w:rPr>
              <w:t> </w:t>
            </w:r>
            <w:r>
              <w:rPr/>
              <w:t>del</w:t>
            </w:r>
            <w:r>
              <w:rPr>
                <w:spacing w:val="-9"/>
              </w:rPr>
              <w:t> </w:t>
            </w:r>
            <w:r>
              <w:rPr>
                <w:spacing w:val="-2"/>
              </w:rPr>
              <w:t>Programa</w:t>
            </w:r>
            <w:r>
              <w:rPr/>
              <w:tab/>
            </w:r>
            <w:r>
              <w:rPr>
                <w:spacing w:val="-5"/>
              </w:rPr>
              <w:t>96</w:t>
            </w:r>
          </w:hyperlink>
        </w:p>
        <w:p>
          <w:pPr>
            <w:pStyle w:val="TOC4"/>
            <w:numPr>
              <w:ilvl w:val="1"/>
              <w:numId w:val="1"/>
            </w:numPr>
            <w:tabs>
              <w:tab w:pos="2152" w:val="left" w:leader="none"/>
              <w:tab w:pos="9947" w:val="left" w:leader="dot"/>
            </w:tabs>
            <w:spacing w:line="240" w:lineRule="auto" w:before="0" w:after="0"/>
            <w:ind w:left="2152" w:right="0" w:hanging="330"/>
            <w:jc w:val="left"/>
          </w:pPr>
          <w:hyperlink w:history="true" w:anchor="_bookmark50">
            <w:r>
              <w:rPr/>
              <w:t>Programa</w:t>
            </w:r>
            <w:r>
              <w:rPr>
                <w:spacing w:val="-12"/>
              </w:rPr>
              <w:t> </w:t>
            </w:r>
            <w:r>
              <w:rPr/>
              <w:t>de</w:t>
            </w:r>
            <w:r>
              <w:rPr>
                <w:spacing w:val="-7"/>
              </w:rPr>
              <w:t> </w:t>
            </w:r>
            <w:r>
              <w:rPr/>
              <w:t>Empresas</w:t>
            </w:r>
            <w:r>
              <w:rPr>
                <w:spacing w:val="-6"/>
              </w:rPr>
              <w:t> </w:t>
            </w:r>
            <w:r>
              <w:rPr>
                <w:spacing w:val="-2"/>
              </w:rPr>
              <w:t>Comerciales</w:t>
            </w:r>
            <w:r>
              <w:rPr/>
              <w:tab/>
            </w:r>
            <w:r>
              <w:rPr>
                <w:spacing w:val="-5"/>
              </w:rPr>
              <w:t>96</w:t>
            </w:r>
          </w:hyperlink>
        </w:p>
        <w:p>
          <w:pPr>
            <w:pStyle w:val="TOC4"/>
            <w:numPr>
              <w:ilvl w:val="2"/>
              <w:numId w:val="1"/>
            </w:numPr>
            <w:tabs>
              <w:tab w:pos="2317" w:val="left" w:leader="none"/>
              <w:tab w:pos="9947" w:val="left" w:leader="dot"/>
            </w:tabs>
            <w:spacing w:line="240" w:lineRule="auto" w:before="0" w:after="0"/>
            <w:ind w:left="2317" w:right="0" w:hanging="495"/>
            <w:jc w:val="left"/>
          </w:pPr>
          <w:hyperlink w:history="true" w:anchor="_bookmark51">
            <w:r>
              <w:rPr/>
              <w:t>Descripción</w:t>
            </w:r>
            <w:r>
              <w:rPr>
                <w:spacing w:val="-9"/>
              </w:rPr>
              <w:t> </w:t>
            </w:r>
            <w:r>
              <w:rPr/>
              <w:t>del</w:t>
            </w:r>
            <w:r>
              <w:rPr>
                <w:spacing w:val="-8"/>
              </w:rPr>
              <w:t> </w:t>
            </w:r>
            <w:r>
              <w:rPr>
                <w:spacing w:val="-2"/>
              </w:rPr>
              <w:t>Programa</w:t>
            </w:r>
            <w:r>
              <w:rPr/>
              <w:tab/>
            </w:r>
            <w:r>
              <w:rPr>
                <w:spacing w:val="-5"/>
              </w:rPr>
              <w:t>96</w:t>
            </w:r>
          </w:hyperlink>
        </w:p>
        <w:p>
          <w:pPr>
            <w:pStyle w:val="TOC4"/>
            <w:numPr>
              <w:ilvl w:val="2"/>
              <w:numId w:val="1"/>
            </w:numPr>
            <w:tabs>
              <w:tab w:pos="2317" w:val="left" w:leader="none"/>
              <w:tab w:pos="9947" w:val="left" w:leader="dot"/>
            </w:tabs>
            <w:spacing w:line="229" w:lineRule="exact" w:before="1" w:after="0"/>
            <w:ind w:left="2317" w:right="0" w:hanging="495"/>
            <w:jc w:val="left"/>
          </w:pPr>
          <w:hyperlink w:history="true" w:anchor="_bookmark52">
            <w:r>
              <w:rPr/>
              <w:t>Objetivos</w:t>
            </w:r>
            <w:r>
              <w:rPr>
                <w:spacing w:val="-10"/>
              </w:rPr>
              <w:t> </w:t>
            </w:r>
            <w:r>
              <w:rPr/>
              <w:t>del</w:t>
            </w:r>
            <w:r>
              <w:rPr>
                <w:spacing w:val="-7"/>
              </w:rPr>
              <w:t> </w:t>
            </w:r>
            <w:r>
              <w:rPr>
                <w:spacing w:val="-2"/>
              </w:rPr>
              <w:t>Programa</w:t>
            </w:r>
            <w:r>
              <w:rPr/>
              <w:tab/>
            </w:r>
            <w:r>
              <w:rPr>
                <w:spacing w:val="-5"/>
              </w:rPr>
              <w:t>97</w:t>
            </w:r>
          </w:hyperlink>
        </w:p>
        <w:p>
          <w:pPr>
            <w:pStyle w:val="TOC4"/>
            <w:numPr>
              <w:ilvl w:val="2"/>
              <w:numId w:val="1"/>
            </w:numPr>
            <w:tabs>
              <w:tab w:pos="2317" w:val="left" w:leader="none"/>
              <w:tab w:pos="9947" w:val="left" w:leader="dot"/>
            </w:tabs>
            <w:spacing w:line="229" w:lineRule="exact" w:before="0" w:after="0"/>
            <w:ind w:left="2317" w:right="0" w:hanging="495"/>
            <w:jc w:val="left"/>
          </w:pPr>
          <w:hyperlink w:history="true" w:anchor="_bookmark53">
            <w:r>
              <w:rPr/>
              <w:t>Estructura</w:t>
            </w:r>
            <w:r>
              <w:rPr>
                <w:spacing w:val="-7"/>
              </w:rPr>
              <w:t> </w:t>
            </w:r>
            <w:r>
              <w:rPr/>
              <w:t>del</w:t>
            </w:r>
            <w:r>
              <w:rPr>
                <w:spacing w:val="-9"/>
              </w:rPr>
              <w:t> </w:t>
            </w:r>
            <w:r>
              <w:rPr>
                <w:spacing w:val="-2"/>
              </w:rPr>
              <w:t>Programa</w:t>
            </w:r>
            <w:r>
              <w:rPr/>
              <w:tab/>
            </w:r>
            <w:r>
              <w:rPr>
                <w:spacing w:val="-5"/>
              </w:rPr>
              <w:t>98</w:t>
            </w:r>
          </w:hyperlink>
        </w:p>
        <w:p>
          <w:pPr>
            <w:pStyle w:val="TOC1"/>
            <w:numPr>
              <w:ilvl w:val="0"/>
              <w:numId w:val="1"/>
            </w:numPr>
            <w:tabs>
              <w:tab w:pos="1376" w:val="left" w:leader="none"/>
              <w:tab w:pos="9957" w:val="left" w:leader="dot"/>
            </w:tabs>
            <w:spacing w:line="240" w:lineRule="auto" w:before="1" w:after="0"/>
            <w:ind w:left="1376" w:right="0" w:hanging="164"/>
            <w:jc w:val="left"/>
          </w:pPr>
          <w:hyperlink w:history="true" w:anchor="_bookmark54">
            <w:r>
              <w:rPr>
                <w:spacing w:val="-2"/>
              </w:rPr>
              <w:t>Comparación</w:t>
            </w:r>
            <w:r>
              <w:rPr>
                <w:spacing w:val="7"/>
              </w:rPr>
              <w:t> </w:t>
            </w:r>
            <w:r>
              <w:rPr>
                <w:spacing w:val="-2"/>
              </w:rPr>
              <w:t>Presupuestaria</w:t>
            </w:r>
            <w:r>
              <w:rPr/>
              <w:tab/>
            </w:r>
            <w:r>
              <w:rPr>
                <w:spacing w:val="-5"/>
              </w:rPr>
              <w:t>98</w:t>
            </w:r>
          </w:hyperlink>
        </w:p>
        <w:p>
          <w:pPr>
            <w:pStyle w:val="TOC1"/>
            <w:numPr>
              <w:ilvl w:val="0"/>
              <w:numId w:val="1"/>
            </w:numPr>
            <w:tabs>
              <w:tab w:pos="1432" w:val="left" w:leader="none"/>
              <w:tab w:pos="9957" w:val="left" w:leader="dot"/>
            </w:tabs>
            <w:spacing w:line="240" w:lineRule="auto" w:before="0" w:after="0"/>
            <w:ind w:left="1432" w:right="0" w:hanging="220"/>
            <w:jc w:val="left"/>
          </w:pPr>
          <w:hyperlink w:history="true" w:anchor="_bookmark59">
            <w:r>
              <w:rPr/>
              <w:t>Marco</w:t>
            </w:r>
            <w:r>
              <w:rPr>
                <w:spacing w:val="-9"/>
              </w:rPr>
              <w:t> </w:t>
            </w:r>
            <w:r>
              <w:rPr/>
              <w:t>Estratégico</w:t>
            </w:r>
            <w:r>
              <w:rPr>
                <w:spacing w:val="-10"/>
              </w:rPr>
              <w:t> </w:t>
            </w:r>
            <w:r>
              <w:rPr>
                <w:spacing w:val="-2"/>
              </w:rPr>
              <w:t>Institucional</w:t>
            </w:r>
            <w:r>
              <w:rPr/>
              <w:tab/>
            </w:r>
            <w:r>
              <w:rPr>
                <w:spacing w:val="-5"/>
              </w:rPr>
              <w:t>99</w:t>
            </w:r>
          </w:hyperlink>
        </w:p>
        <w:p>
          <w:pPr>
            <w:pStyle w:val="TOC4"/>
            <w:numPr>
              <w:ilvl w:val="1"/>
              <w:numId w:val="1"/>
            </w:numPr>
            <w:tabs>
              <w:tab w:pos="2152" w:val="left" w:leader="none"/>
              <w:tab w:pos="9837" w:val="left" w:leader="dot"/>
            </w:tabs>
            <w:spacing w:line="240" w:lineRule="auto" w:before="0" w:after="0"/>
            <w:ind w:left="2152" w:right="0" w:hanging="330"/>
            <w:jc w:val="left"/>
          </w:pPr>
          <w:hyperlink w:history="true" w:anchor="_bookmark60">
            <w:r>
              <w:rPr/>
              <w:t>Visión</w:t>
            </w:r>
            <w:r>
              <w:rPr>
                <w:spacing w:val="-10"/>
              </w:rPr>
              <w:t> </w:t>
            </w:r>
            <w:r>
              <w:rPr>
                <w:spacing w:val="-2"/>
              </w:rPr>
              <w:t>Institucional</w:t>
            </w:r>
            <w:r>
              <w:rPr/>
              <w:tab/>
            </w:r>
            <w:r>
              <w:rPr>
                <w:spacing w:val="-5"/>
              </w:rPr>
              <w:t>100</w:t>
            </w:r>
          </w:hyperlink>
        </w:p>
        <w:p>
          <w:pPr>
            <w:pStyle w:val="TOC4"/>
            <w:numPr>
              <w:ilvl w:val="1"/>
              <w:numId w:val="1"/>
            </w:numPr>
            <w:tabs>
              <w:tab w:pos="2150" w:val="left" w:leader="none"/>
              <w:tab w:pos="9837" w:val="left" w:leader="dot"/>
            </w:tabs>
            <w:spacing w:line="240" w:lineRule="auto" w:before="1" w:after="0"/>
            <w:ind w:left="2150" w:right="0" w:hanging="328"/>
            <w:jc w:val="left"/>
          </w:pPr>
          <w:hyperlink w:history="true" w:anchor="_bookmark61">
            <w:r>
              <w:rPr/>
              <w:t>Misión</w:t>
            </w:r>
            <w:r>
              <w:rPr>
                <w:spacing w:val="-8"/>
              </w:rPr>
              <w:t> </w:t>
            </w:r>
            <w:r>
              <w:rPr>
                <w:spacing w:val="-2"/>
              </w:rPr>
              <w:t>Institucional</w:t>
            </w:r>
            <w:r>
              <w:rPr/>
              <w:tab/>
            </w:r>
            <w:r>
              <w:rPr>
                <w:spacing w:val="-5"/>
              </w:rPr>
              <w:t>100</w:t>
            </w:r>
          </w:hyperlink>
        </w:p>
        <w:p>
          <w:pPr>
            <w:pStyle w:val="TOC4"/>
            <w:numPr>
              <w:ilvl w:val="1"/>
              <w:numId w:val="1"/>
            </w:numPr>
            <w:tabs>
              <w:tab w:pos="2152" w:val="left" w:leader="none"/>
              <w:tab w:pos="9837" w:val="left" w:leader="dot"/>
            </w:tabs>
            <w:spacing w:line="229" w:lineRule="exact" w:before="0" w:after="0"/>
            <w:ind w:left="2152" w:right="0" w:hanging="330"/>
            <w:jc w:val="left"/>
          </w:pPr>
          <w:hyperlink w:history="true" w:anchor="_bookmark62">
            <w:r>
              <w:rPr/>
              <w:t>Políticas</w:t>
            </w:r>
            <w:r>
              <w:rPr>
                <w:spacing w:val="-13"/>
              </w:rPr>
              <w:t> </w:t>
            </w:r>
            <w:r>
              <w:rPr>
                <w:spacing w:val="-2"/>
              </w:rPr>
              <w:t>Institucionales</w:t>
            </w:r>
            <w:r>
              <w:rPr/>
              <w:tab/>
            </w:r>
            <w:r>
              <w:rPr>
                <w:spacing w:val="-5"/>
              </w:rPr>
              <w:t>100</w:t>
            </w:r>
          </w:hyperlink>
        </w:p>
        <w:p>
          <w:pPr>
            <w:pStyle w:val="TOC4"/>
            <w:numPr>
              <w:ilvl w:val="1"/>
              <w:numId w:val="2"/>
            </w:numPr>
            <w:tabs>
              <w:tab w:pos="2205" w:val="left" w:leader="none"/>
              <w:tab w:pos="9837" w:val="left" w:leader="dot"/>
            </w:tabs>
            <w:spacing w:line="229" w:lineRule="exact" w:before="0" w:after="0"/>
            <w:ind w:left="2205" w:right="0" w:hanging="383"/>
            <w:jc w:val="left"/>
          </w:pPr>
          <w:hyperlink w:history="true" w:anchor="_bookmark63">
            <w:r>
              <w:rPr/>
              <w:t>Objetivos</w:t>
            </w:r>
            <w:r>
              <w:rPr>
                <w:spacing w:val="-11"/>
              </w:rPr>
              <w:t> </w:t>
            </w:r>
            <w:r>
              <w:rPr/>
              <w:t>Estratégicos</w:t>
            </w:r>
            <w:r>
              <w:rPr>
                <w:spacing w:val="-10"/>
              </w:rPr>
              <w:t> </w:t>
            </w:r>
            <w:r>
              <w:rPr>
                <w:spacing w:val="-2"/>
              </w:rPr>
              <w:t>Institucionales</w:t>
            </w:r>
            <w:r>
              <w:rPr/>
              <w:tab/>
            </w:r>
            <w:r>
              <w:rPr>
                <w:spacing w:val="-5"/>
              </w:rPr>
              <w:t>100</w:t>
            </w:r>
          </w:hyperlink>
        </w:p>
        <w:p>
          <w:pPr>
            <w:pStyle w:val="TOC4"/>
            <w:numPr>
              <w:ilvl w:val="1"/>
              <w:numId w:val="3"/>
            </w:numPr>
            <w:tabs>
              <w:tab w:pos="2150" w:val="left" w:leader="none"/>
              <w:tab w:pos="9837" w:val="left" w:leader="dot"/>
            </w:tabs>
            <w:spacing w:line="240" w:lineRule="auto" w:before="1" w:after="0"/>
            <w:ind w:left="2150" w:right="0" w:hanging="328"/>
            <w:jc w:val="left"/>
          </w:pPr>
          <w:hyperlink w:history="true" w:anchor="_bookmark64">
            <w:r>
              <w:rPr/>
              <w:t>Indicadores</w:t>
            </w:r>
            <w:r>
              <w:rPr>
                <w:spacing w:val="-7"/>
              </w:rPr>
              <w:t> </w:t>
            </w:r>
            <w:r>
              <w:rPr/>
              <w:t>de</w:t>
            </w:r>
            <w:r>
              <w:rPr>
                <w:spacing w:val="-7"/>
              </w:rPr>
              <w:t> </w:t>
            </w:r>
            <w:r>
              <w:rPr/>
              <w:t>Gestión</w:t>
            </w:r>
            <w:r>
              <w:rPr>
                <w:spacing w:val="-6"/>
              </w:rPr>
              <w:t> </w:t>
            </w:r>
            <w:r>
              <w:rPr/>
              <w:t>y/o</w:t>
            </w:r>
            <w:r>
              <w:rPr>
                <w:spacing w:val="-9"/>
              </w:rPr>
              <w:t> </w:t>
            </w:r>
            <w:r>
              <w:rPr>
                <w:spacing w:val="-2"/>
              </w:rPr>
              <w:t>Resultados</w:t>
            </w:r>
            <w:r>
              <w:rPr/>
              <w:tab/>
            </w:r>
            <w:r>
              <w:rPr>
                <w:spacing w:val="-5"/>
              </w:rPr>
              <w:t>101</w:t>
            </w:r>
          </w:hyperlink>
        </w:p>
        <w:p>
          <w:pPr>
            <w:pStyle w:val="TOC4"/>
            <w:numPr>
              <w:ilvl w:val="1"/>
              <w:numId w:val="3"/>
            </w:numPr>
            <w:tabs>
              <w:tab w:pos="2152" w:val="left" w:leader="none"/>
              <w:tab w:pos="9837" w:val="left" w:leader="dot"/>
            </w:tabs>
            <w:spacing w:line="240" w:lineRule="auto" w:before="0" w:after="0"/>
            <w:ind w:left="2152" w:right="0" w:hanging="330"/>
            <w:jc w:val="left"/>
          </w:pPr>
          <w:hyperlink w:history="true" w:anchor="_bookmark65">
            <w:r>
              <w:rPr>
                <w:spacing w:val="-2"/>
              </w:rPr>
              <w:t>Valores</w:t>
            </w:r>
            <w:r>
              <w:rPr/>
              <w:tab/>
            </w:r>
            <w:r>
              <w:rPr>
                <w:spacing w:val="-5"/>
              </w:rPr>
              <w:t>101</w:t>
            </w:r>
          </w:hyperlink>
        </w:p>
        <w:p>
          <w:pPr>
            <w:pStyle w:val="TOC4"/>
            <w:numPr>
              <w:ilvl w:val="1"/>
              <w:numId w:val="3"/>
            </w:numPr>
            <w:tabs>
              <w:tab w:pos="2150" w:val="left" w:leader="none"/>
              <w:tab w:pos="9837" w:val="left" w:leader="dot"/>
            </w:tabs>
            <w:spacing w:line="240" w:lineRule="auto" w:before="1" w:after="0"/>
            <w:ind w:left="2150" w:right="0" w:hanging="328"/>
            <w:jc w:val="left"/>
          </w:pPr>
          <w:hyperlink w:history="true" w:anchor="_bookmark66">
            <w:r>
              <w:rPr/>
              <w:t>Factores</w:t>
            </w:r>
            <w:r>
              <w:rPr>
                <w:spacing w:val="-6"/>
              </w:rPr>
              <w:t> </w:t>
            </w:r>
            <w:r>
              <w:rPr/>
              <w:t>Claves</w:t>
            </w:r>
            <w:r>
              <w:rPr>
                <w:spacing w:val="-4"/>
              </w:rPr>
              <w:t> </w:t>
            </w:r>
            <w:r>
              <w:rPr/>
              <w:t>de</w:t>
            </w:r>
            <w:r>
              <w:rPr>
                <w:spacing w:val="-6"/>
              </w:rPr>
              <w:t> </w:t>
            </w:r>
            <w:r>
              <w:rPr>
                <w:spacing w:val="-4"/>
              </w:rPr>
              <w:t>Éxito</w:t>
            </w:r>
            <w:r>
              <w:rPr/>
              <w:tab/>
            </w:r>
            <w:r>
              <w:rPr>
                <w:spacing w:val="-5"/>
              </w:rPr>
              <w:t>102</w:t>
            </w:r>
          </w:hyperlink>
        </w:p>
        <w:p>
          <w:pPr>
            <w:pStyle w:val="TOC4"/>
            <w:numPr>
              <w:ilvl w:val="1"/>
              <w:numId w:val="3"/>
            </w:numPr>
            <w:tabs>
              <w:tab w:pos="2152" w:val="left" w:leader="none"/>
              <w:tab w:pos="9837" w:val="left" w:leader="dot"/>
            </w:tabs>
            <w:spacing w:line="229" w:lineRule="exact" w:before="0" w:after="0"/>
            <w:ind w:left="2152" w:right="0" w:hanging="330"/>
            <w:jc w:val="left"/>
          </w:pPr>
          <w:hyperlink w:history="true" w:anchor="_bookmark67">
            <w:r>
              <w:rPr/>
              <w:t>Población</w:t>
            </w:r>
            <w:r>
              <w:rPr>
                <w:spacing w:val="-14"/>
              </w:rPr>
              <w:t> </w:t>
            </w:r>
            <w:r>
              <w:rPr>
                <w:spacing w:val="-2"/>
              </w:rPr>
              <w:t>Objetivo</w:t>
            </w:r>
            <w:r>
              <w:rPr/>
              <w:tab/>
            </w:r>
            <w:r>
              <w:rPr>
                <w:spacing w:val="-5"/>
              </w:rPr>
              <w:t>103</w:t>
            </w:r>
          </w:hyperlink>
        </w:p>
        <w:p>
          <w:pPr>
            <w:pStyle w:val="TOC4"/>
            <w:numPr>
              <w:ilvl w:val="1"/>
              <w:numId w:val="3"/>
            </w:numPr>
            <w:tabs>
              <w:tab w:pos="2153" w:val="left" w:leader="none"/>
              <w:tab w:pos="9837" w:val="left" w:leader="dot"/>
            </w:tabs>
            <w:spacing w:line="229" w:lineRule="exact" w:before="0" w:after="0"/>
            <w:ind w:left="2153" w:right="0" w:hanging="331"/>
            <w:jc w:val="left"/>
          </w:pPr>
          <w:hyperlink w:history="true" w:anchor="_bookmark68">
            <w:r>
              <w:rPr/>
              <w:t>Plan</w:t>
            </w:r>
            <w:r>
              <w:rPr>
                <w:spacing w:val="-8"/>
              </w:rPr>
              <w:t> </w:t>
            </w:r>
            <w:r>
              <w:rPr/>
              <w:t>Nacional</w:t>
            </w:r>
            <w:r>
              <w:rPr>
                <w:spacing w:val="-7"/>
              </w:rPr>
              <w:t> </w:t>
            </w:r>
            <w:r>
              <w:rPr/>
              <w:t>de</w:t>
            </w:r>
            <w:r>
              <w:rPr>
                <w:spacing w:val="-9"/>
              </w:rPr>
              <w:t> </w:t>
            </w:r>
            <w:r>
              <w:rPr/>
              <w:t>Desarrollo</w:t>
            </w:r>
            <w:r>
              <w:rPr>
                <w:spacing w:val="-5"/>
              </w:rPr>
              <w:t> </w:t>
            </w:r>
            <w:r>
              <w:rPr/>
              <w:t>e</w:t>
            </w:r>
            <w:r>
              <w:rPr>
                <w:spacing w:val="-9"/>
              </w:rPr>
              <w:t> </w:t>
            </w:r>
            <w:r>
              <w:rPr/>
              <w:t>Inversión</w:t>
            </w:r>
            <w:r>
              <w:rPr>
                <w:spacing w:val="-7"/>
              </w:rPr>
              <w:t> </w:t>
            </w:r>
            <w:r>
              <w:rPr/>
              <w:t>Pública</w:t>
            </w:r>
            <w:r>
              <w:rPr>
                <w:spacing w:val="-8"/>
              </w:rPr>
              <w:t> </w:t>
            </w:r>
            <w:r>
              <w:rPr/>
              <w:t>2027-</w:t>
            </w:r>
            <w:r>
              <w:rPr>
                <w:spacing w:val="-4"/>
              </w:rPr>
              <w:t>2030</w:t>
            </w:r>
            <w:r>
              <w:rPr/>
              <w:tab/>
            </w:r>
            <w:r>
              <w:rPr>
                <w:spacing w:val="-5"/>
              </w:rPr>
              <w:t>103</w:t>
            </w:r>
          </w:hyperlink>
        </w:p>
        <w:p>
          <w:pPr>
            <w:pStyle w:val="TOC1"/>
            <w:numPr>
              <w:ilvl w:val="0"/>
              <w:numId w:val="1"/>
            </w:numPr>
            <w:tabs>
              <w:tab w:pos="1432" w:val="left" w:leader="none"/>
              <w:tab w:pos="9846" w:val="left" w:leader="dot"/>
            </w:tabs>
            <w:spacing w:line="240" w:lineRule="auto" w:before="0" w:after="0"/>
            <w:ind w:left="1432" w:right="0" w:hanging="220"/>
            <w:jc w:val="left"/>
          </w:pPr>
          <w:hyperlink w:history="true" w:anchor="_bookmark70">
            <w:r>
              <w:rPr/>
              <w:t>Vinculación</w:t>
            </w:r>
            <w:r>
              <w:rPr>
                <w:spacing w:val="-9"/>
              </w:rPr>
              <w:t> </w:t>
            </w:r>
            <w:r>
              <w:rPr/>
              <w:t>Plan</w:t>
            </w:r>
            <w:r>
              <w:rPr>
                <w:spacing w:val="-9"/>
              </w:rPr>
              <w:t> </w:t>
            </w:r>
            <w:r>
              <w:rPr>
                <w:spacing w:val="-2"/>
              </w:rPr>
              <w:t>Presupuesto</w:t>
            </w:r>
            <w:r>
              <w:rPr/>
              <w:tab/>
            </w:r>
            <w:r>
              <w:rPr>
                <w:spacing w:val="-5"/>
              </w:rPr>
              <w:t>105</w:t>
            </w:r>
          </w:hyperlink>
        </w:p>
        <w:p>
          <w:pPr>
            <w:pStyle w:val="TOC4"/>
            <w:numPr>
              <w:ilvl w:val="1"/>
              <w:numId w:val="1"/>
            </w:numPr>
            <w:tabs>
              <w:tab w:pos="2150" w:val="left" w:leader="none"/>
              <w:tab w:pos="9837" w:val="left" w:leader="dot"/>
            </w:tabs>
            <w:spacing w:line="240" w:lineRule="auto" w:before="1" w:after="0"/>
            <w:ind w:left="1822" w:right="1709" w:firstLine="0"/>
            <w:jc w:val="left"/>
          </w:pPr>
          <w:hyperlink w:history="true" w:anchor="_bookmark71">
            <w:r>
              <w:rPr/>
              <w:t>Matriz de Gestión para Resultados de Desarrollo (GpRD) del Programa protección y</w:t>
            </w:r>
          </w:hyperlink>
          <w:r>
            <w:rPr/>
            <w:t> </w:t>
          </w:r>
          <w:hyperlink w:history="true" w:anchor="_bookmark71">
            <w:r>
              <w:rPr/>
              <w:t>Promoción Social</w:t>
            </w:r>
            <w:r>
              <w:rPr/>
              <w:tab/>
            </w:r>
            <w:r>
              <w:rPr>
                <w:spacing w:val="-4"/>
              </w:rPr>
              <w:t>105</w:t>
            </w:r>
          </w:hyperlink>
        </w:p>
        <w:p>
          <w:pPr>
            <w:pStyle w:val="TOC4"/>
            <w:numPr>
              <w:ilvl w:val="1"/>
              <w:numId w:val="1"/>
            </w:numPr>
            <w:tabs>
              <w:tab w:pos="2150" w:val="left" w:leader="none"/>
              <w:tab w:pos="9837" w:val="left" w:leader="dot"/>
            </w:tabs>
            <w:spacing w:line="240" w:lineRule="auto" w:before="1" w:after="0"/>
            <w:ind w:left="2150" w:right="0" w:hanging="328"/>
            <w:jc w:val="left"/>
          </w:pPr>
          <w:hyperlink w:history="true" w:anchor="_bookmark72">
            <w:r>
              <w:rPr/>
              <w:t>Matriz</w:t>
            </w:r>
            <w:r>
              <w:rPr>
                <w:spacing w:val="-8"/>
              </w:rPr>
              <w:t> </w:t>
            </w:r>
            <w:r>
              <w:rPr/>
              <w:t>de</w:t>
            </w:r>
            <w:r>
              <w:rPr>
                <w:spacing w:val="-9"/>
              </w:rPr>
              <w:t> </w:t>
            </w:r>
            <w:r>
              <w:rPr/>
              <w:t>Trimestralización</w:t>
            </w:r>
            <w:r>
              <w:rPr>
                <w:spacing w:val="-8"/>
              </w:rPr>
              <w:t> </w:t>
            </w:r>
            <w:r>
              <w:rPr/>
              <w:t>del</w:t>
            </w:r>
            <w:r>
              <w:rPr>
                <w:spacing w:val="-10"/>
              </w:rPr>
              <w:t> </w:t>
            </w:r>
            <w:r>
              <w:rPr/>
              <w:t>Programa</w:t>
            </w:r>
            <w:r>
              <w:rPr>
                <w:spacing w:val="-8"/>
              </w:rPr>
              <w:t> </w:t>
            </w:r>
            <w:r>
              <w:rPr/>
              <w:t>Protección</w:t>
            </w:r>
            <w:r>
              <w:rPr>
                <w:spacing w:val="-9"/>
              </w:rPr>
              <w:t> </w:t>
            </w:r>
            <w:r>
              <w:rPr/>
              <w:t>y</w:t>
            </w:r>
            <w:r>
              <w:rPr>
                <w:spacing w:val="-8"/>
              </w:rPr>
              <w:t> </w:t>
            </w:r>
            <w:r>
              <w:rPr/>
              <w:t>Promoción</w:t>
            </w:r>
            <w:r>
              <w:rPr>
                <w:spacing w:val="-9"/>
              </w:rPr>
              <w:t> </w:t>
            </w:r>
            <w:r>
              <w:rPr>
                <w:spacing w:val="-2"/>
              </w:rPr>
              <w:t>Social</w:t>
            </w:r>
            <w:r>
              <w:rPr/>
              <w:tab/>
            </w:r>
            <w:r>
              <w:rPr>
                <w:spacing w:val="-5"/>
              </w:rPr>
              <w:t>114</w:t>
            </w:r>
          </w:hyperlink>
        </w:p>
        <w:p>
          <w:pPr>
            <w:pStyle w:val="TOC4"/>
            <w:numPr>
              <w:ilvl w:val="1"/>
              <w:numId w:val="1"/>
            </w:numPr>
            <w:tabs>
              <w:tab w:pos="2150" w:val="left" w:leader="none"/>
              <w:tab w:pos="9837" w:val="left" w:leader="dot"/>
            </w:tabs>
            <w:spacing w:line="240" w:lineRule="auto" w:before="1" w:after="0"/>
            <w:ind w:left="1822" w:right="1709" w:firstLine="0"/>
            <w:jc w:val="left"/>
          </w:pPr>
          <w:hyperlink w:history="true" w:anchor="_bookmark73">
            <w:r>
              <w:rPr/>
              <w:t>Matriz de Gestión para Resultados de Desarrollo (GpRD) del Programa Actividades</w:t>
            </w:r>
          </w:hyperlink>
          <w:r>
            <w:rPr/>
            <w:t> </w:t>
          </w:r>
          <w:hyperlink w:history="true" w:anchor="_bookmark73">
            <w:r>
              <w:rPr>
                <w:spacing w:val="-2"/>
              </w:rPr>
              <w:t>Centrales</w:t>
            </w:r>
            <w:r>
              <w:rPr/>
              <w:tab/>
            </w:r>
            <w:r>
              <w:rPr>
                <w:spacing w:val="-4"/>
              </w:rPr>
              <w:t>126</w:t>
            </w:r>
          </w:hyperlink>
        </w:p>
        <w:p>
          <w:pPr>
            <w:pStyle w:val="TOC4"/>
            <w:numPr>
              <w:ilvl w:val="1"/>
              <w:numId w:val="1"/>
            </w:numPr>
            <w:tabs>
              <w:tab w:pos="2150" w:val="left" w:leader="none"/>
              <w:tab w:pos="9837" w:val="left" w:leader="dot"/>
            </w:tabs>
            <w:spacing w:line="228" w:lineRule="exact" w:before="0" w:after="0"/>
            <w:ind w:left="2150" w:right="0" w:hanging="328"/>
            <w:jc w:val="left"/>
          </w:pPr>
          <w:hyperlink w:history="true" w:anchor="_bookmark74">
            <w:r>
              <w:rPr/>
              <w:t>Matriz</w:t>
            </w:r>
            <w:r>
              <w:rPr>
                <w:spacing w:val="-9"/>
              </w:rPr>
              <w:t> </w:t>
            </w:r>
            <w:r>
              <w:rPr/>
              <w:t>de</w:t>
            </w:r>
            <w:r>
              <w:rPr>
                <w:spacing w:val="-10"/>
              </w:rPr>
              <w:t> </w:t>
            </w:r>
            <w:r>
              <w:rPr/>
              <w:t>Trimestralización</w:t>
            </w:r>
            <w:r>
              <w:rPr>
                <w:spacing w:val="-8"/>
              </w:rPr>
              <w:t> </w:t>
            </w:r>
            <w:r>
              <w:rPr/>
              <w:t>del</w:t>
            </w:r>
            <w:r>
              <w:rPr>
                <w:spacing w:val="-11"/>
              </w:rPr>
              <w:t> </w:t>
            </w:r>
            <w:r>
              <w:rPr/>
              <w:t>Programa</w:t>
            </w:r>
            <w:r>
              <w:rPr>
                <w:spacing w:val="-9"/>
              </w:rPr>
              <w:t> </w:t>
            </w:r>
            <w:r>
              <w:rPr/>
              <w:t>Actividades</w:t>
            </w:r>
            <w:r>
              <w:rPr>
                <w:spacing w:val="-9"/>
              </w:rPr>
              <w:t> </w:t>
            </w:r>
            <w:r>
              <w:rPr>
                <w:spacing w:val="-2"/>
              </w:rPr>
              <w:t>Centrales</w:t>
            </w:r>
            <w:r>
              <w:rPr/>
              <w:tab/>
            </w:r>
            <w:r>
              <w:rPr>
                <w:spacing w:val="-5"/>
              </w:rPr>
              <w:t>142</w:t>
            </w:r>
          </w:hyperlink>
        </w:p>
        <w:p>
          <w:pPr>
            <w:pStyle w:val="TOC4"/>
            <w:numPr>
              <w:ilvl w:val="1"/>
              <w:numId w:val="1"/>
            </w:numPr>
            <w:tabs>
              <w:tab w:pos="2150" w:val="left" w:leader="none"/>
              <w:tab w:pos="9837" w:val="left" w:leader="dot"/>
            </w:tabs>
            <w:spacing w:line="240" w:lineRule="auto" w:before="0" w:after="0"/>
            <w:ind w:left="1822" w:right="1709" w:firstLine="0"/>
            <w:jc w:val="left"/>
          </w:pPr>
          <w:hyperlink w:history="true" w:anchor="_bookmark75">
            <w:r>
              <w:rPr/>
              <w:t>Matriz de Gestión para Resultados de Desarrollo (GpRD) del Programa Empresas</w:t>
            </w:r>
          </w:hyperlink>
          <w:r>
            <w:rPr/>
            <w:t> </w:t>
          </w:r>
          <w:hyperlink w:history="true" w:anchor="_bookmark75">
            <w:r>
              <w:rPr>
                <w:spacing w:val="-2"/>
              </w:rPr>
              <w:t>Comerciales</w:t>
            </w:r>
            <w:r>
              <w:rPr/>
              <w:tab/>
            </w:r>
            <w:r>
              <w:rPr>
                <w:spacing w:val="-4"/>
              </w:rPr>
              <w:t>156</w:t>
            </w:r>
          </w:hyperlink>
        </w:p>
        <w:p>
          <w:pPr>
            <w:pStyle w:val="TOC4"/>
            <w:numPr>
              <w:ilvl w:val="1"/>
              <w:numId w:val="1"/>
            </w:numPr>
            <w:tabs>
              <w:tab w:pos="2150" w:val="left" w:leader="none"/>
              <w:tab w:pos="9837" w:val="left" w:leader="dot"/>
            </w:tabs>
            <w:spacing w:line="240" w:lineRule="auto" w:before="1" w:after="0"/>
            <w:ind w:left="2150" w:right="0" w:hanging="328"/>
            <w:jc w:val="left"/>
          </w:pPr>
          <w:hyperlink w:history="true" w:anchor="_bookmark76">
            <w:r>
              <w:rPr/>
              <w:t>Matriz</w:t>
            </w:r>
            <w:r>
              <w:rPr>
                <w:spacing w:val="-9"/>
              </w:rPr>
              <w:t> </w:t>
            </w:r>
            <w:r>
              <w:rPr/>
              <w:t>de</w:t>
            </w:r>
            <w:r>
              <w:rPr>
                <w:spacing w:val="-9"/>
              </w:rPr>
              <w:t> </w:t>
            </w:r>
            <w:r>
              <w:rPr/>
              <w:t>Trimestralización</w:t>
            </w:r>
            <w:r>
              <w:rPr>
                <w:spacing w:val="-9"/>
              </w:rPr>
              <w:t> </w:t>
            </w:r>
            <w:r>
              <w:rPr/>
              <w:t>del</w:t>
            </w:r>
            <w:r>
              <w:rPr>
                <w:spacing w:val="-10"/>
              </w:rPr>
              <w:t> </w:t>
            </w:r>
            <w:r>
              <w:rPr/>
              <w:t>Programa</w:t>
            </w:r>
            <w:r>
              <w:rPr>
                <w:spacing w:val="-9"/>
              </w:rPr>
              <w:t> </w:t>
            </w:r>
            <w:r>
              <w:rPr/>
              <w:t>Empresas</w:t>
            </w:r>
            <w:r>
              <w:rPr>
                <w:spacing w:val="-9"/>
              </w:rPr>
              <w:t> </w:t>
            </w:r>
            <w:r>
              <w:rPr>
                <w:spacing w:val="-2"/>
              </w:rPr>
              <w:t>Comerciales</w:t>
            </w:r>
            <w:r>
              <w:rPr/>
              <w:tab/>
            </w:r>
            <w:r>
              <w:rPr>
                <w:spacing w:val="-5"/>
              </w:rPr>
              <w:t>161</w:t>
            </w:r>
          </w:hyperlink>
        </w:p>
        <w:p>
          <w:pPr>
            <w:pStyle w:val="TOC1"/>
            <w:numPr>
              <w:ilvl w:val="0"/>
              <w:numId w:val="1"/>
            </w:numPr>
            <w:tabs>
              <w:tab w:pos="1432" w:val="left" w:leader="none"/>
              <w:tab w:pos="9846" w:val="left" w:leader="dot"/>
            </w:tabs>
            <w:spacing w:line="229" w:lineRule="exact" w:before="0" w:after="0"/>
            <w:ind w:left="1432" w:right="0" w:hanging="220"/>
            <w:jc w:val="left"/>
          </w:pPr>
          <w:hyperlink w:history="true" w:anchor="_bookmark77">
            <w:r>
              <w:rPr>
                <w:spacing w:val="-2"/>
              </w:rPr>
              <w:t>Anexos</w:t>
            </w:r>
            <w:r>
              <w:rPr/>
              <w:tab/>
            </w:r>
            <w:r>
              <w:rPr>
                <w:spacing w:val="-5"/>
              </w:rPr>
              <w:t>166</w:t>
            </w:r>
          </w:hyperlink>
        </w:p>
        <w:p>
          <w:pPr>
            <w:pStyle w:val="TOC2"/>
            <w:tabs>
              <w:tab w:pos="9846" w:val="left" w:leader="dot"/>
            </w:tabs>
            <w:spacing w:line="229" w:lineRule="exact" w:after="20"/>
          </w:pPr>
          <w:hyperlink w:history="true" w:anchor="_bookmark78">
            <w:r>
              <w:rPr/>
              <w:t>Anexo</w:t>
            </w:r>
            <w:r>
              <w:rPr>
                <w:spacing w:val="-8"/>
              </w:rPr>
              <w:t> </w:t>
            </w:r>
            <w:r>
              <w:rPr/>
              <w:t>I:</w:t>
            </w:r>
            <w:r>
              <w:rPr>
                <w:spacing w:val="-8"/>
              </w:rPr>
              <w:t> </w:t>
            </w:r>
            <w:r>
              <w:rPr/>
              <w:t>Acuerdo</w:t>
            </w:r>
            <w:r>
              <w:rPr>
                <w:spacing w:val="-9"/>
              </w:rPr>
              <w:t> </w:t>
            </w:r>
            <w:r>
              <w:rPr/>
              <w:t>del</w:t>
            </w:r>
            <w:r>
              <w:rPr>
                <w:spacing w:val="-10"/>
              </w:rPr>
              <w:t> </w:t>
            </w:r>
            <w:r>
              <w:rPr/>
              <w:t>Consejo</w:t>
            </w:r>
            <w:r>
              <w:rPr>
                <w:spacing w:val="-10"/>
              </w:rPr>
              <w:t> </w:t>
            </w:r>
            <w:r>
              <w:rPr/>
              <w:t>Directivo</w:t>
            </w:r>
            <w:r>
              <w:rPr>
                <w:spacing w:val="-9"/>
              </w:rPr>
              <w:t> </w:t>
            </w:r>
            <w:r>
              <w:rPr/>
              <w:t>Aprobación</w:t>
            </w:r>
            <w:r>
              <w:rPr>
                <w:spacing w:val="-9"/>
              </w:rPr>
              <w:t> </w:t>
            </w:r>
            <w:r>
              <w:rPr/>
              <w:t>POI/Presupuesto</w:t>
            </w:r>
            <w:r>
              <w:rPr>
                <w:spacing w:val="-8"/>
              </w:rPr>
              <w:t> </w:t>
            </w:r>
            <w:r>
              <w:rPr>
                <w:spacing w:val="-4"/>
              </w:rPr>
              <w:t>2027</w:t>
            </w:r>
            <w:r>
              <w:rPr/>
              <w:tab/>
            </w:r>
            <w:r>
              <w:rPr>
                <w:spacing w:val="-5"/>
              </w:rPr>
              <w:t>166</w:t>
            </w:r>
          </w:hyperlink>
        </w:p>
        <w:p>
          <w:pPr>
            <w:pStyle w:val="TOC2"/>
            <w:tabs>
              <w:tab w:pos="9846" w:val="left" w:leader="dot"/>
            </w:tabs>
            <w:spacing w:before="78"/>
            <w:ind w:left="1769" w:right="1700" w:hanging="557"/>
          </w:pPr>
          <w:hyperlink w:history="true" w:anchor="_bookmark79">
            <w:r>
              <w:rPr/>
              <w:t>Anexo II: Criterio de concordancia de MIDEPLAN y Dictamen de vinculación de la Matriz de</w:t>
            </w:r>
          </w:hyperlink>
          <w:r>
            <w:rPr/>
            <w:t> </w:t>
          </w:r>
          <w:hyperlink w:history="true" w:anchor="_bookmark79">
            <w:r>
              <w:rPr/>
              <w:t>Articulación Plan Presupuesto (MAPP 2027)</w:t>
            </w:r>
            <w:r>
              <w:rPr>
                <w:spacing w:val="40"/>
              </w:rPr>
              <w:t> </w:t>
            </w:r>
            <w:r>
              <w:rPr/>
              <w:t>por parte de la Ministra Rectora.</w:t>
            </w:r>
            <w:r>
              <w:rPr/>
              <w:tab/>
            </w:r>
            <w:r>
              <w:rPr>
                <w:spacing w:val="-4"/>
              </w:rPr>
              <w:t>167</w:t>
            </w:r>
          </w:hyperlink>
        </w:p>
        <w:p>
          <w:pPr>
            <w:pStyle w:val="TOC2"/>
            <w:tabs>
              <w:tab w:pos="9846" w:val="left" w:leader="dot"/>
            </w:tabs>
            <w:ind w:left="1769" w:right="1700" w:hanging="557"/>
          </w:pPr>
          <w:hyperlink w:history="true" w:anchor="_bookmark80">
            <w:r>
              <w:rPr/>
              <w:t>Anexo III: Guía Interna para la Verificación de Requisitos que Establece la Contraloría General de la</w:t>
            </w:r>
          </w:hyperlink>
          <w:r>
            <w:rPr/>
            <w:t> </w:t>
          </w:r>
          <w:hyperlink w:history="true" w:anchor="_bookmark80">
            <w:r>
              <w:rPr>
                <w:spacing w:val="-2"/>
              </w:rPr>
              <w:t>República</w:t>
            </w:r>
            <w:r>
              <w:rPr/>
              <w:tab/>
            </w:r>
            <w:r>
              <w:rPr>
                <w:spacing w:val="-5"/>
              </w:rPr>
              <w:t>171</w:t>
            </w:r>
          </w:hyperlink>
        </w:p>
        <w:p>
          <w:pPr>
            <w:pStyle w:val="TOC2"/>
            <w:tabs>
              <w:tab w:pos="9846" w:val="left" w:leader="dot"/>
            </w:tabs>
          </w:pPr>
          <w:hyperlink w:history="true" w:anchor="_bookmark81">
            <w:r>
              <w:rPr/>
              <w:t>Anexo</w:t>
            </w:r>
            <w:r>
              <w:rPr>
                <w:spacing w:val="-7"/>
              </w:rPr>
              <w:t> </w:t>
            </w:r>
            <w:r>
              <w:rPr/>
              <w:t>IV:</w:t>
            </w:r>
            <w:r>
              <w:rPr>
                <w:spacing w:val="-6"/>
              </w:rPr>
              <w:t> </w:t>
            </w:r>
            <w:r>
              <w:rPr/>
              <w:t>Oferta</w:t>
            </w:r>
            <w:r>
              <w:rPr>
                <w:spacing w:val="-6"/>
              </w:rPr>
              <w:t> </w:t>
            </w:r>
            <w:r>
              <w:rPr/>
              <w:t>programática</w:t>
            </w:r>
            <w:r>
              <w:rPr>
                <w:spacing w:val="-8"/>
              </w:rPr>
              <w:t> </w:t>
            </w:r>
            <w:r>
              <w:rPr/>
              <w:t>año</w:t>
            </w:r>
            <w:r>
              <w:rPr>
                <w:spacing w:val="-8"/>
              </w:rPr>
              <w:t> </w:t>
            </w:r>
            <w:r>
              <w:rPr>
                <w:spacing w:val="-4"/>
              </w:rPr>
              <w:t>2027</w:t>
            </w:r>
            <w:r>
              <w:rPr/>
              <w:tab/>
            </w:r>
            <w:r>
              <w:rPr>
                <w:spacing w:val="-5"/>
              </w:rPr>
              <w:t>177</w:t>
            </w:r>
          </w:hyperlink>
        </w:p>
        <w:p>
          <w:pPr>
            <w:pStyle w:val="TOC2"/>
            <w:tabs>
              <w:tab w:pos="9846" w:val="left" w:leader="dot"/>
            </w:tabs>
          </w:pPr>
          <w:hyperlink w:history="true" w:anchor="_bookmark82">
            <w:r>
              <w:rPr/>
              <w:t>Anexo</w:t>
            </w:r>
            <w:r>
              <w:rPr>
                <w:spacing w:val="-7"/>
              </w:rPr>
              <w:t> </w:t>
            </w:r>
            <w:r>
              <w:rPr/>
              <w:t>V:</w:t>
            </w:r>
            <w:r>
              <w:rPr>
                <w:spacing w:val="-8"/>
              </w:rPr>
              <w:t> </w:t>
            </w:r>
            <w:r>
              <w:rPr/>
              <w:t>Fichas</w:t>
            </w:r>
            <w:r>
              <w:rPr>
                <w:spacing w:val="-7"/>
              </w:rPr>
              <w:t> </w:t>
            </w:r>
            <w:r>
              <w:rPr/>
              <w:t>de</w:t>
            </w:r>
            <w:r>
              <w:rPr>
                <w:spacing w:val="-8"/>
              </w:rPr>
              <w:t> </w:t>
            </w:r>
            <w:r>
              <w:rPr/>
              <w:t>Indicadores</w:t>
            </w:r>
            <w:r>
              <w:rPr>
                <w:spacing w:val="-6"/>
              </w:rPr>
              <w:t> </w:t>
            </w:r>
            <w:r>
              <w:rPr/>
              <w:t>Programa</w:t>
            </w:r>
            <w:r>
              <w:rPr>
                <w:spacing w:val="-7"/>
              </w:rPr>
              <w:t> </w:t>
            </w:r>
            <w:r>
              <w:rPr/>
              <w:t>Protección</w:t>
            </w:r>
            <w:r>
              <w:rPr>
                <w:spacing w:val="-7"/>
              </w:rPr>
              <w:t> </w:t>
            </w:r>
            <w:r>
              <w:rPr/>
              <w:t>y</w:t>
            </w:r>
            <w:r>
              <w:rPr>
                <w:spacing w:val="-7"/>
              </w:rPr>
              <w:t> </w:t>
            </w:r>
            <w:r>
              <w:rPr/>
              <w:t>Promoción</w:t>
            </w:r>
            <w:r>
              <w:rPr>
                <w:spacing w:val="-7"/>
              </w:rPr>
              <w:t> </w:t>
            </w:r>
            <w:r>
              <w:rPr>
                <w:spacing w:val="-2"/>
              </w:rPr>
              <w:t>Social</w:t>
            </w:r>
            <w:r>
              <w:rPr/>
              <w:tab/>
            </w:r>
            <w:r>
              <w:rPr>
                <w:spacing w:val="-5"/>
              </w:rPr>
              <w:t>178</w:t>
            </w:r>
          </w:hyperlink>
        </w:p>
        <w:p>
          <w:pPr>
            <w:pStyle w:val="TOC2"/>
            <w:tabs>
              <w:tab w:pos="9846" w:val="left" w:leader="dot"/>
            </w:tabs>
            <w:spacing w:line="229" w:lineRule="exact"/>
          </w:pPr>
          <w:hyperlink w:history="true" w:anchor="_bookmark83">
            <w:r>
              <w:rPr/>
              <w:t>Anexo</w:t>
            </w:r>
            <w:r>
              <w:rPr>
                <w:spacing w:val="-7"/>
              </w:rPr>
              <w:t> </w:t>
            </w:r>
            <w:r>
              <w:rPr/>
              <w:t>VI:</w:t>
            </w:r>
            <w:r>
              <w:rPr>
                <w:spacing w:val="-7"/>
              </w:rPr>
              <w:t> </w:t>
            </w:r>
            <w:r>
              <w:rPr/>
              <w:t>Fichas</w:t>
            </w:r>
            <w:r>
              <w:rPr>
                <w:spacing w:val="-7"/>
              </w:rPr>
              <w:t> </w:t>
            </w:r>
            <w:r>
              <w:rPr/>
              <w:t>de</w:t>
            </w:r>
            <w:r>
              <w:rPr>
                <w:spacing w:val="-9"/>
              </w:rPr>
              <w:t> </w:t>
            </w:r>
            <w:r>
              <w:rPr/>
              <w:t>Indicadores</w:t>
            </w:r>
            <w:r>
              <w:rPr>
                <w:spacing w:val="-7"/>
              </w:rPr>
              <w:t> </w:t>
            </w:r>
            <w:r>
              <w:rPr/>
              <w:t>Programa</w:t>
            </w:r>
            <w:r>
              <w:rPr>
                <w:spacing w:val="-9"/>
              </w:rPr>
              <w:t> </w:t>
            </w:r>
            <w:r>
              <w:rPr/>
              <w:t>Actividades</w:t>
            </w:r>
            <w:r>
              <w:rPr>
                <w:spacing w:val="-7"/>
              </w:rPr>
              <w:t> </w:t>
            </w:r>
            <w:r>
              <w:rPr>
                <w:spacing w:val="-2"/>
              </w:rPr>
              <w:t>Centrales</w:t>
            </w:r>
            <w:r>
              <w:rPr/>
              <w:tab/>
            </w:r>
            <w:r>
              <w:rPr>
                <w:spacing w:val="-5"/>
              </w:rPr>
              <w:t>198</w:t>
            </w:r>
          </w:hyperlink>
        </w:p>
        <w:p>
          <w:pPr>
            <w:pStyle w:val="TOC2"/>
            <w:tabs>
              <w:tab w:pos="9846" w:val="left" w:leader="dot"/>
            </w:tabs>
            <w:spacing w:line="229" w:lineRule="exact"/>
          </w:pPr>
          <w:hyperlink w:history="true" w:anchor="_bookmark84">
            <w:r>
              <w:rPr/>
              <w:t>Anexo</w:t>
            </w:r>
            <w:r>
              <w:rPr>
                <w:spacing w:val="-7"/>
              </w:rPr>
              <w:t> </w:t>
            </w:r>
            <w:r>
              <w:rPr/>
              <w:t>VII:</w:t>
            </w:r>
            <w:r>
              <w:rPr>
                <w:spacing w:val="-8"/>
              </w:rPr>
              <w:t> </w:t>
            </w:r>
            <w:r>
              <w:rPr/>
              <w:t>Fichas</w:t>
            </w:r>
            <w:r>
              <w:rPr>
                <w:spacing w:val="-6"/>
              </w:rPr>
              <w:t> </w:t>
            </w:r>
            <w:r>
              <w:rPr/>
              <w:t>de</w:t>
            </w:r>
            <w:r>
              <w:rPr>
                <w:spacing w:val="-9"/>
              </w:rPr>
              <w:t> </w:t>
            </w:r>
            <w:r>
              <w:rPr/>
              <w:t>Indicadores</w:t>
            </w:r>
            <w:r>
              <w:rPr>
                <w:spacing w:val="-7"/>
              </w:rPr>
              <w:t> </w:t>
            </w:r>
            <w:r>
              <w:rPr/>
              <w:t>Programa</w:t>
            </w:r>
            <w:r>
              <w:rPr>
                <w:spacing w:val="-9"/>
              </w:rPr>
              <w:t> </w:t>
            </w:r>
            <w:r>
              <w:rPr/>
              <w:t>Empresas</w:t>
            </w:r>
            <w:r>
              <w:rPr>
                <w:spacing w:val="-5"/>
              </w:rPr>
              <w:t> </w:t>
            </w:r>
            <w:r>
              <w:rPr>
                <w:spacing w:val="-2"/>
              </w:rPr>
              <w:t>Comerciales</w:t>
            </w:r>
            <w:r>
              <w:rPr/>
              <w:tab/>
            </w:r>
            <w:r>
              <w:rPr>
                <w:spacing w:val="-5"/>
              </w:rPr>
              <w:t>228</w:t>
            </w:r>
          </w:hyperlink>
        </w:p>
        <w:p>
          <w:pPr>
            <w:pStyle w:val="TOC2"/>
            <w:tabs>
              <w:tab w:pos="9846" w:val="left" w:leader="dot"/>
            </w:tabs>
            <w:spacing w:before="1"/>
          </w:pPr>
          <w:hyperlink w:history="true" w:anchor="_bookmark85">
            <w:r>
              <w:rPr/>
              <w:t>Anexo</w:t>
            </w:r>
            <w:r>
              <w:rPr>
                <w:spacing w:val="-6"/>
              </w:rPr>
              <w:t> </w:t>
            </w:r>
            <w:r>
              <w:rPr/>
              <w:t>VIII:</w:t>
            </w:r>
            <w:r>
              <w:rPr>
                <w:spacing w:val="-7"/>
              </w:rPr>
              <w:t> </w:t>
            </w:r>
            <w:r>
              <w:rPr/>
              <w:t>Listado</w:t>
            </w:r>
            <w:r>
              <w:rPr>
                <w:spacing w:val="-7"/>
              </w:rPr>
              <w:t> </w:t>
            </w:r>
            <w:r>
              <w:rPr/>
              <w:t>de</w:t>
            </w:r>
            <w:r>
              <w:rPr>
                <w:spacing w:val="-5"/>
              </w:rPr>
              <w:t> </w:t>
            </w:r>
            <w:r>
              <w:rPr/>
              <w:t>Sujetos</w:t>
            </w:r>
            <w:r>
              <w:rPr>
                <w:spacing w:val="-7"/>
              </w:rPr>
              <w:t> </w:t>
            </w:r>
            <w:r>
              <w:rPr/>
              <w:t>Privados</w:t>
            </w:r>
            <w:r>
              <w:rPr>
                <w:spacing w:val="-6"/>
              </w:rPr>
              <w:t> </w:t>
            </w:r>
            <w:r>
              <w:rPr/>
              <w:t>a</w:t>
            </w:r>
            <w:r>
              <w:rPr>
                <w:spacing w:val="-5"/>
              </w:rPr>
              <w:t> </w:t>
            </w:r>
            <w:r>
              <w:rPr/>
              <w:t>incorporar</w:t>
            </w:r>
            <w:r>
              <w:rPr>
                <w:spacing w:val="-6"/>
              </w:rPr>
              <w:t> </w:t>
            </w:r>
            <w:r>
              <w:rPr/>
              <w:t>en</w:t>
            </w:r>
            <w:r>
              <w:rPr>
                <w:spacing w:val="-8"/>
              </w:rPr>
              <w:t> </w:t>
            </w:r>
            <w:r>
              <w:rPr/>
              <w:t>el</w:t>
            </w:r>
            <w:r>
              <w:rPr>
                <w:spacing w:val="-6"/>
              </w:rPr>
              <w:t> </w:t>
            </w:r>
            <w:r>
              <w:rPr/>
              <w:t>Presupuesto</w:t>
            </w:r>
            <w:r>
              <w:rPr>
                <w:spacing w:val="-5"/>
              </w:rPr>
              <w:t> </w:t>
            </w:r>
            <w:r>
              <w:rPr/>
              <w:t>Ordinario</w:t>
            </w:r>
            <w:r>
              <w:rPr>
                <w:spacing w:val="-4"/>
              </w:rPr>
              <w:t> </w:t>
            </w:r>
            <w:r>
              <w:rPr/>
              <w:t>y</w:t>
            </w:r>
            <w:r>
              <w:rPr>
                <w:spacing w:val="-6"/>
              </w:rPr>
              <w:t> </w:t>
            </w:r>
            <w:r>
              <w:rPr/>
              <w:t>el</w:t>
            </w:r>
            <w:r>
              <w:rPr>
                <w:spacing w:val="-8"/>
              </w:rPr>
              <w:t> </w:t>
            </w:r>
            <w:r>
              <w:rPr/>
              <w:t>POI</w:t>
            </w:r>
            <w:r>
              <w:rPr>
                <w:spacing w:val="-5"/>
              </w:rPr>
              <w:t> </w:t>
            </w:r>
            <w:r>
              <w:rPr>
                <w:spacing w:val="-4"/>
              </w:rPr>
              <w:t>2027</w:t>
            </w:r>
            <w:r>
              <w:rPr/>
              <w:tab/>
            </w:r>
            <w:r>
              <w:rPr>
                <w:spacing w:val="-5"/>
              </w:rPr>
              <w:t>238</w:t>
            </w:r>
          </w:hyperlink>
        </w:p>
        <w:p>
          <w:pPr>
            <w:pStyle w:val="TOC2"/>
            <w:tabs>
              <w:tab w:pos="9846" w:val="left" w:leader="dot"/>
            </w:tabs>
          </w:pPr>
          <w:hyperlink w:history="true" w:anchor="_bookmark86">
            <w:r>
              <w:rPr/>
              <w:t>Anexo</w:t>
            </w:r>
            <w:r>
              <w:rPr>
                <w:spacing w:val="-5"/>
              </w:rPr>
              <w:t> </w:t>
            </w:r>
            <w:r>
              <w:rPr/>
              <w:t>IX:</w:t>
            </w:r>
            <w:r>
              <w:rPr>
                <w:spacing w:val="45"/>
              </w:rPr>
              <w:t> </w:t>
            </w:r>
            <w:r>
              <w:rPr/>
              <w:t>Certificación</w:t>
            </w:r>
            <w:r>
              <w:rPr>
                <w:spacing w:val="-6"/>
              </w:rPr>
              <w:t> </w:t>
            </w:r>
            <w:r>
              <w:rPr/>
              <w:t>de</w:t>
            </w:r>
            <w:r>
              <w:rPr>
                <w:spacing w:val="-6"/>
              </w:rPr>
              <w:t> </w:t>
            </w:r>
            <w:r>
              <w:rPr/>
              <w:t>Proyectos</w:t>
            </w:r>
            <w:r>
              <w:rPr>
                <w:spacing w:val="-5"/>
              </w:rPr>
              <w:t> </w:t>
            </w:r>
            <w:r>
              <w:rPr/>
              <w:t>Incluidos</w:t>
            </w:r>
            <w:r>
              <w:rPr>
                <w:spacing w:val="-6"/>
              </w:rPr>
              <w:t> </w:t>
            </w:r>
            <w:r>
              <w:rPr/>
              <w:t>en</w:t>
            </w:r>
            <w:r>
              <w:rPr>
                <w:spacing w:val="-5"/>
              </w:rPr>
              <w:t> </w:t>
            </w:r>
            <w:r>
              <w:rPr/>
              <w:t>el</w:t>
            </w:r>
            <w:r>
              <w:rPr>
                <w:spacing w:val="-7"/>
              </w:rPr>
              <w:t> </w:t>
            </w:r>
            <w:r>
              <w:rPr/>
              <w:t>Banco</w:t>
            </w:r>
            <w:r>
              <w:rPr>
                <w:spacing w:val="-6"/>
              </w:rPr>
              <w:t> </w:t>
            </w:r>
            <w:r>
              <w:rPr/>
              <w:t>de</w:t>
            </w:r>
            <w:r>
              <w:rPr>
                <w:spacing w:val="-7"/>
              </w:rPr>
              <w:t> </w:t>
            </w:r>
            <w:r>
              <w:rPr/>
              <w:t>Proyectos</w:t>
            </w:r>
            <w:r>
              <w:rPr>
                <w:spacing w:val="-6"/>
              </w:rPr>
              <w:t> </w:t>
            </w:r>
            <w:r>
              <w:rPr/>
              <w:t>de</w:t>
            </w:r>
            <w:r>
              <w:rPr>
                <w:spacing w:val="-7"/>
              </w:rPr>
              <w:t> </w:t>
            </w:r>
            <w:r>
              <w:rPr/>
              <w:t>Inversión</w:t>
            </w:r>
            <w:r>
              <w:rPr>
                <w:spacing w:val="-6"/>
              </w:rPr>
              <w:t> </w:t>
            </w:r>
            <w:r>
              <w:rPr>
                <w:spacing w:val="-2"/>
              </w:rPr>
              <w:t>Pública</w:t>
            </w:r>
            <w:r>
              <w:rPr/>
              <w:tab/>
            </w:r>
            <w:r>
              <w:rPr>
                <w:spacing w:val="-5"/>
              </w:rPr>
              <w:t>243</w:t>
            </w:r>
          </w:hyperlink>
        </w:p>
        <w:p>
          <w:pPr>
            <w:pStyle w:val="TOC2"/>
            <w:tabs>
              <w:tab w:pos="9846" w:val="left" w:leader="dot"/>
            </w:tabs>
          </w:pPr>
          <w:hyperlink w:history="true" w:anchor="_bookmark87">
            <w:r>
              <w:rPr/>
              <w:t>Anexo</w:t>
            </w:r>
            <w:r>
              <w:rPr>
                <w:spacing w:val="-5"/>
              </w:rPr>
              <w:t> </w:t>
            </w:r>
            <w:r>
              <w:rPr/>
              <w:t>X:</w:t>
            </w:r>
            <w:r>
              <w:rPr>
                <w:spacing w:val="-4"/>
              </w:rPr>
              <w:t> </w:t>
            </w:r>
            <w:r>
              <w:rPr/>
              <w:t>Proyectos</w:t>
            </w:r>
            <w:r>
              <w:rPr>
                <w:spacing w:val="-5"/>
              </w:rPr>
              <w:t> </w:t>
            </w:r>
            <w:r>
              <w:rPr/>
              <w:t>de</w:t>
            </w:r>
            <w:r>
              <w:rPr>
                <w:spacing w:val="-6"/>
              </w:rPr>
              <w:t> </w:t>
            </w:r>
            <w:r>
              <w:rPr/>
              <w:t>Obra</w:t>
            </w:r>
            <w:r>
              <w:rPr>
                <w:spacing w:val="-6"/>
              </w:rPr>
              <w:t> </w:t>
            </w:r>
            <w:r>
              <w:rPr/>
              <w:t>Pública</w:t>
            </w:r>
            <w:r>
              <w:rPr>
                <w:spacing w:val="-5"/>
              </w:rPr>
              <w:t> </w:t>
            </w:r>
            <w:r>
              <w:rPr/>
              <w:t>que</w:t>
            </w:r>
            <w:r>
              <w:rPr>
                <w:spacing w:val="-7"/>
              </w:rPr>
              <w:t> </w:t>
            </w:r>
            <w:r>
              <w:rPr/>
              <w:t>cumplen</w:t>
            </w:r>
            <w:r>
              <w:rPr>
                <w:spacing w:val="-7"/>
              </w:rPr>
              <w:t> </w:t>
            </w:r>
            <w:r>
              <w:rPr/>
              <w:t>con</w:t>
            </w:r>
            <w:r>
              <w:rPr>
                <w:spacing w:val="-4"/>
              </w:rPr>
              <w:t> </w:t>
            </w:r>
            <w:r>
              <w:rPr/>
              <w:t>la</w:t>
            </w:r>
            <w:r>
              <w:rPr>
                <w:spacing w:val="-4"/>
              </w:rPr>
              <w:t> </w:t>
            </w:r>
            <w:r>
              <w:rPr/>
              <w:t>etapa</w:t>
            </w:r>
            <w:r>
              <w:rPr>
                <w:spacing w:val="-6"/>
              </w:rPr>
              <w:t> </w:t>
            </w:r>
            <w:r>
              <w:rPr/>
              <w:t>de</w:t>
            </w:r>
            <w:r>
              <w:rPr>
                <w:spacing w:val="-6"/>
              </w:rPr>
              <w:t> </w:t>
            </w:r>
            <w:r>
              <w:rPr>
                <w:spacing w:val="-2"/>
              </w:rPr>
              <w:t>Preinversión</w:t>
            </w:r>
            <w:r>
              <w:rPr/>
              <w:tab/>
            </w:r>
            <w:r>
              <w:rPr>
                <w:spacing w:val="-5"/>
              </w:rPr>
              <w:t>244</w:t>
            </w:r>
          </w:hyperlink>
        </w:p>
        <w:p>
          <w:pPr>
            <w:pStyle w:val="TOC2"/>
            <w:spacing w:before="1"/>
          </w:pPr>
          <w:hyperlink w:history="true" w:anchor="_bookmark88">
            <w:r>
              <w:rPr/>
              <w:t>Anexo</w:t>
            </w:r>
            <w:r>
              <w:rPr>
                <w:spacing w:val="-5"/>
              </w:rPr>
              <w:t> </w:t>
            </w:r>
            <w:r>
              <w:rPr/>
              <w:t>XI:</w:t>
            </w:r>
            <w:r>
              <w:rPr>
                <w:spacing w:val="-5"/>
              </w:rPr>
              <w:t> </w:t>
            </w:r>
            <w:r>
              <w:rPr/>
              <w:t>Información</w:t>
            </w:r>
            <w:r>
              <w:rPr>
                <w:spacing w:val="-7"/>
              </w:rPr>
              <w:t> </w:t>
            </w:r>
            <w:r>
              <w:rPr/>
              <w:t>de</w:t>
            </w:r>
            <w:r>
              <w:rPr>
                <w:spacing w:val="-6"/>
              </w:rPr>
              <w:t> </w:t>
            </w:r>
            <w:r>
              <w:rPr/>
              <w:t>los</w:t>
            </w:r>
            <w:r>
              <w:rPr>
                <w:spacing w:val="-6"/>
              </w:rPr>
              <w:t> </w:t>
            </w:r>
            <w:r>
              <w:rPr/>
              <w:t>proyectos</w:t>
            </w:r>
            <w:r>
              <w:rPr>
                <w:spacing w:val="-5"/>
              </w:rPr>
              <w:t> </w:t>
            </w:r>
            <w:r>
              <w:rPr/>
              <w:t>de</w:t>
            </w:r>
            <w:r>
              <w:rPr>
                <w:spacing w:val="-8"/>
              </w:rPr>
              <w:t> </w:t>
            </w:r>
            <w:r>
              <w:rPr/>
              <w:t>Obra</w:t>
            </w:r>
            <w:r>
              <w:rPr>
                <w:spacing w:val="-4"/>
              </w:rPr>
              <w:t> </w:t>
            </w:r>
            <w:r>
              <w:rPr/>
              <w:t>Pública</w:t>
            </w:r>
            <w:r>
              <w:rPr>
                <w:spacing w:val="-7"/>
              </w:rPr>
              <w:t> </w:t>
            </w:r>
            <w:r>
              <w:rPr/>
              <w:t>incorporados</w:t>
            </w:r>
            <w:r>
              <w:rPr>
                <w:spacing w:val="-5"/>
              </w:rPr>
              <w:t> </w:t>
            </w:r>
            <w:r>
              <w:rPr/>
              <w:t>en</w:t>
            </w:r>
            <w:r>
              <w:rPr>
                <w:spacing w:val="-7"/>
              </w:rPr>
              <w:t> </w:t>
            </w:r>
            <w:r>
              <w:rPr/>
              <w:t>el</w:t>
            </w:r>
            <w:r>
              <w:rPr>
                <w:spacing w:val="-5"/>
              </w:rPr>
              <w:t> </w:t>
            </w:r>
            <w:r>
              <w:rPr/>
              <w:t>POI</w:t>
            </w:r>
            <w:r>
              <w:rPr>
                <w:spacing w:val="-5"/>
              </w:rPr>
              <w:t> </w:t>
            </w:r>
            <w:r>
              <w:rPr/>
              <w:t>y</w:t>
            </w:r>
            <w:r>
              <w:rPr>
                <w:spacing w:val="-5"/>
              </w:rPr>
              <w:t> </w:t>
            </w:r>
            <w:r>
              <w:rPr/>
              <w:t>Presupuesto</w:t>
            </w:r>
            <w:r>
              <w:rPr>
                <w:spacing w:val="-8"/>
              </w:rPr>
              <w:t> </w:t>
            </w:r>
            <w:r>
              <w:rPr>
                <w:spacing w:val="-2"/>
              </w:rPr>
              <w:t>2027.</w:t>
            </w:r>
          </w:hyperlink>
        </w:p>
        <w:p>
          <w:pPr>
            <w:pStyle w:val="TOC3"/>
            <w:tabs>
              <w:tab w:pos="9846" w:val="left" w:leader="dot"/>
            </w:tabs>
          </w:pPr>
          <w:hyperlink w:history="true" w:anchor="_bookmark88">
            <w:r>
              <w:rPr>
                <w:spacing w:val="-10"/>
              </w:rPr>
              <w:t>.</w:t>
            </w:r>
            <w:r>
              <w:rPr/>
              <w:tab/>
            </w:r>
            <w:r>
              <w:rPr>
                <w:spacing w:val="-5"/>
              </w:rPr>
              <w:t>245</w:t>
            </w:r>
          </w:hyperlink>
        </w:p>
      </w:sdtContent>
    </w:sdt>
    <w:p>
      <w:pPr>
        <w:pStyle w:val="TOC3"/>
        <w:spacing w:after="0"/>
        <w:sectPr>
          <w:type w:val="continuous"/>
          <w:pgSz w:w="12240" w:h="15840"/>
          <w:pgMar w:header="0" w:footer="1692" w:top="1340" w:bottom="1982" w:left="360" w:right="0"/>
        </w:sectPr>
      </w:pPr>
    </w:p>
    <w:p>
      <w:pPr>
        <w:pStyle w:val="BodyText"/>
        <w:rPr>
          <w:sz w:val="20"/>
        </w:rPr>
      </w:pPr>
    </w:p>
    <w:p>
      <w:pPr>
        <w:pStyle w:val="BodyText"/>
        <w:rPr>
          <w:sz w:val="20"/>
        </w:rPr>
      </w:pPr>
    </w:p>
    <w:p>
      <w:pPr>
        <w:pStyle w:val="BodyText"/>
        <w:spacing w:before="70"/>
        <w:rPr>
          <w:sz w:val="20"/>
        </w:rPr>
      </w:pPr>
    </w:p>
    <w:p>
      <w:pPr>
        <w:pStyle w:val="Heading5"/>
        <w:ind w:left="1342"/>
      </w:pPr>
      <w:r>
        <w:rPr/>
        <w:t>Índice</w:t>
      </w:r>
      <w:r>
        <w:rPr>
          <w:spacing w:val="-4"/>
        </w:rPr>
        <w:t> </w:t>
      </w:r>
      <w:r>
        <w:rPr/>
        <w:t>de</w:t>
      </w:r>
      <w:r>
        <w:rPr>
          <w:spacing w:val="-4"/>
        </w:rPr>
        <w:t> </w:t>
      </w:r>
      <w:r>
        <w:rPr>
          <w:spacing w:val="-2"/>
        </w:rPr>
        <w:t>Tablas</w:t>
      </w:r>
    </w:p>
    <w:p>
      <w:pPr>
        <w:pStyle w:val="BodyText"/>
        <w:rPr>
          <w:b/>
        </w:rPr>
      </w:pPr>
    </w:p>
    <w:p>
      <w:pPr>
        <w:tabs>
          <w:tab w:pos="9947" w:val="left" w:leader="none"/>
        </w:tabs>
        <w:spacing w:before="0"/>
        <w:ind w:left="1342" w:right="0" w:firstLine="0"/>
        <w:jc w:val="left"/>
        <w:rPr>
          <w:sz w:val="20"/>
        </w:rPr>
      </w:pPr>
      <w:hyperlink w:history="true" w:anchor="_bookmark3">
        <w:r>
          <w:rPr>
            <w:sz w:val="20"/>
          </w:rPr>
          <w:t>Tabla</w:t>
        </w:r>
        <w:r>
          <w:rPr>
            <w:spacing w:val="-5"/>
            <w:sz w:val="20"/>
          </w:rPr>
          <w:t> </w:t>
        </w:r>
        <w:r>
          <w:rPr>
            <w:sz w:val="20"/>
          </w:rPr>
          <w:t>1:</w:t>
        </w:r>
        <w:r>
          <w:rPr>
            <w:spacing w:val="-6"/>
            <w:sz w:val="20"/>
          </w:rPr>
          <w:t> </w:t>
        </w:r>
        <w:r>
          <w:rPr>
            <w:sz w:val="20"/>
          </w:rPr>
          <w:t>Nombres</w:t>
        </w:r>
        <w:r>
          <w:rPr>
            <w:spacing w:val="-4"/>
            <w:sz w:val="20"/>
          </w:rPr>
          <w:t> </w:t>
        </w:r>
        <w:r>
          <w:rPr>
            <w:sz w:val="20"/>
          </w:rPr>
          <w:t>y</w:t>
        </w:r>
        <w:r>
          <w:rPr>
            <w:spacing w:val="-5"/>
            <w:sz w:val="20"/>
          </w:rPr>
          <w:t> </w:t>
        </w:r>
        <w:r>
          <w:rPr>
            <w:sz w:val="20"/>
          </w:rPr>
          <w:t>cargos</w:t>
        </w:r>
        <w:r>
          <w:rPr>
            <w:spacing w:val="-5"/>
            <w:sz w:val="20"/>
          </w:rPr>
          <w:t> </w:t>
        </w:r>
        <w:r>
          <w:rPr>
            <w:sz w:val="20"/>
          </w:rPr>
          <w:t>de</w:t>
        </w:r>
        <w:r>
          <w:rPr>
            <w:spacing w:val="-5"/>
            <w:sz w:val="20"/>
          </w:rPr>
          <w:t> </w:t>
        </w:r>
        <w:r>
          <w:rPr>
            <w:sz w:val="20"/>
          </w:rPr>
          <w:t>la</w:t>
        </w:r>
        <w:r>
          <w:rPr>
            <w:spacing w:val="-6"/>
            <w:sz w:val="20"/>
          </w:rPr>
          <w:t> </w:t>
        </w:r>
        <w:r>
          <w:rPr>
            <w:sz w:val="20"/>
          </w:rPr>
          <w:t>Dirección</w:t>
        </w:r>
        <w:r>
          <w:rPr>
            <w:spacing w:val="-5"/>
            <w:sz w:val="20"/>
          </w:rPr>
          <w:t> </w:t>
        </w:r>
        <w:r>
          <w:rPr>
            <w:sz w:val="20"/>
          </w:rPr>
          <w:t>Superior</w:t>
        </w:r>
        <w:r>
          <w:rPr>
            <w:spacing w:val="-6"/>
            <w:sz w:val="20"/>
          </w:rPr>
          <w:t> </w:t>
        </w:r>
        <w:r>
          <w:rPr>
            <w:sz w:val="20"/>
          </w:rPr>
          <w:t>del</w:t>
        </w:r>
        <w:r>
          <w:rPr>
            <w:spacing w:val="-7"/>
            <w:sz w:val="20"/>
          </w:rPr>
          <w:t> </w:t>
        </w:r>
        <w:r>
          <w:rPr>
            <w:spacing w:val="-4"/>
            <w:sz w:val="20"/>
          </w:rPr>
          <w:t>IMAS</w:t>
        </w:r>
        <w:r>
          <w:rPr>
            <w:sz w:val="20"/>
          </w:rPr>
          <w:tab/>
        </w:r>
        <w:r>
          <w:rPr>
            <w:spacing w:val="-5"/>
            <w:sz w:val="20"/>
          </w:rPr>
          <w:t>39</w:t>
        </w:r>
      </w:hyperlink>
    </w:p>
    <w:p>
      <w:pPr>
        <w:tabs>
          <w:tab w:pos="9947" w:val="left" w:leader="none"/>
        </w:tabs>
        <w:spacing w:before="113"/>
        <w:ind w:left="1342" w:right="0" w:firstLine="0"/>
        <w:jc w:val="left"/>
        <w:rPr>
          <w:sz w:val="20"/>
        </w:rPr>
      </w:pPr>
      <w:hyperlink w:history="true" w:anchor="_bookmark5">
        <w:r>
          <w:rPr>
            <w:sz w:val="20"/>
          </w:rPr>
          <w:t>Tabla</w:t>
        </w:r>
        <w:r>
          <w:rPr>
            <w:spacing w:val="-5"/>
            <w:sz w:val="20"/>
          </w:rPr>
          <w:t> </w:t>
        </w:r>
        <w:r>
          <w:rPr>
            <w:sz w:val="20"/>
          </w:rPr>
          <w:t>2:</w:t>
        </w:r>
        <w:r>
          <w:rPr>
            <w:spacing w:val="-7"/>
            <w:sz w:val="20"/>
          </w:rPr>
          <w:t> </w:t>
        </w:r>
        <w:r>
          <w:rPr>
            <w:sz w:val="20"/>
          </w:rPr>
          <w:t>Nombre</w:t>
        </w:r>
        <w:r>
          <w:rPr>
            <w:spacing w:val="-7"/>
            <w:sz w:val="20"/>
          </w:rPr>
          <w:t> </w:t>
        </w:r>
        <w:r>
          <w:rPr>
            <w:sz w:val="20"/>
          </w:rPr>
          <w:t>y</w:t>
        </w:r>
        <w:r>
          <w:rPr>
            <w:spacing w:val="-6"/>
            <w:sz w:val="20"/>
          </w:rPr>
          <w:t> </w:t>
        </w:r>
        <w:r>
          <w:rPr>
            <w:sz w:val="20"/>
          </w:rPr>
          <w:t>cargos</w:t>
        </w:r>
        <w:r>
          <w:rPr>
            <w:spacing w:val="-4"/>
            <w:sz w:val="20"/>
          </w:rPr>
          <w:t> </w:t>
        </w:r>
        <w:r>
          <w:rPr>
            <w:sz w:val="20"/>
          </w:rPr>
          <w:t>de</w:t>
        </w:r>
        <w:r>
          <w:rPr>
            <w:spacing w:val="-8"/>
            <w:sz w:val="20"/>
          </w:rPr>
          <w:t> </w:t>
        </w:r>
        <w:r>
          <w:rPr>
            <w:sz w:val="20"/>
          </w:rPr>
          <w:t>las</w:t>
        </w:r>
        <w:r>
          <w:rPr>
            <w:spacing w:val="-6"/>
            <w:sz w:val="20"/>
          </w:rPr>
          <w:t> </w:t>
        </w:r>
        <w:r>
          <w:rPr>
            <w:sz w:val="20"/>
          </w:rPr>
          <w:t>personas</w:t>
        </w:r>
        <w:r>
          <w:rPr>
            <w:spacing w:val="-5"/>
            <w:sz w:val="20"/>
          </w:rPr>
          <w:t> </w:t>
        </w:r>
        <w:r>
          <w:rPr>
            <w:sz w:val="20"/>
          </w:rPr>
          <w:t>responsables</w:t>
        </w:r>
        <w:r>
          <w:rPr>
            <w:spacing w:val="-6"/>
            <w:sz w:val="20"/>
          </w:rPr>
          <w:t> </w:t>
        </w:r>
        <w:r>
          <w:rPr>
            <w:sz w:val="20"/>
          </w:rPr>
          <w:t>de</w:t>
        </w:r>
        <w:r>
          <w:rPr>
            <w:spacing w:val="-6"/>
            <w:sz w:val="20"/>
          </w:rPr>
          <w:t> </w:t>
        </w:r>
        <w:r>
          <w:rPr>
            <w:sz w:val="20"/>
          </w:rPr>
          <w:t>instancias</w:t>
        </w:r>
        <w:r>
          <w:rPr>
            <w:spacing w:val="-6"/>
            <w:sz w:val="20"/>
          </w:rPr>
          <w:t> </w:t>
        </w:r>
        <w:r>
          <w:rPr>
            <w:sz w:val="20"/>
          </w:rPr>
          <w:t>staff</w:t>
        </w:r>
        <w:r>
          <w:rPr>
            <w:spacing w:val="-5"/>
            <w:sz w:val="20"/>
          </w:rPr>
          <w:t> </w:t>
        </w:r>
        <w:r>
          <w:rPr>
            <w:sz w:val="20"/>
          </w:rPr>
          <w:t>del</w:t>
        </w:r>
        <w:r>
          <w:rPr>
            <w:spacing w:val="-8"/>
            <w:sz w:val="20"/>
          </w:rPr>
          <w:t> </w:t>
        </w:r>
        <w:r>
          <w:rPr>
            <w:spacing w:val="-4"/>
            <w:sz w:val="20"/>
          </w:rPr>
          <w:t>IMAS</w:t>
        </w:r>
        <w:r>
          <w:rPr>
            <w:sz w:val="20"/>
          </w:rPr>
          <w:tab/>
        </w:r>
        <w:r>
          <w:rPr>
            <w:spacing w:val="-5"/>
            <w:sz w:val="20"/>
          </w:rPr>
          <w:t>39</w:t>
        </w:r>
      </w:hyperlink>
    </w:p>
    <w:p>
      <w:pPr>
        <w:tabs>
          <w:tab w:pos="9947" w:val="left" w:leader="none"/>
        </w:tabs>
        <w:spacing w:line="360" w:lineRule="auto" w:before="116"/>
        <w:ind w:left="1824" w:right="1709" w:hanging="483"/>
        <w:jc w:val="left"/>
        <w:rPr>
          <w:sz w:val="20"/>
        </w:rPr>
      </w:pPr>
      <w:hyperlink w:history="true" w:anchor="_bookmark7">
        <w:r>
          <w:rPr>
            <w:sz w:val="20"/>
          </w:rPr>
          <w:t>Tabla 3: Nombres y cargos de personas responsables en la ejecución del Programa de Protección</w:t>
        </w:r>
      </w:hyperlink>
      <w:r>
        <w:rPr>
          <w:sz w:val="20"/>
        </w:rPr>
        <w:t> </w:t>
      </w:r>
      <w:hyperlink w:history="true" w:anchor="_bookmark7">
        <w:r>
          <w:rPr>
            <w:sz w:val="20"/>
          </w:rPr>
          <w:t>y</w:t>
        </w:r>
        <w:r>
          <w:rPr>
            <w:spacing w:val="-6"/>
            <w:sz w:val="20"/>
          </w:rPr>
          <w:t> </w:t>
        </w:r>
        <w:r>
          <w:rPr>
            <w:sz w:val="20"/>
          </w:rPr>
          <w:t>Promoción</w:t>
        </w:r>
        <w:r>
          <w:rPr>
            <w:spacing w:val="-5"/>
            <w:sz w:val="20"/>
          </w:rPr>
          <w:t> </w:t>
        </w:r>
        <w:r>
          <w:rPr>
            <w:sz w:val="20"/>
          </w:rPr>
          <w:t>Social,</w:t>
        </w:r>
        <w:r>
          <w:rPr>
            <w:spacing w:val="-4"/>
            <w:sz w:val="20"/>
          </w:rPr>
          <w:t> </w:t>
        </w:r>
        <w:r>
          <w:rPr>
            <w:sz w:val="20"/>
          </w:rPr>
          <w:t>a</w:t>
        </w:r>
        <w:r>
          <w:rPr>
            <w:spacing w:val="-7"/>
            <w:sz w:val="20"/>
          </w:rPr>
          <w:t> </w:t>
        </w:r>
        <w:r>
          <w:rPr>
            <w:sz w:val="20"/>
          </w:rPr>
          <w:t>nivel</w:t>
        </w:r>
        <w:r>
          <w:rPr>
            <w:spacing w:val="-5"/>
            <w:sz w:val="20"/>
          </w:rPr>
          <w:t> </w:t>
        </w:r>
        <w:r>
          <w:rPr>
            <w:spacing w:val="-2"/>
            <w:sz w:val="20"/>
          </w:rPr>
          <w:t>regional</w:t>
        </w:r>
        <w:r>
          <w:rPr>
            <w:sz w:val="20"/>
          </w:rPr>
          <w:tab/>
        </w:r>
        <w:r>
          <w:rPr>
            <w:spacing w:val="-5"/>
            <w:sz w:val="20"/>
          </w:rPr>
          <w:t>40</w:t>
        </w:r>
      </w:hyperlink>
    </w:p>
    <w:p>
      <w:pPr>
        <w:tabs>
          <w:tab w:pos="9947" w:val="left" w:leader="none"/>
        </w:tabs>
        <w:spacing w:before="1"/>
        <w:ind w:left="1342" w:right="0" w:firstLine="0"/>
        <w:jc w:val="left"/>
        <w:rPr>
          <w:sz w:val="20"/>
        </w:rPr>
      </w:pPr>
      <w:hyperlink w:history="true" w:anchor="_bookmark12">
        <w:r>
          <w:rPr>
            <w:sz w:val="20"/>
          </w:rPr>
          <w:t>Tabla</w:t>
        </w:r>
        <w:r>
          <w:rPr>
            <w:spacing w:val="-5"/>
            <w:sz w:val="20"/>
          </w:rPr>
          <w:t> </w:t>
        </w:r>
        <w:r>
          <w:rPr>
            <w:sz w:val="20"/>
          </w:rPr>
          <w:t>4:Valor</w:t>
        </w:r>
        <w:r>
          <w:rPr>
            <w:spacing w:val="-7"/>
            <w:sz w:val="20"/>
          </w:rPr>
          <w:t> </w:t>
        </w:r>
        <w:r>
          <w:rPr>
            <w:sz w:val="20"/>
          </w:rPr>
          <w:t>en</w:t>
        </w:r>
        <w:r>
          <w:rPr>
            <w:spacing w:val="-6"/>
            <w:sz w:val="20"/>
          </w:rPr>
          <w:t> </w:t>
        </w:r>
        <w:r>
          <w:rPr>
            <w:sz w:val="20"/>
          </w:rPr>
          <w:t>libros</w:t>
        </w:r>
        <w:r>
          <w:rPr>
            <w:spacing w:val="-5"/>
            <w:sz w:val="20"/>
          </w:rPr>
          <w:t> </w:t>
        </w:r>
        <w:r>
          <w:rPr>
            <w:sz w:val="20"/>
          </w:rPr>
          <w:t>total</w:t>
        </w:r>
        <w:r>
          <w:rPr>
            <w:spacing w:val="-5"/>
            <w:sz w:val="20"/>
          </w:rPr>
          <w:t> </w:t>
        </w:r>
        <w:r>
          <w:rPr>
            <w:sz w:val="20"/>
          </w:rPr>
          <w:t>de</w:t>
        </w:r>
        <w:r>
          <w:rPr>
            <w:spacing w:val="-8"/>
            <w:sz w:val="20"/>
          </w:rPr>
          <w:t> </w:t>
        </w:r>
        <w:r>
          <w:rPr>
            <w:sz w:val="20"/>
          </w:rPr>
          <w:t>activos</w:t>
        </w:r>
        <w:r>
          <w:rPr>
            <w:spacing w:val="-5"/>
            <w:sz w:val="20"/>
          </w:rPr>
          <w:t> </w:t>
        </w:r>
        <w:r>
          <w:rPr>
            <w:sz w:val="20"/>
          </w:rPr>
          <w:t>institucionales</w:t>
        </w:r>
        <w:r>
          <w:rPr>
            <w:spacing w:val="-4"/>
            <w:sz w:val="20"/>
          </w:rPr>
          <w:t> </w:t>
        </w:r>
        <w:r>
          <w:rPr>
            <w:sz w:val="20"/>
          </w:rPr>
          <w:t>al</w:t>
        </w:r>
        <w:r>
          <w:rPr>
            <w:spacing w:val="-8"/>
            <w:sz w:val="20"/>
          </w:rPr>
          <w:t> </w:t>
        </w:r>
        <w:r>
          <w:rPr>
            <w:sz w:val="20"/>
          </w:rPr>
          <w:t>31</w:t>
        </w:r>
        <w:r>
          <w:rPr>
            <w:spacing w:val="-4"/>
            <w:sz w:val="20"/>
          </w:rPr>
          <w:t> </w:t>
        </w:r>
        <w:r>
          <w:rPr>
            <w:sz w:val="20"/>
          </w:rPr>
          <w:t>de</w:t>
        </w:r>
        <w:r>
          <w:rPr>
            <w:spacing w:val="-6"/>
            <w:sz w:val="20"/>
          </w:rPr>
          <w:t> </w:t>
        </w:r>
        <w:r>
          <w:rPr>
            <w:sz w:val="20"/>
          </w:rPr>
          <w:t>diciembre</w:t>
        </w:r>
        <w:r>
          <w:rPr>
            <w:spacing w:val="-6"/>
            <w:sz w:val="20"/>
          </w:rPr>
          <w:t> </w:t>
        </w:r>
        <w:r>
          <w:rPr>
            <w:sz w:val="20"/>
          </w:rPr>
          <w:t>del</w:t>
        </w:r>
        <w:r>
          <w:rPr>
            <w:spacing w:val="-6"/>
            <w:sz w:val="20"/>
          </w:rPr>
          <w:t> </w:t>
        </w:r>
        <w:r>
          <w:rPr>
            <w:spacing w:val="-4"/>
            <w:sz w:val="20"/>
          </w:rPr>
          <w:t>2025</w:t>
        </w:r>
        <w:r>
          <w:rPr>
            <w:sz w:val="20"/>
          </w:rPr>
          <w:tab/>
        </w:r>
        <w:r>
          <w:rPr>
            <w:spacing w:val="-5"/>
            <w:sz w:val="20"/>
          </w:rPr>
          <w:t>43</w:t>
        </w:r>
      </w:hyperlink>
    </w:p>
    <w:p>
      <w:pPr>
        <w:tabs>
          <w:tab w:pos="9947" w:val="left" w:leader="none"/>
        </w:tabs>
        <w:spacing w:line="360" w:lineRule="auto" w:before="114"/>
        <w:ind w:left="1824" w:right="1709" w:hanging="483"/>
        <w:jc w:val="left"/>
        <w:rPr>
          <w:sz w:val="20"/>
        </w:rPr>
      </w:pPr>
      <w:hyperlink w:history="true" w:anchor="_bookmark14">
        <w:r>
          <w:rPr>
            <w:sz w:val="20"/>
          </w:rPr>
          <w:t>Tabla 5: Ingresos nominales reales según fuente de financiamiento en el año 2025 (en miles de</w:t>
        </w:r>
      </w:hyperlink>
      <w:r>
        <w:rPr>
          <w:sz w:val="20"/>
        </w:rPr>
        <w:t> </w:t>
      </w:r>
      <w:hyperlink w:history="true" w:anchor="_bookmark14">
        <w:r>
          <w:rPr>
            <w:spacing w:val="-2"/>
            <w:sz w:val="20"/>
          </w:rPr>
          <w:t>colones)</w:t>
        </w:r>
        <w:r>
          <w:rPr>
            <w:sz w:val="20"/>
          </w:rPr>
          <w:tab/>
        </w:r>
        <w:r>
          <w:rPr>
            <w:spacing w:val="-6"/>
            <w:sz w:val="20"/>
          </w:rPr>
          <w:t>46</w:t>
        </w:r>
      </w:hyperlink>
    </w:p>
    <w:p>
      <w:pPr>
        <w:tabs>
          <w:tab w:pos="9947" w:val="left" w:leader="none"/>
        </w:tabs>
        <w:spacing w:line="360" w:lineRule="auto" w:before="1"/>
        <w:ind w:left="1824" w:right="1709" w:hanging="483"/>
        <w:jc w:val="left"/>
        <w:rPr>
          <w:sz w:val="20"/>
        </w:rPr>
      </w:pPr>
      <w:hyperlink w:history="true" w:anchor="_bookmark15">
        <w:r>
          <w:rPr>
            <w:sz w:val="20"/>
          </w:rPr>
          <w:t>Tabla 6: Distribución del presupuesto institucional egresos reales y disponible presupuestario</w:t>
        </w:r>
      </w:hyperlink>
      <w:r>
        <w:rPr>
          <w:spacing w:val="40"/>
          <w:sz w:val="20"/>
        </w:rPr>
        <w:t> </w:t>
      </w:r>
      <w:hyperlink w:history="true" w:anchor="_bookmark15">
        <w:r>
          <w:rPr>
            <w:sz w:val="20"/>
          </w:rPr>
          <w:t>según</w:t>
        </w:r>
        <w:r>
          <w:rPr>
            <w:spacing w:val="-5"/>
            <w:sz w:val="20"/>
          </w:rPr>
          <w:t> </w:t>
        </w:r>
        <w:r>
          <w:rPr>
            <w:sz w:val="20"/>
          </w:rPr>
          <w:t>programa</w:t>
        </w:r>
        <w:r>
          <w:rPr>
            <w:spacing w:val="-6"/>
            <w:sz w:val="20"/>
          </w:rPr>
          <w:t> </w:t>
        </w:r>
        <w:r>
          <w:rPr>
            <w:sz w:val="20"/>
          </w:rPr>
          <w:t>en</w:t>
        </w:r>
        <w:r>
          <w:rPr>
            <w:spacing w:val="-6"/>
            <w:sz w:val="20"/>
          </w:rPr>
          <w:t> </w:t>
        </w:r>
        <w:r>
          <w:rPr>
            <w:sz w:val="20"/>
          </w:rPr>
          <w:t>el</w:t>
        </w:r>
        <w:r>
          <w:rPr>
            <w:spacing w:val="-6"/>
            <w:sz w:val="20"/>
          </w:rPr>
          <w:t> </w:t>
        </w:r>
        <w:r>
          <w:rPr>
            <w:sz w:val="20"/>
          </w:rPr>
          <w:t>año</w:t>
        </w:r>
        <w:r>
          <w:rPr>
            <w:spacing w:val="-5"/>
            <w:sz w:val="20"/>
          </w:rPr>
          <w:t> </w:t>
        </w:r>
        <w:r>
          <w:rPr>
            <w:sz w:val="20"/>
          </w:rPr>
          <w:t>2025</w:t>
        </w:r>
        <w:r>
          <w:rPr>
            <w:spacing w:val="-4"/>
            <w:sz w:val="20"/>
          </w:rPr>
          <w:t> </w:t>
        </w:r>
        <w:r>
          <w:rPr>
            <w:sz w:val="20"/>
          </w:rPr>
          <w:t>(en</w:t>
        </w:r>
        <w:r>
          <w:rPr>
            <w:spacing w:val="-5"/>
            <w:sz w:val="20"/>
          </w:rPr>
          <w:t> </w:t>
        </w:r>
        <w:r>
          <w:rPr>
            <w:sz w:val="20"/>
          </w:rPr>
          <w:t>miles</w:t>
        </w:r>
        <w:r>
          <w:rPr>
            <w:spacing w:val="-5"/>
            <w:sz w:val="20"/>
          </w:rPr>
          <w:t> </w:t>
        </w:r>
        <w:r>
          <w:rPr>
            <w:sz w:val="20"/>
          </w:rPr>
          <w:t>de</w:t>
        </w:r>
        <w:r>
          <w:rPr>
            <w:spacing w:val="-4"/>
            <w:sz w:val="20"/>
          </w:rPr>
          <w:t> </w:t>
        </w:r>
        <w:r>
          <w:rPr>
            <w:spacing w:val="-2"/>
            <w:sz w:val="20"/>
          </w:rPr>
          <w:t>colones)</w:t>
        </w:r>
        <w:r>
          <w:rPr>
            <w:sz w:val="20"/>
          </w:rPr>
          <w:tab/>
        </w:r>
        <w:r>
          <w:rPr>
            <w:spacing w:val="-5"/>
            <w:sz w:val="20"/>
          </w:rPr>
          <w:t>47</w:t>
        </w:r>
      </w:hyperlink>
    </w:p>
    <w:p>
      <w:pPr>
        <w:tabs>
          <w:tab w:pos="9947" w:val="left" w:leader="none"/>
        </w:tabs>
        <w:spacing w:line="229" w:lineRule="exact" w:before="0"/>
        <w:ind w:left="1342" w:right="0" w:firstLine="0"/>
        <w:jc w:val="left"/>
        <w:rPr>
          <w:sz w:val="20"/>
        </w:rPr>
      </w:pPr>
      <w:hyperlink w:history="true" w:anchor="_bookmark16">
        <w:r>
          <w:rPr>
            <w:sz w:val="20"/>
          </w:rPr>
          <w:t>Tabla</w:t>
        </w:r>
        <w:r>
          <w:rPr>
            <w:spacing w:val="-4"/>
            <w:sz w:val="20"/>
          </w:rPr>
          <w:t> </w:t>
        </w:r>
        <w:r>
          <w:rPr>
            <w:sz w:val="20"/>
          </w:rPr>
          <w:t>7:</w:t>
        </w:r>
        <w:r>
          <w:rPr>
            <w:spacing w:val="-5"/>
            <w:sz w:val="20"/>
          </w:rPr>
          <w:t> </w:t>
        </w:r>
        <w:r>
          <w:rPr>
            <w:sz w:val="20"/>
          </w:rPr>
          <w:t>Cantidad</w:t>
        </w:r>
        <w:r>
          <w:rPr>
            <w:spacing w:val="-7"/>
            <w:sz w:val="20"/>
          </w:rPr>
          <w:t> </w:t>
        </w:r>
        <w:r>
          <w:rPr>
            <w:sz w:val="20"/>
          </w:rPr>
          <w:t>de</w:t>
        </w:r>
        <w:r>
          <w:rPr>
            <w:spacing w:val="-5"/>
            <w:sz w:val="20"/>
          </w:rPr>
          <w:t> </w:t>
        </w:r>
        <w:r>
          <w:rPr>
            <w:sz w:val="20"/>
          </w:rPr>
          <w:t>Plazas</w:t>
        </w:r>
        <w:r>
          <w:rPr>
            <w:spacing w:val="-5"/>
            <w:sz w:val="20"/>
          </w:rPr>
          <w:t> </w:t>
        </w:r>
        <w:r>
          <w:rPr>
            <w:sz w:val="20"/>
          </w:rPr>
          <w:t>en</w:t>
        </w:r>
        <w:r>
          <w:rPr>
            <w:spacing w:val="-6"/>
            <w:sz w:val="20"/>
          </w:rPr>
          <w:t> </w:t>
        </w:r>
        <w:r>
          <w:rPr>
            <w:sz w:val="20"/>
          </w:rPr>
          <w:t>el</w:t>
        </w:r>
        <w:r>
          <w:rPr>
            <w:spacing w:val="-6"/>
            <w:sz w:val="20"/>
          </w:rPr>
          <w:t> </w:t>
        </w:r>
        <w:r>
          <w:rPr>
            <w:spacing w:val="-4"/>
            <w:sz w:val="20"/>
          </w:rPr>
          <w:t>IMAS</w:t>
        </w:r>
        <w:r>
          <w:rPr>
            <w:sz w:val="20"/>
          </w:rPr>
          <w:tab/>
        </w:r>
        <w:r>
          <w:rPr>
            <w:spacing w:val="-5"/>
            <w:sz w:val="20"/>
          </w:rPr>
          <w:t>48</w:t>
        </w:r>
      </w:hyperlink>
    </w:p>
    <w:p>
      <w:pPr>
        <w:tabs>
          <w:tab w:pos="9947" w:val="left" w:leader="none"/>
        </w:tabs>
        <w:spacing w:before="115"/>
        <w:ind w:left="1342" w:right="0" w:firstLine="0"/>
        <w:jc w:val="left"/>
        <w:rPr>
          <w:sz w:val="20"/>
        </w:rPr>
      </w:pPr>
      <w:hyperlink w:history="true" w:anchor="_bookmark27">
        <w:r>
          <w:rPr>
            <w:sz w:val="20"/>
          </w:rPr>
          <w:t>Tabla</w:t>
        </w:r>
        <w:r>
          <w:rPr>
            <w:spacing w:val="-7"/>
            <w:sz w:val="20"/>
          </w:rPr>
          <w:t> </w:t>
        </w:r>
        <w:r>
          <w:rPr>
            <w:sz w:val="20"/>
          </w:rPr>
          <w:t>8:</w:t>
        </w:r>
        <w:r>
          <w:rPr>
            <w:spacing w:val="-9"/>
            <w:sz w:val="20"/>
          </w:rPr>
          <w:t> </w:t>
        </w:r>
        <w:r>
          <w:rPr>
            <w:sz w:val="20"/>
          </w:rPr>
          <w:t>Costa</w:t>
        </w:r>
        <w:r>
          <w:rPr>
            <w:spacing w:val="-9"/>
            <w:sz w:val="20"/>
          </w:rPr>
          <w:t> </w:t>
        </w:r>
        <w:r>
          <w:rPr>
            <w:sz w:val="20"/>
          </w:rPr>
          <w:t>Rica:</w:t>
        </w:r>
        <w:r>
          <w:rPr>
            <w:spacing w:val="-8"/>
            <w:sz w:val="20"/>
          </w:rPr>
          <w:t> </w:t>
        </w:r>
        <w:r>
          <w:rPr>
            <w:sz w:val="20"/>
          </w:rPr>
          <w:t>Indicadores</w:t>
        </w:r>
        <w:r>
          <w:rPr>
            <w:spacing w:val="-8"/>
            <w:sz w:val="20"/>
          </w:rPr>
          <w:t> </w:t>
        </w:r>
        <w:r>
          <w:rPr>
            <w:sz w:val="20"/>
          </w:rPr>
          <w:t>macroeconómicos</w:t>
        </w:r>
        <w:r>
          <w:rPr>
            <w:spacing w:val="-7"/>
            <w:sz w:val="20"/>
          </w:rPr>
          <w:t> </w:t>
        </w:r>
        <w:r>
          <w:rPr>
            <w:sz w:val="20"/>
          </w:rPr>
          <w:t>y</w:t>
        </w:r>
        <w:r>
          <w:rPr>
            <w:spacing w:val="-6"/>
            <w:sz w:val="20"/>
          </w:rPr>
          <w:t> </w:t>
        </w:r>
        <w:r>
          <w:rPr>
            <w:sz w:val="20"/>
          </w:rPr>
          <w:t>sociales</w:t>
        </w:r>
        <w:r>
          <w:rPr>
            <w:spacing w:val="-8"/>
            <w:sz w:val="20"/>
          </w:rPr>
          <w:t> </w:t>
        </w:r>
        <w:r>
          <w:rPr>
            <w:spacing w:val="-2"/>
            <w:sz w:val="20"/>
          </w:rPr>
          <w:t>seleccionados,</w:t>
        </w:r>
        <w:r>
          <w:rPr>
            <w:sz w:val="20"/>
          </w:rPr>
          <w:tab/>
        </w:r>
        <w:r>
          <w:rPr>
            <w:spacing w:val="-5"/>
            <w:sz w:val="20"/>
          </w:rPr>
          <w:t>66</w:t>
        </w:r>
      </w:hyperlink>
    </w:p>
    <w:p>
      <w:pPr>
        <w:tabs>
          <w:tab w:pos="9947" w:val="left" w:leader="none"/>
        </w:tabs>
        <w:spacing w:line="357" w:lineRule="auto" w:before="116"/>
        <w:ind w:left="1824" w:right="1709" w:hanging="483"/>
        <w:jc w:val="left"/>
        <w:rPr>
          <w:sz w:val="20"/>
        </w:rPr>
      </w:pPr>
      <w:hyperlink w:history="true" w:anchor="_bookmark55">
        <w:r>
          <w:rPr>
            <w:sz w:val="20"/>
          </w:rPr>
          <w:t>Tabla 9: Comparación del Presupuesto ordinario de gasto periodo 2026 y 2027, según partidas en</w:t>
        </w:r>
      </w:hyperlink>
      <w:r>
        <w:rPr>
          <w:sz w:val="20"/>
        </w:rPr>
        <w:t> </w:t>
      </w:r>
      <w:hyperlink w:history="true" w:anchor="_bookmark55">
        <w:r>
          <w:rPr>
            <w:sz w:val="20"/>
          </w:rPr>
          <w:t>(Miles de colones)</w:t>
        </w:r>
        <w:r>
          <w:rPr>
            <w:sz w:val="20"/>
          </w:rPr>
          <w:tab/>
        </w:r>
        <w:r>
          <w:rPr>
            <w:spacing w:val="-6"/>
            <w:sz w:val="20"/>
          </w:rPr>
          <w:t>98</w:t>
        </w:r>
      </w:hyperlink>
    </w:p>
    <w:p>
      <w:pPr>
        <w:tabs>
          <w:tab w:pos="9947" w:val="left" w:leader="none"/>
        </w:tabs>
        <w:spacing w:line="360" w:lineRule="auto" w:before="4"/>
        <w:ind w:left="1824" w:right="1709" w:hanging="483"/>
        <w:jc w:val="left"/>
        <w:rPr>
          <w:sz w:val="20"/>
        </w:rPr>
      </w:pPr>
      <w:hyperlink w:history="true" w:anchor="_bookmark56">
        <w:r>
          <w:rPr>
            <w:sz w:val="20"/>
          </w:rPr>
          <w:t>Tabla 10: Comparación del Presupuesto ordinario de gasto periodo 2026 y 2027, según partidas</w:t>
        </w:r>
      </w:hyperlink>
      <w:r>
        <w:rPr>
          <w:sz w:val="20"/>
        </w:rPr>
        <w:t> </w:t>
      </w:r>
      <w:hyperlink w:history="true" w:anchor="_bookmark56">
        <w:r>
          <w:rPr>
            <w:sz w:val="20"/>
          </w:rPr>
          <w:t>Programa Protección y Promoción Social (Miles de colones)</w:t>
        </w:r>
        <w:r>
          <w:rPr>
            <w:sz w:val="20"/>
          </w:rPr>
          <w:tab/>
        </w:r>
        <w:r>
          <w:rPr>
            <w:spacing w:val="-6"/>
            <w:sz w:val="20"/>
          </w:rPr>
          <w:t>98</w:t>
        </w:r>
      </w:hyperlink>
    </w:p>
    <w:p>
      <w:pPr>
        <w:tabs>
          <w:tab w:pos="9947" w:val="left" w:leader="none"/>
        </w:tabs>
        <w:spacing w:line="357" w:lineRule="auto" w:before="1"/>
        <w:ind w:left="1824" w:right="1709" w:hanging="483"/>
        <w:jc w:val="left"/>
        <w:rPr>
          <w:sz w:val="20"/>
        </w:rPr>
      </w:pPr>
      <w:hyperlink w:history="true" w:anchor="_bookmark57">
        <w:r>
          <w:rPr>
            <w:sz w:val="20"/>
          </w:rPr>
          <w:t>Tabla 11:Comparación del Presupuesto ordinario de gasto periodo 2026 y 2027, según partidas</w:t>
        </w:r>
      </w:hyperlink>
      <w:r>
        <w:rPr>
          <w:sz w:val="20"/>
        </w:rPr>
        <w:t> </w:t>
      </w:r>
      <w:hyperlink w:history="true" w:anchor="_bookmark57">
        <w:r>
          <w:rPr>
            <w:sz w:val="20"/>
          </w:rPr>
          <w:t>Programa Actividades Centrales, Auditoria y Avancemos</w:t>
        </w:r>
        <w:r>
          <w:rPr>
            <w:sz w:val="20"/>
          </w:rPr>
          <w:tab/>
        </w:r>
        <w:r>
          <w:rPr>
            <w:spacing w:val="-6"/>
            <w:sz w:val="20"/>
          </w:rPr>
          <w:t>99</w:t>
        </w:r>
      </w:hyperlink>
    </w:p>
    <w:p>
      <w:pPr>
        <w:tabs>
          <w:tab w:pos="9947" w:val="left" w:leader="none"/>
        </w:tabs>
        <w:spacing w:line="362" w:lineRule="auto" w:before="3"/>
        <w:ind w:left="1824" w:right="1709" w:hanging="483"/>
        <w:jc w:val="left"/>
        <w:rPr>
          <w:sz w:val="20"/>
        </w:rPr>
      </w:pPr>
      <w:hyperlink w:history="true" w:anchor="_bookmark58">
        <w:r>
          <w:rPr>
            <w:sz w:val="20"/>
          </w:rPr>
          <w:t>Tabla 12: Comparación del Presupuesto ordinario de gasto periodo 2026 y 2027, según partidas</w:t>
        </w:r>
      </w:hyperlink>
      <w:r>
        <w:rPr>
          <w:sz w:val="20"/>
        </w:rPr>
        <w:t> </w:t>
      </w:r>
      <w:hyperlink w:history="true" w:anchor="_bookmark58">
        <w:r>
          <w:rPr>
            <w:sz w:val="20"/>
          </w:rPr>
          <w:t>Programa</w:t>
        </w:r>
        <w:r>
          <w:rPr>
            <w:spacing w:val="-8"/>
            <w:sz w:val="20"/>
          </w:rPr>
          <w:t> </w:t>
        </w:r>
        <w:r>
          <w:rPr>
            <w:sz w:val="20"/>
          </w:rPr>
          <w:t>Empresas</w:t>
        </w:r>
        <w:r>
          <w:rPr>
            <w:spacing w:val="-9"/>
            <w:sz w:val="20"/>
          </w:rPr>
          <w:t> </w:t>
        </w:r>
        <w:r>
          <w:rPr>
            <w:sz w:val="20"/>
          </w:rPr>
          <w:t>Comerciales</w:t>
        </w:r>
        <w:r>
          <w:rPr>
            <w:spacing w:val="-9"/>
            <w:sz w:val="20"/>
          </w:rPr>
          <w:t> </w:t>
        </w:r>
        <w:r>
          <w:rPr>
            <w:sz w:val="20"/>
          </w:rPr>
          <w:t>(Miles</w:t>
        </w:r>
        <w:r>
          <w:rPr>
            <w:spacing w:val="-9"/>
            <w:sz w:val="20"/>
          </w:rPr>
          <w:t> </w:t>
        </w:r>
        <w:r>
          <w:rPr>
            <w:sz w:val="20"/>
          </w:rPr>
          <w:t>de</w:t>
        </w:r>
        <w:r>
          <w:rPr>
            <w:spacing w:val="-10"/>
            <w:sz w:val="20"/>
          </w:rPr>
          <w:t> </w:t>
        </w:r>
        <w:r>
          <w:rPr>
            <w:spacing w:val="-2"/>
            <w:sz w:val="20"/>
          </w:rPr>
          <w:t>colones)</w:t>
        </w:r>
        <w:r>
          <w:rPr>
            <w:sz w:val="20"/>
          </w:rPr>
          <w:tab/>
        </w:r>
        <w:r>
          <w:rPr>
            <w:spacing w:val="-5"/>
            <w:sz w:val="20"/>
          </w:rPr>
          <w:t>99</w:t>
        </w:r>
      </w:hyperlink>
    </w:p>
    <w:p>
      <w:pPr>
        <w:tabs>
          <w:tab w:pos="9837" w:val="left" w:leader="none"/>
        </w:tabs>
        <w:spacing w:line="227" w:lineRule="exact" w:before="0"/>
        <w:ind w:left="1342" w:right="0" w:firstLine="0"/>
        <w:jc w:val="left"/>
        <w:rPr>
          <w:sz w:val="20"/>
        </w:rPr>
      </w:pPr>
      <w:hyperlink w:history="true" w:anchor="_bookmark69">
        <w:r>
          <w:rPr>
            <w:sz w:val="20"/>
          </w:rPr>
          <w:t>Tabla</w:t>
        </w:r>
        <w:r>
          <w:rPr>
            <w:spacing w:val="-6"/>
            <w:sz w:val="20"/>
          </w:rPr>
          <w:t> </w:t>
        </w:r>
        <w:r>
          <w:rPr>
            <w:sz w:val="20"/>
          </w:rPr>
          <w:t>13:</w:t>
        </w:r>
        <w:r>
          <w:rPr>
            <w:spacing w:val="-5"/>
            <w:sz w:val="20"/>
          </w:rPr>
          <w:t> </w:t>
        </w:r>
        <w:r>
          <w:rPr>
            <w:sz w:val="20"/>
          </w:rPr>
          <w:t>Compromisos</w:t>
        </w:r>
        <w:r>
          <w:rPr>
            <w:spacing w:val="-6"/>
            <w:sz w:val="20"/>
          </w:rPr>
          <w:t> </w:t>
        </w:r>
        <w:r>
          <w:rPr>
            <w:sz w:val="20"/>
          </w:rPr>
          <w:t>del</w:t>
        </w:r>
        <w:r>
          <w:rPr>
            <w:spacing w:val="-6"/>
            <w:sz w:val="20"/>
          </w:rPr>
          <w:t> </w:t>
        </w:r>
        <w:r>
          <w:rPr>
            <w:sz w:val="20"/>
          </w:rPr>
          <w:t>IMAS</w:t>
        </w:r>
        <w:r>
          <w:rPr>
            <w:spacing w:val="-7"/>
            <w:sz w:val="20"/>
          </w:rPr>
          <w:t> </w:t>
        </w:r>
        <w:r>
          <w:rPr>
            <w:sz w:val="20"/>
          </w:rPr>
          <w:t>en</w:t>
        </w:r>
        <w:r>
          <w:rPr>
            <w:spacing w:val="-7"/>
            <w:sz w:val="20"/>
          </w:rPr>
          <w:t> </w:t>
        </w:r>
        <w:r>
          <w:rPr>
            <w:sz w:val="20"/>
          </w:rPr>
          <w:t>el</w:t>
        </w:r>
        <w:r>
          <w:rPr>
            <w:spacing w:val="-6"/>
            <w:sz w:val="20"/>
          </w:rPr>
          <w:t> </w:t>
        </w:r>
        <w:r>
          <w:rPr>
            <w:sz w:val="20"/>
          </w:rPr>
          <w:t>Plan</w:t>
        </w:r>
        <w:r>
          <w:rPr>
            <w:spacing w:val="-7"/>
            <w:sz w:val="20"/>
          </w:rPr>
          <w:t> </w:t>
        </w:r>
        <w:r>
          <w:rPr>
            <w:sz w:val="20"/>
          </w:rPr>
          <w:t>Nacional</w:t>
        </w:r>
        <w:r>
          <w:rPr>
            <w:spacing w:val="-6"/>
            <w:sz w:val="20"/>
          </w:rPr>
          <w:t> </w:t>
        </w:r>
        <w:r>
          <w:rPr>
            <w:sz w:val="20"/>
          </w:rPr>
          <w:t>de</w:t>
        </w:r>
        <w:r>
          <w:rPr>
            <w:spacing w:val="-8"/>
            <w:sz w:val="20"/>
          </w:rPr>
          <w:t> </w:t>
        </w:r>
        <w:r>
          <w:rPr>
            <w:sz w:val="20"/>
          </w:rPr>
          <w:t>Desarrollo</w:t>
        </w:r>
        <w:r>
          <w:rPr>
            <w:spacing w:val="-7"/>
            <w:sz w:val="20"/>
          </w:rPr>
          <w:t> </w:t>
        </w:r>
        <w:r>
          <w:rPr>
            <w:sz w:val="20"/>
          </w:rPr>
          <w:t>2027-</w:t>
        </w:r>
        <w:r>
          <w:rPr>
            <w:spacing w:val="-4"/>
            <w:sz w:val="20"/>
          </w:rPr>
          <w:t>2030</w:t>
        </w:r>
        <w:r>
          <w:rPr>
            <w:sz w:val="20"/>
          </w:rPr>
          <w:tab/>
        </w:r>
        <w:r>
          <w:rPr>
            <w:spacing w:val="-5"/>
            <w:sz w:val="20"/>
          </w:rPr>
          <w:t>104</w:t>
        </w:r>
      </w:hyperlink>
    </w:p>
    <w:p>
      <w:pPr>
        <w:spacing w:after="0" w:line="227" w:lineRule="exact"/>
        <w:jc w:val="left"/>
        <w:rPr>
          <w:sz w:val="20"/>
        </w:rPr>
        <w:sectPr>
          <w:type w:val="continuous"/>
          <w:pgSz w:w="12240" w:h="15840"/>
          <w:pgMar w:header="0" w:footer="1692" w:top="1340" w:bottom="1760" w:left="360" w:right="0"/>
        </w:sectPr>
      </w:pPr>
    </w:p>
    <w:p>
      <w:pPr>
        <w:pStyle w:val="Heading5"/>
        <w:spacing w:before="79"/>
        <w:ind w:left="1342"/>
      </w:pPr>
      <w:r>
        <w:rPr/>
        <w:t>Índice</w:t>
      </w:r>
      <w:r>
        <w:rPr>
          <w:spacing w:val="-4"/>
        </w:rPr>
        <w:t> </w:t>
      </w:r>
      <w:r>
        <w:rPr/>
        <w:t>de</w:t>
      </w:r>
      <w:r>
        <w:rPr>
          <w:spacing w:val="-4"/>
        </w:rPr>
        <w:t> </w:t>
      </w:r>
      <w:r>
        <w:rPr>
          <w:spacing w:val="-2"/>
        </w:rPr>
        <w:t>Gráficos:</w:t>
      </w:r>
    </w:p>
    <w:p>
      <w:pPr>
        <w:tabs>
          <w:tab w:pos="9947" w:val="left" w:leader="none"/>
        </w:tabs>
        <w:spacing w:before="253"/>
        <w:ind w:left="1342" w:right="0" w:firstLine="0"/>
        <w:jc w:val="left"/>
        <w:rPr>
          <w:sz w:val="20"/>
        </w:rPr>
      </w:pPr>
      <w:hyperlink w:history="true" w:anchor="_bookmark13">
        <w:r>
          <w:rPr>
            <w:sz w:val="20"/>
          </w:rPr>
          <w:t>Gráfico</w:t>
        </w:r>
        <w:r>
          <w:rPr>
            <w:spacing w:val="-7"/>
            <w:sz w:val="20"/>
          </w:rPr>
          <w:t> </w:t>
        </w:r>
        <w:r>
          <w:rPr>
            <w:sz w:val="20"/>
          </w:rPr>
          <w:t>1:</w:t>
        </w:r>
        <w:r>
          <w:rPr>
            <w:spacing w:val="-5"/>
            <w:sz w:val="20"/>
          </w:rPr>
          <w:t> </w:t>
        </w:r>
        <w:r>
          <w:rPr>
            <w:sz w:val="20"/>
          </w:rPr>
          <w:t>Distribución</w:t>
        </w:r>
        <w:r>
          <w:rPr>
            <w:spacing w:val="-7"/>
            <w:sz w:val="20"/>
          </w:rPr>
          <w:t> </w:t>
        </w:r>
        <w:r>
          <w:rPr>
            <w:sz w:val="20"/>
          </w:rPr>
          <w:t>%</w:t>
        </w:r>
        <w:r>
          <w:rPr>
            <w:spacing w:val="-5"/>
            <w:sz w:val="20"/>
          </w:rPr>
          <w:t> </w:t>
        </w:r>
        <w:r>
          <w:rPr>
            <w:sz w:val="20"/>
          </w:rPr>
          <w:t>de</w:t>
        </w:r>
        <w:r>
          <w:rPr>
            <w:spacing w:val="-7"/>
            <w:sz w:val="20"/>
          </w:rPr>
          <w:t> </w:t>
        </w:r>
        <w:r>
          <w:rPr>
            <w:sz w:val="20"/>
          </w:rPr>
          <w:t>los</w:t>
        </w:r>
        <w:r>
          <w:rPr>
            <w:spacing w:val="-4"/>
            <w:sz w:val="20"/>
          </w:rPr>
          <w:t> </w:t>
        </w:r>
        <w:r>
          <w:rPr>
            <w:sz w:val="20"/>
          </w:rPr>
          <w:t>ingresos</w:t>
        </w:r>
        <w:r>
          <w:rPr>
            <w:spacing w:val="-6"/>
            <w:sz w:val="20"/>
          </w:rPr>
          <w:t> </w:t>
        </w:r>
        <w:r>
          <w:rPr>
            <w:spacing w:val="-2"/>
            <w:sz w:val="20"/>
          </w:rPr>
          <w:t>reales</w:t>
        </w:r>
        <w:r>
          <w:rPr>
            <w:sz w:val="20"/>
          </w:rPr>
          <w:tab/>
        </w:r>
        <w:r>
          <w:rPr>
            <w:spacing w:val="-5"/>
            <w:sz w:val="20"/>
          </w:rPr>
          <w:t>45</w:t>
        </w:r>
      </w:hyperlink>
    </w:p>
    <w:p>
      <w:pPr>
        <w:tabs>
          <w:tab w:pos="9947" w:val="left" w:leader="none"/>
        </w:tabs>
        <w:spacing w:before="113"/>
        <w:ind w:left="1342" w:right="0" w:firstLine="0"/>
        <w:jc w:val="left"/>
        <w:rPr>
          <w:sz w:val="20"/>
        </w:rPr>
      </w:pPr>
      <w:hyperlink w:history="true" w:anchor="_bookmark19">
        <w:r>
          <w:rPr>
            <w:sz w:val="20"/>
          </w:rPr>
          <w:t>Gráfico</w:t>
        </w:r>
        <w:r>
          <w:rPr>
            <w:spacing w:val="-6"/>
            <w:sz w:val="20"/>
          </w:rPr>
          <w:t> </w:t>
        </w:r>
        <w:r>
          <w:rPr>
            <w:sz w:val="20"/>
          </w:rPr>
          <w:t>2:</w:t>
        </w:r>
        <w:r>
          <w:rPr>
            <w:spacing w:val="-3"/>
            <w:sz w:val="20"/>
          </w:rPr>
          <w:t> </w:t>
        </w:r>
        <w:r>
          <w:rPr>
            <w:sz w:val="20"/>
          </w:rPr>
          <w:t>Nivel</w:t>
        </w:r>
        <w:r>
          <w:rPr>
            <w:spacing w:val="-7"/>
            <w:sz w:val="20"/>
          </w:rPr>
          <w:t> </w:t>
        </w:r>
        <w:r>
          <w:rPr>
            <w:sz w:val="20"/>
          </w:rPr>
          <w:t>de</w:t>
        </w:r>
        <w:r>
          <w:rPr>
            <w:spacing w:val="-6"/>
            <w:sz w:val="20"/>
          </w:rPr>
          <w:t> </w:t>
        </w:r>
        <w:r>
          <w:rPr>
            <w:sz w:val="20"/>
          </w:rPr>
          <w:t>riesgo</w:t>
        </w:r>
        <w:r>
          <w:rPr>
            <w:spacing w:val="-6"/>
            <w:sz w:val="20"/>
          </w:rPr>
          <w:t> </w:t>
        </w:r>
        <w:r>
          <w:rPr>
            <w:spacing w:val="-2"/>
            <w:sz w:val="20"/>
          </w:rPr>
          <w:t>controlado</w:t>
        </w:r>
        <w:r>
          <w:rPr>
            <w:sz w:val="20"/>
          </w:rPr>
          <w:tab/>
        </w:r>
        <w:r>
          <w:rPr>
            <w:spacing w:val="-5"/>
            <w:sz w:val="20"/>
          </w:rPr>
          <w:t>54</w:t>
        </w:r>
      </w:hyperlink>
    </w:p>
    <w:p>
      <w:pPr>
        <w:tabs>
          <w:tab w:pos="9947" w:val="left" w:leader="none"/>
        </w:tabs>
        <w:spacing w:before="115"/>
        <w:ind w:left="1342" w:right="0" w:firstLine="0"/>
        <w:jc w:val="left"/>
        <w:rPr>
          <w:sz w:val="20"/>
        </w:rPr>
      </w:pPr>
      <w:hyperlink w:history="true" w:anchor="_bookmark21">
        <w:r>
          <w:rPr>
            <w:sz w:val="20"/>
          </w:rPr>
          <w:t>Gráfico</w:t>
        </w:r>
        <w:r>
          <w:rPr>
            <w:spacing w:val="-7"/>
            <w:sz w:val="20"/>
          </w:rPr>
          <w:t> </w:t>
        </w:r>
        <w:r>
          <w:rPr>
            <w:sz w:val="20"/>
          </w:rPr>
          <w:t>3:</w:t>
        </w:r>
        <w:r>
          <w:rPr>
            <w:spacing w:val="-5"/>
            <w:sz w:val="20"/>
          </w:rPr>
          <w:t> </w:t>
        </w:r>
        <w:r>
          <w:rPr>
            <w:sz w:val="20"/>
          </w:rPr>
          <w:t>Costa</w:t>
        </w:r>
        <w:r>
          <w:rPr>
            <w:spacing w:val="-8"/>
            <w:sz w:val="20"/>
          </w:rPr>
          <w:t> </w:t>
        </w:r>
        <w:r>
          <w:rPr>
            <w:sz w:val="20"/>
          </w:rPr>
          <w:t>Rica:</w:t>
        </w:r>
        <w:r>
          <w:rPr>
            <w:spacing w:val="-5"/>
            <w:sz w:val="20"/>
          </w:rPr>
          <w:t> </w:t>
        </w:r>
        <w:r>
          <w:rPr>
            <w:sz w:val="20"/>
          </w:rPr>
          <w:t>Porcentaje</w:t>
        </w:r>
        <w:r>
          <w:rPr>
            <w:spacing w:val="-4"/>
            <w:sz w:val="20"/>
          </w:rPr>
          <w:t> </w:t>
        </w:r>
        <w:r>
          <w:rPr>
            <w:sz w:val="20"/>
          </w:rPr>
          <w:t>de</w:t>
        </w:r>
        <w:r>
          <w:rPr>
            <w:spacing w:val="-8"/>
            <w:sz w:val="20"/>
          </w:rPr>
          <w:t> </w:t>
        </w:r>
        <w:r>
          <w:rPr>
            <w:sz w:val="20"/>
          </w:rPr>
          <w:t>hogares</w:t>
        </w:r>
        <w:r>
          <w:rPr>
            <w:spacing w:val="-6"/>
            <w:sz w:val="20"/>
          </w:rPr>
          <w:t> </w:t>
        </w:r>
        <w:r>
          <w:rPr>
            <w:sz w:val="20"/>
          </w:rPr>
          <w:t>en</w:t>
        </w:r>
        <w:r>
          <w:rPr>
            <w:spacing w:val="-6"/>
            <w:sz w:val="20"/>
          </w:rPr>
          <w:t> </w:t>
        </w:r>
        <w:r>
          <w:rPr>
            <w:sz w:val="20"/>
          </w:rPr>
          <w:t>pobreza</w:t>
        </w:r>
        <w:r>
          <w:rPr>
            <w:spacing w:val="-6"/>
            <w:sz w:val="20"/>
          </w:rPr>
          <w:t> </w:t>
        </w:r>
        <w:r>
          <w:rPr>
            <w:sz w:val="20"/>
          </w:rPr>
          <w:t>y</w:t>
        </w:r>
        <w:r>
          <w:rPr>
            <w:spacing w:val="-6"/>
            <w:sz w:val="20"/>
          </w:rPr>
          <w:t> </w:t>
        </w:r>
        <w:r>
          <w:rPr>
            <w:sz w:val="20"/>
          </w:rPr>
          <w:t>pobreza</w:t>
        </w:r>
        <w:r>
          <w:rPr>
            <w:spacing w:val="-5"/>
            <w:sz w:val="20"/>
          </w:rPr>
          <w:t> </w:t>
        </w:r>
        <w:r>
          <w:rPr>
            <w:spacing w:val="-2"/>
            <w:sz w:val="20"/>
          </w:rPr>
          <w:t>extrema,</w:t>
        </w:r>
        <w:r>
          <w:rPr>
            <w:sz w:val="20"/>
          </w:rPr>
          <w:tab/>
        </w:r>
        <w:r>
          <w:rPr>
            <w:spacing w:val="-5"/>
            <w:sz w:val="20"/>
          </w:rPr>
          <w:t>56</w:t>
        </w:r>
      </w:hyperlink>
    </w:p>
    <w:p>
      <w:pPr>
        <w:tabs>
          <w:tab w:pos="9947" w:val="left" w:leader="none"/>
        </w:tabs>
        <w:spacing w:before="116"/>
        <w:ind w:left="1342" w:right="0" w:firstLine="0"/>
        <w:jc w:val="left"/>
        <w:rPr>
          <w:sz w:val="20"/>
        </w:rPr>
      </w:pPr>
      <w:hyperlink w:history="true" w:anchor="_bookmark22">
        <w:r>
          <w:rPr>
            <w:sz w:val="20"/>
          </w:rPr>
          <w:t>Gráfico</w:t>
        </w:r>
        <w:r>
          <w:rPr>
            <w:spacing w:val="-9"/>
            <w:sz w:val="20"/>
          </w:rPr>
          <w:t> </w:t>
        </w:r>
        <w:r>
          <w:rPr>
            <w:sz w:val="20"/>
          </w:rPr>
          <w:t>4:Costa</w:t>
        </w:r>
        <w:r>
          <w:rPr>
            <w:spacing w:val="-9"/>
            <w:sz w:val="20"/>
          </w:rPr>
          <w:t> </w:t>
        </w:r>
        <w:r>
          <w:rPr>
            <w:sz w:val="20"/>
          </w:rPr>
          <w:t>Rica:</w:t>
        </w:r>
        <w:r>
          <w:rPr>
            <w:spacing w:val="-8"/>
            <w:sz w:val="20"/>
          </w:rPr>
          <w:t> </w:t>
        </w:r>
        <w:r>
          <w:rPr>
            <w:sz w:val="20"/>
          </w:rPr>
          <w:t>Incidencia</w:t>
        </w:r>
        <w:r>
          <w:rPr>
            <w:spacing w:val="-6"/>
            <w:sz w:val="20"/>
          </w:rPr>
          <w:t> </w:t>
        </w:r>
        <w:r>
          <w:rPr>
            <w:sz w:val="20"/>
          </w:rPr>
          <w:t>de</w:t>
        </w:r>
        <w:r>
          <w:rPr>
            <w:spacing w:val="-8"/>
            <w:sz w:val="20"/>
          </w:rPr>
          <w:t> </w:t>
        </w:r>
        <w:r>
          <w:rPr>
            <w:sz w:val="20"/>
          </w:rPr>
          <w:t>la</w:t>
        </w:r>
        <w:r>
          <w:rPr>
            <w:spacing w:val="-6"/>
            <w:sz w:val="20"/>
          </w:rPr>
          <w:t> </w:t>
        </w:r>
        <w:r>
          <w:rPr>
            <w:sz w:val="20"/>
          </w:rPr>
          <w:t>pobreza</w:t>
        </w:r>
        <w:r>
          <w:rPr>
            <w:spacing w:val="-6"/>
            <w:sz w:val="20"/>
          </w:rPr>
          <w:t> </w:t>
        </w:r>
        <w:r>
          <w:rPr>
            <w:sz w:val="20"/>
          </w:rPr>
          <w:t>total</w:t>
        </w:r>
        <w:r>
          <w:rPr>
            <w:spacing w:val="-9"/>
            <w:sz w:val="20"/>
          </w:rPr>
          <w:t> </w:t>
        </w:r>
        <w:r>
          <w:rPr>
            <w:sz w:val="20"/>
          </w:rPr>
          <w:t>y</w:t>
        </w:r>
        <w:r>
          <w:rPr>
            <w:spacing w:val="-6"/>
            <w:sz w:val="20"/>
          </w:rPr>
          <w:t> </w:t>
        </w:r>
        <w:r>
          <w:rPr>
            <w:sz w:val="20"/>
          </w:rPr>
          <w:t>crecimiento</w:t>
        </w:r>
        <w:r>
          <w:rPr>
            <w:spacing w:val="-7"/>
            <w:sz w:val="20"/>
          </w:rPr>
          <w:t> </w:t>
        </w:r>
        <w:r>
          <w:rPr>
            <w:sz w:val="20"/>
          </w:rPr>
          <w:t>económico,</w:t>
        </w:r>
        <w:r>
          <w:rPr>
            <w:spacing w:val="-7"/>
            <w:sz w:val="20"/>
          </w:rPr>
          <w:t> </w:t>
        </w:r>
        <w:r>
          <w:rPr>
            <w:sz w:val="20"/>
          </w:rPr>
          <w:t>2010-</w:t>
        </w:r>
        <w:r>
          <w:rPr>
            <w:spacing w:val="-4"/>
            <w:sz w:val="20"/>
          </w:rPr>
          <w:t>2025</w:t>
        </w:r>
        <w:r>
          <w:rPr>
            <w:sz w:val="20"/>
          </w:rPr>
          <w:tab/>
        </w:r>
        <w:r>
          <w:rPr>
            <w:spacing w:val="-5"/>
            <w:sz w:val="20"/>
          </w:rPr>
          <w:t>58</w:t>
        </w:r>
      </w:hyperlink>
    </w:p>
    <w:p>
      <w:pPr>
        <w:spacing w:before="116"/>
        <w:ind w:left="0" w:right="1764" w:firstLine="0"/>
        <w:jc w:val="right"/>
        <w:rPr>
          <w:sz w:val="20"/>
        </w:rPr>
      </w:pPr>
      <w:hyperlink w:history="true" w:anchor="_bookmark23">
        <w:r>
          <w:rPr>
            <w:sz w:val="20"/>
          </w:rPr>
          <w:t>Gráfico</w:t>
        </w:r>
        <w:r>
          <w:rPr>
            <w:spacing w:val="-8"/>
            <w:sz w:val="20"/>
          </w:rPr>
          <w:t> </w:t>
        </w:r>
        <w:r>
          <w:rPr>
            <w:sz w:val="20"/>
          </w:rPr>
          <w:t>5:</w:t>
        </w:r>
        <w:r>
          <w:rPr>
            <w:spacing w:val="-5"/>
            <w:sz w:val="20"/>
          </w:rPr>
          <w:t> </w:t>
        </w:r>
        <w:r>
          <w:rPr>
            <w:sz w:val="20"/>
          </w:rPr>
          <w:t>Costa</w:t>
        </w:r>
        <w:r>
          <w:rPr>
            <w:spacing w:val="-8"/>
            <w:sz w:val="20"/>
          </w:rPr>
          <w:t> </w:t>
        </w:r>
        <w:r>
          <w:rPr>
            <w:sz w:val="20"/>
          </w:rPr>
          <w:t>Rica:</w:t>
        </w:r>
        <w:r>
          <w:rPr>
            <w:spacing w:val="-5"/>
            <w:sz w:val="20"/>
          </w:rPr>
          <w:t> </w:t>
        </w:r>
        <w:r>
          <w:rPr>
            <w:sz w:val="20"/>
          </w:rPr>
          <w:t>Desigualdad</w:t>
        </w:r>
        <w:r>
          <w:rPr>
            <w:spacing w:val="-8"/>
            <w:sz w:val="20"/>
          </w:rPr>
          <w:t> </w:t>
        </w:r>
        <w:r>
          <w:rPr>
            <w:sz w:val="20"/>
          </w:rPr>
          <w:t>por</w:t>
        </w:r>
        <w:r>
          <w:rPr>
            <w:spacing w:val="-4"/>
            <w:sz w:val="20"/>
          </w:rPr>
          <w:t> </w:t>
        </w:r>
        <w:r>
          <w:rPr>
            <w:sz w:val="20"/>
          </w:rPr>
          <w:t>ingresos</w:t>
        </w:r>
        <w:r>
          <w:rPr>
            <w:spacing w:val="-6"/>
            <w:sz w:val="20"/>
          </w:rPr>
          <w:t> </w:t>
        </w:r>
        <w:r>
          <w:rPr>
            <w:sz w:val="20"/>
          </w:rPr>
          <w:t>según</w:t>
        </w:r>
        <w:r>
          <w:rPr>
            <w:spacing w:val="-7"/>
            <w:sz w:val="20"/>
          </w:rPr>
          <w:t> </w:t>
        </w:r>
        <w:r>
          <w:rPr>
            <w:sz w:val="20"/>
          </w:rPr>
          <w:t>el</w:t>
        </w:r>
        <w:r>
          <w:rPr>
            <w:spacing w:val="-7"/>
            <w:sz w:val="20"/>
          </w:rPr>
          <w:t> </w:t>
        </w:r>
        <w:r>
          <w:rPr>
            <w:sz w:val="20"/>
          </w:rPr>
          <w:t>coeficiente</w:t>
        </w:r>
        <w:r>
          <w:rPr>
            <w:spacing w:val="-8"/>
            <w:sz w:val="20"/>
          </w:rPr>
          <w:t> </w:t>
        </w:r>
        <w:r>
          <w:rPr>
            <w:sz w:val="20"/>
          </w:rPr>
          <w:t>de</w:t>
        </w:r>
        <w:r>
          <w:rPr>
            <w:spacing w:val="-7"/>
            <w:sz w:val="20"/>
          </w:rPr>
          <w:t> </w:t>
        </w:r>
        <w:r>
          <w:rPr>
            <w:sz w:val="20"/>
          </w:rPr>
          <w:t>Gini</w:t>
        </w:r>
        <w:r>
          <w:rPr>
            <w:spacing w:val="-6"/>
            <w:sz w:val="20"/>
          </w:rPr>
          <w:t> </w:t>
        </w:r>
        <w:r>
          <w:rPr>
            <w:sz w:val="20"/>
          </w:rPr>
          <w:t>por</w:t>
        </w:r>
        <w:r>
          <w:rPr>
            <w:spacing w:val="-5"/>
            <w:sz w:val="20"/>
          </w:rPr>
          <w:t> </w:t>
        </w:r>
        <w:r>
          <w:rPr>
            <w:sz w:val="20"/>
          </w:rPr>
          <w:t>hogar,</w:t>
        </w:r>
        <w:r>
          <w:rPr>
            <w:spacing w:val="-5"/>
            <w:sz w:val="20"/>
          </w:rPr>
          <w:t> </w:t>
        </w:r>
        <w:r>
          <w:rPr>
            <w:sz w:val="20"/>
          </w:rPr>
          <w:t>2010-</w:t>
        </w:r>
        <w:r>
          <w:rPr>
            <w:spacing w:val="-4"/>
            <w:sz w:val="20"/>
          </w:rPr>
          <w:t>2025</w:t>
        </w:r>
      </w:hyperlink>
    </w:p>
    <w:p>
      <w:pPr>
        <w:spacing w:before="113"/>
        <w:ind w:left="0" w:right="1709" w:firstLine="0"/>
        <w:jc w:val="right"/>
        <w:rPr>
          <w:sz w:val="20"/>
        </w:rPr>
      </w:pPr>
      <w:hyperlink w:history="true" w:anchor="_bookmark23">
        <w:r>
          <w:rPr>
            <w:spacing w:val="-5"/>
            <w:sz w:val="20"/>
          </w:rPr>
          <w:t>60</w:t>
        </w:r>
      </w:hyperlink>
    </w:p>
    <w:p>
      <w:pPr>
        <w:tabs>
          <w:tab w:pos="9947" w:val="left" w:leader="none"/>
        </w:tabs>
        <w:spacing w:line="360" w:lineRule="auto" w:before="115"/>
        <w:ind w:left="1824" w:right="1709" w:hanging="483"/>
        <w:jc w:val="left"/>
        <w:rPr>
          <w:sz w:val="20"/>
        </w:rPr>
      </w:pPr>
      <w:hyperlink w:history="true" w:anchor="_bookmark24">
        <w:r>
          <w:rPr>
            <w:sz w:val="20"/>
          </w:rPr>
          <w:t>Gráfico 6: Costa Rica: Desigualdad por ingresos según el coeficiente de Gini por persona, 2010-</w:t>
        </w:r>
      </w:hyperlink>
      <w:hyperlink w:history="true" w:anchor="_bookmark24">
        <w:r>
          <w:rPr>
            <w:spacing w:val="-4"/>
            <w:sz w:val="20"/>
          </w:rPr>
          <w:t>2025</w:t>
        </w:r>
        <w:r>
          <w:rPr>
            <w:sz w:val="20"/>
          </w:rPr>
          <w:tab/>
        </w:r>
        <w:r>
          <w:rPr>
            <w:spacing w:val="-5"/>
            <w:sz w:val="20"/>
          </w:rPr>
          <w:t>62</w:t>
        </w:r>
      </w:hyperlink>
    </w:p>
    <w:p>
      <w:pPr>
        <w:tabs>
          <w:tab w:pos="9947" w:val="left" w:leader="none"/>
        </w:tabs>
        <w:spacing w:before="2"/>
        <w:ind w:left="1342" w:right="0" w:firstLine="0"/>
        <w:jc w:val="left"/>
        <w:rPr>
          <w:sz w:val="20"/>
        </w:rPr>
      </w:pPr>
      <w:hyperlink w:history="true" w:anchor="_bookmark25">
        <w:r>
          <w:rPr>
            <w:sz w:val="20"/>
          </w:rPr>
          <w:t>Gráfico</w:t>
        </w:r>
        <w:r>
          <w:rPr>
            <w:spacing w:val="-6"/>
            <w:sz w:val="20"/>
          </w:rPr>
          <w:t> </w:t>
        </w:r>
        <w:r>
          <w:rPr>
            <w:sz w:val="20"/>
          </w:rPr>
          <w:t>7:</w:t>
        </w:r>
        <w:r>
          <w:rPr>
            <w:spacing w:val="-5"/>
            <w:sz w:val="20"/>
          </w:rPr>
          <w:t> </w:t>
        </w:r>
        <w:r>
          <w:rPr>
            <w:sz w:val="20"/>
          </w:rPr>
          <w:t>Costa</w:t>
        </w:r>
        <w:r>
          <w:rPr>
            <w:spacing w:val="-7"/>
            <w:sz w:val="20"/>
          </w:rPr>
          <w:t> </w:t>
        </w:r>
        <w:r>
          <w:rPr>
            <w:sz w:val="20"/>
          </w:rPr>
          <w:t>Rica:</w:t>
        </w:r>
        <w:r>
          <w:rPr>
            <w:spacing w:val="-4"/>
            <w:sz w:val="20"/>
          </w:rPr>
          <w:t> </w:t>
        </w:r>
        <w:r>
          <w:rPr>
            <w:sz w:val="20"/>
          </w:rPr>
          <w:t>Pobreza</w:t>
        </w:r>
        <w:r>
          <w:rPr>
            <w:spacing w:val="-6"/>
            <w:sz w:val="20"/>
          </w:rPr>
          <w:t> </w:t>
        </w:r>
        <w:r>
          <w:rPr>
            <w:sz w:val="20"/>
          </w:rPr>
          <w:t>por</w:t>
        </w:r>
        <w:r>
          <w:rPr>
            <w:spacing w:val="-6"/>
            <w:sz w:val="20"/>
          </w:rPr>
          <w:t> </w:t>
        </w:r>
        <w:r>
          <w:rPr>
            <w:sz w:val="20"/>
          </w:rPr>
          <w:t>IPM</w:t>
        </w:r>
        <w:r>
          <w:rPr>
            <w:spacing w:val="-6"/>
            <w:sz w:val="20"/>
          </w:rPr>
          <w:t> </w:t>
        </w:r>
        <w:r>
          <w:rPr>
            <w:sz w:val="20"/>
          </w:rPr>
          <w:t>según</w:t>
        </w:r>
        <w:r>
          <w:rPr>
            <w:spacing w:val="-6"/>
            <w:sz w:val="20"/>
          </w:rPr>
          <w:t> </w:t>
        </w:r>
        <w:r>
          <w:rPr>
            <w:sz w:val="20"/>
          </w:rPr>
          <w:t>zona</w:t>
        </w:r>
        <w:r>
          <w:rPr>
            <w:spacing w:val="-4"/>
            <w:sz w:val="20"/>
          </w:rPr>
          <w:t> </w:t>
        </w:r>
        <w:r>
          <w:rPr>
            <w:sz w:val="20"/>
          </w:rPr>
          <w:t>urbana</w:t>
        </w:r>
        <w:r>
          <w:rPr>
            <w:spacing w:val="-4"/>
            <w:sz w:val="20"/>
          </w:rPr>
          <w:t> </w:t>
        </w:r>
        <w:r>
          <w:rPr>
            <w:sz w:val="20"/>
          </w:rPr>
          <w:t>y</w:t>
        </w:r>
        <w:r>
          <w:rPr>
            <w:spacing w:val="-5"/>
            <w:sz w:val="20"/>
          </w:rPr>
          <w:t> </w:t>
        </w:r>
        <w:r>
          <w:rPr>
            <w:sz w:val="20"/>
          </w:rPr>
          <w:t>rural</w:t>
        </w:r>
        <w:r>
          <w:rPr>
            <w:spacing w:val="-7"/>
            <w:sz w:val="20"/>
          </w:rPr>
          <w:t> </w:t>
        </w:r>
        <w:r>
          <w:rPr>
            <w:sz w:val="20"/>
          </w:rPr>
          <w:t>(%</w:t>
        </w:r>
        <w:r>
          <w:rPr>
            <w:spacing w:val="-3"/>
            <w:sz w:val="20"/>
          </w:rPr>
          <w:t> </w:t>
        </w:r>
        <w:r>
          <w:rPr>
            <w:sz w:val="20"/>
          </w:rPr>
          <w:t>hogares),</w:t>
        </w:r>
        <w:r>
          <w:rPr>
            <w:spacing w:val="-6"/>
            <w:sz w:val="20"/>
          </w:rPr>
          <w:t> </w:t>
        </w:r>
        <w:r>
          <w:rPr>
            <w:sz w:val="20"/>
          </w:rPr>
          <w:t>2010-</w:t>
        </w:r>
        <w:r>
          <w:rPr>
            <w:spacing w:val="-4"/>
            <w:sz w:val="20"/>
          </w:rPr>
          <w:t>2025</w:t>
        </w:r>
        <w:r>
          <w:rPr>
            <w:sz w:val="20"/>
          </w:rPr>
          <w:tab/>
        </w:r>
        <w:r>
          <w:rPr>
            <w:spacing w:val="-5"/>
            <w:sz w:val="20"/>
          </w:rPr>
          <w:t>63</w:t>
        </w:r>
      </w:hyperlink>
    </w:p>
    <w:p>
      <w:pPr>
        <w:spacing w:line="360" w:lineRule="auto" w:before="114"/>
        <w:ind w:left="1824" w:right="1700" w:hanging="483"/>
        <w:jc w:val="left"/>
        <w:rPr>
          <w:sz w:val="20"/>
        </w:rPr>
      </w:pPr>
      <w:hyperlink w:history="true" w:anchor="_bookmark26">
        <w:r>
          <w:rPr>
            <w:sz w:val="20"/>
          </w:rPr>
          <w:t>Gráfico 8: Costa Rica: Incidencia de pobreza de hogares por Línea de Pobreza (LP), Índice de</w:t>
        </w:r>
      </w:hyperlink>
      <w:r>
        <w:rPr>
          <w:sz w:val="20"/>
        </w:rPr>
        <w:t> </w:t>
      </w:r>
      <w:hyperlink w:history="true" w:anchor="_bookmark26">
        <w:r>
          <w:rPr>
            <w:sz w:val="20"/>
          </w:rPr>
          <w:t>Pobreza</w:t>
        </w:r>
        <w:r>
          <w:rPr>
            <w:spacing w:val="-3"/>
            <w:sz w:val="20"/>
          </w:rPr>
          <w:t> </w:t>
        </w:r>
        <w:r>
          <w:rPr>
            <w:sz w:val="20"/>
          </w:rPr>
          <w:t>Multidimensional</w:t>
        </w:r>
        <w:r>
          <w:rPr>
            <w:spacing w:val="-6"/>
            <w:sz w:val="20"/>
          </w:rPr>
          <w:t> </w:t>
        </w:r>
        <w:r>
          <w:rPr>
            <w:sz w:val="20"/>
          </w:rPr>
          <w:t>(IPM),</w:t>
        </w:r>
        <w:r>
          <w:rPr>
            <w:spacing w:val="-5"/>
            <w:sz w:val="20"/>
          </w:rPr>
          <w:t> </w:t>
        </w:r>
        <w:r>
          <w:rPr>
            <w:sz w:val="20"/>
          </w:rPr>
          <w:t>suma</w:t>
        </w:r>
        <w:r>
          <w:rPr>
            <w:spacing w:val="-3"/>
            <w:sz w:val="20"/>
          </w:rPr>
          <w:t> </w:t>
        </w:r>
        <w:r>
          <w:rPr>
            <w:sz w:val="20"/>
          </w:rPr>
          <w:t>de</w:t>
        </w:r>
        <w:r>
          <w:rPr>
            <w:spacing w:val="-4"/>
            <w:sz w:val="20"/>
          </w:rPr>
          <w:t> </w:t>
        </w:r>
        <w:r>
          <w:rPr>
            <w:sz w:val="20"/>
          </w:rPr>
          <w:t>incidencias</w:t>
        </w:r>
        <w:r>
          <w:rPr>
            <w:spacing w:val="-4"/>
            <w:sz w:val="20"/>
          </w:rPr>
          <w:t> </w:t>
        </w:r>
        <w:r>
          <w:rPr>
            <w:sz w:val="20"/>
          </w:rPr>
          <w:t>y</w:t>
        </w:r>
        <w:r>
          <w:rPr>
            <w:spacing w:val="-4"/>
            <w:sz w:val="20"/>
          </w:rPr>
          <w:t> </w:t>
        </w:r>
        <w:r>
          <w:rPr>
            <w:sz w:val="20"/>
          </w:rPr>
          <w:t>unión</w:t>
        </w:r>
        <w:r>
          <w:rPr>
            <w:spacing w:val="-5"/>
            <w:sz w:val="20"/>
          </w:rPr>
          <w:t> </w:t>
        </w:r>
        <w:r>
          <w:rPr>
            <w:sz w:val="20"/>
          </w:rPr>
          <w:t>sin</w:t>
        </w:r>
        <w:r>
          <w:rPr>
            <w:spacing w:val="-3"/>
            <w:sz w:val="20"/>
          </w:rPr>
          <w:t> </w:t>
        </w:r>
        <w:r>
          <w:rPr>
            <w:sz w:val="20"/>
          </w:rPr>
          <w:t>doble</w:t>
        </w:r>
        <w:r>
          <w:rPr>
            <w:spacing w:val="-3"/>
            <w:sz w:val="20"/>
          </w:rPr>
          <w:t> </w:t>
        </w:r>
        <w:r>
          <w:rPr>
            <w:sz w:val="20"/>
          </w:rPr>
          <w:t>conteo,</w:t>
        </w:r>
        <w:r>
          <w:rPr>
            <w:spacing w:val="-3"/>
            <w:sz w:val="20"/>
          </w:rPr>
          <w:t> </w:t>
        </w:r>
        <w:r>
          <w:rPr>
            <w:sz w:val="20"/>
          </w:rPr>
          <w:t>2010-2025</w:t>
        </w:r>
        <w:r>
          <w:rPr>
            <w:spacing w:val="25"/>
            <w:sz w:val="20"/>
          </w:rPr>
          <w:t> </w:t>
        </w:r>
        <w:r>
          <w:rPr>
            <w:sz w:val="20"/>
          </w:rPr>
          <w:t>65</w:t>
        </w:r>
      </w:hyperlink>
    </w:p>
    <w:p>
      <w:pPr>
        <w:tabs>
          <w:tab w:pos="9947" w:val="left" w:leader="none"/>
        </w:tabs>
        <w:spacing w:line="360" w:lineRule="auto" w:before="1"/>
        <w:ind w:left="1824" w:right="1709" w:hanging="483"/>
        <w:jc w:val="left"/>
        <w:rPr>
          <w:sz w:val="20"/>
        </w:rPr>
      </w:pPr>
      <w:hyperlink w:history="true" w:anchor="_bookmark28">
        <w:r>
          <w:rPr>
            <w:sz w:val="20"/>
          </w:rPr>
          <w:t>Gráfico 9: Costa Rica: Tasa neta de participación laboral entre personas de 15 años o más según</w:t>
        </w:r>
      </w:hyperlink>
      <w:r>
        <w:rPr>
          <w:sz w:val="20"/>
        </w:rPr>
        <w:t> </w:t>
      </w:r>
      <w:hyperlink w:history="true" w:anchor="_bookmark28">
        <w:r>
          <w:rPr>
            <w:sz w:val="20"/>
          </w:rPr>
          <w:t>sexo, 1990-2025</w:t>
        </w:r>
        <w:r>
          <w:rPr>
            <w:sz w:val="20"/>
          </w:rPr>
          <w:tab/>
        </w:r>
        <w:r>
          <w:rPr>
            <w:spacing w:val="-6"/>
            <w:sz w:val="20"/>
          </w:rPr>
          <w:t>68</w:t>
        </w:r>
      </w:hyperlink>
    </w:p>
    <w:p>
      <w:pPr>
        <w:tabs>
          <w:tab w:pos="9947" w:val="left" w:leader="none"/>
        </w:tabs>
        <w:spacing w:line="360" w:lineRule="auto" w:before="0"/>
        <w:ind w:left="1824" w:right="1709" w:hanging="483"/>
        <w:jc w:val="left"/>
        <w:rPr>
          <w:sz w:val="20"/>
        </w:rPr>
      </w:pPr>
      <w:hyperlink w:history="true" w:anchor="_bookmark29">
        <w:r>
          <w:rPr>
            <w:sz w:val="20"/>
          </w:rPr>
          <w:t>Gráfico 10: Costa Rica: Porcentaje de niñez y adolescencia según clasificación de pobreza por</w:t>
        </w:r>
      </w:hyperlink>
      <w:r>
        <w:rPr>
          <w:sz w:val="20"/>
        </w:rPr>
        <w:t> </w:t>
      </w:r>
      <w:hyperlink w:history="true" w:anchor="_bookmark29">
        <w:r>
          <w:rPr>
            <w:sz w:val="20"/>
          </w:rPr>
          <w:t>método combinado y rango de edad, 2025</w:t>
        </w:r>
        <w:r>
          <w:rPr>
            <w:sz w:val="20"/>
          </w:rPr>
          <w:tab/>
        </w:r>
        <w:r>
          <w:rPr>
            <w:spacing w:val="-6"/>
            <w:sz w:val="20"/>
          </w:rPr>
          <w:t>69</w:t>
        </w:r>
      </w:hyperlink>
    </w:p>
    <w:p>
      <w:pPr>
        <w:tabs>
          <w:tab w:pos="9947" w:val="left" w:leader="none"/>
        </w:tabs>
        <w:spacing w:line="357" w:lineRule="auto" w:before="0"/>
        <w:ind w:left="1824" w:right="1709" w:hanging="483"/>
        <w:jc w:val="left"/>
        <w:rPr>
          <w:sz w:val="20"/>
        </w:rPr>
      </w:pPr>
      <w:hyperlink w:history="true" w:anchor="_bookmark30">
        <w:r>
          <w:rPr>
            <w:sz w:val="20"/>
          </w:rPr>
          <w:t>Gráfico 11: Costa Rica: Número promedio de personas por hogar según nivel de pobreza por La</w:t>
        </w:r>
      </w:hyperlink>
      <w:r>
        <w:rPr>
          <w:sz w:val="20"/>
        </w:rPr>
        <w:t> </w:t>
      </w:r>
      <w:hyperlink w:history="true" w:anchor="_bookmark30">
        <w:r>
          <w:rPr>
            <w:sz w:val="20"/>
          </w:rPr>
          <w:t>línea de Pobreza (LP), 2010-2025</w:t>
        </w:r>
        <w:r>
          <w:rPr>
            <w:sz w:val="20"/>
          </w:rPr>
          <w:tab/>
        </w:r>
        <w:r>
          <w:rPr>
            <w:spacing w:val="-6"/>
            <w:sz w:val="20"/>
          </w:rPr>
          <w:t>70</w:t>
        </w:r>
      </w:hyperlink>
    </w:p>
    <w:p>
      <w:pPr>
        <w:tabs>
          <w:tab w:pos="9947" w:val="left" w:leader="none"/>
        </w:tabs>
        <w:spacing w:line="360" w:lineRule="auto" w:before="3"/>
        <w:ind w:left="1824" w:right="1709" w:hanging="483"/>
        <w:jc w:val="left"/>
        <w:rPr>
          <w:sz w:val="20"/>
        </w:rPr>
      </w:pPr>
      <w:hyperlink w:history="true" w:anchor="_bookmark31">
        <w:r>
          <w:rPr>
            <w:sz w:val="20"/>
          </w:rPr>
          <w:t>Gráfico 12: Costa Rica: Número promedio de personas ocupadas por hogar según nivel de</w:t>
        </w:r>
      </w:hyperlink>
      <w:r>
        <w:rPr>
          <w:spacing w:val="40"/>
          <w:sz w:val="20"/>
        </w:rPr>
        <w:t> </w:t>
      </w:r>
      <w:hyperlink w:history="true" w:anchor="_bookmark31">
        <w:r>
          <w:rPr>
            <w:sz w:val="20"/>
          </w:rPr>
          <w:t>pobreza por Línea de Pobreza (LP), 2010-2025</w:t>
        </w:r>
        <w:r>
          <w:rPr>
            <w:sz w:val="20"/>
          </w:rPr>
          <w:tab/>
        </w:r>
        <w:r>
          <w:rPr>
            <w:spacing w:val="-6"/>
            <w:sz w:val="20"/>
          </w:rPr>
          <w:t>72</w:t>
        </w:r>
      </w:hyperlink>
    </w:p>
    <w:p>
      <w:pPr>
        <w:tabs>
          <w:tab w:pos="9947" w:val="left" w:leader="none"/>
        </w:tabs>
        <w:spacing w:line="357" w:lineRule="auto" w:before="2"/>
        <w:ind w:left="1824" w:right="1709" w:hanging="483"/>
        <w:jc w:val="left"/>
        <w:rPr>
          <w:sz w:val="20"/>
        </w:rPr>
      </w:pPr>
      <w:hyperlink w:history="true" w:anchor="_bookmark32">
        <w:r>
          <w:rPr>
            <w:sz w:val="20"/>
          </w:rPr>
          <w:t>Gráfico 13: Costa Rica: Porcentaje de hogares con jefatura femenina según nivel de pobreza por</w:t>
        </w:r>
      </w:hyperlink>
      <w:r>
        <w:rPr>
          <w:sz w:val="20"/>
        </w:rPr>
        <w:t> </w:t>
      </w:r>
      <w:hyperlink w:history="true" w:anchor="_bookmark32">
        <w:r>
          <w:rPr>
            <w:sz w:val="20"/>
          </w:rPr>
          <w:t>Línea de Pobreza (LP), 2010-2025</w:t>
        </w:r>
        <w:r>
          <w:rPr>
            <w:sz w:val="20"/>
          </w:rPr>
          <w:tab/>
        </w:r>
        <w:r>
          <w:rPr>
            <w:spacing w:val="-6"/>
            <w:sz w:val="20"/>
          </w:rPr>
          <w:t>73</w:t>
        </w:r>
      </w:hyperlink>
    </w:p>
    <w:p>
      <w:pPr>
        <w:tabs>
          <w:tab w:pos="9947" w:val="left" w:leader="none"/>
        </w:tabs>
        <w:spacing w:line="360" w:lineRule="auto" w:before="3"/>
        <w:ind w:left="1824" w:right="1709" w:hanging="483"/>
        <w:jc w:val="left"/>
        <w:rPr>
          <w:sz w:val="20"/>
        </w:rPr>
      </w:pPr>
      <w:hyperlink w:history="true" w:anchor="_bookmark33">
        <w:r>
          <w:rPr>
            <w:sz w:val="20"/>
          </w:rPr>
          <w:t>Gráfico 14: Costa Rica: Porcentaje de personas ocupadas según principales ocupaciones y</w:t>
        </w:r>
      </w:hyperlink>
      <w:r>
        <w:rPr>
          <w:sz w:val="20"/>
        </w:rPr>
        <w:t> </w:t>
      </w:r>
      <w:hyperlink w:history="true" w:anchor="_bookmark33">
        <w:r>
          <w:rPr>
            <w:sz w:val="20"/>
          </w:rPr>
          <w:t>clasificación de pobreza por método combinado, 2025</w:t>
        </w:r>
        <w:r>
          <w:rPr>
            <w:sz w:val="20"/>
          </w:rPr>
          <w:tab/>
        </w:r>
        <w:r>
          <w:rPr>
            <w:spacing w:val="-6"/>
            <w:sz w:val="20"/>
          </w:rPr>
          <w:t>75</w:t>
        </w:r>
      </w:hyperlink>
    </w:p>
    <w:p>
      <w:pPr>
        <w:tabs>
          <w:tab w:pos="9947" w:val="left" w:leader="none"/>
        </w:tabs>
        <w:spacing w:line="357" w:lineRule="auto" w:before="2"/>
        <w:ind w:left="1824" w:right="1709" w:hanging="483"/>
        <w:jc w:val="left"/>
        <w:rPr>
          <w:sz w:val="20"/>
        </w:rPr>
      </w:pPr>
      <w:hyperlink w:history="true" w:anchor="_bookmark34">
        <w:r>
          <w:rPr>
            <w:sz w:val="20"/>
          </w:rPr>
          <w:t>Gráfico 15: Costa Rica: Porcentaje de jefaturas femeninas con desempleo abierto según</w:t>
        </w:r>
      </w:hyperlink>
      <w:r>
        <w:rPr>
          <w:sz w:val="20"/>
        </w:rPr>
        <w:t> </w:t>
      </w:r>
      <w:hyperlink w:history="true" w:anchor="_bookmark34">
        <w:r>
          <w:rPr>
            <w:sz w:val="20"/>
          </w:rPr>
          <w:t>clasificación de pobreza por método combinado, 2024-2025</w:t>
        </w:r>
        <w:r>
          <w:rPr>
            <w:sz w:val="20"/>
          </w:rPr>
          <w:tab/>
        </w:r>
        <w:r>
          <w:rPr>
            <w:spacing w:val="-6"/>
            <w:sz w:val="20"/>
          </w:rPr>
          <w:t>77</w:t>
        </w:r>
      </w:hyperlink>
    </w:p>
    <w:p>
      <w:pPr>
        <w:tabs>
          <w:tab w:pos="9947" w:val="left" w:leader="none"/>
        </w:tabs>
        <w:spacing w:line="360" w:lineRule="auto" w:before="3"/>
        <w:ind w:left="1824" w:right="1709" w:hanging="483"/>
        <w:jc w:val="left"/>
        <w:rPr>
          <w:sz w:val="20"/>
        </w:rPr>
      </w:pPr>
      <w:hyperlink w:history="true" w:anchor="_bookmark35">
        <w:r>
          <w:rPr>
            <w:sz w:val="20"/>
          </w:rPr>
          <w:t>Gráfico 16: Costa Rica: Porcentaje de hogares con jefatura de 24 años o más sin educación</w:t>
        </w:r>
      </w:hyperlink>
      <w:r>
        <w:rPr>
          <w:sz w:val="20"/>
        </w:rPr>
        <w:t> </w:t>
      </w:r>
      <w:hyperlink w:history="true" w:anchor="_bookmark35">
        <w:r>
          <w:rPr>
            <w:sz w:val="20"/>
          </w:rPr>
          <w:t>secundaria completa según clasificación de pobreza por método combinado, 2024-2025</w:t>
        </w:r>
        <w:r>
          <w:rPr>
            <w:sz w:val="20"/>
          </w:rPr>
          <w:tab/>
        </w:r>
        <w:r>
          <w:rPr>
            <w:spacing w:val="-6"/>
            <w:sz w:val="20"/>
          </w:rPr>
          <w:t>78</w:t>
        </w:r>
      </w:hyperlink>
    </w:p>
    <w:p>
      <w:pPr>
        <w:tabs>
          <w:tab w:pos="9947" w:val="left" w:leader="none"/>
        </w:tabs>
        <w:spacing w:line="357" w:lineRule="auto" w:before="1"/>
        <w:ind w:left="1824" w:right="1709" w:hanging="483"/>
        <w:jc w:val="left"/>
        <w:rPr>
          <w:sz w:val="20"/>
        </w:rPr>
      </w:pPr>
      <w:hyperlink w:history="true" w:anchor="_bookmark36">
        <w:r>
          <w:rPr>
            <w:sz w:val="20"/>
          </w:rPr>
          <w:t>Gráfico 17: Costa Rica: Porcentaje de hogares con acceso a Internet según condición de pobreza,</w:t>
        </w:r>
      </w:hyperlink>
      <w:r>
        <w:rPr>
          <w:sz w:val="20"/>
        </w:rPr>
        <w:t> </w:t>
      </w:r>
      <w:hyperlink w:history="true" w:anchor="_bookmark36">
        <w:r>
          <w:rPr>
            <w:spacing w:val="-4"/>
            <w:sz w:val="20"/>
          </w:rPr>
          <w:t>2025</w:t>
        </w:r>
        <w:r>
          <w:rPr>
            <w:sz w:val="20"/>
          </w:rPr>
          <w:tab/>
        </w:r>
        <w:r>
          <w:rPr>
            <w:spacing w:val="-6"/>
            <w:sz w:val="20"/>
          </w:rPr>
          <w:t>79</w:t>
        </w:r>
      </w:hyperlink>
    </w:p>
    <w:p>
      <w:pPr>
        <w:spacing w:after="0" w:line="357" w:lineRule="auto"/>
        <w:jc w:val="left"/>
        <w:rPr>
          <w:sz w:val="20"/>
        </w:rPr>
        <w:sectPr>
          <w:footerReference w:type="default" r:id="rId8"/>
          <w:pgSz w:w="12240" w:h="15840"/>
          <w:pgMar w:header="0" w:footer="1576" w:top="1340" w:bottom="1760" w:left="360" w:right="0"/>
        </w:sectPr>
      </w:pPr>
    </w:p>
    <w:p>
      <w:pPr>
        <w:pStyle w:val="Heading5"/>
        <w:spacing w:before="79"/>
        <w:ind w:left="1342"/>
      </w:pPr>
      <w:r>
        <w:rPr/>
        <w:t>Índice</w:t>
      </w:r>
      <w:r>
        <w:rPr>
          <w:spacing w:val="-4"/>
        </w:rPr>
        <w:t> </w:t>
      </w:r>
      <w:r>
        <w:rPr/>
        <w:t>de</w:t>
      </w:r>
      <w:r>
        <w:rPr>
          <w:spacing w:val="-2"/>
        </w:rPr>
        <w:t> Figuras:</w:t>
      </w:r>
    </w:p>
    <w:p>
      <w:pPr>
        <w:tabs>
          <w:tab w:pos="9947" w:val="left" w:leader="none"/>
        </w:tabs>
        <w:spacing w:before="344"/>
        <w:ind w:left="1342" w:right="0" w:firstLine="0"/>
        <w:jc w:val="left"/>
        <w:rPr>
          <w:sz w:val="20"/>
        </w:rPr>
      </w:pPr>
      <w:hyperlink w:history="true" w:anchor="_bookmark10">
        <w:r>
          <w:rPr>
            <w:sz w:val="20"/>
          </w:rPr>
          <w:t>Figura</w:t>
        </w:r>
        <w:r>
          <w:rPr>
            <w:spacing w:val="-6"/>
            <w:sz w:val="20"/>
          </w:rPr>
          <w:t> </w:t>
        </w:r>
        <w:r>
          <w:rPr>
            <w:sz w:val="20"/>
          </w:rPr>
          <w:t>1:</w:t>
        </w:r>
        <w:r>
          <w:rPr>
            <w:spacing w:val="-8"/>
            <w:sz w:val="20"/>
          </w:rPr>
          <w:t> </w:t>
        </w:r>
        <w:r>
          <w:rPr>
            <w:sz w:val="20"/>
          </w:rPr>
          <w:t>Organigrama</w:t>
        </w:r>
        <w:r>
          <w:rPr>
            <w:spacing w:val="-6"/>
            <w:sz w:val="20"/>
          </w:rPr>
          <w:t> </w:t>
        </w:r>
        <w:r>
          <w:rPr>
            <w:sz w:val="20"/>
          </w:rPr>
          <w:t>institucional</w:t>
        </w:r>
        <w:r>
          <w:rPr>
            <w:spacing w:val="-7"/>
            <w:sz w:val="20"/>
          </w:rPr>
          <w:t> </w:t>
        </w:r>
        <w:r>
          <w:rPr>
            <w:sz w:val="20"/>
          </w:rPr>
          <w:t>del</w:t>
        </w:r>
        <w:r>
          <w:rPr>
            <w:spacing w:val="-8"/>
            <w:sz w:val="20"/>
          </w:rPr>
          <w:t> </w:t>
        </w:r>
        <w:r>
          <w:rPr>
            <w:sz w:val="20"/>
          </w:rPr>
          <w:t>IMAS</w:t>
        </w:r>
        <w:r>
          <w:rPr>
            <w:spacing w:val="-8"/>
            <w:sz w:val="20"/>
          </w:rPr>
          <w:t> </w:t>
        </w:r>
        <w:r>
          <w:rPr>
            <w:sz w:val="20"/>
          </w:rPr>
          <w:t>al</w:t>
        </w:r>
        <w:r>
          <w:rPr>
            <w:spacing w:val="-8"/>
            <w:sz w:val="20"/>
          </w:rPr>
          <w:t> </w:t>
        </w:r>
        <w:r>
          <w:rPr>
            <w:spacing w:val="-4"/>
            <w:sz w:val="20"/>
          </w:rPr>
          <w:t>2026</w:t>
        </w:r>
        <w:r>
          <w:rPr>
            <w:sz w:val="20"/>
          </w:rPr>
          <w:tab/>
        </w:r>
        <w:r>
          <w:rPr>
            <w:spacing w:val="-5"/>
            <w:sz w:val="20"/>
          </w:rPr>
          <w:t>42</w:t>
        </w:r>
      </w:hyperlink>
    </w:p>
    <w:p>
      <w:pPr>
        <w:tabs>
          <w:tab w:pos="9947" w:val="left" w:leader="none"/>
        </w:tabs>
        <w:spacing w:before="115"/>
        <w:ind w:left="1342" w:right="0" w:firstLine="0"/>
        <w:jc w:val="left"/>
        <w:rPr>
          <w:sz w:val="20"/>
        </w:rPr>
      </w:pPr>
      <w:hyperlink w:history="true" w:anchor="_bookmark18">
        <w:r>
          <w:rPr>
            <w:sz w:val="20"/>
          </w:rPr>
          <w:t>Figura</w:t>
        </w:r>
        <w:r>
          <w:rPr>
            <w:spacing w:val="-8"/>
            <w:sz w:val="20"/>
          </w:rPr>
          <w:t> </w:t>
        </w:r>
        <w:r>
          <w:rPr>
            <w:sz w:val="20"/>
          </w:rPr>
          <w:t>2:</w:t>
        </w:r>
        <w:r>
          <w:rPr>
            <w:spacing w:val="40"/>
            <w:sz w:val="20"/>
          </w:rPr>
          <w:t> </w:t>
        </w:r>
        <w:r>
          <w:rPr>
            <w:sz w:val="20"/>
          </w:rPr>
          <w:t>ARDS-ULDS</w:t>
        </w:r>
        <w:r>
          <w:rPr>
            <w:spacing w:val="-9"/>
            <w:sz w:val="20"/>
          </w:rPr>
          <w:t> </w:t>
        </w:r>
        <w:r>
          <w:rPr>
            <w:sz w:val="20"/>
          </w:rPr>
          <w:t>participantes</w:t>
        </w:r>
        <w:r>
          <w:rPr>
            <w:spacing w:val="-6"/>
            <w:sz w:val="20"/>
          </w:rPr>
          <w:t> </w:t>
        </w:r>
        <w:r>
          <w:rPr>
            <w:sz w:val="20"/>
          </w:rPr>
          <w:t>del</w:t>
        </w:r>
        <w:r>
          <w:rPr>
            <w:spacing w:val="-8"/>
            <w:sz w:val="20"/>
          </w:rPr>
          <w:t> </w:t>
        </w:r>
        <w:r>
          <w:rPr>
            <w:sz w:val="20"/>
          </w:rPr>
          <w:t>proceso</w:t>
        </w:r>
        <w:r>
          <w:rPr>
            <w:spacing w:val="-7"/>
            <w:sz w:val="20"/>
          </w:rPr>
          <w:t> </w:t>
        </w:r>
        <w:r>
          <w:rPr>
            <w:sz w:val="20"/>
          </w:rPr>
          <w:t>de</w:t>
        </w:r>
        <w:r>
          <w:rPr>
            <w:spacing w:val="-8"/>
            <w:sz w:val="20"/>
          </w:rPr>
          <w:t> </w:t>
        </w:r>
        <w:r>
          <w:rPr>
            <w:sz w:val="20"/>
          </w:rPr>
          <w:t>Autoevaluación</w:t>
        </w:r>
        <w:r>
          <w:rPr>
            <w:spacing w:val="-8"/>
            <w:sz w:val="20"/>
          </w:rPr>
          <w:t> </w:t>
        </w:r>
        <w:r>
          <w:rPr>
            <w:spacing w:val="-4"/>
            <w:sz w:val="20"/>
          </w:rPr>
          <w:t>2026</w:t>
        </w:r>
        <w:r>
          <w:rPr>
            <w:sz w:val="20"/>
          </w:rPr>
          <w:tab/>
        </w:r>
        <w:r>
          <w:rPr>
            <w:spacing w:val="-5"/>
            <w:sz w:val="20"/>
          </w:rPr>
          <w:t>50</w:t>
        </w:r>
      </w:hyperlink>
    </w:p>
    <w:p>
      <w:pPr>
        <w:tabs>
          <w:tab w:pos="9947" w:val="left" w:leader="none"/>
        </w:tabs>
        <w:spacing w:before="114"/>
        <w:ind w:left="1342" w:right="0" w:firstLine="0"/>
        <w:jc w:val="left"/>
        <w:rPr>
          <w:sz w:val="20"/>
        </w:rPr>
      </w:pPr>
      <w:hyperlink w:history="true" w:anchor="_bookmark37">
        <w:r>
          <w:rPr>
            <w:sz w:val="20"/>
          </w:rPr>
          <w:t>Figura</w:t>
        </w:r>
        <w:r>
          <w:rPr>
            <w:spacing w:val="-7"/>
            <w:sz w:val="20"/>
          </w:rPr>
          <w:t> </w:t>
        </w:r>
        <w:r>
          <w:rPr>
            <w:sz w:val="20"/>
          </w:rPr>
          <w:t>3:</w:t>
        </w:r>
        <w:r>
          <w:rPr>
            <w:spacing w:val="-9"/>
            <w:sz w:val="20"/>
          </w:rPr>
          <w:t> </w:t>
        </w:r>
        <w:r>
          <w:rPr>
            <w:sz w:val="20"/>
          </w:rPr>
          <w:t>Representación</w:t>
        </w:r>
        <w:r>
          <w:rPr>
            <w:spacing w:val="-8"/>
            <w:sz w:val="20"/>
          </w:rPr>
          <w:t> </w:t>
        </w:r>
        <w:r>
          <w:rPr>
            <w:sz w:val="20"/>
          </w:rPr>
          <w:t>diagramática</w:t>
        </w:r>
        <w:r>
          <w:rPr>
            <w:spacing w:val="-9"/>
            <w:sz w:val="20"/>
          </w:rPr>
          <w:t> </w:t>
        </w:r>
        <w:r>
          <w:rPr>
            <w:sz w:val="20"/>
          </w:rPr>
          <w:t>del</w:t>
        </w:r>
        <w:r>
          <w:rPr>
            <w:spacing w:val="-7"/>
            <w:sz w:val="20"/>
          </w:rPr>
          <w:t> </w:t>
        </w:r>
        <w:r>
          <w:rPr>
            <w:sz w:val="20"/>
          </w:rPr>
          <w:t>árbol</w:t>
        </w:r>
        <w:r>
          <w:rPr>
            <w:spacing w:val="-10"/>
            <w:sz w:val="20"/>
          </w:rPr>
          <w:t> </w:t>
        </w:r>
        <w:r>
          <w:rPr>
            <w:sz w:val="20"/>
          </w:rPr>
          <w:t>de</w:t>
        </w:r>
        <w:r>
          <w:rPr>
            <w:spacing w:val="-7"/>
            <w:sz w:val="20"/>
          </w:rPr>
          <w:t> </w:t>
        </w:r>
        <w:r>
          <w:rPr>
            <w:spacing w:val="-2"/>
            <w:sz w:val="20"/>
          </w:rPr>
          <w:t>problemas</w:t>
        </w:r>
        <w:r>
          <w:rPr>
            <w:sz w:val="20"/>
          </w:rPr>
          <w:tab/>
        </w:r>
        <w:r>
          <w:rPr>
            <w:spacing w:val="-5"/>
            <w:sz w:val="20"/>
          </w:rPr>
          <w:t>83</w:t>
        </w:r>
      </w:hyperlink>
    </w:p>
    <w:p>
      <w:pPr>
        <w:pStyle w:val="BodyText"/>
        <w:rPr>
          <w:sz w:val="20"/>
        </w:rPr>
      </w:pPr>
    </w:p>
    <w:p>
      <w:pPr>
        <w:pStyle w:val="BodyText"/>
        <w:rPr>
          <w:sz w:val="20"/>
        </w:rPr>
      </w:pPr>
    </w:p>
    <w:p>
      <w:pPr>
        <w:pStyle w:val="BodyText"/>
        <w:spacing w:before="59"/>
        <w:rPr>
          <w:sz w:val="20"/>
        </w:rPr>
      </w:pPr>
    </w:p>
    <w:p>
      <w:pPr>
        <w:pStyle w:val="Heading5"/>
        <w:ind w:left="1342"/>
      </w:pPr>
      <w:r>
        <w:rPr/>
        <w:t>Lista</w:t>
      </w:r>
      <w:r>
        <w:rPr>
          <w:spacing w:val="-3"/>
        </w:rPr>
        <w:t> </w:t>
      </w:r>
      <w:r>
        <w:rPr/>
        <w:t>de</w:t>
      </w:r>
      <w:r>
        <w:rPr>
          <w:spacing w:val="-2"/>
        </w:rPr>
        <w:t> Acrónimos</w:t>
      </w:r>
    </w:p>
    <w:p>
      <w:pPr>
        <w:pStyle w:val="BodyText"/>
        <w:spacing w:before="3"/>
        <w:rPr>
          <w:b/>
        </w:rPr>
      </w:pPr>
    </w:p>
    <w:p>
      <w:pPr>
        <w:pStyle w:val="BodyText"/>
        <w:spacing w:line="429" w:lineRule="auto"/>
        <w:ind w:left="1342" w:right="5503"/>
      </w:pPr>
      <w:r>
        <w:rPr/>
        <w:t>AIDO: Aeropuerto Internacional Daniel Oduber AIJS:</w:t>
      </w:r>
      <w:r>
        <w:rPr>
          <w:spacing w:val="-8"/>
        </w:rPr>
        <w:t> </w:t>
      </w:r>
      <w:r>
        <w:rPr/>
        <w:t>Aeropuerto</w:t>
      </w:r>
      <w:r>
        <w:rPr>
          <w:spacing w:val="-11"/>
        </w:rPr>
        <w:t> </w:t>
      </w:r>
      <w:r>
        <w:rPr/>
        <w:t>Internacional</w:t>
      </w:r>
      <w:r>
        <w:rPr>
          <w:spacing w:val="-10"/>
        </w:rPr>
        <w:t> </w:t>
      </w:r>
      <w:r>
        <w:rPr/>
        <w:t>Juan</w:t>
      </w:r>
      <w:r>
        <w:rPr>
          <w:spacing w:val="-9"/>
        </w:rPr>
        <w:t> </w:t>
      </w:r>
      <w:r>
        <w:rPr/>
        <w:t>Santamaría ARDS: Área Regional de Desarrollo Social</w:t>
      </w:r>
    </w:p>
    <w:p>
      <w:pPr>
        <w:pStyle w:val="BodyText"/>
        <w:spacing w:before="1"/>
        <w:ind w:left="1342"/>
      </w:pPr>
      <w:r>
        <w:rPr/>
        <w:t>CD:</w:t>
      </w:r>
      <w:r>
        <w:rPr>
          <w:spacing w:val="-4"/>
        </w:rPr>
        <w:t> </w:t>
      </w:r>
      <w:r>
        <w:rPr/>
        <w:t>Consejo</w:t>
      </w:r>
      <w:r>
        <w:rPr>
          <w:spacing w:val="-6"/>
        </w:rPr>
        <w:t> </w:t>
      </w:r>
      <w:r>
        <w:rPr>
          <w:spacing w:val="-2"/>
        </w:rPr>
        <w:t>Directivo</w:t>
      </w:r>
    </w:p>
    <w:p>
      <w:pPr>
        <w:pStyle w:val="BodyText"/>
        <w:spacing w:line="429" w:lineRule="auto" w:before="198"/>
        <w:ind w:left="1342" w:right="5867"/>
      </w:pPr>
      <w:r>
        <w:rPr/>
        <w:t>CETAC:</w:t>
      </w:r>
      <w:r>
        <w:rPr>
          <w:spacing w:val="-7"/>
        </w:rPr>
        <w:t> </w:t>
      </w:r>
      <w:r>
        <w:rPr/>
        <w:t>Consejo</w:t>
      </w:r>
      <w:r>
        <w:rPr>
          <w:spacing w:val="-10"/>
        </w:rPr>
        <w:t> </w:t>
      </w:r>
      <w:r>
        <w:rPr/>
        <w:t>Técnico</w:t>
      </w:r>
      <w:r>
        <w:rPr>
          <w:spacing w:val="-8"/>
        </w:rPr>
        <w:t> </w:t>
      </w:r>
      <w:r>
        <w:rPr/>
        <w:t>de</w:t>
      </w:r>
      <w:r>
        <w:rPr>
          <w:spacing w:val="-8"/>
        </w:rPr>
        <w:t> </w:t>
      </w:r>
      <w:r>
        <w:rPr/>
        <w:t>Aviación</w:t>
      </w:r>
      <w:r>
        <w:rPr>
          <w:spacing w:val="-8"/>
        </w:rPr>
        <w:t> </w:t>
      </w:r>
      <w:r>
        <w:rPr/>
        <w:t>Civil CGR: Contraloría General de la República</w:t>
      </w:r>
    </w:p>
    <w:p>
      <w:pPr>
        <w:pStyle w:val="BodyText"/>
        <w:spacing w:line="429" w:lineRule="auto" w:before="1"/>
        <w:ind w:left="1342" w:right="2971"/>
      </w:pPr>
      <w:r>
        <w:rPr/>
        <w:t>DASAI:</w:t>
      </w:r>
      <w:r>
        <w:rPr>
          <w:spacing w:val="-3"/>
        </w:rPr>
        <w:t> </w:t>
      </w:r>
      <w:r>
        <w:rPr/>
        <w:t>Departamento</w:t>
      </w:r>
      <w:r>
        <w:rPr>
          <w:spacing w:val="-7"/>
        </w:rPr>
        <w:t> </w:t>
      </w:r>
      <w:r>
        <w:rPr/>
        <w:t>de</w:t>
      </w:r>
      <w:r>
        <w:rPr>
          <w:spacing w:val="-5"/>
        </w:rPr>
        <w:t> </w:t>
      </w:r>
      <w:r>
        <w:rPr/>
        <w:t>Acción</w:t>
      </w:r>
      <w:r>
        <w:rPr>
          <w:spacing w:val="-5"/>
        </w:rPr>
        <w:t> </w:t>
      </w:r>
      <w:r>
        <w:rPr/>
        <w:t>Social</w:t>
      </w:r>
      <w:r>
        <w:rPr>
          <w:spacing w:val="-6"/>
        </w:rPr>
        <w:t> </w:t>
      </w:r>
      <w:r>
        <w:rPr/>
        <w:t>y</w:t>
      </w:r>
      <w:r>
        <w:rPr>
          <w:spacing w:val="-4"/>
        </w:rPr>
        <w:t> </w:t>
      </w:r>
      <w:r>
        <w:rPr/>
        <w:t>Administración</w:t>
      </w:r>
      <w:r>
        <w:rPr>
          <w:spacing w:val="-7"/>
        </w:rPr>
        <w:t> </w:t>
      </w:r>
      <w:r>
        <w:rPr/>
        <w:t>de</w:t>
      </w:r>
      <w:r>
        <w:rPr>
          <w:spacing w:val="-7"/>
        </w:rPr>
        <w:t> </w:t>
      </w:r>
      <w:r>
        <w:rPr/>
        <w:t>Instituciones DBF: Departamento de Bienestar Familiar</w:t>
      </w:r>
    </w:p>
    <w:p>
      <w:pPr>
        <w:pStyle w:val="BodyText"/>
        <w:spacing w:line="252" w:lineRule="exact"/>
        <w:ind w:left="1342"/>
      </w:pPr>
      <w:r>
        <w:rPr/>
        <w:t>DDS:</w:t>
      </w:r>
      <w:r>
        <w:rPr>
          <w:spacing w:val="-5"/>
        </w:rPr>
        <w:t> </w:t>
      </w:r>
      <w:r>
        <w:rPr/>
        <w:t>Dirección</w:t>
      </w:r>
      <w:r>
        <w:rPr>
          <w:spacing w:val="-7"/>
        </w:rPr>
        <w:t> </w:t>
      </w:r>
      <w:r>
        <w:rPr/>
        <w:t>de</w:t>
      </w:r>
      <w:r>
        <w:rPr>
          <w:spacing w:val="-9"/>
        </w:rPr>
        <w:t> </w:t>
      </w:r>
      <w:r>
        <w:rPr/>
        <w:t>Desarrollo</w:t>
      </w:r>
      <w:r>
        <w:rPr>
          <w:spacing w:val="-6"/>
        </w:rPr>
        <w:t> </w:t>
      </w:r>
      <w:r>
        <w:rPr>
          <w:spacing w:val="-2"/>
        </w:rPr>
        <w:t>Social</w:t>
      </w:r>
    </w:p>
    <w:p>
      <w:pPr>
        <w:pStyle w:val="BodyText"/>
        <w:spacing w:before="201"/>
        <w:ind w:left="1342"/>
      </w:pPr>
      <w:r>
        <w:rPr/>
        <w:t>DDSE:</w:t>
      </w:r>
      <w:r>
        <w:rPr>
          <w:spacing w:val="-5"/>
        </w:rPr>
        <w:t> </w:t>
      </w:r>
      <w:r>
        <w:rPr/>
        <w:t>Departamento</w:t>
      </w:r>
      <w:r>
        <w:rPr>
          <w:spacing w:val="-8"/>
        </w:rPr>
        <w:t> </w:t>
      </w:r>
      <w:r>
        <w:rPr/>
        <w:t>de</w:t>
      </w:r>
      <w:r>
        <w:rPr>
          <w:spacing w:val="-8"/>
        </w:rPr>
        <w:t> </w:t>
      </w:r>
      <w:r>
        <w:rPr/>
        <w:t>Desarrollo</w:t>
      </w:r>
      <w:r>
        <w:rPr>
          <w:spacing w:val="-6"/>
        </w:rPr>
        <w:t> </w:t>
      </w:r>
      <w:r>
        <w:rPr>
          <w:spacing w:val="-2"/>
        </w:rPr>
        <w:t>Socioeducativo</w:t>
      </w:r>
    </w:p>
    <w:p>
      <w:pPr>
        <w:pStyle w:val="BodyText"/>
        <w:spacing w:line="429" w:lineRule="auto" w:before="201"/>
        <w:ind w:left="1342" w:right="3875"/>
      </w:pPr>
      <w:r>
        <w:rPr/>
        <w:t>DDSPC:</w:t>
      </w:r>
      <w:r>
        <w:rPr>
          <w:spacing w:val="-5"/>
        </w:rPr>
        <w:t> </w:t>
      </w:r>
      <w:r>
        <w:rPr/>
        <w:t>Departamento</w:t>
      </w:r>
      <w:r>
        <w:rPr>
          <w:spacing w:val="-10"/>
        </w:rPr>
        <w:t> </w:t>
      </w:r>
      <w:r>
        <w:rPr/>
        <w:t>Desarrollo</w:t>
      </w:r>
      <w:r>
        <w:rPr>
          <w:spacing w:val="-7"/>
        </w:rPr>
        <w:t> </w:t>
      </w:r>
      <w:r>
        <w:rPr/>
        <w:t>Socio</w:t>
      </w:r>
      <w:r>
        <w:rPr>
          <w:spacing w:val="-7"/>
        </w:rPr>
        <w:t> </w:t>
      </w:r>
      <w:r>
        <w:rPr/>
        <w:t>Productivo</w:t>
      </w:r>
      <w:r>
        <w:rPr>
          <w:spacing w:val="-7"/>
        </w:rPr>
        <w:t> </w:t>
      </w:r>
      <w:r>
        <w:rPr/>
        <w:t>y</w:t>
      </w:r>
      <w:r>
        <w:rPr>
          <w:spacing w:val="-6"/>
        </w:rPr>
        <w:t> </w:t>
      </w:r>
      <w:r>
        <w:rPr/>
        <w:t>Comunal DGR: Dirección de Gestión de Recursos</w:t>
      </w:r>
    </w:p>
    <w:p>
      <w:pPr>
        <w:pStyle w:val="BodyText"/>
        <w:spacing w:line="252" w:lineRule="exact"/>
        <w:ind w:left="1342"/>
      </w:pPr>
      <w:r>
        <w:rPr/>
        <w:t>DSA:</w:t>
      </w:r>
      <w:r>
        <w:rPr>
          <w:spacing w:val="-4"/>
        </w:rPr>
        <w:t> </w:t>
      </w:r>
      <w:r>
        <w:rPr/>
        <w:t>Dirección</w:t>
      </w:r>
      <w:r>
        <w:rPr>
          <w:spacing w:val="-5"/>
        </w:rPr>
        <w:t> </w:t>
      </w:r>
      <w:r>
        <w:rPr/>
        <w:t>de</w:t>
      </w:r>
      <w:r>
        <w:rPr>
          <w:spacing w:val="-6"/>
        </w:rPr>
        <w:t> </w:t>
      </w:r>
      <w:r>
        <w:rPr/>
        <w:t>Soporte</w:t>
      </w:r>
      <w:r>
        <w:rPr>
          <w:spacing w:val="-5"/>
        </w:rPr>
        <w:t> </w:t>
      </w:r>
      <w:r>
        <w:rPr>
          <w:spacing w:val="-2"/>
        </w:rPr>
        <w:t>Administrativo</w:t>
      </w:r>
    </w:p>
    <w:p>
      <w:pPr>
        <w:pStyle w:val="BodyText"/>
        <w:spacing w:line="429" w:lineRule="auto" w:before="201"/>
        <w:ind w:left="1342" w:right="4388"/>
      </w:pPr>
      <w:r>
        <w:rPr/>
        <w:t>DSIS:</w:t>
      </w:r>
      <w:r>
        <w:rPr>
          <w:spacing w:val="-4"/>
        </w:rPr>
        <w:t> </w:t>
      </w:r>
      <w:r>
        <w:rPr/>
        <w:t>Departamento</w:t>
      </w:r>
      <w:r>
        <w:rPr>
          <w:spacing w:val="-8"/>
        </w:rPr>
        <w:t> </w:t>
      </w:r>
      <w:r>
        <w:rPr/>
        <w:t>de</w:t>
      </w:r>
      <w:r>
        <w:rPr>
          <w:spacing w:val="-7"/>
        </w:rPr>
        <w:t> </w:t>
      </w:r>
      <w:r>
        <w:rPr/>
        <w:t>Sistema</w:t>
      </w:r>
      <w:r>
        <w:rPr>
          <w:spacing w:val="-5"/>
        </w:rPr>
        <w:t> </w:t>
      </w:r>
      <w:r>
        <w:rPr/>
        <w:t>de</w:t>
      </w:r>
      <w:r>
        <w:rPr>
          <w:spacing w:val="-8"/>
        </w:rPr>
        <w:t> </w:t>
      </w:r>
      <w:r>
        <w:rPr/>
        <w:t>Información</w:t>
      </w:r>
      <w:r>
        <w:rPr>
          <w:spacing w:val="-10"/>
        </w:rPr>
        <w:t> </w:t>
      </w:r>
      <w:r>
        <w:rPr/>
        <w:t>Social ENAHO: Encuesta Nacional de Hogares</w:t>
      </w:r>
    </w:p>
    <w:p>
      <w:pPr>
        <w:pStyle w:val="BodyText"/>
        <w:spacing w:before="1"/>
        <w:ind w:left="1342"/>
      </w:pPr>
      <w:r>
        <w:rPr/>
        <w:t>FIS:</w:t>
      </w:r>
      <w:r>
        <w:rPr>
          <w:spacing w:val="-3"/>
        </w:rPr>
        <w:t> </w:t>
      </w:r>
      <w:r>
        <w:rPr/>
        <w:t>Ficha</w:t>
      </w:r>
      <w:r>
        <w:rPr>
          <w:spacing w:val="-7"/>
        </w:rPr>
        <w:t> </w:t>
      </w:r>
      <w:r>
        <w:rPr/>
        <w:t>de</w:t>
      </w:r>
      <w:r>
        <w:rPr>
          <w:spacing w:val="-7"/>
        </w:rPr>
        <w:t> </w:t>
      </w:r>
      <w:r>
        <w:rPr/>
        <w:t>Información</w:t>
      </w:r>
      <w:r>
        <w:rPr>
          <w:spacing w:val="-4"/>
        </w:rPr>
        <w:t> </w:t>
      </w:r>
      <w:r>
        <w:rPr>
          <w:spacing w:val="-2"/>
        </w:rPr>
        <w:t>Social</w:t>
      </w:r>
    </w:p>
    <w:p>
      <w:pPr>
        <w:pStyle w:val="BodyText"/>
        <w:spacing w:line="432" w:lineRule="auto" w:before="198"/>
        <w:ind w:left="1342" w:right="3875"/>
      </w:pPr>
      <w:r>
        <w:rPr/>
        <w:t>FODESAF:</w:t>
      </w:r>
      <w:r>
        <w:rPr>
          <w:spacing w:val="-5"/>
        </w:rPr>
        <w:t> </w:t>
      </w:r>
      <w:r>
        <w:rPr/>
        <w:t>Fondo</w:t>
      </w:r>
      <w:r>
        <w:rPr>
          <w:spacing w:val="-7"/>
        </w:rPr>
        <w:t> </w:t>
      </w:r>
      <w:r>
        <w:rPr/>
        <w:t>de</w:t>
      </w:r>
      <w:r>
        <w:rPr>
          <w:spacing w:val="-5"/>
        </w:rPr>
        <w:t> </w:t>
      </w:r>
      <w:r>
        <w:rPr/>
        <w:t>Desarrollo</w:t>
      </w:r>
      <w:r>
        <w:rPr>
          <w:spacing w:val="-5"/>
        </w:rPr>
        <w:t> </w:t>
      </w:r>
      <w:r>
        <w:rPr/>
        <w:t>Social</w:t>
      </w:r>
      <w:r>
        <w:rPr>
          <w:spacing w:val="-6"/>
        </w:rPr>
        <w:t> </w:t>
      </w:r>
      <w:r>
        <w:rPr/>
        <w:t>y</w:t>
      </w:r>
      <w:r>
        <w:rPr>
          <w:spacing w:val="-5"/>
        </w:rPr>
        <w:t> </w:t>
      </w:r>
      <w:r>
        <w:rPr/>
        <w:t>Asignaciones</w:t>
      </w:r>
      <w:r>
        <w:rPr>
          <w:spacing w:val="-5"/>
        </w:rPr>
        <w:t> </w:t>
      </w:r>
      <w:r>
        <w:rPr/>
        <w:t>Familiares GpRD: Gestión para Resultados de Desarrollo</w:t>
      </w:r>
    </w:p>
    <w:p>
      <w:pPr>
        <w:pStyle w:val="BodyText"/>
        <w:spacing w:line="250" w:lineRule="exact"/>
        <w:ind w:left="1342"/>
      </w:pPr>
      <w:r>
        <w:rPr/>
        <w:t>IMAS:</w:t>
      </w:r>
      <w:r>
        <w:rPr>
          <w:spacing w:val="-5"/>
        </w:rPr>
        <w:t> </w:t>
      </w:r>
      <w:r>
        <w:rPr/>
        <w:t>Instituto</w:t>
      </w:r>
      <w:r>
        <w:rPr>
          <w:spacing w:val="-5"/>
        </w:rPr>
        <w:t> </w:t>
      </w:r>
      <w:r>
        <w:rPr/>
        <w:t>Mixto</w:t>
      </w:r>
      <w:r>
        <w:rPr>
          <w:spacing w:val="-6"/>
        </w:rPr>
        <w:t> </w:t>
      </w:r>
      <w:r>
        <w:rPr/>
        <w:t>de</w:t>
      </w:r>
      <w:r>
        <w:rPr>
          <w:spacing w:val="-5"/>
        </w:rPr>
        <w:t> </w:t>
      </w:r>
      <w:r>
        <w:rPr/>
        <w:t>Ayuda</w:t>
      </w:r>
      <w:r>
        <w:rPr>
          <w:spacing w:val="-3"/>
        </w:rPr>
        <w:t> </w:t>
      </w:r>
      <w:r>
        <w:rPr>
          <w:spacing w:val="-2"/>
        </w:rPr>
        <w:t>Social</w:t>
      </w:r>
    </w:p>
    <w:p>
      <w:pPr>
        <w:pStyle w:val="BodyText"/>
        <w:spacing w:line="427" w:lineRule="auto" w:before="201"/>
        <w:ind w:left="1342" w:right="5503"/>
      </w:pPr>
      <w:r>
        <w:rPr/>
        <w:t>INEC:</w:t>
      </w:r>
      <w:r>
        <w:rPr>
          <w:spacing w:val="-7"/>
        </w:rPr>
        <w:t> </w:t>
      </w:r>
      <w:r>
        <w:rPr/>
        <w:t>Instituto</w:t>
      </w:r>
      <w:r>
        <w:rPr>
          <w:spacing w:val="-8"/>
        </w:rPr>
        <w:t> </w:t>
      </w:r>
      <w:r>
        <w:rPr/>
        <w:t>Nacional</w:t>
      </w:r>
      <w:r>
        <w:rPr>
          <w:spacing w:val="-7"/>
        </w:rPr>
        <w:t> </w:t>
      </w:r>
      <w:r>
        <w:rPr/>
        <w:t>de</w:t>
      </w:r>
      <w:r>
        <w:rPr>
          <w:spacing w:val="-6"/>
        </w:rPr>
        <w:t> </w:t>
      </w:r>
      <w:r>
        <w:rPr/>
        <w:t>Estadísticas</w:t>
      </w:r>
      <w:r>
        <w:rPr>
          <w:spacing w:val="-8"/>
        </w:rPr>
        <w:t> </w:t>
      </w:r>
      <w:r>
        <w:rPr/>
        <w:t>y</w:t>
      </w:r>
      <w:r>
        <w:rPr>
          <w:spacing w:val="-8"/>
        </w:rPr>
        <w:t> </w:t>
      </w:r>
      <w:r>
        <w:rPr/>
        <w:t>Censos IPM: Índice de Pobreza Multidimensional</w:t>
      </w:r>
    </w:p>
    <w:p>
      <w:pPr>
        <w:pStyle w:val="BodyText"/>
        <w:spacing w:before="4"/>
        <w:ind w:left="1342"/>
      </w:pPr>
      <w:r>
        <w:rPr/>
        <w:t>MIDEPLAN:</w:t>
      </w:r>
      <w:r>
        <w:rPr>
          <w:spacing w:val="-9"/>
        </w:rPr>
        <w:t> </w:t>
      </w:r>
      <w:r>
        <w:rPr/>
        <w:t>Ministerio</w:t>
      </w:r>
      <w:r>
        <w:rPr>
          <w:spacing w:val="-10"/>
        </w:rPr>
        <w:t> </w:t>
      </w:r>
      <w:r>
        <w:rPr/>
        <w:t>de</w:t>
      </w:r>
      <w:r>
        <w:rPr>
          <w:spacing w:val="-7"/>
        </w:rPr>
        <w:t> </w:t>
      </w:r>
      <w:r>
        <w:rPr/>
        <w:t>Planificación</w:t>
      </w:r>
      <w:r>
        <w:rPr>
          <w:spacing w:val="-7"/>
        </w:rPr>
        <w:t> </w:t>
      </w:r>
      <w:r>
        <w:rPr/>
        <w:t>y</w:t>
      </w:r>
      <w:r>
        <w:rPr>
          <w:spacing w:val="-6"/>
        </w:rPr>
        <w:t> </w:t>
      </w:r>
      <w:r>
        <w:rPr/>
        <w:t>Política</w:t>
      </w:r>
      <w:r>
        <w:rPr>
          <w:spacing w:val="-9"/>
        </w:rPr>
        <w:t> </w:t>
      </w:r>
      <w:r>
        <w:rPr>
          <w:spacing w:val="-2"/>
        </w:rPr>
        <w:t>Económica</w:t>
      </w:r>
    </w:p>
    <w:p>
      <w:pPr>
        <w:pStyle w:val="BodyText"/>
        <w:spacing w:after="0"/>
        <w:sectPr>
          <w:pgSz w:w="12240" w:h="15840"/>
          <w:pgMar w:header="0" w:footer="1576" w:top="1340" w:bottom="1760" w:left="360" w:right="0"/>
        </w:sectPr>
      </w:pPr>
    </w:p>
    <w:p>
      <w:pPr>
        <w:pStyle w:val="BodyText"/>
        <w:spacing w:line="429" w:lineRule="auto" w:before="81"/>
        <w:ind w:left="1342" w:right="5503"/>
      </w:pPr>
      <w:r>
        <w:rPr/>
        <w:t>MTSS:</w:t>
      </w:r>
      <w:r>
        <w:rPr>
          <w:spacing w:val="-8"/>
        </w:rPr>
        <w:t> </w:t>
      </w:r>
      <w:r>
        <w:rPr/>
        <w:t>Ministerio</w:t>
      </w:r>
      <w:r>
        <w:rPr>
          <w:spacing w:val="-7"/>
        </w:rPr>
        <w:t> </w:t>
      </w:r>
      <w:r>
        <w:rPr/>
        <w:t>de</w:t>
      </w:r>
      <w:r>
        <w:rPr>
          <w:spacing w:val="-7"/>
        </w:rPr>
        <w:t> </w:t>
      </w:r>
      <w:r>
        <w:rPr/>
        <w:t>Trabajo</w:t>
      </w:r>
      <w:r>
        <w:rPr>
          <w:spacing w:val="-7"/>
        </w:rPr>
        <w:t> </w:t>
      </w:r>
      <w:r>
        <w:rPr/>
        <w:t>y</w:t>
      </w:r>
      <w:r>
        <w:rPr>
          <w:spacing w:val="-8"/>
        </w:rPr>
        <w:t> </w:t>
      </w:r>
      <w:r>
        <w:rPr/>
        <w:t>Seguridad</w:t>
      </w:r>
      <w:r>
        <w:rPr>
          <w:spacing w:val="-7"/>
        </w:rPr>
        <w:t> </w:t>
      </w:r>
      <w:r>
        <w:rPr/>
        <w:t>Social PEI: Plan Estratégico Institucional.</w:t>
      </w:r>
    </w:p>
    <w:p>
      <w:pPr>
        <w:pStyle w:val="BodyText"/>
        <w:spacing w:line="429" w:lineRule="auto"/>
        <w:ind w:left="1342" w:right="4388"/>
      </w:pPr>
      <w:r>
        <w:rPr/>
        <w:t>PNDIP:</w:t>
      </w:r>
      <w:r>
        <w:rPr>
          <w:spacing w:val="-4"/>
        </w:rPr>
        <w:t> </w:t>
      </w:r>
      <w:r>
        <w:rPr/>
        <w:t>Plan</w:t>
      </w:r>
      <w:r>
        <w:rPr>
          <w:spacing w:val="-6"/>
        </w:rPr>
        <w:t> </w:t>
      </w:r>
      <w:r>
        <w:rPr/>
        <w:t>Nacional</w:t>
      </w:r>
      <w:r>
        <w:rPr>
          <w:spacing w:val="-7"/>
        </w:rPr>
        <w:t> </w:t>
      </w:r>
      <w:r>
        <w:rPr/>
        <w:t>de</w:t>
      </w:r>
      <w:r>
        <w:rPr>
          <w:spacing w:val="-6"/>
        </w:rPr>
        <w:t> </w:t>
      </w:r>
      <w:r>
        <w:rPr/>
        <w:t>Desarrollo</w:t>
      </w:r>
      <w:r>
        <w:rPr>
          <w:spacing w:val="-6"/>
        </w:rPr>
        <w:t> </w:t>
      </w:r>
      <w:r>
        <w:rPr/>
        <w:t>e</w:t>
      </w:r>
      <w:r>
        <w:rPr>
          <w:spacing w:val="-8"/>
        </w:rPr>
        <w:t> </w:t>
      </w:r>
      <w:r>
        <w:rPr/>
        <w:t>Inversiones</w:t>
      </w:r>
      <w:r>
        <w:rPr>
          <w:spacing w:val="-5"/>
        </w:rPr>
        <w:t> </w:t>
      </w:r>
      <w:r>
        <w:rPr/>
        <w:t>Públicas POGE: Planes Operativos Gerenciales Estratégicos</w:t>
      </w:r>
    </w:p>
    <w:p>
      <w:pPr>
        <w:pStyle w:val="BodyText"/>
        <w:spacing w:line="429" w:lineRule="auto" w:before="1"/>
        <w:ind w:left="1342" w:right="5834"/>
      </w:pPr>
      <w:r>
        <w:rPr/>
        <w:t>POI-2027: Plan Operativo Institucional 2027 PPPS:</w:t>
      </w:r>
      <w:r>
        <w:rPr>
          <w:spacing w:val="-7"/>
        </w:rPr>
        <w:t> </w:t>
      </w:r>
      <w:r>
        <w:rPr/>
        <w:t>Programa</w:t>
      </w:r>
      <w:r>
        <w:rPr>
          <w:spacing w:val="-10"/>
        </w:rPr>
        <w:t> </w:t>
      </w:r>
      <w:r>
        <w:rPr/>
        <w:t>Protección</w:t>
      </w:r>
      <w:r>
        <w:rPr>
          <w:spacing w:val="-8"/>
        </w:rPr>
        <w:t> </w:t>
      </w:r>
      <w:r>
        <w:rPr/>
        <w:t>y</w:t>
      </w:r>
      <w:r>
        <w:rPr>
          <w:spacing w:val="-7"/>
        </w:rPr>
        <w:t> </w:t>
      </w:r>
      <w:r>
        <w:rPr/>
        <w:t>Promoción</w:t>
      </w:r>
      <w:r>
        <w:rPr>
          <w:spacing w:val="-8"/>
        </w:rPr>
        <w:t> </w:t>
      </w:r>
      <w:r>
        <w:rPr/>
        <w:t>Social SABEN: Sistema de Atención de Beneficiarios SACI: Sistema de Atención a la Ciudadanía</w:t>
      </w:r>
      <w:r>
        <w:rPr>
          <w:spacing w:val="40"/>
        </w:rPr>
        <w:t> </w:t>
      </w:r>
      <w:r>
        <w:rPr/>
        <w:t>SCI: Sistema de Control Interno</w:t>
      </w:r>
    </w:p>
    <w:p>
      <w:pPr>
        <w:pStyle w:val="BodyText"/>
        <w:spacing w:before="2"/>
        <w:ind w:left="1342"/>
      </w:pPr>
      <w:r>
        <w:rPr/>
        <w:t>SIAT:</w:t>
      </w:r>
      <w:r>
        <w:rPr>
          <w:spacing w:val="-6"/>
        </w:rPr>
        <w:t> </w:t>
      </w:r>
      <w:r>
        <w:rPr/>
        <w:t>Sistema</w:t>
      </w:r>
      <w:r>
        <w:rPr>
          <w:spacing w:val="-8"/>
        </w:rPr>
        <w:t> </w:t>
      </w:r>
      <w:r>
        <w:rPr/>
        <w:t>Informático</w:t>
      </w:r>
      <w:r>
        <w:rPr>
          <w:spacing w:val="-6"/>
        </w:rPr>
        <w:t> </w:t>
      </w:r>
      <w:r>
        <w:rPr/>
        <w:t>de</w:t>
      </w:r>
      <w:r>
        <w:rPr>
          <w:spacing w:val="-6"/>
        </w:rPr>
        <w:t> </w:t>
      </w:r>
      <w:r>
        <w:rPr/>
        <w:t>Administración</w:t>
      </w:r>
      <w:r>
        <w:rPr>
          <w:spacing w:val="-6"/>
        </w:rPr>
        <w:t> </w:t>
      </w:r>
      <w:r>
        <w:rPr>
          <w:spacing w:val="-2"/>
        </w:rPr>
        <w:t>Tributaria</w:t>
      </w:r>
    </w:p>
    <w:p>
      <w:pPr>
        <w:pStyle w:val="BodyText"/>
        <w:spacing w:line="429" w:lineRule="auto" w:before="198"/>
        <w:ind w:left="1342" w:right="2319"/>
      </w:pPr>
      <w:r>
        <w:rPr/>
        <w:t>SINIRUBE:</w:t>
      </w:r>
      <w:r>
        <w:rPr>
          <w:spacing w:val="-2"/>
        </w:rPr>
        <w:t> </w:t>
      </w:r>
      <w:r>
        <w:rPr/>
        <w:t>Sistema</w:t>
      </w:r>
      <w:r>
        <w:rPr>
          <w:spacing w:val="-4"/>
        </w:rPr>
        <w:t> </w:t>
      </w:r>
      <w:r>
        <w:rPr/>
        <w:t>Nacional</w:t>
      </w:r>
      <w:r>
        <w:rPr>
          <w:spacing w:val="-5"/>
        </w:rPr>
        <w:t> </w:t>
      </w:r>
      <w:r>
        <w:rPr/>
        <w:t>de</w:t>
      </w:r>
      <w:r>
        <w:rPr>
          <w:spacing w:val="-4"/>
        </w:rPr>
        <w:t> </w:t>
      </w:r>
      <w:r>
        <w:rPr/>
        <w:t>Información</w:t>
      </w:r>
      <w:r>
        <w:rPr>
          <w:spacing w:val="-4"/>
        </w:rPr>
        <w:t> </w:t>
      </w:r>
      <w:r>
        <w:rPr/>
        <w:t>y</w:t>
      </w:r>
      <w:r>
        <w:rPr>
          <w:spacing w:val="-6"/>
        </w:rPr>
        <w:t> </w:t>
      </w:r>
      <w:r>
        <w:rPr/>
        <w:t>Registro</w:t>
      </w:r>
      <w:r>
        <w:rPr>
          <w:spacing w:val="-4"/>
        </w:rPr>
        <w:t> </w:t>
      </w:r>
      <w:r>
        <w:rPr/>
        <w:t>Único</w:t>
      </w:r>
      <w:r>
        <w:rPr>
          <w:spacing w:val="-6"/>
        </w:rPr>
        <w:t> </w:t>
      </w:r>
      <w:r>
        <w:rPr/>
        <w:t>de</w:t>
      </w:r>
      <w:r>
        <w:rPr>
          <w:spacing w:val="-4"/>
        </w:rPr>
        <w:t> </w:t>
      </w:r>
      <w:r>
        <w:rPr/>
        <w:t>Beneficiarios SIPO: Sistema de Información de la Población Objetivo</w:t>
      </w:r>
    </w:p>
    <w:p>
      <w:pPr>
        <w:pStyle w:val="BodyText"/>
        <w:spacing w:line="427" w:lineRule="auto" w:before="1"/>
        <w:ind w:left="1342" w:right="5867"/>
      </w:pPr>
      <w:r>
        <w:rPr/>
        <w:t>SITRA: Sistema Integrado de Transportes ULDS:</w:t>
      </w:r>
      <w:r>
        <w:rPr>
          <w:spacing w:val="-7"/>
        </w:rPr>
        <w:t> </w:t>
      </w:r>
      <w:r>
        <w:rPr/>
        <w:t>Unidades</w:t>
      </w:r>
      <w:r>
        <w:rPr>
          <w:spacing w:val="-8"/>
        </w:rPr>
        <w:t> </w:t>
      </w:r>
      <w:r>
        <w:rPr/>
        <w:t>Locales</w:t>
      </w:r>
      <w:r>
        <w:rPr>
          <w:spacing w:val="-8"/>
        </w:rPr>
        <w:t> </w:t>
      </w:r>
      <w:r>
        <w:rPr/>
        <w:t>de</w:t>
      </w:r>
      <w:r>
        <w:rPr>
          <w:spacing w:val="-9"/>
        </w:rPr>
        <w:t> </w:t>
      </w:r>
      <w:r>
        <w:rPr/>
        <w:t>Desarrollo</w:t>
      </w:r>
      <w:r>
        <w:rPr>
          <w:spacing w:val="-9"/>
        </w:rPr>
        <w:t> </w:t>
      </w:r>
      <w:r>
        <w:rPr/>
        <w:t>Social</w:t>
      </w:r>
    </w:p>
    <w:p>
      <w:pPr>
        <w:pStyle w:val="BodyText"/>
        <w:spacing w:after="0" w:line="427" w:lineRule="auto"/>
        <w:sectPr>
          <w:pgSz w:w="12240" w:h="15840"/>
          <w:pgMar w:header="0" w:footer="1576" w:top="1340" w:bottom="1760" w:left="360" w:right="0"/>
        </w:sectPr>
      </w:pPr>
    </w:p>
    <w:p>
      <w:pPr>
        <w:pStyle w:val="Heading3"/>
        <w:spacing w:before="74"/>
        <w:ind w:left="1625"/>
      </w:pPr>
      <w:r>
        <w:rPr>
          <w:spacing w:val="-2"/>
        </w:rPr>
        <w:t>PRESENTACIÓN</w:t>
      </w:r>
    </w:p>
    <w:p>
      <w:pPr>
        <w:pStyle w:val="BodyText"/>
        <w:rPr>
          <w:b/>
          <w:sz w:val="24"/>
        </w:rPr>
      </w:pPr>
    </w:p>
    <w:p>
      <w:pPr>
        <w:pStyle w:val="BodyText"/>
        <w:ind w:left="1642" w:right="1617"/>
        <w:jc w:val="both"/>
      </w:pPr>
      <w:r>
        <w:rPr/>
        <w:t>La formulación del Plan</w:t>
      </w:r>
      <w:r>
        <w:rPr>
          <w:spacing w:val="-2"/>
        </w:rPr>
        <w:t> </w:t>
      </w:r>
      <w:r>
        <w:rPr/>
        <w:t>Operativo Institucional 2027 se</w:t>
      </w:r>
      <w:r>
        <w:rPr>
          <w:spacing w:val="-1"/>
        </w:rPr>
        <w:t> </w:t>
      </w:r>
      <w:r>
        <w:rPr/>
        <w:t>llevó a</w:t>
      </w:r>
      <w:r>
        <w:rPr>
          <w:spacing w:val="-1"/>
        </w:rPr>
        <w:t> </w:t>
      </w:r>
      <w:r>
        <w:rPr/>
        <w:t>cabo</w:t>
      </w:r>
      <w:r>
        <w:rPr>
          <w:spacing w:val="-1"/>
        </w:rPr>
        <w:t> </w:t>
      </w:r>
      <w:r>
        <w:rPr/>
        <w:t>cumpliendo con los lineamientos</w:t>
      </w:r>
      <w:r>
        <w:rPr>
          <w:spacing w:val="-16"/>
        </w:rPr>
        <w:t> </w:t>
      </w:r>
      <w:r>
        <w:rPr/>
        <w:t>emitidos</w:t>
      </w:r>
      <w:r>
        <w:rPr>
          <w:spacing w:val="-15"/>
        </w:rPr>
        <w:t> </w:t>
      </w:r>
      <w:r>
        <w:rPr/>
        <w:t>por</w:t>
      </w:r>
      <w:r>
        <w:rPr>
          <w:spacing w:val="-15"/>
        </w:rPr>
        <w:t> </w:t>
      </w:r>
      <w:r>
        <w:rPr/>
        <w:t>los</w:t>
      </w:r>
      <w:r>
        <w:rPr>
          <w:spacing w:val="-16"/>
        </w:rPr>
        <w:t> </w:t>
      </w:r>
      <w:r>
        <w:rPr/>
        <w:t>entes</w:t>
      </w:r>
      <w:r>
        <w:rPr>
          <w:spacing w:val="-15"/>
        </w:rPr>
        <w:t> </w:t>
      </w:r>
      <w:r>
        <w:rPr/>
        <w:t>contralores</w:t>
      </w:r>
      <w:r>
        <w:rPr>
          <w:spacing w:val="-15"/>
        </w:rPr>
        <w:t> </w:t>
      </w:r>
      <w:r>
        <w:rPr/>
        <w:t>y</w:t>
      </w:r>
      <w:r>
        <w:rPr>
          <w:spacing w:val="-15"/>
        </w:rPr>
        <w:t> </w:t>
      </w:r>
      <w:r>
        <w:rPr/>
        <w:t>fiscalizadores,</w:t>
      </w:r>
      <w:r>
        <w:rPr>
          <w:spacing w:val="-16"/>
        </w:rPr>
        <w:t> </w:t>
      </w:r>
      <w:r>
        <w:rPr/>
        <w:t>y</w:t>
      </w:r>
      <w:r>
        <w:rPr>
          <w:spacing w:val="-15"/>
        </w:rPr>
        <w:t> </w:t>
      </w:r>
      <w:r>
        <w:rPr/>
        <w:t>en</w:t>
      </w:r>
      <w:r>
        <w:rPr>
          <w:spacing w:val="-15"/>
        </w:rPr>
        <w:t> </w:t>
      </w:r>
      <w:r>
        <w:rPr/>
        <w:t>apego</w:t>
      </w:r>
      <w:r>
        <w:rPr>
          <w:spacing w:val="-16"/>
        </w:rPr>
        <w:t> </w:t>
      </w:r>
      <w:r>
        <w:rPr/>
        <w:t>a</w:t>
      </w:r>
      <w:r>
        <w:rPr>
          <w:spacing w:val="-15"/>
        </w:rPr>
        <w:t> </w:t>
      </w:r>
      <w:r>
        <w:rPr/>
        <w:t>la</w:t>
      </w:r>
      <w:r>
        <w:rPr>
          <w:spacing w:val="-15"/>
        </w:rPr>
        <w:t> </w:t>
      </w:r>
      <w:r>
        <w:rPr/>
        <w:t>normativa existente,</w:t>
      </w:r>
      <w:r>
        <w:rPr>
          <w:spacing w:val="-13"/>
        </w:rPr>
        <w:t> </w:t>
      </w:r>
      <w:r>
        <w:rPr/>
        <w:t>entre</w:t>
      </w:r>
      <w:r>
        <w:rPr>
          <w:spacing w:val="-14"/>
        </w:rPr>
        <w:t> </w:t>
      </w:r>
      <w:r>
        <w:rPr/>
        <w:t>la</w:t>
      </w:r>
      <w:r>
        <w:rPr>
          <w:spacing w:val="-14"/>
        </w:rPr>
        <w:t> </w:t>
      </w:r>
      <w:r>
        <w:rPr/>
        <w:t>cual</w:t>
      </w:r>
      <w:r>
        <w:rPr>
          <w:spacing w:val="-14"/>
        </w:rPr>
        <w:t> </w:t>
      </w:r>
      <w:r>
        <w:rPr/>
        <w:t>se</w:t>
      </w:r>
      <w:r>
        <w:rPr>
          <w:spacing w:val="-16"/>
        </w:rPr>
        <w:t> </w:t>
      </w:r>
      <w:r>
        <w:rPr/>
        <w:t>pueden</w:t>
      </w:r>
      <w:r>
        <w:rPr>
          <w:spacing w:val="-14"/>
        </w:rPr>
        <w:t> </w:t>
      </w:r>
      <w:r>
        <w:rPr/>
        <w:t>mencionar:</w:t>
      </w:r>
      <w:r>
        <w:rPr>
          <w:spacing w:val="-12"/>
        </w:rPr>
        <w:t> </w:t>
      </w:r>
      <w:r>
        <w:rPr/>
        <w:t>Normas</w:t>
      </w:r>
      <w:r>
        <w:rPr>
          <w:spacing w:val="-13"/>
        </w:rPr>
        <w:t> </w:t>
      </w:r>
      <w:r>
        <w:rPr/>
        <w:t>Técnicas</w:t>
      </w:r>
      <w:r>
        <w:rPr>
          <w:spacing w:val="-13"/>
        </w:rPr>
        <w:t> </w:t>
      </w:r>
      <w:r>
        <w:rPr/>
        <w:t>de</w:t>
      </w:r>
      <w:r>
        <w:rPr>
          <w:spacing w:val="-14"/>
        </w:rPr>
        <w:t> </w:t>
      </w:r>
      <w:r>
        <w:rPr/>
        <w:t>la</w:t>
      </w:r>
      <w:r>
        <w:rPr>
          <w:spacing w:val="-14"/>
        </w:rPr>
        <w:t> </w:t>
      </w:r>
      <w:r>
        <w:rPr/>
        <w:t>Contraloría</w:t>
      </w:r>
      <w:r>
        <w:rPr>
          <w:spacing w:val="-14"/>
        </w:rPr>
        <w:t> </w:t>
      </w:r>
      <w:r>
        <w:rPr/>
        <w:t>General de la República, Lineamientos Técnicos y Metodológicos para la Planificación, Programación, Presupuestaria, Seguimiento y la Evaluación Estratégica en el Sector Público en Costa Rica; el Procedimiento para la Formulación del Plan Operativo Institucional;</w:t>
      </w:r>
      <w:r>
        <w:rPr>
          <w:spacing w:val="-4"/>
        </w:rPr>
        <w:t> </w:t>
      </w:r>
      <w:r>
        <w:rPr/>
        <w:t>el</w:t>
      </w:r>
      <w:r>
        <w:rPr>
          <w:spacing w:val="-8"/>
        </w:rPr>
        <w:t> </w:t>
      </w:r>
      <w:r>
        <w:rPr/>
        <w:t>Instructivo</w:t>
      </w:r>
      <w:r>
        <w:rPr>
          <w:spacing w:val="-5"/>
        </w:rPr>
        <w:t> </w:t>
      </w:r>
      <w:r>
        <w:rPr/>
        <w:t>para</w:t>
      </w:r>
      <w:r>
        <w:rPr>
          <w:spacing w:val="-7"/>
        </w:rPr>
        <w:t> </w:t>
      </w:r>
      <w:r>
        <w:rPr/>
        <w:t>la</w:t>
      </w:r>
      <w:r>
        <w:rPr>
          <w:spacing w:val="-5"/>
        </w:rPr>
        <w:t> </w:t>
      </w:r>
      <w:r>
        <w:rPr/>
        <w:t>Formulación</w:t>
      </w:r>
      <w:r>
        <w:rPr>
          <w:spacing w:val="-5"/>
        </w:rPr>
        <w:t> </w:t>
      </w:r>
      <w:r>
        <w:rPr/>
        <w:t>del</w:t>
      </w:r>
      <w:r>
        <w:rPr>
          <w:spacing w:val="-6"/>
        </w:rPr>
        <w:t> </w:t>
      </w:r>
      <w:r>
        <w:rPr/>
        <w:t>Plan</w:t>
      </w:r>
      <w:r>
        <w:rPr>
          <w:spacing w:val="-5"/>
        </w:rPr>
        <w:t> </w:t>
      </w:r>
      <w:r>
        <w:rPr/>
        <w:t>Operativo</w:t>
      </w:r>
      <w:r>
        <w:rPr>
          <w:spacing w:val="-8"/>
        </w:rPr>
        <w:t> </w:t>
      </w:r>
      <w:r>
        <w:rPr/>
        <w:t>Institucional</w:t>
      </w:r>
      <w:r>
        <w:rPr>
          <w:spacing w:val="-3"/>
        </w:rPr>
        <w:t> </w:t>
      </w:r>
      <w:r>
        <w:rPr/>
        <w:t>y</w:t>
      </w:r>
      <w:r>
        <w:rPr>
          <w:spacing w:val="-5"/>
        </w:rPr>
        <w:t> </w:t>
      </w:r>
      <w:r>
        <w:rPr/>
        <w:t>del</w:t>
      </w:r>
      <w:r>
        <w:rPr>
          <w:spacing w:val="-6"/>
        </w:rPr>
        <w:t> </w:t>
      </w:r>
      <w:r>
        <w:rPr/>
        <w:t>Plan Operativo Gerencial 2027.</w:t>
      </w:r>
    </w:p>
    <w:p>
      <w:pPr>
        <w:pStyle w:val="BodyText"/>
        <w:spacing w:before="251"/>
        <w:ind w:left="1625" w:right="1602"/>
        <w:jc w:val="both"/>
      </w:pPr>
      <w:r>
        <w:rPr/>
        <w:t>La estructura desde la cual se implementa este proceso se define por tres programas a saber: Programa de Protección y Promoción Social (PPPS); Programa de Actividades Centrales (PAC) y Programa de</w:t>
      </w:r>
      <w:r>
        <w:rPr>
          <w:spacing w:val="-1"/>
        </w:rPr>
        <w:t> </w:t>
      </w:r>
      <w:r>
        <w:rPr/>
        <w:t>Empresas Comerciales (PEC), los cuales</w:t>
      </w:r>
      <w:r>
        <w:rPr>
          <w:spacing w:val="-3"/>
        </w:rPr>
        <w:t> </w:t>
      </w:r>
      <w:r>
        <w:rPr/>
        <w:t>coinciden con los programas presupuestarios manteniendo una vinculación entre la planificación operativa y el proceso presupuestario institucional.</w:t>
      </w:r>
    </w:p>
    <w:p>
      <w:pPr>
        <w:pStyle w:val="BodyText"/>
        <w:spacing w:before="2"/>
      </w:pPr>
    </w:p>
    <w:p>
      <w:pPr>
        <w:pStyle w:val="BodyText"/>
        <w:ind w:left="1625" w:right="1600"/>
        <w:jc w:val="both"/>
      </w:pPr>
      <w:r>
        <w:rPr/>
        <w:t>El</w:t>
      </w:r>
      <w:r>
        <w:rPr>
          <w:spacing w:val="-6"/>
        </w:rPr>
        <w:t> </w:t>
      </w:r>
      <w:r>
        <w:rPr/>
        <w:t>documento</w:t>
      </w:r>
      <w:r>
        <w:rPr>
          <w:spacing w:val="-7"/>
        </w:rPr>
        <w:t> </w:t>
      </w:r>
      <w:r>
        <w:rPr/>
        <w:t>del</w:t>
      </w:r>
      <w:r>
        <w:rPr>
          <w:spacing w:val="-6"/>
        </w:rPr>
        <w:t> </w:t>
      </w:r>
      <w:r>
        <w:rPr/>
        <w:t>POI</w:t>
      </w:r>
      <w:r>
        <w:rPr>
          <w:spacing w:val="-6"/>
        </w:rPr>
        <w:t> </w:t>
      </w:r>
      <w:r>
        <w:rPr/>
        <w:t>contiene</w:t>
      </w:r>
      <w:r>
        <w:rPr>
          <w:spacing w:val="-8"/>
        </w:rPr>
        <w:t> </w:t>
      </w:r>
      <w:r>
        <w:rPr/>
        <w:t>tres</w:t>
      </w:r>
      <w:r>
        <w:rPr>
          <w:spacing w:val="-7"/>
        </w:rPr>
        <w:t> </w:t>
      </w:r>
      <w:r>
        <w:rPr/>
        <w:t>grandes</w:t>
      </w:r>
      <w:r>
        <w:rPr>
          <w:spacing w:val="-7"/>
        </w:rPr>
        <w:t> </w:t>
      </w:r>
      <w:r>
        <w:rPr/>
        <w:t>apartados:</w:t>
      </w:r>
      <w:r>
        <w:rPr>
          <w:spacing w:val="-6"/>
        </w:rPr>
        <w:t> </w:t>
      </w:r>
      <w:r>
        <w:rPr/>
        <w:t>Marco</w:t>
      </w:r>
      <w:r>
        <w:rPr>
          <w:spacing w:val="-7"/>
        </w:rPr>
        <w:t> </w:t>
      </w:r>
      <w:r>
        <w:rPr/>
        <w:t>General;</w:t>
      </w:r>
      <w:r>
        <w:rPr>
          <w:spacing w:val="-6"/>
        </w:rPr>
        <w:t> </w:t>
      </w:r>
      <w:r>
        <w:rPr/>
        <w:t>Vinculación</w:t>
      </w:r>
      <w:r>
        <w:rPr>
          <w:spacing w:val="-5"/>
        </w:rPr>
        <w:t> </w:t>
      </w:r>
      <w:r>
        <w:rPr/>
        <w:t>Plan Presupuesto y Anexos. En el primer apartado se presentan los siguientes productos: Marco Jurídico, las personas funcionarias responsables de la Ejecución, el Diagnóstico Institucional, la Estructura Programática, y el Marco Estratégico. El segundo apartado incluye</w:t>
      </w:r>
      <w:r>
        <w:rPr>
          <w:spacing w:val="-5"/>
        </w:rPr>
        <w:t> </w:t>
      </w:r>
      <w:r>
        <w:rPr/>
        <w:t>los</w:t>
      </w:r>
      <w:r>
        <w:rPr>
          <w:spacing w:val="-5"/>
        </w:rPr>
        <w:t> </w:t>
      </w:r>
      <w:r>
        <w:rPr/>
        <w:t>tres</w:t>
      </w:r>
      <w:r>
        <w:rPr>
          <w:spacing w:val="-7"/>
        </w:rPr>
        <w:t> </w:t>
      </w:r>
      <w:r>
        <w:rPr/>
        <w:t>programas</w:t>
      </w:r>
      <w:r>
        <w:rPr>
          <w:spacing w:val="-5"/>
        </w:rPr>
        <w:t> </w:t>
      </w:r>
      <w:r>
        <w:rPr/>
        <w:t>presupuestarios</w:t>
      </w:r>
      <w:r>
        <w:rPr>
          <w:spacing w:val="-7"/>
        </w:rPr>
        <w:t> </w:t>
      </w:r>
      <w:r>
        <w:rPr/>
        <w:t>institucionales</w:t>
      </w:r>
      <w:r>
        <w:rPr>
          <w:spacing w:val="-5"/>
        </w:rPr>
        <w:t> </w:t>
      </w:r>
      <w:r>
        <w:rPr/>
        <w:t>y</w:t>
      </w:r>
      <w:r>
        <w:rPr>
          <w:spacing w:val="-3"/>
        </w:rPr>
        <w:t> </w:t>
      </w:r>
      <w:r>
        <w:rPr/>
        <w:t>su</w:t>
      </w:r>
      <w:r>
        <w:rPr>
          <w:spacing w:val="-5"/>
        </w:rPr>
        <w:t> </w:t>
      </w:r>
      <w:r>
        <w:rPr/>
        <w:t>programación</w:t>
      </w:r>
      <w:r>
        <w:rPr>
          <w:spacing w:val="-5"/>
        </w:rPr>
        <w:t> </w:t>
      </w:r>
      <w:r>
        <w:rPr/>
        <w:t>para</w:t>
      </w:r>
      <w:r>
        <w:rPr>
          <w:spacing w:val="-5"/>
        </w:rPr>
        <w:t> </w:t>
      </w:r>
      <w:r>
        <w:rPr/>
        <w:t>el</w:t>
      </w:r>
      <w:r>
        <w:rPr>
          <w:spacing w:val="-6"/>
        </w:rPr>
        <w:t> </w:t>
      </w:r>
      <w:r>
        <w:rPr/>
        <w:t>año 2027. El tercer apartado está compuesto por una serie de anexos necesarios para complementar la programación, así como requisitos solicitados por los entes fiscalizadores para la respectiva aprobación.</w:t>
      </w:r>
    </w:p>
    <w:p>
      <w:pPr>
        <w:pStyle w:val="BodyText"/>
        <w:spacing w:before="251"/>
        <w:ind w:left="1625" w:right="1600"/>
        <w:jc w:val="both"/>
      </w:pPr>
      <w:r>
        <w:rPr/>
        <w:t>Es importante considerar que el Plan Operativo institucional está vinculado a la programación</w:t>
      </w:r>
      <w:r>
        <w:rPr>
          <w:spacing w:val="-16"/>
        </w:rPr>
        <w:t> </w:t>
      </w:r>
      <w:r>
        <w:rPr/>
        <w:t>presupuestaria,</w:t>
      </w:r>
      <w:r>
        <w:rPr>
          <w:spacing w:val="-12"/>
        </w:rPr>
        <w:t> </w:t>
      </w:r>
      <w:r>
        <w:rPr/>
        <w:t>con</w:t>
      </w:r>
      <w:r>
        <w:rPr>
          <w:spacing w:val="-16"/>
        </w:rPr>
        <w:t> </w:t>
      </w:r>
      <w:r>
        <w:rPr/>
        <w:t>el</w:t>
      </w:r>
      <w:r>
        <w:rPr>
          <w:spacing w:val="-15"/>
        </w:rPr>
        <w:t> </w:t>
      </w:r>
      <w:r>
        <w:rPr/>
        <w:t>Plan</w:t>
      </w:r>
      <w:r>
        <w:rPr>
          <w:spacing w:val="-14"/>
        </w:rPr>
        <w:t> </w:t>
      </w:r>
      <w:r>
        <w:rPr/>
        <w:t>Estratégico</w:t>
      </w:r>
      <w:r>
        <w:rPr>
          <w:spacing w:val="-15"/>
        </w:rPr>
        <w:t> </w:t>
      </w:r>
      <w:r>
        <w:rPr/>
        <w:t>Institucional</w:t>
      </w:r>
      <w:r>
        <w:rPr>
          <w:spacing w:val="-14"/>
        </w:rPr>
        <w:t> </w:t>
      </w:r>
      <w:r>
        <w:rPr/>
        <w:t>y</w:t>
      </w:r>
      <w:r>
        <w:rPr>
          <w:spacing w:val="-14"/>
        </w:rPr>
        <w:t> </w:t>
      </w:r>
      <w:r>
        <w:rPr/>
        <w:t>con</w:t>
      </w:r>
      <w:r>
        <w:rPr>
          <w:spacing w:val="-15"/>
        </w:rPr>
        <w:t> </w:t>
      </w:r>
      <w:r>
        <w:rPr/>
        <w:t>los</w:t>
      </w:r>
      <w:r>
        <w:rPr>
          <w:spacing w:val="-14"/>
        </w:rPr>
        <w:t> </w:t>
      </w:r>
      <w:r>
        <w:rPr/>
        <w:t>compromisos programados por el IMAS en el Plan Nacional de Desarrollo e Inversión Pública 2027-20230 a fin de asegurar los recursos para el cumplimiento de los compromisos </w:t>
      </w:r>
      <w:r>
        <w:rPr>
          <w:spacing w:val="-2"/>
        </w:rPr>
        <w:t>establecidos.</w:t>
      </w:r>
    </w:p>
    <w:p>
      <w:pPr>
        <w:pStyle w:val="BodyText"/>
        <w:spacing w:after="0"/>
        <w:jc w:val="both"/>
        <w:sectPr>
          <w:footerReference w:type="default" r:id="rId9"/>
          <w:pgSz w:w="12240" w:h="15840"/>
          <w:pgMar w:header="0" w:footer="1576" w:top="1280" w:bottom="1760" w:left="360" w:right="0"/>
          <w:pgNumType w:start="7"/>
        </w:sectPr>
      </w:pPr>
    </w:p>
    <w:p>
      <w:pPr>
        <w:pStyle w:val="BodyText"/>
        <w:spacing w:before="15"/>
      </w:pPr>
    </w:p>
    <w:p>
      <w:pPr>
        <w:pStyle w:val="Heading5"/>
        <w:jc w:val="both"/>
      </w:pPr>
      <w:bookmarkStart w:name="_bookmark0" w:id="1"/>
      <w:bookmarkEnd w:id="1"/>
      <w:r>
        <w:rPr>
          <w:b w:val="0"/>
        </w:rPr>
      </w:r>
      <w:r>
        <w:rPr/>
        <w:t>Marco</w:t>
      </w:r>
      <w:r>
        <w:rPr>
          <w:spacing w:val="-4"/>
        </w:rPr>
        <w:t> </w:t>
      </w:r>
      <w:r>
        <w:rPr>
          <w:spacing w:val="-2"/>
        </w:rPr>
        <w:t>General</w:t>
      </w:r>
    </w:p>
    <w:p>
      <w:pPr>
        <w:pStyle w:val="BodyText"/>
        <w:rPr>
          <w:b/>
        </w:rPr>
      </w:pPr>
    </w:p>
    <w:p>
      <w:pPr>
        <w:pStyle w:val="Heading5"/>
        <w:numPr>
          <w:ilvl w:val="1"/>
          <w:numId w:val="4"/>
        </w:numPr>
        <w:tabs>
          <w:tab w:pos="3041" w:val="left" w:leader="none"/>
        </w:tabs>
        <w:spacing w:line="240" w:lineRule="auto" w:before="1" w:after="0"/>
        <w:ind w:left="3041" w:right="0" w:hanging="555"/>
        <w:jc w:val="left"/>
      </w:pPr>
      <w:bookmarkStart w:name="_bookmark1" w:id="2"/>
      <w:bookmarkEnd w:id="2"/>
      <w:r>
        <w:rPr>
          <w:b w:val="0"/>
        </w:rPr>
      </w:r>
      <w:r>
        <w:rPr/>
        <w:t>Marco</w:t>
      </w:r>
      <w:r>
        <w:rPr>
          <w:spacing w:val="-4"/>
        </w:rPr>
        <w:t> </w:t>
      </w:r>
      <w:r>
        <w:rPr/>
        <w:t>Jurídico</w:t>
      </w:r>
      <w:r>
        <w:rPr>
          <w:spacing w:val="-3"/>
        </w:rPr>
        <w:t> </w:t>
      </w:r>
      <w:r>
        <w:rPr>
          <w:spacing w:val="-2"/>
        </w:rPr>
        <w:t>Institucional</w:t>
      </w:r>
    </w:p>
    <w:p>
      <w:pPr>
        <w:pStyle w:val="BodyText"/>
        <w:rPr>
          <w:b/>
        </w:rPr>
      </w:pPr>
    </w:p>
    <w:p>
      <w:pPr>
        <w:pStyle w:val="BodyText"/>
        <w:ind w:left="1625" w:right="1606"/>
        <w:jc w:val="both"/>
      </w:pPr>
      <w:r>
        <w:rPr/>
        <w:t>Los principales instrumentos jurídicos propios y vinculantes al quehacer institucional del IMAS, se mencionan a continuación:</w:t>
      </w:r>
    </w:p>
    <w:p>
      <w:pPr>
        <w:spacing w:before="252"/>
        <w:ind w:left="1625" w:right="1606" w:firstLine="0"/>
        <w:jc w:val="both"/>
        <w:rPr>
          <w:sz w:val="22"/>
        </w:rPr>
      </w:pPr>
      <w:r>
        <w:rPr>
          <w:b/>
          <w:sz w:val="22"/>
        </w:rPr>
        <w:t>Constitución</w:t>
      </w:r>
      <w:r>
        <w:rPr>
          <w:b/>
          <w:spacing w:val="-3"/>
          <w:sz w:val="22"/>
        </w:rPr>
        <w:t> </w:t>
      </w:r>
      <w:r>
        <w:rPr>
          <w:b/>
          <w:sz w:val="22"/>
        </w:rPr>
        <w:t>Política</w:t>
      </w:r>
      <w:r>
        <w:rPr>
          <w:b/>
          <w:spacing w:val="-3"/>
          <w:sz w:val="22"/>
        </w:rPr>
        <w:t> </w:t>
      </w:r>
      <w:r>
        <w:rPr>
          <w:b/>
          <w:sz w:val="22"/>
        </w:rPr>
        <w:t>de Costa</w:t>
      </w:r>
      <w:r>
        <w:rPr>
          <w:b/>
          <w:spacing w:val="-3"/>
          <w:sz w:val="22"/>
        </w:rPr>
        <w:t> </w:t>
      </w:r>
      <w:r>
        <w:rPr>
          <w:b/>
          <w:sz w:val="22"/>
        </w:rPr>
        <w:t>Rica</w:t>
      </w:r>
      <w:r>
        <w:rPr>
          <w:sz w:val="22"/>
        </w:rPr>
        <w:t>. Regula la</w:t>
      </w:r>
      <w:r>
        <w:rPr>
          <w:spacing w:val="-5"/>
          <w:sz w:val="22"/>
        </w:rPr>
        <w:t> </w:t>
      </w:r>
      <w:r>
        <w:rPr>
          <w:sz w:val="22"/>
        </w:rPr>
        <w:t>relación</w:t>
      </w:r>
      <w:r>
        <w:rPr>
          <w:spacing w:val="-1"/>
          <w:sz w:val="22"/>
        </w:rPr>
        <w:t> </w:t>
      </w:r>
      <w:r>
        <w:rPr>
          <w:sz w:val="22"/>
        </w:rPr>
        <w:t>entre los</w:t>
      </w:r>
      <w:r>
        <w:rPr>
          <w:spacing w:val="-3"/>
          <w:sz w:val="22"/>
        </w:rPr>
        <w:t> </w:t>
      </w:r>
      <w:r>
        <w:rPr>
          <w:sz w:val="22"/>
        </w:rPr>
        <w:t>poderes del</w:t>
      </w:r>
      <w:r>
        <w:rPr>
          <w:spacing w:val="-1"/>
          <w:sz w:val="22"/>
        </w:rPr>
        <w:t> </w:t>
      </w:r>
      <w:r>
        <w:rPr>
          <w:sz w:val="22"/>
        </w:rPr>
        <w:t>Estado</w:t>
      </w:r>
      <w:r>
        <w:rPr>
          <w:spacing w:val="-3"/>
          <w:sz w:val="22"/>
        </w:rPr>
        <w:t> </w:t>
      </w:r>
      <w:r>
        <w:rPr>
          <w:sz w:val="22"/>
        </w:rPr>
        <w:t>y de estos con los ciudadanos. Fecha de vigencia: 08/11/1949.</w:t>
      </w:r>
    </w:p>
    <w:p>
      <w:pPr>
        <w:pStyle w:val="BodyText"/>
      </w:pPr>
    </w:p>
    <w:p>
      <w:pPr>
        <w:pStyle w:val="BodyText"/>
        <w:spacing w:before="1"/>
      </w:pPr>
    </w:p>
    <w:p>
      <w:pPr>
        <w:pStyle w:val="Heading5"/>
        <w:numPr>
          <w:ilvl w:val="2"/>
          <w:numId w:val="4"/>
        </w:numPr>
        <w:tabs>
          <w:tab w:pos="2176" w:val="left" w:leader="none"/>
        </w:tabs>
        <w:spacing w:line="240" w:lineRule="auto" w:before="0" w:after="0"/>
        <w:ind w:left="2176" w:right="0" w:hanging="551"/>
        <w:jc w:val="left"/>
      </w:pPr>
      <w:r>
        <w:rPr>
          <w:spacing w:val="-2"/>
        </w:rPr>
        <w:t>Leyes</w:t>
      </w:r>
    </w:p>
    <w:p>
      <w:pPr>
        <w:pStyle w:val="BodyText"/>
        <w:spacing w:before="1"/>
        <w:rPr>
          <w:b/>
        </w:rPr>
      </w:pPr>
    </w:p>
    <w:p>
      <w:pPr>
        <w:spacing w:before="0"/>
        <w:ind w:left="1625" w:right="1599" w:firstLine="0"/>
        <w:jc w:val="both"/>
        <w:rPr>
          <w:sz w:val="22"/>
        </w:rPr>
      </w:pPr>
      <w:r>
        <w:rPr>
          <w:b/>
          <w:sz w:val="22"/>
        </w:rPr>
        <w:t>Ley de Creación del IMAS, N° 4760 y sus reformas. </w:t>
      </w:r>
      <w:r>
        <w:rPr>
          <w:sz w:val="22"/>
        </w:rPr>
        <w:t>Creación del InstitutoMixto de Ayuda</w:t>
      </w:r>
      <w:r>
        <w:rPr>
          <w:spacing w:val="-6"/>
          <w:sz w:val="22"/>
        </w:rPr>
        <w:t> </w:t>
      </w:r>
      <w:r>
        <w:rPr>
          <w:sz w:val="22"/>
        </w:rPr>
        <w:t>Social</w:t>
      </w:r>
      <w:r>
        <w:rPr>
          <w:spacing w:val="-7"/>
          <w:sz w:val="22"/>
        </w:rPr>
        <w:t> </w:t>
      </w:r>
      <w:r>
        <w:rPr>
          <w:sz w:val="22"/>
        </w:rPr>
        <w:t>(IMAS),</w:t>
      </w:r>
      <w:r>
        <w:rPr>
          <w:spacing w:val="-5"/>
          <w:sz w:val="22"/>
        </w:rPr>
        <w:t> </w:t>
      </w:r>
      <w:r>
        <w:rPr>
          <w:sz w:val="22"/>
        </w:rPr>
        <w:t>con</w:t>
      </w:r>
      <w:r>
        <w:rPr>
          <w:spacing w:val="-6"/>
          <w:sz w:val="22"/>
        </w:rPr>
        <w:t> </w:t>
      </w:r>
      <w:r>
        <w:rPr>
          <w:sz w:val="22"/>
        </w:rPr>
        <w:t>el</w:t>
      </w:r>
      <w:r>
        <w:rPr>
          <w:spacing w:val="-7"/>
          <w:sz w:val="22"/>
        </w:rPr>
        <w:t> </w:t>
      </w:r>
      <w:r>
        <w:rPr>
          <w:sz w:val="22"/>
        </w:rPr>
        <w:t>fin</w:t>
      </w:r>
      <w:r>
        <w:rPr>
          <w:spacing w:val="-6"/>
          <w:sz w:val="22"/>
        </w:rPr>
        <w:t> </w:t>
      </w:r>
      <w:r>
        <w:rPr>
          <w:sz w:val="22"/>
        </w:rPr>
        <w:t>de</w:t>
      </w:r>
      <w:r>
        <w:rPr>
          <w:spacing w:val="-9"/>
          <w:sz w:val="22"/>
        </w:rPr>
        <w:t> </w:t>
      </w:r>
      <w:r>
        <w:rPr>
          <w:sz w:val="22"/>
        </w:rPr>
        <w:t>resolver</w:t>
      </w:r>
      <w:r>
        <w:rPr>
          <w:spacing w:val="-6"/>
          <w:sz w:val="22"/>
        </w:rPr>
        <w:t> </w:t>
      </w:r>
      <w:r>
        <w:rPr>
          <w:sz w:val="22"/>
        </w:rPr>
        <w:t>la</w:t>
      </w:r>
      <w:r>
        <w:rPr>
          <w:spacing w:val="-9"/>
          <w:sz w:val="22"/>
        </w:rPr>
        <w:t> </w:t>
      </w:r>
      <w:r>
        <w:rPr>
          <w:sz w:val="22"/>
        </w:rPr>
        <w:t>pobreza</w:t>
      </w:r>
      <w:r>
        <w:rPr>
          <w:spacing w:val="-7"/>
          <w:sz w:val="22"/>
        </w:rPr>
        <w:t> </w:t>
      </w:r>
      <w:r>
        <w:rPr>
          <w:sz w:val="22"/>
        </w:rPr>
        <w:t>y</w:t>
      </w:r>
      <w:r>
        <w:rPr>
          <w:spacing w:val="-8"/>
          <w:sz w:val="22"/>
        </w:rPr>
        <w:t> </w:t>
      </w:r>
      <w:r>
        <w:rPr>
          <w:sz w:val="22"/>
        </w:rPr>
        <w:t>pobreza</w:t>
      </w:r>
      <w:r>
        <w:rPr>
          <w:spacing w:val="-6"/>
          <w:sz w:val="22"/>
        </w:rPr>
        <w:t> </w:t>
      </w:r>
      <w:r>
        <w:rPr>
          <w:sz w:val="22"/>
        </w:rPr>
        <w:t>extrema</w:t>
      </w:r>
      <w:r>
        <w:rPr>
          <w:spacing w:val="-9"/>
          <w:sz w:val="22"/>
        </w:rPr>
        <w:t> </w:t>
      </w:r>
      <w:r>
        <w:rPr>
          <w:sz w:val="22"/>
        </w:rPr>
        <w:t>del</w:t>
      </w:r>
      <w:r>
        <w:rPr>
          <w:spacing w:val="-7"/>
          <w:sz w:val="22"/>
        </w:rPr>
        <w:t> </w:t>
      </w:r>
      <w:r>
        <w:rPr>
          <w:sz w:val="22"/>
        </w:rPr>
        <w:t>país.</w:t>
      </w:r>
      <w:r>
        <w:rPr>
          <w:spacing w:val="-7"/>
          <w:sz w:val="22"/>
        </w:rPr>
        <w:t> </w:t>
      </w:r>
      <w:r>
        <w:rPr>
          <w:sz w:val="22"/>
        </w:rPr>
        <w:t>Fecha de vigencia 04/05/1971.</w:t>
      </w:r>
    </w:p>
    <w:p>
      <w:pPr>
        <w:pStyle w:val="BodyText"/>
        <w:spacing w:before="252"/>
        <w:ind w:left="1625" w:right="1603"/>
        <w:jc w:val="both"/>
      </w:pPr>
      <w:r>
        <w:rPr>
          <w:b/>
        </w:rPr>
        <w:t>Ley</w:t>
      </w:r>
      <w:r>
        <w:rPr>
          <w:b/>
          <w:spacing w:val="-16"/>
        </w:rPr>
        <w:t> </w:t>
      </w:r>
      <w:r>
        <w:rPr>
          <w:b/>
        </w:rPr>
        <w:t>de</w:t>
      </w:r>
      <w:r>
        <w:rPr>
          <w:b/>
          <w:spacing w:val="-15"/>
        </w:rPr>
        <w:t> </w:t>
      </w:r>
      <w:r>
        <w:rPr>
          <w:b/>
        </w:rPr>
        <w:t>Planificación</w:t>
      </w:r>
      <w:r>
        <w:rPr>
          <w:b/>
          <w:spacing w:val="-15"/>
        </w:rPr>
        <w:t> </w:t>
      </w:r>
      <w:r>
        <w:rPr>
          <w:b/>
        </w:rPr>
        <w:t>Nacional</w:t>
      </w:r>
      <w:r>
        <w:rPr/>
        <w:t>,</w:t>
      </w:r>
      <w:r>
        <w:rPr>
          <w:spacing w:val="-16"/>
        </w:rPr>
        <w:t> </w:t>
      </w:r>
      <w:r>
        <w:rPr>
          <w:b/>
        </w:rPr>
        <w:t>N°</w:t>
      </w:r>
      <w:r>
        <w:rPr>
          <w:b/>
          <w:spacing w:val="-15"/>
        </w:rPr>
        <w:t> </w:t>
      </w:r>
      <w:r>
        <w:rPr>
          <w:b/>
        </w:rPr>
        <w:t>5525</w:t>
      </w:r>
      <w:r>
        <w:rPr>
          <w:b/>
          <w:spacing w:val="-15"/>
        </w:rPr>
        <w:t> </w:t>
      </w:r>
      <w:r>
        <w:rPr>
          <w:b/>
        </w:rPr>
        <w:t>y</w:t>
      </w:r>
      <w:r>
        <w:rPr>
          <w:b/>
          <w:spacing w:val="-15"/>
        </w:rPr>
        <w:t> </w:t>
      </w:r>
      <w:r>
        <w:rPr>
          <w:b/>
        </w:rPr>
        <w:t>sus</w:t>
      </w:r>
      <w:r>
        <w:rPr>
          <w:b/>
          <w:spacing w:val="-16"/>
        </w:rPr>
        <w:t> </w:t>
      </w:r>
      <w:r>
        <w:rPr>
          <w:b/>
        </w:rPr>
        <w:t>reformas.</w:t>
      </w:r>
      <w:r>
        <w:rPr>
          <w:b/>
          <w:spacing w:val="-15"/>
        </w:rPr>
        <w:t> </w:t>
      </w:r>
      <w:r>
        <w:rPr/>
        <w:t>Establece</w:t>
      </w:r>
      <w:r>
        <w:rPr>
          <w:spacing w:val="-15"/>
        </w:rPr>
        <w:t> </w:t>
      </w:r>
      <w:r>
        <w:rPr/>
        <w:t>un</w:t>
      </w:r>
      <w:r>
        <w:rPr>
          <w:spacing w:val="-16"/>
        </w:rPr>
        <w:t> </w:t>
      </w:r>
      <w:r>
        <w:rPr/>
        <w:t>Sistema</w:t>
      </w:r>
      <w:r>
        <w:rPr>
          <w:spacing w:val="-15"/>
        </w:rPr>
        <w:t> </w:t>
      </w:r>
      <w:r>
        <w:rPr/>
        <w:t>Nacional de Planificación que tendrá los siguientes objetivos: a) Intensificar el crecimiento de la producción</w:t>
      </w:r>
      <w:r>
        <w:rPr>
          <w:spacing w:val="-2"/>
        </w:rPr>
        <w:t> </w:t>
      </w:r>
      <w:r>
        <w:rPr/>
        <w:t>y</w:t>
      </w:r>
      <w:r>
        <w:rPr>
          <w:spacing w:val="-4"/>
        </w:rPr>
        <w:t> </w:t>
      </w:r>
      <w:r>
        <w:rPr/>
        <w:t>de</w:t>
      </w:r>
      <w:r>
        <w:rPr>
          <w:spacing w:val="-2"/>
        </w:rPr>
        <w:t> </w:t>
      </w:r>
      <w:r>
        <w:rPr/>
        <w:t>la</w:t>
      </w:r>
      <w:r>
        <w:rPr>
          <w:spacing w:val="-2"/>
        </w:rPr>
        <w:t> </w:t>
      </w:r>
      <w:r>
        <w:rPr/>
        <w:t>productividad</w:t>
      </w:r>
      <w:r>
        <w:rPr>
          <w:spacing w:val="-2"/>
        </w:rPr>
        <w:t> </w:t>
      </w:r>
      <w:r>
        <w:rPr/>
        <w:t>del</w:t>
      </w:r>
      <w:r>
        <w:rPr>
          <w:spacing w:val="-2"/>
        </w:rPr>
        <w:t> </w:t>
      </w:r>
      <w:r>
        <w:rPr/>
        <w:t>país.</w:t>
      </w:r>
      <w:r>
        <w:rPr>
          <w:spacing w:val="-3"/>
        </w:rPr>
        <w:t> </w:t>
      </w:r>
      <w:r>
        <w:rPr/>
        <w:t>b)</w:t>
      </w:r>
      <w:r>
        <w:rPr>
          <w:spacing w:val="-3"/>
        </w:rPr>
        <w:t> </w:t>
      </w:r>
      <w:r>
        <w:rPr/>
        <w:t>Promover</w:t>
      </w:r>
      <w:r>
        <w:rPr>
          <w:spacing w:val="-3"/>
        </w:rPr>
        <w:t> </w:t>
      </w:r>
      <w:r>
        <w:rPr/>
        <w:t>la</w:t>
      </w:r>
      <w:r>
        <w:rPr>
          <w:spacing w:val="-4"/>
        </w:rPr>
        <w:t> </w:t>
      </w:r>
      <w:r>
        <w:rPr/>
        <w:t>mejor</w:t>
      </w:r>
      <w:r>
        <w:rPr>
          <w:spacing w:val="-1"/>
        </w:rPr>
        <w:t> </w:t>
      </w:r>
      <w:r>
        <w:rPr/>
        <w:t>distribución</w:t>
      </w:r>
      <w:r>
        <w:rPr>
          <w:spacing w:val="-2"/>
        </w:rPr>
        <w:t> </w:t>
      </w:r>
      <w:r>
        <w:rPr/>
        <w:t>del</w:t>
      </w:r>
      <w:r>
        <w:rPr>
          <w:spacing w:val="-2"/>
        </w:rPr>
        <w:t> </w:t>
      </w:r>
      <w:r>
        <w:rPr/>
        <w:t>ingreso</w:t>
      </w:r>
      <w:r>
        <w:rPr>
          <w:spacing w:val="-4"/>
        </w:rPr>
        <w:t> </w:t>
      </w:r>
      <w:r>
        <w:rPr/>
        <w:t>y de los servicios sociales que presta el Estado. c) Propiciar una participación cada vez mayor de los ciudadanos en la solución de los problemas económicos y sociales. d) Reconocer el carácter multiétnico y pluricultural de Costa Rica, con sus necesidades propias y en procura de la no discriminación. Fecha de vigencia 02/05/1974.</w:t>
      </w:r>
    </w:p>
    <w:p>
      <w:pPr>
        <w:pStyle w:val="BodyText"/>
        <w:spacing w:before="2"/>
      </w:pPr>
    </w:p>
    <w:p>
      <w:pPr>
        <w:spacing w:before="0"/>
        <w:ind w:left="1625" w:right="1605" w:firstLine="0"/>
        <w:jc w:val="both"/>
        <w:rPr>
          <w:sz w:val="22"/>
        </w:rPr>
      </w:pPr>
      <w:r>
        <w:rPr>
          <w:b/>
          <w:sz w:val="22"/>
        </w:rPr>
        <w:t>Ley de Desarrollo Social y Asignaciones Familiares</w:t>
      </w:r>
      <w:r>
        <w:rPr>
          <w:sz w:val="22"/>
        </w:rPr>
        <w:t>, </w:t>
      </w:r>
      <w:r>
        <w:rPr>
          <w:b/>
          <w:sz w:val="22"/>
        </w:rPr>
        <w:t>N°5662 y sus reformas</w:t>
      </w:r>
      <w:r>
        <w:rPr>
          <w:sz w:val="22"/>
        </w:rPr>
        <w:t>. Creación del Fondo de Desarrollo Social y Asignaciones Familiares. El IMAS percibe como mínimo un 4% de los recursos de FODESAF. Fecha de vigencia 23/12/1974.</w:t>
      </w:r>
    </w:p>
    <w:p>
      <w:pPr>
        <w:pStyle w:val="BodyText"/>
        <w:spacing w:before="252"/>
        <w:ind w:left="1625" w:right="1601"/>
        <w:jc w:val="both"/>
      </w:pPr>
      <w:r>
        <w:rPr>
          <w:b/>
        </w:rPr>
        <w:t>Ley de Estímulo a las Bellas Artes Costarricenses, N°6750. y sus reformas. </w:t>
      </w:r>
      <w:r>
        <w:rPr/>
        <w:t>Establece que, cuando el Estado o sus instituciones proyecten la construcción de un edificio público, para la prestación de servicios directos a la población, cuyo costo sobrepase los diez millones de colones, el Ministerio de Cultura, en coordinación con la institución correspondiente, deberá señalar, antes de la aprobación definitiva de los planos</w:t>
      </w:r>
      <w:r>
        <w:rPr>
          <w:spacing w:val="-2"/>
        </w:rPr>
        <w:t> </w:t>
      </w:r>
      <w:r>
        <w:rPr/>
        <w:t>y</w:t>
      </w:r>
      <w:r>
        <w:rPr>
          <w:spacing w:val="-1"/>
        </w:rPr>
        <w:t> </w:t>
      </w:r>
      <w:r>
        <w:rPr/>
        <w:t>presupuestos,</w:t>
      </w:r>
      <w:r>
        <w:rPr>
          <w:spacing w:val="-3"/>
        </w:rPr>
        <w:t> </w:t>
      </w:r>
      <w:r>
        <w:rPr/>
        <w:t>el</w:t>
      </w:r>
      <w:r>
        <w:rPr>
          <w:spacing w:val="-2"/>
        </w:rPr>
        <w:t> </w:t>
      </w:r>
      <w:r>
        <w:rPr/>
        <w:t>porcentaje</w:t>
      </w:r>
      <w:r>
        <w:rPr>
          <w:spacing w:val="-4"/>
        </w:rPr>
        <w:t> </w:t>
      </w:r>
      <w:r>
        <w:rPr/>
        <w:t>mínimo</w:t>
      </w:r>
      <w:r>
        <w:rPr>
          <w:spacing w:val="-4"/>
        </w:rPr>
        <w:t> </w:t>
      </w:r>
      <w:r>
        <w:rPr/>
        <w:t>de</w:t>
      </w:r>
      <w:r>
        <w:rPr>
          <w:spacing w:val="-2"/>
        </w:rPr>
        <w:t> </w:t>
      </w:r>
      <w:r>
        <w:rPr/>
        <w:t>éstos</w:t>
      </w:r>
      <w:r>
        <w:rPr>
          <w:spacing w:val="-2"/>
        </w:rPr>
        <w:t> </w:t>
      </w:r>
      <w:r>
        <w:rPr/>
        <w:t>que</w:t>
      </w:r>
      <w:r>
        <w:rPr>
          <w:spacing w:val="-4"/>
        </w:rPr>
        <w:t> </w:t>
      </w:r>
      <w:r>
        <w:rPr/>
        <w:t>se</w:t>
      </w:r>
      <w:r>
        <w:rPr>
          <w:spacing w:val="-4"/>
        </w:rPr>
        <w:t> </w:t>
      </w:r>
      <w:r>
        <w:rPr/>
        <w:t>dedicará</w:t>
      </w:r>
      <w:r>
        <w:rPr>
          <w:spacing w:val="-4"/>
        </w:rPr>
        <w:t> </w:t>
      </w:r>
      <w:r>
        <w:rPr/>
        <w:t>a</w:t>
      </w:r>
      <w:r>
        <w:rPr>
          <w:spacing w:val="-2"/>
        </w:rPr>
        <w:t> </w:t>
      </w:r>
      <w:r>
        <w:rPr/>
        <w:t>la</w:t>
      </w:r>
      <w:r>
        <w:rPr>
          <w:spacing w:val="-4"/>
        </w:rPr>
        <w:t> </w:t>
      </w:r>
      <w:r>
        <w:rPr/>
        <w:t>adquisición</w:t>
      </w:r>
      <w:r>
        <w:rPr>
          <w:spacing w:val="-2"/>
        </w:rPr>
        <w:t> </w:t>
      </w:r>
      <w:r>
        <w:rPr/>
        <w:t>o elaboración de obras de arte. Fecha de vigencia 29/04/1982.</w:t>
      </w:r>
    </w:p>
    <w:p>
      <w:pPr>
        <w:spacing w:before="252"/>
        <w:ind w:left="1625" w:right="1603" w:firstLine="0"/>
        <w:jc w:val="both"/>
        <w:rPr>
          <w:sz w:val="22"/>
        </w:rPr>
      </w:pPr>
      <w:r>
        <w:rPr>
          <w:b/>
          <w:sz w:val="22"/>
        </w:rPr>
        <w:t>Ley del Sistema Financiero Nacional para la Vivienda y Creación del BANHVI, N°7052</w:t>
      </w:r>
      <w:r>
        <w:rPr>
          <w:b/>
          <w:spacing w:val="-7"/>
          <w:sz w:val="22"/>
        </w:rPr>
        <w:t> </w:t>
      </w:r>
      <w:r>
        <w:rPr>
          <w:b/>
          <w:sz w:val="22"/>
        </w:rPr>
        <w:t>y</w:t>
      </w:r>
      <w:r>
        <w:rPr>
          <w:b/>
          <w:spacing w:val="-6"/>
          <w:sz w:val="22"/>
        </w:rPr>
        <w:t> </w:t>
      </w:r>
      <w:r>
        <w:rPr>
          <w:b/>
          <w:sz w:val="22"/>
        </w:rPr>
        <w:t>sus</w:t>
      </w:r>
      <w:r>
        <w:rPr>
          <w:b/>
          <w:spacing w:val="-9"/>
          <w:sz w:val="22"/>
        </w:rPr>
        <w:t> </w:t>
      </w:r>
      <w:r>
        <w:rPr>
          <w:b/>
          <w:sz w:val="22"/>
        </w:rPr>
        <w:t>reformas</w:t>
      </w:r>
      <w:r>
        <w:rPr>
          <w:sz w:val="22"/>
        </w:rPr>
        <w:t>.</w:t>
      </w:r>
      <w:r>
        <w:rPr>
          <w:spacing w:val="-7"/>
          <w:sz w:val="22"/>
        </w:rPr>
        <w:t> </w:t>
      </w:r>
      <w:r>
        <w:rPr>
          <w:sz w:val="22"/>
        </w:rPr>
        <w:t>Fomenta</w:t>
      </w:r>
      <w:r>
        <w:rPr>
          <w:spacing w:val="-6"/>
          <w:sz w:val="22"/>
        </w:rPr>
        <w:t> </w:t>
      </w:r>
      <w:r>
        <w:rPr>
          <w:sz w:val="22"/>
        </w:rPr>
        <w:t>el</w:t>
      </w:r>
      <w:r>
        <w:rPr>
          <w:spacing w:val="-10"/>
          <w:sz w:val="22"/>
        </w:rPr>
        <w:t> </w:t>
      </w:r>
      <w:r>
        <w:rPr>
          <w:sz w:val="22"/>
        </w:rPr>
        <w:t>ahorro</w:t>
      </w:r>
      <w:r>
        <w:rPr>
          <w:spacing w:val="-6"/>
          <w:sz w:val="22"/>
        </w:rPr>
        <w:t> </w:t>
      </w:r>
      <w:r>
        <w:rPr>
          <w:sz w:val="22"/>
        </w:rPr>
        <w:t>y</w:t>
      </w:r>
      <w:r>
        <w:rPr>
          <w:spacing w:val="-8"/>
          <w:sz w:val="22"/>
        </w:rPr>
        <w:t> </w:t>
      </w:r>
      <w:r>
        <w:rPr>
          <w:sz w:val="22"/>
        </w:rPr>
        <w:t>la</w:t>
      </w:r>
      <w:r>
        <w:rPr>
          <w:spacing w:val="-6"/>
          <w:sz w:val="22"/>
        </w:rPr>
        <w:t> </w:t>
      </w:r>
      <w:r>
        <w:rPr>
          <w:sz w:val="22"/>
        </w:rPr>
        <w:t>inversión</w:t>
      </w:r>
      <w:r>
        <w:rPr>
          <w:spacing w:val="-7"/>
          <w:sz w:val="22"/>
        </w:rPr>
        <w:t> </w:t>
      </w:r>
      <w:r>
        <w:rPr>
          <w:sz w:val="22"/>
        </w:rPr>
        <w:t>nacional</w:t>
      </w:r>
      <w:r>
        <w:rPr>
          <w:spacing w:val="-7"/>
          <w:sz w:val="22"/>
        </w:rPr>
        <w:t> </w:t>
      </w:r>
      <w:r>
        <w:rPr>
          <w:sz w:val="22"/>
        </w:rPr>
        <w:t>y</w:t>
      </w:r>
      <w:r>
        <w:rPr>
          <w:spacing w:val="-8"/>
          <w:sz w:val="22"/>
        </w:rPr>
        <w:t> </w:t>
      </w:r>
      <w:r>
        <w:rPr>
          <w:sz w:val="22"/>
        </w:rPr>
        <w:t>extranjera,</w:t>
      </w:r>
      <w:r>
        <w:rPr>
          <w:spacing w:val="-5"/>
          <w:sz w:val="22"/>
        </w:rPr>
        <w:t> </w:t>
      </w:r>
      <w:r>
        <w:rPr>
          <w:sz w:val="22"/>
        </w:rPr>
        <w:t>con</w:t>
      </w:r>
      <w:r>
        <w:rPr>
          <w:spacing w:val="-9"/>
          <w:sz w:val="22"/>
        </w:rPr>
        <w:t> </w:t>
      </w:r>
      <w:r>
        <w:rPr>
          <w:sz w:val="22"/>
        </w:rPr>
        <w:t>el</w:t>
      </w:r>
      <w:r>
        <w:rPr>
          <w:spacing w:val="-10"/>
          <w:sz w:val="22"/>
        </w:rPr>
        <w:t> </w:t>
      </w:r>
      <w:r>
        <w:rPr>
          <w:sz w:val="22"/>
        </w:rPr>
        <w:t>fin de recaudar recursos financieros para procurar la solución del problema habitacional existente en el país.</w:t>
      </w:r>
    </w:p>
    <w:p>
      <w:pPr>
        <w:pStyle w:val="BodyText"/>
        <w:spacing w:before="1"/>
        <w:ind w:left="1625" w:right="1601"/>
        <w:jc w:val="both"/>
      </w:pPr>
      <w:r>
        <w:rPr/>
        <w:t>El</w:t>
      </w:r>
      <w:r>
        <w:rPr>
          <w:spacing w:val="-15"/>
        </w:rPr>
        <w:t> </w:t>
      </w:r>
      <w:r>
        <w:rPr/>
        <w:t>IMAS</w:t>
      </w:r>
      <w:r>
        <w:rPr>
          <w:spacing w:val="-14"/>
        </w:rPr>
        <w:t> </w:t>
      </w:r>
      <w:r>
        <w:rPr/>
        <w:t>emite</w:t>
      </w:r>
      <w:r>
        <w:rPr>
          <w:spacing w:val="-16"/>
        </w:rPr>
        <w:t> </w:t>
      </w:r>
      <w:r>
        <w:rPr/>
        <w:t>recomendaciones</w:t>
      </w:r>
      <w:r>
        <w:rPr>
          <w:spacing w:val="-13"/>
        </w:rPr>
        <w:t> </w:t>
      </w:r>
      <w:r>
        <w:rPr/>
        <w:t>sobre</w:t>
      </w:r>
      <w:r>
        <w:rPr>
          <w:spacing w:val="-14"/>
        </w:rPr>
        <w:t> </w:t>
      </w:r>
      <w:r>
        <w:rPr/>
        <w:t>la</w:t>
      </w:r>
      <w:r>
        <w:rPr>
          <w:spacing w:val="-14"/>
        </w:rPr>
        <w:t> </w:t>
      </w:r>
      <w:r>
        <w:rPr/>
        <w:t>condición</w:t>
      </w:r>
      <w:r>
        <w:rPr>
          <w:spacing w:val="-14"/>
        </w:rPr>
        <w:t> </w:t>
      </w:r>
      <w:r>
        <w:rPr/>
        <w:t>social</w:t>
      </w:r>
      <w:r>
        <w:rPr>
          <w:spacing w:val="-15"/>
        </w:rPr>
        <w:t> </w:t>
      </w:r>
      <w:r>
        <w:rPr/>
        <w:t>de</w:t>
      </w:r>
      <w:r>
        <w:rPr>
          <w:spacing w:val="-14"/>
        </w:rPr>
        <w:t> </w:t>
      </w:r>
      <w:r>
        <w:rPr/>
        <w:t>adultos</w:t>
      </w:r>
      <w:r>
        <w:rPr>
          <w:spacing w:val="-13"/>
        </w:rPr>
        <w:t> </w:t>
      </w:r>
      <w:r>
        <w:rPr/>
        <w:t>mayores</w:t>
      </w:r>
      <w:r>
        <w:rPr>
          <w:spacing w:val="-13"/>
        </w:rPr>
        <w:t> </w:t>
      </w:r>
      <w:r>
        <w:rPr/>
        <w:t>o</w:t>
      </w:r>
      <w:r>
        <w:rPr>
          <w:spacing w:val="-14"/>
        </w:rPr>
        <w:t> </w:t>
      </w:r>
      <w:r>
        <w:rPr/>
        <w:t>personas con discapacidad. Fecha de vigencia 27/11/1986.</w:t>
      </w:r>
    </w:p>
    <w:p>
      <w:pPr>
        <w:pStyle w:val="BodyText"/>
      </w:pPr>
    </w:p>
    <w:p>
      <w:pPr>
        <w:spacing w:before="0"/>
        <w:ind w:left="1625" w:right="1604" w:firstLine="0"/>
        <w:jc w:val="both"/>
        <w:rPr>
          <w:sz w:val="22"/>
        </w:rPr>
      </w:pPr>
      <w:r>
        <w:rPr>
          <w:b/>
          <w:sz w:val="22"/>
        </w:rPr>
        <w:t>Ley de Distribución de Bienes Confiscados o Caídos en Comiso, N°6106 y sus reformas. </w:t>
      </w:r>
      <w:r>
        <w:rPr>
          <w:sz w:val="22"/>
        </w:rPr>
        <w:t>Faculta la donación de objetos decomisados por la Dirección de Investigaciones</w:t>
      </w:r>
      <w:r>
        <w:rPr>
          <w:spacing w:val="80"/>
          <w:sz w:val="22"/>
        </w:rPr>
        <w:t> </w:t>
      </w:r>
      <w:r>
        <w:rPr>
          <w:sz w:val="22"/>
        </w:rPr>
        <w:t>Criminales</w:t>
      </w:r>
      <w:r>
        <w:rPr>
          <w:spacing w:val="80"/>
          <w:sz w:val="22"/>
        </w:rPr>
        <w:t> </w:t>
      </w:r>
      <w:r>
        <w:rPr>
          <w:sz w:val="22"/>
        </w:rPr>
        <w:t>a</w:t>
      </w:r>
      <w:r>
        <w:rPr>
          <w:spacing w:val="80"/>
          <w:sz w:val="22"/>
        </w:rPr>
        <w:t> </w:t>
      </w:r>
      <w:r>
        <w:rPr>
          <w:sz w:val="22"/>
        </w:rPr>
        <w:t>favor</w:t>
      </w:r>
      <w:r>
        <w:rPr>
          <w:spacing w:val="80"/>
          <w:sz w:val="22"/>
        </w:rPr>
        <w:t> </w:t>
      </w:r>
      <w:r>
        <w:rPr>
          <w:sz w:val="22"/>
        </w:rPr>
        <w:t>de</w:t>
      </w:r>
      <w:r>
        <w:rPr>
          <w:spacing w:val="80"/>
          <w:sz w:val="22"/>
        </w:rPr>
        <w:t> </w:t>
      </w:r>
      <w:r>
        <w:rPr>
          <w:sz w:val="22"/>
        </w:rPr>
        <w:t>centros</w:t>
      </w:r>
      <w:r>
        <w:rPr>
          <w:spacing w:val="80"/>
          <w:sz w:val="22"/>
        </w:rPr>
        <w:t> </w:t>
      </w:r>
      <w:r>
        <w:rPr>
          <w:sz w:val="22"/>
        </w:rPr>
        <w:t>o</w:t>
      </w:r>
      <w:r>
        <w:rPr>
          <w:spacing w:val="80"/>
          <w:sz w:val="22"/>
        </w:rPr>
        <w:t> </w:t>
      </w:r>
      <w:r>
        <w:rPr>
          <w:sz w:val="22"/>
        </w:rPr>
        <w:t>instituciones</w:t>
      </w:r>
      <w:r>
        <w:rPr>
          <w:spacing w:val="80"/>
          <w:sz w:val="22"/>
        </w:rPr>
        <w:t> </w:t>
      </w:r>
      <w:r>
        <w:rPr>
          <w:sz w:val="22"/>
        </w:rPr>
        <w:t>de</w:t>
      </w:r>
      <w:r>
        <w:rPr>
          <w:spacing w:val="80"/>
          <w:sz w:val="22"/>
        </w:rPr>
        <w:t> </w:t>
      </w:r>
      <w:r>
        <w:rPr>
          <w:sz w:val="22"/>
        </w:rPr>
        <w:t>educación,</w:t>
      </w:r>
      <w:r>
        <w:rPr>
          <w:spacing w:val="80"/>
          <w:sz w:val="22"/>
        </w:rPr>
        <w:t> </w:t>
      </w:r>
      <w:r>
        <w:rPr>
          <w:sz w:val="22"/>
        </w:rPr>
        <w:t>de</w:t>
      </w:r>
    </w:p>
    <w:p>
      <w:pPr>
        <w:spacing w:after="0"/>
        <w:jc w:val="both"/>
        <w:rPr>
          <w:sz w:val="22"/>
        </w:rPr>
        <w:sectPr>
          <w:pgSz w:w="12240" w:h="15840"/>
          <w:pgMar w:header="0" w:footer="1576" w:top="1820" w:bottom="1760" w:left="360" w:right="0"/>
        </w:sectPr>
      </w:pPr>
    </w:p>
    <w:p>
      <w:pPr>
        <w:pStyle w:val="BodyText"/>
        <w:spacing w:before="77"/>
        <w:ind w:left="1625" w:right="1606"/>
        <w:jc w:val="both"/>
      </w:pPr>
      <w:r>
        <w:rPr/>
        <w:t>beneficencia,</w:t>
      </w:r>
      <w:r>
        <w:rPr>
          <w:spacing w:val="-8"/>
        </w:rPr>
        <w:t> </w:t>
      </w:r>
      <w:r>
        <w:rPr/>
        <w:t>o</w:t>
      </w:r>
      <w:r>
        <w:rPr>
          <w:spacing w:val="-9"/>
        </w:rPr>
        <w:t> </w:t>
      </w:r>
      <w:r>
        <w:rPr/>
        <w:t>a</w:t>
      </w:r>
      <w:r>
        <w:rPr>
          <w:spacing w:val="-11"/>
        </w:rPr>
        <w:t> </w:t>
      </w:r>
      <w:r>
        <w:rPr/>
        <w:t>otras</w:t>
      </w:r>
      <w:r>
        <w:rPr>
          <w:spacing w:val="-9"/>
        </w:rPr>
        <w:t> </w:t>
      </w:r>
      <w:r>
        <w:rPr/>
        <w:t>dependencias</w:t>
      </w:r>
      <w:r>
        <w:rPr>
          <w:spacing w:val="-9"/>
        </w:rPr>
        <w:t> </w:t>
      </w:r>
      <w:r>
        <w:rPr/>
        <w:t>del</w:t>
      </w:r>
      <w:r>
        <w:rPr>
          <w:spacing w:val="-10"/>
        </w:rPr>
        <w:t> </w:t>
      </w:r>
      <w:r>
        <w:rPr/>
        <w:t>Estado,</w:t>
      </w:r>
      <w:r>
        <w:rPr>
          <w:spacing w:val="-13"/>
        </w:rPr>
        <w:t> </w:t>
      </w:r>
      <w:r>
        <w:rPr/>
        <w:t>que</w:t>
      </w:r>
      <w:r>
        <w:rPr>
          <w:spacing w:val="-9"/>
        </w:rPr>
        <w:t> </w:t>
      </w:r>
      <w:r>
        <w:rPr/>
        <w:t>los</w:t>
      </w:r>
      <w:r>
        <w:rPr>
          <w:spacing w:val="-9"/>
        </w:rPr>
        <w:t> </w:t>
      </w:r>
      <w:r>
        <w:rPr/>
        <w:t>necesiten</w:t>
      </w:r>
      <w:r>
        <w:rPr>
          <w:spacing w:val="-9"/>
        </w:rPr>
        <w:t> </w:t>
      </w:r>
      <w:r>
        <w:rPr/>
        <w:t>para</w:t>
      </w:r>
      <w:r>
        <w:rPr>
          <w:spacing w:val="-9"/>
        </w:rPr>
        <w:t> </w:t>
      </w:r>
      <w:r>
        <w:rPr/>
        <w:t>la</w:t>
      </w:r>
      <w:r>
        <w:rPr>
          <w:spacing w:val="-11"/>
        </w:rPr>
        <w:t> </w:t>
      </w:r>
      <w:r>
        <w:rPr/>
        <w:t>realización</w:t>
      </w:r>
      <w:r>
        <w:rPr>
          <w:spacing w:val="-9"/>
        </w:rPr>
        <w:t> </w:t>
      </w:r>
      <w:r>
        <w:rPr/>
        <w:t>de sus fines. Fecha de vigencia 07/11/1977.</w:t>
      </w:r>
    </w:p>
    <w:p>
      <w:pPr>
        <w:pStyle w:val="BodyText"/>
      </w:pPr>
    </w:p>
    <w:p>
      <w:pPr>
        <w:spacing w:before="0"/>
        <w:ind w:left="1625" w:right="1601" w:firstLine="0"/>
        <w:jc w:val="both"/>
        <w:rPr>
          <w:sz w:val="22"/>
        </w:rPr>
      </w:pPr>
      <w:r>
        <w:rPr>
          <w:b/>
          <w:sz w:val="22"/>
        </w:rPr>
        <w:t>Ley General de la Administración Pública, N°6227 y sus reformas</w:t>
      </w:r>
      <w:r>
        <w:rPr>
          <w:sz w:val="22"/>
        </w:rPr>
        <w:t>. Regula la organización y actividad del Estado, y sus órganos adscritos. Fecha de vigencia </w:t>
      </w:r>
      <w:r>
        <w:rPr>
          <w:spacing w:val="-2"/>
          <w:sz w:val="22"/>
        </w:rPr>
        <w:t>02/05/1978.</w:t>
      </w:r>
    </w:p>
    <w:p>
      <w:pPr>
        <w:pStyle w:val="BodyText"/>
        <w:spacing w:before="1"/>
      </w:pPr>
    </w:p>
    <w:p>
      <w:pPr>
        <w:pStyle w:val="BodyText"/>
        <w:ind w:left="1625" w:right="1601"/>
        <w:jc w:val="both"/>
      </w:pPr>
      <w:r>
        <w:rPr>
          <w:b/>
        </w:rPr>
        <w:t>Ley de Estímulo a las Bellas Artes Costarricenses, N°6750.</w:t>
      </w:r>
      <w:r>
        <w:rPr>
          <w:b/>
          <w:spacing w:val="40"/>
        </w:rPr>
        <w:t> </w:t>
      </w:r>
      <w:r>
        <w:rPr>
          <w:b/>
        </w:rPr>
        <w:t>y sus reformas. </w:t>
      </w:r>
      <w:r>
        <w:rPr/>
        <w:t>Establece que, cuando el Estado o sus instituciones proyecten la construcción de un edificio público, para la prestación de servicios directos a la población, cuyo costo sobrepase los diez millones de colones, el Ministerio de Cultura, en coordinación con la institución correspondiente, deberá señalar, antes de la aprobación definitiva de los planos</w:t>
      </w:r>
      <w:r>
        <w:rPr>
          <w:spacing w:val="-2"/>
        </w:rPr>
        <w:t> </w:t>
      </w:r>
      <w:r>
        <w:rPr/>
        <w:t>y</w:t>
      </w:r>
      <w:r>
        <w:rPr>
          <w:spacing w:val="-1"/>
        </w:rPr>
        <w:t> </w:t>
      </w:r>
      <w:r>
        <w:rPr/>
        <w:t>presupuestos,</w:t>
      </w:r>
      <w:r>
        <w:rPr>
          <w:spacing w:val="-3"/>
        </w:rPr>
        <w:t> </w:t>
      </w:r>
      <w:r>
        <w:rPr/>
        <w:t>el</w:t>
      </w:r>
      <w:r>
        <w:rPr>
          <w:spacing w:val="-2"/>
        </w:rPr>
        <w:t> </w:t>
      </w:r>
      <w:r>
        <w:rPr/>
        <w:t>porcentaje</w:t>
      </w:r>
      <w:r>
        <w:rPr>
          <w:spacing w:val="-4"/>
        </w:rPr>
        <w:t> </w:t>
      </w:r>
      <w:r>
        <w:rPr/>
        <w:t>mínimo</w:t>
      </w:r>
      <w:r>
        <w:rPr>
          <w:spacing w:val="-4"/>
        </w:rPr>
        <w:t> </w:t>
      </w:r>
      <w:r>
        <w:rPr/>
        <w:t>de</w:t>
      </w:r>
      <w:r>
        <w:rPr>
          <w:spacing w:val="-2"/>
        </w:rPr>
        <w:t> </w:t>
      </w:r>
      <w:r>
        <w:rPr/>
        <w:t>éstos</w:t>
      </w:r>
      <w:r>
        <w:rPr>
          <w:spacing w:val="-2"/>
        </w:rPr>
        <w:t> </w:t>
      </w:r>
      <w:r>
        <w:rPr/>
        <w:t>que</w:t>
      </w:r>
      <w:r>
        <w:rPr>
          <w:spacing w:val="-4"/>
        </w:rPr>
        <w:t> </w:t>
      </w:r>
      <w:r>
        <w:rPr/>
        <w:t>se</w:t>
      </w:r>
      <w:r>
        <w:rPr>
          <w:spacing w:val="-4"/>
        </w:rPr>
        <w:t> </w:t>
      </w:r>
      <w:r>
        <w:rPr/>
        <w:t>dedicará</w:t>
      </w:r>
      <w:r>
        <w:rPr>
          <w:spacing w:val="-4"/>
        </w:rPr>
        <w:t> </w:t>
      </w:r>
      <w:r>
        <w:rPr/>
        <w:t>a</w:t>
      </w:r>
      <w:r>
        <w:rPr>
          <w:spacing w:val="-2"/>
        </w:rPr>
        <w:t> </w:t>
      </w:r>
      <w:r>
        <w:rPr/>
        <w:t>la</w:t>
      </w:r>
      <w:r>
        <w:rPr>
          <w:spacing w:val="-4"/>
        </w:rPr>
        <w:t> </w:t>
      </w:r>
      <w:r>
        <w:rPr/>
        <w:t>adquisición</w:t>
      </w:r>
      <w:r>
        <w:rPr>
          <w:spacing w:val="-2"/>
        </w:rPr>
        <w:t> </w:t>
      </w:r>
      <w:r>
        <w:rPr/>
        <w:t>o elaboración de obras de arte. Fecha de vigencia 29/04/1982.</w:t>
      </w:r>
    </w:p>
    <w:p>
      <w:pPr>
        <w:spacing w:before="252"/>
        <w:ind w:left="1625" w:right="1602" w:firstLine="0"/>
        <w:jc w:val="both"/>
        <w:rPr>
          <w:sz w:val="22"/>
        </w:rPr>
      </w:pPr>
      <w:r>
        <w:rPr>
          <w:b/>
          <w:sz w:val="22"/>
        </w:rPr>
        <w:t>Ley del Sistema Financiero Nacional para la Vivienda y Creación del BANHVI, N°7052</w:t>
      </w:r>
      <w:r>
        <w:rPr>
          <w:b/>
          <w:spacing w:val="-7"/>
          <w:sz w:val="22"/>
        </w:rPr>
        <w:t> </w:t>
      </w:r>
      <w:r>
        <w:rPr>
          <w:b/>
          <w:sz w:val="22"/>
        </w:rPr>
        <w:t>y</w:t>
      </w:r>
      <w:r>
        <w:rPr>
          <w:b/>
          <w:spacing w:val="-6"/>
          <w:sz w:val="22"/>
        </w:rPr>
        <w:t> </w:t>
      </w:r>
      <w:r>
        <w:rPr>
          <w:b/>
          <w:sz w:val="22"/>
        </w:rPr>
        <w:t>sus</w:t>
      </w:r>
      <w:r>
        <w:rPr>
          <w:b/>
          <w:spacing w:val="-9"/>
          <w:sz w:val="22"/>
        </w:rPr>
        <w:t> </w:t>
      </w:r>
      <w:r>
        <w:rPr>
          <w:b/>
          <w:sz w:val="22"/>
        </w:rPr>
        <w:t>reformas</w:t>
      </w:r>
      <w:r>
        <w:rPr>
          <w:sz w:val="22"/>
        </w:rPr>
        <w:t>.</w:t>
      </w:r>
      <w:r>
        <w:rPr>
          <w:spacing w:val="-7"/>
          <w:sz w:val="22"/>
        </w:rPr>
        <w:t> </w:t>
      </w:r>
      <w:r>
        <w:rPr>
          <w:sz w:val="22"/>
        </w:rPr>
        <w:t>Fomenta</w:t>
      </w:r>
      <w:r>
        <w:rPr>
          <w:spacing w:val="-6"/>
          <w:sz w:val="22"/>
        </w:rPr>
        <w:t> </w:t>
      </w:r>
      <w:r>
        <w:rPr>
          <w:sz w:val="22"/>
        </w:rPr>
        <w:t>el</w:t>
      </w:r>
      <w:r>
        <w:rPr>
          <w:spacing w:val="-10"/>
          <w:sz w:val="22"/>
        </w:rPr>
        <w:t> </w:t>
      </w:r>
      <w:r>
        <w:rPr>
          <w:sz w:val="22"/>
        </w:rPr>
        <w:t>ahorro</w:t>
      </w:r>
      <w:r>
        <w:rPr>
          <w:spacing w:val="-6"/>
          <w:sz w:val="22"/>
        </w:rPr>
        <w:t> </w:t>
      </w:r>
      <w:r>
        <w:rPr>
          <w:sz w:val="22"/>
        </w:rPr>
        <w:t>y</w:t>
      </w:r>
      <w:r>
        <w:rPr>
          <w:spacing w:val="-8"/>
          <w:sz w:val="22"/>
        </w:rPr>
        <w:t> </w:t>
      </w:r>
      <w:r>
        <w:rPr>
          <w:sz w:val="22"/>
        </w:rPr>
        <w:t>la</w:t>
      </w:r>
      <w:r>
        <w:rPr>
          <w:spacing w:val="-6"/>
          <w:sz w:val="22"/>
        </w:rPr>
        <w:t> </w:t>
      </w:r>
      <w:r>
        <w:rPr>
          <w:sz w:val="22"/>
        </w:rPr>
        <w:t>inversión</w:t>
      </w:r>
      <w:r>
        <w:rPr>
          <w:spacing w:val="-7"/>
          <w:sz w:val="22"/>
        </w:rPr>
        <w:t> </w:t>
      </w:r>
      <w:r>
        <w:rPr>
          <w:sz w:val="22"/>
        </w:rPr>
        <w:t>nacional</w:t>
      </w:r>
      <w:r>
        <w:rPr>
          <w:spacing w:val="-7"/>
          <w:sz w:val="22"/>
        </w:rPr>
        <w:t> </w:t>
      </w:r>
      <w:r>
        <w:rPr>
          <w:sz w:val="22"/>
        </w:rPr>
        <w:t>y</w:t>
      </w:r>
      <w:r>
        <w:rPr>
          <w:spacing w:val="-8"/>
          <w:sz w:val="22"/>
        </w:rPr>
        <w:t> </w:t>
      </w:r>
      <w:r>
        <w:rPr>
          <w:sz w:val="22"/>
        </w:rPr>
        <w:t>extranjera,</w:t>
      </w:r>
      <w:r>
        <w:rPr>
          <w:spacing w:val="-5"/>
          <w:sz w:val="22"/>
        </w:rPr>
        <w:t> </w:t>
      </w:r>
      <w:r>
        <w:rPr>
          <w:sz w:val="22"/>
        </w:rPr>
        <w:t>con</w:t>
      </w:r>
      <w:r>
        <w:rPr>
          <w:spacing w:val="-9"/>
          <w:sz w:val="22"/>
        </w:rPr>
        <w:t> </w:t>
      </w:r>
      <w:r>
        <w:rPr>
          <w:sz w:val="22"/>
        </w:rPr>
        <w:t>el</w:t>
      </w:r>
      <w:r>
        <w:rPr>
          <w:spacing w:val="-10"/>
          <w:sz w:val="22"/>
        </w:rPr>
        <w:t> </w:t>
      </w:r>
      <w:r>
        <w:rPr>
          <w:sz w:val="22"/>
        </w:rPr>
        <w:t>fin de recaudar recursos financieros para procurar la solución del problema habitacional existente</w:t>
      </w:r>
      <w:r>
        <w:rPr>
          <w:spacing w:val="-12"/>
          <w:sz w:val="22"/>
        </w:rPr>
        <w:t> </w:t>
      </w:r>
      <w:r>
        <w:rPr>
          <w:sz w:val="22"/>
        </w:rPr>
        <w:t>en</w:t>
      </w:r>
      <w:r>
        <w:rPr>
          <w:spacing w:val="-10"/>
          <w:sz w:val="22"/>
        </w:rPr>
        <w:t> </w:t>
      </w:r>
      <w:r>
        <w:rPr>
          <w:sz w:val="22"/>
        </w:rPr>
        <w:t>el</w:t>
      </w:r>
      <w:r>
        <w:rPr>
          <w:spacing w:val="-13"/>
          <w:sz w:val="22"/>
        </w:rPr>
        <w:t> </w:t>
      </w:r>
      <w:r>
        <w:rPr>
          <w:sz w:val="22"/>
        </w:rPr>
        <w:t>país.</w:t>
      </w:r>
      <w:r>
        <w:rPr>
          <w:spacing w:val="-11"/>
          <w:sz w:val="22"/>
        </w:rPr>
        <w:t> </w:t>
      </w:r>
      <w:r>
        <w:rPr>
          <w:sz w:val="22"/>
        </w:rPr>
        <w:t>El</w:t>
      </w:r>
      <w:r>
        <w:rPr>
          <w:spacing w:val="-10"/>
          <w:sz w:val="22"/>
        </w:rPr>
        <w:t> </w:t>
      </w:r>
      <w:r>
        <w:rPr>
          <w:sz w:val="22"/>
        </w:rPr>
        <w:t>IMAS</w:t>
      </w:r>
      <w:r>
        <w:rPr>
          <w:spacing w:val="-10"/>
          <w:sz w:val="22"/>
        </w:rPr>
        <w:t> </w:t>
      </w:r>
      <w:r>
        <w:rPr>
          <w:sz w:val="22"/>
        </w:rPr>
        <w:t>emite</w:t>
      </w:r>
      <w:r>
        <w:rPr>
          <w:spacing w:val="-12"/>
          <w:sz w:val="22"/>
        </w:rPr>
        <w:t> </w:t>
      </w:r>
      <w:r>
        <w:rPr>
          <w:sz w:val="22"/>
        </w:rPr>
        <w:t>recomendaciones</w:t>
      </w:r>
      <w:r>
        <w:rPr>
          <w:spacing w:val="-10"/>
          <w:sz w:val="22"/>
        </w:rPr>
        <w:t> </w:t>
      </w:r>
      <w:r>
        <w:rPr>
          <w:sz w:val="22"/>
        </w:rPr>
        <w:t>sobre</w:t>
      </w:r>
      <w:r>
        <w:rPr>
          <w:spacing w:val="-10"/>
          <w:sz w:val="22"/>
        </w:rPr>
        <w:t> </w:t>
      </w:r>
      <w:r>
        <w:rPr>
          <w:sz w:val="22"/>
        </w:rPr>
        <w:t>la</w:t>
      </w:r>
      <w:r>
        <w:rPr>
          <w:spacing w:val="-12"/>
          <w:sz w:val="22"/>
        </w:rPr>
        <w:t> </w:t>
      </w:r>
      <w:r>
        <w:rPr>
          <w:sz w:val="22"/>
        </w:rPr>
        <w:t>condición</w:t>
      </w:r>
      <w:r>
        <w:rPr>
          <w:spacing w:val="-10"/>
          <w:sz w:val="22"/>
        </w:rPr>
        <w:t> </w:t>
      </w:r>
      <w:r>
        <w:rPr>
          <w:sz w:val="22"/>
        </w:rPr>
        <w:t>social</w:t>
      </w:r>
      <w:r>
        <w:rPr>
          <w:spacing w:val="-11"/>
          <w:sz w:val="22"/>
        </w:rPr>
        <w:t> </w:t>
      </w:r>
      <w:r>
        <w:rPr>
          <w:sz w:val="22"/>
        </w:rPr>
        <w:t>de</w:t>
      </w:r>
      <w:r>
        <w:rPr>
          <w:spacing w:val="-10"/>
          <w:sz w:val="22"/>
        </w:rPr>
        <w:t> </w:t>
      </w:r>
      <w:r>
        <w:rPr>
          <w:sz w:val="22"/>
        </w:rPr>
        <w:t>adultos mayores o personas con discapacidad. Fecha de vigencia 27/11/1986.</w:t>
      </w:r>
    </w:p>
    <w:p>
      <w:pPr>
        <w:pStyle w:val="BodyText"/>
      </w:pPr>
    </w:p>
    <w:p>
      <w:pPr>
        <w:spacing w:before="0"/>
        <w:ind w:left="1625" w:right="1602" w:firstLine="0"/>
        <w:jc w:val="both"/>
        <w:rPr>
          <w:sz w:val="22"/>
        </w:rPr>
      </w:pPr>
      <w:r>
        <w:rPr>
          <w:b/>
          <w:sz w:val="22"/>
        </w:rPr>
        <w:t>Ley que Autoriza el Traspaso de Terrenos del IMAS, N° 7151</w:t>
      </w:r>
      <w:r>
        <w:rPr>
          <w:sz w:val="22"/>
        </w:rPr>
        <w:t>. Autoriza que el IMAS segregue y traspase sus terrenos a las personas que los ocupen por ser adjudicatarios de viviendas promovidas por esta institución, IMAS segrega y traspasa terrenos a terceros. Fecha de vigencia 10/08/1990.</w:t>
      </w:r>
    </w:p>
    <w:p>
      <w:pPr>
        <w:pStyle w:val="BodyText"/>
      </w:pPr>
    </w:p>
    <w:p>
      <w:pPr>
        <w:pStyle w:val="BodyText"/>
        <w:ind w:left="1625" w:right="1600"/>
        <w:jc w:val="both"/>
      </w:pPr>
      <w:r>
        <w:rPr>
          <w:b/>
        </w:rPr>
        <w:t>Ley del Sistema Nacional de Archivos</w:t>
      </w:r>
      <w:r>
        <w:rPr/>
        <w:t>, </w:t>
      </w:r>
      <w:r>
        <w:rPr>
          <w:b/>
        </w:rPr>
        <w:t>N° 7202 y sus reformas</w:t>
      </w:r>
      <w:r>
        <w:rPr/>
        <w:t>. Regula el funcionamiento</w:t>
      </w:r>
      <w:r>
        <w:rPr>
          <w:spacing w:val="-6"/>
        </w:rPr>
        <w:t> </w:t>
      </w:r>
      <w:r>
        <w:rPr/>
        <w:t>de</w:t>
      </w:r>
      <w:r>
        <w:rPr>
          <w:spacing w:val="-4"/>
        </w:rPr>
        <w:t> </w:t>
      </w:r>
      <w:r>
        <w:rPr/>
        <w:t>los</w:t>
      </w:r>
      <w:r>
        <w:rPr>
          <w:spacing w:val="-6"/>
        </w:rPr>
        <w:t> </w:t>
      </w:r>
      <w:r>
        <w:rPr/>
        <w:t>órganos</w:t>
      </w:r>
      <w:r>
        <w:rPr>
          <w:spacing w:val="-4"/>
        </w:rPr>
        <w:t> </w:t>
      </w:r>
      <w:r>
        <w:rPr/>
        <w:t>del</w:t>
      </w:r>
      <w:r>
        <w:rPr>
          <w:spacing w:val="-5"/>
        </w:rPr>
        <w:t> </w:t>
      </w:r>
      <w:r>
        <w:rPr/>
        <w:t>Sistema</w:t>
      </w:r>
      <w:r>
        <w:rPr>
          <w:spacing w:val="-4"/>
        </w:rPr>
        <w:t> </w:t>
      </w:r>
      <w:r>
        <w:rPr/>
        <w:t>Nacional</w:t>
      </w:r>
      <w:r>
        <w:rPr>
          <w:spacing w:val="-5"/>
        </w:rPr>
        <w:t> </w:t>
      </w:r>
      <w:r>
        <w:rPr/>
        <w:t>de</w:t>
      </w:r>
      <w:r>
        <w:rPr>
          <w:spacing w:val="-4"/>
        </w:rPr>
        <w:t> </w:t>
      </w:r>
      <w:r>
        <w:rPr/>
        <w:t>Archivos</w:t>
      </w:r>
      <w:r>
        <w:rPr>
          <w:spacing w:val="-6"/>
        </w:rPr>
        <w:t> </w:t>
      </w:r>
      <w:r>
        <w:rPr/>
        <w:t>y</w:t>
      </w:r>
      <w:r>
        <w:rPr>
          <w:spacing w:val="-6"/>
        </w:rPr>
        <w:t> </w:t>
      </w:r>
      <w:r>
        <w:rPr/>
        <w:t>de</w:t>
      </w:r>
      <w:r>
        <w:rPr>
          <w:spacing w:val="-4"/>
        </w:rPr>
        <w:t> </w:t>
      </w:r>
      <w:r>
        <w:rPr/>
        <w:t>los</w:t>
      </w:r>
      <w:r>
        <w:rPr>
          <w:spacing w:val="-9"/>
        </w:rPr>
        <w:t> </w:t>
      </w:r>
      <w:r>
        <w:rPr/>
        <w:t>archivos</w:t>
      </w:r>
      <w:r>
        <w:rPr>
          <w:spacing w:val="-4"/>
        </w:rPr>
        <w:t> </w:t>
      </w:r>
      <w:r>
        <w:rPr/>
        <w:t>de</w:t>
      </w:r>
      <w:r>
        <w:rPr>
          <w:spacing w:val="-7"/>
        </w:rPr>
        <w:t> </w:t>
      </w:r>
      <w:r>
        <w:rPr/>
        <w:t>los Poderes Legislativo, Judicial y Ejecutivo, y de los demás entes públicos, cada uno con personalidad</w:t>
      </w:r>
      <w:r>
        <w:rPr>
          <w:spacing w:val="-5"/>
        </w:rPr>
        <w:t> </w:t>
      </w:r>
      <w:r>
        <w:rPr/>
        <w:t>jurídica</w:t>
      </w:r>
      <w:r>
        <w:rPr>
          <w:spacing w:val="-7"/>
        </w:rPr>
        <w:t> </w:t>
      </w:r>
      <w:r>
        <w:rPr/>
        <w:t>y</w:t>
      </w:r>
      <w:r>
        <w:rPr>
          <w:spacing w:val="-7"/>
        </w:rPr>
        <w:t> </w:t>
      </w:r>
      <w:r>
        <w:rPr/>
        <w:t>capacidad</w:t>
      </w:r>
      <w:r>
        <w:rPr>
          <w:spacing w:val="-5"/>
        </w:rPr>
        <w:t> </w:t>
      </w:r>
      <w:r>
        <w:rPr/>
        <w:t>de</w:t>
      </w:r>
      <w:r>
        <w:rPr>
          <w:spacing w:val="-5"/>
        </w:rPr>
        <w:t> </w:t>
      </w:r>
      <w:r>
        <w:rPr/>
        <w:t>derecho</w:t>
      </w:r>
      <w:r>
        <w:rPr>
          <w:spacing w:val="-7"/>
        </w:rPr>
        <w:t> </w:t>
      </w:r>
      <w:r>
        <w:rPr/>
        <w:t>público</w:t>
      </w:r>
      <w:r>
        <w:rPr>
          <w:spacing w:val="-5"/>
        </w:rPr>
        <w:t> </w:t>
      </w:r>
      <w:r>
        <w:rPr/>
        <w:t>y</w:t>
      </w:r>
      <w:r>
        <w:rPr>
          <w:spacing w:val="-5"/>
        </w:rPr>
        <w:t> </w:t>
      </w:r>
      <w:r>
        <w:rPr/>
        <w:t>privado,</w:t>
      </w:r>
      <w:r>
        <w:rPr>
          <w:spacing w:val="-6"/>
        </w:rPr>
        <w:t> </w:t>
      </w:r>
      <w:r>
        <w:rPr/>
        <w:t>así</w:t>
      </w:r>
      <w:r>
        <w:rPr>
          <w:spacing w:val="-6"/>
        </w:rPr>
        <w:t> </w:t>
      </w:r>
      <w:r>
        <w:rPr/>
        <w:t>como</w:t>
      </w:r>
      <w:r>
        <w:rPr>
          <w:spacing w:val="-7"/>
        </w:rPr>
        <w:t> </w:t>
      </w:r>
      <w:r>
        <w:rPr/>
        <w:t>de</w:t>
      </w:r>
      <w:r>
        <w:rPr>
          <w:spacing w:val="-5"/>
        </w:rPr>
        <w:t> </w:t>
      </w:r>
      <w:r>
        <w:rPr/>
        <w:t>los</w:t>
      </w:r>
      <w:r>
        <w:rPr>
          <w:spacing w:val="-7"/>
        </w:rPr>
        <w:t> </w:t>
      </w:r>
      <w:r>
        <w:rPr/>
        <w:t>archivos privados y particulares que deseen someterse a estas regulaciones. Fecha de vigencia </w:t>
      </w:r>
      <w:r>
        <w:rPr>
          <w:spacing w:val="-2"/>
        </w:rPr>
        <w:t>27/11/1990.</w:t>
      </w:r>
    </w:p>
    <w:p>
      <w:pPr>
        <w:pStyle w:val="BodyText"/>
      </w:pPr>
    </w:p>
    <w:p>
      <w:pPr>
        <w:spacing w:before="1"/>
        <w:ind w:left="1625" w:right="1601" w:firstLine="0"/>
        <w:jc w:val="both"/>
        <w:rPr>
          <w:sz w:val="22"/>
        </w:rPr>
      </w:pPr>
      <w:r>
        <w:rPr>
          <w:b/>
          <w:sz w:val="22"/>
        </w:rPr>
        <w:t>Ley contra el Hostigamiento Sexual en el Empleo y la Docencia</w:t>
      </w:r>
      <w:r>
        <w:rPr>
          <w:sz w:val="22"/>
        </w:rPr>
        <w:t>, </w:t>
      </w:r>
      <w:r>
        <w:rPr>
          <w:b/>
          <w:sz w:val="22"/>
        </w:rPr>
        <w:t>N° 7476 y sus reformas</w:t>
      </w:r>
      <w:r>
        <w:rPr>
          <w:sz w:val="22"/>
        </w:rPr>
        <w:t>. Previene, prohíbe y sanciona el hostigamiento sexual como práctica discriminatoria</w:t>
      </w:r>
      <w:r>
        <w:rPr>
          <w:spacing w:val="-2"/>
          <w:sz w:val="22"/>
        </w:rPr>
        <w:t> </w:t>
      </w:r>
      <w:r>
        <w:rPr>
          <w:sz w:val="22"/>
        </w:rPr>
        <w:t>por</w:t>
      </w:r>
      <w:r>
        <w:rPr>
          <w:spacing w:val="-1"/>
          <w:sz w:val="22"/>
        </w:rPr>
        <w:t> </w:t>
      </w:r>
      <w:r>
        <w:rPr>
          <w:sz w:val="22"/>
        </w:rPr>
        <w:t>razón</w:t>
      </w:r>
      <w:r>
        <w:rPr>
          <w:spacing w:val="-4"/>
          <w:sz w:val="22"/>
        </w:rPr>
        <w:t> </w:t>
      </w:r>
      <w:r>
        <w:rPr>
          <w:sz w:val="22"/>
        </w:rPr>
        <w:t>de</w:t>
      </w:r>
      <w:r>
        <w:rPr>
          <w:spacing w:val="-2"/>
          <w:sz w:val="22"/>
        </w:rPr>
        <w:t> </w:t>
      </w:r>
      <w:r>
        <w:rPr>
          <w:sz w:val="22"/>
        </w:rPr>
        <w:t>sexo,</w:t>
      </w:r>
      <w:r>
        <w:rPr>
          <w:spacing w:val="-3"/>
          <w:sz w:val="22"/>
        </w:rPr>
        <w:t> </w:t>
      </w:r>
      <w:r>
        <w:rPr>
          <w:sz w:val="22"/>
        </w:rPr>
        <w:t>contra</w:t>
      </w:r>
      <w:r>
        <w:rPr>
          <w:spacing w:val="-2"/>
          <w:sz w:val="22"/>
        </w:rPr>
        <w:t> </w:t>
      </w:r>
      <w:r>
        <w:rPr>
          <w:sz w:val="22"/>
        </w:rPr>
        <w:t>la</w:t>
      </w:r>
      <w:r>
        <w:rPr>
          <w:spacing w:val="-2"/>
          <w:sz w:val="22"/>
        </w:rPr>
        <w:t> </w:t>
      </w:r>
      <w:r>
        <w:rPr>
          <w:sz w:val="22"/>
        </w:rPr>
        <w:t>dignidad</w:t>
      </w:r>
      <w:r>
        <w:rPr>
          <w:spacing w:val="-2"/>
          <w:sz w:val="22"/>
        </w:rPr>
        <w:t> </w:t>
      </w:r>
      <w:r>
        <w:rPr>
          <w:sz w:val="22"/>
        </w:rPr>
        <w:t>de</w:t>
      </w:r>
      <w:r>
        <w:rPr>
          <w:spacing w:val="-2"/>
          <w:sz w:val="22"/>
        </w:rPr>
        <w:t> </w:t>
      </w:r>
      <w:r>
        <w:rPr>
          <w:sz w:val="22"/>
        </w:rPr>
        <w:t>las</w:t>
      </w:r>
      <w:r>
        <w:rPr>
          <w:spacing w:val="-2"/>
          <w:sz w:val="22"/>
        </w:rPr>
        <w:t> </w:t>
      </w:r>
      <w:r>
        <w:rPr>
          <w:sz w:val="22"/>
        </w:rPr>
        <w:t>mujeres</w:t>
      </w:r>
      <w:r>
        <w:rPr>
          <w:spacing w:val="-4"/>
          <w:sz w:val="22"/>
        </w:rPr>
        <w:t> </w:t>
      </w:r>
      <w:r>
        <w:rPr>
          <w:sz w:val="22"/>
        </w:rPr>
        <w:t>y</w:t>
      </w:r>
      <w:r>
        <w:rPr>
          <w:spacing w:val="-1"/>
          <w:sz w:val="22"/>
        </w:rPr>
        <w:t> </w:t>
      </w:r>
      <w:r>
        <w:rPr>
          <w:sz w:val="22"/>
        </w:rPr>
        <w:t>de</w:t>
      </w:r>
      <w:r>
        <w:rPr>
          <w:spacing w:val="-2"/>
          <w:sz w:val="22"/>
        </w:rPr>
        <w:t> </w:t>
      </w:r>
      <w:r>
        <w:rPr>
          <w:sz w:val="22"/>
        </w:rPr>
        <w:t>los</w:t>
      </w:r>
      <w:r>
        <w:rPr>
          <w:spacing w:val="-1"/>
          <w:sz w:val="22"/>
        </w:rPr>
        <w:t> </w:t>
      </w:r>
      <w:r>
        <w:rPr>
          <w:sz w:val="22"/>
        </w:rPr>
        <w:t>hombres</w:t>
      </w:r>
      <w:r>
        <w:rPr>
          <w:spacing w:val="-1"/>
          <w:sz w:val="22"/>
        </w:rPr>
        <w:t> </w:t>
      </w:r>
      <w:r>
        <w:rPr>
          <w:sz w:val="22"/>
        </w:rPr>
        <w:t>en el</w:t>
      </w:r>
      <w:r>
        <w:rPr>
          <w:spacing w:val="-16"/>
          <w:sz w:val="22"/>
        </w:rPr>
        <w:t> </w:t>
      </w:r>
      <w:r>
        <w:rPr>
          <w:sz w:val="22"/>
        </w:rPr>
        <w:t>ámbito</w:t>
      </w:r>
      <w:r>
        <w:rPr>
          <w:spacing w:val="-15"/>
          <w:sz w:val="22"/>
        </w:rPr>
        <w:t> </w:t>
      </w:r>
      <w:r>
        <w:rPr>
          <w:sz w:val="22"/>
        </w:rPr>
        <w:t>de</w:t>
      </w:r>
      <w:r>
        <w:rPr>
          <w:spacing w:val="-15"/>
          <w:sz w:val="22"/>
        </w:rPr>
        <w:t> </w:t>
      </w:r>
      <w:r>
        <w:rPr>
          <w:sz w:val="22"/>
        </w:rPr>
        <w:t>trabajo</w:t>
      </w:r>
      <w:r>
        <w:rPr>
          <w:spacing w:val="-16"/>
          <w:sz w:val="22"/>
        </w:rPr>
        <w:t> </w:t>
      </w:r>
      <w:r>
        <w:rPr>
          <w:sz w:val="22"/>
        </w:rPr>
        <w:t>y</w:t>
      </w:r>
      <w:r>
        <w:rPr>
          <w:spacing w:val="-15"/>
          <w:sz w:val="22"/>
        </w:rPr>
        <w:t> </w:t>
      </w:r>
      <w:r>
        <w:rPr>
          <w:sz w:val="22"/>
        </w:rPr>
        <w:t>educativo,</w:t>
      </w:r>
      <w:r>
        <w:rPr>
          <w:spacing w:val="-15"/>
          <w:sz w:val="22"/>
        </w:rPr>
        <w:t> </w:t>
      </w:r>
      <w:r>
        <w:rPr>
          <w:sz w:val="22"/>
        </w:rPr>
        <w:t>en</w:t>
      </w:r>
      <w:r>
        <w:rPr>
          <w:spacing w:val="-15"/>
          <w:sz w:val="22"/>
        </w:rPr>
        <w:t> </w:t>
      </w:r>
      <w:r>
        <w:rPr>
          <w:sz w:val="22"/>
        </w:rPr>
        <w:t>el</w:t>
      </w:r>
      <w:r>
        <w:rPr>
          <w:spacing w:val="-16"/>
          <w:sz w:val="22"/>
        </w:rPr>
        <w:t> </w:t>
      </w:r>
      <w:r>
        <w:rPr>
          <w:sz w:val="22"/>
        </w:rPr>
        <w:t>sector</w:t>
      </w:r>
      <w:r>
        <w:rPr>
          <w:spacing w:val="-15"/>
          <w:sz w:val="22"/>
        </w:rPr>
        <w:t> </w:t>
      </w:r>
      <w:r>
        <w:rPr>
          <w:sz w:val="22"/>
        </w:rPr>
        <w:t>público</w:t>
      </w:r>
      <w:r>
        <w:rPr>
          <w:spacing w:val="-15"/>
          <w:sz w:val="22"/>
        </w:rPr>
        <w:t> </w:t>
      </w:r>
      <w:r>
        <w:rPr>
          <w:sz w:val="22"/>
        </w:rPr>
        <w:t>y</w:t>
      </w:r>
      <w:r>
        <w:rPr>
          <w:spacing w:val="-16"/>
          <w:sz w:val="22"/>
        </w:rPr>
        <w:t> </w:t>
      </w:r>
      <w:r>
        <w:rPr>
          <w:sz w:val="22"/>
        </w:rPr>
        <w:t>el</w:t>
      </w:r>
      <w:r>
        <w:rPr>
          <w:spacing w:val="-15"/>
          <w:sz w:val="22"/>
        </w:rPr>
        <w:t> </w:t>
      </w:r>
      <w:r>
        <w:rPr>
          <w:sz w:val="22"/>
        </w:rPr>
        <w:t>sector</w:t>
      </w:r>
      <w:r>
        <w:rPr>
          <w:spacing w:val="-15"/>
          <w:sz w:val="22"/>
        </w:rPr>
        <w:t> </w:t>
      </w:r>
      <w:r>
        <w:rPr>
          <w:sz w:val="22"/>
        </w:rPr>
        <w:t>privado.</w:t>
      </w:r>
      <w:r>
        <w:rPr>
          <w:spacing w:val="-15"/>
          <w:sz w:val="22"/>
        </w:rPr>
        <w:t> </w:t>
      </w:r>
      <w:r>
        <w:rPr>
          <w:sz w:val="22"/>
        </w:rPr>
        <w:t>Fecha</w:t>
      </w:r>
      <w:r>
        <w:rPr>
          <w:spacing w:val="-16"/>
          <w:sz w:val="22"/>
        </w:rPr>
        <w:t> </w:t>
      </w:r>
      <w:r>
        <w:rPr>
          <w:sz w:val="22"/>
        </w:rPr>
        <w:t>de</w:t>
      </w:r>
      <w:r>
        <w:rPr>
          <w:spacing w:val="-15"/>
          <w:sz w:val="22"/>
        </w:rPr>
        <w:t> </w:t>
      </w:r>
      <w:r>
        <w:rPr>
          <w:sz w:val="22"/>
        </w:rPr>
        <w:t>vigencia </w:t>
      </w:r>
      <w:r>
        <w:rPr>
          <w:spacing w:val="-2"/>
          <w:sz w:val="22"/>
        </w:rPr>
        <w:t>03/03/1995.</w:t>
      </w:r>
    </w:p>
    <w:p>
      <w:pPr>
        <w:pStyle w:val="BodyText"/>
        <w:spacing w:before="1"/>
      </w:pPr>
    </w:p>
    <w:p>
      <w:pPr>
        <w:spacing w:before="0"/>
        <w:ind w:left="1625" w:right="1601" w:firstLine="0"/>
        <w:jc w:val="both"/>
        <w:rPr>
          <w:sz w:val="22"/>
        </w:rPr>
      </w:pPr>
      <w:r>
        <w:rPr>
          <w:b/>
          <w:sz w:val="22"/>
        </w:rPr>
        <w:t>Ley de Igualdad de Oportunidades para las Personas con Discapacidad</w:t>
      </w:r>
      <w:r>
        <w:rPr>
          <w:sz w:val="22"/>
        </w:rPr>
        <w:t>, </w:t>
      </w:r>
      <w:r>
        <w:rPr>
          <w:b/>
          <w:sz w:val="22"/>
        </w:rPr>
        <w:t>N° 7600 y sus reformas</w:t>
      </w:r>
      <w:r>
        <w:rPr>
          <w:sz w:val="22"/>
        </w:rPr>
        <w:t>. Declara de interés público el desarrollo integral de la población con discapacidad,</w:t>
      </w:r>
      <w:r>
        <w:rPr>
          <w:spacing w:val="-6"/>
          <w:sz w:val="22"/>
        </w:rPr>
        <w:t> </w:t>
      </w:r>
      <w:r>
        <w:rPr>
          <w:sz w:val="22"/>
        </w:rPr>
        <w:t>en</w:t>
      </w:r>
      <w:r>
        <w:rPr>
          <w:spacing w:val="-8"/>
          <w:sz w:val="22"/>
        </w:rPr>
        <w:t> </w:t>
      </w:r>
      <w:r>
        <w:rPr>
          <w:sz w:val="22"/>
        </w:rPr>
        <w:t>iguales</w:t>
      </w:r>
      <w:r>
        <w:rPr>
          <w:spacing w:val="-10"/>
          <w:sz w:val="22"/>
        </w:rPr>
        <w:t> </w:t>
      </w:r>
      <w:r>
        <w:rPr>
          <w:sz w:val="22"/>
        </w:rPr>
        <w:t>condiciones</w:t>
      </w:r>
      <w:r>
        <w:rPr>
          <w:spacing w:val="-7"/>
          <w:sz w:val="22"/>
        </w:rPr>
        <w:t> </w:t>
      </w:r>
      <w:r>
        <w:rPr>
          <w:sz w:val="22"/>
        </w:rPr>
        <w:t>de</w:t>
      </w:r>
      <w:r>
        <w:rPr>
          <w:spacing w:val="-8"/>
          <w:sz w:val="22"/>
        </w:rPr>
        <w:t> </w:t>
      </w:r>
      <w:r>
        <w:rPr>
          <w:sz w:val="22"/>
        </w:rPr>
        <w:t>calidad,</w:t>
      </w:r>
      <w:r>
        <w:rPr>
          <w:spacing w:val="-9"/>
          <w:sz w:val="22"/>
        </w:rPr>
        <w:t> </w:t>
      </w:r>
      <w:r>
        <w:rPr>
          <w:sz w:val="22"/>
        </w:rPr>
        <w:t>oportunidad,</w:t>
      </w:r>
      <w:r>
        <w:rPr>
          <w:spacing w:val="-9"/>
          <w:sz w:val="22"/>
        </w:rPr>
        <w:t> </w:t>
      </w:r>
      <w:r>
        <w:rPr>
          <w:sz w:val="22"/>
        </w:rPr>
        <w:t>derechos</w:t>
      </w:r>
      <w:r>
        <w:rPr>
          <w:spacing w:val="-7"/>
          <w:sz w:val="22"/>
        </w:rPr>
        <w:t> </w:t>
      </w:r>
      <w:r>
        <w:rPr>
          <w:sz w:val="22"/>
        </w:rPr>
        <w:t>y</w:t>
      </w:r>
      <w:r>
        <w:rPr>
          <w:spacing w:val="-9"/>
          <w:sz w:val="22"/>
        </w:rPr>
        <w:t> </w:t>
      </w:r>
      <w:r>
        <w:rPr>
          <w:sz w:val="22"/>
        </w:rPr>
        <w:t>deberes</w:t>
      </w:r>
      <w:r>
        <w:rPr>
          <w:spacing w:val="-7"/>
          <w:sz w:val="22"/>
        </w:rPr>
        <w:t> </w:t>
      </w:r>
      <w:r>
        <w:rPr>
          <w:sz w:val="22"/>
        </w:rPr>
        <w:t>que</w:t>
      </w:r>
      <w:r>
        <w:rPr>
          <w:spacing w:val="-10"/>
          <w:sz w:val="22"/>
        </w:rPr>
        <w:t> </w:t>
      </w:r>
      <w:r>
        <w:rPr>
          <w:sz w:val="22"/>
        </w:rPr>
        <w:t>el resto de los habitantes. Fecha de vigencia 29/05/1996.</w:t>
      </w:r>
    </w:p>
    <w:p>
      <w:pPr>
        <w:pStyle w:val="BodyText"/>
      </w:pPr>
    </w:p>
    <w:p>
      <w:pPr>
        <w:pStyle w:val="BodyText"/>
        <w:ind w:left="1625" w:right="1601"/>
        <w:jc w:val="both"/>
      </w:pPr>
      <w:r>
        <w:rPr>
          <w:b/>
        </w:rPr>
        <w:t>Ley General de Aduanas, N</w:t>
      </w:r>
      <w:r>
        <w:rPr>
          <w:b/>
          <w:i/>
        </w:rPr>
        <w:t>° </w:t>
      </w:r>
      <w:r>
        <w:rPr>
          <w:b/>
        </w:rPr>
        <w:t>7557 y sus reformas</w:t>
      </w:r>
      <w:r>
        <w:rPr/>
        <w:t>. Regula las entradas y las salidas, del territorio nacional, de mercancías, vehículos y unidades de transporte; del despacho aduanero</w:t>
      </w:r>
      <w:r>
        <w:rPr>
          <w:spacing w:val="-11"/>
        </w:rPr>
        <w:t> </w:t>
      </w:r>
      <w:r>
        <w:rPr/>
        <w:t>y</w:t>
      </w:r>
      <w:r>
        <w:rPr>
          <w:spacing w:val="-13"/>
        </w:rPr>
        <w:t> </w:t>
      </w:r>
      <w:r>
        <w:rPr/>
        <w:t>los</w:t>
      </w:r>
      <w:r>
        <w:rPr>
          <w:spacing w:val="-11"/>
        </w:rPr>
        <w:t> </w:t>
      </w:r>
      <w:r>
        <w:rPr/>
        <w:t>hechos</w:t>
      </w:r>
      <w:r>
        <w:rPr>
          <w:spacing w:val="-13"/>
        </w:rPr>
        <w:t> </w:t>
      </w:r>
      <w:r>
        <w:rPr/>
        <w:t>y</w:t>
      </w:r>
      <w:r>
        <w:rPr>
          <w:spacing w:val="-13"/>
        </w:rPr>
        <w:t> </w:t>
      </w:r>
      <w:r>
        <w:rPr/>
        <w:t>actos</w:t>
      </w:r>
      <w:r>
        <w:rPr>
          <w:spacing w:val="-11"/>
        </w:rPr>
        <w:t> </w:t>
      </w:r>
      <w:r>
        <w:rPr/>
        <w:t>que</w:t>
      </w:r>
      <w:r>
        <w:rPr>
          <w:spacing w:val="-14"/>
        </w:rPr>
        <w:t> </w:t>
      </w:r>
      <w:r>
        <w:rPr/>
        <w:t>deriven</w:t>
      </w:r>
      <w:r>
        <w:rPr>
          <w:spacing w:val="-14"/>
        </w:rPr>
        <w:t> </w:t>
      </w:r>
      <w:r>
        <w:rPr/>
        <w:t>de</w:t>
      </w:r>
      <w:r>
        <w:rPr>
          <w:spacing w:val="-12"/>
        </w:rPr>
        <w:t> </w:t>
      </w:r>
      <w:r>
        <w:rPr/>
        <w:t>él</w:t>
      </w:r>
      <w:r>
        <w:rPr>
          <w:spacing w:val="-12"/>
        </w:rPr>
        <w:t> </w:t>
      </w:r>
      <w:r>
        <w:rPr/>
        <w:t>o</w:t>
      </w:r>
      <w:r>
        <w:rPr>
          <w:spacing w:val="-14"/>
        </w:rPr>
        <w:t> </w:t>
      </w:r>
      <w:r>
        <w:rPr/>
        <w:t>de</w:t>
      </w:r>
      <w:r>
        <w:rPr>
          <w:spacing w:val="-12"/>
        </w:rPr>
        <w:t> </w:t>
      </w:r>
      <w:r>
        <w:rPr/>
        <w:t>las</w:t>
      </w:r>
      <w:r>
        <w:rPr>
          <w:spacing w:val="-11"/>
        </w:rPr>
        <w:t> </w:t>
      </w:r>
      <w:r>
        <w:rPr/>
        <w:t>entradas</w:t>
      </w:r>
      <w:r>
        <w:rPr>
          <w:spacing w:val="-14"/>
        </w:rPr>
        <w:t> </w:t>
      </w:r>
      <w:r>
        <w:rPr/>
        <w:t>y</w:t>
      </w:r>
      <w:r>
        <w:rPr>
          <w:spacing w:val="-11"/>
        </w:rPr>
        <w:t> </w:t>
      </w:r>
      <w:r>
        <w:rPr/>
        <w:t>salidas.</w:t>
      </w:r>
      <w:r>
        <w:rPr>
          <w:spacing w:val="-10"/>
        </w:rPr>
        <w:t> </w:t>
      </w:r>
      <w:r>
        <w:rPr/>
        <w:t>Autoriza</w:t>
      </w:r>
      <w:r>
        <w:rPr>
          <w:spacing w:val="-11"/>
        </w:rPr>
        <w:t> </w:t>
      </w:r>
      <w:r>
        <w:rPr/>
        <w:t>que, mientras las tiendas libres sean administradas por el IMAS, actúen sin intervención de agente aduanero,</w:t>
      </w:r>
      <w:r>
        <w:rPr>
          <w:spacing w:val="-1"/>
        </w:rPr>
        <w:t> </w:t>
      </w:r>
      <w:r>
        <w:rPr/>
        <w:t>así mismo,</w:t>
      </w:r>
      <w:r>
        <w:rPr>
          <w:spacing w:val="-3"/>
        </w:rPr>
        <w:t> </w:t>
      </w:r>
      <w:r>
        <w:rPr/>
        <w:t>modifica el</w:t>
      </w:r>
      <w:r>
        <w:rPr>
          <w:spacing w:val="-3"/>
        </w:rPr>
        <w:t> </w:t>
      </w:r>
      <w:r>
        <w:rPr/>
        <w:t>inciso d) del</w:t>
      </w:r>
      <w:r>
        <w:rPr>
          <w:spacing w:val="-2"/>
        </w:rPr>
        <w:t> </w:t>
      </w:r>
      <w:r>
        <w:rPr/>
        <w:t>artículo</w:t>
      </w:r>
      <w:r>
        <w:rPr>
          <w:spacing w:val="-2"/>
        </w:rPr>
        <w:t> </w:t>
      </w:r>
      <w:r>
        <w:rPr/>
        <w:t>1</w:t>
      </w:r>
      <w:r>
        <w:rPr>
          <w:vertAlign w:val="superscript"/>
        </w:rPr>
        <w:t>o</w:t>
      </w:r>
      <w:r>
        <w:rPr>
          <w:vertAlign w:val="baseline"/>
        </w:rPr>
        <w:t> de</w:t>
      </w:r>
      <w:r>
        <w:rPr>
          <w:spacing w:val="-2"/>
          <w:vertAlign w:val="baseline"/>
        </w:rPr>
        <w:t> </w:t>
      </w:r>
      <w:r>
        <w:rPr>
          <w:vertAlign w:val="baseline"/>
        </w:rPr>
        <w:t>la Ley</w:t>
      </w:r>
      <w:r>
        <w:rPr>
          <w:spacing w:val="-2"/>
          <w:vertAlign w:val="baseline"/>
        </w:rPr>
        <w:t> </w:t>
      </w:r>
      <w:r>
        <w:rPr>
          <w:vertAlign w:val="baseline"/>
        </w:rPr>
        <w:t>N°</w:t>
      </w:r>
      <w:r>
        <w:rPr>
          <w:spacing w:val="-1"/>
          <w:vertAlign w:val="baseline"/>
        </w:rPr>
        <w:t> </w:t>
      </w:r>
      <w:r>
        <w:rPr>
          <w:vertAlign w:val="baseline"/>
        </w:rPr>
        <w:t>6106, para que las donaciones de bienes adjudicados sean a través del IMAS</w:t>
      </w:r>
      <w:r>
        <w:rPr>
          <w:i/>
          <w:vertAlign w:val="baseline"/>
        </w:rPr>
        <w:t>. </w:t>
      </w:r>
      <w:r>
        <w:rPr>
          <w:vertAlign w:val="baseline"/>
        </w:rPr>
        <w:t>Fecha de vigencia </w:t>
      </w:r>
      <w:r>
        <w:rPr>
          <w:spacing w:val="-2"/>
          <w:vertAlign w:val="baseline"/>
        </w:rPr>
        <w:t>01/07/1996.</w:t>
      </w:r>
    </w:p>
    <w:p>
      <w:pPr>
        <w:pStyle w:val="BodyText"/>
        <w:spacing w:after="0"/>
        <w:jc w:val="both"/>
        <w:sectPr>
          <w:pgSz w:w="12240" w:h="15840"/>
          <w:pgMar w:header="0" w:footer="1576" w:top="1000" w:bottom="1760" w:left="360" w:right="0"/>
        </w:sectPr>
      </w:pPr>
    </w:p>
    <w:p>
      <w:pPr>
        <w:spacing w:before="69"/>
        <w:ind w:left="1625" w:right="1604" w:firstLine="0"/>
        <w:jc w:val="both"/>
        <w:rPr>
          <w:sz w:val="22"/>
        </w:rPr>
      </w:pPr>
      <w:r>
        <w:rPr>
          <w:b/>
          <w:sz w:val="22"/>
        </w:rPr>
        <w:t>Ley de Creación del Programa de Reconversión Productiva del Sector Agropecuario CNP</w:t>
      </w:r>
      <w:r>
        <w:rPr>
          <w:sz w:val="22"/>
        </w:rPr>
        <w:t>, </w:t>
      </w:r>
      <w:r>
        <w:rPr>
          <w:b/>
          <w:sz w:val="22"/>
        </w:rPr>
        <w:t>N° 7742 y sus reformas</w:t>
      </w:r>
      <w:r>
        <w:rPr>
          <w:sz w:val="22"/>
        </w:rPr>
        <w:t>. Permite transformar integralmente los procesos productivos del sector agropecuario, para insertarlos en el mercado internacional. El IMAS debe incluir, al menos, un 10% del presupuesto para programas de apoyo al sector agropecuario. Fecha de vigencia15/01/1998.</w:t>
      </w:r>
    </w:p>
    <w:p>
      <w:pPr>
        <w:pStyle w:val="BodyText"/>
        <w:spacing w:before="2"/>
      </w:pPr>
    </w:p>
    <w:p>
      <w:pPr>
        <w:pStyle w:val="BodyText"/>
        <w:ind w:left="1625" w:right="1601"/>
        <w:jc w:val="both"/>
      </w:pPr>
      <w:r>
        <w:rPr>
          <w:b/>
        </w:rPr>
        <w:t>Ley</w:t>
      </w:r>
      <w:r>
        <w:rPr>
          <w:b/>
          <w:spacing w:val="-3"/>
        </w:rPr>
        <w:t> </w:t>
      </w:r>
      <w:r>
        <w:rPr>
          <w:b/>
        </w:rPr>
        <w:t>General</w:t>
      </w:r>
      <w:r>
        <w:rPr>
          <w:b/>
          <w:spacing w:val="-4"/>
        </w:rPr>
        <w:t> </w:t>
      </w:r>
      <w:r>
        <w:rPr>
          <w:b/>
        </w:rPr>
        <w:t>de</w:t>
      </w:r>
      <w:r>
        <w:rPr>
          <w:b/>
          <w:spacing w:val="-3"/>
        </w:rPr>
        <w:t> </w:t>
      </w:r>
      <w:r>
        <w:rPr>
          <w:b/>
        </w:rPr>
        <w:t>Protección</w:t>
      </w:r>
      <w:r>
        <w:rPr>
          <w:b/>
          <w:spacing w:val="-3"/>
        </w:rPr>
        <w:t> </w:t>
      </w:r>
      <w:r>
        <w:rPr>
          <w:b/>
        </w:rPr>
        <w:t>a</w:t>
      </w:r>
      <w:r>
        <w:rPr>
          <w:b/>
          <w:spacing w:val="-4"/>
        </w:rPr>
        <w:t> </w:t>
      </w:r>
      <w:r>
        <w:rPr>
          <w:b/>
        </w:rPr>
        <w:t>la</w:t>
      </w:r>
      <w:r>
        <w:rPr>
          <w:b/>
          <w:spacing w:val="-4"/>
        </w:rPr>
        <w:t> </w:t>
      </w:r>
      <w:r>
        <w:rPr>
          <w:b/>
        </w:rPr>
        <w:t>Madre</w:t>
      </w:r>
      <w:r>
        <w:rPr>
          <w:b/>
          <w:spacing w:val="-4"/>
        </w:rPr>
        <w:t> </w:t>
      </w:r>
      <w:r>
        <w:rPr>
          <w:b/>
        </w:rPr>
        <w:t>Adolescente,</w:t>
      </w:r>
      <w:r>
        <w:rPr>
          <w:b/>
          <w:spacing w:val="-4"/>
        </w:rPr>
        <w:t> </w:t>
      </w:r>
      <w:r>
        <w:rPr>
          <w:b/>
        </w:rPr>
        <w:t>N°</w:t>
      </w:r>
      <w:r>
        <w:rPr>
          <w:b/>
          <w:spacing w:val="-2"/>
        </w:rPr>
        <w:t> </w:t>
      </w:r>
      <w:r>
        <w:rPr>
          <w:b/>
        </w:rPr>
        <w:t>7735</w:t>
      </w:r>
      <w:r>
        <w:rPr>
          <w:b/>
          <w:spacing w:val="-4"/>
        </w:rPr>
        <w:t> </w:t>
      </w:r>
      <w:r>
        <w:rPr>
          <w:b/>
        </w:rPr>
        <w:t>y</w:t>
      </w:r>
      <w:r>
        <w:rPr>
          <w:b/>
          <w:spacing w:val="-3"/>
        </w:rPr>
        <w:t> </w:t>
      </w:r>
      <w:r>
        <w:rPr>
          <w:b/>
        </w:rPr>
        <w:t>sus</w:t>
      </w:r>
      <w:r>
        <w:rPr>
          <w:b/>
          <w:spacing w:val="-4"/>
        </w:rPr>
        <w:t> </w:t>
      </w:r>
      <w:r>
        <w:rPr>
          <w:b/>
        </w:rPr>
        <w:t>reformas. </w:t>
      </w:r>
      <w:r>
        <w:rPr/>
        <w:t>Regula todas</w:t>
      </w:r>
      <w:r>
        <w:rPr>
          <w:spacing w:val="-11"/>
        </w:rPr>
        <w:t> </w:t>
      </w:r>
      <w:r>
        <w:rPr/>
        <w:t>las</w:t>
      </w:r>
      <w:r>
        <w:rPr>
          <w:spacing w:val="-9"/>
        </w:rPr>
        <w:t> </w:t>
      </w:r>
      <w:r>
        <w:rPr/>
        <w:t>políticas,</w:t>
      </w:r>
      <w:r>
        <w:rPr>
          <w:spacing w:val="-10"/>
        </w:rPr>
        <w:t> </w:t>
      </w:r>
      <w:r>
        <w:rPr/>
        <w:t>las</w:t>
      </w:r>
      <w:r>
        <w:rPr>
          <w:spacing w:val="-11"/>
        </w:rPr>
        <w:t> </w:t>
      </w:r>
      <w:r>
        <w:rPr/>
        <w:t>acciones</w:t>
      </w:r>
      <w:r>
        <w:rPr>
          <w:spacing w:val="-9"/>
        </w:rPr>
        <w:t> </w:t>
      </w:r>
      <w:r>
        <w:rPr/>
        <w:t>y</w:t>
      </w:r>
      <w:r>
        <w:rPr>
          <w:spacing w:val="-11"/>
        </w:rPr>
        <w:t> </w:t>
      </w:r>
      <w:r>
        <w:rPr/>
        <w:t>los</w:t>
      </w:r>
      <w:r>
        <w:rPr>
          <w:spacing w:val="-9"/>
        </w:rPr>
        <w:t> </w:t>
      </w:r>
      <w:r>
        <w:rPr/>
        <w:t>programas</w:t>
      </w:r>
      <w:r>
        <w:rPr>
          <w:spacing w:val="-11"/>
        </w:rPr>
        <w:t> </w:t>
      </w:r>
      <w:r>
        <w:rPr/>
        <w:t>preventivos</w:t>
      </w:r>
      <w:r>
        <w:rPr>
          <w:spacing w:val="-11"/>
        </w:rPr>
        <w:t> </w:t>
      </w:r>
      <w:r>
        <w:rPr/>
        <w:t>y</w:t>
      </w:r>
      <w:r>
        <w:rPr>
          <w:spacing w:val="-11"/>
        </w:rPr>
        <w:t> </w:t>
      </w:r>
      <w:r>
        <w:rPr/>
        <w:t>de</w:t>
      </w:r>
      <w:r>
        <w:rPr>
          <w:spacing w:val="-12"/>
        </w:rPr>
        <w:t> </w:t>
      </w:r>
      <w:r>
        <w:rPr/>
        <w:t>apoyo,</w:t>
      </w:r>
      <w:r>
        <w:rPr>
          <w:spacing w:val="-10"/>
        </w:rPr>
        <w:t> </w:t>
      </w:r>
      <w:r>
        <w:rPr/>
        <w:t>que</w:t>
      </w:r>
      <w:r>
        <w:rPr>
          <w:spacing w:val="-9"/>
        </w:rPr>
        <w:t> </w:t>
      </w:r>
      <w:r>
        <w:rPr/>
        <w:t>ejecuten</w:t>
      </w:r>
      <w:r>
        <w:rPr>
          <w:spacing w:val="-11"/>
        </w:rPr>
        <w:t> </w:t>
      </w:r>
      <w:r>
        <w:rPr/>
        <w:t>las instituciones gubernamentales, dirigidos a madres adolescentes. Crea el Consejo Interinstitucional de atención a la madre adolescente. El IMAS es integrante y da apoyo económico. Fecha de vigencia 19/01/1998.</w:t>
      </w:r>
    </w:p>
    <w:p>
      <w:pPr>
        <w:pStyle w:val="BodyText"/>
        <w:spacing w:before="252"/>
        <w:ind w:left="1625" w:right="1602"/>
        <w:jc w:val="both"/>
      </w:pPr>
      <w:r>
        <w:rPr>
          <w:b/>
        </w:rPr>
        <w:t>Ley de Creació</w:t>
      </w:r>
      <w:r>
        <w:rPr/>
        <w:t>n </w:t>
      </w:r>
      <w:r>
        <w:rPr>
          <w:b/>
        </w:rPr>
        <w:t>del Instituto Nacional de las Mujeres, N° 7801 y sus reformas</w:t>
      </w:r>
      <w:r>
        <w:rPr/>
        <w:t>. Formula e impulsa la política nacional para la igualdad y equidad de género, en coordinación con las instituciones públicas, las instancias estatales que desarrollan programas para las mujeres y las organizaciones sociales. El IMAS integra su Junta Directiva del INAMU. Fecha de vigencia 18/05/1998.</w:t>
      </w:r>
    </w:p>
    <w:p>
      <w:pPr>
        <w:spacing w:before="252"/>
        <w:ind w:left="1625" w:right="1604" w:firstLine="0"/>
        <w:jc w:val="both"/>
        <w:rPr>
          <w:sz w:val="22"/>
        </w:rPr>
      </w:pPr>
      <w:r>
        <w:rPr>
          <w:b/>
          <w:sz w:val="22"/>
        </w:rPr>
        <w:t>Ley de Atención a las Mujeres en Condición de Pobreza, N° 7769 y sus reformas. </w:t>
      </w:r>
      <w:r>
        <w:rPr>
          <w:sz w:val="22"/>
        </w:rPr>
        <w:t>Crea</w:t>
      </w:r>
      <w:r>
        <w:rPr>
          <w:spacing w:val="-13"/>
          <w:sz w:val="22"/>
        </w:rPr>
        <w:t> </w:t>
      </w:r>
      <w:r>
        <w:rPr>
          <w:sz w:val="22"/>
        </w:rPr>
        <w:t>la</w:t>
      </w:r>
      <w:r>
        <w:rPr>
          <w:spacing w:val="-12"/>
          <w:sz w:val="22"/>
        </w:rPr>
        <w:t> </w:t>
      </w:r>
      <w:r>
        <w:rPr>
          <w:sz w:val="22"/>
        </w:rPr>
        <w:t>Comisión</w:t>
      </w:r>
      <w:r>
        <w:rPr>
          <w:spacing w:val="-13"/>
          <w:sz w:val="22"/>
        </w:rPr>
        <w:t> </w:t>
      </w:r>
      <w:r>
        <w:rPr>
          <w:sz w:val="22"/>
        </w:rPr>
        <w:t>interinstitucional</w:t>
      </w:r>
      <w:r>
        <w:rPr>
          <w:spacing w:val="-13"/>
          <w:sz w:val="22"/>
        </w:rPr>
        <w:t> </w:t>
      </w:r>
      <w:r>
        <w:rPr>
          <w:sz w:val="22"/>
        </w:rPr>
        <w:t>para</w:t>
      </w:r>
      <w:r>
        <w:rPr>
          <w:spacing w:val="-12"/>
          <w:sz w:val="22"/>
        </w:rPr>
        <w:t> </w:t>
      </w:r>
      <w:r>
        <w:rPr>
          <w:sz w:val="22"/>
        </w:rPr>
        <w:t>atender</w:t>
      </w:r>
      <w:r>
        <w:rPr>
          <w:spacing w:val="-13"/>
          <w:sz w:val="22"/>
        </w:rPr>
        <w:t> </w:t>
      </w:r>
      <w:r>
        <w:rPr>
          <w:sz w:val="22"/>
        </w:rPr>
        <w:t>a</w:t>
      </w:r>
      <w:r>
        <w:rPr>
          <w:spacing w:val="-12"/>
          <w:sz w:val="22"/>
        </w:rPr>
        <w:t> </w:t>
      </w:r>
      <w:r>
        <w:rPr>
          <w:sz w:val="22"/>
        </w:rPr>
        <w:t>las</w:t>
      </w:r>
      <w:r>
        <w:rPr>
          <w:spacing w:val="-12"/>
          <w:sz w:val="22"/>
        </w:rPr>
        <w:t> </w:t>
      </w:r>
      <w:r>
        <w:rPr>
          <w:sz w:val="22"/>
        </w:rPr>
        <w:t>mujeres</w:t>
      </w:r>
      <w:r>
        <w:rPr>
          <w:spacing w:val="-14"/>
          <w:sz w:val="22"/>
        </w:rPr>
        <w:t> </w:t>
      </w:r>
      <w:r>
        <w:rPr>
          <w:sz w:val="22"/>
        </w:rPr>
        <w:t>en</w:t>
      </w:r>
      <w:r>
        <w:rPr>
          <w:spacing w:val="-13"/>
          <w:sz w:val="22"/>
        </w:rPr>
        <w:t> </w:t>
      </w:r>
      <w:r>
        <w:rPr>
          <w:sz w:val="22"/>
        </w:rPr>
        <w:t>condiciones</w:t>
      </w:r>
      <w:r>
        <w:rPr>
          <w:spacing w:val="-12"/>
          <w:sz w:val="22"/>
        </w:rPr>
        <w:t> </w:t>
      </w:r>
      <w:r>
        <w:rPr>
          <w:sz w:val="22"/>
        </w:rPr>
        <w:t>de</w:t>
      </w:r>
      <w:r>
        <w:rPr>
          <w:spacing w:val="-13"/>
          <w:sz w:val="22"/>
        </w:rPr>
        <w:t> </w:t>
      </w:r>
      <w:r>
        <w:rPr>
          <w:sz w:val="22"/>
        </w:rPr>
        <w:t>pobreza, mediante</w:t>
      </w:r>
      <w:r>
        <w:rPr>
          <w:spacing w:val="-11"/>
          <w:sz w:val="22"/>
        </w:rPr>
        <w:t> </w:t>
      </w:r>
      <w:r>
        <w:rPr>
          <w:sz w:val="22"/>
        </w:rPr>
        <w:t>un</w:t>
      </w:r>
      <w:r>
        <w:rPr>
          <w:spacing w:val="-12"/>
          <w:sz w:val="22"/>
        </w:rPr>
        <w:t> </w:t>
      </w:r>
      <w:r>
        <w:rPr>
          <w:sz w:val="22"/>
        </w:rPr>
        <w:t>proceso</w:t>
      </w:r>
      <w:r>
        <w:rPr>
          <w:spacing w:val="-12"/>
          <w:sz w:val="22"/>
        </w:rPr>
        <w:t> </w:t>
      </w:r>
      <w:r>
        <w:rPr>
          <w:sz w:val="22"/>
        </w:rPr>
        <w:t>de</w:t>
      </w:r>
      <w:r>
        <w:rPr>
          <w:spacing w:val="-12"/>
          <w:sz w:val="22"/>
        </w:rPr>
        <w:t> </w:t>
      </w:r>
      <w:r>
        <w:rPr>
          <w:sz w:val="22"/>
        </w:rPr>
        <w:t>formación</w:t>
      </w:r>
      <w:r>
        <w:rPr>
          <w:spacing w:val="-12"/>
          <w:sz w:val="22"/>
        </w:rPr>
        <w:t> </w:t>
      </w:r>
      <w:r>
        <w:rPr>
          <w:sz w:val="22"/>
        </w:rPr>
        <w:t>integral.</w:t>
      </w:r>
      <w:r>
        <w:rPr>
          <w:spacing w:val="-11"/>
          <w:sz w:val="22"/>
        </w:rPr>
        <w:t> </w:t>
      </w:r>
      <w:r>
        <w:rPr>
          <w:sz w:val="22"/>
        </w:rPr>
        <w:t>El</w:t>
      </w:r>
      <w:r>
        <w:rPr>
          <w:spacing w:val="-12"/>
          <w:sz w:val="22"/>
        </w:rPr>
        <w:t> </w:t>
      </w:r>
      <w:r>
        <w:rPr>
          <w:sz w:val="22"/>
        </w:rPr>
        <w:t>IMAS</w:t>
      </w:r>
      <w:r>
        <w:rPr>
          <w:spacing w:val="-10"/>
          <w:sz w:val="22"/>
        </w:rPr>
        <w:t> </w:t>
      </w:r>
      <w:r>
        <w:rPr>
          <w:sz w:val="22"/>
        </w:rPr>
        <w:t>tiene</w:t>
      </w:r>
      <w:r>
        <w:rPr>
          <w:spacing w:val="-11"/>
          <w:sz w:val="22"/>
        </w:rPr>
        <w:t> </w:t>
      </w:r>
      <w:r>
        <w:rPr>
          <w:sz w:val="22"/>
        </w:rPr>
        <w:t>la</w:t>
      </w:r>
      <w:r>
        <w:rPr>
          <w:spacing w:val="-11"/>
          <w:sz w:val="22"/>
        </w:rPr>
        <w:t> </w:t>
      </w:r>
      <w:r>
        <w:rPr>
          <w:sz w:val="22"/>
        </w:rPr>
        <w:t>Secretaría</w:t>
      </w:r>
      <w:r>
        <w:rPr>
          <w:spacing w:val="-11"/>
          <w:sz w:val="22"/>
        </w:rPr>
        <w:t> </w:t>
      </w:r>
      <w:r>
        <w:rPr>
          <w:sz w:val="22"/>
        </w:rPr>
        <w:t>Técnica</w:t>
      </w:r>
      <w:r>
        <w:rPr>
          <w:spacing w:val="-10"/>
          <w:sz w:val="22"/>
        </w:rPr>
        <w:t> </w:t>
      </w:r>
      <w:r>
        <w:rPr>
          <w:sz w:val="22"/>
        </w:rPr>
        <w:t>y</w:t>
      </w:r>
      <w:r>
        <w:rPr>
          <w:spacing w:val="-13"/>
          <w:sz w:val="22"/>
        </w:rPr>
        <w:t> </w:t>
      </w:r>
      <w:r>
        <w:rPr>
          <w:sz w:val="22"/>
        </w:rPr>
        <w:t>financia programas. Fecha de vigencia 20/05/1998.</w:t>
      </w:r>
    </w:p>
    <w:p>
      <w:pPr>
        <w:pStyle w:val="BodyText"/>
        <w:spacing w:before="3"/>
      </w:pPr>
    </w:p>
    <w:p>
      <w:pPr>
        <w:spacing w:before="0"/>
        <w:ind w:left="1625" w:right="1601" w:firstLine="0"/>
        <w:jc w:val="both"/>
        <w:rPr>
          <w:sz w:val="22"/>
        </w:rPr>
      </w:pPr>
      <w:r>
        <w:rPr>
          <w:b/>
          <w:sz w:val="22"/>
        </w:rPr>
        <w:t>Ley Integral para la Persona Adulta Mayor, N°7935 y sus reformas</w:t>
      </w:r>
      <w:r>
        <w:rPr>
          <w:sz w:val="22"/>
        </w:rPr>
        <w:t>. Promoción de igualdad</w:t>
      </w:r>
      <w:r>
        <w:rPr>
          <w:spacing w:val="-16"/>
          <w:sz w:val="22"/>
        </w:rPr>
        <w:t> </w:t>
      </w:r>
      <w:r>
        <w:rPr>
          <w:sz w:val="22"/>
        </w:rPr>
        <w:t>de</w:t>
      </w:r>
      <w:r>
        <w:rPr>
          <w:spacing w:val="-15"/>
          <w:sz w:val="22"/>
        </w:rPr>
        <w:t> </w:t>
      </w:r>
      <w:r>
        <w:rPr>
          <w:sz w:val="22"/>
        </w:rPr>
        <w:t>oportunidades</w:t>
      </w:r>
      <w:r>
        <w:rPr>
          <w:spacing w:val="-13"/>
          <w:sz w:val="22"/>
        </w:rPr>
        <w:t> </w:t>
      </w:r>
      <w:r>
        <w:rPr>
          <w:sz w:val="22"/>
        </w:rPr>
        <w:t>para</w:t>
      </w:r>
      <w:r>
        <w:rPr>
          <w:spacing w:val="-15"/>
          <w:sz w:val="22"/>
        </w:rPr>
        <w:t> </w:t>
      </w:r>
      <w:r>
        <w:rPr>
          <w:sz w:val="22"/>
        </w:rPr>
        <w:t>la</w:t>
      </w:r>
      <w:r>
        <w:rPr>
          <w:spacing w:val="-14"/>
          <w:sz w:val="22"/>
        </w:rPr>
        <w:t> </w:t>
      </w:r>
      <w:r>
        <w:rPr>
          <w:sz w:val="22"/>
        </w:rPr>
        <w:t>persona</w:t>
      </w:r>
      <w:r>
        <w:rPr>
          <w:spacing w:val="-16"/>
          <w:sz w:val="22"/>
        </w:rPr>
        <w:t> </w:t>
      </w:r>
      <w:r>
        <w:rPr>
          <w:sz w:val="22"/>
        </w:rPr>
        <w:t>adulta</w:t>
      </w:r>
      <w:r>
        <w:rPr>
          <w:spacing w:val="-15"/>
          <w:sz w:val="22"/>
        </w:rPr>
        <w:t> </w:t>
      </w:r>
      <w:r>
        <w:rPr>
          <w:sz w:val="22"/>
        </w:rPr>
        <w:t>mayor,</w:t>
      </w:r>
      <w:r>
        <w:rPr>
          <w:spacing w:val="-15"/>
          <w:sz w:val="22"/>
        </w:rPr>
        <w:t> </w:t>
      </w:r>
      <w:r>
        <w:rPr>
          <w:sz w:val="22"/>
        </w:rPr>
        <w:t>el</w:t>
      </w:r>
      <w:r>
        <w:rPr>
          <w:spacing w:val="-15"/>
          <w:sz w:val="22"/>
        </w:rPr>
        <w:t> </w:t>
      </w:r>
      <w:r>
        <w:rPr>
          <w:sz w:val="22"/>
        </w:rPr>
        <w:t>IMAS</w:t>
      </w:r>
      <w:r>
        <w:rPr>
          <w:spacing w:val="-16"/>
          <w:sz w:val="22"/>
        </w:rPr>
        <w:t> </w:t>
      </w:r>
      <w:r>
        <w:rPr>
          <w:sz w:val="22"/>
        </w:rPr>
        <w:t>integra</w:t>
      </w:r>
      <w:r>
        <w:rPr>
          <w:spacing w:val="-15"/>
          <w:sz w:val="22"/>
        </w:rPr>
        <w:t> </w:t>
      </w:r>
      <w:r>
        <w:rPr>
          <w:sz w:val="22"/>
        </w:rPr>
        <w:t>la</w:t>
      </w:r>
      <w:r>
        <w:rPr>
          <w:spacing w:val="-14"/>
          <w:sz w:val="22"/>
        </w:rPr>
        <w:t> </w:t>
      </w:r>
      <w:r>
        <w:rPr>
          <w:sz w:val="22"/>
        </w:rPr>
        <w:t>Junta</w:t>
      </w:r>
      <w:r>
        <w:rPr>
          <w:spacing w:val="-15"/>
          <w:sz w:val="22"/>
        </w:rPr>
        <w:t> </w:t>
      </w:r>
      <w:r>
        <w:rPr>
          <w:sz w:val="22"/>
        </w:rPr>
        <w:t>Rectora del CONAPAM. Fecha de vigencia 15/11/1999.</w:t>
      </w:r>
    </w:p>
    <w:p>
      <w:pPr>
        <w:spacing w:before="251"/>
        <w:ind w:left="1625" w:right="1605" w:firstLine="0"/>
        <w:jc w:val="both"/>
        <w:rPr>
          <w:sz w:val="22"/>
        </w:rPr>
      </w:pPr>
      <w:r>
        <w:rPr>
          <w:b/>
          <w:sz w:val="22"/>
        </w:rPr>
        <w:t>Ley de Impuestos sobre Cigarrillos y Licores</w:t>
      </w:r>
      <w:r>
        <w:rPr>
          <w:b/>
          <w:spacing w:val="-2"/>
          <w:sz w:val="22"/>
        </w:rPr>
        <w:t> </w:t>
      </w:r>
      <w:r>
        <w:rPr>
          <w:b/>
          <w:sz w:val="22"/>
        </w:rPr>
        <w:t>para Plan de Protección Social y sus reformas, N°7972. </w:t>
      </w:r>
      <w:r>
        <w:rPr>
          <w:sz w:val="22"/>
        </w:rPr>
        <w:t>Crea tributo a productos alcohólicos y cigarrillos, de producción nacional o importados, IMAS emite declaratorias de bien social a entidades privadas. Fecha de vigencia 01/02/2000.</w:t>
      </w:r>
    </w:p>
    <w:p>
      <w:pPr>
        <w:pStyle w:val="BodyText"/>
      </w:pPr>
    </w:p>
    <w:p>
      <w:pPr>
        <w:pStyle w:val="BodyText"/>
        <w:spacing w:before="1"/>
        <w:ind w:left="1625" w:right="1602"/>
        <w:jc w:val="both"/>
      </w:pPr>
      <w:r>
        <w:rPr>
          <w:b/>
        </w:rPr>
        <w:t>Ley General de Centros de Atención Integral</w:t>
      </w:r>
      <w:r>
        <w:rPr/>
        <w:t>, </w:t>
      </w:r>
      <w:r>
        <w:rPr>
          <w:b/>
        </w:rPr>
        <w:t>N°8017 y sus reformas</w:t>
      </w:r>
      <w:r>
        <w:rPr/>
        <w:t>. Promueve la creación, el desarrollo y el funcionamiento adecuado de los centros de atención integral públicos, privados y mixtos para personas hasta de 12 años, en acatamiento de la Convención de los Derechos del Niño y los alcances del Código de la Niñez y la Adolescencia. El IMAS forma parte del Consejo de Atención Integral</w:t>
      </w:r>
      <w:r>
        <w:rPr>
          <w:b/>
        </w:rPr>
        <w:t>. </w:t>
      </w:r>
      <w:r>
        <w:rPr/>
        <w:t>Fecha de vigencia </w:t>
      </w:r>
      <w:r>
        <w:rPr>
          <w:spacing w:val="-2"/>
        </w:rPr>
        <w:t>21/09/2000.</w:t>
      </w:r>
    </w:p>
    <w:p>
      <w:pPr>
        <w:pStyle w:val="BodyText"/>
      </w:pPr>
    </w:p>
    <w:p>
      <w:pPr>
        <w:spacing w:before="0"/>
        <w:ind w:left="1625" w:right="1603" w:firstLine="0"/>
        <w:jc w:val="both"/>
        <w:rPr>
          <w:sz w:val="22"/>
        </w:rPr>
      </w:pPr>
      <w:r>
        <w:rPr>
          <w:b/>
          <w:sz w:val="22"/>
        </w:rPr>
        <w:t>Ley de Simplificación y Eficiencia Tributaria, N°8114 y sus reformas</w:t>
      </w:r>
      <w:r>
        <w:rPr>
          <w:sz w:val="22"/>
        </w:rPr>
        <w:t>. Establece tributos a productos varios. Exención de impuestos a</w:t>
      </w:r>
      <w:r>
        <w:rPr>
          <w:spacing w:val="-2"/>
          <w:sz w:val="22"/>
        </w:rPr>
        <w:t> </w:t>
      </w:r>
      <w:r>
        <w:rPr>
          <w:sz w:val="22"/>
        </w:rPr>
        <w:t>favor del IMAS para la importación de mercaderías. Fecha de vigencia 09/07/2001.</w:t>
      </w:r>
    </w:p>
    <w:p>
      <w:pPr>
        <w:pStyle w:val="BodyText"/>
        <w:spacing w:before="1"/>
      </w:pPr>
    </w:p>
    <w:p>
      <w:pPr>
        <w:spacing w:before="0"/>
        <w:ind w:left="1625" w:right="1599" w:firstLine="0"/>
        <w:jc w:val="both"/>
        <w:rPr>
          <w:sz w:val="22"/>
        </w:rPr>
      </w:pPr>
      <w:r>
        <w:rPr>
          <w:b/>
          <w:sz w:val="22"/>
        </w:rPr>
        <w:t>Ley de la Administración Financiera de la República y Presupuestos Públicos</w:t>
      </w:r>
      <w:r>
        <w:rPr>
          <w:sz w:val="22"/>
        </w:rPr>
        <w:t>, </w:t>
      </w:r>
      <w:r>
        <w:rPr>
          <w:b/>
          <w:sz w:val="22"/>
        </w:rPr>
        <w:t>N</w:t>
      </w:r>
      <w:r>
        <w:rPr>
          <w:b/>
          <w:i/>
          <w:sz w:val="22"/>
        </w:rPr>
        <w:t>°</w:t>
      </w:r>
      <w:r>
        <w:rPr>
          <w:b/>
          <w:sz w:val="22"/>
        </w:rPr>
        <w:t>8131</w:t>
      </w:r>
      <w:r>
        <w:rPr>
          <w:b/>
          <w:spacing w:val="-8"/>
          <w:sz w:val="22"/>
        </w:rPr>
        <w:t> </w:t>
      </w:r>
      <w:r>
        <w:rPr>
          <w:b/>
          <w:sz w:val="22"/>
        </w:rPr>
        <w:t>y</w:t>
      </w:r>
      <w:r>
        <w:rPr>
          <w:b/>
          <w:spacing w:val="-7"/>
          <w:sz w:val="22"/>
        </w:rPr>
        <w:t> </w:t>
      </w:r>
      <w:r>
        <w:rPr>
          <w:b/>
          <w:sz w:val="22"/>
        </w:rPr>
        <w:t>sus</w:t>
      </w:r>
      <w:r>
        <w:rPr>
          <w:b/>
          <w:spacing w:val="-7"/>
          <w:sz w:val="22"/>
        </w:rPr>
        <w:t> </w:t>
      </w:r>
      <w:r>
        <w:rPr>
          <w:b/>
          <w:sz w:val="22"/>
        </w:rPr>
        <w:t>reformas.</w:t>
      </w:r>
      <w:r>
        <w:rPr>
          <w:b/>
          <w:spacing w:val="-8"/>
          <w:sz w:val="22"/>
        </w:rPr>
        <w:t> </w:t>
      </w:r>
      <w:r>
        <w:rPr>
          <w:sz w:val="22"/>
        </w:rPr>
        <w:t>Regula</w:t>
      </w:r>
      <w:r>
        <w:rPr>
          <w:spacing w:val="-7"/>
          <w:sz w:val="22"/>
        </w:rPr>
        <w:t> </w:t>
      </w:r>
      <w:r>
        <w:rPr>
          <w:sz w:val="22"/>
        </w:rPr>
        <w:t>el</w:t>
      </w:r>
      <w:r>
        <w:rPr>
          <w:spacing w:val="-8"/>
          <w:sz w:val="22"/>
        </w:rPr>
        <w:t> </w:t>
      </w:r>
      <w:r>
        <w:rPr>
          <w:sz w:val="22"/>
        </w:rPr>
        <w:t>régimen</w:t>
      </w:r>
      <w:r>
        <w:rPr>
          <w:spacing w:val="-8"/>
          <w:sz w:val="22"/>
        </w:rPr>
        <w:t> </w:t>
      </w:r>
      <w:r>
        <w:rPr>
          <w:sz w:val="22"/>
        </w:rPr>
        <w:t>económico-financiero</w:t>
      </w:r>
      <w:r>
        <w:rPr>
          <w:spacing w:val="-9"/>
          <w:sz w:val="22"/>
        </w:rPr>
        <w:t> </w:t>
      </w:r>
      <w:r>
        <w:rPr>
          <w:sz w:val="22"/>
        </w:rPr>
        <w:t>de</w:t>
      </w:r>
      <w:r>
        <w:rPr>
          <w:spacing w:val="-8"/>
          <w:sz w:val="22"/>
        </w:rPr>
        <w:t> </w:t>
      </w:r>
      <w:r>
        <w:rPr>
          <w:sz w:val="22"/>
        </w:rPr>
        <w:t>los</w:t>
      </w:r>
      <w:r>
        <w:rPr>
          <w:spacing w:val="-7"/>
          <w:sz w:val="22"/>
        </w:rPr>
        <w:t> </w:t>
      </w:r>
      <w:r>
        <w:rPr>
          <w:sz w:val="22"/>
        </w:rPr>
        <w:t>órganos</w:t>
      </w:r>
      <w:r>
        <w:rPr>
          <w:spacing w:val="-7"/>
          <w:sz w:val="22"/>
        </w:rPr>
        <w:t> </w:t>
      </w:r>
      <w:r>
        <w:rPr>
          <w:sz w:val="22"/>
        </w:rPr>
        <w:t>y</w:t>
      </w:r>
      <w:r>
        <w:rPr>
          <w:spacing w:val="-7"/>
          <w:sz w:val="22"/>
        </w:rPr>
        <w:t> </w:t>
      </w:r>
      <w:r>
        <w:rPr>
          <w:sz w:val="22"/>
        </w:rPr>
        <w:t>entes administradores o custodios de los fondos públicos. Fecha de vigencia 16/10/2001.</w:t>
      </w:r>
    </w:p>
    <w:p>
      <w:pPr>
        <w:spacing w:before="252"/>
        <w:ind w:left="1625" w:right="1602" w:firstLine="0"/>
        <w:jc w:val="both"/>
        <w:rPr>
          <w:sz w:val="22"/>
        </w:rPr>
      </w:pPr>
      <w:r>
        <w:rPr>
          <w:b/>
          <w:sz w:val="22"/>
        </w:rPr>
        <w:t>Ley</w:t>
      </w:r>
      <w:r>
        <w:rPr>
          <w:b/>
          <w:spacing w:val="-13"/>
          <w:sz w:val="22"/>
        </w:rPr>
        <w:t> </w:t>
      </w:r>
      <w:r>
        <w:rPr>
          <w:b/>
          <w:sz w:val="22"/>
        </w:rPr>
        <w:t>de</w:t>
      </w:r>
      <w:r>
        <w:rPr>
          <w:b/>
          <w:spacing w:val="-13"/>
          <w:sz w:val="22"/>
        </w:rPr>
        <w:t> </w:t>
      </w:r>
      <w:r>
        <w:rPr>
          <w:b/>
          <w:sz w:val="22"/>
        </w:rPr>
        <w:t>protección</w:t>
      </w:r>
      <w:r>
        <w:rPr>
          <w:b/>
          <w:spacing w:val="-13"/>
          <w:sz w:val="22"/>
        </w:rPr>
        <w:t> </w:t>
      </w:r>
      <w:r>
        <w:rPr>
          <w:b/>
          <w:sz w:val="22"/>
        </w:rPr>
        <w:t>al</w:t>
      </w:r>
      <w:r>
        <w:rPr>
          <w:b/>
          <w:spacing w:val="-11"/>
          <w:sz w:val="22"/>
        </w:rPr>
        <w:t> </w:t>
      </w:r>
      <w:r>
        <w:rPr>
          <w:b/>
          <w:sz w:val="22"/>
        </w:rPr>
        <w:t>ciudadano</w:t>
      </w:r>
      <w:r>
        <w:rPr>
          <w:b/>
          <w:spacing w:val="-12"/>
          <w:sz w:val="22"/>
        </w:rPr>
        <w:t> </w:t>
      </w:r>
      <w:r>
        <w:rPr>
          <w:b/>
          <w:sz w:val="22"/>
        </w:rPr>
        <w:t>del</w:t>
      </w:r>
      <w:r>
        <w:rPr>
          <w:b/>
          <w:spacing w:val="-13"/>
          <w:sz w:val="22"/>
        </w:rPr>
        <w:t> </w:t>
      </w:r>
      <w:r>
        <w:rPr>
          <w:b/>
          <w:sz w:val="22"/>
        </w:rPr>
        <w:t>exceso</w:t>
      </w:r>
      <w:r>
        <w:rPr>
          <w:b/>
          <w:spacing w:val="-13"/>
          <w:sz w:val="22"/>
        </w:rPr>
        <w:t> </w:t>
      </w:r>
      <w:r>
        <w:rPr>
          <w:b/>
          <w:sz w:val="22"/>
        </w:rPr>
        <w:t>de</w:t>
      </w:r>
      <w:r>
        <w:rPr>
          <w:b/>
          <w:spacing w:val="-16"/>
          <w:sz w:val="22"/>
        </w:rPr>
        <w:t> </w:t>
      </w:r>
      <w:r>
        <w:rPr>
          <w:b/>
          <w:sz w:val="22"/>
        </w:rPr>
        <w:t>requisitos</w:t>
      </w:r>
      <w:r>
        <w:rPr>
          <w:b/>
          <w:spacing w:val="-14"/>
          <w:sz w:val="22"/>
        </w:rPr>
        <w:t> </w:t>
      </w:r>
      <w:r>
        <w:rPr>
          <w:b/>
          <w:sz w:val="22"/>
        </w:rPr>
        <w:t>y</w:t>
      </w:r>
      <w:r>
        <w:rPr>
          <w:b/>
          <w:spacing w:val="-15"/>
          <w:sz w:val="22"/>
        </w:rPr>
        <w:t> </w:t>
      </w:r>
      <w:r>
        <w:rPr>
          <w:b/>
          <w:sz w:val="22"/>
        </w:rPr>
        <w:t>trámites</w:t>
      </w:r>
      <w:r>
        <w:rPr>
          <w:b/>
          <w:spacing w:val="-15"/>
          <w:sz w:val="22"/>
        </w:rPr>
        <w:t> </w:t>
      </w:r>
      <w:r>
        <w:rPr>
          <w:b/>
          <w:sz w:val="22"/>
        </w:rPr>
        <w:t>administrativos, N°8220</w:t>
      </w:r>
      <w:r>
        <w:rPr>
          <w:b/>
          <w:spacing w:val="-3"/>
          <w:sz w:val="22"/>
        </w:rPr>
        <w:t> </w:t>
      </w:r>
      <w:r>
        <w:rPr>
          <w:b/>
          <w:sz w:val="22"/>
        </w:rPr>
        <w:t>y</w:t>
      </w:r>
      <w:r>
        <w:rPr>
          <w:b/>
          <w:spacing w:val="-3"/>
          <w:sz w:val="22"/>
        </w:rPr>
        <w:t> </w:t>
      </w:r>
      <w:r>
        <w:rPr>
          <w:b/>
          <w:sz w:val="22"/>
        </w:rPr>
        <w:t>sus</w:t>
      </w:r>
      <w:r>
        <w:rPr>
          <w:b/>
          <w:spacing w:val="-3"/>
          <w:sz w:val="22"/>
        </w:rPr>
        <w:t> </w:t>
      </w:r>
      <w:r>
        <w:rPr>
          <w:b/>
          <w:sz w:val="22"/>
        </w:rPr>
        <w:t>reformas</w:t>
      </w:r>
      <w:r>
        <w:rPr>
          <w:sz w:val="22"/>
        </w:rPr>
        <w:t>.</w:t>
      </w:r>
      <w:r>
        <w:rPr>
          <w:spacing w:val="-4"/>
          <w:sz w:val="22"/>
        </w:rPr>
        <w:t> </w:t>
      </w:r>
      <w:r>
        <w:rPr>
          <w:sz w:val="22"/>
        </w:rPr>
        <w:t>Procura</w:t>
      </w:r>
      <w:r>
        <w:rPr>
          <w:spacing w:val="-3"/>
          <w:sz w:val="22"/>
        </w:rPr>
        <w:t> </w:t>
      </w:r>
      <w:r>
        <w:rPr>
          <w:sz w:val="22"/>
        </w:rPr>
        <w:t>evitar</w:t>
      </w:r>
      <w:r>
        <w:rPr>
          <w:spacing w:val="-2"/>
          <w:sz w:val="22"/>
        </w:rPr>
        <w:t> </w:t>
      </w:r>
      <w:r>
        <w:rPr>
          <w:sz w:val="22"/>
        </w:rPr>
        <w:t>que</w:t>
      </w:r>
      <w:r>
        <w:rPr>
          <w:spacing w:val="-3"/>
          <w:sz w:val="22"/>
        </w:rPr>
        <w:t> </w:t>
      </w:r>
      <w:r>
        <w:rPr>
          <w:sz w:val="22"/>
        </w:rPr>
        <w:t>el</w:t>
      </w:r>
      <w:r>
        <w:rPr>
          <w:spacing w:val="-3"/>
          <w:sz w:val="22"/>
        </w:rPr>
        <w:t> </w:t>
      </w:r>
      <w:r>
        <w:rPr>
          <w:sz w:val="22"/>
        </w:rPr>
        <w:t>administrado</w:t>
      </w:r>
      <w:r>
        <w:rPr>
          <w:spacing w:val="-3"/>
          <w:sz w:val="22"/>
        </w:rPr>
        <w:t> </w:t>
      </w:r>
      <w:r>
        <w:rPr>
          <w:sz w:val="22"/>
        </w:rPr>
        <w:t>deba</w:t>
      </w:r>
      <w:r>
        <w:rPr>
          <w:spacing w:val="-3"/>
          <w:sz w:val="22"/>
        </w:rPr>
        <w:t> </w:t>
      </w:r>
      <w:r>
        <w:rPr>
          <w:sz w:val="22"/>
        </w:rPr>
        <w:t>presentar</w:t>
      </w:r>
      <w:r>
        <w:rPr>
          <w:spacing w:val="-2"/>
          <w:sz w:val="22"/>
        </w:rPr>
        <w:t> </w:t>
      </w:r>
      <w:r>
        <w:rPr>
          <w:sz w:val="22"/>
        </w:rPr>
        <w:t>documentos</w:t>
      </w:r>
    </w:p>
    <w:p>
      <w:pPr>
        <w:spacing w:after="0"/>
        <w:jc w:val="both"/>
        <w:rPr>
          <w:sz w:val="22"/>
        </w:rPr>
        <w:sectPr>
          <w:pgSz w:w="12240" w:h="15840"/>
          <w:pgMar w:header="0" w:footer="1576" w:top="1260" w:bottom="1760" w:left="360" w:right="0"/>
        </w:sectPr>
      </w:pPr>
    </w:p>
    <w:p>
      <w:pPr>
        <w:pStyle w:val="BodyText"/>
        <w:spacing w:before="77"/>
        <w:ind w:left="1625" w:right="1604"/>
        <w:jc w:val="both"/>
      </w:pPr>
      <w:r>
        <w:rPr/>
        <w:t>duplicados,</w:t>
      </w:r>
      <w:r>
        <w:rPr>
          <w:spacing w:val="-9"/>
        </w:rPr>
        <w:t> </w:t>
      </w:r>
      <w:r>
        <w:rPr/>
        <w:t>con</w:t>
      </w:r>
      <w:r>
        <w:rPr>
          <w:spacing w:val="-10"/>
        </w:rPr>
        <w:t> </w:t>
      </w:r>
      <w:r>
        <w:rPr/>
        <w:t>los</w:t>
      </w:r>
      <w:r>
        <w:rPr>
          <w:spacing w:val="-10"/>
        </w:rPr>
        <w:t> </w:t>
      </w:r>
      <w:r>
        <w:rPr/>
        <w:t>que</w:t>
      </w:r>
      <w:r>
        <w:rPr>
          <w:spacing w:val="-10"/>
        </w:rPr>
        <w:t> </w:t>
      </w:r>
      <w:r>
        <w:rPr/>
        <w:t>ya</w:t>
      </w:r>
      <w:r>
        <w:rPr>
          <w:spacing w:val="-10"/>
        </w:rPr>
        <w:t> </w:t>
      </w:r>
      <w:r>
        <w:rPr/>
        <w:t>cuente</w:t>
      </w:r>
      <w:r>
        <w:rPr>
          <w:spacing w:val="-9"/>
        </w:rPr>
        <w:t> </w:t>
      </w:r>
      <w:r>
        <w:rPr/>
        <w:t>la</w:t>
      </w:r>
      <w:r>
        <w:rPr>
          <w:spacing w:val="-10"/>
        </w:rPr>
        <w:t> </w:t>
      </w:r>
      <w:r>
        <w:rPr/>
        <w:t>institución</w:t>
      </w:r>
      <w:r>
        <w:rPr>
          <w:spacing w:val="-10"/>
        </w:rPr>
        <w:t> </w:t>
      </w:r>
      <w:r>
        <w:rPr/>
        <w:t>solicitante,</w:t>
      </w:r>
      <w:r>
        <w:rPr>
          <w:spacing w:val="-9"/>
        </w:rPr>
        <w:t> </w:t>
      </w:r>
      <w:r>
        <w:rPr/>
        <w:t>Atañe</w:t>
      </w:r>
      <w:r>
        <w:rPr>
          <w:spacing w:val="-10"/>
        </w:rPr>
        <w:t> </w:t>
      </w:r>
      <w:r>
        <w:rPr/>
        <w:t>a</w:t>
      </w:r>
      <w:r>
        <w:rPr>
          <w:spacing w:val="-12"/>
        </w:rPr>
        <w:t> </w:t>
      </w:r>
      <w:r>
        <w:rPr/>
        <w:t>toda</w:t>
      </w:r>
      <w:r>
        <w:rPr>
          <w:spacing w:val="-10"/>
        </w:rPr>
        <w:t> </w:t>
      </w:r>
      <w:r>
        <w:rPr/>
        <w:t>la</w:t>
      </w:r>
      <w:r>
        <w:rPr>
          <w:spacing w:val="-12"/>
        </w:rPr>
        <w:t> </w:t>
      </w:r>
      <w:r>
        <w:rPr/>
        <w:t>Administración Pública. Fecha de vigencia 11/03/2002.</w:t>
      </w:r>
    </w:p>
    <w:p>
      <w:pPr>
        <w:pStyle w:val="BodyText"/>
      </w:pPr>
    </w:p>
    <w:p>
      <w:pPr>
        <w:pStyle w:val="BodyText"/>
        <w:ind w:left="1625" w:right="1604"/>
        <w:jc w:val="both"/>
      </w:pPr>
      <w:r>
        <w:rPr>
          <w:b/>
        </w:rPr>
        <w:t>Ley General de Control Interno</w:t>
      </w:r>
      <w:r>
        <w:rPr/>
        <w:t>, </w:t>
      </w:r>
      <w:r>
        <w:rPr>
          <w:b/>
        </w:rPr>
        <w:t>N°8292</w:t>
      </w:r>
      <w:r>
        <w:rPr/>
        <w:t>. Establece los criterios mínimos que deben observar la Contraloría General de la República y los entes u órganos sujetos a su fiscalización,</w:t>
      </w:r>
      <w:r>
        <w:rPr>
          <w:spacing w:val="-4"/>
        </w:rPr>
        <w:t> </w:t>
      </w:r>
      <w:r>
        <w:rPr/>
        <w:t>en</w:t>
      </w:r>
      <w:r>
        <w:rPr>
          <w:spacing w:val="-5"/>
        </w:rPr>
        <w:t> </w:t>
      </w:r>
      <w:r>
        <w:rPr/>
        <w:t>el</w:t>
      </w:r>
      <w:r>
        <w:rPr>
          <w:spacing w:val="-6"/>
        </w:rPr>
        <w:t> </w:t>
      </w:r>
      <w:r>
        <w:rPr/>
        <w:t>establecimiento,</w:t>
      </w:r>
      <w:r>
        <w:rPr>
          <w:spacing w:val="-6"/>
        </w:rPr>
        <w:t> </w:t>
      </w:r>
      <w:r>
        <w:rPr/>
        <w:t>funcionamiento,</w:t>
      </w:r>
      <w:r>
        <w:rPr>
          <w:spacing w:val="-6"/>
        </w:rPr>
        <w:t> </w:t>
      </w:r>
      <w:r>
        <w:rPr/>
        <w:t>mantenimiento,</w:t>
      </w:r>
      <w:r>
        <w:rPr>
          <w:spacing w:val="-6"/>
        </w:rPr>
        <w:t> </w:t>
      </w:r>
      <w:r>
        <w:rPr/>
        <w:t>perfeccionamiento</w:t>
      </w:r>
      <w:r>
        <w:rPr>
          <w:spacing w:val="-4"/>
        </w:rPr>
        <w:t> </w:t>
      </w:r>
      <w:r>
        <w:rPr/>
        <w:t>y evaluación de sus sistemas de control interno. Fecha de vigencia 04/09/2002.</w:t>
      </w:r>
    </w:p>
    <w:p>
      <w:pPr>
        <w:pStyle w:val="BodyText"/>
      </w:pPr>
    </w:p>
    <w:p>
      <w:pPr>
        <w:pStyle w:val="BodyText"/>
        <w:ind w:left="1625" w:right="1601"/>
        <w:jc w:val="both"/>
      </w:pPr>
      <w:r>
        <w:rPr>
          <w:b/>
        </w:rPr>
        <w:t>Ley</w:t>
      </w:r>
      <w:r>
        <w:rPr>
          <w:b/>
          <w:spacing w:val="-15"/>
        </w:rPr>
        <w:t> </w:t>
      </w:r>
      <w:r>
        <w:rPr>
          <w:b/>
        </w:rPr>
        <w:t>Contingencia</w:t>
      </w:r>
      <w:r>
        <w:rPr>
          <w:b/>
          <w:spacing w:val="-15"/>
        </w:rPr>
        <w:t> </w:t>
      </w:r>
      <w:r>
        <w:rPr>
          <w:b/>
        </w:rPr>
        <w:t>Fiscal,</w:t>
      </w:r>
      <w:r>
        <w:rPr>
          <w:b/>
          <w:spacing w:val="-13"/>
        </w:rPr>
        <w:t> </w:t>
      </w:r>
      <w:r>
        <w:rPr>
          <w:b/>
        </w:rPr>
        <w:t>N°</w:t>
      </w:r>
      <w:r>
        <w:rPr>
          <w:b/>
          <w:spacing w:val="-16"/>
        </w:rPr>
        <w:t> </w:t>
      </w:r>
      <w:r>
        <w:rPr>
          <w:b/>
        </w:rPr>
        <w:t>8343</w:t>
      </w:r>
      <w:r>
        <w:rPr>
          <w:b/>
          <w:spacing w:val="-14"/>
        </w:rPr>
        <w:t> </w:t>
      </w:r>
      <w:r>
        <w:rPr>
          <w:b/>
        </w:rPr>
        <w:t>y</w:t>
      </w:r>
      <w:r>
        <w:rPr>
          <w:b/>
          <w:spacing w:val="-15"/>
        </w:rPr>
        <w:t> </w:t>
      </w:r>
      <w:r>
        <w:rPr>
          <w:b/>
        </w:rPr>
        <w:t>sus</w:t>
      </w:r>
      <w:r>
        <w:rPr>
          <w:b/>
          <w:spacing w:val="-16"/>
        </w:rPr>
        <w:t> </w:t>
      </w:r>
      <w:r>
        <w:rPr>
          <w:b/>
        </w:rPr>
        <w:t>reformas.</w:t>
      </w:r>
      <w:r>
        <w:rPr>
          <w:b/>
          <w:spacing w:val="-12"/>
        </w:rPr>
        <w:t> </w:t>
      </w:r>
      <w:r>
        <w:rPr/>
        <w:t>Racionaliza</w:t>
      </w:r>
      <w:r>
        <w:rPr>
          <w:spacing w:val="-15"/>
        </w:rPr>
        <w:t> </w:t>
      </w:r>
      <w:r>
        <w:rPr/>
        <w:t>el</w:t>
      </w:r>
      <w:r>
        <w:rPr>
          <w:spacing w:val="-16"/>
        </w:rPr>
        <w:t> </w:t>
      </w:r>
      <w:r>
        <w:rPr/>
        <w:t>gasto</w:t>
      </w:r>
      <w:r>
        <w:rPr>
          <w:spacing w:val="-14"/>
        </w:rPr>
        <w:t> </w:t>
      </w:r>
      <w:r>
        <w:rPr/>
        <w:t>público,</w:t>
      </w:r>
      <w:r>
        <w:rPr>
          <w:spacing w:val="-14"/>
        </w:rPr>
        <w:t> </w:t>
      </w:r>
      <w:r>
        <w:rPr/>
        <w:t>mejorar la eficiencia en la recaudación tributaria, así como generar nuevos ingresos en el marco de un pacto social. Impuesto a los moteles destinado al IMAS. Fecha de vigencia </w:t>
      </w:r>
      <w:r>
        <w:rPr>
          <w:spacing w:val="-2"/>
        </w:rPr>
        <w:t>18/12/2002.</w:t>
      </w:r>
    </w:p>
    <w:p>
      <w:pPr>
        <w:pStyle w:val="BodyText"/>
      </w:pPr>
    </w:p>
    <w:p>
      <w:pPr>
        <w:spacing w:before="0"/>
        <w:ind w:left="1625" w:right="1601" w:firstLine="0"/>
        <w:jc w:val="both"/>
        <w:rPr>
          <w:sz w:val="22"/>
        </w:rPr>
      </w:pPr>
      <w:r>
        <w:rPr>
          <w:b/>
          <w:sz w:val="22"/>
        </w:rPr>
        <w:t>Ley Contra la Corrupción y el Enriquecimiento Ilícito en la Función Pública y sus reformas</w:t>
      </w:r>
      <w:r>
        <w:rPr>
          <w:sz w:val="22"/>
        </w:rPr>
        <w:t>, </w:t>
      </w:r>
      <w:r>
        <w:rPr>
          <w:b/>
          <w:sz w:val="22"/>
        </w:rPr>
        <w:t>N°8422. </w:t>
      </w:r>
      <w:r>
        <w:rPr>
          <w:sz w:val="22"/>
        </w:rPr>
        <w:t>Regula la prevención, detección y sanción de la corrupción en el ejercicio de la función pública. Fecha de vigencia 06/10/2004.</w:t>
      </w:r>
    </w:p>
    <w:p>
      <w:pPr>
        <w:pStyle w:val="BodyText"/>
        <w:spacing w:before="1"/>
      </w:pPr>
    </w:p>
    <w:p>
      <w:pPr>
        <w:pStyle w:val="BodyText"/>
        <w:spacing w:before="1"/>
        <w:ind w:left="1625" w:right="1601"/>
        <w:jc w:val="both"/>
      </w:pPr>
      <w:r>
        <w:rPr>
          <w:b/>
        </w:rPr>
        <w:t>Ley de Pesca y Acuicultura, N° 8436 y sus reformas</w:t>
      </w:r>
      <w:r>
        <w:rPr/>
        <w:t>. Fomenta y regula la actividad pesquera y acuícola en las diferentes etapas, correspondientes a la captura, extracción, procesamiento, transporte, comercialización y aprovechamiento sostenible de las especies acuáticas. El Poder Ejecutivo podrá autorizar el destino de fondos del presupuesto Nacional a favor del IMAS, para desarrollar programas de asistencia socioeconómica a favor de pescadores afectados por veda, así mismo, IMAS integra mesa de trabajo. Fecha de vigencia 25/04/2005.</w:t>
      </w:r>
    </w:p>
    <w:p>
      <w:pPr>
        <w:spacing w:before="252"/>
        <w:ind w:left="1625" w:right="1599" w:firstLine="0"/>
        <w:jc w:val="both"/>
        <w:rPr>
          <w:sz w:val="22"/>
        </w:rPr>
      </w:pPr>
      <w:r>
        <w:rPr>
          <w:b/>
          <w:sz w:val="22"/>
        </w:rPr>
        <w:t>Ley de Certificados, Firmas Digitales y Documentos Electrónicos, N°8454</w:t>
      </w:r>
      <w:r>
        <w:rPr>
          <w:sz w:val="22"/>
        </w:rPr>
        <w:t>. </w:t>
      </w:r>
      <w:r>
        <w:rPr>
          <w:b/>
          <w:sz w:val="22"/>
        </w:rPr>
        <w:t>y sus reformas. </w:t>
      </w:r>
      <w:r>
        <w:rPr>
          <w:sz w:val="22"/>
        </w:rPr>
        <w:t>Faculta al Estado y todas las entidades públicas para utilizar los certificados, las firmas digitales y los</w:t>
      </w:r>
      <w:r>
        <w:rPr>
          <w:spacing w:val="-2"/>
          <w:sz w:val="22"/>
        </w:rPr>
        <w:t> </w:t>
      </w:r>
      <w:r>
        <w:rPr>
          <w:sz w:val="22"/>
        </w:rPr>
        <w:t>documentos electrónicos, dentro de sus respectivos ámbitos de competencia. Fecha de vigencia 13/10/2005.</w:t>
      </w:r>
    </w:p>
    <w:p>
      <w:pPr>
        <w:pStyle w:val="BodyText"/>
      </w:pPr>
    </w:p>
    <w:p>
      <w:pPr>
        <w:pStyle w:val="BodyText"/>
        <w:ind w:left="1625" w:right="1601"/>
        <w:jc w:val="both"/>
      </w:pPr>
      <w:r>
        <w:rPr>
          <w:b/>
        </w:rPr>
        <w:t>Ley Nacional de Emergencias y Prevención del Riesgo</w:t>
      </w:r>
      <w:r>
        <w:rPr/>
        <w:t>, </w:t>
      </w:r>
      <w:r>
        <w:rPr>
          <w:b/>
        </w:rPr>
        <w:t>N°8488y sus reformas. </w:t>
      </w:r>
      <w:r>
        <w:rPr/>
        <w:t>Regula las acciones ordinarias para reducir las causas de las pérdidas de vidas y las consecuencias</w:t>
      </w:r>
      <w:r>
        <w:rPr>
          <w:spacing w:val="-1"/>
        </w:rPr>
        <w:t> </w:t>
      </w:r>
      <w:r>
        <w:rPr/>
        <w:t>sociales,</w:t>
      </w:r>
      <w:r>
        <w:rPr>
          <w:spacing w:val="-2"/>
        </w:rPr>
        <w:t> </w:t>
      </w:r>
      <w:r>
        <w:rPr/>
        <w:t>económicas</w:t>
      </w:r>
      <w:r>
        <w:rPr>
          <w:spacing w:val="-1"/>
        </w:rPr>
        <w:t> </w:t>
      </w:r>
      <w:r>
        <w:rPr/>
        <w:t>y ambientales, inducidas por los factores de</w:t>
      </w:r>
      <w:r>
        <w:rPr>
          <w:spacing w:val="-1"/>
        </w:rPr>
        <w:t> </w:t>
      </w:r>
      <w:r>
        <w:rPr/>
        <w:t>riesgo de origen natural y antrópico, así como la actividad extraordinaria que el Estado deberá efectuar</w:t>
      </w:r>
      <w:r>
        <w:rPr>
          <w:spacing w:val="-16"/>
        </w:rPr>
        <w:t> </w:t>
      </w:r>
      <w:r>
        <w:rPr/>
        <w:t>en</w:t>
      </w:r>
      <w:r>
        <w:rPr>
          <w:spacing w:val="-15"/>
        </w:rPr>
        <w:t> </w:t>
      </w:r>
      <w:r>
        <w:rPr/>
        <w:t>caso</w:t>
      </w:r>
      <w:r>
        <w:rPr>
          <w:spacing w:val="-15"/>
        </w:rPr>
        <w:t> </w:t>
      </w:r>
      <w:r>
        <w:rPr/>
        <w:t>de</w:t>
      </w:r>
      <w:r>
        <w:rPr>
          <w:spacing w:val="-16"/>
        </w:rPr>
        <w:t> </w:t>
      </w:r>
      <w:r>
        <w:rPr/>
        <w:t>estado</w:t>
      </w:r>
      <w:r>
        <w:rPr>
          <w:spacing w:val="-15"/>
        </w:rPr>
        <w:t> </w:t>
      </w:r>
      <w:r>
        <w:rPr/>
        <w:t>de</w:t>
      </w:r>
      <w:r>
        <w:rPr>
          <w:spacing w:val="-15"/>
        </w:rPr>
        <w:t> </w:t>
      </w:r>
      <w:r>
        <w:rPr/>
        <w:t>emergencia</w:t>
      </w:r>
      <w:r>
        <w:rPr>
          <w:b/>
        </w:rPr>
        <w:t>.</w:t>
      </w:r>
      <w:r>
        <w:rPr>
          <w:b/>
          <w:spacing w:val="-15"/>
        </w:rPr>
        <w:t> </w:t>
      </w:r>
      <w:r>
        <w:rPr/>
        <w:t>IMAS</w:t>
      </w:r>
      <w:r>
        <w:rPr>
          <w:spacing w:val="-16"/>
        </w:rPr>
        <w:t> </w:t>
      </w:r>
      <w:r>
        <w:rPr/>
        <w:t>integra</w:t>
      </w:r>
      <w:r>
        <w:rPr>
          <w:spacing w:val="-15"/>
        </w:rPr>
        <w:t> </w:t>
      </w:r>
      <w:r>
        <w:rPr/>
        <w:t>la</w:t>
      </w:r>
      <w:r>
        <w:rPr>
          <w:spacing w:val="-15"/>
        </w:rPr>
        <w:t> </w:t>
      </w:r>
      <w:r>
        <w:rPr/>
        <w:t>Junta</w:t>
      </w:r>
      <w:r>
        <w:rPr>
          <w:spacing w:val="-16"/>
        </w:rPr>
        <w:t> </w:t>
      </w:r>
      <w:r>
        <w:rPr/>
        <w:t>Directiva</w:t>
      </w:r>
      <w:r>
        <w:rPr>
          <w:spacing w:val="-15"/>
        </w:rPr>
        <w:t> </w:t>
      </w:r>
      <w:r>
        <w:rPr/>
        <w:t>de</w:t>
      </w:r>
      <w:r>
        <w:rPr>
          <w:spacing w:val="-15"/>
        </w:rPr>
        <w:t> </w:t>
      </w:r>
      <w:r>
        <w:rPr/>
        <w:t>la</w:t>
      </w:r>
      <w:r>
        <w:rPr>
          <w:spacing w:val="-15"/>
        </w:rPr>
        <w:t> </w:t>
      </w:r>
      <w:r>
        <w:rPr/>
        <w:t>Comisión Nacional de Prevención de Riesgos y Atención de Emergencias. Fecha de vigencia </w:t>
      </w:r>
      <w:r>
        <w:rPr>
          <w:spacing w:val="-2"/>
        </w:rPr>
        <w:t>11/01/2006.</w:t>
      </w:r>
    </w:p>
    <w:p>
      <w:pPr>
        <w:spacing w:before="253"/>
        <w:ind w:left="1625" w:right="1602" w:firstLine="0"/>
        <w:jc w:val="both"/>
        <w:rPr>
          <w:sz w:val="22"/>
        </w:rPr>
      </w:pPr>
      <w:r>
        <w:rPr>
          <w:b/>
          <w:sz w:val="22"/>
        </w:rPr>
        <w:t>Ley de Fortalecimiento Financiero del IMAS</w:t>
      </w:r>
      <w:r>
        <w:rPr>
          <w:sz w:val="22"/>
        </w:rPr>
        <w:t>, </w:t>
      </w:r>
      <w:r>
        <w:rPr>
          <w:b/>
          <w:sz w:val="22"/>
        </w:rPr>
        <w:t>N°8563</w:t>
      </w:r>
      <w:r>
        <w:rPr>
          <w:sz w:val="22"/>
        </w:rPr>
        <w:t>. Reforma las leyes N°4760, N°3418, N°5662, N°7742, N°7769, N°7972, N°8114 y N 6256, referentes al accionar del IMAS. Fecha de vigencia 06/02/2007.</w:t>
      </w:r>
    </w:p>
    <w:p>
      <w:pPr>
        <w:pStyle w:val="BodyText"/>
      </w:pPr>
    </w:p>
    <w:p>
      <w:pPr>
        <w:pStyle w:val="BodyText"/>
        <w:ind w:left="1625" w:right="1601"/>
        <w:jc w:val="both"/>
      </w:pPr>
      <w:r>
        <w:rPr>
          <w:b/>
        </w:rPr>
        <w:t>Ley de Creación de Sistema de Banca para el Desarrollo, N°8634 y sus reformas. </w:t>
      </w:r>
      <w:r>
        <w:rPr/>
        <w:t>Crea</w:t>
      </w:r>
      <w:r>
        <w:rPr>
          <w:spacing w:val="-4"/>
        </w:rPr>
        <w:t> </w:t>
      </w:r>
      <w:r>
        <w:rPr/>
        <w:t>el</w:t>
      </w:r>
      <w:r>
        <w:rPr>
          <w:spacing w:val="-5"/>
        </w:rPr>
        <w:t> </w:t>
      </w:r>
      <w:r>
        <w:rPr/>
        <w:t>Sistema</w:t>
      </w:r>
      <w:r>
        <w:rPr>
          <w:spacing w:val="-6"/>
        </w:rPr>
        <w:t> </w:t>
      </w:r>
      <w:r>
        <w:rPr/>
        <w:t>de</w:t>
      </w:r>
      <w:r>
        <w:rPr>
          <w:spacing w:val="-4"/>
        </w:rPr>
        <w:t> </w:t>
      </w:r>
      <w:r>
        <w:rPr/>
        <w:t>Banca</w:t>
      </w:r>
      <w:r>
        <w:rPr>
          <w:spacing w:val="-4"/>
        </w:rPr>
        <w:t> </w:t>
      </w:r>
      <w:r>
        <w:rPr/>
        <w:t>para</w:t>
      </w:r>
      <w:r>
        <w:rPr>
          <w:spacing w:val="-4"/>
        </w:rPr>
        <w:t> </w:t>
      </w:r>
      <w:r>
        <w:rPr/>
        <w:t>el</w:t>
      </w:r>
      <w:r>
        <w:rPr>
          <w:spacing w:val="-5"/>
        </w:rPr>
        <w:t> </w:t>
      </w:r>
      <w:r>
        <w:rPr/>
        <w:t>Desarrollo,</w:t>
      </w:r>
      <w:r>
        <w:rPr>
          <w:spacing w:val="-4"/>
        </w:rPr>
        <w:t> </w:t>
      </w:r>
      <w:r>
        <w:rPr/>
        <w:t>como</w:t>
      </w:r>
      <w:r>
        <w:rPr>
          <w:spacing w:val="-4"/>
        </w:rPr>
        <w:t> </w:t>
      </w:r>
      <w:r>
        <w:rPr/>
        <w:t>mecanismo</w:t>
      </w:r>
      <w:r>
        <w:rPr>
          <w:spacing w:val="-4"/>
        </w:rPr>
        <w:t> </w:t>
      </w:r>
      <w:r>
        <w:rPr/>
        <w:t>para</w:t>
      </w:r>
      <w:r>
        <w:rPr>
          <w:spacing w:val="-6"/>
        </w:rPr>
        <w:t> </w:t>
      </w:r>
      <w:r>
        <w:rPr/>
        <w:t>financiar</w:t>
      </w:r>
      <w:r>
        <w:rPr>
          <w:spacing w:val="-4"/>
        </w:rPr>
        <w:t> </w:t>
      </w:r>
      <w:r>
        <w:rPr/>
        <w:t>e</w:t>
      </w:r>
      <w:r>
        <w:rPr>
          <w:spacing w:val="-4"/>
        </w:rPr>
        <w:t> </w:t>
      </w:r>
      <w:r>
        <w:rPr/>
        <w:t>impulsar proyectos, viables, acordes con el modelo de desarrollo del país. El IMAS debe incluir, dentro</w:t>
      </w:r>
      <w:r>
        <w:rPr>
          <w:spacing w:val="-11"/>
        </w:rPr>
        <w:t> </w:t>
      </w:r>
      <w:r>
        <w:rPr/>
        <w:t>de</w:t>
      </w:r>
      <w:r>
        <w:rPr>
          <w:spacing w:val="-10"/>
        </w:rPr>
        <w:t> </w:t>
      </w:r>
      <w:r>
        <w:rPr/>
        <w:t>sus</w:t>
      </w:r>
      <w:r>
        <w:rPr>
          <w:spacing w:val="-11"/>
        </w:rPr>
        <w:t> </w:t>
      </w:r>
      <w:r>
        <w:rPr/>
        <w:t>proyectos,</w:t>
      </w:r>
      <w:r>
        <w:rPr>
          <w:spacing w:val="-12"/>
        </w:rPr>
        <w:t> </w:t>
      </w:r>
      <w:r>
        <w:rPr/>
        <w:t>apoyo</w:t>
      </w:r>
      <w:r>
        <w:rPr>
          <w:spacing w:val="-10"/>
        </w:rPr>
        <w:t> </w:t>
      </w:r>
      <w:r>
        <w:rPr/>
        <w:t>financiero</w:t>
      </w:r>
      <w:r>
        <w:rPr>
          <w:spacing w:val="-11"/>
        </w:rPr>
        <w:t> </w:t>
      </w:r>
      <w:r>
        <w:rPr/>
        <w:t>para</w:t>
      </w:r>
      <w:r>
        <w:rPr>
          <w:spacing w:val="-12"/>
        </w:rPr>
        <w:t> </w:t>
      </w:r>
      <w:r>
        <w:rPr/>
        <w:t>personas</w:t>
      </w:r>
      <w:r>
        <w:rPr>
          <w:spacing w:val="-10"/>
        </w:rPr>
        <w:t> </w:t>
      </w:r>
      <w:r>
        <w:rPr/>
        <w:t>en</w:t>
      </w:r>
      <w:r>
        <w:rPr>
          <w:spacing w:val="-12"/>
        </w:rPr>
        <w:t> </w:t>
      </w:r>
      <w:r>
        <w:rPr/>
        <w:t>condiciones</w:t>
      </w:r>
      <w:r>
        <w:rPr>
          <w:spacing w:val="-10"/>
        </w:rPr>
        <w:t> </w:t>
      </w:r>
      <w:r>
        <w:rPr/>
        <w:t>de</w:t>
      </w:r>
      <w:r>
        <w:rPr>
          <w:spacing w:val="-10"/>
        </w:rPr>
        <w:t> </w:t>
      </w:r>
      <w:r>
        <w:rPr/>
        <w:t>pobreza,</w:t>
      </w:r>
      <w:r>
        <w:rPr>
          <w:spacing w:val="-6"/>
        </w:rPr>
        <w:t> </w:t>
      </w:r>
      <w:r>
        <w:rPr/>
        <w:t>que presenten proyectos viables y sostenibles, que permitan la movilidad social y no posean hasta un veinticinco por ciento de garantía o contragarantía, para poder tener acceso al fondo</w:t>
      </w:r>
      <w:r>
        <w:rPr>
          <w:spacing w:val="-16"/>
        </w:rPr>
        <w:t> </w:t>
      </w:r>
      <w:r>
        <w:rPr/>
        <w:t>de</w:t>
      </w:r>
      <w:r>
        <w:rPr>
          <w:spacing w:val="-13"/>
        </w:rPr>
        <w:t> </w:t>
      </w:r>
      <w:r>
        <w:rPr/>
        <w:t>avales</w:t>
      </w:r>
      <w:r>
        <w:rPr>
          <w:spacing w:val="-15"/>
        </w:rPr>
        <w:t> </w:t>
      </w:r>
      <w:r>
        <w:rPr/>
        <w:t>del</w:t>
      </w:r>
      <w:r>
        <w:rPr>
          <w:spacing w:val="-13"/>
        </w:rPr>
        <w:t> </w:t>
      </w:r>
      <w:r>
        <w:rPr/>
        <w:t>SBD,</w:t>
      </w:r>
      <w:r>
        <w:rPr>
          <w:spacing w:val="-12"/>
        </w:rPr>
        <w:t> </w:t>
      </w:r>
      <w:r>
        <w:rPr/>
        <w:t>con</w:t>
      </w:r>
      <w:r>
        <w:rPr>
          <w:spacing w:val="-13"/>
        </w:rPr>
        <w:t> </w:t>
      </w:r>
      <w:r>
        <w:rPr/>
        <w:t>el</w:t>
      </w:r>
      <w:r>
        <w:rPr>
          <w:spacing w:val="-14"/>
        </w:rPr>
        <w:t> </w:t>
      </w:r>
      <w:r>
        <w:rPr/>
        <w:t>fin</w:t>
      </w:r>
      <w:r>
        <w:rPr>
          <w:spacing w:val="-13"/>
        </w:rPr>
        <w:t> </w:t>
      </w:r>
      <w:r>
        <w:rPr/>
        <w:t>de</w:t>
      </w:r>
      <w:r>
        <w:rPr>
          <w:spacing w:val="-15"/>
        </w:rPr>
        <w:t> </w:t>
      </w:r>
      <w:r>
        <w:rPr/>
        <w:t>completar</w:t>
      </w:r>
      <w:r>
        <w:rPr>
          <w:spacing w:val="-13"/>
        </w:rPr>
        <w:t> </w:t>
      </w:r>
      <w:r>
        <w:rPr/>
        <w:t>la</w:t>
      </w:r>
      <w:r>
        <w:rPr>
          <w:spacing w:val="-15"/>
        </w:rPr>
        <w:t> </w:t>
      </w:r>
      <w:r>
        <w:rPr/>
        <w:t>garantía</w:t>
      </w:r>
      <w:r>
        <w:rPr>
          <w:spacing w:val="-13"/>
        </w:rPr>
        <w:t> </w:t>
      </w:r>
      <w:r>
        <w:rPr/>
        <w:t>del</w:t>
      </w:r>
      <w:r>
        <w:rPr>
          <w:spacing w:val="-13"/>
        </w:rPr>
        <w:t> </w:t>
      </w:r>
      <w:r>
        <w:rPr/>
        <w:t>crédito</w:t>
      </w:r>
      <w:r>
        <w:rPr>
          <w:spacing w:val="-13"/>
        </w:rPr>
        <w:t> </w:t>
      </w:r>
      <w:r>
        <w:rPr/>
        <w:t>que</w:t>
      </w:r>
      <w:r>
        <w:rPr>
          <w:spacing w:val="-16"/>
        </w:rPr>
        <w:t> </w:t>
      </w:r>
      <w:r>
        <w:rPr/>
        <w:t>solicita.</w:t>
      </w:r>
      <w:r>
        <w:rPr>
          <w:spacing w:val="-12"/>
        </w:rPr>
        <w:t> </w:t>
      </w:r>
      <w:r>
        <w:rPr/>
        <w:t>Fecha de vigencia 23/04/2008.</w:t>
      </w:r>
    </w:p>
    <w:p>
      <w:pPr>
        <w:pStyle w:val="BodyText"/>
        <w:spacing w:after="0"/>
        <w:jc w:val="both"/>
        <w:sectPr>
          <w:pgSz w:w="12240" w:h="15840"/>
          <w:pgMar w:header="0" w:footer="1576" w:top="1000" w:bottom="1760" w:left="360" w:right="0"/>
        </w:sectPr>
      </w:pPr>
    </w:p>
    <w:p>
      <w:pPr>
        <w:spacing w:before="77"/>
        <w:ind w:left="1625" w:right="1602" w:firstLine="0"/>
        <w:jc w:val="both"/>
        <w:rPr>
          <w:sz w:val="22"/>
        </w:rPr>
      </w:pPr>
      <w:r>
        <w:rPr>
          <w:b/>
          <w:sz w:val="22"/>
        </w:rPr>
        <w:t>Ley de</w:t>
      </w:r>
      <w:r>
        <w:rPr>
          <w:b/>
          <w:spacing w:val="-1"/>
          <w:sz w:val="22"/>
        </w:rPr>
        <w:t> </w:t>
      </w:r>
      <w:r>
        <w:rPr>
          <w:b/>
          <w:sz w:val="22"/>
        </w:rPr>
        <w:t>Notificaciones</w:t>
      </w:r>
      <w:r>
        <w:rPr>
          <w:b/>
          <w:spacing w:val="-1"/>
          <w:sz w:val="22"/>
        </w:rPr>
        <w:t> </w:t>
      </w:r>
      <w:r>
        <w:rPr>
          <w:b/>
          <w:sz w:val="22"/>
        </w:rPr>
        <w:t>Judiciales</w:t>
      </w:r>
      <w:r>
        <w:rPr>
          <w:sz w:val="22"/>
        </w:rPr>
        <w:t>, </w:t>
      </w:r>
      <w:r>
        <w:rPr>
          <w:b/>
          <w:sz w:val="22"/>
        </w:rPr>
        <w:t>N°8687 y sus</w:t>
      </w:r>
      <w:r>
        <w:rPr>
          <w:b/>
          <w:spacing w:val="-3"/>
          <w:sz w:val="22"/>
        </w:rPr>
        <w:t> </w:t>
      </w:r>
      <w:r>
        <w:rPr>
          <w:b/>
          <w:sz w:val="22"/>
        </w:rPr>
        <w:t>reformas. </w:t>
      </w:r>
      <w:r>
        <w:rPr>
          <w:sz w:val="22"/>
        </w:rPr>
        <w:t>Regula a las notificaciones judiciales, para que, por medio de la centralización, se logre la especialización funcional y la adecuada división del trabajo administrativo. Fecha de vigencia 01/03/2009.</w:t>
      </w:r>
    </w:p>
    <w:p>
      <w:pPr>
        <w:pStyle w:val="BodyText"/>
        <w:spacing w:before="252"/>
        <w:ind w:left="1625" w:right="1603"/>
        <w:jc w:val="both"/>
      </w:pPr>
      <w:r>
        <w:rPr>
          <w:b/>
        </w:rPr>
        <w:t>Ley General de Migración y Extranjería, N° 8764 y sus reformas</w:t>
      </w:r>
      <w:r>
        <w:rPr/>
        <w:t>. Regula el ingreso, la permanencia y el</w:t>
      </w:r>
      <w:r>
        <w:rPr>
          <w:spacing w:val="-1"/>
        </w:rPr>
        <w:t> </w:t>
      </w:r>
      <w:r>
        <w:rPr/>
        <w:t>egreso de las personas extranjeras al</w:t>
      </w:r>
      <w:r>
        <w:rPr>
          <w:spacing w:val="-3"/>
        </w:rPr>
        <w:t> </w:t>
      </w:r>
      <w:r>
        <w:rPr/>
        <w:t>territorio de la</w:t>
      </w:r>
      <w:r>
        <w:rPr>
          <w:spacing w:val="-2"/>
        </w:rPr>
        <w:t> </w:t>
      </w:r>
      <w:r>
        <w:rPr/>
        <w:t>República y los requisitos</w:t>
      </w:r>
      <w:r>
        <w:rPr>
          <w:spacing w:val="-11"/>
        </w:rPr>
        <w:t> </w:t>
      </w:r>
      <w:r>
        <w:rPr/>
        <w:t>de</w:t>
      </w:r>
      <w:r>
        <w:rPr>
          <w:spacing w:val="-11"/>
        </w:rPr>
        <w:t> </w:t>
      </w:r>
      <w:r>
        <w:rPr/>
        <w:t>egreso</w:t>
      </w:r>
      <w:r>
        <w:rPr>
          <w:spacing w:val="-11"/>
        </w:rPr>
        <w:t> </w:t>
      </w:r>
      <w:r>
        <w:rPr/>
        <w:t>para</w:t>
      </w:r>
      <w:r>
        <w:rPr>
          <w:spacing w:val="-8"/>
        </w:rPr>
        <w:t> </w:t>
      </w:r>
      <w:r>
        <w:rPr/>
        <w:t>costarricenses.</w:t>
      </w:r>
      <w:r>
        <w:rPr>
          <w:spacing w:val="-8"/>
        </w:rPr>
        <w:t> </w:t>
      </w:r>
      <w:r>
        <w:rPr/>
        <w:t>El</w:t>
      </w:r>
      <w:r>
        <w:rPr>
          <w:spacing w:val="-11"/>
        </w:rPr>
        <w:t> </w:t>
      </w:r>
      <w:r>
        <w:rPr/>
        <w:t>IMAS</w:t>
      </w:r>
      <w:r>
        <w:rPr>
          <w:spacing w:val="-9"/>
        </w:rPr>
        <w:t> </w:t>
      </w:r>
      <w:r>
        <w:rPr/>
        <w:t>remite</w:t>
      </w:r>
      <w:r>
        <w:rPr>
          <w:spacing w:val="-11"/>
        </w:rPr>
        <w:t> </w:t>
      </w:r>
      <w:r>
        <w:rPr/>
        <w:t>informes</w:t>
      </w:r>
      <w:r>
        <w:rPr>
          <w:spacing w:val="-10"/>
        </w:rPr>
        <w:t> </w:t>
      </w:r>
      <w:r>
        <w:rPr/>
        <w:t>socioeconómicos</w:t>
      </w:r>
      <w:r>
        <w:rPr>
          <w:spacing w:val="-10"/>
        </w:rPr>
        <w:t> </w:t>
      </w:r>
      <w:r>
        <w:rPr/>
        <w:t>para planificación de la política migratoria. Fecha de vigencia 01/03/2010.</w:t>
      </w:r>
    </w:p>
    <w:p>
      <w:pPr>
        <w:pStyle w:val="BodyText"/>
      </w:pPr>
    </w:p>
    <w:p>
      <w:pPr>
        <w:spacing w:before="0"/>
        <w:ind w:left="1625" w:right="1602" w:firstLine="0"/>
        <w:jc w:val="both"/>
        <w:rPr>
          <w:sz w:val="22"/>
        </w:rPr>
      </w:pPr>
      <w:r>
        <w:rPr>
          <w:b/>
          <w:sz w:val="22"/>
        </w:rPr>
        <w:t>Ley para la Gestión Integral de Residuos, N°8839 y sus reformas</w:t>
      </w:r>
      <w:r>
        <w:rPr>
          <w:sz w:val="22"/>
        </w:rPr>
        <w:t>. Regula la gestión integral de residuos y el uso eficiente de los recursos. Autoriza al IMAS a capacitar a gestores de recolección de residuos. Fecha de vigencia 13/07/2010.</w:t>
      </w:r>
    </w:p>
    <w:p>
      <w:pPr>
        <w:pStyle w:val="BodyText"/>
        <w:spacing w:before="1"/>
      </w:pPr>
    </w:p>
    <w:p>
      <w:pPr>
        <w:pStyle w:val="BodyText"/>
        <w:ind w:left="1625" w:right="1603"/>
        <w:jc w:val="both"/>
      </w:pPr>
      <w:r>
        <w:rPr>
          <w:b/>
        </w:rPr>
        <w:t>Ley de Inclusión y Protección Laboral de las Personas con Discapacidad en el Sector</w:t>
      </w:r>
      <w:r>
        <w:rPr>
          <w:b/>
          <w:spacing w:val="-14"/>
        </w:rPr>
        <w:t> </w:t>
      </w:r>
      <w:r>
        <w:rPr>
          <w:b/>
        </w:rPr>
        <w:t>Público,</w:t>
      </w:r>
      <w:r>
        <w:rPr>
          <w:b/>
          <w:spacing w:val="-12"/>
        </w:rPr>
        <w:t> </w:t>
      </w:r>
      <w:r>
        <w:rPr>
          <w:b/>
        </w:rPr>
        <w:t>N°</w:t>
      </w:r>
      <w:r>
        <w:rPr>
          <w:b/>
          <w:spacing w:val="-13"/>
        </w:rPr>
        <w:t> </w:t>
      </w:r>
      <w:r>
        <w:rPr>
          <w:b/>
        </w:rPr>
        <w:t>8862.</w:t>
      </w:r>
      <w:r>
        <w:rPr>
          <w:b/>
          <w:spacing w:val="-10"/>
        </w:rPr>
        <w:t> </w:t>
      </w:r>
      <w:r>
        <w:rPr/>
        <w:t>Establece</w:t>
      </w:r>
      <w:r>
        <w:rPr>
          <w:spacing w:val="-14"/>
        </w:rPr>
        <w:t> </w:t>
      </w:r>
      <w:r>
        <w:rPr/>
        <w:t>que,</w:t>
      </w:r>
      <w:r>
        <w:rPr>
          <w:spacing w:val="-13"/>
        </w:rPr>
        <w:t> </w:t>
      </w:r>
      <w:r>
        <w:rPr/>
        <w:t>en</w:t>
      </w:r>
      <w:r>
        <w:rPr>
          <w:spacing w:val="-14"/>
        </w:rPr>
        <w:t> </w:t>
      </w:r>
      <w:r>
        <w:rPr/>
        <w:t>las</w:t>
      </w:r>
      <w:r>
        <w:rPr>
          <w:spacing w:val="-14"/>
        </w:rPr>
        <w:t> </w:t>
      </w:r>
      <w:r>
        <w:rPr/>
        <w:t>ofertas</w:t>
      </w:r>
      <w:r>
        <w:rPr>
          <w:spacing w:val="-14"/>
        </w:rPr>
        <w:t> </w:t>
      </w:r>
      <w:r>
        <w:rPr/>
        <w:t>de</w:t>
      </w:r>
      <w:r>
        <w:rPr>
          <w:spacing w:val="-14"/>
        </w:rPr>
        <w:t> </w:t>
      </w:r>
      <w:r>
        <w:rPr/>
        <w:t>empleo</w:t>
      </w:r>
      <w:r>
        <w:rPr>
          <w:spacing w:val="-12"/>
        </w:rPr>
        <w:t> </w:t>
      </w:r>
      <w:r>
        <w:rPr/>
        <w:t>público</w:t>
      </w:r>
      <w:r>
        <w:rPr>
          <w:spacing w:val="-16"/>
        </w:rPr>
        <w:t> </w:t>
      </w:r>
      <w:r>
        <w:rPr/>
        <w:t>de</w:t>
      </w:r>
      <w:r>
        <w:rPr>
          <w:spacing w:val="-12"/>
        </w:rPr>
        <w:t> </w:t>
      </w:r>
      <w:r>
        <w:rPr/>
        <w:t>los</w:t>
      </w:r>
      <w:r>
        <w:rPr>
          <w:spacing w:val="-14"/>
        </w:rPr>
        <w:t> </w:t>
      </w:r>
      <w:r>
        <w:rPr/>
        <w:t>Poderes del</w:t>
      </w:r>
      <w:r>
        <w:rPr>
          <w:spacing w:val="-5"/>
        </w:rPr>
        <w:t> </w:t>
      </w:r>
      <w:r>
        <w:rPr/>
        <w:t>Estado,</w:t>
      </w:r>
      <w:r>
        <w:rPr>
          <w:spacing w:val="-3"/>
        </w:rPr>
        <w:t> </w:t>
      </w:r>
      <w:r>
        <w:rPr/>
        <w:t>se</w:t>
      </w:r>
      <w:r>
        <w:rPr>
          <w:spacing w:val="-6"/>
        </w:rPr>
        <w:t> </w:t>
      </w:r>
      <w:r>
        <w:rPr/>
        <w:t>reservará</w:t>
      </w:r>
      <w:r>
        <w:rPr>
          <w:spacing w:val="-8"/>
        </w:rPr>
        <w:t> </w:t>
      </w:r>
      <w:r>
        <w:rPr/>
        <w:t>cuando</w:t>
      </w:r>
      <w:r>
        <w:rPr>
          <w:spacing w:val="-4"/>
        </w:rPr>
        <w:t> </w:t>
      </w:r>
      <w:r>
        <w:rPr/>
        <w:t>menos</w:t>
      </w:r>
      <w:r>
        <w:rPr>
          <w:spacing w:val="-4"/>
        </w:rPr>
        <w:t> </w:t>
      </w:r>
      <w:r>
        <w:rPr/>
        <w:t>un</w:t>
      </w:r>
      <w:r>
        <w:rPr>
          <w:spacing w:val="-7"/>
        </w:rPr>
        <w:t> </w:t>
      </w:r>
      <w:r>
        <w:rPr/>
        <w:t>porcentaje</w:t>
      </w:r>
      <w:r>
        <w:rPr>
          <w:spacing w:val="-4"/>
        </w:rPr>
        <w:t> </w:t>
      </w:r>
      <w:r>
        <w:rPr/>
        <w:t>de</w:t>
      </w:r>
      <w:r>
        <w:rPr>
          <w:spacing w:val="-7"/>
        </w:rPr>
        <w:t> </w:t>
      </w:r>
      <w:r>
        <w:rPr/>
        <w:t>un</w:t>
      </w:r>
      <w:r>
        <w:rPr>
          <w:spacing w:val="-4"/>
        </w:rPr>
        <w:t> </w:t>
      </w:r>
      <w:r>
        <w:rPr/>
        <w:t>cinco</w:t>
      </w:r>
      <w:r>
        <w:rPr>
          <w:spacing w:val="-4"/>
        </w:rPr>
        <w:t> </w:t>
      </w:r>
      <w:r>
        <w:rPr/>
        <w:t>por</w:t>
      </w:r>
      <w:r>
        <w:rPr>
          <w:spacing w:val="-3"/>
        </w:rPr>
        <w:t> </w:t>
      </w:r>
      <w:r>
        <w:rPr/>
        <w:t>ciento</w:t>
      </w:r>
      <w:r>
        <w:rPr>
          <w:spacing w:val="-3"/>
        </w:rPr>
        <w:t> </w:t>
      </w:r>
      <w:r>
        <w:rPr/>
        <w:t>(5%)</w:t>
      </w:r>
      <w:r>
        <w:rPr>
          <w:spacing w:val="-2"/>
        </w:rPr>
        <w:t> </w:t>
      </w:r>
      <w:r>
        <w:rPr/>
        <w:t>de</w:t>
      </w:r>
      <w:r>
        <w:rPr>
          <w:spacing w:val="-7"/>
        </w:rPr>
        <w:t> </w:t>
      </w:r>
      <w:r>
        <w:rPr/>
        <w:t>las vacantes, en cada uno de los Poderes, para que sean cubiertas por personas con discapacidad siempre que exista</w:t>
      </w:r>
      <w:r>
        <w:rPr>
          <w:spacing w:val="-3"/>
        </w:rPr>
        <w:t> </w:t>
      </w:r>
      <w:r>
        <w:rPr/>
        <w:t>oferta de</w:t>
      </w:r>
      <w:r>
        <w:rPr>
          <w:spacing w:val="-3"/>
        </w:rPr>
        <w:t> </w:t>
      </w:r>
      <w:r>
        <w:rPr/>
        <w:t>empleo</w:t>
      </w:r>
      <w:r>
        <w:rPr>
          <w:spacing w:val="-1"/>
        </w:rPr>
        <w:t> </w:t>
      </w:r>
      <w:r>
        <w:rPr/>
        <w:t>y</w:t>
      </w:r>
      <w:r>
        <w:rPr>
          <w:spacing w:val="-3"/>
        </w:rPr>
        <w:t> </w:t>
      </w:r>
      <w:r>
        <w:rPr/>
        <w:t>se</w:t>
      </w:r>
      <w:r>
        <w:rPr>
          <w:spacing w:val="-3"/>
        </w:rPr>
        <w:t> </w:t>
      </w:r>
      <w:r>
        <w:rPr/>
        <w:t>superen</w:t>
      </w:r>
      <w:r>
        <w:rPr>
          <w:spacing w:val="-3"/>
        </w:rPr>
        <w:t> </w:t>
      </w:r>
      <w:r>
        <w:rPr/>
        <w:t>las pruebas selectivas</w:t>
      </w:r>
      <w:r>
        <w:rPr>
          <w:spacing w:val="-3"/>
        </w:rPr>
        <w:t> </w:t>
      </w:r>
      <w:r>
        <w:rPr/>
        <w:t>y de idoneidad, según lo determine el</w:t>
      </w:r>
      <w:r>
        <w:rPr>
          <w:spacing w:val="-1"/>
        </w:rPr>
        <w:t> </w:t>
      </w:r>
      <w:r>
        <w:rPr/>
        <w:t>régimen de personal</w:t>
      </w:r>
      <w:r>
        <w:rPr>
          <w:spacing w:val="-1"/>
        </w:rPr>
        <w:t> </w:t>
      </w:r>
      <w:r>
        <w:rPr/>
        <w:t>de cada uno de</w:t>
      </w:r>
      <w:r>
        <w:rPr>
          <w:spacing w:val="-2"/>
        </w:rPr>
        <w:t> </w:t>
      </w:r>
      <w:r>
        <w:rPr/>
        <w:t>esos Poderes. Fecha de vigencia 11/11/2010.</w:t>
      </w:r>
    </w:p>
    <w:p>
      <w:pPr>
        <w:pStyle w:val="BodyText"/>
      </w:pPr>
    </w:p>
    <w:p>
      <w:pPr>
        <w:pStyle w:val="BodyText"/>
        <w:ind w:left="1625" w:right="1604"/>
        <w:jc w:val="both"/>
      </w:pPr>
      <w:r>
        <w:rPr>
          <w:b/>
        </w:rPr>
        <w:t>Ley de Protección a la Persona frente al tratamiento de sus datos personales, N° 8968. </w:t>
      </w:r>
      <w:r>
        <w:rPr/>
        <w:t>Garantiza a cualquier persona el respeto a sus derechos fundamentales, concretamente, su derecho a la autodeterminación informativa en</w:t>
      </w:r>
      <w:r>
        <w:rPr>
          <w:spacing w:val="-1"/>
        </w:rPr>
        <w:t> </w:t>
      </w:r>
      <w:r>
        <w:rPr/>
        <w:t>relación</w:t>
      </w:r>
      <w:r>
        <w:rPr>
          <w:spacing w:val="-1"/>
        </w:rPr>
        <w:t> </w:t>
      </w:r>
      <w:r>
        <w:rPr/>
        <w:t>con su vida o actividad</w:t>
      </w:r>
      <w:r>
        <w:rPr>
          <w:spacing w:val="-16"/>
        </w:rPr>
        <w:t> </w:t>
      </w:r>
      <w:r>
        <w:rPr/>
        <w:t>privada</w:t>
      </w:r>
      <w:r>
        <w:rPr>
          <w:spacing w:val="-15"/>
        </w:rPr>
        <w:t> </w:t>
      </w:r>
      <w:r>
        <w:rPr/>
        <w:t>y</w:t>
      </w:r>
      <w:r>
        <w:rPr>
          <w:spacing w:val="-15"/>
        </w:rPr>
        <w:t> </w:t>
      </w:r>
      <w:r>
        <w:rPr/>
        <w:t>demás</w:t>
      </w:r>
      <w:r>
        <w:rPr>
          <w:spacing w:val="-16"/>
        </w:rPr>
        <w:t> </w:t>
      </w:r>
      <w:r>
        <w:rPr/>
        <w:t>derechos</w:t>
      </w:r>
      <w:r>
        <w:rPr>
          <w:spacing w:val="-15"/>
        </w:rPr>
        <w:t> </w:t>
      </w:r>
      <w:r>
        <w:rPr/>
        <w:t>de</w:t>
      </w:r>
      <w:r>
        <w:rPr>
          <w:spacing w:val="-15"/>
        </w:rPr>
        <w:t> </w:t>
      </w:r>
      <w:r>
        <w:rPr/>
        <w:t>la</w:t>
      </w:r>
      <w:r>
        <w:rPr>
          <w:spacing w:val="-15"/>
        </w:rPr>
        <w:t> </w:t>
      </w:r>
      <w:r>
        <w:rPr/>
        <w:t>personalidad,</w:t>
      </w:r>
      <w:r>
        <w:rPr>
          <w:spacing w:val="-16"/>
        </w:rPr>
        <w:t> </w:t>
      </w:r>
      <w:r>
        <w:rPr/>
        <w:t>así</w:t>
      </w:r>
      <w:r>
        <w:rPr>
          <w:spacing w:val="-15"/>
        </w:rPr>
        <w:t> </w:t>
      </w:r>
      <w:r>
        <w:rPr/>
        <w:t>como</w:t>
      </w:r>
      <w:r>
        <w:rPr>
          <w:spacing w:val="-15"/>
        </w:rPr>
        <w:t> </w:t>
      </w:r>
      <w:r>
        <w:rPr/>
        <w:t>la</w:t>
      </w:r>
      <w:r>
        <w:rPr>
          <w:spacing w:val="-16"/>
        </w:rPr>
        <w:t> </w:t>
      </w:r>
      <w:r>
        <w:rPr/>
        <w:t>defensa</w:t>
      </w:r>
      <w:r>
        <w:rPr>
          <w:spacing w:val="-15"/>
        </w:rPr>
        <w:t> </w:t>
      </w:r>
      <w:r>
        <w:rPr/>
        <w:t>de</w:t>
      </w:r>
      <w:r>
        <w:rPr>
          <w:spacing w:val="-15"/>
        </w:rPr>
        <w:t> </w:t>
      </w:r>
      <w:r>
        <w:rPr/>
        <w:t>su</w:t>
      </w:r>
      <w:r>
        <w:rPr>
          <w:spacing w:val="-15"/>
        </w:rPr>
        <w:t> </w:t>
      </w:r>
      <w:r>
        <w:rPr/>
        <w:t>libertad e igualdad con respecto al tratamiento automatizado o manual de los datos correspondientes a su persona o bienes. Atañe a todo el sector público, en cuanto a la necesidad de implementar procedimientos para el adecuado manejo de los datos personales. Fecha de vigencia 05/09/2011.</w:t>
      </w:r>
    </w:p>
    <w:p>
      <w:pPr>
        <w:pStyle w:val="BodyText"/>
        <w:spacing w:before="1"/>
      </w:pPr>
    </w:p>
    <w:p>
      <w:pPr>
        <w:spacing w:before="0"/>
        <w:ind w:left="1625" w:right="1601" w:firstLine="0"/>
        <w:jc w:val="both"/>
        <w:rPr>
          <w:sz w:val="22"/>
        </w:rPr>
      </w:pPr>
      <w:r>
        <w:rPr>
          <w:b/>
          <w:sz w:val="22"/>
        </w:rPr>
        <w:t>Ley</w:t>
      </w:r>
      <w:r>
        <w:rPr>
          <w:b/>
          <w:spacing w:val="-12"/>
          <w:sz w:val="22"/>
        </w:rPr>
        <w:t> </w:t>
      </w:r>
      <w:r>
        <w:rPr>
          <w:b/>
          <w:sz w:val="22"/>
        </w:rPr>
        <w:t>de</w:t>
      </w:r>
      <w:r>
        <w:rPr>
          <w:b/>
          <w:spacing w:val="-13"/>
          <w:sz w:val="22"/>
        </w:rPr>
        <w:t> </w:t>
      </w:r>
      <w:r>
        <w:rPr>
          <w:b/>
          <w:sz w:val="22"/>
        </w:rPr>
        <w:t>Regulación</w:t>
      </w:r>
      <w:r>
        <w:rPr>
          <w:b/>
          <w:spacing w:val="-13"/>
          <w:sz w:val="22"/>
        </w:rPr>
        <w:t> </w:t>
      </w:r>
      <w:r>
        <w:rPr>
          <w:b/>
          <w:sz w:val="22"/>
        </w:rPr>
        <w:t>del</w:t>
      </w:r>
      <w:r>
        <w:rPr>
          <w:b/>
          <w:spacing w:val="-13"/>
          <w:sz w:val="22"/>
        </w:rPr>
        <w:t> </w:t>
      </w:r>
      <w:r>
        <w:rPr>
          <w:b/>
          <w:sz w:val="22"/>
        </w:rPr>
        <w:t>Derecho</w:t>
      </w:r>
      <w:r>
        <w:rPr>
          <w:b/>
          <w:spacing w:val="-12"/>
          <w:sz w:val="22"/>
        </w:rPr>
        <w:t> </w:t>
      </w:r>
      <w:r>
        <w:rPr>
          <w:b/>
          <w:sz w:val="22"/>
        </w:rPr>
        <w:t>de</w:t>
      </w:r>
      <w:r>
        <w:rPr>
          <w:b/>
          <w:spacing w:val="-13"/>
          <w:sz w:val="22"/>
        </w:rPr>
        <w:t> </w:t>
      </w:r>
      <w:r>
        <w:rPr>
          <w:b/>
          <w:sz w:val="22"/>
        </w:rPr>
        <w:t>Petición</w:t>
      </w:r>
      <w:r>
        <w:rPr>
          <w:sz w:val="22"/>
        </w:rPr>
        <w:t>,</w:t>
      </w:r>
      <w:r>
        <w:rPr>
          <w:spacing w:val="-11"/>
          <w:sz w:val="22"/>
        </w:rPr>
        <w:t> </w:t>
      </w:r>
      <w:r>
        <w:rPr>
          <w:b/>
          <w:sz w:val="22"/>
        </w:rPr>
        <w:t>N°9097</w:t>
      </w:r>
      <w:r>
        <w:rPr>
          <w:sz w:val="22"/>
        </w:rPr>
        <w:t>.</w:t>
      </w:r>
      <w:r>
        <w:rPr>
          <w:spacing w:val="-11"/>
          <w:sz w:val="22"/>
        </w:rPr>
        <w:t> </w:t>
      </w:r>
      <w:r>
        <w:rPr>
          <w:sz w:val="22"/>
        </w:rPr>
        <w:t>Ejercer</w:t>
      </w:r>
      <w:r>
        <w:rPr>
          <w:spacing w:val="-11"/>
          <w:sz w:val="22"/>
        </w:rPr>
        <w:t> </w:t>
      </w:r>
      <w:r>
        <w:rPr>
          <w:sz w:val="22"/>
        </w:rPr>
        <w:t>el</w:t>
      </w:r>
      <w:r>
        <w:rPr>
          <w:spacing w:val="-13"/>
          <w:sz w:val="22"/>
        </w:rPr>
        <w:t> </w:t>
      </w:r>
      <w:r>
        <w:rPr>
          <w:sz w:val="22"/>
        </w:rPr>
        <w:t>derecho</w:t>
      </w:r>
      <w:r>
        <w:rPr>
          <w:spacing w:val="-15"/>
          <w:sz w:val="22"/>
        </w:rPr>
        <w:t> </w:t>
      </w:r>
      <w:r>
        <w:rPr>
          <w:sz w:val="22"/>
        </w:rPr>
        <w:t>de</w:t>
      </w:r>
      <w:r>
        <w:rPr>
          <w:spacing w:val="-13"/>
          <w:sz w:val="22"/>
        </w:rPr>
        <w:t> </w:t>
      </w:r>
      <w:r>
        <w:rPr>
          <w:sz w:val="22"/>
        </w:rPr>
        <w:t>petición</w:t>
      </w:r>
      <w:r>
        <w:rPr>
          <w:spacing w:val="-13"/>
          <w:sz w:val="22"/>
        </w:rPr>
        <w:t> </w:t>
      </w:r>
      <w:r>
        <w:rPr>
          <w:sz w:val="22"/>
        </w:rPr>
        <w:t>por parte de todo ciudadano, sin que pueda derivarse ningún perjuicio o sanción para el peticionario. </w:t>
      </w:r>
      <w:r>
        <w:rPr>
          <w:b/>
          <w:sz w:val="22"/>
        </w:rPr>
        <w:t>IMAS como receptor de peticiones del administrado</w:t>
      </w:r>
      <w:r>
        <w:rPr>
          <w:sz w:val="22"/>
        </w:rPr>
        <w:t>. Fecha de vigencia </w:t>
      </w:r>
      <w:r>
        <w:rPr>
          <w:spacing w:val="-2"/>
          <w:sz w:val="22"/>
        </w:rPr>
        <w:t>24/03/2012.</w:t>
      </w:r>
    </w:p>
    <w:p>
      <w:pPr>
        <w:pStyle w:val="BodyText"/>
      </w:pPr>
    </w:p>
    <w:p>
      <w:pPr>
        <w:spacing w:before="0"/>
        <w:ind w:left="1625" w:right="1601" w:firstLine="0"/>
        <w:jc w:val="both"/>
        <w:rPr>
          <w:sz w:val="22"/>
        </w:rPr>
      </w:pPr>
      <w:r>
        <w:rPr>
          <w:b/>
          <w:sz w:val="22"/>
        </w:rPr>
        <w:t>Ley de Tránsito por Vías Pública Terrestres y Seguridad Vial</w:t>
      </w:r>
      <w:r>
        <w:rPr>
          <w:sz w:val="22"/>
        </w:rPr>
        <w:t>, </w:t>
      </w:r>
      <w:r>
        <w:rPr>
          <w:b/>
          <w:sz w:val="22"/>
        </w:rPr>
        <w:t>N° 9078 y sus reformas</w:t>
      </w:r>
      <w:r>
        <w:rPr>
          <w:sz w:val="22"/>
        </w:rPr>
        <w:t>.</w:t>
      </w:r>
      <w:r>
        <w:rPr>
          <w:spacing w:val="-8"/>
          <w:sz w:val="22"/>
        </w:rPr>
        <w:t> </w:t>
      </w:r>
      <w:r>
        <w:rPr>
          <w:sz w:val="22"/>
        </w:rPr>
        <w:t>Regula</w:t>
      </w:r>
      <w:r>
        <w:rPr>
          <w:spacing w:val="-7"/>
          <w:sz w:val="22"/>
        </w:rPr>
        <w:t> </w:t>
      </w:r>
      <w:r>
        <w:rPr>
          <w:sz w:val="22"/>
        </w:rPr>
        <w:t>la</w:t>
      </w:r>
      <w:r>
        <w:rPr>
          <w:spacing w:val="-7"/>
          <w:sz w:val="22"/>
        </w:rPr>
        <w:t> </w:t>
      </w:r>
      <w:r>
        <w:rPr>
          <w:sz w:val="22"/>
        </w:rPr>
        <w:t>circulación,</w:t>
      </w:r>
      <w:r>
        <w:rPr>
          <w:spacing w:val="-6"/>
          <w:sz w:val="22"/>
        </w:rPr>
        <w:t> </w:t>
      </w:r>
      <w:r>
        <w:rPr>
          <w:sz w:val="22"/>
        </w:rPr>
        <w:t>por</w:t>
      </w:r>
      <w:r>
        <w:rPr>
          <w:spacing w:val="-9"/>
          <w:sz w:val="22"/>
        </w:rPr>
        <w:t> </w:t>
      </w:r>
      <w:r>
        <w:rPr>
          <w:sz w:val="22"/>
        </w:rPr>
        <w:t>las</w:t>
      </w:r>
      <w:r>
        <w:rPr>
          <w:spacing w:val="-7"/>
          <w:sz w:val="22"/>
        </w:rPr>
        <w:t> </w:t>
      </w:r>
      <w:r>
        <w:rPr>
          <w:sz w:val="22"/>
        </w:rPr>
        <w:t>vías</w:t>
      </w:r>
      <w:r>
        <w:rPr>
          <w:spacing w:val="-10"/>
          <w:sz w:val="22"/>
        </w:rPr>
        <w:t> </w:t>
      </w:r>
      <w:r>
        <w:rPr>
          <w:sz w:val="22"/>
        </w:rPr>
        <w:t>públicas</w:t>
      </w:r>
      <w:r>
        <w:rPr>
          <w:spacing w:val="-10"/>
          <w:sz w:val="22"/>
        </w:rPr>
        <w:t> </w:t>
      </w:r>
      <w:r>
        <w:rPr>
          <w:sz w:val="22"/>
        </w:rPr>
        <w:t>terrestres,</w:t>
      </w:r>
      <w:r>
        <w:rPr>
          <w:spacing w:val="-9"/>
          <w:sz w:val="22"/>
        </w:rPr>
        <w:t> </w:t>
      </w:r>
      <w:r>
        <w:rPr>
          <w:sz w:val="22"/>
        </w:rPr>
        <w:t>de</w:t>
      </w:r>
      <w:r>
        <w:rPr>
          <w:spacing w:val="-10"/>
          <w:sz w:val="22"/>
        </w:rPr>
        <w:t> </w:t>
      </w:r>
      <w:r>
        <w:rPr>
          <w:sz w:val="22"/>
        </w:rPr>
        <w:t>los</w:t>
      </w:r>
      <w:r>
        <w:rPr>
          <w:spacing w:val="-7"/>
          <w:sz w:val="22"/>
        </w:rPr>
        <w:t> </w:t>
      </w:r>
      <w:r>
        <w:rPr>
          <w:sz w:val="22"/>
        </w:rPr>
        <w:t>vehículos</w:t>
      </w:r>
      <w:r>
        <w:rPr>
          <w:spacing w:val="-7"/>
          <w:sz w:val="22"/>
        </w:rPr>
        <w:t> </w:t>
      </w:r>
      <w:r>
        <w:rPr>
          <w:sz w:val="22"/>
        </w:rPr>
        <w:t>y</w:t>
      </w:r>
      <w:r>
        <w:rPr>
          <w:spacing w:val="-9"/>
          <w:sz w:val="22"/>
        </w:rPr>
        <w:t> </w:t>
      </w:r>
      <w:r>
        <w:rPr>
          <w:sz w:val="22"/>
        </w:rPr>
        <w:t>de</w:t>
      </w:r>
      <w:r>
        <w:rPr>
          <w:spacing w:val="-10"/>
          <w:sz w:val="22"/>
        </w:rPr>
        <w:t> </w:t>
      </w:r>
      <w:r>
        <w:rPr>
          <w:sz w:val="22"/>
        </w:rPr>
        <w:t>las personas que</w:t>
      </w:r>
      <w:r>
        <w:rPr>
          <w:spacing w:val="-2"/>
          <w:sz w:val="22"/>
        </w:rPr>
        <w:t> </w:t>
      </w:r>
      <w:r>
        <w:rPr>
          <w:sz w:val="22"/>
        </w:rPr>
        <w:t>intervengan en el</w:t>
      </w:r>
      <w:r>
        <w:rPr>
          <w:spacing w:val="-1"/>
          <w:sz w:val="22"/>
        </w:rPr>
        <w:t> </w:t>
      </w:r>
      <w:r>
        <w:rPr>
          <w:sz w:val="22"/>
        </w:rPr>
        <w:t>sistema</w:t>
      </w:r>
      <w:r>
        <w:rPr>
          <w:spacing w:val="-2"/>
          <w:sz w:val="22"/>
        </w:rPr>
        <w:t> </w:t>
      </w:r>
      <w:r>
        <w:rPr>
          <w:sz w:val="22"/>
        </w:rPr>
        <w:t>de tránsito,</w:t>
      </w:r>
      <w:r>
        <w:rPr>
          <w:spacing w:val="-1"/>
          <w:sz w:val="22"/>
        </w:rPr>
        <w:t> </w:t>
      </w:r>
      <w:r>
        <w:rPr>
          <w:sz w:val="22"/>
        </w:rPr>
        <w:t>así</w:t>
      </w:r>
      <w:r>
        <w:rPr>
          <w:spacing w:val="-1"/>
          <w:sz w:val="22"/>
        </w:rPr>
        <w:t> </w:t>
      </w:r>
      <w:r>
        <w:rPr>
          <w:sz w:val="22"/>
        </w:rPr>
        <w:t>como, lo</w:t>
      </w:r>
      <w:r>
        <w:rPr>
          <w:spacing w:val="-2"/>
          <w:sz w:val="22"/>
        </w:rPr>
        <w:t> </w:t>
      </w:r>
      <w:r>
        <w:rPr>
          <w:sz w:val="22"/>
        </w:rPr>
        <w:t>regulado</w:t>
      </w:r>
      <w:r>
        <w:rPr>
          <w:spacing w:val="-2"/>
          <w:sz w:val="22"/>
        </w:rPr>
        <w:t> </w:t>
      </w:r>
      <w:r>
        <w:rPr>
          <w:sz w:val="22"/>
        </w:rPr>
        <w:t>por el</w:t>
      </w:r>
      <w:r>
        <w:rPr>
          <w:spacing w:val="-1"/>
          <w:sz w:val="22"/>
        </w:rPr>
        <w:t> </w:t>
      </w:r>
      <w:r>
        <w:rPr>
          <w:sz w:val="22"/>
        </w:rPr>
        <w:t>artículo</w:t>
      </w:r>
    </w:p>
    <w:p>
      <w:pPr>
        <w:pStyle w:val="BodyText"/>
        <w:ind w:left="1625" w:right="1604"/>
        <w:jc w:val="both"/>
      </w:pPr>
      <w:r>
        <w:rPr/>
        <w:t>207 de la presente ley. Norma aplicable a choferes del IMAS. Fecha de vigencia </w:t>
      </w:r>
      <w:r>
        <w:rPr>
          <w:spacing w:val="-2"/>
        </w:rPr>
        <w:t>26/10/2012.</w:t>
      </w:r>
    </w:p>
    <w:p>
      <w:pPr>
        <w:spacing w:before="252"/>
        <w:ind w:left="1625" w:right="1606" w:firstLine="0"/>
        <w:jc w:val="both"/>
        <w:rPr>
          <w:sz w:val="22"/>
        </w:rPr>
      </w:pPr>
      <w:r>
        <w:rPr>
          <w:b/>
          <w:sz w:val="22"/>
        </w:rPr>
        <w:t>Ley Contra la Trata de Personas y Creación de la Coalición Nacional contra el Tráfico Ilícito de Migrantes y la Trata de Personas (CONATT), N°9095 y sus reformas. </w:t>
      </w:r>
      <w:r>
        <w:rPr>
          <w:sz w:val="22"/>
        </w:rPr>
        <w:t>Su objetivo principal es fortalecer y actualizar el marco jurídico para combatir la trata de personas, el tráfico ilícito de migrantes y la explotación de personas, especialmente de niños, niñas y adolescentes. Fecha de vigencia:</w:t>
      </w:r>
      <w:r>
        <w:rPr>
          <w:spacing w:val="40"/>
          <w:sz w:val="22"/>
        </w:rPr>
        <w:t> </w:t>
      </w:r>
      <w:r>
        <w:rPr>
          <w:sz w:val="22"/>
        </w:rPr>
        <w:t>08/02/2013.</w:t>
      </w:r>
    </w:p>
    <w:p>
      <w:pPr>
        <w:pStyle w:val="BodyText"/>
        <w:spacing w:before="2"/>
      </w:pPr>
    </w:p>
    <w:p>
      <w:pPr>
        <w:pStyle w:val="BodyText"/>
        <w:ind w:left="1625" w:right="1603"/>
        <w:jc w:val="both"/>
      </w:pPr>
      <w:r>
        <w:rPr>
          <w:b/>
        </w:rPr>
        <w:t>Ley de Creación del SINIRUBE</w:t>
      </w:r>
      <w:r>
        <w:rPr/>
        <w:t>, </w:t>
      </w:r>
      <w:r>
        <w:rPr>
          <w:b/>
        </w:rPr>
        <w:t>N° 9137</w:t>
      </w:r>
      <w:r>
        <w:rPr/>
        <w:t>. Crea el Sistema Nacional de Información y Registro</w:t>
      </w:r>
      <w:r>
        <w:rPr>
          <w:spacing w:val="-7"/>
        </w:rPr>
        <w:t> </w:t>
      </w:r>
      <w:r>
        <w:rPr/>
        <w:t>Único</w:t>
      </w:r>
      <w:r>
        <w:rPr>
          <w:spacing w:val="-7"/>
        </w:rPr>
        <w:t> </w:t>
      </w:r>
      <w:r>
        <w:rPr/>
        <w:t>de</w:t>
      </w:r>
      <w:r>
        <w:rPr>
          <w:spacing w:val="-8"/>
        </w:rPr>
        <w:t> </w:t>
      </w:r>
      <w:r>
        <w:rPr/>
        <w:t>Beneficiaros</w:t>
      </w:r>
      <w:r>
        <w:rPr>
          <w:spacing w:val="-7"/>
        </w:rPr>
        <w:t> </w:t>
      </w:r>
      <w:r>
        <w:rPr/>
        <w:t>del</w:t>
      </w:r>
      <w:r>
        <w:rPr>
          <w:spacing w:val="-8"/>
        </w:rPr>
        <w:t> </w:t>
      </w:r>
      <w:r>
        <w:rPr/>
        <w:t>Estado,</w:t>
      </w:r>
      <w:r>
        <w:rPr>
          <w:spacing w:val="-6"/>
        </w:rPr>
        <w:t> </w:t>
      </w:r>
      <w:r>
        <w:rPr/>
        <w:t>Órgano</w:t>
      </w:r>
      <w:r>
        <w:rPr>
          <w:spacing w:val="-7"/>
        </w:rPr>
        <w:t> </w:t>
      </w:r>
      <w:r>
        <w:rPr/>
        <w:t>adscrito</w:t>
      </w:r>
      <w:r>
        <w:rPr>
          <w:spacing w:val="-7"/>
        </w:rPr>
        <w:t> </w:t>
      </w:r>
      <w:r>
        <w:rPr/>
        <w:t>al</w:t>
      </w:r>
      <w:r>
        <w:rPr>
          <w:spacing w:val="-11"/>
        </w:rPr>
        <w:t> </w:t>
      </w:r>
      <w:r>
        <w:rPr/>
        <w:t>IMAS.</w:t>
      </w:r>
      <w:r>
        <w:rPr>
          <w:spacing w:val="-6"/>
        </w:rPr>
        <w:t> </w:t>
      </w:r>
      <w:r>
        <w:rPr/>
        <w:t>Conforma</w:t>
      </w:r>
      <w:r>
        <w:rPr>
          <w:spacing w:val="-7"/>
        </w:rPr>
        <w:t> </w:t>
      </w:r>
      <w:r>
        <w:rPr/>
        <w:t>una</w:t>
      </w:r>
      <w:r>
        <w:rPr>
          <w:spacing w:val="-10"/>
        </w:rPr>
        <w:t> </w:t>
      </w:r>
      <w:r>
        <w:rPr/>
        <w:t>base de datos actualizada con la información de todas las personas usuarias que requieran subsidios económicos por encontrarse en situación de pobreza o pobreza extrema, con</w:t>
      </w:r>
    </w:p>
    <w:p>
      <w:pPr>
        <w:pStyle w:val="BodyText"/>
        <w:spacing w:after="0"/>
        <w:jc w:val="both"/>
        <w:sectPr>
          <w:pgSz w:w="12240" w:h="15840"/>
          <w:pgMar w:header="0" w:footer="1576" w:top="1000" w:bottom="1760" w:left="360" w:right="0"/>
        </w:sectPr>
      </w:pPr>
    </w:p>
    <w:p>
      <w:pPr>
        <w:pStyle w:val="BodyText"/>
        <w:spacing w:before="77"/>
        <w:ind w:left="1625" w:right="1602"/>
        <w:jc w:val="both"/>
      </w:pPr>
      <w:r>
        <w:rPr/>
        <w:t>el fin de que se dé una distribución equitativa de los recursos. Fecha de vigencia </w:t>
      </w:r>
      <w:r>
        <w:rPr>
          <w:spacing w:val="-2"/>
        </w:rPr>
        <w:t>05/09/2013.</w:t>
      </w:r>
    </w:p>
    <w:p>
      <w:pPr>
        <w:pStyle w:val="BodyText"/>
      </w:pPr>
    </w:p>
    <w:p>
      <w:pPr>
        <w:pStyle w:val="BodyText"/>
        <w:ind w:left="1625" w:right="1601"/>
        <w:jc w:val="both"/>
      </w:pPr>
      <w:r>
        <w:rPr>
          <w:b/>
        </w:rPr>
        <w:t>Ley</w:t>
      </w:r>
      <w:r>
        <w:rPr>
          <w:b/>
          <w:spacing w:val="-2"/>
        </w:rPr>
        <w:t> </w:t>
      </w:r>
      <w:r>
        <w:rPr>
          <w:b/>
        </w:rPr>
        <w:t>de</w:t>
      </w:r>
      <w:r>
        <w:rPr>
          <w:b/>
          <w:spacing w:val="-4"/>
        </w:rPr>
        <w:t> </w:t>
      </w:r>
      <w:r>
        <w:rPr>
          <w:b/>
        </w:rPr>
        <w:t>Creación</w:t>
      </w:r>
      <w:r>
        <w:rPr>
          <w:b/>
          <w:spacing w:val="-4"/>
        </w:rPr>
        <w:t> </w:t>
      </w:r>
      <w:r>
        <w:rPr>
          <w:b/>
        </w:rPr>
        <w:t>de</w:t>
      </w:r>
      <w:r>
        <w:rPr>
          <w:b/>
          <w:spacing w:val="-7"/>
        </w:rPr>
        <w:t> </w:t>
      </w:r>
      <w:r>
        <w:rPr>
          <w:b/>
        </w:rPr>
        <w:t>la</w:t>
      </w:r>
      <w:r>
        <w:rPr>
          <w:b/>
          <w:spacing w:val="-6"/>
        </w:rPr>
        <w:t> </w:t>
      </w:r>
      <w:r>
        <w:rPr>
          <w:b/>
        </w:rPr>
        <w:t>Red</w:t>
      </w:r>
      <w:r>
        <w:rPr>
          <w:b/>
          <w:spacing w:val="-2"/>
        </w:rPr>
        <w:t> </w:t>
      </w:r>
      <w:r>
        <w:rPr>
          <w:b/>
        </w:rPr>
        <w:t>Nacional de</w:t>
      </w:r>
      <w:r>
        <w:rPr>
          <w:b/>
          <w:spacing w:val="-5"/>
        </w:rPr>
        <w:t> </w:t>
      </w:r>
      <w:r>
        <w:rPr>
          <w:b/>
        </w:rPr>
        <w:t>Cuido</w:t>
      </w:r>
      <w:r>
        <w:rPr/>
        <w:t>,</w:t>
      </w:r>
      <w:r>
        <w:rPr>
          <w:spacing w:val="-3"/>
        </w:rPr>
        <w:t> </w:t>
      </w:r>
      <w:r>
        <w:rPr>
          <w:b/>
        </w:rPr>
        <w:t>N</w:t>
      </w:r>
      <w:r>
        <w:rPr>
          <w:b/>
          <w:i/>
        </w:rPr>
        <w:t>°</w:t>
      </w:r>
      <w:r>
        <w:rPr>
          <w:b/>
          <w:i/>
          <w:spacing w:val="-3"/>
        </w:rPr>
        <w:t> </w:t>
      </w:r>
      <w:r>
        <w:rPr>
          <w:b/>
        </w:rPr>
        <w:t>9220</w:t>
      </w:r>
      <w:r>
        <w:rPr>
          <w:b/>
          <w:spacing w:val="-4"/>
        </w:rPr>
        <w:t> </w:t>
      </w:r>
      <w:r>
        <w:rPr>
          <w:b/>
        </w:rPr>
        <w:t>y</w:t>
      </w:r>
      <w:r>
        <w:rPr>
          <w:b/>
          <w:spacing w:val="-4"/>
        </w:rPr>
        <w:t> </w:t>
      </w:r>
      <w:r>
        <w:rPr>
          <w:b/>
        </w:rPr>
        <w:t>sus</w:t>
      </w:r>
      <w:r>
        <w:rPr>
          <w:b/>
          <w:spacing w:val="-4"/>
        </w:rPr>
        <w:t> </w:t>
      </w:r>
      <w:r>
        <w:rPr>
          <w:b/>
        </w:rPr>
        <w:t>reformas</w:t>
      </w:r>
      <w:r>
        <w:rPr/>
        <w:t>. Establece</w:t>
      </w:r>
      <w:r>
        <w:rPr>
          <w:spacing w:val="-4"/>
        </w:rPr>
        <w:t> </w:t>
      </w:r>
      <w:r>
        <w:rPr/>
        <w:t>un sistema de cuido y desarrollo infantil de acceso público, universal y de financiamiento solidario que articule las diferentes modalidades de prestación pública y privada de servicios</w:t>
      </w:r>
      <w:r>
        <w:rPr>
          <w:spacing w:val="-12"/>
        </w:rPr>
        <w:t> </w:t>
      </w:r>
      <w:r>
        <w:rPr/>
        <w:t>en</w:t>
      </w:r>
      <w:r>
        <w:rPr>
          <w:spacing w:val="-15"/>
        </w:rPr>
        <w:t> </w:t>
      </w:r>
      <w:r>
        <w:rPr/>
        <w:t>materia</w:t>
      </w:r>
      <w:r>
        <w:rPr>
          <w:spacing w:val="-12"/>
        </w:rPr>
        <w:t> </w:t>
      </w:r>
      <w:r>
        <w:rPr/>
        <w:t>de</w:t>
      </w:r>
      <w:r>
        <w:rPr>
          <w:spacing w:val="-15"/>
        </w:rPr>
        <w:t> </w:t>
      </w:r>
      <w:r>
        <w:rPr/>
        <w:t>cuido</w:t>
      </w:r>
      <w:r>
        <w:rPr>
          <w:spacing w:val="-13"/>
        </w:rPr>
        <w:t> </w:t>
      </w:r>
      <w:r>
        <w:rPr/>
        <w:t>y</w:t>
      </w:r>
      <w:r>
        <w:rPr>
          <w:spacing w:val="-12"/>
        </w:rPr>
        <w:t> </w:t>
      </w:r>
      <w:r>
        <w:rPr/>
        <w:t>desarrollo</w:t>
      </w:r>
      <w:r>
        <w:rPr>
          <w:spacing w:val="-12"/>
        </w:rPr>
        <w:t> </w:t>
      </w:r>
      <w:r>
        <w:rPr/>
        <w:t>infantil,</w:t>
      </w:r>
      <w:r>
        <w:rPr>
          <w:spacing w:val="-13"/>
        </w:rPr>
        <w:t> </w:t>
      </w:r>
      <w:r>
        <w:rPr/>
        <w:t>para</w:t>
      </w:r>
      <w:r>
        <w:rPr>
          <w:spacing w:val="-12"/>
        </w:rPr>
        <w:t> </w:t>
      </w:r>
      <w:r>
        <w:rPr/>
        <w:t>fortalecer</w:t>
      </w:r>
      <w:r>
        <w:rPr>
          <w:spacing w:val="-11"/>
        </w:rPr>
        <w:t> </w:t>
      </w:r>
      <w:r>
        <w:rPr/>
        <w:t>y</w:t>
      </w:r>
      <w:r>
        <w:rPr>
          <w:spacing w:val="-10"/>
        </w:rPr>
        <w:t> </w:t>
      </w:r>
      <w:r>
        <w:rPr/>
        <w:t>ampliar</w:t>
      </w:r>
      <w:r>
        <w:rPr>
          <w:spacing w:val="-14"/>
        </w:rPr>
        <w:t> </w:t>
      </w:r>
      <w:r>
        <w:rPr/>
        <w:t>las</w:t>
      </w:r>
      <w:r>
        <w:rPr>
          <w:spacing w:val="-12"/>
        </w:rPr>
        <w:t> </w:t>
      </w:r>
      <w:r>
        <w:rPr/>
        <w:t>alternativas de atención infantil integral. El IMAS forma parte de la Comisión Consultiva de la REDCUDI, y otorga subsidios a los menores usuarios de los Centros de Cuido y Desarrollo Infantil (CECUDI). Fecha de vigencia 24/04/2014.</w:t>
      </w:r>
    </w:p>
    <w:p>
      <w:pPr>
        <w:spacing w:before="253"/>
        <w:ind w:left="1625" w:right="1601" w:firstLine="0"/>
        <w:jc w:val="both"/>
        <w:rPr>
          <w:sz w:val="22"/>
        </w:rPr>
      </w:pPr>
      <w:r>
        <w:rPr>
          <w:b/>
          <w:sz w:val="22"/>
        </w:rPr>
        <w:t>Ley</w:t>
      </w:r>
      <w:r>
        <w:rPr>
          <w:b/>
          <w:spacing w:val="-12"/>
          <w:sz w:val="22"/>
        </w:rPr>
        <w:t> </w:t>
      </w:r>
      <w:r>
        <w:rPr>
          <w:b/>
          <w:sz w:val="22"/>
        </w:rPr>
        <w:t>de</w:t>
      </w:r>
      <w:r>
        <w:rPr>
          <w:b/>
          <w:spacing w:val="-13"/>
          <w:sz w:val="22"/>
        </w:rPr>
        <w:t> </w:t>
      </w:r>
      <w:r>
        <w:rPr>
          <w:b/>
          <w:sz w:val="22"/>
        </w:rPr>
        <w:t>Creación</w:t>
      </w:r>
      <w:r>
        <w:rPr>
          <w:b/>
          <w:spacing w:val="-15"/>
          <w:sz w:val="22"/>
        </w:rPr>
        <w:t> </w:t>
      </w:r>
      <w:r>
        <w:rPr>
          <w:b/>
          <w:sz w:val="22"/>
        </w:rPr>
        <w:t>del</w:t>
      </w:r>
      <w:r>
        <w:rPr>
          <w:b/>
          <w:spacing w:val="-13"/>
          <w:sz w:val="22"/>
        </w:rPr>
        <w:t> </w:t>
      </w:r>
      <w:r>
        <w:rPr>
          <w:b/>
          <w:sz w:val="22"/>
        </w:rPr>
        <w:t>Consejo</w:t>
      </w:r>
      <w:r>
        <w:rPr>
          <w:b/>
          <w:spacing w:val="-12"/>
          <w:sz w:val="22"/>
        </w:rPr>
        <w:t> </w:t>
      </w:r>
      <w:r>
        <w:rPr>
          <w:b/>
          <w:sz w:val="22"/>
        </w:rPr>
        <w:t>Nacional</w:t>
      </w:r>
      <w:r>
        <w:rPr>
          <w:b/>
          <w:spacing w:val="-11"/>
          <w:sz w:val="22"/>
        </w:rPr>
        <w:t> </w:t>
      </w:r>
      <w:r>
        <w:rPr>
          <w:b/>
          <w:sz w:val="22"/>
        </w:rPr>
        <w:t>de</w:t>
      </w:r>
      <w:r>
        <w:rPr>
          <w:b/>
          <w:spacing w:val="-15"/>
          <w:sz w:val="22"/>
        </w:rPr>
        <w:t> </w:t>
      </w:r>
      <w:r>
        <w:rPr>
          <w:b/>
          <w:sz w:val="22"/>
        </w:rPr>
        <w:t>Personas</w:t>
      </w:r>
      <w:r>
        <w:rPr>
          <w:b/>
          <w:spacing w:val="-13"/>
          <w:sz w:val="22"/>
        </w:rPr>
        <w:t> </w:t>
      </w:r>
      <w:r>
        <w:rPr>
          <w:b/>
          <w:sz w:val="22"/>
        </w:rPr>
        <w:t>con</w:t>
      </w:r>
      <w:r>
        <w:rPr>
          <w:b/>
          <w:spacing w:val="-12"/>
          <w:sz w:val="22"/>
        </w:rPr>
        <w:t> </w:t>
      </w:r>
      <w:r>
        <w:rPr>
          <w:b/>
          <w:sz w:val="22"/>
        </w:rPr>
        <w:t>Discapacidad</w:t>
      </w:r>
      <w:r>
        <w:rPr>
          <w:sz w:val="22"/>
        </w:rPr>
        <w:t>,</w:t>
      </w:r>
      <w:r>
        <w:rPr>
          <w:spacing w:val="-10"/>
          <w:sz w:val="22"/>
        </w:rPr>
        <w:t> </w:t>
      </w:r>
      <w:r>
        <w:rPr>
          <w:b/>
          <w:sz w:val="22"/>
        </w:rPr>
        <w:t>N°9303</w:t>
      </w:r>
      <w:r>
        <w:rPr>
          <w:b/>
          <w:spacing w:val="-15"/>
          <w:sz w:val="22"/>
        </w:rPr>
        <w:t> </w:t>
      </w:r>
      <w:r>
        <w:rPr>
          <w:sz w:val="22"/>
        </w:rPr>
        <w:t>y</w:t>
      </w:r>
      <w:r>
        <w:rPr>
          <w:spacing w:val="-12"/>
          <w:sz w:val="22"/>
        </w:rPr>
        <w:t> </w:t>
      </w:r>
      <w:r>
        <w:rPr>
          <w:b/>
          <w:sz w:val="22"/>
        </w:rPr>
        <w:t>sus reformas.</w:t>
      </w:r>
      <w:r>
        <w:rPr>
          <w:b/>
          <w:spacing w:val="-3"/>
          <w:sz w:val="22"/>
        </w:rPr>
        <w:t> </w:t>
      </w:r>
      <w:r>
        <w:rPr>
          <w:sz w:val="22"/>
        </w:rPr>
        <w:t>Crea</w:t>
      </w:r>
      <w:r>
        <w:rPr>
          <w:spacing w:val="-2"/>
          <w:sz w:val="22"/>
        </w:rPr>
        <w:t> </w:t>
      </w:r>
      <w:r>
        <w:rPr>
          <w:sz w:val="22"/>
        </w:rPr>
        <w:t>el</w:t>
      </w:r>
      <w:r>
        <w:rPr>
          <w:spacing w:val="-5"/>
          <w:sz w:val="22"/>
        </w:rPr>
        <w:t> </w:t>
      </w:r>
      <w:r>
        <w:rPr>
          <w:sz w:val="22"/>
        </w:rPr>
        <w:t>CONAPDIS</w:t>
      </w:r>
      <w:r>
        <w:rPr>
          <w:spacing w:val="-2"/>
          <w:sz w:val="22"/>
        </w:rPr>
        <w:t> </w:t>
      </w:r>
      <w:r>
        <w:rPr>
          <w:sz w:val="22"/>
        </w:rPr>
        <w:t>como</w:t>
      </w:r>
      <w:r>
        <w:rPr>
          <w:spacing w:val="-4"/>
          <w:sz w:val="22"/>
        </w:rPr>
        <w:t> </w:t>
      </w:r>
      <w:r>
        <w:rPr>
          <w:sz w:val="22"/>
        </w:rPr>
        <w:t>rector</w:t>
      </w:r>
      <w:r>
        <w:rPr>
          <w:spacing w:val="-3"/>
          <w:sz w:val="22"/>
        </w:rPr>
        <w:t> </w:t>
      </w:r>
      <w:r>
        <w:rPr>
          <w:sz w:val="22"/>
        </w:rPr>
        <w:t>en</w:t>
      </w:r>
      <w:r>
        <w:rPr>
          <w:spacing w:val="-2"/>
          <w:sz w:val="22"/>
        </w:rPr>
        <w:t> </w:t>
      </w:r>
      <w:r>
        <w:rPr>
          <w:sz w:val="22"/>
        </w:rPr>
        <w:t>discapacidad.</w:t>
      </w:r>
      <w:r>
        <w:rPr>
          <w:spacing w:val="-1"/>
          <w:sz w:val="22"/>
        </w:rPr>
        <w:t> </w:t>
      </w:r>
      <w:r>
        <w:rPr>
          <w:sz w:val="22"/>
        </w:rPr>
        <w:t>El</w:t>
      </w:r>
      <w:r>
        <w:rPr>
          <w:spacing w:val="-5"/>
          <w:sz w:val="22"/>
        </w:rPr>
        <w:t> </w:t>
      </w:r>
      <w:r>
        <w:rPr>
          <w:sz w:val="22"/>
        </w:rPr>
        <w:t>IMAS</w:t>
      </w:r>
      <w:r>
        <w:rPr>
          <w:spacing w:val="-5"/>
          <w:sz w:val="22"/>
        </w:rPr>
        <w:t> </w:t>
      </w:r>
      <w:r>
        <w:rPr>
          <w:sz w:val="22"/>
        </w:rPr>
        <w:t>es</w:t>
      </w:r>
      <w:r>
        <w:rPr>
          <w:spacing w:val="-2"/>
          <w:sz w:val="22"/>
        </w:rPr>
        <w:t> </w:t>
      </w:r>
      <w:r>
        <w:rPr>
          <w:sz w:val="22"/>
        </w:rPr>
        <w:t>integrante</w:t>
      </w:r>
      <w:r>
        <w:rPr>
          <w:spacing w:val="-2"/>
          <w:sz w:val="22"/>
        </w:rPr>
        <w:t> </w:t>
      </w:r>
      <w:r>
        <w:rPr>
          <w:sz w:val="22"/>
        </w:rPr>
        <w:t>de</w:t>
      </w:r>
      <w:r>
        <w:rPr>
          <w:spacing w:val="-4"/>
          <w:sz w:val="22"/>
        </w:rPr>
        <w:t> </w:t>
      </w:r>
      <w:r>
        <w:rPr>
          <w:sz w:val="22"/>
        </w:rPr>
        <w:t>la Junta Directiva del CONAPDIS. Fecha de vigencia 26/05/2015.</w:t>
      </w:r>
    </w:p>
    <w:p>
      <w:pPr>
        <w:pStyle w:val="BodyText"/>
      </w:pPr>
    </w:p>
    <w:p>
      <w:pPr>
        <w:pStyle w:val="BodyText"/>
        <w:ind w:left="1625" w:right="1602"/>
        <w:jc w:val="both"/>
      </w:pPr>
      <w:r>
        <w:rPr>
          <w:b/>
        </w:rPr>
        <w:t>Ley de Impuesto a los moteles y lugares afines, N° 9326 y sus reformas. Crea un impuesto</w:t>
      </w:r>
      <w:r>
        <w:rPr>
          <w:b/>
          <w:spacing w:val="-9"/>
        </w:rPr>
        <w:t> </w:t>
      </w:r>
      <w:r>
        <w:rPr>
          <w:b/>
        </w:rPr>
        <w:t>a</w:t>
      </w:r>
      <w:r>
        <w:rPr>
          <w:b/>
          <w:spacing w:val="-11"/>
        </w:rPr>
        <w:t> </w:t>
      </w:r>
      <w:r>
        <w:rPr>
          <w:b/>
        </w:rPr>
        <w:t>favor</w:t>
      </w:r>
      <w:r>
        <w:rPr>
          <w:b/>
          <w:spacing w:val="-8"/>
        </w:rPr>
        <w:t> </w:t>
      </w:r>
      <w:r>
        <w:rPr>
          <w:b/>
        </w:rPr>
        <w:t>del</w:t>
      </w:r>
      <w:r>
        <w:rPr>
          <w:b/>
          <w:spacing w:val="-10"/>
        </w:rPr>
        <w:t> </w:t>
      </w:r>
      <w:r>
        <w:rPr>
          <w:b/>
        </w:rPr>
        <w:t>Instituto</w:t>
      </w:r>
      <w:r>
        <w:rPr>
          <w:b/>
          <w:spacing w:val="-11"/>
        </w:rPr>
        <w:t> </w:t>
      </w:r>
      <w:r>
        <w:rPr>
          <w:b/>
        </w:rPr>
        <w:t>Mixto</w:t>
      </w:r>
      <w:r>
        <w:rPr>
          <w:b/>
          <w:spacing w:val="-8"/>
        </w:rPr>
        <w:t> </w:t>
      </w:r>
      <w:r>
        <w:rPr>
          <w:b/>
        </w:rPr>
        <w:t>de</w:t>
      </w:r>
      <w:r>
        <w:rPr>
          <w:b/>
          <w:spacing w:val="-14"/>
        </w:rPr>
        <w:t> </w:t>
      </w:r>
      <w:r>
        <w:rPr>
          <w:b/>
        </w:rPr>
        <w:t>Ayuda</w:t>
      </w:r>
      <w:r>
        <w:rPr>
          <w:b/>
          <w:spacing w:val="-12"/>
        </w:rPr>
        <w:t> </w:t>
      </w:r>
      <w:r>
        <w:rPr>
          <w:b/>
        </w:rPr>
        <w:t>Social</w:t>
      </w:r>
      <w:r>
        <w:rPr>
          <w:b/>
          <w:spacing w:val="-10"/>
        </w:rPr>
        <w:t> </w:t>
      </w:r>
      <w:r>
        <w:rPr>
          <w:b/>
        </w:rPr>
        <w:t>(IMAS</w:t>
      </w:r>
      <w:r>
        <w:rPr/>
        <w:t>).</w:t>
      </w:r>
      <w:r>
        <w:rPr>
          <w:spacing w:val="-7"/>
        </w:rPr>
        <w:t> </w:t>
      </w:r>
      <w:r>
        <w:rPr/>
        <w:t>Los</w:t>
      </w:r>
      <w:r>
        <w:rPr>
          <w:spacing w:val="-11"/>
        </w:rPr>
        <w:t> </w:t>
      </w:r>
      <w:r>
        <w:rPr/>
        <w:t>negocios</w:t>
      </w:r>
      <w:r>
        <w:rPr>
          <w:spacing w:val="-9"/>
        </w:rPr>
        <w:t> </w:t>
      </w:r>
      <w:r>
        <w:rPr/>
        <w:t>calificados y autorizados por dicho Instituto, que tengan la propiedad o ejerzan el derecho de explotación</w:t>
      </w:r>
      <w:r>
        <w:rPr>
          <w:spacing w:val="-13"/>
        </w:rPr>
        <w:t> </w:t>
      </w:r>
      <w:r>
        <w:rPr/>
        <w:t>comercial,</w:t>
      </w:r>
      <w:r>
        <w:rPr>
          <w:spacing w:val="-12"/>
        </w:rPr>
        <w:t> </w:t>
      </w:r>
      <w:r>
        <w:rPr/>
        <w:t>uso</w:t>
      </w:r>
      <w:r>
        <w:rPr>
          <w:spacing w:val="-11"/>
        </w:rPr>
        <w:t> </w:t>
      </w:r>
      <w:r>
        <w:rPr/>
        <w:t>o</w:t>
      </w:r>
      <w:r>
        <w:rPr>
          <w:spacing w:val="-14"/>
        </w:rPr>
        <w:t> </w:t>
      </w:r>
      <w:r>
        <w:rPr/>
        <w:t>disfrute</w:t>
      </w:r>
      <w:r>
        <w:rPr>
          <w:spacing w:val="-14"/>
        </w:rPr>
        <w:t> </w:t>
      </w:r>
      <w:r>
        <w:rPr/>
        <w:t>de</w:t>
      </w:r>
      <w:r>
        <w:rPr>
          <w:spacing w:val="-14"/>
        </w:rPr>
        <w:t> </w:t>
      </w:r>
      <w:r>
        <w:rPr/>
        <w:t>un</w:t>
      </w:r>
      <w:r>
        <w:rPr>
          <w:spacing w:val="-14"/>
        </w:rPr>
        <w:t> </w:t>
      </w:r>
      <w:r>
        <w:rPr/>
        <w:t>bien</w:t>
      </w:r>
      <w:r>
        <w:rPr>
          <w:spacing w:val="-12"/>
        </w:rPr>
        <w:t> </w:t>
      </w:r>
      <w:r>
        <w:rPr/>
        <w:t>o</w:t>
      </w:r>
      <w:r>
        <w:rPr>
          <w:spacing w:val="-16"/>
        </w:rPr>
        <w:t> </w:t>
      </w:r>
      <w:r>
        <w:rPr/>
        <w:t>bienes</w:t>
      </w:r>
      <w:r>
        <w:rPr>
          <w:spacing w:val="-11"/>
        </w:rPr>
        <w:t> </w:t>
      </w:r>
      <w:r>
        <w:rPr/>
        <w:t>utilizados</w:t>
      </w:r>
      <w:r>
        <w:rPr>
          <w:spacing w:val="-11"/>
        </w:rPr>
        <w:t> </w:t>
      </w:r>
      <w:r>
        <w:rPr/>
        <w:t>como</w:t>
      </w:r>
      <w:r>
        <w:rPr>
          <w:spacing w:val="-16"/>
        </w:rPr>
        <w:t> </w:t>
      </w:r>
      <w:r>
        <w:rPr/>
        <w:t>moteles,</w:t>
      </w:r>
      <w:r>
        <w:rPr>
          <w:spacing w:val="-13"/>
        </w:rPr>
        <w:t> </w:t>
      </w:r>
      <w:r>
        <w:rPr/>
        <w:t>hoteles sin registro, hoteles de paso, casas de alojamiento ocasional, salas de masaje, "Night Clubs" con servicio de habitación y similares, en los que se descanse y se realice la reunión íntima por un plazo determinado, mediante el pago de un precio establecido. Además, se faculta al IMAS para que califique los establecimientos en tres categorías, según el número de habitaciones y la calidad de los servicios complementarios que ofrezcan; asimismo, podrá incluir en esas categorías los establecimientos que, aun cuando tengan registro de hospedaje, lleven a cabo actividades que a juicio del IMAS puedan incluirse en la calificación antes mencionada. Para operar esos negocios, de previo, deberán inscribirse y ser calificados por el IMAS. Fecha de vigencia 27/02/2016.</w:t>
      </w:r>
    </w:p>
    <w:p>
      <w:pPr>
        <w:pStyle w:val="BodyText"/>
        <w:spacing w:before="2"/>
      </w:pPr>
    </w:p>
    <w:p>
      <w:pPr>
        <w:spacing w:before="0"/>
        <w:ind w:left="1625" w:right="1603" w:firstLine="0"/>
        <w:jc w:val="both"/>
        <w:rPr>
          <w:sz w:val="22"/>
        </w:rPr>
      </w:pPr>
      <w:r>
        <w:rPr>
          <w:b/>
          <w:sz w:val="22"/>
        </w:rPr>
        <w:t>Ley para la Promoción de la Autonomía Personal de las Personas con Discapacidad</w:t>
      </w:r>
      <w:r>
        <w:rPr>
          <w:sz w:val="22"/>
        </w:rPr>
        <w:t>, </w:t>
      </w:r>
      <w:r>
        <w:rPr>
          <w:b/>
          <w:sz w:val="22"/>
        </w:rPr>
        <w:t>N° 9379</w:t>
      </w:r>
      <w:r>
        <w:rPr>
          <w:sz w:val="22"/>
        </w:rPr>
        <w:t>. Promueve y asegura a las personas con discapacidad, el ejercicio pleno y en igualdad de condiciones con los demás del</w:t>
      </w:r>
      <w:r>
        <w:rPr>
          <w:spacing w:val="-2"/>
          <w:sz w:val="22"/>
        </w:rPr>
        <w:t> </w:t>
      </w:r>
      <w:r>
        <w:rPr>
          <w:sz w:val="22"/>
        </w:rPr>
        <w:t>derecho a</w:t>
      </w:r>
      <w:r>
        <w:rPr>
          <w:spacing w:val="-2"/>
          <w:sz w:val="22"/>
        </w:rPr>
        <w:t> </w:t>
      </w:r>
      <w:r>
        <w:rPr>
          <w:sz w:val="22"/>
        </w:rPr>
        <w:t>su autonomía personal. El IMAS a solicitud de CONAPDIS debe certificar condición de pobreza de la persona con discapacidad. Fecha de vigencia 30/08/2016.</w:t>
      </w:r>
    </w:p>
    <w:p>
      <w:pPr>
        <w:pStyle w:val="BodyText"/>
        <w:spacing w:before="252"/>
        <w:ind w:left="1625" w:right="1598"/>
        <w:jc w:val="both"/>
      </w:pPr>
      <w:r>
        <w:rPr>
          <w:b/>
        </w:rPr>
        <w:t>Ley</w:t>
      </w:r>
      <w:r>
        <w:rPr>
          <w:b/>
          <w:spacing w:val="-10"/>
        </w:rPr>
        <w:t> </w:t>
      </w:r>
      <w:r>
        <w:rPr>
          <w:b/>
        </w:rPr>
        <w:t>para</w:t>
      </w:r>
      <w:r>
        <w:rPr>
          <w:b/>
          <w:spacing w:val="-12"/>
        </w:rPr>
        <w:t> </w:t>
      </w:r>
      <w:r>
        <w:rPr>
          <w:b/>
        </w:rPr>
        <w:t>Perfeccionar</w:t>
      </w:r>
      <w:r>
        <w:rPr>
          <w:b/>
          <w:spacing w:val="-12"/>
        </w:rPr>
        <w:t> </w:t>
      </w:r>
      <w:r>
        <w:rPr>
          <w:b/>
        </w:rPr>
        <w:t>la</w:t>
      </w:r>
      <w:r>
        <w:rPr>
          <w:b/>
          <w:spacing w:val="-10"/>
        </w:rPr>
        <w:t> </w:t>
      </w:r>
      <w:r>
        <w:rPr>
          <w:b/>
        </w:rPr>
        <w:t>Rendición</w:t>
      </w:r>
      <w:r>
        <w:rPr>
          <w:b/>
          <w:spacing w:val="-13"/>
        </w:rPr>
        <w:t> </w:t>
      </w:r>
      <w:r>
        <w:rPr>
          <w:b/>
        </w:rPr>
        <w:t>de</w:t>
      </w:r>
      <w:r>
        <w:rPr>
          <w:b/>
          <w:spacing w:val="-13"/>
        </w:rPr>
        <w:t> </w:t>
      </w:r>
      <w:r>
        <w:rPr>
          <w:b/>
        </w:rPr>
        <w:t>Cuentas</w:t>
      </w:r>
      <w:r>
        <w:rPr/>
        <w:t>,</w:t>
      </w:r>
      <w:r>
        <w:rPr>
          <w:spacing w:val="-8"/>
        </w:rPr>
        <w:t> </w:t>
      </w:r>
      <w:r>
        <w:rPr>
          <w:b/>
        </w:rPr>
        <w:t>N°9398</w:t>
      </w:r>
      <w:r>
        <w:rPr>
          <w:b/>
          <w:spacing w:val="-12"/>
        </w:rPr>
        <w:t> </w:t>
      </w:r>
      <w:r>
        <w:rPr/>
        <w:t>y</w:t>
      </w:r>
      <w:r>
        <w:rPr>
          <w:spacing w:val="-12"/>
        </w:rPr>
        <w:t> </w:t>
      </w:r>
      <w:r>
        <w:rPr/>
        <w:t>sus</w:t>
      </w:r>
      <w:r>
        <w:rPr>
          <w:spacing w:val="-12"/>
        </w:rPr>
        <w:t> </w:t>
      </w:r>
      <w:r>
        <w:rPr/>
        <w:t>reformas.</w:t>
      </w:r>
      <w:r>
        <w:rPr>
          <w:spacing w:val="-9"/>
        </w:rPr>
        <w:t> </w:t>
      </w:r>
      <w:r>
        <w:rPr/>
        <w:t>Obligación</w:t>
      </w:r>
      <w:r>
        <w:rPr>
          <w:spacing w:val="-10"/>
        </w:rPr>
        <w:t> </w:t>
      </w:r>
      <w:r>
        <w:rPr/>
        <w:t>de los rectores sectoriales, jerarcas ministeriales, de entes descentralizados institucionales y de órganos de desconcentración máxima de elaborar, publicar y divulgar, de manera digital, un informe anual, escrito, de la labor desarrollada por la institución o las instituciones a su cargo. Fecha de vigencia 06/10/2016.</w:t>
      </w:r>
    </w:p>
    <w:p>
      <w:pPr>
        <w:spacing w:before="252"/>
        <w:ind w:left="1625" w:right="1603" w:firstLine="0"/>
        <w:jc w:val="both"/>
        <w:rPr>
          <w:sz w:val="22"/>
        </w:rPr>
      </w:pPr>
      <w:r>
        <w:rPr>
          <w:b/>
          <w:sz w:val="22"/>
        </w:rPr>
        <w:t>Ley</w:t>
      </w:r>
      <w:r>
        <w:rPr>
          <w:b/>
          <w:spacing w:val="-2"/>
          <w:sz w:val="22"/>
        </w:rPr>
        <w:t> </w:t>
      </w:r>
      <w:r>
        <w:rPr>
          <w:b/>
          <w:sz w:val="22"/>
        </w:rPr>
        <w:t>de</w:t>
      </w:r>
      <w:r>
        <w:rPr>
          <w:b/>
          <w:spacing w:val="-2"/>
          <w:sz w:val="22"/>
        </w:rPr>
        <w:t> </w:t>
      </w:r>
      <w:r>
        <w:rPr>
          <w:b/>
          <w:sz w:val="22"/>
        </w:rPr>
        <w:t>Incentivos</w:t>
      </w:r>
      <w:r>
        <w:rPr>
          <w:b/>
          <w:spacing w:val="-2"/>
          <w:sz w:val="22"/>
        </w:rPr>
        <w:t> </w:t>
      </w:r>
      <w:r>
        <w:rPr>
          <w:b/>
          <w:sz w:val="22"/>
        </w:rPr>
        <w:t>y</w:t>
      </w:r>
      <w:r>
        <w:rPr>
          <w:b/>
          <w:spacing w:val="-1"/>
          <w:sz w:val="22"/>
        </w:rPr>
        <w:t> </w:t>
      </w:r>
      <w:r>
        <w:rPr>
          <w:b/>
          <w:sz w:val="22"/>
        </w:rPr>
        <w:t>Promoción</w:t>
      </w:r>
      <w:r>
        <w:rPr>
          <w:b/>
          <w:spacing w:val="-2"/>
          <w:sz w:val="22"/>
        </w:rPr>
        <w:t> </w:t>
      </w:r>
      <w:r>
        <w:rPr>
          <w:b/>
          <w:sz w:val="22"/>
        </w:rPr>
        <w:t>para</w:t>
      </w:r>
      <w:r>
        <w:rPr>
          <w:b/>
          <w:spacing w:val="-1"/>
          <w:sz w:val="22"/>
        </w:rPr>
        <w:t> </w:t>
      </w:r>
      <w:r>
        <w:rPr>
          <w:b/>
          <w:sz w:val="22"/>
        </w:rPr>
        <w:t>el</w:t>
      </w:r>
      <w:r>
        <w:rPr>
          <w:b/>
          <w:spacing w:val="-3"/>
          <w:sz w:val="22"/>
        </w:rPr>
        <w:t> </w:t>
      </w:r>
      <w:r>
        <w:rPr>
          <w:b/>
          <w:sz w:val="22"/>
        </w:rPr>
        <w:t>Transporte</w:t>
      </w:r>
      <w:r>
        <w:rPr>
          <w:b/>
          <w:spacing w:val="-2"/>
          <w:sz w:val="22"/>
        </w:rPr>
        <w:t> </w:t>
      </w:r>
      <w:r>
        <w:rPr>
          <w:b/>
          <w:sz w:val="22"/>
        </w:rPr>
        <w:t>Eléctrico,</w:t>
      </w:r>
      <w:r>
        <w:rPr>
          <w:b/>
          <w:spacing w:val="-1"/>
          <w:sz w:val="22"/>
        </w:rPr>
        <w:t> </w:t>
      </w:r>
      <w:r>
        <w:rPr>
          <w:b/>
          <w:sz w:val="22"/>
        </w:rPr>
        <w:t>N°</w:t>
      </w:r>
      <w:r>
        <w:rPr>
          <w:b/>
          <w:spacing w:val="-3"/>
          <w:sz w:val="22"/>
        </w:rPr>
        <w:t> </w:t>
      </w:r>
      <w:r>
        <w:rPr>
          <w:b/>
          <w:sz w:val="22"/>
        </w:rPr>
        <w:t>9518</w:t>
      </w:r>
      <w:r>
        <w:rPr>
          <w:sz w:val="22"/>
        </w:rPr>
        <w:t>.</w:t>
      </w:r>
      <w:r>
        <w:rPr>
          <w:spacing w:val="-1"/>
          <w:sz w:val="22"/>
        </w:rPr>
        <w:t> </w:t>
      </w:r>
      <w:r>
        <w:rPr>
          <w:sz w:val="22"/>
        </w:rPr>
        <w:t>Crea</w:t>
      </w:r>
      <w:r>
        <w:rPr>
          <w:spacing w:val="-2"/>
          <w:sz w:val="22"/>
        </w:rPr>
        <w:t> </w:t>
      </w:r>
      <w:r>
        <w:rPr>
          <w:sz w:val="22"/>
        </w:rPr>
        <w:t>el</w:t>
      </w:r>
      <w:r>
        <w:rPr>
          <w:spacing w:val="-3"/>
          <w:sz w:val="22"/>
        </w:rPr>
        <w:t> </w:t>
      </w:r>
      <w:r>
        <w:rPr>
          <w:sz w:val="22"/>
        </w:rPr>
        <w:t>marco normativo para regular la promoción del transporte eléctrico en el país y fortalecer las políticas públicas para incentivar su uso dentro del sector público y en la ciudadanía en general. Fecha de vigencia 06/02/2018.</w:t>
      </w:r>
    </w:p>
    <w:p>
      <w:pPr>
        <w:pStyle w:val="BodyText"/>
      </w:pPr>
    </w:p>
    <w:p>
      <w:pPr>
        <w:spacing w:before="0"/>
        <w:ind w:left="1625" w:right="1601" w:firstLine="0"/>
        <w:jc w:val="both"/>
        <w:rPr>
          <w:sz w:val="22"/>
        </w:rPr>
      </w:pPr>
      <w:r>
        <w:rPr>
          <w:b/>
          <w:sz w:val="22"/>
        </w:rPr>
        <w:t>Ley</w:t>
      </w:r>
      <w:r>
        <w:rPr>
          <w:b/>
          <w:spacing w:val="-5"/>
          <w:sz w:val="22"/>
        </w:rPr>
        <w:t> </w:t>
      </w:r>
      <w:r>
        <w:rPr>
          <w:b/>
          <w:sz w:val="22"/>
        </w:rPr>
        <w:t>de</w:t>
      </w:r>
      <w:r>
        <w:rPr>
          <w:b/>
          <w:spacing w:val="-8"/>
          <w:sz w:val="22"/>
        </w:rPr>
        <w:t> </w:t>
      </w:r>
      <w:r>
        <w:rPr>
          <w:b/>
          <w:sz w:val="22"/>
        </w:rPr>
        <w:t>Fortalecimiento</w:t>
      </w:r>
      <w:r>
        <w:rPr>
          <w:b/>
          <w:spacing w:val="-10"/>
          <w:sz w:val="22"/>
        </w:rPr>
        <w:t> </w:t>
      </w:r>
      <w:r>
        <w:rPr>
          <w:b/>
          <w:sz w:val="22"/>
        </w:rPr>
        <w:t>de</w:t>
      </w:r>
      <w:r>
        <w:rPr>
          <w:b/>
          <w:spacing w:val="-5"/>
          <w:sz w:val="22"/>
        </w:rPr>
        <w:t> </w:t>
      </w:r>
      <w:r>
        <w:rPr>
          <w:b/>
          <w:sz w:val="22"/>
        </w:rPr>
        <w:t>las</w:t>
      </w:r>
      <w:r>
        <w:rPr>
          <w:b/>
          <w:spacing w:val="-8"/>
          <w:sz w:val="22"/>
        </w:rPr>
        <w:t> </w:t>
      </w:r>
      <w:r>
        <w:rPr>
          <w:b/>
          <w:sz w:val="22"/>
        </w:rPr>
        <w:t>Finanzas</w:t>
      </w:r>
      <w:r>
        <w:rPr>
          <w:b/>
          <w:spacing w:val="-7"/>
          <w:sz w:val="22"/>
        </w:rPr>
        <w:t> </w:t>
      </w:r>
      <w:r>
        <w:rPr>
          <w:b/>
          <w:sz w:val="22"/>
        </w:rPr>
        <w:t>Públicas,</w:t>
      </w:r>
      <w:r>
        <w:rPr>
          <w:b/>
          <w:spacing w:val="-4"/>
          <w:sz w:val="22"/>
        </w:rPr>
        <w:t> </w:t>
      </w:r>
      <w:r>
        <w:rPr>
          <w:b/>
          <w:sz w:val="22"/>
        </w:rPr>
        <w:t>N°</w:t>
      </w:r>
      <w:r>
        <w:rPr>
          <w:b/>
          <w:spacing w:val="-4"/>
          <w:sz w:val="22"/>
        </w:rPr>
        <w:t> </w:t>
      </w:r>
      <w:r>
        <w:rPr>
          <w:b/>
          <w:sz w:val="22"/>
        </w:rPr>
        <w:t>9635</w:t>
      </w:r>
      <w:r>
        <w:rPr>
          <w:b/>
          <w:spacing w:val="-8"/>
          <w:sz w:val="22"/>
        </w:rPr>
        <w:t> </w:t>
      </w:r>
      <w:r>
        <w:rPr>
          <w:b/>
          <w:sz w:val="22"/>
        </w:rPr>
        <w:t>y</w:t>
      </w:r>
      <w:r>
        <w:rPr>
          <w:b/>
          <w:spacing w:val="-7"/>
          <w:sz w:val="22"/>
        </w:rPr>
        <w:t> </w:t>
      </w:r>
      <w:r>
        <w:rPr>
          <w:b/>
          <w:sz w:val="22"/>
        </w:rPr>
        <w:t>sus</w:t>
      </w:r>
      <w:r>
        <w:rPr>
          <w:b/>
          <w:spacing w:val="-7"/>
          <w:sz w:val="22"/>
        </w:rPr>
        <w:t> </w:t>
      </w:r>
      <w:r>
        <w:rPr>
          <w:b/>
          <w:sz w:val="22"/>
        </w:rPr>
        <w:t>reformas.</w:t>
      </w:r>
      <w:r>
        <w:rPr>
          <w:b/>
          <w:spacing w:val="-3"/>
          <w:sz w:val="22"/>
        </w:rPr>
        <w:t> </w:t>
      </w:r>
      <w:r>
        <w:rPr>
          <w:sz w:val="22"/>
        </w:rPr>
        <w:t>Establece el al valor agregado, ajusta salarios y beneficios a funcionarios públicos, crea regla de responsabilidad</w:t>
      </w:r>
      <w:r>
        <w:rPr>
          <w:spacing w:val="-6"/>
          <w:sz w:val="22"/>
        </w:rPr>
        <w:t> </w:t>
      </w:r>
      <w:r>
        <w:rPr>
          <w:sz w:val="22"/>
        </w:rPr>
        <w:t>fiscal.</w:t>
      </w:r>
      <w:r>
        <w:rPr>
          <w:spacing w:val="-7"/>
          <w:sz w:val="22"/>
        </w:rPr>
        <w:t> </w:t>
      </w:r>
      <w:r>
        <w:rPr>
          <w:sz w:val="22"/>
        </w:rPr>
        <w:t>Modifica</w:t>
      </w:r>
      <w:r>
        <w:rPr>
          <w:spacing w:val="-6"/>
          <w:sz w:val="22"/>
        </w:rPr>
        <w:t> </w:t>
      </w:r>
      <w:r>
        <w:rPr>
          <w:sz w:val="22"/>
        </w:rPr>
        <w:t>el</w:t>
      </w:r>
      <w:r>
        <w:rPr>
          <w:spacing w:val="-7"/>
          <w:sz w:val="22"/>
        </w:rPr>
        <w:t> </w:t>
      </w:r>
      <w:r>
        <w:rPr>
          <w:sz w:val="22"/>
        </w:rPr>
        <w:t>inciso</w:t>
      </w:r>
      <w:r>
        <w:rPr>
          <w:spacing w:val="-6"/>
          <w:sz w:val="22"/>
        </w:rPr>
        <w:t> </w:t>
      </w:r>
      <w:r>
        <w:rPr>
          <w:sz w:val="22"/>
        </w:rPr>
        <w:t>1)</w:t>
      </w:r>
      <w:r>
        <w:rPr>
          <w:spacing w:val="-6"/>
          <w:sz w:val="22"/>
        </w:rPr>
        <w:t> </w:t>
      </w:r>
      <w:r>
        <w:rPr>
          <w:sz w:val="22"/>
        </w:rPr>
        <w:t>del</w:t>
      </w:r>
      <w:r>
        <w:rPr>
          <w:spacing w:val="-7"/>
          <w:sz w:val="22"/>
        </w:rPr>
        <w:t> </w:t>
      </w:r>
      <w:r>
        <w:rPr>
          <w:sz w:val="22"/>
        </w:rPr>
        <w:t>artículo</w:t>
      </w:r>
      <w:r>
        <w:rPr>
          <w:spacing w:val="-6"/>
          <w:sz w:val="22"/>
        </w:rPr>
        <w:t> </w:t>
      </w:r>
      <w:r>
        <w:rPr>
          <w:sz w:val="22"/>
        </w:rPr>
        <w:t>4</w:t>
      </w:r>
      <w:r>
        <w:rPr>
          <w:spacing w:val="-6"/>
          <w:sz w:val="22"/>
        </w:rPr>
        <w:t> </w:t>
      </w:r>
      <w:r>
        <w:rPr>
          <w:sz w:val="22"/>
        </w:rPr>
        <w:t>de</w:t>
      </w:r>
      <w:r>
        <w:rPr>
          <w:spacing w:val="-7"/>
          <w:sz w:val="22"/>
        </w:rPr>
        <w:t> </w:t>
      </w:r>
      <w:r>
        <w:rPr>
          <w:sz w:val="22"/>
        </w:rPr>
        <w:t>la</w:t>
      </w:r>
      <w:r>
        <w:rPr>
          <w:spacing w:val="-9"/>
          <w:sz w:val="22"/>
        </w:rPr>
        <w:t> </w:t>
      </w:r>
      <w:r>
        <w:rPr>
          <w:sz w:val="22"/>
        </w:rPr>
        <w:t>Ley</w:t>
      </w:r>
      <w:r>
        <w:rPr>
          <w:spacing w:val="-6"/>
          <w:sz w:val="22"/>
        </w:rPr>
        <w:t> </w:t>
      </w:r>
      <w:r>
        <w:rPr>
          <w:sz w:val="22"/>
        </w:rPr>
        <w:t>N°</w:t>
      </w:r>
      <w:r>
        <w:rPr>
          <w:spacing w:val="-8"/>
          <w:sz w:val="22"/>
        </w:rPr>
        <w:t> </w:t>
      </w:r>
      <w:r>
        <w:rPr>
          <w:sz w:val="22"/>
        </w:rPr>
        <w:t>4646,</w:t>
      </w:r>
      <w:r>
        <w:rPr>
          <w:spacing w:val="-5"/>
          <w:sz w:val="22"/>
        </w:rPr>
        <w:t> </w:t>
      </w:r>
      <w:r>
        <w:rPr>
          <w:sz w:val="22"/>
        </w:rPr>
        <w:t>con</w:t>
      </w:r>
      <w:r>
        <w:rPr>
          <w:spacing w:val="-7"/>
          <w:sz w:val="22"/>
        </w:rPr>
        <w:t> </w:t>
      </w:r>
      <w:r>
        <w:rPr>
          <w:sz w:val="22"/>
        </w:rPr>
        <w:t>lo</w:t>
      </w:r>
      <w:r>
        <w:rPr>
          <w:spacing w:val="-6"/>
          <w:sz w:val="22"/>
        </w:rPr>
        <w:t> </w:t>
      </w:r>
      <w:r>
        <w:rPr>
          <w:sz w:val="22"/>
        </w:rPr>
        <w:t>que</w:t>
      </w:r>
      <w:r>
        <w:rPr>
          <w:spacing w:val="-6"/>
          <w:sz w:val="22"/>
        </w:rPr>
        <w:t> </w:t>
      </w:r>
      <w:r>
        <w:rPr>
          <w:sz w:val="22"/>
        </w:rPr>
        <w:t>se modifica integración de la junta directiva del IMAS. Fecha de vigencia 03/12/2018.</w:t>
      </w:r>
    </w:p>
    <w:p>
      <w:pPr>
        <w:spacing w:after="0"/>
        <w:jc w:val="both"/>
        <w:rPr>
          <w:sz w:val="22"/>
        </w:rPr>
        <w:sectPr>
          <w:pgSz w:w="12240" w:h="15840"/>
          <w:pgMar w:header="0" w:footer="1576" w:top="1000" w:bottom="1760" w:left="360" w:right="0"/>
        </w:sectPr>
      </w:pPr>
    </w:p>
    <w:p>
      <w:pPr>
        <w:spacing w:before="77"/>
        <w:ind w:left="1625" w:right="1600" w:firstLine="0"/>
        <w:jc w:val="both"/>
        <w:rPr>
          <w:sz w:val="22"/>
        </w:rPr>
      </w:pPr>
      <w:r>
        <w:rPr>
          <w:b/>
          <w:sz w:val="22"/>
        </w:rPr>
        <w:t>Ley de Rendición de cuentas de las instituciones públicas sobre las acciones realizadas a favor de las personas jóvenes, en el marco de la celebración del Día Internacional de la Juventud, N° 9615. </w:t>
      </w:r>
      <w:r>
        <w:rPr>
          <w:sz w:val="22"/>
        </w:rPr>
        <w:t>Deber de presentar un informe anual de rendición de cuentas sobre la ejecución de la política pública de la persona joven y del Plan Nacional de Desarrollo vigente, así como de las gestiones realizadas el último año para su operacionalización, tomando en cuenta el enfoque de igualdad de género y de juventudes. Fecha de vigencia 08/01/2019.</w:t>
      </w:r>
    </w:p>
    <w:p>
      <w:pPr>
        <w:pStyle w:val="BodyText"/>
      </w:pPr>
    </w:p>
    <w:p>
      <w:pPr>
        <w:spacing w:before="0"/>
        <w:ind w:left="1625" w:right="1599" w:firstLine="0"/>
        <w:jc w:val="both"/>
        <w:rPr>
          <w:sz w:val="22"/>
        </w:rPr>
      </w:pPr>
      <w:r>
        <w:rPr>
          <w:b/>
          <w:sz w:val="22"/>
        </w:rPr>
        <w:t>Ley de Fortalecimiento de las Transferencias Monetarias Condicionadas del Programa Avancemos y sus reformas, N° 9617. </w:t>
      </w:r>
      <w:r>
        <w:rPr>
          <w:sz w:val="22"/>
        </w:rPr>
        <w:t>Crea el Programa de Transferencias Monetarias</w:t>
      </w:r>
      <w:r>
        <w:rPr>
          <w:spacing w:val="-7"/>
          <w:sz w:val="22"/>
        </w:rPr>
        <w:t> </w:t>
      </w:r>
      <w:r>
        <w:rPr>
          <w:sz w:val="22"/>
        </w:rPr>
        <w:t>Condicionadas,</w:t>
      </w:r>
      <w:r>
        <w:rPr>
          <w:spacing w:val="-6"/>
          <w:sz w:val="22"/>
        </w:rPr>
        <w:t> </w:t>
      </w:r>
      <w:r>
        <w:rPr>
          <w:sz w:val="22"/>
        </w:rPr>
        <w:t>denominado</w:t>
      </w:r>
      <w:r>
        <w:rPr>
          <w:spacing w:val="-8"/>
          <w:sz w:val="22"/>
        </w:rPr>
        <w:t> </w:t>
      </w:r>
      <w:r>
        <w:rPr>
          <w:sz w:val="22"/>
        </w:rPr>
        <w:t>Avancemos,</w:t>
      </w:r>
      <w:r>
        <w:rPr>
          <w:spacing w:val="-9"/>
          <w:sz w:val="22"/>
        </w:rPr>
        <w:t> </w:t>
      </w:r>
      <w:r>
        <w:rPr>
          <w:sz w:val="22"/>
        </w:rPr>
        <w:t>adscrito</w:t>
      </w:r>
      <w:r>
        <w:rPr>
          <w:spacing w:val="-7"/>
          <w:sz w:val="22"/>
        </w:rPr>
        <w:t> </w:t>
      </w:r>
      <w:r>
        <w:rPr>
          <w:sz w:val="22"/>
        </w:rPr>
        <w:t>al</w:t>
      </w:r>
      <w:r>
        <w:rPr>
          <w:spacing w:val="-8"/>
          <w:sz w:val="22"/>
        </w:rPr>
        <w:t> </w:t>
      </w:r>
      <w:r>
        <w:rPr>
          <w:sz w:val="22"/>
        </w:rPr>
        <w:t>Instituto</w:t>
      </w:r>
      <w:r>
        <w:rPr>
          <w:spacing w:val="-12"/>
          <w:sz w:val="22"/>
        </w:rPr>
        <w:t> </w:t>
      </w:r>
      <w:r>
        <w:rPr>
          <w:sz w:val="22"/>
        </w:rPr>
        <w:t>Mixto</w:t>
      </w:r>
      <w:r>
        <w:rPr>
          <w:spacing w:val="-7"/>
          <w:sz w:val="22"/>
        </w:rPr>
        <w:t> </w:t>
      </w:r>
      <w:r>
        <w:rPr>
          <w:sz w:val="22"/>
        </w:rPr>
        <w:t>de</w:t>
      </w:r>
      <w:r>
        <w:rPr>
          <w:spacing w:val="-8"/>
          <w:sz w:val="22"/>
        </w:rPr>
        <w:t> </w:t>
      </w:r>
      <w:r>
        <w:rPr>
          <w:sz w:val="22"/>
        </w:rPr>
        <w:t>Ayuda Social (IMAS), para coadyuvar a la inclusión, la permanencia, la asistencia y la reincorporación al sistema educativo de las personas estudiantes provenientes de familias en situación de</w:t>
      </w:r>
      <w:r>
        <w:rPr>
          <w:spacing w:val="-2"/>
          <w:sz w:val="22"/>
        </w:rPr>
        <w:t> </w:t>
      </w:r>
      <w:r>
        <w:rPr>
          <w:sz w:val="22"/>
        </w:rPr>
        <w:t>pobreza o vulnerabilidad, que requieren</w:t>
      </w:r>
      <w:r>
        <w:rPr>
          <w:spacing w:val="-2"/>
          <w:sz w:val="22"/>
        </w:rPr>
        <w:t> </w:t>
      </w:r>
      <w:r>
        <w:rPr>
          <w:sz w:val="22"/>
        </w:rPr>
        <w:t>apoyo para mantenerse en el sistema educativo secundario. Fecha de vigencia 08/01/2019.</w:t>
      </w:r>
    </w:p>
    <w:p>
      <w:pPr>
        <w:pStyle w:val="BodyText"/>
      </w:pPr>
    </w:p>
    <w:p>
      <w:pPr>
        <w:spacing w:before="0"/>
        <w:ind w:left="1625" w:right="1600" w:firstLine="0"/>
        <w:jc w:val="both"/>
        <w:rPr>
          <w:sz w:val="22"/>
        </w:rPr>
      </w:pPr>
      <w:r>
        <w:rPr>
          <w:b/>
          <w:sz w:val="22"/>
        </w:rPr>
        <w:t>Ley</w:t>
      </w:r>
      <w:r>
        <w:rPr>
          <w:b/>
          <w:spacing w:val="-2"/>
          <w:sz w:val="22"/>
        </w:rPr>
        <w:t> </w:t>
      </w:r>
      <w:r>
        <w:rPr>
          <w:b/>
          <w:sz w:val="22"/>
        </w:rPr>
        <w:t>de</w:t>
      </w:r>
      <w:r>
        <w:rPr>
          <w:b/>
          <w:spacing w:val="-2"/>
          <w:sz w:val="22"/>
        </w:rPr>
        <w:t> </w:t>
      </w:r>
      <w:r>
        <w:rPr>
          <w:b/>
          <w:sz w:val="22"/>
        </w:rPr>
        <w:t>Desafectación</w:t>
      </w:r>
      <w:r>
        <w:rPr>
          <w:b/>
          <w:spacing w:val="-5"/>
          <w:sz w:val="22"/>
        </w:rPr>
        <w:t> </w:t>
      </w:r>
      <w:r>
        <w:rPr>
          <w:b/>
          <w:sz w:val="22"/>
        </w:rPr>
        <w:t>de</w:t>
      </w:r>
      <w:r>
        <w:rPr>
          <w:b/>
          <w:spacing w:val="-2"/>
          <w:sz w:val="22"/>
        </w:rPr>
        <w:t> </w:t>
      </w:r>
      <w:r>
        <w:rPr>
          <w:b/>
          <w:sz w:val="22"/>
        </w:rPr>
        <w:t>Uso</w:t>
      </w:r>
      <w:r>
        <w:rPr>
          <w:b/>
          <w:spacing w:val="-2"/>
          <w:sz w:val="22"/>
        </w:rPr>
        <w:t> </w:t>
      </w:r>
      <w:r>
        <w:rPr>
          <w:b/>
          <w:sz w:val="22"/>
        </w:rPr>
        <w:t>y</w:t>
      </w:r>
      <w:r>
        <w:rPr>
          <w:b/>
          <w:spacing w:val="-1"/>
          <w:sz w:val="22"/>
        </w:rPr>
        <w:t> </w:t>
      </w:r>
      <w:r>
        <w:rPr>
          <w:b/>
          <w:sz w:val="22"/>
        </w:rPr>
        <w:t>Dominio</w:t>
      </w:r>
      <w:r>
        <w:rPr>
          <w:b/>
          <w:spacing w:val="-4"/>
          <w:sz w:val="22"/>
        </w:rPr>
        <w:t> </w:t>
      </w:r>
      <w:r>
        <w:rPr>
          <w:b/>
          <w:sz w:val="22"/>
        </w:rPr>
        <w:t>Públicos</w:t>
      </w:r>
      <w:r>
        <w:rPr>
          <w:b/>
          <w:spacing w:val="-2"/>
          <w:sz w:val="22"/>
        </w:rPr>
        <w:t> </w:t>
      </w:r>
      <w:r>
        <w:rPr>
          <w:b/>
          <w:sz w:val="22"/>
        </w:rPr>
        <w:t>de</w:t>
      </w:r>
      <w:r>
        <w:rPr>
          <w:b/>
          <w:spacing w:val="-2"/>
          <w:sz w:val="22"/>
        </w:rPr>
        <w:t> </w:t>
      </w:r>
      <w:r>
        <w:rPr>
          <w:b/>
          <w:sz w:val="22"/>
        </w:rPr>
        <w:t>un</w:t>
      </w:r>
      <w:r>
        <w:rPr>
          <w:b/>
          <w:spacing w:val="-5"/>
          <w:sz w:val="22"/>
        </w:rPr>
        <w:t> </w:t>
      </w:r>
      <w:r>
        <w:rPr>
          <w:b/>
          <w:sz w:val="22"/>
        </w:rPr>
        <w:t>Inmueble</w:t>
      </w:r>
      <w:r>
        <w:rPr>
          <w:b/>
          <w:spacing w:val="-2"/>
          <w:sz w:val="22"/>
        </w:rPr>
        <w:t> </w:t>
      </w:r>
      <w:r>
        <w:rPr>
          <w:b/>
          <w:sz w:val="22"/>
        </w:rPr>
        <w:t>y</w:t>
      </w:r>
      <w:r>
        <w:rPr>
          <w:b/>
          <w:spacing w:val="-4"/>
          <w:sz w:val="22"/>
        </w:rPr>
        <w:t> </w:t>
      </w:r>
      <w:r>
        <w:rPr>
          <w:b/>
          <w:sz w:val="22"/>
        </w:rPr>
        <w:t>Autorización</w:t>
      </w:r>
      <w:r>
        <w:rPr>
          <w:b/>
          <w:spacing w:val="-2"/>
          <w:sz w:val="22"/>
        </w:rPr>
        <w:t> </w:t>
      </w:r>
      <w:r>
        <w:rPr>
          <w:b/>
          <w:sz w:val="22"/>
        </w:rPr>
        <w:t>al IMAS para que Segregue y Done Parte de la Finca del Partido de Limón, Matrícula 6003-000, al Benemérito Cuerpo de Bomberos de Costa Rica, N°9588. </w:t>
      </w:r>
      <w:r>
        <w:rPr>
          <w:sz w:val="22"/>
        </w:rPr>
        <w:t>Autoriza al IMAS, para que segregue y done al Benemérito Cuerpo de Bomberos de Costa Rica, la finca inscrita en el Partido de Limón. Fecha de vigencia 11/02/2019.</w:t>
      </w:r>
    </w:p>
    <w:p>
      <w:pPr>
        <w:pStyle w:val="BodyText"/>
        <w:spacing w:before="1"/>
      </w:pPr>
    </w:p>
    <w:p>
      <w:pPr>
        <w:spacing w:before="0"/>
        <w:ind w:left="1625" w:right="1600" w:firstLine="0"/>
        <w:jc w:val="both"/>
        <w:rPr>
          <w:sz w:val="22"/>
        </w:rPr>
      </w:pPr>
      <w:r>
        <w:rPr>
          <w:b/>
          <w:sz w:val="22"/>
        </w:rPr>
        <w:t>Reforma a la Ley para Mejorar la Atención de Daños Causados por Desastres Naturales</w:t>
      </w:r>
      <w:r>
        <w:rPr>
          <w:b/>
          <w:spacing w:val="-16"/>
          <w:sz w:val="22"/>
        </w:rPr>
        <w:t> </w:t>
      </w:r>
      <w:r>
        <w:rPr>
          <w:b/>
          <w:sz w:val="22"/>
        </w:rPr>
        <w:t>9641</w:t>
      </w:r>
      <w:r>
        <w:rPr>
          <w:sz w:val="22"/>
        </w:rPr>
        <w:t>,</w:t>
      </w:r>
      <w:r>
        <w:rPr>
          <w:spacing w:val="-15"/>
          <w:sz w:val="22"/>
        </w:rPr>
        <w:t> </w:t>
      </w:r>
      <w:r>
        <w:rPr>
          <w:sz w:val="22"/>
        </w:rPr>
        <w:t>Reforma</w:t>
      </w:r>
      <w:r>
        <w:rPr>
          <w:spacing w:val="-15"/>
          <w:sz w:val="22"/>
        </w:rPr>
        <w:t> </w:t>
      </w:r>
      <w:r>
        <w:rPr>
          <w:sz w:val="22"/>
        </w:rPr>
        <w:t>el</w:t>
      </w:r>
      <w:r>
        <w:rPr>
          <w:spacing w:val="-16"/>
          <w:sz w:val="22"/>
        </w:rPr>
        <w:t> </w:t>
      </w:r>
      <w:r>
        <w:rPr>
          <w:sz w:val="22"/>
        </w:rPr>
        <w:t>último</w:t>
      </w:r>
      <w:r>
        <w:rPr>
          <w:spacing w:val="-15"/>
          <w:sz w:val="22"/>
        </w:rPr>
        <w:t> </w:t>
      </w:r>
      <w:r>
        <w:rPr>
          <w:sz w:val="22"/>
        </w:rPr>
        <w:t>párrafo</w:t>
      </w:r>
      <w:r>
        <w:rPr>
          <w:spacing w:val="-15"/>
          <w:sz w:val="22"/>
        </w:rPr>
        <w:t> </w:t>
      </w:r>
      <w:r>
        <w:rPr>
          <w:sz w:val="22"/>
        </w:rPr>
        <w:t>del</w:t>
      </w:r>
      <w:r>
        <w:rPr>
          <w:spacing w:val="-15"/>
          <w:sz w:val="22"/>
        </w:rPr>
        <w:t> </w:t>
      </w:r>
      <w:r>
        <w:rPr>
          <w:sz w:val="22"/>
        </w:rPr>
        <w:t>artículo</w:t>
      </w:r>
      <w:r>
        <w:rPr>
          <w:spacing w:val="-16"/>
          <w:sz w:val="22"/>
        </w:rPr>
        <w:t> </w:t>
      </w:r>
      <w:r>
        <w:rPr>
          <w:sz w:val="22"/>
        </w:rPr>
        <w:t>15</w:t>
      </w:r>
      <w:r>
        <w:rPr>
          <w:spacing w:val="-15"/>
          <w:sz w:val="22"/>
        </w:rPr>
        <w:t> </w:t>
      </w:r>
      <w:r>
        <w:rPr>
          <w:sz w:val="22"/>
        </w:rPr>
        <w:t>de</w:t>
      </w:r>
      <w:r>
        <w:rPr>
          <w:spacing w:val="-15"/>
          <w:sz w:val="22"/>
        </w:rPr>
        <w:t> </w:t>
      </w:r>
      <w:r>
        <w:rPr>
          <w:sz w:val="22"/>
        </w:rPr>
        <w:t>la</w:t>
      </w:r>
      <w:r>
        <w:rPr>
          <w:spacing w:val="-16"/>
          <w:sz w:val="22"/>
        </w:rPr>
        <w:t> </w:t>
      </w:r>
      <w:r>
        <w:rPr>
          <w:sz w:val="22"/>
        </w:rPr>
        <w:t>Ley</w:t>
      </w:r>
      <w:r>
        <w:rPr>
          <w:spacing w:val="-15"/>
          <w:sz w:val="22"/>
        </w:rPr>
        <w:t> </w:t>
      </w:r>
      <w:r>
        <w:rPr>
          <w:sz w:val="22"/>
        </w:rPr>
        <w:t>N.º</w:t>
      </w:r>
      <w:r>
        <w:rPr>
          <w:spacing w:val="-15"/>
          <w:sz w:val="22"/>
        </w:rPr>
        <w:t> </w:t>
      </w:r>
      <w:r>
        <w:rPr>
          <w:sz w:val="22"/>
        </w:rPr>
        <w:t>8488,</w:t>
      </w:r>
      <w:r>
        <w:rPr>
          <w:spacing w:val="-15"/>
          <w:sz w:val="22"/>
        </w:rPr>
        <w:t> </w:t>
      </w:r>
      <w:r>
        <w:rPr>
          <w:sz w:val="22"/>
        </w:rPr>
        <w:t>Ley</w:t>
      </w:r>
      <w:r>
        <w:rPr>
          <w:spacing w:val="-16"/>
          <w:sz w:val="22"/>
        </w:rPr>
        <w:t> </w:t>
      </w:r>
      <w:r>
        <w:rPr>
          <w:sz w:val="22"/>
        </w:rPr>
        <w:t>Nacional de Emergencias y Prevención del Riesgo. Fecha de vigencia 18/03/2019</w:t>
      </w:r>
    </w:p>
    <w:p>
      <w:pPr>
        <w:spacing w:before="252"/>
        <w:ind w:left="1625" w:right="1604" w:firstLine="0"/>
        <w:jc w:val="both"/>
        <w:rPr>
          <w:sz w:val="22"/>
        </w:rPr>
      </w:pPr>
      <w:r>
        <w:rPr>
          <w:b/>
          <w:sz w:val="22"/>
        </w:rPr>
        <w:t>Reforma a la Ley para mejorar la atención de daños causados por desastres naturales </w:t>
      </w:r>
      <w:r>
        <w:rPr>
          <w:sz w:val="22"/>
        </w:rPr>
        <w:t>9641 fecha de vigencia 18/03/2019.</w:t>
      </w:r>
    </w:p>
    <w:p>
      <w:pPr>
        <w:pStyle w:val="BodyText"/>
        <w:spacing w:before="2"/>
      </w:pPr>
    </w:p>
    <w:p>
      <w:pPr>
        <w:spacing w:before="0"/>
        <w:ind w:left="1625" w:right="1599" w:firstLine="0"/>
        <w:jc w:val="both"/>
        <w:rPr>
          <w:sz w:val="22"/>
        </w:rPr>
      </w:pPr>
      <w:r>
        <w:rPr>
          <w:b/>
          <w:sz w:val="22"/>
        </w:rPr>
        <w:t>Reforma</w:t>
      </w:r>
      <w:r>
        <w:rPr>
          <w:b/>
          <w:spacing w:val="-9"/>
          <w:sz w:val="22"/>
        </w:rPr>
        <w:t> </w:t>
      </w:r>
      <w:r>
        <w:rPr>
          <w:b/>
          <w:sz w:val="22"/>
        </w:rPr>
        <w:t>de</w:t>
      </w:r>
      <w:r>
        <w:rPr>
          <w:b/>
          <w:spacing w:val="-12"/>
          <w:sz w:val="22"/>
        </w:rPr>
        <w:t> </w:t>
      </w:r>
      <w:r>
        <w:rPr>
          <w:b/>
          <w:sz w:val="22"/>
        </w:rPr>
        <w:t>la</w:t>
      </w:r>
      <w:r>
        <w:rPr>
          <w:b/>
          <w:spacing w:val="-9"/>
          <w:sz w:val="22"/>
        </w:rPr>
        <w:t> </w:t>
      </w:r>
      <w:r>
        <w:rPr>
          <w:b/>
          <w:sz w:val="22"/>
        </w:rPr>
        <w:t>Ley</w:t>
      </w:r>
      <w:r>
        <w:rPr>
          <w:b/>
          <w:spacing w:val="-7"/>
          <w:sz w:val="22"/>
        </w:rPr>
        <w:t> </w:t>
      </w:r>
      <w:r>
        <w:rPr>
          <w:b/>
          <w:sz w:val="22"/>
        </w:rPr>
        <w:t>N.º</w:t>
      </w:r>
      <w:r>
        <w:rPr>
          <w:b/>
          <w:spacing w:val="-7"/>
          <w:sz w:val="22"/>
        </w:rPr>
        <w:t> </w:t>
      </w:r>
      <w:r>
        <w:rPr>
          <w:b/>
          <w:sz w:val="22"/>
        </w:rPr>
        <w:t>8634,</w:t>
      </w:r>
      <w:r>
        <w:rPr>
          <w:b/>
          <w:spacing w:val="-8"/>
          <w:sz w:val="22"/>
        </w:rPr>
        <w:t> </w:t>
      </w:r>
      <w:r>
        <w:rPr>
          <w:b/>
          <w:sz w:val="22"/>
        </w:rPr>
        <w:t>Sistema</w:t>
      </w:r>
      <w:r>
        <w:rPr>
          <w:b/>
          <w:spacing w:val="-9"/>
          <w:sz w:val="22"/>
        </w:rPr>
        <w:t> </w:t>
      </w:r>
      <w:r>
        <w:rPr>
          <w:b/>
          <w:sz w:val="22"/>
        </w:rPr>
        <w:t>de</w:t>
      </w:r>
      <w:r>
        <w:rPr>
          <w:b/>
          <w:spacing w:val="-9"/>
          <w:sz w:val="22"/>
        </w:rPr>
        <w:t> </w:t>
      </w:r>
      <w:r>
        <w:rPr>
          <w:b/>
          <w:sz w:val="22"/>
        </w:rPr>
        <w:t>Banca</w:t>
      </w:r>
      <w:r>
        <w:rPr>
          <w:b/>
          <w:spacing w:val="-12"/>
          <w:sz w:val="22"/>
        </w:rPr>
        <w:t> </w:t>
      </w:r>
      <w:r>
        <w:rPr>
          <w:b/>
          <w:sz w:val="22"/>
        </w:rPr>
        <w:t>para</w:t>
      </w:r>
      <w:r>
        <w:rPr>
          <w:b/>
          <w:spacing w:val="-8"/>
          <w:sz w:val="22"/>
        </w:rPr>
        <w:t> </w:t>
      </w:r>
      <w:r>
        <w:rPr>
          <w:b/>
          <w:sz w:val="22"/>
        </w:rPr>
        <w:t>el</w:t>
      </w:r>
      <w:r>
        <w:rPr>
          <w:b/>
          <w:spacing w:val="-8"/>
          <w:sz w:val="22"/>
        </w:rPr>
        <w:t> </w:t>
      </w:r>
      <w:r>
        <w:rPr>
          <w:b/>
          <w:sz w:val="22"/>
        </w:rPr>
        <w:t>Desarrollo</w:t>
      </w:r>
      <w:r>
        <w:rPr>
          <w:b/>
          <w:spacing w:val="-8"/>
          <w:sz w:val="22"/>
        </w:rPr>
        <w:t> </w:t>
      </w:r>
      <w:r>
        <w:rPr>
          <w:sz w:val="22"/>
        </w:rPr>
        <w:t>Ley</w:t>
      </w:r>
      <w:r>
        <w:rPr>
          <w:spacing w:val="-11"/>
          <w:sz w:val="22"/>
        </w:rPr>
        <w:t> </w:t>
      </w:r>
      <w:r>
        <w:rPr>
          <w:sz w:val="22"/>
        </w:rPr>
        <w:t>N°</w:t>
      </w:r>
      <w:r>
        <w:rPr>
          <w:spacing w:val="-8"/>
          <w:sz w:val="22"/>
        </w:rPr>
        <w:t> </w:t>
      </w:r>
      <w:r>
        <w:rPr>
          <w:sz w:val="22"/>
        </w:rPr>
        <w:t>9654.</w:t>
      </w:r>
      <w:r>
        <w:rPr>
          <w:spacing w:val="-7"/>
          <w:sz w:val="22"/>
        </w:rPr>
        <w:t> </w:t>
      </w:r>
      <w:r>
        <w:rPr>
          <w:sz w:val="22"/>
        </w:rPr>
        <w:t>Fecha de</w:t>
      </w:r>
      <w:r>
        <w:rPr>
          <w:spacing w:val="-2"/>
          <w:sz w:val="22"/>
        </w:rPr>
        <w:t> </w:t>
      </w:r>
      <w:r>
        <w:rPr>
          <w:sz w:val="22"/>
        </w:rPr>
        <w:t>vigencia</w:t>
      </w:r>
      <w:r>
        <w:rPr>
          <w:spacing w:val="-2"/>
          <w:sz w:val="22"/>
        </w:rPr>
        <w:t> </w:t>
      </w:r>
      <w:r>
        <w:rPr>
          <w:sz w:val="22"/>
        </w:rPr>
        <w:t>18/03/2019,</w:t>
      </w:r>
      <w:r>
        <w:rPr>
          <w:spacing w:val="-5"/>
          <w:sz w:val="22"/>
        </w:rPr>
        <w:t> </w:t>
      </w:r>
      <w:r>
        <w:rPr>
          <w:sz w:val="22"/>
        </w:rPr>
        <w:t>Reforma</w:t>
      </w:r>
      <w:r>
        <w:rPr>
          <w:spacing w:val="-4"/>
          <w:sz w:val="22"/>
        </w:rPr>
        <w:t> </w:t>
      </w:r>
      <w:r>
        <w:rPr>
          <w:sz w:val="22"/>
        </w:rPr>
        <w:t>el</w:t>
      </w:r>
      <w:r>
        <w:rPr>
          <w:spacing w:val="-5"/>
          <w:sz w:val="22"/>
        </w:rPr>
        <w:t> </w:t>
      </w:r>
      <w:r>
        <w:rPr>
          <w:sz w:val="22"/>
        </w:rPr>
        <w:t>primer</w:t>
      </w:r>
      <w:r>
        <w:rPr>
          <w:spacing w:val="-3"/>
          <w:sz w:val="22"/>
        </w:rPr>
        <w:t> </w:t>
      </w:r>
      <w:r>
        <w:rPr>
          <w:sz w:val="22"/>
        </w:rPr>
        <w:t>párrafo</w:t>
      </w:r>
      <w:r>
        <w:rPr>
          <w:spacing w:val="-2"/>
          <w:sz w:val="22"/>
        </w:rPr>
        <w:t> </w:t>
      </w:r>
      <w:r>
        <w:rPr>
          <w:sz w:val="22"/>
        </w:rPr>
        <w:t>del</w:t>
      </w:r>
      <w:r>
        <w:rPr>
          <w:spacing w:val="-2"/>
          <w:sz w:val="22"/>
        </w:rPr>
        <w:t> </w:t>
      </w:r>
      <w:r>
        <w:rPr>
          <w:sz w:val="22"/>
        </w:rPr>
        <w:t>artículo</w:t>
      </w:r>
      <w:r>
        <w:rPr>
          <w:spacing w:val="-4"/>
          <w:sz w:val="22"/>
        </w:rPr>
        <w:t> </w:t>
      </w:r>
      <w:r>
        <w:rPr>
          <w:sz w:val="22"/>
        </w:rPr>
        <w:t>2,</w:t>
      </w:r>
      <w:r>
        <w:rPr>
          <w:spacing w:val="-3"/>
          <w:sz w:val="22"/>
        </w:rPr>
        <w:t> </w:t>
      </w:r>
      <w:r>
        <w:rPr>
          <w:sz w:val="22"/>
        </w:rPr>
        <w:t>el</w:t>
      </w:r>
      <w:r>
        <w:rPr>
          <w:spacing w:val="-5"/>
          <w:sz w:val="22"/>
        </w:rPr>
        <w:t> </w:t>
      </w:r>
      <w:r>
        <w:rPr>
          <w:sz w:val="22"/>
        </w:rPr>
        <w:t>penúltimo</w:t>
      </w:r>
      <w:r>
        <w:rPr>
          <w:spacing w:val="-4"/>
          <w:sz w:val="22"/>
        </w:rPr>
        <w:t> </w:t>
      </w:r>
      <w:r>
        <w:rPr>
          <w:sz w:val="22"/>
        </w:rPr>
        <w:t>párrafo</w:t>
      </w:r>
      <w:r>
        <w:rPr>
          <w:spacing w:val="-4"/>
          <w:sz w:val="22"/>
        </w:rPr>
        <w:t> </w:t>
      </w:r>
      <w:r>
        <w:rPr>
          <w:sz w:val="22"/>
        </w:rPr>
        <w:t>del artículo 6, el</w:t>
      </w:r>
      <w:r>
        <w:rPr>
          <w:spacing w:val="-1"/>
          <w:sz w:val="22"/>
        </w:rPr>
        <w:t> </w:t>
      </w:r>
      <w:r>
        <w:rPr>
          <w:sz w:val="22"/>
        </w:rPr>
        <w:t>primero y segundo párrafos del artículo 7, el</w:t>
      </w:r>
      <w:r>
        <w:rPr>
          <w:spacing w:val="-1"/>
          <w:sz w:val="22"/>
        </w:rPr>
        <w:t> </w:t>
      </w:r>
      <w:r>
        <w:rPr>
          <w:sz w:val="22"/>
        </w:rPr>
        <w:t>artículo 9, los incisos h), i), j) y</w:t>
      </w:r>
    </w:p>
    <w:p>
      <w:pPr>
        <w:pStyle w:val="BodyText"/>
        <w:ind w:left="1625" w:right="1600"/>
        <w:jc w:val="both"/>
      </w:pPr>
      <w:r>
        <w:rPr/>
        <w:t>m)</w:t>
      </w:r>
      <w:r>
        <w:rPr>
          <w:spacing w:val="-1"/>
        </w:rPr>
        <w:t> </w:t>
      </w:r>
      <w:r>
        <w:rPr/>
        <w:t>del</w:t>
      </w:r>
      <w:r>
        <w:rPr>
          <w:spacing w:val="-2"/>
        </w:rPr>
        <w:t> </w:t>
      </w:r>
      <w:r>
        <w:rPr/>
        <w:t>artículo</w:t>
      </w:r>
      <w:r>
        <w:rPr>
          <w:spacing w:val="-2"/>
        </w:rPr>
        <w:t> </w:t>
      </w:r>
      <w:r>
        <w:rPr/>
        <w:t>14, el</w:t>
      </w:r>
      <w:r>
        <w:rPr>
          <w:spacing w:val="-1"/>
        </w:rPr>
        <w:t> </w:t>
      </w:r>
      <w:r>
        <w:rPr/>
        <w:t>epígrafe</w:t>
      </w:r>
      <w:r>
        <w:rPr>
          <w:spacing w:val="-2"/>
        </w:rPr>
        <w:t> </w:t>
      </w:r>
      <w:r>
        <w:rPr/>
        <w:t>del</w:t>
      </w:r>
      <w:r>
        <w:rPr>
          <w:spacing w:val="-2"/>
        </w:rPr>
        <w:t> </w:t>
      </w:r>
      <w:r>
        <w:rPr/>
        <w:t>capítulo</w:t>
      </w:r>
      <w:r>
        <w:rPr>
          <w:spacing w:val="-2"/>
        </w:rPr>
        <w:t> </w:t>
      </w:r>
      <w:r>
        <w:rPr/>
        <w:t>111,</w:t>
      </w:r>
      <w:r>
        <w:rPr>
          <w:spacing w:val="-1"/>
        </w:rPr>
        <w:t> </w:t>
      </w:r>
      <w:r>
        <w:rPr/>
        <w:t>los artículos</w:t>
      </w:r>
      <w:r>
        <w:rPr>
          <w:spacing w:val="-2"/>
        </w:rPr>
        <w:t> </w:t>
      </w:r>
      <w:r>
        <w:rPr/>
        <w:t>15, 16, 18, 19, 22, 30</w:t>
      </w:r>
      <w:r>
        <w:rPr>
          <w:spacing w:val="-2"/>
        </w:rPr>
        <w:t> </w:t>
      </w:r>
      <w:r>
        <w:rPr/>
        <w:t>y</w:t>
      </w:r>
      <w:r>
        <w:rPr>
          <w:spacing w:val="-2"/>
        </w:rPr>
        <w:t> </w:t>
      </w:r>
      <w:r>
        <w:rPr/>
        <w:t>38, y el</w:t>
      </w:r>
      <w:r>
        <w:rPr>
          <w:spacing w:val="-7"/>
        </w:rPr>
        <w:t> </w:t>
      </w:r>
      <w:r>
        <w:rPr/>
        <w:t>inciso</w:t>
      </w:r>
      <w:r>
        <w:rPr>
          <w:spacing w:val="-6"/>
        </w:rPr>
        <w:t> </w:t>
      </w:r>
      <w:r>
        <w:rPr/>
        <w:t>a)</w:t>
      </w:r>
      <w:r>
        <w:rPr>
          <w:spacing w:val="-8"/>
        </w:rPr>
        <w:t> </w:t>
      </w:r>
      <w:r>
        <w:rPr/>
        <w:t>del</w:t>
      </w:r>
      <w:r>
        <w:rPr>
          <w:spacing w:val="-7"/>
        </w:rPr>
        <w:t> </w:t>
      </w:r>
      <w:r>
        <w:rPr/>
        <w:t>artículo</w:t>
      </w:r>
      <w:r>
        <w:rPr>
          <w:spacing w:val="-6"/>
        </w:rPr>
        <w:t> </w:t>
      </w:r>
      <w:r>
        <w:rPr/>
        <w:t>41</w:t>
      </w:r>
      <w:r>
        <w:rPr>
          <w:spacing w:val="-6"/>
        </w:rPr>
        <w:t> </w:t>
      </w:r>
      <w:r>
        <w:rPr/>
        <w:t>de</w:t>
      </w:r>
      <w:r>
        <w:rPr>
          <w:spacing w:val="-7"/>
        </w:rPr>
        <w:t> </w:t>
      </w:r>
      <w:r>
        <w:rPr/>
        <w:t>la</w:t>
      </w:r>
      <w:r>
        <w:rPr>
          <w:spacing w:val="-9"/>
        </w:rPr>
        <w:t> </w:t>
      </w:r>
      <w:r>
        <w:rPr/>
        <w:t>Ley</w:t>
      </w:r>
      <w:r>
        <w:rPr>
          <w:spacing w:val="-6"/>
        </w:rPr>
        <w:t> </w:t>
      </w:r>
      <w:r>
        <w:rPr/>
        <w:t>N.º</w:t>
      </w:r>
      <w:r>
        <w:rPr>
          <w:spacing w:val="-7"/>
        </w:rPr>
        <w:t> </w:t>
      </w:r>
      <w:r>
        <w:rPr/>
        <w:t>8634,</w:t>
      </w:r>
      <w:r>
        <w:rPr>
          <w:spacing w:val="-5"/>
        </w:rPr>
        <w:t> </w:t>
      </w:r>
      <w:r>
        <w:rPr/>
        <w:t>Sistema</w:t>
      </w:r>
      <w:r>
        <w:rPr>
          <w:spacing w:val="-6"/>
        </w:rPr>
        <w:t> </w:t>
      </w:r>
      <w:r>
        <w:rPr/>
        <w:t>de</w:t>
      </w:r>
      <w:r>
        <w:rPr>
          <w:spacing w:val="-9"/>
        </w:rPr>
        <w:t> </w:t>
      </w:r>
      <w:r>
        <w:rPr/>
        <w:t>Banca</w:t>
      </w:r>
      <w:r>
        <w:rPr>
          <w:spacing w:val="-9"/>
        </w:rPr>
        <w:t> </w:t>
      </w:r>
      <w:r>
        <w:rPr/>
        <w:t>para</w:t>
      </w:r>
      <w:r>
        <w:rPr>
          <w:spacing w:val="-9"/>
        </w:rPr>
        <w:t> </w:t>
      </w:r>
      <w:r>
        <w:rPr/>
        <w:t>el</w:t>
      </w:r>
      <w:r>
        <w:rPr>
          <w:spacing w:val="-7"/>
        </w:rPr>
        <w:t> </w:t>
      </w:r>
      <w:r>
        <w:rPr/>
        <w:t>Desarrollo,</w:t>
      </w:r>
      <w:r>
        <w:rPr>
          <w:spacing w:val="-8"/>
        </w:rPr>
        <w:t> </w:t>
      </w:r>
      <w:r>
        <w:rPr/>
        <w:t>de</w:t>
      </w:r>
      <w:r>
        <w:rPr>
          <w:spacing w:val="-7"/>
        </w:rPr>
        <w:t> </w:t>
      </w:r>
      <w:r>
        <w:rPr/>
        <w:t>23 de abril de 2008. fecha de vigencia 18/03/2019.</w:t>
      </w:r>
    </w:p>
    <w:p>
      <w:pPr>
        <w:spacing w:before="251"/>
        <w:ind w:left="1625" w:right="1603" w:firstLine="0"/>
        <w:jc w:val="both"/>
        <w:rPr>
          <w:sz w:val="22"/>
        </w:rPr>
      </w:pPr>
      <w:r>
        <w:rPr>
          <w:b/>
          <w:sz w:val="22"/>
        </w:rPr>
        <w:t>Ley N° 9665. Sobre el refrendo de las contrataciones de la administración pública. Y sus reformas. </w:t>
      </w:r>
      <w:r>
        <w:rPr>
          <w:sz w:val="22"/>
        </w:rPr>
        <w:t>Regula el refrendo de las contrataciones de la administración pública, como requisito de eficacia de los contratos administrativos, mediante el cual se verifica que el clausulado del contrato se ajusta sustancialmente al ordenamiento jurídico, las reglas</w:t>
      </w:r>
      <w:r>
        <w:rPr>
          <w:spacing w:val="-5"/>
          <w:sz w:val="22"/>
        </w:rPr>
        <w:t> </w:t>
      </w:r>
      <w:r>
        <w:rPr>
          <w:sz w:val="22"/>
        </w:rPr>
        <w:t>del</w:t>
      </w:r>
      <w:r>
        <w:rPr>
          <w:spacing w:val="-8"/>
          <w:sz w:val="22"/>
        </w:rPr>
        <w:t> </w:t>
      </w:r>
      <w:r>
        <w:rPr>
          <w:sz w:val="22"/>
        </w:rPr>
        <w:t>cartel</w:t>
      </w:r>
      <w:r>
        <w:rPr>
          <w:spacing w:val="-8"/>
          <w:sz w:val="22"/>
        </w:rPr>
        <w:t> </w:t>
      </w:r>
      <w:r>
        <w:rPr>
          <w:sz w:val="22"/>
        </w:rPr>
        <w:t>y</w:t>
      </w:r>
      <w:r>
        <w:rPr>
          <w:spacing w:val="-7"/>
          <w:sz w:val="22"/>
        </w:rPr>
        <w:t> </w:t>
      </w:r>
      <w:r>
        <w:rPr>
          <w:sz w:val="22"/>
        </w:rPr>
        <w:t>los</w:t>
      </w:r>
      <w:r>
        <w:rPr>
          <w:spacing w:val="-7"/>
          <w:sz w:val="22"/>
        </w:rPr>
        <w:t> </w:t>
      </w:r>
      <w:r>
        <w:rPr>
          <w:sz w:val="22"/>
        </w:rPr>
        <w:t>términos</w:t>
      </w:r>
      <w:r>
        <w:rPr>
          <w:spacing w:val="-5"/>
          <w:sz w:val="22"/>
        </w:rPr>
        <w:t> </w:t>
      </w:r>
      <w:r>
        <w:rPr>
          <w:sz w:val="22"/>
        </w:rPr>
        <w:t>de</w:t>
      </w:r>
      <w:r>
        <w:rPr>
          <w:spacing w:val="-8"/>
          <w:sz w:val="22"/>
        </w:rPr>
        <w:t> </w:t>
      </w:r>
      <w:r>
        <w:rPr>
          <w:sz w:val="22"/>
        </w:rPr>
        <w:t>la</w:t>
      </w:r>
      <w:r>
        <w:rPr>
          <w:spacing w:val="-7"/>
          <w:sz w:val="22"/>
        </w:rPr>
        <w:t> </w:t>
      </w:r>
      <w:r>
        <w:rPr>
          <w:sz w:val="22"/>
        </w:rPr>
        <w:t>oferta</w:t>
      </w:r>
      <w:r>
        <w:rPr>
          <w:spacing w:val="-7"/>
          <w:sz w:val="22"/>
        </w:rPr>
        <w:t> </w:t>
      </w:r>
      <w:r>
        <w:rPr>
          <w:sz w:val="22"/>
        </w:rPr>
        <w:t>del</w:t>
      </w:r>
      <w:r>
        <w:rPr>
          <w:spacing w:val="-6"/>
          <w:sz w:val="22"/>
        </w:rPr>
        <w:t> </w:t>
      </w:r>
      <w:r>
        <w:rPr>
          <w:sz w:val="22"/>
        </w:rPr>
        <w:t>contratista.</w:t>
      </w:r>
      <w:r>
        <w:rPr>
          <w:spacing w:val="-6"/>
          <w:sz w:val="22"/>
        </w:rPr>
        <w:t> </w:t>
      </w:r>
      <w:r>
        <w:rPr>
          <w:sz w:val="22"/>
        </w:rPr>
        <w:t>Fecha</w:t>
      </w:r>
      <w:r>
        <w:rPr>
          <w:spacing w:val="-8"/>
          <w:sz w:val="22"/>
        </w:rPr>
        <w:t> </w:t>
      </w:r>
      <w:r>
        <w:rPr>
          <w:sz w:val="22"/>
        </w:rPr>
        <w:t>de</w:t>
      </w:r>
      <w:r>
        <w:rPr>
          <w:spacing w:val="-8"/>
          <w:sz w:val="22"/>
        </w:rPr>
        <w:t> </w:t>
      </w:r>
      <w:r>
        <w:rPr>
          <w:sz w:val="22"/>
        </w:rPr>
        <w:t>vigencia</w:t>
      </w:r>
      <w:r>
        <w:rPr>
          <w:spacing w:val="-5"/>
          <w:sz w:val="22"/>
        </w:rPr>
        <w:t> </w:t>
      </w:r>
      <w:r>
        <w:rPr>
          <w:sz w:val="22"/>
        </w:rPr>
        <w:t>15/05/2019.</w:t>
      </w:r>
    </w:p>
    <w:p>
      <w:pPr>
        <w:pStyle w:val="BodyText"/>
        <w:spacing w:before="1"/>
      </w:pPr>
    </w:p>
    <w:p>
      <w:pPr>
        <w:spacing w:before="0"/>
        <w:ind w:left="1625" w:right="1601" w:firstLine="0"/>
        <w:jc w:val="both"/>
        <w:rPr>
          <w:sz w:val="22"/>
        </w:rPr>
      </w:pPr>
      <w:r>
        <w:rPr>
          <w:b/>
          <w:sz w:val="22"/>
        </w:rPr>
        <w:t>Reforma</w:t>
      </w:r>
      <w:r>
        <w:rPr>
          <w:b/>
          <w:spacing w:val="-1"/>
          <w:sz w:val="22"/>
        </w:rPr>
        <w:t> </w:t>
      </w:r>
      <w:r>
        <w:rPr>
          <w:b/>
          <w:sz w:val="22"/>
        </w:rPr>
        <w:t>de</w:t>
      </w:r>
      <w:r>
        <w:rPr>
          <w:b/>
          <w:spacing w:val="-4"/>
          <w:sz w:val="22"/>
        </w:rPr>
        <w:t> </w:t>
      </w:r>
      <w:r>
        <w:rPr>
          <w:b/>
          <w:sz w:val="22"/>
        </w:rPr>
        <w:t>la</w:t>
      </w:r>
      <w:r>
        <w:rPr>
          <w:b/>
          <w:spacing w:val="-1"/>
          <w:sz w:val="22"/>
        </w:rPr>
        <w:t> </w:t>
      </w:r>
      <w:r>
        <w:rPr>
          <w:b/>
          <w:sz w:val="22"/>
        </w:rPr>
        <w:t>Ley</w:t>
      </w:r>
      <w:r>
        <w:rPr>
          <w:b/>
          <w:spacing w:val="-1"/>
          <w:sz w:val="22"/>
        </w:rPr>
        <w:t> </w:t>
      </w:r>
      <w:r>
        <w:rPr>
          <w:b/>
          <w:sz w:val="22"/>
        </w:rPr>
        <w:t>N.º 7142, Ley</w:t>
      </w:r>
      <w:r>
        <w:rPr>
          <w:b/>
          <w:spacing w:val="-1"/>
          <w:sz w:val="22"/>
        </w:rPr>
        <w:t> </w:t>
      </w:r>
      <w:r>
        <w:rPr>
          <w:b/>
          <w:sz w:val="22"/>
        </w:rPr>
        <w:t>de</w:t>
      </w:r>
      <w:r>
        <w:rPr>
          <w:b/>
          <w:spacing w:val="-1"/>
          <w:sz w:val="22"/>
        </w:rPr>
        <w:t> </w:t>
      </w:r>
      <w:r>
        <w:rPr>
          <w:b/>
          <w:sz w:val="22"/>
        </w:rPr>
        <w:t>promoción</w:t>
      </w:r>
      <w:r>
        <w:rPr>
          <w:b/>
          <w:spacing w:val="-4"/>
          <w:sz w:val="22"/>
        </w:rPr>
        <w:t> </w:t>
      </w:r>
      <w:r>
        <w:rPr>
          <w:b/>
          <w:sz w:val="22"/>
        </w:rPr>
        <w:t>de</w:t>
      </w:r>
      <w:r>
        <w:rPr>
          <w:b/>
          <w:spacing w:val="-1"/>
          <w:sz w:val="22"/>
        </w:rPr>
        <w:t> </w:t>
      </w:r>
      <w:r>
        <w:rPr>
          <w:b/>
          <w:sz w:val="22"/>
        </w:rPr>
        <w:t>la</w:t>
      </w:r>
      <w:r>
        <w:rPr>
          <w:b/>
          <w:spacing w:val="-1"/>
          <w:sz w:val="22"/>
        </w:rPr>
        <w:t> </w:t>
      </w:r>
      <w:r>
        <w:rPr>
          <w:b/>
          <w:sz w:val="22"/>
        </w:rPr>
        <w:t>igualdad</w:t>
      </w:r>
      <w:r>
        <w:rPr>
          <w:b/>
          <w:spacing w:val="-1"/>
          <w:sz w:val="22"/>
        </w:rPr>
        <w:t> </w:t>
      </w:r>
      <w:r>
        <w:rPr>
          <w:b/>
          <w:sz w:val="22"/>
        </w:rPr>
        <w:t>social de</w:t>
      </w:r>
      <w:r>
        <w:rPr>
          <w:b/>
          <w:spacing w:val="-1"/>
          <w:sz w:val="22"/>
        </w:rPr>
        <w:t> </w:t>
      </w:r>
      <w:r>
        <w:rPr>
          <w:b/>
          <w:sz w:val="22"/>
        </w:rPr>
        <w:t>la</w:t>
      </w:r>
      <w:r>
        <w:rPr>
          <w:b/>
          <w:spacing w:val="-1"/>
          <w:sz w:val="22"/>
        </w:rPr>
        <w:t> </w:t>
      </w:r>
      <w:r>
        <w:rPr>
          <w:b/>
          <w:sz w:val="22"/>
        </w:rPr>
        <w:t>mujer</w:t>
      </w:r>
      <w:r>
        <w:rPr>
          <w:sz w:val="22"/>
        </w:rPr>
        <w:t>, de 8 de marzo de 1990, para la protección de la igualdad salarial entre mujeres y hombres 9677 fecha</w:t>
      </w:r>
      <w:r>
        <w:rPr>
          <w:spacing w:val="-2"/>
          <w:sz w:val="22"/>
        </w:rPr>
        <w:t> </w:t>
      </w:r>
      <w:r>
        <w:rPr>
          <w:sz w:val="22"/>
        </w:rPr>
        <w:t>de</w:t>
      </w:r>
      <w:r>
        <w:rPr>
          <w:spacing w:val="-2"/>
          <w:sz w:val="22"/>
        </w:rPr>
        <w:t> </w:t>
      </w:r>
      <w:r>
        <w:rPr>
          <w:sz w:val="22"/>
        </w:rPr>
        <w:t>vigencia 21/05/2019, Adiciona los</w:t>
      </w:r>
      <w:r>
        <w:rPr>
          <w:spacing w:val="-4"/>
          <w:sz w:val="22"/>
        </w:rPr>
        <w:t> </w:t>
      </w:r>
      <w:r>
        <w:rPr>
          <w:sz w:val="22"/>
        </w:rPr>
        <w:t>artículos 14, 15</w:t>
      </w:r>
      <w:r>
        <w:rPr>
          <w:spacing w:val="-2"/>
          <w:sz w:val="22"/>
        </w:rPr>
        <w:t> </w:t>
      </w:r>
      <w:r>
        <w:rPr>
          <w:sz w:val="22"/>
        </w:rPr>
        <w:t>y</w:t>
      </w:r>
      <w:r>
        <w:rPr>
          <w:spacing w:val="-2"/>
          <w:sz w:val="22"/>
        </w:rPr>
        <w:t> </w:t>
      </w:r>
      <w:r>
        <w:rPr>
          <w:sz w:val="22"/>
        </w:rPr>
        <w:t>16</w:t>
      </w:r>
      <w:r>
        <w:rPr>
          <w:spacing w:val="-2"/>
          <w:sz w:val="22"/>
        </w:rPr>
        <w:t> </w:t>
      </w:r>
      <w:r>
        <w:rPr>
          <w:sz w:val="22"/>
        </w:rPr>
        <w:t>al</w:t>
      </w:r>
      <w:r>
        <w:rPr>
          <w:spacing w:val="-1"/>
          <w:sz w:val="22"/>
        </w:rPr>
        <w:t> </w:t>
      </w:r>
      <w:r>
        <w:rPr>
          <w:sz w:val="22"/>
        </w:rPr>
        <w:t>capítulo</w:t>
      </w:r>
      <w:r>
        <w:rPr>
          <w:spacing w:val="-2"/>
          <w:sz w:val="22"/>
        </w:rPr>
        <w:t> </w:t>
      </w:r>
      <w:r>
        <w:rPr>
          <w:sz w:val="22"/>
        </w:rPr>
        <w:t>III de</w:t>
      </w:r>
      <w:r>
        <w:rPr>
          <w:spacing w:val="-2"/>
          <w:sz w:val="22"/>
        </w:rPr>
        <w:t> </w:t>
      </w:r>
      <w:r>
        <w:rPr>
          <w:sz w:val="22"/>
        </w:rPr>
        <w:t>la Ley N.º 7142, Ley de Promoción de la Igualdad Social de la Mujer, de 8 de marzo de </w:t>
      </w:r>
      <w:r>
        <w:rPr>
          <w:spacing w:val="-2"/>
          <w:sz w:val="22"/>
        </w:rPr>
        <w:t>1990.</w:t>
      </w:r>
    </w:p>
    <w:p>
      <w:pPr>
        <w:spacing w:before="1"/>
        <w:ind w:left="1625" w:right="1603" w:firstLine="0"/>
        <w:jc w:val="both"/>
        <w:rPr>
          <w:sz w:val="22"/>
        </w:rPr>
      </w:pPr>
      <w:r>
        <w:rPr>
          <w:b/>
          <w:sz w:val="22"/>
        </w:rPr>
        <w:t>Ley N° 9699 Responsabilidad de las Personas Jurídicas sobre Cohechos Domésticos,</w:t>
      </w:r>
      <w:r>
        <w:rPr>
          <w:b/>
          <w:spacing w:val="-1"/>
          <w:sz w:val="22"/>
        </w:rPr>
        <w:t> </w:t>
      </w:r>
      <w:r>
        <w:rPr>
          <w:b/>
          <w:sz w:val="22"/>
        </w:rPr>
        <w:t>Soborno</w:t>
      </w:r>
      <w:r>
        <w:rPr>
          <w:b/>
          <w:spacing w:val="-8"/>
          <w:sz w:val="22"/>
        </w:rPr>
        <w:t> </w:t>
      </w:r>
      <w:r>
        <w:rPr>
          <w:b/>
          <w:sz w:val="22"/>
        </w:rPr>
        <w:t>Transnacional</w:t>
      </w:r>
      <w:r>
        <w:rPr>
          <w:b/>
          <w:spacing w:val="-4"/>
          <w:sz w:val="22"/>
        </w:rPr>
        <w:t> </w:t>
      </w:r>
      <w:r>
        <w:rPr>
          <w:b/>
          <w:sz w:val="22"/>
        </w:rPr>
        <w:t>y</w:t>
      </w:r>
      <w:r>
        <w:rPr>
          <w:b/>
          <w:spacing w:val="-5"/>
          <w:sz w:val="22"/>
        </w:rPr>
        <w:t> </w:t>
      </w:r>
      <w:r>
        <w:rPr>
          <w:b/>
          <w:sz w:val="22"/>
        </w:rPr>
        <w:t>Otros</w:t>
      </w:r>
      <w:r>
        <w:rPr>
          <w:b/>
          <w:spacing w:val="-5"/>
          <w:sz w:val="22"/>
        </w:rPr>
        <w:t> </w:t>
      </w:r>
      <w:r>
        <w:rPr>
          <w:b/>
          <w:sz w:val="22"/>
        </w:rPr>
        <w:t>Delitos</w:t>
      </w:r>
      <w:r>
        <w:rPr>
          <w:b/>
          <w:spacing w:val="-3"/>
          <w:sz w:val="22"/>
        </w:rPr>
        <w:t> </w:t>
      </w:r>
      <w:r>
        <w:rPr>
          <w:sz w:val="22"/>
        </w:rPr>
        <w:t>Regula</w:t>
      </w:r>
      <w:r>
        <w:rPr>
          <w:spacing w:val="-3"/>
          <w:sz w:val="22"/>
        </w:rPr>
        <w:t> </w:t>
      </w:r>
      <w:r>
        <w:rPr>
          <w:sz w:val="22"/>
        </w:rPr>
        <w:t>la</w:t>
      </w:r>
      <w:r>
        <w:rPr>
          <w:spacing w:val="-3"/>
          <w:sz w:val="22"/>
        </w:rPr>
        <w:t> </w:t>
      </w:r>
      <w:r>
        <w:rPr>
          <w:sz w:val="22"/>
        </w:rPr>
        <w:t>responsabilidad</w:t>
      </w:r>
      <w:r>
        <w:rPr>
          <w:spacing w:val="-3"/>
          <w:sz w:val="22"/>
        </w:rPr>
        <w:t> </w:t>
      </w:r>
      <w:r>
        <w:rPr>
          <w:sz w:val="22"/>
        </w:rPr>
        <w:t>penal de las personas jurídicas respecto de los delitos de cohechos domésticos, soborno transnacional y otros delitos, el procedimiento para la investigación y el establecimiento</w:t>
      </w:r>
    </w:p>
    <w:p>
      <w:pPr>
        <w:spacing w:after="0"/>
        <w:jc w:val="both"/>
        <w:rPr>
          <w:sz w:val="22"/>
        </w:rPr>
        <w:sectPr>
          <w:pgSz w:w="12240" w:h="15840"/>
          <w:pgMar w:header="0" w:footer="1576" w:top="1000" w:bottom="1760" w:left="360" w:right="0"/>
        </w:sectPr>
      </w:pPr>
    </w:p>
    <w:p>
      <w:pPr>
        <w:pStyle w:val="BodyText"/>
        <w:spacing w:before="77"/>
        <w:ind w:left="1625" w:right="1604"/>
        <w:jc w:val="both"/>
      </w:pPr>
      <w:r>
        <w:rPr/>
        <w:t>de dicha responsabilidad penal, la determinación de las sanciones penales correspondientes y la ejecución de estas, así como los supuestos en los cuales la presente</w:t>
      </w:r>
      <w:r>
        <w:rPr>
          <w:spacing w:val="-9"/>
        </w:rPr>
        <w:t> </w:t>
      </w:r>
      <w:r>
        <w:rPr/>
        <w:t>ley</w:t>
      </w:r>
      <w:r>
        <w:rPr>
          <w:spacing w:val="-12"/>
        </w:rPr>
        <w:t> </w:t>
      </w:r>
      <w:r>
        <w:rPr/>
        <w:t>resulta</w:t>
      </w:r>
      <w:r>
        <w:rPr>
          <w:spacing w:val="-10"/>
        </w:rPr>
        <w:t> </w:t>
      </w:r>
      <w:r>
        <w:rPr/>
        <w:t>procedente.</w:t>
      </w:r>
      <w:r>
        <w:rPr>
          <w:spacing w:val="-9"/>
        </w:rPr>
        <w:t> </w:t>
      </w:r>
      <w:r>
        <w:rPr/>
        <w:t>Disposiciones</w:t>
      </w:r>
      <w:r>
        <w:rPr>
          <w:spacing w:val="-10"/>
        </w:rPr>
        <w:t> </w:t>
      </w:r>
      <w:r>
        <w:rPr/>
        <w:t>atinentes</w:t>
      </w:r>
      <w:r>
        <w:rPr>
          <w:spacing w:val="-9"/>
        </w:rPr>
        <w:t> </w:t>
      </w:r>
      <w:r>
        <w:rPr/>
        <w:t>a</w:t>
      </w:r>
      <w:r>
        <w:rPr>
          <w:spacing w:val="-10"/>
        </w:rPr>
        <w:t> </w:t>
      </w:r>
      <w:r>
        <w:rPr/>
        <w:t>empresas</w:t>
      </w:r>
      <w:r>
        <w:rPr>
          <w:spacing w:val="-10"/>
        </w:rPr>
        <w:t> </w:t>
      </w:r>
      <w:r>
        <w:rPr/>
        <w:t>públicas</w:t>
      </w:r>
      <w:r>
        <w:rPr>
          <w:spacing w:val="-10"/>
        </w:rPr>
        <w:t> </w:t>
      </w:r>
      <w:r>
        <w:rPr/>
        <w:t>estatales</w:t>
      </w:r>
      <w:r>
        <w:rPr>
          <w:spacing w:val="-10"/>
        </w:rPr>
        <w:t> </w:t>
      </w:r>
      <w:r>
        <w:rPr/>
        <w:t>y no estatales y las instituciones autónomas, que estén vinculadas con relaciones comerciales internacionales. Fecha de vigencia 11/06/2019.</w:t>
      </w:r>
    </w:p>
    <w:p>
      <w:pPr>
        <w:spacing w:before="253"/>
        <w:ind w:left="1625" w:right="1605" w:firstLine="0"/>
        <w:jc w:val="both"/>
        <w:rPr>
          <w:sz w:val="22"/>
        </w:rPr>
      </w:pPr>
      <w:r>
        <w:rPr>
          <w:b/>
          <w:sz w:val="22"/>
        </w:rPr>
        <w:t>Adición de un párrafo primero y reforma del tercer párrafo del artículo 176 de la Constitución</w:t>
      </w:r>
      <w:r>
        <w:rPr>
          <w:b/>
          <w:spacing w:val="-12"/>
          <w:sz w:val="22"/>
        </w:rPr>
        <w:t> </w:t>
      </w:r>
      <w:r>
        <w:rPr>
          <w:b/>
          <w:sz w:val="22"/>
        </w:rPr>
        <w:t>Política</w:t>
      </w:r>
      <w:r>
        <w:rPr>
          <w:b/>
          <w:spacing w:val="-9"/>
          <w:sz w:val="22"/>
        </w:rPr>
        <w:t> </w:t>
      </w:r>
      <w:r>
        <w:rPr>
          <w:b/>
          <w:sz w:val="22"/>
        </w:rPr>
        <w:t>de</w:t>
      </w:r>
      <w:r>
        <w:rPr>
          <w:b/>
          <w:spacing w:val="-8"/>
          <w:sz w:val="22"/>
        </w:rPr>
        <w:t> </w:t>
      </w:r>
      <w:r>
        <w:rPr>
          <w:b/>
          <w:sz w:val="22"/>
        </w:rPr>
        <w:t>la</w:t>
      </w:r>
      <w:r>
        <w:rPr>
          <w:b/>
          <w:spacing w:val="-8"/>
          <w:sz w:val="22"/>
        </w:rPr>
        <w:t> </w:t>
      </w:r>
      <w:r>
        <w:rPr>
          <w:b/>
          <w:sz w:val="22"/>
        </w:rPr>
        <w:t>República</w:t>
      </w:r>
      <w:r>
        <w:rPr>
          <w:b/>
          <w:spacing w:val="-9"/>
          <w:sz w:val="22"/>
        </w:rPr>
        <w:t> </w:t>
      </w:r>
      <w:r>
        <w:rPr>
          <w:b/>
          <w:sz w:val="22"/>
        </w:rPr>
        <w:t>de</w:t>
      </w:r>
      <w:r>
        <w:rPr>
          <w:b/>
          <w:spacing w:val="-9"/>
          <w:sz w:val="22"/>
        </w:rPr>
        <w:t> </w:t>
      </w:r>
      <w:r>
        <w:rPr>
          <w:b/>
          <w:sz w:val="22"/>
        </w:rPr>
        <w:t>Costa</w:t>
      </w:r>
      <w:r>
        <w:rPr>
          <w:b/>
          <w:spacing w:val="-11"/>
          <w:sz w:val="22"/>
        </w:rPr>
        <w:t> </w:t>
      </w:r>
      <w:r>
        <w:rPr>
          <w:b/>
          <w:sz w:val="22"/>
        </w:rPr>
        <w:t>Rica</w:t>
      </w:r>
      <w:r>
        <w:rPr>
          <w:b/>
          <w:spacing w:val="-6"/>
          <w:sz w:val="22"/>
        </w:rPr>
        <w:t> </w:t>
      </w:r>
      <w:r>
        <w:rPr>
          <w:sz w:val="22"/>
        </w:rPr>
        <w:t>Ley</w:t>
      </w:r>
      <w:r>
        <w:rPr>
          <w:spacing w:val="-8"/>
          <w:sz w:val="22"/>
        </w:rPr>
        <w:t> </w:t>
      </w:r>
      <w:r>
        <w:rPr>
          <w:sz w:val="22"/>
        </w:rPr>
        <w:t>N°</w:t>
      </w:r>
      <w:r>
        <w:rPr>
          <w:spacing w:val="-8"/>
          <w:sz w:val="22"/>
        </w:rPr>
        <w:t> </w:t>
      </w:r>
      <w:r>
        <w:rPr>
          <w:sz w:val="22"/>
        </w:rPr>
        <w:t>9696.,</w:t>
      </w:r>
      <w:r>
        <w:rPr>
          <w:spacing w:val="-7"/>
          <w:sz w:val="22"/>
        </w:rPr>
        <w:t> </w:t>
      </w:r>
      <w:r>
        <w:rPr>
          <w:sz w:val="22"/>
        </w:rPr>
        <w:t>Reforma</w:t>
      </w:r>
      <w:r>
        <w:rPr>
          <w:spacing w:val="-8"/>
          <w:sz w:val="22"/>
        </w:rPr>
        <w:t> </w:t>
      </w:r>
      <w:r>
        <w:rPr>
          <w:sz w:val="22"/>
        </w:rPr>
        <w:t>el</w:t>
      </w:r>
      <w:r>
        <w:rPr>
          <w:spacing w:val="-9"/>
          <w:sz w:val="22"/>
        </w:rPr>
        <w:t> </w:t>
      </w:r>
      <w:r>
        <w:rPr>
          <w:spacing w:val="-2"/>
          <w:sz w:val="22"/>
        </w:rPr>
        <w:t>artículo</w:t>
      </w:r>
    </w:p>
    <w:p>
      <w:pPr>
        <w:pStyle w:val="BodyText"/>
        <w:ind w:left="1625" w:right="1700"/>
      </w:pPr>
      <w:r>
        <w:rPr/>
        <w:t>176</w:t>
      </w:r>
      <w:r>
        <w:rPr>
          <w:spacing w:val="40"/>
        </w:rPr>
        <w:t> </w:t>
      </w:r>
      <w:r>
        <w:rPr/>
        <w:t>de</w:t>
      </w:r>
      <w:r>
        <w:rPr>
          <w:spacing w:val="40"/>
        </w:rPr>
        <w:t> </w:t>
      </w:r>
      <w:r>
        <w:rPr/>
        <w:t>la</w:t>
      </w:r>
      <w:r>
        <w:rPr>
          <w:spacing w:val="40"/>
        </w:rPr>
        <w:t> </w:t>
      </w:r>
      <w:r>
        <w:rPr/>
        <w:t>Constitución</w:t>
      </w:r>
      <w:r>
        <w:rPr>
          <w:spacing w:val="40"/>
        </w:rPr>
        <w:t> </w:t>
      </w:r>
      <w:r>
        <w:rPr/>
        <w:t>Política,</w:t>
      </w:r>
      <w:r>
        <w:rPr>
          <w:spacing w:val="40"/>
        </w:rPr>
        <w:t> </w:t>
      </w:r>
      <w:r>
        <w:rPr/>
        <w:t>referente</w:t>
      </w:r>
      <w:r>
        <w:rPr>
          <w:spacing w:val="40"/>
        </w:rPr>
        <w:t> </w:t>
      </w:r>
      <w:r>
        <w:rPr/>
        <w:t>a</w:t>
      </w:r>
      <w:r>
        <w:rPr>
          <w:spacing w:val="40"/>
        </w:rPr>
        <w:t> </w:t>
      </w:r>
      <w:r>
        <w:rPr/>
        <w:t>los</w:t>
      </w:r>
      <w:r>
        <w:rPr>
          <w:spacing w:val="40"/>
        </w:rPr>
        <w:t> </w:t>
      </w:r>
      <w:r>
        <w:rPr/>
        <w:t>principios</w:t>
      </w:r>
      <w:r>
        <w:rPr>
          <w:spacing w:val="40"/>
        </w:rPr>
        <w:t> </w:t>
      </w:r>
      <w:r>
        <w:rPr/>
        <w:t>de</w:t>
      </w:r>
      <w:r>
        <w:rPr>
          <w:spacing w:val="40"/>
        </w:rPr>
        <w:t> </w:t>
      </w:r>
      <w:r>
        <w:rPr/>
        <w:t>sostenibilidad</w:t>
      </w:r>
      <w:r>
        <w:rPr>
          <w:spacing w:val="40"/>
        </w:rPr>
        <w:t> </w:t>
      </w:r>
      <w:r>
        <w:rPr/>
        <w:t>fiscal</w:t>
      </w:r>
      <w:r>
        <w:rPr>
          <w:spacing w:val="40"/>
        </w:rPr>
        <w:t> </w:t>
      </w:r>
      <w:r>
        <w:rPr/>
        <w:t>y plurianualidad. Fecha de vigencia 07/08/2019.</w:t>
      </w:r>
    </w:p>
    <w:p>
      <w:pPr>
        <w:spacing w:before="253"/>
        <w:ind w:left="1625" w:right="1605" w:firstLine="0"/>
        <w:jc w:val="both"/>
        <w:rPr>
          <w:sz w:val="22"/>
        </w:rPr>
      </w:pPr>
      <w:r>
        <w:rPr>
          <w:b/>
          <w:sz w:val="22"/>
        </w:rPr>
        <w:t>Ley</w:t>
      </w:r>
      <w:r>
        <w:rPr>
          <w:b/>
          <w:spacing w:val="-3"/>
          <w:sz w:val="22"/>
        </w:rPr>
        <w:t> </w:t>
      </w:r>
      <w:r>
        <w:rPr>
          <w:b/>
          <w:sz w:val="22"/>
        </w:rPr>
        <w:t>del</w:t>
      </w:r>
      <w:r>
        <w:rPr>
          <w:b/>
          <w:spacing w:val="-2"/>
          <w:sz w:val="22"/>
        </w:rPr>
        <w:t> </w:t>
      </w:r>
      <w:r>
        <w:rPr>
          <w:b/>
          <w:sz w:val="22"/>
        </w:rPr>
        <w:t>Sistema</w:t>
      </w:r>
      <w:r>
        <w:rPr>
          <w:b/>
          <w:spacing w:val="-3"/>
          <w:sz w:val="22"/>
        </w:rPr>
        <w:t> </w:t>
      </w:r>
      <w:r>
        <w:rPr>
          <w:b/>
          <w:sz w:val="22"/>
        </w:rPr>
        <w:t>de</w:t>
      </w:r>
      <w:r>
        <w:rPr>
          <w:b/>
          <w:spacing w:val="-6"/>
          <w:sz w:val="22"/>
        </w:rPr>
        <w:t> </w:t>
      </w:r>
      <w:r>
        <w:rPr>
          <w:b/>
          <w:sz w:val="22"/>
        </w:rPr>
        <w:t>Estadística</w:t>
      </w:r>
      <w:r>
        <w:rPr>
          <w:b/>
          <w:spacing w:val="-3"/>
          <w:sz w:val="22"/>
        </w:rPr>
        <w:t> </w:t>
      </w:r>
      <w:r>
        <w:rPr>
          <w:b/>
          <w:sz w:val="22"/>
        </w:rPr>
        <w:t>Nacional,</w:t>
      </w:r>
      <w:r>
        <w:rPr>
          <w:b/>
          <w:spacing w:val="-1"/>
          <w:sz w:val="22"/>
        </w:rPr>
        <w:t> </w:t>
      </w:r>
      <w:r>
        <w:rPr>
          <w:b/>
          <w:sz w:val="22"/>
        </w:rPr>
        <w:t>N°</w:t>
      </w:r>
      <w:r>
        <w:rPr>
          <w:b/>
          <w:spacing w:val="-4"/>
          <w:sz w:val="22"/>
        </w:rPr>
        <w:t> </w:t>
      </w:r>
      <w:r>
        <w:rPr>
          <w:b/>
          <w:sz w:val="22"/>
        </w:rPr>
        <w:t>9694</w:t>
      </w:r>
      <w:r>
        <w:rPr>
          <w:b/>
          <w:spacing w:val="-3"/>
          <w:sz w:val="22"/>
        </w:rPr>
        <w:t> </w:t>
      </w:r>
      <w:r>
        <w:rPr>
          <w:b/>
          <w:sz w:val="22"/>
        </w:rPr>
        <w:t>y</w:t>
      </w:r>
      <w:r>
        <w:rPr>
          <w:b/>
          <w:spacing w:val="-2"/>
          <w:sz w:val="22"/>
        </w:rPr>
        <w:t> </w:t>
      </w:r>
      <w:r>
        <w:rPr>
          <w:b/>
          <w:sz w:val="22"/>
        </w:rPr>
        <w:t>sus</w:t>
      </w:r>
      <w:r>
        <w:rPr>
          <w:b/>
          <w:spacing w:val="-3"/>
          <w:sz w:val="22"/>
        </w:rPr>
        <w:t> </w:t>
      </w:r>
      <w:r>
        <w:rPr>
          <w:b/>
          <w:sz w:val="22"/>
        </w:rPr>
        <w:t>reformas. </w:t>
      </w:r>
      <w:r>
        <w:rPr>
          <w:sz w:val="22"/>
        </w:rPr>
        <w:t>Regula</w:t>
      </w:r>
      <w:r>
        <w:rPr>
          <w:spacing w:val="-3"/>
          <w:sz w:val="22"/>
        </w:rPr>
        <w:t> </w:t>
      </w:r>
      <w:r>
        <w:rPr>
          <w:sz w:val="22"/>
        </w:rPr>
        <w:t>el</w:t>
      </w:r>
      <w:r>
        <w:rPr>
          <w:spacing w:val="-3"/>
          <w:sz w:val="22"/>
        </w:rPr>
        <w:t> </w:t>
      </w:r>
      <w:r>
        <w:rPr>
          <w:sz w:val="22"/>
        </w:rPr>
        <w:t>Sistema de Estadística Nacional, las instituciones que lo componen, fija las normas básicas para su adecuada coordinación y la obtención de información que permita el desarrollo estadístico de manera veraz y oportuna. Fecha de vigencia 13/06/2019.</w:t>
      </w:r>
    </w:p>
    <w:p>
      <w:pPr>
        <w:pStyle w:val="BodyText"/>
      </w:pPr>
    </w:p>
    <w:p>
      <w:pPr>
        <w:spacing w:before="0"/>
        <w:ind w:left="1625" w:right="1607" w:firstLine="0"/>
        <w:jc w:val="both"/>
        <w:rPr>
          <w:sz w:val="22"/>
        </w:rPr>
      </w:pPr>
      <w:r>
        <w:rPr>
          <w:b/>
          <w:sz w:val="22"/>
        </w:rPr>
        <w:t>Ley para Garantizar la Protección Especial del Estado a las Personas con Discapacidad, N° 9697. </w:t>
      </w:r>
      <w:r>
        <w:rPr>
          <w:sz w:val="22"/>
        </w:rPr>
        <w:t>Reforma al artículo 51 de la Constitución Política para la garantizar protección especial del Estado a las personas con discapacidad. Fecha de vigencia 07/08/2019.</w:t>
      </w:r>
    </w:p>
    <w:p>
      <w:pPr>
        <w:pStyle w:val="BodyText"/>
      </w:pPr>
    </w:p>
    <w:p>
      <w:pPr>
        <w:pStyle w:val="BodyText"/>
        <w:ind w:left="1625" w:right="1602"/>
        <w:jc w:val="both"/>
      </w:pPr>
      <w:r>
        <w:rPr>
          <w:b/>
        </w:rPr>
        <w:t>Ley para Regular el Teletrabajo y sus reformas, N° 9738</w:t>
      </w:r>
      <w:r>
        <w:rPr>
          <w:b/>
          <w:i/>
        </w:rPr>
        <w:t>. </w:t>
      </w:r>
      <w:r>
        <w:rPr/>
        <w:t>Promueve, regula e implementa el teletrabajo como un instrumento para la generación de empleo y modernización de las organizaciones públicas y privadas, a través de la utilización de tecnologías de la información y comunicación. Fecha de vigencia 10/10/2019.</w:t>
      </w:r>
    </w:p>
    <w:p>
      <w:pPr>
        <w:pStyle w:val="BodyText"/>
      </w:pPr>
    </w:p>
    <w:p>
      <w:pPr>
        <w:spacing w:before="0"/>
        <w:ind w:left="1625" w:right="1601" w:firstLine="0"/>
        <w:jc w:val="both"/>
        <w:rPr>
          <w:sz w:val="22"/>
        </w:rPr>
      </w:pPr>
      <w:r>
        <w:rPr>
          <w:b/>
          <w:sz w:val="22"/>
        </w:rPr>
        <w:t>Ley de Reforma al artículo 111 del Código Procesal (</w:t>
      </w:r>
      <w:r>
        <w:rPr>
          <w:sz w:val="22"/>
        </w:rPr>
        <w:t>Ley N° 8508). Su objetivo es evitar que la falta de cumplimiento de los plazos para dictar sentencia anule de forma automática el proceso judicial. Fecha de vigencia 13/12/2019.</w:t>
      </w:r>
    </w:p>
    <w:p>
      <w:pPr>
        <w:pStyle w:val="BodyText"/>
        <w:spacing w:before="1"/>
      </w:pPr>
    </w:p>
    <w:p>
      <w:pPr>
        <w:spacing w:before="0"/>
        <w:ind w:left="1625" w:right="1602" w:firstLine="0"/>
        <w:jc w:val="both"/>
        <w:rPr>
          <w:sz w:val="22"/>
        </w:rPr>
      </w:pPr>
      <w:r>
        <w:rPr>
          <w:b/>
          <w:sz w:val="22"/>
        </w:rPr>
        <w:t>Ley de Adición de artículos 112 bis y 112 ter al Código Procesal Contencioso Administrativo para Regular la Caducidad del Proceso, N° 9762. </w:t>
      </w:r>
      <w:r>
        <w:rPr>
          <w:sz w:val="22"/>
        </w:rPr>
        <w:t>Adiciona el artículo 112</w:t>
      </w:r>
      <w:r>
        <w:rPr>
          <w:spacing w:val="-2"/>
          <w:sz w:val="22"/>
        </w:rPr>
        <w:t> </w:t>
      </w:r>
      <w:r>
        <w:rPr>
          <w:sz w:val="22"/>
        </w:rPr>
        <w:t>bis</w:t>
      </w:r>
      <w:r>
        <w:rPr>
          <w:spacing w:val="-1"/>
          <w:sz w:val="22"/>
        </w:rPr>
        <w:t> </w:t>
      </w:r>
      <w:r>
        <w:rPr>
          <w:sz w:val="22"/>
        </w:rPr>
        <w:t>a</w:t>
      </w:r>
      <w:r>
        <w:rPr>
          <w:spacing w:val="-2"/>
          <w:sz w:val="22"/>
        </w:rPr>
        <w:t> </w:t>
      </w:r>
      <w:r>
        <w:rPr>
          <w:sz w:val="22"/>
        </w:rPr>
        <w:t>la</w:t>
      </w:r>
      <w:r>
        <w:rPr>
          <w:spacing w:val="-2"/>
          <w:sz w:val="22"/>
        </w:rPr>
        <w:t> </w:t>
      </w:r>
      <w:r>
        <w:rPr>
          <w:sz w:val="22"/>
        </w:rPr>
        <w:t>Ley</w:t>
      </w:r>
      <w:r>
        <w:rPr>
          <w:spacing w:val="-1"/>
          <w:sz w:val="22"/>
        </w:rPr>
        <w:t> </w:t>
      </w:r>
      <w:r>
        <w:rPr>
          <w:sz w:val="22"/>
        </w:rPr>
        <w:t>N°</w:t>
      </w:r>
      <w:r>
        <w:rPr>
          <w:spacing w:val="-1"/>
          <w:sz w:val="22"/>
        </w:rPr>
        <w:t> </w:t>
      </w:r>
      <w:r>
        <w:rPr>
          <w:sz w:val="22"/>
        </w:rPr>
        <w:t>8508, Código</w:t>
      </w:r>
      <w:r>
        <w:rPr>
          <w:spacing w:val="-2"/>
          <w:sz w:val="22"/>
        </w:rPr>
        <w:t> </w:t>
      </w:r>
      <w:r>
        <w:rPr>
          <w:sz w:val="22"/>
        </w:rPr>
        <w:t>Procesal</w:t>
      </w:r>
      <w:r>
        <w:rPr>
          <w:spacing w:val="-3"/>
          <w:sz w:val="22"/>
        </w:rPr>
        <w:t> </w:t>
      </w:r>
      <w:r>
        <w:rPr>
          <w:sz w:val="22"/>
        </w:rPr>
        <w:t>Contencioso-Administrativo,</w:t>
      </w:r>
      <w:r>
        <w:rPr>
          <w:spacing w:val="-3"/>
          <w:sz w:val="22"/>
        </w:rPr>
        <w:t> </w:t>
      </w:r>
      <w:r>
        <w:rPr>
          <w:sz w:val="22"/>
        </w:rPr>
        <w:t>de</w:t>
      </w:r>
      <w:r>
        <w:rPr>
          <w:spacing w:val="-2"/>
          <w:sz w:val="22"/>
        </w:rPr>
        <w:t> </w:t>
      </w:r>
      <w:r>
        <w:rPr>
          <w:sz w:val="22"/>
        </w:rPr>
        <w:t>28</w:t>
      </w:r>
      <w:r>
        <w:rPr>
          <w:spacing w:val="-2"/>
          <w:sz w:val="22"/>
        </w:rPr>
        <w:t> </w:t>
      </w:r>
      <w:r>
        <w:rPr>
          <w:sz w:val="22"/>
        </w:rPr>
        <w:t>de</w:t>
      </w:r>
      <w:r>
        <w:rPr>
          <w:spacing w:val="-2"/>
          <w:sz w:val="22"/>
        </w:rPr>
        <w:t> </w:t>
      </w:r>
      <w:r>
        <w:rPr>
          <w:sz w:val="22"/>
        </w:rPr>
        <w:t>abril</w:t>
      </w:r>
      <w:r>
        <w:rPr>
          <w:spacing w:val="-2"/>
          <w:sz w:val="22"/>
        </w:rPr>
        <w:t> </w:t>
      </w:r>
      <w:r>
        <w:rPr>
          <w:sz w:val="22"/>
        </w:rPr>
        <w:t>de 2006 y el artículo 112</w:t>
      </w:r>
      <w:r>
        <w:rPr>
          <w:spacing w:val="-1"/>
          <w:sz w:val="22"/>
        </w:rPr>
        <w:t> </w:t>
      </w:r>
      <w:r>
        <w:rPr>
          <w:sz w:val="22"/>
        </w:rPr>
        <w:t>ter a la Ley N°8508, Código Procesal Contencioso-Administrativo, de 28 de abril de 2006. Fecha de vigencia 16/12/2019.</w:t>
      </w:r>
    </w:p>
    <w:p>
      <w:pPr>
        <w:pStyle w:val="BodyText"/>
        <w:spacing w:before="252"/>
        <w:ind w:left="1625" w:right="1603"/>
        <w:jc w:val="both"/>
      </w:pPr>
      <w:r>
        <w:rPr>
          <w:b/>
        </w:rPr>
        <w:t>Ley 9762, </w:t>
      </w:r>
      <w:r>
        <w:rPr/>
        <w:t>Adición de artículos 112 bis y 112 ter al Código Procesal Contencioso Administrativo para regular la caducidad del proceso, Ley N° 9762, adiciona el artículo 112</w:t>
      </w:r>
      <w:r>
        <w:rPr>
          <w:spacing w:val="-2"/>
        </w:rPr>
        <w:t> </w:t>
      </w:r>
      <w:r>
        <w:rPr/>
        <w:t>bis</w:t>
      </w:r>
      <w:r>
        <w:rPr>
          <w:spacing w:val="-1"/>
        </w:rPr>
        <w:t> </w:t>
      </w:r>
      <w:r>
        <w:rPr/>
        <w:t>a</w:t>
      </w:r>
      <w:r>
        <w:rPr>
          <w:spacing w:val="-2"/>
        </w:rPr>
        <w:t> </w:t>
      </w:r>
      <w:r>
        <w:rPr/>
        <w:t>la</w:t>
      </w:r>
      <w:r>
        <w:rPr>
          <w:spacing w:val="-2"/>
        </w:rPr>
        <w:t> </w:t>
      </w:r>
      <w:r>
        <w:rPr/>
        <w:t>Ley</w:t>
      </w:r>
      <w:r>
        <w:rPr>
          <w:spacing w:val="-1"/>
        </w:rPr>
        <w:t> </w:t>
      </w:r>
      <w:r>
        <w:rPr/>
        <w:t>N°</w:t>
      </w:r>
      <w:r>
        <w:rPr>
          <w:spacing w:val="-1"/>
        </w:rPr>
        <w:t> </w:t>
      </w:r>
      <w:r>
        <w:rPr/>
        <w:t>8508,</w:t>
      </w:r>
      <w:r>
        <w:rPr>
          <w:spacing w:val="-1"/>
        </w:rPr>
        <w:t> </w:t>
      </w:r>
      <w:r>
        <w:rPr/>
        <w:t>Código</w:t>
      </w:r>
      <w:r>
        <w:rPr>
          <w:spacing w:val="-2"/>
        </w:rPr>
        <w:t> </w:t>
      </w:r>
      <w:r>
        <w:rPr/>
        <w:t>Procesal</w:t>
      </w:r>
      <w:r>
        <w:rPr>
          <w:spacing w:val="-3"/>
        </w:rPr>
        <w:t> </w:t>
      </w:r>
      <w:r>
        <w:rPr/>
        <w:t>Contencioso-Administrativo,</w:t>
      </w:r>
      <w:r>
        <w:rPr>
          <w:spacing w:val="-3"/>
        </w:rPr>
        <w:t> </w:t>
      </w:r>
      <w:r>
        <w:rPr/>
        <w:t>de</w:t>
      </w:r>
      <w:r>
        <w:rPr>
          <w:spacing w:val="-2"/>
        </w:rPr>
        <w:t> </w:t>
      </w:r>
      <w:r>
        <w:rPr/>
        <w:t>28</w:t>
      </w:r>
      <w:r>
        <w:rPr>
          <w:spacing w:val="-2"/>
        </w:rPr>
        <w:t> </w:t>
      </w:r>
      <w:r>
        <w:rPr/>
        <w:t>de</w:t>
      </w:r>
      <w:r>
        <w:rPr>
          <w:spacing w:val="-2"/>
        </w:rPr>
        <w:t> </w:t>
      </w:r>
      <w:r>
        <w:rPr/>
        <w:t>abril</w:t>
      </w:r>
      <w:r>
        <w:rPr>
          <w:spacing w:val="-2"/>
        </w:rPr>
        <w:t> </w:t>
      </w:r>
      <w:r>
        <w:rPr/>
        <w:t>de 2006</w:t>
      </w:r>
      <w:r>
        <w:rPr>
          <w:spacing w:val="-3"/>
        </w:rPr>
        <w:t> </w:t>
      </w:r>
      <w:r>
        <w:rPr/>
        <w:t>y</w:t>
      </w:r>
      <w:r>
        <w:rPr>
          <w:spacing w:val="-2"/>
        </w:rPr>
        <w:t> </w:t>
      </w:r>
      <w:r>
        <w:rPr/>
        <w:t>el</w:t>
      </w:r>
      <w:r>
        <w:rPr>
          <w:spacing w:val="-6"/>
        </w:rPr>
        <w:t> </w:t>
      </w:r>
      <w:r>
        <w:rPr/>
        <w:t>artículo</w:t>
      </w:r>
      <w:r>
        <w:rPr>
          <w:spacing w:val="-5"/>
        </w:rPr>
        <w:t> </w:t>
      </w:r>
      <w:r>
        <w:rPr/>
        <w:t>112</w:t>
      </w:r>
      <w:r>
        <w:rPr>
          <w:spacing w:val="-5"/>
        </w:rPr>
        <w:t> </w:t>
      </w:r>
      <w:r>
        <w:rPr/>
        <w:t>ter</w:t>
      </w:r>
      <w:r>
        <w:rPr>
          <w:spacing w:val="-4"/>
        </w:rPr>
        <w:t> </w:t>
      </w:r>
      <w:r>
        <w:rPr/>
        <w:t>a</w:t>
      </w:r>
      <w:r>
        <w:rPr>
          <w:spacing w:val="-3"/>
        </w:rPr>
        <w:t> </w:t>
      </w:r>
      <w:r>
        <w:rPr/>
        <w:t>la</w:t>
      </w:r>
      <w:r>
        <w:rPr>
          <w:spacing w:val="-3"/>
        </w:rPr>
        <w:t> </w:t>
      </w:r>
      <w:r>
        <w:rPr/>
        <w:t>Ley</w:t>
      </w:r>
      <w:r>
        <w:rPr>
          <w:spacing w:val="-2"/>
        </w:rPr>
        <w:t> </w:t>
      </w:r>
      <w:r>
        <w:rPr/>
        <w:t>N°</w:t>
      </w:r>
      <w:r>
        <w:rPr>
          <w:spacing w:val="-4"/>
        </w:rPr>
        <w:t> </w:t>
      </w:r>
      <w:r>
        <w:rPr/>
        <w:t>8508,</w:t>
      </w:r>
      <w:r>
        <w:rPr>
          <w:spacing w:val="-4"/>
        </w:rPr>
        <w:t> </w:t>
      </w:r>
      <w:r>
        <w:rPr/>
        <w:t>Código</w:t>
      </w:r>
      <w:r>
        <w:rPr>
          <w:spacing w:val="-3"/>
        </w:rPr>
        <w:t> </w:t>
      </w:r>
      <w:r>
        <w:rPr/>
        <w:t>Procesal</w:t>
      </w:r>
      <w:r>
        <w:rPr>
          <w:spacing w:val="-4"/>
        </w:rPr>
        <w:t> </w:t>
      </w:r>
      <w:r>
        <w:rPr/>
        <w:t>Contencioso-Administrativo, de 28 de abril de 2006. Fecha de vigencia 16/12/2019.</w:t>
      </w:r>
    </w:p>
    <w:p>
      <w:pPr>
        <w:pStyle w:val="BodyText"/>
        <w:spacing w:before="1"/>
      </w:pPr>
    </w:p>
    <w:p>
      <w:pPr>
        <w:spacing w:before="0"/>
        <w:ind w:left="1625" w:right="1601" w:firstLine="0"/>
        <w:jc w:val="both"/>
        <w:rPr>
          <w:sz w:val="22"/>
        </w:rPr>
      </w:pPr>
      <w:r>
        <w:rPr>
          <w:b/>
          <w:sz w:val="22"/>
        </w:rPr>
        <w:t>Ley</w:t>
      </w:r>
      <w:r>
        <w:rPr>
          <w:b/>
          <w:spacing w:val="-2"/>
          <w:sz w:val="22"/>
        </w:rPr>
        <w:t> </w:t>
      </w:r>
      <w:r>
        <w:rPr>
          <w:b/>
          <w:sz w:val="22"/>
        </w:rPr>
        <w:t>para</w:t>
      </w:r>
      <w:r>
        <w:rPr>
          <w:b/>
          <w:spacing w:val="-2"/>
          <w:sz w:val="22"/>
        </w:rPr>
        <w:t> </w:t>
      </w:r>
      <w:r>
        <w:rPr>
          <w:b/>
          <w:sz w:val="22"/>
        </w:rPr>
        <w:t>Fortalecer</w:t>
      </w:r>
      <w:r>
        <w:rPr>
          <w:b/>
          <w:spacing w:val="-4"/>
          <w:sz w:val="22"/>
        </w:rPr>
        <w:t> </w:t>
      </w:r>
      <w:r>
        <w:rPr>
          <w:b/>
          <w:sz w:val="22"/>
        </w:rPr>
        <w:t>el</w:t>
      </w:r>
      <w:r>
        <w:rPr>
          <w:b/>
          <w:spacing w:val="-5"/>
          <w:sz w:val="22"/>
        </w:rPr>
        <w:t> </w:t>
      </w:r>
      <w:r>
        <w:rPr>
          <w:b/>
          <w:sz w:val="22"/>
        </w:rPr>
        <w:t>Combate</w:t>
      </w:r>
      <w:r>
        <w:rPr>
          <w:b/>
          <w:spacing w:val="-2"/>
          <w:sz w:val="22"/>
        </w:rPr>
        <w:t> </w:t>
      </w:r>
      <w:r>
        <w:rPr>
          <w:b/>
          <w:sz w:val="22"/>
        </w:rPr>
        <w:t>a</w:t>
      </w:r>
      <w:r>
        <w:rPr>
          <w:b/>
          <w:spacing w:val="-4"/>
          <w:sz w:val="22"/>
        </w:rPr>
        <w:t> </w:t>
      </w:r>
      <w:r>
        <w:rPr>
          <w:b/>
          <w:sz w:val="22"/>
        </w:rPr>
        <w:t>la</w:t>
      </w:r>
      <w:r>
        <w:rPr>
          <w:b/>
          <w:spacing w:val="-4"/>
          <w:sz w:val="22"/>
        </w:rPr>
        <w:t> </w:t>
      </w:r>
      <w:r>
        <w:rPr>
          <w:b/>
          <w:sz w:val="22"/>
        </w:rPr>
        <w:t>Pobreza,</w:t>
      </w:r>
      <w:r>
        <w:rPr>
          <w:b/>
          <w:spacing w:val="-3"/>
          <w:sz w:val="22"/>
        </w:rPr>
        <w:t> </w:t>
      </w:r>
      <w:r>
        <w:rPr>
          <w:b/>
          <w:sz w:val="22"/>
        </w:rPr>
        <w:t>N°</w:t>
      </w:r>
      <w:r>
        <w:rPr>
          <w:b/>
          <w:spacing w:val="-1"/>
          <w:sz w:val="22"/>
        </w:rPr>
        <w:t> </w:t>
      </w:r>
      <w:r>
        <w:rPr>
          <w:b/>
          <w:sz w:val="22"/>
        </w:rPr>
        <w:t>9820. </w:t>
      </w:r>
      <w:r>
        <w:rPr>
          <w:sz w:val="22"/>
        </w:rPr>
        <w:t>Reforma</w:t>
      </w:r>
      <w:r>
        <w:rPr>
          <w:spacing w:val="-4"/>
          <w:sz w:val="22"/>
        </w:rPr>
        <w:t> </w:t>
      </w:r>
      <w:r>
        <w:rPr>
          <w:sz w:val="22"/>
        </w:rPr>
        <w:t>los</w:t>
      </w:r>
      <w:r>
        <w:rPr>
          <w:spacing w:val="-2"/>
          <w:sz w:val="22"/>
        </w:rPr>
        <w:t> </w:t>
      </w:r>
      <w:r>
        <w:rPr>
          <w:sz w:val="22"/>
        </w:rPr>
        <w:t>artículos</w:t>
      </w:r>
      <w:r>
        <w:rPr>
          <w:spacing w:val="-2"/>
          <w:sz w:val="22"/>
        </w:rPr>
        <w:t> </w:t>
      </w:r>
      <w:r>
        <w:rPr>
          <w:sz w:val="22"/>
        </w:rPr>
        <w:t>4, 9</w:t>
      </w:r>
      <w:r>
        <w:rPr>
          <w:spacing w:val="-4"/>
          <w:sz w:val="22"/>
        </w:rPr>
        <w:t> </w:t>
      </w:r>
      <w:r>
        <w:rPr>
          <w:sz w:val="22"/>
        </w:rPr>
        <w:t>y</w:t>
      </w:r>
      <w:r>
        <w:rPr>
          <w:spacing w:val="-1"/>
          <w:sz w:val="22"/>
        </w:rPr>
        <w:t> </w:t>
      </w:r>
      <w:r>
        <w:rPr>
          <w:sz w:val="22"/>
        </w:rPr>
        <w:t>13 de la Ley 9326, Impuesto a los Moteles y Lugares Afines a favor del IMAS. Fecha de vigencia 24/03/2020.</w:t>
      </w:r>
    </w:p>
    <w:p>
      <w:pPr>
        <w:spacing w:before="252"/>
        <w:ind w:left="1625" w:right="1602" w:firstLine="0"/>
        <w:jc w:val="both"/>
        <w:rPr>
          <w:sz w:val="22"/>
        </w:rPr>
      </w:pPr>
      <w:r>
        <w:rPr>
          <w:b/>
          <w:sz w:val="22"/>
        </w:rPr>
        <w:t>Ley de Reactivación y Reforzamiento de la Red Nacional de Cuido y Desarrollo Infantil,</w:t>
      </w:r>
      <w:r>
        <w:rPr>
          <w:b/>
          <w:spacing w:val="-7"/>
          <w:sz w:val="22"/>
        </w:rPr>
        <w:t> </w:t>
      </w:r>
      <w:r>
        <w:rPr>
          <w:b/>
          <w:sz w:val="22"/>
        </w:rPr>
        <w:t>N°9941</w:t>
      </w:r>
      <w:r>
        <w:rPr>
          <w:b/>
          <w:spacing w:val="-9"/>
          <w:sz w:val="22"/>
        </w:rPr>
        <w:t> </w:t>
      </w:r>
      <w:r>
        <w:rPr>
          <w:b/>
          <w:sz w:val="22"/>
        </w:rPr>
        <w:t>y</w:t>
      </w:r>
      <w:r>
        <w:rPr>
          <w:b/>
          <w:spacing w:val="-6"/>
          <w:sz w:val="22"/>
        </w:rPr>
        <w:t> </w:t>
      </w:r>
      <w:r>
        <w:rPr>
          <w:b/>
          <w:sz w:val="22"/>
        </w:rPr>
        <w:t>sus</w:t>
      </w:r>
      <w:r>
        <w:rPr>
          <w:b/>
          <w:spacing w:val="-9"/>
          <w:sz w:val="22"/>
        </w:rPr>
        <w:t> </w:t>
      </w:r>
      <w:r>
        <w:rPr>
          <w:b/>
          <w:sz w:val="22"/>
        </w:rPr>
        <w:t>reformas.</w:t>
      </w:r>
      <w:r>
        <w:rPr>
          <w:b/>
          <w:spacing w:val="-6"/>
          <w:sz w:val="22"/>
        </w:rPr>
        <w:t> </w:t>
      </w:r>
      <w:r>
        <w:rPr>
          <w:sz w:val="22"/>
        </w:rPr>
        <w:t>Reforma</w:t>
      </w:r>
      <w:r>
        <w:rPr>
          <w:spacing w:val="-9"/>
          <w:sz w:val="22"/>
        </w:rPr>
        <w:t> </w:t>
      </w:r>
      <w:r>
        <w:rPr>
          <w:sz w:val="22"/>
        </w:rPr>
        <w:t>los</w:t>
      </w:r>
      <w:r>
        <w:rPr>
          <w:spacing w:val="-6"/>
          <w:sz w:val="22"/>
        </w:rPr>
        <w:t> </w:t>
      </w:r>
      <w:r>
        <w:rPr>
          <w:sz w:val="22"/>
        </w:rPr>
        <w:t>artículos</w:t>
      </w:r>
      <w:r>
        <w:rPr>
          <w:spacing w:val="-6"/>
          <w:sz w:val="22"/>
        </w:rPr>
        <w:t> </w:t>
      </w:r>
      <w:r>
        <w:rPr>
          <w:sz w:val="22"/>
        </w:rPr>
        <w:t>1,</w:t>
      </w:r>
      <w:r>
        <w:rPr>
          <w:spacing w:val="-8"/>
          <w:sz w:val="22"/>
        </w:rPr>
        <w:t> </w:t>
      </w:r>
      <w:r>
        <w:rPr>
          <w:sz w:val="22"/>
        </w:rPr>
        <w:t>3,</w:t>
      </w:r>
      <w:r>
        <w:rPr>
          <w:spacing w:val="-8"/>
          <w:sz w:val="22"/>
        </w:rPr>
        <w:t> </w:t>
      </w:r>
      <w:r>
        <w:rPr>
          <w:sz w:val="22"/>
        </w:rPr>
        <w:t>4,</w:t>
      </w:r>
      <w:r>
        <w:rPr>
          <w:spacing w:val="-5"/>
          <w:sz w:val="22"/>
        </w:rPr>
        <w:t> </w:t>
      </w:r>
      <w:r>
        <w:rPr>
          <w:sz w:val="22"/>
        </w:rPr>
        <w:t>7,</w:t>
      </w:r>
      <w:r>
        <w:rPr>
          <w:spacing w:val="-7"/>
          <w:sz w:val="22"/>
        </w:rPr>
        <w:t> </w:t>
      </w:r>
      <w:r>
        <w:rPr>
          <w:sz w:val="22"/>
        </w:rPr>
        <w:t>8,</w:t>
      </w:r>
      <w:r>
        <w:rPr>
          <w:spacing w:val="-8"/>
          <w:sz w:val="22"/>
        </w:rPr>
        <w:t> </w:t>
      </w:r>
      <w:r>
        <w:rPr>
          <w:sz w:val="22"/>
        </w:rPr>
        <w:t>9,</w:t>
      </w:r>
      <w:r>
        <w:rPr>
          <w:spacing w:val="-8"/>
          <w:sz w:val="22"/>
        </w:rPr>
        <w:t> </w:t>
      </w:r>
      <w:r>
        <w:rPr>
          <w:sz w:val="22"/>
        </w:rPr>
        <w:t>11</w:t>
      </w:r>
      <w:r>
        <w:rPr>
          <w:spacing w:val="-9"/>
          <w:sz w:val="22"/>
        </w:rPr>
        <w:t> </w:t>
      </w:r>
      <w:r>
        <w:rPr>
          <w:sz w:val="22"/>
        </w:rPr>
        <w:t>y</w:t>
      </w:r>
      <w:r>
        <w:rPr>
          <w:spacing w:val="-8"/>
          <w:sz w:val="22"/>
        </w:rPr>
        <w:t> </w:t>
      </w:r>
      <w:r>
        <w:rPr>
          <w:sz w:val="22"/>
        </w:rPr>
        <w:t>el</w:t>
      </w:r>
      <w:r>
        <w:rPr>
          <w:spacing w:val="-7"/>
          <w:sz w:val="22"/>
        </w:rPr>
        <w:t> </w:t>
      </w:r>
      <w:r>
        <w:rPr>
          <w:sz w:val="22"/>
        </w:rPr>
        <w:t>inciso</w:t>
      </w:r>
      <w:r>
        <w:rPr>
          <w:spacing w:val="-9"/>
          <w:sz w:val="22"/>
        </w:rPr>
        <w:t> </w:t>
      </w:r>
      <w:r>
        <w:rPr>
          <w:sz w:val="22"/>
        </w:rPr>
        <w:t>j)</w:t>
      </w:r>
      <w:r>
        <w:rPr>
          <w:spacing w:val="-8"/>
          <w:sz w:val="22"/>
        </w:rPr>
        <w:t> </w:t>
      </w:r>
      <w:r>
        <w:rPr>
          <w:sz w:val="22"/>
        </w:rPr>
        <w:t>del 12 y se corre su numeración, 15, 18 y 20 de la Ley 9220, Red Nacional de Cuido y Desarrollo Infantil, de 24 de marzo de 2014. Fecha de vigencia 02/03/2021.</w:t>
      </w:r>
    </w:p>
    <w:p>
      <w:pPr>
        <w:spacing w:after="0"/>
        <w:jc w:val="both"/>
        <w:rPr>
          <w:sz w:val="22"/>
        </w:rPr>
        <w:sectPr>
          <w:pgSz w:w="12240" w:h="15840"/>
          <w:pgMar w:header="0" w:footer="1576" w:top="1000" w:bottom="1760" w:left="360" w:right="0"/>
        </w:sectPr>
      </w:pPr>
    </w:p>
    <w:p>
      <w:pPr>
        <w:spacing w:before="77"/>
        <w:ind w:left="1625" w:right="1607" w:firstLine="0"/>
        <w:jc w:val="both"/>
        <w:rPr>
          <w:sz w:val="22"/>
        </w:rPr>
      </w:pPr>
      <w:r>
        <w:rPr>
          <w:b/>
          <w:sz w:val="22"/>
        </w:rPr>
        <w:t>Ley para confirmar el carácter de título ejecutivo a la factura electrónica y constituirla en valor negociable, N°10039</w:t>
      </w:r>
      <w:r>
        <w:rPr>
          <w:sz w:val="22"/>
        </w:rPr>
        <w:t>. Reforma el</w:t>
      </w:r>
      <w:r>
        <w:rPr>
          <w:spacing w:val="-1"/>
          <w:sz w:val="22"/>
        </w:rPr>
        <w:t> </w:t>
      </w:r>
      <w:r>
        <w:rPr>
          <w:sz w:val="22"/>
        </w:rPr>
        <w:t>artículo 460 bis</w:t>
      </w:r>
      <w:r>
        <w:rPr>
          <w:spacing w:val="-2"/>
          <w:sz w:val="22"/>
        </w:rPr>
        <w:t> </w:t>
      </w:r>
      <w:r>
        <w:rPr>
          <w:sz w:val="22"/>
        </w:rPr>
        <w:t>de la Ley 3284, Código de Comercio. Fecha de vigencia 19/10/2021.</w:t>
      </w:r>
    </w:p>
    <w:p>
      <w:pPr>
        <w:spacing w:before="252"/>
        <w:ind w:left="1625" w:right="1600" w:firstLine="0"/>
        <w:jc w:val="both"/>
        <w:rPr>
          <w:sz w:val="22"/>
        </w:rPr>
      </w:pPr>
      <w:r>
        <w:rPr>
          <w:b/>
          <w:sz w:val="22"/>
        </w:rPr>
        <w:t>Ley Exoneración a las Asociaciones Administradoras de Sistemas de Acueductos y Alcantarillados Comunales (ASADAS), N°8776 y sus reformas. </w:t>
      </w:r>
      <w:r>
        <w:rPr>
          <w:sz w:val="22"/>
        </w:rPr>
        <w:t>Fortalece el financiamiento de las asociaciones administradoras de sistemas de acueductos y alcantarillados comunales (Asadas), creando las condiciones que faciliten la adquisición de bienes y servicios para que viabilicen la efectiva gestión operacional de los sistemas de acueductos y alcantarillados comunales. Fecha de vigencia 09/12/2021.</w:t>
      </w:r>
    </w:p>
    <w:p>
      <w:pPr>
        <w:pStyle w:val="BodyText"/>
      </w:pPr>
    </w:p>
    <w:p>
      <w:pPr>
        <w:spacing w:before="1"/>
        <w:ind w:left="1625" w:right="1601" w:firstLine="0"/>
        <w:jc w:val="both"/>
        <w:rPr>
          <w:sz w:val="22"/>
        </w:rPr>
      </w:pPr>
      <w:r>
        <w:rPr>
          <w:b/>
          <w:sz w:val="22"/>
        </w:rPr>
        <w:t>Ley sobre Letra de Cambio y Pagaré Electrónicos, N.º 10069. </w:t>
      </w:r>
      <w:r>
        <w:rPr>
          <w:sz w:val="22"/>
        </w:rPr>
        <w:t>Regula la desmaterialización y electronificación de la letra de cambio y pagaré, así como su anotación en cuenta en los Registros Centralizados definidos en esta ley. Fecha de vigencia 09/12/2021.</w:t>
      </w:r>
    </w:p>
    <w:p>
      <w:pPr>
        <w:pStyle w:val="BodyText"/>
      </w:pPr>
    </w:p>
    <w:p>
      <w:pPr>
        <w:pStyle w:val="BodyText"/>
        <w:ind w:left="1625" w:right="1604"/>
        <w:jc w:val="both"/>
      </w:pPr>
      <w:r>
        <w:rPr>
          <w:b/>
        </w:rPr>
        <w:t>Ley</w:t>
      </w:r>
      <w:r>
        <w:rPr>
          <w:b/>
          <w:spacing w:val="-2"/>
        </w:rPr>
        <w:t> </w:t>
      </w:r>
      <w:r>
        <w:rPr>
          <w:b/>
        </w:rPr>
        <w:t>de</w:t>
      </w:r>
      <w:r>
        <w:rPr>
          <w:b/>
          <w:spacing w:val="-4"/>
        </w:rPr>
        <w:t> </w:t>
      </w:r>
      <w:r>
        <w:rPr>
          <w:b/>
        </w:rPr>
        <w:t>Reducción</w:t>
      </w:r>
      <w:r>
        <w:rPr>
          <w:b/>
          <w:spacing w:val="-4"/>
        </w:rPr>
        <w:t> </w:t>
      </w:r>
      <w:r>
        <w:rPr>
          <w:b/>
        </w:rPr>
        <w:t>de</w:t>
      </w:r>
      <w:r>
        <w:rPr>
          <w:b/>
          <w:spacing w:val="-5"/>
        </w:rPr>
        <w:t> </w:t>
      </w:r>
      <w:r>
        <w:rPr>
          <w:b/>
        </w:rPr>
        <w:t>la</w:t>
      </w:r>
      <w:r>
        <w:rPr>
          <w:b/>
          <w:spacing w:val="-4"/>
        </w:rPr>
        <w:t> </w:t>
      </w:r>
      <w:r>
        <w:rPr>
          <w:b/>
        </w:rPr>
        <w:t>Deuda</w:t>
      </w:r>
      <w:r>
        <w:rPr>
          <w:b/>
          <w:spacing w:val="-2"/>
        </w:rPr>
        <w:t> </w:t>
      </w:r>
      <w:r>
        <w:rPr>
          <w:b/>
        </w:rPr>
        <w:t>Pública</w:t>
      </w:r>
      <w:r>
        <w:rPr>
          <w:b/>
          <w:spacing w:val="-4"/>
        </w:rPr>
        <w:t> </w:t>
      </w:r>
      <w:r>
        <w:rPr>
          <w:b/>
        </w:rPr>
        <w:t>por</w:t>
      </w:r>
      <w:r>
        <w:rPr>
          <w:b/>
          <w:spacing w:val="-6"/>
        </w:rPr>
        <w:t> </w:t>
      </w:r>
      <w:r>
        <w:rPr>
          <w:b/>
        </w:rPr>
        <w:t>Medio</w:t>
      </w:r>
      <w:r>
        <w:rPr>
          <w:b/>
          <w:spacing w:val="-1"/>
        </w:rPr>
        <w:t> </w:t>
      </w:r>
      <w:r>
        <w:rPr>
          <w:b/>
        </w:rPr>
        <w:t>de</w:t>
      </w:r>
      <w:r>
        <w:rPr>
          <w:b/>
          <w:spacing w:val="-7"/>
        </w:rPr>
        <w:t> </w:t>
      </w:r>
      <w:r>
        <w:rPr>
          <w:b/>
        </w:rPr>
        <w:t>la</w:t>
      </w:r>
      <w:r>
        <w:rPr>
          <w:b/>
          <w:spacing w:val="-2"/>
        </w:rPr>
        <w:t> </w:t>
      </w:r>
      <w:r>
        <w:rPr>
          <w:b/>
        </w:rPr>
        <w:t>Venta</w:t>
      </w:r>
      <w:r>
        <w:rPr>
          <w:b/>
          <w:spacing w:val="-4"/>
        </w:rPr>
        <w:t> </w:t>
      </w:r>
      <w:r>
        <w:rPr>
          <w:b/>
        </w:rPr>
        <w:t>de</w:t>
      </w:r>
      <w:r>
        <w:rPr>
          <w:b/>
          <w:spacing w:val="-4"/>
        </w:rPr>
        <w:t> </w:t>
      </w:r>
      <w:r>
        <w:rPr>
          <w:b/>
        </w:rPr>
        <w:t>Activos</w:t>
      </w:r>
      <w:r>
        <w:rPr>
          <w:b/>
          <w:spacing w:val="-2"/>
        </w:rPr>
        <w:t> </w:t>
      </w:r>
      <w:r>
        <w:rPr>
          <w:b/>
        </w:rPr>
        <w:t>Ociosos</w:t>
      </w:r>
      <w:r>
        <w:rPr>
          <w:b/>
          <w:spacing w:val="-4"/>
        </w:rPr>
        <w:t> </w:t>
      </w:r>
      <w:r>
        <w:rPr>
          <w:b/>
        </w:rPr>
        <w:t>o Subutilizados</w:t>
      </w:r>
      <w:r>
        <w:rPr>
          <w:b/>
          <w:spacing w:val="-1"/>
        </w:rPr>
        <w:t> </w:t>
      </w:r>
      <w:r>
        <w:rPr>
          <w:b/>
        </w:rPr>
        <w:t>del Sector Público,</w:t>
      </w:r>
      <w:r>
        <w:rPr>
          <w:b/>
          <w:spacing w:val="-1"/>
        </w:rPr>
        <w:t> </w:t>
      </w:r>
      <w:r>
        <w:rPr>
          <w:b/>
        </w:rPr>
        <w:t>N°10092. </w:t>
      </w:r>
      <w:r>
        <w:rPr/>
        <w:t>Autoriza a</w:t>
      </w:r>
      <w:r>
        <w:rPr>
          <w:spacing w:val="-3"/>
        </w:rPr>
        <w:t> </w:t>
      </w:r>
      <w:r>
        <w:rPr/>
        <w:t>todos</w:t>
      </w:r>
      <w:r>
        <w:rPr>
          <w:spacing w:val="-3"/>
        </w:rPr>
        <w:t> </w:t>
      </w:r>
      <w:r>
        <w:rPr/>
        <w:t>los entes</w:t>
      </w:r>
      <w:r>
        <w:rPr>
          <w:spacing w:val="-3"/>
        </w:rPr>
        <w:t> </w:t>
      </w:r>
      <w:r>
        <w:rPr/>
        <w:t>y órganos de</w:t>
      </w:r>
      <w:r>
        <w:rPr>
          <w:spacing w:val="-1"/>
        </w:rPr>
        <w:t> </w:t>
      </w:r>
      <w:r>
        <w:rPr/>
        <w:t>la Administración Pública para que enajenen o liquiden, de manera directa, los bienes muebles e inmuebles inscritos a su nombre y que no estén afectados al uso o dominio público sobre los que proceda la compra directa, de acuerdo con los parámetros de la Ley 7494, Ley de Contratación Administrativa, de 2 de mayo de 1995 y su reglamento; siempre y cuando dichos bienes no estén siendo utilizados en modo alguno y a criterio de</w:t>
      </w:r>
      <w:r>
        <w:rPr>
          <w:spacing w:val="-1"/>
        </w:rPr>
        <w:t> </w:t>
      </w:r>
      <w:r>
        <w:rPr/>
        <w:t>la institución</w:t>
      </w:r>
      <w:r>
        <w:rPr>
          <w:spacing w:val="-3"/>
        </w:rPr>
        <w:t> </w:t>
      </w:r>
      <w:r>
        <w:rPr/>
        <w:t>resulten</w:t>
      </w:r>
      <w:r>
        <w:rPr>
          <w:spacing w:val="-5"/>
        </w:rPr>
        <w:t> </w:t>
      </w:r>
      <w:r>
        <w:rPr/>
        <w:t>ociosos, de</w:t>
      </w:r>
      <w:r>
        <w:rPr>
          <w:spacing w:val="-3"/>
        </w:rPr>
        <w:t> </w:t>
      </w:r>
      <w:r>
        <w:rPr/>
        <w:t>acuerdo con</w:t>
      </w:r>
      <w:r>
        <w:rPr>
          <w:spacing w:val="-3"/>
        </w:rPr>
        <w:t> </w:t>
      </w:r>
      <w:r>
        <w:rPr/>
        <w:t>el</w:t>
      </w:r>
      <w:r>
        <w:rPr>
          <w:spacing w:val="-2"/>
        </w:rPr>
        <w:t> </w:t>
      </w:r>
      <w:r>
        <w:rPr/>
        <w:t>efectivo cumplimiento</w:t>
      </w:r>
      <w:r>
        <w:rPr>
          <w:spacing w:val="-5"/>
        </w:rPr>
        <w:t> </w:t>
      </w:r>
      <w:r>
        <w:rPr/>
        <w:t>del</w:t>
      </w:r>
      <w:r>
        <w:rPr>
          <w:spacing w:val="-1"/>
        </w:rPr>
        <w:t> </w:t>
      </w:r>
      <w:r>
        <w:rPr/>
        <w:t>fin público por el que fueron adquiridos. Fecha de vigencia 23/02/2022.</w:t>
      </w:r>
    </w:p>
    <w:p>
      <w:pPr>
        <w:pStyle w:val="BodyText"/>
      </w:pPr>
    </w:p>
    <w:p>
      <w:pPr>
        <w:spacing w:before="0"/>
        <w:ind w:left="1625" w:right="1601" w:firstLine="0"/>
        <w:jc w:val="both"/>
        <w:rPr>
          <w:sz w:val="22"/>
        </w:rPr>
      </w:pPr>
      <w:r>
        <w:rPr>
          <w:b/>
          <w:sz w:val="22"/>
        </w:rPr>
        <w:t>Ley de Declaratoria de Interés Público el Desarrollo Turístico del Cantón de Garabito, N°10089</w:t>
      </w:r>
      <w:r>
        <w:rPr>
          <w:sz w:val="22"/>
        </w:rPr>
        <w:t>. Promueve, a través de las instituciones públicas, el desarrollo y la promoción</w:t>
      </w:r>
      <w:r>
        <w:rPr>
          <w:spacing w:val="-7"/>
          <w:sz w:val="22"/>
        </w:rPr>
        <w:t> </w:t>
      </w:r>
      <w:r>
        <w:rPr>
          <w:sz w:val="22"/>
        </w:rPr>
        <w:t>de</w:t>
      </w:r>
      <w:r>
        <w:rPr>
          <w:spacing w:val="-7"/>
          <w:sz w:val="22"/>
        </w:rPr>
        <w:t> </w:t>
      </w:r>
      <w:r>
        <w:rPr>
          <w:sz w:val="22"/>
        </w:rPr>
        <w:t>la</w:t>
      </w:r>
      <w:r>
        <w:rPr>
          <w:spacing w:val="-6"/>
          <w:sz w:val="22"/>
        </w:rPr>
        <w:t> </w:t>
      </w:r>
      <w:r>
        <w:rPr>
          <w:sz w:val="22"/>
        </w:rPr>
        <w:t>infraestructura</w:t>
      </w:r>
      <w:r>
        <w:rPr>
          <w:spacing w:val="-6"/>
          <w:sz w:val="22"/>
        </w:rPr>
        <w:t> </w:t>
      </w:r>
      <w:r>
        <w:rPr>
          <w:sz w:val="22"/>
        </w:rPr>
        <w:t>y</w:t>
      </w:r>
      <w:r>
        <w:rPr>
          <w:spacing w:val="-6"/>
          <w:sz w:val="22"/>
        </w:rPr>
        <w:t> </w:t>
      </w:r>
      <w:r>
        <w:rPr>
          <w:sz w:val="22"/>
        </w:rPr>
        <w:t>las</w:t>
      </w:r>
      <w:r>
        <w:rPr>
          <w:spacing w:val="-6"/>
          <w:sz w:val="22"/>
        </w:rPr>
        <w:t> </w:t>
      </w:r>
      <w:r>
        <w:rPr>
          <w:sz w:val="22"/>
        </w:rPr>
        <w:t>inversiones</w:t>
      </w:r>
      <w:r>
        <w:rPr>
          <w:spacing w:val="-9"/>
          <w:sz w:val="22"/>
        </w:rPr>
        <w:t> </w:t>
      </w:r>
      <w:r>
        <w:rPr>
          <w:sz w:val="22"/>
        </w:rPr>
        <w:t>en</w:t>
      </w:r>
      <w:r>
        <w:rPr>
          <w:spacing w:val="-7"/>
          <w:sz w:val="22"/>
        </w:rPr>
        <w:t> </w:t>
      </w:r>
      <w:r>
        <w:rPr>
          <w:sz w:val="22"/>
        </w:rPr>
        <w:t>turismo</w:t>
      </w:r>
      <w:r>
        <w:rPr>
          <w:spacing w:val="-6"/>
          <w:sz w:val="22"/>
        </w:rPr>
        <w:t> </w:t>
      </w:r>
      <w:r>
        <w:rPr>
          <w:sz w:val="22"/>
        </w:rPr>
        <w:t>en</w:t>
      </w:r>
      <w:r>
        <w:rPr>
          <w:spacing w:val="-7"/>
          <w:sz w:val="22"/>
        </w:rPr>
        <w:t> </w:t>
      </w:r>
      <w:r>
        <w:rPr>
          <w:sz w:val="22"/>
        </w:rPr>
        <w:t>la</w:t>
      </w:r>
      <w:r>
        <w:rPr>
          <w:spacing w:val="-6"/>
          <w:sz w:val="22"/>
        </w:rPr>
        <w:t> </w:t>
      </w:r>
      <w:r>
        <w:rPr>
          <w:sz w:val="22"/>
        </w:rPr>
        <w:t>zona,</w:t>
      </w:r>
      <w:r>
        <w:rPr>
          <w:spacing w:val="-5"/>
          <w:sz w:val="22"/>
        </w:rPr>
        <w:t> </w:t>
      </w:r>
      <w:r>
        <w:rPr>
          <w:sz w:val="22"/>
        </w:rPr>
        <w:t>bajo</w:t>
      </w:r>
      <w:r>
        <w:rPr>
          <w:spacing w:val="-6"/>
          <w:sz w:val="22"/>
        </w:rPr>
        <w:t> </w:t>
      </w:r>
      <w:r>
        <w:rPr>
          <w:sz w:val="22"/>
        </w:rPr>
        <w:t>un</w:t>
      </w:r>
      <w:r>
        <w:rPr>
          <w:spacing w:val="-7"/>
          <w:sz w:val="22"/>
        </w:rPr>
        <w:t> </w:t>
      </w:r>
      <w:r>
        <w:rPr>
          <w:sz w:val="22"/>
        </w:rPr>
        <w:t>esquema de desarrollo sostenible y un manejo adecuado del medio ambiente, que fortalezcan la condición social y económica del distrito. Fecha de vigencia 25/02/2022.</w:t>
      </w:r>
    </w:p>
    <w:p>
      <w:pPr>
        <w:pStyle w:val="BodyText"/>
        <w:spacing w:before="1"/>
      </w:pPr>
    </w:p>
    <w:p>
      <w:pPr>
        <w:pStyle w:val="BodyText"/>
        <w:spacing w:before="1"/>
        <w:ind w:left="1625" w:right="1604"/>
        <w:jc w:val="both"/>
      </w:pPr>
      <w:r>
        <w:rPr>
          <w:b/>
        </w:rPr>
        <w:t>Ley</w:t>
      </w:r>
      <w:r>
        <w:rPr>
          <w:b/>
          <w:spacing w:val="-6"/>
        </w:rPr>
        <w:t> </w:t>
      </w:r>
      <w:r>
        <w:rPr>
          <w:b/>
        </w:rPr>
        <w:t>de</w:t>
      </w:r>
      <w:r>
        <w:rPr>
          <w:b/>
          <w:spacing w:val="-6"/>
        </w:rPr>
        <w:t> </w:t>
      </w:r>
      <w:r>
        <w:rPr>
          <w:b/>
        </w:rPr>
        <w:t>Acciones</w:t>
      </w:r>
      <w:r>
        <w:rPr>
          <w:b/>
          <w:spacing w:val="-6"/>
        </w:rPr>
        <w:t> </w:t>
      </w:r>
      <w:r>
        <w:rPr>
          <w:b/>
        </w:rPr>
        <w:t>Afirmativas</w:t>
      </w:r>
      <w:r>
        <w:rPr>
          <w:b/>
          <w:spacing w:val="-6"/>
        </w:rPr>
        <w:t> </w:t>
      </w:r>
      <w:r>
        <w:rPr>
          <w:b/>
        </w:rPr>
        <w:t>a</w:t>
      </w:r>
      <w:r>
        <w:rPr>
          <w:b/>
          <w:spacing w:val="-6"/>
        </w:rPr>
        <w:t> </w:t>
      </w:r>
      <w:r>
        <w:rPr>
          <w:b/>
        </w:rPr>
        <w:t>Favor</w:t>
      </w:r>
      <w:r>
        <w:rPr>
          <w:b/>
          <w:spacing w:val="-5"/>
        </w:rPr>
        <w:t> </w:t>
      </w:r>
      <w:r>
        <w:rPr>
          <w:b/>
        </w:rPr>
        <w:t>de</w:t>
      </w:r>
      <w:r>
        <w:rPr>
          <w:b/>
          <w:spacing w:val="-6"/>
        </w:rPr>
        <w:t> </w:t>
      </w:r>
      <w:r>
        <w:rPr>
          <w:b/>
        </w:rPr>
        <w:t>las</w:t>
      </w:r>
      <w:r>
        <w:rPr>
          <w:b/>
          <w:spacing w:val="-6"/>
        </w:rPr>
        <w:t> </w:t>
      </w:r>
      <w:r>
        <w:rPr>
          <w:b/>
        </w:rPr>
        <w:t>Personas</w:t>
      </w:r>
      <w:r>
        <w:rPr>
          <w:b/>
          <w:spacing w:val="-6"/>
        </w:rPr>
        <w:t> </w:t>
      </w:r>
      <w:r>
        <w:rPr>
          <w:b/>
        </w:rPr>
        <w:t>Afrodescendientes,</w:t>
      </w:r>
      <w:r>
        <w:rPr>
          <w:b/>
          <w:spacing w:val="-5"/>
        </w:rPr>
        <w:t> </w:t>
      </w:r>
      <w:r>
        <w:rPr>
          <w:b/>
        </w:rPr>
        <w:t>N°10120. </w:t>
      </w:r>
      <w:r>
        <w:rPr/>
        <w:t>Se declara de interés nacional la elaboración, la implementación y la divulgación de acciones afirmativas en beneficio de las personas que integran el colectivo étnico afrodescendiente en Costa Rica, en el entendido de que la población afrodescendiente que habita en nuestro país ha sido históricamente víctima de racismo, discriminación y etnofobia, y así se reconoce en esta ley. Fecha de vigencia 09/03/2022.</w:t>
      </w:r>
    </w:p>
    <w:p>
      <w:pPr>
        <w:pStyle w:val="BodyText"/>
      </w:pPr>
    </w:p>
    <w:p>
      <w:pPr>
        <w:spacing w:before="0"/>
        <w:ind w:left="1625" w:right="1601" w:firstLine="0"/>
        <w:jc w:val="both"/>
        <w:rPr>
          <w:sz w:val="22"/>
        </w:rPr>
      </w:pPr>
      <w:r>
        <w:rPr>
          <w:b/>
          <w:sz w:val="22"/>
        </w:rPr>
        <w:t>Ley de Autorización de Condonación para la Formalización y Recaudación de las Cargas Sociales de la CCSS, N°10232</w:t>
      </w:r>
      <w:r>
        <w:rPr>
          <w:sz w:val="22"/>
        </w:rPr>
        <w:t>. Formalización y recaudación de las cargas sociales,</w:t>
      </w:r>
      <w:r>
        <w:rPr>
          <w:spacing w:val="-9"/>
          <w:sz w:val="22"/>
        </w:rPr>
        <w:t> </w:t>
      </w:r>
      <w:r>
        <w:rPr>
          <w:sz w:val="22"/>
        </w:rPr>
        <w:t>mediante</w:t>
      </w:r>
      <w:r>
        <w:rPr>
          <w:spacing w:val="-7"/>
          <w:sz w:val="22"/>
        </w:rPr>
        <w:t> </w:t>
      </w:r>
      <w:r>
        <w:rPr>
          <w:sz w:val="22"/>
        </w:rPr>
        <w:t>la</w:t>
      </w:r>
      <w:r>
        <w:rPr>
          <w:spacing w:val="-10"/>
          <w:sz w:val="22"/>
        </w:rPr>
        <w:t> </w:t>
      </w:r>
      <w:r>
        <w:rPr>
          <w:sz w:val="22"/>
        </w:rPr>
        <w:t>autorización</w:t>
      </w:r>
      <w:r>
        <w:rPr>
          <w:spacing w:val="-8"/>
          <w:sz w:val="22"/>
        </w:rPr>
        <w:t> </w:t>
      </w:r>
      <w:r>
        <w:rPr>
          <w:sz w:val="22"/>
        </w:rPr>
        <w:t>a</w:t>
      </w:r>
      <w:r>
        <w:rPr>
          <w:spacing w:val="-7"/>
          <w:sz w:val="22"/>
        </w:rPr>
        <w:t> </w:t>
      </w:r>
      <w:r>
        <w:rPr>
          <w:sz w:val="22"/>
        </w:rPr>
        <w:t>la</w:t>
      </w:r>
      <w:r>
        <w:rPr>
          <w:spacing w:val="-10"/>
          <w:sz w:val="22"/>
        </w:rPr>
        <w:t> </w:t>
      </w:r>
      <w:r>
        <w:rPr>
          <w:sz w:val="22"/>
        </w:rPr>
        <w:t>Caja</w:t>
      </w:r>
      <w:r>
        <w:rPr>
          <w:spacing w:val="-10"/>
          <w:sz w:val="22"/>
        </w:rPr>
        <w:t> </w:t>
      </w:r>
      <w:r>
        <w:rPr>
          <w:sz w:val="22"/>
        </w:rPr>
        <w:t>Costarricense</w:t>
      </w:r>
      <w:r>
        <w:rPr>
          <w:spacing w:val="-10"/>
          <w:sz w:val="22"/>
        </w:rPr>
        <w:t> </w:t>
      </w:r>
      <w:r>
        <w:rPr>
          <w:sz w:val="22"/>
        </w:rPr>
        <w:t>de</w:t>
      </w:r>
      <w:r>
        <w:rPr>
          <w:spacing w:val="-8"/>
          <w:sz w:val="22"/>
        </w:rPr>
        <w:t> </w:t>
      </w:r>
      <w:r>
        <w:rPr>
          <w:sz w:val="22"/>
        </w:rPr>
        <w:t>Seguro</w:t>
      </w:r>
      <w:r>
        <w:rPr>
          <w:spacing w:val="-7"/>
          <w:sz w:val="22"/>
        </w:rPr>
        <w:t> </w:t>
      </w:r>
      <w:r>
        <w:rPr>
          <w:sz w:val="22"/>
        </w:rPr>
        <w:t>Social</w:t>
      </w:r>
      <w:r>
        <w:rPr>
          <w:spacing w:val="-8"/>
          <w:sz w:val="22"/>
        </w:rPr>
        <w:t> </w:t>
      </w:r>
      <w:r>
        <w:rPr>
          <w:sz w:val="22"/>
        </w:rPr>
        <w:t>(CCSS)</w:t>
      </w:r>
      <w:r>
        <w:rPr>
          <w:spacing w:val="-6"/>
          <w:sz w:val="22"/>
        </w:rPr>
        <w:t> </w:t>
      </w:r>
      <w:r>
        <w:rPr>
          <w:sz w:val="22"/>
        </w:rPr>
        <w:t>para que realice una condonación por adeudos de patronos y trabajadores independientes a la Caja Costarricense de Seguro Social por el Seguro de Enfermedad y Maternidad y al Régimen de invalidez, Vejez y Muerte. Fecha de vigencia 29/04/2022.</w:t>
      </w:r>
    </w:p>
    <w:p>
      <w:pPr>
        <w:spacing w:before="251"/>
        <w:ind w:left="1625" w:right="1603" w:firstLine="0"/>
        <w:jc w:val="both"/>
        <w:rPr>
          <w:sz w:val="22"/>
        </w:rPr>
      </w:pPr>
      <w:r>
        <w:rPr>
          <w:b/>
          <w:sz w:val="22"/>
        </w:rPr>
        <w:t>Ley para Prevenir, atender, sancionar y erradicar La Violencia contra las Mujeres en la Política, N°10235</w:t>
      </w:r>
      <w:r>
        <w:rPr>
          <w:sz w:val="22"/>
        </w:rPr>
        <w:t>. Prevenir, atender, sancionar y erradicar la violencia contra las mujeres</w:t>
      </w:r>
      <w:r>
        <w:rPr>
          <w:spacing w:val="-10"/>
          <w:sz w:val="22"/>
        </w:rPr>
        <w:t> </w:t>
      </w:r>
      <w:r>
        <w:rPr>
          <w:sz w:val="22"/>
        </w:rPr>
        <w:t>en</w:t>
      </w:r>
      <w:r>
        <w:rPr>
          <w:spacing w:val="-10"/>
          <w:sz w:val="22"/>
        </w:rPr>
        <w:t> </w:t>
      </w:r>
      <w:r>
        <w:rPr>
          <w:sz w:val="22"/>
        </w:rPr>
        <w:t>la</w:t>
      </w:r>
      <w:r>
        <w:rPr>
          <w:spacing w:val="-10"/>
          <w:sz w:val="22"/>
        </w:rPr>
        <w:t> </w:t>
      </w:r>
      <w:r>
        <w:rPr>
          <w:sz w:val="22"/>
        </w:rPr>
        <w:t>política</w:t>
      </w:r>
      <w:r>
        <w:rPr>
          <w:spacing w:val="-10"/>
          <w:sz w:val="22"/>
        </w:rPr>
        <w:t> </w:t>
      </w:r>
      <w:r>
        <w:rPr>
          <w:sz w:val="22"/>
        </w:rPr>
        <w:t>como</w:t>
      </w:r>
      <w:r>
        <w:rPr>
          <w:spacing w:val="-10"/>
          <w:sz w:val="22"/>
        </w:rPr>
        <w:t> </w:t>
      </w:r>
      <w:r>
        <w:rPr>
          <w:sz w:val="22"/>
        </w:rPr>
        <w:t>práctica</w:t>
      </w:r>
      <w:r>
        <w:rPr>
          <w:spacing w:val="-10"/>
          <w:sz w:val="22"/>
        </w:rPr>
        <w:t> </w:t>
      </w:r>
      <w:r>
        <w:rPr>
          <w:sz w:val="22"/>
        </w:rPr>
        <w:t>discriminatoria</w:t>
      </w:r>
      <w:r>
        <w:rPr>
          <w:spacing w:val="-10"/>
          <w:sz w:val="22"/>
        </w:rPr>
        <w:t> </w:t>
      </w:r>
      <w:r>
        <w:rPr>
          <w:sz w:val="22"/>
        </w:rPr>
        <w:t>por</w:t>
      </w:r>
      <w:r>
        <w:rPr>
          <w:spacing w:val="-9"/>
          <w:sz w:val="22"/>
        </w:rPr>
        <w:t> </w:t>
      </w:r>
      <w:r>
        <w:rPr>
          <w:sz w:val="22"/>
        </w:rPr>
        <w:t>razón</w:t>
      </w:r>
      <w:r>
        <w:rPr>
          <w:spacing w:val="-12"/>
          <w:sz w:val="22"/>
        </w:rPr>
        <w:t> </w:t>
      </w:r>
      <w:r>
        <w:rPr>
          <w:sz w:val="22"/>
        </w:rPr>
        <w:t>de</w:t>
      </w:r>
      <w:r>
        <w:rPr>
          <w:spacing w:val="-10"/>
          <w:sz w:val="22"/>
        </w:rPr>
        <w:t> </w:t>
      </w:r>
      <w:r>
        <w:rPr>
          <w:sz w:val="22"/>
        </w:rPr>
        <w:t>género,</w:t>
      </w:r>
      <w:r>
        <w:rPr>
          <w:spacing w:val="-8"/>
          <w:sz w:val="22"/>
        </w:rPr>
        <w:t> </w:t>
      </w:r>
      <w:r>
        <w:rPr>
          <w:sz w:val="22"/>
        </w:rPr>
        <w:t>que</w:t>
      </w:r>
      <w:r>
        <w:rPr>
          <w:spacing w:val="-10"/>
          <w:sz w:val="22"/>
        </w:rPr>
        <w:t> </w:t>
      </w:r>
      <w:r>
        <w:rPr>
          <w:sz w:val="22"/>
        </w:rPr>
        <w:t>es</w:t>
      </w:r>
      <w:r>
        <w:rPr>
          <w:spacing w:val="-10"/>
          <w:sz w:val="22"/>
        </w:rPr>
        <w:t> </w:t>
      </w:r>
      <w:r>
        <w:rPr>
          <w:sz w:val="22"/>
        </w:rPr>
        <w:t>contraria al</w:t>
      </w:r>
      <w:r>
        <w:rPr>
          <w:spacing w:val="-7"/>
          <w:sz w:val="22"/>
        </w:rPr>
        <w:t> </w:t>
      </w:r>
      <w:r>
        <w:rPr>
          <w:sz w:val="22"/>
        </w:rPr>
        <w:t>ejercicio</w:t>
      </w:r>
      <w:r>
        <w:rPr>
          <w:spacing w:val="-6"/>
          <w:sz w:val="22"/>
        </w:rPr>
        <w:t> </w:t>
      </w:r>
      <w:r>
        <w:rPr>
          <w:sz w:val="22"/>
        </w:rPr>
        <w:t>efectivo</w:t>
      </w:r>
      <w:r>
        <w:rPr>
          <w:spacing w:val="-7"/>
          <w:sz w:val="22"/>
        </w:rPr>
        <w:t> </w:t>
      </w:r>
      <w:r>
        <w:rPr>
          <w:sz w:val="22"/>
        </w:rPr>
        <w:t>de</w:t>
      </w:r>
      <w:r>
        <w:rPr>
          <w:spacing w:val="-9"/>
          <w:sz w:val="22"/>
        </w:rPr>
        <w:t> </w:t>
      </w:r>
      <w:r>
        <w:rPr>
          <w:sz w:val="22"/>
        </w:rPr>
        <w:t>los</w:t>
      </w:r>
      <w:r>
        <w:rPr>
          <w:spacing w:val="-6"/>
          <w:sz w:val="22"/>
        </w:rPr>
        <w:t> </w:t>
      </w:r>
      <w:r>
        <w:rPr>
          <w:sz w:val="22"/>
        </w:rPr>
        <w:t>derechos</w:t>
      </w:r>
      <w:r>
        <w:rPr>
          <w:spacing w:val="-9"/>
          <w:sz w:val="22"/>
        </w:rPr>
        <w:t> </w:t>
      </w:r>
      <w:r>
        <w:rPr>
          <w:sz w:val="22"/>
        </w:rPr>
        <w:t>políticos</w:t>
      </w:r>
      <w:r>
        <w:rPr>
          <w:spacing w:val="-9"/>
          <w:sz w:val="22"/>
        </w:rPr>
        <w:t> </w:t>
      </w:r>
      <w:r>
        <w:rPr>
          <w:sz w:val="22"/>
        </w:rPr>
        <w:t>de</w:t>
      </w:r>
      <w:r>
        <w:rPr>
          <w:spacing w:val="-7"/>
          <w:sz w:val="22"/>
        </w:rPr>
        <w:t> </w:t>
      </w:r>
      <w:r>
        <w:rPr>
          <w:sz w:val="22"/>
        </w:rPr>
        <w:t>las</w:t>
      </w:r>
      <w:r>
        <w:rPr>
          <w:spacing w:val="-6"/>
          <w:sz w:val="22"/>
        </w:rPr>
        <w:t> </w:t>
      </w:r>
      <w:r>
        <w:rPr>
          <w:sz w:val="22"/>
        </w:rPr>
        <w:t>mujeres,</w:t>
      </w:r>
      <w:r>
        <w:rPr>
          <w:spacing w:val="-7"/>
          <w:sz w:val="22"/>
        </w:rPr>
        <w:t> </w:t>
      </w:r>
      <w:r>
        <w:rPr>
          <w:sz w:val="22"/>
        </w:rPr>
        <w:t>todo</w:t>
      </w:r>
      <w:r>
        <w:rPr>
          <w:spacing w:val="-6"/>
          <w:sz w:val="22"/>
        </w:rPr>
        <w:t> </w:t>
      </w:r>
      <w:r>
        <w:rPr>
          <w:sz w:val="22"/>
        </w:rPr>
        <w:t>en</w:t>
      </w:r>
      <w:r>
        <w:rPr>
          <w:spacing w:val="-9"/>
          <w:sz w:val="22"/>
        </w:rPr>
        <w:t> </w:t>
      </w:r>
      <w:r>
        <w:rPr>
          <w:sz w:val="22"/>
        </w:rPr>
        <w:t>concordancia</w:t>
      </w:r>
      <w:r>
        <w:rPr>
          <w:spacing w:val="-6"/>
          <w:sz w:val="22"/>
        </w:rPr>
        <w:t> </w:t>
      </w:r>
      <w:r>
        <w:rPr>
          <w:sz w:val="22"/>
        </w:rPr>
        <w:t>con</w:t>
      </w:r>
      <w:r>
        <w:rPr>
          <w:spacing w:val="-7"/>
          <w:sz w:val="22"/>
        </w:rPr>
        <w:t> </w:t>
      </w:r>
      <w:r>
        <w:rPr>
          <w:sz w:val="22"/>
        </w:rPr>
        <w:t>el</w:t>
      </w:r>
    </w:p>
    <w:p>
      <w:pPr>
        <w:spacing w:after="0"/>
        <w:jc w:val="both"/>
        <w:rPr>
          <w:sz w:val="22"/>
        </w:rPr>
        <w:sectPr>
          <w:pgSz w:w="12240" w:h="15840"/>
          <w:pgMar w:header="0" w:footer="1576" w:top="1000" w:bottom="1760" w:left="360" w:right="0"/>
        </w:sectPr>
      </w:pPr>
    </w:p>
    <w:p>
      <w:pPr>
        <w:pStyle w:val="BodyText"/>
        <w:spacing w:before="77"/>
        <w:ind w:left="1625" w:right="1605"/>
        <w:jc w:val="both"/>
      </w:pPr>
      <w:r>
        <w:rPr/>
        <w:t>principio</w:t>
      </w:r>
      <w:r>
        <w:rPr>
          <w:spacing w:val="-5"/>
        </w:rPr>
        <w:t> </w:t>
      </w:r>
      <w:r>
        <w:rPr/>
        <w:t>de</w:t>
      </w:r>
      <w:r>
        <w:rPr>
          <w:spacing w:val="-5"/>
        </w:rPr>
        <w:t> </w:t>
      </w:r>
      <w:r>
        <w:rPr/>
        <w:t>igualdad</w:t>
      </w:r>
      <w:r>
        <w:rPr>
          <w:spacing w:val="-5"/>
        </w:rPr>
        <w:t> </w:t>
      </w:r>
      <w:r>
        <w:rPr/>
        <w:t>ante</w:t>
      </w:r>
      <w:r>
        <w:rPr>
          <w:spacing w:val="-5"/>
        </w:rPr>
        <w:t> </w:t>
      </w:r>
      <w:r>
        <w:rPr/>
        <w:t>la</w:t>
      </w:r>
      <w:r>
        <w:rPr>
          <w:spacing w:val="-5"/>
        </w:rPr>
        <w:t> </w:t>
      </w:r>
      <w:r>
        <w:rPr/>
        <w:t>ley</w:t>
      </w:r>
      <w:r>
        <w:rPr>
          <w:spacing w:val="-6"/>
        </w:rPr>
        <w:t> </w:t>
      </w:r>
      <w:r>
        <w:rPr/>
        <w:t>de</w:t>
      </w:r>
      <w:r>
        <w:rPr>
          <w:spacing w:val="-7"/>
        </w:rPr>
        <w:t> </w:t>
      </w:r>
      <w:r>
        <w:rPr/>
        <w:t>todas</w:t>
      </w:r>
      <w:r>
        <w:rPr>
          <w:spacing w:val="-6"/>
        </w:rPr>
        <w:t> </w:t>
      </w:r>
      <w:r>
        <w:rPr/>
        <w:t>las</w:t>
      </w:r>
      <w:r>
        <w:rPr>
          <w:spacing w:val="-6"/>
        </w:rPr>
        <w:t> </w:t>
      </w:r>
      <w:r>
        <w:rPr/>
        <w:t>personas,</w:t>
      </w:r>
      <w:r>
        <w:rPr>
          <w:spacing w:val="-6"/>
        </w:rPr>
        <w:t> </w:t>
      </w:r>
      <w:r>
        <w:rPr/>
        <w:t>establecido</w:t>
      </w:r>
      <w:r>
        <w:rPr>
          <w:spacing w:val="-7"/>
        </w:rPr>
        <w:t> </w:t>
      </w:r>
      <w:r>
        <w:rPr/>
        <w:t>en</w:t>
      </w:r>
      <w:r>
        <w:rPr>
          <w:spacing w:val="-5"/>
        </w:rPr>
        <w:t> </w:t>
      </w:r>
      <w:r>
        <w:rPr/>
        <w:t>el</w:t>
      </w:r>
      <w:r>
        <w:rPr>
          <w:spacing w:val="-7"/>
        </w:rPr>
        <w:t> </w:t>
      </w:r>
      <w:r>
        <w:rPr/>
        <w:t>artículo</w:t>
      </w:r>
      <w:r>
        <w:rPr>
          <w:spacing w:val="-5"/>
        </w:rPr>
        <w:t> </w:t>
      </w:r>
      <w:r>
        <w:rPr/>
        <w:t>33</w:t>
      </w:r>
      <w:r>
        <w:rPr>
          <w:spacing w:val="-7"/>
        </w:rPr>
        <w:t> </w:t>
      </w:r>
      <w:r>
        <w:rPr/>
        <w:t>de</w:t>
      </w:r>
      <w:r>
        <w:rPr>
          <w:spacing w:val="-7"/>
        </w:rPr>
        <w:t> </w:t>
      </w:r>
      <w:r>
        <w:rPr/>
        <w:t>la Constitución Política del país. Fecha de vigencia 17/05/2022.</w:t>
      </w:r>
    </w:p>
    <w:p>
      <w:pPr>
        <w:pStyle w:val="BodyText"/>
      </w:pPr>
    </w:p>
    <w:p>
      <w:pPr>
        <w:spacing w:before="0"/>
        <w:ind w:left="1625" w:right="1598" w:firstLine="0"/>
        <w:jc w:val="both"/>
        <w:rPr>
          <w:sz w:val="22"/>
        </w:rPr>
      </w:pPr>
      <w:r>
        <w:rPr>
          <w:b/>
          <w:sz w:val="22"/>
        </w:rPr>
        <w:t>Ley de Fortalecimiento de la competitividad territorial para promover la atracción de inversiones fuera de la Gran Área Metropolitana (GAM), N°10234. </w:t>
      </w:r>
      <w:r>
        <w:rPr>
          <w:sz w:val="22"/>
        </w:rPr>
        <w:t>Adiciona un párrafo al inciso a) del artículo 14 de la ley de Creación del IMAS estableciendo que las empresas</w:t>
      </w:r>
      <w:r>
        <w:rPr>
          <w:spacing w:val="-12"/>
          <w:sz w:val="22"/>
        </w:rPr>
        <w:t> </w:t>
      </w:r>
      <w:r>
        <w:rPr>
          <w:sz w:val="22"/>
        </w:rPr>
        <w:t>que</w:t>
      </w:r>
      <w:r>
        <w:rPr>
          <w:spacing w:val="-11"/>
          <w:sz w:val="22"/>
        </w:rPr>
        <w:t> </w:t>
      </w:r>
      <w:r>
        <w:rPr>
          <w:sz w:val="22"/>
        </w:rPr>
        <w:t>realicen</w:t>
      </w:r>
      <w:r>
        <w:rPr>
          <w:spacing w:val="-12"/>
          <w:sz w:val="22"/>
        </w:rPr>
        <w:t> </w:t>
      </w:r>
      <w:r>
        <w:rPr>
          <w:sz w:val="22"/>
        </w:rPr>
        <w:t>inversiones</w:t>
      </w:r>
      <w:r>
        <w:rPr>
          <w:spacing w:val="-11"/>
          <w:sz w:val="22"/>
        </w:rPr>
        <w:t> </w:t>
      </w:r>
      <w:r>
        <w:rPr>
          <w:sz w:val="22"/>
        </w:rPr>
        <w:t>nuevas</w:t>
      </w:r>
      <w:r>
        <w:rPr>
          <w:spacing w:val="-11"/>
          <w:sz w:val="22"/>
        </w:rPr>
        <w:t> </w:t>
      </w:r>
      <w:r>
        <w:rPr>
          <w:sz w:val="22"/>
        </w:rPr>
        <w:t>en</w:t>
      </w:r>
      <w:r>
        <w:rPr>
          <w:spacing w:val="-12"/>
          <w:sz w:val="22"/>
        </w:rPr>
        <w:t> </w:t>
      </w:r>
      <w:r>
        <w:rPr>
          <w:sz w:val="22"/>
        </w:rPr>
        <w:t>el</w:t>
      </w:r>
      <w:r>
        <w:rPr>
          <w:spacing w:val="-12"/>
          <w:sz w:val="22"/>
        </w:rPr>
        <w:t> </w:t>
      </w:r>
      <w:r>
        <w:rPr>
          <w:sz w:val="22"/>
        </w:rPr>
        <w:t>país</w:t>
      </w:r>
      <w:r>
        <w:rPr>
          <w:spacing w:val="-10"/>
          <w:sz w:val="22"/>
        </w:rPr>
        <w:t> </w:t>
      </w:r>
      <w:r>
        <w:rPr>
          <w:sz w:val="22"/>
        </w:rPr>
        <w:t>fuera</w:t>
      </w:r>
      <w:r>
        <w:rPr>
          <w:spacing w:val="-11"/>
          <w:sz w:val="22"/>
        </w:rPr>
        <w:t> </w:t>
      </w:r>
      <w:r>
        <w:rPr>
          <w:sz w:val="22"/>
        </w:rPr>
        <w:t>de</w:t>
      </w:r>
      <w:r>
        <w:rPr>
          <w:spacing w:val="-12"/>
          <w:sz w:val="22"/>
        </w:rPr>
        <w:t> </w:t>
      </w:r>
      <w:r>
        <w:rPr>
          <w:sz w:val="22"/>
        </w:rPr>
        <w:t>la</w:t>
      </w:r>
      <w:r>
        <w:rPr>
          <w:spacing w:val="-11"/>
          <w:sz w:val="22"/>
        </w:rPr>
        <w:t> </w:t>
      </w:r>
      <w:r>
        <w:rPr>
          <w:sz w:val="22"/>
        </w:rPr>
        <w:t>Gran</w:t>
      </w:r>
      <w:r>
        <w:rPr>
          <w:spacing w:val="-12"/>
          <w:sz w:val="22"/>
        </w:rPr>
        <w:t> </w:t>
      </w:r>
      <w:r>
        <w:rPr>
          <w:sz w:val="22"/>
        </w:rPr>
        <w:t>Área</w:t>
      </w:r>
      <w:r>
        <w:rPr>
          <w:spacing w:val="-13"/>
          <w:sz w:val="22"/>
        </w:rPr>
        <w:t> </w:t>
      </w:r>
      <w:r>
        <w:rPr>
          <w:sz w:val="22"/>
        </w:rPr>
        <w:t>Metropolitana (GAM)</w:t>
      </w:r>
      <w:r>
        <w:rPr>
          <w:spacing w:val="-3"/>
          <w:sz w:val="22"/>
        </w:rPr>
        <w:t> </w:t>
      </w:r>
      <w:r>
        <w:rPr>
          <w:sz w:val="22"/>
        </w:rPr>
        <w:t>podrán</w:t>
      </w:r>
      <w:r>
        <w:rPr>
          <w:spacing w:val="-4"/>
          <w:sz w:val="22"/>
        </w:rPr>
        <w:t> </w:t>
      </w:r>
      <w:r>
        <w:rPr>
          <w:sz w:val="22"/>
        </w:rPr>
        <w:t>obtener</w:t>
      </w:r>
      <w:r>
        <w:rPr>
          <w:spacing w:val="-1"/>
          <w:sz w:val="22"/>
        </w:rPr>
        <w:t> </w:t>
      </w:r>
      <w:r>
        <w:rPr>
          <w:sz w:val="22"/>
        </w:rPr>
        <w:t>los</w:t>
      </w:r>
      <w:r>
        <w:rPr>
          <w:spacing w:val="-1"/>
          <w:sz w:val="22"/>
        </w:rPr>
        <w:t> </w:t>
      </w:r>
      <w:r>
        <w:rPr>
          <w:sz w:val="22"/>
        </w:rPr>
        <w:t>beneficios</w:t>
      </w:r>
      <w:r>
        <w:rPr>
          <w:spacing w:val="-2"/>
          <w:sz w:val="22"/>
        </w:rPr>
        <w:t> </w:t>
      </w:r>
      <w:r>
        <w:rPr>
          <w:sz w:val="22"/>
        </w:rPr>
        <w:t>que</w:t>
      </w:r>
      <w:r>
        <w:rPr>
          <w:spacing w:val="-4"/>
          <w:sz w:val="22"/>
        </w:rPr>
        <w:t> </w:t>
      </w:r>
      <w:r>
        <w:rPr>
          <w:sz w:val="22"/>
        </w:rPr>
        <w:t>establece</w:t>
      </w:r>
      <w:r>
        <w:rPr>
          <w:spacing w:val="-2"/>
          <w:sz w:val="22"/>
        </w:rPr>
        <w:t> </w:t>
      </w:r>
      <w:r>
        <w:rPr>
          <w:sz w:val="22"/>
        </w:rPr>
        <w:t>la</w:t>
      </w:r>
      <w:r>
        <w:rPr>
          <w:spacing w:val="-2"/>
          <w:sz w:val="22"/>
        </w:rPr>
        <w:t> </w:t>
      </w:r>
      <w:r>
        <w:rPr>
          <w:sz w:val="22"/>
        </w:rPr>
        <w:t>Ley</w:t>
      </w:r>
      <w:r>
        <w:rPr>
          <w:spacing w:val="-4"/>
          <w:sz w:val="22"/>
        </w:rPr>
        <w:t> </w:t>
      </w:r>
      <w:r>
        <w:rPr>
          <w:sz w:val="22"/>
        </w:rPr>
        <w:t>del</w:t>
      </w:r>
      <w:r>
        <w:rPr>
          <w:spacing w:val="-2"/>
          <w:sz w:val="22"/>
        </w:rPr>
        <w:t> </w:t>
      </w:r>
      <w:r>
        <w:rPr>
          <w:sz w:val="22"/>
        </w:rPr>
        <w:t>Régimen</w:t>
      </w:r>
      <w:r>
        <w:rPr>
          <w:spacing w:val="-2"/>
          <w:sz w:val="22"/>
        </w:rPr>
        <w:t> </w:t>
      </w:r>
      <w:r>
        <w:rPr>
          <w:sz w:val="22"/>
        </w:rPr>
        <w:t>de</w:t>
      </w:r>
      <w:r>
        <w:rPr>
          <w:spacing w:val="-2"/>
          <w:sz w:val="22"/>
        </w:rPr>
        <w:t> </w:t>
      </w:r>
      <w:r>
        <w:rPr>
          <w:sz w:val="22"/>
        </w:rPr>
        <w:t>Zona</w:t>
      </w:r>
      <w:r>
        <w:rPr>
          <w:spacing w:val="-2"/>
          <w:sz w:val="22"/>
        </w:rPr>
        <w:t> </w:t>
      </w:r>
      <w:r>
        <w:rPr>
          <w:sz w:val="22"/>
        </w:rPr>
        <w:t>Franca, Ley</w:t>
      </w:r>
      <w:r>
        <w:rPr>
          <w:spacing w:val="-16"/>
          <w:sz w:val="22"/>
        </w:rPr>
        <w:t> </w:t>
      </w:r>
      <w:r>
        <w:rPr>
          <w:sz w:val="22"/>
        </w:rPr>
        <w:t>N°</w:t>
      </w:r>
      <w:r>
        <w:rPr>
          <w:spacing w:val="-15"/>
          <w:sz w:val="22"/>
        </w:rPr>
        <w:t> </w:t>
      </w:r>
      <w:r>
        <w:rPr>
          <w:sz w:val="22"/>
        </w:rPr>
        <w:t>7210,</w:t>
      </w:r>
      <w:r>
        <w:rPr>
          <w:spacing w:val="-15"/>
          <w:sz w:val="22"/>
        </w:rPr>
        <w:t> </w:t>
      </w:r>
      <w:r>
        <w:rPr>
          <w:sz w:val="22"/>
        </w:rPr>
        <w:t>y</w:t>
      </w:r>
      <w:r>
        <w:rPr>
          <w:spacing w:val="-16"/>
          <w:sz w:val="22"/>
        </w:rPr>
        <w:t> </w:t>
      </w:r>
      <w:r>
        <w:rPr>
          <w:sz w:val="22"/>
        </w:rPr>
        <w:t>sus</w:t>
      </w:r>
      <w:r>
        <w:rPr>
          <w:spacing w:val="-15"/>
          <w:sz w:val="22"/>
        </w:rPr>
        <w:t> </w:t>
      </w:r>
      <w:r>
        <w:rPr>
          <w:sz w:val="22"/>
        </w:rPr>
        <w:t>reformas,</w:t>
      </w:r>
      <w:r>
        <w:rPr>
          <w:spacing w:val="-15"/>
          <w:sz w:val="22"/>
        </w:rPr>
        <w:t> </w:t>
      </w:r>
      <w:r>
        <w:rPr>
          <w:sz w:val="22"/>
        </w:rPr>
        <w:t>siempre</w:t>
      </w:r>
      <w:r>
        <w:rPr>
          <w:spacing w:val="-15"/>
          <w:sz w:val="22"/>
        </w:rPr>
        <w:t> </w:t>
      </w:r>
      <w:r>
        <w:rPr>
          <w:sz w:val="22"/>
        </w:rPr>
        <w:t>y</w:t>
      </w:r>
      <w:r>
        <w:rPr>
          <w:spacing w:val="-16"/>
          <w:sz w:val="22"/>
        </w:rPr>
        <w:t> </w:t>
      </w:r>
      <w:r>
        <w:rPr>
          <w:sz w:val="22"/>
        </w:rPr>
        <w:t>cuando</w:t>
      </w:r>
      <w:r>
        <w:rPr>
          <w:spacing w:val="-15"/>
          <w:sz w:val="22"/>
        </w:rPr>
        <w:t> </w:t>
      </w:r>
      <w:r>
        <w:rPr>
          <w:sz w:val="22"/>
        </w:rPr>
        <w:t>los</w:t>
      </w:r>
      <w:r>
        <w:rPr>
          <w:spacing w:val="-15"/>
          <w:sz w:val="22"/>
        </w:rPr>
        <w:t> </w:t>
      </w:r>
      <w:r>
        <w:rPr>
          <w:sz w:val="22"/>
        </w:rPr>
        <w:t>proyectos</w:t>
      </w:r>
      <w:r>
        <w:rPr>
          <w:spacing w:val="-16"/>
          <w:sz w:val="22"/>
        </w:rPr>
        <w:t> </w:t>
      </w:r>
      <w:r>
        <w:rPr>
          <w:sz w:val="22"/>
        </w:rPr>
        <w:t>sean</w:t>
      </w:r>
      <w:r>
        <w:rPr>
          <w:spacing w:val="-15"/>
          <w:sz w:val="22"/>
        </w:rPr>
        <w:t> </w:t>
      </w:r>
      <w:r>
        <w:rPr>
          <w:sz w:val="22"/>
        </w:rPr>
        <w:t>nuevos</w:t>
      </w:r>
      <w:r>
        <w:rPr>
          <w:spacing w:val="-15"/>
          <w:sz w:val="22"/>
        </w:rPr>
        <w:t> </w:t>
      </w:r>
      <w:r>
        <w:rPr>
          <w:sz w:val="22"/>
        </w:rPr>
        <w:t>y</w:t>
      </w:r>
      <w:r>
        <w:rPr>
          <w:spacing w:val="-13"/>
          <w:sz w:val="22"/>
        </w:rPr>
        <w:t> </w:t>
      </w:r>
      <w:r>
        <w:rPr>
          <w:sz w:val="22"/>
        </w:rPr>
        <w:t>las</w:t>
      </w:r>
      <w:r>
        <w:rPr>
          <w:spacing w:val="-15"/>
          <w:sz w:val="22"/>
        </w:rPr>
        <w:t> </w:t>
      </w:r>
      <w:r>
        <w:rPr>
          <w:sz w:val="22"/>
        </w:rPr>
        <w:t>empresas interesadas en su desarrollo estén total o parcialmente exentas del impuesto sobre la renta, en los términos regulados por la indicada ley de zona franca. Fecha de vigencia </w:t>
      </w:r>
      <w:r>
        <w:rPr>
          <w:spacing w:val="-2"/>
          <w:sz w:val="22"/>
        </w:rPr>
        <w:t>23/05/2022.</w:t>
      </w:r>
    </w:p>
    <w:p>
      <w:pPr>
        <w:pStyle w:val="BodyText"/>
      </w:pPr>
    </w:p>
    <w:p>
      <w:pPr>
        <w:pStyle w:val="BodyText"/>
        <w:ind w:left="1625" w:right="1604"/>
        <w:jc w:val="both"/>
      </w:pPr>
      <w:r>
        <w:rPr>
          <w:b/>
        </w:rPr>
        <w:t>Ley de Reparación Integral para Personas sobrevivientes de Femicidio, N°10263. </w:t>
      </w:r>
      <w:r>
        <w:rPr/>
        <w:t>Crea el Régimen de Reparación Integral para las Personas Sobrevivientes de Femicidio y</w:t>
      </w:r>
      <w:r>
        <w:rPr>
          <w:spacing w:val="-12"/>
        </w:rPr>
        <w:t> </w:t>
      </w:r>
      <w:r>
        <w:rPr/>
        <w:t>un</w:t>
      </w:r>
      <w:r>
        <w:rPr>
          <w:spacing w:val="-15"/>
        </w:rPr>
        <w:t> </w:t>
      </w:r>
      <w:r>
        <w:rPr/>
        <w:t>Fondo</w:t>
      </w:r>
      <w:r>
        <w:rPr>
          <w:spacing w:val="-12"/>
        </w:rPr>
        <w:t> </w:t>
      </w:r>
      <w:r>
        <w:rPr/>
        <w:t>Económico</w:t>
      </w:r>
      <w:r>
        <w:rPr>
          <w:spacing w:val="-15"/>
        </w:rPr>
        <w:t> </w:t>
      </w:r>
      <w:r>
        <w:rPr/>
        <w:t>de</w:t>
      </w:r>
      <w:r>
        <w:rPr>
          <w:spacing w:val="-12"/>
        </w:rPr>
        <w:t> </w:t>
      </w:r>
      <w:r>
        <w:rPr/>
        <w:t>Reparación</w:t>
      </w:r>
      <w:r>
        <w:rPr>
          <w:spacing w:val="-15"/>
        </w:rPr>
        <w:t> </w:t>
      </w:r>
      <w:r>
        <w:rPr/>
        <w:t>Integral</w:t>
      </w:r>
      <w:r>
        <w:rPr>
          <w:spacing w:val="-16"/>
        </w:rPr>
        <w:t> </w:t>
      </w:r>
      <w:r>
        <w:rPr/>
        <w:t>para</w:t>
      </w:r>
      <w:r>
        <w:rPr>
          <w:spacing w:val="-11"/>
        </w:rPr>
        <w:t> </w:t>
      </w:r>
      <w:r>
        <w:rPr/>
        <w:t>Sobrevivientes</w:t>
      </w:r>
      <w:r>
        <w:rPr>
          <w:spacing w:val="-15"/>
        </w:rPr>
        <w:t> </w:t>
      </w:r>
      <w:r>
        <w:rPr/>
        <w:t>de</w:t>
      </w:r>
      <w:r>
        <w:rPr>
          <w:spacing w:val="-15"/>
        </w:rPr>
        <w:t> </w:t>
      </w:r>
      <w:r>
        <w:rPr/>
        <w:t>Femicidio.</w:t>
      </w:r>
      <w:r>
        <w:rPr>
          <w:spacing w:val="-11"/>
        </w:rPr>
        <w:t> </w:t>
      </w:r>
      <w:r>
        <w:rPr/>
        <w:t>El</w:t>
      </w:r>
      <w:r>
        <w:rPr>
          <w:spacing w:val="-13"/>
        </w:rPr>
        <w:t> </w:t>
      </w:r>
      <w:r>
        <w:rPr/>
        <w:t>IMAS deberá otorgar, en un plazo perentorio no mayor de quince días hábiles desde la activación de este régimen, becas</w:t>
      </w:r>
      <w:r>
        <w:rPr>
          <w:spacing w:val="-1"/>
        </w:rPr>
        <w:t> </w:t>
      </w:r>
      <w:r>
        <w:rPr/>
        <w:t>estudiantiles a las personas</w:t>
      </w:r>
      <w:r>
        <w:rPr>
          <w:spacing w:val="-1"/>
        </w:rPr>
        <w:t> </w:t>
      </w:r>
      <w:r>
        <w:rPr/>
        <w:t>beneficiarias de esta ley, para que puedan continuar sus estudios. Fecha de vigencia 30/05/2022.</w:t>
      </w:r>
    </w:p>
    <w:p>
      <w:pPr>
        <w:pStyle w:val="BodyText"/>
        <w:spacing w:before="1"/>
      </w:pPr>
    </w:p>
    <w:p>
      <w:pPr>
        <w:spacing w:before="0"/>
        <w:ind w:left="1625" w:right="1602" w:firstLine="0"/>
        <w:jc w:val="both"/>
        <w:rPr>
          <w:sz w:val="22"/>
        </w:rPr>
      </w:pPr>
      <w:r>
        <w:rPr>
          <w:b/>
          <w:sz w:val="22"/>
        </w:rPr>
        <w:t>Ley para Incentivar y Promover la Construcción de Infraestructura de Telecomunicaciones</w:t>
      </w:r>
      <w:r>
        <w:rPr>
          <w:b/>
          <w:spacing w:val="-12"/>
          <w:sz w:val="22"/>
        </w:rPr>
        <w:t> </w:t>
      </w:r>
      <w:r>
        <w:rPr>
          <w:b/>
          <w:sz w:val="22"/>
        </w:rPr>
        <w:t>en</w:t>
      </w:r>
      <w:r>
        <w:rPr>
          <w:b/>
          <w:spacing w:val="-11"/>
          <w:sz w:val="22"/>
        </w:rPr>
        <w:t> </w:t>
      </w:r>
      <w:r>
        <w:rPr>
          <w:b/>
          <w:sz w:val="22"/>
        </w:rPr>
        <w:t>Costa</w:t>
      </w:r>
      <w:r>
        <w:rPr>
          <w:b/>
          <w:spacing w:val="-12"/>
          <w:sz w:val="22"/>
        </w:rPr>
        <w:t> </w:t>
      </w:r>
      <w:r>
        <w:rPr>
          <w:b/>
          <w:sz w:val="22"/>
        </w:rPr>
        <w:t>Rica,</w:t>
      </w:r>
      <w:r>
        <w:rPr>
          <w:b/>
          <w:spacing w:val="-12"/>
          <w:sz w:val="22"/>
        </w:rPr>
        <w:t> </w:t>
      </w:r>
      <w:r>
        <w:rPr>
          <w:b/>
          <w:sz w:val="22"/>
        </w:rPr>
        <w:t>N°10216</w:t>
      </w:r>
      <w:r>
        <w:rPr>
          <w:sz w:val="22"/>
        </w:rPr>
        <w:t>.</w:t>
      </w:r>
      <w:r>
        <w:rPr>
          <w:spacing w:val="-12"/>
          <w:sz w:val="22"/>
        </w:rPr>
        <w:t> </w:t>
      </w:r>
      <w:r>
        <w:rPr>
          <w:sz w:val="22"/>
        </w:rPr>
        <w:t>Propicia</w:t>
      </w:r>
      <w:r>
        <w:rPr>
          <w:spacing w:val="-11"/>
          <w:sz w:val="22"/>
        </w:rPr>
        <w:t> </w:t>
      </w:r>
      <w:r>
        <w:rPr>
          <w:sz w:val="22"/>
        </w:rPr>
        <w:t>que</w:t>
      </w:r>
      <w:r>
        <w:rPr>
          <w:spacing w:val="-11"/>
          <w:sz w:val="22"/>
        </w:rPr>
        <w:t> </w:t>
      </w:r>
      <w:r>
        <w:rPr>
          <w:sz w:val="22"/>
        </w:rPr>
        <w:t>las</w:t>
      </w:r>
      <w:r>
        <w:rPr>
          <w:spacing w:val="-12"/>
          <w:sz w:val="22"/>
        </w:rPr>
        <w:t> </w:t>
      </w:r>
      <w:r>
        <w:rPr>
          <w:sz w:val="22"/>
        </w:rPr>
        <w:t>entidades</w:t>
      </w:r>
      <w:r>
        <w:rPr>
          <w:spacing w:val="-10"/>
          <w:sz w:val="22"/>
        </w:rPr>
        <w:t> </w:t>
      </w:r>
      <w:r>
        <w:rPr>
          <w:sz w:val="22"/>
        </w:rPr>
        <w:t>públicas,</w:t>
      </w:r>
      <w:r>
        <w:rPr>
          <w:spacing w:val="-12"/>
          <w:sz w:val="22"/>
        </w:rPr>
        <w:t> </w:t>
      </w:r>
      <w:r>
        <w:rPr>
          <w:sz w:val="22"/>
        </w:rPr>
        <w:t>que intervienen en</w:t>
      </w:r>
      <w:r>
        <w:rPr>
          <w:spacing w:val="-2"/>
          <w:sz w:val="22"/>
        </w:rPr>
        <w:t> </w:t>
      </w:r>
      <w:r>
        <w:rPr>
          <w:sz w:val="22"/>
        </w:rPr>
        <w:t>los</w:t>
      </w:r>
      <w:r>
        <w:rPr>
          <w:spacing w:val="-2"/>
          <w:sz w:val="22"/>
        </w:rPr>
        <w:t> </w:t>
      </w:r>
      <w:r>
        <w:rPr>
          <w:sz w:val="22"/>
        </w:rPr>
        <w:t>trámites y</w:t>
      </w:r>
      <w:r>
        <w:rPr>
          <w:spacing w:val="-2"/>
          <w:sz w:val="22"/>
        </w:rPr>
        <w:t> </w:t>
      </w:r>
      <w:r>
        <w:rPr>
          <w:sz w:val="22"/>
        </w:rPr>
        <w:t>requisitos</w:t>
      </w:r>
      <w:r>
        <w:rPr>
          <w:spacing w:val="-2"/>
          <w:sz w:val="22"/>
        </w:rPr>
        <w:t> </w:t>
      </w:r>
      <w:r>
        <w:rPr>
          <w:sz w:val="22"/>
        </w:rPr>
        <w:t>para</w:t>
      </w:r>
      <w:r>
        <w:rPr>
          <w:spacing w:val="-2"/>
          <w:sz w:val="22"/>
        </w:rPr>
        <w:t> </w:t>
      </w:r>
      <w:r>
        <w:rPr>
          <w:sz w:val="22"/>
        </w:rPr>
        <w:t>la construcción de infraestructura</w:t>
      </w:r>
      <w:r>
        <w:rPr>
          <w:spacing w:val="-1"/>
          <w:sz w:val="22"/>
        </w:rPr>
        <w:t> </w:t>
      </w:r>
      <w:r>
        <w:rPr>
          <w:sz w:val="22"/>
        </w:rPr>
        <w:t>del sector, trabajen</w:t>
      </w:r>
      <w:r>
        <w:rPr>
          <w:spacing w:val="-7"/>
          <w:sz w:val="22"/>
        </w:rPr>
        <w:t> </w:t>
      </w:r>
      <w:r>
        <w:rPr>
          <w:sz w:val="22"/>
        </w:rPr>
        <w:t>de</w:t>
      </w:r>
      <w:r>
        <w:rPr>
          <w:spacing w:val="-12"/>
          <w:sz w:val="22"/>
        </w:rPr>
        <w:t> </w:t>
      </w:r>
      <w:r>
        <w:rPr>
          <w:sz w:val="22"/>
        </w:rPr>
        <w:t>manera</w:t>
      </w:r>
      <w:r>
        <w:rPr>
          <w:spacing w:val="-8"/>
          <w:sz w:val="22"/>
        </w:rPr>
        <w:t> </w:t>
      </w:r>
      <w:r>
        <w:rPr>
          <w:sz w:val="22"/>
        </w:rPr>
        <w:t>coordinada</w:t>
      </w:r>
      <w:r>
        <w:rPr>
          <w:spacing w:val="-7"/>
          <w:sz w:val="22"/>
        </w:rPr>
        <w:t> </w:t>
      </w:r>
      <w:r>
        <w:rPr>
          <w:sz w:val="22"/>
        </w:rPr>
        <w:t>y</w:t>
      </w:r>
      <w:r>
        <w:rPr>
          <w:spacing w:val="-6"/>
          <w:sz w:val="22"/>
        </w:rPr>
        <w:t> </w:t>
      </w:r>
      <w:r>
        <w:rPr>
          <w:sz w:val="22"/>
        </w:rPr>
        <w:t>con</w:t>
      </w:r>
      <w:r>
        <w:rPr>
          <w:spacing w:val="-9"/>
          <w:sz w:val="22"/>
        </w:rPr>
        <w:t> </w:t>
      </w:r>
      <w:r>
        <w:rPr>
          <w:sz w:val="22"/>
        </w:rPr>
        <w:t>la</w:t>
      </w:r>
      <w:r>
        <w:rPr>
          <w:spacing w:val="-9"/>
          <w:sz w:val="22"/>
        </w:rPr>
        <w:t> </w:t>
      </w:r>
      <w:r>
        <w:rPr>
          <w:sz w:val="22"/>
        </w:rPr>
        <w:t>mayor</w:t>
      </w:r>
      <w:r>
        <w:rPr>
          <w:spacing w:val="-8"/>
          <w:sz w:val="22"/>
        </w:rPr>
        <w:t> </w:t>
      </w:r>
      <w:r>
        <w:rPr>
          <w:sz w:val="22"/>
        </w:rPr>
        <w:t>celeridad,</w:t>
      </w:r>
      <w:r>
        <w:rPr>
          <w:spacing w:val="-5"/>
          <w:sz w:val="22"/>
        </w:rPr>
        <w:t> </w:t>
      </w:r>
      <w:r>
        <w:rPr>
          <w:sz w:val="22"/>
        </w:rPr>
        <w:t>con</w:t>
      </w:r>
      <w:r>
        <w:rPr>
          <w:spacing w:val="-9"/>
          <w:sz w:val="22"/>
        </w:rPr>
        <w:t> </w:t>
      </w:r>
      <w:r>
        <w:rPr>
          <w:sz w:val="22"/>
        </w:rPr>
        <w:t>el</w:t>
      </w:r>
      <w:r>
        <w:rPr>
          <w:spacing w:val="-7"/>
          <w:sz w:val="22"/>
        </w:rPr>
        <w:t> </w:t>
      </w:r>
      <w:r>
        <w:rPr>
          <w:sz w:val="22"/>
        </w:rPr>
        <w:t>propósito</w:t>
      </w:r>
      <w:r>
        <w:rPr>
          <w:spacing w:val="-11"/>
          <w:sz w:val="22"/>
        </w:rPr>
        <w:t> </w:t>
      </w:r>
      <w:r>
        <w:rPr>
          <w:sz w:val="22"/>
        </w:rPr>
        <w:t>de</w:t>
      </w:r>
      <w:r>
        <w:rPr>
          <w:spacing w:val="-7"/>
          <w:sz w:val="22"/>
        </w:rPr>
        <w:t> </w:t>
      </w:r>
      <w:r>
        <w:rPr>
          <w:sz w:val="22"/>
        </w:rPr>
        <w:t>incentivar</w:t>
      </w:r>
      <w:r>
        <w:rPr>
          <w:spacing w:val="-8"/>
          <w:sz w:val="22"/>
        </w:rPr>
        <w:t> </w:t>
      </w:r>
      <w:r>
        <w:rPr>
          <w:sz w:val="22"/>
        </w:rPr>
        <w:t>la ampliación y la cobertura de las telecomunicaciones de todo el país bajo un marco eficiente y ordenado. Fecha de vigencia 08/06/2022.</w:t>
      </w:r>
    </w:p>
    <w:p>
      <w:pPr>
        <w:pStyle w:val="BodyText"/>
      </w:pPr>
    </w:p>
    <w:p>
      <w:pPr>
        <w:pStyle w:val="BodyText"/>
        <w:ind w:left="1625" w:right="1601"/>
        <w:jc w:val="both"/>
      </w:pPr>
      <w:r>
        <w:rPr>
          <w:b/>
        </w:rPr>
        <w:t>Ley para la Desafectación de Terrenos Públicos, N° 10262. </w:t>
      </w:r>
      <w:r>
        <w:rPr/>
        <w:t>Autorización al Instituto Mixto</w:t>
      </w:r>
      <w:r>
        <w:rPr>
          <w:spacing w:val="-8"/>
        </w:rPr>
        <w:t> </w:t>
      </w:r>
      <w:r>
        <w:rPr/>
        <w:t>de</w:t>
      </w:r>
      <w:r>
        <w:rPr>
          <w:spacing w:val="-8"/>
        </w:rPr>
        <w:t> </w:t>
      </w:r>
      <w:r>
        <w:rPr/>
        <w:t>Ayuda</w:t>
      </w:r>
      <w:r>
        <w:rPr>
          <w:spacing w:val="-8"/>
        </w:rPr>
        <w:t> </w:t>
      </w:r>
      <w:r>
        <w:rPr/>
        <w:t>Social</w:t>
      </w:r>
      <w:r>
        <w:rPr>
          <w:spacing w:val="-9"/>
        </w:rPr>
        <w:t> </w:t>
      </w:r>
      <w:r>
        <w:rPr/>
        <w:t>para</w:t>
      </w:r>
      <w:r>
        <w:rPr>
          <w:spacing w:val="-7"/>
        </w:rPr>
        <w:t> </w:t>
      </w:r>
      <w:r>
        <w:rPr/>
        <w:t>que</w:t>
      </w:r>
      <w:r>
        <w:rPr>
          <w:spacing w:val="-8"/>
        </w:rPr>
        <w:t> </w:t>
      </w:r>
      <w:r>
        <w:rPr/>
        <w:t>segregue</w:t>
      </w:r>
      <w:r>
        <w:rPr>
          <w:spacing w:val="-11"/>
        </w:rPr>
        <w:t> </w:t>
      </w:r>
      <w:r>
        <w:rPr/>
        <w:t>y</w:t>
      </w:r>
      <w:r>
        <w:rPr>
          <w:spacing w:val="-7"/>
        </w:rPr>
        <w:t> </w:t>
      </w:r>
      <w:r>
        <w:rPr/>
        <w:t>done</w:t>
      </w:r>
      <w:r>
        <w:rPr>
          <w:spacing w:val="-11"/>
        </w:rPr>
        <w:t> </w:t>
      </w:r>
      <w:r>
        <w:rPr/>
        <w:t>un</w:t>
      </w:r>
      <w:r>
        <w:rPr>
          <w:spacing w:val="-8"/>
        </w:rPr>
        <w:t> </w:t>
      </w:r>
      <w:r>
        <w:rPr/>
        <w:t>inmueble</w:t>
      </w:r>
      <w:r>
        <w:rPr>
          <w:spacing w:val="-8"/>
        </w:rPr>
        <w:t> </w:t>
      </w:r>
      <w:r>
        <w:rPr/>
        <w:t>de</w:t>
      </w:r>
      <w:r>
        <w:rPr>
          <w:spacing w:val="-8"/>
        </w:rPr>
        <w:t> </w:t>
      </w:r>
      <w:r>
        <w:rPr/>
        <w:t>su</w:t>
      </w:r>
      <w:r>
        <w:rPr>
          <w:spacing w:val="-8"/>
        </w:rPr>
        <w:t> </w:t>
      </w:r>
      <w:r>
        <w:rPr/>
        <w:t>propiedad</w:t>
      </w:r>
      <w:r>
        <w:rPr>
          <w:spacing w:val="-8"/>
        </w:rPr>
        <w:t> </w:t>
      </w:r>
      <w:r>
        <w:rPr/>
        <w:t>a</w:t>
      </w:r>
      <w:r>
        <w:rPr>
          <w:spacing w:val="-8"/>
        </w:rPr>
        <w:t> </w:t>
      </w:r>
      <w:r>
        <w:rPr/>
        <w:t>favor</w:t>
      </w:r>
      <w:r>
        <w:rPr>
          <w:spacing w:val="-9"/>
        </w:rPr>
        <w:t> </w:t>
      </w:r>
      <w:r>
        <w:rPr/>
        <w:t>de la Caja Costarricense De Seguro Social, el Ministerio de Seguridad Pública y la Federación</w:t>
      </w:r>
      <w:r>
        <w:rPr>
          <w:spacing w:val="-9"/>
        </w:rPr>
        <w:t> </w:t>
      </w:r>
      <w:r>
        <w:rPr/>
        <w:t>de</w:t>
      </w:r>
      <w:r>
        <w:rPr>
          <w:spacing w:val="-10"/>
        </w:rPr>
        <w:t> </w:t>
      </w:r>
      <w:r>
        <w:rPr/>
        <w:t>Uniones</w:t>
      </w:r>
      <w:r>
        <w:rPr>
          <w:spacing w:val="-10"/>
        </w:rPr>
        <w:t> </w:t>
      </w:r>
      <w:r>
        <w:rPr/>
        <w:t>Cantonales</w:t>
      </w:r>
      <w:r>
        <w:rPr>
          <w:spacing w:val="-8"/>
        </w:rPr>
        <w:t> </w:t>
      </w:r>
      <w:r>
        <w:rPr/>
        <w:t>de</w:t>
      </w:r>
      <w:r>
        <w:rPr>
          <w:spacing w:val="-10"/>
        </w:rPr>
        <w:t> </w:t>
      </w:r>
      <w:r>
        <w:rPr/>
        <w:t>Asociaciones</w:t>
      </w:r>
      <w:r>
        <w:rPr>
          <w:spacing w:val="-8"/>
        </w:rPr>
        <w:t> </w:t>
      </w:r>
      <w:r>
        <w:rPr/>
        <w:t>de</w:t>
      </w:r>
      <w:r>
        <w:rPr>
          <w:spacing w:val="-10"/>
        </w:rPr>
        <w:t> </w:t>
      </w:r>
      <w:r>
        <w:rPr/>
        <w:t>Desarrollo</w:t>
      </w:r>
      <w:r>
        <w:rPr>
          <w:spacing w:val="-8"/>
        </w:rPr>
        <w:t> </w:t>
      </w:r>
      <w:r>
        <w:rPr/>
        <w:t>del</w:t>
      </w:r>
      <w:r>
        <w:rPr>
          <w:spacing w:val="-9"/>
        </w:rPr>
        <w:t> </w:t>
      </w:r>
      <w:r>
        <w:rPr/>
        <w:t>Caribe.</w:t>
      </w:r>
      <w:r>
        <w:rPr>
          <w:spacing w:val="-7"/>
        </w:rPr>
        <w:t> </w:t>
      </w:r>
      <w:r>
        <w:rPr/>
        <w:t>Autoriza</w:t>
      </w:r>
      <w:r>
        <w:rPr>
          <w:spacing w:val="-10"/>
        </w:rPr>
        <w:t> </w:t>
      </w:r>
      <w:r>
        <w:rPr/>
        <w:t>al IMAS a la segregación de 3 lotes. Fecha de vigencia 09/06/2022.</w:t>
      </w:r>
    </w:p>
    <w:p>
      <w:pPr>
        <w:spacing w:before="253"/>
        <w:ind w:left="1625" w:right="1605" w:firstLine="0"/>
        <w:jc w:val="both"/>
        <w:rPr>
          <w:sz w:val="22"/>
        </w:rPr>
      </w:pPr>
      <w:r>
        <w:rPr>
          <w:b/>
          <w:sz w:val="22"/>
        </w:rPr>
        <w:t>Ley de Creación del Sistema Nacional de Cuidados y Apoyos para Personas Adultas y Personas Adultas Mayores en Situación de Dependencia (SINCA), N°10192. </w:t>
      </w:r>
      <w:r>
        <w:rPr>
          <w:sz w:val="22"/>
        </w:rPr>
        <w:t>Crea la Secretaría Técnica del SINCA, la cual funcionará como una dependencia técnica y administrativa del Instituto Mixto de Ayuda Social (IMAS), incorporada a su estructura. Así mismo, formulará y mantendrá actualizada la Política Nacional de Cuidados y Atención a la Dependencia. De igual forma, destinará recursos para subsidiar a mujeres cuidadoras en situación de pobreza extrema, que no tengan posibilidades de insertarse en el mercado de trabajo. Fecha de vigencia 14/06/2022.</w:t>
      </w:r>
    </w:p>
    <w:p>
      <w:pPr>
        <w:pStyle w:val="BodyText"/>
      </w:pPr>
    </w:p>
    <w:p>
      <w:pPr>
        <w:spacing w:before="0"/>
        <w:ind w:left="1625" w:right="1604" w:firstLine="0"/>
        <w:jc w:val="both"/>
        <w:rPr>
          <w:sz w:val="22"/>
        </w:rPr>
      </w:pPr>
      <w:r>
        <w:rPr>
          <w:b/>
          <w:sz w:val="22"/>
        </w:rPr>
        <w:t>Ley de Cooperación Interinstitucional en el Financiamiento de Proyectos para las Juventudes Costarricenses, N°10221. </w:t>
      </w:r>
      <w:r>
        <w:rPr>
          <w:sz w:val="22"/>
        </w:rPr>
        <w:t>Reforma del artículo 18 de la Ley 8261, Ley General de la Persona Joven. Fecha de vigencia 15/06/2022.</w:t>
      </w:r>
    </w:p>
    <w:p>
      <w:pPr>
        <w:spacing w:before="0"/>
        <w:ind w:left="1625" w:right="1604" w:firstLine="0"/>
        <w:jc w:val="both"/>
        <w:rPr>
          <w:sz w:val="22"/>
        </w:rPr>
      </w:pPr>
      <w:r>
        <w:rPr>
          <w:b/>
          <w:sz w:val="22"/>
        </w:rPr>
        <w:t>Ley de Creación del Régimen Especial de Viviendas Comunitarias para Garantizar el</w:t>
      </w:r>
      <w:r>
        <w:rPr>
          <w:b/>
          <w:spacing w:val="-1"/>
          <w:sz w:val="22"/>
        </w:rPr>
        <w:t> </w:t>
      </w:r>
      <w:r>
        <w:rPr>
          <w:b/>
          <w:sz w:val="22"/>
        </w:rPr>
        <w:t>Acceso</w:t>
      </w:r>
      <w:r>
        <w:rPr>
          <w:b/>
          <w:spacing w:val="-2"/>
          <w:sz w:val="22"/>
        </w:rPr>
        <w:t> </w:t>
      </w:r>
      <w:r>
        <w:rPr>
          <w:b/>
          <w:sz w:val="22"/>
        </w:rPr>
        <w:t>al</w:t>
      </w:r>
      <w:r>
        <w:rPr>
          <w:b/>
          <w:spacing w:val="-1"/>
          <w:sz w:val="22"/>
        </w:rPr>
        <w:t> </w:t>
      </w:r>
      <w:r>
        <w:rPr>
          <w:b/>
          <w:sz w:val="22"/>
        </w:rPr>
        <w:t>Derecho</w:t>
      </w:r>
      <w:r>
        <w:rPr>
          <w:b/>
          <w:spacing w:val="-2"/>
          <w:sz w:val="22"/>
        </w:rPr>
        <w:t> </w:t>
      </w:r>
      <w:r>
        <w:rPr>
          <w:b/>
          <w:sz w:val="22"/>
        </w:rPr>
        <w:t>de la</w:t>
      </w:r>
      <w:r>
        <w:rPr>
          <w:b/>
          <w:spacing w:val="-2"/>
          <w:sz w:val="22"/>
        </w:rPr>
        <w:t> </w:t>
      </w:r>
      <w:r>
        <w:rPr>
          <w:b/>
          <w:sz w:val="22"/>
        </w:rPr>
        <w:t>Vivienda</w:t>
      </w:r>
      <w:r>
        <w:rPr>
          <w:b/>
          <w:spacing w:val="-2"/>
          <w:sz w:val="22"/>
        </w:rPr>
        <w:t> </w:t>
      </w:r>
      <w:r>
        <w:rPr>
          <w:b/>
          <w:sz w:val="22"/>
        </w:rPr>
        <w:t>a</w:t>
      </w:r>
      <w:r>
        <w:rPr>
          <w:b/>
          <w:spacing w:val="-2"/>
          <w:sz w:val="22"/>
        </w:rPr>
        <w:t> </w:t>
      </w:r>
      <w:r>
        <w:rPr>
          <w:b/>
          <w:sz w:val="22"/>
        </w:rPr>
        <w:t>las Personas Adultas</w:t>
      </w:r>
      <w:r>
        <w:rPr>
          <w:b/>
          <w:spacing w:val="-2"/>
          <w:sz w:val="22"/>
        </w:rPr>
        <w:t> </w:t>
      </w:r>
      <w:r>
        <w:rPr>
          <w:b/>
          <w:sz w:val="22"/>
        </w:rPr>
        <w:t>Mayores</w:t>
      </w:r>
      <w:r>
        <w:rPr>
          <w:b/>
          <w:spacing w:val="-4"/>
          <w:sz w:val="22"/>
        </w:rPr>
        <w:t> </w:t>
      </w:r>
      <w:r>
        <w:rPr>
          <w:b/>
          <w:sz w:val="22"/>
        </w:rPr>
        <w:t>en Condición de</w:t>
      </w:r>
      <w:r>
        <w:rPr>
          <w:b/>
          <w:spacing w:val="-2"/>
          <w:sz w:val="22"/>
        </w:rPr>
        <w:t> </w:t>
      </w:r>
      <w:r>
        <w:rPr>
          <w:b/>
          <w:sz w:val="22"/>
        </w:rPr>
        <w:t>Vulnerabilidad,</w:t>
      </w:r>
      <w:r>
        <w:rPr>
          <w:b/>
          <w:spacing w:val="-3"/>
          <w:sz w:val="22"/>
        </w:rPr>
        <w:t> </w:t>
      </w:r>
      <w:r>
        <w:rPr>
          <w:b/>
          <w:sz w:val="22"/>
        </w:rPr>
        <w:t>N° 10214. </w:t>
      </w:r>
      <w:r>
        <w:rPr>
          <w:sz w:val="22"/>
        </w:rPr>
        <w:t>Régimen</w:t>
      </w:r>
      <w:r>
        <w:rPr>
          <w:spacing w:val="-4"/>
          <w:sz w:val="22"/>
        </w:rPr>
        <w:t> </w:t>
      </w:r>
      <w:r>
        <w:rPr>
          <w:sz w:val="22"/>
        </w:rPr>
        <w:t>especial</w:t>
      </w:r>
      <w:r>
        <w:rPr>
          <w:spacing w:val="-5"/>
          <w:sz w:val="22"/>
        </w:rPr>
        <w:t> </w:t>
      </w:r>
      <w:r>
        <w:rPr>
          <w:sz w:val="22"/>
        </w:rPr>
        <w:t>de</w:t>
      </w:r>
      <w:r>
        <w:rPr>
          <w:spacing w:val="-2"/>
          <w:sz w:val="22"/>
        </w:rPr>
        <w:t> </w:t>
      </w:r>
      <w:r>
        <w:rPr>
          <w:sz w:val="22"/>
        </w:rPr>
        <w:t>viviendas</w:t>
      </w:r>
      <w:r>
        <w:rPr>
          <w:spacing w:val="-1"/>
          <w:sz w:val="22"/>
        </w:rPr>
        <w:t> </w:t>
      </w:r>
      <w:r>
        <w:rPr>
          <w:sz w:val="22"/>
        </w:rPr>
        <w:t>comunitarias, subsidiadas mediante un bono de viviendas comunitarias, para el uso y habitación de las personas adultas mayores costarricenses y extranjeros con residencia legal en Costa Rica, autovalentes</w:t>
      </w:r>
      <w:r>
        <w:rPr>
          <w:spacing w:val="69"/>
          <w:sz w:val="22"/>
        </w:rPr>
        <w:t> </w:t>
      </w:r>
      <w:r>
        <w:rPr>
          <w:sz w:val="22"/>
        </w:rPr>
        <w:t>y</w:t>
      </w:r>
      <w:r>
        <w:rPr>
          <w:spacing w:val="72"/>
          <w:sz w:val="22"/>
        </w:rPr>
        <w:t> </w:t>
      </w:r>
      <w:r>
        <w:rPr>
          <w:sz w:val="22"/>
        </w:rPr>
        <w:t>en</w:t>
      </w:r>
      <w:r>
        <w:rPr>
          <w:spacing w:val="69"/>
          <w:sz w:val="22"/>
        </w:rPr>
        <w:t> </w:t>
      </w:r>
      <w:r>
        <w:rPr>
          <w:sz w:val="22"/>
        </w:rPr>
        <w:t>condición</w:t>
      </w:r>
      <w:r>
        <w:rPr>
          <w:spacing w:val="71"/>
          <w:sz w:val="22"/>
        </w:rPr>
        <w:t> </w:t>
      </w:r>
      <w:r>
        <w:rPr>
          <w:sz w:val="22"/>
        </w:rPr>
        <w:t>de</w:t>
      </w:r>
      <w:r>
        <w:rPr>
          <w:spacing w:val="71"/>
          <w:sz w:val="22"/>
        </w:rPr>
        <w:t> </w:t>
      </w:r>
      <w:r>
        <w:rPr>
          <w:sz w:val="22"/>
        </w:rPr>
        <w:t>vulnerabilidad.</w:t>
      </w:r>
      <w:r>
        <w:rPr>
          <w:spacing w:val="73"/>
          <w:sz w:val="22"/>
        </w:rPr>
        <w:t> </w:t>
      </w:r>
      <w:r>
        <w:rPr>
          <w:sz w:val="22"/>
        </w:rPr>
        <w:t>Las</w:t>
      </w:r>
      <w:r>
        <w:rPr>
          <w:spacing w:val="70"/>
          <w:sz w:val="22"/>
        </w:rPr>
        <w:t> </w:t>
      </w:r>
      <w:r>
        <w:rPr>
          <w:sz w:val="22"/>
        </w:rPr>
        <w:t>entidades</w:t>
      </w:r>
      <w:r>
        <w:rPr>
          <w:spacing w:val="72"/>
          <w:sz w:val="22"/>
        </w:rPr>
        <w:t> </w:t>
      </w:r>
      <w:r>
        <w:rPr>
          <w:sz w:val="22"/>
        </w:rPr>
        <w:t>que</w:t>
      </w:r>
      <w:r>
        <w:rPr>
          <w:spacing w:val="69"/>
          <w:sz w:val="22"/>
        </w:rPr>
        <w:t> </w:t>
      </w:r>
      <w:r>
        <w:rPr>
          <w:sz w:val="22"/>
        </w:rPr>
        <w:t>administren</w:t>
      </w:r>
      <w:r>
        <w:rPr>
          <w:spacing w:val="69"/>
          <w:sz w:val="22"/>
        </w:rPr>
        <w:t> </w:t>
      </w:r>
      <w:r>
        <w:rPr>
          <w:sz w:val="22"/>
        </w:rPr>
        <w:t>las</w:t>
      </w:r>
    </w:p>
    <w:p>
      <w:pPr>
        <w:spacing w:after="0"/>
        <w:jc w:val="both"/>
        <w:rPr>
          <w:sz w:val="22"/>
        </w:rPr>
        <w:sectPr>
          <w:pgSz w:w="12240" w:h="15840"/>
          <w:pgMar w:header="0" w:footer="1576" w:top="1000" w:bottom="1760" w:left="360" w:right="0"/>
        </w:sectPr>
      </w:pPr>
    </w:p>
    <w:p>
      <w:pPr>
        <w:pStyle w:val="BodyText"/>
        <w:spacing w:before="77"/>
        <w:ind w:left="1625" w:right="1606"/>
        <w:jc w:val="both"/>
      </w:pPr>
      <w:r>
        <w:rPr/>
        <w:t>viviendas comunitarias deben ser declaradas por el IMAS de bienestar social. Fecha de vigencia 15/06/2022.</w:t>
      </w:r>
    </w:p>
    <w:p>
      <w:pPr>
        <w:pStyle w:val="BodyText"/>
      </w:pPr>
    </w:p>
    <w:p>
      <w:pPr>
        <w:spacing w:before="0"/>
        <w:ind w:left="1625" w:right="1607" w:firstLine="0"/>
        <w:jc w:val="both"/>
        <w:rPr>
          <w:sz w:val="22"/>
        </w:rPr>
      </w:pPr>
      <w:r>
        <w:rPr>
          <w:b/>
          <w:sz w:val="22"/>
        </w:rPr>
        <w:t>Ley de</w:t>
      </w:r>
      <w:r>
        <w:rPr>
          <w:b/>
          <w:spacing w:val="-1"/>
          <w:sz w:val="22"/>
        </w:rPr>
        <w:t> </w:t>
      </w:r>
      <w:r>
        <w:rPr>
          <w:b/>
          <w:sz w:val="22"/>
        </w:rPr>
        <w:t>Prohibición</w:t>
      </w:r>
      <w:r>
        <w:rPr>
          <w:b/>
          <w:spacing w:val="-3"/>
          <w:sz w:val="22"/>
        </w:rPr>
        <w:t> </w:t>
      </w:r>
      <w:r>
        <w:rPr>
          <w:b/>
          <w:sz w:val="22"/>
        </w:rPr>
        <w:t>de</w:t>
      </w:r>
      <w:r>
        <w:rPr>
          <w:b/>
          <w:spacing w:val="-3"/>
          <w:sz w:val="22"/>
        </w:rPr>
        <w:t> </w:t>
      </w:r>
      <w:r>
        <w:rPr>
          <w:b/>
          <w:sz w:val="22"/>
        </w:rPr>
        <w:t>la Difusión</w:t>
      </w:r>
      <w:r>
        <w:rPr>
          <w:b/>
          <w:spacing w:val="-3"/>
          <w:sz w:val="22"/>
        </w:rPr>
        <w:t> </w:t>
      </w:r>
      <w:r>
        <w:rPr>
          <w:b/>
          <w:sz w:val="22"/>
        </w:rPr>
        <w:t>de</w:t>
      </w:r>
      <w:r>
        <w:rPr>
          <w:b/>
          <w:spacing w:val="-1"/>
          <w:sz w:val="22"/>
        </w:rPr>
        <w:t> </w:t>
      </w:r>
      <w:r>
        <w:rPr>
          <w:b/>
          <w:sz w:val="22"/>
        </w:rPr>
        <w:t>Propaganda que Degrade</w:t>
      </w:r>
      <w:r>
        <w:rPr>
          <w:b/>
          <w:spacing w:val="-3"/>
          <w:sz w:val="22"/>
        </w:rPr>
        <w:t> </w:t>
      </w:r>
      <w:r>
        <w:rPr>
          <w:b/>
          <w:sz w:val="22"/>
        </w:rPr>
        <w:t>a</w:t>
      </w:r>
      <w:r>
        <w:rPr>
          <w:b/>
          <w:spacing w:val="-3"/>
          <w:sz w:val="22"/>
        </w:rPr>
        <w:t> </w:t>
      </w:r>
      <w:r>
        <w:rPr>
          <w:b/>
          <w:sz w:val="22"/>
        </w:rPr>
        <w:t>la</w:t>
      </w:r>
      <w:r>
        <w:rPr>
          <w:b/>
          <w:spacing w:val="-3"/>
          <w:sz w:val="22"/>
        </w:rPr>
        <w:t> </w:t>
      </w:r>
      <w:r>
        <w:rPr>
          <w:b/>
          <w:sz w:val="22"/>
        </w:rPr>
        <w:t>Persona</w:t>
      </w:r>
      <w:r>
        <w:rPr>
          <w:b/>
          <w:spacing w:val="-3"/>
          <w:sz w:val="22"/>
        </w:rPr>
        <w:t> </w:t>
      </w:r>
      <w:r>
        <w:rPr>
          <w:b/>
          <w:sz w:val="22"/>
        </w:rPr>
        <w:t>Adulta Mayor, N°10267. </w:t>
      </w:r>
      <w:r>
        <w:rPr>
          <w:sz w:val="22"/>
        </w:rPr>
        <w:t>Prohíbe la difusión de propaganda en textos, imágenes, lenguaje, videos e información que</w:t>
      </w:r>
      <w:r>
        <w:rPr>
          <w:spacing w:val="-2"/>
          <w:sz w:val="22"/>
        </w:rPr>
        <w:t> </w:t>
      </w:r>
      <w:r>
        <w:rPr>
          <w:sz w:val="22"/>
        </w:rPr>
        <w:t>degrade la dignidad, el</w:t>
      </w:r>
      <w:r>
        <w:rPr>
          <w:spacing w:val="-3"/>
          <w:sz w:val="22"/>
        </w:rPr>
        <w:t> </w:t>
      </w:r>
      <w:r>
        <w:rPr>
          <w:sz w:val="22"/>
        </w:rPr>
        <w:t>honor y la imagen de</w:t>
      </w:r>
      <w:r>
        <w:rPr>
          <w:spacing w:val="-2"/>
          <w:sz w:val="22"/>
        </w:rPr>
        <w:t> </w:t>
      </w:r>
      <w:r>
        <w:rPr>
          <w:sz w:val="22"/>
        </w:rPr>
        <w:t>la persona adulta mayor. Fecha de vigencia 09/09/2022.</w:t>
      </w:r>
    </w:p>
    <w:p>
      <w:pPr>
        <w:pStyle w:val="BodyText"/>
      </w:pPr>
    </w:p>
    <w:p>
      <w:pPr>
        <w:spacing w:before="0"/>
        <w:ind w:left="1625" w:right="1605" w:firstLine="0"/>
        <w:jc w:val="both"/>
        <w:rPr>
          <w:sz w:val="22"/>
        </w:rPr>
      </w:pPr>
      <w:r>
        <w:rPr>
          <w:b/>
          <w:sz w:val="22"/>
        </w:rPr>
        <w:t>Ley General de Contratación Pública</w:t>
      </w:r>
      <w:r>
        <w:rPr>
          <w:sz w:val="22"/>
        </w:rPr>
        <w:t>, </w:t>
      </w:r>
      <w:r>
        <w:rPr>
          <w:b/>
          <w:sz w:val="22"/>
        </w:rPr>
        <w:t>N°9986 y sus reformas</w:t>
      </w:r>
      <w:r>
        <w:rPr>
          <w:sz w:val="22"/>
        </w:rPr>
        <w:t>.</w:t>
      </w:r>
      <w:r>
        <w:rPr>
          <w:spacing w:val="40"/>
          <w:sz w:val="22"/>
        </w:rPr>
        <w:t> </w:t>
      </w:r>
      <w:r>
        <w:rPr>
          <w:sz w:val="22"/>
        </w:rPr>
        <w:t>Regula toda la actividad</w:t>
      </w:r>
      <w:r>
        <w:rPr>
          <w:spacing w:val="-7"/>
          <w:sz w:val="22"/>
        </w:rPr>
        <w:t> </w:t>
      </w:r>
      <w:r>
        <w:rPr>
          <w:sz w:val="22"/>
        </w:rPr>
        <w:t>contractual</w:t>
      </w:r>
      <w:r>
        <w:rPr>
          <w:spacing w:val="-8"/>
          <w:sz w:val="22"/>
        </w:rPr>
        <w:t> </w:t>
      </w:r>
      <w:r>
        <w:rPr>
          <w:sz w:val="22"/>
        </w:rPr>
        <w:t>que</w:t>
      </w:r>
      <w:r>
        <w:rPr>
          <w:spacing w:val="-10"/>
          <w:sz w:val="22"/>
        </w:rPr>
        <w:t> </w:t>
      </w:r>
      <w:r>
        <w:rPr>
          <w:sz w:val="22"/>
        </w:rPr>
        <w:t>emplee</w:t>
      </w:r>
      <w:r>
        <w:rPr>
          <w:spacing w:val="-10"/>
          <w:sz w:val="22"/>
        </w:rPr>
        <w:t> </w:t>
      </w:r>
      <w:r>
        <w:rPr>
          <w:sz w:val="22"/>
        </w:rPr>
        <w:t>total</w:t>
      </w:r>
      <w:r>
        <w:rPr>
          <w:spacing w:val="-8"/>
          <w:sz w:val="22"/>
        </w:rPr>
        <w:t> </w:t>
      </w:r>
      <w:r>
        <w:rPr>
          <w:sz w:val="22"/>
        </w:rPr>
        <w:t>o</w:t>
      </w:r>
      <w:r>
        <w:rPr>
          <w:spacing w:val="-10"/>
          <w:sz w:val="22"/>
        </w:rPr>
        <w:t> </w:t>
      </w:r>
      <w:r>
        <w:rPr>
          <w:sz w:val="22"/>
        </w:rPr>
        <w:t>parcialmente</w:t>
      </w:r>
      <w:r>
        <w:rPr>
          <w:spacing w:val="-7"/>
          <w:sz w:val="22"/>
        </w:rPr>
        <w:t> </w:t>
      </w:r>
      <w:r>
        <w:rPr>
          <w:sz w:val="22"/>
        </w:rPr>
        <w:t>fondos</w:t>
      </w:r>
      <w:r>
        <w:rPr>
          <w:spacing w:val="-7"/>
          <w:sz w:val="22"/>
        </w:rPr>
        <w:t> </w:t>
      </w:r>
      <w:r>
        <w:rPr>
          <w:sz w:val="22"/>
        </w:rPr>
        <w:t>públicos.</w:t>
      </w:r>
      <w:r>
        <w:rPr>
          <w:spacing w:val="-9"/>
          <w:sz w:val="22"/>
        </w:rPr>
        <w:t> </w:t>
      </w:r>
      <w:r>
        <w:rPr>
          <w:sz w:val="22"/>
        </w:rPr>
        <w:t>Fecha</w:t>
      </w:r>
      <w:r>
        <w:rPr>
          <w:spacing w:val="-8"/>
          <w:sz w:val="22"/>
        </w:rPr>
        <w:t> </w:t>
      </w:r>
      <w:r>
        <w:rPr>
          <w:sz w:val="22"/>
        </w:rPr>
        <w:t>de</w:t>
      </w:r>
      <w:r>
        <w:rPr>
          <w:spacing w:val="-8"/>
          <w:sz w:val="22"/>
        </w:rPr>
        <w:t> </w:t>
      </w:r>
      <w:r>
        <w:rPr>
          <w:sz w:val="22"/>
        </w:rPr>
        <w:t>vigencia </w:t>
      </w:r>
      <w:r>
        <w:rPr>
          <w:spacing w:val="-2"/>
          <w:sz w:val="22"/>
        </w:rPr>
        <w:t>01/12/2022.</w:t>
      </w:r>
    </w:p>
    <w:p>
      <w:pPr>
        <w:pStyle w:val="BodyText"/>
        <w:spacing w:before="1"/>
      </w:pPr>
    </w:p>
    <w:p>
      <w:pPr>
        <w:spacing w:before="0"/>
        <w:ind w:left="1642" w:right="1621" w:firstLine="0"/>
        <w:jc w:val="both"/>
        <w:rPr>
          <w:sz w:val="22"/>
        </w:rPr>
      </w:pPr>
      <w:r>
        <w:rPr>
          <w:b/>
          <w:sz w:val="22"/>
        </w:rPr>
        <w:t>Ley Marco de Empleo Público, N° 10159 y sus reformas. </w:t>
      </w:r>
      <w:r>
        <w:rPr>
          <w:sz w:val="22"/>
        </w:rPr>
        <w:t>Regula las relaciones estatutarias, de</w:t>
      </w:r>
      <w:r>
        <w:rPr>
          <w:spacing w:val="-1"/>
          <w:sz w:val="22"/>
        </w:rPr>
        <w:t> </w:t>
      </w:r>
      <w:r>
        <w:rPr>
          <w:sz w:val="22"/>
        </w:rPr>
        <w:t>empleo</w:t>
      </w:r>
      <w:r>
        <w:rPr>
          <w:spacing w:val="-1"/>
          <w:sz w:val="22"/>
        </w:rPr>
        <w:t> </w:t>
      </w:r>
      <w:r>
        <w:rPr>
          <w:sz w:val="22"/>
        </w:rPr>
        <w:t>público y de empleo mixto, entre la</w:t>
      </w:r>
      <w:r>
        <w:rPr>
          <w:spacing w:val="-1"/>
          <w:sz w:val="22"/>
        </w:rPr>
        <w:t> </w:t>
      </w:r>
      <w:r>
        <w:rPr>
          <w:sz w:val="22"/>
        </w:rPr>
        <w:t>Administración Pública y las personas servidoras públicas. Fecha de vigencia 10/03/2023.</w:t>
      </w:r>
    </w:p>
    <w:p>
      <w:pPr>
        <w:spacing w:before="252"/>
        <w:ind w:left="1625" w:right="1602" w:firstLine="0"/>
        <w:jc w:val="both"/>
        <w:rPr>
          <w:sz w:val="22"/>
        </w:rPr>
      </w:pPr>
      <w:r>
        <w:rPr>
          <w:b/>
          <w:sz w:val="22"/>
        </w:rPr>
        <w:t>Ley</w:t>
      </w:r>
      <w:r>
        <w:rPr>
          <w:b/>
          <w:spacing w:val="-2"/>
          <w:sz w:val="22"/>
        </w:rPr>
        <w:t> </w:t>
      </w:r>
      <w:r>
        <w:rPr>
          <w:b/>
          <w:sz w:val="22"/>
        </w:rPr>
        <w:t>N°</w:t>
      </w:r>
      <w:r>
        <w:rPr>
          <w:b/>
          <w:spacing w:val="-1"/>
          <w:sz w:val="22"/>
        </w:rPr>
        <w:t> </w:t>
      </w:r>
      <w:r>
        <w:rPr>
          <w:b/>
          <w:sz w:val="22"/>
        </w:rPr>
        <w:t>10358.</w:t>
      </w:r>
      <w:r>
        <w:rPr>
          <w:b/>
          <w:spacing w:val="-1"/>
          <w:sz w:val="22"/>
        </w:rPr>
        <w:t> </w:t>
      </w:r>
      <w:r>
        <w:rPr>
          <w:b/>
          <w:sz w:val="22"/>
        </w:rPr>
        <w:t>Reforma</w:t>
      </w:r>
      <w:r>
        <w:rPr>
          <w:b/>
          <w:spacing w:val="-4"/>
          <w:sz w:val="22"/>
        </w:rPr>
        <w:t> </w:t>
      </w:r>
      <w:r>
        <w:rPr>
          <w:b/>
          <w:sz w:val="22"/>
        </w:rPr>
        <w:t>parcial</w:t>
      </w:r>
      <w:r>
        <w:rPr>
          <w:b/>
          <w:spacing w:val="-3"/>
          <w:sz w:val="22"/>
        </w:rPr>
        <w:t> </w:t>
      </w:r>
      <w:r>
        <w:rPr>
          <w:b/>
          <w:sz w:val="22"/>
        </w:rPr>
        <w:t>Ley</w:t>
      </w:r>
      <w:r>
        <w:rPr>
          <w:b/>
          <w:spacing w:val="-2"/>
          <w:sz w:val="22"/>
        </w:rPr>
        <w:t> </w:t>
      </w:r>
      <w:r>
        <w:rPr>
          <w:b/>
          <w:sz w:val="22"/>
        </w:rPr>
        <w:t>Planificación</w:t>
      </w:r>
      <w:r>
        <w:rPr>
          <w:b/>
          <w:spacing w:val="-2"/>
          <w:sz w:val="22"/>
        </w:rPr>
        <w:t> </w:t>
      </w:r>
      <w:r>
        <w:rPr>
          <w:b/>
          <w:sz w:val="22"/>
        </w:rPr>
        <w:t>Nacional N°</w:t>
      </w:r>
      <w:r>
        <w:rPr>
          <w:b/>
          <w:spacing w:val="-3"/>
          <w:sz w:val="22"/>
        </w:rPr>
        <w:t> </w:t>
      </w:r>
      <w:r>
        <w:rPr>
          <w:b/>
          <w:sz w:val="22"/>
        </w:rPr>
        <w:t>5525. </w:t>
      </w:r>
      <w:r>
        <w:rPr>
          <w:sz w:val="22"/>
        </w:rPr>
        <w:t>Reforma</w:t>
      </w:r>
      <w:r>
        <w:rPr>
          <w:spacing w:val="-2"/>
          <w:sz w:val="22"/>
        </w:rPr>
        <w:t> </w:t>
      </w:r>
      <w:r>
        <w:rPr>
          <w:sz w:val="22"/>
        </w:rPr>
        <w:t>a</w:t>
      </w:r>
      <w:r>
        <w:rPr>
          <w:spacing w:val="-4"/>
          <w:sz w:val="22"/>
        </w:rPr>
        <w:t> </w:t>
      </w:r>
      <w:r>
        <w:rPr>
          <w:sz w:val="22"/>
        </w:rPr>
        <w:t>la</w:t>
      </w:r>
      <w:r>
        <w:rPr>
          <w:spacing w:val="-2"/>
          <w:sz w:val="22"/>
        </w:rPr>
        <w:t> </w:t>
      </w:r>
      <w:r>
        <w:rPr>
          <w:sz w:val="22"/>
        </w:rPr>
        <w:t>Ley Orgánica del Poder Judicial y reforma creación de la jurisdicción especializada en delincuencia organizada en CR. Fecha de vigencia 30/05/2023.</w:t>
      </w:r>
    </w:p>
    <w:p>
      <w:pPr>
        <w:pStyle w:val="BodyText"/>
        <w:spacing w:before="1"/>
      </w:pPr>
    </w:p>
    <w:p>
      <w:pPr>
        <w:spacing w:before="0"/>
        <w:ind w:left="1625" w:right="1603" w:firstLine="0"/>
        <w:jc w:val="both"/>
        <w:rPr>
          <w:sz w:val="22"/>
        </w:rPr>
      </w:pPr>
      <w:r>
        <w:rPr>
          <w:b/>
          <w:sz w:val="22"/>
        </w:rPr>
        <w:t>Ley N°10369. Reforma de la Ley N° 7333, ley orgánica del Poder Judicial del 5 de mayo de 1993 y a la Ley N° 9481. </w:t>
      </w:r>
      <w:r>
        <w:rPr>
          <w:sz w:val="22"/>
        </w:rPr>
        <w:t>Creación de la jurisdicción especializada en delincuencia organizada en Costa Rica</w:t>
      </w:r>
      <w:r>
        <w:rPr>
          <w:b/>
          <w:sz w:val="22"/>
        </w:rPr>
        <w:t>. </w:t>
      </w:r>
      <w:r>
        <w:rPr>
          <w:sz w:val="22"/>
        </w:rPr>
        <w:t>Integración de jueces y competencias de tribunales. Fecha de vigencia 30/05/2023.</w:t>
      </w:r>
    </w:p>
    <w:p>
      <w:pPr>
        <w:pStyle w:val="BodyText"/>
      </w:pPr>
    </w:p>
    <w:p>
      <w:pPr>
        <w:pStyle w:val="BodyText"/>
        <w:ind w:left="1642" w:right="1618"/>
        <w:jc w:val="both"/>
      </w:pPr>
      <w:r>
        <w:rPr>
          <w:b/>
        </w:rPr>
        <w:t>Ley</w:t>
      </w:r>
      <w:r>
        <w:rPr>
          <w:b/>
          <w:spacing w:val="-6"/>
        </w:rPr>
        <w:t> </w:t>
      </w:r>
      <w:r>
        <w:rPr>
          <w:b/>
        </w:rPr>
        <w:t>Apoyo</w:t>
      </w:r>
      <w:r>
        <w:rPr>
          <w:b/>
          <w:spacing w:val="-12"/>
        </w:rPr>
        <w:t> </w:t>
      </w:r>
      <w:r>
        <w:rPr>
          <w:b/>
        </w:rPr>
        <w:t>Municipal</w:t>
      </w:r>
      <w:r>
        <w:rPr>
          <w:b/>
          <w:spacing w:val="-7"/>
        </w:rPr>
        <w:t> </w:t>
      </w:r>
      <w:r>
        <w:rPr>
          <w:b/>
        </w:rPr>
        <w:t>para</w:t>
      </w:r>
      <w:r>
        <w:rPr>
          <w:b/>
          <w:spacing w:val="-9"/>
        </w:rPr>
        <w:t> </w:t>
      </w:r>
      <w:r>
        <w:rPr>
          <w:b/>
        </w:rPr>
        <w:t>Adultos</w:t>
      </w:r>
      <w:r>
        <w:rPr>
          <w:b/>
          <w:spacing w:val="-9"/>
        </w:rPr>
        <w:t> </w:t>
      </w:r>
      <w:r>
        <w:rPr>
          <w:b/>
        </w:rPr>
        <w:t>Mayores</w:t>
      </w:r>
      <w:r>
        <w:rPr>
          <w:b/>
          <w:spacing w:val="-9"/>
        </w:rPr>
        <w:t> </w:t>
      </w:r>
      <w:r>
        <w:rPr>
          <w:b/>
        </w:rPr>
        <w:t>en</w:t>
      </w:r>
      <w:r>
        <w:rPr>
          <w:b/>
          <w:spacing w:val="-6"/>
        </w:rPr>
        <w:t> </w:t>
      </w:r>
      <w:r>
        <w:rPr>
          <w:b/>
        </w:rPr>
        <w:t>Pobreza,</w:t>
      </w:r>
      <w:r>
        <w:rPr>
          <w:b/>
          <w:spacing w:val="-7"/>
        </w:rPr>
        <w:t> </w:t>
      </w:r>
      <w:r>
        <w:rPr>
          <w:b/>
        </w:rPr>
        <w:t>N°</w:t>
      </w:r>
      <w:r>
        <w:rPr>
          <w:b/>
          <w:spacing w:val="-8"/>
        </w:rPr>
        <w:t> </w:t>
      </w:r>
      <w:r>
        <w:rPr>
          <w:b/>
        </w:rPr>
        <w:t>10359</w:t>
      </w:r>
      <w:r>
        <w:rPr/>
        <w:t>,</w:t>
      </w:r>
      <w:r>
        <w:rPr>
          <w:spacing w:val="-7"/>
        </w:rPr>
        <w:t> </w:t>
      </w:r>
      <w:r>
        <w:rPr/>
        <w:t>fecha</w:t>
      </w:r>
      <w:r>
        <w:rPr>
          <w:spacing w:val="-7"/>
        </w:rPr>
        <w:t> </w:t>
      </w:r>
      <w:r>
        <w:rPr/>
        <w:t>de</w:t>
      </w:r>
      <w:r>
        <w:rPr>
          <w:spacing w:val="-7"/>
        </w:rPr>
        <w:t> </w:t>
      </w:r>
      <w:r>
        <w:rPr/>
        <w:t>vigencia 13 de julio del 2023. Tiene como objeto otorgar a las municipalidades autorización para que concedan a las personas contribuyentes adultas mayores, en pobreza extrema o pobreza, los beneficios tributarios municipales que se determinan en esta ley.</w:t>
      </w:r>
    </w:p>
    <w:p>
      <w:pPr>
        <w:pStyle w:val="BodyText"/>
      </w:pPr>
    </w:p>
    <w:p>
      <w:pPr>
        <w:spacing w:before="0"/>
        <w:ind w:left="1625" w:right="1622" w:firstLine="0"/>
        <w:jc w:val="both"/>
        <w:rPr>
          <w:sz w:val="22"/>
        </w:rPr>
      </w:pPr>
      <w:r>
        <w:rPr>
          <w:b/>
          <w:sz w:val="22"/>
        </w:rPr>
        <w:t>Ley Modificación de la Ley 6227, Ley General de la Administración Pública, para autorizar la celebración de sesiones virtuales a los órganos colegiados de la Administración</w:t>
      </w:r>
      <w:r>
        <w:rPr>
          <w:b/>
          <w:spacing w:val="-13"/>
          <w:sz w:val="22"/>
        </w:rPr>
        <w:t> </w:t>
      </w:r>
      <w:r>
        <w:rPr>
          <w:b/>
          <w:sz w:val="22"/>
        </w:rPr>
        <w:t>Pública</w:t>
      </w:r>
      <w:r>
        <w:rPr>
          <w:sz w:val="22"/>
        </w:rPr>
        <w:t>,</w:t>
      </w:r>
      <w:r>
        <w:rPr>
          <w:spacing w:val="-11"/>
          <w:sz w:val="22"/>
        </w:rPr>
        <w:t> </w:t>
      </w:r>
      <w:r>
        <w:rPr>
          <w:b/>
          <w:sz w:val="22"/>
        </w:rPr>
        <w:t>N°</w:t>
      </w:r>
      <w:r>
        <w:rPr>
          <w:b/>
          <w:spacing w:val="-11"/>
          <w:sz w:val="22"/>
        </w:rPr>
        <w:t> </w:t>
      </w:r>
      <w:r>
        <w:rPr>
          <w:b/>
          <w:sz w:val="22"/>
        </w:rPr>
        <w:t>10.379</w:t>
      </w:r>
      <w:r>
        <w:rPr>
          <w:b/>
          <w:spacing w:val="-12"/>
          <w:sz w:val="22"/>
        </w:rPr>
        <w:t> </w:t>
      </w:r>
      <w:r>
        <w:rPr>
          <w:sz w:val="22"/>
        </w:rPr>
        <w:t>Reforma</w:t>
      </w:r>
      <w:r>
        <w:rPr>
          <w:spacing w:val="-15"/>
          <w:sz w:val="22"/>
        </w:rPr>
        <w:t> </w:t>
      </w:r>
      <w:r>
        <w:rPr>
          <w:sz w:val="22"/>
        </w:rPr>
        <w:t>de</w:t>
      </w:r>
      <w:r>
        <w:rPr>
          <w:spacing w:val="-13"/>
          <w:sz w:val="22"/>
        </w:rPr>
        <w:t> </w:t>
      </w:r>
      <w:r>
        <w:rPr>
          <w:sz w:val="22"/>
        </w:rPr>
        <w:t>Inciso</w:t>
      </w:r>
      <w:r>
        <w:rPr>
          <w:spacing w:val="-12"/>
          <w:sz w:val="22"/>
        </w:rPr>
        <w:t> </w:t>
      </w:r>
      <w:r>
        <w:rPr>
          <w:sz w:val="22"/>
        </w:rPr>
        <w:t>a)</w:t>
      </w:r>
      <w:r>
        <w:rPr>
          <w:spacing w:val="-11"/>
          <w:sz w:val="22"/>
        </w:rPr>
        <w:t> </w:t>
      </w:r>
      <w:r>
        <w:rPr>
          <w:sz w:val="22"/>
        </w:rPr>
        <w:t>artículo</w:t>
      </w:r>
      <w:r>
        <w:rPr>
          <w:spacing w:val="-12"/>
          <w:sz w:val="22"/>
        </w:rPr>
        <w:t> </w:t>
      </w:r>
      <w:r>
        <w:rPr>
          <w:sz w:val="22"/>
        </w:rPr>
        <w:t>50,</w:t>
      </w:r>
      <w:r>
        <w:rPr>
          <w:spacing w:val="-11"/>
          <w:sz w:val="22"/>
        </w:rPr>
        <w:t> </w:t>
      </w:r>
      <w:r>
        <w:rPr>
          <w:sz w:val="22"/>
        </w:rPr>
        <w:t>inciso</w:t>
      </w:r>
      <w:r>
        <w:rPr>
          <w:spacing w:val="-12"/>
          <w:sz w:val="22"/>
        </w:rPr>
        <w:t> </w:t>
      </w:r>
      <w:r>
        <w:rPr>
          <w:sz w:val="22"/>
        </w:rPr>
        <w:t>5</w:t>
      </w:r>
      <w:r>
        <w:rPr>
          <w:spacing w:val="-12"/>
          <w:sz w:val="22"/>
        </w:rPr>
        <w:t> </w:t>
      </w:r>
      <w:r>
        <w:rPr>
          <w:sz w:val="22"/>
        </w:rPr>
        <w:t>articulo</w:t>
      </w:r>
      <w:r>
        <w:rPr>
          <w:spacing w:val="-12"/>
          <w:sz w:val="22"/>
        </w:rPr>
        <w:t> </w:t>
      </w:r>
      <w:r>
        <w:rPr>
          <w:sz w:val="22"/>
        </w:rPr>
        <w:t>52, inciso 3) artículo 53, inciso 2) artículo 56. Fecha de vigencia 31/10/2023.</w:t>
      </w:r>
    </w:p>
    <w:p>
      <w:pPr>
        <w:pStyle w:val="BodyText"/>
      </w:pPr>
    </w:p>
    <w:p>
      <w:pPr>
        <w:pStyle w:val="BodyText"/>
        <w:ind w:left="1625" w:right="1601"/>
        <w:jc w:val="both"/>
      </w:pPr>
      <w:r>
        <w:rPr>
          <w:b/>
        </w:rPr>
        <w:t>Ley Hijos e</w:t>
      </w:r>
      <w:r>
        <w:rPr>
          <w:b/>
          <w:spacing w:val="-2"/>
        </w:rPr>
        <w:t> </w:t>
      </w:r>
      <w:r>
        <w:rPr>
          <w:b/>
        </w:rPr>
        <w:t>Hijas</w:t>
      </w:r>
      <w:r>
        <w:rPr>
          <w:b/>
          <w:spacing w:val="-2"/>
        </w:rPr>
        <w:t> </w:t>
      </w:r>
      <w:r>
        <w:rPr>
          <w:b/>
        </w:rPr>
        <w:t>de la</w:t>
      </w:r>
      <w:r>
        <w:rPr>
          <w:b/>
          <w:spacing w:val="-4"/>
        </w:rPr>
        <w:t> </w:t>
      </w:r>
      <w:r>
        <w:rPr>
          <w:b/>
        </w:rPr>
        <w:t>Patria, N° 10403</w:t>
      </w:r>
      <w:r>
        <w:rPr/>
        <w:t>. Relacionado a la asignación de un porcentaje de</w:t>
      </w:r>
      <w:r>
        <w:rPr>
          <w:spacing w:val="-4"/>
        </w:rPr>
        <w:t> </w:t>
      </w:r>
      <w:r>
        <w:rPr/>
        <w:t>recursos</w:t>
      </w:r>
      <w:r>
        <w:rPr>
          <w:spacing w:val="-6"/>
        </w:rPr>
        <w:t> </w:t>
      </w:r>
      <w:r>
        <w:rPr/>
        <w:t>de</w:t>
      </w:r>
      <w:r>
        <w:rPr>
          <w:spacing w:val="-4"/>
        </w:rPr>
        <w:t> </w:t>
      </w:r>
      <w:r>
        <w:rPr/>
        <w:t>FODESAF</w:t>
      </w:r>
      <w:r>
        <w:rPr>
          <w:spacing w:val="-4"/>
        </w:rPr>
        <w:t> </w:t>
      </w:r>
      <w:r>
        <w:rPr/>
        <w:t>al</w:t>
      </w:r>
      <w:r>
        <w:rPr>
          <w:spacing w:val="-5"/>
        </w:rPr>
        <w:t> </w:t>
      </w:r>
      <w:r>
        <w:rPr/>
        <w:t>programa</w:t>
      </w:r>
      <w:r>
        <w:rPr>
          <w:spacing w:val="-6"/>
        </w:rPr>
        <w:t> </w:t>
      </w:r>
      <w:r>
        <w:rPr/>
        <w:t>Hijos</w:t>
      </w:r>
      <w:r>
        <w:rPr>
          <w:spacing w:val="-6"/>
        </w:rPr>
        <w:t> </w:t>
      </w:r>
      <w:r>
        <w:rPr/>
        <w:t>e</w:t>
      </w:r>
      <w:r>
        <w:rPr>
          <w:spacing w:val="-4"/>
        </w:rPr>
        <w:t> </w:t>
      </w:r>
      <w:r>
        <w:rPr/>
        <w:t>Hijas</w:t>
      </w:r>
      <w:r>
        <w:rPr>
          <w:spacing w:val="-4"/>
        </w:rPr>
        <w:t> </w:t>
      </w:r>
      <w:r>
        <w:rPr/>
        <w:t>de</w:t>
      </w:r>
      <w:r>
        <w:rPr>
          <w:spacing w:val="-4"/>
        </w:rPr>
        <w:t> </w:t>
      </w:r>
      <w:r>
        <w:rPr/>
        <w:t>la</w:t>
      </w:r>
      <w:r>
        <w:rPr>
          <w:spacing w:val="-4"/>
        </w:rPr>
        <w:t> </w:t>
      </w:r>
      <w:r>
        <w:rPr/>
        <w:t>Patria,</w:t>
      </w:r>
      <w:r>
        <w:rPr>
          <w:spacing w:val="-5"/>
        </w:rPr>
        <w:t> </w:t>
      </w:r>
      <w:r>
        <w:rPr/>
        <w:t>cuya</w:t>
      </w:r>
      <w:r>
        <w:rPr>
          <w:spacing w:val="-7"/>
        </w:rPr>
        <w:t> </w:t>
      </w:r>
      <w:r>
        <w:rPr/>
        <w:t>ejecución</w:t>
      </w:r>
      <w:r>
        <w:rPr>
          <w:spacing w:val="-4"/>
        </w:rPr>
        <w:t> </w:t>
      </w:r>
      <w:r>
        <w:rPr/>
        <w:t>estará</w:t>
      </w:r>
      <w:r>
        <w:rPr>
          <w:spacing w:val="-4"/>
        </w:rPr>
        <w:t> </w:t>
      </w:r>
      <w:r>
        <w:rPr/>
        <w:t>a cargo del IMAS. Ley de Desarrollo Social y Asignaciones Familiares y sus reformas, reforma inciso k, artículo 3. Fecha de vigencia 14/05/2024.</w:t>
      </w:r>
    </w:p>
    <w:p>
      <w:pPr>
        <w:pStyle w:val="BodyText"/>
      </w:pPr>
    </w:p>
    <w:p>
      <w:pPr>
        <w:spacing w:before="0"/>
        <w:ind w:left="1625" w:right="1605" w:firstLine="0"/>
        <w:jc w:val="both"/>
        <w:rPr>
          <w:sz w:val="22"/>
        </w:rPr>
      </w:pPr>
      <w:r>
        <w:rPr>
          <w:b/>
          <w:sz w:val="22"/>
        </w:rPr>
        <w:t>Ley</w:t>
      </w:r>
      <w:r>
        <w:rPr>
          <w:b/>
          <w:spacing w:val="-16"/>
          <w:sz w:val="22"/>
        </w:rPr>
        <w:t> </w:t>
      </w:r>
      <w:r>
        <w:rPr>
          <w:b/>
          <w:sz w:val="22"/>
        </w:rPr>
        <w:t>de</w:t>
      </w:r>
      <w:r>
        <w:rPr>
          <w:b/>
          <w:spacing w:val="-15"/>
          <w:sz w:val="22"/>
        </w:rPr>
        <w:t> </w:t>
      </w:r>
      <w:r>
        <w:rPr>
          <w:b/>
          <w:sz w:val="22"/>
        </w:rPr>
        <w:t>Prevención,</w:t>
      </w:r>
      <w:r>
        <w:rPr>
          <w:b/>
          <w:spacing w:val="-15"/>
          <w:sz w:val="22"/>
        </w:rPr>
        <w:t> </w:t>
      </w:r>
      <w:r>
        <w:rPr>
          <w:b/>
          <w:sz w:val="22"/>
        </w:rPr>
        <w:t>Detección</w:t>
      </w:r>
      <w:r>
        <w:rPr>
          <w:b/>
          <w:spacing w:val="-16"/>
          <w:sz w:val="22"/>
        </w:rPr>
        <w:t> </w:t>
      </w:r>
      <w:r>
        <w:rPr>
          <w:b/>
          <w:sz w:val="22"/>
        </w:rPr>
        <w:t>Temprana</w:t>
      </w:r>
      <w:r>
        <w:rPr>
          <w:b/>
          <w:spacing w:val="-15"/>
          <w:sz w:val="22"/>
        </w:rPr>
        <w:t> </w:t>
      </w:r>
      <w:r>
        <w:rPr>
          <w:b/>
          <w:sz w:val="22"/>
        </w:rPr>
        <w:t>y</w:t>
      </w:r>
      <w:r>
        <w:rPr>
          <w:b/>
          <w:spacing w:val="-15"/>
          <w:sz w:val="22"/>
        </w:rPr>
        <w:t> </w:t>
      </w:r>
      <w:r>
        <w:rPr>
          <w:b/>
          <w:sz w:val="22"/>
        </w:rPr>
        <w:t>Respuesta</w:t>
      </w:r>
      <w:r>
        <w:rPr>
          <w:b/>
          <w:spacing w:val="-15"/>
          <w:sz w:val="22"/>
        </w:rPr>
        <w:t> </w:t>
      </w:r>
      <w:r>
        <w:rPr>
          <w:b/>
          <w:sz w:val="22"/>
        </w:rPr>
        <w:t>de</w:t>
      </w:r>
      <w:r>
        <w:rPr>
          <w:b/>
          <w:spacing w:val="-16"/>
          <w:sz w:val="22"/>
        </w:rPr>
        <w:t> </w:t>
      </w:r>
      <w:r>
        <w:rPr>
          <w:b/>
          <w:sz w:val="22"/>
        </w:rPr>
        <w:t>la</w:t>
      </w:r>
      <w:r>
        <w:rPr>
          <w:b/>
          <w:spacing w:val="-15"/>
          <w:sz w:val="22"/>
        </w:rPr>
        <w:t> </w:t>
      </w:r>
      <w:r>
        <w:rPr>
          <w:b/>
          <w:sz w:val="22"/>
        </w:rPr>
        <w:t>Violencia</w:t>
      </w:r>
      <w:r>
        <w:rPr>
          <w:b/>
          <w:spacing w:val="-15"/>
          <w:sz w:val="22"/>
        </w:rPr>
        <w:t> </w:t>
      </w:r>
      <w:r>
        <w:rPr>
          <w:b/>
          <w:sz w:val="22"/>
        </w:rPr>
        <w:t>contra</w:t>
      </w:r>
      <w:r>
        <w:rPr>
          <w:b/>
          <w:spacing w:val="-16"/>
          <w:sz w:val="22"/>
        </w:rPr>
        <w:t> </w:t>
      </w:r>
      <w:r>
        <w:rPr>
          <w:b/>
          <w:sz w:val="22"/>
        </w:rPr>
        <w:t>la</w:t>
      </w:r>
      <w:r>
        <w:rPr>
          <w:b/>
          <w:spacing w:val="-15"/>
          <w:sz w:val="22"/>
        </w:rPr>
        <w:t> </w:t>
      </w:r>
      <w:r>
        <w:rPr>
          <w:b/>
          <w:sz w:val="22"/>
        </w:rPr>
        <w:t>Niñez y Adolescencia, N° 10476</w:t>
      </w:r>
      <w:r>
        <w:rPr>
          <w:sz w:val="22"/>
        </w:rPr>
        <w:t>. Esta ley tiene por objeto generar acciones de prevención y detección temprana de todas las formas de violencia en contra de la niñez y la adolescencia. Fecha de vigencia 11/06/2024.</w:t>
      </w:r>
    </w:p>
    <w:p>
      <w:pPr>
        <w:pStyle w:val="BodyText"/>
      </w:pPr>
    </w:p>
    <w:p>
      <w:pPr>
        <w:spacing w:before="0"/>
        <w:ind w:left="1625" w:right="1606" w:firstLine="0"/>
        <w:jc w:val="both"/>
        <w:rPr>
          <w:sz w:val="22"/>
        </w:rPr>
      </w:pPr>
      <w:r>
        <w:rPr>
          <w:b/>
          <w:sz w:val="22"/>
        </w:rPr>
        <w:t>Ley para Promover la Transparencia en el Suministro de Información en el Sector Público, N° 10240: </w:t>
      </w:r>
      <w:r>
        <w:rPr>
          <w:sz w:val="22"/>
        </w:rPr>
        <w:t>La presente ley tiene como objeto promover el ejercicio del derecho de acceso a la información pública, regular e impulsar la transparencia de la Administración Pública en el suministro de información de carácter público. Fecha de vigencia 11/07/2024.</w:t>
      </w:r>
    </w:p>
    <w:p>
      <w:pPr>
        <w:spacing w:after="0"/>
        <w:jc w:val="both"/>
        <w:rPr>
          <w:sz w:val="22"/>
        </w:rPr>
        <w:sectPr>
          <w:pgSz w:w="12240" w:h="15840"/>
          <w:pgMar w:header="0" w:footer="1576" w:top="1000" w:bottom="1760" w:left="360" w:right="0"/>
        </w:sectPr>
      </w:pPr>
    </w:p>
    <w:p>
      <w:pPr>
        <w:pStyle w:val="BodyText"/>
        <w:spacing w:before="77"/>
        <w:ind w:left="1625" w:right="1600"/>
        <w:jc w:val="both"/>
      </w:pPr>
      <w:r>
        <w:rPr>
          <w:b/>
        </w:rPr>
        <w:t>Ley Marco de</w:t>
      </w:r>
      <w:r>
        <w:rPr>
          <w:b/>
          <w:spacing w:val="-5"/>
        </w:rPr>
        <w:t> </w:t>
      </w:r>
      <w:r>
        <w:rPr>
          <w:b/>
        </w:rPr>
        <w:t>Acceso</w:t>
      </w:r>
      <w:r>
        <w:rPr>
          <w:b/>
          <w:spacing w:val="-2"/>
        </w:rPr>
        <w:t> </w:t>
      </w:r>
      <w:r>
        <w:rPr>
          <w:b/>
        </w:rPr>
        <w:t>a</w:t>
      </w:r>
      <w:r>
        <w:rPr>
          <w:b/>
          <w:spacing w:val="-2"/>
        </w:rPr>
        <w:t> </w:t>
      </w:r>
      <w:r>
        <w:rPr>
          <w:b/>
        </w:rPr>
        <w:t>la</w:t>
      </w:r>
      <w:r>
        <w:rPr>
          <w:b/>
          <w:spacing w:val="-2"/>
        </w:rPr>
        <w:t> </w:t>
      </w:r>
      <w:r>
        <w:rPr>
          <w:b/>
        </w:rPr>
        <w:t>Información</w:t>
      </w:r>
      <w:r>
        <w:rPr>
          <w:b/>
          <w:spacing w:val="-2"/>
        </w:rPr>
        <w:t> </w:t>
      </w:r>
      <w:r>
        <w:rPr>
          <w:b/>
        </w:rPr>
        <w:t>Pública, N°</w:t>
      </w:r>
      <w:r>
        <w:rPr>
          <w:b/>
          <w:spacing w:val="-1"/>
        </w:rPr>
        <w:t> </w:t>
      </w:r>
      <w:r>
        <w:rPr>
          <w:b/>
        </w:rPr>
        <w:t>10554. </w:t>
      </w:r>
      <w:r>
        <w:rPr/>
        <w:t>Garantizar</w:t>
      </w:r>
      <w:r>
        <w:rPr>
          <w:spacing w:val="-1"/>
        </w:rPr>
        <w:t> </w:t>
      </w:r>
      <w:r>
        <w:rPr/>
        <w:t>el</w:t>
      </w:r>
      <w:r>
        <w:rPr>
          <w:spacing w:val="-3"/>
        </w:rPr>
        <w:t> </w:t>
      </w:r>
      <w:r>
        <w:rPr/>
        <w:t>cumplimiento efectivo del derecho humano de acceso a la información pública, de forma proactiva, oportuna,</w:t>
      </w:r>
      <w:r>
        <w:rPr>
          <w:spacing w:val="-2"/>
        </w:rPr>
        <w:t> </w:t>
      </w:r>
      <w:r>
        <w:rPr/>
        <w:t>oficiosa,</w:t>
      </w:r>
      <w:r>
        <w:rPr>
          <w:spacing w:val="-2"/>
        </w:rPr>
        <w:t> </w:t>
      </w:r>
      <w:r>
        <w:rPr/>
        <w:t>completa</w:t>
      </w:r>
      <w:r>
        <w:rPr>
          <w:spacing w:val="-3"/>
        </w:rPr>
        <w:t> </w:t>
      </w:r>
      <w:r>
        <w:rPr/>
        <w:t>y</w:t>
      </w:r>
      <w:r>
        <w:rPr>
          <w:spacing w:val="-6"/>
        </w:rPr>
        <w:t> </w:t>
      </w:r>
      <w:r>
        <w:rPr/>
        <w:t>accesible,</w:t>
      </w:r>
      <w:r>
        <w:rPr>
          <w:spacing w:val="-5"/>
        </w:rPr>
        <w:t> </w:t>
      </w:r>
      <w:r>
        <w:rPr/>
        <w:t>garantizando</w:t>
      </w:r>
      <w:r>
        <w:rPr>
          <w:spacing w:val="-4"/>
        </w:rPr>
        <w:t> </w:t>
      </w:r>
      <w:r>
        <w:rPr/>
        <w:t>la</w:t>
      </w:r>
      <w:r>
        <w:rPr>
          <w:spacing w:val="-4"/>
        </w:rPr>
        <w:t> </w:t>
      </w:r>
      <w:r>
        <w:rPr/>
        <w:t>transparencia</w:t>
      </w:r>
      <w:r>
        <w:rPr>
          <w:spacing w:val="-4"/>
        </w:rPr>
        <w:t> </w:t>
      </w:r>
      <w:r>
        <w:rPr/>
        <w:t>administrativa</w:t>
      </w:r>
      <w:r>
        <w:rPr>
          <w:spacing w:val="-4"/>
        </w:rPr>
        <w:t> </w:t>
      </w:r>
      <w:r>
        <w:rPr/>
        <w:t>en el ejercicio de la función pública, fortaleciendo la rendición de cuentas por parte de las autoridades</w:t>
      </w:r>
      <w:r>
        <w:rPr>
          <w:spacing w:val="-5"/>
        </w:rPr>
        <w:t> </w:t>
      </w:r>
      <w:r>
        <w:rPr/>
        <w:t>y</w:t>
      </w:r>
      <w:r>
        <w:rPr>
          <w:spacing w:val="-2"/>
        </w:rPr>
        <w:t> </w:t>
      </w:r>
      <w:r>
        <w:rPr/>
        <w:t>su</w:t>
      </w:r>
      <w:r>
        <w:rPr>
          <w:spacing w:val="-5"/>
        </w:rPr>
        <w:t> </w:t>
      </w:r>
      <w:r>
        <w:rPr/>
        <w:t>debida</w:t>
      </w:r>
      <w:r>
        <w:rPr>
          <w:spacing w:val="-5"/>
        </w:rPr>
        <w:t> </w:t>
      </w:r>
      <w:r>
        <w:rPr/>
        <w:t>publicidad</w:t>
      </w:r>
      <w:r>
        <w:rPr>
          <w:spacing w:val="-3"/>
        </w:rPr>
        <w:t> </w:t>
      </w:r>
      <w:r>
        <w:rPr/>
        <w:t>en</w:t>
      </w:r>
      <w:r>
        <w:rPr>
          <w:spacing w:val="-3"/>
        </w:rPr>
        <w:t> </w:t>
      </w:r>
      <w:r>
        <w:rPr/>
        <w:t>la</w:t>
      </w:r>
      <w:r>
        <w:rPr>
          <w:spacing w:val="-3"/>
        </w:rPr>
        <w:t> </w:t>
      </w:r>
      <w:r>
        <w:rPr/>
        <w:t>función</w:t>
      </w:r>
      <w:r>
        <w:rPr>
          <w:spacing w:val="-5"/>
        </w:rPr>
        <w:t> </w:t>
      </w:r>
      <w:r>
        <w:rPr/>
        <w:t>pública.</w:t>
      </w:r>
      <w:r>
        <w:rPr>
          <w:spacing w:val="-2"/>
        </w:rPr>
        <w:t> </w:t>
      </w:r>
      <w:r>
        <w:rPr/>
        <w:t>Fecha</w:t>
      </w:r>
      <w:r>
        <w:rPr>
          <w:spacing w:val="-3"/>
        </w:rPr>
        <w:t> </w:t>
      </w:r>
      <w:r>
        <w:rPr/>
        <w:t>de</w:t>
      </w:r>
      <w:r>
        <w:rPr>
          <w:spacing w:val="-5"/>
        </w:rPr>
        <w:t> </w:t>
      </w:r>
      <w:r>
        <w:rPr/>
        <w:t>vigencia:</w:t>
      </w:r>
      <w:r>
        <w:rPr>
          <w:spacing w:val="-2"/>
        </w:rPr>
        <w:t> </w:t>
      </w:r>
      <w:r>
        <w:rPr/>
        <w:t>01/11/2024.</w:t>
      </w:r>
    </w:p>
    <w:p>
      <w:pPr>
        <w:spacing w:before="253"/>
        <w:ind w:left="1625" w:right="1602" w:firstLine="0"/>
        <w:jc w:val="both"/>
        <w:rPr>
          <w:sz w:val="22"/>
        </w:rPr>
      </w:pPr>
      <w:r>
        <w:rPr>
          <w:b/>
          <w:sz w:val="22"/>
        </w:rPr>
        <w:t>Ley Marco para la Promoción de la Educación Financiera de los Habitantes de la República,</w:t>
      </w:r>
      <w:r>
        <w:rPr>
          <w:b/>
          <w:spacing w:val="-16"/>
          <w:sz w:val="22"/>
        </w:rPr>
        <w:t> </w:t>
      </w:r>
      <w:r>
        <w:rPr>
          <w:b/>
          <w:sz w:val="22"/>
        </w:rPr>
        <w:t>N°10627:</w:t>
      </w:r>
      <w:r>
        <w:rPr>
          <w:b/>
          <w:spacing w:val="-15"/>
          <w:sz w:val="22"/>
        </w:rPr>
        <w:t> </w:t>
      </w:r>
      <w:r>
        <w:rPr>
          <w:sz w:val="22"/>
        </w:rPr>
        <w:t>Establecer</w:t>
      </w:r>
      <w:r>
        <w:rPr>
          <w:spacing w:val="-15"/>
          <w:sz w:val="22"/>
        </w:rPr>
        <w:t> </w:t>
      </w:r>
      <w:r>
        <w:rPr>
          <w:sz w:val="22"/>
        </w:rPr>
        <w:t>un</w:t>
      </w:r>
      <w:r>
        <w:rPr>
          <w:spacing w:val="-16"/>
          <w:sz w:val="22"/>
        </w:rPr>
        <w:t> </w:t>
      </w:r>
      <w:r>
        <w:rPr>
          <w:sz w:val="22"/>
        </w:rPr>
        <w:t>marco</w:t>
      </w:r>
      <w:r>
        <w:rPr>
          <w:spacing w:val="-15"/>
          <w:sz w:val="22"/>
        </w:rPr>
        <w:t> </w:t>
      </w:r>
      <w:r>
        <w:rPr>
          <w:sz w:val="22"/>
        </w:rPr>
        <w:t>normativo</w:t>
      </w:r>
      <w:r>
        <w:rPr>
          <w:spacing w:val="-15"/>
          <w:sz w:val="22"/>
        </w:rPr>
        <w:t> </w:t>
      </w:r>
      <w:r>
        <w:rPr>
          <w:sz w:val="22"/>
        </w:rPr>
        <w:t>que</w:t>
      </w:r>
      <w:r>
        <w:rPr>
          <w:spacing w:val="-15"/>
          <w:sz w:val="22"/>
        </w:rPr>
        <w:t> </w:t>
      </w:r>
      <w:r>
        <w:rPr>
          <w:sz w:val="22"/>
        </w:rPr>
        <w:t>impulse</w:t>
      </w:r>
      <w:r>
        <w:rPr>
          <w:spacing w:val="-16"/>
          <w:sz w:val="22"/>
        </w:rPr>
        <w:t> </w:t>
      </w:r>
      <w:r>
        <w:rPr>
          <w:sz w:val="22"/>
        </w:rPr>
        <w:t>la</w:t>
      </w:r>
      <w:r>
        <w:rPr>
          <w:spacing w:val="-15"/>
          <w:sz w:val="22"/>
        </w:rPr>
        <w:t> </w:t>
      </w:r>
      <w:r>
        <w:rPr>
          <w:sz w:val="22"/>
        </w:rPr>
        <w:t>educación</w:t>
      </w:r>
      <w:r>
        <w:rPr>
          <w:spacing w:val="-15"/>
          <w:sz w:val="22"/>
        </w:rPr>
        <w:t> </w:t>
      </w:r>
      <w:r>
        <w:rPr>
          <w:sz w:val="22"/>
        </w:rPr>
        <w:t>financiera integral</w:t>
      </w:r>
      <w:r>
        <w:rPr>
          <w:spacing w:val="-10"/>
          <w:sz w:val="22"/>
        </w:rPr>
        <w:t> </w:t>
      </w:r>
      <w:r>
        <w:rPr>
          <w:sz w:val="22"/>
        </w:rPr>
        <w:t>de</w:t>
      </w:r>
      <w:r>
        <w:rPr>
          <w:spacing w:val="-9"/>
          <w:sz w:val="22"/>
        </w:rPr>
        <w:t> </w:t>
      </w:r>
      <w:r>
        <w:rPr>
          <w:sz w:val="22"/>
        </w:rPr>
        <w:t>los</w:t>
      </w:r>
      <w:r>
        <w:rPr>
          <w:spacing w:val="-11"/>
          <w:sz w:val="22"/>
        </w:rPr>
        <w:t> </w:t>
      </w:r>
      <w:r>
        <w:rPr>
          <w:sz w:val="22"/>
        </w:rPr>
        <w:t>habitantes</w:t>
      </w:r>
      <w:r>
        <w:rPr>
          <w:spacing w:val="-11"/>
          <w:sz w:val="22"/>
        </w:rPr>
        <w:t> </w:t>
      </w:r>
      <w:r>
        <w:rPr>
          <w:sz w:val="22"/>
        </w:rPr>
        <w:t>de</w:t>
      </w:r>
      <w:r>
        <w:rPr>
          <w:spacing w:val="-9"/>
          <w:sz w:val="22"/>
        </w:rPr>
        <w:t> </w:t>
      </w:r>
      <w:r>
        <w:rPr>
          <w:sz w:val="22"/>
        </w:rPr>
        <w:t>la</w:t>
      </w:r>
      <w:r>
        <w:rPr>
          <w:spacing w:val="-9"/>
          <w:sz w:val="22"/>
        </w:rPr>
        <w:t> </w:t>
      </w:r>
      <w:r>
        <w:rPr>
          <w:sz w:val="22"/>
        </w:rPr>
        <w:t>República</w:t>
      </w:r>
      <w:r>
        <w:rPr>
          <w:spacing w:val="-9"/>
          <w:sz w:val="22"/>
        </w:rPr>
        <w:t> </w:t>
      </w:r>
      <w:r>
        <w:rPr>
          <w:sz w:val="22"/>
        </w:rPr>
        <w:t>a</w:t>
      </w:r>
      <w:r>
        <w:rPr>
          <w:spacing w:val="-11"/>
          <w:sz w:val="22"/>
        </w:rPr>
        <w:t> </w:t>
      </w:r>
      <w:r>
        <w:rPr>
          <w:sz w:val="22"/>
        </w:rPr>
        <w:t>lo</w:t>
      </w:r>
      <w:r>
        <w:rPr>
          <w:spacing w:val="-9"/>
          <w:sz w:val="22"/>
        </w:rPr>
        <w:t> </w:t>
      </w:r>
      <w:r>
        <w:rPr>
          <w:sz w:val="22"/>
        </w:rPr>
        <w:t>largo</w:t>
      </w:r>
      <w:r>
        <w:rPr>
          <w:spacing w:val="-9"/>
          <w:sz w:val="22"/>
        </w:rPr>
        <w:t> </w:t>
      </w:r>
      <w:r>
        <w:rPr>
          <w:sz w:val="22"/>
        </w:rPr>
        <w:t>de</w:t>
      </w:r>
      <w:r>
        <w:rPr>
          <w:spacing w:val="-9"/>
          <w:sz w:val="22"/>
        </w:rPr>
        <w:t> </w:t>
      </w:r>
      <w:r>
        <w:rPr>
          <w:sz w:val="22"/>
        </w:rPr>
        <w:t>su</w:t>
      </w:r>
      <w:r>
        <w:rPr>
          <w:spacing w:val="-11"/>
          <w:sz w:val="22"/>
        </w:rPr>
        <w:t> </w:t>
      </w:r>
      <w:r>
        <w:rPr>
          <w:sz w:val="22"/>
        </w:rPr>
        <w:t>ciclo</w:t>
      </w:r>
      <w:r>
        <w:rPr>
          <w:spacing w:val="-9"/>
          <w:sz w:val="22"/>
        </w:rPr>
        <w:t> </w:t>
      </w:r>
      <w:r>
        <w:rPr>
          <w:sz w:val="22"/>
        </w:rPr>
        <w:t>de</w:t>
      </w:r>
      <w:r>
        <w:rPr>
          <w:spacing w:val="-12"/>
          <w:sz w:val="22"/>
        </w:rPr>
        <w:t> </w:t>
      </w:r>
      <w:r>
        <w:rPr>
          <w:sz w:val="22"/>
        </w:rPr>
        <w:t>vida.</w:t>
      </w:r>
      <w:r>
        <w:rPr>
          <w:spacing w:val="-7"/>
          <w:sz w:val="22"/>
        </w:rPr>
        <w:t> </w:t>
      </w:r>
      <w:r>
        <w:rPr>
          <w:sz w:val="22"/>
        </w:rPr>
        <w:t>Fecha</w:t>
      </w:r>
      <w:r>
        <w:rPr>
          <w:spacing w:val="-9"/>
          <w:sz w:val="22"/>
        </w:rPr>
        <w:t> </w:t>
      </w:r>
      <w:r>
        <w:rPr>
          <w:sz w:val="22"/>
        </w:rPr>
        <w:t>de</w:t>
      </w:r>
      <w:r>
        <w:rPr>
          <w:spacing w:val="-9"/>
          <w:sz w:val="22"/>
        </w:rPr>
        <w:t> </w:t>
      </w:r>
      <w:r>
        <w:rPr>
          <w:sz w:val="22"/>
        </w:rPr>
        <w:t>vigencia </w:t>
      </w:r>
      <w:r>
        <w:rPr>
          <w:spacing w:val="-2"/>
          <w:sz w:val="22"/>
        </w:rPr>
        <w:t>18/02/2025.</w:t>
      </w:r>
    </w:p>
    <w:p>
      <w:pPr>
        <w:spacing w:before="253"/>
        <w:ind w:left="1625" w:right="1606" w:firstLine="0"/>
        <w:jc w:val="both"/>
        <w:rPr>
          <w:sz w:val="22"/>
        </w:rPr>
      </w:pPr>
      <w:r>
        <w:rPr>
          <w:b/>
          <w:sz w:val="22"/>
        </w:rPr>
        <w:t>Ley para</w:t>
      </w:r>
      <w:r>
        <w:rPr>
          <w:b/>
          <w:spacing w:val="-4"/>
          <w:sz w:val="22"/>
        </w:rPr>
        <w:t> </w:t>
      </w:r>
      <w:r>
        <w:rPr>
          <w:b/>
          <w:sz w:val="22"/>
        </w:rPr>
        <w:t>la</w:t>
      </w:r>
      <w:r>
        <w:rPr>
          <w:b/>
          <w:spacing w:val="-2"/>
          <w:sz w:val="22"/>
        </w:rPr>
        <w:t> </w:t>
      </w:r>
      <w:r>
        <w:rPr>
          <w:b/>
          <w:sz w:val="22"/>
        </w:rPr>
        <w:t>Dinamización de</w:t>
      </w:r>
      <w:r>
        <w:rPr>
          <w:b/>
          <w:spacing w:val="-5"/>
          <w:sz w:val="22"/>
        </w:rPr>
        <w:t> </w:t>
      </w:r>
      <w:r>
        <w:rPr>
          <w:b/>
          <w:sz w:val="22"/>
        </w:rPr>
        <w:t>la</w:t>
      </w:r>
      <w:r>
        <w:rPr>
          <w:b/>
          <w:spacing w:val="-2"/>
          <w:sz w:val="22"/>
        </w:rPr>
        <w:t> </w:t>
      </w:r>
      <w:r>
        <w:rPr>
          <w:b/>
          <w:sz w:val="22"/>
        </w:rPr>
        <w:t>Atención</w:t>
      </w:r>
      <w:r>
        <w:rPr>
          <w:b/>
          <w:spacing w:val="-4"/>
          <w:sz w:val="22"/>
        </w:rPr>
        <w:t> </w:t>
      </w:r>
      <w:r>
        <w:rPr>
          <w:b/>
          <w:sz w:val="22"/>
        </w:rPr>
        <w:t>de</w:t>
      </w:r>
      <w:r>
        <w:rPr>
          <w:b/>
          <w:spacing w:val="-2"/>
          <w:sz w:val="22"/>
        </w:rPr>
        <w:t> </w:t>
      </w:r>
      <w:r>
        <w:rPr>
          <w:b/>
          <w:sz w:val="22"/>
        </w:rPr>
        <w:t>la</w:t>
      </w:r>
      <w:r>
        <w:rPr>
          <w:b/>
          <w:spacing w:val="-2"/>
          <w:sz w:val="22"/>
        </w:rPr>
        <w:t> </w:t>
      </w:r>
      <w:r>
        <w:rPr>
          <w:b/>
          <w:sz w:val="22"/>
        </w:rPr>
        <w:t>Población</w:t>
      </w:r>
      <w:r>
        <w:rPr>
          <w:b/>
          <w:spacing w:val="-2"/>
          <w:sz w:val="22"/>
        </w:rPr>
        <w:t> </w:t>
      </w:r>
      <w:r>
        <w:rPr>
          <w:b/>
          <w:sz w:val="22"/>
        </w:rPr>
        <w:t>Vulnerable</w:t>
      </w:r>
      <w:r>
        <w:rPr>
          <w:b/>
          <w:spacing w:val="-4"/>
          <w:sz w:val="22"/>
        </w:rPr>
        <w:t> </w:t>
      </w:r>
      <w:r>
        <w:rPr>
          <w:b/>
          <w:sz w:val="22"/>
        </w:rPr>
        <w:t>en Costa</w:t>
      </w:r>
      <w:r>
        <w:rPr>
          <w:b/>
          <w:spacing w:val="-2"/>
          <w:sz w:val="22"/>
        </w:rPr>
        <w:t> </w:t>
      </w:r>
      <w:r>
        <w:rPr>
          <w:b/>
          <w:sz w:val="22"/>
        </w:rPr>
        <w:t>Rica, N° 10705: </w:t>
      </w:r>
      <w:r>
        <w:rPr>
          <w:sz w:val="22"/>
        </w:rPr>
        <w:t>Artículo 1- Refórmense los artículos 2, 3, inciso f), y 5 de la Ley 5662, Ley de Desarrollo Social y Asignaciones Familiares, de 23 de diciembre de 1974. Fecha de vigencia 06/05/2025.</w:t>
      </w:r>
    </w:p>
    <w:p>
      <w:pPr>
        <w:pStyle w:val="BodyText"/>
      </w:pPr>
    </w:p>
    <w:p>
      <w:pPr>
        <w:pStyle w:val="BodyText"/>
        <w:ind w:left="1625" w:right="1604"/>
        <w:jc w:val="both"/>
      </w:pPr>
      <w:r>
        <w:rPr>
          <w:b/>
        </w:rPr>
        <w:t>Ley</w:t>
      </w:r>
      <w:r>
        <w:rPr>
          <w:b/>
          <w:spacing w:val="-16"/>
        </w:rPr>
        <w:t> </w:t>
      </w:r>
      <w:r>
        <w:rPr>
          <w:b/>
        </w:rPr>
        <w:t>de</w:t>
      </w:r>
      <w:r>
        <w:rPr>
          <w:b/>
          <w:spacing w:val="-15"/>
        </w:rPr>
        <w:t> </w:t>
      </w:r>
      <w:r>
        <w:rPr>
          <w:b/>
        </w:rPr>
        <w:t>Adición</w:t>
      </w:r>
      <w:r>
        <w:rPr>
          <w:b/>
          <w:spacing w:val="-15"/>
        </w:rPr>
        <w:t> </w:t>
      </w:r>
      <w:r>
        <w:rPr>
          <w:b/>
        </w:rPr>
        <w:t>del</w:t>
      </w:r>
      <w:r>
        <w:rPr>
          <w:b/>
          <w:spacing w:val="-16"/>
        </w:rPr>
        <w:t> </w:t>
      </w:r>
      <w:r>
        <w:rPr>
          <w:b/>
        </w:rPr>
        <w:t>Artículo</w:t>
      </w:r>
      <w:r>
        <w:rPr>
          <w:b/>
          <w:spacing w:val="-15"/>
        </w:rPr>
        <w:t> </w:t>
      </w:r>
      <w:r>
        <w:rPr>
          <w:b/>
        </w:rPr>
        <w:t>26</w:t>
      </w:r>
      <w:r>
        <w:rPr>
          <w:b/>
          <w:spacing w:val="-15"/>
        </w:rPr>
        <w:t> </w:t>
      </w:r>
      <w:r>
        <w:rPr>
          <w:b/>
        </w:rPr>
        <w:t>bis</w:t>
      </w:r>
      <w:r>
        <w:rPr>
          <w:b/>
          <w:spacing w:val="-15"/>
        </w:rPr>
        <w:t> </w:t>
      </w:r>
      <w:r>
        <w:rPr>
          <w:b/>
        </w:rPr>
        <w:t>a</w:t>
      </w:r>
      <w:r>
        <w:rPr>
          <w:b/>
          <w:spacing w:val="-16"/>
        </w:rPr>
        <w:t> </w:t>
      </w:r>
      <w:r>
        <w:rPr>
          <w:b/>
        </w:rPr>
        <w:t>la</w:t>
      </w:r>
      <w:r>
        <w:rPr>
          <w:b/>
          <w:spacing w:val="-15"/>
        </w:rPr>
        <w:t> </w:t>
      </w:r>
      <w:r>
        <w:rPr>
          <w:b/>
        </w:rPr>
        <w:t>Ley</w:t>
      </w:r>
      <w:r>
        <w:rPr>
          <w:b/>
          <w:spacing w:val="-15"/>
        </w:rPr>
        <w:t> </w:t>
      </w:r>
      <w:r>
        <w:rPr>
          <w:b/>
        </w:rPr>
        <w:t>N°</w:t>
      </w:r>
      <w:r>
        <w:rPr>
          <w:b/>
          <w:spacing w:val="-16"/>
        </w:rPr>
        <w:t> </w:t>
      </w:r>
      <w:r>
        <w:rPr/>
        <w:t>218</w:t>
      </w:r>
      <w:r>
        <w:rPr>
          <w:spacing w:val="-15"/>
        </w:rPr>
        <w:t> </w:t>
      </w:r>
      <w:r>
        <w:rPr/>
        <w:t>(Ley</w:t>
      </w:r>
      <w:r>
        <w:rPr>
          <w:spacing w:val="-15"/>
        </w:rPr>
        <w:t> </w:t>
      </w:r>
      <w:r>
        <w:rPr/>
        <w:t>de</w:t>
      </w:r>
      <w:r>
        <w:rPr>
          <w:spacing w:val="-15"/>
        </w:rPr>
        <w:t> </w:t>
      </w:r>
      <w:r>
        <w:rPr/>
        <w:t>Asociaciones).</w:t>
      </w:r>
      <w:r>
        <w:rPr>
          <w:spacing w:val="-16"/>
        </w:rPr>
        <w:t> </w:t>
      </w:r>
      <w:r>
        <w:rPr/>
        <w:t>Ley</w:t>
      </w:r>
      <w:r>
        <w:rPr>
          <w:spacing w:val="-15"/>
        </w:rPr>
        <w:t> </w:t>
      </w:r>
      <w:r>
        <w:rPr/>
        <w:t>N°</w:t>
      </w:r>
      <w:r>
        <w:rPr>
          <w:spacing w:val="-14"/>
        </w:rPr>
        <w:t> </w:t>
      </w:r>
      <w:r>
        <w:rPr/>
        <w:t>10698. Autoriza</w:t>
      </w:r>
      <w:r>
        <w:rPr>
          <w:spacing w:val="-16"/>
        </w:rPr>
        <w:t> </w:t>
      </w:r>
      <w:r>
        <w:rPr/>
        <w:t>a</w:t>
      </w:r>
      <w:r>
        <w:rPr>
          <w:spacing w:val="-15"/>
        </w:rPr>
        <w:t> </w:t>
      </w:r>
      <w:r>
        <w:rPr/>
        <w:t>la</w:t>
      </w:r>
      <w:r>
        <w:rPr>
          <w:spacing w:val="-15"/>
        </w:rPr>
        <w:t> </w:t>
      </w:r>
      <w:r>
        <w:rPr/>
        <w:t>administración</w:t>
      </w:r>
      <w:r>
        <w:rPr>
          <w:spacing w:val="-16"/>
        </w:rPr>
        <w:t> </w:t>
      </w:r>
      <w:r>
        <w:rPr/>
        <w:t>pública</w:t>
      </w:r>
      <w:r>
        <w:rPr>
          <w:spacing w:val="-15"/>
        </w:rPr>
        <w:t> </w:t>
      </w:r>
      <w:r>
        <w:rPr/>
        <w:t>las</w:t>
      </w:r>
      <w:r>
        <w:rPr>
          <w:spacing w:val="-15"/>
        </w:rPr>
        <w:t> </w:t>
      </w:r>
      <w:r>
        <w:rPr/>
        <w:t>donaciones</w:t>
      </w:r>
      <w:r>
        <w:rPr>
          <w:spacing w:val="-15"/>
        </w:rPr>
        <w:t> </w:t>
      </w:r>
      <w:r>
        <w:rPr/>
        <w:t>para</w:t>
      </w:r>
      <w:r>
        <w:rPr>
          <w:spacing w:val="-16"/>
        </w:rPr>
        <w:t> </w:t>
      </w:r>
      <w:r>
        <w:rPr/>
        <w:t>las</w:t>
      </w:r>
      <w:r>
        <w:rPr>
          <w:spacing w:val="-15"/>
        </w:rPr>
        <w:t> </w:t>
      </w:r>
      <w:r>
        <w:rPr/>
        <w:t>asociaciones</w:t>
      </w:r>
      <w:r>
        <w:rPr>
          <w:spacing w:val="-15"/>
        </w:rPr>
        <w:t> </w:t>
      </w:r>
      <w:r>
        <w:rPr/>
        <w:t>administradoras de sistemas de acueductos y alcantarillados comunales. Fecha de vigencia 06/05/2025.</w:t>
      </w:r>
    </w:p>
    <w:p>
      <w:pPr>
        <w:pStyle w:val="BodyText"/>
        <w:spacing w:before="1"/>
      </w:pPr>
    </w:p>
    <w:p>
      <w:pPr>
        <w:spacing w:before="0"/>
        <w:ind w:left="1625" w:right="1602" w:firstLine="0"/>
        <w:jc w:val="both"/>
        <w:rPr>
          <w:sz w:val="22"/>
        </w:rPr>
      </w:pPr>
      <w:r>
        <w:rPr>
          <w:b/>
          <w:sz w:val="22"/>
        </w:rPr>
        <w:t>Ley de Reforma de Varias Leyes para Fortalecer las Organizaciones de Bienestar Social, en Beneficio de la Persona Adulta Mayor, N° 10719. </w:t>
      </w:r>
      <w:r>
        <w:rPr>
          <w:sz w:val="22"/>
        </w:rPr>
        <w:t>Fecha de vigencia </w:t>
      </w:r>
      <w:r>
        <w:rPr>
          <w:spacing w:val="-2"/>
          <w:sz w:val="22"/>
        </w:rPr>
        <w:t>13/05/2025.</w:t>
      </w:r>
    </w:p>
    <w:p>
      <w:pPr>
        <w:pStyle w:val="BodyText"/>
        <w:spacing w:before="1"/>
      </w:pPr>
    </w:p>
    <w:p>
      <w:pPr>
        <w:spacing w:before="0"/>
        <w:ind w:left="1625" w:right="1603" w:firstLine="0"/>
        <w:jc w:val="both"/>
        <w:rPr>
          <w:sz w:val="22"/>
        </w:rPr>
      </w:pPr>
      <w:r>
        <w:rPr>
          <w:b/>
          <w:sz w:val="22"/>
        </w:rPr>
        <w:t>Ley</w:t>
      </w:r>
      <w:r>
        <w:rPr>
          <w:b/>
          <w:spacing w:val="-7"/>
          <w:sz w:val="22"/>
        </w:rPr>
        <w:t> </w:t>
      </w:r>
      <w:r>
        <w:rPr>
          <w:b/>
          <w:sz w:val="22"/>
        </w:rPr>
        <w:t>para</w:t>
      </w:r>
      <w:r>
        <w:rPr>
          <w:b/>
          <w:spacing w:val="-9"/>
          <w:sz w:val="22"/>
        </w:rPr>
        <w:t> </w:t>
      </w:r>
      <w:r>
        <w:rPr>
          <w:b/>
          <w:sz w:val="22"/>
        </w:rPr>
        <w:t>Facilitar</w:t>
      </w:r>
      <w:r>
        <w:rPr>
          <w:b/>
          <w:spacing w:val="-9"/>
          <w:sz w:val="22"/>
        </w:rPr>
        <w:t> </w:t>
      </w:r>
      <w:r>
        <w:rPr>
          <w:b/>
          <w:sz w:val="22"/>
        </w:rPr>
        <w:t>las</w:t>
      </w:r>
      <w:r>
        <w:rPr>
          <w:b/>
          <w:spacing w:val="-12"/>
          <w:sz w:val="22"/>
        </w:rPr>
        <w:t> </w:t>
      </w:r>
      <w:r>
        <w:rPr>
          <w:b/>
          <w:sz w:val="22"/>
        </w:rPr>
        <w:t>Gestiones</w:t>
      </w:r>
      <w:r>
        <w:rPr>
          <w:b/>
          <w:spacing w:val="-12"/>
          <w:sz w:val="22"/>
        </w:rPr>
        <w:t> </w:t>
      </w:r>
      <w:r>
        <w:rPr>
          <w:b/>
          <w:sz w:val="22"/>
        </w:rPr>
        <w:t>Administrativas</w:t>
      </w:r>
      <w:r>
        <w:rPr>
          <w:b/>
          <w:spacing w:val="-8"/>
          <w:sz w:val="22"/>
        </w:rPr>
        <w:t> </w:t>
      </w:r>
      <w:r>
        <w:rPr>
          <w:b/>
          <w:sz w:val="22"/>
        </w:rPr>
        <w:t>de</w:t>
      </w:r>
      <w:r>
        <w:rPr>
          <w:b/>
          <w:spacing w:val="-12"/>
          <w:sz w:val="22"/>
        </w:rPr>
        <w:t> </w:t>
      </w:r>
      <w:r>
        <w:rPr>
          <w:b/>
          <w:sz w:val="22"/>
        </w:rPr>
        <w:t>las</w:t>
      </w:r>
      <w:r>
        <w:rPr>
          <w:b/>
          <w:spacing w:val="-10"/>
          <w:sz w:val="22"/>
        </w:rPr>
        <w:t> </w:t>
      </w:r>
      <w:r>
        <w:rPr>
          <w:b/>
          <w:sz w:val="22"/>
        </w:rPr>
        <w:t>Personas</w:t>
      </w:r>
      <w:r>
        <w:rPr>
          <w:b/>
          <w:spacing w:val="-11"/>
          <w:sz w:val="22"/>
        </w:rPr>
        <w:t> </w:t>
      </w:r>
      <w:r>
        <w:rPr>
          <w:b/>
          <w:sz w:val="22"/>
        </w:rPr>
        <w:t>Trabajadoras</w:t>
      </w:r>
      <w:r>
        <w:rPr>
          <w:b/>
          <w:spacing w:val="-10"/>
          <w:sz w:val="22"/>
        </w:rPr>
        <w:t> </w:t>
      </w:r>
      <w:r>
        <w:rPr>
          <w:b/>
          <w:sz w:val="22"/>
        </w:rPr>
        <w:t>ante el</w:t>
      </w:r>
      <w:r>
        <w:rPr>
          <w:b/>
          <w:spacing w:val="-3"/>
          <w:sz w:val="22"/>
        </w:rPr>
        <w:t> </w:t>
      </w:r>
      <w:r>
        <w:rPr>
          <w:b/>
          <w:sz w:val="22"/>
        </w:rPr>
        <w:t>Ministerio</w:t>
      </w:r>
      <w:r>
        <w:rPr>
          <w:b/>
          <w:spacing w:val="-4"/>
          <w:sz w:val="22"/>
        </w:rPr>
        <w:t> </w:t>
      </w:r>
      <w:r>
        <w:rPr>
          <w:b/>
          <w:sz w:val="22"/>
        </w:rPr>
        <w:t>de</w:t>
      </w:r>
      <w:r>
        <w:rPr>
          <w:b/>
          <w:spacing w:val="-7"/>
          <w:sz w:val="22"/>
        </w:rPr>
        <w:t> </w:t>
      </w:r>
      <w:r>
        <w:rPr>
          <w:b/>
          <w:sz w:val="22"/>
        </w:rPr>
        <w:t>Trabajo</w:t>
      </w:r>
      <w:r>
        <w:rPr>
          <w:b/>
          <w:spacing w:val="-4"/>
          <w:sz w:val="22"/>
        </w:rPr>
        <w:t> </w:t>
      </w:r>
      <w:r>
        <w:rPr>
          <w:b/>
          <w:sz w:val="22"/>
        </w:rPr>
        <w:t>y</w:t>
      </w:r>
      <w:r>
        <w:rPr>
          <w:b/>
          <w:spacing w:val="-4"/>
          <w:sz w:val="22"/>
        </w:rPr>
        <w:t> </w:t>
      </w:r>
      <w:r>
        <w:rPr>
          <w:b/>
          <w:sz w:val="22"/>
        </w:rPr>
        <w:t>Seguridad</w:t>
      </w:r>
      <w:r>
        <w:rPr>
          <w:b/>
          <w:spacing w:val="-2"/>
          <w:sz w:val="22"/>
        </w:rPr>
        <w:t> </w:t>
      </w:r>
      <w:r>
        <w:rPr>
          <w:b/>
          <w:sz w:val="22"/>
        </w:rPr>
        <w:t>Social,</w:t>
      </w:r>
      <w:r>
        <w:rPr>
          <w:b/>
          <w:spacing w:val="-3"/>
          <w:sz w:val="22"/>
        </w:rPr>
        <w:t> </w:t>
      </w:r>
      <w:r>
        <w:rPr>
          <w:b/>
          <w:sz w:val="22"/>
        </w:rPr>
        <w:t>N°</w:t>
      </w:r>
      <w:r>
        <w:rPr>
          <w:b/>
          <w:spacing w:val="-6"/>
          <w:sz w:val="22"/>
        </w:rPr>
        <w:t> </w:t>
      </w:r>
      <w:r>
        <w:rPr>
          <w:b/>
          <w:sz w:val="22"/>
        </w:rPr>
        <w:t>10.771.</w:t>
      </w:r>
      <w:r>
        <w:rPr>
          <w:b/>
          <w:spacing w:val="-1"/>
          <w:sz w:val="22"/>
        </w:rPr>
        <w:t> </w:t>
      </w:r>
      <w:r>
        <w:rPr>
          <w:sz w:val="22"/>
        </w:rPr>
        <w:t>Reforma</w:t>
      </w:r>
      <w:r>
        <w:rPr>
          <w:spacing w:val="-2"/>
          <w:sz w:val="22"/>
        </w:rPr>
        <w:t> </w:t>
      </w:r>
      <w:r>
        <w:rPr>
          <w:sz w:val="22"/>
        </w:rPr>
        <w:t>del</w:t>
      </w:r>
      <w:r>
        <w:rPr>
          <w:spacing w:val="-5"/>
          <w:sz w:val="22"/>
        </w:rPr>
        <w:t> </w:t>
      </w:r>
      <w:r>
        <w:rPr>
          <w:sz w:val="22"/>
        </w:rPr>
        <w:t>artículo</w:t>
      </w:r>
      <w:r>
        <w:rPr>
          <w:spacing w:val="-2"/>
          <w:sz w:val="22"/>
        </w:rPr>
        <w:t> </w:t>
      </w:r>
      <w:r>
        <w:rPr>
          <w:sz w:val="22"/>
        </w:rPr>
        <w:t>515</w:t>
      </w:r>
      <w:r>
        <w:rPr>
          <w:spacing w:val="-4"/>
          <w:sz w:val="22"/>
        </w:rPr>
        <w:t> </w:t>
      </w:r>
      <w:r>
        <w:rPr>
          <w:sz w:val="22"/>
        </w:rPr>
        <w:t>de</w:t>
      </w:r>
      <w:r>
        <w:rPr>
          <w:spacing w:val="-4"/>
          <w:sz w:val="22"/>
        </w:rPr>
        <w:t> </w:t>
      </w:r>
      <w:r>
        <w:rPr>
          <w:sz w:val="22"/>
        </w:rPr>
        <w:t>la Ley N° 2, código de Trabajo, de 27 de agosto de 1943. Fecha de vigencia: 12/11/2025.</w:t>
      </w:r>
    </w:p>
    <w:p>
      <w:pPr>
        <w:spacing w:before="251"/>
        <w:ind w:left="1625" w:right="1603" w:firstLine="0"/>
        <w:jc w:val="both"/>
        <w:rPr>
          <w:sz w:val="22"/>
        </w:rPr>
      </w:pPr>
      <w:r>
        <w:rPr>
          <w:b/>
          <w:sz w:val="22"/>
        </w:rPr>
        <w:t>Ley para Organizaciones Socioproductivas de la Economía Social Solidaria, N° 10859.</w:t>
      </w:r>
      <w:r>
        <w:rPr>
          <w:b/>
          <w:spacing w:val="-1"/>
          <w:sz w:val="22"/>
        </w:rPr>
        <w:t> </w:t>
      </w:r>
      <w:r>
        <w:rPr>
          <w:sz w:val="22"/>
        </w:rPr>
        <w:t>La</w:t>
      </w:r>
      <w:r>
        <w:rPr>
          <w:spacing w:val="-2"/>
          <w:sz w:val="22"/>
        </w:rPr>
        <w:t> </w:t>
      </w:r>
      <w:r>
        <w:rPr>
          <w:sz w:val="22"/>
        </w:rPr>
        <w:t>presente</w:t>
      </w:r>
      <w:r>
        <w:rPr>
          <w:spacing w:val="-2"/>
          <w:sz w:val="22"/>
        </w:rPr>
        <w:t> </w:t>
      </w:r>
      <w:r>
        <w:rPr>
          <w:sz w:val="22"/>
        </w:rPr>
        <w:t>ley</w:t>
      </w:r>
      <w:r>
        <w:rPr>
          <w:spacing w:val="-4"/>
          <w:sz w:val="22"/>
        </w:rPr>
        <w:t> </w:t>
      </w:r>
      <w:r>
        <w:rPr>
          <w:sz w:val="22"/>
        </w:rPr>
        <w:t>tiene</w:t>
      </w:r>
      <w:r>
        <w:rPr>
          <w:spacing w:val="-2"/>
          <w:sz w:val="22"/>
        </w:rPr>
        <w:t> </w:t>
      </w:r>
      <w:r>
        <w:rPr>
          <w:sz w:val="22"/>
        </w:rPr>
        <w:t>por</w:t>
      </w:r>
      <w:r>
        <w:rPr>
          <w:spacing w:val="-1"/>
          <w:sz w:val="22"/>
        </w:rPr>
        <w:t> </w:t>
      </w:r>
      <w:r>
        <w:rPr>
          <w:sz w:val="22"/>
        </w:rPr>
        <w:t>objeto</w:t>
      </w:r>
      <w:r>
        <w:rPr>
          <w:spacing w:val="-1"/>
          <w:sz w:val="22"/>
        </w:rPr>
        <w:t> </w:t>
      </w:r>
      <w:r>
        <w:rPr>
          <w:sz w:val="22"/>
        </w:rPr>
        <w:t>establecer</w:t>
      </w:r>
      <w:r>
        <w:rPr>
          <w:spacing w:val="-1"/>
          <w:sz w:val="22"/>
        </w:rPr>
        <w:t> </w:t>
      </w:r>
      <w:r>
        <w:rPr>
          <w:sz w:val="22"/>
        </w:rPr>
        <w:t>un</w:t>
      </w:r>
      <w:r>
        <w:rPr>
          <w:spacing w:val="-2"/>
          <w:sz w:val="22"/>
        </w:rPr>
        <w:t> </w:t>
      </w:r>
      <w:r>
        <w:rPr>
          <w:sz w:val="22"/>
        </w:rPr>
        <w:t>marco</w:t>
      </w:r>
      <w:r>
        <w:rPr>
          <w:spacing w:val="-4"/>
          <w:sz w:val="22"/>
        </w:rPr>
        <w:t> </w:t>
      </w:r>
      <w:r>
        <w:rPr>
          <w:sz w:val="22"/>
        </w:rPr>
        <w:t>jurídico</w:t>
      </w:r>
      <w:r>
        <w:rPr>
          <w:spacing w:val="-2"/>
          <w:sz w:val="22"/>
        </w:rPr>
        <w:t> </w:t>
      </w:r>
      <w:r>
        <w:rPr>
          <w:sz w:val="22"/>
        </w:rPr>
        <w:t>para</w:t>
      </w:r>
      <w:r>
        <w:rPr>
          <w:spacing w:val="-4"/>
          <w:sz w:val="22"/>
        </w:rPr>
        <w:t> </w:t>
      </w:r>
      <w:r>
        <w:rPr>
          <w:sz w:val="22"/>
        </w:rPr>
        <w:t>la</w:t>
      </w:r>
      <w:r>
        <w:rPr>
          <w:spacing w:val="-2"/>
          <w:sz w:val="22"/>
        </w:rPr>
        <w:t> </w:t>
      </w:r>
      <w:r>
        <w:rPr>
          <w:sz w:val="22"/>
        </w:rPr>
        <w:t>promoción</w:t>
      </w:r>
      <w:r>
        <w:rPr>
          <w:spacing w:val="-2"/>
          <w:sz w:val="22"/>
        </w:rPr>
        <w:t> </w:t>
      </w:r>
      <w:r>
        <w:rPr>
          <w:sz w:val="22"/>
        </w:rPr>
        <w:t>y el fomento de las organizaciones socioproductivas de la economía social solidaria, que realizan</w:t>
      </w:r>
      <w:r>
        <w:rPr>
          <w:spacing w:val="-8"/>
          <w:sz w:val="22"/>
        </w:rPr>
        <w:t> </w:t>
      </w:r>
      <w:r>
        <w:rPr>
          <w:sz w:val="22"/>
        </w:rPr>
        <w:t>actividad</w:t>
      </w:r>
      <w:r>
        <w:rPr>
          <w:spacing w:val="-7"/>
          <w:sz w:val="22"/>
        </w:rPr>
        <w:t> </w:t>
      </w:r>
      <w:r>
        <w:rPr>
          <w:sz w:val="22"/>
        </w:rPr>
        <w:t>productiva</w:t>
      </w:r>
      <w:r>
        <w:rPr>
          <w:spacing w:val="-7"/>
          <w:sz w:val="22"/>
        </w:rPr>
        <w:t> </w:t>
      </w:r>
      <w:r>
        <w:rPr>
          <w:sz w:val="22"/>
        </w:rPr>
        <w:t>de</w:t>
      </w:r>
      <w:r>
        <w:rPr>
          <w:spacing w:val="-8"/>
          <w:sz w:val="22"/>
        </w:rPr>
        <w:t> </w:t>
      </w:r>
      <w:r>
        <w:rPr>
          <w:sz w:val="22"/>
        </w:rPr>
        <w:t>bienes</w:t>
      </w:r>
      <w:r>
        <w:rPr>
          <w:spacing w:val="-7"/>
          <w:sz w:val="22"/>
        </w:rPr>
        <w:t> </w:t>
      </w:r>
      <w:r>
        <w:rPr>
          <w:sz w:val="22"/>
        </w:rPr>
        <w:t>o</w:t>
      </w:r>
      <w:r>
        <w:rPr>
          <w:spacing w:val="-7"/>
          <w:sz w:val="22"/>
        </w:rPr>
        <w:t> </w:t>
      </w:r>
      <w:r>
        <w:rPr>
          <w:sz w:val="22"/>
        </w:rPr>
        <w:t>servicios,</w:t>
      </w:r>
      <w:r>
        <w:rPr>
          <w:spacing w:val="-6"/>
          <w:sz w:val="22"/>
        </w:rPr>
        <w:t> </w:t>
      </w:r>
      <w:r>
        <w:rPr>
          <w:sz w:val="22"/>
        </w:rPr>
        <w:t>dinamizan</w:t>
      </w:r>
      <w:r>
        <w:rPr>
          <w:spacing w:val="-8"/>
          <w:sz w:val="22"/>
        </w:rPr>
        <w:t> </w:t>
      </w:r>
      <w:r>
        <w:rPr>
          <w:sz w:val="22"/>
        </w:rPr>
        <w:t>la</w:t>
      </w:r>
      <w:r>
        <w:rPr>
          <w:spacing w:val="-7"/>
          <w:sz w:val="22"/>
        </w:rPr>
        <w:t> </w:t>
      </w:r>
      <w:r>
        <w:rPr>
          <w:sz w:val="22"/>
        </w:rPr>
        <w:t>economía</w:t>
      </w:r>
      <w:r>
        <w:rPr>
          <w:spacing w:val="-12"/>
          <w:sz w:val="22"/>
        </w:rPr>
        <w:t> </w:t>
      </w:r>
      <w:r>
        <w:rPr>
          <w:sz w:val="22"/>
        </w:rPr>
        <w:t>y</w:t>
      </w:r>
      <w:r>
        <w:rPr>
          <w:spacing w:val="-7"/>
          <w:sz w:val="22"/>
        </w:rPr>
        <w:t> </w:t>
      </w:r>
      <w:r>
        <w:rPr>
          <w:sz w:val="22"/>
        </w:rPr>
        <w:t>potencian</w:t>
      </w:r>
      <w:r>
        <w:rPr>
          <w:spacing w:val="-8"/>
          <w:sz w:val="22"/>
        </w:rPr>
        <w:t> </w:t>
      </w:r>
      <w:r>
        <w:rPr>
          <w:sz w:val="22"/>
        </w:rPr>
        <w:t>el desarrollo humano en las comunidades. Fecha de vigencia 12/03/2026.</w:t>
      </w:r>
    </w:p>
    <w:p>
      <w:pPr>
        <w:pStyle w:val="BodyText"/>
        <w:spacing w:before="2"/>
      </w:pPr>
    </w:p>
    <w:p>
      <w:pPr>
        <w:spacing w:before="0"/>
        <w:ind w:left="1625" w:right="1603" w:firstLine="0"/>
        <w:jc w:val="both"/>
        <w:rPr>
          <w:sz w:val="22"/>
        </w:rPr>
      </w:pPr>
      <w:r>
        <w:rPr>
          <w:b/>
          <w:sz w:val="22"/>
        </w:rPr>
        <w:t>Ley de Apoyo y Recuperación del sector empresarial ante escenarios de vulnerabilidad, N° 10907: </w:t>
      </w:r>
      <w:r>
        <w:rPr>
          <w:sz w:val="22"/>
        </w:rPr>
        <w:t>Esta ley tiene por objeto establecer mecanismos de rescate, recuperación</w:t>
      </w:r>
      <w:r>
        <w:rPr>
          <w:spacing w:val="-16"/>
          <w:sz w:val="22"/>
        </w:rPr>
        <w:t> </w:t>
      </w:r>
      <w:r>
        <w:rPr>
          <w:sz w:val="22"/>
        </w:rPr>
        <w:t>y</w:t>
      </w:r>
      <w:r>
        <w:rPr>
          <w:spacing w:val="-15"/>
          <w:sz w:val="22"/>
        </w:rPr>
        <w:t> </w:t>
      </w:r>
      <w:r>
        <w:rPr>
          <w:sz w:val="22"/>
        </w:rPr>
        <w:t>fortalecimiento</w:t>
      </w:r>
      <w:r>
        <w:rPr>
          <w:spacing w:val="-15"/>
          <w:sz w:val="22"/>
        </w:rPr>
        <w:t> </w:t>
      </w:r>
      <w:r>
        <w:rPr>
          <w:sz w:val="22"/>
        </w:rPr>
        <w:t>de</w:t>
      </w:r>
      <w:r>
        <w:rPr>
          <w:spacing w:val="-16"/>
          <w:sz w:val="22"/>
        </w:rPr>
        <w:t> </w:t>
      </w:r>
      <w:r>
        <w:rPr>
          <w:sz w:val="22"/>
        </w:rPr>
        <w:t>las</w:t>
      </w:r>
      <w:r>
        <w:rPr>
          <w:spacing w:val="-15"/>
          <w:sz w:val="22"/>
        </w:rPr>
        <w:t> </w:t>
      </w:r>
      <w:r>
        <w:rPr>
          <w:sz w:val="22"/>
        </w:rPr>
        <w:t>micro,</w:t>
      </w:r>
      <w:r>
        <w:rPr>
          <w:spacing w:val="-15"/>
          <w:sz w:val="22"/>
        </w:rPr>
        <w:t> </w:t>
      </w:r>
      <w:r>
        <w:rPr>
          <w:sz w:val="22"/>
        </w:rPr>
        <w:t>pequeñas</w:t>
      </w:r>
      <w:r>
        <w:rPr>
          <w:spacing w:val="-15"/>
          <w:sz w:val="22"/>
        </w:rPr>
        <w:t> </w:t>
      </w:r>
      <w:r>
        <w:rPr>
          <w:sz w:val="22"/>
        </w:rPr>
        <w:t>y</w:t>
      </w:r>
      <w:r>
        <w:rPr>
          <w:spacing w:val="-16"/>
          <w:sz w:val="22"/>
        </w:rPr>
        <w:t> </w:t>
      </w:r>
      <w:r>
        <w:rPr>
          <w:sz w:val="22"/>
        </w:rPr>
        <w:t>medianas</w:t>
      </w:r>
      <w:r>
        <w:rPr>
          <w:spacing w:val="-15"/>
          <w:sz w:val="22"/>
        </w:rPr>
        <w:t> </w:t>
      </w:r>
      <w:r>
        <w:rPr>
          <w:sz w:val="22"/>
        </w:rPr>
        <w:t>empresas</w:t>
      </w:r>
      <w:r>
        <w:rPr>
          <w:spacing w:val="-15"/>
          <w:sz w:val="22"/>
        </w:rPr>
        <w:t> </w:t>
      </w:r>
      <w:r>
        <w:rPr>
          <w:sz w:val="22"/>
        </w:rPr>
        <w:t>(individuales o</w:t>
      </w:r>
      <w:r>
        <w:rPr>
          <w:spacing w:val="-3"/>
          <w:sz w:val="22"/>
        </w:rPr>
        <w:t> </w:t>
      </w:r>
      <w:r>
        <w:rPr>
          <w:sz w:val="22"/>
        </w:rPr>
        <w:t>asociativas)</w:t>
      </w:r>
      <w:r>
        <w:rPr>
          <w:spacing w:val="-4"/>
          <w:sz w:val="22"/>
        </w:rPr>
        <w:t> </w:t>
      </w:r>
      <w:r>
        <w:rPr>
          <w:sz w:val="22"/>
        </w:rPr>
        <w:t>o</w:t>
      </w:r>
      <w:r>
        <w:rPr>
          <w:spacing w:val="-5"/>
          <w:sz w:val="22"/>
        </w:rPr>
        <w:t> </w:t>
      </w:r>
      <w:r>
        <w:rPr>
          <w:sz w:val="22"/>
        </w:rPr>
        <w:t>micro</w:t>
      </w:r>
      <w:r>
        <w:rPr>
          <w:spacing w:val="-5"/>
          <w:sz w:val="22"/>
        </w:rPr>
        <w:t> </w:t>
      </w:r>
      <w:r>
        <w:rPr>
          <w:sz w:val="22"/>
        </w:rPr>
        <w:t>productores,</w:t>
      </w:r>
      <w:r>
        <w:rPr>
          <w:spacing w:val="-1"/>
          <w:sz w:val="22"/>
        </w:rPr>
        <w:t> </w:t>
      </w:r>
      <w:r>
        <w:rPr>
          <w:sz w:val="22"/>
        </w:rPr>
        <w:t>definidas</w:t>
      </w:r>
      <w:r>
        <w:rPr>
          <w:spacing w:val="-2"/>
          <w:sz w:val="22"/>
        </w:rPr>
        <w:t> </w:t>
      </w:r>
      <w:r>
        <w:rPr>
          <w:sz w:val="22"/>
        </w:rPr>
        <w:t>así</w:t>
      </w:r>
      <w:r>
        <w:rPr>
          <w:spacing w:val="-4"/>
          <w:sz w:val="22"/>
        </w:rPr>
        <w:t> </w:t>
      </w:r>
      <w:r>
        <w:rPr>
          <w:sz w:val="22"/>
        </w:rPr>
        <w:t>por</w:t>
      </w:r>
      <w:r>
        <w:rPr>
          <w:spacing w:val="-2"/>
          <w:sz w:val="22"/>
        </w:rPr>
        <w:t> </w:t>
      </w:r>
      <w:r>
        <w:rPr>
          <w:sz w:val="22"/>
        </w:rPr>
        <w:t>el</w:t>
      </w:r>
      <w:r>
        <w:rPr>
          <w:spacing w:val="-6"/>
          <w:sz w:val="22"/>
        </w:rPr>
        <w:t> </w:t>
      </w:r>
      <w:r>
        <w:rPr>
          <w:sz w:val="22"/>
        </w:rPr>
        <w:t>Ministerio</w:t>
      </w:r>
      <w:r>
        <w:rPr>
          <w:spacing w:val="-3"/>
          <w:sz w:val="22"/>
        </w:rPr>
        <w:t> </w:t>
      </w:r>
      <w:r>
        <w:rPr>
          <w:sz w:val="22"/>
        </w:rPr>
        <w:t>de</w:t>
      </w:r>
      <w:r>
        <w:rPr>
          <w:spacing w:val="-5"/>
          <w:sz w:val="22"/>
        </w:rPr>
        <w:t> </w:t>
      </w:r>
      <w:r>
        <w:rPr>
          <w:sz w:val="22"/>
        </w:rPr>
        <w:t>Economía,</w:t>
      </w:r>
      <w:r>
        <w:rPr>
          <w:spacing w:val="-4"/>
          <w:sz w:val="22"/>
        </w:rPr>
        <w:t> </w:t>
      </w:r>
      <w:r>
        <w:rPr>
          <w:sz w:val="22"/>
        </w:rPr>
        <w:t>Industria y</w:t>
      </w:r>
      <w:r>
        <w:rPr>
          <w:spacing w:val="-5"/>
          <w:sz w:val="22"/>
        </w:rPr>
        <w:t> </w:t>
      </w:r>
      <w:r>
        <w:rPr>
          <w:sz w:val="22"/>
        </w:rPr>
        <w:t>Comercio</w:t>
      </w:r>
      <w:r>
        <w:rPr>
          <w:spacing w:val="-7"/>
          <w:sz w:val="22"/>
        </w:rPr>
        <w:t> </w:t>
      </w:r>
      <w:r>
        <w:rPr>
          <w:sz w:val="22"/>
        </w:rPr>
        <w:t>(MEIC)</w:t>
      </w:r>
      <w:r>
        <w:rPr>
          <w:spacing w:val="-6"/>
          <w:sz w:val="22"/>
        </w:rPr>
        <w:t> </w:t>
      </w:r>
      <w:r>
        <w:rPr>
          <w:sz w:val="22"/>
        </w:rPr>
        <w:t>y</w:t>
      </w:r>
      <w:r>
        <w:rPr>
          <w:spacing w:val="-5"/>
          <w:sz w:val="22"/>
        </w:rPr>
        <w:t> </w:t>
      </w:r>
      <w:r>
        <w:rPr>
          <w:sz w:val="22"/>
        </w:rPr>
        <w:t>el</w:t>
      </w:r>
      <w:r>
        <w:rPr>
          <w:spacing w:val="-10"/>
          <w:sz w:val="22"/>
        </w:rPr>
        <w:t> </w:t>
      </w:r>
      <w:r>
        <w:rPr>
          <w:sz w:val="22"/>
        </w:rPr>
        <w:t>Ministerio</w:t>
      </w:r>
      <w:r>
        <w:rPr>
          <w:spacing w:val="-5"/>
          <w:sz w:val="22"/>
        </w:rPr>
        <w:t> </w:t>
      </w:r>
      <w:r>
        <w:rPr>
          <w:sz w:val="22"/>
        </w:rPr>
        <w:t>de</w:t>
      </w:r>
      <w:r>
        <w:rPr>
          <w:spacing w:val="-8"/>
          <w:sz w:val="22"/>
        </w:rPr>
        <w:t> </w:t>
      </w:r>
      <w:r>
        <w:rPr>
          <w:sz w:val="22"/>
        </w:rPr>
        <w:t>Agricultura</w:t>
      </w:r>
      <w:r>
        <w:rPr>
          <w:spacing w:val="-7"/>
          <w:sz w:val="22"/>
        </w:rPr>
        <w:t> </w:t>
      </w:r>
      <w:r>
        <w:rPr>
          <w:sz w:val="22"/>
        </w:rPr>
        <w:t>y</w:t>
      </w:r>
      <w:r>
        <w:rPr>
          <w:spacing w:val="-5"/>
          <w:sz w:val="22"/>
        </w:rPr>
        <w:t> </w:t>
      </w:r>
      <w:r>
        <w:rPr>
          <w:sz w:val="22"/>
        </w:rPr>
        <w:t>Ganadería</w:t>
      </w:r>
      <w:r>
        <w:rPr>
          <w:spacing w:val="-7"/>
          <w:sz w:val="22"/>
        </w:rPr>
        <w:t> </w:t>
      </w:r>
      <w:r>
        <w:rPr>
          <w:sz w:val="22"/>
        </w:rPr>
        <w:t>(MAG),</w:t>
      </w:r>
      <w:r>
        <w:rPr>
          <w:spacing w:val="-4"/>
          <w:sz w:val="22"/>
        </w:rPr>
        <w:t> </w:t>
      </w:r>
      <w:r>
        <w:rPr>
          <w:sz w:val="22"/>
        </w:rPr>
        <w:t>Fecha</w:t>
      </w:r>
      <w:r>
        <w:rPr>
          <w:spacing w:val="-5"/>
          <w:sz w:val="22"/>
        </w:rPr>
        <w:t> </w:t>
      </w:r>
      <w:r>
        <w:rPr>
          <w:sz w:val="22"/>
        </w:rPr>
        <w:t>de</w:t>
      </w:r>
      <w:r>
        <w:rPr>
          <w:spacing w:val="-5"/>
          <w:sz w:val="22"/>
        </w:rPr>
        <w:t> </w:t>
      </w:r>
      <w:r>
        <w:rPr>
          <w:sz w:val="22"/>
        </w:rPr>
        <w:t>Vigencia: </w:t>
      </w:r>
      <w:r>
        <w:rPr>
          <w:spacing w:val="-2"/>
          <w:sz w:val="22"/>
        </w:rPr>
        <w:t>08/06/2026.</w:t>
      </w:r>
    </w:p>
    <w:p>
      <w:pPr>
        <w:pStyle w:val="BodyText"/>
        <w:spacing w:before="251"/>
        <w:ind w:left="1625" w:right="1603"/>
        <w:jc w:val="both"/>
      </w:pPr>
      <w:r>
        <w:rPr>
          <w:b/>
        </w:rPr>
        <w:t>Ley</w:t>
      </w:r>
      <w:r>
        <w:rPr>
          <w:b/>
          <w:spacing w:val="-12"/>
        </w:rPr>
        <w:t> </w:t>
      </w:r>
      <w:r>
        <w:rPr>
          <w:b/>
        </w:rPr>
        <w:t>Concursal</w:t>
      </w:r>
      <w:r>
        <w:rPr>
          <w:b/>
          <w:spacing w:val="-13"/>
        </w:rPr>
        <w:t> </w:t>
      </w:r>
      <w:r>
        <w:rPr>
          <w:b/>
        </w:rPr>
        <w:t>de</w:t>
      </w:r>
      <w:r>
        <w:rPr>
          <w:b/>
          <w:spacing w:val="-13"/>
        </w:rPr>
        <w:t> </w:t>
      </w:r>
      <w:r>
        <w:rPr>
          <w:b/>
        </w:rPr>
        <w:t>Costa</w:t>
      </w:r>
      <w:r>
        <w:rPr>
          <w:b/>
          <w:spacing w:val="-12"/>
        </w:rPr>
        <w:t> </w:t>
      </w:r>
      <w:r>
        <w:rPr>
          <w:b/>
        </w:rPr>
        <w:t>Rica,</w:t>
      </w:r>
      <w:r>
        <w:rPr>
          <w:b/>
          <w:spacing w:val="-13"/>
        </w:rPr>
        <w:t> </w:t>
      </w:r>
      <w:r>
        <w:rPr>
          <w:b/>
        </w:rPr>
        <w:t>N°</w:t>
      </w:r>
      <w:r>
        <w:rPr>
          <w:b/>
          <w:spacing w:val="-14"/>
        </w:rPr>
        <w:t> </w:t>
      </w:r>
      <w:r>
        <w:rPr>
          <w:b/>
        </w:rPr>
        <w:t>9957.</w:t>
      </w:r>
      <w:r>
        <w:rPr>
          <w:b/>
          <w:spacing w:val="-12"/>
        </w:rPr>
        <w:t> </w:t>
      </w:r>
      <w:r>
        <w:rPr/>
        <w:t>Esta</w:t>
      </w:r>
      <w:r>
        <w:rPr>
          <w:spacing w:val="-15"/>
        </w:rPr>
        <w:t> </w:t>
      </w:r>
      <w:r>
        <w:rPr/>
        <w:t>ley</w:t>
      </w:r>
      <w:r>
        <w:rPr>
          <w:spacing w:val="-15"/>
        </w:rPr>
        <w:t> </w:t>
      </w:r>
      <w:r>
        <w:rPr/>
        <w:t>tiene</w:t>
      </w:r>
      <w:r>
        <w:rPr>
          <w:spacing w:val="-12"/>
        </w:rPr>
        <w:t> </w:t>
      </w:r>
      <w:r>
        <w:rPr/>
        <w:t>por</w:t>
      </w:r>
      <w:r>
        <w:rPr>
          <w:spacing w:val="-14"/>
        </w:rPr>
        <w:t> </w:t>
      </w:r>
      <w:r>
        <w:rPr/>
        <w:t>finalidad</w:t>
      </w:r>
      <w:r>
        <w:rPr>
          <w:spacing w:val="-12"/>
        </w:rPr>
        <w:t> </w:t>
      </w:r>
      <w:r>
        <w:rPr/>
        <w:t>determinar</w:t>
      </w:r>
      <w:r>
        <w:rPr>
          <w:spacing w:val="-11"/>
        </w:rPr>
        <w:t> </w:t>
      </w:r>
      <w:r>
        <w:rPr/>
        <w:t>y</w:t>
      </w:r>
      <w:r>
        <w:rPr>
          <w:spacing w:val="-14"/>
        </w:rPr>
        <w:t> </w:t>
      </w:r>
      <w:r>
        <w:rPr/>
        <w:t>ejecutar soluciones justas y funcionales a las crisis patrimoniales de deudores privados contemplados en ella, que les impida el 14/04/2021.</w:t>
      </w:r>
    </w:p>
    <w:p>
      <w:pPr>
        <w:pStyle w:val="BodyText"/>
        <w:spacing w:before="1"/>
      </w:pPr>
    </w:p>
    <w:p>
      <w:pPr>
        <w:pStyle w:val="Heading5"/>
        <w:numPr>
          <w:ilvl w:val="2"/>
          <w:numId w:val="4"/>
        </w:numPr>
        <w:tabs>
          <w:tab w:pos="2176" w:val="left" w:leader="none"/>
        </w:tabs>
        <w:spacing w:line="240" w:lineRule="auto" w:before="0" w:after="0"/>
        <w:ind w:left="2176" w:right="0" w:hanging="551"/>
        <w:jc w:val="left"/>
      </w:pPr>
      <w:r>
        <w:rPr>
          <w:spacing w:val="-2"/>
        </w:rPr>
        <w:t>Decretos</w:t>
      </w:r>
    </w:p>
    <w:p>
      <w:pPr>
        <w:pStyle w:val="BodyText"/>
        <w:spacing w:before="1"/>
        <w:rPr>
          <w:b/>
        </w:rPr>
      </w:pPr>
    </w:p>
    <w:p>
      <w:pPr>
        <w:spacing w:before="0"/>
        <w:ind w:left="1625" w:right="1605" w:firstLine="0"/>
        <w:jc w:val="both"/>
        <w:rPr>
          <w:sz w:val="22"/>
        </w:rPr>
      </w:pPr>
      <w:r>
        <w:rPr>
          <w:b/>
          <w:sz w:val="22"/>
        </w:rPr>
        <w:t>Decreto N° 21391-TSS-MEP-S Creación del Programa Microempresas Atención Infantil Hogares Comunitarios</w:t>
      </w:r>
      <w:r>
        <w:rPr>
          <w:sz w:val="22"/>
        </w:rPr>
        <w:t>. Crea el Programa de Microempresas para la Atención Infantil:</w:t>
      </w:r>
      <w:r>
        <w:rPr>
          <w:spacing w:val="-11"/>
          <w:sz w:val="22"/>
        </w:rPr>
        <w:t> </w:t>
      </w:r>
      <w:r>
        <w:rPr>
          <w:sz w:val="22"/>
        </w:rPr>
        <w:t>Hogares</w:t>
      </w:r>
      <w:r>
        <w:rPr>
          <w:spacing w:val="-12"/>
          <w:sz w:val="22"/>
        </w:rPr>
        <w:t> </w:t>
      </w:r>
      <w:r>
        <w:rPr>
          <w:sz w:val="22"/>
        </w:rPr>
        <w:t>Comunitarios,</w:t>
      </w:r>
      <w:r>
        <w:rPr>
          <w:spacing w:val="-13"/>
          <w:sz w:val="22"/>
        </w:rPr>
        <w:t> </w:t>
      </w:r>
      <w:r>
        <w:rPr>
          <w:sz w:val="22"/>
        </w:rPr>
        <w:t>cuya</w:t>
      </w:r>
      <w:r>
        <w:rPr>
          <w:spacing w:val="-15"/>
          <w:sz w:val="22"/>
        </w:rPr>
        <w:t> </w:t>
      </w:r>
      <w:r>
        <w:rPr>
          <w:sz w:val="22"/>
        </w:rPr>
        <w:t>ejecución</w:t>
      </w:r>
      <w:r>
        <w:rPr>
          <w:spacing w:val="-15"/>
          <w:sz w:val="22"/>
        </w:rPr>
        <w:t> </w:t>
      </w:r>
      <w:r>
        <w:rPr>
          <w:sz w:val="22"/>
        </w:rPr>
        <w:t>estará</w:t>
      </w:r>
      <w:r>
        <w:rPr>
          <w:spacing w:val="-12"/>
          <w:sz w:val="22"/>
        </w:rPr>
        <w:t> </w:t>
      </w:r>
      <w:r>
        <w:rPr>
          <w:sz w:val="22"/>
        </w:rPr>
        <w:t>a</w:t>
      </w:r>
      <w:r>
        <w:rPr>
          <w:spacing w:val="-15"/>
          <w:sz w:val="22"/>
        </w:rPr>
        <w:t> </w:t>
      </w:r>
      <w:r>
        <w:rPr>
          <w:sz w:val="22"/>
        </w:rPr>
        <w:t>cargo</w:t>
      </w:r>
      <w:r>
        <w:rPr>
          <w:spacing w:val="-13"/>
          <w:sz w:val="22"/>
        </w:rPr>
        <w:t> </w:t>
      </w:r>
      <w:r>
        <w:rPr>
          <w:sz w:val="22"/>
        </w:rPr>
        <w:t>del</w:t>
      </w:r>
      <w:r>
        <w:rPr>
          <w:spacing w:val="-15"/>
          <w:sz w:val="22"/>
        </w:rPr>
        <w:t> </w:t>
      </w:r>
      <w:r>
        <w:rPr>
          <w:sz w:val="22"/>
        </w:rPr>
        <w:t>Instituto</w:t>
      </w:r>
      <w:r>
        <w:rPr>
          <w:spacing w:val="-15"/>
          <w:sz w:val="22"/>
        </w:rPr>
        <w:t> </w:t>
      </w:r>
      <w:r>
        <w:rPr>
          <w:sz w:val="22"/>
        </w:rPr>
        <w:t>Mixto</w:t>
      </w:r>
      <w:r>
        <w:rPr>
          <w:spacing w:val="-15"/>
          <w:sz w:val="22"/>
        </w:rPr>
        <w:t> </w:t>
      </w:r>
      <w:r>
        <w:rPr>
          <w:sz w:val="22"/>
        </w:rPr>
        <w:t>de</w:t>
      </w:r>
      <w:r>
        <w:rPr>
          <w:spacing w:val="-13"/>
          <w:sz w:val="22"/>
        </w:rPr>
        <w:t> </w:t>
      </w:r>
      <w:r>
        <w:rPr>
          <w:sz w:val="22"/>
        </w:rPr>
        <w:t>Ayuda Social</w:t>
      </w:r>
      <w:r>
        <w:rPr>
          <w:spacing w:val="-3"/>
          <w:sz w:val="22"/>
        </w:rPr>
        <w:t> </w:t>
      </w:r>
      <w:r>
        <w:rPr>
          <w:sz w:val="22"/>
        </w:rPr>
        <w:t>con</w:t>
      </w:r>
      <w:r>
        <w:rPr>
          <w:spacing w:val="-2"/>
          <w:sz w:val="22"/>
        </w:rPr>
        <w:t> </w:t>
      </w:r>
      <w:r>
        <w:rPr>
          <w:sz w:val="22"/>
        </w:rPr>
        <w:t>la</w:t>
      </w:r>
      <w:r>
        <w:rPr>
          <w:spacing w:val="-3"/>
          <w:sz w:val="22"/>
        </w:rPr>
        <w:t> </w:t>
      </w:r>
      <w:r>
        <w:rPr>
          <w:sz w:val="22"/>
        </w:rPr>
        <w:t>participación</w:t>
      </w:r>
      <w:r>
        <w:rPr>
          <w:spacing w:val="-2"/>
          <w:sz w:val="22"/>
        </w:rPr>
        <w:t> </w:t>
      </w:r>
      <w:r>
        <w:rPr>
          <w:sz w:val="22"/>
        </w:rPr>
        <w:t>de</w:t>
      </w:r>
      <w:r>
        <w:rPr>
          <w:spacing w:val="-3"/>
          <w:sz w:val="22"/>
        </w:rPr>
        <w:t> </w:t>
      </w:r>
      <w:r>
        <w:rPr>
          <w:sz w:val="22"/>
        </w:rPr>
        <w:t>los</w:t>
      </w:r>
      <w:r>
        <w:rPr>
          <w:spacing w:val="-4"/>
          <w:sz w:val="22"/>
        </w:rPr>
        <w:t> </w:t>
      </w:r>
      <w:r>
        <w:rPr>
          <w:sz w:val="22"/>
        </w:rPr>
        <w:t>sectores</w:t>
      </w:r>
      <w:r>
        <w:rPr>
          <w:spacing w:val="-2"/>
          <w:sz w:val="22"/>
        </w:rPr>
        <w:t> </w:t>
      </w:r>
      <w:r>
        <w:rPr>
          <w:sz w:val="22"/>
        </w:rPr>
        <w:t>público</w:t>
      </w:r>
      <w:r>
        <w:rPr>
          <w:spacing w:val="-4"/>
          <w:sz w:val="22"/>
        </w:rPr>
        <w:t> </w:t>
      </w:r>
      <w:r>
        <w:rPr>
          <w:sz w:val="22"/>
        </w:rPr>
        <w:t>y</w:t>
      </w:r>
      <w:r>
        <w:rPr>
          <w:spacing w:val="-2"/>
          <w:sz w:val="22"/>
        </w:rPr>
        <w:t> </w:t>
      </w:r>
      <w:r>
        <w:rPr>
          <w:sz w:val="22"/>
        </w:rPr>
        <w:t>privado</w:t>
      </w:r>
      <w:r>
        <w:rPr>
          <w:spacing w:val="-2"/>
          <w:sz w:val="22"/>
        </w:rPr>
        <w:t> </w:t>
      </w:r>
      <w:r>
        <w:rPr>
          <w:sz w:val="22"/>
        </w:rPr>
        <w:t>y</w:t>
      </w:r>
      <w:r>
        <w:rPr>
          <w:spacing w:val="-3"/>
          <w:sz w:val="22"/>
        </w:rPr>
        <w:t> </w:t>
      </w:r>
      <w:r>
        <w:rPr>
          <w:sz w:val="22"/>
        </w:rPr>
        <w:t>con</w:t>
      </w:r>
      <w:r>
        <w:rPr>
          <w:spacing w:val="-2"/>
          <w:sz w:val="22"/>
        </w:rPr>
        <w:t> </w:t>
      </w:r>
      <w:r>
        <w:rPr>
          <w:sz w:val="22"/>
        </w:rPr>
        <w:t>sujeción</w:t>
      </w:r>
      <w:r>
        <w:rPr>
          <w:spacing w:val="-4"/>
          <w:sz w:val="22"/>
        </w:rPr>
        <w:t> </w:t>
      </w:r>
      <w:r>
        <w:rPr>
          <w:sz w:val="22"/>
        </w:rPr>
        <w:t>a</w:t>
      </w:r>
      <w:r>
        <w:rPr>
          <w:spacing w:val="-2"/>
          <w:sz w:val="22"/>
        </w:rPr>
        <w:t> </w:t>
      </w:r>
      <w:r>
        <w:rPr>
          <w:sz w:val="22"/>
        </w:rPr>
        <w:t>las</w:t>
      </w:r>
      <w:r>
        <w:rPr>
          <w:spacing w:val="-2"/>
          <w:sz w:val="22"/>
        </w:rPr>
        <w:t> </w:t>
      </w:r>
      <w:r>
        <w:rPr>
          <w:sz w:val="22"/>
        </w:rPr>
        <w:t>políticas</w:t>
      </w:r>
    </w:p>
    <w:p>
      <w:pPr>
        <w:spacing w:after="0"/>
        <w:jc w:val="both"/>
        <w:rPr>
          <w:sz w:val="22"/>
        </w:rPr>
        <w:sectPr>
          <w:pgSz w:w="12240" w:h="15840"/>
          <w:pgMar w:header="0" w:footer="1576" w:top="1000" w:bottom="1760" w:left="360" w:right="0"/>
        </w:sectPr>
      </w:pPr>
    </w:p>
    <w:p>
      <w:pPr>
        <w:pStyle w:val="BodyText"/>
        <w:spacing w:before="77"/>
        <w:ind w:left="1625" w:right="1603"/>
        <w:jc w:val="both"/>
      </w:pPr>
      <w:r>
        <w:rPr/>
        <w:t>de</w:t>
      </w:r>
      <w:r>
        <w:rPr>
          <w:spacing w:val="-5"/>
        </w:rPr>
        <w:t> </w:t>
      </w:r>
      <w:r>
        <w:rPr/>
        <w:t>Bienestar</w:t>
      </w:r>
      <w:r>
        <w:rPr>
          <w:spacing w:val="-6"/>
        </w:rPr>
        <w:t> </w:t>
      </w:r>
      <w:r>
        <w:rPr/>
        <w:t>Social</w:t>
      </w:r>
      <w:r>
        <w:rPr>
          <w:spacing w:val="-6"/>
        </w:rPr>
        <w:t> </w:t>
      </w:r>
      <w:r>
        <w:rPr/>
        <w:t>del</w:t>
      </w:r>
      <w:r>
        <w:rPr>
          <w:spacing w:val="-8"/>
        </w:rPr>
        <w:t> </w:t>
      </w:r>
      <w:r>
        <w:rPr/>
        <w:t>Gobierno</w:t>
      </w:r>
      <w:r>
        <w:rPr>
          <w:spacing w:val="-7"/>
        </w:rPr>
        <w:t> </w:t>
      </w:r>
      <w:r>
        <w:rPr/>
        <w:t>de</w:t>
      </w:r>
      <w:r>
        <w:rPr>
          <w:spacing w:val="-5"/>
        </w:rPr>
        <w:t> </w:t>
      </w:r>
      <w:r>
        <w:rPr/>
        <w:t>la</w:t>
      </w:r>
      <w:r>
        <w:rPr>
          <w:spacing w:val="-7"/>
        </w:rPr>
        <w:t> </w:t>
      </w:r>
      <w:r>
        <w:rPr/>
        <w:t>República,</w:t>
      </w:r>
      <w:r>
        <w:rPr>
          <w:spacing w:val="-6"/>
        </w:rPr>
        <w:t> </w:t>
      </w:r>
      <w:r>
        <w:rPr/>
        <w:t>IMAS</w:t>
      </w:r>
      <w:r>
        <w:rPr>
          <w:spacing w:val="-8"/>
        </w:rPr>
        <w:t> </w:t>
      </w:r>
      <w:r>
        <w:rPr/>
        <w:t>como</w:t>
      </w:r>
      <w:r>
        <w:rPr>
          <w:spacing w:val="-5"/>
        </w:rPr>
        <w:t> </w:t>
      </w:r>
      <w:r>
        <w:rPr/>
        <w:t>encargado</w:t>
      </w:r>
      <w:r>
        <w:rPr>
          <w:spacing w:val="-5"/>
        </w:rPr>
        <w:t> </w:t>
      </w:r>
      <w:r>
        <w:rPr/>
        <w:t>de</w:t>
      </w:r>
      <w:r>
        <w:rPr>
          <w:spacing w:val="-5"/>
        </w:rPr>
        <w:t> </w:t>
      </w:r>
      <w:r>
        <w:rPr/>
        <w:t>la</w:t>
      </w:r>
      <w:r>
        <w:rPr>
          <w:spacing w:val="-7"/>
        </w:rPr>
        <w:t> </w:t>
      </w:r>
      <w:r>
        <w:rPr/>
        <w:t>ejecución del programa. Fecha de vigencia 05/08/1992.</w:t>
      </w:r>
    </w:p>
    <w:p>
      <w:pPr>
        <w:pStyle w:val="BodyText"/>
      </w:pPr>
    </w:p>
    <w:p>
      <w:pPr>
        <w:spacing w:before="0"/>
        <w:ind w:left="1625" w:right="1605" w:firstLine="0"/>
        <w:jc w:val="both"/>
        <w:rPr>
          <w:sz w:val="22"/>
        </w:rPr>
      </w:pPr>
      <w:r>
        <w:rPr>
          <w:b/>
          <w:sz w:val="22"/>
        </w:rPr>
        <w:t>Decreto N°23669-H Normas para la Aplicación de la Dedicación Exclusiva para Instituciones y Empresas Públicas Cubiertas por el Ámbito de la Autoridad Presupuestaria. </w:t>
      </w:r>
      <w:r>
        <w:rPr>
          <w:sz w:val="22"/>
        </w:rPr>
        <w:t>Establece requisitos para devengar rubros por concepto</w:t>
      </w:r>
      <w:r>
        <w:rPr>
          <w:spacing w:val="-1"/>
          <w:sz w:val="22"/>
        </w:rPr>
        <w:t> </w:t>
      </w:r>
      <w:r>
        <w:rPr>
          <w:sz w:val="22"/>
        </w:rPr>
        <w:t>de dedicación exclusiva, Atañe a toda la Administración Pública. Fecha de vigencia 31/01/1994.</w:t>
      </w:r>
    </w:p>
    <w:p>
      <w:pPr>
        <w:pStyle w:val="BodyText"/>
      </w:pPr>
    </w:p>
    <w:p>
      <w:pPr>
        <w:spacing w:before="0"/>
        <w:ind w:left="1625" w:right="1603" w:firstLine="0"/>
        <w:jc w:val="both"/>
        <w:rPr>
          <w:sz w:val="22"/>
        </w:rPr>
      </w:pPr>
      <w:r>
        <w:rPr>
          <w:b/>
          <w:sz w:val="22"/>
        </w:rPr>
        <w:t>Decreto N° 26831-MP-MEP. Reglamento Ley de Igualdad de Oportunidades para Personas con Discapacidad. </w:t>
      </w:r>
      <w:r>
        <w:rPr>
          <w:sz w:val="22"/>
        </w:rPr>
        <w:t>Establece normas y procedimientos de obligatoria observancia para todas las instituciones públicas, privadas y gobiernos locales, quienes serán responsables de garantizar a las personas con discapacidad el ejercicio de sus derechos y deberes en igualdad de oportunidades. Fecha de vigencia 20/04/1998.</w:t>
      </w:r>
    </w:p>
    <w:p>
      <w:pPr>
        <w:spacing w:line="252" w:lineRule="exact" w:before="0"/>
        <w:ind w:left="1625" w:right="0" w:firstLine="0"/>
        <w:jc w:val="both"/>
        <w:rPr>
          <w:b/>
          <w:sz w:val="22"/>
        </w:rPr>
      </w:pPr>
      <w:r>
        <w:rPr>
          <w:b/>
          <w:sz w:val="22"/>
        </w:rPr>
        <w:t>Decreto</w:t>
      </w:r>
      <w:r>
        <w:rPr>
          <w:b/>
          <w:spacing w:val="29"/>
          <w:sz w:val="22"/>
        </w:rPr>
        <w:t> </w:t>
      </w:r>
      <w:r>
        <w:rPr>
          <w:b/>
          <w:sz w:val="22"/>
        </w:rPr>
        <w:t>N°28593-MTSS.</w:t>
      </w:r>
      <w:r>
        <w:rPr>
          <w:b/>
          <w:spacing w:val="32"/>
          <w:sz w:val="22"/>
        </w:rPr>
        <w:t> </w:t>
      </w:r>
      <w:r>
        <w:rPr>
          <w:b/>
          <w:sz w:val="22"/>
        </w:rPr>
        <w:t>Modifica</w:t>
      </w:r>
      <w:r>
        <w:rPr>
          <w:b/>
          <w:spacing w:val="31"/>
          <w:sz w:val="22"/>
        </w:rPr>
        <w:t> </w:t>
      </w:r>
      <w:r>
        <w:rPr>
          <w:b/>
          <w:sz w:val="22"/>
        </w:rPr>
        <w:t>el</w:t>
      </w:r>
      <w:r>
        <w:rPr>
          <w:b/>
          <w:spacing w:val="32"/>
          <w:sz w:val="22"/>
        </w:rPr>
        <w:t> </w:t>
      </w:r>
      <w:r>
        <w:rPr>
          <w:b/>
          <w:sz w:val="22"/>
        </w:rPr>
        <w:t>Reglamento</w:t>
      </w:r>
      <w:r>
        <w:rPr>
          <w:b/>
          <w:spacing w:val="32"/>
          <w:sz w:val="22"/>
        </w:rPr>
        <w:t> </w:t>
      </w:r>
      <w:r>
        <w:rPr>
          <w:b/>
          <w:sz w:val="22"/>
        </w:rPr>
        <w:t>a</w:t>
      </w:r>
      <w:r>
        <w:rPr>
          <w:b/>
          <w:spacing w:val="31"/>
          <w:sz w:val="22"/>
        </w:rPr>
        <w:t> </w:t>
      </w:r>
      <w:r>
        <w:rPr>
          <w:b/>
          <w:sz w:val="22"/>
        </w:rPr>
        <w:t>la</w:t>
      </w:r>
      <w:r>
        <w:rPr>
          <w:b/>
          <w:spacing w:val="29"/>
          <w:sz w:val="22"/>
        </w:rPr>
        <w:t> </w:t>
      </w:r>
      <w:r>
        <w:rPr>
          <w:b/>
          <w:sz w:val="22"/>
        </w:rPr>
        <w:t>Ley</w:t>
      </w:r>
      <w:r>
        <w:rPr>
          <w:b/>
          <w:spacing w:val="32"/>
          <w:sz w:val="22"/>
        </w:rPr>
        <w:t> </w:t>
      </w:r>
      <w:r>
        <w:rPr>
          <w:b/>
          <w:sz w:val="22"/>
        </w:rPr>
        <w:t>de</w:t>
      </w:r>
      <w:r>
        <w:rPr>
          <w:b/>
          <w:spacing w:val="31"/>
          <w:sz w:val="22"/>
        </w:rPr>
        <w:t> </w:t>
      </w:r>
      <w:r>
        <w:rPr>
          <w:b/>
          <w:sz w:val="22"/>
        </w:rPr>
        <w:t>Creación</w:t>
      </w:r>
      <w:r>
        <w:rPr>
          <w:b/>
          <w:spacing w:val="31"/>
          <w:sz w:val="22"/>
        </w:rPr>
        <w:t> </w:t>
      </w:r>
      <w:r>
        <w:rPr>
          <w:b/>
          <w:sz w:val="22"/>
        </w:rPr>
        <w:t>del</w:t>
      </w:r>
      <w:r>
        <w:rPr>
          <w:b/>
          <w:spacing w:val="31"/>
          <w:sz w:val="22"/>
        </w:rPr>
        <w:t> </w:t>
      </w:r>
      <w:r>
        <w:rPr>
          <w:b/>
          <w:spacing w:val="-2"/>
          <w:sz w:val="22"/>
        </w:rPr>
        <w:t>IMAS.</w:t>
      </w:r>
    </w:p>
    <w:p>
      <w:pPr>
        <w:pStyle w:val="BodyText"/>
        <w:spacing w:line="252" w:lineRule="exact"/>
        <w:ind w:left="1625"/>
        <w:jc w:val="both"/>
      </w:pPr>
      <w:r>
        <w:rPr/>
        <w:t>Incorpora</w:t>
      </w:r>
      <w:r>
        <w:rPr>
          <w:spacing w:val="-8"/>
        </w:rPr>
        <w:t> </w:t>
      </w:r>
      <w:r>
        <w:rPr/>
        <w:t>cargo</w:t>
      </w:r>
      <w:r>
        <w:rPr>
          <w:spacing w:val="-5"/>
        </w:rPr>
        <w:t> </w:t>
      </w:r>
      <w:r>
        <w:rPr/>
        <w:t>de</w:t>
      </w:r>
      <w:r>
        <w:rPr>
          <w:spacing w:val="-10"/>
        </w:rPr>
        <w:t> </w:t>
      </w:r>
      <w:r>
        <w:rPr/>
        <w:t>Gerente</w:t>
      </w:r>
      <w:r>
        <w:rPr>
          <w:spacing w:val="-6"/>
        </w:rPr>
        <w:t> </w:t>
      </w:r>
      <w:r>
        <w:rPr/>
        <w:t>General.</w:t>
      </w:r>
      <w:r>
        <w:rPr>
          <w:spacing w:val="-7"/>
        </w:rPr>
        <w:t> </w:t>
      </w:r>
      <w:r>
        <w:rPr/>
        <w:t>Fecha</w:t>
      </w:r>
      <w:r>
        <w:rPr>
          <w:spacing w:val="-7"/>
        </w:rPr>
        <w:t> </w:t>
      </w:r>
      <w:r>
        <w:rPr/>
        <w:t>de</w:t>
      </w:r>
      <w:r>
        <w:rPr>
          <w:spacing w:val="-5"/>
        </w:rPr>
        <w:t> </w:t>
      </w:r>
      <w:r>
        <w:rPr/>
        <w:t>vigencia</w:t>
      </w:r>
      <w:r>
        <w:rPr>
          <w:spacing w:val="-5"/>
        </w:rPr>
        <w:t> </w:t>
      </w:r>
      <w:r>
        <w:rPr>
          <w:spacing w:val="-2"/>
        </w:rPr>
        <w:t>02/05/2000.</w:t>
      </w:r>
    </w:p>
    <w:p>
      <w:pPr>
        <w:pStyle w:val="BodyText"/>
        <w:spacing w:before="1"/>
      </w:pPr>
    </w:p>
    <w:p>
      <w:pPr>
        <w:spacing w:before="0"/>
        <w:ind w:left="1625" w:right="1600" w:firstLine="0"/>
        <w:jc w:val="both"/>
        <w:rPr>
          <w:sz w:val="22"/>
        </w:rPr>
      </w:pPr>
      <w:r>
        <w:rPr>
          <w:b/>
          <w:sz w:val="22"/>
        </w:rPr>
        <w:t>Decreto N°28807-MTSS. Modifica el Reglamento a la Ley de Creación del IMAS. </w:t>
      </w:r>
      <w:r>
        <w:rPr>
          <w:sz w:val="22"/>
        </w:rPr>
        <w:t>Establece que la persona que ocupe el cargo de Gerente General es competente para designar los Órganos directores de procedimiento y agotar la vía administrativa. Fecha de vigencia 30/08/2000.</w:t>
      </w:r>
    </w:p>
    <w:p>
      <w:pPr>
        <w:pStyle w:val="BodyText"/>
      </w:pPr>
    </w:p>
    <w:p>
      <w:pPr>
        <w:spacing w:before="0"/>
        <w:ind w:left="1625" w:right="1603" w:firstLine="0"/>
        <w:jc w:val="both"/>
        <w:rPr>
          <w:sz w:val="22"/>
        </w:rPr>
      </w:pPr>
      <w:r>
        <w:rPr>
          <w:b/>
          <w:sz w:val="22"/>
        </w:rPr>
        <w:t>Decreto N°29531 MTSS. Reglamento a la ley N°4760 y sus reformas y a las leyes N°7083, 7151 y 7154 para el Otorgamiento de escrituras de propiedad a los Adjudicados de proyectos de vivienda del IMAS. </w:t>
      </w:r>
      <w:r>
        <w:rPr>
          <w:sz w:val="22"/>
        </w:rPr>
        <w:t>Regula la titulación de los lotes y viviendas adjudicadas por el Instituto Mixto de Ayuda Social, a los beneficiarios de sus proyectos de vivienda, Establece parámetros y requisitos necesarios para titular lotes y viviendas del IMAS y sus reformas. Fecha de vigencia 12/07/2001.</w:t>
      </w:r>
    </w:p>
    <w:p>
      <w:pPr>
        <w:pStyle w:val="BodyText"/>
      </w:pPr>
    </w:p>
    <w:p>
      <w:pPr>
        <w:spacing w:before="0"/>
        <w:ind w:left="1625" w:right="1603" w:firstLine="0"/>
        <w:jc w:val="both"/>
        <w:rPr>
          <w:sz w:val="22"/>
        </w:rPr>
      </w:pPr>
      <w:r>
        <w:rPr>
          <w:b/>
          <w:sz w:val="22"/>
        </w:rPr>
        <w:t>Decreto N°30695-H Normas para la Habilitación de Hogares Comunitarios</w:t>
      </w:r>
      <w:r>
        <w:rPr>
          <w:sz w:val="22"/>
        </w:rPr>
        <w:t>. Tiene como objeto especificar las condiciones y requisitos que deben cumplir los Hogares comunitarios, que brindan atención integral a los niños y niñas, el IMAS determina la población objetivo, según los parámetros de medición de la pobreza. Fecha de vigencia </w:t>
      </w:r>
      <w:r>
        <w:rPr>
          <w:spacing w:val="-2"/>
          <w:sz w:val="22"/>
        </w:rPr>
        <w:t>23/09/2002.</w:t>
      </w:r>
    </w:p>
    <w:p>
      <w:pPr>
        <w:pStyle w:val="BodyText"/>
        <w:spacing w:before="2"/>
      </w:pPr>
    </w:p>
    <w:p>
      <w:pPr>
        <w:spacing w:before="0"/>
        <w:ind w:left="1625" w:right="1602" w:firstLine="0"/>
        <w:jc w:val="both"/>
        <w:rPr>
          <w:sz w:val="22"/>
        </w:rPr>
      </w:pPr>
      <w:r>
        <w:rPr>
          <w:b/>
          <w:sz w:val="22"/>
        </w:rPr>
        <w:t>Decreto N°32511-H</w:t>
      </w:r>
      <w:r>
        <w:rPr>
          <w:b/>
          <w:spacing w:val="-1"/>
          <w:sz w:val="22"/>
        </w:rPr>
        <w:t> </w:t>
      </w:r>
      <w:r>
        <w:rPr>
          <w:b/>
          <w:sz w:val="22"/>
        </w:rPr>
        <w:t>Declara en</w:t>
      </w:r>
      <w:r>
        <w:rPr>
          <w:b/>
          <w:spacing w:val="-2"/>
          <w:sz w:val="22"/>
        </w:rPr>
        <w:t> </w:t>
      </w:r>
      <w:r>
        <w:rPr>
          <w:b/>
          <w:sz w:val="22"/>
        </w:rPr>
        <w:t>situación de</w:t>
      </w:r>
      <w:r>
        <w:rPr>
          <w:b/>
          <w:spacing w:val="-2"/>
          <w:sz w:val="22"/>
        </w:rPr>
        <w:t> </w:t>
      </w:r>
      <w:r>
        <w:rPr>
          <w:b/>
          <w:sz w:val="22"/>
        </w:rPr>
        <w:t>pobreza coyuntural</w:t>
      </w:r>
      <w:r>
        <w:rPr>
          <w:b/>
          <w:spacing w:val="-3"/>
          <w:sz w:val="22"/>
        </w:rPr>
        <w:t> </w:t>
      </w:r>
      <w:r>
        <w:rPr>
          <w:b/>
          <w:sz w:val="22"/>
        </w:rPr>
        <w:t>la condición</w:t>
      </w:r>
      <w:r>
        <w:rPr>
          <w:b/>
          <w:spacing w:val="-2"/>
          <w:sz w:val="22"/>
        </w:rPr>
        <w:t> </w:t>
      </w:r>
      <w:r>
        <w:rPr>
          <w:b/>
          <w:sz w:val="22"/>
        </w:rPr>
        <w:t>de</w:t>
      </w:r>
      <w:r>
        <w:rPr>
          <w:b/>
          <w:spacing w:val="-2"/>
          <w:sz w:val="22"/>
        </w:rPr>
        <w:t> </w:t>
      </w:r>
      <w:r>
        <w:rPr>
          <w:b/>
          <w:sz w:val="22"/>
        </w:rPr>
        <w:t>los pescadores y</w:t>
      </w:r>
      <w:r>
        <w:rPr>
          <w:b/>
          <w:spacing w:val="-1"/>
          <w:sz w:val="22"/>
        </w:rPr>
        <w:t> </w:t>
      </w:r>
      <w:r>
        <w:rPr>
          <w:b/>
          <w:sz w:val="22"/>
        </w:rPr>
        <w:t>sus ayudantes acreditados por</w:t>
      </w:r>
      <w:r>
        <w:rPr>
          <w:b/>
          <w:spacing w:val="-2"/>
          <w:sz w:val="22"/>
        </w:rPr>
        <w:t> </w:t>
      </w:r>
      <w:r>
        <w:rPr>
          <w:b/>
          <w:sz w:val="22"/>
        </w:rPr>
        <w:t>el Instituto Costarricense de</w:t>
      </w:r>
      <w:r>
        <w:rPr>
          <w:b/>
          <w:spacing w:val="-1"/>
          <w:sz w:val="22"/>
        </w:rPr>
        <w:t> </w:t>
      </w:r>
      <w:r>
        <w:rPr>
          <w:b/>
          <w:sz w:val="22"/>
        </w:rPr>
        <w:t>Pesca y Acuicultura afectados por la veda</w:t>
      </w:r>
      <w:r>
        <w:rPr>
          <w:sz w:val="22"/>
        </w:rPr>
        <w:t>. Declara en situación de pobreza coyuntural a los pescadores y sus ayudantes debidamente acreditados por el Instituto Costarricense de Pesca y Acuicultura</w:t>
      </w:r>
      <w:r>
        <w:rPr>
          <w:spacing w:val="-2"/>
          <w:sz w:val="22"/>
        </w:rPr>
        <w:t> </w:t>
      </w:r>
      <w:r>
        <w:rPr>
          <w:sz w:val="22"/>
        </w:rPr>
        <w:t>(INCOPESCA) con</w:t>
      </w:r>
      <w:r>
        <w:rPr>
          <w:spacing w:val="-1"/>
          <w:sz w:val="22"/>
        </w:rPr>
        <w:t> </w:t>
      </w:r>
      <w:r>
        <w:rPr>
          <w:sz w:val="22"/>
        </w:rPr>
        <w:t>licencia de pesca</w:t>
      </w:r>
      <w:r>
        <w:rPr>
          <w:spacing w:val="-1"/>
          <w:sz w:val="22"/>
        </w:rPr>
        <w:t> </w:t>
      </w:r>
      <w:r>
        <w:rPr>
          <w:sz w:val="22"/>
        </w:rPr>
        <w:t>vigente, afectados por la</w:t>
      </w:r>
      <w:r>
        <w:rPr>
          <w:spacing w:val="-1"/>
          <w:sz w:val="22"/>
        </w:rPr>
        <w:t> </w:t>
      </w:r>
      <w:r>
        <w:rPr>
          <w:sz w:val="22"/>
        </w:rPr>
        <w:t>veda establecida para el presente año, mediante acuerdo N° JDIP-274-2005 de la Junta Directiva de INCOPESCA; y que carezcan de otros ingresos complementarios. Por consiguiente, se autoriza al Instituto Mixto de Ayuda Social a otorgar beneficios económicos en calidad de subsidios a estas personas, en apego a las condiciones que se establecen en el presente decreto. Fecha de vigencia 01/08/2005.</w:t>
      </w:r>
    </w:p>
    <w:p>
      <w:pPr>
        <w:spacing w:before="253"/>
        <w:ind w:left="1625" w:right="1605" w:firstLine="0"/>
        <w:jc w:val="both"/>
        <w:rPr>
          <w:sz w:val="22"/>
        </w:rPr>
      </w:pPr>
      <w:r>
        <w:rPr>
          <w:b/>
          <w:sz w:val="22"/>
        </w:rPr>
        <w:t>Decreto N°33018-MICITT. Reglamento a la Ley de Certificados, Firmas Digitales y Documentos Electrónicos, y sus reformas</w:t>
      </w:r>
      <w:r>
        <w:rPr>
          <w:sz w:val="22"/>
        </w:rPr>
        <w:t>. Reglamenta y da cumplida ejecución a la Ley de Certificados, Firmas Digitales y Documentos Electrónicos. Fecha de vigencia </w:t>
      </w:r>
      <w:r>
        <w:rPr>
          <w:spacing w:val="-2"/>
          <w:sz w:val="22"/>
        </w:rPr>
        <w:t>21/04/2006.</w:t>
      </w:r>
    </w:p>
    <w:p>
      <w:pPr>
        <w:spacing w:after="0"/>
        <w:jc w:val="both"/>
        <w:rPr>
          <w:sz w:val="22"/>
        </w:rPr>
        <w:sectPr>
          <w:pgSz w:w="12240" w:h="15840"/>
          <w:pgMar w:header="0" w:footer="1576" w:top="1000" w:bottom="1760" w:left="360" w:right="0"/>
        </w:sectPr>
      </w:pPr>
    </w:p>
    <w:p>
      <w:pPr>
        <w:spacing w:before="77"/>
        <w:ind w:left="1625" w:right="1602" w:firstLine="0"/>
        <w:jc w:val="both"/>
        <w:rPr>
          <w:sz w:val="22"/>
        </w:rPr>
      </w:pPr>
      <w:r>
        <w:rPr>
          <w:b/>
          <w:sz w:val="22"/>
        </w:rPr>
        <w:t>Decreto N°33318-H Faculta al Instituto Mixto de Ayuda Social para que Incorpore Oficiosamente</w:t>
      </w:r>
      <w:r>
        <w:rPr>
          <w:b/>
          <w:spacing w:val="-14"/>
          <w:sz w:val="22"/>
        </w:rPr>
        <w:t> </w:t>
      </w:r>
      <w:r>
        <w:rPr>
          <w:b/>
          <w:sz w:val="22"/>
        </w:rPr>
        <w:t>en</w:t>
      </w:r>
      <w:r>
        <w:rPr>
          <w:b/>
          <w:spacing w:val="-13"/>
          <w:sz w:val="22"/>
        </w:rPr>
        <w:t> </w:t>
      </w:r>
      <w:r>
        <w:rPr>
          <w:b/>
          <w:sz w:val="22"/>
        </w:rPr>
        <w:t>el</w:t>
      </w:r>
      <w:r>
        <w:rPr>
          <w:b/>
          <w:spacing w:val="-11"/>
          <w:sz w:val="22"/>
        </w:rPr>
        <w:t> </w:t>
      </w:r>
      <w:r>
        <w:rPr>
          <w:b/>
          <w:sz w:val="22"/>
        </w:rPr>
        <w:t>SIPO</w:t>
      </w:r>
      <w:r>
        <w:rPr>
          <w:b/>
          <w:spacing w:val="-11"/>
          <w:sz w:val="22"/>
        </w:rPr>
        <w:t> </w:t>
      </w:r>
      <w:r>
        <w:rPr>
          <w:b/>
          <w:sz w:val="22"/>
        </w:rPr>
        <w:t>a</w:t>
      </w:r>
      <w:r>
        <w:rPr>
          <w:b/>
          <w:spacing w:val="-15"/>
          <w:sz w:val="22"/>
        </w:rPr>
        <w:t> </w:t>
      </w:r>
      <w:r>
        <w:rPr>
          <w:b/>
          <w:sz w:val="22"/>
        </w:rPr>
        <w:t>Familias</w:t>
      </w:r>
      <w:r>
        <w:rPr>
          <w:b/>
          <w:spacing w:val="-13"/>
          <w:sz w:val="22"/>
        </w:rPr>
        <w:t> </w:t>
      </w:r>
      <w:r>
        <w:rPr>
          <w:b/>
          <w:sz w:val="22"/>
        </w:rPr>
        <w:t>de</w:t>
      </w:r>
      <w:r>
        <w:rPr>
          <w:b/>
          <w:spacing w:val="-15"/>
          <w:sz w:val="22"/>
        </w:rPr>
        <w:t> </w:t>
      </w:r>
      <w:r>
        <w:rPr>
          <w:b/>
          <w:sz w:val="22"/>
        </w:rPr>
        <w:t>Adolescentes</w:t>
      </w:r>
      <w:r>
        <w:rPr>
          <w:b/>
          <w:spacing w:val="-13"/>
          <w:sz w:val="22"/>
        </w:rPr>
        <w:t> </w:t>
      </w:r>
      <w:r>
        <w:rPr>
          <w:b/>
          <w:sz w:val="22"/>
        </w:rPr>
        <w:t>pertenecientes</w:t>
      </w:r>
      <w:r>
        <w:rPr>
          <w:b/>
          <w:spacing w:val="-15"/>
          <w:sz w:val="22"/>
        </w:rPr>
        <w:t> </w:t>
      </w:r>
      <w:r>
        <w:rPr>
          <w:b/>
          <w:sz w:val="22"/>
        </w:rPr>
        <w:t>a</w:t>
      </w:r>
      <w:r>
        <w:rPr>
          <w:b/>
          <w:spacing w:val="-12"/>
          <w:sz w:val="22"/>
        </w:rPr>
        <w:t> </w:t>
      </w:r>
      <w:r>
        <w:rPr>
          <w:b/>
          <w:sz w:val="22"/>
        </w:rPr>
        <w:t>poblaciones indígenas</w:t>
      </w:r>
      <w:r>
        <w:rPr>
          <w:b/>
          <w:spacing w:val="-16"/>
          <w:sz w:val="22"/>
        </w:rPr>
        <w:t> </w:t>
      </w:r>
      <w:r>
        <w:rPr>
          <w:b/>
          <w:sz w:val="22"/>
        </w:rPr>
        <w:t>que</w:t>
      </w:r>
      <w:r>
        <w:rPr>
          <w:b/>
          <w:spacing w:val="-15"/>
          <w:sz w:val="22"/>
        </w:rPr>
        <w:t> </w:t>
      </w:r>
      <w:r>
        <w:rPr>
          <w:b/>
          <w:sz w:val="22"/>
        </w:rPr>
        <w:t>deseen</w:t>
      </w:r>
      <w:r>
        <w:rPr>
          <w:b/>
          <w:spacing w:val="-15"/>
          <w:sz w:val="22"/>
        </w:rPr>
        <w:t> </w:t>
      </w:r>
      <w:r>
        <w:rPr>
          <w:b/>
          <w:sz w:val="22"/>
        </w:rPr>
        <w:t>Participar</w:t>
      </w:r>
      <w:r>
        <w:rPr>
          <w:b/>
          <w:spacing w:val="-16"/>
          <w:sz w:val="22"/>
        </w:rPr>
        <w:t> </w:t>
      </w:r>
      <w:r>
        <w:rPr>
          <w:b/>
          <w:sz w:val="22"/>
        </w:rPr>
        <w:t>como</w:t>
      </w:r>
      <w:r>
        <w:rPr>
          <w:b/>
          <w:spacing w:val="-15"/>
          <w:sz w:val="22"/>
        </w:rPr>
        <w:t> </w:t>
      </w:r>
      <w:r>
        <w:rPr>
          <w:b/>
          <w:sz w:val="22"/>
        </w:rPr>
        <w:t>Beneficiarios</w:t>
      </w:r>
      <w:r>
        <w:rPr>
          <w:b/>
          <w:spacing w:val="-15"/>
          <w:sz w:val="22"/>
        </w:rPr>
        <w:t> </w:t>
      </w:r>
      <w:r>
        <w:rPr>
          <w:b/>
          <w:sz w:val="22"/>
        </w:rPr>
        <w:t>del</w:t>
      </w:r>
      <w:r>
        <w:rPr>
          <w:b/>
          <w:spacing w:val="-15"/>
          <w:sz w:val="22"/>
        </w:rPr>
        <w:t> </w:t>
      </w:r>
      <w:r>
        <w:rPr>
          <w:b/>
          <w:sz w:val="22"/>
        </w:rPr>
        <w:t>Programa</w:t>
      </w:r>
      <w:r>
        <w:rPr>
          <w:b/>
          <w:spacing w:val="-16"/>
          <w:sz w:val="22"/>
        </w:rPr>
        <w:t> </w:t>
      </w:r>
      <w:r>
        <w:rPr>
          <w:b/>
          <w:sz w:val="22"/>
        </w:rPr>
        <w:t>de</w:t>
      </w:r>
      <w:r>
        <w:rPr>
          <w:b/>
          <w:spacing w:val="-15"/>
          <w:sz w:val="22"/>
        </w:rPr>
        <w:t> </w:t>
      </w:r>
      <w:r>
        <w:rPr>
          <w:b/>
          <w:sz w:val="22"/>
        </w:rPr>
        <w:t>Transferencia Monetaria Condicionada</w:t>
      </w:r>
      <w:r>
        <w:rPr>
          <w:sz w:val="22"/>
        </w:rPr>
        <w:t>. Faculta al IMAS para incorporar a adolescentes pertenecientes a poblaciones indígenas, al</w:t>
      </w:r>
      <w:r>
        <w:rPr>
          <w:spacing w:val="-2"/>
          <w:sz w:val="22"/>
        </w:rPr>
        <w:t> </w:t>
      </w:r>
      <w:r>
        <w:rPr>
          <w:sz w:val="22"/>
        </w:rPr>
        <w:t>programa del</w:t>
      </w:r>
      <w:r>
        <w:rPr>
          <w:spacing w:val="-1"/>
          <w:sz w:val="22"/>
        </w:rPr>
        <w:t> </w:t>
      </w:r>
      <w:r>
        <w:rPr>
          <w:sz w:val="22"/>
        </w:rPr>
        <w:t>Decreto</w:t>
      </w:r>
      <w:r>
        <w:rPr>
          <w:spacing w:val="-3"/>
          <w:sz w:val="22"/>
        </w:rPr>
        <w:t> </w:t>
      </w:r>
      <w:r>
        <w:rPr>
          <w:sz w:val="22"/>
        </w:rPr>
        <w:t>N°3315y establece</w:t>
      </w:r>
      <w:r>
        <w:rPr>
          <w:spacing w:val="-1"/>
          <w:sz w:val="22"/>
        </w:rPr>
        <w:t> </w:t>
      </w:r>
      <w:r>
        <w:rPr>
          <w:sz w:val="22"/>
        </w:rPr>
        <w:t>los mecanismos de control correspondientes a fin de asegurar el cumplimiento de los objetivos</w:t>
      </w:r>
      <w:r>
        <w:rPr>
          <w:spacing w:val="-2"/>
          <w:sz w:val="22"/>
        </w:rPr>
        <w:t> </w:t>
      </w:r>
      <w:r>
        <w:rPr>
          <w:sz w:val="22"/>
        </w:rPr>
        <w:t>del programa</w:t>
      </w:r>
      <w:r>
        <w:rPr>
          <w:spacing w:val="-2"/>
          <w:sz w:val="22"/>
        </w:rPr>
        <w:t> </w:t>
      </w:r>
      <w:r>
        <w:rPr>
          <w:sz w:val="22"/>
        </w:rPr>
        <w:t>y</w:t>
      </w:r>
      <w:r>
        <w:rPr>
          <w:spacing w:val="-2"/>
          <w:sz w:val="22"/>
        </w:rPr>
        <w:t> </w:t>
      </w:r>
      <w:r>
        <w:rPr>
          <w:sz w:val="22"/>
        </w:rPr>
        <w:t>establecer las</w:t>
      </w:r>
      <w:r>
        <w:rPr>
          <w:spacing w:val="-4"/>
          <w:sz w:val="22"/>
        </w:rPr>
        <w:t> </w:t>
      </w:r>
      <w:r>
        <w:rPr>
          <w:sz w:val="22"/>
        </w:rPr>
        <w:t>medidas</w:t>
      </w:r>
      <w:r>
        <w:rPr>
          <w:spacing w:val="-1"/>
          <w:sz w:val="22"/>
        </w:rPr>
        <w:t> </w:t>
      </w:r>
      <w:r>
        <w:rPr>
          <w:sz w:val="22"/>
        </w:rPr>
        <w:t>necesarias para</w:t>
      </w:r>
      <w:r>
        <w:rPr>
          <w:spacing w:val="-2"/>
          <w:sz w:val="22"/>
        </w:rPr>
        <w:t> </w:t>
      </w:r>
      <w:r>
        <w:rPr>
          <w:sz w:val="22"/>
        </w:rPr>
        <w:t>facilitar</w:t>
      </w:r>
      <w:r>
        <w:rPr>
          <w:spacing w:val="-3"/>
          <w:sz w:val="22"/>
        </w:rPr>
        <w:t> </w:t>
      </w:r>
      <w:r>
        <w:rPr>
          <w:sz w:val="22"/>
        </w:rPr>
        <w:t>el</w:t>
      </w:r>
      <w:r>
        <w:rPr>
          <w:spacing w:val="-1"/>
          <w:sz w:val="22"/>
        </w:rPr>
        <w:t> </w:t>
      </w:r>
      <w:r>
        <w:rPr>
          <w:sz w:val="22"/>
        </w:rPr>
        <w:t>acceso</w:t>
      </w:r>
      <w:r>
        <w:rPr>
          <w:spacing w:val="-2"/>
          <w:sz w:val="22"/>
        </w:rPr>
        <w:t> </w:t>
      </w:r>
      <w:r>
        <w:rPr>
          <w:sz w:val="22"/>
        </w:rPr>
        <w:t>de la población beneficiaria al Programa. Fecha de vigencia 01/09/2006.</w:t>
      </w:r>
    </w:p>
    <w:p>
      <w:pPr>
        <w:spacing w:before="252"/>
        <w:ind w:left="1625" w:right="1606" w:firstLine="0"/>
        <w:jc w:val="both"/>
        <w:rPr>
          <w:sz w:val="22"/>
        </w:rPr>
      </w:pPr>
      <w:r>
        <w:rPr>
          <w:b/>
          <w:sz w:val="22"/>
        </w:rPr>
        <w:t>Decreto N°34460-H. Principios de Contabilidad Aplicables al Sector Público Costarricense. </w:t>
      </w:r>
      <w:r>
        <w:rPr>
          <w:sz w:val="22"/>
        </w:rPr>
        <w:t>Establece los conceptos básicos y reglas para el registro contable y presentación de información, cuya aplicación es de carácter obligatorio para todas las dependencias del sector público. Fecha de vigencia 29/04/2008.</w:t>
      </w:r>
    </w:p>
    <w:p>
      <w:pPr>
        <w:pStyle w:val="BodyText"/>
      </w:pPr>
    </w:p>
    <w:p>
      <w:pPr>
        <w:spacing w:before="0"/>
        <w:ind w:left="1625" w:right="1603" w:firstLine="0"/>
        <w:jc w:val="both"/>
        <w:rPr>
          <w:sz w:val="22"/>
        </w:rPr>
      </w:pPr>
      <w:r>
        <w:rPr>
          <w:b/>
          <w:sz w:val="22"/>
        </w:rPr>
        <w:t>Decreto N°34729-PLAN-S-MEP-MTSS Coordinación y Ejecución de la Política de Igualdad</w:t>
      </w:r>
      <w:r>
        <w:rPr>
          <w:b/>
          <w:spacing w:val="-11"/>
          <w:sz w:val="22"/>
        </w:rPr>
        <w:t> </w:t>
      </w:r>
      <w:r>
        <w:rPr>
          <w:b/>
          <w:sz w:val="22"/>
        </w:rPr>
        <w:t>y</w:t>
      </w:r>
      <w:r>
        <w:rPr>
          <w:b/>
          <w:spacing w:val="-14"/>
          <w:sz w:val="22"/>
        </w:rPr>
        <w:t> </w:t>
      </w:r>
      <w:r>
        <w:rPr>
          <w:b/>
          <w:sz w:val="22"/>
        </w:rPr>
        <w:t>Equidad</w:t>
      </w:r>
      <w:r>
        <w:rPr>
          <w:b/>
          <w:spacing w:val="-11"/>
          <w:sz w:val="22"/>
        </w:rPr>
        <w:t> </w:t>
      </w:r>
      <w:r>
        <w:rPr>
          <w:b/>
          <w:sz w:val="22"/>
        </w:rPr>
        <w:t>de</w:t>
      </w:r>
      <w:r>
        <w:rPr>
          <w:b/>
          <w:spacing w:val="-14"/>
          <w:sz w:val="22"/>
        </w:rPr>
        <w:t> </w:t>
      </w:r>
      <w:r>
        <w:rPr>
          <w:b/>
          <w:sz w:val="22"/>
        </w:rPr>
        <w:t>Género</w:t>
      </w:r>
      <w:r>
        <w:rPr>
          <w:b/>
          <w:spacing w:val="-13"/>
          <w:sz w:val="22"/>
        </w:rPr>
        <w:t> </w:t>
      </w:r>
      <w:r>
        <w:rPr>
          <w:b/>
          <w:sz w:val="22"/>
        </w:rPr>
        <w:t>(PIEG)</w:t>
      </w:r>
      <w:r>
        <w:rPr>
          <w:b/>
          <w:spacing w:val="-10"/>
          <w:sz w:val="22"/>
        </w:rPr>
        <w:t> </w:t>
      </w:r>
      <w:r>
        <w:rPr>
          <w:b/>
          <w:sz w:val="22"/>
        </w:rPr>
        <w:t>en</w:t>
      </w:r>
      <w:r>
        <w:rPr>
          <w:b/>
          <w:spacing w:val="-14"/>
          <w:sz w:val="22"/>
        </w:rPr>
        <w:t> </w:t>
      </w:r>
      <w:r>
        <w:rPr>
          <w:b/>
          <w:sz w:val="22"/>
        </w:rPr>
        <w:t>las</w:t>
      </w:r>
      <w:r>
        <w:rPr>
          <w:b/>
          <w:spacing w:val="-14"/>
          <w:sz w:val="22"/>
        </w:rPr>
        <w:t> </w:t>
      </w:r>
      <w:r>
        <w:rPr>
          <w:b/>
          <w:sz w:val="22"/>
        </w:rPr>
        <w:t>instituciones</w:t>
      </w:r>
      <w:r>
        <w:rPr>
          <w:b/>
          <w:spacing w:val="-11"/>
          <w:sz w:val="22"/>
        </w:rPr>
        <w:t> </w:t>
      </w:r>
      <w:r>
        <w:rPr>
          <w:b/>
          <w:sz w:val="22"/>
        </w:rPr>
        <w:t>Públicas</w:t>
      </w:r>
      <w:r>
        <w:rPr>
          <w:sz w:val="22"/>
        </w:rPr>
        <w:t>.</w:t>
      </w:r>
      <w:r>
        <w:rPr>
          <w:spacing w:val="-12"/>
          <w:sz w:val="22"/>
        </w:rPr>
        <w:t> </w:t>
      </w:r>
      <w:r>
        <w:rPr>
          <w:sz w:val="22"/>
        </w:rPr>
        <w:t>Instruye</w:t>
      </w:r>
      <w:r>
        <w:rPr>
          <w:spacing w:val="-14"/>
          <w:sz w:val="22"/>
        </w:rPr>
        <w:t> </w:t>
      </w:r>
      <w:r>
        <w:rPr>
          <w:sz w:val="22"/>
        </w:rPr>
        <w:t>al</w:t>
      </w:r>
      <w:r>
        <w:rPr>
          <w:spacing w:val="-12"/>
          <w:sz w:val="22"/>
        </w:rPr>
        <w:t> </w:t>
      </w:r>
      <w:r>
        <w:rPr>
          <w:sz w:val="22"/>
        </w:rPr>
        <w:t>Poder Ejecutivo</w:t>
      </w:r>
      <w:r>
        <w:rPr>
          <w:spacing w:val="-3"/>
          <w:sz w:val="22"/>
        </w:rPr>
        <w:t> </w:t>
      </w:r>
      <w:r>
        <w:rPr>
          <w:sz w:val="22"/>
        </w:rPr>
        <w:t>y sus instituciones en</w:t>
      </w:r>
      <w:r>
        <w:rPr>
          <w:spacing w:val="-1"/>
          <w:sz w:val="22"/>
        </w:rPr>
        <w:t> </w:t>
      </w:r>
      <w:r>
        <w:rPr>
          <w:sz w:val="22"/>
        </w:rPr>
        <w:t>materia de</w:t>
      </w:r>
      <w:r>
        <w:rPr>
          <w:spacing w:val="-1"/>
          <w:sz w:val="22"/>
        </w:rPr>
        <w:t> </w:t>
      </w:r>
      <w:r>
        <w:rPr>
          <w:sz w:val="22"/>
        </w:rPr>
        <w:t>igualdad y equidad entre</w:t>
      </w:r>
      <w:r>
        <w:rPr>
          <w:spacing w:val="-3"/>
          <w:sz w:val="22"/>
        </w:rPr>
        <w:t> </w:t>
      </w:r>
      <w:r>
        <w:rPr>
          <w:sz w:val="22"/>
        </w:rPr>
        <w:t>mujeres y hombres, para</w:t>
      </w:r>
      <w:r>
        <w:rPr>
          <w:spacing w:val="-12"/>
          <w:sz w:val="22"/>
        </w:rPr>
        <w:t> </w:t>
      </w:r>
      <w:r>
        <w:rPr>
          <w:sz w:val="22"/>
        </w:rPr>
        <w:t>orientar</w:t>
      </w:r>
      <w:r>
        <w:rPr>
          <w:spacing w:val="-13"/>
          <w:sz w:val="22"/>
        </w:rPr>
        <w:t> </w:t>
      </w:r>
      <w:r>
        <w:rPr>
          <w:sz w:val="22"/>
        </w:rPr>
        <w:t>sus</w:t>
      </w:r>
      <w:r>
        <w:rPr>
          <w:spacing w:val="-14"/>
          <w:sz w:val="22"/>
        </w:rPr>
        <w:t> </w:t>
      </w:r>
      <w:r>
        <w:rPr>
          <w:sz w:val="22"/>
        </w:rPr>
        <w:t>actuaciones</w:t>
      </w:r>
      <w:r>
        <w:rPr>
          <w:spacing w:val="-12"/>
          <w:sz w:val="22"/>
        </w:rPr>
        <w:t> </w:t>
      </w:r>
      <w:r>
        <w:rPr>
          <w:sz w:val="22"/>
        </w:rPr>
        <w:t>en</w:t>
      </w:r>
      <w:r>
        <w:rPr>
          <w:spacing w:val="-14"/>
          <w:sz w:val="22"/>
        </w:rPr>
        <w:t> </w:t>
      </w:r>
      <w:r>
        <w:rPr>
          <w:sz w:val="22"/>
        </w:rPr>
        <w:t>función</w:t>
      </w:r>
      <w:r>
        <w:rPr>
          <w:spacing w:val="-12"/>
          <w:sz w:val="22"/>
        </w:rPr>
        <w:t> </w:t>
      </w:r>
      <w:r>
        <w:rPr>
          <w:sz w:val="22"/>
        </w:rPr>
        <w:t>de</w:t>
      </w:r>
      <w:r>
        <w:rPr>
          <w:spacing w:val="-14"/>
          <w:sz w:val="22"/>
        </w:rPr>
        <w:t> </w:t>
      </w:r>
      <w:r>
        <w:rPr>
          <w:sz w:val="22"/>
        </w:rPr>
        <w:t>una</w:t>
      </w:r>
      <w:r>
        <w:rPr>
          <w:spacing w:val="-12"/>
          <w:sz w:val="22"/>
        </w:rPr>
        <w:t> </w:t>
      </w:r>
      <w:r>
        <w:rPr>
          <w:sz w:val="22"/>
        </w:rPr>
        <w:t>política</w:t>
      </w:r>
      <w:r>
        <w:rPr>
          <w:spacing w:val="-12"/>
          <w:sz w:val="22"/>
        </w:rPr>
        <w:t> </w:t>
      </w:r>
      <w:r>
        <w:rPr>
          <w:sz w:val="22"/>
        </w:rPr>
        <w:t>de</w:t>
      </w:r>
      <w:r>
        <w:rPr>
          <w:spacing w:val="-14"/>
          <w:sz w:val="22"/>
        </w:rPr>
        <w:t> </w:t>
      </w:r>
      <w:r>
        <w:rPr>
          <w:sz w:val="22"/>
        </w:rPr>
        <w:t>igualdad</w:t>
      </w:r>
      <w:r>
        <w:rPr>
          <w:spacing w:val="-12"/>
          <w:sz w:val="22"/>
        </w:rPr>
        <w:t> </w:t>
      </w:r>
      <w:r>
        <w:rPr>
          <w:sz w:val="22"/>
        </w:rPr>
        <w:t>y</w:t>
      </w:r>
      <w:r>
        <w:rPr>
          <w:spacing w:val="-12"/>
          <w:sz w:val="22"/>
        </w:rPr>
        <w:t> </w:t>
      </w:r>
      <w:r>
        <w:rPr>
          <w:sz w:val="22"/>
        </w:rPr>
        <w:t>equidad</w:t>
      </w:r>
      <w:r>
        <w:rPr>
          <w:spacing w:val="-12"/>
          <w:sz w:val="22"/>
        </w:rPr>
        <w:t> </w:t>
      </w:r>
      <w:r>
        <w:rPr>
          <w:sz w:val="22"/>
        </w:rPr>
        <w:t>de</w:t>
      </w:r>
      <w:r>
        <w:rPr>
          <w:spacing w:val="-12"/>
          <w:sz w:val="22"/>
        </w:rPr>
        <w:t> </w:t>
      </w:r>
      <w:r>
        <w:rPr>
          <w:sz w:val="22"/>
        </w:rPr>
        <w:t>género, que en lo sustantivo establecerá objetivos, metas y lineamientos estratégicos de acción. Fecha de vigencia 17/09/2008.</w:t>
      </w:r>
    </w:p>
    <w:p>
      <w:pPr>
        <w:pStyle w:val="BodyText"/>
        <w:spacing w:before="1"/>
      </w:pPr>
    </w:p>
    <w:p>
      <w:pPr>
        <w:spacing w:before="0"/>
        <w:ind w:left="1625" w:right="1602" w:firstLine="0"/>
        <w:jc w:val="both"/>
        <w:rPr>
          <w:sz w:val="22"/>
        </w:rPr>
      </w:pPr>
      <w:r>
        <w:rPr>
          <w:b/>
          <w:sz w:val="22"/>
        </w:rPr>
        <w:t>Decreto N°34531-MP-G-MIVAH-MEP-MTSS-H Establece programa "Cuadernos e implementos escolares"</w:t>
      </w:r>
      <w:r>
        <w:rPr>
          <w:sz w:val="22"/>
        </w:rPr>
        <w:t>. Programa orientado a la dotación de cuadernos y otros implementos escolares necesarios destinados a estudiantes pertenecientes a centros educativos</w:t>
      </w:r>
      <w:r>
        <w:rPr>
          <w:spacing w:val="-6"/>
          <w:sz w:val="22"/>
        </w:rPr>
        <w:t> </w:t>
      </w:r>
      <w:r>
        <w:rPr>
          <w:sz w:val="22"/>
        </w:rPr>
        <w:t>de</w:t>
      </w:r>
      <w:r>
        <w:rPr>
          <w:spacing w:val="-7"/>
          <w:sz w:val="22"/>
        </w:rPr>
        <w:t> </w:t>
      </w:r>
      <w:r>
        <w:rPr>
          <w:sz w:val="22"/>
        </w:rPr>
        <w:t>primaria</w:t>
      </w:r>
      <w:r>
        <w:rPr>
          <w:spacing w:val="-7"/>
          <w:sz w:val="22"/>
        </w:rPr>
        <w:t> </w:t>
      </w:r>
      <w:r>
        <w:rPr>
          <w:sz w:val="22"/>
        </w:rPr>
        <w:t>y</w:t>
      </w:r>
      <w:r>
        <w:rPr>
          <w:spacing w:val="-8"/>
          <w:sz w:val="22"/>
        </w:rPr>
        <w:t> </w:t>
      </w:r>
      <w:r>
        <w:rPr>
          <w:sz w:val="22"/>
        </w:rPr>
        <w:t>secundaria,</w:t>
      </w:r>
      <w:r>
        <w:rPr>
          <w:spacing w:val="-7"/>
          <w:sz w:val="22"/>
        </w:rPr>
        <w:t> </w:t>
      </w:r>
      <w:r>
        <w:rPr>
          <w:sz w:val="22"/>
        </w:rPr>
        <w:t>IMAS</w:t>
      </w:r>
      <w:r>
        <w:rPr>
          <w:spacing w:val="-7"/>
          <w:sz w:val="22"/>
        </w:rPr>
        <w:t> </w:t>
      </w:r>
      <w:r>
        <w:rPr>
          <w:sz w:val="22"/>
        </w:rPr>
        <w:t>como</w:t>
      </w:r>
      <w:r>
        <w:rPr>
          <w:spacing w:val="-9"/>
          <w:sz w:val="22"/>
        </w:rPr>
        <w:t> </w:t>
      </w:r>
      <w:r>
        <w:rPr>
          <w:sz w:val="22"/>
        </w:rPr>
        <w:t>encargado,</w:t>
      </w:r>
      <w:r>
        <w:rPr>
          <w:spacing w:val="-5"/>
          <w:sz w:val="22"/>
        </w:rPr>
        <w:t> </w:t>
      </w:r>
      <w:r>
        <w:rPr>
          <w:sz w:val="22"/>
        </w:rPr>
        <w:t>en</w:t>
      </w:r>
      <w:r>
        <w:rPr>
          <w:spacing w:val="-9"/>
          <w:sz w:val="22"/>
        </w:rPr>
        <w:t> </w:t>
      </w:r>
      <w:r>
        <w:rPr>
          <w:sz w:val="22"/>
        </w:rPr>
        <w:t>conjunto</w:t>
      </w:r>
      <w:r>
        <w:rPr>
          <w:spacing w:val="-9"/>
          <w:sz w:val="22"/>
        </w:rPr>
        <w:t> </w:t>
      </w:r>
      <w:r>
        <w:rPr>
          <w:sz w:val="22"/>
        </w:rPr>
        <w:t>con</w:t>
      </w:r>
      <w:r>
        <w:rPr>
          <w:spacing w:val="-7"/>
          <w:sz w:val="22"/>
        </w:rPr>
        <w:t> </w:t>
      </w:r>
      <w:r>
        <w:rPr>
          <w:sz w:val="22"/>
        </w:rPr>
        <w:t>el</w:t>
      </w:r>
      <w:r>
        <w:rPr>
          <w:spacing w:val="-7"/>
          <w:sz w:val="22"/>
        </w:rPr>
        <w:t> </w:t>
      </w:r>
      <w:r>
        <w:rPr>
          <w:sz w:val="22"/>
        </w:rPr>
        <w:t>MEP,</w:t>
      </w:r>
      <w:r>
        <w:rPr>
          <w:spacing w:val="-5"/>
          <w:sz w:val="22"/>
        </w:rPr>
        <w:t> </w:t>
      </w:r>
      <w:r>
        <w:rPr>
          <w:sz w:val="22"/>
        </w:rPr>
        <w:t>de la</w:t>
      </w:r>
      <w:r>
        <w:rPr>
          <w:spacing w:val="-4"/>
          <w:sz w:val="22"/>
        </w:rPr>
        <w:t> </w:t>
      </w:r>
      <w:r>
        <w:rPr>
          <w:sz w:val="22"/>
        </w:rPr>
        <w:t>distribución</w:t>
      </w:r>
      <w:r>
        <w:rPr>
          <w:spacing w:val="-4"/>
          <w:sz w:val="22"/>
        </w:rPr>
        <w:t> </w:t>
      </w:r>
      <w:r>
        <w:rPr>
          <w:sz w:val="22"/>
        </w:rPr>
        <w:t>de</w:t>
      </w:r>
      <w:r>
        <w:rPr>
          <w:spacing w:val="-4"/>
          <w:sz w:val="22"/>
        </w:rPr>
        <w:t> </w:t>
      </w:r>
      <w:r>
        <w:rPr>
          <w:sz w:val="22"/>
        </w:rPr>
        <w:t>los</w:t>
      </w:r>
      <w:r>
        <w:rPr>
          <w:spacing w:val="-4"/>
          <w:sz w:val="22"/>
        </w:rPr>
        <w:t> </w:t>
      </w:r>
      <w:r>
        <w:rPr>
          <w:sz w:val="22"/>
        </w:rPr>
        <w:t>artículos</w:t>
      </w:r>
      <w:r>
        <w:rPr>
          <w:spacing w:val="-3"/>
          <w:sz w:val="22"/>
        </w:rPr>
        <w:t> </w:t>
      </w:r>
      <w:r>
        <w:rPr>
          <w:sz w:val="22"/>
        </w:rPr>
        <w:t>escolares</w:t>
      </w:r>
      <w:r>
        <w:rPr>
          <w:spacing w:val="-4"/>
          <w:sz w:val="22"/>
        </w:rPr>
        <w:t> </w:t>
      </w:r>
      <w:r>
        <w:rPr>
          <w:sz w:val="22"/>
        </w:rPr>
        <w:t>de</w:t>
      </w:r>
      <w:r>
        <w:rPr>
          <w:spacing w:val="-7"/>
          <w:sz w:val="22"/>
        </w:rPr>
        <w:t> </w:t>
      </w:r>
      <w:r>
        <w:rPr>
          <w:sz w:val="22"/>
        </w:rPr>
        <w:t>forma</w:t>
      </w:r>
      <w:r>
        <w:rPr>
          <w:spacing w:val="-6"/>
          <w:sz w:val="22"/>
        </w:rPr>
        <w:t> </w:t>
      </w:r>
      <w:r>
        <w:rPr>
          <w:sz w:val="22"/>
        </w:rPr>
        <w:t>objetiva,</w:t>
      </w:r>
      <w:r>
        <w:rPr>
          <w:spacing w:val="-5"/>
          <w:sz w:val="22"/>
        </w:rPr>
        <w:t> </w:t>
      </w:r>
      <w:r>
        <w:rPr>
          <w:sz w:val="22"/>
        </w:rPr>
        <w:t>técnica</w:t>
      </w:r>
      <w:r>
        <w:rPr>
          <w:spacing w:val="-4"/>
          <w:sz w:val="22"/>
        </w:rPr>
        <w:t> </w:t>
      </w:r>
      <w:r>
        <w:rPr>
          <w:sz w:val="22"/>
        </w:rPr>
        <w:t>y</w:t>
      </w:r>
      <w:r>
        <w:rPr>
          <w:spacing w:val="-4"/>
          <w:sz w:val="22"/>
        </w:rPr>
        <w:t> </w:t>
      </w:r>
      <w:r>
        <w:rPr>
          <w:sz w:val="22"/>
        </w:rPr>
        <w:t>equitativa.</w:t>
      </w:r>
      <w:r>
        <w:rPr>
          <w:spacing w:val="-3"/>
          <w:sz w:val="22"/>
        </w:rPr>
        <w:t> </w:t>
      </w:r>
      <w:r>
        <w:rPr>
          <w:sz w:val="22"/>
        </w:rPr>
        <w:t>Fecha</w:t>
      </w:r>
      <w:r>
        <w:rPr>
          <w:spacing w:val="-7"/>
          <w:sz w:val="22"/>
        </w:rPr>
        <w:t> </w:t>
      </w:r>
      <w:r>
        <w:rPr>
          <w:sz w:val="22"/>
        </w:rPr>
        <w:t>de vigencia 05/06/2008.</w:t>
      </w:r>
    </w:p>
    <w:p>
      <w:pPr>
        <w:pStyle w:val="BodyText"/>
      </w:pPr>
    </w:p>
    <w:p>
      <w:pPr>
        <w:pStyle w:val="BodyText"/>
        <w:ind w:left="1625" w:right="1601"/>
        <w:jc w:val="both"/>
      </w:pPr>
      <w:r>
        <w:rPr>
          <w:b/>
        </w:rPr>
        <w:t>Decreto N°34918-H. Adopción e Implementación de las Normas Internacionales de Contabilidad del Sector Público (NICSP), en el Ámbito Costarricense. </w:t>
      </w:r>
      <w:r>
        <w:rPr/>
        <w:t>Adopta e implementa las Normas Internacionales de Contabilidad del Sector Público (de ahora en adelante NICSP), publicadas y emitidas en español, por el Consejo de Normas Internacionales</w:t>
      </w:r>
      <w:r>
        <w:rPr>
          <w:spacing w:val="-3"/>
        </w:rPr>
        <w:t> </w:t>
      </w:r>
      <w:r>
        <w:rPr/>
        <w:t>de</w:t>
      </w:r>
      <w:r>
        <w:rPr>
          <w:spacing w:val="-3"/>
        </w:rPr>
        <w:t> </w:t>
      </w:r>
      <w:r>
        <w:rPr/>
        <w:t>Contabilidad</w:t>
      </w:r>
      <w:r>
        <w:rPr>
          <w:spacing w:val="-3"/>
        </w:rPr>
        <w:t> </w:t>
      </w:r>
      <w:r>
        <w:rPr/>
        <w:t>para</w:t>
      </w:r>
      <w:r>
        <w:rPr>
          <w:spacing w:val="-3"/>
        </w:rPr>
        <w:t> </w:t>
      </w:r>
      <w:r>
        <w:rPr/>
        <w:t>el</w:t>
      </w:r>
      <w:r>
        <w:rPr>
          <w:spacing w:val="-3"/>
        </w:rPr>
        <w:t> </w:t>
      </w:r>
      <w:r>
        <w:rPr/>
        <w:t>Sector</w:t>
      </w:r>
      <w:r>
        <w:rPr>
          <w:spacing w:val="-2"/>
        </w:rPr>
        <w:t> </w:t>
      </w:r>
      <w:r>
        <w:rPr/>
        <w:t>Público</w:t>
      </w:r>
      <w:r>
        <w:rPr>
          <w:spacing w:val="-3"/>
        </w:rPr>
        <w:t> </w:t>
      </w:r>
      <w:r>
        <w:rPr/>
        <w:t>(IPSASB</w:t>
      </w:r>
      <w:r>
        <w:rPr>
          <w:spacing w:val="-3"/>
        </w:rPr>
        <w:t> </w:t>
      </w:r>
      <w:r>
        <w:rPr/>
        <w:t>por</w:t>
      </w:r>
      <w:r>
        <w:rPr>
          <w:spacing w:val="-4"/>
        </w:rPr>
        <w:t> </w:t>
      </w:r>
      <w:r>
        <w:rPr/>
        <w:t>sus</w:t>
      </w:r>
      <w:r>
        <w:rPr>
          <w:spacing w:val="-5"/>
        </w:rPr>
        <w:t> </w:t>
      </w:r>
      <w:r>
        <w:rPr/>
        <w:t>siglas</w:t>
      </w:r>
      <w:r>
        <w:rPr>
          <w:spacing w:val="-3"/>
        </w:rPr>
        <w:t> </w:t>
      </w:r>
      <w:r>
        <w:rPr/>
        <w:t>en</w:t>
      </w:r>
      <w:r>
        <w:rPr>
          <w:spacing w:val="-3"/>
        </w:rPr>
        <w:t> </w:t>
      </w:r>
      <w:r>
        <w:rPr/>
        <w:t>ingles) de ahora en adelante IPSASB, de la Federación Internacional de Contadores (IFAC por sus siglas en ingles), de ahora en adelante IFAC, en el ámbito de las Instituciones del Sector</w:t>
      </w:r>
      <w:r>
        <w:rPr>
          <w:spacing w:val="-11"/>
        </w:rPr>
        <w:t> </w:t>
      </w:r>
      <w:r>
        <w:rPr/>
        <w:t>Público</w:t>
      </w:r>
      <w:r>
        <w:rPr>
          <w:spacing w:val="-12"/>
        </w:rPr>
        <w:t> </w:t>
      </w:r>
      <w:r>
        <w:rPr/>
        <w:t>Costarricense,</w:t>
      </w:r>
      <w:r>
        <w:rPr>
          <w:spacing w:val="-11"/>
        </w:rPr>
        <w:t> </w:t>
      </w:r>
      <w:r>
        <w:rPr/>
        <w:t>con</w:t>
      </w:r>
      <w:r>
        <w:rPr>
          <w:spacing w:val="-13"/>
        </w:rPr>
        <w:t> </w:t>
      </w:r>
      <w:r>
        <w:rPr/>
        <w:t>salvedad</w:t>
      </w:r>
      <w:r>
        <w:rPr>
          <w:spacing w:val="-15"/>
        </w:rPr>
        <w:t> </w:t>
      </w:r>
      <w:r>
        <w:rPr/>
        <w:t>de</w:t>
      </w:r>
      <w:r>
        <w:rPr>
          <w:spacing w:val="-13"/>
        </w:rPr>
        <w:t> </w:t>
      </w:r>
      <w:r>
        <w:rPr/>
        <w:t>las</w:t>
      </w:r>
      <w:r>
        <w:rPr>
          <w:spacing w:val="-12"/>
        </w:rPr>
        <w:t> </w:t>
      </w:r>
      <w:r>
        <w:rPr/>
        <w:t>denominadas</w:t>
      </w:r>
      <w:r>
        <w:rPr>
          <w:spacing w:val="-12"/>
        </w:rPr>
        <w:t> </w:t>
      </w:r>
      <w:r>
        <w:rPr/>
        <w:t>Empresas</w:t>
      </w:r>
      <w:r>
        <w:rPr>
          <w:spacing w:val="-12"/>
        </w:rPr>
        <w:t> </w:t>
      </w:r>
      <w:r>
        <w:rPr/>
        <w:t>Públicas</w:t>
      </w:r>
      <w:r>
        <w:rPr>
          <w:spacing w:val="-9"/>
        </w:rPr>
        <w:t> </w:t>
      </w:r>
      <w:r>
        <w:rPr/>
        <w:t>y</w:t>
      </w:r>
      <w:r>
        <w:rPr>
          <w:spacing w:val="-12"/>
        </w:rPr>
        <w:t> </w:t>
      </w:r>
      <w:r>
        <w:rPr/>
        <w:t>las instituciones bancarias, a las que por su naturaleza y por recomendación de las NICSP les</w:t>
      </w:r>
      <w:r>
        <w:rPr>
          <w:spacing w:val="-10"/>
        </w:rPr>
        <w:t> </w:t>
      </w:r>
      <w:r>
        <w:rPr/>
        <w:t>son</w:t>
      </w:r>
      <w:r>
        <w:rPr>
          <w:spacing w:val="-10"/>
        </w:rPr>
        <w:t> </w:t>
      </w:r>
      <w:r>
        <w:rPr/>
        <w:t>aplicables</w:t>
      </w:r>
      <w:r>
        <w:rPr>
          <w:spacing w:val="-10"/>
        </w:rPr>
        <w:t> </w:t>
      </w:r>
      <w:r>
        <w:rPr/>
        <w:t>las</w:t>
      </w:r>
      <w:r>
        <w:rPr>
          <w:spacing w:val="-12"/>
        </w:rPr>
        <w:t> </w:t>
      </w:r>
      <w:r>
        <w:rPr/>
        <w:t>Normas</w:t>
      </w:r>
      <w:r>
        <w:rPr>
          <w:spacing w:val="-15"/>
        </w:rPr>
        <w:t> </w:t>
      </w:r>
      <w:r>
        <w:rPr/>
        <w:t>Internacionales</w:t>
      </w:r>
      <w:r>
        <w:rPr>
          <w:spacing w:val="-10"/>
        </w:rPr>
        <w:t> </w:t>
      </w:r>
      <w:r>
        <w:rPr/>
        <w:t>de</w:t>
      </w:r>
      <w:r>
        <w:rPr>
          <w:spacing w:val="-13"/>
        </w:rPr>
        <w:t> </w:t>
      </w:r>
      <w:r>
        <w:rPr/>
        <w:t>Información</w:t>
      </w:r>
      <w:r>
        <w:rPr>
          <w:spacing w:val="-10"/>
        </w:rPr>
        <w:t> </w:t>
      </w:r>
      <w:r>
        <w:rPr/>
        <w:t>Financiera</w:t>
      </w:r>
      <w:r>
        <w:rPr>
          <w:spacing w:val="-12"/>
        </w:rPr>
        <w:t> </w:t>
      </w:r>
      <w:r>
        <w:rPr/>
        <w:t>(NIIF).</w:t>
      </w:r>
      <w:r>
        <w:rPr>
          <w:spacing w:val="-11"/>
        </w:rPr>
        <w:t> </w:t>
      </w:r>
      <w:r>
        <w:rPr/>
        <w:t>Fecha</w:t>
      </w:r>
      <w:r>
        <w:rPr>
          <w:spacing w:val="-13"/>
        </w:rPr>
        <w:t> </w:t>
      </w:r>
      <w:r>
        <w:rPr/>
        <w:t>de vigencia 09/12/2008.</w:t>
      </w:r>
    </w:p>
    <w:p>
      <w:pPr>
        <w:pStyle w:val="BodyText"/>
        <w:spacing w:before="1"/>
      </w:pPr>
    </w:p>
    <w:p>
      <w:pPr>
        <w:spacing w:before="0"/>
        <w:ind w:left="1625" w:right="1603" w:firstLine="0"/>
        <w:jc w:val="both"/>
        <w:rPr>
          <w:sz w:val="22"/>
        </w:rPr>
      </w:pPr>
      <w:r>
        <w:rPr>
          <w:b/>
          <w:sz w:val="22"/>
        </w:rPr>
        <w:t>Decreto N°36043-MAG-SP-MS. Regulaciones Permanentes para la Implementación de una Ayuda temporal por Pobreza Coyuntural en el Sector Pesquero Costarricense por Declaratorias de Vedas. </w:t>
      </w:r>
      <w:r>
        <w:rPr>
          <w:sz w:val="22"/>
        </w:rPr>
        <w:t>Establece criterios técnicos, científicos, económicos y sociales a aplicar en épocas de veda, sea por zonas, áreas, por especies o por artes determinadas, a fin de proteger y aprovechar los recursos hidrobiológicos de manera sostenible. Fecha de vigencia 15/06/2010.</w:t>
      </w:r>
    </w:p>
    <w:p>
      <w:pPr>
        <w:pStyle w:val="BodyText"/>
        <w:spacing w:before="1"/>
      </w:pPr>
    </w:p>
    <w:p>
      <w:pPr>
        <w:spacing w:before="0"/>
        <w:ind w:left="1625" w:right="1601" w:firstLine="0"/>
        <w:jc w:val="both"/>
        <w:rPr>
          <w:sz w:val="22"/>
        </w:rPr>
      </w:pPr>
      <w:r>
        <w:rPr>
          <w:b/>
          <w:sz w:val="22"/>
        </w:rPr>
        <w:t>Decreto</w:t>
      </w:r>
      <w:r>
        <w:rPr>
          <w:b/>
          <w:spacing w:val="-12"/>
          <w:sz w:val="22"/>
        </w:rPr>
        <w:t> </w:t>
      </w:r>
      <w:r>
        <w:rPr>
          <w:b/>
          <w:sz w:val="22"/>
        </w:rPr>
        <w:t>N°36042-S</w:t>
      </w:r>
      <w:r>
        <w:rPr>
          <w:b/>
          <w:spacing w:val="-14"/>
          <w:sz w:val="22"/>
        </w:rPr>
        <w:t> </w:t>
      </w:r>
      <w:r>
        <w:rPr>
          <w:b/>
          <w:sz w:val="22"/>
        </w:rPr>
        <w:t>Normas</w:t>
      </w:r>
      <w:r>
        <w:rPr>
          <w:b/>
          <w:spacing w:val="-11"/>
          <w:sz w:val="22"/>
        </w:rPr>
        <w:t> </w:t>
      </w:r>
      <w:r>
        <w:rPr>
          <w:b/>
          <w:sz w:val="22"/>
        </w:rPr>
        <w:t>de</w:t>
      </w:r>
      <w:r>
        <w:rPr>
          <w:b/>
          <w:spacing w:val="-16"/>
          <w:sz w:val="22"/>
        </w:rPr>
        <w:t> </w:t>
      </w:r>
      <w:r>
        <w:rPr>
          <w:b/>
          <w:sz w:val="22"/>
        </w:rPr>
        <w:t>Acreditación</w:t>
      </w:r>
      <w:r>
        <w:rPr>
          <w:b/>
          <w:spacing w:val="-13"/>
          <w:sz w:val="22"/>
        </w:rPr>
        <w:t> </w:t>
      </w:r>
      <w:r>
        <w:rPr>
          <w:b/>
          <w:sz w:val="22"/>
        </w:rPr>
        <w:t>de</w:t>
      </w:r>
      <w:r>
        <w:rPr>
          <w:b/>
          <w:spacing w:val="-14"/>
          <w:sz w:val="22"/>
        </w:rPr>
        <w:t> </w:t>
      </w:r>
      <w:r>
        <w:rPr>
          <w:b/>
          <w:sz w:val="22"/>
        </w:rPr>
        <w:t>la</w:t>
      </w:r>
      <w:r>
        <w:rPr>
          <w:b/>
          <w:spacing w:val="-14"/>
          <w:sz w:val="22"/>
        </w:rPr>
        <w:t> </w:t>
      </w:r>
      <w:r>
        <w:rPr>
          <w:b/>
          <w:sz w:val="22"/>
        </w:rPr>
        <w:t>Discapacidad</w:t>
      </w:r>
      <w:r>
        <w:rPr>
          <w:b/>
          <w:spacing w:val="-14"/>
          <w:sz w:val="22"/>
        </w:rPr>
        <w:t> </w:t>
      </w:r>
      <w:r>
        <w:rPr>
          <w:b/>
          <w:sz w:val="22"/>
        </w:rPr>
        <w:t>para</w:t>
      </w:r>
      <w:r>
        <w:rPr>
          <w:b/>
          <w:spacing w:val="-13"/>
          <w:sz w:val="22"/>
        </w:rPr>
        <w:t> </w:t>
      </w:r>
      <w:r>
        <w:rPr>
          <w:b/>
          <w:sz w:val="22"/>
        </w:rPr>
        <w:t>el</w:t>
      </w:r>
      <w:r>
        <w:rPr>
          <w:b/>
          <w:spacing w:val="-15"/>
          <w:sz w:val="22"/>
        </w:rPr>
        <w:t> </w:t>
      </w:r>
      <w:r>
        <w:rPr>
          <w:b/>
          <w:sz w:val="22"/>
        </w:rPr>
        <w:t>Acceso</w:t>
      </w:r>
      <w:r>
        <w:rPr>
          <w:b/>
          <w:spacing w:val="-11"/>
          <w:sz w:val="22"/>
        </w:rPr>
        <w:t> </w:t>
      </w:r>
      <w:r>
        <w:rPr>
          <w:b/>
          <w:sz w:val="22"/>
        </w:rPr>
        <w:t>a</w:t>
      </w:r>
      <w:r>
        <w:rPr>
          <w:b/>
          <w:spacing w:val="-16"/>
          <w:sz w:val="22"/>
        </w:rPr>
        <w:t> </w:t>
      </w:r>
      <w:r>
        <w:rPr>
          <w:b/>
          <w:sz w:val="22"/>
        </w:rPr>
        <w:t>los Programas Sociales y Selectivos de Salud. </w:t>
      </w:r>
      <w:r>
        <w:rPr>
          <w:sz w:val="22"/>
        </w:rPr>
        <w:t>Propone las bases políticas, técnicas, metodológicas y</w:t>
      </w:r>
      <w:r>
        <w:rPr>
          <w:spacing w:val="-2"/>
          <w:sz w:val="22"/>
        </w:rPr>
        <w:t> </w:t>
      </w:r>
      <w:r>
        <w:rPr>
          <w:sz w:val="22"/>
        </w:rPr>
        <w:t>presupuestarias para la puesta en operación de un</w:t>
      </w:r>
      <w:r>
        <w:rPr>
          <w:spacing w:val="-2"/>
          <w:sz w:val="22"/>
        </w:rPr>
        <w:t> </w:t>
      </w:r>
      <w:r>
        <w:rPr>
          <w:sz w:val="22"/>
        </w:rPr>
        <w:t>servicio público que permita unificar y universalizar la acreditación de la discapacidad como medio el acceso</w:t>
      </w:r>
    </w:p>
    <w:p>
      <w:pPr>
        <w:spacing w:after="0"/>
        <w:jc w:val="both"/>
        <w:rPr>
          <w:sz w:val="22"/>
        </w:rPr>
        <w:sectPr>
          <w:pgSz w:w="12240" w:h="15840"/>
          <w:pgMar w:header="0" w:footer="1576" w:top="1000" w:bottom="1760" w:left="360" w:right="0"/>
        </w:sectPr>
      </w:pPr>
    </w:p>
    <w:p>
      <w:pPr>
        <w:pStyle w:val="BodyText"/>
        <w:spacing w:before="77"/>
        <w:ind w:left="1625" w:right="1608"/>
        <w:jc w:val="both"/>
      </w:pPr>
      <w:r>
        <w:rPr/>
        <w:t>a</w:t>
      </w:r>
      <w:r>
        <w:rPr>
          <w:spacing w:val="-8"/>
        </w:rPr>
        <w:t> </w:t>
      </w:r>
      <w:r>
        <w:rPr/>
        <w:t>servicios,</w:t>
      </w:r>
      <w:r>
        <w:rPr>
          <w:spacing w:val="-10"/>
        </w:rPr>
        <w:t> </w:t>
      </w:r>
      <w:r>
        <w:rPr/>
        <w:t>prestaciones</w:t>
      </w:r>
      <w:r>
        <w:rPr>
          <w:spacing w:val="-13"/>
        </w:rPr>
        <w:t> </w:t>
      </w:r>
      <w:r>
        <w:rPr/>
        <w:t>y</w:t>
      </w:r>
      <w:r>
        <w:rPr>
          <w:spacing w:val="-8"/>
        </w:rPr>
        <w:t> </w:t>
      </w:r>
      <w:r>
        <w:rPr/>
        <w:t>beneficios</w:t>
      </w:r>
      <w:r>
        <w:rPr>
          <w:spacing w:val="-8"/>
        </w:rPr>
        <w:t> </w:t>
      </w:r>
      <w:r>
        <w:rPr/>
        <w:t>de</w:t>
      </w:r>
      <w:r>
        <w:rPr>
          <w:spacing w:val="-11"/>
        </w:rPr>
        <w:t> </w:t>
      </w:r>
      <w:r>
        <w:rPr/>
        <w:t>las</w:t>
      </w:r>
      <w:r>
        <w:rPr>
          <w:spacing w:val="-8"/>
        </w:rPr>
        <w:t> </w:t>
      </w:r>
      <w:r>
        <w:rPr/>
        <w:t>políticas</w:t>
      </w:r>
      <w:r>
        <w:rPr>
          <w:spacing w:val="-8"/>
        </w:rPr>
        <w:t> </w:t>
      </w:r>
      <w:r>
        <w:rPr/>
        <w:t>y</w:t>
      </w:r>
      <w:r>
        <w:rPr>
          <w:spacing w:val="-10"/>
        </w:rPr>
        <w:t> </w:t>
      </w:r>
      <w:r>
        <w:rPr/>
        <w:t>programas</w:t>
      </w:r>
      <w:r>
        <w:rPr>
          <w:spacing w:val="-11"/>
        </w:rPr>
        <w:t> </w:t>
      </w:r>
      <w:r>
        <w:rPr/>
        <w:t>estatales,</w:t>
      </w:r>
      <w:r>
        <w:rPr>
          <w:spacing w:val="-7"/>
        </w:rPr>
        <w:t> </w:t>
      </w:r>
      <w:r>
        <w:rPr/>
        <w:t>Acreditación de la condición de discapacidad como elemento aplicable en la valoración social que realiza el IMAS. Fecha de vigencia 18/06/2010.</w:t>
      </w:r>
    </w:p>
    <w:p>
      <w:pPr>
        <w:spacing w:before="252"/>
        <w:ind w:left="1625" w:right="1602" w:firstLine="0"/>
        <w:jc w:val="both"/>
        <w:rPr>
          <w:sz w:val="22"/>
        </w:rPr>
      </w:pPr>
      <w:r>
        <w:rPr>
          <w:b/>
          <w:sz w:val="22"/>
        </w:rPr>
        <w:t>Decreto N° 36462-MP-MTSS. Reglamento a la ley de inclusión y protección laboral de las personas con discapacidad en el sector público. </w:t>
      </w:r>
      <w:r>
        <w:rPr>
          <w:sz w:val="22"/>
        </w:rPr>
        <w:t>Creación de Comisión Especializada en todas las instituciones, reglamentando las funciones de esta, con el objeto</w:t>
      </w:r>
      <w:r>
        <w:rPr>
          <w:spacing w:val="-16"/>
          <w:sz w:val="22"/>
        </w:rPr>
        <w:t> </w:t>
      </w:r>
      <w:r>
        <w:rPr>
          <w:sz w:val="22"/>
        </w:rPr>
        <w:t>regular</w:t>
      </w:r>
      <w:r>
        <w:rPr>
          <w:spacing w:val="-15"/>
          <w:sz w:val="22"/>
        </w:rPr>
        <w:t> </w:t>
      </w:r>
      <w:r>
        <w:rPr>
          <w:sz w:val="22"/>
        </w:rPr>
        <w:t>los</w:t>
      </w:r>
      <w:r>
        <w:rPr>
          <w:spacing w:val="-15"/>
          <w:sz w:val="22"/>
        </w:rPr>
        <w:t> </w:t>
      </w:r>
      <w:r>
        <w:rPr>
          <w:sz w:val="22"/>
        </w:rPr>
        <w:t>mecanismos</w:t>
      </w:r>
      <w:r>
        <w:rPr>
          <w:spacing w:val="-15"/>
          <w:sz w:val="22"/>
        </w:rPr>
        <w:t> </w:t>
      </w:r>
      <w:r>
        <w:rPr>
          <w:sz w:val="22"/>
        </w:rPr>
        <w:t>para</w:t>
      </w:r>
      <w:r>
        <w:rPr>
          <w:spacing w:val="-14"/>
          <w:sz w:val="22"/>
        </w:rPr>
        <w:t> </w:t>
      </w:r>
      <w:r>
        <w:rPr>
          <w:sz w:val="22"/>
        </w:rPr>
        <w:t>la</w:t>
      </w:r>
      <w:r>
        <w:rPr>
          <w:spacing w:val="-15"/>
          <w:sz w:val="22"/>
        </w:rPr>
        <w:t> </w:t>
      </w:r>
      <w:r>
        <w:rPr>
          <w:sz w:val="22"/>
        </w:rPr>
        <w:t>efectiva</w:t>
      </w:r>
      <w:r>
        <w:rPr>
          <w:spacing w:val="-15"/>
          <w:sz w:val="22"/>
        </w:rPr>
        <w:t> </w:t>
      </w:r>
      <w:r>
        <w:rPr>
          <w:sz w:val="22"/>
        </w:rPr>
        <w:t>aplicación</w:t>
      </w:r>
      <w:r>
        <w:rPr>
          <w:spacing w:val="-15"/>
          <w:sz w:val="22"/>
        </w:rPr>
        <w:t> </w:t>
      </w:r>
      <w:r>
        <w:rPr>
          <w:sz w:val="22"/>
        </w:rPr>
        <w:t>y</w:t>
      </w:r>
      <w:r>
        <w:rPr>
          <w:spacing w:val="-14"/>
          <w:sz w:val="22"/>
        </w:rPr>
        <w:t> </w:t>
      </w:r>
      <w:r>
        <w:rPr>
          <w:sz w:val="22"/>
        </w:rPr>
        <w:t>seguimiento</w:t>
      </w:r>
      <w:r>
        <w:rPr>
          <w:spacing w:val="-15"/>
          <w:sz w:val="22"/>
        </w:rPr>
        <w:t> </w:t>
      </w:r>
      <w:r>
        <w:rPr>
          <w:sz w:val="22"/>
        </w:rPr>
        <w:t>de</w:t>
      </w:r>
      <w:r>
        <w:rPr>
          <w:spacing w:val="-16"/>
          <w:sz w:val="22"/>
        </w:rPr>
        <w:t> </w:t>
      </w:r>
      <w:r>
        <w:rPr>
          <w:sz w:val="22"/>
        </w:rPr>
        <w:t>la</w:t>
      </w:r>
      <w:r>
        <w:rPr>
          <w:spacing w:val="-14"/>
          <w:sz w:val="22"/>
        </w:rPr>
        <w:t> </w:t>
      </w:r>
      <w:r>
        <w:rPr>
          <w:sz w:val="22"/>
        </w:rPr>
        <w:t>Ley</w:t>
      </w:r>
      <w:r>
        <w:rPr>
          <w:spacing w:val="-14"/>
          <w:sz w:val="22"/>
        </w:rPr>
        <w:t> </w:t>
      </w:r>
      <w:r>
        <w:rPr>
          <w:sz w:val="22"/>
        </w:rPr>
        <w:t>Nº8862, para alcanzar la más plena inclusión de las personas con discapacidad en el ámbito laboral del sector público.</w:t>
      </w:r>
      <w:r>
        <w:rPr>
          <w:spacing w:val="40"/>
          <w:sz w:val="22"/>
        </w:rPr>
        <w:t> </w:t>
      </w:r>
      <w:r>
        <w:rPr>
          <w:sz w:val="22"/>
        </w:rPr>
        <w:t>Fecha de vigencia 02/02/2011.</w:t>
      </w:r>
    </w:p>
    <w:p>
      <w:pPr>
        <w:pStyle w:val="BodyText"/>
      </w:pPr>
    </w:p>
    <w:p>
      <w:pPr>
        <w:pStyle w:val="BodyText"/>
        <w:spacing w:before="1"/>
        <w:ind w:left="1625" w:right="1604"/>
        <w:jc w:val="both"/>
      </w:pPr>
      <w:r>
        <w:rPr>
          <w:b/>
        </w:rPr>
        <w:t>Decreto N.º 36916 Organización general y bases operativas de la Red Nacional de Cuido y Desarrollo Infantil</w:t>
      </w:r>
      <w:r>
        <w:rPr/>
        <w:t>, Articula las diferentes actividades que se desarrollan en el país</w:t>
      </w:r>
      <w:r>
        <w:rPr>
          <w:spacing w:val="-16"/>
        </w:rPr>
        <w:t> </w:t>
      </w:r>
      <w:r>
        <w:rPr/>
        <w:t>en</w:t>
      </w:r>
      <w:r>
        <w:rPr>
          <w:spacing w:val="-15"/>
        </w:rPr>
        <w:t> </w:t>
      </w:r>
      <w:r>
        <w:rPr/>
        <w:t>materia</w:t>
      </w:r>
      <w:r>
        <w:rPr>
          <w:spacing w:val="-15"/>
        </w:rPr>
        <w:t> </w:t>
      </w:r>
      <w:r>
        <w:rPr/>
        <w:t>de</w:t>
      </w:r>
      <w:r>
        <w:rPr>
          <w:spacing w:val="-16"/>
        </w:rPr>
        <w:t> </w:t>
      </w:r>
      <w:r>
        <w:rPr/>
        <w:t>cuido</w:t>
      </w:r>
      <w:r>
        <w:rPr>
          <w:spacing w:val="-15"/>
        </w:rPr>
        <w:t> </w:t>
      </w:r>
      <w:r>
        <w:rPr/>
        <w:t>y</w:t>
      </w:r>
      <w:r>
        <w:rPr>
          <w:spacing w:val="-15"/>
        </w:rPr>
        <w:t> </w:t>
      </w:r>
      <w:r>
        <w:rPr/>
        <w:t>desarrollo</w:t>
      </w:r>
      <w:r>
        <w:rPr>
          <w:spacing w:val="-15"/>
        </w:rPr>
        <w:t> </w:t>
      </w:r>
      <w:r>
        <w:rPr/>
        <w:t>infantil,</w:t>
      </w:r>
      <w:r>
        <w:rPr>
          <w:spacing w:val="-16"/>
        </w:rPr>
        <w:t> </w:t>
      </w:r>
      <w:r>
        <w:rPr/>
        <w:t>tanto</w:t>
      </w:r>
      <w:r>
        <w:rPr>
          <w:spacing w:val="-15"/>
        </w:rPr>
        <w:t> </w:t>
      </w:r>
      <w:r>
        <w:rPr/>
        <w:t>públicas</w:t>
      </w:r>
      <w:r>
        <w:rPr>
          <w:spacing w:val="-15"/>
        </w:rPr>
        <w:t> </w:t>
      </w:r>
      <w:r>
        <w:rPr/>
        <w:t>como</w:t>
      </w:r>
      <w:r>
        <w:rPr>
          <w:spacing w:val="-16"/>
        </w:rPr>
        <w:t> </w:t>
      </w:r>
      <w:r>
        <w:rPr/>
        <w:t>privadas,</w:t>
      </w:r>
      <w:r>
        <w:rPr>
          <w:spacing w:val="-15"/>
        </w:rPr>
        <w:t> </w:t>
      </w:r>
      <w:r>
        <w:rPr/>
        <w:t>para</w:t>
      </w:r>
      <w:r>
        <w:rPr>
          <w:spacing w:val="-15"/>
        </w:rPr>
        <w:t> </w:t>
      </w:r>
      <w:r>
        <w:rPr/>
        <w:t>fortalecer las modalidades existentes y ampliar las alternativas de atención infantil integral, IMAS destina</w:t>
      </w:r>
      <w:r>
        <w:rPr>
          <w:spacing w:val="-11"/>
        </w:rPr>
        <w:t> </w:t>
      </w:r>
      <w:r>
        <w:rPr/>
        <w:t>recursos</w:t>
      </w:r>
      <w:r>
        <w:rPr>
          <w:spacing w:val="-9"/>
        </w:rPr>
        <w:t> </w:t>
      </w:r>
      <w:r>
        <w:rPr/>
        <w:t>para</w:t>
      </w:r>
      <w:r>
        <w:rPr>
          <w:spacing w:val="-11"/>
        </w:rPr>
        <w:t> </w:t>
      </w:r>
      <w:r>
        <w:rPr/>
        <w:t>construcción,</w:t>
      </w:r>
      <w:r>
        <w:rPr>
          <w:spacing w:val="-10"/>
        </w:rPr>
        <w:t> </w:t>
      </w:r>
      <w:r>
        <w:rPr/>
        <w:t>remodelación,</w:t>
      </w:r>
      <w:r>
        <w:rPr>
          <w:spacing w:val="-8"/>
        </w:rPr>
        <w:t> </w:t>
      </w:r>
      <w:r>
        <w:rPr/>
        <w:t>ampliación,</w:t>
      </w:r>
      <w:r>
        <w:rPr>
          <w:spacing w:val="-8"/>
        </w:rPr>
        <w:t> </w:t>
      </w:r>
      <w:r>
        <w:rPr/>
        <w:t>compra</w:t>
      </w:r>
      <w:r>
        <w:rPr>
          <w:spacing w:val="-9"/>
        </w:rPr>
        <w:t> </w:t>
      </w:r>
      <w:r>
        <w:rPr/>
        <w:t>de</w:t>
      </w:r>
      <w:r>
        <w:rPr>
          <w:spacing w:val="-14"/>
        </w:rPr>
        <w:t> </w:t>
      </w:r>
      <w:r>
        <w:rPr/>
        <w:t>edificaciones</w:t>
      </w:r>
      <w:r>
        <w:rPr>
          <w:spacing w:val="-9"/>
        </w:rPr>
        <w:t> </w:t>
      </w:r>
      <w:r>
        <w:rPr/>
        <w:t>y terrenos, alquiler, equipamiento, apertura y operación de centros de cuido y desarrollo infantil. fecha de vigencia 20/01/2012.</w:t>
      </w:r>
    </w:p>
    <w:p>
      <w:pPr>
        <w:pStyle w:val="BodyText"/>
        <w:spacing w:before="253"/>
        <w:ind w:left="1625" w:right="1602"/>
        <w:jc w:val="both"/>
      </w:pPr>
      <w:r>
        <w:rPr>
          <w:b/>
        </w:rPr>
        <w:t>Decreto N°34918 </w:t>
      </w:r>
      <w:r>
        <w:rPr/>
        <w:t>REFORMA "Adopción e Implementación de las Normas Internacionales</w:t>
      </w:r>
      <w:r>
        <w:rPr>
          <w:spacing w:val="-3"/>
        </w:rPr>
        <w:t> </w:t>
      </w:r>
      <w:r>
        <w:rPr/>
        <w:t>de</w:t>
      </w:r>
      <w:r>
        <w:rPr>
          <w:spacing w:val="-3"/>
        </w:rPr>
        <w:t> </w:t>
      </w:r>
      <w:r>
        <w:rPr/>
        <w:t>Contabilidad</w:t>
      </w:r>
      <w:r>
        <w:rPr>
          <w:spacing w:val="-3"/>
        </w:rPr>
        <w:t> </w:t>
      </w:r>
      <w:r>
        <w:rPr/>
        <w:t>del</w:t>
      </w:r>
      <w:r>
        <w:rPr>
          <w:spacing w:val="-3"/>
        </w:rPr>
        <w:t> </w:t>
      </w:r>
      <w:r>
        <w:rPr/>
        <w:t>Sector</w:t>
      </w:r>
      <w:r>
        <w:rPr>
          <w:spacing w:val="-1"/>
        </w:rPr>
        <w:t> </w:t>
      </w:r>
      <w:r>
        <w:rPr/>
        <w:t>Público</w:t>
      </w:r>
      <w:r>
        <w:rPr>
          <w:spacing w:val="-3"/>
        </w:rPr>
        <w:t> </w:t>
      </w:r>
      <w:r>
        <w:rPr/>
        <w:t>(NICSP),</w:t>
      </w:r>
      <w:r>
        <w:rPr>
          <w:spacing w:val="-4"/>
        </w:rPr>
        <w:t> </w:t>
      </w:r>
      <w:r>
        <w:rPr/>
        <w:t>en</w:t>
      </w:r>
      <w:r>
        <w:rPr>
          <w:spacing w:val="-3"/>
        </w:rPr>
        <w:t> </w:t>
      </w:r>
      <w:r>
        <w:rPr/>
        <w:t>el</w:t>
      </w:r>
      <w:r>
        <w:rPr>
          <w:spacing w:val="-4"/>
        </w:rPr>
        <w:t> </w:t>
      </w:r>
      <w:r>
        <w:rPr/>
        <w:t>Ámbito</w:t>
      </w:r>
      <w:r>
        <w:rPr>
          <w:spacing w:val="-5"/>
        </w:rPr>
        <w:t> </w:t>
      </w:r>
      <w:r>
        <w:rPr/>
        <w:t>Costarricense" y</w:t>
      </w:r>
      <w:r>
        <w:rPr>
          <w:spacing w:val="-7"/>
        </w:rPr>
        <w:t> </w:t>
      </w:r>
      <w:r>
        <w:rPr/>
        <w:t>el</w:t>
      </w:r>
      <w:r>
        <w:rPr>
          <w:spacing w:val="-8"/>
        </w:rPr>
        <w:t> </w:t>
      </w:r>
      <w:r>
        <w:rPr/>
        <w:t>decreto</w:t>
      </w:r>
      <w:r>
        <w:rPr>
          <w:spacing w:val="-7"/>
        </w:rPr>
        <w:t> </w:t>
      </w:r>
      <w:r>
        <w:rPr/>
        <w:t>34460</w:t>
      </w:r>
      <w:r>
        <w:rPr>
          <w:spacing w:val="-10"/>
        </w:rPr>
        <w:t> </w:t>
      </w:r>
      <w:r>
        <w:rPr/>
        <w:t>"Principios</w:t>
      </w:r>
      <w:r>
        <w:rPr>
          <w:spacing w:val="-7"/>
        </w:rPr>
        <w:t> </w:t>
      </w:r>
      <w:r>
        <w:rPr/>
        <w:t>de</w:t>
      </w:r>
      <w:r>
        <w:rPr>
          <w:spacing w:val="-8"/>
        </w:rPr>
        <w:t> </w:t>
      </w:r>
      <w:r>
        <w:rPr/>
        <w:t>Contabilidad</w:t>
      </w:r>
      <w:r>
        <w:rPr>
          <w:spacing w:val="-7"/>
        </w:rPr>
        <w:t> </w:t>
      </w:r>
      <w:r>
        <w:rPr/>
        <w:t>Aplicables</w:t>
      </w:r>
      <w:r>
        <w:rPr>
          <w:spacing w:val="-7"/>
        </w:rPr>
        <w:t> </w:t>
      </w:r>
      <w:r>
        <w:rPr/>
        <w:t>al</w:t>
      </w:r>
      <w:r>
        <w:rPr>
          <w:spacing w:val="-8"/>
        </w:rPr>
        <w:t> </w:t>
      </w:r>
      <w:r>
        <w:rPr/>
        <w:t>Sector</w:t>
      </w:r>
      <w:r>
        <w:rPr>
          <w:spacing w:val="-6"/>
        </w:rPr>
        <w:t> </w:t>
      </w:r>
      <w:r>
        <w:rPr/>
        <w:t>Público</w:t>
      </w:r>
      <w:r>
        <w:rPr>
          <w:spacing w:val="-7"/>
        </w:rPr>
        <w:t> </w:t>
      </w:r>
      <w:r>
        <w:rPr/>
        <w:t>Costarricense "36961-H,</w:t>
      </w:r>
      <w:r>
        <w:rPr>
          <w:spacing w:val="-8"/>
        </w:rPr>
        <w:t> </w:t>
      </w:r>
      <w:r>
        <w:rPr/>
        <w:t>Reforma</w:t>
      </w:r>
      <w:r>
        <w:rPr>
          <w:spacing w:val="-10"/>
        </w:rPr>
        <w:t> </w:t>
      </w:r>
      <w:r>
        <w:rPr/>
        <w:t>el</w:t>
      </w:r>
      <w:r>
        <w:rPr>
          <w:spacing w:val="-8"/>
        </w:rPr>
        <w:t> </w:t>
      </w:r>
      <w:r>
        <w:rPr/>
        <w:t>artículo</w:t>
      </w:r>
      <w:r>
        <w:rPr>
          <w:spacing w:val="-7"/>
        </w:rPr>
        <w:t> </w:t>
      </w:r>
      <w:r>
        <w:rPr/>
        <w:t>7°</w:t>
      </w:r>
      <w:r>
        <w:rPr>
          <w:spacing w:val="-9"/>
        </w:rPr>
        <w:t> </w:t>
      </w:r>
      <w:r>
        <w:rPr/>
        <w:t>del</w:t>
      </w:r>
      <w:r>
        <w:rPr>
          <w:spacing w:val="-8"/>
        </w:rPr>
        <w:t> </w:t>
      </w:r>
      <w:r>
        <w:rPr/>
        <w:t>Decreto</w:t>
      </w:r>
      <w:r>
        <w:rPr>
          <w:spacing w:val="-7"/>
        </w:rPr>
        <w:t> </w:t>
      </w:r>
      <w:r>
        <w:rPr/>
        <w:t>N°</w:t>
      </w:r>
      <w:r>
        <w:rPr>
          <w:spacing w:val="-7"/>
        </w:rPr>
        <w:t> </w:t>
      </w:r>
      <w:r>
        <w:rPr/>
        <w:t>34918-H.</w:t>
      </w:r>
      <w:r>
        <w:rPr>
          <w:spacing w:val="-6"/>
        </w:rPr>
        <w:t> </w:t>
      </w:r>
      <w:r>
        <w:rPr/>
        <w:t>Fecha</w:t>
      </w:r>
      <w:r>
        <w:rPr>
          <w:spacing w:val="-8"/>
        </w:rPr>
        <w:t> </w:t>
      </w:r>
      <w:r>
        <w:rPr/>
        <w:t>de</w:t>
      </w:r>
      <w:r>
        <w:rPr>
          <w:spacing w:val="-10"/>
        </w:rPr>
        <w:t> </w:t>
      </w:r>
      <w:r>
        <w:rPr/>
        <w:t>vigencia</w:t>
      </w:r>
      <w:r>
        <w:rPr>
          <w:spacing w:val="-7"/>
        </w:rPr>
        <w:t> </w:t>
      </w:r>
      <w:r>
        <w:rPr/>
        <w:t>03/02/2012.</w:t>
      </w:r>
    </w:p>
    <w:p>
      <w:pPr>
        <w:pStyle w:val="BodyText"/>
        <w:spacing w:before="2"/>
      </w:pPr>
    </w:p>
    <w:p>
      <w:pPr>
        <w:spacing w:before="0"/>
        <w:ind w:left="1625" w:right="1602" w:firstLine="0"/>
        <w:jc w:val="both"/>
        <w:rPr>
          <w:sz w:val="22"/>
        </w:rPr>
      </w:pPr>
      <w:r>
        <w:rPr>
          <w:b/>
          <w:sz w:val="22"/>
        </w:rPr>
        <w:t>Decreto N</w:t>
      </w:r>
      <w:r>
        <w:rPr>
          <w:b/>
          <w:i/>
          <w:sz w:val="22"/>
        </w:rPr>
        <w:t>°</w:t>
      </w:r>
      <w:r>
        <w:rPr>
          <w:b/>
          <w:sz w:val="22"/>
        </w:rPr>
        <w:t>37045-MP-MEIC. Reglamento a la Ley de Protección al Ciudadano del Exceso</w:t>
      </w:r>
      <w:r>
        <w:rPr>
          <w:b/>
          <w:spacing w:val="-1"/>
          <w:sz w:val="22"/>
        </w:rPr>
        <w:t> </w:t>
      </w:r>
      <w:r>
        <w:rPr>
          <w:b/>
          <w:sz w:val="22"/>
        </w:rPr>
        <w:t>de</w:t>
      </w:r>
      <w:r>
        <w:rPr>
          <w:b/>
          <w:spacing w:val="-3"/>
          <w:sz w:val="22"/>
        </w:rPr>
        <w:t> </w:t>
      </w:r>
      <w:r>
        <w:rPr>
          <w:b/>
          <w:sz w:val="22"/>
        </w:rPr>
        <w:t>Requisitos</w:t>
      </w:r>
      <w:r>
        <w:rPr>
          <w:b/>
          <w:spacing w:val="-6"/>
          <w:sz w:val="22"/>
        </w:rPr>
        <w:t> </w:t>
      </w:r>
      <w:r>
        <w:rPr>
          <w:b/>
          <w:sz w:val="22"/>
        </w:rPr>
        <w:t>y</w:t>
      </w:r>
      <w:r>
        <w:rPr>
          <w:b/>
          <w:spacing w:val="-3"/>
          <w:sz w:val="22"/>
        </w:rPr>
        <w:t> </w:t>
      </w:r>
      <w:r>
        <w:rPr>
          <w:b/>
          <w:sz w:val="22"/>
        </w:rPr>
        <w:t>Trámites</w:t>
      </w:r>
      <w:r>
        <w:rPr>
          <w:b/>
          <w:spacing w:val="-5"/>
          <w:sz w:val="22"/>
        </w:rPr>
        <w:t> </w:t>
      </w:r>
      <w:r>
        <w:rPr>
          <w:b/>
          <w:sz w:val="22"/>
        </w:rPr>
        <w:t>Administrativos. </w:t>
      </w:r>
      <w:r>
        <w:rPr>
          <w:sz w:val="22"/>
        </w:rPr>
        <w:t>Procura</w:t>
      </w:r>
      <w:r>
        <w:rPr>
          <w:spacing w:val="-3"/>
          <w:sz w:val="22"/>
        </w:rPr>
        <w:t> </w:t>
      </w:r>
      <w:r>
        <w:rPr>
          <w:sz w:val="22"/>
        </w:rPr>
        <w:t>evitar</w:t>
      </w:r>
      <w:r>
        <w:rPr>
          <w:spacing w:val="-2"/>
          <w:sz w:val="22"/>
        </w:rPr>
        <w:t> </w:t>
      </w:r>
      <w:r>
        <w:rPr>
          <w:sz w:val="22"/>
        </w:rPr>
        <w:t>que</w:t>
      </w:r>
      <w:r>
        <w:rPr>
          <w:spacing w:val="-5"/>
          <w:sz w:val="22"/>
        </w:rPr>
        <w:t> </w:t>
      </w:r>
      <w:r>
        <w:rPr>
          <w:sz w:val="22"/>
        </w:rPr>
        <w:t>el</w:t>
      </w:r>
      <w:r>
        <w:rPr>
          <w:spacing w:val="-2"/>
          <w:sz w:val="22"/>
        </w:rPr>
        <w:t> </w:t>
      </w:r>
      <w:r>
        <w:rPr>
          <w:sz w:val="22"/>
        </w:rPr>
        <w:t>administrado deba presentar documentos duplicados, con los que ya cuente la institución solicitante, Atañe a toda la Administración Pública. Fecha de vigencia 23/03/2012.</w:t>
      </w:r>
    </w:p>
    <w:p>
      <w:pPr>
        <w:pStyle w:val="BodyText"/>
      </w:pPr>
    </w:p>
    <w:p>
      <w:pPr>
        <w:spacing w:before="0"/>
        <w:ind w:left="1625" w:right="1606" w:firstLine="0"/>
        <w:jc w:val="both"/>
        <w:rPr>
          <w:sz w:val="22"/>
        </w:rPr>
      </w:pPr>
      <w:r>
        <w:rPr>
          <w:b/>
          <w:sz w:val="22"/>
        </w:rPr>
        <w:t>Decreto N°36855 MP-MTSS-MBSF Reglamento Orgánico del IMAS y sus reformas. </w:t>
      </w:r>
      <w:r>
        <w:rPr>
          <w:sz w:val="22"/>
        </w:rPr>
        <w:t>Reglamenta el funcionar del IMAS. Norma de organización y operativización del IMAS. Fecha de vigencia 10/04/2012.</w:t>
      </w:r>
    </w:p>
    <w:p>
      <w:pPr>
        <w:spacing w:before="252"/>
        <w:ind w:left="1625" w:right="1604" w:firstLine="0"/>
        <w:jc w:val="both"/>
        <w:rPr>
          <w:sz w:val="22"/>
        </w:rPr>
      </w:pPr>
      <w:r>
        <w:rPr>
          <w:b/>
          <w:sz w:val="22"/>
        </w:rPr>
        <w:t>Decreto N°38906-MEIC-MAG-MH-MIDEPLAN. Reglamento a la Ley 9274, "Reforma integral de la Ley N° 8634, Ley del Sistema de Banca para el Desarrollo y Reforma de</w:t>
      </w:r>
      <w:r>
        <w:rPr>
          <w:b/>
          <w:spacing w:val="-1"/>
          <w:sz w:val="22"/>
        </w:rPr>
        <w:t> </w:t>
      </w:r>
      <w:r>
        <w:rPr>
          <w:b/>
          <w:sz w:val="22"/>
        </w:rPr>
        <w:t>Otras</w:t>
      </w:r>
      <w:r>
        <w:rPr>
          <w:b/>
          <w:spacing w:val="-3"/>
          <w:sz w:val="22"/>
        </w:rPr>
        <w:t> </w:t>
      </w:r>
      <w:r>
        <w:rPr>
          <w:b/>
          <w:sz w:val="22"/>
        </w:rPr>
        <w:t>Leyes</w:t>
      </w:r>
      <w:r>
        <w:rPr>
          <w:sz w:val="22"/>
        </w:rPr>
        <w:t>.</w:t>
      </w:r>
      <w:r>
        <w:rPr>
          <w:spacing w:val="-2"/>
          <w:sz w:val="22"/>
        </w:rPr>
        <w:t> </w:t>
      </w:r>
      <w:r>
        <w:rPr>
          <w:sz w:val="22"/>
        </w:rPr>
        <w:t>Regula</w:t>
      </w:r>
      <w:r>
        <w:rPr>
          <w:spacing w:val="-1"/>
          <w:sz w:val="22"/>
        </w:rPr>
        <w:t> </w:t>
      </w:r>
      <w:r>
        <w:rPr>
          <w:sz w:val="22"/>
        </w:rPr>
        <w:t>de</w:t>
      </w:r>
      <w:r>
        <w:rPr>
          <w:spacing w:val="-3"/>
          <w:sz w:val="22"/>
        </w:rPr>
        <w:t> </w:t>
      </w:r>
      <w:r>
        <w:rPr>
          <w:sz w:val="22"/>
        </w:rPr>
        <w:t>manera</w:t>
      </w:r>
      <w:r>
        <w:rPr>
          <w:spacing w:val="-3"/>
          <w:sz w:val="22"/>
        </w:rPr>
        <w:t> </w:t>
      </w:r>
      <w:r>
        <w:rPr>
          <w:sz w:val="22"/>
        </w:rPr>
        <w:t>integral</w:t>
      </w:r>
      <w:r>
        <w:rPr>
          <w:spacing w:val="-4"/>
          <w:sz w:val="22"/>
        </w:rPr>
        <w:t> </w:t>
      </w:r>
      <w:r>
        <w:rPr>
          <w:sz w:val="22"/>
        </w:rPr>
        <w:t>la</w:t>
      </w:r>
      <w:r>
        <w:rPr>
          <w:spacing w:val="-1"/>
          <w:sz w:val="22"/>
        </w:rPr>
        <w:t> </w:t>
      </w:r>
      <w:r>
        <w:rPr>
          <w:sz w:val="22"/>
        </w:rPr>
        <w:t>Ley 9274. Fecha</w:t>
      </w:r>
      <w:r>
        <w:rPr>
          <w:spacing w:val="-3"/>
          <w:sz w:val="22"/>
        </w:rPr>
        <w:t> </w:t>
      </w:r>
      <w:r>
        <w:rPr>
          <w:sz w:val="22"/>
        </w:rPr>
        <w:t>de</w:t>
      </w:r>
      <w:r>
        <w:rPr>
          <w:spacing w:val="-1"/>
          <w:sz w:val="22"/>
        </w:rPr>
        <w:t> </w:t>
      </w:r>
      <w:r>
        <w:rPr>
          <w:sz w:val="22"/>
        </w:rPr>
        <w:t>vigencia 09/03/2015.</w:t>
      </w:r>
    </w:p>
    <w:p>
      <w:pPr>
        <w:pStyle w:val="BodyText"/>
      </w:pPr>
    </w:p>
    <w:p>
      <w:pPr>
        <w:spacing w:before="0"/>
        <w:ind w:left="1625" w:right="1602" w:firstLine="0"/>
        <w:jc w:val="both"/>
        <w:rPr>
          <w:b/>
          <w:sz w:val="22"/>
        </w:rPr>
      </w:pPr>
      <w:r>
        <w:rPr>
          <w:b/>
          <w:sz w:val="22"/>
        </w:rPr>
        <w:t>Decreto N°38999-MP-RE-JP-SP-MG-H-MAG-MEIC-MINAE-MOPT-MEP-S- MTSS-COMEX-MIDEPLAN-MICITT-MIVAH-MC-TUR-MDHIS-MCM-MIDEPOR</w:t>
      </w:r>
      <w:r>
        <w:rPr>
          <w:b/>
          <w:spacing w:val="80"/>
          <w:w w:val="150"/>
          <w:sz w:val="22"/>
        </w:rPr>
        <w:t> </w:t>
      </w:r>
      <w:r>
        <w:rPr>
          <w:b/>
          <w:sz w:val="22"/>
        </w:rPr>
        <w:t>Política</w:t>
      </w:r>
      <w:r>
        <w:rPr>
          <w:b/>
          <w:spacing w:val="80"/>
          <w:w w:val="150"/>
          <w:sz w:val="22"/>
        </w:rPr>
        <w:t> </w:t>
      </w:r>
      <w:r>
        <w:rPr>
          <w:b/>
          <w:sz w:val="22"/>
        </w:rPr>
        <w:t>del</w:t>
      </w:r>
    </w:p>
    <w:p>
      <w:pPr>
        <w:spacing w:before="1"/>
        <w:ind w:left="1625" w:right="1603" w:firstLine="0"/>
        <w:jc w:val="both"/>
        <w:rPr>
          <w:sz w:val="22"/>
        </w:rPr>
      </w:pPr>
      <w:r>
        <w:rPr>
          <w:b/>
          <w:sz w:val="22"/>
        </w:rPr>
        <w:t>Poder Ejecutivo para Erradicar de sus Instituciones la Discriminación hacia la Población LGBTI</w:t>
      </w:r>
      <w:r>
        <w:rPr>
          <w:sz w:val="22"/>
        </w:rPr>
        <w:t>. Instruye a cada órgano del Poder Ejecutivo a desarrollar un "Plan Institucional en contra de la Discriminación hacia la Población LGBTI”, Atañe a toda la Administración Pública. Fecha de vigencia 15/05/2015.</w:t>
      </w:r>
    </w:p>
    <w:p>
      <w:pPr>
        <w:pStyle w:val="BodyText"/>
      </w:pPr>
    </w:p>
    <w:p>
      <w:pPr>
        <w:spacing w:before="0"/>
        <w:ind w:left="1625" w:right="1604" w:firstLine="0"/>
        <w:jc w:val="both"/>
        <w:rPr>
          <w:sz w:val="22"/>
        </w:rPr>
      </w:pPr>
      <w:r>
        <w:rPr>
          <w:b/>
          <w:sz w:val="22"/>
        </w:rPr>
        <w:t>Decreto</w:t>
      </w:r>
      <w:r>
        <w:rPr>
          <w:b/>
          <w:spacing w:val="-2"/>
          <w:sz w:val="22"/>
        </w:rPr>
        <w:t> </w:t>
      </w:r>
      <w:r>
        <w:rPr>
          <w:b/>
          <w:sz w:val="22"/>
        </w:rPr>
        <w:t>N°39648-MDHIS-MIDEPLAN.</w:t>
      </w:r>
      <w:r>
        <w:rPr>
          <w:b/>
          <w:spacing w:val="-3"/>
          <w:sz w:val="22"/>
        </w:rPr>
        <w:t> </w:t>
      </w:r>
      <w:r>
        <w:rPr>
          <w:b/>
          <w:sz w:val="22"/>
        </w:rPr>
        <w:t>Define</w:t>
      </w:r>
      <w:r>
        <w:rPr>
          <w:b/>
          <w:spacing w:val="-5"/>
          <w:sz w:val="22"/>
        </w:rPr>
        <w:t> </w:t>
      </w:r>
      <w:r>
        <w:rPr>
          <w:b/>
          <w:sz w:val="22"/>
        </w:rPr>
        <w:t>el</w:t>
      </w:r>
      <w:r>
        <w:rPr>
          <w:b/>
          <w:spacing w:val="-3"/>
          <w:sz w:val="22"/>
        </w:rPr>
        <w:t> </w:t>
      </w:r>
      <w:r>
        <w:rPr>
          <w:b/>
          <w:sz w:val="22"/>
        </w:rPr>
        <w:t>uso</w:t>
      </w:r>
      <w:r>
        <w:rPr>
          <w:b/>
          <w:spacing w:val="-2"/>
          <w:sz w:val="22"/>
        </w:rPr>
        <w:t> </w:t>
      </w:r>
      <w:r>
        <w:rPr>
          <w:b/>
          <w:sz w:val="22"/>
        </w:rPr>
        <w:t>de</w:t>
      </w:r>
      <w:r>
        <w:rPr>
          <w:b/>
          <w:spacing w:val="-4"/>
          <w:sz w:val="22"/>
        </w:rPr>
        <w:t> </w:t>
      </w:r>
      <w:r>
        <w:rPr>
          <w:b/>
          <w:sz w:val="22"/>
        </w:rPr>
        <w:t>los</w:t>
      </w:r>
      <w:r>
        <w:rPr>
          <w:b/>
          <w:spacing w:val="-5"/>
          <w:sz w:val="22"/>
        </w:rPr>
        <w:t> </w:t>
      </w:r>
      <w:r>
        <w:rPr>
          <w:b/>
          <w:sz w:val="22"/>
        </w:rPr>
        <w:t>Mapas</w:t>
      </w:r>
      <w:r>
        <w:rPr>
          <w:b/>
          <w:spacing w:val="-4"/>
          <w:sz w:val="22"/>
        </w:rPr>
        <w:t> </w:t>
      </w:r>
      <w:r>
        <w:rPr>
          <w:b/>
          <w:sz w:val="22"/>
        </w:rPr>
        <w:t>Sociales</w:t>
      </w:r>
      <w:r>
        <w:rPr>
          <w:b/>
          <w:spacing w:val="-2"/>
          <w:sz w:val="22"/>
        </w:rPr>
        <w:t> </w:t>
      </w:r>
      <w:r>
        <w:rPr>
          <w:b/>
          <w:sz w:val="22"/>
        </w:rPr>
        <w:t>para</w:t>
      </w:r>
      <w:r>
        <w:rPr>
          <w:b/>
          <w:spacing w:val="-6"/>
          <w:sz w:val="22"/>
        </w:rPr>
        <w:t> </w:t>
      </w:r>
      <w:r>
        <w:rPr>
          <w:b/>
          <w:sz w:val="22"/>
        </w:rPr>
        <w:t>Geo Referenciación de Información del INEC</w:t>
      </w:r>
      <w:r>
        <w:rPr>
          <w:sz w:val="22"/>
        </w:rPr>
        <w:t>. Incorporación sistemática de criterios de carácter geográfico y territorial de cara a la identificación, priorización y caracterización de</w:t>
      </w:r>
      <w:r>
        <w:rPr>
          <w:spacing w:val="-2"/>
          <w:sz w:val="22"/>
        </w:rPr>
        <w:t> </w:t>
      </w:r>
      <w:r>
        <w:rPr>
          <w:sz w:val="22"/>
        </w:rPr>
        <w:t>la</w:t>
      </w:r>
      <w:r>
        <w:rPr>
          <w:spacing w:val="-2"/>
          <w:sz w:val="22"/>
        </w:rPr>
        <w:t> </w:t>
      </w:r>
      <w:r>
        <w:rPr>
          <w:sz w:val="22"/>
        </w:rPr>
        <w:t>población, El</w:t>
      </w:r>
      <w:r>
        <w:rPr>
          <w:spacing w:val="-2"/>
          <w:sz w:val="22"/>
        </w:rPr>
        <w:t> </w:t>
      </w:r>
      <w:r>
        <w:rPr>
          <w:sz w:val="22"/>
        </w:rPr>
        <w:t>IMAS</w:t>
      </w:r>
      <w:r>
        <w:rPr>
          <w:spacing w:val="-5"/>
          <w:sz w:val="22"/>
        </w:rPr>
        <w:t> </w:t>
      </w:r>
      <w:r>
        <w:rPr>
          <w:sz w:val="22"/>
        </w:rPr>
        <w:t>a</w:t>
      </w:r>
      <w:r>
        <w:rPr>
          <w:spacing w:val="-2"/>
          <w:sz w:val="22"/>
        </w:rPr>
        <w:t> </w:t>
      </w:r>
      <w:r>
        <w:rPr>
          <w:sz w:val="22"/>
        </w:rPr>
        <w:t>través</w:t>
      </w:r>
      <w:r>
        <w:rPr>
          <w:spacing w:val="-2"/>
          <w:sz w:val="22"/>
        </w:rPr>
        <w:t> </w:t>
      </w:r>
      <w:r>
        <w:rPr>
          <w:sz w:val="22"/>
        </w:rPr>
        <w:t>del</w:t>
      </w:r>
      <w:r>
        <w:rPr>
          <w:spacing w:val="-2"/>
          <w:sz w:val="22"/>
        </w:rPr>
        <w:t> </w:t>
      </w:r>
      <w:r>
        <w:rPr>
          <w:sz w:val="22"/>
        </w:rPr>
        <w:t>SINIRUBE</w:t>
      </w:r>
      <w:r>
        <w:rPr>
          <w:spacing w:val="-2"/>
          <w:sz w:val="22"/>
        </w:rPr>
        <w:t> </w:t>
      </w:r>
      <w:r>
        <w:rPr>
          <w:sz w:val="22"/>
        </w:rPr>
        <w:t>indicará</w:t>
      </w:r>
      <w:r>
        <w:rPr>
          <w:spacing w:val="-1"/>
          <w:sz w:val="22"/>
        </w:rPr>
        <w:t> </w:t>
      </w:r>
      <w:r>
        <w:rPr>
          <w:sz w:val="22"/>
        </w:rPr>
        <w:t>la</w:t>
      </w:r>
      <w:r>
        <w:rPr>
          <w:spacing w:val="-2"/>
          <w:sz w:val="22"/>
        </w:rPr>
        <w:t> </w:t>
      </w:r>
      <w:r>
        <w:rPr>
          <w:sz w:val="22"/>
        </w:rPr>
        <w:t>periodicidad</w:t>
      </w:r>
      <w:r>
        <w:rPr>
          <w:spacing w:val="-2"/>
          <w:sz w:val="22"/>
        </w:rPr>
        <w:t> </w:t>
      </w:r>
      <w:r>
        <w:rPr>
          <w:sz w:val="22"/>
        </w:rPr>
        <w:t>en</w:t>
      </w:r>
      <w:r>
        <w:rPr>
          <w:spacing w:val="-2"/>
          <w:sz w:val="22"/>
        </w:rPr>
        <w:t> </w:t>
      </w:r>
      <w:r>
        <w:rPr>
          <w:sz w:val="22"/>
        </w:rPr>
        <w:t>que</w:t>
      </w:r>
      <w:r>
        <w:rPr>
          <w:spacing w:val="-2"/>
          <w:sz w:val="22"/>
        </w:rPr>
        <w:t> </w:t>
      </w:r>
      <w:r>
        <w:rPr>
          <w:sz w:val="22"/>
        </w:rPr>
        <w:t>se</w:t>
      </w:r>
      <w:r>
        <w:rPr>
          <w:spacing w:val="-1"/>
          <w:sz w:val="22"/>
        </w:rPr>
        <w:t> </w:t>
      </w:r>
      <w:r>
        <w:rPr>
          <w:sz w:val="22"/>
        </w:rPr>
        <w:t>envíe la información, además de cuál debe ser la información que generen las instituciones. Fecha de vigencia 20/06/2016.</w:t>
      </w:r>
    </w:p>
    <w:p>
      <w:pPr>
        <w:spacing w:after="0"/>
        <w:jc w:val="both"/>
        <w:rPr>
          <w:sz w:val="22"/>
        </w:rPr>
        <w:sectPr>
          <w:pgSz w:w="12240" w:h="15840"/>
          <w:pgMar w:header="0" w:footer="1576" w:top="1000" w:bottom="1760" w:left="360" w:right="0"/>
        </w:sectPr>
      </w:pPr>
    </w:p>
    <w:p>
      <w:pPr>
        <w:spacing w:before="77"/>
        <w:ind w:left="1625" w:right="1603" w:firstLine="0"/>
        <w:jc w:val="both"/>
        <w:rPr>
          <w:sz w:val="22"/>
        </w:rPr>
      </w:pPr>
      <w:r>
        <w:rPr>
          <w:b/>
          <w:sz w:val="22"/>
        </w:rPr>
        <w:t>Decreto N°39705-S. Exonerar del Registro Sanitario a los Alimentos Procesados y Cosméticos</w:t>
      </w:r>
      <w:r>
        <w:rPr>
          <w:b/>
          <w:spacing w:val="-14"/>
          <w:sz w:val="22"/>
        </w:rPr>
        <w:t> </w:t>
      </w:r>
      <w:r>
        <w:rPr>
          <w:b/>
          <w:sz w:val="22"/>
        </w:rPr>
        <w:t>Importados</w:t>
      </w:r>
      <w:r>
        <w:rPr>
          <w:b/>
          <w:spacing w:val="-11"/>
          <w:sz w:val="22"/>
        </w:rPr>
        <w:t> </w:t>
      </w:r>
      <w:r>
        <w:rPr>
          <w:b/>
          <w:sz w:val="22"/>
        </w:rPr>
        <w:t>y</w:t>
      </w:r>
      <w:r>
        <w:rPr>
          <w:b/>
          <w:spacing w:val="-11"/>
          <w:sz w:val="22"/>
        </w:rPr>
        <w:t> </w:t>
      </w:r>
      <w:r>
        <w:rPr>
          <w:b/>
          <w:sz w:val="22"/>
        </w:rPr>
        <w:t>Destinados</w:t>
      </w:r>
      <w:r>
        <w:rPr>
          <w:b/>
          <w:spacing w:val="-11"/>
          <w:sz w:val="22"/>
        </w:rPr>
        <w:t> </w:t>
      </w:r>
      <w:r>
        <w:rPr>
          <w:b/>
          <w:sz w:val="22"/>
        </w:rPr>
        <w:t>para</w:t>
      </w:r>
      <w:r>
        <w:rPr>
          <w:b/>
          <w:spacing w:val="-11"/>
          <w:sz w:val="22"/>
        </w:rPr>
        <w:t> </w:t>
      </w:r>
      <w:r>
        <w:rPr>
          <w:b/>
          <w:sz w:val="22"/>
        </w:rPr>
        <w:t>la</w:t>
      </w:r>
      <w:r>
        <w:rPr>
          <w:b/>
          <w:spacing w:val="-14"/>
          <w:sz w:val="22"/>
        </w:rPr>
        <w:t> </w:t>
      </w:r>
      <w:r>
        <w:rPr>
          <w:b/>
          <w:sz w:val="22"/>
        </w:rPr>
        <w:t>Venta</w:t>
      </w:r>
      <w:r>
        <w:rPr>
          <w:b/>
          <w:spacing w:val="-11"/>
          <w:sz w:val="22"/>
        </w:rPr>
        <w:t> </w:t>
      </w:r>
      <w:r>
        <w:rPr>
          <w:b/>
          <w:sz w:val="22"/>
        </w:rPr>
        <w:t>Exclusiva</w:t>
      </w:r>
      <w:r>
        <w:rPr>
          <w:b/>
          <w:spacing w:val="-14"/>
          <w:sz w:val="22"/>
        </w:rPr>
        <w:t> </w:t>
      </w:r>
      <w:r>
        <w:rPr>
          <w:b/>
          <w:sz w:val="22"/>
        </w:rPr>
        <w:t>de</w:t>
      </w:r>
      <w:r>
        <w:rPr>
          <w:b/>
          <w:spacing w:val="-12"/>
          <w:sz w:val="22"/>
        </w:rPr>
        <w:t> </w:t>
      </w:r>
      <w:r>
        <w:rPr>
          <w:b/>
          <w:sz w:val="22"/>
        </w:rPr>
        <w:t>las</w:t>
      </w:r>
      <w:r>
        <w:rPr>
          <w:b/>
          <w:spacing w:val="-14"/>
          <w:sz w:val="22"/>
        </w:rPr>
        <w:t> </w:t>
      </w:r>
      <w:r>
        <w:rPr>
          <w:b/>
          <w:sz w:val="22"/>
        </w:rPr>
        <w:t>Tiendas</w:t>
      </w:r>
      <w:r>
        <w:rPr>
          <w:b/>
          <w:spacing w:val="-12"/>
          <w:sz w:val="22"/>
        </w:rPr>
        <w:t> </w:t>
      </w:r>
      <w:r>
        <w:rPr>
          <w:b/>
          <w:sz w:val="22"/>
        </w:rPr>
        <w:t>Libres del</w:t>
      </w:r>
      <w:r>
        <w:rPr>
          <w:b/>
          <w:spacing w:val="-1"/>
          <w:sz w:val="22"/>
        </w:rPr>
        <w:t> </w:t>
      </w:r>
      <w:r>
        <w:rPr>
          <w:b/>
          <w:sz w:val="22"/>
        </w:rPr>
        <w:t>Instituto</w:t>
      </w:r>
      <w:r>
        <w:rPr>
          <w:b/>
          <w:spacing w:val="-5"/>
          <w:sz w:val="22"/>
        </w:rPr>
        <w:t> </w:t>
      </w:r>
      <w:r>
        <w:rPr>
          <w:b/>
          <w:sz w:val="22"/>
        </w:rPr>
        <w:t>Mixto</w:t>
      </w:r>
      <w:r>
        <w:rPr>
          <w:b/>
          <w:spacing w:val="-5"/>
          <w:sz w:val="22"/>
        </w:rPr>
        <w:t> </w:t>
      </w:r>
      <w:r>
        <w:rPr>
          <w:b/>
          <w:sz w:val="22"/>
        </w:rPr>
        <w:t>de</w:t>
      </w:r>
      <w:r>
        <w:rPr>
          <w:b/>
          <w:spacing w:val="-5"/>
          <w:sz w:val="22"/>
        </w:rPr>
        <w:t> </w:t>
      </w:r>
      <w:r>
        <w:rPr>
          <w:b/>
          <w:sz w:val="22"/>
        </w:rPr>
        <w:t>Ayuda</w:t>
      </w:r>
      <w:r>
        <w:rPr>
          <w:b/>
          <w:spacing w:val="-3"/>
          <w:sz w:val="22"/>
        </w:rPr>
        <w:t> </w:t>
      </w:r>
      <w:r>
        <w:rPr>
          <w:b/>
          <w:sz w:val="22"/>
        </w:rPr>
        <w:t>Social</w:t>
      </w:r>
      <w:r>
        <w:rPr>
          <w:b/>
          <w:spacing w:val="-4"/>
          <w:sz w:val="22"/>
        </w:rPr>
        <w:t> </w:t>
      </w:r>
      <w:r>
        <w:rPr>
          <w:b/>
          <w:sz w:val="22"/>
        </w:rPr>
        <w:t>(IMAS)</w:t>
      </w:r>
      <w:r>
        <w:rPr>
          <w:b/>
          <w:spacing w:val="-2"/>
          <w:sz w:val="22"/>
        </w:rPr>
        <w:t> </w:t>
      </w:r>
      <w:r>
        <w:rPr>
          <w:b/>
          <w:sz w:val="22"/>
        </w:rPr>
        <w:t>en</w:t>
      </w:r>
      <w:r>
        <w:rPr>
          <w:b/>
          <w:spacing w:val="-5"/>
          <w:sz w:val="22"/>
        </w:rPr>
        <w:t> </w:t>
      </w:r>
      <w:r>
        <w:rPr>
          <w:b/>
          <w:sz w:val="22"/>
        </w:rPr>
        <w:t>aeropuertos. </w:t>
      </w:r>
      <w:r>
        <w:rPr>
          <w:sz w:val="22"/>
        </w:rPr>
        <w:t>Exonera</w:t>
      </w:r>
      <w:r>
        <w:rPr>
          <w:spacing w:val="-3"/>
          <w:sz w:val="22"/>
        </w:rPr>
        <w:t> </w:t>
      </w:r>
      <w:r>
        <w:rPr>
          <w:sz w:val="22"/>
        </w:rPr>
        <w:t>al</w:t>
      </w:r>
      <w:r>
        <w:rPr>
          <w:spacing w:val="-5"/>
          <w:sz w:val="22"/>
        </w:rPr>
        <w:t> </w:t>
      </w:r>
      <w:r>
        <w:rPr>
          <w:sz w:val="22"/>
        </w:rPr>
        <w:t>Instituto</w:t>
      </w:r>
      <w:r>
        <w:rPr>
          <w:spacing w:val="-5"/>
          <w:sz w:val="22"/>
        </w:rPr>
        <w:t> </w:t>
      </w:r>
      <w:r>
        <w:rPr>
          <w:sz w:val="22"/>
        </w:rPr>
        <w:t>Mixto de Ayuda Social (IMAS), del registro sanitario de los productos cosméticos y alimentos procesados importados, ante el Ministerio de Salud para la venta exclusiva en sus Tiendas Libres ubicadas en aeropuertos. Fecha de vigencia 30/06/2016.</w:t>
      </w:r>
    </w:p>
    <w:p>
      <w:pPr>
        <w:pStyle w:val="BodyText"/>
        <w:spacing w:before="1"/>
      </w:pPr>
    </w:p>
    <w:p>
      <w:pPr>
        <w:spacing w:before="0"/>
        <w:ind w:left="1625" w:right="1600" w:firstLine="0"/>
        <w:jc w:val="both"/>
        <w:rPr>
          <w:sz w:val="22"/>
        </w:rPr>
      </w:pPr>
      <w:r>
        <w:rPr>
          <w:b/>
          <w:sz w:val="22"/>
        </w:rPr>
        <w:t>Decreto N°39965-H-MP Reglamento para los Contratos de Colaboración Público-Privada. </w:t>
      </w:r>
      <w:r>
        <w:rPr>
          <w:sz w:val="22"/>
        </w:rPr>
        <w:t>Regula los contratos de colaboración público-privada en que la Administración encarga a un tercero, el</w:t>
      </w:r>
      <w:r>
        <w:rPr>
          <w:spacing w:val="-1"/>
          <w:sz w:val="22"/>
        </w:rPr>
        <w:t> </w:t>
      </w:r>
      <w:r>
        <w:rPr>
          <w:sz w:val="22"/>
        </w:rPr>
        <w:t>cual será una persona jurídica privada, la realización de alguna prestación. Atañe a toda la Administración Pública.Fecha de vigencia 22/12/2016.</w:t>
      </w:r>
    </w:p>
    <w:p>
      <w:pPr>
        <w:pStyle w:val="BodyText"/>
      </w:pPr>
    </w:p>
    <w:p>
      <w:pPr>
        <w:spacing w:line="252" w:lineRule="exact" w:before="0"/>
        <w:ind w:left="1625" w:right="0" w:firstLine="0"/>
        <w:jc w:val="both"/>
        <w:rPr>
          <w:b/>
          <w:sz w:val="22"/>
        </w:rPr>
      </w:pPr>
      <w:r>
        <w:rPr>
          <w:b/>
          <w:sz w:val="22"/>
        </w:rPr>
        <w:t>Decreto</w:t>
      </w:r>
      <w:r>
        <w:rPr>
          <w:b/>
          <w:spacing w:val="67"/>
          <w:w w:val="150"/>
          <w:sz w:val="22"/>
        </w:rPr>
        <w:t>  </w:t>
      </w:r>
      <w:r>
        <w:rPr>
          <w:b/>
          <w:sz w:val="22"/>
        </w:rPr>
        <w:t>N°</w:t>
      </w:r>
      <w:r>
        <w:rPr>
          <w:b/>
          <w:spacing w:val="69"/>
          <w:w w:val="150"/>
          <w:sz w:val="22"/>
        </w:rPr>
        <w:t>  </w:t>
      </w:r>
      <w:r>
        <w:rPr>
          <w:b/>
          <w:sz w:val="22"/>
        </w:rPr>
        <w:t>40212-MEIC-MCM-MAG-MTSS-MICITT-MDHIS</w:t>
      </w:r>
      <w:r>
        <w:rPr>
          <w:b/>
          <w:spacing w:val="68"/>
          <w:w w:val="150"/>
          <w:sz w:val="22"/>
        </w:rPr>
        <w:t>  </w:t>
      </w:r>
      <w:r>
        <w:rPr>
          <w:b/>
          <w:sz w:val="22"/>
        </w:rPr>
        <w:t>Estímulo</w:t>
      </w:r>
      <w:r>
        <w:rPr>
          <w:b/>
          <w:spacing w:val="68"/>
          <w:w w:val="150"/>
          <w:sz w:val="22"/>
        </w:rPr>
        <w:t>  </w:t>
      </w:r>
      <w:r>
        <w:rPr>
          <w:b/>
          <w:sz w:val="22"/>
        </w:rPr>
        <w:t>a</w:t>
      </w:r>
      <w:r>
        <w:rPr>
          <w:b/>
          <w:spacing w:val="67"/>
          <w:w w:val="150"/>
          <w:sz w:val="22"/>
        </w:rPr>
        <w:t>  </w:t>
      </w:r>
      <w:r>
        <w:rPr>
          <w:b/>
          <w:spacing w:val="-5"/>
          <w:sz w:val="22"/>
        </w:rPr>
        <w:t>la</w:t>
      </w:r>
    </w:p>
    <w:p>
      <w:pPr>
        <w:pStyle w:val="BodyText"/>
        <w:ind w:left="1625" w:right="1601"/>
        <w:jc w:val="both"/>
      </w:pPr>
      <w:r>
        <w:rPr>
          <w:b/>
        </w:rPr>
        <w:t>Empresariedad para el Fortalecimiento Social y Económico de las Mujeres. </w:t>
      </w:r>
      <w:r>
        <w:rPr/>
        <w:t>Tiene por objeto articular los instrumentos técnicos, empresariales y financieros que las diferentes instituciones brindan a emprendimientos y empresas liderados por mujeres, con el fin de apoyarlos hacia su consolidación, incorporando el enfoque de género e inclusión social, Atender y registrar en el SIEC a emprendedoras y PYME de mujeres y brindar</w:t>
      </w:r>
      <w:r>
        <w:rPr>
          <w:spacing w:val="-4"/>
        </w:rPr>
        <w:t> </w:t>
      </w:r>
      <w:r>
        <w:rPr/>
        <w:t>financiamiento</w:t>
      </w:r>
      <w:r>
        <w:rPr>
          <w:spacing w:val="-5"/>
        </w:rPr>
        <w:t> </w:t>
      </w:r>
      <w:r>
        <w:rPr/>
        <w:t>para</w:t>
      </w:r>
      <w:r>
        <w:rPr>
          <w:spacing w:val="-5"/>
        </w:rPr>
        <w:t> </w:t>
      </w:r>
      <w:r>
        <w:rPr/>
        <w:t>servicios</w:t>
      </w:r>
      <w:r>
        <w:rPr>
          <w:spacing w:val="-5"/>
        </w:rPr>
        <w:t> </w:t>
      </w:r>
      <w:r>
        <w:rPr/>
        <w:t>de</w:t>
      </w:r>
      <w:r>
        <w:rPr>
          <w:spacing w:val="-5"/>
        </w:rPr>
        <w:t> </w:t>
      </w:r>
      <w:r>
        <w:rPr/>
        <w:t>desarrollo</w:t>
      </w:r>
      <w:r>
        <w:rPr>
          <w:spacing w:val="-3"/>
        </w:rPr>
        <w:t> </w:t>
      </w:r>
      <w:r>
        <w:rPr/>
        <w:t>empresarial</w:t>
      </w:r>
      <w:r>
        <w:rPr>
          <w:spacing w:val="-4"/>
        </w:rPr>
        <w:t> </w:t>
      </w:r>
      <w:r>
        <w:rPr/>
        <w:t>a</w:t>
      </w:r>
      <w:r>
        <w:rPr>
          <w:spacing w:val="-5"/>
        </w:rPr>
        <w:t> </w:t>
      </w:r>
      <w:r>
        <w:rPr/>
        <w:t>las</w:t>
      </w:r>
      <w:r>
        <w:rPr>
          <w:spacing w:val="-5"/>
        </w:rPr>
        <w:t> </w:t>
      </w:r>
      <w:r>
        <w:rPr/>
        <w:t>mujeres,</w:t>
      </w:r>
      <w:r>
        <w:rPr>
          <w:spacing w:val="-4"/>
        </w:rPr>
        <w:t> </w:t>
      </w:r>
      <w:r>
        <w:rPr/>
        <w:t>incluidas</w:t>
      </w:r>
      <w:r>
        <w:rPr>
          <w:spacing w:val="-2"/>
        </w:rPr>
        <w:t> </w:t>
      </w:r>
      <w:r>
        <w:rPr/>
        <w:t>a las mujeres con discapacidad que califiquen. Fecha de vigencia 07/03/2017.</w:t>
      </w:r>
    </w:p>
    <w:p>
      <w:pPr>
        <w:pStyle w:val="BodyText"/>
        <w:spacing w:before="252"/>
        <w:ind w:left="1625" w:right="1602"/>
        <w:jc w:val="both"/>
      </w:pPr>
      <w:r>
        <w:rPr>
          <w:b/>
        </w:rPr>
        <w:t>Decreto N° 40200-MP-MEIC-MC Transparencia y Acceso a la Información Pública, </w:t>
      </w:r>
      <w:r>
        <w:rPr/>
        <w:t>Tiene</w:t>
      </w:r>
      <w:r>
        <w:rPr>
          <w:spacing w:val="-10"/>
        </w:rPr>
        <w:t> </w:t>
      </w:r>
      <w:r>
        <w:rPr/>
        <w:t>por</w:t>
      </w:r>
      <w:r>
        <w:rPr>
          <w:spacing w:val="-9"/>
        </w:rPr>
        <w:t> </w:t>
      </w:r>
      <w:r>
        <w:rPr/>
        <w:t>objeto</w:t>
      </w:r>
      <w:r>
        <w:rPr>
          <w:spacing w:val="-10"/>
        </w:rPr>
        <w:t> </w:t>
      </w:r>
      <w:r>
        <w:rPr/>
        <w:t>que</w:t>
      </w:r>
      <w:r>
        <w:rPr>
          <w:spacing w:val="-12"/>
        </w:rPr>
        <w:t> </w:t>
      </w:r>
      <w:r>
        <w:rPr/>
        <w:t>el</w:t>
      </w:r>
      <w:r>
        <w:rPr>
          <w:spacing w:val="-11"/>
        </w:rPr>
        <w:t> </w:t>
      </w:r>
      <w:r>
        <w:rPr/>
        <w:t>Estado</w:t>
      </w:r>
      <w:r>
        <w:rPr>
          <w:spacing w:val="-10"/>
        </w:rPr>
        <w:t> </w:t>
      </w:r>
      <w:r>
        <w:rPr/>
        <w:t>garantice</w:t>
      </w:r>
      <w:r>
        <w:rPr>
          <w:spacing w:val="-12"/>
        </w:rPr>
        <w:t> </w:t>
      </w:r>
      <w:r>
        <w:rPr/>
        <w:t>el</w:t>
      </w:r>
      <w:r>
        <w:rPr>
          <w:spacing w:val="-11"/>
        </w:rPr>
        <w:t> </w:t>
      </w:r>
      <w:r>
        <w:rPr/>
        <w:t>cumplimiento</w:t>
      </w:r>
      <w:r>
        <w:rPr>
          <w:spacing w:val="-12"/>
        </w:rPr>
        <w:t> </w:t>
      </w:r>
      <w:r>
        <w:rPr/>
        <w:t>efectivo</w:t>
      </w:r>
      <w:r>
        <w:rPr>
          <w:spacing w:val="-10"/>
        </w:rPr>
        <w:t> </w:t>
      </w:r>
      <w:r>
        <w:rPr/>
        <w:t>del</w:t>
      </w:r>
      <w:r>
        <w:rPr>
          <w:spacing w:val="-13"/>
        </w:rPr>
        <w:t> </w:t>
      </w:r>
      <w:r>
        <w:rPr/>
        <w:t>derecho</w:t>
      </w:r>
      <w:r>
        <w:rPr>
          <w:spacing w:val="-10"/>
        </w:rPr>
        <w:t> </w:t>
      </w:r>
      <w:r>
        <w:rPr/>
        <w:t>humano</w:t>
      </w:r>
      <w:r>
        <w:rPr>
          <w:spacing w:val="-12"/>
        </w:rPr>
        <w:t> </w:t>
      </w:r>
      <w:r>
        <w:rPr/>
        <w:t>de acceso a la información pública, de forma proactiva, oportuna, oficiosa, completa y accesible</w:t>
      </w:r>
      <w:r>
        <w:rPr>
          <w:spacing w:val="-10"/>
        </w:rPr>
        <w:t> </w:t>
      </w:r>
      <w:r>
        <w:rPr/>
        <w:t>Jerarca</w:t>
      </w:r>
      <w:r>
        <w:rPr>
          <w:spacing w:val="-12"/>
        </w:rPr>
        <w:t> </w:t>
      </w:r>
      <w:r>
        <w:rPr/>
        <w:t>institucional</w:t>
      </w:r>
      <w:r>
        <w:rPr>
          <w:spacing w:val="-11"/>
        </w:rPr>
        <w:t> </w:t>
      </w:r>
      <w:r>
        <w:rPr/>
        <w:t>deberá</w:t>
      </w:r>
      <w:r>
        <w:rPr>
          <w:spacing w:val="-12"/>
        </w:rPr>
        <w:t> </w:t>
      </w:r>
      <w:r>
        <w:rPr/>
        <w:t>designar</w:t>
      </w:r>
      <w:r>
        <w:rPr>
          <w:spacing w:val="-11"/>
        </w:rPr>
        <w:t> </w:t>
      </w:r>
      <w:r>
        <w:rPr/>
        <w:t>en</w:t>
      </w:r>
      <w:r>
        <w:rPr>
          <w:spacing w:val="-15"/>
        </w:rPr>
        <w:t> </w:t>
      </w:r>
      <w:r>
        <w:rPr/>
        <w:t>su</w:t>
      </w:r>
      <w:r>
        <w:rPr>
          <w:spacing w:val="-10"/>
        </w:rPr>
        <w:t> </w:t>
      </w:r>
      <w:r>
        <w:rPr/>
        <w:t>dependencia</w:t>
      </w:r>
      <w:r>
        <w:rPr>
          <w:spacing w:val="-12"/>
        </w:rPr>
        <w:t> </w:t>
      </w:r>
      <w:r>
        <w:rPr/>
        <w:t>a</w:t>
      </w:r>
      <w:r>
        <w:rPr>
          <w:spacing w:val="-12"/>
        </w:rPr>
        <w:t> </w:t>
      </w:r>
      <w:r>
        <w:rPr/>
        <w:t>un</w:t>
      </w:r>
      <w:r>
        <w:rPr>
          <w:spacing w:val="-13"/>
        </w:rPr>
        <w:t> </w:t>
      </w:r>
      <w:r>
        <w:rPr/>
        <w:t>Oficial</w:t>
      </w:r>
      <w:r>
        <w:rPr>
          <w:spacing w:val="-11"/>
        </w:rPr>
        <w:t> </w:t>
      </w:r>
      <w:r>
        <w:rPr/>
        <w:t>de</w:t>
      </w:r>
      <w:r>
        <w:rPr>
          <w:spacing w:val="-10"/>
        </w:rPr>
        <w:t> </w:t>
      </w:r>
      <w:r>
        <w:rPr/>
        <w:t>Acceso a la Información, en adelante OAI. Dicha designación recaerá sobre la Contraloría de Servicios</w:t>
      </w:r>
      <w:r>
        <w:rPr>
          <w:spacing w:val="-3"/>
        </w:rPr>
        <w:t> </w:t>
      </w:r>
      <w:r>
        <w:rPr/>
        <w:t>de</w:t>
      </w:r>
      <w:r>
        <w:rPr>
          <w:spacing w:val="-4"/>
        </w:rPr>
        <w:t> </w:t>
      </w:r>
      <w:r>
        <w:rPr/>
        <w:t>la</w:t>
      </w:r>
      <w:r>
        <w:rPr>
          <w:spacing w:val="-3"/>
        </w:rPr>
        <w:t> </w:t>
      </w:r>
      <w:r>
        <w:rPr/>
        <w:t>institución,</w:t>
      </w:r>
      <w:r>
        <w:rPr>
          <w:spacing w:val="-2"/>
        </w:rPr>
        <w:t> </w:t>
      </w:r>
      <w:r>
        <w:rPr/>
        <w:t>o</w:t>
      </w:r>
      <w:r>
        <w:rPr>
          <w:spacing w:val="-4"/>
        </w:rPr>
        <w:t> </w:t>
      </w:r>
      <w:r>
        <w:rPr/>
        <w:t>en</w:t>
      </w:r>
      <w:r>
        <w:rPr>
          <w:spacing w:val="-4"/>
        </w:rPr>
        <w:t> </w:t>
      </w:r>
      <w:r>
        <w:rPr/>
        <w:t>su</w:t>
      </w:r>
      <w:r>
        <w:rPr>
          <w:spacing w:val="-4"/>
        </w:rPr>
        <w:t> </w:t>
      </w:r>
      <w:r>
        <w:rPr/>
        <w:t>defecto,</w:t>
      </w:r>
      <w:r>
        <w:rPr>
          <w:spacing w:val="-4"/>
        </w:rPr>
        <w:t> </w:t>
      </w:r>
      <w:r>
        <w:rPr/>
        <w:t>sobre</w:t>
      </w:r>
      <w:r>
        <w:rPr>
          <w:spacing w:val="-4"/>
        </w:rPr>
        <w:t> </w:t>
      </w:r>
      <w:r>
        <w:rPr/>
        <w:t>otro</w:t>
      </w:r>
      <w:r>
        <w:rPr>
          <w:spacing w:val="-4"/>
        </w:rPr>
        <w:t> </w:t>
      </w:r>
      <w:r>
        <w:rPr/>
        <w:t>funcionario</w:t>
      </w:r>
      <w:r>
        <w:rPr>
          <w:spacing w:val="-3"/>
        </w:rPr>
        <w:t> </w:t>
      </w:r>
      <w:r>
        <w:rPr/>
        <w:t>de</w:t>
      </w:r>
      <w:r>
        <w:rPr>
          <w:spacing w:val="-4"/>
        </w:rPr>
        <w:t> </w:t>
      </w:r>
      <w:r>
        <w:rPr/>
        <w:t>la</w:t>
      </w:r>
      <w:r>
        <w:rPr>
          <w:spacing w:val="-4"/>
        </w:rPr>
        <w:t> </w:t>
      </w:r>
      <w:r>
        <w:rPr/>
        <w:t>institución.</w:t>
      </w:r>
      <w:r>
        <w:rPr>
          <w:spacing w:val="-4"/>
        </w:rPr>
        <w:t> </w:t>
      </w:r>
      <w:r>
        <w:rPr/>
        <w:t>Fecha de vigencia 02/06/2017</w:t>
      </w:r>
    </w:p>
    <w:p>
      <w:pPr>
        <w:pStyle w:val="BodyText"/>
        <w:spacing w:before="2"/>
      </w:pPr>
    </w:p>
    <w:p>
      <w:pPr>
        <w:spacing w:before="1"/>
        <w:ind w:left="1625" w:right="1602" w:firstLine="0"/>
        <w:jc w:val="both"/>
        <w:rPr>
          <w:b/>
          <w:sz w:val="22"/>
        </w:rPr>
      </w:pPr>
      <w:r>
        <w:rPr>
          <w:b/>
          <w:sz w:val="22"/>
        </w:rPr>
        <w:t>Decreto N° 40422 -MP-RE-JP-SP-MG-H-MAG-MEIC-MINAE-MOPT-MEP-S-MTSS-COMEX-MIDEPLAN-MICITT-MIVAH-MC-MCJ-TUR-MDHIS-MCM-MIDEPOR</w:t>
      </w:r>
      <w:r>
        <w:rPr>
          <w:b/>
          <w:spacing w:val="80"/>
          <w:sz w:val="22"/>
        </w:rPr>
        <w:t> </w:t>
      </w:r>
      <w:r>
        <w:rPr>
          <w:b/>
          <w:sz w:val="22"/>
        </w:rPr>
        <w:t>Reforma</w:t>
      </w:r>
    </w:p>
    <w:p>
      <w:pPr>
        <w:spacing w:before="0"/>
        <w:ind w:left="1625" w:right="1604" w:firstLine="0"/>
        <w:jc w:val="both"/>
        <w:rPr>
          <w:sz w:val="22"/>
        </w:rPr>
      </w:pPr>
      <w:r>
        <w:rPr>
          <w:b/>
          <w:sz w:val="22"/>
        </w:rPr>
        <w:t>Política del Poder Ejecutivo para erradicar de sus instituciones la discriminación hacia la población LGBTI</w:t>
      </w:r>
      <w:r>
        <w:rPr>
          <w:sz w:val="22"/>
        </w:rPr>
        <w:t>. Reformula el título del Decreto N.º 38999 para que sea denominado como "Política del Poder Ejecutivo para Erradicar de sus Instituciones la Discriminación Hacia la Población LGBTI". En los artículos 1º, 3º, 4º, del Decreto N.º 38999</w:t>
      </w:r>
      <w:r>
        <w:rPr>
          <w:spacing w:val="-3"/>
          <w:sz w:val="22"/>
        </w:rPr>
        <w:t> </w:t>
      </w:r>
      <w:r>
        <w:rPr>
          <w:sz w:val="22"/>
        </w:rPr>
        <w:t>donde</w:t>
      </w:r>
      <w:r>
        <w:rPr>
          <w:spacing w:val="-3"/>
          <w:sz w:val="22"/>
        </w:rPr>
        <w:t> </w:t>
      </w:r>
      <w:r>
        <w:rPr>
          <w:sz w:val="22"/>
        </w:rPr>
        <w:t>se</w:t>
      </w:r>
      <w:r>
        <w:rPr>
          <w:spacing w:val="-2"/>
          <w:sz w:val="22"/>
        </w:rPr>
        <w:t> </w:t>
      </w:r>
      <w:r>
        <w:rPr>
          <w:sz w:val="22"/>
        </w:rPr>
        <w:t>haga</w:t>
      </w:r>
      <w:r>
        <w:rPr>
          <w:spacing w:val="-3"/>
          <w:sz w:val="22"/>
        </w:rPr>
        <w:t> </w:t>
      </w:r>
      <w:r>
        <w:rPr>
          <w:sz w:val="22"/>
        </w:rPr>
        <w:t>referencia</w:t>
      </w:r>
      <w:r>
        <w:rPr>
          <w:spacing w:val="-3"/>
          <w:sz w:val="22"/>
        </w:rPr>
        <w:t> </w:t>
      </w:r>
      <w:r>
        <w:rPr>
          <w:sz w:val="22"/>
        </w:rPr>
        <w:t>a</w:t>
      </w:r>
      <w:r>
        <w:rPr>
          <w:spacing w:val="-2"/>
          <w:sz w:val="22"/>
        </w:rPr>
        <w:t> </w:t>
      </w:r>
      <w:r>
        <w:rPr>
          <w:sz w:val="22"/>
        </w:rPr>
        <w:t>"población</w:t>
      </w:r>
      <w:r>
        <w:rPr>
          <w:spacing w:val="-3"/>
          <w:sz w:val="22"/>
        </w:rPr>
        <w:t> </w:t>
      </w:r>
      <w:r>
        <w:rPr>
          <w:sz w:val="22"/>
        </w:rPr>
        <w:t>sexualmente</w:t>
      </w:r>
      <w:r>
        <w:rPr>
          <w:spacing w:val="-3"/>
          <w:sz w:val="22"/>
        </w:rPr>
        <w:t> </w:t>
      </w:r>
      <w:r>
        <w:rPr>
          <w:sz w:val="22"/>
        </w:rPr>
        <w:t>diversa"</w:t>
      </w:r>
      <w:r>
        <w:rPr>
          <w:spacing w:val="-2"/>
          <w:sz w:val="22"/>
        </w:rPr>
        <w:t> </w:t>
      </w:r>
      <w:r>
        <w:rPr>
          <w:sz w:val="22"/>
        </w:rPr>
        <w:t>léase</w:t>
      </w:r>
      <w:r>
        <w:rPr>
          <w:spacing w:val="-5"/>
          <w:sz w:val="22"/>
        </w:rPr>
        <w:t> </w:t>
      </w:r>
      <w:r>
        <w:rPr>
          <w:sz w:val="22"/>
        </w:rPr>
        <w:t>por</w:t>
      </w:r>
      <w:r>
        <w:rPr>
          <w:spacing w:val="-2"/>
          <w:sz w:val="22"/>
        </w:rPr>
        <w:t> </w:t>
      </w:r>
      <w:r>
        <w:rPr>
          <w:sz w:val="22"/>
        </w:rPr>
        <w:t>"población LGBTI". Fecha de vigencia 27/06/2017</w:t>
      </w:r>
    </w:p>
    <w:p>
      <w:pPr>
        <w:spacing w:before="251"/>
        <w:ind w:left="1625" w:right="1601" w:firstLine="0"/>
        <w:jc w:val="both"/>
        <w:rPr>
          <w:sz w:val="22"/>
        </w:rPr>
      </w:pPr>
      <w:r>
        <w:rPr>
          <w:b/>
          <w:sz w:val="22"/>
        </w:rPr>
        <w:t>Decreto N°40508-MINAE. Plan intersectorial para la Aplicación de Mecanismos de Apoyo a Grupos Sociales Vulnerables Desde el Sector Eléctrico. </w:t>
      </w:r>
      <w:r>
        <w:rPr>
          <w:sz w:val="22"/>
        </w:rPr>
        <w:t>Declara de interés público la ejecución de las acciones establecidas en el “Plan intersectorial para la aplicación de mecanismos de apoyo a grupos sociales vulnerables desde el sector eléctrico”. Este plan es un instrumento de dirección, coordinación y articulación que orientará las decisiones y acciones para ajustar los modelos de tarifas eléctricas con el fin de generar beneficios a los hogares en pobreza. Fecha de vigencia 10/08/2017.</w:t>
      </w:r>
    </w:p>
    <w:p>
      <w:pPr>
        <w:pStyle w:val="BodyText"/>
      </w:pPr>
    </w:p>
    <w:p>
      <w:pPr>
        <w:spacing w:before="0"/>
        <w:ind w:left="1625" w:right="1602" w:firstLine="0"/>
        <w:jc w:val="both"/>
        <w:rPr>
          <w:sz w:val="22"/>
        </w:rPr>
      </w:pPr>
      <w:r>
        <w:rPr>
          <w:b/>
          <w:sz w:val="22"/>
        </w:rPr>
        <w:t>Decreto</w:t>
      </w:r>
      <w:r>
        <w:rPr>
          <w:b/>
          <w:spacing w:val="-1"/>
          <w:sz w:val="22"/>
        </w:rPr>
        <w:t> </w:t>
      </w:r>
      <w:r>
        <w:rPr>
          <w:b/>
          <w:sz w:val="22"/>
        </w:rPr>
        <w:t>N°</w:t>
      </w:r>
      <w:r>
        <w:rPr>
          <w:b/>
          <w:spacing w:val="-2"/>
          <w:sz w:val="22"/>
        </w:rPr>
        <w:t> </w:t>
      </w:r>
      <w:r>
        <w:rPr>
          <w:b/>
          <w:sz w:val="22"/>
        </w:rPr>
        <w:t>40538-H</w:t>
      </w:r>
      <w:r>
        <w:rPr>
          <w:sz w:val="22"/>
        </w:rPr>
        <w:t>, </w:t>
      </w:r>
      <w:r>
        <w:rPr>
          <w:b/>
          <w:sz w:val="22"/>
        </w:rPr>
        <w:t>Reforma</w:t>
      </w:r>
      <w:r>
        <w:rPr>
          <w:b/>
          <w:spacing w:val="-2"/>
          <w:sz w:val="22"/>
        </w:rPr>
        <w:t> </w:t>
      </w:r>
      <w:r>
        <w:rPr>
          <w:b/>
          <w:sz w:val="22"/>
        </w:rPr>
        <w:t>Reglamento</w:t>
      </w:r>
      <w:r>
        <w:rPr>
          <w:b/>
          <w:spacing w:val="-3"/>
          <w:sz w:val="22"/>
        </w:rPr>
        <w:t> </w:t>
      </w:r>
      <w:r>
        <w:rPr>
          <w:b/>
          <w:sz w:val="22"/>
        </w:rPr>
        <w:t>a</w:t>
      </w:r>
      <w:r>
        <w:rPr>
          <w:b/>
          <w:spacing w:val="-3"/>
          <w:sz w:val="22"/>
        </w:rPr>
        <w:t> </w:t>
      </w:r>
      <w:r>
        <w:rPr>
          <w:b/>
          <w:sz w:val="22"/>
        </w:rPr>
        <w:t>la</w:t>
      </w:r>
      <w:r>
        <w:rPr>
          <w:b/>
          <w:spacing w:val="-3"/>
          <w:sz w:val="22"/>
        </w:rPr>
        <w:t> </w:t>
      </w:r>
      <w:r>
        <w:rPr>
          <w:b/>
          <w:sz w:val="22"/>
        </w:rPr>
        <w:t>Ley</w:t>
      </w:r>
      <w:r>
        <w:rPr>
          <w:b/>
          <w:spacing w:val="-1"/>
          <w:sz w:val="22"/>
        </w:rPr>
        <w:t> </w:t>
      </w:r>
      <w:r>
        <w:rPr>
          <w:b/>
          <w:sz w:val="22"/>
        </w:rPr>
        <w:t>de</w:t>
      </w:r>
      <w:r>
        <w:rPr>
          <w:b/>
          <w:spacing w:val="-1"/>
          <w:sz w:val="22"/>
        </w:rPr>
        <w:t> </w:t>
      </w:r>
      <w:r>
        <w:rPr>
          <w:b/>
          <w:sz w:val="22"/>
        </w:rPr>
        <w:t>Contratación</w:t>
      </w:r>
      <w:r>
        <w:rPr>
          <w:b/>
          <w:spacing w:val="-3"/>
          <w:sz w:val="22"/>
        </w:rPr>
        <w:t> </w:t>
      </w:r>
      <w:r>
        <w:rPr>
          <w:b/>
          <w:sz w:val="22"/>
        </w:rPr>
        <w:t>Administrativa</w:t>
      </w:r>
      <w:r>
        <w:rPr>
          <w:sz w:val="22"/>
        </w:rPr>
        <w:t>, fecha de vigencia 10/08/2017, Reforma artículos varios al Reglamento a la Ley de Contratación Administrativa. fecha de vigencia 10/08/2017.</w:t>
      </w:r>
    </w:p>
    <w:p>
      <w:pPr>
        <w:spacing w:after="0"/>
        <w:jc w:val="both"/>
        <w:rPr>
          <w:sz w:val="22"/>
        </w:rPr>
        <w:sectPr>
          <w:pgSz w:w="12240" w:h="15840"/>
          <w:pgMar w:header="0" w:footer="1576" w:top="1000" w:bottom="1760" w:left="360" w:right="0"/>
        </w:sectPr>
      </w:pPr>
    </w:p>
    <w:p>
      <w:pPr>
        <w:spacing w:before="77"/>
        <w:ind w:left="1625" w:right="1602" w:firstLine="0"/>
        <w:jc w:val="both"/>
        <w:rPr>
          <w:sz w:val="22"/>
        </w:rPr>
      </w:pPr>
      <w:r>
        <w:rPr>
          <w:b/>
          <w:sz w:val="22"/>
        </w:rPr>
        <w:t>Decreto N° 9463 Creación del Distrito 5° del Cantón de Hojancha</w:t>
      </w:r>
      <w:r>
        <w:rPr>
          <w:sz w:val="22"/>
        </w:rPr>
        <w:t>, Matambú, Crea el distrito</w:t>
      </w:r>
      <w:r>
        <w:rPr>
          <w:spacing w:val="-7"/>
          <w:sz w:val="22"/>
        </w:rPr>
        <w:t> </w:t>
      </w:r>
      <w:r>
        <w:rPr>
          <w:sz w:val="22"/>
        </w:rPr>
        <w:t>5º</w:t>
      </w:r>
      <w:r>
        <w:rPr>
          <w:spacing w:val="-6"/>
          <w:sz w:val="22"/>
        </w:rPr>
        <w:t> </w:t>
      </w:r>
      <w:r>
        <w:rPr>
          <w:sz w:val="22"/>
        </w:rPr>
        <w:t>del</w:t>
      </w:r>
      <w:r>
        <w:rPr>
          <w:spacing w:val="-6"/>
          <w:sz w:val="22"/>
        </w:rPr>
        <w:t> </w:t>
      </w:r>
      <w:r>
        <w:rPr>
          <w:sz w:val="22"/>
        </w:rPr>
        <w:t>cantón</w:t>
      </w:r>
      <w:r>
        <w:rPr>
          <w:spacing w:val="-5"/>
          <w:sz w:val="22"/>
        </w:rPr>
        <w:t> </w:t>
      </w:r>
      <w:r>
        <w:rPr>
          <w:sz w:val="22"/>
        </w:rPr>
        <w:t>de</w:t>
      </w:r>
      <w:r>
        <w:rPr>
          <w:spacing w:val="-9"/>
          <w:sz w:val="22"/>
        </w:rPr>
        <w:t> </w:t>
      </w:r>
      <w:r>
        <w:rPr>
          <w:sz w:val="22"/>
        </w:rPr>
        <w:t>Hojancha,</w:t>
      </w:r>
      <w:r>
        <w:rPr>
          <w:spacing w:val="-6"/>
          <w:sz w:val="22"/>
        </w:rPr>
        <w:t> </w:t>
      </w:r>
      <w:r>
        <w:rPr>
          <w:sz w:val="22"/>
        </w:rPr>
        <w:t>Matambú,</w:t>
      </w:r>
      <w:r>
        <w:rPr>
          <w:spacing w:val="-6"/>
          <w:sz w:val="22"/>
        </w:rPr>
        <w:t> </w:t>
      </w:r>
      <w:r>
        <w:rPr>
          <w:sz w:val="22"/>
        </w:rPr>
        <w:t>cuya</w:t>
      </w:r>
      <w:r>
        <w:rPr>
          <w:spacing w:val="-5"/>
          <w:sz w:val="22"/>
        </w:rPr>
        <w:t> </w:t>
      </w:r>
      <w:r>
        <w:rPr>
          <w:sz w:val="22"/>
        </w:rPr>
        <w:t>cabecera</w:t>
      </w:r>
      <w:r>
        <w:rPr>
          <w:spacing w:val="-7"/>
          <w:sz w:val="22"/>
        </w:rPr>
        <w:t> </w:t>
      </w:r>
      <w:r>
        <w:rPr>
          <w:sz w:val="22"/>
        </w:rPr>
        <w:t>será</w:t>
      </w:r>
      <w:r>
        <w:rPr>
          <w:spacing w:val="-7"/>
          <w:sz w:val="22"/>
        </w:rPr>
        <w:t> </w:t>
      </w:r>
      <w:r>
        <w:rPr>
          <w:sz w:val="22"/>
        </w:rPr>
        <w:t>Matambú</w:t>
      </w:r>
      <w:r>
        <w:rPr>
          <w:spacing w:val="-5"/>
          <w:sz w:val="22"/>
        </w:rPr>
        <w:t> </w:t>
      </w:r>
      <w:r>
        <w:rPr>
          <w:sz w:val="22"/>
        </w:rPr>
        <w:t>centro,</w:t>
      </w:r>
      <w:r>
        <w:rPr>
          <w:spacing w:val="-6"/>
          <w:sz w:val="22"/>
        </w:rPr>
        <w:t> </w:t>
      </w:r>
      <w:r>
        <w:rPr>
          <w:sz w:val="22"/>
        </w:rPr>
        <w:t>fecha de vigencia 25/08/2017.</w:t>
      </w:r>
    </w:p>
    <w:p>
      <w:pPr>
        <w:spacing w:before="252"/>
        <w:ind w:left="1625" w:right="1603" w:firstLine="0"/>
        <w:jc w:val="both"/>
        <w:rPr>
          <w:sz w:val="22"/>
        </w:rPr>
      </w:pPr>
      <w:r>
        <w:rPr>
          <w:b/>
          <w:sz w:val="22"/>
        </w:rPr>
        <w:t>Decreto N° 40736-MP-H-MIDEPLAN Creación de la Base de Datos de Empleo para el</w:t>
      </w:r>
      <w:r>
        <w:rPr>
          <w:b/>
          <w:spacing w:val="-16"/>
          <w:sz w:val="22"/>
        </w:rPr>
        <w:t> </w:t>
      </w:r>
      <w:r>
        <w:rPr>
          <w:b/>
          <w:sz w:val="22"/>
        </w:rPr>
        <w:t>Sector</w:t>
      </w:r>
      <w:r>
        <w:rPr>
          <w:b/>
          <w:spacing w:val="-15"/>
          <w:sz w:val="22"/>
        </w:rPr>
        <w:t> </w:t>
      </w:r>
      <w:r>
        <w:rPr>
          <w:b/>
          <w:sz w:val="22"/>
        </w:rPr>
        <w:t>Público,</w:t>
      </w:r>
      <w:r>
        <w:rPr>
          <w:b/>
          <w:spacing w:val="-15"/>
          <w:sz w:val="22"/>
        </w:rPr>
        <w:t> </w:t>
      </w:r>
      <w:r>
        <w:rPr>
          <w:sz w:val="22"/>
        </w:rPr>
        <w:t>Crea</w:t>
      </w:r>
      <w:r>
        <w:rPr>
          <w:spacing w:val="-16"/>
          <w:sz w:val="22"/>
        </w:rPr>
        <w:t> </w:t>
      </w:r>
      <w:r>
        <w:rPr>
          <w:sz w:val="22"/>
        </w:rPr>
        <w:t>la</w:t>
      </w:r>
      <w:r>
        <w:rPr>
          <w:spacing w:val="-15"/>
          <w:sz w:val="22"/>
        </w:rPr>
        <w:t> </w:t>
      </w:r>
      <w:r>
        <w:rPr>
          <w:sz w:val="22"/>
        </w:rPr>
        <w:t>Base</w:t>
      </w:r>
      <w:r>
        <w:rPr>
          <w:spacing w:val="-15"/>
          <w:sz w:val="22"/>
        </w:rPr>
        <w:t> </w:t>
      </w:r>
      <w:r>
        <w:rPr>
          <w:sz w:val="22"/>
        </w:rPr>
        <w:t>de</w:t>
      </w:r>
      <w:r>
        <w:rPr>
          <w:spacing w:val="-15"/>
          <w:sz w:val="22"/>
        </w:rPr>
        <w:t> </w:t>
      </w:r>
      <w:r>
        <w:rPr>
          <w:sz w:val="22"/>
        </w:rPr>
        <w:t>Datos</w:t>
      </w:r>
      <w:r>
        <w:rPr>
          <w:spacing w:val="-16"/>
          <w:sz w:val="22"/>
        </w:rPr>
        <w:t> </w:t>
      </w:r>
      <w:r>
        <w:rPr>
          <w:sz w:val="22"/>
        </w:rPr>
        <w:t>de</w:t>
      </w:r>
      <w:r>
        <w:rPr>
          <w:spacing w:val="-15"/>
          <w:sz w:val="22"/>
        </w:rPr>
        <w:t> </w:t>
      </w:r>
      <w:r>
        <w:rPr>
          <w:sz w:val="22"/>
        </w:rPr>
        <w:t>Empleo</w:t>
      </w:r>
      <w:r>
        <w:rPr>
          <w:spacing w:val="-15"/>
          <w:sz w:val="22"/>
        </w:rPr>
        <w:t> </w:t>
      </w:r>
      <w:r>
        <w:rPr>
          <w:sz w:val="22"/>
        </w:rPr>
        <w:t>para</w:t>
      </w:r>
      <w:r>
        <w:rPr>
          <w:spacing w:val="-16"/>
          <w:sz w:val="22"/>
        </w:rPr>
        <w:t> </w:t>
      </w:r>
      <w:r>
        <w:rPr>
          <w:sz w:val="22"/>
        </w:rPr>
        <w:t>el</w:t>
      </w:r>
      <w:r>
        <w:rPr>
          <w:spacing w:val="-15"/>
          <w:sz w:val="22"/>
        </w:rPr>
        <w:t> </w:t>
      </w:r>
      <w:r>
        <w:rPr>
          <w:sz w:val="22"/>
        </w:rPr>
        <w:t>Sector</w:t>
      </w:r>
      <w:r>
        <w:rPr>
          <w:spacing w:val="-15"/>
          <w:sz w:val="22"/>
        </w:rPr>
        <w:t> </w:t>
      </w:r>
      <w:r>
        <w:rPr>
          <w:sz w:val="22"/>
        </w:rPr>
        <w:t>Público,</w:t>
      </w:r>
      <w:r>
        <w:rPr>
          <w:spacing w:val="-15"/>
          <w:sz w:val="22"/>
        </w:rPr>
        <w:t> </w:t>
      </w:r>
      <w:r>
        <w:rPr>
          <w:sz w:val="22"/>
        </w:rPr>
        <w:t>la</w:t>
      </w:r>
      <w:r>
        <w:rPr>
          <w:spacing w:val="-16"/>
          <w:sz w:val="22"/>
        </w:rPr>
        <w:t> </w:t>
      </w:r>
      <w:r>
        <w:rPr>
          <w:sz w:val="22"/>
        </w:rPr>
        <w:t>cual</w:t>
      </w:r>
      <w:r>
        <w:rPr>
          <w:spacing w:val="-15"/>
          <w:sz w:val="22"/>
        </w:rPr>
        <w:t> </w:t>
      </w:r>
      <w:r>
        <w:rPr>
          <w:sz w:val="22"/>
        </w:rPr>
        <w:t>estará a</w:t>
      </w:r>
      <w:r>
        <w:rPr>
          <w:spacing w:val="-9"/>
          <w:sz w:val="22"/>
        </w:rPr>
        <w:t> </w:t>
      </w:r>
      <w:r>
        <w:rPr>
          <w:sz w:val="22"/>
        </w:rPr>
        <w:t>cargo</w:t>
      </w:r>
      <w:r>
        <w:rPr>
          <w:spacing w:val="-9"/>
          <w:sz w:val="22"/>
        </w:rPr>
        <w:t> </w:t>
      </w:r>
      <w:r>
        <w:rPr>
          <w:sz w:val="22"/>
        </w:rPr>
        <w:t>de</w:t>
      </w:r>
      <w:r>
        <w:rPr>
          <w:spacing w:val="-9"/>
          <w:sz w:val="22"/>
        </w:rPr>
        <w:t> </w:t>
      </w:r>
      <w:r>
        <w:rPr>
          <w:sz w:val="22"/>
        </w:rPr>
        <w:t>la</w:t>
      </w:r>
      <w:r>
        <w:rPr>
          <w:spacing w:val="-9"/>
          <w:sz w:val="22"/>
        </w:rPr>
        <w:t> </w:t>
      </w:r>
      <w:r>
        <w:rPr>
          <w:sz w:val="22"/>
        </w:rPr>
        <w:t>Secretaría</w:t>
      </w:r>
      <w:r>
        <w:rPr>
          <w:spacing w:val="-11"/>
          <w:sz w:val="22"/>
        </w:rPr>
        <w:t> </w:t>
      </w:r>
      <w:r>
        <w:rPr>
          <w:sz w:val="22"/>
        </w:rPr>
        <w:t>Técnica</w:t>
      </w:r>
      <w:r>
        <w:rPr>
          <w:spacing w:val="-9"/>
          <w:sz w:val="22"/>
        </w:rPr>
        <w:t> </w:t>
      </w:r>
      <w:r>
        <w:rPr>
          <w:sz w:val="22"/>
        </w:rPr>
        <w:t>de</w:t>
      </w:r>
      <w:r>
        <w:rPr>
          <w:spacing w:val="-9"/>
          <w:sz w:val="22"/>
        </w:rPr>
        <w:t> </w:t>
      </w:r>
      <w:r>
        <w:rPr>
          <w:sz w:val="22"/>
        </w:rPr>
        <w:t>la</w:t>
      </w:r>
      <w:r>
        <w:rPr>
          <w:spacing w:val="-9"/>
          <w:sz w:val="22"/>
        </w:rPr>
        <w:t> </w:t>
      </w:r>
      <w:r>
        <w:rPr>
          <w:sz w:val="22"/>
        </w:rPr>
        <w:t>Autoridad</w:t>
      </w:r>
      <w:r>
        <w:rPr>
          <w:spacing w:val="-9"/>
          <w:sz w:val="22"/>
        </w:rPr>
        <w:t> </w:t>
      </w:r>
      <w:r>
        <w:rPr>
          <w:sz w:val="22"/>
        </w:rPr>
        <w:t>Presupuestaria</w:t>
      </w:r>
      <w:r>
        <w:rPr>
          <w:spacing w:val="-9"/>
          <w:sz w:val="22"/>
        </w:rPr>
        <w:t> </w:t>
      </w:r>
      <w:r>
        <w:rPr>
          <w:sz w:val="22"/>
        </w:rPr>
        <w:t>(STAP)</w:t>
      </w:r>
      <w:r>
        <w:rPr>
          <w:spacing w:val="-8"/>
          <w:sz w:val="22"/>
        </w:rPr>
        <w:t> </w:t>
      </w:r>
      <w:r>
        <w:rPr>
          <w:sz w:val="22"/>
        </w:rPr>
        <w:t>y</w:t>
      </w:r>
      <w:r>
        <w:rPr>
          <w:spacing w:val="-11"/>
          <w:sz w:val="22"/>
        </w:rPr>
        <w:t> </w:t>
      </w:r>
      <w:r>
        <w:rPr>
          <w:sz w:val="22"/>
        </w:rPr>
        <w:t>de</w:t>
      </w:r>
      <w:r>
        <w:rPr>
          <w:spacing w:val="-9"/>
          <w:sz w:val="22"/>
        </w:rPr>
        <w:t> </w:t>
      </w:r>
      <w:r>
        <w:rPr>
          <w:sz w:val="22"/>
        </w:rPr>
        <w:t>la</w:t>
      </w:r>
      <w:r>
        <w:rPr>
          <w:spacing w:val="-9"/>
          <w:sz w:val="22"/>
        </w:rPr>
        <w:t> </w:t>
      </w:r>
      <w:r>
        <w:rPr>
          <w:sz w:val="22"/>
        </w:rPr>
        <w:t>Dirección General de Servicio Civil (DGSC), para optimizar la toma de decisiones en materia de recursos</w:t>
      </w:r>
      <w:r>
        <w:rPr>
          <w:spacing w:val="-2"/>
          <w:sz w:val="22"/>
        </w:rPr>
        <w:t> </w:t>
      </w:r>
      <w:r>
        <w:rPr>
          <w:sz w:val="22"/>
        </w:rPr>
        <w:t>humanos y</w:t>
      </w:r>
      <w:r>
        <w:rPr>
          <w:spacing w:val="-2"/>
          <w:sz w:val="22"/>
        </w:rPr>
        <w:t> </w:t>
      </w:r>
      <w:r>
        <w:rPr>
          <w:sz w:val="22"/>
        </w:rPr>
        <w:t>gestión del talento</w:t>
      </w:r>
      <w:r>
        <w:rPr>
          <w:spacing w:val="-2"/>
          <w:sz w:val="22"/>
        </w:rPr>
        <w:t> </w:t>
      </w:r>
      <w:r>
        <w:rPr>
          <w:sz w:val="22"/>
        </w:rPr>
        <w:t>humano</w:t>
      </w:r>
      <w:r>
        <w:rPr>
          <w:spacing w:val="-4"/>
          <w:sz w:val="22"/>
        </w:rPr>
        <w:t> </w:t>
      </w:r>
      <w:r>
        <w:rPr>
          <w:sz w:val="22"/>
        </w:rPr>
        <w:t>en el</w:t>
      </w:r>
      <w:r>
        <w:rPr>
          <w:spacing w:val="-1"/>
          <w:sz w:val="22"/>
        </w:rPr>
        <w:t> </w:t>
      </w:r>
      <w:r>
        <w:rPr>
          <w:sz w:val="22"/>
        </w:rPr>
        <w:t>Sector Público. Fecha de vigencia </w:t>
      </w:r>
      <w:r>
        <w:rPr>
          <w:spacing w:val="-2"/>
          <w:sz w:val="22"/>
        </w:rPr>
        <w:t>20/11/2017.</w:t>
      </w:r>
    </w:p>
    <w:p>
      <w:pPr>
        <w:pStyle w:val="BodyText"/>
      </w:pPr>
    </w:p>
    <w:p>
      <w:pPr>
        <w:spacing w:before="1"/>
        <w:ind w:left="1625" w:right="1603" w:firstLine="0"/>
        <w:jc w:val="both"/>
        <w:rPr>
          <w:sz w:val="22"/>
        </w:rPr>
      </w:pPr>
      <w:r>
        <w:rPr>
          <w:b/>
          <w:sz w:val="22"/>
        </w:rPr>
        <w:t>Decreto</w:t>
      </w:r>
      <w:r>
        <w:rPr>
          <w:b/>
          <w:spacing w:val="-9"/>
          <w:sz w:val="22"/>
        </w:rPr>
        <w:t> </w:t>
      </w:r>
      <w:r>
        <w:rPr>
          <w:b/>
          <w:sz w:val="22"/>
        </w:rPr>
        <w:t>N°</w:t>
      </w:r>
      <w:r>
        <w:rPr>
          <w:b/>
          <w:spacing w:val="-8"/>
          <w:sz w:val="22"/>
        </w:rPr>
        <w:t> </w:t>
      </w:r>
      <w:r>
        <w:rPr>
          <w:b/>
          <w:sz w:val="22"/>
        </w:rPr>
        <w:t>40694-MP-MDHIS.</w:t>
      </w:r>
      <w:r>
        <w:rPr>
          <w:b/>
          <w:spacing w:val="-7"/>
          <w:sz w:val="22"/>
        </w:rPr>
        <w:t> </w:t>
      </w:r>
      <w:r>
        <w:rPr>
          <w:b/>
          <w:sz w:val="22"/>
        </w:rPr>
        <w:t>Estrategia</w:t>
      </w:r>
      <w:r>
        <w:rPr>
          <w:b/>
          <w:spacing w:val="-9"/>
          <w:sz w:val="22"/>
        </w:rPr>
        <w:t> </w:t>
      </w:r>
      <w:r>
        <w:rPr>
          <w:b/>
          <w:sz w:val="22"/>
        </w:rPr>
        <w:t>en</w:t>
      </w:r>
      <w:r>
        <w:rPr>
          <w:b/>
          <w:spacing w:val="-12"/>
          <w:sz w:val="22"/>
        </w:rPr>
        <w:t> </w:t>
      </w:r>
      <w:r>
        <w:rPr>
          <w:b/>
          <w:sz w:val="22"/>
        </w:rPr>
        <w:t>Materia</w:t>
      </w:r>
      <w:r>
        <w:rPr>
          <w:b/>
          <w:spacing w:val="-9"/>
          <w:sz w:val="22"/>
        </w:rPr>
        <w:t> </w:t>
      </w:r>
      <w:r>
        <w:rPr>
          <w:b/>
          <w:sz w:val="22"/>
        </w:rPr>
        <w:t>de</w:t>
      </w:r>
      <w:r>
        <w:rPr>
          <w:b/>
          <w:spacing w:val="-12"/>
          <w:sz w:val="22"/>
        </w:rPr>
        <w:t> </w:t>
      </w:r>
      <w:r>
        <w:rPr>
          <w:b/>
          <w:sz w:val="22"/>
        </w:rPr>
        <w:t>Inserción</w:t>
      </w:r>
      <w:r>
        <w:rPr>
          <w:b/>
          <w:spacing w:val="-12"/>
          <w:sz w:val="22"/>
        </w:rPr>
        <w:t> </w:t>
      </w:r>
      <w:r>
        <w:rPr>
          <w:b/>
          <w:sz w:val="22"/>
        </w:rPr>
        <w:t>de</w:t>
      </w:r>
      <w:r>
        <w:rPr>
          <w:b/>
          <w:spacing w:val="-9"/>
          <w:sz w:val="22"/>
        </w:rPr>
        <w:t> </w:t>
      </w:r>
      <w:r>
        <w:rPr>
          <w:b/>
          <w:sz w:val="22"/>
        </w:rPr>
        <w:t>los</w:t>
      </w:r>
      <w:r>
        <w:rPr>
          <w:b/>
          <w:spacing w:val="-12"/>
          <w:sz w:val="22"/>
        </w:rPr>
        <w:t> </w:t>
      </w:r>
      <w:r>
        <w:rPr>
          <w:b/>
          <w:sz w:val="22"/>
        </w:rPr>
        <w:t>Padres</w:t>
      </w:r>
      <w:r>
        <w:rPr>
          <w:b/>
          <w:spacing w:val="-9"/>
          <w:sz w:val="22"/>
        </w:rPr>
        <w:t> </w:t>
      </w:r>
      <w:r>
        <w:rPr>
          <w:b/>
          <w:sz w:val="22"/>
        </w:rPr>
        <w:t>y</w:t>
      </w:r>
      <w:r>
        <w:rPr>
          <w:b/>
          <w:spacing w:val="-9"/>
          <w:sz w:val="22"/>
        </w:rPr>
        <w:t> </w:t>
      </w:r>
      <w:r>
        <w:rPr>
          <w:b/>
          <w:sz w:val="22"/>
        </w:rPr>
        <w:t>las Madres al mercado laboral o educativo</w:t>
      </w:r>
      <w:r>
        <w:rPr>
          <w:sz w:val="22"/>
        </w:rPr>
        <w:t>, de acuerdo con lo establecido en la Ley N.º 9220, Oficializa la "Estrategia en materia de inserción de los padres y las madres al mercado</w:t>
      </w:r>
      <w:r>
        <w:rPr>
          <w:spacing w:val="-9"/>
          <w:sz w:val="22"/>
        </w:rPr>
        <w:t> </w:t>
      </w:r>
      <w:r>
        <w:rPr>
          <w:sz w:val="22"/>
        </w:rPr>
        <w:t>laboral</w:t>
      </w:r>
      <w:r>
        <w:rPr>
          <w:spacing w:val="-9"/>
          <w:sz w:val="22"/>
        </w:rPr>
        <w:t> </w:t>
      </w:r>
      <w:r>
        <w:rPr>
          <w:sz w:val="22"/>
        </w:rPr>
        <w:t>o</w:t>
      </w:r>
      <w:r>
        <w:rPr>
          <w:spacing w:val="-9"/>
          <w:sz w:val="22"/>
        </w:rPr>
        <w:t> </w:t>
      </w:r>
      <w:r>
        <w:rPr>
          <w:sz w:val="22"/>
        </w:rPr>
        <w:t>educativo,</w:t>
      </w:r>
      <w:r>
        <w:rPr>
          <w:spacing w:val="-8"/>
          <w:sz w:val="22"/>
        </w:rPr>
        <w:t> </w:t>
      </w:r>
      <w:r>
        <w:rPr>
          <w:sz w:val="22"/>
        </w:rPr>
        <w:t>de</w:t>
      </w:r>
      <w:r>
        <w:rPr>
          <w:spacing w:val="-9"/>
          <w:sz w:val="22"/>
        </w:rPr>
        <w:t> </w:t>
      </w:r>
      <w:r>
        <w:rPr>
          <w:sz w:val="22"/>
        </w:rPr>
        <w:t>acuerdo</w:t>
      </w:r>
      <w:r>
        <w:rPr>
          <w:spacing w:val="-9"/>
          <w:sz w:val="22"/>
        </w:rPr>
        <w:t> </w:t>
      </w:r>
      <w:r>
        <w:rPr>
          <w:sz w:val="22"/>
        </w:rPr>
        <w:t>con</w:t>
      </w:r>
      <w:r>
        <w:rPr>
          <w:spacing w:val="-9"/>
          <w:sz w:val="22"/>
        </w:rPr>
        <w:t> </w:t>
      </w:r>
      <w:r>
        <w:rPr>
          <w:sz w:val="22"/>
        </w:rPr>
        <w:t>lo</w:t>
      </w:r>
      <w:r>
        <w:rPr>
          <w:spacing w:val="-9"/>
          <w:sz w:val="22"/>
        </w:rPr>
        <w:t> </w:t>
      </w:r>
      <w:r>
        <w:rPr>
          <w:sz w:val="22"/>
        </w:rPr>
        <w:t>establecido</w:t>
      </w:r>
      <w:r>
        <w:rPr>
          <w:spacing w:val="-7"/>
          <w:sz w:val="22"/>
        </w:rPr>
        <w:t> </w:t>
      </w:r>
      <w:r>
        <w:rPr>
          <w:sz w:val="22"/>
        </w:rPr>
        <w:t>en</w:t>
      </w:r>
      <w:r>
        <w:rPr>
          <w:spacing w:val="-9"/>
          <w:sz w:val="22"/>
        </w:rPr>
        <w:t> </w:t>
      </w:r>
      <w:r>
        <w:rPr>
          <w:sz w:val="22"/>
        </w:rPr>
        <w:t>la</w:t>
      </w:r>
      <w:r>
        <w:rPr>
          <w:spacing w:val="-9"/>
          <w:sz w:val="22"/>
        </w:rPr>
        <w:t> </w:t>
      </w:r>
      <w:r>
        <w:rPr>
          <w:sz w:val="22"/>
        </w:rPr>
        <w:t>Ley</w:t>
      </w:r>
      <w:r>
        <w:rPr>
          <w:spacing w:val="-8"/>
          <w:sz w:val="22"/>
        </w:rPr>
        <w:t> </w:t>
      </w:r>
      <w:r>
        <w:rPr>
          <w:sz w:val="22"/>
        </w:rPr>
        <w:t>N.º</w:t>
      </w:r>
      <w:r>
        <w:rPr>
          <w:spacing w:val="-10"/>
          <w:sz w:val="22"/>
        </w:rPr>
        <w:t> </w:t>
      </w:r>
      <w:r>
        <w:rPr>
          <w:sz w:val="22"/>
        </w:rPr>
        <w:t>9220"</w:t>
      </w:r>
      <w:r>
        <w:rPr>
          <w:spacing w:val="-5"/>
          <w:sz w:val="22"/>
        </w:rPr>
        <w:t> </w:t>
      </w:r>
      <w:r>
        <w:rPr>
          <w:sz w:val="22"/>
        </w:rPr>
        <w:t>Fecha</w:t>
      </w:r>
      <w:r>
        <w:rPr>
          <w:spacing w:val="-9"/>
          <w:sz w:val="22"/>
        </w:rPr>
        <w:t> </w:t>
      </w:r>
      <w:r>
        <w:rPr>
          <w:sz w:val="22"/>
        </w:rPr>
        <w:t>de vigencia 22/11/2017</w:t>
      </w:r>
    </w:p>
    <w:p>
      <w:pPr>
        <w:pStyle w:val="BodyText"/>
        <w:spacing w:before="1"/>
      </w:pPr>
    </w:p>
    <w:p>
      <w:pPr>
        <w:spacing w:before="0"/>
        <w:ind w:left="1625" w:right="1602" w:firstLine="0"/>
        <w:jc w:val="both"/>
        <w:rPr>
          <w:sz w:val="22"/>
        </w:rPr>
      </w:pPr>
      <w:r>
        <w:rPr>
          <w:b/>
          <w:sz w:val="22"/>
        </w:rPr>
        <w:t>Decreto N° 40836-MTSS-MDHIS-MIDEPLAN-MEIC Reforma Implementación y articulación</w:t>
      </w:r>
      <w:r>
        <w:rPr>
          <w:b/>
          <w:spacing w:val="-13"/>
          <w:sz w:val="22"/>
        </w:rPr>
        <w:t> </w:t>
      </w:r>
      <w:r>
        <w:rPr>
          <w:b/>
          <w:sz w:val="22"/>
        </w:rPr>
        <w:t>de</w:t>
      </w:r>
      <w:r>
        <w:rPr>
          <w:b/>
          <w:spacing w:val="-10"/>
          <w:sz w:val="22"/>
        </w:rPr>
        <w:t> </w:t>
      </w:r>
      <w:r>
        <w:rPr>
          <w:b/>
          <w:sz w:val="22"/>
        </w:rPr>
        <w:t>la</w:t>
      </w:r>
      <w:r>
        <w:rPr>
          <w:b/>
          <w:spacing w:val="-12"/>
          <w:sz w:val="22"/>
        </w:rPr>
        <w:t> </w:t>
      </w:r>
      <w:r>
        <w:rPr>
          <w:b/>
          <w:sz w:val="22"/>
        </w:rPr>
        <w:t>estrategia</w:t>
      </w:r>
      <w:r>
        <w:rPr>
          <w:b/>
          <w:spacing w:val="-10"/>
          <w:sz w:val="22"/>
        </w:rPr>
        <w:t> </w:t>
      </w:r>
      <w:r>
        <w:rPr>
          <w:b/>
          <w:sz w:val="22"/>
        </w:rPr>
        <w:t>puente</w:t>
      </w:r>
      <w:r>
        <w:rPr>
          <w:b/>
          <w:spacing w:val="-10"/>
          <w:sz w:val="22"/>
        </w:rPr>
        <w:t> </w:t>
      </w:r>
      <w:r>
        <w:rPr>
          <w:b/>
          <w:sz w:val="22"/>
        </w:rPr>
        <w:t>al</w:t>
      </w:r>
      <w:r>
        <w:rPr>
          <w:b/>
          <w:spacing w:val="-8"/>
          <w:sz w:val="22"/>
        </w:rPr>
        <w:t> </w:t>
      </w:r>
      <w:r>
        <w:rPr>
          <w:b/>
          <w:sz w:val="22"/>
        </w:rPr>
        <w:t>desarrollo</w:t>
      </w:r>
      <w:r>
        <w:rPr>
          <w:sz w:val="22"/>
        </w:rPr>
        <w:t>,</w:t>
      </w:r>
      <w:r>
        <w:rPr>
          <w:spacing w:val="-8"/>
          <w:sz w:val="22"/>
        </w:rPr>
        <w:t> </w:t>
      </w:r>
      <w:r>
        <w:rPr>
          <w:sz w:val="22"/>
        </w:rPr>
        <w:t>Modifica</w:t>
      </w:r>
      <w:r>
        <w:rPr>
          <w:spacing w:val="-10"/>
          <w:sz w:val="22"/>
        </w:rPr>
        <w:t> </w:t>
      </w:r>
      <w:r>
        <w:rPr>
          <w:sz w:val="22"/>
        </w:rPr>
        <w:t>artículos</w:t>
      </w:r>
      <w:r>
        <w:rPr>
          <w:spacing w:val="-10"/>
          <w:sz w:val="22"/>
        </w:rPr>
        <w:t> </w:t>
      </w:r>
      <w:r>
        <w:rPr>
          <w:sz w:val="22"/>
        </w:rPr>
        <w:t>varios</w:t>
      </w:r>
      <w:r>
        <w:rPr>
          <w:spacing w:val="-10"/>
          <w:sz w:val="22"/>
        </w:rPr>
        <w:t> </w:t>
      </w:r>
      <w:r>
        <w:rPr>
          <w:sz w:val="22"/>
        </w:rPr>
        <w:t>del</w:t>
      </w:r>
      <w:r>
        <w:rPr>
          <w:spacing w:val="-11"/>
          <w:sz w:val="22"/>
        </w:rPr>
        <w:t> </w:t>
      </w:r>
      <w:r>
        <w:rPr>
          <w:sz w:val="22"/>
        </w:rPr>
        <w:t>Decreto N.º 38954-MTSS-MDHIS-MIDEPLAN. Fecha de vigencia19/02/2018.</w:t>
      </w:r>
    </w:p>
    <w:p>
      <w:pPr>
        <w:spacing w:before="252"/>
        <w:ind w:left="1625" w:right="1600" w:firstLine="0"/>
        <w:jc w:val="both"/>
        <w:rPr>
          <w:sz w:val="22"/>
        </w:rPr>
      </w:pPr>
      <w:r>
        <w:rPr>
          <w:b/>
          <w:sz w:val="22"/>
        </w:rPr>
        <w:t>Decreto N° 40881-S. Oficializa la Normativa Nacional para la Articulación Interinstitucional en el Abordaje Integral del Comportamiento Suicida.</w:t>
      </w:r>
      <w:r>
        <w:rPr>
          <w:b/>
          <w:spacing w:val="40"/>
          <w:sz w:val="22"/>
        </w:rPr>
        <w:t> </w:t>
      </w:r>
      <w:r>
        <w:rPr>
          <w:sz w:val="22"/>
        </w:rPr>
        <w:t>Aplicación obligatoria la Normativa Nacional para la Articulación Interinstitucional en el Abordaje Integral</w:t>
      </w:r>
      <w:r>
        <w:rPr>
          <w:spacing w:val="-2"/>
          <w:sz w:val="22"/>
        </w:rPr>
        <w:t> </w:t>
      </w:r>
      <w:r>
        <w:rPr>
          <w:sz w:val="22"/>
        </w:rPr>
        <w:t>del</w:t>
      </w:r>
      <w:r>
        <w:rPr>
          <w:spacing w:val="-1"/>
          <w:sz w:val="22"/>
        </w:rPr>
        <w:t> </w:t>
      </w:r>
      <w:r>
        <w:rPr>
          <w:sz w:val="22"/>
        </w:rPr>
        <w:t>Comportamiento Suicida,</w:t>
      </w:r>
      <w:r>
        <w:rPr>
          <w:spacing w:val="-1"/>
          <w:sz w:val="22"/>
        </w:rPr>
        <w:t> </w:t>
      </w:r>
      <w:r>
        <w:rPr>
          <w:sz w:val="22"/>
        </w:rPr>
        <w:t>adjunta</w:t>
      </w:r>
      <w:r>
        <w:rPr>
          <w:spacing w:val="-3"/>
          <w:sz w:val="22"/>
        </w:rPr>
        <w:t> </w:t>
      </w:r>
      <w:r>
        <w:rPr>
          <w:sz w:val="22"/>
        </w:rPr>
        <w:t>como anexo a</w:t>
      </w:r>
      <w:r>
        <w:rPr>
          <w:spacing w:val="-3"/>
          <w:sz w:val="22"/>
        </w:rPr>
        <w:t> </w:t>
      </w:r>
      <w:r>
        <w:rPr>
          <w:sz w:val="22"/>
        </w:rPr>
        <w:t>este decreto, la</w:t>
      </w:r>
      <w:r>
        <w:rPr>
          <w:spacing w:val="-3"/>
          <w:sz w:val="22"/>
        </w:rPr>
        <w:t> </w:t>
      </w:r>
      <w:r>
        <w:rPr>
          <w:sz w:val="22"/>
        </w:rPr>
        <w:t>cual</w:t>
      </w:r>
      <w:r>
        <w:rPr>
          <w:spacing w:val="-1"/>
          <w:sz w:val="22"/>
        </w:rPr>
        <w:t> </w:t>
      </w:r>
      <w:r>
        <w:rPr>
          <w:sz w:val="22"/>
        </w:rPr>
        <w:t>deberá ser acatada por todas las instituciones involucradas en el proceso de abordaje integral del comportamiento suicida. Fecha de vigencia 22/02/2018.</w:t>
      </w:r>
    </w:p>
    <w:p>
      <w:pPr>
        <w:pStyle w:val="BodyText"/>
      </w:pPr>
    </w:p>
    <w:p>
      <w:pPr>
        <w:pStyle w:val="BodyText"/>
        <w:ind w:left="1625" w:right="1602"/>
        <w:jc w:val="both"/>
      </w:pPr>
      <w:r>
        <w:rPr>
          <w:b/>
        </w:rPr>
        <w:t>Decreto N° 40932-MP-MJP. Mecanismo General de Consulta a Pueblos Indígenas. </w:t>
      </w:r>
      <w:r>
        <w:rPr/>
        <w:t>Reglamenta la obligación del Poder Ejecutivo de consultar a los pueblos indígenas de forma libre, previa e informada, mediante procedimientos apropiados y a través de sus instituciones representativas, cada vez que se prevean medidas administrativas, proyectos</w:t>
      </w:r>
      <w:r>
        <w:rPr>
          <w:spacing w:val="-10"/>
        </w:rPr>
        <w:t> </w:t>
      </w:r>
      <w:r>
        <w:rPr/>
        <w:t>de</w:t>
      </w:r>
      <w:r>
        <w:rPr>
          <w:spacing w:val="-13"/>
        </w:rPr>
        <w:t> </w:t>
      </w:r>
      <w:r>
        <w:rPr/>
        <w:t>ley</w:t>
      </w:r>
      <w:r>
        <w:rPr>
          <w:spacing w:val="-12"/>
        </w:rPr>
        <w:t> </w:t>
      </w:r>
      <w:r>
        <w:rPr/>
        <w:t>promovidos</w:t>
      </w:r>
      <w:r>
        <w:rPr>
          <w:spacing w:val="-10"/>
        </w:rPr>
        <w:t> </w:t>
      </w:r>
      <w:r>
        <w:rPr/>
        <w:t>por</w:t>
      </w:r>
      <w:r>
        <w:rPr>
          <w:spacing w:val="-10"/>
        </w:rPr>
        <w:t> </w:t>
      </w:r>
      <w:r>
        <w:rPr/>
        <w:t>el</w:t>
      </w:r>
      <w:r>
        <w:rPr>
          <w:spacing w:val="-13"/>
        </w:rPr>
        <w:t> </w:t>
      </w:r>
      <w:r>
        <w:rPr/>
        <w:t>Poder</w:t>
      </w:r>
      <w:r>
        <w:rPr>
          <w:spacing w:val="-11"/>
        </w:rPr>
        <w:t> </w:t>
      </w:r>
      <w:r>
        <w:rPr/>
        <w:t>Ejecutivo</w:t>
      </w:r>
      <w:r>
        <w:rPr>
          <w:spacing w:val="-11"/>
        </w:rPr>
        <w:t> </w:t>
      </w:r>
      <w:r>
        <w:rPr/>
        <w:t>o</w:t>
      </w:r>
      <w:r>
        <w:rPr>
          <w:spacing w:val="-12"/>
        </w:rPr>
        <w:t> </w:t>
      </w:r>
      <w:r>
        <w:rPr/>
        <w:t>proyectos</w:t>
      </w:r>
      <w:r>
        <w:rPr>
          <w:spacing w:val="-12"/>
        </w:rPr>
        <w:t> </w:t>
      </w:r>
      <w:r>
        <w:rPr/>
        <w:t>privados,</w:t>
      </w:r>
      <w:r>
        <w:rPr>
          <w:spacing w:val="-11"/>
        </w:rPr>
        <w:t> </w:t>
      </w:r>
      <w:r>
        <w:rPr/>
        <w:t>susceptibles</w:t>
      </w:r>
      <w:r>
        <w:rPr>
          <w:spacing w:val="-11"/>
        </w:rPr>
        <w:t> </w:t>
      </w:r>
      <w:r>
        <w:rPr/>
        <w:t>de afectarles. Fecha de vigencia 05/04/2018.</w:t>
      </w:r>
    </w:p>
    <w:p>
      <w:pPr>
        <w:pStyle w:val="BodyText"/>
        <w:spacing w:before="1"/>
      </w:pPr>
    </w:p>
    <w:p>
      <w:pPr>
        <w:spacing w:before="0"/>
        <w:ind w:left="1625" w:right="1604" w:firstLine="0"/>
        <w:jc w:val="both"/>
        <w:rPr>
          <w:sz w:val="22"/>
        </w:rPr>
      </w:pPr>
      <w:r>
        <w:rPr>
          <w:b/>
          <w:sz w:val="22"/>
        </w:rPr>
        <w:t>Decreto N° 40933-MEIC-MIDEPLAN Implementación del Reglamento para el desarrollo Directriz N.º 103-P </w:t>
      </w:r>
      <w:r>
        <w:rPr>
          <w:sz w:val="22"/>
        </w:rPr>
        <w:t>Ordena a la Administración Central y se instruye a la Administración Descentralizada, a aplicar los</w:t>
      </w:r>
      <w:r>
        <w:rPr>
          <w:spacing w:val="-1"/>
          <w:sz w:val="22"/>
        </w:rPr>
        <w:t> </w:t>
      </w:r>
      <w:r>
        <w:rPr>
          <w:sz w:val="22"/>
        </w:rPr>
        <w:t>lineamientos</w:t>
      </w:r>
      <w:r>
        <w:rPr>
          <w:spacing w:val="-1"/>
          <w:sz w:val="22"/>
        </w:rPr>
        <w:t> </w:t>
      </w:r>
      <w:r>
        <w:rPr>
          <w:sz w:val="22"/>
        </w:rPr>
        <w:t>y objetivos</w:t>
      </w:r>
      <w:r>
        <w:rPr>
          <w:spacing w:val="-1"/>
          <w:sz w:val="22"/>
        </w:rPr>
        <w:t> </w:t>
      </w:r>
      <w:r>
        <w:rPr>
          <w:sz w:val="22"/>
        </w:rPr>
        <w:t>establecidos en el Reglamento</w:t>
      </w:r>
      <w:r>
        <w:rPr>
          <w:spacing w:val="-10"/>
          <w:sz w:val="22"/>
        </w:rPr>
        <w:t> </w:t>
      </w:r>
      <w:r>
        <w:rPr>
          <w:sz w:val="22"/>
        </w:rPr>
        <w:t>para</w:t>
      </w:r>
      <w:r>
        <w:rPr>
          <w:spacing w:val="-12"/>
          <w:sz w:val="22"/>
        </w:rPr>
        <w:t> </w:t>
      </w:r>
      <w:r>
        <w:rPr>
          <w:sz w:val="22"/>
        </w:rPr>
        <w:t>el</w:t>
      </w:r>
      <w:r>
        <w:rPr>
          <w:spacing w:val="-11"/>
          <w:sz w:val="22"/>
        </w:rPr>
        <w:t> </w:t>
      </w:r>
      <w:r>
        <w:rPr>
          <w:sz w:val="22"/>
        </w:rPr>
        <w:t>Desarrollo,</w:t>
      </w:r>
      <w:r>
        <w:rPr>
          <w:spacing w:val="-9"/>
          <w:sz w:val="22"/>
        </w:rPr>
        <w:t> </w:t>
      </w:r>
      <w:r>
        <w:rPr>
          <w:sz w:val="22"/>
        </w:rPr>
        <w:t>Fomento</w:t>
      </w:r>
      <w:r>
        <w:rPr>
          <w:spacing w:val="-12"/>
          <w:sz w:val="22"/>
        </w:rPr>
        <w:t> </w:t>
      </w:r>
      <w:r>
        <w:rPr>
          <w:sz w:val="22"/>
        </w:rPr>
        <w:t>y</w:t>
      </w:r>
      <w:r>
        <w:rPr>
          <w:spacing w:val="-12"/>
          <w:sz w:val="22"/>
        </w:rPr>
        <w:t> </w:t>
      </w:r>
      <w:r>
        <w:rPr>
          <w:sz w:val="22"/>
        </w:rPr>
        <w:t>Gestión</w:t>
      </w:r>
      <w:r>
        <w:rPr>
          <w:spacing w:val="-10"/>
          <w:sz w:val="22"/>
        </w:rPr>
        <w:t> </w:t>
      </w:r>
      <w:r>
        <w:rPr>
          <w:sz w:val="22"/>
        </w:rPr>
        <w:t>de</w:t>
      </w:r>
      <w:r>
        <w:rPr>
          <w:spacing w:val="-10"/>
          <w:sz w:val="22"/>
        </w:rPr>
        <w:t> </w:t>
      </w:r>
      <w:r>
        <w:rPr>
          <w:sz w:val="22"/>
        </w:rPr>
        <w:t>las</w:t>
      </w:r>
      <w:r>
        <w:rPr>
          <w:spacing w:val="-10"/>
          <w:sz w:val="22"/>
        </w:rPr>
        <w:t> </w:t>
      </w:r>
      <w:r>
        <w:rPr>
          <w:sz w:val="22"/>
        </w:rPr>
        <w:t>Alianzas</w:t>
      </w:r>
      <w:r>
        <w:rPr>
          <w:spacing w:val="-10"/>
          <w:sz w:val="22"/>
        </w:rPr>
        <w:t> </w:t>
      </w:r>
      <w:r>
        <w:rPr>
          <w:sz w:val="22"/>
        </w:rPr>
        <w:t>Público-Privadas</w:t>
      </w:r>
      <w:r>
        <w:rPr>
          <w:spacing w:val="-10"/>
          <w:sz w:val="22"/>
        </w:rPr>
        <w:t> </w:t>
      </w:r>
      <w:r>
        <w:rPr>
          <w:sz w:val="22"/>
        </w:rPr>
        <w:t>para el Desarrollo en el Sector Público. Fecha de vigencia 30/04/2018</w:t>
      </w:r>
    </w:p>
    <w:p>
      <w:pPr>
        <w:spacing w:before="252"/>
        <w:ind w:left="1625" w:right="1606" w:firstLine="0"/>
        <w:jc w:val="both"/>
        <w:rPr>
          <w:sz w:val="22"/>
        </w:rPr>
      </w:pPr>
      <w:r>
        <w:rPr>
          <w:b/>
          <w:sz w:val="22"/>
        </w:rPr>
        <w:t>Decreto N° 9440 Creación del Cantón XVI Río Cuarto, de la provincia de Alajuela </w:t>
      </w:r>
      <w:r>
        <w:rPr>
          <w:sz w:val="22"/>
        </w:rPr>
        <w:t>Crea el cantón XVI, de la provincia de Alajuela, con el nombre de Río Cuarto, resultante de la segregación del distrito de Río Cuarto, sexto del cantón de Grecia. Fecha de vigencia 20/04/2018</w:t>
      </w:r>
    </w:p>
    <w:p>
      <w:pPr>
        <w:pStyle w:val="BodyText"/>
      </w:pPr>
    </w:p>
    <w:p>
      <w:pPr>
        <w:spacing w:before="0"/>
        <w:ind w:left="1625" w:right="1601" w:firstLine="0"/>
        <w:jc w:val="both"/>
        <w:rPr>
          <w:sz w:val="22"/>
        </w:rPr>
      </w:pPr>
      <w:r>
        <w:rPr>
          <w:b/>
          <w:sz w:val="22"/>
        </w:rPr>
        <w:t>Decreto</w:t>
      </w:r>
      <w:r>
        <w:rPr>
          <w:b/>
          <w:spacing w:val="-10"/>
          <w:sz w:val="22"/>
        </w:rPr>
        <w:t> </w:t>
      </w:r>
      <w:r>
        <w:rPr>
          <w:b/>
          <w:sz w:val="22"/>
        </w:rPr>
        <w:t>N°</w:t>
      </w:r>
      <w:r>
        <w:rPr>
          <w:b/>
          <w:spacing w:val="-9"/>
          <w:sz w:val="22"/>
        </w:rPr>
        <w:t> </w:t>
      </w:r>
      <w:r>
        <w:rPr>
          <w:b/>
          <w:sz w:val="22"/>
        </w:rPr>
        <w:t>41080-MTSS-S.</w:t>
      </w:r>
      <w:r>
        <w:rPr>
          <w:b/>
          <w:spacing w:val="-8"/>
          <w:sz w:val="22"/>
        </w:rPr>
        <w:t> </w:t>
      </w:r>
      <w:r>
        <w:rPr>
          <w:b/>
          <w:sz w:val="22"/>
        </w:rPr>
        <w:t>Reglamento</w:t>
      </w:r>
      <w:r>
        <w:rPr>
          <w:b/>
          <w:spacing w:val="-9"/>
          <w:sz w:val="22"/>
        </w:rPr>
        <w:t> </w:t>
      </w:r>
      <w:r>
        <w:rPr>
          <w:b/>
          <w:sz w:val="22"/>
        </w:rPr>
        <w:t>de</w:t>
      </w:r>
      <w:r>
        <w:rPr>
          <w:b/>
          <w:spacing w:val="-10"/>
          <w:sz w:val="22"/>
        </w:rPr>
        <w:t> </w:t>
      </w:r>
      <w:r>
        <w:rPr>
          <w:b/>
          <w:sz w:val="22"/>
        </w:rPr>
        <w:t>Condiciones</w:t>
      </w:r>
      <w:r>
        <w:rPr>
          <w:b/>
          <w:spacing w:val="-10"/>
          <w:sz w:val="22"/>
        </w:rPr>
        <w:t> </w:t>
      </w:r>
      <w:r>
        <w:rPr>
          <w:b/>
          <w:sz w:val="22"/>
        </w:rPr>
        <w:t>para</w:t>
      </w:r>
      <w:r>
        <w:rPr>
          <w:b/>
          <w:spacing w:val="-9"/>
          <w:sz w:val="22"/>
        </w:rPr>
        <w:t> </w:t>
      </w:r>
      <w:r>
        <w:rPr>
          <w:b/>
          <w:sz w:val="22"/>
        </w:rPr>
        <w:t>las</w:t>
      </w:r>
      <w:r>
        <w:rPr>
          <w:b/>
          <w:spacing w:val="-10"/>
          <w:sz w:val="22"/>
        </w:rPr>
        <w:t> </w:t>
      </w:r>
      <w:r>
        <w:rPr>
          <w:b/>
          <w:sz w:val="22"/>
        </w:rPr>
        <w:t>Salas</w:t>
      </w:r>
      <w:r>
        <w:rPr>
          <w:b/>
          <w:spacing w:val="-10"/>
          <w:sz w:val="22"/>
        </w:rPr>
        <w:t> </w:t>
      </w:r>
      <w:r>
        <w:rPr>
          <w:b/>
          <w:sz w:val="22"/>
        </w:rPr>
        <w:t>de</w:t>
      </w:r>
      <w:r>
        <w:rPr>
          <w:b/>
          <w:spacing w:val="-10"/>
          <w:sz w:val="22"/>
        </w:rPr>
        <w:t> </w:t>
      </w:r>
      <w:r>
        <w:rPr>
          <w:b/>
          <w:sz w:val="22"/>
        </w:rPr>
        <w:t>Lactancia Materna en los Centros de Trabajo </w:t>
      </w:r>
      <w:r>
        <w:rPr>
          <w:sz w:val="22"/>
        </w:rPr>
        <w:t>Determina las condiciones mínimas que deben adoptar</w:t>
      </w:r>
      <w:r>
        <w:rPr>
          <w:spacing w:val="-4"/>
          <w:sz w:val="22"/>
        </w:rPr>
        <w:t> </w:t>
      </w:r>
      <w:r>
        <w:rPr>
          <w:sz w:val="22"/>
        </w:rPr>
        <w:t>las</w:t>
      </w:r>
      <w:r>
        <w:rPr>
          <w:spacing w:val="-6"/>
          <w:sz w:val="22"/>
        </w:rPr>
        <w:t> </w:t>
      </w:r>
      <w:r>
        <w:rPr>
          <w:sz w:val="22"/>
        </w:rPr>
        <w:t>personas</w:t>
      </w:r>
      <w:r>
        <w:rPr>
          <w:spacing w:val="-6"/>
          <w:sz w:val="22"/>
        </w:rPr>
        <w:t> </w:t>
      </w:r>
      <w:r>
        <w:rPr>
          <w:sz w:val="22"/>
        </w:rPr>
        <w:t>empleadoras</w:t>
      </w:r>
      <w:r>
        <w:rPr>
          <w:spacing w:val="-5"/>
          <w:sz w:val="22"/>
        </w:rPr>
        <w:t> </w:t>
      </w:r>
      <w:r>
        <w:rPr>
          <w:sz w:val="22"/>
        </w:rPr>
        <w:t>en</w:t>
      </w:r>
      <w:r>
        <w:rPr>
          <w:spacing w:val="-5"/>
          <w:sz w:val="22"/>
        </w:rPr>
        <w:t> </w:t>
      </w:r>
      <w:r>
        <w:rPr>
          <w:sz w:val="22"/>
        </w:rPr>
        <w:t>sus</w:t>
      </w:r>
      <w:r>
        <w:rPr>
          <w:spacing w:val="-6"/>
          <w:sz w:val="22"/>
        </w:rPr>
        <w:t> </w:t>
      </w:r>
      <w:r>
        <w:rPr>
          <w:sz w:val="22"/>
        </w:rPr>
        <w:t>centros</w:t>
      </w:r>
      <w:r>
        <w:rPr>
          <w:spacing w:val="-6"/>
          <w:sz w:val="22"/>
        </w:rPr>
        <w:t> </w:t>
      </w:r>
      <w:r>
        <w:rPr>
          <w:sz w:val="22"/>
        </w:rPr>
        <w:t>de</w:t>
      </w:r>
      <w:r>
        <w:rPr>
          <w:spacing w:val="-5"/>
          <w:sz w:val="22"/>
        </w:rPr>
        <w:t> </w:t>
      </w:r>
      <w:r>
        <w:rPr>
          <w:sz w:val="22"/>
        </w:rPr>
        <w:t>trabajo,</w:t>
      </w:r>
      <w:r>
        <w:rPr>
          <w:spacing w:val="-4"/>
          <w:sz w:val="22"/>
        </w:rPr>
        <w:t> </w:t>
      </w:r>
      <w:r>
        <w:rPr>
          <w:sz w:val="22"/>
        </w:rPr>
        <w:t>a</w:t>
      </w:r>
      <w:r>
        <w:rPr>
          <w:spacing w:val="-5"/>
          <w:sz w:val="22"/>
        </w:rPr>
        <w:t> </w:t>
      </w:r>
      <w:r>
        <w:rPr>
          <w:sz w:val="22"/>
        </w:rPr>
        <w:t>efecto</w:t>
      </w:r>
      <w:r>
        <w:rPr>
          <w:spacing w:val="-5"/>
          <w:sz w:val="22"/>
        </w:rPr>
        <w:t> </w:t>
      </w:r>
      <w:r>
        <w:rPr>
          <w:sz w:val="22"/>
        </w:rPr>
        <w:t>de</w:t>
      </w:r>
      <w:r>
        <w:rPr>
          <w:spacing w:val="-5"/>
          <w:sz w:val="22"/>
        </w:rPr>
        <w:t> </w:t>
      </w:r>
      <w:r>
        <w:rPr>
          <w:sz w:val="22"/>
        </w:rPr>
        <w:t>acondicionar</w:t>
      </w:r>
      <w:r>
        <w:rPr>
          <w:spacing w:val="-4"/>
          <w:sz w:val="22"/>
        </w:rPr>
        <w:t> </w:t>
      </w:r>
      <w:r>
        <w:rPr>
          <w:sz w:val="22"/>
        </w:rPr>
        <w:t>la sala</w:t>
      </w:r>
      <w:r>
        <w:rPr>
          <w:spacing w:val="32"/>
          <w:sz w:val="22"/>
        </w:rPr>
        <w:t> </w:t>
      </w:r>
      <w:r>
        <w:rPr>
          <w:sz w:val="22"/>
        </w:rPr>
        <w:t>de</w:t>
      </w:r>
      <w:r>
        <w:rPr>
          <w:spacing w:val="31"/>
          <w:sz w:val="22"/>
        </w:rPr>
        <w:t> </w:t>
      </w:r>
      <w:r>
        <w:rPr>
          <w:sz w:val="22"/>
        </w:rPr>
        <w:t>lactancia</w:t>
      </w:r>
      <w:r>
        <w:rPr>
          <w:spacing w:val="32"/>
          <w:sz w:val="22"/>
        </w:rPr>
        <w:t> </w:t>
      </w:r>
      <w:r>
        <w:rPr>
          <w:sz w:val="22"/>
        </w:rPr>
        <w:t>para</w:t>
      </w:r>
      <w:r>
        <w:rPr>
          <w:spacing w:val="27"/>
          <w:sz w:val="22"/>
        </w:rPr>
        <w:t> </w:t>
      </w:r>
      <w:r>
        <w:rPr>
          <w:sz w:val="22"/>
        </w:rPr>
        <w:t>que</w:t>
      </w:r>
      <w:r>
        <w:rPr>
          <w:spacing w:val="32"/>
          <w:sz w:val="22"/>
        </w:rPr>
        <w:t> </w:t>
      </w:r>
      <w:r>
        <w:rPr>
          <w:sz w:val="22"/>
        </w:rPr>
        <w:t>las</w:t>
      </w:r>
      <w:r>
        <w:rPr>
          <w:spacing w:val="29"/>
          <w:sz w:val="22"/>
        </w:rPr>
        <w:t> </w:t>
      </w:r>
      <w:r>
        <w:rPr>
          <w:sz w:val="22"/>
        </w:rPr>
        <w:t>madres</w:t>
      </w:r>
      <w:r>
        <w:rPr>
          <w:spacing w:val="29"/>
          <w:sz w:val="22"/>
        </w:rPr>
        <w:t> </w:t>
      </w:r>
      <w:r>
        <w:rPr>
          <w:sz w:val="22"/>
        </w:rPr>
        <w:t>amamanten</w:t>
      </w:r>
      <w:r>
        <w:rPr>
          <w:spacing w:val="32"/>
          <w:sz w:val="22"/>
        </w:rPr>
        <w:t> </w:t>
      </w:r>
      <w:r>
        <w:rPr>
          <w:sz w:val="22"/>
        </w:rPr>
        <w:t>a</w:t>
      </w:r>
      <w:r>
        <w:rPr>
          <w:spacing w:val="29"/>
          <w:sz w:val="22"/>
        </w:rPr>
        <w:t> </w:t>
      </w:r>
      <w:r>
        <w:rPr>
          <w:sz w:val="22"/>
        </w:rPr>
        <w:t>sus</w:t>
      </w:r>
      <w:r>
        <w:rPr>
          <w:spacing w:val="29"/>
          <w:sz w:val="22"/>
        </w:rPr>
        <w:t> </w:t>
      </w:r>
      <w:r>
        <w:rPr>
          <w:sz w:val="22"/>
        </w:rPr>
        <w:t>hijos</w:t>
      </w:r>
      <w:r>
        <w:rPr>
          <w:spacing w:val="29"/>
          <w:sz w:val="22"/>
        </w:rPr>
        <w:t> </w:t>
      </w:r>
      <w:r>
        <w:rPr>
          <w:sz w:val="22"/>
        </w:rPr>
        <w:t>o</w:t>
      </w:r>
      <w:r>
        <w:rPr>
          <w:spacing w:val="32"/>
          <w:sz w:val="22"/>
        </w:rPr>
        <w:t> </w:t>
      </w:r>
      <w:r>
        <w:rPr>
          <w:sz w:val="22"/>
        </w:rPr>
        <w:t>hijas</w:t>
      </w:r>
      <w:r>
        <w:rPr>
          <w:spacing w:val="29"/>
          <w:sz w:val="22"/>
        </w:rPr>
        <w:t> </w:t>
      </w:r>
      <w:r>
        <w:rPr>
          <w:sz w:val="22"/>
        </w:rPr>
        <w:t>sin</w:t>
      </w:r>
      <w:r>
        <w:rPr>
          <w:spacing w:val="32"/>
          <w:sz w:val="22"/>
        </w:rPr>
        <w:t> </w:t>
      </w:r>
      <w:r>
        <w:rPr>
          <w:sz w:val="22"/>
        </w:rPr>
        <w:t>peligro</w:t>
      </w:r>
      <w:r>
        <w:rPr>
          <w:spacing w:val="32"/>
          <w:sz w:val="22"/>
        </w:rPr>
        <w:t> </w:t>
      </w:r>
      <w:r>
        <w:rPr>
          <w:sz w:val="22"/>
        </w:rPr>
        <w:t>y/o</w:t>
      </w:r>
    </w:p>
    <w:p>
      <w:pPr>
        <w:spacing w:after="0"/>
        <w:jc w:val="both"/>
        <w:rPr>
          <w:sz w:val="22"/>
        </w:rPr>
        <w:sectPr>
          <w:pgSz w:w="12240" w:h="15840"/>
          <w:pgMar w:header="0" w:footer="1576" w:top="1000" w:bottom="1760" w:left="360" w:right="0"/>
        </w:sectPr>
      </w:pPr>
    </w:p>
    <w:p>
      <w:pPr>
        <w:pStyle w:val="BodyText"/>
        <w:spacing w:before="77"/>
        <w:ind w:left="1625" w:right="1601"/>
        <w:jc w:val="both"/>
      </w:pPr>
      <w:r>
        <w:rPr/>
        <w:t>extraigan</w:t>
      </w:r>
      <w:r>
        <w:rPr>
          <w:spacing w:val="-16"/>
        </w:rPr>
        <w:t> </w:t>
      </w:r>
      <w:r>
        <w:rPr/>
        <w:t>la</w:t>
      </w:r>
      <w:r>
        <w:rPr>
          <w:spacing w:val="-15"/>
        </w:rPr>
        <w:t> </w:t>
      </w:r>
      <w:r>
        <w:rPr/>
        <w:t>leche</w:t>
      </w:r>
      <w:r>
        <w:rPr>
          <w:spacing w:val="-15"/>
        </w:rPr>
        <w:t> </w:t>
      </w:r>
      <w:r>
        <w:rPr/>
        <w:t>materna</w:t>
      </w:r>
      <w:r>
        <w:rPr>
          <w:spacing w:val="-16"/>
        </w:rPr>
        <w:t> </w:t>
      </w:r>
      <w:r>
        <w:rPr/>
        <w:t>y</w:t>
      </w:r>
      <w:r>
        <w:rPr>
          <w:spacing w:val="-15"/>
        </w:rPr>
        <w:t> </w:t>
      </w:r>
      <w:r>
        <w:rPr/>
        <w:t>la</w:t>
      </w:r>
      <w:r>
        <w:rPr>
          <w:spacing w:val="-15"/>
        </w:rPr>
        <w:t> </w:t>
      </w:r>
      <w:r>
        <w:rPr/>
        <w:t>almacenen</w:t>
      </w:r>
      <w:r>
        <w:rPr>
          <w:spacing w:val="-15"/>
        </w:rPr>
        <w:t> </w:t>
      </w:r>
      <w:r>
        <w:rPr/>
        <w:t>sin</w:t>
      </w:r>
      <w:r>
        <w:rPr>
          <w:spacing w:val="-16"/>
        </w:rPr>
        <w:t> </w:t>
      </w:r>
      <w:r>
        <w:rPr/>
        <w:t>riesgo</w:t>
      </w:r>
      <w:r>
        <w:rPr>
          <w:spacing w:val="-15"/>
        </w:rPr>
        <w:t> </w:t>
      </w:r>
      <w:r>
        <w:rPr/>
        <w:t>de</w:t>
      </w:r>
      <w:r>
        <w:rPr>
          <w:spacing w:val="-15"/>
        </w:rPr>
        <w:t> </w:t>
      </w:r>
      <w:r>
        <w:rPr/>
        <w:t>contaminación.</w:t>
      </w:r>
      <w:r>
        <w:rPr>
          <w:spacing w:val="-16"/>
        </w:rPr>
        <w:t> </w:t>
      </w:r>
      <w:r>
        <w:rPr/>
        <w:t>Fecha</w:t>
      </w:r>
      <w:r>
        <w:rPr>
          <w:spacing w:val="-15"/>
        </w:rPr>
        <w:t> </w:t>
      </w:r>
      <w:r>
        <w:rPr/>
        <w:t>de</w:t>
      </w:r>
      <w:r>
        <w:rPr>
          <w:spacing w:val="-15"/>
        </w:rPr>
        <w:t> </w:t>
      </w:r>
      <w:r>
        <w:rPr/>
        <w:t>vigencia </w:t>
      </w:r>
      <w:r>
        <w:rPr>
          <w:spacing w:val="-2"/>
        </w:rPr>
        <w:t>04/05/2018.</w:t>
      </w:r>
    </w:p>
    <w:p>
      <w:pPr>
        <w:pStyle w:val="BodyText"/>
      </w:pPr>
    </w:p>
    <w:p>
      <w:pPr>
        <w:spacing w:before="0"/>
        <w:ind w:left="1625" w:right="1604" w:firstLine="0"/>
        <w:jc w:val="both"/>
        <w:rPr>
          <w:sz w:val="22"/>
        </w:rPr>
      </w:pPr>
      <w:r>
        <w:rPr>
          <w:b/>
          <w:sz w:val="22"/>
        </w:rPr>
        <w:t>Decreto N° 41039-MH</w:t>
      </w:r>
      <w:r>
        <w:rPr>
          <w:sz w:val="22"/>
        </w:rPr>
        <w:t>. </w:t>
      </w:r>
      <w:r>
        <w:rPr>
          <w:b/>
          <w:sz w:val="22"/>
        </w:rPr>
        <w:t>Cierre de brechas en la normativa contable internacional en el sector público costarricense y adopción y/o adaptación de la nueva normativa. </w:t>
      </w:r>
      <w:r>
        <w:rPr>
          <w:sz w:val="22"/>
        </w:rPr>
        <w:t>Faculta a la Contabilidad Nacional para realizar los ajustes y/o adaptaciones que considere</w:t>
      </w:r>
      <w:r>
        <w:rPr>
          <w:spacing w:val="-10"/>
          <w:sz w:val="22"/>
        </w:rPr>
        <w:t> </w:t>
      </w:r>
      <w:r>
        <w:rPr>
          <w:sz w:val="22"/>
        </w:rPr>
        <w:t>pertinentes</w:t>
      </w:r>
      <w:r>
        <w:rPr>
          <w:spacing w:val="-9"/>
          <w:sz w:val="22"/>
        </w:rPr>
        <w:t> </w:t>
      </w:r>
      <w:r>
        <w:rPr>
          <w:sz w:val="22"/>
        </w:rPr>
        <w:t>a</w:t>
      </w:r>
      <w:r>
        <w:rPr>
          <w:spacing w:val="-12"/>
          <w:sz w:val="22"/>
        </w:rPr>
        <w:t> </w:t>
      </w:r>
      <w:r>
        <w:rPr>
          <w:sz w:val="22"/>
        </w:rPr>
        <w:t>ese</w:t>
      </w:r>
      <w:r>
        <w:rPr>
          <w:spacing w:val="-10"/>
          <w:sz w:val="22"/>
        </w:rPr>
        <w:t> </w:t>
      </w:r>
      <w:r>
        <w:rPr>
          <w:sz w:val="22"/>
        </w:rPr>
        <w:t>marco</w:t>
      </w:r>
      <w:r>
        <w:rPr>
          <w:spacing w:val="-10"/>
          <w:sz w:val="22"/>
        </w:rPr>
        <w:t> </w:t>
      </w:r>
      <w:r>
        <w:rPr>
          <w:sz w:val="22"/>
        </w:rPr>
        <w:t>normativo</w:t>
      </w:r>
      <w:r>
        <w:rPr>
          <w:spacing w:val="-10"/>
          <w:sz w:val="22"/>
        </w:rPr>
        <w:t> </w:t>
      </w:r>
      <w:r>
        <w:rPr>
          <w:sz w:val="22"/>
        </w:rPr>
        <w:t>contable,</w:t>
      </w:r>
      <w:r>
        <w:rPr>
          <w:spacing w:val="-9"/>
          <w:sz w:val="22"/>
        </w:rPr>
        <w:t> </w:t>
      </w:r>
      <w:r>
        <w:rPr>
          <w:sz w:val="22"/>
        </w:rPr>
        <w:t>acorde</w:t>
      </w:r>
      <w:r>
        <w:rPr>
          <w:spacing w:val="-10"/>
          <w:sz w:val="22"/>
        </w:rPr>
        <w:t> </w:t>
      </w:r>
      <w:r>
        <w:rPr>
          <w:sz w:val="22"/>
        </w:rPr>
        <w:t>a</w:t>
      </w:r>
      <w:r>
        <w:rPr>
          <w:spacing w:val="-12"/>
          <w:sz w:val="22"/>
        </w:rPr>
        <w:t> </w:t>
      </w:r>
      <w:r>
        <w:rPr>
          <w:sz w:val="22"/>
        </w:rPr>
        <w:t>la</w:t>
      </w:r>
      <w:r>
        <w:rPr>
          <w:spacing w:val="-10"/>
          <w:sz w:val="22"/>
        </w:rPr>
        <w:t> </w:t>
      </w:r>
      <w:r>
        <w:rPr>
          <w:sz w:val="22"/>
        </w:rPr>
        <w:t>realidad</w:t>
      </w:r>
      <w:r>
        <w:rPr>
          <w:spacing w:val="-10"/>
          <w:sz w:val="22"/>
        </w:rPr>
        <w:t> </w:t>
      </w:r>
      <w:r>
        <w:rPr>
          <w:sz w:val="22"/>
        </w:rPr>
        <w:t>costarricense y a legislación nacional, como ente rector del Subsistema de Contabilidad, de acuerdo con los estudios y experiencias en el proceso de cierre de brechas, para la debida aplicación del devengo. Fecha de vigencia 07/05/2018.</w:t>
      </w:r>
    </w:p>
    <w:p>
      <w:pPr>
        <w:spacing w:before="253"/>
        <w:ind w:left="1625" w:right="1602" w:firstLine="0"/>
        <w:jc w:val="both"/>
        <w:rPr>
          <w:sz w:val="22"/>
        </w:rPr>
      </w:pPr>
      <w:r>
        <w:rPr>
          <w:b/>
          <w:sz w:val="22"/>
        </w:rPr>
        <w:t>Decreto</w:t>
      </w:r>
      <w:r>
        <w:rPr>
          <w:b/>
          <w:spacing w:val="-2"/>
          <w:sz w:val="22"/>
        </w:rPr>
        <w:t> </w:t>
      </w:r>
      <w:r>
        <w:rPr>
          <w:b/>
          <w:sz w:val="22"/>
        </w:rPr>
        <w:t>N°</w:t>
      </w:r>
      <w:r>
        <w:rPr>
          <w:b/>
          <w:spacing w:val="-4"/>
          <w:sz w:val="22"/>
        </w:rPr>
        <w:t> </w:t>
      </w:r>
      <w:r>
        <w:rPr>
          <w:b/>
          <w:sz w:val="22"/>
        </w:rPr>
        <w:t>41042-H</w:t>
      </w:r>
      <w:r>
        <w:rPr>
          <w:b/>
          <w:spacing w:val="-4"/>
          <w:sz w:val="22"/>
        </w:rPr>
        <w:t> </w:t>
      </w:r>
      <w:r>
        <w:rPr>
          <w:b/>
          <w:sz w:val="22"/>
        </w:rPr>
        <w:t>Procedimiento</w:t>
      </w:r>
      <w:r>
        <w:rPr>
          <w:b/>
          <w:spacing w:val="-4"/>
          <w:sz w:val="22"/>
        </w:rPr>
        <w:t> </w:t>
      </w:r>
      <w:r>
        <w:rPr>
          <w:b/>
          <w:sz w:val="22"/>
        </w:rPr>
        <w:t>para</w:t>
      </w:r>
      <w:r>
        <w:rPr>
          <w:b/>
          <w:spacing w:val="-4"/>
          <w:sz w:val="22"/>
        </w:rPr>
        <w:t> </w:t>
      </w:r>
      <w:r>
        <w:rPr>
          <w:b/>
          <w:sz w:val="22"/>
        </w:rPr>
        <w:t>la</w:t>
      </w:r>
      <w:r>
        <w:rPr>
          <w:b/>
          <w:spacing w:val="-4"/>
          <w:sz w:val="22"/>
        </w:rPr>
        <w:t> </w:t>
      </w:r>
      <w:r>
        <w:rPr>
          <w:b/>
          <w:sz w:val="22"/>
        </w:rPr>
        <w:t>Determinación</w:t>
      </w:r>
      <w:r>
        <w:rPr>
          <w:b/>
          <w:spacing w:val="-4"/>
          <w:sz w:val="22"/>
        </w:rPr>
        <w:t> </w:t>
      </w:r>
      <w:r>
        <w:rPr>
          <w:b/>
          <w:sz w:val="22"/>
        </w:rPr>
        <w:t>de</w:t>
      </w:r>
      <w:r>
        <w:rPr>
          <w:b/>
          <w:spacing w:val="-2"/>
          <w:sz w:val="22"/>
        </w:rPr>
        <w:t> </w:t>
      </w:r>
      <w:r>
        <w:rPr>
          <w:b/>
          <w:sz w:val="22"/>
        </w:rPr>
        <w:t>Riesgos</w:t>
      </w:r>
      <w:r>
        <w:rPr>
          <w:b/>
          <w:spacing w:val="-2"/>
          <w:sz w:val="22"/>
        </w:rPr>
        <w:t> </w:t>
      </w:r>
      <w:r>
        <w:rPr>
          <w:b/>
          <w:sz w:val="22"/>
        </w:rPr>
        <w:t>Fiscales</w:t>
      </w:r>
      <w:r>
        <w:rPr>
          <w:b/>
          <w:spacing w:val="-2"/>
          <w:sz w:val="22"/>
        </w:rPr>
        <w:t> </w:t>
      </w:r>
      <w:r>
        <w:rPr>
          <w:b/>
          <w:sz w:val="22"/>
        </w:rPr>
        <w:t>y</w:t>
      </w:r>
      <w:r>
        <w:rPr>
          <w:b/>
          <w:spacing w:val="-4"/>
          <w:sz w:val="22"/>
        </w:rPr>
        <w:t> </w:t>
      </w:r>
      <w:r>
        <w:rPr>
          <w:b/>
          <w:sz w:val="22"/>
        </w:rPr>
        <w:t>de Contingencias Fiscales en Proyectos de Asociaciones Público-Privadas</w:t>
      </w:r>
      <w:r>
        <w:rPr>
          <w:sz w:val="22"/>
        </w:rPr>
        <w:t>. Tiene como objetivo establecer los lineamientos que permitan disponer de información necesaria sobre los riesgos fiscales y su impacto en las finanzas públicas, con especial atención aquellos relacionados con Asociación Público Privadas a efectos de definir aquellas políticas tendientes a mitigar los riesgos. Fecha de vigencia 07/05/2018</w:t>
      </w:r>
    </w:p>
    <w:p>
      <w:pPr>
        <w:pStyle w:val="BodyText"/>
      </w:pPr>
    </w:p>
    <w:p>
      <w:pPr>
        <w:pStyle w:val="BodyText"/>
        <w:spacing w:before="1"/>
        <w:ind w:left="1625" w:right="1602"/>
        <w:jc w:val="both"/>
      </w:pPr>
      <w:r>
        <w:rPr>
          <w:b/>
        </w:rPr>
        <w:t>Decreto N° 41087-MTSS. Reglamento a la Ley para Promoción de la Autonomía Personal de las Personas con Discapacidad</w:t>
      </w:r>
      <w:r>
        <w:rPr/>
        <w:t>. Establece las disposiciones de observancia</w:t>
      </w:r>
      <w:r>
        <w:rPr>
          <w:spacing w:val="-7"/>
        </w:rPr>
        <w:t> </w:t>
      </w:r>
      <w:r>
        <w:rPr/>
        <w:t>obligatoria</w:t>
      </w:r>
      <w:r>
        <w:rPr>
          <w:spacing w:val="-8"/>
        </w:rPr>
        <w:t> </w:t>
      </w:r>
      <w:r>
        <w:rPr/>
        <w:t>para</w:t>
      </w:r>
      <w:r>
        <w:rPr>
          <w:spacing w:val="-7"/>
        </w:rPr>
        <w:t> </w:t>
      </w:r>
      <w:r>
        <w:rPr/>
        <w:t>personas</w:t>
      </w:r>
      <w:r>
        <w:rPr>
          <w:spacing w:val="-10"/>
        </w:rPr>
        <w:t> </w:t>
      </w:r>
      <w:r>
        <w:rPr/>
        <w:t>físicas,</w:t>
      </w:r>
      <w:r>
        <w:rPr>
          <w:spacing w:val="-8"/>
        </w:rPr>
        <w:t> </w:t>
      </w:r>
      <w:r>
        <w:rPr/>
        <w:t>jurídicas</w:t>
      </w:r>
      <w:r>
        <w:rPr>
          <w:spacing w:val="-7"/>
        </w:rPr>
        <w:t> </w:t>
      </w:r>
      <w:r>
        <w:rPr/>
        <w:t>e</w:t>
      </w:r>
      <w:r>
        <w:rPr>
          <w:spacing w:val="-7"/>
        </w:rPr>
        <w:t> </w:t>
      </w:r>
      <w:r>
        <w:rPr/>
        <w:t>instituciones</w:t>
      </w:r>
      <w:r>
        <w:rPr>
          <w:spacing w:val="-10"/>
        </w:rPr>
        <w:t> </w:t>
      </w:r>
      <w:r>
        <w:rPr/>
        <w:t>de</w:t>
      </w:r>
      <w:r>
        <w:rPr>
          <w:spacing w:val="-8"/>
        </w:rPr>
        <w:t> </w:t>
      </w:r>
      <w:r>
        <w:rPr/>
        <w:t>los</w:t>
      </w:r>
      <w:r>
        <w:rPr>
          <w:spacing w:val="-7"/>
        </w:rPr>
        <w:t> </w:t>
      </w:r>
      <w:r>
        <w:rPr/>
        <w:t>Poderes</w:t>
      </w:r>
      <w:r>
        <w:rPr>
          <w:spacing w:val="-7"/>
        </w:rPr>
        <w:t> </w:t>
      </w:r>
      <w:r>
        <w:rPr/>
        <w:t>del Estado y privadas con el fin de promover y asegurar a todas las personas con discapacidad,</w:t>
      </w:r>
      <w:r>
        <w:rPr>
          <w:spacing w:val="-1"/>
        </w:rPr>
        <w:t> </w:t>
      </w:r>
      <w:r>
        <w:rPr/>
        <w:t>el</w:t>
      </w:r>
      <w:r>
        <w:rPr>
          <w:spacing w:val="-3"/>
        </w:rPr>
        <w:t> </w:t>
      </w:r>
      <w:r>
        <w:rPr/>
        <w:t>ejercicio</w:t>
      </w:r>
      <w:r>
        <w:rPr>
          <w:spacing w:val="-2"/>
        </w:rPr>
        <w:t> </w:t>
      </w:r>
      <w:r>
        <w:rPr/>
        <w:t>pleno</w:t>
      </w:r>
      <w:r>
        <w:rPr>
          <w:spacing w:val="-2"/>
        </w:rPr>
        <w:t> </w:t>
      </w:r>
      <w:r>
        <w:rPr/>
        <w:t>y</w:t>
      </w:r>
      <w:r>
        <w:rPr>
          <w:spacing w:val="-1"/>
        </w:rPr>
        <w:t> </w:t>
      </w:r>
      <w:r>
        <w:rPr/>
        <w:t>en</w:t>
      </w:r>
      <w:r>
        <w:rPr>
          <w:spacing w:val="-2"/>
        </w:rPr>
        <w:t> </w:t>
      </w:r>
      <w:r>
        <w:rPr/>
        <w:t>igualdad</w:t>
      </w:r>
      <w:r>
        <w:rPr>
          <w:spacing w:val="-2"/>
        </w:rPr>
        <w:t> </w:t>
      </w:r>
      <w:r>
        <w:rPr/>
        <w:t>de</w:t>
      </w:r>
      <w:r>
        <w:rPr>
          <w:spacing w:val="-2"/>
        </w:rPr>
        <w:t> </w:t>
      </w:r>
      <w:r>
        <w:rPr/>
        <w:t>condiciones</w:t>
      </w:r>
      <w:r>
        <w:rPr>
          <w:spacing w:val="-2"/>
        </w:rPr>
        <w:t> </w:t>
      </w:r>
      <w:r>
        <w:rPr/>
        <w:t>con</w:t>
      </w:r>
      <w:r>
        <w:rPr>
          <w:spacing w:val="-1"/>
        </w:rPr>
        <w:t> </w:t>
      </w:r>
      <w:r>
        <w:rPr/>
        <w:t>los</w:t>
      </w:r>
      <w:r>
        <w:rPr>
          <w:spacing w:val="-2"/>
        </w:rPr>
        <w:t> </w:t>
      </w:r>
      <w:r>
        <w:rPr/>
        <w:t>demás</w:t>
      </w:r>
      <w:r>
        <w:rPr>
          <w:spacing w:val="-1"/>
        </w:rPr>
        <w:t> </w:t>
      </w:r>
      <w:r>
        <w:rPr/>
        <w:t>del</w:t>
      </w:r>
      <w:r>
        <w:rPr>
          <w:spacing w:val="-2"/>
        </w:rPr>
        <w:t> </w:t>
      </w:r>
      <w:r>
        <w:rPr/>
        <w:t>derecho a la autonomía personal, lo que incluye el igual reconocimiento de las personas con discapacidad como personas ante la ley, según lo regulado en la Ley para la Promoción de la Autonomía Personal de las Personas con Discapacidad, ley N° 9379. Fecha de vigencia 23/05/2018.</w:t>
      </w:r>
    </w:p>
    <w:p>
      <w:pPr>
        <w:spacing w:before="252"/>
        <w:ind w:left="1625" w:right="1604" w:firstLine="0"/>
        <w:jc w:val="both"/>
        <w:rPr>
          <w:sz w:val="22"/>
        </w:rPr>
      </w:pPr>
      <w:r>
        <w:rPr>
          <w:b/>
          <w:sz w:val="22"/>
        </w:rPr>
        <w:t>Decreto</w:t>
      </w:r>
      <w:r>
        <w:rPr>
          <w:b/>
          <w:spacing w:val="-12"/>
          <w:sz w:val="22"/>
        </w:rPr>
        <w:t> </w:t>
      </w:r>
      <w:r>
        <w:rPr>
          <w:b/>
          <w:sz w:val="22"/>
        </w:rPr>
        <w:t>N°</w:t>
      </w:r>
      <w:r>
        <w:rPr>
          <w:b/>
          <w:spacing w:val="-11"/>
          <w:sz w:val="22"/>
        </w:rPr>
        <w:t> </w:t>
      </w:r>
      <w:r>
        <w:rPr>
          <w:b/>
          <w:sz w:val="22"/>
        </w:rPr>
        <w:t>41161-H,</w:t>
      </w:r>
      <w:r>
        <w:rPr>
          <w:b/>
          <w:spacing w:val="-10"/>
          <w:sz w:val="22"/>
        </w:rPr>
        <w:t> </w:t>
      </w:r>
      <w:r>
        <w:rPr>
          <w:b/>
          <w:sz w:val="22"/>
        </w:rPr>
        <w:t>Reforma</w:t>
      </w:r>
      <w:r>
        <w:rPr>
          <w:b/>
          <w:spacing w:val="-14"/>
          <w:sz w:val="22"/>
        </w:rPr>
        <w:t> </w:t>
      </w:r>
      <w:r>
        <w:rPr>
          <w:b/>
          <w:sz w:val="22"/>
        </w:rPr>
        <w:t>Normas</w:t>
      </w:r>
      <w:r>
        <w:rPr>
          <w:b/>
          <w:spacing w:val="-12"/>
          <w:sz w:val="22"/>
        </w:rPr>
        <w:t> </w:t>
      </w:r>
      <w:r>
        <w:rPr>
          <w:b/>
          <w:sz w:val="22"/>
        </w:rPr>
        <w:t>para</w:t>
      </w:r>
      <w:r>
        <w:rPr>
          <w:b/>
          <w:spacing w:val="-14"/>
          <w:sz w:val="22"/>
        </w:rPr>
        <w:t> </w:t>
      </w:r>
      <w:r>
        <w:rPr>
          <w:b/>
          <w:sz w:val="22"/>
        </w:rPr>
        <w:t>la</w:t>
      </w:r>
      <w:r>
        <w:rPr>
          <w:b/>
          <w:spacing w:val="-15"/>
          <w:sz w:val="22"/>
        </w:rPr>
        <w:t> </w:t>
      </w:r>
      <w:r>
        <w:rPr>
          <w:b/>
          <w:sz w:val="22"/>
        </w:rPr>
        <w:t>Aplicación</w:t>
      </w:r>
      <w:r>
        <w:rPr>
          <w:b/>
          <w:spacing w:val="-13"/>
          <w:sz w:val="22"/>
        </w:rPr>
        <w:t> </w:t>
      </w:r>
      <w:r>
        <w:rPr>
          <w:b/>
          <w:sz w:val="22"/>
        </w:rPr>
        <w:t>de</w:t>
      </w:r>
      <w:r>
        <w:rPr>
          <w:b/>
          <w:spacing w:val="-15"/>
          <w:sz w:val="22"/>
        </w:rPr>
        <w:t> </w:t>
      </w:r>
      <w:r>
        <w:rPr>
          <w:b/>
          <w:sz w:val="22"/>
        </w:rPr>
        <w:t>la</w:t>
      </w:r>
      <w:r>
        <w:rPr>
          <w:b/>
          <w:spacing w:val="-12"/>
          <w:sz w:val="22"/>
        </w:rPr>
        <w:t> </w:t>
      </w:r>
      <w:r>
        <w:rPr>
          <w:b/>
          <w:sz w:val="22"/>
        </w:rPr>
        <w:t>Dedicación</w:t>
      </w:r>
      <w:r>
        <w:rPr>
          <w:b/>
          <w:spacing w:val="-13"/>
          <w:sz w:val="22"/>
        </w:rPr>
        <w:t> </w:t>
      </w:r>
      <w:r>
        <w:rPr>
          <w:b/>
          <w:sz w:val="22"/>
        </w:rPr>
        <w:t>Exclusiva para Instituciones y Empresas Públicas Cubiertas por el Ámbito de la Autoridad Presupuestaria, </w:t>
      </w:r>
      <w:r>
        <w:rPr>
          <w:sz w:val="22"/>
        </w:rPr>
        <w:t>Reforma el régimen para la suscripción de nuevos contratos de dedicación exclusiva, sean nuevos servidores, o bien, de servidores que de previo a la publicación del presente decreto no cuenten con un contrato de dedicación exclusiva. fecha de vigencia 06/06/2018.</w:t>
      </w:r>
    </w:p>
    <w:p>
      <w:pPr>
        <w:pStyle w:val="BodyText"/>
        <w:spacing w:before="1"/>
      </w:pPr>
    </w:p>
    <w:p>
      <w:pPr>
        <w:pStyle w:val="BodyText"/>
        <w:ind w:left="1625" w:right="1601"/>
        <w:jc w:val="both"/>
      </w:pPr>
      <w:r>
        <w:rPr>
          <w:b/>
        </w:rPr>
        <w:t>Decreto N° 41162-H. Limitación a las Reestructuraciones. </w:t>
      </w:r>
      <w:r>
        <w:rPr/>
        <w:t>Aprueba las reestructuraciones</w:t>
      </w:r>
      <w:r>
        <w:rPr>
          <w:spacing w:val="-13"/>
        </w:rPr>
        <w:t> </w:t>
      </w:r>
      <w:r>
        <w:rPr/>
        <w:t>dentro</w:t>
      </w:r>
      <w:r>
        <w:rPr>
          <w:spacing w:val="-11"/>
        </w:rPr>
        <w:t> </w:t>
      </w:r>
      <w:r>
        <w:rPr/>
        <w:t>de</w:t>
      </w:r>
      <w:r>
        <w:rPr>
          <w:spacing w:val="-14"/>
        </w:rPr>
        <w:t> </w:t>
      </w:r>
      <w:r>
        <w:rPr/>
        <w:t>ministerios,</w:t>
      </w:r>
      <w:r>
        <w:rPr>
          <w:spacing w:val="-9"/>
        </w:rPr>
        <w:t> </w:t>
      </w:r>
      <w:r>
        <w:rPr/>
        <w:t>órganos</w:t>
      </w:r>
      <w:r>
        <w:rPr>
          <w:spacing w:val="-13"/>
        </w:rPr>
        <w:t> </w:t>
      </w:r>
      <w:r>
        <w:rPr/>
        <w:t>desconcentrados</w:t>
      </w:r>
      <w:r>
        <w:rPr>
          <w:spacing w:val="-13"/>
        </w:rPr>
        <w:t> </w:t>
      </w:r>
      <w:r>
        <w:rPr/>
        <w:t>y</w:t>
      </w:r>
      <w:r>
        <w:rPr>
          <w:spacing w:val="-13"/>
        </w:rPr>
        <w:t> </w:t>
      </w:r>
      <w:r>
        <w:rPr/>
        <w:t>entidades</w:t>
      </w:r>
      <w:r>
        <w:rPr>
          <w:spacing w:val="-11"/>
        </w:rPr>
        <w:t> </w:t>
      </w:r>
      <w:r>
        <w:rPr/>
        <w:t>cubiertas por el ámbito de la Autoridad Presupuestaria, cuyo propósito sea hacer más eficiente la gestión del Estado, siempre que no impliquen la creación de plazas adicionales, reasignaciones de puestos, así como nuevos gastos. Fecha de vigencia 06/06/2018.</w:t>
      </w:r>
    </w:p>
    <w:p>
      <w:pPr>
        <w:spacing w:before="252"/>
        <w:ind w:left="1625" w:right="1601" w:firstLine="0"/>
        <w:jc w:val="both"/>
        <w:rPr>
          <w:sz w:val="22"/>
        </w:rPr>
      </w:pPr>
      <w:r>
        <w:rPr>
          <w:b/>
          <w:sz w:val="22"/>
        </w:rPr>
        <w:t>Decreto N° 41173-MP. Adecuación de Trámites, Documentos y Registros al Reconocimiento del Derecho a la Identidad Sexual y de Género</w:t>
      </w:r>
      <w:r>
        <w:rPr>
          <w:sz w:val="22"/>
        </w:rPr>
        <w:t>. Regula la adecuación</w:t>
      </w:r>
      <w:r>
        <w:rPr>
          <w:spacing w:val="-9"/>
          <w:sz w:val="22"/>
        </w:rPr>
        <w:t> </w:t>
      </w:r>
      <w:r>
        <w:rPr>
          <w:sz w:val="22"/>
        </w:rPr>
        <w:t>del</w:t>
      </w:r>
      <w:r>
        <w:rPr>
          <w:spacing w:val="-10"/>
          <w:sz w:val="22"/>
        </w:rPr>
        <w:t> </w:t>
      </w:r>
      <w:r>
        <w:rPr>
          <w:sz w:val="22"/>
        </w:rPr>
        <w:t>nombre,</w:t>
      </w:r>
      <w:r>
        <w:rPr>
          <w:spacing w:val="-7"/>
          <w:sz w:val="22"/>
        </w:rPr>
        <w:t> </w:t>
      </w:r>
      <w:r>
        <w:rPr>
          <w:sz w:val="22"/>
        </w:rPr>
        <w:t>la</w:t>
      </w:r>
      <w:r>
        <w:rPr>
          <w:spacing w:val="-9"/>
          <w:sz w:val="22"/>
        </w:rPr>
        <w:t> </w:t>
      </w:r>
      <w:r>
        <w:rPr>
          <w:sz w:val="22"/>
        </w:rPr>
        <w:t>imagen,</w:t>
      </w:r>
      <w:r>
        <w:rPr>
          <w:spacing w:val="-7"/>
          <w:sz w:val="22"/>
        </w:rPr>
        <w:t> </w:t>
      </w:r>
      <w:r>
        <w:rPr>
          <w:sz w:val="22"/>
        </w:rPr>
        <w:t>y</w:t>
      </w:r>
      <w:r>
        <w:rPr>
          <w:spacing w:val="-8"/>
          <w:sz w:val="22"/>
        </w:rPr>
        <w:t> </w:t>
      </w:r>
      <w:r>
        <w:rPr>
          <w:sz w:val="22"/>
        </w:rPr>
        <w:t>la</w:t>
      </w:r>
      <w:r>
        <w:rPr>
          <w:spacing w:val="-9"/>
          <w:sz w:val="22"/>
        </w:rPr>
        <w:t> </w:t>
      </w:r>
      <w:r>
        <w:rPr>
          <w:sz w:val="22"/>
        </w:rPr>
        <w:t>referencia</w:t>
      </w:r>
      <w:r>
        <w:rPr>
          <w:spacing w:val="-9"/>
          <w:sz w:val="22"/>
        </w:rPr>
        <w:t> </w:t>
      </w:r>
      <w:r>
        <w:rPr>
          <w:sz w:val="22"/>
        </w:rPr>
        <w:t>al</w:t>
      </w:r>
      <w:r>
        <w:rPr>
          <w:spacing w:val="-10"/>
          <w:sz w:val="22"/>
        </w:rPr>
        <w:t> </w:t>
      </w:r>
      <w:r>
        <w:rPr>
          <w:sz w:val="22"/>
        </w:rPr>
        <w:t>sexo</w:t>
      </w:r>
      <w:r>
        <w:rPr>
          <w:spacing w:val="-9"/>
          <w:sz w:val="22"/>
        </w:rPr>
        <w:t> </w:t>
      </w:r>
      <w:r>
        <w:rPr>
          <w:sz w:val="22"/>
        </w:rPr>
        <w:t>o</w:t>
      </w:r>
      <w:r>
        <w:rPr>
          <w:spacing w:val="-9"/>
          <w:sz w:val="22"/>
        </w:rPr>
        <w:t> </w:t>
      </w:r>
      <w:r>
        <w:rPr>
          <w:sz w:val="22"/>
        </w:rPr>
        <w:t>género</w:t>
      </w:r>
      <w:r>
        <w:rPr>
          <w:spacing w:val="-9"/>
          <w:sz w:val="22"/>
        </w:rPr>
        <w:t> </w:t>
      </w:r>
      <w:r>
        <w:rPr>
          <w:sz w:val="22"/>
        </w:rPr>
        <w:t>de</w:t>
      </w:r>
      <w:r>
        <w:rPr>
          <w:spacing w:val="-9"/>
          <w:sz w:val="22"/>
        </w:rPr>
        <w:t> </w:t>
      </w:r>
      <w:r>
        <w:rPr>
          <w:sz w:val="22"/>
        </w:rPr>
        <w:t>la</w:t>
      </w:r>
      <w:r>
        <w:rPr>
          <w:spacing w:val="-9"/>
          <w:sz w:val="22"/>
        </w:rPr>
        <w:t> </w:t>
      </w:r>
      <w:r>
        <w:rPr>
          <w:sz w:val="22"/>
        </w:rPr>
        <w:t>persona</w:t>
      </w:r>
      <w:r>
        <w:rPr>
          <w:spacing w:val="-9"/>
          <w:sz w:val="22"/>
        </w:rPr>
        <w:t> </w:t>
      </w:r>
      <w:r>
        <w:rPr>
          <w:sz w:val="22"/>
        </w:rPr>
        <w:t>en</w:t>
      </w:r>
      <w:r>
        <w:rPr>
          <w:spacing w:val="-9"/>
          <w:sz w:val="22"/>
        </w:rPr>
        <w:t> </w:t>
      </w:r>
      <w:r>
        <w:rPr>
          <w:sz w:val="22"/>
        </w:rPr>
        <w:t>todo tipo</w:t>
      </w:r>
      <w:r>
        <w:rPr>
          <w:spacing w:val="-1"/>
          <w:sz w:val="22"/>
        </w:rPr>
        <w:t> </w:t>
      </w:r>
      <w:r>
        <w:rPr>
          <w:sz w:val="22"/>
        </w:rPr>
        <w:t>de</w:t>
      </w:r>
      <w:r>
        <w:rPr>
          <w:spacing w:val="-1"/>
          <w:sz w:val="22"/>
        </w:rPr>
        <w:t> </w:t>
      </w:r>
      <w:r>
        <w:rPr>
          <w:sz w:val="22"/>
        </w:rPr>
        <w:t>documentos, registros</w:t>
      </w:r>
      <w:r>
        <w:rPr>
          <w:spacing w:val="-3"/>
          <w:sz w:val="22"/>
        </w:rPr>
        <w:t> </w:t>
      </w:r>
      <w:r>
        <w:rPr>
          <w:sz w:val="22"/>
        </w:rPr>
        <w:t>y trámites que genere la Administración</w:t>
      </w:r>
      <w:r>
        <w:rPr>
          <w:spacing w:val="-1"/>
          <w:sz w:val="22"/>
        </w:rPr>
        <w:t> </w:t>
      </w:r>
      <w:r>
        <w:rPr>
          <w:sz w:val="22"/>
        </w:rPr>
        <w:t>Pública, según</w:t>
      </w:r>
      <w:r>
        <w:rPr>
          <w:spacing w:val="-1"/>
          <w:sz w:val="22"/>
        </w:rPr>
        <w:t> </w:t>
      </w:r>
      <w:r>
        <w:rPr>
          <w:sz w:val="22"/>
        </w:rPr>
        <w:t>su propia identidad sexual y de género. Fecha de vigencia 05/07/2018.</w:t>
      </w:r>
    </w:p>
    <w:p>
      <w:pPr>
        <w:pStyle w:val="BodyText"/>
        <w:spacing w:before="2"/>
      </w:pPr>
    </w:p>
    <w:p>
      <w:pPr>
        <w:spacing w:before="0"/>
        <w:ind w:left="1625" w:right="1603" w:firstLine="0"/>
        <w:jc w:val="both"/>
        <w:rPr>
          <w:sz w:val="22"/>
        </w:rPr>
      </w:pPr>
      <w:r>
        <w:rPr>
          <w:b/>
          <w:sz w:val="22"/>
        </w:rPr>
        <w:t>Decreto N° 41456-MP-MDHIS. Creación del Día Nacional de la Inclusión de la Persona</w:t>
      </w:r>
      <w:r>
        <w:rPr>
          <w:b/>
          <w:spacing w:val="-3"/>
          <w:sz w:val="22"/>
        </w:rPr>
        <w:t> </w:t>
      </w:r>
      <w:r>
        <w:rPr>
          <w:b/>
          <w:sz w:val="22"/>
        </w:rPr>
        <w:t>en</w:t>
      </w:r>
      <w:r>
        <w:rPr>
          <w:b/>
          <w:spacing w:val="-6"/>
          <w:sz w:val="22"/>
        </w:rPr>
        <w:t> </w:t>
      </w:r>
      <w:r>
        <w:rPr>
          <w:b/>
          <w:sz w:val="22"/>
        </w:rPr>
        <w:t>Situación</w:t>
      </w:r>
      <w:r>
        <w:rPr>
          <w:b/>
          <w:spacing w:val="-5"/>
          <w:sz w:val="22"/>
        </w:rPr>
        <w:t> </w:t>
      </w:r>
      <w:r>
        <w:rPr>
          <w:b/>
          <w:sz w:val="22"/>
        </w:rPr>
        <w:t>de</w:t>
      </w:r>
      <w:r>
        <w:rPr>
          <w:b/>
          <w:spacing w:val="-3"/>
          <w:sz w:val="22"/>
        </w:rPr>
        <w:t> </w:t>
      </w:r>
      <w:r>
        <w:rPr>
          <w:b/>
          <w:sz w:val="22"/>
        </w:rPr>
        <w:t>Calle.</w:t>
      </w:r>
      <w:r>
        <w:rPr>
          <w:b/>
          <w:spacing w:val="-5"/>
          <w:sz w:val="22"/>
        </w:rPr>
        <w:t> </w:t>
      </w:r>
      <w:r>
        <w:rPr>
          <w:sz w:val="22"/>
        </w:rPr>
        <w:t>Instruye</w:t>
      </w:r>
      <w:r>
        <w:rPr>
          <w:spacing w:val="-5"/>
          <w:sz w:val="22"/>
        </w:rPr>
        <w:t> </w:t>
      </w:r>
      <w:r>
        <w:rPr>
          <w:sz w:val="22"/>
        </w:rPr>
        <w:t>a</w:t>
      </w:r>
      <w:r>
        <w:rPr>
          <w:spacing w:val="-5"/>
          <w:sz w:val="22"/>
        </w:rPr>
        <w:t> </w:t>
      </w:r>
      <w:r>
        <w:rPr>
          <w:sz w:val="22"/>
        </w:rPr>
        <w:t>las</w:t>
      </w:r>
      <w:r>
        <w:rPr>
          <w:spacing w:val="-5"/>
          <w:sz w:val="22"/>
        </w:rPr>
        <w:t> </w:t>
      </w:r>
      <w:r>
        <w:rPr>
          <w:sz w:val="22"/>
        </w:rPr>
        <w:t>instituciones</w:t>
      </w:r>
      <w:r>
        <w:rPr>
          <w:spacing w:val="-5"/>
          <w:sz w:val="22"/>
        </w:rPr>
        <w:t> </w:t>
      </w:r>
      <w:r>
        <w:rPr>
          <w:sz w:val="22"/>
        </w:rPr>
        <w:t>de</w:t>
      </w:r>
      <w:r>
        <w:rPr>
          <w:spacing w:val="-5"/>
          <w:sz w:val="22"/>
        </w:rPr>
        <w:t> </w:t>
      </w:r>
      <w:r>
        <w:rPr>
          <w:sz w:val="22"/>
        </w:rPr>
        <w:t>la</w:t>
      </w:r>
      <w:r>
        <w:rPr>
          <w:spacing w:val="-3"/>
          <w:sz w:val="22"/>
        </w:rPr>
        <w:t> </w:t>
      </w:r>
      <w:r>
        <w:rPr>
          <w:sz w:val="22"/>
        </w:rPr>
        <w:t>Administración</w:t>
      </w:r>
      <w:r>
        <w:rPr>
          <w:spacing w:val="-5"/>
          <w:sz w:val="22"/>
        </w:rPr>
        <w:t> </w:t>
      </w:r>
      <w:r>
        <w:rPr>
          <w:sz w:val="22"/>
        </w:rPr>
        <w:t>Central y Descentralizada que forman parte de la Política Nacional para la Atención a las Personas</w:t>
      </w:r>
      <w:r>
        <w:rPr>
          <w:spacing w:val="58"/>
          <w:sz w:val="22"/>
        </w:rPr>
        <w:t> </w:t>
      </w:r>
      <w:r>
        <w:rPr>
          <w:sz w:val="22"/>
        </w:rPr>
        <w:t>en</w:t>
      </w:r>
      <w:r>
        <w:rPr>
          <w:spacing w:val="58"/>
          <w:sz w:val="22"/>
        </w:rPr>
        <w:t> </w:t>
      </w:r>
      <w:r>
        <w:rPr>
          <w:sz w:val="22"/>
        </w:rPr>
        <w:t>Situación</w:t>
      </w:r>
      <w:r>
        <w:rPr>
          <w:spacing w:val="58"/>
          <w:sz w:val="22"/>
        </w:rPr>
        <w:t> </w:t>
      </w:r>
      <w:r>
        <w:rPr>
          <w:sz w:val="22"/>
        </w:rPr>
        <w:t>de</w:t>
      </w:r>
      <w:r>
        <w:rPr>
          <w:spacing w:val="61"/>
          <w:sz w:val="22"/>
        </w:rPr>
        <w:t> </w:t>
      </w:r>
      <w:r>
        <w:rPr>
          <w:sz w:val="22"/>
        </w:rPr>
        <w:t>Abandono</w:t>
      </w:r>
      <w:r>
        <w:rPr>
          <w:spacing w:val="58"/>
          <w:sz w:val="22"/>
        </w:rPr>
        <w:t> </w:t>
      </w:r>
      <w:r>
        <w:rPr>
          <w:sz w:val="22"/>
        </w:rPr>
        <w:t>y</w:t>
      </w:r>
      <w:r>
        <w:rPr>
          <w:spacing w:val="60"/>
          <w:sz w:val="22"/>
        </w:rPr>
        <w:t> </w:t>
      </w:r>
      <w:r>
        <w:rPr>
          <w:sz w:val="22"/>
        </w:rPr>
        <w:t>Situación</w:t>
      </w:r>
      <w:r>
        <w:rPr>
          <w:spacing w:val="61"/>
          <w:sz w:val="22"/>
        </w:rPr>
        <w:t> </w:t>
      </w:r>
      <w:r>
        <w:rPr>
          <w:sz w:val="22"/>
        </w:rPr>
        <w:t>de</w:t>
      </w:r>
      <w:r>
        <w:rPr>
          <w:spacing w:val="58"/>
          <w:sz w:val="22"/>
        </w:rPr>
        <w:t> </w:t>
      </w:r>
      <w:r>
        <w:rPr>
          <w:sz w:val="22"/>
        </w:rPr>
        <w:t>Calle</w:t>
      </w:r>
      <w:r>
        <w:rPr>
          <w:spacing w:val="61"/>
          <w:sz w:val="22"/>
        </w:rPr>
        <w:t> </w:t>
      </w:r>
      <w:r>
        <w:rPr>
          <w:sz w:val="22"/>
        </w:rPr>
        <w:t>2016</w:t>
      </w:r>
      <w:r>
        <w:rPr>
          <w:spacing w:val="62"/>
          <w:sz w:val="22"/>
        </w:rPr>
        <w:t> </w:t>
      </w:r>
      <w:r>
        <w:rPr>
          <w:sz w:val="22"/>
        </w:rPr>
        <w:t>–</w:t>
      </w:r>
      <w:r>
        <w:rPr>
          <w:spacing w:val="59"/>
          <w:sz w:val="22"/>
        </w:rPr>
        <w:t> </w:t>
      </w:r>
      <w:r>
        <w:rPr>
          <w:sz w:val="22"/>
        </w:rPr>
        <w:t>2026,</w:t>
      </w:r>
      <w:r>
        <w:rPr>
          <w:spacing w:val="59"/>
          <w:sz w:val="22"/>
        </w:rPr>
        <w:t> </w:t>
      </w:r>
      <w:r>
        <w:rPr>
          <w:sz w:val="22"/>
        </w:rPr>
        <w:t>según</w:t>
      </w:r>
      <w:r>
        <w:rPr>
          <w:spacing w:val="59"/>
          <w:sz w:val="22"/>
        </w:rPr>
        <w:t> </w:t>
      </w:r>
      <w:r>
        <w:rPr>
          <w:spacing w:val="-5"/>
          <w:sz w:val="22"/>
        </w:rPr>
        <w:t>lo</w:t>
      </w:r>
    </w:p>
    <w:p>
      <w:pPr>
        <w:spacing w:after="0"/>
        <w:jc w:val="both"/>
        <w:rPr>
          <w:sz w:val="22"/>
        </w:rPr>
        <w:sectPr>
          <w:pgSz w:w="12240" w:h="15840"/>
          <w:pgMar w:header="0" w:footer="1576" w:top="1000" w:bottom="1760" w:left="360" w:right="0"/>
        </w:sectPr>
      </w:pPr>
    </w:p>
    <w:p>
      <w:pPr>
        <w:pStyle w:val="BodyText"/>
        <w:spacing w:before="77"/>
        <w:ind w:left="1625" w:right="1602"/>
        <w:jc w:val="both"/>
      </w:pPr>
      <w:r>
        <w:rPr/>
        <w:t>establecido</w:t>
      </w:r>
      <w:r>
        <w:rPr>
          <w:spacing w:val="-9"/>
        </w:rPr>
        <w:t> </w:t>
      </w:r>
      <w:r>
        <w:rPr/>
        <w:t>en</w:t>
      </w:r>
      <w:r>
        <w:rPr>
          <w:spacing w:val="-12"/>
        </w:rPr>
        <w:t> </w:t>
      </w:r>
      <w:r>
        <w:rPr/>
        <w:t>la</w:t>
      </w:r>
      <w:r>
        <w:rPr>
          <w:spacing w:val="-11"/>
        </w:rPr>
        <w:t> </w:t>
      </w:r>
      <w:r>
        <w:rPr/>
        <w:t>Directriz</w:t>
      </w:r>
      <w:r>
        <w:rPr>
          <w:spacing w:val="-8"/>
        </w:rPr>
        <w:t> </w:t>
      </w:r>
      <w:r>
        <w:rPr/>
        <w:t>N°</w:t>
      </w:r>
      <w:r>
        <w:rPr>
          <w:spacing w:val="-10"/>
        </w:rPr>
        <w:t> </w:t>
      </w:r>
      <w:r>
        <w:rPr/>
        <w:t>048-P</w:t>
      </w:r>
      <w:r>
        <w:rPr>
          <w:spacing w:val="-12"/>
        </w:rPr>
        <w:t> </w:t>
      </w:r>
      <w:r>
        <w:rPr/>
        <w:t>del</w:t>
      </w:r>
      <w:r>
        <w:rPr>
          <w:spacing w:val="-10"/>
        </w:rPr>
        <w:t> </w:t>
      </w:r>
      <w:r>
        <w:rPr/>
        <w:t>04</w:t>
      </w:r>
      <w:r>
        <w:rPr>
          <w:spacing w:val="-12"/>
        </w:rPr>
        <w:t> </w:t>
      </w:r>
      <w:r>
        <w:rPr/>
        <w:t>de</w:t>
      </w:r>
      <w:r>
        <w:rPr>
          <w:spacing w:val="-14"/>
        </w:rPr>
        <w:t> </w:t>
      </w:r>
      <w:r>
        <w:rPr/>
        <w:t>julio</w:t>
      </w:r>
      <w:r>
        <w:rPr>
          <w:spacing w:val="-9"/>
        </w:rPr>
        <w:t> </w:t>
      </w:r>
      <w:r>
        <w:rPr/>
        <w:t>de</w:t>
      </w:r>
      <w:r>
        <w:rPr>
          <w:spacing w:val="-12"/>
        </w:rPr>
        <w:t> </w:t>
      </w:r>
      <w:r>
        <w:rPr/>
        <w:t>2016,</w:t>
      </w:r>
      <w:r>
        <w:rPr>
          <w:spacing w:val="-10"/>
        </w:rPr>
        <w:t> </w:t>
      </w:r>
      <w:r>
        <w:rPr/>
        <w:t>para</w:t>
      </w:r>
      <w:r>
        <w:rPr>
          <w:spacing w:val="-11"/>
        </w:rPr>
        <w:t> </w:t>
      </w:r>
      <w:r>
        <w:rPr/>
        <w:t>que,</w:t>
      </w:r>
      <w:r>
        <w:rPr>
          <w:spacing w:val="-10"/>
        </w:rPr>
        <w:t> </w:t>
      </w:r>
      <w:r>
        <w:rPr/>
        <w:t>en</w:t>
      </w:r>
      <w:r>
        <w:rPr>
          <w:spacing w:val="-12"/>
        </w:rPr>
        <w:t> </w:t>
      </w:r>
      <w:r>
        <w:rPr/>
        <w:t>el</w:t>
      </w:r>
      <w:r>
        <w:rPr>
          <w:spacing w:val="-12"/>
        </w:rPr>
        <w:t> </w:t>
      </w:r>
      <w:r>
        <w:rPr/>
        <w:t>marco</w:t>
      </w:r>
      <w:r>
        <w:rPr>
          <w:spacing w:val="-11"/>
        </w:rPr>
        <w:t> </w:t>
      </w:r>
      <w:r>
        <w:rPr/>
        <w:t>de</w:t>
      </w:r>
      <w:r>
        <w:rPr>
          <w:spacing w:val="-12"/>
        </w:rPr>
        <w:t> </w:t>
      </w:r>
      <w:r>
        <w:rPr/>
        <w:t>esta celebración,</w:t>
      </w:r>
      <w:r>
        <w:rPr>
          <w:spacing w:val="-7"/>
        </w:rPr>
        <w:t> </w:t>
      </w:r>
      <w:r>
        <w:rPr/>
        <w:t>rindan</w:t>
      </w:r>
      <w:r>
        <w:rPr>
          <w:spacing w:val="-7"/>
        </w:rPr>
        <w:t> </w:t>
      </w:r>
      <w:r>
        <w:rPr/>
        <w:t>informes</w:t>
      </w:r>
      <w:r>
        <w:rPr>
          <w:spacing w:val="-6"/>
        </w:rPr>
        <w:t> </w:t>
      </w:r>
      <w:r>
        <w:rPr/>
        <w:t>sobre</w:t>
      </w:r>
      <w:r>
        <w:rPr>
          <w:spacing w:val="-6"/>
        </w:rPr>
        <w:t> </w:t>
      </w:r>
      <w:r>
        <w:rPr/>
        <w:t>el</w:t>
      </w:r>
      <w:r>
        <w:rPr>
          <w:spacing w:val="-10"/>
        </w:rPr>
        <w:t> </w:t>
      </w:r>
      <w:r>
        <w:rPr/>
        <w:t>avance</w:t>
      </w:r>
      <w:r>
        <w:rPr>
          <w:spacing w:val="-7"/>
        </w:rPr>
        <w:t> </w:t>
      </w:r>
      <w:r>
        <w:rPr/>
        <w:t>de</w:t>
      </w:r>
      <w:r>
        <w:rPr>
          <w:spacing w:val="-12"/>
        </w:rPr>
        <w:t> </w:t>
      </w:r>
      <w:r>
        <w:rPr/>
        <w:t>cumplimiento</w:t>
      </w:r>
      <w:r>
        <w:rPr>
          <w:spacing w:val="-6"/>
        </w:rPr>
        <w:t> </w:t>
      </w:r>
      <w:r>
        <w:rPr/>
        <w:t>de</w:t>
      </w:r>
      <w:r>
        <w:rPr>
          <w:spacing w:val="-9"/>
        </w:rPr>
        <w:t> </w:t>
      </w:r>
      <w:r>
        <w:rPr/>
        <w:t>los</w:t>
      </w:r>
      <w:r>
        <w:rPr>
          <w:spacing w:val="-6"/>
        </w:rPr>
        <w:t> </w:t>
      </w:r>
      <w:r>
        <w:rPr/>
        <w:t>planes</w:t>
      </w:r>
      <w:r>
        <w:rPr>
          <w:spacing w:val="-6"/>
        </w:rPr>
        <w:t> </w:t>
      </w:r>
      <w:r>
        <w:rPr/>
        <w:t>de</w:t>
      </w:r>
      <w:r>
        <w:rPr>
          <w:spacing w:val="-7"/>
        </w:rPr>
        <w:t> </w:t>
      </w:r>
      <w:r>
        <w:rPr/>
        <w:t>acción</w:t>
      </w:r>
      <w:r>
        <w:rPr>
          <w:spacing w:val="-9"/>
        </w:rPr>
        <w:t> </w:t>
      </w:r>
      <w:r>
        <w:rPr/>
        <w:t>de la Política. Fecha de vigencia 13/12/2018.</w:t>
      </w:r>
    </w:p>
    <w:p>
      <w:pPr>
        <w:spacing w:before="252"/>
        <w:ind w:left="1625" w:right="1605" w:firstLine="0"/>
        <w:jc w:val="both"/>
        <w:rPr>
          <w:sz w:val="22"/>
        </w:rPr>
      </w:pPr>
      <w:r>
        <w:rPr>
          <w:b/>
          <w:sz w:val="22"/>
        </w:rPr>
        <w:t>Decreto N° 41347-MP-MTSS-MDHIS. Coordinación de la Comisión Consultiva de la REDCUDI</w:t>
      </w:r>
      <w:r>
        <w:rPr>
          <w:sz w:val="22"/>
        </w:rPr>
        <w:t>. Faculta a la Presidencia de la República y a los ministros de Trabajo y Seguridad Social, y de Desarrollo Humano e Inclusión Social, a emitir el respectivo acuerdo de delegación respecto a la coordinación de la Comisión Consultiva de la Red Nacional de Cuido y Desarrollo Infantil. Fecha de vigencia 17/12/2018.</w:t>
      </w:r>
    </w:p>
    <w:p>
      <w:pPr>
        <w:pStyle w:val="BodyText"/>
        <w:spacing w:before="1"/>
      </w:pPr>
    </w:p>
    <w:p>
      <w:pPr>
        <w:spacing w:before="1"/>
        <w:ind w:left="1625" w:right="1601" w:firstLine="0"/>
        <w:jc w:val="both"/>
        <w:rPr>
          <w:sz w:val="22"/>
        </w:rPr>
      </w:pPr>
      <w:r>
        <w:rPr>
          <w:b/>
          <w:sz w:val="22"/>
        </w:rPr>
        <w:t>Decreto N° 41351-MTSS-MIDEPLAN-MDHIS. Modificación al Decreto N° 38954-MTSS-MDHIS-MIDEPLAN</w:t>
      </w:r>
      <w:r>
        <w:rPr>
          <w:b/>
          <w:spacing w:val="-9"/>
          <w:sz w:val="22"/>
        </w:rPr>
        <w:t> </w:t>
      </w:r>
      <w:r>
        <w:rPr>
          <w:b/>
          <w:sz w:val="22"/>
        </w:rPr>
        <w:t>Estrategia</w:t>
      </w:r>
      <w:r>
        <w:rPr>
          <w:b/>
          <w:spacing w:val="-10"/>
          <w:sz w:val="22"/>
        </w:rPr>
        <w:t> </w:t>
      </w:r>
      <w:r>
        <w:rPr>
          <w:b/>
          <w:sz w:val="22"/>
        </w:rPr>
        <w:t>de</w:t>
      </w:r>
      <w:r>
        <w:rPr>
          <w:b/>
          <w:spacing w:val="-13"/>
          <w:sz w:val="22"/>
        </w:rPr>
        <w:t> </w:t>
      </w:r>
      <w:r>
        <w:rPr>
          <w:b/>
          <w:sz w:val="22"/>
        </w:rPr>
        <w:t>Atención</w:t>
      </w:r>
      <w:r>
        <w:rPr>
          <w:b/>
          <w:spacing w:val="-10"/>
          <w:sz w:val="22"/>
        </w:rPr>
        <w:t> </w:t>
      </w:r>
      <w:r>
        <w:rPr>
          <w:b/>
          <w:sz w:val="22"/>
        </w:rPr>
        <w:t>a</w:t>
      </w:r>
      <w:r>
        <w:rPr>
          <w:b/>
          <w:spacing w:val="-12"/>
          <w:sz w:val="22"/>
        </w:rPr>
        <w:t> </w:t>
      </w:r>
      <w:r>
        <w:rPr>
          <w:b/>
          <w:sz w:val="22"/>
        </w:rPr>
        <w:t>la</w:t>
      </w:r>
      <w:r>
        <w:rPr>
          <w:b/>
          <w:spacing w:val="-10"/>
          <w:sz w:val="22"/>
        </w:rPr>
        <w:t> </w:t>
      </w:r>
      <w:r>
        <w:rPr>
          <w:b/>
          <w:sz w:val="22"/>
        </w:rPr>
        <w:t>Pobreza</w:t>
      </w:r>
      <w:r>
        <w:rPr>
          <w:b/>
          <w:spacing w:val="-10"/>
          <w:sz w:val="22"/>
        </w:rPr>
        <w:t> </w:t>
      </w:r>
      <w:r>
        <w:rPr>
          <w:b/>
          <w:sz w:val="22"/>
        </w:rPr>
        <w:t>en</w:t>
      </w:r>
      <w:r>
        <w:rPr>
          <w:b/>
          <w:spacing w:val="-13"/>
          <w:sz w:val="22"/>
        </w:rPr>
        <w:t> </w:t>
      </w:r>
      <w:r>
        <w:rPr>
          <w:b/>
          <w:sz w:val="22"/>
        </w:rPr>
        <w:t>Costa</w:t>
      </w:r>
      <w:r>
        <w:rPr>
          <w:b/>
          <w:spacing w:val="-10"/>
          <w:sz w:val="22"/>
        </w:rPr>
        <w:t> </w:t>
      </w:r>
      <w:r>
        <w:rPr>
          <w:b/>
          <w:sz w:val="22"/>
        </w:rPr>
        <w:t>Rica</w:t>
      </w:r>
      <w:r>
        <w:rPr>
          <w:b/>
          <w:spacing w:val="-13"/>
          <w:sz w:val="22"/>
        </w:rPr>
        <w:t> </w:t>
      </w:r>
      <w:r>
        <w:rPr>
          <w:b/>
          <w:sz w:val="22"/>
        </w:rPr>
        <w:t>Puente al</w:t>
      </w:r>
      <w:r>
        <w:rPr>
          <w:b/>
          <w:spacing w:val="-16"/>
          <w:sz w:val="22"/>
        </w:rPr>
        <w:t> </w:t>
      </w:r>
      <w:r>
        <w:rPr>
          <w:b/>
          <w:sz w:val="22"/>
        </w:rPr>
        <w:t>Desarrollo.</w:t>
      </w:r>
      <w:r>
        <w:rPr>
          <w:b/>
          <w:spacing w:val="-15"/>
          <w:sz w:val="22"/>
        </w:rPr>
        <w:t> </w:t>
      </w:r>
      <w:r>
        <w:rPr>
          <w:sz w:val="22"/>
        </w:rPr>
        <w:t>Tiene</w:t>
      </w:r>
      <w:r>
        <w:rPr>
          <w:spacing w:val="-14"/>
          <w:sz w:val="22"/>
        </w:rPr>
        <w:t> </w:t>
      </w:r>
      <w:r>
        <w:rPr>
          <w:sz w:val="22"/>
        </w:rPr>
        <w:t>el</w:t>
      </w:r>
      <w:r>
        <w:rPr>
          <w:spacing w:val="-15"/>
          <w:sz w:val="22"/>
        </w:rPr>
        <w:t> </w:t>
      </w:r>
      <w:r>
        <w:rPr>
          <w:sz w:val="22"/>
        </w:rPr>
        <w:t>objetivo</w:t>
      </w:r>
      <w:r>
        <w:rPr>
          <w:spacing w:val="-16"/>
          <w:sz w:val="22"/>
        </w:rPr>
        <w:t> </w:t>
      </w:r>
      <w:r>
        <w:rPr>
          <w:sz w:val="22"/>
        </w:rPr>
        <w:t>de</w:t>
      </w:r>
      <w:r>
        <w:rPr>
          <w:spacing w:val="-14"/>
          <w:sz w:val="22"/>
        </w:rPr>
        <w:t> </w:t>
      </w:r>
      <w:r>
        <w:rPr>
          <w:sz w:val="22"/>
        </w:rPr>
        <w:t>atender</w:t>
      </w:r>
      <w:r>
        <w:rPr>
          <w:spacing w:val="-16"/>
          <w:sz w:val="22"/>
        </w:rPr>
        <w:t> </w:t>
      </w:r>
      <w:r>
        <w:rPr>
          <w:sz w:val="22"/>
        </w:rPr>
        <w:t>a</w:t>
      </w:r>
      <w:r>
        <w:rPr>
          <w:spacing w:val="-15"/>
          <w:sz w:val="22"/>
        </w:rPr>
        <w:t> </w:t>
      </w:r>
      <w:r>
        <w:rPr>
          <w:sz w:val="22"/>
        </w:rPr>
        <w:t>las</w:t>
      </w:r>
      <w:r>
        <w:rPr>
          <w:spacing w:val="-13"/>
          <w:sz w:val="22"/>
        </w:rPr>
        <w:t> </w:t>
      </w:r>
      <w:r>
        <w:rPr>
          <w:sz w:val="22"/>
        </w:rPr>
        <w:t>familias</w:t>
      </w:r>
      <w:r>
        <w:rPr>
          <w:spacing w:val="-14"/>
          <w:sz w:val="22"/>
        </w:rPr>
        <w:t> </w:t>
      </w:r>
      <w:r>
        <w:rPr>
          <w:sz w:val="22"/>
        </w:rPr>
        <w:t>en</w:t>
      </w:r>
      <w:r>
        <w:rPr>
          <w:spacing w:val="-15"/>
          <w:sz w:val="22"/>
        </w:rPr>
        <w:t> </w:t>
      </w:r>
      <w:r>
        <w:rPr>
          <w:sz w:val="22"/>
        </w:rPr>
        <w:t>condición</w:t>
      </w:r>
      <w:r>
        <w:rPr>
          <w:spacing w:val="-15"/>
          <w:sz w:val="22"/>
        </w:rPr>
        <w:t> </w:t>
      </w:r>
      <w:r>
        <w:rPr>
          <w:sz w:val="22"/>
        </w:rPr>
        <w:t>de</w:t>
      </w:r>
      <w:r>
        <w:rPr>
          <w:spacing w:val="-16"/>
          <w:sz w:val="22"/>
        </w:rPr>
        <w:t> </w:t>
      </w:r>
      <w:r>
        <w:rPr>
          <w:sz w:val="22"/>
        </w:rPr>
        <w:t>pobreza</w:t>
      </w:r>
      <w:r>
        <w:rPr>
          <w:spacing w:val="-14"/>
          <w:sz w:val="22"/>
        </w:rPr>
        <w:t> </w:t>
      </w:r>
      <w:r>
        <w:rPr>
          <w:sz w:val="22"/>
        </w:rPr>
        <w:t>extrema de manera preferente, oportuna, sostenible e integral. Modifica los artículos 4 acápite 2 inciso a), 5, 6, 7, 8, 10, 11, 12, 13 párrafo último, 14, 15, 18, 19, 23, 24 y 25 del Decreto N°38954 MTSS-MDHIS-MIDEPLAN. Fecha de vigencia 17/12/2018.</w:t>
      </w:r>
    </w:p>
    <w:p>
      <w:pPr>
        <w:pStyle w:val="BodyText"/>
      </w:pPr>
    </w:p>
    <w:p>
      <w:pPr>
        <w:spacing w:before="0"/>
        <w:ind w:left="1625" w:right="1602" w:firstLine="0"/>
        <w:jc w:val="both"/>
        <w:rPr>
          <w:sz w:val="22"/>
        </w:rPr>
      </w:pPr>
      <w:r>
        <w:rPr>
          <w:b/>
          <w:sz w:val="22"/>
        </w:rPr>
        <w:t>Decreto N° 38954-MTSS-MDHIS-MIDEPLAN </w:t>
      </w:r>
      <w:r>
        <w:rPr>
          <w:sz w:val="22"/>
        </w:rPr>
        <w:t>Modificación al Decreto N° 41351-MTSS-MIDEPLAN-MDHIS, Modifica los artículos 4 acápite 2 inciso a), 5, 6, 7, 8, 10, 11, 12, 13</w:t>
      </w:r>
    </w:p>
    <w:p>
      <w:pPr>
        <w:pStyle w:val="BodyText"/>
        <w:ind w:left="1625" w:right="1600"/>
        <w:jc w:val="both"/>
      </w:pPr>
      <w:r>
        <w:rPr/>
        <w:t>párrafo</w:t>
      </w:r>
      <w:r>
        <w:rPr>
          <w:spacing w:val="-16"/>
        </w:rPr>
        <w:t> </w:t>
      </w:r>
      <w:r>
        <w:rPr/>
        <w:t>último,</w:t>
      </w:r>
      <w:r>
        <w:rPr>
          <w:spacing w:val="-15"/>
        </w:rPr>
        <w:t> </w:t>
      </w:r>
      <w:r>
        <w:rPr/>
        <w:t>14,</w:t>
      </w:r>
      <w:r>
        <w:rPr>
          <w:spacing w:val="-15"/>
        </w:rPr>
        <w:t> </w:t>
      </w:r>
      <w:r>
        <w:rPr/>
        <w:t>15,</w:t>
      </w:r>
      <w:r>
        <w:rPr>
          <w:spacing w:val="-16"/>
        </w:rPr>
        <w:t> </w:t>
      </w:r>
      <w:r>
        <w:rPr/>
        <w:t>18,</w:t>
      </w:r>
      <w:r>
        <w:rPr>
          <w:spacing w:val="-15"/>
        </w:rPr>
        <w:t> </w:t>
      </w:r>
      <w:r>
        <w:rPr/>
        <w:t>19,</w:t>
      </w:r>
      <w:r>
        <w:rPr>
          <w:spacing w:val="-15"/>
        </w:rPr>
        <w:t> </w:t>
      </w:r>
      <w:r>
        <w:rPr/>
        <w:t>23,</w:t>
      </w:r>
      <w:r>
        <w:rPr>
          <w:spacing w:val="-15"/>
        </w:rPr>
        <w:t> </w:t>
      </w:r>
      <w:r>
        <w:rPr/>
        <w:t>24</w:t>
      </w:r>
      <w:r>
        <w:rPr>
          <w:spacing w:val="-16"/>
        </w:rPr>
        <w:t> </w:t>
      </w:r>
      <w:r>
        <w:rPr/>
        <w:t>y</w:t>
      </w:r>
      <w:r>
        <w:rPr>
          <w:spacing w:val="-15"/>
        </w:rPr>
        <w:t> </w:t>
      </w:r>
      <w:r>
        <w:rPr/>
        <w:t>25</w:t>
      </w:r>
      <w:r>
        <w:rPr>
          <w:spacing w:val="-15"/>
        </w:rPr>
        <w:t> </w:t>
      </w:r>
      <w:r>
        <w:rPr/>
        <w:t>del</w:t>
      </w:r>
      <w:r>
        <w:rPr>
          <w:spacing w:val="-16"/>
        </w:rPr>
        <w:t> </w:t>
      </w:r>
      <w:r>
        <w:rPr/>
        <w:t>Decreto</w:t>
      </w:r>
      <w:r>
        <w:rPr>
          <w:spacing w:val="-15"/>
        </w:rPr>
        <w:t> </w:t>
      </w:r>
      <w:r>
        <w:rPr/>
        <w:t>N°38954</w:t>
      </w:r>
      <w:r>
        <w:rPr>
          <w:spacing w:val="-15"/>
        </w:rPr>
        <w:t> </w:t>
      </w:r>
      <w:r>
        <w:rPr/>
        <w:t>MTSS-MDHIS-MIDEPLAN. Fecha de vigencia 17/12/2018</w:t>
      </w:r>
    </w:p>
    <w:p>
      <w:pPr>
        <w:pStyle w:val="BodyText"/>
      </w:pPr>
    </w:p>
    <w:p>
      <w:pPr>
        <w:pStyle w:val="BodyText"/>
        <w:ind w:left="1625" w:right="1604"/>
        <w:jc w:val="both"/>
      </w:pPr>
      <w:r>
        <w:rPr>
          <w:b/>
        </w:rPr>
        <w:t>Decreto N° 41336-MGP-MEIC.</w:t>
      </w:r>
      <w:r>
        <w:rPr/>
        <w:t>Declara de interés público la creación, consolidación, desarrollo</w:t>
      </w:r>
      <w:r>
        <w:rPr>
          <w:spacing w:val="-6"/>
        </w:rPr>
        <w:t> </w:t>
      </w:r>
      <w:r>
        <w:rPr/>
        <w:t>y</w:t>
      </w:r>
      <w:r>
        <w:rPr>
          <w:spacing w:val="-8"/>
        </w:rPr>
        <w:t> </w:t>
      </w:r>
      <w:r>
        <w:rPr/>
        <w:t>formalización</w:t>
      </w:r>
      <w:r>
        <w:rPr>
          <w:spacing w:val="-7"/>
        </w:rPr>
        <w:t> </w:t>
      </w:r>
      <w:r>
        <w:rPr/>
        <w:t>de</w:t>
      </w:r>
      <w:r>
        <w:rPr>
          <w:spacing w:val="-7"/>
        </w:rPr>
        <w:t> </w:t>
      </w:r>
      <w:r>
        <w:rPr/>
        <w:t>las</w:t>
      </w:r>
      <w:r>
        <w:rPr>
          <w:spacing w:val="-6"/>
        </w:rPr>
        <w:t> </w:t>
      </w:r>
      <w:r>
        <w:rPr/>
        <w:t>empresas</w:t>
      </w:r>
      <w:r>
        <w:rPr>
          <w:spacing w:val="-6"/>
        </w:rPr>
        <w:t> </w:t>
      </w:r>
      <w:r>
        <w:rPr/>
        <w:t>de</w:t>
      </w:r>
      <w:r>
        <w:rPr>
          <w:spacing w:val="-9"/>
        </w:rPr>
        <w:t> </w:t>
      </w:r>
      <w:r>
        <w:rPr/>
        <w:t>base</w:t>
      </w:r>
      <w:r>
        <w:rPr>
          <w:spacing w:val="-6"/>
        </w:rPr>
        <w:t> </w:t>
      </w:r>
      <w:r>
        <w:rPr/>
        <w:t>comunal</w:t>
      </w:r>
      <w:r>
        <w:rPr>
          <w:spacing w:val="-10"/>
        </w:rPr>
        <w:t> </w:t>
      </w:r>
      <w:r>
        <w:rPr/>
        <w:t>y</w:t>
      </w:r>
      <w:r>
        <w:rPr>
          <w:spacing w:val="-8"/>
        </w:rPr>
        <w:t> </w:t>
      </w:r>
      <w:r>
        <w:rPr/>
        <w:t>faculta</w:t>
      </w:r>
      <w:r>
        <w:rPr>
          <w:spacing w:val="-6"/>
        </w:rPr>
        <w:t> </w:t>
      </w:r>
      <w:r>
        <w:rPr/>
        <w:t>a</w:t>
      </w:r>
      <w:r>
        <w:rPr>
          <w:spacing w:val="-9"/>
        </w:rPr>
        <w:t> </w:t>
      </w:r>
      <w:r>
        <w:rPr/>
        <w:t>la</w:t>
      </w:r>
      <w:r>
        <w:rPr>
          <w:spacing w:val="-9"/>
        </w:rPr>
        <w:t> </w:t>
      </w:r>
      <w:r>
        <w:rPr/>
        <w:t>Administración Pública</w:t>
      </w:r>
      <w:r>
        <w:rPr>
          <w:spacing w:val="-7"/>
        </w:rPr>
        <w:t> </w:t>
      </w:r>
      <w:r>
        <w:rPr/>
        <w:t>Central</w:t>
      </w:r>
      <w:r>
        <w:rPr>
          <w:spacing w:val="-8"/>
        </w:rPr>
        <w:t> </w:t>
      </w:r>
      <w:r>
        <w:rPr/>
        <w:t>y</w:t>
      </w:r>
      <w:r>
        <w:rPr>
          <w:spacing w:val="-7"/>
        </w:rPr>
        <w:t> </w:t>
      </w:r>
      <w:r>
        <w:rPr/>
        <w:t>se</w:t>
      </w:r>
      <w:r>
        <w:rPr>
          <w:spacing w:val="-7"/>
        </w:rPr>
        <w:t> </w:t>
      </w:r>
      <w:r>
        <w:rPr/>
        <w:t>invita</w:t>
      </w:r>
      <w:r>
        <w:rPr>
          <w:spacing w:val="-7"/>
        </w:rPr>
        <w:t> </w:t>
      </w:r>
      <w:r>
        <w:rPr/>
        <w:t>a</w:t>
      </w:r>
      <w:r>
        <w:rPr>
          <w:spacing w:val="-7"/>
        </w:rPr>
        <w:t> </w:t>
      </w:r>
      <w:r>
        <w:rPr/>
        <w:t>las</w:t>
      </w:r>
      <w:r>
        <w:rPr>
          <w:spacing w:val="-7"/>
        </w:rPr>
        <w:t> </w:t>
      </w:r>
      <w:r>
        <w:rPr/>
        <w:t>instituciones</w:t>
      </w:r>
      <w:r>
        <w:rPr>
          <w:spacing w:val="-10"/>
        </w:rPr>
        <w:t> </w:t>
      </w:r>
      <w:r>
        <w:rPr/>
        <w:t>autónomas</w:t>
      </w:r>
      <w:r>
        <w:rPr>
          <w:spacing w:val="-7"/>
        </w:rPr>
        <w:t> </w:t>
      </w:r>
      <w:r>
        <w:rPr/>
        <w:t>y</w:t>
      </w:r>
      <w:r>
        <w:rPr>
          <w:spacing w:val="-9"/>
        </w:rPr>
        <w:t> </w:t>
      </w:r>
      <w:r>
        <w:rPr/>
        <w:t>empresas</w:t>
      </w:r>
      <w:r>
        <w:rPr>
          <w:spacing w:val="-7"/>
        </w:rPr>
        <w:t> </w:t>
      </w:r>
      <w:r>
        <w:rPr/>
        <w:t>del</w:t>
      </w:r>
      <w:r>
        <w:rPr>
          <w:spacing w:val="-8"/>
        </w:rPr>
        <w:t> </w:t>
      </w:r>
      <w:r>
        <w:rPr/>
        <w:t>Estado</w:t>
      </w:r>
      <w:r>
        <w:rPr>
          <w:spacing w:val="-7"/>
        </w:rPr>
        <w:t> </w:t>
      </w:r>
      <w:r>
        <w:rPr/>
        <w:t>para</w:t>
      </w:r>
      <w:r>
        <w:rPr>
          <w:spacing w:val="-7"/>
        </w:rPr>
        <w:t> </w:t>
      </w:r>
      <w:r>
        <w:rPr/>
        <w:t>que dentro de sus competencias brinden la cooperación y las facilidades necesarias requeridas para el logro de los objetivos descritos. Fecha de vigencia 21/12/2018.</w:t>
      </w:r>
    </w:p>
    <w:p>
      <w:pPr>
        <w:spacing w:before="252"/>
        <w:ind w:left="1625" w:right="1602" w:firstLine="0"/>
        <w:jc w:val="both"/>
        <w:rPr>
          <w:sz w:val="22"/>
        </w:rPr>
      </w:pPr>
      <w:r>
        <w:rPr>
          <w:b/>
          <w:sz w:val="22"/>
        </w:rPr>
        <w:t>Decreto N°41438-H. Reglamento para la utilización del Sistema Integrado de Compras</w:t>
      </w:r>
      <w:r>
        <w:rPr>
          <w:b/>
          <w:spacing w:val="-8"/>
          <w:sz w:val="22"/>
        </w:rPr>
        <w:t> </w:t>
      </w:r>
      <w:r>
        <w:rPr>
          <w:b/>
          <w:sz w:val="22"/>
        </w:rPr>
        <w:t>públicas</w:t>
      </w:r>
      <w:r>
        <w:rPr>
          <w:b/>
          <w:spacing w:val="-10"/>
          <w:sz w:val="22"/>
        </w:rPr>
        <w:t> </w:t>
      </w:r>
      <w:r>
        <w:rPr>
          <w:b/>
          <w:sz w:val="22"/>
        </w:rPr>
        <w:t>"SICOP</w:t>
      </w:r>
      <w:r>
        <w:rPr>
          <w:b/>
          <w:spacing w:val="-8"/>
          <w:sz w:val="22"/>
        </w:rPr>
        <w:t> </w:t>
      </w:r>
      <w:r>
        <w:rPr>
          <w:b/>
          <w:sz w:val="22"/>
        </w:rPr>
        <w:t>y</w:t>
      </w:r>
      <w:r>
        <w:rPr>
          <w:b/>
          <w:spacing w:val="-10"/>
          <w:sz w:val="22"/>
        </w:rPr>
        <w:t> </w:t>
      </w:r>
      <w:r>
        <w:rPr>
          <w:b/>
          <w:sz w:val="22"/>
        </w:rPr>
        <w:t>sus</w:t>
      </w:r>
      <w:r>
        <w:rPr>
          <w:b/>
          <w:spacing w:val="-10"/>
          <w:sz w:val="22"/>
        </w:rPr>
        <w:t> </w:t>
      </w:r>
      <w:r>
        <w:rPr>
          <w:b/>
          <w:sz w:val="22"/>
        </w:rPr>
        <w:t>reformas.</w:t>
      </w:r>
      <w:r>
        <w:rPr>
          <w:b/>
          <w:spacing w:val="-7"/>
          <w:sz w:val="22"/>
        </w:rPr>
        <w:t> </w:t>
      </w:r>
      <w:r>
        <w:rPr>
          <w:sz w:val="22"/>
        </w:rPr>
        <w:t>Regulariza</w:t>
      </w:r>
      <w:r>
        <w:rPr>
          <w:spacing w:val="-8"/>
          <w:sz w:val="22"/>
        </w:rPr>
        <w:t> </w:t>
      </w:r>
      <w:r>
        <w:rPr>
          <w:sz w:val="22"/>
        </w:rPr>
        <w:t>el</w:t>
      </w:r>
      <w:r>
        <w:rPr>
          <w:spacing w:val="-8"/>
          <w:sz w:val="22"/>
        </w:rPr>
        <w:t> </w:t>
      </w:r>
      <w:r>
        <w:rPr>
          <w:sz w:val="22"/>
        </w:rPr>
        <w:t>uso</w:t>
      </w:r>
      <w:r>
        <w:rPr>
          <w:spacing w:val="-10"/>
          <w:sz w:val="22"/>
        </w:rPr>
        <w:t> </w:t>
      </w:r>
      <w:r>
        <w:rPr>
          <w:sz w:val="22"/>
        </w:rPr>
        <w:t>del</w:t>
      </w:r>
      <w:r>
        <w:rPr>
          <w:spacing w:val="-10"/>
          <w:sz w:val="22"/>
        </w:rPr>
        <w:t> </w:t>
      </w:r>
      <w:r>
        <w:rPr>
          <w:sz w:val="22"/>
        </w:rPr>
        <w:t>Sistema</w:t>
      </w:r>
      <w:r>
        <w:rPr>
          <w:spacing w:val="-7"/>
          <w:sz w:val="22"/>
        </w:rPr>
        <w:t> </w:t>
      </w:r>
      <w:r>
        <w:rPr>
          <w:sz w:val="22"/>
        </w:rPr>
        <w:t>Integrado</w:t>
      </w:r>
      <w:r>
        <w:rPr>
          <w:spacing w:val="-10"/>
          <w:sz w:val="22"/>
        </w:rPr>
        <w:t> </w:t>
      </w:r>
      <w:r>
        <w:rPr>
          <w:sz w:val="22"/>
        </w:rPr>
        <w:t>de Compras</w:t>
      </w:r>
      <w:r>
        <w:rPr>
          <w:spacing w:val="-14"/>
          <w:sz w:val="22"/>
        </w:rPr>
        <w:t> </w:t>
      </w:r>
      <w:r>
        <w:rPr>
          <w:sz w:val="22"/>
        </w:rPr>
        <w:t>Públicas,</w:t>
      </w:r>
      <w:r>
        <w:rPr>
          <w:spacing w:val="-10"/>
          <w:sz w:val="22"/>
        </w:rPr>
        <w:t> </w:t>
      </w:r>
      <w:r>
        <w:rPr>
          <w:sz w:val="22"/>
        </w:rPr>
        <w:t>así</w:t>
      </w:r>
      <w:r>
        <w:rPr>
          <w:spacing w:val="-10"/>
          <w:sz w:val="22"/>
        </w:rPr>
        <w:t> </w:t>
      </w:r>
      <w:r>
        <w:rPr>
          <w:sz w:val="22"/>
        </w:rPr>
        <w:t>como</w:t>
      </w:r>
      <w:r>
        <w:rPr>
          <w:spacing w:val="-11"/>
          <w:sz w:val="22"/>
        </w:rPr>
        <w:t> </w:t>
      </w:r>
      <w:r>
        <w:rPr>
          <w:sz w:val="22"/>
        </w:rPr>
        <w:t>lo</w:t>
      </w:r>
      <w:r>
        <w:rPr>
          <w:spacing w:val="-14"/>
          <w:sz w:val="22"/>
        </w:rPr>
        <w:t> </w:t>
      </w:r>
      <w:r>
        <w:rPr>
          <w:sz w:val="22"/>
        </w:rPr>
        <w:t>relacionado</w:t>
      </w:r>
      <w:r>
        <w:rPr>
          <w:spacing w:val="-11"/>
          <w:sz w:val="22"/>
        </w:rPr>
        <w:t> </w:t>
      </w:r>
      <w:r>
        <w:rPr>
          <w:sz w:val="22"/>
        </w:rPr>
        <w:t>con</w:t>
      </w:r>
      <w:r>
        <w:rPr>
          <w:spacing w:val="-12"/>
          <w:sz w:val="22"/>
        </w:rPr>
        <w:t> </w:t>
      </w:r>
      <w:r>
        <w:rPr>
          <w:sz w:val="22"/>
        </w:rPr>
        <w:t>el</w:t>
      </w:r>
      <w:r>
        <w:rPr>
          <w:spacing w:val="-12"/>
          <w:sz w:val="22"/>
        </w:rPr>
        <w:t> </w:t>
      </w:r>
      <w:r>
        <w:rPr>
          <w:sz w:val="22"/>
        </w:rPr>
        <w:t>uso</w:t>
      </w:r>
      <w:r>
        <w:rPr>
          <w:spacing w:val="-12"/>
          <w:sz w:val="22"/>
        </w:rPr>
        <w:t> </w:t>
      </w:r>
      <w:r>
        <w:rPr>
          <w:sz w:val="22"/>
        </w:rPr>
        <w:t>del</w:t>
      </w:r>
      <w:r>
        <w:rPr>
          <w:spacing w:val="-12"/>
          <w:sz w:val="22"/>
        </w:rPr>
        <w:t> </w:t>
      </w:r>
      <w:r>
        <w:rPr>
          <w:sz w:val="22"/>
        </w:rPr>
        <w:t>Registro</w:t>
      </w:r>
      <w:r>
        <w:rPr>
          <w:spacing w:val="-14"/>
          <w:sz w:val="22"/>
        </w:rPr>
        <w:t> </w:t>
      </w:r>
      <w:r>
        <w:rPr>
          <w:sz w:val="22"/>
        </w:rPr>
        <w:t>Único</w:t>
      </w:r>
      <w:r>
        <w:rPr>
          <w:spacing w:val="-14"/>
          <w:sz w:val="22"/>
        </w:rPr>
        <w:t> </w:t>
      </w:r>
      <w:r>
        <w:rPr>
          <w:sz w:val="22"/>
        </w:rPr>
        <w:t>de</w:t>
      </w:r>
      <w:r>
        <w:rPr>
          <w:spacing w:val="-12"/>
          <w:sz w:val="22"/>
        </w:rPr>
        <w:t> </w:t>
      </w:r>
      <w:r>
        <w:rPr>
          <w:sz w:val="22"/>
        </w:rPr>
        <w:t>Proveedores y del Catálogo de Bienes y Servicios. Fecha de vigencia 18/01/2019.</w:t>
      </w:r>
    </w:p>
    <w:p>
      <w:pPr>
        <w:pStyle w:val="BodyText"/>
      </w:pPr>
    </w:p>
    <w:p>
      <w:pPr>
        <w:spacing w:before="1"/>
        <w:ind w:left="1625" w:right="1604" w:firstLine="0"/>
        <w:jc w:val="both"/>
        <w:rPr>
          <w:sz w:val="22"/>
        </w:rPr>
      </w:pPr>
      <w:r>
        <w:rPr>
          <w:b/>
          <w:sz w:val="22"/>
        </w:rPr>
        <w:t>Decreto N°41564-MIDEPLAN-H. Reglamento del Título III de la Ley de Fortalecimiento de las Finanzas Públicas. </w:t>
      </w:r>
      <w:r>
        <w:rPr>
          <w:sz w:val="22"/>
        </w:rPr>
        <w:t>Define las reglas necesarias para la interpretación y aplicación en estricto cumplimiento de las disposiciones del Título III de la</w:t>
      </w:r>
      <w:r>
        <w:rPr>
          <w:spacing w:val="-16"/>
          <w:sz w:val="22"/>
        </w:rPr>
        <w:t> </w:t>
      </w:r>
      <w:r>
        <w:rPr>
          <w:sz w:val="22"/>
        </w:rPr>
        <w:t>Ley</w:t>
      </w:r>
      <w:r>
        <w:rPr>
          <w:spacing w:val="-15"/>
          <w:sz w:val="22"/>
        </w:rPr>
        <w:t> </w:t>
      </w:r>
      <w:r>
        <w:rPr>
          <w:sz w:val="22"/>
        </w:rPr>
        <w:t>N°</w:t>
      </w:r>
      <w:r>
        <w:rPr>
          <w:spacing w:val="-15"/>
          <w:sz w:val="22"/>
        </w:rPr>
        <w:t> </w:t>
      </w:r>
      <w:r>
        <w:rPr>
          <w:sz w:val="22"/>
        </w:rPr>
        <w:t>9635</w:t>
      </w:r>
      <w:r>
        <w:rPr>
          <w:spacing w:val="-16"/>
          <w:sz w:val="22"/>
        </w:rPr>
        <w:t> </w:t>
      </w:r>
      <w:r>
        <w:rPr>
          <w:sz w:val="22"/>
        </w:rPr>
        <w:t>del</w:t>
      </w:r>
      <w:r>
        <w:rPr>
          <w:spacing w:val="-15"/>
          <w:sz w:val="22"/>
        </w:rPr>
        <w:t> </w:t>
      </w:r>
      <w:r>
        <w:rPr>
          <w:sz w:val="22"/>
        </w:rPr>
        <w:t>3</w:t>
      </w:r>
      <w:r>
        <w:rPr>
          <w:spacing w:val="-15"/>
          <w:sz w:val="22"/>
        </w:rPr>
        <w:t> </w:t>
      </w:r>
      <w:r>
        <w:rPr>
          <w:sz w:val="22"/>
        </w:rPr>
        <w:t>de</w:t>
      </w:r>
      <w:r>
        <w:rPr>
          <w:spacing w:val="-15"/>
          <w:sz w:val="22"/>
        </w:rPr>
        <w:t> </w:t>
      </w:r>
      <w:r>
        <w:rPr>
          <w:sz w:val="22"/>
        </w:rPr>
        <w:t>diciembre</w:t>
      </w:r>
      <w:r>
        <w:rPr>
          <w:spacing w:val="-16"/>
          <w:sz w:val="22"/>
        </w:rPr>
        <w:t> </w:t>
      </w:r>
      <w:r>
        <w:rPr>
          <w:sz w:val="22"/>
        </w:rPr>
        <w:t>de</w:t>
      </w:r>
      <w:r>
        <w:rPr>
          <w:spacing w:val="-15"/>
          <w:sz w:val="22"/>
        </w:rPr>
        <w:t> </w:t>
      </w:r>
      <w:r>
        <w:rPr>
          <w:sz w:val="22"/>
        </w:rPr>
        <w:t>2018,</w:t>
      </w:r>
      <w:r>
        <w:rPr>
          <w:spacing w:val="-15"/>
          <w:sz w:val="22"/>
        </w:rPr>
        <w:t> </w:t>
      </w:r>
      <w:r>
        <w:rPr>
          <w:sz w:val="22"/>
        </w:rPr>
        <w:t>relativo</w:t>
      </w:r>
      <w:r>
        <w:rPr>
          <w:spacing w:val="-16"/>
          <w:sz w:val="22"/>
        </w:rPr>
        <w:t> </w:t>
      </w:r>
      <w:r>
        <w:rPr>
          <w:sz w:val="22"/>
        </w:rPr>
        <w:t>a</w:t>
      </w:r>
      <w:r>
        <w:rPr>
          <w:spacing w:val="-15"/>
          <w:sz w:val="22"/>
        </w:rPr>
        <w:t> </w:t>
      </w:r>
      <w:r>
        <w:rPr>
          <w:sz w:val="22"/>
        </w:rPr>
        <w:t>las</w:t>
      </w:r>
      <w:r>
        <w:rPr>
          <w:spacing w:val="-15"/>
          <w:sz w:val="22"/>
        </w:rPr>
        <w:t> </w:t>
      </w:r>
      <w:r>
        <w:rPr>
          <w:sz w:val="22"/>
        </w:rPr>
        <w:t>remuneraciones</w:t>
      </w:r>
      <w:r>
        <w:rPr>
          <w:spacing w:val="-15"/>
          <w:sz w:val="22"/>
        </w:rPr>
        <w:t> </w:t>
      </w:r>
      <w:r>
        <w:rPr>
          <w:sz w:val="22"/>
        </w:rPr>
        <w:t>de</w:t>
      </w:r>
      <w:r>
        <w:rPr>
          <w:spacing w:val="-16"/>
          <w:sz w:val="22"/>
        </w:rPr>
        <w:t> </w:t>
      </w:r>
      <w:r>
        <w:rPr>
          <w:sz w:val="22"/>
        </w:rPr>
        <w:t>los</w:t>
      </w:r>
      <w:r>
        <w:rPr>
          <w:spacing w:val="-15"/>
          <w:sz w:val="22"/>
        </w:rPr>
        <w:t> </w:t>
      </w:r>
      <w:r>
        <w:rPr>
          <w:sz w:val="22"/>
        </w:rPr>
        <w:t>servidores del Estado. Fecha de vigencia: 11/02/2019.</w:t>
      </w:r>
    </w:p>
    <w:p>
      <w:pPr>
        <w:pStyle w:val="BodyText"/>
        <w:spacing w:before="1"/>
      </w:pPr>
    </w:p>
    <w:p>
      <w:pPr>
        <w:spacing w:before="0"/>
        <w:ind w:left="1625" w:right="1601" w:firstLine="0"/>
        <w:jc w:val="both"/>
        <w:rPr>
          <w:sz w:val="22"/>
        </w:rPr>
      </w:pPr>
      <w:r>
        <w:rPr>
          <w:b/>
          <w:sz w:val="22"/>
        </w:rPr>
        <w:t>Decreto N° 41568-MTSS-MIDEPLAN-MAG-MDHIS Creación de la Mesa Caribe: Por el diálogo, el desarrollo económico y la inclusión social de la provincia de Limón </w:t>
      </w:r>
      <w:r>
        <w:rPr>
          <w:sz w:val="22"/>
        </w:rPr>
        <w:t>Crea la “Mesa Caribe: por el diálogo, el progreso económico y la inclusión social de la provincia de Limón”. La Mesa Caribe tendrá como objetivo fungir como instancia multisectorial</w:t>
      </w:r>
      <w:r>
        <w:rPr>
          <w:spacing w:val="-16"/>
          <w:sz w:val="22"/>
        </w:rPr>
        <w:t> </w:t>
      </w:r>
      <w:r>
        <w:rPr>
          <w:sz w:val="22"/>
        </w:rPr>
        <w:t>de</w:t>
      </w:r>
      <w:r>
        <w:rPr>
          <w:spacing w:val="-14"/>
          <w:sz w:val="22"/>
        </w:rPr>
        <w:t> </w:t>
      </w:r>
      <w:r>
        <w:rPr>
          <w:sz w:val="22"/>
        </w:rPr>
        <w:t>diálogo</w:t>
      </w:r>
      <w:r>
        <w:rPr>
          <w:spacing w:val="-14"/>
          <w:sz w:val="22"/>
        </w:rPr>
        <w:t> </w:t>
      </w:r>
      <w:r>
        <w:rPr>
          <w:sz w:val="22"/>
        </w:rPr>
        <w:t>entre</w:t>
      </w:r>
      <w:r>
        <w:rPr>
          <w:spacing w:val="-14"/>
          <w:sz w:val="22"/>
        </w:rPr>
        <w:t> </w:t>
      </w:r>
      <w:r>
        <w:rPr>
          <w:sz w:val="22"/>
        </w:rPr>
        <w:t>el</w:t>
      </w:r>
      <w:r>
        <w:rPr>
          <w:spacing w:val="-16"/>
          <w:sz w:val="22"/>
        </w:rPr>
        <w:t> </w:t>
      </w:r>
      <w:r>
        <w:rPr>
          <w:sz w:val="22"/>
        </w:rPr>
        <w:t>Gobierno</w:t>
      </w:r>
      <w:r>
        <w:rPr>
          <w:spacing w:val="-13"/>
          <w:sz w:val="22"/>
        </w:rPr>
        <w:t> </w:t>
      </w:r>
      <w:r>
        <w:rPr>
          <w:sz w:val="22"/>
        </w:rPr>
        <w:t>de</w:t>
      </w:r>
      <w:r>
        <w:rPr>
          <w:spacing w:val="-14"/>
          <w:sz w:val="22"/>
        </w:rPr>
        <w:t> </w:t>
      </w:r>
      <w:r>
        <w:rPr>
          <w:sz w:val="22"/>
        </w:rPr>
        <w:t>la</w:t>
      </w:r>
      <w:r>
        <w:rPr>
          <w:spacing w:val="-14"/>
          <w:sz w:val="22"/>
        </w:rPr>
        <w:t> </w:t>
      </w:r>
      <w:r>
        <w:rPr>
          <w:sz w:val="22"/>
        </w:rPr>
        <w:t>República,</w:t>
      </w:r>
      <w:r>
        <w:rPr>
          <w:spacing w:val="-13"/>
          <w:sz w:val="22"/>
        </w:rPr>
        <w:t> </w:t>
      </w:r>
      <w:r>
        <w:rPr>
          <w:sz w:val="22"/>
        </w:rPr>
        <w:t>organizaciones</w:t>
      </w:r>
      <w:r>
        <w:rPr>
          <w:spacing w:val="-16"/>
          <w:sz w:val="22"/>
        </w:rPr>
        <w:t> </w:t>
      </w:r>
      <w:r>
        <w:rPr>
          <w:sz w:val="22"/>
        </w:rPr>
        <w:t>de</w:t>
      </w:r>
      <w:r>
        <w:rPr>
          <w:spacing w:val="-13"/>
          <w:sz w:val="22"/>
        </w:rPr>
        <w:t> </w:t>
      </w:r>
      <w:r>
        <w:rPr>
          <w:sz w:val="22"/>
        </w:rPr>
        <w:t>la</w:t>
      </w:r>
      <w:r>
        <w:rPr>
          <w:spacing w:val="-14"/>
          <w:sz w:val="22"/>
        </w:rPr>
        <w:t> </w:t>
      </w:r>
      <w:r>
        <w:rPr>
          <w:sz w:val="22"/>
        </w:rPr>
        <w:t>sociedad civil y la empresa privada, en aras de propiciar el desarrollo económico y la inclusión social</w:t>
      </w:r>
      <w:r>
        <w:rPr>
          <w:spacing w:val="-3"/>
          <w:sz w:val="22"/>
        </w:rPr>
        <w:t> </w:t>
      </w:r>
      <w:r>
        <w:rPr>
          <w:sz w:val="22"/>
        </w:rPr>
        <w:t>mediante</w:t>
      </w:r>
      <w:r>
        <w:rPr>
          <w:spacing w:val="-4"/>
          <w:sz w:val="22"/>
        </w:rPr>
        <w:t> </w:t>
      </w:r>
      <w:r>
        <w:rPr>
          <w:sz w:val="22"/>
        </w:rPr>
        <w:t>proyectos</w:t>
      </w:r>
      <w:r>
        <w:rPr>
          <w:spacing w:val="-1"/>
          <w:sz w:val="22"/>
        </w:rPr>
        <w:t> </w:t>
      </w:r>
      <w:r>
        <w:rPr>
          <w:sz w:val="22"/>
        </w:rPr>
        <w:t>e</w:t>
      </w:r>
      <w:r>
        <w:rPr>
          <w:spacing w:val="-4"/>
          <w:sz w:val="22"/>
        </w:rPr>
        <w:t> </w:t>
      </w:r>
      <w:r>
        <w:rPr>
          <w:sz w:val="22"/>
        </w:rPr>
        <w:t>iniciativas</w:t>
      </w:r>
      <w:r>
        <w:rPr>
          <w:spacing w:val="-1"/>
          <w:sz w:val="22"/>
        </w:rPr>
        <w:t> </w:t>
      </w:r>
      <w:r>
        <w:rPr>
          <w:sz w:val="22"/>
        </w:rPr>
        <w:t>que</w:t>
      </w:r>
      <w:r>
        <w:rPr>
          <w:spacing w:val="-6"/>
          <w:sz w:val="22"/>
        </w:rPr>
        <w:t> </w:t>
      </w:r>
      <w:r>
        <w:rPr>
          <w:sz w:val="22"/>
        </w:rPr>
        <w:t>se</w:t>
      </w:r>
      <w:r>
        <w:rPr>
          <w:spacing w:val="-2"/>
          <w:sz w:val="22"/>
        </w:rPr>
        <w:t> </w:t>
      </w:r>
      <w:r>
        <w:rPr>
          <w:sz w:val="22"/>
        </w:rPr>
        <w:t>encuentran</w:t>
      </w:r>
      <w:r>
        <w:rPr>
          <w:spacing w:val="-4"/>
          <w:sz w:val="22"/>
        </w:rPr>
        <w:t> </w:t>
      </w:r>
      <w:r>
        <w:rPr>
          <w:sz w:val="22"/>
        </w:rPr>
        <w:t>en</w:t>
      </w:r>
      <w:r>
        <w:rPr>
          <w:spacing w:val="-7"/>
          <w:sz w:val="22"/>
        </w:rPr>
        <w:t> </w:t>
      </w:r>
      <w:r>
        <w:rPr>
          <w:sz w:val="22"/>
        </w:rPr>
        <w:t>marcha</w:t>
      </w:r>
      <w:r>
        <w:rPr>
          <w:spacing w:val="-4"/>
          <w:sz w:val="22"/>
        </w:rPr>
        <w:t> </w:t>
      </w:r>
      <w:r>
        <w:rPr>
          <w:sz w:val="22"/>
        </w:rPr>
        <w:t>en</w:t>
      </w:r>
      <w:r>
        <w:rPr>
          <w:spacing w:val="-4"/>
          <w:sz w:val="22"/>
        </w:rPr>
        <w:t> </w:t>
      </w:r>
      <w:r>
        <w:rPr>
          <w:sz w:val="22"/>
        </w:rPr>
        <w:t>la</w:t>
      </w:r>
      <w:r>
        <w:rPr>
          <w:spacing w:val="-6"/>
          <w:sz w:val="22"/>
        </w:rPr>
        <w:t> </w:t>
      </w:r>
      <w:r>
        <w:rPr>
          <w:sz w:val="22"/>
        </w:rPr>
        <w:t>región</w:t>
      </w:r>
      <w:r>
        <w:rPr>
          <w:spacing w:val="-2"/>
          <w:sz w:val="22"/>
        </w:rPr>
        <w:t> </w:t>
      </w:r>
      <w:r>
        <w:rPr>
          <w:sz w:val="22"/>
        </w:rPr>
        <w:t>Huetar Caribe. Fecha de vigencia 25/02/2019.</w:t>
      </w:r>
    </w:p>
    <w:p>
      <w:pPr>
        <w:pStyle w:val="BodyText"/>
        <w:spacing w:before="252"/>
        <w:ind w:left="1625" w:right="1604"/>
        <w:jc w:val="both"/>
      </w:pPr>
      <w:r>
        <w:rPr>
          <w:b/>
        </w:rPr>
        <w:t>Decreto N° 37554-JP </w:t>
      </w:r>
      <w:r>
        <w:rPr/>
        <w:t>Reforma a los artículos 56, 57, 63, 71 y 72 del, del 30 de octubre de 2012, denominado: "Reglamento a la Ley de Protección de la Persona Frente al Tratamiento</w:t>
      </w:r>
      <w:r>
        <w:rPr>
          <w:spacing w:val="59"/>
        </w:rPr>
        <w:t> </w:t>
      </w:r>
      <w:r>
        <w:rPr/>
        <w:t>de</w:t>
      </w:r>
      <w:r>
        <w:rPr>
          <w:spacing w:val="59"/>
        </w:rPr>
        <w:t> </w:t>
      </w:r>
      <w:r>
        <w:rPr/>
        <w:t>sus</w:t>
      </w:r>
      <w:r>
        <w:rPr>
          <w:spacing w:val="59"/>
        </w:rPr>
        <w:t> </w:t>
      </w:r>
      <w:r>
        <w:rPr/>
        <w:t>Datos</w:t>
      </w:r>
      <w:r>
        <w:rPr>
          <w:spacing w:val="59"/>
        </w:rPr>
        <w:t> </w:t>
      </w:r>
      <w:r>
        <w:rPr/>
        <w:t>Personales"</w:t>
      </w:r>
      <w:r>
        <w:rPr>
          <w:spacing w:val="60"/>
        </w:rPr>
        <w:t> </w:t>
      </w:r>
      <w:r>
        <w:rPr/>
        <w:t>Decreto</w:t>
      </w:r>
      <w:r>
        <w:rPr>
          <w:spacing w:val="59"/>
        </w:rPr>
        <w:t> </w:t>
      </w:r>
      <w:r>
        <w:rPr/>
        <w:t>N°41582-JP.</w:t>
      </w:r>
      <w:r>
        <w:rPr>
          <w:spacing w:val="59"/>
        </w:rPr>
        <w:t> </w:t>
      </w:r>
      <w:r>
        <w:rPr/>
        <w:t>Reforma</w:t>
      </w:r>
      <w:r>
        <w:rPr>
          <w:spacing w:val="59"/>
        </w:rPr>
        <w:t> </w:t>
      </w:r>
      <w:r>
        <w:rPr/>
        <w:t>artículos</w:t>
      </w:r>
      <w:r>
        <w:rPr>
          <w:spacing w:val="60"/>
        </w:rPr>
        <w:t> </w:t>
      </w:r>
      <w:r>
        <w:rPr>
          <w:spacing w:val="-5"/>
        </w:rPr>
        <w:t>del</w:t>
      </w:r>
    </w:p>
    <w:p>
      <w:pPr>
        <w:pStyle w:val="BodyText"/>
        <w:spacing w:after="0"/>
        <w:jc w:val="both"/>
        <w:sectPr>
          <w:pgSz w:w="12240" w:h="15840"/>
          <w:pgMar w:header="0" w:footer="1576" w:top="1000" w:bottom="1760" w:left="360" w:right="0"/>
        </w:sectPr>
      </w:pPr>
    </w:p>
    <w:p>
      <w:pPr>
        <w:pStyle w:val="BodyText"/>
        <w:spacing w:before="77"/>
        <w:ind w:left="1625" w:right="1609"/>
        <w:jc w:val="both"/>
      </w:pPr>
      <w:r>
        <w:rPr/>
        <w:t>Reglamento a la Ley de Protección de la Persona Frente al Tratamiento de sus Datos Personales, el cual es de aplicación institucional. Fecha de vigencia 04/03/2019</w:t>
      </w:r>
    </w:p>
    <w:p>
      <w:pPr>
        <w:pStyle w:val="BodyText"/>
      </w:pPr>
    </w:p>
    <w:p>
      <w:pPr>
        <w:spacing w:before="0"/>
        <w:ind w:left="1625" w:right="1598" w:firstLine="0"/>
        <w:jc w:val="both"/>
        <w:rPr>
          <w:sz w:val="22"/>
        </w:rPr>
      </w:pPr>
      <w:r>
        <w:rPr>
          <w:b/>
          <w:sz w:val="22"/>
        </w:rPr>
        <w:t>Decreto N° 38916-H y su reforma Decreto 41618-H, Reforma de los artículos 1, 3, 7 y 9 de los procedimientos de las directrices generales de política presupuestaria, </w:t>
      </w:r>
      <w:r>
        <w:rPr>
          <w:sz w:val="22"/>
        </w:rPr>
        <w:t>salarial, empleo, inversión y endeudamiento para entidades públicas, ministerios y órganos desconcentrados, según corresponda, cubiertos por el ámbito de la Autoridad Presupuestaria,</w:t>
      </w:r>
      <w:r>
        <w:rPr>
          <w:spacing w:val="-4"/>
          <w:sz w:val="22"/>
        </w:rPr>
        <w:t> </w:t>
      </w:r>
      <w:r>
        <w:rPr>
          <w:sz w:val="22"/>
        </w:rPr>
        <w:t>Modifica</w:t>
      </w:r>
      <w:r>
        <w:rPr>
          <w:spacing w:val="-3"/>
          <w:sz w:val="22"/>
        </w:rPr>
        <w:t> </w:t>
      </w:r>
      <w:r>
        <w:rPr>
          <w:sz w:val="22"/>
        </w:rPr>
        <w:t>los</w:t>
      </w:r>
      <w:r>
        <w:rPr>
          <w:spacing w:val="-2"/>
          <w:sz w:val="22"/>
        </w:rPr>
        <w:t> </w:t>
      </w:r>
      <w:r>
        <w:rPr>
          <w:sz w:val="22"/>
        </w:rPr>
        <w:t>artículos</w:t>
      </w:r>
      <w:r>
        <w:rPr>
          <w:spacing w:val="-5"/>
          <w:sz w:val="22"/>
        </w:rPr>
        <w:t> </w:t>
      </w:r>
      <w:r>
        <w:rPr>
          <w:sz w:val="22"/>
        </w:rPr>
        <w:t>1,</w:t>
      </w:r>
      <w:r>
        <w:rPr>
          <w:spacing w:val="-4"/>
          <w:sz w:val="22"/>
        </w:rPr>
        <w:t> </w:t>
      </w:r>
      <w:r>
        <w:rPr>
          <w:sz w:val="22"/>
        </w:rPr>
        <w:t>3,</w:t>
      </w:r>
      <w:r>
        <w:rPr>
          <w:spacing w:val="-4"/>
          <w:sz w:val="22"/>
        </w:rPr>
        <w:t> </w:t>
      </w:r>
      <w:r>
        <w:rPr>
          <w:sz w:val="22"/>
        </w:rPr>
        <w:t>7</w:t>
      </w:r>
      <w:r>
        <w:rPr>
          <w:spacing w:val="-5"/>
          <w:sz w:val="22"/>
        </w:rPr>
        <w:t> </w:t>
      </w:r>
      <w:r>
        <w:rPr>
          <w:sz w:val="22"/>
        </w:rPr>
        <w:t>y</w:t>
      </w:r>
      <w:r>
        <w:rPr>
          <w:spacing w:val="-2"/>
          <w:sz w:val="22"/>
        </w:rPr>
        <w:t> </w:t>
      </w:r>
      <w:r>
        <w:rPr>
          <w:sz w:val="22"/>
        </w:rPr>
        <w:t>9</w:t>
      </w:r>
      <w:r>
        <w:rPr>
          <w:spacing w:val="-5"/>
          <w:sz w:val="22"/>
        </w:rPr>
        <w:t> </w:t>
      </w:r>
      <w:r>
        <w:rPr>
          <w:sz w:val="22"/>
        </w:rPr>
        <w:t>de</w:t>
      </w:r>
      <w:r>
        <w:rPr>
          <w:spacing w:val="-3"/>
          <w:sz w:val="22"/>
        </w:rPr>
        <w:t> </w:t>
      </w:r>
      <w:r>
        <w:rPr>
          <w:sz w:val="22"/>
        </w:rPr>
        <w:t>los</w:t>
      </w:r>
      <w:r>
        <w:rPr>
          <w:spacing w:val="-2"/>
          <w:sz w:val="22"/>
        </w:rPr>
        <w:t> </w:t>
      </w:r>
      <w:r>
        <w:rPr>
          <w:sz w:val="22"/>
        </w:rPr>
        <w:t>Procedimientos</w:t>
      </w:r>
      <w:r>
        <w:rPr>
          <w:spacing w:val="-5"/>
          <w:sz w:val="22"/>
        </w:rPr>
        <w:t> </w:t>
      </w:r>
      <w:r>
        <w:rPr>
          <w:sz w:val="22"/>
        </w:rPr>
        <w:t>de</w:t>
      </w:r>
      <w:r>
        <w:rPr>
          <w:spacing w:val="-3"/>
          <w:sz w:val="22"/>
        </w:rPr>
        <w:t> </w:t>
      </w:r>
      <w:r>
        <w:rPr>
          <w:sz w:val="22"/>
        </w:rPr>
        <w:t>las</w:t>
      </w:r>
      <w:r>
        <w:rPr>
          <w:spacing w:val="-3"/>
          <w:sz w:val="22"/>
        </w:rPr>
        <w:t> </w:t>
      </w:r>
      <w:r>
        <w:rPr>
          <w:sz w:val="22"/>
        </w:rPr>
        <w:t>Directrices Generales</w:t>
      </w:r>
      <w:r>
        <w:rPr>
          <w:spacing w:val="-6"/>
          <w:sz w:val="22"/>
        </w:rPr>
        <w:t> </w:t>
      </w:r>
      <w:r>
        <w:rPr>
          <w:sz w:val="22"/>
        </w:rPr>
        <w:t>de</w:t>
      </w:r>
      <w:r>
        <w:rPr>
          <w:spacing w:val="-6"/>
          <w:sz w:val="22"/>
        </w:rPr>
        <w:t> </w:t>
      </w:r>
      <w:r>
        <w:rPr>
          <w:sz w:val="22"/>
        </w:rPr>
        <w:t>Política</w:t>
      </w:r>
      <w:r>
        <w:rPr>
          <w:spacing w:val="-6"/>
          <w:sz w:val="22"/>
        </w:rPr>
        <w:t> </w:t>
      </w:r>
      <w:r>
        <w:rPr>
          <w:sz w:val="22"/>
        </w:rPr>
        <w:t>Presupuestaria,</w:t>
      </w:r>
      <w:r>
        <w:rPr>
          <w:spacing w:val="-5"/>
          <w:sz w:val="22"/>
        </w:rPr>
        <w:t> </w:t>
      </w:r>
      <w:r>
        <w:rPr>
          <w:sz w:val="22"/>
        </w:rPr>
        <w:t>Salarial,</w:t>
      </w:r>
      <w:r>
        <w:rPr>
          <w:spacing w:val="-5"/>
          <w:sz w:val="22"/>
        </w:rPr>
        <w:t> </w:t>
      </w:r>
      <w:r>
        <w:rPr>
          <w:sz w:val="22"/>
        </w:rPr>
        <w:t>Empleo,</w:t>
      </w:r>
      <w:r>
        <w:rPr>
          <w:spacing w:val="-5"/>
          <w:sz w:val="22"/>
        </w:rPr>
        <w:t> </w:t>
      </w:r>
      <w:r>
        <w:rPr>
          <w:sz w:val="22"/>
        </w:rPr>
        <w:t>Inversión</w:t>
      </w:r>
      <w:r>
        <w:rPr>
          <w:spacing w:val="-6"/>
          <w:sz w:val="22"/>
        </w:rPr>
        <w:t> </w:t>
      </w:r>
      <w:r>
        <w:rPr>
          <w:sz w:val="22"/>
        </w:rPr>
        <w:t>y</w:t>
      </w:r>
      <w:r>
        <w:rPr>
          <w:spacing w:val="-6"/>
          <w:sz w:val="22"/>
        </w:rPr>
        <w:t> </w:t>
      </w:r>
      <w:r>
        <w:rPr>
          <w:sz w:val="22"/>
        </w:rPr>
        <w:t>Endeudamiento</w:t>
      </w:r>
      <w:r>
        <w:rPr>
          <w:spacing w:val="-5"/>
          <w:sz w:val="22"/>
        </w:rPr>
        <w:t> </w:t>
      </w:r>
      <w:r>
        <w:rPr>
          <w:sz w:val="22"/>
        </w:rPr>
        <w:t>para Entidades Públicas, Ministerios y Órganos Desconcentrados, según corresponda, cubiertos por el ámbito de la Autoridad Presupuestaria, Decreto N.º 38916-H. Fecha de vigencia 28/03/2019.</w:t>
      </w:r>
    </w:p>
    <w:p>
      <w:pPr>
        <w:pStyle w:val="BodyText"/>
      </w:pPr>
    </w:p>
    <w:p>
      <w:pPr>
        <w:spacing w:before="0"/>
        <w:ind w:left="1625" w:right="1602" w:firstLine="0"/>
        <w:jc w:val="both"/>
        <w:rPr>
          <w:sz w:val="22"/>
        </w:rPr>
      </w:pPr>
      <w:r>
        <w:rPr>
          <w:b/>
          <w:sz w:val="22"/>
        </w:rPr>
        <w:t>Decreto N° 39665-MH</w:t>
      </w:r>
      <w:r>
        <w:rPr>
          <w:sz w:val="22"/>
        </w:rPr>
        <w:t>: </w:t>
      </w:r>
      <w:r>
        <w:rPr>
          <w:b/>
          <w:sz w:val="22"/>
        </w:rPr>
        <w:t>Reforma a la Adopción e Implementación de la Normativa Contable</w:t>
      </w:r>
      <w:r>
        <w:rPr>
          <w:b/>
          <w:spacing w:val="-11"/>
          <w:sz w:val="22"/>
        </w:rPr>
        <w:t> </w:t>
      </w:r>
      <w:r>
        <w:rPr>
          <w:b/>
          <w:sz w:val="22"/>
        </w:rPr>
        <w:t>Internacional</w:t>
      </w:r>
      <w:r>
        <w:rPr>
          <w:b/>
          <w:spacing w:val="-12"/>
          <w:sz w:val="22"/>
        </w:rPr>
        <w:t> </w:t>
      </w:r>
      <w:r>
        <w:rPr>
          <w:b/>
          <w:sz w:val="22"/>
        </w:rPr>
        <w:t>en</w:t>
      </w:r>
      <w:r>
        <w:rPr>
          <w:b/>
          <w:spacing w:val="-9"/>
          <w:sz w:val="22"/>
        </w:rPr>
        <w:t> </w:t>
      </w:r>
      <w:r>
        <w:rPr>
          <w:b/>
          <w:sz w:val="22"/>
        </w:rPr>
        <w:t>el</w:t>
      </w:r>
      <w:r>
        <w:rPr>
          <w:b/>
          <w:spacing w:val="-10"/>
          <w:sz w:val="22"/>
        </w:rPr>
        <w:t> </w:t>
      </w:r>
      <w:r>
        <w:rPr>
          <w:b/>
          <w:sz w:val="22"/>
        </w:rPr>
        <w:t>Sector</w:t>
      </w:r>
      <w:r>
        <w:rPr>
          <w:b/>
          <w:spacing w:val="-10"/>
          <w:sz w:val="22"/>
        </w:rPr>
        <w:t> </w:t>
      </w:r>
      <w:r>
        <w:rPr>
          <w:b/>
          <w:sz w:val="22"/>
        </w:rPr>
        <w:t>Público</w:t>
      </w:r>
      <w:r>
        <w:rPr>
          <w:b/>
          <w:spacing w:val="-9"/>
          <w:sz w:val="22"/>
        </w:rPr>
        <w:t> </w:t>
      </w:r>
      <w:r>
        <w:rPr>
          <w:b/>
          <w:sz w:val="22"/>
        </w:rPr>
        <w:t>Costarricense.</w:t>
      </w:r>
      <w:r>
        <w:rPr>
          <w:b/>
          <w:spacing w:val="-7"/>
          <w:sz w:val="22"/>
        </w:rPr>
        <w:t> </w:t>
      </w:r>
      <w:r>
        <w:rPr>
          <w:sz w:val="22"/>
        </w:rPr>
        <w:t>Reforma</w:t>
      </w:r>
      <w:r>
        <w:rPr>
          <w:spacing w:val="-8"/>
          <w:sz w:val="22"/>
        </w:rPr>
        <w:t> </w:t>
      </w:r>
      <w:r>
        <w:rPr>
          <w:sz w:val="22"/>
        </w:rPr>
        <w:t>los</w:t>
      </w:r>
      <w:r>
        <w:rPr>
          <w:spacing w:val="-8"/>
          <w:sz w:val="22"/>
        </w:rPr>
        <w:t> </w:t>
      </w:r>
      <w:r>
        <w:rPr>
          <w:sz w:val="22"/>
        </w:rPr>
        <w:t>artículos</w:t>
      </w:r>
      <w:r>
        <w:rPr>
          <w:spacing w:val="-8"/>
          <w:sz w:val="22"/>
        </w:rPr>
        <w:t> </w:t>
      </w:r>
      <w:r>
        <w:rPr>
          <w:sz w:val="22"/>
        </w:rPr>
        <w:t>3°</w:t>
      </w:r>
      <w:r>
        <w:rPr>
          <w:spacing w:val="-10"/>
          <w:sz w:val="22"/>
        </w:rPr>
        <w:t> </w:t>
      </w:r>
      <w:r>
        <w:rPr>
          <w:sz w:val="22"/>
        </w:rPr>
        <w:t>y 7° del Decreto N° 34918-H, el artículo fecha de vigencia 25/04/20195 del Decreto N° 35616-</w:t>
      </w:r>
      <w:r>
        <w:rPr>
          <w:spacing w:val="-8"/>
          <w:sz w:val="22"/>
        </w:rPr>
        <w:t> </w:t>
      </w:r>
      <w:r>
        <w:rPr>
          <w:sz w:val="22"/>
        </w:rPr>
        <w:t>H</w:t>
      </w:r>
      <w:r>
        <w:rPr>
          <w:spacing w:val="-12"/>
          <w:sz w:val="22"/>
        </w:rPr>
        <w:t> </w:t>
      </w:r>
      <w:r>
        <w:rPr>
          <w:sz w:val="22"/>
        </w:rPr>
        <w:t>y</w:t>
      </w:r>
      <w:r>
        <w:rPr>
          <w:spacing w:val="-11"/>
          <w:sz w:val="22"/>
        </w:rPr>
        <w:t> </w:t>
      </w:r>
      <w:r>
        <w:rPr>
          <w:sz w:val="22"/>
        </w:rPr>
        <w:t>el</w:t>
      </w:r>
      <w:r>
        <w:rPr>
          <w:spacing w:val="-12"/>
          <w:sz w:val="22"/>
        </w:rPr>
        <w:t> </w:t>
      </w:r>
      <w:r>
        <w:rPr>
          <w:sz w:val="22"/>
        </w:rPr>
        <w:t>artículo</w:t>
      </w:r>
      <w:r>
        <w:rPr>
          <w:spacing w:val="-11"/>
          <w:sz w:val="22"/>
        </w:rPr>
        <w:t> </w:t>
      </w:r>
      <w:r>
        <w:rPr>
          <w:sz w:val="22"/>
        </w:rPr>
        <w:t>6°</w:t>
      </w:r>
      <w:r>
        <w:rPr>
          <w:spacing w:val="-13"/>
          <w:sz w:val="22"/>
        </w:rPr>
        <w:t> </w:t>
      </w:r>
      <w:r>
        <w:rPr>
          <w:sz w:val="22"/>
        </w:rPr>
        <w:t>del</w:t>
      </w:r>
      <w:r>
        <w:rPr>
          <w:spacing w:val="-10"/>
          <w:sz w:val="22"/>
        </w:rPr>
        <w:t> </w:t>
      </w:r>
      <w:r>
        <w:rPr>
          <w:sz w:val="22"/>
        </w:rPr>
        <w:t>Decreto</w:t>
      </w:r>
      <w:r>
        <w:rPr>
          <w:spacing w:val="-9"/>
          <w:sz w:val="22"/>
        </w:rPr>
        <w:t> </w:t>
      </w:r>
      <w:r>
        <w:rPr>
          <w:sz w:val="22"/>
        </w:rPr>
        <w:t>N°</w:t>
      </w:r>
      <w:r>
        <w:rPr>
          <w:spacing w:val="-10"/>
          <w:sz w:val="22"/>
        </w:rPr>
        <w:t> </w:t>
      </w:r>
      <w:r>
        <w:rPr>
          <w:sz w:val="22"/>
        </w:rPr>
        <w:t>34460-</w:t>
      </w:r>
      <w:r>
        <w:rPr>
          <w:spacing w:val="-10"/>
          <w:sz w:val="22"/>
        </w:rPr>
        <w:t> </w:t>
      </w:r>
      <w:r>
        <w:rPr>
          <w:sz w:val="22"/>
        </w:rPr>
        <w:t>H.</w:t>
      </w:r>
      <w:r>
        <w:rPr>
          <w:spacing w:val="-10"/>
          <w:sz w:val="22"/>
        </w:rPr>
        <w:t> </w:t>
      </w:r>
      <w:r>
        <w:rPr>
          <w:sz w:val="22"/>
        </w:rPr>
        <w:t>Además,</w:t>
      </w:r>
      <w:r>
        <w:rPr>
          <w:spacing w:val="-10"/>
          <w:sz w:val="22"/>
        </w:rPr>
        <w:t> </w:t>
      </w:r>
      <w:r>
        <w:rPr>
          <w:sz w:val="22"/>
        </w:rPr>
        <w:t>establece</w:t>
      </w:r>
      <w:r>
        <w:rPr>
          <w:spacing w:val="-12"/>
          <w:sz w:val="22"/>
        </w:rPr>
        <w:t> </w:t>
      </w:r>
      <w:r>
        <w:rPr>
          <w:sz w:val="22"/>
        </w:rPr>
        <w:t>lineamientos</w:t>
      </w:r>
      <w:r>
        <w:rPr>
          <w:spacing w:val="-11"/>
          <w:sz w:val="22"/>
        </w:rPr>
        <w:t> </w:t>
      </w:r>
      <w:r>
        <w:rPr>
          <w:sz w:val="22"/>
        </w:rPr>
        <w:t>varios para las instituciones públicas. Fecha de vigencia 23/06/2016.</w:t>
      </w:r>
    </w:p>
    <w:p>
      <w:pPr>
        <w:spacing w:before="253"/>
        <w:ind w:left="1625" w:right="1603" w:firstLine="0"/>
        <w:jc w:val="both"/>
        <w:rPr>
          <w:sz w:val="22"/>
        </w:rPr>
      </w:pPr>
      <w:r>
        <w:rPr>
          <w:b/>
          <w:sz w:val="22"/>
        </w:rPr>
        <w:t>Decreto N.º 40933-MEIC-MIDEPLAN Implementación del Reglamento para el Desarrollo de la Directriz N.º 103-P </w:t>
      </w:r>
      <w:r>
        <w:rPr>
          <w:sz w:val="22"/>
        </w:rPr>
        <w:t>Ordena a la Administración Central</w:t>
      </w:r>
      <w:r>
        <w:rPr>
          <w:spacing w:val="-1"/>
          <w:sz w:val="22"/>
        </w:rPr>
        <w:t> </w:t>
      </w:r>
      <w:r>
        <w:rPr>
          <w:sz w:val="22"/>
        </w:rPr>
        <w:t>y se instruye a la Administración Descentralizada, a</w:t>
      </w:r>
      <w:r>
        <w:rPr>
          <w:spacing w:val="-1"/>
          <w:sz w:val="22"/>
        </w:rPr>
        <w:t> </w:t>
      </w:r>
      <w:r>
        <w:rPr>
          <w:sz w:val="22"/>
        </w:rPr>
        <w:t>aplicar los</w:t>
      </w:r>
      <w:r>
        <w:rPr>
          <w:spacing w:val="-1"/>
          <w:sz w:val="22"/>
        </w:rPr>
        <w:t> </w:t>
      </w:r>
      <w:r>
        <w:rPr>
          <w:sz w:val="22"/>
        </w:rPr>
        <w:t>lineamientos y objetivos establecidos en el Reglamento para el Desarrollo, Fomento y Gestión de las Alianzas Público-Privadas para el Desarrollo en el Sector Público. Fecha de vigencia 30/04/2018</w:t>
      </w:r>
    </w:p>
    <w:p>
      <w:pPr>
        <w:pStyle w:val="BodyText"/>
        <w:spacing w:before="1"/>
      </w:pPr>
    </w:p>
    <w:p>
      <w:pPr>
        <w:spacing w:before="0"/>
        <w:ind w:left="1625" w:right="1603" w:firstLine="0"/>
        <w:jc w:val="both"/>
        <w:rPr>
          <w:sz w:val="22"/>
        </w:rPr>
      </w:pPr>
      <w:r>
        <w:rPr>
          <w:b/>
          <w:sz w:val="22"/>
        </w:rPr>
        <w:t>Decreto</w:t>
      </w:r>
      <w:r>
        <w:rPr>
          <w:b/>
          <w:spacing w:val="-1"/>
          <w:sz w:val="22"/>
        </w:rPr>
        <w:t> </w:t>
      </w:r>
      <w:r>
        <w:rPr>
          <w:b/>
          <w:sz w:val="22"/>
        </w:rPr>
        <w:t>N°41776</w:t>
      </w:r>
      <w:r>
        <w:rPr>
          <w:b/>
          <w:spacing w:val="-4"/>
          <w:sz w:val="22"/>
        </w:rPr>
        <w:t> </w:t>
      </w:r>
      <w:r>
        <w:rPr>
          <w:b/>
          <w:sz w:val="22"/>
        </w:rPr>
        <w:t>MTSS-MEP-MIDEPLAN-MDHIS-MCM-</w:t>
      </w:r>
      <w:r>
        <w:rPr>
          <w:b/>
          <w:spacing w:val="-2"/>
          <w:sz w:val="22"/>
        </w:rPr>
        <w:t> </w:t>
      </w:r>
      <w:r>
        <w:rPr>
          <w:b/>
          <w:sz w:val="22"/>
        </w:rPr>
        <w:t>MCSP</w:t>
      </w:r>
      <w:r>
        <w:rPr>
          <w:b/>
          <w:spacing w:val="-2"/>
          <w:sz w:val="22"/>
        </w:rPr>
        <w:t> </w:t>
      </w:r>
      <w:r>
        <w:rPr>
          <w:b/>
          <w:sz w:val="22"/>
        </w:rPr>
        <w:t>Creación</w:t>
      </w:r>
      <w:r>
        <w:rPr>
          <w:b/>
          <w:spacing w:val="-1"/>
          <w:sz w:val="22"/>
        </w:rPr>
        <w:t> </w:t>
      </w:r>
      <w:r>
        <w:rPr>
          <w:b/>
          <w:sz w:val="22"/>
        </w:rPr>
        <w:t>del</w:t>
      </w:r>
      <w:r>
        <w:rPr>
          <w:b/>
          <w:spacing w:val="-2"/>
          <w:sz w:val="22"/>
        </w:rPr>
        <w:t> </w:t>
      </w:r>
      <w:r>
        <w:rPr>
          <w:b/>
          <w:sz w:val="22"/>
        </w:rPr>
        <w:t>Sistema Nacional de Empleo. </w:t>
      </w:r>
      <w:r>
        <w:rPr>
          <w:sz w:val="22"/>
        </w:rPr>
        <w:t>Tiene como objetivo de definir el ordenamiento, lógica y gobernanza que deben tener los servicios de empleo. La persona que funja como presidenta ejecutiva del IMAS, formará parte del</w:t>
      </w:r>
      <w:r>
        <w:rPr>
          <w:spacing w:val="-2"/>
          <w:sz w:val="22"/>
        </w:rPr>
        <w:t> </w:t>
      </w:r>
      <w:r>
        <w:rPr>
          <w:sz w:val="22"/>
        </w:rPr>
        <w:t>Consejo de Empleo. Fecha de vigencia </w:t>
      </w:r>
      <w:r>
        <w:rPr>
          <w:spacing w:val="-2"/>
          <w:sz w:val="22"/>
        </w:rPr>
        <w:t>19/06/2019.</w:t>
      </w:r>
    </w:p>
    <w:p>
      <w:pPr>
        <w:spacing w:before="252"/>
        <w:ind w:left="1625" w:right="1604" w:firstLine="0"/>
        <w:jc w:val="both"/>
        <w:rPr>
          <w:sz w:val="22"/>
        </w:rPr>
      </w:pPr>
      <w:r>
        <w:rPr>
          <w:b/>
          <w:sz w:val="22"/>
        </w:rPr>
        <w:t>Decreto N° 41795-MP-MEIC. Agilización de los trámites en las entidades públicas, mediante el uso</w:t>
      </w:r>
      <w:r>
        <w:rPr>
          <w:b/>
          <w:spacing w:val="-1"/>
          <w:sz w:val="22"/>
        </w:rPr>
        <w:t> </w:t>
      </w:r>
      <w:r>
        <w:rPr>
          <w:b/>
          <w:sz w:val="22"/>
        </w:rPr>
        <w:t>de</w:t>
      </w:r>
      <w:r>
        <w:rPr>
          <w:b/>
          <w:spacing w:val="-1"/>
          <w:sz w:val="22"/>
        </w:rPr>
        <w:t> </w:t>
      </w:r>
      <w:r>
        <w:rPr>
          <w:b/>
          <w:sz w:val="22"/>
        </w:rPr>
        <w:t>la</w:t>
      </w:r>
      <w:r>
        <w:rPr>
          <w:b/>
          <w:spacing w:val="-1"/>
          <w:sz w:val="22"/>
        </w:rPr>
        <w:t> </w:t>
      </w:r>
      <w:r>
        <w:rPr>
          <w:b/>
          <w:sz w:val="22"/>
        </w:rPr>
        <w:t>declaración</w:t>
      </w:r>
      <w:r>
        <w:rPr>
          <w:b/>
          <w:spacing w:val="-3"/>
          <w:sz w:val="22"/>
        </w:rPr>
        <w:t> </w:t>
      </w:r>
      <w:r>
        <w:rPr>
          <w:b/>
          <w:sz w:val="22"/>
        </w:rPr>
        <w:t>jurada. </w:t>
      </w:r>
      <w:r>
        <w:rPr>
          <w:sz w:val="22"/>
        </w:rPr>
        <w:t>Impulsa en</w:t>
      </w:r>
      <w:r>
        <w:rPr>
          <w:spacing w:val="-1"/>
          <w:sz w:val="22"/>
        </w:rPr>
        <w:t> </w:t>
      </w:r>
      <w:r>
        <w:rPr>
          <w:sz w:val="22"/>
        </w:rPr>
        <w:t>la Administración</w:t>
      </w:r>
      <w:r>
        <w:rPr>
          <w:spacing w:val="-3"/>
          <w:sz w:val="22"/>
        </w:rPr>
        <w:t> </w:t>
      </w:r>
      <w:r>
        <w:rPr>
          <w:sz w:val="22"/>
        </w:rPr>
        <w:t>Pública el uso del instrumento jurídico denominado “declaración jurada”, con la finalidad de generar eficiencia en los requisitos, trámites y procedimientos que los usuarios realizan ante las instituciones públicas, al tiempo que se agilice la resolución a sus gestiones y el cumplimiento efectivo de los tiempos de respuesta institucional. Fecha de vigencia </w:t>
      </w:r>
      <w:r>
        <w:rPr>
          <w:spacing w:val="-2"/>
          <w:sz w:val="22"/>
        </w:rPr>
        <w:t>25/06/2019.</w:t>
      </w:r>
    </w:p>
    <w:p>
      <w:pPr>
        <w:pStyle w:val="BodyText"/>
        <w:spacing w:before="2"/>
      </w:pPr>
    </w:p>
    <w:p>
      <w:pPr>
        <w:pStyle w:val="BodyText"/>
        <w:ind w:left="1625" w:right="1605"/>
        <w:jc w:val="both"/>
      </w:pPr>
      <w:r>
        <w:rPr>
          <w:b/>
        </w:rPr>
        <w:t>Decreto N° 41347-MP-MTSS</w:t>
      </w:r>
      <w:r>
        <w:rPr/>
        <w:t>-</w:t>
      </w:r>
      <w:r>
        <w:rPr>
          <w:b/>
        </w:rPr>
        <w:t>Reforma a los artículos 1, 2 y 3 del </w:t>
      </w:r>
      <w:r>
        <w:rPr/>
        <w:t>MDHIS del 16 de octubre de 2018 Decreto N°41732-MTSS-MDHIS. Reforma los artículos 1,2 y 3 del Decreto N° 41347-MP-MTSS-MDHIS Coordinación de la Comisión Consultiva de la Red Nacional de Cuido y Desarrollo Infantil. Fecha de vigencia 09/07/2019</w:t>
      </w:r>
    </w:p>
    <w:p>
      <w:pPr>
        <w:pStyle w:val="BodyText"/>
      </w:pPr>
    </w:p>
    <w:p>
      <w:pPr>
        <w:spacing w:before="0"/>
        <w:ind w:left="1625" w:right="1602" w:firstLine="0"/>
        <w:jc w:val="both"/>
        <w:rPr>
          <w:sz w:val="22"/>
        </w:rPr>
      </w:pPr>
      <w:r>
        <w:rPr>
          <w:b/>
          <w:sz w:val="22"/>
        </w:rPr>
        <w:t>Decreto</w:t>
      </w:r>
      <w:r>
        <w:rPr>
          <w:b/>
          <w:spacing w:val="-5"/>
          <w:sz w:val="22"/>
        </w:rPr>
        <w:t> </w:t>
      </w:r>
      <w:r>
        <w:rPr>
          <w:b/>
          <w:sz w:val="22"/>
        </w:rPr>
        <w:t>N°</w:t>
      </w:r>
      <w:r>
        <w:rPr>
          <w:b/>
          <w:spacing w:val="-4"/>
          <w:sz w:val="22"/>
        </w:rPr>
        <w:t> </w:t>
      </w:r>
      <w:r>
        <w:rPr>
          <w:b/>
          <w:sz w:val="22"/>
        </w:rPr>
        <w:t>41761-MTSS.</w:t>
      </w:r>
      <w:r>
        <w:rPr>
          <w:b/>
          <w:spacing w:val="-1"/>
          <w:sz w:val="22"/>
        </w:rPr>
        <w:t> </w:t>
      </w:r>
      <w:r>
        <w:rPr>
          <w:b/>
          <w:sz w:val="22"/>
        </w:rPr>
        <w:t>Creación</w:t>
      </w:r>
      <w:r>
        <w:rPr>
          <w:b/>
          <w:spacing w:val="-6"/>
          <w:sz w:val="22"/>
        </w:rPr>
        <w:t> </w:t>
      </w:r>
      <w:r>
        <w:rPr>
          <w:b/>
          <w:sz w:val="22"/>
        </w:rPr>
        <w:t>de</w:t>
      </w:r>
      <w:r>
        <w:rPr>
          <w:b/>
          <w:spacing w:val="-8"/>
          <w:sz w:val="22"/>
        </w:rPr>
        <w:t> </w:t>
      </w:r>
      <w:r>
        <w:rPr>
          <w:b/>
          <w:sz w:val="22"/>
        </w:rPr>
        <w:t>la</w:t>
      </w:r>
      <w:r>
        <w:rPr>
          <w:b/>
          <w:spacing w:val="-5"/>
          <w:sz w:val="22"/>
        </w:rPr>
        <w:t> </w:t>
      </w:r>
      <w:r>
        <w:rPr>
          <w:b/>
          <w:sz w:val="22"/>
        </w:rPr>
        <w:t>Comisión</w:t>
      </w:r>
      <w:r>
        <w:rPr>
          <w:b/>
          <w:spacing w:val="-5"/>
          <w:sz w:val="22"/>
        </w:rPr>
        <w:t> </w:t>
      </w:r>
      <w:r>
        <w:rPr>
          <w:b/>
          <w:sz w:val="22"/>
        </w:rPr>
        <w:t>Nacional</w:t>
      </w:r>
      <w:r>
        <w:rPr>
          <w:b/>
          <w:spacing w:val="-4"/>
          <w:sz w:val="22"/>
        </w:rPr>
        <w:t> </w:t>
      </w:r>
      <w:r>
        <w:rPr>
          <w:b/>
          <w:sz w:val="22"/>
        </w:rPr>
        <w:t>para</w:t>
      </w:r>
      <w:r>
        <w:rPr>
          <w:b/>
          <w:spacing w:val="-5"/>
          <w:sz w:val="22"/>
        </w:rPr>
        <w:t> </w:t>
      </w:r>
      <w:r>
        <w:rPr>
          <w:b/>
          <w:sz w:val="22"/>
        </w:rPr>
        <w:t>la</w:t>
      </w:r>
      <w:r>
        <w:rPr>
          <w:b/>
          <w:spacing w:val="-5"/>
          <w:sz w:val="22"/>
        </w:rPr>
        <w:t> </w:t>
      </w:r>
      <w:r>
        <w:rPr>
          <w:b/>
          <w:sz w:val="22"/>
        </w:rPr>
        <w:t>Empleabilidad</w:t>
      </w:r>
      <w:r>
        <w:rPr>
          <w:b/>
          <w:spacing w:val="-5"/>
          <w:sz w:val="22"/>
        </w:rPr>
        <w:t> </w:t>
      </w:r>
      <w:r>
        <w:rPr>
          <w:b/>
          <w:sz w:val="22"/>
        </w:rPr>
        <w:t>y el Trabajo de las Personas con Discapacidad. </w:t>
      </w:r>
      <w:r>
        <w:rPr>
          <w:sz w:val="22"/>
        </w:rPr>
        <w:t>Crea la Comisión Nacional para la Empleabilidad</w:t>
      </w:r>
      <w:r>
        <w:rPr>
          <w:spacing w:val="-16"/>
          <w:sz w:val="22"/>
        </w:rPr>
        <w:t> </w:t>
      </w:r>
      <w:r>
        <w:rPr>
          <w:sz w:val="22"/>
        </w:rPr>
        <w:t>y</w:t>
      </w:r>
      <w:r>
        <w:rPr>
          <w:spacing w:val="-15"/>
          <w:sz w:val="22"/>
        </w:rPr>
        <w:t> </w:t>
      </w:r>
      <w:r>
        <w:rPr>
          <w:sz w:val="22"/>
        </w:rPr>
        <w:t>el</w:t>
      </w:r>
      <w:r>
        <w:rPr>
          <w:spacing w:val="-15"/>
          <w:sz w:val="22"/>
        </w:rPr>
        <w:t> </w:t>
      </w:r>
      <w:r>
        <w:rPr>
          <w:sz w:val="22"/>
        </w:rPr>
        <w:t>Trabajo</w:t>
      </w:r>
      <w:r>
        <w:rPr>
          <w:spacing w:val="-16"/>
          <w:sz w:val="22"/>
        </w:rPr>
        <w:t> </w:t>
      </w:r>
      <w:r>
        <w:rPr>
          <w:sz w:val="22"/>
        </w:rPr>
        <w:t>de</w:t>
      </w:r>
      <w:r>
        <w:rPr>
          <w:spacing w:val="-14"/>
          <w:sz w:val="22"/>
        </w:rPr>
        <w:t> </w:t>
      </w:r>
      <w:r>
        <w:rPr>
          <w:sz w:val="22"/>
        </w:rPr>
        <w:t>las</w:t>
      </w:r>
      <w:r>
        <w:rPr>
          <w:spacing w:val="-16"/>
          <w:sz w:val="22"/>
        </w:rPr>
        <w:t> </w:t>
      </w:r>
      <w:r>
        <w:rPr>
          <w:sz w:val="22"/>
        </w:rPr>
        <w:t>Personas</w:t>
      </w:r>
      <w:r>
        <w:rPr>
          <w:spacing w:val="-15"/>
          <w:sz w:val="22"/>
        </w:rPr>
        <w:t> </w:t>
      </w:r>
      <w:r>
        <w:rPr>
          <w:sz w:val="22"/>
        </w:rPr>
        <w:t>con</w:t>
      </w:r>
      <w:r>
        <w:rPr>
          <w:spacing w:val="-15"/>
          <w:sz w:val="22"/>
        </w:rPr>
        <w:t> </w:t>
      </w:r>
      <w:r>
        <w:rPr>
          <w:sz w:val="22"/>
        </w:rPr>
        <w:t>Discapacidad</w:t>
      </w:r>
      <w:r>
        <w:rPr>
          <w:spacing w:val="-14"/>
          <w:sz w:val="22"/>
        </w:rPr>
        <w:t> </w:t>
      </w:r>
      <w:r>
        <w:rPr>
          <w:sz w:val="22"/>
        </w:rPr>
        <w:t>coordinada</w:t>
      </w:r>
      <w:r>
        <w:rPr>
          <w:spacing w:val="-16"/>
          <w:sz w:val="22"/>
        </w:rPr>
        <w:t> </w:t>
      </w:r>
      <w:r>
        <w:rPr>
          <w:sz w:val="22"/>
        </w:rPr>
        <w:t>por</w:t>
      </w:r>
      <w:r>
        <w:rPr>
          <w:spacing w:val="-13"/>
          <w:sz w:val="22"/>
        </w:rPr>
        <w:t> </w:t>
      </w:r>
      <w:r>
        <w:rPr>
          <w:sz w:val="22"/>
        </w:rPr>
        <w:t>el</w:t>
      </w:r>
      <w:r>
        <w:rPr>
          <w:spacing w:val="-16"/>
          <w:sz w:val="22"/>
        </w:rPr>
        <w:t> </w:t>
      </w:r>
      <w:r>
        <w:rPr>
          <w:sz w:val="22"/>
        </w:rPr>
        <w:t>Ministerio de Trabajo y Seguridad Social, que será la instancia designada para que incida en los procesos nacionales de empleabilidad y empresariedad, mediante el ejercicio de estrategias</w:t>
      </w:r>
      <w:r>
        <w:rPr>
          <w:spacing w:val="-7"/>
          <w:sz w:val="22"/>
        </w:rPr>
        <w:t> </w:t>
      </w:r>
      <w:r>
        <w:rPr>
          <w:sz w:val="22"/>
        </w:rPr>
        <w:t>técnicas</w:t>
      </w:r>
      <w:r>
        <w:rPr>
          <w:spacing w:val="-5"/>
          <w:sz w:val="22"/>
        </w:rPr>
        <w:t> </w:t>
      </w:r>
      <w:r>
        <w:rPr>
          <w:sz w:val="22"/>
        </w:rPr>
        <w:t>y</w:t>
      </w:r>
      <w:r>
        <w:rPr>
          <w:spacing w:val="-7"/>
          <w:sz w:val="22"/>
        </w:rPr>
        <w:t> </w:t>
      </w:r>
      <w:r>
        <w:rPr>
          <w:sz w:val="22"/>
        </w:rPr>
        <w:t>políticas,</w:t>
      </w:r>
      <w:r>
        <w:rPr>
          <w:spacing w:val="-6"/>
          <w:sz w:val="22"/>
        </w:rPr>
        <w:t> </w:t>
      </w:r>
      <w:r>
        <w:rPr>
          <w:sz w:val="22"/>
        </w:rPr>
        <w:t>en</w:t>
      </w:r>
      <w:r>
        <w:rPr>
          <w:spacing w:val="-5"/>
          <w:sz w:val="22"/>
        </w:rPr>
        <w:t> </w:t>
      </w:r>
      <w:r>
        <w:rPr>
          <w:sz w:val="22"/>
        </w:rPr>
        <w:t>planes,</w:t>
      </w:r>
      <w:r>
        <w:rPr>
          <w:spacing w:val="-6"/>
          <w:sz w:val="22"/>
        </w:rPr>
        <w:t> </w:t>
      </w:r>
      <w:r>
        <w:rPr>
          <w:sz w:val="22"/>
        </w:rPr>
        <w:t>programas,</w:t>
      </w:r>
      <w:r>
        <w:rPr>
          <w:spacing w:val="-6"/>
          <w:sz w:val="22"/>
        </w:rPr>
        <w:t> </w:t>
      </w:r>
      <w:r>
        <w:rPr>
          <w:sz w:val="22"/>
        </w:rPr>
        <w:t>proyectos</w:t>
      </w:r>
      <w:r>
        <w:rPr>
          <w:spacing w:val="-7"/>
          <w:sz w:val="22"/>
        </w:rPr>
        <w:t> </w:t>
      </w:r>
      <w:r>
        <w:rPr>
          <w:sz w:val="22"/>
        </w:rPr>
        <w:t>y</w:t>
      </w:r>
      <w:r>
        <w:rPr>
          <w:spacing w:val="-5"/>
          <w:sz w:val="22"/>
        </w:rPr>
        <w:t> </w:t>
      </w:r>
      <w:r>
        <w:rPr>
          <w:sz w:val="22"/>
        </w:rPr>
        <w:t>acciones</w:t>
      </w:r>
      <w:r>
        <w:rPr>
          <w:spacing w:val="-5"/>
          <w:sz w:val="22"/>
        </w:rPr>
        <w:t> </w:t>
      </w:r>
      <w:r>
        <w:rPr>
          <w:sz w:val="22"/>
        </w:rPr>
        <w:t>tendientes</w:t>
      </w:r>
      <w:r>
        <w:rPr>
          <w:spacing w:val="-5"/>
          <w:sz w:val="22"/>
        </w:rPr>
        <w:t> </w:t>
      </w:r>
      <w:r>
        <w:rPr>
          <w:sz w:val="22"/>
        </w:rPr>
        <w:t>a</w:t>
      </w:r>
    </w:p>
    <w:p>
      <w:pPr>
        <w:spacing w:after="0"/>
        <w:jc w:val="both"/>
        <w:rPr>
          <w:sz w:val="22"/>
        </w:rPr>
        <w:sectPr>
          <w:pgSz w:w="12240" w:h="15840"/>
          <w:pgMar w:header="0" w:footer="1576" w:top="1000" w:bottom="1760" w:left="360" w:right="0"/>
        </w:sectPr>
      </w:pPr>
    </w:p>
    <w:p>
      <w:pPr>
        <w:pStyle w:val="BodyText"/>
        <w:spacing w:before="77"/>
        <w:ind w:left="1625" w:right="1607"/>
        <w:jc w:val="both"/>
      </w:pPr>
      <w:r>
        <w:rPr/>
        <w:t>una efectiva inclusión y permanencia laboral de personas con discapacidad en el sector público y privado. Fecha de vigencia 10/07/2019.</w:t>
      </w:r>
    </w:p>
    <w:p>
      <w:pPr>
        <w:pStyle w:val="BodyText"/>
      </w:pPr>
    </w:p>
    <w:p>
      <w:pPr>
        <w:pStyle w:val="BodyText"/>
        <w:ind w:left="1625" w:right="1603"/>
        <w:jc w:val="both"/>
      </w:pPr>
      <w:r>
        <w:rPr>
          <w:b/>
        </w:rPr>
        <w:t>Decreto N° 41564-MIDEPLAN-H Reforma al inciso D) del artículo 14 del </w:t>
      </w:r>
      <w:r>
        <w:rPr/>
        <w:t>del 11 de febrero de 2019, Reglamento del Título III de la Ley Fortalecimiento de las Finanzas Públicas, Ley N° 9635 del 3 de diciembre de 2018, referente a Empleo Público y sus Reformas Decreto N° 41807-MIDEPLAN-H, Reforma el inciso D) del artículo 14 del Decreto N° 41564-MIDEPLAN-H. Fecha de vigencia 31/07/2019</w:t>
      </w:r>
    </w:p>
    <w:p>
      <w:pPr>
        <w:spacing w:before="252"/>
        <w:ind w:left="1625" w:right="1606" w:firstLine="0"/>
        <w:jc w:val="both"/>
        <w:rPr>
          <w:sz w:val="22"/>
        </w:rPr>
      </w:pPr>
      <w:r>
        <w:rPr>
          <w:b/>
          <w:sz w:val="22"/>
        </w:rPr>
        <w:t>Decreto N° 41935-H. Aprobación de la Política de Endeudamiento para el Sector Público. </w:t>
      </w:r>
      <w:r>
        <w:rPr>
          <w:sz w:val="22"/>
        </w:rPr>
        <w:t>Aprueba la Política de Endeudamiento para el Sector Público Costarricense propuesta por la Dirección de Crédito Público del Ministerio de Hacienda a la Autoridad Presupuestaria, la cual, a su vez. Deberá ser respetada en la formulación de los presupuestos del Sector Público. Fecha de vigencia 28/08/2019.</w:t>
      </w:r>
    </w:p>
    <w:p>
      <w:pPr>
        <w:pStyle w:val="BodyText"/>
        <w:spacing w:before="1"/>
      </w:pPr>
    </w:p>
    <w:p>
      <w:pPr>
        <w:spacing w:before="0"/>
        <w:ind w:left="1625" w:right="1601" w:firstLine="0"/>
        <w:jc w:val="both"/>
        <w:rPr>
          <w:sz w:val="22"/>
        </w:rPr>
      </w:pPr>
      <w:r>
        <w:rPr>
          <w:b/>
          <w:sz w:val="22"/>
        </w:rPr>
        <w:t>Decreto</w:t>
      </w:r>
      <w:r>
        <w:rPr>
          <w:b/>
          <w:spacing w:val="-16"/>
          <w:sz w:val="22"/>
        </w:rPr>
        <w:t> </w:t>
      </w:r>
      <w:r>
        <w:rPr>
          <w:b/>
          <w:sz w:val="22"/>
        </w:rPr>
        <w:t>N°</w:t>
      </w:r>
      <w:r>
        <w:rPr>
          <w:b/>
          <w:spacing w:val="-15"/>
          <w:sz w:val="22"/>
        </w:rPr>
        <w:t> </w:t>
      </w:r>
      <w:r>
        <w:rPr>
          <w:b/>
          <w:sz w:val="22"/>
        </w:rPr>
        <w:t>42087-MP-PLAN.</w:t>
      </w:r>
      <w:r>
        <w:rPr>
          <w:b/>
          <w:spacing w:val="-13"/>
          <w:sz w:val="22"/>
        </w:rPr>
        <w:t> </w:t>
      </w:r>
      <w:r>
        <w:rPr>
          <w:b/>
          <w:sz w:val="22"/>
        </w:rPr>
        <w:t>Lineamientos</w:t>
      </w:r>
      <w:r>
        <w:rPr>
          <w:b/>
          <w:spacing w:val="-16"/>
          <w:sz w:val="22"/>
        </w:rPr>
        <w:t> </w:t>
      </w:r>
      <w:r>
        <w:rPr>
          <w:b/>
          <w:sz w:val="22"/>
        </w:rPr>
        <w:t>Generales</w:t>
      </w:r>
      <w:r>
        <w:rPr>
          <w:b/>
          <w:spacing w:val="-14"/>
          <w:sz w:val="22"/>
        </w:rPr>
        <w:t> </w:t>
      </w:r>
      <w:r>
        <w:rPr>
          <w:b/>
          <w:sz w:val="22"/>
        </w:rPr>
        <w:t>de</w:t>
      </w:r>
      <w:r>
        <w:rPr>
          <w:b/>
          <w:spacing w:val="-16"/>
          <w:sz w:val="22"/>
        </w:rPr>
        <w:t> </w:t>
      </w:r>
      <w:r>
        <w:rPr>
          <w:b/>
          <w:sz w:val="22"/>
        </w:rPr>
        <w:t>Gestión</w:t>
      </w:r>
      <w:r>
        <w:rPr>
          <w:b/>
          <w:spacing w:val="-14"/>
          <w:sz w:val="22"/>
        </w:rPr>
        <w:t> </w:t>
      </w:r>
      <w:r>
        <w:rPr>
          <w:b/>
          <w:sz w:val="22"/>
        </w:rPr>
        <w:t>del</w:t>
      </w:r>
      <w:r>
        <w:rPr>
          <w:b/>
          <w:spacing w:val="-16"/>
          <w:sz w:val="22"/>
        </w:rPr>
        <w:t> </w:t>
      </w:r>
      <w:r>
        <w:rPr>
          <w:b/>
          <w:sz w:val="22"/>
        </w:rPr>
        <w:t>Desempeño</w:t>
      </w:r>
      <w:r>
        <w:rPr>
          <w:b/>
          <w:spacing w:val="-12"/>
          <w:sz w:val="22"/>
        </w:rPr>
        <w:t> </w:t>
      </w:r>
      <w:r>
        <w:rPr>
          <w:b/>
          <w:sz w:val="22"/>
        </w:rPr>
        <w:t>de las Personas Servidoras Públicas. </w:t>
      </w:r>
      <w:r>
        <w:rPr>
          <w:sz w:val="22"/>
        </w:rPr>
        <w:t>Define los lineamientos generales que orientan la gestión</w:t>
      </w:r>
      <w:r>
        <w:rPr>
          <w:spacing w:val="-9"/>
          <w:sz w:val="22"/>
        </w:rPr>
        <w:t> </w:t>
      </w:r>
      <w:r>
        <w:rPr>
          <w:sz w:val="22"/>
        </w:rPr>
        <w:t>del</w:t>
      </w:r>
      <w:r>
        <w:rPr>
          <w:spacing w:val="-10"/>
          <w:sz w:val="22"/>
        </w:rPr>
        <w:t> </w:t>
      </w:r>
      <w:r>
        <w:rPr>
          <w:sz w:val="22"/>
        </w:rPr>
        <w:t>desempeño</w:t>
      </w:r>
      <w:r>
        <w:rPr>
          <w:spacing w:val="-9"/>
          <w:sz w:val="22"/>
        </w:rPr>
        <w:t> </w:t>
      </w:r>
      <w:r>
        <w:rPr>
          <w:sz w:val="22"/>
        </w:rPr>
        <w:t>de</w:t>
      </w:r>
      <w:r>
        <w:rPr>
          <w:spacing w:val="-8"/>
          <w:sz w:val="22"/>
        </w:rPr>
        <w:t> </w:t>
      </w:r>
      <w:r>
        <w:rPr>
          <w:sz w:val="22"/>
        </w:rPr>
        <w:t>las</w:t>
      </w:r>
      <w:r>
        <w:rPr>
          <w:spacing w:val="-8"/>
          <w:sz w:val="22"/>
        </w:rPr>
        <w:t> </w:t>
      </w:r>
      <w:r>
        <w:rPr>
          <w:sz w:val="22"/>
        </w:rPr>
        <w:t>personas</w:t>
      </w:r>
      <w:r>
        <w:rPr>
          <w:spacing w:val="-10"/>
          <w:sz w:val="22"/>
        </w:rPr>
        <w:t> </w:t>
      </w:r>
      <w:r>
        <w:rPr>
          <w:sz w:val="22"/>
        </w:rPr>
        <w:t>servidoras</w:t>
      </w:r>
      <w:r>
        <w:rPr>
          <w:spacing w:val="-8"/>
          <w:sz w:val="22"/>
        </w:rPr>
        <w:t> </w:t>
      </w:r>
      <w:r>
        <w:rPr>
          <w:sz w:val="22"/>
        </w:rPr>
        <w:t>públicas</w:t>
      </w:r>
      <w:r>
        <w:rPr>
          <w:spacing w:val="-8"/>
          <w:sz w:val="22"/>
        </w:rPr>
        <w:t> </w:t>
      </w:r>
      <w:r>
        <w:rPr>
          <w:sz w:val="22"/>
        </w:rPr>
        <w:t>para</w:t>
      </w:r>
      <w:r>
        <w:rPr>
          <w:spacing w:val="-10"/>
          <w:sz w:val="22"/>
        </w:rPr>
        <w:t> </w:t>
      </w:r>
      <w:r>
        <w:rPr>
          <w:sz w:val="22"/>
        </w:rPr>
        <w:t>promover</w:t>
      </w:r>
      <w:r>
        <w:rPr>
          <w:spacing w:val="-9"/>
          <w:sz w:val="22"/>
        </w:rPr>
        <w:t> </w:t>
      </w:r>
      <w:r>
        <w:rPr>
          <w:sz w:val="22"/>
        </w:rPr>
        <w:t>su</w:t>
      </w:r>
      <w:r>
        <w:rPr>
          <w:spacing w:val="-10"/>
          <w:sz w:val="22"/>
        </w:rPr>
        <w:t> </w:t>
      </w:r>
      <w:r>
        <w:rPr>
          <w:sz w:val="22"/>
        </w:rPr>
        <w:t>desarrollo, con el propósito de mejorar la gestión pública y aumentar la generación de valor público y sus reformas. Fecha de vigencia 10/12/2019.</w:t>
      </w:r>
    </w:p>
    <w:p>
      <w:pPr>
        <w:pStyle w:val="BodyText"/>
      </w:pPr>
    </w:p>
    <w:p>
      <w:pPr>
        <w:pStyle w:val="BodyText"/>
        <w:ind w:left="1625" w:right="1602"/>
        <w:jc w:val="both"/>
      </w:pPr>
      <w:r>
        <w:rPr>
          <w:b/>
        </w:rPr>
        <w:t>Decreto N° 42083-MP-MTSS-MIDEPLAN-MICITT Reglamento para Regular el teletrabajo. </w:t>
      </w:r>
      <w:r>
        <w:rPr/>
        <w:t>Establece</w:t>
      </w:r>
      <w:r>
        <w:rPr>
          <w:spacing w:val="-2"/>
        </w:rPr>
        <w:t> </w:t>
      </w:r>
      <w:r>
        <w:rPr/>
        <w:t>las</w:t>
      </w:r>
      <w:r>
        <w:rPr>
          <w:spacing w:val="-1"/>
        </w:rPr>
        <w:t> </w:t>
      </w:r>
      <w:r>
        <w:rPr/>
        <w:t>condiciones</w:t>
      </w:r>
      <w:r>
        <w:rPr>
          <w:spacing w:val="-4"/>
        </w:rPr>
        <w:t> </w:t>
      </w:r>
      <w:r>
        <w:rPr/>
        <w:t>mínimas</w:t>
      </w:r>
      <w:r>
        <w:rPr>
          <w:spacing w:val="-1"/>
        </w:rPr>
        <w:t> </w:t>
      </w:r>
      <w:r>
        <w:rPr/>
        <w:t>que</w:t>
      </w:r>
      <w:r>
        <w:rPr>
          <w:spacing w:val="-2"/>
        </w:rPr>
        <w:t> </w:t>
      </w:r>
      <w:r>
        <w:rPr/>
        <w:t>deben</w:t>
      </w:r>
      <w:r>
        <w:rPr>
          <w:spacing w:val="-1"/>
        </w:rPr>
        <w:t> </w:t>
      </w:r>
      <w:r>
        <w:rPr/>
        <w:t>regir las</w:t>
      </w:r>
      <w:r>
        <w:rPr>
          <w:spacing w:val="-4"/>
        </w:rPr>
        <w:t> </w:t>
      </w:r>
      <w:r>
        <w:rPr/>
        <w:t>relaciones</w:t>
      </w:r>
      <w:r>
        <w:rPr>
          <w:spacing w:val="-1"/>
        </w:rPr>
        <w:t> </w:t>
      </w:r>
      <w:r>
        <w:rPr/>
        <w:t>laborales que se desarrollen, mediante la modalidad de teletrabajo, así como los mecanismos de su promoción e</w:t>
      </w:r>
      <w:r>
        <w:rPr>
          <w:spacing w:val="-1"/>
        </w:rPr>
        <w:t> </w:t>
      </w:r>
      <w:r>
        <w:rPr/>
        <w:t>implementación, de</w:t>
      </w:r>
      <w:r>
        <w:rPr>
          <w:spacing w:val="-1"/>
        </w:rPr>
        <w:t> </w:t>
      </w:r>
      <w:r>
        <w:rPr/>
        <w:t>conformidad</w:t>
      </w:r>
      <w:r>
        <w:rPr>
          <w:spacing w:val="-3"/>
        </w:rPr>
        <w:t> </w:t>
      </w:r>
      <w:r>
        <w:rPr/>
        <w:t>con lo</w:t>
      </w:r>
      <w:r>
        <w:rPr>
          <w:spacing w:val="-1"/>
        </w:rPr>
        <w:t> </w:t>
      </w:r>
      <w:r>
        <w:rPr/>
        <w:t>establecido en</w:t>
      </w:r>
      <w:r>
        <w:rPr>
          <w:spacing w:val="-1"/>
        </w:rPr>
        <w:t> </w:t>
      </w:r>
      <w:r>
        <w:rPr/>
        <w:t>la</w:t>
      </w:r>
      <w:r>
        <w:rPr>
          <w:spacing w:val="-1"/>
        </w:rPr>
        <w:t> </w:t>
      </w:r>
      <w:r>
        <w:rPr/>
        <w:t>ley N°9738</w:t>
      </w:r>
      <w:r>
        <w:rPr>
          <w:spacing w:val="-1"/>
        </w:rPr>
        <w:t> </w:t>
      </w:r>
      <w:r>
        <w:rPr/>
        <w:t>del 18</w:t>
      </w:r>
      <w:r>
        <w:rPr>
          <w:spacing w:val="-7"/>
        </w:rPr>
        <w:t> </w:t>
      </w:r>
      <w:r>
        <w:rPr/>
        <w:t>de</w:t>
      </w:r>
      <w:r>
        <w:rPr>
          <w:spacing w:val="-7"/>
        </w:rPr>
        <w:t> </w:t>
      </w:r>
      <w:r>
        <w:rPr/>
        <w:t>setiembre</w:t>
      </w:r>
      <w:r>
        <w:rPr>
          <w:spacing w:val="-9"/>
        </w:rPr>
        <w:t> </w:t>
      </w:r>
      <w:r>
        <w:rPr/>
        <w:t>de</w:t>
      </w:r>
      <w:r>
        <w:rPr>
          <w:spacing w:val="-7"/>
        </w:rPr>
        <w:t> </w:t>
      </w:r>
      <w:r>
        <w:rPr/>
        <w:t>2019</w:t>
      </w:r>
      <w:r>
        <w:rPr>
          <w:spacing w:val="-9"/>
        </w:rPr>
        <w:t> </w:t>
      </w:r>
      <w:r>
        <w:rPr/>
        <w:t>"Ley</w:t>
      </w:r>
      <w:r>
        <w:rPr>
          <w:spacing w:val="-6"/>
        </w:rPr>
        <w:t> </w:t>
      </w:r>
      <w:r>
        <w:rPr/>
        <w:t>para</w:t>
      </w:r>
      <w:r>
        <w:rPr>
          <w:spacing w:val="-9"/>
        </w:rPr>
        <w:t> </w:t>
      </w:r>
      <w:r>
        <w:rPr/>
        <w:t>regular</w:t>
      </w:r>
      <w:r>
        <w:rPr>
          <w:spacing w:val="-6"/>
        </w:rPr>
        <w:t> </w:t>
      </w:r>
      <w:r>
        <w:rPr/>
        <w:t>el</w:t>
      </w:r>
      <w:r>
        <w:rPr>
          <w:spacing w:val="-10"/>
        </w:rPr>
        <w:t> </w:t>
      </w:r>
      <w:r>
        <w:rPr/>
        <w:t>teletrabajo."</w:t>
      </w:r>
      <w:r>
        <w:rPr>
          <w:spacing w:val="-8"/>
        </w:rPr>
        <w:t> </w:t>
      </w:r>
      <w:r>
        <w:rPr/>
        <w:t>Fecha</w:t>
      </w:r>
      <w:r>
        <w:rPr>
          <w:spacing w:val="-7"/>
        </w:rPr>
        <w:t> </w:t>
      </w:r>
      <w:r>
        <w:rPr/>
        <w:t>de</w:t>
      </w:r>
      <w:r>
        <w:rPr>
          <w:spacing w:val="-9"/>
        </w:rPr>
        <w:t> </w:t>
      </w:r>
      <w:r>
        <w:rPr/>
        <w:t>vigencia</w:t>
      </w:r>
      <w:r>
        <w:rPr>
          <w:spacing w:val="-6"/>
        </w:rPr>
        <w:t> </w:t>
      </w:r>
      <w:r>
        <w:rPr/>
        <w:t>20/12/2019.</w:t>
      </w:r>
    </w:p>
    <w:p>
      <w:pPr>
        <w:pStyle w:val="BodyText"/>
        <w:spacing w:before="1"/>
      </w:pPr>
    </w:p>
    <w:p>
      <w:pPr>
        <w:spacing w:before="0"/>
        <w:ind w:left="1625" w:right="1602" w:firstLine="0"/>
        <w:jc w:val="both"/>
        <w:rPr>
          <w:sz w:val="22"/>
        </w:rPr>
      </w:pPr>
      <w:r>
        <w:rPr>
          <w:b/>
          <w:sz w:val="22"/>
        </w:rPr>
        <w:t>Decreto N° 42127-PLAN-RE-MINAE-MDHIS</w:t>
      </w:r>
      <w:r>
        <w:rPr>
          <w:sz w:val="22"/>
        </w:rPr>
        <w:t>. </w:t>
      </w:r>
      <w:r>
        <w:rPr>
          <w:b/>
          <w:sz w:val="22"/>
        </w:rPr>
        <w:t>Gobernanza e Implementación de los Objetivos de Desarrollo Sostenible en Costa Rica </w:t>
      </w:r>
      <w:r>
        <w:rPr>
          <w:sz w:val="22"/>
        </w:rPr>
        <w:t>Reforma al Decreto N° 40203-PLAN-RE-MINAE Adiciona el inciso e) al artículo 4, Fecha de vigencia 21/01/2020.</w:t>
      </w:r>
    </w:p>
    <w:p>
      <w:pPr>
        <w:spacing w:before="252"/>
        <w:ind w:left="1625" w:right="1603" w:firstLine="0"/>
        <w:jc w:val="both"/>
        <w:rPr>
          <w:sz w:val="22"/>
        </w:rPr>
      </w:pPr>
      <w:r>
        <w:rPr>
          <w:b/>
          <w:sz w:val="22"/>
        </w:rPr>
        <w:t>Decreto N° 42265-H. Directrices Generales de Política Presupuestaria, Salarial, Empleo, Inversión y Endeudamiento para Entidades Públicas, Ministerios y Órganos Desconcentrados, según corresponda, Cubiertos por el Ámbito de la Autoridad Presupuestaria, para el año 2021. </w:t>
      </w:r>
      <w:r>
        <w:rPr>
          <w:sz w:val="22"/>
        </w:rPr>
        <w:t>Aplicables a las entidades públicas, ministerios y órganos desconcentrados, cubiertos por el ámbito de la AP. Fecha de vigencia 30/03/2020.</w:t>
      </w:r>
    </w:p>
    <w:p>
      <w:pPr>
        <w:pStyle w:val="BodyText"/>
      </w:pPr>
    </w:p>
    <w:p>
      <w:pPr>
        <w:pStyle w:val="BodyText"/>
        <w:spacing w:before="1"/>
        <w:ind w:left="1625" w:right="1605"/>
        <w:jc w:val="both"/>
      </w:pPr>
      <w:r>
        <w:rPr>
          <w:b/>
        </w:rPr>
        <w:t>Decreto</w:t>
      </w:r>
      <w:r>
        <w:rPr>
          <w:b/>
          <w:spacing w:val="-9"/>
        </w:rPr>
        <w:t> </w:t>
      </w:r>
      <w:r>
        <w:rPr>
          <w:b/>
        </w:rPr>
        <w:t>N°</w:t>
      </w:r>
      <w:r>
        <w:rPr>
          <w:b/>
          <w:spacing w:val="-9"/>
        </w:rPr>
        <w:t> </w:t>
      </w:r>
      <w:r>
        <w:rPr>
          <w:b/>
        </w:rPr>
        <w:t>41617-H</w:t>
      </w:r>
      <w:r>
        <w:rPr/>
        <w:t>.</w:t>
      </w:r>
      <w:r>
        <w:rPr>
          <w:spacing w:val="-8"/>
        </w:rPr>
        <w:t> </w:t>
      </w:r>
      <w:r>
        <w:rPr/>
        <w:t>Directrices</w:t>
      </w:r>
      <w:r>
        <w:rPr>
          <w:spacing w:val="-11"/>
        </w:rPr>
        <w:t> </w:t>
      </w:r>
      <w:r>
        <w:rPr/>
        <w:t>Generales</w:t>
      </w:r>
      <w:r>
        <w:rPr>
          <w:spacing w:val="-9"/>
        </w:rPr>
        <w:t> </w:t>
      </w:r>
      <w:r>
        <w:rPr/>
        <w:t>de</w:t>
      </w:r>
      <w:r>
        <w:rPr>
          <w:spacing w:val="-10"/>
        </w:rPr>
        <w:t> </w:t>
      </w:r>
      <w:r>
        <w:rPr/>
        <w:t>Política</w:t>
      </w:r>
      <w:r>
        <w:rPr>
          <w:spacing w:val="-9"/>
        </w:rPr>
        <w:t> </w:t>
      </w:r>
      <w:r>
        <w:rPr/>
        <w:t>Presupuestaria,</w:t>
      </w:r>
      <w:r>
        <w:rPr>
          <w:spacing w:val="-8"/>
        </w:rPr>
        <w:t> </w:t>
      </w:r>
      <w:r>
        <w:rPr/>
        <w:t>Salarial,</w:t>
      </w:r>
      <w:r>
        <w:rPr>
          <w:spacing w:val="-8"/>
        </w:rPr>
        <w:t> </w:t>
      </w:r>
      <w:r>
        <w:rPr/>
        <w:t>Empleo, Inversión y Endeudamiento para Entidades Públicas, Ministerios y Órganos Desconcentrados, según corresponda, Cubiertos por el ámbito de la Autoridad Presupuestaria, para el año 2020.</w:t>
      </w:r>
    </w:p>
    <w:p>
      <w:pPr>
        <w:pStyle w:val="BodyText"/>
      </w:pPr>
    </w:p>
    <w:p>
      <w:pPr>
        <w:pStyle w:val="BodyText"/>
        <w:ind w:left="1625" w:right="1601"/>
        <w:jc w:val="both"/>
      </w:pPr>
      <w:r>
        <w:rPr>
          <w:b/>
        </w:rPr>
        <w:t>Decreto</w:t>
      </w:r>
      <w:r>
        <w:rPr>
          <w:b/>
          <w:spacing w:val="-12"/>
        </w:rPr>
        <w:t> </w:t>
      </w:r>
      <w:r>
        <w:rPr>
          <w:b/>
        </w:rPr>
        <w:t>N°</w:t>
      </w:r>
      <w:r>
        <w:rPr>
          <w:b/>
          <w:spacing w:val="-13"/>
        </w:rPr>
        <w:t> </w:t>
      </w:r>
      <w:r>
        <w:rPr>
          <w:b/>
        </w:rPr>
        <w:t>42267-H.</w:t>
      </w:r>
      <w:r>
        <w:rPr>
          <w:b/>
          <w:spacing w:val="-12"/>
        </w:rPr>
        <w:t> </w:t>
      </w:r>
      <w:r>
        <w:rPr/>
        <w:t>Modifica</w:t>
      </w:r>
      <w:r>
        <w:rPr>
          <w:spacing w:val="-12"/>
        </w:rPr>
        <w:t> </w:t>
      </w:r>
      <w:r>
        <w:rPr/>
        <w:t>los</w:t>
      </w:r>
      <w:r>
        <w:rPr>
          <w:spacing w:val="-12"/>
        </w:rPr>
        <w:t> </w:t>
      </w:r>
      <w:r>
        <w:rPr/>
        <w:t>artículos</w:t>
      </w:r>
      <w:r>
        <w:rPr>
          <w:spacing w:val="-12"/>
        </w:rPr>
        <w:t> </w:t>
      </w:r>
      <w:r>
        <w:rPr/>
        <w:t>26,</w:t>
      </w:r>
      <w:r>
        <w:rPr>
          <w:spacing w:val="-11"/>
        </w:rPr>
        <w:t> </w:t>
      </w:r>
      <w:r>
        <w:rPr/>
        <w:t>27,</w:t>
      </w:r>
      <w:r>
        <w:rPr>
          <w:spacing w:val="-12"/>
        </w:rPr>
        <w:t> </w:t>
      </w:r>
      <w:r>
        <w:rPr/>
        <w:t>28,</w:t>
      </w:r>
      <w:r>
        <w:rPr>
          <w:spacing w:val="-12"/>
        </w:rPr>
        <w:t> </w:t>
      </w:r>
      <w:r>
        <w:rPr/>
        <w:t>29</w:t>
      </w:r>
      <w:r>
        <w:rPr>
          <w:spacing w:val="-14"/>
        </w:rPr>
        <w:t> </w:t>
      </w:r>
      <w:r>
        <w:rPr/>
        <w:t>y</w:t>
      </w:r>
      <w:r>
        <w:rPr>
          <w:spacing w:val="-12"/>
        </w:rPr>
        <w:t> </w:t>
      </w:r>
      <w:r>
        <w:rPr/>
        <w:t>30</w:t>
      </w:r>
      <w:r>
        <w:rPr>
          <w:spacing w:val="-14"/>
        </w:rPr>
        <w:t> </w:t>
      </w:r>
      <w:r>
        <w:rPr/>
        <w:t>del</w:t>
      </w:r>
      <w:r>
        <w:rPr>
          <w:spacing w:val="-12"/>
        </w:rPr>
        <w:t> </w:t>
      </w:r>
      <w:r>
        <w:rPr/>
        <w:t>Capítulo</w:t>
      </w:r>
      <w:r>
        <w:rPr>
          <w:spacing w:val="-14"/>
        </w:rPr>
        <w:t> </w:t>
      </w:r>
      <w:r>
        <w:rPr/>
        <w:t>Tercero</w:t>
      </w:r>
      <w:r>
        <w:rPr>
          <w:spacing w:val="-13"/>
        </w:rPr>
        <w:t> </w:t>
      </w:r>
      <w:r>
        <w:rPr/>
        <w:t>Sobre Inversiones Financieras del Decreto N° 41617-H. Cambia las reglas sobre inversiones financieras de ministerios, entidades públicas y órganos desconcentrados. Fecha de vigencia 31/03/2020.</w:t>
      </w:r>
    </w:p>
    <w:p>
      <w:pPr>
        <w:pStyle w:val="BodyText"/>
      </w:pPr>
    </w:p>
    <w:p>
      <w:pPr>
        <w:spacing w:before="0"/>
        <w:ind w:left="1625" w:right="1603" w:firstLine="0"/>
        <w:jc w:val="both"/>
        <w:rPr>
          <w:sz w:val="22"/>
        </w:rPr>
      </w:pPr>
      <w:r>
        <w:rPr>
          <w:b/>
          <w:sz w:val="22"/>
        </w:rPr>
        <w:t>Decreto</w:t>
      </w:r>
      <w:r>
        <w:rPr>
          <w:b/>
          <w:spacing w:val="-16"/>
          <w:sz w:val="22"/>
        </w:rPr>
        <w:t> </w:t>
      </w:r>
      <w:r>
        <w:rPr>
          <w:b/>
          <w:sz w:val="22"/>
        </w:rPr>
        <w:t>N°</w:t>
      </w:r>
      <w:r>
        <w:rPr>
          <w:b/>
          <w:spacing w:val="-15"/>
          <w:sz w:val="22"/>
        </w:rPr>
        <w:t> </w:t>
      </w:r>
      <w:r>
        <w:rPr>
          <w:b/>
          <w:sz w:val="22"/>
        </w:rPr>
        <w:t>42259-H.</w:t>
      </w:r>
      <w:r>
        <w:rPr>
          <w:b/>
          <w:spacing w:val="-15"/>
          <w:sz w:val="22"/>
        </w:rPr>
        <w:t> </w:t>
      </w:r>
      <w:r>
        <w:rPr>
          <w:b/>
          <w:sz w:val="22"/>
        </w:rPr>
        <w:t>Reforma</w:t>
      </w:r>
      <w:r>
        <w:rPr>
          <w:b/>
          <w:spacing w:val="-16"/>
          <w:sz w:val="22"/>
        </w:rPr>
        <w:t> </w:t>
      </w:r>
      <w:r>
        <w:rPr>
          <w:b/>
          <w:sz w:val="22"/>
        </w:rPr>
        <w:t>de</w:t>
      </w:r>
      <w:r>
        <w:rPr>
          <w:b/>
          <w:spacing w:val="-15"/>
          <w:sz w:val="22"/>
        </w:rPr>
        <w:t> </w:t>
      </w:r>
      <w:r>
        <w:rPr>
          <w:b/>
          <w:sz w:val="22"/>
        </w:rPr>
        <w:t>los</w:t>
      </w:r>
      <w:r>
        <w:rPr>
          <w:b/>
          <w:spacing w:val="-15"/>
          <w:sz w:val="22"/>
        </w:rPr>
        <w:t> </w:t>
      </w:r>
      <w:r>
        <w:rPr>
          <w:b/>
          <w:sz w:val="22"/>
        </w:rPr>
        <w:t>artículos</w:t>
      </w:r>
      <w:r>
        <w:rPr>
          <w:b/>
          <w:spacing w:val="-15"/>
          <w:sz w:val="22"/>
        </w:rPr>
        <w:t> </w:t>
      </w:r>
      <w:r>
        <w:rPr>
          <w:b/>
          <w:sz w:val="22"/>
        </w:rPr>
        <w:t>1°,</w:t>
      </w:r>
      <w:r>
        <w:rPr>
          <w:b/>
          <w:spacing w:val="-16"/>
          <w:sz w:val="22"/>
        </w:rPr>
        <w:t> </w:t>
      </w:r>
      <w:r>
        <w:rPr>
          <w:b/>
          <w:sz w:val="22"/>
        </w:rPr>
        <w:t>2°,</w:t>
      </w:r>
      <w:r>
        <w:rPr>
          <w:b/>
          <w:spacing w:val="-15"/>
          <w:sz w:val="22"/>
        </w:rPr>
        <w:t> </w:t>
      </w:r>
      <w:r>
        <w:rPr>
          <w:b/>
          <w:sz w:val="22"/>
        </w:rPr>
        <w:t>4°,</w:t>
      </w:r>
      <w:r>
        <w:rPr>
          <w:b/>
          <w:spacing w:val="-15"/>
          <w:sz w:val="22"/>
        </w:rPr>
        <w:t> </w:t>
      </w:r>
      <w:r>
        <w:rPr>
          <w:b/>
          <w:sz w:val="22"/>
        </w:rPr>
        <w:t>5°</w:t>
      </w:r>
      <w:r>
        <w:rPr>
          <w:b/>
          <w:spacing w:val="-16"/>
          <w:sz w:val="22"/>
        </w:rPr>
        <w:t> </w:t>
      </w:r>
      <w:r>
        <w:rPr>
          <w:b/>
          <w:sz w:val="22"/>
        </w:rPr>
        <w:t>y</w:t>
      </w:r>
      <w:r>
        <w:rPr>
          <w:b/>
          <w:spacing w:val="-15"/>
          <w:sz w:val="22"/>
        </w:rPr>
        <w:t> </w:t>
      </w:r>
      <w:r>
        <w:rPr>
          <w:b/>
          <w:sz w:val="22"/>
        </w:rPr>
        <w:t>9°</w:t>
      </w:r>
      <w:r>
        <w:rPr>
          <w:b/>
          <w:spacing w:val="-15"/>
          <w:sz w:val="22"/>
        </w:rPr>
        <w:t> </w:t>
      </w:r>
      <w:r>
        <w:rPr>
          <w:b/>
          <w:sz w:val="22"/>
        </w:rPr>
        <w:t>de</w:t>
      </w:r>
      <w:r>
        <w:rPr>
          <w:b/>
          <w:spacing w:val="-15"/>
          <w:sz w:val="22"/>
        </w:rPr>
        <w:t> </w:t>
      </w:r>
      <w:r>
        <w:rPr>
          <w:b/>
          <w:sz w:val="22"/>
        </w:rPr>
        <w:t>los</w:t>
      </w:r>
      <w:r>
        <w:rPr>
          <w:b/>
          <w:spacing w:val="-16"/>
          <w:sz w:val="22"/>
        </w:rPr>
        <w:t> </w:t>
      </w:r>
      <w:r>
        <w:rPr>
          <w:b/>
          <w:sz w:val="22"/>
        </w:rPr>
        <w:t>Procedimientos de las Directrices</w:t>
      </w:r>
      <w:r>
        <w:rPr>
          <w:b/>
          <w:spacing w:val="-3"/>
          <w:sz w:val="22"/>
        </w:rPr>
        <w:t> </w:t>
      </w:r>
      <w:r>
        <w:rPr>
          <w:b/>
          <w:sz w:val="22"/>
        </w:rPr>
        <w:t>Generales de</w:t>
      </w:r>
      <w:r>
        <w:rPr>
          <w:b/>
          <w:spacing w:val="-1"/>
          <w:sz w:val="22"/>
        </w:rPr>
        <w:t> </w:t>
      </w:r>
      <w:r>
        <w:rPr>
          <w:b/>
          <w:sz w:val="22"/>
        </w:rPr>
        <w:t>Política Presupuestaria</w:t>
      </w:r>
      <w:r>
        <w:rPr>
          <w:sz w:val="22"/>
        </w:rPr>
        <w:t>, salarial, empleo, inversión</w:t>
      </w:r>
      <w:r>
        <w:rPr>
          <w:spacing w:val="-1"/>
          <w:sz w:val="22"/>
        </w:rPr>
        <w:t> </w:t>
      </w:r>
      <w:r>
        <w:rPr>
          <w:sz w:val="22"/>
        </w:rPr>
        <w:t>y endeudamiento para entidades públicas, ministerios y órganos desconcentrados, según</w:t>
      </w:r>
    </w:p>
    <w:p>
      <w:pPr>
        <w:spacing w:after="0"/>
        <w:jc w:val="both"/>
        <w:rPr>
          <w:sz w:val="22"/>
        </w:rPr>
        <w:sectPr>
          <w:pgSz w:w="12240" w:h="15840"/>
          <w:pgMar w:header="0" w:footer="1576" w:top="1000" w:bottom="1760" w:left="360" w:right="0"/>
        </w:sectPr>
      </w:pPr>
    </w:p>
    <w:p>
      <w:pPr>
        <w:pStyle w:val="BodyText"/>
        <w:spacing w:before="77"/>
        <w:ind w:left="1625" w:right="1601"/>
        <w:jc w:val="both"/>
      </w:pPr>
      <w:r>
        <w:rPr/>
        <w:t>corresponda, cubiertos por el ámbito de la Autoridad Presupuestaria, Fecha de vigencia </w:t>
      </w:r>
      <w:r>
        <w:rPr>
          <w:spacing w:val="-2"/>
        </w:rPr>
        <w:t>31/03/2020.</w:t>
      </w:r>
    </w:p>
    <w:p>
      <w:pPr>
        <w:pStyle w:val="BodyText"/>
      </w:pPr>
    </w:p>
    <w:p>
      <w:pPr>
        <w:spacing w:before="0"/>
        <w:ind w:left="1625" w:right="1602" w:firstLine="0"/>
        <w:jc w:val="both"/>
        <w:rPr>
          <w:sz w:val="22"/>
        </w:rPr>
      </w:pPr>
      <w:r>
        <w:rPr>
          <w:b/>
          <w:sz w:val="22"/>
        </w:rPr>
        <w:t>Decreto</w:t>
      </w:r>
      <w:r>
        <w:rPr>
          <w:b/>
          <w:spacing w:val="-9"/>
          <w:sz w:val="22"/>
        </w:rPr>
        <w:t> </w:t>
      </w:r>
      <w:r>
        <w:rPr>
          <w:b/>
          <w:sz w:val="22"/>
        </w:rPr>
        <w:t>N°</w:t>
      </w:r>
      <w:r>
        <w:rPr>
          <w:b/>
          <w:spacing w:val="-10"/>
          <w:sz w:val="22"/>
        </w:rPr>
        <w:t> </w:t>
      </w:r>
      <w:r>
        <w:rPr>
          <w:b/>
          <w:sz w:val="22"/>
        </w:rPr>
        <w:t>42329-MTSS-MDHIS.</w:t>
      </w:r>
      <w:r>
        <w:rPr>
          <w:b/>
          <w:spacing w:val="-10"/>
          <w:sz w:val="22"/>
        </w:rPr>
        <w:t> </w:t>
      </w:r>
      <w:r>
        <w:rPr>
          <w:b/>
          <w:sz w:val="22"/>
        </w:rPr>
        <w:t>Reforma</w:t>
      </w:r>
      <w:r>
        <w:rPr>
          <w:b/>
          <w:spacing w:val="-14"/>
          <w:sz w:val="22"/>
        </w:rPr>
        <w:t> </w:t>
      </w:r>
      <w:r>
        <w:rPr>
          <w:b/>
          <w:sz w:val="22"/>
        </w:rPr>
        <w:t>los</w:t>
      </w:r>
      <w:r>
        <w:rPr>
          <w:b/>
          <w:spacing w:val="-12"/>
          <w:sz w:val="22"/>
        </w:rPr>
        <w:t> </w:t>
      </w:r>
      <w:r>
        <w:rPr>
          <w:b/>
          <w:sz w:val="22"/>
        </w:rPr>
        <w:t>artículos</w:t>
      </w:r>
      <w:r>
        <w:rPr>
          <w:b/>
          <w:spacing w:val="-12"/>
          <w:sz w:val="22"/>
        </w:rPr>
        <w:t> </w:t>
      </w:r>
      <w:r>
        <w:rPr>
          <w:b/>
          <w:sz w:val="22"/>
        </w:rPr>
        <w:t>1,</w:t>
      </w:r>
      <w:r>
        <w:rPr>
          <w:b/>
          <w:spacing w:val="-10"/>
          <w:sz w:val="22"/>
        </w:rPr>
        <w:t> </w:t>
      </w:r>
      <w:r>
        <w:rPr>
          <w:b/>
          <w:sz w:val="22"/>
        </w:rPr>
        <w:t>4,</w:t>
      </w:r>
      <w:r>
        <w:rPr>
          <w:b/>
          <w:spacing w:val="-10"/>
          <w:sz w:val="22"/>
        </w:rPr>
        <w:t> </w:t>
      </w:r>
      <w:r>
        <w:rPr>
          <w:b/>
          <w:sz w:val="22"/>
        </w:rPr>
        <w:t>5,</w:t>
      </w:r>
      <w:r>
        <w:rPr>
          <w:b/>
          <w:spacing w:val="-7"/>
          <w:sz w:val="22"/>
        </w:rPr>
        <w:t> </w:t>
      </w:r>
      <w:r>
        <w:rPr>
          <w:b/>
          <w:sz w:val="22"/>
        </w:rPr>
        <w:t>6,</w:t>
      </w:r>
      <w:r>
        <w:rPr>
          <w:b/>
          <w:spacing w:val="-10"/>
          <w:sz w:val="22"/>
        </w:rPr>
        <w:t> </w:t>
      </w:r>
      <w:r>
        <w:rPr>
          <w:b/>
          <w:sz w:val="22"/>
        </w:rPr>
        <w:t>7,</w:t>
      </w:r>
      <w:r>
        <w:rPr>
          <w:b/>
          <w:spacing w:val="-10"/>
          <w:sz w:val="22"/>
        </w:rPr>
        <w:t> </w:t>
      </w:r>
      <w:r>
        <w:rPr>
          <w:b/>
          <w:sz w:val="22"/>
        </w:rPr>
        <w:t>10,</w:t>
      </w:r>
      <w:r>
        <w:rPr>
          <w:b/>
          <w:spacing w:val="-7"/>
          <w:sz w:val="22"/>
        </w:rPr>
        <w:t> </w:t>
      </w:r>
      <w:r>
        <w:rPr>
          <w:b/>
          <w:sz w:val="22"/>
        </w:rPr>
        <w:t>11,</w:t>
      </w:r>
      <w:r>
        <w:rPr>
          <w:b/>
          <w:spacing w:val="-10"/>
          <w:sz w:val="22"/>
        </w:rPr>
        <w:t> </w:t>
      </w:r>
      <w:r>
        <w:rPr>
          <w:b/>
          <w:sz w:val="22"/>
        </w:rPr>
        <w:t>22</w:t>
      </w:r>
      <w:r>
        <w:rPr>
          <w:b/>
          <w:spacing w:val="-9"/>
          <w:sz w:val="22"/>
        </w:rPr>
        <w:t> </w:t>
      </w:r>
      <w:r>
        <w:rPr>
          <w:b/>
          <w:sz w:val="22"/>
        </w:rPr>
        <w:t>y</w:t>
      </w:r>
      <w:r>
        <w:rPr>
          <w:b/>
          <w:spacing w:val="-11"/>
          <w:sz w:val="22"/>
        </w:rPr>
        <w:t> </w:t>
      </w:r>
      <w:r>
        <w:rPr>
          <w:b/>
          <w:sz w:val="22"/>
        </w:rPr>
        <w:t>36</w:t>
      </w:r>
      <w:r>
        <w:rPr>
          <w:b/>
          <w:spacing w:val="-12"/>
          <w:sz w:val="22"/>
        </w:rPr>
        <w:t> </w:t>
      </w:r>
      <w:r>
        <w:rPr>
          <w:b/>
          <w:sz w:val="22"/>
        </w:rPr>
        <w:t>del Decreto N° 42305-MTSS-MDHIS</w:t>
      </w:r>
      <w:r>
        <w:rPr>
          <w:sz w:val="22"/>
        </w:rPr>
        <w:t>: Creación del Bono Proteger. Aclara los requisitos sobre</w:t>
      </w:r>
      <w:r>
        <w:rPr>
          <w:spacing w:val="-16"/>
          <w:sz w:val="22"/>
        </w:rPr>
        <w:t> </w:t>
      </w:r>
      <w:r>
        <w:rPr>
          <w:sz w:val="22"/>
        </w:rPr>
        <w:t>quiénes</w:t>
      </w:r>
      <w:r>
        <w:rPr>
          <w:spacing w:val="-15"/>
          <w:sz w:val="22"/>
        </w:rPr>
        <w:t> </w:t>
      </w:r>
      <w:r>
        <w:rPr>
          <w:sz w:val="22"/>
        </w:rPr>
        <w:t>perdieron</w:t>
      </w:r>
      <w:r>
        <w:rPr>
          <w:spacing w:val="-15"/>
          <w:sz w:val="22"/>
        </w:rPr>
        <w:t> </w:t>
      </w:r>
      <w:r>
        <w:rPr>
          <w:sz w:val="22"/>
        </w:rPr>
        <w:t>el</w:t>
      </w:r>
      <w:r>
        <w:rPr>
          <w:spacing w:val="-16"/>
          <w:sz w:val="22"/>
        </w:rPr>
        <w:t> </w:t>
      </w:r>
      <w:r>
        <w:rPr>
          <w:sz w:val="22"/>
        </w:rPr>
        <w:t>trabajo</w:t>
      </w:r>
      <w:r>
        <w:rPr>
          <w:spacing w:val="-15"/>
          <w:sz w:val="22"/>
        </w:rPr>
        <w:t> </w:t>
      </w:r>
      <w:r>
        <w:rPr>
          <w:sz w:val="22"/>
        </w:rPr>
        <w:t>o</w:t>
      </w:r>
      <w:r>
        <w:rPr>
          <w:spacing w:val="-15"/>
          <w:sz w:val="22"/>
        </w:rPr>
        <w:t> </w:t>
      </w:r>
      <w:r>
        <w:rPr>
          <w:sz w:val="22"/>
        </w:rPr>
        <w:t>vieron</w:t>
      </w:r>
      <w:r>
        <w:rPr>
          <w:spacing w:val="-15"/>
          <w:sz w:val="22"/>
        </w:rPr>
        <w:t> </w:t>
      </w:r>
      <w:r>
        <w:rPr>
          <w:sz w:val="22"/>
        </w:rPr>
        <w:t>reducida</w:t>
      </w:r>
      <w:r>
        <w:rPr>
          <w:spacing w:val="-16"/>
          <w:sz w:val="22"/>
        </w:rPr>
        <w:t> </w:t>
      </w:r>
      <w:r>
        <w:rPr>
          <w:sz w:val="22"/>
        </w:rPr>
        <w:t>su</w:t>
      </w:r>
      <w:r>
        <w:rPr>
          <w:spacing w:val="-15"/>
          <w:sz w:val="22"/>
        </w:rPr>
        <w:t> </w:t>
      </w:r>
      <w:r>
        <w:rPr>
          <w:sz w:val="22"/>
        </w:rPr>
        <w:t>jornada</w:t>
      </w:r>
      <w:r>
        <w:rPr>
          <w:spacing w:val="-14"/>
          <w:sz w:val="22"/>
        </w:rPr>
        <w:t> </w:t>
      </w:r>
      <w:r>
        <w:rPr>
          <w:sz w:val="22"/>
        </w:rPr>
        <w:t>laboral.</w:t>
      </w:r>
      <w:r>
        <w:rPr>
          <w:spacing w:val="-12"/>
          <w:sz w:val="22"/>
        </w:rPr>
        <w:t> </w:t>
      </w:r>
      <w:r>
        <w:rPr>
          <w:sz w:val="22"/>
        </w:rPr>
        <w:t>Fecha</w:t>
      </w:r>
      <w:r>
        <w:rPr>
          <w:spacing w:val="-14"/>
          <w:sz w:val="22"/>
        </w:rPr>
        <w:t> </w:t>
      </w:r>
      <w:r>
        <w:rPr>
          <w:sz w:val="22"/>
        </w:rPr>
        <w:t>de</w:t>
      </w:r>
      <w:r>
        <w:rPr>
          <w:spacing w:val="-16"/>
          <w:sz w:val="22"/>
        </w:rPr>
        <w:t> </w:t>
      </w:r>
      <w:r>
        <w:rPr>
          <w:sz w:val="22"/>
        </w:rPr>
        <w:t>vigencia </w:t>
      </w:r>
      <w:r>
        <w:rPr>
          <w:spacing w:val="-2"/>
          <w:sz w:val="22"/>
        </w:rPr>
        <w:t>24/04/2020.</w:t>
      </w:r>
    </w:p>
    <w:p>
      <w:pPr>
        <w:pStyle w:val="BodyText"/>
      </w:pPr>
    </w:p>
    <w:p>
      <w:pPr>
        <w:spacing w:before="0"/>
        <w:ind w:left="1625" w:right="1604" w:firstLine="0"/>
        <w:jc w:val="both"/>
        <w:rPr>
          <w:sz w:val="22"/>
        </w:rPr>
      </w:pPr>
      <w:r>
        <w:rPr>
          <w:b/>
          <w:sz w:val="22"/>
        </w:rPr>
        <w:t>Decreto</w:t>
      </w:r>
      <w:r>
        <w:rPr>
          <w:b/>
          <w:spacing w:val="-15"/>
          <w:sz w:val="22"/>
        </w:rPr>
        <w:t> </w:t>
      </w:r>
      <w:r>
        <w:rPr>
          <w:b/>
          <w:sz w:val="22"/>
        </w:rPr>
        <w:t>N.º</w:t>
      </w:r>
      <w:r>
        <w:rPr>
          <w:b/>
          <w:spacing w:val="-2"/>
          <w:sz w:val="22"/>
        </w:rPr>
        <w:t> </w:t>
      </w:r>
      <w:r>
        <w:rPr>
          <w:b/>
          <w:sz w:val="22"/>
        </w:rPr>
        <w:t>42266-H</w:t>
      </w:r>
      <w:r>
        <w:rPr>
          <w:b/>
          <w:spacing w:val="-16"/>
          <w:sz w:val="22"/>
        </w:rPr>
        <w:t> </w:t>
      </w:r>
      <w:r>
        <w:rPr>
          <w:b/>
          <w:sz w:val="22"/>
        </w:rPr>
        <w:t>Normas</w:t>
      </w:r>
      <w:r>
        <w:rPr>
          <w:b/>
          <w:spacing w:val="-1"/>
          <w:sz w:val="22"/>
        </w:rPr>
        <w:t> </w:t>
      </w:r>
      <w:r>
        <w:rPr>
          <w:b/>
          <w:sz w:val="22"/>
        </w:rPr>
        <w:t>para</w:t>
      </w:r>
      <w:r>
        <w:rPr>
          <w:b/>
          <w:spacing w:val="-4"/>
          <w:sz w:val="22"/>
        </w:rPr>
        <w:t> </w:t>
      </w:r>
      <w:r>
        <w:rPr>
          <w:b/>
          <w:sz w:val="22"/>
        </w:rPr>
        <w:t>la</w:t>
      </w:r>
      <w:r>
        <w:rPr>
          <w:b/>
          <w:spacing w:val="-6"/>
          <w:sz w:val="22"/>
        </w:rPr>
        <w:t> </w:t>
      </w:r>
      <w:r>
        <w:rPr>
          <w:b/>
          <w:sz w:val="22"/>
        </w:rPr>
        <w:t>Aplicación</w:t>
      </w:r>
      <w:r>
        <w:rPr>
          <w:b/>
          <w:spacing w:val="-2"/>
          <w:sz w:val="22"/>
        </w:rPr>
        <w:t> </w:t>
      </w:r>
      <w:r>
        <w:rPr>
          <w:b/>
          <w:sz w:val="22"/>
        </w:rPr>
        <w:t>de</w:t>
      </w:r>
      <w:r>
        <w:rPr>
          <w:b/>
          <w:spacing w:val="-7"/>
          <w:sz w:val="22"/>
        </w:rPr>
        <w:t> </w:t>
      </w:r>
      <w:r>
        <w:rPr>
          <w:b/>
          <w:sz w:val="22"/>
        </w:rPr>
        <w:t>la</w:t>
      </w:r>
      <w:r>
        <w:rPr>
          <w:b/>
          <w:spacing w:val="-4"/>
          <w:sz w:val="22"/>
        </w:rPr>
        <w:t> </w:t>
      </w:r>
      <w:r>
        <w:rPr>
          <w:b/>
          <w:sz w:val="22"/>
        </w:rPr>
        <w:t>Dedicación</w:t>
      </w:r>
      <w:r>
        <w:rPr>
          <w:b/>
          <w:spacing w:val="-2"/>
          <w:sz w:val="22"/>
        </w:rPr>
        <w:t> </w:t>
      </w:r>
      <w:r>
        <w:rPr>
          <w:b/>
          <w:sz w:val="22"/>
        </w:rPr>
        <w:t>Exclusiva</w:t>
      </w:r>
      <w:r>
        <w:rPr>
          <w:b/>
          <w:spacing w:val="-4"/>
          <w:sz w:val="22"/>
        </w:rPr>
        <w:t> </w:t>
      </w:r>
      <w:r>
        <w:rPr>
          <w:b/>
          <w:sz w:val="22"/>
        </w:rPr>
        <w:t>para</w:t>
      </w:r>
      <w:r>
        <w:rPr>
          <w:b/>
          <w:spacing w:val="-6"/>
          <w:sz w:val="22"/>
        </w:rPr>
        <w:t> </w:t>
      </w:r>
      <w:r>
        <w:rPr>
          <w:b/>
          <w:sz w:val="22"/>
        </w:rPr>
        <w:t>las Instituciones y Empresas Públicas Cubiertas por el Ámbito de la Autoridad Presupuestaria</w:t>
      </w:r>
      <w:r>
        <w:rPr>
          <w:sz w:val="22"/>
        </w:rPr>
        <w:t>. Regula la aplicación de la dedicación exclusiva en el sector público. Fecha de vigencia 30/09/2020.</w:t>
      </w:r>
    </w:p>
    <w:p>
      <w:pPr>
        <w:pStyle w:val="BodyText"/>
      </w:pPr>
    </w:p>
    <w:p>
      <w:pPr>
        <w:spacing w:before="0"/>
        <w:ind w:left="1625" w:right="1602" w:firstLine="0"/>
        <w:jc w:val="both"/>
        <w:rPr>
          <w:sz w:val="22"/>
        </w:rPr>
      </w:pPr>
      <w:r>
        <w:rPr>
          <w:b/>
          <w:sz w:val="22"/>
        </w:rPr>
        <w:t>Decreto N° 42791-S-MDHIS-MCM-MNA</w:t>
      </w:r>
      <w:r>
        <w:rPr>
          <w:sz w:val="22"/>
        </w:rPr>
        <w:t>, </w:t>
      </w:r>
      <w:r>
        <w:rPr>
          <w:b/>
          <w:sz w:val="22"/>
        </w:rPr>
        <w:t>Creación de la Modalidad de Atención Integral e Interinstitucional de Hogares en Situación de Pobreza Extrema con Mujeres en Estado de gestación o lactancia, denominada NIDO</w:t>
      </w:r>
      <w:r>
        <w:rPr>
          <w:sz w:val="22"/>
        </w:rPr>
        <w:t>. Tiene por objeto articular programas, servicios y proyectos que permitan la atención integral interinstitucional</w:t>
      </w:r>
      <w:r>
        <w:rPr>
          <w:spacing w:val="-1"/>
          <w:sz w:val="22"/>
        </w:rPr>
        <w:t> </w:t>
      </w:r>
      <w:r>
        <w:rPr>
          <w:sz w:val="22"/>
        </w:rPr>
        <w:t>de</w:t>
      </w:r>
      <w:r>
        <w:rPr>
          <w:spacing w:val="-2"/>
          <w:sz w:val="22"/>
        </w:rPr>
        <w:t> </w:t>
      </w:r>
      <w:r>
        <w:rPr>
          <w:sz w:val="22"/>
        </w:rPr>
        <w:t>los hogares en</w:t>
      </w:r>
      <w:r>
        <w:rPr>
          <w:spacing w:val="-2"/>
          <w:sz w:val="22"/>
        </w:rPr>
        <w:t> </w:t>
      </w:r>
      <w:r>
        <w:rPr>
          <w:sz w:val="22"/>
        </w:rPr>
        <w:t>situación</w:t>
      </w:r>
      <w:r>
        <w:rPr>
          <w:spacing w:val="-1"/>
          <w:sz w:val="22"/>
        </w:rPr>
        <w:t> </w:t>
      </w:r>
      <w:r>
        <w:rPr>
          <w:sz w:val="22"/>
        </w:rPr>
        <w:t>de</w:t>
      </w:r>
      <w:r>
        <w:rPr>
          <w:spacing w:val="-2"/>
          <w:sz w:val="22"/>
        </w:rPr>
        <w:t> </w:t>
      </w:r>
      <w:r>
        <w:rPr>
          <w:sz w:val="22"/>
        </w:rPr>
        <w:t>pobreza</w:t>
      </w:r>
      <w:r>
        <w:rPr>
          <w:spacing w:val="-1"/>
          <w:sz w:val="22"/>
        </w:rPr>
        <w:t> </w:t>
      </w:r>
      <w:r>
        <w:rPr>
          <w:sz w:val="22"/>
        </w:rPr>
        <w:t>extrema</w:t>
      </w:r>
      <w:r>
        <w:rPr>
          <w:spacing w:val="-1"/>
          <w:sz w:val="22"/>
        </w:rPr>
        <w:t> </w:t>
      </w:r>
      <w:r>
        <w:rPr>
          <w:sz w:val="22"/>
        </w:rPr>
        <w:t>con</w:t>
      </w:r>
      <w:r>
        <w:rPr>
          <w:spacing w:val="-2"/>
          <w:sz w:val="22"/>
        </w:rPr>
        <w:t> </w:t>
      </w:r>
      <w:r>
        <w:rPr>
          <w:sz w:val="22"/>
        </w:rPr>
        <w:t>mujeres en</w:t>
      </w:r>
      <w:r>
        <w:rPr>
          <w:spacing w:val="-2"/>
          <w:sz w:val="22"/>
        </w:rPr>
        <w:t> </w:t>
      </w:r>
      <w:r>
        <w:rPr>
          <w:sz w:val="22"/>
        </w:rPr>
        <w:t>estado de gestación o lactancia, durante 36 meses. Fecha de vigencia 27/01/2021.</w:t>
      </w:r>
    </w:p>
    <w:p>
      <w:pPr>
        <w:pStyle w:val="BodyText"/>
        <w:spacing w:before="1"/>
      </w:pPr>
    </w:p>
    <w:p>
      <w:pPr>
        <w:spacing w:before="0"/>
        <w:ind w:left="1625" w:right="1600" w:firstLine="0"/>
        <w:jc w:val="both"/>
        <w:rPr>
          <w:sz w:val="22"/>
        </w:rPr>
      </w:pPr>
      <w:r>
        <w:rPr>
          <w:b/>
          <w:sz w:val="22"/>
        </w:rPr>
        <w:t>Decreto N°43407-MP-MIDEPLAN-MIVAH-MEP-MTSS-MDHIS Derogatoria de decretos vinculados al Programa Avancemos</w:t>
      </w:r>
      <w:r>
        <w:rPr>
          <w:sz w:val="22"/>
        </w:rPr>
        <w:t>. Deroga decretos N° 33154-MP-MIDEPLAN-MEPMTSS-</w:t>
      </w:r>
      <w:r>
        <w:rPr>
          <w:spacing w:val="-16"/>
          <w:sz w:val="22"/>
        </w:rPr>
        <w:t> </w:t>
      </w:r>
      <w:r>
        <w:rPr>
          <w:sz w:val="22"/>
        </w:rPr>
        <w:t>MIVAH,</w:t>
      </w:r>
      <w:r>
        <w:rPr>
          <w:spacing w:val="-15"/>
          <w:sz w:val="22"/>
        </w:rPr>
        <w:t> </w:t>
      </w:r>
      <w:r>
        <w:rPr>
          <w:sz w:val="22"/>
        </w:rPr>
        <w:t>N°</w:t>
      </w:r>
      <w:r>
        <w:rPr>
          <w:spacing w:val="-15"/>
          <w:sz w:val="22"/>
        </w:rPr>
        <w:t> </w:t>
      </w:r>
      <w:r>
        <w:rPr>
          <w:sz w:val="22"/>
        </w:rPr>
        <w:t>33677-MP-MEP-MIVAH,</w:t>
      </w:r>
      <w:r>
        <w:rPr>
          <w:spacing w:val="-16"/>
          <w:sz w:val="22"/>
        </w:rPr>
        <w:t> </w:t>
      </w:r>
      <w:r>
        <w:rPr>
          <w:sz w:val="22"/>
        </w:rPr>
        <w:t>N°</w:t>
      </w:r>
      <w:r>
        <w:rPr>
          <w:spacing w:val="-15"/>
          <w:sz w:val="22"/>
        </w:rPr>
        <w:t> </w:t>
      </w:r>
      <w:r>
        <w:rPr>
          <w:sz w:val="22"/>
        </w:rPr>
        <w:t>34210-MP-MEP-MIVAH, N°</w:t>
      </w:r>
      <w:r>
        <w:rPr>
          <w:spacing w:val="-17"/>
          <w:sz w:val="22"/>
        </w:rPr>
        <w:t> </w:t>
      </w:r>
      <w:r>
        <w:rPr>
          <w:sz w:val="22"/>
        </w:rPr>
        <w:t>34786-MP-S-MEP,</w:t>
      </w:r>
      <w:r>
        <w:rPr>
          <w:spacing w:val="-13"/>
          <w:sz w:val="22"/>
        </w:rPr>
        <w:t> </w:t>
      </w:r>
      <w:r>
        <w:rPr>
          <w:sz w:val="22"/>
        </w:rPr>
        <w:t>N°</w:t>
      </w:r>
      <w:r>
        <w:rPr>
          <w:spacing w:val="-15"/>
          <w:sz w:val="22"/>
        </w:rPr>
        <w:t> </w:t>
      </w:r>
      <w:r>
        <w:rPr>
          <w:sz w:val="22"/>
        </w:rPr>
        <w:t>37765-MP-MEP-MBSF</w:t>
      </w:r>
      <w:r>
        <w:rPr>
          <w:spacing w:val="-15"/>
          <w:sz w:val="22"/>
        </w:rPr>
        <w:t> </w:t>
      </w:r>
      <w:r>
        <w:rPr>
          <w:sz w:val="22"/>
        </w:rPr>
        <w:t>y</w:t>
      </w:r>
      <w:r>
        <w:rPr>
          <w:spacing w:val="-14"/>
          <w:sz w:val="22"/>
        </w:rPr>
        <w:t> </w:t>
      </w:r>
      <w:r>
        <w:rPr>
          <w:sz w:val="22"/>
        </w:rPr>
        <w:t>N°</w:t>
      </w:r>
      <w:r>
        <w:rPr>
          <w:spacing w:val="-13"/>
          <w:sz w:val="22"/>
        </w:rPr>
        <w:t> </w:t>
      </w:r>
      <w:r>
        <w:rPr>
          <w:sz w:val="22"/>
        </w:rPr>
        <w:t>40314-MP-MEP-MDHIS.</w:t>
      </w:r>
      <w:r>
        <w:rPr>
          <w:spacing w:val="-13"/>
          <w:sz w:val="22"/>
        </w:rPr>
        <w:t> </w:t>
      </w:r>
      <w:r>
        <w:rPr>
          <w:sz w:val="22"/>
        </w:rPr>
        <w:t>Fecha</w:t>
      </w:r>
      <w:r>
        <w:rPr>
          <w:spacing w:val="-14"/>
          <w:sz w:val="22"/>
        </w:rPr>
        <w:t> </w:t>
      </w:r>
      <w:r>
        <w:rPr>
          <w:spacing w:val="-5"/>
          <w:sz w:val="22"/>
        </w:rPr>
        <w:t>de</w:t>
      </w:r>
    </w:p>
    <w:p>
      <w:pPr>
        <w:pStyle w:val="BodyText"/>
        <w:spacing w:before="1"/>
        <w:ind w:left="1625"/>
        <w:jc w:val="both"/>
      </w:pPr>
      <w:r>
        <w:rPr/>
        <w:t>vigencia</w:t>
      </w:r>
      <w:r>
        <w:rPr>
          <w:spacing w:val="-9"/>
        </w:rPr>
        <w:t> </w:t>
      </w:r>
      <w:r>
        <w:rPr>
          <w:spacing w:val="-2"/>
        </w:rPr>
        <w:t>16/03/2022.</w:t>
      </w:r>
    </w:p>
    <w:p>
      <w:pPr>
        <w:spacing w:before="251"/>
        <w:ind w:left="1625" w:right="1602" w:firstLine="0"/>
        <w:jc w:val="both"/>
        <w:rPr>
          <w:sz w:val="22"/>
        </w:rPr>
      </w:pPr>
      <w:r>
        <w:rPr>
          <w:b/>
          <w:sz w:val="22"/>
        </w:rPr>
        <w:t>Decreto</w:t>
      </w:r>
      <w:r>
        <w:rPr>
          <w:b/>
          <w:spacing w:val="-7"/>
          <w:sz w:val="22"/>
        </w:rPr>
        <w:t> </w:t>
      </w:r>
      <w:r>
        <w:rPr>
          <w:b/>
          <w:sz w:val="22"/>
        </w:rPr>
        <w:t>N°</w:t>
      </w:r>
      <w:r>
        <w:rPr>
          <w:b/>
          <w:spacing w:val="-7"/>
          <w:sz w:val="22"/>
        </w:rPr>
        <w:t> </w:t>
      </w:r>
      <w:r>
        <w:rPr>
          <w:b/>
          <w:sz w:val="22"/>
        </w:rPr>
        <w:t>39225</w:t>
      </w:r>
      <w:r>
        <w:rPr>
          <w:b/>
          <w:spacing w:val="-10"/>
          <w:sz w:val="22"/>
        </w:rPr>
        <w:t> </w:t>
      </w:r>
      <w:r>
        <w:rPr>
          <w:b/>
          <w:sz w:val="22"/>
        </w:rPr>
        <w:t>Aplicación</w:t>
      </w:r>
      <w:r>
        <w:rPr>
          <w:b/>
          <w:spacing w:val="-8"/>
          <w:sz w:val="22"/>
        </w:rPr>
        <w:t> </w:t>
      </w:r>
      <w:r>
        <w:rPr>
          <w:b/>
          <w:sz w:val="22"/>
        </w:rPr>
        <w:t>del</w:t>
      </w:r>
      <w:r>
        <w:rPr>
          <w:b/>
          <w:spacing w:val="-11"/>
          <w:sz w:val="22"/>
        </w:rPr>
        <w:t> </w:t>
      </w:r>
      <w:r>
        <w:rPr>
          <w:b/>
          <w:sz w:val="22"/>
        </w:rPr>
        <w:t>Teletrabajo</w:t>
      </w:r>
      <w:r>
        <w:rPr>
          <w:b/>
          <w:spacing w:val="-10"/>
          <w:sz w:val="22"/>
        </w:rPr>
        <w:t> </w:t>
      </w:r>
      <w:r>
        <w:rPr>
          <w:b/>
          <w:sz w:val="22"/>
        </w:rPr>
        <w:t>en</w:t>
      </w:r>
      <w:r>
        <w:rPr>
          <w:b/>
          <w:spacing w:val="-7"/>
          <w:sz w:val="22"/>
        </w:rPr>
        <w:t> </w:t>
      </w:r>
      <w:r>
        <w:rPr>
          <w:b/>
          <w:sz w:val="22"/>
        </w:rPr>
        <w:t>las</w:t>
      </w:r>
      <w:r>
        <w:rPr>
          <w:b/>
          <w:spacing w:val="-13"/>
          <w:sz w:val="22"/>
        </w:rPr>
        <w:t> </w:t>
      </w:r>
      <w:r>
        <w:rPr>
          <w:b/>
          <w:sz w:val="22"/>
        </w:rPr>
        <w:t>Instituciones</w:t>
      </w:r>
      <w:r>
        <w:rPr>
          <w:b/>
          <w:spacing w:val="-10"/>
          <w:sz w:val="22"/>
        </w:rPr>
        <w:t> </w:t>
      </w:r>
      <w:r>
        <w:rPr>
          <w:b/>
          <w:sz w:val="22"/>
        </w:rPr>
        <w:t>Públicas</w:t>
      </w:r>
      <w:r>
        <w:rPr>
          <w:sz w:val="22"/>
        </w:rPr>
        <w:t>,</w:t>
      </w:r>
      <w:r>
        <w:rPr>
          <w:spacing w:val="-8"/>
          <w:sz w:val="22"/>
        </w:rPr>
        <w:t> </w:t>
      </w:r>
      <w:r>
        <w:rPr>
          <w:sz w:val="22"/>
        </w:rPr>
        <w:t>Tiene</w:t>
      </w:r>
      <w:r>
        <w:rPr>
          <w:spacing w:val="-7"/>
          <w:sz w:val="22"/>
        </w:rPr>
        <w:t> </w:t>
      </w:r>
      <w:r>
        <w:rPr>
          <w:sz w:val="22"/>
        </w:rPr>
        <w:t>por objeto promover y regular el Teletrabajo en las Instituciones del Estado, Atañe a toda la Administración Pública. Derogada por Directriz N.º 002-MTSS-MIDEPLAN, Fecha de vigencia: 06/07/2022.</w:t>
      </w:r>
    </w:p>
    <w:p>
      <w:pPr>
        <w:pStyle w:val="BodyText"/>
      </w:pPr>
    </w:p>
    <w:p>
      <w:pPr>
        <w:spacing w:before="0"/>
        <w:ind w:left="1625" w:right="1606" w:firstLine="0"/>
        <w:jc w:val="both"/>
        <w:rPr>
          <w:sz w:val="22"/>
        </w:rPr>
      </w:pPr>
      <w:r>
        <w:rPr>
          <w:b/>
          <w:sz w:val="22"/>
        </w:rPr>
        <w:t>Decreto N°43665-MP-MEIC. Celeridad de</w:t>
      </w:r>
      <w:r>
        <w:rPr>
          <w:b/>
          <w:spacing w:val="-1"/>
          <w:sz w:val="22"/>
        </w:rPr>
        <w:t> </w:t>
      </w:r>
      <w:r>
        <w:rPr>
          <w:b/>
          <w:sz w:val="22"/>
        </w:rPr>
        <w:t>los</w:t>
      </w:r>
      <w:r>
        <w:rPr>
          <w:b/>
          <w:spacing w:val="-1"/>
          <w:sz w:val="22"/>
        </w:rPr>
        <w:t> </w:t>
      </w:r>
      <w:r>
        <w:rPr>
          <w:b/>
          <w:sz w:val="22"/>
        </w:rPr>
        <w:t>Trámites</w:t>
      </w:r>
      <w:r>
        <w:rPr>
          <w:b/>
          <w:spacing w:val="-1"/>
          <w:sz w:val="22"/>
        </w:rPr>
        <w:t> </w:t>
      </w:r>
      <w:r>
        <w:rPr>
          <w:b/>
          <w:sz w:val="22"/>
        </w:rPr>
        <w:t>Administrativos en el Sector Público Costarricense</w:t>
      </w:r>
      <w:r>
        <w:rPr>
          <w:sz w:val="22"/>
        </w:rPr>
        <w:t>. Acelerar los trámites administrativos en las entidades públicas, por medio de la coordinación interinstitucional, intercambiando información necesaria para la resolución de trámites que se realicen en cada entidad. Fecha de vigencia </w:t>
      </w:r>
      <w:r>
        <w:rPr>
          <w:spacing w:val="-2"/>
          <w:sz w:val="22"/>
        </w:rPr>
        <w:t>01/09/2022.</w:t>
      </w:r>
    </w:p>
    <w:p>
      <w:pPr>
        <w:pStyle w:val="BodyText"/>
        <w:spacing w:before="1"/>
      </w:pPr>
    </w:p>
    <w:p>
      <w:pPr>
        <w:pStyle w:val="BodyText"/>
        <w:spacing w:before="1"/>
        <w:ind w:left="1625" w:right="1604"/>
        <w:jc w:val="both"/>
      </w:pPr>
      <w:r>
        <w:rPr>
          <w:b/>
        </w:rPr>
        <w:t>Decreto N° 43749-MTSS-H-MDHIS </w:t>
      </w:r>
      <w:r>
        <w:rPr/>
        <w:t>Reforma los artículos 1, 2, 3, 5 y 6 del al Decreto 43670-MTSS-H-MDHIS del 31 de agosto del 2022 Creación del Beneficio Temporal por Inflación. Regula el beneficio temporal por inflación.</w:t>
      </w:r>
      <w:r>
        <w:rPr>
          <w:spacing w:val="40"/>
        </w:rPr>
        <w:t> </w:t>
      </w:r>
      <w:r>
        <w:rPr/>
        <w:t>Fecha de vigencia 19/10/2022.</w:t>
      </w:r>
    </w:p>
    <w:p>
      <w:pPr>
        <w:spacing w:before="251"/>
        <w:ind w:left="1625" w:right="1600" w:firstLine="0"/>
        <w:jc w:val="both"/>
        <w:rPr>
          <w:sz w:val="22"/>
        </w:rPr>
      </w:pPr>
      <w:r>
        <w:rPr>
          <w:b/>
          <w:sz w:val="22"/>
        </w:rPr>
        <w:t>Decreto N° 43824-MP Creación de la Unidad Asesora para la Dirección y Coordinación de la Propiedad Accionaria del Estado y la Gestión de las Instituciones</w:t>
      </w:r>
      <w:r>
        <w:rPr>
          <w:b/>
          <w:spacing w:val="-9"/>
          <w:sz w:val="22"/>
        </w:rPr>
        <w:t> </w:t>
      </w:r>
      <w:r>
        <w:rPr>
          <w:b/>
          <w:sz w:val="22"/>
        </w:rPr>
        <w:t>Autónomas</w:t>
      </w:r>
      <w:r>
        <w:rPr>
          <w:b/>
          <w:spacing w:val="-5"/>
          <w:sz w:val="22"/>
        </w:rPr>
        <w:t> </w:t>
      </w:r>
      <w:r>
        <w:rPr>
          <w:sz w:val="22"/>
        </w:rPr>
        <w:t>Modifica</w:t>
      </w:r>
      <w:r>
        <w:rPr>
          <w:spacing w:val="-6"/>
          <w:sz w:val="22"/>
        </w:rPr>
        <w:t> </w:t>
      </w:r>
      <w:r>
        <w:rPr>
          <w:sz w:val="22"/>
        </w:rPr>
        <w:t>los</w:t>
      </w:r>
      <w:r>
        <w:rPr>
          <w:spacing w:val="-9"/>
          <w:sz w:val="22"/>
        </w:rPr>
        <w:t> </w:t>
      </w:r>
      <w:r>
        <w:rPr>
          <w:sz w:val="22"/>
        </w:rPr>
        <w:t>artículos</w:t>
      </w:r>
      <w:r>
        <w:rPr>
          <w:spacing w:val="-9"/>
          <w:sz w:val="22"/>
        </w:rPr>
        <w:t> </w:t>
      </w:r>
      <w:r>
        <w:rPr>
          <w:sz w:val="22"/>
        </w:rPr>
        <w:t>4,</w:t>
      </w:r>
      <w:r>
        <w:rPr>
          <w:spacing w:val="-5"/>
          <w:sz w:val="22"/>
        </w:rPr>
        <w:t> </w:t>
      </w:r>
      <w:r>
        <w:rPr>
          <w:sz w:val="22"/>
        </w:rPr>
        <w:t>6,</w:t>
      </w:r>
      <w:r>
        <w:rPr>
          <w:spacing w:val="-8"/>
          <w:sz w:val="22"/>
        </w:rPr>
        <w:t> </w:t>
      </w:r>
      <w:r>
        <w:rPr>
          <w:sz w:val="22"/>
        </w:rPr>
        <w:t>7,</w:t>
      </w:r>
      <w:r>
        <w:rPr>
          <w:spacing w:val="-8"/>
          <w:sz w:val="22"/>
        </w:rPr>
        <w:t> </w:t>
      </w:r>
      <w:r>
        <w:rPr>
          <w:sz w:val="22"/>
        </w:rPr>
        <w:t>9</w:t>
      </w:r>
      <w:r>
        <w:rPr>
          <w:spacing w:val="-6"/>
          <w:sz w:val="22"/>
        </w:rPr>
        <w:t> </w:t>
      </w:r>
      <w:r>
        <w:rPr>
          <w:sz w:val="22"/>
        </w:rPr>
        <w:t>y</w:t>
      </w:r>
      <w:r>
        <w:rPr>
          <w:spacing w:val="-8"/>
          <w:sz w:val="22"/>
        </w:rPr>
        <w:t> </w:t>
      </w:r>
      <w:r>
        <w:rPr>
          <w:sz w:val="22"/>
        </w:rPr>
        <w:t>11</w:t>
      </w:r>
      <w:r>
        <w:rPr>
          <w:spacing w:val="-7"/>
          <w:sz w:val="22"/>
        </w:rPr>
        <w:t> </w:t>
      </w:r>
      <w:r>
        <w:rPr>
          <w:sz w:val="22"/>
        </w:rPr>
        <w:t>del</w:t>
      </w:r>
      <w:r>
        <w:rPr>
          <w:spacing w:val="-7"/>
          <w:sz w:val="22"/>
        </w:rPr>
        <w:t> </w:t>
      </w:r>
      <w:r>
        <w:rPr>
          <w:sz w:val="22"/>
        </w:rPr>
        <w:t>Decreto</w:t>
      </w:r>
      <w:r>
        <w:rPr>
          <w:spacing w:val="-6"/>
          <w:sz w:val="22"/>
        </w:rPr>
        <w:t> </w:t>
      </w:r>
      <w:r>
        <w:rPr>
          <w:sz w:val="22"/>
        </w:rPr>
        <w:t>N°</w:t>
      </w:r>
      <w:r>
        <w:rPr>
          <w:spacing w:val="-6"/>
          <w:sz w:val="22"/>
        </w:rPr>
        <w:t> </w:t>
      </w:r>
      <w:r>
        <w:rPr>
          <w:sz w:val="22"/>
        </w:rPr>
        <w:t>40696-MP Fecha de vigencia 02/06/2023.</w:t>
      </w:r>
    </w:p>
    <w:p>
      <w:pPr>
        <w:pStyle w:val="BodyText"/>
      </w:pPr>
    </w:p>
    <w:p>
      <w:pPr>
        <w:spacing w:before="0"/>
        <w:ind w:left="1625" w:right="1603" w:firstLine="0"/>
        <w:jc w:val="both"/>
        <w:rPr>
          <w:sz w:val="22"/>
        </w:rPr>
      </w:pPr>
      <w:r>
        <w:rPr>
          <w:b/>
          <w:sz w:val="22"/>
        </w:rPr>
        <w:t>Decreto N° 44054-PLAN Elaboración, Aprobación y Modificaciones del Plan Nacional</w:t>
      </w:r>
      <w:r>
        <w:rPr>
          <w:b/>
          <w:spacing w:val="-5"/>
          <w:sz w:val="22"/>
        </w:rPr>
        <w:t> </w:t>
      </w:r>
      <w:r>
        <w:rPr>
          <w:b/>
          <w:sz w:val="22"/>
        </w:rPr>
        <w:t>de</w:t>
      </w:r>
      <w:r>
        <w:rPr>
          <w:b/>
          <w:spacing w:val="-6"/>
          <w:sz w:val="22"/>
        </w:rPr>
        <w:t> </w:t>
      </w:r>
      <w:r>
        <w:rPr>
          <w:b/>
          <w:sz w:val="22"/>
        </w:rPr>
        <w:t>Desarrollo.</w:t>
      </w:r>
      <w:r>
        <w:rPr>
          <w:b/>
          <w:spacing w:val="-5"/>
          <w:sz w:val="22"/>
        </w:rPr>
        <w:t> </w:t>
      </w:r>
      <w:r>
        <w:rPr>
          <w:sz w:val="22"/>
        </w:rPr>
        <w:t>Regulación</w:t>
      </w:r>
      <w:r>
        <w:rPr>
          <w:spacing w:val="-4"/>
          <w:sz w:val="22"/>
        </w:rPr>
        <w:t> </w:t>
      </w:r>
      <w:r>
        <w:rPr>
          <w:sz w:val="22"/>
        </w:rPr>
        <w:t>del</w:t>
      </w:r>
      <w:r>
        <w:rPr>
          <w:spacing w:val="-6"/>
          <w:sz w:val="22"/>
        </w:rPr>
        <w:t> </w:t>
      </w:r>
      <w:r>
        <w:rPr>
          <w:sz w:val="22"/>
        </w:rPr>
        <w:t>Plan</w:t>
      </w:r>
      <w:r>
        <w:rPr>
          <w:spacing w:val="-4"/>
          <w:sz w:val="22"/>
        </w:rPr>
        <w:t> </w:t>
      </w:r>
      <w:r>
        <w:rPr>
          <w:sz w:val="22"/>
        </w:rPr>
        <w:t>Nacional</w:t>
      </w:r>
      <w:r>
        <w:rPr>
          <w:spacing w:val="-5"/>
          <w:sz w:val="22"/>
        </w:rPr>
        <w:t> </w:t>
      </w:r>
      <w:r>
        <w:rPr>
          <w:sz w:val="22"/>
        </w:rPr>
        <w:t>de</w:t>
      </w:r>
      <w:r>
        <w:rPr>
          <w:spacing w:val="-4"/>
          <w:sz w:val="22"/>
        </w:rPr>
        <w:t> </w:t>
      </w:r>
      <w:r>
        <w:rPr>
          <w:sz w:val="22"/>
        </w:rPr>
        <w:t>Desarrollo.</w:t>
      </w:r>
      <w:r>
        <w:rPr>
          <w:spacing w:val="-5"/>
          <w:sz w:val="22"/>
        </w:rPr>
        <w:t> </w:t>
      </w:r>
      <w:r>
        <w:rPr>
          <w:sz w:val="22"/>
        </w:rPr>
        <w:t>Fecha</w:t>
      </w:r>
      <w:r>
        <w:rPr>
          <w:spacing w:val="-4"/>
          <w:sz w:val="22"/>
        </w:rPr>
        <w:t> </w:t>
      </w:r>
      <w:r>
        <w:rPr>
          <w:sz w:val="22"/>
        </w:rPr>
        <w:t>de</w:t>
      </w:r>
      <w:r>
        <w:rPr>
          <w:spacing w:val="-6"/>
          <w:sz w:val="22"/>
        </w:rPr>
        <w:t> </w:t>
      </w:r>
      <w:r>
        <w:rPr>
          <w:sz w:val="22"/>
        </w:rPr>
        <w:t>vigencia </w:t>
      </w:r>
      <w:r>
        <w:rPr>
          <w:spacing w:val="-2"/>
          <w:sz w:val="22"/>
        </w:rPr>
        <w:t>30/06/2023.</w:t>
      </w:r>
    </w:p>
    <w:p>
      <w:pPr>
        <w:spacing w:after="0"/>
        <w:jc w:val="both"/>
        <w:rPr>
          <w:sz w:val="22"/>
        </w:rPr>
        <w:sectPr>
          <w:pgSz w:w="12240" w:h="15840"/>
          <w:pgMar w:header="0" w:footer="1576" w:top="1000" w:bottom="1760" w:left="360" w:right="0"/>
        </w:sectPr>
      </w:pPr>
    </w:p>
    <w:p>
      <w:pPr>
        <w:spacing w:before="77"/>
        <w:ind w:left="1625" w:right="1604" w:firstLine="0"/>
        <w:jc w:val="both"/>
        <w:rPr>
          <w:sz w:val="22"/>
        </w:rPr>
      </w:pPr>
      <w:r>
        <w:rPr>
          <w:b/>
          <w:sz w:val="22"/>
        </w:rPr>
        <w:t>Decreto N° 44113-MTSS-PLAN Declaratoria de Interés Público de la Estrategia Nacional</w:t>
      </w:r>
      <w:r>
        <w:rPr>
          <w:b/>
          <w:spacing w:val="-3"/>
          <w:sz w:val="22"/>
        </w:rPr>
        <w:t> </w:t>
      </w:r>
      <w:r>
        <w:rPr>
          <w:b/>
          <w:sz w:val="22"/>
        </w:rPr>
        <w:t>de</w:t>
      </w:r>
      <w:r>
        <w:rPr>
          <w:b/>
          <w:spacing w:val="-4"/>
          <w:sz w:val="22"/>
        </w:rPr>
        <w:t> </w:t>
      </w:r>
      <w:r>
        <w:rPr>
          <w:b/>
          <w:sz w:val="22"/>
        </w:rPr>
        <w:t>Empleabilidad</w:t>
      </w:r>
      <w:r>
        <w:rPr>
          <w:b/>
          <w:spacing w:val="-4"/>
          <w:sz w:val="22"/>
        </w:rPr>
        <w:t> </w:t>
      </w:r>
      <w:r>
        <w:rPr>
          <w:b/>
          <w:sz w:val="22"/>
        </w:rPr>
        <w:t>y</w:t>
      </w:r>
      <w:r>
        <w:rPr>
          <w:b/>
          <w:spacing w:val="-4"/>
          <w:sz w:val="22"/>
        </w:rPr>
        <w:t> </w:t>
      </w:r>
      <w:r>
        <w:rPr>
          <w:b/>
          <w:sz w:val="22"/>
        </w:rPr>
        <w:t>Talento</w:t>
      </w:r>
      <w:r>
        <w:rPr>
          <w:b/>
          <w:spacing w:val="-6"/>
          <w:sz w:val="22"/>
        </w:rPr>
        <w:t> </w:t>
      </w:r>
      <w:r>
        <w:rPr>
          <w:b/>
          <w:sz w:val="22"/>
        </w:rPr>
        <w:t>Humano</w:t>
      </w:r>
      <w:r>
        <w:rPr>
          <w:b/>
          <w:spacing w:val="-6"/>
          <w:sz w:val="22"/>
        </w:rPr>
        <w:t> </w:t>
      </w:r>
      <w:r>
        <w:rPr>
          <w:b/>
          <w:sz w:val="22"/>
        </w:rPr>
        <w:t>de</w:t>
      </w:r>
      <w:r>
        <w:rPr>
          <w:b/>
          <w:spacing w:val="-4"/>
          <w:sz w:val="22"/>
        </w:rPr>
        <w:t> </w:t>
      </w:r>
      <w:r>
        <w:rPr>
          <w:b/>
          <w:sz w:val="22"/>
        </w:rPr>
        <w:t>Costa</w:t>
      </w:r>
      <w:r>
        <w:rPr>
          <w:b/>
          <w:spacing w:val="-4"/>
          <w:sz w:val="22"/>
        </w:rPr>
        <w:t> </w:t>
      </w:r>
      <w:r>
        <w:rPr>
          <w:b/>
          <w:sz w:val="22"/>
        </w:rPr>
        <w:t>Rica</w:t>
      </w:r>
      <w:r>
        <w:rPr>
          <w:sz w:val="22"/>
        </w:rPr>
        <w:t>.</w:t>
      </w:r>
      <w:r>
        <w:rPr>
          <w:spacing w:val="-3"/>
          <w:sz w:val="22"/>
        </w:rPr>
        <w:t> </w:t>
      </w:r>
      <w:r>
        <w:rPr>
          <w:sz w:val="22"/>
        </w:rPr>
        <w:t>Con</w:t>
      </w:r>
      <w:r>
        <w:rPr>
          <w:spacing w:val="-4"/>
          <w:sz w:val="22"/>
        </w:rPr>
        <w:t> </w:t>
      </w:r>
      <w:r>
        <w:rPr>
          <w:sz w:val="22"/>
        </w:rPr>
        <w:t>el</w:t>
      </w:r>
      <w:r>
        <w:rPr>
          <w:spacing w:val="-5"/>
          <w:sz w:val="22"/>
        </w:rPr>
        <w:t> </w:t>
      </w:r>
      <w:r>
        <w:rPr>
          <w:sz w:val="22"/>
        </w:rPr>
        <w:t>fin</w:t>
      </w:r>
      <w:r>
        <w:rPr>
          <w:spacing w:val="-4"/>
          <w:sz w:val="22"/>
        </w:rPr>
        <w:t> </w:t>
      </w:r>
      <w:r>
        <w:rPr>
          <w:sz w:val="22"/>
        </w:rPr>
        <w:t>de</w:t>
      </w:r>
      <w:r>
        <w:rPr>
          <w:spacing w:val="-4"/>
          <w:sz w:val="22"/>
        </w:rPr>
        <w:t> </w:t>
      </w:r>
      <w:r>
        <w:rPr>
          <w:sz w:val="22"/>
        </w:rPr>
        <w:t>mejorar</w:t>
      </w:r>
      <w:r>
        <w:rPr>
          <w:spacing w:val="-3"/>
          <w:sz w:val="22"/>
        </w:rPr>
        <w:t> </w:t>
      </w:r>
      <w:r>
        <w:rPr>
          <w:sz w:val="22"/>
        </w:rPr>
        <w:t>la empleabilidad de las personas en condiciones de exclusión del mercado de trabajo, propiciando su acceso a las oportunidades laborales y el impulso de la productividad y competitividad del país, basada en el talento humano. Fecha de vigencia 21/08/2023.</w:t>
      </w:r>
    </w:p>
    <w:p>
      <w:pPr>
        <w:pStyle w:val="BodyText"/>
        <w:spacing w:before="253"/>
        <w:ind w:left="1625" w:right="1603"/>
        <w:jc w:val="both"/>
      </w:pPr>
      <w:r>
        <w:rPr>
          <w:b/>
        </w:rPr>
        <w:t>Decreto N° 44243 MIDHIS-MTSS-MP Oficializar y Regular la Aplicación del Baremo de Valoración </w:t>
      </w:r>
      <w:r>
        <w:rPr/>
        <w:t>Tiene el objeto de oficializar y regular la aplicación del Baremo de Valoración de la Dependencia y la Intensidad de los Apoyos de Personas Adultas y Adultas Mayores, en adelante denominado el Baremo que es el instrumento por medio de</w:t>
      </w:r>
      <w:r>
        <w:rPr>
          <w:spacing w:val="-4"/>
        </w:rPr>
        <w:t> </w:t>
      </w:r>
      <w:r>
        <w:rPr/>
        <w:t>cual,</w:t>
      </w:r>
      <w:r>
        <w:rPr>
          <w:spacing w:val="-5"/>
        </w:rPr>
        <w:t> </w:t>
      </w:r>
      <w:r>
        <w:rPr/>
        <w:t>las</w:t>
      </w:r>
      <w:r>
        <w:rPr>
          <w:spacing w:val="-6"/>
        </w:rPr>
        <w:t> </w:t>
      </w:r>
      <w:r>
        <w:rPr/>
        <w:t>instituciones</w:t>
      </w:r>
      <w:r>
        <w:rPr>
          <w:spacing w:val="-7"/>
        </w:rPr>
        <w:t> </w:t>
      </w:r>
      <w:r>
        <w:rPr/>
        <w:t>públicas</w:t>
      </w:r>
      <w:r>
        <w:rPr>
          <w:spacing w:val="-4"/>
        </w:rPr>
        <w:t> </w:t>
      </w:r>
      <w:r>
        <w:rPr/>
        <w:t>y</w:t>
      </w:r>
      <w:r>
        <w:rPr>
          <w:spacing w:val="-5"/>
        </w:rPr>
        <w:t> </w:t>
      </w:r>
      <w:r>
        <w:rPr/>
        <w:t>organizaciones</w:t>
      </w:r>
      <w:r>
        <w:rPr>
          <w:spacing w:val="-3"/>
        </w:rPr>
        <w:t> </w:t>
      </w:r>
      <w:r>
        <w:rPr/>
        <w:t>privadas</w:t>
      </w:r>
      <w:r>
        <w:rPr>
          <w:spacing w:val="-6"/>
        </w:rPr>
        <w:t> </w:t>
      </w:r>
      <w:r>
        <w:rPr/>
        <w:t>que</w:t>
      </w:r>
      <w:r>
        <w:rPr>
          <w:spacing w:val="-6"/>
        </w:rPr>
        <w:t> </w:t>
      </w:r>
      <w:r>
        <w:rPr/>
        <w:t>reciben</w:t>
      </w:r>
      <w:r>
        <w:rPr>
          <w:spacing w:val="-6"/>
        </w:rPr>
        <w:t> </w:t>
      </w:r>
      <w:r>
        <w:rPr/>
        <w:t>fondos</w:t>
      </w:r>
      <w:r>
        <w:rPr>
          <w:spacing w:val="-4"/>
        </w:rPr>
        <w:t> </w:t>
      </w:r>
      <w:r>
        <w:rPr/>
        <w:t>públicos y que integran el Sistema Nacional de Cuidados y Apoyos de las Personas Adultas Mayores</w:t>
      </w:r>
      <w:r>
        <w:rPr>
          <w:spacing w:val="-10"/>
        </w:rPr>
        <w:t> </w:t>
      </w:r>
      <w:r>
        <w:rPr/>
        <w:t>y</w:t>
      </w:r>
      <w:r>
        <w:rPr>
          <w:spacing w:val="-9"/>
        </w:rPr>
        <w:t> </w:t>
      </w:r>
      <w:r>
        <w:rPr/>
        <w:t>Personas</w:t>
      </w:r>
      <w:r>
        <w:rPr>
          <w:spacing w:val="-10"/>
        </w:rPr>
        <w:t> </w:t>
      </w:r>
      <w:r>
        <w:rPr/>
        <w:t>Adultas</w:t>
      </w:r>
      <w:r>
        <w:rPr>
          <w:spacing w:val="-10"/>
        </w:rPr>
        <w:t> </w:t>
      </w:r>
      <w:r>
        <w:rPr/>
        <w:t>Mayores</w:t>
      </w:r>
      <w:r>
        <w:rPr>
          <w:spacing w:val="-7"/>
        </w:rPr>
        <w:t> </w:t>
      </w:r>
      <w:r>
        <w:rPr/>
        <w:t>en</w:t>
      </w:r>
      <w:r>
        <w:rPr>
          <w:spacing w:val="-10"/>
        </w:rPr>
        <w:t> </w:t>
      </w:r>
      <w:r>
        <w:rPr/>
        <w:t>Situación</w:t>
      </w:r>
      <w:r>
        <w:rPr>
          <w:spacing w:val="-7"/>
        </w:rPr>
        <w:t> </w:t>
      </w:r>
      <w:r>
        <w:rPr/>
        <w:t>de</w:t>
      </w:r>
      <w:r>
        <w:rPr>
          <w:spacing w:val="-10"/>
        </w:rPr>
        <w:t> </w:t>
      </w:r>
      <w:r>
        <w:rPr/>
        <w:t>Dependencia,</w:t>
      </w:r>
      <w:r>
        <w:rPr>
          <w:spacing w:val="-9"/>
        </w:rPr>
        <w:t> </w:t>
      </w:r>
      <w:r>
        <w:rPr/>
        <w:t>en</w:t>
      </w:r>
      <w:r>
        <w:rPr>
          <w:spacing w:val="-10"/>
        </w:rPr>
        <w:t> </w:t>
      </w:r>
      <w:r>
        <w:rPr/>
        <w:t>adelante</w:t>
      </w:r>
      <w:r>
        <w:rPr>
          <w:spacing w:val="-7"/>
        </w:rPr>
        <w:t> </w:t>
      </w:r>
      <w:r>
        <w:rPr/>
        <w:t>SINCA. Fecha de vigencia 08/11/2023.</w:t>
      </w:r>
    </w:p>
    <w:p>
      <w:pPr>
        <w:pStyle w:val="BodyText"/>
      </w:pPr>
    </w:p>
    <w:p>
      <w:pPr>
        <w:pStyle w:val="BodyText"/>
        <w:ind w:left="1625" w:right="1603"/>
        <w:jc w:val="both"/>
      </w:pPr>
      <w:r>
        <w:rPr>
          <w:b/>
        </w:rPr>
        <w:t>Decreto</w:t>
      </w:r>
      <w:r>
        <w:rPr>
          <w:b/>
          <w:spacing w:val="-16"/>
        </w:rPr>
        <w:t> </w:t>
      </w:r>
      <w:r>
        <w:rPr>
          <w:b/>
        </w:rPr>
        <w:t>N°.</w:t>
      </w:r>
      <w:r>
        <w:rPr>
          <w:b/>
          <w:spacing w:val="-13"/>
        </w:rPr>
        <w:t> </w:t>
      </w:r>
      <w:r>
        <w:rPr>
          <w:b/>
        </w:rPr>
        <w:t>44330</w:t>
      </w:r>
      <w:r>
        <w:rPr>
          <w:b/>
          <w:spacing w:val="-16"/>
        </w:rPr>
        <w:t> </w:t>
      </w:r>
      <w:r>
        <w:rPr>
          <w:b/>
        </w:rPr>
        <w:t>MTSS-MP-MDHIS-MEP</w:t>
      </w:r>
      <w:r>
        <w:rPr>
          <w:b/>
          <w:spacing w:val="-14"/>
        </w:rPr>
        <w:t> </w:t>
      </w:r>
      <w:r>
        <w:rPr/>
        <w:t>Reforma</w:t>
      </w:r>
      <w:r>
        <w:rPr>
          <w:spacing w:val="-15"/>
        </w:rPr>
        <w:t> </w:t>
      </w:r>
      <w:r>
        <w:rPr/>
        <w:t>los</w:t>
      </w:r>
      <w:r>
        <w:rPr>
          <w:spacing w:val="-14"/>
        </w:rPr>
        <w:t> </w:t>
      </w:r>
      <w:r>
        <w:rPr/>
        <w:t>artículos</w:t>
      </w:r>
      <w:r>
        <w:rPr>
          <w:spacing w:val="-14"/>
        </w:rPr>
        <w:t> </w:t>
      </w:r>
      <w:r>
        <w:rPr/>
        <w:t>1,</w:t>
      </w:r>
      <w:r>
        <w:rPr>
          <w:spacing w:val="-13"/>
        </w:rPr>
        <w:t> </w:t>
      </w:r>
      <w:r>
        <w:rPr/>
        <w:t>3,</w:t>
      </w:r>
      <w:r>
        <w:rPr>
          <w:spacing w:val="-13"/>
        </w:rPr>
        <w:t> </w:t>
      </w:r>
      <w:r>
        <w:rPr/>
        <w:t>4</w:t>
      </w:r>
      <w:r>
        <w:rPr>
          <w:spacing w:val="-15"/>
        </w:rPr>
        <w:t> </w:t>
      </w:r>
      <w:r>
        <w:rPr/>
        <w:t>5</w:t>
      </w:r>
      <w:r>
        <w:rPr>
          <w:spacing w:val="-16"/>
        </w:rPr>
        <w:t> </w:t>
      </w:r>
      <w:r>
        <w:rPr/>
        <w:t>y</w:t>
      </w:r>
      <w:r>
        <w:rPr>
          <w:spacing w:val="-13"/>
        </w:rPr>
        <w:t> </w:t>
      </w:r>
      <w:r>
        <w:rPr/>
        <w:t>6</w:t>
      </w:r>
      <w:r>
        <w:rPr>
          <w:spacing w:val="-15"/>
        </w:rPr>
        <w:t> </w:t>
      </w:r>
      <w:r>
        <w:rPr/>
        <w:t>del</w:t>
      </w:r>
      <w:r>
        <w:rPr>
          <w:spacing w:val="-15"/>
        </w:rPr>
        <w:t> </w:t>
      </w:r>
      <w:r>
        <w:rPr/>
        <w:t>Decreto N°. 34531 del 25 de abril de 2008. Establece programa Cuadernos e implementos escolares se establece la dotación de un monto adicional a la transferencia monetaria condicionada Avancemos, para la adquisición de cuadernos e implementos escolares a estudiantes en condición de pobreza, con el fin de facilitar el acceso a la educación y prevenir la exclusión del sistema educativo. Fecha de vigencia 26/01/2024</w:t>
      </w:r>
    </w:p>
    <w:p>
      <w:pPr>
        <w:spacing w:line="253" w:lineRule="exact" w:before="0"/>
        <w:ind w:left="1625" w:right="0" w:firstLine="0"/>
        <w:jc w:val="left"/>
        <w:rPr>
          <w:sz w:val="22"/>
        </w:rPr>
      </w:pPr>
      <w:r>
        <w:rPr>
          <w:spacing w:val="-10"/>
          <w:sz w:val="22"/>
        </w:rPr>
        <w:t>.</w:t>
      </w:r>
    </w:p>
    <w:p>
      <w:pPr>
        <w:pStyle w:val="BodyText"/>
        <w:spacing w:before="2"/>
        <w:ind w:left="1625" w:right="1604"/>
        <w:jc w:val="both"/>
      </w:pPr>
      <w:r>
        <w:rPr>
          <w:b/>
        </w:rPr>
        <w:t>Decreto N° 44610-PLAN: </w:t>
      </w:r>
      <w:r>
        <w:rPr/>
        <w:t>Creación de la Comisión Consultiva Interinstitucional de Empleo Público. Créase</w:t>
      </w:r>
      <w:r>
        <w:rPr>
          <w:spacing w:val="-1"/>
        </w:rPr>
        <w:t> </w:t>
      </w:r>
      <w:r>
        <w:rPr/>
        <w:t>la Comisión Consultiva Interinstitucional de Empleo Público, en adelante</w:t>
      </w:r>
      <w:r>
        <w:rPr>
          <w:spacing w:val="-6"/>
        </w:rPr>
        <w:t> </w:t>
      </w:r>
      <w:r>
        <w:rPr/>
        <w:t>denominada</w:t>
      </w:r>
      <w:r>
        <w:rPr>
          <w:spacing w:val="-7"/>
        </w:rPr>
        <w:t> </w:t>
      </w:r>
      <w:r>
        <w:rPr/>
        <w:t>la</w:t>
      </w:r>
      <w:r>
        <w:rPr>
          <w:spacing w:val="-9"/>
        </w:rPr>
        <w:t> </w:t>
      </w:r>
      <w:r>
        <w:rPr/>
        <w:t>Comisión,</w:t>
      </w:r>
      <w:r>
        <w:rPr>
          <w:spacing w:val="-5"/>
        </w:rPr>
        <w:t> </w:t>
      </w:r>
      <w:r>
        <w:rPr/>
        <w:t>cuyo</w:t>
      </w:r>
      <w:r>
        <w:rPr>
          <w:spacing w:val="-7"/>
        </w:rPr>
        <w:t> </w:t>
      </w:r>
      <w:r>
        <w:rPr/>
        <w:t>objeto</w:t>
      </w:r>
      <w:r>
        <w:rPr>
          <w:spacing w:val="-8"/>
        </w:rPr>
        <w:t> </w:t>
      </w:r>
      <w:r>
        <w:rPr/>
        <w:t>es</w:t>
      </w:r>
      <w:r>
        <w:rPr>
          <w:spacing w:val="-9"/>
        </w:rPr>
        <w:t> </w:t>
      </w:r>
      <w:r>
        <w:rPr/>
        <w:t>coordinar</w:t>
      </w:r>
      <w:r>
        <w:rPr>
          <w:spacing w:val="-5"/>
        </w:rPr>
        <w:t> </w:t>
      </w:r>
      <w:r>
        <w:rPr/>
        <w:t>y</w:t>
      </w:r>
      <w:r>
        <w:rPr>
          <w:spacing w:val="-8"/>
        </w:rPr>
        <w:t> </w:t>
      </w:r>
      <w:r>
        <w:rPr/>
        <w:t>articular</w:t>
      </w:r>
      <w:r>
        <w:rPr>
          <w:spacing w:val="-6"/>
        </w:rPr>
        <w:t> </w:t>
      </w:r>
      <w:r>
        <w:rPr/>
        <w:t>acciones</w:t>
      </w:r>
      <w:r>
        <w:rPr>
          <w:spacing w:val="-6"/>
        </w:rPr>
        <w:t> </w:t>
      </w:r>
      <w:r>
        <w:rPr/>
        <w:t>entre</w:t>
      </w:r>
      <w:r>
        <w:rPr>
          <w:spacing w:val="-9"/>
        </w:rPr>
        <w:t> </w:t>
      </w:r>
      <w:r>
        <w:rPr/>
        <w:t>las instituciones cubiertas por la Ley Marco de Empleo Público, así como compartir información</w:t>
      </w:r>
      <w:r>
        <w:rPr>
          <w:spacing w:val="-5"/>
        </w:rPr>
        <w:t> </w:t>
      </w:r>
      <w:r>
        <w:rPr/>
        <w:t>y</w:t>
      </w:r>
      <w:r>
        <w:rPr>
          <w:spacing w:val="-5"/>
        </w:rPr>
        <w:t> </w:t>
      </w:r>
      <w:r>
        <w:rPr/>
        <w:t>estrategias,</w:t>
      </w:r>
      <w:r>
        <w:rPr>
          <w:spacing w:val="-1"/>
        </w:rPr>
        <w:t> </w:t>
      </w:r>
      <w:r>
        <w:rPr/>
        <w:t>para</w:t>
      </w:r>
      <w:r>
        <w:rPr>
          <w:spacing w:val="-5"/>
        </w:rPr>
        <w:t> </w:t>
      </w:r>
      <w:r>
        <w:rPr/>
        <w:t>cumplir</w:t>
      </w:r>
      <w:r>
        <w:rPr>
          <w:spacing w:val="-2"/>
        </w:rPr>
        <w:t> </w:t>
      </w:r>
      <w:r>
        <w:rPr/>
        <w:t>con</w:t>
      </w:r>
      <w:r>
        <w:rPr>
          <w:spacing w:val="-5"/>
        </w:rPr>
        <w:t> </w:t>
      </w:r>
      <w:r>
        <w:rPr/>
        <w:t>el</w:t>
      </w:r>
      <w:r>
        <w:rPr>
          <w:spacing w:val="-6"/>
        </w:rPr>
        <w:t> </w:t>
      </w:r>
      <w:r>
        <w:rPr/>
        <w:t>objetivo</w:t>
      </w:r>
      <w:r>
        <w:rPr>
          <w:spacing w:val="-3"/>
        </w:rPr>
        <w:t> </w:t>
      </w:r>
      <w:r>
        <w:rPr/>
        <w:t>y</w:t>
      </w:r>
      <w:r>
        <w:rPr>
          <w:spacing w:val="-4"/>
        </w:rPr>
        <w:t> </w:t>
      </w:r>
      <w:r>
        <w:rPr/>
        <w:t>los</w:t>
      </w:r>
      <w:r>
        <w:rPr>
          <w:spacing w:val="-5"/>
        </w:rPr>
        <w:t> </w:t>
      </w:r>
      <w:r>
        <w:rPr/>
        <w:t>propósitos</w:t>
      </w:r>
      <w:r>
        <w:rPr>
          <w:spacing w:val="-5"/>
        </w:rPr>
        <w:t> </w:t>
      </w:r>
      <w:r>
        <w:rPr/>
        <w:t>establecidos</w:t>
      </w:r>
      <w:r>
        <w:rPr>
          <w:spacing w:val="-2"/>
        </w:rPr>
        <w:t> </w:t>
      </w:r>
      <w:r>
        <w:rPr/>
        <w:t>en</w:t>
      </w:r>
      <w:r>
        <w:rPr>
          <w:spacing w:val="-3"/>
        </w:rPr>
        <w:t> </w:t>
      </w:r>
      <w:r>
        <w:rPr/>
        <w:t>la Ley N°10159.</w:t>
      </w:r>
      <w:r>
        <w:rPr>
          <w:spacing w:val="-2"/>
        </w:rPr>
        <w:t> </w:t>
      </w:r>
      <w:r>
        <w:rPr/>
        <w:t>Lo</w:t>
      </w:r>
      <w:r>
        <w:rPr>
          <w:spacing w:val="-1"/>
        </w:rPr>
        <w:t> </w:t>
      </w:r>
      <w:r>
        <w:rPr/>
        <w:t>anterior, por</w:t>
      </w:r>
      <w:r>
        <w:rPr>
          <w:spacing w:val="-2"/>
        </w:rPr>
        <w:t> </w:t>
      </w:r>
      <w:r>
        <w:rPr/>
        <w:t>medio de</w:t>
      </w:r>
      <w:r>
        <w:rPr>
          <w:spacing w:val="-1"/>
        </w:rPr>
        <w:t> </w:t>
      </w:r>
      <w:r>
        <w:rPr/>
        <w:t>acuerdos producto de</w:t>
      </w:r>
      <w:r>
        <w:rPr>
          <w:spacing w:val="-1"/>
        </w:rPr>
        <w:t> </w:t>
      </w:r>
      <w:r>
        <w:rPr/>
        <w:t>la discusión, participación y concertación, que se genere en el seno de la Comisión, entre las diversas representaciones de la Administración Pública costarricense. Fecha de vigencia </w:t>
      </w:r>
      <w:r>
        <w:rPr>
          <w:spacing w:val="-2"/>
        </w:rPr>
        <w:t>23/07/2024.</w:t>
      </w:r>
    </w:p>
    <w:p>
      <w:pPr>
        <w:pStyle w:val="BodyText"/>
      </w:pPr>
    </w:p>
    <w:p>
      <w:pPr>
        <w:pStyle w:val="BodyText"/>
        <w:ind w:left="1625" w:right="1602"/>
        <w:jc w:val="both"/>
      </w:pPr>
      <w:r>
        <w:rPr>
          <w:b/>
        </w:rPr>
        <w:t>Decreto</w:t>
      </w:r>
      <w:r>
        <w:rPr>
          <w:b/>
          <w:spacing w:val="-10"/>
        </w:rPr>
        <w:t> </w:t>
      </w:r>
      <w:r>
        <w:rPr>
          <w:b/>
        </w:rPr>
        <w:t>N°</w:t>
      </w:r>
      <w:r>
        <w:rPr>
          <w:b/>
          <w:spacing w:val="-9"/>
        </w:rPr>
        <w:t> </w:t>
      </w:r>
      <w:r>
        <w:rPr>
          <w:b/>
        </w:rPr>
        <w:t>44629-PLAN:</w:t>
      </w:r>
      <w:r>
        <w:rPr>
          <w:b/>
          <w:spacing w:val="-9"/>
        </w:rPr>
        <w:t> </w:t>
      </w:r>
      <w:r>
        <w:rPr/>
        <w:t>Oficialización,</w:t>
      </w:r>
      <w:r>
        <w:rPr>
          <w:spacing w:val="-9"/>
        </w:rPr>
        <w:t> </w:t>
      </w:r>
      <w:r>
        <w:rPr/>
        <w:t>Ratificación</w:t>
      </w:r>
      <w:r>
        <w:rPr>
          <w:spacing w:val="-10"/>
        </w:rPr>
        <w:t> </w:t>
      </w:r>
      <w:r>
        <w:rPr/>
        <w:t>y</w:t>
      </w:r>
      <w:r>
        <w:rPr>
          <w:spacing w:val="-9"/>
        </w:rPr>
        <w:t> </w:t>
      </w:r>
      <w:r>
        <w:rPr/>
        <w:t>Declaratoria</w:t>
      </w:r>
      <w:r>
        <w:rPr>
          <w:spacing w:val="-10"/>
        </w:rPr>
        <w:t> </w:t>
      </w:r>
      <w:r>
        <w:rPr/>
        <w:t>de</w:t>
      </w:r>
      <w:r>
        <w:rPr>
          <w:spacing w:val="-13"/>
        </w:rPr>
        <w:t> </w:t>
      </w:r>
      <w:r>
        <w:rPr/>
        <w:t>Interés</w:t>
      </w:r>
      <w:r>
        <w:rPr>
          <w:spacing w:val="-9"/>
        </w:rPr>
        <w:t> </w:t>
      </w:r>
      <w:r>
        <w:rPr/>
        <w:t>Público</w:t>
      </w:r>
      <w:r>
        <w:rPr>
          <w:spacing w:val="-10"/>
        </w:rPr>
        <w:t> </w:t>
      </w:r>
      <w:r>
        <w:rPr/>
        <w:t>de la</w:t>
      </w:r>
      <w:r>
        <w:rPr>
          <w:spacing w:val="-10"/>
        </w:rPr>
        <w:t> </w:t>
      </w:r>
      <w:r>
        <w:rPr/>
        <w:t>Política</w:t>
      </w:r>
      <w:r>
        <w:rPr>
          <w:spacing w:val="-10"/>
        </w:rPr>
        <w:t> </w:t>
      </w:r>
      <w:r>
        <w:rPr/>
        <w:t>Nacional</w:t>
      </w:r>
      <w:r>
        <w:rPr>
          <w:spacing w:val="-13"/>
        </w:rPr>
        <w:t> </w:t>
      </w:r>
      <w:r>
        <w:rPr/>
        <w:t>de</w:t>
      </w:r>
      <w:r>
        <w:rPr>
          <w:spacing w:val="-10"/>
        </w:rPr>
        <w:t> </w:t>
      </w:r>
      <w:r>
        <w:rPr/>
        <w:t>Desarrollo</w:t>
      </w:r>
      <w:r>
        <w:rPr>
          <w:spacing w:val="-10"/>
        </w:rPr>
        <w:t> </w:t>
      </w:r>
      <w:r>
        <w:rPr/>
        <w:t>Regional</w:t>
      </w:r>
      <w:r>
        <w:rPr>
          <w:spacing w:val="-11"/>
        </w:rPr>
        <w:t> </w:t>
      </w:r>
      <w:r>
        <w:rPr/>
        <w:t>de</w:t>
      </w:r>
      <w:r>
        <w:rPr>
          <w:spacing w:val="-13"/>
        </w:rPr>
        <w:t> </w:t>
      </w:r>
      <w:r>
        <w:rPr/>
        <w:t>Costa</w:t>
      </w:r>
      <w:r>
        <w:rPr>
          <w:spacing w:val="-10"/>
        </w:rPr>
        <w:t> </w:t>
      </w:r>
      <w:r>
        <w:rPr/>
        <w:t>Rica</w:t>
      </w:r>
      <w:r>
        <w:rPr>
          <w:spacing w:val="-12"/>
        </w:rPr>
        <w:t> </w:t>
      </w:r>
      <w:r>
        <w:rPr/>
        <w:t>2024-2034</w:t>
      </w:r>
      <w:r>
        <w:rPr>
          <w:spacing w:val="-15"/>
        </w:rPr>
        <w:t> </w:t>
      </w:r>
      <w:r>
        <w:rPr/>
        <w:t>(PNDR</w:t>
      </w:r>
      <w:r>
        <w:rPr>
          <w:spacing w:val="-11"/>
        </w:rPr>
        <w:t> </w:t>
      </w:r>
      <w:r>
        <w:rPr/>
        <w:t>2024-2034). Fecha de vigencia: 30/08/2024.</w:t>
      </w:r>
    </w:p>
    <w:p>
      <w:pPr>
        <w:pStyle w:val="BodyText"/>
        <w:spacing w:before="252"/>
        <w:ind w:left="1625" w:right="1602"/>
        <w:jc w:val="both"/>
      </w:pPr>
      <w:r>
        <w:rPr>
          <w:b/>
        </w:rPr>
        <w:t>Decreto N° 44636-MICIT: </w:t>
      </w:r>
      <w:r>
        <w:rPr/>
        <w:t>El presente reglamento tiene por objeto complementar, desarrollar y precisar los preceptos, principios y disposiciones contenidos en la Ley N° 9943 Creación de la Agencia Nacional de Gobierno Digital, para su debida aplicación, ejecución y observancia. Fecha de vigencia 30/08/2024.</w:t>
      </w:r>
    </w:p>
    <w:p>
      <w:pPr>
        <w:pStyle w:val="BodyText"/>
        <w:spacing w:before="252"/>
        <w:ind w:left="1625" w:right="1605"/>
        <w:jc w:val="both"/>
      </w:pPr>
      <w:r>
        <w:rPr>
          <w:b/>
        </w:rPr>
        <w:t>Decreto N° 44946-H </w:t>
      </w:r>
      <w:r>
        <w:rPr/>
        <w:t>Directrices generales de política presupuestaria, salarial, empleo, inversión y endeudamiento para ministerios, entidades públicas y sus órganos desconcentrados, según corresponda, cubiertos por el ámbito de la autoridad presupuestaria, para el año 2026. Fecha de vigencia 28/03/2025.</w:t>
      </w:r>
    </w:p>
    <w:p>
      <w:pPr>
        <w:pStyle w:val="BodyText"/>
        <w:spacing w:before="1"/>
      </w:pPr>
    </w:p>
    <w:p>
      <w:pPr>
        <w:spacing w:before="0"/>
        <w:ind w:left="1625" w:right="1603" w:firstLine="0"/>
        <w:jc w:val="both"/>
        <w:rPr>
          <w:sz w:val="22"/>
        </w:rPr>
      </w:pPr>
      <w:r>
        <w:rPr>
          <w:b/>
          <w:sz w:val="22"/>
        </w:rPr>
        <w:t>Decreto N° 45475-S Creación de los Subsistemas Locales de Niñez y la Adolescencia y Lineamientos para la Implementación de los Subsistemas Locales de Protección a la Niñez y la Adolescencia en el Nivel Nacional y Creación de la Comisión Nacional de Subsistemas Locales de Protección a la Niñez y la Adolescencia.</w:t>
      </w:r>
      <w:r>
        <w:rPr>
          <w:b/>
          <w:spacing w:val="40"/>
          <w:sz w:val="22"/>
        </w:rPr>
        <w:t> </w:t>
      </w:r>
      <w:r>
        <w:rPr>
          <w:sz w:val="22"/>
        </w:rPr>
        <w:t>Normar</w:t>
      </w:r>
      <w:r>
        <w:rPr>
          <w:spacing w:val="40"/>
          <w:sz w:val="22"/>
        </w:rPr>
        <w:t> </w:t>
      </w:r>
      <w:r>
        <w:rPr>
          <w:sz w:val="22"/>
        </w:rPr>
        <w:t>el</w:t>
      </w:r>
      <w:r>
        <w:rPr>
          <w:spacing w:val="40"/>
          <w:sz w:val="22"/>
        </w:rPr>
        <w:t> </w:t>
      </w:r>
      <w:r>
        <w:rPr>
          <w:sz w:val="22"/>
        </w:rPr>
        <w:t>funcionamiento</w:t>
      </w:r>
      <w:r>
        <w:rPr>
          <w:spacing w:val="40"/>
          <w:sz w:val="22"/>
        </w:rPr>
        <w:t> </w:t>
      </w:r>
      <w:r>
        <w:rPr>
          <w:sz w:val="22"/>
        </w:rPr>
        <w:t>orgánico</w:t>
      </w:r>
      <w:r>
        <w:rPr>
          <w:spacing w:val="40"/>
          <w:sz w:val="22"/>
        </w:rPr>
        <w:t> </w:t>
      </w:r>
      <w:r>
        <w:rPr>
          <w:sz w:val="22"/>
        </w:rPr>
        <w:t>de</w:t>
      </w:r>
      <w:r>
        <w:rPr>
          <w:spacing w:val="40"/>
          <w:sz w:val="22"/>
        </w:rPr>
        <w:t> </w:t>
      </w:r>
      <w:r>
        <w:rPr>
          <w:sz w:val="22"/>
        </w:rPr>
        <w:t>los</w:t>
      </w:r>
      <w:r>
        <w:rPr>
          <w:spacing w:val="40"/>
          <w:sz w:val="22"/>
        </w:rPr>
        <w:t> </w:t>
      </w:r>
      <w:r>
        <w:rPr>
          <w:sz w:val="22"/>
        </w:rPr>
        <w:t>Subsistemas</w:t>
      </w:r>
      <w:r>
        <w:rPr>
          <w:spacing w:val="40"/>
          <w:sz w:val="22"/>
        </w:rPr>
        <w:t> </w:t>
      </w:r>
      <w:r>
        <w:rPr>
          <w:sz w:val="22"/>
        </w:rPr>
        <w:t>Locales</w:t>
      </w:r>
      <w:r>
        <w:rPr>
          <w:spacing w:val="40"/>
          <w:sz w:val="22"/>
        </w:rPr>
        <w:t> </w:t>
      </w:r>
      <w:r>
        <w:rPr>
          <w:sz w:val="22"/>
        </w:rPr>
        <w:t>de</w:t>
      </w:r>
    </w:p>
    <w:p>
      <w:pPr>
        <w:spacing w:after="0"/>
        <w:jc w:val="both"/>
        <w:rPr>
          <w:sz w:val="22"/>
        </w:rPr>
        <w:sectPr>
          <w:pgSz w:w="12240" w:h="15840"/>
          <w:pgMar w:header="0" w:footer="1576" w:top="1000" w:bottom="1760" w:left="360" w:right="0"/>
        </w:sectPr>
      </w:pPr>
    </w:p>
    <w:p>
      <w:pPr>
        <w:pStyle w:val="BodyText"/>
        <w:spacing w:before="77"/>
        <w:ind w:left="1625" w:right="1605"/>
        <w:jc w:val="both"/>
      </w:pPr>
      <w:r>
        <w:rPr/>
        <w:t>Protección a la Niñez y la Adolescencia a nivel nacional y establecer la creación y funcionamiento</w:t>
      </w:r>
      <w:r>
        <w:rPr>
          <w:spacing w:val="-16"/>
        </w:rPr>
        <w:t> </w:t>
      </w:r>
      <w:r>
        <w:rPr/>
        <w:t>de</w:t>
      </w:r>
      <w:r>
        <w:rPr>
          <w:spacing w:val="-15"/>
        </w:rPr>
        <w:t> </w:t>
      </w:r>
      <w:r>
        <w:rPr/>
        <w:t>la</w:t>
      </w:r>
      <w:r>
        <w:rPr>
          <w:spacing w:val="-15"/>
        </w:rPr>
        <w:t> </w:t>
      </w:r>
      <w:r>
        <w:rPr/>
        <w:t>Comisión</w:t>
      </w:r>
      <w:r>
        <w:rPr>
          <w:spacing w:val="-16"/>
        </w:rPr>
        <w:t> </w:t>
      </w:r>
      <w:r>
        <w:rPr/>
        <w:t>Nacional</w:t>
      </w:r>
      <w:r>
        <w:rPr>
          <w:spacing w:val="-15"/>
        </w:rPr>
        <w:t> </w:t>
      </w:r>
      <w:r>
        <w:rPr/>
        <w:t>de</w:t>
      </w:r>
      <w:r>
        <w:rPr>
          <w:spacing w:val="-15"/>
        </w:rPr>
        <w:t> </w:t>
      </w:r>
      <w:r>
        <w:rPr/>
        <w:t>Subsistemas</w:t>
      </w:r>
      <w:r>
        <w:rPr>
          <w:spacing w:val="-15"/>
        </w:rPr>
        <w:t> </w:t>
      </w:r>
      <w:r>
        <w:rPr/>
        <w:t>Locales</w:t>
      </w:r>
      <w:r>
        <w:rPr>
          <w:spacing w:val="-16"/>
        </w:rPr>
        <w:t> </w:t>
      </w:r>
      <w:r>
        <w:rPr/>
        <w:t>de</w:t>
      </w:r>
      <w:r>
        <w:rPr>
          <w:spacing w:val="-15"/>
        </w:rPr>
        <w:t> </w:t>
      </w:r>
      <w:r>
        <w:rPr/>
        <w:t>Protección</w:t>
      </w:r>
      <w:r>
        <w:rPr>
          <w:spacing w:val="-15"/>
        </w:rPr>
        <w:t> </w:t>
      </w:r>
      <w:r>
        <w:rPr/>
        <w:t>a</w:t>
      </w:r>
      <w:r>
        <w:rPr>
          <w:spacing w:val="-16"/>
        </w:rPr>
        <w:t> </w:t>
      </w:r>
      <w:r>
        <w:rPr/>
        <w:t>la</w:t>
      </w:r>
      <w:r>
        <w:rPr>
          <w:spacing w:val="-15"/>
        </w:rPr>
        <w:t> </w:t>
      </w:r>
      <w:r>
        <w:rPr/>
        <w:t>Niñez y la Adolescencia. Fecha de vigencia 13/10/2025.</w:t>
      </w:r>
    </w:p>
    <w:p>
      <w:pPr>
        <w:spacing w:before="252"/>
        <w:ind w:left="1625" w:right="1604" w:firstLine="0"/>
        <w:jc w:val="both"/>
        <w:rPr>
          <w:sz w:val="22"/>
        </w:rPr>
      </w:pPr>
      <w:r>
        <w:rPr>
          <w:b/>
          <w:sz w:val="22"/>
        </w:rPr>
        <w:t>Decreto</w:t>
      </w:r>
      <w:r>
        <w:rPr>
          <w:b/>
          <w:spacing w:val="-3"/>
          <w:sz w:val="22"/>
        </w:rPr>
        <w:t> </w:t>
      </w:r>
      <w:r>
        <w:rPr>
          <w:b/>
          <w:sz w:val="22"/>
        </w:rPr>
        <w:t>N°</w:t>
      </w:r>
      <w:r>
        <w:rPr>
          <w:b/>
          <w:spacing w:val="-2"/>
          <w:sz w:val="22"/>
        </w:rPr>
        <w:t> </w:t>
      </w:r>
      <w:r>
        <w:rPr>
          <w:b/>
          <w:sz w:val="22"/>
        </w:rPr>
        <w:t>45197-MAG-MDHIS-SP</w:t>
      </w:r>
      <w:r>
        <w:rPr>
          <w:b/>
          <w:spacing w:val="-1"/>
          <w:sz w:val="22"/>
        </w:rPr>
        <w:t> </w:t>
      </w:r>
      <w:r>
        <w:rPr>
          <w:b/>
          <w:sz w:val="22"/>
        </w:rPr>
        <w:t>Reforma</w:t>
      </w:r>
      <w:r>
        <w:rPr>
          <w:b/>
          <w:spacing w:val="-2"/>
          <w:sz w:val="22"/>
        </w:rPr>
        <w:t> </w:t>
      </w:r>
      <w:r>
        <w:rPr>
          <w:b/>
          <w:sz w:val="22"/>
        </w:rPr>
        <w:t>parcial</w:t>
      </w:r>
      <w:r>
        <w:rPr>
          <w:b/>
          <w:spacing w:val="-2"/>
          <w:sz w:val="22"/>
        </w:rPr>
        <w:t> </w:t>
      </w:r>
      <w:r>
        <w:rPr>
          <w:b/>
          <w:sz w:val="22"/>
        </w:rPr>
        <w:t>y</w:t>
      </w:r>
      <w:r>
        <w:rPr>
          <w:b/>
          <w:spacing w:val="-3"/>
          <w:sz w:val="22"/>
        </w:rPr>
        <w:t> </w:t>
      </w:r>
      <w:r>
        <w:rPr>
          <w:b/>
          <w:sz w:val="22"/>
        </w:rPr>
        <w:t>Derogatoria</w:t>
      </w:r>
      <w:r>
        <w:rPr>
          <w:b/>
          <w:spacing w:val="-3"/>
          <w:sz w:val="22"/>
        </w:rPr>
        <w:t> </w:t>
      </w:r>
      <w:r>
        <w:rPr>
          <w:b/>
          <w:sz w:val="22"/>
        </w:rPr>
        <w:t>de</w:t>
      </w:r>
      <w:r>
        <w:rPr>
          <w:b/>
          <w:spacing w:val="-3"/>
          <w:sz w:val="22"/>
        </w:rPr>
        <w:t> </w:t>
      </w:r>
      <w:r>
        <w:rPr>
          <w:b/>
          <w:sz w:val="22"/>
        </w:rPr>
        <w:t>los</w:t>
      </w:r>
      <w:r>
        <w:rPr>
          <w:b/>
          <w:spacing w:val="-3"/>
          <w:sz w:val="22"/>
        </w:rPr>
        <w:t> </w:t>
      </w:r>
      <w:r>
        <w:rPr>
          <w:b/>
          <w:sz w:val="22"/>
        </w:rPr>
        <w:t>Artículos</w:t>
      </w:r>
      <w:r>
        <w:rPr>
          <w:b/>
          <w:spacing w:val="-6"/>
          <w:sz w:val="22"/>
        </w:rPr>
        <w:t> </w:t>
      </w:r>
      <w:r>
        <w:rPr>
          <w:b/>
          <w:sz w:val="22"/>
        </w:rPr>
        <w:t>5 y 12 del Decreto N°. 36043-MAG-SP-MS. </w:t>
      </w:r>
      <w:r>
        <w:rPr>
          <w:sz w:val="22"/>
        </w:rPr>
        <w:t>Establece regulaciones permanentes para la implementación de una ayuda temporal por pobreza coyuntural en el sector pesquero costarricense por declaratorias de vedas. Fecha de vigencia 24/10/2025.</w:t>
      </w:r>
    </w:p>
    <w:p>
      <w:pPr>
        <w:pStyle w:val="BodyText"/>
      </w:pPr>
    </w:p>
    <w:p>
      <w:pPr>
        <w:spacing w:before="0"/>
        <w:ind w:left="1625" w:right="1602" w:firstLine="0"/>
        <w:jc w:val="both"/>
        <w:rPr>
          <w:sz w:val="22"/>
        </w:rPr>
      </w:pPr>
      <w:r>
        <w:rPr>
          <w:b/>
          <w:sz w:val="22"/>
        </w:rPr>
        <w:t>Decreto N° 45472-MDHIS-MTSS Oficialización del Plan Nacional de Baremación</w:t>
      </w:r>
      <w:r>
        <w:rPr>
          <w:sz w:val="22"/>
        </w:rPr>
        <w:t>: como el instrumento oficial para valorar el nivel de dependencia de personas adultas y adultas mayores, así como para orientar la asignación de apoyos y servicios dentro del Sistema Nacional de Cuidados y Apoyos (SINCA). Fecha de vigencia 30/01/2026.</w:t>
      </w:r>
    </w:p>
    <w:p>
      <w:pPr>
        <w:pStyle w:val="BodyText"/>
      </w:pPr>
    </w:p>
    <w:p>
      <w:pPr>
        <w:spacing w:before="0"/>
        <w:ind w:left="1625" w:right="1600" w:firstLine="0"/>
        <w:jc w:val="both"/>
        <w:rPr>
          <w:sz w:val="22"/>
        </w:rPr>
      </w:pPr>
      <w:r>
        <w:rPr>
          <w:b/>
          <w:sz w:val="22"/>
        </w:rPr>
        <w:t>Decreto N° 454723-MDHIS-MTSS Oficialización del Mecanismo de Monitoreo y Seguimiento al Plan de Acción de la Política Nacional de Cuidados 2021-203. </w:t>
      </w:r>
      <w:r>
        <w:rPr>
          <w:sz w:val="22"/>
        </w:rPr>
        <w:t>El decreto oficializa el Mecanismo de monitoreo y seguimiento como una herramienta estandarizada con sustento normativo, destinada a supervisar el avance del Plan de Acción de la Política Nacional de Cuidados 2021-2031, garantizar la transparencia y promover el acceso público a la información. Este mecanismo asegura que las instituciones</w:t>
      </w:r>
      <w:r>
        <w:rPr>
          <w:spacing w:val="-11"/>
          <w:sz w:val="22"/>
        </w:rPr>
        <w:t> </w:t>
      </w:r>
      <w:r>
        <w:rPr>
          <w:sz w:val="22"/>
        </w:rPr>
        <w:t>responsables</w:t>
      </w:r>
      <w:r>
        <w:rPr>
          <w:spacing w:val="-8"/>
          <w:sz w:val="22"/>
        </w:rPr>
        <w:t> </w:t>
      </w:r>
      <w:r>
        <w:rPr>
          <w:sz w:val="22"/>
        </w:rPr>
        <w:t>cumplan</w:t>
      </w:r>
      <w:r>
        <w:rPr>
          <w:spacing w:val="-11"/>
          <w:sz w:val="22"/>
        </w:rPr>
        <w:t> </w:t>
      </w:r>
      <w:r>
        <w:rPr>
          <w:sz w:val="22"/>
        </w:rPr>
        <w:t>con</w:t>
      </w:r>
      <w:r>
        <w:rPr>
          <w:spacing w:val="-11"/>
          <w:sz w:val="22"/>
        </w:rPr>
        <w:t> </w:t>
      </w:r>
      <w:r>
        <w:rPr>
          <w:sz w:val="22"/>
        </w:rPr>
        <w:t>los</w:t>
      </w:r>
      <w:r>
        <w:rPr>
          <w:spacing w:val="-11"/>
          <w:sz w:val="22"/>
        </w:rPr>
        <w:t> </w:t>
      </w:r>
      <w:r>
        <w:rPr>
          <w:sz w:val="22"/>
        </w:rPr>
        <w:t>compromisos</w:t>
      </w:r>
      <w:r>
        <w:rPr>
          <w:spacing w:val="-11"/>
          <w:sz w:val="22"/>
        </w:rPr>
        <w:t> </w:t>
      </w:r>
      <w:r>
        <w:rPr>
          <w:sz w:val="22"/>
        </w:rPr>
        <w:t>asumidos</w:t>
      </w:r>
      <w:r>
        <w:rPr>
          <w:spacing w:val="-10"/>
          <w:sz w:val="22"/>
        </w:rPr>
        <w:t> </w:t>
      </w:r>
      <w:r>
        <w:rPr>
          <w:sz w:val="22"/>
        </w:rPr>
        <w:t>en</w:t>
      </w:r>
      <w:r>
        <w:rPr>
          <w:spacing w:val="-11"/>
          <w:sz w:val="22"/>
        </w:rPr>
        <w:t> </w:t>
      </w:r>
      <w:r>
        <w:rPr>
          <w:sz w:val="22"/>
        </w:rPr>
        <w:t>dicho</w:t>
      </w:r>
      <w:r>
        <w:rPr>
          <w:spacing w:val="-9"/>
          <w:sz w:val="22"/>
        </w:rPr>
        <w:t> </w:t>
      </w:r>
      <w:r>
        <w:rPr>
          <w:sz w:val="22"/>
        </w:rPr>
        <w:t>plan.</w:t>
      </w:r>
      <w:r>
        <w:rPr>
          <w:spacing w:val="-7"/>
          <w:sz w:val="22"/>
        </w:rPr>
        <w:t> </w:t>
      </w:r>
      <w:r>
        <w:rPr>
          <w:sz w:val="22"/>
        </w:rPr>
        <w:t>Fecha de vigencia 02702/2026.</w:t>
      </w:r>
    </w:p>
    <w:p>
      <w:pPr>
        <w:pStyle w:val="BodyText"/>
        <w:spacing w:before="1"/>
      </w:pPr>
    </w:p>
    <w:p>
      <w:pPr>
        <w:spacing w:before="0"/>
        <w:ind w:left="1625" w:right="1599" w:firstLine="0"/>
        <w:jc w:val="both"/>
        <w:rPr>
          <w:sz w:val="22"/>
        </w:rPr>
      </w:pPr>
      <w:r>
        <w:rPr>
          <w:b/>
          <w:sz w:val="22"/>
        </w:rPr>
        <w:t>Decreto N° 44965-MINAE Sistema Nacional de Certificación Madera Legal. </w:t>
      </w:r>
      <w:r>
        <w:rPr>
          <w:sz w:val="22"/>
        </w:rPr>
        <w:t>En toda contratación pública que incluya productos maderables dentro del alcance de la certificación, debe incorporarse esta exigencia en el pliego de condiciones. Fecha </w:t>
      </w:r>
      <w:r>
        <w:rPr>
          <w:spacing w:val="-2"/>
          <w:sz w:val="22"/>
        </w:rPr>
        <w:t>16/04/2026.</w:t>
      </w:r>
    </w:p>
    <w:p>
      <w:pPr>
        <w:pStyle w:val="BodyText"/>
      </w:pPr>
    </w:p>
    <w:p>
      <w:pPr>
        <w:spacing w:before="0"/>
        <w:ind w:left="1625" w:right="0" w:firstLine="0"/>
        <w:jc w:val="both"/>
        <w:rPr>
          <w:b/>
          <w:sz w:val="22"/>
        </w:rPr>
      </w:pPr>
      <w:r>
        <w:rPr>
          <w:b/>
          <w:spacing w:val="-2"/>
          <w:sz w:val="22"/>
        </w:rPr>
        <w:t>Decreto</w:t>
      </w:r>
      <w:r>
        <w:rPr>
          <w:b/>
          <w:spacing w:val="12"/>
          <w:sz w:val="22"/>
        </w:rPr>
        <w:t> </w:t>
      </w:r>
      <w:r>
        <w:rPr>
          <w:b/>
          <w:spacing w:val="-2"/>
          <w:sz w:val="22"/>
        </w:rPr>
        <w:t>N°</w:t>
      </w:r>
      <w:r>
        <w:rPr>
          <w:b/>
          <w:spacing w:val="12"/>
          <w:sz w:val="22"/>
        </w:rPr>
        <w:t> </w:t>
      </w:r>
      <w:r>
        <w:rPr>
          <w:b/>
          <w:spacing w:val="-2"/>
          <w:sz w:val="22"/>
        </w:rPr>
        <w:t>45499-MDHIS-MIDEPLAN-MEIC-</w:t>
      </w:r>
      <w:r>
        <w:rPr>
          <w:b/>
          <w:spacing w:val="10"/>
          <w:sz w:val="22"/>
        </w:rPr>
        <w:t> </w:t>
      </w:r>
      <w:r>
        <w:rPr>
          <w:b/>
          <w:spacing w:val="-2"/>
          <w:sz w:val="22"/>
        </w:rPr>
        <w:t>MIVAH-MTSS-MJP-MEP-MCJ.</w:t>
      </w:r>
      <w:r>
        <w:rPr>
          <w:b/>
          <w:spacing w:val="14"/>
          <w:sz w:val="22"/>
        </w:rPr>
        <w:t> </w:t>
      </w:r>
      <w:r>
        <w:rPr>
          <w:b/>
          <w:spacing w:val="-2"/>
          <w:sz w:val="22"/>
        </w:rPr>
        <w:t>Oficializa</w:t>
      </w:r>
    </w:p>
    <w:p>
      <w:pPr>
        <w:spacing w:before="2"/>
        <w:ind w:left="1625" w:right="1605" w:firstLine="0"/>
        <w:jc w:val="both"/>
        <w:rPr>
          <w:sz w:val="22"/>
        </w:rPr>
      </w:pPr>
      <w:r>
        <w:rPr>
          <w:b/>
          <w:sz w:val="22"/>
        </w:rPr>
        <w:t>e implementa la Política Nacional para la Atención de la Pobreza y la Inclusión Social denominada “Costa Rica Impulsa</w:t>
      </w:r>
      <w:r>
        <w:rPr>
          <w:sz w:val="22"/>
        </w:rPr>
        <w:t>. Oficializa el marco estratégico para la reducción de la pobreza y la promoción de la movilidad social. Fecha de vigencia: del </w:t>
      </w:r>
      <w:r>
        <w:rPr>
          <w:spacing w:val="-2"/>
          <w:sz w:val="22"/>
        </w:rPr>
        <w:t>02/02/2026.</w:t>
      </w:r>
    </w:p>
    <w:p>
      <w:pPr>
        <w:pStyle w:val="BodyText"/>
      </w:pPr>
    </w:p>
    <w:p>
      <w:pPr>
        <w:spacing w:before="0"/>
        <w:ind w:left="1625" w:right="1604" w:firstLine="0"/>
        <w:jc w:val="both"/>
        <w:rPr>
          <w:sz w:val="22"/>
        </w:rPr>
      </w:pPr>
      <w:r>
        <w:rPr>
          <w:b/>
          <w:sz w:val="22"/>
        </w:rPr>
        <w:t>Decreto N° 45836-MP-MSP-JP-MIVAH. Reforma a los artículos 2 y 7 del Decreto N° 39277-MP-MSP-JP-MIVAH-MDHIS </w:t>
      </w:r>
      <w:r>
        <w:rPr>
          <w:sz w:val="22"/>
        </w:rPr>
        <w:t>Creación de la Comisión de Atención Integral a los Desalojos (CAID) y del procedimiento especial para la atención de desalojos considerados como de vulnerabilidad social, del veinte de octubre del 2015. Fecha de vigencia: 27/05/2026.</w:t>
      </w:r>
    </w:p>
    <w:p>
      <w:pPr>
        <w:pStyle w:val="Heading5"/>
        <w:numPr>
          <w:ilvl w:val="2"/>
          <w:numId w:val="4"/>
        </w:numPr>
        <w:tabs>
          <w:tab w:pos="2176" w:val="left" w:leader="none"/>
        </w:tabs>
        <w:spacing w:line="240" w:lineRule="auto" w:before="252" w:after="0"/>
        <w:ind w:left="2176" w:right="0" w:hanging="551"/>
        <w:jc w:val="left"/>
      </w:pPr>
      <w:r>
        <w:rPr>
          <w:spacing w:val="-2"/>
        </w:rPr>
        <w:t>Reglamentos</w:t>
      </w:r>
    </w:p>
    <w:p>
      <w:pPr>
        <w:pStyle w:val="BodyText"/>
        <w:rPr>
          <w:b/>
        </w:rPr>
      </w:pPr>
    </w:p>
    <w:p>
      <w:pPr>
        <w:spacing w:before="0"/>
        <w:ind w:left="1625" w:right="1604" w:firstLine="0"/>
        <w:jc w:val="both"/>
        <w:rPr>
          <w:sz w:val="22"/>
        </w:rPr>
      </w:pPr>
      <w:r>
        <w:rPr>
          <w:b/>
          <w:sz w:val="22"/>
        </w:rPr>
        <w:t>Reglamento</w:t>
      </w:r>
      <w:r>
        <w:rPr>
          <w:b/>
          <w:spacing w:val="-6"/>
          <w:sz w:val="22"/>
        </w:rPr>
        <w:t> </w:t>
      </w:r>
      <w:r>
        <w:rPr>
          <w:b/>
          <w:sz w:val="22"/>
        </w:rPr>
        <w:t>a</w:t>
      </w:r>
      <w:r>
        <w:rPr>
          <w:b/>
          <w:spacing w:val="-9"/>
          <w:sz w:val="22"/>
        </w:rPr>
        <w:t> </w:t>
      </w:r>
      <w:r>
        <w:rPr>
          <w:b/>
          <w:sz w:val="22"/>
        </w:rPr>
        <w:t>las</w:t>
      </w:r>
      <w:r>
        <w:rPr>
          <w:b/>
          <w:spacing w:val="-7"/>
          <w:sz w:val="22"/>
        </w:rPr>
        <w:t> </w:t>
      </w:r>
      <w:r>
        <w:rPr>
          <w:b/>
          <w:sz w:val="22"/>
        </w:rPr>
        <w:t>Leyes</w:t>
      </w:r>
      <w:r>
        <w:rPr>
          <w:b/>
          <w:spacing w:val="-4"/>
          <w:sz w:val="22"/>
        </w:rPr>
        <w:t> </w:t>
      </w:r>
      <w:r>
        <w:rPr>
          <w:b/>
          <w:sz w:val="22"/>
        </w:rPr>
        <w:t>N°4760</w:t>
      </w:r>
      <w:r>
        <w:rPr>
          <w:b/>
          <w:spacing w:val="-7"/>
          <w:sz w:val="22"/>
        </w:rPr>
        <w:t> </w:t>
      </w:r>
      <w:r>
        <w:rPr>
          <w:b/>
          <w:sz w:val="22"/>
        </w:rPr>
        <w:t>y</w:t>
      </w:r>
      <w:r>
        <w:rPr>
          <w:b/>
          <w:spacing w:val="-6"/>
          <w:sz w:val="22"/>
        </w:rPr>
        <w:t> </w:t>
      </w:r>
      <w:r>
        <w:rPr>
          <w:b/>
          <w:sz w:val="22"/>
        </w:rPr>
        <w:t>sus</w:t>
      </w:r>
      <w:r>
        <w:rPr>
          <w:b/>
          <w:spacing w:val="-9"/>
          <w:sz w:val="22"/>
        </w:rPr>
        <w:t> </w:t>
      </w:r>
      <w:r>
        <w:rPr>
          <w:b/>
          <w:sz w:val="22"/>
        </w:rPr>
        <w:t>reformas</w:t>
      </w:r>
      <w:r>
        <w:rPr>
          <w:b/>
          <w:spacing w:val="-4"/>
          <w:sz w:val="22"/>
        </w:rPr>
        <w:t> </w:t>
      </w:r>
      <w:r>
        <w:rPr>
          <w:b/>
          <w:sz w:val="22"/>
        </w:rPr>
        <w:t>y</w:t>
      </w:r>
      <w:r>
        <w:rPr>
          <w:b/>
          <w:spacing w:val="-6"/>
          <w:sz w:val="22"/>
        </w:rPr>
        <w:t> </w:t>
      </w:r>
      <w:r>
        <w:rPr>
          <w:b/>
          <w:sz w:val="22"/>
        </w:rPr>
        <w:t>Leyes</w:t>
      </w:r>
      <w:r>
        <w:rPr>
          <w:b/>
          <w:spacing w:val="-6"/>
          <w:sz w:val="22"/>
        </w:rPr>
        <w:t> </w:t>
      </w:r>
      <w:r>
        <w:rPr>
          <w:b/>
          <w:sz w:val="22"/>
        </w:rPr>
        <w:t>N°7083,</w:t>
      </w:r>
      <w:r>
        <w:rPr>
          <w:b/>
          <w:spacing w:val="-5"/>
          <w:sz w:val="22"/>
        </w:rPr>
        <w:t> </w:t>
      </w:r>
      <w:r>
        <w:rPr>
          <w:b/>
          <w:sz w:val="22"/>
        </w:rPr>
        <w:t>7151</w:t>
      </w:r>
      <w:r>
        <w:rPr>
          <w:b/>
          <w:spacing w:val="-9"/>
          <w:sz w:val="22"/>
        </w:rPr>
        <w:t> </w:t>
      </w:r>
      <w:r>
        <w:rPr>
          <w:b/>
          <w:sz w:val="22"/>
        </w:rPr>
        <w:t>y</w:t>
      </w:r>
      <w:r>
        <w:rPr>
          <w:b/>
          <w:spacing w:val="-4"/>
          <w:sz w:val="22"/>
        </w:rPr>
        <w:t> </w:t>
      </w:r>
      <w:r>
        <w:rPr>
          <w:b/>
          <w:sz w:val="22"/>
        </w:rPr>
        <w:t>7154</w:t>
      </w:r>
      <w:r>
        <w:rPr>
          <w:b/>
          <w:spacing w:val="-7"/>
          <w:sz w:val="22"/>
        </w:rPr>
        <w:t> </w:t>
      </w:r>
      <w:r>
        <w:rPr>
          <w:b/>
          <w:sz w:val="22"/>
        </w:rPr>
        <w:t>para</w:t>
      </w:r>
      <w:r>
        <w:rPr>
          <w:b/>
          <w:spacing w:val="-6"/>
          <w:sz w:val="22"/>
        </w:rPr>
        <w:t> </w:t>
      </w:r>
      <w:r>
        <w:rPr>
          <w:b/>
          <w:sz w:val="22"/>
        </w:rPr>
        <w:t>el Otorgamiento de propiedad a los Adjudicados de proyectos de vivienda del IMAS, Decreto</w:t>
      </w:r>
      <w:r>
        <w:rPr>
          <w:b/>
          <w:spacing w:val="-16"/>
          <w:sz w:val="22"/>
        </w:rPr>
        <w:t> </w:t>
      </w:r>
      <w:r>
        <w:rPr>
          <w:b/>
          <w:sz w:val="22"/>
        </w:rPr>
        <w:t>N</w:t>
      </w:r>
      <w:r>
        <w:rPr>
          <w:b/>
          <w:spacing w:val="-15"/>
          <w:sz w:val="22"/>
        </w:rPr>
        <w:t> </w:t>
      </w:r>
      <w:r>
        <w:rPr>
          <w:b/>
          <w:sz w:val="22"/>
        </w:rPr>
        <w:t>º</w:t>
      </w:r>
      <w:r>
        <w:rPr>
          <w:b/>
          <w:spacing w:val="-15"/>
          <w:sz w:val="22"/>
        </w:rPr>
        <w:t> </w:t>
      </w:r>
      <w:r>
        <w:rPr>
          <w:b/>
          <w:sz w:val="22"/>
        </w:rPr>
        <w:t>29531</w:t>
      </w:r>
      <w:r>
        <w:rPr>
          <w:sz w:val="22"/>
        </w:rPr>
        <w:t>,</w:t>
      </w:r>
      <w:r>
        <w:rPr>
          <w:spacing w:val="-16"/>
          <w:sz w:val="22"/>
        </w:rPr>
        <w:t> </w:t>
      </w:r>
      <w:r>
        <w:rPr>
          <w:sz w:val="22"/>
        </w:rPr>
        <w:t>Regula</w:t>
      </w:r>
      <w:r>
        <w:rPr>
          <w:spacing w:val="-15"/>
          <w:sz w:val="22"/>
        </w:rPr>
        <w:t> </w:t>
      </w:r>
      <w:r>
        <w:rPr>
          <w:sz w:val="22"/>
        </w:rPr>
        <w:t>la</w:t>
      </w:r>
      <w:r>
        <w:rPr>
          <w:spacing w:val="-15"/>
          <w:sz w:val="22"/>
        </w:rPr>
        <w:t> </w:t>
      </w:r>
      <w:r>
        <w:rPr>
          <w:sz w:val="22"/>
        </w:rPr>
        <w:t>titulación</w:t>
      </w:r>
      <w:r>
        <w:rPr>
          <w:spacing w:val="-15"/>
          <w:sz w:val="22"/>
        </w:rPr>
        <w:t> </w:t>
      </w:r>
      <w:r>
        <w:rPr>
          <w:sz w:val="22"/>
        </w:rPr>
        <w:t>de</w:t>
      </w:r>
      <w:r>
        <w:rPr>
          <w:spacing w:val="-16"/>
          <w:sz w:val="22"/>
        </w:rPr>
        <w:t> </w:t>
      </w:r>
      <w:r>
        <w:rPr>
          <w:sz w:val="22"/>
        </w:rPr>
        <w:t>los</w:t>
      </w:r>
      <w:r>
        <w:rPr>
          <w:spacing w:val="-15"/>
          <w:sz w:val="22"/>
        </w:rPr>
        <w:t> </w:t>
      </w:r>
      <w:r>
        <w:rPr>
          <w:sz w:val="22"/>
        </w:rPr>
        <w:t>lotes</w:t>
      </w:r>
      <w:r>
        <w:rPr>
          <w:spacing w:val="-15"/>
          <w:sz w:val="22"/>
        </w:rPr>
        <w:t> </w:t>
      </w:r>
      <w:r>
        <w:rPr>
          <w:sz w:val="22"/>
        </w:rPr>
        <w:t>y</w:t>
      </w:r>
      <w:r>
        <w:rPr>
          <w:spacing w:val="-16"/>
          <w:sz w:val="22"/>
        </w:rPr>
        <w:t> </w:t>
      </w:r>
      <w:r>
        <w:rPr>
          <w:sz w:val="22"/>
        </w:rPr>
        <w:t>viviendas</w:t>
      </w:r>
      <w:r>
        <w:rPr>
          <w:spacing w:val="-14"/>
          <w:sz w:val="22"/>
        </w:rPr>
        <w:t> </w:t>
      </w:r>
      <w:r>
        <w:rPr>
          <w:sz w:val="22"/>
        </w:rPr>
        <w:t>adjudicadas</w:t>
      </w:r>
      <w:r>
        <w:rPr>
          <w:spacing w:val="-15"/>
          <w:sz w:val="22"/>
        </w:rPr>
        <w:t> </w:t>
      </w:r>
      <w:r>
        <w:rPr>
          <w:sz w:val="22"/>
        </w:rPr>
        <w:t>por</w:t>
      </w:r>
      <w:r>
        <w:rPr>
          <w:spacing w:val="-13"/>
          <w:sz w:val="22"/>
        </w:rPr>
        <w:t> </w:t>
      </w:r>
      <w:r>
        <w:rPr>
          <w:sz w:val="22"/>
        </w:rPr>
        <w:t>el</w:t>
      </w:r>
      <w:r>
        <w:rPr>
          <w:spacing w:val="-15"/>
          <w:sz w:val="22"/>
        </w:rPr>
        <w:t> </w:t>
      </w:r>
      <w:r>
        <w:rPr>
          <w:sz w:val="22"/>
        </w:rPr>
        <w:t>Instituto Mixto de Ayuda Social, a los beneficiarios de sus proyectos de vivienda, Establece parámetros</w:t>
      </w:r>
      <w:r>
        <w:rPr>
          <w:spacing w:val="-9"/>
          <w:sz w:val="22"/>
        </w:rPr>
        <w:t> </w:t>
      </w:r>
      <w:r>
        <w:rPr>
          <w:sz w:val="22"/>
        </w:rPr>
        <w:t>y</w:t>
      </w:r>
      <w:r>
        <w:rPr>
          <w:spacing w:val="-8"/>
          <w:sz w:val="22"/>
        </w:rPr>
        <w:t> </w:t>
      </w:r>
      <w:r>
        <w:rPr>
          <w:sz w:val="22"/>
        </w:rPr>
        <w:t>requisitos</w:t>
      </w:r>
      <w:r>
        <w:rPr>
          <w:spacing w:val="-9"/>
          <w:sz w:val="22"/>
        </w:rPr>
        <w:t> </w:t>
      </w:r>
      <w:r>
        <w:rPr>
          <w:sz w:val="22"/>
        </w:rPr>
        <w:t>necesarios</w:t>
      </w:r>
      <w:r>
        <w:rPr>
          <w:spacing w:val="-6"/>
          <w:sz w:val="22"/>
        </w:rPr>
        <w:t> </w:t>
      </w:r>
      <w:r>
        <w:rPr>
          <w:sz w:val="22"/>
        </w:rPr>
        <w:t>para</w:t>
      </w:r>
      <w:r>
        <w:rPr>
          <w:spacing w:val="-9"/>
          <w:sz w:val="22"/>
        </w:rPr>
        <w:t> </w:t>
      </w:r>
      <w:r>
        <w:rPr>
          <w:sz w:val="22"/>
        </w:rPr>
        <w:t>titular</w:t>
      </w:r>
      <w:r>
        <w:rPr>
          <w:spacing w:val="-6"/>
          <w:sz w:val="22"/>
        </w:rPr>
        <w:t> </w:t>
      </w:r>
      <w:r>
        <w:rPr>
          <w:sz w:val="22"/>
        </w:rPr>
        <w:t>lotes</w:t>
      </w:r>
      <w:r>
        <w:rPr>
          <w:spacing w:val="-6"/>
          <w:sz w:val="22"/>
        </w:rPr>
        <w:t> </w:t>
      </w:r>
      <w:r>
        <w:rPr>
          <w:sz w:val="22"/>
        </w:rPr>
        <w:t>y</w:t>
      </w:r>
      <w:r>
        <w:rPr>
          <w:spacing w:val="-6"/>
          <w:sz w:val="22"/>
        </w:rPr>
        <w:t> </w:t>
      </w:r>
      <w:r>
        <w:rPr>
          <w:sz w:val="22"/>
        </w:rPr>
        <w:t>viviendas</w:t>
      </w:r>
      <w:r>
        <w:rPr>
          <w:spacing w:val="-6"/>
          <w:sz w:val="22"/>
        </w:rPr>
        <w:t> </w:t>
      </w:r>
      <w:r>
        <w:rPr>
          <w:sz w:val="22"/>
        </w:rPr>
        <w:t>del</w:t>
      </w:r>
      <w:r>
        <w:rPr>
          <w:spacing w:val="-10"/>
          <w:sz w:val="22"/>
        </w:rPr>
        <w:t> </w:t>
      </w:r>
      <w:r>
        <w:rPr>
          <w:sz w:val="22"/>
        </w:rPr>
        <w:t>IMAS</w:t>
      </w:r>
      <w:r>
        <w:rPr>
          <w:spacing w:val="-9"/>
          <w:sz w:val="22"/>
        </w:rPr>
        <w:t> </w:t>
      </w:r>
      <w:r>
        <w:rPr>
          <w:sz w:val="22"/>
        </w:rPr>
        <w:t>y</w:t>
      </w:r>
      <w:r>
        <w:rPr>
          <w:spacing w:val="-6"/>
          <w:sz w:val="22"/>
        </w:rPr>
        <w:t> </w:t>
      </w:r>
      <w:r>
        <w:rPr>
          <w:sz w:val="22"/>
        </w:rPr>
        <w:t>sus</w:t>
      </w:r>
      <w:r>
        <w:rPr>
          <w:spacing w:val="-9"/>
          <w:sz w:val="22"/>
        </w:rPr>
        <w:t> </w:t>
      </w:r>
      <w:r>
        <w:rPr>
          <w:sz w:val="22"/>
        </w:rPr>
        <w:t>reformas. Fecha de vigencia 10/08/2001.</w:t>
      </w:r>
    </w:p>
    <w:p>
      <w:pPr>
        <w:pStyle w:val="BodyText"/>
        <w:spacing w:before="1"/>
      </w:pPr>
    </w:p>
    <w:p>
      <w:pPr>
        <w:spacing w:before="0"/>
        <w:ind w:left="1625" w:right="1601" w:firstLine="0"/>
        <w:jc w:val="both"/>
        <w:rPr>
          <w:sz w:val="22"/>
        </w:rPr>
      </w:pPr>
      <w:r>
        <w:rPr>
          <w:b/>
          <w:sz w:val="22"/>
        </w:rPr>
        <w:t>Reglamento</w:t>
      </w:r>
      <w:r>
        <w:rPr>
          <w:b/>
          <w:spacing w:val="-3"/>
          <w:sz w:val="22"/>
        </w:rPr>
        <w:t> </w:t>
      </w:r>
      <w:r>
        <w:rPr>
          <w:b/>
          <w:sz w:val="22"/>
        </w:rPr>
        <w:t>de</w:t>
      </w:r>
      <w:r>
        <w:rPr>
          <w:b/>
          <w:spacing w:val="-5"/>
          <w:sz w:val="22"/>
        </w:rPr>
        <w:t> </w:t>
      </w:r>
      <w:r>
        <w:rPr>
          <w:b/>
          <w:sz w:val="22"/>
        </w:rPr>
        <w:t>la</w:t>
      </w:r>
      <w:r>
        <w:rPr>
          <w:b/>
          <w:spacing w:val="-3"/>
          <w:sz w:val="22"/>
        </w:rPr>
        <w:t> </w:t>
      </w:r>
      <w:r>
        <w:rPr>
          <w:b/>
          <w:sz w:val="22"/>
        </w:rPr>
        <w:t>Ley</w:t>
      </w:r>
      <w:r>
        <w:rPr>
          <w:b/>
          <w:spacing w:val="-4"/>
          <w:sz w:val="22"/>
        </w:rPr>
        <w:t> </w:t>
      </w:r>
      <w:r>
        <w:rPr>
          <w:b/>
          <w:sz w:val="22"/>
        </w:rPr>
        <w:t>N°8634,</w:t>
      </w:r>
      <w:r>
        <w:rPr>
          <w:b/>
          <w:spacing w:val="-1"/>
          <w:sz w:val="22"/>
        </w:rPr>
        <w:t> </w:t>
      </w:r>
      <w:r>
        <w:rPr>
          <w:b/>
          <w:sz w:val="22"/>
        </w:rPr>
        <w:t>Sistema</w:t>
      </w:r>
      <w:r>
        <w:rPr>
          <w:b/>
          <w:spacing w:val="-3"/>
          <w:sz w:val="22"/>
        </w:rPr>
        <w:t> </w:t>
      </w:r>
      <w:r>
        <w:rPr>
          <w:b/>
          <w:sz w:val="22"/>
        </w:rPr>
        <w:t>Nacional</w:t>
      </w:r>
      <w:r>
        <w:rPr>
          <w:b/>
          <w:spacing w:val="-1"/>
          <w:sz w:val="22"/>
        </w:rPr>
        <w:t> </w:t>
      </w:r>
      <w:r>
        <w:rPr>
          <w:b/>
          <w:sz w:val="22"/>
        </w:rPr>
        <w:t>de</w:t>
      </w:r>
      <w:r>
        <w:rPr>
          <w:b/>
          <w:spacing w:val="-3"/>
          <w:sz w:val="22"/>
        </w:rPr>
        <w:t> </w:t>
      </w:r>
      <w:r>
        <w:rPr>
          <w:b/>
          <w:sz w:val="22"/>
        </w:rPr>
        <w:t>Banca</w:t>
      </w:r>
      <w:r>
        <w:rPr>
          <w:b/>
          <w:spacing w:val="-3"/>
          <w:sz w:val="22"/>
        </w:rPr>
        <w:t> </w:t>
      </w:r>
      <w:r>
        <w:rPr>
          <w:b/>
          <w:sz w:val="22"/>
        </w:rPr>
        <w:t>para</w:t>
      </w:r>
      <w:r>
        <w:rPr>
          <w:b/>
          <w:spacing w:val="-2"/>
          <w:sz w:val="22"/>
        </w:rPr>
        <w:t> </w:t>
      </w:r>
      <w:r>
        <w:rPr>
          <w:b/>
          <w:sz w:val="22"/>
        </w:rPr>
        <w:t>el</w:t>
      </w:r>
      <w:r>
        <w:rPr>
          <w:b/>
          <w:spacing w:val="-1"/>
          <w:sz w:val="22"/>
        </w:rPr>
        <w:t> </w:t>
      </w:r>
      <w:r>
        <w:rPr>
          <w:b/>
          <w:sz w:val="22"/>
        </w:rPr>
        <w:t>Desarrollo</w:t>
      </w:r>
      <w:r>
        <w:rPr>
          <w:sz w:val="22"/>
        </w:rPr>
        <w:t>.</w:t>
      </w:r>
      <w:r>
        <w:rPr>
          <w:spacing w:val="-1"/>
          <w:sz w:val="22"/>
        </w:rPr>
        <w:t> </w:t>
      </w:r>
      <w:r>
        <w:rPr>
          <w:sz w:val="22"/>
        </w:rPr>
        <w:t>Tiene como objeto</w:t>
      </w:r>
      <w:r>
        <w:rPr>
          <w:spacing w:val="15"/>
          <w:sz w:val="22"/>
        </w:rPr>
        <w:t> </w:t>
      </w:r>
      <w:r>
        <w:rPr>
          <w:sz w:val="22"/>
        </w:rPr>
        <w:t>desarrollar los</w:t>
      </w:r>
      <w:r>
        <w:rPr>
          <w:spacing w:val="15"/>
          <w:sz w:val="22"/>
        </w:rPr>
        <w:t> </w:t>
      </w:r>
      <w:r>
        <w:rPr>
          <w:sz w:val="22"/>
        </w:rPr>
        <w:t>principios</w:t>
      </w:r>
      <w:r>
        <w:rPr>
          <w:spacing w:val="15"/>
          <w:sz w:val="22"/>
        </w:rPr>
        <w:t> </w:t>
      </w:r>
      <w:r>
        <w:rPr>
          <w:sz w:val="22"/>
        </w:rPr>
        <w:t>y normas que</w:t>
      </w:r>
      <w:r>
        <w:rPr>
          <w:spacing w:val="15"/>
          <w:sz w:val="22"/>
        </w:rPr>
        <w:t> </w:t>
      </w:r>
      <w:r>
        <w:rPr>
          <w:sz w:val="22"/>
        </w:rPr>
        <w:t>se desprenden de la</w:t>
      </w:r>
      <w:r>
        <w:rPr>
          <w:spacing w:val="15"/>
          <w:sz w:val="22"/>
        </w:rPr>
        <w:t> </w:t>
      </w:r>
      <w:r>
        <w:rPr>
          <w:sz w:val="22"/>
        </w:rPr>
        <w:t>Ley N°</w:t>
      </w:r>
      <w:r>
        <w:rPr>
          <w:spacing w:val="16"/>
          <w:sz w:val="22"/>
        </w:rPr>
        <w:t> </w:t>
      </w:r>
      <w:r>
        <w:rPr>
          <w:sz w:val="22"/>
        </w:rPr>
        <w:t>8634,</w:t>
      </w:r>
    </w:p>
    <w:p>
      <w:pPr>
        <w:spacing w:after="0"/>
        <w:jc w:val="both"/>
        <w:rPr>
          <w:sz w:val="22"/>
        </w:rPr>
        <w:sectPr>
          <w:pgSz w:w="12240" w:h="15840"/>
          <w:pgMar w:header="0" w:footer="1576" w:top="1000" w:bottom="1760" w:left="360" w:right="0"/>
        </w:sectPr>
      </w:pPr>
    </w:p>
    <w:p>
      <w:pPr>
        <w:pStyle w:val="BodyText"/>
        <w:spacing w:before="77"/>
        <w:ind w:left="1625" w:right="1600"/>
        <w:jc w:val="both"/>
      </w:pPr>
      <w:r>
        <w:rPr/>
        <w:t>Ley Sistema de Banca para el Desarrollo y sus reformas, con el propósito de contar con mecanismos</w:t>
      </w:r>
      <w:r>
        <w:rPr>
          <w:spacing w:val="-15"/>
        </w:rPr>
        <w:t> </w:t>
      </w:r>
      <w:r>
        <w:rPr/>
        <w:t>para</w:t>
      </w:r>
      <w:r>
        <w:rPr>
          <w:spacing w:val="-12"/>
        </w:rPr>
        <w:t> </w:t>
      </w:r>
      <w:r>
        <w:rPr/>
        <w:t>impulsar</w:t>
      </w:r>
      <w:r>
        <w:rPr>
          <w:spacing w:val="-11"/>
        </w:rPr>
        <w:t> </w:t>
      </w:r>
      <w:r>
        <w:rPr/>
        <w:t>proyectos</w:t>
      </w:r>
      <w:r>
        <w:rPr>
          <w:spacing w:val="-12"/>
        </w:rPr>
        <w:t> </w:t>
      </w:r>
      <w:r>
        <w:rPr/>
        <w:t>productivos</w:t>
      </w:r>
      <w:r>
        <w:rPr>
          <w:spacing w:val="-14"/>
        </w:rPr>
        <w:t> </w:t>
      </w:r>
      <w:r>
        <w:rPr/>
        <w:t>y</w:t>
      </w:r>
      <w:r>
        <w:rPr>
          <w:spacing w:val="-12"/>
        </w:rPr>
        <w:t> </w:t>
      </w:r>
      <w:r>
        <w:rPr/>
        <w:t>cumplir</w:t>
      </w:r>
      <w:r>
        <w:rPr>
          <w:spacing w:val="-11"/>
        </w:rPr>
        <w:t> </w:t>
      </w:r>
      <w:r>
        <w:rPr/>
        <w:t>con</w:t>
      </w:r>
      <w:r>
        <w:rPr>
          <w:spacing w:val="-15"/>
        </w:rPr>
        <w:t> </w:t>
      </w:r>
      <w:r>
        <w:rPr/>
        <w:t>el</w:t>
      </w:r>
      <w:r>
        <w:rPr>
          <w:spacing w:val="-16"/>
        </w:rPr>
        <w:t> </w:t>
      </w:r>
      <w:r>
        <w:rPr/>
        <w:t>fin</w:t>
      </w:r>
      <w:r>
        <w:rPr>
          <w:spacing w:val="-11"/>
        </w:rPr>
        <w:t> </w:t>
      </w:r>
      <w:r>
        <w:rPr/>
        <w:t>público</w:t>
      </w:r>
      <w:r>
        <w:rPr>
          <w:spacing w:val="-12"/>
        </w:rPr>
        <w:t> </w:t>
      </w:r>
      <w:r>
        <w:rPr/>
        <w:t>de</w:t>
      </w:r>
      <w:r>
        <w:rPr>
          <w:spacing w:val="-15"/>
        </w:rPr>
        <w:t> </w:t>
      </w:r>
      <w:r>
        <w:rPr/>
        <w:t>movilidad social</w:t>
      </w:r>
      <w:r>
        <w:rPr>
          <w:spacing w:val="-16"/>
        </w:rPr>
        <w:t> </w:t>
      </w:r>
      <w:r>
        <w:rPr/>
        <w:t>de</w:t>
      </w:r>
      <w:r>
        <w:rPr>
          <w:spacing w:val="-15"/>
        </w:rPr>
        <w:t> </w:t>
      </w:r>
      <w:r>
        <w:rPr/>
        <w:t>las</w:t>
      </w:r>
      <w:r>
        <w:rPr>
          <w:spacing w:val="-15"/>
        </w:rPr>
        <w:t> </w:t>
      </w:r>
      <w:r>
        <w:rPr/>
        <w:t>personas</w:t>
      </w:r>
      <w:r>
        <w:rPr>
          <w:spacing w:val="-16"/>
        </w:rPr>
        <w:t> </w:t>
      </w:r>
      <w:r>
        <w:rPr/>
        <w:t>beneficiarias</w:t>
      </w:r>
      <w:r>
        <w:rPr>
          <w:spacing w:val="-15"/>
        </w:rPr>
        <w:t> </w:t>
      </w:r>
      <w:r>
        <w:rPr/>
        <w:t>establecidos</w:t>
      </w:r>
      <w:r>
        <w:rPr>
          <w:spacing w:val="-15"/>
        </w:rPr>
        <w:t> </w:t>
      </w:r>
      <w:r>
        <w:rPr/>
        <w:t>en</w:t>
      </w:r>
      <w:r>
        <w:rPr>
          <w:spacing w:val="-15"/>
        </w:rPr>
        <w:t> </w:t>
      </w:r>
      <w:r>
        <w:rPr/>
        <w:t>la</w:t>
      </w:r>
      <w:r>
        <w:rPr>
          <w:spacing w:val="-16"/>
        </w:rPr>
        <w:t> </w:t>
      </w:r>
      <w:r>
        <w:rPr/>
        <w:t>Ley.</w:t>
      </w:r>
      <w:r>
        <w:rPr>
          <w:spacing w:val="-15"/>
        </w:rPr>
        <w:t> </w:t>
      </w:r>
      <w:r>
        <w:rPr/>
        <w:t>Decreto</w:t>
      </w:r>
      <w:r>
        <w:rPr>
          <w:spacing w:val="-15"/>
        </w:rPr>
        <w:t> </w:t>
      </w:r>
      <w:r>
        <w:rPr/>
        <w:t>N°43980-MEIC-MAG-TUR.</w:t>
      </w:r>
      <w:r>
        <w:rPr>
          <w:spacing w:val="40"/>
        </w:rPr>
        <w:t> </w:t>
      </w:r>
      <w:r>
        <w:rPr/>
        <w:t>Fecha de vigencia 27/03/2003.</w:t>
      </w:r>
    </w:p>
    <w:p>
      <w:pPr>
        <w:pStyle w:val="BodyText"/>
      </w:pPr>
    </w:p>
    <w:p>
      <w:pPr>
        <w:spacing w:before="1"/>
        <w:ind w:left="1625" w:right="1602" w:firstLine="0"/>
        <w:jc w:val="both"/>
        <w:rPr>
          <w:sz w:val="22"/>
        </w:rPr>
      </w:pPr>
      <w:r>
        <w:rPr>
          <w:b/>
          <w:sz w:val="22"/>
        </w:rPr>
        <w:t>Reglamento a la Ley de Inclusión y Protección Laboral de las Personas con Discapacidad en el Sector Público y sus reformas</w:t>
      </w:r>
      <w:r>
        <w:rPr>
          <w:sz w:val="22"/>
        </w:rPr>
        <w:t>. Disposiciones de aplicación obligatoria para todo el sector público, que regulan los mecanismos para la efectiva aplicación</w:t>
      </w:r>
      <w:r>
        <w:rPr>
          <w:spacing w:val="-9"/>
          <w:sz w:val="22"/>
        </w:rPr>
        <w:t> </w:t>
      </w:r>
      <w:r>
        <w:rPr>
          <w:sz w:val="22"/>
        </w:rPr>
        <w:t>de</w:t>
      </w:r>
      <w:r>
        <w:rPr>
          <w:spacing w:val="-9"/>
          <w:sz w:val="22"/>
        </w:rPr>
        <w:t> </w:t>
      </w:r>
      <w:r>
        <w:rPr>
          <w:sz w:val="22"/>
        </w:rPr>
        <w:t>la</w:t>
      </w:r>
      <w:r>
        <w:rPr>
          <w:spacing w:val="-11"/>
          <w:sz w:val="22"/>
        </w:rPr>
        <w:t> </w:t>
      </w:r>
      <w:r>
        <w:rPr>
          <w:sz w:val="22"/>
        </w:rPr>
        <w:t>Ley</w:t>
      </w:r>
      <w:r>
        <w:rPr>
          <w:spacing w:val="-11"/>
          <w:sz w:val="22"/>
        </w:rPr>
        <w:t> </w:t>
      </w:r>
      <w:r>
        <w:rPr>
          <w:sz w:val="22"/>
        </w:rPr>
        <w:t>N°</w:t>
      </w:r>
      <w:r>
        <w:rPr>
          <w:spacing w:val="-10"/>
          <w:sz w:val="22"/>
        </w:rPr>
        <w:t> </w:t>
      </w:r>
      <w:r>
        <w:rPr>
          <w:sz w:val="22"/>
        </w:rPr>
        <w:t>8862,</w:t>
      </w:r>
      <w:r>
        <w:rPr>
          <w:spacing w:val="-8"/>
          <w:sz w:val="22"/>
        </w:rPr>
        <w:t> </w:t>
      </w:r>
      <w:r>
        <w:rPr>
          <w:sz w:val="22"/>
        </w:rPr>
        <w:t>a</w:t>
      </w:r>
      <w:r>
        <w:rPr>
          <w:spacing w:val="-14"/>
          <w:sz w:val="22"/>
        </w:rPr>
        <w:t> </w:t>
      </w:r>
      <w:r>
        <w:rPr>
          <w:sz w:val="22"/>
        </w:rPr>
        <w:t>fin</w:t>
      </w:r>
      <w:r>
        <w:rPr>
          <w:spacing w:val="-9"/>
          <w:sz w:val="22"/>
        </w:rPr>
        <w:t> </w:t>
      </w:r>
      <w:r>
        <w:rPr>
          <w:sz w:val="22"/>
        </w:rPr>
        <w:t>de</w:t>
      </w:r>
      <w:r>
        <w:rPr>
          <w:spacing w:val="-12"/>
          <w:sz w:val="22"/>
        </w:rPr>
        <w:t> </w:t>
      </w:r>
      <w:r>
        <w:rPr>
          <w:sz w:val="22"/>
        </w:rPr>
        <w:t>alcanzar</w:t>
      </w:r>
      <w:r>
        <w:rPr>
          <w:spacing w:val="-10"/>
          <w:sz w:val="22"/>
        </w:rPr>
        <w:t> </w:t>
      </w:r>
      <w:r>
        <w:rPr>
          <w:sz w:val="22"/>
        </w:rPr>
        <w:t>la</w:t>
      </w:r>
      <w:r>
        <w:rPr>
          <w:spacing w:val="-11"/>
          <w:sz w:val="22"/>
        </w:rPr>
        <w:t> </w:t>
      </w:r>
      <w:r>
        <w:rPr>
          <w:sz w:val="22"/>
        </w:rPr>
        <w:t>más</w:t>
      </w:r>
      <w:r>
        <w:rPr>
          <w:spacing w:val="-11"/>
          <w:sz w:val="22"/>
        </w:rPr>
        <w:t> </w:t>
      </w:r>
      <w:r>
        <w:rPr>
          <w:sz w:val="22"/>
        </w:rPr>
        <w:t>plena</w:t>
      </w:r>
      <w:r>
        <w:rPr>
          <w:spacing w:val="-9"/>
          <w:sz w:val="22"/>
        </w:rPr>
        <w:t> </w:t>
      </w:r>
      <w:r>
        <w:rPr>
          <w:sz w:val="22"/>
        </w:rPr>
        <w:t>inclusión</w:t>
      </w:r>
      <w:r>
        <w:rPr>
          <w:spacing w:val="-9"/>
          <w:sz w:val="22"/>
        </w:rPr>
        <w:t> </w:t>
      </w:r>
      <w:r>
        <w:rPr>
          <w:sz w:val="22"/>
        </w:rPr>
        <w:t>de</w:t>
      </w:r>
      <w:r>
        <w:rPr>
          <w:spacing w:val="-12"/>
          <w:sz w:val="22"/>
        </w:rPr>
        <w:t> </w:t>
      </w:r>
      <w:r>
        <w:rPr>
          <w:sz w:val="22"/>
        </w:rPr>
        <w:t>las</w:t>
      </w:r>
      <w:r>
        <w:rPr>
          <w:spacing w:val="-8"/>
          <w:sz w:val="22"/>
        </w:rPr>
        <w:t> </w:t>
      </w:r>
      <w:r>
        <w:rPr>
          <w:sz w:val="22"/>
        </w:rPr>
        <w:t>personas</w:t>
      </w:r>
      <w:r>
        <w:rPr>
          <w:spacing w:val="-11"/>
          <w:sz w:val="22"/>
        </w:rPr>
        <w:t> </w:t>
      </w:r>
      <w:r>
        <w:rPr>
          <w:sz w:val="22"/>
        </w:rPr>
        <w:t>con discapacidad en el ámbito laboral del sector público (</w:t>
      </w:r>
      <w:r>
        <w:rPr>
          <w:b/>
          <w:sz w:val="22"/>
        </w:rPr>
        <w:t>Decreto N°36462-MP-MTSS). </w:t>
      </w:r>
      <w:r>
        <w:rPr>
          <w:sz w:val="22"/>
        </w:rPr>
        <w:t>Fecha de vigencia 21/03/2011.</w:t>
      </w:r>
    </w:p>
    <w:p>
      <w:pPr>
        <w:pStyle w:val="BodyText"/>
      </w:pPr>
    </w:p>
    <w:p>
      <w:pPr>
        <w:spacing w:before="0"/>
        <w:ind w:left="1625" w:right="1602" w:firstLine="0"/>
        <w:jc w:val="both"/>
        <w:rPr>
          <w:sz w:val="22"/>
        </w:rPr>
      </w:pPr>
      <w:r>
        <w:rPr>
          <w:b/>
          <w:sz w:val="22"/>
        </w:rPr>
        <w:t>Reglamento de Organización y Funcionamiento del Consejo Directivo del IMAS y sus reformas. Acuerdo CD N°200-04-2013 y sus reformas</w:t>
      </w:r>
      <w:r>
        <w:rPr>
          <w:sz w:val="22"/>
        </w:rPr>
        <w:t>. Regular la organización y funcionamiento del Consejo Directivo como Órgano Superior Jerárquico Colegiado en materia de Gobierno del Instituto Mixto de Ayuda Social. Fecha de vigencia 11/06/2013.</w:t>
      </w:r>
    </w:p>
    <w:p>
      <w:pPr>
        <w:pStyle w:val="BodyText"/>
      </w:pPr>
    </w:p>
    <w:p>
      <w:pPr>
        <w:spacing w:before="1"/>
        <w:ind w:left="1625" w:right="1603" w:firstLine="0"/>
        <w:jc w:val="both"/>
        <w:rPr>
          <w:sz w:val="22"/>
        </w:rPr>
      </w:pPr>
      <w:r>
        <w:rPr>
          <w:b/>
          <w:sz w:val="22"/>
        </w:rPr>
        <w:t>Reglamento para Ajustes o Variaciones al Presupuesto Ordinario del IMAS, Acuerdo</w:t>
      </w:r>
      <w:r>
        <w:rPr>
          <w:b/>
          <w:spacing w:val="-15"/>
          <w:sz w:val="22"/>
        </w:rPr>
        <w:t> </w:t>
      </w:r>
      <w:r>
        <w:rPr>
          <w:b/>
          <w:sz w:val="22"/>
        </w:rPr>
        <w:t>CD</w:t>
      </w:r>
      <w:r>
        <w:rPr>
          <w:b/>
          <w:spacing w:val="-13"/>
          <w:sz w:val="22"/>
        </w:rPr>
        <w:t> </w:t>
      </w:r>
      <w:r>
        <w:rPr>
          <w:b/>
          <w:sz w:val="22"/>
        </w:rPr>
        <w:t>N°089-03-2015</w:t>
      </w:r>
      <w:r>
        <w:rPr>
          <w:sz w:val="22"/>
        </w:rPr>
        <w:t>.</w:t>
      </w:r>
      <w:r>
        <w:rPr>
          <w:spacing w:val="-11"/>
          <w:sz w:val="22"/>
        </w:rPr>
        <w:t> </w:t>
      </w:r>
      <w:r>
        <w:rPr>
          <w:sz w:val="22"/>
        </w:rPr>
        <w:t>Regula</w:t>
      </w:r>
      <w:r>
        <w:rPr>
          <w:spacing w:val="-12"/>
          <w:sz w:val="22"/>
        </w:rPr>
        <w:t> </w:t>
      </w:r>
      <w:r>
        <w:rPr>
          <w:sz w:val="22"/>
        </w:rPr>
        <w:t>el</w:t>
      </w:r>
      <w:r>
        <w:rPr>
          <w:spacing w:val="-13"/>
          <w:sz w:val="22"/>
        </w:rPr>
        <w:t> </w:t>
      </w:r>
      <w:r>
        <w:rPr>
          <w:sz w:val="22"/>
        </w:rPr>
        <w:t>proceso</w:t>
      </w:r>
      <w:r>
        <w:rPr>
          <w:spacing w:val="-13"/>
          <w:sz w:val="22"/>
        </w:rPr>
        <w:t> </w:t>
      </w:r>
      <w:r>
        <w:rPr>
          <w:sz w:val="22"/>
        </w:rPr>
        <w:t>de</w:t>
      </w:r>
      <w:r>
        <w:rPr>
          <w:spacing w:val="-12"/>
          <w:sz w:val="22"/>
        </w:rPr>
        <w:t> </w:t>
      </w:r>
      <w:r>
        <w:rPr>
          <w:sz w:val="22"/>
        </w:rPr>
        <w:t>Ajustes</w:t>
      </w:r>
      <w:r>
        <w:rPr>
          <w:spacing w:val="-12"/>
          <w:sz w:val="22"/>
        </w:rPr>
        <w:t> </w:t>
      </w:r>
      <w:r>
        <w:rPr>
          <w:sz w:val="22"/>
        </w:rPr>
        <w:t>o</w:t>
      </w:r>
      <w:r>
        <w:rPr>
          <w:spacing w:val="-15"/>
          <w:sz w:val="22"/>
        </w:rPr>
        <w:t> </w:t>
      </w:r>
      <w:r>
        <w:rPr>
          <w:sz w:val="22"/>
        </w:rPr>
        <w:t>Variaciones</w:t>
      </w:r>
      <w:r>
        <w:rPr>
          <w:spacing w:val="-12"/>
          <w:sz w:val="22"/>
        </w:rPr>
        <w:t> </w:t>
      </w:r>
      <w:r>
        <w:rPr>
          <w:sz w:val="22"/>
        </w:rPr>
        <w:t>que</w:t>
      </w:r>
      <w:r>
        <w:rPr>
          <w:spacing w:val="-13"/>
          <w:sz w:val="22"/>
        </w:rPr>
        <w:t> </w:t>
      </w:r>
      <w:r>
        <w:rPr>
          <w:sz w:val="22"/>
        </w:rPr>
        <w:t>se</w:t>
      </w:r>
      <w:r>
        <w:rPr>
          <w:spacing w:val="-12"/>
          <w:sz w:val="22"/>
        </w:rPr>
        <w:t> </w:t>
      </w:r>
      <w:r>
        <w:rPr>
          <w:sz w:val="22"/>
        </w:rPr>
        <w:t>realicen al</w:t>
      </w:r>
      <w:r>
        <w:rPr>
          <w:spacing w:val="-2"/>
          <w:sz w:val="22"/>
        </w:rPr>
        <w:t> </w:t>
      </w:r>
      <w:r>
        <w:rPr>
          <w:sz w:val="22"/>
        </w:rPr>
        <w:t>Presupuesto</w:t>
      </w:r>
      <w:r>
        <w:rPr>
          <w:spacing w:val="-4"/>
          <w:sz w:val="22"/>
        </w:rPr>
        <w:t> </w:t>
      </w:r>
      <w:r>
        <w:rPr>
          <w:sz w:val="22"/>
        </w:rPr>
        <w:t>Ordinario</w:t>
      </w:r>
      <w:r>
        <w:rPr>
          <w:spacing w:val="-2"/>
          <w:sz w:val="22"/>
        </w:rPr>
        <w:t> </w:t>
      </w:r>
      <w:r>
        <w:rPr>
          <w:sz w:val="22"/>
        </w:rPr>
        <w:t>del</w:t>
      </w:r>
      <w:r>
        <w:rPr>
          <w:spacing w:val="-3"/>
          <w:sz w:val="22"/>
        </w:rPr>
        <w:t> </w:t>
      </w:r>
      <w:r>
        <w:rPr>
          <w:sz w:val="22"/>
        </w:rPr>
        <w:t>período</w:t>
      </w:r>
      <w:r>
        <w:rPr>
          <w:spacing w:val="-2"/>
          <w:sz w:val="22"/>
        </w:rPr>
        <w:t> </w:t>
      </w:r>
      <w:r>
        <w:rPr>
          <w:sz w:val="22"/>
        </w:rPr>
        <w:t>en</w:t>
      </w:r>
      <w:r>
        <w:rPr>
          <w:spacing w:val="-3"/>
          <w:sz w:val="22"/>
        </w:rPr>
        <w:t> </w:t>
      </w:r>
      <w:r>
        <w:rPr>
          <w:sz w:val="22"/>
        </w:rPr>
        <w:t>curso,</w:t>
      </w:r>
      <w:r>
        <w:rPr>
          <w:spacing w:val="-3"/>
          <w:sz w:val="22"/>
        </w:rPr>
        <w:t> </w:t>
      </w:r>
      <w:r>
        <w:rPr>
          <w:sz w:val="22"/>
        </w:rPr>
        <w:t>mediante</w:t>
      </w:r>
      <w:r>
        <w:rPr>
          <w:spacing w:val="-2"/>
          <w:sz w:val="22"/>
        </w:rPr>
        <w:t> </w:t>
      </w:r>
      <w:r>
        <w:rPr>
          <w:sz w:val="22"/>
        </w:rPr>
        <w:t>Modificaciones</w:t>
      </w:r>
      <w:r>
        <w:rPr>
          <w:spacing w:val="-3"/>
          <w:sz w:val="22"/>
        </w:rPr>
        <w:t> </w:t>
      </w:r>
      <w:r>
        <w:rPr>
          <w:sz w:val="22"/>
        </w:rPr>
        <w:t>o</w:t>
      </w:r>
      <w:r>
        <w:rPr>
          <w:spacing w:val="-2"/>
          <w:sz w:val="22"/>
        </w:rPr>
        <w:t> </w:t>
      </w:r>
      <w:r>
        <w:rPr>
          <w:sz w:val="22"/>
        </w:rPr>
        <w:t>Presupuestos Extraordinarios. Fecha de vigencia 09/03/2015.</w:t>
      </w:r>
    </w:p>
    <w:p>
      <w:pPr>
        <w:spacing w:before="252"/>
        <w:ind w:left="1625" w:right="1605" w:firstLine="0"/>
        <w:jc w:val="both"/>
        <w:rPr>
          <w:sz w:val="22"/>
        </w:rPr>
      </w:pPr>
      <w:r>
        <w:rPr>
          <w:b/>
          <w:sz w:val="22"/>
        </w:rPr>
        <w:t>Reglamento Interno de Contratación Administrativa del IMAS y sus reformas. Acuerdo</w:t>
      </w:r>
      <w:r>
        <w:rPr>
          <w:b/>
          <w:spacing w:val="-1"/>
          <w:sz w:val="22"/>
        </w:rPr>
        <w:t> </w:t>
      </w:r>
      <w:r>
        <w:rPr>
          <w:b/>
          <w:sz w:val="22"/>
        </w:rPr>
        <w:t>CD</w:t>
      </w:r>
      <w:r>
        <w:rPr>
          <w:b/>
          <w:spacing w:val="-1"/>
          <w:sz w:val="22"/>
        </w:rPr>
        <w:t> </w:t>
      </w:r>
      <w:r>
        <w:rPr>
          <w:b/>
          <w:sz w:val="22"/>
        </w:rPr>
        <w:t>N°063-02-2016. </w:t>
      </w:r>
      <w:r>
        <w:rPr>
          <w:sz w:val="22"/>
        </w:rPr>
        <w:t>Regula los procedimientos de Contratación Administrativa que promueve el Instituto Mixto de Ayuda Social y sus órganos adscritos, creados por medio de Ley. Fecha de vigencia 10/03/2016.</w:t>
      </w:r>
    </w:p>
    <w:p>
      <w:pPr>
        <w:pStyle w:val="BodyText"/>
      </w:pPr>
    </w:p>
    <w:p>
      <w:pPr>
        <w:spacing w:before="0"/>
        <w:ind w:left="1625" w:right="1606" w:firstLine="0"/>
        <w:jc w:val="both"/>
        <w:rPr>
          <w:sz w:val="22"/>
        </w:rPr>
      </w:pPr>
      <w:r>
        <w:rPr>
          <w:b/>
          <w:sz w:val="22"/>
        </w:rPr>
        <w:t>Reglamento Autónomo de Servicios del Instituto Mixto de Ayuda Social y sus reformas. Acuerdo CD N°21-05-2016. </w:t>
      </w:r>
      <w:r>
        <w:rPr>
          <w:sz w:val="22"/>
        </w:rPr>
        <w:t>Norma la relación de servicio existente entre el IMAS y sus servidores. Fecha de vigencia 16/05/2016.</w:t>
      </w:r>
    </w:p>
    <w:p>
      <w:pPr>
        <w:pStyle w:val="BodyText"/>
        <w:spacing w:before="252"/>
        <w:ind w:left="1625" w:right="1601"/>
        <w:jc w:val="both"/>
      </w:pPr>
      <w:r>
        <w:rPr>
          <w:b/>
        </w:rPr>
        <w:t>Reglamento para la Operacionalización del Sistema de Planificación del Instituto Mixto de Ayuda Social. Acuerdo CD N° 11-01-2017</w:t>
      </w:r>
      <w:r>
        <w:rPr/>
        <w:t>. Regular lo correspondiente al Sistema</w:t>
      </w:r>
      <w:r>
        <w:rPr>
          <w:spacing w:val="-8"/>
        </w:rPr>
        <w:t> </w:t>
      </w:r>
      <w:r>
        <w:rPr/>
        <w:t>de</w:t>
      </w:r>
      <w:r>
        <w:rPr>
          <w:spacing w:val="-7"/>
        </w:rPr>
        <w:t> </w:t>
      </w:r>
      <w:r>
        <w:rPr/>
        <w:t>Planificación</w:t>
      </w:r>
      <w:r>
        <w:rPr>
          <w:spacing w:val="-9"/>
        </w:rPr>
        <w:t> </w:t>
      </w:r>
      <w:r>
        <w:rPr/>
        <w:t>del</w:t>
      </w:r>
      <w:r>
        <w:rPr>
          <w:spacing w:val="-7"/>
        </w:rPr>
        <w:t> </w:t>
      </w:r>
      <w:r>
        <w:rPr/>
        <w:t>Instituto</w:t>
      </w:r>
      <w:r>
        <w:rPr>
          <w:spacing w:val="-11"/>
        </w:rPr>
        <w:t> </w:t>
      </w:r>
      <w:r>
        <w:rPr/>
        <w:t>Mixto</w:t>
      </w:r>
      <w:r>
        <w:rPr>
          <w:spacing w:val="-9"/>
        </w:rPr>
        <w:t> </w:t>
      </w:r>
      <w:r>
        <w:rPr/>
        <w:t>de</w:t>
      </w:r>
      <w:r>
        <w:rPr>
          <w:spacing w:val="-7"/>
        </w:rPr>
        <w:t> </w:t>
      </w:r>
      <w:r>
        <w:rPr/>
        <w:t>Ayuda</w:t>
      </w:r>
      <w:r>
        <w:rPr>
          <w:spacing w:val="-7"/>
        </w:rPr>
        <w:t> </w:t>
      </w:r>
      <w:r>
        <w:rPr/>
        <w:t>Social</w:t>
      </w:r>
      <w:r>
        <w:rPr>
          <w:spacing w:val="-7"/>
        </w:rPr>
        <w:t> </w:t>
      </w:r>
      <w:r>
        <w:rPr/>
        <w:t>(IMAS),</w:t>
      </w:r>
      <w:r>
        <w:rPr>
          <w:spacing w:val="-7"/>
        </w:rPr>
        <w:t> </w:t>
      </w:r>
      <w:r>
        <w:rPr/>
        <w:t>con</w:t>
      </w:r>
      <w:r>
        <w:rPr>
          <w:spacing w:val="-9"/>
        </w:rPr>
        <w:t> </w:t>
      </w:r>
      <w:r>
        <w:rPr/>
        <w:t>el</w:t>
      </w:r>
      <w:r>
        <w:rPr>
          <w:spacing w:val="-10"/>
        </w:rPr>
        <w:t> </w:t>
      </w:r>
      <w:r>
        <w:rPr/>
        <w:t>fin</w:t>
      </w:r>
      <w:r>
        <w:rPr>
          <w:spacing w:val="-6"/>
        </w:rPr>
        <w:t> </w:t>
      </w:r>
      <w:r>
        <w:rPr/>
        <w:t>de</w:t>
      </w:r>
      <w:r>
        <w:rPr>
          <w:spacing w:val="-9"/>
        </w:rPr>
        <w:t> </w:t>
      </w:r>
      <w:r>
        <w:rPr/>
        <w:t>articular todas sus acciones en el largo, mediano y corto plazo, contenidas en sus procesos de formulación, seguimiento</w:t>
      </w:r>
      <w:r>
        <w:rPr>
          <w:spacing w:val="-1"/>
        </w:rPr>
        <w:t> </w:t>
      </w:r>
      <w:r>
        <w:rPr/>
        <w:t>y evaluación, de</w:t>
      </w:r>
      <w:r>
        <w:rPr>
          <w:spacing w:val="-1"/>
        </w:rPr>
        <w:t> </w:t>
      </w:r>
      <w:r>
        <w:rPr/>
        <w:t>los instrumentos</w:t>
      </w:r>
      <w:r>
        <w:rPr>
          <w:spacing w:val="-1"/>
        </w:rPr>
        <w:t> </w:t>
      </w:r>
      <w:r>
        <w:rPr/>
        <w:t>de planificación institucional: políticas,</w:t>
      </w:r>
      <w:r>
        <w:rPr>
          <w:spacing w:val="-14"/>
        </w:rPr>
        <w:t> </w:t>
      </w:r>
      <w:r>
        <w:rPr/>
        <w:t>planes,</w:t>
      </w:r>
      <w:r>
        <w:rPr>
          <w:spacing w:val="-11"/>
        </w:rPr>
        <w:t> </w:t>
      </w:r>
      <w:r>
        <w:rPr/>
        <w:t>programas</w:t>
      </w:r>
      <w:r>
        <w:rPr>
          <w:spacing w:val="-12"/>
        </w:rPr>
        <w:t> </w:t>
      </w:r>
      <w:r>
        <w:rPr/>
        <w:t>y</w:t>
      </w:r>
      <w:r>
        <w:rPr>
          <w:spacing w:val="-14"/>
        </w:rPr>
        <w:t> </w:t>
      </w:r>
      <w:r>
        <w:rPr/>
        <w:t>proyectos;</w:t>
      </w:r>
      <w:r>
        <w:rPr>
          <w:spacing w:val="-11"/>
        </w:rPr>
        <w:t> </w:t>
      </w:r>
      <w:r>
        <w:rPr/>
        <w:t>con</w:t>
      </w:r>
      <w:r>
        <w:rPr>
          <w:spacing w:val="-13"/>
        </w:rPr>
        <w:t> </w:t>
      </w:r>
      <w:r>
        <w:rPr/>
        <w:t>la</w:t>
      </w:r>
      <w:r>
        <w:rPr>
          <w:spacing w:val="-12"/>
        </w:rPr>
        <w:t> </w:t>
      </w:r>
      <w:r>
        <w:rPr/>
        <w:t>participación</w:t>
      </w:r>
      <w:r>
        <w:rPr>
          <w:spacing w:val="-13"/>
        </w:rPr>
        <w:t> </w:t>
      </w:r>
      <w:r>
        <w:rPr/>
        <w:t>de</w:t>
      </w:r>
      <w:r>
        <w:rPr>
          <w:spacing w:val="-13"/>
        </w:rPr>
        <w:t> </w:t>
      </w:r>
      <w:r>
        <w:rPr/>
        <w:t>los</w:t>
      </w:r>
      <w:r>
        <w:rPr>
          <w:spacing w:val="-12"/>
        </w:rPr>
        <w:t> </w:t>
      </w:r>
      <w:r>
        <w:rPr/>
        <w:t>diferentes</w:t>
      </w:r>
      <w:r>
        <w:rPr>
          <w:spacing w:val="-12"/>
        </w:rPr>
        <w:t> </w:t>
      </w:r>
      <w:r>
        <w:rPr/>
        <w:t>actores</w:t>
      </w:r>
      <w:r>
        <w:rPr>
          <w:spacing w:val="-14"/>
        </w:rPr>
        <w:t> </w:t>
      </w:r>
      <w:r>
        <w:rPr/>
        <w:t>del ámbito central, regional y local, para el logro de sus objetivos y la consecución de sus resultados,</w:t>
      </w:r>
      <w:r>
        <w:rPr>
          <w:spacing w:val="-13"/>
        </w:rPr>
        <w:t> </w:t>
      </w:r>
      <w:r>
        <w:rPr/>
        <w:t>dirigidos</w:t>
      </w:r>
      <w:r>
        <w:rPr>
          <w:spacing w:val="-13"/>
        </w:rPr>
        <w:t> </w:t>
      </w:r>
      <w:r>
        <w:rPr/>
        <w:t>a</w:t>
      </w:r>
      <w:r>
        <w:rPr>
          <w:spacing w:val="-14"/>
        </w:rPr>
        <w:t> </w:t>
      </w:r>
      <w:r>
        <w:rPr/>
        <w:t>la</w:t>
      </w:r>
      <w:r>
        <w:rPr>
          <w:spacing w:val="-16"/>
        </w:rPr>
        <w:t> </w:t>
      </w:r>
      <w:r>
        <w:rPr/>
        <w:t>reducción</w:t>
      </w:r>
      <w:r>
        <w:rPr>
          <w:spacing w:val="-14"/>
        </w:rPr>
        <w:t> </w:t>
      </w:r>
      <w:r>
        <w:rPr/>
        <w:t>de</w:t>
      </w:r>
      <w:r>
        <w:rPr>
          <w:spacing w:val="-14"/>
        </w:rPr>
        <w:t> </w:t>
      </w:r>
      <w:r>
        <w:rPr/>
        <w:t>la</w:t>
      </w:r>
      <w:r>
        <w:rPr>
          <w:spacing w:val="-14"/>
        </w:rPr>
        <w:t> </w:t>
      </w:r>
      <w:r>
        <w:rPr/>
        <w:t>pobreza</w:t>
      </w:r>
      <w:r>
        <w:rPr>
          <w:spacing w:val="-16"/>
        </w:rPr>
        <w:t> </w:t>
      </w:r>
      <w:r>
        <w:rPr/>
        <w:t>extrema</w:t>
      </w:r>
      <w:r>
        <w:rPr>
          <w:spacing w:val="-14"/>
        </w:rPr>
        <w:t> </w:t>
      </w:r>
      <w:r>
        <w:rPr/>
        <w:t>y</w:t>
      </w:r>
      <w:r>
        <w:rPr>
          <w:spacing w:val="-13"/>
        </w:rPr>
        <w:t> </w:t>
      </w:r>
      <w:r>
        <w:rPr/>
        <w:t>la</w:t>
      </w:r>
      <w:r>
        <w:rPr>
          <w:spacing w:val="-14"/>
        </w:rPr>
        <w:t> </w:t>
      </w:r>
      <w:r>
        <w:rPr/>
        <w:t>pobreza.</w:t>
      </w:r>
      <w:r>
        <w:rPr>
          <w:spacing w:val="-11"/>
        </w:rPr>
        <w:t> </w:t>
      </w:r>
      <w:r>
        <w:rPr/>
        <w:t>Fecha</w:t>
      </w:r>
      <w:r>
        <w:rPr>
          <w:spacing w:val="-14"/>
        </w:rPr>
        <w:t> </w:t>
      </w:r>
      <w:r>
        <w:rPr/>
        <w:t>de</w:t>
      </w:r>
      <w:r>
        <w:rPr>
          <w:spacing w:val="-14"/>
        </w:rPr>
        <w:t> </w:t>
      </w:r>
      <w:r>
        <w:rPr/>
        <w:t>vigencia </w:t>
      </w:r>
      <w:r>
        <w:rPr>
          <w:spacing w:val="-2"/>
        </w:rPr>
        <w:t>11/01/2017.</w:t>
      </w:r>
    </w:p>
    <w:p>
      <w:pPr>
        <w:pStyle w:val="BodyText"/>
      </w:pPr>
    </w:p>
    <w:p>
      <w:pPr>
        <w:spacing w:before="0"/>
        <w:ind w:left="1625" w:right="1604" w:firstLine="0"/>
        <w:jc w:val="both"/>
        <w:rPr>
          <w:sz w:val="22"/>
        </w:rPr>
      </w:pPr>
      <w:r>
        <w:rPr>
          <w:b/>
          <w:sz w:val="22"/>
        </w:rPr>
        <w:t>Reglamento Interno de Trabajo de Empresas Comerciales del Instituto Mixto De Ayuda</w:t>
      </w:r>
      <w:r>
        <w:rPr>
          <w:b/>
          <w:spacing w:val="-3"/>
          <w:sz w:val="22"/>
        </w:rPr>
        <w:t> </w:t>
      </w:r>
      <w:r>
        <w:rPr>
          <w:b/>
          <w:sz w:val="22"/>
        </w:rPr>
        <w:t>Social.</w:t>
      </w:r>
      <w:r>
        <w:rPr>
          <w:b/>
          <w:spacing w:val="1"/>
          <w:sz w:val="22"/>
        </w:rPr>
        <w:t> </w:t>
      </w:r>
      <w:r>
        <w:rPr>
          <w:b/>
          <w:sz w:val="22"/>
        </w:rPr>
        <w:t>Acuerdo</w:t>
      </w:r>
      <w:r>
        <w:rPr>
          <w:b/>
          <w:spacing w:val="-2"/>
          <w:sz w:val="22"/>
        </w:rPr>
        <w:t> </w:t>
      </w:r>
      <w:r>
        <w:rPr>
          <w:b/>
          <w:sz w:val="22"/>
        </w:rPr>
        <w:t>CD N°</w:t>
      </w:r>
      <w:r>
        <w:rPr>
          <w:b/>
          <w:spacing w:val="2"/>
          <w:sz w:val="22"/>
        </w:rPr>
        <w:t> </w:t>
      </w:r>
      <w:r>
        <w:rPr>
          <w:b/>
          <w:sz w:val="22"/>
        </w:rPr>
        <w:t>255-07-2018</w:t>
      </w:r>
      <w:r>
        <w:rPr>
          <w:sz w:val="22"/>
        </w:rPr>
        <w:t>.</w:t>
      </w:r>
      <w:r>
        <w:rPr>
          <w:spacing w:val="3"/>
          <w:sz w:val="22"/>
        </w:rPr>
        <w:t> </w:t>
      </w:r>
      <w:r>
        <w:rPr>
          <w:sz w:val="22"/>
        </w:rPr>
        <w:t>Norma</w:t>
      </w:r>
      <w:r>
        <w:rPr>
          <w:spacing w:val="1"/>
          <w:sz w:val="22"/>
        </w:rPr>
        <w:t> </w:t>
      </w:r>
      <w:r>
        <w:rPr>
          <w:sz w:val="22"/>
        </w:rPr>
        <w:t>las</w:t>
      </w:r>
      <w:r>
        <w:rPr>
          <w:spacing w:val="-1"/>
          <w:sz w:val="22"/>
        </w:rPr>
        <w:t> </w:t>
      </w:r>
      <w:r>
        <w:rPr>
          <w:sz w:val="22"/>
        </w:rPr>
        <w:t>relaciones</w:t>
      </w:r>
      <w:r>
        <w:rPr>
          <w:spacing w:val="1"/>
          <w:sz w:val="22"/>
        </w:rPr>
        <w:t> </w:t>
      </w:r>
      <w:r>
        <w:rPr>
          <w:sz w:val="22"/>
        </w:rPr>
        <w:t>internas entre</w:t>
      </w:r>
      <w:r>
        <w:rPr>
          <w:spacing w:val="-1"/>
          <w:sz w:val="22"/>
        </w:rPr>
        <w:t> </w:t>
      </w:r>
      <w:r>
        <w:rPr>
          <w:spacing w:val="-4"/>
          <w:sz w:val="22"/>
        </w:rPr>
        <w:t>IMAS</w:t>
      </w:r>
    </w:p>
    <w:p>
      <w:pPr>
        <w:pStyle w:val="BodyText"/>
        <w:spacing w:before="1"/>
        <w:ind w:left="1625"/>
        <w:jc w:val="both"/>
      </w:pPr>
      <w:r>
        <w:rPr/>
        <w:t>-</w:t>
      </w:r>
      <w:r>
        <w:rPr>
          <w:spacing w:val="-4"/>
        </w:rPr>
        <w:t> </w:t>
      </w:r>
      <w:r>
        <w:rPr/>
        <w:t>Programa</w:t>
      </w:r>
      <w:r>
        <w:rPr>
          <w:spacing w:val="-7"/>
        </w:rPr>
        <w:t> </w:t>
      </w:r>
      <w:r>
        <w:rPr/>
        <w:t>Empresas</w:t>
      </w:r>
      <w:r>
        <w:rPr>
          <w:spacing w:val="-8"/>
        </w:rPr>
        <w:t> </w:t>
      </w:r>
      <w:r>
        <w:rPr/>
        <w:t>Comerciales.</w:t>
      </w:r>
      <w:r>
        <w:rPr>
          <w:spacing w:val="-5"/>
        </w:rPr>
        <w:t> </w:t>
      </w:r>
      <w:r>
        <w:rPr/>
        <w:t>Fecha</w:t>
      </w:r>
      <w:r>
        <w:rPr>
          <w:spacing w:val="-8"/>
        </w:rPr>
        <w:t> </w:t>
      </w:r>
      <w:r>
        <w:rPr/>
        <w:t>de</w:t>
      </w:r>
      <w:r>
        <w:rPr>
          <w:spacing w:val="-5"/>
        </w:rPr>
        <w:t> </w:t>
      </w:r>
      <w:r>
        <w:rPr/>
        <w:t>vigencia</w:t>
      </w:r>
      <w:r>
        <w:rPr>
          <w:spacing w:val="-5"/>
        </w:rPr>
        <w:t> </w:t>
      </w:r>
      <w:r>
        <w:rPr>
          <w:spacing w:val="-2"/>
        </w:rPr>
        <w:t>02/07/2018.</w:t>
      </w:r>
    </w:p>
    <w:p>
      <w:pPr>
        <w:pStyle w:val="BodyText"/>
      </w:pPr>
    </w:p>
    <w:p>
      <w:pPr>
        <w:spacing w:before="0"/>
        <w:ind w:left="1625" w:right="1603" w:firstLine="0"/>
        <w:jc w:val="both"/>
        <w:rPr>
          <w:sz w:val="22"/>
        </w:rPr>
      </w:pPr>
      <w:r>
        <w:rPr>
          <w:b/>
          <w:sz w:val="22"/>
        </w:rPr>
        <w:t>Reglamento para la Prevención del Acoso Laboral en el Instituto Mixto de Ayuda Socia.</w:t>
      </w:r>
      <w:r>
        <w:rPr>
          <w:b/>
          <w:spacing w:val="-8"/>
          <w:sz w:val="22"/>
        </w:rPr>
        <w:t> </w:t>
      </w:r>
      <w:r>
        <w:rPr>
          <w:b/>
          <w:sz w:val="22"/>
        </w:rPr>
        <w:t>Acuerdo</w:t>
      </w:r>
      <w:r>
        <w:rPr>
          <w:b/>
          <w:spacing w:val="-9"/>
          <w:sz w:val="22"/>
        </w:rPr>
        <w:t> </w:t>
      </w:r>
      <w:r>
        <w:rPr>
          <w:b/>
          <w:sz w:val="22"/>
        </w:rPr>
        <w:t>CD</w:t>
      </w:r>
      <w:r>
        <w:rPr>
          <w:b/>
          <w:spacing w:val="-7"/>
          <w:sz w:val="22"/>
        </w:rPr>
        <w:t> </w:t>
      </w:r>
      <w:r>
        <w:rPr>
          <w:b/>
          <w:sz w:val="22"/>
        </w:rPr>
        <w:t>N°396-09-2019.</w:t>
      </w:r>
      <w:r>
        <w:rPr>
          <w:b/>
          <w:spacing w:val="-5"/>
          <w:sz w:val="22"/>
        </w:rPr>
        <w:t> </w:t>
      </w:r>
      <w:r>
        <w:rPr>
          <w:sz w:val="22"/>
        </w:rPr>
        <w:t>Prevención</w:t>
      </w:r>
      <w:r>
        <w:rPr>
          <w:spacing w:val="-7"/>
          <w:sz w:val="22"/>
        </w:rPr>
        <w:t> </w:t>
      </w:r>
      <w:r>
        <w:rPr>
          <w:sz w:val="22"/>
        </w:rPr>
        <w:t>de</w:t>
      </w:r>
      <w:r>
        <w:rPr>
          <w:spacing w:val="-7"/>
          <w:sz w:val="22"/>
        </w:rPr>
        <w:t> </w:t>
      </w:r>
      <w:r>
        <w:rPr>
          <w:sz w:val="22"/>
        </w:rPr>
        <w:t>acoso</w:t>
      </w:r>
      <w:r>
        <w:rPr>
          <w:spacing w:val="-6"/>
          <w:sz w:val="22"/>
        </w:rPr>
        <w:t> </w:t>
      </w:r>
      <w:r>
        <w:rPr>
          <w:sz w:val="22"/>
        </w:rPr>
        <w:t>laboral</w:t>
      </w:r>
      <w:r>
        <w:rPr>
          <w:spacing w:val="-7"/>
          <w:sz w:val="22"/>
        </w:rPr>
        <w:t> </w:t>
      </w:r>
      <w:r>
        <w:rPr>
          <w:sz w:val="22"/>
        </w:rPr>
        <w:t>en</w:t>
      </w:r>
      <w:r>
        <w:rPr>
          <w:spacing w:val="-7"/>
          <w:sz w:val="22"/>
        </w:rPr>
        <w:t> </w:t>
      </w:r>
      <w:r>
        <w:rPr>
          <w:sz w:val="22"/>
        </w:rPr>
        <w:t>el</w:t>
      </w:r>
      <w:r>
        <w:rPr>
          <w:spacing w:val="-10"/>
          <w:sz w:val="22"/>
        </w:rPr>
        <w:t> </w:t>
      </w:r>
      <w:r>
        <w:rPr>
          <w:sz w:val="22"/>
        </w:rPr>
        <w:t>Instituto</w:t>
      </w:r>
      <w:r>
        <w:rPr>
          <w:spacing w:val="-8"/>
          <w:sz w:val="22"/>
        </w:rPr>
        <w:t> </w:t>
      </w:r>
      <w:r>
        <w:rPr>
          <w:sz w:val="22"/>
        </w:rPr>
        <w:t>Mixto</w:t>
      </w:r>
      <w:r>
        <w:rPr>
          <w:spacing w:val="-6"/>
          <w:sz w:val="22"/>
        </w:rPr>
        <w:t> </w:t>
      </w:r>
      <w:r>
        <w:rPr>
          <w:sz w:val="22"/>
        </w:rPr>
        <w:t>de Ayuda Social. Fecha de vigencia 06/09/2018.</w:t>
      </w:r>
    </w:p>
    <w:p>
      <w:pPr>
        <w:spacing w:after="0"/>
        <w:jc w:val="both"/>
        <w:rPr>
          <w:sz w:val="22"/>
        </w:rPr>
        <w:sectPr>
          <w:pgSz w:w="12240" w:h="15840"/>
          <w:pgMar w:header="0" w:footer="1576" w:top="1000" w:bottom="1760" w:left="360" w:right="0"/>
        </w:sectPr>
      </w:pPr>
    </w:p>
    <w:p>
      <w:pPr>
        <w:spacing w:before="77"/>
        <w:ind w:left="1625" w:right="1605" w:firstLine="0"/>
        <w:jc w:val="both"/>
        <w:rPr>
          <w:sz w:val="22"/>
        </w:rPr>
      </w:pPr>
      <w:r>
        <w:rPr>
          <w:b/>
          <w:sz w:val="22"/>
        </w:rPr>
        <w:t>Reglamento de reconocimiento de Jornada Extraordinaria de Trabajo del IMAS. Acuerdo N° CD 156-04-2019. </w:t>
      </w:r>
      <w:r>
        <w:rPr>
          <w:sz w:val="22"/>
        </w:rPr>
        <w:t>Norma el reconocimiento del tiempo extraordinario laborado por los trabajadores del IMAS. Fecha de vigencia 14/08/2019.</w:t>
      </w:r>
    </w:p>
    <w:p>
      <w:pPr>
        <w:spacing w:before="252"/>
        <w:ind w:left="1625" w:right="1603" w:firstLine="0"/>
        <w:jc w:val="both"/>
        <w:rPr>
          <w:sz w:val="22"/>
        </w:rPr>
      </w:pPr>
      <w:r>
        <w:rPr>
          <w:b/>
          <w:sz w:val="22"/>
        </w:rPr>
        <w:t>Reglamento para el Desarrollo de Competencias del Capital Humano del Instituto Mixto de Ayuda Social y sus reformas. </w:t>
      </w:r>
      <w:r>
        <w:rPr>
          <w:sz w:val="22"/>
        </w:rPr>
        <w:t>Establece el marco normativo para orientar y definir el otorgamiento de beneficios para la capacitación y formación de las personas trabajadoras del IMAS. y órganos adscritos a este, tendientes a generar una visión de desarrollo,</w:t>
      </w:r>
      <w:r>
        <w:rPr>
          <w:spacing w:val="-9"/>
          <w:sz w:val="22"/>
        </w:rPr>
        <w:t> </w:t>
      </w:r>
      <w:r>
        <w:rPr>
          <w:sz w:val="22"/>
        </w:rPr>
        <w:t>a</w:t>
      </w:r>
      <w:r>
        <w:rPr>
          <w:spacing w:val="-10"/>
          <w:sz w:val="22"/>
        </w:rPr>
        <w:t> </w:t>
      </w:r>
      <w:r>
        <w:rPr>
          <w:sz w:val="22"/>
        </w:rPr>
        <w:t>proveer</w:t>
      </w:r>
      <w:r>
        <w:rPr>
          <w:spacing w:val="-9"/>
          <w:sz w:val="22"/>
        </w:rPr>
        <w:t> </w:t>
      </w:r>
      <w:r>
        <w:rPr>
          <w:sz w:val="22"/>
        </w:rPr>
        <w:t>los</w:t>
      </w:r>
      <w:r>
        <w:rPr>
          <w:spacing w:val="-10"/>
          <w:sz w:val="22"/>
        </w:rPr>
        <w:t> </w:t>
      </w:r>
      <w:r>
        <w:rPr>
          <w:sz w:val="22"/>
        </w:rPr>
        <w:t>conocimientos,</w:t>
      </w:r>
      <w:r>
        <w:rPr>
          <w:spacing w:val="-6"/>
          <w:sz w:val="22"/>
        </w:rPr>
        <w:t> </w:t>
      </w:r>
      <w:r>
        <w:rPr>
          <w:sz w:val="22"/>
        </w:rPr>
        <w:t>habilidades,</w:t>
      </w:r>
      <w:r>
        <w:rPr>
          <w:spacing w:val="-8"/>
          <w:sz w:val="22"/>
        </w:rPr>
        <w:t> </w:t>
      </w:r>
      <w:r>
        <w:rPr>
          <w:sz w:val="22"/>
        </w:rPr>
        <w:t>destrezas</w:t>
      </w:r>
      <w:r>
        <w:rPr>
          <w:spacing w:val="-9"/>
          <w:sz w:val="22"/>
        </w:rPr>
        <w:t> </w:t>
      </w:r>
      <w:r>
        <w:rPr>
          <w:sz w:val="22"/>
        </w:rPr>
        <w:t>y</w:t>
      </w:r>
      <w:r>
        <w:rPr>
          <w:spacing w:val="-9"/>
          <w:sz w:val="22"/>
        </w:rPr>
        <w:t> </w:t>
      </w:r>
      <w:r>
        <w:rPr>
          <w:sz w:val="22"/>
        </w:rPr>
        <w:t>a</w:t>
      </w:r>
      <w:r>
        <w:rPr>
          <w:spacing w:val="-10"/>
          <w:sz w:val="22"/>
        </w:rPr>
        <w:t> </w:t>
      </w:r>
      <w:r>
        <w:rPr>
          <w:sz w:val="22"/>
        </w:rPr>
        <w:t>fomentar</w:t>
      </w:r>
      <w:r>
        <w:rPr>
          <w:spacing w:val="-7"/>
          <w:sz w:val="22"/>
        </w:rPr>
        <w:t> </w:t>
      </w:r>
      <w:r>
        <w:rPr>
          <w:sz w:val="22"/>
        </w:rPr>
        <w:t>las</w:t>
      </w:r>
      <w:r>
        <w:rPr>
          <w:spacing w:val="-10"/>
          <w:sz w:val="22"/>
        </w:rPr>
        <w:t> </w:t>
      </w:r>
      <w:r>
        <w:rPr>
          <w:sz w:val="22"/>
        </w:rPr>
        <w:t>actitudes requeridas</w:t>
      </w:r>
      <w:r>
        <w:rPr>
          <w:spacing w:val="-2"/>
          <w:sz w:val="22"/>
        </w:rPr>
        <w:t> </w:t>
      </w:r>
      <w:r>
        <w:rPr>
          <w:sz w:val="22"/>
        </w:rPr>
        <w:t>para</w:t>
      </w:r>
      <w:r>
        <w:rPr>
          <w:spacing w:val="-2"/>
          <w:sz w:val="22"/>
        </w:rPr>
        <w:t> </w:t>
      </w:r>
      <w:r>
        <w:rPr>
          <w:sz w:val="22"/>
        </w:rPr>
        <w:t>cumplir</w:t>
      </w:r>
      <w:r>
        <w:rPr>
          <w:spacing w:val="-1"/>
          <w:sz w:val="22"/>
        </w:rPr>
        <w:t> </w:t>
      </w:r>
      <w:r>
        <w:rPr>
          <w:sz w:val="22"/>
        </w:rPr>
        <w:t>a cabalidad sus</w:t>
      </w:r>
      <w:r>
        <w:rPr>
          <w:spacing w:val="-4"/>
          <w:sz w:val="22"/>
        </w:rPr>
        <w:t> </w:t>
      </w:r>
      <w:r>
        <w:rPr>
          <w:sz w:val="22"/>
        </w:rPr>
        <w:t>funciones y</w:t>
      </w:r>
      <w:r>
        <w:rPr>
          <w:spacing w:val="-2"/>
          <w:sz w:val="22"/>
        </w:rPr>
        <w:t> </w:t>
      </w:r>
      <w:r>
        <w:rPr>
          <w:sz w:val="22"/>
        </w:rPr>
        <w:t>lograr</w:t>
      </w:r>
      <w:r>
        <w:rPr>
          <w:spacing w:val="-1"/>
          <w:sz w:val="22"/>
        </w:rPr>
        <w:t> </w:t>
      </w:r>
      <w:r>
        <w:rPr>
          <w:sz w:val="22"/>
        </w:rPr>
        <w:t>los</w:t>
      </w:r>
      <w:r>
        <w:rPr>
          <w:spacing w:val="-2"/>
          <w:sz w:val="22"/>
        </w:rPr>
        <w:t> </w:t>
      </w:r>
      <w:r>
        <w:rPr>
          <w:sz w:val="22"/>
        </w:rPr>
        <w:t>objetivos</w:t>
      </w:r>
      <w:r>
        <w:rPr>
          <w:spacing w:val="-2"/>
          <w:sz w:val="22"/>
        </w:rPr>
        <w:t> </w:t>
      </w:r>
      <w:r>
        <w:rPr>
          <w:sz w:val="22"/>
        </w:rPr>
        <w:t>de la</w:t>
      </w:r>
      <w:r>
        <w:rPr>
          <w:spacing w:val="-2"/>
          <w:sz w:val="22"/>
        </w:rPr>
        <w:t> </w:t>
      </w:r>
      <w:r>
        <w:rPr>
          <w:sz w:val="22"/>
        </w:rPr>
        <w:t>Institución. Fecha de vigencia 26/11/2019.</w:t>
      </w:r>
    </w:p>
    <w:p>
      <w:pPr>
        <w:pStyle w:val="BodyText"/>
        <w:spacing w:before="2"/>
      </w:pPr>
    </w:p>
    <w:p>
      <w:pPr>
        <w:pStyle w:val="BodyText"/>
        <w:ind w:left="1625" w:right="1602"/>
        <w:jc w:val="both"/>
      </w:pPr>
      <w:r>
        <w:rPr>
          <w:b/>
        </w:rPr>
        <w:t>Reglamento</w:t>
      </w:r>
      <w:r>
        <w:rPr>
          <w:b/>
          <w:spacing w:val="-6"/>
        </w:rPr>
        <w:t> </w:t>
      </w:r>
      <w:r>
        <w:rPr>
          <w:b/>
        </w:rPr>
        <w:t>de</w:t>
      </w:r>
      <w:r>
        <w:rPr>
          <w:b/>
          <w:spacing w:val="-4"/>
        </w:rPr>
        <w:t> </w:t>
      </w:r>
      <w:r>
        <w:rPr>
          <w:b/>
        </w:rPr>
        <w:t>Distintivos</w:t>
      </w:r>
      <w:r>
        <w:rPr>
          <w:b/>
          <w:spacing w:val="-4"/>
        </w:rPr>
        <w:t> </w:t>
      </w:r>
      <w:r>
        <w:rPr>
          <w:b/>
        </w:rPr>
        <w:t>para</w:t>
      </w:r>
      <w:r>
        <w:rPr>
          <w:b/>
          <w:spacing w:val="-4"/>
        </w:rPr>
        <w:t> </w:t>
      </w:r>
      <w:r>
        <w:rPr>
          <w:b/>
        </w:rPr>
        <w:t>Vehículos</w:t>
      </w:r>
      <w:r>
        <w:rPr>
          <w:b/>
          <w:spacing w:val="-6"/>
        </w:rPr>
        <w:t> </w:t>
      </w:r>
      <w:r>
        <w:rPr>
          <w:b/>
        </w:rPr>
        <w:t>Eléctricos. </w:t>
      </w:r>
      <w:r>
        <w:rPr/>
        <w:t>Regula</w:t>
      </w:r>
      <w:r>
        <w:rPr>
          <w:spacing w:val="-4"/>
        </w:rPr>
        <w:t> </w:t>
      </w:r>
      <w:r>
        <w:rPr/>
        <w:t>la</w:t>
      </w:r>
      <w:r>
        <w:rPr>
          <w:spacing w:val="-4"/>
        </w:rPr>
        <w:t> </w:t>
      </w:r>
      <w:r>
        <w:rPr/>
        <w:t>emisión</w:t>
      </w:r>
      <w:r>
        <w:rPr>
          <w:spacing w:val="-4"/>
        </w:rPr>
        <w:t> </w:t>
      </w:r>
      <w:r>
        <w:rPr/>
        <w:t>del</w:t>
      </w:r>
      <w:r>
        <w:rPr>
          <w:spacing w:val="-4"/>
        </w:rPr>
        <w:t> </w:t>
      </w:r>
      <w:r>
        <w:rPr/>
        <w:t>distintivo para la identificación de los vehículos eléctricos o con tecnologías cero emisiones a los que hace referencia la Ley de Incentivos y Promoción para el Transporte Eléctrico, Ley número 9518, del 25 de</w:t>
      </w:r>
      <w:r>
        <w:rPr>
          <w:spacing w:val="-2"/>
        </w:rPr>
        <w:t> </w:t>
      </w:r>
      <w:r>
        <w:rPr/>
        <w:t>enero de 2018 (Decreto N°41580-MJ-MINAE-MOPT). Fecha de vigencia 21/05/2019.</w:t>
      </w:r>
    </w:p>
    <w:p>
      <w:pPr>
        <w:spacing w:before="252"/>
        <w:ind w:left="1625" w:right="1602" w:firstLine="0"/>
        <w:jc w:val="both"/>
        <w:rPr>
          <w:sz w:val="22"/>
        </w:rPr>
      </w:pPr>
      <w:r>
        <w:rPr>
          <w:b/>
          <w:sz w:val="22"/>
        </w:rPr>
        <w:t>Reforma</w:t>
      </w:r>
      <w:r>
        <w:rPr>
          <w:b/>
          <w:spacing w:val="-6"/>
          <w:sz w:val="22"/>
        </w:rPr>
        <w:t> </w:t>
      </w:r>
      <w:r>
        <w:rPr>
          <w:b/>
          <w:sz w:val="22"/>
        </w:rPr>
        <w:t>los</w:t>
      </w:r>
      <w:r>
        <w:rPr>
          <w:b/>
          <w:spacing w:val="-4"/>
          <w:sz w:val="22"/>
        </w:rPr>
        <w:t> </w:t>
      </w:r>
      <w:r>
        <w:rPr>
          <w:b/>
          <w:sz w:val="22"/>
        </w:rPr>
        <w:t>artículos</w:t>
      </w:r>
      <w:r>
        <w:rPr>
          <w:b/>
          <w:spacing w:val="-7"/>
          <w:sz w:val="22"/>
        </w:rPr>
        <w:t> </w:t>
      </w:r>
      <w:r>
        <w:rPr>
          <w:b/>
          <w:sz w:val="22"/>
        </w:rPr>
        <w:t>14,</w:t>
      </w:r>
      <w:r>
        <w:rPr>
          <w:b/>
          <w:spacing w:val="-3"/>
          <w:sz w:val="22"/>
        </w:rPr>
        <w:t> </w:t>
      </w:r>
      <w:r>
        <w:rPr>
          <w:b/>
          <w:sz w:val="22"/>
        </w:rPr>
        <w:t>17</w:t>
      </w:r>
      <w:r>
        <w:rPr>
          <w:b/>
          <w:spacing w:val="-4"/>
          <w:sz w:val="22"/>
        </w:rPr>
        <w:t> </w:t>
      </w:r>
      <w:r>
        <w:rPr>
          <w:b/>
          <w:sz w:val="22"/>
        </w:rPr>
        <w:t>y</w:t>
      </w:r>
      <w:r>
        <w:rPr>
          <w:b/>
          <w:spacing w:val="-6"/>
          <w:sz w:val="22"/>
        </w:rPr>
        <w:t> </w:t>
      </w:r>
      <w:r>
        <w:rPr>
          <w:b/>
          <w:sz w:val="22"/>
        </w:rPr>
        <w:t>22</w:t>
      </w:r>
      <w:r>
        <w:rPr>
          <w:b/>
          <w:spacing w:val="-4"/>
          <w:sz w:val="22"/>
        </w:rPr>
        <w:t> </w:t>
      </w:r>
      <w:r>
        <w:rPr>
          <w:b/>
          <w:sz w:val="22"/>
        </w:rPr>
        <w:t>del</w:t>
      </w:r>
      <w:r>
        <w:rPr>
          <w:b/>
          <w:spacing w:val="-3"/>
          <w:sz w:val="22"/>
        </w:rPr>
        <w:t> </w:t>
      </w:r>
      <w:r>
        <w:rPr>
          <w:b/>
          <w:sz w:val="22"/>
        </w:rPr>
        <w:t>reglamento</w:t>
      </w:r>
      <w:r>
        <w:rPr>
          <w:b/>
          <w:spacing w:val="-4"/>
          <w:sz w:val="22"/>
        </w:rPr>
        <w:t> </w:t>
      </w:r>
      <w:r>
        <w:rPr>
          <w:b/>
          <w:sz w:val="22"/>
        </w:rPr>
        <w:t>que</w:t>
      </w:r>
      <w:r>
        <w:rPr>
          <w:b/>
          <w:spacing w:val="-6"/>
          <w:sz w:val="22"/>
        </w:rPr>
        <w:t> </w:t>
      </w:r>
      <w:r>
        <w:rPr>
          <w:b/>
          <w:sz w:val="22"/>
        </w:rPr>
        <w:t>regula</w:t>
      </w:r>
      <w:r>
        <w:rPr>
          <w:b/>
          <w:spacing w:val="-4"/>
          <w:sz w:val="22"/>
        </w:rPr>
        <w:t> </w:t>
      </w:r>
      <w:r>
        <w:rPr>
          <w:b/>
          <w:sz w:val="22"/>
        </w:rPr>
        <w:t>el</w:t>
      </w:r>
      <w:r>
        <w:rPr>
          <w:b/>
          <w:spacing w:val="-5"/>
          <w:sz w:val="22"/>
        </w:rPr>
        <w:t> </w:t>
      </w:r>
      <w:r>
        <w:rPr>
          <w:b/>
          <w:sz w:val="22"/>
        </w:rPr>
        <w:t>Título</w:t>
      </w:r>
      <w:r>
        <w:rPr>
          <w:b/>
          <w:spacing w:val="-6"/>
          <w:sz w:val="22"/>
        </w:rPr>
        <w:t> </w:t>
      </w:r>
      <w:r>
        <w:rPr>
          <w:b/>
          <w:sz w:val="22"/>
        </w:rPr>
        <w:t>III</w:t>
      </w:r>
      <w:r>
        <w:rPr>
          <w:b/>
          <w:spacing w:val="-3"/>
          <w:sz w:val="22"/>
        </w:rPr>
        <w:t> </w:t>
      </w:r>
      <w:r>
        <w:rPr>
          <w:b/>
          <w:sz w:val="22"/>
        </w:rPr>
        <w:t>de</w:t>
      </w:r>
      <w:r>
        <w:rPr>
          <w:b/>
          <w:spacing w:val="-7"/>
          <w:sz w:val="22"/>
        </w:rPr>
        <w:t> </w:t>
      </w:r>
      <w:r>
        <w:rPr>
          <w:b/>
          <w:sz w:val="22"/>
        </w:rPr>
        <w:t>la</w:t>
      </w:r>
      <w:r>
        <w:rPr>
          <w:b/>
          <w:spacing w:val="-6"/>
          <w:sz w:val="22"/>
        </w:rPr>
        <w:t> </w:t>
      </w:r>
      <w:r>
        <w:rPr>
          <w:b/>
          <w:sz w:val="22"/>
        </w:rPr>
        <w:t>Ley</w:t>
      </w:r>
      <w:r>
        <w:rPr>
          <w:b/>
          <w:spacing w:val="-4"/>
          <w:sz w:val="22"/>
        </w:rPr>
        <w:t> </w:t>
      </w:r>
      <w:r>
        <w:rPr>
          <w:b/>
          <w:sz w:val="22"/>
        </w:rPr>
        <w:t>de Fortalecimiento de las Finanzas Públicas. </w:t>
      </w:r>
      <w:r>
        <w:rPr>
          <w:sz w:val="22"/>
        </w:rPr>
        <w:t>(Decreto Ejecutivo N° 41729-MIDEPLAN-H). Fecha de vigencia: 22/05/2019.</w:t>
      </w:r>
    </w:p>
    <w:p>
      <w:pPr>
        <w:pStyle w:val="BodyText"/>
        <w:spacing w:before="1"/>
      </w:pPr>
    </w:p>
    <w:p>
      <w:pPr>
        <w:spacing w:before="0"/>
        <w:ind w:left="1625" w:right="1604" w:firstLine="0"/>
        <w:jc w:val="both"/>
        <w:rPr>
          <w:sz w:val="22"/>
        </w:rPr>
      </w:pPr>
      <w:r>
        <w:rPr>
          <w:b/>
          <w:sz w:val="22"/>
        </w:rPr>
        <w:t>Modificaciones y Adiciones al Reglamento de la Ley del Impuesto sobre la Renta </w:t>
      </w:r>
      <w:r>
        <w:rPr>
          <w:sz w:val="22"/>
        </w:rPr>
        <w:t>(Decreto</w:t>
      </w:r>
      <w:r>
        <w:rPr>
          <w:spacing w:val="-4"/>
          <w:sz w:val="22"/>
        </w:rPr>
        <w:t> </w:t>
      </w:r>
      <w:r>
        <w:rPr>
          <w:sz w:val="22"/>
        </w:rPr>
        <w:t>N°</w:t>
      </w:r>
      <w:r>
        <w:rPr>
          <w:spacing w:val="-3"/>
          <w:sz w:val="22"/>
        </w:rPr>
        <w:t> </w:t>
      </w:r>
      <w:r>
        <w:rPr>
          <w:sz w:val="22"/>
        </w:rPr>
        <w:t>41818-H)</w:t>
      </w:r>
      <w:r>
        <w:rPr>
          <w:spacing w:val="-2"/>
          <w:sz w:val="22"/>
        </w:rPr>
        <w:t> </w:t>
      </w:r>
      <w:r>
        <w:rPr>
          <w:sz w:val="22"/>
        </w:rPr>
        <w:t>Modifica</w:t>
      </w:r>
      <w:r>
        <w:rPr>
          <w:spacing w:val="-2"/>
          <w:sz w:val="22"/>
        </w:rPr>
        <w:t> </w:t>
      </w:r>
      <w:r>
        <w:rPr>
          <w:sz w:val="22"/>
        </w:rPr>
        <w:t>artículos</w:t>
      </w:r>
      <w:r>
        <w:rPr>
          <w:spacing w:val="-4"/>
          <w:sz w:val="22"/>
        </w:rPr>
        <w:t> </w:t>
      </w:r>
      <w:r>
        <w:rPr>
          <w:sz w:val="22"/>
        </w:rPr>
        <w:t>1,</w:t>
      </w:r>
      <w:r>
        <w:rPr>
          <w:spacing w:val="-3"/>
          <w:sz w:val="22"/>
        </w:rPr>
        <w:t> </w:t>
      </w:r>
      <w:r>
        <w:rPr>
          <w:sz w:val="22"/>
        </w:rPr>
        <w:t>2,</w:t>
      </w:r>
      <w:r>
        <w:rPr>
          <w:spacing w:val="-3"/>
          <w:sz w:val="22"/>
        </w:rPr>
        <w:t> </w:t>
      </w:r>
      <w:r>
        <w:rPr>
          <w:sz w:val="22"/>
        </w:rPr>
        <w:t>3,</w:t>
      </w:r>
      <w:r>
        <w:rPr>
          <w:spacing w:val="-3"/>
          <w:sz w:val="22"/>
        </w:rPr>
        <w:t> </w:t>
      </w:r>
      <w:r>
        <w:rPr>
          <w:sz w:val="22"/>
        </w:rPr>
        <w:t>4, 5, 6, 7, 8,</w:t>
      </w:r>
      <w:r>
        <w:rPr>
          <w:spacing w:val="-3"/>
          <w:sz w:val="22"/>
        </w:rPr>
        <w:t> </w:t>
      </w:r>
      <w:r>
        <w:rPr>
          <w:sz w:val="22"/>
        </w:rPr>
        <w:t>9,</w:t>
      </w:r>
      <w:r>
        <w:rPr>
          <w:spacing w:val="-3"/>
          <w:sz w:val="22"/>
        </w:rPr>
        <w:t> </w:t>
      </w:r>
      <w:r>
        <w:rPr>
          <w:sz w:val="22"/>
        </w:rPr>
        <w:t>10,</w:t>
      </w:r>
      <w:r>
        <w:rPr>
          <w:spacing w:val="-3"/>
          <w:sz w:val="22"/>
        </w:rPr>
        <w:t> </w:t>
      </w:r>
      <w:r>
        <w:rPr>
          <w:sz w:val="22"/>
        </w:rPr>
        <w:t>11,</w:t>
      </w:r>
      <w:r>
        <w:rPr>
          <w:spacing w:val="-3"/>
          <w:sz w:val="22"/>
        </w:rPr>
        <w:t> </w:t>
      </w:r>
      <w:r>
        <w:rPr>
          <w:sz w:val="22"/>
        </w:rPr>
        <w:t>12,</w:t>
      </w:r>
      <w:r>
        <w:rPr>
          <w:spacing w:val="-5"/>
          <w:sz w:val="22"/>
        </w:rPr>
        <w:t> </w:t>
      </w:r>
      <w:r>
        <w:rPr>
          <w:sz w:val="22"/>
        </w:rPr>
        <w:t>16</w:t>
      </w:r>
      <w:r>
        <w:rPr>
          <w:spacing w:val="-2"/>
          <w:sz w:val="22"/>
        </w:rPr>
        <w:t> </w:t>
      </w:r>
      <w:r>
        <w:rPr>
          <w:sz w:val="22"/>
        </w:rPr>
        <w:t>y</w:t>
      </w:r>
      <w:r>
        <w:rPr>
          <w:spacing w:val="-1"/>
          <w:sz w:val="22"/>
        </w:rPr>
        <w:t> </w:t>
      </w:r>
      <w:r>
        <w:rPr>
          <w:sz w:val="22"/>
        </w:rPr>
        <w:t>17,</w:t>
      </w:r>
      <w:r>
        <w:rPr>
          <w:spacing w:val="-3"/>
          <w:sz w:val="22"/>
        </w:rPr>
        <w:t> </w:t>
      </w:r>
      <w:r>
        <w:rPr>
          <w:sz w:val="22"/>
        </w:rPr>
        <w:t>todos del</w:t>
      </w:r>
      <w:r>
        <w:rPr>
          <w:spacing w:val="-7"/>
          <w:sz w:val="22"/>
        </w:rPr>
        <w:t> </w:t>
      </w:r>
      <w:r>
        <w:rPr>
          <w:sz w:val="22"/>
        </w:rPr>
        <w:t>Decreto</w:t>
      </w:r>
      <w:r>
        <w:rPr>
          <w:spacing w:val="-6"/>
          <w:sz w:val="22"/>
        </w:rPr>
        <w:t> </w:t>
      </w:r>
      <w:r>
        <w:rPr>
          <w:sz w:val="22"/>
        </w:rPr>
        <w:t>N°</w:t>
      </w:r>
      <w:r>
        <w:rPr>
          <w:spacing w:val="-8"/>
          <w:sz w:val="22"/>
        </w:rPr>
        <w:t> </w:t>
      </w:r>
      <w:r>
        <w:rPr>
          <w:sz w:val="22"/>
        </w:rPr>
        <w:t>18445-H</w:t>
      </w:r>
      <w:r>
        <w:rPr>
          <w:spacing w:val="-10"/>
          <w:sz w:val="22"/>
        </w:rPr>
        <w:t> </w:t>
      </w:r>
      <w:r>
        <w:rPr>
          <w:sz w:val="22"/>
        </w:rPr>
        <w:t>del</w:t>
      </w:r>
      <w:r>
        <w:rPr>
          <w:spacing w:val="-7"/>
          <w:sz w:val="22"/>
        </w:rPr>
        <w:t> </w:t>
      </w:r>
      <w:r>
        <w:rPr>
          <w:sz w:val="22"/>
        </w:rPr>
        <w:t>9</w:t>
      </w:r>
      <w:r>
        <w:rPr>
          <w:spacing w:val="-6"/>
          <w:sz w:val="22"/>
        </w:rPr>
        <w:t> </w:t>
      </w:r>
      <w:r>
        <w:rPr>
          <w:sz w:val="22"/>
        </w:rPr>
        <w:t>de</w:t>
      </w:r>
      <w:r>
        <w:rPr>
          <w:spacing w:val="-7"/>
          <w:sz w:val="22"/>
        </w:rPr>
        <w:t> </w:t>
      </w:r>
      <w:r>
        <w:rPr>
          <w:sz w:val="22"/>
        </w:rPr>
        <w:t>setiembre</w:t>
      </w:r>
      <w:r>
        <w:rPr>
          <w:spacing w:val="-6"/>
          <w:sz w:val="22"/>
        </w:rPr>
        <w:t> </w:t>
      </w:r>
      <w:r>
        <w:rPr>
          <w:sz w:val="22"/>
        </w:rPr>
        <w:t>de</w:t>
      </w:r>
      <w:r>
        <w:rPr>
          <w:spacing w:val="-9"/>
          <w:sz w:val="22"/>
        </w:rPr>
        <w:t> </w:t>
      </w:r>
      <w:r>
        <w:rPr>
          <w:sz w:val="22"/>
        </w:rPr>
        <w:t>1988</w:t>
      </w:r>
      <w:r>
        <w:rPr>
          <w:spacing w:val="-7"/>
          <w:sz w:val="22"/>
        </w:rPr>
        <w:t> </w:t>
      </w:r>
      <w:r>
        <w:rPr>
          <w:sz w:val="22"/>
        </w:rPr>
        <w:t>y</w:t>
      </w:r>
      <w:r>
        <w:rPr>
          <w:spacing w:val="-6"/>
          <w:sz w:val="22"/>
        </w:rPr>
        <w:t> </w:t>
      </w:r>
      <w:r>
        <w:rPr>
          <w:sz w:val="22"/>
        </w:rPr>
        <w:t>sus</w:t>
      </w:r>
      <w:r>
        <w:rPr>
          <w:spacing w:val="-9"/>
          <w:sz w:val="22"/>
        </w:rPr>
        <w:t> </w:t>
      </w:r>
      <w:r>
        <w:rPr>
          <w:sz w:val="22"/>
        </w:rPr>
        <w:t>reformas;</w:t>
      </w:r>
      <w:r>
        <w:rPr>
          <w:spacing w:val="-7"/>
          <w:sz w:val="22"/>
        </w:rPr>
        <w:t> </w:t>
      </w:r>
      <w:r>
        <w:rPr>
          <w:sz w:val="22"/>
        </w:rPr>
        <w:t>también</w:t>
      </w:r>
      <w:r>
        <w:rPr>
          <w:spacing w:val="-7"/>
          <w:sz w:val="22"/>
        </w:rPr>
        <w:t> </w:t>
      </w:r>
      <w:r>
        <w:rPr>
          <w:sz w:val="22"/>
        </w:rPr>
        <w:t>se</w:t>
      </w:r>
      <w:r>
        <w:rPr>
          <w:spacing w:val="-6"/>
          <w:sz w:val="22"/>
        </w:rPr>
        <w:t> </w:t>
      </w:r>
      <w:r>
        <w:rPr>
          <w:sz w:val="22"/>
        </w:rPr>
        <w:t>reforman los</w:t>
      </w:r>
      <w:r>
        <w:rPr>
          <w:spacing w:val="17"/>
          <w:sz w:val="22"/>
        </w:rPr>
        <w:t> </w:t>
      </w:r>
      <w:r>
        <w:rPr>
          <w:sz w:val="22"/>
        </w:rPr>
        <w:t>artículos</w:t>
      </w:r>
      <w:r>
        <w:rPr>
          <w:spacing w:val="15"/>
          <w:sz w:val="22"/>
        </w:rPr>
        <w:t> </w:t>
      </w:r>
      <w:r>
        <w:rPr>
          <w:sz w:val="22"/>
        </w:rPr>
        <w:t>20,</w:t>
      </w:r>
      <w:r>
        <w:rPr>
          <w:spacing w:val="17"/>
          <w:sz w:val="22"/>
        </w:rPr>
        <w:t> </w:t>
      </w:r>
      <w:r>
        <w:rPr>
          <w:sz w:val="22"/>
        </w:rPr>
        <w:t>21,</w:t>
      </w:r>
      <w:r>
        <w:rPr>
          <w:spacing w:val="19"/>
          <w:sz w:val="22"/>
        </w:rPr>
        <w:t> </w:t>
      </w:r>
      <w:r>
        <w:rPr>
          <w:sz w:val="22"/>
        </w:rPr>
        <w:t>24,</w:t>
      </w:r>
      <w:r>
        <w:rPr>
          <w:spacing w:val="14"/>
          <w:sz w:val="22"/>
        </w:rPr>
        <w:t> </w:t>
      </w:r>
      <w:r>
        <w:rPr>
          <w:sz w:val="22"/>
        </w:rPr>
        <w:t>29,</w:t>
      </w:r>
      <w:r>
        <w:rPr>
          <w:spacing w:val="19"/>
          <w:sz w:val="22"/>
        </w:rPr>
        <w:t> </w:t>
      </w:r>
      <w:r>
        <w:rPr>
          <w:sz w:val="22"/>
        </w:rPr>
        <w:t>30,</w:t>
      </w:r>
      <w:r>
        <w:rPr>
          <w:spacing w:val="17"/>
          <w:sz w:val="22"/>
        </w:rPr>
        <w:t> </w:t>
      </w:r>
      <w:r>
        <w:rPr>
          <w:sz w:val="22"/>
        </w:rPr>
        <w:t>31,</w:t>
      </w:r>
      <w:r>
        <w:rPr>
          <w:spacing w:val="17"/>
          <w:sz w:val="22"/>
        </w:rPr>
        <w:t> </w:t>
      </w:r>
      <w:r>
        <w:rPr>
          <w:sz w:val="22"/>
        </w:rPr>
        <w:t>33</w:t>
      </w:r>
      <w:r>
        <w:rPr>
          <w:spacing w:val="15"/>
          <w:sz w:val="22"/>
        </w:rPr>
        <w:t> </w:t>
      </w:r>
      <w:r>
        <w:rPr>
          <w:sz w:val="22"/>
        </w:rPr>
        <w:t>y</w:t>
      </w:r>
      <w:r>
        <w:rPr>
          <w:spacing w:val="18"/>
          <w:sz w:val="22"/>
        </w:rPr>
        <w:t> </w:t>
      </w:r>
      <w:r>
        <w:rPr>
          <w:sz w:val="22"/>
        </w:rPr>
        <w:t>60</w:t>
      </w:r>
      <w:r>
        <w:rPr>
          <w:spacing w:val="15"/>
          <w:sz w:val="22"/>
        </w:rPr>
        <w:t> </w:t>
      </w:r>
      <w:r>
        <w:rPr>
          <w:sz w:val="22"/>
        </w:rPr>
        <w:t>del</w:t>
      </w:r>
      <w:r>
        <w:rPr>
          <w:spacing w:val="14"/>
          <w:sz w:val="22"/>
        </w:rPr>
        <w:t> </w:t>
      </w:r>
      <w:r>
        <w:rPr>
          <w:sz w:val="22"/>
        </w:rPr>
        <w:t>decreto mencionado,</w:t>
      </w:r>
      <w:r>
        <w:rPr>
          <w:spacing w:val="16"/>
          <w:sz w:val="22"/>
        </w:rPr>
        <w:t> </w:t>
      </w:r>
      <w:r>
        <w:rPr>
          <w:sz w:val="22"/>
        </w:rPr>
        <w:t>cuya</w:t>
      </w:r>
      <w:r>
        <w:rPr>
          <w:spacing w:val="17"/>
          <w:sz w:val="22"/>
        </w:rPr>
        <w:t> </w:t>
      </w:r>
      <w:r>
        <w:rPr>
          <w:sz w:val="22"/>
        </w:rPr>
        <w:t>numeración</w:t>
      </w:r>
    </w:p>
    <w:p>
      <w:pPr>
        <w:pStyle w:val="BodyText"/>
        <w:ind w:left="1625" w:right="1607"/>
        <w:jc w:val="both"/>
      </w:pPr>
      <w:r>
        <w:rPr/>
        <w:t>varía y pasan a ser los artículos 18, 19, 21, 47, 48, 49, 51 y 57, respectivamente. Fecha de vigencia 26/06/2019.</w:t>
      </w:r>
    </w:p>
    <w:p>
      <w:pPr>
        <w:pStyle w:val="BodyText"/>
        <w:spacing w:before="1"/>
      </w:pPr>
    </w:p>
    <w:p>
      <w:pPr>
        <w:spacing w:before="0"/>
        <w:ind w:left="1625" w:right="1604" w:firstLine="0"/>
        <w:jc w:val="both"/>
        <w:rPr>
          <w:sz w:val="22"/>
        </w:rPr>
      </w:pPr>
      <w:r>
        <w:rPr>
          <w:b/>
          <w:sz w:val="22"/>
        </w:rPr>
        <w:t>Reglamento a la Ley del Impuesto sobre el Valor Agregado </w:t>
      </w:r>
      <w:r>
        <w:rPr>
          <w:sz w:val="22"/>
        </w:rPr>
        <w:t>(Decreto N°41779). Establece</w:t>
      </w:r>
      <w:r>
        <w:rPr>
          <w:spacing w:val="-16"/>
          <w:sz w:val="22"/>
        </w:rPr>
        <w:t> </w:t>
      </w:r>
      <w:r>
        <w:rPr>
          <w:sz w:val="22"/>
        </w:rPr>
        <w:t>la</w:t>
      </w:r>
      <w:r>
        <w:rPr>
          <w:spacing w:val="-15"/>
          <w:sz w:val="22"/>
        </w:rPr>
        <w:t> </w:t>
      </w:r>
      <w:r>
        <w:rPr>
          <w:sz w:val="22"/>
        </w:rPr>
        <w:t>forma</w:t>
      </w:r>
      <w:r>
        <w:rPr>
          <w:spacing w:val="-15"/>
          <w:sz w:val="22"/>
        </w:rPr>
        <w:t> </w:t>
      </w:r>
      <w:r>
        <w:rPr>
          <w:sz w:val="22"/>
        </w:rPr>
        <w:t>de</w:t>
      </w:r>
      <w:r>
        <w:rPr>
          <w:spacing w:val="-16"/>
          <w:sz w:val="22"/>
        </w:rPr>
        <w:t> </w:t>
      </w:r>
      <w:r>
        <w:rPr>
          <w:sz w:val="22"/>
        </w:rPr>
        <w:t>aplicación</w:t>
      </w:r>
      <w:r>
        <w:rPr>
          <w:spacing w:val="-15"/>
          <w:sz w:val="22"/>
        </w:rPr>
        <w:t> </w:t>
      </w:r>
      <w:r>
        <w:rPr>
          <w:sz w:val="22"/>
        </w:rPr>
        <w:t>del</w:t>
      </w:r>
      <w:r>
        <w:rPr>
          <w:spacing w:val="-15"/>
          <w:sz w:val="22"/>
        </w:rPr>
        <w:t> </w:t>
      </w:r>
      <w:r>
        <w:rPr>
          <w:sz w:val="22"/>
        </w:rPr>
        <w:t>Impuesto</w:t>
      </w:r>
      <w:r>
        <w:rPr>
          <w:spacing w:val="-15"/>
          <w:sz w:val="22"/>
        </w:rPr>
        <w:t> </w:t>
      </w:r>
      <w:r>
        <w:rPr>
          <w:sz w:val="22"/>
        </w:rPr>
        <w:t>sobre</w:t>
      </w:r>
      <w:r>
        <w:rPr>
          <w:spacing w:val="-16"/>
          <w:sz w:val="22"/>
        </w:rPr>
        <w:t> </w:t>
      </w:r>
      <w:r>
        <w:rPr>
          <w:sz w:val="22"/>
        </w:rPr>
        <w:t>el</w:t>
      </w:r>
      <w:r>
        <w:rPr>
          <w:spacing w:val="-15"/>
          <w:sz w:val="22"/>
        </w:rPr>
        <w:t> </w:t>
      </w:r>
      <w:r>
        <w:rPr>
          <w:sz w:val="22"/>
        </w:rPr>
        <w:t>Valor</w:t>
      </w:r>
      <w:r>
        <w:rPr>
          <w:spacing w:val="-15"/>
          <w:sz w:val="22"/>
        </w:rPr>
        <w:t> </w:t>
      </w:r>
      <w:r>
        <w:rPr>
          <w:sz w:val="22"/>
        </w:rPr>
        <w:t>Agregado.</w:t>
      </w:r>
      <w:r>
        <w:rPr>
          <w:spacing w:val="-16"/>
          <w:sz w:val="22"/>
        </w:rPr>
        <w:t> </w:t>
      </w:r>
      <w:r>
        <w:rPr>
          <w:sz w:val="22"/>
        </w:rPr>
        <w:t>Fecha</w:t>
      </w:r>
      <w:r>
        <w:rPr>
          <w:spacing w:val="-15"/>
          <w:sz w:val="22"/>
        </w:rPr>
        <w:t> </w:t>
      </w:r>
      <w:r>
        <w:rPr>
          <w:sz w:val="22"/>
        </w:rPr>
        <w:t>de</w:t>
      </w:r>
      <w:r>
        <w:rPr>
          <w:spacing w:val="-15"/>
          <w:sz w:val="22"/>
        </w:rPr>
        <w:t> </w:t>
      </w:r>
      <w:r>
        <w:rPr>
          <w:sz w:val="22"/>
        </w:rPr>
        <w:t>vigencia </w:t>
      </w:r>
      <w:r>
        <w:rPr>
          <w:spacing w:val="-2"/>
          <w:sz w:val="22"/>
        </w:rPr>
        <w:t>01/07/2019.</w:t>
      </w:r>
    </w:p>
    <w:p>
      <w:pPr>
        <w:spacing w:before="252"/>
        <w:ind w:left="1642" w:right="1603" w:firstLine="0"/>
        <w:jc w:val="both"/>
        <w:rPr>
          <w:sz w:val="22"/>
        </w:rPr>
      </w:pPr>
      <w:r>
        <w:rPr>
          <w:b/>
          <w:sz w:val="22"/>
        </w:rPr>
        <w:t>Reglamento</w:t>
      </w:r>
      <w:r>
        <w:rPr>
          <w:b/>
          <w:spacing w:val="-7"/>
          <w:sz w:val="22"/>
        </w:rPr>
        <w:t> </w:t>
      </w:r>
      <w:r>
        <w:rPr>
          <w:b/>
          <w:sz w:val="22"/>
        </w:rPr>
        <w:t>de</w:t>
      </w:r>
      <w:r>
        <w:rPr>
          <w:b/>
          <w:spacing w:val="-10"/>
          <w:sz w:val="22"/>
        </w:rPr>
        <w:t> </w:t>
      </w:r>
      <w:r>
        <w:rPr>
          <w:b/>
          <w:sz w:val="22"/>
        </w:rPr>
        <w:t>Organización</w:t>
      </w:r>
      <w:r>
        <w:rPr>
          <w:b/>
          <w:spacing w:val="-8"/>
          <w:sz w:val="22"/>
        </w:rPr>
        <w:t> </w:t>
      </w:r>
      <w:r>
        <w:rPr>
          <w:b/>
          <w:sz w:val="22"/>
        </w:rPr>
        <w:t>y</w:t>
      </w:r>
      <w:r>
        <w:rPr>
          <w:b/>
          <w:spacing w:val="-7"/>
          <w:sz w:val="22"/>
        </w:rPr>
        <w:t> </w:t>
      </w:r>
      <w:r>
        <w:rPr>
          <w:b/>
          <w:sz w:val="22"/>
        </w:rPr>
        <w:t>Funcionamiento</w:t>
      </w:r>
      <w:r>
        <w:rPr>
          <w:b/>
          <w:spacing w:val="-7"/>
          <w:sz w:val="22"/>
        </w:rPr>
        <w:t> </w:t>
      </w:r>
      <w:r>
        <w:rPr>
          <w:b/>
          <w:sz w:val="22"/>
        </w:rPr>
        <w:t>de</w:t>
      </w:r>
      <w:r>
        <w:rPr>
          <w:b/>
          <w:spacing w:val="-8"/>
          <w:sz w:val="22"/>
        </w:rPr>
        <w:t> </w:t>
      </w:r>
      <w:r>
        <w:rPr>
          <w:b/>
          <w:sz w:val="22"/>
        </w:rPr>
        <w:t>la</w:t>
      </w:r>
      <w:r>
        <w:rPr>
          <w:b/>
          <w:spacing w:val="-10"/>
          <w:sz w:val="22"/>
        </w:rPr>
        <w:t> </w:t>
      </w:r>
      <w:r>
        <w:rPr>
          <w:b/>
          <w:sz w:val="22"/>
        </w:rPr>
        <w:t>Auditoría</w:t>
      </w:r>
      <w:r>
        <w:rPr>
          <w:b/>
          <w:spacing w:val="-10"/>
          <w:sz w:val="22"/>
        </w:rPr>
        <w:t> </w:t>
      </w:r>
      <w:r>
        <w:rPr>
          <w:b/>
          <w:sz w:val="22"/>
        </w:rPr>
        <w:t>Interna</w:t>
      </w:r>
      <w:r>
        <w:rPr>
          <w:b/>
          <w:spacing w:val="-7"/>
          <w:sz w:val="22"/>
        </w:rPr>
        <w:t> </w:t>
      </w:r>
      <w:r>
        <w:rPr>
          <w:b/>
          <w:sz w:val="22"/>
        </w:rPr>
        <w:t>del</w:t>
      </w:r>
      <w:r>
        <w:rPr>
          <w:b/>
          <w:spacing w:val="-6"/>
          <w:sz w:val="22"/>
        </w:rPr>
        <w:t> </w:t>
      </w:r>
      <w:r>
        <w:rPr>
          <w:b/>
          <w:sz w:val="22"/>
        </w:rPr>
        <w:t>Instituto Mixto de Ayuda Social. Acuerdo CD N°553-12-2019. </w:t>
      </w:r>
      <w:r>
        <w:rPr>
          <w:sz w:val="22"/>
        </w:rPr>
        <w:t>Regula el cumplimiento de las funciones y actividades de la Auditoría Interna del Instituto Mixto de Ayuda Social, considerando las funciones administrativas esenciales de planificación, organización, dirección,</w:t>
      </w:r>
      <w:r>
        <w:rPr>
          <w:spacing w:val="-16"/>
          <w:sz w:val="22"/>
        </w:rPr>
        <w:t> </w:t>
      </w:r>
      <w:r>
        <w:rPr>
          <w:sz w:val="22"/>
        </w:rPr>
        <w:t>coordinación,</w:t>
      </w:r>
      <w:r>
        <w:rPr>
          <w:spacing w:val="-15"/>
          <w:sz w:val="22"/>
        </w:rPr>
        <w:t> </w:t>
      </w:r>
      <w:r>
        <w:rPr>
          <w:sz w:val="22"/>
        </w:rPr>
        <w:t>control</w:t>
      </w:r>
      <w:r>
        <w:rPr>
          <w:spacing w:val="-15"/>
          <w:sz w:val="22"/>
        </w:rPr>
        <w:t> </w:t>
      </w:r>
      <w:r>
        <w:rPr>
          <w:sz w:val="22"/>
        </w:rPr>
        <w:t>y</w:t>
      </w:r>
      <w:r>
        <w:rPr>
          <w:spacing w:val="-16"/>
          <w:sz w:val="22"/>
        </w:rPr>
        <w:t> </w:t>
      </w:r>
      <w:r>
        <w:rPr>
          <w:sz w:val="22"/>
        </w:rPr>
        <w:t>seguimiento</w:t>
      </w:r>
      <w:r>
        <w:rPr>
          <w:spacing w:val="-15"/>
          <w:sz w:val="22"/>
        </w:rPr>
        <w:t> </w:t>
      </w:r>
      <w:r>
        <w:rPr>
          <w:sz w:val="22"/>
        </w:rPr>
        <w:t>de</w:t>
      </w:r>
      <w:r>
        <w:rPr>
          <w:spacing w:val="-15"/>
          <w:sz w:val="22"/>
        </w:rPr>
        <w:t> </w:t>
      </w:r>
      <w:r>
        <w:rPr>
          <w:sz w:val="22"/>
        </w:rPr>
        <w:t>los</w:t>
      </w:r>
      <w:r>
        <w:rPr>
          <w:spacing w:val="-15"/>
          <w:sz w:val="22"/>
        </w:rPr>
        <w:t> </w:t>
      </w:r>
      <w:r>
        <w:rPr>
          <w:sz w:val="22"/>
        </w:rPr>
        <w:t>servicios</w:t>
      </w:r>
      <w:r>
        <w:rPr>
          <w:spacing w:val="-16"/>
          <w:sz w:val="22"/>
        </w:rPr>
        <w:t> </w:t>
      </w:r>
      <w:r>
        <w:rPr>
          <w:sz w:val="22"/>
        </w:rPr>
        <w:t>de</w:t>
      </w:r>
      <w:r>
        <w:rPr>
          <w:spacing w:val="-15"/>
          <w:sz w:val="22"/>
        </w:rPr>
        <w:t> </w:t>
      </w:r>
      <w:r>
        <w:rPr>
          <w:sz w:val="22"/>
        </w:rPr>
        <w:t>auditoría</w:t>
      </w:r>
      <w:r>
        <w:rPr>
          <w:spacing w:val="-15"/>
          <w:sz w:val="22"/>
        </w:rPr>
        <w:t> </w:t>
      </w:r>
      <w:r>
        <w:rPr>
          <w:sz w:val="22"/>
        </w:rPr>
        <w:t>para</w:t>
      </w:r>
      <w:r>
        <w:rPr>
          <w:spacing w:val="-16"/>
          <w:sz w:val="22"/>
        </w:rPr>
        <w:t> </w:t>
      </w:r>
      <w:r>
        <w:rPr>
          <w:sz w:val="22"/>
        </w:rPr>
        <w:t>los</w:t>
      </w:r>
      <w:r>
        <w:rPr>
          <w:spacing w:val="-15"/>
          <w:sz w:val="22"/>
        </w:rPr>
        <w:t> </w:t>
      </w:r>
      <w:r>
        <w:rPr>
          <w:sz w:val="22"/>
        </w:rPr>
        <w:t>cuales se encuentra facultada. Fecha de vigencia 02/12/2019.</w:t>
      </w:r>
    </w:p>
    <w:p>
      <w:pPr>
        <w:pStyle w:val="BodyText"/>
      </w:pPr>
    </w:p>
    <w:p>
      <w:pPr>
        <w:pStyle w:val="Heading5"/>
        <w:spacing w:line="252" w:lineRule="exact"/>
        <w:jc w:val="both"/>
      </w:pPr>
      <w:r>
        <w:rPr/>
        <w:t>Reforma</w:t>
      </w:r>
      <w:r>
        <w:rPr>
          <w:spacing w:val="64"/>
        </w:rPr>
        <w:t> </w:t>
      </w:r>
      <w:r>
        <w:rPr/>
        <w:t>Reglamento</w:t>
      </w:r>
      <w:r>
        <w:rPr>
          <w:spacing w:val="66"/>
        </w:rPr>
        <w:t> </w:t>
      </w:r>
      <w:r>
        <w:rPr/>
        <w:t>de</w:t>
      </w:r>
      <w:r>
        <w:rPr>
          <w:spacing w:val="68"/>
        </w:rPr>
        <w:t> </w:t>
      </w:r>
      <w:r>
        <w:rPr/>
        <w:t>Comprobantes</w:t>
      </w:r>
      <w:r>
        <w:rPr>
          <w:spacing w:val="67"/>
        </w:rPr>
        <w:t> </w:t>
      </w:r>
      <w:r>
        <w:rPr/>
        <w:t>Electrónicos</w:t>
      </w:r>
      <w:r>
        <w:rPr>
          <w:spacing w:val="66"/>
        </w:rPr>
        <w:t> </w:t>
      </w:r>
      <w:r>
        <w:rPr/>
        <w:t>para</w:t>
      </w:r>
      <w:r>
        <w:rPr>
          <w:spacing w:val="68"/>
        </w:rPr>
        <w:t> </w:t>
      </w:r>
      <w:r>
        <w:rPr/>
        <w:t>Efectos</w:t>
      </w:r>
      <w:r>
        <w:rPr>
          <w:spacing w:val="67"/>
        </w:rPr>
        <w:t> </w:t>
      </w:r>
      <w:r>
        <w:rPr>
          <w:spacing w:val="-2"/>
        </w:rPr>
        <w:t>Tributarios</w:t>
      </w:r>
    </w:p>
    <w:p>
      <w:pPr>
        <w:pStyle w:val="BodyText"/>
        <w:spacing w:line="252" w:lineRule="exact"/>
        <w:ind w:left="1625"/>
        <w:jc w:val="both"/>
      </w:pPr>
      <w:r>
        <w:rPr/>
        <w:t>(Decreto</w:t>
      </w:r>
      <w:r>
        <w:rPr>
          <w:spacing w:val="-14"/>
        </w:rPr>
        <w:t> </w:t>
      </w:r>
      <w:r>
        <w:rPr/>
        <w:t>Ejecutivo</w:t>
      </w:r>
      <w:r>
        <w:rPr>
          <w:spacing w:val="-12"/>
        </w:rPr>
        <w:t> </w:t>
      </w:r>
      <w:r>
        <w:rPr/>
        <w:t>N°</w:t>
      </w:r>
      <w:r>
        <w:rPr>
          <w:spacing w:val="-12"/>
        </w:rPr>
        <w:t> </w:t>
      </w:r>
      <w:r>
        <w:rPr/>
        <w:t>41729-MIDEPLAN-H).</w:t>
      </w:r>
      <w:r>
        <w:rPr>
          <w:spacing w:val="-10"/>
        </w:rPr>
        <w:t> </w:t>
      </w:r>
      <w:r>
        <w:rPr/>
        <w:t>Modifica</w:t>
      </w:r>
      <w:r>
        <w:rPr>
          <w:spacing w:val="-9"/>
        </w:rPr>
        <w:t> </w:t>
      </w:r>
      <w:r>
        <w:rPr/>
        <w:t>el</w:t>
      </w:r>
      <w:r>
        <w:rPr>
          <w:spacing w:val="-10"/>
        </w:rPr>
        <w:t> </w:t>
      </w:r>
      <w:r>
        <w:rPr/>
        <w:t>inciso</w:t>
      </w:r>
      <w:r>
        <w:rPr>
          <w:spacing w:val="-10"/>
        </w:rPr>
        <w:t> </w:t>
      </w:r>
      <w:r>
        <w:rPr/>
        <w:t>h)</w:t>
      </w:r>
      <w:r>
        <w:rPr>
          <w:spacing w:val="-8"/>
        </w:rPr>
        <w:t> </w:t>
      </w:r>
      <w:r>
        <w:rPr/>
        <w:t>del</w:t>
      </w:r>
      <w:r>
        <w:rPr>
          <w:spacing w:val="-12"/>
        </w:rPr>
        <w:t> </w:t>
      </w:r>
      <w:r>
        <w:rPr/>
        <w:t>inciso</w:t>
      </w:r>
      <w:r>
        <w:rPr>
          <w:spacing w:val="-9"/>
        </w:rPr>
        <w:t> </w:t>
      </w:r>
      <w:r>
        <w:rPr/>
        <w:t>2)</w:t>
      </w:r>
      <w:r>
        <w:rPr>
          <w:spacing w:val="-11"/>
        </w:rPr>
        <w:t> </w:t>
      </w:r>
      <w:r>
        <w:rPr/>
        <w:t>del</w:t>
      </w:r>
      <w:r>
        <w:rPr>
          <w:spacing w:val="-10"/>
        </w:rPr>
        <w:t> </w:t>
      </w:r>
      <w:r>
        <w:rPr>
          <w:spacing w:val="-2"/>
        </w:rPr>
        <w:t>artículo</w:t>
      </w:r>
    </w:p>
    <w:p>
      <w:pPr>
        <w:pStyle w:val="BodyText"/>
        <w:spacing w:before="1"/>
        <w:ind w:left="1625" w:right="1603"/>
        <w:jc w:val="both"/>
      </w:pPr>
      <w:r>
        <w:rPr/>
        <w:t>4 y el artículo 20 del Decreto N° 41820-H del 19 de junio de 2019, denominado “Reglamento</w:t>
      </w:r>
      <w:r>
        <w:rPr>
          <w:spacing w:val="-1"/>
        </w:rPr>
        <w:t> </w:t>
      </w:r>
      <w:r>
        <w:rPr/>
        <w:t>de</w:t>
      </w:r>
      <w:r>
        <w:rPr>
          <w:spacing w:val="-1"/>
        </w:rPr>
        <w:t> </w:t>
      </w:r>
      <w:r>
        <w:rPr/>
        <w:t>Comprobantes Electrónicos</w:t>
      </w:r>
      <w:r>
        <w:rPr>
          <w:spacing w:val="-1"/>
        </w:rPr>
        <w:t> </w:t>
      </w:r>
      <w:r>
        <w:rPr/>
        <w:t>para</w:t>
      </w:r>
      <w:r>
        <w:rPr>
          <w:spacing w:val="-1"/>
        </w:rPr>
        <w:t> </w:t>
      </w:r>
      <w:r>
        <w:rPr/>
        <w:t>efectos</w:t>
      </w:r>
      <w:r>
        <w:rPr>
          <w:spacing w:val="-1"/>
        </w:rPr>
        <w:t> </w:t>
      </w:r>
      <w:r>
        <w:rPr/>
        <w:t>tributarios”. Fecha de</w:t>
      </w:r>
      <w:r>
        <w:rPr>
          <w:spacing w:val="-1"/>
        </w:rPr>
        <w:t> </w:t>
      </w:r>
      <w:r>
        <w:rPr/>
        <w:t>vigencia </w:t>
      </w:r>
      <w:r>
        <w:rPr>
          <w:spacing w:val="-2"/>
        </w:rPr>
        <w:t>10/02/2020.</w:t>
      </w:r>
    </w:p>
    <w:p>
      <w:pPr>
        <w:spacing w:before="252"/>
        <w:ind w:left="1625" w:right="1602" w:firstLine="0"/>
        <w:jc w:val="both"/>
        <w:rPr>
          <w:sz w:val="22"/>
        </w:rPr>
      </w:pPr>
      <w:r>
        <w:rPr>
          <w:b/>
          <w:sz w:val="22"/>
        </w:rPr>
        <w:t>Reforma al Artículo 145 del Reglamento a la Ley de Contratación Administrativa</w:t>
      </w:r>
      <w:r>
        <w:rPr>
          <w:sz w:val="22"/>
        </w:rPr>
        <w:t>, Decreto N.º 42202-H-MEP-MOPT, Reforma el artículo 145 del Reglamento a la Ley de Contratación Administrativa. Fecha de vigencia 20/02/2020.</w:t>
      </w:r>
    </w:p>
    <w:p>
      <w:pPr>
        <w:spacing w:after="0"/>
        <w:jc w:val="both"/>
        <w:rPr>
          <w:sz w:val="22"/>
        </w:rPr>
        <w:sectPr>
          <w:pgSz w:w="12240" w:h="15840"/>
          <w:pgMar w:header="0" w:footer="1576" w:top="1000" w:bottom="1760" w:left="360" w:right="0"/>
        </w:sectPr>
      </w:pPr>
    </w:p>
    <w:p>
      <w:pPr>
        <w:pStyle w:val="BodyText"/>
        <w:spacing w:before="77"/>
        <w:ind w:left="1642" w:right="1601"/>
        <w:jc w:val="both"/>
      </w:pPr>
      <w:r>
        <w:rPr>
          <w:b/>
        </w:rPr>
        <w:t>Reglamento de Modalidades Académicas y Formativas Laborales en el Instituto Mixto de Ayuda Social y órganos adscritos a este</w:t>
      </w:r>
      <w:r>
        <w:rPr/>
        <w:t>. Establece las condiciones generales bajo las cuales se ejecutarán en el Instituto Mixto de Ayuda Social (IMAS) y órganos adscritos a éste, las modalidades de prácticas supervisadas, trabajo comunal universitario,</w:t>
      </w:r>
      <w:r>
        <w:rPr>
          <w:spacing w:val="-6"/>
        </w:rPr>
        <w:t> </w:t>
      </w:r>
      <w:r>
        <w:rPr/>
        <w:t>prácticas</w:t>
      </w:r>
      <w:r>
        <w:rPr>
          <w:spacing w:val="-7"/>
        </w:rPr>
        <w:t> </w:t>
      </w:r>
      <w:r>
        <w:rPr/>
        <w:t>profesionales,</w:t>
      </w:r>
      <w:r>
        <w:rPr>
          <w:spacing w:val="-6"/>
        </w:rPr>
        <w:t> </w:t>
      </w:r>
      <w:r>
        <w:rPr/>
        <w:t>y</w:t>
      </w:r>
      <w:r>
        <w:rPr>
          <w:spacing w:val="-7"/>
        </w:rPr>
        <w:t> </w:t>
      </w:r>
      <w:r>
        <w:rPr/>
        <w:t>trabajos</w:t>
      </w:r>
      <w:r>
        <w:rPr>
          <w:spacing w:val="-7"/>
        </w:rPr>
        <w:t> </w:t>
      </w:r>
      <w:r>
        <w:rPr/>
        <w:t>finales</w:t>
      </w:r>
      <w:r>
        <w:rPr>
          <w:spacing w:val="-6"/>
        </w:rPr>
        <w:t> </w:t>
      </w:r>
      <w:r>
        <w:rPr/>
        <w:t>de</w:t>
      </w:r>
      <w:r>
        <w:rPr>
          <w:spacing w:val="-6"/>
        </w:rPr>
        <w:t> </w:t>
      </w:r>
      <w:r>
        <w:rPr/>
        <w:t>graduación,</w:t>
      </w:r>
      <w:r>
        <w:rPr>
          <w:spacing w:val="-6"/>
        </w:rPr>
        <w:t> </w:t>
      </w:r>
      <w:r>
        <w:rPr/>
        <w:t>meritorios</w:t>
      </w:r>
      <w:r>
        <w:rPr>
          <w:spacing w:val="-7"/>
        </w:rPr>
        <w:t> </w:t>
      </w:r>
      <w:r>
        <w:rPr/>
        <w:t>y</w:t>
      </w:r>
      <w:r>
        <w:rPr>
          <w:spacing w:val="-6"/>
        </w:rPr>
        <w:t> </w:t>
      </w:r>
      <w:r>
        <w:rPr/>
        <w:t>otras, en</w:t>
      </w:r>
      <w:r>
        <w:rPr>
          <w:spacing w:val="-6"/>
        </w:rPr>
        <w:t> </w:t>
      </w:r>
      <w:r>
        <w:rPr/>
        <w:t>adelante</w:t>
      </w:r>
      <w:r>
        <w:rPr>
          <w:spacing w:val="-8"/>
        </w:rPr>
        <w:t> </w:t>
      </w:r>
      <w:r>
        <w:rPr/>
        <w:t>denominadas</w:t>
      </w:r>
      <w:r>
        <w:rPr>
          <w:spacing w:val="-8"/>
        </w:rPr>
        <w:t> </w:t>
      </w:r>
      <w:r>
        <w:rPr/>
        <w:t>modalidades</w:t>
      </w:r>
      <w:r>
        <w:rPr>
          <w:spacing w:val="-6"/>
        </w:rPr>
        <w:t> </w:t>
      </w:r>
      <w:r>
        <w:rPr/>
        <w:t>académicas</w:t>
      </w:r>
      <w:r>
        <w:rPr>
          <w:spacing w:val="-6"/>
        </w:rPr>
        <w:t> </w:t>
      </w:r>
      <w:r>
        <w:rPr/>
        <w:t>y</w:t>
      </w:r>
      <w:r>
        <w:rPr>
          <w:spacing w:val="-10"/>
        </w:rPr>
        <w:t> </w:t>
      </w:r>
      <w:r>
        <w:rPr/>
        <w:t>formativas</w:t>
      </w:r>
      <w:r>
        <w:rPr>
          <w:spacing w:val="-8"/>
        </w:rPr>
        <w:t> </w:t>
      </w:r>
      <w:r>
        <w:rPr/>
        <w:t>laborales,</w:t>
      </w:r>
      <w:r>
        <w:rPr>
          <w:spacing w:val="-7"/>
        </w:rPr>
        <w:t> </w:t>
      </w:r>
      <w:r>
        <w:rPr/>
        <w:t>cuyo</w:t>
      </w:r>
      <w:r>
        <w:rPr>
          <w:spacing w:val="-4"/>
        </w:rPr>
        <w:t> </w:t>
      </w:r>
      <w:r>
        <w:rPr/>
        <w:t>fin</w:t>
      </w:r>
      <w:r>
        <w:rPr>
          <w:spacing w:val="-6"/>
        </w:rPr>
        <w:t> </w:t>
      </w:r>
      <w:r>
        <w:rPr/>
        <w:t>para las personas estudiantes es la aprobación de un requisito académico como parte de un plan</w:t>
      </w:r>
      <w:r>
        <w:rPr>
          <w:spacing w:val="-8"/>
        </w:rPr>
        <w:t> </w:t>
      </w:r>
      <w:r>
        <w:rPr/>
        <w:t>de</w:t>
      </w:r>
      <w:r>
        <w:rPr>
          <w:spacing w:val="-8"/>
        </w:rPr>
        <w:t> </w:t>
      </w:r>
      <w:r>
        <w:rPr/>
        <w:t>estudios</w:t>
      </w:r>
      <w:r>
        <w:rPr>
          <w:spacing w:val="-7"/>
        </w:rPr>
        <w:t> </w:t>
      </w:r>
      <w:r>
        <w:rPr/>
        <w:t>impartido</w:t>
      </w:r>
      <w:r>
        <w:rPr>
          <w:spacing w:val="-7"/>
        </w:rPr>
        <w:t> </w:t>
      </w:r>
      <w:r>
        <w:rPr/>
        <w:t>por</w:t>
      </w:r>
      <w:r>
        <w:rPr>
          <w:spacing w:val="-9"/>
        </w:rPr>
        <w:t> </w:t>
      </w:r>
      <w:r>
        <w:rPr/>
        <w:t>una</w:t>
      </w:r>
      <w:r>
        <w:rPr>
          <w:spacing w:val="-7"/>
        </w:rPr>
        <w:t> </w:t>
      </w:r>
      <w:r>
        <w:rPr/>
        <w:t>institución</w:t>
      </w:r>
      <w:r>
        <w:rPr>
          <w:spacing w:val="-8"/>
        </w:rPr>
        <w:t> </w:t>
      </w:r>
      <w:r>
        <w:rPr/>
        <w:t>educativa</w:t>
      </w:r>
      <w:r>
        <w:rPr>
          <w:spacing w:val="-8"/>
        </w:rPr>
        <w:t> </w:t>
      </w:r>
      <w:r>
        <w:rPr/>
        <w:t>y</w:t>
      </w:r>
      <w:r>
        <w:rPr>
          <w:spacing w:val="-9"/>
        </w:rPr>
        <w:t> </w:t>
      </w:r>
      <w:r>
        <w:rPr/>
        <w:t>cuya</w:t>
      </w:r>
      <w:r>
        <w:rPr>
          <w:spacing w:val="-10"/>
        </w:rPr>
        <w:t> </w:t>
      </w:r>
      <w:r>
        <w:rPr/>
        <w:t>actividad</w:t>
      </w:r>
      <w:r>
        <w:rPr>
          <w:spacing w:val="-7"/>
        </w:rPr>
        <w:t> </w:t>
      </w:r>
      <w:r>
        <w:rPr/>
        <w:t>se</w:t>
      </w:r>
      <w:r>
        <w:rPr>
          <w:spacing w:val="-7"/>
        </w:rPr>
        <w:t> </w:t>
      </w:r>
      <w:r>
        <w:rPr/>
        <w:t>constituye</w:t>
      </w:r>
      <w:r>
        <w:rPr>
          <w:spacing w:val="-10"/>
        </w:rPr>
        <w:t> </w:t>
      </w:r>
      <w:r>
        <w:rPr/>
        <w:t>en interés para el IMAS y órganos adscritos a éste. Fecha de vigencia 03/03/2020.</w:t>
      </w:r>
    </w:p>
    <w:p>
      <w:pPr>
        <w:pStyle w:val="BodyText"/>
      </w:pPr>
    </w:p>
    <w:p>
      <w:pPr>
        <w:spacing w:before="1"/>
        <w:ind w:left="1625" w:right="1603" w:firstLine="0"/>
        <w:jc w:val="both"/>
        <w:rPr>
          <w:sz w:val="22"/>
        </w:rPr>
      </w:pPr>
      <w:r>
        <w:rPr>
          <w:b/>
          <w:sz w:val="22"/>
        </w:rPr>
        <w:t>Reforma al Reglamento de Organización y Funcionamiento del Consejo Directivo del IMAS</w:t>
      </w:r>
      <w:r>
        <w:rPr>
          <w:sz w:val="22"/>
        </w:rPr>
        <w:t>. Adiciona una SECCIÓN VIII. De las sesiones virtuales al Capítulo II del Reglamento de Organización y Funcionamiento del Consejo Directivo del IMAS. Fecha de vigencia 20/03/2020.</w:t>
      </w:r>
    </w:p>
    <w:p>
      <w:pPr>
        <w:spacing w:before="252"/>
        <w:ind w:left="1625" w:right="1605" w:firstLine="0"/>
        <w:jc w:val="both"/>
        <w:rPr>
          <w:sz w:val="22"/>
        </w:rPr>
      </w:pPr>
      <w:r>
        <w:rPr>
          <w:b/>
          <w:sz w:val="22"/>
        </w:rPr>
        <w:t>Reglamento a la Ley de Creación de la Red Nacional de Cuido y Desarrollo Infantil </w:t>
      </w:r>
      <w:r>
        <w:rPr>
          <w:sz w:val="22"/>
        </w:rPr>
        <w:t>(Decreto N°42206-MP-MDHIS). Facilita la ejecución de la Ley de la Red Nacional de Cuido y Desarrollo Infantil (Ley N° 9220). Fecha de vigencia 02/04/2020.</w:t>
      </w:r>
    </w:p>
    <w:p>
      <w:pPr>
        <w:spacing w:before="253"/>
        <w:ind w:left="1625" w:right="1599" w:firstLine="0"/>
        <w:jc w:val="both"/>
        <w:rPr>
          <w:sz w:val="22"/>
        </w:rPr>
      </w:pPr>
      <w:r>
        <w:rPr>
          <w:b/>
          <w:sz w:val="22"/>
        </w:rPr>
        <w:t>Reglamento</w:t>
      </w:r>
      <w:r>
        <w:rPr>
          <w:b/>
          <w:spacing w:val="-15"/>
          <w:sz w:val="22"/>
        </w:rPr>
        <w:t> </w:t>
      </w:r>
      <w:r>
        <w:rPr>
          <w:b/>
          <w:sz w:val="22"/>
        </w:rPr>
        <w:t>para</w:t>
      </w:r>
      <w:r>
        <w:rPr>
          <w:b/>
          <w:spacing w:val="-12"/>
          <w:sz w:val="22"/>
        </w:rPr>
        <w:t> </w:t>
      </w:r>
      <w:r>
        <w:rPr>
          <w:b/>
          <w:sz w:val="22"/>
        </w:rPr>
        <w:t>Regular</w:t>
      </w:r>
      <w:r>
        <w:rPr>
          <w:b/>
          <w:spacing w:val="-12"/>
          <w:sz w:val="22"/>
        </w:rPr>
        <w:t> </w:t>
      </w:r>
      <w:r>
        <w:rPr>
          <w:b/>
          <w:sz w:val="22"/>
        </w:rPr>
        <w:t>el</w:t>
      </w:r>
      <w:r>
        <w:rPr>
          <w:b/>
          <w:spacing w:val="-11"/>
          <w:sz w:val="22"/>
        </w:rPr>
        <w:t> </w:t>
      </w:r>
      <w:r>
        <w:rPr>
          <w:b/>
          <w:sz w:val="22"/>
        </w:rPr>
        <w:t>Servicio</w:t>
      </w:r>
      <w:r>
        <w:rPr>
          <w:b/>
          <w:spacing w:val="-11"/>
          <w:sz w:val="22"/>
        </w:rPr>
        <w:t> </w:t>
      </w:r>
      <w:r>
        <w:rPr>
          <w:b/>
          <w:sz w:val="22"/>
        </w:rPr>
        <w:t>de</w:t>
      </w:r>
      <w:r>
        <w:rPr>
          <w:b/>
          <w:spacing w:val="-15"/>
          <w:sz w:val="22"/>
        </w:rPr>
        <w:t> </w:t>
      </w:r>
      <w:r>
        <w:rPr>
          <w:b/>
          <w:sz w:val="22"/>
        </w:rPr>
        <w:t>Transporte</w:t>
      </w:r>
      <w:r>
        <w:rPr>
          <w:b/>
          <w:spacing w:val="-12"/>
          <w:sz w:val="22"/>
        </w:rPr>
        <w:t> </w:t>
      </w:r>
      <w:r>
        <w:rPr>
          <w:b/>
          <w:sz w:val="22"/>
        </w:rPr>
        <w:t>en</w:t>
      </w:r>
      <w:r>
        <w:rPr>
          <w:b/>
          <w:spacing w:val="-13"/>
          <w:sz w:val="22"/>
        </w:rPr>
        <w:t> </w:t>
      </w:r>
      <w:r>
        <w:rPr>
          <w:b/>
          <w:sz w:val="22"/>
        </w:rPr>
        <w:t>el</w:t>
      </w:r>
      <w:r>
        <w:rPr>
          <w:b/>
          <w:spacing w:val="-13"/>
          <w:sz w:val="22"/>
        </w:rPr>
        <w:t> </w:t>
      </w:r>
      <w:r>
        <w:rPr>
          <w:b/>
          <w:sz w:val="22"/>
        </w:rPr>
        <w:t>IMAS.</w:t>
      </w:r>
      <w:r>
        <w:rPr>
          <w:b/>
          <w:spacing w:val="-13"/>
          <w:sz w:val="22"/>
        </w:rPr>
        <w:t> </w:t>
      </w:r>
      <w:r>
        <w:rPr>
          <w:b/>
          <w:sz w:val="22"/>
        </w:rPr>
        <w:t>ACD</w:t>
      </w:r>
      <w:r>
        <w:rPr>
          <w:b/>
          <w:spacing w:val="-11"/>
          <w:sz w:val="22"/>
        </w:rPr>
        <w:t> </w:t>
      </w:r>
      <w:r>
        <w:rPr>
          <w:b/>
          <w:sz w:val="22"/>
        </w:rPr>
        <w:t>N°455-10-2020. </w:t>
      </w:r>
      <w:r>
        <w:rPr>
          <w:sz w:val="22"/>
        </w:rPr>
        <w:t>Establecer las disposiciones para la administración y prestación del servicio de transportes</w:t>
      </w:r>
      <w:r>
        <w:rPr>
          <w:spacing w:val="-2"/>
          <w:sz w:val="22"/>
        </w:rPr>
        <w:t> </w:t>
      </w:r>
      <w:r>
        <w:rPr>
          <w:sz w:val="22"/>
        </w:rPr>
        <w:t>en el</w:t>
      </w:r>
      <w:r>
        <w:rPr>
          <w:spacing w:val="-3"/>
          <w:sz w:val="22"/>
        </w:rPr>
        <w:t> </w:t>
      </w:r>
      <w:r>
        <w:rPr>
          <w:sz w:val="22"/>
        </w:rPr>
        <w:t>Instituto Mixto</w:t>
      </w:r>
      <w:r>
        <w:rPr>
          <w:spacing w:val="-2"/>
          <w:sz w:val="22"/>
        </w:rPr>
        <w:t> </w:t>
      </w:r>
      <w:r>
        <w:rPr>
          <w:sz w:val="22"/>
        </w:rPr>
        <w:t>de Ayuda Social, acordes</w:t>
      </w:r>
      <w:r>
        <w:rPr>
          <w:spacing w:val="-1"/>
          <w:sz w:val="22"/>
        </w:rPr>
        <w:t> </w:t>
      </w:r>
      <w:r>
        <w:rPr>
          <w:sz w:val="22"/>
        </w:rPr>
        <w:t>con el</w:t>
      </w:r>
      <w:r>
        <w:rPr>
          <w:spacing w:val="-1"/>
          <w:sz w:val="22"/>
        </w:rPr>
        <w:t> </w:t>
      </w:r>
      <w:r>
        <w:rPr>
          <w:sz w:val="22"/>
        </w:rPr>
        <w:t>ordenamiento jurídico y el</w:t>
      </w:r>
      <w:r>
        <w:rPr>
          <w:spacing w:val="-3"/>
          <w:sz w:val="22"/>
        </w:rPr>
        <w:t> </w:t>
      </w:r>
      <w:r>
        <w:rPr>
          <w:sz w:val="22"/>
        </w:rPr>
        <w:t>fin</w:t>
      </w:r>
      <w:r>
        <w:rPr>
          <w:spacing w:val="-4"/>
          <w:sz w:val="22"/>
        </w:rPr>
        <w:t> </w:t>
      </w:r>
      <w:r>
        <w:rPr>
          <w:sz w:val="22"/>
        </w:rPr>
        <w:t>público</w:t>
      </w:r>
      <w:r>
        <w:rPr>
          <w:spacing w:val="-2"/>
          <w:sz w:val="22"/>
        </w:rPr>
        <w:t> </w:t>
      </w:r>
      <w:r>
        <w:rPr>
          <w:sz w:val="22"/>
        </w:rPr>
        <w:t>que</w:t>
      </w:r>
      <w:r>
        <w:rPr>
          <w:spacing w:val="-4"/>
          <w:sz w:val="22"/>
        </w:rPr>
        <w:t> </w:t>
      </w:r>
      <w:r>
        <w:rPr>
          <w:sz w:val="22"/>
        </w:rPr>
        <w:t>persigue</w:t>
      </w:r>
      <w:r>
        <w:rPr>
          <w:spacing w:val="-2"/>
          <w:sz w:val="22"/>
        </w:rPr>
        <w:t> </w:t>
      </w:r>
      <w:r>
        <w:rPr>
          <w:sz w:val="22"/>
        </w:rPr>
        <w:t>la</w:t>
      </w:r>
      <w:r>
        <w:rPr>
          <w:spacing w:val="-4"/>
          <w:sz w:val="22"/>
        </w:rPr>
        <w:t> </w:t>
      </w:r>
      <w:r>
        <w:rPr>
          <w:sz w:val="22"/>
        </w:rPr>
        <w:t>Institución</w:t>
      </w:r>
      <w:r>
        <w:rPr>
          <w:spacing w:val="-4"/>
          <w:sz w:val="22"/>
        </w:rPr>
        <w:t> </w:t>
      </w:r>
      <w:r>
        <w:rPr>
          <w:sz w:val="22"/>
        </w:rPr>
        <w:t>sobre</w:t>
      </w:r>
      <w:r>
        <w:rPr>
          <w:spacing w:val="-4"/>
          <w:sz w:val="22"/>
        </w:rPr>
        <w:t> </w:t>
      </w:r>
      <w:r>
        <w:rPr>
          <w:sz w:val="22"/>
        </w:rPr>
        <w:t>el</w:t>
      </w:r>
      <w:r>
        <w:rPr>
          <w:spacing w:val="-3"/>
          <w:sz w:val="22"/>
        </w:rPr>
        <w:t> </w:t>
      </w:r>
      <w:r>
        <w:rPr>
          <w:sz w:val="22"/>
        </w:rPr>
        <w:t>uso</w:t>
      </w:r>
      <w:r>
        <w:rPr>
          <w:spacing w:val="-2"/>
          <w:sz w:val="22"/>
        </w:rPr>
        <w:t> </w:t>
      </w:r>
      <w:r>
        <w:rPr>
          <w:sz w:val="22"/>
        </w:rPr>
        <w:t>racional</w:t>
      </w:r>
      <w:r>
        <w:rPr>
          <w:spacing w:val="-3"/>
          <w:sz w:val="22"/>
        </w:rPr>
        <w:t> </w:t>
      </w:r>
      <w:r>
        <w:rPr>
          <w:sz w:val="22"/>
        </w:rPr>
        <w:t>y</w:t>
      </w:r>
      <w:r>
        <w:rPr>
          <w:spacing w:val="-4"/>
          <w:sz w:val="22"/>
        </w:rPr>
        <w:t> </w:t>
      </w:r>
      <w:r>
        <w:rPr>
          <w:sz w:val="22"/>
        </w:rPr>
        <w:t>adecuado</w:t>
      </w:r>
      <w:r>
        <w:rPr>
          <w:spacing w:val="-4"/>
          <w:sz w:val="22"/>
        </w:rPr>
        <w:t> </w:t>
      </w:r>
      <w:r>
        <w:rPr>
          <w:sz w:val="22"/>
        </w:rPr>
        <w:t>de</w:t>
      </w:r>
      <w:r>
        <w:rPr>
          <w:spacing w:val="-2"/>
          <w:sz w:val="22"/>
        </w:rPr>
        <w:t> </w:t>
      </w:r>
      <w:r>
        <w:rPr>
          <w:sz w:val="22"/>
        </w:rPr>
        <w:t>los</w:t>
      </w:r>
      <w:r>
        <w:rPr>
          <w:spacing w:val="-4"/>
          <w:sz w:val="22"/>
        </w:rPr>
        <w:t> </w:t>
      </w:r>
      <w:r>
        <w:rPr>
          <w:sz w:val="22"/>
        </w:rPr>
        <w:t>bienes</w:t>
      </w:r>
      <w:r>
        <w:rPr>
          <w:spacing w:val="-2"/>
          <w:sz w:val="22"/>
        </w:rPr>
        <w:t> </w:t>
      </w:r>
      <w:r>
        <w:rPr>
          <w:sz w:val="22"/>
        </w:rPr>
        <w:t>y fondos públicos asociados. Fecha de vigencia 16/11/2020.</w:t>
      </w:r>
    </w:p>
    <w:p>
      <w:pPr>
        <w:pStyle w:val="BodyText"/>
        <w:spacing w:before="1"/>
      </w:pPr>
    </w:p>
    <w:p>
      <w:pPr>
        <w:spacing w:before="0"/>
        <w:ind w:left="1625" w:right="1604" w:firstLine="0"/>
        <w:jc w:val="both"/>
        <w:rPr>
          <w:sz w:val="22"/>
        </w:rPr>
      </w:pPr>
      <w:r>
        <w:rPr>
          <w:b/>
          <w:sz w:val="22"/>
        </w:rPr>
        <w:t>Reglamento</w:t>
      </w:r>
      <w:r>
        <w:rPr>
          <w:b/>
          <w:spacing w:val="-16"/>
          <w:sz w:val="22"/>
        </w:rPr>
        <w:t> </w:t>
      </w:r>
      <w:r>
        <w:rPr>
          <w:b/>
          <w:sz w:val="22"/>
        </w:rPr>
        <w:t>de</w:t>
      </w:r>
      <w:r>
        <w:rPr>
          <w:b/>
          <w:spacing w:val="-15"/>
          <w:sz w:val="22"/>
        </w:rPr>
        <w:t> </w:t>
      </w:r>
      <w:r>
        <w:rPr>
          <w:b/>
          <w:sz w:val="22"/>
        </w:rPr>
        <w:t>Donaciones</w:t>
      </w:r>
      <w:r>
        <w:rPr>
          <w:b/>
          <w:spacing w:val="-15"/>
          <w:sz w:val="22"/>
        </w:rPr>
        <w:t> </w:t>
      </w:r>
      <w:r>
        <w:rPr>
          <w:b/>
          <w:sz w:val="22"/>
        </w:rPr>
        <w:t>del</w:t>
      </w:r>
      <w:r>
        <w:rPr>
          <w:b/>
          <w:spacing w:val="-16"/>
          <w:sz w:val="22"/>
        </w:rPr>
        <w:t> </w:t>
      </w:r>
      <w:r>
        <w:rPr>
          <w:b/>
          <w:sz w:val="22"/>
        </w:rPr>
        <w:t>Instituto</w:t>
      </w:r>
      <w:r>
        <w:rPr>
          <w:b/>
          <w:spacing w:val="-15"/>
          <w:sz w:val="22"/>
        </w:rPr>
        <w:t> </w:t>
      </w:r>
      <w:r>
        <w:rPr>
          <w:b/>
          <w:sz w:val="22"/>
        </w:rPr>
        <w:t>Mixto</w:t>
      </w:r>
      <w:r>
        <w:rPr>
          <w:b/>
          <w:spacing w:val="-15"/>
          <w:sz w:val="22"/>
        </w:rPr>
        <w:t> </w:t>
      </w:r>
      <w:r>
        <w:rPr>
          <w:b/>
          <w:sz w:val="22"/>
        </w:rPr>
        <w:t>de</w:t>
      </w:r>
      <w:r>
        <w:rPr>
          <w:b/>
          <w:spacing w:val="-15"/>
          <w:sz w:val="22"/>
        </w:rPr>
        <w:t> </w:t>
      </w:r>
      <w:r>
        <w:rPr>
          <w:b/>
          <w:sz w:val="22"/>
        </w:rPr>
        <w:t>Ayuda</w:t>
      </w:r>
      <w:r>
        <w:rPr>
          <w:b/>
          <w:spacing w:val="-16"/>
          <w:sz w:val="22"/>
        </w:rPr>
        <w:t> </w:t>
      </w:r>
      <w:r>
        <w:rPr>
          <w:b/>
          <w:sz w:val="22"/>
        </w:rPr>
        <w:t>Social</w:t>
      </w:r>
      <w:r>
        <w:rPr>
          <w:b/>
          <w:spacing w:val="-15"/>
          <w:sz w:val="22"/>
        </w:rPr>
        <w:t> </w:t>
      </w:r>
      <w:r>
        <w:rPr>
          <w:b/>
          <w:sz w:val="22"/>
        </w:rPr>
        <w:t>y</w:t>
      </w:r>
      <w:r>
        <w:rPr>
          <w:b/>
          <w:spacing w:val="-15"/>
          <w:sz w:val="22"/>
        </w:rPr>
        <w:t> </w:t>
      </w:r>
      <w:r>
        <w:rPr>
          <w:b/>
          <w:sz w:val="22"/>
        </w:rPr>
        <w:t>sus</w:t>
      </w:r>
      <w:r>
        <w:rPr>
          <w:b/>
          <w:spacing w:val="-16"/>
          <w:sz w:val="22"/>
        </w:rPr>
        <w:t> </w:t>
      </w:r>
      <w:r>
        <w:rPr>
          <w:b/>
          <w:sz w:val="22"/>
        </w:rPr>
        <w:t>reformas.</w:t>
      </w:r>
      <w:r>
        <w:rPr>
          <w:b/>
          <w:spacing w:val="-15"/>
          <w:sz w:val="22"/>
        </w:rPr>
        <w:t> </w:t>
      </w:r>
      <w:r>
        <w:rPr>
          <w:b/>
          <w:sz w:val="22"/>
        </w:rPr>
        <w:t>ACD N°477-12-2020. </w:t>
      </w:r>
      <w:r>
        <w:rPr>
          <w:sz w:val="22"/>
        </w:rPr>
        <w:t>Establecer las regulaciones y condiciones aplicables a las donaciones en las cuales interviene el IMAS, sea como receptor o ejecutor; las cuales, tienen como fin coadyuvar a los entes y organizaciones solicitantes. Fecha de vigencia 01/02/2021.</w:t>
      </w:r>
    </w:p>
    <w:p>
      <w:pPr>
        <w:pStyle w:val="BodyText"/>
      </w:pPr>
    </w:p>
    <w:p>
      <w:pPr>
        <w:pStyle w:val="BodyText"/>
        <w:ind w:left="1625" w:right="1600"/>
        <w:jc w:val="both"/>
      </w:pPr>
      <w:r>
        <w:rPr>
          <w:b/>
        </w:rPr>
        <w:t>Reglamento a</w:t>
      </w:r>
      <w:r>
        <w:rPr>
          <w:b/>
          <w:spacing w:val="-2"/>
        </w:rPr>
        <w:t> </w:t>
      </w:r>
      <w:r>
        <w:rPr>
          <w:b/>
        </w:rPr>
        <w:t>la Ley del Impuesto a</w:t>
      </w:r>
      <w:r>
        <w:rPr>
          <w:b/>
          <w:spacing w:val="-2"/>
        </w:rPr>
        <w:t> </w:t>
      </w:r>
      <w:r>
        <w:rPr>
          <w:b/>
        </w:rPr>
        <w:t>Moteles</w:t>
      </w:r>
      <w:r>
        <w:rPr>
          <w:b/>
          <w:spacing w:val="-2"/>
        </w:rPr>
        <w:t> </w:t>
      </w:r>
      <w:r>
        <w:rPr>
          <w:b/>
        </w:rPr>
        <w:t>y Lugares afines </w:t>
      </w:r>
      <w:r>
        <w:rPr/>
        <w:t>(Decreto N° 42940-H-MDHIS). Regula la gestión, fiscalización, recaudación, inscripción, autorización, calificación y la aplicación de sanciones administrativas proveniente de la Ley N° 9326 del</w:t>
      </w:r>
      <w:r>
        <w:rPr>
          <w:spacing w:val="-5"/>
        </w:rPr>
        <w:t> </w:t>
      </w:r>
      <w:r>
        <w:rPr/>
        <w:t>19</w:t>
      </w:r>
      <w:r>
        <w:rPr>
          <w:spacing w:val="-4"/>
        </w:rPr>
        <w:t> </w:t>
      </w:r>
      <w:r>
        <w:rPr/>
        <w:t>de</w:t>
      </w:r>
      <w:r>
        <w:rPr>
          <w:spacing w:val="-7"/>
        </w:rPr>
        <w:t> </w:t>
      </w:r>
      <w:r>
        <w:rPr/>
        <w:t>octubre</w:t>
      </w:r>
      <w:r>
        <w:rPr>
          <w:spacing w:val="-6"/>
        </w:rPr>
        <w:t> </w:t>
      </w:r>
      <w:r>
        <w:rPr/>
        <w:t>de</w:t>
      </w:r>
      <w:r>
        <w:rPr>
          <w:spacing w:val="-7"/>
        </w:rPr>
        <w:t> </w:t>
      </w:r>
      <w:r>
        <w:rPr/>
        <w:t>2015</w:t>
      </w:r>
      <w:r>
        <w:rPr>
          <w:spacing w:val="-4"/>
        </w:rPr>
        <w:t> </w:t>
      </w:r>
      <w:r>
        <w:rPr/>
        <w:t>y</w:t>
      </w:r>
      <w:r>
        <w:rPr>
          <w:spacing w:val="-6"/>
        </w:rPr>
        <w:t> </w:t>
      </w:r>
      <w:r>
        <w:rPr/>
        <w:t>sus</w:t>
      </w:r>
      <w:r>
        <w:rPr>
          <w:spacing w:val="-6"/>
        </w:rPr>
        <w:t> </w:t>
      </w:r>
      <w:r>
        <w:rPr/>
        <w:t>reformas,</w:t>
      </w:r>
      <w:r>
        <w:rPr>
          <w:spacing w:val="-3"/>
        </w:rPr>
        <w:t> </w:t>
      </w:r>
      <w:r>
        <w:rPr/>
        <w:t>de</w:t>
      </w:r>
      <w:r>
        <w:rPr>
          <w:spacing w:val="-4"/>
        </w:rPr>
        <w:t> </w:t>
      </w:r>
      <w:r>
        <w:rPr/>
        <w:t>las</w:t>
      </w:r>
      <w:r>
        <w:rPr>
          <w:spacing w:val="-9"/>
        </w:rPr>
        <w:t> </w:t>
      </w:r>
      <w:r>
        <w:rPr/>
        <w:t>personas</w:t>
      </w:r>
      <w:r>
        <w:rPr>
          <w:spacing w:val="-6"/>
        </w:rPr>
        <w:t> </w:t>
      </w:r>
      <w:r>
        <w:rPr/>
        <w:t>físicas</w:t>
      </w:r>
      <w:r>
        <w:rPr>
          <w:spacing w:val="-6"/>
        </w:rPr>
        <w:t> </w:t>
      </w:r>
      <w:r>
        <w:rPr/>
        <w:t>o</w:t>
      </w:r>
      <w:r>
        <w:rPr>
          <w:spacing w:val="-6"/>
        </w:rPr>
        <w:t> </w:t>
      </w:r>
      <w:r>
        <w:rPr/>
        <w:t>jurídicas</w:t>
      </w:r>
      <w:r>
        <w:rPr>
          <w:spacing w:val="-4"/>
        </w:rPr>
        <w:t> </w:t>
      </w:r>
      <w:r>
        <w:rPr/>
        <w:t>que</w:t>
      </w:r>
      <w:r>
        <w:rPr>
          <w:spacing w:val="-6"/>
        </w:rPr>
        <w:t> </w:t>
      </w:r>
      <w:r>
        <w:rPr/>
        <w:t>ejerzan el derecho de explotación comercial, uso o disfrute de un bien o bienes utilizados como moteles, hoteles sin registro, hoteles de paso, casas de alojamiento ocasional, salas de masaje,</w:t>
      </w:r>
      <w:r>
        <w:rPr>
          <w:spacing w:val="-7"/>
        </w:rPr>
        <w:t> </w:t>
      </w:r>
      <w:r>
        <w:rPr/>
        <w:t>"Night</w:t>
      </w:r>
      <w:r>
        <w:rPr>
          <w:spacing w:val="-5"/>
        </w:rPr>
        <w:t> </w:t>
      </w:r>
      <w:r>
        <w:rPr/>
        <w:t>Clubs"</w:t>
      </w:r>
      <w:r>
        <w:rPr>
          <w:spacing w:val="-8"/>
        </w:rPr>
        <w:t> </w:t>
      </w:r>
      <w:r>
        <w:rPr/>
        <w:t>con</w:t>
      </w:r>
      <w:r>
        <w:rPr>
          <w:spacing w:val="-6"/>
        </w:rPr>
        <w:t> </w:t>
      </w:r>
      <w:r>
        <w:rPr/>
        <w:t>servicio</w:t>
      </w:r>
      <w:r>
        <w:rPr>
          <w:spacing w:val="-6"/>
        </w:rPr>
        <w:t> </w:t>
      </w:r>
      <w:r>
        <w:rPr/>
        <w:t>de</w:t>
      </w:r>
      <w:r>
        <w:rPr>
          <w:spacing w:val="-9"/>
        </w:rPr>
        <w:t> </w:t>
      </w:r>
      <w:r>
        <w:rPr/>
        <w:t>habitación</w:t>
      </w:r>
      <w:r>
        <w:rPr>
          <w:spacing w:val="-7"/>
        </w:rPr>
        <w:t> </w:t>
      </w:r>
      <w:r>
        <w:rPr/>
        <w:t>y</w:t>
      </w:r>
      <w:r>
        <w:rPr>
          <w:spacing w:val="-8"/>
        </w:rPr>
        <w:t> </w:t>
      </w:r>
      <w:r>
        <w:rPr/>
        <w:t>similares,</w:t>
      </w:r>
      <w:r>
        <w:rPr>
          <w:spacing w:val="-7"/>
        </w:rPr>
        <w:t> </w:t>
      </w:r>
      <w:r>
        <w:rPr/>
        <w:t>en</w:t>
      </w:r>
      <w:r>
        <w:rPr>
          <w:spacing w:val="-7"/>
        </w:rPr>
        <w:t> </w:t>
      </w:r>
      <w:r>
        <w:rPr/>
        <w:t>los</w:t>
      </w:r>
      <w:r>
        <w:rPr>
          <w:spacing w:val="-9"/>
        </w:rPr>
        <w:t> </w:t>
      </w:r>
      <w:r>
        <w:rPr/>
        <w:t>que</w:t>
      </w:r>
      <w:r>
        <w:rPr>
          <w:spacing w:val="-6"/>
        </w:rPr>
        <w:t> </w:t>
      </w:r>
      <w:r>
        <w:rPr/>
        <w:t>se</w:t>
      </w:r>
      <w:r>
        <w:rPr>
          <w:spacing w:val="-11"/>
        </w:rPr>
        <w:t> </w:t>
      </w:r>
      <w:r>
        <w:rPr/>
        <w:t>descanse</w:t>
      </w:r>
      <w:r>
        <w:rPr>
          <w:spacing w:val="-6"/>
        </w:rPr>
        <w:t> </w:t>
      </w:r>
      <w:r>
        <w:rPr/>
        <w:t>y</w:t>
      </w:r>
      <w:r>
        <w:rPr>
          <w:spacing w:val="-8"/>
        </w:rPr>
        <w:t> </w:t>
      </w:r>
      <w:r>
        <w:rPr/>
        <w:t>se realice la reunión íntima por un plazo determinado, mediante el pago de un precio establecido Fecha de vigencia 29/10/2021.</w:t>
      </w:r>
    </w:p>
    <w:p>
      <w:pPr>
        <w:pStyle w:val="BodyText"/>
      </w:pPr>
    </w:p>
    <w:p>
      <w:pPr>
        <w:spacing w:before="0"/>
        <w:ind w:left="1625" w:right="1603" w:firstLine="0"/>
        <w:jc w:val="both"/>
        <w:rPr>
          <w:sz w:val="22"/>
        </w:rPr>
      </w:pPr>
      <w:r>
        <w:rPr>
          <w:b/>
          <w:sz w:val="22"/>
        </w:rPr>
        <w:t>Reglamento a la Ley de Desarrollo Social y Asignaciones Familiares. </w:t>
      </w:r>
      <w:r>
        <w:rPr>
          <w:sz w:val="22"/>
        </w:rPr>
        <w:t>Creación del Fondo de Desarrollo Social y Asignaciones Familiares, IMAS percibe, como mínimo, un 4% de los recursos de FODESAF. Decreto N°35873-MTSS. Fecha de vigencia </w:t>
      </w:r>
      <w:r>
        <w:rPr>
          <w:spacing w:val="-2"/>
          <w:sz w:val="22"/>
        </w:rPr>
        <w:t>04/11/2021.</w:t>
      </w:r>
    </w:p>
    <w:p>
      <w:pPr>
        <w:pStyle w:val="BodyText"/>
      </w:pPr>
    </w:p>
    <w:p>
      <w:pPr>
        <w:spacing w:before="0"/>
        <w:ind w:left="1625" w:right="1602" w:firstLine="0"/>
        <w:jc w:val="both"/>
        <w:rPr>
          <w:sz w:val="22"/>
        </w:rPr>
      </w:pPr>
      <w:r>
        <w:rPr>
          <w:b/>
          <w:sz w:val="22"/>
        </w:rPr>
        <w:t>Reglamento a la Ley N° 9617 Fortalecimiento de las Transferencias Monetarias Condicionadas del Programa Avancemos y su reforma Ley N° 9903. </w:t>
      </w:r>
      <w:r>
        <w:rPr>
          <w:sz w:val="22"/>
        </w:rPr>
        <w:t>Tiene el objeto regular</w:t>
      </w:r>
      <w:r>
        <w:rPr>
          <w:spacing w:val="-8"/>
          <w:sz w:val="22"/>
        </w:rPr>
        <w:t> </w:t>
      </w:r>
      <w:r>
        <w:rPr>
          <w:sz w:val="22"/>
        </w:rPr>
        <w:t>la</w:t>
      </w:r>
      <w:r>
        <w:rPr>
          <w:spacing w:val="-6"/>
          <w:sz w:val="22"/>
        </w:rPr>
        <w:t> </w:t>
      </w:r>
      <w:r>
        <w:rPr>
          <w:sz w:val="22"/>
        </w:rPr>
        <w:t>ejecución</w:t>
      </w:r>
      <w:r>
        <w:rPr>
          <w:spacing w:val="-9"/>
          <w:sz w:val="22"/>
        </w:rPr>
        <w:t> </w:t>
      </w:r>
      <w:r>
        <w:rPr>
          <w:sz w:val="22"/>
        </w:rPr>
        <w:t>de</w:t>
      </w:r>
      <w:r>
        <w:rPr>
          <w:spacing w:val="-9"/>
          <w:sz w:val="22"/>
        </w:rPr>
        <w:t> </w:t>
      </w:r>
      <w:r>
        <w:rPr>
          <w:sz w:val="22"/>
        </w:rPr>
        <w:t>la</w:t>
      </w:r>
      <w:r>
        <w:rPr>
          <w:spacing w:val="-6"/>
          <w:sz w:val="22"/>
        </w:rPr>
        <w:t> </w:t>
      </w:r>
      <w:r>
        <w:rPr>
          <w:sz w:val="22"/>
        </w:rPr>
        <w:t>Ley</w:t>
      </w:r>
      <w:r>
        <w:rPr>
          <w:spacing w:val="-8"/>
          <w:sz w:val="22"/>
        </w:rPr>
        <w:t> </w:t>
      </w:r>
      <w:r>
        <w:rPr>
          <w:sz w:val="22"/>
        </w:rPr>
        <w:t>N°</w:t>
      </w:r>
      <w:r>
        <w:rPr>
          <w:spacing w:val="-8"/>
          <w:sz w:val="22"/>
        </w:rPr>
        <w:t> </w:t>
      </w:r>
      <w:r>
        <w:rPr>
          <w:sz w:val="22"/>
        </w:rPr>
        <w:t>9617</w:t>
      </w:r>
      <w:r>
        <w:rPr>
          <w:spacing w:val="-9"/>
          <w:sz w:val="22"/>
        </w:rPr>
        <w:t> </w:t>
      </w:r>
      <w:r>
        <w:rPr>
          <w:sz w:val="22"/>
        </w:rPr>
        <w:t>del</w:t>
      </w:r>
      <w:r>
        <w:rPr>
          <w:spacing w:val="-9"/>
          <w:sz w:val="22"/>
        </w:rPr>
        <w:t> </w:t>
      </w:r>
      <w:r>
        <w:rPr>
          <w:sz w:val="22"/>
        </w:rPr>
        <w:t>02</w:t>
      </w:r>
      <w:r>
        <w:rPr>
          <w:spacing w:val="-9"/>
          <w:sz w:val="22"/>
        </w:rPr>
        <w:t> </w:t>
      </w:r>
      <w:r>
        <w:rPr>
          <w:sz w:val="22"/>
        </w:rPr>
        <w:t>de</w:t>
      </w:r>
      <w:r>
        <w:rPr>
          <w:spacing w:val="-9"/>
          <w:sz w:val="22"/>
        </w:rPr>
        <w:t> </w:t>
      </w:r>
      <w:r>
        <w:rPr>
          <w:sz w:val="22"/>
        </w:rPr>
        <w:t>octubre</w:t>
      </w:r>
      <w:r>
        <w:rPr>
          <w:spacing w:val="-9"/>
          <w:sz w:val="22"/>
        </w:rPr>
        <w:t> </w:t>
      </w:r>
      <w:r>
        <w:rPr>
          <w:sz w:val="22"/>
        </w:rPr>
        <w:t>del</w:t>
      </w:r>
      <w:r>
        <w:rPr>
          <w:spacing w:val="-9"/>
          <w:sz w:val="22"/>
        </w:rPr>
        <w:t> </w:t>
      </w:r>
      <w:r>
        <w:rPr>
          <w:sz w:val="22"/>
        </w:rPr>
        <w:t>2018,</w:t>
      </w:r>
      <w:r>
        <w:rPr>
          <w:spacing w:val="-10"/>
          <w:sz w:val="22"/>
        </w:rPr>
        <w:t> </w:t>
      </w:r>
      <w:r>
        <w:rPr>
          <w:sz w:val="22"/>
        </w:rPr>
        <w:t>"Fortalecimiento</w:t>
      </w:r>
      <w:r>
        <w:rPr>
          <w:spacing w:val="-9"/>
          <w:sz w:val="22"/>
        </w:rPr>
        <w:t> </w:t>
      </w:r>
      <w:r>
        <w:rPr>
          <w:sz w:val="22"/>
        </w:rPr>
        <w:t>de</w:t>
      </w:r>
      <w:r>
        <w:rPr>
          <w:spacing w:val="-9"/>
          <w:sz w:val="22"/>
        </w:rPr>
        <w:t> </w:t>
      </w:r>
      <w:r>
        <w:rPr>
          <w:sz w:val="22"/>
        </w:rPr>
        <w:t>las Transferencias Monetarias Condicionadas del Programa Avancemos" y su reforma Ley N°</w:t>
      </w:r>
      <w:r>
        <w:rPr>
          <w:spacing w:val="40"/>
          <w:sz w:val="22"/>
        </w:rPr>
        <w:t> </w:t>
      </w:r>
      <w:r>
        <w:rPr>
          <w:sz w:val="22"/>
        </w:rPr>
        <w:t>9903.</w:t>
      </w:r>
      <w:r>
        <w:rPr>
          <w:spacing w:val="80"/>
          <w:w w:val="150"/>
          <w:sz w:val="22"/>
        </w:rPr>
        <w:t> </w:t>
      </w:r>
      <w:r>
        <w:rPr>
          <w:sz w:val="22"/>
        </w:rPr>
        <w:t>Deroga</w:t>
      </w:r>
      <w:r>
        <w:rPr>
          <w:spacing w:val="40"/>
          <w:sz w:val="22"/>
        </w:rPr>
        <w:t> </w:t>
      </w:r>
      <w:r>
        <w:rPr>
          <w:sz w:val="22"/>
        </w:rPr>
        <w:t>los</w:t>
      </w:r>
      <w:r>
        <w:rPr>
          <w:spacing w:val="40"/>
          <w:sz w:val="22"/>
        </w:rPr>
        <w:t> </w:t>
      </w:r>
      <w:r>
        <w:rPr>
          <w:sz w:val="22"/>
        </w:rPr>
        <w:t>decretos</w:t>
      </w:r>
      <w:r>
        <w:rPr>
          <w:spacing w:val="40"/>
          <w:sz w:val="22"/>
        </w:rPr>
        <w:t> </w:t>
      </w:r>
      <w:r>
        <w:rPr>
          <w:sz w:val="22"/>
        </w:rPr>
        <w:t>N°</w:t>
      </w:r>
      <w:r>
        <w:rPr>
          <w:spacing w:val="40"/>
          <w:sz w:val="22"/>
        </w:rPr>
        <w:t> </w:t>
      </w:r>
      <w:r>
        <w:rPr>
          <w:sz w:val="22"/>
        </w:rPr>
        <w:t>41569-MEP-MTSS-MDHIS,</w:t>
      </w:r>
      <w:r>
        <w:rPr>
          <w:spacing w:val="40"/>
          <w:sz w:val="22"/>
        </w:rPr>
        <w:t> </w:t>
      </w:r>
      <w:r>
        <w:rPr>
          <w:sz w:val="22"/>
        </w:rPr>
        <w:t>N°41839-MEP-MTSS-</w:t>
      </w:r>
    </w:p>
    <w:p>
      <w:pPr>
        <w:spacing w:after="0"/>
        <w:jc w:val="both"/>
        <w:rPr>
          <w:sz w:val="22"/>
        </w:rPr>
        <w:sectPr>
          <w:pgSz w:w="12240" w:h="15840"/>
          <w:pgMar w:header="0" w:footer="1576" w:top="1000" w:bottom="1760" w:left="360" w:right="0"/>
        </w:sectPr>
      </w:pPr>
    </w:p>
    <w:p>
      <w:pPr>
        <w:pStyle w:val="BodyText"/>
        <w:spacing w:line="252" w:lineRule="exact" w:before="77"/>
        <w:ind w:left="1625"/>
        <w:jc w:val="both"/>
      </w:pPr>
      <w:r>
        <w:rPr/>
        <w:t>MDHIS,</w:t>
      </w:r>
      <w:r>
        <w:rPr>
          <w:spacing w:val="-1"/>
        </w:rPr>
        <w:t> </w:t>
      </w:r>
      <w:r>
        <w:rPr/>
        <w:t>N°42444-MEP-MTSS-MDHIS.</w:t>
      </w:r>
      <w:r>
        <w:rPr>
          <w:spacing w:val="5"/>
        </w:rPr>
        <w:t> </w:t>
      </w:r>
      <w:r>
        <w:rPr/>
        <w:t>Decreto</w:t>
      </w:r>
      <w:r>
        <w:rPr>
          <w:spacing w:val="-2"/>
        </w:rPr>
        <w:t> </w:t>
      </w:r>
      <w:r>
        <w:rPr/>
        <w:t>N°43219-MEP-MTSS-MDHIS</w:t>
      </w:r>
      <w:r>
        <w:rPr>
          <w:b/>
        </w:rPr>
        <w:t>.</w:t>
      </w:r>
      <w:r>
        <w:rPr>
          <w:b/>
          <w:spacing w:val="3"/>
        </w:rPr>
        <w:t> </w:t>
      </w:r>
      <w:r>
        <w:rPr/>
        <w:t>Fecha</w:t>
      </w:r>
      <w:r>
        <w:rPr>
          <w:spacing w:val="1"/>
        </w:rPr>
        <w:t> </w:t>
      </w:r>
      <w:r>
        <w:rPr>
          <w:spacing w:val="-5"/>
        </w:rPr>
        <w:t>de</w:t>
      </w:r>
    </w:p>
    <w:p>
      <w:pPr>
        <w:pStyle w:val="BodyText"/>
        <w:spacing w:line="252" w:lineRule="exact"/>
        <w:ind w:left="1625"/>
        <w:jc w:val="both"/>
      </w:pPr>
      <w:r>
        <w:rPr/>
        <w:t>vigencia</w:t>
      </w:r>
      <w:r>
        <w:rPr>
          <w:spacing w:val="-9"/>
        </w:rPr>
        <w:t> </w:t>
      </w:r>
      <w:r>
        <w:rPr>
          <w:spacing w:val="-2"/>
        </w:rPr>
        <w:t>22/11/2021.</w:t>
      </w:r>
    </w:p>
    <w:p>
      <w:pPr>
        <w:pStyle w:val="BodyText"/>
        <w:spacing w:before="1"/>
      </w:pPr>
    </w:p>
    <w:p>
      <w:pPr>
        <w:spacing w:before="0"/>
        <w:ind w:left="1625" w:right="1600" w:firstLine="0"/>
        <w:jc w:val="both"/>
        <w:rPr>
          <w:sz w:val="22"/>
        </w:rPr>
      </w:pPr>
      <w:r>
        <w:rPr>
          <w:b/>
          <w:sz w:val="22"/>
        </w:rPr>
        <w:t>Reglamento de Reclutamiento, Selección y Promoción de los Recursos Humanos del Instituto Mixto de Ayuda Social y sus reformas. (Acuerdo CD N°373-11-2021). </w:t>
      </w:r>
      <w:r>
        <w:rPr>
          <w:sz w:val="22"/>
        </w:rPr>
        <w:t>Regula el procedimiento para la selección y nombramiento en forma interina y en propiedad, del Auditor General y Sub auditor del Instituto Mixto de Ayuda Social, en adelante IMAS, de conformidad con lo estipulado en los artículos 29 y 31 de la "Ley General</w:t>
      </w:r>
      <w:r>
        <w:rPr>
          <w:spacing w:val="-7"/>
          <w:sz w:val="22"/>
        </w:rPr>
        <w:t> </w:t>
      </w:r>
      <w:r>
        <w:rPr>
          <w:sz w:val="22"/>
        </w:rPr>
        <w:t>de</w:t>
      </w:r>
      <w:r>
        <w:rPr>
          <w:spacing w:val="-7"/>
          <w:sz w:val="22"/>
        </w:rPr>
        <w:t> </w:t>
      </w:r>
      <w:r>
        <w:rPr>
          <w:sz w:val="22"/>
        </w:rPr>
        <w:t>Control</w:t>
      </w:r>
      <w:r>
        <w:rPr>
          <w:spacing w:val="-7"/>
          <w:sz w:val="22"/>
        </w:rPr>
        <w:t> </w:t>
      </w:r>
      <w:r>
        <w:rPr>
          <w:sz w:val="22"/>
        </w:rPr>
        <w:t>Interno".</w:t>
      </w:r>
      <w:r>
        <w:rPr>
          <w:spacing w:val="-4"/>
          <w:sz w:val="22"/>
        </w:rPr>
        <w:t> </w:t>
      </w:r>
      <w:r>
        <w:rPr>
          <w:sz w:val="22"/>
        </w:rPr>
        <w:t>N°8292,</w:t>
      </w:r>
      <w:r>
        <w:rPr>
          <w:spacing w:val="-5"/>
          <w:sz w:val="22"/>
        </w:rPr>
        <w:t> </w:t>
      </w:r>
      <w:r>
        <w:rPr>
          <w:sz w:val="22"/>
        </w:rPr>
        <w:t>Ley</w:t>
      </w:r>
      <w:r>
        <w:rPr>
          <w:spacing w:val="-6"/>
          <w:sz w:val="22"/>
        </w:rPr>
        <w:t> </w:t>
      </w:r>
      <w:r>
        <w:rPr>
          <w:sz w:val="22"/>
        </w:rPr>
        <w:t>de</w:t>
      </w:r>
      <w:r>
        <w:rPr>
          <w:spacing w:val="-7"/>
          <w:sz w:val="22"/>
        </w:rPr>
        <w:t> </w:t>
      </w:r>
      <w:r>
        <w:rPr>
          <w:sz w:val="22"/>
        </w:rPr>
        <w:t>Creación</w:t>
      </w:r>
      <w:r>
        <w:rPr>
          <w:spacing w:val="-4"/>
          <w:sz w:val="22"/>
        </w:rPr>
        <w:t> </w:t>
      </w:r>
      <w:r>
        <w:rPr>
          <w:sz w:val="22"/>
        </w:rPr>
        <w:t>del</w:t>
      </w:r>
      <w:r>
        <w:rPr>
          <w:spacing w:val="-7"/>
          <w:sz w:val="22"/>
        </w:rPr>
        <w:t> </w:t>
      </w:r>
      <w:r>
        <w:rPr>
          <w:sz w:val="22"/>
        </w:rPr>
        <w:t>Instituto</w:t>
      </w:r>
      <w:r>
        <w:rPr>
          <w:spacing w:val="-8"/>
          <w:sz w:val="22"/>
        </w:rPr>
        <w:t> </w:t>
      </w:r>
      <w:r>
        <w:rPr>
          <w:sz w:val="22"/>
        </w:rPr>
        <w:t>Mixto</w:t>
      </w:r>
      <w:r>
        <w:rPr>
          <w:spacing w:val="-9"/>
          <w:sz w:val="22"/>
        </w:rPr>
        <w:t> </w:t>
      </w:r>
      <w:r>
        <w:rPr>
          <w:sz w:val="22"/>
        </w:rPr>
        <w:t>de</w:t>
      </w:r>
      <w:r>
        <w:rPr>
          <w:spacing w:val="-4"/>
          <w:sz w:val="22"/>
        </w:rPr>
        <w:t> </w:t>
      </w:r>
      <w:r>
        <w:rPr>
          <w:sz w:val="22"/>
        </w:rPr>
        <w:t>Ayuda</w:t>
      </w:r>
      <w:r>
        <w:rPr>
          <w:spacing w:val="-6"/>
          <w:sz w:val="22"/>
        </w:rPr>
        <w:t> </w:t>
      </w:r>
      <w:r>
        <w:rPr>
          <w:sz w:val="22"/>
        </w:rPr>
        <w:t>Social y</w:t>
      </w:r>
      <w:r>
        <w:rPr>
          <w:spacing w:val="-1"/>
          <w:sz w:val="22"/>
        </w:rPr>
        <w:t> </w:t>
      </w:r>
      <w:r>
        <w:rPr>
          <w:sz w:val="22"/>
        </w:rPr>
        <w:t>su</w:t>
      </w:r>
      <w:r>
        <w:rPr>
          <w:spacing w:val="-4"/>
          <w:sz w:val="22"/>
        </w:rPr>
        <w:t> </w:t>
      </w:r>
      <w:r>
        <w:rPr>
          <w:sz w:val="22"/>
        </w:rPr>
        <w:t>Reglamento</w:t>
      </w:r>
      <w:r>
        <w:rPr>
          <w:spacing w:val="-4"/>
          <w:sz w:val="22"/>
        </w:rPr>
        <w:t> </w:t>
      </w:r>
      <w:r>
        <w:rPr>
          <w:sz w:val="22"/>
        </w:rPr>
        <w:t>y</w:t>
      </w:r>
      <w:r>
        <w:rPr>
          <w:spacing w:val="-4"/>
          <w:sz w:val="22"/>
        </w:rPr>
        <w:t> </w:t>
      </w:r>
      <w:r>
        <w:rPr>
          <w:sz w:val="22"/>
        </w:rPr>
        <w:t>los</w:t>
      </w:r>
      <w:r>
        <w:rPr>
          <w:spacing w:val="-4"/>
          <w:sz w:val="22"/>
        </w:rPr>
        <w:t> </w:t>
      </w:r>
      <w:r>
        <w:rPr>
          <w:sz w:val="22"/>
        </w:rPr>
        <w:t>"Lineamientos</w:t>
      </w:r>
      <w:r>
        <w:rPr>
          <w:spacing w:val="-1"/>
          <w:sz w:val="22"/>
        </w:rPr>
        <w:t> </w:t>
      </w:r>
      <w:r>
        <w:rPr>
          <w:sz w:val="22"/>
        </w:rPr>
        <w:t>para</w:t>
      </w:r>
      <w:r>
        <w:rPr>
          <w:spacing w:val="-2"/>
          <w:sz w:val="22"/>
        </w:rPr>
        <w:t> </w:t>
      </w:r>
      <w:r>
        <w:rPr>
          <w:sz w:val="22"/>
        </w:rPr>
        <w:t>la</w:t>
      </w:r>
      <w:r>
        <w:rPr>
          <w:spacing w:val="-4"/>
          <w:sz w:val="22"/>
        </w:rPr>
        <w:t> </w:t>
      </w:r>
      <w:r>
        <w:rPr>
          <w:sz w:val="22"/>
        </w:rPr>
        <w:t>descripción</w:t>
      </w:r>
      <w:r>
        <w:rPr>
          <w:spacing w:val="-2"/>
          <w:sz w:val="22"/>
        </w:rPr>
        <w:t> </w:t>
      </w:r>
      <w:r>
        <w:rPr>
          <w:sz w:val="22"/>
        </w:rPr>
        <w:t>de</w:t>
      </w:r>
      <w:r>
        <w:rPr>
          <w:spacing w:val="-2"/>
          <w:sz w:val="22"/>
        </w:rPr>
        <w:t> </w:t>
      </w:r>
      <w:r>
        <w:rPr>
          <w:sz w:val="22"/>
        </w:rPr>
        <w:t>las</w:t>
      </w:r>
      <w:r>
        <w:rPr>
          <w:spacing w:val="-4"/>
          <w:sz w:val="22"/>
        </w:rPr>
        <w:t> </w:t>
      </w:r>
      <w:r>
        <w:rPr>
          <w:sz w:val="22"/>
        </w:rPr>
        <w:t>funciones</w:t>
      </w:r>
      <w:r>
        <w:rPr>
          <w:spacing w:val="-6"/>
          <w:sz w:val="22"/>
        </w:rPr>
        <w:t> </w:t>
      </w:r>
      <w:r>
        <w:rPr>
          <w:sz w:val="22"/>
        </w:rPr>
        <w:t>y</w:t>
      </w:r>
      <w:r>
        <w:rPr>
          <w:spacing w:val="-1"/>
          <w:sz w:val="22"/>
        </w:rPr>
        <w:t> </w:t>
      </w:r>
      <w:r>
        <w:rPr>
          <w:sz w:val="22"/>
        </w:rPr>
        <w:t>requisitos</w:t>
      </w:r>
      <w:r>
        <w:rPr>
          <w:spacing w:val="-4"/>
          <w:sz w:val="22"/>
        </w:rPr>
        <w:t> </w:t>
      </w:r>
      <w:r>
        <w:rPr>
          <w:sz w:val="22"/>
        </w:rPr>
        <w:t>de los cargos de Auditor y Sub auditor Internos". Fecha de vigencia 22/11/2021.</w:t>
      </w:r>
    </w:p>
    <w:p>
      <w:pPr>
        <w:pStyle w:val="BodyText"/>
        <w:spacing w:before="1"/>
      </w:pPr>
    </w:p>
    <w:p>
      <w:pPr>
        <w:spacing w:before="0"/>
        <w:ind w:left="1625" w:right="1602" w:firstLine="0"/>
        <w:jc w:val="both"/>
        <w:rPr>
          <w:sz w:val="22"/>
        </w:rPr>
      </w:pPr>
      <w:r>
        <w:rPr>
          <w:b/>
          <w:sz w:val="22"/>
        </w:rPr>
        <w:t>Reglamento para la Prevención, Atención y Sanción del Hostigamiento Sexual en el Instituto Mixto de Ayuda. ACD N°05-01-2022</w:t>
      </w:r>
      <w:r>
        <w:rPr>
          <w:sz w:val="22"/>
        </w:rPr>
        <w:t>. Establecer los procedimientos especiales que utilizará el Instituto Mixto de Ayuda Social para prevenir, investigar, reparar y sancionar las conductas que supongan hostigamiento sexual respecto a todas las</w:t>
      </w:r>
      <w:r>
        <w:rPr>
          <w:spacing w:val="-7"/>
          <w:sz w:val="22"/>
        </w:rPr>
        <w:t> </w:t>
      </w:r>
      <w:r>
        <w:rPr>
          <w:sz w:val="22"/>
        </w:rPr>
        <w:t>actividades</w:t>
      </w:r>
      <w:r>
        <w:rPr>
          <w:spacing w:val="-9"/>
          <w:sz w:val="22"/>
        </w:rPr>
        <w:t> </w:t>
      </w:r>
      <w:r>
        <w:rPr>
          <w:sz w:val="22"/>
        </w:rPr>
        <w:t>que</w:t>
      </w:r>
      <w:r>
        <w:rPr>
          <w:spacing w:val="-7"/>
          <w:sz w:val="22"/>
        </w:rPr>
        <w:t> </w:t>
      </w:r>
      <w:r>
        <w:rPr>
          <w:sz w:val="22"/>
        </w:rPr>
        <w:t>abarque</w:t>
      </w:r>
      <w:r>
        <w:rPr>
          <w:spacing w:val="-7"/>
          <w:sz w:val="22"/>
        </w:rPr>
        <w:t> </w:t>
      </w:r>
      <w:r>
        <w:rPr>
          <w:sz w:val="22"/>
        </w:rPr>
        <w:t>el</w:t>
      </w:r>
      <w:r>
        <w:rPr>
          <w:spacing w:val="-8"/>
          <w:sz w:val="22"/>
        </w:rPr>
        <w:t> </w:t>
      </w:r>
      <w:r>
        <w:rPr>
          <w:sz w:val="22"/>
        </w:rPr>
        <w:t>quehacer</w:t>
      </w:r>
      <w:r>
        <w:rPr>
          <w:spacing w:val="-9"/>
          <w:sz w:val="22"/>
        </w:rPr>
        <w:t> </w:t>
      </w:r>
      <w:r>
        <w:rPr>
          <w:sz w:val="22"/>
        </w:rPr>
        <w:t>institucional</w:t>
      </w:r>
      <w:r>
        <w:rPr>
          <w:spacing w:val="-8"/>
          <w:sz w:val="22"/>
        </w:rPr>
        <w:t> </w:t>
      </w:r>
      <w:r>
        <w:rPr>
          <w:sz w:val="22"/>
        </w:rPr>
        <w:t>con</w:t>
      </w:r>
      <w:r>
        <w:rPr>
          <w:spacing w:val="-8"/>
          <w:sz w:val="22"/>
        </w:rPr>
        <w:t> </w:t>
      </w:r>
      <w:r>
        <w:rPr>
          <w:sz w:val="22"/>
        </w:rPr>
        <w:t>el</w:t>
      </w:r>
      <w:r>
        <w:rPr>
          <w:spacing w:val="-11"/>
          <w:sz w:val="22"/>
        </w:rPr>
        <w:t> </w:t>
      </w:r>
      <w:r>
        <w:rPr>
          <w:sz w:val="22"/>
        </w:rPr>
        <w:t>fin</w:t>
      </w:r>
      <w:r>
        <w:rPr>
          <w:spacing w:val="-10"/>
          <w:sz w:val="22"/>
        </w:rPr>
        <w:t> </w:t>
      </w:r>
      <w:r>
        <w:rPr>
          <w:sz w:val="22"/>
        </w:rPr>
        <w:t>de</w:t>
      </w:r>
      <w:r>
        <w:rPr>
          <w:spacing w:val="-8"/>
          <w:sz w:val="22"/>
        </w:rPr>
        <w:t> </w:t>
      </w:r>
      <w:r>
        <w:rPr>
          <w:sz w:val="22"/>
        </w:rPr>
        <w:t>proteger</w:t>
      </w:r>
      <w:r>
        <w:rPr>
          <w:spacing w:val="-6"/>
          <w:sz w:val="22"/>
        </w:rPr>
        <w:t> </w:t>
      </w:r>
      <w:r>
        <w:rPr>
          <w:sz w:val="22"/>
        </w:rPr>
        <w:t>la</w:t>
      </w:r>
      <w:r>
        <w:rPr>
          <w:spacing w:val="-10"/>
          <w:sz w:val="22"/>
        </w:rPr>
        <w:t> </w:t>
      </w:r>
      <w:r>
        <w:rPr>
          <w:sz w:val="22"/>
        </w:rPr>
        <w:t>dignidad</w:t>
      </w:r>
      <w:r>
        <w:rPr>
          <w:spacing w:val="-7"/>
          <w:sz w:val="22"/>
        </w:rPr>
        <w:t> </w:t>
      </w:r>
      <w:r>
        <w:rPr>
          <w:sz w:val="22"/>
        </w:rPr>
        <w:t>de las mujeres y de los hombres en sus relaciones interpersonales y profesionales. Fecha de vigencia 01/03/2022.</w:t>
      </w:r>
    </w:p>
    <w:p>
      <w:pPr>
        <w:pStyle w:val="BodyText"/>
      </w:pPr>
    </w:p>
    <w:p>
      <w:pPr>
        <w:spacing w:before="0"/>
        <w:ind w:left="1625" w:right="1604" w:firstLine="0"/>
        <w:jc w:val="both"/>
        <w:rPr>
          <w:sz w:val="22"/>
        </w:rPr>
      </w:pPr>
      <w:r>
        <w:rPr>
          <w:b/>
          <w:sz w:val="22"/>
        </w:rPr>
        <w:t>Reglamento para las Inversiones Transitorias Realizadas por el Instituto Mixto de Ayuda Social. ACD N°109-04-2022. </w:t>
      </w:r>
      <w:r>
        <w:rPr>
          <w:sz w:val="22"/>
        </w:rPr>
        <w:t>Regula el procedimiento en busca de obtener rentabilidad</w:t>
      </w:r>
      <w:r>
        <w:rPr>
          <w:spacing w:val="-14"/>
          <w:sz w:val="22"/>
        </w:rPr>
        <w:t> </w:t>
      </w:r>
      <w:r>
        <w:rPr>
          <w:sz w:val="22"/>
        </w:rPr>
        <w:t>de</w:t>
      </w:r>
      <w:r>
        <w:rPr>
          <w:spacing w:val="-14"/>
          <w:sz w:val="22"/>
        </w:rPr>
        <w:t> </w:t>
      </w:r>
      <w:r>
        <w:rPr>
          <w:sz w:val="22"/>
        </w:rPr>
        <w:t>los</w:t>
      </w:r>
      <w:r>
        <w:rPr>
          <w:spacing w:val="-15"/>
          <w:sz w:val="22"/>
        </w:rPr>
        <w:t> </w:t>
      </w:r>
      <w:r>
        <w:rPr>
          <w:sz w:val="22"/>
        </w:rPr>
        <w:t>recursos</w:t>
      </w:r>
      <w:r>
        <w:rPr>
          <w:spacing w:val="-13"/>
          <w:sz w:val="22"/>
        </w:rPr>
        <w:t> </w:t>
      </w:r>
      <w:r>
        <w:rPr>
          <w:sz w:val="22"/>
        </w:rPr>
        <w:t>financieros</w:t>
      </w:r>
      <w:r>
        <w:rPr>
          <w:spacing w:val="-13"/>
          <w:sz w:val="22"/>
        </w:rPr>
        <w:t> </w:t>
      </w:r>
      <w:r>
        <w:rPr>
          <w:sz w:val="22"/>
        </w:rPr>
        <w:t>disponibles,</w:t>
      </w:r>
      <w:r>
        <w:rPr>
          <w:spacing w:val="-12"/>
          <w:sz w:val="22"/>
        </w:rPr>
        <w:t> </w:t>
      </w:r>
      <w:r>
        <w:rPr>
          <w:sz w:val="22"/>
        </w:rPr>
        <w:t>en</w:t>
      </w:r>
      <w:r>
        <w:rPr>
          <w:spacing w:val="-16"/>
          <w:sz w:val="22"/>
        </w:rPr>
        <w:t> </w:t>
      </w:r>
      <w:r>
        <w:rPr>
          <w:sz w:val="22"/>
        </w:rPr>
        <w:t>función</w:t>
      </w:r>
      <w:r>
        <w:rPr>
          <w:spacing w:val="-13"/>
          <w:sz w:val="22"/>
        </w:rPr>
        <w:t> </w:t>
      </w:r>
      <w:r>
        <w:rPr>
          <w:sz w:val="22"/>
        </w:rPr>
        <w:t>del</w:t>
      </w:r>
      <w:r>
        <w:rPr>
          <w:spacing w:val="-14"/>
          <w:sz w:val="22"/>
        </w:rPr>
        <w:t> </w:t>
      </w:r>
      <w:r>
        <w:rPr>
          <w:sz w:val="22"/>
        </w:rPr>
        <w:t>interés</w:t>
      </w:r>
      <w:r>
        <w:rPr>
          <w:spacing w:val="-14"/>
          <w:sz w:val="22"/>
        </w:rPr>
        <w:t> </w:t>
      </w:r>
      <w:r>
        <w:rPr>
          <w:sz w:val="22"/>
        </w:rPr>
        <w:t>Institucional</w:t>
      </w:r>
      <w:r>
        <w:rPr>
          <w:spacing w:val="-14"/>
          <w:sz w:val="22"/>
        </w:rPr>
        <w:t> </w:t>
      </w:r>
      <w:r>
        <w:rPr>
          <w:sz w:val="22"/>
        </w:rPr>
        <w:t>sin comprometer la liquidez requerida para atender en forma normal las obligaciones del Instituto Mixto de Ayuda Social (IMAS), bajo los principios de seguridad, rentabilidad, confiabilidad, fiscalización y control. Fecha de vigencia 05/05/2022.</w:t>
      </w:r>
    </w:p>
    <w:p>
      <w:pPr>
        <w:pStyle w:val="BodyText"/>
      </w:pPr>
    </w:p>
    <w:p>
      <w:pPr>
        <w:spacing w:before="0"/>
        <w:ind w:left="1625" w:right="1602" w:firstLine="0"/>
        <w:jc w:val="both"/>
        <w:rPr>
          <w:sz w:val="22"/>
        </w:rPr>
      </w:pPr>
      <w:r>
        <w:rPr>
          <w:b/>
          <w:sz w:val="22"/>
        </w:rPr>
        <w:t>Reglamento para la Organización y Funcionamiento de los Comités Regionales, Municipales, Distritales y Comunales de Emergencias. </w:t>
      </w:r>
      <w:r>
        <w:rPr>
          <w:sz w:val="22"/>
        </w:rPr>
        <w:t>Acuerdo N° 070-04-2022, de la</w:t>
      </w:r>
      <w:r>
        <w:rPr>
          <w:spacing w:val="-9"/>
          <w:sz w:val="22"/>
        </w:rPr>
        <w:t> </w:t>
      </w:r>
      <w:r>
        <w:rPr>
          <w:sz w:val="22"/>
        </w:rPr>
        <w:t>Sesión</w:t>
      </w:r>
      <w:r>
        <w:rPr>
          <w:spacing w:val="-9"/>
          <w:sz w:val="22"/>
        </w:rPr>
        <w:t> </w:t>
      </w:r>
      <w:r>
        <w:rPr>
          <w:sz w:val="22"/>
        </w:rPr>
        <w:t>Ordinaria</w:t>
      </w:r>
      <w:r>
        <w:rPr>
          <w:spacing w:val="-8"/>
          <w:sz w:val="22"/>
        </w:rPr>
        <w:t> </w:t>
      </w:r>
      <w:r>
        <w:rPr>
          <w:sz w:val="22"/>
        </w:rPr>
        <w:t>N.º</w:t>
      </w:r>
      <w:r>
        <w:rPr>
          <w:spacing w:val="-10"/>
          <w:sz w:val="22"/>
        </w:rPr>
        <w:t> </w:t>
      </w:r>
      <w:r>
        <w:rPr>
          <w:sz w:val="22"/>
        </w:rPr>
        <w:t>06-04-2022</w:t>
      </w:r>
      <w:r>
        <w:rPr>
          <w:spacing w:val="-12"/>
          <w:sz w:val="22"/>
        </w:rPr>
        <w:t> </w:t>
      </w:r>
      <w:r>
        <w:rPr>
          <w:sz w:val="22"/>
        </w:rPr>
        <w:t>del</w:t>
      </w:r>
      <w:r>
        <w:rPr>
          <w:spacing w:val="-10"/>
          <w:sz w:val="22"/>
        </w:rPr>
        <w:t> </w:t>
      </w:r>
      <w:r>
        <w:rPr>
          <w:sz w:val="22"/>
        </w:rPr>
        <w:t>06</w:t>
      </w:r>
      <w:r>
        <w:rPr>
          <w:spacing w:val="-12"/>
          <w:sz w:val="22"/>
        </w:rPr>
        <w:t> </w:t>
      </w:r>
      <w:r>
        <w:rPr>
          <w:sz w:val="22"/>
        </w:rPr>
        <w:t>de</w:t>
      </w:r>
      <w:r>
        <w:rPr>
          <w:spacing w:val="-9"/>
          <w:sz w:val="22"/>
        </w:rPr>
        <w:t> </w:t>
      </w:r>
      <w:r>
        <w:rPr>
          <w:sz w:val="22"/>
        </w:rPr>
        <w:t>abril</w:t>
      </w:r>
      <w:r>
        <w:rPr>
          <w:spacing w:val="-10"/>
          <w:sz w:val="22"/>
        </w:rPr>
        <w:t> </w:t>
      </w:r>
      <w:r>
        <w:rPr>
          <w:sz w:val="22"/>
        </w:rPr>
        <w:t>de</w:t>
      </w:r>
      <w:r>
        <w:rPr>
          <w:spacing w:val="-9"/>
          <w:sz w:val="22"/>
        </w:rPr>
        <w:t> </w:t>
      </w:r>
      <w:r>
        <w:rPr>
          <w:sz w:val="22"/>
        </w:rPr>
        <w:t>2022</w:t>
      </w:r>
      <w:r>
        <w:rPr>
          <w:spacing w:val="-11"/>
          <w:sz w:val="22"/>
        </w:rPr>
        <w:t> </w:t>
      </w:r>
      <w:r>
        <w:rPr>
          <w:b/>
          <w:sz w:val="22"/>
        </w:rPr>
        <w:t>Presidencia</w:t>
      </w:r>
      <w:r>
        <w:rPr>
          <w:b/>
          <w:spacing w:val="-11"/>
          <w:sz w:val="22"/>
        </w:rPr>
        <w:t> </w:t>
      </w:r>
      <w:r>
        <w:rPr>
          <w:b/>
          <w:sz w:val="22"/>
        </w:rPr>
        <w:t>de</w:t>
      </w:r>
      <w:r>
        <w:rPr>
          <w:b/>
          <w:spacing w:val="-12"/>
          <w:sz w:val="22"/>
        </w:rPr>
        <w:t> </w:t>
      </w:r>
      <w:r>
        <w:rPr>
          <w:b/>
          <w:sz w:val="22"/>
        </w:rPr>
        <w:t>la</w:t>
      </w:r>
      <w:r>
        <w:rPr>
          <w:b/>
          <w:spacing w:val="-11"/>
          <w:sz w:val="22"/>
        </w:rPr>
        <w:t> </w:t>
      </w:r>
      <w:r>
        <w:rPr>
          <w:b/>
          <w:sz w:val="22"/>
        </w:rPr>
        <w:t>República. </w:t>
      </w:r>
      <w:r>
        <w:rPr>
          <w:sz w:val="22"/>
        </w:rPr>
        <w:t>Regula</w:t>
      </w:r>
      <w:r>
        <w:rPr>
          <w:spacing w:val="-10"/>
          <w:sz w:val="22"/>
        </w:rPr>
        <w:t> </w:t>
      </w:r>
      <w:r>
        <w:rPr>
          <w:sz w:val="22"/>
        </w:rPr>
        <w:t>el</w:t>
      </w:r>
      <w:r>
        <w:rPr>
          <w:spacing w:val="-11"/>
          <w:sz w:val="22"/>
        </w:rPr>
        <w:t> </w:t>
      </w:r>
      <w:r>
        <w:rPr>
          <w:sz w:val="22"/>
        </w:rPr>
        <w:t>funcionamiento</w:t>
      </w:r>
      <w:r>
        <w:rPr>
          <w:spacing w:val="-9"/>
          <w:sz w:val="22"/>
        </w:rPr>
        <w:t> </w:t>
      </w:r>
      <w:r>
        <w:rPr>
          <w:sz w:val="22"/>
        </w:rPr>
        <w:t>de</w:t>
      </w:r>
      <w:r>
        <w:rPr>
          <w:spacing w:val="-10"/>
          <w:sz w:val="22"/>
        </w:rPr>
        <w:t> </w:t>
      </w:r>
      <w:r>
        <w:rPr>
          <w:sz w:val="22"/>
        </w:rPr>
        <w:t>los</w:t>
      </w:r>
      <w:r>
        <w:rPr>
          <w:spacing w:val="-10"/>
          <w:sz w:val="22"/>
        </w:rPr>
        <w:t> </w:t>
      </w:r>
      <w:r>
        <w:rPr>
          <w:sz w:val="22"/>
        </w:rPr>
        <w:t>comités</w:t>
      </w:r>
      <w:r>
        <w:rPr>
          <w:spacing w:val="-9"/>
          <w:sz w:val="22"/>
        </w:rPr>
        <w:t> </w:t>
      </w:r>
      <w:r>
        <w:rPr>
          <w:sz w:val="22"/>
        </w:rPr>
        <w:t>de</w:t>
      </w:r>
      <w:r>
        <w:rPr>
          <w:spacing w:val="-10"/>
          <w:sz w:val="22"/>
        </w:rPr>
        <w:t> </w:t>
      </w:r>
      <w:r>
        <w:rPr>
          <w:sz w:val="22"/>
        </w:rPr>
        <w:t>emergencia</w:t>
      </w:r>
      <w:r>
        <w:rPr>
          <w:spacing w:val="-10"/>
          <w:sz w:val="22"/>
        </w:rPr>
        <w:t> </w:t>
      </w:r>
      <w:r>
        <w:rPr>
          <w:sz w:val="22"/>
        </w:rPr>
        <w:t>en</w:t>
      </w:r>
      <w:r>
        <w:rPr>
          <w:spacing w:val="-10"/>
          <w:sz w:val="22"/>
        </w:rPr>
        <w:t> </w:t>
      </w:r>
      <w:r>
        <w:rPr>
          <w:sz w:val="22"/>
        </w:rPr>
        <w:t>los</w:t>
      </w:r>
      <w:r>
        <w:rPr>
          <w:spacing w:val="-10"/>
          <w:sz w:val="22"/>
        </w:rPr>
        <w:t> </w:t>
      </w:r>
      <w:r>
        <w:rPr>
          <w:sz w:val="22"/>
        </w:rPr>
        <w:t>niveles</w:t>
      </w:r>
      <w:r>
        <w:rPr>
          <w:spacing w:val="-10"/>
          <w:sz w:val="22"/>
        </w:rPr>
        <w:t> </w:t>
      </w:r>
      <w:r>
        <w:rPr>
          <w:sz w:val="22"/>
        </w:rPr>
        <w:t>regional,</w:t>
      </w:r>
      <w:r>
        <w:rPr>
          <w:spacing w:val="-8"/>
          <w:sz w:val="22"/>
        </w:rPr>
        <w:t> </w:t>
      </w:r>
      <w:r>
        <w:rPr>
          <w:sz w:val="22"/>
        </w:rPr>
        <w:t>cantonal, distrital y comunal en todo el territorio nacional, según lo establecido en el inciso c) del artículo</w:t>
      </w:r>
      <w:r>
        <w:rPr>
          <w:spacing w:val="-6"/>
          <w:sz w:val="22"/>
        </w:rPr>
        <w:t> </w:t>
      </w:r>
      <w:r>
        <w:rPr>
          <w:sz w:val="22"/>
        </w:rPr>
        <w:t>10</w:t>
      </w:r>
      <w:r>
        <w:rPr>
          <w:spacing w:val="-7"/>
          <w:sz w:val="22"/>
        </w:rPr>
        <w:t> </w:t>
      </w:r>
      <w:r>
        <w:rPr>
          <w:sz w:val="22"/>
        </w:rPr>
        <w:t>de</w:t>
      </w:r>
      <w:r>
        <w:rPr>
          <w:spacing w:val="-7"/>
          <w:sz w:val="22"/>
        </w:rPr>
        <w:t> </w:t>
      </w:r>
      <w:r>
        <w:rPr>
          <w:sz w:val="22"/>
        </w:rPr>
        <w:t>la</w:t>
      </w:r>
      <w:r>
        <w:rPr>
          <w:spacing w:val="-6"/>
          <w:sz w:val="22"/>
        </w:rPr>
        <w:t> </w:t>
      </w:r>
      <w:r>
        <w:rPr>
          <w:sz w:val="22"/>
        </w:rPr>
        <w:t>Ley</w:t>
      </w:r>
      <w:r>
        <w:rPr>
          <w:spacing w:val="-6"/>
          <w:sz w:val="22"/>
        </w:rPr>
        <w:t> </w:t>
      </w:r>
      <w:r>
        <w:rPr>
          <w:sz w:val="22"/>
        </w:rPr>
        <w:t>Nacional</w:t>
      </w:r>
      <w:r>
        <w:rPr>
          <w:spacing w:val="-7"/>
          <w:sz w:val="22"/>
        </w:rPr>
        <w:t> </w:t>
      </w:r>
      <w:r>
        <w:rPr>
          <w:sz w:val="22"/>
        </w:rPr>
        <w:t>de</w:t>
      </w:r>
      <w:r>
        <w:rPr>
          <w:spacing w:val="-7"/>
          <w:sz w:val="22"/>
        </w:rPr>
        <w:t> </w:t>
      </w:r>
      <w:r>
        <w:rPr>
          <w:sz w:val="22"/>
        </w:rPr>
        <w:t>Emergencias</w:t>
      </w:r>
      <w:r>
        <w:rPr>
          <w:spacing w:val="-6"/>
          <w:sz w:val="22"/>
        </w:rPr>
        <w:t> </w:t>
      </w:r>
      <w:r>
        <w:rPr>
          <w:sz w:val="22"/>
        </w:rPr>
        <w:t>y</w:t>
      </w:r>
      <w:r>
        <w:rPr>
          <w:spacing w:val="-11"/>
          <w:sz w:val="22"/>
        </w:rPr>
        <w:t> </w:t>
      </w:r>
      <w:r>
        <w:rPr>
          <w:sz w:val="22"/>
        </w:rPr>
        <w:t>Prevención</w:t>
      </w:r>
      <w:r>
        <w:rPr>
          <w:spacing w:val="-7"/>
          <w:sz w:val="22"/>
        </w:rPr>
        <w:t> </w:t>
      </w:r>
      <w:r>
        <w:rPr>
          <w:sz w:val="22"/>
        </w:rPr>
        <w:t>de</w:t>
      </w:r>
      <w:r>
        <w:rPr>
          <w:spacing w:val="-7"/>
          <w:sz w:val="22"/>
        </w:rPr>
        <w:t> </w:t>
      </w:r>
      <w:r>
        <w:rPr>
          <w:sz w:val="22"/>
        </w:rPr>
        <w:t>Riesgo</w:t>
      </w:r>
      <w:r>
        <w:rPr>
          <w:spacing w:val="-6"/>
          <w:sz w:val="22"/>
        </w:rPr>
        <w:t> </w:t>
      </w:r>
      <w:r>
        <w:rPr>
          <w:sz w:val="22"/>
        </w:rPr>
        <w:t>y</w:t>
      </w:r>
      <w:r>
        <w:rPr>
          <w:spacing w:val="-8"/>
          <w:sz w:val="22"/>
        </w:rPr>
        <w:t> </w:t>
      </w:r>
      <w:r>
        <w:rPr>
          <w:sz w:val="22"/>
        </w:rPr>
        <w:t>su</w:t>
      </w:r>
      <w:r>
        <w:rPr>
          <w:spacing w:val="-5"/>
          <w:sz w:val="22"/>
        </w:rPr>
        <w:t> </w:t>
      </w:r>
      <w:r>
        <w:rPr>
          <w:sz w:val="22"/>
        </w:rPr>
        <w:t>Reglamento. Fecha de vigencia 10/05/2022.</w:t>
      </w:r>
    </w:p>
    <w:p>
      <w:pPr>
        <w:pStyle w:val="BodyText"/>
      </w:pPr>
    </w:p>
    <w:p>
      <w:pPr>
        <w:spacing w:before="0"/>
        <w:ind w:left="1625" w:right="1604" w:firstLine="0"/>
        <w:jc w:val="both"/>
        <w:rPr>
          <w:sz w:val="22"/>
        </w:rPr>
      </w:pPr>
      <w:r>
        <w:rPr>
          <w:b/>
          <w:sz w:val="22"/>
        </w:rPr>
        <w:t>Reglamento para la Adquisición y Administración de Dispositivos y Servicios Individuales de Comunicación de voz e internet, para la atención y gestión del Instituto</w:t>
      </w:r>
      <w:r>
        <w:rPr>
          <w:b/>
          <w:spacing w:val="-15"/>
          <w:sz w:val="22"/>
        </w:rPr>
        <w:t> </w:t>
      </w:r>
      <w:r>
        <w:rPr>
          <w:b/>
          <w:sz w:val="22"/>
        </w:rPr>
        <w:t>Mixto</w:t>
      </w:r>
      <w:r>
        <w:rPr>
          <w:b/>
          <w:spacing w:val="-13"/>
          <w:sz w:val="22"/>
        </w:rPr>
        <w:t> </w:t>
      </w:r>
      <w:r>
        <w:rPr>
          <w:b/>
          <w:sz w:val="22"/>
        </w:rPr>
        <w:t>de</w:t>
      </w:r>
      <w:r>
        <w:rPr>
          <w:b/>
          <w:spacing w:val="-16"/>
          <w:sz w:val="22"/>
        </w:rPr>
        <w:t> </w:t>
      </w:r>
      <w:r>
        <w:rPr>
          <w:b/>
          <w:sz w:val="22"/>
        </w:rPr>
        <w:t>Ayuda</w:t>
      </w:r>
      <w:r>
        <w:rPr>
          <w:b/>
          <w:spacing w:val="-10"/>
          <w:sz w:val="22"/>
        </w:rPr>
        <w:t> </w:t>
      </w:r>
      <w:r>
        <w:rPr>
          <w:b/>
          <w:sz w:val="22"/>
        </w:rPr>
        <w:t>Social.</w:t>
      </w:r>
      <w:r>
        <w:rPr>
          <w:b/>
          <w:spacing w:val="-14"/>
          <w:sz w:val="22"/>
        </w:rPr>
        <w:t> </w:t>
      </w:r>
      <w:r>
        <w:rPr>
          <w:b/>
          <w:sz w:val="22"/>
        </w:rPr>
        <w:t>Acuerdo</w:t>
      </w:r>
      <w:r>
        <w:rPr>
          <w:b/>
          <w:spacing w:val="-14"/>
          <w:sz w:val="22"/>
        </w:rPr>
        <w:t> </w:t>
      </w:r>
      <w:r>
        <w:rPr>
          <w:b/>
          <w:sz w:val="22"/>
        </w:rPr>
        <w:t>N°113-04-2022</w:t>
      </w:r>
      <w:r>
        <w:rPr>
          <w:sz w:val="22"/>
        </w:rPr>
        <w:t>.</w:t>
      </w:r>
      <w:r>
        <w:rPr>
          <w:spacing w:val="-9"/>
          <w:sz w:val="22"/>
        </w:rPr>
        <w:t> </w:t>
      </w:r>
      <w:r>
        <w:rPr>
          <w:sz w:val="22"/>
        </w:rPr>
        <w:t>Establecer</w:t>
      </w:r>
      <w:r>
        <w:rPr>
          <w:spacing w:val="-12"/>
          <w:sz w:val="22"/>
        </w:rPr>
        <w:t> </w:t>
      </w:r>
      <w:r>
        <w:rPr>
          <w:sz w:val="22"/>
        </w:rPr>
        <w:t>las</w:t>
      </w:r>
      <w:r>
        <w:rPr>
          <w:spacing w:val="-10"/>
          <w:sz w:val="22"/>
        </w:rPr>
        <w:t> </w:t>
      </w:r>
      <w:r>
        <w:rPr>
          <w:sz w:val="22"/>
        </w:rPr>
        <w:t>disposiciones para la</w:t>
      </w:r>
      <w:r>
        <w:rPr>
          <w:spacing w:val="-2"/>
          <w:sz w:val="22"/>
        </w:rPr>
        <w:t> </w:t>
      </w:r>
      <w:r>
        <w:rPr>
          <w:sz w:val="22"/>
        </w:rPr>
        <w:t>adquisición, uso</w:t>
      </w:r>
      <w:r>
        <w:rPr>
          <w:spacing w:val="-4"/>
          <w:sz w:val="22"/>
        </w:rPr>
        <w:t> </w:t>
      </w:r>
      <w:r>
        <w:rPr>
          <w:sz w:val="22"/>
        </w:rPr>
        <w:t>y administración</w:t>
      </w:r>
      <w:r>
        <w:rPr>
          <w:spacing w:val="-2"/>
          <w:sz w:val="22"/>
        </w:rPr>
        <w:t> </w:t>
      </w:r>
      <w:r>
        <w:rPr>
          <w:sz w:val="22"/>
        </w:rPr>
        <w:t>de</w:t>
      </w:r>
      <w:r>
        <w:rPr>
          <w:spacing w:val="-2"/>
          <w:sz w:val="22"/>
        </w:rPr>
        <w:t> </w:t>
      </w:r>
      <w:r>
        <w:rPr>
          <w:sz w:val="22"/>
        </w:rPr>
        <w:t>medios de</w:t>
      </w:r>
      <w:r>
        <w:rPr>
          <w:spacing w:val="-2"/>
          <w:sz w:val="22"/>
        </w:rPr>
        <w:t> </w:t>
      </w:r>
      <w:r>
        <w:rPr>
          <w:sz w:val="22"/>
        </w:rPr>
        <w:t>comunicación</w:t>
      </w:r>
      <w:r>
        <w:rPr>
          <w:spacing w:val="-2"/>
          <w:sz w:val="22"/>
        </w:rPr>
        <w:t> </w:t>
      </w:r>
      <w:r>
        <w:rPr>
          <w:sz w:val="22"/>
        </w:rPr>
        <w:t>de</w:t>
      </w:r>
      <w:r>
        <w:rPr>
          <w:spacing w:val="-2"/>
          <w:sz w:val="22"/>
        </w:rPr>
        <w:t> </w:t>
      </w:r>
      <w:r>
        <w:rPr>
          <w:sz w:val="22"/>
        </w:rPr>
        <w:t>voz, de</w:t>
      </w:r>
      <w:r>
        <w:rPr>
          <w:spacing w:val="-2"/>
          <w:sz w:val="22"/>
        </w:rPr>
        <w:t> </w:t>
      </w:r>
      <w:r>
        <w:rPr>
          <w:sz w:val="22"/>
        </w:rPr>
        <w:t>internet y</w:t>
      </w:r>
      <w:r>
        <w:rPr>
          <w:spacing w:val="-9"/>
          <w:sz w:val="22"/>
        </w:rPr>
        <w:t> </w:t>
      </w:r>
      <w:r>
        <w:rPr>
          <w:sz w:val="22"/>
        </w:rPr>
        <w:t>dispositivos</w:t>
      </w:r>
      <w:r>
        <w:rPr>
          <w:spacing w:val="-12"/>
          <w:sz w:val="22"/>
        </w:rPr>
        <w:t> </w:t>
      </w:r>
      <w:r>
        <w:rPr>
          <w:sz w:val="22"/>
        </w:rPr>
        <w:t>asociados,</w:t>
      </w:r>
      <w:r>
        <w:rPr>
          <w:spacing w:val="-11"/>
          <w:sz w:val="22"/>
        </w:rPr>
        <w:t> </w:t>
      </w:r>
      <w:r>
        <w:rPr>
          <w:sz w:val="22"/>
        </w:rPr>
        <w:t>del</w:t>
      </w:r>
      <w:r>
        <w:rPr>
          <w:spacing w:val="-13"/>
          <w:sz w:val="22"/>
        </w:rPr>
        <w:t> </w:t>
      </w:r>
      <w:r>
        <w:rPr>
          <w:sz w:val="22"/>
        </w:rPr>
        <w:t>Instituto</w:t>
      </w:r>
      <w:r>
        <w:rPr>
          <w:spacing w:val="-12"/>
          <w:sz w:val="22"/>
        </w:rPr>
        <w:t> </w:t>
      </w:r>
      <w:r>
        <w:rPr>
          <w:sz w:val="22"/>
        </w:rPr>
        <w:t>Mixto</w:t>
      </w:r>
      <w:r>
        <w:rPr>
          <w:spacing w:val="-12"/>
          <w:sz w:val="22"/>
        </w:rPr>
        <w:t> </w:t>
      </w:r>
      <w:r>
        <w:rPr>
          <w:sz w:val="22"/>
        </w:rPr>
        <w:t>de</w:t>
      </w:r>
      <w:r>
        <w:rPr>
          <w:spacing w:val="-13"/>
          <w:sz w:val="22"/>
        </w:rPr>
        <w:t> </w:t>
      </w:r>
      <w:r>
        <w:rPr>
          <w:sz w:val="22"/>
        </w:rPr>
        <w:t>Ayuda</w:t>
      </w:r>
      <w:r>
        <w:rPr>
          <w:spacing w:val="-10"/>
          <w:sz w:val="22"/>
        </w:rPr>
        <w:t> </w:t>
      </w:r>
      <w:r>
        <w:rPr>
          <w:sz w:val="22"/>
        </w:rPr>
        <w:t>Social</w:t>
      </w:r>
      <w:r>
        <w:rPr>
          <w:spacing w:val="-13"/>
          <w:sz w:val="22"/>
        </w:rPr>
        <w:t> </w:t>
      </w:r>
      <w:r>
        <w:rPr>
          <w:sz w:val="22"/>
        </w:rPr>
        <w:t>y</w:t>
      </w:r>
      <w:r>
        <w:rPr>
          <w:spacing w:val="-12"/>
          <w:sz w:val="22"/>
        </w:rPr>
        <w:t> </w:t>
      </w:r>
      <w:r>
        <w:rPr>
          <w:sz w:val="22"/>
        </w:rPr>
        <w:t>el</w:t>
      </w:r>
      <w:r>
        <w:rPr>
          <w:spacing w:val="-13"/>
          <w:sz w:val="22"/>
        </w:rPr>
        <w:t> </w:t>
      </w:r>
      <w:r>
        <w:rPr>
          <w:sz w:val="22"/>
        </w:rPr>
        <w:t>reconocimiento</w:t>
      </w:r>
      <w:r>
        <w:rPr>
          <w:spacing w:val="-12"/>
          <w:sz w:val="22"/>
        </w:rPr>
        <w:t> </w:t>
      </w:r>
      <w:r>
        <w:rPr>
          <w:sz w:val="22"/>
        </w:rPr>
        <w:t>del</w:t>
      </w:r>
      <w:r>
        <w:rPr>
          <w:spacing w:val="-13"/>
          <w:sz w:val="22"/>
        </w:rPr>
        <w:t> </w:t>
      </w:r>
      <w:r>
        <w:rPr>
          <w:sz w:val="22"/>
        </w:rPr>
        <w:t>gasto en medios</w:t>
      </w:r>
      <w:r>
        <w:rPr>
          <w:spacing w:val="-1"/>
          <w:sz w:val="22"/>
        </w:rPr>
        <w:t> </w:t>
      </w:r>
      <w:r>
        <w:rPr>
          <w:sz w:val="22"/>
        </w:rPr>
        <w:t>de</w:t>
      </w:r>
      <w:r>
        <w:rPr>
          <w:spacing w:val="-1"/>
          <w:sz w:val="22"/>
        </w:rPr>
        <w:t> </w:t>
      </w:r>
      <w:r>
        <w:rPr>
          <w:sz w:val="22"/>
        </w:rPr>
        <w:t>comunicación de voz</w:t>
      </w:r>
      <w:r>
        <w:rPr>
          <w:spacing w:val="-1"/>
          <w:sz w:val="22"/>
        </w:rPr>
        <w:t> </w:t>
      </w:r>
      <w:r>
        <w:rPr>
          <w:sz w:val="22"/>
        </w:rPr>
        <w:t>propiedad de las personas</w:t>
      </w:r>
      <w:r>
        <w:rPr>
          <w:spacing w:val="-3"/>
          <w:sz w:val="22"/>
        </w:rPr>
        <w:t> </w:t>
      </w:r>
      <w:r>
        <w:rPr>
          <w:sz w:val="22"/>
        </w:rPr>
        <w:t>funcionarias autorizadas, acordes con el</w:t>
      </w:r>
      <w:r>
        <w:rPr>
          <w:spacing w:val="-1"/>
          <w:sz w:val="22"/>
        </w:rPr>
        <w:t> </w:t>
      </w:r>
      <w:r>
        <w:rPr>
          <w:sz w:val="22"/>
        </w:rPr>
        <w:t>ordenamiento jurídico y el</w:t>
      </w:r>
      <w:r>
        <w:rPr>
          <w:spacing w:val="-1"/>
          <w:sz w:val="22"/>
        </w:rPr>
        <w:t> </w:t>
      </w:r>
      <w:r>
        <w:rPr>
          <w:sz w:val="22"/>
        </w:rPr>
        <w:t>fin público que persigue la Institución, sobre el uso racional y adecuado de los bienes y fondos públicos asociados. Fecha de vigencia </w:t>
      </w:r>
      <w:r>
        <w:rPr>
          <w:spacing w:val="-2"/>
          <w:sz w:val="22"/>
        </w:rPr>
        <w:t>16/05/2022.</w:t>
      </w:r>
    </w:p>
    <w:p>
      <w:pPr>
        <w:pStyle w:val="BodyText"/>
      </w:pPr>
    </w:p>
    <w:p>
      <w:pPr>
        <w:spacing w:before="0"/>
        <w:ind w:left="1625" w:right="1601" w:firstLine="0"/>
        <w:jc w:val="both"/>
        <w:rPr>
          <w:sz w:val="22"/>
        </w:rPr>
      </w:pPr>
      <w:r>
        <w:rPr>
          <w:b/>
          <w:sz w:val="22"/>
        </w:rPr>
        <w:t>Reglamento</w:t>
      </w:r>
      <w:r>
        <w:rPr>
          <w:b/>
          <w:spacing w:val="-16"/>
          <w:sz w:val="22"/>
        </w:rPr>
        <w:t> </w:t>
      </w:r>
      <w:r>
        <w:rPr>
          <w:b/>
          <w:sz w:val="22"/>
        </w:rPr>
        <w:t>Orgánico</w:t>
      </w:r>
      <w:r>
        <w:rPr>
          <w:b/>
          <w:spacing w:val="-15"/>
          <w:sz w:val="22"/>
        </w:rPr>
        <w:t> </w:t>
      </w:r>
      <w:r>
        <w:rPr>
          <w:b/>
          <w:sz w:val="22"/>
        </w:rPr>
        <w:t>del</w:t>
      </w:r>
      <w:r>
        <w:rPr>
          <w:b/>
          <w:spacing w:val="-13"/>
          <w:sz w:val="22"/>
        </w:rPr>
        <w:t> </w:t>
      </w:r>
      <w:r>
        <w:rPr>
          <w:b/>
          <w:sz w:val="22"/>
        </w:rPr>
        <w:t>Poder</w:t>
      </w:r>
      <w:r>
        <w:rPr>
          <w:b/>
          <w:spacing w:val="-13"/>
          <w:sz w:val="22"/>
        </w:rPr>
        <w:t> </w:t>
      </w:r>
      <w:r>
        <w:rPr>
          <w:b/>
          <w:sz w:val="22"/>
        </w:rPr>
        <w:t>Ejecutivo</w:t>
      </w:r>
      <w:r>
        <w:rPr>
          <w:b/>
          <w:spacing w:val="-14"/>
          <w:sz w:val="22"/>
        </w:rPr>
        <w:t> </w:t>
      </w:r>
      <w:r>
        <w:rPr>
          <w:b/>
          <w:sz w:val="22"/>
        </w:rPr>
        <w:t>(Decreto</w:t>
      </w:r>
      <w:r>
        <w:rPr>
          <w:b/>
          <w:spacing w:val="-11"/>
          <w:sz w:val="22"/>
        </w:rPr>
        <w:t> </w:t>
      </w:r>
      <w:r>
        <w:rPr>
          <w:b/>
          <w:sz w:val="22"/>
        </w:rPr>
        <w:t>N°43580-MP-PLAN)</w:t>
      </w:r>
      <w:r>
        <w:rPr>
          <w:b/>
          <w:spacing w:val="-11"/>
          <w:sz w:val="22"/>
        </w:rPr>
        <w:t> </w:t>
      </w:r>
      <w:r>
        <w:rPr>
          <w:sz w:val="22"/>
        </w:rPr>
        <w:t>Determina</w:t>
      </w:r>
      <w:r>
        <w:rPr>
          <w:spacing w:val="-14"/>
          <w:sz w:val="22"/>
        </w:rPr>
        <w:t> </w:t>
      </w:r>
      <w:r>
        <w:rPr>
          <w:sz w:val="22"/>
        </w:rPr>
        <w:t>la organización del Poder Ejecutivo, IMAS integra el sector de Desarrollo Humano e Inclusión Social. Fecha de Vigencia 10/06/2022.</w:t>
      </w:r>
    </w:p>
    <w:p>
      <w:pPr>
        <w:pStyle w:val="BodyText"/>
        <w:spacing w:before="1"/>
      </w:pPr>
    </w:p>
    <w:p>
      <w:pPr>
        <w:spacing w:before="0"/>
        <w:ind w:left="1625" w:right="1604" w:firstLine="0"/>
        <w:jc w:val="both"/>
        <w:rPr>
          <w:sz w:val="22"/>
        </w:rPr>
      </w:pPr>
      <w:r>
        <w:rPr>
          <w:b/>
          <w:sz w:val="22"/>
        </w:rPr>
        <w:t>Reglamento</w:t>
      </w:r>
      <w:r>
        <w:rPr>
          <w:b/>
          <w:spacing w:val="-14"/>
          <w:sz w:val="22"/>
        </w:rPr>
        <w:t> </w:t>
      </w:r>
      <w:r>
        <w:rPr>
          <w:b/>
          <w:sz w:val="22"/>
        </w:rPr>
        <w:t>para</w:t>
      </w:r>
      <w:r>
        <w:rPr>
          <w:b/>
          <w:spacing w:val="-13"/>
          <w:sz w:val="22"/>
        </w:rPr>
        <w:t> </w:t>
      </w:r>
      <w:r>
        <w:rPr>
          <w:b/>
          <w:sz w:val="22"/>
        </w:rPr>
        <w:t>la</w:t>
      </w:r>
      <w:r>
        <w:rPr>
          <w:b/>
          <w:spacing w:val="-14"/>
          <w:sz w:val="22"/>
        </w:rPr>
        <w:t> </w:t>
      </w:r>
      <w:r>
        <w:rPr>
          <w:b/>
          <w:sz w:val="22"/>
        </w:rPr>
        <w:t>Gestión</w:t>
      </w:r>
      <w:r>
        <w:rPr>
          <w:b/>
          <w:spacing w:val="-14"/>
          <w:sz w:val="22"/>
        </w:rPr>
        <w:t> </w:t>
      </w:r>
      <w:r>
        <w:rPr>
          <w:b/>
          <w:sz w:val="22"/>
        </w:rPr>
        <w:t>Administrativa</w:t>
      </w:r>
      <w:r>
        <w:rPr>
          <w:b/>
          <w:spacing w:val="-14"/>
          <w:sz w:val="22"/>
        </w:rPr>
        <w:t> </w:t>
      </w:r>
      <w:r>
        <w:rPr>
          <w:b/>
          <w:sz w:val="22"/>
        </w:rPr>
        <w:t>y</w:t>
      </w:r>
      <w:r>
        <w:rPr>
          <w:b/>
          <w:spacing w:val="-11"/>
          <w:sz w:val="22"/>
        </w:rPr>
        <w:t> </w:t>
      </w:r>
      <w:r>
        <w:rPr>
          <w:b/>
          <w:sz w:val="22"/>
        </w:rPr>
        <w:t>Judicial</w:t>
      </w:r>
      <w:r>
        <w:rPr>
          <w:b/>
          <w:spacing w:val="-10"/>
          <w:sz w:val="22"/>
        </w:rPr>
        <w:t> </w:t>
      </w:r>
      <w:r>
        <w:rPr>
          <w:b/>
          <w:sz w:val="22"/>
        </w:rPr>
        <w:t>de</w:t>
      </w:r>
      <w:r>
        <w:rPr>
          <w:b/>
          <w:spacing w:val="-14"/>
          <w:sz w:val="22"/>
        </w:rPr>
        <w:t> </w:t>
      </w:r>
      <w:r>
        <w:rPr>
          <w:b/>
          <w:sz w:val="22"/>
        </w:rPr>
        <w:t>las</w:t>
      </w:r>
      <w:r>
        <w:rPr>
          <w:b/>
          <w:spacing w:val="-12"/>
          <w:sz w:val="22"/>
        </w:rPr>
        <w:t> </w:t>
      </w:r>
      <w:r>
        <w:rPr>
          <w:b/>
          <w:sz w:val="22"/>
        </w:rPr>
        <w:t>Cuentas</w:t>
      </w:r>
      <w:r>
        <w:rPr>
          <w:b/>
          <w:spacing w:val="-14"/>
          <w:sz w:val="22"/>
        </w:rPr>
        <w:t> </w:t>
      </w:r>
      <w:r>
        <w:rPr>
          <w:b/>
          <w:sz w:val="22"/>
        </w:rPr>
        <w:t>por</w:t>
      </w:r>
      <w:r>
        <w:rPr>
          <w:b/>
          <w:spacing w:val="-10"/>
          <w:sz w:val="22"/>
        </w:rPr>
        <w:t> </w:t>
      </w:r>
      <w:r>
        <w:rPr>
          <w:b/>
          <w:sz w:val="22"/>
        </w:rPr>
        <w:t>Cobrar</w:t>
      </w:r>
      <w:r>
        <w:rPr>
          <w:b/>
          <w:spacing w:val="-10"/>
          <w:sz w:val="22"/>
        </w:rPr>
        <w:t> </w:t>
      </w:r>
      <w:r>
        <w:rPr>
          <w:b/>
          <w:sz w:val="22"/>
        </w:rPr>
        <w:t>del IMAS.</w:t>
      </w:r>
      <w:r>
        <w:rPr>
          <w:b/>
          <w:spacing w:val="79"/>
          <w:w w:val="150"/>
          <w:sz w:val="22"/>
        </w:rPr>
        <w:t> </w:t>
      </w:r>
      <w:r>
        <w:rPr>
          <w:b/>
          <w:sz w:val="22"/>
        </w:rPr>
        <w:t>Acuerdo</w:t>
      </w:r>
      <w:r>
        <w:rPr>
          <w:b/>
          <w:spacing w:val="25"/>
          <w:sz w:val="22"/>
        </w:rPr>
        <w:t>  </w:t>
      </w:r>
      <w:r>
        <w:rPr>
          <w:b/>
          <w:sz w:val="22"/>
        </w:rPr>
        <w:t>CD</w:t>
      </w:r>
      <w:r>
        <w:rPr>
          <w:b/>
          <w:spacing w:val="24"/>
          <w:sz w:val="22"/>
        </w:rPr>
        <w:t>  </w:t>
      </w:r>
      <w:r>
        <w:rPr>
          <w:b/>
          <w:sz w:val="22"/>
        </w:rPr>
        <w:t>N°196-07-2022</w:t>
      </w:r>
      <w:r>
        <w:rPr>
          <w:sz w:val="22"/>
        </w:rPr>
        <w:t>.</w:t>
      </w:r>
      <w:r>
        <w:rPr>
          <w:spacing w:val="27"/>
          <w:sz w:val="22"/>
        </w:rPr>
        <w:t>  </w:t>
      </w:r>
      <w:r>
        <w:rPr>
          <w:sz w:val="22"/>
        </w:rPr>
        <w:t>Regula</w:t>
      </w:r>
      <w:r>
        <w:rPr>
          <w:spacing w:val="26"/>
          <w:sz w:val="22"/>
        </w:rPr>
        <w:t>  </w:t>
      </w:r>
      <w:r>
        <w:rPr>
          <w:sz w:val="22"/>
        </w:rPr>
        <w:t>la</w:t>
      </w:r>
      <w:r>
        <w:rPr>
          <w:spacing w:val="26"/>
          <w:sz w:val="22"/>
        </w:rPr>
        <w:t>  </w:t>
      </w:r>
      <w:r>
        <w:rPr>
          <w:sz w:val="22"/>
        </w:rPr>
        <w:t>gestión</w:t>
      </w:r>
      <w:r>
        <w:rPr>
          <w:spacing w:val="26"/>
          <w:sz w:val="22"/>
        </w:rPr>
        <w:t>  </w:t>
      </w:r>
      <w:r>
        <w:rPr>
          <w:sz w:val="22"/>
        </w:rPr>
        <w:t>de</w:t>
      </w:r>
      <w:r>
        <w:rPr>
          <w:spacing w:val="25"/>
          <w:sz w:val="22"/>
        </w:rPr>
        <w:t>  </w:t>
      </w:r>
      <w:r>
        <w:rPr>
          <w:sz w:val="22"/>
        </w:rPr>
        <w:t>cobro</w:t>
      </w:r>
      <w:r>
        <w:rPr>
          <w:spacing w:val="25"/>
          <w:sz w:val="22"/>
        </w:rPr>
        <w:t>  </w:t>
      </w:r>
      <w:r>
        <w:rPr>
          <w:sz w:val="22"/>
        </w:rPr>
        <w:t>en</w:t>
      </w:r>
      <w:r>
        <w:rPr>
          <w:spacing w:val="26"/>
          <w:sz w:val="22"/>
        </w:rPr>
        <w:t>  </w:t>
      </w:r>
      <w:r>
        <w:rPr>
          <w:spacing w:val="-2"/>
          <w:sz w:val="22"/>
        </w:rPr>
        <w:t>instancia</w:t>
      </w:r>
    </w:p>
    <w:p>
      <w:pPr>
        <w:spacing w:after="0"/>
        <w:jc w:val="both"/>
        <w:rPr>
          <w:sz w:val="22"/>
        </w:rPr>
        <w:sectPr>
          <w:pgSz w:w="12240" w:h="15840"/>
          <w:pgMar w:header="0" w:footer="1576" w:top="1000" w:bottom="1760" w:left="360" w:right="0"/>
        </w:sectPr>
      </w:pPr>
    </w:p>
    <w:p>
      <w:pPr>
        <w:pStyle w:val="BodyText"/>
        <w:spacing w:before="77"/>
        <w:ind w:left="1625" w:right="1609"/>
        <w:jc w:val="both"/>
      </w:pPr>
      <w:r>
        <w:rPr/>
        <w:t>administrativa y judicial, así como la declaratoria de incobrabilidad de las cuentas por cobrar del Instituto Mixto de Ayuda Social. Fecha de vigencia 28/07/2022.</w:t>
      </w:r>
    </w:p>
    <w:p>
      <w:pPr>
        <w:pStyle w:val="BodyText"/>
      </w:pPr>
    </w:p>
    <w:p>
      <w:pPr>
        <w:pStyle w:val="BodyText"/>
        <w:ind w:left="1625" w:right="1600"/>
        <w:jc w:val="both"/>
      </w:pPr>
      <w:r>
        <w:rPr>
          <w:b/>
        </w:rPr>
        <w:t>Reglamento del Modelo Tarifario para el Uso del Sistema Digital Único (Decreto Nº43807-H)</w:t>
      </w:r>
      <w:r>
        <w:rPr/>
        <w:t>.</w:t>
      </w:r>
      <w:r>
        <w:rPr>
          <w:spacing w:val="-15"/>
        </w:rPr>
        <w:t> </w:t>
      </w:r>
      <w:r>
        <w:rPr/>
        <w:t>Regular</w:t>
      </w:r>
      <w:r>
        <w:rPr>
          <w:spacing w:val="-11"/>
        </w:rPr>
        <w:t> </w:t>
      </w:r>
      <w:r>
        <w:rPr/>
        <w:t>el</w:t>
      </w:r>
      <w:r>
        <w:rPr>
          <w:spacing w:val="-16"/>
        </w:rPr>
        <w:t> </w:t>
      </w:r>
      <w:r>
        <w:rPr/>
        <w:t>modelo</w:t>
      </w:r>
      <w:r>
        <w:rPr>
          <w:spacing w:val="-14"/>
        </w:rPr>
        <w:t> </w:t>
      </w:r>
      <w:r>
        <w:rPr/>
        <w:t>tarifario</w:t>
      </w:r>
      <w:r>
        <w:rPr>
          <w:spacing w:val="-12"/>
        </w:rPr>
        <w:t> </w:t>
      </w:r>
      <w:r>
        <w:rPr/>
        <w:t>del</w:t>
      </w:r>
      <w:r>
        <w:rPr>
          <w:spacing w:val="-15"/>
        </w:rPr>
        <w:t> </w:t>
      </w:r>
      <w:r>
        <w:rPr/>
        <w:t>uso</w:t>
      </w:r>
      <w:r>
        <w:rPr>
          <w:spacing w:val="-15"/>
        </w:rPr>
        <w:t> </w:t>
      </w:r>
      <w:r>
        <w:rPr/>
        <w:t>del</w:t>
      </w:r>
      <w:r>
        <w:rPr>
          <w:spacing w:val="-13"/>
        </w:rPr>
        <w:t> </w:t>
      </w:r>
      <w:r>
        <w:rPr/>
        <w:t>sistema</w:t>
      </w:r>
      <w:r>
        <w:rPr>
          <w:spacing w:val="-15"/>
        </w:rPr>
        <w:t> </w:t>
      </w:r>
      <w:r>
        <w:rPr/>
        <w:t>digital</w:t>
      </w:r>
      <w:r>
        <w:rPr>
          <w:spacing w:val="-13"/>
        </w:rPr>
        <w:t> </w:t>
      </w:r>
      <w:r>
        <w:rPr/>
        <w:t>unificado,</w:t>
      </w:r>
      <w:r>
        <w:rPr>
          <w:spacing w:val="-11"/>
        </w:rPr>
        <w:t> </w:t>
      </w:r>
      <w:r>
        <w:rPr/>
        <w:t>administrado por</w:t>
      </w:r>
      <w:r>
        <w:rPr>
          <w:spacing w:val="-16"/>
        </w:rPr>
        <w:t> </w:t>
      </w:r>
      <w:r>
        <w:rPr/>
        <w:t>la</w:t>
      </w:r>
      <w:r>
        <w:rPr>
          <w:spacing w:val="-15"/>
        </w:rPr>
        <w:t> </w:t>
      </w:r>
      <w:r>
        <w:rPr/>
        <w:t>Dirección</w:t>
      </w:r>
      <w:r>
        <w:rPr>
          <w:spacing w:val="-15"/>
        </w:rPr>
        <w:t> </w:t>
      </w:r>
      <w:r>
        <w:rPr/>
        <w:t>de</w:t>
      </w:r>
      <w:r>
        <w:rPr>
          <w:spacing w:val="-16"/>
        </w:rPr>
        <w:t> </w:t>
      </w:r>
      <w:r>
        <w:rPr/>
        <w:t>Contratación</w:t>
      </w:r>
      <w:r>
        <w:rPr>
          <w:spacing w:val="-15"/>
        </w:rPr>
        <w:t> </w:t>
      </w:r>
      <w:r>
        <w:rPr/>
        <w:t>Pública</w:t>
      </w:r>
      <w:r>
        <w:rPr>
          <w:spacing w:val="-15"/>
        </w:rPr>
        <w:t> </w:t>
      </w:r>
      <w:r>
        <w:rPr/>
        <w:t>del</w:t>
      </w:r>
      <w:r>
        <w:rPr>
          <w:spacing w:val="-15"/>
        </w:rPr>
        <w:t> </w:t>
      </w:r>
      <w:r>
        <w:rPr/>
        <w:t>Ministerio</w:t>
      </w:r>
      <w:r>
        <w:rPr>
          <w:spacing w:val="-16"/>
        </w:rPr>
        <w:t> </w:t>
      </w:r>
      <w:r>
        <w:rPr/>
        <w:t>de</w:t>
      </w:r>
      <w:r>
        <w:rPr>
          <w:spacing w:val="-15"/>
        </w:rPr>
        <w:t> </w:t>
      </w:r>
      <w:r>
        <w:rPr/>
        <w:t>Hacienda</w:t>
      </w:r>
      <w:r>
        <w:rPr>
          <w:spacing w:val="-15"/>
        </w:rPr>
        <w:t> </w:t>
      </w:r>
      <w:r>
        <w:rPr/>
        <w:t>y</w:t>
      </w:r>
      <w:r>
        <w:rPr>
          <w:spacing w:val="-16"/>
        </w:rPr>
        <w:t> </w:t>
      </w:r>
      <w:r>
        <w:rPr/>
        <w:t>definir</w:t>
      </w:r>
      <w:r>
        <w:rPr>
          <w:spacing w:val="-15"/>
        </w:rPr>
        <w:t> </w:t>
      </w:r>
      <w:r>
        <w:rPr/>
        <w:t>el</w:t>
      </w:r>
      <w:r>
        <w:rPr>
          <w:spacing w:val="-15"/>
        </w:rPr>
        <w:t> </w:t>
      </w:r>
      <w:r>
        <w:rPr/>
        <w:t>mecanismo de</w:t>
      </w:r>
      <w:r>
        <w:rPr>
          <w:spacing w:val="-2"/>
        </w:rPr>
        <w:t> </w:t>
      </w:r>
      <w:r>
        <w:rPr/>
        <w:t>pago</w:t>
      </w:r>
      <w:r>
        <w:rPr>
          <w:spacing w:val="-4"/>
        </w:rPr>
        <w:t> </w:t>
      </w:r>
      <w:r>
        <w:rPr/>
        <w:t>de</w:t>
      </w:r>
      <w:r>
        <w:rPr>
          <w:spacing w:val="-4"/>
        </w:rPr>
        <w:t> </w:t>
      </w:r>
      <w:r>
        <w:rPr/>
        <w:t>las</w:t>
      </w:r>
      <w:r>
        <w:rPr>
          <w:spacing w:val="-4"/>
        </w:rPr>
        <w:t> </w:t>
      </w:r>
      <w:r>
        <w:rPr/>
        <w:t>tarifas</w:t>
      </w:r>
      <w:r>
        <w:rPr>
          <w:spacing w:val="-4"/>
        </w:rPr>
        <w:t> </w:t>
      </w:r>
      <w:r>
        <w:rPr/>
        <w:t>respectivas</w:t>
      </w:r>
      <w:r>
        <w:rPr>
          <w:spacing w:val="-4"/>
        </w:rPr>
        <w:t> </w:t>
      </w:r>
      <w:r>
        <w:rPr/>
        <w:t>por</w:t>
      </w:r>
      <w:r>
        <w:rPr>
          <w:spacing w:val="-3"/>
        </w:rPr>
        <w:t> </w:t>
      </w:r>
      <w:r>
        <w:rPr/>
        <w:t>parte</w:t>
      </w:r>
      <w:r>
        <w:rPr>
          <w:spacing w:val="-4"/>
        </w:rPr>
        <w:t> </w:t>
      </w:r>
      <w:r>
        <w:rPr/>
        <w:t>de</w:t>
      </w:r>
      <w:r>
        <w:rPr>
          <w:spacing w:val="-4"/>
        </w:rPr>
        <w:t> </w:t>
      </w:r>
      <w:r>
        <w:rPr/>
        <w:t>cada</w:t>
      </w:r>
      <w:r>
        <w:rPr>
          <w:spacing w:val="-2"/>
        </w:rPr>
        <w:t> </w:t>
      </w:r>
      <w:r>
        <w:rPr/>
        <w:t>una</w:t>
      </w:r>
      <w:r>
        <w:rPr>
          <w:spacing w:val="-4"/>
        </w:rPr>
        <w:t> </w:t>
      </w:r>
      <w:r>
        <w:rPr/>
        <w:t>de</w:t>
      </w:r>
      <w:r>
        <w:rPr>
          <w:spacing w:val="-4"/>
        </w:rPr>
        <w:t> </w:t>
      </w:r>
      <w:r>
        <w:rPr/>
        <w:t>las</w:t>
      </w:r>
      <w:r>
        <w:rPr>
          <w:spacing w:val="-2"/>
        </w:rPr>
        <w:t> </w:t>
      </w:r>
      <w:r>
        <w:rPr/>
        <w:t>instituciones</w:t>
      </w:r>
      <w:r>
        <w:rPr>
          <w:spacing w:val="-2"/>
        </w:rPr>
        <w:t> </w:t>
      </w:r>
      <w:r>
        <w:rPr/>
        <w:t>usuarias</w:t>
      </w:r>
      <w:r>
        <w:rPr>
          <w:spacing w:val="-1"/>
        </w:rPr>
        <w:t> </w:t>
      </w:r>
      <w:r>
        <w:rPr/>
        <w:t>del servicio, para promover los procedimientos de contratación pública, de conformidad con lo dispuesto</w:t>
      </w:r>
      <w:r>
        <w:rPr>
          <w:spacing w:val="-2"/>
        </w:rPr>
        <w:t> </w:t>
      </w:r>
      <w:r>
        <w:rPr/>
        <w:t>en</w:t>
      </w:r>
      <w:r>
        <w:rPr>
          <w:spacing w:val="-3"/>
        </w:rPr>
        <w:t> </w:t>
      </w:r>
      <w:r>
        <w:rPr/>
        <w:t>la</w:t>
      </w:r>
      <w:r>
        <w:rPr>
          <w:spacing w:val="-3"/>
        </w:rPr>
        <w:t> </w:t>
      </w:r>
      <w:r>
        <w:rPr/>
        <w:t>Ley</w:t>
      </w:r>
      <w:r>
        <w:rPr>
          <w:spacing w:val="-5"/>
        </w:rPr>
        <w:t> </w:t>
      </w:r>
      <w:r>
        <w:rPr/>
        <w:t>General</w:t>
      </w:r>
      <w:r>
        <w:rPr>
          <w:spacing w:val="-1"/>
        </w:rPr>
        <w:t> </w:t>
      </w:r>
      <w:r>
        <w:rPr/>
        <w:t>de</w:t>
      </w:r>
      <w:r>
        <w:rPr>
          <w:spacing w:val="-3"/>
        </w:rPr>
        <w:t> </w:t>
      </w:r>
      <w:r>
        <w:rPr/>
        <w:t>Contratación.</w:t>
      </w:r>
      <w:r>
        <w:rPr>
          <w:spacing w:val="-4"/>
        </w:rPr>
        <w:t> </w:t>
      </w:r>
      <w:r>
        <w:rPr/>
        <w:t>Pública Publicado en</w:t>
      </w:r>
      <w:r>
        <w:rPr>
          <w:spacing w:val="-3"/>
        </w:rPr>
        <w:t> </w:t>
      </w:r>
      <w:r>
        <w:rPr/>
        <w:t>el</w:t>
      </w:r>
      <w:r>
        <w:rPr>
          <w:spacing w:val="-4"/>
        </w:rPr>
        <w:t> </w:t>
      </w:r>
      <w:r>
        <w:rPr/>
        <w:t>Alcance N.º</w:t>
      </w:r>
      <w:r>
        <w:rPr>
          <w:spacing w:val="-1"/>
        </w:rPr>
        <w:t> </w:t>
      </w:r>
      <w:r>
        <w:rPr/>
        <w:t>258 de la Gaceta N.º 229 30/11/2022.</w:t>
      </w:r>
    </w:p>
    <w:p>
      <w:pPr>
        <w:pStyle w:val="BodyText"/>
        <w:spacing w:before="253"/>
        <w:ind w:left="1625" w:right="1600"/>
        <w:jc w:val="both"/>
      </w:pPr>
      <w:r>
        <w:rPr>
          <w:b/>
        </w:rPr>
        <w:t>Reglamento a la Ley del Sistema de Estadística Nacional </w:t>
      </w:r>
      <w:r>
        <w:rPr/>
        <w:t>(Decreto N°43848). Especifica y aclara las obligaciones, atribuciones y funciones que la citada ley asigna a las entidades que producen información estadística. Así como la óptima organización y operación</w:t>
      </w:r>
      <w:r>
        <w:rPr>
          <w:spacing w:val="-4"/>
        </w:rPr>
        <w:t> </w:t>
      </w:r>
      <w:r>
        <w:rPr/>
        <w:t>del</w:t>
      </w:r>
      <w:r>
        <w:rPr>
          <w:spacing w:val="-5"/>
        </w:rPr>
        <w:t> </w:t>
      </w:r>
      <w:r>
        <w:rPr/>
        <w:t>Instituto</w:t>
      </w:r>
      <w:r>
        <w:rPr>
          <w:spacing w:val="-4"/>
        </w:rPr>
        <w:t> </w:t>
      </w:r>
      <w:r>
        <w:rPr/>
        <w:t>Nacional</w:t>
      </w:r>
      <w:r>
        <w:rPr>
          <w:spacing w:val="-5"/>
        </w:rPr>
        <w:t> </w:t>
      </w:r>
      <w:r>
        <w:rPr/>
        <w:t>de</w:t>
      </w:r>
      <w:r>
        <w:rPr>
          <w:spacing w:val="-4"/>
        </w:rPr>
        <w:t> </w:t>
      </w:r>
      <w:r>
        <w:rPr/>
        <w:t>Estadística</w:t>
      </w:r>
      <w:r>
        <w:rPr>
          <w:spacing w:val="-4"/>
        </w:rPr>
        <w:t> </w:t>
      </w:r>
      <w:r>
        <w:rPr/>
        <w:t>y</w:t>
      </w:r>
      <w:r>
        <w:rPr>
          <w:spacing w:val="-6"/>
        </w:rPr>
        <w:t> </w:t>
      </w:r>
      <w:r>
        <w:rPr/>
        <w:t>Censos</w:t>
      </w:r>
      <w:r>
        <w:rPr>
          <w:spacing w:val="-4"/>
        </w:rPr>
        <w:t> </w:t>
      </w:r>
      <w:r>
        <w:rPr/>
        <w:t>como</w:t>
      </w:r>
      <w:r>
        <w:rPr>
          <w:spacing w:val="-6"/>
        </w:rPr>
        <w:t> </w:t>
      </w:r>
      <w:r>
        <w:rPr/>
        <w:t>ente</w:t>
      </w:r>
      <w:r>
        <w:rPr>
          <w:spacing w:val="-6"/>
        </w:rPr>
        <w:t> </w:t>
      </w:r>
      <w:r>
        <w:rPr/>
        <w:t>rector</w:t>
      </w:r>
      <w:r>
        <w:rPr>
          <w:spacing w:val="-6"/>
        </w:rPr>
        <w:t> </w:t>
      </w:r>
      <w:r>
        <w:rPr/>
        <w:t>de</w:t>
      </w:r>
      <w:r>
        <w:rPr>
          <w:spacing w:val="-4"/>
        </w:rPr>
        <w:t> </w:t>
      </w:r>
      <w:r>
        <w:rPr/>
        <w:t>Sistema</w:t>
      </w:r>
      <w:r>
        <w:rPr>
          <w:spacing w:val="-6"/>
        </w:rPr>
        <w:t> </w:t>
      </w:r>
      <w:r>
        <w:rPr/>
        <w:t>de Estadística Nacional. Fecha de vigencia 19/01/2023.</w:t>
      </w:r>
    </w:p>
    <w:p>
      <w:pPr>
        <w:pStyle w:val="BodyText"/>
        <w:spacing w:before="1"/>
      </w:pPr>
    </w:p>
    <w:p>
      <w:pPr>
        <w:spacing w:line="252" w:lineRule="exact" w:before="0"/>
        <w:ind w:left="1625" w:right="0" w:firstLine="0"/>
        <w:jc w:val="both"/>
        <w:rPr>
          <w:b/>
          <w:sz w:val="22"/>
        </w:rPr>
      </w:pPr>
      <w:r>
        <w:rPr>
          <w:b/>
          <w:sz w:val="22"/>
        </w:rPr>
        <w:t>Reforma</w:t>
      </w:r>
      <w:r>
        <w:rPr>
          <w:b/>
          <w:spacing w:val="18"/>
          <w:sz w:val="22"/>
        </w:rPr>
        <w:t> </w:t>
      </w:r>
      <w:r>
        <w:rPr>
          <w:b/>
          <w:sz w:val="22"/>
        </w:rPr>
        <w:t>del</w:t>
      </w:r>
      <w:r>
        <w:rPr>
          <w:b/>
          <w:spacing w:val="19"/>
          <w:sz w:val="22"/>
        </w:rPr>
        <w:t> </w:t>
      </w:r>
      <w:r>
        <w:rPr>
          <w:b/>
          <w:sz w:val="22"/>
        </w:rPr>
        <w:t>artículo</w:t>
      </w:r>
      <w:r>
        <w:rPr>
          <w:b/>
          <w:spacing w:val="16"/>
          <w:sz w:val="22"/>
        </w:rPr>
        <w:t> </w:t>
      </w:r>
      <w:r>
        <w:rPr>
          <w:b/>
          <w:sz w:val="22"/>
        </w:rPr>
        <w:t>36</w:t>
      </w:r>
      <w:r>
        <w:rPr>
          <w:b/>
          <w:spacing w:val="19"/>
          <w:sz w:val="22"/>
        </w:rPr>
        <w:t> </w:t>
      </w:r>
      <w:r>
        <w:rPr>
          <w:b/>
          <w:sz w:val="22"/>
        </w:rPr>
        <w:t>y</w:t>
      </w:r>
      <w:r>
        <w:rPr>
          <w:b/>
          <w:spacing w:val="18"/>
          <w:sz w:val="22"/>
        </w:rPr>
        <w:t> </w:t>
      </w:r>
      <w:r>
        <w:rPr>
          <w:b/>
          <w:sz w:val="22"/>
        </w:rPr>
        <w:t>adición</w:t>
      </w:r>
      <w:r>
        <w:rPr>
          <w:b/>
          <w:spacing w:val="18"/>
          <w:sz w:val="22"/>
        </w:rPr>
        <w:t> </w:t>
      </w:r>
      <w:r>
        <w:rPr>
          <w:b/>
          <w:sz w:val="22"/>
        </w:rPr>
        <w:t>de</w:t>
      </w:r>
      <w:r>
        <w:rPr>
          <w:b/>
          <w:spacing w:val="17"/>
          <w:sz w:val="22"/>
        </w:rPr>
        <w:t> </w:t>
      </w:r>
      <w:r>
        <w:rPr>
          <w:b/>
          <w:sz w:val="22"/>
        </w:rPr>
        <w:t>un</w:t>
      </w:r>
      <w:r>
        <w:rPr>
          <w:b/>
          <w:spacing w:val="16"/>
          <w:sz w:val="22"/>
        </w:rPr>
        <w:t> </w:t>
      </w:r>
      <w:r>
        <w:rPr>
          <w:b/>
          <w:sz w:val="22"/>
        </w:rPr>
        <w:t>transitorio</w:t>
      </w:r>
      <w:r>
        <w:rPr>
          <w:b/>
          <w:spacing w:val="18"/>
          <w:sz w:val="22"/>
        </w:rPr>
        <w:t> </w:t>
      </w:r>
      <w:r>
        <w:rPr>
          <w:b/>
          <w:sz w:val="22"/>
        </w:rPr>
        <w:t>VII</w:t>
      </w:r>
      <w:r>
        <w:rPr>
          <w:b/>
          <w:spacing w:val="20"/>
          <w:sz w:val="22"/>
        </w:rPr>
        <w:t> </w:t>
      </w:r>
      <w:r>
        <w:rPr>
          <w:b/>
          <w:sz w:val="22"/>
        </w:rPr>
        <w:t>al</w:t>
      </w:r>
      <w:r>
        <w:rPr>
          <w:b/>
          <w:spacing w:val="19"/>
          <w:sz w:val="22"/>
        </w:rPr>
        <w:t> </w:t>
      </w:r>
      <w:r>
        <w:rPr>
          <w:b/>
          <w:sz w:val="22"/>
        </w:rPr>
        <w:t>Reglamento</w:t>
      </w:r>
      <w:r>
        <w:rPr>
          <w:b/>
          <w:spacing w:val="19"/>
          <w:sz w:val="22"/>
        </w:rPr>
        <w:t> </w:t>
      </w:r>
      <w:r>
        <w:rPr>
          <w:b/>
          <w:sz w:val="22"/>
        </w:rPr>
        <w:t>a</w:t>
      </w:r>
      <w:r>
        <w:rPr>
          <w:b/>
          <w:spacing w:val="15"/>
          <w:sz w:val="22"/>
        </w:rPr>
        <w:t> </w:t>
      </w:r>
      <w:r>
        <w:rPr>
          <w:b/>
          <w:sz w:val="22"/>
        </w:rPr>
        <w:t>la</w:t>
      </w:r>
      <w:r>
        <w:rPr>
          <w:b/>
          <w:spacing w:val="19"/>
          <w:sz w:val="22"/>
        </w:rPr>
        <w:t> </w:t>
      </w:r>
      <w:r>
        <w:rPr>
          <w:b/>
          <w:sz w:val="22"/>
        </w:rPr>
        <w:t>Ley</w:t>
      </w:r>
      <w:r>
        <w:rPr>
          <w:b/>
          <w:spacing w:val="19"/>
          <w:sz w:val="22"/>
        </w:rPr>
        <w:t> </w:t>
      </w:r>
      <w:r>
        <w:rPr>
          <w:b/>
          <w:spacing w:val="-5"/>
          <w:sz w:val="22"/>
        </w:rPr>
        <w:t>N°</w:t>
      </w:r>
    </w:p>
    <w:p>
      <w:pPr>
        <w:spacing w:before="0"/>
        <w:ind w:left="1625" w:right="1444" w:firstLine="0"/>
        <w:jc w:val="left"/>
        <w:rPr>
          <w:sz w:val="22"/>
        </w:rPr>
      </w:pPr>
      <w:r>
        <w:rPr>
          <w:b/>
          <w:sz w:val="22"/>
        </w:rPr>
        <w:t>10.159 Marco de Empleo Público </w:t>
      </w:r>
      <w:r>
        <w:rPr>
          <w:sz w:val="22"/>
        </w:rPr>
        <w:t>(Decreto N°43952-PLAN). en Costa Rica. Establece las normas para 10/03/2023.</w:t>
      </w:r>
    </w:p>
    <w:p>
      <w:pPr>
        <w:spacing w:before="252"/>
        <w:ind w:left="1625" w:right="1604" w:firstLine="0"/>
        <w:jc w:val="both"/>
        <w:rPr>
          <w:sz w:val="22"/>
        </w:rPr>
      </w:pPr>
      <w:r>
        <w:rPr>
          <w:b/>
          <w:sz w:val="22"/>
        </w:rPr>
        <w:t>Reglamento</w:t>
      </w:r>
      <w:r>
        <w:rPr>
          <w:b/>
          <w:spacing w:val="-12"/>
          <w:sz w:val="22"/>
        </w:rPr>
        <w:t> </w:t>
      </w:r>
      <w:r>
        <w:rPr>
          <w:b/>
          <w:sz w:val="22"/>
        </w:rPr>
        <w:t>para</w:t>
      </w:r>
      <w:r>
        <w:rPr>
          <w:b/>
          <w:spacing w:val="-14"/>
          <w:sz w:val="22"/>
        </w:rPr>
        <w:t> </w:t>
      </w:r>
      <w:r>
        <w:rPr>
          <w:b/>
          <w:sz w:val="22"/>
        </w:rPr>
        <w:t>la</w:t>
      </w:r>
      <w:r>
        <w:rPr>
          <w:b/>
          <w:spacing w:val="-10"/>
          <w:sz w:val="22"/>
        </w:rPr>
        <w:t> </w:t>
      </w:r>
      <w:r>
        <w:rPr>
          <w:b/>
          <w:sz w:val="22"/>
        </w:rPr>
        <w:t>Compra</w:t>
      </w:r>
      <w:r>
        <w:rPr>
          <w:b/>
          <w:spacing w:val="-12"/>
          <w:sz w:val="22"/>
        </w:rPr>
        <w:t> </w:t>
      </w:r>
      <w:r>
        <w:rPr>
          <w:b/>
          <w:sz w:val="22"/>
        </w:rPr>
        <w:t>de</w:t>
      </w:r>
      <w:r>
        <w:rPr>
          <w:b/>
          <w:spacing w:val="-13"/>
          <w:sz w:val="22"/>
        </w:rPr>
        <w:t> </w:t>
      </w:r>
      <w:r>
        <w:rPr>
          <w:b/>
          <w:sz w:val="22"/>
        </w:rPr>
        <w:t>Mercancías</w:t>
      </w:r>
      <w:r>
        <w:rPr>
          <w:b/>
          <w:spacing w:val="-10"/>
          <w:sz w:val="22"/>
        </w:rPr>
        <w:t> </w:t>
      </w:r>
      <w:r>
        <w:rPr>
          <w:b/>
          <w:sz w:val="22"/>
        </w:rPr>
        <w:t>para</w:t>
      </w:r>
      <w:r>
        <w:rPr>
          <w:b/>
          <w:spacing w:val="-12"/>
          <w:sz w:val="22"/>
        </w:rPr>
        <w:t> </w:t>
      </w:r>
      <w:r>
        <w:rPr>
          <w:b/>
          <w:sz w:val="22"/>
        </w:rPr>
        <w:t>la</w:t>
      </w:r>
      <w:r>
        <w:rPr>
          <w:b/>
          <w:spacing w:val="-10"/>
          <w:sz w:val="22"/>
        </w:rPr>
        <w:t> </w:t>
      </w:r>
      <w:r>
        <w:rPr>
          <w:b/>
          <w:sz w:val="22"/>
        </w:rPr>
        <w:t>Venta</w:t>
      </w:r>
      <w:r>
        <w:rPr>
          <w:b/>
          <w:spacing w:val="-10"/>
          <w:sz w:val="22"/>
        </w:rPr>
        <w:t> </w:t>
      </w:r>
      <w:r>
        <w:rPr>
          <w:b/>
          <w:sz w:val="22"/>
        </w:rPr>
        <w:t>en</w:t>
      </w:r>
      <w:r>
        <w:rPr>
          <w:b/>
          <w:spacing w:val="-13"/>
          <w:sz w:val="22"/>
        </w:rPr>
        <w:t> </w:t>
      </w:r>
      <w:r>
        <w:rPr>
          <w:b/>
          <w:sz w:val="22"/>
        </w:rPr>
        <w:t>Empresas</w:t>
      </w:r>
      <w:r>
        <w:rPr>
          <w:b/>
          <w:spacing w:val="-10"/>
          <w:sz w:val="22"/>
        </w:rPr>
        <w:t> </w:t>
      </w:r>
      <w:r>
        <w:rPr>
          <w:b/>
          <w:sz w:val="22"/>
        </w:rPr>
        <w:t>Comerciales del IMAS. ACD N° 372-12-2022. </w:t>
      </w:r>
      <w:r>
        <w:rPr>
          <w:sz w:val="22"/>
        </w:rPr>
        <w:t>Regula la compra de mercancías para la venta en las Tiendas Libres de impuestos del Instituto Mixto de Ayuda Social. Fecha de vigencia </w:t>
      </w:r>
      <w:r>
        <w:rPr>
          <w:spacing w:val="-2"/>
          <w:sz w:val="22"/>
        </w:rPr>
        <w:t>17/03/2023.</w:t>
      </w:r>
    </w:p>
    <w:p>
      <w:pPr>
        <w:pStyle w:val="BodyText"/>
      </w:pPr>
    </w:p>
    <w:p>
      <w:pPr>
        <w:pStyle w:val="BodyText"/>
        <w:ind w:left="1625" w:right="1601"/>
        <w:jc w:val="both"/>
      </w:pPr>
      <w:r>
        <w:rPr>
          <w:b/>
        </w:rPr>
        <w:t>Reglamento a la Ley N° 8634 </w:t>
      </w:r>
      <w:r>
        <w:rPr/>
        <w:t>(Decreto N°43980-MEIC- MAG- TUR</w:t>
      </w:r>
      <w:r>
        <w:rPr>
          <w:b/>
        </w:rPr>
        <w:t>). Creación del Sistema de Banca para el Desarrollo. </w:t>
      </w:r>
      <w:r>
        <w:rPr/>
        <w:t>Desarrolla los principios y normas que se desprenden de la ley N° 8634, ley Sistema de Banca para el Desarrollo y sus reformas, con</w:t>
      </w:r>
      <w:r>
        <w:rPr>
          <w:spacing w:val="-15"/>
        </w:rPr>
        <w:t> </w:t>
      </w:r>
      <w:r>
        <w:rPr/>
        <w:t>el</w:t>
      </w:r>
      <w:r>
        <w:rPr>
          <w:spacing w:val="-15"/>
        </w:rPr>
        <w:t> </w:t>
      </w:r>
      <w:r>
        <w:rPr/>
        <w:t>propósito</w:t>
      </w:r>
      <w:r>
        <w:rPr>
          <w:spacing w:val="-14"/>
        </w:rPr>
        <w:t> </w:t>
      </w:r>
      <w:r>
        <w:rPr/>
        <w:t>de</w:t>
      </w:r>
      <w:r>
        <w:rPr>
          <w:spacing w:val="-14"/>
        </w:rPr>
        <w:t> </w:t>
      </w:r>
      <w:r>
        <w:rPr/>
        <w:t>contar</w:t>
      </w:r>
      <w:r>
        <w:rPr>
          <w:spacing w:val="-13"/>
        </w:rPr>
        <w:t> </w:t>
      </w:r>
      <w:r>
        <w:rPr/>
        <w:t>con</w:t>
      </w:r>
      <w:r>
        <w:rPr>
          <w:spacing w:val="-16"/>
        </w:rPr>
        <w:t> </w:t>
      </w:r>
      <w:r>
        <w:rPr/>
        <w:t>mecanismos</w:t>
      </w:r>
      <w:r>
        <w:rPr>
          <w:spacing w:val="-15"/>
        </w:rPr>
        <w:t> </w:t>
      </w:r>
      <w:r>
        <w:rPr/>
        <w:t>para</w:t>
      </w:r>
      <w:r>
        <w:rPr>
          <w:spacing w:val="-14"/>
        </w:rPr>
        <w:t> </w:t>
      </w:r>
      <w:r>
        <w:rPr/>
        <w:t>impulsar</w:t>
      </w:r>
      <w:r>
        <w:rPr>
          <w:spacing w:val="-13"/>
        </w:rPr>
        <w:t> </w:t>
      </w:r>
      <w:r>
        <w:rPr/>
        <w:t>proyectos</w:t>
      </w:r>
      <w:r>
        <w:rPr>
          <w:spacing w:val="-13"/>
        </w:rPr>
        <w:t> </w:t>
      </w:r>
      <w:r>
        <w:rPr/>
        <w:t>productivos</w:t>
      </w:r>
      <w:r>
        <w:rPr>
          <w:spacing w:val="-13"/>
        </w:rPr>
        <w:t> </w:t>
      </w:r>
      <w:r>
        <w:rPr/>
        <w:t>y</w:t>
      </w:r>
      <w:r>
        <w:rPr>
          <w:spacing w:val="-13"/>
        </w:rPr>
        <w:t> </w:t>
      </w:r>
      <w:r>
        <w:rPr/>
        <w:t>cumplir con</w:t>
      </w:r>
      <w:r>
        <w:rPr>
          <w:spacing w:val="-12"/>
        </w:rPr>
        <w:t> </w:t>
      </w:r>
      <w:r>
        <w:rPr/>
        <w:t>el</w:t>
      </w:r>
      <w:r>
        <w:rPr>
          <w:spacing w:val="-12"/>
        </w:rPr>
        <w:t> </w:t>
      </w:r>
      <w:r>
        <w:rPr/>
        <w:t>fin</w:t>
      </w:r>
      <w:r>
        <w:rPr>
          <w:spacing w:val="-11"/>
        </w:rPr>
        <w:t> </w:t>
      </w:r>
      <w:r>
        <w:rPr/>
        <w:t>público</w:t>
      </w:r>
      <w:r>
        <w:rPr>
          <w:spacing w:val="-11"/>
        </w:rPr>
        <w:t> </w:t>
      </w:r>
      <w:r>
        <w:rPr/>
        <w:t>de</w:t>
      </w:r>
      <w:r>
        <w:rPr>
          <w:spacing w:val="-12"/>
        </w:rPr>
        <w:t> </w:t>
      </w:r>
      <w:r>
        <w:rPr/>
        <w:t>movilidad</w:t>
      </w:r>
      <w:r>
        <w:rPr>
          <w:spacing w:val="-11"/>
        </w:rPr>
        <w:t> </w:t>
      </w:r>
      <w:r>
        <w:rPr/>
        <w:t>social</w:t>
      </w:r>
      <w:r>
        <w:rPr>
          <w:spacing w:val="-11"/>
        </w:rPr>
        <w:t> </w:t>
      </w:r>
      <w:r>
        <w:rPr/>
        <w:t>de</w:t>
      </w:r>
      <w:r>
        <w:rPr>
          <w:spacing w:val="-12"/>
        </w:rPr>
        <w:t> </w:t>
      </w:r>
      <w:r>
        <w:rPr/>
        <w:t>las</w:t>
      </w:r>
      <w:r>
        <w:rPr>
          <w:spacing w:val="-11"/>
        </w:rPr>
        <w:t> </w:t>
      </w:r>
      <w:r>
        <w:rPr/>
        <w:t>personas</w:t>
      </w:r>
      <w:r>
        <w:rPr>
          <w:spacing w:val="-11"/>
        </w:rPr>
        <w:t> </w:t>
      </w:r>
      <w:r>
        <w:rPr/>
        <w:t>beneficiarias</w:t>
      </w:r>
      <w:r>
        <w:rPr>
          <w:spacing w:val="-11"/>
        </w:rPr>
        <w:t> </w:t>
      </w:r>
      <w:r>
        <w:rPr/>
        <w:t>establecidos</w:t>
      </w:r>
      <w:r>
        <w:rPr>
          <w:spacing w:val="-11"/>
        </w:rPr>
        <w:t> </w:t>
      </w:r>
      <w:r>
        <w:rPr/>
        <w:t>en</w:t>
      </w:r>
      <w:r>
        <w:rPr>
          <w:spacing w:val="-12"/>
        </w:rPr>
        <w:t> </w:t>
      </w:r>
      <w:r>
        <w:rPr/>
        <w:t>la</w:t>
      </w:r>
      <w:r>
        <w:rPr>
          <w:spacing w:val="-11"/>
        </w:rPr>
        <w:t> </w:t>
      </w:r>
      <w:r>
        <w:rPr/>
        <w:t>Ley. Fecha de vigencia 25/04/2023.</w:t>
      </w:r>
    </w:p>
    <w:p>
      <w:pPr>
        <w:pStyle w:val="BodyText"/>
        <w:spacing w:before="1"/>
      </w:pPr>
    </w:p>
    <w:p>
      <w:pPr>
        <w:spacing w:before="0"/>
        <w:ind w:left="1625" w:right="1601" w:firstLine="0"/>
        <w:jc w:val="both"/>
        <w:rPr>
          <w:sz w:val="22"/>
        </w:rPr>
      </w:pPr>
      <w:r>
        <w:rPr>
          <w:b/>
          <w:sz w:val="22"/>
        </w:rPr>
        <w:t>Reglamento para el Funcionamiento de Proveedurías Institucionales de los Ministerios de Gobierno. </w:t>
      </w:r>
      <w:r>
        <w:rPr>
          <w:sz w:val="22"/>
        </w:rPr>
        <w:t>(Decreto N.º 44027-H). Regula el funcionamiento de las proveedurías institucionales Fecha de vigencia 29/05/2023.</w:t>
      </w:r>
    </w:p>
    <w:p>
      <w:pPr>
        <w:pStyle w:val="BodyText"/>
        <w:spacing w:before="1"/>
      </w:pPr>
    </w:p>
    <w:p>
      <w:pPr>
        <w:spacing w:before="0"/>
        <w:ind w:left="1625" w:right="1602" w:firstLine="0"/>
        <w:jc w:val="both"/>
        <w:rPr>
          <w:sz w:val="22"/>
        </w:rPr>
      </w:pPr>
      <w:r>
        <w:rPr>
          <w:b/>
          <w:sz w:val="22"/>
        </w:rPr>
        <w:t>Reforma</w:t>
      </w:r>
      <w:r>
        <w:rPr>
          <w:b/>
          <w:spacing w:val="-6"/>
          <w:sz w:val="22"/>
        </w:rPr>
        <w:t> </w:t>
      </w:r>
      <w:r>
        <w:rPr>
          <w:b/>
          <w:sz w:val="22"/>
        </w:rPr>
        <w:t>al</w:t>
      </w:r>
      <w:r>
        <w:rPr>
          <w:b/>
          <w:spacing w:val="-8"/>
          <w:sz w:val="22"/>
        </w:rPr>
        <w:t> </w:t>
      </w:r>
      <w:r>
        <w:rPr>
          <w:b/>
          <w:sz w:val="22"/>
        </w:rPr>
        <w:t>Transitorio</w:t>
      </w:r>
      <w:r>
        <w:rPr>
          <w:b/>
          <w:spacing w:val="-9"/>
          <w:sz w:val="22"/>
        </w:rPr>
        <w:t> </w:t>
      </w:r>
      <w:r>
        <w:rPr>
          <w:b/>
          <w:sz w:val="22"/>
        </w:rPr>
        <w:t>I</w:t>
      </w:r>
      <w:r>
        <w:rPr>
          <w:b/>
          <w:spacing w:val="-4"/>
          <w:sz w:val="22"/>
        </w:rPr>
        <w:t> </w:t>
      </w:r>
      <w:r>
        <w:rPr>
          <w:b/>
          <w:sz w:val="22"/>
        </w:rPr>
        <w:t>del</w:t>
      </w:r>
      <w:r>
        <w:rPr>
          <w:b/>
          <w:spacing w:val="-4"/>
          <w:sz w:val="22"/>
        </w:rPr>
        <w:t> </w:t>
      </w:r>
      <w:r>
        <w:rPr>
          <w:b/>
          <w:sz w:val="22"/>
        </w:rPr>
        <w:t>Reglamento</w:t>
      </w:r>
      <w:r>
        <w:rPr>
          <w:b/>
          <w:spacing w:val="-5"/>
          <w:sz w:val="22"/>
        </w:rPr>
        <w:t> </w:t>
      </w:r>
      <w:r>
        <w:rPr>
          <w:b/>
          <w:sz w:val="22"/>
        </w:rPr>
        <w:t>a</w:t>
      </w:r>
      <w:r>
        <w:rPr>
          <w:b/>
          <w:spacing w:val="-6"/>
          <w:sz w:val="22"/>
        </w:rPr>
        <w:t> </w:t>
      </w:r>
      <w:r>
        <w:rPr>
          <w:b/>
          <w:sz w:val="22"/>
        </w:rPr>
        <w:t>la</w:t>
      </w:r>
      <w:r>
        <w:rPr>
          <w:b/>
          <w:spacing w:val="-6"/>
          <w:sz w:val="22"/>
        </w:rPr>
        <w:t> </w:t>
      </w:r>
      <w:r>
        <w:rPr>
          <w:b/>
          <w:sz w:val="22"/>
        </w:rPr>
        <w:t>Ley</w:t>
      </w:r>
      <w:r>
        <w:rPr>
          <w:b/>
          <w:spacing w:val="-5"/>
          <w:sz w:val="22"/>
        </w:rPr>
        <w:t> </w:t>
      </w:r>
      <w:r>
        <w:rPr>
          <w:b/>
          <w:sz w:val="22"/>
        </w:rPr>
        <w:t>Marco</w:t>
      </w:r>
      <w:r>
        <w:rPr>
          <w:b/>
          <w:spacing w:val="-5"/>
          <w:sz w:val="22"/>
        </w:rPr>
        <w:t> </w:t>
      </w:r>
      <w:r>
        <w:rPr>
          <w:b/>
          <w:sz w:val="22"/>
        </w:rPr>
        <w:t>de</w:t>
      </w:r>
      <w:r>
        <w:rPr>
          <w:b/>
          <w:spacing w:val="-7"/>
          <w:sz w:val="22"/>
        </w:rPr>
        <w:t> </w:t>
      </w:r>
      <w:r>
        <w:rPr>
          <w:b/>
          <w:sz w:val="22"/>
        </w:rPr>
        <w:t>Empleo</w:t>
      </w:r>
      <w:r>
        <w:rPr>
          <w:b/>
          <w:spacing w:val="-5"/>
          <w:sz w:val="22"/>
        </w:rPr>
        <w:t> </w:t>
      </w:r>
      <w:r>
        <w:rPr>
          <w:b/>
          <w:sz w:val="22"/>
        </w:rPr>
        <w:t>Público</w:t>
      </w:r>
      <w:r>
        <w:rPr>
          <w:b/>
          <w:spacing w:val="-4"/>
          <w:sz w:val="22"/>
        </w:rPr>
        <w:t> </w:t>
      </w:r>
      <w:r>
        <w:rPr>
          <w:sz w:val="22"/>
        </w:rPr>
        <w:t>(Decreto N.º</w:t>
      </w:r>
      <w:r>
        <w:rPr>
          <w:spacing w:val="-4"/>
          <w:sz w:val="22"/>
        </w:rPr>
        <w:t> </w:t>
      </w:r>
      <w:r>
        <w:rPr>
          <w:sz w:val="22"/>
        </w:rPr>
        <w:t>44055-PLAN).</w:t>
      </w:r>
      <w:r>
        <w:rPr>
          <w:spacing w:val="-6"/>
          <w:sz w:val="22"/>
        </w:rPr>
        <w:t> </w:t>
      </w:r>
      <w:r>
        <w:rPr>
          <w:sz w:val="22"/>
        </w:rPr>
        <w:t>Otorga</w:t>
      </w:r>
      <w:r>
        <w:rPr>
          <w:spacing w:val="-5"/>
          <w:sz w:val="22"/>
        </w:rPr>
        <w:t> </w:t>
      </w:r>
      <w:r>
        <w:rPr>
          <w:sz w:val="22"/>
        </w:rPr>
        <w:t>una</w:t>
      </w:r>
      <w:r>
        <w:rPr>
          <w:spacing w:val="-5"/>
          <w:sz w:val="22"/>
        </w:rPr>
        <w:t> </w:t>
      </w:r>
      <w:r>
        <w:rPr>
          <w:sz w:val="22"/>
        </w:rPr>
        <w:t>extensión</w:t>
      </w:r>
      <w:r>
        <w:rPr>
          <w:spacing w:val="-5"/>
          <w:sz w:val="22"/>
        </w:rPr>
        <w:t> </w:t>
      </w:r>
      <w:r>
        <w:rPr>
          <w:sz w:val="22"/>
        </w:rPr>
        <w:t>de</w:t>
      </w:r>
      <w:r>
        <w:rPr>
          <w:spacing w:val="-8"/>
          <w:sz w:val="22"/>
        </w:rPr>
        <w:t> </w:t>
      </w:r>
      <w:r>
        <w:rPr>
          <w:sz w:val="22"/>
        </w:rPr>
        <w:t>tiempo</w:t>
      </w:r>
      <w:r>
        <w:rPr>
          <w:spacing w:val="-5"/>
          <w:sz w:val="22"/>
        </w:rPr>
        <w:t> </w:t>
      </w:r>
      <w:r>
        <w:rPr>
          <w:sz w:val="22"/>
        </w:rPr>
        <w:t>a</w:t>
      </w:r>
      <w:r>
        <w:rPr>
          <w:spacing w:val="-5"/>
          <w:sz w:val="22"/>
        </w:rPr>
        <w:t> </w:t>
      </w:r>
      <w:r>
        <w:rPr>
          <w:sz w:val="22"/>
        </w:rPr>
        <w:t>las</w:t>
      </w:r>
      <w:r>
        <w:rPr>
          <w:spacing w:val="-5"/>
          <w:sz w:val="22"/>
        </w:rPr>
        <w:t> </w:t>
      </w:r>
      <w:r>
        <w:rPr>
          <w:sz w:val="22"/>
        </w:rPr>
        <w:t>entidades</w:t>
      </w:r>
      <w:r>
        <w:rPr>
          <w:spacing w:val="-5"/>
          <w:sz w:val="22"/>
        </w:rPr>
        <w:t> </w:t>
      </w:r>
      <w:r>
        <w:rPr>
          <w:sz w:val="22"/>
        </w:rPr>
        <w:t>autónomas</w:t>
      </w:r>
      <w:r>
        <w:rPr>
          <w:spacing w:val="-5"/>
          <w:sz w:val="22"/>
        </w:rPr>
        <w:t> </w:t>
      </w:r>
      <w:r>
        <w:rPr>
          <w:sz w:val="22"/>
        </w:rPr>
        <w:t>y</w:t>
      </w:r>
      <w:r>
        <w:rPr>
          <w:spacing w:val="-5"/>
          <w:sz w:val="22"/>
        </w:rPr>
        <w:t> </w:t>
      </w:r>
      <w:r>
        <w:rPr>
          <w:sz w:val="22"/>
        </w:rPr>
        <w:t>órganos bajo la rectoría de MIDEPLAN para presentar los instrumentos técnicos y calcular los salarios globales definitivos. Fecha de vigencia 06/06/2023.</w:t>
      </w:r>
    </w:p>
    <w:p>
      <w:pPr>
        <w:pStyle w:val="BodyText"/>
      </w:pPr>
    </w:p>
    <w:p>
      <w:pPr>
        <w:spacing w:before="0"/>
        <w:ind w:left="1625" w:right="1604" w:firstLine="0"/>
        <w:jc w:val="both"/>
        <w:rPr>
          <w:sz w:val="22"/>
        </w:rPr>
      </w:pPr>
      <w:r>
        <w:rPr>
          <w:b/>
          <w:sz w:val="22"/>
        </w:rPr>
        <w:t>Reforma</w:t>
      </w:r>
      <w:r>
        <w:rPr>
          <w:b/>
          <w:spacing w:val="-4"/>
          <w:sz w:val="22"/>
        </w:rPr>
        <w:t> </w:t>
      </w:r>
      <w:r>
        <w:rPr>
          <w:b/>
          <w:sz w:val="22"/>
        </w:rPr>
        <w:t>el</w:t>
      </w:r>
      <w:r>
        <w:rPr>
          <w:b/>
          <w:spacing w:val="-3"/>
          <w:sz w:val="22"/>
        </w:rPr>
        <w:t> </w:t>
      </w:r>
      <w:r>
        <w:rPr>
          <w:b/>
          <w:sz w:val="22"/>
        </w:rPr>
        <w:t>artículo</w:t>
      </w:r>
      <w:r>
        <w:rPr>
          <w:b/>
          <w:spacing w:val="-4"/>
          <w:sz w:val="22"/>
        </w:rPr>
        <w:t> </w:t>
      </w:r>
      <w:r>
        <w:rPr>
          <w:b/>
          <w:sz w:val="22"/>
        </w:rPr>
        <w:t>36</w:t>
      </w:r>
      <w:r>
        <w:rPr>
          <w:b/>
          <w:spacing w:val="-4"/>
          <w:sz w:val="22"/>
        </w:rPr>
        <w:t> </w:t>
      </w:r>
      <w:r>
        <w:rPr>
          <w:b/>
          <w:sz w:val="22"/>
        </w:rPr>
        <w:t>y</w:t>
      </w:r>
      <w:r>
        <w:rPr>
          <w:b/>
          <w:spacing w:val="-2"/>
          <w:sz w:val="22"/>
        </w:rPr>
        <w:t> </w:t>
      </w:r>
      <w:r>
        <w:rPr>
          <w:b/>
          <w:sz w:val="22"/>
        </w:rPr>
        <w:t>adición</w:t>
      </w:r>
      <w:r>
        <w:rPr>
          <w:b/>
          <w:spacing w:val="-2"/>
          <w:sz w:val="22"/>
        </w:rPr>
        <w:t> </w:t>
      </w:r>
      <w:r>
        <w:rPr>
          <w:b/>
          <w:sz w:val="22"/>
        </w:rPr>
        <w:t>del</w:t>
      </w:r>
      <w:r>
        <w:rPr>
          <w:b/>
          <w:spacing w:val="-3"/>
          <w:sz w:val="22"/>
        </w:rPr>
        <w:t> </w:t>
      </w:r>
      <w:r>
        <w:rPr>
          <w:b/>
          <w:sz w:val="22"/>
        </w:rPr>
        <w:t>Transitorio</w:t>
      </w:r>
      <w:r>
        <w:rPr>
          <w:b/>
          <w:spacing w:val="-2"/>
          <w:sz w:val="22"/>
        </w:rPr>
        <w:t> </w:t>
      </w:r>
      <w:r>
        <w:rPr>
          <w:b/>
          <w:sz w:val="22"/>
        </w:rPr>
        <w:t>VII</w:t>
      </w:r>
      <w:r>
        <w:rPr>
          <w:b/>
          <w:spacing w:val="-2"/>
          <w:sz w:val="22"/>
        </w:rPr>
        <w:t> </w:t>
      </w:r>
      <w:r>
        <w:rPr>
          <w:b/>
          <w:sz w:val="22"/>
        </w:rPr>
        <w:t>del</w:t>
      </w:r>
      <w:r>
        <w:rPr>
          <w:b/>
          <w:spacing w:val="-3"/>
          <w:sz w:val="22"/>
        </w:rPr>
        <w:t> </w:t>
      </w:r>
      <w:r>
        <w:rPr>
          <w:b/>
          <w:sz w:val="22"/>
        </w:rPr>
        <w:t>Reglamento</w:t>
      </w:r>
      <w:r>
        <w:rPr>
          <w:b/>
          <w:spacing w:val="-4"/>
          <w:sz w:val="22"/>
        </w:rPr>
        <w:t> </w:t>
      </w:r>
      <w:r>
        <w:rPr>
          <w:b/>
          <w:sz w:val="22"/>
        </w:rPr>
        <w:t>de</w:t>
      </w:r>
      <w:r>
        <w:rPr>
          <w:b/>
          <w:spacing w:val="-2"/>
          <w:sz w:val="22"/>
        </w:rPr>
        <w:t> </w:t>
      </w:r>
      <w:r>
        <w:rPr>
          <w:b/>
          <w:sz w:val="22"/>
        </w:rPr>
        <w:t>la</w:t>
      </w:r>
      <w:r>
        <w:rPr>
          <w:b/>
          <w:spacing w:val="-2"/>
          <w:sz w:val="22"/>
        </w:rPr>
        <w:t> </w:t>
      </w:r>
      <w:r>
        <w:rPr>
          <w:b/>
          <w:sz w:val="22"/>
        </w:rPr>
        <w:t>Ley</w:t>
      </w:r>
      <w:r>
        <w:rPr>
          <w:b/>
          <w:spacing w:val="-7"/>
          <w:sz w:val="22"/>
        </w:rPr>
        <w:t> </w:t>
      </w:r>
      <w:r>
        <w:rPr>
          <w:b/>
          <w:sz w:val="22"/>
        </w:rPr>
        <w:t>Marco de Empleo Público </w:t>
      </w:r>
      <w:r>
        <w:rPr>
          <w:sz w:val="22"/>
        </w:rPr>
        <w:t>(Decreto N°44199-MIDEPLAN). Otorga una prórroga a las instituciones públicas para la formulación y presentación de sus salarios globales definitivos Fecha de vigencia: 08/09/2023.</w:t>
      </w:r>
    </w:p>
    <w:p>
      <w:pPr>
        <w:pStyle w:val="BodyText"/>
      </w:pPr>
    </w:p>
    <w:p>
      <w:pPr>
        <w:spacing w:before="0"/>
        <w:ind w:left="1625" w:right="1600" w:firstLine="0"/>
        <w:jc w:val="both"/>
        <w:rPr>
          <w:sz w:val="22"/>
        </w:rPr>
      </w:pPr>
      <w:r>
        <w:rPr>
          <w:b/>
          <w:sz w:val="22"/>
        </w:rPr>
        <w:t>Reglamento</w:t>
      </w:r>
      <w:r>
        <w:rPr>
          <w:b/>
          <w:spacing w:val="-4"/>
          <w:sz w:val="22"/>
        </w:rPr>
        <w:t> </w:t>
      </w:r>
      <w:r>
        <w:rPr>
          <w:b/>
          <w:sz w:val="22"/>
        </w:rPr>
        <w:t>a</w:t>
      </w:r>
      <w:r>
        <w:rPr>
          <w:b/>
          <w:spacing w:val="-4"/>
          <w:sz w:val="22"/>
        </w:rPr>
        <w:t> </w:t>
      </w:r>
      <w:r>
        <w:rPr>
          <w:b/>
          <w:sz w:val="22"/>
        </w:rPr>
        <w:t>la</w:t>
      </w:r>
      <w:r>
        <w:rPr>
          <w:b/>
          <w:spacing w:val="-2"/>
          <w:sz w:val="22"/>
        </w:rPr>
        <w:t> </w:t>
      </w:r>
      <w:r>
        <w:rPr>
          <w:b/>
          <w:sz w:val="22"/>
        </w:rPr>
        <w:t>Ley</w:t>
      </w:r>
      <w:r>
        <w:rPr>
          <w:b/>
          <w:spacing w:val="-4"/>
          <w:sz w:val="22"/>
        </w:rPr>
        <w:t> </w:t>
      </w:r>
      <w:r>
        <w:rPr>
          <w:b/>
          <w:sz w:val="22"/>
        </w:rPr>
        <w:t>de</w:t>
      </w:r>
      <w:r>
        <w:rPr>
          <w:b/>
          <w:spacing w:val="-5"/>
          <w:sz w:val="22"/>
        </w:rPr>
        <w:t> </w:t>
      </w:r>
      <w:r>
        <w:rPr>
          <w:b/>
          <w:sz w:val="22"/>
        </w:rPr>
        <w:t>Creación</w:t>
      </w:r>
      <w:r>
        <w:rPr>
          <w:b/>
          <w:spacing w:val="-4"/>
          <w:sz w:val="22"/>
        </w:rPr>
        <w:t> </w:t>
      </w:r>
      <w:r>
        <w:rPr>
          <w:b/>
          <w:sz w:val="22"/>
        </w:rPr>
        <w:t>del Régimen</w:t>
      </w:r>
      <w:r>
        <w:rPr>
          <w:b/>
          <w:spacing w:val="-6"/>
          <w:sz w:val="22"/>
        </w:rPr>
        <w:t> </w:t>
      </w:r>
      <w:r>
        <w:rPr>
          <w:b/>
          <w:sz w:val="22"/>
        </w:rPr>
        <w:t>Especial</w:t>
      </w:r>
      <w:r>
        <w:rPr>
          <w:b/>
          <w:spacing w:val="-1"/>
          <w:sz w:val="22"/>
        </w:rPr>
        <w:t> </w:t>
      </w:r>
      <w:r>
        <w:rPr>
          <w:b/>
          <w:sz w:val="22"/>
        </w:rPr>
        <w:t>de</w:t>
      </w:r>
      <w:r>
        <w:rPr>
          <w:b/>
          <w:spacing w:val="-5"/>
          <w:sz w:val="22"/>
        </w:rPr>
        <w:t> </w:t>
      </w:r>
      <w:r>
        <w:rPr>
          <w:b/>
          <w:sz w:val="22"/>
        </w:rPr>
        <w:t>Viviendas</w:t>
      </w:r>
      <w:r>
        <w:rPr>
          <w:b/>
          <w:spacing w:val="-4"/>
          <w:sz w:val="22"/>
        </w:rPr>
        <w:t> </w:t>
      </w:r>
      <w:r>
        <w:rPr>
          <w:b/>
          <w:sz w:val="22"/>
        </w:rPr>
        <w:t>Comunitarias para Garantizar el acceso al Derecho a la Vivienda de la Persona Adulta Mayor </w:t>
      </w:r>
      <w:r>
        <w:rPr>
          <w:sz w:val="22"/>
        </w:rPr>
        <w:t>en condición de vulnerabilidad Regular y establecer las normas para la tramitación, operación y el financiamiento de los proyectos de vivienda bajo el programa de vivienda</w:t>
      </w:r>
    </w:p>
    <w:p>
      <w:pPr>
        <w:spacing w:after="0"/>
        <w:jc w:val="both"/>
        <w:rPr>
          <w:sz w:val="22"/>
        </w:rPr>
        <w:sectPr>
          <w:pgSz w:w="12240" w:h="15840"/>
          <w:pgMar w:header="0" w:footer="1576" w:top="1000" w:bottom="1760" w:left="360" w:right="0"/>
        </w:sectPr>
      </w:pPr>
    </w:p>
    <w:p>
      <w:pPr>
        <w:pStyle w:val="BodyText"/>
        <w:spacing w:before="77"/>
        <w:ind w:left="1625" w:right="1606"/>
        <w:jc w:val="both"/>
      </w:pPr>
      <w:r>
        <w:rPr/>
        <w:t>comunitaria y el trámite para el otorgamiento del subsidio para este programa en el Sistema Financiero Nacional para la Vivienda (SFNV), destinado a personas adultas mayores autovalentes y en condición de vulnerabilidad. Fecha de vigencia 18/10/2023.</w:t>
      </w:r>
    </w:p>
    <w:p>
      <w:pPr>
        <w:pStyle w:val="BodyText"/>
        <w:spacing w:before="252"/>
        <w:ind w:left="1625" w:right="1602"/>
        <w:jc w:val="both"/>
      </w:pPr>
      <w:r>
        <w:rPr>
          <w:b/>
        </w:rPr>
        <w:t>Reglamento a la Ley de Creación del SINCA </w:t>
      </w:r>
      <w:r>
        <w:rPr/>
        <w:t>(Decreto N°44242 MDHIS-MTSS-MP) facilita el acceso a los servicios y apoyos para los cuidados básicos de la vida diaria de las personas adultas y adultas mayores en situación de dependencia, así como para las personas cuidadoras mediante la organización, funcionamiento, y las diferentes relaciones que se desarrollan en el SINCA. Fecha de vigencia 08/11/2023.</w:t>
      </w:r>
    </w:p>
    <w:p>
      <w:pPr>
        <w:pStyle w:val="BodyText"/>
        <w:spacing w:before="1"/>
      </w:pPr>
    </w:p>
    <w:p>
      <w:pPr>
        <w:pStyle w:val="BodyText"/>
        <w:spacing w:before="1"/>
        <w:ind w:left="1625" w:right="1604"/>
        <w:jc w:val="both"/>
      </w:pPr>
      <w:r>
        <w:rPr>
          <w:b/>
        </w:rPr>
        <w:t>Reglamento a la Ley de Creación del SINCA </w:t>
      </w:r>
      <w:r>
        <w:rPr/>
        <w:t>(Decreto N°44242-MDHIS-MTSS-MP). Facilita el acceso a los servicios y apoyos para los cuidados básicos de la vida diaria de las personas adultas y adultas mayores en situación de dependencia, así como para las personas cuidadoras mediante la organización, funcionamiento, y las diferentes relaciones que se desarrollan en el SINCA. Fecha de vigencia 08/11/2023.</w:t>
      </w:r>
    </w:p>
    <w:p>
      <w:pPr>
        <w:spacing w:before="252"/>
        <w:ind w:left="1625" w:right="1602" w:firstLine="0"/>
        <w:jc w:val="both"/>
        <w:rPr>
          <w:sz w:val="22"/>
        </w:rPr>
      </w:pPr>
      <w:r>
        <w:rPr>
          <w:b/>
          <w:sz w:val="22"/>
        </w:rPr>
        <w:t>Reglamento</w:t>
      </w:r>
      <w:r>
        <w:rPr>
          <w:b/>
          <w:spacing w:val="-16"/>
          <w:sz w:val="22"/>
        </w:rPr>
        <w:t> </w:t>
      </w:r>
      <w:r>
        <w:rPr>
          <w:b/>
          <w:sz w:val="22"/>
        </w:rPr>
        <w:t>para</w:t>
      </w:r>
      <w:r>
        <w:rPr>
          <w:b/>
          <w:spacing w:val="-15"/>
          <w:sz w:val="22"/>
        </w:rPr>
        <w:t> </w:t>
      </w:r>
      <w:r>
        <w:rPr>
          <w:b/>
          <w:sz w:val="22"/>
        </w:rPr>
        <w:t>la</w:t>
      </w:r>
      <w:r>
        <w:rPr>
          <w:b/>
          <w:spacing w:val="-15"/>
          <w:sz w:val="22"/>
        </w:rPr>
        <w:t> </w:t>
      </w:r>
      <w:r>
        <w:rPr>
          <w:b/>
          <w:sz w:val="22"/>
        </w:rPr>
        <w:t>Prestación</w:t>
      </w:r>
      <w:r>
        <w:rPr>
          <w:b/>
          <w:spacing w:val="-16"/>
          <w:sz w:val="22"/>
        </w:rPr>
        <w:t> </w:t>
      </w:r>
      <w:r>
        <w:rPr>
          <w:b/>
          <w:sz w:val="22"/>
        </w:rPr>
        <w:t>y</w:t>
      </w:r>
      <w:r>
        <w:rPr>
          <w:b/>
          <w:spacing w:val="-15"/>
          <w:sz w:val="22"/>
        </w:rPr>
        <w:t> </w:t>
      </w:r>
      <w:r>
        <w:rPr>
          <w:b/>
          <w:sz w:val="22"/>
        </w:rPr>
        <w:t>otorgamiento</w:t>
      </w:r>
      <w:r>
        <w:rPr>
          <w:b/>
          <w:spacing w:val="-15"/>
          <w:sz w:val="22"/>
        </w:rPr>
        <w:t> </w:t>
      </w:r>
      <w:r>
        <w:rPr>
          <w:b/>
          <w:sz w:val="22"/>
        </w:rPr>
        <w:t>de</w:t>
      </w:r>
      <w:r>
        <w:rPr>
          <w:b/>
          <w:spacing w:val="-15"/>
          <w:sz w:val="22"/>
        </w:rPr>
        <w:t> </w:t>
      </w:r>
      <w:r>
        <w:rPr>
          <w:b/>
          <w:sz w:val="22"/>
        </w:rPr>
        <w:t>beneficios</w:t>
      </w:r>
      <w:r>
        <w:rPr>
          <w:b/>
          <w:spacing w:val="-16"/>
          <w:sz w:val="22"/>
        </w:rPr>
        <w:t> </w:t>
      </w:r>
      <w:r>
        <w:rPr>
          <w:b/>
          <w:sz w:val="22"/>
        </w:rPr>
        <w:t>del</w:t>
      </w:r>
      <w:r>
        <w:rPr>
          <w:b/>
          <w:spacing w:val="-15"/>
          <w:sz w:val="22"/>
        </w:rPr>
        <w:t> </w:t>
      </w:r>
      <w:r>
        <w:rPr>
          <w:b/>
          <w:sz w:val="22"/>
        </w:rPr>
        <w:t>Fideicomiso</w:t>
      </w:r>
      <w:r>
        <w:rPr>
          <w:b/>
          <w:spacing w:val="-15"/>
          <w:sz w:val="22"/>
        </w:rPr>
        <w:t> </w:t>
      </w:r>
      <w:r>
        <w:rPr>
          <w:b/>
          <w:sz w:val="22"/>
        </w:rPr>
        <w:t>Banco de Costa Rica - IMAS-BANACIO/73-2002</w:t>
      </w:r>
      <w:r>
        <w:rPr>
          <w:sz w:val="22"/>
        </w:rPr>
        <w:t>. El propósito de este Reglamento es normar de manera específica las reglas que obligatoriamente deberán observarse en la prestación y otorgamiento de los beneficios de FIDEIMAS, entiéndase por estos: otorgamiento de avales (garantía), prestación de servicios de apoyo, otorgamiento de crédito y transferencias de capital semilla. Fecha de vigencia 06/06/2024.</w:t>
      </w:r>
    </w:p>
    <w:p>
      <w:pPr>
        <w:pStyle w:val="BodyText"/>
      </w:pPr>
    </w:p>
    <w:p>
      <w:pPr>
        <w:spacing w:before="0"/>
        <w:ind w:left="1625" w:right="1599" w:firstLine="0"/>
        <w:jc w:val="both"/>
        <w:rPr>
          <w:sz w:val="22"/>
        </w:rPr>
      </w:pPr>
      <w:r>
        <w:rPr>
          <w:b/>
          <w:sz w:val="22"/>
        </w:rPr>
        <w:t>Reglamento para Regular el Servicio de Transporte en el IMAS v.2. ACD°149-02-2024. </w:t>
      </w:r>
      <w:r>
        <w:rPr>
          <w:sz w:val="22"/>
        </w:rPr>
        <w:t>Establecer las disposiciones para la administración y prestación del servicio de transportes</w:t>
      </w:r>
      <w:r>
        <w:rPr>
          <w:spacing w:val="-2"/>
          <w:sz w:val="22"/>
        </w:rPr>
        <w:t> </w:t>
      </w:r>
      <w:r>
        <w:rPr>
          <w:sz w:val="22"/>
        </w:rPr>
        <w:t>en el</w:t>
      </w:r>
      <w:r>
        <w:rPr>
          <w:spacing w:val="-3"/>
          <w:sz w:val="22"/>
        </w:rPr>
        <w:t> </w:t>
      </w:r>
      <w:r>
        <w:rPr>
          <w:sz w:val="22"/>
        </w:rPr>
        <w:t>Instituto Mixto</w:t>
      </w:r>
      <w:r>
        <w:rPr>
          <w:spacing w:val="-2"/>
          <w:sz w:val="22"/>
        </w:rPr>
        <w:t> </w:t>
      </w:r>
      <w:r>
        <w:rPr>
          <w:sz w:val="22"/>
        </w:rPr>
        <w:t>de Ayuda Social, acordes</w:t>
      </w:r>
      <w:r>
        <w:rPr>
          <w:spacing w:val="-1"/>
          <w:sz w:val="22"/>
        </w:rPr>
        <w:t> </w:t>
      </w:r>
      <w:r>
        <w:rPr>
          <w:sz w:val="22"/>
        </w:rPr>
        <w:t>con el</w:t>
      </w:r>
      <w:r>
        <w:rPr>
          <w:spacing w:val="-1"/>
          <w:sz w:val="22"/>
        </w:rPr>
        <w:t> </w:t>
      </w:r>
      <w:r>
        <w:rPr>
          <w:sz w:val="22"/>
        </w:rPr>
        <w:t>ordenamiento jurídico y el</w:t>
      </w:r>
      <w:r>
        <w:rPr>
          <w:spacing w:val="-3"/>
          <w:sz w:val="22"/>
        </w:rPr>
        <w:t> </w:t>
      </w:r>
      <w:r>
        <w:rPr>
          <w:sz w:val="22"/>
        </w:rPr>
        <w:t>fin</w:t>
      </w:r>
      <w:r>
        <w:rPr>
          <w:spacing w:val="-4"/>
          <w:sz w:val="22"/>
        </w:rPr>
        <w:t> </w:t>
      </w:r>
      <w:r>
        <w:rPr>
          <w:sz w:val="22"/>
        </w:rPr>
        <w:t>público</w:t>
      </w:r>
      <w:r>
        <w:rPr>
          <w:spacing w:val="-2"/>
          <w:sz w:val="22"/>
        </w:rPr>
        <w:t> </w:t>
      </w:r>
      <w:r>
        <w:rPr>
          <w:sz w:val="22"/>
        </w:rPr>
        <w:t>que</w:t>
      </w:r>
      <w:r>
        <w:rPr>
          <w:spacing w:val="-4"/>
          <w:sz w:val="22"/>
        </w:rPr>
        <w:t> </w:t>
      </w:r>
      <w:r>
        <w:rPr>
          <w:sz w:val="22"/>
        </w:rPr>
        <w:t>persigue</w:t>
      </w:r>
      <w:r>
        <w:rPr>
          <w:spacing w:val="-2"/>
          <w:sz w:val="22"/>
        </w:rPr>
        <w:t> </w:t>
      </w:r>
      <w:r>
        <w:rPr>
          <w:sz w:val="22"/>
        </w:rPr>
        <w:t>la</w:t>
      </w:r>
      <w:r>
        <w:rPr>
          <w:spacing w:val="-4"/>
          <w:sz w:val="22"/>
        </w:rPr>
        <w:t> </w:t>
      </w:r>
      <w:r>
        <w:rPr>
          <w:sz w:val="22"/>
        </w:rPr>
        <w:t>Institución</w:t>
      </w:r>
      <w:r>
        <w:rPr>
          <w:spacing w:val="-4"/>
          <w:sz w:val="22"/>
        </w:rPr>
        <w:t> </w:t>
      </w:r>
      <w:r>
        <w:rPr>
          <w:sz w:val="22"/>
        </w:rPr>
        <w:t>sobre</w:t>
      </w:r>
      <w:r>
        <w:rPr>
          <w:spacing w:val="-4"/>
          <w:sz w:val="22"/>
        </w:rPr>
        <w:t> </w:t>
      </w:r>
      <w:r>
        <w:rPr>
          <w:sz w:val="22"/>
        </w:rPr>
        <w:t>el</w:t>
      </w:r>
      <w:r>
        <w:rPr>
          <w:spacing w:val="-3"/>
          <w:sz w:val="22"/>
        </w:rPr>
        <w:t> </w:t>
      </w:r>
      <w:r>
        <w:rPr>
          <w:sz w:val="22"/>
        </w:rPr>
        <w:t>uso</w:t>
      </w:r>
      <w:r>
        <w:rPr>
          <w:spacing w:val="-2"/>
          <w:sz w:val="22"/>
        </w:rPr>
        <w:t> </w:t>
      </w:r>
      <w:r>
        <w:rPr>
          <w:sz w:val="22"/>
        </w:rPr>
        <w:t>racional</w:t>
      </w:r>
      <w:r>
        <w:rPr>
          <w:spacing w:val="-3"/>
          <w:sz w:val="22"/>
        </w:rPr>
        <w:t> </w:t>
      </w:r>
      <w:r>
        <w:rPr>
          <w:sz w:val="22"/>
        </w:rPr>
        <w:t>y</w:t>
      </w:r>
      <w:r>
        <w:rPr>
          <w:spacing w:val="-4"/>
          <w:sz w:val="22"/>
        </w:rPr>
        <w:t> </w:t>
      </w:r>
      <w:r>
        <w:rPr>
          <w:sz w:val="22"/>
        </w:rPr>
        <w:t>adecuado</w:t>
      </w:r>
      <w:r>
        <w:rPr>
          <w:spacing w:val="-4"/>
          <w:sz w:val="22"/>
        </w:rPr>
        <w:t> </w:t>
      </w:r>
      <w:r>
        <w:rPr>
          <w:sz w:val="22"/>
        </w:rPr>
        <w:t>de</w:t>
      </w:r>
      <w:r>
        <w:rPr>
          <w:spacing w:val="-2"/>
          <w:sz w:val="22"/>
        </w:rPr>
        <w:t> </w:t>
      </w:r>
      <w:r>
        <w:rPr>
          <w:sz w:val="22"/>
        </w:rPr>
        <w:t>los</w:t>
      </w:r>
      <w:r>
        <w:rPr>
          <w:spacing w:val="-4"/>
          <w:sz w:val="22"/>
        </w:rPr>
        <w:t> </w:t>
      </w:r>
      <w:r>
        <w:rPr>
          <w:sz w:val="22"/>
        </w:rPr>
        <w:t>bienes</w:t>
      </w:r>
      <w:r>
        <w:rPr>
          <w:spacing w:val="-2"/>
          <w:sz w:val="22"/>
        </w:rPr>
        <w:t> </w:t>
      </w:r>
      <w:r>
        <w:rPr>
          <w:sz w:val="22"/>
        </w:rPr>
        <w:t>y fondos públicos asociados. Fecha de vigencia 22/08/2024.</w:t>
      </w:r>
    </w:p>
    <w:p>
      <w:pPr>
        <w:pStyle w:val="BodyText"/>
        <w:spacing w:before="2"/>
      </w:pPr>
    </w:p>
    <w:p>
      <w:pPr>
        <w:pStyle w:val="BodyText"/>
        <w:ind w:left="1625" w:right="1600"/>
        <w:jc w:val="both"/>
      </w:pPr>
      <w:r>
        <w:rPr>
          <w:b/>
        </w:rPr>
        <w:t>Reglamento</w:t>
      </w:r>
      <w:r>
        <w:rPr>
          <w:b/>
          <w:spacing w:val="-16"/>
        </w:rPr>
        <w:t> </w:t>
      </w:r>
      <w:r>
        <w:rPr>
          <w:b/>
        </w:rPr>
        <w:t>para</w:t>
      </w:r>
      <w:r>
        <w:rPr>
          <w:b/>
          <w:spacing w:val="-15"/>
        </w:rPr>
        <w:t> </w:t>
      </w:r>
      <w:r>
        <w:rPr>
          <w:b/>
        </w:rPr>
        <w:t>la</w:t>
      </w:r>
      <w:r>
        <w:rPr>
          <w:b/>
          <w:spacing w:val="-15"/>
        </w:rPr>
        <w:t> </w:t>
      </w:r>
      <w:r>
        <w:rPr>
          <w:b/>
        </w:rPr>
        <w:t>administración</w:t>
      </w:r>
      <w:r>
        <w:rPr>
          <w:b/>
          <w:spacing w:val="-16"/>
        </w:rPr>
        <w:t> </w:t>
      </w:r>
      <w:r>
        <w:rPr>
          <w:b/>
        </w:rPr>
        <w:t>y</w:t>
      </w:r>
      <w:r>
        <w:rPr>
          <w:b/>
          <w:spacing w:val="-15"/>
        </w:rPr>
        <w:t> </w:t>
      </w:r>
      <w:r>
        <w:rPr>
          <w:b/>
        </w:rPr>
        <w:t>uso</w:t>
      </w:r>
      <w:r>
        <w:rPr>
          <w:b/>
          <w:spacing w:val="-15"/>
        </w:rPr>
        <w:t> </w:t>
      </w:r>
      <w:r>
        <w:rPr>
          <w:b/>
        </w:rPr>
        <w:t>de</w:t>
      </w:r>
      <w:r>
        <w:rPr>
          <w:b/>
          <w:spacing w:val="-15"/>
        </w:rPr>
        <w:t> </w:t>
      </w:r>
      <w:r>
        <w:rPr>
          <w:b/>
        </w:rPr>
        <w:t>los</w:t>
      </w:r>
      <w:r>
        <w:rPr>
          <w:b/>
          <w:spacing w:val="-16"/>
        </w:rPr>
        <w:t> </w:t>
      </w:r>
      <w:r>
        <w:rPr>
          <w:b/>
        </w:rPr>
        <w:t>fondos</w:t>
      </w:r>
      <w:r>
        <w:rPr>
          <w:b/>
          <w:spacing w:val="-15"/>
        </w:rPr>
        <w:t> </w:t>
      </w:r>
      <w:r>
        <w:rPr>
          <w:b/>
        </w:rPr>
        <w:t>fijos</w:t>
      </w:r>
      <w:r>
        <w:rPr>
          <w:b/>
          <w:spacing w:val="-15"/>
        </w:rPr>
        <w:t> </w:t>
      </w:r>
      <w:r>
        <w:rPr>
          <w:b/>
        </w:rPr>
        <w:t>Institucionales</w:t>
      </w:r>
      <w:r>
        <w:rPr>
          <w:b/>
          <w:spacing w:val="-16"/>
        </w:rPr>
        <w:t> </w:t>
      </w:r>
      <w:r>
        <w:rPr>
          <w:b/>
        </w:rPr>
        <w:t>v.2</w:t>
      </w:r>
      <w:r>
        <w:rPr>
          <w:b/>
          <w:spacing w:val="-15"/>
        </w:rPr>
        <w:t> </w:t>
      </w:r>
      <w:r>
        <w:rPr>
          <w:b/>
        </w:rPr>
        <w:t>ACD </w:t>
      </w:r>
      <w:r>
        <w:rPr/>
        <w:t>N° 15-08-20234. Establecer las disposiciones para la administración</w:t>
      </w:r>
      <w:r>
        <w:rPr>
          <w:spacing w:val="-1"/>
        </w:rPr>
        <w:t> </w:t>
      </w:r>
      <w:r>
        <w:rPr/>
        <w:t>y uso</w:t>
      </w:r>
      <w:r>
        <w:rPr>
          <w:spacing w:val="-3"/>
        </w:rPr>
        <w:t> </w:t>
      </w:r>
      <w:r>
        <w:rPr/>
        <w:t>de</w:t>
      </w:r>
      <w:r>
        <w:rPr>
          <w:spacing w:val="-1"/>
        </w:rPr>
        <w:t> </w:t>
      </w:r>
      <w:r>
        <w:rPr/>
        <w:t>los fondos fijos en el Instituto Mixto de Ayuda Social, órganos adscritos y Empresas Comerciales, acordes con el ordenamiento jurídico y el fin público que persigue la Institución sobre el uso racional y adecuado de los fondos públicos, se hace el cambio de nomenclatura de las dependencias (conforme a la Directriz de la Gerencia General MAS-GG-1274-2023) así mismo se da cumplimiento al Informe AUD-005-2024 denominado “Informe de los resultados</w:t>
      </w:r>
      <w:r>
        <w:rPr>
          <w:spacing w:val="-10"/>
        </w:rPr>
        <w:t> </w:t>
      </w:r>
      <w:r>
        <w:rPr/>
        <w:t>obtenidos</w:t>
      </w:r>
      <w:r>
        <w:rPr>
          <w:spacing w:val="-9"/>
        </w:rPr>
        <w:t> </w:t>
      </w:r>
      <w:r>
        <w:rPr/>
        <w:t>en</w:t>
      </w:r>
      <w:r>
        <w:rPr>
          <w:spacing w:val="-10"/>
        </w:rPr>
        <w:t> </w:t>
      </w:r>
      <w:r>
        <w:rPr/>
        <w:t>el</w:t>
      </w:r>
      <w:r>
        <w:rPr>
          <w:spacing w:val="-8"/>
        </w:rPr>
        <w:t> </w:t>
      </w:r>
      <w:r>
        <w:rPr/>
        <w:t>Estudio</w:t>
      </w:r>
      <w:r>
        <w:rPr>
          <w:spacing w:val="-7"/>
        </w:rPr>
        <w:t> </w:t>
      </w:r>
      <w:r>
        <w:rPr/>
        <w:t>sobre</w:t>
      </w:r>
      <w:r>
        <w:rPr>
          <w:spacing w:val="-7"/>
        </w:rPr>
        <w:t> </w:t>
      </w:r>
      <w:r>
        <w:rPr/>
        <w:t>la</w:t>
      </w:r>
      <w:r>
        <w:rPr>
          <w:spacing w:val="-10"/>
        </w:rPr>
        <w:t> </w:t>
      </w:r>
      <w:r>
        <w:rPr/>
        <w:t>Evaluación</w:t>
      </w:r>
      <w:r>
        <w:rPr>
          <w:spacing w:val="-8"/>
        </w:rPr>
        <w:t> </w:t>
      </w:r>
      <w:r>
        <w:rPr/>
        <w:t>del</w:t>
      </w:r>
      <w:r>
        <w:rPr>
          <w:spacing w:val="-8"/>
        </w:rPr>
        <w:t> </w:t>
      </w:r>
      <w:r>
        <w:rPr/>
        <w:t>funcionamiento</w:t>
      </w:r>
      <w:r>
        <w:rPr>
          <w:spacing w:val="-9"/>
        </w:rPr>
        <w:t> </w:t>
      </w:r>
      <w:r>
        <w:rPr/>
        <w:t>del</w:t>
      </w:r>
      <w:r>
        <w:rPr>
          <w:spacing w:val="-8"/>
        </w:rPr>
        <w:t> </w:t>
      </w:r>
      <w:r>
        <w:rPr/>
        <w:t>Fondo</w:t>
      </w:r>
      <w:r>
        <w:rPr>
          <w:spacing w:val="-10"/>
        </w:rPr>
        <w:t> </w:t>
      </w:r>
      <w:r>
        <w:rPr/>
        <w:t>Fijo del Departamento de Empresas Comerciales. Fecha de vigencia 29/08/2024.</w:t>
      </w:r>
    </w:p>
    <w:p>
      <w:pPr>
        <w:pStyle w:val="BodyText"/>
      </w:pPr>
    </w:p>
    <w:p>
      <w:pPr>
        <w:pStyle w:val="BodyText"/>
        <w:ind w:left="1625" w:right="1607"/>
        <w:jc w:val="both"/>
      </w:pPr>
      <w:r>
        <w:rPr>
          <w:b/>
        </w:rPr>
        <w:t>Reglamento Ley N° 9943 </w:t>
      </w:r>
      <w:r>
        <w:rPr/>
        <w:t>El presente reglamento tiene por objeto complementar, desarrollar y precisar los preceptos, principios y disposiciones contenidos en la Ley n. º 9943 "Creación de la Agencia Nacional de Gobierno Digital", para su debida aplicación, ejecución y observancia. Fecha de vigencia 30/08/2024.</w:t>
      </w:r>
    </w:p>
    <w:p>
      <w:pPr>
        <w:pStyle w:val="BodyText"/>
      </w:pPr>
    </w:p>
    <w:p>
      <w:pPr>
        <w:pStyle w:val="BodyText"/>
        <w:ind w:left="1625" w:right="1601"/>
        <w:jc w:val="both"/>
      </w:pPr>
      <w:r>
        <w:rPr>
          <w:b/>
        </w:rPr>
        <w:t>Reglamento para regular el servicio de transporte en el IMAS v.2: </w:t>
      </w:r>
      <w:r>
        <w:rPr/>
        <w:t>Establecer las regulaciones que faciliten al personal del IMAS, incluye una mejora operativa en el </w:t>
      </w:r>
      <w:r>
        <w:rPr>
          <w:spacing w:val="-2"/>
        </w:rPr>
        <w:t>Artículo</w:t>
      </w:r>
      <w:r>
        <w:rPr>
          <w:spacing w:val="-3"/>
        </w:rPr>
        <w:t> </w:t>
      </w:r>
      <w:r>
        <w:rPr>
          <w:spacing w:val="-2"/>
        </w:rPr>
        <w:t>23</w:t>
      </w:r>
      <w:r>
        <w:rPr>
          <w:spacing w:val="-7"/>
        </w:rPr>
        <w:t> </w:t>
      </w:r>
      <w:r>
        <w:rPr>
          <w:spacing w:val="-2"/>
        </w:rPr>
        <w:t>y</w:t>
      </w:r>
      <w:r>
        <w:rPr>
          <w:spacing w:val="-6"/>
        </w:rPr>
        <w:t> </w:t>
      </w:r>
      <w:r>
        <w:rPr>
          <w:spacing w:val="-2"/>
        </w:rPr>
        <w:t>se</w:t>
      </w:r>
      <w:r>
        <w:rPr>
          <w:spacing w:val="-7"/>
        </w:rPr>
        <w:t> </w:t>
      </w:r>
      <w:r>
        <w:rPr>
          <w:spacing w:val="-2"/>
        </w:rPr>
        <w:t>incluyen</w:t>
      </w:r>
      <w:r>
        <w:rPr>
          <w:spacing w:val="-9"/>
        </w:rPr>
        <w:t> </w:t>
      </w:r>
      <w:r>
        <w:rPr>
          <w:spacing w:val="-2"/>
        </w:rPr>
        <w:t>nuevas</w:t>
      </w:r>
      <w:r>
        <w:rPr>
          <w:spacing w:val="-3"/>
        </w:rPr>
        <w:t> </w:t>
      </w:r>
      <w:r>
        <w:rPr>
          <w:spacing w:val="-2"/>
        </w:rPr>
        <w:t>prohibiciones</w:t>
      </w:r>
      <w:r>
        <w:rPr>
          <w:spacing w:val="-3"/>
        </w:rPr>
        <w:t> </w:t>
      </w:r>
      <w:r>
        <w:rPr>
          <w:spacing w:val="-2"/>
        </w:rPr>
        <w:t>y</w:t>
      </w:r>
      <w:r>
        <w:rPr>
          <w:spacing w:val="-6"/>
        </w:rPr>
        <w:t> </w:t>
      </w:r>
      <w:r>
        <w:rPr>
          <w:spacing w:val="-2"/>
        </w:rPr>
        <w:t>obligaciones</w:t>
      </w:r>
      <w:r>
        <w:rPr>
          <w:spacing w:val="-3"/>
        </w:rPr>
        <w:t> </w:t>
      </w:r>
      <w:r>
        <w:rPr>
          <w:spacing w:val="-2"/>
        </w:rPr>
        <w:t>para</w:t>
      </w:r>
      <w:r>
        <w:rPr>
          <w:spacing w:val="-7"/>
        </w:rPr>
        <w:t> </w:t>
      </w:r>
      <w:r>
        <w:rPr>
          <w:spacing w:val="-2"/>
        </w:rPr>
        <w:t>las</w:t>
      </w:r>
      <w:r>
        <w:rPr>
          <w:spacing w:val="-3"/>
        </w:rPr>
        <w:t> </w:t>
      </w:r>
      <w:r>
        <w:rPr>
          <w:spacing w:val="-2"/>
        </w:rPr>
        <w:t>diferentes</w:t>
      </w:r>
      <w:r>
        <w:rPr>
          <w:spacing w:val="-7"/>
        </w:rPr>
        <w:t> </w:t>
      </w:r>
      <w:r>
        <w:rPr>
          <w:spacing w:val="-2"/>
        </w:rPr>
        <w:t>estancias </w:t>
      </w:r>
      <w:r>
        <w:rPr/>
        <w:t>institucionales</w:t>
      </w:r>
      <w:r>
        <w:rPr>
          <w:spacing w:val="-2"/>
        </w:rPr>
        <w:t> </w:t>
      </w:r>
      <w:r>
        <w:rPr/>
        <w:t>para</w:t>
      </w:r>
      <w:r>
        <w:rPr>
          <w:spacing w:val="-2"/>
        </w:rPr>
        <w:t> </w:t>
      </w:r>
      <w:r>
        <w:rPr/>
        <w:t>la</w:t>
      </w:r>
      <w:r>
        <w:rPr>
          <w:spacing w:val="-2"/>
        </w:rPr>
        <w:t> </w:t>
      </w:r>
      <w:r>
        <w:rPr/>
        <w:t>realización</w:t>
      </w:r>
      <w:r>
        <w:rPr>
          <w:spacing w:val="-2"/>
        </w:rPr>
        <w:t> </w:t>
      </w:r>
      <w:r>
        <w:rPr/>
        <w:t>de</w:t>
      </w:r>
      <w:r>
        <w:rPr>
          <w:spacing w:val="-2"/>
        </w:rPr>
        <w:t> </w:t>
      </w:r>
      <w:r>
        <w:rPr/>
        <w:t>las</w:t>
      </w:r>
      <w:r>
        <w:rPr>
          <w:spacing w:val="-2"/>
        </w:rPr>
        <w:t> </w:t>
      </w:r>
      <w:r>
        <w:rPr/>
        <w:t>tareas</w:t>
      </w:r>
      <w:r>
        <w:rPr>
          <w:spacing w:val="-2"/>
        </w:rPr>
        <w:t> </w:t>
      </w:r>
      <w:r>
        <w:rPr/>
        <w:t>que</w:t>
      </w:r>
      <w:r>
        <w:rPr>
          <w:spacing w:val="-2"/>
        </w:rPr>
        <w:t> </w:t>
      </w:r>
      <w:r>
        <w:rPr/>
        <w:t>materialicen</w:t>
      </w:r>
      <w:r>
        <w:rPr>
          <w:spacing w:val="-2"/>
        </w:rPr>
        <w:t> </w:t>
      </w:r>
      <w:r>
        <w:rPr/>
        <w:t>el</w:t>
      </w:r>
      <w:r>
        <w:rPr>
          <w:spacing w:val="-2"/>
        </w:rPr>
        <w:t> </w:t>
      </w:r>
      <w:r>
        <w:rPr/>
        <w:t>combate</w:t>
      </w:r>
      <w:r>
        <w:rPr>
          <w:spacing w:val="-2"/>
        </w:rPr>
        <w:t> </w:t>
      </w:r>
      <w:r>
        <w:rPr/>
        <w:t>a</w:t>
      </w:r>
      <w:r>
        <w:rPr>
          <w:spacing w:val="-1"/>
        </w:rPr>
        <w:t> </w:t>
      </w:r>
      <w:r>
        <w:rPr/>
        <w:t>la</w:t>
      </w:r>
      <w:r>
        <w:rPr>
          <w:spacing w:val="-2"/>
        </w:rPr>
        <w:t> </w:t>
      </w:r>
      <w:r>
        <w:rPr/>
        <w:t>pobreza por</w:t>
      </w:r>
      <w:r>
        <w:rPr>
          <w:spacing w:val="-16"/>
        </w:rPr>
        <w:t> </w:t>
      </w:r>
      <w:r>
        <w:rPr/>
        <w:t>medio</w:t>
      </w:r>
      <w:r>
        <w:rPr>
          <w:spacing w:val="-15"/>
        </w:rPr>
        <w:t> </w:t>
      </w:r>
      <w:r>
        <w:rPr/>
        <w:t>de</w:t>
      </w:r>
      <w:r>
        <w:rPr>
          <w:spacing w:val="-15"/>
        </w:rPr>
        <w:t> </w:t>
      </w:r>
      <w:r>
        <w:rPr/>
        <w:t>la</w:t>
      </w:r>
      <w:r>
        <w:rPr>
          <w:spacing w:val="-16"/>
        </w:rPr>
        <w:t> </w:t>
      </w:r>
      <w:r>
        <w:rPr/>
        <w:t>prestación</w:t>
      </w:r>
      <w:r>
        <w:rPr>
          <w:spacing w:val="-14"/>
        </w:rPr>
        <w:t> </w:t>
      </w:r>
      <w:r>
        <w:rPr/>
        <w:t>de</w:t>
      </w:r>
      <w:r>
        <w:rPr>
          <w:spacing w:val="-14"/>
        </w:rPr>
        <w:t> </w:t>
      </w:r>
      <w:r>
        <w:rPr/>
        <w:t>servicios</w:t>
      </w:r>
      <w:r>
        <w:rPr>
          <w:spacing w:val="-14"/>
        </w:rPr>
        <w:t> </w:t>
      </w:r>
      <w:r>
        <w:rPr/>
        <w:t>de</w:t>
      </w:r>
      <w:r>
        <w:rPr>
          <w:spacing w:val="-15"/>
        </w:rPr>
        <w:t> </w:t>
      </w:r>
      <w:r>
        <w:rPr/>
        <w:t>transporte</w:t>
      </w:r>
      <w:r>
        <w:rPr>
          <w:spacing w:val="-16"/>
        </w:rPr>
        <w:t> </w:t>
      </w:r>
      <w:r>
        <w:rPr/>
        <w:t>interno</w:t>
      </w:r>
      <w:r>
        <w:rPr>
          <w:spacing w:val="-15"/>
        </w:rPr>
        <w:t> </w:t>
      </w:r>
      <w:r>
        <w:rPr/>
        <w:t>eficientes.</w:t>
      </w:r>
      <w:r>
        <w:rPr>
          <w:spacing w:val="-15"/>
        </w:rPr>
        <w:t> </w:t>
      </w:r>
      <w:r>
        <w:rPr/>
        <w:t>Fecha</w:t>
      </w:r>
      <w:r>
        <w:rPr>
          <w:spacing w:val="-14"/>
        </w:rPr>
        <w:t> </w:t>
      </w:r>
      <w:r>
        <w:rPr/>
        <w:t>de</w:t>
      </w:r>
      <w:r>
        <w:rPr>
          <w:spacing w:val="-15"/>
        </w:rPr>
        <w:t> </w:t>
      </w:r>
      <w:r>
        <w:rPr/>
        <w:t>vigencia </w:t>
      </w:r>
      <w:r>
        <w:rPr>
          <w:spacing w:val="-2"/>
        </w:rPr>
        <w:t>07/09/2024.</w:t>
      </w:r>
    </w:p>
    <w:p>
      <w:pPr>
        <w:pStyle w:val="BodyText"/>
        <w:spacing w:after="0"/>
        <w:jc w:val="both"/>
        <w:sectPr>
          <w:pgSz w:w="12240" w:h="15840"/>
          <w:pgMar w:header="0" w:footer="1576" w:top="1000" w:bottom="1760" w:left="360" w:right="0"/>
        </w:sectPr>
      </w:pPr>
    </w:p>
    <w:p>
      <w:pPr>
        <w:pStyle w:val="BodyText"/>
        <w:spacing w:before="77"/>
        <w:ind w:left="1625" w:right="1602"/>
        <w:jc w:val="both"/>
      </w:pPr>
      <w:r>
        <w:rPr>
          <w:b/>
        </w:rPr>
        <w:t>Reglamento</w:t>
      </w:r>
      <w:r>
        <w:rPr>
          <w:b/>
          <w:spacing w:val="-13"/>
        </w:rPr>
        <w:t> </w:t>
      </w:r>
      <w:r>
        <w:rPr>
          <w:b/>
        </w:rPr>
        <w:t>para</w:t>
      </w:r>
      <w:r>
        <w:rPr>
          <w:b/>
          <w:spacing w:val="-13"/>
        </w:rPr>
        <w:t> </w:t>
      </w:r>
      <w:r>
        <w:rPr>
          <w:b/>
        </w:rPr>
        <w:t>la</w:t>
      </w:r>
      <w:r>
        <w:rPr>
          <w:b/>
          <w:spacing w:val="-13"/>
        </w:rPr>
        <w:t> </w:t>
      </w:r>
      <w:r>
        <w:rPr>
          <w:b/>
        </w:rPr>
        <w:t>administración</w:t>
      </w:r>
      <w:r>
        <w:rPr>
          <w:b/>
          <w:spacing w:val="-14"/>
        </w:rPr>
        <w:t> </w:t>
      </w:r>
      <w:r>
        <w:rPr>
          <w:b/>
        </w:rPr>
        <w:t>de</w:t>
      </w:r>
      <w:r>
        <w:rPr>
          <w:b/>
          <w:spacing w:val="-14"/>
        </w:rPr>
        <w:t> </w:t>
      </w:r>
      <w:r>
        <w:rPr>
          <w:b/>
        </w:rPr>
        <w:t>los</w:t>
      </w:r>
      <w:r>
        <w:rPr>
          <w:b/>
          <w:spacing w:val="-15"/>
        </w:rPr>
        <w:t> </w:t>
      </w:r>
      <w:r>
        <w:rPr>
          <w:b/>
        </w:rPr>
        <w:t>fondos</w:t>
      </w:r>
      <w:r>
        <w:rPr>
          <w:b/>
          <w:spacing w:val="-11"/>
        </w:rPr>
        <w:t> </w:t>
      </w:r>
      <w:r>
        <w:rPr>
          <w:b/>
        </w:rPr>
        <w:t>fijos</w:t>
      </w:r>
      <w:r>
        <w:rPr>
          <w:b/>
          <w:spacing w:val="-13"/>
        </w:rPr>
        <w:t> </w:t>
      </w:r>
      <w:r>
        <w:rPr>
          <w:b/>
        </w:rPr>
        <w:t>institucionales</w:t>
      </w:r>
      <w:r>
        <w:rPr>
          <w:b/>
          <w:spacing w:val="-11"/>
        </w:rPr>
        <w:t> </w:t>
      </w:r>
      <w:r>
        <w:rPr>
          <w:b/>
        </w:rPr>
        <w:t>v.2</w:t>
      </w:r>
      <w:r>
        <w:rPr>
          <w:b/>
          <w:spacing w:val="-6"/>
        </w:rPr>
        <w:t> </w:t>
      </w:r>
      <w:r>
        <w:rPr/>
        <w:t>Establecer las disposiciones para la administración y uso de los fondos fijos en el Instituto Mixto de Ayuda Social y Empresas Comerciales, acordes con el ordenamiento jurídico y el fin público que persigue la Institución sobre el uso racional y adecuado de los fondos públicos,</w:t>
      </w:r>
      <w:r>
        <w:rPr>
          <w:spacing w:val="-6"/>
        </w:rPr>
        <w:t> </w:t>
      </w:r>
      <w:r>
        <w:rPr/>
        <w:t>así</w:t>
      </w:r>
      <w:r>
        <w:rPr>
          <w:spacing w:val="-9"/>
        </w:rPr>
        <w:t> </w:t>
      </w:r>
      <w:r>
        <w:rPr/>
        <w:t>como</w:t>
      </w:r>
      <w:r>
        <w:rPr>
          <w:spacing w:val="-10"/>
        </w:rPr>
        <w:t> </w:t>
      </w:r>
      <w:r>
        <w:rPr/>
        <w:t>cambio</w:t>
      </w:r>
      <w:r>
        <w:rPr>
          <w:spacing w:val="-7"/>
        </w:rPr>
        <w:t> </w:t>
      </w:r>
      <w:r>
        <w:rPr/>
        <w:t>de</w:t>
      </w:r>
      <w:r>
        <w:rPr>
          <w:spacing w:val="-8"/>
        </w:rPr>
        <w:t> </w:t>
      </w:r>
      <w:r>
        <w:rPr/>
        <w:t>nomenclatura</w:t>
      </w:r>
      <w:r>
        <w:rPr>
          <w:spacing w:val="-7"/>
        </w:rPr>
        <w:t> </w:t>
      </w:r>
      <w:r>
        <w:rPr/>
        <w:t>de</w:t>
      </w:r>
      <w:r>
        <w:rPr>
          <w:spacing w:val="-10"/>
        </w:rPr>
        <w:t> </w:t>
      </w:r>
      <w:r>
        <w:rPr/>
        <w:t>las</w:t>
      </w:r>
      <w:r>
        <w:rPr>
          <w:spacing w:val="-10"/>
        </w:rPr>
        <w:t> </w:t>
      </w:r>
      <w:r>
        <w:rPr/>
        <w:t>dependencias</w:t>
      </w:r>
      <w:r>
        <w:rPr>
          <w:spacing w:val="-10"/>
        </w:rPr>
        <w:t> </w:t>
      </w:r>
      <w:r>
        <w:rPr/>
        <w:t>(conforme</w:t>
      </w:r>
      <w:r>
        <w:rPr>
          <w:spacing w:val="-7"/>
        </w:rPr>
        <w:t> </w:t>
      </w:r>
      <w:r>
        <w:rPr/>
        <w:t>a</w:t>
      </w:r>
      <w:r>
        <w:rPr>
          <w:spacing w:val="-7"/>
        </w:rPr>
        <w:t> </w:t>
      </w:r>
      <w:r>
        <w:rPr/>
        <w:t>la</w:t>
      </w:r>
      <w:r>
        <w:rPr>
          <w:spacing w:val="-7"/>
        </w:rPr>
        <w:t> </w:t>
      </w:r>
      <w:r>
        <w:rPr/>
        <w:t>Directriz de la Gerencia General MAS-GG-1274-2023) así mismo se da cumplimiento al Informe AUD-005-2024 denominado “Informe de los resultados obtenidos en el Estudio sobre la Evaluación del funcionamiento del Fondo Fijo del Departamento de Empresas Comerciales. Fecha de vigencia 14/09/2024.</w:t>
      </w:r>
    </w:p>
    <w:p>
      <w:pPr>
        <w:pStyle w:val="BodyText"/>
      </w:pPr>
    </w:p>
    <w:p>
      <w:pPr>
        <w:pStyle w:val="BodyText"/>
        <w:spacing w:before="1"/>
        <w:ind w:left="1625" w:right="1603"/>
        <w:jc w:val="both"/>
      </w:pPr>
      <w:r>
        <w:rPr>
          <w:b/>
        </w:rPr>
        <w:t>Reglamento para la Prestación de Servicios y el Otorgamiento de Beneficios, Subsidios y Transferencias Monetarias del Instituto Mixto de Ayuda Social (IMAS) ACD</w:t>
      </w:r>
      <w:r>
        <w:rPr>
          <w:b/>
          <w:spacing w:val="-16"/>
        </w:rPr>
        <w:t> </w:t>
      </w:r>
      <w:r>
        <w:rPr>
          <w:b/>
        </w:rPr>
        <w:t>N°</w:t>
      </w:r>
      <w:r>
        <w:rPr>
          <w:b/>
          <w:spacing w:val="-15"/>
        </w:rPr>
        <w:t> </w:t>
      </w:r>
      <w:r>
        <w:rPr>
          <w:b/>
        </w:rPr>
        <w:t>22-02.2025.</w:t>
      </w:r>
      <w:r>
        <w:rPr>
          <w:b/>
          <w:spacing w:val="-15"/>
        </w:rPr>
        <w:t> </w:t>
      </w:r>
      <w:r>
        <w:rPr/>
        <w:t>Regula</w:t>
      </w:r>
      <w:r>
        <w:rPr>
          <w:spacing w:val="-16"/>
        </w:rPr>
        <w:t> </w:t>
      </w:r>
      <w:r>
        <w:rPr/>
        <w:t>la</w:t>
      </w:r>
      <w:r>
        <w:rPr>
          <w:spacing w:val="-15"/>
        </w:rPr>
        <w:t> </w:t>
      </w:r>
      <w:r>
        <w:rPr/>
        <w:t>prestación</w:t>
      </w:r>
      <w:r>
        <w:rPr>
          <w:spacing w:val="-15"/>
        </w:rPr>
        <w:t> </w:t>
      </w:r>
      <w:r>
        <w:rPr/>
        <w:t>de</w:t>
      </w:r>
      <w:r>
        <w:rPr>
          <w:spacing w:val="-15"/>
        </w:rPr>
        <w:t> </w:t>
      </w:r>
      <w:r>
        <w:rPr/>
        <w:t>servicios</w:t>
      </w:r>
      <w:r>
        <w:rPr>
          <w:spacing w:val="-16"/>
        </w:rPr>
        <w:t> </w:t>
      </w:r>
      <w:r>
        <w:rPr/>
        <w:t>y</w:t>
      </w:r>
      <w:r>
        <w:rPr>
          <w:spacing w:val="-15"/>
        </w:rPr>
        <w:t> </w:t>
      </w:r>
      <w:r>
        <w:rPr/>
        <w:t>el</w:t>
      </w:r>
      <w:r>
        <w:rPr>
          <w:spacing w:val="-15"/>
        </w:rPr>
        <w:t> </w:t>
      </w:r>
      <w:r>
        <w:rPr/>
        <w:t>otorgamiento</w:t>
      </w:r>
      <w:r>
        <w:rPr>
          <w:spacing w:val="-16"/>
        </w:rPr>
        <w:t> </w:t>
      </w:r>
      <w:r>
        <w:rPr/>
        <w:t>de</w:t>
      </w:r>
      <w:r>
        <w:rPr>
          <w:spacing w:val="-15"/>
        </w:rPr>
        <w:t> </w:t>
      </w:r>
      <w:r>
        <w:rPr/>
        <w:t>los</w:t>
      </w:r>
      <w:r>
        <w:rPr>
          <w:spacing w:val="-15"/>
        </w:rPr>
        <w:t> </w:t>
      </w:r>
      <w:r>
        <w:rPr/>
        <w:t>beneficios, </w:t>
      </w:r>
      <w:r>
        <w:rPr>
          <w:spacing w:val="-2"/>
        </w:rPr>
        <w:t>subsidios</w:t>
      </w:r>
      <w:r>
        <w:rPr>
          <w:spacing w:val="-3"/>
        </w:rPr>
        <w:t> </w:t>
      </w:r>
      <w:r>
        <w:rPr>
          <w:spacing w:val="-2"/>
        </w:rPr>
        <w:t>y</w:t>
      </w:r>
      <w:r>
        <w:rPr>
          <w:spacing w:val="-6"/>
        </w:rPr>
        <w:t> </w:t>
      </w:r>
      <w:r>
        <w:rPr>
          <w:spacing w:val="-2"/>
        </w:rPr>
        <w:t>transferencias</w:t>
      </w:r>
      <w:r>
        <w:rPr>
          <w:spacing w:val="-6"/>
        </w:rPr>
        <w:t> </w:t>
      </w:r>
      <w:r>
        <w:rPr>
          <w:spacing w:val="-2"/>
        </w:rPr>
        <w:t>monetarias</w:t>
      </w:r>
      <w:r>
        <w:rPr>
          <w:spacing w:val="-3"/>
        </w:rPr>
        <w:t> </w:t>
      </w:r>
      <w:r>
        <w:rPr>
          <w:spacing w:val="-2"/>
        </w:rPr>
        <w:t>que</w:t>
      </w:r>
      <w:r>
        <w:rPr>
          <w:spacing w:val="-7"/>
        </w:rPr>
        <w:t> </w:t>
      </w:r>
      <w:r>
        <w:rPr>
          <w:spacing w:val="-2"/>
        </w:rPr>
        <w:t>brinda</w:t>
      </w:r>
      <w:r>
        <w:rPr>
          <w:spacing w:val="-6"/>
        </w:rPr>
        <w:t> </w:t>
      </w:r>
      <w:r>
        <w:rPr>
          <w:spacing w:val="-2"/>
        </w:rPr>
        <w:t>el</w:t>
      </w:r>
      <w:r>
        <w:rPr>
          <w:spacing w:val="-5"/>
        </w:rPr>
        <w:t> </w:t>
      </w:r>
      <w:r>
        <w:rPr>
          <w:spacing w:val="-2"/>
        </w:rPr>
        <w:t>Instituto</w:t>
      </w:r>
      <w:r>
        <w:rPr>
          <w:spacing w:val="-8"/>
        </w:rPr>
        <w:t> </w:t>
      </w:r>
      <w:r>
        <w:rPr>
          <w:spacing w:val="-2"/>
        </w:rPr>
        <w:t>Mixto</w:t>
      </w:r>
      <w:r>
        <w:rPr>
          <w:spacing w:val="-7"/>
        </w:rPr>
        <w:t> </w:t>
      </w:r>
      <w:r>
        <w:rPr>
          <w:spacing w:val="-2"/>
        </w:rPr>
        <w:t>de</w:t>
      </w:r>
      <w:r>
        <w:rPr>
          <w:spacing w:val="-7"/>
        </w:rPr>
        <w:t> </w:t>
      </w:r>
      <w:r>
        <w:rPr>
          <w:spacing w:val="-2"/>
        </w:rPr>
        <w:t>Ayuda</w:t>
      </w:r>
      <w:r>
        <w:rPr>
          <w:spacing w:val="-3"/>
        </w:rPr>
        <w:t> </w:t>
      </w:r>
      <w:r>
        <w:rPr>
          <w:spacing w:val="-2"/>
        </w:rPr>
        <w:t>Social</w:t>
      </w:r>
      <w:r>
        <w:rPr>
          <w:spacing w:val="-5"/>
        </w:rPr>
        <w:t> </w:t>
      </w:r>
      <w:r>
        <w:rPr>
          <w:spacing w:val="-2"/>
        </w:rPr>
        <w:t>(IMAS) </w:t>
      </w:r>
      <w:r>
        <w:rPr/>
        <w:t>dentro</w:t>
      </w:r>
      <w:r>
        <w:rPr>
          <w:spacing w:val="-6"/>
        </w:rPr>
        <w:t> </w:t>
      </w:r>
      <w:r>
        <w:rPr/>
        <w:t>del</w:t>
      </w:r>
      <w:r>
        <w:rPr>
          <w:spacing w:val="-5"/>
        </w:rPr>
        <w:t> </w:t>
      </w:r>
      <w:r>
        <w:rPr/>
        <w:t>Programa</w:t>
      </w:r>
      <w:r>
        <w:rPr>
          <w:spacing w:val="-4"/>
        </w:rPr>
        <w:t> </w:t>
      </w:r>
      <w:r>
        <w:rPr/>
        <w:t>de</w:t>
      </w:r>
      <w:r>
        <w:rPr>
          <w:spacing w:val="-9"/>
        </w:rPr>
        <w:t> </w:t>
      </w:r>
      <w:r>
        <w:rPr/>
        <w:t>Protección</w:t>
      </w:r>
      <w:r>
        <w:rPr>
          <w:spacing w:val="-7"/>
        </w:rPr>
        <w:t> </w:t>
      </w:r>
      <w:r>
        <w:rPr/>
        <w:t>y</w:t>
      </w:r>
      <w:r>
        <w:rPr>
          <w:spacing w:val="-4"/>
        </w:rPr>
        <w:t> </w:t>
      </w:r>
      <w:r>
        <w:rPr/>
        <w:t>Promoción</w:t>
      </w:r>
      <w:r>
        <w:rPr>
          <w:spacing w:val="-7"/>
        </w:rPr>
        <w:t> </w:t>
      </w:r>
      <w:r>
        <w:rPr/>
        <w:t>Social,</w:t>
      </w:r>
      <w:r>
        <w:rPr>
          <w:spacing w:val="-3"/>
        </w:rPr>
        <w:t> </w:t>
      </w:r>
      <w:r>
        <w:rPr/>
        <w:t>para</w:t>
      </w:r>
      <w:r>
        <w:rPr>
          <w:spacing w:val="-6"/>
        </w:rPr>
        <w:t> </w:t>
      </w:r>
      <w:r>
        <w:rPr/>
        <w:t>el</w:t>
      </w:r>
      <w:r>
        <w:rPr>
          <w:spacing w:val="-5"/>
        </w:rPr>
        <w:t> </w:t>
      </w:r>
      <w:r>
        <w:rPr/>
        <w:t>cumplimiento</w:t>
      </w:r>
      <w:r>
        <w:rPr>
          <w:spacing w:val="-4"/>
        </w:rPr>
        <w:t> </w:t>
      </w:r>
      <w:r>
        <w:rPr/>
        <w:t>de</w:t>
      </w:r>
      <w:r>
        <w:rPr>
          <w:spacing w:val="-7"/>
        </w:rPr>
        <w:t> </w:t>
      </w:r>
      <w:r>
        <w:rPr/>
        <w:t>los</w:t>
      </w:r>
      <w:r>
        <w:rPr>
          <w:spacing w:val="-6"/>
        </w:rPr>
        <w:t> </w:t>
      </w:r>
      <w:r>
        <w:rPr/>
        <w:t>fines establecidos en la Ley N° 4760. Este cuerpo normativo establece los requisitos para la atención, valoración, trámite, seguimiento, evaluación, suspensión, denegación o revocatoria</w:t>
      </w:r>
      <w:r>
        <w:rPr>
          <w:spacing w:val="-15"/>
        </w:rPr>
        <w:t> </w:t>
      </w:r>
      <w:r>
        <w:rPr/>
        <w:t>de</w:t>
      </w:r>
      <w:r>
        <w:rPr>
          <w:spacing w:val="-15"/>
        </w:rPr>
        <w:t> </w:t>
      </w:r>
      <w:r>
        <w:rPr/>
        <w:t>beneficios,</w:t>
      </w:r>
      <w:r>
        <w:rPr>
          <w:spacing w:val="-14"/>
        </w:rPr>
        <w:t> </w:t>
      </w:r>
      <w:r>
        <w:rPr/>
        <w:t>subsidios</w:t>
      </w:r>
      <w:r>
        <w:rPr>
          <w:spacing w:val="-14"/>
        </w:rPr>
        <w:t> </w:t>
      </w:r>
      <w:r>
        <w:rPr/>
        <w:t>y</w:t>
      </w:r>
      <w:r>
        <w:rPr>
          <w:spacing w:val="-14"/>
        </w:rPr>
        <w:t> </w:t>
      </w:r>
      <w:r>
        <w:rPr/>
        <w:t>transferencias</w:t>
      </w:r>
      <w:r>
        <w:rPr>
          <w:spacing w:val="-15"/>
        </w:rPr>
        <w:t> </w:t>
      </w:r>
      <w:r>
        <w:rPr/>
        <w:t>monetarias</w:t>
      </w:r>
      <w:r>
        <w:rPr>
          <w:spacing w:val="-14"/>
        </w:rPr>
        <w:t> </w:t>
      </w:r>
      <w:r>
        <w:rPr/>
        <w:t>de</w:t>
      </w:r>
      <w:r>
        <w:rPr>
          <w:spacing w:val="-15"/>
        </w:rPr>
        <w:t> </w:t>
      </w:r>
      <w:r>
        <w:rPr/>
        <w:t>la</w:t>
      </w:r>
      <w:r>
        <w:rPr>
          <w:spacing w:val="-15"/>
        </w:rPr>
        <w:t> </w:t>
      </w:r>
      <w:r>
        <w:rPr/>
        <w:t>oferta</w:t>
      </w:r>
      <w:r>
        <w:rPr>
          <w:spacing w:val="-15"/>
        </w:rPr>
        <w:t> </w:t>
      </w:r>
      <w:r>
        <w:rPr/>
        <w:t>programática del</w:t>
      </w:r>
      <w:r>
        <w:rPr>
          <w:spacing w:val="-8"/>
        </w:rPr>
        <w:t> </w:t>
      </w:r>
      <w:r>
        <w:rPr/>
        <w:t>IMAS,</w:t>
      </w:r>
      <w:r>
        <w:rPr>
          <w:spacing w:val="-6"/>
        </w:rPr>
        <w:t> </w:t>
      </w:r>
      <w:r>
        <w:rPr/>
        <w:t>que</w:t>
      </w:r>
      <w:r>
        <w:rPr>
          <w:spacing w:val="-7"/>
        </w:rPr>
        <w:t> </w:t>
      </w:r>
      <w:r>
        <w:rPr/>
        <w:t>deben</w:t>
      </w:r>
      <w:r>
        <w:rPr>
          <w:spacing w:val="-10"/>
        </w:rPr>
        <w:t> </w:t>
      </w:r>
      <w:r>
        <w:rPr/>
        <w:t>implementar</w:t>
      </w:r>
      <w:r>
        <w:rPr>
          <w:spacing w:val="-9"/>
        </w:rPr>
        <w:t> </w:t>
      </w:r>
      <w:r>
        <w:rPr/>
        <w:t>los</w:t>
      </w:r>
      <w:r>
        <w:rPr>
          <w:spacing w:val="-10"/>
        </w:rPr>
        <w:t> </w:t>
      </w:r>
      <w:r>
        <w:rPr/>
        <w:t>órganos</w:t>
      </w:r>
      <w:r>
        <w:rPr>
          <w:spacing w:val="-9"/>
        </w:rPr>
        <w:t> </w:t>
      </w:r>
      <w:r>
        <w:rPr/>
        <w:t>o</w:t>
      </w:r>
      <w:r>
        <w:rPr>
          <w:spacing w:val="-10"/>
        </w:rPr>
        <w:t> </w:t>
      </w:r>
      <w:r>
        <w:rPr/>
        <w:t>personas</w:t>
      </w:r>
      <w:r>
        <w:rPr>
          <w:spacing w:val="-10"/>
        </w:rPr>
        <w:t> </w:t>
      </w:r>
      <w:r>
        <w:rPr/>
        <w:t>que</w:t>
      </w:r>
      <w:r>
        <w:rPr>
          <w:spacing w:val="-7"/>
        </w:rPr>
        <w:t> </w:t>
      </w:r>
      <w:r>
        <w:rPr/>
        <w:t>se</w:t>
      </w:r>
      <w:r>
        <w:rPr>
          <w:spacing w:val="-10"/>
        </w:rPr>
        <w:t> </w:t>
      </w:r>
      <w:r>
        <w:rPr/>
        <w:t>definen</w:t>
      </w:r>
      <w:r>
        <w:rPr>
          <w:spacing w:val="-7"/>
        </w:rPr>
        <w:t> </w:t>
      </w:r>
      <w:r>
        <w:rPr/>
        <w:t>en</w:t>
      </w:r>
      <w:r>
        <w:rPr>
          <w:spacing w:val="-7"/>
        </w:rPr>
        <w:t> </w:t>
      </w:r>
      <w:r>
        <w:rPr/>
        <w:t>los</w:t>
      </w:r>
      <w:r>
        <w:rPr>
          <w:spacing w:val="-7"/>
        </w:rPr>
        <w:t> </w:t>
      </w:r>
      <w:r>
        <w:rPr/>
        <w:t>artículos siguientes y concordantes de este Reglamento, para la atención de personas, hogares, sujetos de derecho público o privado y/o comunidades. Fecha de vigencia: 19/03/2025.</w:t>
      </w:r>
    </w:p>
    <w:p>
      <w:pPr>
        <w:pStyle w:val="BodyText"/>
      </w:pPr>
    </w:p>
    <w:p>
      <w:pPr>
        <w:pStyle w:val="BodyText"/>
        <w:ind w:left="1625" w:right="1602"/>
        <w:jc w:val="both"/>
      </w:pPr>
      <w:r>
        <w:rPr>
          <w:b/>
        </w:rPr>
        <w:t>Reglamento para la Administración de</w:t>
      </w:r>
      <w:r>
        <w:rPr>
          <w:b/>
          <w:spacing w:val="-1"/>
        </w:rPr>
        <w:t> </w:t>
      </w:r>
      <w:r>
        <w:rPr>
          <w:b/>
        </w:rPr>
        <w:t>los Fondos Fijos</w:t>
      </w:r>
      <w:r>
        <w:rPr>
          <w:b/>
          <w:spacing w:val="-1"/>
        </w:rPr>
        <w:t> </w:t>
      </w:r>
      <w:r>
        <w:rPr>
          <w:b/>
        </w:rPr>
        <w:t>Institucionales: </w:t>
      </w:r>
      <w:r>
        <w:rPr/>
        <w:t>Establecer las disposiciones para la administración y uso de los fondos fijos en el Instituto Mixto de Ayuda Social y Empresas Comerciales, acordes con el ordenamiento jurídico y el fin público que persigue la Institución sobre el uso racional y adecuado de los fondos públicos. Fecha de vigencia 02/04/2025.</w:t>
      </w:r>
    </w:p>
    <w:p>
      <w:pPr>
        <w:spacing w:before="252"/>
        <w:ind w:left="1625" w:right="1600" w:firstLine="0"/>
        <w:jc w:val="both"/>
        <w:rPr>
          <w:sz w:val="22"/>
        </w:rPr>
      </w:pPr>
      <w:r>
        <w:rPr>
          <w:b/>
          <w:sz w:val="22"/>
        </w:rPr>
        <w:t>Reglamento</w:t>
      </w:r>
      <w:r>
        <w:rPr>
          <w:b/>
          <w:spacing w:val="-16"/>
          <w:sz w:val="22"/>
        </w:rPr>
        <w:t> </w:t>
      </w:r>
      <w:r>
        <w:rPr>
          <w:b/>
          <w:sz w:val="22"/>
        </w:rPr>
        <w:t>para</w:t>
      </w:r>
      <w:r>
        <w:rPr>
          <w:b/>
          <w:spacing w:val="-15"/>
          <w:sz w:val="22"/>
        </w:rPr>
        <w:t> </w:t>
      </w:r>
      <w:r>
        <w:rPr>
          <w:b/>
          <w:sz w:val="22"/>
        </w:rPr>
        <w:t>el</w:t>
      </w:r>
      <w:r>
        <w:rPr>
          <w:b/>
          <w:spacing w:val="-14"/>
          <w:sz w:val="22"/>
        </w:rPr>
        <w:t> </w:t>
      </w:r>
      <w:r>
        <w:rPr>
          <w:b/>
          <w:sz w:val="22"/>
        </w:rPr>
        <w:t>Reajuste</w:t>
      </w:r>
      <w:r>
        <w:rPr>
          <w:b/>
          <w:spacing w:val="-15"/>
          <w:sz w:val="22"/>
        </w:rPr>
        <w:t> </w:t>
      </w:r>
      <w:r>
        <w:rPr>
          <w:b/>
          <w:sz w:val="22"/>
        </w:rPr>
        <w:t>Precios</w:t>
      </w:r>
      <w:r>
        <w:rPr>
          <w:b/>
          <w:spacing w:val="-16"/>
          <w:sz w:val="22"/>
        </w:rPr>
        <w:t> </w:t>
      </w:r>
      <w:r>
        <w:rPr>
          <w:b/>
          <w:sz w:val="22"/>
        </w:rPr>
        <w:t>en</w:t>
      </w:r>
      <w:r>
        <w:rPr>
          <w:b/>
          <w:spacing w:val="-15"/>
          <w:sz w:val="22"/>
        </w:rPr>
        <w:t> </w:t>
      </w:r>
      <w:r>
        <w:rPr>
          <w:b/>
          <w:sz w:val="22"/>
        </w:rPr>
        <w:t>los</w:t>
      </w:r>
      <w:r>
        <w:rPr>
          <w:b/>
          <w:spacing w:val="-13"/>
          <w:sz w:val="22"/>
        </w:rPr>
        <w:t> </w:t>
      </w:r>
      <w:r>
        <w:rPr>
          <w:b/>
          <w:sz w:val="22"/>
        </w:rPr>
        <w:t>Contratos</w:t>
      </w:r>
      <w:r>
        <w:rPr>
          <w:b/>
          <w:spacing w:val="-16"/>
          <w:sz w:val="22"/>
        </w:rPr>
        <w:t> </w:t>
      </w:r>
      <w:r>
        <w:rPr>
          <w:b/>
          <w:sz w:val="22"/>
        </w:rPr>
        <w:t>de</w:t>
      </w:r>
      <w:r>
        <w:rPr>
          <w:b/>
          <w:spacing w:val="-15"/>
          <w:sz w:val="22"/>
        </w:rPr>
        <w:t> </w:t>
      </w:r>
      <w:r>
        <w:rPr>
          <w:b/>
          <w:sz w:val="22"/>
        </w:rPr>
        <w:t>Obra</w:t>
      </w:r>
      <w:r>
        <w:rPr>
          <w:b/>
          <w:spacing w:val="-15"/>
          <w:sz w:val="22"/>
        </w:rPr>
        <w:t> </w:t>
      </w:r>
      <w:r>
        <w:rPr>
          <w:b/>
          <w:sz w:val="22"/>
        </w:rPr>
        <w:t>Pública</w:t>
      </w:r>
      <w:r>
        <w:rPr>
          <w:b/>
          <w:spacing w:val="-13"/>
          <w:sz w:val="22"/>
        </w:rPr>
        <w:t> </w:t>
      </w:r>
      <w:r>
        <w:rPr>
          <w:b/>
          <w:sz w:val="22"/>
        </w:rPr>
        <w:t>y</w:t>
      </w:r>
      <w:r>
        <w:rPr>
          <w:b/>
          <w:spacing w:val="-15"/>
          <w:sz w:val="22"/>
        </w:rPr>
        <w:t> </w:t>
      </w:r>
      <w:r>
        <w:rPr>
          <w:b/>
          <w:sz w:val="22"/>
        </w:rPr>
        <w:t>la</w:t>
      </w:r>
      <w:r>
        <w:rPr>
          <w:b/>
          <w:spacing w:val="-13"/>
          <w:sz w:val="22"/>
        </w:rPr>
        <w:t> </w:t>
      </w:r>
      <w:r>
        <w:rPr>
          <w:b/>
          <w:sz w:val="22"/>
        </w:rPr>
        <w:t>Revisión de Precios en los Contratos de Bienes y Servicios (Decreto N° 44937-H-MICITT-MIDEPLAN). </w:t>
      </w:r>
      <w:r>
        <w:rPr>
          <w:sz w:val="22"/>
        </w:rPr>
        <w:t>Regula los criterios técnicos relacionados con las fórmulas matemáticas y componentes de</w:t>
      </w:r>
      <w:r>
        <w:rPr>
          <w:spacing w:val="-1"/>
          <w:sz w:val="22"/>
        </w:rPr>
        <w:t> </w:t>
      </w:r>
      <w:r>
        <w:rPr>
          <w:sz w:val="22"/>
        </w:rPr>
        <w:t>cálculo,</w:t>
      </w:r>
      <w:r>
        <w:rPr>
          <w:spacing w:val="-2"/>
          <w:sz w:val="22"/>
        </w:rPr>
        <w:t> </w:t>
      </w:r>
      <w:r>
        <w:rPr>
          <w:sz w:val="22"/>
        </w:rPr>
        <w:t>procedimientos,</w:t>
      </w:r>
      <w:r>
        <w:rPr>
          <w:spacing w:val="-2"/>
          <w:sz w:val="22"/>
        </w:rPr>
        <w:t> </w:t>
      </w:r>
      <w:r>
        <w:rPr>
          <w:sz w:val="22"/>
        </w:rPr>
        <w:t>requisitos de</w:t>
      </w:r>
      <w:r>
        <w:rPr>
          <w:spacing w:val="-1"/>
          <w:sz w:val="22"/>
        </w:rPr>
        <w:t> </w:t>
      </w:r>
      <w:r>
        <w:rPr>
          <w:sz w:val="22"/>
        </w:rPr>
        <w:t>información</w:t>
      </w:r>
      <w:r>
        <w:rPr>
          <w:spacing w:val="-1"/>
          <w:sz w:val="22"/>
        </w:rPr>
        <w:t> </w:t>
      </w:r>
      <w:r>
        <w:rPr>
          <w:sz w:val="22"/>
        </w:rPr>
        <w:t>y</w:t>
      </w:r>
      <w:r>
        <w:rPr>
          <w:spacing w:val="-3"/>
          <w:sz w:val="22"/>
        </w:rPr>
        <w:t> </w:t>
      </w:r>
      <w:r>
        <w:rPr>
          <w:sz w:val="22"/>
        </w:rPr>
        <w:t>demás parámetros indispensables para cuantificar el aumento o disminución de los precios, según se demuestre la variación de los costos directos e indirectos, lo anterior</w:t>
      </w:r>
      <w:r>
        <w:rPr>
          <w:spacing w:val="-1"/>
          <w:sz w:val="22"/>
        </w:rPr>
        <w:t> </w:t>
      </w:r>
      <w:r>
        <w:rPr>
          <w:sz w:val="22"/>
        </w:rPr>
        <w:t>con</w:t>
      </w:r>
      <w:r>
        <w:rPr>
          <w:spacing w:val="-2"/>
          <w:sz w:val="22"/>
        </w:rPr>
        <w:t> </w:t>
      </w:r>
      <w:r>
        <w:rPr>
          <w:sz w:val="22"/>
        </w:rPr>
        <w:t>el propósito de mantener el equilibrio económico de los contratos. Fecha de vigencia: 03/04/2025.</w:t>
      </w:r>
    </w:p>
    <w:p>
      <w:pPr>
        <w:pStyle w:val="BodyText"/>
      </w:pPr>
    </w:p>
    <w:p>
      <w:pPr>
        <w:pStyle w:val="BodyText"/>
        <w:ind w:left="1625" w:right="1603"/>
        <w:jc w:val="both"/>
      </w:pPr>
      <w:r>
        <w:rPr>
          <w:b/>
        </w:rPr>
        <w:t>Reglamento para la Operacionalización del Sistema de Planificación del IMAS: Acuerdo:</w:t>
      </w:r>
      <w:r>
        <w:rPr>
          <w:b/>
          <w:spacing w:val="-10"/>
        </w:rPr>
        <w:t> </w:t>
      </w:r>
      <w:r>
        <w:rPr>
          <w:b/>
        </w:rPr>
        <w:t>88-04-2025.</w:t>
      </w:r>
      <w:r>
        <w:rPr>
          <w:b/>
          <w:spacing w:val="-9"/>
        </w:rPr>
        <w:t> </w:t>
      </w:r>
      <w:r>
        <w:rPr/>
        <w:t>Regula</w:t>
      </w:r>
      <w:r>
        <w:rPr>
          <w:spacing w:val="-11"/>
        </w:rPr>
        <w:t> </w:t>
      </w:r>
      <w:r>
        <w:rPr/>
        <w:t>lo</w:t>
      </w:r>
      <w:r>
        <w:rPr>
          <w:spacing w:val="-11"/>
        </w:rPr>
        <w:t> </w:t>
      </w:r>
      <w:r>
        <w:rPr/>
        <w:t>correspondiente</w:t>
      </w:r>
      <w:r>
        <w:rPr>
          <w:spacing w:val="-15"/>
        </w:rPr>
        <w:t> </w:t>
      </w:r>
      <w:r>
        <w:rPr/>
        <w:t>al</w:t>
      </w:r>
      <w:r>
        <w:rPr>
          <w:spacing w:val="-12"/>
        </w:rPr>
        <w:t> </w:t>
      </w:r>
      <w:r>
        <w:rPr/>
        <w:t>Sistema</w:t>
      </w:r>
      <w:r>
        <w:rPr>
          <w:spacing w:val="-13"/>
        </w:rPr>
        <w:t> </w:t>
      </w:r>
      <w:r>
        <w:rPr/>
        <w:t>de</w:t>
      </w:r>
      <w:r>
        <w:rPr>
          <w:spacing w:val="-11"/>
        </w:rPr>
        <w:t> </w:t>
      </w:r>
      <w:r>
        <w:rPr/>
        <w:t>Planificación</w:t>
      </w:r>
      <w:r>
        <w:rPr>
          <w:spacing w:val="-11"/>
        </w:rPr>
        <w:t> </w:t>
      </w:r>
      <w:r>
        <w:rPr/>
        <w:t>del</w:t>
      </w:r>
      <w:r>
        <w:rPr>
          <w:spacing w:val="-12"/>
        </w:rPr>
        <w:t> </w:t>
      </w:r>
      <w:r>
        <w:rPr/>
        <w:t>Instituto Mixto de Ayuda Social (IMAS), con el fin de articular todas sus acciones en el largo, mediano y corto plazo, contenidas en sus Procesos de Formulación, Seguimiento y Evaluación, de los instrumentos de planificación institucional: Políticas, Planes, Programas y Proyectos;</w:t>
      </w:r>
      <w:r>
        <w:rPr>
          <w:spacing w:val="-1"/>
        </w:rPr>
        <w:t> </w:t>
      </w:r>
      <w:r>
        <w:rPr/>
        <w:t>con</w:t>
      </w:r>
      <w:r>
        <w:rPr>
          <w:spacing w:val="-1"/>
        </w:rPr>
        <w:t> </w:t>
      </w:r>
      <w:r>
        <w:rPr/>
        <w:t>la participación</w:t>
      </w:r>
      <w:r>
        <w:rPr>
          <w:spacing w:val="-1"/>
        </w:rPr>
        <w:t> </w:t>
      </w:r>
      <w:r>
        <w:rPr/>
        <w:t>de</w:t>
      </w:r>
      <w:r>
        <w:rPr>
          <w:spacing w:val="-1"/>
        </w:rPr>
        <w:t> </w:t>
      </w:r>
      <w:r>
        <w:rPr/>
        <w:t>los diferentes actores</w:t>
      </w:r>
      <w:r>
        <w:rPr>
          <w:spacing w:val="-2"/>
        </w:rPr>
        <w:t> </w:t>
      </w:r>
      <w:r>
        <w:rPr/>
        <w:t>del</w:t>
      </w:r>
      <w:r>
        <w:rPr>
          <w:spacing w:val="-1"/>
        </w:rPr>
        <w:t> </w:t>
      </w:r>
      <w:r>
        <w:rPr/>
        <w:t>ámbito central, regional</w:t>
      </w:r>
      <w:r>
        <w:rPr>
          <w:spacing w:val="-16"/>
        </w:rPr>
        <w:t> </w:t>
      </w:r>
      <w:r>
        <w:rPr/>
        <w:t>y</w:t>
      </w:r>
      <w:r>
        <w:rPr>
          <w:spacing w:val="-15"/>
        </w:rPr>
        <w:t> </w:t>
      </w:r>
      <w:r>
        <w:rPr/>
        <w:t>local,</w:t>
      </w:r>
      <w:r>
        <w:rPr>
          <w:spacing w:val="-15"/>
        </w:rPr>
        <w:t> </w:t>
      </w:r>
      <w:r>
        <w:rPr/>
        <w:t>para</w:t>
      </w:r>
      <w:r>
        <w:rPr>
          <w:spacing w:val="-16"/>
        </w:rPr>
        <w:t> </w:t>
      </w:r>
      <w:r>
        <w:rPr/>
        <w:t>el</w:t>
      </w:r>
      <w:r>
        <w:rPr>
          <w:spacing w:val="-15"/>
        </w:rPr>
        <w:t> </w:t>
      </w:r>
      <w:r>
        <w:rPr/>
        <w:t>logro</w:t>
      </w:r>
      <w:r>
        <w:rPr>
          <w:spacing w:val="-15"/>
        </w:rPr>
        <w:t> </w:t>
      </w:r>
      <w:r>
        <w:rPr/>
        <w:t>de</w:t>
      </w:r>
      <w:r>
        <w:rPr>
          <w:spacing w:val="-15"/>
        </w:rPr>
        <w:t> </w:t>
      </w:r>
      <w:r>
        <w:rPr/>
        <w:t>sus</w:t>
      </w:r>
      <w:r>
        <w:rPr>
          <w:spacing w:val="-16"/>
        </w:rPr>
        <w:t> </w:t>
      </w:r>
      <w:r>
        <w:rPr/>
        <w:t>objetivos</w:t>
      </w:r>
      <w:r>
        <w:rPr>
          <w:spacing w:val="-15"/>
        </w:rPr>
        <w:t> </w:t>
      </w:r>
      <w:r>
        <w:rPr/>
        <w:t>y</w:t>
      </w:r>
      <w:r>
        <w:rPr>
          <w:spacing w:val="-15"/>
        </w:rPr>
        <w:t> </w:t>
      </w:r>
      <w:r>
        <w:rPr/>
        <w:t>la</w:t>
      </w:r>
      <w:r>
        <w:rPr>
          <w:spacing w:val="-16"/>
        </w:rPr>
        <w:t> </w:t>
      </w:r>
      <w:r>
        <w:rPr/>
        <w:t>consecución</w:t>
      </w:r>
      <w:r>
        <w:rPr>
          <w:spacing w:val="-15"/>
        </w:rPr>
        <w:t> </w:t>
      </w:r>
      <w:r>
        <w:rPr/>
        <w:t>de</w:t>
      </w:r>
      <w:r>
        <w:rPr>
          <w:spacing w:val="-15"/>
        </w:rPr>
        <w:t> </w:t>
      </w:r>
      <w:r>
        <w:rPr/>
        <w:t>sus</w:t>
      </w:r>
      <w:r>
        <w:rPr>
          <w:spacing w:val="-15"/>
        </w:rPr>
        <w:t> </w:t>
      </w:r>
      <w:r>
        <w:rPr/>
        <w:t>resultados,</w:t>
      </w:r>
      <w:r>
        <w:rPr>
          <w:spacing w:val="-16"/>
        </w:rPr>
        <w:t> </w:t>
      </w:r>
      <w:r>
        <w:rPr/>
        <w:t>dirigidos a la reducción de la pobreza extrema y la pobreza. Fecha de vigencia 14/05/2025.</w:t>
      </w:r>
    </w:p>
    <w:p>
      <w:pPr>
        <w:pStyle w:val="BodyText"/>
        <w:spacing w:before="1"/>
      </w:pPr>
    </w:p>
    <w:p>
      <w:pPr>
        <w:spacing w:before="0"/>
        <w:ind w:left="1625" w:right="1601" w:firstLine="0"/>
        <w:jc w:val="both"/>
        <w:rPr>
          <w:sz w:val="22"/>
        </w:rPr>
      </w:pPr>
      <w:r>
        <w:rPr>
          <w:b/>
          <w:sz w:val="22"/>
        </w:rPr>
        <w:t>Reglamento a la Ley Marco para la Promoción de la Educación Financiera de los Habitantes de la República N°10627 del 16 de enero de 2025 (Decreto N.º 45471 – MEIC).</w:t>
      </w:r>
      <w:r>
        <w:rPr>
          <w:b/>
          <w:spacing w:val="-3"/>
          <w:sz w:val="22"/>
        </w:rPr>
        <w:t> </w:t>
      </w:r>
      <w:r>
        <w:rPr>
          <w:sz w:val="22"/>
        </w:rPr>
        <w:t>Declaratoria</w:t>
      </w:r>
      <w:r>
        <w:rPr>
          <w:spacing w:val="-5"/>
          <w:sz w:val="22"/>
        </w:rPr>
        <w:t> </w:t>
      </w:r>
      <w:r>
        <w:rPr>
          <w:sz w:val="22"/>
        </w:rPr>
        <w:t>de</w:t>
      </w:r>
      <w:r>
        <w:rPr>
          <w:spacing w:val="-7"/>
          <w:sz w:val="22"/>
        </w:rPr>
        <w:t> </w:t>
      </w:r>
      <w:r>
        <w:rPr>
          <w:sz w:val="22"/>
        </w:rPr>
        <w:t>interés</w:t>
      </w:r>
      <w:r>
        <w:rPr>
          <w:spacing w:val="-7"/>
          <w:sz w:val="22"/>
        </w:rPr>
        <w:t> </w:t>
      </w:r>
      <w:r>
        <w:rPr>
          <w:sz w:val="22"/>
        </w:rPr>
        <w:t>público.</w:t>
      </w:r>
      <w:r>
        <w:rPr>
          <w:spacing w:val="-4"/>
          <w:sz w:val="22"/>
        </w:rPr>
        <w:t> </w:t>
      </w:r>
      <w:r>
        <w:rPr>
          <w:sz w:val="22"/>
        </w:rPr>
        <w:t>El</w:t>
      </w:r>
      <w:r>
        <w:rPr>
          <w:spacing w:val="-6"/>
          <w:sz w:val="22"/>
        </w:rPr>
        <w:t> </w:t>
      </w:r>
      <w:r>
        <w:rPr>
          <w:sz w:val="22"/>
        </w:rPr>
        <w:t>IMAS</w:t>
      </w:r>
      <w:r>
        <w:rPr>
          <w:spacing w:val="-7"/>
          <w:sz w:val="22"/>
        </w:rPr>
        <w:t> </w:t>
      </w:r>
      <w:r>
        <w:rPr>
          <w:sz w:val="22"/>
        </w:rPr>
        <w:t>tiene</w:t>
      </w:r>
      <w:r>
        <w:rPr>
          <w:spacing w:val="-5"/>
          <w:sz w:val="22"/>
        </w:rPr>
        <w:t> </w:t>
      </w:r>
      <w:r>
        <w:rPr>
          <w:sz w:val="22"/>
        </w:rPr>
        <w:t>participación</w:t>
      </w:r>
      <w:r>
        <w:rPr>
          <w:spacing w:val="-5"/>
          <w:sz w:val="22"/>
        </w:rPr>
        <w:t> </w:t>
      </w:r>
      <w:r>
        <w:rPr>
          <w:sz w:val="22"/>
        </w:rPr>
        <w:t>en</w:t>
      </w:r>
      <w:r>
        <w:rPr>
          <w:spacing w:val="-7"/>
          <w:sz w:val="22"/>
        </w:rPr>
        <w:t> </w:t>
      </w:r>
      <w:r>
        <w:rPr>
          <w:sz w:val="22"/>
        </w:rPr>
        <w:t>las</w:t>
      </w:r>
      <w:r>
        <w:rPr>
          <w:spacing w:val="-7"/>
          <w:sz w:val="22"/>
        </w:rPr>
        <w:t> </w:t>
      </w:r>
      <w:r>
        <w:rPr>
          <w:sz w:val="22"/>
        </w:rPr>
        <w:t>Subcomisiones técnicas de apoyo dentro del COCEF. Subcomisión de formulación de políticas: encargada</w:t>
      </w:r>
      <w:r>
        <w:rPr>
          <w:spacing w:val="40"/>
          <w:sz w:val="22"/>
        </w:rPr>
        <w:t> </w:t>
      </w:r>
      <w:r>
        <w:rPr>
          <w:sz w:val="22"/>
        </w:rPr>
        <w:t>de</w:t>
      </w:r>
      <w:r>
        <w:rPr>
          <w:spacing w:val="40"/>
          <w:sz w:val="22"/>
        </w:rPr>
        <w:t> </w:t>
      </w:r>
      <w:r>
        <w:rPr>
          <w:sz w:val="22"/>
        </w:rPr>
        <w:t>elaborar</w:t>
      </w:r>
      <w:r>
        <w:rPr>
          <w:spacing w:val="40"/>
          <w:sz w:val="22"/>
        </w:rPr>
        <w:t> </w:t>
      </w:r>
      <w:r>
        <w:rPr>
          <w:sz w:val="22"/>
        </w:rPr>
        <w:t>propuestas</w:t>
      </w:r>
      <w:r>
        <w:rPr>
          <w:spacing w:val="40"/>
          <w:sz w:val="22"/>
        </w:rPr>
        <w:t> </w:t>
      </w:r>
      <w:r>
        <w:rPr>
          <w:sz w:val="22"/>
        </w:rPr>
        <w:t>de</w:t>
      </w:r>
      <w:r>
        <w:rPr>
          <w:spacing w:val="40"/>
          <w:sz w:val="22"/>
        </w:rPr>
        <w:t> </w:t>
      </w:r>
      <w:r>
        <w:rPr>
          <w:sz w:val="22"/>
        </w:rPr>
        <w:t>política</w:t>
      </w:r>
      <w:r>
        <w:rPr>
          <w:spacing w:val="40"/>
          <w:sz w:val="22"/>
        </w:rPr>
        <w:t> </w:t>
      </w:r>
      <w:r>
        <w:rPr>
          <w:sz w:val="22"/>
        </w:rPr>
        <w:t>pública,</w:t>
      </w:r>
      <w:r>
        <w:rPr>
          <w:spacing w:val="40"/>
          <w:sz w:val="22"/>
        </w:rPr>
        <w:t> </w:t>
      </w:r>
      <w:r>
        <w:rPr>
          <w:sz w:val="22"/>
        </w:rPr>
        <w:t>lineamientos</w:t>
      </w:r>
      <w:r>
        <w:rPr>
          <w:spacing w:val="40"/>
          <w:sz w:val="22"/>
        </w:rPr>
        <w:t> </w:t>
      </w:r>
      <w:r>
        <w:rPr>
          <w:sz w:val="22"/>
        </w:rPr>
        <w:t>y</w:t>
      </w:r>
      <w:r>
        <w:rPr>
          <w:spacing w:val="40"/>
          <w:sz w:val="22"/>
        </w:rPr>
        <w:t> </w:t>
      </w:r>
      <w:r>
        <w:rPr>
          <w:sz w:val="22"/>
        </w:rPr>
        <w:t>directrices</w:t>
      </w:r>
      <w:r>
        <w:rPr>
          <w:spacing w:val="40"/>
          <w:sz w:val="22"/>
        </w:rPr>
        <w:t> </w:t>
      </w:r>
      <w:r>
        <w:rPr>
          <w:sz w:val="22"/>
        </w:rPr>
        <w:t>en</w:t>
      </w:r>
    </w:p>
    <w:p>
      <w:pPr>
        <w:spacing w:after="0"/>
        <w:jc w:val="both"/>
        <w:rPr>
          <w:sz w:val="22"/>
        </w:rPr>
        <w:sectPr>
          <w:pgSz w:w="12240" w:h="15840"/>
          <w:pgMar w:header="0" w:footer="1576" w:top="1000" w:bottom="1760" w:left="360" w:right="0"/>
        </w:sectPr>
      </w:pPr>
    </w:p>
    <w:p>
      <w:pPr>
        <w:pStyle w:val="BodyText"/>
        <w:spacing w:before="77"/>
        <w:ind w:left="1625" w:right="1606"/>
        <w:jc w:val="both"/>
      </w:pPr>
      <w:r>
        <w:rPr/>
        <w:t>materia de educación financiera. Estará integrada por MEIC, el MEP, el CONARE, el IMAS, el INAMU, el CONASSIF. Fecha de vigencia 1/12/2025.</w:t>
      </w:r>
    </w:p>
    <w:p>
      <w:pPr>
        <w:pStyle w:val="BodyText"/>
      </w:pPr>
    </w:p>
    <w:p>
      <w:pPr>
        <w:spacing w:before="0"/>
        <w:ind w:left="1625" w:right="1602" w:firstLine="0"/>
        <w:jc w:val="both"/>
        <w:rPr>
          <w:sz w:val="22"/>
        </w:rPr>
      </w:pPr>
      <w:r>
        <w:rPr>
          <w:b/>
          <w:sz w:val="22"/>
        </w:rPr>
        <w:t>Reglamento de Gastos de Viaje y de Transporte para funcionarios Públicos </w:t>
      </w:r>
      <w:r>
        <w:rPr>
          <w:sz w:val="22"/>
        </w:rPr>
        <w:t>R-DC-00141-2025. Dicha modificación afecta algunas localidades en lo que a hospedaje corresponde, las cuales se detallan en la circular adjunta, b lo correspondiente a los montos de alimentación (Desayuno, Almuerzo y Cena). Fecha de vigencia 15/01/2026.</w:t>
      </w:r>
    </w:p>
    <w:p>
      <w:pPr>
        <w:pStyle w:val="BodyText"/>
      </w:pPr>
    </w:p>
    <w:p>
      <w:pPr>
        <w:spacing w:before="0"/>
        <w:ind w:left="1625" w:right="1602" w:firstLine="0"/>
        <w:jc w:val="both"/>
        <w:rPr>
          <w:sz w:val="22"/>
        </w:rPr>
      </w:pPr>
      <w:r>
        <w:rPr>
          <w:b/>
          <w:sz w:val="22"/>
        </w:rPr>
        <w:t>Reforma</w:t>
      </w:r>
      <w:r>
        <w:rPr>
          <w:b/>
          <w:spacing w:val="-3"/>
          <w:sz w:val="22"/>
        </w:rPr>
        <w:t> </w:t>
      </w:r>
      <w:r>
        <w:rPr>
          <w:b/>
          <w:sz w:val="22"/>
        </w:rPr>
        <w:t>disposiciones</w:t>
      </w:r>
      <w:r>
        <w:rPr>
          <w:b/>
          <w:spacing w:val="-3"/>
          <w:sz w:val="22"/>
        </w:rPr>
        <w:t> </w:t>
      </w:r>
      <w:r>
        <w:rPr>
          <w:b/>
          <w:sz w:val="22"/>
        </w:rPr>
        <w:t>del</w:t>
      </w:r>
      <w:r>
        <w:rPr>
          <w:b/>
          <w:spacing w:val="-1"/>
          <w:sz w:val="22"/>
        </w:rPr>
        <w:t> </w:t>
      </w:r>
      <w:r>
        <w:rPr>
          <w:b/>
          <w:sz w:val="22"/>
        </w:rPr>
        <w:t>Reglamento</w:t>
      </w:r>
      <w:r>
        <w:rPr>
          <w:b/>
          <w:spacing w:val="-3"/>
          <w:sz w:val="22"/>
        </w:rPr>
        <w:t> </w:t>
      </w:r>
      <w:r>
        <w:rPr>
          <w:b/>
          <w:sz w:val="22"/>
        </w:rPr>
        <w:t>a</w:t>
      </w:r>
      <w:r>
        <w:rPr>
          <w:b/>
          <w:spacing w:val="-3"/>
          <w:sz w:val="22"/>
        </w:rPr>
        <w:t> </w:t>
      </w:r>
      <w:r>
        <w:rPr>
          <w:b/>
          <w:sz w:val="22"/>
        </w:rPr>
        <w:t>la</w:t>
      </w:r>
      <w:r>
        <w:rPr>
          <w:b/>
          <w:spacing w:val="-3"/>
          <w:sz w:val="22"/>
        </w:rPr>
        <w:t> </w:t>
      </w:r>
      <w:r>
        <w:rPr>
          <w:b/>
          <w:sz w:val="22"/>
        </w:rPr>
        <w:t>Ley</w:t>
      </w:r>
      <w:r>
        <w:rPr>
          <w:b/>
          <w:spacing w:val="-3"/>
          <w:sz w:val="22"/>
        </w:rPr>
        <w:t> </w:t>
      </w:r>
      <w:r>
        <w:rPr>
          <w:b/>
          <w:sz w:val="22"/>
        </w:rPr>
        <w:t>General de Contratación</w:t>
      </w:r>
      <w:r>
        <w:rPr>
          <w:b/>
          <w:spacing w:val="-1"/>
          <w:sz w:val="22"/>
        </w:rPr>
        <w:t> </w:t>
      </w:r>
      <w:r>
        <w:rPr>
          <w:b/>
          <w:sz w:val="22"/>
        </w:rPr>
        <w:t>Pública</w:t>
      </w:r>
      <w:r>
        <w:rPr>
          <w:b/>
          <w:spacing w:val="-3"/>
          <w:sz w:val="22"/>
        </w:rPr>
        <w:t> </w:t>
      </w:r>
      <w:r>
        <w:rPr>
          <w:b/>
          <w:sz w:val="22"/>
        </w:rPr>
        <w:t>y deroga el Decreto No. 41438-H denominado Reglamento para la utilización del Sistema</w:t>
      </w:r>
      <w:r>
        <w:rPr>
          <w:b/>
          <w:spacing w:val="-13"/>
          <w:sz w:val="22"/>
        </w:rPr>
        <w:t> </w:t>
      </w:r>
      <w:r>
        <w:rPr>
          <w:b/>
          <w:sz w:val="22"/>
        </w:rPr>
        <w:t>Integrado</w:t>
      </w:r>
      <w:r>
        <w:rPr>
          <w:b/>
          <w:spacing w:val="-11"/>
          <w:sz w:val="22"/>
        </w:rPr>
        <w:t> </w:t>
      </w:r>
      <w:r>
        <w:rPr>
          <w:b/>
          <w:sz w:val="22"/>
        </w:rPr>
        <w:t>de</w:t>
      </w:r>
      <w:r>
        <w:rPr>
          <w:b/>
          <w:spacing w:val="-11"/>
          <w:sz w:val="22"/>
        </w:rPr>
        <w:t> </w:t>
      </w:r>
      <w:r>
        <w:rPr>
          <w:b/>
          <w:sz w:val="22"/>
        </w:rPr>
        <w:t>Compras</w:t>
      </w:r>
      <w:r>
        <w:rPr>
          <w:b/>
          <w:spacing w:val="-11"/>
          <w:sz w:val="22"/>
        </w:rPr>
        <w:t> </w:t>
      </w:r>
      <w:r>
        <w:rPr>
          <w:b/>
          <w:sz w:val="22"/>
        </w:rPr>
        <w:t>Públicas</w:t>
      </w:r>
      <w:r>
        <w:rPr>
          <w:b/>
          <w:spacing w:val="-13"/>
          <w:sz w:val="22"/>
        </w:rPr>
        <w:t> </w:t>
      </w:r>
      <w:r>
        <w:rPr>
          <w:b/>
          <w:sz w:val="22"/>
        </w:rPr>
        <w:t>"SICOP"</w:t>
      </w:r>
      <w:r>
        <w:rPr>
          <w:b/>
          <w:spacing w:val="-8"/>
          <w:sz w:val="22"/>
        </w:rPr>
        <w:t> </w:t>
      </w:r>
      <w:r>
        <w:rPr>
          <w:sz w:val="22"/>
        </w:rPr>
        <w:t>(Decreto</w:t>
      </w:r>
      <w:r>
        <w:rPr>
          <w:spacing w:val="-10"/>
          <w:sz w:val="22"/>
        </w:rPr>
        <w:t> </w:t>
      </w:r>
      <w:r>
        <w:rPr>
          <w:sz w:val="22"/>
        </w:rPr>
        <w:t>No.</w:t>
      </w:r>
      <w:r>
        <w:rPr>
          <w:spacing w:val="-9"/>
          <w:sz w:val="22"/>
        </w:rPr>
        <w:t> </w:t>
      </w:r>
      <w:r>
        <w:rPr>
          <w:sz w:val="22"/>
        </w:rPr>
        <w:t>45782-</w:t>
      </w:r>
      <w:r>
        <w:rPr>
          <w:spacing w:val="-14"/>
          <w:sz w:val="22"/>
        </w:rPr>
        <w:t> </w:t>
      </w:r>
      <w:r>
        <w:rPr>
          <w:sz w:val="22"/>
        </w:rPr>
        <w:t>H-MIDEPLAN-</w:t>
      </w:r>
      <w:r>
        <w:rPr>
          <w:spacing w:val="-2"/>
          <w:sz w:val="22"/>
        </w:rPr>
        <w:t>MICITT).</w:t>
      </w:r>
    </w:p>
    <w:p>
      <w:pPr>
        <w:pStyle w:val="BodyText"/>
        <w:spacing w:before="24"/>
      </w:pPr>
    </w:p>
    <w:p>
      <w:pPr>
        <w:pStyle w:val="Heading3"/>
        <w:numPr>
          <w:ilvl w:val="1"/>
          <w:numId w:val="4"/>
        </w:numPr>
        <w:tabs>
          <w:tab w:pos="2070" w:val="left" w:leader="none"/>
        </w:tabs>
        <w:spacing w:line="240" w:lineRule="auto" w:before="0" w:after="0"/>
        <w:ind w:left="1625" w:right="1610" w:firstLine="0"/>
        <w:jc w:val="left"/>
      </w:pPr>
      <w:bookmarkStart w:name="_bookmark2" w:id="3"/>
      <w:bookmarkEnd w:id="3"/>
      <w:r>
        <w:rPr>
          <w:b w:val="0"/>
        </w:rPr>
      </w:r>
      <w:r>
        <w:rPr/>
        <w:t>Nombres</w:t>
      </w:r>
      <w:r>
        <w:rPr>
          <w:spacing w:val="37"/>
        </w:rPr>
        <w:t> </w:t>
      </w:r>
      <w:r>
        <w:rPr/>
        <w:t>cargos</w:t>
      </w:r>
      <w:r>
        <w:rPr>
          <w:spacing w:val="37"/>
        </w:rPr>
        <w:t> </w:t>
      </w:r>
      <w:r>
        <w:rPr/>
        <w:t>de</w:t>
      </w:r>
      <w:r>
        <w:rPr>
          <w:spacing w:val="39"/>
        </w:rPr>
        <w:t> </w:t>
      </w:r>
      <w:r>
        <w:rPr/>
        <w:t>la</w:t>
      </w:r>
      <w:r>
        <w:rPr>
          <w:spacing w:val="39"/>
        </w:rPr>
        <w:t> </w:t>
      </w:r>
      <w:r>
        <w:rPr/>
        <w:t>jerarquía</w:t>
      </w:r>
      <w:r>
        <w:rPr>
          <w:spacing w:val="39"/>
        </w:rPr>
        <w:t> </w:t>
      </w:r>
      <w:r>
        <w:rPr/>
        <w:t>y</w:t>
      </w:r>
      <w:r>
        <w:rPr>
          <w:spacing w:val="37"/>
        </w:rPr>
        <w:t> </w:t>
      </w:r>
      <w:r>
        <w:rPr/>
        <w:t>de</w:t>
      </w:r>
      <w:r>
        <w:rPr>
          <w:spacing w:val="37"/>
        </w:rPr>
        <w:t> </w:t>
      </w:r>
      <w:r>
        <w:rPr/>
        <w:t>las</w:t>
      </w:r>
      <w:r>
        <w:rPr>
          <w:spacing w:val="37"/>
        </w:rPr>
        <w:t> </w:t>
      </w:r>
      <w:r>
        <w:rPr/>
        <w:t>personas</w:t>
      </w:r>
      <w:r>
        <w:rPr>
          <w:spacing w:val="37"/>
        </w:rPr>
        <w:t> </w:t>
      </w:r>
      <w:r>
        <w:rPr/>
        <w:t>responsables</w:t>
      </w:r>
      <w:r>
        <w:rPr>
          <w:spacing w:val="39"/>
        </w:rPr>
        <w:t> </w:t>
      </w:r>
      <w:r>
        <w:rPr/>
        <w:t>que intervienen en la ejecución de los recursos de los programas</w:t>
      </w:r>
    </w:p>
    <w:p>
      <w:pPr>
        <w:pStyle w:val="Heading5"/>
        <w:spacing w:before="257"/>
        <w:ind w:left="1464" w:right="1303"/>
        <w:jc w:val="center"/>
      </w:pPr>
      <w:bookmarkStart w:name="_bookmark3" w:id="4"/>
      <w:bookmarkEnd w:id="4"/>
      <w:r>
        <w:rPr>
          <w:b w:val="0"/>
        </w:rPr>
      </w:r>
      <w:r>
        <w:rPr/>
        <w:t>Tabla</w:t>
      </w:r>
      <w:r>
        <w:rPr>
          <w:spacing w:val="-3"/>
        </w:rPr>
        <w:t> </w:t>
      </w:r>
      <w:r>
        <w:rPr/>
        <w:t>1:</w:t>
      </w:r>
      <w:r>
        <w:rPr>
          <w:spacing w:val="-2"/>
        </w:rPr>
        <w:t> </w:t>
      </w:r>
      <w:r>
        <w:rPr/>
        <w:t>Nombres</w:t>
      </w:r>
      <w:r>
        <w:rPr>
          <w:spacing w:val="-3"/>
        </w:rPr>
        <w:t> </w:t>
      </w:r>
      <w:r>
        <w:rPr/>
        <w:t>y</w:t>
      </w:r>
      <w:r>
        <w:rPr>
          <w:spacing w:val="-5"/>
        </w:rPr>
        <w:t> </w:t>
      </w:r>
      <w:r>
        <w:rPr/>
        <w:t>cargos</w:t>
      </w:r>
      <w:r>
        <w:rPr>
          <w:spacing w:val="-3"/>
        </w:rPr>
        <w:t> </w:t>
      </w:r>
      <w:r>
        <w:rPr/>
        <w:t>de</w:t>
      </w:r>
      <w:r>
        <w:rPr>
          <w:spacing w:val="-5"/>
        </w:rPr>
        <w:t> </w:t>
      </w:r>
      <w:r>
        <w:rPr/>
        <w:t>la</w:t>
      </w:r>
      <w:r>
        <w:rPr>
          <w:spacing w:val="-3"/>
        </w:rPr>
        <w:t> </w:t>
      </w:r>
      <w:r>
        <w:rPr/>
        <w:t>Dirección</w:t>
      </w:r>
      <w:r>
        <w:rPr>
          <w:spacing w:val="-5"/>
        </w:rPr>
        <w:t> </w:t>
      </w:r>
      <w:r>
        <w:rPr/>
        <w:t>Superior</w:t>
      </w:r>
      <w:r>
        <w:rPr>
          <w:spacing w:val="-5"/>
        </w:rPr>
        <w:t> </w:t>
      </w:r>
      <w:r>
        <w:rPr/>
        <w:t>del</w:t>
      </w:r>
      <w:r>
        <w:rPr>
          <w:spacing w:val="-4"/>
        </w:rPr>
        <w:t> IMAS</w:t>
      </w:r>
    </w:p>
    <w:p>
      <w:pPr>
        <w:pStyle w:val="BodyText"/>
        <w:spacing w:before="45"/>
        <w:rPr>
          <w:b/>
          <w:sz w:val="20"/>
        </w:rPr>
      </w:pPr>
    </w:p>
    <w:tbl>
      <w:tblPr>
        <w:tblW w:w="0" w:type="auto"/>
        <w:jc w:val="left"/>
        <w:tblInd w:w="13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348"/>
        <w:gridCol w:w="1896"/>
        <w:gridCol w:w="1596"/>
        <w:gridCol w:w="1200"/>
        <w:gridCol w:w="2317"/>
      </w:tblGrid>
      <w:tr>
        <w:trPr>
          <w:trHeight w:val="270" w:hRule="atLeast"/>
        </w:trPr>
        <w:tc>
          <w:tcPr>
            <w:tcW w:w="2348" w:type="dxa"/>
            <w:shd w:val="clear" w:color="auto" w:fill="0E233D"/>
          </w:tcPr>
          <w:p>
            <w:pPr>
              <w:pStyle w:val="TableParagraph"/>
              <w:spacing w:line="230" w:lineRule="exact" w:before="21"/>
              <w:ind w:left="16"/>
              <w:jc w:val="center"/>
              <w:rPr>
                <w:sz w:val="20"/>
              </w:rPr>
            </w:pPr>
            <w:r>
              <w:rPr>
                <w:color w:val="FFFFFF"/>
                <w:spacing w:val="-2"/>
                <w:sz w:val="20"/>
              </w:rPr>
              <w:t>Nombre</w:t>
            </w:r>
          </w:p>
        </w:tc>
        <w:tc>
          <w:tcPr>
            <w:tcW w:w="1896" w:type="dxa"/>
            <w:shd w:val="clear" w:color="auto" w:fill="0E233D"/>
          </w:tcPr>
          <w:p>
            <w:pPr>
              <w:pStyle w:val="TableParagraph"/>
              <w:spacing w:line="230" w:lineRule="exact" w:before="21"/>
              <w:ind w:left="14"/>
              <w:jc w:val="center"/>
              <w:rPr>
                <w:sz w:val="20"/>
              </w:rPr>
            </w:pPr>
            <w:r>
              <w:rPr>
                <w:color w:val="FFFFFF"/>
                <w:spacing w:val="-2"/>
                <w:sz w:val="20"/>
              </w:rPr>
              <w:t>Cargo</w:t>
            </w:r>
          </w:p>
        </w:tc>
        <w:tc>
          <w:tcPr>
            <w:tcW w:w="1596" w:type="dxa"/>
            <w:shd w:val="clear" w:color="auto" w:fill="0E233D"/>
          </w:tcPr>
          <w:p>
            <w:pPr>
              <w:pStyle w:val="TableParagraph"/>
              <w:spacing w:line="230" w:lineRule="exact" w:before="21"/>
              <w:ind w:left="383"/>
              <w:rPr>
                <w:sz w:val="20"/>
              </w:rPr>
            </w:pPr>
            <w:r>
              <w:rPr>
                <w:color w:val="FFFFFF"/>
                <w:spacing w:val="-2"/>
                <w:sz w:val="20"/>
              </w:rPr>
              <w:t>Dirección</w:t>
            </w:r>
          </w:p>
        </w:tc>
        <w:tc>
          <w:tcPr>
            <w:tcW w:w="1200" w:type="dxa"/>
            <w:shd w:val="clear" w:color="auto" w:fill="0E233D"/>
          </w:tcPr>
          <w:p>
            <w:pPr>
              <w:pStyle w:val="TableParagraph"/>
              <w:spacing w:line="230" w:lineRule="exact" w:before="21"/>
              <w:ind w:left="16"/>
              <w:jc w:val="center"/>
              <w:rPr>
                <w:sz w:val="20"/>
              </w:rPr>
            </w:pPr>
            <w:r>
              <w:rPr>
                <w:color w:val="FFFFFF"/>
                <w:spacing w:val="-2"/>
                <w:sz w:val="20"/>
              </w:rPr>
              <w:t>Teléfono</w:t>
            </w:r>
          </w:p>
        </w:tc>
        <w:tc>
          <w:tcPr>
            <w:tcW w:w="2317" w:type="dxa"/>
            <w:shd w:val="clear" w:color="auto" w:fill="0E233D"/>
          </w:tcPr>
          <w:p>
            <w:pPr>
              <w:pStyle w:val="TableParagraph"/>
              <w:spacing w:line="230" w:lineRule="exact" w:before="21"/>
              <w:ind w:left="328"/>
              <w:rPr>
                <w:sz w:val="20"/>
              </w:rPr>
            </w:pPr>
            <w:r>
              <w:rPr>
                <w:color w:val="FFFFFF"/>
                <w:sz w:val="20"/>
              </w:rPr>
              <w:t>Correo</w:t>
            </w:r>
            <w:r>
              <w:rPr>
                <w:color w:val="FFFFFF"/>
                <w:spacing w:val="-10"/>
                <w:sz w:val="20"/>
              </w:rPr>
              <w:t> </w:t>
            </w:r>
            <w:r>
              <w:rPr>
                <w:color w:val="FFFFFF"/>
                <w:spacing w:val="-2"/>
                <w:sz w:val="20"/>
              </w:rPr>
              <w:t>Electrónico</w:t>
            </w:r>
          </w:p>
        </w:tc>
      </w:tr>
      <w:tr>
        <w:trPr>
          <w:trHeight w:val="735" w:hRule="atLeast"/>
        </w:trPr>
        <w:tc>
          <w:tcPr>
            <w:tcW w:w="2348" w:type="dxa"/>
          </w:tcPr>
          <w:p>
            <w:pPr>
              <w:pStyle w:val="TableParagraph"/>
              <w:spacing w:before="23"/>
              <w:rPr>
                <w:b/>
                <w:sz w:val="20"/>
              </w:rPr>
            </w:pPr>
          </w:p>
          <w:p>
            <w:pPr>
              <w:pStyle w:val="TableParagraph"/>
              <w:ind w:left="69"/>
              <w:rPr>
                <w:b/>
                <w:sz w:val="20"/>
              </w:rPr>
            </w:pPr>
            <w:r>
              <w:rPr>
                <w:b/>
                <w:sz w:val="20"/>
              </w:rPr>
              <w:t>Yorleni</w:t>
            </w:r>
            <w:r>
              <w:rPr>
                <w:b/>
                <w:spacing w:val="-5"/>
                <w:sz w:val="20"/>
              </w:rPr>
              <w:t> </w:t>
            </w:r>
            <w:r>
              <w:rPr>
                <w:b/>
                <w:sz w:val="20"/>
              </w:rPr>
              <w:t>León</w:t>
            </w:r>
            <w:r>
              <w:rPr>
                <w:b/>
                <w:spacing w:val="-7"/>
                <w:sz w:val="20"/>
              </w:rPr>
              <w:t> </w:t>
            </w:r>
            <w:r>
              <w:rPr>
                <w:b/>
                <w:spacing w:val="-2"/>
                <w:sz w:val="20"/>
              </w:rPr>
              <w:t>Marchena</w:t>
            </w:r>
          </w:p>
        </w:tc>
        <w:tc>
          <w:tcPr>
            <w:tcW w:w="1896" w:type="dxa"/>
          </w:tcPr>
          <w:p>
            <w:pPr>
              <w:pStyle w:val="TableParagraph"/>
              <w:spacing w:before="138"/>
              <w:ind w:left="68" w:right="851"/>
              <w:rPr>
                <w:sz w:val="20"/>
              </w:rPr>
            </w:pPr>
            <w:r>
              <w:rPr>
                <w:spacing w:val="-2"/>
                <w:sz w:val="20"/>
              </w:rPr>
              <w:t>Presidente Ejecutivo</w:t>
            </w:r>
          </w:p>
        </w:tc>
        <w:tc>
          <w:tcPr>
            <w:tcW w:w="1596" w:type="dxa"/>
            <w:tcBorders>
              <w:bottom w:val="nil"/>
            </w:tcBorders>
          </w:tcPr>
          <w:p>
            <w:pPr>
              <w:pStyle w:val="TableParagraph"/>
              <w:tabs>
                <w:tab w:pos="1258" w:val="left" w:leader="none"/>
              </w:tabs>
              <w:spacing w:before="23"/>
              <w:ind w:left="71" w:right="48"/>
              <w:rPr>
                <w:sz w:val="20"/>
              </w:rPr>
            </w:pPr>
            <w:r>
              <w:rPr>
                <w:spacing w:val="-2"/>
                <w:sz w:val="20"/>
              </w:rPr>
              <w:t>Oficinas Centrales</w:t>
            </w:r>
            <w:r>
              <w:rPr>
                <w:sz w:val="20"/>
              </w:rPr>
              <w:tab/>
            </w:r>
            <w:r>
              <w:rPr>
                <w:spacing w:val="-4"/>
                <w:sz w:val="20"/>
              </w:rPr>
              <w:t>del </w:t>
            </w:r>
            <w:r>
              <w:rPr>
                <w:spacing w:val="-2"/>
                <w:sz w:val="20"/>
              </w:rPr>
              <w:t>IMAS.</w:t>
            </w:r>
          </w:p>
        </w:tc>
        <w:tc>
          <w:tcPr>
            <w:tcW w:w="1200" w:type="dxa"/>
          </w:tcPr>
          <w:p>
            <w:pPr>
              <w:pStyle w:val="TableParagraph"/>
              <w:spacing w:before="23"/>
              <w:rPr>
                <w:b/>
                <w:sz w:val="20"/>
              </w:rPr>
            </w:pPr>
          </w:p>
          <w:p>
            <w:pPr>
              <w:pStyle w:val="TableParagraph"/>
              <w:ind w:left="16" w:right="95"/>
              <w:jc w:val="center"/>
              <w:rPr>
                <w:sz w:val="20"/>
              </w:rPr>
            </w:pPr>
            <w:r>
              <w:rPr>
                <w:spacing w:val="-2"/>
                <w:sz w:val="20"/>
              </w:rPr>
              <w:t>2202-</w:t>
            </w:r>
            <w:r>
              <w:rPr>
                <w:spacing w:val="-4"/>
                <w:sz w:val="20"/>
              </w:rPr>
              <w:t>4183</w:t>
            </w:r>
          </w:p>
        </w:tc>
        <w:tc>
          <w:tcPr>
            <w:tcW w:w="2317" w:type="dxa"/>
          </w:tcPr>
          <w:p>
            <w:pPr>
              <w:pStyle w:val="TableParagraph"/>
              <w:spacing w:before="23"/>
              <w:rPr>
                <w:b/>
                <w:sz w:val="20"/>
              </w:rPr>
            </w:pPr>
          </w:p>
          <w:p>
            <w:pPr>
              <w:pStyle w:val="TableParagraph"/>
              <w:ind w:left="69"/>
              <w:rPr>
                <w:sz w:val="20"/>
              </w:rPr>
            </w:pPr>
            <w:hyperlink r:id="rId10">
              <w:r>
                <w:rPr>
                  <w:spacing w:val="-2"/>
                  <w:sz w:val="20"/>
                  <w:u w:val="single"/>
                </w:rPr>
                <w:t>yleon@imas.go.cr</w:t>
              </w:r>
            </w:hyperlink>
          </w:p>
        </w:tc>
      </w:tr>
      <w:tr>
        <w:trPr>
          <w:trHeight w:val="690" w:hRule="atLeast"/>
        </w:trPr>
        <w:tc>
          <w:tcPr>
            <w:tcW w:w="2348" w:type="dxa"/>
          </w:tcPr>
          <w:p>
            <w:pPr>
              <w:pStyle w:val="TableParagraph"/>
              <w:spacing w:before="229"/>
              <w:ind w:left="69"/>
              <w:rPr>
                <w:b/>
                <w:sz w:val="20"/>
              </w:rPr>
            </w:pPr>
            <w:r>
              <w:rPr>
                <w:b/>
                <w:sz w:val="20"/>
              </w:rPr>
              <w:t>Silvia</w:t>
            </w:r>
            <w:r>
              <w:rPr>
                <w:b/>
                <w:spacing w:val="-8"/>
                <w:sz w:val="20"/>
              </w:rPr>
              <w:t> </w:t>
            </w:r>
            <w:r>
              <w:rPr>
                <w:b/>
                <w:sz w:val="20"/>
              </w:rPr>
              <w:t>Castro</w:t>
            </w:r>
            <w:r>
              <w:rPr>
                <w:b/>
                <w:spacing w:val="-8"/>
                <w:sz w:val="20"/>
              </w:rPr>
              <w:t> </w:t>
            </w:r>
            <w:r>
              <w:rPr>
                <w:b/>
                <w:spacing w:val="-2"/>
                <w:sz w:val="20"/>
              </w:rPr>
              <w:t>Quesada</w:t>
            </w:r>
          </w:p>
        </w:tc>
        <w:tc>
          <w:tcPr>
            <w:tcW w:w="1896" w:type="dxa"/>
          </w:tcPr>
          <w:p>
            <w:pPr>
              <w:pStyle w:val="TableParagraph"/>
              <w:spacing w:before="229"/>
              <w:ind w:left="68"/>
              <w:rPr>
                <w:sz w:val="20"/>
              </w:rPr>
            </w:pPr>
            <w:r>
              <w:rPr>
                <w:spacing w:val="-2"/>
                <w:sz w:val="20"/>
              </w:rPr>
              <w:t>Gerente</w:t>
            </w:r>
            <w:r>
              <w:rPr>
                <w:spacing w:val="-1"/>
                <w:sz w:val="20"/>
              </w:rPr>
              <w:t> </w:t>
            </w:r>
            <w:r>
              <w:rPr>
                <w:spacing w:val="-2"/>
                <w:sz w:val="20"/>
              </w:rPr>
              <w:t>General</w:t>
            </w:r>
          </w:p>
        </w:tc>
        <w:tc>
          <w:tcPr>
            <w:tcW w:w="1596" w:type="dxa"/>
            <w:tcBorders>
              <w:top w:val="nil"/>
              <w:bottom w:val="nil"/>
            </w:tcBorders>
          </w:tcPr>
          <w:p>
            <w:pPr>
              <w:pStyle w:val="TableParagraph"/>
              <w:spacing w:line="230" w:lineRule="exact"/>
              <w:ind w:left="71" w:right="49"/>
              <w:rPr>
                <w:sz w:val="20"/>
              </w:rPr>
            </w:pPr>
            <w:r>
              <w:rPr>
                <w:sz w:val="20"/>
              </w:rPr>
              <w:t>San</w:t>
            </w:r>
            <w:r>
              <w:rPr>
                <w:spacing w:val="80"/>
                <w:sz w:val="20"/>
              </w:rPr>
              <w:t> </w:t>
            </w:r>
            <w:r>
              <w:rPr>
                <w:sz w:val="20"/>
              </w:rPr>
              <w:t>José,</w:t>
            </w:r>
            <w:r>
              <w:rPr>
                <w:spacing w:val="80"/>
                <w:sz w:val="20"/>
              </w:rPr>
              <w:t> </w:t>
            </w:r>
            <w:r>
              <w:rPr>
                <w:sz w:val="20"/>
              </w:rPr>
              <w:t>Bo. </w:t>
            </w:r>
            <w:r>
              <w:rPr>
                <w:spacing w:val="-2"/>
                <w:sz w:val="20"/>
              </w:rPr>
              <w:t>Francisco Peralta</w:t>
            </w:r>
          </w:p>
        </w:tc>
        <w:tc>
          <w:tcPr>
            <w:tcW w:w="1200" w:type="dxa"/>
          </w:tcPr>
          <w:p>
            <w:pPr>
              <w:pStyle w:val="TableParagraph"/>
              <w:spacing w:before="229"/>
              <w:ind w:left="16" w:right="95"/>
              <w:jc w:val="center"/>
              <w:rPr>
                <w:sz w:val="20"/>
              </w:rPr>
            </w:pPr>
            <w:r>
              <w:rPr>
                <w:spacing w:val="-2"/>
                <w:sz w:val="20"/>
              </w:rPr>
              <w:t>2202-</w:t>
            </w:r>
            <w:r>
              <w:rPr>
                <w:spacing w:val="-4"/>
                <w:sz w:val="20"/>
              </w:rPr>
              <w:t>4247</w:t>
            </w:r>
          </w:p>
        </w:tc>
        <w:tc>
          <w:tcPr>
            <w:tcW w:w="2317" w:type="dxa"/>
          </w:tcPr>
          <w:p>
            <w:pPr>
              <w:pStyle w:val="TableParagraph"/>
              <w:spacing w:before="229"/>
              <w:ind w:left="69"/>
              <w:rPr>
                <w:sz w:val="20"/>
              </w:rPr>
            </w:pPr>
            <w:hyperlink r:id="rId11">
              <w:r>
                <w:rPr>
                  <w:spacing w:val="-2"/>
                  <w:sz w:val="20"/>
                  <w:u w:val="single"/>
                </w:rPr>
                <w:t>scastroq@imas.go.cr</w:t>
              </w:r>
            </w:hyperlink>
          </w:p>
        </w:tc>
      </w:tr>
      <w:tr>
        <w:trPr>
          <w:trHeight w:val="493" w:hRule="atLeast"/>
        </w:trPr>
        <w:tc>
          <w:tcPr>
            <w:tcW w:w="2348" w:type="dxa"/>
          </w:tcPr>
          <w:p>
            <w:pPr>
              <w:pStyle w:val="TableParagraph"/>
              <w:spacing w:line="230" w:lineRule="atLeast" w:before="13"/>
              <w:ind w:left="69"/>
              <w:rPr>
                <w:b/>
                <w:sz w:val="20"/>
              </w:rPr>
            </w:pPr>
            <w:r>
              <w:rPr>
                <w:b/>
                <w:sz w:val="20"/>
              </w:rPr>
              <w:t>Luis</w:t>
            </w:r>
            <w:r>
              <w:rPr>
                <w:b/>
                <w:spacing w:val="-14"/>
                <w:sz w:val="20"/>
              </w:rPr>
              <w:t> </w:t>
            </w:r>
            <w:r>
              <w:rPr>
                <w:b/>
                <w:sz w:val="20"/>
              </w:rPr>
              <w:t>Felipe</w:t>
            </w:r>
            <w:r>
              <w:rPr>
                <w:b/>
                <w:spacing w:val="-14"/>
                <w:sz w:val="20"/>
              </w:rPr>
              <w:t> </w:t>
            </w:r>
            <w:r>
              <w:rPr>
                <w:b/>
                <w:sz w:val="20"/>
              </w:rPr>
              <w:t>Barrantes </w:t>
            </w:r>
            <w:r>
              <w:rPr>
                <w:b/>
                <w:spacing w:val="-2"/>
                <w:sz w:val="20"/>
              </w:rPr>
              <w:t>Arias</w:t>
            </w:r>
          </w:p>
        </w:tc>
        <w:tc>
          <w:tcPr>
            <w:tcW w:w="1896" w:type="dxa"/>
          </w:tcPr>
          <w:p>
            <w:pPr>
              <w:pStyle w:val="TableParagraph"/>
              <w:spacing w:line="230" w:lineRule="atLeast" w:before="13"/>
              <w:ind w:left="68" w:right="290"/>
              <w:rPr>
                <w:sz w:val="20"/>
              </w:rPr>
            </w:pPr>
            <w:r>
              <w:rPr>
                <w:sz w:val="20"/>
              </w:rPr>
              <w:t>Director de Desarrollo</w:t>
            </w:r>
            <w:r>
              <w:rPr>
                <w:spacing w:val="-14"/>
                <w:sz w:val="20"/>
              </w:rPr>
              <w:t> </w:t>
            </w:r>
            <w:r>
              <w:rPr>
                <w:sz w:val="20"/>
              </w:rPr>
              <w:t>Social</w:t>
            </w:r>
          </w:p>
        </w:tc>
        <w:tc>
          <w:tcPr>
            <w:tcW w:w="1596" w:type="dxa"/>
            <w:tcBorders>
              <w:top w:val="nil"/>
              <w:bottom w:val="nil"/>
            </w:tcBorders>
          </w:tcPr>
          <w:p>
            <w:pPr>
              <w:pStyle w:val="TableParagraph"/>
              <w:rPr>
                <w:rFonts w:ascii="Times New Roman"/>
                <w:sz w:val="20"/>
              </w:rPr>
            </w:pPr>
          </w:p>
        </w:tc>
        <w:tc>
          <w:tcPr>
            <w:tcW w:w="1200" w:type="dxa"/>
          </w:tcPr>
          <w:p>
            <w:pPr>
              <w:pStyle w:val="TableParagraph"/>
              <w:spacing w:before="131"/>
              <w:ind w:left="16" w:right="95"/>
              <w:jc w:val="center"/>
              <w:rPr>
                <w:sz w:val="20"/>
              </w:rPr>
            </w:pPr>
            <w:r>
              <w:rPr>
                <w:spacing w:val="-2"/>
                <w:sz w:val="20"/>
              </w:rPr>
              <w:t>2202-</w:t>
            </w:r>
            <w:r>
              <w:rPr>
                <w:spacing w:val="-4"/>
                <w:sz w:val="20"/>
              </w:rPr>
              <w:t>4153</w:t>
            </w:r>
          </w:p>
        </w:tc>
        <w:tc>
          <w:tcPr>
            <w:tcW w:w="2317" w:type="dxa"/>
          </w:tcPr>
          <w:p>
            <w:pPr>
              <w:pStyle w:val="TableParagraph"/>
              <w:spacing w:before="131"/>
              <w:ind w:left="69"/>
              <w:rPr>
                <w:sz w:val="20"/>
              </w:rPr>
            </w:pPr>
            <w:hyperlink r:id="rId12">
              <w:r>
                <w:rPr>
                  <w:spacing w:val="-2"/>
                  <w:sz w:val="20"/>
                  <w:u w:val="single"/>
                </w:rPr>
                <w:t>lbarrantes@imas.go.cr</w:t>
              </w:r>
            </w:hyperlink>
          </w:p>
        </w:tc>
      </w:tr>
      <w:tr>
        <w:trPr>
          <w:trHeight w:val="690" w:hRule="atLeast"/>
        </w:trPr>
        <w:tc>
          <w:tcPr>
            <w:tcW w:w="2348" w:type="dxa"/>
          </w:tcPr>
          <w:p>
            <w:pPr>
              <w:pStyle w:val="TableParagraph"/>
              <w:spacing w:before="114"/>
              <w:ind w:left="69" w:right="685"/>
              <w:rPr>
                <w:b/>
                <w:sz w:val="20"/>
              </w:rPr>
            </w:pPr>
            <w:r>
              <w:rPr>
                <w:b/>
                <w:sz w:val="20"/>
              </w:rPr>
              <w:t>Cinthya</w:t>
            </w:r>
            <w:r>
              <w:rPr>
                <w:b/>
                <w:spacing w:val="-14"/>
                <w:sz w:val="20"/>
              </w:rPr>
              <w:t> </w:t>
            </w:r>
            <w:r>
              <w:rPr>
                <w:b/>
                <w:sz w:val="20"/>
              </w:rPr>
              <w:t>Carvajal </w:t>
            </w:r>
            <w:r>
              <w:rPr>
                <w:b/>
                <w:spacing w:val="-2"/>
                <w:sz w:val="20"/>
              </w:rPr>
              <w:t>Campos</w:t>
            </w:r>
          </w:p>
        </w:tc>
        <w:tc>
          <w:tcPr>
            <w:tcW w:w="1896" w:type="dxa"/>
          </w:tcPr>
          <w:p>
            <w:pPr>
              <w:pStyle w:val="TableParagraph"/>
              <w:spacing w:line="230" w:lineRule="exact"/>
              <w:ind w:left="68" w:right="712"/>
              <w:rPr>
                <w:sz w:val="20"/>
              </w:rPr>
            </w:pPr>
            <w:r>
              <w:rPr>
                <w:sz w:val="20"/>
              </w:rPr>
              <w:t>Directora</w:t>
            </w:r>
            <w:r>
              <w:rPr>
                <w:spacing w:val="-14"/>
                <w:sz w:val="20"/>
              </w:rPr>
              <w:t> </w:t>
            </w:r>
            <w:r>
              <w:rPr>
                <w:sz w:val="20"/>
              </w:rPr>
              <w:t>de Gestión de </w:t>
            </w:r>
            <w:r>
              <w:rPr>
                <w:spacing w:val="-2"/>
                <w:sz w:val="20"/>
              </w:rPr>
              <w:t>Recursos</w:t>
            </w:r>
          </w:p>
        </w:tc>
        <w:tc>
          <w:tcPr>
            <w:tcW w:w="1596" w:type="dxa"/>
            <w:tcBorders>
              <w:top w:val="nil"/>
              <w:bottom w:val="nil"/>
            </w:tcBorders>
          </w:tcPr>
          <w:p>
            <w:pPr>
              <w:pStyle w:val="TableParagraph"/>
              <w:rPr>
                <w:rFonts w:ascii="Times New Roman"/>
                <w:sz w:val="20"/>
              </w:rPr>
            </w:pPr>
          </w:p>
        </w:tc>
        <w:tc>
          <w:tcPr>
            <w:tcW w:w="1200" w:type="dxa"/>
          </w:tcPr>
          <w:p>
            <w:pPr>
              <w:pStyle w:val="TableParagraph"/>
              <w:spacing w:before="229"/>
              <w:ind w:left="16" w:right="95"/>
              <w:jc w:val="center"/>
              <w:rPr>
                <w:sz w:val="20"/>
              </w:rPr>
            </w:pPr>
            <w:r>
              <w:rPr>
                <w:spacing w:val="-2"/>
                <w:sz w:val="20"/>
              </w:rPr>
              <w:t>2202-</w:t>
            </w:r>
            <w:r>
              <w:rPr>
                <w:spacing w:val="-4"/>
                <w:sz w:val="20"/>
              </w:rPr>
              <w:t>4220</w:t>
            </w:r>
          </w:p>
        </w:tc>
        <w:tc>
          <w:tcPr>
            <w:tcW w:w="2317" w:type="dxa"/>
          </w:tcPr>
          <w:p>
            <w:pPr>
              <w:pStyle w:val="TableParagraph"/>
              <w:spacing w:before="229"/>
              <w:ind w:left="69"/>
              <w:rPr>
                <w:sz w:val="20"/>
              </w:rPr>
            </w:pPr>
            <w:hyperlink r:id="rId13">
              <w:r>
                <w:rPr>
                  <w:spacing w:val="-2"/>
                  <w:sz w:val="20"/>
                  <w:u w:val="single"/>
                </w:rPr>
                <w:t>ccarvajal@imas.go.cr</w:t>
              </w:r>
            </w:hyperlink>
          </w:p>
        </w:tc>
      </w:tr>
      <w:tr>
        <w:trPr>
          <w:trHeight w:val="495" w:hRule="atLeast"/>
        </w:trPr>
        <w:tc>
          <w:tcPr>
            <w:tcW w:w="2348" w:type="dxa"/>
          </w:tcPr>
          <w:p>
            <w:pPr>
              <w:pStyle w:val="TableParagraph"/>
              <w:spacing w:before="131"/>
              <w:ind w:left="69"/>
              <w:rPr>
                <w:b/>
                <w:sz w:val="20"/>
              </w:rPr>
            </w:pPr>
            <w:r>
              <w:rPr>
                <w:b/>
                <w:sz w:val="20"/>
              </w:rPr>
              <w:t>Jafeth</w:t>
            </w:r>
            <w:r>
              <w:rPr>
                <w:b/>
                <w:spacing w:val="-7"/>
                <w:sz w:val="20"/>
              </w:rPr>
              <w:t> </w:t>
            </w:r>
            <w:r>
              <w:rPr>
                <w:b/>
                <w:sz w:val="20"/>
              </w:rPr>
              <w:t>Soto</w:t>
            </w:r>
            <w:r>
              <w:rPr>
                <w:b/>
                <w:spacing w:val="-5"/>
                <w:sz w:val="20"/>
              </w:rPr>
              <w:t> </w:t>
            </w:r>
            <w:r>
              <w:rPr>
                <w:b/>
                <w:spacing w:val="-2"/>
                <w:sz w:val="20"/>
              </w:rPr>
              <w:t>Sánchez</w:t>
            </w:r>
          </w:p>
        </w:tc>
        <w:tc>
          <w:tcPr>
            <w:tcW w:w="1896" w:type="dxa"/>
          </w:tcPr>
          <w:p>
            <w:pPr>
              <w:pStyle w:val="TableParagraph"/>
              <w:spacing w:line="237" w:lineRule="auto" w:before="20"/>
              <w:ind w:left="68"/>
              <w:rPr>
                <w:sz w:val="20"/>
              </w:rPr>
            </w:pPr>
            <w:r>
              <w:rPr>
                <w:sz w:val="20"/>
              </w:rPr>
              <w:t>Director</w:t>
            </w:r>
            <w:r>
              <w:rPr>
                <w:spacing w:val="-14"/>
                <w:sz w:val="20"/>
              </w:rPr>
              <w:t> </w:t>
            </w:r>
            <w:r>
              <w:rPr>
                <w:sz w:val="20"/>
              </w:rPr>
              <w:t>de</w:t>
            </w:r>
            <w:r>
              <w:rPr>
                <w:spacing w:val="-14"/>
                <w:sz w:val="20"/>
              </w:rPr>
              <w:t> </w:t>
            </w:r>
            <w:r>
              <w:rPr>
                <w:sz w:val="20"/>
              </w:rPr>
              <w:t>Soporte </w:t>
            </w:r>
            <w:r>
              <w:rPr>
                <w:spacing w:val="-2"/>
                <w:sz w:val="20"/>
              </w:rPr>
              <w:t>Administrativo</w:t>
            </w:r>
          </w:p>
        </w:tc>
        <w:tc>
          <w:tcPr>
            <w:tcW w:w="1596" w:type="dxa"/>
            <w:tcBorders>
              <w:top w:val="nil"/>
            </w:tcBorders>
          </w:tcPr>
          <w:p>
            <w:pPr>
              <w:pStyle w:val="TableParagraph"/>
              <w:rPr>
                <w:rFonts w:ascii="Times New Roman"/>
                <w:sz w:val="20"/>
              </w:rPr>
            </w:pPr>
          </w:p>
        </w:tc>
        <w:tc>
          <w:tcPr>
            <w:tcW w:w="1200" w:type="dxa"/>
          </w:tcPr>
          <w:p>
            <w:pPr>
              <w:pStyle w:val="TableParagraph"/>
              <w:spacing w:before="131"/>
              <w:ind w:left="16" w:right="95"/>
              <w:jc w:val="center"/>
              <w:rPr>
                <w:sz w:val="20"/>
              </w:rPr>
            </w:pPr>
            <w:r>
              <w:rPr>
                <w:spacing w:val="-2"/>
                <w:sz w:val="20"/>
              </w:rPr>
              <w:t>2202-</w:t>
            </w:r>
            <w:r>
              <w:rPr>
                <w:spacing w:val="-4"/>
                <w:sz w:val="20"/>
              </w:rPr>
              <w:t>4239</w:t>
            </w:r>
          </w:p>
        </w:tc>
        <w:tc>
          <w:tcPr>
            <w:tcW w:w="2317" w:type="dxa"/>
          </w:tcPr>
          <w:p>
            <w:pPr>
              <w:pStyle w:val="TableParagraph"/>
              <w:spacing w:before="131"/>
              <w:ind w:left="69"/>
              <w:rPr>
                <w:sz w:val="20"/>
              </w:rPr>
            </w:pPr>
            <w:hyperlink r:id="rId14">
              <w:r>
                <w:rPr>
                  <w:spacing w:val="-2"/>
                  <w:sz w:val="20"/>
                  <w:u w:val="single"/>
                </w:rPr>
                <w:t>jsotos@imas.go.cr</w:t>
              </w:r>
            </w:hyperlink>
          </w:p>
        </w:tc>
      </w:tr>
    </w:tbl>
    <w:p>
      <w:pPr>
        <w:spacing w:before="2"/>
        <w:ind w:left="1625" w:right="0" w:firstLine="0"/>
        <w:jc w:val="both"/>
        <w:rPr>
          <w:sz w:val="18"/>
        </w:rPr>
      </w:pPr>
      <w:r>
        <w:rPr>
          <w:sz w:val="18"/>
        </w:rPr>
        <w:t>Fuente:</w:t>
      </w:r>
      <w:r>
        <w:rPr>
          <w:spacing w:val="-5"/>
          <w:sz w:val="18"/>
        </w:rPr>
        <w:t> </w:t>
      </w:r>
      <w:r>
        <w:rPr>
          <w:sz w:val="18"/>
        </w:rPr>
        <w:t>Elaborado</w:t>
      </w:r>
      <w:r>
        <w:rPr>
          <w:spacing w:val="-4"/>
          <w:sz w:val="18"/>
        </w:rPr>
        <w:t> </w:t>
      </w:r>
      <w:r>
        <w:rPr>
          <w:sz w:val="18"/>
        </w:rPr>
        <w:t>por</w:t>
      </w:r>
      <w:r>
        <w:rPr>
          <w:spacing w:val="-4"/>
          <w:sz w:val="18"/>
        </w:rPr>
        <w:t> </w:t>
      </w:r>
      <w:r>
        <w:rPr>
          <w:sz w:val="18"/>
        </w:rPr>
        <w:t>Unidad</w:t>
      </w:r>
      <w:r>
        <w:rPr>
          <w:spacing w:val="-7"/>
          <w:sz w:val="18"/>
        </w:rPr>
        <w:t> </w:t>
      </w:r>
      <w:r>
        <w:rPr>
          <w:sz w:val="18"/>
        </w:rPr>
        <w:t>de</w:t>
      </w:r>
      <w:r>
        <w:rPr>
          <w:spacing w:val="-4"/>
          <w:sz w:val="18"/>
        </w:rPr>
        <w:t> </w:t>
      </w:r>
      <w:r>
        <w:rPr>
          <w:sz w:val="18"/>
        </w:rPr>
        <w:t>Planificación</w:t>
      </w:r>
      <w:r>
        <w:rPr>
          <w:spacing w:val="-4"/>
          <w:sz w:val="18"/>
        </w:rPr>
        <w:t> </w:t>
      </w:r>
      <w:r>
        <w:rPr>
          <w:sz w:val="18"/>
        </w:rPr>
        <w:t>Institucional,</w:t>
      </w:r>
      <w:r>
        <w:rPr>
          <w:spacing w:val="-6"/>
          <w:sz w:val="18"/>
        </w:rPr>
        <w:t> </w:t>
      </w:r>
      <w:r>
        <w:rPr>
          <w:spacing w:val="-4"/>
          <w:sz w:val="18"/>
        </w:rPr>
        <w:t>2026</w:t>
      </w:r>
    </w:p>
    <w:p>
      <w:pPr>
        <w:pStyle w:val="BodyText"/>
        <w:spacing w:before="70"/>
        <w:rPr>
          <w:sz w:val="18"/>
        </w:rPr>
      </w:pPr>
    </w:p>
    <w:p>
      <w:pPr>
        <w:pStyle w:val="Heading3"/>
        <w:numPr>
          <w:ilvl w:val="1"/>
          <w:numId w:val="4"/>
        </w:numPr>
        <w:tabs>
          <w:tab w:pos="2023" w:val="left" w:leader="none"/>
        </w:tabs>
        <w:spacing w:line="240" w:lineRule="auto" w:before="0" w:after="0"/>
        <w:ind w:left="1625" w:right="1608" w:firstLine="0"/>
        <w:jc w:val="left"/>
      </w:pPr>
      <w:bookmarkStart w:name="_bookmark4" w:id="5"/>
      <w:bookmarkEnd w:id="5"/>
      <w:r>
        <w:rPr>
          <w:b w:val="0"/>
        </w:rPr>
      </w:r>
      <w:r>
        <w:rPr/>
        <w:t>Nombres</w:t>
      </w:r>
      <w:r>
        <w:rPr>
          <w:spacing w:val="-6"/>
        </w:rPr>
        <w:t> </w:t>
      </w:r>
      <w:r>
        <w:rPr/>
        <w:t>y</w:t>
      </w:r>
      <w:r>
        <w:rPr>
          <w:spacing w:val="-5"/>
        </w:rPr>
        <w:t> </w:t>
      </w:r>
      <w:r>
        <w:rPr/>
        <w:t>cargos</w:t>
      </w:r>
      <w:r>
        <w:rPr>
          <w:spacing w:val="-4"/>
        </w:rPr>
        <w:t> </w:t>
      </w:r>
      <w:r>
        <w:rPr/>
        <w:t>de</w:t>
      </w:r>
      <w:r>
        <w:rPr>
          <w:spacing w:val="-6"/>
        </w:rPr>
        <w:t> </w:t>
      </w:r>
      <w:r>
        <w:rPr/>
        <w:t>las</w:t>
      </w:r>
      <w:r>
        <w:rPr>
          <w:spacing w:val="-6"/>
        </w:rPr>
        <w:t> </w:t>
      </w:r>
      <w:r>
        <w:rPr/>
        <w:t>personas</w:t>
      </w:r>
      <w:r>
        <w:rPr>
          <w:spacing w:val="-6"/>
        </w:rPr>
        <w:t> </w:t>
      </w:r>
      <w:r>
        <w:rPr/>
        <w:t>responsables</w:t>
      </w:r>
      <w:r>
        <w:rPr>
          <w:spacing w:val="-6"/>
        </w:rPr>
        <w:t> </w:t>
      </w:r>
      <w:r>
        <w:rPr/>
        <w:t>de</w:t>
      </w:r>
      <w:r>
        <w:rPr>
          <w:spacing w:val="-6"/>
        </w:rPr>
        <w:t> </w:t>
      </w:r>
      <w:r>
        <w:rPr/>
        <w:t>otras</w:t>
      </w:r>
      <w:r>
        <w:rPr>
          <w:spacing w:val="-6"/>
        </w:rPr>
        <w:t> </w:t>
      </w:r>
      <w:r>
        <w:rPr/>
        <w:t>dependencias que intervienen en la ejecución de los recursos</w:t>
      </w:r>
    </w:p>
    <w:p>
      <w:pPr>
        <w:pStyle w:val="BodyText"/>
        <w:spacing w:before="230"/>
        <w:rPr>
          <w:b/>
          <w:sz w:val="24"/>
        </w:rPr>
      </w:pPr>
    </w:p>
    <w:p>
      <w:pPr>
        <w:pStyle w:val="Heading5"/>
        <w:ind w:left="1460" w:right="1306"/>
        <w:jc w:val="center"/>
      </w:pPr>
      <w:bookmarkStart w:name="_bookmark5" w:id="6"/>
      <w:bookmarkEnd w:id="6"/>
      <w:r>
        <w:rPr>
          <w:b w:val="0"/>
        </w:rPr>
      </w:r>
      <w:r>
        <w:rPr/>
        <w:t>Tabla</w:t>
      </w:r>
      <w:r>
        <w:rPr>
          <w:spacing w:val="-4"/>
        </w:rPr>
        <w:t> </w:t>
      </w:r>
      <w:r>
        <w:rPr/>
        <w:t>2:</w:t>
      </w:r>
      <w:r>
        <w:rPr>
          <w:spacing w:val="-3"/>
        </w:rPr>
        <w:t> </w:t>
      </w:r>
      <w:r>
        <w:rPr/>
        <w:t>Nombre</w:t>
      </w:r>
      <w:r>
        <w:rPr>
          <w:spacing w:val="-3"/>
        </w:rPr>
        <w:t> </w:t>
      </w:r>
      <w:r>
        <w:rPr/>
        <w:t>y</w:t>
      </w:r>
      <w:r>
        <w:rPr>
          <w:spacing w:val="-7"/>
        </w:rPr>
        <w:t> </w:t>
      </w:r>
      <w:r>
        <w:rPr/>
        <w:t>cargos</w:t>
      </w:r>
      <w:r>
        <w:rPr>
          <w:spacing w:val="-4"/>
        </w:rPr>
        <w:t> </w:t>
      </w:r>
      <w:r>
        <w:rPr/>
        <w:t>de</w:t>
      </w:r>
      <w:r>
        <w:rPr>
          <w:spacing w:val="-6"/>
        </w:rPr>
        <w:t> </w:t>
      </w:r>
      <w:r>
        <w:rPr/>
        <w:t>las</w:t>
      </w:r>
      <w:r>
        <w:rPr>
          <w:spacing w:val="-4"/>
        </w:rPr>
        <w:t> </w:t>
      </w:r>
      <w:r>
        <w:rPr/>
        <w:t>personas</w:t>
      </w:r>
      <w:r>
        <w:rPr>
          <w:spacing w:val="-5"/>
        </w:rPr>
        <w:t> </w:t>
      </w:r>
      <w:r>
        <w:rPr/>
        <w:t>responsables</w:t>
      </w:r>
      <w:r>
        <w:rPr>
          <w:spacing w:val="-4"/>
        </w:rPr>
        <w:t> </w:t>
      </w:r>
      <w:r>
        <w:rPr/>
        <w:t>de</w:t>
      </w:r>
      <w:r>
        <w:rPr>
          <w:spacing w:val="-7"/>
        </w:rPr>
        <w:t> </w:t>
      </w:r>
      <w:r>
        <w:rPr/>
        <w:t>instancias</w:t>
      </w:r>
      <w:r>
        <w:rPr>
          <w:spacing w:val="-4"/>
        </w:rPr>
        <w:t> </w:t>
      </w:r>
      <w:r>
        <w:rPr/>
        <w:t>staff</w:t>
      </w:r>
      <w:r>
        <w:rPr>
          <w:spacing w:val="-5"/>
        </w:rPr>
        <w:t> </w:t>
      </w:r>
      <w:r>
        <w:rPr/>
        <w:t>del</w:t>
      </w:r>
      <w:r>
        <w:rPr>
          <w:spacing w:val="-5"/>
        </w:rPr>
        <w:t> </w:t>
      </w:r>
      <w:r>
        <w:rPr>
          <w:spacing w:val="-4"/>
        </w:rPr>
        <w:t>IMAS</w:t>
      </w:r>
    </w:p>
    <w:p>
      <w:pPr>
        <w:pStyle w:val="BodyText"/>
        <w:spacing w:before="45"/>
        <w:rPr>
          <w:b/>
          <w:sz w:val="20"/>
        </w:rPr>
      </w:pPr>
    </w:p>
    <w:tbl>
      <w:tblPr>
        <w:tblW w:w="0" w:type="auto"/>
        <w:jc w:val="left"/>
        <w:tblInd w:w="1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0"/>
        <w:gridCol w:w="1843"/>
        <w:gridCol w:w="1560"/>
        <w:gridCol w:w="1305"/>
        <w:gridCol w:w="2378"/>
      </w:tblGrid>
      <w:tr>
        <w:trPr>
          <w:trHeight w:val="481" w:hRule="atLeast"/>
        </w:trPr>
        <w:tc>
          <w:tcPr>
            <w:tcW w:w="2410" w:type="dxa"/>
            <w:shd w:val="clear" w:color="auto" w:fill="0E233D"/>
          </w:tcPr>
          <w:p>
            <w:pPr>
              <w:pStyle w:val="TableParagraph"/>
              <w:spacing w:before="126"/>
              <w:ind w:left="69"/>
              <w:rPr>
                <w:sz w:val="20"/>
              </w:rPr>
            </w:pPr>
            <w:r>
              <w:rPr>
                <w:color w:val="FFFFFF"/>
                <w:spacing w:val="-2"/>
                <w:sz w:val="20"/>
              </w:rPr>
              <w:t>Nombre</w:t>
            </w:r>
          </w:p>
        </w:tc>
        <w:tc>
          <w:tcPr>
            <w:tcW w:w="1843" w:type="dxa"/>
            <w:shd w:val="clear" w:color="auto" w:fill="0E233D"/>
          </w:tcPr>
          <w:p>
            <w:pPr>
              <w:pStyle w:val="TableParagraph"/>
              <w:spacing w:before="126"/>
              <w:ind w:left="10"/>
              <w:jc w:val="center"/>
              <w:rPr>
                <w:sz w:val="20"/>
              </w:rPr>
            </w:pPr>
            <w:r>
              <w:rPr>
                <w:color w:val="FFFFFF"/>
                <w:spacing w:val="-2"/>
                <w:sz w:val="20"/>
              </w:rPr>
              <w:t>Cargo</w:t>
            </w:r>
          </w:p>
        </w:tc>
        <w:tc>
          <w:tcPr>
            <w:tcW w:w="1560" w:type="dxa"/>
            <w:shd w:val="clear" w:color="auto" w:fill="0E233D"/>
          </w:tcPr>
          <w:p>
            <w:pPr>
              <w:pStyle w:val="TableParagraph"/>
              <w:spacing w:before="126"/>
              <w:ind w:left="362"/>
              <w:rPr>
                <w:sz w:val="20"/>
              </w:rPr>
            </w:pPr>
            <w:r>
              <w:rPr>
                <w:color w:val="FFFFFF"/>
                <w:spacing w:val="-2"/>
                <w:sz w:val="20"/>
              </w:rPr>
              <w:t>Dirección</w:t>
            </w:r>
          </w:p>
        </w:tc>
        <w:tc>
          <w:tcPr>
            <w:tcW w:w="1305" w:type="dxa"/>
            <w:shd w:val="clear" w:color="auto" w:fill="0E233D"/>
          </w:tcPr>
          <w:p>
            <w:pPr>
              <w:pStyle w:val="TableParagraph"/>
              <w:spacing w:before="126"/>
              <w:ind w:left="9"/>
              <w:jc w:val="center"/>
              <w:rPr>
                <w:sz w:val="20"/>
              </w:rPr>
            </w:pPr>
            <w:r>
              <w:rPr>
                <w:color w:val="FFFFFF"/>
                <w:spacing w:val="-2"/>
                <w:sz w:val="20"/>
              </w:rPr>
              <w:t>Teléfono</w:t>
            </w:r>
          </w:p>
        </w:tc>
        <w:tc>
          <w:tcPr>
            <w:tcW w:w="2378" w:type="dxa"/>
            <w:shd w:val="clear" w:color="auto" w:fill="0E233D"/>
          </w:tcPr>
          <w:p>
            <w:pPr>
              <w:pStyle w:val="TableParagraph"/>
              <w:spacing w:before="126"/>
              <w:ind w:left="363"/>
              <w:rPr>
                <w:sz w:val="20"/>
              </w:rPr>
            </w:pPr>
            <w:r>
              <w:rPr>
                <w:color w:val="FFFFFF"/>
                <w:sz w:val="20"/>
              </w:rPr>
              <w:t>Correo</w:t>
            </w:r>
            <w:r>
              <w:rPr>
                <w:color w:val="FFFFFF"/>
                <w:spacing w:val="-10"/>
                <w:sz w:val="20"/>
              </w:rPr>
              <w:t> </w:t>
            </w:r>
            <w:r>
              <w:rPr>
                <w:color w:val="FFFFFF"/>
                <w:spacing w:val="-2"/>
                <w:sz w:val="20"/>
              </w:rPr>
              <w:t>Electrónico</w:t>
            </w:r>
          </w:p>
        </w:tc>
      </w:tr>
      <w:tr>
        <w:trPr>
          <w:trHeight w:val="688" w:hRule="atLeast"/>
        </w:trPr>
        <w:tc>
          <w:tcPr>
            <w:tcW w:w="2410" w:type="dxa"/>
          </w:tcPr>
          <w:p>
            <w:pPr>
              <w:pStyle w:val="TableParagraph"/>
              <w:spacing w:before="228"/>
              <w:ind w:left="69"/>
              <w:rPr>
                <w:b/>
                <w:sz w:val="20"/>
              </w:rPr>
            </w:pPr>
            <w:r>
              <w:rPr>
                <w:b/>
                <w:sz w:val="20"/>
              </w:rPr>
              <w:t>Lic.</w:t>
            </w:r>
            <w:r>
              <w:rPr>
                <w:b/>
                <w:spacing w:val="-8"/>
                <w:sz w:val="20"/>
              </w:rPr>
              <w:t> </w:t>
            </w:r>
            <w:r>
              <w:rPr>
                <w:b/>
                <w:sz w:val="20"/>
              </w:rPr>
              <w:t>Berny</w:t>
            </w:r>
            <w:r>
              <w:rPr>
                <w:b/>
                <w:spacing w:val="-5"/>
                <w:sz w:val="20"/>
              </w:rPr>
              <w:t> </w:t>
            </w:r>
            <w:r>
              <w:rPr>
                <w:b/>
                <w:sz w:val="20"/>
              </w:rPr>
              <w:t>Vargas</w:t>
            </w:r>
            <w:r>
              <w:rPr>
                <w:b/>
                <w:spacing w:val="-6"/>
                <w:sz w:val="20"/>
              </w:rPr>
              <w:t> </w:t>
            </w:r>
            <w:r>
              <w:rPr>
                <w:b/>
                <w:spacing w:val="-4"/>
                <w:sz w:val="20"/>
              </w:rPr>
              <w:t>Mejía</w:t>
            </w:r>
          </w:p>
        </w:tc>
        <w:tc>
          <w:tcPr>
            <w:tcW w:w="1843" w:type="dxa"/>
          </w:tcPr>
          <w:p>
            <w:pPr>
              <w:pStyle w:val="TableParagraph"/>
              <w:spacing w:before="113"/>
              <w:ind w:left="71" w:right="210"/>
              <w:rPr>
                <w:sz w:val="20"/>
              </w:rPr>
            </w:pPr>
            <w:r>
              <w:rPr>
                <w:sz w:val="20"/>
              </w:rPr>
              <w:t>Jefatura de Asesoría</w:t>
            </w:r>
            <w:r>
              <w:rPr>
                <w:spacing w:val="-14"/>
                <w:sz w:val="20"/>
              </w:rPr>
              <w:t> </w:t>
            </w:r>
            <w:r>
              <w:rPr>
                <w:sz w:val="20"/>
              </w:rPr>
              <w:t>Jurídica</w:t>
            </w:r>
          </w:p>
        </w:tc>
        <w:tc>
          <w:tcPr>
            <w:tcW w:w="1560" w:type="dxa"/>
          </w:tcPr>
          <w:p>
            <w:pPr>
              <w:pStyle w:val="TableParagraph"/>
              <w:ind w:left="69" w:right="296"/>
              <w:rPr>
                <w:sz w:val="20"/>
              </w:rPr>
            </w:pPr>
            <w:r>
              <w:rPr>
                <w:spacing w:val="-2"/>
                <w:sz w:val="20"/>
              </w:rPr>
              <w:t>Oficinas </w:t>
            </w:r>
            <w:r>
              <w:rPr>
                <w:sz w:val="20"/>
              </w:rPr>
              <w:t>Centrales</w:t>
            </w:r>
            <w:r>
              <w:rPr>
                <w:spacing w:val="-14"/>
                <w:sz w:val="20"/>
              </w:rPr>
              <w:t> </w:t>
            </w:r>
            <w:r>
              <w:rPr>
                <w:sz w:val="20"/>
              </w:rPr>
              <w:t>del</w:t>
            </w:r>
          </w:p>
          <w:p>
            <w:pPr>
              <w:pStyle w:val="TableParagraph"/>
              <w:spacing w:line="210" w:lineRule="exact"/>
              <w:ind w:left="69"/>
              <w:rPr>
                <w:sz w:val="20"/>
              </w:rPr>
            </w:pPr>
            <w:r>
              <w:rPr>
                <w:spacing w:val="-2"/>
                <w:sz w:val="20"/>
              </w:rPr>
              <w:t>IMAS.</w:t>
            </w:r>
          </w:p>
        </w:tc>
        <w:tc>
          <w:tcPr>
            <w:tcW w:w="1305" w:type="dxa"/>
          </w:tcPr>
          <w:p>
            <w:pPr>
              <w:pStyle w:val="TableParagraph"/>
              <w:spacing w:before="228"/>
              <w:ind w:left="9" w:right="3"/>
              <w:jc w:val="center"/>
              <w:rPr>
                <w:sz w:val="20"/>
              </w:rPr>
            </w:pPr>
            <w:r>
              <w:rPr>
                <w:spacing w:val="-2"/>
                <w:sz w:val="20"/>
              </w:rPr>
              <w:t>2202-</w:t>
            </w:r>
            <w:r>
              <w:rPr>
                <w:spacing w:val="-4"/>
                <w:sz w:val="20"/>
              </w:rPr>
              <w:t>4140</w:t>
            </w:r>
          </w:p>
        </w:tc>
        <w:tc>
          <w:tcPr>
            <w:tcW w:w="2378" w:type="dxa"/>
          </w:tcPr>
          <w:p>
            <w:pPr>
              <w:pStyle w:val="TableParagraph"/>
              <w:spacing w:before="228"/>
              <w:ind w:left="73"/>
              <w:rPr>
                <w:sz w:val="20"/>
              </w:rPr>
            </w:pPr>
            <w:hyperlink r:id="rId15">
              <w:r>
                <w:rPr>
                  <w:spacing w:val="-2"/>
                  <w:sz w:val="20"/>
                  <w:u w:val="single"/>
                </w:rPr>
                <w:t>bvargas@imas.go.cr</w:t>
              </w:r>
            </w:hyperlink>
          </w:p>
        </w:tc>
      </w:tr>
      <w:tr>
        <w:trPr>
          <w:trHeight w:val="690" w:hRule="atLeast"/>
        </w:trPr>
        <w:tc>
          <w:tcPr>
            <w:tcW w:w="2410" w:type="dxa"/>
          </w:tcPr>
          <w:p>
            <w:pPr>
              <w:pStyle w:val="TableParagraph"/>
              <w:spacing w:before="114"/>
              <w:ind w:left="69"/>
              <w:rPr>
                <w:b/>
                <w:sz w:val="20"/>
              </w:rPr>
            </w:pPr>
            <w:r>
              <w:rPr>
                <w:b/>
                <w:sz w:val="20"/>
              </w:rPr>
              <w:t>Lic.</w:t>
            </w:r>
            <w:r>
              <w:rPr>
                <w:b/>
                <w:spacing w:val="-14"/>
                <w:sz w:val="20"/>
              </w:rPr>
              <w:t> </w:t>
            </w:r>
            <w:r>
              <w:rPr>
                <w:b/>
                <w:sz w:val="20"/>
              </w:rPr>
              <w:t>Marvin</w:t>
            </w:r>
            <w:r>
              <w:rPr>
                <w:b/>
                <w:spacing w:val="-14"/>
                <w:sz w:val="20"/>
              </w:rPr>
              <w:t> </w:t>
            </w:r>
            <w:r>
              <w:rPr>
                <w:b/>
                <w:sz w:val="20"/>
              </w:rPr>
              <w:t>Chaves </w:t>
            </w:r>
            <w:r>
              <w:rPr>
                <w:b/>
                <w:spacing w:val="-2"/>
                <w:sz w:val="20"/>
              </w:rPr>
              <w:t>Thomas</w:t>
            </w:r>
          </w:p>
        </w:tc>
        <w:tc>
          <w:tcPr>
            <w:tcW w:w="1843" w:type="dxa"/>
          </w:tcPr>
          <w:p>
            <w:pPr>
              <w:pStyle w:val="TableParagraph"/>
              <w:spacing w:line="230" w:lineRule="exact"/>
              <w:ind w:left="71" w:right="210"/>
              <w:rPr>
                <w:sz w:val="20"/>
              </w:rPr>
            </w:pPr>
            <w:r>
              <w:rPr>
                <w:sz w:val="20"/>
              </w:rPr>
              <w:t>Jefatura de </w:t>
            </w:r>
            <w:r>
              <w:rPr>
                <w:spacing w:val="-2"/>
                <w:sz w:val="20"/>
              </w:rPr>
              <w:t>Planificación Institucional</w:t>
            </w:r>
          </w:p>
        </w:tc>
        <w:tc>
          <w:tcPr>
            <w:tcW w:w="1560" w:type="dxa"/>
          </w:tcPr>
          <w:p>
            <w:pPr>
              <w:pStyle w:val="TableParagraph"/>
              <w:spacing w:line="230" w:lineRule="exact"/>
              <w:ind w:left="69" w:right="296"/>
              <w:rPr>
                <w:sz w:val="20"/>
              </w:rPr>
            </w:pPr>
            <w:r>
              <w:rPr>
                <w:sz w:val="20"/>
              </w:rPr>
              <w:t>San</w:t>
            </w:r>
            <w:r>
              <w:rPr>
                <w:spacing w:val="-14"/>
                <w:sz w:val="20"/>
              </w:rPr>
              <w:t> </w:t>
            </w:r>
            <w:r>
              <w:rPr>
                <w:sz w:val="20"/>
              </w:rPr>
              <w:t>José,</w:t>
            </w:r>
            <w:r>
              <w:rPr>
                <w:spacing w:val="-14"/>
                <w:sz w:val="20"/>
              </w:rPr>
              <w:t> </w:t>
            </w:r>
            <w:r>
              <w:rPr>
                <w:sz w:val="20"/>
              </w:rPr>
              <w:t>B° </w:t>
            </w:r>
            <w:r>
              <w:rPr>
                <w:spacing w:val="-2"/>
                <w:sz w:val="20"/>
              </w:rPr>
              <w:t>Francisco Peralta</w:t>
            </w:r>
          </w:p>
        </w:tc>
        <w:tc>
          <w:tcPr>
            <w:tcW w:w="1305" w:type="dxa"/>
          </w:tcPr>
          <w:p>
            <w:pPr>
              <w:pStyle w:val="TableParagraph"/>
              <w:spacing w:before="230"/>
              <w:ind w:left="9" w:right="3"/>
              <w:jc w:val="center"/>
              <w:rPr>
                <w:sz w:val="20"/>
              </w:rPr>
            </w:pPr>
            <w:r>
              <w:rPr>
                <w:spacing w:val="-2"/>
                <w:sz w:val="20"/>
              </w:rPr>
              <w:t>2202-</w:t>
            </w:r>
            <w:r>
              <w:rPr>
                <w:spacing w:val="-4"/>
                <w:sz w:val="20"/>
              </w:rPr>
              <w:t>4166</w:t>
            </w:r>
          </w:p>
        </w:tc>
        <w:tc>
          <w:tcPr>
            <w:tcW w:w="2378" w:type="dxa"/>
          </w:tcPr>
          <w:p>
            <w:pPr>
              <w:pStyle w:val="TableParagraph"/>
              <w:spacing w:before="230"/>
              <w:ind w:left="73"/>
              <w:rPr>
                <w:sz w:val="20"/>
              </w:rPr>
            </w:pPr>
            <w:hyperlink r:id="rId16">
              <w:r>
                <w:rPr>
                  <w:spacing w:val="-2"/>
                  <w:sz w:val="20"/>
                  <w:u w:val="single"/>
                </w:rPr>
                <w:t>mchavest@imas.go.cr</w:t>
              </w:r>
            </w:hyperlink>
          </w:p>
        </w:tc>
      </w:tr>
      <w:tr>
        <w:trPr>
          <w:trHeight w:val="599" w:hRule="atLeast"/>
        </w:trPr>
        <w:tc>
          <w:tcPr>
            <w:tcW w:w="2410" w:type="dxa"/>
          </w:tcPr>
          <w:p>
            <w:pPr>
              <w:pStyle w:val="TableParagraph"/>
              <w:spacing w:before="69"/>
              <w:ind w:left="69"/>
              <w:rPr>
                <w:b/>
                <w:sz w:val="20"/>
              </w:rPr>
            </w:pPr>
            <w:r>
              <w:rPr>
                <w:b/>
                <w:sz w:val="20"/>
              </w:rPr>
              <w:t>Licda.</w:t>
            </w:r>
            <w:r>
              <w:rPr>
                <w:b/>
                <w:spacing w:val="-14"/>
                <w:sz w:val="20"/>
              </w:rPr>
              <w:t> </w:t>
            </w:r>
            <w:r>
              <w:rPr>
                <w:b/>
                <w:sz w:val="20"/>
              </w:rPr>
              <w:t>Silvia</w:t>
            </w:r>
            <w:r>
              <w:rPr>
                <w:b/>
                <w:spacing w:val="-14"/>
                <w:sz w:val="20"/>
              </w:rPr>
              <w:t> </w:t>
            </w:r>
            <w:r>
              <w:rPr>
                <w:b/>
                <w:sz w:val="20"/>
              </w:rPr>
              <w:t>Morales </w:t>
            </w:r>
            <w:r>
              <w:rPr>
                <w:b/>
                <w:spacing w:val="-2"/>
                <w:sz w:val="20"/>
              </w:rPr>
              <w:t>Jiménez</w:t>
            </w:r>
          </w:p>
        </w:tc>
        <w:tc>
          <w:tcPr>
            <w:tcW w:w="1843" w:type="dxa"/>
          </w:tcPr>
          <w:p>
            <w:pPr>
              <w:pStyle w:val="TableParagraph"/>
              <w:spacing w:before="69"/>
              <w:ind w:left="71" w:right="210"/>
              <w:rPr>
                <w:sz w:val="20"/>
              </w:rPr>
            </w:pPr>
            <w:r>
              <w:rPr>
                <w:sz w:val="20"/>
              </w:rPr>
              <w:t>Jefatura del Departamento</w:t>
            </w:r>
            <w:r>
              <w:rPr>
                <w:spacing w:val="-14"/>
                <w:sz w:val="20"/>
              </w:rPr>
              <w:t> </w:t>
            </w:r>
            <w:r>
              <w:rPr>
                <w:sz w:val="20"/>
              </w:rPr>
              <w:t>de</w:t>
            </w:r>
          </w:p>
        </w:tc>
        <w:tc>
          <w:tcPr>
            <w:tcW w:w="1560" w:type="dxa"/>
          </w:tcPr>
          <w:p>
            <w:pPr>
              <w:pStyle w:val="TableParagraph"/>
              <w:rPr>
                <w:rFonts w:ascii="Times New Roman"/>
                <w:sz w:val="20"/>
              </w:rPr>
            </w:pPr>
          </w:p>
        </w:tc>
        <w:tc>
          <w:tcPr>
            <w:tcW w:w="1305" w:type="dxa"/>
          </w:tcPr>
          <w:p>
            <w:pPr>
              <w:pStyle w:val="TableParagraph"/>
              <w:spacing w:before="184"/>
              <w:ind w:left="9" w:right="3"/>
              <w:jc w:val="center"/>
              <w:rPr>
                <w:sz w:val="20"/>
              </w:rPr>
            </w:pPr>
            <w:r>
              <w:rPr>
                <w:spacing w:val="-2"/>
                <w:sz w:val="20"/>
              </w:rPr>
              <w:t>2202-</w:t>
            </w:r>
            <w:r>
              <w:rPr>
                <w:spacing w:val="-4"/>
                <w:sz w:val="20"/>
              </w:rPr>
              <w:t>4099</w:t>
            </w:r>
          </w:p>
        </w:tc>
        <w:tc>
          <w:tcPr>
            <w:tcW w:w="2378" w:type="dxa"/>
          </w:tcPr>
          <w:p>
            <w:pPr>
              <w:pStyle w:val="TableParagraph"/>
              <w:spacing w:before="184"/>
              <w:ind w:left="73"/>
              <w:rPr>
                <w:sz w:val="20"/>
              </w:rPr>
            </w:pPr>
            <w:hyperlink r:id="rId17">
              <w:r>
                <w:rPr>
                  <w:spacing w:val="-2"/>
                  <w:sz w:val="20"/>
                  <w:u w:val="single"/>
                </w:rPr>
                <w:t>smorales@imas.go.cr</w:t>
              </w:r>
            </w:hyperlink>
          </w:p>
        </w:tc>
      </w:tr>
    </w:tbl>
    <w:p>
      <w:pPr>
        <w:pStyle w:val="TableParagraph"/>
        <w:spacing w:after="0"/>
        <w:rPr>
          <w:sz w:val="20"/>
        </w:rPr>
        <w:sectPr>
          <w:pgSz w:w="12240" w:h="15840"/>
          <w:pgMar w:header="0" w:footer="1576" w:top="1000" w:bottom="1760" w:left="360" w:right="0"/>
        </w:sectPr>
      </w:pPr>
    </w:p>
    <w:tbl>
      <w:tblPr>
        <w:tblW w:w="0" w:type="auto"/>
        <w:jc w:val="left"/>
        <w:tblInd w:w="1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0"/>
        <w:gridCol w:w="1843"/>
        <w:gridCol w:w="1560"/>
        <w:gridCol w:w="1305"/>
        <w:gridCol w:w="2378"/>
      </w:tblGrid>
      <w:tr>
        <w:trPr>
          <w:trHeight w:val="479" w:hRule="atLeast"/>
        </w:trPr>
        <w:tc>
          <w:tcPr>
            <w:tcW w:w="2410" w:type="dxa"/>
            <w:shd w:val="clear" w:color="auto" w:fill="0E233D"/>
          </w:tcPr>
          <w:p>
            <w:pPr>
              <w:pStyle w:val="TableParagraph"/>
              <w:spacing w:before="124"/>
              <w:ind w:left="69"/>
              <w:rPr>
                <w:sz w:val="20"/>
              </w:rPr>
            </w:pPr>
            <w:r>
              <w:rPr>
                <w:color w:val="FFFFFF"/>
                <w:spacing w:val="-2"/>
                <w:sz w:val="20"/>
              </w:rPr>
              <w:t>Nombre</w:t>
            </w:r>
          </w:p>
        </w:tc>
        <w:tc>
          <w:tcPr>
            <w:tcW w:w="1843" w:type="dxa"/>
            <w:shd w:val="clear" w:color="auto" w:fill="0E233D"/>
          </w:tcPr>
          <w:p>
            <w:pPr>
              <w:pStyle w:val="TableParagraph"/>
              <w:spacing w:before="124"/>
              <w:ind w:left="10"/>
              <w:jc w:val="center"/>
              <w:rPr>
                <w:sz w:val="20"/>
              </w:rPr>
            </w:pPr>
            <w:r>
              <w:rPr>
                <w:color w:val="FFFFFF"/>
                <w:spacing w:val="-2"/>
                <w:sz w:val="20"/>
              </w:rPr>
              <w:t>Cargo</w:t>
            </w:r>
          </w:p>
        </w:tc>
        <w:tc>
          <w:tcPr>
            <w:tcW w:w="1560" w:type="dxa"/>
            <w:shd w:val="clear" w:color="auto" w:fill="0E233D"/>
          </w:tcPr>
          <w:p>
            <w:pPr>
              <w:pStyle w:val="TableParagraph"/>
              <w:spacing w:before="124"/>
              <w:ind w:left="362"/>
              <w:rPr>
                <w:sz w:val="20"/>
              </w:rPr>
            </w:pPr>
            <w:r>
              <w:rPr>
                <w:color w:val="FFFFFF"/>
                <w:spacing w:val="-2"/>
                <w:sz w:val="20"/>
              </w:rPr>
              <w:t>Dirección</w:t>
            </w:r>
          </w:p>
        </w:tc>
        <w:tc>
          <w:tcPr>
            <w:tcW w:w="1305" w:type="dxa"/>
            <w:shd w:val="clear" w:color="auto" w:fill="0E233D"/>
          </w:tcPr>
          <w:p>
            <w:pPr>
              <w:pStyle w:val="TableParagraph"/>
              <w:spacing w:before="124"/>
              <w:ind w:left="9"/>
              <w:jc w:val="center"/>
              <w:rPr>
                <w:sz w:val="20"/>
              </w:rPr>
            </w:pPr>
            <w:r>
              <w:rPr>
                <w:color w:val="FFFFFF"/>
                <w:spacing w:val="-2"/>
                <w:sz w:val="20"/>
              </w:rPr>
              <w:t>Teléfono</w:t>
            </w:r>
          </w:p>
        </w:tc>
        <w:tc>
          <w:tcPr>
            <w:tcW w:w="2378" w:type="dxa"/>
            <w:shd w:val="clear" w:color="auto" w:fill="0E233D"/>
          </w:tcPr>
          <w:p>
            <w:pPr>
              <w:pStyle w:val="TableParagraph"/>
              <w:spacing w:before="124"/>
              <w:ind w:left="363"/>
              <w:rPr>
                <w:sz w:val="20"/>
              </w:rPr>
            </w:pPr>
            <w:r>
              <w:rPr>
                <w:color w:val="FFFFFF"/>
                <w:sz w:val="20"/>
              </w:rPr>
              <w:t>Correo</w:t>
            </w:r>
            <w:r>
              <w:rPr>
                <w:color w:val="FFFFFF"/>
                <w:spacing w:val="-10"/>
                <w:sz w:val="20"/>
              </w:rPr>
              <w:t> </w:t>
            </w:r>
            <w:r>
              <w:rPr>
                <w:color w:val="FFFFFF"/>
                <w:spacing w:val="-2"/>
                <w:sz w:val="20"/>
              </w:rPr>
              <w:t>Electrónico</w:t>
            </w:r>
          </w:p>
        </w:tc>
      </w:tr>
      <w:tr>
        <w:trPr>
          <w:trHeight w:val="600" w:hRule="atLeast"/>
        </w:trPr>
        <w:tc>
          <w:tcPr>
            <w:tcW w:w="2410" w:type="dxa"/>
          </w:tcPr>
          <w:p>
            <w:pPr>
              <w:pStyle w:val="TableParagraph"/>
              <w:rPr>
                <w:rFonts w:ascii="Times New Roman"/>
                <w:sz w:val="20"/>
              </w:rPr>
            </w:pPr>
          </w:p>
        </w:tc>
        <w:tc>
          <w:tcPr>
            <w:tcW w:w="1843" w:type="dxa"/>
          </w:tcPr>
          <w:p>
            <w:pPr>
              <w:pStyle w:val="TableParagraph"/>
              <w:ind w:left="71" w:right="210"/>
              <w:rPr>
                <w:sz w:val="20"/>
              </w:rPr>
            </w:pPr>
            <w:r>
              <w:rPr>
                <w:spacing w:val="-2"/>
                <w:sz w:val="20"/>
              </w:rPr>
              <w:t>Administración Financiera</w:t>
            </w:r>
          </w:p>
        </w:tc>
        <w:tc>
          <w:tcPr>
            <w:tcW w:w="1560" w:type="dxa"/>
          </w:tcPr>
          <w:p>
            <w:pPr>
              <w:pStyle w:val="TableParagraph"/>
              <w:rPr>
                <w:rFonts w:ascii="Times New Roman"/>
                <w:sz w:val="20"/>
              </w:rPr>
            </w:pPr>
          </w:p>
        </w:tc>
        <w:tc>
          <w:tcPr>
            <w:tcW w:w="1305" w:type="dxa"/>
          </w:tcPr>
          <w:p>
            <w:pPr>
              <w:pStyle w:val="TableParagraph"/>
              <w:rPr>
                <w:rFonts w:ascii="Times New Roman"/>
                <w:sz w:val="20"/>
              </w:rPr>
            </w:pPr>
          </w:p>
        </w:tc>
        <w:tc>
          <w:tcPr>
            <w:tcW w:w="2378" w:type="dxa"/>
          </w:tcPr>
          <w:p>
            <w:pPr>
              <w:pStyle w:val="TableParagraph"/>
              <w:rPr>
                <w:rFonts w:ascii="Times New Roman"/>
                <w:sz w:val="20"/>
              </w:rPr>
            </w:pPr>
          </w:p>
        </w:tc>
      </w:tr>
      <w:tr>
        <w:trPr>
          <w:trHeight w:val="690" w:hRule="atLeast"/>
        </w:trPr>
        <w:tc>
          <w:tcPr>
            <w:tcW w:w="2410" w:type="dxa"/>
          </w:tcPr>
          <w:p>
            <w:pPr>
              <w:pStyle w:val="TableParagraph"/>
              <w:spacing w:before="114"/>
              <w:ind w:left="69" w:right="646"/>
              <w:rPr>
                <w:b/>
                <w:sz w:val="20"/>
              </w:rPr>
            </w:pPr>
            <w:r>
              <w:rPr>
                <w:b/>
                <w:sz w:val="20"/>
              </w:rPr>
              <w:t>Lic. Luis Adolfo González</w:t>
            </w:r>
            <w:r>
              <w:rPr>
                <w:b/>
                <w:spacing w:val="-14"/>
                <w:sz w:val="20"/>
              </w:rPr>
              <w:t> </w:t>
            </w:r>
            <w:r>
              <w:rPr>
                <w:b/>
                <w:sz w:val="20"/>
              </w:rPr>
              <w:t>Alguera</w:t>
            </w:r>
          </w:p>
        </w:tc>
        <w:tc>
          <w:tcPr>
            <w:tcW w:w="1843" w:type="dxa"/>
          </w:tcPr>
          <w:p>
            <w:pPr>
              <w:pStyle w:val="TableParagraph"/>
              <w:spacing w:line="230" w:lineRule="exact"/>
              <w:ind w:left="71" w:right="388"/>
              <w:rPr>
                <w:sz w:val="20"/>
              </w:rPr>
            </w:pPr>
            <w:r>
              <w:rPr>
                <w:sz w:val="20"/>
              </w:rPr>
              <w:t>Jefatura de Tecnologías</w:t>
            </w:r>
            <w:r>
              <w:rPr>
                <w:spacing w:val="-14"/>
                <w:sz w:val="20"/>
              </w:rPr>
              <w:t> </w:t>
            </w:r>
            <w:r>
              <w:rPr>
                <w:sz w:val="20"/>
              </w:rPr>
              <w:t>de </w:t>
            </w:r>
            <w:r>
              <w:rPr>
                <w:spacing w:val="-2"/>
                <w:sz w:val="20"/>
              </w:rPr>
              <w:t>Información</w:t>
            </w:r>
          </w:p>
        </w:tc>
        <w:tc>
          <w:tcPr>
            <w:tcW w:w="1560" w:type="dxa"/>
          </w:tcPr>
          <w:p>
            <w:pPr>
              <w:pStyle w:val="TableParagraph"/>
              <w:rPr>
                <w:rFonts w:ascii="Times New Roman"/>
                <w:sz w:val="20"/>
              </w:rPr>
            </w:pPr>
          </w:p>
        </w:tc>
        <w:tc>
          <w:tcPr>
            <w:tcW w:w="1305" w:type="dxa"/>
          </w:tcPr>
          <w:p>
            <w:pPr>
              <w:pStyle w:val="TableParagraph"/>
              <w:spacing w:before="230"/>
              <w:ind w:left="9" w:right="3"/>
              <w:jc w:val="center"/>
              <w:rPr>
                <w:sz w:val="20"/>
              </w:rPr>
            </w:pPr>
            <w:r>
              <w:rPr>
                <w:spacing w:val="-2"/>
                <w:sz w:val="20"/>
              </w:rPr>
              <w:t>2202-</w:t>
            </w:r>
            <w:r>
              <w:rPr>
                <w:spacing w:val="-4"/>
                <w:sz w:val="20"/>
              </w:rPr>
              <w:t>4258</w:t>
            </w:r>
          </w:p>
        </w:tc>
        <w:tc>
          <w:tcPr>
            <w:tcW w:w="2378" w:type="dxa"/>
          </w:tcPr>
          <w:p>
            <w:pPr>
              <w:pStyle w:val="TableParagraph"/>
              <w:spacing w:before="230"/>
              <w:ind w:left="73"/>
              <w:rPr>
                <w:sz w:val="20"/>
              </w:rPr>
            </w:pPr>
            <w:hyperlink r:id="rId18">
              <w:r>
                <w:rPr>
                  <w:spacing w:val="-2"/>
                  <w:sz w:val="20"/>
                  <w:u w:val="single"/>
                </w:rPr>
                <w:t>lgonzalez@imas.go.cr</w:t>
              </w:r>
            </w:hyperlink>
          </w:p>
        </w:tc>
      </w:tr>
      <w:tr>
        <w:trPr>
          <w:trHeight w:val="918" w:hRule="atLeast"/>
        </w:trPr>
        <w:tc>
          <w:tcPr>
            <w:tcW w:w="2410" w:type="dxa"/>
          </w:tcPr>
          <w:p>
            <w:pPr>
              <w:pStyle w:val="TableParagraph"/>
              <w:spacing w:before="230"/>
              <w:ind w:left="69" w:right="291"/>
              <w:rPr>
                <w:b/>
                <w:sz w:val="20"/>
              </w:rPr>
            </w:pPr>
            <w:r>
              <w:rPr>
                <w:b/>
                <w:sz w:val="20"/>
              </w:rPr>
              <w:t>Licda. Génesis Charpentier</w:t>
            </w:r>
            <w:r>
              <w:rPr>
                <w:b/>
                <w:spacing w:val="-14"/>
                <w:sz w:val="20"/>
              </w:rPr>
              <w:t> </w:t>
            </w:r>
            <w:r>
              <w:rPr>
                <w:b/>
                <w:sz w:val="20"/>
              </w:rPr>
              <w:t>Alvarado</w:t>
            </w:r>
          </w:p>
        </w:tc>
        <w:tc>
          <w:tcPr>
            <w:tcW w:w="1843" w:type="dxa"/>
          </w:tcPr>
          <w:p>
            <w:pPr>
              <w:pStyle w:val="TableParagraph"/>
              <w:ind w:left="71"/>
              <w:rPr>
                <w:sz w:val="20"/>
              </w:rPr>
            </w:pPr>
            <w:r>
              <w:rPr>
                <w:sz w:val="20"/>
              </w:rPr>
              <w:t>Jefatura de la Unidad</w:t>
            </w:r>
            <w:r>
              <w:rPr>
                <w:spacing w:val="-14"/>
                <w:sz w:val="20"/>
              </w:rPr>
              <w:t> </w:t>
            </w:r>
            <w:r>
              <w:rPr>
                <w:sz w:val="20"/>
              </w:rPr>
              <w:t>de</w:t>
            </w:r>
            <w:r>
              <w:rPr>
                <w:spacing w:val="-14"/>
                <w:sz w:val="20"/>
              </w:rPr>
              <w:t> </w:t>
            </w:r>
            <w:r>
              <w:rPr>
                <w:sz w:val="20"/>
              </w:rPr>
              <w:t>Equidad e Igualdad de</w:t>
            </w:r>
          </w:p>
          <w:p>
            <w:pPr>
              <w:pStyle w:val="TableParagraph"/>
              <w:spacing w:line="209" w:lineRule="exact"/>
              <w:ind w:left="71"/>
              <w:rPr>
                <w:sz w:val="20"/>
              </w:rPr>
            </w:pPr>
            <w:r>
              <w:rPr>
                <w:spacing w:val="-2"/>
                <w:sz w:val="20"/>
              </w:rPr>
              <w:t>Género</w:t>
            </w:r>
          </w:p>
        </w:tc>
        <w:tc>
          <w:tcPr>
            <w:tcW w:w="1560" w:type="dxa"/>
          </w:tcPr>
          <w:p>
            <w:pPr>
              <w:pStyle w:val="TableParagraph"/>
              <w:rPr>
                <w:rFonts w:ascii="Times New Roman"/>
                <w:sz w:val="20"/>
              </w:rPr>
            </w:pPr>
          </w:p>
        </w:tc>
        <w:tc>
          <w:tcPr>
            <w:tcW w:w="1305" w:type="dxa"/>
          </w:tcPr>
          <w:p>
            <w:pPr>
              <w:pStyle w:val="TableParagraph"/>
              <w:spacing w:before="112"/>
              <w:rPr>
                <w:b/>
                <w:sz w:val="20"/>
              </w:rPr>
            </w:pPr>
          </w:p>
          <w:p>
            <w:pPr>
              <w:pStyle w:val="TableParagraph"/>
              <w:ind w:left="9" w:right="3"/>
              <w:jc w:val="center"/>
              <w:rPr>
                <w:sz w:val="20"/>
              </w:rPr>
            </w:pPr>
            <w:r>
              <w:rPr>
                <w:spacing w:val="-2"/>
                <w:sz w:val="20"/>
              </w:rPr>
              <w:t>2202-</w:t>
            </w:r>
            <w:r>
              <w:rPr>
                <w:spacing w:val="-4"/>
                <w:sz w:val="20"/>
              </w:rPr>
              <w:t>4156</w:t>
            </w:r>
          </w:p>
        </w:tc>
        <w:tc>
          <w:tcPr>
            <w:tcW w:w="2378" w:type="dxa"/>
          </w:tcPr>
          <w:p>
            <w:pPr>
              <w:pStyle w:val="TableParagraph"/>
              <w:spacing w:before="112"/>
              <w:rPr>
                <w:b/>
                <w:sz w:val="20"/>
              </w:rPr>
            </w:pPr>
          </w:p>
          <w:p>
            <w:pPr>
              <w:pStyle w:val="TableParagraph"/>
              <w:ind w:left="73"/>
              <w:rPr>
                <w:sz w:val="20"/>
              </w:rPr>
            </w:pPr>
            <w:hyperlink r:id="rId19">
              <w:r>
                <w:rPr>
                  <w:spacing w:val="-2"/>
                  <w:sz w:val="20"/>
                  <w:u w:val="single"/>
                </w:rPr>
                <w:t>gcharpentier@imas.go.cr</w:t>
              </w:r>
            </w:hyperlink>
          </w:p>
        </w:tc>
      </w:tr>
      <w:tr>
        <w:trPr>
          <w:trHeight w:val="690" w:hRule="atLeast"/>
        </w:trPr>
        <w:tc>
          <w:tcPr>
            <w:tcW w:w="2410" w:type="dxa"/>
          </w:tcPr>
          <w:p>
            <w:pPr>
              <w:pStyle w:val="TableParagraph"/>
              <w:spacing w:before="114"/>
              <w:ind w:left="69" w:right="646"/>
              <w:rPr>
                <w:b/>
                <w:sz w:val="20"/>
              </w:rPr>
            </w:pPr>
            <w:r>
              <w:rPr>
                <w:b/>
                <w:sz w:val="20"/>
              </w:rPr>
              <w:t>Lic.</w:t>
            </w:r>
            <w:r>
              <w:rPr>
                <w:b/>
                <w:spacing w:val="-14"/>
                <w:sz w:val="20"/>
              </w:rPr>
              <w:t> </w:t>
            </w:r>
            <w:r>
              <w:rPr>
                <w:b/>
                <w:sz w:val="20"/>
              </w:rPr>
              <w:t>Ciro</w:t>
            </w:r>
            <w:r>
              <w:rPr>
                <w:b/>
                <w:spacing w:val="-14"/>
                <w:sz w:val="20"/>
              </w:rPr>
              <w:t> </w:t>
            </w:r>
            <w:r>
              <w:rPr>
                <w:b/>
                <w:sz w:val="20"/>
              </w:rPr>
              <w:t>Barboza </w:t>
            </w:r>
            <w:r>
              <w:rPr>
                <w:b/>
                <w:spacing w:val="-2"/>
                <w:sz w:val="20"/>
              </w:rPr>
              <w:t>Toribio</w:t>
            </w:r>
          </w:p>
        </w:tc>
        <w:tc>
          <w:tcPr>
            <w:tcW w:w="1843" w:type="dxa"/>
          </w:tcPr>
          <w:p>
            <w:pPr>
              <w:pStyle w:val="TableParagraph"/>
              <w:spacing w:line="230" w:lineRule="exact"/>
              <w:ind w:left="71" w:right="755"/>
              <w:rPr>
                <w:sz w:val="20"/>
              </w:rPr>
            </w:pPr>
            <w:r>
              <w:rPr>
                <w:sz w:val="20"/>
              </w:rPr>
              <w:t>Jefatura</w:t>
            </w:r>
            <w:r>
              <w:rPr>
                <w:spacing w:val="-14"/>
                <w:sz w:val="20"/>
              </w:rPr>
              <w:t> </w:t>
            </w:r>
            <w:r>
              <w:rPr>
                <w:sz w:val="20"/>
              </w:rPr>
              <w:t>de </w:t>
            </w:r>
            <w:r>
              <w:rPr>
                <w:spacing w:val="-2"/>
                <w:sz w:val="20"/>
              </w:rPr>
              <w:t>Desarrollo Humano</w:t>
            </w:r>
          </w:p>
        </w:tc>
        <w:tc>
          <w:tcPr>
            <w:tcW w:w="1560" w:type="dxa"/>
          </w:tcPr>
          <w:p>
            <w:pPr>
              <w:pStyle w:val="TableParagraph"/>
              <w:rPr>
                <w:rFonts w:ascii="Times New Roman"/>
                <w:sz w:val="20"/>
              </w:rPr>
            </w:pPr>
          </w:p>
        </w:tc>
        <w:tc>
          <w:tcPr>
            <w:tcW w:w="1305" w:type="dxa"/>
          </w:tcPr>
          <w:p>
            <w:pPr>
              <w:pStyle w:val="TableParagraph"/>
              <w:spacing w:before="230"/>
              <w:ind w:left="9" w:right="3"/>
              <w:jc w:val="center"/>
              <w:rPr>
                <w:sz w:val="20"/>
              </w:rPr>
            </w:pPr>
            <w:r>
              <w:rPr>
                <w:spacing w:val="-2"/>
                <w:sz w:val="20"/>
              </w:rPr>
              <w:t>2202-</w:t>
            </w:r>
            <w:r>
              <w:rPr>
                <w:spacing w:val="-4"/>
                <w:sz w:val="20"/>
              </w:rPr>
              <w:t>4210</w:t>
            </w:r>
          </w:p>
        </w:tc>
        <w:tc>
          <w:tcPr>
            <w:tcW w:w="2378" w:type="dxa"/>
          </w:tcPr>
          <w:p>
            <w:pPr>
              <w:pStyle w:val="TableParagraph"/>
              <w:spacing w:before="230"/>
              <w:ind w:left="73"/>
              <w:rPr>
                <w:sz w:val="20"/>
              </w:rPr>
            </w:pPr>
            <w:hyperlink r:id="rId20">
              <w:r>
                <w:rPr>
                  <w:spacing w:val="-2"/>
                  <w:sz w:val="20"/>
                  <w:u w:val="single"/>
                </w:rPr>
                <w:t>cbarboza@imas.go.cr</w:t>
              </w:r>
            </w:hyperlink>
          </w:p>
        </w:tc>
      </w:tr>
      <w:tr>
        <w:trPr>
          <w:trHeight w:val="691" w:hRule="atLeast"/>
        </w:trPr>
        <w:tc>
          <w:tcPr>
            <w:tcW w:w="2410" w:type="dxa"/>
          </w:tcPr>
          <w:p>
            <w:pPr>
              <w:pStyle w:val="TableParagraph"/>
              <w:spacing w:before="114"/>
              <w:ind w:left="69"/>
              <w:rPr>
                <w:b/>
                <w:sz w:val="20"/>
              </w:rPr>
            </w:pPr>
            <w:r>
              <w:rPr>
                <w:b/>
                <w:sz w:val="20"/>
              </w:rPr>
              <w:t>Ing.</w:t>
            </w:r>
            <w:r>
              <w:rPr>
                <w:b/>
                <w:spacing w:val="-14"/>
                <w:sz w:val="20"/>
              </w:rPr>
              <w:t> </w:t>
            </w:r>
            <w:r>
              <w:rPr>
                <w:b/>
                <w:sz w:val="20"/>
              </w:rPr>
              <w:t>Loryi</w:t>
            </w:r>
            <w:r>
              <w:rPr>
                <w:b/>
                <w:spacing w:val="-14"/>
                <w:sz w:val="20"/>
              </w:rPr>
              <w:t> </w:t>
            </w:r>
            <w:r>
              <w:rPr>
                <w:b/>
                <w:sz w:val="20"/>
              </w:rPr>
              <w:t>Valverde </w:t>
            </w:r>
            <w:r>
              <w:rPr>
                <w:b/>
                <w:spacing w:val="-2"/>
                <w:sz w:val="20"/>
              </w:rPr>
              <w:t>Cordero</w:t>
            </w:r>
          </w:p>
        </w:tc>
        <w:tc>
          <w:tcPr>
            <w:tcW w:w="1843" w:type="dxa"/>
          </w:tcPr>
          <w:p>
            <w:pPr>
              <w:pStyle w:val="TableParagraph"/>
              <w:spacing w:line="229" w:lineRule="exact"/>
              <w:ind w:left="71"/>
              <w:rPr>
                <w:sz w:val="20"/>
              </w:rPr>
            </w:pPr>
            <w:r>
              <w:rPr>
                <w:sz w:val="20"/>
              </w:rPr>
              <w:t>Jefatura</w:t>
            </w:r>
            <w:r>
              <w:rPr>
                <w:spacing w:val="-7"/>
                <w:sz w:val="20"/>
              </w:rPr>
              <w:t> </w:t>
            </w:r>
            <w:r>
              <w:rPr>
                <w:sz w:val="20"/>
              </w:rPr>
              <w:t>de</w:t>
            </w:r>
            <w:r>
              <w:rPr>
                <w:spacing w:val="-8"/>
                <w:sz w:val="20"/>
              </w:rPr>
              <w:t> </w:t>
            </w:r>
            <w:r>
              <w:rPr>
                <w:spacing w:val="-7"/>
                <w:sz w:val="20"/>
              </w:rPr>
              <w:t>la</w:t>
            </w:r>
          </w:p>
          <w:p>
            <w:pPr>
              <w:pStyle w:val="TableParagraph"/>
              <w:spacing w:line="228" w:lineRule="exact"/>
              <w:ind w:left="71" w:right="488"/>
              <w:rPr>
                <w:sz w:val="20"/>
              </w:rPr>
            </w:pPr>
            <w:r>
              <w:rPr>
                <w:sz w:val="20"/>
              </w:rPr>
              <w:t>Contraloría</w:t>
            </w:r>
            <w:r>
              <w:rPr>
                <w:spacing w:val="-14"/>
                <w:sz w:val="20"/>
              </w:rPr>
              <w:t> </w:t>
            </w:r>
            <w:r>
              <w:rPr>
                <w:sz w:val="20"/>
              </w:rPr>
              <w:t>de </w:t>
            </w:r>
            <w:r>
              <w:rPr>
                <w:spacing w:val="-2"/>
                <w:sz w:val="20"/>
              </w:rPr>
              <w:t>Servicios</w:t>
            </w:r>
          </w:p>
        </w:tc>
        <w:tc>
          <w:tcPr>
            <w:tcW w:w="1560" w:type="dxa"/>
          </w:tcPr>
          <w:p>
            <w:pPr>
              <w:pStyle w:val="TableParagraph"/>
              <w:rPr>
                <w:rFonts w:ascii="Times New Roman"/>
                <w:sz w:val="20"/>
              </w:rPr>
            </w:pPr>
          </w:p>
        </w:tc>
        <w:tc>
          <w:tcPr>
            <w:tcW w:w="1305" w:type="dxa"/>
          </w:tcPr>
          <w:p>
            <w:pPr>
              <w:pStyle w:val="TableParagraph"/>
              <w:spacing w:before="230"/>
              <w:ind w:left="9" w:right="3"/>
              <w:jc w:val="center"/>
              <w:rPr>
                <w:sz w:val="20"/>
              </w:rPr>
            </w:pPr>
            <w:r>
              <w:rPr>
                <w:spacing w:val="-2"/>
                <w:sz w:val="20"/>
              </w:rPr>
              <w:t>2202-</w:t>
            </w:r>
            <w:r>
              <w:rPr>
                <w:spacing w:val="-4"/>
                <w:sz w:val="20"/>
              </w:rPr>
              <w:t>4063</w:t>
            </w:r>
          </w:p>
        </w:tc>
        <w:tc>
          <w:tcPr>
            <w:tcW w:w="2378" w:type="dxa"/>
          </w:tcPr>
          <w:p>
            <w:pPr>
              <w:pStyle w:val="TableParagraph"/>
              <w:spacing w:before="230"/>
              <w:ind w:left="73"/>
              <w:rPr>
                <w:sz w:val="20"/>
              </w:rPr>
            </w:pPr>
            <w:hyperlink r:id="rId21">
              <w:r>
                <w:rPr>
                  <w:spacing w:val="-2"/>
                  <w:sz w:val="20"/>
                  <w:u w:val="single"/>
                </w:rPr>
                <w:t>lvalverde@imas.go.cr</w:t>
              </w:r>
            </w:hyperlink>
          </w:p>
        </w:tc>
      </w:tr>
    </w:tbl>
    <w:p>
      <w:pPr>
        <w:spacing w:before="19"/>
        <w:ind w:left="1625" w:right="0" w:firstLine="0"/>
        <w:jc w:val="left"/>
        <w:rPr>
          <w:sz w:val="18"/>
        </w:rPr>
      </w:pPr>
      <w:r>
        <w:rPr>
          <w:sz w:val="18"/>
        </w:rPr>
        <w:t>Fuente:</w:t>
      </w:r>
      <w:r>
        <w:rPr>
          <w:spacing w:val="-5"/>
          <w:sz w:val="18"/>
        </w:rPr>
        <w:t> </w:t>
      </w:r>
      <w:r>
        <w:rPr>
          <w:sz w:val="18"/>
        </w:rPr>
        <w:t>Elaborado</w:t>
      </w:r>
      <w:r>
        <w:rPr>
          <w:spacing w:val="-4"/>
          <w:sz w:val="18"/>
        </w:rPr>
        <w:t> </w:t>
      </w:r>
      <w:r>
        <w:rPr>
          <w:sz w:val="18"/>
        </w:rPr>
        <w:t>por</w:t>
      </w:r>
      <w:r>
        <w:rPr>
          <w:spacing w:val="-4"/>
          <w:sz w:val="18"/>
        </w:rPr>
        <w:t> </w:t>
      </w:r>
      <w:r>
        <w:rPr>
          <w:sz w:val="18"/>
        </w:rPr>
        <w:t>Unidad</w:t>
      </w:r>
      <w:r>
        <w:rPr>
          <w:spacing w:val="-7"/>
          <w:sz w:val="18"/>
        </w:rPr>
        <w:t> </w:t>
      </w:r>
      <w:r>
        <w:rPr>
          <w:sz w:val="18"/>
        </w:rPr>
        <w:t>de</w:t>
      </w:r>
      <w:r>
        <w:rPr>
          <w:spacing w:val="-4"/>
          <w:sz w:val="18"/>
        </w:rPr>
        <w:t> </w:t>
      </w:r>
      <w:r>
        <w:rPr>
          <w:sz w:val="18"/>
        </w:rPr>
        <w:t>Planificación</w:t>
      </w:r>
      <w:r>
        <w:rPr>
          <w:spacing w:val="-4"/>
          <w:sz w:val="18"/>
        </w:rPr>
        <w:t> </w:t>
      </w:r>
      <w:r>
        <w:rPr>
          <w:sz w:val="18"/>
        </w:rPr>
        <w:t>Institucional,</w:t>
      </w:r>
      <w:r>
        <w:rPr>
          <w:spacing w:val="-6"/>
          <w:sz w:val="18"/>
        </w:rPr>
        <w:t> </w:t>
      </w:r>
      <w:r>
        <w:rPr>
          <w:spacing w:val="-4"/>
          <w:sz w:val="18"/>
        </w:rPr>
        <w:t>2026</w:t>
      </w:r>
    </w:p>
    <w:p>
      <w:pPr>
        <w:pStyle w:val="BodyText"/>
        <w:spacing w:before="70"/>
        <w:rPr>
          <w:sz w:val="18"/>
        </w:rPr>
      </w:pPr>
    </w:p>
    <w:p>
      <w:pPr>
        <w:pStyle w:val="Heading3"/>
        <w:numPr>
          <w:ilvl w:val="1"/>
          <w:numId w:val="4"/>
        </w:numPr>
        <w:tabs>
          <w:tab w:pos="2081" w:val="left" w:leader="none"/>
        </w:tabs>
        <w:spacing w:line="240" w:lineRule="auto" w:before="0" w:after="0"/>
        <w:ind w:left="1625" w:right="1602" w:firstLine="0"/>
        <w:jc w:val="both"/>
      </w:pPr>
      <w:bookmarkStart w:name="_bookmark6" w:id="7"/>
      <w:bookmarkEnd w:id="7"/>
      <w:r>
        <w:rPr>
          <w:b w:val="0"/>
        </w:rPr>
      </w:r>
      <w:r>
        <w:rPr/>
        <w:t>Nombres y cargos de las personas funcionarias responsables de la ejecución del Programa de Protección y Promoción Social en cada Área Regional de Desarrollo Social</w:t>
      </w:r>
    </w:p>
    <w:p>
      <w:pPr>
        <w:pStyle w:val="BodyText"/>
        <w:rPr>
          <w:b/>
          <w:sz w:val="24"/>
        </w:rPr>
      </w:pPr>
    </w:p>
    <w:p>
      <w:pPr>
        <w:pStyle w:val="Heading5"/>
        <w:ind w:left="3538" w:right="1186" w:hanging="2055"/>
      </w:pPr>
      <w:bookmarkStart w:name="_bookmark7" w:id="8"/>
      <w:bookmarkEnd w:id="8"/>
      <w:r>
        <w:rPr>
          <w:b w:val="0"/>
        </w:rPr>
      </w:r>
      <w:r>
        <w:rPr/>
        <w:t>Tabla</w:t>
      </w:r>
      <w:r>
        <w:rPr>
          <w:spacing w:val="-2"/>
        </w:rPr>
        <w:t> </w:t>
      </w:r>
      <w:r>
        <w:rPr/>
        <w:t>3:</w:t>
      </w:r>
      <w:r>
        <w:rPr>
          <w:spacing w:val="-2"/>
        </w:rPr>
        <w:t> </w:t>
      </w:r>
      <w:r>
        <w:rPr/>
        <w:t>Nombres</w:t>
      </w:r>
      <w:r>
        <w:rPr>
          <w:spacing w:val="-3"/>
        </w:rPr>
        <w:t> </w:t>
      </w:r>
      <w:r>
        <w:rPr/>
        <w:t>y</w:t>
      </w:r>
      <w:r>
        <w:rPr>
          <w:spacing w:val="-5"/>
        </w:rPr>
        <w:t> </w:t>
      </w:r>
      <w:r>
        <w:rPr/>
        <w:t>cargos</w:t>
      </w:r>
      <w:r>
        <w:rPr>
          <w:spacing w:val="-3"/>
        </w:rPr>
        <w:t> </w:t>
      </w:r>
      <w:r>
        <w:rPr/>
        <w:t>de</w:t>
      </w:r>
      <w:r>
        <w:rPr>
          <w:spacing w:val="-3"/>
        </w:rPr>
        <w:t> </w:t>
      </w:r>
      <w:r>
        <w:rPr/>
        <w:t>personas</w:t>
      </w:r>
      <w:r>
        <w:rPr>
          <w:spacing w:val="-5"/>
        </w:rPr>
        <w:t> </w:t>
      </w:r>
      <w:r>
        <w:rPr/>
        <w:t>responsables</w:t>
      </w:r>
      <w:r>
        <w:rPr>
          <w:spacing w:val="-3"/>
        </w:rPr>
        <w:t> </w:t>
      </w:r>
      <w:r>
        <w:rPr/>
        <w:t>en</w:t>
      </w:r>
      <w:r>
        <w:rPr>
          <w:spacing w:val="-6"/>
        </w:rPr>
        <w:t> </w:t>
      </w:r>
      <w:r>
        <w:rPr/>
        <w:t>la</w:t>
      </w:r>
      <w:r>
        <w:rPr>
          <w:spacing w:val="-5"/>
        </w:rPr>
        <w:t> </w:t>
      </w:r>
      <w:r>
        <w:rPr/>
        <w:t>ejecución</w:t>
      </w:r>
      <w:r>
        <w:rPr>
          <w:spacing w:val="-3"/>
        </w:rPr>
        <w:t> </w:t>
      </w:r>
      <w:r>
        <w:rPr/>
        <w:t>del</w:t>
      </w:r>
      <w:r>
        <w:rPr>
          <w:spacing w:val="-4"/>
        </w:rPr>
        <w:t> </w:t>
      </w:r>
      <w:r>
        <w:rPr/>
        <w:t>Programa</w:t>
      </w:r>
      <w:r>
        <w:rPr>
          <w:spacing w:val="-2"/>
        </w:rPr>
        <w:t> </w:t>
      </w:r>
      <w:r>
        <w:rPr/>
        <w:t>de Protección y Promoción Social, a nivel regional</w:t>
      </w:r>
    </w:p>
    <w:p>
      <w:pPr>
        <w:pStyle w:val="BodyText"/>
        <w:spacing w:before="46"/>
        <w:rPr>
          <w:b/>
          <w:sz w:val="20"/>
        </w:rPr>
      </w:pPr>
    </w:p>
    <w:tbl>
      <w:tblPr>
        <w:tblW w:w="0" w:type="auto"/>
        <w:jc w:val="left"/>
        <w:tblInd w:w="1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17"/>
        <w:gridCol w:w="1996"/>
        <w:gridCol w:w="1161"/>
        <w:gridCol w:w="3333"/>
      </w:tblGrid>
      <w:tr>
        <w:trPr>
          <w:trHeight w:val="493" w:hRule="atLeast"/>
        </w:trPr>
        <w:tc>
          <w:tcPr>
            <w:tcW w:w="2717" w:type="dxa"/>
            <w:shd w:val="clear" w:color="auto" w:fill="0E233D"/>
          </w:tcPr>
          <w:p>
            <w:pPr>
              <w:pStyle w:val="TableParagraph"/>
              <w:spacing w:before="131"/>
              <w:ind w:left="772"/>
              <w:rPr>
                <w:sz w:val="20"/>
              </w:rPr>
            </w:pPr>
            <w:r>
              <w:rPr>
                <w:color w:val="FFFFFF"/>
                <w:spacing w:val="-2"/>
                <w:sz w:val="20"/>
              </w:rPr>
              <w:t>Responsable</w:t>
            </w:r>
          </w:p>
        </w:tc>
        <w:tc>
          <w:tcPr>
            <w:tcW w:w="1996" w:type="dxa"/>
            <w:shd w:val="clear" w:color="auto" w:fill="0E233D"/>
          </w:tcPr>
          <w:p>
            <w:pPr>
              <w:pStyle w:val="TableParagraph"/>
              <w:spacing w:before="131"/>
              <w:ind w:left="6"/>
              <w:jc w:val="center"/>
              <w:rPr>
                <w:sz w:val="20"/>
              </w:rPr>
            </w:pPr>
            <w:r>
              <w:rPr>
                <w:color w:val="FFFFFF"/>
                <w:spacing w:val="-2"/>
                <w:sz w:val="20"/>
              </w:rPr>
              <w:t>Cargo</w:t>
            </w:r>
          </w:p>
        </w:tc>
        <w:tc>
          <w:tcPr>
            <w:tcW w:w="1161" w:type="dxa"/>
            <w:shd w:val="clear" w:color="auto" w:fill="0E233D"/>
          </w:tcPr>
          <w:p>
            <w:pPr>
              <w:pStyle w:val="TableParagraph"/>
              <w:spacing w:before="131"/>
              <w:ind w:left="265"/>
              <w:rPr>
                <w:sz w:val="20"/>
              </w:rPr>
            </w:pPr>
            <w:r>
              <w:rPr>
                <w:color w:val="FFFFFF"/>
                <w:spacing w:val="-2"/>
                <w:sz w:val="20"/>
              </w:rPr>
              <w:t>Región</w:t>
            </w:r>
          </w:p>
        </w:tc>
        <w:tc>
          <w:tcPr>
            <w:tcW w:w="3333" w:type="dxa"/>
            <w:shd w:val="clear" w:color="auto" w:fill="0E233D"/>
          </w:tcPr>
          <w:p>
            <w:pPr>
              <w:pStyle w:val="TableParagraph"/>
              <w:spacing w:before="131"/>
              <w:ind w:left="841"/>
              <w:rPr>
                <w:sz w:val="20"/>
              </w:rPr>
            </w:pPr>
            <w:r>
              <w:rPr>
                <w:color w:val="FFFFFF"/>
                <w:sz w:val="20"/>
              </w:rPr>
              <w:t>Correo</w:t>
            </w:r>
            <w:r>
              <w:rPr>
                <w:color w:val="FFFFFF"/>
                <w:spacing w:val="-10"/>
                <w:sz w:val="20"/>
              </w:rPr>
              <w:t> </w:t>
            </w:r>
            <w:r>
              <w:rPr>
                <w:color w:val="FFFFFF"/>
                <w:spacing w:val="-2"/>
                <w:sz w:val="20"/>
              </w:rPr>
              <w:t>Electrónico</w:t>
            </w:r>
          </w:p>
        </w:tc>
      </w:tr>
      <w:tr>
        <w:trPr>
          <w:trHeight w:val="585" w:hRule="atLeast"/>
        </w:trPr>
        <w:tc>
          <w:tcPr>
            <w:tcW w:w="2717" w:type="dxa"/>
          </w:tcPr>
          <w:p>
            <w:pPr>
              <w:pStyle w:val="TableParagraph"/>
              <w:spacing w:before="62"/>
              <w:ind w:left="69" w:right="99"/>
              <w:rPr>
                <w:b/>
                <w:sz w:val="20"/>
              </w:rPr>
            </w:pPr>
            <w:r>
              <w:rPr>
                <w:b/>
                <w:sz w:val="20"/>
              </w:rPr>
              <w:t>Lic.</w:t>
            </w:r>
            <w:r>
              <w:rPr>
                <w:b/>
                <w:spacing w:val="-14"/>
                <w:sz w:val="20"/>
              </w:rPr>
              <w:t> </w:t>
            </w:r>
            <w:r>
              <w:rPr>
                <w:b/>
                <w:sz w:val="20"/>
              </w:rPr>
              <w:t>Kenneth</w:t>
            </w:r>
            <w:r>
              <w:rPr>
                <w:b/>
                <w:spacing w:val="-14"/>
                <w:sz w:val="20"/>
              </w:rPr>
              <w:t> </w:t>
            </w:r>
            <w:r>
              <w:rPr>
                <w:b/>
                <w:sz w:val="20"/>
              </w:rPr>
              <w:t>Araya </w:t>
            </w:r>
            <w:r>
              <w:rPr>
                <w:b/>
                <w:spacing w:val="-2"/>
                <w:sz w:val="20"/>
              </w:rPr>
              <w:t>Andrade</w:t>
            </w:r>
          </w:p>
        </w:tc>
        <w:tc>
          <w:tcPr>
            <w:tcW w:w="1996" w:type="dxa"/>
          </w:tcPr>
          <w:p>
            <w:pPr>
              <w:pStyle w:val="TableParagraph"/>
              <w:spacing w:before="177"/>
              <w:ind w:left="69"/>
              <w:rPr>
                <w:sz w:val="20"/>
              </w:rPr>
            </w:pPr>
            <w:r>
              <w:rPr>
                <w:sz w:val="20"/>
              </w:rPr>
              <w:t>Jefatura</w:t>
            </w:r>
            <w:r>
              <w:rPr>
                <w:spacing w:val="-14"/>
                <w:sz w:val="20"/>
              </w:rPr>
              <w:t> </w:t>
            </w:r>
            <w:r>
              <w:rPr>
                <w:spacing w:val="-2"/>
                <w:sz w:val="20"/>
              </w:rPr>
              <w:t>Regional</w:t>
            </w:r>
          </w:p>
        </w:tc>
        <w:tc>
          <w:tcPr>
            <w:tcW w:w="1161" w:type="dxa"/>
          </w:tcPr>
          <w:p>
            <w:pPr>
              <w:pStyle w:val="TableParagraph"/>
              <w:spacing w:before="177"/>
              <w:ind w:left="70"/>
              <w:rPr>
                <w:sz w:val="20"/>
              </w:rPr>
            </w:pPr>
            <w:r>
              <w:rPr>
                <w:spacing w:val="-2"/>
                <w:sz w:val="20"/>
              </w:rPr>
              <w:t>Noreste</w:t>
            </w:r>
          </w:p>
        </w:tc>
        <w:tc>
          <w:tcPr>
            <w:tcW w:w="3333" w:type="dxa"/>
          </w:tcPr>
          <w:p>
            <w:pPr>
              <w:pStyle w:val="TableParagraph"/>
              <w:spacing w:before="177"/>
              <w:ind w:left="73"/>
              <w:rPr>
                <w:sz w:val="20"/>
              </w:rPr>
            </w:pPr>
            <w:hyperlink r:id="rId22">
              <w:r>
                <w:rPr>
                  <w:spacing w:val="-2"/>
                  <w:sz w:val="20"/>
                  <w:u w:val="single"/>
                </w:rPr>
                <w:t>karaya@imas.go.cr</w:t>
              </w:r>
            </w:hyperlink>
          </w:p>
        </w:tc>
      </w:tr>
      <w:tr>
        <w:trPr>
          <w:trHeight w:val="460" w:hRule="atLeast"/>
        </w:trPr>
        <w:tc>
          <w:tcPr>
            <w:tcW w:w="2717" w:type="dxa"/>
          </w:tcPr>
          <w:p>
            <w:pPr>
              <w:pStyle w:val="TableParagraph"/>
              <w:spacing w:line="230" w:lineRule="exact"/>
              <w:ind w:left="69" w:right="99"/>
              <w:rPr>
                <w:b/>
                <w:sz w:val="20"/>
              </w:rPr>
            </w:pPr>
            <w:r>
              <w:rPr>
                <w:b/>
                <w:sz w:val="20"/>
              </w:rPr>
              <w:t>Lic.</w:t>
            </w:r>
            <w:r>
              <w:rPr>
                <w:b/>
                <w:spacing w:val="-14"/>
                <w:sz w:val="20"/>
              </w:rPr>
              <w:t> </w:t>
            </w:r>
            <w:r>
              <w:rPr>
                <w:b/>
                <w:sz w:val="20"/>
              </w:rPr>
              <w:t>Elida</w:t>
            </w:r>
            <w:r>
              <w:rPr>
                <w:b/>
                <w:spacing w:val="-14"/>
                <w:sz w:val="20"/>
              </w:rPr>
              <w:t> </w:t>
            </w:r>
            <w:r>
              <w:rPr>
                <w:b/>
                <w:sz w:val="20"/>
              </w:rPr>
              <w:t>Hernández </w:t>
            </w:r>
            <w:r>
              <w:rPr>
                <w:b/>
                <w:spacing w:val="-2"/>
                <w:sz w:val="20"/>
              </w:rPr>
              <w:t>Arrieta</w:t>
            </w:r>
          </w:p>
        </w:tc>
        <w:tc>
          <w:tcPr>
            <w:tcW w:w="1996" w:type="dxa"/>
          </w:tcPr>
          <w:p>
            <w:pPr>
              <w:pStyle w:val="TableParagraph"/>
              <w:spacing w:before="114"/>
              <w:ind w:left="69"/>
              <w:rPr>
                <w:sz w:val="20"/>
              </w:rPr>
            </w:pPr>
            <w:r>
              <w:rPr>
                <w:sz w:val="20"/>
              </w:rPr>
              <w:t>Jefatura</w:t>
            </w:r>
            <w:r>
              <w:rPr>
                <w:spacing w:val="-14"/>
                <w:sz w:val="20"/>
              </w:rPr>
              <w:t> </w:t>
            </w:r>
            <w:r>
              <w:rPr>
                <w:spacing w:val="-2"/>
                <w:sz w:val="20"/>
              </w:rPr>
              <w:t>Regional</w:t>
            </w:r>
          </w:p>
        </w:tc>
        <w:tc>
          <w:tcPr>
            <w:tcW w:w="1161" w:type="dxa"/>
          </w:tcPr>
          <w:p>
            <w:pPr>
              <w:pStyle w:val="TableParagraph"/>
              <w:spacing w:before="114"/>
              <w:ind w:left="70"/>
              <w:rPr>
                <w:sz w:val="20"/>
              </w:rPr>
            </w:pPr>
            <w:r>
              <w:rPr>
                <w:spacing w:val="-2"/>
                <w:sz w:val="20"/>
              </w:rPr>
              <w:t>Suroeste</w:t>
            </w:r>
          </w:p>
        </w:tc>
        <w:tc>
          <w:tcPr>
            <w:tcW w:w="3333" w:type="dxa"/>
          </w:tcPr>
          <w:p>
            <w:pPr>
              <w:pStyle w:val="TableParagraph"/>
              <w:spacing w:before="114"/>
              <w:ind w:left="73"/>
              <w:rPr>
                <w:sz w:val="20"/>
              </w:rPr>
            </w:pPr>
            <w:hyperlink r:id="rId23">
              <w:r>
                <w:rPr>
                  <w:spacing w:val="-2"/>
                  <w:sz w:val="20"/>
                  <w:u w:val="single"/>
                </w:rPr>
                <w:t>ehernandez@imas.go.cr</w:t>
              </w:r>
            </w:hyperlink>
          </w:p>
        </w:tc>
      </w:tr>
      <w:tr>
        <w:trPr>
          <w:trHeight w:val="683" w:hRule="atLeast"/>
        </w:trPr>
        <w:tc>
          <w:tcPr>
            <w:tcW w:w="2717" w:type="dxa"/>
          </w:tcPr>
          <w:p>
            <w:pPr>
              <w:pStyle w:val="TableParagraph"/>
              <w:spacing w:before="112"/>
              <w:ind w:left="69"/>
              <w:rPr>
                <w:b/>
                <w:sz w:val="20"/>
              </w:rPr>
            </w:pPr>
            <w:r>
              <w:rPr>
                <w:b/>
                <w:sz w:val="20"/>
              </w:rPr>
              <w:t>Licda.</w:t>
            </w:r>
            <w:r>
              <w:rPr>
                <w:b/>
                <w:spacing w:val="-14"/>
                <w:sz w:val="20"/>
              </w:rPr>
              <w:t> </w:t>
            </w:r>
            <w:r>
              <w:rPr>
                <w:b/>
                <w:sz w:val="20"/>
              </w:rPr>
              <w:t>Ruth</w:t>
            </w:r>
            <w:r>
              <w:rPr>
                <w:b/>
                <w:spacing w:val="-13"/>
                <w:sz w:val="20"/>
              </w:rPr>
              <w:t> </w:t>
            </w:r>
            <w:r>
              <w:rPr>
                <w:b/>
                <w:sz w:val="20"/>
              </w:rPr>
              <w:t>Yesenia</w:t>
            </w:r>
            <w:r>
              <w:rPr>
                <w:b/>
                <w:spacing w:val="-14"/>
                <w:sz w:val="20"/>
              </w:rPr>
              <w:t> </w:t>
            </w:r>
            <w:r>
              <w:rPr>
                <w:b/>
                <w:sz w:val="20"/>
              </w:rPr>
              <w:t>Arias </w:t>
            </w:r>
            <w:r>
              <w:rPr>
                <w:b/>
                <w:spacing w:val="-2"/>
                <w:sz w:val="20"/>
              </w:rPr>
              <w:t>Quesada</w:t>
            </w:r>
          </w:p>
        </w:tc>
        <w:tc>
          <w:tcPr>
            <w:tcW w:w="1996" w:type="dxa"/>
          </w:tcPr>
          <w:p>
            <w:pPr>
              <w:pStyle w:val="TableParagraph"/>
              <w:spacing w:before="227"/>
              <w:ind w:left="69"/>
              <w:rPr>
                <w:sz w:val="20"/>
              </w:rPr>
            </w:pPr>
            <w:r>
              <w:rPr>
                <w:sz w:val="20"/>
              </w:rPr>
              <w:t>Jefatura</w:t>
            </w:r>
            <w:r>
              <w:rPr>
                <w:spacing w:val="-14"/>
                <w:sz w:val="20"/>
              </w:rPr>
              <w:t> </w:t>
            </w:r>
            <w:r>
              <w:rPr>
                <w:spacing w:val="-2"/>
                <w:sz w:val="20"/>
              </w:rPr>
              <w:t>Regional</w:t>
            </w:r>
          </w:p>
        </w:tc>
        <w:tc>
          <w:tcPr>
            <w:tcW w:w="1161" w:type="dxa"/>
          </w:tcPr>
          <w:p>
            <w:pPr>
              <w:pStyle w:val="TableParagraph"/>
              <w:spacing w:before="227"/>
              <w:ind w:left="70"/>
              <w:rPr>
                <w:sz w:val="20"/>
              </w:rPr>
            </w:pPr>
            <w:r>
              <w:rPr>
                <w:spacing w:val="-2"/>
                <w:sz w:val="20"/>
              </w:rPr>
              <w:t>Brunca</w:t>
            </w:r>
          </w:p>
        </w:tc>
        <w:tc>
          <w:tcPr>
            <w:tcW w:w="3333" w:type="dxa"/>
          </w:tcPr>
          <w:p>
            <w:pPr>
              <w:pStyle w:val="TableParagraph"/>
              <w:spacing w:before="227"/>
              <w:ind w:left="73"/>
              <w:rPr>
                <w:sz w:val="20"/>
              </w:rPr>
            </w:pPr>
            <w:hyperlink r:id="rId24">
              <w:r>
                <w:rPr>
                  <w:spacing w:val="-2"/>
                  <w:sz w:val="20"/>
                  <w:u w:val="single"/>
                </w:rPr>
                <w:t>rarias@imas.go.cr</w:t>
              </w:r>
            </w:hyperlink>
          </w:p>
        </w:tc>
      </w:tr>
      <w:tr>
        <w:trPr>
          <w:trHeight w:val="551" w:hRule="atLeast"/>
        </w:trPr>
        <w:tc>
          <w:tcPr>
            <w:tcW w:w="2717" w:type="dxa"/>
          </w:tcPr>
          <w:p>
            <w:pPr>
              <w:pStyle w:val="TableParagraph"/>
              <w:spacing w:before="160"/>
              <w:ind w:left="69"/>
              <w:rPr>
                <w:b/>
                <w:sz w:val="20"/>
              </w:rPr>
            </w:pPr>
            <w:r>
              <w:rPr>
                <w:b/>
                <w:sz w:val="20"/>
              </w:rPr>
              <w:t>Msc.</w:t>
            </w:r>
            <w:r>
              <w:rPr>
                <w:b/>
                <w:spacing w:val="-6"/>
                <w:sz w:val="20"/>
              </w:rPr>
              <w:t> </w:t>
            </w:r>
            <w:r>
              <w:rPr>
                <w:b/>
                <w:sz w:val="20"/>
              </w:rPr>
              <w:t>Silvia</w:t>
            </w:r>
            <w:r>
              <w:rPr>
                <w:b/>
                <w:spacing w:val="-7"/>
                <w:sz w:val="20"/>
              </w:rPr>
              <w:t> </w:t>
            </w:r>
            <w:r>
              <w:rPr>
                <w:b/>
                <w:sz w:val="20"/>
              </w:rPr>
              <w:t>Conejo</w:t>
            </w:r>
            <w:r>
              <w:rPr>
                <w:b/>
                <w:spacing w:val="-8"/>
                <w:sz w:val="20"/>
              </w:rPr>
              <w:t> </w:t>
            </w:r>
            <w:r>
              <w:rPr>
                <w:b/>
                <w:spacing w:val="-4"/>
                <w:sz w:val="20"/>
              </w:rPr>
              <w:t>Araya</w:t>
            </w:r>
          </w:p>
        </w:tc>
        <w:tc>
          <w:tcPr>
            <w:tcW w:w="1996" w:type="dxa"/>
          </w:tcPr>
          <w:p>
            <w:pPr>
              <w:pStyle w:val="TableParagraph"/>
              <w:spacing w:before="160"/>
              <w:ind w:left="69"/>
              <w:rPr>
                <w:sz w:val="20"/>
              </w:rPr>
            </w:pPr>
            <w:r>
              <w:rPr>
                <w:sz w:val="20"/>
              </w:rPr>
              <w:t>Jefatura</w:t>
            </w:r>
            <w:r>
              <w:rPr>
                <w:spacing w:val="-14"/>
                <w:sz w:val="20"/>
              </w:rPr>
              <w:t> </w:t>
            </w:r>
            <w:r>
              <w:rPr>
                <w:spacing w:val="-2"/>
                <w:sz w:val="20"/>
              </w:rPr>
              <w:t>Regional</w:t>
            </w:r>
          </w:p>
        </w:tc>
        <w:tc>
          <w:tcPr>
            <w:tcW w:w="1161" w:type="dxa"/>
          </w:tcPr>
          <w:p>
            <w:pPr>
              <w:pStyle w:val="TableParagraph"/>
              <w:spacing w:before="160"/>
              <w:ind w:left="70"/>
              <w:rPr>
                <w:sz w:val="20"/>
              </w:rPr>
            </w:pPr>
            <w:r>
              <w:rPr>
                <w:spacing w:val="-2"/>
                <w:sz w:val="20"/>
              </w:rPr>
              <w:t>Cartago</w:t>
            </w:r>
          </w:p>
        </w:tc>
        <w:tc>
          <w:tcPr>
            <w:tcW w:w="3333" w:type="dxa"/>
          </w:tcPr>
          <w:p>
            <w:pPr>
              <w:pStyle w:val="TableParagraph"/>
              <w:spacing w:before="160"/>
              <w:ind w:left="73"/>
              <w:rPr>
                <w:sz w:val="20"/>
              </w:rPr>
            </w:pPr>
            <w:hyperlink r:id="rId25">
              <w:r>
                <w:rPr>
                  <w:spacing w:val="-2"/>
                  <w:sz w:val="20"/>
                  <w:u w:val="single"/>
                </w:rPr>
                <w:t>sconejo@imas.go.cr</w:t>
              </w:r>
            </w:hyperlink>
          </w:p>
        </w:tc>
      </w:tr>
      <w:tr>
        <w:trPr>
          <w:trHeight w:val="736" w:hRule="atLeast"/>
        </w:trPr>
        <w:tc>
          <w:tcPr>
            <w:tcW w:w="2717" w:type="dxa"/>
          </w:tcPr>
          <w:p>
            <w:pPr>
              <w:pStyle w:val="TableParagraph"/>
              <w:spacing w:before="23"/>
              <w:rPr>
                <w:b/>
                <w:sz w:val="20"/>
              </w:rPr>
            </w:pPr>
          </w:p>
          <w:p>
            <w:pPr>
              <w:pStyle w:val="TableParagraph"/>
              <w:spacing w:before="1"/>
              <w:ind w:left="69"/>
              <w:rPr>
                <w:b/>
                <w:sz w:val="20"/>
              </w:rPr>
            </w:pPr>
            <w:r>
              <w:rPr>
                <w:b/>
                <w:sz w:val="20"/>
              </w:rPr>
              <w:t>Msc.</w:t>
            </w:r>
            <w:r>
              <w:rPr>
                <w:b/>
                <w:spacing w:val="-6"/>
                <w:sz w:val="20"/>
              </w:rPr>
              <w:t> </w:t>
            </w:r>
            <w:r>
              <w:rPr>
                <w:b/>
                <w:sz w:val="20"/>
              </w:rPr>
              <w:t>Dinia</w:t>
            </w:r>
            <w:r>
              <w:rPr>
                <w:b/>
                <w:spacing w:val="-6"/>
                <w:sz w:val="20"/>
              </w:rPr>
              <w:t> </w:t>
            </w:r>
            <w:r>
              <w:rPr>
                <w:b/>
                <w:sz w:val="20"/>
              </w:rPr>
              <w:t>Rojas</w:t>
            </w:r>
            <w:r>
              <w:rPr>
                <w:b/>
                <w:spacing w:val="-6"/>
                <w:sz w:val="20"/>
              </w:rPr>
              <w:t> </w:t>
            </w:r>
            <w:r>
              <w:rPr>
                <w:b/>
                <w:spacing w:val="-2"/>
                <w:sz w:val="20"/>
              </w:rPr>
              <w:t>Salazar</w:t>
            </w:r>
          </w:p>
        </w:tc>
        <w:tc>
          <w:tcPr>
            <w:tcW w:w="1996" w:type="dxa"/>
          </w:tcPr>
          <w:p>
            <w:pPr>
              <w:pStyle w:val="TableParagraph"/>
              <w:spacing w:before="23"/>
              <w:rPr>
                <w:b/>
                <w:sz w:val="20"/>
              </w:rPr>
            </w:pPr>
          </w:p>
          <w:p>
            <w:pPr>
              <w:pStyle w:val="TableParagraph"/>
              <w:spacing w:before="1"/>
              <w:ind w:left="69"/>
              <w:rPr>
                <w:sz w:val="20"/>
              </w:rPr>
            </w:pPr>
            <w:r>
              <w:rPr>
                <w:sz w:val="20"/>
              </w:rPr>
              <w:t>Jefatura</w:t>
            </w:r>
            <w:r>
              <w:rPr>
                <w:spacing w:val="-14"/>
                <w:sz w:val="20"/>
              </w:rPr>
              <w:t> </w:t>
            </w:r>
            <w:r>
              <w:rPr>
                <w:spacing w:val="-2"/>
                <w:sz w:val="20"/>
              </w:rPr>
              <w:t>Regional</w:t>
            </w:r>
          </w:p>
        </w:tc>
        <w:tc>
          <w:tcPr>
            <w:tcW w:w="1161" w:type="dxa"/>
          </w:tcPr>
          <w:p>
            <w:pPr>
              <w:pStyle w:val="TableParagraph"/>
              <w:spacing w:before="138"/>
              <w:ind w:left="70" w:right="178"/>
              <w:rPr>
                <w:sz w:val="20"/>
              </w:rPr>
            </w:pPr>
            <w:r>
              <w:rPr>
                <w:spacing w:val="-2"/>
                <w:sz w:val="20"/>
              </w:rPr>
              <w:t>Central Occidente</w:t>
            </w:r>
          </w:p>
        </w:tc>
        <w:tc>
          <w:tcPr>
            <w:tcW w:w="3333" w:type="dxa"/>
          </w:tcPr>
          <w:p>
            <w:pPr>
              <w:pStyle w:val="TableParagraph"/>
              <w:spacing w:before="23"/>
              <w:rPr>
                <w:b/>
                <w:sz w:val="20"/>
              </w:rPr>
            </w:pPr>
          </w:p>
          <w:p>
            <w:pPr>
              <w:pStyle w:val="TableParagraph"/>
              <w:spacing w:before="1"/>
              <w:ind w:left="73"/>
              <w:rPr>
                <w:sz w:val="20"/>
              </w:rPr>
            </w:pPr>
            <w:hyperlink r:id="rId26">
              <w:r>
                <w:rPr>
                  <w:spacing w:val="-2"/>
                  <w:sz w:val="20"/>
                  <w:u w:val="single"/>
                </w:rPr>
                <w:t>drojas@imas.go.cr</w:t>
              </w:r>
            </w:hyperlink>
          </w:p>
        </w:tc>
      </w:tr>
      <w:tr>
        <w:trPr>
          <w:trHeight w:val="460" w:hRule="atLeast"/>
        </w:trPr>
        <w:tc>
          <w:tcPr>
            <w:tcW w:w="2717" w:type="dxa"/>
          </w:tcPr>
          <w:p>
            <w:pPr>
              <w:pStyle w:val="TableParagraph"/>
              <w:spacing w:line="230" w:lineRule="exact"/>
              <w:ind w:left="69"/>
              <w:rPr>
                <w:b/>
                <w:sz w:val="20"/>
              </w:rPr>
            </w:pPr>
            <w:r>
              <w:rPr>
                <w:b/>
                <w:sz w:val="20"/>
              </w:rPr>
              <w:t>Lic.</w:t>
            </w:r>
            <w:r>
              <w:rPr>
                <w:b/>
                <w:spacing w:val="-14"/>
                <w:sz w:val="20"/>
              </w:rPr>
              <w:t> </w:t>
            </w:r>
            <w:r>
              <w:rPr>
                <w:b/>
                <w:sz w:val="20"/>
              </w:rPr>
              <w:t>Juan</w:t>
            </w:r>
            <w:r>
              <w:rPr>
                <w:b/>
                <w:spacing w:val="-14"/>
                <w:sz w:val="20"/>
              </w:rPr>
              <w:t> </w:t>
            </w:r>
            <w:r>
              <w:rPr>
                <w:b/>
                <w:sz w:val="20"/>
              </w:rPr>
              <w:t>Luis</w:t>
            </w:r>
            <w:r>
              <w:rPr>
                <w:b/>
                <w:spacing w:val="-14"/>
                <w:sz w:val="20"/>
              </w:rPr>
              <w:t> </w:t>
            </w:r>
            <w:r>
              <w:rPr>
                <w:b/>
                <w:sz w:val="20"/>
              </w:rPr>
              <w:t>Gutiérrez </w:t>
            </w:r>
            <w:r>
              <w:rPr>
                <w:b/>
                <w:spacing w:val="-2"/>
                <w:sz w:val="20"/>
              </w:rPr>
              <w:t>Chaves</w:t>
            </w:r>
          </w:p>
        </w:tc>
        <w:tc>
          <w:tcPr>
            <w:tcW w:w="1996" w:type="dxa"/>
          </w:tcPr>
          <w:p>
            <w:pPr>
              <w:pStyle w:val="TableParagraph"/>
              <w:spacing w:before="114"/>
              <w:ind w:left="69"/>
              <w:rPr>
                <w:sz w:val="20"/>
              </w:rPr>
            </w:pPr>
            <w:r>
              <w:rPr>
                <w:sz w:val="20"/>
              </w:rPr>
              <w:t>Jefatura</w:t>
            </w:r>
            <w:r>
              <w:rPr>
                <w:spacing w:val="-14"/>
                <w:sz w:val="20"/>
              </w:rPr>
              <w:t> </w:t>
            </w:r>
            <w:r>
              <w:rPr>
                <w:spacing w:val="-2"/>
                <w:sz w:val="20"/>
              </w:rPr>
              <w:t>Regional</w:t>
            </w:r>
          </w:p>
        </w:tc>
        <w:tc>
          <w:tcPr>
            <w:tcW w:w="1161" w:type="dxa"/>
          </w:tcPr>
          <w:p>
            <w:pPr>
              <w:pStyle w:val="TableParagraph"/>
              <w:spacing w:line="230" w:lineRule="exact"/>
              <w:ind w:left="70" w:right="472"/>
              <w:rPr>
                <w:sz w:val="20"/>
              </w:rPr>
            </w:pPr>
            <w:r>
              <w:rPr>
                <w:spacing w:val="-2"/>
                <w:sz w:val="20"/>
              </w:rPr>
              <w:t>Huetar Norte</w:t>
            </w:r>
          </w:p>
        </w:tc>
        <w:tc>
          <w:tcPr>
            <w:tcW w:w="3333" w:type="dxa"/>
          </w:tcPr>
          <w:p>
            <w:pPr>
              <w:pStyle w:val="TableParagraph"/>
              <w:spacing w:before="114"/>
              <w:ind w:left="73"/>
              <w:rPr>
                <w:sz w:val="20"/>
              </w:rPr>
            </w:pPr>
            <w:hyperlink r:id="rId27">
              <w:r>
                <w:rPr>
                  <w:spacing w:val="-2"/>
                  <w:sz w:val="20"/>
                  <w:u w:val="single"/>
                </w:rPr>
                <w:t>rjgutierrez@imas.go.c</w:t>
              </w:r>
              <w:r>
                <w:rPr>
                  <w:spacing w:val="-2"/>
                  <w:sz w:val="20"/>
                  <w:u w:val="none"/>
                </w:rPr>
                <w:t>r</w:t>
              </w:r>
            </w:hyperlink>
          </w:p>
        </w:tc>
      </w:tr>
      <w:tr>
        <w:trPr>
          <w:trHeight w:val="494" w:hRule="atLeast"/>
        </w:trPr>
        <w:tc>
          <w:tcPr>
            <w:tcW w:w="2717" w:type="dxa"/>
          </w:tcPr>
          <w:p>
            <w:pPr>
              <w:pStyle w:val="TableParagraph"/>
              <w:spacing w:before="131"/>
              <w:ind w:left="69"/>
              <w:rPr>
                <w:b/>
                <w:sz w:val="20"/>
              </w:rPr>
            </w:pPr>
            <w:r>
              <w:rPr>
                <w:b/>
                <w:sz w:val="20"/>
              </w:rPr>
              <w:t>Licda.</w:t>
            </w:r>
            <w:r>
              <w:rPr>
                <w:b/>
                <w:spacing w:val="-8"/>
                <w:sz w:val="20"/>
              </w:rPr>
              <w:t> </w:t>
            </w:r>
            <w:r>
              <w:rPr>
                <w:b/>
                <w:sz w:val="20"/>
              </w:rPr>
              <w:t>Denia</w:t>
            </w:r>
            <w:r>
              <w:rPr>
                <w:b/>
                <w:spacing w:val="-6"/>
                <w:sz w:val="20"/>
              </w:rPr>
              <w:t> </w:t>
            </w:r>
            <w:r>
              <w:rPr>
                <w:b/>
                <w:sz w:val="20"/>
              </w:rPr>
              <w:t>Murillo</w:t>
            </w:r>
            <w:r>
              <w:rPr>
                <w:b/>
                <w:spacing w:val="-5"/>
                <w:sz w:val="20"/>
              </w:rPr>
              <w:t> </w:t>
            </w:r>
            <w:r>
              <w:rPr>
                <w:b/>
                <w:spacing w:val="-4"/>
                <w:sz w:val="20"/>
              </w:rPr>
              <w:t>Arias</w:t>
            </w:r>
          </w:p>
        </w:tc>
        <w:tc>
          <w:tcPr>
            <w:tcW w:w="1996" w:type="dxa"/>
          </w:tcPr>
          <w:p>
            <w:pPr>
              <w:pStyle w:val="TableParagraph"/>
              <w:spacing w:before="131"/>
              <w:ind w:left="69"/>
              <w:rPr>
                <w:sz w:val="20"/>
              </w:rPr>
            </w:pPr>
            <w:r>
              <w:rPr>
                <w:sz w:val="20"/>
              </w:rPr>
              <w:t>Jefatura</w:t>
            </w:r>
            <w:r>
              <w:rPr>
                <w:spacing w:val="-14"/>
                <w:sz w:val="20"/>
              </w:rPr>
              <w:t> </w:t>
            </w:r>
            <w:r>
              <w:rPr>
                <w:spacing w:val="-2"/>
                <w:sz w:val="20"/>
              </w:rPr>
              <w:t>Regional</w:t>
            </w:r>
          </w:p>
        </w:tc>
        <w:tc>
          <w:tcPr>
            <w:tcW w:w="1161" w:type="dxa"/>
          </w:tcPr>
          <w:p>
            <w:pPr>
              <w:pStyle w:val="TableParagraph"/>
              <w:spacing w:before="131"/>
              <w:ind w:left="70"/>
              <w:rPr>
                <w:sz w:val="20"/>
              </w:rPr>
            </w:pPr>
            <w:r>
              <w:rPr>
                <w:spacing w:val="-2"/>
                <w:sz w:val="20"/>
              </w:rPr>
              <w:t>Puntarenas</w:t>
            </w:r>
          </w:p>
        </w:tc>
        <w:tc>
          <w:tcPr>
            <w:tcW w:w="3333" w:type="dxa"/>
          </w:tcPr>
          <w:p>
            <w:pPr>
              <w:pStyle w:val="TableParagraph"/>
              <w:spacing w:before="131"/>
              <w:ind w:left="73"/>
              <w:rPr>
                <w:sz w:val="20"/>
              </w:rPr>
            </w:pPr>
            <w:hyperlink r:id="rId28">
              <w:r>
                <w:rPr>
                  <w:spacing w:val="-2"/>
                  <w:sz w:val="20"/>
                  <w:u w:val="single"/>
                </w:rPr>
                <w:t>dmurillo@imas.go.cr</w:t>
              </w:r>
            </w:hyperlink>
          </w:p>
        </w:tc>
      </w:tr>
      <w:tr>
        <w:trPr>
          <w:trHeight w:val="460" w:hRule="atLeast"/>
        </w:trPr>
        <w:tc>
          <w:tcPr>
            <w:tcW w:w="2717" w:type="dxa"/>
          </w:tcPr>
          <w:p>
            <w:pPr>
              <w:pStyle w:val="TableParagraph"/>
              <w:spacing w:line="230" w:lineRule="exact"/>
              <w:ind w:left="69"/>
              <w:rPr>
                <w:b/>
                <w:sz w:val="20"/>
              </w:rPr>
            </w:pPr>
            <w:r>
              <w:rPr>
                <w:b/>
                <w:sz w:val="20"/>
              </w:rPr>
              <w:t>Licda.</w:t>
            </w:r>
            <w:r>
              <w:rPr>
                <w:b/>
                <w:spacing w:val="-14"/>
                <w:sz w:val="20"/>
              </w:rPr>
              <w:t> </w:t>
            </w:r>
            <w:r>
              <w:rPr>
                <w:b/>
                <w:sz w:val="20"/>
              </w:rPr>
              <w:t>Kemly</w:t>
            </w:r>
            <w:r>
              <w:rPr>
                <w:b/>
                <w:spacing w:val="-14"/>
                <w:sz w:val="20"/>
              </w:rPr>
              <w:t> </w:t>
            </w:r>
            <w:r>
              <w:rPr>
                <w:b/>
                <w:sz w:val="20"/>
              </w:rPr>
              <w:t>Camacho </w:t>
            </w:r>
            <w:r>
              <w:rPr>
                <w:b/>
                <w:spacing w:val="-2"/>
                <w:sz w:val="20"/>
              </w:rPr>
              <w:t>Espinoza</w:t>
            </w:r>
          </w:p>
        </w:tc>
        <w:tc>
          <w:tcPr>
            <w:tcW w:w="1996" w:type="dxa"/>
          </w:tcPr>
          <w:p>
            <w:pPr>
              <w:pStyle w:val="TableParagraph"/>
              <w:spacing w:before="114"/>
              <w:ind w:left="69"/>
              <w:rPr>
                <w:sz w:val="20"/>
              </w:rPr>
            </w:pPr>
            <w:r>
              <w:rPr>
                <w:sz w:val="20"/>
              </w:rPr>
              <w:t>Jefatura</w:t>
            </w:r>
            <w:r>
              <w:rPr>
                <w:spacing w:val="-14"/>
                <w:sz w:val="20"/>
              </w:rPr>
              <w:t> </w:t>
            </w:r>
            <w:r>
              <w:rPr>
                <w:spacing w:val="-2"/>
                <w:sz w:val="20"/>
              </w:rPr>
              <w:t>Regional</w:t>
            </w:r>
          </w:p>
        </w:tc>
        <w:tc>
          <w:tcPr>
            <w:tcW w:w="1161" w:type="dxa"/>
          </w:tcPr>
          <w:p>
            <w:pPr>
              <w:pStyle w:val="TableParagraph"/>
              <w:spacing w:before="114"/>
              <w:ind w:left="70"/>
              <w:rPr>
                <w:sz w:val="20"/>
              </w:rPr>
            </w:pPr>
            <w:r>
              <w:rPr>
                <w:spacing w:val="-2"/>
                <w:sz w:val="20"/>
              </w:rPr>
              <w:t>Chorotega</w:t>
            </w:r>
          </w:p>
        </w:tc>
        <w:tc>
          <w:tcPr>
            <w:tcW w:w="3333" w:type="dxa"/>
          </w:tcPr>
          <w:p>
            <w:pPr>
              <w:pStyle w:val="TableParagraph"/>
              <w:spacing w:before="114"/>
              <w:ind w:left="73"/>
              <w:rPr>
                <w:sz w:val="20"/>
              </w:rPr>
            </w:pPr>
            <w:hyperlink r:id="rId29">
              <w:r>
                <w:rPr>
                  <w:spacing w:val="-2"/>
                  <w:sz w:val="20"/>
                  <w:u w:val="single"/>
                </w:rPr>
                <w:t>kcamacho@imas.go.cr</w:t>
              </w:r>
            </w:hyperlink>
          </w:p>
        </w:tc>
      </w:tr>
      <w:tr>
        <w:trPr>
          <w:trHeight w:val="664" w:hRule="atLeast"/>
        </w:trPr>
        <w:tc>
          <w:tcPr>
            <w:tcW w:w="2717" w:type="dxa"/>
          </w:tcPr>
          <w:p>
            <w:pPr>
              <w:pStyle w:val="TableParagraph"/>
              <w:spacing w:before="100"/>
              <w:ind w:left="69" w:right="798"/>
              <w:rPr>
                <w:b/>
                <w:sz w:val="20"/>
              </w:rPr>
            </w:pPr>
            <w:r>
              <w:rPr>
                <w:b/>
                <w:sz w:val="20"/>
              </w:rPr>
              <w:t>Licda. Guadalupe Sandoval</w:t>
            </w:r>
            <w:r>
              <w:rPr>
                <w:b/>
                <w:spacing w:val="-14"/>
                <w:sz w:val="20"/>
              </w:rPr>
              <w:t> </w:t>
            </w:r>
            <w:r>
              <w:rPr>
                <w:b/>
                <w:sz w:val="20"/>
              </w:rPr>
              <w:t>Sandoval</w:t>
            </w:r>
          </w:p>
        </w:tc>
        <w:tc>
          <w:tcPr>
            <w:tcW w:w="1996" w:type="dxa"/>
          </w:tcPr>
          <w:p>
            <w:pPr>
              <w:pStyle w:val="TableParagraph"/>
              <w:spacing w:before="215"/>
              <w:ind w:left="69"/>
              <w:rPr>
                <w:sz w:val="20"/>
              </w:rPr>
            </w:pPr>
            <w:r>
              <w:rPr>
                <w:sz w:val="20"/>
              </w:rPr>
              <w:t>Jefatura</w:t>
            </w:r>
            <w:r>
              <w:rPr>
                <w:spacing w:val="-14"/>
                <w:sz w:val="20"/>
              </w:rPr>
              <w:t> </w:t>
            </w:r>
            <w:r>
              <w:rPr>
                <w:spacing w:val="-2"/>
                <w:sz w:val="20"/>
              </w:rPr>
              <w:t>Regional</w:t>
            </w:r>
          </w:p>
        </w:tc>
        <w:tc>
          <w:tcPr>
            <w:tcW w:w="1161" w:type="dxa"/>
          </w:tcPr>
          <w:p>
            <w:pPr>
              <w:pStyle w:val="TableParagraph"/>
              <w:spacing w:before="100"/>
              <w:ind w:left="70" w:right="472"/>
              <w:rPr>
                <w:sz w:val="20"/>
              </w:rPr>
            </w:pPr>
            <w:r>
              <w:rPr>
                <w:spacing w:val="-2"/>
                <w:sz w:val="20"/>
              </w:rPr>
              <w:t>Huetar Caribe</w:t>
            </w:r>
          </w:p>
        </w:tc>
        <w:tc>
          <w:tcPr>
            <w:tcW w:w="3333" w:type="dxa"/>
          </w:tcPr>
          <w:p>
            <w:pPr>
              <w:pStyle w:val="TableParagraph"/>
              <w:spacing w:before="215"/>
              <w:ind w:left="73"/>
              <w:rPr>
                <w:sz w:val="20"/>
              </w:rPr>
            </w:pPr>
            <w:hyperlink r:id="rId30">
              <w:r>
                <w:rPr>
                  <w:spacing w:val="-2"/>
                  <w:sz w:val="20"/>
                  <w:u w:val="single"/>
                </w:rPr>
                <w:t>gsandoval@imas.go.cr</w:t>
              </w:r>
            </w:hyperlink>
          </w:p>
        </w:tc>
      </w:tr>
    </w:tbl>
    <w:p>
      <w:pPr>
        <w:spacing w:before="4"/>
        <w:ind w:left="1625" w:right="0" w:firstLine="0"/>
        <w:jc w:val="left"/>
        <w:rPr>
          <w:sz w:val="18"/>
        </w:rPr>
      </w:pPr>
      <w:r>
        <w:rPr>
          <w:sz w:val="18"/>
        </w:rPr>
        <w:t>Fuente:</w:t>
      </w:r>
      <w:r>
        <w:rPr>
          <w:spacing w:val="-5"/>
          <w:sz w:val="18"/>
        </w:rPr>
        <w:t> </w:t>
      </w:r>
      <w:r>
        <w:rPr>
          <w:sz w:val="18"/>
        </w:rPr>
        <w:t>Elaborado</w:t>
      </w:r>
      <w:r>
        <w:rPr>
          <w:spacing w:val="-4"/>
          <w:sz w:val="18"/>
        </w:rPr>
        <w:t> </w:t>
      </w:r>
      <w:r>
        <w:rPr>
          <w:sz w:val="18"/>
        </w:rPr>
        <w:t>por</w:t>
      </w:r>
      <w:r>
        <w:rPr>
          <w:spacing w:val="-4"/>
          <w:sz w:val="18"/>
        </w:rPr>
        <w:t> </w:t>
      </w:r>
      <w:r>
        <w:rPr>
          <w:sz w:val="18"/>
        </w:rPr>
        <w:t>Unidad</w:t>
      </w:r>
      <w:r>
        <w:rPr>
          <w:spacing w:val="-7"/>
          <w:sz w:val="18"/>
        </w:rPr>
        <w:t> </w:t>
      </w:r>
      <w:r>
        <w:rPr>
          <w:sz w:val="18"/>
        </w:rPr>
        <w:t>de</w:t>
      </w:r>
      <w:r>
        <w:rPr>
          <w:spacing w:val="-4"/>
          <w:sz w:val="18"/>
        </w:rPr>
        <w:t> </w:t>
      </w:r>
      <w:r>
        <w:rPr>
          <w:sz w:val="18"/>
        </w:rPr>
        <w:t>Planificación</w:t>
      </w:r>
      <w:r>
        <w:rPr>
          <w:spacing w:val="-4"/>
          <w:sz w:val="18"/>
        </w:rPr>
        <w:t> </w:t>
      </w:r>
      <w:r>
        <w:rPr>
          <w:sz w:val="18"/>
        </w:rPr>
        <w:t>Institucional,</w:t>
      </w:r>
      <w:r>
        <w:rPr>
          <w:spacing w:val="-6"/>
          <w:sz w:val="18"/>
        </w:rPr>
        <w:t> </w:t>
      </w:r>
      <w:r>
        <w:rPr>
          <w:spacing w:val="-4"/>
          <w:sz w:val="18"/>
        </w:rPr>
        <w:t>2026</w:t>
      </w:r>
    </w:p>
    <w:p>
      <w:pPr>
        <w:spacing w:after="0"/>
        <w:jc w:val="left"/>
        <w:rPr>
          <w:sz w:val="18"/>
        </w:rPr>
        <w:sectPr>
          <w:type w:val="continuous"/>
          <w:pgSz w:w="12240" w:h="15840"/>
          <w:pgMar w:header="0" w:footer="1576" w:top="1060" w:bottom="1760" w:left="360" w:right="0"/>
        </w:sectPr>
      </w:pPr>
    </w:p>
    <w:p>
      <w:pPr>
        <w:pStyle w:val="Heading3"/>
        <w:numPr>
          <w:ilvl w:val="0"/>
          <w:numId w:val="5"/>
        </w:numPr>
        <w:tabs>
          <w:tab w:pos="1892" w:val="left" w:leader="none"/>
        </w:tabs>
        <w:spacing w:line="240" w:lineRule="auto" w:before="70" w:after="0"/>
        <w:ind w:left="1892" w:right="0" w:hanging="267"/>
        <w:jc w:val="left"/>
      </w:pPr>
      <w:bookmarkStart w:name="_bookmark8" w:id="9"/>
      <w:bookmarkEnd w:id="9"/>
      <w:r>
        <w:rPr>
          <w:b w:val="0"/>
        </w:rPr>
      </w:r>
      <w:r>
        <w:rPr/>
        <w:t>Diagnóstico</w:t>
      </w:r>
      <w:r>
        <w:rPr>
          <w:spacing w:val="-7"/>
        </w:rPr>
        <w:t> </w:t>
      </w:r>
      <w:r>
        <w:rPr>
          <w:spacing w:val="-2"/>
        </w:rPr>
        <w:t>Institucional</w:t>
      </w:r>
    </w:p>
    <w:p>
      <w:pPr>
        <w:pStyle w:val="BodyText"/>
        <w:rPr>
          <w:b/>
          <w:sz w:val="24"/>
        </w:rPr>
      </w:pPr>
    </w:p>
    <w:p>
      <w:pPr>
        <w:pStyle w:val="BodyText"/>
        <w:ind w:left="1625" w:right="1599"/>
        <w:jc w:val="both"/>
      </w:pPr>
      <w:r>
        <w:rPr/>
        <w:t>El presente diagnóstico tiene el propósito de identificar y caracterizar la situación actual del IMAS y brindar orientaciones generales para direccionar la Inversión Social durante el año 2027. En dicho documento se muestra la estructura organizacional actual y los recursos institucionales que apoyan la gestión operativa, los procesos de trabajo y los resultados de diagnósticos territoriales.</w:t>
      </w:r>
    </w:p>
    <w:p>
      <w:pPr>
        <w:pStyle w:val="BodyText"/>
        <w:spacing w:before="252"/>
        <w:ind w:left="1625" w:right="1599"/>
        <w:jc w:val="both"/>
      </w:pPr>
      <w:r>
        <w:rPr/>
        <w:t>Esta caracterización institucional se realiza enmarcada en el contexto de la pobreza en Costa Rica, con algunos detalles generales sobre la población beneficiaria y el análisis de la inversión social realizada por la institución.</w:t>
      </w:r>
    </w:p>
    <w:p>
      <w:pPr>
        <w:pStyle w:val="BodyText"/>
      </w:pPr>
    </w:p>
    <w:p>
      <w:pPr>
        <w:pStyle w:val="BodyText"/>
        <w:spacing w:before="1"/>
        <w:ind w:left="1625" w:right="1601"/>
        <w:jc w:val="both"/>
      </w:pPr>
      <w:r>
        <w:rPr/>
        <w:t>La finalidad de este documento en su rol de diagnóstico</w:t>
      </w:r>
      <w:r>
        <w:rPr>
          <w:spacing w:val="-1"/>
        </w:rPr>
        <w:t> </w:t>
      </w:r>
      <w:r>
        <w:rPr/>
        <w:t>es poder contar con los datos e información suficiente para determinar prioridades a nivel institucional, que a su vez puedan ser tomadas</w:t>
      </w:r>
      <w:r>
        <w:rPr>
          <w:spacing w:val="-1"/>
        </w:rPr>
        <w:t> </w:t>
      </w:r>
      <w:r>
        <w:rPr/>
        <w:t>en</w:t>
      </w:r>
      <w:r>
        <w:rPr>
          <w:spacing w:val="-3"/>
        </w:rPr>
        <w:t> </w:t>
      </w:r>
      <w:r>
        <w:rPr/>
        <w:t>consideración por parte</w:t>
      </w:r>
      <w:r>
        <w:rPr>
          <w:spacing w:val="-3"/>
        </w:rPr>
        <w:t> </w:t>
      </w:r>
      <w:r>
        <w:rPr/>
        <w:t>de la</w:t>
      </w:r>
      <w:r>
        <w:rPr>
          <w:spacing w:val="-1"/>
        </w:rPr>
        <w:t> </w:t>
      </w:r>
      <w:r>
        <w:rPr/>
        <w:t>Dirección Superior</w:t>
      </w:r>
      <w:r>
        <w:rPr>
          <w:spacing w:val="-2"/>
        </w:rPr>
        <w:t> </w:t>
      </w:r>
      <w:r>
        <w:rPr/>
        <w:t>del IMAS, para generar acciones dentro del Plan Operativo Institucional para el periodo 2027.</w:t>
      </w:r>
    </w:p>
    <w:p>
      <w:pPr>
        <w:pStyle w:val="BodyText"/>
        <w:spacing w:before="22"/>
      </w:pPr>
    </w:p>
    <w:p>
      <w:pPr>
        <w:pStyle w:val="Heading3"/>
        <w:numPr>
          <w:ilvl w:val="1"/>
          <w:numId w:val="5"/>
        </w:numPr>
        <w:tabs>
          <w:tab w:pos="2887" w:val="left" w:leader="none"/>
        </w:tabs>
        <w:spacing w:line="240" w:lineRule="auto" w:before="0" w:after="0"/>
        <w:ind w:left="2887" w:right="0" w:hanging="401"/>
        <w:jc w:val="left"/>
      </w:pPr>
      <w:bookmarkStart w:name="_bookmark9" w:id="10"/>
      <w:bookmarkEnd w:id="10"/>
      <w:r>
        <w:rPr>
          <w:b w:val="0"/>
        </w:rPr>
      </w:r>
      <w:r>
        <w:rPr/>
        <w:t>Estructura</w:t>
      </w:r>
      <w:r>
        <w:rPr>
          <w:spacing w:val="-2"/>
        </w:rPr>
        <w:t> Organizacional</w:t>
      </w:r>
    </w:p>
    <w:p>
      <w:pPr>
        <w:pStyle w:val="BodyText"/>
        <w:rPr>
          <w:b/>
          <w:sz w:val="24"/>
        </w:rPr>
      </w:pPr>
    </w:p>
    <w:p>
      <w:pPr>
        <w:pStyle w:val="BodyText"/>
        <w:ind w:left="1625" w:right="1601"/>
        <w:jc w:val="both"/>
      </w:pPr>
      <w:r>
        <w:rPr/>
        <w:t>A</w:t>
      </w:r>
      <w:r>
        <w:rPr>
          <w:spacing w:val="-4"/>
        </w:rPr>
        <w:t> </w:t>
      </w:r>
      <w:r>
        <w:rPr/>
        <w:t>continuación,</w:t>
      </w:r>
      <w:r>
        <w:rPr>
          <w:spacing w:val="-5"/>
        </w:rPr>
        <w:t> </w:t>
      </w:r>
      <w:r>
        <w:rPr/>
        <w:t>se</w:t>
      </w:r>
      <w:r>
        <w:rPr>
          <w:spacing w:val="-6"/>
        </w:rPr>
        <w:t> </w:t>
      </w:r>
      <w:r>
        <w:rPr/>
        <w:t>presenta</w:t>
      </w:r>
      <w:r>
        <w:rPr>
          <w:spacing w:val="-6"/>
        </w:rPr>
        <w:t> </w:t>
      </w:r>
      <w:r>
        <w:rPr/>
        <w:t>la</w:t>
      </w:r>
      <w:r>
        <w:rPr>
          <w:spacing w:val="-4"/>
        </w:rPr>
        <w:t> </w:t>
      </w:r>
      <w:r>
        <w:rPr/>
        <w:t>estructura</w:t>
      </w:r>
      <w:r>
        <w:rPr>
          <w:spacing w:val="-6"/>
        </w:rPr>
        <w:t> </w:t>
      </w:r>
      <w:r>
        <w:rPr/>
        <w:t>organizacional</w:t>
      </w:r>
      <w:r>
        <w:rPr>
          <w:spacing w:val="-2"/>
        </w:rPr>
        <w:t> </w:t>
      </w:r>
      <w:r>
        <w:rPr/>
        <w:t>vigente</w:t>
      </w:r>
      <w:r>
        <w:rPr>
          <w:spacing w:val="-5"/>
        </w:rPr>
        <w:t> </w:t>
      </w:r>
      <w:r>
        <w:rPr/>
        <w:t>que</w:t>
      </w:r>
      <w:r>
        <w:rPr>
          <w:spacing w:val="-6"/>
        </w:rPr>
        <w:t> </w:t>
      </w:r>
      <w:r>
        <w:rPr/>
        <w:t>posee</w:t>
      </w:r>
      <w:r>
        <w:rPr>
          <w:spacing w:val="-4"/>
        </w:rPr>
        <w:t> </w:t>
      </w:r>
      <w:r>
        <w:rPr/>
        <w:t>la</w:t>
      </w:r>
      <w:r>
        <w:rPr>
          <w:spacing w:val="-6"/>
        </w:rPr>
        <w:t> </w:t>
      </w:r>
      <w:r>
        <w:rPr/>
        <w:t>institución, con cada una de las instancias que la conforman.</w:t>
      </w:r>
    </w:p>
    <w:p>
      <w:pPr>
        <w:pStyle w:val="BodyText"/>
        <w:spacing w:after="0"/>
        <w:jc w:val="both"/>
        <w:sectPr>
          <w:pgSz w:w="12240" w:h="15840"/>
          <w:pgMar w:header="0" w:footer="1576" w:top="1560" w:bottom="1760" w:left="360" w:right="0"/>
        </w:sectPr>
      </w:pPr>
    </w:p>
    <w:p>
      <w:pPr>
        <w:pStyle w:val="Heading5"/>
        <w:spacing w:before="77"/>
        <w:ind w:left="1463" w:right="1303"/>
        <w:jc w:val="center"/>
      </w:pPr>
      <w:bookmarkStart w:name="_bookmark10" w:id="11"/>
      <w:bookmarkEnd w:id="11"/>
      <w:r>
        <w:rPr>
          <w:b w:val="0"/>
        </w:rPr>
      </w:r>
      <w:r>
        <w:rPr/>
        <w:t>Figura</w:t>
      </w:r>
      <w:r>
        <w:rPr>
          <w:spacing w:val="-4"/>
        </w:rPr>
        <w:t> </w:t>
      </w:r>
      <w:r>
        <w:rPr/>
        <w:t>1:</w:t>
      </w:r>
      <w:r>
        <w:rPr>
          <w:spacing w:val="-6"/>
        </w:rPr>
        <w:t> </w:t>
      </w:r>
      <w:r>
        <w:rPr/>
        <w:t>Organigrama</w:t>
      </w:r>
      <w:r>
        <w:rPr>
          <w:spacing w:val="-7"/>
        </w:rPr>
        <w:t> </w:t>
      </w:r>
      <w:r>
        <w:rPr/>
        <w:t>institucional</w:t>
      </w:r>
      <w:r>
        <w:rPr>
          <w:spacing w:val="-6"/>
        </w:rPr>
        <w:t> </w:t>
      </w:r>
      <w:r>
        <w:rPr/>
        <w:t>del</w:t>
      </w:r>
      <w:r>
        <w:rPr>
          <w:spacing w:val="-6"/>
        </w:rPr>
        <w:t> </w:t>
      </w:r>
      <w:r>
        <w:rPr/>
        <w:t>IMAS</w:t>
      </w:r>
      <w:r>
        <w:rPr>
          <w:spacing w:val="-6"/>
        </w:rPr>
        <w:t> </w:t>
      </w:r>
      <w:r>
        <w:rPr/>
        <w:t>al</w:t>
      </w:r>
      <w:r>
        <w:rPr>
          <w:spacing w:val="-4"/>
        </w:rPr>
        <w:t> 2026</w:t>
      </w:r>
    </w:p>
    <w:p>
      <w:pPr>
        <w:pStyle w:val="BodyText"/>
        <w:rPr>
          <w:b/>
          <w:sz w:val="9"/>
        </w:rPr>
      </w:pPr>
      <w:r>
        <w:rPr>
          <w:b/>
          <w:sz w:val="9"/>
        </w:rPr>
        <w:drawing>
          <wp:anchor distT="0" distB="0" distL="0" distR="0" allowOverlap="1" layoutInCell="1" locked="0" behindDoc="1" simplePos="0" relativeHeight="487588352">
            <wp:simplePos x="0" y="0"/>
            <wp:positionH relativeFrom="page">
              <wp:posOffset>618465</wp:posOffset>
            </wp:positionH>
            <wp:positionV relativeFrom="paragraph">
              <wp:posOffset>81430</wp:posOffset>
            </wp:positionV>
            <wp:extent cx="6613428" cy="6729983"/>
            <wp:effectExtent l="0" t="0" r="0" b="0"/>
            <wp:wrapTopAndBottom/>
            <wp:docPr id="16" name="Image 16"/>
            <wp:cNvGraphicFramePr>
              <a:graphicFrameLocks/>
            </wp:cNvGraphicFramePr>
            <a:graphic>
              <a:graphicData uri="http://schemas.openxmlformats.org/drawingml/2006/picture">
                <pic:pic>
                  <pic:nvPicPr>
                    <pic:cNvPr id="16" name="Image 16"/>
                    <pic:cNvPicPr/>
                  </pic:nvPicPr>
                  <pic:blipFill>
                    <a:blip r:embed="rId31" cstate="print"/>
                    <a:stretch>
                      <a:fillRect/>
                    </a:stretch>
                  </pic:blipFill>
                  <pic:spPr>
                    <a:xfrm>
                      <a:off x="0" y="0"/>
                      <a:ext cx="6613428" cy="6729983"/>
                    </a:xfrm>
                    <a:prstGeom prst="rect">
                      <a:avLst/>
                    </a:prstGeom>
                  </pic:spPr>
                </pic:pic>
              </a:graphicData>
            </a:graphic>
          </wp:anchor>
        </w:drawing>
      </w:r>
    </w:p>
    <w:p>
      <w:pPr>
        <w:pStyle w:val="BodyText"/>
        <w:spacing w:after="0"/>
        <w:rPr>
          <w:b/>
          <w:sz w:val="9"/>
        </w:rPr>
        <w:sectPr>
          <w:pgSz w:w="12240" w:h="15840"/>
          <w:pgMar w:header="0" w:footer="1576" w:top="1000" w:bottom="1760" w:left="360" w:right="0"/>
        </w:sectPr>
      </w:pPr>
    </w:p>
    <w:p>
      <w:pPr>
        <w:pStyle w:val="Heading3"/>
        <w:numPr>
          <w:ilvl w:val="1"/>
          <w:numId w:val="5"/>
        </w:numPr>
        <w:tabs>
          <w:tab w:pos="2887" w:val="left" w:leader="none"/>
        </w:tabs>
        <w:spacing w:line="240" w:lineRule="auto" w:before="74" w:after="0"/>
        <w:ind w:left="2887" w:right="0" w:hanging="401"/>
        <w:jc w:val="left"/>
      </w:pPr>
      <w:bookmarkStart w:name="_bookmark11" w:id="12"/>
      <w:bookmarkEnd w:id="12"/>
      <w:r>
        <w:rPr>
          <w:b w:val="0"/>
        </w:rPr>
      </w:r>
      <w:r>
        <w:rPr/>
        <w:t>Recursos</w:t>
      </w:r>
      <w:r>
        <w:rPr>
          <w:spacing w:val="-6"/>
        </w:rPr>
        <w:t> </w:t>
      </w:r>
      <w:r>
        <w:rPr>
          <w:spacing w:val="-2"/>
        </w:rPr>
        <w:t>Institucionales</w:t>
      </w:r>
    </w:p>
    <w:p>
      <w:pPr>
        <w:pStyle w:val="BodyText"/>
        <w:rPr>
          <w:b/>
          <w:sz w:val="24"/>
        </w:rPr>
      </w:pPr>
    </w:p>
    <w:p>
      <w:pPr>
        <w:pStyle w:val="ListParagraph"/>
        <w:numPr>
          <w:ilvl w:val="2"/>
          <w:numId w:val="5"/>
        </w:numPr>
        <w:tabs>
          <w:tab w:pos="2224" w:val="left" w:leader="none"/>
        </w:tabs>
        <w:spacing w:line="240" w:lineRule="auto" w:before="0" w:after="0"/>
        <w:ind w:left="2224" w:right="0" w:hanging="599"/>
        <w:jc w:val="left"/>
        <w:rPr>
          <w:b/>
          <w:sz w:val="24"/>
        </w:rPr>
      </w:pPr>
      <w:r>
        <w:rPr>
          <w:b/>
          <w:sz w:val="24"/>
        </w:rPr>
        <w:t>Recursos</w:t>
      </w:r>
      <w:r>
        <w:rPr>
          <w:b/>
          <w:spacing w:val="-5"/>
          <w:sz w:val="24"/>
        </w:rPr>
        <w:t> </w:t>
      </w:r>
      <w:r>
        <w:rPr>
          <w:b/>
          <w:spacing w:val="-2"/>
          <w:sz w:val="24"/>
        </w:rPr>
        <w:t>Materiales</w:t>
      </w:r>
    </w:p>
    <w:p>
      <w:pPr>
        <w:pStyle w:val="BodyText"/>
        <w:rPr>
          <w:b/>
          <w:sz w:val="24"/>
        </w:rPr>
      </w:pPr>
    </w:p>
    <w:p>
      <w:pPr>
        <w:pStyle w:val="BodyText"/>
        <w:ind w:left="1625" w:right="1605"/>
        <w:jc w:val="both"/>
      </w:pPr>
      <w:r>
        <w:rPr/>
        <w:t>Según el Departamento de Administración Financiera, para finales del año 2025 los valores</w:t>
      </w:r>
      <w:r>
        <w:rPr>
          <w:spacing w:val="-9"/>
        </w:rPr>
        <w:t> </w:t>
      </w:r>
      <w:r>
        <w:rPr/>
        <w:t>indicados</w:t>
      </w:r>
      <w:r>
        <w:rPr>
          <w:spacing w:val="-10"/>
        </w:rPr>
        <w:t> </w:t>
      </w:r>
      <w:r>
        <w:rPr/>
        <w:t>en</w:t>
      </w:r>
      <w:r>
        <w:rPr>
          <w:spacing w:val="-10"/>
        </w:rPr>
        <w:t> </w:t>
      </w:r>
      <w:r>
        <w:rPr/>
        <w:t>libros</w:t>
      </w:r>
      <w:r>
        <w:rPr>
          <w:spacing w:val="-10"/>
        </w:rPr>
        <w:t> </w:t>
      </w:r>
      <w:r>
        <w:rPr/>
        <w:t>contablemente</w:t>
      </w:r>
      <w:r>
        <w:rPr>
          <w:spacing w:val="-12"/>
        </w:rPr>
        <w:t> </w:t>
      </w:r>
      <w:r>
        <w:rPr/>
        <w:t>como</w:t>
      </w:r>
      <w:r>
        <w:rPr>
          <w:spacing w:val="-14"/>
        </w:rPr>
        <w:t> </w:t>
      </w:r>
      <w:r>
        <w:rPr/>
        <w:t>propiedad,</w:t>
      </w:r>
      <w:r>
        <w:rPr>
          <w:spacing w:val="-8"/>
        </w:rPr>
        <w:t> </w:t>
      </w:r>
      <w:r>
        <w:rPr/>
        <w:t>planta</w:t>
      </w:r>
      <w:r>
        <w:rPr>
          <w:spacing w:val="-12"/>
        </w:rPr>
        <w:t> </w:t>
      </w:r>
      <w:r>
        <w:rPr/>
        <w:t>y</w:t>
      </w:r>
      <w:r>
        <w:rPr>
          <w:spacing w:val="-9"/>
        </w:rPr>
        <w:t> </w:t>
      </w:r>
      <w:r>
        <w:rPr/>
        <w:t>equipo</w:t>
      </w:r>
      <w:r>
        <w:rPr>
          <w:spacing w:val="-10"/>
        </w:rPr>
        <w:t> </w:t>
      </w:r>
      <w:r>
        <w:rPr/>
        <w:t>ascienden</w:t>
      </w:r>
      <w:r>
        <w:rPr>
          <w:spacing w:val="-10"/>
        </w:rPr>
        <w:t> </w:t>
      </w:r>
      <w:r>
        <w:rPr/>
        <w:t>en su totalidad a ¢137.459.074.724,68 (Ciento treinta y siete mil cuatrocientos cincuenta y nueve millones setenta y cuatro mil setecientos veinticuatro colones con sesenta y ocho céntimos). Dichos recursos se detallan en la siguiente tabla:</w:t>
      </w:r>
    </w:p>
    <w:p>
      <w:pPr>
        <w:pStyle w:val="BodyText"/>
        <w:spacing w:before="23"/>
      </w:pPr>
    </w:p>
    <w:p>
      <w:pPr>
        <w:pStyle w:val="Heading5"/>
        <w:ind w:left="4738" w:right="1444" w:hanging="2982"/>
      </w:pPr>
      <w:bookmarkStart w:name="_bookmark12" w:id="13"/>
      <w:bookmarkEnd w:id="13"/>
      <w:r>
        <w:rPr>
          <w:b w:val="0"/>
        </w:rPr>
      </w:r>
      <w:r>
        <w:rPr/>
        <w:t>Tabla</w:t>
      </w:r>
      <w:r>
        <w:rPr>
          <w:spacing w:val="-1"/>
        </w:rPr>
        <w:t> </w:t>
      </w:r>
      <w:r>
        <w:rPr/>
        <w:t>4:Valor</w:t>
      </w:r>
      <w:r>
        <w:rPr>
          <w:spacing w:val="-3"/>
        </w:rPr>
        <w:t> </w:t>
      </w:r>
      <w:r>
        <w:rPr/>
        <w:t>en</w:t>
      </w:r>
      <w:r>
        <w:rPr>
          <w:spacing w:val="-4"/>
        </w:rPr>
        <w:t> </w:t>
      </w:r>
      <w:r>
        <w:rPr/>
        <w:t>libros</w:t>
      </w:r>
      <w:r>
        <w:rPr>
          <w:spacing w:val="-4"/>
        </w:rPr>
        <w:t> </w:t>
      </w:r>
      <w:r>
        <w:rPr/>
        <w:t>total</w:t>
      </w:r>
      <w:r>
        <w:rPr>
          <w:spacing w:val="-3"/>
        </w:rPr>
        <w:t> </w:t>
      </w:r>
      <w:r>
        <w:rPr/>
        <w:t>de</w:t>
      </w:r>
      <w:r>
        <w:rPr>
          <w:spacing w:val="-5"/>
        </w:rPr>
        <w:t> </w:t>
      </w:r>
      <w:r>
        <w:rPr/>
        <w:t>activos</w:t>
      </w:r>
      <w:r>
        <w:rPr>
          <w:spacing w:val="-4"/>
        </w:rPr>
        <w:t> </w:t>
      </w:r>
      <w:r>
        <w:rPr/>
        <w:t>institucionales</w:t>
      </w:r>
      <w:r>
        <w:rPr>
          <w:spacing w:val="-4"/>
        </w:rPr>
        <w:t> </w:t>
      </w:r>
      <w:r>
        <w:rPr/>
        <w:t>al</w:t>
      </w:r>
      <w:r>
        <w:rPr>
          <w:spacing w:val="-3"/>
        </w:rPr>
        <w:t> </w:t>
      </w:r>
      <w:r>
        <w:rPr/>
        <w:t>31</w:t>
      </w:r>
      <w:r>
        <w:rPr>
          <w:spacing w:val="-2"/>
        </w:rPr>
        <w:t> </w:t>
      </w:r>
      <w:r>
        <w:rPr/>
        <w:t>de</w:t>
      </w:r>
      <w:r>
        <w:rPr>
          <w:spacing w:val="-5"/>
        </w:rPr>
        <w:t> </w:t>
      </w:r>
      <w:r>
        <w:rPr/>
        <w:t>diciembre</w:t>
      </w:r>
      <w:r>
        <w:rPr>
          <w:spacing w:val="-2"/>
        </w:rPr>
        <w:t> </w:t>
      </w:r>
      <w:r>
        <w:rPr/>
        <w:t>del</w:t>
      </w:r>
      <w:r>
        <w:rPr>
          <w:spacing w:val="-3"/>
        </w:rPr>
        <w:t> </w:t>
      </w:r>
      <w:r>
        <w:rPr/>
        <w:t>2025 (en colones corrientes)</w:t>
      </w:r>
    </w:p>
    <w:p>
      <w:pPr>
        <w:pStyle w:val="BodyText"/>
        <w:spacing w:before="22"/>
        <w:rPr>
          <w:b/>
          <w:sz w:val="20"/>
        </w:rPr>
      </w:pPr>
    </w:p>
    <w:tbl>
      <w:tblPr>
        <w:tblW w:w="0" w:type="auto"/>
        <w:jc w:val="left"/>
        <w:tblInd w:w="1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03"/>
        <w:gridCol w:w="2619"/>
      </w:tblGrid>
      <w:tr>
        <w:trPr>
          <w:trHeight w:val="299" w:hRule="atLeast"/>
        </w:trPr>
        <w:tc>
          <w:tcPr>
            <w:tcW w:w="5403" w:type="dxa"/>
            <w:shd w:val="clear" w:color="auto" w:fill="0E233D"/>
          </w:tcPr>
          <w:p>
            <w:pPr>
              <w:pStyle w:val="TableParagraph"/>
              <w:spacing w:before="35"/>
              <w:ind w:left="1411"/>
              <w:rPr>
                <w:b/>
                <w:sz w:val="20"/>
              </w:rPr>
            </w:pPr>
            <w:r>
              <w:rPr>
                <w:b/>
                <w:color w:val="FFFFFF"/>
                <w:sz w:val="20"/>
              </w:rPr>
              <w:t>Tipo</w:t>
            </w:r>
            <w:r>
              <w:rPr>
                <w:b/>
                <w:color w:val="FFFFFF"/>
                <w:spacing w:val="-6"/>
                <w:sz w:val="20"/>
              </w:rPr>
              <w:t> </w:t>
            </w:r>
            <w:r>
              <w:rPr>
                <w:b/>
                <w:color w:val="FFFFFF"/>
                <w:sz w:val="20"/>
              </w:rPr>
              <w:t>de</w:t>
            </w:r>
            <w:r>
              <w:rPr>
                <w:b/>
                <w:color w:val="FFFFFF"/>
                <w:spacing w:val="-6"/>
                <w:sz w:val="20"/>
              </w:rPr>
              <w:t> </w:t>
            </w:r>
            <w:r>
              <w:rPr>
                <w:b/>
                <w:color w:val="FFFFFF"/>
                <w:sz w:val="20"/>
              </w:rPr>
              <w:t>activo</w:t>
            </w:r>
            <w:r>
              <w:rPr>
                <w:b/>
                <w:color w:val="FFFFFF"/>
                <w:spacing w:val="-3"/>
                <w:sz w:val="20"/>
              </w:rPr>
              <w:t> </w:t>
            </w:r>
            <w:r>
              <w:rPr>
                <w:b/>
                <w:color w:val="FFFFFF"/>
                <w:spacing w:val="-2"/>
                <w:sz w:val="20"/>
              </w:rPr>
              <w:t>Institucional</w:t>
            </w:r>
          </w:p>
        </w:tc>
        <w:tc>
          <w:tcPr>
            <w:tcW w:w="2619" w:type="dxa"/>
            <w:shd w:val="clear" w:color="auto" w:fill="0E233D"/>
          </w:tcPr>
          <w:p>
            <w:pPr>
              <w:pStyle w:val="TableParagraph"/>
              <w:spacing w:before="35"/>
              <w:ind w:left="612"/>
              <w:rPr>
                <w:b/>
                <w:sz w:val="20"/>
              </w:rPr>
            </w:pPr>
            <w:r>
              <w:rPr>
                <w:b/>
                <w:color w:val="FFFFFF"/>
                <w:sz w:val="20"/>
              </w:rPr>
              <w:t>Valor</w:t>
            </w:r>
            <w:r>
              <w:rPr>
                <w:b/>
                <w:color w:val="FFFFFF"/>
                <w:spacing w:val="-5"/>
                <w:sz w:val="20"/>
              </w:rPr>
              <w:t> </w:t>
            </w:r>
            <w:r>
              <w:rPr>
                <w:b/>
                <w:color w:val="FFFFFF"/>
                <w:sz w:val="20"/>
              </w:rPr>
              <w:t>en</w:t>
            </w:r>
            <w:r>
              <w:rPr>
                <w:b/>
                <w:color w:val="FFFFFF"/>
                <w:spacing w:val="-7"/>
                <w:sz w:val="20"/>
              </w:rPr>
              <w:t> </w:t>
            </w:r>
            <w:r>
              <w:rPr>
                <w:b/>
                <w:color w:val="FFFFFF"/>
                <w:spacing w:val="-2"/>
                <w:sz w:val="20"/>
              </w:rPr>
              <w:t>libros</w:t>
            </w:r>
          </w:p>
        </w:tc>
      </w:tr>
      <w:tr>
        <w:trPr>
          <w:trHeight w:val="345" w:hRule="atLeast"/>
        </w:trPr>
        <w:tc>
          <w:tcPr>
            <w:tcW w:w="5403" w:type="dxa"/>
          </w:tcPr>
          <w:p>
            <w:pPr>
              <w:pStyle w:val="TableParagraph"/>
              <w:spacing w:before="57"/>
              <w:ind w:left="69"/>
              <w:rPr>
                <w:sz w:val="20"/>
              </w:rPr>
            </w:pPr>
            <w:r>
              <w:rPr>
                <w:sz w:val="20"/>
              </w:rPr>
              <w:t>Tierras</w:t>
            </w:r>
            <w:r>
              <w:rPr>
                <w:spacing w:val="-5"/>
                <w:sz w:val="20"/>
              </w:rPr>
              <w:t> </w:t>
            </w:r>
            <w:r>
              <w:rPr>
                <w:sz w:val="20"/>
              </w:rPr>
              <w:t>y</w:t>
            </w:r>
            <w:r>
              <w:rPr>
                <w:spacing w:val="-4"/>
                <w:sz w:val="20"/>
              </w:rPr>
              <w:t> </w:t>
            </w:r>
            <w:r>
              <w:rPr>
                <w:spacing w:val="-2"/>
                <w:sz w:val="20"/>
              </w:rPr>
              <w:t>terrenos</w:t>
            </w:r>
          </w:p>
        </w:tc>
        <w:tc>
          <w:tcPr>
            <w:tcW w:w="2619" w:type="dxa"/>
          </w:tcPr>
          <w:p>
            <w:pPr>
              <w:pStyle w:val="TableParagraph"/>
              <w:spacing w:line="211" w:lineRule="exact" w:before="115"/>
              <w:ind w:right="63"/>
              <w:jc w:val="right"/>
              <w:rPr>
                <w:sz w:val="20"/>
              </w:rPr>
            </w:pPr>
            <w:r>
              <w:rPr>
                <w:spacing w:val="-2"/>
                <w:sz w:val="20"/>
              </w:rPr>
              <w:t>126.763.994.365</w:t>
            </w:r>
          </w:p>
        </w:tc>
      </w:tr>
      <w:tr>
        <w:trPr>
          <w:trHeight w:val="299" w:hRule="atLeast"/>
        </w:trPr>
        <w:tc>
          <w:tcPr>
            <w:tcW w:w="5403" w:type="dxa"/>
          </w:tcPr>
          <w:p>
            <w:pPr>
              <w:pStyle w:val="TableParagraph"/>
              <w:spacing w:before="35"/>
              <w:ind w:left="69"/>
              <w:rPr>
                <w:sz w:val="20"/>
              </w:rPr>
            </w:pPr>
            <w:r>
              <w:rPr>
                <w:spacing w:val="-2"/>
                <w:sz w:val="20"/>
              </w:rPr>
              <w:t>Edificios</w:t>
            </w:r>
          </w:p>
        </w:tc>
        <w:tc>
          <w:tcPr>
            <w:tcW w:w="2619" w:type="dxa"/>
          </w:tcPr>
          <w:p>
            <w:pPr>
              <w:pStyle w:val="TableParagraph"/>
              <w:spacing w:line="211" w:lineRule="exact" w:before="69"/>
              <w:ind w:right="63"/>
              <w:jc w:val="right"/>
              <w:rPr>
                <w:sz w:val="20"/>
              </w:rPr>
            </w:pPr>
            <w:r>
              <w:rPr>
                <w:spacing w:val="-2"/>
                <w:sz w:val="20"/>
              </w:rPr>
              <w:t>7.889.227.972,04</w:t>
            </w:r>
          </w:p>
        </w:tc>
      </w:tr>
      <w:tr>
        <w:trPr>
          <w:trHeight w:val="299" w:hRule="atLeast"/>
        </w:trPr>
        <w:tc>
          <w:tcPr>
            <w:tcW w:w="5403" w:type="dxa"/>
          </w:tcPr>
          <w:p>
            <w:pPr>
              <w:pStyle w:val="TableParagraph"/>
              <w:spacing w:before="35"/>
              <w:ind w:left="69"/>
              <w:rPr>
                <w:sz w:val="20"/>
              </w:rPr>
            </w:pPr>
            <w:r>
              <w:rPr>
                <w:sz w:val="20"/>
              </w:rPr>
              <w:t>Maquinaria</w:t>
            </w:r>
            <w:r>
              <w:rPr>
                <w:spacing w:val="-9"/>
                <w:sz w:val="20"/>
              </w:rPr>
              <w:t> </w:t>
            </w:r>
            <w:r>
              <w:rPr>
                <w:sz w:val="20"/>
              </w:rPr>
              <w:t>y</w:t>
            </w:r>
            <w:r>
              <w:rPr>
                <w:spacing w:val="-6"/>
                <w:sz w:val="20"/>
              </w:rPr>
              <w:t> </w:t>
            </w:r>
            <w:r>
              <w:rPr>
                <w:sz w:val="20"/>
              </w:rPr>
              <w:t>equipos</w:t>
            </w:r>
            <w:r>
              <w:rPr>
                <w:spacing w:val="-7"/>
                <w:sz w:val="20"/>
              </w:rPr>
              <w:t> </w:t>
            </w:r>
            <w:r>
              <w:rPr>
                <w:sz w:val="20"/>
              </w:rPr>
              <w:t>para</w:t>
            </w:r>
            <w:r>
              <w:rPr>
                <w:spacing w:val="-6"/>
                <w:sz w:val="20"/>
              </w:rPr>
              <w:t> </w:t>
            </w:r>
            <w:r>
              <w:rPr>
                <w:sz w:val="20"/>
              </w:rPr>
              <w:t>la</w:t>
            </w:r>
            <w:r>
              <w:rPr>
                <w:spacing w:val="-8"/>
                <w:sz w:val="20"/>
              </w:rPr>
              <w:t> </w:t>
            </w:r>
            <w:r>
              <w:rPr>
                <w:spacing w:val="-2"/>
                <w:sz w:val="20"/>
              </w:rPr>
              <w:t>producción</w:t>
            </w:r>
          </w:p>
        </w:tc>
        <w:tc>
          <w:tcPr>
            <w:tcW w:w="2619" w:type="dxa"/>
          </w:tcPr>
          <w:p>
            <w:pPr>
              <w:pStyle w:val="TableParagraph"/>
              <w:spacing w:line="211" w:lineRule="exact" w:before="69"/>
              <w:ind w:right="63"/>
              <w:jc w:val="right"/>
              <w:rPr>
                <w:sz w:val="20"/>
              </w:rPr>
            </w:pPr>
            <w:r>
              <w:rPr>
                <w:spacing w:val="-2"/>
                <w:sz w:val="20"/>
              </w:rPr>
              <w:t>45.305.818,40</w:t>
            </w:r>
          </w:p>
        </w:tc>
      </w:tr>
      <w:tr>
        <w:trPr>
          <w:trHeight w:val="301" w:hRule="atLeast"/>
        </w:trPr>
        <w:tc>
          <w:tcPr>
            <w:tcW w:w="5403" w:type="dxa"/>
          </w:tcPr>
          <w:p>
            <w:pPr>
              <w:pStyle w:val="TableParagraph"/>
              <w:spacing w:before="35"/>
              <w:ind w:left="69"/>
              <w:rPr>
                <w:sz w:val="20"/>
              </w:rPr>
            </w:pPr>
            <w:r>
              <w:rPr>
                <w:sz w:val="20"/>
              </w:rPr>
              <w:t>Equipos</w:t>
            </w:r>
            <w:r>
              <w:rPr>
                <w:spacing w:val="-7"/>
                <w:sz w:val="20"/>
              </w:rPr>
              <w:t> </w:t>
            </w:r>
            <w:r>
              <w:rPr>
                <w:sz w:val="20"/>
              </w:rPr>
              <w:t>de</w:t>
            </w:r>
            <w:r>
              <w:rPr>
                <w:spacing w:val="-8"/>
                <w:sz w:val="20"/>
              </w:rPr>
              <w:t> </w:t>
            </w:r>
            <w:r>
              <w:rPr>
                <w:sz w:val="20"/>
              </w:rPr>
              <w:t>transporte,</w:t>
            </w:r>
            <w:r>
              <w:rPr>
                <w:spacing w:val="-7"/>
                <w:sz w:val="20"/>
              </w:rPr>
              <w:t> </w:t>
            </w:r>
            <w:r>
              <w:rPr>
                <w:sz w:val="20"/>
              </w:rPr>
              <w:t>tracción</w:t>
            </w:r>
            <w:r>
              <w:rPr>
                <w:spacing w:val="-8"/>
                <w:sz w:val="20"/>
              </w:rPr>
              <w:t> </w:t>
            </w:r>
            <w:r>
              <w:rPr>
                <w:sz w:val="20"/>
              </w:rPr>
              <w:t>y</w:t>
            </w:r>
            <w:r>
              <w:rPr>
                <w:spacing w:val="-7"/>
                <w:sz w:val="20"/>
              </w:rPr>
              <w:t> </w:t>
            </w:r>
            <w:r>
              <w:rPr>
                <w:spacing w:val="-2"/>
                <w:sz w:val="20"/>
              </w:rPr>
              <w:t>elevación</w:t>
            </w:r>
          </w:p>
        </w:tc>
        <w:tc>
          <w:tcPr>
            <w:tcW w:w="2619" w:type="dxa"/>
          </w:tcPr>
          <w:p>
            <w:pPr>
              <w:pStyle w:val="TableParagraph"/>
              <w:spacing w:line="211" w:lineRule="exact" w:before="71"/>
              <w:ind w:right="62"/>
              <w:jc w:val="right"/>
              <w:rPr>
                <w:sz w:val="20"/>
              </w:rPr>
            </w:pPr>
            <w:r>
              <w:rPr>
                <w:spacing w:val="-2"/>
                <w:sz w:val="20"/>
              </w:rPr>
              <w:t>765.471.393,53</w:t>
            </w:r>
          </w:p>
        </w:tc>
      </w:tr>
      <w:tr>
        <w:trPr>
          <w:trHeight w:val="299" w:hRule="atLeast"/>
        </w:trPr>
        <w:tc>
          <w:tcPr>
            <w:tcW w:w="5403" w:type="dxa"/>
          </w:tcPr>
          <w:p>
            <w:pPr>
              <w:pStyle w:val="TableParagraph"/>
              <w:spacing w:before="33"/>
              <w:ind w:left="69"/>
              <w:rPr>
                <w:sz w:val="20"/>
              </w:rPr>
            </w:pPr>
            <w:r>
              <w:rPr>
                <w:sz w:val="20"/>
              </w:rPr>
              <w:t>Equipos</w:t>
            </w:r>
            <w:r>
              <w:rPr>
                <w:spacing w:val="-7"/>
                <w:sz w:val="20"/>
              </w:rPr>
              <w:t> </w:t>
            </w:r>
            <w:r>
              <w:rPr>
                <w:sz w:val="20"/>
              </w:rPr>
              <w:t>de</w:t>
            </w:r>
            <w:r>
              <w:rPr>
                <w:spacing w:val="-8"/>
                <w:sz w:val="20"/>
              </w:rPr>
              <w:t> </w:t>
            </w:r>
            <w:r>
              <w:rPr>
                <w:spacing w:val="-2"/>
                <w:sz w:val="20"/>
              </w:rPr>
              <w:t>comunicación</w:t>
            </w:r>
          </w:p>
        </w:tc>
        <w:tc>
          <w:tcPr>
            <w:tcW w:w="2619" w:type="dxa"/>
          </w:tcPr>
          <w:p>
            <w:pPr>
              <w:pStyle w:val="TableParagraph"/>
              <w:spacing w:line="211" w:lineRule="exact" w:before="69"/>
              <w:ind w:right="62"/>
              <w:jc w:val="right"/>
              <w:rPr>
                <w:sz w:val="20"/>
              </w:rPr>
            </w:pPr>
            <w:r>
              <w:rPr>
                <w:spacing w:val="-2"/>
                <w:sz w:val="20"/>
              </w:rPr>
              <w:t>112.009.996,32</w:t>
            </w:r>
          </w:p>
        </w:tc>
      </w:tr>
      <w:tr>
        <w:trPr>
          <w:trHeight w:val="299" w:hRule="atLeast"/>
        </w:trPr>
        <w:tc>
          <w:tcPr>
            <w:tcW w:w="5403" w:type="dxa"/>
          </w:tcPr>
          <w:p>
            <w:pPr>
              <w:pStyle w:val="TableParagraph"/>
              <w:spacing w:before="33"/>
              <w:ind w:left="69"/>
              <w:rPr>
                <w:sz w:val="20"/>
              </w:rPr>
            </w:pPr>
            <w:r>
              <w:rPr>
                <w:sz w:val="20"/>
              </w:rPr>
              <w:t>Equipos</w:t>
            </w:r>
            <w:r>
              <w:rPr>
                <w:spacing w:val="-7"/>
                <w:sz w:val="20"/>
              </w:rPr>
              <w:t> </w:t>
            </w:r>
            <w:r>
              <w:rPr>
                <w:sz w:val="20"/>
              </w:rPr>
              <w:t>y</w:t>
            </w:r>
            <w:r>
              <w:rPr>
                <w:spacing w:val="-6"/>
                <w:sz w:val="20"/>
              </w:rPr>
              <w:t> </w:t>
            </w:r>
            <w:r>
              <w:rPr>
                <w:sz w:val="20"/>
              </w:rPr>
              <w:t>mobiliario</w:t>
            </w:r>
            <w:r>
              <w:rPr>
                <w:spacing w:val="-7"/>
                <w:sz w:val="20"/>
              </w:rPr>
              <w:t> </w:t>
            </w:r>
            <w:r>
              <w:rPr>
                <w:sz w:val="20"/>
              </w:rPr>
              <w:t>de</w:t>
            </w:r>
            <w:r>
              <w:rPr>
                <w:spacing w:val="-8"/>
                <w:sz w:val="20"/>
              </w:rPr>
              <w:t> </w:t>
            </w:r>
            <w:r>
              <w:rPr>
                <w:spacing w:val="-2"/>
                <w:sz w:val="20"/>
              </w:rPr>
              <w:t>oficina</w:t>
            </w:r>
          </w:p>
        </w:tc>
        <w:tc>
          <w:tcPr>
            <w:tcW w:w="2619" w:type="dxa"/>
          </w:tcPr>
          <w:p>
            <w:pPr>
              <w:pStyle w:val="TableParagraph"/>
              <w:spacing w:line="211" w:lineRule="exact" w:before="69"/>
              <w:ind w:right="62"/>
              <w:jc w:val="right"/>
              <w:rPr>
                <w:sz w:val="20"/>
              </w:rPr>
            </w:pPr>
            <w:r>
              <w:rPr>
                <w:spacing w:val="-2"/>
                <w:sz w:val="20"/>
              </w:rPr>
              <w:t>454.555.977,83</w:t>
            </w:r>
          </w:p>
        </w:tc>
      </w:tr>
      <w:tr>
        <w:trPr>
          <w:trHeight w:val="299" w:hRule="atLeast"/>
        </w:trPr>
        <w:tc>
          <w:tcPr>
            <w:tcW w:w="5403" w:type="dxa"/>
          </w:tcPr>
          <w:p>
            <w:pPr>
              <w:pStyle w:val="TableParagraph"/>
              <w:spacing w:before="33"/>
              <w:ind w:left="69"/>
              <w:rPr>
                <w:sz w:val="20"/>
              </w:rPr>
            </w:pPr>
            <w:r>
              <w:rPr>
                <w:sz w:val="20"/>
              </w:rPr>
              <w:t>Equipos</w:t>
            </w:r>
            <w:r>
              <w:rPr>
                <w:spacing w:val="-8"/>
                <w:sz w:val="20"/>
              </w:rPr>
              <w:t> </w:t>
            </w:r>
            <w:r>
              <w:rPr>
                <w:sz w:val="20"/>
              </w:rPr>
              <w:t>para</w:t>
            </w:r>
            <w:r>
              <w:rPr>
                <w:spacing w:val="-9"/>
                <w:sz w:val="20"/>
              </w:rPr>
              <w:t> </w:t>
            </w:r>
            <w:r>
              <w:rPr>
                <w:spacing w:val="-2"/>
                <w:sz w:val="20"/>
              </w:rPr>
              <w:t>computación</w:t>
            </w:r>
          </w:p>
        </w:tc>
        <w:tc>
          <w:tcPr>
            <w:tcW w:w="2619" w:type="dxa"/>
          </w:tcPr>
          <w:p>
            <w:pPr>
              <w:pStyle w:val="TableParagraph"/>
              <w:spacing w:line="211" w:lineRule="exact" w:before="69"/>
              <w:ind w:right="63"/>
              <w:jc w:val="right"/>
              <w:rPr>
                <w:sz w:val="20"/>
              </w:rPr>
            </w:pPr>
            <w:r>
              <w:rPr>
                <w:spacing w:val="-2"/>
                <w:sz w:val="20"/>
              </w:rPr>
              <w:t>1.262.806.838,76</w:t>
            </w:r>
          </w:p>
        </w:tc>
      </w:tr>
      <w:tr>
        <w:trPr>
          <w:trHeight w:val="299" w:hRule="atLeast"/>
        </w:trPr>
        <w:tc>
          <w:tcPr>
            <w:tcW w:w="5403" w:type="dxa"/>
          </w:tcPr>
          <w:p>
            <w:pPr>
              <w:pStyle w:val="TableParagraph"/>
              <w:spacing w:before="35"/>
              <w:ind w:left="69"/>
              <w:rPr>
                <w:sz w:val="20"/>
              </w:rPr>
            </w:pPr>
            <w:r>
              <w:rPr>
                <w:sz w:val="20"/>
              </w:rPr>
              <w:t>Equipo</w:t>
            </w:r>
            <w:r>
              <w:rPr>
                <w:spacing w:val="-8"/>
                <w:sz w:val="20"/>
              </w:rPr>
              <w:t> </w:t>
            </w:r>
            <w:r>
              <w:rPr>
                <w:sz w:val="20"/>
              </w:rPr>
              <w:t>sanitario,</w:t>
            </w:r>
            <w:r>
              <w:rPr>
                <w:spacing w:val="-8"/>
                <w:sz w:val="20"/>
              </w:rPr>
              <w:t> </w:t>
            </w:r>
            <w:r>
              <w:rPr>
                <w:sz w:val="20"/>
              </w:rPr>
              <w:t>de</w:t>
            </w:r>
            <w:r>
              <w:rPr>
                <w:spacing w:val="-8"/>
                <w:sz w:val="20"/>
              </w:rPr>
              <w:t> </w:t>
            </w:r>
            <w:r>
              <w:rPr>
                <w:sz w:val="20"/>
              </w:rPr>
              <w:t>laboratorio</w:t>
            </w:r>
            <w:r>
              <w:rPr>
                <w:spacing w:val="-9"/>
                <w:sz w:val="20"/>
              </w:rPr>
              <w:t> </w:t>
            </w:r>
            <w:r>
              <w:rPr>
                <w:sz w:val="20"/>
              </w:rPr>
              <w:t>e</w:t>
            </w:r>
            <w:r>
              <w:rPr>
                <w:spacing w:val="-7"/>
                <w:sz w:val="20"/>
              </w:rPr>
              <w:t> </w:t>
            </w:r>
            <w:r>
              <w:rPr>
                <w:spacing w:val="-2"/>
                <w:sz w:val="20"/>
              </w:rPr>
              <w:t>investigación</w:t>
            </w:r>
          </w:p>
        </w:tc>
        <w:tc>
          <w:tcPr>
            <w:tcW w:w="2619" w:type="dxa"/>
          </w:tcPr>
          <w:p>
            <w:pPr>
              <w:pStyle w:val="TableParagraph"/>
              <w:spacing w:line="211" w:lineRule="exact" w:before="69"/>
              <w:ind w:right="63"/>
              <w:jc w:val="right"/>
              <w:rPr>
                <w:sz w:val="20"/>
              </w:rPr>
            </w:pPr>
            <w:r>
              <w:rPr>
                <w:spacing w:val="-2"/>
                <w:sz w:val="20"/>
              </w:rPr>
              <w:t>8.515.601,39</w:t>
            </w:r>
          </w:p>
        </w:tc>
      </w:tr>
      <w:tr>
        <w:trPr>
          <w:trHeight w:val="299" w:hRule="atLeast"/>
        </w:trPr>
        <w:tc>
          <w:tcPr>
            <w:tcW w:w="5403" w:type="dxa"/>
          </w:tcPr>
          <w:p>
            <w:pPr>
              <w:pStyle w:val="TableParagraph"/>
              <w:spacing w:before="35"/>
              <w:ind w:left="69"/>
              <w:rPr>
                <w:sz w:val="20"/>
              </w:rPr>
            </w:pPr>
            <w:r>
              <w:rPr>
                <w:sz w:val="20"/>
              </w:rPr>
              <w:t>Equipos</w:t>
            </w:r>
            <w:r>
              <w:rPr>
                <w:spacing w:val="-8"/>
                <w:sz w:val="20"/>
              </w:rPr>
              <w:t> </w:t>
            </w:r>
            <w:r>
              <w:rPr>
                <w:sz w:val="20"/>
              </w:rPr>
              <w:t>y</w:t>
            </w:r>
            <w:r>
              <w:rPr>
                <w:spacing w:val="-8"/>
                <w:sz w:val="20"/>
              </w:rPr>
              <w:t> </w:t>
            </w:r>
            <w:r>
              <w:rPr>
                <w:sz w:val="20"/>
              </w:rPr>
              <w:t>mobiliario</w:t>
            </w:r>
            <w:r>
              <w:rPr>
                <w:spacing w:val="-9"/>
                <w:sz w:val="20"/>
              </w:rPr>
              <w:t> </w:t>
            </w:r>
            <w:r>
              <w:rPr>
                <w:sz w:val="20"/>
              </w:rPr>
              <w:t>educacional,</w:t>
            </w:r>
            <w:r>
              <w:rPr>
                <w:spacing w:val="-9"/>
                <w:sz w:val="20"/>
              </w:rPr>
              <w:t> </w:t>
            </w:r>
            <w:r>
              <w:rPr>
                <w:sz w:val="20"/>
              </w:rPr>
              <w:t>deportivo</w:t>
            </w:r>
            <w:r>
              <w:rPr>
                <w:spacing w:val="-9"/>
                <w:sz w:val="20"/>
              </w:rPr>
              <w:t> </w:t>
            </w:r>
            <w:r>
              <w:rPr>
                <w:sz w:val="20"/>
              </w:rPr>
              <w:t>y</w:t>
            </w:r>
            <w:r>
              <w:rPr>
                <w:spacing w:val="-8"/>
                <w:sz w:val="20"/>
              </w:rPr>
              <w:t> </w:t>
            </w:r>
            <w:r>
              <w:rPr>
                <w:spacing w:val="-2"/>
                <w:sz w:val="20"/>
              </w:rPr>
              <w:t>recreativo</w:t>
            </w:r>
          </w:p>
        </w:tc>
        <w:tc>
          <w:tcPr>
            <w:tcW w:w="2619" w:type="dxa"/>
          </w:tcPr>
          <w:p>
            <w:pPr>
              <w:pStyle w:val="TableParagraph"/>
              <w:spacing w:line="211" w:lineRule="exact" w:before="69"/>
              <w:ind w:right="62"/>
              <w:jc w:val="right"/>
              <w:rPr>
                <w:sz w:val="20"/>
              </w:rPr>
            </w:pPr>
            <w:r>
              <w:rPr>
                <w:spacing w:val="-2"/>
                <w:sz w:val="20"/>
              </w:rPr>
              <w:t>593.103,63</w:t>
            </w:r>
          </w:p>
        </w:tc>
      </w:tr>
      <w:tr>
        <w:trPr>
          <w:trHeight w:val="405" w:hRule="atLeast"/>
        </w:trPr>
        <w:tc>
          <w:tcPr>
            <w:tcW w:w="5403" w:type="dxa"/>
          </w:tcPr>
          <w:p>
            <w:pPr>
              <w:pStyle w:val="TableParagraph"/>
              <w:spacing w:before="88"/>
              <w:ind w:left="69"/>
              <w:rPr>
                <w:sz w:val="20"/>
              </w:rPr>
            </w:pPr>
            <w:r>
              <w:rPr>
                <w:sz w:val="20"/>
              </w:rPr>
              <w:t>Equipos</w:t>
            </w:r>
            <w:r>
              <w:rPr>
                <w:spacing w:val="-8"/>
                <w:sz w:val="20"/>
              </w:rPr>
              <w:t> </w:t>
            </w:r>
            <w:r>
              <w:rPr>
                <w:sz w:val="20"/>
              </w:rPr>
              <w:t>de</w:t>
            </w:r>
            <w:r>
              <w:rPr>
                <w:spacing w:val="-9"/>
                <w:sz w:val="20"/>
              </w:rPr>
              <w:t> </w:t>
            </w:r>
            <w:r>
              <w:rPr>
                <w:sz w:val="20"/>
              </w:rPr>
              <w:t>seguridad,</w:t>
            </w:r>
            <w:r>
              <w:rPr>
                <w:spacing w:val="-7"/>
                <w:sz w:val="20"/>
              </w:rPr>
              <w:t> </w:t>
            </w:r>
            <w:r>
              <w:rPr>
                <w:sz w:val="20"/>
              </w:rPr>
              <w:t>orden,</w:t>
            </w:r>
            <w:r>
              <w:rPr>
                <w:spacing w:val="-8"/>
                <w:sz w:val="20"/>
              </w:rPr>
              <w:t> </w:t>
            </w:r>
            <w:r>
              <w:rPr>
                <w:sz w:val="20"/>
              </w:rPr>
              <w:t>vigilancia</w:t>
            </w:r>
            <w:r>
              <w:rPr>
                <w:spacing w:val="-7"/>
                <w:sz w:val="20"/>
              </w:rPr>
              <w:t> </w:t>
            </w:r>
            <w:r>
              <w:rPr>
                <w:sz w:val="20"/>
              </w:rPr>
              <w:t>y</w:t>
            </w:r>
            <w:r>
              <w:rPr>
                <w:spacing w:val="-7"/>
                <w:sz w:val="20"/>
              </w:rPr>
              <w:t> </w:t>
            </w:r>
            <w:r>
              <w:rPr>
                <w:sz w:val="20"/>
              </w:rPr>
              <w:t>control</w:t>
            </w:r>
            <w:r>
              <w:rPr>
                <w:spacing w:val="-9"/>
                <w:sz w:val="20"/>
              </w:rPr>
              <w:t> </w:t>
            </w:r>
            <w:r>
              <w:rPr>
                <w:spacing w:val="-2"/>
                <w:sz w:val="20"/>
              </w:rPr>
              <w:t>público</w:t>
            </w:r>
          </w:p>
        </w:tc>
        <w:tc>
          <w:tcPr>
            <w:tcW w:w="2619" w:type="dxa"/>
          </w:tcPr>
          <w:p>
            <w:pPr>
              <w:pStyle w:val="TableParagraph"/>
              <w:spacing w:line="211" w:lineRule="exact" w:before="174"/>
              <w:ind w:right="63"/>
              <w:jc w:val="right"/>
              <w:rPr>
                <w:sz w:val="20"/>
              </w:rPr>
            </w:pPr>
            <w:r>
              <w:rPr>
                <w:spacing w:val="-2"/>
                <w:sz w:val="20"/>
              </w:rPr>
              <w:t>51.775.592,51</w:t>
            </w:r>
          </w:p>
        </w:tc>
      </w:tr>
      <w:tr>
        <w:trPr>
          <w:trHeight w:val="300" w:hRule="atLeast"/>
        </w:trPr>
        <w:tc>
          <w:tcPr>
            <w:tcW w:w="5403" w:type="dxa"/>
          </w:tcPr>
          <w:p>
            <w:pPr>
              <w:pStyle w:val="TableParagraph"/>
              <w:spacing w:before="36"/>
              <w:ind w:left="69"/>
              <w:rPr>
                <w:sz w:val="20"/>
              </w:rPr>
            </w:pPr>
            <w:r>
              <w:rPr>
                <w:spacing w:val="-2"/>
                <w:sz w:val="20"/>
              </w:rPr>
              <w:t>Semovientes</w:t>
            </w:r>
          </w:p>
        </w:tc>
        <w:tc>
          <w:tcPr>
            <w:tcW w:w="2619" w:type="dxa"/>
          </w:tcPr>
          <w:p>
            <w:pPr>
              <w:pStyle w:val="TableParagraph"/>
              <w:spacing w:line="211" w:lineRule="exact" w:before="69"/>
              <w:ind w:right="60"/>
              <w:jc w:val="right"/>
              <w:rPr>
                <w:sz w:val="20"/>
              </w:rPr>
            </w:pPr>
            <w:r>
              <w:rPr>
                <w:spacing w:val="-10"/>
                <w:sz w:val="20"/>
              </w:rPr>
              <w:t>-</w:t>
            </w:r>
          </w:p>
        </w:tc>
      </w:tr>
      <w:tr>
        <w:trPr>
          <w:trHeight w:val="302" w:hRule="atLeast"/>
        </w:trPr>
        <w:tc>
          <w:tcPr>
            <w:tcW w:w="5403" w:type="dxa"/>
          </w:tcPr>
          <w:p>
            <w:pPr>
              <w:pStyle w:val="TableParagraph"/>
              <w:spacing w:before="35"/>
              <w:ind w:left="69"/>
              <w:rPr>
                <w:sz w:val="20"/>
              </w:rPr>
            </w:pPr>
            <w:r>
              <w:rPr>
                <w:sz w:val="20"/>
              </w:rPr>
              <w:t>Maquinarias,</w:t>
            </w:r>
            <w:r>
              <w:rPr>
                <w:spacing w:val="-10"/>
                <w:sz w:val="20"/>
              </w:rPr>
              <w:t> </w:t>
            </w:r>
            <w:r>
              <w:rPr>
                <w:sz w:val="20"/>
              </w:rPr>
              <w:t>equipos</w:t>
            </w:r>
            <w:r>
              <w:rPr>
                <w:spacing w:val="-10"/>
                <w:sz w:val="20"/>
              </w:rPr>
              <w:t> </w:t>
            </w:r>
            <w:r>
              <w:rPr>
                <w:sz w:val="20"/>
              </w:rPr>
              <w:t>y</w:t>
            </w:r>
            <w:r>
              <w:rPr>
                <w:spacing w:val="-10"/>
                <w:sz w:val="20"/>
              </w:rPr>
              <w:t> </w:t>
            </w:r>
            <w:r>
              <w:rPr>
                <w:sz w:val="20"/>
              </w:rPr>
              <w:t>mobiliarios</w:t>
            </w:r>
            <w:r>
              <w:rPr>
                <w:spacing w:val="-11"/>
                <w:sz w:val="20"/>
              </w:rPr>
              <w:t> </w:t>
            </w:r>
            <w:r>
              <w:rPr>
                <w:spacing w:val="-2"/>
                <w:sz w:val="20"/>
              </w:rPr>
              <w:t>diversos</w:t>
            </w:r>
          </w:p>
        </w:tc>
        <w:tc>
          <w:tcPr>
            <w:tcW w:w="2619" w:type="dxa"/>
          </w:tcPr>
          <w:p>
            <w:pPr>
              <w:pStyle w:val="TableParagraph"/>
              <w:spacing w:line="211" w:lineRule="exact" w:before="71"/>
              <w:ind w:right="62"/>
              <w:jc w:val="right"/>
              <w:rPr>
                <w:sz w:val="20"/>
              </w:rPr>
            </w:pPr>
            <w:r>
              <w:rPr>
                <w:spacing w:val="-2"/>
                <w:sz w:val="20"/>
              </w:rPr>
              <w:t>104.818.065,27</w:t>
            </w:r>
          </w:p>
        </w:tc>
      </w:tr>
      <w:tr>
        <w:trPr>
          <w:trHeight w:val="299" w:hRule="atLeast"/>
        </w:trPr>
        <w:tc>
          <w:tcPr>
            <w:tcW w:w="5403" w:type="dxa"/>
          </w:tcPr>
          <w:p>
            <w:pPr>
              <w:pStyle w:val="TableParagraph"/>
              <w:spacing w:before="33"/>
              <w:ind w:right="61"/>
              <w:jc w:val="right"/>
              <w:rPr>
                <w:b/>
                <w:i/>
                <w:sz w:val="20"/>
              </w:rPr>
            </w:pPr>
            <w:r>
              <w:rPr>
                <w:b/>
                <w:i/>
                <w:sz w:val="20"/>
              </w:rPr>
              <w:t>Total,</w:t>
            </w:r>
            <w:r>
              <w:rPr>
                <w:b/>
                <w:i/>
                <w:spacing w:val="-6"/>
                <w:sz w:val="20"/>
              </w:rPr>
              <w:t> </w:t>
            </w:r>
            <w:r>
              <w:rPr>
                <w:b/>
                <w:i/>
                <w:sz w:val="20"/>
              </w:rPr>
              <w:t>Propiedad,</w:t>
            </w:r>
            <w:r>
              <w:rPr>
                <w:b/>
                <w:i/>
                <w:spacing w:val="-6"/>
                <w:sz w:val="20"/>
              </w:rPr>
              <w:t> </w:t>
            </w:r>
            <w:r>
              <w:rPr>
                <w:b/>
                <w:i/>
                <w:sz w:val="20"/>
              </w:rPr>
              <w:t>planta</w:t>
            </w:r>
            <w:r>
              <w:rPr>
                <w:b/>
                <w:i/>
                <w:spacing w:val="-6"/>
                <w:sz w:val="20"/>
              </w:rPr>
              <w:t> </w:t>
            </w:r>
            <w:r>
              <w:rPr>
                <w:b/>
                <w:i/>
                <w:sz w:val="20"/>
              </w:rPr>
              <w:t>y</w:t>
            </w:r>
            <w:r>
              <w:rPr>
                <w:b/>
                <w:i/>
                <w:spacing w:val="-4"/>
                <w:sz w:val="20"/>
              </w:rPr>
              <w:t> </w:t>
            </w:r>
            <w:r>
              <w:rPr>
                <w:b/>
                <w:i/>
                <w:spacing w:val="-2"/>
                <w:sz w:val="20"/>
              </w:rPr>
              <w:t>equipo</w:t>
            </w:r>
          </w:p>
        </w:tc>
        <w:tc>
          <w:tcPr>
            <w:tcW w:w="2619" w:type="dxa"/>
          </w:tcPr>
          <w:p>
            <w:pPr>
              <w:pStyle w:val="TableParagraph"/>
              <w:spacing w:line="211" w:lineRule="exact" w:before="69"/>
              <w:ind w:right="63"/>
              <w:jc w:val="right"/>
              <w:rPr>
                <w:b/>
                <w:i/>
                <w:sz w:val="20"/>
              </w:rPr>
            </w:pPr>
            <w:r>
              <w:rPr>
                <w:b/>
                <w:i/>
                <w:spacing w:val="-2"/>
                <w:sz w:val="20"/>
              </w:rPr>
              <w:t>137.459.074.727,68</w:t>
            </w:r>
          </w:p>
        </w:tc>
      </w:tr>
      <w:tr>
        <w:trPr>
          <w:trHeight w:val="299" w:hRule="atLeast"/>
        </w:trPr>
        <w:tc>
          <w:tcPr>
            <w:tcW w:w="5403" w:type="dxa"/>
          </w:tcPr>
          <w:p>
            <w:pPr>
              <w:pStyle w:val="TableParagraph"/>
              <w:spacing w:before="33"/>
              <w:ind w:left="69"/>
              <w:rPr>
                <w:sz w:val="20"/>
              </w:rPr>
            </w:pPr>
            <w:r>
              <w:rPr>
                <w:sz w:val="20"/>
              </w:rPr>
              <w:t>Inmuebles</w:t>
            </w:r>
            <w:r>
              <w:rPr>
                <w:spacing w:val="-8"/>
                <w:sz w:val="20"/>
              </w:rPr>
              <w:t> </w:t>
            </w:r>
            <w:r>
              <w:rPr>
                <w:sz w:val="20"/>
              </w:rPr>
              <w:t>históricos</w:t>
            </w:r>
            <w:r>
              <w:rPr>
                <w:spacing w:val="-8"/>
                <w:sz w:val="20"/>
              </w:rPr>
              <w:t> </w:t>
            </w:r>
            <w:r>
              <w:rPr>
                <w:sz w:val="20"/>
              </w:rPr>
              <w:t>y</w:t>
            </w:r>
            <w:r>
              <w:rPr>
                <w:spacing w:val="-7"/>
                <w:sz w:val="20"/>
              </w:rPr>
              <w:t> </w:t>
            </w:r>
            <w:r>
              <w:rPr>
                <w:spacing w:val="-2"/>
                <w:sz w:val="20"/>
              </w:rPr>
              <w:t>culturales</w:t>
            </w:r>
          </w:p>
        </w:tc>
        <w:tc>
          <w:tcPr>
            <w:tcW w:w="2619" w:type="dxa"/>
          </w:tcPr>
          <w:p>
            <w:pPr>
              <w:pStyle w:val="TableParagraph"/>
              <w:spacing w:line="211" w:lineRule="exact" w:before="69"/>
              <w:ind w:right="60"/>
              <w:jc w:val="right"/>
              <w:rPr>
                <w:sz w:val="20"/>
              </w:rPr>
            </w:pPr>
            <w:r>
              <w:rPr>
                <w:spacing w:val="-10"/>
                <w:sz w:val="20"/>
              </w:rPr>
              <w:t>-</w:t>
            </w:r>
          </w:p>
        </w:tc>
      </w:tr>
      <w:tr>
        <w:trPr>
          <w:trHeight w:val="299" w:hRule="atLeast"/>
        </w:trPr>
        <w:tc>
          <w:tcPr>
            <w:tcW w:w="5403" w:type="dxa"/>
          </w:tcPr>
          <w:p>
            <w:pPr>
              <w:pStyle w:val="TableParagraph"/>
              <w:spacing w:before="35"/>
              <w:ind w:left="69"/>
              <w:rPr>
                <w:sz w:val="20"/>
              </w:rPr>
            </w:pPr>
            <w:r>
              <w:rPr>
                <w:sz w:val="20"/>
              </w:rPr>
              <w:t>Piezas</w:t>
            </w:r>
            <w:r>
              <w:rPr>
                <w:spacing w:val="-5"/>
                <w:sz w:val="20"/>
              </w:rPr>
              <w:t> </w:t>
            </w:r>
            <w:r>
              <w:rPr>
                <w:sz w:val="20"/>
              </w:rPr>
              <w:t>y</w:t>
            </w:r>
            <w:r>
              <w:rPr>
                <w:spacing w:val="-5"/>
                <w:sz w:val="20"/>
              </w:rPr>
              <w:t> </w:t>
            </w:r>
            <w:r>
              <w:rPr>
                <w:sz w:val="20"/>
              </w:rPr>
              <w:t>obras</w:t>
            </w:r>
            <w:r>
              <w:rPr>
                <w:spacing w:val="-4"/>
                <w:sz w:val="20"/>
              </w:rPr>
              <w:t> </w:t>
            </w:r>
            <w:r>
              <w:rPr>
                <w:sz w:val="20"/>
              </w:rPr>
              <w:t>históricas</w:t>
            </w:r>
            <w:r>
              <w:rPr>
                <w:spacing w:val="-5"/>
                <w:sz w:val="20"/>
              </w:rPr>
              <w:t> </w:t>
            </w:r>
            <w:r>
              <w:rPr>
                <w:sz w:val="20"/>
              </w:rPr>
              <w:t>y</w:t>
            </w:r>
            <w:r>
              <w:rPr>
                <w:spacing w:val="-3"/>
                <w:sz w:val="20"/>
              </w:rPr>
              <w:t> </w:t>
            </w:r>
            <w:r>
              <w:rPr>
                <w:sz w:val="20"/>
              </w:rPr>
              <w:t>de</w:t>
            </w:r>
            <w:r>
              <w:rPr>
                <w:spacing w:val="-7"/>
                <w:sz w:val="20"/>
              </w:rPr>
              <w:t> </w:t>
            </w:r>
            <w:r>
              <w:rPr>
                <w:spacing w:val="-2"/>
                <w:sz w:val="20"/>
              </w:rPr>
              <w:t>colección</w:t>
            </w:r>
          </w:p>
        </w:tc>
        <w:tc>
          <w:tcPr>
            <w:tcW w:w="2619" w:type="dxa"/>
          </w:tcPr>
          <w:p>
            <w:pPr>
              <w:pStyle w:val="TableParagraph"/>
              <w:spacing w:before="35"/>
              <w:ind w:right="63"/>
              <w:jc w:val="right"/>
              <w:rPr>
                <w:sz w:val="20"/>
              </w:rPr>
            </w:pPr>
            <w:r>
              <w:rPr>
                <w:spacing w:val="-2"/>
                <w:sz w:val="20"/>
              </w:rPr>
              <w:t>26.579.304,98</w:t>
            </w:r>
          </w:p>
        </w:tc>
      </w:tr>
      <w:tr>
        <w:trPr>
          <w:trHeight w:val="299" w:hRule="atLeast"/>
        </w:trPr>
        <w:tc>
          <w:tcPr>
            <w:tcW w:w="5403" w:type="dxa"/>
          </w:tcPr>
          <w:p>
            <w:pPr>
              <w:pStyle w:val="TableParagraph"/>
              <w:spacing w:before="35"/>
              <w:ind w:left="69"/>
              <w:rPr>
                <w:sz w:val="20"/>
              </w:rPr>
            </w:pPr>
            <w:r>
              <w:rPr>
                <w:sz w:val="20"/>
              </w:rPr>
              <w:t>Otros</w:t>
            </w:r>
            <w:r>
              <w:rPr>
                <w:spacing w:val="-7"/>
                <w:sz w:val="20"/>
              </w:rPr>
              <w:t> </w:t>
            </w:r>
            <w:r>
              <w:rPr>
                <w:sz w:val="20"/>
              </w:rPr>
              <w:t>bienes</w:t>
            </w:r>
            <w:r>
              <w:rPr>
                <w:spacing w:val="-7"/>
                <w:sz w:val="20"/>
              </w:rPr>
              <w:t> </w:t>
            </w:r>
            <w:r>
              <w:rPr>
                <w:sz w:val="20"/>
              </w:rPr>
              <w:t>históricos</w:t>
            </w:r>
            <w:r>
              <w:rPr>
                <w:spacing w:val="-6"/>
                <w:sz w:val="20"/>
              </w:rPr>
              <w:t> </w:t>
            </w:r>
            <w:r>
              <w:rPr>
                <w:sz w:val="20"/>
              </w:rPr>
              <w:t>y</w:t>
            </w:r>
            <w:r>
              <w:rPr>
                <w:spacing w:val="-7"/>
                <w:sz w:val="20"/>
              </w:rPr>
              <w:t> </w:t>
            </w:r>
            <w:r>
              <w:rPr>
                <w:spacing w:val="-2"/>
                <w:sz w:val="20"/>
              </w:rPr>
              <w:t>culturales</w:t>
            </w:r>
          </w:p>
        </w:tc>
        <w:tc>
          <w:tcPr>
            <w:tcW w:w="2619" w:type="dxa"/>
          </w:tcPr>
          <w:p>
            <w:pPr>
              <w:pStyle w:val="TableParagraph"/>
              <w:spacing w:before="35"/>
              <w:ind w:right="63"/>
              <w:jc w:val="right"/>
              <w:rPr>
                <w:sz w:val="20"/>
              </w:rPr>
            </w:pPr>
            <w:r>
              <w:rPr>
                <w:spacing w:val="-2"/>
                <w:sz w:val="20"/>
              </w:rPr>
              <w:t>1.117.163,64</w:t>
            </w:r>
          </w:p>
        </w:tc>
      </w:tr>
      <w:tr>
        <w:trPr>
          <w:trHeight w:val="299" w:hRule="atLeast"/>
        </w:trPr>
        <w:tc>
          <w:tcPr>
            <w:tcW w:w="5403" w:type="dxa"/>
          </w:tcPr>
          <w:p>
            <w:pPr>
              <w:pStyle w:val="TableParagraph"/>
              <w:spacing w:line="211" w:lineRule="exact" w:before="69"/>
              <w:ind w:right="61"/>
              <w:jc w:val="right"/>
              <w:rPr>
                <w:b/>
                <w:i/>
                <w:sz w:val="20"/>
              </w:rPr>
            </w:pPr>
            <w:r>
              <w:rPr>
                <w:b/>
                <w:i/>
                <w:sz w:val="20"/>
              </w:rPr>
              <w:t>Total,</w:t>
            </w:r>
            <w:r>
              <w:rPr>
                <w:b/>
                <w:i/>
                <w:spacing w:val="-8"/>
                <w:sz w:val="20"/>
              </w:rPr>
              <w:t> </w:t>
            </w:r>
            <w:r>
              <w:rPr>
                <w:b/>
                <w:i/>
                <w:sz w:val="20"/>
              </w:rPr>
              <w:t>históricos</w:t>
            </w:r>
            <w:r>
              <w:rPr>
                <w:b/>
                <w:i/>
                <w:spacing w:val="-6"/>
                <w:sz w:val="20"/>
              </w:rPr>
              <w:t> </w:t>
            </w:r>
            <w:r>
              <w:rPr>
                <w:b/>
                <w:i/>
                <w:sz w:val="20"/>
              </w:rPr>
              <w:t>y</w:t>
            </w:r>
            <w:r>
              <w:rPr>
                <w:b/>
                <w:i/>
                <w:spacing w:val="-5"/>
                <w:sz w:val="20"/>
              </w:rPr>
              <w:t> </w:t>
            </w:r>
            <w:r>
              <w:rPr>
                <w:b/>
                <w:i/>
                <w:spacing w:val="-2"/>
                <w:sz w:val="20"/>
              </w:rPr>
              <w:t>culturales</w:t>
            </w:r>
          </w:p>
        </w:tc>
        <w:tc>
          <w:tcPr>
            <w:tcW w:w="2619" w:type="dxa"/>
          </w:tcPr>
          <w:p>
            <w:pPr>
              <w:pStyle w:val="TableParagraph"/>
              <w:spacing w:line="211" w:lineRule="exact" w:before="69"/>
              <w:ind w:right="63"/>
              <w:jc w:val="right"/>
              <w:rPr>
                <w:b/>
                <w:i/>
                <w:sz w:val="20"/>
              </w:rPr>
            </w:pPr>
            <w:r>
              <w:rPr>
                <w:b/>
                <w:i/>
                <w:spacing w:val="-2"/>
                <w:sz w:val="20"/>
              </w:rPr>
              <w:t>27.696.468,62</w:t>
            </w:r>
          </w:p>
        </w:tc>
      </w:tr>
      <w:tr>
        <w:trPr>
          <w:trHeight w:val="302" w:hRule="atLeast"/>
        </w:trPr>
        <w:tc>
          <w:tcPr>
            <w:tcW w:w="5403" w:type="dxa"/>
          </w:tcPr>
          <w:p>
            <w:pPr>
              <w:pStyle w:val="TableParagraph"/>
              <w:spacing w:before="35"/>
              <w:ind w:left="69"/>
              <w:rPr>
                <w:sz w:val="20"/>
              </w:rPr>
            </w:pPr>
            <w:r>
              <w:rPr>
                <w:sz w:val="20"/>
              </w:rPr>
              <w:t>Patentes</w:t>
            </w:r>
            <w:r>
              <w:rPr>
                <w:spacing w:val="-7"/>
                <w:sz w:val="20"/>
              </w:rPr>
              <w:t> </w:t>
            </w:r>
            <w:r>
              <w:rPr>
                <w:sz w:val="20"/>
              </w:rPr>
              <w:t>y</w:t>
            </w:r>
            <w:r>
              <w:rPr>
                <w:spacing w:val="-6"/>
                <w:sz w:val="20"/>
              </w:rPr>
              <w:t> </w:t>
            </w:r>
            <w:r>
              <w:rPr>
                <w:sz w:val="20"/>
              </w:rPr>
              <w:t>marcas</w:t>
            </w:r>
            <w:r>
              <w:rPr>
                <w:spacing w:val="-6"/>
                <w:sz w:val="20"/>
              </w:rPr>
              <w:t> </w:t>
            </w:r>
            <w:r>
              <w:rPr>
                <w:spacing w:val="-2"/>
                <w:sz w:val="20"/>
              </w:rPr>
              <w:t>registradas</w:t>
            </w:r>
          </w:p>
        </w:tc>
        <w:tc>
          <w:tcPr>
            <w:tcW w:w="2619" w:type="dxa"/>
          </w:tcPr>
          <w:p>
            <w:pPr>
              <w:pStyle w:val="TableParagraph"/>
              <w:spacing w:line="229" w:lineRule="exact"/>
              <w:ind w:right="60"/>
              <w:jc w:val="right"/>
              <w:rPr>
                <w:sz w:val="20"/>
              </w:rPr>
            </w:pPr>
            <w:r>
              <w:rPr>
                <w:spacing w:val="-10"/>
                <w:sz w:val="20"/>
              </w:rPr>
              <w:t>-</w:t>
            </w:r>
          </w:p>
        </w:tc>
      </w:tr>
      <w:tr>
        <w:trPr>
          <w:trHeight w:val="299" w:hRule="atLeast"/>
        </w:trPr>
        <w:tc>
          <w:tcPr>
            <w:tcW w:w="5403" w:type="dxa"/>
          </w:tcPr>
          <w:p>
            <w:pPr>
              <w:pStyle w:val="TableParagraph"/>
              <w:spacing w:before="33"/>
              <w:ind w:left="69"/>
              <w:rPr>
                <w:sz w:val="20"/>
              </w:rPr>
            </w:pPr>
            <w:r>
              <w:rPr>
                <w:sz w:val="20"/>
              </w:rPr>
              <w:t>Derechos</w:t>
            </w:r>
            <w:r>
              <w:rPr>
                <w:spacing w:val="-6"/>
                <w:sz w:val="20"/>
              </w:rPr>
              <w:t> </w:t>
            </w:r>
            <w:r>
              <w:rPr>
                <w:sz w:val="20"/>
              </w:rPr>
              <w:t>de</w:t>
            </w:r>
            <w:r>
              <w:rPr>
                <w:spacing w:val="-7"/>
                <w:sz w:val="20"/>
              </w:rPr>
              <w:t> </w:t>
            </w:r>
            <w:r>
              <w:rPr>
                <w:spacing w:val="-2"/>
                <w:sz w:val="20"/>
              </w:rPr>
              <w:t>autor</w:t>
            </w:r>
          </w:p>
        </w:tc>
        <w:tc>
          <w:tcPr>
            <w:tcW w:w="2619" w:type="dxa"/>
          </w:tcPr>
          <w:p>
            <w:pPr>
              <w:pStyle w:val="TableParagraph"/>
              <w:spacing w:line="229" w:lineRule="exact"/>
              <w:ind w:right="60"/>
              <w:jc w:val="right"/>
              <w:rPr>
                <w:sz w:val="20"/>
              </w:rPr>
            </w:pPr>
            <w:r>
              <w:rPr>
                <w:spacing w:val="-10"/>
                <w:sz w:val="20"/>
              </w:rPr>
              <w:t>-</w:t>
            </w:r>
          </w:p>
        </w:tc>
      </w:tr>
      <w:tr>
        <w:trPr>
          <w:trHeight w:val="299" w:hRule="atLeast"/>
        </w:trPr>
        <w:tc>
          <w:tcPr>
            <w:tcW w:w="5403" w:type="dxa"/>
          </w:tcPr>
          <w:p>
            <w:pPr>
              <w:pStyle w:val="TableParagraph"/>
              <w:spacing w:before="33"/>
              <w:ind w:left="69"/>
              <w:rPr>
                <w:sz w:val="20"/>
              </w:rPr>
            </w:pPr>
            <w:r>
              <w:rPr>
                <w:sz w:val="20"/>
              </w:rPr>
              <w:t>Software</w:t>
            </w:r>
            <w:r>
              <w:rPr>
                <w:spacing w:val="-7"/>
                <w:sz w:val="20"/>
              </w:rPr>
              <w:t> </w:t>
            </w:r>
            <w:r>
              <w:rPr>
                <w:sz w:val="20"/>
              </w:rPr>
              <w:t>y</w:t>
            </w:r>
            <w:r>
              <w:rPr>
                <w:spacing w:val="-5"/>
                <w:sz w:val="20"/>
              </w:rPr>
              <w:t> </w:t>
            </w:r>
            <w:r>
              <w:rPr>
                <w:spacing w:val="-2"/>
                <w:sz w:val="20"/>
              </w:rPr>
              <w:t>programas</w:t>
            </w:r>
          </w:p>
        </w:tc>
        <w:tc>
          <w:tcPr>
            <w:tcW w:w="2619" w:type="dxa"/>
          </w:tcPr>
          <w:p>
            <w:pPr>
              <w:pStyle w:val="TableParagraph"/>
              <w:spacing w:before="33"/>
              <w:ind w:right="62"/>
              <w:jc w:val="right"/>
              <w:rPr>
                <w:sz w:val="20"/>
              </w:rPr>
            </w:pPr>
            <w:r>
              <w:rPr>
                <w:spacing w:val="-2"/>
                <w:sz w:val="20"/>
              </w:rPr>
              <w:t>396.443.847,49</w:t>
            </w:r>
          </w:p>
        </w:tc>
      </w:tr>
      <w:tr>
        <w:trPr>
          <w:trHeight w:val="299" w:hRule="atLeast"/>
        </w:trPr>
        <w:tc>
          <w:tcPr>
            <w:tcW w:w="5403" w:type="dxa"/>
          </w:tcPr>
          <w:p>
            <w:pPr>
              <w:pStyle w:val="TableParagraph"/>
              <w:spacing w:before="35"/>
              <w:ind w:left="69"/>
              <w:rPr>
                <w:sz w:val="20"/>
              </w:rPr>
            </w:pPr>
            <w:r>
              <w:rPr>
                <w:sz w:val="20"/>
              </w:rPr>
              <w:t>Otros</w:t>
            </w:r>
            <w:r>
              <w:rPr>
                <w:spacing w:val="-7"/>
                <w:sz w:val="20"/>
              </w:rPr>
              <w:t> </w:t>
            </w:r>
            <w:r>
              <w:rPr>
                <w:sz w:val="20"/>
              </w:rPr>
              <w:t>bienes</w:t>
            </w:r>
            <w:r>
              <w:rPr>
                <w:spacing w:val="-7"/>
                <w:sz w:val="20"/>
              </w:rPr>
              <w:t> </w:t>
            </w:r>
            <w:r>
              <w:rPr>
                <w:spacing w:val="-2"/>
                <w:sz w:val="20"/>
              </w:rPr>
              <w:t>intangibles</w:t>
            </w:r>
          </w:p>
        </w:tc>
        <w:tc>
          <w:tcPr>
            <w:tcW w:w="2619" w:type="dxa"/>
          </w:tcPr>
          <w:p>
            <w:pPr>
              <w:pStyle w:val="TableParagraph"/>
              <w:spacing w:before="35"/>
              <w:ind w:right="60"/>
              <w:jc w:val="right"/>
              <w:rPr>
                <w:sz w:val="20"/>
              </w:rPr>
            </w:pPr>
            <w:r>
              <w:rPr>
                <w:spacing w:val="-10"/>
                <w:sz w:val="20"/>
              </w:rPr>
              <w:t>-</w:t>
            </w:r>
          </w:p>
        </w:tc>
      </w:tr>
      <w:tr>
        <w:trPr>
          <w:trHeight w:val="300" w:hRule="atLeast"/>
        </w:trPr>
        <w:tc>
          <w:tcPr>
            <w:tcW w:w="5403" w:type="dxa"/>
          </w:tcPr>
          <w:p>
            <w:pPr>
              <w:pStyle w:val="TableParagraph"/>
              <w:spacing w:line="211" w:lineRule="exact" w:before="69"/>
              <w:ind w:right="62"/>
              <w:jc w:val="right"/>
              <w:rPr>
                <w:b/>
                <w:i/>
                <w:sz w:val="20"/>
              </w:rPr>
            </w:pPr>
            <w:r>
              <w:rPr>
                <w:b/>
                <w:i/>
                <w:sz w:val="20"/>
              </w:rPr>
              <w:t>Total,</w:t>
            </w:r>
            <w:r>
              <w:rPr>
                <w:b/>
                <w:i/>
                <w:spacing w:val="-9"/>
                <w:sz w:val="20"/>
              </w:rPr>
              <w:t> </w:t>
            </w:r>
            <w:r>
              <w:rPr>
                <w:b/>
                <w:i/>
                <w:sz w:val="20"/>
              </w:rPr>
              <w:t>Bienes</w:t>
            </w:r>
            <w:r>
              <w:rPr>
                <w:b/>
                <w:i/>
                <w:spacing w:val="-8"/>
                <w:sz w:val="20"/>
              </w:rPr>
              <w:t> </w:t>
            </w:r>
            <w:r>
              <w:rPr>
                <w:b/>
                <w:i/>
                <w:spacing w:val="-2"/>
                <w:sz w:val="20"/>
              </w:rPr>
              <w:t>intangibles</w:t>
            </w:r>
          </w:p>
        </w:tc>
        <w:tc>
          <w:tcPr>
            <w:tcW w:w="2619" w:type="dxa"/>
          </w:tcPr>
          <w:p>
            <w:pPr>
              <w:pStyle w:val="TableParagraph"/>
              <w:spacing w:line="211" w:lineRule="exact" w:before="69"/>
              <w:ind w:right="62"/>
              <w:jc w:val="right"/>
              <w:rPr>
                <w:b/>
                <w:i/>
                <w:sz w:val="20"/>
              </w:rPr>
            </w:pPr>
            <w:r>
              <w:rPr>
                <w:b/>
                <w:i/>
                <w:spacing w:val="-2"/>
                <w:sz w:val="20"/>
              </w:rPr>
              <w:t>396.443.847,49</w:t>
            </w:r>
          </w:p>
        </w:tc>
      </w:tr>
      <w:tr>
        <w:trPr>
          <w:trHeight w:val="299" w:hRule="atLeast"/>
        </w:trPr>
        <w:tc>
          <w:tcPr>
            <w:tcW w:w="5403" w:type="dxa"/>
          </w:tcPr>
          <w:p>
            <w:pPr>
              <w:pStyle w:val="TableParagraph"/>
              <w:spacing w:before="35"/>
              <w:ind w:left="69"/>
              <w:rPr>
                <w:sz w:val="20"/>
              </w:rPr>
            </w:pPr>
            <w:r>
              <w:rPr>
                <w:sz w:val="20"/>
              </w:rPr>
              <w:t>Construcciones</w:t>
            </w:r>
            <w:r>
              <w:rPr>
                <w:spacing w:val="-11"/>
                <w:sz w:val="20"/>
              </w:rPr>
              <w:t> </w:t>
            </w:r>
            <w:r>
              <w:rPr>
                <w:sz w:val="20"/>
              </w:rPr>
              <w:t>en</w:t>
            </w:r>
            <w:r>
              <w:rPr>
                <w:spacing w:val="-9"/>
                <w:sz w:val="20"/>
              </w:rPr>
              <w:t> </w:t>
            </w:r>
            <w:r>
              <w:rPr>
                <w:spacing w:val="-2"/>
                <w:sz w:val="20"/>
              </w:rPr>
              <w:t>proceso</w:t>
            </w:r>
          </w:p>
        </w:tc>
        <w:tc>
          <w:tcPr>
            <w:tcW w:w="2619" w:type="dxa"/>
          </w:tcPr>
          <w:p>
            <w:pPr>
              <w:pStyle w:val="TableParagraph"/>
              <w:spacing w:line="211" w:lineRule="exact" w:before="69"/>
              <w:ind w:right="62"/>
              <w:jc w:val="right"/>
              <w:rPr>
                <w:sz w:val="20"/>
              </w:rPr>
            </w:pPr>
            <w:r>
              <w:rPr>
                <w:spacing w:val="-2"/>
                <w:sz w:val="20"/>
              </w:rPr>
              <w:t>371.620.380,78</w:t>
            </w:r>
          </w:p>
        </w:tc>
      </w:tr>
      <w:tr>
        <w:trPr>
          <w:trHeight w:val="302" w:hRule="atLeast"/>
        </w:trPr>
        <w:tc>
          <w:tcPr>
            <w:tcW w:w="5403" w:type="dxa"/>
          </w:tcPr>
          <w:p>
            <w:pPr>
              <w:pStyle w:val="TableParagraph"/>
              <w:spacing w:before="35"/>
              <w:ind w:left="69"/>
              <w:rPr>
                <w:sz w:val="20"/>
              </w:rPr>
            </w:pPr>
            <w:r>
              <w:rPr>
                <w:sz w:val="20"/>
              </w:rPr>
              <w:t>Intangibles</w:t>
            </w:r>
            <w:r>
              <w:rPr>
                <w:spacing w:val="-8"/>
                <w:sz w:val="20"/>
              </w:rPr>
              <w:t> </w:t>
            </w:r>
            <w:r>
              <w:rPr>
                <w:sz w:val="20"/>
              </w:rPr>
              <w:t>en</w:t>
            </w:r>
            <w:r>
              <w:rPr>
                <w:spacing w:val="-10"/>
                <w:sz w:val="20"/>
              </w:rPr>
              <w:t> </w:t>
            </w:r>
            <w:r>
              <w:rPr>
                <w:spacing w:val="-2"/>
                <w:sz w:val="20"/>
              </w:rPr>
              <w:t>proceso</w:t>
            </w:r>
          </w:p>
        </w:tc>
        <w:tc>
          <w:tcPr>
            <w:tcW w:w="2619" w:type="dxa"/>
          </w:tcPr>
          <w:p>
            <w:pPr>
              <w:pStyle w:val="TableParagraph"/>
              <w:spacing w:line="211" w:lineRule="exact" w:before="71"/>
              <w:ind w:right="63"/>
              <w:jc w:val="right"/>
              <w:rPr>
                <w:sz w:val="20"/>
              </w:rPr>
            </w:pPr>
            <w:r>
              <w:rPr>
                <w:spacing w:val="-2"/>
                <w:sz w:val="20"/>
              </w:rPr>
              <w:t>1.054.493.158,61</w:t>
            </w:r>
          </w:p>
        </w:tc>
      </w:tr>
      <w:tr>
        <w:trPr>
          <w:trHeight w:val="299" w:hRule="atLeast"/>
        </w:trPr>
        <w:tc>
          <w:tcPr>
            <w:tcW w:w="5403" w:type="dxa"/>
          </w:tcPr>
          <w:p>
            <w:pPr>
              <w:pStyle w:val="TableParagraph"/>
              <w:spacing w:before="33"/>
              <w:ind w:right="61"/>
              <w:jc w:val="right"/>
              <w:rPr>
                <w:b/>
                <w:i/>
                <w:sz w:val="20"/>
              </w:rPr>
            </w:pPr>
            <w:r>
              <w:rPr>
                <w:b/>
                <w:i/>
                <w:sz w:val="20"/>
              </w:rPr>
              <w:t>Total,</w:t>
            </w:r>
            <w:r>
              <w:rPr>
                <w:b/>
                <w:i/>
                <w:spacing w:val="-7"/>
                <w:sz w:val="20"/>
              </w:rPr>
              <w:t> </w:t>
            </w:r>
            <w:r>
              <w:rPr>
                <w:b/>
                <w:i/>
                <w:sz w:val="20"/>
              </w:rPr>
              <w:t>activos</w:t>
            </w:r>
            <w:r>
              <w:rPr>
                <w:b/>
                <w:i/>
                <w:spacing w:val="-6"/>
                <w:sz w:val="20"/>
              </w:rPr>
              <w:t> </w:t>
            </w:r>
            <w:r>
              <w:rPr>
                <w:b/>
                <w:i/>
                <w:sz w:val="20"/>
              </w:rPr>
              <w:t>en</w:t>
            </w:r>
            <w:r>
              <w:rPr>
                <w:b/>
                <w:i/>
                <w:spacing w:val="-5"/>
                <w:sz w:val="20"/>
              </w:rPr>
              <w:t> </w:t>
            </w:r>
            <w:r>
              <w:rPr>
                <w:b/>
                <w:i/>
                <w:spacing w:val="-2"/>
                <w:sz w:val="20"/>
              </w:rPr>
              <w:t>proceso</w:t>
            </w:r>
          </w:p>
        </w:tc>
        <w:tc>
          <w:tcPr>
            <w:tcW w:w="2619" w:type="dxa"/>
          </w:tcPr>
          <w:p>
            <w:pPr>
              <w:pStyle w:val="TableParagraph"/>
              <w:spacing w:line="211" w:lineRule="exact" w:before="69"/>
              <w:ind w:right="63"/>
              <w:jc w:val="right"/>
              <w:rPr>
                <w:b/>
                <w:i/>
                <w:sz w:val="20"/>
              </w:rPr>
            </w:pPr>
            <w:r>
              <w:rPr>
                <w:b/>
                <w:i/>
                <w:spacing w:val="-2"/>
                <w:sz w:val="20"/>
              </w:rPr>
              <w:t>1.426.113.539,39</w:t>
            </w:r>
          </w:p>
        </w:tc>
      </w:tr>
      <w:tr>
        <w:trPr>
          <w:trHeight w:val="299" w:hRule="atLeast"/>
        </w:trPr>
        <w:tc>
          <w:tcPr>
            <w:tcW w:w="5403" w:type="dxa"/>
            <w:shd w:val="clear" w:color="auto" w:fill="0E233D"/>
          </w:tcPr>
          <w:p>
            <w:pPr>
              <w:pStyle w:val="TableParagraph"/>
              <w:spacing w:before="33"/>
              <w:ind w:right="60"/>
              <w:jc w:val="right"/>
              <w:rPr>
                <w:sz w:val="20"/>
              </w:rPr>
            </w:pPr>
            <w:r>
              <w:rPr>
                <w:color w:val="FFFFFF"/>
                <w:spacing w:val="-2"/>
                <w:sz w:val="20"/>
              </w:rPr>
              <w:t>TOTAL</w:t>
            </w:r>
          </w:p>
        </w:tc>
        <w:tc>
          <w:tcPr>
            <w:tcW w:w="2619" w:type="dxa"/>
            <w:shd w:val="clear" w:color="auto" w:fill="0E233D"/>
          </w:tcPr>
          <w:p>
            <w:pPr>
              <w:pStyle w:val="TableParagraph"/>
              <w:spacing w:line="211" w:lineRule="exact" w:before="69"/>
              <w:ind w:right="63"/>
              <w:jc w:val="right"/>
              <w:rPr>
                <w:sz w:val="20"/>
              </w:rPr>
            </w:pPr>
            <w:r>
              <w:rPr>
                <w:color w:val="FFFFFF"/>
                <w:spacing w:val="-2"/>
                <w:sz w:val="20"/>
              </w:rPr>
              <w:t>139.309.328.580,18</w:t>
            </w:r>
          </w:p>
        </w:tc>
      </w:tr>
    </w:tbl>
    <w:p>
      <w:pPr>
        <w:spacing w:before="12"/>
        <w:ind w:left="1927" w:right="0" w:firstLine="0"/>
        <w:jc w:val="left"/>
        <w:rPr>
          <w:sz w:val="18"/>
        </w:rPr>
      </w:pPr>
      <w:r>
        <w:rPr>
          <w:sz w:val="18"/>
        </w:rPr>
        <w:t>Fuente:</w:t>
      </w:r>
      <w:r>
        <w:rPr>
          <w:spacing w:val="-4"/>
          <w:sz w:val="18"/>
        </w:rPr>
        <w:t> </w:t>
      </w:r>
      <w:r>
        <w:rPr>
          <w:sz w:val="18"/>
        </w:rPr>
        <w:t>Elaborado</w:t>
      </w:r>
      <w:r>
        <w:rPr>
          <w:spacing w:val="-3"/>
          <w:sz w:val="18"/>
        </w:rPr>
        <w:t> </w:t>
      </w:r>
      <w:r>
        <w:rPr>
          <w:sz w:val="18"/>
        </w:rPr>
        <w:t>por</w:t>
      </w:r>
      <w:r>
        <w:rPr>
          <w:spacing w:val="-4"/>
          <w:sz w:val="18"/>
        </w:rPr>
        <w:t> </w:t>
      </w:r>
      <w:r>
        <w:rPr>
          <w:sz w:val="18"/>
        </w:rPr>
        <w:t>Unidad</w:t>
      </w:r>
      <w:r>
        <w:rPr>
          <w:spacing w:val="-3"/>
          <w:sz w:val="18"/>
        </w:rPr>
        <w:t> </w:t>
      </w:r>
      <w:r>
        <w:rPr>
          <w:sz w:val="18"/>
        </w:rPr>
        <w:t>de</w:t>
      </w:r>
      <w:r>
        <w:rPr>
          <w:spacing w:val="-3"/>
          <w:sz w:val="18"/>
        </w:rPr>
        <w:t> </w:t>
      </w:r>
      <w:r>
        <w:rPr>
          <w:sz w:val="18"/>
        </w:rPr>
        <w:t>Contabilidad.</w:t>
      </w:r>
      <w:r>
        <w:rPr>
          <w:spacing w:val="-4"/>
          <w:sz w:val="18"/>
        </w:rPr>
        <w:t> </w:t>
      </w:r>
      <w:r>
        <w:rPr>
          <w:sz w:val="18"/>
        </w:rPr>
        <w:t>DAF.</w:t>
      </w:r>
      <w:r>
        <w:rPr>
          <w:spacing w:val="-5"/>
          <w:sz w:val="18"/>
        </w:rPr>
        <w:t> </w:t>
      </w:r>
      <w:r>
        <w:rPr>
          <w:sz w:val="18"/>
        </w:rPr>
        <w:t>IMAS.</w:t>
      </w:r>
      <w:r>
        <w:rPr>
          <w:spacing w:val="-3"/>
          <w:sz w:val="18"/>
        </w:rPr>
        <w:t> </w:t>
      </w:r>
      <w:r>
        <w:rPr>
          <w:spacing w:val="-4"/>
          <w:sz w:val="18"/>
        </w:rPr>
        <w:t>2026</w:t>
      </w:r>
    </w:p>
    <w:p>
      <w:pPr>
        <w:spacing w:after="0"/>
        <w:jc w:val="left"/>
        <w:rPr>
          <w:sz w:val="18"/>
        </w:rPr>
        <w:sectPr>
          <w:pgSz w:w="12240" w:h="15840"/>
          <w:pgMar w:header="0" w:footer="1576" w:top="1280" w:bottom="1760" w:left="360" w:right="0"/>
        </w:sectPr>
      </w:pPr>
    </w:p>
    <w:p>
      <w:pPr>
        <w:pStyle w:val="Heading3"/>
        <w:numPr>
          <w:ilvl w:val="2"/>
          <w:numId w:val="5"/>
        </w:numPr>
        <w:tabs>
          <w:tab w:pos="2224" w:val="left" w:leader="none"/>
        </w:tabs>
        <w:spacing w:line="240" w:lineRule="auto" w:before="78" w:after="0"/>
        <w:ind w:left="2224" w:right="0" w:hanging="599"/>
        <w:jc w:val="left"/>
      </w:pPr>
      <w:r>
        <w:rPr/>
        <w:t>Recursos</w:t>
      </w:r>
      <w:r>
        <w:rPr>
          <w:spacing w:val="-4"/>
        </w:rPr>
        <w:t> </w:t>
      </w:r>
      <w:r>
        <w:rPr>
          <w:spacing w:val="-2"/>
        </w:rPr>
        <w:t>Financieros</w:t>
      </w:r>
    </w:p>
    <w:p>
      <w:pPr>
        <w:pStyle w:val="BodyText"/>
        <w:rPr>
          <w:b/>
          <w:sz w:val="24"/>
        </w:rPr>
      </w:pPr>
    </w:p>
    <w:p>
      <w:pPr>
        <w:pStyle w:val="BodyText"/>
        <w:ind w:left="1625" w:right="1609"/>
        <w:jc w:val="both"/>
      </w:pPr>
      <w:r>
        <w:rPr/>
        <w:t>Como es de conocimiento institucional, los ingresos que obtiene el IMAS se dividen en dos grandes grupos:</w:t>
      </w:r>
    </w:p>
    <w:p>
      <w:pPr>
        <w:pStyle w:val="ListParagraph"/>
        <w:numPr>
          <w:ilvl w:val="3"/>
          <w:numId w:val="5"/>
        </w:numPr>
        <w:tabs>
          <w:tab w:pos="2343" w:val="left" w:leader="none"/>
          <w:tab w:pos="2345" w:val="left" w:leader="none"/>
        </w:tabs>
        <w:spacing w:line="240" w:lineRule="auto" w:before="252" w:after="0"/>
        <w:ind w:left="2345" w:right="1607" w:hanging="360"/>
        <w:jc w:val="both"/>
        <w:rPr>
          <w:sz w:val="22"/>
        </w:rPr>
      </w:pPr>
      <w:r>
        <w:rPr>
          <w:sz w:val="22"/>
        </w:rPr>
        <w:t>Recursos Propios o Libres, que son los provenientes de la Ley de Creación y demás leyes conexas.</w:t>
      </w:r>
    </w:p>
    <w:p>
      <w:pPr>
        <w:pStyle w:val="ListParagraph"/>
        <w:numPr>
          <w:ilvl w:val="3"/>
          <w:numId w:val="5"/>
        </w:numPr>
        <w:tabs>
          <w:tab w:pos="2343" w:val="left" w:leader="none"/>
          <w:tab w:pos="2345" w:val="left" w:leader="none"/>
        </w:tabs>
        <w:spacing w:line="240" w:lineRule="auto" w:before="1" w:after="0"/>
        <w:ind w:left="2345" w:right="1603" w:hanging="360"/>
        <w:jc w:val="both"/>
        <w:rPr>
          <w:sz w:val="22"/>
        </w:rPr>
      </w:pPr>
      <w:r>
        <w:rPr>
          <w:sz w:val="22"/>
        </w:rPr>
        <w:t>Los Recursos Específicos, que están conformados por las demás fuentes de financiamiento, o sea, son los recursos que se destinan íntegramente a la Inversión Social conforme se ha definido en su especificidad, y según estructura presupuestaria</w:t>
      </w:r>
      <w:r>
        <w:rPr>
          <w:spacing w:val="67"/>
          <w:sz w:val="22"/>
        </w:rPr>
        <w:t>  </w:t>
      </w:r>
      <w:r>
        <w:rPr>
          <w:sz w:val="22"/>
        </w:rPr>
        <w:t>utilizada</w:t>
      </w:r>
      <w:r>
        <w:rPr>
          <w:spacing w:val="68"/>
          <w:sz w:val="22"/>
        </w:rPr>
        <w:t>  </w:t>
      </w:r>
      <w:r>
        <w:rPr>
          <w:sz w:val="22"/>
        </w:rPr>
        <w:t>al</w:t>
      </w:r>
      <w:r>
        <w:rPr>
          <w:spacing w:val="67"/>
          <w:sz w:val="22"/>
        </w:rPr>
        <w:t>  </w:t>
      </w:r>
      <w:r>
        <w:rPr>
          <w:sz w:val="22"/>
        </w:rPr>
        <w:t>interno</w:t>
      </w:r>
      <w:r>
        <w:rPr>
          <w:spacing w:val="67"/>
          <w:sz w:val="22"/>
        </w:rPr>
        <w:t>  </w:t>
      </w:r>
      <w:r>
        <w:rPr>
          <w:sz w:val="22"/>
        </w:rPr>
        <w:t>de</w:t>
      </w:r>
      <w:r>
        <w:rPr>
          <w:spacing w:val="67"/>
          <w:sz w:val="22"/>
        </w:rPr>
        <w:t>  </w:t>
      </w:r>
      <w:r>
        <w:rPr>
          <w:sz w:val="22"/>
        </w:rPr>
        <w:t>la</w:t>
      </w:r>
      <w:r>
        <w:rPr>
          <w:spacing w:val="67"/>
          <w:sz w:val="22"/>
        </w:rPr>
        <w:t>  </w:t>
      </w:r>
      <w:r>
        <w:rPr>
          <w:sz w:val="22"/>
        </w:rPr>
        <w:t>institución.</w:t>
      </w:r>
      <w:r>
        <w:rPr>
          <w:spacing w:val="68"/>
          <w:sz w:val="22"/>
        </w:rPr>
        <w:t>  </w:t>
      </w:r>
      <w:r>
        <w:rPr>
          <w:sz w:val="22"/>
        </w:rPr>
        <w:t>Estas</w:t>
      </w:r>
      <w:r>
        <w:rPr>
          <w:spacing w:val="67"/>
          <w:sz w:val="22"/>
        </w:rPr>
        <w:t>  </w:t>
      </w:r>
      <w:r>
        <w:rPr>
          <w:sz w:val="22"/>
        </w:rPr>
        <w:t>fuentes de</w:t>
      </w:r>
      <w:r>
        <w:rPr>
          <w:spacing w:val="-2"/>
          <w:sz w:val="22"/>
        </w:rPr>
        <w:t> </w:t>
      </w:r>
      <w:r>
        <w:rPr>
          <w:sz w:val="22"/>
        </w:rPr>
        <w:t>financiamiento</w:t>
      </w:r>
      <w:r>
        <w:rPr>
          <w:spacing w:val="40"/>
          <w:sz w:val="22"/>
        </w:rPr>
        <w:t>  </w:t>
      </w:r>
      <w:r>
        <w:rPr>
          <w:sz w:val="22"/>
        </w:rPr>
        <w:t>están</w:t>
      </w:r>
      <w:r>
        <w:rPr>
          <w:spacing w:val="40"/>
          <w:sz w:val="22"/>
        </w:rPr>
        <w:t>  </w:t>
      </w:r>
      <w:r>
        <w:rPr>
          <w:sz w:val="22"/>
        </w:rPr>
        <w:t>conformadas</w:t>
      </w:r>
      <w:r>
        <w:rPr>
          <w:spacing w:val="40"/>
          <w:sz w:val="22"/>
        </w:rPr>
        <w:t>  </w:t>
      </w:r>
      <w:r>
        <w:rPr>
          <w:sz w:val="22"/>
        </w:rPr>
        <w:t>por:</w:t>
      </w:r>
      <w:r>
        <w:rPr>
          <w:spacing w:val="40"/>
          <w:sz w:val="22"/>
        </w:rPr>
        <w:t>  </w:t>
      </w:r>
      <w:r>
        <w:rPr>
          <w:sz w:val="22"/>
        </w:rPr>
        <w:t>Transferencias</w:t>
      </w:r>
      <w:r>
        <w:rPr>
          <w:spacing w:val="40"/>
          <w:sz w:val="22"/>
        </w:rPr>
        <w:t>  </w:t>
      </w:r>
      <w:r>
        <w:rPr>
          <w:sz w:val="22"/>
        </w:rPr>
        <w:t>provenientes del</w:t>
      </w:r>
      <w:r>
        <w:rPr>
          <w:spacing w:val="-2"/>
          <w:sz w:val="22"/>
        </w:rPr>
        <w:t> </w:t>
      </w:r>
      <w:r>
        <w:rPr>
          <w:sz w:val="22"/>
        </w:rPr>
        <w:t>Gobierno Central</w:t>
      </w:r>
      <w:r>
        <w:rPr>
          <w:spacing w:val="-1"/>
          <w:sz w:val="22"/>
        </w:rPr>
        <w:t> </w:t>
      </w:r>
      <w:r>
        <w:rPr>
          <w:sz w:val="22"/>
        </w:rPr>
        <w:t>compuestas por: los recursos para Avancemos MEP los cuales</w:t>
      </w:r>
      <w:r>
        <w:rPr>
          <w:spacing w:val="-16"/>
          <w:sz w:val="22"/>
        </w:rPr>
        <w:t> </w:t>
      </w:r>
      <w:r>
        <w:rPr>
          <w:sz w:val="22"/>
        </w:rPr>
        <w:t>incluyen</w:t>
      </w:r>
      <w:r>
        <w:rPr>
          <w:spacing w:val="-15"/>
          <w:sz w:val="22"/>
        </w:rPr>
        <w:t> </w:t>
      </w:r>
      <w:r>
        <w:rPr>
          <w:sz w:val="22"/>
        </w:rPr>
        <w:t>además,</w:t>
      </w:r>
      <w:r>
        <w:rPr>
          <w:spacing w:val="-15"/>
          <w:sz w:val="22"/>
        </w:rPr>
        <w:t> </w:t>
      </w:r>
      <w:r>
        <w:rPr>
          <w:sz w:val="22"/>
        </w:rPr>
        <w:t>la</w:t>
      </w:r>
      <w:r>
        <w:rPr>
          <w:spacing w:val="-16"/>
          <w:sz w:val="22"/>
        </w:rPr>
        <w:t> </w:t>
      </w:r>
      <w:r>
        <w:rPr>
          <w:sz w:val="22"/>
        </w:rPr>
        <w:t>transferencia</w:t>
      </w:r>
      <w:r>
        <w:rPr>
          <w:spacing w:val="-15"/>
          <w:sz w:val="22"/>
        </w:rPr>
        <w:t> </w:t>
      </w:r>
      <w:r>
        <w:rPr>
          <w:sz w:val="22"/>
        </w:rPr>
        <w:t>de</w:t>
      </w:r>
      <w:r>
        <w:rPr>
          <w:spacing w:val="-15"/>
          <w:sz w:val="22"/>
        </w:rPr>
        <w:t> </w:t>
      </w:r>
      <w:r>
        <w:rPr>
          <w:sz w:val="22"/>
        </w:rPr>
        <w:t>recursos</w:t>
      </w:r>
      <w:r>
        <w:rPr>
          <w:spacing w:val="-15"/>
          <w:sz w:val="22"/>
        </w:rPr>
        <w:t> </w:t>
      </w:r>
      <w:r>
        <w:rPr>
          <w:sz w:val="22"/>
        </w:rPr>
        <w:t>a</w:t>
      </w:r>
      <w:r>
        <w:rPr>
          <w:spacing w:val="-16"/>
          <w:sz w:val="22"/>
        </w:rPr>
        <w:t> </w:t>
      </w:r>
      <w:r>
        <w:rPr>
          <w:sz w:val="22"/>
        </w:rPr>
        <w:t>familias</w:t>
      </w:r>
      <w:r>
        <w:rPr>
          <w:spacing w:val="-15"/>
          <w:sz w:val="22"/>
        </w:rPr>
        <w:t> </w:t>
      </w:r>
      <w:r>
        <w:rPr>
          <w:sz w:val="22"/>
        </w:rPr>
        <w:t>para</w:t>
      </w:r>
      <w:r>
        <w:rPr>
          <w:spacing w:val="-15"/>
          <w:sz w:val="22"/>
        </w:rPr>
        <w:t> </w:t>
      </w:r>
      <w:r>
        <w:rPr>
          <w:sz w:val="22"/>
        </w:rPr>
        <w:t>la</w:t>
      </w:r>
      <w:r>
        <w:rPr>
          <w:spacing w:val="-16"/>
          <w:sz w:val="22"/>
        </w:rPr>
        <w:t> </w:t>
      </w:r>
      <w:r>
        <w:rPr>
          <w:sz w:val="22"/>
        </w:rPr>
        <w:t>adquisición de Paquetes Escolares y Gasto Administrativo/Operativo, Transferencias provenientes</w:t>
      </w:r>
      <w:r>
        <w:rPr>
          <w:spacing w:val="-16"/>
          <w:sz w:val="22"/>
        </w:rPr>
        <w:t> </w:t>
      </w:r>
      <w:r>
        <w:rPr>
          <w:sz w:val="22"/>
        </w:rPr>
        <w:t>de</w:t>
      </w:r>
      <w:r>
        <w:rPr>
          <w:spacing w:val="-15"/>
          <w:sz w:val="22"/>
        </w:rPr>
        <w:t> </w:t>
      </w:r>
      <w:r>
        <w:rPr>
          <w:sz w:val="22"/>
        </w:rPr>
        <w:t>FODESAF</w:t>
      </w:r>
      <w:r>
        <w:rPr>
          <w:spacing w:val="-14"/>
          <w:sz w:val="22"/>
        </w:rPr>
        <w:t> </w:t>
      </w:r>
      <w:r>
        <w:rPr>
          <w:sz w:val="22"/>
        </w:rPr>
        <w:t>compuestos</w:t>
      </w:r>
      <w:r>
        <w:rPr>
          <w:spacing w:val="-15"/>
          <w:sz w:val="22"/>
        </w:rPr>
        <w:t> </w:t>
      </w:r>
      <w:r>
        <w:rPr>
          <w:sz w:val="22"/>
        </w:rPr>
        <w:t>por</w:t>
      </w:r>
      <w:r>
        <w:rPr>
          <w:spacing w:val="-15"/>
          <w:sz w:val="22"/>
        </w:rPr>
        <w:t> </w:t>
      </w:r>
      <w:r>
        <w:rPr>
          <w:sz w:val="22"/>
        </w:rPr>
        <w:t>Inciso</w:t>
      </w:r>
      <w:r>
        <w:rPr>
          <w:spacing w:val="-16"/>
          <w:sz w:val="22"/>
        </w:rPr>
        <w:t> </w:t>
      </w:r>
      <w:r>
        <w:rPr>
          <w:sz w:val="22"/>
        </w:rPr>
        <w:t>B,</w:t>
      </w:r>
      <w:r>
        <w:rPr>
          <w:spacing w:val="-15"/>
          <w:sz w:val="22"/>
        </w:rPr>
        <w:t> </w:t>
      </w:r>
      <w:r>
        <w:rPr>
          <w:sz w:val="22"/>
        </w:rPr>
        <w:t>inciso</w:t>
      </w:r>
      <w:r>
        <w:rPr>
          <w:spacing w:val="-15"/>
          <w:sz w:val="22"/>
        </w:rPr>
        <w:t> </w:t>
      </w:r>
      <w:r>
        <w:rPr>
          <w:sz w:val="22"/>
        </w:rPr>
        <w:t>H,</w:t>
      </w:r>
      <w:r>
        <w:rPr>
          <w:spacing w:val="-15"/>
          <w:sz w:val="22"/>
        </w:rPr>
        <w:t> </w:t>
      </w:r>
      <w:r>
        <w:rPr>
          <w:sz w:val="22"/>
        </w:rPr>
        <w:t>inciso</w:t>
      </w:r>
      <w:r>
        <w:rPr>
          <w:spacing w:val="-16"/>
          <w:sz w:val="22"/>
        </w:rPr>
        <w:t> </w:t>
      </w:r>
      <w:r>
        <w:rPr>
          <w:sz w:val="22"/>
        </w:rPr>
        <w:t>K,</w:t>
      </w:r>
      <w:r>
        <w:rPr>
          <w:spacing w:val="-15"/>
          <w:sz w:val="22"/>
        </w:rPr>
        <w:t> </w:t>
      </w:r>
      <w:r>
        <w:rPr>
          <w:sz w:val="22"/>
        </w:rPr>
        <w:t>Seguridad Alimentaria, además de los recursos de Ley de Red de Cuido, y los recursos del Programa de</w:t>
      </w:r>
      <w:r>
        <w:rPr>
          <w:spacing w:val="-3"/>
          <w:sz w:val="22"/>
        </w:rPr>
        <w:t> </w:t>
      </w:r>
      <w:r>
        <w:rPr>
          <w:sz w:val="22"/>
        </w:rPr>
        <w:t>Empresas Comerciales</w:t>
      </w:r>
      <w:r>
        <w:rPr>
          <w:spacing w:val="-1"/>
          <w:sz w:val="22"/>
        </w:rPr>
        <w:t> </w:t>
      </w:r>
      <w:r>
        <w:rPr>
          <w:sz w:val="22"/>
        </w:rPr>
        <w:t>por concepto de ventas de productos manufacturados que también su clasificación es específica</w:t>
      </w:r>
    </w:p>
    <w:p>
      <w:pPr>
        <w:pStyle w:val="BodyText"/>
        <w:spacing w:before="253"/>
        <w:ind w:left="1625" w:right="1604"/>
        <w:jc w:val="both"/>
      </w:pPr>
      <w:r>
        <w:rPr/>
        <w:t>Los ingresos percibidos al 31 de diciembre del ejercicio económico 2025, alcanzaron la suma de ¢ 286,624,393.52 miles, cifra que representa un 96.57% del total de recursos presupuestados</w:t>
      </w:r>
      <w:r>
        <w:rPr>
          <w:spacing w:val="37"/>
        </w:rPr>
        <w:t> </w:t>
      </w:r>
      <w:r>
        <w:rPr/>
        <w:t>ajustados</w:t>
      </w:r>
      <w:r>
        <w:rPr>
          <w:spacing w:val="37"/>
        </w:rPr>
        <w:t> </w:t>
      </w:r>
      <w:r>
        <w:rPr/>
        <w:t>para</w:t>
      </w:r>
      <w:r>
        <w:rPr>
          <w:spacing w:val="34"/>
        </w:rPr>
        <w:t> </w:t>
      </w:r>
      <w:r>
        <w:rPr/>
        <w:t>el</w:t>
      </w:r>
      <w:r>
        <w:rPr>
          <w:spacing w:val="36"/>
        </w:rPr>
        <w:t> </w:t>
      </w:r>
      <w:r>
        <w:rPr/>
        <w:t>periodo</w:t>
      </w:r>
      <w:r>
        <w:rPr>
          <w:spacing w:val="36"/>
        </w:rPr>
        <w:t> </w:t>
      </w:r>
      <w:r>
        <w:rPr/>
        <w:t>en</w:t>
      </w:r>
      <w:r>
        <w:rPr>
          <w:spacing w:val="34"/>
        </w:rPr>
        <w:t> </w:t>
      </w:r>
      <w:r>
        <w:rPr/>
        <w:t>estudio</w:t>
      </w:r>
      <w:r>
        <w:rPr>
          <w:spacing w:val="36"/>
        </w:rPr>
        <w:t> </w:t>
      </w:r>
      <w:r>
        <w:rPr/>
        <w:t>que</w:t>
      </w:r>
      <w:r>
        <w:rPr>
          <w:spacing w:val="36"/>
        </w:rPr>
        <w:t> </w:t>
      </w:r>
      <w:r>
        <w:rPr/>
        <w:t>ascendieron</w:t>
      </w:r>
      <w:r>
        <w:rPr>
          <w:spacing w:val="34"/>
        </w:rPr>
        <w:t> </w:t>
      </w:r>
      <w:r>
        <w:rPr/>
        <w:t>a</w:t>
      </w:r>
      <w:r>
        <w:rPr>
          <w:spacing w:val="36"/>
        </w:rPr>
        <w:t> </w:t>
      </w:r>
      <w:r>
        <w:rPr/>
        <w:t>la</w:t>
      </w:r>
      <w:r>
        <w:rPr>
          <w:spacing w:val="36"/>
        </w:rPr>
        <w:t> </w:t>
      </w:r>
      <w:r>
        <w:rPr/>
        <w:t>suma</w:t>
      </w:r>
      <w:r>
        <w:rPr>
          <w:spacing w:val="35"/>
        </w:rPr>
        <w:t> </w:t>
      </w:r>
      <w:r>
        <w:rPr/>
        <w:t>de</w:t>
      </w:r>
    </w:p>
    <w:p>
      <w:pPr>
        <w:pStyle w:val="BodyText"/>
        <w:ind w:left="1625" w:right="1604"/>
        <w:jc w:val="both"/>
      </w:pPr>
      <w:r>
        <w:rPr/>
        <w:t>¢296,795,754.88</w:t>
      </w:r>
      <w:r>
        <w:rPr>
          <w:spacing w:val="-16"/>
        </w:rPr>
        <w:t> </w:t>
      </w:r>
      <w:r>
        <w:rPr/>
        <w:t>miles.</w:t>
      </w:r>
      <w:r>
        <w:rPr>
          <w:spacing w:val="-15"/>
        </w:rPr>
        <w:t> </w:t>
      </w:r>
      <w:r>
        <w:rPr/>
        <w:t>Cabe</w:t>
      </w:r>
      <w:r>
        <w:rPr>
          <w:spacing w:val="-15"/>
        </w:rPr>
        <w:t> </w:t>
      </w:r>
      <w:r>
        <w:rPr/>
        <w:t>indicar</w:t>
      </w:r>
      <w:r>
        <w:rPr>
          <w:spacing w:val="-16"/>
        </w:rPr>
        <w:t> </w:t>
      </w:r>
      <w:r>
        <w:rPr/>
        <w:t>que</w:t>
      </w:r>
      <w:r>
        <w:rPr>
          <w:spacing w:val="-15"/>
        </w:rPr>
        <w:t> </w:t>
      </w:r>
      <w:r>
        <w:rPr/>
        <w:t>al</w:t>
      </w:r>
      <w:r>
        <w:rPr>
          <w:spacing w:val="-15"/>
        </w:rPr>
        <w:t> </w:t>
      </w:r>
      <w:r>
        <w:rPr/>
        <w:t>mes</w:t>
      </w:r>
      <w:r>
        <w:rPr>
          <w:spacing w:val="-15"/>
        </w:rPr>
        <w:t> </w:t>
      </w:r>
      <w:r>
        <w:rPr/>
        <w:t>de</w:t>
      </w:r>
      <w:r>
        <w:rPr>
          <w:spacing w:val="-16"/>
        </w:rPr>
        <w:t> </w:t>
      </w:r>
      <w:r>
        <w:rPr/>
        <w:t>Julio</w:t>
      </w:r>
      <w:r>
        <w:rPr>
          <w:spacing w:val="-15"/>
        </w:rPr>
        <w:t> </w:t>
      </w:r>
      <w:r>
        <w:rPr/>
        <w:t>se</w:t>
      </w:r>
      <w:r>
        <w:rPr>
          <w:spacing w:val="-15"/>
        </w:rPr>
        <w:t> </w:t>
      </w:r>
      <w:r>
        <w:rPr/>
        <w:t>incorporaron</w:t>
      </w:r>
      <w:r>
        <w:rPr>
          <w:spacing w:val="-16"/>
        </w:rPr>
        <w:t> </w:t>
      </w:r>
      <w:r>
        <w:rPr/>
        <w:t>nuevos</w:t>
      </w:r>
      <w:r>
        <w:rPr>
          <w:spacing w:val="-15"/>
        </w:rPr>
        <w:t> </w:t>
      </w:r>
      <w:r>
        <w:rPr/>
        <w:t>recursos y de</w:t>
      </w:r>
      <w:r>
        <w:rPr>
          <w:spacing w:val="-1"/>
        </w:rPr>
        <w:t> </w:t>
      </w:r>
      <w:r>
        <w:rPr/>
        <w:t>vigencias anteriores con</w:t>
      </w:r>
      <w:r>
        <w:rPr>
          <w:spacing w:val="-1"/>
        </w:rPr>
        <w:t> </w:t>
      </w:r>
      <w:r>
        <w:rPr/>
        <w:t>recursos Propios, recursos</w:t>
      </w:r>
      <w:r>
        <w:rPr>
          <w:spacing w:val="-1"/>
        </w:rPr>
        <w:t> </w:t>
      </w:r>
      <w:r>
        <w:rPr/>
        <w:t>FODESAF, Gobierno Central y Empresas Comerciales, por un</w:t>
      </w:r>
      <w:r>
        <w:rPr>
          <w:spacing w:val="-1"/>
        </w:rPr>
        <w:t> </w:t>
      </w:r>
      <w:r>
        <w:rPr/>
        <w:t>monto de</w:t>
      </w:r>
      <w:r>
        <w:rPr>
          <w:spacing w:val="-1"/>
        </w:rPr>
        <w:t> </w:t>
      </w:r>
      <w:r>
        <w:rPr/>
        <w:t>¢17,602,443.43 miles, mediante Presupuestos Extraordinarios</w:t>
      </w:r>
      <w:r>
        <w:rPr>
          <w:spacing w:val="-7"/>
        </w:rPr>
        <w:t> </w:t>
      </w:r>
      <w:r>
        <w:rPr/>
        <w:t>01-2025</w:t>
      </w:r>
      <w:r>
        <w:rPr>
          <w:spacing w:val="-10"/>
        </w:rPr>
        <w:t> </w:t>
      </w:r>
      <w:r>
        <w:rPr/>
        <w:t>y</w:t>
      </w:r>
      <w:r>
        <w:rPr>
          <w:spacing w:val="-7"/>
        </w:rPr>
        <w:t> </w:t>
      </w:r>
      <w:r>
        <w:rPr/>
        <w:t>al</w:t>
      </w:r>
      <w:r>
        <w:rPr>
          <w:spacing w:val="-11"/>
        </w:rPr>
        <w:t> </w:t>
      </w:r>
      <w:r>
        <w:rPr/>
        <w:t>mes</w:t>
      </w:r>
      <w:r>
        <w:rPr>
          <w:spacing w:val="-7"/>
        </w:rPr>
        <w:t> </w:t>
      </w:r>
      <w:r>
        <w:rPr/>
        <w:t>de</w:t>
      </w:r>
      <w:r>
        <w:rPr>
          <w:spacing w:val="-10"/>
        </w:rPr>
        <w:t> </w:t>
      </w:r>
      <w:r>
        <w:rPr/>
        <w:t>noviembre</w:t>
      </w:r>
      <w:r>
        <w:rPr>
          <w:spacing w:val="-10"/>
        </w:rPr>
        <w:t> </w:t>
      </w:r>
      <w:r>
        <w:rPr/>
        <w:t>se</w:t>
      </w:r>
      <w:r>
        <w:rPr>
          <w:spacing w:val="-7"/>
        </w:rPr>
        <w:t> </w:t>
      </w:r>
      <w:r>
        <w:rPr/>
        <w:t>incorporan</w:t>
      </w:r>
      <w:r>
        <w:rPr>
          <w:spacing w:val="-10"/>
        </w:rPr>
        <w:t> </w:t>
      </w:r>
      <w:r>
        <w:rPr/>
        <w:t>recursos</w:t>
      </w:r>
      <w:r>
        <w:rPr>
          <w:spacing w:val="-7"/>
        </w:rPr>
        <w:t> </w:t>
      </w:r>
      <w:r>
        <w:rPr/>
        <w:t>de</w:t>
      </w:r>
      <w:r>
        <w:rPr>
          <w:spacing w:val="-10"/>
        </w:rPr>
        <w:t> </w:t>
      </w:r>
      <w:r>
        <w:rPr/>
        <w:t>FODESAF</w:t>
      </w:r>
      <w:r>
        <w:rPr>
          <w:spacing w:val="-7"/>
        </w:rPr>
        <w:t> </w:t>
      </w:r>
      <w:r>
        <w:rPr/>
        <w:t>por un monto de ¢339,950.75, ambos documentos aprobados por la Contraloría General de la República, estos recursos se distribuyeron por fuente de financiamiento según se muestra en el siguiente gráfico:</w:t>
      </w:r>
    </w:p>
    <w:p>
      <w:pPr>
        <w:pStyle w:val="BodyText"/>
        <w:spacing w:after="0"/>
        <w:jc w:val="both"/>
        <w:sectPr>
          <w:pgSz w:w="12240" w:h="15840"/>
          <w:pgMar w:header="0" w:footer="1576" w:top="1000" w:bottom="1760" w:left="360" w:right="0"/>
        </w:sectPr>
      </w:pPr>
    </w:p>
    <w:p>
      <w:pPr>
        <w:pStyle w:val="Heading5"/>
        <w:spacing w:before="77"/>
        <w:ind w:left="2729" w:right="2971" w:firstLine="789"/>
      </w:pPr>
      <w:bookmarkStart w:name="_bookmark13" w:id="14"/>
      <w:bookmarkEnd w:id="14"/>
      <w:r>
        <w:rPr>
          <w:b w:val="0"/>
        </w:rPr>
      </w:r>
      <w:r>
        <w:rPr/>
        <w:t>Gráfico 1: Distribución % de los ingresos reales Según</w:t>
      </w:r>
      <w:r>
        <w:rPr>
          <w:spacing w:val="-4"/>
        </w:rPr>
        <w:t> </w:t>
      </w:r>
      <w:r>
        <w:rPr/>
        <w:t>fuente</w:t>
      </w:r>
      <w:r>
        <w:rPr>
          <w:spacing w:val="-5"/>
        </w:rPr>
        <w:t> </w:t>
      </w:r>
      <w:r>
        <w:rPr/>
        <w:t>de</w:t>
      </w:r>
      <w:r>
        <w:rPr>
          <w:spacing w:val="-5"/>
        </w:rPr>
        <w:t> </w:t>
      </w:r>
      <w:r>
        <w:rPr/>
        <w:t>financiamiento</w:t>
      </w:r>
      <w:r>
        <w:rPr>
          <w:spacing w:val="-4"/>
        </w:rPr>
        <w:t> </w:t>
      </w:r>
      <w:r>
        <w:rPr/>
        <w:t>al</w:t>
      </w:r>
      <w:r>
        <w:rPr>
          <w:spacing w:val="-5"/>
        </w:rPr>
        <w:t> </w:t>
      </w:r>
      <w:r>
        <w:rPr/>
        <w:t>31</w:t>
      </w:r>
      <w:r>
        <w:rPr>
          <w:spacing w:val="-4"/>
        </w:rPr>
        <w:t> </w:t>
      </w:r>
      <w:r>
        <w:rPr/>
        <w:t>de</w:t>
      </w:r>
      <w:r>
        <w:rPr>
          <w:spacing w:val="-6"/>
        </w:rPr>
        <w:t> </w:t>
      </w:r>
      <w:r>
        <w:rPr/>
        <w:t>diciembre</w:t>
      </w:r>
      <w:r>
        <w:rPr>
          <w:spacing w:val="-3"/>
        </w:rPr>
        <w:t> </w:t>
      </w:r>
      <w:r>
        <w:rPr/>
        <w:t>2025</w:t>
      </w:r>
    </w:p>
    <w:p>
      <w:pPr>
        <w:pStyle w:val="BodyText"/>
        <w:spacing w:before="10"/>
        <w:rPr>
          <w:b/>
          <w:sz w:val="19"/>
        </w:rPr>
      </w:pPr>
      <w:r>
        <w:rPr>
          <w:b/>
          <w:sz w:val="19"/>
        </w:rPr>
        <w:drawing>
          <wp:anchor distT="0" distB="0" distL="0" distR="0" allowOverlap="1" layoutInCell="1" locked="0" behindDoc="1" simplePos="0" relativeHeight="487588864">
            <wp:simplePos x="0" y="0"/>
            <wp:positionH relativeFrom="page">
              <wp:posOffset>1260475</wp:posOffset>
            </wp:positionH>
            <wp:positionV relativeFrom="paragraph">
              <wp:posOffset>160682</wp:posOffset>
            </wp:positionV>
            <wp:extent cx="5620336" cy="2533650"/>
            <wp:effectExtent l="0" t="0" r="0" b="0"/>
            <wp:wrapTopAndBottom/>
            <wp:docPr id="17" name="Image 17"/>
            <wp:cNvGraphicFramePr>
              <a:graphicFrameLocks/>
            </wp:cNvGraphicFramePr>
            <a:graphic>
              <a:graphicData uri="http://schemas.openxmlformats.org/drawingml/2006/picture">
                <pic:pic>
                  <pic:nvPicPr>
                    <pic:cNvPr id="17" name="Image 17"/>
                    <pic:cNvPicPr/>
                  </pic:nvPicPr>
                  <pic:blipFill>
                    <a:blip r:embed="rId32" cstate="print"/>
                    <a:stretch>
                      <a:fillRect/>
                    </a:stretch>
                  </pic:blipFill>
                  <pic:spPr>
                    <a:xfrm>
                      <a:off x="0" y="0"/>
                      <a:ext cx="5620336" cy="2533650"/>
                    </a:xfrm>
                    <a:prstGeom prst="rect">
                      <a:avLst/>
                    </a:prstGeom>
                  </pic:spPr>
                </pic:pic>
              </a:graphicData>
            </a:graphic>
          </wp:anchor>
        </w:drawing>
      </w:r>
    </w:p>
    <w:p>
      <w:pPr>
        <w:pStyle w:val="BodyText"/>
        <w:rPr>
          <w:b/>
        </w:rPr>
      </w:pPr>
    </w:p>
    <w:p>
      <w:pPr>
        <w:spacing w:before="0"/>
        <w:ind w:left="1625" w:right="0" w:firstLine="0"/>
        <w:jc w:val="both"/>
        <w:rPr>
          <w:sz w:val="18"/>
        </w:rPr>
      </w:pPr>
      <w:r>
        <w:rPr>
          <w:sz w:val="18"/>
        </w:rPr>
        <w:t>Fuente:</w:t>
      </w:r>
      <w:r>
        <w:rPr>
          <w:spacing w:val="-5"/>
          <w:sz w:val="18"/>
        </w:rPr>
        <w:t> </w:t>
      </w:r>
      <w:r>
        <w:rPr>
          <w:sz w:val="18"/>
        </w:rPr>
        <w:t>Informe</w:t>
      </w:r>
      <w:r>
        <w:rPr>
          <w:spacing w:val="-5"/>
          <w:sz w:val="18"/>
        </w:rPr>
        <w:t> </w:t>
      </w:r>
      <w:r>
        <w:rPr>
          <w:sz w:val="18"/>
        </w:rPr>
        <w:t>de</w:t>
      </w:r>
      <w:r>
        <w:rPr>
          <w:spacing w:val="-6"/>
          <w:sz w:val="18"/>
        </w:rPr>
        <w:t> </w:t>
      </w:r>
      <w:r>
        <w:rPr>
          <w:sz w:val="18"/>
        </w:rPr>
        <w:t>Liquidación</w:t>
      </w:r>
      <w:r>
        <w:rPr>
          <w:spacing w:val="-5"/>
          <w:sz w:val="18"/>
        </w:rPr>
        <w:t> </w:t>
      </w:r>
      <w:r>
        <w:rPr>
          <w:sz w:val="18"/>
        </w:rPr>
        <w:t>Presupuestaria</w:t>
      </w:r>
      <w:r>
        <w:rPr>
          <w:spacing w:val="-5"/>
          <w:sz w:val="18"/>
        </w:rPr>
        <w:t> </w:t>
      </w:r>
      <w:r>
        <w:rPr>
          <w:spacing w:val="-4"/>
          <w:sz w:val="18"/>
        </w:rPr>
        <w:t>2025</w:t>
      </w:r>
    </w:p>
    <w:p>
      <w:pPr>
        <w:pStyle w:val="BodyText"/>
        <w:spacing w:before="48"/>
        <w:rPr>
          <w:sz w:val="18"/>
        </w:rPr>
      </w:pPr>
    </w:p>
    <w:p>
      <w:pPr>
        <w:pStyle w:val="BodyText"/>
        <w:ind w:left="1625" w:right="1602"/>
        <w:jc w:val="both"/>
      </w:pPr>
      <w:r>
        <w:rPr/>
        <w:t>Del</w:t>
      </w:r>
      <w:r>
        <w:rPr>
          <w:spacing w:val="-1"/>
        </w:rPr>
        <w:t> </w:t>
      </w:r>
      <w:r>
        <w:rPr/>
        <w:t>gráfico</w:t>
      </w:r>
      <w:r>
        <w:rPr>
          <w:spacing w:val="-2"/>
        </w:rPr>
        <w:t> </w:t>
      </w:r>
      <w:r>
        <w:rPr/>
        <w:t>anterior</w:t>
      </w:r>
      <w:r>
        <w:rPr>
          <w:spacing w:val="-1"/>
        </w:rPr>
        <w:t> </w:t>
      </w:r>
      <w:r>
        <w:rPr/>
        <w:t>se</w:t>
      </w:r>
      <w:r>
        <w:rPr>
          <w:spacing w:val="-2"/>
        </w:rPr>
        <w:t> </w:t>
      </w:r>
      <w:r>
        <w:rPr/>
        <w:t>desprende que</w:t>
      </w:r>
      <w:r>
        <w:rPr>
          <w:spacing w:val="-2"/>
        </w:rPr>
        <w:t> </w:t>
      </w:r>
      <w:r>
        <w:rPr/>
        <w:t>el</w:t>
      </w:r>
      <w:r>
        <w:rPr>
          <w:spacing w:val="-3"/>
        </w:rPr>
        <w:t> </w:t>
      </w:r>
      <w:r>
        <w:rPr/>
        <w:t>mayor</w:t>
      </w:r>
      <w:r>
        <w:rPr>
          <w:spacing w:val="-1"/>
        </w:rPr>
        <w:t> </w:t>
      </w:r>
      <w:r>
        <w:rPr/>
        <w:t>porcentaje</w:t>
      </w:r>
      <w:r>
        <w:rPr>
          <w:spacing w:val="-2"/>
        </w:rPr>
        <w:t> </w:t>
      </w:r>
      <w:r>
        <w:rPr/>
        <w:t>de ingresos</w:t>
      </w:r>
      <w:r>
        <w:rPr>
          <w:spacing w:val="-2"/>
        </w:rPr>
        <w:t> </w:t>
      </w:r>
      <w:r>
        <w:rPr/>
        <w:t>lo</w:t>
      </w:r>
      <w:r>
        <w:rPr>
          <w:spacing w:val="-2"/>
        </w:rPr>
        <w:t> </w:t>
      </w:r>
      <w:r>
        <w:rPr/>
        <w:t>constituyen</w:t>
      </w:r>
      <w:r>
        <w:rPr>
          <w:spacing w:val="-2"/>
        </w:rPr>
        <w:t> </w:t>
      </w:r>
      <w:r>
        <w:rPr/>
        <w:t>los recursos provienen de FODESAF-Avancemos con un 28.09%, seguido por Recursos FODESAF propiamente inciso b) con un 24.92%, Recursos Propios con un 23.55%, seguido de los recursos que provienen de Red de Cuido con un 11,20%, Empresas Comerciales 8,39%, Seguridad Alimentaria con un 2,77%, Avancemos MEP un 1.01%, Gobierno MEP-240 con un 0.03%, Recursos D-MEP-Avancemos 0.02 % y Emergencias </w:t>
      </w:r>
      <w:r>
        <w:rPr>
          <w:spacing w:val="-2"/>
        </w:rPr>
        <w:t>0.01%.</w:t>
      </w:r>
    </w:p>
    <w:p>
      <w:pPr>
        <w:pStyle w:val="BodyText"/>
        <w:spacing w:after="0"/>
        <w:jc w:val="both"/>
        <w:sectPr>
          <w:pgSz w:w="12240" w:h="15840"/>
          <w:pgMar w:header="0" w:footer="1576" w:top="1000" w:bottom="1760" w:left="360" w:right="0"/>
        </w:sectPr>
      </w:pPr>
    </w:p>
    <w:p>
      <w:pPr>
        <w:pStyle w:val="Heading5"/>
        <w:spacing w:before="77"/>
        <w:ind w:left="5096" w:right="1186" w:hanging="3565"/>
      </w:pPr>
      <w:bookmarkStart w:name="_bookmark14" w:id="15"/>
      <w:bookmarkEnd w:id="15"/>
      <w:r>
        <w:rPr>
          <w:b w:val="0"/>
        </w:rPr>
      </w:r>
      <w:r>
        <w:rPr/>
        <w:t>Tabla</w:t>
      </w:r>
      <w:r>
        <w:rPr>
          <w:spacing w:val="-2"/>
        </w:rPr>
        <w:t> </w:t>
      </w:r>
      <w:r>
        <w:rPr/>
        <w:t>5:</w:t>
      </w:r>
      <w:r>
        <w:rPr>
          <w:spacing w:val="-3"/>
        </w:rPr>
        <w:t> </w:t>
      </w:r>
      <w:r>
        <w:rPr/>
        <w:t>Ingresos</w:t>
      </w:r>
      <w:r>
        <w:rPr>
          <w:spacing w:val="-4"/>
        </w:rPr>
        <w:t> </w:t>
      </w:r>
      <w:r>
        <w:rPr/>
        <w:t>nominales</w:t>
      </w:r>
      <w:r>
        <w:rPr>
          <w:spacing w:val="-3"/>
        </w:rPr>
        <w:t> </w:t>
      </w:r>
      <w:r>
        <w:rPr/>
        <w:t>reales</w:t>
      </w:r>
      <w:r>
        <w:rPr>
          <w:spacing w:val="-4"/>
        </w:rPr>
        <w:t> </w:t>
      </w:r>
      <w:r>
        <w:rPr/>
        <w:t>según</w:t>
      </w:r>
      <w:r>
        <w:rPr>
          <w:spacing w:val="-4"/>
        </w:rPr>
        <w:t> </w:t>
      </w:r>
      <w:r>
        <w:rPr/>
        <w:t>fuente</w:t>
      </w:r>
      <w:r>
        <w:rPr>
          <w:spacing w:val="-2"/>
        </w:rPr>
        <w:t> </w:t>
      </w:r>
      <w:r>
        <w:rPr/>
        <w:t>de</w:t>
      </w:r>
      <w:r>
        <w:rPr>
          <w:spacing w:val="-5"/>
        </w:rPr>
        <w:t> </w:t>
      </w:r>
      <w:r>
        <w:rPr/>
        <w:t>financiamiento en</w:t>
      </w:r>
      <w:r>
        <w:rPr>
          <w:spacing w:val="-3"/>
        </w:rPr>
        <w:t> </w:t>
      </w:r>
      <w:r>
        <w:rPr/>
        <w:t>el</w:t>
      </w:r>
      <w:r>
        <w:rPr>
          <w:spacing w:val="-3"/>
        </w:rPr>
        <w:t> </w:t>
      </w:r>
      <w:r>
        <w:rPr/>
        <w:t>año</w:t>
      </w:r>
      <w:r>
        <w:rPr>
          <w:spacing w:val="-3"/>
        </w:rPr>
        <w:t> </w:t>
      </w:r>
      <w:r>
        <w:rPr/>
        <w:t>2025</w:t>
      </w:r>
      <w:r>
        <w:rPr>
          <w:spacing w:val="-4"/>
        </w:rPr>
        <w:t> </w:t>
      </w:r>
      <w:r>
        <w:rPr/>
        <w:t>(en miles de colones)</w:t>
      </w:r>
    </w:p>
    <w:p>
      <w:pPr>
        <w:pStyle w:val="BodyText"/>
        <w:spacing w:before="47"/>
        <w:rPr>
          <w:b/>
          <w:sz w:val="20"/>
        </w:rPr>
      </w:pPr>
    </w:p>
    <w:tbl>
      <w:tblPr>
        <w:tblW w:w="0" w:type="auto"/>
        <w:jc w:val="left"/>
        <w:tblInd w:w="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30"/>
        <w:gridCol w:w="1700"/>
        <w:gridCol w:w="1701"/>
        <w:gridCol w:w="1664"/>
        <w:gridCol w:w="1459"/>
        <w:gridCol w:w="1150"/>
      </w:tblGrid>
      <w:tr>
        <w:trPr>
          <w:trHeight w:val="1036" w:hRule="atLeast"/>
        </w:trPr>
        <w:tc>
          <w:tcPr>
            <w:tcW w:w="3430" w:type="dxa"/>
            <w:shd w:val="clear" w:color="auto" w:fill="0E233D"/>
          </w:tcPr>
          <w:p>
            <w:pPr>
              <w:pStyle w:val="TableParagraph"/>
              <w:rPr>
                <w:b/>
                <w:sz w:val="18"/>
              </w:rPr>
            </w:pPr>
          </w:p>
          <w:p>
            <w:pPr>
              <w:pStyle w:val="TableParagraph"/>
              <w:spacing w:before="101"/>
              <w:rPr>
                <w:b/>
                <w:sz w:val="18"/>
              </w:rPr>
            </w:pPr>
          </w:p>
          <w:p>
            <w:pPr>
              <w:pStyle w:val="TableParagraph"/>
              <w:ind w:left="109"/>
              <w:jc w:val="center"/>
              <w:rPr>
                <w:b/>
                <w:sz w:val="18"/>
              </w:rPr>
            </w:pPr>
            <w:r>
              <w:rPr>
                <w:b/>
                <w:color w:val="FFFFFF"/>
                <w:spacing w:val="-2"/>
                <w:sz w:val="18"/>
              </w:rPr>
              <w:t>Concepto</w:t>
            </w:r>
          </w:p>
        </w:tc>
        <w:tc>
          <w:tcPr>
            <w:tcW w:w="1700" w:type="dxa"/>
            <w:shd w:val="clear" w:color="auto" w:fill="0E233D"/>
          </w:tcPr>
          <w:p>
            <w:pPr>
              <w:pStyle w:val="TableParagraph"/>
              <w:spacing w:before="101"/>
              <w:rPr>
                <w:b/>
                <w:sz w:val="18"/>
              </w:rPr>
            </w:pPr>
          </w:p>
          <w:p>
            <w:pPr>
              <w:pStyle w:val="TableParagraph"/>
              <w:ind w:left="267" w:right="170" w:firstLine="4"/>
              <w:jc w:val="center"/>
              <w:rPr>
                <w:b/>
                <w:sz w:val="18"/>
              </w:rPr>
            </w:pPr>
            <w:r>
              <w:rPr>
                <w:b/>
                <w:color w:val="FFFFFF"/>
                <w:spacing w:val="-2"/>
                <w:sz w:val="18"/>
              </w:rPr>
              <w:t>Ingresos institucionales proyectados</w:t>
            </w:r>
          </w:p>
        </w:tc>
        <w:tc>
          <w:tcPr>
            <w:tcW w:w="1701" w:type="dxa"/>
            <w:shd w:val="clear" w:color="auto" w:fill="0E233D"/>
          </w:tcPr>
          <w:p>
            <w:pPr>
              <w:pStyle w:val="TableParagraph"/>
              <w:spacing w:before="205"/>
              <w:ind w:left="215" w:right="231" w:firstLine="4"/>
              <w:jc w:val="center"/>
              <w:rPr>
                <w:b/>
                <w:sz w:val="18"/>
              </w:rPr>
            </w:pPr>
            <w:r>
              <w:rPr>
                <w:b/>
                <w:color w:val="FFFFFF"/>
                <w:spacing w:val="-2"/>
                <w:sz w:val="18"/>
              </w:rPr>
              <w:t>Ingresos proyectados </w:t>
            </w:r>
            <w:r>
              <w:rPr>
                <w:b/>
                <w:color w:val="FFFFFF"/>
                <w:sz w:val="18"/>
              </w:rPr>
              <w:t>acumulados</w:t>
            </w:r>
            <w:r>
              <w:rPr>
                <w:b/>
                <w:color w:val="FFFFFF"/>
                <w:spacing w:val="-4"/>
                <w:sz w:val="18"/>
              </w:rPr>
              <w:t> </w:t>
            </w:r>
            <w:r>
              <w:rPr>
                <w:b/>
                <w:color w:val="FFFFFF"/>
                <w:spacing w:val="-5"/>
                <w:sz w:val="18"/>
              </w:rPr>
              <w:t>al</w:t>
            </w:r>
          </w:p>
          <w:p>
            <w:pPr>
              <w:pStyle w:val="TableParagraph"/>
              <w:spacing w:line="190" w:lineRule="exact" w:before="1"/>
              <w:ind w:right="14"/>
              <w:jc w:val="center"/>
              <w:rPr>
                <w:b/>
                <w:sz w:val="18"/>
              </w:rPr>
            </w:pPr>
            <w:r>
              <w:rPr>
                <w:b/>
                <w:color w:val="FFFFFF"/>
                <w:sz w:val="18"/>
              </w:rPr>
              <w:t>mes</w:t>
            </w:r>
            <w:r>
              <w:rPr>
                <w:b/>
                <w:color w:val="FFFFFF"/>
                <w:spacing w:val="-1"/>
                <w:sz w:val="18"/>
              </w:rPr>
              <w:t> </w:t>
            </w:r>
            <w:r>
              <w:rPr>
                <w:b/>
                <w:color w:val="FFFFFF"/>
                <w:sz w:val="18"/>
              </w:rPr>
              <w:t>de</w:t>
            </w:r>
            <w:r>
              <w:rPr>
                <w:b/>
                <w:color w:val="FFFFFF"/>
                <w:spacing w:val="-1"/>
                <w:sz w:val="18"/>
              </w:rPr>
              <w:t> </w:t>
            </w:r>
            <w:r>
              <w:rPr>
                <w:b/>
                <w:color w:val="FFFFFF"/>
                <w:spacing w:val="-2"/>
                <w:sz w:val="18"/>
              </w:rPr>
              <w:t>diciembre</w:t>
            </w:r>
          </w:p>
        </w:tc>
        <w:tc>
          <w:tcPr>
            <w:tcW w:w="1664" w:type="dxa"/>
            <w:shd w:val="clear" w:color="auto" w:fill="0E233D"/>
          </w:tcPr>
          <w:p>
            <w:pPr>
              <w:pStyle w:val="TableParagraph"/>
              <w:spacing w:before="101"/>
              <w:rPr>
                <w:b/>
                <w:sz w:val="18"/>
              </w:rPr>
            </w:pPr>
          </w:p>
          <w:p>
            <w:pPr>
              <w:pStyle w:val="TableParagraph"/>
              <w:ind w:left="70" w:right="71" w:hanging="5"/>
              <w:jc w:val="center"/>
              <w:rPr>
                <w:b/>
                <w:sz w:val="18"/>
              </w:rPr>
            </w:pPr>
            <w:r>
              <w:rPr>
                <w:b/>
                <w:color w:val="FFFFFF"/>
                <w:sz w:val="18"/>
              </w:rPr>
              <w:t>Ingresos reales acumulados al mes</w:t>
            </w:r>
            <w:r>
              <w:rPr>
                <w:b/>
                <w:color w:val="FFFFFF"/>
                <w:spacing w:val="-15"/>
                <w:sz w:val="18"/>
              </w:rPr>
              <w:t> </w:t>
            </w:r>
            <w:r>
              <w:rPr>
                <w:b/>
                <w:color w:val="FFFFFF"/>
                <w:sz w:val="18"/>
              </w:rPr>
              <w:t>de</w:t>
            </w:r>
            <w:r>
              <w:rPr>
                <w:b/>
                <w:color w:val="FFFFFF"/>
                <w:spacing w:val="-12"/>
                <w:sz w:val="18"/>
              </w:rPr>
              <w:t> </w:t>
            </w:r>
            <w:r>
              <w:rPr>
                <w:b/>
                <w:color w:val="FFFFFF"/>
                <w:sz w:val="18"/>
              </w:rPr>
              <w:t>diciembre</w:t>
            </w:r>
          </w:p>
        </w:tc>
        <w:tc>
          <w:tcPr>
            <w:tcW w:w="2609" w:type="dxa"/>
            <w:gridSpan w:val="2"/>
            <w:shd w:val="clear" w:color="auto" w:fill="0E233D"/>
          </w:tcPr>
          <w:p>
            <w:pPr>
              <w:pStyle w:val="TableParagraph"/>
              <w:ind w:left="103" w:right="105"/>
              <w:jc w:val="center"/>
              <w:rPr>
                <w:b/>
                <w:sz w:val="18"/>
              </w:rPr>
            </w:pPr>
            <w:r>
              <w:rPr>
                <w:b/>
                <w:color w:val="FFFFFF"/>
                <w:sz w:val="18"/>
              </w:rPr>
              <w:t>Variaciones</w:t>
            </w:r>
            <w:r>
              <w:rPr>
                <w:b/>
                <w:color w:val="FFFFFF"/>
                <w:spacing w:val="-13"/>
                <w:sz w:val="18"/>
              </w:rPr>
              <w:t> </w:t>
            </w:r>
            <w:r>
              <w:rPr>
                <w:b/>
                <w:color w:val="FFFFFF"/>
                <w:sz w:val="18"/>
              </w:rPr>
              <w:t>(proyectados acumulados al mes de </w:t>
            </w:r>
            <w:r>
              <w:rPr>
                <w:b/>
                <w:color w:val="FFFFFF"/>
                <w:spacing w:val="-2"/>
                <w:sz w:val="18"/>
              </w:rPr>
              <w:t>diciembre/reales </w:t>
            </w:r>
            <w:r>
              <w:rPr>
                <w:b/>
                <w:color w:val="FFFFFF"/>
                <w:sz w:val="18"/>
              </w:rPr>
              <w:t>acumulados al mes de</w:t>
            </w:r>
          </w:p>
          <w:p>
            <w:pPr>
              <w:pStyle w:val="TableParagraph"/>
              <w:spacing w:line="190" w:lineRule="exact"/>
              <w:ind w:left="105" w:right="105"/>
              <w:jc w:val="center"/>
              <w:rPr>
                <w:b/>
                <w:sz w:val="18"/>
              </w:rPr>
            </w:pPr>
            <w:r>
              <w:rPr>
                <w:b/>
                <w:color w:val="FFFFFF"/>
                <w:spacing w:val="-2"/>
                <w:sz w:val="18"/>
              </w:rPr>
              <w:t>diciembre</w:t>
            </w:r>
          </w:p>
        </w:tc>
      </w:tr>
      <w:tr>
        <w:trPr>
          <w:trHeight w:val="204" w:hRule="atLeast"/>
        </w:trPr>
        <w:tc>
          <w:tcPr>
            <w:tcW w:w="3430" w:type="dxa"/>
            <w:shd w:val="clear" w:color="auto" w:fill="0E233D"/>
          </w:tcPr>
          <w:p>
            <w:pPr>
              <w:pStyle w:val="TableParagraph"/>
              <w:rPr>
                <w:rFonts w:ascii="Times New Roman"/>
                <w:sz w:val="14"/>
              </w:rPr>
            </w:pPr>
          </w:p>
        </w:tc>
        <w:tc>
          <w:tcPr>
            <w:tcW w:w="1700" w:type="dxa"/>
            <w:shd w:val="clear" w:color="auto" w:fill="0E233D"/>
          </w:tcPr>
          <w:p>
            <w:pPr>
              <w:pStyle w:val="TableParagraph"/>
              <w:rPr>
                <w:rFonts w:ascii="Times New Roman"/>
                <w:sz w:val="14"/>
              </w:rPr>
            </w:pPr>
          </w:p>
        </w:tc>
        <w:tc>
          <w:tcPr>
            <w:tcW w:w="1701" w:type="dxa"/>
            <w:shd w:val="clear" w:color="auto" w:fill="0E233D"/>
          </w:tcPr>
          <w:p>
            <w:pPr>
              <w:pStyle w:val="TableParagraph"/>
              <w:rPr>
                <w:rFonts w:ascii="Times New Roman"/>
                <w:sz w:val="14"/>
              </w:rPr>
            </w:pPr>
          </w:p>
        </w:tc>
        <w:tc>
          <w:tcPr>
            <w:tcW w:w="1664" w:type="dxa"/>
            <w:shd w:val="clear" w:color="auto" w:fill="0E233D"/>
          </w:tcPr>
          <w:p>
            <w:pPr>
              <w:pStyle w:val="TableParagraph"/>
              <w:rPr>
                <w:rFonts w:ascii="Times New Roman"/>
                <w:sz w:val="14"/>
              </w:rPr>
            </w:pPr>
          </w:p>
        </w:tc>
        <w:tc>
          <w:tcPr>
            <w:tcW w:w="1459" w:type="dxa"/>
            <w:shd w:val="clear" w:color="auto" w:fill="0E233D"/>
          </w:tcPr>
          <w:p>
            <w:pPr>
              <w:pStyle w:val="TableParagraph"/>
              <w:spacing w:line="184" w:lineRule="exact"/>
              <w:ind w:left="288"/>
              <w:rPr>
                <w:b/>
                <w:sz w:val="18"/>
              </w:rPr>
            </w:pPr>
            <w:r>
              <w:rPr>
                <w:b/>
                <w:color w:val="FFFFFF"/>
                <w:spacing w:val="-2"/>
                <w:sz w:val="18"/>
              </w:rPr>
              <w:t>Absoluta</w:t>
            </w:r>
          </w:p>
        </w:tc>
        <w:tc>
          <w:tcPr>
            <w:tcW w:w="1150" w:type="dxa"/>
            <w:shd w:val="clear" w:color="auto" w:fill="0E233D"/>
          </w:tcPr>
          <w:p>
            <w:pPr>
              <w:pStyle w:val="TableParagraph"/>
              <w:spacing w:line="184" w:lineRule="exact"/>
              <w:ind w:right="108"/>
              <w:jc w:val="center"/>
              <w:rPr>
                <w:b/>
                <w:sz w:val="18"/>
              </w:rPr>
            </w:pPr>
            <w:r>
              <w:rPr>
                <w:b/>
                <w:color w:val="FFFFFF"/>
                <w:spacing w:val="-2"/>
                <w:sz w:val="18"/>
              </w:rPr>
              <w:t>Relativa</w:t>
            </w:r>
          </w:p>
        </w:tc>
      </w:tr>
      <w:tr>
        <w:trPr>
          <w:trHeight w:val="256" w:hRule="atLeast"/>
        </w:trPr>
        <w:tc>
          <w:tcPr>
            <w:tcW w:w="3430" w:type="dxa"/>
          </w:tcPr>
          <w:p>
            <w:pPr>
              <w:pStyle w:val="TableParagraph"/>
              <w:spacing w:line="199" w:lineRule="exact" w:before="37"/>
              <w:ind w:left="69"/>
              <w:rPr>
                <w:b/>
                <w:sz w:val="18"/>
              </w:rPr>
            </w:pPr>
            <w:r>
              <w:rPr>
                <w:b/>
                <w:sz w:val="18"/>
              </w:rPr>
              <w:t>Recursos</w:t>
            </w:r>
            <w:r>
              <w:rPr>
                <w:b/>
                <w:spacing w:val="-5"/>
                <w:sz w:val="18"/>
              </w:rPr>
              <w:t> </w:t>
            </w:r>
            <w:r>
              <w:rPr>
                <w:b/>
                <w:spacing w:val="-2"/>
                <w:sz w:val="18"/>
              </w:rPr>
              <w:t>libres/propios</w:t>
            </w:r>
          </w:p>
        </w:tc>
        <w:tc>
          <w:tcPr>
            <w:tcW w:w="1700" w:type="dxa"/>
          </w:tcPr>
          <w:p>
            <w:pPr>
              <w:pStyle w:val="TableParagraph"/>
              <w:spacing w:line="199" w:lineRule="exact" w:before="37"/>
              <w:ind w:right="79"/>
              <w:jc w:val="right"/>
              <w:rPr>
                <w:b/>
                <w:sz w:val="18"/>
              </w:rPr>
            </w:pPr>
            <w:r>
              <w:rPr>
                <w:b/>
                <w:spacing w:val="-2"/>
                <w:sz w:val="18"/>
              </w:rPr>
              <w:t>67,154,873.82</w:t>
            </w:r>
          </w:p>
        </w:tc>
        <w:tc>
          <w:tcPr>
            <w:tcW w:w="1701" w:type="dxa"/>
          </w:tcPr>
          <w:p>
            <w:pPr>
              <w:pStyle w:val="TableParagraph"/>
              <w:spacing w:line="199" w:lineRule="exact" w:before="37"/>
              <w:ind w:right="69"/>
              <w:jc w:val="right"/>
              <w:rPr>
                <w:b/>
                <w:sz w:val="18"/>
              </w:rPr>
            </w:pPr>
            <w:r>
              <w:rPr>
                <w:b/>
                <w:spacing w:val="-2"/>
                <w:sz w:val="18"/>
              </w:rPr>
              <w:t>67,154,873.82</w:t>
            </w:r>
          </w:p>
        </w:tc>
        <w:tc>
          <w:tcPr>
            <w:tcW w:w="1664" w:type="dxa"/>
          </w:tcPr>
          <w:p>
            <w:pPr>
              <w:pStyle w:val="TableParagraph"/>
              <w:spacing w:line="199" w:lineRule="exact" w:before="37"/>
              <w:ind w:right="69"/>
              <w:jc w:val="right"/>
              <w:rPr>
                <w:b/>
                <w:sz w:val="18"/>
              </w:rPr>
            </w:pPr>
            <w:r>
              <w:rPr>
                <w:b/>
                <w:spacing w:val="-2"/>
                <w:sz w:val="18"/>
              </w:rPr>
              <w:t>67,505,526.47</w:t>
            </w:r>
          </w:p>
        </w:tc>
        <w:tc>
          <w:tcPr>
            <w:tcW w:w="1459" w:type="dxa"/>
          </w:tcPr>
          <w:p>
            <w:pPr>
              <w:pStyle w:val="TableParagraph"/>
              <w:spacing w:line="199" w:lineRule="exact" w:before="37"/>
              <w:ind w:right="173"/>
              <w:jc w:val="right"/>
              <w:rPr>
                <w:b/>
                <w:sz w:val="18"/>
              </w:rPr>
            </w:pPr>
            <w:r>
              <w:rPr>
                <w:b/>
                <w:spacing w:val="-2"/>
                <w:sz w:val="18"/>
              </w:rPr>
              <w:t>350,652.65</w:t>
            </w:r>
          </w:p>
        </w:tc>
        <w:tc>
          <w:tcPr>
            <w:tcW w:w="1150" w:type="dxa"/>
          </w:tcPr>
          <w:p>
            <w:pPr>
              <w:pStyle w:val="TableParagraph"/>
              <w:spacing w:line="199" w:lineRule="exact" w:before="37"/>
              <w:ind w:left="2" w:right="108"/>
              <w:jc w:val="center"/>
              <w:rPr>
                <w:b/>
                <w:sz w:val="18"/>
              </w:rPr>
            </w:pPr>
            <w:r>
              <w:rPr>
                <w:b/>
                <w:spacing w:val="-4"/>
                <w:sz w:val="18"/>
              </w:rPr>
              <w:t>0.52%</w:t>
            </w:r>
          </w:p>
        </w:tc>
      </w:tr>
      <w:tr>
        <w:trPr>
          <w:trHeight w:val="225" w:hRule="atLeast"/>
        </w:trPr>
        <w:tc>
          <w:tcPr>
            <w:tcW w:w="3430" w:type="dxa"/>
          </w:tcPr>
          <w:p>
            <w:pPr>
              <w:pStyle w:val="TableParagraph"/>
              <w:spacing w:line="199" w:lineRule="exact" w:before="6"/>
              <w:ind w:left="69"/>
              <w:rPr>
                <w:sz w:val="18"/>
              </w:rPr>
            </w:pPr>
            <w:r>
              <w:rPr>
                <w:spacing w:val="-2"/>
                <w:sz w:val="18"/>
              </w:rPr>
              <w:t>Propios</w:t>
            </w:r>
          </w:p>
        </w:tc>
        <w:tc>
          <w:tcPr>
            <w:tcW w:w="1700" w:type="dxa"/>
          </w:tcPr>
          <w:p>
            <w:pPr>
              <w:pStyle w:val="TableParagraph"/>
              <w:spacing w:line="199" w:lineRule="exact" w:before="6"/>
              <w:ind w:right="79"/>
              <w:jc w:val="right"/>
              <w:rPr>
                <w:sz w:val="18"/>
              </w:rPr>
            </w:pPr>
            <w:r>
              <w:rPr>
                <w:spacing w:val="-2"/>
                <w:sz w:val="18"/>
              </w:rPr>
              <w:t>67,154,873.82</w:t>
            </w:r>
          </w:p>
        </w:tc>
        <w:tc>
          <w:tcPr>
            <w:tcW w:w="1701" w:type="dxa"/>
          </w:tcPr>
          <w:p>
            <w:pPr>
              <w:pStyle w:val="TableParagraph"/>
              <w:spacing w:line="199" w:lineRule="exact" w:before="6"/>
              <w:ind w:right="69"/>
              <w:jc w:val="right"/>
              <w:rPr>
                <w:sz w:val="18"/>
              </w:rPr>
            </w:pPr>
            <w:r>
              <w:rPr>
                <w:spacing w:val="-2"/>
                <w:sz w:val="18"/>
              </w:rPr>
              <w:t>67,154,873.82</w:t>
            </w:r>
          </w:p>
        </w:tc>
        <w:tc>
          <w:tcPr>
            <w:tcW w:w="1664" w:type="dxa"/>
          </w:tcPr>
          <w:p>
            <w:pPr>
              <w:pStyle w:val="TableParagraph"/>
              <w:spacing w:line="199" w:lineRule="exact" w:before="6"/>
              <w:ind w:right="69"/>
              <w:jc w:val="right"/>
              <w:rPr>
                <w:sz w:val="18"/>
              </w:rPr>
            </w:pPr>
            <w:r>
              <w:rPr>
                <w:spacing w:val="-2"/>
                <w:sz w:val="18"/>
              </w:rPr>
              <w:t>67,505,526.47</w:t>
            </w:r>
          </w:p>
        </w:tc>
        <w:tc>
          <w:tcPr>
            <w:tcW w:w="1459" w:type="dxa"/>
          </w:tcPr>
          <w:p>
            <w:pPr>
              <w:pStyle w:val="TableParagraph"/>
              <w:spacing w:line="199" w:lineRule="exact" w:before="6"/>
              <w:ind w:right="173"/>
              <w:jc w:val="right"/>
              <w:rPr>
                <w:sz w:val="18"/>
              </w:rPr>
            </w:pPr>
            <w:r>
              <w:rPr>
                <w:spacing w:val="-2"/>
                <w:sz w:val="18"/>
              </w:rPr>
              <w:t>350,652.65</w:t>
            </w:r>
          </w:p>
        </w:tc>
        <w:tc>
          <w:tcPr>
            <w:tcW w:w="1150" w:type="dxa"/>
          </w:tcPr>
          <w:p>
            <w:pPr>
              <w:pStyle w:val="TableParagraph"/>
              <w:spacing w:line="199" w:lineRule="exact" w:before="6"/>
              <w:ind w:left="2" w:right="108"/>
              <w:jc w:val="center"/>
              <w:rPr>
                <w:sz w:val="18"/>
              </w:rPr>
            </w:pPr>
            <w:r>
              <w:rPr>
                <w:spacing w:val="-4"/>
                <w:sz w:val="18"/>
              </w:rPr>
              <w:t>0.52%</w:t>
            </w:r>
          </w:p>
        </w:tc>
      </w:tr>
      <w:tr>
        <w:trPr>
          <w:trHeight w:val="225" w:hRule="atLeast"/>
        </w:trPr>
        <w:tc>
          <w:tcPr>
            <w:tcW w:w="3430" w:type="dxa"/>
          </w:tcPr>
          <w:p>
            <w:pPr>
              <w:pStyle w:val="TableParagraph"/>
              <w:spacing w:line="199" w:lineRule="exact" w:before="6"/>
              <w:ind w:left="69"/>
              <w:rPr>
                <w:b/>
                <w:sz w:val="18"/>
              </w:rPr>
            </w:pPr>
            <w:r>
              <w:rPr>
                <w:b/>
                <w:sz w:val="18"/>
              </w:rPr>
              <w:t>Recursos</w:t>
            </w:r>
            <w:r>
              <w:rPr>
                <w:b/>
                <w:spacing w:val="-5"/>
                <w:sz w:val="18"/>
              </w:rPr>
              <w:t> </w:t>
            </w:r>
            <w:r>
              <w:rPr>
                <w:b/>
                <w:spacing w:val="-2"/>
                <w:sz w:val="18"/>
              </w:rPr>
              <w:t>específicos</w:t>
            </w:r>
          </w:p>
        </w:tc>
        <w:tc>
          <w:tcPr>
            <w:tcW w:w="1700" w:type="dxa"/>
          </w:tcPr>
          <w:p>
            <w:pPr>
              <w:pStyle w:val="TableParagraph"/>
              <w:spacing w:line="199" w:lineRule="exact" w:before="6"/>
              <w:ind w:right="79"/>
              <w:jc w:val="right"/>
              <w:rPr>
                <w:b/>
                <w:sz w:val="18"/>
              </w:rPr>
            </w:pPr>
            <w:r>
              <w:rPr>
                <w:b/>
                <w:spacing w:val="-2"/>
                <w:sz w:val="18"/>
              </w:rPr>
              <w:t>229,640,881.06</w:t>
            </w:r>
          </w:p>
        </w:tc>
        <w:tc>
          <w:tcPr>
            <w:tcW w:w="1701" w:type="dxa"/>
          </w:tcPr>
          <w:p>
            <w:pPr>
              <w:pStyle w:val="TableParagraph"/>
              <w:spacing w:line="199" w:lineRule="exact" w:before="6"/>
              <w:ind w:right="69"/>
              <w:jc w:val="right"/>
              <w:rPr>
                <w:b/>
                <w:sz w:val="18"/>
              </w:rPr>
            </w:pPr>
            <w:r>
              <w:rPr>
                <w:b/>
                <w:spacing w:val="-2"/>
                <w:sz w:val="18"/>
              </w:rPr>
              <w:t>229,640,881.06</w:t>
            </w:r>
          </w:p>
        </w:tc>
        <w:tc>
          <w:tcPr>
            <w:tcW w:w="1664" w:type="dxa"/>
          </w:tcPr>
          <w:p>
            <w:pPr>
              <w:pStyle w:val="TableParagraph"/>
              <w:spacing w:line="199" w:lineRule="exact" w:before="6"/>
              <w:ind w:right="69"/>
              <w:jc w:val="right"/>
              <w:rPr>
                <w:b/>
                <w:sz w:val="18"/>
              </w:rPr>
            </w:pPr>
            <w:r>
              <w:rPr>
                <w:b/>
                <w:spacing w:val="-2"/>
                <w:sz w:val="18"/>
              </w:rPr>
              <w:t>219,118,867.05</w:t>
            </w:r>
          </w:p>
        </w:tc>
        <w:tc>
          <w:tcPr>
            <w:tcW w:w="1459" w:type="dxa"/>
          </w:tcPr>
          <w:p>
            <w:pPr>
              <w:pStyle w:val="TableParagraph"/>
              <w:spacing w:line="199" w:lineRule="exact" w:before="6"/>
              <w:ind w:right="174"/>
              <w:jc w:val="right"/>
              <w:rPr>
                <w:b/>
                <w:sz w:val="18"/>
              </w:rPr>
            </w:pPr>
            <w:r>
              <w:rPr>
                <w:b/>
                <w:sz w:val="18"/>
              </w:rPr>
              <w:t>-</w:t>
            </w:r>
            <w:r>
              <w:rPr>
                <w:b/>
                <w:spacing w:val="-2"/>
                <w:sz w:val="18"/>
              </w:rPr>
              <w:t>10,522,014.01</w:t>
            </w:r>
          </w:p>
        </w:tc>
        <w:tc>
          <w:tcPr>
            <w:tcW w:w="1150" w:type="dxa"/>
          </w:tcPr>
          <w:p>
            <w:pPr>
              <w:pStyle w:val="TableParagraph"/>
              <w:spacing w:line="199" w:lineRule="exact" w:before="6"/>
              <w:ind w:right="108"/>
              <w:jc w:val="center"/>
              <w:rPr>
                <w:b/>
                <w:sz w:val="18"/>
              </w:rPr>
            </w:pPr>
            <w:r>
              <w:rPr>
                <w:b/>
                <w:sz w:val="18"/>
              </w:rPr>
              <w:t>-</w:t>
            </w:r>
            <w:r>
              <w:rPr>
                <w:b/>
                <w:spacing w:val="-4"/>
                <w:sz w:val="18"/>
              </w:rPr>
              <w:t>4.58%</w:t>
            </w:r>
          </w:p>
        </w:tc>
      </w:tr>
      <w:tr>
        <w:trPr>
          <w:trHeight w:val="224" w:hRule="atLeast"/>
        </w:trPr>
        <w:tc>
          <w:tcPr>
            <w:tcW w:w="3430" w:type="dxa"/>
          </w:tcPr>
          <w:p>
            <w:pPr>
              <w:pStyle w:val="TableParagraph"/>
              <w:spacing w:line="198" w:lineRule="exact" w:before="6"/>
              <w:ind w:left="69"/>
              <w:rPr>
                <w:b/>
                <w:sz w:val="18"/>
              </w:rPr>
            </w:pPr>
            <w:r>
              <w:rPr>
                <w:b/>
                <w:spacing w:val="-2"/>
                <w:sz w:val="18"/>
              </w:rPr>
              <w:t>Fodesaf</w:t>
            </w:r>
          </w:p>
        </w:tc>
        <w:tc>
          <w:tcPr>
            <w:tcW w:w="1700" w:type="dxa"/>
          </w:tcPr>
          <w:p>
            <w:pPr>
              <w:pStyle w:val="TableParagraph"/>
              <w:spacing w:line="198" w:lineRule="exact" w:before="6"/>
              <w:ind w:right="79"/>
              <w:jc w:val="right"/>
              <w:rPr>
                <w:b/>
                <w:sz w:val="18"/>
              </w:rPr>
            </w:pPr>
            <w:r>
              <w:rPr>
                <w:b/>
                <w:spacing w:val="-2"/>
                <w:sz w:val="18"/>
              </w:rPr>
              <w:t>71,428,851.42</w:t>
            </w:r>
          </w:p>
        </w:tc>
        <w:tc>
          <w:tcPr>
            <w:tcW w:w="1701" w:type="dxa"/>
          </w:tcPr>
          <w:p>
            <w:pPr>
              <w:pStyle w:val="TableParagraph"/>
              <w:spacing w:line="198" w:lineRule="exact" w:before="6"/>
              <w:ind w:right="69"/>
              <w:jc w:val="right"/>
              <w:rPr>
                <w:b/>
                <w:sz w:val="18"/>
              </w:rPr>
            </w:pPr>
            <w:r>
              <w:rPr>
                <w:b/>
                <w:spacing w:val="-2"/>
                <w:sz w:val="18"/>
              </w:rPr>
              <w:t>71,428,851.42</w:t>
            </w:r>
          </w:p>
        </w:tc>
        <w:tc>
          <w:tcPr>
            <w:tcW w:w="1664" w:type="dxa"/>
          </w:tcPr>
          <w:p>
            <w:pPr>
              <w:pStyle w:val="TableParagraph"/>
              <w:spacing w:line="198" w:lineRule="exact" w:before="6"/>
              <w:ind w:right="69"/>
              <w:jc w:val="right"/>
              <w:rPr>
                <w:b/>
                <w:sz w:val="18"/>
              </w:rPr>
            </w:pPr>
            <w:r>
              <w:rPr>
                <w:b/>
                <w:spacing w:val="-2"/>
                <w:sz w:val="18"/>
              </w:rPr>
              <w:t>71,440,367.29</w:t>
            </w:r>
          </w:p>
        </w:tc>
        <w:tc>
          <w:tcPr>
            <w:tcW w:w="1459" w:type="dxa"/>
          </w:tcPr>
          <w:p>
            <w:pPr>
              <w:pStyle w:val="TableParagraph"/>
              <w:spacing w:line="198" w:lineRule="exact" w:before="6"/>
              <w:ind w:right="174"/>
              <w:jc w:val="right"/>
              <w:rPr>
                <w:b/>
                <w:sz w:val="18"/>
              </w:rPr>
            </w:pPr>
            <w:r>
              <w:rPr>
                <w:b/>
                <w:spacing w:val="-2"/>
                <w:sz w:val="18"/>
              </w:rPr>
              <w:t>11,515.87</w:t>
            </w:r>
          </w:p>
        </w:tc>
        <w:tc>
          <w:tcPr>
            <w:tcW w:w="1150" w:type="dxa"/>
          </w:tcPr>
          <w:p>
            <w:pPr>
              <w:pStyle w:val="TableParagraph"/>
              <w:spacing w:line="198" w:lineRule="exact" w:before="6"/>
              <w:ind w:left="2" w:right="108"/>
              <w:jc w:val="center"/>
              <w:rPr>
                <w:b/>
                <w:sz w:val="18"/>
              </w:rPr>
            </w:pPr>
            <w:r>
              <w:rPr>
                <w:b/>
                <w:spacing w:val="-4"/>
                <w:sz w:val="18"/>
              </w:rPr>
              <w:t>0.02%</w:t>
            </w:r>
          </w:p>
        </w:tc>
      </w:tr>
      <w:tr>
        <w:trPr>
          <w:trHeight w:val="224" w:hRule="atLeast"/>
        </w:trPr>
        <w:tc>
          <w:tcPr>
            <w:tcW w:w="3430" w:type="dxa"/>
          </w:tcPr>
          <w:p>
            <w:pPr>
              <w:pStyle w:val="TableParagraph"/>
              <w:spacing w:line="199" w:lineRule="exact" w:before="5"/>
              <w:ind w:left="69"/>
              <w:rPr>
                <w:b/>
                <w:sz w:val="18"/>
              </w:rPr>
            </w:pPr>
            <w:r>
              <w:rPr>
                <w:b/>
                <w:sz w:val="18"/>
              </w:rPr>
              <w:t>Red de</w:t>
            </w:r>
            <w:r>
              <w:rPr>
                <w:b/>
                <w:spacing w:val="1"/>
                <w:sz w:val="18"/>
              </w:rPr>
              <w:t> </w:t>
            </w:r>
            <w:r>
              <w:rPr>
                <w:b/>
                <w:spacing w:val="-2"/>
                <w:sz w:val="18"/>
              </w:rPr>
              <w:t>Cuido</w:t>
            </w:r>
          </w:p>
        </w:tc>
        <w:tc>
          <w:tcPr>
            <w:tcW w:w="1700" w:type="dxa"/>
          </w:tcPr>
          <w:p>
            <w:pPr>
              <w:pStyle w:val="TableParagraph"/>
              <w:spacing w:line="199" w:lineRule="exact" w:before="5"/>
              <w:ind w:right="79"/>
              <w:jc w:val="right"/>
              <w:rPr>
                <w:b/>
                <w:sz w:val="18"/>
              </w:rPr>
            </w:pPr>
            <w:r>
              <w:rPr>
                <w:b/>
                <w:spacing w:val="-2"/>
                <w:sz w:val="18"/>
              </w:rPr>
              <w:t>32,611,477.61</w:t>
            </w:r>
          </w:p>
        </w:tc>
        <w:tc>
          <w:tcPr>
            <w:tcW w:w="1701" w:type="dxa"/>
          </w:tcPr>
          <w:p>
            <w:pPr>
              <w:pStyle w:val="TableParagraph"/>
              <w:spacing w:line="199" w:lineRule="exact" w:before="5"/>
              <w:ind w:right="69"/>
              <w:jc w:val="right"/>
              <w:rPr>
                <w:b/>
                <w:sz w:val="18"/>
              </w:rPr>
            </w:pPr>
            <w:r>
              <w:rPr>
                <w:b/>
                <w:spacing w:val="-2"/>
                <w:sz w:val="18"/>
              </w:rPr>
              <w:t>32,611,477.61</w:t>
            </w:r>
          </w:p>
        </w:tc>
        <w:tc>
          <w:tcPr>
            <w:tcW w:w="1664" w:type="dxa"/>
          </w:tcPr>
          <w:p>
            <w:pPr>
              <w:pStyle w:val="TableParagraph"/>
              <w:spacing w:line="199" w:lineRule="exact" w:before="5"/>
              <w:ind w:right="69"/>
              <w:jc w:val="right"/>
              <w:rPr>
                <w:b/>
                <w:sz w:val="18"/>
              </w:rPr>
            </w:pPr>
            <w:r>
              <w:rPr>
                <w:b/>
                <w:spacing w:val="-2"/>
                <w:sz w:val="18"/>
              </w:rPr>
              <w:t>32,111,477.61</w:t>
            </w:r>
          </w:p>
        </w:tc>
        <w:tc>
          <w:tcPr>
            <w:tcW w:w="1459" w:type="dxa"/>
          </w:tcPr>
          <w:p>
            <w:pPr>
              <w:pStyle w:val="TableParagraph"/>
              <w:spacing w:line="199" w:lineRule="exact" w:before="5"/>
              <w:ind w:right="173"/>
              <w:jc w:val="right"/>
              <w:rPr>
                <w:b/>
                <w:sz w:val="18"/>
              </w:rPr>
            </w:pPr>
            <w:r>
              <w:rPr>
                <w:b/>
                <w:sz w:val="18"/>
              </w:rPr>
              <w:t>-</w:t>
            </w:r>
            <w:r>
              <w:rPr>
                <w:b/>
                <w:spacing w:val="-2"/>
                <w:sz w:val="18"/>
              </w:rPr>
              <w:t>500,000.00</w:t>
            </w:r>
          </w:p>
        </w:tc>
        <w:tc>
          <w:tcPr>
            <w:tcW w:w="1150" w:type="dxa"/>
          </w:tcPr>
          <w:p>
            <w:pPr>
              <w:pStyle w:val="TableParagraph"/>
              <w:spacing w:line="199" w:lineRule="exact" w:before="5"/>
              <w:ind w:right="108"/>
              <w:jc w:val="center"/>
              <w:rPr>
                <w:b/>
                <w:sz w:val="18"/>
              </w:rPr>
            </w:pPr>
            <w:r>
              <w:rPr>
                <w:b/>
                <w:sz w:val="18"/>
              </w:rPr>
              <w:t>-</w:t>
            </w:r>
            <w:r>
              <w:rPr>
                <w:b/>
                <w:spacing w:val="-4"/>
                <w:sz w:val="18"/>
              </w:rPr>
              <w:t>1.53%</w:t>
            </w:r>
          </w:p>
        </w:tc>
      </w:tr>
      <w:tr>
        <w:trPr>
          <w:trHeight w:val="225" w:hRule="atLeast"/>
        </w:trPr>
        <w:tc>
          <w:tcPr>
            <w:tcW w:w="3430" w:type="dxa"/>
          </w:tcPr>
          <w:p>
            <w:pPr>
              <w:pStyle w:val="TableParagraph"/>
              <w:spacing w:line="199" w:lineRule="exact" w:before="6"/>
              <w:ind w:left="69"/>
              <w:rPr>
                <w:b/>
                <w:sz w:val="18"/>
              </w:rPr>
            </w:pPr>
            <w:r>
              <w:rPr>
                <w:b/>
                <w:sz w:val="18"/>
              </w:rPr>
              <w:t>Fodesaf</w:t>
            </w:r>
            <w:r>
              <w:rPr>
                <w:b/>
                <w:spacing w:val="-2"/>
                <w:sz w:val="18"/>
              </w:rPr>
              <w:t> Avancemos</w:t>
            </w:r>
          </w:p>
        </w:tc>
        <w:tc>
          <w:tcPr>
            <w:tcW w:w="1700" w:type="dxa"/>
          </w:tcPr>
          <w:p>
            <w:pPr>
              <w:pStyle w:val="TableParagraph"/>
              <w:spacing w:line="199" w:lineRule="exact" w:before="6"/>
              <w:ind w:right="79"/>
              <w:jc w:val="right"/>
              <w:rPr>
                <w:b/>
                <w:sz w:val="18"/>
              </w:rPr>
            </w:pPr>
            <w:r>
              <w:rPr>
                <w:b/>
                <w:spacing w:val="-2"/>
                <w:sz w:val="18"/>
              </w:rPr>
              <w:t>88,270,757.72</w:t>
            </w:r>
          </w:p>
        </w:tc>
        <w:tc>
          <w:tcPr>
            <w:tcW w:w="1701" w:type="dxa"/>
          </w:tcPr>
          <w:p>
            <w:pPr>
              <w:pStyle w:val="TableParagraph"/>
              <w:spacing w:line="199" w:lineRule="exact" w:before="6"/>
              <w:ind w:right="69"/>
              <w:jc w:val="right"/>
              <w:rPr>
                <w:b/>
                <w:sz w:val="18"/>
              </w:rPr>
            </w:pPr>
            <w:r>
              <w:rPr>
                <w:b/>
                <w:spacing w:val="-2"/>
                <w:sz w:val="18"/>
              </w:rPr>
              <w:t>88,270,757.72</w:t>
            </w:r>
          </w:p>
        </w:tc>
        <w:tc>
          <w:tcPr>
            <w:tcW w:w="1664" w:type="dxa"/>
          </w:tcPr>
          <w:p>
            <w:pPr>
              <w:pStyle w:val="TableParagraph"/>
              <w:spacing w:line="199" w:lineRule="exact" w:before="6"/>
              <w:ind w:right="69"/>
              <w:jc w:val="right"/>
              <w:rPr>
                <w:b/>
                <w:sz w:val="18"/>
              </w:rPr>
            </w:pPr>
            <w:r>
              <w:rPr>
                <w:b/>
                <w:spacing w:val="-2"/>
                <w:sz w:val="18"/>
              </w:rPr>
              <w:t>80,515,078.13</w:t>
            </w:r>
          </w:p>
        </w:tc>
        <w:tc>
          <w:tcPr>
            <w:tcW w:w="1459" w:type="dxa"/>
          </w:tcPr>
          <w:p>
            <w:pPr>
              <w:pStyle w:val="TableParagraph"/>
              <w:spacing w:line="199" w:lineRule="exact" w:before="6"/>
              <w:ind w:right="174"/>
              <w:jc w:val="right"/>
              <w:rPr>
                <w:b/>
                <w:sz w:val="18"/>
              </w:rPr>
            </w:pPr>
            <w:r>
              <w:rPr>
                <w:b/>
                <w:sz w:val="18"/>
              </w:rPr>
              <w:t>-</w:t>
            </w:r>
            <w:r>
              <w:rPr>
                <w:b/>
                <w:spacing w:val="-2"/>
                <w:sz w:val="18"/>
              </w:rPr>
              <w:t>7,755,679.59</w:t>
            </w:r>
          </w:p>
        </w:tc>
        <w:tc>
          <w:tcPr>
            <w:tcW w:w="1150" w:type="dxa"/>
          </w:tcPr>
          <w:p>
            <w:pPr>
              <w:pStyle w:val="TableParagraph"/>
              <w:spacing w:line="199" w:lineRule="exact" w:before="6"/>
              <w:ind w:right="108"/>
              <w:jc w:val="center"/>
              <w:rPr>
                <w:b/>
                <w:sz w:val="18"/>
              </w:rPr>
            </w:pPr>
            <w:r>
              <w:rPr>
                <w:b/>
                <w:sz w:val="18"/>
              </w:rPr>
              <w:t>-</w:t>
            </w:r>
            <w:r>
              <w:rPr>
                <w:b/>
                <w:spacing w:val="-4"/>
                <w:sz w:val="18"/>
              </w:rPr>
              <w:t>8.79%</w:t>
            </w:r>
          </w:p>
        </w:tc>
      </w:tr>
      <w:tr>
        <w:trPr>
          <w:trHeight w:val="225" w:hRule="atLeast"/>
        </w:trPr>
        <w:tc>
          <w:tcPr>
            <w:tcW w:w="3430" w:type="dxa"/>
          </w:tcPr>
          <w:p>
            <w:pPr>
              <w:pStyle w:val="TableParagraph"/>
              <w:spacing w:line="199" w:lineRule="exact" w:before="6"/>
              <w:ind w:left="69"/>
              <w:rPr>
                <w:b/>
                <w:sz w:val="18"/>
              </w:rPr>
            </w:pPr>
            <w:r>
              <w:rPr>
                <w:b/>
                <w:sz w:val="18"/>
              </w:rPr>
              <w:t>Fodesaf</w:t>
            </w:r>
            <w:r>
              <w:rPr>
                <w:b/>
                <w:spacing w:val="-3"/>
                <w:sz w:val="18"/>
              </w:rPr>
              <w:t> </w:t>
            </w:r>
            <w:r>
              <w:rPr>
                <w:b/>
                <w:sz w:val="18"/>
              </w:rPr>
              <w:t>Seguridad</w:t>
            </w:r>
            <w:r>
              <w:rPr>
                <w:b/>
                <w:spacing w:val="-1"/>
                <w:sz w:val="18"/>
              </w:rPr>
              <w:t> </w:t>
            </w:r>
            <w:r>
              <w:rPr>
                <w:b/>
                <w:spacing w:val="-2"/>
                <w:sz w:val="18"/>
              </w:rPr>
              <w:t>Alimentaria</w:t>
            </w:r>
          </w:p>
        </w:tc>
        <w:tc>
          <w:tcPr>
            <w:tcW w:w="1700" w:type="dxa"/>
          </w:tcPr>
          <w:p>
            <w:pPr>
              <w:pStyle w:val="TableParagraph"/>
              <w:spacing w:line="199" w:lineRule="exact" w:before="6"/>
              <w:ind w:right="79"/>
              <w:jc w:val="right"/>
              <w:rPr>
                <w:b/>
                <w:sz w:val="18"/>
              </w:rPr>
            </w:pPr>
            <w:r>
              <w:rPr>
                <w:b/>
                <w:spacing w:val="-2"/>
                <w:sz w:val="18"/>
              </w:rPr>
              <w:t>7,928,194.04</w:t>
            </w:r>
          </w:p>
        </w:tc>
        <w:tc>
          <w:tcPr>
            <w:tcW w:w="1701" w:type="dxa"/>
          </w:tcPr>
          <w:p>
            <w:pPr>
              <w:pStyle w:val="TableParagraph"/>
              <w:spacing w:line="199" w:lineRule="exact" w:before="6"/>
              <w:ind w:right="69"/>
              <w:jc w:val="right"/>
              <w:rPr>
                <w:b/>
                <w:sz w:val="18"/>
              </w:rPr>
            </w:pPr>
            <w:r>
              <w:rPr>
                <w:b/>
                <w:spacing w:val="-2"/>
                <w:sz w:val="18"/>
              </w:rPr>
              <w:t>7,928,194.04</w:t>
            </w:r>
          </w:p>
        </w:tc>
        <w:tc>
          <w:tcPr>
            <w:tcW w:w="1664" w:type="dxa"/>
          </w:tcPr>
          <w:p>
            <w:pPr>
              <w:pStyle w:val="TableParagraph"/>
              <w:spacing w:line="199" w:lineRule="exact" w:before="6"/>
              <w:ind w:right="69"/>
              <w:jc w:val="right"/>
              <w:rPr>
                <w:b/>
                <w:sz w:val="18"/>
              </w:rPr>
            </w:pPr>
            <w:r>
              <w:rPr>
                <w:b/>
                <w:spacing w:val="-2"/>
                <w:sz w:val="18"/>
              </w:rPr>
              <w:t>7,928,194.04</w:t>
            </w:r>
          </w:p>
        </w:tc>
        <w:tc>
          <w:tcPr>
            <w:tcW w:w="1459" w:type="dxa"/>
          </w:tcPr>
          <w:p>
            <w:pPr>
              <w:pStyle w:val="TableParagraph"/>
              <w:rPr>
                <w:rFonts w:ascii="Times New Roman"/>
                <w:sz w:val="16"/>
              </w:rPr>
            </w:pPr>
          </w:p>
        </w:tc>
        <w:tc>
          <w:tcPr>
            <w:tcW w:w="1150" w:type="dxa"/>
          </w:tcPr>
          <w:p>
            <w:pPr>
              <w:pStyle w:val="TableParagraph"/>
              <w:spacing w:line="199" w:lineRule="exact" w:before="6"/>
              <w:ind w:left="2" w:right="108"/>
              <w:jc w:val="center"/>
              <w:rPr>
                <w:b/>
                <w:sz w:val="18"/>
              </w:rPr>
            </w:pPr>
            <w:r>
              <w:rPr>
                <w:b/>
                <w:spacing w:val="-4"/>
                <w:sz w:val="18"/>
              </w:rPr>
              <w:t>0.00%</w:t>
            </w:r>
          </w:p>
        </w:tc>
      </w:tr>
      <w:tr>
        <w:trPr>
          <w:trHeight w:val="224" w:hRule="atLeast"/>
        </w:trPr>
        <w:tc>
          <w:tcPr>
            <w:tcW w:w="3430" w:type="dxa"/>
          </w:tcPr>
          <w:p>
            <w:pPr>
              <w:pStyle w:val="TableParagraph"/>
              <w:spacing w:line="198" w:lineRule="exact" w:before="6"/>
              <w:ind w:left="69"/>
              <w:rPr>
                <w:b/>
                <w:sz w:val="18"/>
              </w:rPr>
            </w:pPr>
            <w:r>
              <w:rPr>
                <w:b/>
                <w:sz w:val="18"/>
              </w:rPr>
              <w:t>Gobierno</w:t>
            </w:r>
            <w:r>
              <w:rPr>
                <w:b/>
                <w:spacing w:val="-4"/>
                <w:sz w:val="18"/>
              </w:rPr>
              <w:t> </w:t>
            </w:r>
            <w:r>
              <w:rPr>
                <w:b/>
                <w:sz w:val="18"/>
              </w:rPr>
              <w:t>Central</w:t>
            </w:r>
            <w:r>
              <w:rPr>
                <w:b/>
                <w:spacing w:val="-6"/>
                <w:sz w:val="18"/>
              </w:rPr>
              <w:t> </w:t>
            </w:r>
            <w:r>
              <w:rPr>
                <w:b/>
                <w:sz w:val="18"/>
              </w:rPr>
              <w:t>(Avancemos</w:t>
            </w:r>
            <w:r>
              <w:rPr>
                <w:b/>
                <w:spacing w:val="-2"/>
                <w:sz w:val="18"/>
              </w:rPr>
              <w:t> </w:t>
            </w:r>
            <w:r>
              <w:rPr>
                <w:b/>
                <w:spacing w:val="-4"/>
                <w:sz w:val="18"/>
              </w:rPr>
              <w:t>MEP)</w:t>
            </w:r>
          </w:p>
        </w:tc>
        <w:tc>
          <w:tcPr>
            <w:tcW w:w="1700" w:type="dxa"/>
          </w:tcPr>
          <w:p>
            <w:pPr>
              <w:pStyle w:val="TableParagraph"/>
              <w:spacing w:line="198" w:lineRule="exact" w:before="6"/>
              <w:ind w:right="79"/>
              <w:jc w:val="right"/>
              <w:rPr>
                <w:b/>
                <w:sz w:val="18"/>
              </w:rPr>
            </w:pPr>
            <w:r>
              <w:rPr>
                <w:b/>
                <w:spacing w:val="-2"/>
                <w:sz w:val="18"/>
              </w:rPr>
              <w:t>2,985,328.17</w:t>
            </w:r>
          </w:p>
        </w:tc>
        <w:tc>
          <w:tcPr>
            <w:tcW w:w="1701" w:type="dxa"/>
          </w:tcPr>
          <w:p>
            <w:pPr>
              <w:pStyle w:val="TableParagraph"/>
              <w:spacing w:line="198" w:lineRule="exact" w:before="6"/>
              <w:ind w:right="69"/>
              <w:jc w:val="right"/>
              <w:rPr>
                <w:b/>
                <w:sz w:val="18"/>
              </w:rPr>
            </w:pPr>
            <w:r>
              <w:rPr>
                <w:b/>
                <w:spacing w:val="-2"/>
                <w:sz w:val="18"/>
              </w:rPr>
              <w:t>2,985,328.17</w:t>
            </w:r>
          </w:p>
        </w:tc>
        <w:tc>
          <w:tcPr>
            <w:tcW w:w="1664" w:type="dxa"/>
          </w:tcPr>
          <w:p>
            <w:pPr>
              <w:pStyle w:val="TableParagraph"/>
              <w:spacing w:line="198" w:lineRule="exact" w:before="6"/>
              <w:ind w:right="69"/>
              <w:jc w:val="right"/>
              <w:rPr>
                <w:b/>
                <w:sz w:val="18"/>
              </w:rPr>
            </w:pPr>
            <w:r>
              <w:rPr>
                <w:b/>
                <w:spacing w:val="-2"/>
                <w:sz w:val="18"/>
              </w:rPr>
              <w:t>2,985,328.16</w:t>
            </w:r>
          </w:p>
        </w:tc>
        <w:tc>
          <w:tcPr>
            <w:tcW w:w="1459" w:type="dxa"/>
          </w:tcPr>
          <w:p>
            <w:pPr>
              <w:pStyle w:val="TableParagraph"/>
              <w:rPr>
                <w:rFonts w:ascii="Times New Roman"/>
                <w:sz w:val="16"/>
              </w:rPr>
            </w:pPr>
          </w:p>
        </w:tc>
        <w:tc>
          <w:tcPr>
            <w:tcW w:w="1150" w:type="dxa"/>
          </w:tcPr>
          <w:p>
            <w:pPr>
              <w:pStyle w:val="TableParagraph"/>
              <w:spacing w:line="198" w:lineRule="exact" w:before="6"/>
              <w:ind w:left="2" w:right="108"/>
              <w:jc w:val="center"/>
              <w:rPr>
                <w:b/>
                <w:sz w:val="18"/>
              </w:rPr>
            </w:pPr>
            <w:r>
              <w:rPr>
                <w:b/>
                <w:spacing w:val="-4"/>
                <w:sz w:val="18"/>
              </w:rPr>
              <w:t>0.00%</w:t>
            </w:r>
          </w:p>
        </w:tc>
      </w:tr>
      <w:tr>
        <w:trPr>
          <w:trHeight w:val="224" w:hRule="atLeast"/>
        </w:trPr>
        <w:tc>
          <w:tcPr>
            <w:tcW w:w="3430" w:type="dxa"/>
          </w:tcPr>
          <w:p>
            <w:pPr>
              <w:pStyle w:val="TableParagraph"/>
              <w:spacing w:line="199" w:lineRule="exact" w:before="5"/>
              <w:ind w:left="69"/>
              <w:rPr>
                <w:b/>
                <w:sz w:val="18"/>
              </w:rPr>
            </w:pPr>
            <w:r>
              <w:rPr>
                <w:b/>
                <w:sz w:val="18"/>
              </w:rPr>
              <w:t>Gobierno</w:t>
            </w:r>
            <w:r>
              <w:rPr>
                <w:b/>
                <w:spacing w:val="-3"/>
                <w:sz w:val="18"/>
              </w:rPr>
              <w:t> </w:t>
            </w:r>
            <w:r>
              <w:rPr>
                <w:b/>
                <w:sz w:val="18"/>
              </w:rPr>
              <w:t>Central</w:t>
            </w:r>
            <w:r>
              <w:rPr>
                <w:b/>
                <w:spacing w:val="-4"/>
                <w:sz w:val="18"/>
              </w:rPr>
              <w:t> </w:t>
            </w:r>
            <w:r>
              <w:rPr>
                <w:b/>
                <w:spacing w:val="-2"/>
                <w:sz w:val="18"/>
              </w:rPr>
              <w:t>(Emergencias)</w:t>
            </w:r>
          </w:p>
        </w:tc>
        <w:tc>
          <w:tcPr>
            <w:tcW w:w="1700" w:type="dxa"/>
          </w:tcPr>
          <w:p>
            <w:pPr>
              <w:pStyle w:val="TableParagraph"/>
              <w:spacing w:line="199" w:lineRule="exact" w:before="5"/>
              <w:ind w:right="79"/>
              <w:jc w:val="right"/>
              <w:rPr>
                <w:b/>
                <w:sz w:val="18"/>
              </w:rPr>
            </w:pPr>
            <w:r>
              <w:rPr>
                <w:b/>
                <w:spacing w:val="-2"/>
                <w:sz w:val="18"/>
              </w:rPr>
              <w:t>17,065.07</w:t>
            </w:r>
          </w:p>
        </w:tc>
        <w:tc>
          <w:tcPr>
            <w:tcW w:w="1701" w:type="dxa"/>
          </w:tcPr>
          <w:p>
            <w:pPr>
              <w:pStyle w:val="TableParagraph"/>
              <w:spacing w:line="199" w:lineRule="exact" w:before="5"/>
              <w:ind w:right="68"/>
              <w:jc w:val="right"/>
              <w:rPr>
                <w:b/>
                <w:sz w:val="18"/>
              </w:rPr>
            </w:pPr>
            <w:r>
              <w:rPr>
                <w:b/>
                <w:spacing w:val="-2"/>
                <w:sz w:val="18"/>
              </w:rPr>
              <w:t>17,065.07</w:t>
            </w:r>
          </w:p>
        </w:tc>
        <w:tc>
          <w:tcPr>
            <w:tcW w:w="1664" w:type="dxa"/>
          </w:tcPr>
          <w:p>
            <w:pPr>
              <w:pStyle w:val="TableParagraph"/>
              <w:spacing w:line="199" w:lineRule="exact" w:before="5"/>
              <w:ind w:right="69"/>
              <w:jc w:val="right"/>
              <w:rPr>
                <w:b/>
                <w:sz w:val="18"/>
              </w:rPr>
            </w:pPr>
            <w:r>
              <w:rPr>
                <w:b/>
                <w:spacing w:val="-2"/>
                <w:sz w:val="18"/>
              </w:rPr>
              <w:t>17,065.07</w:t>
            </w:r>
          </w:p>
        </w:tc>
        <w:tc>
          <w:tcPr>
            <w:tcW w:w="1459" w:type="dxa"/>
          </w:tcPr>
          <w:p>
            <w:pPr>
              <w:pStyle w:val="TableParagraph"/>
              <w:rPr>
                <w:rFonts w:ascii="Times New Roman"/>
                <w:sz w:val="16"/>
              </w:rPr>
            </w:pPr>
          </w:p>
        </w:tc>
        <w:tc>
          <w:tcPr>
            <w:tcW w:w="1150" w:type="dxa"/>
          </w:tcPr>
          <w:p>
            <w:pPr>
              <w:pStyle w:val="TableParagraph"/>
              <w:spacing w:line="199" w:lineRule="exact" w:before="5"/>
              <w:ind w:left="2" w:right="108"/>
              <w:jc w:val="center"/>
              <w:rPr>
                <w:b/>
                <w:sz w:val="18"/>
              </w:rPr>
            </w:pPr>
            <w:r>
              <w:rPr>
                <w:b/>
                <w:spacing w:val="-4"/>
                <w:sz w:val="18"/>
              </w:rPr>
              <w:t>0.00%</w:t>
            </w:r>
          </w:p>
        </w:tc>
      </w:tr>
      <w:tr>
        <w:trPr>
          <w:trHeight w:val="232" w:hRule="atLeast"/>
        </w:trPr>
        <w:tc>
          <w:tcPr>
            <w:tcW w:w="3430" w:type="dxa"/>
          </w:tcPr>
          <w:p>
            <w:pPr>
              <w:pStyle w:val="TableParagraph"/>
              <w:spacing w:line="206" w:lineRule="exact" w:before="6"/>
              <w:ind w:left="69"/>
              <w:rPr>
                <w:b/>
                <w:sz w:val="18"/>
              </w:rPr>
            </w:pPr>
            <w:r>
              <w:rPr>
                <w:b/>
                <w:sz w:val="18"/>
              </w:rPr>
              <w:t>Superávit</w:t>
            </w:r>
            <w:r>
              <w:rPr>
                <w:b/>
                <w:spacing w:val="-4"/>
                <w:sz w:val="18"/>
              </w:rPr>
              <w:t> </w:t>
            </w:r>
            <w:r>
              <w:rPr>
                <w:b/>
                <w:sz w:val="18"/>
              </w:rPr>
              <w:t>(MEP-</w:t>
            </w:r>
            <w:r>
              <w:rPr>
                <w:b/>
                <w:spacing w:val="-2"/>
                <w:sz w:val="18"/>
              </w:rPr>
              <w:t>Avan)</w:t>
            </w:r>
          </w:p>
        </w:tc>
        <w:tc>
          <w:tcPr>
            <w:tcW w:w="1700" w:type="dxa"/>
          </w:tcPr>
          <w:p>
            <w:pPr>
              <w:pStyle w:val="TableParagraph"/>
              <w:spacing w:line="206" w:lineRule="exact" w:before="6"/>
              <w:ind w:right="79"/>
              <w:jc w:val="right"/>
              <w:rPr>
                <w:b/>
                <w:sz w:val="18"/>
              </w:rPr>
            </w:pPr>
            <w:r>
              <w:rPr>
                <w:b/>
                <w:spacing w:val="-2"/>
                <w:sz w:val="18"/>
              </w:rPr>
              <w:t>59,611.32</w:t>
            </w:r>
          </w:p>
        </w:tc>
        <w:tc>
          <w:tcPr>
            <w:tcW w:w="1701" w:type="dxa"/>
          </w:tcPr>
          <w:p>
            <w:pPr>
              <w:pStyle w:val="TableParagraph"/>
              <w:spacing w:line="206" w:lineRule="exact" w:before="6"/>
              <w:ind w:right="68"/>
              <w:jc w:val="right"/>
              <w:rPr>
                <w:b/>
                <w:sz w:val="18"/>
              </w:rPr>
            </w:pPr>
            <w:r>
              <w:rPr>
                <w:b/>
                <w:spacing w:val="-2"/>
                <w:sz w:val="18"/>
              </w:rPr>
              <w:t>59,611.32</w:t>
            </w:r>
          </w:p>
        </w:tc>
        <w:tc>
          <w:tcPr>
            <w:tcW w:w="1664" w:type="dxa"/>
          </w:tcPr>
          <w:p>
            <w:pPr>
              <w:pStyle w:val="TableParagraph"/>
              <w:spacing w:line="206" w:lineRule="exact" w:before="6"/>
              <w:ind w:right="69"/>
              <w:jc w:val="right"/>
              <w:rPr>
                <w:b/>
                <w:sz w:val="18"/>
              </w:rPr>
            </w:pPr>
            <w:r>
              <w:rPr>
                <w:b/>
                <w:spacing w:val="-2"/>
                <w:sz w:val="18"/>
              </w:rPr>
              <w:t>59,611.32</w:t>
            </w:r>
          </w:p>
        </w:tc>
        <w:tc>
          <w:tcPr>
            <w:tcW w:w="1459" w:type="dxa"/>
          </w:tcPr>
          <w:p>
            <w:pPr>
              <w:pStyle w:val="TableParagraph"/>
              <w:rPr>
                <w:rFonts w:ascii="Times New Roman"/>
                <w:sz w:val="16"/>
              </w:rPr>
            </w:pPr>
          </w:p>
        </w:tc>
        <w:tc>
          <w:tcPr>
            <w:tcW w:w="1150" w:type="dxa"/>
          </w:tcPr>
          <w:p>
            <w:pPr>
              <w:pStyle w:val="TableParagraph"/>
              <w:spacing w:line="206" w:lineRule="exact" w:before="6"/>
              <w:ind w:left="2" w:right="108"/>
              <w:jc w:val="center"/>
              <w:rPr>
                <w:b/>
                <w:sz w:val="18"/>
              </w:rPr>
            </w:pPr>
            <w:r>
              <w:rPr>
                <w:b/>
                <w:spacing w:val="-4"/>
                <w:sz w:val="18"/>
              </w:rPr>
              <w:t>0.00%</w:t>
            </w:r>
          </w:p>
        </w:tc>
      </w:tr>
      <w:tr>
        <w:trPr>
          <w:trHeight w:val="220" w:hRule="atLeast"/>
        </w:trPr>
        <w:tc>
          <w:tcPr>
            <w:tcW w:w="3430" w:type="dxa"/>
          </w:tcPr>
          <w:p>
            <w:pPr>
              <w:pStyle w:val="TableParagraph"/>
              <w:spacing w:line="187" w:lineRule="exact" w:before="13"/>
              <w:ind w:left="69"/>
              <w:rPr>
                <w:b/>
                <w:sz w:val="18"/>
              </w:rPr>
            </w:pPr>
            <w:r>
              <w:rPr>
                <w:b/>
                <w:sz w:val="18"/>
              </w:rPr>
              <w:t>Empresas</w:t>
            </w:r>
            <w:r>
              <w:rPr>
                <w:b/>
                <w:spacing w:val="-5"/>
                <w:sz w:val="18"/>
              </w:rPr>
              <w:t> </w:t>
            </w:r>
            <w:r>
              <w:rPr>
                <w:b/>
                <w:spacing w:val="-2"/>
                <w:sz w:val="18"/>
              </w:rPr>
              <w:t>Comerciales</w:t>
            </w:r>
          </w:p>
        </w:tc>
        <w:tc>
          <w:tcPr>
            <w:tcW w:w="1700" w:type="dxa"/>
          </w:tcPr>
          <w:p>
            <w:pPr>
              <w:pStyle w:val="TableParagraph"/>
              <w:spacing w:line="187" w:lineRule="exact" w:before="13"/>
              <w:ind w:right="79"/>
              <w:jc w:val="right"/>
              <w:rPr>
                <w:b/>
                <w:sz w:val="18"/>
              </w:rPr>
            </w:pPr>
            <w:r>
              <w:rPr>
                <w:b/>
                <w:spacing w:val="-2"/>
                <w:sz w:val="18"/>
              </w:rPr>
              <w:t>26,339,595.71</w:t>
            </w:r>
          </w:p>
        </w:tc>
        <w:tc>
          <w:tcPr>
            <w:tcW w:w="1701" w:type="dxa"/>
          </w:tcPr>
          <w:p>
            <w:pPr>
              <w:pStyle w:val="TableParagraph"/>
              <w:spacing w:line="187" w:lineRule="exact" w:before="13"/>
              <w:ind w:right="69"/>
              <w:jc w:val="right"/>
              <w:rPr>
                <w:b/>
                <w:sz w:val="18"/>
              </w:rPr>
            </w:pPr>
            <w:r>
              <w:rPr>
                <w:b/>
                <w:spacing w:val="-2"/>
                <w:sz w:val="18"/>
              </w:rPr>
              <w:t>26,339,595.71</w:t>
            </w:r>
          </w:p>
        </w:tc>
        <w:tc>
          <w:tcPr>
            <w:tcW w:w="1664" w:type="dxa"/>
          </w:tcPr>
          <w:p>
            <w:pPr>
              <w:pStyle w:val="TableParagraph"/>
              <w:spacing w:line="187" w:lineRule="exact" w:before="13"/>
              <w:ind w:right="69"/>
              <w:jc w:val="right"/>
              <w:rPr>
                <w:b/>
                <w:sz w:val="18"/>
              </w:rPr>
            </w:pPr>
            <w:r>
              <w:rPr>
                <w:b/>
                <w:spacing w:val="-2"/>
                <w:sz w:val="18"/>
              </w:rPr>
              <w:t>24,061,745.42</w:t>
            </w:r>
          </w:p>
        </w:tc>
        <w:tc>
          <w:tcPr>
            <w:tcW w:w="1459" w:type="dxa"/>
          </w:tcPr>
          <w:p>
            <w:pPr>
              <w:pStyle w:val="TableParagraph"/>
              <w:spacing w:line="187" w:lineRule="exact" w:before="13"/>
              <w:ind w:right="174"/>
              <w:jc w:val="right"/>
              <w:rPr>
                <w:b/>
                <w:sz w:val="18"/>
              </w:rPr>
            </w:pPr>
            <w:r>
              <w:rPr>
                <w:b/>
                <w:sz w:val="18"/>
              </w:rPr>
              <w:t>-</w:t>
            </w:r>
            <w:r>
              <w:rPr>
                <w:b/>
                <w:spacing w:val="-2"/>
                <w:sz w:val="18"/>
              </w:rPr>
              <w:t>2,277,850.29</w:t>
            </w:r>
          </w:p>
        </w:tc>
        <w:tc>
          <w:tcPr>
            <w:tcW w:w="1150" w:type="dxa"/>
          </w:tcPr>
          <w:p>
            <w:pPr>
              <w:pStyle w:val="TableParagraph"/>
              <w:spacing w:line="187" w:lineRule="exact" w:before="13"/>
              <w:ind w:right="108"/>
              <w:jc w:val="center"/>
              <w:rPr>
                <w:b/>
                <w:sz w:val="18"/>
              </w:rPr>
            </w:pPr>
            <w:r>
              <w:rPr>
                <w:b/>
                <w:sz w:val="18"/>
              </w:rPr>
              <w:t>-</w:t>
            </w:r>
            <w:r>
              <w:rPr>
                <w:b/>
                <w:spacing w:val="-4"/>
                <w:sz w:val="18"/>
              </w:rPr>
              <w:t>8.65%</w:t>
            </w:r>
          </w:p>
        </w:tc>
      </w:tr>
      <w:tr>
        <w:trPr>
          <w:trHeight w:val="242" w:hRule="atLeast"/>
        </w:trPr>
        <w:tc>
          <w:tcPr>
            <w:tcW w:w="3430" w:type="dxa"/>
            <w:shd w:val="clear" w:color="auto" w:fill="0E233D"/>
          </w:tcPr>
          <w:p>
            <w:pPr>
              <w:pStyle w:val="TableParagraph"/>
              <w:spacing w:line="190" w:lineRule="exact" w:before="32"/>
              <w:ind w:left="120"/>
              <w:rPr>
                <w:b/>
                <w:sz w:val="18"/>
              </w:rPr>
            </w:pPr>
            <w:r>
              <w:rPr>
                <w:b/>
                <w:color w:val="FFFFFF"/>
                <w:spacing w:val="-2"/>
                <w:sz w:val="18"/>
              </w:rPr>
              <w:t>TOTAL</w:t>
            </w:r>
          </w:p>
        </w:tc>
        <w:tc>
          <w:tcPr>
            <w:tcW w:w="1700" w:type="dxa"/>
            <w:shd w:val="clear" w:color="auto" w:fill="0E233D"/>
          </w:tcPr>
          <w:p>
            <w:pPr>
              <w:pStyle w:val="TableParagraph"/>
              <w:spacing w:line="190" w:lineRule="exact" w:before="32"/>
              <w:ind w:right="79"/>
              <w:jc w:val="right"/>
              <w:rPr>
                <w:b/>
                <w:sz w:val="18"/>
              </w:rPr>
            </w:pPr>
            <w:r>
              <w:rPr>
                <w:b/>
                <w:color w:val="FFFFFF"/>
                <w:spacing w:val="-2"/>
                <w:sz w:val="18"/>
              </w:rPr>
              <w:t>296,795,754.88</w:t>
            </w:r>
          </w:p>
        </w:tc>
        <w:tc>
          <w:tcPr>
            <w:tcW w:w="1701" w:type="dxa"/>
            <w:shd w:val="clear" w:color="auto" w:fill="0E233D"/>
          </w:tcPr>
          <w:p>
            <w:pPr>
              <w:pStyle w:val="TableParagraph"/>
              <w:spacing w:line="190" w:lineRule="exact" w:before="32"/>
              <w:ind w:right="69"/>
              <w:jc w:val="right"/>
              <w:rPr>
                <w:b/>
                <w:sz w:val="18"/>
              </w:rPr>
            </w:pPr>
            <w:r>
              <w:rPr>
                <w:b/>
                <w:color w:val="FFFFFF"/>
                <w:spacing w:val="-2"/>
                <w:sz w:val="18"/>
              </w:rPr>
              <w:t>296,795,754.88</w:t>
            </w:r>
          </w:p>
        </w:tc>
        <w:tc>
          <w:tcPr>
            <w:tcW w:w="1664" w:type="dxa"/>
            <w:shd w:val="clear" w:color="auto" w:fill="0E233D"/>
          </w:tcPr>
          <w:p>
            <w:pPr>
              <w:pStyle w:val="TableParagraph"/>
              <w:spacing w:line="190" w:lineRule="exact" w:before="32"/>
              <w:ind w:right="69"/>
              <w:jc w:val="right"/>
              <w:rPr>
                <w:b/>
                <w:sz w:val="18"/>
              </w:rPr>
            </w:pPr>
            <w:r>
              <w:rPr>
                <w:b/>
                <w:color w:val="FFFFFF"/>
                <w:spacing w:val="-2"/>
                <w:sz w:val="18"/>
              </w:rPr>
              <w:t>286,624,393.52</w:t>
            </w:r>
          </w:p>
        </w:tc>
        <w:tc>
          <w:tcPr>
            <w:tcW w:w="1459" w:type="dxa"/>
            <w:shd w:val="clear" w:color="auto" w:fill="0E233D"/>
          </w:tcPr>
          <w:p>
            <w:pPr>
              <w:pStyle w:val="TableParagraph"/>
              <w:spacing w:line="190" w:lineRule="exact" w:before="32"/>
              <w:ind w:right="174"/>
              <w:jc w:val="right"/>
              <w:rPr>
                <w:b/>
                <w:sz w:val="18"/>
              </w:rPr>
            </w:pPr>
            <w:r>
              <w:rPr>
                <w:b/>
                <w:color w:val="FFFFFF"/>
                <w:sz w:val="18"/>
              </w:rPr>
              <w:t>-</w:t>
            </w:r>
            <w:r>
              <w:rPr>
                <w:b/>
                <w:color w:val="FFFFFF"/>
                <w:spacing w:val="-2"/>
                <w:sz w:val="18"/>
              </w:rPr>
              <w:t>10,171,361.35</w:t>
            </w:r>
          </w:p>
        </w:tc>
        <w:tc>
          <w:tcPr>
            <w:tcW w:w="1150" w:type="dxa"/>
            <w:shd w:val="clear" w:color="auto" w:fill="0E233D"/>
          </w:tcPr>
          <w:p>
            <w:pPr>
              <w:pStyle w:val="TableParagraph"/>
              <w:spacing w:line="190" w:lineRule="exact" w:before="32"/>
              <w:ind w:right="108"/>
              <w:jc w:val="center"/>
              <w:rPr>
                <w:b/>
                <w:sz w:val="18"/>
              </w:rPr>
            </w:pPr>
            <w:r>
              <w:rPr>
                <w:b/>
                <w:color w:val="FFFFFF"/>
                <w:sz w:val="18"/>
              </w:rPr>
              <w:t>-</w:t>
            </w:r>
            <w:r>
              <w:rPr>
                <w:b/>
                <w:color w:val="FFFFFF"/>
                <w:spacing w:val="-4"/>
                <w:sz w:val="18"/>
              </w:rPr>
              <w:t>3.43%</w:t>
            </w:r>
          </w:p>
        </w:tc>
      </w:tr>
      <w:tr>
        <w:trPr>
          <w:trHeight w:val="412" w:hRule="atLeast"/>
        </w:trPr>
        <w:tc>
          <w:tcPr>
            <w:tcW w:w="3430" w:type="dxa"/>
            <w:shd w:val="clear" w:color="auto" w:fill="0E233D"/>
          </w:tcPr>
          <w:p>
            <w:pPr>
              <w:pStyle w:val="TableParagraph"/>
              <w:spacing w:line="206" w:lineRule="exact"/>
              <w:ind w:left="69"/>
              <w:rPr>
                <w:b/>
                <w:sz w:val="18"/>
              </w:rPr>
            </w:pPr>
            <w:r>
              <w:rPr>
                <w:b/>
                <w:color w:val="FFFFFF"/>
                <w:sz w:val="18"/>
              </w:rPr>
              <w:t>% con respecto Ingresos Institucionales</w:t>
            </w:r>
            <w:r>
              <w:rPr>
                <w:b/>
                <w:color w:val="FFFFFF"/>
                <w:spacing w:val="-15"/>
                <w:sz w:val="18"/>
              </w:rPr>
              <w:t> </w:t>
            </w:r>
            <w:r>
              <w:rPr>
                <w:b/>
                <w:color w:val="FFFFFF"/>
                <w:sz w:val="18"/>
              </w:rPr>
              <w:t>Proyectados</w:t>
            </w:r>
            <w:r>
              <w:rPr>
                <w:b/>
                <w:color w:val="FFFFFF"/>
                <w:spacing w:val="-12"/>
                <w:sz w:val="18"/>
              </w:rPr>
              <w:t> </w:t>
            </w:r>
            <w:r>
              <w:rPr>
                <w:b/>
                <w:color w:val="FFFFFF"/>
                <w:sz w:val="18"/>
              </w:rPr>
              <w:t>2025</w:t>
            </w:r>
          </w:p>
        </w:tc>
        <w:tc>
          <w:tcPr>
            <w:tcW w:w="1700" w:type="dxa"/>
            <w:shd w:val="clear" w:color="auto" w:fill="0E233D"/>
          </w:tcPr>
          <w:p>
            <w:pPr>
              <w:pStyle w:val="TableParagraph"/>
              <w:rPr>
                <w:rFonts w:ascii="Times New Roman"/>
                <w:sz w:val="18"/>
              </w:rPr>
            </w:pPr>
          </w:p>
        </w:tc>
        <w:tc>
          <w:tcPr>
            <w:tcW w:w="1701" w:type="dxa"/>
            <w:shd w:val="clear" w:color="auto" w:fill="0E233D"/>
          </w:tcPr>
          <w:p>
            <w:pPr>
              <w:pStyle w:val="TableParagraph"/>
              <w:spacing w:before="100"/>
              <w:ind w:left="486"/>
              <w:rPr>
                <w:b/>
                <w:sz w:val="18"/>
              </w:rPr>
            </w:pPr>
            <w:r>
              <w:rPr>
                <w:b/>
                <w:color w:val="FFFFFF"/>
                <w:spacing w:val="-2"/>
                <w:sz w:val="18"/>
              </w:rPr>
              <w:t>100.00%</w:t>
            </w:r>
          </w:p>
        </w:tc>
        <w:tc>
          <w:tcPr>
            <w:tcW w:w="1664" w:type="dxa"/>
            <w:shd w:val="clear" w:color="auto" w:fill="0E233D"/>
          </w:tcPr>
          <w:p>
            <w:pPr>
              <w:pStyle w:val="TableParagraph"/>
              <w:spacing w:before="100"/>
              <w:ind w:left="526"/>
              <w:rPr>
                <w:b/>
                <w:sz w:val="18"/>
              </w:rPr>
            </w:pPr>
            <w:r>
              <w:rPr>
                <w:b/>
                <w:color w:val="FFFFFF"/>
                <w:spacing w:val="-2"/>
                <w:sz w:val="18"/>
              </w:rPr>
              <w:t>96.57%</w:t>
            </w:r>
          </w:p>
        </w:tc>
        <w:tc>
          <w:tcPr>
            <w:tcW w:w="1459" w:type="dxa"/>
            <w:shd w:val="clear" w:color="auto" w:fill="0E233D"/>
          </w:tcPr>
          <w:p>
            <w:pPr>
              <w:pStyle w:val="TableParagraph"/>
              <w:rPr>
                <w:rFonts w:ascii="Times New Roman"/>
                <w:sz w:val="18"/>
              </w:rPr>
            </w:pPr>
          </w:p>
        </w:tc>
        <w:tc>
          <w:tcPr>
            <w:tcW w:w="1150" w:type="dxa"/>
            <w:shd w:val="clear" w:color="auto" w:fill="0E233D"/>
          </w:tcPr>
          <w:p>
            <w:pPr>
              <w:pStyle w:val="TableParagraph"/>
              <w:rPr>
                <w:rFonts w:ascii="Times New Roman"/>
                <w:sz w:val="18"/>
              </w:rPr>
            </w:pPr>
          </w:p>
        </w:tc>
      </w:tr>
    </w:tbl>
    <w:p>
      <w:pPr>
        <w:spacing w:before="8"/>
        <w:ind w:left="1625" w:right="0" w:firstLine="0"/>
        <w:jc w:val="both"/>
        <w:rPr>
          <w:sz w:val="18"/>
        </w:rPr>
      </w:pPr>
      <w:r>
        <w:rPr>
          <w:sz w:val="18"/>
        </w:rPr>
        <w:t>Fuente:</w:t>
      </w:r>
      <w:r>
        <w:rPr>
          <w:spacing w:val="-8"/>
          <w:sz w:val="18"/>
        </w:rPr>
        <w:t> </w:t>
      </w:r>
      <w:r>
        <w:rPr>
          <w:sz w:val="18"/>
        </w:rPr>
        <w:t>Informe</w:t>
      </w:r>
      <w:r>
        <w:rPr>
          <w:spacing w:val="-6"/>
          <w:sz w:val="18"/>
        </w:rPr>
        <w:t> </w:t>
      </w:r>
      <w:r>
        <w:rPr>
          <w:sz w:val="18"/>
        </w:rPr>
        <w:t>Liquidación</w:t>
      </w:r>
      <w:r>
        <w:rPr>
          <w:spacing w:val="-7"/>
          <w:sz w:val="18"/>
        </w:rPr>
        <w:t> </w:t>
      </w:r>
      <w:r>
        <w:rPr>
          <w:sz w:val="18"/>
        </w:rPr>
        <w:t>Presupuestaria</w:t>
      </w:r>
      <w:r>
        <w:rPr>
          <w:spacing w:val="-2"/>
          <w:sz w:val="18"/>
        </w:rPr>
        <w:t> 2025.</w:t>
      </w:r>
    </w:p>
    <w:p>
      <w:pPr>
        <w:pStyle w:val="BodyText"/>
        <w:spacing w:before="207"/>
        <w:ind w:left="1625" w:right="1600"/>
        <w:jc w:val="both"/>
      </w:pPr>
      <w:r>
        <w:rPr/>
        <w:t>De</w:t>
      </w:r>
      <w:r>
        <w:rPr>
          <w:spacing w:val="-16"/>
        </w:rPr>
        <w:t> </w:t>
      </w:r>
      <w:r>
        <w:rPr/>
        <w:t>la</w:t>
      </w:r>
      <w:r>
        <w:rPr>
          <w:spacing w:val="-15"/>
        </w:rPr>
        <w:t> </w:t>
      </w:r>
      <w:r>
        <w:rPr/>
        <w:t>información</w:t>
      </w:r>
      <w:r>
        <w:rPr>
          <w:spacing w:val="-15"/>
        </w:rPr>
        <w:t> </w:t>
      </w:r>
      <w:r>
        <w:rPr/>
        <w:t>contenida</w:t>
      </w:r>
      <w:r>
        <w:rPr>
          <w:spacing w:val="-16"/>
        </w:rPr>
        <w:t> </w:t>
      </w:r>
      <w:r>
        <w:rPr/>
        <w:t>en</w:t>
      </w:r>
      <w:r>
        <w:rPr>
          <w:spacing w:val="-15"/>
        </w:rPr>
        <w:t> </w:t>
      </w:r>
      <w:r>
        <w:rPr/>
        <w:t>el</w:t>
      </w:r>
      <w:r>
        <w:rPr>
          <w:spacing w:val="-15"/>
        </w:rPr>
        <w:t> </w:t>
      </w:r>
      <w:r>
        <w:rPr/>
        <w:t>cuadro</w:t>
      </w:r>
      <w:r>
        <w:rPr>
          <w:spacing w:val="-15"/>
        </w:rPr>
        <w:t> </w:t>
      </w:r>
      <w:r>
        <w:rPr/>
        <w:t>anterior</w:t>
      </w:r>
      <w:r>
        <w:rPr>
          <w:spacing w:val="-16"/>
        </w:rPr>
        <w:t> </w:t>
      </w:r>
      <w:r>
        <w:rPr/>
        <w:t>se</w:t>
      </w:r>
      <w:r>
        <w:rPr>
          <w:spacing w:val="-15"/>
        </w:rPr>
        <w:t> </w:t>
      </w:r>
      <w:r>
        <w:rPr/>
        <w:t>concluye</w:t>
      </w:r>
      <w:r>
        <w:rPr>
          <w:spacing w:val="-15"/>
        </w:rPr>
        <w:t> </w:t>
      </w:r>
      <w:r>
        <w:rPr/>
        <w:t>que,</w:t>
      </w:r>
      <w:r>
        <w:rPr>
          <w:spacing w:val="-16"/>
        </w:rPr>
        <w:t> </w:t>
      </w:r>
      <w:r>
        <w:rPr/>
        <w:t>en</w:t>
      </w:r>
      <w:r>
        <w:rPr>
          <w:spacing w:val="-15"/>
        </w:rPr>
        <w:t> </w:t>
      </w:r>
      <w:r>
        <w:rPr/>
        <w:t>términos</w:t>
      </w:r>
      <w:r>
        <w:rPr>
          <w:spacing w:val="-15"/>
        </w:rPr>
        <w:t> </w:t>
      </w:r>
      <w:r>
        <w:rPr/>
        <w:t>generales, las proyecciones definidas para el Presupuesto Institucional 2025, se cumplieron, por tanto, se percibió de menos un 3.43% con respecto a los ingresos proyectados, siendo está disminución en los recursos específicos.</w:t>
      </w:r>
    </w:p>
    <w:p>
      <w:pPr>
        <w:pStyle w:val="BodyText"/>
        <w:spacing w:before="252"/>
        <w:ind w:left="1625" w:right="1606"/>
        <w:jc w:val="both"/>
      </w:pPr>
      <w:r>
        <w:rPr/>
        <w:t>Para continuar con el análisis de la información</w:t>
      </w:r>
      <w:r>
        <w:rPr>
          <w:spacing w:val="-1"/>
        </w:rPr>
        <w:t> </w:t>
      </w:r>
      <w:r>
        <w:rPr/>
        <w:t>referente a la ejecución de los recursos, se hace una breve descripción del comportamiento de la ejecución presupuestaria por cada uno de los programas que conforman la estructura presupuestaria institucional.</w:t>
      </w:r>
    </w:p>
    <w:p>
      <w:pPr>
        <w:pStyle w:val="BodyText"/>
        <w:spacing w:after="0"/>
        <w:jc w:val="both"/>
        <w:sectPr>
          <w:pgSz w:w="12240" w:h="15840"/>
          <w:pgMar w:header="0" w:footer="1576" w:top="1000" w:bottom="1760" w:left="360" w:right="0"/>
        </w:sectPr>
      </w:pPr>
    </w:p>
    <w:p>
      <w:pPr>
        <w:pStyle w:val="Heading5"/>
        <w:spacing w:before="77"/>
        <w:ind w:left="2400" w:right="1700" w:hanging="502"/>
      </w:pPr>
      <w:bookmarkStart w:name="_bookmark15" w:id="16"/>
      <w:bookmarkEnd w:id="16"/>
      <w:r>
        <w:rPr>
          <w:b w:val="0"/>
        </w:rPr>
      </w:r>
      <w:r>
        <w:rPr/>
        <w:t>Tabla</w:t>
      </w:r>
      <w:r>
        <w:rPr>
          <w:spacing w:val="-3"/>
        </w:rPr>
        <w:t> </w:t>
      </w:r>
      <w:r>
        <w:rPr/>
        <w:t>6:</w:t>
      </w:r>
      <w:r>
        <w:rPr>
          <w:spacing w:val="-2"/>
        </w:rPr>
        <w:t> </w:t>
      </w:r>
      <w:r>
        <w:rPr/>
        <w:t>Distribución</w:t>
      </w:r>
      <w:r>
        <w:rPr>
          <w:spacing w:val="-6"/>
        </w:rPr>
        <w:t> </w:t>
      </w:r>
      <w:r>
        <w:rPr/>
        <w:t>del</w:t>
      </w:r>
      <w:r>
        <w:rPr>
          <w:spacing w:val="-3"/>
        </w:rPr>
        <w:t> </w:t>
      </w:r>
      <w:r>
        <w:rPr/>
        <w:t>presupuesto</w:t>
      </w:r>
      <w:r>
        <w:rPr>
          <w:spacing w:val="-6"/>
        </w:rPr>
        <w:t> </w:t>
      </w:r>
      <w:r>
        <w:rPr/>
        <w:t>institucional</w:t>
      </w:r>
      <w:r>
        <w:rPr>
          <w:spacing w:val="-5"/>
        </w:rPr>
        <w:t> </w:t>
      </w:r>
      <w:r>
        <w:rPr/>
        <w:t>egresos</w:t>
      </w:r>
      <w:r>
        <w:rPr>
          <w:spacing w:val="-6"/>
        </w:rPr>
        <w:t> </w:t>
      </w:r>
      <w:r>
        <w:rPr/>
        <w:t>reales</w:t>
      </w:r>
      <w:r>
        <w:rPr>
          <w:spacing w:val="-6"/>
        </w:rPr>
        <w:t> </w:t>
      </w:r>
      <w:r>
        <w:rPr/>
        <w:t>y</w:t>
      </w:r>
      <w:r>
        <w:rPr>
          <w:spacing w:val="-8"/>
        </w:rPr>
        <w:t> </w:t>
      </w:r>
      <w:r>
        <w:rPr/>
        <w:t>disponible presupuestario según programa en el año 2025 (en miles de colones)</w:t>
      </w:r>
    </w:p>
    <w:p>
      <w:pPr>
        <w:pStyle w:val="BodyText"/>
        <w:spacing w:before="47"/>
        <w:rPr>
          <w:b/>
          <w:sz w:val="20"/>
        </w:rPr>
      </w:pPr>
    </w:p>
    <w:tbl>
      <w:tblPr>
        <w:tblW w:w="0" w:type="auto"/>
        <w:jc w:val="left"/>
        <w:tblInd w:w="3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66"/>
        <w:gridCol w:w="1789"/>
        <w:gridCol w:w="1410"/>
        <w:gridCol w:w="2120"/>
        <w:gridCol w:w="1572"/>
        <w:gridCol w:w="2042"/>
      </w:tblGrid>
      <w:tr>
        <w:trPr>
          <w:trHeight w:val="1015" w:hRule="atLeast"/>
        </w:trPr>
        <w:tc>
          <w:tcPr>
            <w:tcW w:w="2366" w:type="dxa"/>
            <w:shd w:val="clear" w:color="auto" w:fill="0E233D"/>
          </w:tcPr>
          <w:p>
            <w:pPr>
              <w:pStyle w:val="TableParagraph"/>
              <w:spacing w:before="195"/>
              <w:rPr>
                <w:b/>
                <w:sz w:val="18"/>
              </w:rPr>
            </w:pPr>
          </w:p>
          <w:p>
            <w:pPr>
              <w:pStyle w:val="TableParagraph"/>
              <w:ind w:left="713"/>
              <w:rPr>
                <w:b/>
                <w:sz w:val="18"/>
              </w:rPr>
            </w:pPr>
            <w:r>
              <w:rPr>
                <w:b/>
                <w:color w:val="FFFFFF"/>
                <w:spacing w:val="-2"/>
                <w:sz w:val="18"/>
              </w:rPr>
              <w:t>Programa</w:t>
            </w:r>
          </w:p>
        </w:tc>
        <w:tc>
          <w:tcPr>
            <w:tcW w:w="1789" w:type="dxa"/>
            <w:shd w:val="clear" w:color="auto" w:fill="0E233D"/>
          </w:tcPr>
          <w:p>
            <w:pPr>
              <w:pStyle w:val="TableParagraph"/>
              <w:spacing w:before="92"/>
              <w:rPr>
                <w:b/>
                <w:sz w:val="18"/>
              </w:rPr>
            </w:pPr>
          </w:p>
          <w:p>
            <w:pPr>
              <w:pStyle w:val="TableParagraph"/>
              <w:ind w:left="310" w:hanging="15"/>
              <w:rPr>
                <w:b/>
                <w:sz w:val="18"/>
              </w:rPr>
            </w:pPr>
            <w:r>
              <w:rPr>
                <w:b/>
                <w:color w:val="FFFFFF"/>
                <w:spacing w:val="-2"/>
                <w:sz w:val="18"/>
              </w:rPr>
              <w:t>Presupuesto Institucional</w:t>
            </w:r>
          </w:p>
        </w:tc>
        <w:tc>
          <w:tcPr>
            <w:tcW w:w="1410" w:type="dxa"/>
            <w:shd w:val="clear" w:color="auto" w:fill="0E233D"/>
          </w:tcPr>
          <w:p>
            <w:pPr>
              <w:pStyle w:val="TableParagraph"/>
              <w:spacing w:before="92"/>
              <w:rPr>
                <w:b/>
                <w:sz w:val="18"/>
              </w:rPr>
            </w:pPr>
          </w:p>
          <w:p>
            <w:pPr>
              <w:pStyle w:val="TableParagraph"/>
              <w:ind w:left="403" w:right="355" w:hanging="65"/>
              <w:rPr>
                <w:b/>
                <w:sz w:val="18"/>
              </w:rPr>
            </w:pPr>
            <w:r>
              <w:rPr>
                <w:b/>
                <w:color w:val="FFFFFF"/>
                <w:spacing w:val="-2"/>
                <w:sz w:val="18"/>
              </w:rPr>
              <w:t>Egresos Reales</w:t>
            </w:r>
          </w:p>
        </w:tc>
        <w:tc>
          <w:tcPr>
            <w:tcW w:w="2120" w:type="dxa"/>
            <w:shd w:val="clear" w:color="auto" w:fill="0E233D"/>
          </w:tcPr>
          <w:p>
            <w:pPr>
              <w:pStyle w:val="TableParagraph"/>
              <w:spacing w:before="196"/>
              <w:ind w:left="83" w:right="114" w:firstLine="122"/>
              <w:jc w:val="both"/>
              <w:rPr>
                <w:b/>
                <w:sz w:val="18"/>
              </w:rPr>
            </w:pPr>
            <w:r>
              <w:rPr>
                <w:b/>
                <w:color w:val="FFFFFF"/>
                <w:sz w:val="18"/>
              </w:rPr>
              <w:t>% de ejecución real por programa/según presupuesto</w:t>
            </w:r>
            <w:r>
              <w:rPr>
                <w:b/>
                <w:color w:val="FFFFFF"/>
                <w:spacing w:val="-5"/>
                <w:sz w:val="18"/>
              </w:rPr>
              <w:t> </w:t>
            </w:r>
            <w:r>
              <w:rPr>
                <w:b/>
                <w:color w:val="FFFFFF"/>
                <w:spacing w:val="-2"/>
                <w:sz w:val="18"/>
              </w:rPr>
              <w:t>asignado</w:t>
            </w:r>
          </w:p>
        </w:tc>
        <w:tc>
          <w:tcPr>
            <w:tcW w:w="1572" w:type="dxa"/>
            <w:shd w:val="clear" w:color="auto" w:fill="0E233D"/>
          </w:tcPr>
          <w:p>
            <w:pPr>
              <w:pStyle w:val="TableParagraph"/>
              <w:spacing w:before="92"/>
              <w:rPr>
                <w:b/>
                <w:sz w:val="18"/>
              </w:rPr>
            </w:pPr>
          </w:p>
          <w:p>
            <w:pPr>
              <w:pStyle w:val="TableParagraph"/>
              <w:ind w:left="118" w:firstLine="194"/>
              <w:rPr>
                <w:b/>
                <w:sz w:val="18"/>
              </w:rPr>
            </w:pPr>
            <w:r>
              <w:rPr>
                <w:b/>
                <w:color w:val="FFFFFF"/>
                <w:spacing w:val="-2"/>
                <w:sz w:val="18"/>
              </w:rPr>
              <w:t>Disponible Presupuestario</w:t>
            </w:r>
          </w:p>
        </w:tc>
        <w:tc>
          <w:tcPr>
            <w:tcW w:w="2042" w:type="dxa"/>
            <w:shd w:val="clear" w:color="auto" w:fill="0E233D"/>
          </w:tcPr>
          <w:p>
            <w:pPr>
              <w:pStyle w:val="TableParagraph"/>
              <w:spacing w:before="92"/>
              <w:ind w:left="76" w:right="81" w:hanging="3"/>
              <w:jc w:val="center"/>
              <w:rPr>
                <w:b/>
                <w:sz w:val="18"/>
              </w:rPr>
            </w:pPr>
            <w:r>
              <w:rPr>
                <w:b/>
                <w:color w:val="FFFFFF"/>
                <w:sz w:val="18"/>
              </w:rPr>
              <w:t>Representación</w:t>
            </w:r>
            <w:r>
              <w:rPr>
                <w:b/>
                <w:color w:val="FFFFFF"/>
                <w:spacing w:val="-11"/>
                <w:sz w:val="18"/>
              </w:rPr>
              <w:t> </w:t>
            </w:r>
            <w:r>
              <w:rPr>
                <w:b/>
                <w:color w:val="FFFFFF"/>
                <w:sz w:val="18"/>
              </w:rPr>
              <w:t>%</w:t>
            </w:r>
            <w:r>
              <w:rPr>
                <w:b/>
                <w:color w:val="FFFFFF"/>
                <w:spacing w:val="-13"/>
                <w:sz w:val="18"/>
              </w:rPr>
              <w:t> </w:t>
            </w:r>
            <w:r>
              <w:rPr>
                <w:b/>
                <w:color w:val="FFFFFF"/>
                <w:sz w:val="18"/>
              </w:rPr>
              <w:t>del </w:t>
            </w:r>
            <w:r>
              <w:rPr>
                <w:b/>
                <w:color w:val="FFFFFF"/>
                <w:spacing w:val="-2"/>
                <w:sz w:val="18"/>
              </w:rPr>
              <w:t>disponible </w:t>
            </w:r>
            <w:r>
              <w:rPr>
                <w:b/>
                <w:color w:val="FFFFFF"/>
                <w:sz w:val="18"/>
              </w:rPr>
              <w:t>presupuestario</w:t>
            </w:r>
            <w:r>
              <w:rPr>
                <w:b/>
                <w:color w:val="FFFFFF"/>
                <w:spacing w:val="-13"/>
                <w:sz w:val="18"/>
              </w:rPr>
              <w:t> </w:t>
            </w:r>
            <w:r>
              <w:rPr>
                <w:b/>
                <w:color w:val="FFFFFF"/>
                <w:sz w:val="18"/>
              </w:rPr>
              <w:t>según </w:t>
            </w:r>
            <w:r>
              <w:rPr>
                <w:b/>
                <w:color w:val="FFFFFF"/>
                <w:spacing w:val="-2"/>
                <w:sz w:val="18"/>
              </w:rPr>
              <w:t>programa</w:t>
            </w:r>
          </w:p>
        </w:tc>
      </w:tr>
      <w:tr>
        <w:trPr>
          <w:trHeight w:val="223" w:hRule="atLeast"/>
        </w:trPr>
        <w:tc>
          <w:tcPr>
            <w:tcW w:w="2366" w:type="dxa"/>
          </w:tcPr>
          <w:p>
            <w:pPr>
              <w:pStyle w:val="TableParagraph"/>
              <w:spacing w:line="194" w:lineRule="exact" w:before="8"/>
              <w:ind w:left="69"/>
              <w:rPr>
                <w:b/>
                <w:i/>
                <w:sz w:val="18"/>
              </w:rPr>
            </w:pPr>
            <w:r>
              <w:rPr>
                <w:sz w:val="18"/>
              </w:rPr>
              <w:t>Actividades</w:t>
            </w:r>
            <w:r>
              <w:rPr>
                <w:spacing w:val="-8"/>
                <w:sz w:val="18"/>
              </w:rPr>
              <w:t> </w:t>
            </w:r>
            <w:r>
              <w:rPr>
                <w:sz w:val="18"/>
              </w:rPr>
              <w:t>Centrales</w:t>
            </w:r>
            <w:r>
              <w:rPr>
                <w:spacing w:val="-2"/>
                <w:sz w:val="18"/>
              </w:rPr>
              <w:t> </w:t>
            </w:r>
            <w:r>
              <w:rPr>
                <w:b/>
                <w:i/>
                <w:spacing w:val="-5"/>
                <w:sz w:val="18"/>
              </w:rPr>
              <w:t>1/</w:t>
            </w:r>
          </w:p>
        </w:tc>
        <w:tc>
          <w:tcPr>
            <w:tcW w:w="1789" w:type="dxa"/>
          </w:tcPr>
          <w:p>
            <w:pPr>
              <w:pStyle w:val="TableParagraph"/>
              <w:spacing w:line="194" w:lineRule="exact" w:before="8"/>
              <w:ind w:right="74"/>
              <w:jc w:val="right"/>
              <w:rPr>
                <w:sz w:val="18"/>
              </w:rPr>
            </w:pPr>
            <w:r>
              <w:rPr>
                <w:spacing w:val="-2"/>
                <w:sz w:val="18"/>
              </w:rPr>
              <w:t>11,699,745.04</w:t>
            </w:r>
          </w:p>
        </w:tc>
        <w:tc>
          <w:tcPr>
            <w:tcW w:w="1410" w:type="dxa"/>
          </w:tcPr>
          <w:p>
            <w:pPr>
              <w:pStyle w:val="TableParagraph"/>
              <w:spacing w:line="194" w:lineRule="exact" w:before="8"/>
              <w:ind w:right="80"/>
              <w:jc w:val="right"/>
              <w:rPr>
                <w:sz w:val="18"/>
              </w:rPr>
            </w:pPr>
            <w:r>
              <w:rPr>
                <w:spacing w:val="-2"/>
                <w:sz w:val="18"/>
              </w:rPr>
              <w:t>8,054,170.04</w:t>
            </w:r>
          </w:p>
        </w:tc>
        <w:tc>
          <w:tcPr>
            <w:tcW w:w="2120" w:type="dxa"/>
          </w:tcPr>
          <w:p>
            <w:pPr>
              <w:pStyle w:val="TableParagraph"/>
              <w:spacing w:line="194" w:lineRule="exact" w:before="8"/>
              <w:ind w:right="29"/>
              <w:jc w:val="center"/>
              <w:rPr>
                <w:sz w:val="18"/>
              </w:rPr>
            </w:pPr>
            <w:r>
              <w:rPr>
                <w:spacing w:val="-2"/>
                <w:sz w:val="18"/>
              </w:rPr>
              <w:t>68.84%</w:t>
            </w:r>
          </w:p>
        </w:tc>
        <w:tc>
          <w:tcPr>
            <w:tcW w:w="1572" w:type="dxa"/>
          </w:tcPr>
          <w:p>
            <w:pPr>
              <w:pStyle w:val="TableParagraph"/>
              <w:spacing w:line="194" w:lineRule="exact" w:before="8"/>
              <w:ind w:right="70"/>
              <w:jc w:val="right"/>
              <w:rPr>
                <w:sz w:val="18"/>
              </w:rPr>
            </w:pPr>
            <w:r>
              <w:rPr>
                <w:spacing w:val="-2"/>
                <w:sz w:val="18"/>
              </w:rPr>
              <w:t>3,645,575.01</w:t>
            </w:r>
          </w:p>
        </w:tc>
        <w:tc>
          <w:tcPr>
            <w:tcW w:w="2042" w:type="dxa"/>
          </w:tcPr>
          <w:p>
            <w:pPr>
              <w:pStyle w:val="TableParagraph"/>
              <w:spacing w:line="194" w:lineRule="exact" w:before="8"/>
              <w:ind w:right="4"/>
              <w:jc w:val="center"/>
              <w:rPr>
                <w:sz w:val="18"/>
              </w:rPr>
            </w:pPr>
            <w:r>
              <w:rPr>
                <w:spacing w:val="-2"/>
                <w:sz w:val="18"/>
              </w:rPr>
              <w:t>31.16%</w:t>
            </w:r>
          </w:p>
        </w:tc>
      </w:tr>
      <w:tr>
        <w:trPr>
          <w:trHeight w:val="422" w:hRule="atLeast"/>
        </w:trPr>
        <w:tc>
          <w:tcPr>
            <w:tcW w:w="2366" w:type="dxa"/>
          </w:tcPr>
          <w:p>
            <w:pPr>
              <w:pStyle w:val="TableParagraph"/>
              <w:spacing w:line="206" w:lineRule="exact"/>
              <w:ind w:left="69"/>
              <w:rPr>
                <w:sz w:val="18"/>
              </w:rPr>
            </w:pPr>
            <w:r>
              <w:rPr>
                <w:sz w:val="18"/>
              </w:rPr>
              <w:t>Protección</w:t>
            </w:r>
            <w:r>
              <w:rPr>
                <w:spacing w:val="-15"/>
                <w:sz w:val="18"/>
              </w:rPr>
              <w:t> </w:t>
            </w:r>
            <w:r>
              <w:rPr>
                <w:sz w:val="18"/>
              </w:rPr>
              <w:t>y</w:t>
            </w:r>
            <w:r>
              <w:rPr>
                <w:spacing w:val="-12"/>
                <w:sz w:val="18"/>
              </w:rPr>
              <w:t> </w:t>
            </w:r>
            <w:r>
              <w:rPr>
                <w:sz w:val="18"/>
              </w:rPr>
              <w:t>Promoción </w:t>
            </w:r>
            <w:r>
              <w:rPr>
                <w:spacing w:val="-2"/>
                <w:sz w:val="18"/>
              </w:rPr>
              <w:t>Social</w:t>
            </w:r>
          </w:p>
        </w:tc>
        <w:tc>
          <w:tcPr>
            <w:tcW w:w="1789" w:type="dxa"/>
          </w:tcPr>
          <w:p>
            <w:pPr>
              <w:pStyle w:val="TableParagraph"/>
              <w:spacing w:before="104"/>
              <w:ind w:right="74"/>
              <w:jc w:val="right"/>
              <w:rPr>
                <w:sz w:val="18"/>
              </w:rPr>
            </w:pPr>
            <w:r>
              <w:rPr>
                <w:spacing w:val="-2"/>
                <w:sz w:val="18"/>
              </w:rPr>
              <w:t>258,756,414.12</w:t>
            </w:r>
          </w:p>
        </w:tc>
        <w:tc>
          <w:tcPr>
            <w:tcW w:w="1410" w:type="dxa"/>
          </w:tcPr>
          <w:p>
            <w:pPr>
              <w:pStyle w:val="TableParagraph"/>
              <w:spacing w:before="104"/>
              <w:ind w:right="79"/>
              <w:jc w:val="right"/>
              <w:rPr>
                <w:sz w:val="18"/>
              </w:rPr>
            </w:pPr>
            <w:r>
              <w:rPr>
                <w:spacing w:val="-2"/>
                <w:sz w:val="18"/>
              </w:rPr>
              <w:t>237,510,033.76</w:t>
            </w:r>
          </w:p>
        </w:tc>
        <w:tc>
          <w:tcPr>
            <w:tcW w:w="2120" w:type="dxa"/>
          </w:tcPr>
          <w:p>
            <w:pPr>
              <w:pStyle w:val="TableParagraph"/>
              <w:spacing w:before="104"/>
              <w:ind w:right="29"/>
              <w:jc w:val="center"/>
              <w:rPr>
                <w:sz w:val="18"/>
              </w:rPr>
            </w:pPr>
            <w:r>
              <w:rPr>
                <w:spacing w:val="-2"/>
                <w:sz w:val="18"/>
              </w:rPr>
              <w:t>91.79%</w:t>
            </w:r>
          </w:p>
        </w:tc>
        <w:tc>
          <w:tcPr>
            <w:tcW w:w="1572" w:type="dxa"/>
          </w:tcPr>
          <w:p>
            <w:pPr>
              <w:pStyle w:val="TableParagraph"/>
              <w:spacing w:before="104"/>
              <w:ind w:right="70"/>
              <w:jc w:val="right"/>
              <w:rPr>
                <w:sz w:val="18"/>
              </w:rPr>
            </w:pPr>
            <w:r>
              <w:rPr>
                <w:spacing w:val="-2"/>
                <w:sz w:val="18"/>
              </w:rPr>
              <w:t>21,246,380.37</w:t>
            </w:r>
          </w:p>
        </w:tc>
        <w:tc>
          <w:tcPr>
            <w:tcW w:w="2042" w:type="dxa"/>
          </w:tcPr>
          <w:p>
            <w:pPr>
              <w:pStyle w:val="TableParagraph"/>
              <w:spacing w:before="104"/>
              <w:ind w:left="2" w:right="4"/>
              <w:jc w:val="center"/>
              <w:rPr>
                <w:sz w:val="18"/>
              </w:rPr>
            </w:pPr>
            <w:r>
              <w:rPr>
                <w:spacing w:val="-4"/>
                <w:sz w:val="18"/>
              </w:rPr>
              <w:t>8.21%</w:t>
            </w:r>
          </w:p>
        </w:tc>
      </w:tr>
      <w:tr>
        <w:trPr>
          <w:trHeight w:val="220" w:hRule="atLeast"/>
        </w:trPr>
        <w:tc>
          <w:tcPr>
            <w:tcW w:w="2366" w:type="dxa"/>
          </w:tcPr>
          <w:p>
            <w:pPr>
              <w:pStyle w:val="TableParagraph"/>
              <w:spacing w:line="199" w:lineRule="exact" w:before="1"/>
              <w:ind w:left="69"/>
              <w:rPr>
                <w:b/>
                <w:sz w:val="18"/>
              </w:rPr>
            </w:pPr>
            <w:r>
              <w:rPr>
                <w:b/>
                <w:color w:val="44536A"/>
                <w:sz w:val="18"/>
              </w:rPr>
              <w:t>SUBTOTAL</w:t>
            </w:r>
            <w:r>
              <w:rPr>
                <w:b/>
                <w:color w:val="44536A"/>
                <w:spacing w:val="-4"/>
                <w:sz w:val="18"/>
              </w:rPr>
              <w:t> </w:t>
            </w:r>
            <w:r>
              <w:rPr>
                <w:b/>
                <w:color w:val="44536A"/>
                <w:sz w:val="18"/>
              </w:rPr>
              <w:t>(Sin</w:t>
            </w:r>
            <w:r>
              <w:rPr>
                <w:b/>
                <w:color w:val="44536A"/>
                <w:spacing w:val="-1"/>
                <w:sz w:val="18"/>
              </w:rPr>
              <w:t> </w:t>
            </w:r>
            <w:r>
              <w:rPr>
                <w:b/>
                <w:color w:val="44536A"/>
                <w:spacing w:val="-2"/>
                <w:sz w:val="18"/>
              </w:rPr>
              <w:t>P.E.C.)</w:t>
            </w:r>
          </w:p>
        </w:tc>
        <w:tc>
          <w:tcPr>
            <w:tcW w:w="1789" w:type="dxa"/>
          </w:tcPr>
          <w:p>
            <w:pPr>
              <w:pStyle w:val="TableParagraph"/>
              <w:spacing w:line="199" w:lineRule="exact" w:before="1"/>
              <w:ind w:right="74"/>
              <w:jc w:val="right"/>
              <w:rPr>
                <w:b/>
                <w:sz w:val="18"/>
              </w:rPr>
            </w:pPr>
            <w:r>
              <w:rPr>
                <w:b/>
                <w:color w:val="44536A"/>
                <w:spacing w:val="-2"/>
                <w:sz w:val="18"/>
              </w:rPr>
              <w:t>270,456,159.16</w:t>
            </w:r>
          </w:p>
        </w:tc>
        <w:tc>
          <w:tcPr>
            <w:tcW w:w="1410" w:type="dxa"/>
          </w:tcPr>
          <w:p>
            <w:pPr>
              <w:pStyle w:val="TableParagraph"/>
              <w:spacing w:line="199" w:lineRule="exact" w:before="1"/>
              <w:ind w:right="79"/>
              <w:jc w:val="right"/>
              <w:rPr>
                <w:b/>
                <w:sz w:val="18"/>
              </w:rPr>
            </w:pPr>
            <w:r>
              <w:rPr>
                <w:b/>
                <w:color w:val="44536A"/>
                <w:spacing w:val="-2"/>
                <w:sz w:val="18"/>
              </w:rPr>
              <w:t>245,564,203.79</w:t>
            </w:r>
          </w:p>
        </w:tc>
        <w:tc>
          <w:tcPr>
            <w:tcW w:w="2120" w:type="dxa"/>
          </w:tcPr>
          <w:p>
            <w:pPr>
              <w:pStyle w:val="TableParagraph"/>
              <w:spacing w:line="199" w:lineRule="exact" w:before="1"/>
              <w:ind w:right="29"/>
              <w:jc w:val="center"/>
              <w:rPr>
                <w:sz w:val="18"/>
              </w:rPr>
            </w:pPr>
            <w:r>
              <w:rPr>
                <w:spacing w:val="-2"/>
                <w:sz w:val="18"/>
              </w:rPr>
              <w:t>90.80%</w:t>
            </w:r>
          </w:p>
        </w:tc>
        <w:tc>
          <w:tcPr>
            <w:tcW w:w="1572" w:type="dxa"/>
          </w:tcPr>
          <w:p>
            <w:pPr>
              <w:pStyle w:val="TableParagraph"/>
              <w:spacing w:line="199" w:lineRule="exact" w:before="1"/>
              <w:ind w:right="70"/>
              <w:jc w:val="right"/>
              <w:rPr>
                <w:b/>
                <w:sz w:val="18"/>
              </w:rPr>
            </w:pPr>
            <w:r>
              <w:rPr>
                <w:b/>
                <w:color w:val="44536A"/>
                <w:spacing w:val="-2"/>
                <w:sz w:val="18"/>
              </w:rPr>
              <w:t>24,891,955.37</w:t>
            </w:r>
          </w:p>
        </w:tc>
        <w:tc>
          <w:tcPr>
            <w:tcW w:w="2042" w:type="dxa"/>
          </w:tcPr>
          <w:p>
            <w:pPr>
              <w:pStyle w:val="TableParagraph"/>
              <w:spacing w:line="199" w:lineRule="exact" w:before="1"/>
              <w:ind w:left="2" w:right="4"/>
              <w:jc w:val="center"/>
              <w:rPr>
                <w:sz w:val="18"/>
              </w:rPr>
            </w:pPr>
            <w:r>
              <w:rPr>
                <w:spacing w:val="-4"/>
                <w:sz w:val="18"/>
              </w:rPr>
              <w:t>9.20%</w:t>
            </w:r>
          </w:p>
        </w:tc>
      </w:tr>
      <w:tr>
        <w:trPr>
          <w:trHeight w:val="223" w:hRule="atLeast"/>
        </w:trPr>
        <w:tc>
          <w:tcPr>
            <w:tcW w:w="2366" w:type="dxa"/>
          </w:tcPr>
          <w:p>
            <w:pPr>
              <w:pStyle w:val="TableParagraph"/>
              <w:spacing w:line="197" w:lineRule="exact" w:before="6"/>
              <w:ind w:left="69"/>
              <w:rPr>
                <w:sz w:val="18"/>
              </w:rPr>
            </w:pPr>
            <w:r>
              <w:rPr>
                <w:sz w:val="18"/>
              </w:rPr>
              <w:t>Empresas</w:t>
            </w:r>
            <w:r>
              <w:rPr>
                <w:spacing w:val="-3"/>
                <w:sz w:val="18"/>
              </w:rPr>
              <w:t> </w:t>
            </w:r>
            <w:r>
              <w:rPr>
                <w:spacing w:val="-2"/>
                <w:sz w:val="18"/>
              </w:rPr>
              <w:t>Comerciales</w:t>
            </w:r>
          </w:p>
        </w:tc>
        <w:tc>
          <w:tcPr>
            <w:tcW w:w="1789" w:type="dxa"/>
          </w:tcPr>
          <w:p>
            <w:pPr>
              <w:pStyle w:val="TableParagraph"/>
              <w:spacing w:line="197" w:lineRule="exact" w:before="6"/>
              <w:ind w:right="74"/>
              <w:jc w:val="right"/>
              <w:rPr>
                <w:sz w:val="18"/>
              </w:rPr>
            </w:pPr>
            <w:r>
              <w:rPr>
                <w:spacing w:val="-2"/>
                <w:sz w:val="18"/>
              </w:rPr>
              <w:t>26,339,595.71</w:t>
            </w:r>
          </w:p>
        </w:tc>
        <w:tc>
          <w:tcPr>
            <w:tcW w:w="1410" w:type="dxa"/>
          </w:tcPr>
          <w:p>
            <w:pPr>
              <w:pStyle w:val="TableParagraph"/>
              <w:spacing w:line="197" w:lineRule="exact" w:before="6"/>
              <w:ind w:right="80"/>
              <w:jc w:val="right"/>
              <w:rPr>
                <w:sz w:val="18"/>
              </w:rPr>
            </w:pPr>
            <w:r>
              <w:rPr>
                <w:spacing w:val="-2"/>
                <w:sz w:val="18"/>
              </w:rPr>
              <w:t>22,139,673.28</w:t>
            </w:r>
          </w:p>
        </w:tc>
        <w:tc>
          <w:tcPr>
            <w:tcW w:w="2120" w:type="dxa"/>
          </w:tcPr>
          <w:p>
            <w:pPr>
              <w:pStyle w:val="TableParagraph"/>
              <w:spacing w:line="197" w:lineRule="exact" w:before="6"/>
              <w:ind w:right="29"/>
              <w:jc w:val="center"/>
              <w:rPr>
                <w:sz w:val="18"/>
              </w:rPr>
            </w:pPr>
            <w:r>
              <w:rPr>
                <w:spacing w:val="-2"/>
                <w:sz w:val="18"/>
              </w:rPr>
              <w:t>84.05%</w:t>
            </w:r>
          </w:p>
        </w:tc>
        <w:tc>
          <w:tcPr>
            <w:tcW w:w="1572" w:type="dxa"/>
          </w:tcPr>
          <w:p>
            <w:pPr>
              <w:pStyle w:val="TableParagraph"/>
              <w:spacing w:line="197" w:lineRule="exact" w:before="6"/>
              <w:ind w:right="70"/>
              <w:jc w:val="right"/>
              <w:rPr>
                <w:sz w:val="18"/>
              </w:rPr>
            </w:pPr>
            <w:r>
              <w:rPr>
                <w:spacing w:val="-2"/>
                <w:sz w:val="18"/>
              </w:rPr>
              <w:t>4,199,922.43</w:t>
            </w:r>
          </w:p>
        </w:tc>
        <w:tc>
          <w:tcPr>
            <w:tcW w:w="2042" w:type="dxa"/>
          </w:tcPr>
          <w:p>
            <w:pPr>
              <w:pStyle w:val="TableParagraph"/>
              <w:spacing w:line="197" w:lineRule="exact" w:before="6"/>
              <w:ind w:right="4"/>
              <w:jc w:val="center"/>
              <w:rPr>
                <w:sz w:val="18"/>
              </w:rPr>
            </w:pPr>
            <w:r>
              <w:rPr>
                <w:spacing w:val="-2"/>
                <w:sz w:val="18"/>
              </w:rPr>
              <w:t>15.95%</w:t>
            </w:r>
          </w:p>
        </w:tc>
      </w:tr>
      <w:tr>
        <w:trPr>
          <w:trHeight w:val="309" w:hRule="atLeast"/>
        </w:trPr>
        <w:tc>
          <w:tcPr>
            <w:tcW w:w="2366" w:type="dxa"/>
            <w:shd w:val="clear" w:color="auto" w:fill="0E233D"/>
          </w:tcPr>
          <w:p>
            <w:pPr>
              <w:pStyle w:val="TableParagraph"/>
              <w:spacing w:before="49"/>
              <w:ind w:left="69"/>
              <w:rPr>
                <w:b/>
                <w:sz w:val="18"/>
              </w:rPr>
            </w:pPr>
            <w:r>
              <w:rPr>
                <w:b/>
                <w:color w:val="FFFFFF"/>
                <w:sz w:val="18"/>
              </w:rPr>
              <w:t>Total</w:t>
            </w:r>
            <w:r>
              <w:rPr>
                <w:b/>
                <w:color w:val="FFFFFF"/>
                <w:spacing w:val="-1"/>
                <w:sz w:val="18"/>
              </w:rPr>
              <w:t> </w:t>
            </w:r>
            <w:r>
              <w:rPr>
                <w:b/>
                <w:color w:val="FFFFFF"/>
                <w:spacing w:val="-2"/>
                <w:sz w:val="18"/>
              </w:rPr>
              <w:t>General</w:t>
            </w:r>
          </w:p>
        </w:tc>
        <w:tc>
          <w:tcPr>
            <w:tcW w:w="1789" w:type="dxa"/>
            <w:shd w:val="clear" w:color="auto" w:fill="0E233D"/>
          </w:tcPr>
          <w:p>
            <w:pPr>
              <w:pStyle w:val="TableParagraph"/>
              <w:spacing w:before="49"/>
              <w:ind w:right="74"/>
              <w:jc w:val="right"/>
              <w:rPr>
                <w:b/>
                <w:sz w:val="18"/>
              </w:rPr>
            </w:pPr>
            <w:r>
              <w:rPr>
                <w:b/>
                <w:color w:val="FFFFFF"/>
                <w:spacing w:val="-2"/>
                <w:sz w:val="18"/>
              </w:rPr>
              <w:t>296,795,754.88</w:t>
            </w:r>
          </w:p>
        </w:tc>
        <w:tc>
          <w:tcPr>
            <w:tcW w:w="1410" w:type="dxa"/>
            <w:shd w:val="clear" w:color="auto" w:fill="0E233D"/>
          </w:tcPr>
          <w:p>
            <w:pPr>
              <w:pStyle w:val="TableParagraph"/>
              <w:spacing w:before="49"/>
              <w:ind w:right="79"/>
              <w:jc w:val="right"/>
              <w:rPr>
                <w:b/>
                <w:sz w:val="18"/>
              </w:rPr>
            </w:pPr>
            <w:r>
              <w:rPr>
                <w:b/>
                <w:color w:val="FFFFFF"/>
                <w:spacing w:val="-2"/>
                <w:sz w:val="18"/>
              </w:rPr>
              <w:t>267,703,877.07</w:t>
            </w:r>
          </w:p>
        </w:tc>
        <w:tc>
          <w:tcPr>
            <w:tcW w:w="2120" w:type="dxa"/>
            <w:shd w:val="clear" w:color="auto" w:fill="0E233D"/>
          </w:tcPr>
          <w:p>
            <w:pPr>
              <w:pStyle w:val="TableParagraph"/>
              <w:spacing w:before="49"/>
              <w:ind w:left="2" w:right="29"/>
              <w:jc w:val="center"/>
              <w:rPr>
                <w:b/>
                <w:sz w:val="18"/>
              </w:rPr>
            </w:pPr>
            <w:r>
              <w:rPr>
                <w:b/>
                <w:color w:val="FFFFFF"/>
                <w:spacing w:val="-2"/>
                <w:sz w:val="18"/>
              </w:rPr>
              <w:t>90.20%</w:t>
            </w:r>
          </w:p>
        </w:tc>
        <w:tc>
          <w:tcPr>
            <w:tcW w:w="1572" w:type="dxa"/>
            <w:shd w:val="clear" w:color="auto" w:fill="0E233D"/>
          </w:tcPr>
          <w:p>
            <w:pPr>
              <w:pStyle w:val="TableParagraph"/>
              <w:spacing w:before="49"/>
              <w:ind w:right="70"/>
              <w:jc w:val="right"/>
              <w:rPr>
                <w:b/>
                <w:sz w:val="18"/>
              </w:rPr>
            </w:pPr>
            <w:r>
              <w:rPr>
                <w:b/>
                <w:color w:val="FFFFFF"/>
                <w:spacing w:val="-2"/>
                <w:sz w:val="18"/>
              </w:rPr>
              <w:t>29,091,877.80</w:t>
            </w:r>
          </w:p>
        </w:tc>
        <w:tc>
          <w:tcPr>
            <w:tcW w:w="2042" w:type="dxa"/>
            <w:shd w:val="clear" w:color="auto" w:fill="0E233D"/>
          </w:tcPr>
          <w:p>
            <w:pPr>
              <w:pStyle w:val="TableParagraph"/>
              <w:spacing w:before="49"/>
              <w:ind w:left="2" w:right="4"/>
              <w:jc w:val="center"/>
              <w:rPr>
                <w:b/>
                <w:sz w:val="18"/>
              </w:rPr>
            </w:pPr>
            <w:r>
              <w:rPr>
                <w:b/>
                <w:color w:val="FFFFFF"/>
                <w:spacing w:val="-4"/>
                <w:sz w:val="18"/>
              </w:rPr>
              <w:t>9.80%</w:t>
            </w:r>
          </w:p>
        </w:tc>
      </w:tr>
    </w:tbl>
    <w:p>
      <w:pPr>
        <w:spacing w:before="1"/>
        <w:ind w:left="1625" w:right="0" w:firstLine="0"/>
        <w:jc w:val="both"/>
        <w:rPr>
          <w:sz w:val="18"/>
        </w:rPr>
      </w:pPr>
      <w:r>
        <w:rPr>
          <w:sz w:val="18"/>
        </w:rPr>
        <w:t>Fuente:</w:t>
      </w:r>
      <w:r>
        <w:rPr>
          <w:spacing w:val="-3"/>
          <w:sz w:val="18"/>
        </w:rPr>
        <w:t> </w:t>
      </w:r>
      <w:r>
        <w:rPr>
          <w:sz w:val="18"/>
        </w:rPr>
        <w:t>Informe</w:t>
      </w:r>
      <w:r>
        <w:rPr>
          <w:spacing w:val="-4"/>
          <w:sz w:val="18"/>
        </w:rPr>
        <w:t> </w:t>
      </w:r>
      <w:r>
        <w:rPr>
          <w:sz w:val="18"/>
        </w:rPr>
        <w:t>de</w:t>
      </w:r>
      <w:r>
        <w:rPr>
          <w:spacing w:val="-6"/>
          <w:sz w:val="18"/>
        </w:rPr>
        <w:t> </w:t>
      </w:r>
      <w:r>
        <w:rPr>
          <w:sz w:val="18"/>
        </w:rPr>
        <w:t>liquidación</w:t>
      </w:r>
      <w:r>
        <w:rPr>
          <w:spacing w:val="-6"/>
          <w:sz w:val="18"/>
        </w:rPr>
        <w:t> </w:t>
      </w:r>
      <w:r>
        <w:rPr>
          <w:sz w:val="18"/>
        </w:rPr>
        <w:t>presupuestaria IMAS</w:t>
      </w:r>
      <w:r>
        <w:rPr>
          <w:spacing w:val="-3"/>
          <w:sz w:val="18"/>
        </w:rPr>
        <w:t> </w:t>
      </w:r>
      <w:r>
        <w:rPr>
          <w:spacing w:val="-4"/>
          <w:sz w:val="18"/>
        </w:rPr>
        <w:t>2025.</w:t>
      </w:r>
    </w:p>
    <w:p>
      <w:pPr>
        <w:pStyle w:val="BodyText"/>
        <w:spacing w:before="47"/>
        <w:rPr>
          <w:sz w:val="18"/>
        </w:rPr>
      </w:pPr>
    </w:p>
    <w:p>
      <w:pPr>
        <w:pStyle w:val="ListParagraph"/>
        <w:numPr>
          <w:ilvl w:val="0"/>
          <w:numId w:val="6"/>
        </w:numPr>
        <w:tabs>
          <w:tab w:pos="2345" w:val="left" w:leader="none"/>
        </w:tabs>
        <w:spacing w:line="273" w:lineRule="auto" w:before="1" w:after="0"/>
        <w:ind w:left="2345" w:right="1603" w:hanging="360"/>
        <w:jc w:val="both"/>
        <w:rPr>
          <w:sz w:val="22"/>
        </w:rPr>
      </w:pPr>
      <w:r>
        <w:rPr>
          <w:sz w:val="22"/>
        </w:rPr>
        <w:t>Programa</w:t>
      </w:r>
      <w:r>
        <w:rPr>
          <w:spacing w:val="-9"/>
          <w:sz w:val="22"/>
        </w:rPr>
        <w:t> </w:t>
      </w:r>
      <w:r>
        <w:rPr>
          <w:sz w:val="22"/>
        </w:rPr>
        <w:t>Protección</w:t>
      </w:r>
      <w:r>
        <w:rPr>
          <w:spacing w:val="-8"/>
          <w:sz w:val="22"/>
        </w:rPr>
        <w:t> </w:t>
      </w:r>
      <w:r>
        <w:rPr>
          <w:sz w:val="22"/>
        </w:rPr>
        <w:t>y</w:t>
      </w:r>
      <w:r>
        <w:rPr>
          <w:spacing w:val="-7"/>
          <w:sz w:val="22"/>
        </w:rPr>
        <w:t> </w:t>
      </w:r>
      <w:r>
        <w:rPr>
          <w:sz w:val="22"/>
        </w:rPr>
        <w:t>Promoción</w:t>
      </w:r>
      <w:r>
        <w:rPr>
          <w:spacing w:val="-8"/>
          <w:sz w:val="22"/>
        </w:rPr>
        <w:t> </w:t>
      </w:r>
      <w:r>
        <w:rPr>
          <w:sz w:val="22"/>
        </w:rPr>
        <w:t>Social:</w:t>
      </w:r>
      <w:r>
        <w:rPr>
          <w:spacing w:val="-6"/>
          <w:sz w:val="22"/>
        </w:rPr>
        <w:t> </w:t>
      </w:r>
      <w:r>
        <w:rPr>
          <w:sz w:val="22"/>
        </w:rPr>
        <w:t>A</w:t>
      </w:r>
      <w:r>
        <w:rPr>
          <w:spacing w:val="-8"/>
          <w:sz w:val="22"/>
        </w:rPr>
        <w:t> </w:t>
      </w:r>
      <w:r>
        <w:rPr>
          <w:sz w:val="22"/>
        </w:rPr>
        <w:t>este</w:t>
      </w:r>
      <w:r>
        <w:rPr>
          <w:spacing w:val="-10"/>
          <w:sz w:val="22"/>
        </w:rPr>
        <w:t> </w:t>
      </w:r>
      <w:r>
        <w:rPr>
          <w:sz w:val="22"/>
        </w:rPr>
        <w:t>programa</w:t>
      </w:r>
      <w:r>
        <w:rPr>
          <w:spacing w:val="-7"/>
          <w:sz w:val="22"/>
        </w:rPr>
        <w:t> </w:t>
      </w:r>
      <w:r>
        <w:rPr>
          <w:sz w:val="22"/>
        </w:rPr>
        <w:t>se</w:t>
      </w:r>
      <w:r>
        <w:rPr>
          <w:spacing w:val="-7"/>
          <w:sz w:val="22"/>
        </w:rPr>
        <w:t> </w:t>
      </w:r>
      <w:r>
        <w:rPr>
          <w:sz w:val="22"/>
        </w:rPr>
        <w:t>le</w:t>
      </w:r>
      <w:r>
        <w:rPr>
          <w:spacing w:val="-7"/>
          <w:sz w:val="22"/>
        </w:rPr>
        <w:t> </w:t>
      </w:r>
      <w:r>
        <w:rPr>
          <w:sz w:val="22"/>
        </w:rPr>
        <w:t>asignó</w:t>
      </w:r>
      <w:r>
        <w:rPr>
          <w:spacing w:val="-7"/>
          <w:sz w:val="22"/>
        </w:rPr>
        <w:t> </w:t>
      </w:r>
      <w:r>
        <w:rPr>
          <w:sz w:val="22"/>
        </w:rPr>
        <w:t>un</w:t>
      </w:r>
      <w:r>
        <w:rPr>
          <w:spacing w:val="-7"/>
          <w:sz w:val="22"/>
        </w:rPr>
        <w:t> </w:t>
      </w:r>
      <w:r>
        <w:rPr>
          <w:sz w:val="22"/>
        </w:rPr>
        <w:t>monto total</w:t>
      </w:r>
      <w:r>
        <w:rPr>
          <w:spacing w:val="64"/>
          <w:sz w:val="22"/>
        </w:rPr>
        <w:t> </w:t>
      </w:r>
      <w:r>
        <w:rPr>
          <w:sz w:val="22"/>
        </w:rPr>
        <w:t>de</w:t>
      </w:r>
      <w:r>
        <w:rPr>
          <w:spacing w:val="62"/>
          <w:sz w:val="22"/>
        </w:rPr>
        <w:t> </w:t>
      </w:r>
      <w:r>
        <w:rPr>
          <w:sz w:val="22"/>
        </w:rPr>
        <w:t>¢258,756,414.12</w:t>
      </w:r>
      <w:r>
        <w:rPr>
          <w:spacing w:val="64"/>
          <w:sz w:val="22"/>
        </w:rPr>
        <w:t> </w:t>
      </w:r>
      <w:r>
        <w:rPr>
          <w:sz w:val="22"/>
        </w:rPr>
        <w:t>miles;</w:t>
      </w:r>
      <w:r>
        <w:rPr>
          <w:spacing w:val="63"/>
          <w:sz w:val="22"/>
        </w:rPr>
        <w:t> </w:t>
      </w:r>
      <w:r>
        <w:rPr>
          <w:sz w:val="22"/>
        </w:rPr>
        <w:t>de</w:t>
      </w:r>
      <w:r>
        <w:rPr>
          <w:spacing w:val="62"/>
          <w:sz w:val="22"/>
        </w:rPr>
        <w:t> </w:t>
      </w:r>
      <w:r>
        <w:rPr>
          <w:sz w:val="22"/>
        </w:rPr>
        <w:t>los</w:t>
      </w:r>
      <w:r>
        <w:rPr>
          <w:spacing w:val="64"/>
          <w:sz w:val="22"/>
        </w:rPr>
        <w:t> </w:t>
      </w:r>
      <w:r>
        <w:rPr>
          <w:sz w:val="22"/>
        </w:rPr>
        <w:t>cuales</w:t>
      </w:r>
      <w:r>
        <w:rPr>
          <w:spacing w:val="62"/>
          <w:sz w:val="22"/>
        </w:rPr>
        <w:t> </w:t>
      </w:r>
      <w:r>
        <w:rPr>
          <w:sz w:val="22"/>
        </w:rPr>
        <w:t>la</w:t>
      </w:r>
      <w:r>
        <w:rPr>
          <w:spacing w:val="64"/>
          <w:sz w:val="22"/>
        </w:rPr>
        <w:t> </w:t>
      </w:r>
      <w:r>
        <w:rPr>
          <w:sz w:val="22"/>
        </w:rPr>
        <w:t>ejecución</w:t>
      </w:r>
      <w:r>
        <w:rPr>
          <w:spacing w:val="62"/>
          <w:sz w:val="22"/>
        </w:rPr>
        <w:t> </w:t>
      </w:r>
      <w:r>
        <w:rPr>
          <w:sz w:val="22"/>
        </w:rPr>
        <w:t>real</w:t>
      </w:r>
      <w:r>
        <w:rPr>
          <w:spacing w:val="64"/>
          <w:sz w:val="22"/>
        </w:rPr>
        <w:t> </w:t>
      </w:r>
      <w:r>
        <w:rPr>
          <w:sz w:val="22"/>
        </w:rPr>
        <w:t>ascendió</w:t>
      </w:r>
      <w:r>
        <w:rPr>
          <w:spacing w:val="64"/>
          <w:sz w:val="22"/>
        </w:rPr>
        <w:t> </w:t>
      </w:r>
      <w:r>
        <w:rPr>
          <w:sz w:val="22"/>
        </w:rPr>
        <w:t>a</w:t>
      </w:r>
    </w:p>
    <w:p>
      <w:pPr>
        <w:pStyle w:val="BodyText"/>
        <w:spacing w:line="278" w:lineRule="auto" w:before="5"/>
        <w:ind w:left="2345" w:right="1602"/>
        <w:jc w:val="both"/>
      </w:pPr>
      <w:r>
        <w:rPr/>
        <w:t>¢237,510,033.76 miles, distribuidos de la siguiente manera: Si se analizan los recursos</w:t>
      </w:r>
      <w:r>
        <w:rPr>
          <w:spacing w:val="-2"/>
        </w:rPr>
        <w:t> </w:t>
      </w:r>
      <w:r>
        <w:rPr/>
        <w:t>asignados a la</w:t>
      </w:r>
      <w:r>
        <w:rPr>
          <w:spacing w:val="-2"/>
        </w:rPr>
        <w:t> </w:t>
      </w:r>
      <w:r>
        <w:rPr/>
        <w:t>Inversión Social</w:t>
      </w:r>
      <w:r>
        <w:rPr>
          <w:spacing w:val="-1"/>
        </w:rPr>
        <w:t> </w:t>
      </w:r>
      <w:r>
        <w:rPr/>
        <w:t>se obtiene que: del</w:t>
      </w:r>
      <w:r>
        <w:rPr>
          <w:spacing w:val="-2"/>
        </w:rPr>
        <w:t> </w:t>
      </w:r>
      <w:r>
        <w:rPr/>
        <w:t>total de los</w:t>
      </w:r>
      <w:r>
        <w:rPr>
          <w:spacing w:val="-2"/>
        </w:rPr>
        <w:t> </w:t>
      </w:r>
      <w:r>
        <w:rPr/>
        <w:t>recursos asignados</w:t>
      </w:r>
      <w:r>
        <w:rPr>
          <w:spacing w:val="40"/>
        </w:rPr>
        <w:t> </w:t>
      </w:r>
      <w:r>
        <w:rPr/>
        <w:t>al</w:t>
      </w:r>
      <w:r>
        <w:rPr>
          <w:spacing w:val="40"/>
        </w:rPr>
        <w:t> </w:t>
      </w:r>
      <w:r>
        <w:rPr/>
        <w:t>Programa</w:t>
      </w:r>
      <w:r>
        <w:rPr>
          <w:spacing w:val="40"/>
        </w:rPr>
        <w:t> </w:t>
      </w:r>
      <w:r>
        <w:rPr/>
        <w:t>por</w:t>
      </w:r>
      <w:r>
        <w:rPr>
          <w:spacing w:val="40"/>
        </w:rPr>
        <w:t> </w:t>
      </w:r>
      <w:r>
        <w:rPr/>
        <w:t>la</w:t>
      </w:r>
      <w:r>
        <w:rPr>
          <w:spacing w:val="40"/>
        </w:rPr>
        <w:t> </w:t>
      </w:r>
      <w:r>
        <w:rPr/>
        <w:t>suma</w:t>
      </w:r>
      <w:r>
        <w:rPr>
          <w:spacing w:val="40"/>
        </w:rPr>
        <w:t> </w:t>
      </w:r>
      <w:r>
        <w:rPr/>
        <w:t>de</w:t>
      </w:r>
      <w:r>
        <w:rPr>
          <w:spacing w:val="40"/>
        </w:rPr>
        <w:t> </w:t>
      </w:r>
      <w:r>
        <w:rPr/>
        <w:t>¢258,756,414.12</w:t>
      </w:r>
      <w:r>
        <w:rPr>
          <w:spacing w:val="40"/>
        </w:rPr>
        <w:t> </w:t>
      </w:r>
      <w:r>
        <w:rPr/>
        <w:t>miles,</w:t>
      </w:r>
      <w:r>
        <w:rPr>
          <w:spacing w:val="40"/>
        </w:rPr>
        <w:t> </w:t>
      </w:r>
      <w:r>
        <w:rPr/>
        <w:t>un</w:t>
      </w:r>
      <w:r>
        <w:rPr>
          <w:spacing w:val="40"/>
        </w:rPr>
        <w:t> </w:t>
      </w:r>
      <w:r>
        <w:rPr/>
        <w:t>monto</w:t>
      </w:r>
      <w:r>
        <w:rPr>
          <w:spacing w:val="40"/>
        </w:rPr>
        <w:t> </w:t>
      </w:r>
      <w:r>
        <w:rPr/>
        <w:t>de</w:t>
      </w:r>
    </w:p>
    <w:p>
      <w:pPr>
        <w:pStyle w:val="BodyText"/>
        <w:spacing w:line="278" w:lineRule="auto"/>
        <w:ind w:left="2345" w:right="1603"/>
        <w:jc w:val="both"/>
      </w:pPr>
      <w:r>
        <w:rPr/>
        <w:t>¢230,519,714.95, se destinó al financiamiento de la Inversión Social, distribuido en los diferentes rubros estratégicos definidos al</w:t>
      </w:r>
      <w:r>
        <w:rPr>
          <w:spacing w:val="-1"/>
        </w:rPr>
        <w:t> </w:t>
      </w:r>
      <w:r>
        <w:rPr/>
        <w:t>interno de la institución y de los cuales se logró una ejecución real ¢215,536,408.01 miles. Además, del monto total de los recursos asignados a la Inversión Social, el gasto administrativo operativo</w:t>
      </w:r>
      <w:r>
        <w:rPr>
          <w:spacing w:val="-9"/>
        </w:rPr>
        <w:t> </w:t>
      </w:r>
      <w:r>
        <w:rPr/>
        <w:t>asciende</w:t>
      </w:r>
      <w:r>
        <w:rPr>
          <w:spacing w:val="-9"/>
        </w:rPr>
        <w:t> </w:t>
      </w:r>
      <w:r>
        <w:rPr/>
        <w:t>a</w:t>
      </w:r>
      <w:r>
        <w:rPr>
          <w:spacing w:val="-11"/>
        </w:rPr>
        <w:t> </w:t>
      </w:r>
      <w:r>
        <w:rPr/>
        <w:t>la</w:t>
      </w:r>
      <w:r>
        <w:rPr>
          <w:spacing w:val="-9"/>
        </w:rPr>
        <w:t> </w:t>
      </w:r>
      <w:r>
        <w:rPr/>
        <w:t>suma</w:t>
      </w:r>
      <w:r>
        <w:rPr>
          <w:spacing w:val="-8"/>
        </w:rPr>
        <w:t> </w:t>
      </w:r>
      <w:r>
        <w:rPr/>
        <w:t>de</w:t>
      </w:r>
      <w:r>
        <w:rPr>
          <w:spacing w:val="-9"/>
        </w:rPr>
        <w:t> </w:t>
      </w:r>
      <w:r>
        <w:rPr/>
        <w:t>¢28,236,699.17</w:t>
      </w:r>
      <w:r>
        <w:rPr>
          <w:spacing w:val="-12"/>
        </w:rPr>
        <w:t> </w:t>
      </w:r>
      <w:r>
        <w:rPr/>
        <w:t>miles,</w:t>
      </w:r>
      <w:r>
        <w:rPr>
          <w:spacing w:val="-8"/>
        </w:rPr>
        <w:t> </w:t>
      </w:r>
      <w:r>
        <w:rPr/>
        <w:t>de</w:t>
      </w:r>
      <w:r>
        <w:rPr>
          <w:spacing w:val="-9"/>
        </w:rPr>
        <w:t> </w:t>
      </w:r>
      <w:r>
        <w:rPr/>
        <w:t>los</w:t>
      </w:r>
      <w:r>
        <w:rPr>
          <w:spacing w:val="-9"/>
        </w:rPr>
        <w:t> </w:t>
      </w:r>
      <w:r>
        <w:rPr/>
        <w:t>cuales</w:t>
      </w:r>
      <w:r>
        <w:rPr>
          <w:spacing w:val="-9"/>
        </w:rPr>
        <w:t> </w:t>
      </w:r>
      <w:r>
        <w:rPr/>
        <w:t>se</w:t>
      </w:r>
      <w:r>
        <w:rPr>
          <w:spacing w:val="-11"/>
        </w:rPr>
        <w:t> </w:t>
      </w:r>
      <w:r>
        <w:rPr/>
        <w:t>logró</w:t>
      </w:r>
      <w:r>
        <w:rPr>
          <w:spacing w:val="-9"/>
        </w:rPr>
        <w:t> </w:t>
      </w:r>
      <w:r>
        <w:rPr/>
        <w:t>una ejecución real de ¢21,973,625.75 miles.</w:t>
      </w:r>
    </w:p>
    <w:p>
      <w:pPr>
        <w:pStyle w:val="BodyText"/>
        <w:spacing w:before="36"/>
      </w:pPr>
    </w:p>
    <w:p>
      <w:pPr>
        <w:pStyle w:val="ListParagraph"/>
        <w:numPr>
          <w:ilvl w:val="0"/>
          <w:numId w:val="6"/>
        </w:numPr>
        <w:tabs>
          <w:tab w:pos="2345" w:val="left" w:leader="none"/>
        </w:tabs>
        <w:spacing w:line="278" w:lineRule="auto" w:before="0" w:after="0"/>
        <w:ind w:left="2345" w:right="1603" w:hanging="360"/>
        <w:jc w:val="both"/>
        <w:rPr>
          <w:sz w:val="22"/>
        </w:rPr>
      </w:pPr>
      <w:r>
        <w:rPr>
          <w:sz w:val="22"/>
        </w:rPr>
        <w:t>Programa Actividades Centrales: El programa Actividades Centrales, contempla los recursos asignados al centro gestor Auditoría Interna, así como los recursos de gasto administrativo/operativos asignados en el centro gestor de Avancemos dentro del programa. Este cuenta con recursos por la suma de ¢11,699,745.04 miles, logrando una ejecución real de ¢8,054,170.04 miles.</w:t>
      </w:r>
    </w:p>
    <w:p>
      <w:pPr>
        <w:pStyle w:val="ListParagraph"/>
        <w:numPr>
          <w:ilvl w:val="0"/>
          <w:numId w:val="6"/>
        </w:numPr>
        <w:tabs>
          <w:tab w:pos="2345" w:val="left" w:leader="none"/>
        </w:tabs>
        <w:spacing w:line="278" w:lineRule="auto" w:before="247" w:after="0"/>
        <w:ind w:left="2345" w:right="1604" w:hanging="360"/>
        <w:jc w:val="both"/>
        <w:rPr>
          <w:sz w:val="22"/>
        </w:rPr>
      </w:pPr>
      <w:r>
        <w:rPr>
          <w:sz w:val="22"/>
        </w:rPr>
        <w:t>Programa</w:t>
      </w:r>
      <w:r>
        <w:rPr>
          <w:spacing w:val="-13"/>
          <w:sz w:val="22"/>
        </w:rPr>
        <w:t> </w:t>
      </w:r>
      <w:r>
        <w:rPr>
          <w:sz w:val="22"/>
        </w:rPr>
        <w:t>Empresas</w:t>
      </w:r>
      <w:r>
        <w:rPr>
          <w:spacing w:val="-13"/>
          <w:sz w:val="22"/>
        </w:rPr>
        <w:t> </w:t>
      </w:r>
      <w:r>
        <w:rPr>
          <w:sz w:val="22"/>
        </w:rPr>
        <w:t>Comerciales:</w:t>
      </w:r>
      <w:r>
        <w:rPr>
          <w:spacing w:val="-12"/>
          <w:sz w:val="22"/>
        </w:rPr>
        <w:t> </w:t>
      </w:r>
      <w:r>
        <w:rPr>
          <w:sz w:val="22"/>
        </w:rPr>
        <w:t>El</w:t>
      </w:r>
      <w:r>
        <w:rPr>
          <w:spacing w:val="-12"/>
          <w:sz w:val="22"/>
        </w:rPr>
        <w:t> </w:t>
      </w:r>
      <w:r>
        <w:rPr>
          <w:sz w:val="22"/>
        </w:rPr>
        <w:t>programa</w:t>
      </w:r>
      <w:r>
        <w:rPr>
          <w:spacing w:val="-13"/>
          <w:sz w:val="22"/>
        </w:rPr>
        <w:t> </w:t>
      </w:r>
      <w:r>
        <w:rPr>
          <w:sz w:val="22"/>
        </w:rPr>
        <w:t>de</w:t>
      </w:r>
      <w:r>
        <w:rPr>
          <w:spacing w:val="-11"/>
          <w:sz w:val="22"/>
        </w:rPr>
        <w:t> </w:t>
      </w:r>
      <w:r>
        <w:rPr>
          <w:sz w:val="22"/>
        </w:rPr>
        <w:t>Empresas</w:t>
      </w:r>
      <w:r>
        <w:rPr>
          <w:spacing w:val="-10"/>
          <w:sz w:val="22"/>
        </w:rPr>
        <w:t> </w:t>
      </w:r>
      <w:r>
        <w:rPr>
          <w:sz w:val="22"/>
        </w:rPr>
        <w:t>Comerciales</w:t>
      </w:r>
      <w:r>
        <w:rPr>
          <w:spacing w:val="-13"/>
          <w:sz w:val="22"/>
        </w:rPr>
        <w:t> </w:t>
      </w:r>
      <w:r>
        <w:rPr>
          <w:sz w:val="22"/>
        </w:rPr>
        <w:t>cuenta con un presupuesto ajustado de ¢26,339,595.71 miles y un monto de egresos</w:t>
      </w:r>
    </w:p>
    <w:p>
      <w:pPr>
        <w:pStyle w:val="BodyText"/>
        <w:spacing w:before="155"/>
        <w:ind w:left="1642" w:right="1619"/>
        <w:jc w:val="both"/>
      </w:pPr>
      <w:r>
        <w:rPr/>
        <w:t>A manera de conclusión, el IMAS durante el año 2025 alcanzó una alta ejecución presupuestaria, destinando la mayor parte de recursos institucionales hacia la atención de la población objetivo. En cuanto a los ingresos por empresas comerciales, se considera que, se ha logrado mantener una sostenibilidad del negocio estableciendo opciones de mejora para la funcionalidad propia de la gestión de recursos.</w:t>
      </w:r>
    </w:p>
    <w:p>
      <w:pPr>
        <w:pStyle w:val="BodyText"/>
        <w:spacing w:after="0"/>
        <w:jc w:val="both"/>
        <w:sectPr>
          <w:pgSz w:w="12240" w:h="15840"/>
          <w:pgMar w:header="0" w:footer="1576" w:top="1000" w:bottom="1760" w:left="360" w:right="0"/>
        </w:sectPr>
      </w:pPr>
    </w:p>
    <w:p>
      <w:pPr>
        <w:pStyle w:val="Heading3"/>
        <w:numPr>
          <w:ilvl w:val="2"/>
          <w:numId w:val="5"/>
        </w:numPr>
        <w:tabs>
          <w:tab w:pos="2224" w:val="left" w:leader="none"/>
        </w:tabs>
        <w:spacing w:line="240" w:lineRule="auto" w:before="74" w:after="0"/>
        <w:ind w:left="2224" w:right="0" w:hanging="599"/>
        <w:jc w:val="left"/>
      </w:pPr>
      <w:r>
        <w:rPr/>
        <w:t>Recursos</w:t>
      </w:r>
      <w:r>
        <w:rPr>
          <w:spacing w:val="-5"/>
        </w:rPr>
        <w:t> </w:t>
      </w:r>
      <w:r>
        <w:rPr>
          <w:spacing w:val="-2"/>
        </w:rPr>
        <w:t>Humanos</w:t>
      </w:r>
    </w:p>
    <w:p>
      <w:pPr>
        <w:pStyle w:val="BodyText"/>
        <w:rPr>
          <w:b/>
          <w:sz w:val="24"/>
        </w:rPr>
      </w:pPr>
    </w:p>
    <w:p>
      <w:pPr>
        <w:pStyle w:val="BodyText"/>
        <w:ind w:left="1642" w:right="1620"/>
        <w:jc w:val="both"/>
      </w:pPr>
      <w:r>
        <w:rPr/>
        <w:t>En relación con las personas funcionarias y trabajadoras que componen el recurso humano</w:t>
      </w:r>
      <w:r>
        <w:rPr>
          <w:spacing w:val="-3"/>
        </w:rPr>
        <w:t> </w:t>
      </w:r>
      <w:r>
        <w:rPr/>
        <w:t>institucional,</w:t>
      </w:r>
      <w:r>
        <w:rPr>
          <w:spacing w:val="-1"/>
        </w:rPr>
        <w:t> </w:t>
      </w:r>
      <w:r>
        <w:rPr/>
        <w:t>se</w:t>
      </w:r>
      <w:r>
        <w:rPr>
          <w:spacing w:val="-5"/>
        </w:rPr>
        <w:t> </w:t>
      </w:r>
      <w:r>
        <w:rPr/>
        <w:t>ha</w:t>
      </w:r>
      <w:r>
        <w:rPr>
          <w:spacing w:val="-1"/>
        </w:rPr>
        <w:t> </w:t>
      </w:r>
      <w:r>
        <w:rPr/>
        <w:t>procurado</w:t>
      </w:r>
      <w:r>
        <w:rPr>
          <w:spacing w:val="-3"/>
        </w:rPr>
        <w:t> </w:t>
      </w:r>
      <w:r>
        <w:rPr/>
        <w:t>disponer</w:t>
      </w:r>
      <w:r>
        <w:rPr>
          <w:spacing w:val="-2"/>
        </w:rPr>
        <w:t> </w:t>
      </w:r>
      <w:r>
        <w:rPr/>
        <w:t>del</w:t>
      </w:r>
      <w:r>
        <w:rPr>
          <w:spacing w:val="-2"/>
        </w:rPr>
        <w:t> </w:t>
      </w:r>
      <w:r>
        <w:rPr/>
        <w:t>personal</w:t>
      </w:r>
      <w:r>
        <w:rPr>
          <w:spacing w:val="-4"/>
        </w:rPr>
        <w:t> </w:t>
      </w:r>
      <w:r>
        <w:rPr/>
        <w:t>idóneo</w:t>
      </w:r>
      <w:r>
        <w:rPr>
          <w:spacing w:val="-3"/>
        </w:rPr>
        <w:t> </w:t>
      </w:r>
      <w:r>
        <w:rPr/>
        <w:t>de</w:t>
      </w:r>
      <w:r>
        <w:rPr>
          <w:spacing w:val="-3"/>
        </w:rPr>
        <w:t> </w:t>
      </w:r>
      <w:r>
        <w:rPr/>
        <w:t>conformidad con el cargo en el que se contrate, y se pretende fortalecer las habilidades, destrezas, capacidades profesionales y de especialización necesarias para proveer un servicio de forma eficiente a la población en condición de pobreza.</w:t>
      </w:r>
    </w:p>
    <w:p>
      <w:pPr>
        <w:pStyle w:val="BodyText"/>
        <w:spacing w:before="252"/>
        <w:ind w:left="1642"/>
        <w:jc w:val="both"/>
      </w:pPr>
      <w:r>
        <w:rPr/>
        <w:t>La</w:t>
      </w:r>
      <w:r>
        <w:rPr>
          <w:spacing w:val="-7"/>
        </w:rPr>
        <w:t> </w:t>
      </w:r>
      <w:r>
        <w:rPr/>
        <w:t>cantidad</w:t>
      </w:r>
      <w:r>
        <w:rPr>
          <w:spacing w:val="-6"/>
        </w:rPr>
        <w:t> </w:t>
      </w:r>
      <w:r>
        <w:rPr/>
        <w:t>de</w:t>
      </w:r>
      <w:r>
        <w:rPr>
          <w:spacing w:val="-4"/>
        </w:rPr>
        <w:t> </w:t>
      </w:r>
      <w:r>
        <w:rPr/>
        <w:t>plazas</w:t>
      </w:r>
      <w:r>
        <w:rPr>
          <w:spacing w:val="-6"/>
        </w:rPr>
        <w:t> </w:t>
      </w:r>
      <w:r>
        <w:rPr/>
        <w:t>en</w:t>
      </w:r>
      <w:r>
        <w:rPr>
          <w:spacing w:val="-6"/>
        </w:rPr>
        <w:t> </w:t>
      </w:r>
      <w:r>
        <w:rPr/>
        <w:t>la</w:t>
      </w:r>
      <w:r>
        <w:rPr>
          <w:spacing w:val="-4"/>
        </w:rPr>
        <w:t> </w:t>
      </w:r>
      <w:r>
        <w:rPr/>
        <w:t>institución</w:t>
      </w:r>
      <w:r>
        <w:rPr>
          <w:spacing w:val="-7"/>
        </w:rPr>
        <w:t> </w:t>
      </w:r>
      <w:r>
        <w:rPr/>
        <w:t>se</w:t>
      </w:r>
      <w:r>
        <w:rPr>
          <w:spacing w:val="-4"/>
        </w:rPr>
        <w:t> </w:t>
      </w:r>
      <w:r>
        <w:rPr/>
        <w:t>evidencia</w:t>
      </w:r>
      <w:r>
        <w:rPr>
          <w:spacing w:val="-4"/>
        </w:rPr>
        <w:t> </w:t>
      </w:r>
      <w:r>
        <w:rPr/>
        <w:t>en</w:t>
      </w:r>
      <w:r>
        <w:rPr>
          <w:spacing w:val="-4"/>
        </w:rPr>
        <w:t> </w:t>
      </w:r>
      <w:r>
        <w:rPr/>
        <w:t>la</w:t>
      </w:r>
      <w:r>
        <w:rPr>
          <w:spacing w:val="-4"/>
        </w:rPr>
        <w:t> </w:t>
      </w:r>
      <w:r>
        <w:rPr/>
        <w:t>siguiente</w:t>
      </w:r>
      <w:r>
        <w:rPr>
          <w:spacing w:val="-6"/>
        </w:rPr>
        <w:t> </w:t>
      </w:r>
      <w:r>
        <w:rPr>
          <w:spacing w:val="-2"/>
        </w:rPr>
        <w:t>tabla:</w:t>
      </w:r>
    </w:p>
    <w:p>
      <w:pPr>
        <w:pStyle w:val="BodyText"/>
        <w:spacing w:before="24"/>
      </w:pPr>
    </w:p>
    <w:p>
      <w:pPr>
        <w:pStyle w:val="Heading5"/>
        <w:ind w:left="1462" w:right="1303"/>
        <w:jc w:val="center"/>
      </w:pPr>
      <w:bookmarkStart w:name="_bookmark16" w:id="17"/>
      <w:bookmarkEnd w:id="17"/>
      <w:r>
        <w:rPr>
          <w:b w:val="0"/>
        </w:rPr>
      </w:r>
      <w:r>
        <w:rPr/>
        <w:t>Tabla</w:t>
      </w:r>
      <w:r>
        <w:rPr>
          <w:spacing w:val="-3"/>
        </w:rPr>
        <w:t> </w:t>
      </w:r>
      <w:r>
        <w:rPr/>
        <w:t>7:</w:t>
      </w:r>
      <w:r>
        <w:rPr>
          <w:spacing w:val="-2"/>
        </w:rPr>
        <w:t> </w:t>
      </w:r>
      <w:r>
        <w:rPr/>
        <w:t>Cantidad</w:t>
      </w:r>
      <w:r>
        <w:rPr>
          <w:spacing w:val="-3"/>
        </w:rPr>
        <w:t> </w:t>
      </w:r>
      <w:r>
        <w:rPr/>
        <w:t>de</w:t>
      </w:r>
      <w:r>
        <w:rPr>
          <w:spacing w:val="-6"/>
        </w:rPr>
        <w:t> </w:t>
      </w:r>
      <w:r>
        <w:rPr/>
        <w:t>Plazas</w:t>
      </w:r>
      <w:r>
        <w:rPr>
          <w:spacing w:val="-3"/>
        </w:rPr>
        <w:t> </w:t>
      </w:r>
      <w:r>
        <w:rPr/>
        <w:t>en</w:t>
      </w:r>
      <w:r>
        <w:rPr>
          <w:spacing w:val="-3"/>
        </w:rPr>
        <w:t> </w:t>
      </w:r>
      <w:r>
        <w:rPr/>
        <w:t>el</w:t>
      </w:r>
      <w:r>
        <w:rPr>
          <w:spacing w:val="-4"/>
        </w:rPr>
        <w:t> IMAS</w:t>
      </w:r>
    </w:p>
    <w:p>
      <w:pPr>
        <w:pStyle w:val="BodyText"/>
        <w:spacing w:before="45"/>
        <w:rPr>
          <w:b/>
          <w:sz w:val="20"/>
        </w:rPr>
      </w:pPr>
    </w:p>
    <w:tbl>
      <w:tblPr>
        <w:tblW w:w="0" w:type="auto"/>
        <w:jc w:val="left"/>
        <w:tblInd w:w="2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64"/>
        <w:gridCol w:w="1983"/>
      </w:tblGrid>
      <w:tr>
        <w:trPr>
          <w:trHeight w:val="691" w:hRule="atLeast"/>
        </w:trPr>
        <w:tc>
          <w:tcPr>
            <w:tcW w:w="4964" w:type="dxa"/>
            <w:shd w:val="clear" w:color="auto" w:fill="0E233D"/>
          </w:tcPr>
          <w:p>
            <w:pPr>
              <w:pStyle w:val="TableParagraph"/>
              <w:spacing w:before="230"/>
              <w:ind w:left="107"/>
              <w:rPr>
                <w:b/>
                <w:sz w:val="20"/>
              </w:rPr>
            </w:pPr>
            <w:r>
              <w:rPr>
                <w:b/>
                <w:color w:val="FFFFFF"/>
                <w:spacing w:val="-2"/>
                <w:sz w:val="20"/>
              </w:rPr>
              <w:t>Detalle</w:t>
            </w:r>
          </w:p>
        </w:tc>
        <w:tc>
          <w:tcPr>
            <w:tcW w:w="1983" w:type="dxa"/>
            <w:shd w:val="clear" w:color="auto" w:fill="0E233D"/>
          </w:tcPr>
          <w:p>
            <w:pPr>
              <w:pStyle w:val="TableParagraph"/>
              <w:ind w:left="686" w:right="403" w:hanging="267"/>
              <w:rPr>
                <w:b/>
                <w:sz w:val="20"/>
              </w:rPr>
            </w:pPr>
            <w:r>
              <w:rPr>
                <w:b/>
                <w:color w:val="FFFFFF"/>
                <w:sz w:val="20"/>
              </w:rPr>
              <w:t>Cantidad</w:t>
            </w:r>
            <w:r>
              <w:rPr>
                <w:b/>
                <w:color w:val="FFFFFF"/>
                <w:spacing w:val="-14"/>
                <w:sz w:val="20"/>
              </w:rPr>
              <w:t> </w:t>
            </w:r>
            <w:r>
              <w:rPr>
                <w:b/>
                <w:color w:val="FFFFFF"/>
                <w:sz w:val="20"/>
              </w:rPr>
              <w:t>de </w:t>
            </w:r>
            <w:r>
              <w:rPr>
                <w:b/>
                <w:color w:val="FFFFFF"/>
                <w:spacing w:val="-2"/>
                <w:sz w:val="20"/>
              </w:rPr>
              <w:t>plazas</w:t>
            </w:r>
          </w:p>
        </w:tc>
      </w:tr>
      <w:tr>
        <w:trPr>
          <w:trHeight w:val="326" w:hRule="atLeast"/>
        </w:trPr>
        <w:tc>
          <w:tcPr>
            <w:tcW w:w="4964" w:type="dxa"/>
          </w:tcPr>
          <w:p>
            <w:pPr>
              <w:pStyle w:val="TableParagraph"/>
              <w:spacing w:line="229" w:lineRule="exact"/>
              <w:ind w:left="124"/>
              <w:rPr>
                <w:sz w:val="20"/>
              </w:rPr>
            </w:pPr>
            <w:r>
              <w:rPr>
                <w:sz w:val="20"/>
              </w:rPr>
              <w:t>Plazas</w:t>
            </w:r>
            <w:r>
              <w:rPr>
                <w:spacing w:val="-9"/>
                <w:sz w:val="20"/>
              </w:rPr>
              <w:t> </w:t>
            </w:r>
            <w:r>
              <w:rPr>
                <w:spacing w:val="-2"/>
                <w:sz w:val="20"/>
              </w:rPr>
              <w:t>ocupadas</w:t>
            </w:r>
          </w:p>
        </w:tc>
        <w:tc>
          <w:tcPr>
            <w:tcW w:w="1983" w:type="dxa"/>
          </w:tcPr>
          <w:p>
            <w:pPr>
              <w:pStyle w:val="TableParagraph"/>
              <w:spacing w:line="229" w:lineRule="exact"/>
              <w:ind w:left="16" w:right="7"/>
              <w:jc w:val="center"/>
              <w:rPr>
                <w:sz w:val="20"/>
              </w:rPr>
            </w:pPr>
            <w:r>
              <w:rPr>
                <w:spacing w:val="-2"/>
                <w:sz w:val="20"/>
              </w:rPr>
              <w:t>1.293</w:t>
            </w:r>
          </w:p>
        </w:tc>
      </w:tr>
      <w:tr>
        <w:trPr>
          <w:trHeight w:val="325" w:hRule="atLeast"/>
        </w:trPr>
        <w:tc>
          <w:tcPr>
            <w:tcW w:w="4964" w:type="dxa"/>
          </w:tcPr>
          <w:p>
            <w:pPr>
              <w:pStyle w:val="TableParagraph"/>
              <w:spacing w:line="229" w:lineRule="exact"/>
              <w:ind w:left="124"/>
              <w:rPr>
                <w:sz w:val="20"/>
              </w:rPr>
            </w:pPr>
            <w:r>
              <w:rPr>
                <w:sz w:val="20"/>
              </w:rPr>
              <w:t>Plazas</w:t>
            </w:r>
            <w:r>
              <w:rPr>
                <w:spacing w:val="-11"/>
                <w:sz w:val="20"/>
              </w:rPr>
              <w:t> </w:t>
            </w:r>
            <w:r>
              <w:rPr>
                <w:spacing w:val="-2"/>
                <w:sz w:val="20"/>
              </w:rPr>
              <w:t>vacantes</w:t>
            </w:r>
          </w:p>
        </w:tc>
        <w:tc>
          <w:tcPr>
            <w:tcW w:w="1983" w:type="dxa"/>
          </w:tcPr>
          <w:p>
            <w:pPr>
              <w:pStyle w:val="TableParagraph"/>
              <w:spacing w:line="229" w:lineRule="exact"/>
              <w:ind w:left="16" w:right="7"/>
              <w:jc w:val="center"/>
              <w:rPr>
                <w:sz w:val="20"/>
              </w:rPr>
            </w:pPr>
            <w:r>
              <w:rPr>
                <w:spacing w:val="-5"/>
                <w:sz w:val="20"/>
              </w:rPr>
              <w:t>73</w:t>
            </w:r>
          </w:p>
        </w:tc>
      </w:tr>
      <w:tr>
        <w:trPr>
          <w:trHeight w:val="230" w:hRule="atLeast"/>
        </w:trPr>
        <w:tc>
          <w:tcPr>
            <w:tcW w:w="4964" w:type="dxa"/>
            <w:shd w:val="clear" w:color="auto" w:fill="0E233D"/>
          </w:tcPr>
          <w:p>
            <w:pPr>
              <w:pStyle w:val="TableParagraph"/>
              <w:spacing w:line="210" w:lineRule="exact"/>
              <w:ind w:left="124"/>
              <w:rPr>
                <w:sz w:val="20"/>
              </w:rPr>
            </w:pPr>
            <w:r>
              <w:rPr>
                <w:color w:val="FFFFFF"/>
                <w:sz w:val="20"/>
              </w:rPr>
              <w:t>Cantidad</w:t>
            </w:r>
            <w:r>
              <w:rPr>
                <w:color w:val="FFFFFF"/>
                <w:spacing w:val="-7"/>
                <w:sz w:val="20"/>
              </w:rPr>
              <w:t> </w:t>
            </w:r>
            <w:r>
              <w:rPr>
                <w:color w:val="FFFFFF"/>
                <w:sz w:val="20"/>
              </w:rPr>
              <w:t>total</w:t>
            </w:r>
            <w:r>
              <w:rPr>
                <w:color w:val="FFFFFF"/>
                <w:spacing w:val="-6"/>
                <w:sz w:val="20"/>
              </w:rPr>
              <w:t> </w:t>
            </w:r>
            <w:r>
              <w:rPr>
                <w:color w:val="FFFFFF"/>
                <w:sz w:val="20"/>
              </w:rPr>
              <w:t>de</w:t>
            </w:r>
            <w:r>
              <w:rPr>
                <w:color w:val="FFFFFF"/>
                <w:spacing w:val="-6"/>
                <w:sz w:val="20"/>
              </w:rPr>
              <w:t> </w:t>
            </w:r>
            <w:r>
              <w:rPr>
                <w:color w:val="FFFFFF"/>
                <w:sz w:val="20"/>
              </w:rPr>
              <w:t>plazas</w:t>
            </w:r>
            <w:r>
              <w:rPr>
                <w:color w:val="FFFFFF"/>
                <w:spacing w:val="-6"/>
                <w:sz w:val="20"/>
              </w:rPr>
              <w:t> </w:t>
            </w:r>
            <w:r>
              <w:rPr>
                <w:color w:val="FFFFFF"/>
                <w:spacing w:val="-2"/>
                <w:sz w:val="20"/>
              </w:rPr>
              <w:t>Institucionales</w:t>
            </w:r>
          </w:p>
        </w:tc>
        <w:tc>
          <w:tcPr>
            <w:tcW w:w="1983" w:type="dxa"/>
            <w:shd w:val="clear" w:color="auto" w:fill="0E233D"/>
          </w:tcPr>
          <w:p>
            <w:pPr>
              <w:pStyle w:val="TableParagraph"/>
              <w:spacing w:line="210" w:lineRule="exact"/>
              <w:ind w:left="9" w:right="16"/>
              <w:jc w:val="center"/>
              <w:rPr>
                <w:sz w:val="20"/>
              </w:rPr>
            </w:pPr>
            <w:r>
              <w:rPr>
                <w:color w:val="FFFFFF"/>
                <w:spacing w:val="-2"/>
                <w:sz w:val="20"/>
              </w:rPr>
              <w:t>1.366</w:t>
            </w:r>
          </w:p>
        </w:tc>
      </w:tr>
    </w:tbl>
    <w:p>
      <w:pPr>
        <w:spacing w:before="0"/>
        <w:ind w:left="2477" w:right="0" w:firstLine="0"/>
        <w:jc w:val="left"/>
        <w:rPr>
          <w:sz w:val="18"/>
        </w:rPr>
      </w:pPr>
      <w:r>
        <w:rPr>
          <w:sz w:val="18"/>
        </w:rPr>
        <w:t>Fuente:</w:t>
      </w:r>
      <w:r>
        <w:rPr>
          <w:spacing w:val="-5"/>
          <w:sz w:val="18"/>
        </w:rPr>
        <w:t> </w:t>
      </w:r>
      <w:r>
        <w:rPr>
          <w:sz w:val="18"/>
        </w:rPr>
        <w:t>Unidad</w:t>
      </w:r>
      <w:r>
        <w:rPr>
          <w:spacing w:val="-3"/>
          <w:sz w:val="18"/>
        </w:rPr>
        <w:t> </w:t>
      </w:r>
      <w:r>
        <w:rPr>
          <w:sz w:val="18"/>
        </w:rPr>
        <w:t>de</w:t>
      </w:r>
      <w:r>
        <w:rPr>
          <w:spacing w:val="-5"/>
          <w:sz w:val="18"/>
        </w:rPr>
        <w:t> </w:t>
      </w:r>
      <w:r>
        <w:rPr>
          <w:sz w:val="18"/>
        </w:rPr>
        <w:t>Desarrollo</w:t>
      </w:r>
      <w:r>
        <w:rPr>
          <w:spacing w:val="-3"/>
          <w:sz w:val="18"/>
        </w:rPr>
        <w:t> </w:t>
      </w:r>
      <w:r>
        <w:rPr>
          <w:sz w:val="18"/>
        </w:rPr>
        <w:t>Humano</w:t>
      </w:r>
      <w:r>
        <w:rPr>
          <w:spacing w:val="-3"/>
          <w:sz w:val="18"/>
        </w:rPr>
        <w:t> </w:t>
      </w:r>
      <w:r>
        <w:rPr>
          <w:sz w:val="18"/>
        </w:rPr>
        <w:t>IMAS,</w:t>
      </w:r>
      <w:r>
        <w:rPr>
          <w:spacing w:val="-2"/>
          <w:sz w:val="18"/>
        </w:rPr>
        <w:t> </w:t>
      </w:r>
      <w:r>
        <w:rPr>
          <w:spacing w:val="-4"/>
          <w:sz w:val="18"/>
        </w:rPr>
        <w:t>2026.</w:t>
      </w:r>
    </w:p>
    <w:p>
      <w:pPr>
        <w:pStyle w:val="BodyText"/>
        <w:spacing w:before="47"/>
        <w:rPr>
          <w:sz w:val="18"/>
        </w:rPr>
      </w:pPr>
    </w:p>
    <w:p>
      <w:pPr>
        <w:pStyle w:val="BodyText"/>
        <w:spacing w:before="1"/>
        <w:ind w:left="1642" w:right="1619"/>
        <w:jc w:val="both"/>
      </w:pPr>
      <w:r>
        <w:rPr>
          <w:spacing w:val="-2"/>
        </w:rPr>
        <w:t>En</w:t>
      </w:r>
      <w:r>
        <w:rPr>
          <w:spacing w:val="-4"/>
        </w:rPr>
        <w:t> </w:t>
      </w:r>
      <w:r>
        <w:rPr>
          <w:spacing w:val="-2"/>
        </w:rPr>
        <w:t>cuanto</w:t>
      </w:r>
      <w:r>
        <w:rPr>
          <w:spacing w:val="-6"/>
        </w:rPr>
        <w:t> </w:t>
      </w:r>
      <w:r>
        <w:rPr>
          <w:spacing w:val="-2"/>
        </w:rPr>
        <w:t>al</w:t>
      </w:r>
      <w:r>
        <w:rPr>
          <w:spacing w:val="-8"/>
        </w:rPr>
        <w:t> </w:t>
      </w:r>
      <w:r>
        <w:rPr>
          <w:spacing w:val="-2"/>
        </w:rPr>
        <w:t>tema</w:t>
      </w:r>
      <w:r>
        <w:rPr>
          <w:spacing w:val="-8"/>
        </w:rPr>
        <w:t> </w:t>
      </w:r>
      <w:r>
        <w:rPr>
          <w:spacing w:val="-2"/>
        </w:rPr>
        <w:t>de</w:t>
      </w:r>
      <w:r>
        <w:rPr>
          <w:spacing w:val="-8"/>
        </w:rPr>
        <w:t> </w:t>
      </w:r>
      <w:r>
        <w:rPr>
          <w:spacing w:val="-2"/>
        </w:rPr>
        <w:t>contratación</w:t>
      </w:r>
      <w:r>
        <w:rPr>
          <w:spacing w:val="-4"/>
        </w:rPr>
        <w:t> </w:t>
      </w:r>
      <w:r>
        <w:rPr>
          <w:spacing w:val="-2"/>
        </w:rPr>
        <w:t>de</w:t>
      </w:r>
      <w:r>
        <w:rPr>
          <w:spacing w:val="-8"/>
        </w:rPr>
        <w:t> </w:t>
      </w:r>
      <w:r>
        <w:rPr>
          <w:spacing w:val="-2"/>
        </w:rPr>
        <w:t>personal,</w:t>
      </w:r>
      <w:r>
        <w:rPr>
          <w:spacing w:val="-5"/>
        </w:rPr>
        <w:t> </w:t>
      </w:r>
      <w:r>
        <w:rPr>
          <w:spacing w:val="-2"/>
        </w:rPr>
        <w:t>según</w:t>
      </w:r>
      <w:r>
        <w:rPr>
          <w:spacing w:val="-4"/>
        </w:rPr>
        <w:t> </w:t>
      </w:r>
      <w:r>
        <w:rPr>
          <w:spacing w:val="-2"/>
        </w:rPr>
        <w:t>información</w:t>
      </w:r>
      <w:r>
        <w:rPr>
          <w:spacing w:val="-8"/>
        </w:rPr>
        <w:t> </w:t>
      </w:r>
      <w:r>
        <w:rPr>
          <w:spacing w:val="-2"/>
        </w:rPr>
        <w:t>de</w:t>
      </w:r>
      <w:r>
        <w:rPr>
          <w:spacing w:val="-8"/>
        </w:rPr>
        <w:t> </w:t>
      </w:r>
      <w:r>
        <w:rPr>
          <w:spacing w:val="-2"/>
        </w:rPr>
        <w:t>Desarrollo</w:t>
      </w:r>
      <w:r>
        <w:rPr>
          <w:spacing w:val="-4"/>
        </w:rPr>
        <w:t> </w:t>
      </w:r>
      <w:r>
        <w:rPr>
          <w:spacing w:val="-2"/>
        </w:rPr>
        <w:t>Humano, </w:t>
      </w:r>
      <w:r>
        <w:rPr/>
        <w:t>durante</w:t>
      </w:r>
      <w:r>
        <w:rPr>
          <w:spacing w:val="-4"/>
        </w:rPr>
        <w:t> </w:t>
      </w:r>
      <w:r>
        <w:rPr/>
        <w:t>el</w:t>
      </w:r>
      <w:r>
        <w:rPr>
          <w:spacing w:val="-3"/>
        </w:rPr>
        <w:t> </w:t>
      </w:r>
      <w:r>
        <w:rPr/>
        <w:t>2025</w:t>
      </w:r>
      <w:r>
        <w:rPr>
          <w:spacing w:val="-4"/>
        </w:rPr>
        <w:t> </w:t>
      </w:r>
      <w:r>
        <w:rPr/>
        <w:t>y</w:t>
      </w:r>
      <w:r>
        <w:rPr>
          <w:spacing w:val="-4"/>
        </w:rPr>
        <w:t> </w:t>
      </w:r>
      <w:r>
        <w:rPr/>
        <w:t>hasta</w:t>
      </w:r>
      <w:r>
        <w:rPr>
          <w:spacing w:val="-6"/>
        </w:rPr>
        <w:t> </w:t>
      </w:r>
      <w:r>
        <w:rPr/>
        <w:t>el</w:t>
      </w:r>
      <w:r>
        <w:rPr>
          <w:spacing w:val="-3"/>
        </w:rPr>
        <w:t> </w:t>
      </w:r>
      <w:r>
        <w:rPr/>
        <w:t>31</w:t>
      </w:r>
      <w:r>
        <w:rPr>
          <w:spacing w:val="-2"/>
        </w:rPr>
        <w:t> </w:t>
      </w:r>
      <w:r>
        <w:rPr/>
        <w:t>de</w:t>
      </w:r>
      <w:r>
        <w:rPr>
          <w:spacing w:val="-7"/>
        </w:rPr>
        <w:t> </w:t>
      </w:r>
      <w:r>
        <w:rPr/>
        <w:t>junio</w:t>
      </w:r>
      <w:r>
        <w:rPr>
          <w:spacing w:val="-2"/>
        </w:rPr>
        <w:t> </w:t>
      </w:r>
      <w:r>
        <w:rPr/>
        <w:t>de</w:t>
      </w:r>
      <w:r>
        <w:rPr>
          <w:spacing w:val="-4"/>
        </w:rPr>
        <w:t> </w:t>
      </w:r>
      <w:r>
        <w:rPr/>
        <w:t>2026, la</w:t>
      </w:r>
      <w:r>
        <w:rPr>
          <w:spacing w:val="-4"/>
        </w:rPr>
        <w:t> </w:t>
      </w:r>
      <w:r>
        <w:rPr/>
        <w:t>Institución</w:t>
      </w:r>
      <w:r>
        <w:rPr>
          <w:spacing w:val="-4"/>
        </w:rPr>
        <w:t> </w:t>
      </w:r>
      <w:r>
        <w:rPr/>
        <w:t>ha</w:t>
      </w:r>
      <w:r>
        <w:rPr>
          <w:spacing w:val="-4"/>
        </w:rPr>
        <w:t> </w:t>
      </w:r>
      <w:r>
        <w:rPr/>
        <w:t>realizado</w:t>
      </w:r>
      <w:r>
        <w:rPr>
          <w:spacing w:val="-2"/>
        </w:rPr>
        <w:t> </w:t>
      </w:r>
      <w:r>
        <w:rPr/>
        <w:t>la</w:t>
      </w:r>
      <w:r>
        <w:rPr>
          <w:spacing w:val="-2"/>
        </w:rPr>
        <w:t> </w:t>
      </w:r>
      <w:r>
        <w:rPr/>
        <w:t>contratación de</w:t>
      </w:r>
      <w:r>
        <w:rPr>
          <w:spacing w:val="-13"/>
        </w:rPr>
        <w:t> </w:t>
      </w:r>
      <w:r>
        <w:rPr/>
        <w:t>quinientas</w:t>
      </w:r>
      <w:r>
        <w:rPr>
          <w:spacing w:val="-12"/>
        </w:rPr>
        <w:t> </w:t>
      </w:r>
      <w:r>
        <w:rPr/>
        <w:t>cinco,</w:t>
      </w:r>
      <w:r>
        <w:rPr>
          <w:spacing w:val="-13"/>
        </w:rPr>
        <w:t> </w:t>
      </w:r>
      <w:r>
        <w:rPr/>
        <w:t>(505)</w:t>
      </w:r>
      <w:r>
        <w:rPr>
          <w:spacing w:val="-11"/>
        </w:rPr>
        <w:t> </w:t>
      </w:r>
      <w:r>
        <w:rPr/>
        <w:t>personas,</w:t>
      </w:r>
      <w:r>
        <w:rPr>
          <w:spacing w:val="-11"/>
        </w:rPr>
        <w:t> </w:t>
      </w:r>
      <w:r>
        <w:rPr/>
        <w:t>en</w:t>
      </w:r>
      <w:r>
        <w:rPr>
          <w:spacing w:val="-15"/>
        </w:rPr>
        <w:t> </w:t>
      </w:r>
      <w:r>
        <w:rPr/>
        <w:t>diferentes</w:t>
      </w:r>
      <w:r>
        <w:rPr>
          <w:spacing w:val="-15"/>
        </w:rPr>
        <w:t> </w:t>
      </w:r>
      <w:r>
        <w:rPr/>
        <w:t>puestos</w:t>
      </w:r>
      <w:r>
        <w:rPr>
          <w:spacing w:val="-12"/>
        </w:rPr>
        <w:t> </w:t>
      </w:r>
      <w:r>
        <w:rPr/>
        <w:t>laborales,</w:t>
      </w:r>
      <w:r>
        <w:rPr>
          <w:spacing w:val="-11"/>
        </w:rPr>
        <w:t> </w:t>
      </w:r>
      <w:r>
        <w:rPr/>
        <w:t>a</w:t>
      </w:r>
      <w:r>
        <w:rPr>
          <w:spacing w:val="-12"/>
        </w:rPr>
        <w:t> </w:t>
      </w:r>
      <w:r>
        <w:rPr/>
        <w:t>nivel</w:t>
      </w:r>
      <w:r>
        <w:rPr>
          <w:spacing w:val="-10"/>
        </w:rPr>
        <w:t> </w:t>
      </w:r>
      <w:r>
        <w:rPr/>
        <w:t>central,</w:t>
      </w:r>
      <w:r>
        <w:rPr>
          <w:spacing w:val="-13"/>
        </w:rPr>
        <w:t> </w:t>
      </w:r>
      <w:r>
        <w:rPr/>
        <w:t>nivel regional y Empresas Comerciales. Cabe indicar, que durante el año 2025 se aprobaron dos (02), plazas vacantes nuevas para Tecnologías de Información, aprobadas por la autoridad presupuestaria.</w:t>
      </w:r>
    </w:p>
    <w:p>
      <w:pPr>
        <w:pStyle w:val="BodyText"/>
        <w:spacing w:before="22"/>
      </w:pPr>
    </w:p>
    <w:p>
      <w:pPr>
        <w:pStyle w:val="BodyText"/>
        <w:ind w:left="1642" w:right="1623"/>
        <w:jc w:val="both"/>
      </w:pPr>
      <w:r>
        <w:rPr/>
        <w:t>Durante el 2025 y el 2026, no se ha creado ningún rubro o devengando adicional en materia</w:t>
      </w:r>
      <w:r>
        <w:rPr>
          <w:spacing w:val="-5"/>
        </w:rPr>
        <w:t> </w:t>
      </w:r>
      <w:r>
        <w:rPr/>
        <w:t>salarial,</w:t>
      </w:r>
      <w:r>
        <w:rPr>
          <w:spacing w:val="-4"/>
        </w:rPr>
        <w:t> </w:t>
      </w:r>
      <w:r>
        <w:rPr/>
        <w:t>por</w:t>
      </w:r>
      <w:r>
        <w:rPr>
          <w:spacing w:val="-4"/>
        </w:rPr>
        <w:t> </w:t>
      </w:r>
      <w:r>
        <w:rPr/>
        <w:t>lo</w:t>
      </w:r>
      <w:r>
        <w:rPr>
          <w:spacing w:val="-7"/>
        </w:rPr>
        <w:t> </w:t>
      </w:r>
      <w:r>
        <w:rPr/>
        <w:t>cual</w:t>
      </w:r>
      <w:r>
        <w:rPr>
          <w:spacing w:val="-6"/>
        </w:rPr>
        <w:t> </w:t>
      </w:r>
      <w:r>
        <w:rPr/>
        <w:t>existe</w:t>
      </w:r>
      <w:r>
        <w:rPr>
          <w:spacing w:val="-5"/>
        </w:rPr>
        <w:t> </w:t>
      </w:r>
      <w:r>
        <w:rPr/>
        <w:t>una</w:t>
      </w:r>
      <w:r>
        <w:rPr>
          <w:spacing w:val="-7"/>
        </w:rPr>
        <w:t> </w:t>
      </w:r>
      <w:r>
        <w:rPr/>
        <w:t>estabilidad</w:t>
      </w:r>
      <w:r>
        <w:rPr>
          <w:spacing w:val="-7"/>
        </w:rPr>
        <w:t> </w:t>
      </w:r>
      <w:r>
        <w:rPr/>
        <w:t>de</w:t>
      </w:r>
      <w:r>
        <w:rPr>
          <w:spacing w:val="-5"/>
        </w:rPr>
        <w:t> </w:t>
      </w:r>
      <w:r>
        <w:rPr/>
        <w:t>los</w:t>
      </w:r>
      <w:r>
        <w:rPr>
          <w:spacing w:val="-5"/>
        </w:rPr>
        <w:t> </w:t>
      </w:r>
      <w:r>
        <w:rPr/>
        <w:t>recursos</w:t>
      </w:r>
      <w:r>
        <w:rPr>
          <w:spacing w:val="-7"/>
        </w:rPr>
        <w:t> </w:t>
      </w:r>
      <w:r>
        <w:rPr/>
        <w:t>destinados</w:t>
      </w:r>
      <w:r>
        <w:rPr>
          <w:spacing w:val="-5"/>
        </w:rPr>
        <w:t> </w:t>
      </w:r>
      <w:r>
        <w:rPr/>
        <w:t>a</w:t>
      </w:r>
      <w:r>
        <w:rPr>
          <w:spacing w:val="-5"/>
        </w:rPr>
        <w:t> </w:t>
      </w:r>
      <w:r>
        <w:rPr/>
        <w:t>la</w:t>
      </w:r>
      <w:r>
        <w:rPr>
          <w:spacing w:val="-5"/>
        </w:rPr>
        <w:t> </w:t>
      </w:r>
      <w:r>
        <w:rPr/>
        <w:t>planilla </w:t>
      </w:r>
      <w:r>
        <w:rPr>
          <w:spacing w:val="-2"/>
        </w:rPr>
        <w:t>institucional.</w:t>
      </w:r>
    </w:p>
    <w:p>
      <w:pPr>
        <w:pStyle w:val="BodyText"/>
        <w:spacing w:after="0"/>
        <w:jc w:val="both"/>
        <w:sectPr>
          <w:pgSz w:w="12240" w:h="15840"/>
          <w:pgMar w:header="0" w:footer="1576" w:top="1280" w:bottom="1760" w:left="360" w:right="0"/>
        </w:sectPr>
      </w:pPr>
    </w:p>
    <w:p>
      <w:pPr>
        <w:pStyle w:val="Heading3"/>
        <w:numPr>
          <w:ilvl w:val="1"/>
          <w:numId w:val="5"/>
        </w:numPr>
        <w:tabs>
          <w:tab w:pos="2887" w:val="left" w:leader="none"/>
        </w:tabs>
        <w:spacing w:line="240" w:lineRule="auto" w:before="86" w:after="0"/>
        <w:ind w:left="2887" w:right="0" w:hanging="401"/>
        <w:jc w:val="left"/>
      </w:pPr>
      <w:bookmarkStart w:name="_bookmark17" w:id="18"/>
      <w:bookmarkEnd w:id="18"/>
      <w:r>
        <w:rPr>
          <w:b w:val="0"/>
        </w:rPr>
      </w:r>
      <w:r>
        <w:rPr/>
        <w:t>Cumplimiento</w:t>
      </w:r>
      <w:r>
        <w:rPr>
          <w:spacing w:val="-3"/>
        </w:rPr>
        <w:t> </w:t>
      </w:r>
      <w:r>
        <w:rPr/>
        <w:t>del</w:t>
      </w:r>
      <w:r>
        <w:rPr>
          <w:spacing w:val="-3"/>
        </w:rPr>
        <w:t> </w:t>
      </w:r>
      <w:r>
        <w:rPr/>
        <w:t>Sistema</w:t>
      </w:r>
      <w:r>
        <w:rPr>
          <w:spacing w:val="-3"/>
        </w:rPr>
        <w:t> </w:t>
      </w:r>
      <w:r>
        <w:rPr/>
        <w:t>de</w:t>
      </w:r>
      <w:r>
        <w:rPr>
          <w:spacing w:val="-1"/>
        </w:rPr>
        <w:t> </w:t>
      </w:r>
      <w:r>
        <w:rPr/>
        <w:t>Control</w:t>
      </w:r>
      <w:r>
        <w:rPr>
          <w:spacing w:val="-1"/>
        </w:rPr>
        <w:t> </w:t>
      </w:r>
      <w:r>
        <w:rPr>
          <w:spacing w:val="-2"/>
        </w:rPr>
        <w:t>Interno</w:t>
      </w:r>
    </w:p>
    <w:p>
      <w:pPr>
        <w:pStyle w:val="BodyText"/>
        <w:rPr>
          <w:b/>
          <w:sz w:val="24"/>
        </w:rPr>
      </w:pPr>
    </w:p>
    <w:p>
      <w:pPr>
        <w:pStyle w:val="ListParagraph"/>
        <w:numPr>
          <w:ilvl w:val="2"/>
          <w:numId w:val="5"/>
        </w:numPr>
        <w:tabs>
          <w:tab w:pos="2224" w:val="left" w:leader="none"/>
        </w:tabs>
        <w:spacing w:line="240" w:lineRule="auto" w:before="0" w:after="0"/>
        <w:ind w:left="2224" w:right="0" w:hanging="599"/>
        <w:jc w:val="left"/>
        <w:rPr>
          <w:b/>
          <w:sz w:val="24"/>
        </w:rPr>
      </w:pPr>
      <w:r>
        <w:rPr>
          <w:b/>
          <w:sz w:val="24"/>
        </w:rPr>
        <w:t>Proceso</w:t>
      </w:r>
      <w:r>
        <w:rPr>
          <w:b/>
          <w:spacing w:val="-4"/>
          <w:sz w:val="24"/>
        </w:rPr>
        <w:t> </w:t>
      </w:r>
      <w:r>
        <w:rPr>
          <w:b/>
          <w:sz w:val="24"/>
        </w:rPr>
        <w:t>de</w:t>
      </w:r>
      <w:r>
        <w:rPr>
          <w:b/>
          <w:spacing w:val="-3"/>
          <w:sz w:val="24"/>
        </w:rPr>
        <w:t> </w:t>
      </w:r>
      <w:r>
        <w:rPr>
          <w:b/>
          <w:spacing w:val="-2"/>
          <w:sz w:val="24"/>
        </w:rPr>
        <w:t>Autoevaluación</w:t>
      </w:r>
    </w:p>
    <w:p>
      <w:pPr>
        <w:pStyle w:val="BodyText"/>
        <w:rPr>
          <w:b/>
          <w:sz w:val="24"/>
        </w:rPr>
      </w:pPr>
    </w:p>
    <w:p>
      <w:pPr>
        <w:pStyle w:val="BodyText"/>
        <w:ind w:left="1625" w:right="1602"/>
        <w:jc w:val="both"/>
      </w:pPr>
      <w:r>
        <w:rPr/>
        <w:t>La</w:t>
      </w:r>
      <w:r>
        <w:rPr>
          <w:spacing w:val="-15"/>
        </w:rPr>
        <w:t> </w:t>
      </w:r>
      <w:r>
        <w:rPr/>
        <w:t>Ley</w:t>
      </w:r>
      <w:r>
        <w:rPr>
          <w:spacing w:val="-15"/>
        </w:rPr>
        <w:t> </w:t>
      </w:r>
      <w:r>
        <w:rPr/>
        <w:t>General</w:t>
      </w:r>
      <w:r>
        <w:rPr>
          <w:spacing w:val="-14"/>
        </w:rPr>
        <w:t> </w:t>
      </w:r>
      <w:r>
        <w:rPr/>
        <w:t>de</w:t>
      </w:r>
      <w:r>
        <w:rPr>
          <w:spacing w:val="-16"/>
        </w:rPr>
        <w:t> </w:t>
      </w:r>
      <w:r>
        <w:rPr/>
        <w:t>Control</w:t>
      </w:r>
      <w:r>
        <w:rPr>
          <w:spacing w:val="-14"/>
        </w:rPr>
        <w:t> </w:t>
      </w:r>
      <w:r>
        <w:rPr/>
        <w:t>Interno</w:t>
      </w:r>
      <w:r>
        <w:rPr>
          <w:spacing w:val="-13"/>
        </w:rPr>
        <w:t> </w:t>
      </w:r>
      <w:r>
        <w:rPr/>
        <w:t>N.º</w:t>
      </w:r>
      <w:r>
        <w:rPr>
          <w:spacing w:val="-12"/>
        </w:rPr>
        <w:t> </w:t>
      </w:r>
      <w:r>
        <w:rPr/>
        <w:t>8292</w:t>
      </w:r>
      <w:r>
        <w:rPr>
          <w:spacing w:val="-14"/>
        </w:rPr>
        <w:t> </w:t>
      </w:r>
      <w:r>
        <w:rPr/>
        <w:t>y</w:t>
      </w:r>
      <w:r>
        <w:rPr>
          <w:spacing w:val="-16"/>
        </w:rPr>
        <w:t> </w:t>
      </w:r>
      <w:r>
        <w:rPr/>
        <w:t>las</w:t>
      </w:r>
      <w:r>
        <w:rPr>
          <w:spacing w:val="-15"/>
        </w:rPr>
        <w:t> </w:t>
      </w:r>
      <w:r>
        <w:rPr/>
        <w:t>Normas</w:t>
      </w:r>
      <w:r>
        <w:rPr>
          <w:spacing w:val="-15"/>
        </w:rPr>
        <w:t> </w:t>
      </w:r>
      <w:r>
        <w:rPr/>
        <w:t>de</w:t>
      </w:r>
      <w:r>
        <w:rPr>
          <w:spacing w:val="-13"/>
        </w:rPr>
        <w:t> </w:t>
      </w:r>
      <w:r>
        <w:rPr/>
        <w:t>Control</w:t>
      </w:r>
      <w:r>
        <w:rPr>
          <w:spacing w:val="-16"/>
        </w:rPr>
        <w:t> </w:t>
      </w:r>
      <w:r>
        <w:rPr/>
        <w:t>Interno</w:t>
      </w:r>
      <w:r>
        <w:rPr>
          <w:spacing w:val="-13"/>
        </w:rPr>
        <w:t> </w:t>
      </w:r>
      <w:r>
        <w:rPr/>
        <w:t>para</w:t>
      </w:r>
      <w:r>
        <w:rPr>
          <w:spacing w:val="-14"/>
        </w:rPr>
        <w:t> </w:t>
      </w:r>
      <w:r>
        <w:rPr/>
        <w:t>el</w:t>
      </w:r>
      <w:r>
        <w:rPr>
          <w:spacing w:val="-16"/>
        </w:rPr>
        <w:t> </w:t>
      </w:r>
      <w:r>
        <w:rPr/>
        <w:t>Sector Público establecen la obligación de realizar, al</w:t>
      </w:r>
      <w:r>
        <w:rPr>
          <w:spacing w:val="-2"/>
        </w:rPr>
        <w:t> </w:t>
      </w:r>
      <w:r>
        <w:rPr/>
        <w:t>menos una vez al año, la Autoevaluación del Sistema de Control Interno Institucional, como un mecanismo orientado a verificar el grado de cumplimiento de los objetivos institucionales y a identificar oportunamente debilidades, oportunidades de mejora o desviaciones que puedan afectar la eficacia del Sistema de Control Interno y el logro de los fines para los cuales fue concebido.</w:t>
      </w:r>
    </w:p>
    <w:p>
      <w:pPr>
        <w:pStyle w:val="BodyText"/>
      </w:pPr>
    </w:p>
    <w:p>
      <w:pPr>
        <w:pStyle w:val="BodyText"/>
        <w:ind w:left="1625" w:right="1600"/>
        <w:jc w:val="both"/>
      </w:pPr>
      <w:r>
        <w:rPr/>
        <w:t>En este contexto, la Autoevaluación Institucional constituye una herramienta estratégica para fortalecer la gestión organizacional, promover la mejora continua y consolidar una cultura institucional basada en la rendición de cuentas, la transparencia y la generación de valor público. Asimismo, permite valorar la efectividad de los controles existentes, identificar brechas de gestión y definir acciones de mejora que contribuyan al fortalecimiento de la capacidad institucional para cumplir con su misión y objetivos.</w:t>
      </w:r>
    </w:p>
    <w:p>
      <w:pPr>
        <w:pStyle w:val="BodyText"/>
        <w:spacing w:before="252"/>
        <w:ind w:left="1625" w:right="1601"/>
        <w:jc w:val="both"/>
      </w:pPr>
      <w:r>
        <w:rPr/>
        <w:t>Como</w:t>
      </w:r>
      <w:r>
        <w:rPr>
          <w:spacing w:val="-7"/>
        </w:rPr>
        <w:t> </w:t>
      </w:r>
      <w:r>
        <w:rPr/>
        <w:t>parte</w:t>
      </w:r>
      <w:r>
        <w:rPr>
          <w:spacing w:val="-9"/>
        </w:rPr>
        <w:t> </w:t>
      </w:r>
      <w:r>
        <w:rPr/>
        <w:t>del</w:t>
      </w:r>
      <w:r>
        <w:rPr>
          <w:spacing w:val="-9"/>
        </w:rPr>
        <w:t> </w:t>
      </w:r>
      <w:r>
        <w:rPr/>
        <w:t>proceso</w:t>
      </w:r>
      <w:r>
        <w:rPr>
          <w:spacing w:val="-11"/>
        </w:rPr>
        <w:t> </w:t>
      </w:r>
      <w:r>
        <w:rPr/>
        <w:t>desarrollado</w:t>
      </w:r>
      <w:r>
        <w:rPr>
          <w:spacing w:val="-7"/>
        </w:rPr>
        <w:t> </w:t>
      </w:r>
      <w:r>
        <w:rPr/>
        <w:t>durante</w:t>
      </w:r>
      <w:r>
        <w:rPr>
          <w:spacing w:val="-9"/>
        </w:rPr>
        <w:t> </w:t>
      </w:r>
      <w:r>
        <w:rPr/>
        <w:t>el</w:t>
      </w:r>
      <w:r>
        <w:rPr>
          <w:spacing w:val="-10"/>
        </w:rPr>
        <w:t> </w:t>
      </w:r>
      <w:r>
        <w:rPr/>
        <w:t>período</w:t>
      </w:r>
      <w:r>
        <w:rPr>
          <w:spacing w:val="-9"/>
        </w:rPr>
        <w:t> </w:t>
      </w:r>
      <w:r>
        <w:rPr/>
        <w:t>2026,</w:t>
      </w:r>
      <w:r>
        <w:rPr>
          <w:spacing w:val="-7"/>
        </w:rPr>
        <w:t> </w:t>
      </w:r>
      <w:r>
        <w:rPr/>
        <w:t>se</w:t>
      </w:r>
      <w:r>
        <w:rPr>
          <w:spacing w:val="-9"/>
        </w:rPr>
        <w:t> </w:t>
      </w:r>
      <w:r>
        <w:rPr/>
        <w:t>fortaleció</w:t>
      </w:r>
      <w:r>
        <w:rPr>
          <w:spacing w:val="-7"/>
        </w:rPr>
        <w:t> </w:t>
      </w:r>
      <w:r>
        <w:rPr/>
        <w:t>el</w:t>
      </w:r>
      <w:r>
        <w:rPr>
          <w:spacing w:val="-7"/>
        </w:rPr>
        <w:t> </w:t>
      </w:r>
      <w:r>
        <w:rPr/>
        <w:t>enfoque</w:t>
      </w:r>
      <w:r>
        <w:rPr>
          <w:spacing w:val="-9"/>
        </w:rPr>
        <w:t> </w:t>
      </w:r>
      <w:r>
        <w:rPr/>
        <w:t>de Gestión para Resultados en el Desarrollo (GpRD), procurando que la evaluación de los distintos componentes del sistema de control interno estuviera estrechamente vinculada con el cumplimiento de los objetivos estratégicos, las metas institucionales y los resultados esperados para la población beneficiaria. Bajo esta perspectiva, se promovió la revisión de prácticas, procedimientos y mecanismos de seguimiento que permitieran mejorar la eficiencia, eficacia y calidad de los procesos institucionales.</w:t>
      </w:r>
    </w:p>
    <w:p>
      <w:pPr>
        <w:pStyle w:val="BodyText"/>
        <w:spacing w:before="2"/>
      </w:pPr>
    </w:p>
    <w:p>
      <w:pPr>
        <w:pStyle w:val="BodyText"/>
        <w:ind w:left="1625" w:right="1604"/>
        <w:jc w:val="both"/>
      </w:pPr>
      <w:r>
        <w:rPr/>
        <w:t>Las acciones de mejora derivadas de este ejercicio constituyen un instrumento fundamental para impulsar el fortalecimiento institucional, optimizar la gestión de los servicios</w:t>
      </w:r>
      <w:r>
        <w:rPr>
          <w:spacing w:val="-5"/>
        </w:rPr>
        <w:t> </w:t>
      </w:r>
      <w:r>
        <w:rPr/>
        <w:t>y</w:t>
      </w:r>
      <w:r>
        <w:rPr>
          <w:spacing w:val="-5"/>
        </w:rPr>
        <w:t> </w:t>
      </w:r>
      <w:r>
        <w:rPr/>
        <w:t>beneficios</w:t>
      </w:r>
      <w:r>
        <w:rPr>
          <w:spacing w:val="-5"/>
        </w:rPr>
        <w:t> </w:t>
      </w:r>
      <w:r>
        <w:rPr/>
        <w:t>que</w:t>
      </w:r>
      <w:r>
        <w:rPr>
          <w:spacing w:val="-5"/>
        </w:rPr>
        <w:t> </w:t>
      </w:r>
      <w:r>
        <w:rPr/>
        <w:t>brinda</w:t>
      </w:r>
      <w:r>
        <w:rPr>
          <w:spacing w:val="-5"/>
        </w:rPr>
        <w:t> </w:t>
      </w:r>
      <w:r>
        <w:rPr/>
        <w:t>el</w:t>
      </w:r>
      <w:r>
        <w:rPr>
          <w:spacing w:val="-6"/>
        </w:rPr>
        <w:t> </w:t>
      </w:r>
      <w:r>
        <w:rPr/>
        <w:t>IMAS</w:t>
      </w:r>
      <w:r>
        <w:rPr>
          <w:spacing w:val="-5"/>
        </w:rPr>
        <w:t> </w:t>
      </w:r>
      <w:r>
        <w:rPr/>
        <w:t>y</w:t>
      </w:r>
      <w:r>
        <w:rPr>
          <w:spacing w:val="-5"/>
        </w:rPr>
        <w:t> </w:t>
      </w:r>
      <w:r>
        <w:rPr/>
        <w:t>mejorar,</w:t>
      </w:r>
      <w:r>
        <w:rPr>
          <w:spacing w:val="-3"/>
        </w:rPr>
        <w:t> </w:t>
      </w:r>
      <w:r>
        <w:rPr/>
        <w:t>de</w:t>
      </w:r>
      <w:r>
        <w:rPr>
          <w:spacing w:val="-8"/>
        </w:rPr>
        <w:t> </w:t>
      </w:r>
      <w:r>
        <w:rPr/>
        <w:t>forma</w:t>
      </w:r>
      <w:r>
        <w:rPr>
          <w:spacing w:val="-5"/>
        </w:rPr>
        <w:t> </w:t>
      </w:r>
      <w:r>
        <w:rPr/>
        <w:t>progresiva,</w:t>
      </w:r>
      <w:r>
        <w:rPr>
          <w:spacing w:val="-4"/>
        </w:rPr>
        <w:t> </w:t>
      </w:r>
      <w:r>
        <w:rPr/>
        <w:t>la</w:t>
      </w:r>
      <w:r>
        <w:rPr>
          <w:spacing w:val="-5"/>
        </w:rPr>
        <w:t> </w:t>
      </w:r>
      <w:r>
        <w:rPr/>
        <w:t>percepción</w:t>
      </w:r>
      <w:r>
        <w:rPr>
          <w:spacing w:val="-5"/>
        </w:rPr>
        <w:t> </w:t>
      </w:r>
      <w:r>
        <w:rPr/>
        <w:t>y satisfacción de la población usuaria respecto de la calidad, oportunidad y efectividad de las intervenciones desarrolladas por la institución.</w:t>
      </w:r>
    </w:p>
    <w:p>
      <w:pPr>
        <w:pStyle w:val="BodyText"/>
        <w:spacing w:before="252"/>
        <w:ind w:left="1625" w:right="1601"/>
        <w:jc w:val="both"/>
      </w:pPr>
      <w:r>
        <w:rPr/>
        <w:t>De forma ilustrativa, el proceso de Autoevaluación Institucional 2026 contempló la participación de las siguientes Unidades Locales de Desarrollo Social, las cuales se presentan a continuación:</w:t>
      </w:r>
    </w:p>
    <w:p>
      <w:pPr>
        <w:pStyle w:val="BodyText"/>
        <w:spacing w:after="0"/>
        <w:jc w:val="both"/>
        <w:sectPr>
          <w:pgSz w:w="12240" w:h="15840"/>
          <w:pgMar w:header="0" w:footer="1576" w:top="1820" w:bottom="1760" w:left="360" w:right="0"/>
        </w:sectPr>
      </w:pPr>
    </w:p>
    <w:p>
      <w:pPr>
        <w:pStyle w:val="BodyText"/>
        <w:spacing w:before="65"/>
      </w:pPr>
    </w:p>
    <w:p>
      <w:pPr>
        <w:pStyle w:val="Heading5"/>
        <w:spacing w:before="1"/>
        <w:ind w:left="1464" w:right="1303"/>
        <w:jc w:val="center"/>
      </w:pPr>
      <w:bookmarkStart w:name="_bookmark18" w:id="19"/>
      <w:bookmarkEnd w:id="19"/>
      <w:r>
        <w:rPr>
          <w:b w:val="0"/>
        </w:rPr>
      </w:r>
      <w:r>
        <w:rPr/>
        <w:t>Figura</w:t>
      </w:r>
      <w:r>
        <w:rPr>
          <w:spacing w:val="-5"/>
        </w:rPr>
        <w:t> </w:t>
      </w:r>
      <w:r>
        <w:rPr/>
        <w:t>2:</w:t>
      </w:r>
      <w:r>
        <w:rPr>
          <w:spacing w:val="49"/>
        </w:rPr>
        <w:t> </w:t>
      </w:r>
      <w:r>
        <w:rPr/>
        <w:t>ARDS-ULDS</w:t>
      </w:r>
      <w:r>
        <w:rPr>
          <w:spacing w:val="-7"/>
        </w:rPr>
        <w:t> </w:t>
      </w:r>
      <w:r>
        <w:rPr/>
        <w:t>participantes</w:t>
      </w:r>
      <w:r>
        <w:rPr>
          <w:spacing w:val="-7"/>
        </w:rPr>
        <w:t> </w:t>
      </w:r>
      <w:r>
        <w:rPr/>
        <w:t>del</w:t>
      </w:r>
      <w:r>
        <w:rPr>
          <w:spacing w:val="-6"/>
        </w:rPr>
        <w:t> </w:t>
      </w:r>
      <w:r>
        <w:rPr/>
        <w:t>proceso</w:t>
      </w:r>
      <w:r>
        <w:rPr>
          <w:spacing w:val="-5"/>
        </w:rPr>
        <w:t> </w:t>
      </w:r>
      <w:r>
        <w:rPr/>
        <w:t>de</w:t>
      </w:r>
      <w:r>
        <w:rPr>
          <w:spacing w:val="-8"/>
        </w:rPr>
        <w:t> </w:t>
      </w:r>
      <w:r>
        <w:rPr/>
        <w:t>Autoevaluación</w:t>
      </w:r>
      <w:r>
        <w:rPr>
          <w:spacing w:val="-7"/>
        </w:rPr>
        <w:t> </w:t>
      </w:r>
      <w:r>
        <w:rPr>
          <w:spacing w:val="-4"/>
        </w:rPr>
        <w:t>2026</w:t>
      </w:r>
    </w:p>
    <w:p>
      <w:pPr>
        <w:pStyle w:val="BodyText"/>
        <w:spacing w:before="17"/>
        <w:rPr>
          <w:b/>
          <w:sz w:val="20"/>
        </w:rPr>
      </w:pPr>
      <w:r>
        <w:rPr>
          <w:b/>
          <w:sz w:val="20"/>
        </w:rPr>
        <mc:AlternateContent>
          <mc:Choice Requires="wps">
            <w:drawing>
              <wp:anchor distT="0" distB="0" distL="0" distR="0" allowOverlap="1" layoutInCell="1" locked="0" behindDoc="1" simplePos="0" relativeHeight="487589376">
                <wp:simplePos x="0" y="0"/>
                <wp:positionH relativeFrom="page">
                  <wp:posOffset>2321179</wp:posOffset>
                </wp:positionH>
                <wp:positionV relativeFrom="paragraph">
                  <wp:posOffset>172640</wp:posOffset>
                </wp:positionV>
                <wp:extent cx="4340860" cy="3362325"/>
                <wp:effectExtent l="0" t="0" r="0" b="0"/>
                <wp:wrapTopAndBottom/>
                <wp:docPr id="18" name="Group 18"/>
                <wp:cNvGraphicFramePr>
                  <a:graphicFrameLocks/>
                </wp:cNvGraphicFramePr>
                <a:graphic>
                  <a:graphicData uri="http://schemas.microsoft.com/office/word/2010/wordprocessingGroup">
                    <wpg:wgp>
                      <wpg:cNvPr id="18" name="Group 18"/>
                      <wpg:cNvGrpSpPr/>
                      <wpg:grpSpPr>
                        <a:xfrm>
                          <a:off x="0" y="0"/>
                          <a:ext cx="4340860" cy="3362325"/>
                          <a:chExt cx="4340860" cy="3362325"/>
                        </a:xfrm>
                      </wpg:grpSpPr>
                      <wps:wsp>
                        <wps:cNvPr id="19" name="Graphic 19"/>
                        <wps:cNvSpPr/>
                        <wps:spPr>
                          <a:xfrm>
                            <a:off x="196977" y="195102"/>
                            <a:ext cx="105410" cy="869950"/>
                          </a:xfrm>
                          <a:custGeom>
                            <a:avLst/>
                            <a:gdLst/>
                            <a:ahLst/>
                            <a:cxnLst/>
                            <a:rect l="l" t="t" r="r" b="b"/>
                            <a:pathLst>
                              <a:path w="105410" h="869950">
                                <a:moveTo>
                                  <a:pt x="105152" y="0"/>
                                </a:moveTo>
                                <a:lnTo>
                                  <a:pt x="0" y="0"/>
                                </a:lnTo>
                                <a:lnTo>
                                  <a:pt x="0" y="869899"/>
                                </a:lnTo>
                                <a:lnTo>
                                  <a:pt x="105152" y="869899"/>
                                </a:lnTo>
                                <a:lnTo>
                                  <a:pt x="105152" y="0"/>
                                </a:lnTo>
                                <a:close/>
                              </a:path>
                            </a:pathLst>
                          </a:custGeom>
                          <a:solidFill>
                            <a:srgbClr val="B1C1DB"/>
                          </a:solidFill>
                        </wps:spPr>
                        <wps:bodyPr wrap="square" lIns="0" tIns="0" rIns="0" bIns="0" rtlCol="0">
                          <a:prstTxWarp prst="textNoShape">
                            <a:avLst/>
                          </a:prstTxWarp>
                          <a:noAutofit/>
                        </wps:bodyPr>
                      </wps:wsp>
                      <wps:wsp>
                        <wps:cNvPr id="20" name="Graphic 20"/>
                        <wps:cNvSpPr/>
                        <wps:spPr>
                          <a:xfrm>
                            <a:off x="12700" y="19283"/>
                            <a:ext cx="1168400" cy="701040"/>
                          </a:xfrm>
                          <a:custGeom>
                            <a:avLst/>
                            <a:gdLst/>
                            <a:ahLst/>
                            <a:cxnLst/>
                            <a:rect l="l" t="t" r="r" b="b"/>
                            <a:pathLst>
                              <a:path w="1168400" h="701040">
                                <a:moveTo>
                                  <a:pt x="1098295" y="0"/>
                                </a:moveTo>
                                <a:lnTo>
                                  <a:pt x="70103" y="0"/>
                                </a:lnTo>
                                <a:lnTo>
                                  <a:pt x="42808" y="5506"/>
                                </a:lnTo>
                                <a:lnTo>
                                  <a:pt x="20526" y="20526"/>
                                </a:lnTo>
                                <a:lnTo>
                                  <a:pt x="5506" y="42808"/>
                                </a:lnTo>
                                <a:lnTo>
                                  <a:pt x="0" y="70103"/>
                                </a:lnTo>
                                <a:lnTo>
                                  <a:pt x="0" y="630935"/>
                                </a:lnTo>
                                <a:lnTo>
                                  <a:pt x="5506" y="658231"/>
                                </a:lnTo>
                                <a:lnTo>
                                  <a:pt x="20526" y="680513"/>
                                </a:lnTo>
                                <a:lnTo>
                                  <a:pt x="42808" y="695533"/>
                                </a:lnTo>
                                <a:lnTo>
                                  <a:pt x="70103" y="701039"/>
                                </a:lnTo>
                                <a:lnTo>
                                  <a:pt x="1098295" y="701039"/>
                                </a:lnTo>
                                <a:lnTo>
                                  <a:pt x="1125591" y="695533"/>
                                </a:lnTo>
                                <a:lnTo>
                                  <a:pt x="1147873" y="680513"/>
                                </a:lnTo>
                                <a:lnTo>
                                  <a:pt x="1162893" y="658231"/>
                                </a:lnTo>
                                <a:lnTo>
                                  <a:pt x="1168399" y="630935"/>
                                </a:lnTo>
                                <a:lnTo>
                                  <a:pt x="1168399" y="70103"/>
                                </a:lnTo>
                                <a:lnTo>
                                  <a:pt x="1162893" y="42808"/>
                                </a:lnTo>
                                <a:lnTo>
                                  <a:pt x="1147873" y="20526"/>
                                </a:lnTo>
                                <a:lnTo>
                                  <a:pt x="1125591" y="5506"/>
                                </a:lnTo>
                                <a:lnTo>
                                  <a:pt x="1098295" y="0"/>
                                </a:lnTo>
                                <a:close/>
                              </a:path>
                            </a:pathLst>
                          </a:custGeom>
                          <a:solidFill>
                            <a:srgbClr val="FFFFFF"/>
                          </a:solidFill>
                        </wps:spPr>
                        <wps:bodyPr wrap="square" lIns="0" tIns="0" rIns="0" bIns="0" rtlCol="0">
                          <a:prstTxWarp prst="textNoShape">
                            <a:avLst/>
                          </a:prstTxWarp>
                          <a:noAutofit/>
                        </wps:bodyPr>
                      </wps:wsp>
                      <wps:wsp>
                        <wps:cNvPr id="21" name="Graphic 21"/>
                        <wps:cNvSpPr/>
                        <wps:spPr>
                          <a:xfrm>
                            <a:off x="12700" y="19283"/>
                            <a:ext cx="1168400" cy="701040"/>
                          </a:xfrm>
                          <a:custGeom>
                            <a:avLst/>
                            <a:gdLst/>
                            <a:ahLst/>
                            <a:cxnLst/>
                            <a:rect l="l" t="t" r="r" b="b"/>
                            <a:pathLst>
                              <a:path w="1168400" h="701040">
                                <a:moveTo>
                                  <a:pt x="0" y="70103"/>
                                </a:moveTo>
                                <a:lnTo>
                                  <a:pt x="5506" y="42808"/>
                                </a:lnTo>
                                <a:lnTo>
                                  <a:pt x="20526" y="20526"/>
                                </a:lnTo>
                                <a:lnTo>
                                  <a:pt x="42808" y="5506"/>
                                </a:lnTo>
                                <a:lnTo>
                                  <a:pt x="70103" y="0"/>
                                </a:lnTo>
                                <a:lnTo>
                                  <a:pt x="1098295" y="0"/>
                                </a:lnTo>
                                <a:lnTo>
                                  <a:pt x="1125591" y="5506"/>
                                </a:lnTo>
                                <a:lnTo>
                                  <a:pt x="1147873" y="20526"/>
                                </a:lnTo>
                                <a:lnTo>
                                  <a:pt x="1162893" y="42808"/>
                                </a:lnTo>
                                <a:lnTo>
                                  <a:pt x="1168399" y="70103"/>
                                </a:lnTo>
                                <a:lnTo>
                                  <a:pt x="1168399" y="630935"/>
                                </a:lnTo>
                                <a:lnTo>
                                  <a:pt x="1162893" y="658231"/>
                                </a:lnTo>
                                <a:lnTo>
                                  <a:pt x="1147873" y="680513"/>
                                </a:lnTo>
                                <a:lnTo>
                                  <a:pt x="1125591" y="695533"/>
                                </a:lnTo>
                                <a:lnTo>
                                  <a:pt x="1098295" y="701039"/>
                                </a:lnTo>
                                <a:lnTo>
                                  <a:pt x="70103" y="701039"/>
                                </a:lnTo>
                                <a:lnTo>
                                  <a:pt x="42808" y="695533"/>
                                </a:lnTo>
                                <a:lnTo>
                                  <a:pt x="20526" y="680513"/>
                                </a:lnTo>
                                <a:lnTo>
                                  <a:pt x="5506" y="658231"/>
                                </a:lnTo>
                                <a:lnTo>
                                  <a:pt x="0" y="630935"/>
                                </a:lnTo>
                                <a:lnTo>
                                  <a:pt x="0" y="70103"/>
                                </a:lnTo>
                                <a:close/>
                              </a:path>
                            </a:pathLst>
                          </a:custGeom>
                          <a:ln w="25400">
                            <a:solidFill>
                              <a:srgbClr val="4674AB"/>
                            </a:solidFill>
                            <a:prstDash val="solid"/>
                          </a:ln>
                        </wps:spPr>
                        <wps:bodyPr wrap="square" lIns="0" tIns="0" rIns="0" bIns="0" rtlCol="0">
                          <a:prstTxWarp prst="textNoShape">
                            <a:avLst/>
                          </a:prstTxWarp>
                          <a:noAutofit/>
                        </wps:bodyPr>
                      </wps:wsp>
                      <wps:wsp>
                        <wps:cNvPr id="22" name="Graphic 22"/>
                        <wps:cNvSpPr/>
                        <wps:spPr>
                          <a:xfrm>
                            <a:off x="196977" y="1071402"/>
                            <a:ext cx="105410" cy="869950"/>
                          </a:xfrm>
                          <a:custGeom>
                            <a:avLst/>
                            <a:gdLst/>
                            <a:ahLst/>
                            <a:cxnLst/>
                            <a:rect l="l" t="t" r="r" b="b"/>
                            <a:pathLst>
                              <a:path w="105410" h="869950">
                                <a:moveTo>
                                  <a:pt x="105152" y="0"/>
                                </a:moveTo>
                                <a:lnTo>
                                  <a:pt x="0" y="0"/>
                                </a:lnTo>
                                <a:lnTo>
                                  <a:pt x="0" y="869899"/>
                                </a:lnTo>
                                <a:lnTo>
                                  <a:pt x="105152" y="869899"/>
                                </a:lnTo>
                                <a:lnTo>
                                  <a:pt x="105152" y="0"/>
                                </a:lnTo>
                                <a:close/>
                              </a:path>
                            </a:pathLst>
                          </a:custGeom>
                          <a:solidFill>
                            <a:srgbClr val="B1C1DB"/>
                          </a:solidFill>
                        </wps:spPr>
                        <wps:bodyPr wrap="square" lIns="0" tIns="0" rIns="0" bIns="0" rtlCol="0">
                          <a:prstTxWarp prst="textNoShape">
                            <a:avLst/>
                          </a:prstTxWarp>
                          <a:noAutofit/>
                        </wps:bodyPr>
                      </wps:wsp>
                      <wps:wsp>
                        <wps:cNvPr id="23" name="Graphic 23"/>
                        <wps:cNvSpPr/>
                        <wps:spPr>
                          <a:xfrm>
                            <a:off x="12700" y="895583"/>
                            <a:ext cx="1168400" cy="701040"/>
                          </a:xfrm>
                          <a:custGeom>
                            <a:avLst/>
                            <a:gdLst/>
                            <a:ahLst/>
                            <a:cxnLst/>
                            <a:rect l="l" t="t" r="r" b="b"/>
                            <a:pathLst>
                              <a:path w="1168400" h="701040">
                                <a:moveTo>
                                  <a:pt x="1098295" y="0"/>
                                </a:moveTo>
                                <a:lnTo>
                                  <a:pt x="70103" y="0"/>
                                </a:lnTo>
                                <a:lnTo>
                                  <a:pt x="42808" y="5506"/>
                                </a:lnTo>
                                <a:lnTo>
                                  <a:pt x="20526" y="20526"/>
                                </a:lnTo>
                                <a:lnTo>
                                  <a:pt x="5506" y="42808"/>
                                </a:lnTo>
                                <a:lnTo>
                                  <a:pt x="0" y="70103"/>
                                </a:lnTo>
                                <a:lnTo>
                                  <a:pt x="0" y="630935"/>
                                </a:lnTo>
                                <a:lnTo>
                                  <a:pt x="5506" y="658231"/>
                                </a:lnTo>
                                <a:lnTo>
                                  <a:pt x="20526" y="680513"/>
                                </a:lnTo>
                                <a:lnTo>
                                  <a:pt x="42808" y="695533"/>
                                </a:lnTo>
                                <a:lnTo>
                                  <a:pt x="70103" y="701039"/>
                                </a:lnTo>
                                <a:lnTo>
                                  <a:pt x="1098295" y="701039"/>
                                </a:lnTo>
                                <a:lnTo>
                                  <a:pt x="1125591" y="695533"/>
                                </a:lnTo>
                                <a:lnTo>
                                  <a:pt x="1147873" y="680513"/>
                                </a:lnTo>
                                <a:lnTo>
                                  <a:pt x="1162893" y="658231"/>
                                </a:lnTo>
                                <a:lnTo>
                                  <a:pt x="1168399" y="630935"/>
                                </a:lnTo>
                                <a:lnTo>
                                  <a:pt x="1168399" y="70103"/>
                                </a:lnTo>
                                <a:lnTo>
                                  <a:pt x="1162893" y="42808"/>
                                </a:lnTo>
                                <a:lnTo>
                                  <a:pt x="1147873" y="20526"/>
                                </a:lnTo>
                                <a:lnTo>
                                  <a:pt x="1125591" y="5506"/>
                                </a:lnTo>
                                <a:lnTo>
                                  <a:pt x="1098295" y="0"/>
                                </a:lnTo>
                                <a:close/>
                              </a:path>
                            </a:pathLst>
                          </a:custGeom>
                          <a:solidFill>
                            <a:srgbClr val="FFFFFF"/>
                          </a:solidFill>
                        </wps:spPr>
                        <wps:bodyPr wrap="square" lIns="0" tIns="0" rIns="0" bIns="0" rtlCol="0">
                          <a:prstTxWarp prst="textNoShape">
                            <a:avLst/>
                          </a:prstTxWarp>
                          <a:noAutofit/>
                        </wps:bodyPr>
                      </wps:wsp>
                      <wps:wsp>
                        <wps:cNvPr id="24" name="Graphic 24"/>
                        <wps:cNvSpPr/>
                        <wps:spPr>
                          <a:xfrm>
                            <a:off x="12700" y="895583"/>
                            <a:ext cx="1168400" cy="701040"/>
                          </a:xfrm>
                          <a:custGeom>
                            <a:avLst/>
                            <a:gdLst/>
                            <a:ahLst/>
                            <a:cxnLst/>
                            <a:rect l="l" t="t" r="r" b="b"/>
                            <a:pathLst>
                              <a:path w="1168400" h="701040">
                                <a:moveTo>
                                  <a:pt x="0" y="70103"/>
                                </a:moveTo>
                                <a:lnTo>
                                  <a:pt x="5506" y="42808"/>
                                </a:lnTo>
                                <a:lnTo>
                                  <a:pt x="20526" y="20526"/>
                                </a:lnTo>
                                <a:lnTo>
                                  <a:pt x="42808" y="5506"/>
                                </a:lnTo>
                                <a:lnTo>
                                  <a:pt x="70103" y="0"/>
                                </a:lnTo>
                                <a:lnTo>
                                  <a:pt x="1098295" y="0"/>
                                </a:lnTo>
                                <a:lnTo>
                                  <a:pt x="1125591" y="5506"/>
                                </a:lnTo>
                                <a:lnTo>
                                  <a:pt x="1147873" y="20526"/>
                                </a:lnTo>
                                <a:lnTo>
                                  <a:pt x="1162893" y="42808"/>
                                </a:lnTo>
                                <a:lnTo>
                                  <a:pt x="1168399" y="70103"/>
                                </a:lnTo>
                                <a:lnTo>
                                  <a:pt x="1168399" y="630935"/>
                                </a:lnTo>
                                <a:lnTo>
                                  <a:pt x="1162893" y="658231"/>
                                </a:lnTo>
                                <a:lnTo>
                                  <a:pt x="1147873" y="680513"/>
                                </a:lnTo>
                                <a:lnTo>
                                  <a:pt x="1125591" y="695533"/>
                                </a:lnTo>
                                <a:lnTo>
                                  <a:pt x="1098295" y="701039"/>
                                </a:lnTo>
                                <a:lnTo>
                                  <a:pt x="70103" y="701039"/>
                                </a:lnTo>
                                <a:lnTo>
                                  <a:pt x="42808" y="695533"/>
                                </a:lnTo>
                                <a:lnTo>
                                  <a:pt x="20526" y="680513"/>
                                </a:lnTo>
                                <a:lnTo>
                                  <a:pt x="5506" y="658231"/>
                                </a:lnTo>
                                <a:lnTo>
                                  <a:pt x="0" y="630935"/>
                                </a:lnTo>
                                <a:lnTo>
                                  <a:pt x="0" y="70103"/>
                                </a:lnTo>
                                <a:close/>
                              </a:path>
                            </a:pathLst>
                          </a:custGeom>
                          <a:ln w="25400">
                            <a:solidFill>
                              <a:srgbClr val="4674AB"/>
                            </a:solidFill>
                            <a:prstDash val="solid"/>
                          </a:ln>
                        </wps:spPr>
                        <wps:bodyPr wrap="square" lIns="0" tIns="0" rIns="0" bIns="0" rtlCol="0">
                          <a:prstTxWarp prst="textNoShape">
                            <a:avLst/>
                          </a:prstTxWarp>
                          <a:noAutofit/>
                        </wps:bodyPr>
                      </wps:wsp>
                      <wps:wsp>
                        <wps:cNvPr id="25" name="Graphic 25"/>
                        <wps:cNvSpPr/>
                        <wps:spPr>
                          <a:xfrm>
                            <a:off x="196977" y="1947575"/>
                            <a:ext cx="105410" cy="869950"/>
                          </a:xfrm>
                          <a:custGeom>
                            <a:avLst/>
                            <a:gdLst/>
                            <a:ahLst/>
                            <a:cxnLst/>
                            <a:rect l="l" t="t" r="r" b="b"/>
                            <a:pathLst>
                              <a:path w="105410" h="869950">
                                <a:moveTo>
                                  <a:pt x="105152" y="0"/>
                                </a:moveTo>
                                <a:lnTo>
                                  <a:pt x="0" y="0"/>
                                </a:lnTo>
                                <a:lnTo>
                                  <a:pt x="0" y="869899"/>
                                </a:lnTo>
                                <a:lnTo>
                                  <a:pt x="105152" y="869899"/>
                                </a:lnTo>
                                <a:lnTo>
                                  <a:pt x="105152" y="0"/>
                                </a:lnTo>
                                <a:close/>
                              </a:path>
                            </a:pathLst>
                          </a:custGeom>
                          <a:solidFill>
                            <a:srgbClr val="B1C1DB"/>
                          </a:solidFill>
                        </wps:spPr>
                        <wps:bodyPr wrap="square" lIns="0" tIns="0" rIns="0" bIns="0" rtlCol="0">
                          <a:prstTxWarp prst="textNoShape">
                            <a:avLst/>
                          </a:prstTxWarp>
                          <a:noAutofit/>
                        </wps:bodyPr>
                      </wps:wsp>
                      <wps:wsp>
                        <wps:cNvPr id="26" name="Graphic 26"/>
                        <wps:cNvSpPr/>
                        <wps:spPr>
                          <a:xfrm>
                            <a:off x="12700" y="1771883"/>
                            <a:ext cx="1168400" cy="701040"/>
                          </a:xfrm>
                          <a:custGeom>
                            <a:avLst/>
                            <a:gdLst/>
                            <a:ahLst/>
                            <a:cxnLst/>
                            <a:rect l="l" t="t" r="r" b="b"/>
                            <a:pathLst>
                              <a:path w="1168400" h="701040">
                                <a:moveTo>
                                  <a:pt x="1098295" y="0"/>
                                </a:moveTo>
                                <a:lnTo>
                                  <a:pt x="70103" y="0"/>
                                </a:lnTo>
                                <a:lnTo>
                                  <a:pt x="42808" y="5506"/>
                                </a:lnTo>
                                <a:lnTo>
                                  <a:pt x="20526" y="20526"/>
                                </a:lnTo>
                                <a:lnTo>
                                  <a:pt x="5506" y="42808"/>
                                </a:lnTo>
                                <a:lnTo>
                                  <a:pt x="0" y="70103"/>
                                </a:lnTo>
                                <a:lnTo>
                                  <a:pt x="0" y="630808"/>
                                </a:lnTo>
                                <a:lnTo>
                                  <a:pt x="5506" y="658104"/>
                                </a:lnTo>
                                <a:lnTo>
                                  <a:pt x="20526" y="680386"/>
                                </a:lnTo>
                                <a:lnTo>
                                  <a:pt x="42808" y="695406"/>
                                </a:lnTo>
                                <a:lnTo>
                                  <a:pt x="70103" y="700912"/>
                                </a:lnTo>
                                <a:lnTo>
                                  <a:pt x="1098295" y="700912"/>
                                </a:lnTo>
                                <a:lnTo>
                                  <a:pt x="1125591" y="695406"/>
                                </a:lnTo>
                                <a:lnTo>
                                  <a:pt x="1147873" y="680386"/>
                                </a:lnTo>
                                <a:lnTo>
                                  <a:pt x="1162893" y="658104"/>
                                </a:lnTo>
                                <a:lnTo>
                                  <a:pt x="1168399" y="630808"/>
                                </a:lnTo>
                                <a:lnTo>
                                  <a:pt x="1168399" y="70103"/>
                                </a:lnTo>
                                <a:lnTo>
                                  <a:pt x="1162893" y="42808"/>
                                </a:lnTo>
                                <a:lnTo>
                                  <a:pt x="1147873" y="20526"/>
                                </a:lnTo>
                                <a:lnTo>
                                  <a:pt x="1125591" y="5506"/>
                                </a:lnTo>
                                <a:lnTo>
                                  <a:pt x="1098295" y="0"/>
                                </a:lnTo>
                                <a:close/>
                              </a:path>
                            </a:pathLst>
                          </a:custGeom>
                          <a:solidFill>
                            <a:srgbClr val="FFFFFF"/>
                          </a:solidFill>
                        </wps:spPr>
                        <wps:bodyPr wrap="square" lIns="0" tIns="0" rIns="0" bIns="0" rtlCol="0">
                          <a:prstTxWarp prst="textNoShape">
                            <a:avLst/>
                          </a:prstTxWarp>
                          <a:noAutofit/>
                        </wps:bodyPr>
                      </wps:wsp>
                      <wps:wsp>
                        <wps:cNvPr id="27" name="Graphic 27"/>
                        <wps:cNvSpPr/>
                        <wps:spPr>
                          <a:xfrm>
                            <a:off x="12700" y="1771883"/>
                            <a:ext cx="1168400" cy="701040"/>
                          </a:xfrm>
                          <a:custGeom>
                            <a:avLst/>
                            <a:gdLst/>
                            <a:ahLst/>
                            <a:cxnLst/>
                            <a:rect l="l" t="t" r="r" b="b"/>
                            <a:pathLst>
                              <a:path w="1168400" h="701040">
                                <a:moveTo>
                                  <a:pt x="0" y="70103"/>
                                </a:moveTo>
                                <a:lnTo>
                                  <a:pt x="5506" y="42808"/>
                                </a:lnTo>
                                <a:lnTo>
                                  <a:pt x="20526" y="20526"/>
                                </a:lnTo>
                                <a:lnTo>
                                  <a:pt x="42808" y="5506"/>
                                </a:lnTo>
                                <a:lnTo>
                                  <a:pt x="70103" y="0"/>
                                </a:lnTo>
                                <a:lnTo>
                                  <a:pt x="1098295" y="0"/>
                                </a:lnTo>
                                <a:lnTo>
                                  <a:pt x="1125591" y="5506"/>
                                </a:lnTo>
                                <a:lnTo>
                                  <a:pt x="1147873" y="20526"/>
                                </a:lnTo>
                                <a:lnTo>
                                  <a:pt x="1162893" y="42808"/>
                                </a:lnTo>
                                <a:lnTo>
                                  <a:pt x="1168399" y="70103"/>
                                </a:lnTo>
                                <a:lnTo>
                                  <a:pt x="1168399" y="630808"/>
                                </a:lnTo>
                                <a:lnTo>
                                  <a:pt x="1162893" y="658104"/>
                                </a:lnTo>
                                <a:lnTo>
                                  <a:pt x="1147873" y="680386"/>
                                </a:lnTo>
                                <a:lnTo>
                                  <a:pt x="1125591" y="695406"/>
                                </a:lnTo>
                                <a:lnTo>
                                  <a:pt x="1098295" y="700912"/>
                                </a:lnTo>
                                <a:lnTo>
                                  <a:pt x="70103" y="700912"/>
                                </a:lnTo>
                                <a:lnTo>
                                  <a:pt x="42808" y="695406"/>
                                </a:lnTo>
                                <a:lnTo>
                                  <a:pt x="20526" y="680386"/>
                                </a:lnTo>
                                <a:lnTo>
                                  <a:pt x="5506" y="658104"/>
                                </a:lnTo>
                                <a:lnTo>
                                  <a:pt x="0" y="630808"/>
                                </a:lnTo>
                                <a:lnTo>
                                  <a:pt x="0" y="70103"/>
                                </a:lnTo>
                                <a:close/>
                              </a:path>
                            </a:pathLst>
                          </a:custGeom>
                          <a:ln w="25400">
                            <a:solidFill>
                              <a:srgbClr val="4674AB"/>
                            </a:solidFill>
                            <a:prstDash val="solid"/>
                          </a:ln>
                        </wps:spPr>
                        <wps:bodyPr wrap="square" lIns="0" tIns="0" rIns="0" bIns="0" rtlCol="0">
                          <a:prstTxWarp prst="textNoShape">
                            <a:avLst/>
                          </a:prstTxWarp>
                          <a:noAutofit/>
                        </wps:bodyPr>
                      </wps:wsp>
                      <wps:wsp>
                        <wps:cNvPr id="28" name="Graphic 28"/>
                        <wps:cNvSpPr/>
                        <wps:spPr>
                          <a:xfrm>
                            <a:off x="252729" y="2768075"/>
                            <a:ext cx="1547495" cy="105410"/>
                          </a:xfrm>
                          <a:custGeom>
                            <a:avLst/>
                            <a:gdLst/>
                            <a:ahLst/>
                            <a:cxnLst/>
                            <a:rect l="l" t="t" r="r" b="b"/>
                            <a:pathLst>
                              <a:path w="1547495" h="105410">
                                <a:moveTo>
                                  <a:pt x="1547495" y="0"/>
                                </a:moveTo>
                                <a:lnTo>
                                  <a:pt x="0" y="0"/>
                                </a:lnTo>
                                <a:lnTo>
                                  <a:pt x="0" y="105152"/>
                                </a:lnTo>
                                <a:lnTo>
                                  <a:pt x="1547495" y="105152"/>
                                </a:lnTo>
                                <a:lnTo>
                                  <a:pt x="1547495" y="0"/>
                                </a:lnTo>
                                <a:close/>
                              </a:path>
                            </a:pathLst>
                          </a:custGeom>
                          <a:solidFill>
                            <a:srgbClr val="B1C1DB"/>
                          </a:solidFill>
                        </wps:spPr>
                        <wps:bodyPr wrap="square" lIns="0" tIns="0" rIns="0" bIns="0" rtlCol="0">
                          <a:prstTxWarp prst="textNoShape">
                            <a:avLst/>
                          </a:prstTxWarp>
                          <a:noAutofit/>
                        </wps:bodyPr>
                      </wps:wsp>
                      <wps:wsp>
                        <wps:cNvPr id="29" name="Graphic 29"/>
                        <wps:cNvSpPr/>
                        <wps:spPr>
                          <a:xfrm>
                            <a:off x="12700" y="2648056"/>
                            <a:ext cx="1168400" cy="701040"/>
                          </a:xfrm>
                          <a:custGeom>
                            <a:avLst/>
                            <a:gdLst/>
                            <a:ahLst/>
                            <a:cxnLst/>
                            <a:rect l="l" t="t" r="r" b="b"/>
                            <a:pathLst>
                              <a:path w="1168400" h="701040">
                                <a:moveTo>
                                  <a:pt x="1098295" y="0"/>
                                </a:moveTo>
                                <a:lnTo>
                                  <a:pt x="70103" y="0"/>
                                </a:lnTo>
                                <a:lnTo>
                                  <a:pt x="42808" y="5524"/>
                                </a:lnTo>
                                <a:lnTo>
                                  <a:pt x="20526" y="20574"/>
                                </a:lnTo>
                                <a:lnTo>
                                  <a:pt x="5506" y="42862"/>
                                </a:lnTo>
                                <a:lnTo>
                                  <a:pt x="0" y="70104"/>
                                </a:lnTo>
                                <a:lnTo>
                                  <a:pt x="0" y="630936"/>
                                </a:lnTo>
                                <a:lnTo>
                                  <a:pt x="5506" y="658231"/>
                                </a:lnTo>
                                <a:lnTo>
                                  <a:pt x="20526" y="680513"/>
                                </a:lnTo>
                                <a:lnTo>
                                  <a:pt x="42808" y="695533"/>
                                </a:lnTo>
                                <a:lnTo>
                                  <a:pt x="70103" y="701039"/>
                                </a:lnTo>
                                <a:lnTo>
                                  <a:pt x="1098295" y="701039"/>
                                </a:lnTo>
                                <a:lnTo>
                                  <a:pt x="1125591" y="695533"/>
                                </a:lnTo>
                                <a:lnTo>
                                  <a:pt x="1147873" y="680513"/>
                                </a:lnTo>
                                <a:lnTo>
                                  <a:pt x="1162893" y="658231"/>
                                </a:lnTo>
                                <a:lnTo>
                                  <a:pt x="1168399" y="630936"/>
                                </a:lnTo>
                                <a:lnTo>
                                  <a:pt x="1168399" y="70104"/>
                                </a:lnTo>
                                <a:lnTo>
                                  <a:pt x="1162893" y="42862"/>
                                </a:lnTo>
                                <a:lnTo>
                                  <a:pt x="1147873" y="20574"/>
                                </a:lnTo>
                                <a:lnTo>
                                  <a:pt x="1125591" y="5524"/>
                                </a:lnTo>
                                <a:lnTo>
                                  <a:pt x="1098295" y="0"/>
                                </a:lnTo>
                                <a:close/>
                              </a:path>
                            </a:pathLst>
                          </a:custGeom>
                          <a:solidFill>
                            <a:srgbClr val="FFFFFF"/>
                          </a:solidFill>
                        </wps:spPr>
                        <wps:bodyPr wrap="square" lIns="0" tIns="0" rIns="0" bIns="0" rtlCol="0">
                          <a:prstTxWarp prst="textNoShape">
                            <a:avLst/>
                          </a:prstTxWarp>
                          <a:noAutofit/>
                        </wps:bodyPr>
                      </wps:wsp>
                      <wps:wsp>
                        <wps:cNvPr id="30" name="Graphic 30"/>
                        <wps:cNvSpPr/>
                        <wps:spPr>
                          <a:xfrm>
                            <a:off x="12700" y="2648056"/>
                            <a:ext cx="1168400" cy="701040"/>
                          </a:xfrm>
                          <a:custGeom>
                            <a:avLst/>
                            <a:gdLst/>
                            <a:ahLst/>
                            <a:cxnLst/>
                            <a:rect l="l" t="t" r="r" b="b"/>
                            <a:pathLst>
                              <a:path w="1168400" h="701040">
                                <a:moveTo>
                                  <a:pt x="0" y="70104"/>
                                </a:moveTo>
                                <a:lnTo>
                                  <a:pt x="5506" y="42862"/>
                                </a:lnTo>
                                <a:lnTo>
                                  <a:pt x="20526" y="20574"/>
                                </a:lnTo>
                                <a:lnTo>
                                  <a:pt x="42808" y="5524"/>
                                </a:lnTo>
                                <a:lnTo>
                                  <a:pt x="70103" y="0"/>
                                </a:lnTo>
                                <a:lnTo>
                                  <a:pt x="1098295" y="0"/>
                                </a:lnTo>
                                <a:lnTo>
                                  <a:pt x="1125591" y="5524"/>
                                </a:lnTo>
                                <a:lnTo>
                                  <a:pt x="1147873" y="20574"/>
                                </a:lnTo>
                                <a:lnTo>
                                  <a:pt x="1162893" y="42862"/>
                                </a:lnTo>
                                <a:lnTo>
                                  <a:pt x="1168399" y="70104"/>
                                </a:lnTo>
                                <a:lnTo>
                                  <a:pt x="1168399" y="630936"/>
                                </a:lnTo>
                                <a:lnTo>
                                  <a:pt x="1162893" y="658231"/>
                                </a:lnTo>
                                <a:lnTo>
                                  <a:pt x="1147873" y="680513"/>
                                </a:lnTo>
                                <a:lnTo>
                                  <a:pt x="1125591" y="695533"/>
                                </a:lnTo>
                                <a:lnTo>
                                  <a:pt x="1098295" y="701039"/>
                                </a:lnTo>
                                <a:lnTo>
                                  <a:pt x="70103" y="701039"/>
                                </a:lnTo>
                                <a:lnTo>
                                  <a:pt x="42808" y="695533"/>
                                </a:lnTo>
                                <a:lnTo>
                                  <a:pt x="20526" y="680513"/>
                                </a:lnTo>
                                <a:lnTo>
                                  <a:pt x="5506" y="658231"/>
                                </a:lnTo>
                                <a:lnTo>
                                  <a:pt x="0" y="630936"/>
                                </a:lnTo>
                                <a:lnTo>
                                  <a:pt x="0" y="70104"/>
                                </a:lnTo>
                                <a:close/>
                              </a:path>
                            </a:pathLst>
                          </a:custGeom>
                          <a:ln w="25400">
                            <a:solidFill>
                              <a:srgbClr val="4674AB"/>
                            </a:solidFill>
                            <a:prstDash val="solid"/>
                          </a:ln>
                        </wps:spPr>
                        <wps:bodyPr wrap="square" lIns="0" tIns="0" rIns="0" bIns="0" rtlCol="0">
                          <a:prstTxWarp prst="textNoShape">
                            <a:avLst/>
                          </a:prstTxWarp>
                          <a:noAutofit/>
                        </wps:bodyPr>
                      </wps:wsp>
                      <wps:wsp>
                        <wps:cNvPr id="31" name="Graphic 31"/>
                        <wps:cNvSpPr/>
                        <wps:spPr>
                          <a:xfrm>
                            <a:off x="1750948" y="1947575"/>
                            <a:ext cx="105410" cy="869950"/>
                          </a:xfrm>
                          <a:custGeom>
                            <a:avLst/>
                            <a:gdLst/>
                            <a:ahLst/>
                            <a:cxnLst/>
                            <a:rect l="l" t="t" r="r" b="b"/>
                            <a:pathLst>
                              <a:path w="105410" h="869950">
                                <a:moveTo>
                                  <a:pt x="105152" y="0"/>
                                </a:moveTo>
                                <a:lnTo>
                                  <a:pt x="0" y="0"/>
                                </a:lnTo>
                                <a:lnTo>
                                  <a:pt x="0" y="869899"/>
                                </a:lnTo>
                                <a:lnTo>
                                  <a:pt x="105152" y="869899"/>
                                </a:lnTo>
                                <a:lnTo>
                                  <a:pt x="105152" y="0"/>
                                </a:lnTo>
                                <a:close/>
                              </a:path>
                            </a:pathLst>
                          </a:custGeom>
                          <a:solidFill>
                            <a:srgbClr val="B1C1DB"/>
                          </a:solidFill>
                        </wps:spPr>
                        <wps:bodyPr wrap="square" lIns="0" tIns="0" rIns="0" bIns="0" rtlCol="0">
                          <a:prstTxWarp prst="textNoShape">
                            <a:avLst/>
                          </a:prstTxWarp>
                          <a:noAutofit/>
                        </wps:bodyPr>
                      </wps:wsp>
                      <wps:wsp>
                        <wps:cNvPr id="32" name="Graphic 32"/>
                        <wps:cNvSpPr/>
                        <wps:spPr>
                          <a:xfrm>
                            <a:off x="1566672" y="2648056"/>
                            <a:ext cx="1168400" cy="701040"/>
                          </a:xfrm>
                          <a:custGeom>
                            <a:avLst/>
                            <a:gdLst/>
                            <a:ahLst/>
                            <a:cxnLst/>
                            <a:rect l="l" t="t" r="r" b="b"/>
                            <a:pathLst>
                              <a:path w="1168400" h="701040">
                                <a:moveTo>
                                  <a:pt x="1098169" y="0"/>
                                </a:moveTo>
                                <a:lnTo>
                                  <a:pt x="70103" y="0"/>
                                </a:lnTo>
                                <a:lnTo>
                                  <a:pt x="42808" y="5524"/>
                                </a:lnTo>
                                <a:lnTo>
                                  <a:pt x="20526" y="20574"/>
                                </a:lnTo>
                                <a:lnTo>
                                  <a:pt x="5506" y="42862"/>
                                </a:lnTo>
                                <a:lnTo>
                                  <a:pt x="0" y="70104"/>
                                </a:lnTo>
                                <a:lnTo>
                                  <a:pt x="0" y="630936"/>
                                </a:lnTo>
                                <a:lnTo>
                                  <a:pt x="5506" y="658231"/>
                                </a:lnTo>
                                <a:lnTo>
                                  <a:pt x="20526" y="680513"/>
                                </a:lnTo>
                                <a:lnTo>
                                  <a:pt x="42808" y="695533"/>
                                </a:lnTo>
                                <a:lnTo>
                                  <a:pt x="70103" y="701039"/>
                                </a:lnTo>
                                <a:lnTo>
                                  <a:pt x="1098169" y="701039"/>
                                </a:lnTo>
                                <a:lnTo>
                                  <a:pt x="1125464" y="695533"/>
                                </a:lnTo>
                                <a:lnTo>
                                  <a:pt x="1147746" y="680513"/>
                                </a:lnTo>
                                <a:lnTo>
                                  <a:pt x="1162766" y="658231"/>
                                </a:lnTo>
                                <a:lnTo>
                                  <a:pt x="1168273" y="630936"/>
                                </a:lnTo>
                                <a:lnTo>
                                  <a:pt x="1168273" y="70104"/>
                                </a:lnTo>
                                <a:lnTo>
                                  <a:pt x="1162766" y="42862"/>
                                </a:lnTo>
                                <a:lnTo>
                                  <a:pt x="1147746" y="20574"/>
                                </a:lnTo>
                                <a:lnTo>
                                  <a:pt x="1125464" y="5524"/>
                                </a:lnTo>
                                <a:lnTo>
                                  <a:pt x="1098169" y="0"/>
                                </a:lnTo>
                                <a:close/>
                              </a:path>
                            </a:pathLst>
                          </a:custGeom>
                          <a:solidFill>
                            <a:srgbClr val="FFFFFF"/>
                          </a:solidFill>
                        </wps:spPr>
                        <wps:bodyPr wrap="square" lIns="0" tIns="0" rIns="0" bIns="0" rtlCol="0">
                          <a:prstTxWarp prst="textNoShape">
                            <a:avLst/>
                          </a:prstTxWarp>
                          <a:noAutofit/>
                        </wps:bodyPr>
                      </wps:wsp>
                      <wps:wsp>
                        <wps:cNvPr id="33" name="Graphic 33"/>
                        <wps:cNvSpPr/>
                        <wps:spPr>
                          <a:xfrm>
                            <a:off x="1566672" y="2648056"/>
                            <a:ext cx="1168400" cy="701040"/>
                          </a:xfrm>
                          <a:custGeom>
                            <a:avLst/>
                            <a:gdLst/>
                            <a:ahLst/>
                            <a:cxnLst/>
                            <a:rect l="l" t="t" r="r" b="b"/>
                            <a:pathLst>
                              <a:path w="1168400" h="701040">
                                <a:moveTo>
                                  <a:pt x="0" y="70104"/>
                                </a:moveTo>
                                <a:lnTo>
                                  <a:pt x="5506" y="42862"/>
                                </a:lnTo>
                                <a:lnTo>
                                  <a:pt x="20526" y="20574"/>
                                </a:lnTo>
                                <a:lnTo>
                                  <a:pt x="42808" y="5524"/>
                                </a:lnTo>
                                <a:lnTo>
                                  <a:pt x="70103" y="0"/>
                                </a:lnTo>
                                <a:lnTo>
                                  <a:pt x="1098169" y="0"/>
                                </a:lnTo>
                                <a:lnTo>
                                  <a:pt x="1125464" y="5524"/>
                                </a:lnTo>
                                <a:lnTo>
                                  <a:pt x="1147746" y="20574"/>
                                </a:lnTo>
                                <a:lnTo>
                                  <a:pt x="1162766" y="42862"/>
                                </a:lnTo>
                                <a:lnTo>
                                  <a:pt x="1168273" y="70104"/>
                                </a:lnTo>
                                <a:lnTo>
                                  <a:pt x="1168273" y="630936"/>
                                </a:lnTo>
                                <a:lnTo>
                                  <a:pt x="1162766" y="658231"/>
                                </a:lnTo>
                                <a:lnTo>
                                  <a:pt x="1147746" y="680513"/>
                                </a:lnTo>
                                <a:lnTo>
                                  <a:pt x="1125464" y="695533"/>
                                </a:lnTo>
                                <a:lnTo>
                                  <a:pt x="1098169" y="701039"/>
                                </a:lnTo>
                                <a:lnTo>
                                  <a:pt x="70103" y="701039"/>
                                </a:lnTo>
                                <a:lnTo>
                                  <a:pt x="42808" y="695533"/>
                                </a:lnTo>
                                <a:lnTo>
                                  <a:pt x="20526" y="680513"/>
                                </a:lnTo>
                                <a:lnTo>
                                  <a:pt x="5506" y="658231"/>
                                </a:lnTo>
                                <a:lnTo>
                                  <a:pt x="0" y="630936"/>
                                </a:lnTo>
                                <a:lnTo>
                                  <a:pt x="0" y="70104"/>
                                </a:lnTo>
                                <a:close/>
                              </a:path>
                            </a:pathLst>
                          </a:custGeom>
                          <a:ln w="25400">
                            <a:solidFill>
                              <a:srgbClr val="4674AB"/>
                            </a:solidFill>
                            <a:prstDash val="solid"/>
                          </a:ln>
                        </wps:spPr>
                        <wps:bodyPr wrap="square" lIns="0" tIns="0" rIns="0" bIns="0" rtlCol="0">
                          <a:prstTxWarp prst="textNoShape">
                            <a:avLst/>
                          </a:prstTxWarp>
                          <a:noAutofit/>
                        </wps:bodyPr>
                      </wps:wsp>
                      <wps:wsp>
                        <wps:cNvPr id="34" name="Graphic 34"/>
                        <wps:cNvSpPr/>
                        <wps:spPr>
                          <a:xfrm>
                            <a:off x="1754123" y="1078463"/>
                            <a:ext cx="128270" cy="867410"/>
                          </a:xfrm>
                          <a:custGeom>
                            <a:avLst/>
                            <a:gdLst/>
                            <a:ahLst/>
                            <a:cxnLst/>
                            <a:rect l="l" t="t" r="r" b="b"/>
                            <a:pathLst>
                              <a:path w="128270" h="867410">
                                <a:moveTo>
                                  <a:pt x="22733" y="0"/>
                                </a:moveTo>
                                <a:lnTo>
                                  <a:pt x="0" y="864615"/>
                                </a:lnTo>
                                <a:lnTo>
                                  <a:pt x="105156" y="867410"/>
                                </a:lnTo>
                                <a:lnTo>
                                  <a:pt x="127762" y="2794"/>
                                </a:lnTo>
                                <a:lnTo>
                                  <a:pt x="22733" y="0"/>
                                </a:lnTo>
                                <a:close/>
                              </a:path>
                            </a:pathLst>
                          </a:custGeom>
                          <a:solidFill>
                            <a:srgbClr val="B1C1DB"/>
                          </a:solidFill>
                        </wps:spPr>
                        <wps:bodyPr wrap="square" lIns="0" tIns="0" rIns="0" bIns="0" rtlCol="0">
                          <a:prstTxWarp prst="textNoShape">
                            <a:avLst/>
                          </a:prstTxWarp>
                          <a:noAutofit/>
                        </wps:bodyPr>
                      </wps:wsp>
                      <wps:wsp>
                        <wps:cNvPr id="35" name="Graphic 35"/>
                        <wps:cNvSpPr/>
                        <wps:spPr>
                          <a:xfrm>
                            <a:off x="1566672" y="1771883"/>
                            <a:ext cx="1168400" cy="701040"/>
                          </a:xfrm>
                          <a:custGeom>
                            <a:avLst/>
                            <a:gdLst/>
                            <a:ahLst/>
                            <a:cxnLst/>
                            <a:rect l="l" t="t" r="r" b="b"/>
                            <a:pathLst>
                              <a:path w="1168400" h="701040">
                                <a:moveTo>
                                  <a:pt x="1098169" y="0"/>
                                </a:moveTo>
                                <a:lnTo>
                                  <a:pt x="70103" y="0"/>
                                </a:lnTo>
                                <a:lnTo>
                                  <a:pt x="42808" y="5506"/>
                                </a:lnTo>
                                <a:lnTo>
                                  <a:pt x="20526" y="20526"/>
                                </a:lnTo>
                                <a:lnTo>
                                  <a:pt x="5506" y="42808"/>
                                </a:lnTo>
                                <a:lnTo>
                                  <a:pt x="0" y="70103"/>
                                </a:lnTo>
                                <a:lnTo>
                                  <a:pt x="0" y="630808"/>
                                </a:lnTo>
                                <a:lnTo>
                                  <a:pt x="5506" y="658104"/>
                                </a:lnTo>
                                <a:lnTo>
                                  <a:pt x="20526" y="680386"/>
                                </a:lnTo>
                                <a:lnTo>
                                  <a:pt x="42808" y="695406"/>
                                </a:lnTo>
                                <a:lnTo>
                                  <a:pt x="70103" y="700912"/>
                                </a:lnTo>
                                <a:lnTo>
                                  <a:pt x="1098169" y="700912"/>
                                </a:lnTo>
                                <a:lnTo>
                                  <a:pt x="1125464" y="695406"/>
                                </a:lnTo>
                                <a:lnTo>
                                  <a:pt x="1147746" y="680386"/>
                                </a:lnTo>
                                <a:lnTo>
                                  <a:pt x="1162766" y="658104"/>
                                </a:lnTo>
                                <a:lnTo>
                                  <a:pt x="1168273" y="630808"/>
                                </a:lnTo>
                                <a:lnTo>
                                  <a:pt x="1168273" y="70103"/>
                                </a:lnTo>
                                <a:lnTo>
                                  <a:pt x="1162766" y="42808"/>
                                </a:lnTo>
                                <a:lnTo>
                                  <a:pt x="1147746" y="20526"/>
                                </a:lnTo>
                                <a:lnTo>
                                  <a:pt x="1125464" y="5506"/>
                                </a:lnTo>
                                <a:lnTo>
                                  <a:pt x="1098169" y="0"/>
                                </a:lnTo>
                                <a:close/>
                              </a:path>
                            </a:pathLst>
                          </a:custGeom>
                          <a:solidFill>
                            <a:srgbClr val="FFFFFF"/>
                          </a:solidFill>
                        </wps:spPr>
                        <wps:bodyPr wrap="square" lIns="0" tIns="0" rIns="0" bIns="0" rtlCol="0">
                          <a:prstTxWarp prst="textNoShape">
                            <a:avLst/>
                          </a:prstTxWarp>
                          <a:noAutofit/>
                        </wps:bodyPr>
                      </wps:wsp>
                      <wps:wsp>
                        <wps:cNvPr id="36" name="Graphic 36"/>
                        <wps:cNvSpPr/>
                        <wps:spPr>
                          <a:xfrm>
                            <a:off x="1566672" y="1771883"/>
                            <a:ext cx="1168400" cy="701040"/>
                          </a:xfrm>
                          <a:custGeom>
                            <a:avLst/>
                            <a:gdLst/>
                            <a:ahLst/>
                            <a:cxnLst/>
                            <a:rect l="l" t="t" r="r" b="b"/>
                            <a:pathLst>
                              <a:path w="1168400" h="701040">
                                <a:moveTo>
                                  <a:pt x="0" y="70103"/>
                                </a:moveTo>
                                <a:lnTo>
                                  <a:pt x="5506" y="42808"/>
                                </a:lnTo>
                                <a:lnTo>
                                  <a:pt x="20526" y="20526"/>
                                </a:lnTo>
                                <a:lnTo>
                                  <a:pt x="42808" y="5506"/>
                                </a:lnTo>
                                <a:lnTo>
                                  <a:pt x="70103" y="0"/>
                                </a:lnTo>
                                <a:lnTo>
                                  <a:pt x="1098169" y="0"/>
                                </a:lnTo>
                                <a:lnTo>
                                  <a:pt x="1125464" y="5506"/>
                                </a:lnTo>
                                <a:lnTo>
                                  <a:pt x="1147746" y="20526"/>
                                </a:lnTo>
                                <a:lnTo>
                                  <a:pt x="1162766" y="42808"/>
                                </a:lnTo>
                                <a:lnTo>
                                  <a:pt x="1168273" y="70103"/>
                                </a:lnTo>
                                <a:lnTo>
                                  <a:pt x="1168273" y="630808"/>
                                </a:lnTo>
                                <a:lnTo>
                                  <a:pt x="1162766" y="658104"/>
                                </a:lnTo>
                                <a:lnTo>
                                  <a:pt x="1147746" y="680386"/>
                                </a:lnTo>
                                <a:lnTo>
                                  <a:pt x="1125464" y="695406"/>
                                </a:lnTo>
                                <a:lnTo>
                                  <a:pt x="1098169" y="700912"/>
                                </a:lnTo>
                                <a:lnTo>
                                  <a:pt x="70103" y="700912"/>
                                </a:lnTo>
                                <a:lnTo>
                                  <a:pt x="42808" y="695406"/>
                                </a:lnTo>
                                <a:lnTo>
                                  <a:pt x="20526" y="680386"/>
                                </a:lnTo>
                                <a:lnTo>
                                  <a:pt x="5506" y="658104"/>
                                </a:lnTo>
                                <a:lnTo>
                                  <a:pt x="0" y="630808"/>
                                </a:lnTo>
                                <a:lnTo>
                                  <a:pt x="0" y="70103"/>
                                </a:lnTo>
                                <a:close/>
                              </a:path>
                            </a:pathLst>
                          </a:custGeom>
                          <a:ln w="25400">
                            <a:solidFill>
                              <a:srgbClr val="4674AB"/>
                            </a:solidFill>
                            <a:prstDash val="solid"/>
                          </a:ln>
                        </wps:spPr>
                        <wps:bodyPr wrap="square" lIns="0" tIns="0" rIns="0" bIns="0" rtlCol="0">
                          <a:prstTxWarp prst="textNoShape">
                            <a:avLst/>
                          </a:prstTxWarp>
                          <a:noAutofit/>
                        </wps:bodyPr>
                      </wps:wsp>
                      <wps:wsp>
                        <wps:cNvPr id="37" name="Graphic 37"/>
                        <wps:cNvSpPr/>
                        <wps:spPr>
                          <a:xfrm>
                            <a:off x="1750948" y="193527"/>
                            <a:ext cx="131445" cy="882015"/>
                          </a:xfrm>
                          <a:custGeom>
                            <a:avLst/>
                            <a:gdLst/>
                            <a:ahLst/>
                            <a:cxnLst/>
                            <a:rect l="l" t="t" r="r" b="b"/>
                            <a:pathLst>
                              <a:path w="131445" h="882015">
                                <a:moveTo>
                                  <a:pt x="105029" y="0"/>
                                </a:moveTo>
                                <a:lnTo>
                                  <a:pt x="0" y="3048"/>
                                </a:lnTo>
                                <a:lnTo>
                                  <a:pt x="25908" y="881507"/>
                                </a:lnTo>
                                <a:lnTo>
                                  <a:pt x="130937" y="878459"/>
                                </a:lnTo>
                                <a:lnTo>
                                  <a:pt x="105029" y="0"/>
                                </a:lnTo>
                                <a:close/>
                              </a:path>
                            </a:pathLst>
                          </a:custGeom>
                          <a:solidFill>
                            <a:srgbClr val="B1C1DB"/>
                          </a:solidFill>
                        </wps:spPr>
                        <wps:bodyPr wrap="square" lIns="0" tIns="0" rIns="0" bIns="0" rtlCol="0">
                          <a:prstTxWarp prst="textNoShape">
                            <a:avLst/>
                          </a:prstTxWarp>
                          <a:noAutofit/>
                        </wps:bodyPr>
                      </wps:wsp>
                      <wps:wsp>
                        <wps:cNvPr id="38" name="Graphic 38"/>
                        <wps:cNvSpPr/>
                        <wps:spPr>
                          <a:xfrm>
                            <a:off x="1592580" y="904092"/>
                            <a:ext cx="1168400" cy="701040"/>
                          </a:xfrm>
                          <a:custGeom>
                            <a:avLst/>
                            <a:gdLst/>
                            <a:ahLst/>
                            <a:cxnLst/>
                            <a:rect l="l" t="t" r="r" b="b"/>
                            <a:pathLst>
                              <a:path w="1168400" h="701040">
                                <a:moveTo>
                                  <a:pt x="1098168" y="0"/>
                                </a:moveTo>
                                <a:lnTo>
                                  <a:pt x="69976" y="0"/>
                                </a:lnTo>
                                <a:lnTo>
                                  <a:pt x="42755" y="5506"/>
                                </a:lnTo>
                                <a:lnTo>
                                  <a:pt x="20510" y="20526"/>
                                </a:lnTo>
                                <a:lnTo>
                                  <a:pt x="5504" y="42808"/>
                                </a:lnTo>
                                <a:lnTo>
                                  <a:pt x="0" y="70103"/>
                                </a:lnTo>
                                <a:lnTo>
                                  <a:pt x="0" y="630935"/>
                                </a:lnTo>
                                <a:lnTo>
                                  <a:pt x="5504" y="658231"/>
                                </a:lnTo>
                                <a:lnTo>
                                  <a:pt x="20510" y="680513"/>
                                </a:lnTo>
                                <a:lnTo>
                                  <a:pt x="42755" y="695533"/>
                                </a:lnTo>
                                <a:lnTo>
                                  <a:pt x="69976" y="701040"/>
                                </a:lnTo>
                                <a:lnTo>
                                  <a:pt x="1098168" y="701040"/>
                                </a:lnTo>
                                <a:lnTo>
                                  <a:pt x="1125464" y="695533"/>
                                </a:lnTo>
                                <a:lnTo>
                                  <a:pt x="1147746" y="680513"/>
                                </a:lnTo>
                                <a:lnTo>
                                  <a:pt x="1162766" y="658231"/>
                                </a:lnTo>
                                <a:lnTo>
                                  <a:pt x="1168273" y="630935"/>
                                </a:lnTo>
                                <a:lnTo>
                                  <a:pt x="1168273" y="70103"/>
                                </a:lnTo>
                                <a:lnTo>
                                  <a:pt x="1162766" y="42808"/>
                                </a:lnTo>
                                <a:lnTo>
                                  <a:pt x="1147746" y="20526"/>
                                </a:lnTo>
                                <a:lnTo>
                                  <a:pt x="1125464" y="5506"/>
                                </a:lnTo>
                                <a:lnTo>
                                  <a:pt x="1098168" y="0"/>
                                </a:lnTo>
                                <a:close/>
                              </a:path>
                            </a:pathLst>
                          </a:custGeom>
                          <a:solidFill>
                            <a:srgbClr val="FFFFFF"/>
                          </a:solidFill>
                        </wps:spPr>
                        <wps:bodyPr wrap="square" lIns="0" tIns="0" rIns="0" bIns="0" rtlCol="0">
                          <a:prstTxWarp prst="textNoShape">
                            <a:avLst/>
                          </a:prstTxWarp>
                          <a:noAutofit/>
                        </wps:bodyPr>
                      </wps:wsp>
                      <wps:wsp>
                        <wps:cNvPr id="39" name="Graphic 39"/>
                        <wps:cNvSpPr/>
                        <wps:spPr>
                          <a:xfrm>
                            <a:off x="1592580" y="904092"/>
                            <a:ext cx="1168400" cy="701040"/>
                          </a:xfrm>
                          <a:custGeom>
                            <a:avLst/>
                            <a:gdLst/>
                            <a:ahLst/>
                            <a:cxnLst/>
                            <a:rect l="l" t="t" r="r" b="b"/>
                            <a:pathLst>
                              <a:path w="1168400" h="701040">
                                <a:moveTo>
                                  <a:pt x="0" y="70103"/>
                                </a:moveTo>
                                <a:lnTo>
                                  <a:pt x="5504" y="42808"/>
                                </a:lnTo>
                                <a:lnTo>
                                  <a:pt x="20510" y="20526"/>
                                </a:lnTo>
                                <a:lnTo>
                                  <a:pt x="42755" y="5506"/>
                                </a:lnTo>
                                <a:lnTo>
                                  <a:pt x="69976" y="0"/>
                                </a:lnTo>
                                <a:lnTo>
                                  <a:pt x="1098168" y="0"/>
                                </a:lnTo>
                                <a:lnTo>
                                  <a:pt x="1125464" y="5506"/>
                                </a:lnTo>
                                <a:lnTo>
                                  <a:pt x="1147746" y="20526"/>
                                </a:lnTo>
                                <a:lnTo>
                                  <a:pt x="1162766" y="42808"/>
                                </a:lnTo>
                                <a:lnTo>
                                  <a:pt x="1168273" y="70103"/>
                                </a:lnTo>
                                <a:lnTo>
                                  <a:pt x="1168273" y="630935"/>
                                </a:lnTo>
                                <a:lnTo>
                                  <a:pt x="1162766" y="658231"/>
                                </a:lnTo>
                                <a:lnTo>
                                  <a:pt x="1147746" y="680513"/>
                                </a:lnTo>
                                <a:lnTo>
                                  <a:pt x="1125464" y="695533"/>
                                </a:lnTo>
                                <a:lnTo>
                                  <a:pt x="1098168" y="701040"/>
                                </a:lnTo>
                                <a:lnTo>
                                  <a:pt x="69976" y="701040"/>
                                </a:lnTo>
                                <a:lnTo>
                                  <a:pt x="42755" y="695533"/>
                                </a:lnTo>
                                <a:lnTo>
                                  <a:pt x="20510" y="680513"/>
                                </a:lnTo>
                                <a:lnTo>
                                  <a:pt x="5504" y="658231"/>
                                </a:lnTo>
                                <a:lnTo>
                                  <a:pt x="0" y="630935"/>
                                </a:lnTo>
                                <a:lnTo>
                                  <a:pt x="0" y="70103"/>
                                </a:lnTo>
                                <a:close/>
                              </a:path>
                            </a:pathLst>
                          </a:custGeom>
                          <a:ln w="25400">
                            <a:solidFill>
                              <a:srgbClr val="4674AB"/>
                            </a:solidFill>
                            <a:prstDash val="solid"/>
                          </a:ln>
                        </wps:spPr>
                        <wps:bodyPr wrap="square" lIns="0" tIns="0" rIns="0" bIns="0" rtlCol="0">
                          <a:prstTxWarp prst="textNoShape">
                            <a:avLst/>
                          </a:prstTxWarp>
                          <a:noAutofit/>
                        </wps:bodyPr>
                      </wps:wsp>
                      <wps:wsp>
                        <wps:cNvPr id="40" name="Graphic 40"/>
                        <wps:cNvSpPr/>
                        <wps:spPr>
                          <a:xfrm>
                            <a:off x="1803400" y="142473"/>
                            <a:ext cx="1590040" cy="106680"/>
                          </a:xfrm>
                          <a:custGeom>
                            <a:avLst/>
                            <a:gdLst/>
                            <a:ahLst/>
                            <a:cxnLst/>
                            <a:rect l="l" t="t" r="r" b="b"/>
                            <a:pathLst>
                              <a:path w="1590040" h="106680">
                                <a:moveTo>
                                  <a:pt x="126" y="0"/>
                                </a:moveTo>
                                <a:lnTo>
                                  <a:pt x="0" y="105156"/>
                                </a:lnTo>
                                <a:lnTo>
                                  <a:pt x="1589659" y="106299"/>
                                </a:lnTo>
                                <a:lnTo>
                                  <a:pt x="1589659" y="1143"/>
                                </a:lnTo>
                                <a:lnTo>
                                  <a:pt x="126" y="0"/>
                                </a:lnTo>
                                <a:close/>
                              </a:path>
                            </a:pathLst>
                          </a:custGeom>
                          <a:solidFill>
                            <a:srgbClr val="B1C1DB"/>
                          </a:solidFill>
                        </wps:spPr>
                        <wps:bodyPr wrap="square" lIns="0" tIns="0" rIns="0" bIns="0" rtlCol="0">
                          <a:prstTxWarp prst="textNoShape">
                            <a:avLst/>
                          </a:prstTxWarp>
                          <a:noAutofit/>
                        </wps:bodyPr>
                      </wps:wsp>
                      <wps:wsp>
                        <wps:cNvPr id="41" name="Graphic 41"/>
                        <wps:cNvSpPr/>
                        <wps:spPr>
                          <a:xfrm>
                            <a:off x="1566672" y="19283"/>
                            <a:ext cx="1168400" cy="701040"/>
                          </a:xfrm>
                          <a:custGeom>
                            <a:avLst/>
                            <a:gdLst/>
                            <a:ahLst/>
                            <a:cxnLst/>
                            <a:rect l="l" t="t" r="r" b="b"/>
                            <a:pathLst>
                              <a:path w="1168400" h="701040">
                                <a:moveTo>
                                  <a:pt x="1098169" y="0"/>
                                </a:moveTo>
                                <a:lnTo>
                                  <a:pt x="70103" y="0"/>
                                </a:lnTo>
                                <a:lnTo>
                                  <a:pt x="42808" y="5506"/>
                                </a:lnTo>
                                <a:lnTo>
                                  <a:pt x="20526" y="20526"/>
                                </a:lnTo>
                                <a:lnTo>
                                  <a:pt x="5506" y="42808"/>
                                </a:lnTo>
                                <a:lnTo>
                                  <a:pt x="0" y="70103"/>
                                </a:lnTo>
                                <a:lnTo>
                                  <a:pt x="0" y="630935"/>
                                </a:lnTo>
                                <a:lnTo>
                                  <a:pt x="5506" y="658231"/>
                                </a:lnTo>
                                <a:lnTo>
                                  <a:pt x="20526" y="680513"/>
                                </a:lnTo>
                                <a:lnTo>
                                  <a:pt x="42808" y="695533"/>
                                </a:lnTo>
                                <a:lnTo>
                                  <a:pt x="70103" y="701039"/>
                                </a:lnTo>
                                <a:lnTo>
                                  <a:pt x="1098169" y="701039"/>
                                </a:lnTo>
                                <a:lnTo>
                                  <a:pt x="1125464" y="695533"/>
                                </a:lnTo>
                                <a:lnTo>
                                  <a:pt x="1147746" y="680513"/>
                                </a:lnTo>
                                <a:lnTo>
                                  <a:pt x="1162766" y="658231"/>
                                </a:lnTo>
                                <a:lnTo>
                                  <a:pt x="1168273" y="630935"/>
                                </a:lnTo>
                                <a:lnTo>
                                  <a:pt x="1168273" y="70103"/>
                                </a:lnTo>
                                <a:lnTo>
                                  <a:pt x="1162766" y="42808"/>
                                </a:lnTo>
                                <a:lnTo>
                                  <a:pt x="1147746" y="20526"/>
                                </a:lnTo>
                                <a:lnTo>
                                  <a:pt x="1125464" y="5506"/>
                                </a:lnTo>
                                <a:lnTo>
                                  <a:pt x="1098169" y="0"/>
                                </a:lnTo>
                                <a:close/>
                              </a:path>
                            </a:pathLst>
                          </a:custGeom>
                          <a:solidFill>
                            <a:srgbClr val="FFFFFF"/>
                          </a:solidFill>
                        </wps:spPr>
                        <wps:bodyPr wrap="square" lIns="0" tIns="0" rIns="0" bIns="0" rtlCol="0">
                          <a:prstTxWarp prst="textNoShape">
                            <a:avLst/>
                          </a:prstTxWarp>
                          <a:noAutofit/>
                        </wps:bodyPr>
                      </wps:wsp>
                      <wps:wsp>
                        <wps:cNvPr id="42" name="Graphic 42"/>
                        <wps:cNvSpPr/>
                        <wps:spPr>
                          <a:xfrm>
                            <a:off x="1566672" y="19283"/>
                            <a:ext cx="1168400" cy="701040"/>
                          </a:xfrm>
                          <a:custGeom>
                            <a:avLst/>
                            <a:gdLst/>
                            <a:ahLst/>
                            <a:cxnLst/>
                            <a:rect l="l" t="t" r="r" b="b"/>
                            <a:pathLst>
                              <a:path w="1168400" h="701040">
                                <a:moveTo>
                                  <a:pt x="0" y="70103"/>
                                </a:moveTo>
                                <a:lnTo>
                                  <a:pt x="5506" y="42808"/>
                                </a:lnTo>
                                <a:lnTo>
                                  <a:pt x="20526" y="20526"/>
                                </a:lnTo>
                                <a:lnTo>
                                  <a:pt x="42808" y="5506"/>
                                </a:lnTo>
                                <a:lnTo>
                                  <a:pt x="70103" y="0"/>
                                </a:lnTo>
                                <a:lnTo>
                                  <a:pt x="1098169" y="0"/>
                                </a:lnTo>
                                <a:lnTo>
                                  <a:pt x="1125464" y="5506"/>
                                </a:lnTo>
                                <a:lnTo>
                                  <a:pt x="1147746" y="20526"/>
                                </a:lnTo>
                                <a:lnTo>
                                  <a:pt x="1162766" y="42808"/>
                                </a:lnTo>
                                <a:lnTo>
                                  <a:pt x="1168273" y="70103"/>
                                </a:lnTo>
                                <a:lnTo>
                                  <a:pt x="1168273" y="630935"/>
                                </a:lnTo>
                                <a:lnTo>
                                  <a:pt x="1162766" y="658231"/>
                                </a:lnTo>
                                <a:lnTo>
                                  <a:pt x="1147746" y="680513"/>
                                </a:lnTo>
                                <a:lnTo>
                                  <a:pt x="1125464" y="695533"/>
                                </a:lnTo>
                                <a:lnTo>
                                  <a:pt x="1098169" y="701039"/>
                                </a:lnTo>
                                <a:lnTo>
                                  <a:pt x="70103" y="701039"/>
                                </a:lnTo>
                                <a:lnTo>
                                  <a:pt x="42808" y="695533"/>
                                </a:lnTo>
                                <a:lnTo>
                                  <a:pt x="20526" y="680513"/>
                                </a:lnTo>
                                <a:lnTo>
                                  <a:pt x="5506" y="658231"/>
                                </a:lnTo>
                                <a:lnTo>
                                  <a:pt x="0" y="630935"/>
                                </a:lnTo>
                                <a:lnTo>
                                  <a:pt x="0" y="70103"/>
                                </a:lnTo>
                                <a:close/>
                              </a:path>
                            </a:pathLst>
                          </a:custGeom>
                          <a:ln w="25399">
                            <a:solidFill>
                              <a:srgbClr val="4674AB"/>
                            </a:solidFill>
                            <a:prstDash val="solid"/>
                          </a:ln>
                        </wps:spPr>
                        <wps:bodyPr wrap="square" lIns="0" tIns="0" rIns="0" bIns="0" rtlCol="0">
                          <a:prstTxWarp prst="textNoShape">
                            <a:avLst/>
                          </a:prstTxWarp>
                          <a:noAutofit/>
                        </wps:bodyPr>
                      </wps:wsp>
                      <wps:wsp>
                        <wps:cNvPr id="43" name="Graphic 43"/>
                        <wps:cNvSpPr/>
                        <wps:spPr>
                          <a:xfrm>
                            <a:off x="3304921" y="197083"/>
                            <a:ext cx="144145" cy="870585"/>
                          </a:xfrm>
                          <a:custGeom>
                            <a:avLst/>
                            <a:gdLst/>
                            <a:ahLst/>
                            <a:cxnLst/>
                            <a:rect l="l" t="t" r="r" b="b"/>
                            <a:pathLst>
                              <a:path w="144145" h="870585">
                                <a:moveTo>
                                  <a:pt x="38735" y="0"/>
                                </a:moveTo>
                                <a:lnTo>
                                  <a:pt x="0" y="865504"/>
                                </a:lnTo>
                                <a:lnTo>
                                  <a:pt x="105028" y="870203"/>
                                </a:lnTo>
                                <a:lnTo>
                                  <a:pt x="143890" y="4699"/>
                                </a:lnTo>
                                <a:lnTo>
                                  <a:pt x="38735" y="0"/>
                                </a:lnTo>
                                <a:close/>
                              </a:path>
                            </a:pathLst>
                          </a:custGeom>
                          <a:solidFill>
                            <a:srgbClr val="B1C1DB"/>
                          </a:solidFill>
                        </wps:spPr>
                        <wps:bodyPr wrap="square" lIns="0" tIns="0" rIns="0" bIns="0" rtlCol="0">
                          <a:prstTxWarp prst="textNoShape">
                            <a:avLst/>
                          </a:prstTxWarp>
                          <a:noAutofit/>
                        </wps:bodyPr>
                      </wps:wsp>
                      <wps:wsp>
                        <wps:cNvPr id="44" name="Graphic 44"/>
                        <wps:cNvSpPr/>
                        <wps:spPr>
                          <a:xfrm>
                            <a:off x="3159379" y="23601"/>
                            <a:ext cx="1168400" cy="701040"/>
                          </a:xfrm>
                          <a:custGeom>
                            <a:avLst/>
                            <a:gdLst/>
                            <a:ahLst/>
                            <a:cxnLst/>
                            <a:rect l="l" t="t" r="r" b="b"/>
                            <a:pathLst>
                              <a:path w="1168400" h="701040">
                                <a:moveTo>
                                  <a:pt x="1098295" y="0"/>
                                </a:moveTo>
                                <a:lnTo>
                                  <a:pt x="70103" y="0"/>
                                </a:lnTo>
                                <a:lnTo>
                                  <a:pt x="42808" y="5506"/>
                                </a:lnTo>
                                <a:lnTo>
                                  <a:pt x="20526" y="20526"/>
                                </a:lnTo>
                                <a:lnTo>
                                  <a:pt x="5506" y="42808"/>
                                </a:lnTo>
                                <a:lnTo>
                                  <a:pt x="0" y="70104"/>
                                </a:lnTo>
                                <a:lnTo>
                                  <a:pt x="0" y="630936"/>
                                </a:lnTo>
                                <a:lnTo>
                                  <a:pt x="5506" y="658231"/>
                                </a:lnTo>
                                <a:lnTo>
                                  <a:pt x="20526" y="680513"/>
                                </a:lnTo>
                                <a:lnTo>
                                  <a:pt x="42808" y="695533"/>
                                </a:lnTo>
                                <a:lnTo>
                                  <a:pt x="70103" y="701040"/>
                                </a:lnTo>
                                <a:lnTo>
                                  <a:pt x="1098295" y="701040"/>
                                </a:lnTo>
                                <a:lnTo>
                                  <a:pt x="1125537" y="695533"/>
                                </a:lnTo>
                                <a:lnTo>
                                  <a:pt x="1147826" y="680513"/>
                                </a:lnTo>
                                <a:lnTo>
                                  <a:pt x="1162875" y="658231"/>
                                </a:lnTo>
                                <a:lnTo>
                                  <a:pt x="1168399" y="630936"/>
                                </a:lnTo>
                                <a:lnTo>
                                  <a:pt x="1168399" y="70104"/>
                                </a:lnTo>
                                <a:lnTo>
                                  <a:pt x="1162875" y="42808"/>
                                </a:lnTo>
                                <a:lnTo>
                                  <a:pt x="1147825" y="20526"/>
                                </a:lnTo>
                                <a:lnTo>
                                  <a:pt x="1125537" y="5506"/>
                                </a:lnTo>
                                <a:lnTo>
                                  <a:pt x="1098295" y="0"/>
                                </a:lnTo>
                                <a:close/>
                              </a:path>
                            </a:pathLst>
                          </a:custGeom>
                          <a:solidFill>
                            <a:srgbClr val="FFFFFF"/>
                          </a:solidFill>
                        </wps:spPr>
                        <wps:bodyPr wrap="square" lIns="0" tIns="0" rIns="0" bIns="0" rtlCol="0">
                          <a:prstTxWarp prst="textNoShape">
                            <a:avLst/>
                          </a:prstTxWarp>
                          <a:noAutofit/>
                        </wps:bodyPr>
                      </wps:wsp>
                      <wps:wsp>
                        <wps:cNvPr id="45" name="Graphic 45"/>
                        <wps:cNvSpPr/>
                        <wps:spPr>
                          <a:xfrm>
                            <a:off x="3159379" y="23601"/>
                            <a:ext cx="1168400" cy="701040"/>
                          </a:xfrm>
                          <a:custGeom>
                            <a:avLst/>
                            <a:gdLst/>
                            <a:ahLst/>
                            <a:cxnLst/>
                            <a:rect l="l" t="t" r="r" b="b"/>
                            <a:pathLst>
                              <a:path w="1168400" h="701040">
                                <a:moveTo>
                                  <a:pt x="0" y="70104"/>
                                </a:moveTo>
                                <a:lnTo>
                                  <a:pt x="5506" y="42808"/>
                                </a:lnTo>
                                <a:lnTo>
                                  <a:pt x="20526" y="20526"/>
                                </a:lnTo>
                                <a:lnTo>
                                  <a:pt x="42808" y="5506"/>
                                </a:lnTo>
                                <a:lnTo>
                                  <a:pt x="70103" y="0"/>
                                </a:lnTo>
                                <a:lnTo>
                                  <a:pt x="1098295" y="0"/>
                                </a:lnTo>
                                <a:lnTo>
                                  <a:pt x="1125537" y="5506"/>
                                </a:lnTo>
                                <a:lnTo>
                                  <a:pt x="1147825" y="20526"/>
                                </a:lnTo>
                                <a:lnTo>
                                  <a:pt x="1162875" y="42808"/>
                                </a:lnTo>
                                <a:lnTo>
                                  <a:pt x="1168399" y="70104"/>
                                </a:lnTo>
                                <a:lnTo>
                                  <a:pt x="1168399" y="630936"/>
                                </a:lnTo>
                                <a:lnTo>
                                  <a:pt x="1162875" y="658231"/>
                                </a:lnTo>
                                <a:lnTo>
                                  <a:pt x="1147826" y="680513"/>
                                </a:lnTo>
                                <a:lnTo>
                                  <a:pt x="1125537" y="695533"/>
                                </a:lnTo>
                                <a:lnTo>
                                  <a:pt x="1098295" y="701040"/>
                                </a:lnTo>
                                <a:lnTo>
                                  <a:pt x="70103" y="701040"/>
                                </a:lnTo>
                                <a:lnTo>
                                  <a:pt x="42808" y="695533"/>
                                </a:lnTo>
                                <a:lnTo>
                                  <a:pt x="20526" y="680513"/>
                                </a:lnTo>
                                <a:lnTo>
                                  <a:pt x="5506" y="658231"/>
                                </a:lnTo>
                                <a:lnTo>
                                  <a:pt x="0" y="630936"/>
                                </a:lnTo>
                                <a:lnTo>
                                  <a:pt x="0" y="70104"/>
                                </a:lnTo>
                                <a:close/>
                              </a:path>
                            </a:pathLst>
                          </a:custGeom>
                          <a:ln w="25400">
                            <a:solidFill>
                              <a:srgbClr val="4674AB"/>
                            </a:solidFill>
                            <a:prstDash val="solid"/>
                          </a:ln>
                        </wps:spPr>
                        <wps:bodyPr wrap="square" lIns="0" tIns="0" rIns="0" bIns="0" rtlCol="0">
                          <a:prstTxWarp prst="textNoShape">
                            <a:avLst/>
                          </a:prstTxWarp>
                          <a:noAutofit/>
                        </wps:bodyPr>
                      </wps:wsp>
                      <wps:wsp>
                        <wps:cNvPr id="46" name="Graphic 46"/>
                        <wps:cNvSpPr/>
                        <wps:spPr>
                          <a:xfrm>
                            <a:off x="3304794" y="1071402"/>
                            <a:ext cx="105410" cy="869950"/>
                          </a:xfrm>
                          <a:custGeom>
                            <a:avLst/>
                            <a:gdLst/>
                            <a:ahLst/>
                            <a:cxnLst/>
                            <a:rect l="l" t="t" r="r" b="b"/>
                            <a:pathLst>
                              <a:path w="105410" h="869950">
                                <a:moveTo>
                                  <a:pt x="105152" y="0"/>
                                </a:moveTo>
                                <a:lnTo>
                                  <a:pt x="0" y="0"/>
                                </a:lnTo>
                                <a:lnTo>
                                  <a:pt x="0" y="869899"/>
                                </a:lnTo>
                                <a:lnTo>
                                  <a:pt x="105152" y="869899"/>
                                </a:lnTo>
                                <a:lnTo>
                                  <a:pt x="105152" y="0"/>
                                </a:lnTo>
                                <a:close/>
                              </a:path>
                            </a:pathLst>
                          </a:custGeom>
                          <a:solidFill>
                            <a:srgbClr val="B1C1DB"/>
                          </a:solidFill>
                        </wps:spPr>
                        <wps:bodyPr wrap="square" lIns="0" tIns="0" rIns="0" bIns="0" rtlCol="0">
                          <a:prstTxWarp prst="textNoShape">
                            <a:avLst/>
                          </a:prstTxWarp>
                          <a:noAutofit/>
                        </wps:bodyPr>
                      </wps:wsp>
                      <wps:wsp>
                        <wps:cNvPr id="47" name="Graphic 47"/>
                        <wps:cNvSpPr/>
                        <wps:spPr>
                          <a:xfrm>
                            <a:off x="3120517" y="895583"/>
                            <a:ext cx="1168400" cy="701040"/>
                          </a:xfrm>
                          <a:custGeom>
                            <a:avLst/>
                            <a:gdLst/>
                            <a:ahLst/>
                            <a:cxnLst/>
                            <a:rect l="l" t="t" r="r" b="b"/>
                            <a:pathLst>
                              <a:path w="1168400" h="701040">
                                <a:moveTo>
                                  <a:pt x="1098296" y="0"/>
                                </a:moveTo>
                                <a:lnTo>
                                  <a:pt x="70103" y="0"/>
                                </a:lnTo>
                                <a:lnTo>
                                  <a:pt x="42808" y="5506"/>
                                </a:lnTo>
                                <a:lnTo>
                                  <a:pt x="20526" y="20526"/>
                                </a:lnTo>
                                <a:lnTo>
                                  <a:pt x="5506" y="42808"/>
                                </a:lnTo>
                                <a:lnTo>
                                  <a:pt x="0" y="70103"/>
                                </a:lnTo>
                                <a:lnTo>
                                  <a:pt x="0" y="630935"/>
                                </a:lnTo>
                                <a:lnTo>
                                  <a:pt x="5506" y="658231"/>
                                </a:lnTo>
                                <a:lnTo>
                                  <a:pt x="20526" y="680513"/>
                                </a:lnTo>
                                <a:lnTo>
                                  <a:pt x="42808" y="695533"/>
                                </a:lnTo>
                                <a:lnTo>
                                  <a:pt x="70103" y="701039"/>
                                </a:lnTo>
                                <a:lnTo>
                                  <a:pt x="1098296" y="701039"/>
                                </a:lnTo>
                                <a:lnTo>
                                  <a:pt x="1125591" y="695533"/>
                                </a:lnTo>
                                <a:lnTo>
                                  <a:pt x="1147873" y="680513"/>
                                </a:lnTo>
                                <a:lnTo>
                                  <a:pt x="1162893" y="658231"/>
                                </a:lnTo>
                                <a:lnTo>
                                  <a:pt x="1168400" y="630935"/>
                                </a:lnTo>
                                <a:lnTo>
                                  <a:pt x="1168400" y="70103"/>
                                </a:lnTo>
                                <a:lnTo>
                                  <a:pt x="1162893" y="42808"/>
                                </a:lnTo>
                                <a:lnTo>
                                  <a:pt x="1147873" y="20526"/>
                                </a:lnTo>
                                <a:lnTo>
                                  <a:pt x="1125591" y="5506"/>
                                </a:lnTo>
                                <a:lnTo>
                                  <a:pt x="1098296" y="0"/>
                                </a:lnTo>
                                <a:close/>
                              </a:path>
                            </a:pathLst>
                          </a:custGeom>
                          <a:solidFill>
                            <a:srgbClr val="FFFFFF"/>
                          </a:solidFill>
                        </wps:spPr>
                        <wps:bodyPr wrap="square" lIns="0" tIns="0" rIns="0" bIns="0" rtlCol="0">
                          <a:prstTxWarp prst="textNoShape">
                            <a:avLst/>
                          </a:prstTxWarp>
                          <a:noAutofit/>
                        </wps:bodyPr>
                      </wps:wsp>
                      <wps:wsp>
                        <wps:cNvPr id="48" name="Graphic 48"/>
                        <wps:cNvSpPr/>
                        <wps:spPr>
                          <a:xfrm>
                            <a:off x="3120517" y="895583"/>
                            <a:ext cx="1168400" cy="701040"/>
                          </a:xfrm>
                          <a:custGeom>
                            <a:avLst/>
                            <a:gdLst/>
                            <a:ahLst/>
                            <a:cxnLst/>
                            <a:rect l="l" t="t" r="r" b="b"/>
                            <a:pathLst>
                              <a:path w="1168400" h="701040">
                                <a:moveTo>
                                  <a:pt x="0" y="70103"/>
                                </a:moveTo>
                                <a:lnTo>
                                  <a:pt x="5506" y="42808"/>
                                </a:lnTo>
                                <a:lnTo>
                                  <a:pt x="20526" y="20526"/>
                                </a:lnTo>
                                <a:lnTo>
                                  <a:pt x="42808" y="5506"/>
                                </a:lnTo>
                                <a:lnTo>
                                  <a:pt x="70103" y="0"/>
                                </a:lnTo>
                                <a:lnTo>
                                  <a:pt x="1098296" y="0"/>
                                </a:lnTo>
                                <a:lnTo>
                                  <a:pt x="1125591" y="5506"/>
                                </a:lnTo>
                                <a:lnTo>
                                  <a:pt x="1147873" y="20526"/>
                                </a:lnTo>
                                <a:lnTo>
                                  <a:pt x="1162893" y="42808"/>
                                </a:lnTo>
                                <a:lnTo>
                                  <a:pt x="1168400" y="70103"/>
                                </a:lnTo>
                                <a:lnTo>
                                  <a:pt x="1168400" y="630935"/>
                                </a:lnTo>
                                <a:lnTo>
                                  <a:pt x="1162893" y="658231"/>
                                </a:lnTo>
                                <a:lnTo>
                                  <a:pt x="1147873" y="680513"/>
                                </a:lnTo>
                                <a:lnTo>
                                  <a:pt x="1125591" y="695533"/>
                                </a:lnTo>
                                <a:lnTo>
                                  <a:pt x="1098296" y="701039"/>
                                </a:lnTo>
                                <a:lnTo>
                                  <a:pt x="70103" y="701039"/>
                                </a:lnTo>
                                <a:lnTo>
                                  <a:pt x="42808" y="695533"/>
                                </a:lnTo>
                                <a:lnTo>
                                  <a:pt x="20526" y="680513"/>
                                </a:lnTo>
                                <a:lnTo>
                                  <a:pt x="5506" y="658231"/>
                                </a:lnTo>
                                <a:lnTo>
                                  <a:pt x="0" y="630935"/>
                                </a:lnTo>
                                <a:lnTo>
                                  <a:pt x="0" y="70103"/>
                                </a:lnTo>
                                <a:close/>
                              </a:path>
                            </a:pathLst>
                          </a:custGeom>
                          <a:ln w="25399">
                            <a:solidFill>
                              <a:srgbClr val="4674AB"/>
                            </a:solidFill>
                            <a:prstDash val="solid"/>
                          </a:ln>
                        </wps:spPr>
                        <wps:bodyPr wrap="square" lIns="0" tIns="0" rIns="0" bIns="0" rtlCol="0">
                          <a:prstTxWarp prst="textNoShape">
                            <a:avLst/>
                          </a:prstTxWarp>
                          <a:noAutofit/>
                        </wps:bodyPr>
                      </wps:wsp>
                      <wps:wsp>
                        <wps:cNvPr id="49" name="Graphic 49"/>
                        <wps:cNvSpPr/>
                        <wps:spPr>
                          <a:xfrm>
                            <a:off x="3120517" y="1771883"/>
                            <a:ext cx="1168400" cy="701040"/>
                          </a:xfrm>
                          <a:custGeom>
                            <a:avLst/>
                            <a:gdLst/>
                            <a:ahLst/>
                            <a:cxnLst/>
                            <a:rect l="l" t="t" r="r" b="b"/>
                            <a:pathLst>
                              <a:path w="1168400" h="701040">
                                <a:moveTo>
                                  <a:pt x="1098296" y="0"/>
                                </a:moveTo>
                                <a:lnTo>
                                  <a:pt x="70103" y="0"/>
                                </a:lnTo>
                                <a:lnTo>
                                  <a:pt x="42808" y="5506"/>
                                </a:lnTo>
                                <a:lnTo>
                                  <a:pt x="20526" y="20526"/>
                                </a:lnTo>
                                <a:lnTo>
                                  <a:pt x="5506" y="42808"/>
                                </a:lnTo>
                                <a:lnTo>
                                  <a:pt x="0" y="70103"/>
                                </a:lnTo>
                                <a:lnTo>
                                  <a:pt x="0" y="630808"/>
                                </a:lnTo>
                                <a:lnTo>
                                  <a:pt x="5506" y="658104"/>
                                </a:lnTo>
                                <a:lnTo>
                                  <a:pt x="20526" y="680386"/>
                                </a:lnTo>
                                <a:lnTo>
                                  <a:pt x="42808" y="695406"/>
                                </a:lnTo>
                                <a:lnTo>
                                  <a:pt x="70103" y="700912"/>
                                </a:lnTo>
                                <a:lnTo>
                                  <a:pt x="1098296" y="700912"/>
                                </a:lnTo>
                                <a:lnTo>
                                  <a:pt x="1125591" y="695406"/>
                                </a:lnTo>
                                <a:lnTo>
                                  <a:pt x="1147873" y="680386"/>
                                </a:lnTo>
                                <a:lnTo>
                                  <a:pt x="1162893" y="658104"/>
                                </a:lnTo>
                                <a:lnTo>
                                  <a:pt x="1168400" y="630808"/>
                                </a:lnTo>
                                <a:lnTo>
                                  <a:pt x="1168400" y="70103"/>
                                </a:lnTo>
                                <a:lnTo>
                                  <a:pt x="1162893" y="42808"/>
                                </a:lnTo>
                                <a:lnTo>
                                  <a:pt x="1147873" y="20526"/>
                                </a:lnTo>
                                <a:lnTo>
                                  <a:pt x="1125591" y="5506"/>
                                </a:lnTo>
                                <a:lnTo>
                                  <a:pt x="1098296" y="0"/>
                                </a:lnTo>
                                <a:close/>
                              </a:path>
                            </a:pathLst>
                          </a:custGeom>
                          <a:solidFill>
                            <a:srgbClr val="FFFFFF"/>
                          </a:solidFill>
                        </wps:spPr>
                        <wps:bodyPr wrap="square" lIns="0" tIns="0" rIns="0" bIns="0" rtlCol="0">
                          <a:prstTxWarp prst="textNoShape">
                            <a:avLst/>
                          </a:prstTxWarp>
                          <a:noAutofit/>
                        </wps:bodyPr>
                      </wps:wsp>
                      <wps:wsp>
                        <wps:cNvPr id="50" name="Graphic 50"/>
                        <wps:cNvSpPr/>
                        <wps:spPr>
                          <a:xfrm>
                            <a:off x="3120517" y="1771883"/>
                            <a:ext cx="1168400" cy="701040"/>
                          </a:xfrm>
                          <a:custGeom>
                            <a:avLst/>
                            <a:gdLst/>
                            <a:ahLst/>
                            <a:cxnLst/>
                            <a:rect l="l" t="t" r="r" b="b"/>
                            <a:pathLst>
                              <a:path w="1168400" h="701040">
                                <a:moveTo>
                                  <a:pt x="0" y="70103"/>
                                </a:moveTo>
                                <a:lnTo>
                                  <a:pt x="5506" y="42808"/>
                                </a:lnTo>
                                <a:lnTo>
                                  <a:pt x="20526" y="20526"/>
                                </a:lnTo>
                                <a:lnTo>
                                  <a:pt x="42808" y="5506"/>
                                </a:lnTo>
                                <a:lnTo>
                                  <a:pt x="70103" y="0"/>
                                </a:lnTo>
                                <a:lnTo>
                                  <a:pt x="1098296" y="0"/>
                                </a:lnTo>
                                <a:lnTo>
                                  <a:pt x="1125591" y="5506"/>
                                </a:lnTo>
                                <a:lnTo>
                                  <a:pt x="1147873" y="20526"/>
                                </a:lnTo>
                                <a:lnTo>
                                  <a:pt x="1162893" y="42808"/>
                                </a:lnTo>
                                <a:lnTo>
                                  <a:pt x="1168400" y="70103"/>
                                </a:lnTo>
                                <a:lnTo>
                                  <a:pt x="1168400" y="630808"/>
                                </a:lnTo>
                                <a:lnTo>
                                  <a:pt x="1162893" y="658104"/>
                                </a:lnTo>
                                <a:lnTo>
                                  <a:pt x="1147873" y="680386"/>
                                </a:lnTo>
                                <a:lnTo>
                                  <a:pt x="1125591" y="695406"/>
                                </a:lnTo>
                                <a:lnTo>
                                  <a:pt x="1098296" y="700912"/>
                                </a:lnTo>
                                <a:lnTo>
                                  <a:pt x="70103" y="700912"/>
                                </a:lnTo>
                                <a:lnTo>
                                  <a:pt x="42808" y="695406"/>
                                </a:lnTo>
                                <a:lnTo>
                                  <a:pt x="20526" y="680386"/>
                                </a:lnTo>
                                <a:lnTo>
                                  <a:pt x="5506" y="658104"/>
                                </a:lnTo>
                                <a:lnTo>
                                  <a:pt x="0" y="630808"/>
                                </a:lnTo>
                                <a:lnTo>
                                  <a:pt x="0" y="70103"/>
                                </a:lnTo>
                                <a:close/>
                              </a:path>
                            </a:pathLst>
                          </a:custGeom>
                          <a:ln w="25400">
                            <a:solidFill>
                              <a:srgbClr val="4674AB"/>
                            </a:solidFill>
                            <a:prstDash val="solid"/>
                          </a:ln>
                        </wps:spPr>
                        <wps:bodyPr wrap="square" lIns="0" tIns="0" rIns="0" bIns="0" rtlCol="0">
                          <a:prstTxWarp prst="textNoShape">
                            <a:avLst/>
                          </a:prstTxWarp>
                          <a:noAutofit/>
                        </wps:bodyPr>
                      </wps:wsp>
                      <wps:wsp>
                        <wps:cNvPr id="51" name="Textbox 51"/>
                        <wps:cNvSpPr txBox="1"/>
                        <wps:spPr>
                          <a:xfrm>
                            <a:off x="196722" y="0"/>
                            <a:ext cx="788670" cy="729615"/>
                          </a:xfrm>
                          <a:prstGeom prst="rect">
                            <a:avLst/>
                          </a:prstGeom>
                        </wps:spPr>
                        <wps:txbx>
                          <w:txbxContent>
                            <w:p>
                              <w:pPr>
                                <w:spacing w:line="300" w:lineRule="auto" w:before="0"/>
                                <w:ind w:left="73" w:right="51" w:firstLine="0"/>
                                <w:jc w:val="center"/>
                                <w:rPr>
                                  <w:rFonts w:ascii="Calibri"/>
                                  <w:sz w:val="16"/>
                                </w:rPr>
                              </w:pPr>
                              <w:r>
                                <w:rPr>
                                  <w:sz w:val="16"/>
                                </w:rPr>
                                <w:t>ARDS</w:t>
                              </w:r>
                              <w:r>
                                <w:rPr>
                                  <w:spacing w:val="-12"/>
                                  <w:sz w:val="16"/>
                                </w:rPr>
                                <w:t> </w:t>
                              </w:r>
                              <w:r>
                                <w:rPr>
                                  <w:sz w:val="16"/>
                                </w:rPr>
                                <w:t>Brunca </w:t>
                              </w:r>
                              <w:r>
                                <w:rPr>
                                  <w:rFonts w:ascii="Calibri"/>
                                  <w:sz w:val="16"/>
                                </w:rPr>
                                <w:t>ULDS</w:t>
                              </w:r>
                              <w:r>
                                <w:rPr>
                                  <w:rFonts w:ascii="Calibri"/>
                                  <w:spacing w:val="-5"/>
                                  <w:sz w:val="16"/>
                                </w:rPr>
                                <w:t> </w:t>
                              </w:r>
                              <w:r>
                                <w:rPr>
                                  <w:rFonts w:ascii="Calibri"/>
                                  <w:sz w:val="16"/>
                                </w:rPr>
                                <w:t>Golfito</w:t>
                              </w:r>
                              <w:r>
                                <w:rPr>
                                  <w:rFonts w:ascii="Calibri"/>
                                  <w:spacing w:val="40"/>
                                  <w:sz w:val="16"/>
                                </w:rPr>
                                <w:t> </w:t>
                              </w:r>
                              <w:r>
                                <w:rPr>
                                  <w:rFonts w:ascii="Calibri"/>
                                  <w:sz w:val="16"/>
                                </w:rPr>
                                <w:t>ULDS</w:t>
                              </w:r>
                              <w:r>
                                <w:rPr>
                                  <w:rFonts w:ascii="Calibri"/>
                                  <w:spacing w:val="-5"/>
                                  <w:sz w:val="16"/>
                                </w:rPr>
                                <w:t> </w:t>
                              </w:r>
                              <w:r>
                                <w:rPr>
                                  <w:rFonts w:ascii="Calibri"/>
                                  <w:sz w:val="16"/>
                                </w:rPr>
                                <w:t>Osa</w:t>
                              </w:r>
                            </w:p>
                            <w:p>
                              <w:pPr>
                                <w:spacing w:line="195" w:lineRule="exact" w:before="0"/>
                                <w:ind w:left="0" w:right="18" w:firstLine="0"/>
                                <w:jc w:val="center"/>
                                <w:rPr>
                                  <w:rFonts w:ascii="Calibri"/>
                                  <w:sz w:val="16"/>
                                </w:rPr>
                              </w:pPr>
                              <w:r>
                                <w:rPr>
                                  <w:rFonts w:ascii="Calibri"/>
                                  <w:sz w:val="16"/>
                                </w:rPr>
                                <w:t>ULDS</w:t>
                              </w:r>
                              <w:r>
                                <w:rPr>
                                  <w:rFonts w:ascii="Calibri"/>
                                  <w:spacing w:val="-8"/>
                                  <w:sz w:val="16"/>
                                </w:rPr>
                                <w:t> </w:t>
                              </w:r>
                              <w:r>
                                <w:rPr>
                                  <w:rFonts w:ascii="Calibri"/>
                                  <w:sz w:val="16"/>
                                </w:rPr>
                                <w:t>Buenos</w:t>
                              </w:r>
                              <w:r>
                                <w:rPr>
                                  <w:rFonts w:ascii="Calibri"/>
                                  <w:spacing w:val="-5"/>
                                  <w:sz w:val="16"/>
                                </w:rPr>
                                <w:t> </w:t>
                              </w:r>
                              <w:r>
                                <w:rPr>
                                  <w:rFonts w:ascii="Calibri"/>
                                  <w:spacing w:val="-2"/>
                                  <w:sz w:val="16"/>
                                </w:rPr>
                                <w:t>Aires</w:t>
                              </w:r>
                            </w:p>
                            <w:p>
                              <w:pPr>
                                <w:spacing w:line="193" w:lineRule="exact" w:before="42"/>
                                <w:ind w:left="0" w:right="51" w:firstLine="0"/>
                                <w:jc w:val="center"/>
                                <w:rPr>
                                  <w:rFonts w:ascii="Calibri"/>
                                  <w:sz w:val="16"/>
                                </w:rPr>
                              </w:pPr>
                              <w:r>
                                <w:rPr>
                                  <w:rFonts w:ascii="Calibri"/>
                                  <w:sz w:val="16"/>
                                </w:rPr>
                                <w:t>ULDS</w:t>
                              </w:r>
                              <w:r>
                                <w:rPr>
                                  <w:rFonts w:ascii="Calibri"/>
                                  <w:spacing w:val="-5"/>
                                  <w:sz w:val="16"/>
                                </w:rPr>
                                <w:t> </w:t>
                              </w:r>
                              <w:r>
                                <w:rPr>
                                  <w:rFonts w:ascii="Calibri"/>
                                  <w:sz w:val="16"/>
                                </w:rPr>
                                <w:t>Coto</w:t>
                              </w:r>
                              <w:r>
                                <w:rPr>
                                  <w:rFonts w:ascii="Calibri"/>
                                  <w:spacing w:val="-3"/>
                                  <w:sz w:val="16"/>
                                </w:rPr>
                                <w:t> </w:t>
                              </w:r>
                              <w:r>
                                <w:rPr>
                                  <w:rFonts w:ascii="Calibri"/>
                                  <w:spacing w:val="-4"/>
                                  <w:sz w:val="16"/>
                                </w:rPr>
                                <w:t>Brus</w:t>
                              </w:r>
                            </w:p>
                          </w:txbxContent>
                        </wps:txbx>
                        <wps:bodyPr wrap="square" lIns="0" tIns="0" rIns="0" bIns="0" rtlCol="0">
                          <a:noAutofit/>
                        </wps:bodyPr>
                      </wps:wsp>
                      <wps:wsp>
                        <wps:cNvPr id="52" name="Textbox 52"/>
                        <wps:cNvSpPr txBox="1"/>
                        <wps:spPr>
                          <a:xfrm>
                            <a:off x="1703704" y="111866"/>
                            <a:ext cx="906780" cy="524510"/>
                          </a:xfrm>
                          <a:prstGeom prst="rect">
                            <a:avLst/>
                          </a:prstGeom>
                        </wps:spPr>
                        <wps:txbx>
                          <w:txbxContent>
                            <w:p>
                              <w:pPr>
                                <w:spacing w:line="203" w:lineRule="exact" w:before="0"/>
                                <w:ind w:left="0" w:right="18" w:firstLine="0"/>
                                <w:jc w:val="center"/>
                                <w:rPr>
                                  <w:rFonts w:ascii="Calibri"/>
                                  <w:sz w:val="20"/>
                                </w:rPr>
                              </w:pPr>
                              <w:r>
                                <w:rPr>
                                  <w:rFonts w:ascii="Calibri"/>
                                  <w:sz w:val="20"/>
                                </w:rPr>
                                <w:t>ARDS</w:t>
                              </w:r>
                              <w:r>
                                <w:rPr>
                                  <w:rFonts w:ascii="Calibri"/>
                                  <w:spacing w:val="-7"/>
                                  <w:sz w:val="20"/>
                                </w:rPr>
                                <w:t> </w:t>
                              </w:r>
                              <w:r>
                                <w:rPr>
                                  <w:rFonts w:ascii="Calibri"/>
                                  <w:spacing w:val="-2"/>
                                  <w:sz w:val="20"/>
                                </w:rPr>
                                <w:t>Puntarenas</w:t>
                              </w:r>
                            </w:p>
                            <w:p>
                              <w:pPr>
                                <w:spacing w:before="70"/>
                                <w:ind w:left="0" w:right="63" w:firstLine="0"/>
                                <w:jc w:val="center"/>
                                <w:rPr>
                                  <w:rFonts w:ascii="Calibri"/>
                                  <w:sz w:val="18"/>
                                </w:rPr>
                              </w:pPr>
                              <w:r>
                                <w:rPr>
                                  <w:rFonts w:ascii="Calibri"/>
                                  <w:sz w:val="20"/>
                                </w:rPr>
                                <w:t>ULDS</w:t>
                              </w:r>
                              <w:r>
                                <w:rPr>
                                  <w:rFonts w:ascii="Calibri"/>
                                  <w:spacing w:val="-6"/>
                                  <w:sz w:val="20"/>
                                </w:rPr>
                                <w:t> </w:t>
                              </w:r>
                              <w:r>
                                <w:rPr>
                                  <w:rFonts w:ascii="Calibri"/>
                                  <w:spacing w:val="-2"/>
                                  <w:sz w:val="18"/>
                                </w:rPr>
                                <w:t>Chomes</w:t>
                              </w:r>
                            </w:p>
                            <w:p>
                              <w:pPr>
                                <w:spacing w:line="240" w:lineRule="exact" w:before="68"/>
                                <w:ind w:left="0" w:right="63" w:firstLine="0"/>
                                <w:jc w:val="center"/>
                                <w:rPr>
                                  <w:rFonts w:ascii="Calibri"/>
                                  <w:sz w:val="20"/>
                                </w:rPr>
                              </w:pPr>
                              <w:r>
                                <w:rPr>
                                  <w:rFonts w:ascii="Calibri"/>
                                  <w:sz w:val="20"/>
                                </w:rPr>
                                <w:t>ULDS</w:t>
                              </w:r>
                              <w:r>
                                <w:rPr>
                                  <w:rFonts w:ascii="Calibri"/>
                                  <w:spacing w:val="-7"/>
                                  <w:sz w:val="20"/>
                                </w:rPr>
                                <w:t> </w:t>
                              </w:r>
                              <w:r>
                                <w:rPr>
                                  <w:rFonts w:ascii="Calibri"/>
                                  <w:spacing w:val="-2"/>
                                  <w:sz w:val="20"/>
                                </w:rPr>
                                <w:t>Paquera</w:t>
                              </w:r>
                            </w:p>
                          </w:txbxContent>
                        </wps:txbx>
                        <wps:bodyPr wrap="square" lIns="0" tIns="0" rIns="0" bIns="0" rtlCol="0">
                          <a:noAutofit/>
                        </wps:bodyPr>
                      </wps:wsp>
                      <wps:wsp>
                        <wps:cNvPr id="53" name="Textbox 53"/>
                        <wps:cNvSpPr txBox="1"/>
                        <wps:spPr>
                          <a:xfrm>
                            <a:off x="3303651" y="135133"/>
                            <a:ext cx="869315" cy="480695"/>
                          </a:xfrm>
                          <a:prstGeom prst="rect">
                            <a:avLst/>
                          </a:prstGeom>
                        </wps:spPr>
                        <wps:txbx>
                          <w:txbxContent>
                            <w:p>
                              <w:pPr>
                                <w:spacing w:line="184" w:lineRule="exact" w:before="0"/>
                                <w:ind w:left="80" w:right="61" w:firstLine="0"/>
                                <w:jc w:val="center"/>
                                <w:rPr>
                                  <w:rFonts w:ascii="Calibri"/>
                                  <w:sz w:val="18"/>
                                </w:rPr>
                              </w:pPr>
                              <w:r>
                                <w:rPr>
                                  <w:rFonts w:ascii="Calibri"/>
                                  <w:sz w:val="18"/>
                                </w:rPr>
                                <w:t>ARDS</w:t>
                              </w:r>
                              <w:r>
                                <w:rPr>
                                  <w:rFonts w:ascii="Calibri"/>
                                  <w:spacing w:val="-6"/>
                                  <w:sz w:val="18"/>
                                </w:rPr>
                                <w:t> </w:t>
                              </w:r>
                              <w:r>
                                <w:rPr>
                                  <w:rFonts w:ascii="Calibri"/>
                                  <w:spacing w:val="-2"/>
                                  <w:sz w:val="18"/>
                                </w:rPr>
                                <w:t>Noreste</w:t>
                              </w:r>
                            </w:p>
                            <w:p>
                              <w:pPr>
                                <w:spacing w:before="56"/>
                                <w:ind w:left="19" w:right="80" w:firstLine="0"/>
                                <w:jc w:val="center"/>
                                <w:rPr>
                                  <w:rFonts w:ascii="Calibri"/>
                                  <w:sz w:val="18"/>
                                </w:rPr>
                              </w:pPr>
                              <w:r>
                                <w:rPr>
                                  <w:rFonts w:ascii="Calibri"/>
                                  <w:sz w:val="18"/>
                                </w:rPr>
                                <w:t>ULDS</w:t>
                              </w:r>
                              <w:r>
                                <w:rPr>
                                  <w:rFonts w:ascii="Calibri"/>
                                  <w:spacing w:val="-4"/>
                                  <w:sz w:val="18"/>
                                </w:rPr>
                                <w:t> </w:t>
                              </w:r>
                              <w:r>
                                <w:rPr>
                                  <w:rFonts w:ascii="Calibri"/>
                                  <w:spacing w:val="-2"/>
                                  <w:sz w:val="18"/>
                                </w:rPr>
                                <w:t>Acosta</w:t>
                              </w:r>
                            </w:p>
                            <w:p>
                              <w:pPr>
                                <w:spacing w:line="216" w:lineRule="exact" w:before="81"/>
                                <w:ind w:left="0" w:right="18" w:firstLine="0"/>
                                <w:jc w:val="center"/>
                                <w:rPr>
                                  <w:rFonts w:ascii="Calibri" w:hAnsi="Calibri"/>
                                  <w:sz w:val="18"/>
                                </w:rPr>
                              </w:pPr>
                              <w:r>
                                <w:rPr>
                                  <w:rFonts w:ascii="Calibri" w:hAnsi="Calibri"/>
                                  <w:sz w:val="18"/>
                                </w:rPr>
                                <w:t>ULDS</w:t>
                              </w:r>
                              <w:r>
                                <w:rPr>
                                  <w:rFonts w:ascii="Calibri" w:hAnsi="Calibri"/>
                                  <w:spacing w:val="-4"/>
                                  <w:sz w:val="18"/>
                                </w:rPr>
                                <w:t> </w:t>
                              </w:r>
                              <w:r>
                                <w:rPr>
                                  <w:rFonts w:ascii="Calibri" w:hAnsi="Calibri"/>
                                  <w:sz w:val="18"/>
                                </w:rPr>
                                <w:t>Barrio</w:t>
                              </w:r>
                              <w:r>
                                <w:rPr>
                                  <w:rFonts w:ascii="Calibri" w:hAnsi="Calibri"/>
                                  <w:spacing w:val="-2"/>
                                  <w:sz w:val="18"/>
                                </w:rPr>
                                <w:t> </w:t>
                              </w:r>
                              <w:r>
                                <w:rPr>
                                  <w:rFonts w:ascii="Calibri" w:hAnsi="Calibri"/>
                                  <w:spacing w:val="-4"/>
                                  <w:sz w:val="18"/>
                                </w:rPr>
                                <w:t>Amón</w:t>
                              </w:r>
                            </w:p>
                          </w:txbxContent>
                        </wps:txbx>
                        <wps:bodyPr wrap="square" lIns="0" tIns="0" rIns="0" bIns="0" rtlCol="0">
                          <a:noAutofit/>
                        </wps:bodyPr>
                      </wps:wsp>
                      <wps:wsp>
                        <wps:cNvPr id="54" name="Textbox 54"/>
                        <wps:cNvSpPr txBox="1"/>
                        <wps:spPr>
                          <a:xfrm>
                            <a:off x="218693" y="1092719"/>
                            <a:ext cx="771525" cy="297180"/>
                          </a:xfrm>
                          <a:prstGeom prst="rect">
                            <a:avLst/>
                          </a:prstGeom>
                        </wps:spPr>
                        <wps:txbx>
                          <w:txbxContent>
                            <w:p>
                              <w:pPr>
                                <w:spacing w:line="201" w:lineRule="exact" w:before="0"/>
                                <w:ind w:left="0" w:right="0" w:firstLine="0"/>
                                <w:jc w:val="left"/>
                                <w:rPr>
                                  <w:sz w:val="18"/>
                                </w:rPr>
                              </w:pPr>
                              <w:r>
                                <w:rPr>
                                  <w:sz w:val="18"/>
                                </w:rPr>
                                <w:t>ARDS</w:t>
                              </w:r>
                              <w:r>
                                <w:rPr>
                                  <w:spacing w:val="-3"/>
                                  <w:sz w:val="18"/>
                                </w:rPr>
                                <w:t> </w:t>
                              </w:r>
                              <w:r>
                                <w:rPr>
                                  <w:spacing w:val="-2"/>
                                  <w:sz w:val="18"/>
                                </w:rPr>
                                <w:t>Cartago</w:t>
                              </w:r>
                            </w:p>
                            <w:p>
                              <w:pPr>
                                <w:spacing w:line="216" w:lineRule="exact" w:before="49"/>
                                <w:ind w:left="77" w:right="0" w:firstLine="0"/>
                                <w:jc w:val="left"/>
                                <w:rPr>
                                  <w:rFonts w:ascii="Calibri"/>
                                  <w:sz w:val="18"/>
                                </w:rPr>
                              </w:pPr>
                              <w:r>
                                <w:rPr>
                                  <w:rFonts w:ascii="Calibri"/>
                                  <w:sz w:val="18"/>
                                </w:rPr>
                                <w:t>ULDS</w:t>
                              </w:r>
                              <w:r>
                                <w:rPr>
                                  <w:rFonts w:ascii="Calibri"/>
                                  <w:spacing w:val="-5"/>
                                  <w:sz w:val="18"/>
                                </w:rPr>
                                <w:t> </w:t>
                              </w:r>
                              <w:r>
                                <w:rPr>
                                  <w:rFonts w:ascii="Calibri"/>
                                  <w:spacing w:val="-2"/>
                                  <w:sz w:val="18"/>
                                </w:rPr>
                                <w:t>Cartago</w:t>
                              </w:r>
                            </w:p>
                          </w:txbxContent>
                        </wps:txbx>
                        <wps:bodyPr wrap="square" lIns="0" tIns="0" rIns="0" bIns="0" rtlCol="0">
                          <a:noAutofit/>
                        </wps:bodyPr>
                      </wps:wsp>
                      <wps:wsp>
                        <wps:cNvPr id="55" name="Textbox 55"/>
                        <wps:cNvSpPr txBox="1"/>
                        <wps:spPr>
                          <a:xfrm>
                            <a:off x="1867661" y="1051031"/>
                            <a:ext cx="628650" cy="414655"/>
                          </a:xfrm>
                          <a:prstGeom prst="rect">
                            <a:avLst/>
                          </a:prstGeom>
                        </wps:spPr>
                        <wps:txbx>
                          <w:txbxContent>
                            <w:p>
                              <w:pPr>
                                <w:spacing w:line="173" w:lineRule="exact" w:before="0"/>
                                <w:ind w:left="4" w:right="0" w:firstLine="0"/>
                                <w:jc w:val="left"/>
                                <w:rPr>
                                  <w:rFonts w:ascii="Calibri"/>
                                  <w:sz w:val="18"/>
                                </w:rPr>
                              </w:pPr>
                              <w:r>
                                <w:rPr>
                                  <w:rFonts w:ascii="Calibri"/>
                                  <w:sz w:val="18"/>
                                </w:rPr>
                                <w:t>ARDS</w:t>
                              </w:r>
                              <w:r>
                                <w:rPr>
                                  <w:rFonts w:ascii="Calibri"/>
                                  <w:spacing w:val="-5"/>
                                  <w:sz w:val="18"/>
                                </w:rPr>
                                <w:t> </w:t>
                              </w:r>
                              <w:r>
                                <w:rPr>
                                  <w:rFonts w:ascii="Calibri"/>
                                  <w:spacing w:val="-2"/>
                                  <w:sz w:val="18"/>
                                </w:rPr>
                                <w:t>Central</w:t>
                              </w:r>
                            </w:p>
                            <w:p>
                              <w:pPr>
                                <w:spacing w:line="209" w:lineRule="exact" w:before="0"/>
                                <w:ind w:left="76" w:right="0" w:firstLine="0"/>
                                <w:jc w:val="left"/>
                                <w:rPr>
                                  <w:rFonts w:ascii="Calibri"/>
                                  <w:sz w:val="18"/>
                                </w:rPr>
                              </w:pPr>
                              <w:r>
                                <w:rPr>
                                  <w:rFonts w:ascii="Calibri"/>
                                  <w:spacing w:val="-2"/>
                                  <w:sz w:val="18"/>
                                </w:rPr>
                                <w:t>Occidental</w:t>
                              </w:r>
                            </w:p>
                            <w:p>
                              <w:pPr>
                                <w:spacing w:line="216" w:lineRule="exact" w:before="54"/>
                                <w:ind w:left="0" w:right="0" w:firstLine="0"/>
                                <w:jc w:val="left"/>
                                <w:rPr>
                                  <w:rFonts w:ascii="Calibri"/>
                                  <w:sz w:val="18"/>
                                </w:rPr>
                              </w:pPr>
                              <w:r>
                                <w:rPr>
                                  <w:rFonts w:ascii="Calibri"/>
                                  <w:sz w:val="18"/>
                                </w:rPr>
                                <w:t>ULDS</w:t>
                              </w:r>
                              <w:r>
                                <w:rPr>
                                  <w:rFonts w:ascii="Calibri"/>
                                  <w:spacing w:val="-5"/>
                                  <w:sz w:val="18"/>
                                </w:rPr>
                                <w:t> </w:t>
                              </w:r>
                              <w:r>
                                <w:rPr>
                                  <w:rFonts w:ascii="Calibri"/>
                                  <w:spacing w:val="-2"/>
                                  <w:sz w:val="18"/>
                                </w:rPr>
                                <w:t>Grecia</w:t>
                              </w:r>
                            </w:p>
                          </w:txbxContent>
                        </wps:txbx>
                        <wps:bodyPr wrap="square" lIns="0" tIns="0" rIns="0" bIns="0" rtlCol="0">
                          <a:noAutofit/>
                        </wps:bodyPr>
                      </wps:wsp>
                      <wps:wsp>
                        <wps:cNvPr id="56" name="Textbox 56"/>
                        <wps:cNvSpPr txBox="1"/>
                        <wps:spPr>
                          <a:xfrm>
                            <a:off x="3412744" y="1129644"/>
                            <a:ext cx="598805" cy="241300"/>
                          </a:xfrm>
                          <a:prstGeom prst="rect">
                            <a:avLst/>
                          </a:prstGeom>
                        </wps:spPr>
                        <wps:txbx>
                          <w:txbxContent>
                            <w:p>
                              <w:pPr>
                                <w:spacing w:line="173" w:lineRule="exact" w:before="0"/>
                                <w:ind w:left="86" w:right="0" w:firstLine="0"/>
                                <w:jc w:val="left"/>
                                <w:rPr>
                                  <w:rFonts w:ascii="Calibri"/>
                                  <w:sz w:val="18"/>
                                </w:rPr>
                              </w:pPr>
                              <w:r>
                                <w:rPr>
                                  <w:rFonts w:ascii="Calibri"/>
                                  <w:sz w:val="18"/>
                                </w:rPr>
                                <w:t>Unidad</w:t>
                              </w:r>
                              <w:r>
                                <w:rPr>
                                  <w:rFonts w:ascii="Calibri"/>
                                  <w:spacing w:val="-5"/>
                                  <w:sz w:val="18"/>
                                </w:rPr>
                                <w:t> de</w:t>
                              </w:r>
                            </w:p>
                            <w:p>
                              <w:pPr>
                                <w:spacing w:line="206" w:lineRule="exact" w:before="0"/>
                                <w:ind w:left="0" w:right="0" w:firstLine="0"/>
                                <w:jc w:val="left"/>
                                <w:rPr>
                                  <w:rFonts w:ascii="Calibri"/>
                                  <w:sz w:val="18"/>
                                </w:rPr>
                              </w:pPr>
                              <w:r>
                                <w:rPr>
                                  <w:rFonts w:ascii="Calibri"/>
                                  <w:spacing w:val="-2"/>
                                  <w:sz w:val="18"/>
                                </w:rPr>
                                <w:t>Contabilidad</w:t>
                              </w:r>
                            </w:p>
                          </w:txbxContent>
                        </wps:txbx>
                        <wps:bodyPr wrap="square" lIns="0" tIns="0" rIns="0" bIns="0" rtlCol="0">
                          <a:noAutofit/>
                        </wps:bodyPr>
                      </wps:wsp>
                      <wps:wsp>
                        <wps:cNvPr id="57" name="Textbox 57"/>
                        <wps:cNvSpPr txBox="1"/>
                        <wps:spPr>
                          <a:xfrm>
                            <a:off x="204343" y="1907518"/>
                            <a:ext cx="798830" cy="420370"/>
                          </a:xfrm>
                          <a:prstGeom prst="rect">
                            <a:avLst/>
                          </a:prstGeom>
                        </wps:spPr>
                        <wps:txbx>
                          <w:txbxContent>
                            <w:p>
                              <w:pPr>
                                <w:spacing w:line="180" w:lineRule="exact" w:before="0"/>
                                <w:ind w:left="0" w:right="18" w:firstLine="0"/>
                                <w:jc w:val="center"/>
                                <w:rPr>
                                  <w:sz w:val="16"/>
                                </w:rPr>
                              </w:pPr>
                              <w:r>
                                <w:rPr>
                                  <w:sz w:val="16"/>
                                </w:rPr>
                                <w:t>ARDS</w:t>
                              </w:r>
                              <w:r>
                                <w:rPr>
                                  <w:spacing w:val="-5"/>
                                  <w:sz w:val="16"/>
                                </w:rPr>
                                <w:t> </w:t>
                              </w:r>
                              <w:r>
                                <w:rPr>
                                  <w:spacing w:val="-2"/>
                                  <w:sz w:val="16"/>
                                </w:rPr>
                                <w:t>Chorotega</w:t>
                              </w:r>
                            </w:p>
                            <w:p>
                              <w:pPr>
                                <w:spacing w:line="244" w:lineRule="exact" w:before="0"/>
                                <w:ind w:left="64" w:right="83" w:firstLine="0"/>
                                <w:jc w:val="center"/>
                                <w:rPr>
                                  <w:rFonts w:ascii="Calibri" w:hAnsi="Calibri"/>
                                  <w:sz w:val="16"/>
                                </w:rPr>
                              </w:pPr>
                              <w:r>
                                <w:rPr>
                                  <w:rFonts w:ascii="Calibri" w:hAnsi="Calibri"/>
                                  <w:sz w:val="16"/>
                                </w:rPr>
                                <w:t>ULDS</w:t>
                              </w:r>
                              <w:r>
                                <w:rPr>
                                  <w:rFonts w:ascii="Calibri" w:hAnsi="Calibri"/>
                                  <w:spacing w:val="-10"/>
                                  <w:sz w:val="16"/>
                                </w:rPr>
                                <w:t> </w:t>
                              </w:r>
                              <w:r>
                                <w:rPr>
                                  <w:rFonts w:ascii="Calibri" w:hAnsi="Calibri"/>
                                  <w:sz w:val="16"/>
                                </w:rPr>
                                <w:t>Nicoya</w:t>
                              </w:r>
                              <w:r>
                                <w:rPr>
                                  <w:rFonts w:ascii="Calibri" w:hAnsi="Calibri"/>
                                  <w:spacing w:val="40"/>
                                  <w:sz w:val="16"/>
                                </w:rPr>
                                <w:t> </w:t>
                              </w:r>
                              <w:r>
                                <w:rPr>
                                  <w:rFonts w:ascii="Calibri" w:hAnsi="Calibri"/>
                                  <w:sz w:val="16"/>
                                </w:rPr>
                                <w:t>ULDS</w:t>
                              </w:r>
                              <w:r>
                                <w:rPr>
                                  <w:rFonts w:ascii="Calibri" w:hAnsi="Calibri"/>
                                  <w:spacing w:val="-5"/>
                                  <w:sz w:val="16"/>
                                </w:rPr>
                                <w:t> </w:t>
                              </w:r>
                              <w:r>
                                <w:rPr>
                                  <w:rFonts w:ascii="Calibri" w:hAnsi="Calibri"/>
                                  <w:sz w:val="16"/>
                                </w:rPr>
                                <w:t>Cañas</w:t>
                              </w:r>
                            </w:p>
                          </w:txbxContent>
                        </wps:txbx>
                        <wps:bodyPr wrap="square" lIns="0" tIns="0" rIns="0" bIns="0" rtlCol="0">
                          <a:noAutofit/>
                        </wps:bodyPr>
                      </wps:wsp>
                      <wps:wsp>
                        <wps:cNvPr id="58" name="Textbox 58"/>
                        <wps:cNvSpPr txBox="1"/>
                        <wps:spPr>
                          <a:xfrm>
                            <a:off x="1753361" y="1881770"/>
                            <a:ext cx="783590" cy="470534"/>
                          </a:xfrm>
                          <a:prstGeom prst="rect">
                            <a:avLst/>
                          </a:prstGeom>
                        </wps:spPr>
                        <wps:txbx>
                          <w:txbxContent>
                            <w:p>
                              <w:pPr>
                                <w:spacing w:line="201" w:lineRule="exact" w:before="0"/>
                                <w:ind w:left="64" w:right="0" w:firstLine="0"/>
                                <w:jc w:val="left"/>
                                <w:rPr>
                                  <w:sz w:val="18"/>
                                </w:rPr>
                              </w:pPr>
                              <w:r>
                                <w:rPr>
                                  <w:sz w:val="18"/>
                                </w:rPr>
                                <w:t>Huetar</w:t>
                              </w:r>
                              <w:r>
                                <w:rPr>
                                  <w:spacing w:val="-5"/>
                                  <w:sz w:val="18"/>
                                </w:rPr>
                                <w:t> </w:t>
                              </w:r>
                              <w:r>
                                <w:rPr>
                                  <w:spacing w:val="-2"/>
                                  <w:sz w:val="18"/>
                                </w:rPr>
                                <w:t>Caribe</w:t>
                              </w:r>
                            </w:p>
                            <w:p>
                              <w:pPr>
                                <w:spacing w:line="274" w:lineRule="exact" w:before="0"/>
                                <w:ind w:left="156" w:right="11" w:hanging="156"/>
                                <w:jc w:val="left"/>
                                <w:rPr>
                                  <w:rFonts w:ascii="Calibri" w:hAnsi="Calibri"/>
                                  <w:sz w:val="18"/>
                                </w:rPr>
                              </w:pPr>
                              <w:r>
                                <w:rPr>
                                  <w:rFonts w:ascii="Calibri" w:hAnsi="Calibri"/>
                                  <w:sz w:val="18"/>
                                </w:rPr>
                                <w:t>ULDS</w:t>
                              </w:r>
                              <w:r>
                                <w:rPr>
                                  <w:rFonts w:ascii="Calibri" w:hAnsi="Calibri"/>
                                  <w:spacing w:val="-11"/>
                                  <w:sz w:val="18"/>
                                </w:rPr>
                                <w:t> </w:t>
                              </w:r>
                              <w:r>
                                <w:rPr>
                                  <w:rFonts w:ascii="Calibri" w:hAnsi="Calibri"/>
                                  <w:sz w:val="18"/>
                                </w:rPr>
                                <w:t>Talamanca ULDS</w:t>
                              </w:r>
                              <w:r>
                                <w:rPr>
                                  <w:rFonts w:ascii="Calibri" w:hAnsi="Calibri"/>
                                  <w:spacing w:val="-2"/>
                                  <w:sz w:val="18"/>
                                </w:rPr>
                                <w:t> </w:t>
                              </w:r>
                              <w:r>
                                <w:rPr>
                                  <w:rFonts w:ascii="Calibri" w:hAnsi="Calibri"/>
                                  <w:sz w:val="18"/>
                                </w:rPr>
                                <w:t>Pococí</w:t>
                              </w:r>
                            </w:p>
                          </w:txbxContent>
                        </wps:txbx>
                        <wps:bodyPr wrap="square" lIns="0" tIns="0" rIns="0" bIns="0" rtlCol="0">
                          <a:noAutofit/>
                        </wps:bodyPr>
                      </wps:wsp>
                      <wps:wsp>
                        <wps:cNvPr id="59" name="Textbox 59"/>
                        <wps:cNvSpPr txBox="1"/>
                        <wps:spPr>
                          <a:xfrm>
                            <a:off x="3309111" y="2069063"/>
                            <a:ext cx="806450" cy="114300"/>
                          </a:xfrm>
                          <a:prstGeom prst="rect">
                            <a:avLst/>
                          </a:prstGeom>
                        </wps:spPr>
                        <wps:txbx>
                          <w:txbxContent>
                            <w:p>
                              <w:pPr>
                                <w:spacing w:line="180" w:lineRule="exact" w:before="0"/>
                                <w:ind w:left="0" w:right="0" w:firstLine="0"/>
                                <w:jc w:val="left"/>
                                <w:rPr>
                                  <w:rFonts w:ascii="Calibri" w:hAnsi="Calibri"/>
                                  <w:sz w:val="18"/>
                                </w:rPr>
                              </w:pPr>
                              <w:r>
                                <w:rPr>
                                  <w:rFonts w:ascii="Calibri" w:hAnsi="Calibri"/>
                                  <w:sz w:val="18"/>
                                </w:rPr>
                                <w:t>Auditoría</w:t>
                              </w:r>
                              <w:r>
                                <w:rPr>
                                  <w:rFonts w:ascii="Calibri" w:hAnsi="Calibri"/>
                                  <w:spacing w:val="-5"/>
                                  <w:sz w:val="18"/>
                                </w:rPr>
                                <w:t> </w:t>
                              </w:r>
                              <w:r>
                                <w:rPr>
                                  <w:rFonts w:ascii="Calibri" w:hAnsi="Calibri"/>
                                  <w:spacing w:val="-2"/>
                                  <w:sz w:val="18"/>
                                </w:rPr>
                                <w:t>Interna</w:t>
                              </w:r>
                            </w:p>
                          </w:txbxContent>
                        </wps:txbx>
                        <wps:bodyPr wrap="square" lIns="0" tIns="0" rIns="0" bIns="0" rtlCol="0">
                          <a:noAutofit/>
                        </wps:bodyPr>
                      </wps:wsp>
                      <wps:wsp>
                        <wps:cNvPr id="60" name="Textbox 60"/>
                        <wps:cNvSpPr txBox="1"/>
                        <wps:spPr>
                          <a:xfrm>
                            <a:off x="254127" y="2758070"/>
                            <a:ext cx="682625" cy="471170"/>
                          </a:xfrm>
                          <a:prstGeom prst="rect">
                            <a:avLst/>
                          </a:prstGeom>
                        </wps:spPr>
                        <wps:txbx>
                          <w:txbxContent>
                            <w:p>
                              <w:pPr>
                                <w:spacing w:line="201" w:lineRule="exact" w:before="0"/>
                                <w:ind w:left="23" w:right="0" w:firstLine="0"/>
                                <w:jc w:val="left"/>
                                <w:rPr>
                                  <w:sz w:val="18"/>
                                </w:rPr>
                              </w:pPr>
                              <w:r>
                                <w:rPr>
                                  <w:sz w:val="18"/>
                                </w:rPr>
                                <w:t>Huetar</w:t>
                              </w:r>
                              <w:r>
                                <w:rPr>
                                  <w:spacing w:val="-5"/>
                                  <w:sz w:val="18"/>
                                </w:rPr>
                                <w:t> </w:t>
                              </w:r>
                              <w:r>
                                <w:rPr>
                                  <w:spacing w:val="-4"/>
                                  <w:sz w:val="18"/>
                                </w:rPr>
                                <w:t>Norte</w:t>
                              </w:r>
                            </w:p>
                            <w:p>
                              <w:pPr>
                                <w:spacing w:before="49"/>
                                <w:ind w:left="96" w:right="0" w:firstLine="0"/>
                                <w:jc w:val="left"/>
                                <w:rPr>
                                  <w:rFonts w:ascii="Calibri"/>
                                  <w:sz w:val="18"/>
                                </w:rPr>
                              </w:pPr>
                              <w:r>
                                <w:rPr>
                                  <w:rFonts w:ascii="Calibri"/>
                                  <w:sz w:val="18"/>
                                </w:rPr>
                                <w:t>ULDS</w:t>
                              </w:r>
                              <w:r>
                                <w:rPr>
                                  <w:rFonts w:ascii="Calibri"/>
                                  <w:spacing w:val="-6"/>
                                  <w:sz w:val="18"/>
                                </w:rPr>
                                <w:t> </w:t>
                              </w:r>
                              <w:r>
                                <w:rPr>
                                  <w:rFonts w:ascii="Calibri"/>
                                  <w:spacing w:val="-2"/>
                                  <w:sz w:val="18"/>
                                </w:rPr>
                                <w:t>Upala</w:t>
                              </w:r>
                            </w:p>
                            <w:p>
                              <w:pPr>
                                <w:spacing w:line="216" w:lineRule="exact" w:before="55"/>
                                <w:ind w:left="0" w:right="0" w:firstLine="0"/>
                                <w:jc w:val="left"/>
                                <w:rPr>
                                  <w:rFonts w:ascii="Calibri"/>
                                  <w:sz w:val="18"/>
                                </w:rPr>
                              </w:pPr>
                              <w:r>
                                <w:rPr>
                                  <w:rFonts w:ascii="Calibri"/>
                                  <w:sz w:val="18"/>
                                </w:rPr>
                                <w:t>ULDS</w:t>
                              </w:r>
                              <w:r>
                                <w:rPr>
                                  <w:rFonts w:ascii="Calibri"/>
                                  <w:spacing w:val="-5"/>
                                  <w:sz w:val="18"/>
                                </w:rPr>
                                <w:t> </w:t>
                              </w:r>
                              <w:r>
                                <w:rPr>
                                  <w:rFonts w:ascii="Calibri"/>
                                  <w:spacing w:val="-2"/>
                                  <w:sz w:val="18"/>
                                </w:rPr>
                                <w:t>Guatuso</w:t>
                              </w:r>
                            </w:p>
                          </w:txbxContent>
                        </wps:txbx>
                        <wps:bodyPr wrap="square" lIns="0" tIns="0" rIns="0" bIns="0" rtlCol="0">
                          <a:noAutofit/>
                        </wps:bodyPr>
                      </wps:wsp>
                      <wps:wsp>
                        <wps:cNvPr id="61" name="Textbox 61"/>
                        <wps:cNvSpPr txBox="1"/>
                        <wps:spPr>
                          <a:xfrm>
                            <a:off x="1747266" y="2758070"/>
                            <a:ext cx="821055" cy="471170"/>
                          </a:xfrm>
                          <a:prstGeom prst="rect">
                            <a:avLst/>
                          </a:prstGeom>
                        </wps:spPr>
                        <wps:txbx>
                          <w:txbxContent>
                            <w:p>
                              <w:pPr>
                                <w:spacing w:line="201" w:lineRule="exact" w:before="0"/>
                                <w:ind w:left="0" w:right="18" w:firstLine="0"/>
                                <w:jc w:val="center"/>
                                <w:rPr>
                                  <w:sz w:val="18"/>
                                </w:rPr>
                              </w:pPr>
                              <w:r>
                                <w:rPr>
                                  <w:sz w:val="18"/>
                                </w:rPr>
                                <w:t>ARDS</w:t>
                              </w:r>
                              <w:r>
                                <w:rPr>
                                  <w:spacing w:val="-3"/>
                                  <w:sz w:val="18"/>
                                </w:rPr>
                                <w:t> </w:t>
                              </w:r>
                              <w:r>
                                <w:rPr>
                                  <w:spacing w:val="-2"/>
                                  <w:sz w:val="18"/>
                                </w:rPr>
                                <w:t>Suroeste</w:t>
                              </w:r>
                            </w:p>
                            <w:p>
                              <w:pPr>
                                <w:spacing w:before="49"/>
                                <w:ind w:left="0" w:right="58" w:firstLine="0"/>
                                <w:jc w:val="center"/>
                                <w:rPr>
                                  <w:rFonts w:ascii="Calibri"/>
                                  <w:sz w:val="18"/>
                                </w:rPr>
                              </w:pPr>
                              <w:r>
                                <w:rPr>
                                  <w:rFonts w:ascii="Calibri"/>
                                  <w:sz w:val="18"/>
                                </w:rPr>
                                <w:t>ULDS</w:t>
                              </w:r>
                              <w:r>
                                <w:rPr>
                                  <w:rFonts w:ascii="Calibri"/>
                                  <w:spacing w:val="-4"/>
                                  <w:sz w:val="18"/>
                                </w:rPr>
                                <w:t> </w:t>
                              </w:r>
                              <w:r>
                                <w:rPr>
                                  <w:rFonts w:ascii="Calibri"/>
                                  <w:spacing w:val="-2"/>
                                  <w:sz w:val="18"/>
                                </w:rPr>
                                <w:t>Pavas</w:t>
                              </w:r>
                            </w:p>
                            <w:p>
                              <w:pPr>
                                <w:spacing w:line="216" w:lineRule="exact" w:before="55"/>
                                <w:ind w:left="0" w:right="104" w:firstLine="0"/>
                                <w:jc w:val="center"/>
                                <w:rPr>
                                  <w:rFonts w:ascii="Calibri"/>
                                  <w:sz w:val="18"/>
                                </w:rPr>
                              </w:pPr>
                              <w:r>
                                <w:rPr>
                                  <w:rFonts w:ascii="Calibri"/>
                                  <w:sz w:val="18"/>
                                </w:rPr>
                                <w:t>ULDS</w:t>
                              </w:r>
                              <w:r>
                                <w:rPr>
                                  <w:rFonts w:ascii="Calibri"/>
                                  <w:spacing w:val="-5"/>
                                  <w:sz w:val="18"/>
                                </w:rPr>
                                <w:t> </w:t>
                              </w:r>
                              <w:r>
                                <w:rPr>
                                  <w:rFonts w:ascii="Calibri"/>
                                  <w:spacing w:val="-2"/>
                                  <w:sz w:val="18"/>
                                </w:rPr>
                                <w:t>Alajuelita</w:t>
                              </w:r>
                            </w:p>
                          </w:txbxContent>
                        </wps:txbx>
                        <wps:bodyPr wrap="square" lIns="0" tIns="0" rIns="0" bIns="0" rtlCol="0">
                          <a:noAutofit/>
                        </wps:bodyPr>
                      </wps:wsp>
                    </wpg:wgp>
                  </a:graphicData>
                </a:graphic>
              </wp:anchor>
            </w:drawing>
          </mc:Choice>
          <mc:Fallback>
            <w:pict>
              <v:group style="position:absolute;margin-left:182.770004pt;margin-top:13.59375pt;width:341.8pt;height:264.75pt;mso-position-horizontal-relative:page;mso-position-vertical-relative:paragraph;z-index:-15727104;mso-wrap-distance-left:0;mso-wrap-distance-right:0" id="docshapegroup16" coordorigin="3655,272" coordsize="6836,5295">
                <v:rect style="position:absolute;left:3965;top:579;width:166;height:1370" id="docshape17" filled="true" fillcolor="#b1c1db" stroked="false">
                  <v:fill type="solid"/>
                </v:rect>
                <v:shape style="position:absolute;left:3675;top:302;width:1840;height:1104" id="docshape18" coordorigin="3675,302" coordsize="1840,1104" path="m5405,302l3786,302,3743,311,3708,335,3684,370,3675,413,3675,1296,3684,1339,3708,1374,3743,1398,3786,1406,5405,1406,5448,1398,5483,1374,5507,1339,5515,1296,5515,413,5507,370,5483,335,5448,311,5405,302xe" filled="true" fillcolor="#ffffff" stroked="false">
                  <v:path arrowok="t"/>
                  <v:fill type="solid"/>
                </v:shape>
                <v:shape style="position:absolute;left:3675;top:302;width:1840;height:1104" id="docshape19" coordorigin="3675,302" coordsize="1840,1104" path="m3675,413l3684,370,3708,335,3743,311,3786,302,5405,302,5448,311,5483,335,5507,370,5515,413,5515,1296,5507,1339,5483,1374,5448,1398,5405,1406,3786,1406,3743,1398,3708,1374,3684,1339,3675,1296,3675,413xe" filled="false" stroked="true" strokeweight="2pt" strokecolor="#4674ab">
                  <v:path arrowok="t"/>
                  <v:stroke dashstyle="solid"/>
                </v:shape>
                <v:rect style="position:absolute;left:3965;top:1959;width:166;height:1370" id="docshape20" filled="true" fillcolor="#b1c1db" stroked="false">
                  <v:fill type="solid"/>
                </v:rect>
                <v:shape style="position:absolute;left:3675;top:1682;width:1840;height:1104" id="docshape21" coordorigin="3675,1682" coordsize="1840,1104" path="m5405,1682l3786,1682,3743,1691,3708,1715,3684,1750,3675,1793,3675,2676,3684,2719,3708,2754,3743,2778,3786,2786,5405,2786,5448,2778,5483,2754,5507,2719,5515,2676,5515,1793,5507,1750,5483,1715,5448,1691,5405,1682xe" filled="true" fillcolor="#ffffff" stroked="false">
                  <v:path arrowok="t"/>
                  <v:fill type="solid"/>
                </v:shape>
                <v:shape style="position:absolute;left:3675;top:1682;width:1840;height:1104" id="docshape22" coordorigin="3675,1682" coordsize="1840,1104" path="m3675,1793l3684,1750,3708,1715,3743,1691,3786,1682,5405,1682,5448,1691,5483,1715,5507,1750,5515,1793,5515,2676,5507,2719,5483,2754,5448,2778,5405,2786,3786,2786,3743,2778,3708,2754,3684,2719,3675,2676,3675,1793xe" filled="false" stroked="true" strokeweight="2pt" strokecolor="#4674ab">
                  <v:path arrowok="t"/>
                  <v:stroke dashstyle="solid"/>
                </v:shape>
                <v:rect style="position:absolute;left:3965;top:3338;width:166;height:1370" id="docshape23" filled="true" fillcolor="#b1c1db" stroked="false">
                  <v:fill type="solid"/>
                </v:rect>
                <v:shape style="position:absolute;left:3675;top:3062;width:1840;height:1104" id="docshape24" coordorigin="3675,3062" coordsize="1840,1104" path="m5405,3062l3786,3062,3743,3071,3708,3095,3684,3130,3675,3173,3675,4056,3684,4099,3708,4134,3743,4157,3786,4166,5405,4166,5448,4157,5483,4134,5507,4099,5515,4056,5515,3173,5507,3130,5483,3095,5448,3071,5405,3062xe" filled="true" fillcolor="#ffffff" stroked="false">
                  <v:path arrowok="t"/>
                  <v:fill type="solid"/>
                </v:shape>
                <v:shape style="position:absolute;left:3675;top:3062;width:1840;height:1104" id="docshape25" coordorigin="3675,3062" coordsize="1840,1104" path="m3675,3173l3684,3130,3708,3095,3743,3071,3786,3062,5405,3062,5448,3071,5483,3095,5507,3130,5515,3173,5515,4056,5507,4099,5483,4134,5448,4157,5405,4166,3786,4166,3743,4157,3708,4134,3684,4099,3675,4056,3675,3173xe" filled="false" stroked="true" strokeweight="2pt" strokecolor="#4674ab">
                  <v:path arrowok="t"/>
                  <v:stroke dashstyle="solid"/>
                </v:shape>
                <v:rect style="position:absolute;left:4053;top:4631;width:2437;height:166" id="docshape26" filled="true" fillcolor="#b1c1db" stroked="false">
                  <v:fill type="solid"/>
                </v:rect>
                <v:shape style="position:absolute;left:3675;top:4442;width:1840;height:1104" id="docshape27" coordorigin="3675,4442" coordsize="1840,1104" path="m5405,4442l3786,4442,3743,4451,3708,4474,3684,4510,3675,4552,3675,5436,3684,5479,3708,5514,3743,5537,3786,5546,5405,5546,5448,5537,5483,5514,5507,5479,5515,5436,5515,4552,5507,4510,5483,4474,5448,4451,5405,4442xe" filled="true" fillcolor="#ffffff" stroked="false">
                  <v:path arrowok="t"/>
                  <v:fill type="solid"/>
                </v:shape>
                <v:shape style="position:absolute;left:3675;top:4442;width:1840;height:1104" id="docshape28" coordorigin="3675,4442" coordsize="1840,1104" path="m3675,4552l3684,4510,3708,4474,3743,4451,3786,4442,5405,4442,5448,4451,5483,4474,5507,4510,5515,4552,5515,5436,5507,5479,5483,5514,5448,5537,5405,5546,3786,5546,3743,5537,3708,5514,3684,5479,3675,5436,3675,4552xe" filled="false" stroked="true" strokeweight="2pt" strokecolor="#4674ab">
                  <v:path arrowok="t"/>
                  <v:stroke dashstyle="solid"/>
                </v:shape>
                <v:rect style="position:absolute;left:6412;top:3338;width:166;height:1370" id="docshape29" filled="true" fillcolor="#b1c1db" stroked="false">
                  <v:fill type="solid"/>
                </v:rect>
                <v:shape style="position:absolute;left:6122;top:4442;width:1840;height:1104" id="docshape30" coordorigin="6123,4442" coordsize="1840,1104" path="m7852,4442l6233,4442,6190,4451,6155,4474,6131,4510,6123,4552,6123,5436,6131,5479,6155,5514,6190,5537,6233,5546,7852,5546,7895,5537,7930,5514,7954,5479,7962,5436,7962,4552,7954,4510,7930,4474,7895,4451,7852,4442xe" filled="true" fillcolor="#ffffff" stroked="false">
                  <v:path arrowok="t"/>
                  <v:fill type="solid"/>
                </v:shape>
                <v:shape style="position:absolute;left:6122;top:4442;width:1840;height:1104" id="docshape31" coordorigin="6123,4442" coordsize="1840,1104" path="m6123,4552l6131,4510,6155,4474,6190,4451,6233,4442,7852,4442,7895,4451,7930,4474,7954,4510,7962,4552,7962,5436,7954,5479,7930,5514,7895,5537,7852,5546,6233,5546,6190,5537,6155,5514,6131,5479,6123,5436,6123,4552xe" filled="false" stroked="true" strokeweight="2pt" strokecolor="#4674ab">
                  <v:path arrowok="t"/>
                  <v:stroke dashstyle="solid"/>
                </v:shape>
                <v:shape style="position:absolute;left:6417;top:1970;width:202;height:1366" id="docshape32" coordorigin="6418,1970" coordsize="202,1366" path="m6454,1970l6418,3332,6583,3336,6619,1975,6454,1970xe" filled="true" fillcolor="#b1c1db" stroked="false">
                  <v:path arrowok="t"/>
                  <v:fill type="solid"/>
                </v:shape>
                <v:shape style="position:absolute;left:6122;top:3062;width:1840;height:1104" id="docshape33" coordorigin="6123,3062" coordsize="1840,1104" path="m7852,3062l6233,3062,6190,3071,6155,3095,6131,3130,6123,3173,6123,4056,6131,4099,6155,4134,6190,4157,6233,4166,7852,4166,7895,4157,7930,4134,7954,4099,7962,4056,7962,3173,7954,3130,7930,3095,7895,3071,7852,3062xe" filled="true" fillcolor="#ffffff" stroked="false">
                  <v:path arrowok="t"/>
                  <v:fill type="solid"/>
                </v:shape>
                <v:shape style="position:absolute;left:6122;top:3062;width:1840;height:1104" id="docshape34" coordorigin="6123,3062" coordsize="1840,1104" path="m6123,3173l6131,3130,6155,3095,6190,3071,6233,3062,7852,3062,7895,3071,7930,3095,7954,3130,7962,3173,7962,4056,7954,4099,7930,4134,7895,4157,7852,4166,6233,4166,6190,4157,6155,4134,6131,4099,6123,4056,6123,3173xe" filled="false" stroked="true" strokeweight="2pt" strokecolor="#4674ab">
                  <v:path arrowok="t"/>
                  <v:stroke dashstyle="solid"/>
                </v:shape>
                <v:shape style="position:absolute;left:6412;top:576;width:207;height:1389" id="docshape35" coordorigin="6413,577" coordsize="207,1389" path="m6578,577l6413,581,6454,1965,6619,1960,6578,577xe" filled="true" fillcolor="#b1c1db" stroked="false">
                  <v:path arrowok="t"/>
                  <v:fill type="solid"/>
                </v:shape>
                <v:shape style="position:absolute;left:6163;top:1695;width:1840;height:1104" id="docshape36" coordorigin="6163,1696" coordsize="1840,1104" path="m7893,1696l6274,1696,6231,1704,6196,1728,6172,1763,6163,1806,6163,2689,6172,2732,6196,2767,6231,2791,6274,2800,7893,2800,7936,2791,7971,2767,7995,2732,8003,2689,8003,1806,7995,1763,7971,1728,7936,1704,7893,1696xe" filled="true" fillcolor="#ffffff" stroked="false">
                  <v:path arrowok="t"/>
                  <v:fill type="solid"/>
                </v:shape>
                <v:shape style="position:absolute;left:6163;top:1695;width:1840;height:1104" id="docshape37" coordorigin="6163,1696" coordsize="1840,1104" path="m6163,1806l6172,1763,6196,1728,6231,1704,6274,1696,7893,1696,7936,1704,7971,1728,7995,1763,8003,1806,8003,2689,7995,2732,7971,2767,7936,2791,7893,2800,6274,2800,6231,2791,6196,2767,6172,2732,6163,2689,6163,1806xe" filled="false" stroked="true" strokeweight="2pt" strokecolor="#4674ab">
                  <v:path arrowok="t"/>
                  <v:stroke dashstyle="solid"/>
                </v:shape>
                <v:shape style="position:absolute;left:6495;top:496;width:2504;height:168" id="docshape38" coordorigin="6495,496" coordsize="2504,168" path="m6496,496l6495,662,8999,664,8999,498,6496,496xe" filled="true" fillcolor="#b1c1db" stroked="false">
                  <v:path arrowok="t"/>
                  <v:fill type="solid"/>
                </v:shape>
                <v:shape style="position:absolute;left:6122;top:302;width:1840;height:1104" id="docshape39" coordorigin="6123,302" coordsize="1840,1104" path="m7852,302l6233,302,6190,311,6155,335,6131,370,6123,413,6123,1296,6131,1339,6155,1374,6190,1398,6233,1406,7852,1406,7895,1398,7930,1374,7954,1339,7962,1296,7962,413,7954,370,7930,335,7895,311,7852,302xe" filled="true" fillcolor="#ffffff" stroked="false">
                  <v:path arrowok="t"/>
                  <v:fill type="solid"/>
                </v:shape>
                <v:shape style="position:absolute;left:6122;top:302;width:1840;height:1104" id="docshape40" coordorigin="6123,302" coordsize="1840,1104" path="m6123,413l6131,370,6155,335,6190,311,6233,302,7852,302,7895,311,7930,335,7954,370,7962,413,7962,1296,7954,1339,7930,1374,7895,1398,7852,1406,6233,1406,6190,1398,6155,1374,6131,1339,6123,1296,6123,413xe" filled="false" stroked="true" strokeweight="2.0pt" strokecolor="#4674ab">
                  <v:path arrowok="t"/>
                  <v:stroke dashstyle="solid"/>
                </v:shape>
                <v:shape style="position:absolute;left:8860;top:582;width:227;height:1371" id="docshape41" coordorigin="8860,582" coordsize="227,1371" path="m8921,582l8860,1945,9025,1953,9087,590,8921,582xe" filled="true" fillcolor="#b1c1db" stroked="false">
                  <v:path arrowok="t"/>
                  <v:fill type="solid"/>
                </v:shape>
                <v:shape style="position:absolute;left:8630;top:309;width:1840;height:1104" id="docshape42" coordorigin="8631,309" coordsize="1840,1104" path="m10360,309l8741,309,8698,318,8663,341,8639,376,8631,419,8631,1303,8639,1346,8663,1381,8698,1404,8741,1413,10360,1413,10403,1404,10438,1381,10462,1346,10471,1303,10471,419,10462,376,10438,341,10403,318,10360,309xe" filled="true" fillcolor="#ffffff" stroked="false">
                  <v:path arrowok="t"/>
                  <v:fill type="solid"/>
                </v:shape>
                <v:shape style="position:absolute;left:8630;top:309;width:1840;height:1104" id="docshape43" coordorigin="8631,309" coordsize="1840,1104" path="m8631,419l8639,376,8663,341,8698,318,8741,309,10360,309,10403,318,10438,341,10462,376,10471,419,10471,1303,10462,1346,10438,1381,10403,1404,10360,1413,8741,1413,8698,1404,8663,1381,8639,1346,8631,1303,8631,419xe" filled="false" stroked="true" strokeweight="2pt" strokecolor="#4674ab">
                  <v:path arrowok="t"/>
                  <v:stroke dashstyle="solid"/>
                </v:shape>
                <v:rect style="position:absolute;left:8859;top:1959;width:166;height:1370" id="docshape44" filled="true" fillcolor="#b1c1db" stroked="false">
                  <v:fill type="solid"/>
                </v:rect>
                <v:shape style="position:absolute;left:8569;top:1682;width:1840;height:1104" id="docshape45" coordorigin="8570,1682" coordsize="1840,1104" path="m10299,1682l8680,1682,8637,1691,8602,1715,8578,1750,8570,1793,8570,2676,8578,2719,8602,2754,8637,2778,8680,2786,10299,2786,10342,2778,10377,2754,10401,2719,10410,2676,10410,1793,10401,1750,10377,1715,10342,1691,10299,1682xe" filled="true" fillcolor="#ffffff" stroked="false">
                  <v:path arrowok="t"/>
                  <v:fill type="solid"/>
                </v:shape>
                <v:shape style="position:absolute;left:8569;top:1682;width:1840;height:1104" id="docshape46" coordorigin="8570,1682" coordsize="1840,1104" path="m8570,1793l8578,1750,8602,1715,8637,1691,8680,1682,10299,1682,10342,1691,10377,1715,10401,1750,10410,1793,10410,2676,10401,2719,10377,2754,10342,2778,10299,2786,8680,2786,8637,2778,8602,2754,8578,2719,8570,2676,8570,1793xe" filled="false" stroked="true" strokeweight="2.0pt" strokecolor="#4674ab">
                  <v:path arrowok="t"/>
                  <v:stroke dashstyle="solid"/>
                </v:shape>
                <v:shape style="position:absolute;left:8569;top:3062;width:1840;height:1104" id="docshape47" coordorigin="8570,3062" coordsize="1840,1104" path="m10299,3062l8680,3062,8637,3071,8602,3095,8578,3130,8570,3173,8570,4056,8578,4099,8602,4134,8637,4157,8680,4166,10299,4166,10342,4157,10377,4134,10401,4099,10410,4056,10410,3173,10401,3130,10377,3095,10342,3071,10299,3062xe" filled="true" fillcolor="#ffffff" stroked="false">
                  <v:path arrowok="t"/>
                  <v:fill type="solid"/>
                </v:shape>
                <v:shape style="position:absolute;left:8569;top:3062;width:1840;height:1104" id="docshape48" coordorigin="8570,3062" coordsize="1840,1104" path="m8570,3173l8578,3130,8602,3095,8637,3071,8680,3062,10299,3062,10342,3071,10377,3095,10401,3130,10410,3173,10410,4056,10401,4099,10377,4134,10342,4157,10299,4166,8680,4166,8637,4157,8602,4134,8578,4099,8570,4056,8570,3173xe" filled="false" stroked="true" strokeweight="2pt" strokecolor="#4674ab">
                  <v:path arrowok="t"/>
                  <v:stroke dashstyle="solid"/>
                </v:shape>
                <v:shape style="position:absolute;left:3965;top:271;width:1242;height:1149" type="#_x0000_t202" id="docshape49" filled="false" stroked="false">
                  <v:textbox inset="0,0,0,0">
                    <w:txbxContent>
                      <w:p>
                        <w:pPr>
                          <w:spacing w:line="300" w:lineRule="auto" w:before="0"/>
                          <w:ind w:left="73" w:right="51" w:firstLine="0"/>
                          <w:jc w:val="center"/>
                          <w:rPr>
                            <w:rFonts w:ascii="Calibri"/>
                            <w:sz w:val="16"/>
                          </w:rPr>
                        </w:pPr>
                        <w:r>
                          <w:rPr>
                            <w:sz w:val="16"/>
                          </w:rPr>
                          <w:t>ARDS</w:t>
                        </w:r>
                        <w:r>
                          <w:rPr>
                            <w:spacing w:val="-12"/>
                            <w:sz w:val="16"/>
                          </w:rPr>
                          <w:t> </w:t>
                        </w:r>
                        <w:r>
                          <w:rPr>
                            <w:sz w:val="16"/>
                          </w:rPr>
                          <w:t>Brunca </w:t>
                        </w:r>
                        <w:r>
                          <w:rPr>
                            <w:rFonts w:ascii="Calibri"/>
                            <w:sz w:val="16"/>
                          </w:rPr>
                          <w:t>ULDS</w:t>
                        </w:r>
                        <w:r>
                          <w:rPr>
                            <w:rFonts w:ascii="Calibri"/>
                            <w:spacing w:val="-5"/>
                            <w:sz w:val="16"/>
                          </w:rPr>
                          <w:t> </w:t>
                        </w:r>
                        <w:r>
                          <w:rPr>
                            <w:rFonts w:ascii="Calibri"/>
                            <w:sz w:val="16"/>
                          </w:rPr>
                          <w:t>Golfito</w:t>
                        </w:r>
                        <w:r>
                          <w:rPr>
                            <w:rFonts w:ascii="Calibri"/>
                            <w:spacing w:val="40"/>
                            <w:sz w:val="16"/>
                          </w:rPr>
                          <w:t> </w:t>
                        </w:r>
                        <w:r>
                          <w:rPr>
                            <w:rFonts w:ascii="Calibri"/>
                            <w:sz w:val="16"/>
                          </w:rPr>
                          <w:t>ULDS</w:t>
                        </w:r>
                        <w:r>
                          <w:rPr>
                            <w:rFonts w:ascii="Calibri"/>
                            <w:spacing w:val="-5"/>
                            <w:sz w:val="16"/>
                          </w:rPr>
                          <w:t> </w:t>
                        </w:r>
                        <w:r>
                          <w:rPr>
                            <w:rFonts w:ascii="Calibri"/>
                            <w:sz w:val="16"/>
                          </w:rPr>
                          <w:t>Osa</w:t>
                        </w:r>
                      </w:p>
                      <w:p>
                        <w:pPr>
                          <w:spacing w:line="195" w:lineRule="exact" w:before="0"/>
                          <w:ind w:left="0" w:right="18" w:firstLine="0"/>
                          <w:jc w:val="center"/>
                          <w:rPr>
                            <w:rFonts w:ascii="Calibri"/>
                            <w:sz w:val="16"/>
                          </w:rPr>
                        </w:pPr>
                        <w:r>
                          <w:rPr>
                            <w:rFonts w:ascii="Calibri"/>
                            <w:sz w:val="16"/>
                          </w:rPr>
                          <w:t>ULDS</w:t>
                        </w:r>
                        <w:r>
                          <w:rPr>
                            <w:rFonts w:ascii="Calibri"/>
                            <w:spacing w:val="-8"/>
                            <w:sz w:val="16"/>
                          </w:rPr>
                          <w:t> </w:t>
                        </w:r>
                        <w:r>
                          <w:rPr>
                            <w:rFonts w:ascii="Calibri"/>
                            <w:sz w:val="16"/>
                          </w:rPr>
                          <w:t>Buenos</w:t>
                        </w:r>
                        <w:r>
                          <w:rPr>
                            <w:rFonts w:ascii="Calibri"/>
                            <w:spacing w:val="-5"/>
                            <w:sz w:val="16"/>
                          </w:rPr>
                          <w:t> </w:t>
                        </w:r>
                        <w:r>
                          <w:rPr>
                            <w:rFonts w:ascii="Calibri"/>
                            <w:spacing w:val="-2"/>
                            <w:sz w:val="16"/>
                          </w:rPr>
                          <w:t>Aires</w:t>
                        </w:r>
                      </w:p>
                      <w:p>
                        <w:pPr>
                          <w:spacing w:line="193" w:lineRule="exact" w:before="42"/>
                          <w:ind w:left="0" w:right="51" w:firstLine="0"/>
                          <w:jc w:val="center"/>
                          <w:rPr>
                            <w:rFonts w:ascii="Calibri"/>
                            <w:sz w:val="16"/>
                          </w:rPr>
                        </w:pPr>
                        <w:r>
                          <w:rPr>
                            <w:rFonts w:ascii="Calibri"/>
                            <w:sz w:val="16"/>
                          </w:rPr>
                          <w:t>ULDS</w:t>
                        </w:r>
                        <w:r>
                          <w:rPr>
                            <w:rFonts w:ascii="Calibri"/>
                            <w:spacing w:val="-5"/>
                            <w:sz w:val="16"/>
                          </w:rPr>
                          <w:t> </w:t>
                        </w:r>
                        <w:r>
                          <w:rPr>
                            <w:rFonts w:ascii="Calibri"/>
                            <w:sz w:val="16"/>
                          </w:rPr>
                          <w:t>Coto</w:t>
                        </w:r>
                        <w:r>
                          <w:rPr>
                            <w:rFonts w:ascii="Calibri"/>
                            <w:spacing w:val="-3"/>
                            <w:sz w:val="16"/>
                          </w:rPr>
                          <w:t> </w:t>
                        </w:r>
                        <w:r>
                          <w:rPr>
                            <w:rFonts w:ascii="Calibri"/>
                            <w:spacing w:val="-4"/>
                            <w:sz w:val="16"/>
                          </w:rPr>
                          <w:t>Brus</w:t>
                        </w:r>
                      </w:p>
                    </w:txbxContent>
                  </v:textbox>
                  <w10:wrap type="none"/>
                </v:shape>
                <v:shape style="position:absolute;left:6338;top:448;width:1428;height:826" type="#_x0000_t202" id="docshape50" filled="false" stroked="false">
                  <v:textbox inset="0,0,0,0">
                    <w:txbxContent>
                      <w:p>
                        <w:pPr>
                          <w:spacing w:line="203" w:lineRule="exact" w:before="0"/>
                          <w:ind w:left="0" w:right="18" w:firstLine="0"/>
                          <w:jc w:val="center"/>
                          <w:rPr>
                            <w:rFonts w:ascii="Calibri"/>
                            <w:sz w:val="20"/>
                          </w:rPr>
                        </w:pPr>
                        <w:r>
                          <w:rPr>
                            <w:rFonts w:ascii="Calibri"/>
                            <w:sz w:val="20"/>
                          </w:rPr>
                          <w:t>ARDS</w:t>
                        </w:r>
                        <w:r>
                          <w:rPr>
                            <w:rFonts w:ascii="Calibri"/>
                            <w:spacing w:val="-7"/>
                            <w:sz w:val="20"/>
                          </w:rPr>
                          <w:t> </w:t>
                        </w:r>
                        <w:r>
                          <w:rPr>
                            <w:rFonts w:ascii="Calibri"/>
                            <w:spacing w:val="-2"/>
                            <w:sz w:val="20"/>
                          </w:rPr>
                          <w:t>Puntarenas</w:t>
                        </w:r>
                      </w:p>
                      <w:p>
                        <w:pPr>
                          <w:spacing w:before="70"/>
                          <w:ind w:left="0" w:right="63" w:firstLine="0"/>
                          <w:jc w:val="center"/>
                          <w:rPr>
                            <w:rFonts w:ascii="Calibri"/>
                            <w:sz w:val="18"/>
                          </w:rPr>
                        </w:pPr>
                        <w:r>
                          <w:rPr>
                            <w:rFonts w:ascii="Calibri"/>
                            <w:sz w:val="20"/>
                          </w:rPr>
                          <w:t>ULDS</w:t>
                        </w:r>
                        <w:r>
                          <w:rPr>
                            <w:rFonts w:ascii="Calibri"/>
                            <w:spacing w:val="-6"/>
                            <w:sz w:val="20"/>
                          </w:rPr>
                          <w:t> </w:t>
                        </w:r>
                        <w:r>
                          <w:rPr>
                            <w:rFonts w:ascii="Calibri"/>
                            <w:spacing w:val="-2"/>
                            <w:sz w:val="18"/>
                          </w:rPr>
                          <w:t>Chomes</w:t>
                        </w:r>
                      </w:p>
                      <w:p>
                        <w:pPr>
                          <w:spacing w:line="240" w:lineRule="exact" w:before="68"/>
                          <w:ind w:left="0" w:right="63" w:firstLine="0"/>
                          <w:jc w:val="center"/>
                          <w:rPr>
                            <w:rFonts w:ascii="Calibri"/>
                            <w:sz w:val="20"/>
                          </w:rPr>
                        </w:pPr>
                        <w:r>
                          <w:rPr>
                            <w:rFonts w:ascii="Calibri"/>
                            <w:sz w:val="20"/>
                          </w:rPr>
                          <w:t>ULDS</w:t>
                        </w:r>
                        <w:r>
                          <w:rPr>
                            <w:rFonts w:ascii="Calibri"/>
                            <w:spacing w:val="-7"/>
                            <w:sz w:val="20"/>
                          </w:rPr>
                          <w:t> </w:t>
                        </w:r>
                        <w:r>
                          <w:rPr>
                            <w:rFonts w:ascii="Calibri"/>
                            <w:spacing w:val="-2"/>
                            <w:sz w:val="20"/>
                          </w:rPr>
                          <w:t>Paquera</w:t>
                        </w:r>
                      </w:p>
                    </w:txbxContent>
                  </v:textbox>
                  <w10:wrap type="none"/>
                </v:shape>
                <v:shape style="position:absolute;left:8858;top:484;width:1369;height:757" type="#_x0000_t202" id="docshape51" filled="false" stroked="false">
                  <v:textbox inset="0,0,0,0">
                    <w:txbxContent>
                      <w:p>
                        <w:pPr>
                          <w:spacing w:line="184" w:lineRule="exact" w:before="0"/>
                          <w:ind w:left="80" w:right="61" w:firstLine="0"/>
                          <w:jc w:val="center"/>
                          <w:rPr>
                            <w:rFonts w:ascii="Calibri"/>
                            <w:sz w:val="18"/>
                          </w:rPr>
                        </w:pPr>
                        <w:r>
                          <w:rPr>
                            <w:rFonts w:ascii="Calibri"/>
                            <w:sz w:val="18"/>
                          </w:rPr>
                          <w:t>ARDS</w:t>
                        </w:r>
                        <w:r>
                          <w:rPr>
                            <w:rFonts w:ascii="Calibri"/>
                            <w:spacing w:val="-6"/>
                            <w:sz w:val="18"/>
                          </w:rPr>
                          <w:t> </w:t>
                        </w:r>
                        <w:r>
                          <w:rPr>
                            <w:rFonts w:ascii="Calibri"/>
                            <w:spacing w:val="-2"/>
                            <w:sz w:val="18"/>
                          </w:rPr>
                          <w:t>Noreste</w:t>
                        </w:r>
                      </w:p>
                      <w:p>
                        <w:pPr>
                          <w:spacing w:before="56"/>
                          <w:ind w:left="19" w:right="80" w:firstLine="0"/>
                          <w:jc w:val="center"/>
                          <w:rPr>
                            <w:rFonts w:ascii="Calibri"/>
                            <w:sz w:val="18"/>
                          </w:rPr>
                        </w:pPr>
                        <w:r>
                          <w:rPr>
                            <w:rFonts w:ascii="Calibri"/>
                            <w:sz w:val="18"/>
                          </w:rPr>
                          <w:t>ULDS</w:t>
                        </w:r>
                        <w:r>
                          <w:rPr>
                            <w:rFonts w:ascii="Calibri"/>
                            <w:spacing w:val="-4"/>
                            <w:sz w:val="18"/>
                          </w:rPr>
                          <w:t> </w:t>
                        </w:r>
                        <w:r>
                          <w:rPr>
                            <w:rFonts w:ascii="Calibri"/>
                            <w:spacing w:val="-2"/>
                            <w:sz w:val="18"/>
                          </w:rPr>
                          <w:t>Acosta</w:t>
                        </w:r>
                      </w:p>
                      <w:p>
                        <w:pPr>
                          <w:spacing w:line="216" w:lineRule="exact" w:before="81"/>
                          <w:ind w:left="0" w:right="18" w:firstLine="0"/>
                          <w:jc w:val="center"/>
                          <w:rPr>
                            <w:rFonts w:ascii="Calibri" w:hAnsi="Calibri"/>
                            <w:sz w:val="18"/>
                          </w:rPr>
                        </w:pPr>
                        <w:r>
                          <w:rPr>
                            <w:rFonts w:ascii="Calibri" w:hAnsi="Calibri"/>
                            <w:sz w:val="18"/>
                          </w:rPr>
                          <w:t>ULDS</w:t>
                        </w:r>
                        <w:r>
                          <w:rPr>
                            <w:rFonts w:ascii="Calibri" w:hAnsi="Calibri"/>
                            <w:spacing w:val="-4"/>
                            <w:sz w:val="18"/>
                          </w:rPr>
                          <w:t> </w:t>
                        </w:r>
                        <w:r>
                          <w:rPr>
                            <w:rFonts w:ascii="Calibri" w:hAnsi="Calibri"/>
                            <w:sz w:val="18"/>
                          </w:rPr>
                          <w:t>Barrio</w:t>
                        </w:r>
                        <w:r>
                          <w:rPr>
                            <w:rFonts w:ascii="Calibri" w:hAnsi="Calibri"/>
                            <w:spacing w:val="-2"/>
                            <w:sz w:val="18"/>
                          </w:rPr>
                          <w:t> </w:t>
                        </w:r>
                        <w:r>
                          <w:rPr>
                            <w:rFonts w:ascii="Calibri" w:hAnsi="Calibri"/>
                            <w:spacing w:val="-4"/>
                            <w:sz w:val="18"/>
                          </w:rPr>
                          <w:t>Amón</w:t>
                        </w:r>
                      </w:p>
                    </w:txbxContent>
                  </v:textbox>
                  <w10:wrap type="none"/>
                </v:shape>
                <v:shape style="position:absolute;left:3999;top:1992;width:1215;height:468" type="#_x0000_t202" id="docshape52" filled="false" stroked="false">
                  <v:textbox inset="0,0,0,0">
                    <w:txbxContent>
                      <w:p>
                        <w:pPr>
                          <w:spacing w:line="201" w:lineRule="exact" w:before="0"/>
                          <w:ind w:left="0" w:right="0" w:firstLine="0"/>
                          <w:jc w:val="left"/>
                          <w:rPr>
                            <w:sz w:val="18"/>
                          </w:rPr>
                        </w:pPr>
                        <w:r>
                          <w:rPr>
                            <w:sz w:val="18"/>
                          </w:rPr>
                          <w:t>ARDS</w:t>
                        </w:r>
                        <w:r>
                          <w:rPr>
                            <w:spacing w:val="-3"/>
                            <w:sz w:val="18"/>
                          </w:rPr>
                          <w:t> </w:t>
                        </w:r>
                        <w:r>
                          <w:rPr>
                            <w:spacing w:val="-2"/>
                            <w:sz w:val="18"/>
                          </w:rPr>
                          <w:t>Cartago</w:t>
                        </w:r>
                      </w:p>
                      <w:p>
                        <w:pPr>
                          <w:spacing w:line="216" w:lineRule="exact" w:before="49"/>
                          <w:ind w:left="77" w:right="0" w:firstLine="0"/>
                          <w:jc w:val="left"/>
                          <w:rPr>
                            <w:rFonts w:ascii="Calibri"/>
                            <w:sz w:val="18"/>
                          </w:rPr>
                        </w:pPr>
                        <w:r>
                          <w:rPr>
                            <w:rFonts w:ascii="Calibri"/>
                            <w:sz w:val="18"/>
                          </w:rPr>
                          <w:t>ULDS</w:t>
                        </w:r>
                        <w:r>
                          <w:rPr>
                            <w:rFonts w:ascii="Calibri"/>
                            <w:spacing w:val="-5"/>
                            <w:sz w:val="18"/>
                          </w:rPr>
                          <w:t> </w:t>
                        </w:r>
                        <w:r>
                          <w:rPr>
                            <w:rFonts w:ascii="Calibri"/>
                            <w:spacing w:val="-2"/>
                            <w:sz w:val="18"/>
                          </w:rPr>
                          <w:t>Cartago</w:t>
                        </w:r>
                      </w:p>
                    </w:txbxContent>
                  </v:textbox>
                  <w10:wrap type="none"/>
                </v:shape>
                <v:shape style="position:absolute;left:6596;top:1927;width:990;height:653" type="#_x0000_t202" id="docshape53" filled="false" stroked="false">
                  <v:textbox inset="0,0,0,0">
                    <w:txbxContent>
                      <w:p>
                        <w:pPr>
                          <w:spacing w:line="173" w:lineRule="exact" w:before="0"/>
                          <w:ind w:left="4" w:right="0" w:firstLine="0"/>
                          <w:jc w:val="left"/>
                          <w:rPr>
                            <w:rFonts w:ascii="Calibri"/>
                            <w:sz w:val="18"/>
                          </w:rPr>
                        </w:pPr>
                        <w:r>
                          <w:rPr>
                            <w:rFonts w:ascii="Calibri"/>
                            <w:sz w:val="18"/>
                          </w:rPr>
                          <w:t>ARDS</w:t>
                        </w:r>
                        <w:r>
                          <w:rPr>
                            <w:rFonts w:ascii="Calibri"/>
                            <w:spacing w:val="-5"/>
                            <w:sz w:val="18"/>
                          </w:rPr>
                          <w:t> </w:t>
                        </w:r>
                        <w:r>
                          <w:rPr>
                            <w:rFonts w:ascii="Calibri"/>
                            <w:spacing w:val="-2"/>
                            <w:sz w:val="18"/>
                          </w:rPr>
                          <w:t>Central</w:t>
                        </w:r>
                      </w:p>
                      <w:p>
                        <w:pPr>
                          <w:spacing w:line="209" w:lineRule="exact" w:before="0"/>
                          <w:ind w:left="76" w:right="0" w:firstLine="0"/>
                          <w:jc w:val="left"/>
                          <w:rPr>
                            <w:rFonts w:ascii="Calibri"/>
                            <w:sz w:val="18"/>
                          </w:rPr>
                        </w:pPr>
                        <w:r>
                          <w:rPr>
                            <w:rFonts w:ascii="Calibri"/>
                            <w:spacing w:val="-2"/>
                            <w:sz w:val="18"/>
                          </w:rPr>
                          <w:t>Occidental</w:t>
                        </w:r>
                      </w:p>
                      <w:p>
                        <w:pPr>
                          <w:spacing w:line="216" w:lineRule="exact" w:before="54"/>
                          <w:ind w:left="0" w:right="0" w:firstLine="0"/>
                          <w:jc w:val="left"/>
                          <w:rPr>
                            <w:rFonts w:ascii="Calibri"/>
                            <w:sz w:val="18"/>
                          </w:rPr>
                        </w:pPr>
                        <w:r>
                          <w:rPr>
                            <w:rFonts w:ascii="Calibri"/>
                            <w:sz w:val="18"/>
                          </w:rPr>
                          <w:t>ULDS</w:t>
                        </w:r>
                        <w:r>
                          <w:rPr>
                            <w:rFonts w:ascii="Calibri"/>
                            <w:spacing w:val="-5"/>
                            <w:sz w:val="18"/>
                          </w:rPr>
                          <w:t> </w:t>
                        </w:r>
                        <w:r>
                          <w:rPr>
                            <w:rFonts w:ascii="Calibri"/>
                            <w:spacing w:val="-2"/>
                            <w:sz w:val="18"/>
                          </w:rPr>
                          <w:t>Grecia</w:t>
                        </w:r>
                      </w:p>
                    </w:txbxContent>
                  </v:textbox>
                  <w10:wrap type="none"/>
                </v:shape>
                <v:shape style="position:absolute;left:9029;top:2050;width:943;height:380" type="#_x0000_t202" id="docshape54" filled="false" stroked="false">
                  <v:textbox inset="0,0,0,0">
                    <w:txbxContent>
                      <w:p>
                        <w:pPr>
                          <w:spacing w:line="173" w:lineRule="exact" w:before="0"/>
                          <w:ind w:left="86" w:right="0" w:firstLine="0"/>
                          <w:jc w:val="left"/>
                          <w:rPr>
                            <w:rFonts w:ascii="Calibri"/>
                            <w:sz w:val="18"/>
                          </w:rPr>
                        </w:pPr>
                        <w:r>
                          <w:rPr>
                            <w:rFonts w:ascii="Calibri"/>
                            <w:sz w:val="18"/>
                          </w:rPr>
                          <w:t>Unidad</w:t>
                        </w:r>
                        <w:r>
                          <w:rPr>
                            <w:rFonts w:ascii="Calibri"/>
                            <w:spacing w:val="-5"/>
                            <w:sz w:val="18"/>
                          </w:rPr>
                          <w:t> de</w:t>
                        </w:r>
                      </w:p>
                      <w:p>
                        <w:pPr>
                          <w:spacing w:line="206" w:lineRule="exact" w:before="0"/>
                          <w:ind w:left="0" w:right="0" w:firstLine="0"/>
                          <w:jc w:val="left"/>
                          <w:rPr>
                            <w:rFonts w:ascii="Calibri"/>
                            <w:sz w:val="18"/>
                          </w:rPr>
                        </w:pPr>
                        <w:r>
                          <w:rPr>
                            <w:rFonts w:ascii="Calibri"/>
                            <w:spacing w:val="-2"/>
                            <w:sz w:val="18"/>
                          </w:rPr>
                          <w:t>Contabilidad</w:t>
                        </w:r>
                      </w:p>
                    </w:txbxContent>
                  </v:textbox>
                  <w10:wrap type="none"/>
                </v:shape>
                <v:shape style="position:absolute;left:3977;top:3275;width:1258;height:662" type="#_x0000_t202" id="docshape55" filled="false" stroked="false">
                  <v:textbox inset="0,0,0,0">
                    <w:txbxContent>
                      <w:p>
                        <w:pPr>
                          <w:spacing w:line="180" w:lineRule="exact" w:before="0"/>
                          <w:ind w:left="0" w:right="18" w:firstLine="0"/>
                          <w:jc w:val="center"/>
                          <w:rPr>
                            <w:sz w:val="16"/>
                          </w:rPr>
                        </w:pPr>
                        <w:r>
                          <w:rPr>
                            <w:sz w:val="16"/>
                          </w:rPr>
                          <w:t>ARDS</w:t>
                        </w:r>
                        <w:r>
                          <w:rPr>
                            <w:spacing w:val="-5"/>
                            <w:sz w:val="16"/>
                          </w:rPr>
                          <w:t> </w:t>
                        </w:r>
                        <w:r>
                          <w:rPr>
                            <w:spacing w:val="-2"/>
                            <w:sz w:val="16"/>
                          </w:rPr>
                          <w:t>Chorotega</w:t>
                        </w:r>
                      </w:p>
                      <w:p>
                        <w:pPr>
                          <w:spacing w:line="244" w:lineRule="exact" w:before="0"/>
                          <w:ind w:left="64" w:right="83" w:firstLine="0"/>
                          <w:jc w:val="center"/>
                          <w:rPr>
                            <w:rFonts w:ascii="Calibri" w:hAnsi="Calibri"/>
                            <w:sz w:val="16"/>
                          </w:rPr>
                        </w:pPr>
                        <w:r>
                          <w:rPr>
                            <w:rFonts w:ascii="Calibri" w:hAnsi="Calibri"/>
                            <w:sz w:val="16"/>
                          </w:rPr>
                          <w:t>ULDS</w:t>
                        </w:r>
                        <w:r>
                          <w:rPr>
                            <w:rFonts w:ascii="Calibri" w:hAnsi="Calibri"/>
                            <w:spacing w:val="-10"/>
                            <w:sz w:val="16"/>
                          </w:rPr>
                          <w:t> </w:t>
                        </w:r>
                        <w:r>
                          <w:rPr>
                            <w:rFonts w:ascii="Calibri" w:hAnsi="Calibri"/>
                            <w:sz w:val="16"/>
                          </w:rPr>
                          <w:t>Nicoya</w:t>
                        </w:r>
                        <w:r>
                          <w:rPr>
                            <w:rFonts w:ascii="Calibri" w:hAnsi="Calibri"/>
                            <w:spacing w:val="40"/>
                            <w:sz w:val="16"/>
                          </w:rPr>
                          <w:t> </w:t>
                        </w:r>
                        <w:r>
                          <w:rPr>
                            <w:rFonts w:ascii="Calibri" w:hAnsi="Calibri"/>
                            <w:sz w:val="16"/>
                          </w:rPr>
                          <w:t>ULDS</w:t>
                        </w:r>
                        <w:r>
                          <w:rPr>
                            <w:rFonts w:ascii="Calibri" w:hAnsi="Calibri"/>
                            <w:spacing w:val="-5"/>
                            <w:sz w:val="16"/>
                          </w:rPr>
                          <w:t> </w:t>
                        </w:r>
                        <w:r>
                          <w:rPr>
                            <w:rFonts w:ascii="Calibri" w:hAnsi="Calibri"/>
                            <w:sz w:val="16"/>
                          </w:rPr>
                          <w:t>Cañas</w:t>
                        </w:r>
                      </w:p>
                    </w:txbxContent>
                  </v:textbox>
                  <w10:wrap type="none"/>
                </v:shape>
                <v:shape style="position:absolute;left:6416;top:3235;width:1234;height:741" type="#_x0000_t202" id="docshape56" filled="false" stroked="false">
                  <v:textbox inset="0,0,0,0">
                    <w:txbxContent>
                      <w:p>
                        <w:pPr>
                          <w:spacing w:line="201" w:lineRule="exact" w:before="0"/>
                          <w:ind w:left="64" w:right="0" w:firstLine="0"/>
                          <w:jc w:val="left"/>
                          <w:rPr>
                            <w:sz w:val="18"/>
                          </w:rPr>
                        </w:pPr>
                        <w:r>
                          <w:rPr>
                            <w:sz w:val="18"/>
                          </w:rPr>
                          <w:t>Huetar</w:t>
                        </w:r>
                        <w:r>
                          <w:rPr>
                            <w:spacing w:val="-5"/>
                            <w:sz w:val="18"/>
                          </w:rPr>
                          <w:t> </w:t>
                        </w:r>
                        <w:r>
                          <w:rPr>
                            <w:spacing w:val="-2"/>
                            <w:sz w:val="18"/>
                          </w:rPr>
                          <w:t>Caribe</w:t>
                        </w:r>
                      </w:p>
                      <w:p>
                        <w:pPr>
                          <w:spacing w:line="274" w:lineRule="exact" w:before="0"/>
                          <w:ind w:left="156" w:right="11" w:hanging="156"/>
                          <w:jc w:val="left"/>
                          <w:rPr>
                            <w:rFonts w:ascii="Calibri" w:hAnsi="Calibri"/>
                            <w:sz w:val="18"/>
                          </w:rPr>
                        </w:pPr>
                        <w:r>
                          <w:rPr>
                            <w:rFonts w:ascii="Calibri" w:hAnsi="Calibri"/>
                            <w:sz w:val="18"/>
                          </w:rPr>
                          <w:t>ULDS</w:t>
                        </w:r>
                        <w:r>
                          <w:rPr>
                            <w:rFonts w:ascii="Calibri" w:hAnsi="Calibri"/>
                            <w:spacing w:val="-11"/>
                            <w:sz w:val="18"/>
                          </w:rPr>
                          <w:t> </w:t>
                        </w:r>
                        <w:r>
                          <w:rPr>
                            <w:rFonts w:ascii="Calibri" w:hAnsi="Calibri"/>
                            <w:sz w:val="18"/>
                          </w:rPr>
                          <w:t>Talamanca ULDS</w:t>
                        </w:r>
                        <w:r>
                          <w:rPr>
                            <w:rFonts w:ascii="Calibri" w:hAnsi="Calibri"/>
                            <w:spacing w:val="-2"/>
                            <w:sz w:val="18"/>
                          </w:rPr>
                          <w:t> </w:t>
                        </w:r>
                        <w:r>
                          <w:rPr>
                            <w:rFonts w:ascii="Calibri" w:hAnsi="Calibri"/>
                            <w:sz w:val="18"/>
                          </w:rPr>
                          <w:t>Pococí</w:t>
                        </w:r>
                      </w:p>
                    </w:txbxContent>
                  </v:textbox>
                  <w10:wrap type="none"/>
                </v:shape>
                <v:shape style="position:absolute;left:8866;top:3530;width:1270;height:180" type="#_x0000_t202" id="docshape57" filled="false" stroked="false">
                  <v:textbox inset="0,0,0,0">
                    <w:txbxContent>
                      <w:p>
                        <w:pPr>
                          <w:spacing w:line="180" w:lineRule="exact" w:before="0"/>
                          <w:ind w:left="0" w:right="0" w:firstLine="0"/>
                          <w:jc w:val="left"/>
                          <w:rPr>
                            <w:rFonts w:ascii="Calibri" w:hAnsi="Calibri"/>
                            <w:sz w:val="18"/>
                          </w:rPr>
                        </w:pPr>
                        <w:r>
                          <w:rPr>
                            <w:rFonts w:ascii="Calibri" w:hAnsi="Calibri"/>
                            <w:sz w:val="18"/>
                          </w:rPr>
                          <w:t>Auditoría</w:t>
                        </w:r>
                        <w:r>
                          <w:rPr>
                            <w:rFonts w:ascii="Calibri" w:hAnsi="Calibri"/>
                            <w:spacing w:val="-5"/>
                            <w:sz w:val="18"/>
                          </w:rPr>
                          <w:t> </w:t>
                        </w:r>
                        <w:r>
                          <w:rPr>
                            <w:rFonts w:ascii="Calibri" w:hAnsi="Calibri"/>
                            <w:spacing w:val="-2"/>
                            <w:sz w:val="18"/>
                          </w:rPr>
                          <w:t>Interna</w:t>
                        </w:r>
                      </w:p>
                    </w:txbxContent>
                  </v:textbox>
                  <w10:wrap type="none"/>
                </v:shape>
                <v:shape style="position:absolute;left:4055;top:4615;width:1075;height:742" type="#_x0000_t202" id="docshape58" filled="false" stroked="false">
                  <v:textbox inset="0,0,0,0">
                    <w:txbxContent>
                      <w:p>
                        <w:pPr>
                          <w:spacing w:line="201" w:lineRule="exact" w:before="0"/>
                          <w:ind w:left="23" w:right="0" w:firstLine="0"/>
                          <w:jc w:val="left"/>
                          <w:rPr>
                            <w:sz w:val="18"/>
                          </w:rPr>
                        </w:pPr>
                        <w:r>
                          <w:rPr>
                            <w:sz w:val="18"/>
                          </w:rPr>
                          <w:t>Huetar</w:t>
                        </w:r>
                        <w:r>
                          <w:rPr>
                            <w:spacing w:val="-5"/>
                            <w:sz w:val="18"/>
                          </w:rPr>
                          <w:t> </w:t>
                        </w:r>
                        <w:r>
                          <w:rPr>
                            <w:spacing w:val="-4"/>
                            <w:sz w:val="18"/>
                          </w:rPr>
                          <w:t>Norte</w:t>
                        </w:r>
                      </w:p>
                      <w:p>
                        <w:pPr>
                          <w:spacing w:before="49"/>
                          <w:ind w:left="96" w:right="0" w:firstLine="0"/>
                          <w:jc w:val="left"/>
                          <w:rPr>
                            <w:rFonts w:ascii="Calibri"/>
                            <w:sz w:val="18"/>
                          </w:rPr>
                        </w:pPr>
                        <w:r>
                          <w:rPr>
                            <w:rFonts w:ascii="Calibri"/>
                            <w:sz w:val="18"/>
                          </w:rPr>
                          <w:t>ULDS</w:t>
                        </w:r>
                        <w:r>
                          <w:rPr>
                            <w:rFonts w:ascii="Calibri"/>
                            <w:spacing w:val="-6"/>
                            <w:sz w:val="18"/>
                          </w:rPr>
                          <w:t> </w:t>
                        </w:r>
                        <w:r>
                          <w:rPr>
                            <w:rFonts w:ascii="Calibri"/>
                            <w:spacing w:val="-2"/>
                            <w:sz w:val="18"/>
                          </w:rPr>
                          <w:t>Upala</w:t>
                        </w:r>
                      </w:p>
                      <w:p>
                        <w:pPr>
                          <w:spacing w:line="216" w:lineRule="exact" w:before="55"/>
                          <w:ind w:left="0" w:right="0" w:firstLine="0"/>
                          <w:jc w:val="left"/>
                          <w:rPr>
                            <w:rFonts w:ascii="Calibri"/>
                            <w:sz w:val="18"/>
                          </w:rPr>
                        </w:pPr>
                        <w:r>
                          <w:rPr>
                            <w:rFonts w:ascii="Calibri"/>
                            <w:sz w:val="18"/>
                          </w:rPr>
                          <w:t>ULDS</w:t>
                        </w:r>
                        <w:r>
                          <w:rPr>
                            <w:rFonts w:ascii="Calibri"/>
                            <w:spacing w:val="-5"/>
                            <w:sz w:val="18"/>
                          </w:rPr>
                          <w:t> </w:t>
                        </w:r>
                        <w:r>
                          <w:rPr>
                            <w:rFonts w:ascii="Calibri"/>
                            <w:spacing w:val="-2"/>
                            <w:sz w:val="18"/>
                          </w:rPr>
                          <w:t>Guatuso</w:t>
                        </w:r>
                      </w:p>
                    </w:txbxContent>
                  </v:textbox>
                  <w10:wrap type="none"/>
                </v:shape>
                <v:shape style="position:absolute;left:6407;top:4615;width:1293;height:742" type="#_x0000_t202" id="docshape59" filled="false" stroked="false">
                  <v:textbox inset="0,0,0,0">
                    <w:txbxContent>
                      <w:p>
                        <w:pPr>
                          <w:spacing w:line="201" w:lineRule="exact" w:before="0"/>
                          <w:ind w:left="0" w:right="18" w:firstLine="0"/>
                          <w:jc w:val="center"/>
                          <w:rPr>
                            <w:sz w:val="18"/>
                          </w:rPr>
                        </w:pPr>
                        <w:r>
                          <w:rPr>
                            <w:sz w:val="18"/>
                          </w:rPr>
                          <w:t>ARDS</w:t>
                        </w:r>
                        <w:r>
                          <w:rPr>
                            <w:spacing w:val="-3"/>
                            <w:sz w:val="18"/>
                          </w:rPr>
                          <w:t> </w:t>
                        </w:r>
                        <w:r>
                          <w:rPr>
                            <w:spacing w:val="-2"/>
                            <w:sz w:val="18"/>
                          </w:rPr>
                          <w:t>Suroeste</w:t>
                        </w:r>
                      </w:p>
                      <w:p>
                        <w:pPr>
                          <w:spacing w:before="49"/>
                          <w:ind w:left="0" w:right="58" w:firstLine="0"/>
                          <w:jc w:val="center"/>
                          <w:rPr>
                            <w:rFonts w:ascii="Calibri"/>
                            <w:sz w:val="18"/>
                          </w:rPr>
                        </w:pPr>
                        <w:r>
                          <w:rPr>
                            <w:rFonts w:ascii="Calibri"/>
                            <w:sz w:val="18"/>
                          </w:rPr>
                          <w:t>ULDS</w:t>
                        </w:r>
                        <w:r>
                          <w:rPr>
                            <w:rFonts w:ascii="Calibri"/>
                            <w:spacing w:val="-4"/>
                            <w:sz w:val="18"/>
                          </w:rPr>
                          <w:t> </w:t>
                        </w:r>
                        <w:r>
                          <w:rPr>
                            <w:rFonts w:ascii="Calibri"/>
                            <w:spacing w:val="-2"/>
                            <w:sz w:val="18"/>
                          </w:rPr>
                          <w:t>Pavas</w:t>
                        </w:r>
                      </w:p>
                      <w:p>
                        <w:pPr>
                          <w:spacing w:line="216" w:lineRule="exact" w:before="55"/>
                          <w:ind w:left="0" w:right="104" w:firstLine="0"/>
                          <w:jc w:val="center"/>
                          <w:rPr>
                            <w:rFonts w:ascii="Calibri"/>
                            <w:sz w:val="18"/>
                          </w:rPr>
                        </w:pPr>
                        <w:r>
                          <w:rPr>
                            <w:rFonts w:ascii="Calibri"/>
                            <w:sz w:val="18"/>
                          </w:rPr>
                          <w:t>ULDS</w:t>
                        </w:r>
                        <w:r>
                          <w:rPr>
                            <w:rFonts w:ascii="Calibri"/>
                            <w:spacing w:val="-5"/>
                            <w:sz w:val="18"/>
                          </w:rPr>
                          <w:t> </w:t>
                        </w:r>
                        <w:r>
                          <w:rPr>
                            <w:rFonts w:ascii="Calibri"/>
                            <w:spacing w:val="-2"/>
                            <w:sz w:val="18"/>
                          </w:rPr>
                          <w:t>Alajuelita</w:t>
                        </w:r>
                      </w:p>
                    </w:txbxContent>
                  </v:textbox>
                  <w10:wrap type="none"/>
                </v:shape>
                <w10:wrap type="topAndBottom"/>
              </v:group>
            </w:pict>
          </mc:Fallback>
        </mc:AlternateContent>
      </w:r>
    </w:p>
    <w:p>
      <w:pPr>
        <w:pStyle w:val="BodyText"/>
        <w:spacing w:before="35"/>
        <w:rPr>
          <w:b/>
        </w:rPr>
      </w:pPr>
    </w:p>
    <w:p>
      <w:pPr>
        <w:spacing w:before="0"/>
        <w:ind w:left="2030" w:right="0" w:firstLine="0"/>
        <w:jc w:val="left"/>
        <w:rPr>
          <w:b/>
          <w:sz w:val="18"/>
        </w:rPr>
      </w:pPr>
      <w:r>
        <w:rPr>
          <w:b/>
          <w:sz w:val="18"/>
        </w:rPr>
        <w:t>Fuente:</w:t>
      </w:r>
      <w:r>
        <w:rPr>
          <w:b/>
          <w:spacing w:val="-7"/>
          <w:sz w:val="18"/>
        </w:rPr>
        <w:t> </w:t>
      </w:r>
      <w:r>
        <w:rPr>
          <w:b/>
          <w:sz w:val="18"/>
        </w:rPr>
        <w:t>elaboración</w:t>
      </w:r>
      <w:r>
        <w:rPr>
          <w:b/>
          <w:spacing w:val="-4"/>
          <w:sz w:val="18"/>
        </w:rPr>
        <w:t> </w:t>
      </w:r>
      <w:r>
        <w:rPr>
          <w:b/>
          <w:sz w:val="18"/>
        </w:rPr>
        <w:t>propia</w:t>
      </w:r>
      <w:r>
        <w:rPr>
          <w:b/>
          <w:spacing w:val="-4"/>
          <w:sz w:val="18"/>
        </w:rPr>
        <w:t> </w:t>
      </w:r>
      <w:r>
        <w:rPr>
          <w:b/>
          <w:sz w:val="18"/>
        </w:rPr>
        <w:t>con</w:t>
      </w:r>
      <w:r>
        <w:rPr>
          <w:b/>
          <w:spacing w:val="-2"/>
          <w:sz w:val="18"/>
        </w:rPr>
        <w:t> </w:t>
      </w:r>
      <w:r>
        <w:rPr>
          <w:b/>
          <w:sz w:val="18"/>
        </w:rPr>
        <w:t>base</w:t>
      </w:r>
      <w:r>
        <w:rPr>
          <w:b/>
          <w:spacing w:val="-2"/>
          <w:sz w:val="18"/>
        </w:rPr>
        <w:t> </w:t>
      </w:r>
      <w:r>
        <w:rPr>
          <w:b/>
          <w:sz w:val="18"/>
        </w:rPr>
        <w:t>en</w:t>
      </w:r>
      <w:r>
        <w:rPr>
          <w:b/>
          <w:spacing w:val="-4"/>
          <w:sz w:val="18"/>
        </w:rPr>
        <w:t> </w:t>
      </w:r>
      <w:r>
        <w:rPr>
          <w:b/>
          <w:sz w:val="18"/>
        </w:rPr>
        <w:t>los</w:t>
      </w:r>
      <w:r>
        <w:rPr>
          <w:b/>
          <w:spacing w:val="-2"/>
          <w:sz w:val="18"/>
        </w:rPr>
        <w:t> </w:t>
      </w:r>
      <w:r>
        <w:rPr>
          <w:b/>
          <w:sz w:val="18"/>
        </w:rPr>
        <w:t>resultados</w:t>
      </w:r>
      <w:r>
        <w:rPr>
          <w:b/>
          <w:spacing w:val="-4"/>
          <w:sz w:val="18"/>
        </w:rPr>
        <w:t> </w:t>
      </w:r>
      <w:r>
        <w:rPr>
          <w:b/>
          <w:sz w:val="18"/>
        </w:rPr>
        <w:t>de</w:t>
      </w:r>
      <w:r>
        <w:rPr>
          <w:b/>
          <w:spacing w:val="-2"/>
          <w:sz w:val="18"/>
        </w:rPr>
        <w:t> </w:t>
      </w:r>
      <w:r>
        <w:rPr>
          <w:b/>
          <w:sz w:val="18"/>
        </w:rPr>
        <w:t>la</w:t>
      </w:r>
      <w:r>
        <w:rPr>
          <w:b/>
          <w:spacing w:val="-2"/>
          <w:sz w:val="18"/>
        </w:rPr>
        <w:t> </w:t>
      </w:r>
      <w:r>
        <w:rPr>
          <w:b/>
          <w:sz w:val="18"/>
        </w:rPr>
        <w:t>Autoevaluación</w:t>
      </w:r>
      <w:r>
        <w:rPr>
          <w:b/>
          <w:spacing w:val="-2"/>
          <w:sz w:val="18"/>
        </w:rPr>
        <w:t> 2026.</w:t>
      </w:r>
    </w:p>
    <w:p>
      <w:pPr>
        <w:pStyle w:val="BodyText"/>
        <w:spacing w:before="72"/>
        <w:rPr>
          <w:b/>
          <w:sz w:val="18"/>
        </w:rPr>
      </w:pPr>
    </w:p>
    <w:p>
      <w:pPr>
        <w:spacing w:before="0"/>
        <w:ind w:left="1625" w:right="1598" w:firstLine="0"/>
        <w:jc w:val="both"/>
        <w:rPr>
          <w:sz w:val="22"/>
        </w:rPr>
      </w:pPr>
      <w:r>
        <w:rPr>
          <w:sz w:val="22"/>
        </w:rPr>
        <w:t>En el proceso de Autoevaluación del Sistema de Control Interno correspondiente al período evaluado, participaron un total de </w:t>
      </w:r>
      <w:r>
        <w:rPr>
          <w:b/>
          <w:sz w:val="22"/>
        </w:rPr>
        <w:t>18 Unidades Locales de Desarrollo Social (ULDS)</w:t>
      </w:r>
      <w:r>
        <w:rPr>
          <w:b/>
          <w:spacing w:val="-13"/>
          <w:sz w:val="22"/>
        </w:rPr>
        <w:t> </w:t>
      </w:r>
      <w:r>
        <w:rPr>
          <w:sz w:val="22"/>
        </w:rPr>
        <w:t>pertenecientes</w:t>
      </w:r>
      <w:r>
        <w:rPr>
          <w:spacing w:val="-14"/>
          <w:sz w:val="22"/>
        </w:rPr>
        <w:t> </w:t>
      </w:r>
      <w:r>
        <w:rPr>
          <w:sz w:val="22"/>
        </w:rPr>
        <w:t>a</w:t>
      </w:r>
      <w:r>
        <w:rPr>
          <w:spacing w:val="-16"/>
          <w:sz w:val="22"/>
        </w:rPr>
        <w:t> </w:t>
      </w:r>
      <w:r>
        <w:rPr>
          <w:b/>
          <w:sz w:val="22"/>
        </w:rPr>
        <w:t>nueve</w:t>
      </w:r>
      <w:r>
        <w:rPr>
          <w:b/>
          <w:spacing w:val="-14"/>
          <w:sz w:val="22"/>
        </w:rPr>
        <w:t> </w:t>
      </w:r>
      <w:r>
        <w:rPr>
          <w:b/>
          <w:sz w:val="22"/>
        </w:rPr>
        <w:t>Áreas</w:t>
      </w:r>
      <w:r>
        <w:rPr>
          <w:b/>
          <w:spacing w:val="-15"/>
          <w:sz w:val="22"/>
        </w:rPr>
        <w:t> </w:t>
      </w:r>
      <w:r>
        <w:rPr>
          <w:b/>
          <w:sz w:val="22"/>
        </w:rPr>
        <w:t>Regionales</w:t>
      </w:r>
      <w:r>
        <w:rPr>
          <w:b/>
          <w:spacing w:val="-15"/>
          <w:sz w:val="22"/>
        </w:rPr>
        <w:t> </w:t>
      </w:r>
      <w:r>
        <w:rPr>
          <w:b/>
          <w:sz w:val="22"/>
        </w:rPr>
        <w:t>de</w:t>
      </w:r>
      <w:r>
        <w:rPr>
          <w:b/>
          <w:spacing w:val="-15"/>
          <w:sz w:val="22"/>
        </w:rPr>
        <w:t> </w:t>
      </w:r>
      <w:r>
        <w:rPr>
          <w:b/>
          <w:sz w:val="22"/>
        </w:rPr>
        <w:t>Desarrollo</w:t>
      </w:r>
      <w:r>
        <w:rPr>
          <w:b/>
          <w:spacing w:val="-15"/>
          <w:sz w:val="22"/>
        </w:rPr>
        <w:t> </w:t>
      </w:r>
      <w:r>
        <w:rPr>
          <w:b/>
          <w:sz w:val="22"/>
        </w:rPr>
        <w:t>Social</w:t>
      </w:r>
      <w:r>
        <w:rPr>
          <w:b/>
          <w:spacing w:val="-13"/>
          <w:sz w:val="22"/>
        </w:rPr>
        <w:t> </w:t>
      </w:r>
      <w:r>
        <w:rPr>
          <w:b/>
          <w:sz w:val="22"/>
        </w:rPr>
        <w:t>(ARDS)</w:t>
      </w:r>
      <w:r>
        <w:rPr>
          <w:sz w:val="22"/>
        </w:rPr>
        <w:t>,</w:t>
      </w:r>
      <w:r>
        <w:rPr>
          <w:spacing w:val="-13"/>
          <w:sz w:val="22"/>
        </w:rPr>
        <w:t> </w:t>
      </w:r>
      <w:r>
        <w:rPr>
          <w:sz w:val="22"/>
        </w:rPr>
        <w:t>lo</w:t>
      </w:r>
      <w:r>
        <w:rPr>
          <w:spacing w:val="-15"/>
          <w:sz w:val="22"/>
        </w:rPr>
        <w:t> </w:t>
      </w:r>
      <w:r>
        <w:rPr>
          <w:sz w:val="22"/>
        </w:rPr>
        <w:t>que permitió contar con una representación amplia de la gestión sustantiva desarrollada por la institución en los distintos territorios del país.</w:t>
      </w:r>
    </w:p>
    <w:p>
      <w:pPr>
        <w:spacing w:before="252"/>
        <w:ind w:left="1625" w:right="1602" w:firstLine="0"/>
        <w:jc w:val="both"/>
        <w:rPr>
          <w:sz w:val="22"/>
        </w:rPr>
      </w:pPr>
      <w:r>
        <w:rPr>
          <w:sz w:val="22"/>
        </w:rPr>
        <w:t>Como</w:t>
      </w:r>
      <w:r>
        <w:rPr>
          <w:spacing w:val="-12"/>
          <w:sz w:val="22"/>
        </w:rPr>
        <w:t> </w:t>
      </w:r>
      <w:r>
        <w:rPr>
          <w:sz w:val="22"/>
        </w:rPr>
        <w:t>parte</w:t>
      </w:r>
      <w:r>
        <w:rPr>
          <w:spacing w:val="-15"/>
          <w:sz w:val="22"/>
        </w:rPr>
        <w:t> </w:t>
      </w:r>
      <w:r>
        <w:rPr>
          <w:sz w:val="22"/>
        </w:rPr>
        <w:t>del</w:t>
      </w:r>
      <w:r>
        <w:rPr>
          <w:spacing w:val="-13"/>
          <w:sz w:val="22"/>
        </w:rPr>
        <w:t> </w:t>
      </w:r>
      <w:r>
        <w:rPr>
          <w:sz w:val="22"/>
        </w:rPr>
        <w:t>ejercicio</w:t>
      </w:r>
      <w:r>
        <w:rPr>
          <w:spacing w:val="-15"/>
          <w:sz w:val="22"/>
        </w:rPr>
        <w:t> </w:t>
      </w:r>
      <w:r>
        <w:rPr>
          <w:sz w:val="22"/>
        </w:rPr>
        <w:t>de</w:t>
      </w:r>
      <w:r>
        <w:rPr>
          <w:spacing w:val="-13"/>
          <w:sz w:val="22"/>
        </w:rPr>
        <w:t> </w:t>
      </w:r>
      <w:r>
        <w:rPr>
          <w:sz w:val="22"/>
        </w:rPr>
        <w:t>evaluación,</w:t>
      </w:r>
      <w:r>
        <w:rPr>
          <w:spacing w:val="-13"/>
          <w:sz w:val="22"/>
        </w:rPr>
        <w:t> </w:t>
      </w:r>
      <w:r>
        <w:rPr>
          <w:sz w:val="22"/>
        </w:rPr>
        <w:t>cada</w:t>
      </w:r>
      <w:r>
        <w:rPr>
          <w:spacing w:val="-15"/>
          <w:sz w:val="22"/>
        </w:rPr>
        <w:t> </w:t>
      </w:r>
      <w:r>
        <w:rPr>
          <w:sz w:val="22"/>
        </w:rPr>
        <w:t>una</w:t>
      </w:r>
      <w:r>
        <w:rPr>
          <w:spacing w:val="-15"/>
          <w:sz w:val="22"/>
        </w:rPr>
        <w:t> </w:t>
      </w:r>
      <w:r>
        <w:rPr>
          <w:sz w:val="22"/>
        </w:rPr>
        <w:t>de</w:t>
      </w:r>
      <w:r>
        <w:rPr>
          <w:spacing w:val="-13"/>
          <w:sz w:val="22"/>
        </w:rPr>
        <w:t> </w:t>
      </w:r>
      <w:r>
        <w:rPr>
          <w:sz w:val="22"/>
        </w:rPr>
        <w:t>las</w:t>
      </w:r>
      <w:r>
        <w:rPr>
          <w:spacing w:val="-12"/>
          <w:sz w:val="22"/>
        </w:rPr>
        <w:t> </w:t>
      </w:r>
      <w:r>
        <w:rPr>
          <w:sz w:val="22"/>
        </w:rPr>
        <w:t>instancias</w:t>
      </w:r>
      <w:r>
        <w:rPr>
          <w:spacing w:val="-12"/>
          <w:sz w:val="22"/>
        </w:rPr>
        <w:t> </w:t>
      </w:r>
      <w:r>
        <w:rPr>
          <w:sz w:val="22"/>
        </w:rPr>
        <w:t>participantes</w:t>
      </w:r>
      <w:r>
        <w:rPr>
          <w:spacing w:val="-14"/>
          <w:sz w:val="22"/>
        </w:rPr>
        <w:t> </w:t>
      </w:r>
      <w:r>
        <w:rPr>
          <w:sz w:val="22"/>
        </w:rPr>
        <w:t>completó un</w:t>
      </w:r>
      <w:r>
        <w:rPr>
          <w:spacing w:val="-16"/>
          <w:sz w:val="22"/>
        </w:rPr>
        <w:t> </w:t>
      </w:r>
      <w:r>
        <w:rPr>
          <w:sz w:val="22"/>
        </w:rPr>
        <w:t>cuestionario</w:t>
      </w:r>
      <w:r>
        <w:rPr>
          <w:spacing w:val="-15"/>
          <w:sz w:val="22"/>
        </w:rPr>
        <w:t> </w:t>
      </w:r>
      <w:r>
        <w:rPr>
          <w:sz w:val="22"/>
        </w:rPr>
        <w:t>estructurado</w:t>
      </w:r>
      <w:r>
        <w:rPr>
          <w:spacing w:val="-15"/>
          <w:sz w:val="22"/>
        </w:rPr>
        <w:t> </w:t>
      </w:r>
      <w:r>
        <w:rPr>
          <w:sz w:val="22"/>
        </w:rPr>
        <w:t>de</w:t>
      </w:r>
      <w:r>
        <w:rPr>
          <w:spacing w:val="-16"/>
          <w:sz w:val="22"/>
        </w:rPr>
        <w:t> </w:t>
      </w:r>
      <w:r>
        <w:rPr>
          <w:sz w:val="22"/>
        </w:rPr>
        <w:t>ocho</w:t>
      </w:r>
      <w:r>
        <w:rPr>
          <w:spacing w:val="-15"/>
          <w:sz w:val="22"/>
        </w:rPr>
        <w:t> </w:t>
      </w:r>
      <w:r>
        <w:rPr>
          <w:sz w:val="22"/>
        </w:rPr>
        <w:t>preguntas,</w:t>
      </w:r>
      <w:r>
        <w:rPr>
          <w:spacing w:val="-15"/>
          <w:sz w:val="22"/>
        </w:rPr>
        <w:t> </w:t>
      </w:r>
      <w:r>
        <w:rPr>
          <w:sz w:val="22"/>
        </w:rPr>
        <w:t>orientadas</w:t>
      </w:r>
      <w:r>
        <w:rPr>
          <w:spacing w:val="-15"/>
          <w:sz w:val="22"/>
        </w:rPr>
        <w:t> </w:t>
      </w:r>
      <w:r>
        <w:rPr>
          <w:sz w:val="22"/>
        </w:rPr>
        <w:t>a</w:t>
      </w:r>
      <w:r>
        <w:rPr>
          <w:spacing w:val="-16"/>
          <w:sz w:val="22"/>
        </w:rPr>
        <w:t> </w:t>
      </w:r>
      <w:r>
        <w:rPr>
          <w:sz w:val="22"/>
        </w:rPr>
        <w:t>valorar</w:t>
      </w:r>
      <w:r>
        <w:rPr>
          <w:spacing w:val="-15"/>
          <w:sz w:val="22"/>
        </w:rPr>
        <w:t> </w:t>
      </w:r>
      <w:r>
        <w:rPr>
          <w:sz w:val="22"/>
        </w:rPr>
        <w:t>el</w:t>
      </w:r>
      <w:r>
        <w:rPr>
          <w:spacing w:val="-15"/>
          <w:sz w:val="22"/>
        </w:rPr>
        <w:t> </w:t>
      </w:r>
      <w:r>
        <w:rPr>
          <w:sz w:val="22"/>
        </w:rPr>
        <w:t>nivel</w:t>
      </w:r>
      <w:r>
        <w:rPr>
          <w:spacing w:val="-16"/>
          <w:sz w:val="22"/>
        </w:rPr>
        <w:t> </w:t>
      </w:r>
      <w:r>
        <w:rPr>
          <w:sz w:val="22"/>
        </w:rPr>
        <w:t>de</w:t>
      </w:r>
      <w:r>
        <w:rPr>
          <w:spacing w:val="-15"/>
          <w:sz w:val="22"/>
        </w:rPr>
        <w:t> </w:t>
      </w:r>
      <w:r>
        <w:rPr>
          <w:sz w:val="22"/>
        </w:rPr>
        <w:t>desarrollo y fortalecimiento de los diferentes componentes funcionales del Sistema de Control Interno. En total, se</w:t>
      </w:r>
      <w:r>
        <w:rPr>
          <w:spacing w:val="-1"/>
          <w:sz w:val="22"/>
        </w:rPr>
        <w:t> </w:t>
      </w:r>
      <w:r>
        <w:rPr>
          <w:sz w:val="22"/>
        </w:rPr>
        <w:t>analizaron </w:t>
      </w:r>
      <w:r>
        <w:rPr>
          <w:b/>
          <w:sz w:val="22"/>
        </w:rPr>
        <w:t>144</w:t>
      </w:r>
      <w:r>
        <w:rPr>
          <w:b/>
          <w:spacing w:val="-1"/>
          <w:sz w:val="22"/>
        </w:rPr>
        <w:t> </w:t>
      </w:r>
      <w:r>
        <w:rPr>
          <w:b/>
          <w:sz w:val="22"/>
        </w:rPr>
        <w:t>respuestas</w:t>
      </w:r>
      <w:r>
        <w:rPr>
          <w:sz w:val="22"/>
        </w:rPr>
        <w:t>, las cuales fueron clasificadas conforme a los cinco componentes establecidos en la normativa vigente: </w:t>
      </w:r>
      <w:r>
        <w:rPr>
          <w:b/>
          <w:sz w:val="22"/>
        </w:rPr>
        <w:t>Ambiente de Control, Actividades de Control, Valoración del Riesgo, Sistemas de Información y </w:t>
      </w:r>
      <w:r>
        <w:rPr>
          <w:b/>
          <w:spacing w:val="-2"/>
          <w:sz w:val="22"/>
        </w:rPr>
        <w:t>Seguimiento</w:t>
      </w:r>
      <w:r>
        <w:rPr>
          <w:spacing w:val="-2"/>
          <w:sz w:val="22"/>
        </w:rPr>
        <w:t>.</w:t>
      </w:r>
    </w:p>
    <w:p>
      <w:pPr>
        <w:pStyle w:val="BodyText"/>
      </w:pPr>
    </w:p>
    <w:p>
      <w:pPr>
        <w:pStyle w:val="BodyText"/>
        <w:ind w:left="1625" w:right="1601"/>
        <w:jc w:val="both"/>
      </w:pPr>
      <w:r>
        <w:rPr/>
        <w:t>Asimismo, para el proceso correspondiente al año 2026, la Gerencia General otorgó su aval</w:t>
      </w:r>
      <w:r>
        <w:rPr>
          <w:spacing w:val="-16"/>
        </w:rPr>
        <w:t> </w:t>
      </w:r>
      <w:r>
        <w:rPr/>
        <w:t>para</w:t>
      </w:r>
      <w:r>
        <w:rPr>
          <w:spacing w:val="-15"/>
        </w:rPr>
        <w:t> </w:t>
      </w:r>
      <w:r>
        <w:rPr/>
        <w:t>incorporar</w:t>
      </w:r>
      <w:r>
        <w:rPr>
          <w:spacing w:val="-15"/>
        </w:rPr>
        <w:t> </w:t>
      </w:r>
      <w:r>
        <w:rPr/>
        <w:t>la</w:t>
      </w:r>
      <w:r>
        <w:rPr>
          <w:spacing w:val="-16"/>
        </w:rPr>
        <w:t> </w:t>
      </w:r>
      <w:r>
        <w:rPr/>
        <w:t>participación</w:t>
      </w:r>
      <w:r>
        <w:rPr>
          <w:spacing w:val="-15"/>
        </w:rPr>
        <w:t> </w:t>
      </w:r>
      <w:r>
        <w:rPr/>
        <w:t>de</w:t>
      </w:r>
      <w:r>
        <w:rPr>
          <w:spacing w:val="-15"/>
        </w:rPr>
        <w:t> </w:t>
      </w:r>
      <w:r>
        <w:rPr/>
        <w:t>la</w:t>
      </w:r>
      <w:r>
        <w:rPr>
          <w:spacing w:val="-15"/>
        </w:rPr>
        <w:t> </w:t>
      </w:r>
      <w:r>
        <w:rPr/>
        <w:t>Unidad</w:t>
      </w:r>
      <w:r>
        <w:rPr>
          <w:spacing w:val="-16"/>
        </w:rPr>
        <w:t> </w:t>
      </w:r>
      <w:r>
        <w:rPr/>
        <w:t>de</w:t>
      </w:r>
      <w:r>
        <w:rPr>
          <w:spacing w:val="-15"/>
        </w:rPr>
        <w:t> </w:t>
      </w:r>
      <w:r>
        <w:rPr/>
        <w:t>Contabilidad</w:t>
      </w:r>
      <w:r>
        <w:rPr>
          <w:spacing w:val="-15"/>
        </w:rPr>
        <w:t> </w:t>
      </w:r>
      <w:r>
        <w:rPr/>
        <w:t>y</w:t>
      </w:r>
      <w:r>
        <w:rPr>
          <w:spacing w:val="-16"/>
        </w:rPr>
        <w:t> </w:t>
      </w:r>
      <w:r>
        <w:rPr/>
        <w:t>de</w:t>
      </w:r>
      <w:r>
        <w:rPr>
          <w:spacing w:val="-15"/>
        </w:rPr>
        <w:t> </w:t>
      </w:r>
      <w:r>
        <w:rPr/>
        <w:t>la</w:t>
      </w:r>
      <w:r>
        <w:rPr>
          <w:spacing w:val="-15"/>
        </w:rPr>
        <w:t> </w:t>
      </w:r>
      <w:r>
        <w:rPr/>
        <w:t>Auditoría</w:t>
      </w:r>
      <w:r>
        <w:rPr>
          <w:spacing w:val="-15"/>
        </w:rPr>
        <w:t> </w:t>
      </w:r>
      <w:r>
        <w:rPr/>
        <w:t>Interna, ampliando de esta manera el alcance de la autoevaluación y fortaleciendo la visión integral</w:t>
      </w:r>
      <w:r>
        <w:rPr>
          <w:spacing w:val="-4"/>
        </w:rPr>
        <w:t> </w:t>
      </w:r>
      <w:r>
        <w:rPr/>
        <w:t>del</w:t>
      </w:r>
      <w:r>
        <w:rPr>
          <w:spacing w:val="-6"/>
        </w:rPr>
        <w:t> </w:t>
      </w:r>
      <w:r>
        <w:rPr/>
        <w:t>Sistema</w:t>
      </w:r>
      <w:r>
        <w:rPr>
          <w:spacing w:val="-5"/>
        </w:rPr>
        <w:t> </w:t>
      </w:r>
      <w:r>
        <w:rPr/>
        <w:t>de</w:t>
      </w:r>
      <w:r>
        <w:rPr>
          <w:spacing w:val="-5"/>
        </w:rPr>
        <w:t> </w:t>
      </w:r>
      <w:r>
        <w:rPr/>
        <w:t>Control</w:t>
      </w:r>
      <w:r>
        <w:rPr>
          <w:spacing w:val="-6"/>
        </w:rPr>
        <w:t> </w:t>
      </w:r>
      <w:r>
        <w:rPr/>
        <w:t>Interno</w:t>
      </w:r>
      <w:r>
        <w:rPr>
          <w:spacing w:val="-7"/>
        </w:rPr>
        <w:t> </w:t>
      </w:r>
      <w:r>
        <w:rPr/>
        <w:t>Institucional.</w:t>
      </w:r>
      <w:r>
        <w:rPr>
          <w:spacing w:val="-1"/>
        </w:rPr>
        <w:t> </w:t>
      </w:r>
      <w:r>
        <w:rPr/>
        <w:t>La</w:t>
      </w:r>
      <w:r>
        <w:rPr>
          <w:spacing w:val="-5"/>
        </w:rPr>
        <w:t> </w:t>
      </w:r>
      <w:r>
        <w:rPr/>
        <w:t>incorporación</w:t>
      </w:r>
      <w:r>
        <w:rPr>
          <w:spacing w:val="-5"/>
        </w:rPr>
        <w:t> </w:t>
      </w:r>
      <w:r>
        <w:rPr/>
        <w:t>de</w:t>
      </w:r>
      <w:r>
        <w:rPr>
          <w:spacing w:val="-5"/>
        </w:rPr>
        <w:t> </w:t>
      </w:r>
      <w:r>
        <w:rPr/>
        <w:t>estas</w:t>
      </w:r>
      <w:r>
        <w:rPr>
          <w:spacing w:val="-5"/>
        </w:rPr>
        <w:t> </w:t>
      </w:r>
      <w:r>
        <w:rPr/>
        <w:t>instancias permitió</w:t>
      </w:r>
      <w:r>
        <w:rPr>
          <w:spacing w:val="-7"/>
        </w:rPr>
        <w:t> </w:t>
      </w:r>
      <w:r>
        <w:rPr/>
        <w:t>enriquecer</w:t>
      </w:r>
      <w:r>
        <w:rPr>
          <w:spacing w:val="-6"/>
        </w:rPr>
        <w:t> </w:t>
      </w:r>
      <w:r>
        <w:rPr/>
        <w:t>el</w:t>
      </w:r>
      <w:r>
        <w:rPr>
          <w:spacing w:val="-8"/>
        </w:rPr>
        <w:t> </w:t>
      </w:r>
      <w:r>
        <w:rPr/>
        <w:t>análisis</w:t>
      </w:r>
      <w:r>
        <w:rPr>
          <w:spacing w:val="-7"/>
        </w:rPr>
        <w:t> </w:t>
      </w:r>
      <w:r>
        <w:rPr/>
        <w:t>de</w:t>
      </w:r>
      <w:r>
        <w:rPr>
          <w:spacing w:val="-8"/>
        </w:rPr>
        <w:t> </w:t>
      </w:r>
      <w:r>
        <w:rPr/>
        <w:t>los</w:t>
      </w:r>
      <w:r>
        <w:rPr>
          <w:spacing w:val="-7"/>
        </w:rPr>
        <w:t> </w:t>
      </w:r>
      <w:r>
        <w:rPr/>
        <w:t>mecanismos</w:t>
      </w:r>
      <w:r>
        <w:rPr>
          <w:spacing w:val="-10"/>
        </w:rPr>
        <w:t> </w:t>
      </w:r>
      <w:r>
        <w:rPr/>
        <w:t>de</w:t>
      </w:r>
      <w:r>
        <w:rPr>
          <w:spacing w:val="-8"/>
        </w:rPr>
        <w:t> </w:t>
      </w:r>
      <w:r>
        <w:rPr/>
        <w:t>control</w:t>
      </w:r>
      <w:r>
        <w:rPr>
          <w:spacing w:val="-8"/>
        </w:rPr>
        <w:t> </w:t>
      </w:r>
      <w:r>
        <w:rPr/>
        <w:t>existentes</w:t>
      </w:r>
      <w:r>
        <w:rPr>
          <w:spacing w:val="-7"/>
        </w:rPr>
        <w:t> </w:t>
      </w:r>
      <w:r>
        <w:rPr/>
        <w:t>y</w:t>
      </w:r>
      <w:r>
        <w:rPr>
          <w:spacing w:val="-7"/>
        </w:rPr>
        <w:t> </w:t>
      </w:r>
      <w:r>
        <w:rPr/>
        <w:t>generar</w:t>
      </w:r>
      <w:r>
        <w:rPr>
          <w:spacing w:val="-6"/>
        </w:rPr>
        <w:t> </w:t>
      </w:r>
      <w:r>
        <w:rPr/>
        <w:t>nuevos insumos para la identificación de oportunidades de mejora a nivel organizacional.</w:t>
      </w:r>
    </w:p>
    <w:p>
      <w:pPr>
        <w:pStyle w:val="BodyText"/>
        <w:spacing w:after="0"/>
        <w:jc w:val="both"/>
        <w:sectPr>
          <w:pgSz w:w="12240" w:h="15840"/>
          <w:pgMar w:header="0" w:footer="1576" w:top="1820" w:bottom="1760" w:left="360" w:right="0"/>
        </w:sectPr>
      </w:pPr>
    </w:p>
    <w:p>
      <w:pPr>
        <w:pStyle w:val="BodyText"/>
        <w:spacing w:before="69"/>
        <w:ind w:left="1625" w:right="1605"/>
        <w:jc w:val="both"/>
      </w:pPr>
      <w:r>
        <w:rPr/>
        <w:t>Los cuestionarios aplicados fueron completados mediante la plataforma informática Synergy, herramienta que facilitó la recopilación, sistematización y análisis de la información obtenida. A partir de los resultados generados, se identificaron distintos niveles de madurez en la implementación de los componentes de Control Interno.</w:t>
      </w:r>
    </w:p>
    <w:p>
      <w:pPr>
        <w:pStyle w:val="BodyText"/>
        <w:spacing w:before="2"/>
        <w:ind w:left="1625" w:right="1606"/>
        <w:jc w:val="both"/>
      </w:pPr>
      <w:r>
        <w:rPr/>
        <w:t>Particularmente, aquellas prácticas ubicadas en las categorías de cumplimiento </w:t>
      </w:r>
      <w:r>
        <w:rPr>
          <w:b/>
        </w:rPr>
        <w:t>"Incipiente" </w:t>
      </w:r>
      <w:r>
        <w:rPr/>
        <w:t>y </w:t>
      </w:r>
      <w:r>
        <w:rPr>
          <w:b/>
        </w:rPr>
        <w:t>"Repetible pero Intuitivo" </w:t>
      </w:r>
      <w:r>
        <w:rPr/>
        <w:t>fueron objeto de análisis por parte de las instancias participantes, las cuales formularon e incorporaron actividades y acciones de mejora orientadas a fortalecer los controles existentes, estandarizar procedimientos y avanzar hacia niveles superiores de desarrollo institucional.</w:t>
      </w:r>
    </w:p>
    <w:p>
      <w:pPr>
        <w:pStyle w:val="BodyText"/>
        <w:spacing w:before="252"/>
        <w:ind w:left="1625" w:right="1606"/>
        <w:jc w:val="both"/>
      </w:pPr>
      <w:r>
        <w:rPr/>
        <w:t>Este ejercicio permitió no solo valorar el estado actual del Sistema de Control Interno, sino también generar una hoja de ruta para la mejora continua de los procesos institucionales, promoviendo una gestión más eficiente, transparente y orientada a </w:t>
      </w:r>
      <w:r>
        <w:rPr>
          <w:spacing w:val="-2"/>
        </w:rPr>
        <w:t>resultados.</w:t>
      </w:r>
    </w:p>
    <w:p>
      <w:pPr>
        <w:pStyle w:val="BodyText"/>
      </w:pPr>
    </w:p>
    <w:p>
      <w:pPr>
        <w:pStyle w:val="BodyText"/>
        <w:ind w:left="1625" w:right="1604"/>
        <w:jc w:val="both"/>
      </w:pPr>
      <w:r>
        <w:rPr/>
        <w:t>De esta manera, la autoevaluación se consolida como una herramienta estratégica para fortalecer la capacidad institucional, impulsar una cultura de autocontrol y contribuir al cumplimiento de los objetivos institucionales en beneficio de la población usuaria de los programas y servicios del IMAS.</w:t>
      </w:r>
    </w:p>
    <w:p>
      <w:pPr>
        <w:pStyle w:val="BodyText"/>
      </w:pPr>
    </w:p>
    <w:p>
      <w:pPr>
        <w:pStyle w:val="Heading3"/>
        <w:numPr>
          <w:ilvl w:val="2"/>
          <w:numId w:val="5"/>
        </w:numPr>
        <w:tabs>
          <w:tab w:pos="2224" w:val="left" w:leader="none"/>
        </w:tabs>
        <w:spacing w:line="240" w:lineRule="auto" w:before="0" w:after="0"/>
        <w:ind w:left="2224" w:right="0" w:hanging="599"/>
        <w:jc w:val="left"/>
      </w:pPr>
      <w:r>
        <w:rPr/>
        <w:t>Sistema</w:t>
      </w:r>
      <w:r>
        <w:rPr>
          <w:spacing w:val="-7"/>
        </w:rPr>
        <w:t> </w:t>
      </w:r>
      <w:r>
        <w:rPr/>
        <w:t>Específico</w:t>
      </w:r>
      <w:r>
        <w:rPr>
          <w:spacing w:val="-4"/>
        </w:rPr>
        <w:t> </w:t>
      </w:r>
      <w:r>
        <w:rPr/>
        <w:t>de</w:t>
      </w:r>
      <w:r>
        <w:rPr>
          <w:spacing w:val="-5"/>
        </w:rPr>
        <w:t> </w:t>
      </w:r>
      <w:r>
        <w:rPr/>
        <w:t>Valoración</w:t>
      </w:r>
      <w:r>
        <w:rPr>
          <w:spacing w:val="-4"/>
        </w:rPr>
        <w:t> </w:t>
      </w:r>
      <w:r>
        <w:rPr/>
        <w:t>de</w:t>
      </w:r>
      <w:r>
        <w:rPr>
          <w:spacing w:val="-7"/>
        </w:rPr>
        <w:t> </w:t>
      </w:r>
      <w:r>
        <w:rPr/>
        <w:t>Riesgos</w:t>
      </w:r>
      <w:r>
        <w:rPr>
          <w:spacing w:val="-3"/>
        </w:rPr>
        <w:t> </w:t>
      </w:r>
      <w:r>
        <w:rPr>
          <w:spacing w:val="-2"/>
        </w:rPr>
        <w:t>(SEVR).</w:t>
      </w:r>
    </w:p>
    <w:p>
      <w:pPr>
        <w:spacing w:before="255"/>
        <w:ind w:left="1625" w:right="0" w:firstLine="0"/>
        <w:jc w:val="both"/>
        <w:rPr>
          <w:b/>
          <w:sz w:val="24"/>
        </w:rPr>
      </w:pPr>
      <w:r>
        <w:rPr>
          <w:b/>
          <w:sz w:val="24"/>
        </w:rPr>
        <w:t>Riesgos</w:t>
      </w:r>
      <w:r>
        <w:rPr>
          <w:b/>
          <w:spacing w:val="-4"/>
          <w:sz w:val="24"/>
        </w:rPr>
        <w:t> </w:t>
      </w:r>
      <w:r>
        <w:rPr>
          <w:b/>
          <w:sz w:val="24"/>
        </w:rPr>
        <w:t>Ejes</w:t>
      </w:r>
      <w:r>
        <w:rPr>
          <w:b/>
          <w:spacing w:val="-4"/>
          <w:sz w:val="24"/>
        </w:rPr>
        <w:t> </w:t>
      </w:r>
      <w:r>
        <w:rPr>
          <w:b/>
          <w:spacing w:val="-2"/>
          <w:sz w:val="24"/>
        </w:rPr>
        <w:t>Estratégicos</w:t>
      </w:r>
    </w:p>
    <w:p>
      <w:pPr>
        <w:pStyle w:val="BodyText"/>
        <w:spacing w:before="251"/>
        <w:ind w:left="1625" w:right="1600"/>
        <w:jc w:val="both"/>
      </w:pPr>
      <w:r>
        <w:rPr/>
        <w:t>Los objetivos estratégicos orientan las acciones institucionales hacia el desarrollo y la generación de valor público, mediante la priorización de resultados medibles y sostenibles. Su cumplimiento requiere la identificación y gestión oportuna de los riesgos que puedan afectar el logro de cada uno de los objetivos y metas institucionales. Asimismo,</w:t>
      </w:r>
      <w:r>
        <w:rPr>
          <w:spacing w:val="-8"/>
        </w:rPr>
        <w:t> </w:t>
      </w:r>
      <w:r>
        <w:rPr/>
        <w:t>la</w:t>
      </w:r>
      <w:r>
        <w:rPr>
          <w:spacing w:val="-9"/>
        </w:rPr>
        <w:t> </w:t>
      </w:r>
      <w:r>
        <w:rPr/>
        <w:t>articulación</w:t>
      </w:r>
      <w:r>
        <w:rPr>
          <w:spacing w:val="-9"/>
        </w:rPr>
        <w:t> </w:t>
      </w:r>
      <w:r>
        <w:rPr/>
        <w:t>entre</w:t>
      </w:r>
      <w:r>
        <w:rPr>
          <w:spacing w:val="-9"/>
        </w:rPr>
        <w:t> </w:t>
      </w:r>
      <w:r>
        <w:rPr/>
        <w:t>la</w:t>
      </w:r>
      <w:r>
        <w:rPr>
          <w:spacing w:val="-9"/>
        </w:rPr>
        <w:t> </w:t>
      </w:r>
      <w:r>
        <w:rPr/>
        <w:t>planificación</w:t>
      </w:r>
      <w:r>
        <w:rPr>
          <w:spacing w:val="-9"/>
        </w:rPr>
        <w:t> </w:t>
      </w:r>
      <w:r>
        <w:rPr/>
        <w:t>y</w:t>
      </w:r>
      <w:r>
        <w:rPr>
          <w:spacing w:val="-8"/>
        </w:rPr>
        <w:t> </w:t>
      </w:r>
      <w:r>
        <w:rPr/>
        <w:t>la</w:t>
      </w:r>
      <w:r>
        <w:rPr>
          <w:spacing w:val="-9"/>
        </w:rPr>
        <w:t> </w:t>
      </w:r>
      <w:r>
        <w:rPr/>
        <w:t>gestión</w:t>
      </w:r>
      <w:r>
        <w:rPr>
          <w:spacing w:val="-9"/>
        </w:rPr>
        <w:t> </w:t>
      </w:r>
      <w:r>
        <w:rPr/>
        <w:t>de</w:t>
      </w:r>
      <w:r>
        <w:rPr>
          <w:spacing w:val="-9"/>
        </w:rPr>
        <w:t> </w:t>
      </w:r>
      <w:r>
        <w:rPr/>
        <w:t>riesgos</w:t>
      </w:r>
      <w:r>
        <w:rPr>
          <w:spacing w:val="-11"/>
        </w:rPr>
        <w:t> </w:t>
      </w:r>
      <w:r>
        <w:rPr/>
        <w:t>fortalece</w:t>
      </w:r>
      <w:r>
        <w:rPr>
          <w:spacing w:val="-9"/>
        </w:rPr>
        <w:t> </w:t>
      </w:r>
      <w:r>
        <w:rPr/>
        <w:t>la</w:t>
      </w:r>
      <w:r>
        <w:rPr>
          <w:spacing w:val="-9"/>
        </w:rPr>
        <w:t> </w:t>
      </w:r>
      <w:r>
        <w:rPr/>
        <w:t>toma</w:t>
      </w:r>
      <w:r>
        <w:rPr>
          <w:spacing w:val="-8"/>
        </w:rPr>
        <w:t> </w:t>
      </w:r>
      <w:r>
        <w:rPr/>
        <w:t>de decisiones</w:t>
      </w:r>
      <w:r>
        <w:rPr>
          <w:spacing w:val="-2"/>
        </w:rPr>
        <w:t> </w:t>
      </w:r>
      <w:r>
        <w:rPr/>
        <w:t>basada</w:t>
      </w:r>
      <w:r>
        <w:rPr>
          <w:spacing w:val="-2"/>
        </w:rPr>
        <w:t> </w:t>
      </w:r>
      <w:r>
        <w:rPr/>
        <w:t>en</w:t>
      </w:r>
      <w:r>
        <w:rPr>
          <w:spacing w:val="-4"/>
        </w:rPr>
        <w:t> </w:t>
      </w:r>
      <w:r>
        <w:rPr/>
        <w:t>evidencia</w:t>
      </w:r>
      <w:r>
        <w:rPr>
          <w:spacing w:val="-2"/>
        </w:rPr>
        <w:t> </w:t>
      </w:r>
      <w:r>
        <w:rPr/>
        <w:t>y</w:t>
      </w:r>
      <w:r>
        <w:rPr>
          <w:spacing w:val="-1"/>
        </w:rPr>
        <w:t> </w:t>
      </w:r>
      <w:r>
        <w:rPr/>
        <w:t>contribuye</w:t>
      </w:r>
      <w:r>
        <w:rPr>
          <w:spacing w:val="-2"/>
        </w:rPr>
        <w:t> </w:t>
      </w:r>
      <w:r>
        <w:rPr/>
        <w:t>a</w:t>
      </w:r>
      <w:r>
        <w:rPr>
          <w:spacing w:val="-4"/>
        </w:rPr>
        <w:t> </w:t>
      </w:r>
      <w:r>
        <w:rPr/>
        <w:t>mejorar</w:t>
      </w:r>
      <w:r>
        <w:rPr>
          <w:spacing w:val="-1"/>
        </w:rPr>
        <w:t> </w:t>
      </w:r>
      <w:r>
        <w:rPr/>
        <w:t>el</w:t>
      </w:r>
      <w:r>
        <w:rPr>
          <w:spacing w:val="-3"/>
        </w:rPr>
        <w:t> </w:t>
      </w:r>
      <w:r>
        <w:rPr/>
        <w:t>impacto</w:t>
      </w:r>
      <w:r>
        <w:rPr>
          <w:spacing w:val="-4"/>
        </w:rPr>
        <w:t> </w:t>
      </w:r>
      <w:r>
        <w:rPr/>
        <w:t>de</w:t>
      </w:r>
      <w:r>
        <w:rPr>
          <w:spacing w:val="-2"/>
        </w:rPr>
        <w:t> </w:t>
      </w:r>
      <w:r>
        <w:rPr/>
        <w:t>los</w:t>
      </w:r>
      <w:r>
        <w:rPr>
          <w:spacing w:val="-4"/>
        </w:rPr>
        <w:t> </w:t>
      </w:r>
      <w:r>
        <w:rPr/>
        <w:t>servicios</w:t>
      </w:r>
      <w:r>
        <w:rPr>
          <w:spacing w:val="-2"/>
        </w:rPr>
        <w:t> </w:t>
      </w:r>
      <w:r>
        <w:rPr/>
        <w:t>que</w:t>
      </w:r>
      <w:r>
        <w:rPr>
          <w:spacing w:val="-2"/>
        </w:rPr>
        <w:t> </w:t>
      </w:r>
      <w:r>
        <w:rPr/>
        <w:t>el IMAS brinda a la ciudadanía.</w:t>
      </w:r>
    </w:p>
    <w:p>
      <w:pPr>
        <w:pStyle w:val="BodyText"/>
      </w:pPr>
    </w:p>
    <w:p>
      <w:pPr>
        <w:pStyle w:val="BodyText"/>
        <w:ind w:left="1625" w:right="1602"/>
        <w:jc w:val="both"/>
      </w:pPr>
      <w:r>
        <w:rPr/>
        <w:t>En</w:t>
      </w:r>
      <w:r>
        <w:rPr>
          <w:spacing w:val="-15"/>
        </w:rPr>
        <w:t> </w:t>
      </w:r>
      <w:r>
        <w:rPr/>
        <w:t>este</w:t>
      </w:r>
      <w:r>
        <w:rPr>
          <w:spacing w:val="-14"/>
        </w:rPr>
        <w:t> </w:t>
      </w:r>
      <w:r>
        <w:rPr/>
        <w:t>contexto,</w:t>
      </w:r>
      <w:r>
        <w:rPr>
          <w:spacing w:val="-13"/>
        </w:rPr>
        <w:t> </w:t>
      </w:r>
      <w:r>
        <w:rPr/>
        <w:t>los</w:t>
      </w:r>
      <w:r>
        <w:rPr>
          <w:spacing w:val="-14"/>
        </w:rPr>
        <w:t> </w:t>
      </w:r>
      <w:r>
        <w:rPr/>
        <w:t>ejes</w:t>
      </w:r>
      <w:r>
        <w:rPr>
          <w:spacing w:val="-14"/>
        </w:rPr>
        <w:t> </w:t>
      </w:r>
      <w:r>
        <w:rPr/>
        <w:t>estratégicos</w:t>
      </w:r>
      <w:r>
        <w:rPr>
          <w:spacing w:val="-14"/>
        </w:rPr>
        <w:t> </w:t>
      </w:r>
      <w:r>
        <w:rPr/>
        <w:t>constituyen</w:t>
      </w:r>
      <w:r>
        <w:rPr>
          <w:spacing w:val="-15"/>
        </w:rPr>
        <w:t> </w:t>
      </w:r>
      <w:r>
        <w:rPr/>
        <w:t>los</w:t>
      </w:r>
      <w:r>
        <w:rPr>
          <w:spacing w:val="-14"/>
        </w:rPr>
        <w:t> </w:t>
      </w:r>
      <w:r>
        <w:rPr/>
        <w:t>pilares</w:t>
      </w:r>
      <w:r>
        <w:rPr>
          <w:spacing w:val="-14"/>
        </w:rPr>
        <w:t> </w:t>
      </w:r>
      <w:r>
        <w:rPr/>
        <w:t>que</w:t>
      </w:r>
      <w:r>
        <w:rPr>
          <w:spacing w:val="-15"/>
        </w:rPr>
        <w:t> </w:t>
      </w:r>
      <w:r>
        <w:rPr/>
        <w:t>vinculan</w:t>
      </w:r>
      <w:r>
        <w:rPr>
          <w:spacing w:val="-15"/>
        </w:rPr>
        <w:t> </w:t>
      </w:r>
      <w:r>
        <w:rPr/>
        <w:t>la</w:t>
      </w:r>
      <w:r>
        <w:rPr>
          <w:spacing w:val="-15"/>
        </w:rPr>
        <w:t> </w:t>
      </w:r>
      <w:r>
        <w:rPr/>
        <w:t>planificación estratégica con la gestión operativa. Por ello, se identificaron los riesgos asociados al cumplimiento de los objetivos estratégicos definidos para cada uno de los seis ejes </w:t>
      </w:r>
      <w:r>
        <w:rPr>
          <w:spacing w:val="-2"/>
        </w:rPr>
        <w:t>institucionales.</w:t>
      </w:r>
    </w:p>
    <w:p>
      <w:pPr>
        <w:pStyle w:val="BodyText"/>
      </w:pPr>
    </w:p>
    <w:p>
      <w:pPr>
        <w:pStyle w:val="Heading5"/>
        <w:jc w:val="both"/>
      </w:pPr>
      <w:r>
        <w:rPr/>
        <w:t>Eje</w:t>
      </w:r>
      <w:r>
        <w:rPr>
          <w:spacing w:val="-6"/>
        </w:rPr>
        <w:t> </w:t>
      </w:r>
      <w:r>
        <w:rPr/>
        <w:t>estratégico</w:t>
      </w:r>
      <w:r>
        <w:rPr>
          <w:spacing w:val="-4"/>
        </w:rPr>
        <w:t> </w:t>
      </w:r>
      <w:r>
        <w:rPr/>
        <w:t>1:</w:t>
      </w:r>
      <w:r>
        <w:rPr>
          <w:spacing w:val="-5"/>
        </w:rPr>
        <w:t> </w:t>
      </w:r>
      <w:r>
        <w:rPr/>
        <w:t>Gestión</w:t>
      </w:r>
      <w:r>
        <w:rPr>
          <w:spacing w:val="-4"/>
        </w:rPr>
        <w:t> </w:t>
      </w:r>
      <w:r>
        <w:rPr/>
        <w:t>del</w:t>
      </w:r>
      <w:r>
        <w:rPr>
          <w:spacing w:val="-5"/>
        </w:rPr>
        <w:t> </w:t>
      </w:r>
      <w:r>
        <w:rPr/>
        <w:t>cambio</w:t>
      </w:r>
      <w:r>
        <w:rPr>
          <w:spacing w:val="-4"/>
        </w:rPr>
        <w:t> </w:t>
      </w:r>
      <w:r>
        <w:rPr/>
        <w:t>e</w:t>
      </w:r>
      <w:r>
        <w:rPr>
          <w:spacing w:val="-6"/>
        </w:rPr>
        <w:t> </w:t>
      </w:r>
      <w:r>
        <w:rPr/>
        <w:t>innovación</w:t>
      </w:r>
      <w:r>
        <w:rPr>
          <w:spacing w:val="-5"/>
        </w:rPr>
        <w:t> </w:t>
      </w:r>
      <w:r>
        <w:rPr>
          <w:spacing w:val="-2"/>
        </w:rPr>
        <w:t>institucional</w:t>
      </w:r>
    </w:p>
    <w:p>
      <w:pPr>
        <w:pStyle w:val="BodyText"/>
        <w:rPr>
          <w:b/>
        </w:rPr>
      </w:pPr>
    </w:p>
    <w:p>
      <w:pPr>
        <w:pStyle w:val="BodyText"/>
        <w:spacing w:before="1"/>
        <w:ind w:left="1625" w:right="1604"/>
        <w:jc w:val="both"/>
      </w:pPr>
      <w:r>
        <w:rPr>
          <w:b/>
        </w:rPr>
        <w:t>Objetivo estratégico: </w:t>
      </w:r>
      <w:r>
        <w:rPr/>
        <w:t>Desarrollar procesos administrativos, gerenciales y tecnológicos que faciliten la adaptabilidad del IMAS a los cambios del entorno, para una efectiva entrega de bienes y servicios oportunos, de calidad y con impacto para el desarrollo de los hogares en situación de pobreza del país.</w:t>
      </w:r>
    </w:p>
    <w:p>
      <w:pPr>
        <w:pStyle w:val="BodyText"/>
      </w:pPr>
    </w:p>
    <w:p>
      <w:pPr>
        <w:pStyle w:val="Heading5"/>
        <w:jc w:val="both"/>
      </w:pPr>
      <w:r>
        <w:rPr/>
        <w:t>Eventos</w:t>
      </w:r>
      <w:r>
        <w:rPr>
          <w:spacing w:val="-6"/>
        </w:rPr>
        <w:t> </w:t>
      </w:r>
      <w:r>
        <w:rPr>
          <w:spacing w:val="-2"/>
        </w:rPr>
        <w:t>estratégicos:</w:t>
      </w:r>
    </w:p>
    <w:p>
      <w:pPr>
        <w:pStyle w:val="ListParagraph"/>
        <w:numPr>
          <w:ilvl w:val="0"/>
          <w:numId w:val="7"/>
        </w:numPr>
        <w:tabs>
          <w:tab w:pos="1899" w:val="left" w:leader="none"/>
        </w:tabs>
        <w:spacing w:line="240" w:lineRule="auto" w:before="241" w:after="0"/>
        <w:ind w:left="1625" w:right="1605" w:firstLine="0"/>
        <w:jc w:val="left"/>
        <w:rPr>
          <w:sz w:val="22"/>
        </w:rPr>
      </w:pPr>
      <w:r>
        <w:rPr>
          <w:sz w:val="22"/>
        </w:rPr>
        <w:t>Situaciones cambiantes del entorno que podrían afectar la capacidad de respuesta</w:t>
      </w:r>
      <w:r>
        <w:rPr>
          <w:spacing w:val="40"/>
          <w:sz w:val="22"/>
        </w:rPr>
        <w:t> </w:t>
      </w:r>
      <w:r>
        <w:rPr>
          <w:sz w:val="22"/>
        </w:rPr>
        <w:t>financiera de la institución.</w:t>
      </w:r>
    </w:p>
    <w:p>
      <w:pPr>
        <w:pStyle w:val="ListParagraph"/>
        <w:spacing w:after="0" w:line="240" w:lineRule="auto"/>
        <w:jc w:val="left"/>
        <w:rPr>
          <w:sz w:val="22"/>
        </w:rPr>
        <w:sectPr>
          <w:pgSz w:w="12240" w:h="15840"/>
          <w:pgMar w:header="0" w:footer="1576" w:top="1260" w:bottom="1760" w:left="360" w:right="0"/>
        </w:sectPr>
      </w:pPr>
    </w:p>
    <w:p>
      <w:pPr>
        <w:pStyle w:val="ListParagraph"/>
        <w:numPr>
          <w:ilvl w:val="0"/>
          <w:numId w:val="7"/>
        </w:numPr>
        <w:tabs>
          <w:tab w:pos="1871" w:val="left" w:leader="none"/>
        </w:tabs>
        <w:spacing w:line="240" w:lineRule="auto" w:before="77" w:after="0"/>
        <w:ind w:left="1625" w:right="1603" w:firstLine="0"/>
        <w:jc w:val="both"/>
        <w:rPr>
          <w:sz w:val="22"/>
        </w:rPr>
      </w:pPr>
      <w:r>
        <w:rPr>
          <w:sz w:val="22"/>
        </w:rPr>
        <w:t>Plataforma</w:t>
      </w:r>
      <w:r>
        <w:rPr>
          <w:spacing w:val="-3"/>
          <w:sz w:val="22"/>
        </w:rPr>
        <w:t> </w:t>
      </w:r>
      <w:r>
        <w:rPr>
          <w:sz w:val="22"/>
        </w:rPr>
        <w:t>y</w:t>
      </w:r>
      <w:r>
        <w:rPr>
          <w:spacing w:val="-4"/>
          <w:sz w:val="22"/>
        </w:rPr>
        <w:t> </w:t>
      </w:r>
      <w:r>
        <w:rPr>
          <w:sz w:val="22"/>
        </w:rPr>
        <w:t>Sistemas</w:t>
      </w:r>
      <w:r>
        <w:rPr>
          <w:spacing w:val="-5"/>
          <w:sz w:val="22"/>
        </w:rPr>
        <w:t> </w:t>
      </w:r>
      <w:r>
        <w:rPr>
          <w:sz w:val="22"/>
        </w:rPr>
        <w:t>de</w:t>
      </w:r>
      <w:r>
        <w:rPr>
          <w:spacing w:val="-5"/>
          <w:sz w:val="22"/>
        </w:rPr>
        <w:t> </w:t>
      </w:r>
      <w:r>
        <w:rPr>
          <w:sz w:val="22"/>
        </w:rPr>
        <w:t>Información</w:t>
      </w:r>
      <w:r>
        <w:rPr>
          <w:spacing w:val="-5"/>
          <w:sz w:val="22"/>
        </w:rPr>
        <w:t> </w:t>
      </w:r>
      <w:r>
        <w:rPr>
          <w:sz w:val="22"/>
        </w:rPr>
        <w:t>Tecnológicos</w:t>
      </w:r>
      <w:r>
        <w:rPr>
          <w:spacing w:val="-3"/>
          <w:sz w:val="22"/>
        </w:rPr>
        <w:t> </w:t>
      </w:r>
      <w:r>
        <w:rPr>
          <w:sz w:val="22"/>
        </w:rPr>
        <w:t>no</w:t>
      </w:r>
      <w:r>
        <w:rPr>
          <w:spacing w:val="-3"/>
          <w:sz w:val="22"/>
        </w:rPr>
        <w:t> </w:t>
      </w:r>
      <w:r>
        <w:rPr>
          <w:sz w:val="22"/>
        </w:rPr>
        <w:t>respondan</w:t>
      </w:r>
      <w:r>
        <w:rPr>
          <w:spacing w:val="-3"/>
          <w:sz w:val="22"/>
        </w:rPr>
        <w:t> </w:t>
      </w:r>
      <w:r>
        <w:rPr>
          <w:sz w:val="22"/>
        </w:rPr>
        <w:t>de</w:t>
      </w:r>
      <w:r>
        <w:rPr>
          <w:spacing w:val="-5"/>
          <w:sz w:val="22"/>
        </w:rPr>
        <w:t> </w:t>
      </w:r>
      <w:r>
        <w:rPr>
          <w:sz w:val="22"/>
        </w:rPr>
        <w:t>forma</w:t>
      </w:r>
      <w:r>
        <w:rPr>
          <w:spacing w:val="-5"/>
          <w:sz w:val="22"/>
        </w:rPr>
        <w:t> </w:t>
      </w:r>
      <w:r>
        <w:rPr>
          <w:sz w:val="22"/>
        </w:rPr>
        <w:t>suficiente a las estrategias de atención de la población objetivo.</w:t>
      </w:r>
    </w:p>
    <w:p>
      <w:pPr>
        <w:pStyle w:val="ListParagraph"/>
        <w:numPr>
          <w:ilvl w:val="0"/>
          <w:numId w:val="7"/>
        </w:numPr>
        <w:tabs>
          <w:tab w:pos="1931" w:val="left" w:leader="none"/>
        </w:tabs>
        <w:spacing w:line="240" w:lineRule="auto" w:before="241" w:after="0"/>
        <w:ind w:left="1625" w:right="1609" w:firstLine="0"/>
        <w:jc w:val="both"/>
        <w:rPr>
          <w:sz w:val="22"/>
        </w:rPr>
      </w:pPr>
      <w:r>
        <w:rPr>
          <w:sz w:val="22"/>
        </w:rPr>
        <w:t>Cambios en el funcionamiento estratégico institucional motivados por decisiones externas que afectan a la población objetiva.</w:t>
      </w:r>
    </w:p>
    <w:p>
      <w:pPr>
        <w:pStyle w:val="BodyText"/>
        <w:spacing w:before="239"/>
      </w:pPr>
    </w:p>
    <w:p>
      <w:pPr>
        <w:pStyle w:val="Heading5"/>
        <w:spacing w:before="1"/>
        <w:jc w:val="both"/>
      </w:pPr>
      <w:r>
        <w:rPr/>
        <w:t>Eje</w:t>
      </w:r>
      <w:r>
        <w:rPr>
          <w:spacing w:val="-7"/>
        </w:rPr>
        <w:t> </w:t>
      </w:r>
      <w:r>
        <w:rPr/>
        <w:t>estratégico</w:t>
      </w:r>
      <w:r>
        <w:rPr>
          <w:spacing w:val="-4"/>
        </w:rPr>
        <w:t> </w:t>
      </w:r>
      <w:r>
        <w:rPr/>
        <w:t>2:</w:t>
      </w:r>
      <w:r>
        <w:rPr>
          <w:spacing w:val="-5"/>
        </w:rPr>
        <w:t> </w:t>
      </w:r>
      <w:r>
        <w:rPr/>
        <w:t>Gestión</w:t>
      </w:r>
      <w:r>
        <w:rPr>
          <w:spacing w:val="-4"/>
        </w:rPr>
        <w:t> </w:t>
      </w:r>
      <w:r>
        <w:rPr/>
        <w:t>del</w:t>
      </w:r>
      <w:r>
        <w:rPr>
          <w:spacing w:val="-5"/>
        </w:rPr>
        <w:t> </w:t>
      </w:r>
      <w:r>
        <w:rPr/>
        <w:t>desarrollo</w:t>
      </w:r>
      <w:r>
        <w:rPr>
          <w:spacing w:val="-6"/>
        </w:rPr>
        <w:t> </w:t>
      </w:r>
      <w:r>
        <w:rPr/>
        <w:t>con</w:t>
      </w:r>
      <w:r>
        <w:rPr>
          <w:spacing w:val="-4"/>
        </w:rPr>
        <w:t> </w:t>
      </w:r>
      <w:r>
        <w:rPr/>
        <w:t>enfoque</w:t>
      </w:r>
      <w:r>
        <w:rPr>
          <w:spacing w:val="-6"/>
        </w:rPr>
        <w:t> </w:t>
      </w:r>
      <w:r>
        <w:rPr>
          <w:spacing w:val="-2"/>
        </w:rPr>
        <w:t>interseccional</w:t>
      </w:r>
    </w:p>
    <w:p>
      <w:pPr>
        <w:pStyle w:val="BodyText"/>
        <w:rPr>
          <w:b/>
        </w:rPr>
      </w:pPr>
    </w:p>
    <w:p>
      <w:pPr>
        <w:pStyle w:val="BodyText"/>
        <w:ind w:left="1625" w:right="1604"/>
        <w:jc w:val="both"/>
      </w:pPr>
      <w:r>
        <w:rPr>
          <w:b/>
        </w:rPr>
        <w:t>Objetivo</w:t>
      </w:r>
      <w:r>
        <w:rPr>
          <w:b/>
          <w:spacing w:val="-5"/>
        </w:rPr>
        <w:t> </w:t>
      </w:r>
      <w:r>
        <w:rPr>
          <w:b/>
        </w:rPr>
        <w:t>estratégico:</w:t>
      </w:r>
      <w:r>
        <w:rPr>
          <w:b/>
          <w:spacing w:val="-1"/>
        </w:rPr>
        <w:t> </w:t>
      </w:r>
      <w:r>
        <w:rPr/>
        <w:t>Garantizar</w:t>
      </w:r>
      <w:r>
        <w:rPr>
          <w:spacing w:val="-3"/>
        </w:rPr>
        <w:t> </w:t>
      </w:r>
      <w:r>
        <w:rPr/>
        <w:t>el</w:t>
      </w:r>
      <w:r>
        <w:rPr>
          <w:spacing w:val="-3"/>
        </w:rPr>
        <w:t> </w:t>
      </w:r>
      <w:r>
        <w:rPr/>
        <w:t>desarrollo</w:t>
      </w:r>
      <w:r>
        <w:rPr>
          <w:spacing w:val="-2"/>
        </w:rPr>
        <w:t> </w:t>
      </w:r>
      <w:r>
        <w:rPr/>
        <w:t>de</w:t>
      </w:r>
      <w:r>
        <w:rPr>
          <w:spacing w:val="-4"/>
        </w:rPr>
        <w:t> </w:t>
      </w:r>
      <w:r>
        <w:rPr/>
        <w:t>una</w:t>
      </w:r>
      <w:r>
        <w:rPr>
          <w:spacing w:val="-2"/>
        </w:rPr>
        <w:t> </w:t>
      </w:r>
      <w:r>
        <w:rPr/>
        <w:t>oferta</w:t>
      </w:r>
      <w:r>
        <w:rPr>
          <w:spacing w:val="-2"/>
        </w:rPr>
        <w:t> </w:t>
      </w:r>
      <w:r>
        <w:rPr/>
        <w:t>de</w:t>
      </w:r>
      <w:r>
        <w:rPr>
          <w:spacing w:val="-4"/>
        </w:rPr>
        <w:t> </w:t>
      </w:r>
      <w:r>
        <w:rPr/>
        <w:t>servicios</w:t>
      </w:r>
      <w:r>
        <w:rPr>
          <w:spacing w:val="-4"/>
        </w:rPr>
        <w:t> </w:t>
      </w:r>
      <w:r>
        <w:rPr/>
        <w:t>y</w:t>
      </w:r>
      <w:r>
        <w:rPr>
          <w:spacing w:val="-4"/>
        </w:rPr>
        <w:t> </w:t>
      </w:r>
      <w:r>
        <w:rPr/>
        <w:t>beneficios</w:t>
      </w:r>
      <w:r>
        <w:rPr>
          <w:spacing w:val="-2"/>
        </w:rPr>
        <w:t> </w:t>
      </w:r>
      <w:r>
        <w:rPr/>
        <w:t>de protección y promoción social oportuna y de calidad, acorde con las necesidades de la población objetivo y sobre la base de las desigualdades que se configuran a partir de la superposición de diferentes factores sociales.</w:t>
      </w:r>
    </w:p>
    <w:p>
      <w:pPr>
        <w:pStyle w:val="Heading5"/>
        <w:spacing w:before="239"/>
        <w:jc w:val="both"/>
      </w:pPr>
      <w:r>
        <w:rPr/>
        <w:t>Eventos</w:t>
      </w:r>
      <w:r>
        <w:rPr>
          <w:spacing w:val="-6"/>
        </w:rPr>
        <w:t> </w:t>
      </w:r>
      <w:r>
        <w:rPr>
          <w:spacing w:val="-2"/>
        </w:rPr>
        <w:t>estratégicos:</w:t>
      </w:r>
    </w:p>
    <w:p>
      <w:pPr>
        <w:pStyle w:val="ListParagraph"/>
        <w:numPr>
          <w:ilvl w:val="0"/>
          <w:numId w:val="8"/>
        </w:numPr>
        <w:tabs>
          <w:tab w:pos="1881" w:val="left" w:leader="none"/>
        </w:tabs>
        <w:spacing w:line="240" w:lineRule="auto" w:before="242" w:after="0"/>
        <w:ind w:left="1625" w:right="1608" w:firstLine="0"/>
        <w:jc w:val="both"/>
        <w:rPr>
          <w:sz w:val="22"/>
        </w:rPr>
      </w:pPr>
      <w:r>
        <w:rPr>
          <w:sz w:val="22"/>
        </w:rPr>
        <w:t>Limitaciones en el análisis de los elementos que constituyen los perfiles de entrada y salida de los hogares receptores de la oferta programática institucional.</w:t>
      </w:r>
    </w:p>
    <w:p>
      <w:pPr>
        <w:pStyle w:val="ListParagraph"/>
        <w:numPr>
          <w:ilvl w:val="0"/>
          <w:numId w:val="8"/>
        </w:numPr>
        <w:tabs>
          <w:tab w:pos="1871" w:val="left" w:leader="none"/>
        </w:tabs>
        <w:spacing w:line="240" w:lineRule="auto" w:before="238" w:after="0"/>
        <w:ind w:left="1871" w:right="0" w:hanging="246"/>
        <w:jc w:val="both"/>
        <w:rPr>
          <w:sz w:val="22"/>
        </w:rPr>
      </w:pPr>
      <w:r>
        <w:rPr>
          <w:sz w:val="22"/>
        </w:rPr>
        <w:t>Débil</w:t>
      </w:r>
      <w:r>
        <w:rPr>
          <w:spacing w:val="-7"/>
          <w:sz w:val="22"/>
        </w:rPr>
        <w:t> </w:t>
      </w:r>
      <w:r>
        <w:rPr>
          <w:sz w:val="22"/>
        </w:rPr>
        <w:t>coordinación</w:t>
      </w:r>
      <w:r>
        <w:rPr>
          <w:spacing w:val="-7"/>
          <w:sz w:val="22"/>
        </w:rPr>
        <w:t> </w:t>
      </w:r>
      <w:r>
        <w:rPr>
          <w:sz w:val="22"/>
        </w:rPr>
        <w:t>de</w:t>
      </w:r>
      <w:r>
        <w:rPr>
          <w:spacing w:val="-10"/>
          <w:sz w:val="22"/>
        </w:rPr>
        <w:t> </w:t>
      </w:r>
      <w:r>
        <w:rPr>
          <w:spacing w:val="-2"/>
          <w:sz w:val="22"/>
        </w:rPr>
        <w:t>procesos.</w:t>
      </w:r>
    </w:p>
    <w:p>
      <w:pPr>
        <w:pStyle w:val="ListParagraph"/>
        <w:numPr>
          <w:ilvl w:val="0"/>
          <w:numId w:val="8"/>
        </w:numPr>
        <w:tabs>
          <w:tab w:pos="1862" w:val="left" w:leader="none"/>
        </w:tabs>
        <w:spacing w:line="240" w:lineRule="auto" w:before="241" w:after="0"/>
        <w:ind w:left="1625" w:right="1605" w:firstLine="0"/>
        <w:jc w:val="both"/>
        <w:rPr>
          <w:sz w:val="22"/>
        </w:rPr>
      </w:pPr>
      <w:r>
        <w:rPr>
          <w:sz w:val="22"/>
        </w:rPr>
        <w:t>Limitaciones</w:t>
      </w:r>
      <w:r>
        <w:rPr>
          <w:spacing w:val="-15"/>
          <w:sz w:val="22"/>
        </w:rPr>
        <w:t> </w:t>
      </w:r>
      <w:r>
        <w:rPr>
          <w:sz w:val="22"/>
        </w:rPr>
        <w:t>en</w:t>
      </w:r>
      <w:r>
        <w:rPr>
          <w:spacing w:val="-15"/>
          <w:sz w:val="22"/>
        </w:rPr>
        <w:t> </w:t>
      </w:r>
      <w:r>
        <w:rPr>
          <w:sz w:val="22"/>
        </w:rPr>
        <w:t>la</w:t>
      </w:r>
      <w:r>
        <w:rPr>
          <w:spacing w:val="-13"/>
          <w:sz w:val="22"/>
        </w:rPr>
        <w:t> </w:t>
      </w:r>
      <w:r>
        <w:rPr>
          <w:sz w:val="22"/>
        </w:rPr>
        <w:t>determinación</w:t>
      </w:r>
      <w:r>
        <w:rPr>
          <w:spacing w:val="-14"/>
          <w:sz w:val="22"/>
        </w:rPr>
        <w:t> </w:t>
      </w:r>
      <w:r>
        <w:rPr>
          <w:sz w:val="22"/>
        </w:rPr>
        <w:t>de</w:t>
      </w:r>
      <w:r>
        <w:rPr>
          <w:spacing w:val="-13"/>
          <w:sz w:val="22"/>
        </w:rPr>
        <w:t> </w:t>
      </w:r>
      <w:r>
        <w:rPr>
          <w:sz w:val="22"/>
        </w:rPr>
        <w:t>los</w:t>
      </w:r>
      <w:r>
        <w:rPr>
          <w:spacing w:val="-15"/>
          <w:sz w:val="22"/>
        </w:rPr>
        <w:t> </w:t>
      </w:r>
      <w:r>
        <w:rPr>
          <w:sz w:val="22"/>
        </w:rPr>
        <w:t>elementos</w:t>
      </w:r>
      <w:r>
        <w:rPr>
          <w:spacing w:val="-13"/>
          <w:sz w:val="22"/>
        </w:rPr>
        <w:t> </w:t>
      </w:r>
      <w:r>
        <w:rPr>
          <w:sz w:val="22"/>
        </w:rPr>
        <w:t>de</w:t>
      </w:r>
      <w:r>
        <w:rPr>
          <w:spacing w:val="-15"/>
          <w:sz w:val="22"/>
        </w:rPr>
        <w:t> </w:t>
      </w:r>
      <w:r>
        <w:rPr>
          <w:sz w:val="22"/>
        </w:rPr>
        <w:t>calidad</w:t>
      </w:r>
      <w:r>
        <w:rPr>
          <w:spacing w:val="-15"/>
          <w:sz w:val="22"/>
        </w:rPr>
        <w:t> </w:t>
      </w:r>
      <w:r>
        <w:rPr>
          <w:sz w:val="22"/>
        </w:rPr>
        <w:t>y</w:t>
      </w:r>
      <w:r>
        <w:rPr>
          <w:spacing w:val="-13"/>
          <w:sz w:val="22"/>
        </w:rPr>
        <w:t> </w:t>
      </w:r>
      <w:r>
        <w:rPr>
          <w:sz w:val="22"/>
        </w:rPr>
        <w:t>oportunidad</w:t>
      </w:r>
      <w:r>
        <w:rPr>
          <w:spacing w:val="-14"/>
          <w:sz w:val="22"/>
        </w:rPr>
        <w:t> </w:t>
      </w:r>
      <w:r>
        <w:rPr>
          <w:sz w:val="22"/>
        </w:rPr>
        <w:t>de</w:t>
      </w:r>
      <w:r>
        <w:rPr>
          <w:spacing w:val="-15"/>
          <w:sz w:val="22"/>
        </w:rPr>
        <w:t> </w:t>
      </w:r>
      <w:r>
        <w:rPr>
          <w:sz w:val="22"/>
        </w:rPr>
        <w:t>la</w:t>
      </w:r>
      <w:r>
        <w:rPr>
          <w:spacing w:val="-13"/>
          <w:sz w:val="22"/>
        </w:rPr>
        <w:t> </w:t>
      </w:r>
      <w:r>
        <w:rPr>
          <w:sz w:val="22"/>
        </w:rPr>
        <w:t>oferta programática institucional</w:t>
      </w:r>
    </w:p>
    <w:p>
      <w:pPr>
        <w:pStyle w:val="Heading5"/>
        <w:spacing w:before="241"/>
        <w:ind w:right="1607"/>
        <w:jc w:val="both"/>
      </w:pPr>
      <w:r>
        <w:rPr/>
        <w:t>Eje estratégico 3: Gestión del desarrollo regional e inversión social con enfoque </w:t>
      </w:r>
      <w:r>
        <w:rPr>
          <w:spacing w:val="-2"/>
        </w:rPr>
        <w:t>territorial.</w:t>
      </w:r>
    </w:p>
    <w:p>
      <w:pPr>
        <w:pStyle w:val="BodyText"/>
        <w:spacing w:before="252"/>
        <w:ind w:left="1625" w:right="1602"/>
        <w:jc w:val="both"/>
      </w:pPr>
      <w:r>
        <w:rPr>
          <w:b/>
        </w:rPr>
        <w:t>Objetivo</w:t>
      </w:r>
      <w:r>
        <w:rPr>
          <w:b/>
          <w:spacing w:val="-16"/>
        </w:rPr>
        <w:t> </w:t>
      </w:r>
      <w:r>
        <w:rPr>
          <w:b/>
        </w:rPr>
        <w:t>estratégico:</w:t>
      </w:r>
      <w:r>
        <w:rPr>
          <w:b/>
          <w:spacing w:val="-15"/>
        </w:rPr>
        <w:t> </w:t>
      </w:r>
      <w:r>
        <w:rPr/>
        <w:t>Fortalecer</w:t>
      </w:r>
      <w:r>
        <w:rPr>
          <w:spacing w:val="-15"/>
        </w:rPr>
        <w:t> </w:t>
      </w:r>
      <w:r>
        <w:rPr/>
        <w:t>el</w:t>
      </w:r>
      <w:r>
        <w:rPr>
          <w:spacing w:val="-16"/>
        </w:rPr>
        <w:t> </w:t>
      </w:r>
      <w:r>
        <w:rPr/>
        <w:t>desarrollo</w:t>
      </w:r>
      <w:r>
        <w:rPr>
          <w:spacing w:val="-15"/>
        </w:rPr>
        <w:t> </w:t>
      </w:r>
      <w:r>
        <w:rPr/>
        <w:t>regional</w:t>
      </w:r>
      <w:r>
        <w:rPr>
          <w:spacing w:val="-15"/>
        </w:rPr>
        <w:t> </w:t>
      </w:r>
      <w:r>
        <w:rPr/>
        <w:t>con</w:t>
      </w:r>
      <w:r>
        <w:rPr>
          <w:spacing w:val="-15"/>
        </w:rPr>
        <w:t> </w:t>
      </w:r>
      <w:r>
        <w:rPr/>
        <w:t>procesos</w:t>
      </w:r>
      <w:r>
        <w:rPr>
          <w:spacing w:val="-16"/>
        </w:rPr>
        <w:t> </w:t>
      </w:r>
      <w:r>
        <w:rPr/>
        <w:t>de</w:t>
      </w:r>
      <w:r>
        <w:rPr>
          <w:spacing w:val="-15"/>
        </w:rPr>
        <w:t> </w:t>
      </w:r>
      <w:r>
        <w:rPr/>
        <w:t>descentralización e inversión social acorde con las particularidades territoriales.</w:t>
      </w:r>
    </w:p>
    <w:p>
      <w:pPr>
        <w:pStyle w:val="BodyText"/>
      </w:pPr>
    </w:p>
    <w:p>
      <w:pPr>
        <w:pStyle w:val="Heading5"/>
        <w:jc w:val="both"/>
      </w:pPr>
      <w:r>
        <w:rPr/>
        <w:t>Eventos</w:t>
      </w:r>
      <w:r>
        <w:rPr>
          <w:spacing w:val="-6"/>
        </w:rPr>
        <w:t> </w:t>
      </w:r>
      <w:r>
        <w:rPr>
          <w:spacing w:val="-2"/>
        </w:rPr>
        <w:t>estratégicos:</w:t>
      </w:r>
    </w:p>
    <w:p>
      <w:pPr>
        <w:pStyle w:val="ListParagraph"/>
        <w:numPr>
          <w:ilvl w:val="0"/>
          <w:numId w:val="9"/>
        </w:numPr>
        <w:tabs>
          <w:tab w:pos="1883" w:val="left" w:leader="none"/>
        </w:tabs>
        <w:spacing w:line="240" w:lineRule="auto" w:before="241" w:after="0"/>
        <w:ind w:left="1625" w:right="1608" w:firstLine="0"/>
        <w:jc w:val="both"/>
        <w:rPr>
          <w:sz w:val="22"/>
        </w:rPr>
      </w:pPr>
      <w:r>
        <w:rPr>
          <w:sz w:val="22"/>
        </w:rPr>
        <w:t>Ajustes o movimientos presupuestarios entre ARDS en virtud de la no ejecución que se había planificado o surgimiento de nuevas necesidades.</w:t>
      </w:r>
    </w:p>
    <w:p>
      <w:pPr>
        <w:pStyle w:val="ListParagraph"/>
        <w:numPr>
          <w:ilvl w:val="0"/>
          <w:numId w:val="9"/>
        </w:numPr>
        <w:tabs>
          <w:tab w:pos="1866" w:val="left" w:leader="none"/>
        </w:tabs>
        <w:spacing w:line="240" w:lineRule="auto" w:before="238" w:after="0"/>
        <w:ind w:left="1625" w:right="1604" w:firstLine="0"/>
        <w:jc w:val="both"/>
        <w:rPr>
          <w:sz w:val="22"/>
        </w:rPr>
      </w:pPr>
      <w:r>
        <w:rPr>
          <w:sz w:val="22"/>
        </w:rPr>
        <w:t>Posible</w:t>
      </w:r>
      <w:r>
        <w:rPr>
          <w:spacing w:val="-11"/>
          <w:sz w:val="22"/>
        </w:rPr>
        <w:t> </w:t>
      </w:r>
      <w:r>
        <w:rPr>
          <w:sz w:val="22"/>
        </w:rPr>
        <w:t>exclusión</w:t>
      </w:r>
      <w:r>
        <w:rPr>
          <w:spacing w:val="-9"/>
          <w:sz w:val="22"/>
        </w:rPr>
        <w:t> </w:t>
      </w:r>
      <w:r>
        <w:rPr>
          <w:sz w:val="22"/>
        </w:rPr>
        <w:t>de</w:t>
      </w:r>
      <w:r>
        <w:rPr>
          <w:spacing w:val="-11"/>
          <w:sz w:val="22"/>
        </w:rPr>
        <w:t> </w:t>
      </w:r>
      <w:r>
        <w:rPr>
          <w:sz w:val="22"/>
        </w:rPr>
        <w:t>población</w:t>
      </w:r>
      <w:r>
        <w:rPr>
          <w:spacing w:val="-9"/>
          <w:sz w:val="22"/>
        </w:rPr>
        <w:t> </w:t>
      </w:r>
      <w:r>
        <w:rPr>
          <w:sz w:val="22"/>
        </w:rPr>
        <w:t>beneficiaria</w:t>
      </w:r>
      <w:r>
        <w:rPr>
          <w:spacing w:val="-9"/>
          <w:sz w:val="22"/>
        </w:rPr>
        <w:t> </w:t>
      </w:r>
      <w:r>
        <w:rPr>
          <w:sz w:val="22"/>
        </w:rPr>
        <w:t>debido</w:t>
      </w:r>
      <w:r>
        <w:rPr>
          <w:spacing w:val="-9"/>
          <w:sz w:val="22"/>
        </w:rPr>
        <w:t> </w:t>
      </w:r>
      <w:r>
        <w:rPr>
          <w:sz w:val="22"/>
        </w:rPr>
        <w:t>a</w:t>
      </w:r>
      <w:r>
        <w:rPr>
          <w:spacing w:val="-8"/>
          <w:sz w:val="22"/>
        </w:rPr>
        <w:t> </w:t>
      </w:r>
      <w:r>
        <w:rPr>
          <w:sz w:val="22"/>
        </w:rPr>
        <w:t>que</w:t>
      </w:r>
      <w:r>
        <w:rPr>
          <w:spacing w:val="-11"/>
          <w:sz w:val="22"/>
        </w:rPr>
        <w:t> </w:t>
      </w:r>
      <w:r>
        <w:rPr>
          <w:sz w:val="22"/>
        </w:rPr>
        <w:t>las</w:t>
      </w:r>
      <w:r>
        <w:rPr>
          <w:spacing w:val="-11"/>
          <w:sz w:val="22"/>
        </w:rPr>
        <w:t> </w:t>
      </w:r>
      <w:r>
        <w:rPr>
          <w:sz w:val="22"/>
        </w:rPr>
        <w:t>herramientas</w:t>
      </w:r>
      <w:r>
        <w:rPr>
          <w:spacing w:val="-8"/>
          <w:sz w:val="22"/>
        </w:rPr>
        <w:t> </w:t>
      </w:r>
      <w:r>
        <w:rPr>
          <w:sz w:val="22"/>
        </w:rPr>
        <w:t>informáticas de automatización no cuentan con una planificación territorial.</w:t>
      </w:r>
    </w:p>
    <w:p>
      <w:pPr>
        <w:pStyle w:val="BodyText"/>
        <w:spacing w:before="242"/>
      </w:pPr>
    </w:p>
    <w:p>
      <w:pPr>
        <w:pStyle w:val="Heading5"/>
        <w:spacing w:line="252" w:lineRule="exact"/>
        <w:jc w:val="both"/>
      </w:pPr>
      <w:r>
        <w:rPr/>
        <w:t>Eje</w:t>
      </w:r>
      <w:r>
        <w:rPr>
          <w:spacing w:val="-5"/>
        </w:rPr>
        <w:t> </w:t>
      </w:r>
      <w:r>
        <w:rPr/>
        <w:t>estratégico</w:t>
      </w:r>
      <w:r>
        <w:rPr>
          <w:spacing w:val="-4"/>
        </w:rPr>
        <w:t> </w:t>
      </w:r>
      <w:r>
        <w:rPr/>
        <w:t>4:</w:t>
      </w:r>
      <w:r>
        <w:rPr>
          <w:spacing w:val="-3"/>
        </w:rPr>
        <w:t> </w:t>
      </w:r>
      <w:r>
        <w:rPr/>
        <w:t>Rectoría</w:t>
      </w:r>
      <w:r>
        <w:rPr>
          <w:spacing w:val="-6"/>
        </w:rPr>
        <w:t> </w:t>
      </w:r>
      <w:r>
        <w:rPr/>
        <w:t>técnica</w:t>
      </w:r>
      <w:r>
        <w:rPr>
          <w:spacing w:val="-5"/>
        </w:rPr>
        <w:t> </w:t>
      </w:r>
      <w:r>
        <w:rPr/>
        <w:t>social</w:t>
      </w:r>
      <w:r>
        <w:rPr>
          <w:spacing w:val="-5"/>
        </w:rPr>
        <w:t> </w:t>
      </w:r>
      <w:r>
        <w:rPr/>
        <w:t>y</w:t>
      </w:r>
      <w:r>
        <w:rPr>
          <w:spacing w:val="-4"/>
        </w:rPr>
        <w:t> </w:t>
      </w:r>
      <w:r>
        <w:rPr>
          <w:spacing w:val="-2"/>
        </w:rPr>
        <w:t>articulación</w:t>
      </w:r>
    </w:p>
    <w:p>
      <w:pPr>
        <w:pStyle w:val="BodyText"/>
        <w:ind w:left="1625" w:right="1607"/>
        <w:jc w:val="both"/>
      </w:pPr>
      <w:r>
        <w:rPr>
          <w:b/>
        </w:rPr>
        <w:t>Objetivo estratégico: </w:t>
      </w:r>
      <w:r>
        <w:rPr/>
        <w:t>Desarrollar la rectoría técnica mediante la articulación interinstitucional y la información social como mecanismos para la atención y reducción integral, sistemática y sostenida de la pobreza.</w:t>
      </w:r>
    </w:p>
    <w:p>
      <w:pPr>
        <w:pStyle w:val="BodyText"/>
        <w:spacing w:before="241"/>
      </w:pPr>
    </w:p>
    <w:p>
      <w:pPr>
        <w:pStyle w:val="Heading5"/>
        <w:jc w:val="both"/>
      </w:pPr>
      <w:r>
        <w:rPr/>
        <w:t>Eventos</w:t>
      </w:r>
      <w:r>
        <w:rPr>
          <w:spacing w:val="-6"/>
        </w:rPr>
        <w:t> </w:t>
      </w:r>
      <w:r>
        <w:rPr>
          <w:spacing w:val="-2"/>
        </w:rPr>
        <w:t>estratégicos:</w:t>
      </w:r>
    </w:p>
    <w:p>
      <w:pPr>
        <w:pStyle w:val="ListParagraph"/>
        <w:numPr>
          <w:ilvl w:val="0"/>
          <w:numId w:val="10"/>
        </w:numPr>
        <w:tabs>
          <w:tab w:pos="1859" w:val="left" w:leader="none"/>
        </w:tabs>
        <w:spacing w:line="240" w:lineRule="auto" w:before="239" w:after="0"/>
        <w:ind w:left="1625" w:right="1603" w:firstLine="0"/>
        <w:jc w:val="both"/>
        <w:rPr>
          <w:sz w:val="22"/>
        </w:rPr>
      </w:pPr>
      <w:r>
        <w:rPr>
          <w:sz w:val="22"/>
        </w:rPr>
        <w:t>Si</w:t>
      </w:r>
      <w:r>
        <w:rPr>
          <w:spacing w:val="-15"/>
          <w:sz w:val="22"/>
        </w:rPr>
        <w:t> </w:t>
      </w:r>
      <w:r>
        <w:rPr>
          <w:sz w:val="22"/>
        </w:rPr>
        <w:t>el</w:t>
      </w:r>
      <w:r>
        <w:rPr>
          <w:spacing w:val="-15"/>
          <w:sz w:val="22"/>
        </w:rPr>
        <w:t> </w:t>
      </w:r>
      <w:r>
        <w:rPr>
          <w:sz w:val="22"/>
        </w:rPr>
        <w:t>IMAS</w:t>
      </w:r>
      <w:r>
        <w:rPr>
          <w:spacing w:val="-14"/>
          <w:sz w:val="22"/>
        </w:rPr>
        <w:t> </w:t>
      </w:r>
      <w:r>
        <w:rPr>
          <w:sz w:val="22"/>
        </w:rPr>
        <w:t>no</w:t>
      </w:r>
      <w:r>
        <w:rPr>
          <w:spacing w:val="-16"/>
          <w:sz w:val="22"/>
        </w:rPr>
        <w:t> </w:t>
      </w:r>
      <w:r>
        <w:rPr>
          <w:sz w:val="22"/>
        </w:rPr>
        <w:t>maneja</w:t>
      </w:r>
      <w:r>
        <w:rPr>
          <w:spacing w:val="-15"/>
          <w:sz w:val="22"/>
        </w:rPr>
        <w:t> </w:t>
      </w:r>
      <w:r>
        <w:rPr>
          <w:sz w:val="22"/>
        </w:rPr>
        <w:t>y</w:t>
      </w:r>
      <w:r>
        <w:rPr>
          <w:spacing w:val="-13"/>
          <w:sz w:val="22"/>
        </w:rPr>
        <w:t> </w:t>
      </w:r>
      <w:r>
        <w:rPr>
          <w:sz w:val="22"/>
        </w:rPr>
        <w:t>comparte</w:t>
      </w:r>
      <w:r>
        <w:rPr>
          <w:spacing w:val="-14"/>
          <w:sz w:val="22"/>
        </w:rPr>
        <w:t> </w:t>
      </w:r>
      <w:r>
        <w:rPr>
          <w:sz w:val="22"/>
        </w:rPr>
        <w:t>información</w:t>
      </w:r>
      <w:r>
        <w:rPr>
          <w:spacing w:val="-14"/>
          <w:sz w:val="22"/>
        </w:rPr>
        <w:t> </w:t>
      </w:r>
      <w:r>
        <w:rPr>
          <w:sz w:val="22"/>
        </w:rPr>
        <w:t>social</w:t>
      </w:r>
      <w:r>
        <w:rPr>
          <w:spacing w:val="-15"/>
          <w:sz w:val="22"/>
        </w:rPr>
        <w:t> </w:t>
      </w:r>
      <w:r>
        <w:rPr>
          <w:sz w:val="22"/>
        </w:rPr>
        <w:t>oportuna</w:t>
      </w:r>
      <w:r>
        <w:rPr>
          <w:spacing w:val="-14"/>
          <w:sz w:val="22"/>
        </w:rPr>
        <w:t> </w:t>
      </w:r>
      <w:r>
        <w:rPr>
          <w:sz w:val="22"/>
        </w:rPr>
        <w:t>y</w:t>
      </w:r>
      <w:r>
        <w:rPr>
          <w:spacing w:val="-13"/>
          <w:sz w:val="22"/>
        </w:rPr>
        <w:t> </w:t>
      </w:r>
      <w:r>
        <w:rPr>
          <w:sz w:val="22"/>
        </w:rPr>
        <w:t>no</w:t>
      </w:r>
      <w:r>
        <w:rPr>
          <w:spacing w:val="-16"/>
          <w:sz w:val="22"/>
        </w:rPr>
        <w:t> </w:t>
      </w:r>
      <w:r>
        <w:rPr>
          <w:sz w:val="22"/>
        </w:rPr>
        <w:t>desarrolla</w:t>
      </w:r>
      <w:r>
        <w:rPr>
          <w:spacing w:val="-13"/>
          <w:sz w:val="22"/>
        </w:rPr>
        <w:t> </w:t>
      </w:r>
      <w:r>
        <w:rPr>
          <w:sz w:val="22"/>
        </w:rPr>
        <w:t>estructura y</w:t>
      </w:r>
      <w:r>
        <w:rPr>
          <w:spacing w:val="-3"/>
          <w:sz w:val="22"/>
        </w:rPr>
        <w:t> </w:t>
      </w:r>
      <w:r>
        <w:rPr>
          <w:sz w:val="22"/>
        </w:rPr>
        <w:t>planes</w:t>
      </w:r>
      <w:r>
        <w:rPr>
          <w:spacing w:val="-6"/>
          <w:sz w:val="22"/>
        </w:rPr>
        <w:t> </w:t>
      </w:r>
      <w:r>
        <w:rPr>
          <w:sz w:val="22"/>
        </w:rPr>
        <w:t>de</w:t>
      </w:r>
      <w:r>
        <w:rPr>
          <w:spacing w:val="-6"/>
          <w:sz w:val="22"/>
        </w:rPr>
        <w:t> </w:t>
      </w:r>
      <w:r>
        <w:rPr>
          <w:sz w:val="22"/>
        </w:rPr>
        <w:t>articulación</w:t>
      </w:r>
      <w:r>
        <w:rPr>
          <w:spacing w:val="-4"/>
          <w:sz w:val="22"/>
        </w:rPr>
        <w:t> </w:t>
      </w:r>
      <w:r>
        <w:rPr>
          <w:sz w:val="22"/>
        </w:rPr>
        <w:t>interinstitucional,</w:t>
      </w:r>
      <w:r>
        <w:rPr>
          <w:spacing w:val="-5"/>
          <w:sz w:val="22"/>
        </w:rPr>
        <w:t> </w:t>
      </w:r>
      <w:r>
        <w:rPr>
          <w:sz w:val="22"/>
        </w:rPr>
        <w:t>entonces</w:t>
      </w:r>
      <w:r>
        <w:rPr>
          <w:spacing w:val="-6"/>
          <w:sz w:val="22"/>
        </w:rPr>
        <w:t> </w:t>
      </w:r>
      <w:r>
        <w:rPr>
          <w:sz w:val="22"/>
        </w:rPr>
        <w:t>tendrá</w:t>
      </w:r>
      <w:r>
        <w:rPr>
          <w:spacing w:val="-6"/>
          <w:sz w:val="22"/>
        </w:rPr>
        <w:t> </w:t>
      </w:r>
      <w:r>
        <w:rPr>
          <w:sz w:val="22"/>
        </w:rPr>
        <w:t>un</w:t>
      </w:r>
      <w:r>
        <w:rPr>
          <w:spacing w:val="-6"/>
          <w:sz w:val="22"/>
        </w:rPr>
        <w:t> </w:t>
      </w:r>
      <w:r>
        <w:rPr>
          <w:sz w:val="22"/>
        </w:rPr>
        <w:t>débil</w:t>
      </w:r>
      <w:r>
        <w:rPr>
          <w:spacing w:val="-4"/>
          <w:sz w:val="22"/>
        </w:rPr>
        <w:t> </w:t>
      </w:r>
      <w:r>
        <w:rPr>
          <w:sz w:val="22"/>
        </w:rPr>
        <w:t>liderazgo</w:t>
      </w:r>
      <w:r>
        <w:rPr>
          <w:spacing w:val="-4"/>
          <w:sz w:val="22"/>
        </w:rPr>
        <w:t> </w:t>
      </w:r>
      <w:r>
        <w:rPr>
          <w:sz w:val="22"/>
        </w:rPr>
        <w:t>para</w:t>
      </w:r>
      <w:r>
        <w:rPr>
          <w:spacing w:val="-4"/>
          <w:sz w:val="22"/>
        </w:rPr>
        <w:t> </w:t>
      </w:r>
      <w:r>
        <w:rPr>
          <w:sz w:val="22"/>
        </w:rPr>
        <w:t>ejercer la rectoría técnica y será más difícil la reducción sistemática y sostenida de la pobreza</w:t>
      </w:r>
    </w:p>
    <w:p>
      <w:pPr>
        <w:pStyle w:val="ListParagraph"/>
        <w:spacing w:after="0" w:line="240" w:lineRule="auto"/>
        <w:jc w:val="both"/>
        <w:rPr>
          <w:sz w:val="22"/>
        </w:rPr>
        <w:sectPr>
          <w:pgSz w:w="12240" w:h="15840"/>
          <w:pgMar w:header="0" w:footer="1576" w:top="1000" w:bottom="1760" w:left="360" w:right="0"/>
        </w:sectPr>
      </w:pPr>
    </w:p>
    <w:p>
      <w:pPr>
        <w:pStyle w:val="ListParagraph"/>
        <w:numPr>
          <w:ilvl w:val="0"/>
          <w:numId w:val="10"/>
        </w:numPr>
        <w:tabs>
          <w:tab w:pos="1928" w:val="left" w:leader="none"/>
        </w:tabs>
        <w:spacing w:line="240" w:lineRule="auto" w:before="77" w:after="0"/>
        <w:ind w:left="1625" w:right="1607" w:firstLine="0"/>
        <w:jc w:val="both"/>
        <w:rPr>
          <w:sz w:val="22"/>
        </w:rPr>
      </w:pPr>
      <w:r>
        <w:rPr>
          <w:sz w:val="22"/>
        </w:rPr>
        <w:t>Si no se realiza una efectiva gestión para la articulación de las de plataformas tecnológicas de las instituciones del sector social para interoperabilidad, entonces el SINIRUBE pierde credibilidad y no habrá interés en el manejo de datos sociales.</w:t>
      </w:r>
    </w:p>
    <w:p>
      <w:pPr>
        <w:pStyle w:val="Heading5"/>
        <w:spacing w:before="252"/>
        <w:jc w:val="both"/>
      </w:pPr>
      <w:r>
        <w:rPr/>
        <w:t>Eje</w:t>
      </w:r>
      <w:r>
        <w:rPr>
          <w:spacing w:val="-7"/>
        </w:rPr>
        <w:t> </w:t>
      </w:r>
      <w:r>
        <w:rPr/>
        <w:t>estratégico</w:t>
      </w:r>
      <w:r>
        <w:rPr>
          <w:spacing w:val="-4"/>
        </w:rPr>
        <w:t> </w:t>
      </w:r>
      <w:r>
        <w:rPr/>
        <w:t>5:</w:t>
      </w:r>
      <w:r>
        <w:rPr>
          <w:spacing w:val="-4"/>
        </w:rPr>
        <w:t> </w:t>
      </w:r>
      <w:r>
        <w:rPr/>
        <w:t>Gestión</w:t>
      </w:r>
      <w:r>
        <w:rPr>
          <w:spacing w:val="-5"/>
        </w:rPr>
        <w:t> </w:t>
      </w:r>
      <w:r>
        <w:rPr/>
        <w:t>de</w:t>
      </w:r>
      <w:r>
        <w:rPr>
          <w:spacing w:val="-4"/>
        </w:rPr>
        <w:t> </w:t>
      </w:r>
      <w:r>
        <w:rPr/>
        <w:t>recursos</w:t>
      </w:r>
      <w:r>
        <w:rPr>
          <w:spacing w:val="-4"/>
        </w:rPr>
        <w:t> </w:t>
      </w:r>
      <w:r>
        <w:rPr/>
        <w:t>y</w:t>
      </w:r>
      <w:r>
        <w:rPr>
          <w:spacing w:val="-5"/>
        </w:rPr>
        <w:t> </w:t>
      </w:r>
      <w:r>
        <w:rPr/>
        <w:t>alianzas</w:t>
      </w:r>
      <w:r>
        <w:rPr>
          <w:spacing w:val="-4"/>
        </w:rPr>
        <w:t> </w:t>
      </w:r>
      <w:r>
        <w:rPr>
          <w:spacing w:val="-2"/>
        </w:rPr>
        <w:t>estratégicas.</w:t>
      </w:r>
    </w:p>
    <w:p>
      <w:pPr>
        <w:pStyle w:val="BodyText"/>
        <w:rPr>
          <w:b/>
        </w:rPr>
      </w:pPr>
    </w:p>
    <w:p>
      <w:pPr>
        <w:pStyle w:val="BodyText"/>
        <w:spacing w:before="1"/>
        <w:ind w:left="1625" w:right="1603"/>
        <w:jc w:val="both"/>
      </w:pPr>
      <w:r>
        <w:rPr>
          <w:b/>
        </w:rPr>
        <w:t>Objetivo</w:t>
      </w:r>
      <w:r>
        <w:rPr>
          <w:b/>
          <w:spacing w:val="-14"/>
        </w:rPr>
        <w:t> </w:t>
      </w:r>
      <w:r>
        <w:rPr>
          <w:b/>
        </w:rPr>
        <w:t>estratégico:</w:t>
      </w:r>
      <w:r>
        <w:rPr>
          <w:b/>
          <w:spacing w:val="-13"/>
        </w:rPr>
        <w:t> </w:t>
      </w:r>
      <w:r>
        <w:rPr/>
        <w:t>Gestionar</w:t>
      </w:r>
      <w:r>
        <w:rPr>
          <w:spacing w:val="-12"/>
        </w:rPr>
        <w:t> </w:t>
      </w:r>
      <w:r>
        <w:rPr/>
        <w:t>mecanismos</w:t>
      </w:r>
      <w:r>
        <w:rPr>
          <w:spacing w:val="-13"/>
        </w:rPr>
        <w:t> </w:t>
      </w:r>
      <w:r>
        <w:rPr/>
        <w:t>para</w:t>
      </w:r>
      <w:r>
        <w:rPr>
          <w:spacing w:val="-11"/>
        </w:rPr>
        <w:t> </w:t>
      </w:r>
      <w:r>
        <w:rPr/>
        <w:t>la</w:t>
      </w:r>
      <w:r>
        <w:rPr>
          <w:spacing w:val="-11"/>
        </w:rPr>
        <w:t> </w:t>
      </w:r>
      <w:r>
        <w:rPr/>
        <w:t>generación</w:t>
      </w:r>
      <w:r>
        <w:rPr>
          <w:spacing w:val="-14"/>
        </w:rPr>
        <w:t> </w:t>
      </w:r>
      <w:r>
        <w:rPr/>
        <w:t>de</w:t>
      </w:r>
      <w:r>
        <w:rPr>
          <w:spacing w:val="-14"/>
        </w:rPr>
        <w:t> </w:t>
      </w:r>
      <w:r>
        <w:rPr/>
        <w:t>recursos</w:t>
      </w:r>
      <w:r>
        <w:rPr>
          <w:spacing w:val="-11"/>
        </w:rPr>
        <w:t> </w:t>
      </w:r>
      <w:r>
        <w:rPr/>
        <w:t>necesarios para la sostenibilidad y la ejecución de los</w:t>
      </w:r>
      <w:r>
        <w:rPr>
          <w:spacing w:val="-2"/>
        </w:rPr>
        <w:t> </w:t>
      </w:r>
      <w:r>
        <w:rPr/>
        <w:t>servicios y beneficios que</w:t>
      </w:r>
      <w:r>
        <w:rPr>
          <w:spacing w:val="-2"/>
        </w:rPr>
        <w:t> </w:t>
      </w:r>
      <w:r>
        <w:rPr/>
        <w:t>otorga el</w:t>
      </w:r>
      <w:r>
        <w:rPr>
          <w:spacing w:val="-1"/>
        </w:rPr>
        <w:t> </w:t>
      </w:r>
      <w:r>
        <w:rPr/>
        <w:t>IMAS a</w:t>
      </w:r>
      <w:r>
        <w:rPr>
          <w:spacing w:val="-2"/>
        </w:rPr>
        <w:t> </w:t>
      </w:r>
      <w:r>
        <w:rPr/>
        <w:t>la población en situación de pobreza.</w:t>
      </w:r>
    </w:p>
    <w:p>
      <w:pPr>
        <w:pStyle w:val="BodyText"/>
      </w:pPr>
    </w:p>
    <w:p>
      <w:pPr>
        <w:pStyle w:val="Heading5"/>
        <w:spacing w:before="1"/>
        <w:jc w:val="both"/>
      </w:pPr>
      <w:r>
        <w:rPr/>
        <w:t>Eventos</w:t>
      </w:r>
      <w:r>
        <w:rPr>
          <w:spacing w:val="-6"/>
        </w:rPr>
        <w:t> </w:t>
      </w:r>
      <w:r>
        <w:rPr>
          <w:spacing w:val="-2"/>
        </w:rPr>
        <w:t>estratégicos:</w:t>
      </w:r>
    </w:p>
    <w:p>
      <w:pPr>
        <w:pStyle w:val="ListParagraph"/>
        <w:numPr>
          <w:ilvl w:val="0"/>
          <w:numId w:val="11"/>
        </w:numPr>
        <w:tabs>
          <w:tab w:pos="1866" w:val="left" w:leader="none"/>
        </w:tabs>
        <w:spacing w:line="240" w:lineRule="auto" w:before="239" w:after="0"/>
        <w:ind w:left="1625" w:right="1606" w:firstLine="0"/>
        <w:jc w:val="left"/>
        <w:rPr>
          <w:sz w:val="22"/>
        </w:rPr>
      </w:pPr>
      <w:r>
        <w:rPr>
          <w:sz w:val="22"/>
        </w:rPr>
        <w:t>Imposibilidad</w:t>
      </w:r>
      <w:r>
        <w:rPr>
          <w:spacing w:val="-5"/>
          <w:sz w:val="22"/>
        </w:rPr>
        <w:t> </w:t>
      </w:r>
      <w:r>
        <w:rPr>
          <w:sz w:val="22"/>
        </w:rPr>
        <w:t>de</w:t>
      </w:r>
      <w:r>
        <w:rPr>
          <w:spacing w:val="-5"/>
          <w:sz w:val="22"/>
        </w:rPr>
        <w:t> </w:t>
      </w:r>
      <w:r>
        <w:rPr>
          <w:sz w:val="22"/>
        </w:rPr>
        <w:t>generar</w:t>
      </w:r>
      <w:r>
        <w:rPr>
          <w:spacing w:val="-4"/>
          <w:sz w:val="22"/>
        </w:rPr>
        <w:t> </w:t>
      </w:r>
      <w:r>
        <w:rPr>
          <w:sz w:val="22"/>
        </w:rPr>
        <w:t>la</w:t>
      </w:r>
      <w:r>
        <w:rPr>
          <w:spacing w:val="-7"/>
          <w:sz w:val="22"/>
        </w:rPr>
        <w:t> </w:t>
      </w:r>
      <w:r>
        <w:rPr>
          <w:sz w:val="22"/>
        </w:rPr>
        <w:t>cantidad</w:t>
      </w:r>
      <w:r>
        <w:rPr>
          <w:spacing w:val="-7"/>
          <w:sz w:val="22"/>
        </w:rPr>
        <w:t> </w:t>
      </w:r>
      <w:r>
        <w:rPr>
          <w:sz w:val="22"/>
        </w:rPr>
        <w:t>de</w:t>
      </w:r>
      <w:r>
        <w:rPr>
          <w:spacing w:val="-8"/>
          <w:sz w:val="22"/>
        </w:rPr>
        <w:t> </w:t>
      </w:r>
      <w:r>
        <w:rPr>
          <w:sz w:val="22"/>
        </w:rPr>
        <w:t>recursos</w:t>
      </w:r>
      <w:r>
        <w:rPr>
          <w:spacing w:val="-5"/>
          <w:sz w:val="22"/>
        </w:rPr>
        <w:t> </w:t>
      </w:r>
      <w:r>
        <w:rPr>
          <w:sz w:val="22"/>
        </w:rPr>
        <w:t>que</w:t>
      </w:r>
      <w:r>
        <w:rPr>
          <w:spacing w:val="-7"/>
          <w:sz w:val="22"/>
        </w:rPr>
        <w:t> </w:t>
      </w:r>
      <w:r>
        <w:rPr>
          <w:sz w:val="22"/>
        </w:rPr>
        <w:t>la</w:t>
      </w:r>
      <w:r>
        <w:rPr>
          <w:spacing w:val="-5"/>
          <w:sz w:val="22"/>
        </w:rPr>
        <w:t> </w:t>
      </w:r>
      <w:r>
        <w:rPr>
          <w:sz w:val="22"/>
        </w:rPr>
        <w:t>Institución</w:t>
      </w:r>
      <w:r>
        <w:rPr>
          <w:spacing w:val="-8"/>
          <w:sz w:val="22"/>
        </w:rPr>
        <w:t> </w:t>
      </w:r>
      <w:r>
        <w:rPr>
          <w:sz w:val="22"/>
        </w:rPr>
        <w:t>requiere</w:t>
      </w:r>
      <w:r>
        <w:rPr>
          <w:spacing w:val="-5"/>
          <w:sz w:val="22"/>
        </w:rPr>
        <w:t> </w:t>
      </w:r>
      <w:r>
        <w:rPr>
          <w:sz w:val="22"/>
        </w:rPr>
        <w:t>para</w:t>
      </w:r>
      <w:r>
        <w:rPr>
          <w:spacing w:val="-7"/>
          <w:sz w:val="22"/>
        </w:rPr>
        <w:t> </w:t>
      </w:r>
      <w:r>
        <w:rPr>
          <w:sz w:val="22"/>
        </w:rPr>
        <w:t>cubrir gasto operativo y la ejecución de los servicios y beneficios que otorga el IMAS.</w:t>
      </w:r>
    </w:p>
    <w:p>
      <w:pPr>
        <w:pStyle w:val="ListParagraph"/>
        <w:numPr>
          <w:ilvl w:val="0"/>
          <w:numId w:val="11"/>
        </w:numPr>
        <w:tabs>
          <w:tab w:pos="1899" w:val="left" w:leader="none"/>
        </w:tabs>
        <w:spacing w:line="240" w:lineRule="auto" w:before="0" w:after="0"/>
        <w:ind w:left="1625" w:right="1604" w:firstLine="0"/>
        <w:jc w:val="left"/>
        <w:rPr>
          <w:sz w:val="22"/>
        </w:rPr>
      </w:pPr>
      <w:r>
        <w:rPr>
          <w:sz w:val="22"/>
        </w:rPr>
        <w:t>Deficientes plataformas tecnológicas para la captación de recursos operativos y de</w:t>
      </w:r>
      <w:r>
        <w:rPr>
          <w:spacing w:val="40"/>
          <w:sz w:val="22"/>
        </w:rPr>
        <w:t> </w:t>
      </w:r>
      <w:r>
        <w:rPr>
          <w:sz w:val="22"/>
        </w:rPr>
        <w:t>inversión social</w:t>
      </w:r>
    </w:p>
    <w:p>
      <w:pPr>
        <w:pStyle w:val="ListParagraph"/>
        <w:numPr>
          <w:ilvl w:val="0"/>
          <w:numId w:val="11"/>
        </w:numPr>
        <w:tabs>
          <w:tab w:pos="1902" w:val="left" w:leader="none"/>
        </w:tabs>
        <w:spacing w:line="240" w:lineRule="auto" w:before="1" w:after="0"/>
        <w:ind w:left="1625" w:right="1607" w:firstLine="0"/>
        <w:jc w:val="left"/>
        <w:rPr>
          <w:sz w:val="22"/>
        </w:rPr>
      </w:pPr>
      <w:r>
        <w:rPr>
          <w:sz w:val="22"/>
        </w:rPr>
        <w:t>Posibles</w:t>
      </w:r>
      <w:r>
        <w:rPr>
          <w:spacing w:val="28"/>
          <w:sz w:val="22"/>
        </w:rPr>
        <w:t> </w:t>
      </w:r>
      <w:r>
        <w:rPr>
          <w:sz w:val="22"/>
        </w:rPr>
        <w:t>actos</w:t>
      </w:r>
      <w:r>
        <w:rPr>
          <w:spacing w:val="26"/>
          <w:sz w:val="22"/>
        </w:rPr>
        <w:t> </w:t>
      </w:r>
      <w:r>
        <w:rPr>
          <w:sz w:val="22"/>
        </w:rPr>
        <w:t>de</w:t>
      </w:r>
      <w:r>
        <w:rPr>
          <w:spacing w:val="26"/>
          <w:sz w:val="22"/>
        </w:rPr>
        <w:t> </w:t>
      </w:r>
      <w:r>
        <w:rPr>
          <w:sz w:val="22"/>
        </w:rPr>
        <w:t>corrupción</w:t>
      </w:r>
      <w:r>
        <w:rPr>
          <w:spacing w:val="28"/>
          <w:sz w:val="22"/>
        </w:rPr>
        <w:t> </w:t>
      </w:r>
      <w:r>
        <w:rPr>
          <w:sz w:val="22"/>
        </w:rPr>
        <w:t>debido</w:t>
      </w:r>
      <w:r>
        <w:rPr>
          <w:spacing w:val="26"/>
          <w:sz w:val="22"/>
        </w:rPr>
        <w:t> </w:t>
      </w:r>
      <w:r>
        <w:rPr>
          <w:sz w:val="22"/>
        </w:rPr>
        <w:t>a</w:t>
      </w:r>
      <w:r>
        <w:rPr>
          <w:spacing w:val="28"/>
          <w:sz w:val="22"/>
        </w:rPr>
        <w:t> </w:t>
      </w:r>
      <w:r>
        <w:rPr>
          <w:sz w:val="22"/>
        </w:rPr>
        <w:t>la</w:t>
      </w:r>
      <w:r>
        <w:rPr>
          <w:spacing w:val="26"/>
          <w:sz w:val="22"/>
        </w:rPr>
        <w:t> </w:t>
      </w:r>
      <w:r>
        <w:rPr>
          <w:sz w:val="22"/>
        </w:rPr>
        <w:t>naturaleza</w:t>
      </w:r>
      <w:r>
        <w:rPr>
          <w:spacing w:val="28"/>
          <w:sz w:val="22"/>
        </w:rPr>
        <w:t> </w:t>
      </w:r>
      <w:r>
        <w:rPr>
          <w:sz w:val="22"/>
        </w:rPr>
        <w:t>de</w:t>
      </w:r>
      <w:r>
        <w:rPr>
          <w:spacing w:val="26"/>
          <w:sz w:val="22"/>
        </w:rPr>
        <w:t> </w:t>
      </w:r>
      <w:r>
        <w:rPr>
          <w:sz w:val="22"/>
        </w:rPr>
        <w:t>la</w:t>
      </w:r>
      <w:r>
        <w:rPr>
          <w:spacing w:val="28"/>
          <w:sz w:val="22"/>
        </w:rPr>
        <w:t> </w:t>
      </w:r>
      <w:r>
        <w:rPr>
          <w:sz w:val="22"/>
        </w:rPr>
        <w:t>gestión</w:t>
      </w:r>
      <w:r>
        <w:rPr>
          <w:spacing w:val="28"/>
          <w:sz w:val="22"/>
        </w:rPr>
        <w:t> </w:t>
      </w:r>
      <w:r>
        <w:rPr>
          <w:sz w:val="22"/>
        </w:rPr>
        <w:t>por</w:t>
      </w:r>
      <w:r>
        <w:rPr>
          <w:spacing w:val="29"/>
          <w:sz w:val="22"/>
        </w:rPr>
        <w:t> </w:t>
      </w:r>
      <w:r>
        <w:rPr>
          <w:sz w:val="22"/>
        </w:rPr>
        <w:t>parte</w:t>
      </w:r>
      <w:r>
        <w:rPr>
          <w:spacing w:val="26"/>
          <w:sz w:val="22"/>
        </w:rPr>
        <w:t> </w:t>
      </w:r>
      <w:r>
        <w:rPr>
          <w:sz w:val="22"/>
        </w:rPr>
        <w:t>de</w:t>
      </w:r>
      <w:r>
        <w:rPr>
          <w:spacing w:val="28"/>
          <w:sz w:val="22"/>
        </w:rPr>
        <w:t> </w:t>
      </w:r>
      <w:r>
        <w:rPr>
          <w:sz w:val="22"/>
        </w:rPr>
        <w:t>las personas funcionarias o trabajadoras de la Institución.</w:t>
      </w:r>
    </w:p>
    <w:p>
      <w:pPr>
        <w:pStyle w:val="BodyText"/>
        <w:spacing w:before="251"/>
      </w:pPr>
    </w:p>
    <w:p>
      <w:pPr>
        <w:pStyle w:val="Heading5"/>
        <w:spacing w:before="1"/>
        <w:jc w:val="both"/>
      </w:pPr>
      <w:r>
        <w:rPr/>
        <w:t>Eje</w:t>
      </w:r>
      <w:r>
        <w:rPr>
          <w:spacing w:val="-7"/>
        </w:rPr>
        <w:t> </w:t>
      </w:r>
      <w:r>
        <w:rPr/>
        <w:t>estratégico</w:t>
      </w:r>
      <w:r>
        <w:rPr>
          <w:spacing w:val="-4"/>
        </w:rPr>
        <w:t> </w:t>
      </w:r>
      <w:r>
        <w:rPr/>
        <w:t>6:</w:t>
      </w:r>
      <w:r>
        <w:rPr>
          <w:spacing w:val="-5"/>
        </w:rPr>
        <w:t> </w:t>
      </w:r>
      <w:r>
        <w:rPr/>
        <w:t>Optimización</w:t>
      </w:r>
      <w:r>
        <w:rPr>
          <w:spacing w:val="-4"/>
        </w:rPr>
        <w:t> </w:t>
      </w:r>
      <w:r>
        <w:rPr/>
        <w:t>de</w:t>
      </w:r>
      <w:r>
        <w:rPr>
          <w:spacing w:val="-7"/>
        </w:rPr>
        <w:t> </w:t>
      </w:r>
      <w:r>
        <w:rPr/>
        <w:t>recurso</w:t>
      </w:r>
      <w:r>
        <w:rPr>
          <w:spacing w:val="-4"/>
        </w:rPr>
        <w:t> </w:t>
      </w:r>
      <w:r>
        <w:rPr>
          <w:spacing w:val="-2"/>
        </w:rPr>
        <w:t>Humano</w:t>
      </w:r>
    </w:p>
    <w:p>
      <w:pPr>
        <w:pStyle w:val="BodyText"/>
        <w:rPr>
          <w:b/>
        </w:rPr>
      </w:pPr>
    </w:p>
    <w:p>
      <w:pPr>
        <w:pStyle w:val="BodyText"/>
        <w:ind w:left="1625" w:right="1607"/>
        <w:jc w:val="both"/>
      </w:pPr>
      <w:r>
        <w:rPr>
          <w:b/>
        </w:rPr>
        <w:t>Objetivo estratégico: </w:t>
      </w:r>
      <w:r>
        <w:rPr/>
        <w:t>Contribuir a la consecución de la eficacia y la eficiencia en la prestación de servicios y de la utilización de los recursos disponibles para generar valor público, sobre la base de un ambiente de gestión, condiciones.</w:t>
      </w:r>
    </w:p>
    <w:p>
      <w:pPr>
        <w:pStyle w:val="BodyText"/>
        <w:spacing w:before="1"/>
      </w:pPr>
    </w:p>
    <w:p>
      <w:pPr>
        <w:pStyle w:val="Heading5"/>
        <w:jc w:val="both"/>
      </w:pPr>
      <w:r>
        <w:rPr/>
        <w:t>Eventos</w:t>
      </w:r>
      <w:r>
        <w:rPr>
          <w:spacing w:val="-6"/>
        </w:rPr>
        <w:t> </w:t>
      </w:r>
      <w:r>
        <w:rPr>
          <w:spacing w:val="-2"/>
        </w:rPr>
        <w:t>estratégicos:</w:t>
      </w:r>
    </w:p>
    <w:p>
      <w:pPr>
        <w:pStyle w:val="ListParagraph"/>
        <w:numPr>
          <w:ilvl w:val="0"/>
          <w:numId w:val="12"/>
        </w:numPr>
        <w:tabs>
          <w:tab w:pos="1911" w:val="left" w:leader="none"/>
        </w:tabs>
        <w:spacing w:line="240" w:lineRule="auto" w:before="239" w:after="0"/>
        <w:ind w:left="1625" w:right="1607" w:firstLine="0"/>
        <w:jc w:val="left"/>
        <w:rPr>
          <w:sz w:val="22"/>
        </w:rPr>
      </w:pPr>
      <w:r>
        <w:rPr>
          <w:sz w:val="22"/>
        </w:rPr>
        <w:t>Necesidades</w:t>
      </w:r>
      <w:r>
        <w:rPr>
          <w:spacing w:val="36"/>
          <w:sz w:val="22"/>
        </w:rPr>
        <w:t> </w:t>
      </w:r>
      <w:r>
        <w:rPr>
          <w:sz w:val="22"/>
        </w:rPr>
        <w:t>de</w:t>
      </w:r>
      <w:r>
        <w:rPr>
          <w:spacing w:val="35"/>
          <w:sz w:val="22"/>
        </w:rPr>
        <w:t> </w:t>
      </w:r>
      <w:r>
        <w:rPr>
          <w:sz w:val="22"/>
        </w:rPr>
        <w:t>la</w:t>
      </w:r>
      <w:r>
        <w:rPr>
          <w:spacing w:val="38"/>
          <w:sz w:val="22"/>
        </w:rPr>
        <w:t> </w:t>
      </w:r>
      <w:r>
        <w:rPr>
          <w:sz w:val="22"/>
        </w:rPr>
        <w:t>población</w:t>
      </w:r>
      <w:r>
        <w:rPr>
          <w:spacing w:val="37"/>
          <w:sz w:val="22"/>
        </w:rPr>
        <w:t> </w:t>
      </w:r>
      <w:r>
        <w:rPr>
          <w:sz w:val="22"/>
        </w:rPr>
        <w:t>objetivo</w:t>
      </w:r>
      <w:r>
        <w:rPr>
          <w:spacing w:val="35"/>
          <w:sz w:val="22"/>
        </w:rPr>
        <w:t> </w:t>
      </w:r>
      <w:r>
        <w:rPr>
          <w:sz w:val="22"/>
        </w:rPr>
        <w:t>que</w:t>
      </w:r>
      <w:r>
        <w:rPr>
          <w:spacing w:val="35"/>
          <w:sz w:val="22"/>
        </w:rPr>
        <w:t> </w:t>
      </w:r>
      <w:r>
        <w:rPr>
          <w:sz w:val="22"/>
        </w:rPr>
        <w:t>no</w:t>
      </w:r>
      <w:r>
        <w:rPr>
          <w:spacing w:val="38"/>
          <w:sz w:val="22"/>
        </w:rPr>
        <w:t> </w:t>
      </w:r>
      <w:r>
        <w:rPr>
          <w:sz w:val="22"/>
        </w:rPr>
        <w:t>sean</w:t>
      </w:r>
      <w:r>
        <w:rPr>
          <w:spacing w:val="35"/>
          <w:sz w:val="22"/>
        </w:rPr>
        <w:t> </w:t>
      </w:r>
      <w:r>
        <w:rPr>
          <w:sz w:val="22"/>
        </w:rPr>
        <w:t>atendidas</w:t>
      </w:r>
      <w:r>
        <w:rPr>
          <w:spacing w:val="36"/>
          <w:sz w:val="22"/>
        </w:rPr>
        <w:t> </w:t>
      </w:r>
      <w:r>
        <w:rPr>
          <w:sz w:val="22"/>
        </w:rPr>
        <w:t>debido</w:t>
      </w:r>
      <w:r>
        <w:rPr>
          <w:spacing w:val="37"/>
          <w:sz w:val="22"/>
        </w:rPr>
        <w:t> </w:t>
      </w:r>
      <w:r>
        <w:rPr>
          <w:sz w:val="22"/>
        </w:rPr>
        <w:t>a</w:t>
      </w:r>
      <w:r>
        <w:rPr>
          <w:spacing w:val="38"/>
          <w:sz w:val="22"/>
        </w:rPr>
        <w:t> </w:t>
      </w:r>
      <w:r>
        <w:rPr>
          <w:sz w:val="22"/>
        </w:rPr>
        <w:t>la</w:t>
      </w:r>
      <w:r>
        <w:rPr>
          <w:spacing w:val="35"/>
          <w:sz w:val="22"/>
        </w:rPr>
        <w:t> </w:t>
      </w:r>
      <w:r>
        <w:rPr>
          <w:sz w:val="22"/>
        </w:rPr>
        <w:t>limitada planificación estratégica de recurso humano.</w:t>
      </w:r>
    </w:p>
    <w:p>
      <w:pPr>
        <w:pStyle w:val="Heading3"/>
        <w:spacing w:before="241"/>
        <w:ind w:left="1625"/>
        <w:jc w:val="both"/>
      </w:pPr>
      <w:r>
        <w:rPr/>
        <w:t>Riesgos</w:t>
      </w:r>
      <w:r>
        <w:rPr>
          <w:spacing w:val="-5"/>
        </w:rPr>
        <w:t> </w:t>
      </w:r>
      <w:r>
        <w:rPr/>
        <w:t>Operativos</w:t>
      </w:r>
      <w:r>
        <w:rPr>
          <w:spacing w:val="-4"/>
        </w:rPr>
        <w:t> </w:t>
      </w:r>
      <w:r>
        <w:rPr/>
        <w:t>y</w:t>
      </w:r>
      <w:r>
        <w:rPr>
          <w:spacing w:val="-5"/>
        </w:rPr>
        <w:t> </w:t>
      </w:r>
      <w:r>
        <w:rPr>
          <w:spacing w:val="-2"/>
        </w:rPr>
        <w:t>Gerenciales</w:t>
      </w:r>
    </w:p>
    <w:p>
      <w:pPr>
        <w:pStyle w:val="BodyText"/>
        <w:spacing w:before="254"/>
        <w:ind w:left="1625" w:right="1601"/>
        <w:jc w:val="both"/>
      </w:pPr>
      <w:r>
        <w:rPr/>
        <w:t>Los planes institucionales del IMAS están orientados a impulsar el desarrollo social y la generación de valor público mediante una gestión basada en resultados, que responda de</w:t>
      </w:r>
      <w:r>
        <w:rPr>
          <w:spacing w:val="-13"/>
        </w:rPr>
        <w:t> </w:t>
      </w:r>
      <w:r>
        <w:rPr/>
        <w:t>manera</w:t>
      </w:r>
      <w:r>
        <w:rPr>
          <w:spacing w:val="-14"/>
        </w:rPr>
        <w:t> </w:t>
      </w:r>
      <w:r>
        <w:rPr/>
        <w:t>eficaz</w:t>
      </w:r>
      <w:r>
        <w:rPr>
          <w:spacing w:val="-14"/>
        </w:rPr>
        <w:t> </w:t>
      </w:r>
      <w:r>
        <w:rPr/>
        <w:t>a</w:t>
      </w:r>
      <w:r>
        <w:rPr>
          <w:spacing w:val="-15"/>
        </w:rPr>
        <w:t> </w:t>
      </w:r>
      <w:r>
        <w:rPr/>
        <w:t>las</w:t>
      </w:r>
      <w:r>
        <w:rPr>
          <w:spacing w:val="-15"/>
        </w:rPr>
        <w:t> </w:t>
      </w:r>
      <w:r>
        <w:rPr/>
        <w:t>necesidades</w:t>
      </w:r>
      <w:r>
        <w:rPr>
          <w:spacing w:val="-12"/>
        </w:rPr>
        <w:t> </w:t>
      </w:r>
      <w:r>
        <w:rPr/>
        <w:t>de</w:t>
      </w:r>
      <w:r>
        <w:rPr>
          <w:spacing w:val="-15"/>
        </w:rPr>
        <w:t> </w:t>
      </w:r>
      <w:r>
        <w:rPr/>
        <w:t>la</w:t>
      </w:r>
      <w:r>
        <w:rPr>
          <w:spacing w:val="-12"/>
        </w:rPr>
        <w:t> </w:t>
      </w:r>
      <w:r>
        <w:rPr/>
        <w:t>población</w:t>
      </w:r>
      <w:r>
        <w:rPr>
          <w:spacing w:val="-13"/>
        </w:rPr>
        <w:t> </w:t>
      </w:r>
      <w:r>
        <w:rPr/>
        <w:t>en</w:t>
      </w:r>
      <w:r>
        <w:rPr>
          <w:spacing w:val="-15"/>
        </w:rPr>
        <w:t> </w:t>
      </w:r>
      <w:r>
        <w:rPr/>
        <w:t>condición</w:t>
      </w:r>
      <w:r>
        <w:rPr>
          <w:spacing w:val="-13"/>
        </w:rPr>
        <w:t> </w:t>
      </w:r>
      <w:r>
        <w:rPr/>
        <w:t>de</w:t>
      </w:r>
      <w:r>
        <w:rPr>
          <w:spacing w:val="-15"/>
        </w:rPr>
        <w:t> </w:t>
      </w:r>
      <w:r>
        <w:rPr/>
        <w:t>vulnerabilidad.</w:t>
      </w:r>
      <w:r>
        <w:rPr>
          <w:spacing w:val="-9"/>
        </w:rPr>
        <w:t> </w:t>
      </w:r>
      <w:r>
        <w:rPr/>
        <w:t>Como parte de este enfoque, se incorpora la gestión de riesgos desde una perspectiva preventiva, a través de un proceso sistemático de identificación, análisis, valoración, seguimiento</w:t>
      </w:r>
      <w:r>
        <w:rPr>
          <w:spacing w:val="-3"/>
        </w:rPr>
        <w:t> </w:t>
      </w:r>
      <w:r>
        <w:rPr/>
        <w:t>y</w:t>
      </w:r>
      <w:r>
        <w:rPr>
          <w:spacing w:val="-2"/>
        </w:rPr>
        <w:t> </w:t>
      </w:r>
      <w:r>
        <w:rPr/>
        <w:t>monitoreo</w:t>
      </w:r>
      <w:r>
        <w:rPr>
          <w:spacing w:val="-3"/>
        </w:rPr>
        <w:t> </w:t>
      </w:r>
      <w:r>
        <w:rPr/>
        <w:t>de</w:t>
      </w:r>
      <w:r>
        <w:rPr>
          <w:spacing w:val="-1"/>
        </w:rPr>
        <w:t> </w:t>
      </w:r>
      <w:r>
        <w:rPr/>
        <w:t>aquellos</w:t>
      </w:r>
      <w:r>
        <w:rPr>
          <w:spacing w:val="-3"/>
        </w:rPr>
        <w:t> </w:t>
      </w:r>
      <w:r>
        <w:rPr/>
        <w:t>factores</w:t>
      </w:r>
      <w:r>
        <w:rPr>
          <w:spacing w:val="-2"/>
        </w:rPr>
        <w:t> </w:t>
      </w:r>
      <w:r>
        <w:rPr/>
        <w:t>que puedan</w:t>
      </w:r>
      <w:r>
        <w:rPr>
          <w:spacing w:val="-1"/>
        </w:rPr>
        <w:t> </w:t>
      </w:r>
      <w:r>
        <w:rPr/>
        <w:t>afectar</w:t>
      </w:r>
      <w:r>
        <w:rPr>
          <w:spacing w:val="-2"/>
        </w:rPr>
        <w:t> </w:t>
      </w:r>
      <w:r>
        <w:rPr/>
        <w:t>el</w:t>
      </w:r>
      <w:r>
        <w:rPr>
          <w:spacing w:val="-2"/>
        </w:rPr>
        <w:t> </w:t>
      </w:r>
      <w:r>
        <w:rPr/>
        <w:t>cumplimiento de los objetivos institucionales. Esta articulación favorece la toma de decisiones informadas, fortalece la resiliencia operativa de la institución y contribuye a una mayor eficiencia, transparencia y efectividad en la ejecución de los programas sociales.</w:t>
      </w:r>
    </w:p>
    <w:p>
      <w:pPr>
        <w:pStyle w:val="BodyText"/>
      </w:pPr>
    </w:p>
    <w:p>
      <w:pPr>
        <w:pStyle w:val="BodyText"/>
        <w:spacing w:before="1"/>
        <w:ind w:left="1625" w:right="1602"/>
        <w:jc w:val="both"/>
      </w:pPr>
      <w:r>
        <w:rPr/>
        <w:t>En este marco, las distintas instancias institucionales fueron convocadas a sesiones de trabajo y asesoría por parte de Planificación Institucional, en el contexto de su proceso de Control Interno. Durante estas sesiones se llevó a cabo la identificación y análisis de los riesgos que podrían</w:t>
      </w:r>
      <w:r>
        <w:rPr>
          <w:spacing w:val="-2"/>
        </w:rPr>
        <w:t> </w:t>
      </w:r>
      <w:r>
        <w:rPr/>
        <w:t>incidir en</w:t>
      </w:r>
      <w:r>
        <w:rPr>
          <w:spacing w:val="-1"/>
        </w:rPr>
        <w:t> </w:t>
      </w:r>
      <w:r>
        <w:rPr/>
        <w:t>el</w:t>
      </w:r>
      <w:r>
        <w:rPr>
          <w:spacing w:val="-1"/>
        </w:rPr>
        <w:t> </w:t>
      </w:r>
      <w:r>
        <w:rPr/>
        <w:t>cumplimiento</w:t>
      </w:r>
      <w:r>
        <w:rPr>
          <w:spacing w:val="-2"/>
        </w:rPr>
        <w:t> </w:t>
      </w:r>
      <w:r>
        <w:rPr/>
        <w:t>de</w:t>
      </w:r>
      <w:r>
        <w:rPr>
          <w:spacing w:val="-1"/>
        </w:rPr>
        <w:t> </w:t>
      </w:r>
      <w:r>
        <w:rPr/>
        <w:t>los objetivos institucionales bajo su responsabilidad, considerando los distintos instrumentos de planificación institucional, a saber: el Plan Estratégico Institucional (PEI 2023-2028), el Plan Operativo Institucional (POI) y el Plan Operativo Gerencial (POGE), incluyendo sus respectivos resultados, productos y actividades.</w:t>
      </w:r>
    </w:p>
    <w:p>
      <w:pPr>
        <w:pStyle w:val="BodyText"/>
        <w:spacing w:after="0"/>
        <w:jc w:val="both"/>
        <w:sectPr>
          <w:pgSz w:w="12240" w:h="15840"/>
          <w:pgMar w:header="0" w:footer="1576" w:top="1000" w:bottom="1760" w:left="360" w:right="0"/>
        </w:sectPr>
      </w:pPr>
    </w:p>
    <w:p>
      <w:pPr>
        <w:pStyle w:val="Heading5"/>
        <w:spacing w:before="69"/>
        <w:ind w:left="97"/>
        <w:jc w:val="center"/>
      </w:pPr>
      <w:bookmarkStart w:name="_bookmark19" w:id="20"/>
      <w:bookmarkEnd w:id="20"/>
      <w:r>
        <w:rPr>
          <w:b w:val="0"/>
        </w:rPr>
      </w:r>
      <w:r>
        <w:rPr/>
        <w:t>Gráfico</w:t>
      </w:r>
      <w:r>
        <w:rPr>
          <w:spacing w:val="-5"/>
        </w:rPr>
        <w:t> </w:t>
      </w:r>
      <w:r>
        <w:rPr/>
        <w:t>2:</w:t>
      </w:r>
      <w:r>
        <w:rPr>
          <w:spacing w:val="-4"/>
        </w:rPr>
        <w:t> </w:t>
      </w:r>
      <w:r>
        <w:rPr/>
        <w:t>Nivel</w:t>
      </w:r>
      <w:r>
        <w:rPr>
          <w:spacing w:val="-4"/>
        </w:rPr>
        <w:t> </w:t>
      </w:r>
      <w:r>
        <w:rPr/>
        <w:t>de</w:t>
      </w:r>
      <w:r>
        <w:rPr>
          <w:spacing w:val="-6"/>
        </w:rPr>
        <w:t> </w:t>
      </w:r>
      <w:r>
        <w:rPr/>
        <w:t>riesgo</w:t>
      </w:r>
      <w:r>
        <w:rPr>
          <w:spacing w:val="-2"/>
        </w:rPr>
        <w:t> controlado</w:t>
      </w:r>
    </w:p>
    <w:p>
      <w:pPr>
        <w:pStyle w:val="BodyText"/>
        <w:spacing w:before="7"/>
        <w:rPr>
          <w:b/>
          <w:sz w:val="20"/>
        </w:rPr>
      </w:pPr>
      <w:r>
        <w:rPr>
          <w:b/>
          <w:sz w:val="20"/>
        </w:rPr>
        <w:drawing>
          <wp:anchor distT="0" distB="0" distL="0" distR="0" allowOverlap="1" layoutInCell="1" locked="0" behindDoc="1" simplePos="0" relativeHeight="487589888">
            <wp:simplePos x="0" y="0"/>
            <wp:positionH relativeFrom="page">
              <wp:posOffset>1703704</wp:posOffset>
            </wp:positionH>
            <wp:positionV relativeFrom="paragraph">
              <wp:posOffset>165748</wp:posOffset>
            </wp:positionV>
            <wp:extent cx="4440321" cy="2338578"/>
            <wp:effectExtent l="0" t="0" r="0" b="0"/>
            <wp:wrapTopAndBottom/>
            <wp:docPr id="62" name="Image 62" descr="Gráfico, Gráfico de barras  El contenido generado por IA puede ser incorrecto."/>
            <wp:cNvGraphicFramePr>
              <a:graphicFrameLocks/>
            </wp:cNvGraphicFramePr>
            <a:graphic>
              <a:graphicData uri="http://schemas.openxmlformats.org/drawingml/2006/picture">
                <pic:pic>
                  <pic:nvPicPr>
                    <pic:cNvPr id="62" name="Image 62" descr="Gráfico, Gráfico de barras  El contenido generado por IA puede ser incorrecto."/>
                    <pic:cNvPicPr/>
                  </pic:nvPicPr>
                  <pic:blipFill>
                    <a:blip r:embed="rId33" cstate="print"/>
                    <a:stretch>
                      <a:fillRect/>
                    </a:stretch>
                  </pic:blipFill>
                  <pic:spPr>
                    <a:xfrm>
                      <a:off x="0" y="0"/>
                      <a:ext cx="4440321" cy="2338578"/>
                    </a:xfrm>
                    <a:prstGeom prst="rect">
                      <a:avLst/>
                    </a:prstGeom>
                  </pic:spPr>
                </pic:pic>
              </a:graphicData>
            </a:graphic>
          </wp:anchor>
        </w:drawing>
      </w:r>
    </w:p>
    <w:p>
      <w:pPr>
        <w:spacing w:before="80"/>
        <w:ind w:left="1460" w:right="1312" w:firstLine="0"/>
        <w:jc w:val="center"/>
        <w:rPr>
          <w:sz w:val="18"/>
        </w:rPr>
      </w:pPr>
      <w:r>
        <w:rPr>
          <w:sz w:val="18"/>
        </w:rPr>
        <w:t>Fuente:</w:t>
      </w:r>
      <w:r>
        <w:rPr>
          <w:spacing w:val="-6"/>
          <w:sz w:val="18"/>
        </w:rPr>
        <w:t> </w:t>
      </w:r>
      <w:r>
        <w:rPr>
          <w:sz w:val="18"/>
        </w:rPr>
        <w:t>Elaborado</w:t>
      </w:r>
      <w:r>
        <w:rPr>
          <w:spacing w:val="-3"/>
          <w:sz w:val="18"/>
        </w:rPr>
        <w:t> </w:t>
      </w:r>
      <w:r>
        <w:rPr>
          <w:sz w:val="18"/>
        </w:rPr>
        <w:t>por</w:t>
      </w:r>
      <w:r>
        <w:rPr>
          <w:spacing w:val="-3"/>
          <w:sz w:val="18"/>
        </w:rPr>
        <w:t> </w:t>
      </w:r>
      <w:r>
        <w:rPr>
          <w:sz w:val="18"/>
        </w:rPr>
        <w:t>Planificación</w:t>
      </w:r>
      <w:r>
        <w:rPr>
          <w:spacing w:val="-3"/>
          <w:sz w:val="18"/>
        </w:rPr>
        <w:t> </w:t>
      </w:r>
      <w:r>
        <w:rPr>
          <w:sz w:val="18"/>
        </w:rPr>
        <w:t>Institucional</w:t>
      </w:r>
      <w:r>
        <w:rPr>
          <w:spacing w:val="-3"/>
          <w:sz w:val="18"/>
        </w:rPr>
        <w:t> </w:t>
      </w:r>
      <w:r>
        <w:rPr>
          <w:sz w:val="18"/>
        </w:rPr>
        <w:t>con</w:t>
      </w:r>
      <w:r>
        <w:rPr>
          <w:spacing w:val="-3"/>
          <w:sz w:val="18"/>
        </w:rPr>
        <w:t> </w:t>
      </w:r>
      <w:r>
        <w:rPr>
          <w:sz w:val="18"/>
        </w:rPr>
        <w:t>base</w:t>
      </w:r>
      <w:r>
        <w:rPr>
          <w:spacing w:val="-3"/>
          <w:sz w:val="18"/>
        </w:rPr>
        <w:t> </w:t>
      </w:r>
      <w:r>
        <w:rPr>
          <w:sz w:val="18"/>
        </w:rPr>
        <w:t>en</w:t>
      </w:r>
      <w:r>
        <w:rPr>
          <w:spacing w:val="-3"/>
          <w:sz w:val="18"/>
        </w:rPr>
        <w:t> </w:t>
      </w:r>
      <w:r>
        <w:rPr>
          <w:sz w:val="18"/>
        </w:rPr>
        <w:t>el</w:t>
      </w:r>
      <w:r>
        <w:rPr>
          <w:spacing w:val="-5"/>
          <w:sz w:val="18"/>
        </w:rPr>
        <w:t> </w:t>
      </w:r>
      <w:r>
        <w:rPr>
          <w:sz w:val="18"/>
        </w:rPr>
        <w:t>proceso</w:t>
      </w:r>
      <w:r>
        <w:rPr>
          <w:spacing w:val="-5"/>
          <w:sz w:val="18"/>
        </w:rPr>
        <w:t> </w:t>
      </w:r>
      <w:r>
        <w:rPr>
          <w:sz w:val="18"/>
        </w:rPr>
        <w:t>de</w:t>
      </w:r>
      <w:r>
        <w:rPr>
          <w:spacing w:val="-5"/>
          <w:sz w:val="18"/>
        </w:rPr>
        <w:t> </w:t>
      </w:r>
      <w:r>
        <w:rPr>
          <w:sz w:val="18"/>
        </w:rPr>
        <w:t>valoración</w:t>
      </w:r>
      <w:r>
        <w:rPr>
          <w:spacing w:val="-5"/>
          <w:sz w:val="18"/>
        </w:rPr>
        <w:t> </w:t>
      </w:r>
      <w:r>
        <w:rPr>
          <w:sz w:val="18"/>
        </w:rPr>
        <w:t>de</w:t>
      </w:r>
      <w:r>
        <w:rPr>
          <w:spacing w:val="-5"/>
          <w:sz w:val="18"/>
        </w:rPr>
        <w:t> </w:t>
      </w:r>
      <w:r>
        <w:rPr>
          <w:spacing w:val="-2"/>
          <w:sz w:val="18"/>
        </w:rPr>
        <w:t>Riesgos.</w:t>
      </w:r>
    </w:p>
    <w:p>
      <w:pPr>
        <w:pStyle w:val="BodyText"/>
        <w:spacing w:before="2"/>
        <w:rPr>
          <w:sz w:val="18"/>
        </w:rPr>
      </w:pPr>
    </w:p>
    <w:p>
      <w:pPr>
        <w:pStyle w:val="BodyText"/>
        <w:spacing w:before="1"/>
        <w:ind w:left="1625" w:right="1603"/>
        <w:jc w:val="both"/>
      </w:pPr>
      <w:r>
        <w:rPr/>
        <w:t>En</w:t>
      </w:r>
      <w:r>
        <w:rPr>
          <w:spacing w:val="-16"/>
        </w:rPr>
        <w:t> </w:t>
      </w:r>
      <w:r>
        <w:rPr/>
        <w:t>el</w:t>
      </w:r>
      <w:r>
        <w:rPr>
          <w:spacing w:val="-15"/>
        </w:rPr>
        <w:t> </w:t>
      </w:r>
      <w:r>
        <w:rPr/>
        <w:t>ejercicio</w:t>
      </w:r>
      <w:r>
        <w:rPr>
          <w:spacing w:val="-15"/>
        </w:rPr>
        <w:t> </w:t>
      </w:r>
      <w:r>
        <w:rPr/>
        <w:t>realizado,</w:t>
      </w:r>
      <w:r>
        <w:rPr>
          <w:spacing w:val="-16"/>
        </w:rPr>
        <w:t> </w:t>
      </w:r>
      <w:r>
        <w:rPr/>
        <w:t>las</w:t>
      </w:r>
      <w:r>
        <w:rPr>
          <w:spacing w:val="-15"/>
        </w:rPr>
        <w:t> </w:t>
      </w:r>
      <w:r>
        <w:rPr/>
        <w:t>instancias</w:t>
      </w:r>
      <w:r>
        <w:rPr>
          <w:spacing w:val="-15"/>
        </w:rPr>
        <w:t> </w:t>
      </w:r>
      <w:r>
        <w:rPr/>
        <w:t>institucionales</w:t>
      </w:r>
      <w:r>
        <w:rPr>
          <w:spacing w:val="-15"/>
        </w:rPr>
        <w:t> </w:t>
      </w:r>
      <w:r>
        <w:rPr/>
        <w:t>identificaron</w:t>
      </w:r>
      <w:r>
        <w:rPr>
          <w:spacing w:val="-16"/>
        </w:rPr>
        <w:t> </w:t>
      </w:r>
      <w:r>
        <w:rPr/>
        <w:t>un</w:t>
      </w:r>
      <w:r>
        <w:rPr>
          <w:spacing w:val="-15"/>
        </w:rPr>
        <w:t> </w:t>
      </w:r>
      <w:r>
        <w:rPr/>
        <w:t>total</w:t>
      </w:r>
      <w:r>
        <w:rPr>
          <w:spacing w:val="-15"/>
        </w:rPr>
        <w:t> </w:t>
      </w:r>
      <w:r>
        <w:rPr/>
        <w:t>de</w:t>
      </w:r>
      <w:r>
        <w:rPr>
          <w:spacing w:val="-16"/>
        </w:rPr>
        <w:t> </w:t>
      </w:r>
      <w:r>
        <w:rPr/>
        <w:t>306</w:t>
      </w:r>
      <w:r>
        <w:rPr>
          <w:spacing w:val="-15"/>
        </w:rPr>
        <w:t> </w:t>
      </w:r>
      <w:r>
        <w:rPr/>
        <w:t>riesgos. De acuerdo con la metodología aplicada para el Sistema Específico de Valoración del Riesgo Institucional (SEVRI), la clasificación del nivel de riesgo controlado se distribuye de la siguiente manera:</w:t>
      </w:r>
      <w:r>
        <w:rPr>
          <w:spacing w:val="-3"/>
        </w:rPr>
        <w:t> </w:t>
      </w:r>
      <w:r>
        <w:rPr/>
        <w:t>un 36% corresponde a</w:t>
      </w:r>
      <w:r>
        <w:rPr>
          <w:spacing w:val="-2"/>
        </w:rPr>
        <w:t> </w:t>
      </w:r>
      <w:r>
        <w:rPr/>
        <w:t>riesgos clasificados como</w:t>
      </w:r>
      <w:r>
        <w:rPr>
          <w:spacing w:val="-2"/>
        </w:rPr>
        <w:t> </w:t>
      </w:r>
      <w:r>
        <w:rPr/>
        <w:t>Bajos,</w:t>
      </w:r>
      <w:r>
        <w:rPr>
          <w:spacing w:val="-1"/>
        </w:rPr>
        <w:t> </w:t>
      </w:r>
      <w:r>
        <w:rPr/>
        <w:t>un 42% como Moderados, un 21% como Altos y un 1% como Extremos.</w:t>
      </w:r>
    </w:p>
    <w:p>
      <w:pPr>
        <w:pStyle w:val="BodyText"/>
        <w:spacing w:before="251"/>
        <w:ind w:left="1625" w:right="1601"/>
        <w:jc w:val="both"/>
      </w:pPr>
      <w:r>
        <w:rPr/>
        <w:t>Con</w:t>
      </w:r>
      <w:r>
        <w:rPr>
          <w:spacing w:val="-12"/>
        </w:rPr>
        <w:t> </w:t>
      </w:r>
      <w:r>
        <w:rPr/>
        <w:t>base</w:t>
      </w:r>
      <w:r>
        <w:rPr>
          <w:spacing w:val="-11"/>
        </w:rPr>
        <w:t> </w:t>
      </w:r>
      <w:r>
        <w:rPr/>
        <w:t>en</w:t>
      </w:r>
      <w:r>
        <w:rPr>
          <w:spacing w:val="-14"/>
        </w:rPr>
        <w:t> </w:t>
      </w:r>
      <w:r>
        <w:rPr/>
        <w:t>esta</w:t>
      </w:r>
      <w:r>
        <w:rPr>
          <w:spacing w:val="-13"/>
        </w:rPr>
        <w:t> </w:t>
      </w:r>
      <w:r>
        <w:rPr/>
        <w:t>valoración,</w:t>
      </w:r>
      <w:r>
        <w:rPr>
          <w:spacing w:val="-10"/>
        </w:rPr>
        <w:t> </w:t>
      </w:r>
      <w:r>
        <w:rPr/>
        <w:t>los</w:t>
      </w:r>
      <w:r>
        <w:rPr>
          <w:spacing w:val="-13"/>
        </w:rPr>
        <w:t> </w:t>
      </w:r>
      <w:r>
        <w:rPr/>
        <w:t>riesgos</w:t>
      </w:r>
      <w:r>
        <w:rPr>
          <w:spacing w:val="-11"/>
        </w:rPr>
        <w:t> </w:t>
      </w:r>
      <w:r>
        <w:rPr/>
        <w:t>ubicados</w:t>
      </w:r>
      <w:r>
        <w:rPr>
          <w:spacing w:val="-11"/>
        </w:rPr>
        <w:t> </w:t>
      </w:r>
      <w:r>
        <w:rPr/>
        <w:t>en</w:t>
      </w:r>
      <w:r>
        <w:rPr>
          <w:spacing w:val="-12"/>
        </w:rPr>
        <w:t> </w:t>
      </w:r>
      <w:r>
        <w:rPr/>
        <w:t>los</w:t>
      </w:r>
      <w:r>
        <w:rPr>
          <w:spacing w:val="-14"/>
        </w:rPr>
        <w:t> </w:t>
      </w:r>
      <w:r>
        <w:rPr/>
        <w:t>niveles</w:t>
      </w:r>
      <w:r>
        <w:rPr>
          <w:spacing w:val="-11"/>
        </w:rPr>
        <w:t> </w:t>
      </w:r>
      <w:r>
        <w:rPr/>
        <w:t>Alto</w:t>
      </w:r>
      <w:r>
        <w:rPr>
          <w:spacing w:val="-11"/>
        </w:rPr>
        <w:t> </w:t>
      </w:r>
      <w:r>
        <w:rPr/>
        <w:t>y</w:t>
      </w:r>
      <w:r>
        <w:rPr>
          <w:spacing w:val="-13"/>
        </w:rPr>
        <w:t> </w:t>
      </w:r>
      <w:r>
        <w:rPr/>
        <w:t>Extremo</w:t>
      </w:r>
      <w:r>
        <w:rPr>
          <w:spacing w:val="-13"/>
        </w:rPr>
        <w:t> </w:t>
      </w:r>
      <w:r>
        <w:rPr/>
        <w:t>requieren que las personas titulares subordinadas, en el ámbito de sus competencias definan e implementen medidas de administración orientadas a reducir su impacto y probabilidad de ocurrencia.</w:t>
      </w:r>
    </w:p>
    <w:p>
      <w:pPr>
        <w:pStyle w:val="BodyText"/>
        <w:spacing w:before="1"/>
      </w:pPr>
    </w:p>
    <w:p>
      <w:pPr>
        <w:pStyle w:val="BodyText"/>
        <w:ind w:left="1625" w:right="1606"/>
        <w:jc w:val="both"/>
      </w:pPr>
      <w:r>
        <w:rPr/>
        <w:t>Por su parte, para los riesgos clasificados en los niveles Bajo y Moderado, las personas titulares subordinadas deberán mantener un monitoreo permanente.</w:t>
      </w:r>
    </w:p>
    <w:p>
      <w:pPr>
        <w:pStyle w:val="BodyText"/>
        <w:spacing w:before="1"/>
      </w:pPr>
    </w:p>
    <w:p>
      <w:pPr>
        <w:pStyle w:val="BodyText"/>
        <w:spacing w:before="1"/>
        <w:ind w:left="1625" w:right="1600"/>
        <w:jc w:val="both"/>
      </w:pPr>
      <w:r>
        <w:rPr/>
        <w:t>Es importante señalar que el proceso de valoración de riesgos no concluye con la identificación y evaluación de estos. Actualmente, el SEVRI continúa desarrollando las etapas complementarias establecidas en la normativa institucional, entre ellas el seguimiento</w:t>
      </w:r>
      <w:r>
        <w:rPr>
          <w:spacing w:val="-16"/>
        </w:rPr>
        <w:t> </w:t>
      </w:r>
      <w:r>
        <w:rPr/>
        <w:t>y</w:t>
      </w:r>
      <w:r>
        <w:rPr>
          <w:spacing w:val="-15"/>
        </w:rPr>
        <w:t> </w:t>
      </w:r>
      <w:r>
        <w:rPr/>
        <w:t>monitoreo</w:t>
      </w:r>
      <w:r>
        <w:rPr>
          <w:spacing w:val="-15"/>
        </w:rPr>
        <w:t> </w:t>
      </w:r>
      <w:r>
        <w:rPr/>
        <w:t>de</w:t>
      </w:r>
      <w:r>
        <w:rPr>
          <w:spacing w:val="-16"/>
        </w:rPr>
        <w:t> </w:t>
      </w:r>
      <w:r>
        <w:rPr/>
        <w:t>los</w:t>
      </w:r>
      <w:r>
        <w:rPr>
          <w:spacing w:val="-15"/>
        </w:rPr>
        <w:t> </w:t>
      </w:r>
      <w:r>
        <w:rPr/>
        <w:t>riesgos</w:t>
      </w:r>
      <w:r>
        <w:rPr>
          <w:spacing w:val="-15"/>
        </w:rPr>
        <w:t> </w:t>
      </w:r>
      <w:r>
        <w:rPr/>
        <w:t>valorados,</w:t>
      </w:r>
      <w:r>
        <w:rPr>
          <w:spacing w:val="-15"/>
        </w:rPr>
        <w:t> </w:t>
      </w:r>
      <w:r>
        <w:rPr/>
        <w:t>así</w:t>
      </w:r>
      <w:r>
        <w:rPr>
          <w:spacing w:val="-16"/>
        </w:rPr>
        <w:t> </w:t>
      </w:r>
      <w:r>
        <w:rPr/>
        <w:t>como</w:t>
      </w:r>
      <w:r>
        <w:rPr>
          <w:spacing w:val="-15"/>
        </w:rPr>
        <w:t> </w:t>
      </w:r>
      <w:r>
        <w:rPr/>
        <w:t>la</w:t>
      </w:r>
      <w:r>
        <w:rPr>
          <w:spacing w:val="-15"/>
        </w:rPr>
        <w:t> </w:t>
      </w:r>
      <w:r>
        <w:rPr/>
        <w:t>evaluación</w:t>
      </w:r>
      <w:r>
        <w:rPr>
          <w:spacing w:val="-16"/>
        </w:rPr>
        <w:t> </w:t>
      </w:r>
      <w:r>
        <w:rPr/>
        <w:t>de</w:t>
      </w:r>
      <w:r>
        <w:rPr>
          <w:spacing w:val="-15"/>
        </w:rPr>
        <w:t> </w:t>
      </w:r>
      <w:r>
        <w:rPr/>
        <w:t>la</w:t>
      </w:r>
      <w:r>
        <w:rPr>
          <w:spacing w:val="-15"/>
        </w:rPr>
        <w:t> </w:t>
      </w:r>
      <w:r>
        <w:rPr/>
        <w:t>efectividad de las medidas de administración implementadas, y sus controles con el propósito de verificar</w:t>
      </w:r>
      <w:r>
        <w:rPr>
          <w:spacing w:val="-8"/>
        </w:rPr>
        <w:t> </w:t>
      </w:r>
      <w:r>
        <w:rPr/>
        <w:t>su</w:t>
      </w:r>
      <w:r>
        <w:rPr>
          <w:spacing w:val="-11"/>
        </w:rPr>
        <w:t> </w:t>
      </w:r>
      <w:r>
        <w:rPr/>
        <w:t>contribución</w:t>
      </w:r>
      <w:r>
        <w:rPr>
          <w:spacing w:val="-12"/>
        </w:rPr>
        <w:t> </w:t>
      </w:r>
      <w:r>
        <w:rPr/>
        <w:t>a</w:t>
      </w:r>
      <w:r>
        <w:rPr>
          <w:spacing w:val="-9"/>
        </w:rPr>
        <w:t> </w:t>
      </w:r>
      <w:r>
        <w:rPr/>
        <w:t>la</w:t>
      </w:r>
      <w:r>
        <w:rPr>
          <w:spacing w:val="-9"/>
        </w:rPr>
        <w:t> </w:t>
      </w:r>
      <w:r>
        <w:rPr/>
        <w:t>mitigación</w:t>
      </w:r>
      <w:r>
        <w:rPr>
          <w:spacing w:val="-9"/>
        </w:rPr>
        <w:t> </w:t>
      </w:r>
      <w:r>
        <w:rPr/>
        <w:t>de</w:t>
      </w:r>
      <w:r>
        <w:rPr>
          <w:spacing w:val="-9"/>
        </w:rPr>
        <w:t> </w:t>
      </w:r>
      <w:r>
        <w:rPr/>
        <w:t>los</w:t>
      </w:r>
      <w:r>
        <w:rPr>
          <w:spacing w:val="-9"/>
        </w:rPr>
        <w:t> </w:t>
      </w:r>
      <w:r>
        <w:rPr/>
        <w:t>riesgos</w:t>
      </w:r>
      <w:r>
        <w:rPr>
          <w:spacing w:val="-8"/>
        </w:rPr>
        <w:t> </w:t>
      </w:r>
      <w:r>
        <w:rPr/>
        <w:t>identificados</w:t>
      </w:r>
      <w:r>
        <w:rPr>
          <w:spacing w:val="-8"/>
        </w:rPr>
        <w:t> </w:t>
      </w:r>
      <w:r>
        <w:rPr/>
        <w:t>y</w:t>
      </w:r>
      <w:r>
        <w:rPr>
          <w:spacing w:val="-8"/>
        </w:rPr>
        <w:t> </w:t>
      </w:r>
      <w:r>
        <w:rPr/>
        <w:t>al</w:t>
      </w:r>
      <w:r>
        <w:rPr>
          <w:spacing w:val="-12"/>
        </w:rPr>
        <w:t> </w:t>
      </w:r>
      <w:r>
        <w:rPr/>
        <w:t>fortalecimiento</w:t>
      </w:r>
      <w:r>
        <w:rPr>
          <w:spacing w:val="-9"/>
        </w:rPr>
        <w:t> </w:t>
      </w:r>
      <w:r>
        <w:rPr/>
        <w:t>del Sistema</w:t>
      </w:r>
      <w:r>
        <w:rPr>
          <w:spacing w:val="-13"/>
        </w:rPr>
        <w:t> </w:t>
      </w:r>
      <w:r>
        <w:rPr/>
        <w:t>de</w:t>
      </w:r>
      <w:r>
        <w:rPr>
          <w:spacing w:val="-15"/>
        </w:rPr>
        <w:t> </w:t>
      </w:r>
      <w:r>
        <w:rPr/>
        <w:t>Control</w:t>
      </w:r>
      <w:r>
        <w:rPr>
          <w:spacing w:val="-13"/>
        </w:rPr>
        <w:t> </w:t>
      </w:r>
      <w:r>
        <w:rPr/>
        <w:t>interno</w:t>
      </w:r>
      <w:r>
        <w:rPr>
          <w:spacing w:val="-12"/>
        </w:rPr>
        <w:t> </w:t>
      </w:r>
      <w:r>
        <w:rPr/>
        <w:t>Institucional.</w:t>
      </w:r>
      <w:r>
        <w:rPr>
          <w:spacing w:val="-13"/>
        </w:rPr>
        <w:t> </w:t>
      </w:r>
      <w:r>
        <w:rPr/>
        <w:t>Este</w:t>
      </w:r>
      <w:r>
        <w:rPr>
          <w:spacing w:val="-15"/>
        </w:rPr>
        <w:t> </w:t>
      </w:r>
      <w:r>
        <w:rPr/>
        <w:t>análisis</w:t>
      </w:r>
      <w:r>
        <w:rPr>
          <w:spacing w:val="-13"/>
        </w:rPr>
        <w:t> </w:t>
      </w:r>
      <w:r>
        <w:rPr/>
        <w:t>permite</w:t>
      </w:r>
      <w:r>
        <w:rPr>
          <w:spacing w:val="-13"/>
        </w:rPr>
        <w:t> </w:t>
      </w:r>
      <w:r>
        <w:rPr/>
        <w:t>identificar</w:t>
      </w:r>
      <w:r>
        <w:rPr>
          <w:spacing w:val="-14"/>
        </w:rPr>
        <w:t> </w:t>
      </w:r>
      <w:r>
        <w:rPr/>
        <w:t>oportunidades</w:t>
      </w:r>
      <w:r>
        <w:rPr>
          <w:spacing w:val="-13"/>
        </w:rPr>
        <w:t> </w:t>
      </w:r>
      <w:r>
        <w:rPr/>
        <w:t>de mejora,</w:t>
      </w:r>
      <w:r>
        <w:rPr>
          <w:spacing w:val="-16"/>
        </w:rPr>
        <w:t> </w:t>
      </w:r>
      <w:r>
        <w:rPr/>
        <w:t>ajustar</w:t>
      </w:r>
      <w:r>
        <w:rPr>
          <w:spacing w:val="-15"/>
        </w:rPr>
        <w:t> </w:t>
      </w:r>
      <w:r>
        <w:rPr/>
        <w:t>controles</w:t>
      </w:r>
      <w:r>
        <w:rPr>
          <w:spacing w:val="-15"/>
        </w:rPr>
        <w:t> </w:t>
      </w:r>
      <w:r>
        <w:rPr/>
        <w:t>existentes,</w:t>
      </w:r>
      <w:r>
        <w:rPr>
          <w:spacing w:val="-16"/>
        </w:rPr>
        <w:t> </w:t>
      </w:r>
      <w:r>
        <w:rPr/>
        <w:t>incorporar</w:t>
      </w:r>
      <w:r>
        <w:rPr>
          <w:spacing w:val="-15"/>
        </w:rPr>
        <w:t> </w:t>
      </w:r>
      <w:r>
        <w:rPr/>
        <w:t>nuevas</w:t>
      </w:r>
      <w:r>
        <w:rPr>
          <w:spacing w:val="-15"/>
        </w:rPr>
        <w:t> </w:t>
      </w:r>
      <w:r>
        <w:rPr/>
        <w:t>acciones</w:t>
      </w:r>
      <w:r>
        <w:rPr>
          <w:spacing w:val="-15"/>
        </w:rPr>
        <w:t> </w:t>
      </w:r>
      <w:r>
        <w:rPr/>
        <w:t>de</w:t>
      </w:r>
      <w:r>
        <w:rPr>
          <w:spacing w:val="-16"/>
        </w:rPr>
        <w:t> </w:t>
      </w:r>
      <w:r>
        <w:rPr/>
        <w:t>mitigación</w:t>
      </w:r>
      <w:r>
        <w:rPr>
          <w:spacing w:val="-15"/>
        </w:rPr>
        <w:t> </w:t>
      </w:r>
      <w:r>
        <w:rPr/>
        <w:t>y</w:t>
      </w:r>
      <w:r>
        <w:rPr>
          <w:spacing w:val="-15"/>
        </w:rPr>
        <w:t> </w:t>
      </w:r>
      <w:r>
        <w:rPr/>
        <w:t>fortalecer la capacidad de respuesta institucional ante escenarios emergentes.</w:t>
      </w:r>
    </w:p>
    <w:p>
      <w:pPr>
        <w:pStyle w:val="BodyText"/>
        <w:spacing w:before="252"/>
      </w:pPr>
    </w:p>
    <w:p>
      <w:pPr>
        <w:pStyle w:val="Heading5"/>
        <w:numPr>
          <w:ilvl w:val="2"/>
          <w:numId w:val="5"/>
        </w:numPr>
        <w:tabs>
          <w:tab w:pos="2191" w:val="left" w:leader="none"/>
        </w:tabs>
        <w:spacing w:line="240" w:lineRule="auto" w:before="1" w:after="0"/>
        <w:ind w:left="2191" w:right="0" w:hanging="566"/>
        <w:jc w:val="left"/>
      </w:pPr>
      <w:r>
        <w:rPr/>
        <w:t>Fortalecimiento</w:t>
      </w:r>
      <w:r>
        <w:rPr>
          <w:spacing w:val="-11"/>
        </w:rPr>
        <w:t> </w:t>
      </w:r>
      <w:r>
        <w:rPr/>
        <w:t>del</w:t>
      </w:r>
      <w:r>
        <w:rPr>
          <w:spacing w:val="-5"/>
        </w:rPr>
        <w:t> </w:t>
      </w:r>
      <w:r>
        <w:rPr/>
        <w:t>Sistema</w:t>
      </w:r>
      <w:r>
        <w:rPr>
          <w:spacing w:val="-8"/>
        </w:rPr>
        <w:t> </w:t>
      </w:r>
      <w:r>
        <w:rPr/>
        <w:t>de</w:t>
      </w:r>
      <w:r>
        <w:rPr>
          <w:spacing w:val="-9"/>
        </w:rPr>
        <w:t> </w:t>
      </w:r>
      <w:r>
        <w:rPr/>
        <w:t>Control</w:t>
      </w:r>
      <w:r>
        <w:rPr>
          <w:spacing w:val="-7"/>
        </w:rPr>
        <w:t> </w:t>
      </w:r>
      <w:r>
        <w:rPr>
          <w:spacing w:val="-2"/>
        </w:rPr>
        <w:t>Interno</w:t>
      </w:r>
    </w:p>
    <w:p>
      <w:pPr>
        <w:pStyle w:val="BodyText"/>
        <w:rPr>
          <w:b/>
        </w:rPr>
      </w:pPr>
    </w:p>
    <w:p>
      <w:pPr>
        <w:pStyle w:val="BodyText"/>
        <w:spacing w:before="1"/>
        <w:ind w:left="1625" w:right="1606"/>
        <w:jc w:val="both"/>
      </w:pPr>
      <w:r>
        <w:rPr/>
        <w:t>Como parte de las acciones permanentes de fortalecimiento institucional desarrolladas por Planificación Institucional, específicamente desde el proceso de Control Interno, se mantiene una participación en los programas de inducción dirigidos a las personas funcionarias y trabajadoras de primer ingreso al Instituto Mixto de Ayuda Social (IMAS).</w:t>
      </w:r>
    </w:p>
    <w:p>
      <w:pPr>
        <w:pStyle w:val="BodyText"/>
        <w:spacing w:after="0"/>
        <w:jc w:val="both"/>
        <w:sectPr>
          <w:pgSz w:w="12240" w:h="15840"/>
          <w:pgMar w:header="0" w:footer="1576" w:top="1260" w:bottom="1760" w:left="360" w:right="0"/>
        </w:sectPr>
      </w:pPr>
    </w:p>
    <w:p>
      <w:pPr>
        <w:pStyle w:val="BodyText"/>
        <w:spacing w:before="69"/>
        <w:ind w:left="1625" w:right="1601"/>
        <w:jc w:val="both"/>
      </w:pPr>
      <w:r>
        <w:rPr/>
        <w:t>Esta labor constituye una estrategia fundamental para promover, desde el inicio de la relación laboral, una cultura organizacional basada en los principios de ética pública, legalidad, transparencia, rendición de cuentas y mejora continua, elementos esenciales para una gestión pública eficiente y orientada a resultados.</w:t>
      </w:r>
    </w:p>
    <w:p>
      <w:pPr>
        <w:pStyle w:val="BodyText"/>
      </w:pPr>
    </w:p>
    <w:p>
      <w:pPr>
        <w:pStyle w:val="BodyText"/>
        <w:spacing w:before="1"/>
        <w:ind w:left="1625" w:right="1604"/>
        <w:jc w:val="both"/>
      </w:pPr>
      <w:r>
        <w:rPr/>
        <w:t>Adicionalmente, el proceso de Control Interno impulsa acciones de coordinación y articulación</w:t>
      </w:r>
      <w:r>
        <w:rPr>
          <w:spacing w:val="-9"/>
        </w:rPr>
        <w:t> </w:t>
      </w:r>
      <w:r>
        <w:rPr/>
        <w:t>institucional</w:t>
      </w:r>
      <w:r>
        <w:rPr>
          <w:spacing w:val="-9"/>
        </w:rPr>
        <w:t> </w:t>
      </w:r>
      <w:r>
        <w:rPr/>
        <w:t>orientadas</w:t>
      </w:r>
      <w:r>
        <w:rPr>
          <w:spacing w:val="-8"/>
        </w:rPr>
        <w:t> </w:t>
      </w:r>
      <w:r>
        <w:rPr/>
        <w:t>al</w:t>
      </w:r>
      <w:r>
        <w:rPr>
          <w:spacing w:val="-12"/>
        </w:rPr>
        <w:t> </w:t>
      </w:r>
      <w:r>
        <w:rPr/>
        <w:t>fortalecimiento</w:t>
      </w:r>
      <w:r>
        <w:rPr>
          <w:spacing w:val="-8"/>
        </w:rPr>
        <w:t> </w:t>
      </w:r>
      <w:r>
        <w:rPr/>
        <w:t>de</w:t>
      </w:r>
      <w:r>
        <w:rPr>
          <w:spacing w:val="-11"/>
        </w:rPr>
        <w:t> </w:t>
      </w:r>
      <w:r>
        <w:rPr/>
        <w:t>las</w:t>
      </w:r>
      <w:r>
        <w:rPr>
          <w:spacing w:val="-8"/>
        </w:rPr>
        <w:t> </w:t>
      </w:r>
      <w:r>
        <w:rPr/>
        <w:t>capacidades</w:t>
      </w:r>
      <w:r>
        <w:rPr>
          <w:spacing w:val="-10"/>
        </w:rPr>
        <w:t> </w:t>
      </w:r>
      <w:r>
        <w:rPr/>
        <w:t>de</w:t>
      </w:r>
      <w:r>
        <w:rPr>
          <w:spacing w:val="-8"/>
        </w:rPr>
        <w:t> </w:t>
      </w:r>
      <w:r>
        <w:rPr/>
        <w:t>las</w:t>
      </w:r>
      <w:r>
        <w:rPr>
          <w:spacing w:val="-8"/>
        </w:rPr>
        <w:t> </w:t>
      </w:r>
      <w:r>
        <w:rPr/>
        <w:t>personas titulares subordinadas y enlaces en materia de control interno.</w:t>
      </w:r>
    </w:p>
    <w:p>
      <w:pPr>
        <w:pStyle w:val="BodyText"/>
      </w:pPr>
    </w:p>
    <w:p>
      <w:pPr>
        <w:pStyle w:val="BodyText"/>
        <w:spacing w:before="1"/>
        <w:ind w:left="1625" w:right="1604"/>
        <w:jc w:val="both"/>
      </w:pPr>
      <w:r>
        <w:rPr/>
        <w:t>En</w:t>
      </w:r>
      <w:r>
        <w:rPr>
          <w:spacing w:val="-10"/>
        </w:rPr>
        <w:t> </w:t>
      </w:r>
      <w:r>
        <w:rPr/>
        <w:t>este</w:t>
      </w:r>
      <w:r>
        <w:rPr>
          <w:spacing w:val="-9"/>
        </w:rPr>
        <w:t> </w:t>
      </w:r>
      <w:r>
        <w:rPr/>
        <w:t>contexto,</w:t>
      </w:r>
      <w:r>
        <w:rPr>
          <w:spacing w:val="-8"/>
        </w:rPr>
        <w:t> </w:t>
      </w:r>
      <w:r>
        <w:rPr/>
        <w:t>se</w:t>
      </w:r>
      <w:r>
        <w:rPr>
          <w:spacing w:val="-10"/>
        </w:rPr>
        <w:t> </w:t>
      </w:r>
      <w:r>
        <w:rPr/>
        <w:t>promueve</w:t>
      </w:r>
      <w:r>
        <w:rPr>
          <w:spacing w:val="-10"/>
        </w:rPr>
        <w:t> </w:t>
      </w:r>
      <w:r>
        <w:rPr/>
        <w:t>activamente</w:t>
      </w:r>
      <w:r>
        <w:rPr>
          <w:spacing w:val="-10"/>
        </w:rPr>
        <w:t> </w:t>
      </w:r>
      <w:r>
        <w:rPr/>
        <w:t>la</w:t>
      </w:r>
      <w:r>
        <w:rPr>
          <w:spacing w:val="-10"/>
        </w:rPr>
        <w:t> </w:t>
      </w:r>
      <w:r>
        <w:rPr/>
        <w:t>participación</w:t>
      </w:r>
      <w:r>
        <w:rPr>
          <w:spacing w:val="-10"/>
        </w:rPr>
        <w:t> </w:t>
      </w:r>
      <w:r>
        <w:rPr/>
        <w:t>en</w:t>
      </w:r>
      <w:r>
        <w:rPr>
          <w:spacing w:val="-10"/>
        </w:rPr>
        <w:t> </w:t>
      </w:r>
      <w:r>
        <w:rPr/>
        <w:t>los</w:t>
      </w:r>
      <w:r>
        <w:rPr>
          <w:spacing w:val="-10"/>
        </w:rPr>
        <w:t> </w:t>
      </w:r>
      <w:r>
        <w:rPr/>
        <w:t>espacios</w:t>
      </w:r>
      <w:r>
        <w:rPr>
          <w:spacing w:val="-10"/>
        </w:rPr>
        <w:t> </w:t>
      </w:r>
      <w:r>
        <w:rPr/>
        <w:t>de</w:t>
      </w:r>
      <w:r>
        <w:rPr>
          <w:spacing w:val="-10"/>
        </w:rPr>
        <w:t> </w:t>
      </w:r>
      <w:r>
        <w:rPr/>
        <w:t>formación disponibles</w:t>
      </w:r>
      <w:r>
        <w:rPr>
          <w:spacing w:val="-2"/>
        </w:rPr>
        <w:t> </w:t>
      </w:r>
      <w:r>
        <w:rPr/>
        <w:t>a</w:t>
      </w:r>
      <w:r>
        <w:rPr>
          <w:spacing w:val="-3"/>
        </w:rPr>
        <w:t> </w:t>
      </w:r>
      <w:r>
        <w:rPr/>
        <w:t>través</w:t>
      </w:r>
      <w:r>
        <w:rPr>
          <w:spacing w:val="-4"/>
        </w:rPr>
        <w:t> </w:t>
      </w:r>
      <w:r>
        <w:rPr/>
        <w:t>de</w:t>
      </w:r>
      <w:r>
        <w:rPr>
          <w:spacing w:val="-4"/>
        </w:rPr>
        <w:t> </w:t>
      </w:r>
      <w:r>
        <w:rPr/>
        <w:t>la</w:t>
      </w:r>
      <w:r>
        <w:rPr>
          <w:spacing w:val="-2"/>
        </w:rPr>
        <w:t> </w:t>
      </w:r>
      <w:r>
        <w:rPr/>
        <w:t>UVirtual</w:t>
      </w:r>
      <w:r>
        <w:rPr>
          <w:spacing w:val="-3"/>
        </w:rPr>
        <w:t> </w:t>
      </w:r>
      <w:r>
        <w:rPr/>
        <w:t>del</w:t>
      </w:r>
      <w:r>
        <w:rPr>
          <w:spacing w:val="-5"/>
        </w:rPr>
        <w:t> </w:t>
      </w:r>
      <w:r>
        <w:rPr/>
        <w:t>IMAS,</w:t>
      </w:r>
      <w:r>
        <w:rPr>
          <w:spacing w:val="-3"/>
        </w:rPr>
        <w:t> </w:t>
      </w:r>
      <w:r>
        <w:rPr/>
        <w:t>facilitando</w:t>
      </w:r>
      <w:r>
        <w:rPr>
          <w:spacing w:val="-2"/>
        </w:rPr>
        <w:t> </w:t>
      </w:r>
      <w:r>
        <w:rPr/>
        <w:t>el</w:t>
      </w:r>
      <w:r>
        <w:rPr>
          <w:spacing w:val="-5"/>
        </w:rPr>
        <w:t> </w:t>
      </w:r>
      <w:r>
        <w:rPr/>
        <w:t>acceso</w:t>
      </w:r>
      <w:r>
        <w:rPr>
          <w:spacing w:val="-4"/>
        </w:rPr>
        <w:t> </w:t>
      </w:r>
      <w:r>
        <w:rPr/>
        <w:t>a</w:t>
      </w:r>
      <w:r>
        <w:rPr>
          <w:spacing w:val="-4"/>
        </w:rPr>
        <w:t> </w:t>
      </w:r>
      <w:r>
        <w:rPr/>
        <w:t>cursos</w:t>
      </w:r>
      <w:r>
        <w:rPr>
          <w:spacing w:val="-1"/>
        </w:rPr>
        <w:t> </w:t>
      </w:r>
      <w:r>
        <w:rPr/>
        <w:t>y</w:t>
      </w:r>
      <w:r>
        <w:rPr>
          <w:spacing w:val="-4"/>
        </w:rPr>
        <w:t> </w:t>
      </w:r>
      <w:r>
        <w:rPr/>
        <w:t>recursos</w:t>
      </w:r>
      <w:r>
        <w:rPr>
          <w:spacing w:val="-4"/>
        </w:rPr>
        <w:t> </w:t>
      </w:r>
      <w:r>
        <w:rPr/>
        <w:t>de aprendizaje</w:t>
      </w:r>
      <w:r>
        <w:rPr>
          <w:spacing w:val="-13"/>
        </w:rPr>
        <w:t> </w:t>
      </w:r>
      <w:r>
        <w:rPr/>
        <w:t>vinculados</w:t>
      </w:r>
      <w:r>
        <w:rPr>
          <w:spacing w:val="-11"/>
        </w:rPr>
        <w:t> </w:t>
      </w:r>
      <w:r>
        <w:rPr/>
        <w:t>con</w:t>
      </w:r>
      <w:r>
        <w:rPr>
          <w:spacing w:val="-11"/>
        </w:rPr>
        <w:t> </w:t>
      </w:r>
      <w:r>
        <w:rPr/>
        <w:t>la</w:t>
      </w:r>
      <w:r>
        <w:rPr>
          <w:spacing w:val="-11"/>
        </w:rPr>
        <w:t> </w:t>
      </w:r>
      <w:r>
        <w:rPr/>
        <w:t>normativa</w:t>
      </w:r>
      <w:r>
        <w:rPr>
          <w:spacing w:val="-14"/>
        </w:rPr>
        <w:t> </w:t>
      </w:r>
      <w:r>
        <w:rPr/>
        <w:t>institucional,</w:t>
      </w:r>
      <w:r>
        <w:rPr>
          <w:spacing w:val="-9"/>
        </w:rPr>
        <w:t> </w:t>
      </w:r>
      <w:r>
        <w:rPr/>
        <w:t>la</w:t>
      </w:r>
      <w:r>
        <w:rPr>
          <w:spacing w:val="-11"/>
        </w:rPr>
        <w:t> </w:t>
      </w:r>
      <w:r>
        <w:rPr/>
        <w:t>gestión</w:t>
      </w:r>
      <w:r>
        <w:rPr>
          <w:spacing w:val="-11"/>
        </w:rPr>
        <w:t> </w:t>
      </w:r>
      <w:r>
        <w:rPr/>
        <w:t>pública,</w:t>
      </w:r>
      <w:r>
        <w:rPr>
          <w:spacing w:val="-10"/>
        </w:rPr>
        <w:t> </w:t>
      </w:r>
      <w:r>
        <w:rPr/>
        <w:t>la</w:t>
      </w:r>
      <w:r>
        <w:rPr>
          <w:spacing w:val="-15"/>
        </w:rPr>
        <w:t> </w:t>
      </w:r>
      <w:r>
        <w:rPr/>
        <w:t>administración de riesgos y otros temas estratégicos para el fortalecimiento de la gestión institucional.</w:t>
      </w:r>
    </w:p>
    <w:p>
      <w:pPr>
        <w:pStyle w:val="BodyText"/>
        <w:spacing w:before="252"/>
        <w:ind w:left="1625" w:right="1601"/>
        <w:jc w:val="both"/>
      </w:pPr>
      <w:r>
        <w:rPr/>
        <w:t>Asimismo,</w:t>
      </w:r>
      <w:r>
        <w:rPr>
          <w:spacing w:val="-5"/>
        </w:rPr>
        <w:t> </w:t>
      </w:r>
      <w:r>
        <w:rPr/>
        <w:t>como</w:t>
      </w:r>
      <w:r>
        <w:rPr>
          <w:spacing w:val="-4"/>
        </w:rPr>
        <w:t> </w:t>
      </w:r>
      <w:r>
        <w:rPr/>
        <w:t>parte</w:t>
      </w:r>
      <w:r>
        <w:rPr>
          <w:spacing w:val="-6"/>
        </w:rPr>
        <w:t> </w:t>
      </w:r>
      <w:r>
        <w:rPr/>
        <w:t>de</w:t>
      </w:r>
      <w:r>
        <w:rPr>
          <w:spacing w:val="-4"/>
        </w:rPr>
        <w:t> </w:t>
      </w:r>
      <w:r>
        <w:rPr/>
        <w:t>la</w:t>
      </w:r>
      <w:r>
        <w:rPr>
          <w:spacing w:val="-4"/>
        </w:rPr>
        <w:t> </w:t>
      </w:r>
      <w:r>
        <w:rPr/>
        <w:t>estrategia</w:t>
      </w:r>
      <w:r>
        <w:rPr>
          <w:spacing w:val="-4"/>
        </w:rPr>
        <w:t> </w:t>
      </w:r>
      <w:r>
        <w:rPr/>
        <w:t>de</w:t>
      </w:r>
      <w:r>
        <w:rPr>
          <w:spacing w:val="-7"/>
        </w:rPr>
        <w:t> </w:t>
      </w:r>
      <w:r>
        <w:rPr/>
        <w:t>fortalecimiento</w:t>
      </w:r>
      <w:r>
        <w:rPr>
          <w:spacing w:val="-4"/>
        </w:rPr>
        <w:t> </w:t>
      </w:r>
      <w:r>
        <w:rPr/>
        <w:t>de</w:t>
      </w:r>
      <w:r>
        <w:rPr>
          <w:spacing w:val="-7"/>
        </w:rPr>
        <w:t> </w:t>
      </w:r>
      <w:r>
        <w:rPr/>
        <w:t>la</w:t>
      </w:r>
      <w:r>
        <w:rPr>
          <w:spacing w:val="-4"/>
        </w:rPr>
        <w:t> </w:t>
      </w:r>
      <w:r>
        <w:rPr/>
        <w:t>cultura</w:t>
      </w:r>
      <w:r>
        <w:rPr>
          <w:spacing w:val="-6"/>
        </w:rPr>
        <w:t> </w:t>
      </w:r>
      <w:r>
        <w:rPr/>
        <w:t>de</w:t>
      </w:r>
      <w:r>
        <w:rPr>
          <w:spacing w:val="-7"/>
        </w:rPr>
        <w:t> </w:t>
      </w:r>
      <w:r>
        <w:rPr/>
        <w:t>Control</w:t>
      </w:r>
      <w:r>
        <w:rPr>
          <w:spacing w:val="-7"/>
        </w:rPr>
        <w:t> </w:t>
      </w:r>
      <w:r>
        <w:rPr/>
        <w:t>Interno, cada vez que se desarrollan procesos institucionales relacionados con el Sistema Específico de Valoración del Riesgo Institucional (SEVRI) o con los procesos de Autoevaluación</w:t>
      </w:r>
      <w:r>
        <w:rPr>
          <w:spacing w:val="-12"/>
        </w:rPr>
        <w:t> </w:t>
      </w:r>
      <w:r>
        <w:rPr/>
        <w:t>del</w:t>
      </w:r>
      <w:r>
        <w:rPr>
          <w:spacing w:val="-12"/>
        </w:rPr>
        <w:t> </w:t>
      </w:r>
      <w:r>
        <w:rPr/>
        <w:t>Sistema</w:t>
      </w:r>
      <w:r>
        <w:rPr>
          <w:spacing w:val="-11"/>
        </w:rPr>
        <w:t> </w:t>
      </w:r>
      <w:r>
        <w:rPr/>
        <w:t>de</w:t>
      </w:r>
      <w:r>
        <w:rPr>
          <w:spacing w:val="-12"/>
        </w:rPr>
        <w:t> </w:t>
      </w:r>
      <w:r>
        <w:rPr/>
        <w:t>Control</w:t>
      </w:r>
      <w:r>
        <w:rPr>
          <w:spacing w:val="-12"/>
        </w:rPr>
        <w:t> </w:t>
      </w:r>
      <w:r>
        <w:rPr/>
        <w:t>Interno,</w:t>
      </w:r>
      <w:r>
        <w:rPr>
          <w:spacing w:val="-12"/>
        </w:rPr>
        <w:t> </w:t>
      </w:r>
      <w:r>
        <w:rPr/>
        <w:t>se</w:t>
      </w:r>
      <w:r>
        <w:rPr>
          <w:spacing w:val="-14"/>
        </w:rPr>
        <w:t> </w:t>
      </w:r>
      <w:r>
        <w:rPr/>
        <w:t>implementan</w:t>
      </w:r>
      <w:r>
        <w:rPr>
          <w:spacing w:val="-12"/>
        </w:rPr>
        <w:t> </w:t>
      </w:r>
      <w:r>
        <w:rPr/>
        <w:t>actividades</w:t>
      </w:r>
      <w:r>
        <w:rPr>
          <w:spacing w:val="-11"/>
        </w:rPr>
        <w:t> </w:t>
      </w:r>
      <w:r>
        <w:rPr/>
        <w:t>de</w:t>
      </w:r>
      <w:r>
        <w:rPr>
          <w:spacing w:val="-12"/>
        </w:rPr>
        <w:t> </w:t>
      </w:r>
      <w:r>
        <w:rPr/>
        <w:t>inducción, capacitación,</w:t>
      </w:r>
      <w:r>
        <w:rPr>
          <w:spacing w:val="-4"/>
        </w:rPr>
        <w:t> </w:t>
      </w:r>
      <w:r>
        <w:rPr/>
        <w:t>asesoría</w:t>
      </w:r>
      <w:r>
        <w:rPr>
          <w:spacing w:val="-7"/>
        </w:rPr>
        <w:t> </w:t>
      </w:r>
      <w:r>
        <w:rPr/>
        <w:t>y</w:t>
      </w:r>
      <w:r>
        <w:rPr>
          <w:spacing w:val="-7"/>
        </w:rPr>
        <w:t> </w:t>
      </w:r>
      <w:r>
        <w:rPr/>
        <w:t>sensibilización</w:t>
      </w:r>
      <w:r>
        <w:rPr>
          <w:spacing w:val="-5"/>
        </w:rPr>
        <w:t> </w:t>
      </w:r>
      <w:r>
        <w:rPr/>
        <w:t>dirigidas</w:t>
      </w:r>
      <w:r>
        <w:rPr>
          <w:spacing w:val="-5"/>
        </w:rPr>
        <w:t> </w:t>
      </w:r>
      <w:r>
        <w:rPr/>
        <w:t>a</w:t>
      </w:r>
      <w:r>
        <w:rPr>
          <w:spacing w:val="-5"/>
        </w:rPr>
        <w:t> </w:t>
      </w:r>
      <w:r>
        <w:rPr/>
        <w:t>las</w:t>
      </w:r>
      <w:r>
        <w:rPr>
          <w:spacing w:val="-5"/>
        </w:rPr>
        <w:t> </w:t>
      </w:r>
      <w:r>
        <w:rPr/>
        <w:t>dependencias</w:t>
      </w:r>
      <w:r>
        <w:rPr>
          <w:spacing w:val="-5"/>
        </w:rPr>
        <w:t> </w:t>
      </w:r>
      <w:r>
        <w:rPr/>
        <w:t>participantes.</w:t>
      </w:r>
      <w:r>
        <w:rPr>
          <w:spacing w:val="-3"/>
        </w:rPr>
        <w:t> </w:t>
      </w:r>
      <w:r>
        <w:rPr/>
        <w:t>Estos espacios tienen como finalidad no solo brindar acompañamiento metodológico para la ejecución</w:t>
      </w:r>
      <w:r>
        <w:rPr>
          <w:spacing w:val="-12"/>
        </w:rPr>
        <w:t> </w:t>
      </w:r>
      <w:r>
        <w:rPr/>
        <w:t>de</w:t>
      </w:r>
      <w:r>
        <w:rPr>
          <w:spacing w:val="-12"/>
        </w:rPr>
        <w:t> </w:t>
      </w:r>
      <w:r>
        <w:rPr/>
        <w:t>cada</w:t>
      </w:r>
      <w:r>
        <w:rPr>
          <w:spacing w:val="-12"/>
        </w:rPr>
        <w:t> </w:t>
      </w:r>
      <w:r>
        <w:rPr/>
        <w:t>proceso,</w:t>
      </w:r>
      <w:r>
        <w:rPr>
          <w:spacing w:val="-10"/>
        </w:rPr>
        <w:t> </w:t>
      </w:r>
      <w:r>
        <w:rPr/>
        <w:t>sino</w:t>
      </w:r>
      <w:r>
        <w:rPr>
          <w:spacing w:val="-14"/>
        </w:rPr>
        <w:t> </w:t>
      </w:r>
      <w:r>
        <w:rPr/>
        <w:t>también</w:t>
      </w:r>
      <w:r>
        <w:rPr>
          <w:spacing w:val="-14"/>
        </w:rPr>
        <w:t> </w:t>
      </w:r>
      <w:r>
        <w:rPr/>
        <w:t>reforzar</w:t>
      </w:r>
      <w:r>
        <w:rPr>
          <w:spacing w:val="-15"/>
        </w:rPr>
        <w:t> </w:t>
      </w:r>
      <w:r>
        <w:rPr/>
        <w:t>la</w:t>
      </w:r>
      <w:r>
        <w:rPr>
          <w:spacing w:val="-11"/>
        </w:rPr>
        <w:t> </w:t>
      </w:r>
      <w:r>
        <w:rPr/>
        <w:t>comprensión</w:t>
      </w:r>
      <w:r>
        <w:rPr>
          <w:spacing w:val="-12"/>
        </w:rPr>
        <w:t> </w:t>
      </w:r>
      <w:r>
        <w:rPr/>
        <w:t>de</w:t>
      </w:r>
      <w:r>
        <w:rPr>
          <w:spacing w:val="-14"/>
        </w:rPr>
        <w:t> </w:t>
      </w:r>
      <w:r>
        <w:rPr/>
        <w:t>su</w:t>
      </w:r>
      <w:r>
        <w:rPr>
          <w:spacing w:val="-11"/>
        </w:rPr>
        <w:t> </w:t>
      </w:r>
      <w:r>
        <w:rPr/>
        <w:t>importancia</w:t>
      </w:r>
      <w:r>
        <w:rPr>
          <w:spacing w:val="-11"/>
        </w:rPr>
        <w:t> </w:t>
      </w:r>
      <w:r>
        <w:rPr/>
        <w:t>como instrumentos de gestión y toma de decisiones.</w:t>
      </w:r>
    </w:p>
    <w:p>
      <w:pPr>
        <w:pStyle w:val="BodyText"/>
        <w:spacing w:before="2"/>
      </w:pPr>
    </w:p>
    <w:p>
      <w:pPr>
        <w:pStyle w:val="Heading3"/>
        <w:numPr>
          <w:ilvl w:val="1"/>
          <w:numId w:val="5"/>
        </w:numPr>
        <w:tabs>
          <w:tab w:pos="2844" w:val="left" w:leader="none"/>
        </w:tabs>
        <w:spacing w:line="240" w:lineRule="auto" w:before="0" w:after="0"/>
        <w:ind w:left="2844" w:right="0" w:hanging="358"/>
        <w:jc w:val="left"/>
      </w:pPr>
      <w:bookmarkStart w:name="_bookmark20" w:id="21"/>
      <w:bookmarkEnd w:id="21"/>
      <w:r>
        <w:rPr>
          <w:b w:val="0"/>
        </w:rPr>
      </w:r>
      <w:r>
        <w:rPr/>
        <w:t>Estado</w:t>
      </w:r>
      <w:r>
        <w:rPr>
          <w:spacing w:val="-2"/>
        </w:rPr>
        <w:t> </w:t>
      </w:r>
      <w:r>
        <w:rPr/>
        <w:t>de</w:t>
      </w:r>
      <w:r>
        <w:rPr>
          <w:spacing w:val="-3"/>
        </w:rPr>
        <w:t> </w:t>
      </w:r>
      <w:r>
        <w:rPr/>
        <w:t>situación</w:t>
      </w:r>
      <w:r>
        <w:rPr>
          <w:spacing w:val="-5"/>
        </w:rPr>
        <w:t> </w:t>
      </w:r>
      <w:r>
        <w:rPr/>
        <w:t>de</w:t>
      </w:r>
      <w:r>
        <w:rPr>
          <w:spacing w:val="-1"/>
        </w:rPr>
        <w:t> </w:t>
      </w:r>
      <w:r>
        <w:rPr/>
        <w:t>la</w:t>
      </w:r>
      <w:r>
        <w:rPr>
          <w:spacing w:val="-1"/>
        </w:rPr>
        <w:t> </w:t>
      </w:r>
      <w:r>
        <w:rPr>
          <w:spacing w:val="-2"/>
        </w:rPr>
        <w:t>pobreza</w:t>
      </w:r>
    </w:p>
    <w:p>
      <w:pPr>
        <w:pStyle w:val="ListParagraph"/>
        <w:numPr>
          <w:ilvl w:val="2"/>
          <w:numId w:val="5"/>
        </w:numPr>
        <w:tabs>
          <w:tab w:pos="2223" w:val="left" w:leader="none"/>
        </w:tabs>
        <w:spacing w:line="240" w:lineRule="auto" w:before="274" w:after="0"/>
        <w:ind w:left="2223" w:right="0" w:hanging="598"/>
        <w:jc w:val="left"/>
        <w:rPr>
          <w:b/>
          <w:sz w:val="24"/>
        </w:rPr>
      </w:pPr>
      <w:r>
        <w:rPr>
          <w:b/>
          <w:sz w:val="24"/>
        </w:rPr>
        <w:t>Datos</w:t>
      </w:r>
      <w:r>
        <w:rPr>
          <w:b/>
          <w:spacing w:val="-2"/>
          <w:sz w:val="24"/>
        </w:rPr>
        <w:t> </w:t>
      </w:r>
      <w:r>
        <w:rPr>
          <w:b/>
          <w:sz w:val="24"/>
        </w:rPr>
        <w:t>de</w:t>
      </w:r>
      <w:r>
        <w:rPr>
          <w:b/>
          <w:spacing w:val="-3"/>
          <w:sz w:val="24"/>
        </w:rPr>
        <w:t> </w:t>
      </w:r>
      <w:r>
        <w:rPr>
          <w:b/>
          <w:sz w:val="24"/>
        </w:rPr>
        <w:t>la</w:t>
      </w:r>
      <w:r>
        <w:rPr>
          <w:b/>
          <w:spacing w:val="-2"/>
          <w:sz w:val="24"/>
        </w:rPr>
        <w:t> </w:t>
      </w:r>
      <w:r>
        <w:rPr>
          <w:b/>
          <w:sz w:val="24"/>
        </w:rPr>
        <w:t>pobreza</w:t>
      </w:r>
      <w:r>
        <w:rPr>
          <w:b/>
          <w:spacing w:val="-1"/>
          <w:sz w:val="24"/>
        </w:rPr>
        <w:t> </w:t>
      </w:r>
      <w:r>
        <w:rPr>
          <w:b/>
          <w:sz w:val="24"/>
        </w:rPr>
        <w:t>y</w:t>
      </w:r>
      <w:r>
        <w:rPr>
          <w:b/>
          <w:spacing w:val="-2"/>
          <w:sz w:val="24"/>
        </w:rPr>
        <w:t> </w:t>
      </w:r>
      <w:r>
        <w:rPr>
          <w:b/>
          <w:sz w:val="24"/>
        </w:rPr>
        <w:t>la</w:t>
      </w:r>
      <w:r>
        <w:rPr>
          <w:b/>
          <w:spacing w:val="-3"/>
          <w:sz w:val="24"/>
        </w:rPr>
        <w:t> </w:t>
      </w:r>
      <w:r>
        <w:rPr>
          <w:b/>
          <w:spacing w:val="-2"/>
          <w:sz w:val="24"/>
        </w:rPr>
        <w:t>exclusión</w:t>
      </w:r>
    </w:p>
    <w:p>
      <w:pPr>
        <w:pStyle w:val="BodyText"/>
        <w:spacing w:before="275"/>
        <w:ind w:left="1625" w:right="1602"/>
        <w:jc w:val="both"/>
      </w:pPr>
      <w:r>
        <w:rPr/>
        <w:t>La pobreza en Costa Rica se presenta como un</w:t>
      </w:r>
      <w:r>
        <w:rPr>
          <w:spacing w:val="-2"/>
        </w:rPr>
        <w:t> </w:t>
      </w:r>
      <w:r>
        <w:rPr/>
        <w:t>fenómeno multidimensional que no solo implica</w:t>
      </w:r>
      <w:r>
        <w:rPr>
          <w:spacing w:val="-14"/>
        </w:rPr>
        <w:t> </w:t>
      </w:r>
      <w:r>
        <w:rPr/>
        <w:t>insuficiencia</w:t>
      </w:r>
      <w:r>
        <w:rPr>
          <w:spacing w:val="-14"/>
        </w:rPr>
        <w:t> </w:t>
      </w:r>
      <w:r>
        <w:rPr/>
        <w:t>de</w:t>
      </w:r>
      <w:r>
        <w:rPr>
          <w:spacing w:val="-14"/>
        </w:rPr>
        <w:t> </w:t>
      </w:r>
      <w:r>
        <w:rPr/>
        <w:t>ingresos,</w:t>
      </w:r>
      <w:r>
        <w:rPr>
          <w:spacing w:val="-15"/>
        </w:rPr>
        <w:t> </w:t>
      </w:r>
      <w:r>
        <w:rPr/>
        <w:t>sino</w:t>
      </w:r>
      <w:r>
        <w:rPr>
          <w:spacing w:val="-14"/>
        </w:rPr>
        <w:t> </w:t>
      </w:r>
      <w:r>
        <w:rPr/>
        <w:t>también</w:t>
      </w:r>
      <w:r>
        <w:rPr>
          <w:spacing w:val="-14"/>
        </w:rPr>
        <w:t> </w:t>
      </w:r>
      <w:r>
        <w:rPr/>
        <w:t>carencias</w:t>
      </w:r>
      <w:r>
        <w:rPr>
          <w:spacing w:val="-13"/>
        </w:rPr>
        <w:t> </w:t>
      </w:r>
      <w:r>
        <w:rPr/>
        <w:t>en</w:t>
      </w:r>
      <w:r>
        <w:rPr>
          <w:spacing w:val="-14"/>
        </w:rPr>
        <w:t> </w:t>
      </w:r>
      <w:r>
        <w:rPr/>
        <w:t>el</w:t>
      </w:r>
      <w:r>
        <w:rPr>
          <w:spacing w:val="-15"/>
        </w:rPr>
        <w:t> </w:t>
      </w:r>
      <w:r>
        <w:rPr/>
        <w:t>acceso</w:t>
      </w:r>
      <w:r>
        <w:rPr>
          <w:spacing w:val="-14"/>
        </w:rPr>
        <w:t> </w:t>
      </w:r>
      <w:r>
        <w:rPr/>
        <w:t>a</w:t>
      </w:r>
      <w:r>
        <w:rPr>
          <w:spacing w:val="-14"/>
        </w:rPr>
        <w:t> </w:t>
      </w:r>
      <w:r>
        <w:rPr/>
        <w:t>servicios</w:t>
      </w:r>
      <w:r>
        <w:rPr>
          <w:spacing w:val="-13"/>
        </w:rPr>
        <w:t> </w:t>
      </w:r>
      <w:r>
        <w:rPr/>
        <w:t>básicos, educación, salud, empleo digno y condiciones de vida adecuadas. En los últimos años, los datos muestran que la pobreza monetaria y la pobreza multidimensional coexisten y afectan con distinta intensidad a grupos poblacionales y territorios del país.</w:t>
      </w:r>
    </w:p>
    <w:p>
      <w:pPr>
        <w:pStyle w:val="BodyText"/>
        <w:spacing w:after="0"/>
        <w:jc w:val="both"/>
        <w:sectPr>
          <w:pgSz w:w="12240" w:h="15840"/>
          <w:pgMar w:header="0" w:footer="1576" w:top="1260" w:bottom="1760" w:left="360" w:right="0"/>
        </w:sectPr>
      </w:pPr>
    </w:p>
    <w:p>
      <w:pPr>
        <w:pStyle w:val="Heading5"/>
        <w:spacing w:before="77"/>
        <w:ind w:left="5494" w:right="1862" w:hanging="3476"/>
      </w:pPr>
      <w:bookmarkStart w:name="_bookmark21" w:id="22"/>
      <w:bookmarkEnd w:id="22"/>
      <w:r>
        <w:rPr>
          <w:b w:val="0"/>
        </w:rPr>
      </w:r>
      <w:r>
        <w:rPr/>
        <w:t>Gráfico</w:t>
      </w:r>
      <w:r>
        <w:rPr>
          <w:spacing w:val="-5"/>
        </w:rPr>
        <w:t> </w:t>
      </w:r>
      <w:r>
        <w:rPr/>
        <w:t>3:</w:t>
      </w:r>
      <w:r>
        <w:rPr>
          <w:spacing w:val="-4"/>
        </w:rPr>
        <w:t> </w:t>
      </w:r>
      <w:r>
        <w:rPr/>
        <w:t>Costa</w:t>
      </w:r>
      <w:r>
        <w:rPr>
          <w:spacing w:val="-3"/>
        </w:rPr>
        <w:t> </w:t>
      </w:r>
      <w:r>
        <w:rPr/>
        <w:t>Rica:</w:t>
      </w:r>
      <w:r>
        <w:rPr>
          <w:spacing w:val="-6"/>
        </w:rPr>
        <w:t> </w:t>
      </w:r>
      <w:r>
        <w:rPr/>
        <w:t>Porcentaje</w:t>
      </w:r>
      <w:r>
        <w:rPr>
          <w:spacing w:val="-5"/>
        </w:rPr>
        <w:t> </w:t>
      </w:r>
      <w:r>
        <w:rPr/>
        <w:t>de</w:t>
      </w:r>
      <w:r>
        <w:rPr>
          <w:spacing w:val="-3"/>
        </w:rPr>
        <w:t> </w:t>
      </w:r>
      <w:r>
        <w:rPr/>
        <w:t>hogares</w:t>
      </w:r>
      <w:r>
        <w:rPr>
          <w:spacing w:val="-5"/>
        </w:rPr>
        <w:t> </w:t>
      </w:r>
      <w:r>
        <w:rPr/>
        <w:t>en</w:t>
      </w:r>
      <w:r>
        <w:rPr>
          <w:spacing w:val="-3"/>
        </w:rPr>
        <w:t> </w:t>
      </w:r>
      <w:r>
        <w:rPr/>
        <w:t>pobreza</w:t>
      </w:r>
      <w:r>
        <w:rPr>
          <w:spacing w:val="-5"/>
        </w:rPr>
        <w:t> </w:t>
      </w:r>
      <w:r>
        <w:rPr/>
        <w:t>y</w:t>
      </w:r>
      <w:r>
        <w:rPr>
          <w:spacing w:val="-3"/>
        </w:rPr>
        <w:t> </w:t>
      </w:r>
      <w:r>
        <w:rPr/>
        <w:t>pobreza</w:t>
      </w:r>
      <w:r>
        <w:rPr>
          <w:spacing w:val="-3"/>
        </w:rPr>
        <w:t> </w:t>
      </w:r>
      <w:r>
        <w:rPr/>
        <w:t>extrema, </w:t>
      </w:r>
      <w:r>
        <w:rPr>
          <w:spacing w:val="-2"/>
        </w:rPr>
        <w:t>1990-2025</w:t>
      </w:r>
    </w:p>
    <w:p>
      <w:pPr>
        <w:pStyle w:val="BodyText"/>
        <w:spacing w:before="10"/>
        <w:rPr>
          <w:b/>
          <w:sz w:val="14"/>
        </w:rPr>
      </w:pPr>
      <w:r>
        <w:rPr>
          <w:b/>
          <w:sz w:val="14"/>
        </w:rPr>
        <w:drawing>
          <wp:anchor distT="0" distB="0" distL="0" distR="0" allowOverlap="1" layoutInCell="1" locked="0" behindDoc="1" simplePos="0" relativeHeight="487590400">
            <wp:simplePos x="0" y="0"/>
            <wp:positionH relativeFrom="page">
              <wp:posOffset>1389849</wp:posOffset>
            </wp:positionH>
            <wp:positionV relativeFrom="paragraph">
              <wp:posOffset>124243</wp:posOffset>
            </wp:positionV>
            <wp:extent cx="5288148" cy="3045809"/>
            <wp:effectExtent l="0" t="0" r="0" b="0"/>
            <wp:wrapTopAndBottom/>
            <wp:docPr id="63" name="Image 63" descr="Gráfico, Histograma  El contenido generado por IA puede ser incorrecto."/>
            <wp:cNvGraphicFramePr>
              <a:graphicFrameLocks/>
            </wp:cNvGraphicFramePr>
            <a:graphic>
              <a:graphicData uri="http://schemas.openxmlformats.org/drawingml/2006/picture">
                <pic:pic>
                  <pic:nvPicPr>
                    <pic:cNvPr id="63" name="Image 63" descr="Gráfico, Histograma  El contenido generado por IA puede ser incorrecto."/>
                    <pic:cNvPicPr/>
                  </pic:nvPicPr>
                  <pic:blipFill>
                    <a:blip r:embed="rId34" cstate="print"/>
                    <a:stretch>
                      <a:fillRect/>
                    </a:stretch>
                  </pic:blipFill>
                  <pic:spPr>
                    <a:xfrm>
                      <a:off x="0" y="0"/>
                      <a:ext cx="5288148" cy="3045809"/>
                    </a:xfrm>
                    <a:prstGeom prst="rect">
                      <a:avLst/>
                    </a:prstGeom>
                  </pic:spPr>
                </pic:pic>
              </a:graphicData>
            </a:graphic>
          </wp:anchor>
        </w:drawing>
      </w:r>
    </w:p>
    <w:p>
      <w:pPr>
        <w:pStyle w:val="BodyText"/>
        <w:spacing w:before="26"/>
        <w:rPr>
          <w:b/>
        </w:rPr>
      </w:pPr>
    </w:p>
    <w:p>
      <w:pPr>
        <w:spacing w:before="0"/>
        <w:ind w:left="1625" w:right="1700" w:firstLine="0"/>
        <w:jc w:val="left"/>
        <w:rPr>
          <w:sz w:val="18"/>
        </w:rPr>
      </w:pPr>
      <w:r>
        <w:rPr>
          <w:sz w:val="18"/>
        </w:rPr>
        <w:t>Fuente:</w:t>
      </w:r>
      <w:r>
        <w:rPr>
          <w:spacing w:val="-3"/>
          <w:sz w:val="18"/>
        </w:rPr>
        <w:t> </w:t>
      </w:r>
      <w:r>
        <w:rPr>
          <w:sz w:val="18"/>
        </w:rPr>
        <w:t>Elaboración</w:t>
      </w:r>
      <w:r>
        <w:rPr>
          <w:spacing w:val="-3"/>
          <w:sz w:val="18"/>
        </w:rPr>
        <w:t> </w:t>
      </w:r>
      <w:r>
        <w:rPr>
          <w:sz w:val="18"/>
        </w:rPr>
        <w:t>propia</w:t>
      </w:r>
      <w:r>
        <w:rPr>
          <w:spacing w:val="-5"/>
          <w:sz w:val="18"/>
        </w:rPr>
        <w:t> </w:t>
      </w:r>
      <w:r>
        <w:rPr>
          <w:sz w:val="18"/>
        </w:rPr>
        <w:t>con</w:t>
      </w:r>
      <w:r>
        <w:rPr>
          <w:spacing w:val="-3"/>
          <w:sz w:val="18"/>
        </w:rPr>
        <w:t> </w:t>
      </w:r>
      <w:r>
        <w:rPr>
          <w:sz w:val="18"/>
        </w:rPr>
        <w:t>datos</w:t>
      </w:r>
      <w:r>
        <w:rPr>
          <w:spacing w:val="-2"/>
          <w:sz w:val="18"/>
        </w:rPr>
        <w:t> </w:t>
      </w:r>
      <w:r>
        <w:rPr>
          <w:sz w:val="18"/>
        </w:rPr>
        <w:t>del</w:t>
      </w:r>
      <w:r>
        <w:rPr>
          <w:spacing w:val="-3"/>
          <w:sz w:val="18"/>
        </w:rPr>
        <w:t> </w:t>
      </w:r>
      <w:r>
        <w:rPr>
          <w:sz w:val="18"/>
        </w:rPr>
        <w:t>Instituto</w:t>
      </w:r>
      <w:r>
        <w:rPr>
          <w:spacing w:val="-3"/>
          <w:sz w:val="18"/>
        </w:rPr>
        <w:t> </w:t>
      </w:r>
      <w:r>
        <w:rPr>
          <w:sz w:val="18"/>
        </w:rPr>
        <w:t>Nacional</w:t>
      </w:r>
      <w:r>
        <w:rPr>
          <w:spacing w:val="-5"/>
          <w:sz w:val="18"/>
        </w:rPr>
        <w:t> </w:t>
      </w:r>
      <w:r>
        <w:rPr>
          <w:sz w:val="18"/>
        </w:rPr>
        <w:t>de</w:t>
      </w:r>
      <w:r>
        <w:rPr>
          <w:spacing w:val="-3"/>
          <w:sz w:val="18"/>
        </w:rPr>
        <w:t> </w:t>
      </w:r>
      <w:r>
        <w:rPr>
          <w:sz w:val="18"/>
        </w:rPr>
        <w:t>Estadística</w:t>
      </w:r>
      <w:r>
        <w:rPr>
          <w:spacing w:val="-5"/>
          <w:sz w:val="18"/>
        </w:rPr>
        <w:t> </w:t>
      </w:r>
      <w:r>
        <w:rPr>
          <w:sz w:val="18"/>
        </w:rPr>
        <w:t>y</w:t>
      </w:r>
      <w:r>
        <w:rPr>
          <w:spacing w:val="-2"/>
          <w:sz w:val="18"/>
        </w:rPr>
        <w:t> </w:t>
      </w:r>
      <w:r>
        <w:rPr>
          <w:sz w:val="18"/>
        </w:rPr>
        <w:t>Censos</w:t>
      </w:r>
      <w:r>
        <w:rPr>
          <w:spacing w:val="-5"/>
          <w:sz w:val="18"/>
        </w:rPr>
        <w:t> </w:t>
      </w:r>
      <w:r>
        <w:rPr>
          <w:sz w:val="18"/>
        </w:rPr>
        <w:t>(INEC),</w:t>
      </w:r>
      <w:r>
        <w:rPr>
          <w:spacing w:val="-3"/>
          <w:sz w:val="18"/>
        </w:rPr>
        <w:t> </w:t>
      </w:r>
      <w:r>
        <w:rPr>
          <w:sz w:val="18"/>
        </w:rPr>
        <w:t>series</w:t>
      </w:r>
      <w:r>
        <w:rPr>
          <w:spacing w:val="-4"/>
          <w:sz w:val="18"/>
        </w:rPr>
        <w:t> </w:t>
      </w:r>
      <w:r>
        <w:rPr>
          <w:sz w:val="18"/>
        </w:rPr>
        <w:t>de Encuestas de Hogares y ENAHO 2025.</w:t>
      </w:r>
    </w:p>
    <w:p>
      <w:pPr>
        <w:pStyle w:val="BodyText"/>
        <w:spacing w:before="33"/>
        <w:rPr>
          <w:sz w:val="18"/>
        </w:rPr>
      </w:pPr>
    </w:p>
    <w:p>
      <w:pPr>
        <w:pStyle w:val="BodyText"/>
        <w:ind w:left="1625" w:right="1605"/>
        <w:jc w:val="both"/>
      </w:pPr>
      <w:r>
        <w:rPr/>
        <w:t>El gráfico</w:t>
      </w:r>
      <w:r>
        <w:rPr>
          <w:spacing w:val="-1"/>
        </w:rPr>
        <w:t> </w:t>
      </w:r>
      <w:r>
        <w:rPr/>
        <w:t>3</w:t>
      </w:r>
      <w:r>
        <w:rPr>
          <w:spacing w:val="-2"/>
        </w:rPr>
        <w:t> </w:t>
      </w:r>
      <w:r>
        <w:rPr/>
        <w:t>integra en barras</w:t>
      </w:r>
      <w:r>
        <w:rPr>
          <w:spacing w:val="-2"/>
        </w:rPr>
        <w:t> </w:t>
      </w:r>
      <w:r>
        <w:rPr/>
        <w:t>la</w:t>
      </w:r>
      <w:r>
        <w:rPr>
          <w:spacing w:val="-2"/>
        </w:rPr>
        <w:t> </w:t>
      </w:r>
      <w:r>
        <w:rPr/>
        <w:t>pobreza</w:t>
      </w:r>
      <w:r>
        <w:rPr>
          <w:spacing w:val="-2"/>
        </w:rPr>
        <w:t> </w:t>
      </w:r>
      <w:r>
        <w:rPr/>
        <w:t>extrema</w:t>
      </w:r>
      <w:r>
        <w:rPr>
          <w:spacing w:val="-4"/>
        </w:rPr>
        <w:t> </w:t>
      </w:r>
      <w:r>
        <w:rPr/>
        <w:t>y la</w:t>
      </w:r>
      <w:r>
        <w:rPr>
          <w:spacing w:val="-2"/>
        </w:rPr>
        <w:t> </w:t>
      </w:r>
      <w:r>
        <w:rPr/>
        <w:t>pobreza</w:t>
      </w:r>
      <w:r>
        <w:rPr>
          <w:spacing w:val="-2"/>
        </w:rPr>
        <w:t> </w:t>
      </w:r>
      <w:r>
        <w:rPr/>
        <w:t>no</w:t>
      </w:r>
      <w:r>
        <w:rPr>
          <w:spacing w:val="-2"/>
        </w:rPr>
        <w:t> </w:t>
      </w:r>
      <w:r>
        <w:rPr/>
        <w:t>extrema</w:t>
      </w:r>
      <w:r>
        <w:rPr>
          <w:spacing w:val="-4"/>
        </w:rPr>
        <w:t> </w:t>
      </w:r>
      <w:r>
        <w:rPr/>
        <w:t>y, mediante</w:t>
      </w:r>
      <w:r>
        <w:rPr>
          <w:spacing w:val="-2"/>
        </w:rPr>
        <w:t> </w:t>
      </w:r>
      <w:r>
        <w:rPr/>
        <w:t>la línea superior, muestra la incidencia total de pobreza en los hogares. La trayectoria permite</w:t>
      </w:r>
      <w:r>
        <w:rPr>
          <w:spacing w:val="-12"/>
        </w:rPr>
        <w:t> </w:t>
      </w:r>
      <w:r>
        <w:rPr/>
        <w:t>distinguir</w:t>
      </w:r>
      <w:r>
        <w:rPr>
          <w:spacing w:val="-9"/>
        </w:rPr>
        <w:t> </w:t>
      </w:r>
      <w:r>
        <w:rPr/>
        <w:t>cuatro</w:t>
      </w:r>
      <w:r>
        <w:rPr>
          <w:spacing w:val="-12"/>
        </w:rPr>
        <w:t> </w:t>
      </w:r>
      <w:r>
        <w:rPr/>
        <w:t>momentos:</w:t>
      </w:r>
      <w:r>
        <w:rPr>
          <w:spacing w:val="-8"/>
        </w:rPr>
        <w:t> </w:t>
      </w:r>
      <w:r>
        <w:rPr/>
        <w:t>una</w:t>
      </w:r>
      <w:r>
        <w:rPr>
          <w:spacing w:val="-12"/>
        </w:rPr>
        <w:t> </w:t>
      </w:r>
      <w:r>
        <w:rPr/>
        <w:t>reducción</w:t>
      </w:r>
      <w:r>
        <w:rPr>
          <w:spacing w:val="-10"/>
        </w:rPr>
        <w:t> </w:t>
      </w:r>
      <w:r>
        <w:rPr/>
        <w:t>importante</w:t>
      </w:r>
      <w:r>
        <w:rPr>
          <w:spacing w:val="-10"/>
        </w:rPr>
        <w:t> </w:t>
      </w:r>
      <w:r>
        <w:rPr/>
        <w:t>durante</w:t>
      </w:r>
      <w:r>
        <w:rPr>
          <w:spacing w:val="-10"/>
        </w:rPr>
        <w:t> </w:t>
      </w:r>
      <w:r>
        <w:rPr/>
        <w:t>la</w:t>
      </w:r>
      <w:r>
        <w:rPr>
          <w:spacing w:val="-10"/>
        </w:rPr>
        <w:t> </w:t>
      </w:r>
      <w:r>
        <w:rPr/>
        <w:t>década</w:t>
      </w:r>
      <w:r>
        <w:rPr>
          <w:spacing w:val="-10"/>
        </w:rPr>
        <w:t> </w:t>
      </w:r>
      <w:r>
        <w:rPr/>
        <w:t>de</w:t>
      </w:r>
      <w:r>
        <w:rPr>
          <w:spacing w:val="-10"/>
        </w:rPr>
        <w:t> </w:t>
      </w:r>
      <w:r>
        <w:rPr/>
        <w:t>1990 y</w:t>
      </w:r>
      <w:r>
        <w:rPr>
          <w:spacing w:val="-1"/>
        </w:rPr>
        <w:t> </w:t>
      </w:r>
      <w:r>
        <w:rPr/>
        <w:t>los</w:t>
      </w:r>
      <w:r>
        <w:rPr>
          <w:spacing w:val="-4"/>
        </w:rPr>
        <w:t> </w:t>
      </w:r>
      <w:r>
        <w:rPr/>
        <w:t>primeros</w:t>
      </w:r>
      <w:r>
        <w:rPr>
          <w:spacing w:val="-4"/>
        </w:rPr>
        <w:t> </w:t>
      </w:r>
      <w:r>
        <w:rPr/>
        <w:t>años</w:t>
      </w:r>
      <w:r>
        <w:rPr>
          <w:spacing w:val="-4"/>
        </w:rPr>
        <w:t> </w:t>
      </w:r>
      <w:r>
        <w:rPr/>
        <w:t>de</w:t>
      </w:r>
      <w:r>
        <w:rPr>
          <w:spacing w:val="-4"/>
        </w:rPr>
        <w:t> </w:t>
      </w:r>
      <w:r>
        <w:rPr/>
        <w:t>la</w:t>
      </w:r>
      <w:r>
        <w:rPr>
          <w:spacing w:val="-4"/>
        </w:rPr>
        <w:t> </w:t>
      </w:r>
      <w:r>
        <w:rPr/>
        <w:t>década</w:t>
      </w:r>
      <w:r>
        <w:rPr>
          <w:spacing w:val="-4"/>
        </w:rPr>
        <w:t> </w:t>
      </w:r>
      <w:r>
        <w:rPr/>
        <w:t>de</w:t>
      </w:r>
      <w:r>
        <w:rPr>
          <w:spacing w:val="-4"/>
        </w:rPr>
        <w:t> </w:t>
      </w:r>
      <w:r>
        <w:rPr/>
        <w:t>2000;</w:t>
      </w:r>
      <w:r>
        <w:rPr>
          <w:spacing w:val="-3"/>
        </w:rPr>
        <w:t> </w:t>
      </w:r>
      <w:r>
        <w:rPr/>
        <w:t>una</w:t>
      </w:r>
      <w:r>
        <w:rPr>
          <w:spacing w:val="-4"/>
        </w:rPr>
        <w:t> </w:t>
      </w:r>
      <w:r>
        <w:rPr/>
        <w:t>etapa</w:t>
      </w:r>
      <w:r>
        <w:rPr>
          <w:spacing w:val="-2"/>
        </w:rPr>
        <w:t> </w:t>
      </w:r>
      <w:r>
        <w:rPr/>
        <w:t>de</w:t>
      </w:r>
      <w:r>
        <w:rPr>
          <w:spacing w:val="-4"/>
        </w:rPr>
        <w:t> </w:t>
      </w:r>
      <w:r>
        <w:rPr/>
        <w:t>relativa</w:t>
      </w:r>
      <w:r>
        <w:rPr>
          <w:spacing w:val="-4"/>
        </w:rPr>
        <w:t> </w:t>
      </w:r>
      <w:r>
        <w:rPr/>
        <w:t>estabilidad</w:t>
      </w:r>
      <w:r>
        <w:rPr>
          <w:spacing w:val="-2"/>
        </w:rPr>
        <w:t> </w:t>
      </w:r>
      <w:r>
        <w:rPr/>
        <w:t>entre</w:t>
      </w:r>
      <w:r>
        <w:rPr>
          <w:spacing w:val="-4"/>
        </w:rPr>
        <w:t> </w:t>
      </w:r>
      <w:r>
        <w:rPr/>
        <w:t>2008</w:t>
      </w:r>
      <w:r>
        <w:rPr>
          <w:spacing w:val="-4"/>
        </w:rPr>
        <w:t> </w:t>
      </w:r>
      <w:r>
        <w:rPr/>
        <w:t>y 2019; el aumento abrupto de 2020 asociado al choque pandémico; y una disminución sostenida posterior. En 2025, la pobreza total alcanza 15,15% y la pobreza extrema 3,77%, consolidando una mejora respecto de los años inmediatamente anteriores.</w:t>
      </w:r>
    </w:p>
    <w:p>
      <w:pPr>
        <w:pStyle w:val="BodyText"/>
        <w:spacing w:before="2"/>
      </w:pPr>
    </w:p>
    <w:p>
      <w:pPr>
        <w:pStyle w:val="BodyText"/>
        <w:ind w:left="1625" w:right="1604"/>
        <w:jc w:val="both"/>
      </w:pPr>
      <w:r>
        <w:rPr/>
        <w:t>Entre 1990</w:t>
      </w:r>
      <w:r>
        <w:rPr>
          <w:spacing w:val="-3"/>
        </w:rPr>
        <w:t> </w:t>
      </w:r>
      <w:r>
        <w:rPr/>
        <w:t>y 2007, Costa Rica logró una</w:t>
      </w:r>
      <w:r>
        <w:rPr>
          <w:spacing w:val="-3"/>
        </w:rPr>
        <w:t> </w:t>
      </w:r>
      <w:r>
        <w:rPr/>
        <w:t>reducción</w:t>
      </w:r>
      <w:r>
        <w:rPr>
          <w:spacing w:val="-1"/>
        </w:rPr>
        <w:t> </w:t>
      </w:r>
      <w:r>
        <w:rPr/>
        <w:t>sostenida</w:t>
      </w:r>
      <w:r>
        <w:rPr>
          <w:spacing w:val="-1"/>
        </w:rPr>
        <w:t> </w:t>
      </w:r>
      <w:r>
        <w:rPr/>
        <w:t>en</w:t>
      </w:r>
      <w:r>
        <w:rPr>
          <w:spacing w:val="-3"/>
        </w:rPr>
        <w:t> </w:t>
      </w:r>
      <w:r>
        <w:rPr/>
        <w:t>los niveles de</w:t>
      </w:r>
      <w:r>
        <w:rPr>
          <w:spacing w:val="-1"/>
        </w:rPr>
        <w:t> </w:t>
      </w:r>
      <w:r>
        <w:rPr/>
        <w:t>pobreza. La</w:t>
      </w:r>
      <w:r>
        <w:rPr>
          <w:spacing w:val="-8"/>
        </w:rPr>
        <w:t> </w:t>
      </w:r>
      <w:r>
        <w:rPr/>
        <w:t>pobreza</w:t>
      </w:r>
      <w:r>
        <w:rPr>
          <w:spacing w:val="-7"/>
        </w:rPr>
        <w:t> </w:t>
      </w:r>
      <w:r>
        <w:rPr/>
        <w:t>total</w:t>
      </w:r>
      <w:r>
        <w:rPr>
          <w:spacing w:val="-8"/>
        </w:rPr>
        <w:t> </w:t>
      </w:r>
      <w:r>
        <w:rPr/>
        <w:t>disminuyó</w:t>
      </w:r>
      <w:r>
        <w:rPr>
          <w:spacing w:val="-7"/>
        </w:rPr>
        <w:t> </w:t>
      </w:r>
      <w:r>
        <w:rPr/>
        <w:t>del</w:t>
      </w:r>
      <w:r>
        <w:rPr>
          <w:spacing w:val="-8"/>
        </w:rPr>
        <w:t> </w:t>
      </w:r>
      <w:r>
        <w:rPr/>
        <w:t>27,10%</w:t>
      </w:r>
      <w:r>
        <w:rPr>
          <w:spacing w:val="-7"/>
        </w:rPr>
        <w:t> </w:t>
      </w:r>
      <w:r>
        <w:rPr/>
        <w:t>al</w:t>
      </w:r>
      <w:r>
        <w:rPr>
          <w:spacing w:val="-8"/>
        </w:rPr>
        <w:t> </w:t>
      </w:r>
      <w:r>
        <w:rPr/>
        <w:t>16,70%,</w:t>
      </w:r>
      <w:r>
        <w:rPr>
          <w:spacing w:val="-6"/>
        </w:rPr>
        <w:t> </w:t>
      </w:r>
      <w:r>
        <w:rPr/>
        <w:t>mientras</w:t>
      </w:r>
      <w:r>
        <w:rPr>
          <w:spacing w:val="-7"/>
        </w:rPr>
        <w:t> </w:t>
      </w:r>
      <w:r>
        <w:rPr/>
        <w:t>que</w:t>
      </w:r>
      <w:r>
        <w:rPr>
          <w:spacing w:val="-7"/>
        </w:rPr>
        <w:t> </w:t>
      </w:r>
      <w:r>
        <w:rPr/>
        <w:t>la</w:t>
      </w:r>
      <w:r>
        <w:rPr>
          <w:spacing w:val="-7"/>
        </w:rPr>
        <w:t> </w:t>
      </w:r>
      <w:r>
        <w:rPr/>
        <w:t>pobreza</w:t>
      </w:r>
      <w:r>
        <w:rPr>
          <w:spacing w:val="-7"/>
        </w:rPr>
        <w:t> </w:t>
      </w:r>
      <w:r>
        <w:rPr/>
        <w:t>extrema</w:t>
      </w:r>
      <w:r>
        <w:rPr>
          <w:spacing w:val="-7"/>
        </w:rPr>
        <w:t> </w:t>
      </w:r>
      <w:r>
        <w:rPr/>
        <w:t>cayó del 9,10% al 3,30%. Este período destaca por una reducción importante de la pobreza, en un contexto de crecimiento económico y estabilidad macroeconómica relativa.</w:t>
      </w:r>
    </w:p>
    <w:p>
      <w:pPr>
        <w:pStyle w:val="BodyText"/>
      </w:pPr>
    </w:p>
    <w:p>
      <w:pPr>
        <w:pStyle w:val="BodyText"/>
        <w:ind w:left="1625" w:right="1604"/>
        <w:jc w:val="both"/>
      </w:pPr>
      <w:r>
        <w:rPr/>
        <w:t>A partir de 2008 y hasta 2019, la reducción perdió dinamismo y la pobreza mostró un comportamiento más estable. La pobreza total osciló entre el 18,00% y el 22,00%, sin consolidar</w:t>
      </w:r>
      <w:r>
        <w:rPr>
          <w:spacing w:val="-7"/>
        </w:rPr>
        <w:t> </w:t>
      </w:r>
      <w:r>
        <w:rPr/>
        <w:t>una</w:t>
      </w:r>
      <w:r>
        <w:rPr>
          <w:spacing w:val="-10"/>
        </w:rPr>
        <w:t> </w:t>
      </w:r>
      <w:r>
        <w:rPr/>
        <w:t>trayectoria</w:t>
      </w:r>
      <w:r>
        <w:rPr>
          <w:spacing w:val="-8"/>
        </w:rPr>
        <w:t> </w:t>
      </w:r>
      <w:r>
        <w:rPr/>
        <w:t>sostenida</w:t>
      </w:r>
      <w:r>
        <w:rPr>
          <w:spacing w:val="-9"/>
        </w:rPr>
        <w:t> </w:t>
      </w:r>
      <w:r>
        <w:rPr/>
        <w:t>por</w:t>
      </w:r>
      <w:r>
        <w:rPr>
          <w:spacing w:val="-10"/>
        </w:rPr>
        <w:t> </w:t>
      </w:r>
      <w:r>
        <w:rPr/>
        <w:t>debajo</w:t>
      </w:r>
      <w:r>
        <w:rPr>
          <w:spacing w:val="-10"/>
        </w:rPr>
        <w:t> </w:t>
      </w:r>
      <w:r>
        <w:rPr/>
        <w:t>del</w:t>
      </w:r>
      <w:r>
        <w:rPr>
          <w:spacing w:val="-9"/>
        </w:rPr>
        <w:t> </w:t>
      </w:r>
      <w:r>
        <w:rPr/>
        <w:t>20,00%.</w:t>
      </w:r>
      <w:r>
        <w:rPr>
          <w:spacing w:val="-9"/>
        </w:rPr>
        <w:t> </w:t>
      </w:r>
      <w:r>
        <w:rPr/>
        <w:t>La</w:t>
      </w:r>
      <w:r>
        <w:rPr>
          <w:spacing w:val="-10"/>
        </w:rPr>
        <w:t> </w:t>
      </w:r>
      <w:r>
        <w:rPr/>
        <w:t>pobreza</w:t>
      </w:r>
      <w:r>
        <w:rPr>
          <w:spacing w:val="-10"/>
        </w:rPr>
        <w:t> </w:t>
      </w:r>
      <w:r>
        <w:rPr/>
        <w:t>extrema</w:t>
      </w:r>
      <w:r>
        <w:rPr>
          <w:spacing w:val="-11"/>
        </w:rPr>
        <w:t> </w:t>
      </w:r>
      <w:r>
        <w:rPr/>
        <w:t>también </w:t>
      </w:r>
      <w:r>
        <w:rPr>
          <w:spacing w:val="-2"/>
        </w:rPr>
        <w:t>mantuvo</w:t>
      </w:r>
      <w:r>
        <w:rPr>
          <w:spacing w:val="-6"/>
        </w:rPr>
        <w:t> </w:t>
      </w:r>
      <w:r>
        <w:rPr>
          <w:spacing w:val="-2"/>
        </w:rPr>
        <w:t>niveles</w:t>
      </w:r>
      <w:r>
        <w:rPr>
          <w:spacing w:val="-6"/>
        </w:rPr>
        <w:t> </w:t>
      </w:r>
      <w:r>
        <w:rPr>
          <w:spacing w:val="-2"/>
        </w:rPr>
        <w:t>persistentes,</w:t>
      </w:r>
      <w:r>
        <w:rPr>
          <w:spacing w:val="-6"/>
        </w:rPr>
        <w:t> </w:t>
      </w:r>
      <w:r>
        <w:rPr>
          <w:spacing w:val="-2"/>
        </w:rPr>
        <w:t>fluctuando</w:t>
      </w:r>
      <w:r>
        <w:rPr>
          <w:spacing w:val="-6"/>
        </w:rPr>
        <w:t> </w:t>
      </w:r>
      <w:r>
        <w:rPr>
          <w:spacing w:val="-2"/>
        </w:rPr>
        <w:t>entre</w:t>
      </w:r>
      <w:r>
        <w:rPr>
          <w:spacing w:val="-6"/>
        </w:rPr>
        <w:t> </w:t>
      </w:r>
      <w:r>
        <w:rPr>
          <w:spacing w:val="-2"/>
        </w:rPr>
        <w:t>el</w:t>
      </w:r>
      <w:r>
        <w:rPr>
          <w:spacing w:val="-6"/>
        </w:rPr>
        <w:t> </w:t>
      </w:r>
      <w:r>
        <w:rPr>
          <w:spacing w:val="-2"/>
        </w:rPr>
        <w:t>5,00%</w:t>
      </w:r>
      <w:r>
        <w:rPr>
          <w:spacing w:val="-5"/>
        </w:rPr>
        <w:t> </w:t>
      </w:r>
      <w:r>
        <w:rPr>
          <w:spacing w:val="-2"/>
        </w:rPr>
        <w:t>y</w:t>
      </w:r>
      <w:r>
        <w:rPr>
          <w:spacing w:val="-5"/>
        </w:rPr>
        <w:t> </w:t>
      </w:r>
      <w:r>
        <w:rPr>
          <w:spacing w:val="-2"/>
        </w:rPr>
        <w:t>el</w:t>
      </w:r>
      <w:r>
        <w:rPr>
          <w:spacing w:val="-6"/>
        </w:rPr>
        <w:t> </w:t>
      </w:r>
      <w:r>
        <w:rPr>
          <w:spacing w:val="-2"/>
        </w:rPr>
        <w:t>6,50%.</w:t>
      </w:r>
      <w:r>
        <w:rPr>
          <w:spacing w:val="-4"/>
        </w:rPr>
        <w:t> </w:t>
      </w:r>
      <w:r>
        <w:rPr>
          <w:spacing w:val="-2"/>
        </w:rPr>
        <w:t>Este</w:t>
      </w:r>
      <w:r>
        <w:rPr>
          <w:spacing w:val="-3"/>
        </w:rPr>
        <w:t> </w:t>
      </w:r>
      <w:r>
        <w:rPr>
          <w:spacing w:val="-2"/>
        </w:rPr>
        <w:t>período</w:t>
      </w:r>
      <w:r>
        <w:rPr>
          <w:spacing w:val="-6"/>
        </w:rPr>
        <w:t> </w:t>
      </w:r>
      <w:r>
        <w:rPr>
          <w:spacing w:val="-2"/>
        </w:rPr>
        <w:t>coincidió </w:t>
      </w:r>
      <w:r>
        <w:rPr/>
        <w:t>con los efectos de la crisis financiera global, un menor dinamismo del empleo formal y presiones sobre el costo de vida.</w:t>
      </w:r>
    </w:p>
    <w:p>
      <w:pPr>
        <w:pStyle w:val="BodyText"/>
        <w:spacing w:before="251"/>
        <w:ind w:left="1625" w:right="1605"/>
        <w:jc w:val="both"/>
      </w:pPr>
      <w:r>
        <w:rPr/>
        <w:t>El impacto de la pandemia en 2020 marcó un</w:t>
      </w:r>
      <w:r>
        <w:rPr>
          <w:spacing w:val="-2"/>
        </w:rPr>
        <w:t> </w:t>
      </w:r>
      <w:r>
        <w:rPr/>
        <w:t>retroceso significativo. La pobreza total</w:t>
      </w:r>
      <w:r>
        <w:rPr>
          <w:spacing w:val="-1"/>
        </w:rPr>
        <w:t> </w:t>
      </w:r>
      <w:r>
        <w:rPr/>
        <w:t>se elevó hasta el 26,20%, el nivel más alto desde 1992. Asimismo, la pobreza extrema aumentó hasta un 7,00%, retrocediendo casi una década en términos de bienestar. Aunque</w:t>
      </w:r>
      <w:r>
        <w:rPr>
          <w:spacing w:val="-10"/>
        </w:rPr>
        <w:t> </w:t>
      </w:r>
      <w:r>
        <w:rPr/>
        <w:t>se</w:t>
      </w:r>
      <w:r>
        <w:rPr>
          <w:spacing w:val="-10"/>
        </w:rPr>
        <w:t> </w:t>
      </w:r>
      <w:r>
        <w:rPr/>
        <w:t>aplicaron</w:t>
      </w:r>
      <w:r>
        <w:rPr>
          <w:spacing w:val="-10"/>
        </w:rPr>
        <w:t> </w:t>
      </w:r>
      <w:r>
        <w:rPr/>
        <w:t>transferencias</w:t>
      </w:r>
      <w:r>
        <w:rPr>
          <w:spacing w:val="-10"/>
        </w:rPr>
        <w:t> </w:t>
      </w:r>
      <w:r>
        <w:rPr/>
        <w:t>de</w:t>
      </w:r>
      <w:r>
        <w:rPr>
          <w:spacing w:val="-10"/>
        </w:rPr>
        <w:t> </w:t>
      </w:r>
      <w:r>
        <w:rPr/>
        <w:t>emergencia,</w:t>
      </w:r>
      <w:r>
        <w:rPr>
          <w:spacing w:val="-9"/>
        </w:rPr>
        <w:t> </w:t>
      </w:r>
      <w:r>
        <w:rPr/>
        <w:t>la</w:t>
      </w:r>
      <w:r>
        <w:rPr>
          <w:spacing w:val="-10"/>
        </w:rPr>
        <w:t> </w:t>
      </w:r>
      <w:r>
        <w:rPr/>
        <w:t>contracción</w:t>
      </w:r>
      <w:r>
        <w:rPr>
          <w:spacing w:val="-10"/>
        </w:rPr>
        <w:t> </w:t>
      </w:r>
      <w:r>
        <w:rPr/>
        <w:t>económica</w:t>
      </w:r>
      <w:r>
        <w:rPr>
          <w:spacing w:val="-10"/>
        </w:rPr>
        <w:t> </w:t>
      </w:r>
      <w:r>
        <w:rPr/>
        <w:t>golpeó</w:t>
      </w:r>
      <w:r>
        <w:rPr>
          <w:spacing w:val="-10"/>
        </w:rPr>
        <w:t> </w:t>
      </w:r>
      <w:r>
        <w:rPr/>
        <w:t>con fuerza a los hogares más vulnerables.</w:t>
      </w:r>
    </w:p>
    <w:p>
      <w:pPr>
        <w:pStyle w:val="BodyText"/>
        <w:spacing w:after="0"/>
        <w:jc w:val="both"/>
        <w:sectPr>
          <w:pgSz w:w="12240" w:h="15840"/>
          <w:pgMar w:header="0" w:footer="1576" w:top="1000" w:bottom="1760" w:left="360" w:right="0"/>
        </w:sectPr>
      </w:pPr>
    </w:p>
    <w:p>
      <w:pPr>
        <w:pStyle w:val="BodyText"/>
        <w:spacing w:before="69"/>
        <w:ind w:left="1625" w:right="1604"/>
        <w:jc w:val="both"/>
      </w:pPr>
      <w:r>
        <w:rPr/>
        <w:t>En</w:t>
      </w:r>
      <w:r>
        <w:rPr>
          <w:spacing w:val="-3"/>
        </w:rPr>
        <w:t> </w:t>
      </w:r>
      <w:r>
        <w:rPr/>
        <w:t>el</w:t>
      </w:r>
      <w:r>
        <w:rPr>
          <w:spacing w:val="-3"/>
        </w:rPr>
        <w:t> </w:t>
      </w:r>
      <w:r>
        <w:rPr/>
        <w:t>período</w:t>
      </w:r>
      <w:r>
        <w:rPr>
          <w:spacing w:val="-3"/>
        </w:rPr>
        <w:t> </w:t>
      </w:r>
      <w:r>
        <w:rPr/>
        <w:t>2022–2025</w:t>
      </w:r>
      <w:r>
        <w:rPr>
          <w:spacing w:val="-3"/>
        </w:rPr>
        <w:t> </w:t>
      </w:r>
      <w:r>
        <w:rPr/>
        <w:t>se</w:t>
      </w:r>
      <w:r>
        <w:rPr>
          <w:spacing w:val="-2"/>
        </w:rPr>
        <w:t> </w:t>
      </w:r>
      <w:r>
        <w:rPr/>
        <w:t>consolida</w:t>
      </w:r>
      <w:r>
        <w:rPr>
          <w:spacing w:val="-3"/>
        </w:rPr>
        <w:t> </w:t>
      </w:r>
      <w:r>
        <w:rPr/>
        <w:t>una</w:t>
      </w:r>
      <w:r>
        <w:rPr>
          <w:spacing w:val="-3"/>
        </w:rPr>
        <w:t> </w:t>
      </w:r>
      <w:r>
        <w:rPr/>
        <w:t>reducción</w:t>
      </w:r>
      <w:r>
        <w:rPr>
          <w:spacing w:val="-3"/>
        </w:rPr>
        <w:t> </w:t>
      </w:r>
      <w:r>
        <w:rPr/>
        <w:t>de</w:t>
      </w:r>
      <w:r>
        <w:rPr>
          <w:spacing w:val="-3"/>
        </w:rPr>
        <w:t> </w:t>
      </w:r>
      <w:r>
        <w:rPr/>
        <w:t>la</w:t>
      </w:r>
      <w:r>
        <w:rPr>
          <w:spacing w:val="-3"/>
        </w:rPr>
        <w:t> </w:t>
      </w:r>
      <w:r>
        <w:rPr/>
        <w:t>pobreza</w:t>
      </w:r>
      <w:r>
        <w:rPr>
          <w:spacing w:val="-3"/>
        </w:rPr>
        <w:t> </w:t>
      </w:r>
      <w:r>
        <w:rPr/>
        <w:t>monetaria.</w:t>
      </w:r>
      <w:r>
        <w:rPr>
          <w:spacing w:val="-1"/>
        </w:rPr>
        <w:t> </w:t>
      </w:r>
      <w:r>
        <w:rPr/>
        <w:t>En</w:t>
      </w:r>
      <w:r>
        <w:rPr>
          <w:spacing w:val="-3"/>
        </w:rPr>
        <w:t> </w:t>
      </w:r>
      <w:r>
        <w:rPr/>
        <w:t>2025, la incidencia de pobreza por hogar se ubicó en 15,15%, equivalente a 286.365 hogares, mientras que la pobreza extrema descendió a 3,77%, equivalente a 71.336 hogares. En términos de personas, la pobreza alcanzó 17,10% (915.248 personas) y la pobreza extrema 4,36% (233.341 personas). Estos</w:t>
      </w:r>
      <w:r>
        <w:rPr>
          <w:spacing w:val="-1"/>
        </w:rPr>
        <w:t> </w:t>
      </w:r>
      <w:r>
        <w:rPr/>
        <w:t>resultados representan los niveles más bajos de la serie reciente y muestran una mejora respecto de 2024, aunque persisten brechas estructurales y territoriales que requieren seguimiento.</w:t>
      </w:r>
    </w:p>
    <w:p>
      <w:pPr>
        <w:pStyle w:val="BodyText"/>
      </w:pPr>
    </w:p>
    <w:p>
      <w:pPr>
        <w:pStyle w:val="BodyText"/>
        <w:ind w:left="1625" w:right="1599"/>
        <w:jc w:val="both"/>
      </w:pPr>
      <w:r>
        <w:rPr/>
        <w:t>El análisis de la evolución de la pobreza en Costa Rica entre 2010 y 2025 muestra una relación estrecha entre el comportamiento del crecimiento económico y los niveles de pobreza, tanto por hogar como por persona. Esta conexión se refleja en la ilustración 2, que</w:t>
      </w:r>
      <w:r>
        <w:rPr>
          <w:spacing w:val="-2"/>
        </w:rPr>
        <w:t> </w:t>
      </w:r>
      <w:r>
        <w:rPr/>
        <w:t>presenta</w:t>
      </w:r>
      <w:r>
        <w:rPr>
          <w:spacing w:val="-4"/>
        </w:rPr>
        <w:t> </w:t>
      </w:r>
      <w:r>
        <w:rPr/>
        <w:t>conjuntamente</w:t>
      </w:r>
      <w:r>
        <w:rPr>
          <w:spacing w:val="-2"/>
        </w:rPr>
        <w:t> </w:t>
      </w:r>
      <w:r>
        <w:rPr/>
        <w:t>la</w:t>
      </w:r>
      <w:r>
        <w:rPr>
          <w:spacing w:val="-4"/>
        </w:rPr>
        <w:t> </w:t>
      </w:r>
      <w:r>
        <w:rPr/>
        <w:t>incidencia</w:t>
      </w:r>
      <w:r>
        <w:rPr>
          <w:spacing w:val="-2"/>
        </w:rPr>
        <w:t> </w:t>
      </w:r>
      <w:r>
        <w:rPr/>
        <w:t>de</w:t>
      </w:r>
      <w:r>
        <w:rPr>
          <w:spacing w:val="-4"/>
        </w:rPr>
        <w:t> </w:t>
      </w:r>
      <w:r>
        <w:rPr/>
        <w:t>la</w:t>
      </w:r>
      <w:r>
        <w:rPr>
          <w:spacing w:val="-4"/>
        </w:rPr>
        <w:t> </w:t>
      </w:r>
      <w:r>
        <w:rPr/>
        <w:t>pobreza</w:t>
      </w:r>
      <w:r>
        <w:rPr>
          <w:spacing w:val="-4"/>
        </w:rPr>
        <w:t> </w:t>
      </w:r>
      <w:r>
        <w:rPr/>
        <w:t>total</w:t>
      </w:r>
      <w:r>
        <w:rPr>
          <w:spacing w:val="-3"/>
        </w:rPr>
        <w:t> </w:t>
      </w:r>
      <w:r>
        <w:rPr/>
        <w:t>y</w:t>
      </w:r>
      <w:r>
        <w:rPr>
          <w:spacing w:val="-4"/>
        </w:rPr>
        <w:t> </w:t>
      </w:r>
      <w:r>
        <w:rPr/>
        <w:t>la</w:t>
      </w:r>
      <w:r>
        <w:rPr>
          <w:spacing w:val="-4"/>
        </w:rPr>
        <w:t> </w:t>
      </w:r>
      <w:r>
        <w:rPr/>
        <w:t>tasa</w:t>
      </w:r>
      <w:r>
        <w:rPr>
          <w:spacing w:val="-4"/>
        </w:rPr>
        <w:t> </w:t>
      </w:r>
      <w:r>
        <w:rPr/>
        <w:t>de</w:t>
      </w:r>
      <w:r>
        <w:rPr>
          <w:spacing w:val="-7"/>
        </w:rPr>
        <w:t> </w:t>
      </w:r>
      <w:r>
        <w:rPr/>
        <w:t>crecimiento</w:t>
      </w:r>
      <w:r>
        <w:rPr>
          <w:spacing w:val="-4"/>
        </w:rPr>
        <w:t> </w:t>
      </w:r>
      <w:r>
        <w:rPr/>
        <w:t>del PIB real.</w:t>
      </w:r>
    </w:p>
    <w:p>
      <w:pPr>
        <w:pStyle w:val="BodyText"/>
        <w:spacing w:before="1"/>
      </w:pPr>
    </w:p>
    <w:p>
      <w:pPr>
        <w:pStyle w:val="BodyText"/>
        <w:ind w:left="1625" w:right="1603"/>
        <w:jc w:val="both"/>
      </w:pPr>
      <w:r>
        <w:rPr/>
        <w:t>Durante los primeros años analizados, específicamente entre 2010 y 2012, Costa Rica experimentó tasas de crecimiento económico robustas (superiores al 4,00%), lo cual coincidió con una ligera reducción en la pobreza. Por ejemplo, en 2010, con un crecimiento del PIB del 5,36%, la pobreza por hogar fue de 21,20% y la pobreza por persona alcanzó el 24,20%. Esta tendencia a la baja se mantuvo en 2012, cuando la pobreza por hogar bajó a 20,57% y la pobreza por persona a 23,48%, mientras el PIB creció 4,88%.</w:t>
      </w:r>
    </w:p>
    <w:p>
      <w:pPr>
        <w:pStyle w:val="BodyText"/>
      </w:pPr>
    </w:p>
    <w:p>
      <w:pPr>
        <w:pStyle w:val="BodyText"/>
        <w:ind w:left="1625" w:right="1601"/>
        <w:jc w:val="both"/>
      </w:pPr>
      <w:r>
        <w:rPr/>
        <w:t>Sin</w:t>
      </w:r>
      <w:r>
        <w:rPr>
          <w:spacing w:val="-10"/>
        </w:rPr>
        <w:t> </w:t>
      </w:r>
      <w:r>
        <w:rPr/>
        <w:t>embargo,</w:t>
      </w:r>
      <w:r>
        <w:rPr>
          <w:spacing w:val="-11"/>
        </w:rPr>
        <w:t> </w:t>
      </w:r>
      <w:r>
        <w:rPr/>
        <w:t>a</w:t>
      </w:r>
      <w:r>
        <w:rPr>
          <w:spacing w:val="-12"/>
        </w:rPr>
        <w:t> </w:t>
      </w:r>
      <w:r>
        <w:rPr/>
        <w:t>partir</w:t>
      </w:r>
      <w:r>
        <w:rPr>
          <w:spacing w:val="-11"/>
        </w:rPr>
        <w:t> </w:t>
      </w:r>
      <w:r>
        <w:rPr/>
        <w:t>de</w:t>
      </w:r>
      <w:r>
        <w:rPr>
          <w:spacing w:val="-15"/>
        </w:rPr>
        <w:t> </w:t>
      </w:r>
      <w:r>
        <w:rPr/>
        <w:t>2013</w:t>
      </w:r>
      <w:r>
        <w:rPr>
          <w:spacing w:val="-10"/>
        </w:rPr>
        <w:t> </w:t>
      </w:r>
      <w:r>
        <w:rPr/>
        <w:t>se</w:t>
      </w:r>
      <w:r>
        <w:rPr>
          <w:spacing w:val="-12"/>
        </w:rPr>
        <w:t> </w:t>
      </w:r>
      <w:r>
        <w:rPr/>
        <w:t>observa</w:t>
      </w:r>
      <w:r>
        <w:rPr>
          <w:spacing w:val="-12"/>
        </w:rPr>
        <w:t> </w:t>
      </w:r>
      <w:r>
        <w:rPr/>
        <w:t>una</w:t>
      </w:r>
      <w:r>
        <w:rPr>
          <w:spacing w:val="-12"/>
        </w:rPr>
        <w:t> </w:t>
      </w:r>
      <w:r>
        <w:rPr/>
        <w:t>desaceleración</w:t>
      </w:r>
      <w:r>
        <w:rPr>
          <w:spacing w:val="-10"/>
        </w:rPr>
        <w:t> </w:t>
      </w:r>
      <w:r>
        <w:rPr/>
        <w:t>del</w:t>
      </w:r>
      <w:r>
        <w:rPr>
          <w:spacing w:val="-13"/>
        </w:rPr>
        <w:t> </w:t>
      </w:r>
      <w:r>
        <w:rPr/>
        <w:t>crecimiento</w:t>
      </w:r>
      <w:r>
        <w:rPr>
          <w:spacing w:val="-10"/>
        </w:rPr>
        <w:t> </w:t>
      </w:r>
      <w:r>
        <w:rPr/>
        <w:t>económico, con tasas por debajo del 3,00% en varios años, que coincidió con una estabilización de los niveles de pobreza sin mejoras sostenidas. Este comportamiento se mantuvo hasta 2019, con tasas de pobreza que rondaban entre 20,00% y 22,00% en hogares, y entre 22,00% y 24,00% en personas, en un contexto de crecimiento económico moderado.</w:t>
      </w:r>
    </w:p>
    <w:p>
      <w:pPr>
        <w:pStyle w:val="BodyText"/>
        <w:spacing w:before="2"/>
      </w:pPr>
    </w:p>
    <w:p>
      <w:pPr>
        <w:pStyle w:val="BodyText"/>
        <w:ind w:left="1625" w:right="1602"/>
        <w:jc w:val="both"/>
      </w:pPr>
      <w:r>
        <w:rPr/>
        <w:t>El</w:t>
      </w:r>
      <w:r>
        <w:rPr>
          <w:spacing w:val="-2"/>
        </w:rPr>
        <w:t> </w:t>
      </w:r>
      <w:r>
        <w:rPr/>
        <w:t>gráfico</w:t>
      </w:r>
      <w:r>
        <w:rPr>
          <w:spacing w:val="-1"/>
        </w:rPr>
        <w:t> </w:t>
      </w:r>
      <w:r>
        <w:rPr/>
        <w:t>4</w:t>
      </w:r>
      <w:r>
        <w:rPr>
          <w:spacing w:val="-4"/>
        </w:rPr>
        <w:t> </w:t>
      </w:r>
      <w:r>
        <w:rPr/>
        <w:t>muestra</w:t>
      </w:r>
      <w:r>
        <w:rPr>
          <w:spacing w:val="-2"/>
        </w:rPr>
        <w:t> </w:t>
      </w:r>
      <w:r>
        <w:rPr/>
        <w:t>con</w:t>
      </w:r>
      <w:r>
        <w:rPr>
          <w:spacing w:val="-6"/>
        </w:rPr>
        <w:t> </w:t>
      </w:r>
      <w:r>
        <w:rPr/>
        <w:t>claridad</w:t>
      </w:r>
      <w:r>
        <w:rPr>
          <w:spacing w:val="-2"/>
        </w:rPr>
        <w:t> </w:t>
      </w:r>
      <w:r>
        <w:rPr/>
        <w:t>cómo, en</w:t>
      </w:r>
      <w:r>
        <w:rPr>
          <w:spacing w:val="-4"/>
        </w:rPr>
        <w:t> </w:t>
      </w:r>
      <w:r>
        <w:rPr/>
        <w:t>2020,</w:t>
      </w:r>
      <w:r>
        <w:rPr>
          <w:spacing w:val="-5"/>
        </w:rPr>
        <w:t> </w:t>
      </w:r>
      <w:r>
        <w:rPr/>
        <w:t>la</w:t>
      </w:r>
      <w:r>
        <w:rPr>
          <w:spacing w:val="-2"/>
        </w:rPr>
        <w:t> </w:t>
      </w:r>
      <w:r>
        <w:rPr/>
        <w:t>pandemia</w:t>
      </w:r>
      <w:r>
        <w:rPr>
          <w:spacing w:val="-2"/>
        </w:rPr>
        <w:t> </w:t>
      </w:r>
      <w:r>
        <w:rPr/>
        <w:t>de</w:t>
      </w:r>
      <w:r>
        <w:rPr>
          <w:spacing w:val="-4"/>
        </w:rPr>
        <w:t> </w:t>
      </w:r>
      <w:r>
        <w:rPr/>
        <w:t>COVID-19</w:t>
      </w:r>
      <w:r>
        <w:rPr>
          <w:spacing w:val="-2"/>
        </w:rPr>
        <w:t> </w:t>
      </w:r>
      <w:r>
        <w:rPr/>
        <w:t>produjo</w:t>
      </w:r>
      <w:r>
        <w:rPr>
          <w:spacing w:val="-2"/>
        </w:rPr>
        <w:t> </w:t>
      </w:r>
      <w:r>
        <w:rPr/>
        <w:t>una contracción</w:t>
      </w:r>
      <w:r>
        <w:rPr>
          <w:spacing w:val="-12"/>
        </w:rPr>
        <w:t> </w:t>
      </w:r>
      <w:r>
        <w:rPr/>
        <w:t>del</w:t>
      </w:r>
      <w:r>
        <w:rPr>
          <w:spacing w:val="-12"/>
        </w:rPr>
        <w:t> </w:t>
      </w:r>
      <w:r>
        <w:rPr/>
        <w:t>PIB</w:t>
      </w:r>
      <w:r>
        <w:rPr>
          <w:spacing w:val="-12"/>
        </w:rPr>
        <w:t> </w:t>
      </w:r>
      <w:r>
        <w:rPr/>
        <w:t>de</w:t>
      </w:r>
      <w:r>
        <w:rPr>
          <w:spacing w:val="-13"/>
        </w:rPr>
        <w:t> </w:t>
      </w:r>
      <w:r>
        <w:rPr/>
        <w:t>-4,27%,</w:t>
      </w:r>
      <w:r>
        <w:rPr>
          <w:spacing w:val="-10"/>
        </w:rPr>
        <w:t> </w:t>
      </w:r>
      <w:r>
        <w:rPr/>
        <w:t>acompañada</w:t>
      </w:r>
      <w:r>
        <w:rPr>
          <w:spacing w:val="-12"/>
        </w:rPr>
        <w:t> </w:t>
      </w:r>
      <w:r>
        <w:rPr/>
        <w:t>de</w:t>
      </w:r>
      <w:r>
        <w:rPr>
          <w:spacing w:val="-14"/>
        </w:rPr>
        <w:t> </w:t>
      </w:r>
      <w:r>
        <w:rPr/>
        <w:t>un</w:t>
      </w:r>
      <w:r>
        <w:rPr>
          <w:spacing w:val="-11"/>
        </w:rPr>
        <w:t> </w:t>
      </w:r>
      <w:r>
        <w:rPr/>
        <w:t>fuerte</w:t>
      </w:r>
      <w:r>
        <w:rPr>
          <w:spacing w:val="-14"/>
        </w:rPr>
        <w:t> </w:t>
      </w:r>
      <w:r>
        <w:rPr/>
        <w:t>aumento</w:t>
      </w:r>
      <w:r>
        <w:rPr>
          <w:spacing w:val="-11"/>
        </w:rPr>
        <w:t> </w:t>
      </w:r>
      <w:r>
        <w:rPr/>
        <w:t>de</w:t>
      </w:r>
      <w:r>
        <w:rPr>
          <w:spacing w:val="-14"/>
        </w:rPr>
        <w:t> </w:t>
      </w:r>
      <w:r>
        <w:rPr/>
        <w:t>la</w:t>
      </w:r>
      <w:r>
        <w:rPr>
          <w:spacing w:val="-11"/>
        </w:rPr>
        <w:t> </w:t>
      </w:r>
      <w:r>
        <w:rPr/>
        <w:t>pobreza:</w:t>
      </w:r>
      <w:r>
        <w:rPr>
          <w:spacing w:val="-12"/>
        </w:rPr>
        <w:t> </w:t>
      </w:r>
      <w:r>
        <w:rPr/>
        <w:t>26,15% por hogar y 29,96% por persona, los niveles más altos registrados en el período. Este comportamiento evidencia la sensibilidad de la pobreza ante choques económicos severos, cuando el deterioro de los ingresos, el desempleo y la informalidad afectan de manera inmediata a los hogares con mayores vulnerabilidades.</w:t>
      </w:r>
    </w:p>
    <w:p>
      <w:pPr>
        <w:pStyle w:val="BodyText"/>
        <w:spacing w:before="251"/>
        <w:ind w:left="1625" w:right="1601"/>
        <w:jc w:val="both"/>
      </w:pPr>
      <w:r>
        <w:rPr/>
        <w:t>La recuperación económica en 2021 fue notable, con un crecimiento del PIB del 7,93%, y</w:t>
      </w:r>
      <w:r>
        <w:rPr>
          <w:spacing w:val="-8"/>
        </w:rPr>
        <w:t> </w:t>
      </w:r>
      <w:r>
        <w:rPr/>
        <w:t>coincidió</w:t>
      </w:r>
      <w:r>
        <w:rPr>
          <w:spacing w:val="-9"/>
        </w:rPr>
        <w:t> </w:t>
      </w:r>
      <w:r>
        <w:rPr/>
        <w:t>con</w:t>
      </w:r>
      <w:r>
        <w:rPr>
          <w:spacing w:val="-9"/>
        </w:rPr>
        <w:t> </w:t>
      </w:r>
      <w:r>
        <w:rPr/>
        <w:t>una</w:t>
      </w:r>
      <w:r>
        <w:rPr>
          <w:spacing w:val="-9"/>
        </w:rPr>
        <w:t> </w:t>
      </w:r>
      <w:r>
        <w:rPr/>
        <w:t>reducción</w:t>
      </w:r>
      <w:r>
        <w:rPr>
          <w:spacing w:val="-9"/>
        </w:rPr>
        <w:t> </w:t>
      </w:r>
      <w:r>
        <w:rPr/>
        <w:t>de</w:t>
      </w:r>
      <w:r>
        <w:rPr>
          <w:spacing w:val="-9"/>
        </w:rPr>
        <w:t> </w:t>
      </w:r>
      <w:r>
        <w:rPr/>
        <w:t>la</w:t>
      </w:r>
      <w:r>
        <w:rPr>
          <w:spacing w:val="-9"/>
        </w:rPr>
        <w:t> </w:t>
      </w:r>
      <w:r>
        <w:rPr/>
        <w:t>pobreza</w:t>
      </w:r>
      <w:r>
        <w:rPr>
          <w:spacing w:val="-9"/>
        </w:rPr>
        <w:t> </w:t>
      </w:r>
      <w:r>
        <w:rPr/>
        <w:t>a</w:t>
      </w:r>
      <w:r>
        <w:rPr>
          <w:spacing w:val="-11"/>
        </w:rPr>
        <w:t> </w:t>
      </w:r>
      <w:r>
        <w:rPr/>
        <w:t>23,00%</w:t>
      </w:r>
      <w:r>
        <w:rPr>
          <w:spacing w:val="-8"/>
        </w:rPr>
        <w:t> </w:t>
      </w:r>
      <w:r>
        <w:rPr/>
        <w:t>en</w:t>
      </w:r>
      <w:r>
        <w:rPr>
          <w:spacing w:val="-9"/>
        </w:rPr>
        <w:t> </w:t>
      </w:r>
      <w:r>
        <w:rPr/>
        <w:t>hogares</w:t>
      </w:r>
      <w:r>
        <w:rPr>
          <w:spacing w:val="-9"/>
        </w:rPr>
        <w:t> </w:t>
      </w:r>
      <w:r>
        <w:rPr/>
        <w:t>y</w:t>
      </w:r>
      <w:r>
        <w:rPr>
          <w:spacing w:val="-8"/>
        </w:rPr>
        <w:t> </w:t>
      </w:r>
      <w:r>
        <w:rPr/>
        <w:t>26,22%</w:t>
      </w:r>
      <w:r>
        <w:rPr>
          <w:spacing w:val="-8"/>
        </w:rPr>
        <w:t> </w:t>
      </w:r>
      <w:r>
        <w:rPr/>
        <w:t>en</w:t>
      </w:r>
      <w:r>
        <w:rPr>
          <w:spacing w:val="-9"/>
        </w:rPr>
        <w:t> </w:t>
      </w:r>
      <w:r>
        <w:rPr/>
        <w:t>personas. Sin embargo, esta mejora fue parcial, ya que los niveles aún no retornaban a los observados antes de la pandemia.</w:t>
      </w:r>
    </w:p>
    <w:p>
      <w:pPr>
        <w:pStyle w:val="BodyText"/>
      </w:pPr>
    </w:p>
    <w:p>
      <w:pPr>
        <w:pStyle w:val="BodyText"/>
        <w:ind w:left="1625" w:right="1601"/>
        <w:jc w:val="both"/>
      </w:pPr>
      <w:r>
        <w:rPr/>
        <w:t>Durante 2022–2025 el crecimiento económico se mantuvo positivo y la incidencia de pobreza</w:t>
      </w:r>
      <w:r>
        <w:rPr>
          <w:spacing w:val="-16"/>
        </w:rPr>
        <w:t> </w:t>
      </w:r>
      <w:r>
        <w:rPr/>
        <w:t>continuó</w:t>
      </w:r>
      <w:r>
        <w:rPr>
          <w:spacing w:val="-15"/>
        </w:rPr>
        <w:t> </w:t>
      </w:r>
      <w:r>
        <w:rPr/>
        <w:t>descendiendo.</w:t>
      </w:r>
      <w:r>
        <w:rPr>
          <w:spacing w:val="-15"/>
        </w:rPr>
        <w:t> </w:t>
      </w:r>
      <w:r>
        <w:rPr/>
        <w:t>En</w:t>
      </w:r>
      <w:r>
        <w:rPr>
          <w:spacing w:val="-16"/>
        </w:rPr>
        <w:t> </w:t>
      </w:r>
      <w:r>
        <w:rPr/>
        <w:t>2025,</w:t>
      </w:r>
      <w:r>
        <w:rPr>
          <w:spacing w:val="-15"/>
        </w:rPr>
        <w:t> </w:t>
      </w:r>
      <w:r>
        <w:rPr/>
        <w:t>la</w:t>
      </w:r>
      <w:r>
        <w:rPr>
          <w:spacing w:val="-15"/>
        </w:rPr>
        <w:t> </w:t>
      </w:r>
      <w:r>
        <w:rPr/>
        <w:t>pobreza</w:t>
      </w:r>
      <w:r>
        <w:rPr>
          <w:spacing w:val="-15"/>
        </w:rPr>
        <w:t> </w:t>
      </w:r>
      <w:r>
        <w:rPr/>
        <w:t>alcanzó</w:t>
      </w:r>
      <w:r>
        <w:rPr>
          <w:spacing w:val="-16"/>
        </w:rPr>
        <w:t> </w:t>
      </w:r>
      <w:r>
        <w:rPr/>
        <w:t>15,15%</w:t>
      </w:r>
      <w:r>
        <w:rPr>
          <w:spacing w:val="-15"/>
        </w:rPr>
        <w:t> </w:t>
      </w:r>
      <w:r>
        <w:rPr/>
        <w:t>por</w:t>
      </w:r>
      <w:r>
        <w:rPr>
          <w:spacing w:val="-15"/>
        </w:rPr>
        <w:t> </w:t>
      </w:r>
      <w:r>
        <w:rPr/>
        <w:t>hogar</w:t>
      </w:r>
      <w:r>
        <w:rPr>
          <w:spacing w:val="-16"/>
        </w:rPr>
        <w:t> </w:t>
      </w:r>
      <w:r>
        <w:rPr/>
        <w:t>y</w:t>
      </w:r>
      <w:r>
        <w:rPr>
          <w:spacing w:val="-15"/>
        </w:rPr>
        <w:t> </w:t>
      </w:r>
      <w:r>
        <w:rPr/>
        <w:t>17,10% por persona. El crecimiento real del PIB se situó alrededor de 4,60%, de acuerdo con la actualización del BCCR. La coexistencia de crecimiento económico y reducción de la pobreza</w:t>
      </w:r>
      <w:r>
        <w:rPr>
          <w:spacing w:val="-16"/>
        </w:rPr>
        <w:t> </w:t>
      </w:r>
      <w:r>
        <w:rPr/>
        <w:t>refuerza</w:t>
      </w:r>
      <w:r>
        <w:rPr>
          <w:spacing w:val="-15"/>
        </w:rPr>
        <w:t> </w:t>
      </w:r>
      <w:r>
        <w:rPr/>
        <w:t>la</w:t>
      </w:r>
      <w:r>
        <w:rPr>
          <w:spacing w:val="-15"/>
        </w:rPr>
        <w:t> </w:t>
      </w:r>
      <w:r>
        <w:rPr/>
        <w:t>importancia</w:t>
      </w:r>
      <w:r>
        <w:rPr>
          <w:spacing w:val="-16"/>
        </w:rPr>
        <w:t> </w:t>
      </w:r>
      <w:r>
        <w:rPr/>
        <w:t>de</w:t>
      </w:r>
      <w:r>
        <w:rPr>
          <w:spacing w:val="-15"/>
        </w:rPr>
        <w:t> </w:t>
      </w:r>
      <w:r>
        <w:rPr/>
        <w:t>combinar</w:t>
      </w:r>
      <w:r>
        <w:rPr>
          <w:spacing w:val="-15"/>
        </w:rPr>
        <w:t> </w:t>
      </w:r>
      <w:r>
        <w:rPr/>
        <w:t>dinamismo</w:t>
      </w:r>
      <w:r>
        <w:rPr>
          <w:spacing w:val="-15"/>
        </w:rPr>
        <w:t> </w:t>
      </w:r>
      <w:r>
        <w:rPr/>
        <w:t>productivo</w:t>
      </w:r>
      <w:r>
        <w:rPr>
          <w:spacing w:val="-16"/>
        </w:rPr>
        <w:t> </w:t>
      </w:r>
      <w:r>
        <w:rPr/>
        <w:t>con</w:t>
      </w:r>
      <w:r>
        <w:rPr>
          <w:spacing w:val="-15"/>
        </w:rPr>
        <w:t> </w:t>
      </w:r>
      <w:r>
        <w:rPr/>
        <w:t>políticas</w:t>
      </w:r>
      <w:r>
        <w:rPr>
          <w:spacing w:val="-15"/>
        </w:rPr>
        <w:t> </w:t>
      </w:r>
      <w:r>
        <w:rPr/>
        <w:t>sociales, laborales</w:t>
      </w:r>
      <w:r>
        <w:rPr>
          <w:spacing w:val="-9"/>
        </w:rPr>
        <w:t> </w:t>
      </w:r>
      <w:r>
        <w:rPr/>
        <w:t>y</w:t>
      </w:r>
      <w:r>
        <w:rPr>
          <w:spacing w:val="-8"/>
        </w:rPr>
        <w:t> </w:t>
      </w:r>
      <w:r>
        <w:rPr/>
        <w:t>de</w:t>
      </w:r>
      <w:r>
        <w:rPr>
          <w:spacing w:val="-9"/>
        </w:rPr>
        <w:t> </w:t>
      </w:r>
      <w:r>
        <w:rPr/>
        <w:t>protección</w:t>
      </w:r>
      <w:r>
        <w:rPr>
          <w:spacing w:val="-9"/>
        </w:rPr>
        <w:t> </w:t>
      </w:r>
      <w:r>
        <w:rPr/>
        <w:t>social</w:t>
      </w:r>
      <w:r>
        <w:rPr>
          <w:spacing w:val="-10"/>
        </w:rPr>
        <w:t> </w:t>
      </w:r>
      <w:r>
        <w:rPr/>
        <w:t>que</w:t>
      </w:r>
      <w:r>
        <w:rPr>
          <w:spacing w:val="-9"/>
        </w:rPr>
        <w:t> </w:t>
      </w:r>
      <w:r>
        <w:rPr/>
        <w:t>permitan</w:t>
      </w:r>
      <w:r>
        <w:rPr>
          <w:spacing w:val="-9"/>
        </w:rPr>
        <w:t> </w:t>
      </w:r>
      <w:r>
        <w:rPr/>
        <w:t>que</w:t>
      </w:r>
      <w:r>
        <w:rPr>
          <w:spacing w:val="-11"/>
        </w:rPr>
        <w:t> </w:t>
      </w:r>
      <w:r>
        <w:rPr/>
        <w:t>los</w:t>
      </w:r>
      <w:r>
        <w:rPr>
          <w:spacing w:val="-9"/>
        </w:rPr>
        <w:t> </w:t>
      </w:r>
      <w:r>
        <w:rPr/>
        <w:t>beneficios</w:t>
      </w:r>
      <w:r>
        <w:rPr>
          <w:spacing w:val="-9"/>
        </w:rPr>
        <w:t> </w:t>
      </w:r>
      <w:r>
        <w:rPr/>
        <w:t>del</w:t>
      </w:r>
      <w:r>
        <w:rPr>
          <w:spacing w:val="-10"/>
        </w:rPr>
        <w:t> </w:t>
      </w:r>
      <w:r>
        <w:rPr/>
        <w:t>crecimiento</w:t>
      </w:r>
      <w:r>
        <w:rPr>
          <w:spacing w:val="-9"/>
        </w:rPr>
        <w:t> </w:t>
      </w:r>
      <w:r>
        <w:rPr/>
        <w:t>alcancen a los hogares con mayores vulnerabilidades.</w:t>
      </w:r>
    </w:p>
    <w:p>
      <w:pPr>
        <w:pStyle w:val="BodyText"/>
        <w:spacing w:after="0"/>
        <w:jc w:val="both"/>
        <w:sectPr>
          <w:pgSz w:w="12240" w:h="15840"/>
          <w:pgMar w:header="0" w:footer="1576" w:top="1260" w:bottom="1760" w:left="360" w:right="0"/>
        </w:sectPr>
      </w:pPr>
    </w:p>
    <w:p>
      <w:pPr>
        <w:pStyle w:val="Heading5"/>
        <w:spacing w:before="77"/>
        <w:ind w:left="5775" w:right="1444" w:hanging="4134"/>
      </w:pPr>
      <w:bookmarkStart w:name="_bookmark22" w:id="23"/>
      <w:bookmarkEnd w:id="23"/>
      <w:r>
        <w:rPr>
          <w:b w:val="0"/>
        </w:rPr>
      </w:r>
      <w:r>
        <w:rPr/>
        <w:t>Gráfico</w:t>
      </w:r>
      <w:r>
        <w:rPr>
          <w:spacing w:val="-5"/>
        </w:rPr>
        <w:t> </w:t>
      </w:r>
      <w:r>
        <w:rPr/>
        <w:t>4:Costa</w:t>
      </w:r>
      <w:r>
        <w:rPr>
          <w:spacing w:val="-5"/>
        </w:rPr>
        <w:t> </w:t>
      </w:r>
      <w:r>
        <w:rPr/>
        <w:t>Rica:</w:t>
      </w:r>
      <w:r>
        <w:rPr>
          <w:spacing w:val="-4"/>
        </w:rPr>
        <w:t> </w:t>
      </w:r>
      <w:r>
        <w:rPr/>
        <w:t>Incidencia</w:t>
      </w:r>
      <w:r>
        <w:rPr>
          <w:spacing w:val="-5"/>
        </w:rPr>
        <w:t> </w:t>
      </w:r>
      <w:r>
        <w:rPr/>
        <w:t>de</w:t>
      </w:r>
      <w:r>
        <w:rPr>
          <w:spacing w:val="-5"/>
        </w:rPr>
        <w:t> </w:t>
      </w:r>
      <w:r>
        <w:rPr/>
        <w:t>la</w:t>
      </w:r>
      <w:r>
        <w:rPr>
          <w:spacing w:val="-3"/>
        </w:rPr>
        <w:t> </w:t>
      </w:r>
      <w:r>
        <w:rPr/>
        <w:t>pobreza</w:t>
      </w:r>
      <w:r>
        <w:rPr>
          <w:spacing w:val="-3"/>
        </w:rPr>
        <w:t> </w:t>
      </w:r>
      <w:r>
        <w:rPr/>
        <w:t>total</w:t>
      </w:r>
      <w:r>
        <w:rPr>
          <w:spacing w:val="-4"/>
        </w:rPr>
        <w:t> </w:t>
      </w:r>
      <w:r>
        <w:rPr/>
        <w:t>y</w:t>
      </w:r>
      <w:r>
        <w:rPr>
          <w:spacing w:val="-3"/>
        </w:rPr>
        <w:t> </w:t>
      </w:r>
      <w:r>
        <w:rPr/>
        <w:t>crecimiento</w:t>
      </w:r>
      <w:r>
        <w:rPr>
          <w:spacing w:val="-3"/>
        </w:rPr>
        <w:t> </w:t>
      </w:r>
      <w:r>
        <w:rPr/>
        <w:t>económico,</w:t>
      </w:r>
      <w:r>
        <w:rPr>
          <w:spacing w:val="-1"/>
        </w:rPr>
        <w:t> </w:t>
      </w:r>
      <w:r>
        <w:rPr/>
        <w:t>2010-</w:t>
      </w:r>
      <w:r>
        <w:rPr>
          <w:spacing w:val="-4"/>
        </w:rPr>
        <w:t>2025</w:t>
      </w:r>
    </w:p>
    <w:p>
      <w:pPr>
        <w:pStyle w:val="BodyText"/>
        <w:spacing w:before="6"/>
        <w:rPr>
          <w:b/>
          <w:sz w:val="5"/>
        </w:rPr>
      </w:pPr>
      <w:r>
        <w:rPr>
          <w:b/>
          <w:sz w:val="5"/>
        </w:rPr>
        <w:drawing>
          <wp:anchor distT="0" distB="0" distL="0" distR="0" allowOverlap="1" layoutInCell="1" locked="0" behindDoc="1" simplePos="0" relativeHeight="487590912">
            <wp:simplePos x="0" y="0"/>
            <wp:positionH relativeFrom="page">
              <wp:posOffset>1275965</wp:posOffset>
            </wp:positionH>
            <wp:positionV relativeFrom="paragraph">
              <wp:posOffset>55787</wp:posOffset>
            </wp:positionV>
            <wp:extent cx="5529035" cy="3184588"/>
            <wp:effectExtent l="0" t="0" r="0" b="0"/>
            <wp:wrapTopAndBottom/>
            <wp:docPr id="64" name="Image 64"/>
            <wp:cNvGraphicFramePr>
              <a:graphicFrameLocks/>
            </wp:cNvGraphicFramePr>
            <a:graphic>
              <a:graphicData uri="http://schemas.openxmlformats.org/drawingml/2006/picture">
                <pic:pic>
                  <pic:nvPicPr>
                    <pic:cNvPr id="64" name="Image 64"/>
                    <pic:cNvPicPr/>
                  </pic:nvPicPr>
                  <pic:blipFill>
                    <a:blip r:embed="rId35" cstate="print"/>
                    <a:stretch>
                      <a:fillRect/>
                    </a:stretch>
                  </pic:blipFill>
                  <pic:spPr>
                    <a:xfrm>
                      <a:off x="0" y="0"/>
                      <a:ext cx="5529035" cy="3184588"/>
                    </a:xfrm>
                    <a:prstGeom prst="rect">
                      <a:avLst/>
                    </a:prstGeom>
                  </pic:spPr>
                </pic:pic>
              </a:graphicData>
            </a:graphic>
          </wp:anchor>
        </w:drawing>
      </w:r>
    </w:p>
    <w:p>
      <w:pPr>
        <w:pStyle w:val="BodyText"/>
        <w:spacing w:before="21"/>
        <w:rPr>
          <w:b/>
        </w:rPr>
      </w:pPr>
    </w:p>
    <w:p>
      <w:pPr>
        <w:spacing w:before="0"/>
        <w:ind w:left="1982" w:right="1605" w:firstLine="0"/>
        <w:jc w:val="both"/>
        <w:rPr>
          <w:sz w:val="18"/>
        </w:rPr>
      </w:pPr>
      <w:r>
        <w:rPr>
          <w:sz w:val="18"/>
        </w:rPr>
        <w:t>Fuente:</w:t>
      </w:r>
      <w:r>
        <w:rPr>
          <w:spacing w:val="-1"/>
          <w:sz w:val="18"/>
        </w:rPr>
        <w:t> </w:t>
      </w:r>
      <w:r>
        <w:rPr>
          <w:sz w:val="18"/>
        </w:rPr>
        <w:t>Elaboración propia</w:t>
      </w:r>
      <w:r>
        <w:rPr>
          <w:spacing w:val="-3"/>
          <w:sz w:val="18"/>
        </w:rPr>
        <w:t> </w:t>
      </w:r>
      <w:r>
        <w:rPr>
          <w:sz w:val="18"/>
        </w:rPr>
        <w:t>con datos del Banco Central de</w:t>
      </w:r>
      <w:r>
        <w:rPr>
          <w:spacing w:val="-3"/>
          <w:sz w:val="18"/>
        </w:rPr>
        <w:t> </w:t>
      </w:r>
      <w:r>
        <w:rPr>
          <w:sz w:val="18"/>
        </w:rPr>
        <w:t>Costa Rica (BCCR)</w:t>
      </w:r>
      <w:r>
        <w:rPr>
          <w:spacing w:val="-1"/>
          <w:sz w:val="18"/>
        </w:rPr>
        <w:t> </w:t>
      </w:r>
      <w:r>
        <w:rPr>
          <w:sz w:val="18"/>
        </w:rPr>
        <w:t>para el crecimiento real del PIB y del Instituto Nacional de Estadística y Censos (INEC), ENAHO 2010-2025, para la incidencia de pobreza por hogar y por persona.</w:t>
      </w:r>
    </w:p>
    <w:p>
      <w:pPr>
        <w:pStyle w:val="BodyText"/>
        <w:spacing w:before="34"/>
        <w:rPr>
          <w:sz w:val="18"/>
        </w:rPr>
      </w:pPr>
    </w:p>
    <w:p>
      <w:pPr>
        <w:pStyle w:val="BodyText"/>
        <w:spacing w:before="1"/>
        <w:ind w:left="1625" w:right="1605"/>
        <w:jc w:val="both"/>
      </w:pPr>
      <w:r>
        <w:rPr/>
        <w:t>El gráfico 4 superpone la tasa de crecimiento real del PIB con la incidencia de pobreza por hogar y por persona. Las dos series de pobreza se desplazan de forma muy similar, aunque la incidencia por persona se mantiene sistemáticamente por encima de la registrada por hogar. El contraste más visible ocurre en 2020, cuando la contracción económica coincide con el máximo de pobreza del período; posteriormente, la recuperación del PIB se acompaña de una reducción gradual de ambas incidencias. El gráfico</w:t>
      </w:r>
      <w:r>
        <w:rPr>
          <w:spacing w:val="-9"/>
        </w:rPr>
        <w:t> </w:t>
      </w:r>
      <w:r>
        <w:rPr/>
        <w:t>también</w:t>
      </w:r>
      <w:r>
        <w:rPr>
          <w:spacing w:val="-7"/>
        </w:rPr>
        <w:t> </w:t>
      </w:r>
      <w:r>
        <w:rPr/>
        <w:t>evidencia</w:t>
      </w:r>
      <w:r>
        <w:rPr>
          <w:spacing w:val="-6"/>
        </w:rPr>
        <w:t> </w:t>
      </w:r>
      <w:r>
        <w:rPr/>
        <w:t>que</w:t>
      </w:r>
      <w:r>
        <w:rPr>
          <w:spacing w:val="-7"/>
        </w:rPr>
        <w:t> </w:t>
      </w:r>
      <w:r>
        <w:rPr/>
        <w:t>crecimiento</w:t>
      </w:r>
      <w:r>
        <w:rPr>
          <w:spacing w:val="-6"/>
        </w:rPr>
        <w:t> </w:t>
      </w:r>
      <w:r>
        <w:rPr/>
        <w:t>y</w:t>
      </w:r>
      <w:r>
        <w:rPr>
          <w:spacing w:val="-6"/>
        </w:rPr>
        <w:t> </w:t>
      </w:r>
      <w:r>
        <w:rPr/>
        <w:t>pobreza</w:t>
      </w:r>
      <w:r>
        <w:rPr>
          <w:spacing w:val="-7"/>
        </w:rPr>
        <w:t> </w:t>
      </w:r>
      <w:r>
        <w:rPr/>
        <w:t>no</w:t>
      </w:r>
      <w:r>
        <w:rPr>
          <w:spacing w:val="-7"/>
        </w:rPr>
        <w:t> </w:t>
      </w:r>
      <w:r>
        <w:rPr/>
        <w:t>se</w:t>
      </w:r>
      <w:r>
        <w:rPr>
          <w:spacing w:val="-9"/>
        </w:rPr>
        <w:t> </w:t>
      </w:r>
      <w:r>
        <w:rPr/>
        <w:t>mueven</w:t>
      </w:r>
      <w:r>
        <w:rPr>
          <w:spacing w:val="-7"/>
        </w:rPr>
        <w:t> </w:t>
      </w:r>
      <w:r>
        <w:rPr/>
        <w:t>de</w:t>
      </w:r>
      <w:r>
        <w:rPr>
          <w:spacing w:val="-9"/>
        </w:rPr>
        <w:t> </w:t>
      </w:r>
      <w:r>
        <w:rPr/>
        <w:t>manera</w:t>
      </w:r>
      <w:r>
        <w:rPr>
          <w:spacing w:val="-6"/>
        </w:rPr>
        <w:t> </w:t>
      </w:r>
      <w:r>
        <w:rPr/>
        <w:t>mecánica ni proporcional año a año.</w:t>
      </w:r>
    </w:p>
    <w:p>
      <w:pPr>
        <w:pStyle w:val="BodyText"/>
        <w:spacing w:before="1"/>
      </w:pPr>
    </w:p>
    <w:p>
      <w:pPr>
        <w:pStyle w:val="BodyText"/>
        <w:ind w:left="1625" w:right="1602"/>
        <w:jc w:val="both"/>
      </w:pPr>
      <w:r>
        <w:rPr/>
        <w:t>En síntesis, el gráfico 4 evidencia que la evolución de la pobreza en Costa Rica está vinculada al dinamismo económico, aunque la relación no es automática. Los choques severos, como el de 2020, pueden revertir rápidamente los avances, mientras que la reducción observada hasta 2025 subraya la necesidad de mantener una economía resiliente acompañada de políticas públicas eficaces en materia social y laboral.</w:t>
      </w:r>
    </w:p>
    <w:p>
      <w:pPr>
        <w:pStyle w:val="BodyText"/>
        <w:spacing w:before="252"/>
        <w:ind w:left="1625" w:right="1601"/>
        <w:jc w:val="both"/>
      </w:pPr>
      <w:r>
        <w:rPr/>
        <w:t>El coeficiente de Gini es un indicador sintético de la desigualdad en la distribución del ingreso y varía entre 0 (igualdad perfecta) y 1 (desigualdad total). La ENAHO permite calcularlo con dos unidades de análisis: hogares y personas. Ambas mediciones son válidas, pero responden a preguntas distintas y no deben interpretarse como series </w:t>
      </w:r>
      <w:r>
        <w:rPr>
          <w:spacing w:val="-2"/>
        </w:rPr>
        <w:t>intercambiables.</w:t>
      </w:r>
    </w:p>
    <w:p>
      <w:pPr>
        <w:pStyle w:val="BodyText"/>
        <w:spacing w:before="1"/>
      </w:pPr>
    </w:p>
    <w:p>
      <w:pPr>
        <w:pStyle w:val="BodyText"/>
        <w:spacing w:before="1"/>
        <w:ind w:left="1625" w:right="1605"/>
        <w:jc w:val="both"/>
      </w:pPr>
      <w:r>
        <w:rPr>
          <w:b/>
        </w:rPr>
        <w:t>Gini por hogar. </w:t>
      </w:r>
      <w:r>
        <w:rPr/>
        <w:t>Sirve para medir cuán concentrado se encuentra el ingreso total entre los</w:t>
      </w:r>
      <w:r>
        <w:rPr>
          <w:spacing w:val="-3"/>
        </w:rPr>
        <w:t> </w:t>
      </w:r>
      <w:r>
        <w:rPr/>
        <w:t>hogares.</w:t>
      </w:r>
      <w:r>
        <w:rPr>
          <w:spacing w:val="-4"/>
        </w:rPr>
        <w:t> </w:t>
      </w:r>
      <w:r>
        <w:rPr/>
        <w:t>Cada</w:t>
      </w:r>
      <w:r>
        <w:rPr>
          <w:spacing w:val="-5"/>
        </w:rPr>
        <w:t> </w:t>
      </w:r>
      <w:r>
        <w:rPr/>
        <w:t>hogar</w:t>
      </w:r>
      <w:r>
        <w:rPr>
          <w:spacing w:val="-4"/>
        </w:rPr>
        <w:t> </w:t>
      </w:r>
      <w:r>
        <w:rPr/>
        <w:t>constituye</w:t>
      </w:r>
      <w:r>
        <w:rPr>
          <w:spacing w:val="-5"/>
        </w:rPr>
        <w:t> </w:t>
      </w:r>
      <w:r>
        <w:rPr/>
        <w:t>una</w:t>
      </w:r>
      <w:r>
        <w:rPr>
          <w:spacing w:val="-5"/>
        </w:rPr>
        <w:t> </w:t>
      </w:r>
      <w:r>
        <w:rPr/>
        <w:t>unidad</w:t>
      </w:r>
      <w:r>
        <w:rPr>
          <w:spacing w:val="-5"/>
        </w:rPr>
        <w:t> </w:t>
      </w:r>
      <w:r>
        <w:rPr/>
        <w:t>de</w:t>
      </w:r>
      <w:r>
        <w:rPr>
          <w:spacing w:val="-3"/>
        </w:rPr>
        <w:t> </w:t>
      </w:r>
      <w:r>
        <w:rPr/>
        <w:t>análisis</w:t>
      </w:r>
      <w:r>
        <w:rPr>
          <w:spacing w:val="-2"/>
        </w:rPr>
        <w:t> </w:t>
      </w:r>
      <w:r>
        <w:rPr/>
        <w:t>y</w:t>
      </w:r>
      <w:r>
        <w:rPr>
          <w:spacing w:val="-5"/>
        </w:rPr>
        <w:t> </w:t>
      </w:r>
      <w:r>
        <w:rPr/>
        <w:t>se</w:t>
      </w:r>
      <w:r>
        <w:rPr>
          <w:spacing w:val="-5"/>
        </w:rPr>
        <w:t> </w:t>
      </w:r>
      <w:r>
        <w:rPr/>
        <w:t>ordena</w:t>
      </w:r>
      <w:r>
        <w:rPr>
          <w:spacing w:val="-5"/>
        </w:rPr>
        <w:t> </w:t>
      </w:r>
      <w:r>
        <w:rPr/>
        <w:t>según</w:t>
      </w:r>
      <w:r>
        <w:rPr>
          <w:spacing w:val="-3"/>
        </w:rPr>
        <w:t> </w:t>
      </w:r>
      <w:r>
        <w:rPr/>
        <w:t>su</w:t>
      </w:r>
      <w:r>
        <w:rPr>
          <w:spacing w:val="-5"/>
        </w:rPr>
        <w:t> </w:t>
      </w:r>
      <w:r>
        <w:rPr/>
        <w:t>ingreso total.</w:t>
      </w:r>
      <w:r>
        <w:rPr>
          <w:spacing w:val="-1"/>
        </w:rPr>
        <w:t> </w:t>
      </w:r>
      <w:r>
        <w:rPr/>
        <w:t>Esta</w:t>
      </w:r>
      <w:r>
        <w:rPr>
          <w:spacing w:val="-3"/>
        </w:rPr>
        <w:t> </w:t>
      </w:r>
      <w:r>
        <w:rPr/>
        <w:t>medida</w:t>
      </w:r>
      <w:r>
        <w:rPr>
          <w:spacing w:val="-1"/>
        </w:rPr>
        <w:t> </w:t>
      </w:r>
      <w:r>
        <w:rPr/>
        <w:t>es</w:t>
      </w:r>
      <w:r>
        <w:rPr>
          <w:spacing w:val="-3"/>
        </w:rPr>
        <w:t> </w:t>
      </w:r>
      <w:r>
        <w:rPr/>
        <w:t>útil</w:t>
      </w:r>
      <w:r>
        <w:rPr>
          <w:spacing w:val="-1"/>
        </w:rPr>
        <w:t> </w:t>
      </w:r>
      <w:r>
        <w:rPr/>
        <w:t>para</w:t>
      </w:r>
      <w:r>
        <w:rPr>
          <w:spacing w:val="-3"/>
        </w:rPr>
        <w:t> </w:t>
      </w:r>
      <w:r>
        <w:rPr/>
        <w:t>examinar</w:t>
      </w:r>
      <w:r>
        <w:rPr>
          <w:spacing w:val="-2"/>
        </w:rPr>
        <w:t> </w:t>
      </w:r>
      <w:r>
        <w:rPr/>
        <w:t>la distribución</w:t>
      </w:r>
      <w:r>
        <w:rPr>
          <w:spacing w:val="-1"/>
        </w:rPr>
        <w:t> </w:t>
      </w:r>
      <w:r>
        <w:rPr/>
        <w:t>de</w:t>
      </w:r>
      <w:r>
        <w:rPr>
          <w:spacing w:val="-1"/>
        </w:rPr>
        <w:t> </w:t>
      </w:r>
      <w:r>
        <w:rPr/>
        <w:t>los</w:t>
      </w:r>
      <w:r>
        <w:rPr>
          <w:spacing w:val="-3"/>
        </w:rPr>
        <w:t> </w:t>
      </w:r>
      <w:r>
        <w:rPr/>
        <w:t>recursos</w:t>
      </w:r>
      <w:r>
        <w:rPr>
          <w:spacing w:val="-3"/>
        </w:rPr>
        <w:t> </w:t>
      </w:r>
      <w:r>
        <w:rPr/>
        <w:t>económicos entre</w:t>
      </w:r>
    </w:p>
    <w:p>
      <w:pPr>
        <w:pStyle w:val="BodyText"/>
        <w:spacing w:after="0"/>
        <w:jc w:val="both"/>
        <w:sectPr>
          <w:pgSz w:w="12240" w:h="15840"/>
          <w:pgMar w:header="0" w:footer="1576" w:top="1000" w:bottom="1760" w:left="360" w:right="0"/>
        </w:sectPr>
      </w:pPr>
    </w:p>
    <w:p>
      <w:pPr>
        <w:pStyle w:val="BodyText"/>
        <w:spacing w:before="77"/>
        <w:ind w:left="1625" w:right="1610"/>
        <w:jc w:val="both"/>
      </w:pPr>
      <w:r>
        <w:rPr/>
        <w:t>unidades familiares y para comparar patrones distributivos entre grupos de hogares o territorios. Su</w:t>
      </w:r>
      <w:r>
        <w:rPr>
          <w:spacing w:val="-1"/>
        </w:rPr>
        <w:t> </w:t>
      </w:r>
      <w:r>
        <w:rPr/>
        <w:t>interpretación está influida</w:t>
      </w:r>
      <w:r>
        <w:rPr>
          <w:spacing w:val="-1"/>
        </w:rPr>
        <w:t> </w:t>
      </w:r>
      <w:r>
        <w:rPr/>
        <w:t>por el</w:t>
      </w:r>
      <w:r>
        <w:rPr>
          <w:spacing w:val="-2"/>
        </w:rPr>
        <w:t> </w:t>
      </w:r>
      <w:r>
        <w:rPr/>
        <w:t>tamaño</w:t>
      </w:r>
      <w:r>
        <w:rPr>
          <w:spacing w:val="-1"/>
        </w:rPr>
        <w:t> </w:t>
      </w:r>
      <w:r>
        <w:rPr/>
        <w:t>y la composición</w:t>
      </w:r>
      <w:r>
        <w:rPr>
          <w:spacing w:val="-1"/>
        </w:rPr>
        <w:t> </w:t>
      </w:r>
      <w:r>
        <w:rPr/>
        <w:t>de los</w:t>
      </w:r>
      <w:r>
        <w:rPr>
          <w:spacing w:val="-1"/>
        </w:rPr>
        <w:t> </w:t>
      </w:r>
      <w:r>
        <w:rPr/>
        <w:t>hogares, por lo que no representa directamente la desigualdad del ingreso entre personas.</w:t>
      </w:r>
    </w:p>
    <w:p>
      <w:pPr>
        <w:pStyle w:val="BodyText"/>
        <w:spacing w:before="252"/>
        <w:ind w:left="1625" w:right="1604"/>
        <w:jc w:val="both"/>
      </w:pPr>
      <w:r>
        <w:rPr>
          <w:b/>
        </w:rPr>
        <w:t>Gini por persona. </w:t>
      </w:r>
      <w:r>
        <w:rPr/>
        <w:t>Sirve para medir la desigualdad del ingreso entre la población. Para calcularlo, las personas se ordenan según el ingreso per cápita de su hogar, de manera que el ingreso disponible del hogar se relaciona con el número de miembros que comparten esos recursos. Por esta razón, es la medida que se utiliza como referencia principal en este capítulo para analizar la desigualdad distributiva nacional y sus diferencias territoriales.</w:t>
      </w:r>
    </w:p>
    <w:p>
      <w:pPr>
        <w:pStyle w:val="BodyText"/>
      </w:pPr>
    </w:p>
    <w:p>
      <w:pPr>
        <w:pStyle w:val="BodyText"/>
        <w:spacing w:before="1"/>
        <w:ind w:left="1625" w:right="1601"/>
        <w:jc w:val="both"/>
      </w:pPr>
      <w:r>
        <w:rPr/>
        <w:t>En consecuencia, el Gini por hogar se emplea como indicador complementario de la concentración</w:t>
      </w:r>
      <w:r>
        <w:rPr>
          <w:spacing w:val="-16"/>
        </w:rPr>
        <w:t> </w:t>
      </w:r>
      <w:r>
        <w:rPr/>
        <w:t>del</w:t>
      </w:r>
      <w:r>
        <w:rPr>
          <w:spacing w:val="-15"/>
        </w:rPr>
        <w:t> </w:t>
      </w:r>
      <w:r>
        <w:rPr/>
        <w:t>ingreso</w:t>
      </w:r>
      <w:r>
        <w:rPr>
          <w:spacing w:val="-15"/>
        </w:rPr>
        <w:t> </w:t>
      </w:r>
      <w:r>
        <w:rPr/>
        <w:t>entre</w:t>
      </w:r>
      <w:r>
        <w:rPr>
          <w:spacing w:val="-16"/>
        </w:rPr>
        <w:t> </w:t>
      </w:r>
      <w:r>
        <w:rPr/>
        <w:t>hogares,</w:t>
      </w:r>
      <w:r>
        <w:rPr>
          <w:spacing w:val="-15"/>
        </w:rPr>
        <w:t> </w:t>
      </w:r>
      <w:r>
        <w:rPr/>
        <w:t>mientras</w:t>
      </w:r>
      <w:r>
        <w:rPr>
          <w:spacing w:val="-15"/>
        </w:rPr>
        <w:t> </w:t>
      </w:r>
      <w:r>
        <w:rPr/>
        <w:t>que</w:t>
      </w:r>
      <w:r>
        <w:rPr>
          <w:spacing w:val="-15"/>
        </w:rPr>
        <w:t> </w:t>
      </w:r>
      <w:r>
        <w:rPr/>
        <w:t>el</w:t>
      </w:r>
      <w:r>
        <w:rPr>
          <w:spacing w:val="-16"/>
        </w:rPr>
        <w:t> </w:t>
      </w:r>
      <w:r>
        <w:rPr/>
        <w:t>Gini</w:t>
      </w:r>
      <w:r>
        <w:rPr>
          <w:spacing w:val="-15"/>
        </w:rPr>
        <w:t> </w:t>
      </w:r>
      <w:r>
        <w:rPr/>
        <w:t>por</w:t>
      </w:r>
      <w:r>
        <w:rPr>
          <w:spacing w:val="-15"/>
        </w:rPr>
        <w:t> </w:t>
      </w:r>
      <w:r>
        <w:rPr/>
        <w:t>persona</w:t>
      </w:r>
      <w:r>
        <w:rPr>
          <w:spacing w:val="-16"/>
        </w:rPr>
        <w:t> </w:t>
      </w:r>
      <w:r>
        <w:rPr/>
        <w:t>se</w:t>
      </w:r>
      <w:r>
        <w:rPr>
          <w:spacing w:val="-15"/>
        </w:rPr>
        <w:t> </w:t>
      </w:r>
      <w:r>
        <w:rPr/>
        <w:t>emplea</w:t>
      </w:r>
      <w:r>
        <w:rPr>
          <w:spacing w:val="-15"/>
        </w:rPr>
        <w:t> </w:t>
      </w:r>
      <w:r>
        <w:rPr/>
        <w:t>para valorar</w:t>
      </w:r>
      <w:r>
        <w:rPr>
          <w:spacing w:val="-13"/>
        </w:rPr>
        <w:t> </w:t>
      </w:r>
      <w:r>
        <w:rPr/>
        <w:t>la</w:t>
      </w:r>
      <w:r>
        <w:rPr>
          <w:spacing w:val="-12"/>
        </w:rPr>
        <w:t> </w:t>
      </w:r>
      <w:r>
        <w:rPr/>
        <w:t>desigualdad</w:t>
      </w:r>
      <w:r>
        <w:rPr>
          <w:spacing w:val="-12"/>
        </w:rPr>
        <w:t> </w:t>
      </w:r>
      <w:r>
        <w:rPr/>
        <w:t>de</w:t>
      </w:r>
      <w:r>
        <w:rPr>
          <w:spacing w:val="-15"/>
        </w:rPr>
        <w:t> </w:t>
      </w:r>
      <w:r>
        <w:rPr/>
        <w:t>ingresos</w:t>
      </w:r>
      <w:r>
        <w:rPr>
          <w:spacing w:val="-14"/>
        </w:rPr>
        <w:t> </w:t>
      </w:r>
      <w:r>
        <w:rPr/>
        <w:t>que</w:t>
      </w:r>
      <w:r>
        <w:rPr>
          <w:spacing w:val="-15"/>
        </w:rPr>
        <w:t> </w:t>
      </w:r>
      <w:r>
        <w:rPr/>
        <w:t>enfrenta</w:t>
      </w:r>
      <w:r>
        <w:rPr>
          <w:spacing w:val="-15"/>
        </w:rPr>
        <w:t> </w:t>
      </w:r>
      <w:r>
        <w:rPr/>
        <w:t>la</w:t>
      </w:r>
      <w:r>
        <w:rPr>
          <w:spacing w:val="-16"/>
        </w:rPr>
        <w:t> </w:t>
      </w:r>
      <w:r>
        <w:rPr/>
        <w:t>población.</w:t>
      </w:r>
      <w:r>
        <w:rPr>
          <w:spacing w:val="-10"/>
        </w:rPr>
        <w:t> </w:t>
      </w:r>
      <w:r>
        <w:rPr/>
        <w:t>Las</w:t>
      </w:r>
      <w:r>
        <w:rPr>
          <w:spacing w:val="-14"/>
        </w:rPr>
        <w:t> </w:t>
      </w:r>
      <w:r>
        <w:rPr/>
        <w:t>diferencias</w:t>
      </w:r>
      <w:r>
        <w:rPr>
          <w:spacing w:val="-12"/>
        </w:rPr>
        <w:t> </w:t>
      </w:r>
      <w:r>
        <w:rPr/>
        <w:t>entre</w:t>
      </w:r>
      <w:r>
        <w:rPr>
          <w:spacing w:val="-15"/>
        </w:rPr>
        <w:t> </w:t>
      </w:r>
      <w:r>
        <w:rPr/>
        <w:t>ambos coeficientes no</w:t>
      </w:r>
      <w:r>
        <w:rPr>
          <w:spacing w:val="-2"/>
        </w:rPr>
        <w:t> </w:t>
      </w:r>
      <w:r>
        <w:rPr/>
        <w:t>implican</w:t>
      </w:r>
      <w:r>
        <w:rPr>
          <w:spacing w:val="-2"/>
        </w:rPr>
        <w:t> </w:t>
      </w:r>
      <w:r>
        <w:rPr/>
        <w:t>contradicción: reflejan</w:t>
      </w:r>
      <w:r>
        <w:rPr>
          <w:spacing w:val="-2"/>
        </w:rPr>
        <w:t> </w:t>
      </w:r>
      <w:r>
        <w:rPr/>
        <w:t>el</w:t>
      </w:r>
      <w:r>
        <w:rPr>
          <w:spacing w:val="-3"/>
        </w:rPr>
        <w:t> </w:t>
      </w:r>
      <w:r>
        <w:rPr/>
        <w:t>cambio en la unidad</w:t>
      </w:r>
      <w:r>
        <w:rPr>
          <w:spacing w:val="-2"/>
        </w:rPr>
        <w:t> </w:t>
      </w:r>
      <w:r>
        <w:rPr/>
        <w:t>de</w:t>
      </w:r>
      <w:r>
        <w:rPr>
          <w:spacing w:val="-2"/>
        </w:rPr>
        <w:t> </w:t>
      </w:r>
      <w:r>
        <w:rPr/>
        <w:t>análisis y en la forma de ordenar el ingreso.</w:t>
      </w:r>
    </w:p>
    <w:p>
      <w:pPr>
        <w:pStyle w:val="BodyText"/>
        <w:spacing w:before="1"/>
      </w:pPr>
    </w:p>
    <w:p>
      <w:pPr>
        <w:pStyle w:val="BodyText"/>
        <w:ind w:left="1625" w:right="1603"/>
        <w:jc w:val="both"/>
      </w:pPr>
      <w:r>
        <w:rPr/>
        <w:t>Durante</w:t>
      </w:r>
      <w:r>
        <w:rPr>
          <w:spacing w:val="-7"/>
        </w:rPr>
        <w:t> </w:t>
      </w:r>
      <w:r>
        <w:rPr/>
        <w:t>los</w:t>
      </w:r>
      <w:r>
        <w:rPr>
          <w:spacing w:val="-10"/>
        </w:rPr>
        <w:t> </w:t>
      </w:r>
      <w:r>
        <w:rPr/>
        <w:t>primeros</w:t>
      </w:r>
      <w:r>
        <w:rPr>
          <w:spacing w:val="-9"/>
        </w:rPr>
        <w:t> </w:t>
      </w:r>
      <w:r>
        <w:rPr/>
        <w:t>años</w:t>
      </w:r>
      <w:r>
        <w:rPr>
          <w:spacing w:val="-7"/>
        </w:rPr>
        <w:t> </w:t>
      </w:r>
      <w:r>
        <w:rPr/>
        <w:t>del</w:t>
      </w:r>
      <w:r>
        <w:rPr>
          <w:spacing w:val="-8"/>
        </w:rPr>
        <w:t> </w:t>
      </w:r>
      <w:r>
        <w:rPr/>
        <w:t>período</w:t>
      </w:r>
      <w:r>
        <w:rPr>
          <w:spacing w:val="-10"/>
        </w:rPr>
        <w:t> </w:t>
      </w:r>
      <w:r>
        <w:rPr/>
        <w:t>analizado,</w:t>
      </w:r>
      <w:r>
        <w:rPr>
          <w:spacing w:val="-9"/>
        </w:rPr>
        <w:t> </w:t>
      </w:r>
      <w:r>
        <w:rPr/>
        <w:t>la</w:t>
      </w:r>
      <w:r>
        <w:rPr>
          <w:spacing w:val="-7"/>
        </w:rPr>
        <w:t> </w:t>
      </w:r>
      <w:r>
        <w:rPr/>
        <w:t>desigualdad</w:t>
      </w:r>
      <w:r>
        <w:rPr>
          <w:spacing w:val="-7"/>
        </w:rPr>
        <w:t> </w:t>
      </w:r>
      <w:r>
        <w:rPr/>
        <w:t>se</w:t>
      </w:r>
      <w:r>
        <w:rPr>
          <w:spacing w:val="-10"/>
        </w:rPr>
        <w:t> </w:t>
      </w:r>
      <w:r>
        <w:rPr/>
        <w:t>mantuvo</w:t>
      </w:r>
      <w:r>
        <w:rPr>
          <w:spacing w:val="-7"/>
        </w:rPr>
        <w:t> </w:t>
      </w:r>
      <w:r>
        <w:rPr/>
        <w:t>elevada.</w:t>
      </w:r>
      <w:r>
        <w:rPr>
          <w:spacing w:val="-8"/>
        </w:rPr>
        <w:t> </w:t>
      </w:r>
      <w:r>
        <w:rPr/>
        <w:t>En 2013, el Gini por persona alcanzó 0,522, uno de los valores más altos de la serie. Este comportamiento confirma la persistencia de brechas distributivas y las dificultades para modificar de manera sostenida la concentración del ingreso.</w:t>
      </w:r>
    </w:p>
    <w:p>
      <w:pPr>
        <w:pStyle w:val="BodyText"/>
        <w:ind w:left="1625" w:right="1601"/>
        <w:jc w:val="both"/>
      </w:pPr>
      <w:r>
        <w:rPr/>
        <w:t>Entre</w:t>
      </w:r>
      <w:r>
        <w:rPr>
          <w:spacing w:val="-13"/>
        </w:rPr>
        <w:t> </w:t>
      </w:r>
      <w:r>
        <w:rPr/>
        <w:t>2016</w:t>
      </w:r>
      <w:r>
        <w:rPr>
          <w:spacing w:val="-15"/>
        </w:rPr>
        <w:t> </w:t>
      </w:r>
      <w:r>
        <w:rPr/>
        <w:t>y</w:t>
      </w:r>
      <w:r>
        <w:rPr>
          <w:spacing w:val="-13"/>
        </w:rPr>
        <w:t> </w:t>
      </w:r>
      <w:r>
        <w:rPr/>
        <w:t>2019</w:t>
      </w:r>
      <w:r>
        <w:rPr>
          <w:spacing w:val="-15"/>
        </w:rPr>
        <w:t> </w:t>
      </w:r>
      <w:r>
        <w:rPr/>
        <w:t>se</w:t>
      </w:r>
      <w:r>
        <w:rPr>
          <w:spacing w:val="-13"/>
        </w:rPr>
        <w:t> </w:t>
      </w:r>
      <w:r>
        <w:rPr/>
        <w:t>observó</w:t>
      </w:r>
      <w:r>
        <w:rPr>
          <w:spacing w:val="-13"/>
        </w:rPr>
        <w:t> </w:t>
      </w:r>
      <w:r>
        <w:rPr/>
        <w:t>una</w:t>
      </w:r>
      <w:r>
        <w:rPr>
          <w:spacing w:val="-13"/>
        </w:rPr>
        <w:t> </w:t>
      </w:r>
      <w:r>
        <w:rPr/>
        <w:t>leve</w:t>
      </w:r>
      <w:r>
        <w:rPr>
          <w:spacing w:val="-15"/>
        </w:rPr>
        <w:t> </w:t>
      </w:r>
      <w:r>
        <w:rPr/>
        <w:t>reducción</w:t>
      </w:r>
      <w:r>
        <w:rPr>
          <w:spacing w:val="-15"/>
        </w:rPr>
        <w:t> </w:t>
      </w:r>
      <w:r>
        <w:rPr/>
        <w:t>del</w:t>
      </w:r>
      <w:r>
        <w:rPr>
          <w:spacing w:val="-13"/>
        </w:rPr>
        <w:t> </w:t>
      </w:r>
      <w:r>
        <w:rPr/>
        <w:t>Gini</w:t>
      </w:r>
      <w:r>
        <w:rPr>
          <w:spacing w:val="-14"/>
        </w:rPr>
        <w:t> </w:t>
      </w:r>
      <w:r>
        <w:rPr/>
        <w:t>por</w:t>
      </w:r>
      <w:r>
        <w:rPr>
          <w:spacing w:val="-13"/>
        </w:rPr>
        <w:t> </w:t>
      </w:r>
      <w:r>
        <w:rPr/>
        <w:t>persona,</w:t>
      </w:r>
      <w:r>
        <w:rPr>
          <w:spacing w:val="-14"/>
        </w:rPr>
        <w:t> </w:t>
      </w:r>
      <w:r>
        <w:rPr/>
        <w:t>que</w:t>
      </w:r>
      <w:r>
        <w:rPr>
          <w:spacing w:val="-15"/>
        </w:rPr>
        <w:t> </w:t>
      </w:r>
      <w:r>
        <w:rPr/>
        <w:t>pasó</w:t>
      </w:r>
      <w:r>
        <w:rPr>
          <w:spacing w:val="-13"/>
        </w:rPr>
        <w:t> </w:t>
      </w:r>
      <w:r>
        <w:rPr/>
        <w:t>de</w:t>
      </w:r>
      <w:r>
        <w:rPr>
          <w:spacing w:val="-13"/>
        </w:rPr>
        <w:t> </w:t>
      </w:r>
      <w:r>
        <w:rPr/>
        <w:t>0,521 en</w:t>
      </w:r>
      <w:r>
        <w:rPr>
          <w:spacing w:val="-4"/>
        </w:rPr>
        <w:t> </w:t>
      </w:r>
      <w:r>
        <w:rPr/>
        <w:t>2016</w:t>
      </w:r>
      <w:r>
        <w:rPr>
          <w:spacing w:val="-4"/>
        </w:rPr>
        <w:t> </w:t>
      </w:r>
      <w:r>
        <w:rPr/>
        <w:t>a</w:t>
      </w:r>
      <w:r>
        <w:rPr>
          <w:spacing w:val="-6"/>
        </w:rPr>
        <w:t> </w:t>
      </w:r>
      <w:r>
        <w:rPr/>
        <w:t>0,514</w:t>
      </w:r>
      <w:r>
        <w:rPr>
          <w:spacing w:val="-6"/>
        </w:rPr>
        <w:t> </w:t>
      </w:r>
      <w:r>
        <w:rPr/>
        <w:t>en</w:t>
      </w:r>
      <w:r>
        <w:rPr>
          <w:spacing w:val="-4"/>
        </w:rPr>
        <w:t> </w:t>
      </w:r>
      <w:r>
        <w:rPr/>
        <w:t>2019.</w:t>
      </w:r>
      <w:r>
        <w:rPr>
          <w:spacing w:val="-3"/>
        </w:rPr>
        <w:t> </w:t>
      </w:r>
      <w:r>
        <w:rPr/>
        <w:t>La</w:t>
      </w:r>
      <w:r>
        <w:rPr>
          <w:spacing w:val="-7"/>
        </w:rPr>
        <w:t> </w:t>
      </w:r>
      <w:r>
        <w:rPr/>
        <w:t>variación</w:t>
      </w:r>
      <w:r>
        <w:rPr>
          <w:spacing w:val="-7"/>
        </w:rPr>
        <w:t> </w:t>
      </w:r>
      <w:r>
        <w:rPr/>
        <w:t>fue</w:t>
      </w:r>
      <w:r>
        <w:rPr>
          <w:spacing w:val="-7"/>
        </w:rPr>
        <w:t> </w:t>
      </w:r>
      <w:r>
        <w:rPr/>
        <w:t>moderada</w:t>
      </w:r>
      <w:r>
        <w:rPr>
          <w:spacing w:val="-4"/>
        </w:rPr>
        <w:t> </w:t>
      </w:r>
      <w:r>
        <w:rPr/>
        <w:t>y</w:t>
      </w:r>
      <w:r>
        <w:rPr>
          <w:spacing w:val="-4"/>
        </w:rPr>
        <w:t> </w:t>
      </w:r>
      <w:r>
        <w:rPr/>
        <w:t>no</w:t>
      </w:r>
      <w:r>
        <w:rPr>
          <w:spacing w:val="-9"/>
        </w:rPr>
        <w:t> </w:t>
      </w:r>
      <w:r>
        <w:rPr/>
        <w:t>modificó</w:t>
      </w:r>
      <w:r>
        <w:rPr>
          <w:spacing w:val="-4"/>
        </w:rPr>
        <w:t> </w:t>
      </w:r>
      <w:r>
        <w:rPr/>
        <w:t>de</w:t>
      </w:r>
      <w:r>
        <w:rPr>
          <w:spacing w:val="-7"/>
        </w:rPr>
        <w:t> </w:t>
      </w:r>
      <w:r>
        <w:rPr/>
        <w:t>manera</w:t>
      </w:r>
      <w:r>
        <w:rPr>
          <w:spacing w:val="-4"/>
        </w:rPr>
        <w:t> </w:t>
      </w:r>
      <w:r>
        <w:rPr/>
        <w:t>sustancial la estructura general de la desigualdad. Esta tendencia se interrumpió con la crisis sanitaria y económica asociada a la pandemia de COVID-19.</w:t>
      </w:r>
    </w:p>
    <w:p>
      <w:pPr>
        <w:pStyle w:val="BodyText"/>
        <w:spacing w:before="252"/>
        <w:ind w:left="1625" w:right="1605"/>
        <w:jc w:val="both"/>
      </w:pPr>
      <w:r>
        <w:rPr/>
        <w:t>En</w:t>
      </w:r>
      <w:r>
        <w:rPr>
          <w:spacing w:val="-12"/>
        </w:rPr>
        <w:t> </w:t>
      </w:r>
      <w:r>
        <w:rPr/>
        <w:t>2020,</w:t>
      </w:r>
      <w:r>
        <w:rPr>
          <w:spacing w:val="-12"/>
        </w:rPr>
        <w:t> </w:t>
      </w:r>
      <w:r>
        <w:rPr/>
        <w:t>el</w:t>
      </w:r>
      <w:r>
        <w:rPr>
          <w:spacing w:val="-15"/>
        </w:rPr>
        <w:t> </w:t>
      </w:r>
      <w:r>
        <w:rPr/>
        <w:t>Gini</w:t>
      </w:r>
      <w:r>
        <w:rPr>
          <w:spacing w:val="-12"/>
        </w:rPr>
        <w:t> </w:t>
      </w:r>
      <w:r>
        <w:rPr/>
        <w:t>por</w:t>
      </w:r>
      <w:r>
        <w:rPr>
          <w:spacing w:val="-12"/>
        </w:rPr>
        <w:t> </w:t>
      </w:r>
      <w:r>
        <w:rPr/>
        <w:t>persona</w:t>
      </w:r>
      <w:r>
        <w:rPr>
          <w:spacing w:val="-11"/>
        </w:rPr>
        <w:t> </w:t>
      </w:r>
      <w:r>
        <w:rPr/>
        <w:t>aumentó</w:t>
      </w:r>
      <w:r>
        <w:rPr>
          <w:spacing w:val="-11"/>
        </w:rPr>
        <w:t> </w:t>
      </w:r>
      <w:r>
        <w:rPr/>
        <w:t>a</w:t>
      </w:r>
      <w:r>
        <w:rPr>
          <w:spacing w:val="-14"/>
        </w:rPr>
        <w:t> </w:t>
      </w:r>
      <w:r>
        <w:rPr/>
        <w:t>0,519.</w:t>
      </w:r>
      <w:r>
        <w:rPr>
          <w:spacing w:val="-13"/>
        </w:rPr>
        <w:t> </w:t>
      </w:r>
      <w:r>
        <w:rPr/>
        <w:t>El</w:t>
      </w:r>
      <w:r>
        <w:rPr>
          <w:spacing w:val="-14"/>
        </w:rPr>
        <w:t> </w:t>
      </w:r>
      <w:r>
        <w:rPr/>
        <w:t>resultado</w:t>
      </w:r>
      <w:r>
        <w:rPr>
          <w:spacing w:val="-11"/>
        </w:rPr>
        <w:t> </w:t>
      </w:r>
      <w:r>
        <w:rPr/>
        <w:t>es</w:t>
      </w:r>
      <w:r>
        <w:rPr>
          <w:spacing w:val="-11"/>
        </w:rPr>
        <w:t> </w:t>
      </w:r>
      <w:r>
        <w:rPr/>
        <w:t>consistente</w:t>
      </w:r>
      <w:r>
        <w:rPr>
          <w:spacing w:val="-16"/>
        </w:rPr>
        <w:t> </w:t>
      </w:r>
      <w:r>
        <w:rPr/>
        <w:t>con</w:t>
      </w:r>
      <w:r>
        <w:rPr>
          <w:spacing w:val="-12"/>
        </w:rPr>
        <w:t> </w:t>
      </w:r>
      <w:r>
        <w:rPr/>
        <w:t>los</w:t>
      </w:r>
      <w:r>
        <w:rPr>
          <w:spacing w:val="-11"/>
        </w:rPr>
        <w:t> </w:t>
      </w:r>
      <w:r>
        <w:rPr/>
        <w:t>efectos asimétricos de la crisis sobre el empleo y los ingresos, especialmente entre la población vinculada a actividades informales o con menor protección laboral y social.</w:t>
      </w:r>
    </w:p>
    <w:p>
      <w:pPr>
        <w:pStyle w:val="BodyText"/>
        <w:spacing w:before="2"/>
        <w:ind w:left="1625" w:right="1598"/>
        <w:jc w:val="both"/>
      </w:pPr>
      <w:r>
        <w:rPr/>
        <w:t>En 2021, el Gini por persona alcanzó 0,524, el valor más alto del período 2010–2025. A partir de 2022 se observa una reducción numérica sostenida: 0,504 en 2022, 0,502 en 2023, 0,492 en 2024 y 0,488 en 2025. Este último constituye el menor valor de la serie ENAHO. No obstante,</w:t>
      </w:r>
      <w:r>
        <w:rPr>
          <w:spacing w:val="-1"/>
        </w:rPr>
        <w:t> </w:t>
      </w:r>
      <w:r>
        <w:rPr/>
        <w:t>el</w:t>
      </w:r>
      <w:r>
        <w:rPr>
          <w:spacing w:val="-1"/>
        </w:rPr>
        <w:t> </w:t>
      </w:r>
      <w:r>
        <w:rPr/>
        <w:t>INEC señala que la variación nacional</w:t>
      </w:r>
      <w:r>
        <w:rPr>
          <w:spacing w:val="-1"/>
        </w:rPr>
        <w:t> </w:t>
      </w:r>
      <w:r>
        <w:rPr/>
        <w:t>entre 2024 y 2025 no es estadísticamente significativa; por ello, el resultado debe interpretarse como una disminución numérica y no como un cambio estadísticamente comprobado a nivel </w:t>
      </w:r>
      <w:r>
        <w:rPr>
          <w:spacing w:val="-2"/>
        </w:rPr>
        <w:t>nacional.</w:t>
      </w:r>
    </w:p>
    <w:p>
      <w:pPr>
        <w:pStyle w:val="BodyText"/>
        <w:spacing w:before="252"/>
        <w:ind w:left="1625" w:right="1601"/>
        <w:jc w:val="both"/>
      </w:pPr>
      <w:r>
        <w:rPr/>
        <w:t>El</w:t>
      </w:r>
      <w:r>
        <w:rPr>
          <w:spacing w:val="-8"/>
        </w:rPr>
        <w:t> </w:t>
      </w:r>
      <w:r>
        <w:rPr/>
        <w:t>análisis</w:t>
      </w:r>
      <w:r>
        <w:rPr>
          <w:spacing w:val="-7"/>
        </w:rPr>
        <w:t> </w:t>
      </w:r>
      <w:r>
        <w:rPr/>
        <w:t>territorial</w:t>
      </w:r>
      <w:r>
        <w:rPr>
          <w:spacing w:val="-11"/>
        </w:rPr>
        <w:t> </w:t>
      </w:r>
      <w:r>
        <w:rPr/>
        <w:t>también</w:t>
      </w:r>
      <w:r>
        <w:rPr>
          <w:spacing w:val="-8"/>
        </w:rPr>
        <w:t> </w:t>
      </w:r>
      <w:r>
        <w:rPr/>
        <w:t>muestra</w:t>
      </w:r>
      <w:r>
        <w:rPr>
          <w:spacing w:val="-10"/>
        </w:rPr>
        <w:t> </w:t>
      </w:r>
      <w:r>
        <w:rPr/>
        <w:t>diferencias</w:t>
      </w:r>
      <w:r>
        <w:rPr>
          <w:spacing w:val="-7"/>
        </w:rPr>
        <w:t> </w:t>
      </w:r>
      <w:r>
        <w:rPr/>
        <w:t>entre</w:t>
      </w:r>
      <w:r>
        <w:rPr>
          <w:spacing w:val="-10"/>
        </w:rPr>
        <w:t> </w:t>
      </w:r>
      <w:r>
        <w:rPr/>
        <w:t>zonas</w:t>
      </w:r>
      <w:r>
        <w:rPr>
          <w:spacing w:val="-10"/>
        </w:rPr>
        <w:t> </w:t>
      </w:r>
      <w:r>
        <w:rPr/>
        <w:t>urbanas</w:t>
      </w:r>
      <w:r>
        <w:rPr>
          <w:spacing w:val="-9"/>
        </w:rPr>
        <w:t> </w:t>
      </w:r>
      <w:r>
        <w:rPr/>
        <w:t>y</w:t>
      </w:r>
      <w:r>
        <w:rPr>
          <w:spacing w:val="-9"/>
        </w:rPr>
        <w:t> </w:t>
      </w:r>
      <w:r>
        <w:rPr/>
        <w:t>rurales.</w:t>
      </w:r>
      <w:r>
        <w:rPr>
          <w:spacing w:val="-6"/>
        </w:rPr>
        <w:t> </w:t>
      </w:r>
      <w:r>
        <w:rPr/>
        <w:t>En</w:t>
      </w:r>
      <w:r>
        <w:rPr>
          <w:spacing w:val="-7"/>
        </w:rPr>
        <w:t> </w:t>
      </w:r>
      <w:r>
        <w:rPr/>
        <w:t>2025, el Gini por persona se ubicó en 0,475 en la zona urbana y en 0,480 en la zona rural. La cercanía de ambos valores evidencia una mayor convergencia reciente, aunque la desigualdad continúa asociada con diferencias territoriales en estructura productiva, informalidad, acceso a servicios y oportunidades de empleo.</w:t>
      </w:r>
    </w:p>
    <w:p>
      <w:pPr>
        <w:pStyle w:val="BodyText"/>
      </w:pPr>
    </w:p>
    <w:p>
      <w:pPr>
        <w:pStyle w:val="BodyText"/>
        <w:ind w:left="1625" w:right="1603"/>
        <w:jc w:val="both"/>
      </w:pPr>
      <w:r>
        <w:rPr/>
        <w:t>Por ello, la lectura del indicador nacional debe complementarse con el análisis de las condiciones territoriales. La reducción de la brecha urbano-rural no elimina los rezagos que persisten en zonas con menor cobertura de servicios, menor diversificación productiva y mayores restricciones de acceso a empleos de calidad.</w:t>
      </w:r>
    </w:p>
    <w:p>
      <w:pPr>
        <w:pStyle w:val="BodyText"/>
        <w:spacing w:after="0"/>
        <w:jc w:val="both"/>
        <w:sectPr>
          <w:pgSz w:w="12240" w:h="15840"/>
          <w:pgMar w:header="0" w:footer="1576" w:top="1000" w:bottom="1760" w:left="360" w:right="0"/>
        </w:sectPr>
      </w:pPr>
    </w:p>
    <w:p>
      <w:pPr>
        <w:pStyle w:val="Heading5"/>
        <w:spacing w:before="77"/>
        <w:ind w:left="5127" w:right="1444" w:hanging="3335"/>
      </w:pPr>
      <w:bookmarkStart w:name="_bookmark23" w:id="24"/>
      <w:bookmarkEnd w:id="24"/>
      <w:r>
        <w:rPr>
          <w:b w:val="0"/>
        </w:rPr>
      </w:r>
      <w:r>
        <w:rPr/>
        <w:t>Gráfico</w:t>
      </w:r>
      <w:r>
        <w:rPr>
          <w:spacing w:val="-5"/>
        </w:rPr>
        <w:t> </w:t>
      </w:r>
      <w:r>
        <w:rPr/>
        <w:t>5:</w:t>
      </w:r>
      <w:r>
        <w:rPr>
          <w:spacing w:val="-4"/>
        </w:rPr>
        <w:t> </w:t>
      </w:r>
      <w:r>
        <w:rPr/>
        <w:t>Costa</w:t>
      </w:r>
      <w:r>
        <w:rPr>
          <w:spacing w:val="-3"/>
        </w:rPr>
        <w:t> </w:t>
      </w:r>
      <w:r>
        <w:rPr/>
        <w:t>Rica:</w:t>
      </w:r>
      <w:r>
        <w:rPr>
          <w:spacing w:val="-6"/>
        </w:rPr>
        <w:t> </w:t>
      </w:r>
      <w:r>
        <w:rPr/>
        <w:t>Desigualdad</w:t>
      </w:r>
      <w:r>
        <w:rPr>
          <w:spacing w:val="-3"/>
        </w:rPr>
        <w:t> </w:t>
      </w:r>
      <w:r>
        <w:rPr/>
        <w:t>por</w:t>
      </w:r>
      <w:r>
        <w:rPr>
          <w:spacing w:val="-4"/>
        </w:rPr>
        <w:t> </w:t>
      </w:r>
      <w:r>
        <w:rPr/>
        <w:t>ingresos</w:t>
      </w:r>
      <w:r>
        <w:rPr>
          <w:spacing w:val="-3"/>
        </w:rPr>
        <w:t> </w:t>
      </w:r>
      <w:r>
        <w:rPr/>
        <w:t>según</w:t>
      </w:r>
      <w:r>
        <w:rPr>
          <w:spacing w:val="-3"/>
        </w:rPr>
        <w:t> </w:t>
      </w:r>
      <w:r>
        <w:rPr/>
        <w:t>el</w:t>
      </w:r>
      <w:r>
        <w:rPr>
          <w:spacing w:val="-1"/>
        </w:rPr>
        <w:t> </w:t>
      </w:r>
      <w:r>
        <w:rPr/>
        <w:t>coeficiente</w:t>
      </w:r>
      <w:r>
        <w:rPr>
          <w:spacing w:val="-5"/>
        </w:rPr>
        <w:t> </w:t>
      </w:r>
      <w:r>
        <w:rPr/>
        <w:t>de</w:t>
      </w:r>
      <w:r>
        <w:rPr>
          <w:spacing w:val="-5"/>
        </w:rPr>
        <w:t> </w:t>
      </w:r>
      <w:r>
        <w:rPr/>
        <w:t>Gini</w:t>
      </w:r>
      <w:r>
        <w:rPr>
          <w:spacing w:val="-1"/>
        </w:rPr>
        <w:t> </w:t>
      </w:r>
      <w:r>
        <w:rPr/>
        <w:t>por hogar, 2010-2025</w:t>
      </w:r>
    </w:p>
    <w:p>
      <w:pPr>
        <w:pStyle w:val="BodyText"/>
        <w:spacing w:before="7"/>
        <w:rPr>
          <w:b/>
          <w:sz w:val="3"/>
        </w:rPr>
      </w:pPr>
      <w:r>
        <w:rPr>
          <w:b/>
          <w:sz w:val="3"/>
        </w:rPr>
        <w:drawing>
          <wp:anchor distT="0" distB="0" distL="0" distR="0" allowOverlap="1" layoutInCell="1" locked="0" behindDoc="1" simplePos="0" relativeHeight="487591424">
            <wp:simplePos x="0" y="0"/>
            <wp:positionH relativeFrom="page">
              <wp:posOffset>1343107</wp:posOffset>
            </wp:positionH>
            <wp:positionV relativeFrom="paragraph">
              <wp:posOffset>41968</wp:posOffset>
            </wp:positionV>
            <wp:extent cx="5453424" cy="3127248"/>
            <wp:effectExtent l="0" t="0" r="0" b="0"/>
            <wp:wrapTopAndBottom/>
            <wp:docPr id="65" name="Image 65"/>
            <wp:cNvGraphicFramePr>
              <a:graphicFrameLocks/>
            </wp:cNvGraphicFramePr>
            <a:graphic>
              <a:graphicData uri="http://schemas.openxmlformats.org/drawingml/2006/picture">
                <pic:pic>
                  <pic:nvPicPr>
                    <pic:cNvPr id="65" name="Image 65"/>
                    <pic:cNvPicPr/>
                  </pic:nvPicPr>
                  <pic:blipFill>
                    <a:blip r:embed="rId36" cstate="print"/>
                    <a:stretch>
                      <a:fillRect/>
                    </a:stretch>
                  </pic:blipFill>
                  <pic:spPr>
                    <a:xfrm>
                      <a:off x="0" y="0"/>
                      <a:ext cx="5453424" cy="3127248"/>
                    </a:xfrm>
                    <a:prstGeom prst="rect">
                      <a:avLst/>
                    </a:prstGeom>
                  </pic:spPr>
                </pic:pic>
              </a:graphicData>
            </a:graphic>
          </wp:anchor>
        </w:drawing>
      </w:r>
    </w:p>
    <w:p>
      <w:pPr>
        <w:spacing w:before="19"/>
        <w:ind w:left="1625" w:right="1601" w:firstLine="0"/>
        <w:jc w:val="both"/>
        <w:rPr>
          <w:sz w:val="18"/>
        </w:rPr>
      </w:pPr>
      <w:r>
        <w:rPr>
          <w:sz w:val="18"/>
        </w:rPr>
        <w:t>Fuente: Elaboración propia con datos del Instituto Nacional de Estadística y Censos (INEC), ENAHO 2010-</w:t>
      </w:r>
      <w:r>
        <w:rPr>
          <w:spacing w:val="-2"/>
          <w:sz w:val="18"/>
        </w:rPr>
        <w:t>2025.</w:t>
      </w:r>
    </w:p>
    <w:p>
      <w:pPr>
        <w:pStyle w:val="BodyText"/>
        <w:spacing w:before="23"/>
        <w:rPr>
          <w:sz w:val="18"/>
        </w:rPr>
      </w:pPr>
    </w:p>
    <w:p>
      <w:pPr>
        <w:pStyle w:val="BodyText"/>
        <w:ind w:left="1625" w:right="1604"/>
        <w:jc w:val="both"/>
      </w:pPr>
      <w:r>
        <w:rPr/>
        <w:t>El</w:t>
      </w:r>
      <w:r>
        <w:rPr>
          <w:spacing w:val="-16"/>
        </w:rPr>
        <w:t> </w:t>
      </w:r>
      <w:r>
        <w:rPr/>
        <w:t>gráfico</w:t>
      </w:r>
      <w:r>
        <w:rPr>
          <w:spacing w:val="-13"/>
        </w:rPr>
        <w:t> </w:t>
      </w:r>
      <w:r>
        <w:rPr/>
        <w:t>5</w:t>
      </w:r>
      <w:r>
        <w:rPr>
          <w:spacing w:val="-16"/>
        </w:rPr>
        <w:t> </w:t>
      </w:r>
      <w:r>
        <w:rPr/>
        <w:t>muestra</w:t>
      </w:r>
      <w:r>
        <w:rPr>
          <w:spacing w:val="-13"/>
        </w:rPr>
        <w:t> </w:t>
      </w:r>
      <w:r>
        <w:rPr/>
        <w:t>la</w:t>
      </w:r>
      <w:r>
        <w:rPr>
          <w:spacing w:val="-14"/>
        </w:rPr>
        <w:t> </w:t>
      </w:r>
      <w:r>
        <w:rPr/>
        <w:t>evolución</w:t>
      </w:r>
      <w:r>
        <w:rPr>
          <w:spacing w:val="-14"/>
        </w:rPr>
        <w:t> </w:t>
      </w:r>
      <w:r>
        <w:rPr/>
        <w:t>del</w:t>
      </w:r>
      <w:r>
        <w:rPr>
          <w:spacing w:val="-14"/>
        </w:rPr>
        <w:t> </w:t>
      </w:r>
      <w:r>
        <w:rPr/>
        <w:t>coeficiente</w:t>
      </w:r>
      <w:r>
        <w:rPr>
          <w:spacing w:val="-14"/>
        </w:rPr>
        <w:t> </w:t>
      </w:r>
      <w:r>
        <w:rPr/>
        <w:t>de</w:t>
      </w:r>
      <w:r>
        <w:rPr>
          <w:spacing w:val="-16"/>
        </w:rPr>
        <w:t> </w:t>
      </w:r>
      <w:r>
        <w:rPr/>
        <w:t>Gini</w:t>
      </w:r>
      <w:r>
        <w:rPr>
          <w:spacing w:val="-14"/>
        </w:rPr>
        <w:t> </w:t>
      </w:r>
      <w:r>
        <w:rPr/>
        <w:t>por</w:t>
      </w:r>
      <w:r>
        <w:rPr>
          <w:spacing w:val="-13"/>
        </w:rPr>
        <w:t> </w:t>
      </w:r>
      <w:r>
        <w:rPr/>
        <w:t>hogar.</w:t>
      </w:r>
      <w:r>
        <w:rPr>
          <w:spacing w:val="-15"/>
        </w:rPr>
        <w:t> </w:t>
      </w:r>
      <w:r>
        <w:rPr/>
        <w:t>En</w:t>
      </w:r>
      <w:r>
        <w:rPr>
          <w:spacing w:val="-14"/>
        </w:rPr>
        <w:t> </w:t>
      </w:r>
      <w:r>
        <w:rPr/>
        <w:t>esta</w:t>
      </w:r>
      <w:r>
        <w:rPr>
          <w:spacing w:val="-16"/>
        </w:rPr>
        <w:t> </w:t>
      </w:r>
      <w:r>
        <w:rPr/>
        <w:t>medición,</w:t>
      </w:r>
      <w:r>
        <w:rPr>
          <w:spacing w:val="-11"/>
        </w:rPr>
        <w:t> </w:t>
      </w:r>
      <w:r>
        <w:rPr/>
        <w:t>cada hogar</w:t>
      </w:r>
      <w:r>
        <w:rPr>
          <w:spacing w:val="-3"/>
        </w:rPr>
        <w:t> </w:t>
      </w:r>
      <w:r>
        <w:rPr/>
        <w:t>se</w:t>
      </w:r>
      <w:r>
        <w:rPr>
          <w:spacing w:val="-6"/>
        </w:rPr>
        <w:t> </w:t>
      </w:r>
      <w:r>
        <w:rPr/>
        <w:t>considera</w:t>
      </w:r>
      <w:r>
        <w:rPr>
          <w:spacing w:val="-6"/>
        </w:rPr>
        <w:t> </w:t>
      </w:r>
      <w:r>
        <w:rPr/>
        <w:t>una</w:t>
      </w:r>
      <w:r>
        <w:rPr>
          <w:spacing w:val="-6"/>
        </w:rPr>
        <w:t> </w:t>
      </w:r>
      <w:r>
        <w:rPr/>
        <w:t>unidad</w:t>
      </w:r>
      <w:r>
        <w:rPr>
          <w:spacing w:val="-4"/>
        </w:rPr>
        <w:t> </w:t>
      </w:r>
      <w:r>
        <w:rPr/>
        <w:t>y</w:t>
      </w:r>
      <w:r>
        <w:rPr>
          <w:spacing w:val="-4"/>
        </w:rPr>
        <w:t> </w:t>
      </w:r>
      <w:r>
        <w:rPr/>
        <w:t>se</w:t>
      </w:r>
      <w:r>
        <w:rPr>
          <w:spacing w:val="-6"/>
        </w:rPr>
        <w:t> </w:t>
      </w:r>
      <w:r>
        <w:rPr/>
        <w:t>ordena</w:t>
      </w:r>
      <w:r>
        <w:rPr>
          <w:spacing w:val="-7"/>
        </w:rPr>
        <w:t> </w:t>
      </w:r>
      <w:r>
        <w:rPr/>
        <w:t>según</w:t>
      </w:r>
      <w:r>
        <w:rPr>
          <w:spacing w:val="-4"/>
        </w:rPr>
        <w:t> </w:t>
      </w:r>
      <w:r>
        <w:rPr/>
        <w:t>su</w:t>
      </w:r>
      <w:r>
        <w:rPr>
          <w:spacing w:val="-4"/>
        </w:rPr>
        <w:t> </w:t>
      </w:r>
      <w:r>
        <w:rPr/>
        <w:t>ingreso</w:t>
      </w:r>
      <w:r>
        <w:rPr>
          <w:spacing w:val="-6"/>
        </w:rPr>
        <w:t> </w:t>
      </w:r>
      <w:r>
        <w:rPr/>
        <w:t>total;</w:t>
      </w:r>
      <w:r>
        <w:rPr>
          <w:spacing w:val="-5"/>
        </w:rPr>
        <w:t> </w:t>
      </w:r>
      <w:r>
        <w:rPr/>
        <w:t>por</w:t>
      </w:r>
      <w:r>
        <w:rPr>
          <w:spacing w:val="-8"/>
        </w:rPr>
        <w:t> </w:t>
      </w:r>
      <w:r>
        <w:rPr/>
        <w:t>tanto,</w:t>
      </w:r>
      <w:r>
        <w:rPr>
          <w:spacing w:val="-5"/>
        </w:rPr>
        <w:t> </w:t>
      </w:r>
      <w:r>
        <w:rPr/>
        <w:t>el</w:t>
      </w:r>
      <w:r>
        <w:rPr>
          <w:spacing w:val="-5"/>
        </w:rPr>
        <w:t> </w:t>
      </w:r>
      <w:r>
        <w:rPr/>
        <w:t>indicador sirve para analizar cómo se concentra el ingreso entre los hogares del país. La línea nacional evidencia oscilaciones moderadas a lo largo de la serie, con niveles relativamente altos en 2013 y 2021, una reducción marcada en 2024 y un leve aumento numérico en 2025, cuando el indicador se ubica en 0,495. Las barras urbana y rural permiten</w:t>
      </w:r>
      <w:r>
        <w:rPr>
          <w:spacing w:val="-11"/>
        </w:rPr>
        <w:t> </w:t>
      </w:r>
      <w:r>
        <w:rPr/>
        <w:t>apreciar</w:t>
      </w:r>
      <w:r>
        <w:rPr>
          <w:spacing w:val="-10"/>
        </w:rPr>
        <w:t> </w:t>
      </w:r>
      <w:r>
        <w:rPr/>
        <w:t>variaciones</w:t>
      </w:r>
      <w:r>
        <w:rPr>
          <w:spacing w:val="-11"/>
        </w:rPr>
        <w:t> </w:t>
      </w:r>
      <w:r>
        <w:rPr/>
        <w:t>territoriales</w:t>
      </w:r>
      <w:r>
        <w:rPr>
          <w:spacing w:val="-8"/>
        </w:rPr>
        <w:t> </w:t>
      </w:r>
      <w:r>
        <w:rPr/>
        <w:t>en</w:t>
      </w:r>
      <w:r>
        <w:rPr>
          <w:spacing w:val="-11"/>
        </w:rPr>
        <w:t> </w:t>
      </w:r>
      <w:r>
        <w:rPr/>
        <w:t>la</w:t>
      </w:r>
      <w:r>
        <w:rPr>
          <w:spacing w:val="-11"/>
        </w:rPr>
        <w:t> </w:t>
      </w:r>
      <w:r>
        <w:rPr/>
        <w:t>concentración</w:t>
      </w:r>
      <w:r>
        <w:rPr>
          <w:spacing w:val="-11"/>
        </w:rPr>
        <w:t> </w:t>
      </w:r>
      <w:r>
        <w:rPr/>
        <w:t>del</w:t>
      </w:r>
      <w:r>
        <w:rPr>
          <w:spacing w:val="-9"/>
        </w:rPr>
        <w:t> </w:t>
      </w:r>
      <w:r>
        <w:rPr/>
        <w:t>ingreso</w:t>
      </w:r>
      <w:r>
        <w:rPr>
          <w:spacing w:val="-8"/>
        </w:rPr>
        <w:t> </w:t>
      </w:r>
      <w:r>
        <w:rPr/>
        <w:t>de</w:t>
      </w:r>
      <w:r>
        <w:rPr>
          <w:spacing w:val="-8"/>
        </w:rPr>
        <w:t> </w:t>
      </w:r>
      <w:r>
        <w:rPr/>
        <w:t>los</w:t>
      </w:r>
      <w:r>
        <w:rPr>
          <w:spacing w:val="-8"/>
        </w:rPr>
        <w:t> </w:t>
      </w:r>
      <w:r>
        <w:rPr/>
        <w:t>hogares. Esta medida es complementaria y no debe interpretarse como equivalente al Gini por persona, ya que no ajusta la comparación distributiva por el número de integrantes de cada hogar.</w:t>
      </w:r>
    </w:p>
    <w:p>
      <w:pPr>
        <w:pStyle w:val="BodyText"/>
        <w:spacing w:before="1"/>
      </w:pPr>
    </w:p>
    <w:p>
      <w:pPr>
        <w:pStyle w:val="BodyText"/>
        <w:spacing w:before="1"/>
        <w:ind w:left="1625" w:right="1444"/>
      </w:pPr>
      <w:r>
        <w:rPr/>
        <w:t>Para</w:t>
      </w:r>
      <w:r>
        <w:rPr>
          <w:spacing w:val="-2"/>
        </w:rPr>
        <w:t> </w:t>
      </w:r>
      <w:r>
        <w:rPr/>
        <w:t>la</w:t>
      </w:r>
      <w:r>
        <w:rPr>
          <w:spacing w:val="-5"/>
        </w:rPr>
        <w:t> </w:t>
      </w:r>
      <w:r>
        <w:rPr/>
        <w:t>lectura</w:t>
      </w:r>
      <w:r>
        <w:rPr>
          <w:spacing w:val="-5"/>
        </w:rPr>
        <w:t> </w:t>
      </w:r>
      <w:r>
        <w:rPr/>
        <w:t>principal</w:t>
      </w:r>
      <w:r>
        <w:rPr>
          <w:spacing w:val="-6"/>
        </w:rPr>
        <w:t> </w:t>
      </w:r>
      <w:r>
        <w:rPr/>
        <w:t>de</w:t>
      </w:r>
      <w:r>
        <w:rPr>
          <w:spacing w:val="-3"/>
        </w:rPr>
        <w:t> </w:t>
      </w:r>
      <w:r>
        <w:rPr/>
        <w:t>la</w:t>
      </w:r>
      <w:r>
        <w:rPr>
          <w:spacing w:val="-3"/>
        </w:rPr>
        <w:t> </w:t>
      </w:r>
      <w:r>
        <w:rPr/>
        <w:t>desigualdad</w:t>
      </w:r>
      <w:r>
        <w:rPr>
          <w:spacing w:val="-3"/>
        </w:rPr>
        <w:t> </w:t>
      </w:r>
      <w:r>
        <w:rPr/>
        <w:t>de</w:t>
      </w:r>
      <w:r>
        <w:rPr>
          <w:spacing w:val="-5"/>
        </w:rPr>
        <w:t> </w:t>
      </w:r>
      <w:r>
        <w:rPr/>
        <w:t>ingresos</w:t>
      </w:r>
      <w:r>
        <w:rPr>
          <w:spacing w:val="-2"/>
        </w:rPr>
        <w:t> </w:t>
      </w:r>
      <w:r>
        <w:rPr/>
        <w:t>en</w:t>
      </w:r>
      <w:r>
        <w:rPr>
          <w:spacing w:val="-5"/>
        </w:rPr>
        <w:t> </w:t>
      </w:r>
      <w:r>
        <w:rPr/>
        <w:t>Costa</w:t>
      </w:r>
      <w:r>
        <w:rPr>
          <w:spacing w:val="-5"/>
        </w:rPr>
        <w:t> </w:t>
      </w:r>
      <w:r>
        <w:rPr/>
        <w:t>Rica,</w:t>
      </w:r>
      <w:r>
        <w:rPr>
          <w:spacing w:val="-4"/>
        </w:rPr>
        <w:t> </w:t>
      </w:r>
      <w:r>
        <w:rPr/>
        <w:t>el</w:t>
      </w:r>
      <w:r>
        <w:rPr>
          <w:spacing w:val="-4"/>
        </w:rPr>
        <w:t> </w:t>
      </w:r>
      <w:r>
        <w:rPr/>
        <w:t>comportamiento del coeficiente de Gini por persona entre 2010 y 2025 muestra:</w:t>
      </w:r>
    </w:p>
    <w:p>
      <w:pPr>
        <w:pStyle w:val="ListParagraph"/>
        <w:numPr>
          <w:ilvl w:val="0"/>
          <w:numId w:val="13"/>
        </w:numPr>
        <w:tabs>
          <w:tab w:pos="1982" w:val="left" w:leader="none"/>
        </w:tabs>
        <w:spacing w:line="240" w:lineRule="auto" w:before="118" w:after="0"/>
        <w:ind w:left="1982" w:right="1603" w:hanging="358"/>
        <w:jc w:val="left"/>
        <w:rPr>
          <w:sz w:val="22"/>
        </w:rPr>
      </w:pPr>
      <w:r>
        <w:rPr>
          <w:sz w:val="22"/>
        </w:rPr>
        <w:t>Persistencia</w:t>
      </w:r>
      <w:r>
        <w:rPr>
          <w:spacing w:val="-16"/>
          <w:sz w:val="22"/>
        </w:rPr>
        <w:t> </w:t>
      </w:r>
      <w:r>
        <w:rPr>
          <w:sz w:val="22"/>
        </w:rPr>
        <w:t>de</w:t>
      </w:r>
      <w:r>
        <w:rPr>
          <w:spacing w:val="-17"/>
          <w:sz w:val="22"/>
        </w:rPr>
        <w:t> </w:t>
      </w:r>
      <w:r>
        <w:rPr>
          <w:sz w:val="22"/>
        </w:rPr>
        <w:t>niveles</w:t>
      </w:r>
      <w:r>
        <w:rPr>
          <w:spacing w:val="-15"/>
          <w:sz w:val="22"/>
        </w:rPr>
        <w:t> </w:t>
      </w:r>
      <w:r>
        <w:rPr>
          <w:sz w:val="22"/>
        </w:rPr>
        <w:t>altos</w:t>
      </w:r>
      <w:r>
        <w:rPr>
          <w:spacing w:val="-15"/>
          <w:sz w:val="22"/>
        </w:rPr>
        <w:t> </w:t>
      </w:r>
      <w:r>
        <w:rPr>
          <w:sz w:val="22"/>
        </w:rPr>
        <w:t>de</w:t>
      </w:r>
      <w:r>
        <w:rPr>
          <w:spacing w:val="-17"/>
          <w:sz w:val="22"/>
        </w:rPr>
        <w:t> </w:t>
      </w:r>
      <w:r>
        <w:rPr>
          <w:sz w:val="22"/>
        </w:rPr>
        <w:t>desigualdad</w:t>
      </w:r>
      <w:r>
        <w:rPr>
          <w:spacing w:val="-16"/>
          <w:sz w:val="22"/>
        </w:rPr>
        <w:t> </w:t>
      </w:r>
      <w:r>
        <w:rPr>
          <w:sz w:val="22"/>
        </w:rPr>
        <w:t>a</w:t>
      </w:r>
      <w:r>
        <w:rPr>
          <w:spacing w:val="-15"/>
          <w:sz w:val="22"/>
        </w:rPr>
        <w:t> </w:t>
      </w:r>
      <w:r>
        <w:rPr>
          <w:sz w:val="22"/>
        </w:rPr>
        <w:t>lo</w:t>
      </w:r>
      <w:r>
        <w:rPr>
          <w:spacing w:val="-15"/>
          <w:sz w:val="22"/>
        </w:rPr>
        <w:t> </w:t>
      </w:r>
      <w:r>
        <w:rPr>
          <w:sz w:val="22"/>
        </w:rPr>
        <w:t>largo</w:t>
      </w:r>
      <w:r>
        <w:rPr>
          <w:spacing w:val="-15"/>
          <w:sz w:val="22"/>
        </w:rPr>
        <w:t> </w:t>
      </w:r>
      <w:r>
        <w:rPr>
          <w:sz w:val="22"/>
        </w:rPr>
        <w:t>del</w:t>
      </w:r>
      <w:r>
        <w:rPr>
          <w:spacing w:val="-16"/>
          <w:sz w:val="22"/>
        </w:rPr>
        <w:t> </w:t>
      </w:r>
      <w:r>
        <w:rPr>
          <w:sz w:val="22"/>
        </w:rPr>
        <w:t>período,</w:t>
      </w:r>
      <w:r>
        <w:rPr>
          <w:spacing w:val="-15"/>
          <w:sz w:val="22"/>
        </w:rPr>
        <w:t> </w:t>
      </w:r>
      <w:r>
        <w:rPr>
          <w:sz w:val="22"/>
        </w:rPr>
        <w:t>pese</w:t>
      </w:r>
      <w:r>
        <w:rPr>
          <w:spacing w:val="-17"/>
          <w:sz w:val="22"/>
        </w:rPr>
        <w:t> </w:t>
      </w:r>
      <w:r>
        <w:rPr>
          <w:sz w:val="22"/>
        </w:rPr>
        <w:t>a</w:t>
      </w:r>
      <w:r>
        <w:rPr>
          <w:spacing w:val="-15"/>
          <w:sz w:val="22"/>
        </w:rPr>
        <w:t> </w:t>
      </w:r>
      <w:r>
        <w:rPr>
          <w:sz w:val="22"/>
        </w:rPr>
        <w:t>la</w:t>
      </w:r>
      <w:r>
        <w:rPr>
          <w:spacing w:val="-17"/>
          <w:sz w:val="22"/>
        </w:rPr>
        <w:t> </w:t>
      </w:r>
      <w:r>
        <w:rPr>
          <w:sz w:val="22"/>
        </w:rPr>
        <w:t>reducción numérica observada en los años recientes.</w:t>
      </w:r>
    </w:p>
    <w:p>
      <w:pPr>
        <w:pStyle w:val="ListParagraph"/>
        <w:numPr>
          <w:ilvl w:val="0"/>
          <w:numId w:val="13"/>
        </w:numPr>
        <w:tabs>
          <w:tab w:pos="1982" w:val="left" w:leader="none"/>
        </w:tabs>
        <w:spacing w:line="240" w:lineRule="auto" w:before="120" w:after="0"/>
        <w:ind w:left="1982" w:right="1603" w:hanging="358"/>
        <w:jc w:val="left"/>
        <w:rPr>
          <w:sz w:val="22"/>
        </w:rPr>
      </w:pPr>
      <w:r>
        <w:rPr>
          <w:sz w:val="22"/>
        </w:rPr>
        <w:t>Un</w:t>
      </w:r>
      <w:r>
        <w:rPr>
          <w:spacing w:val="-15"/>
          <w:sz w:val="22"/>
        </w:rPr>
        <w:t> </w:t>
      </w:r>
      <w:r>
        <w:rPr>
          <w:sz w:val="22"/>
        </w:rPr>
        <w:t>nivel</w:t>
      </w:r>
      <w:r>
        <w:rPr>
          <w:spacing w:val="-15"/>
          <w:sz w:val="22"/>
        </w:rPr>
        <w:t> </w:t>
      </w:r>
      <w:r>
        <w:rPr>
          <w:sz w:val="22"/>
        </w:rPr>
        <w:t>elevado</w:t>
      </w:r>
      <w:r>
        <w:rPr>
          <w:spacing w:val="-15"/>
          <w:sz w:val="22"/>
        </w:rPr>
        <w:t> </w:t>
      </w:r>
      <w:r>
        <w:rPr>
          <w:sz w:val="22"/>
        </w:rPr>
        <w:t>de</w:t>
      </w:r>
      <w:r>
        <w:rPr>
          <w:spacing w:val="-15"/>
          <w:sz w:val="22"/>
        </w:rPr>
        <w:t> </w:t>
      </w:r>
      <w:r>
        <w:rPr>
          <w:sz w:val="22"/>
        </w:rPr>
        <w:t>0,522</w:t>
      </w:r>
      <w:r>
        <w:rPr>
          <w:spacing w:val="-15"/>
          <w:sz w:val="22"/>
        </w:rPr>
        <w:t> </w:t>
      </w:r>
      <w:r>
        <w:rPr>
          <w:sz w:val="22"/>
        </w:rPr>
        <w:t>en</w:t>
      </w:r>
      <w:r>
        <w:rPr>
          <w:spacing w:val="-15"/>
          <w:sz w:val="22"/>
        </w:rPr>
        <w:t> </w:t>
      </w:r>
      <w:r>
        <w:rPr>
          <w:sz w:val="22"/>
        </w:rPr>
        <w:t>2013,</w:t>
      </w:r>
      <w:r>
        <w:rPr>
          <w:spacing w:val="-15"/>
          <w:sz w:val="22"/>
        </w:rPr>
        <w:t> </w:t>
      </w:r>
      <w:r>
        <w:rPr>
          <w:sz w:val="22"/>
        </w:rPr>
        <w:t>representativo</w:t>
      </w:r>
      <w:r>
        <w:rPr>
          <w:spacing w:val="-15"/>
          <w:sz w:val="22"/>
        </w:rPr>
        <w:t> </w:t>
      </w:r>
      <w:r>
        <w:rPr>
          <w:sz w:val="22"/>
        </w:rPr>
        <w:t>de</w:t>
      </w:r>
      <w:r>
        <w:rPr>
          <w:spacing w:val="-15"/>
          <w:sz w:val="22"/>
        </w:rPr>
        <w:t> </w:t>
      </w:r>
      <w:r>
        <w:rPr>
          <w:sz w:val="22"/>
        </w:rPr>
        <w:t>la</w:t>
      </w:r>
      <w:r>
        <w:rPr>
          <w:spacing w:val="-15"/>
          <w:sz w:val="22"/>
        </w:rPr>
        <w:t> </w:t>
      </w:r>
      <w:r>
        <w:rPr>
          <w:sz w:val="22"/>
        </w:rPr>
        <w:t>alta</w:t>
      </w:r>
      <w:r>
        <w:rPr>
          <w:spacing w:val="-15"/>
          <w:sz w:val="22"/>
        </w:rPr>
        <w:t> </w:t>
      </w:r>
      <w:r>
        <w:rPr>
          <w:sz w:val="22"/>
        </w:rPr>
        <w:t>concentración</w:t>
      </w:r>
      <w:r>
        <w:rPr>
          <w:spacing w:val="-15"/>
          <w:sz w:val="22"/>
        </w:rPr>
        <w:t> </w:t>
      </w:r>
      <w:r>
        <w:rPr>
          <w:sz w:val="22"/>
        </w:rPr>
        <w:t>del</w:t>
      </w:r>
      <w:r>
        <w:rPr>
          <w:spacing w:val="-15"/>
          <w:sz w:val="22"/>
        </w:rPr>
        <w:t> </w:t>
      </w:r>
      <w:r>
        <w:rPr>
          <w:sz w:val="22"/>
        </w:rPr>
        <w:t>ingreso durante la primera parte de la serie.</w:t>
      </w:r>
    </w:p>
    <w:p>
      <w:pPr>
        <w:pStyle w:val="ListParagraph"/>
        <w:numPr>
          <w:ilvl w:val="0"/>
          <w:numId w:val="13"/>
        </w:numPr>
        <w:tabs>
          <w:tab w:pos="1982" w:val="left" w:leader="none"/>
        </w:tabs>
        <w:spacing w:line="240" w:lineRule="auto" w:before="121" w:after="0"/>
        <w:ind w:left="1982" w:right="0" w:hanging="357"/>
        <w:jc w:val="left"/>
        <w:rPr>
          <w:sz w:val="22"/>
        </w:rPr>
      </w:pPr>
      <w:r>
        <w:rPr>
          <w:sz w:val="22"/>
        </w:rPr>
        <w:t>Un</w:t>
      </w:r>
      <w:r>
        <w:rPr>
          <w:spacing w:val="-5"/>
          <w:sz w:val="22"/>
        </w:rPr>
        <w:t> </w:t>
      </w:r>
      <w:r>
        <w:rPr>
          <w:sz w:val="22"/>
        </w:rPr>
        <w:t>repunte</w:t>
      </w:r>
      <w:r>
        <w:rPr>
          <w:spacing w:val="-6"/>
          <w:sz w:val="22"/>
        </w:rPr>
        <w:t> </w:t>
      </w:r>
      <w:r>
        <w:rPr>
          <w:sz w:val="22"/>
        </w:rPr>
        <w:t>durante</w:t>
      </w:r>
      <w:r>
        <w:rPr>
          <w:spacing w:val="-7"/>
          <w:sz w:val="22"/>
        </w:rPr>
        <w:t> </w:t>
      </w:r>
      <w:r>
        <w:rPr>
          <w:sz w:val="22"/>
        </w:rPr>
        <w:t>la</w:t>
      </w:r>
      <w:r>
        <w:rPr>
          <w:spacing w:val="-6"/>
          <w:sz w:val="22"/>
        </w:rPr>
        <w:t> </w:t>
      </w:r>
      <w:r>
        <w:rPr>
          <w:sz w:val="22"/>
        </w:rPr>
        <w:t>crisis</w:t>
      </w:r>
      <w:r>
        <w:rPr>
          <w:spacing w:val="-4"/>
          <w:sz w:val="22"/>
        </w:rPr>
        <w:t> </w:t>
      </w:r>
      <w:r>
        <w:rPr>
          <w:sz w:val="22"/>
        </w:rPr>
        <w:t>pandémica</w:t>
      </w:r>
      <w:r>
        <w:rPr>
          <w:spacing w:val="-6"/>
          <w:sz w:val="22"/>
        </w:rPr>
        <w:t> </w:t>
      </w:r>
      <w:r>
        <w:rPr>
          <w:sz w:val="22"/>
        </w:rPr>
        <w:t>y</w:t>
      </w:r>
      <w:r>
        <w:rPr>
          <w:spacing w:val="-4"/>
          <w:sz w:val="22"/>
        </w:rPr>
        <w:t> </w:t>
      </w:r>
      <w:r>
        <w:rPr>
          <w:sz w:val="22"/>
        </w:rPr>
        <w:t>un</w:t>
      </w:r>
      <w:r>
        <w:rPr>
          <w:spacing w:val="-6"/>
          <w:sz w:val="22"/>
        </w:rPr>
        <w:t> </w:t>
      </w:r>
      <w:r>
        <w:rPr>
          <w:sz w:val="22"/>
        </w:rPr>
        <w:t>máximo</w:t>
      </w:r>
      <w:r>
        <w:rPr>
          <w:spacing w:val="-6"/>
          <w:sz w:val="22"/>
        </w:rPr>
        <w:t> </w:t>
      </w:r>
      <w:r>
        <w:rPr>
          <w:sz w:val="22"/>
        </w:rPr>
        <w:t>del</w:t>
      </w:r>
      <w:r>
        <w:rPr>
          <w:spacing w:val="-5"/>
          <w:sz w:val="22"/>
        </w:rPr>
        <w:t> </w:t>
      </w:r>
      <w:r>
        <w:rPr>
          <w:sz w:val="22"/>
        </w:rPr>
        <w:t>período</w:t>
      </w:r>
      <w:r>
        <w:rPr>
          <w:spacing w:val="-6"/>
          <w:sz w:val="22"/>
        </w:rPr>
        <w:t> </w:t>
      </w:r>
      <w:r>
        <w:rPr>
          <w:sz w:val="22"/>
        </w:rPr>
        <w:t>en</w:t>
      </w:r>
      <w:r>
        <w:rPr>
          <w:spacing w:val="-7"/>
          <w:sz w:val="22"/>
        </w:rPr>
        <w:t> </w:t>
      </w:r>
      <w:r>
        <w:rPr>
          <w:sz w:val="22"/>
        </w:rPr>
        <w:t>2021,</w:t>
      </w:r>
      <w:r>
        <w:rPr>
          <w:spacing w:val="-7"/>
          <w:sz w:val="22"/>
        </w:rPr>
        <w:t> </w:t>
      </w:r>
      <w:r>
        <w:rPr>
          <w:sz w:val="22"/>
        </w:rPr>
        <w:t>con</w:t>
      </w:r>
      <w:r>
        <w:rPr>
          <w:spacing w:val="-4"/>
          <w:sz w:val="22"/>
        </w:rPr>
        <w:t> </w:t>
      </w:r>
      <w:r>
        <w:rPr>
          <w:spacing w:val="-2"/>
          <w:sz w:val="22"/>
        </w:rPr>
        <w:t>0,524.</w:t>
      </w:r>
    </w:p>
    <w:p>
      <w:pPr>
        <w:pStyle w:val="ListParagraph"/>
        <w:numPr>
          <w:ilvl w:val="0"/>
          <w:numId w:val="13"/>
        </w:numPr>
        <w:tabs>
          <w:tab w:pos="1980" w:val="left" w:leader="none"/>
          <w:tab w:pos="1982" w:val="left" w:leader="none"/>
        </w:tabs>
        <w:spacing w:line="240" w:lineRule="auto" w:before="119" w:after="0"/>
        <w:ind w:left="1982" w:right="1605" w:hanging="358"/>
        <w:jc w:val="both"/>
        <w:rPr>
          <w:sz w:val="22"/>
        </w:rPr>
      </w:pPr>
      <w:r>
        <w:rPr>
          <w:sz w:val="22"/>
        </w:rPr>
        <w:t>Una</w:t>
      </w:r>
      <w:r>
        <w:rPr>
          <w:spacing w:val="-3"/>
          <w:sz w:val="22"/>
        </w:rPr>
        <w:t> </w:t>
      </w:r>
      <w:r>
        <w:rPr>
          <w:sz w:val="22"/>
        </w:rPr>
        <w:t>disminución</w:t>
      </w:r>
      <w:r>
        <w:rPr>
          <w:spacing w:val="-3"/>
          <w:sz w:val="22"/>
        </w:rPr>
        <w:t> </w:t>
      </w:r>
      <w:r>
        <w:rPr>
          <w:sz w:val="22"/>
        </w:rPr>
        <w:t>numérica</w:t>
      </w:r>
      <w:r>
        <w:rPr>
          <w:spacing w:val="-3"/>
          <w:sz w:val="22"/>
        </w:rPr>
        <w:t> </w:t>
      </w:r>
      <w:r>
        <w:rPr>
          <w:sz w:val="22"/>
        </w:rPr>
        <w:t>sostenida</w:t>
      </w:r>
      <w:r>
        <w:rPr>
          <w:spacing w:val="-3"/>
          <w:sz w:val="22"/>
        </w:rPr>
        <w:t> </w:t>
      </w:r>
      <w:r>
        <w:rPr>
          <w:sz w:val="22"/>
        </w:rPr>
        <w:t>a</w:t>
      </w:r>
      <w:r>
        <w:rPr>
          <w:spacing w:val="-3"/>
          <w:sz w:val="22"/>
        </w:rPr>
        <w:t> </w:t>
      </w:r>
      <w:r>
        <w:rPr>
          <w:sz w:val="22"/>
        </w:rPr>
        <w:t>partir</w:t>
      </w:r>
      <w:r>
        <w:rPr>
          <w:spacing w:val="-4"/>
          <w:sz w:val="22"/>
        </w:rPr>
        <w:t> </w:t>
      </w:r>
      <w:r>
        <w:rPr>
          <w:sz w:val="22"/>
        </w:rPr>
        <w:t>de</w:t>
      </w:r>
      <w:r>
        <w:rPr>
          <w:spacing w:val="-4"/>
          <w:sz w:val="22"/>
        </w:rPr>
        <w:t> </w:t>
      </w:r>
      <w:r>
        <w:rPr>
          <w:sz w:val="22"/>
        </w:rPr>
        <w:t>2022,</w:t>
      </w:r>
      <w:r>
        <w:rPr>
          <w:spacing w:val="-1"/>
          <w:sz w:val="22"/>
        </w:rPr>
        <w:t> </w:t>
      </w:r>
      <w:r>
        <w:rPr>
          <w:sz w:val="22"/>
        </w:rPr>
        <w:t>hasta</w:t>
      </w:r>
      <w:r>
        <w:rPr>
          <w:spacing w:val="-3"/>
          <w:sz w:val="22"/>
        </w:rPr>
        <w:t> </w:t>
      </w:r>
      <w:r>
        <w:rPr>
          <w:sz w:val="22"/>
        </w:rPr>
        <w:t>alcanzar</w:t>
      </w:r>
      <w:r>
        <w:rPr>
          <w:spacing w:val="-2"/>
          <w:sz w:val="22"/>
        </w:rPr>
        <w:t> </w:t>
      </w:r>
      <w:r>
        <w:rPr>
          <w:sz w:val="22"/>
        </w:rPr>
        <w:t>0,488</w:t>
      </w:r>
      <w:r>
        <w:rPr>
          <w:spacing w:val="-3"/>
          <w:sz w:val="22"/>
        </w:rPr>
        <w:t> </w:t>
      </w:r>
      <w:r>
        <w:rPr>
          <w:sz w:val="22"/>
        </w:rPr>
        <w:t>en</w:t>
      </w:r>
      <w:r>
        <w:rPr>
          <w:spacing w:val="-3"/>
          <w:sz w:val="22"/>
        </w:rPr>
        <w:t> </w:t>
      </w:r>
      <w:r>
        <w:rPr>
          <w:sz w:val="22"/>
        </w:rPr>
        <w:t>2025, el menor valor de la serie. La diferencia nacional entre 2024 y 2025 no es estadísticamente significativa.</w:t>
      </w:r>
    </w:p>
    <w:p>
      <w:pPr>
        <w:pStyle w:val="ListParagraph"/>
        <w:numPr>
          <w:ilvl w:val="0"/>
          <w:numId w:val="13"/>
        </w:numPr>
        <w:tabs>
          <w:tab w:pos="1981" w:val="left" w:leader="none"/>
        </w:tabs>
        <w:spacing w:line="240" w:lineRule="auto" w:before="122" w:after="0"/>
        <w:ind w:left="1981" w:right="0" w:hanging="356"/>
        <w:jc w:val="both"/>
        <w:rPr>
          <w:sz w:val="22"/>
        </w:rPr>
      </w:pPr>
      <w:r>
        <w:rPr>
          <w:sz w:val="22"/>
        </w:rPr>
        <w:t>Disparidades</w:t>
      </w:r>
      <w:r>
        <w:rPr>
          <w:spacing w:val="-8"/>
          <w:sz w:val="22"/>
        </w:rPr>
        <w:t> </w:t>
      </w:r>
      <w:r>
        <w:rPr>
          <w:sz w:val="22"/>
        </w:rPr>
        <w:t>territoriales</w:t>
      </w:r>
      <w:r>
        <w:rPr>
          <w:spacing w:val="-7"/>
          <w:sz w:val="22"/>
        </w:rPr>
        <w:t> </w:t>
      </w:r>
      <w:r>
        <w:rPr>
          <w:sz w:val="22"/>
        </w:rPr>
        <w:t>importantes</w:t>
      </w:r>
      <w:r>
        <w:rPr>
          <w:spacing w:val="-6"/>
          <w:sz w:val="22"/>
        </w:rPr>
        <w:t> </w:t>
      </w:r>
      <w:r>
        <w:rPr>
          <w:sz w:val="22"/>
        </w:rPr>
        <w:t>entre</w:t>
      </w:r>
      <w:r>
        <w:rPr>
          <w:spacing w:val="-8"/>
          <w:sz w:val="22"/>
        </w:rPr>
        <w:t> </w:t>
      </w:r>
      <w:r>
        <w:rPr>
          <w:sz w:val="22"/>
        </w:rPr>
        <w:t>zonas</w:t>
      </w:r>
      <w:r>
        <w:rPr>
          <w:spacing w:val="-9"/>
          <w:sz w:val="22"/>
        </w:rPr>
        <w:t> </w:t>
      </w:r>
      <w:r>
        <w:rPr>
          <w:sz w:val="22"/>
        </w:rPr>
        <w:t>urbanas</w:t>
      </w:r>
      <w:r>
        <w:rPr>
          <w:spacing w:val="-8"/>
          <w:sz w:val="22"/>
        </w:rPr>
        <w:t> </w:t>
      </w:r>
      <w:r>
        <w:rPr>
          <w:sz w:val="22"/>
        </w:rPr>
        <w:t>y</w:t>
      </w:r>
      <w:r>
        <w:rPr>
          <w:spacing w:val="-8"/>
          <w:sz w:val="22"/>
        </w:rPr>
        <w:t> </w:t>
      </w:r>
      <w:r>
        <w:rPr>
          <w:spacing w:val="-2"/>
          <w:sz w:val="22"/>
        </w:rPr>
        <w:t>rurales.</w:t>
      </w:r>
    </w:p>
    <w:p>
      <w:pPr>
        <w:pStyle w:val="ListParagraph"/>
        <w:spacing w:after="0" w:line="240" w:lineRule="auto"/>
        <w:jc w:val="both"/>
        <w:rPr>
          <w:sz w:val="22"/>
        </w:rPr>
        <w:sectPr>
          <w:pgSz w:w="12240" w:h="15840"/>
          <w:pgMar w:header="0" w:footer="1576" w:top="1000" w:bottom="1760" w:left="360" w:right="0"/>
        </w:sectPr>
      </w:pPr>
    </w:p>
    <w:p>
      <w:pPr>
        <w:pStyle w:val="ListParagraph"/>
        <w:numPr>
          <w:ilvl w:val="0"/>
          <w:numId w:val="13"/>
        </w:numPr>
        <w:tabs>
          <w:tab w:pos="1980" w:val="left" w:leader="none"/>
          <w:tab w:pos="1982" w:val="left" w:leader="none"/>
        </w:tabs>
        <w:spacing w:line="240" w:lineRule="auto" w:before="77" w:after="0"/>
        <w:ind w:left="1982" w:right="1603" w:hanging="358"/>
        <w:jc w:val="both"/>
        <w:rPr>
          <w:sz w:val="22"/>
        </w:rPr>
      </w:pPr>
      <w:r>
        <w:rPr>
          <w:sz w:val="22"/>
        </w:rPr>
        <w:t>La necesidad de políticas públicas más integrales y sostenibles para lograr una redistribución efectiva del ingreso.</w:t>
      </w:r>
    </w:p>
    <w:p>
      <w:pPr>
        <w:pStyle w:val="BodyText"/>
        <w:spacing w:before="121"/>
        <w:ind w:left="1625" w:right="1603"/>
        <w:jc w:val="both"/>
      </w:pPr>
      <w:r>
        <w:rPr/>
        <w:t>El Índice de Pobreza Multidimensional (IPM) complementa la medición por ingresos al identificar</w:t>
      </w:r>
      <w:r>
        <w:rPr>
          <w:spacing w:val="-7"/>
        </w:rPr>
        <w:t> </w:t>
      </w:r>
      <w:r>
        <w:rPr/>
        <w:t>privaciones</w:t>
      </w:r>
      <w:r>
        <w:rPr>
          <w:spacing w:val="-8"/>
        </w:rPr>
        <w:t> </w:t>
      </w:r>
      <w:r>
        <w:rPr/>
        <w:t>simultáneas</w:t>
      </w:r>
      <w:r>
        <w:rPr>
          <w:spacing w:val="-10"/>
        </w:rPr>
        <w:t> </w:t>
      </w:r>
      <w:r>
        <w:rPr/>
        <w:t>en</w:t>
      </w:r>
      <w:r>
        <w:rPr>
          <w:spacing w:val="-9"/>
        </w:rPr>
        <w:t> </w:t>
      </w:r>
      <w:r>
        <w:rPr/>
        <w:t>dimensiones</w:t>
      </w:r>
      <w:r>
        <w:rPr>
          <w:spacing w:val="-8"/>
        </w:rPr>
        <w:t> </w:t>
      </w:r>
      <w:r>
        <w:rPr/>
        <w:t>esenciales</w:t>
      </w:r>
      <w:r>
        <w:rPr>
          <w:spacing w:val="-8"/>
        </w:rPr>
        <w:t> </w:t>
      </w:r>
      <w:r>
        <w:rPr/>
        <w:t>de</w:t>
      </w:r>
      <w:r>
        <w:rPr>
          <w:spacing w:val="-11"/>
        </w:rPr>
        <w:t> </w:t>
      </w:r>
      <w:r>
        <w:rPr/>
        <w:t>las</w:t>
      </w:r>
      <w:r>
        <w:rPr>
          <w:spacing w:val="-8"/>
        </w:rPr>
        <w:t> </w:t>
      </w:r>
      <w:r>
        <w:rPr/>
        <w:t>condiciones</w:t>
      </w:r>
      <w:r>
        <w:rPr>
          <w:spacing w:val="-8"/>
        </w:rPr>
        <w:t> </w:t>
      </w:r>
      <w:r>
        <w:rPr/>
        <w:t>de</w:t>
      </w:r>
      <w:r>
        <w:rPr>
          <w:spacing w:val="-9"/>
        </w:rPr>
        <w:t> </w:t>
      </w:r>
      <w:r>
        <w:rPr/>
        <w:t>vida de los hogares. A diferencia de la pobreza monetaria —más sensible a los ciclos económicos y a las variaciones del ingreso—, el IPM ha mostrado una trayectoria relativamente más estable. En 2021, por ejemplo, se situó en 16,40% (véase gráfico 7), en un contexto marcado por las medidas de protección social adoptadas durante la pandemia de COVID-19.</w:t>
      </w:r>
    </w:p>
    <w:p>
      <w:pPr>
        <w:pStyle w:val="BodyText"/>
        <w:spacing w:before="253"/>
        <w:ind w:left="1625" w:right="1604"/>
        <w:jc w:val="both"/>
      </w:pPr>
      <w:r>
        <w:rPr/>
        <w:t>Durante el período 2010–2025, la incidencia de hogares pobres por IPM muestra una tendencia general decreciente, con algunas oscilaciones interanuales, evidenciando avances</w:t>
      </w:r>
      <w:r>
        <w:rPr>
          <w:spacing w:val="-1"/>
        </w:rPr>
        <w:t> </w:t>
      </w:r>
      <w:r>
        <w:rPr/>
        <w:t>estructurales</w:t>
      </w:r>
      <w:r>
        <w:rPr>
          <w:spacing w:val="-1"/>
        </w:rPr>
        <w:t> </w:t>
      </w:r>
      <w:r>
        <w:rPr/>
        <w:t>en</w:t>
      </w:r>
      <w:r>
        <w:rPr>
          <w:spacing w:val="-4"/>
        </w:rPr>
        <w:t> </w:t>
      </w:r>
      <w:r>
        <w:rPr/>
        <w:t>la</w:t>
      </w:r>
      <w:r>
        <w:rPr>
          <w:spacing w:val="-1"/>
        </w:rPr>
        <w:t> </w:t>
      </w:r>
      <w:r>
        <w:rPr/>
        <w:t>reducción</w:t>
      </w:r>
      <w:r>
        <w:rPr>
          <w:spacing w:val="-2"/>
        </w:rPr>
        <w:t> </w:t>
      </w:r>
      <w:r>
        <w:rPr/>
        <w:t>de</w:t>
      </w:r>
      <w:r>
        <w:rPr>
          <w:spacing w:val="-2"/>
        </w:rPr>
        <w:t> </w:t>
      </w:r>
      <w:r>
        <w:rPr/>
        <w:t>privaciones</w:t>
      </w:r>
      <w:r>
        <w:rPr>
          <w:spacing w:val="-1"/>
        </w:rPr>
        <w:t> </w:t>
      </w:r>
      <w:r>
        <w:rPr/>
        <w:t>simultáneas.</w:t>
      </w:r>
      <w:r>
        <w:rPr>
          <w:spacing w:val="-2"/>
        </w:rPr>
        <w:t> </w:t>
      </w:r>
      <w:r>
        <w:rPr/>
        <w:t>En</w:t>
      </w:r>
      <w:r>
        <w:rPr>
          <w:spacing w:val="-1"/>
        </w:rPr>
        <w:t> </w:t>
      </w:r>
      <w:r>
        <w:rPr/>
        <w:t>2025</w:t>
      </w:r>
      <w:r>
        <w:rPr>
          <w:spacing w:val="-1"/>
        </w:rPr>
        <w:t> </w:t>
      </w:r>
      <w:r>
        <w:rPr/>
        <w:t>la</w:t>
      </w:r>
      <w:r>
        <w:rPr>
          <w:spacing w:val="-1"/>
        </w:rPr>
        <w:t> </w:t>
      </w:r>
      <w:r>
        <w:rPr/>
        <w:t>incidencia nacional se ubicó en 9,87%. No obstante, las disparidades territoriales persisten: las zonas rurales continúan mostrando una mayor incidencia que las urbanas, por lo que la reducción de largo plazo no elimina la necesidad de intervenciones diferenciadas por </w:t>
      </w:r>
      <w:r>
        <w:rPr>
          <w:spacing w:val="-2"/>
        </w:rPr>
        <w:t>territorio.</w:t>
      </w:r>
    </w:p>
    <w:p>
      <w:pPr>
        <w:pStyle w:val="BodyText"/>
        <w:ind w:left="1625" w:right="1604"/>
        <w:jc w:val="both"/>
      </w:pPr>
      <w:r>
        <w:rPr/>
        <w:t>En 2010, el IPM total se ubicaba en 25,87%, con una incidencia de 18,50% en zonas urbanas y 46,66% en zonas rurales. La diferencia fue de 28,16 puntos porcentuales, desfavorable</w:t>
      </w:r>
      <w:r>
        <w:rPr>
          <w:spacing w:val="-2"/>
        </w:rPr>
        <w:t> </w:t>
      </w:r>
      <w:r>
        <w:rPr/>
        <w:t>a las zonas</w:t>
      </w:r>
      <w:r>
        <w:rPr>
          <w:spacing w:val="-2"/>
        </w:rPr>
        <w:t> </w:t>
      </w:r>
      <w:r>
        <w:rPr/>
        <w:t>rurales, donde</w:t>
      </w:r>
      <w:r>
        <w:rPr>
          <w:spacing w:val="-2"/>
        </w:rPr>
        <w:t> </w:t>
      </w:r>
      <w:r>
        <w:rPr/>
        <w:t>la incidencia era</w:t>
      </w:r>
      <w:r>
        <w:rPr>
          <w:spacing w:val="-1"/>
        </w:rPr>
        <w:t> </w:t>
      </w:r>
      <w:r>
        <w:rPr/>
        <w:t>más del</w:t>
      </w:r>
      <w:r>
        <w:rPr>
          <w:spacing w:val="-2"/>
        </w:rPr>
        <w:t> </w:t>
      </w:r>
      <w:r>
        <w:rPr/>
        <w:t>doble de la observada en las zonas urbanas. Esta brecha reflejaba desigualdades territoriales profundas en el acceso a oportunidades y servicios.</w:t>
      </w:r>
    </w:p>
    <w:p>
      <w:pPr>
        <w:pStyle w:val="BodyText"/>
        <w:spacing w:before="252"/>
        <w:ind w:left="1625" w:right="1603"/>
        <w:jc w:val="both"/>
      </w:pPr>
      <w:r>
        <w:rPr/>
        <w:t>Entre</w:t>
      </w:r>
      <w:r>
        <w:rPr>
          <w:spacing w:val="-11"/>
        </w:rPr>
        <w:t> </w:t>
      </w:r>
      <w:r>
        <w:rPr/>
        <w:t>2010</w:t>
      </w:r>
      <w:r>
        <w:rPr>
          <w:spacing w:val="-12"/>
        </w:rPr>
        <w:t> </w:t>
      </w:r>
      <w:r>
        <w:rPr/>
        <w:t>y</w:t>
      </w:r>
      <w:r>
        <w:rPr>
          <w:spacing w:val="-11"/>
        </w:rPr>
        <w:t> </w:t>
      </w:r>
      <w:r>
        <w:rPr/>
        <w:t>2013,</w:t>
      </w:r>
      <w:r>
        <w:rPr>
          <w:spacing w:val="-10"/>
        </w:rPr>
        <w:t> </w:t>
      </w:r>
      <w:r>
        <w:rPr/>
        <w:t>el</w:t>
      </w:r>
      <w:r>
        <w:rPr>
          <w:spacing w:val="-12"/>
        </w:rPr>
        <w:t> </w:t>
      </w:r>
      <w:r>
        <w:rPr/>
        <w:t>IPM</w:t>
      </w:r>
      <w:r>
        <w:rPr>
          <w:spacing w:val="-10"/>
        </w:rPr>
        <w:t> </w:t>
      </w:r>
      <w:r>
        <w:rPr/>
        <w:t>disminuyó</w:t>
      </w:r>
      <w:r>
        <w:rPr>
          <w:spacing w:val="-11"/>
        </w:rPr>
        <w:t> </w:t>
      </w:r>
      <w:r>
        <w:rPr/>
        <w:t>de</w:t>
      </w:r>
      <w:r>
        <w:rPr>
          <w:spacing w:val="-12"/>
        </w:rPr>
        <w:t> </w:t>
      </w:r>
      <w:r>
        <w:rPr/>
        <w:t>manera</w:t>
      </w:r>
      <w:r>
        <w:rPr>
          <w:spacing w:val="-11"/>
        </w:rPr>
        <w:t> </w:t>
      </w:r>
      <w:r>
        <w:rPr/>
        <w:t>importante:</w:t>
      </w:r>
      <w:r>
        <w:rPr>
          <w:spacing w:val="-10"/>
        </w:rPr>
        <w:t> </w:t>
      </w:r>
      <w:r>
        <w:rPr/>
        <w:t>el</w:t>
      </w:r>
      <w:r>
        <w:rPr>
          <w:spacing w:val="-10"/>
        </w:rPr>
        <w:t> </w:t>
      </w:r>
      <w:r>
        <w:rPr/>
        <w:t>valor</w:t>
      </w:r>
      <w:r>
        <w:rPr>
          <w:spacing w:val="-10"/>
        </w:rPr>
        <w:t> </w:t>
      </w:r>
      <w:r>
        <w:rPr/>
        <w:t>total</w:t>
      </w:r>
      <w:r>
        <w:rPr>
          <w:spacing w:val="-10"/>
        </w:rPr>
        <w:t> </w:t>
      </w:r>
      <w:r>
        <w:rPr/>
        <w:t>pasó</w:t>
      </w:r>
      <w:r>
        <w:rPr>
          <w:spacing w:val="-9"/>
        </w:rPr>
        <w:t> </w:t>
      </w:r>
      <w:r>
        <w:rPr/>
        <w:t>de</w:t>
      </w:r>
      <w:r>
        <w:rPr>
          <w:spacing w:val="-12"/>
        </w:rPr>
        <w:t> </w:t>
      </w:r>
      <w:r>
        <w:rPr/>
        <w:t>25,87% a 20,80%, con 14,40% en áreas urbanas y 39,00% en rurales en 2013. Aunque esta reducción fue significativa en términos de tendencia, persistían marcadas diferencias </w:t>
      </w:r>
      <w:r>
        <w:rPr>
          <w:spacing w:val="-2"/>
        </w:rPr>
        <w:t>territoriales.</w:t>
      </w:r>
    </w:p>
    <w:p>
      <w:pPr>
        <w:pStyle w:val="BodyText"/>
      </w:pPr>
    </w:p>
    <w:p>
      <w:pPr>
        <w:pStyle w:val="BodyText"/>
        <w:ind w:left="1625" w:right="1602"/>
        <w:jc w:val="both"/>
      </w:pPr>
      <w:r>
        <w:rPr/>
        <w:t>Entre 2014 y 2019, el IPM mantuvo una tendencia general descendente, aunque con pequeñas</w:t>
      </w:r>
      <w:r>
        <w:rPr>
          <w:spacing w:val="-12"/>
        </w:rPr>
        <w:t> </w:t>
      </w:r>
      <w:r>
        <w:rPr/>
        <w:t>oscilaciones</w:t>
      </w:r>
      <w:r>
        <w:rPr>
          <w:spacing w:val="-12"/>
        </w:rPr>
        <w:t> </w:t>
      </w:r>
      <w:r>
        <w:rPr/>
        <w:t>interanuales,</w:t>
      </w:r>
      <w:r>
        <w:rPr>
          <w:spacing w:val="-13"/>
        </w:rPr>
        <w:t> </w:t>
      </w:r>
      <w:r>
        <w:rPr/>
        <w:t>y</w:t>
      </w:r>
      <w:r>
        <w:rPr>
          <w:spacing w:val="-14"/>
        </w:rPr>
        <w:t> </w:t>
      </w:r>
      <w:r>
        <w:rPr/>
        <w:t>alcanzó</w:t>
      </w:r>
      <w:r>
        <w:rPr>
          <w:spacing w:val="-15"/>
        </w:rPr>
        <w:t> </w:t>
      </w:r>
      <w:r>
        <w:rPr/>
        <w:t>16,60%</w:t>
      </w:r>
      <w:r>
        <w:rPr>
          <w:spacing w:val="-12"/>
        </w:rPr>
        <w:t> </w:t>
      </w:r>
      <w:r>
        <w:rPr/>
        <w:t>en</w:t>
      </w:r>
      <w:r>
        <w:rPr>
          <w:spacing w:val="-15"/>
        </w:rPr>
        <w:t> </w:t>
      </w:r>
      <w:r>
        <w:rPr/>
        <w:t>2019.</w:t>
      </w:r>
      <w:r>
        <w:rPr>
          <w:spacing w:val="-11"/>
        </w:rPr>
        <w:t> </w:t>
      </w:r>
      <w:r>
        <w:rPr/>
        <w:t>En</w:t>
      </w:r>
      <w:r>
        <w:rPr>
          <w:spacing w:val="-15"/>
        </w:rPr>
        <w:t> </w:t>
      </w:r>
      <w:r>
        <w:rPr/>
        <w:t>ese</w:t>
      </w:r>
      <w:r>
        <w:rPr>
          <w:spacing w:val="-14"/>
        </w:rPr>
        <w:t> </w:t>
      </w:r>
      <w:r>
        <w:rPr/>
        <w:t>año,</w:t>
      </w:r>
      <w:r>
        <w:rPr>
          <w:spacing w:val="-11"/>
        </w:rPr>
        <w:t> </w:t>
      </w:r>
      <w:r>
        <w:rPr/>
        <w:t>la</w:t>
      </w:r>
      <w:r>
        <w:rPr>
          <w:spacing w:val="-15"/>
        </w:rPr>
        <w:t> </w:t>
      </w:r>
      <w:r>
        <w:rPr/>
        <w:t>incidencia urbana</w:t>
      </w:r>
      <w:r>
        <w:rPr>
          <w:spacing w:val="-14"/>
        </w:rPr>
        <w:t> </w:t>
      </w:r>
      <w:r>
        <w:rPr/>
        <w:t>fue</w:t>
      </w:r>
      <w:r>
        <w:rPr>
          <w:spacing w:val="-12"/>
        </w:rPr>
        <w:t> </w:t>
      </w:r>
      <w:r>
        <w:rPr/>
        <w:t>de</w:t>
      </w:r>
      <w:r>
        <w:rPr>
          <w:spacing w:val="-14"/>
        </w:rPr>
        <w:t> </w:t>
      </w:r>
      <w:r>
        <w:rPr/>
        <w:t>12,95%,</w:t>
      </w:r>
      <w:r>
        <w:rPr>
          <w:spacing w:val="-12"/>
        </w:rPr>
        <w:t> </w:t>
      </w:r>
      <w:r>
        <w:rPr/>
        <w:t>mientras</w:t>
      </w:r>
      <w:r>
        <w:rPr>
          <w:spacing w:val="-14"/>
        </w:rPr>
        <w:t> </w:t>
      </w:r>
      <w:r>
        <w:rPr/>
        <w:t>que</w:t>
      </w:r>
      <w:r>
        <w:rPr>
          <w:spacing w:val="-11"/>
        </w:rPr>
        <w:t> </w:t>
      </w:r>
      <w:r>
        <w:rPr/>
        <w:t>la</w:t>
      </w:r>
      <w:r>
        <w:rPr>
          <w:spacing w:val="-14"/>
        </w:rPr>
        <w:t> </w:t>
      </w:r>
      <w:r>
        <w:rPr/>
        <w:t>rural</w:t>
      </w:r>
      <w:r>
        <w:rPr>
          <w:spacing w:val="-12"/>
        </w:rPr>
        <w:t> </w:t>
      </w:r>
      <w:r>
        <w:rPr/>
        <w:t>se</w:t>
      </w:r>
      <w:r>
        <w:rPr>
          <w:spacing w:val="-14"/>
        </w:rPr>
        <w:t> </w:t>
      </w:r>
      <w:r>
        <w:rPr/>
        <w:t>redujo</w:t>
      </w:r>
      <w:r>
        <w:rPr>
          <w:spacing w:val="-11"/>
        </w:rPr>
        <w:t> </w:t>
      </w:r>
      <w:r>
        <w:rPr/>
        <w:t>a</w:t>
      </w:r>
      <w:r>
        <w:rPr>
          <w:spacing w:val="-14"/>
        </w:rPr>
        <w:t> </w:t>
      </w:r>
      <w:r>
        <w:rPr/>
        <w:t>26,23%,</w:t>
      </w:r>
      <w:r>
        <w:rPr>
          <w:spacing w:val="-10"/>
        </w:rPr>
        <w:t> </w:t>
      </w:r>
      <w:r>
        <w:rPr/>
        <w:t>con</w:t>
      </w:r>
      <w:r>
        <w:rPr>
          <w:spacing w:val="-14"/>
        </w:rPr>
        <w:t> </w:t>
      </w:r>
      <w:r>
        <w:rPr/>
        <w:t>una</w:t>
      </w:r>
      <w:r>
        <w:rPr>
          <w:spacing w:val="-14"/>
        </w:rPr>
        <w:t> </w:t>
      </w:r>
      <w:r>
        <w:rPr/>
        <w:t>brecha</w:t>
      </w:r>
      <w:r>
        <w:rPr>
          <w:spacing w:val="-11"/>
        </w:rPr>
        <w:t> </w:t>
      </w:r>
      <w:r>
        <w:rPr/>
        <w:t>de</w:t>
      </w:r>
      <w:r>
        <w:rPr>
          <w:spacing w:val="-14"/>
        </w:rPr>
        <w:t> </w:t>
      </w:r>
      <w:r>
        <w:rPr/>
        <w:t>13,28 puntos porcentuales. El resultado muestra una convergencia progresiva entre zonas, aunque las diferencias territoriales continuaban siendo significativas.</w:t>
      </w:r>
    </w:p>
    <w:p>
      <w:pPr>
        <w:pStyle w:val="BodyText"/>
        <w:spacing w:before="2"/>
      </w:pPr>
    </w:p>
    <w:p>
      <w:pPr>
        <w:spacing w:before="0"/>
        <w:ind w:left="1625" w:right="1604" w:firstLine="0"/>
        <w:jc w:val="both"/>
        <w:rPr>
          <w:sz w:val="24"/>
        </w:rPr>
      </w:pPr>
      <w:r>
        <w:rPr>
          <w:sz w:val="22"/>
        </w:rPr>
        <w:t>La pandemia provocó una estabilización temporal del IPM en 2020 y 2021, con valores cercanos al 16,00% a nivel nacional, 12,00% en zonas urbanas y aproximadamente 26,00%</w:t>
      </w:r>
      <w:r>
        <w:rPr>
          <w:spacing w:val="-10"/>
          <w:sz w:val="22"/>
        </w:rPr>
        <w:t> </w:t>
      </w:r>
      <w:r>
        <w:rPr>
          <w:sz w:val="22"/>
        </w:rPr>
        <w:t>en</w:t>
      </w:r>
      <w:r>
        <w:rPr>
          <w:spacing w:val="-12"/>
          <w:sz w:val="22"/>
        </w:rPr>
        <w:t> </w:t>
      </w:r>
      <w:r>
        <w:rPr>
          <w:sz w:val="22"/>
        </w:rPr>
        <w:t>zonas</w:t>
      </w:r>
      <w:r>
        <w:rPr>
          <w:spacing w:val="-11"/>
          <w:sz w:val="22"/>
        </w:rPr>
        <w:t> </w:t>
      </w:r>
      <w:r>
        <w:rPr>
          <w:sz w:val="22"/>
        </w:rPr>
        <w:t>rurales.</w:t>
      </w:r>
      <w:r>
        <w:rPr>
          <w:spacing w:val="-8"/>
          <w:sz w:val="22"/>
        </w:rPr>
        <w:t> </w:t>
      </w:r>
      <w:r>
        <w:rPr>
          <w:sz w:val="22"/>
        </w:rPr>
        <w:t>La</w:t>
      </w:r>
      <w:r>
        <w:rPr>
          <w:spacing w:val="-12"/>
          <w:sz w:val="22"/>
        </w:rPr>
        <w:t> </w:t>
      </w:r>
      <w:r>
        <w:rPr>
          <w:sz w:val="22"/>
        </w:rPr>
        <w:t>brecha</w:t>
      </w:r>
      <w:r>
        <w:rPr>
          <w:spacing w:val="-12"/>
          <w:sz w:val="22"/>
        </w:rPr>
        <w:t> </w:t>
      </w:r>
      <w:r>
        <w:rPr>
          <w:sz w:val="22"/>
        </w:rPr>
        <w:t>se</w:t>
      </w:r>
      <w:r>
        <w:rPr>
          <w:spacing w:val="-11"/>
          <w:sz w:val="22"/>
        </w:rPr>
        <w:t> </w:t>
      </w:r>
      <w:r>
        <w:rPr>
          <w:sz w:val="22"/>
        </w:rPr>
        <w:t>mantuvo</w:t>
      </w:r>
      <w:r>
        <w:rPr>
          <w:spacing w:val="-9"/>
          <w:sz w:val="22"/>
        </w:rPr>
        <w:t> </w:t>
      </w:r>
      <w:r>
        <w:rPr>
          <w:sz w:val="22"/>
        </w:rPr>
        <w:t>en</w:t>
      </w:r>
      <w:r>
        <w:rPr>
          <w:spacing w:val="-9"/>
          <w:sz w:val="22"/>
        </w:rPr>
        <w:t> </w:t>
      </w:r>
      <w:r>
        <w:rPr>
          <w:sz w:val="22"/>
        </w:rPr>
        <w:t>torno</w:t>
      </w:r>
      <w:r>
        <w:rPr>
          <w:spacing w:val="-9"/>
          <w:sz w:val="22"/>
        </w:rPr>
        <w:t> </w:t>
      </w:r>
      <w:r>
        <w:rPr>
          <w:sz w:val="22"/>
        </w:rPr>
        <w:t>a</w:t>
      </w:r>
      <w:r>
        <w:rPr>
          <w:spacing w:val="-11"/>
          <w:sz w:val="22"/>
        </w:rPr>
        <w:t> </w:t>
      </w:r>
      <w:r>
        <w:rPr>
          <w:sz w:val="22"/>
        </w:rPr>
        <w:t>los</w:t>
      </w:r>
      <w:r>
        <w:rPr>
          <w:spacing w:val="-4"/>
          <w:sz w:val="22"/>
        </w:rPr>
        <w:t> </w:t>
      </w:r>
      <w:r>
        <w:rPr>
          <w:sz w:val="24"/>
        </w:rPr>
        <w:t>14</w:t>
      </w:r>
      <w:r>
        <w:rPr>
          <w:spacing w:val="-11"/>
          <w:sz w:val="24"/>
        </w:rPr>
        <w:t> </w:t>
      </w:r>
      <w:r>
        <w:rPr>
          <w:sz w:val="24"/>
        </w:rPr>
        <w:t>puntos</w:t>
      </w:r>
      <w:r>
        <w:rPr>
          <w:spacing w:val="-14"/>
          <w:sz w:val="24"/>
        </w:rPr>
        <w:t> </w:t>
      </w:r>
      <w:r>
        <w:rPr>
          <w:sz w:val="24"/>
        </w:rPr>
        <w:t>porcentuales, lo que evidenció la mayor vulnerabilidad de los hogares rurales frente a las crisis sanitarias y económicas.</w:t>
      </w:r>
    </w:p>
    <w:p>
      <w:pPr>
        <w:pStyle w:val="BodyText"/>
        <w:spacing w:before="21"/>
      </w:pPr>
    </w:p>
    <w:p>
      <w:pPr>
        <w:pStyle w:val="Heading4"/>
        <w:spacing w:before="1"/>
        <w:ind w:left="1625"/>
      </w:pPr>
      <w:r>
        <w:rPr/>
        <w:t>A</w:t>
      </w:r>
      <w:r>
        <w:rPr>
          <w:spacing w:val="-14"/>
        </w:rPr>
        <w:t> </w:t>
      </w:r>
      <w:r>
        <w:rPr/>
        <w:t>partir</w:t>
      </w:r>
      <w:r>
        <w:rPr>
          <w:spacing w:val="-16"/>
        </w:rPr>
        <w:t> </w:t>
      </w:r>
      <w:r>
        <w:rPr/>
        <w:t>de</w:t>
      </w:r>
      <w:r>
        <w:rPr>
          <w:spacing w:val="-14"/>
        </w:rPr>
        <w:t> </w:t>
      </w:r>
      <w:r>
        <w:rPr/>
        <w:t>2022,</w:t>
      </w:r>
      <w:r>
        <w:rPr>
          <w:spacing w:val="-14"/>
        </w:rPr>
        <w:t> </w:t>
      </w:r>
      <w:r>
        <w:rPr/>
        <w:t>el</w:t>
      </w:r>
      <w:r>
        <w:rPr>
          <w:spacing w:val="-15"/>
        </w:rPr>
        <w:t> </w:t>
      </w:r>
      <w:r>
        <w:rPr/>
        <w:t>IPM</w:t>
      </w:r>
      <w:r>
        <w:rPr>
          <w:spacing w:val="-16"/>
        </w:rPr>
        <w:t> </w:t>
      </w:r>
      <w:r>
        <w:rPr/>
        <w:t>retomó</w:t>
      </w:r>
      <w:r>
        <w:rPr>
          <w:spacing w:val="-14"/>
        </w:rPr>
        <w:t> </w:t>
      </w:r>
      <w:r>
        <w:rPr/>
        <w:t>su</w:t>
      </w:r>
      <w:r>
        <w:rPr>
          <w:spacing w:val="-14"/>
        </w:rPr>
        <w:t> </w:t>
      </w:r>
      <w:r>
        <w:rPr/>
        <w:t>tendencia</w:t>
      </w:r>
      <w:r>
        <w:rPr>
          <w:spacing w:val="-17"/>
        </w:rPr>
        <w:t> </w:t>
      </w:r>
      <w:r>
        <w:rPr/>
        <w:t>descendente</w:t>
      </w:r>
      <w:r>
        <w:rPr>
          <w:spacing w:val="-15"/>
        </w:rPr>
        <w:t> </w:t>
      </w:r>
      <w:r>
        <w:rPr/>
        <w:t>de</w:t>
      </w:r>
      <w:r>
        <w:rPr>
          <w:spacing w:val="-14"/>
        </w:rPr>
        <w:t> </w:t>
      </w:r>
      <w:r>
        <w:rPr/>
        <w:t>largo</w:t>
      </w:r>
      <w:r>
        <w:rPr>
          <w:spacing w:val="-17"/>
        </w:rPr>
        <w:t> </w:t>
      </w:r>
      <w:r>
        <w:rPr/>
        <w:t>plazo.</w:t>
      </w:r>
      <w:r>
        <w:rPr>
          <w:spacing w:val="-14"/>
        </w:rPr>
        <w:t> </w:t>
      </w:r>
      <w:r>
        <w:rPr/>
        <w:t>En</w:t>
      </w:r>
      <w:r>
        <w:rPr>
          <w:spacing w:val="-14"/>
        </w:rPr>
        <w:t> </w:t>
      </w:r>
      <w:r>
        <w:rPr/>
        <w:t>2024 se ubicó en 10,10% y en 2025 se estimó en 9,87% de los hogares. La diferencia entre 2024 y 2025 no es estadísticamente significativa según el INEC; por tanto, no debe interpretarse como una reducción anual comprobada. En perspectiva 2010–2025, sí se observa una disminución sostenida de la incidencia multidimensional, aunque esta continúa siendo mayor en los territorios rurales y </w:t>
      </w:r>
      <w:r>
        <w:rPr>
          <w:spacing w:val="-2"/>
        </w:rPr>
        <w:t>periféricos.</w:t>
      </w:r>
    </w:p>
    <w:p>
      <w:pPr>
        <w:pStyle w:val="Heading4"/>
        <w:spacing w:after="0"/>
        <w:sectPr>
          <w:pgSz w:w="12240" w:h="15840"/>
          <w:pgMar w:header="0" w:footer="1576" w:top="1000" w:bottom="1760" w:left="360" w:right="0"/>
        </w:sectPr>
      </w:pPr>
    </w:p>
    <w:p>
      <w:pPr>
        <w:pStyle w:val="Heading5"/>
        <w:spacing w:before="77"/>
        <w:ind w:left="5005" w:right="1444" w:hanging="3212"/>
      </w:pPr>
      <w:bookmarkStart w:name="_bookmark24" w:id="25"/>
      <w:bookmarkEnd w:id="25"/>
      <w:r>
        <w:rPr>
          <w:b w:val="0"/>
        </w:rPr>
      </w:r>
      <w:r>
        <w:rPr/>
        <w:t>Gráfico</w:t>
      </w:r>
      <w:r>
        <w:rPr>
          <w:spacing w:val="-5"/>
        </w:rPr>
        <w:t> </w:t>
      </w:r>
      <w:r>
        <w:rPr/>
        <w:t>6:</w:t>
      </w:r>
      <w:r>
        <w:rPr>
          <w:spacing w:val="-4"/>
        </w:rPr>
        <w:t> </w:t>
      </w:r>
      <w:r>
        <w:rPr/>
        <w:t>Costa</w:t>
      </w:r>
      <w:r>
        <w:rPr>
          <w:spacing w:val="-3"/>
        </w:rPr>
        <w:t> </w:t>
      </w:r>
      <w:r>
        <w:rPr/>
        <w:t>Rica:</w:t>
      </w:r>
      <w:r>
        <w:rPr>
          <w:spacing w:val="-6"/>
        </w:rPr>
        <w:t> </w:t>
      </w:r>
      <w:r>
        <w:rPr/>
        <w:t>Desigualdad</w:t>
      </w:r>
      <w:r>
        <w:rPr>
          <w:spacing w:val="-3"/>
        </w:rPr>
        <w:t> </w:t>
      </w:r>
      <w:r>
        <w:rPr/>
        <w:t>por</w:t>
      </w:r>
      <w:r>
        <w:rPr>
          <w:spacing w:val="-4"/>
        </w:rPr>
        <w:t> </w:t>
      </w:r>
      <w:r>
        <w:rPr/>
        <w:t>ingresos</w:t>
      </w:r>
      <w:r>
        <w:rPr>
          <w:spacing w:val="-3"/>
        </w:rPr>
        <w:t> </w:t>
      </w:r>
      <w:r>
        <w:rPr/>
        <w:t>según</w:t>
      </w:r>
      <w:r>
        <w:rPr>
          <w:spacing w:val="-3"/>
        </w:rPr>
        <w:t> </w:t>
      </w:r>
      <w:r>
        <w:rPr/>
        <w:t>el</w:t>
      </w:r>
      <w:r>
        <w:rPr>
          <w:spacing w:val="-1"/>
        </w:rPr>
        <w:t> </w:t>
      </w:r>
      <w:r>
        <w:rPr/>
        <w:t>coeficiente</w:t>
      </w:r>
      <w:r>
        <w:rPr>
          <w:spacing w:val="-5"/>
        </w:rPr>
        <w:t> </w:t>
      </w:r>
      <w:r>
        <w:rPr/>
        <w:t>de</w:t>
      </w:r>
      <w:r>
        <w:rPr>
          <w:spacing w:val="-5"/>
        </w:rPr>
        <w:t> </w:t>
      </w:r>
      <w:r>
        <w:rPr/>
        <w:t>Gini por persona, 2010-2025</w:t>
      </w:r>
    </w:p>
    <w:p>
      <w:pPr>
        <w:pStyle w:val="BodyText"/>
        <w:spacing w:before="5"/>
        <w:rPr>
          <w:b/>
          <w:sz w:val="7"/>
        </w:rPr>
      </w:pPr>
      <w:r>
        <w:rPr>
          <w:b/>
          <w:sz w:val="7"/>
        </w:rPr>
        <w:drawing>
          <wp:anchor distT="0" distB="0" distL="0" distR="0" allowOverlap="1" layoutInCell="1" locked="0" behindDoc="1" simplePos="0" relativeHeight="487591936">
            <wp:simplePos x="0" y="0"/>
            <wp:positionH relativeFrom="page">
              <wp:posOffset>1322832</wp:posOffset>
            </wp:positionH>
            <wp:positionV relativeFrom="paragraph">
              <wp:posOffset>69931</wp:posOffset>
            </wp:positionV>
            <wp:extent cx="5529151" cy="3184588"/>
            <wp:effectExtent l="0" t="0" r="0" b="0"/>
            <wp:wrapTopAndBottom/>
            <wp:docPr id="66" name="Image 66"/>
            <wp:cNvGraphicFramePr>
              <a:graphicFrameLocks/>
            </wp:cNvGraphicFramePr>
            <a:graphic>
              <a:graphicData uri="http://schemas.openxmlformats.org/drawingml/2006/picture">
                <pic:pic>
                  <pic:nvPicPr>
                    <pic:cNvPr id="66" name="Image 66"/>
                    <pic:cNvPicPr/>
                  </pic:nvPicPr>
                  <pic:blipFill>
                    <a:blip r:embed="rId37" cstate="print"/>
                    <a:stretch>
                      <a:fillRect/>
                    </a:stretch>
                  </pic:blipFill>
                  <pic:spPr>
                    <a:xfrm>
                      <a:off x="0" y="0"/>
                      <a:ext cx="5529151" cy="3184588"/>
                    </a:xfrm>
                    <a:prstGeom prst="rect">
                      <a:avLst/>
                    </a:prstGeom>
                  </pic:spPr>
                </pic:pic>
              </a:graphicData>
            </a:graphic>
          </wp:anchor>
        </w:drawing>
      </w:r>
    </w:p>
    <w:p>
      <w:pPr>
        <w:spacing w:before="4"/>
        <w:ind w:left="1625" w:right="1601" w:firstLine="0"/>
        <w:jc w:val="both"/>
        <w:rPr>
          <w:sz w:val="18"/>
        </w:rPr>
      </w:pPr>
      <w:r>
        <w:rPr>
          <w:sz w:val="18"/>
        </w:rPr>
        <w:t>Fuente: Elaboración propia con datos del Instituto Nacional de Estadística y Censos (INEC), ENAHO 2010-</w:t>
      </w:r>
      <w:r>
        <w:rPr>
          <w:spacing w:val="-2"/>
          <w:sz w:val="18"/>
        </w:rPr>
        <w:t>2025.</w:t>
      </w:r>
    </w:p>
    <w:p>
      <w:pPr>
        <w:pStyle w:val="BodyText"/>
        <w:spacing w:before="23"/>
        <w:rPr>
          <w:sz w:val="18"/>
        </w:rPr>
      </w:pPr>
    </w:p>
    <w:p>
      <w:pPr>
        <w:pStyle w:val="BodyText"/>
        <w:spacing w:before="1"/>
        <w:ind w:left="1625" w:right="1602"/>
        <w:jc w:val="both"/>
      </w:pPr>
      <w:r>
        <w:rPr/>
        <w:t>El gráfico 6 presenta el coeficiente de Gini por persona, que es la medida principal utilizada en este capítulo para analizar la desigualdad de ingresos de la población. Se calcula</w:t>
      </w:r>
      <w:r>
        <w:rPr>
          <w:spacing w:val="-9"/>
        </w:rPr>
        <w:t> </w:t>
      </w:r>
      <w:r>
        <w:rPr/>
        <w:t>ordenando</w:t>
      </w:r>
      <w:r>
        <w:rPr>
          <w:spacing w:val="-11"/>
        </w:rPr>
        <w:t> </w:t>
      </w:r>
      <w:r>
        <w:rPr/>
        <w:t>a</w:t>
      </w:r>
      <w:r>
        <w:rPr>
          <w:spacing w:val="-11"/>
        </w:rPr>
        <w:t> </w:t>
      </w:r>
      <w:r>
        <w:rPr/>
        <w:t>las</w:t>
      </w:r>
      <w:r>
        <w:rPr>
          <w:spacing w:val="-11"/>
        </w:rPr>
        <w:t> </w:t>
      </w:r>
      <w:r>
        <w:rPr/>
        <w:t>personas</w:t>
      </w:r>
      <w:r>
        <w:rPr>
          <w:spacing w:val="-11"/>
        </w:rPr>
        <w:t> </w:t>
      </w:r>
      <w:r>
        <w:rPr/>
        <w:t>según</w:t>
      </w:r>
      <w:r>
        <w:rPr>
          <w:spacing w:val="-12"/>
        </w:rPr>
        <w:t> </w:t>
      </w:r>
      <w:r>
        <w:rPr/>
        <w:t>el</w:t>
      </w:r>
      <w:r>
        <w:rPr>
          <w:spacing w:val="-10"/>
        </w:rPr>
        <w:t> </w:t>
      </w:r>
      <w:r>
        <w:rPr/>
        <w:t>ingreso</w:t>
      </w:r>
      <w:r>
        <w:rPr>
          <w:spacing w:val="-9"/>
        </w:rPr>
        <w:t> </w:t>
      </w:r>
      <w:r>
        <w:rPr/>
        <w:t>per</w:t>
      </w:r>
      <w:r>
        <w:rPr>
          <w:spacing w:val="-10"/>
        </w:rPr>
        <w:t> </w:t>
      </w:r>
      <w:r>
        <w:rPr/>
        <w:t>cápita</w:t>
      </w:r>
      <w:r>
        <w:rPr>
          <w:spacing w:val="-11"/>
        </w:rPr>
        <w:t> </w:t>
      </w:r>
      <w:r>
        <w:rPr/>
        <w:t>del</w:t>
      </w:r>
      <w:r>
        <w:rPr>
          <w:spacing w:val="-12"/>
        </w:rPr>
        <w:t> </w:t>
      </w:r>
      <w:r>
        <w:rPr/>
        <w:t>hogar.</w:t>
      </w:r>
      <w:r>
        <w:rPr>
          <w:spacing w:val="-10"/>
        </w:rPr>
        <w:t> </w:t>
      </w:r>
      <w:r>
        <w:rPr/>
        <w:t>La</w:t>
      </w:r>
      <w:r>
        <w:rPr>
          <w:spacing w:val="-12"/>
        </w:rPr>
        <w:t> </w:t>
      </w:r>
      <w:r>
        <w:rPr/>
        <w:t>serie</w:t>
      </w:r>
      <w:r>
        <w:rPr>
          <w:spacing w:val="-12"/>
        </w:rPr>
        <w:t> </w:t>
      </w:r>
      <w:r>
        <w:rPr/>
        <w:t>nacional alcanza su</w:t>
      </w:r>
      <w:r>
        <w:rPr>
          <w:spacing w:val="-2"/>
        </w:rPr>
        <w:t> </w:t>
      </w:r>
      <w:r>
        <w:rPr/>
        <w:t>mayor</w:t>
      </w:r>
      <w:r>
        <w:rPr>
          <w:spacing w:val="-1"/>
        </w:rPr>
        <w:t> </w:t>
      </w:r>
      <w:r>
        <w:rPr/>
        <w:t>valor</w:t>
      </w:r>
      <w:r>
        <w:rPr>
          <w:spacing w:val="-1"/>
        </w:rPr>
        <w:t> </w:t>
      </w:r>
      <w:r>
        <w:rPr/>
        <w:t>en 2021, con 0,524, y desciende numéricamente</w:t>
      </w:r>
      <w:r>
        <w:rPr>
          <w:spacing w:val="-2"/>
        </w:rPr>
        <w:t> </w:t>
      </w:r>
      <w:r>
        <w:rPr/>
        <w:t>hasta 0,488 en 2025, el</w:t>
      </w:r>
      <w:r>
        <w:rPr>
          <w:spacing w:val="-3"/>
        </w:rPr>
        <w:t> </w:t>
      </w:r>
      <w:r>
        <w:rPr/>
        <w:t>menor</w:t>
      </w:r>
      <w:r>
        <w:rPr>
          <w:spacing w:val="-1"/>
        </w:rPr>
        <w:t> </w:t>
      </w:r>
      <w:r>
        <w:rPr/>
        <w:t>valor</w:t>
      </w:r>
      <w:r>
        <w:rPr>
          <w:spacing w:val="-1"/>
        </w:rPr>
        <w:t> </w:t>
      </w:r>
      <w:r>
        <w:rPr/>
        <w:t>observado</w:t>
      </w:r>
      <w:r>
        <w:rPr>
          <w:spacing w:val="-2"/>
        </w:rPr>
        <w:t> </w:t>
      </w:r>
      <w:r>
        <w:rPr/>
        <w:t>en</w:t>
      </w:r>
      <w:r>
        <w:rPr>
          <w:spacing w:val="-2"/>
        </w:rPr>
        <w:t> </w:t>
      </w:r>
      <w:r>
        <w:rPr/>
        <w:t>la serie ENAHO. En</w:t>
      </w:r>
      <w:r>
        <w:rPr>
          <w:spacing w:val="-2"/>
        </w:rPr>
        <w:t> </w:t>
      </w:r>
      <w:r>
        <w:rPr/>
        <w:t>2025</w:t>
      </w:r>
      <w:r>
        <w:rPr>
          <w:spacing w:val="-2"/>
        </w:rPr>
        <w:t> </w:t>
      </w:r>
      <w:r>
        <w:rPr/>
        <w:t>el</w:t>
      </w:r>
      <w:r>
        <w:rPr>
          <w:spacing w:val="-3"/>
        </w:rPr>
        <w:t> </w:t>
      </w:r>
      <w:r>
        <w:rPr/>
        <w:t>Gini</w:t>
      </w:r>
      <w:r>
        <w:rPr>
          <w:spacing w:val="-1"/>
        </w:rPr>
        <w:t> </w:t>
      </w:r>
      <w:r>
        <w:rPr/>
        <w:t>es 0,475 en</w:t>
      </w:r>
      <w:r>
        <w:rPr>
          <w:spacing w:val="-2"/>
        </w:rPr>
        <w:t> </w:t>
      </w:r>
      <w:r>
        <w:rPr/>
        <w:t>la</w:t>
      </w:r>
      <w:r>
        <w:rPr>
          <w:spacing w:val="-2"/>
        </w:rPr>
        <w:t> </w:t>
      </w:r>
      <w:r>
        <w:rPr/>
        <w:t>zona urbana</w:t>
      </w:r>
      <w:r>
        <w:rPr>
          <w:spacing w:val="-10"/>
        </w:rPr>
        <w:t> </w:t>
      </w:r>
      <w:r>
        <w:rPr/>
        <w:t>y</w:t>
      </w:r>
      <w:r>
        <w:rPr>
          <w:spacing w:val="-9"/>
        </w:rPr>
        <w:t> </w:t>
      </w:r>
      <w:r>
        <w:rPr/>
        <w:t>0,480</w:t>
      </w:r>
      <w:r>
        <w:rPr>
          <w:spacing w:val="-10"/>
        </w:rPr>
        <w:t> </w:t>
      </w:r>
      <w:r>
        <w:rPr/>
        <w:t>en</w:t>
      </w:r>
      <w:r>
        <w:rPr>
          <w:spacing w:val="-10"/>
        </w:rPr>
        <w:t> </w:t>
      </w:r>
      <w:r>
        <w:rPr/>
        <w:t>la</w:t>
      </w:r>
      <w:r>
        <w:rPr>
          <w:spacing w:val="-12"/>
        </w:rPr>
        <w:t> </w:t>
      </w:r>
      <w:r>
        <w:rPr/>
        <w:t>rural.</w:t>
      </w:r>
      <w:r>
        <w:rPr>
          <w:spacing w:val="-8"/>
        </w:rPr>
        <w:t> </w:t>
      </w:r>
      <w:r>
        <w:rPr/>
        <w:t>Según</w:t>
      </w:r>
      <w:r>
        <w:rPr>
          <w:spacing w:val="-10"/>
        </w:rPr>
        <w:t> </w:t>
      </w:r>
      <w:r>
        <w:rPr/>
        <w:t>el</w:t>
      </w:r>
      <w:r>
        <w:rPr>
          <w:spacing w:val="-11"/>
        </w:rPr>
        <w:t> </w:t>
      </w:r>
      <w:r>
        <w:rPr/>
        <w:t>INEC,</w:t>
      </w:r>
      <w:r>
        <w:rPr>
          <w:spacing w:val="-8"/>
        </w:rPr>
        <w:t> </w:t>
      </w:r>
      <w:r>
        <w:rPr/>
        <w:t>la</w:t>
      </w:r>
      <w:r>
        <w:rPr>
          <w:spacing w:val="-10"/>
        </w:rPr>
        <w:t> </w:t>
      </w:r>
      <w:r>
        <w:rPr/>
        <w:t>disminución</w:t>
      </w:r>
      <w:r>
        <w:rPr>
          <w:spacing w:val="-10"/>
        </w:rPr>
        <w:t> </w:t>
      </w:r>
      <w:r>
        <w:rPr/>
        <w:t>2024-2025</w:t>
      </w:r>
      <w:r>
        <w:rPr>
          <w:spacing w:val="-10"/>
        </w:rPr>
        <w:t> </w:t>
      </w:r>
      <w:r>
        <w:rPr/>
        <w:t>es</w:t>
      </w:r>
      <w:r>
        <w:rPr>
          <w:spacing w:val="-10"/>
        </w:rPr>
        <w:t> </w:t>
      </w:r>
      <w:r>
        <w:rPr/>
        <w:t>estadísticamente significativa en la zona urbana, mientras que a nivel nacional y en la zona rural no se observa una variación estadísticamente significativa. La cercanía entre las zonas evidencia una menor distancia territorial, sin implicar igualdad plena.</w:t>
      </w:r>
    </w:p>
    <w:p>
      <w:pPr>
        <w:pStyle w:val="BodyText"/>
      </w:pPr>
    </w:p>
    <w:p>
      <w:pPr>
        <w:pStyle w:val="BodyText"/>
        <w:ind w:left="1625" w:right="1600"/>
        <w:jc w:val="both"/>
      </w:pPr>
      <w:r>
        <w:rPr/>
        <w:t>La evolución diferenciada de los coeficientes de Gini por persona y por hogar en 2025 responde a las distintas unidades de análisis y conceptos de ingreso utilizados en cada medición. El Gini por persona disminuyó numéricamente de 0,492 en 2024 a 0,488 en 2025</w:t>
      </w:r>
      <w:r>
        <w:rPr>
          <w:spacing w:val="-16"/>
        </w:rPr>
        <w:t> </w:t>
      </w:r>
      <w:r>
        <w:rPr/>
        <w:t>—sin</w:t>
      </w:r>
      <w:r>
        <w:rPr>
          <w:spacing w:val="-15"/>
        </w:rPr>
        <w:t> </w:t>
      </w:r>
      <w:r>
        <w:rPr/>
        <w:t>variación</w:t>
      </w:r>
      <w:r>
        <w:rPr>
          <w:spacing w:val="-15"/>
        </w:rPr>
        <w:t> </w:t>
      </w:r>
      <w:r>
        <w:rPr/>
        <w:t>estadísticamente</w:t>
      </w:r>
      <w:r>
        <w:rPr>
          <w:spacing w:val="-16"/>
        </w:rPr>
        <w:t> </w:t>
      </w:r>
      <w:r>
        <w:rPr/>
        <w:t>significativa</w:t>
      </w:r>
      <w:r>
        <w:rPr>
          <w:spacing w:val="-15"/>
        </w:rPr>
        <w:t> </w:t>
      </w:r>
      <w:r>
        <w:rPr/>
        <w:t>a</w:t>
      </w:r>
      <w:r>
        <w:rPr>
          <w:spacing w:val="-15"/>
        </w:rPr>
        <w:t> </w:t>
      </w:r>
      <w:r>
        <w:rPr/>
        <w:t>nivel</w:t>
      </w:r>
      <w:r>
        <w:rPr>
          <w:spacing w:val="-15"/>
        </w:rPr>
        <w:t> </w:t>
      </w:r>
      <w:r>
        <w:rPr/>
        <w:t>nacional—,</w:t>
      </w:r>
      <w:r>
        <w:rPr>
          <w:spacing w:val="-16"/>
        </w:rPr>
        <w:t> </w:t>
      </w:r>
      <w:r>
        <w:rPr/>
        <w:t>mientras</w:t>
      </w:r>
      <w:r>
        <w:rPr>
          <w:spacing w:val="-15"/>
        </w:rPr>
        <w:t> </w:t>
      </w:r>
      <w:r>
        <w:rPr/>
        <w:t>que</w:t>
      </w:r>
      <w:r>
        <w:rPr>
          <w:spacing w:val="-15"/>
        </w:rPr>
        <w:t> </w:t>
      </w:r>
      <w:r>
        <w:rPr/>
        <w:t>el</w:t>
      </w:r>
      <w:r>
        <w:rPr>
          <w:spacing w:val="-16"/>
        </w:rPr>
        <w:t> </w:t>
      </w:r>
      <w:r>
        <w:rPr/>
        <w:t>Gini por hogar pasó de 0,492 a 0,495. Estos movimientos no son contradictorios: reflejan unidades</w:t>
      </w:r>
      <w:r>
        <w:rPr>
          <w:spacing w:val="-5"/>
        </w:rPr>
        <w:t> </w:t>
      </w:r>
      <w:r>
        <w:rPr/>
        <w:t>de</w:t>
      </w:r>
      <w:r>
        <w:rPr>
          <w:spacing w:val="-5"/>
        </w:rPr>
        <w:t> </w:t>
      </w:r>
      <w:r>
        <w:rPr/>
        <w:t>análisis</w:t>
      </w:r>
      <w:r>
        <w:rPr>
          <w:spacing w:val="-5"/>
        </w:rPr>
        <w:t> </w:t>
      </w:r>
      <w:r>
        <w:rPr/>
        <w:t>distintas</w:t>
      </w:r>
      <w:r>
        <w:rPr>
          <w:spacing w:val="-7"/>
        </w:rPr>
        <w:t> </w:t>
      </w:r>
      <w:r>
        <w:rPr/>
        <w:t>y</w:t>
      </w:r>
      <w:r>
        <w:rPr>
          <w:spacing w:val="-5"/>
        </w:rPr>
        <w:t> </w:t>
      </w:r>
      <w:r>
        <w:rPr/>
        <w:t>cambios</w:t>
      </w:r>
      <w:r>
        <w:rPr>
          <w:spacing w:val="-7"/>
        </w:rPr>
        <w:t> </w:t>
      </w:r>
      <w:r>
        <w:rPr/>
        <w:t>simultáneos</w:t>
      </w:r>
      <w:r>
        <w:rPr>
          <w:spacing w:val="-5"/>
        </w:rPr>
        <w:t> </w:t>
      </w:r>
      <w:r>
        <w:rPr/>
        <w:t>en</w:t>
      </w:r>
      <w:r>
        <w:rPr>
          <w:spacing w:val="-8"/>
        </w:rPr>
        <w:t> </w:t>
      </w:r>
      <w:r>
        <w:rPr/>
        <w:t>los</w:t>
      </w:r>
      <w:r>
        <w:rPr>
          <w:spacing w:val="-5"/>
        </w:rPr>
        <w:t> </w:t>
      </w:r>
      <w:r>
        <w:rPr/>
        <w:t>ingresos</w:t>
      </w:r>
      <w:r>
        <w:rPr>
          <w:spacing w:val="-5"/>
        </w:rPr>
        <w:t> </w:t>
      </w:r>
      <w:r>
        <w:rPr/>
        <w:t>y</w:t>
      </w:r>
      <w:r>
        <w:rPr>
          <w:spacing w:val="-7"/>
        </w:rPr>
        <w:t> </w:t>
      </w:r>
      <w:r>
        <w:rPr/>
        <w:t>en</w:t>
      </w:r>
      <w:r>
        <w:rPr>
          <w:spacing w:val="-9"/>
        </w:rPr>
        <w:t> </w:t>
      </w:r>
      <w:r>
        <w:rPr/>
        <w:t>la</w:t>
      </w:r>
      <w:r>
        <w:rPr>
          <w:spacing w:val="-5"/>
        </w:rPr>
        <w:t> </w:t>
      </w:r>
      <w:r>
        <w:rPr/>
        <w:t>composición de los hogares.</w:t>
      </w:r>
    </w:p>
    <w:p>
      <w:pPr>
        <w:pStyle w:val="BodyText"/>
      </w:pPr>
    </w:p>
    <w:p>
      <w:pPr>
        <w:pStyle w:val="BodyText"/>
        <w:ind w:left="1625" w:right="1600"/>
        <w:jc w:val="both"/>
      </w:pPr>
      <w:r>
        <w:rPr/>
        <w:t>En el caso del Gini por persona, la disminución numérica observada es consistente con el</w:t>
      </w:r>
      <w:r>
        <w:rPr>
          <w:spacing w:val="-12"/>
        </w:rPr>
        <w:t> </w:t>
      </w:r>
      <w:r>
        <w:rPr/>
        <w:t>crecimiento</w:t>
      </w:r>
      <w:r>
        <w:rPr>
          <w:spacing w:val="-14"/>
        </w:rPr>
        <w:t> </w:t>
      </w:r>
      <w:r>
        <w:rPr/>
        <w:t>del</w:t>
      </w:r>
      <w:r>
        <w:rPr>
          <w:spacing w:val="-12"/>
        </w:rPr>
        <w:t> </w:t>
      </w:r>
      <w:r>
        <w:rPr/>
        <w:t>ingreso</w:t>
      </w:r>
      <w:r>
        <w:rPr>
          <w:spacing w:val="-11"/>
        </w:rPr>
        <w:t> </w:t>
      </w:r>
      <w:r>
        <w:rPr/>
        <w:t>per</w:t>
      </w:r>
      <w:r>
        <w:rPr>
          <w:spacing w:val="-10"/>
        </w:rPr>
        <w:t> </w:t>
      </w:r>
      <w:r>
        <w:rPr/>
        <w:t>cápita</w:t>
      </w:r>
      <w:r>
        <w:rPr>
          <w:spacing w:val="-11"/>
        </w:rPr>
        <w:t> </w:t>
      </w:r>
      <w:r>
        <w:rPr/>
        <w:t>en</w:t>
      </w:r>
      <w:r>
        <w:rPr>
          <w:spacing w:val="-14"/>
        </w:rPr>
        <w:t> </w:t>
      </w:r>
      <w:r>
        <w:rPr/>
        <w:t>todos</w:t>
      </w:r>
      <w:r>
        <w:rPr>
          <w:spacing w:val="-14"/>
        </w:rPr>
        <w:t> </w:t>
      </w:r>
      <w:r>
        <w:rPr/>
        <w:t>los</w:t>
      </w:r>
      <w:r>
        <w:rPr>
          <w:spacing w:val="-13"/>
        </w:rPr>
        <w:t> </w:t>
      </w:r>
      <w:r>
        <w:rPr/>
        <w:t>quintiles,</w:t>
      </w:r>
      <w:r>
        <w:rPr>
          <w:spacing w:val="-10"/>
        </w:rPr>
        <w:t> </w:t>
      </w:r>
      <w:r>
        <w:rPr/>
        <w:t>particularmente</w:t>
      </w:r>
      <w:r>
        <w:rPr>
          <w:spacing w:val="-14"/>
        </w:rPr>
        <w:t> </w:t>
      </w:r>
      <w:r>
        <w:rPr/>
        <w:t>en</w:t>
      </w:r>
      <w:r>
        <w:rPr>
          <w:spacing w:val="-12"/>
        </w:rPr>
        <w:t> </w:t>
      </w:r>
      <w:r>
        <w:rPr/>
        <w:t>los</w:t>
      </w:r>
      <w:r>
        <w:rPr>
          <w:spacing w:val="-11"/>
        </w:rPr>
        <w:t> </w:t>
      </w:r>
      <w:r>
        <w:rPr/>
        <w:t>estratos bajos y medios, y con la disminución del tamaño promedio de los hogares. En 2025, el ingreso</w:t>
      </w:r>
      <w:r>
        <w:rPr>
          <w:spacing w:val="-16"/>
        </w:rPr>
        <w:t> </w:t>
      </w:r>
      <w:r>
        <w:rPr/>
        <w:t>per</w:t>
      </w:r>
      <w:r>
        <w:rPr>
          <w:spacing w:val="-15"/>
        </w:rPr>
        <w:t> </w:t>
      </w:r>
      <w:r>
        <w:rPr/>
        <w:t>cápita</w:t>
      </w:r>
      <w:r>
        <w:rPr>
          <w:spacing w:val="-15"/>
        </w:rPr>
        <w:t> </w:t>
      </w:r>
      <w:r>
        <w:rPr/>
        <w:t>aumentó</w:t>
      </w:r>
      <w:r>
        <w:rPr>
          <w:spacing w:val="-16"/>
        </w:rPr>
        <w:t> </w:t>
      </w:r>
      <w:r>
        <w:rPr/>
        <w:t>10,40%,</w:t>
      </w:r>
      <w:r>
        <w:rPr>
          <w:spacing w:val="-15"/>
        </w:rPr>
        <w:t> </w:t>
      </w:r>
      <w:r>
        <w:rPr/>
        <w:t>por</w:t>
      </w:r>
      <w:r>
        <w:rPr>
          <w:spacing w:val="-15"/>
        </w:rPr>
        <w:t> </w:t>
      </w:r>
      <w:r>
        <w:rPr/>
        <w:t>encima</w:t>
      </w:r>
      <w:r>
        <w:rPr>
          <w:spacing w:val="-15"/>
        </w:rPr>
        <w:t> </w:t>
      </w:r>
      <w:r>
        <w:rPr/>
        <w:t>del</w:t>
      </w:r>
      <w:r>
        <w:rPr>
          <w:spacing w:val="-16"/>
        </w:rPr>
        <w:t> </w:t>
      </w:r>
      <w:r>
        <w:rPr/>
        <w:t>crecimiento</w:t>
      </w:r>
      <w:r>
        <w:rPr>
          <w:spacing w:val="-15"/>
        </w:rPr>
        <w:t> </w:t>
      </w:r>
      <w:r>
        <w:rPr/>
        <w:t>del</w:t>
      </w:r>
      <w:r>
        <w:rPr>
          <w:spacing w:val="-15"/>
        </w:rPr>
        <w:t> </w:t>
      </w:r>
      <w:r>
        <w:rPr/>
        <w:t>ingreso</w:t>
      </w:r>
      <w:r>
        <w:rPr>
          <w:spacing w:val="-16"/>
        </w:rPr>
        <w:t> </w:t>
      </w:r>
      <w:r>
        <w:rPr/>
        <w:t>total</w:t>
      </w:r>
      <w:r>
        <w:rPr>
          <w:spacing w:val="-15"/>
        </w:rPr>
        <w:t> </w:t>
      </w:r>
      <w:r>
        <w:rPr/>
        <w:t>promedio de</w:t>
      </w:r>
      <w:r>
        <w:rPr>
          <w:spacing w:val="-1"/>
        </w:rPr>
        <w:t> </w:t>
      </w:r>
      <w:r>
        <w:rPr/>
        <w:t>los hogares, que</w:t>
      </w:r>
      <w:r>
        <w:rPr>
          <w:spacing w:val="-4"/>
        </w:rPr>
        <w:t> </w:t>
      </w:r>
      <w:r>
        <w:rPr/>
        <w:t>fue</w:t>
      </w:r>
      <w:r>
        <w:rPr>
          <w:spacing w:val="-4"/>
        </w:rPr>
        <w:t> </w:t>
      </w:r>
      <w:r>
        <w:rPr/>
        <w:t>de</w:t>
      </w:r>
      <w:r>
        <w:rPr>
          <w:spacing w:val="-1"/>
        </w:rPr>
        <w:t> </w:t>
      </w:r>
      <w:r>
        <w:rPr/>
        <w:t>8,10%.</w:t>
      </w:r>
      <w:r>
        <w:rPr>
          <w:spacing w:val="-1"/>
        </w:rPr>
        <w:t> </w:t>
      </w:r>
      <w:r>
        <w:rPr/>
        <w:t>Además,</w:t>
      </w:r>
      <w:r>
        <w:rPr>
          <w:spacing w:val="-2"/>
        </w:rPr>
        <w:t> </w:t>
      </w:r>
      <w:r>
        <w:rPr/>
        <w:t>el</w:t>
      </w:r>
      <w:r>
        <w:rPr>
          <w:spacing w:val="-3"/>
        </w:rPr>
        <w:t> </w:t>
      </w:r>
      <w:r>
        <w:rPr/>
        <w:t>tamaño promedio del</w:t>
      </w:r>
      <w:r>
        <w:rPr>
          <w:spacing w:val="-3"/>
        </w:rPr>
        <w:t> </w:t>
      </w:r>
      <w:r>
        <w:rPr/>
        <w:t>hogar disminuyó de 2,91 personas en 2024 a 2,83 en 2025. Dado que el Gini por persona ordena a la población según el ingreso per cápita de su hogar, una mejora relativamente mayor del ingreso</w:t>
      </w:r>
      <w:r>
        <w:rPr>
          <w:spacing w:val="-13"/>
        </w:rPr>
        <w:t> </w:t>
      </w:r>
      <w:r>
        <w:rPr/>
        <w:t>disponible</w:t>
      </w:r>
      <w:r>
        <w:rPr>
          <w:spacing w:val="-12"/>
        </w:rPr>
        <w:t> </w:t>
      </w:r>
      <w:r>
        <w:rPr/>
        <w:t>por</w:t>
      </w:r>
      <w:r>
        <w:rPr>
          <w:spacing w:val="-11"/>
        </w:rPr>
        <w:t> </w:t>
      </w:r>
      <w:r>
        <w:rPr/>
        <w:t>integrante</w:t>
      </w:r>
      <w:r>
        <w:rPr>
          <w:spacing w:val="-14"/>
        </w:rPr>
        <w:t> </w:t>
      </w:r>
      <w:r>
        <w:rPr/>
        <w:t>entre</w:t>
      </w:r>
      <w:r>
        <w:rPr>
          <w:spacing w:val="-14"/>
        </w:rPr>
        <w:t> </w:t>
      </w:r>
      <w:r>
        <w:rPr/>
        <w:t>los</w:t>
      </w:r>
      <w:r>
        <w:rPr>
          <w:spacing w:val="-12"/>
        </w:rPr>
        <w:t> </w:t>
      </w:r>
      <w:r>
        <w:rPr/>
        <w:t>estratos</w:t>
      </w:r>
      <w:r>
        <w:rPr>
          <w:spacing w:val="-12"/>
        </w:rPr>
        <w:t> </w:t>
      </w:r>
      <w:r>
        <w:rPr/>
        <w:t>bajos</w:t>
      </w:r>
      <w:r>
        <w:rPr>
          <w:spacing w:val="-14"/>
        </w:rPr>
        <w:t> </w:t>
      </w:r>
      <w:r>
        <w:rPr/>
        <w:t>y</w:t>
      </w:r>
      <w:r>
        <w:rPr>
          <w:spacing w:val="-13"/>
        </w:rPr>
        <w:t> </w:t>
      </w:r>
      <w:r>
        <w:rPr/>
        <w:t>medios</w:t>
      </w:r>
      <w:r>
        <w:rPr>
          <w:spacing w:val="-14"/>
        </w:rPr>
        <w:t> </w:t>
      </w:r>
      <w:r>
        <w:rPr/>
        <w:t>es</w:t>
      </w:r>
      <w:r>
        <w:rPr>
          <w:spacing w:val="-14"/>
        </w:rPr>
        <w:t> </w:t>
      </w:r>
      <w:r>
        <w:rPr/>
        <w:t>consistente</w:t>
      </w:r>
      <w:r>
        <w:rPr>
          <w:spacing w:val="-14"/>
        </w:rPr>
        <w:t> </w:t>
      </w:r>
      <w:r>
        <w:rPr/>
        <w:t>con</w:t>
      </w:r>
      <w:r>
        <w:rPr>
          <w:spacing w:val="-14"/>
        </w:rPr>
        <w:t> </w:t>
      </w:r>
      <w:r>
        <w:rPr/>
        <w:t>una</w:t>
      </w:r>
    </w:p>
    <w:p>
      <w:pPr>
        <w:pStyle w:val="BodyText"/>
        <w:spacing w:after="0"/>
        <w:jc w:val="both"/>
        <w:sectPr>
          <w:pgSz w:w="12240" w:h="15840"/>
          <w:pgMar w:header="0" w:footer="1576" w:top="1000" w:bottom="1760" w:left="360" w:right="0"/>
        </w:sectPr>
      </w:pPr>
    </w:p>
    <w:p>
      <w:pPr>
        <w:pStyle w:val="BodyText"/>
        <w:spacing w:before="77"/>
        <w:ind w:left="1625" w:right="1607"/>
        <w:jc w:val="both"/>
      </w:pPr>
      <w:r>
        <w:rPr/>
        <w:t>menor desigualdad medida entre personas. Sin embargo, la variación nacional del Gini entre 2024 y 2025 no es estadísticamente significativa.</w:t>
      </w:r>
    </w:p>
    <w:p>
      <w:pPr>
        <w:pStyle w:val="BodyText"/>
      </w:pPr>
    </w:p>
    <w:p>
      <w:pPr>
        <w:pStyle w:val="BodyText"/>
        <w:ind w:left="1625" w:right="1604"/>
        <w:jc w:val="both"/>
      </w:pPr>
      <w:r>
        <w:rPr/>
        <w:t>Por su parte, el ligero incremento del Gini por hogar es compatible con una mayor dispersión del ingreso total entre hogares. Esta medición no incorpora de la misma manera el efecto de la reducción en el número de integrantes, porque cada hogar constituye una sola unidad y se ordena por su ingreso total. En 2025, el crecimiento del ingreso total fue heterogéneo entre los distintos estratos y también se observaron aumentos</w:t>
      </w:r>
      <w:r>
        <w:rPr>
          <w:spacing w:val="-6"/>
        </w:rPr>
        <w:t> </w:t>
      </w:r>
      <w:r>
        <w:rPr/>
        <w:t>importantes</w:t>
      </w:r>
      <w:r>
        <w:rPr>
          <w:spacing w:val="-6"/>
        </w:rPr>
        <w:t> </w:t>
      </w:r>
      <w:r>
        <w:rPr/>
        <w:t>en</w:t>
      </w:r>
      <w:r>
        <w:rPr>
          <w:spacing w:val="-6"/>
        </w:rPr>
        <w:t> </w:t>
      </w:r>
      <w:r>
        <w:rPr/>
        <w:t>fuentes</w:t>
      </w:r>
      <w:r>
        <w:rPr>
          <w:spacing w:val="-8"/>
        </w:rPr>
        <w:t> </w:t>
      </w:r>
      <w:r>
        <w:rPr/>
        <w:t>como</w:t>
      </w:r>
      <w:r>
        <w:rPr>
          <w:spacing w:val="-6"/>
        </w:rPr>
        <w:t> </w:t>
      </w:r>
      <w:r>
        <w:rPr/>
        <w:t>el</w:t>
      </w:r>
      <w:r>
        <w:rPr>
          <w:spacing w:val="-10"/>
        </w:rPr>
        <w:t> </w:t>
      </w:r>
      <w:r>
        <w:rPr/>
        <w:t>trabajo</w:t>
      </w:r>
      <w:r>
        <w:rPr>
          <w:spacing w:val="-9"/>
        </w:rPr>
        <w:t> </w:t>
      </w:r>
      <w:r>
        <w:rPr/>
        <w:t>autónomo</w:t>
      </w:r>
      <w:r>
        <w:rPr>
          <w:spacing w:val="-8"/>
        </w:rPr>
        <w:t> </w:t>
      </w:r>
      <w:r>
        <w:rPr/>
        <w:t>y</w:t>
      </w:r>
      <w:r>
        <w:rPr>
          <w:spacing w:val="-6"/>
        </w:rPr>
        <w:t> </w:t>
      </w:r>
      <w:r>
        <w:rPr/>
        <w:t>las</w:t>
      </w:r>
      <w:r>
        <w:rPr>
          <w:spacing w:val="-6"/>
        </w:rPr>
        <w:t> </w:t>
      </w:r>
      <w:r>
        <w:rPr/>
        <w:t>rentas</w:t>
      </w:r>
      <w:r>
        <w:rPr>
          <w:spacing w:val="-6"/>
        </w:rPr>
        <w:t> </w:t>
      </w:r>
      <w:r>
        <w:rPr/>
        <w:t>de</w:t>
      </w:r>
      <w:r>
        <w:rPr>
          <w:spacing w:val="-6"/>
        </w:rPr>
        <w:t> </w:t>
      </w:r>
      <w:r>
        <w:rPr/>
        <w:t>la</w:t>
      </w:r>
      <w:r>
        <w:rPr>
          <w:spacing w:val="-6"/>
        </w:rPr>
        <w:t> </w:t>
      </w:r>
      <w:r>
        <w:rPr/>
        <w:t>propiedad, cuya distribución entre hogares puede ser más desigual que la de otras fuentes de ingreso.</w:t>
      </w:r>
      <w:r>
        <w:rPr>
          <w:spacing w:val="-13"/>
        </w:rPr>
        <w:t> </w:t>
      </w:r>
      <w:r>
        <w:rPr/>
        <w:t>Por</w:t>
      </w:r>
      <w:r>
        <w:rPr>
          <w:spacing w:val="-14"/>
        </w:rPr>
        <w:t> </w:t>
      </w:r>
      <w:r>
        <w:rPr/>
        <w:t>ello,</w:t>
      </w:r>
      <w:r>
        <w:rPr>
          <w:spacing w:val="-14"/>
        </w:rPr>
        <w:t> </w:t>
      </w:r>
      <w:r>
        <w:rPr/>
        <w:t>es</w:t>
      </w:r>
      <w:r>
        <w:rPr>
          <w:spacing w:val="-15"/>
        </w:rPr>
        <w:t> </w:t>
      </w:r>
      <w:r>
        <w:rPr/>
        <w:t>posible</w:t>
      </w:r>
      <w:r>
        <w:rPr>
          <w:spacing w:val="-12"/>
        </w:rPr>
        <w:t> </w:t>
      </w:r>
      <w:r>
        <w:rPr/>
        <w:t>que</w:t>
      </w:r>
      <w:r>
        <w:rPr>
          <w:spacing w:val="-12"/>
        </w:rPr>
        <w:t> </w:t>
      </w:r>
      <w:r>
        <w:rPr/>
        <w:t>el</w:t>
      </w:r>
      <w:r>
        <w:rPr>
          <w:spacing w:val="-16"/>
        </w:rPr>
        <w:t> </w:t>
      </w:r>
      <w:r>
        <w:rPr/>
        <w:t>ingreso</w:t>
      </w:r>
      <w:r>
        <w:rPr>
          <w:spacing w:val="-14"/>
        </w:rPr>
        <w:t> </w:t>
      </w:r>
      <w:r>
        <w:rPr/>
        <w:t>per</w:t>
      </w:r>
      <w:r>
        <w:rPr>
          <w:spacing w:val="-13"/>
        </w:rPr>
        <w:t> </w:t>
      </w:r>
      <w:r>
        <w:rPr/>
        <w:t>cápita</w:t>
      </w:r>
      <w:r>
        <w:rPr>
          <w:spacing w:val="-12"/>
        </w:rPr>
        <w:t> </w:t>
      </w:r>
      <w:r>
        <w:rPr/>
        <w:t>se</w:t>
      </w:r>
      <w:r>
        <w:rPr>
          <w:spacing w:val="-15"/>
        </w:rPr>
        <w:t> </w:t>
      </w:r>
      <w:r>
        <w:rPr/>
        <w:t>distribuya</w:t>
      </w:r>
      <w:r>
        <w:rPr>
          <w:spacing w:val="-15"/>
        </w:rPr>
        <w:t> </w:t>
      </w:r>
      <w:r>
        <w:rPr/>
        <w:t>de</w:t>
      </w:r>
      <w:r>
        <w:rPr>
          <w:spacing w:val="-15"/>
        </w:rPr>
        <w:t> </w:t>
      </w:r>
      <w:r>
        <w:rPr/>
        <w:t>manera</w:t>
      </w:r>
      <w:r>
        <w:rPr>
          <w:spacing w:val="-12"/>
        </w:rPr>
        <w:t> </w:t>
      </w:r>
      <w:r>
        <w:rPr/>
        <w:t>ligeramente más homogénea entre las personas, mientras que el ingreso total presente una mayor dispersión entre hogares.</w:t>
      </w:r>
    </w:p>
    <w:p>
      <w:pPr>
        <w:pStyle w:val="BodyText"/>
        <w:spacing w:before="252"/>
        <w:ind w:left="1625" w:right="1598"/>
        <w:jc w:val="both"/>
      </w:pPr>
      <w:r>
        <w:rPr/>
        <w:t>Desde</w:t>
      </w:r>
      <w:r>
        <w:rPr>
          <w:spacing w:val="-16"/>
        </w:rPr>
        <w:t> </w:t>
      </w:r>
      <w:r>
        <w:rPr/>
        <w:t>el</w:t>
      </w:r>
      <w:r>
        <w:rPr>
          <w:spacing w:val="-15"/>
        </w:rPr>
        <w:t> </w:t>
      </w:r>
      <w:r>
        <w:rPr/>
        <w:t>punto</w:t>
      </w:r>
      <w:r>
        <w:rPr>
          <w:spacing w:val="-15"/>
        </w:rPr>
        <w:t> </w:t>
      </w:r>
      <w:r>
        <w:rPr/>
        <w:t>de</w:t>
      </w:r>
      <w:r>
        <w:rPr>
          <w:spacing w:val="-16"/>
        </w:rPr>
        <w:t> </w:t>
      </w:r>
      <w:r>
        <w:rPr/>
        <w:t>vista</w:t>
      </w:r>
      <w:r>
        <w:rPr>
          <w:spacing w:val="-15"/>
        </w:rPr>
        <w:t> </w:t>
      </w:r>
      <w:r>
        <w:rPr/>
        <w:t>metodológico,</w:t>
      </w:r>
      <w:r>
        <w:rPr>
          <w:spacing w:val="-15"/>
        </w:rPr>
        <w:t> </w:t>
      </w:r>
      <w:r>
        <w:rPr/>
        <w:t>estos</w:t>
      </w:r>
      <w:r>
        <w:rPr>
          <w:spacing w:val="-15"/>
        </w:rPr>
        <w:t> </w:t>
      </w:r>
      <w:r>
        <w:rPr/>
        <w:t>factores</w:t>
      </w:r>
      <w:r>
        <w:rPr>
          <w:spacing w:val="-16"/>
        </w:rPr>
        <w:t> </w:t>
      </w:r>
      <w:r>
        <w:rPr/>
        <w:t>deben</w:t>
      </w:r>
      <w:r>
        <w:rPr>
          <w:spacing w:val="-15"/>
        </w:rPr>
        <w:t> </w:t>
      </w:r>
      <w:r>
        <w:rPr/>
        <w:t>interpretarse</w:t>
      </w:r>
      <w:r>
        <w:rPr>
          <w:spacing w:val="-15"/>
        </w:rPr>
        <w:t> </w:t>
      </w:r>
      <w:r>
        <w:rPr/>
        <w:t>como</w:t>
      </w:r>
      <w:r>
        <w:rPr>
          <w:spacing w:val="-16"/>
        </w:rPr>
        <w:t> </w:t>
      </w:r>
      <w:r>
        <w:rPr/>
        <w:t>elementos asociados y consistentes con la evolución observada, y no como una descomposición causal</w:t>
      </w:r>
      <w:r>
        <w:rPr>
          <w:spacing w:val="-4"/>
        </w:rPr>
        <w:t> </w:t>
      </w:r>
      <w:r>
        <w:rPr/>
        <w:t>del</w:t>
      </w:r>
      <w:r>
        <w:rPr>
          <w:spacing w:val="-6"/>
        </w:rPr>
        <w:t> </w:t>
      </w:r>
      <w:r>
        <w:rPr/>
        <w:t>cambio</w:t>
      </w:r>
      <w:r>
        <w:rPr>
          <w:spacing w:val="-5"/>
        </w:rPr>
        <w:t> </w:t>
      </w:r>
      <w:r>
        <w:rPr/>
        <w:t>anual</w:t>
      </w:r>
      <w:r>
        <w:rPr>
          <w:spacing w:val="-6"/>
        </w:rPr>
        <w:t> </w:t>
      </w:r>
      <w:r>
        <w:rPr/>
        <w:t>del</w:t>
      </w:r>
      <w:r>
        <w:rPr>
          <w:spacing w:val="-3"/>
        </w:rPr>
        <w:t> </w:t>
      </w:r>
      <w:r>
        <w:rPr/>
        <w:t>coeficiente.</w:t>
      </w:r>
      <w:r>
        <w:rPr>
          <w:spacing w:val="-4"/>
        </w:rPr>
        <w:t> </w:t>
      </w:r>
      <w:r>
        <w:rPr/>
        <w:t>La</w:t>
      </w:r>
      <w:r>
        <w:rPr>
          <w:spacing w:val="-5"/>
        </w:rPr>
        <w:t> </w:t>
      </w:r>
      <w:r>
        <w:rPr/>
        <w:t>ENAHO</w:t>
      </w:r>
      <w:r>
        <w:rPr>
          <w:spacing w:val="-4"/>
        </w:rPr>
        <w:t> </w:t>
      </w:r>
      <w:r>
        <w:rPr/>
        <w:t>permite</w:t>
      </w:r>
      <w:r>
        <w:rPr>
          <w:spacing w:val="-5"/>
        </w:rPr>
        <w:t> </w:t>
      </w:r>
      <w:r>
        <w:rPr/>
        <w:t>identificar</w:t>
      </w:r>
      <w:r>
        <w:rPr>
          <w:spacing w:val="-4"/>
        </w:rPr>
        <w:t> </w:t>
      </w:r>
      <w:r>
        <w:rPr/>
        <w:t>las</w:t>
      </w:r>
      <w:r>
        <w:rPr>
          <w:spacing w:val="-6"/>
        </w:rPr>
        <w:t> </w:t>
      </w:r>
      <w:r>
        <w:rPr/>
        <w:t>variaciones en ingresos,</w:t>
      </w:r>
      <w:r>
        <w:rPr>
          <w:spacing w:val="-12"/>
        </w:rPr>
        <w:t> </w:t>
      </w:r>
      <w:r>
        <w:rPr/>
        <w:t>tamaño</w:t>
      </w:r>
      <w:r>
        <w:rPr>
          <w:spacing w:val="-14"/>
        </w:rPr>
        <w:t> </w:t>
      </w:r>
      <w:r>
        <w:rPr/>
        <w:t>y</w:t>
      </w:r>
      <w:r>
        <w:rPr>
          <w:spacing w:val="-11"/>
        </w:rPr>
        <w:t> </w:t>
      </w:r>
      <w:r>
        <w:rPr/>
        <w:t>composición</w:t>
      </w:r>
      <w:r>
        <w:rPr>
          <w:spacing w:val="-12"/>
        </w:rPr>
        <w:t> </w:t>
      </w:r>
      <w:r>
        <w:rPr/>
        <w:t>de</w:t>
      </w:r>
      <w:r>
        <w:rPr>
          <w:spacing w:val="-12"/>
        </w:rPr>
        <w:t> </w:t>
      </w:r>
      <w:r>
        <w:rPr/>
        <w:t>los</w:t>
      </w:r>
      <w:r>
        <w:rPr>
          <w:spacing w:val="-11"/>
        </w:rPr>
        <w:t> </w:t>
      </w:r>
      <w:r>
        <w:rPr/>
        <w:t>hogares,</w:t>
      </w:r>
      <w:r>
        <w:rPr>
          <w:spacing w:val="-13"/>
        </w:rPr>
        <w:t> </w:t>
      </w:r>
      <w:r>
        <w:rPr/>
        <w:t>pero</w:t>
      </w:r>
      <w:r>
        <w:rPr>
          <w:spacing w:val="-11"/>
        </w:rPr>
        <w:t> </w:t>
      </w:r>
      <w:r>
        <w:rPr/>
        <w:t>no</w:t>
      </w:r>
      <w:r>
        <w:rPr>
          <w:spacing w:val="-12"/>
        </w:rPr>
        <w:t> </w:t>
      </w:r>
      <w:r>
        <w:rPr/>
        <w:t>atribuye</w:t>
      </w:r>
      <w:r>
        <w:rPr>
          <w:spacing w:val="-11"/>
        </w:rPr>
        <w:t> </w:t>
      </w:r>
      <w:r>
        <w:rPr/>
        <w:t>el</w:t>
      </w:r>
      <w:r>
        <w:rPr>
          <w:spacing w:val="-12"/>
        </w:rPr>
        <w:t> </w:t>
      </w:r>
      <w:r>
        <w:rPr/>
        <w:t>cambio</w:t>
      </w:r>
      <w:r>
        <w:rPr>
          <w:spacing w:val="-11"/>
        </w:rPr>
        <w:t> </w:t>
      </w:r>
      <w:r>
        <w:rPr/>
        <w:t>del</w:t>
      </w:r>
      <w:r>
        <w:rPr>
          <w:spacing w:val="-12"/>
        </w:rPr>
        <w:t> </w:t>
      </w:r>
      <w:r>
        <w:rPr/>
        <w:t>Gini</w:t>
      </w:r>
      <w:r>
        <w:rPr>
          <w:spacing w:val="-12"/>
        </w:rPr>
        <w:t> </w:t>
      </w:r>
      <w:r>
        <w:rPr/>
        <w:t>a</w:t>
      </w:r>
      <w:r>
        <w:rPr>
          <w:spacing w:val="-11"/>
        </w:rPr>
        <w:t> </w:t>
      </w:r>
      <w:r>
        <w:rPr/>
        <w:t>una única causa. En consecuencia, el Gini por persona se mantiene como el indicador principal</w:t>
      </w:r>
      <w:r>
        <w:rPr>
          <w:spacing w:val="-2"/>
        </w:rPr>
        <w:t> </w:t>
      </w:r>
      <w:r>
        <w:rPr/>
        <w:t>para</w:t>
      </w:r>
      <w:r>
        <w:rPr>
          <w:spacing w:val="-2"/>
        </w:rPr>
        <w:t> </w:t>
      </w:r>
      <w:r>
        <w:rPr/>
        <w:t>valorar</w:t>
      </w:r>
      <w:r>
        <w:rPr>
          <w:spacing w:val="-1"/>
        </w:rPr>
        <w:t> </w:t>
      </w:r>
      <w:r>
        <w:rPr/>
        <w:t>la</w:t>
      </w:r>
      <w:r>
        <w:rPr>
          <w:spacing w:val="-6"/>
        </w:rPr>
        <w:t> </w:t>
      </w:r>
      <w:r>
        <w:rPr/>
        <w:t>desigualdad</w:t>
      </w:r>
      <w:r>
        <w:rPr>
          <w:spacing w:val="-2"/>
        </w:rPr>
        <w:t> </w:t>
      </w:r>
      <w:r>
        <w:rPr/>
        <w:t>distributiva</w:t>
      </w:r>
      <w:r>
        <w:rPr>
          <w:spacing w:val="-4"/>
        </w:rPr>
        <w:t> </w:t>
      </w:r>
      <w:r>
        <w:rPr/>
        <w:t>de</w:t>
      </w:r>
      <w:r>
        <w:rPr>
          <w:spacing w:val="-2"/>
        </w:rPr>
        <w:t> </w:t>
      </w:r>
      <w:r>
        <w:rPr/>
        <w:t>la</w:t>
      </w:r>
      <w:r>
        <w:rPr>
          <w:spacing w:val="-2"/>
        </w:rPr>
        <w:t> </w:t>
      </w:r>
      <w:r>
        <w:rPr/>
        <w:t>población,</w:t>
      </w:r>
      <w:r>
        <w:rPr>
          <w:spacing w:val="-3"/>
        </w:rPr>
        <w:t> </w:t>
      </w:r>
      <w:r>
        <w:rPr/>
        <w:t>mientras</w:t>
      </w:r>
      <w:r>
        <w:rPr>
          <w:spacing w:val="-4"/>
        </w:rPr>
        <w:t> </w:t>
      </w:r>
      <w:r>
        <w:rPr/>
        <w:t>que</w:t>
      </w:r>
      <w:r>
        <w:rPr>
          <w:spacing w:val="-2"/>
        </w:rPr>
        <w:t> </w:t>
      </w:r>
      <w:r>
        <w:rPr/>
        <w:t>el</w:t>
      </w:r>
      <w:r>
        <w:rPr>
          <w:spacing w:val="-1"/>
        </w:rPr>
        <w:t> </w:t>
      </w:r>
      <w:r>
        <w:rPr/>
        <w:t>Gini</w:t>
      </w:r>
      <w:r>
        <w:rPr>
          <w:spacing w:val="-3"/>
        </w:rPr>
        <w:t> </w:t>
      </w:r>
      <w:r>
        <w:rPr/>
        <w:t>por hogar aporta una lectura complementaria sobre la concentración del ingreso entre unidades familiares.</w:t>
      </w:r>
    </w:p>
    <w:p>
      <w:pPr>
        <w:pStyle w:val="BodyText"/>
      </w:pPr>
    </w:p>
    <w:p>
      <w:pPr>
        <w:pStyle w:val="BodyText"/>
        <w:spacing w:before="3"/>
      </w:pPr>
    </w:p>
    <w:p>
      <w:pPr>
        <w:pStyle w:val="Heading5"/>
        <w:ind w:left="5775" w:right="1186" w:hanging="4201"/>
      </w:pPr>
      <w:r>
        <w:rPr/>
        <w:drawing>
          <wp:anchor distT="0" distB="0" distL="0" distR="0" allowOverlap="1" layoutInCell="1" locked="0" behindDoc="1" simplePos="0" relativeHeight="487592448">
            <wp:simplePos x="0" y="0"/>
            <wp:positionH relativeFrom="page">
              <wp:posOffset>1329589</wp:posOffset>
            </wp:positionH>
            <wp:positionV relativeFrom="paragraph">
              <wp:posOffset>338026</wp:posOffset>
            </wp:positionV>
            <wp:extent cx="5528069" cy="3149822"/>
            <wp:effectExtent l="0" t="0" r="0" b="0"/>
            <wp:wrapTopAndBottom/>
            <wp:docPr id="67" name="Image 67"/>
            <wp:cNvGraphicFramePr>
              <a:graphicFrameLocks/>
            </wp:cNvGraphicFramePr>
            <a:graphic>
              <a:graphicData uri="http://schemas.openxmlformats.org/drawingml/2006/picture">
                <pic:pic>
                  <pic:nvPicPr>
                    <pic:cNvPr id="67" name="Image 67"/>
                    <pic:cNvPicPr/>
                  </pic:nvPicPr>
                  <pic:blipFill>
                    <a:blip r:embed="rId38" cstate="print"/>
                    <a:stretch>
                      <a:fillRect/>
                    </a:stretch>
                  </pic:blipFill>
                  <pic:spPr>
                    <a:xfrm>
                      <a:off x="0" y="0"/>
                      <a:ext cx="5528069" cy="3149822"/>
                    </a:xfrm>
                    <a:prstGeom prst="rect">
                      <a:avLst/>
                    </a:prstGeom>
                  </pic:spPr>
                </pic:pic>
              </a:graphicData>
            </a:graphic>
          </wp:anchor>
        </w:drawing>
      </w:r>
      <w:bookmarkStart w:name="_bookmark25" w:id="26"/>
      <w:bookmarkEnd w:id="26"/>
      <w:r>
        <w:rPr>
          <w:b w:val="0"/>
        </w:rPr>
      </w:r>
      <w:r>
        <w:rPr/>
        <w:t>Gráfico</w:t>
      </w:r>
      <w:r>
        <w:rPr>
          <w:spacing w:val="-4"/>
        </w:rPr>
        <w:t> </w:t>
      </w:r>
      <w:r>
        <w:rPr/>
        <w:t>7:</w:t>
      </w:r>
      <w:r>
        <w:rPr>
          <w:spacing w:val="-3"/>
        </w:rPr>
        <w:t> </w:t>
      </w:r>
      <w:r>
        <w:rPr/>
        <w:t>Costa</w:t>
      </w:r>
      <w:r>
        <w:rPr>
          <w:spacing w:val="-2"/>
        </w:rPr>
        <w:t> </w:t>
      </w:r>
      <w:r>
        <w:rPr/>
        <w:t>Rica:</w:t>
      </w:r>
      <w:r>
        <w:rPr>
          <w:spacing w:val="-5"/>
        </w:rPr>
        <w:t> </w:t>
      </w:r>
      <w:r>
        <w:rPr/>
        <w:t>Pobreza</w:t>
      </w:r>
      <w:r>
        <w:rPr>
          <w:spacing w:val="-2"/>
        </w:rPr>
        <w:t> </w:t>
      </w:r>
      <w:r>
        <w:rPr/>
        <w:t>por</w:t>
      </w:r>
      <w:r>
        <w:rPr>
          <w:spacing w:val="-3"/>
        </w:rPr>
        <w:t> </w:t>
      </w:r>
      <w:r>
        <w:rPr/>
        <w:t>IPM</w:t>
      </w:r>
      <w:r>
        <w:rPr>
          <w:spacing w:val="-1"/>
        </w:rPr>
        <w:t> </w:t>
      </w:r>
      <w:r>
        <w:rPr/>
        <w:t>según</w:t>
      </w:r>
      <w:r>
        <w:rPr>
          <w:spacing w:val="-4"/>
        </w:rPr>
        <w:t> </w:t>
      </w:r>
      <w:r>
        <w:rPr/>
        <w:t>zona</w:t>
      </w:r>
      <w:r>
        <w:rPr>
          <w:spacing w:val="-2"/>
        </w:rPr>
        <w:t> </w:t>
      </w:r>
      <w:r>
        <w:rPr/>
        <w:t>urbana</w:t>
      </w:r>
      <w:r>
        <w:rPr>
          <w:spacing w:val="-2"/>
        </w:rPr>
        <w:t> </w:t>
      </w:r>
      <w:r>
        <w:rPr/>
        <w:t>y</w:t>
      </w:r>
      <w:r>
        <w:rPr>
          <w:spacing w:val="-4"/>
        </w:rPr>
        <w:t> </w:t>
      </w:r>
      <w:r>
        <w:rPr/>
        <w:t>rural</w:t>
      </w:r>
      <w:r>
        <w:rPr>
          <w:spacing w:val="-3"/>
        </w:rPr>
        <w:t> </w:t>
      </w:r>
      <w:r>
        <w:rPr/>
        <w:t>(%</w:t>
      </w:r>
      <w:r>
        <w:rPr>
          <w:spacing w:val="-3"/>
        </w:rPr>
        <w:t> </w:t>
      </w:r>
      <w:r>
        <w:rPr/>
        <w:t>hogares), 2010-</w:t>
      </w:r>
      <w:r>
        <w:rPr>
          <w:spacing w:val="-4"/>
        </w:rPr>
        <w:t>2025</w:t>
      </w:r>
    </w:p>
    <w:p>
      <w:pPr>
        <w:spacing w:before="0"/>
        <w:ind w:left="1625" w:right="1601" w:firstLine="0"/>
        <w:jc w:val="both"/>
        <w:rPr>
          <w:sz w:val="18"/>
        </w:rPr>
      </w:pPr>
      <w:r>
        <w:rPr>
          <w:sz w:val="18"/>
        </w:rPr>
        <w:t>Fuente: Elaboración propia con datos del Instituto Nacional de Estadística y Censos (INEC), ENAHO 2010-</w:t>
      </w:r>
      <w:r>
        <w:rPr>
          <w:spacing w:val="-2"/>
          <w:sz w:val="18"/>
        </w:rPr>
        <w:t>2025.</w:t>
      </w:r>
    </w:p>
    <w:p>
      <w:pPr>
        <w:pStyle w:val="BodyText"/>
        <w:spacing w:before="205"/>
        <w:ind w:left="1625" w:right="1603"/>
        <w:jc w:val="both"/>
      </w:pPr>
      <w:r>
        <w:rPr/>
        <w:t>El gráfico 7 permite observar simultáneamente la incidencia nacional del IPM y su comportamiento</w:t>
      </w:r>
      <w:r>
        <w:rPr>
          <w:spacing w:val="22"/>
        </w:rPr>
        <w:t> </w:t>
      </w:r>
      <w:r>
        <w:rPr/>
        <w:t>por</w:t>
      </w:r>
      <w:r>
        <w:rPr>
          <w:spacing w:val="21"/>
        </w:rPr>
        <w:t> </w:t>
      </w:r>
      <w:r>
        <w:rPr/>
        <w:t>zona.</w:t>
      </w:r>
      <w:r>
        <w:rPr>
          <w:spacing w:val="23"/>
        </w:rPr>
        <w:t> </w:t>
      </w:r>
      <w:r>
        <w:rPr/>
        <w:t>El</w:t>
      </w:r>
      <w:r>
        <w:rPr>
          <w:spacing w:val="19"/>
        </w:rPr>
        <w:t> </w:t>
      </w:r>
      <w:r>
        <w:rPr/>
        <w:t>rasgo</w:t>
      </w:r>
      <w:r>
        <w:rPr>
          <w:spacing w:val="20"/>
        </w:rPr>
        <w:t> </w:t>
      </w:r>
      <w:r>
        <w:rPr/>
        <w:t>más</w:t>
      </w:r>
      <w:r>
        <w:rPr>
          <w:spacing w:val="22"/>
        </w:rPr>
        <w:t> </w:t>
      </w:r>
      <w:r>
        <w:rPr/>
        <w:t>evidente</w:t>
      </w:r>
      <w:r>
        <w:rPr>
          <w:spacing w:val="22"/>
        </w:rPr>
        <w:t> </w:t>
      </w:r>
      <w:r>
        <w:rPr/>
        <w:t>es</w:t>
      </w:r>
      <w:r>
        <w:rPr>
          <w:spacing w:val="20"/>
        </w:rPr>
        <w:t> </w:t>
      </w:r>
      <w:r>
        <w:rPr/>
        <w:t>la</w:t>
      </w:r>
      <w:r>
        <w:rPr>
          <w:spacing w:val="22"/>
        </w:rPr>
        <w:t> </w:t>
      </w:r>
      <w:r>
        <w:rPr/>
        <w:t>reducción</w:t>
      </w:r>
      <w:r>
        <w:rPr>
          <w:spacing w:val="22"/>
        </w:rPr>
        <w:t> </w:t>
      </w:r>
      <w:r>
        <w:rPr/>
        <w:t>de</w:t>
      </w:r>
      <w:r>
        <w:rPr>
          <w:spacing w:val="19"/>
        </w:rPr>
        <w:t> </w:t>
      </w:r>
      <w:r>
        <w:rPr/>
        <w:t>largo</w:t>
      </w:r>
      <w:r>
        <w:rPr>
          <w:spacing w:val="22"/>
        </w:rPr>
        <w:t> </w:t>
      </w:r>
      <w:r>
        <w:rPr/>
        <w:t>plazo</w:t>
      </w:r>
      <w:r>
        <w:rPr>
          <w:spacing w:val="22"/>
        </w:rPr>
        <w:t> </w:t>
      </w:r>
      <w:r>
        <w:rPr/>
        <w:t>de</w:t>
      </w:r>
      <w:r>
        <w:rPr>
          <w:spacing w:val="19"/>
        </w:rPr>
        <w:t> </w:t>
      </w:r>
      <w:r>
        <w:rPr/>
        <w:t>la</w:t>
      </w:r>
    </w:p>
    <w:p>
      <w:pPr>
        <w:pStyle w:val="BodyText"/>
        <w:spacing w:after="0"/>
        <w:jc w:val="both"/>
        <w:sectPr>
          <w:pgSz w:w="12240" w:h="15840"/>
          <w:pgMar w:header="0" w:footer="1576" w:top="1000" w:bottom="1760" w:left="360" w:right="0"/>
        </w:sectPr>
      </w:pPr>
    </w:p>
    <w:p>
      <w:pPr>
        <w:pStyle w:val="BodyText"/>
        <w:spacing w:before="77"/>
        <w:ind w:left="1625" w:right="1603"/>
        <w:jc w:val="both"/>
      </w:pPr>
      <w:r>
        <w:rPr/>
        <w:t>pobreza multidimensional durante 2010–2025, acompañada por una disminución importante</w:t>
      </w:r>
      <w:r>
        <w:rPr>
          <w:spacing w:val="-9"/>
        </w:rPr>
        <w:t> </w:t>
      </w:r>
      <w:r>
        <w:rPr/>
        <w:t>de</w:t>
      </w:r>
      <w:r>
        <w:rPr>
          <w:spacing w:val="-12"/>
        </w:rPr>
        <w:t> </w:t>
      </w:r>
      <w:r>
        <w:rPr/>
        <w:t>la</w:t>
      </w:r>
      <w:r>
        <w:rPr>
          <w:spacing w:val="-9"/>
        </w:rPr>
        <w:t> </w:t>
      </w:r>
      <w:r>
        <w:rPr/>
        <w:t>brecha</w:t>
      </w:r>
      <w:r>
        <w:rPr>
          <w:spacing w:val="-14"/>
        </w:rPr>
        <w:t> </w:t>
      </w:r>
      <w:r>
        <w:rPr/>
        <w:t>urbano-rural.</w:t>
      </w:r>
      <w:r>
        <w:rPr>
          <w:spacing w:val="-10"/>
        </w:rPr>
        <w:t> </w:t>
      </w:r>
      <w:r>
        <w:rPr/>
        <w:t>La</w:t>
      </w:r>
      <w:r>
        <w:rPr>
          <w:spacing w:val="-9"/>
        </w:rPr>
        <w:t> </w:t>
      </w:r>
      <w:r>
        <w:rPr/>
        <w:t>curva</w:t>
      </w:r>
      <w:r>
        <w:rPr>
          <w:spacing w:val="-11"/>
        </w:rPr>
        <w:t> </w:t>
      </w:r>
      <w:r>
        <w:rPr/>
        <w:t>rural</w:t>
      </w:r>
      <w:r>
        <w:rPr>
          <w:spacing w:val="-10"/>
        </w:rPr>
        <w:t> </w:t>
      </w:r>
      <w:r>
        <w:rPr/>
        <w:t>se</w:t>
      </w:r>
      <w:r>
        <w:rPr>
          <w:spacing w:val="-11"/>
        </w:rPr>
        <w:t> </w:t>
      </w:r>
      <w:r>
        <w:rPr/>
        <w:t>mantiene</w:t>
      </w:r>
      <w:r>
        <w:rPr>
          <w:spacing w:val="-9"/>
        </w:rPr>
        <w:t> </w:t>
      </w:r>
      <w:r>
        <w:rPr/>
        <w:t>durante</w:t>
      </w:r>
      <w:r>
        <w:rPr>
          <w:spacing w:val="-11"/>
        </w:rPr>
        <w:t> </w:t>
      </w:r>
      <w:r>
        <w:rPr/>
        <w:t>toda</w:t>
      </w:r>
      <w:r>
        <w:rPr>
          <w:spacing w:val="-9"/>
        </w:rPr>
        <w:t> </w:t>
      </w:r>
      <w:r>
        <w:rPr/>
        <w:t>la</w:t>
      </w:r>
      <w:r>
        <w:rPr>
          <w:spacing w:val="-9"/>
        </w:rPr>
        <w:t> </w:t>
      </w:r>
      <w:r>
        <w:rPr/>
        <w:t>serie</w:t>
      </w:r>
      <w:r>
        <w:rPr>
          <w:spacing w:val="-9"/>
        </w:rPr>
        <w:t> </w:t>
      </w:r>
      <w:r>
        <w:rPr/>
        <w:t>por encima</w:t>
      </w:r>
      <w:r>
        <w:rPr>
          <w:spacing w:val="-7"/>
        </w:rPr>
        <w:t> </w:t>
      </w:r>
      <w:r>
        <w:rPr/>
        <w:t>de</w:t>
      </w:r>
      <w:r>
        <w:rPr>
          <w:spacing w:val="-10"/>
        </w:rPr>
        <w:t> </w:t>
      </w:r>
      <w:r>
        <w:rPr/>
        <w:t>la</w:t>
      </w:r>
      <w:r>
        <w:rPr>
          <w:spacing w:val="-7"/>
        </w:rPr>
        <w:t> </w:t>
      </w:r>
      <w:r>
        <w:rPr/>
        <w:t>urbana.</w:t>
      </w:r>
      <w:r>
        <w:rPr>
          <w:spacing w:val="-6"/>
        </w:rPr>
        <w:t> </w:t>
      </w:r>
      <w:r>
        <w:rPr/>
        <w:t>En</w:t>
      </w:r>
      <w:r>
        <w:rPr>
          <w:spacing w:val="-12"/>
        </w:rPr>
        <w:t> </w:t>
      </w:r>
      <w:r>
        <w:rPr/>
        <w:t>2025,</w:t>
      </w:r>
      <w:r>
        <w:rPr>
          <w:spacing w:val="-6"/>
        </w:rPr>
        <w:t> </w:t>
      </w:r>
      <w:r>
        <w:rPr/>
        <w:t>la</w:t>
      </w:r>
      <w:r>
        <w:rPr>
          <w:spacing w:val="-7"/>
        </w:rPr>
        <w:t> </w:t>
      </w:r>
      <w:r>
        <w:rPr/>
        <w:t>incidencia</w:t>
      </w:r>
      <w:r>
        <w:rPr>
          <w:spacing w:val="-7"/>
        </w:rPr>
        <w:t> </w:t>
      </w:r>
      <w:r>
        <w:rPr/>
        <w:t>nacional</w:t>
      </w:r>
      <w:r>
        <w:rPr>
          <w:spacing w:val="-8"/>
        </w:rPr>
        <w:t> </w:t>
      </w:r>
      <w:r>
        <w:rPr/>
        <w:t>se</w:t>
      </w:r>
      <w:r>
        <w:rPr>
          <w:spacing w:val="-7"/>
        </w:rPr>
        <w:t> </w:t>
      </w:r>
      <w:r>
        <w:rPr/>
        <w:t>estima</w:t>
      </w:r>
      <w:r>
        <w:rPr>
          <w:spacing w:val="-10"/>
        </w:rPr>
        <w:t> </w:t>
      </w:r>
      <w:r>
        <w:rPr/>
        <w:t>en</w:t>
      </w:r>
      <w:r>
        <w:rPr>
          <w:spacing w:val="-8"/>
        </w:rPr>
        <w:t> </w:t>
      </w:r>
      <w:r>
        <w:rPr/>
        <w:t>9,87%;</w:t>
      </w:r>
      <w:r>
        <w:rPr>
          <w:spacing w:val="-6"/>
        </w:rPr>
        <w:t> </w:t>
      </w:r>
      <w:r>
        <w:rPr/>
        <w:t>la</w:t>
      </w:r>
      <w:r>
        <w:rPr>
          <w:spacing w:val="-7"/>
        </w:rPr>
        <w:t> </w:t>
      </w:r>
      <w:r>
        <w:rPr/>
        <w:t>zona</w:t>
      </w:r>
      <w:r>
        <w:rPr>
          <w:spacing w:val="-7"/>
        </w:rPr>
        <w:t> </w:t>
      </w:r>
      <w:r>
        <w:rPr/>
        <w:t>urbana se sitúa</w:t>
      </w:r>
      <w:r>
        <w:rPr>
          <w:spacing w:val="-2"/>
        </w:rPr>
        <w:t> </w:t>
      </w:r>
      <w:r>
        <w:rPr/>
        <w:t>alrededor</w:t>
      </w:r>
      <w:r>
        <w:rPr>
          <w:spacing w:val="-1"/>
        </w:rPr>
        <w:t> </w:t>
      </w:r>
      <w:r>
        <w:rPr/>
        <w:t>de 7,00% y</w:t>
      </w:r>
      <w:r>
        <w:rPr>
          <w:spacing w:val="-2"/>
        </w:rPr>
        <w:t> </w:t>
      </w:r>
      <w:r>
        <w:rPr/>
        <w:t>la rural</w:t>
      </w:r>
      <w:r>
        <w:rPr>
          <w:spacing w:val="-1"/>
        </w:rPr>
        <w:t> </w:t>
      </w:r>
      <w:r>
        <w:rPr/>
        <w:t>en</w:t>
      </w:r>
      <w:r>
        <w:rPr>
          <w:spacing w:val="-2"/>
        </w:rPr>
        <w:t> </w:t>
      </w:r>
      <w:r>
        <w:rPr/>
        <w:t>17,40%. El INEC indica que</w:t>
      </w:r>
      <w:r>
        <w:rPr>
          <w:spacing w:val="-2"/>
        </w:rPr>
        <w:t> </w:t>
      </w:r>
      <w:r>
        <w:rPr/>
        <w:t>el</w:t>
      </w:r>
      <w:r>
        <w:rPr>
          <w:spacing w:val="-1"/>
        </w:rPr>
        <w:t> </w:t>
      </w:r>
      <w:r>
        <w:rPr/>
        <w:t>cambio nacional respecto</w:t>
      </w:r>
      <w:r>
        <w:rPr>
          <w:spacing w:val="-6"/>
        </w:rPr>
        <w:t> </w:t>
      </w:r>
      <w:r>
        <w:rPr/>
        <w:t>de</w:t>
      </w:r>
      <w:r>
        <w:rPr>
          <w:spacing w:val="-4"/>
        </w:rPr>
        <w:t> </w:t>
      </w:r>
      <w:r>
        <w:rPr/>
        <w:t>2024</w:t>
      </w:r>
      <w:r>
        <w:rPr>
          <w:spacing w:val="-4"/>
        </w:rPr>
        <w:t> </w:t>
      </w:r>
      <w:r>
        <w:rPr/>
        <w:t>no</w:t>
      </w:r>
      <w:r>
        <w:rPr>
          <w:spacing w:val="-7"/>
        </w:rPr>
        <w:t> </w:t>
      </w:r>
      <w:r>
        <w:rPr/>
        <w:t>es</w:t>
      </w:r>
      <w:r>
        <w:rPr>
          <w:spacing w:val="-6"/>
        </w:rPr>
        <w:t> </w:t>
      </w:r>
      <w:r>
        <w:rPr/>
        <w:t>estadísticamente</w:t>
      </w:r>
      <w:r>
        <w:rPr>
          <w:spacing w:val="-4"/>
        </w:rPr>
        <w:t> </w:t>
      </w:r>
      <w:r>
        <w:rPr/>
        <w:t>significativo,</w:t>
      </w:r>
      <w:r>
        <w:rPr>
          <w:spacing w:val="-3"/>
        </w:rPr>
        <w:t> </w:t>
      </w:r>
      <w:r>
        <w:rPr/>
        <w:t>por</w:t>
      </w:r>
      <w:r>
        <w:rPr>
          <w:spacing w:val="-3"/>
        </w:rPr>
        <w:t> </w:t>
      </w:r>
      <w:r>
        <w:rPr/>
        <w:t>lo</w:t>
      </w:r>
      <w:r>
        <w:rPr>
          <w:spacing w:val="-4"/>
        </w:rPr>
        <w:t> </w:t>
      </w:r>
      <w:r>
        <w:rPr/>
        <w:t>que</w:t>
      </w:r>
      <w:r>
        <w:rPr>
          <w:spacing w:val="-4"/>
        </w:rPr>
        <w:t> </w:t>
      </w:r>
      <w:r>
        <w:rPr/>
        <w:t>el</w:t>
      </w:r>
      <w:r>
        <w:rPr>
          <w:spacing w:val="-7"/>
        </w:rPr>
        <w:t> </w:t>
      </w:r>
      <w:r>
        <w:rPr/>
        <w:t>resultado</w:t>
      </w:r>
      <w:r>
        <w:rPr>
          <w:spacing w:val="-4"/>
        </w:rPr>
        <w:t> </w:t>
      </w:r>
      <w:r>
        <w:rPr/>
        <w:t>anual</w:t>
      </w:r>
      <w:r>
        <w:rPr>
          <w:spacing w:val="-5"/>
        </w:rPr>
        <w:t> </w:t>
      </w:r>
      <w:r>
        <w:rPr/>
        <w:t>debe interpretarse con cautela, sin perder de vista la tendencia descendente de largo plazo.</w:t>
      </w:r>
    </w:p>
    <w:p>
      <w:pPr>
        <w:pStyle w:val="BodyText"/>
        <w:spacing w:before="1"/>
      </w:pPr>
    </w:p>
    <w:p>
      <w:pPr>
        <w:pStyle w:val="BodyText"/>
        <w:ind w:left="1625" w:right="1606"/>
        <w:jc w:val="both"/>
      </w:pPr>
      <w:r>
        <w:rPr/>
        <w:t>En síntesis, el análisis del IPM en Costa Rica entre 2010 y 2025 muestra una reducción clara de largo plazo de la pobreza multidimensional. En 2025, la incidencia nacional se estima en 9,87%; aunque la diferencia respecto de 2024 no es estadísticamente significativa, el nivel se mantiene muy por debajo del observado al inicio de la serie. Persisten brechas territoriales y grupos con acumulación de privaciones, lo que subraya la necesidad de mantener políticas focalizadas, sostenibles y con enfoque territorial.</w:t>
      </w:r>
    </w:p>
    <w:p>
      <w:pPr>
        <w:pStyle w:val="BodyText"/>
        <w:spacing w:before="251"/>
        <w:ind w:left="1625" w:right="1602"/>
        <w:jc w:val="both"/>
      </w:pPr>
      <w:r>
        <w:rPr/>
        <w:t>Al comparar los distintos enfoques de medición de la pobreza en Costa Rica entre 2010 y 2025, la ilustración 5 presenta la incidencia de pobreza por Línea de Pobreza (LP), la incidencia</w:t>
      </w:r>
      <w:r>
        <w:rPr>
          <w:spacing w:val="-3"/>
        </w:rPr>
        <w:t> </w:t>
      </w:r>
      <w:r>
        <w:rPr/>
        <w:t>de</w:t>
      </w:r>
      <w:r>
        <w:rPr>
          <w:spacing w:val="-3"/>
        </w:rPr>
        <w:t> </w:t>
      </w:r>
      <w:r>
        <w:rPr/>
        <w:t>pobreza</w:t>
      </w:r>
      <w:r>
        <w:rPr>
          <w:spacing w:val="-5"/>
        </w:rPr>
        <w:t> </w:t>
      </w:r>
      <w:r>
        <w:rPr/>
        <w:t>multidimensional</w:t>
      </w:r>
      <w:r>
        <w:rPr>
          <w:spacing w:val="-4"/>
        </w:rPr>
        <w:t> </w:t>
      </w:r>
      <w:r>
        <w:rPr/>
        <w:t>(IPM)</w:t>
      </w:r>
      <w:r>
        <w:rPr>
          <w:spacing w:val="-4"/>
        </w:rPr>
        <w:t> </w:t>
      </w:r>
      <w:r>
        <w:rPr/>
        <w:t>y,</w:t>
      </w:r>
      <w:r>
        <w:rPr>
          <w:spacing w:val="-6"/>
        </w:rPr>
        <w:t> </w:t>
      </w:r>
      <w:r>
        <w:rPr/>
        <w:t>como</w:t>
      </w:r>
      <w:r>
        <w:rPr>
          <w:spacing w:val="-5"/>
        </w:rPr>
        <w:t> </w:t>
      </w:r>
      <w:r>
        <w:rPr/>
        <w:t>referencia</w:t>
      </w:r>
      <w:r>
        <w:rPr>
          <w:spacing w:val="-3"/>
        </w:rPr>
        <w:t> </w:t>
      </w:r>
      <w:r>
        <w:rPr/>
        <w:t>histórica,</w:t>
      </w:r>
      <w:r>
        <w:rPr>
          <w:spacing w:val="-2"/>
        </w:rPr>
        <w:t> </w:t>
      </w:r>
      <w:r>
        <w:rPr/>
        <w:t>la</w:t>
      </w:r>
      <w:r>
        <w:rPr>
          <w:spacing w:val="-3"/>
        </w:rPr>
        <w:t> </w:t>
      </w:r>
      <w:r>
        <w:rPr/>
        <w:t>suma</w:t>
      </w:r>
      <w:r>
        <w:rPr>
          <w:spacing w:val="-3"/>
        </w:rPr>
        <w:t> </w:t>
      </w:r>
      <w:r>
        <w:rPr/>
        <w:t>bruta de ambas incidencias. Esta suma no representa la proporción de hogares afectados por al menos uno de los dos métodos, porque existe traslape entre ambos universos y, por tanto, genera doble conteo.</w:t>
      </w:r>
    </w:p>
    <w:p>
      <w:pPr>
        <w:pStyle w:val="BodyText"/>
        <w:spacing w:before="1"/>
      </w:pPr>
    </w:p>
    <w:p>
      <w:pPr>
        <w:pStyle w:val="BodyText"/>
        <w:ind w:left="1625" w:right="1605"/>
        <w:jc w:val="both"/>
      </w:pPr>
      <w:r>
        <w:rPr/>
        <w:t>La</w:t>
      </w:r>
      <w:r>
        <w:rPr>
          <w:spacing w:val="-8"/>
        </w:rPr>
        <w:t> </w:t>
      </w:r>
      <w:r>
        <w:rPr/>
        <w:t>pobreza</w:t>
      </w:r>
      <w:r>
        <w:rPr>
          <w:spacing w:val="-7"/>
        </w:rPr>
        <w:t> </w:t>
      </w:r>
      <w:r>
        <w:rPr/>
        <w:t>por</w:t>
      </w:r>
      <w:r>
        <w:rPr>
          <w:spacing w:val="-6"/>
        </w:rPr>
        <w:t> </w:t>
      </w:r>
      <w:r>
        <w:rPr/>
        <w:t>ingresos</w:t>
      </w:r>
      <w:r>
        <w:rPr>
          <w:spacing w:val="-10"/>
        </w:rPr>
        <w:t> </w:t>
      </w:r>
      <w:r>
        <w:rPr/>
        <w:t>mostró</w:t>
      </w:r>
      <w:r>
        <w:rPr>
          <w:spacing w:val="-10"/>
        </w:rPr>
        <w:t> </w:t>
      </w:r>
      <w:r>
        <w:rPr/>
        <w:t>fluctuaciones</w:t>
      </w:r>
      <w:r>
        <w:rPr>
          <w:spacing w:val="-10"/>
        </w:rPr>
        <w:t> </w:t>
      </w:r>
      <w:r>
        <w:rPr/>
        <w:t>más</w:t>
      </w:r>
      <w:r>
        <w:rPr>
          <w:spacing w:val="-7"/>
        </w:rPr>
        <w:t> </w:t>
      </w:r>
      <w:r>
        <w:rPr/>
        <w:t>marcadas</w:t>
      </w:r>
      <w:r>
        <w:rPr>
          <w:spacing w:val="-7"/>
        </w:rPr>
        <w:t> </w:t>
      </w:r>
      <w:r>
        <w:rPr/>
        <w:t>ante</w:t>
      </w:r>
      <w:r>
        <w:rPr>
          <w:spacing w:val="-7"/>
        </w:rPr>
        <w:t> </w:t>
      </w:r>
      <w:r>
        <w:rPr/>
        <w:t>los</w:t>
      </w:r>
      <w:r>
        <w:rPr>
          <w:spacing w:val="-7"/>
        </w:rPr>
        <w:t> </w:t>
      </w:r>
      <w:r>
        <w:rPr/>
        <w:t>ciclos</w:t>
      </w:r>
      <w:r>
        <w:rPr>
          <w:spacing w:val="-7"/>
        </w:rPr>
        <w:t> </w:t>
      </w:r>
      <w:r>
        <w:rPr/>
        <w:t>económicos. Tras alcanzar 26,15% de los hogares en 2020, descendió de manera progresiva hasta 17,95%</w:t>
      </w:r>
      <w:r>
        <w:rPr>
          <w:spacing w:val="33"/>
        </w:rPr>
        <w:t> </w:t>
      </w:r>
      <w:r>
        <w:rPr/>
        <w:t>en</w:t>
      </w:r>
      <w:r>
        <w:rPr>
          <w:spacing w:val="35"/>
        </w:rPr>
        <w:t> </w:t>
      </w:r>
      <w:r>
        <w:rPr/>
        <w:t>2024</w:t>
      </w:r>
      <w:r>
        <w:rPr>
          <w:spacing w:val="35"/>
        </w:rPr>
        <w:t> </w:t>
      </w:r>
      <w:r>
        <w:rPr/>
        <w:t>y</w:t>
      </w:r>
      <w:r>
        <w:rPr>
          <w:spacing w:val="33"/>
        </w:rPr>
        <w:t> </w:t>
      </w:r>
      <w:r>
        <w:rPr/>
        <w:t>15,15%</w:t>
      </w:r>
      <w:r>
        <w:rPr>
          <w:spacing w:val="36"/>
        </w:rPr>
        <w:t> </w:t>
      </w:r>
      <w:r>
        <w:rPr/>
        <w:t>en</w:t>
      </w:r>
      <w:r>
        <w:rPr>
          <w:spacing w:val="35"/>
        </w:rPr>
        <w:t> </w:t>
      </w:r>
      <w:r>
        <w:rPr/>
        <w:t>2025.</w:t>
      </w:r>
      <w:r>
        <w:rPr>
          <w:spacing w:val="36"/>
        </w:rPr>
        <w:t> </w:t>
      </w:r>
      <w:r>
        <w:rPr/>
        <w:t>En</w:t>
      </w:r>
      <w:r>
        <w:rPr>
          <w:spacing w:val="33"/>
        </w:rPr>
        <w:t> </w:t>
      </w:r>
      <w:r>
        <w:rPr/>
        <w:t>términos</w:t>
      </w:r>
      <w:r>
        <w:rPr>
          <w:spacing w:val="36"/>
        </w:rPr>
        <w:t> </w:t>
      </w:r>
      <w:r>
        <w:rPr/>
        <w:t>absolutos,</w:t>
      </w:r>
      <w:r>
        <w:rPr>
          <w:spacing w:val="36"/>
        </w:rPr>
        <w:t> </w:t>
      </w:r>
      <w:r>
        <w:rPr/>
        <w:t>la</w:t>
      </w:r>
      <w:r>
        <w:rPr>
          <w:spacing w:val="35"/>
        </w:rPr>
        <w:t> </w:t>
      </w:r>
      <w:r>
        <w:rPr/>
        <w:t>ENAHO</w:t>
      </w:r>
      <w:r>
        <w:rPr>
          <w:spacing w:val="37"/>
        </w:rPr>
        <w:t> </w:t>
      </w:r>
      <w:r>
        <w:rPr/>
        <w:t>2025</w:t>
      </w:r>
      <w:r>
        <w:rPr>
          <w:spacing w:val="35"/>
        </w:rPr>
        <w:t> </w:t>
      </w:r>
      <w:r>
        <w:rPr>
          <w:spacing w:val="-2"/>
        </w:rPr>
        <w:t>estima</w:t>
      </w:r>
    </w:p>
    <w:p>
      <w:pPr>
        <w:pStyle w:val="BodyText"/>
        <w:spacing w:before="2"/>
        <w:ind w:left="1625" w:right="1602"/>
        <w:jc w:val="both"/>
      </w:pPr>
      <w:r>
        <w:rPr>
          <w:spacing w:val="-2"/>
        </w:rPr>
        <w:t>286.365</w:t>
      </w:r>
      <w:r>
        <w:rPr>
          <w:spacing w:val="-5"/>
        </w:rPr>
        <w:t> </w:t>
      </w:r>
      <w:r>
        <w:rPr>
          <w:spacing w:val="-2"/>
        </w:rPr>
        <w:t>hogares</w:t>
      </w:r>
      <w:r>
        <w:rPr>
          <w:spacing w:val="-9"/>
        </w:rPr>
        <w:t> </w:t>
      </w:r>
      <w:r>
        <w:rPr>
          <w:spacing w:val="-2"/>
        </w:rPr>
        <w:t>en</w:t>
      </w:r>
      <w:r>
        <w:rPr>
          <w:spacing w:val="-9"/>
        </w:rPr>
        <w:t> </w:t>
      </w:r>
      <w:r>
        <w:rPr>
          <w:spacing w:val="-2"/>
        </w:rPr>
        <w:t>pobreza</w:t>
      </w:r>
      <w:r>
        <w:rPr>
          <w:spacing w:val="-5"/>
        </w:rPr>
        <w:t> </w:t>
      </w:r>
      <w:r>
        <w:rPr>
          <w:spacing w:val="-2"/>
        </w:rPr>
        <w:t>por</w:t>
      </w:r>
      <w:r>
        <w:rPr>
          <w:spacing w:val="-4"/>
        </w:rPr>
        <w:t> </w:t>
      </w:r>
      <w:r>
        <w:rPr>
          <w:spacing w:val="-2"/>
        </w:rPr>
        <w:t>ingresos,</w:t>
      </w:r>
      <w:r>
        <w:rPr>
          <w:spacing w:val="-6"/>
        </w:rPr>
        <w:t> </w:t>
      </w:r>
      <w:r>
        <w:rPr>
          <w:spacing w:val="-2"/>
        </w:rPr>
        <w:t>de</w:t>
      </w:r>
      <w:r>
        <w:rPr>
          <w:spacing w:val="-9"/>
        </w:rPr>
        <w:t> </w:t>
      </w:r>
      <w:r>
        <w:rPr>
          <w:spacing w:val="-2"/>
        </w:rPr>
        <w:t>los</w:t>
      </w:r>
      <w:r>
        <w:rPr>
          <w:spacing w:val="-9"/>
        </w:rPr>
        <w:t> </w:t>
      </w:r>
      <w:r>
        <w:rPr>
          <w:spacing w:val="-2"/>
        </w:rPr>
        <w:t>cuales</w:t>
      </w:r>
      <w:r>
        <w:rPr>
          <w:spacing w:val="-5"/>
        </w:rPr>
        <w:t> </w:t>
      </w:r>
      <w:r>
        <w:rPr>
          <w:spacing w:val="-2"/>
        </w:rPr>
        <w:t>71.336</w:t>
      </w:r>
      <w:r>
        <w:rPr>
          <w:spacing w:val="-9"/>
        </w:rPr>
        <w:t> </w:t>
      </w:r>
      <w:r>
        <w:rPr>
          <w:spacing w:val="-2"/>
        </w:rPr>
        <w:t>se</w:t>
      </w:r>
      <w:r>
        <w:rPr>
          <w:spacing w:val="-9"/>
        </w:rPr>
        <w:t> </w:t>
      </w:r>
      <w:r>
        <w:rPr>
          <w:spacing w:val="-2"/>
        </w:rPr>
        <w:t>encuentran</w:t>
      </w:r>
      <w:r>
        <w:rPr>
          <w:spacing w:val="-5"/>
        </w:rPr>
        <w:t> </w:t>
      </w:r>
      <w:r>
        <w:rPr>
          <w:spacing w:val="-2"/>
        </w:rPr>
        <w:t>en</w:t>
      </w:r>
      <w:r>
        <w:rPr>
          <w:spacing w:val="-9"/>
        </w:rPr>
        <w:t> </w:t>
      </w:r>
      <w:r>
        <w:rPr>
          <w:spacing w:val="-2"/>
        </w:rPr>
        <w:t>pobreza extrema.</w:t>
      </w:r>
    </w:p>
    <w:p>
      <w:pPr>
        <w:pStyle w:val="BodyText"/>
        <w:spacing w:before="252"/>
        <w:ind w:left="1625" w:right="1600"/>
        <w:jc w:val="both"/>
      </w:pPr>
      <w:r>
        <w:rPr/>
        <w:t>Por su parte, la pobreza multidimensional mostró una trayectoria más estable y descendente en el largo plazo. Desde 25,87% en 2010, la incidencia pasó a 10,10% en 2024</w:t>
      </w:r>
      <w:r>
        <w:rPr>
          <w:spacing w:val="-16"/>
        </w:rPr>
        <w:t> </w:t>
      </w:r>
      <w:r>
        <w:rPr/>
        <w:t>y</w:t>
      </w:r>
      <w:r>
        <w:rPr>
          <w:spacing w:val="-15"/>
        </w:rPr>
        <w:t> </w:t>
      </w:r>
      <w:r>
        <w:rPr/>
        <w:t>9,87%</w:t>
      </w:r>
      <w:r>
        <w:rPr>
          <w:spacing w:val="-15"/>
        </w:rPr>
        <w:t> </w:t>
      </w:r>
      <w:r>
        <w:rPr/>
        <w:t>en</w:t>
      </w:r>
      <w:r>
        <w:rPr>
          <w:spacing w:val="-16"/>
        </w:rPr>
        <w:t> </w:t>
      </w:r>
      <w:r>
        <w:rPr/>
        <w:t>2025.</w:t>
      </w:r>
      <w:r>
        <w:rPr>
          <w:spacing w:val="-15"/>
        </w:rPr>
        <w:t> </w:t>
      </w:r>
      <w:r>
        <w:rPr/>
        <w:t>El</w:t>
      </w:r>
      <w:r>
        <w:rPr>
          <w:spacing w:val="-15"/>
        </w:rPr>
        <w:t> </w:t>
      </w:r>
      <w:r>
        <w:rPr/>
        <w:t>INEC</w:t>
      </w:r>
      <w:r>
        <w:rPr>
          <w:spacing w:val="-15"/>
        </w:rPr>
        <w:t> </w:t>
      </w:r>
      <w:r>
        <w:rPr/>
        <w:t>señala</w:t>
      </w:r>
      <w:r>
        <w:rPr>
          <w:spacing w:val="-16"/>
        </w:rPr>
        <w:t> </w:t>
      </w:r>
      <w:r>
        <w:rPr/>
        <w:t>que</w:t>
      </w:r>
      <w:r>
        <w:rPr>
          <w:spacing w:val="-15"/>
        </w:rPr>
        <w:t> </w:t>
      </w:r>
      <w:r>
        <w:rPr/>
        <w:t>la</w:t>
      </w:r>
      <w:r>
        <w:rPr>
          <w:spacing w:val="-15"/>
        </w:rPr>
        <w:t> </w:t>
      </w:r>
      <w:r>
        <w:rPr/>
        <w:t>variación</w:t>
      </w:r>
      <w:r>
        <w:rPr>
          <w:spacing w:val="-16"/>
        </w:rPr>
        <w:t> </w:t>
      </w:r>
      <w:r>
        <w:rPr/>
        <w:t>2024-2025</w:t>
      </w:r>
      <w:r>
        <w:rPr>
          <w:spacing w:val="-15"/>
        </w:rPr>
        <w:t> </w:t>
      </w:r>
      <w:r>
        <w:rPr/>
        <w:t>no</w:t>
      </w:r>
      <w:r>
        <w:rPr>
          <w:spacing w:val="-15"/>
        </w:rPr>
        <w:t> </w:t>
      </w:r>
      <w:r>
        <w:rPr/>
        <w:t>es</w:t>
      </w:r>
      <w:r>
        <w:rPr>
          <w:spacing w:val="-15"/>
        </w:rPr>
        <w:t> </w:t>
      </w:r>
      <w:r>
        <w:rPr/>
        <w:t>estadísticamente significativa.</w:t>
      </w:r>
      <w:r>
        <w:rPr>
          <w:spacing w:val="-4"/>
        </w:rPr>
        <w:t> </w:t>
      </w:r>
      <w:r>
        <w:rPr/>
        <w:t>Aun</w:t>
      </w:r>
      <w:r>
        <w:rPr>
          <w:spacing w:val="-7"/>
        </w:rPr>
        <w:t> </w:t>
      </w:r>
      <w:r>
        <w:rPr/>
        <w:t>así,</w:t>
      </w:r>
      <w:r>
        <w:rPr>
          <w:spacing w:val="-5"/>
        </w:rPr>
        <w:t> </w:t>
      </w:r>
      <w:r>
        <w:rPr/>
        <w:t>la</w:t>
      </w:r>
      <w:r>
        <w:rPr>
          <w:spacing w:val="-6"/>
        </w:rPr>
        <w:t> </w:t>
      </w:r>
      <w:r>
        <w:rPr/>
        <w:t>trayectoria</w:t>
      </w:r>
      <w:r>
        <w:rPr>
          <w:spacing w:val="-4"/>
        </w:rPr>
        <w:t> </w:t>
      </w:r>
      <w:r>
        <w:rPr/>
        <w:t>de</w:t>
      </w:r>
      <w:r>
        <w:rPr>
          <w:spacing w:val="-7"/>
        </w:rPr>
        <w:t> </w:t>
      </w:r>
      <w:r>
        <w:rPr/>
        <w:t>la</w:t>
      </w:r>
      <w:r>
        <w:rPr>
          <w:spacing w:val="-6"/>
        </w:rPr>
        <w:t> </w:t>
      </w:r>
      <w:r>
        <w:rPr/>
        <w:t>serie</w:t>
      </w:r>
      <w:r>
        <w:rPr>
          <w:spacing w:val="-7"/>
        </w:rPr>
        <w:t> </w:t>
      </w:r>
      <w:r>
        <w:rPr/>
        <w:t>muestra</w:t>
      </w:r>
      <w:r>
        <w:rPr>
          <w:spacing w:val="-6"/>
        </w:rPr>
        <w:t> </w:t>
      </w:r>
      <w:r>
        <w:rPr/>
        <w:t>avances</w:t>
      </w:r>
      <w:r>
        <w:rPr>
          <w:spacing w:val="-6"/>
        </w:rPr>
        <w:t> </w:t>
      </w:r>
      <w:r>
        <w:rPr/>
        <w:t>acumulados</w:t>
      </w:r>
      <w:r>
        <w:rPr>
          <w:spacing w:val="-4"/>
        </w:rPr>
        <w:t> </w:t>
      </w:r>
      <w:r>
        <w:rPr/>
        <w:t>en</w:t>
      </w:r>
      <w:r>
        <w:rPr>
          <w:spacing w:val="-7"/>
        </w:rPr>
        <w:t> </w:t>
      </w:r>
      <w:r>
        <w:rPr/>
        <w:t>múltiples dimensiones del bienestar, aunque persisten privaciones que no son captadas únicamente mediante el ingreso corriente del hogar.</w:t>
      </w:r>
    </w:p>
    <w:p>
      <w:pPr>
        <w:pStyle w:val="BodyText"/>
        <w:spacing w:before="1"/>
      </w:pPr>
    </w:p>
    <w:p>
      <w:pPr>
        <w:pStyle w:val="BodyText"/>
        <w:ind w:left="1625" w:right="1605"/>
        <w:jc w:val="both"/>
      </w:pPr>
      <w:r>
        <w:rPr/>
        <w:t>La lectura combinada de ambos enfoques permite dimensionar con mayor precisión el fenómeno. En 2025, 73.027 hogares presentan</w:t>
      </w:r>
      <w:r>
        <w:rPr>
          <w:spacing w:val="-3"/>
        </w:rPr>
        <w:t> </w:t>
      </w:r>
      <w:r>
        <w:rPr/>
        <w:t>simultáneamente pobreza</w:t>
      </w:r>
      <w:r>
        <w:rPr>
          <w:spacing w:val="-3"/>
        </w:rPr>
        <w:t> </w:t>
      </w:r>
      <w:r>
        <w:rPr/>
        <w:t>por LP</w:t>
      </w:r>
      <w:r>
        <w:rPr>
          <w:spacing w:val="-1"/>
        </w:rPr>
        <w:t> </w:t>
      </w:r>
      <w:r>
        <w:rPr/>
        <w:t>e IPM. Por ello, aunque la suma de las incidencias individuales alcanza 25,03%, la unión sin doble conteo corresponde a 399.879 hogares, equivalentes al 21,16% del total de hogares. Este último valor constituye la medida correcta de hogares afectados por al menos uno de los dos métodos. Para la serie histórica, la intersección anual entre LP e IPM permite calcular esta unión sin doble</w:t>
      </w:r>
    </w:p>
    <w:p>
      <w:pPr>
        <w:pStyle w:val="BodyText"/>
        <w:spacing w:line="251" w:lineRule="exact"/>
        <w:ind w:left="1625"/>
        <w:jc w:val="both"/>
      </w:pPr>
      <w:r>
        <w:rPr/>
        <w:t>conteo</w:t>
      </w:r>
      <w:r>
        <w:rPr>
          <w:spacing w:val="-3"/>
        </w:rPr>
        <w:t> </w:t>
      </w:r>
      <w:r>
        <w:rPr/>
        <w:t>a</w:t>
      </w:r>
      <w:r>
        <w:rPr>
          <w:spacing w:val="-5"/>
        </w:rPr>
        <w:t> </w:t>
      </w:r>
      <w:r>
        <w:rPr/>
        <w:t>partir</w:t>
      </w:r>
      <w:r>
        <w:rPr>
          <w:spacing w:val="-4"/>
        </w:rPr>
        <w:t> </w:t>
      </w:r>
      <w:r>
        <w:rPr/>
        <w:t>de</w:t>
      </w:r>
      <w:r>
        <w:rPr>
          <w:spacing w:val="-2"/>
        </w:rPr>
        <w:t> </w:t>
      </w:r>
      <w:r>
        <w:rPr>
          <w:spacing w:val="-4"/>
        </w:rPr>
        <w:t>2015.</w:t>
      </w:r>
    </w:p>
    <w:p>
      <w:pPr>
        <w:pStyle w:val="BodyText"/>
        <w:spacing w:before="1"/>
        <w:ind w:left="1625" w:right="1600"/>
        <w:jc w:val="both"/>
      </w:pPr>
      <w:r>
        <w:rPr/>
        <w:t>La comparación confirma que los métodos monetario y multidimensional identifican universos</w:t>
      </w:r>
      <w:r>
        <w:rPr>
          <w:spacing w:val="-5"/>
        </w:rPr>
        <w:t> </w:t>
      </w:r>
      <w:r>
        <w:rPr/>
        <w:t>parcialmente</w:t>
      </w:r>
      <w:r>
        <w:rPr>
          <w:spacing w:val="-5"/>
        </w:rPr>
        <w:t> </w:t>
      </w:r>
      <w:r>
        <w:rPr/>
        <w:t>distintos.</w:t>
      </w:r>
      <w:r>
        <w:rPr>
          <w:spacing w:val="-3"/>
        </w:rPr>
        <w:t> </w:t>
      </w:r>
      <w:r>
        <w:rPr/>
        <w:t>La</w:t>
      </w:r>
      <w:r>
        <w:rPr>
          <w:spacing w:val="-5"/>
        </w:rPr>
        <w:t> </w:t>
      </w:r>
      <w:r>
        <w:rPr/>
        <w:t>LP</w:t>
      </w:r>
      <w:r>
        <w:rPr>
          <w:spacing w:val="-6"/>
        </w:rPr>
        <w:t> </w:t>
      </w:r>
      <w:r>
        <w:rPr/>
        <w:t>permite</w:t>
      </w:r>
      <w:r>
        <w:rPr>
          <w:spacing w:val="-7"/>
        </w:rPr>
        <w:t> </w:t>
      </w:r>
      <w:r>
        <w:rPr/>
        <w:t>medir</w:t>
      </w:r>
      <w:r>
        <w:rPr>
          <w:spacing w:val="-2"/>
        </w:rPr>
        <w:t> </w:t>
      </w:r>
      <w:r>
        <w:rPr/>
        <w:t>insuficiencia</w:t>
      </w:r>
      <w:r>
        <w:rPr>
          <w:spacing w:val="-5"/>
        </w:rPr>
        <w:t> </w:t>
      </w:r>
      <w:r>
        <w:rPr/>
        <w:t>de</w:t>
      </w:r>
      <w:r>
        <w:rPr>
          <w:spacing w:val="-5"/>
        </w:rPr>
        <w:t> </w:t>
      </w:r>
      <w:r>
        <w:rPr/>
        <w:t>ingresos,</w:t>
      </w:r>
      <w:r>
        <w:rPr>
          <w:spacing w:val="-4"/>
        </w:rPr>
        <w:t> </w:t>
      </w:r>
      <w:r>
        <w:rPr/>
        <w:t>mientras el IPM identifica privaciones simultáneas en dimensiones esenciales del bienestar. Por ello, ambas mediciones deben utilizarse de forma complementaria para orientar la focalización, la protección social y las estrategias de movilidad social.</w:t>
      </w:r>
    </w:p>
    <w:p>
      <w:pPr>
        <w:pStyle w:val="BodyText"/>
        <w:spacing w:after="0"/>
        <w:jc w:val="both"/>
        <w:sectPr>
          <w:pgSz w:w="12240" w:h="15840"/>
          <w:pgMar w:header="0" w:footer="1576" w:top="1000" w:bottom="1760" w:left="360" w:right="0"/>
        </w:sectPr>
      </w:pPr>
    </w:p>
    <w:p>
      <w:pPr>
        <w:pStyle w:val="Heading5"/>
        <w:spacing w:before="77"/>
        <w:ind w:left="1460" w:right="1305"/>
        <w:jc w:val="center"/>
      </w:pPr>
      <w:bookmarkStart w:name="_bookmark26" w:id="27"/>
      <w:bookmarkEnd w:id="27"/>
      <w:r>
        <w:rPr>
          <w:b w:val="0"/>
        </w:rPr>
      </w:r>
      <w:r>
        <w:rPr/>
        <w:t>Gráfico</w:t>
      </w:r>
      <w:r>
        <w:rPr>
          <w:spacing w:val="-5"/>
        </w:rPr>
        <w:t> </w:t>
      </w:r>
      <w:r>
        <w:rPr/>
        <w:t>8:</w:t>
      </w:r>
      <w:r>
        <w:rPr>
          <w:spacing w:val="-4"/>
        </w:rPr>
        <w:t> </w:t>
      </w:r>
      <w:r>
        <w:rPr/>
        <w:t>Costa</w:t>
      </w:r>
      <w:r>
        <w:rPr>
          <w:spacing w:val="-3"/>
        </w:rPr>
        <w:t> </w:t>
      </w:r>
      <w:r>
        <w:rPr/>
        <w:t>Rica:</w:t>
      </w:r>
      <w:r>
        <w:rPr>
          <w:spacing w:val="-4"/>
        </w:rPr>
        <w:t> </w:t>
      </w:r>
      <w:r>
        <w:rPr/>
        <w:t>Incidencia</w:t>
      </w:r>
      <w:r>
        <w:rPr>
          <w:spacing w:val="-5"/>
        </w:rPr>
        <w:t> </w:t>
      </w:r>
      <w:r>
        <w:rPr/>
        <w:t>de</w:t>
      </w:r>
      <w:r>
        <w:rPr>
          <w:spacing w:val="-3"/>
        </w:rPr>
        <w:t> </w:t>
      </w:r>
      <w:r>
        <w:rPr/>
        <w:t>pobreza</w:t>
      </w:r>
      <w:r>
        <w:rPr>
          <w:spacing w:val="-3"/>
        </w:rPr>
        <w:t> </w:t>
      </w:r>
      <w:r>
        <w:rPr/>
        <w:t>de</w:t>
      </w:r>
      <w:r>
        <w:rPr>
          <w:spacing w:val="-3"/>
        </w:rPr>
        <w:t> </w:t>
      </w:r>
      <w:r>
        <w:rPr/>
        <w:t>hogares</w:t>
      </w:r>
      <w:r>
        <w:rPr>
          <w:spacing w:val="-3"/>
        </w:rPr>
        <w:t> </w:t>
      </w:r>
      <w:r>
        <w:rPr/>
        <w:t>por</w:t>
      </w:r>
      <w:r>
        <w:rPr>
          <w:spacing w:val="-2"/>
        </w:rPr>
        <w:t> </w:t>
      </w:r>
      <w:r>
        <w:rPr/>
        <w:t>Línea</w:t>
      </w:r>
      <w:r>
        <w:rPr>
          <w:spacing w:val="-3"/>
        </w:rPr>
        <w:t> </w:t>
      </w:r>
      <w:r>
        <w:rPr/>
        <w:t>de</w:t>
      </w:r>
      <w:r>
        <w:rPr>
          <w:spacing w:val="-5"/>
        </w:rPr>
        <w:t> </w:t>
      </w:r>
      <w:r>
        <w:rPr/>
        <w:t>Pobreza</w:t>
      </w:r>
      <w:r>
        <w:rPr>
          <w:spacing w:val="-5"/>
        </w:rPr>
        <w:t> </w:t>
      </w:r>
      <w:r>
        <w:rPr/>
        <w:t>(LP), Índice de Pobreza Multidimensional (IPM), suma de incidencias y unión sin doble conteo, 2010-2025</w:t>
      </w:r>
    </w:p>
    <w:p>
      <w:pPr>
        <w:spacing w:line="240" w:lineRule="auto"/>
        <w:ind w:left="1625" w:right="0" w:firstLine="0"/>
        <w:rPr>
          <w:sz w:val="20"/>
        </w:rPr>
      </w:pPr>
      <w:r>
        <w:rPr>
          <w:sz w:val="20"/>
        </w:rPr>
        <w:drawing>
          <wp:inline distT="0" distB="0" distL="0" distR="0">
            <wp:extent cx="6145847" cy="3414712"/>
            <wp:effectExtent l="0" t="0" r="0" b="0"/>
            <wp:docPr id="68" name="Image 68"/>
            <wp:cNvGraphicFramePr>
              <a:graphicFrameLocks/>
            </wp:cNvGraphicFramePr>
            <a:graphic>
              <a:graphicData uri="http://schemas.openxmlformats.org/drawingml/2006/picture">
                <pic:pic>
                  <pic:nvPicPr>
                    <pic:cNvPr id="68" name="Image 68"/>
                    <pic:cNvPicPr/>
                  </pic:nvPicPr>
                  <pic:blipFill>
                    <a:blip r:embed="rId39" cstate="print"/>
                    <a:stretch>
                      <a:fillRect/>
                    </a:stretch>
                  </pic:blipFill>
                  <pic:spPr>
                    <a:xfrm>
                      <a:off x="0" y="0"/>
                      <a:ext cx="6145847" cy="3414712"/>
                    </a:xfrm>
                    <a:prstGeom prst="rect">
                      <a:avLst/>
                    </a:prstGeom>
                  </pic:spPr>
                </pic:pic>
              </a:graphicData>
            </a:graphic>
          </wp:inline>
        </w:drawing>
      </w:r>
      <w:r>
        <w:rPr>
          <w:sz w:val="20"/>
        </w:rPr>
      </w:r>
    </w:p>
    <w:p>
      <w:pPr>
        <w:spacing w:before="243"/>
        <w:ind w:left="1625" w:right="1601" w:firstLine="0"/>
        <w:jc w:val="both"/>
        <w:rPr>
          <w:sz w:val="18"/>
        </w:rPr>
      </w:pPr>
      <w:r>
        <w:rPr>
          <w:sz w:val="18"/>
        </w:rPr>
        <w:t>Nota:</w:t>
      </w:r>
      <w:r>
        <w:rPr>
          <w:spacing w:val="-6"/>
          <w:sz w:val="18"/>
        </w:rPr>
        <w:t> </w:t>
      </w:r>
      <w:r>
        <w:rPr>
          <w:sz w:val="18"/>
        </w:rPr>
        <w:t>La</w:t>
      </w:r>
      <w:r>
        <w:rPr>
          <w:spacing w:val="-5"/>
          <w:sz w:val="18"/>
        </w:rPr>
        <w:t> </w:t>
      </w:r>
      <w:r>
        <w:rPr>
          <w:sz w:val="18"/>
        </w:rPr>
        <w:t>línea</w:t>
      </w:r>
      <w:r>
        <w:rPr>
          <w:spacing w:val="-5"/>
          <w:sz w:val="18"/>
        </w:rPr>
        <w:t> </w:t>
      </w:r>
      <w:r>
        <w:rPr>
          <w:sz w:val="18"/>
        </w:rPr>
        <w:t>naranja</w:t>
      </w:r>
      <w:r>
        <w:rPr>
          <w:spacing w:val="-5"/>
          <w:sz w:val="18"/>
        </w:rPr>
        <w:t> </w:t>
      </w:r>
      <w:r>
        <w:rPr>
          <w:sz w:val="18"/>
        </w:rPr>
        <w:t>corresponde</w:t>
      </w:r>
      <w:r>
        <w:rPr>
          <w:spacing w:val="-5"/>
          <w:sz w:val="18"/>
        </w:rPr>
        <w:t> </w:t>
      </w:r>
      <w:r>
        <w:rPr>
          <w:sz w:val="18"/>
        </w:rPr>
        <w:t>a</w:t>
      </w:r>
      <w:r>
        <w:rPr>
          <w:spacing w:val="-5"/>
          <w:sz w:val="18"/>
        </w:rPr>
        <w:t> </w:t>
      </w:r>
      <w:r>
        <w:rPr>
          <w:sz w:val="18"/>
        </w:rPr>
        <w:t>la</w:t>
      </w:r>
      <w:r>
        <w:rPr>
          <w:spacing w:val="-8"/>
          <w:sz w:val="18"/>
        </w:rPr>
        <w:t> </w:t>
      </w:r>
      <w:r>
        <w:rPr>
          <w:sz w:val="18"/>
        </w:rPr>
        <w:t>suma</w:t>
      </w:r>
      <w:r>
        <w:rPr>
          <w:spacing w:val="-5"/>
          <w:sz w:val="18"/>
        </w:rPr>
        <w:t> </w:t>
      </w:r>
      <w:r>
        <w:rPr>
          <w:sz w:val="18"/>
        </w:rPr>
        <w:t>bruta</w:t>
      </w:r>
      <w:r>
        <w:rPr>
          <w:spacing w:val="-5"/>
          <w:sz w:val="18"/>
        </w:rPr>
        <w:t> </w:t>
      </w:r>
      <w:r>
        <w:rPr>
          <w:sz w:val="18"/>
        </w:rPr>
        <w:t>LP</w:t>
      </w:r>
      <w:r>
        <w:rPr>
          <w:spacing w:val="-6"/>
          <w:sz w:val="18"/>
        </w:rPr>
        <w:t> </w:t>
      </w:r>
      <w:r>
        <w:rPr>
          <w:sz w:val="18"/>
        </w:rPr>
        <w:t>+</w:t>
      </w:r>
      <w:r>
        <w:rPr>
          <w:spacing w:val="-5"/>
          <w:sz w:val="18"/>
        </w:rPr>
        <w:t> </w:t>
      </w:r>
      <w:r>
        <w:rPr>
          <w:sz w:val="18"/>
        </w:rPr>
        <w:t>IPM</w:t>
      </w:r>
      <w:r>
        <w:rPr>
          <w:spacing w:val="-5"/>
          <w:sz w:val="18"/>
        </w:rPr>
        <w:t> </w:t>
      </w:r>
      <w:r>
        <w:rPr>
          <w:sz w:val="18"/>
        </w:rPr>
        <w:t>y,</w:t>
      </w:r>
      <w:r>
        <w:rPr>
          <w:spacing w:val="-6"/>
          <w:sz w:val="18"/>
        </w:rPr>
        <w:t> </w:t>
      </w:r>
      <w:r>
        <w:rPr>
          <w:sz w:val="18"/>
        </w:rPr>
        <w:t>por</w:t>
      </w:r>
      <w:r>
        <w:rPr>
          <w:spacing w:val="-6"/>
          <w:sz w:val="18"/>
        </w:rPr>
        <w:t> </w:t>
      </w:r>
      <w:r>
        <w:rPr>
          <w:sz w:val="18"/>
        </w:rPr>
        <w:t>tanto,</w:t>
      </w:r>
      <w:r>
        <w:rPr>
          <w:spacing w:val="-6"/>
          <w:sz w:val="18"/>
        </w:rPr>
        <w:t> </w:t>
      </w:r>
      <w:r>
        <w:rPr>
          <w:sz w:val="18"/>
        </w:rPr>
        <w:t>incluye</w:t>
      </w:r>
      <w:r>
        <w:rPr>
          <w:spacing w:val="-5"/>
          <w:sz w:val="18"/>
        </w:rPr>
        <w:t> </w:t>
      </w:r>
      <w:r>
        <w:rPr>
          <w:sz w:val="18"/>
        </w:rPr>
        <w:t>doble</w:t>
      </w:r>
      <w:r>
        <w:rPr>
          <w:spacing w:val="-5"/>
          <w:sz w:val="18"/>
        </w:rPr>
        <w:t> </w:t>
      </w:r>
      <w:r>
        <w:rPr>
          <w:sz w:val="18"/>
        </w:rPr>
        <w:t>conteo.</w:t>
      </w:r>
      <w:r>
        <w:rPr>
          <w:spacing w:val="-6"/>
          <w:sz w:val="18"/>
        </w:rPr>
        <w:t> </w:t>
      </w:r>
      <w:r>
        <w:rPr>
          <w:sz w:val="18"/>
        </w:rPr>
        <w:t>La</w:t>
      </w:r>
      <w:r>
        <w:rPr>
          <w:spacing w:val="-5"/>
          <w:sz w:val="18"/>
        </w:rPr>
        <w:t> </w:t>
      </w:r>
      <w:r>
        <w:rPr>
          <w:sz w:val="18"/>
        </w:rPr>
        <w:t>línea</w:t>
      </w:r>
      <w:r>
        <w:rPr>
          <w:spacing w:val="-5"/>
          <w:sz w:val="18"/>
        </w:rPr>
        <w:t> </w:t>
      </w:r>
      <w:r>
        <w:rPr>
          <w:sz w:val="18"/>
        </w:rPr>
        <w:t>azul punteada</w:t>
      </w:r>
      <w:r>
        <w:rPr>
          <w:spacing w:val="-13"/>
          <w:sz w:val="18"/>
        </w:rPr>
        <w:t> </w:t>
      </w:r>
      <w:r>
        <w:rPr>
          <w:sz w:val="18"/>
        </w:rPr>
        <w:t>representa la unión sin doble conteo de los hogares pobres por LP o IPM, disponible para 2015</w:t>
      </w:r>
      <w:r>
        <w:rPr>
          <w:spacing w:val="-13"/>
          <w:sz w:val="18"/>
        </w:rPr>
        <w:t> </w:t>
      </w:r>
      <w:r>
        <w:rPr>
          <w:sz w:val="18"/>
        </w:rPr>
        <w:t>- 2025.</w:t>
      </w:r>
      <w:r>
        <w:rPr>
          <w:spacing w:val="-10"/>
          <w:sz w:val="18"/>
        </w:rPr>
        <w:t> </w:t>
      </w:r>
      <w:r>
        <w:rPr>
          <w:sz w:val="18"/>
        </w:rPr>
        <w:t>Para</w:t>
      </w:r>
      <w:r>
        <w:rPr>
          <w:spacing w:val="-10"/>
          <w:sz w:val="18"/>
        </w:rPr>
        <w:t> </w:t>
      </w:r>
      <w:r>
        <w:rPr>
          <w:sz w:val="18"/>
        </w:rPr>
        <w:t>2010-2014</w:t>
      </w:r>
      <w:r>
        <w:rPr>
          <w:spacing w:val="-8"/>
          <w:sz w:val="18"/>
        </w:rPr>
        <w:t> </w:t>
      </w:r>
      <w:r>
        <w:rPr>
          <w:sz w:val="18"/>
        </w:rPr>
        <w:t>no</w:t>
      </w:r>
      <w:r>
        <w:rPr>
          <w:spacing w:val="-8"/>
          <w:sz w:val="18"/>
        </w:rPr>
        <w:t> </w:t>
      </w:r>
      <w:r>
        <w:rPr>
          <w:sz w:val="18"/>
        </w:rPr>
        <w:t>se</w:t>
      </w:r>
      <w:r>
        <w:rPr>
          <w:spacing w:val="-8"/>
          <w:sz w:val="18"/>
        </w:rPr>
        <w:t> </w:t>
      </w:r>
      <w:r>
        <w:rPr>
          <w:sz w:val="18"/>
        </w:rPr>
        <w:t>dispone</w:t>
      </w:r>
      <w:r>
        <w:rPr>
          <w:spacing w:val="-8"/>
          <w:sz w:val="18"/>
        </w:rPr>
        <w:t> </w:t>
      </w:r>
      <w:r>
        <w:rPr>
          <w:sz w:val="18"/>
        </w:rPr>
        <w:t>de</w:t>
      </w:r>
      <w:r>
        <w:rPr>
          <w:spacing w:val="-10"/>
          <w:sz w:val="18"/>
        </w:rPr>
        <w:t> </w:t>
      </w:r>
      <w:r>
        <w:rPr>
          <w:sz w:val="18"/>
        </w:rPr>
        <w:t>la</w:t>
      </w:r>
      <w:r>
        <w:rPr>
          <w:spacing w:val="-10"/>
          <w:sz w:val="18"/>
        </w:rPr>
        <w:t> </w:t>
      </w:r>
      <w:r>
        <w:rPr>
          <w:sz w:val="18"/>
        </w:rPr>
        <w:t>intersección</w:t>
      </w:r>
      <w:r>
        <w:rPr>
          <w:spacing w:val="-10"/>
          <w:sz w:val="18"/>
        </w:rPr>
        <w:t> </w:t>
      </w:r>
      <w:r>
        <w:rPr>
          <w:sz w:val="18"/>
        </w:rPr>
        <w:t>anual</w:t>
      </w:r>
      <w:r>
        <w:rPr>
          <w:spacing w:val="-10"/>
          <w:sz w:val="18"/>
        </w:rPr>
        <w:t> </w:t>
      </w:r>
      <w:r>
        <w:rPr>
          <w:sz w:val="18"/>
        </w:rPr>
        <w:t>entre</w:t>
      </w:r>
      <w:r>
        <w:rPr>
          <w:spacing w:val="-10"/>
          <w:sz w:val="18"/>
        </w:rPr>
        <w:t> </w:t>
      </w:r>
      <w:r>
        <w:rPr>
          <w:sz w:val="18"/>
        </w:rPr>
        <w:t>LP</w:t>
      </w:r>
      <w:r>
        <w:rPr>
          <w:spacing w:val="-8"/>
          <w:sz w:val="18"/>
        </w:rPr>
        <w:t> </w:t>
      </w:r>
      <w:r>
        <w:rPr>
          <w:sz w:val="18"/>
        </w:rPr>
        <w:t>e</w:t>
      </w:r>
      <w:r>
        <w:rPr>
          <w:spacing w:val="-10"/>
          <w:sz w:val="18"/>
        </w:rPr>
        <w:t> </w:t>
      </w:r>
      <w:r>
        <w:rPr>
          <w:sz w:val="18"/>
        </w:rPr>
        <w:t>IPM;</w:t>
      </w:r>
      <w:r>
        <w:rPr>
          <w:spacing w:val="-10"/>
          <w:sz w:val="18"/>
        </w:rPr>
        <w:t> </w:t>
      </w:r>
      <w:r>
        <w:rPr>
          <w:sz w:val="18"/>
        </w:rPr>
        <w:t>por</w:t>
      </w:r>
      <w:r>
        <w:rPr>
          <w:spacing w:val="-11"/>
          <w:sz w:val="18"/>
        </w:rPr>
        <w:t> </w:t>
      </w:r>
      <w:r>
        <w:rPr>
          <w:sz w:val="18"/>
        </w:rPr>
        <w:t>ello,</w:t>
      </w:r>
      <w:r>
        <w:rPr>
          <w:spacing w:val="-8"/>
          <w:sz w:val="18"/>
        </w:rPr>
        <w:t> </w:t>
      </w:r>
      <w:r>
        <w:rPr>
          <w:sz w:val="18"/>
        </w:rPr>
        <w:t>en</w:t>
      </w:r>
      <w:r>
        <w:rPr>
          <w:spacing w:val="-8"/>
          <w:sz w:val="18"/>
        </w:rPr>
        <w:t> </w:t>
      </w:r>
      <w:r>
        <w:rPr>
          <w:sz w:val="18"/>
        </w:rPr>
        <w:t>esos</w:t>
      </w:r>
      <w:r>
        <w:rPr>
          <w:spacing w:val="-7"/>
          <w:sz w:val="18"/>
        </w:rPr>
        <w:t> </w:t>
      </w:r>
      <w:r>
        <w:rPr>
          <w:sz w:val="18"/>
        </w:rPr>
        <w:t>años</w:t>
      </w:r>
      <w:r>
        <w:rPr>
          <w:spacing w:val="-10"/>
          <w:sz w:val="18"/>
        </w:rPr>
        <w:t> </w:t>
      </w:r>
      <w:r>
        <w:rPr>
          <w:sz w:val="18"/>
        </w:rPr>
        <w:t>el</w:t>
      </w:r>
      <w:r>
        <w:rPr>
          <w:spacing w:val="-10"/>
          <w:sz w:val="18"/>
        </w:rPr>
        <w:t> </w:t>
      </w:r>
      <w:r>
        <w:rPr>
          <w:sz w:val="18"/>
        </w:rPr>
        <w:t>gráfico solo presenta LP, IPM y la suma bruta.</w:t>
      </w:r>
    </w:p>
    <w:p>
      <w:pPr>
        <w:pStyle w:val="BodyText"/>
        <w:spacing w:before="33"/>
        <w:rPr>
          <w:sz w:val="18"/>
        </w:rPr>
      </w:pPr>
    </w:p>
    <w:p>
      <w:pPr>
        <w:spacing w:before="0"/>
        <w:ind w:left="1625" w:right="1605" w:firstLine="0"/>
        <w:jc w:val="both"/>
        <w:rPr>
          <w:sz w:val="18"/>
        </w:rPr>
      </w:pPr>
      <w:r>
        <w:rPr>
          <w:sz w:val="18"/>
        </w:rPr>
        <w:t>Fuente: Elaboración propia con datos de INEC, ENAHO 2010-2025; procesamiento IMAS, Planificación </w:t>
      </w:r>
      <w:r>
        <w:rPr>
          <w:spacing w:val="-2"/>
          <w:sz w:val="18"/>
        </w:rPr>
        <w:t>Institucional.</w:t>
      </w:r>
    </w:p>
    <w:p>
      <w:pPr>
        <w:pStyle w:val="BodyText"/>
        <w:spacing w:before="33"/>
        <w:rPr>
          <w:sz w:val="18"/>
        </w:rPr>
      </w:pPr>
    </w:p>
    <w:p>
      <w:pPr>
        <w:pStyle w:val="BodyText"/>
        <w:ind w:left="1625" w:right="1602"/>
        <w:jc w:val="both"/>
      </w:pPr>
      <w:r>
        <w:rPr/>
        <w:t>El</w:t>
      </w:r>
      <w:r>
        <w:rPr>
          <w:spacing w:val="-8"/>
        </w:rPr>
        <w:t> </w:t>
      </w:r>
      <w:r>
        <w:rPr/>
        <w:t>gráfico</w:t>
      </w:r>
      <w:r>
        <w:rPr>
          <w:spacing w:val="-7"/>
        </w:rPr>
        <w:t> </w:t>
      </w:r>
      <w:r>
        <w:rPr/>
        <w:t>8</w:t>
      </w:r>
      <w:r>
        <w:rPr>
          <w:spacing w:val="-9"/>
        </w:rPr>
        <w:t> </w:t>
      </w:r>
      <w:r>
        <w:rPr/>
        <w:t>compara</w:t>
      </w:r>
      <w:r>
        <w:rPr>
          <w:spacing w:val="-7"/>
        </w:rPr>
        <w:t> </w:t>
      </w:r>
      <w:r>
        <w:rPr/>
        <w:t>dos</w:t>
      </w:r>
      <w:r>
        <w:rPr>
          <w:spacing w:val="-9"/>
        </w:rPr>
        <w:t> </w:t>
      </w:r>
      <w:r>
        <w:rPr/>
        <w:t>formas</w:t>
      </w:r>
      <w:r>
        <w:rPr>
          <w:spacing w:val="-9"/>
        </w:rPr>
        <w:t> </w:t>
      </w:r>
      <w:r>
        <w:rPr/>
        <w:t>complementarias</w:t>
      </w:r>
      <w:r>
        <w:rPr>
          <w:spacing w:val="-7"/>
        </w:rPr>
        <w:t> </w:t>
      </w:r>
      <w:r>
        <w:rPr/>
        <w:t>de</w:t>
      </w:r>
      <w:r>
        <w:rPr>
          <w:spacing w:val="-9"/>
        </w:rPr>
        <w:t> </w:t>
      </w:r>
      <w:r>
        <w:rPr/>
        <w:t>medición</w:t>
      </w:r>
      <w:r>
        <w:rPr>
          <w:spacing w:val="-8"/>
        </w:rPr>
        <w:t> </w:t>
      </w:r>
      <w:r>
        <w:rPr/>
        <w:t>de</w:t>
      </w:r>
      <w:r>
        <w:rPr>
          <w:spacing w:val="-8"/>
        </w:rPr>
        <w:t> </w:t>
      </w:r>
      <w:r>
        <w:rPr/>
        <w:t>la</w:t>
      </w:r>
      <w:r>
        <w:rPr>
          <w:spacing w:val="-7"/>
        </w:rPr>
        <w:t> </w:t>
      </w:r>
      <w:r>
        <w:rPr/>
        <w:t>pobreza.</w:t>
      </w:r>
      <w:r>
        <w:rPr>
          <w:spacing w:val="-6"/>
        </w:rPr>
        <w:t> </w:t>
      </w:r>
      <w:r>
        <w:rPr/>
        <w:t>Las</w:t>
      </w:r>
      <w:r>
        <w:rPr>
          <w:spacing w:val="-9"/>
        </w:rPr>
        <w:t> </w:t>
      </w:r>
      <w:r>
        <w:rPr/>
        <w:t>barras azules</w:t>
      </w:r>
      <w:r>
        <w:rPr>
          <w:spacing w:val="-16"/>
        </w:rPr>
        <w:t> </w:t>
      </w:r>
      <w:r>
        <w:rPr/>
        <w:t>representan</w:t>
      </w:r>
      <w:r>
        <w:rPr>
          <w:spacing w:val="-15"/>
        </w:rPr>
        <w:t> </w:t>
      </w:r>
      <w:r>
        <w:rPr/>
        <w:t>la</w:t>
      </w:r>
      <w:r>
        <w:rPr>
          <w:spacing w:val="-15"/>
        </w:rPr>
        <w:t> </w:t>
      </w:r>
      <w:r>
        <w:rPr/>
        <w:t>incidencia</w:t>
      </w:r>
      <w:r>
        <w:rPr>
          <w:spacing w:val="-16"/>
        </w:rPr>
        <w:t> </w:t>
      </w:r>
      <w:r>
        <w:rPr/>
        <w:t>de</w:t>
      </w:r>
      <w:r>
        <w:rPr>
          <w:spacing w:val="-15"/>
        </w:rPr>
        <w:t> </w:t>
      </w:r>
      <w:r>
        <w:rPr/>
        <w:t>hogares</w:t>
      </w:r>
      <w:r>
        <w:rPr>
          <w:spacing w:val="-15"/>
        </w:rPr>
        <w:t> </w:t>
      </w:r>
      <w:r>
        <w:rPr/>
        <w:t>pobres</w:t>
      </w:r>
      <w:r>
        <w:rPr>
          <w:spacing w:val="-15"/>
        </w:rPr>
        <w:t> </w:t>
      </w:r>
      <w:r>
        <w:rPr/>
        <w:t>por</w:t>
      </w:r>
      <w:r>
        <w:rPr>
          <w:spacing w:val="-16"/>
        </w:rPr>
        <w:t> </w:t>
      </w:r>
      <w:r>
        <w:rPr/>
        <w:t>Línea</w:t>
      </w:r>
      <w:r>
        <w:rPr>
          <w:spacing w:val="-15"/>
        </w:rPr>
        <w:t> </w:t>
      </w:r>
      <w:r>
        <w:rPr/>
        <w:t>de</w:t>
      </w:r>
      <w:r>
        <w:rPr>
          <w:spacing w:val="-15"/>
        </w:rPr>
        <w:t> </w:t>
      </w:r>
      <w:r>
        <w:rPr/>
        <w:t>Pobreza</w:t>
      </w:r>
      <w:r>
        <w:rPr>
          <w:spacing w:val="-16"/>
        </w:rPr>
        <w:t> </w:t>
      </w:r>
      <w:r>
        <w:rPr/>
        <w:t>(LP)</w:t>
      </w:r>
      <w:r>
        <w:rPr>
          <w:spacing w:val="-15"/>
        </w:rPr>
        <w:t> </w:t>
      </w:r>
      <w:r>
        <w:rPr/>
        <w:t>y</w:t>
      </w:r>
      <w:r>
        <w:rPr>
          <w:spacing w:val="-15"/>
        </w:rPr>
        <w:t> </w:t>
      </w:r>
      <w:r>
        <w:rPr/>
        <w:t>las</w:t>
      </w:r>
      <w:r>
        <w:rPr>
          <w:spacing w:val="-15"/>
        </w:rPr>
        <w:t> </w:t>
      </w:r>
      <w:r>
        <w:rPr/>
        <w:t>grises la incidencia de hogares pobres por</w:t>
      </w:r>
      <w:r>
        <w:rPr>
          <w:spacing w:val="-1"/>
        </w:rPr>
        <w:t> </w:t>
      </w:r>
      <w:r>
        <w:rPr/>
        <w:t>IPM, mientras que la línea naranja</w:t>
      </w:r>
      <w:r>
        <w:rPr>
          <w:spacing w:val="-2"/>
        </w:rPr>
        <w:t> </w:t>
      </w:r>
      <w:r>
        <w:rPr/>
        <w:t>corresponde a la suma bruta de ambas incidencias. A partir de 2015 se incorpora además la línea azul punteada,</w:t>
      </w:r>
      <w:r>
        <w:rPr>
          <w:spacing w:val="-1"/>
        </w:rPr>
        <w:t> </w:t>
      </w:r>
      <w:r>
        <w:rPr/>
        <w:t>que</w:t>
      </w:r>
      <w:r>
        <w:rPr>
          <w:spacing w:val="-3"/>
        </w:rPr>
        <w:t> </w:t>
      </w:r>
      <w:r>
        <w:rPr/>
        <w:t>muestra la unión</w:t>
      </w:r>
      <w:r>
        <w:rPr>
          <w:spacing w:val="-1"/>
        </w:rPr>
        <w:t> </w:t>
      </w:r>
      <w:r>
        <w:rPr/>
        <w:t>sin doble conteo</w:t>
      </w:r>
      <w:r>
        <w:rPr>
          <w:spacing w:val="-3"/>
        </w:rPr>
        <w:t> </w:t>
      </w:r>
      <w:r>
        <w:rPr/>
        <w:t>de</w:t>
      </w:r>
      <w:r>
        <w:rPr>
          <w:spacing w:val="-1"/>
        </w:rPr>
        <w:t> </w:t>
      </w:r>
      <w:r>
        <w:rPr/>
        <w:t>los hogares afectados por</w:t>
      </w:r>
      <w:r>
        <w:rPr>
          <w:spacing w:val="-2"/>
        </w:rPr>
        <w:t> </w:t>
      </w:r>
      <w:r>
        <w:rPr/>
        <w:t>al</w:t>
      </w:r>
      <w:r>
        <w:rPr>
          <w:spacing w:val="-2"/>
        </w:rPr>
        <w:t> </w:t>
      </w:r>
      <w:r>
        <w:rPr/>
        <w:t>menos uno de los dos métodos. Visualmente se aprecia que la LP es más sensible a los ciclos económicos</w:t>
      </w:r>
      <w:r>
        <w:rPr>
          <w:spacing w:val="-4"/>
        </w:rPr>
        <w:t> </w:t>
      </w:r>
      <w:r>
        <w:rPr/>
        <w:t>—con</w:t>
      </w:r>
      <w:r>
        <w:rPr>
          <w:spacing w:val="-2"/>
        </w:rPr>
        <w:t> </w:t>
      </w:r>
      <w:r>
        <w:rPr/>
        <w:t>un</w:t>
      </w:r>
      <w:r>
        <w:rPr>
          <w:spacing w:val="-4"/>
        </w:rPr>
        <w:t> </w:t>
      </w:r>
      <w:r>
        <w:rPr/>
        <w:t>aumento</w:t>
      </w:r>
      <w:r>
        <w:rPr>
          <w:spacing w:val="-4"/>
        </w:rPr>
        <w:t> </w:t>
      </w:r>
      <w:r>
        <w:rPr/>
        <w:t>notable</w:t>
      </w:r>
      <w:r>
        <w:rPr>
          <w:spacing w:val="-2"/>
        </w:rPr>
        <w:t> </w:t>
      </w:r>
      <w:r>
        <w:rPr/>
        <w:t>en</w:t>
      </w:r>
      <w:r>
        <w:rPr>
          <w:spacing w:val="-4"/>
        </w:rPr>
        <w:t> </w:t>
      </w:r>
      <w:r>
        <w:rPr/>
        <w:t>2020—,</w:t>
      </w:r>
      <w:r>
        <w:rPr>
          <w:spacing w:val="-3"/>
        </w:rPr>
        <w:t> </w:t>
      </w:r>
      <w:r>
        <w:rPr/>
        <w:t>mientras</w:t>
      </w:r>
      <w:r>
        <w:rPr>
          <w:spacing w:val="-2"/>
        </w:rPr>
        <w:t> </w:t>
      </w:r>
      <w:r>
        <w:rPr/>
        <w:t>el</w:t>
      </w:r>
      <w:r>
        <w:rPr>
          <w:spacing w:val="-4"/>
        </w:rPr>
        <w:t> </w:t>
      </w:r>
      <w:r>
        <w:rPr/>
        <w:t>IPM</w:t>
      </w:r>
      <w:r>
        <w:rPr>
          <w:spacing w:val="-3"/>
        </w:rPr>
        <w:t> </w:t>
      </w:r>
      <w:r>
        <w:rPr/>
        <w:t>sigue</w:t>
      </w:r>
      <w:r>
        <w:rPr>
          <w:spacing w:val="-2"/>
        </w:rPr>
        <w:t> </w:t>
      </w:r>
      <w:r>
        <w:rPr/>
        <w:t>una</w:t>
      </w:r>
      <w:r>
        <w:rPr>
          <w:spacing w:val="-4"/>
        </w:rPr>
        <w:t> </w:t>
      </w:r>
      <w:r>
        <w:rPr/>
        <w:t>trayectoria más estable y descendente. Para 2025, la suma bruta alcanza 25,03%; sin embargo, al descontar los hogares contabilizados simultáneamente</w:t>
      </w:r>
      <w:r>
        <w:rPr>
          <w:spacing w:val="-1"/>
        </w:rPr>
        <w:t> </w:t>
      </w:r>
      <w:r>
        <w:rPr/>
        <w:t>por ambos</w:t>
      </w:r>
      <w:r>
        <w:rPr>
          <w:spacing w:val="-3"/>
        </w:rPr>
        <w:t> </w:t>
      </w:r>
      <w:r>
        <w:rPr/>
        <w:t>métodos, la unión</w:t>
      </w:r>
      <w:r>
        <w:rPr>
          <w:spacing w:val="-1"/>
        </w:rPr>
        <w:t> </w:t>
      </w:r>
      <w:r>
        <w:rPr/>
        <w:t>sin doble conteo es 21,16%, valor señalado expresamente en el gráfico.</w:t>
      </w:r>
    </w:p>
    <w:p>
      <w:pPr>
        <w:pStyle w:val="BodyText"/>
        <w:ind w:left="1625" w:right="1602"/>
        <w:jc w:val="both"/>
      </w:pPr>
      <w:r>
        <w:rPr/>
        <w:t>En síntesis, el gráfico 8 evidencia avances importantes en la reducción de la pobreza monetaria y multidimensional hasta 2025. Aun así, el 21,16% de los hogares presenta pobreza por al menos uno de los dos métodos y, por tanto, continúa enfrentando restricciones de ingreso, privaciones multidimensionales o ambas. El resultado confirma la necesidad de políticas integrales que combinen protección económica, acceso a servicios, empleo, educación, vivienda y atención de privaciones acumuladas.</w:t>
      </w:r>
    </w:p>
    <w:p>
      <w:pPr>
        <w:pStyle w:val="BodyText"/>
        <w:spacing w:after="0"/>
        <w:jc w:val="both"/>
        <w:sectPr>
          <w:pgSz w:w="12240" w:h="15840"/>
          <w:pgMar w:header="0" w:footer="1576" w:top="1000" w:bottom="1760" w:left="360" w:right="0"/>
        </w:sectPr>
      </w:pPr>
    </w:p>
    <w:p>
      <w:pPr>
        <w:pStyle w:val="BodyText"/>
        <w:spacing w:before="77"/>
        <w:ind w:left="1625" w:right="1604"/>
        <w:jc w:val="both"/>
      </w:pPr>
      <w:r>
        <w:rPr/>
        <w:t>Entre 2010 y 2025, los indicadores macroeconómicos y sociales de Costa Rica reflejan una trayectoria de crecimiento acompañada de mejoras graduales en algunos componentes</w:t>
      </w:r>
      <w:r>
        <w:rPr>
          <w:spacing w:val="-16"/>
        </w:rPr>
        <w:t> </w:t>
      </w:r>
      <w:r>
        <w:rPr/>
        <w:t>del</w:t>
      </w:r>
      <w:r>
        <w:rPr>
          <w:spacing w:val="-15"/>
        </w:rPr>
        <w:t> </w:t>
      </w:r>
      <w:r>
        <w:rPr/>
        <w:t>bienestar,</w:t>
      </w:r>
      <w:r>
        <w:rPr>
          <w:spacing w:val="-13"/>
        </w:rPr>
        <w:t> </w:t>
      </w:r>
      <w:r>
        <w:rPr/>
        <w:t>aunque</w:t>
      </w:r>
      <w:r>
        <w:rPr>
          <w:spacing w:val="-15"/>
        </w:rPr>
        <w:t> </w:t>
      </w:r>
      <w:r>
        <w:rPr/>
        <w:t>persisten</w:t>
      </w:r>
      <w:r>
        <w:rPr>
          <w:spacing w:val="-16"/>
        </w:rPr>
        <w:t> </w:t>
      </w:r>
      <w:r>
        <w:rPr/>
        <w:t>retos</w:t>
      </w:r>
      <w:r>
        <w:rPr>
          <w:spacing w:val="-14"/>
        </w:rPr>
        <w:t> </w:t>
      </w:r>
      <w:r>
        <w:rPr/>
        <w:t>estructurales.</w:t>
      </w:r>
      <w:r>
        <w:rPr>
          <w:spacing w:val="-14"/>
        </w:rPr>
        <w:t> </w:t>
      </w:r>
      <w:r>
        <w:rPr/>
        <w:t>El</w:t>
      </w:r>
      <w:r>
        <w:rPr>
          <w:spacing w:val="-15"/>
        </w:rPr>
        <w:t> </w:t>
      </w:r>
      <w:r>
        <w:rPr/>
        <w:t>PIB</w:t>
      </w:r>
      <w:r>
        <w:rPr>
          <w:spacing w:val="-15"/>
        </w:rPr>
        <w:t> </w:t>
      </w:r>
      <w:r>
        <w:rPr/>
        <w:t>real</w:t>
      </w:r>
      <w:r>
        <w:rPr>
          <w:spacing w:val="-16"/>
        </w:rPr>
        <w:t> </w:t>
      </w:r>
      <w:r>
        <w:rPr/>
        <w:t>encadenado pasó</w:t>
      </w:r>
      <w:r>
        <w:rPr>
          <w:spacing w:val="-12"/>
        </w:rPr>
        <w:t> </w:t>
      </w:r>
      <w:r>
        <w:rPr/>
        <w:t>de</w:t>
      </w:r>
      <w:r>
        <w:rPr>
          <w:spacing w:val="-13"/>
        </w:rPr>
        <w:t> </w:t>
      </w:r>
      <w:r>
        <w:rPr/>
        <w:t>aproximadamente</w:t>
      </w:r>
      <w:r>
        <w:rPr>
          <w:spacing w:val="-12"/>
        </w:rPr>
        <w:t> </w:t>
      </w:r>
      <w:r>
        <w:rPr/>
        <w:t>₡26.270</w:t>
      </w:r>
      <w:r>
        <w:rPr>
          <w:spacing w:val="-14"/>
        </w:rPr>
        <w:t> </w:t>
      </w:r>
      <w:r>
        <w:rPr/>
        <w:t>mil</w:t>
      </w:r>
      <w:r>
        <w:rPr>
          <w:spacing w:val="-14"/>
        </w:rPr>
        <w:t> </w:t>
      </w:r>
      <w:r>
        <w:rPr/>
        <w:t>millones</w:t>
      </w:r>
      <w:r>
        <w:rPr>
          <w:spacing w:val="-12"/>
        </w:rPr>
        <w:t> </w:t>
      </w:r>
      <w:r>
        <w:rPr/>
        <w:t>en</w:t>
      </w:r>
      <w:r>
        <w:rPr>
          <w:spacing w:val="-13"/>
        </w:rPr>
        <w:t> </w:t>
      </w:r>
      <w:r>
        <w:rPr/>
        <w:t>2010</w:t>
      </w:r>
      <w:r>
        <w:rPr>
          <w:spacing w:val="-13"/>
        </w:rPr>
        <w:t> </w:t>
      </w:r>
      <w:r>
        <w:rPr/>
        <w:t>a</w:t>
      </w:r>
      <w:r>
        <w:rPr>
          <w:spacing w:val="-12"/>
        </w:rPr>
        <w:t> </w:t>
      </w:r>
      <w:r>
        <w:rPr/>
        <w:t>₡44.385</w:t>
      </w:r>
      <w:r>
        <w:rPr>
          <w:spacing w:val="-14"/>
        </w:rPr>
        <w:t> </w:t>
      </w:r>
      <w:r>
        <w:rPr/>
        <w:t>mil</w:t>
      </w:r>
      <w:r>
        <w:rPr>
          <w:spacing w:val="-13"/>
        </w:rPr>
        <w:t> </w:t>
      </w:r>
      <w:r>
        <w:rPr/>
        <w:t>millones</w:t>
      </w:r>
      <w:r>
        <w:rPr>
          <w:spacing w:val="-12"/>
        </w:rPr>
        <w:t> </w:t>
      </w:r>
      <w:r>
        <w:rPr/>
        <w:t>en</w:t>
      </w:r>
      <w:r>
        <w:rPr>
          <w:spacing w:val="-13"/>
        </w:rPr>
        <w:t> </w:t>
      </w:r>
      <w:r>
        <w:rPr/>
        <w:t>2025, mientras</w:t>
      </w:r>
      <w:r>
        <w:rPr>
          <w:spacing w:val="-2"/>
        </w:rPr>
        <w:t> </w:t>
      </w:r>
      <w:r>
        <w:rPr/>
        <w:t>el</w:t>
      </w:r>
      <w:r>
        <w:rPr>
          <w:spacing w:val="-1"/>
        </w:rPr>
        <w:t> </w:t>
      </w:r>
      <w:r>
        <w:rPr/>
        <w:t>PIB</w:t>
      </w:r>
      <w:r>
        <w:rPr>
          <w:spacing w:val="-2"/>
        </w:rPr>
        <w:t> </w:t>
      </w:r>
      <w:r>
        <w:rPr/>
        <w:t>real per</w:t>
      </w:r>
      <w:r>
        <w:rPr>
          <w:spacing w:val="-1"/>
        </w:rPr>
        <w:t> </w:t>
      </w:r>
      <w:r>
        <w:rPr/>
        <w:t>cápita aumentó</w:t>
      </w:r>
      <w:r>
        <w:rPr>
          <w:spacing w:val="-2"/>
        </w:rPr>
        <w:t> </w:t>
      </w:r>
      <w:r>
        <w:rPr/>
        <w:t>de cerca</w:t>
      </w:r>
      <w:r>
        <w:rPr>
          <w:spacing w:val="-2"/>
        </w:rPr>
        <w:t> </w:t>
      </w:r>
      <w:r>
        <w:rPr/>
        <w:t>de ₡5,80</w:t>
      </w:r>
      <w:r>
        <w:rPr>
          <w:spacing w:val="-2"/>
        </w:rPr>
        <w:t> </w:t>
      </w:r>
      <w:r>
        <w:rPr/>
        <w:t>millones a</w:t>
      </w:r>
      <w:r>
        <w:rPr>
          <w:spacing w:val="-2"/>
        </w:rPr>
        <w:t> </w:t>
      </w:r>
      <w:r>
        <w:rPr/>
        <w:t>₡8,55 millones. El principal quiebre del período se produjo en 2020 por la pandemia; posteriormente se observó</w:t>
      </w:r>
      <w:r>
        <w:rPr>
          <w:spacing w:val="-16"/>
        </w:rPr>
        <w:t> </w:t>
      </w:r>
      <w:r>
        <w:rPr/>
        <w:t>una</w:t>
      </w:r>
      <w:r>
        <w:rPr>
          <w:spacing w:val="-15"/>
        </w:rPr>
        <w:t> </w:t>
      </w:r>
      <w:r>
        <w:rPr/>
        <w:t>recuperación</w:t>
      </w:r>
      <w:r>
        <w:rPr>
          <w:spacing w:val="-15"/>
        </w:rPr>
        <w:t> </w:t>
      </w:r>
      <w:r>
        <w:rPr/>
        <w:t>y,</w:t>
      </w:r>
      <w:r>
        <w:rPr>
          <w:spacing w:val="-16"/>
        </w:rPr>
        <w:t> </w:t>
      </w:r>
      <w:r>
        <w:rPr/>
        <w:t>para</w:t>
      </w:r>
      <w:r>
        <w:rPr>
          <w:spacing w:val="-15"/>
        </w:rPr>
        <w:t> </w:t>
      </w:r>
      <w:r>
        <w:rPr/>
        <w:t>2025,</w:t>
      </w:r>
      <w:r>
        <w:rPr>
          <w:spacing w:val="-15"/>
        </w:rPr>
        <w:t> </w:t>
      </w:r>
      <w:r>
        <w:rPr/>
        <w:t>la</w:t>
      </w:r>
      <w:r>
        <w:rPr>
          <w:spacing w:val="-15"/>
        </w:rPr>
        <w:t> </w:t>
      </w:r>
      <w:r>
        <w:rPr/>
        <w:t>economía</w:t>
      </w:r>
      <w:r>
        <w:rPr>
          <w:spacing w:val="-16"/>
        </w:rPr>
        <w:t> </w:t>
      </w:r>
      <w:r>
        <w:rPr/>
        <w:t>mantuvo</w:t>
      </w:r>
      <w:r>
        <w:rPr>
          <w:spacing w:val="-15"/>
        </w:rPr>
        <w:t> </w:t>
      </w:r>
      <w:r>
        <w:rPr/>
        <w:t>un</w:t>
      </w:r>
      <w:r>
        <w:rPr>
          <w:spacing w:val="-15"/>
        </w:rPr>
        <w:t> </w:t>
      </w:r>
      <w:r>
        <w:rPr/>
        <w:t>crecimiento</w:t>
      </w:r>
      <w:r>
        <w:rPr>
          <w:spacing w:val="-16"/>
        </w:rPr>
        <w:t> </w:t>
      </w:r>
      <w:r>
        <w:rPr/>
        <w:t>real</w:t>
      </w:r>
      <w:r>
        <w:rPr>
          <w:spacing w:val="-15"/>
        </w:rPr>
        <w:t> </w:t>
      </w:r>
      <w:r>
        <w:rPr/>
        <w:t>cercano al 4,60%.</w:t>
      </w:r>
    </w:p>
    <w:p>
      <w:pPr>
        <w:pStyle w:val="BodyText"/>
        <w:spacing w:before="252"/>
        <w:ind w:left="1625" w:right="1607"/>
        <w:jc w:val="both"/>
      </w:pPr>
      <w:r>
        <w:rPr/>
        <w:t>El ingreso nacional disponible bruto siguió una evolución semejante y el ingreso disponible real per cápita alcanzó aproximadamente ₡7,76 millones en 2025. En el mercado</w:t>
      </w:r>
      <w:r>
        <w:rPr>
          <w:spacing w:val="-3"/>
        </w:rPr>
        <w:t> </w:t>
      </w:r>
      <w:r>
        <w:rPr/>
        <w:t>laboral,</w:t>
      </w:r>
      <w:r>
        <w:rPr>
          <w:spacing w:val="-1"/>
        </w:rPr>
        <w:t> </w:t>
      </w:r>
      <w:r>
        <w:rPr/>
        <w:t>la</w:t>
      </w:r>
      <w:r>
        <w:rPr>
          <w:spacing w:val="-3"/>
        </w:rPr>
        <w:t> </w:t>
      </w:r>
      <w:r>
        <w:rPr/>
        <w:t>tasa</w:t>
      </w:r>
      <w:r>
        <w:rPr>
          <w:spacing w:val="-5"/>
        </w:rPr>
        <w:t> </w:t>
      </w:r>
      <w:r>
        <w:rPr/>
        <w:t>de</w:t>
      </w:r>
      <w:r>
        <w:rPr>
          <w:spacing w:val="-3"/>
        </w:rPr>
        <w:t> </w:t>
      </w:r>
      <w:r>
        <w:rPr/>
        <w:t>desempleo</w:t>
      </w:r>
      <w:r>
        <w:rPr>
          <w:spacing w:val="-3"/>
        </w:rPr>
        <w:t> </w:t>
      </w:r>
      <w:r>
        <w:rPr/>
        <w:t>mostró</w:t>
      </w:r>
      <w:r>
        <w:rPr>
          <w:spacing w:val="-3"/>
        </w:rPr>
        <w:t> </w:t>
      </w:r>
      <w:r>
        <w:rPr/>
        <w:t>una</w:t>
      </w:r>
      <w:r>
        <w:rPr>
          <w:spacing w:val="-3"/>
        </w:rPr>
        <w:t> </w:t>
      </w:r>
      <w:r>
        <w:rPr/>
        <w:t>fuerte</w:t>
      </w:r>
      <w:r>
        <w:rPr>
          <w:spacing w:val="-3"/>
        </w:rPr>
        <w:t> </w:t>
      </w:r>
      <w:r>
        <w:rPr/>
        <w:t>elevación</w:t>
      </w:r>
      <w:r>
        <w:rPr>
          <w:spacing w:val="-3"/>
        </w:rPr>
        <w:t> </w:t>
      </w:r>
      <w:r>
        <w:rPr/>
        <w:t>durante</w:t>
      </w:r>
      <w:r>
        <w:rPr>
          <w:spacing w:val="-3"/>
        </w:rPr>
        <w:t> </w:t>
      </w:r>
      <w:r>
        <w:rPr/>
        <w:t>la</w:t>
      </w:r>
      <w:r>
        <w:rPr>
          <w:spacing w:val="-3"/>
        </w:rPr>
        <w:t> </w:t>
      </w:r>
      <w:r>
        <w:rPr/>
        <w:t>pandemia y una reducción posterior. Para 2025, la tabla incorpora una tasa cercana a 6,33%, correspondiente a la Encuesta Continua de Empleo (ECE) y al período de referencia utilizado en esa serie. Este indicador no debe confundirse con la tasa de desempleo abierto de ENAHO 2025, estimada en 5,50%, ya</w:t>
      </w:r>
      <w:r>
        <w:rPr>
          <w:spacing w:val="-2"/>
        </w:rPr>
        <w:t> </w:t>
      </w:r>
      <w:r>
        <w:rPr/>
        <w:t>que ambas encuestas tienen diseños y períodos de referencia distintos.</w:t>
      </w:r>
    </w:p>
    <w:p>
      <w:pPr>
        <w:pStyle w:val="BodyText"/>
        <w:spacing w:before="1"/>
      </w:pPr>
    </w:p>
    <w:p>
      <w:pPr>
        <w:pStyle w:val="BodyText"/>
        <w:spacing w:before="1"/>
        <w:ind w:left="1625" w:right="1603"/>
        <w:jc w:val="both"/>
      </w:pPr>
      <w:r>
        <w:rPr/>
        <w:t>Por su parte, el Gini por persona —utilizado aquí como referencia principal de la desigualdad distributiva— alcanzó 0,524 en 2021, se situó en 0,492 en 2024 y en 0,488 en 2025. Aunque 0,488 es el menor valor de la serie, el INEC señala que la variación nacional 2024-2025 no es estadísticamente significativa. El Gini por hogar se mantiene como una medida complementaria de la concentración del ingreso total entre hogares. En conjunto, la trayectoria reciente acompaña la disminución de la pobreza, pero no elimina</w:t>
      </w:r>
      <w:r>
        <w:rPr>
          <w:spacing w:val="-16"/>
        </w:rPr>
        <w:t> </w:t>
      </w:r>
      <w:r>
        <w:rPr/>
        <w:t>las</w:t>
      </w:r>
      <w:r>
        <w:rPr>
          <w:spacing w:val="-15"/>
        </w:rPr>
        <w:t> </w:t>
      </w:r>
      <w:r>
        <w:rPr/>
        <w:t>brechas</w:t>
      </w:r>
      <w:r>
        <w:rPr>
          <w:spacing w:val="-17"/>
        </w:rPr>
        <w:t> </w:t>
      </w:r>
      <w:r>
        <w:rPr/>
        <w:t>estructurales</w:t>
      </w:r>
      <w:r>
        <w:rPr>
          <w:spacing w:val="-17"/>
        </w:rPr>
        <w:t> </w:t>
      </w:r>
      <w:r>
        <w:rPr/>
        <w:t>de</w:t>
      </w:r>
      <w:r>
        <w:rPr>
          <w:spacing w:val="-17"/>
        </w:rPr>
        <w:t> </w:t>
      </w:r>
      <w:r>
        <w:rPr/>
        <w:t>ingreso,</w:t>
      </w:r>
      <w:r>
        <w:rPr>
          <w:spacing w:val="-15"/>
        </w:rPr>
        <w:t> </w:t>
      </w:r>
      <w:r>
        <w:rPr/>
        <w:t>empleo</w:t>
      </w:r>
      <w:r>
        <w:rPr>
          <w:spacing w:val="-16"/>
        </w:rPr>
        <w:t> </w:t>
      </w:r>
      <w:r>
        <w:rPr/>
        <w:t>de</w:t>
      </w:r>
      <w:r>
        <w:rPr>
          <w:spacing w:val="-17"/>
        </w:rPr>
        <w:t> </w:t>
      </w:r>
      <w:r>
        <w:rPr/>
        <w:t>calidad</w:t>
      </w:r>
      <w:r>
        <w:rPr>
          <w:spacing w:val="-15"/>
        </w:rPr>
        <w:t> </w:t>
      </w:r>
      <w:r>
        <w:rPr/>
        <w:t>y</w:t>
      </w:r>
      <w:r>
        <w:rPr>
          <w:spacing w:val="-16"/>
        </w:rPr>
        <w:t> </w:t>
      </w:r>
      <w:r>
        <w:rPr/>
        <w:t>acceso</w:t>
      </w:r>
      <w:r>
        <w:rPr>
          <w:spacing w:val="-17"/>
        </w:rPr>
        <w:t> </w:t>
      </w:r>
      <w:r>
        <w:rPr/>
        <w:t>a</w:t>
      </w:r>
      <w:r>
        <w:rPr>
          <w:spacing w:val="-16"/>
        </w:rPr>
        <w:t> </w:t>
      </w:r>
      <w:r>
        <w:rPr/>
        <w:t>oportunidades.</w:t>
      </w:r>
    </w:p>
    <w:p>
      <w:pPr>
        <w:pStyle w:val="Heading5"/>
        <w:spacing w:before="252"/>
        <w:ind w:left="5494" w:right="1780" w:hanging="3555"/>
      </w:pPr>
      <w:bookmarkStart w:name="_bookmark27" w:id="28"/>
      <w:bookmarkEnd w:id="28"/>
      <w:r>
        <w:rPr>
          <w:b w:val="0"/>
        </w:rPr>
      </w:r>
      <w:r>
        <w:rPr/>
        <w:t>Tabla</w:t>
      </w:r>
      <w:r>
        <w:rPr>
          <w:spacing w:val="-3"/>
        </w:rPr>
        <w:t> </w:t>
      </w:r>
      <w:r>
        <w:rPr/>
        <w:t>8:</w:t>
      </w:r>
      <w:r>
        <w:rPr>
          <w:spacing w:val="-2"/>
        </w:rPr>
        <w:t> </w:t>
      </w:r>
      <w:r>
        <w:rPr/>
        <w:t>Costa</w:t>
      </w:r>
      <w:r>
        <w:rPr>
          <w:spacing w:val="-6"/>
        </w:rPr>
        <w:t> </w:t>
      </w:r>
      <w:r>
        <w:rPr/>
        <w:t>Rica:</w:t>
      </w:r>
      <w:r>
        <w:rPr>
          <w:spacing w:val="-5"/>
        </w:rPr>
        <w:t> </w:t>
      </w:r>
      <w:r>
        <w:rPr/>
        <w:t>Indicadores</w:t>
      </w:r>
      <w:r>
        <w:rPr>
          <w:spacing w:val="-6"/>
        </w:rPr>
        <w:t> </w:t>
      </w:r>
      <w:r>
        <w:rPr/>
        <w:t>macroeconómicos</w:t>
      </w:r>
      <w:r>
        <w:rPr>
          <w:spacing w:val="-6"/>
        </w:rPr>
        <w:t> </w:t>
      </w:r>
      <w:r>
        <w:rPr/>
        <w:t>y</w:t>
      </w:r>
      <w:r>
        <w:rPr>
          <w:spacing w:val="-4"/>
        </w:rPr>
        <w:t> </w:t>
      </w:r>
      <w:r>
        <w:rPr/>
        <w:t>sociales</w:t>
      </w:r>
      <w:r>
        <w:rPr>
          <w:spacing w:val="-6"/>
        </w:rPr>
        <w:t> </w:t>
      </w:r>
      <w:r>
        <w:rPr/>
        <w:t>seleccionados, </w:t>
      </w:r>
      <w:r>
        <w:rPr>
          <w:spacing w:val="-2"/>
        </w:rPr>
        <w:t>2010-2025</w:t>
      </w:r>
    </w:p>
    <w:p>
      <w:pPr>
        <w:spacing w:line="240" w:lineRule="auto"/>
        <w:ind w:left="1625" w:right="0" w:firstLine="0"/>
        <w:rPr>
          <w:sz w:val="20"/>
        </w:rPr>
      </w:pPr>
      <w:r>
        <w:rPr>
          <w:sz w:val="20"/>
        </w:rPr>
        <w:drawing>
          <wp:inline distT="0" distB="0" distL="0" distR="0">
            <wp:extent cx="5843268" cy="3218878"/>
            <wp:effectExtent l="0" t="0" r="0" b="0"/>
            <wp:docPr id="69" name="Image 69"/>
            <wp:cNvGraphicFramePr>
              <a:graphicFrameLocks/>
            </wp:cNvGraphicFramePr>
            <a:graphic>
              <a:graphicData uri="http://schemas.openxmlformats.org/drawingml/2006/picture">
                <pic:pic>
                  <pic:nvPicPr>
                    <pic:cNvPr id="69" name="Image 69"/>
                    <pic:cNvPicPr/>
                  </pic:nvPicPr>
                  <pic:blipFill>
                    <a:blip r:embed="rId40" cstate="print"/>
                    <a:stretch>
                      <a:fillRect/>
                    </a:stretch>
                  </pic:blipFill>
                  <pic:spPr>
                    <a:xfrm>
                      <a:off x="0" y="0"/>
                      <a:ext cx="5843268" cy="3218878"/>
                    </a:xfrm>
                    <a:prstGeom prst="rect">
                      <a:avLst/>
                    </a:prstGeom>
                  </pic:spPr>
                </pic:pic>
              </a:graphicData>
            </a:graphic>
          </wp:inline>
        </w:drawing>
      </w:r>
      <w:r>
        <w:rPr>
          <w:sz w:val="20"/>
        </w:rPr>
      </w:r>
    </w:p>
    <w:p>
      <w:pPr>
        <w:spacing w:after="0" w:line="240" w:lineRule="auto"/>
        <w:rPr>
          <w:sz w:val="20"/>
        </w:rPr>
        <w:sectPr>
          <w:pgSz w:w="12240" w:h="15840"/>
          <w:pgMar w:header="0" w:footer="1576" w:top="1000" w:bottom="1760" w:left="360" w:right="0"/>
        </w:sectPr>
      </w:pPr>
    </w:p>
    <w:p>
      <w:pPr>
        <w:spacing w:before="77"/>
        <w:ind w:left="1625" w:right="1606" w:firstLine="0"/>
        <w:jc w:val="both"/>
        <w:rPr>
          <w:sz w:val="20"/>
        </w:rPr>
      </w:pPr>
      <w:r>
        <w:rPr>
          <w:sz w:val="20"/>
        </w:rPr>
        <w:t>Fuente: Elaboración propia. BCCR: variables macroeconómicas; INEC-ENAHO 2010-2025: coeficientes</w:t>
      </w:r>
      <w:r>
        <w:rPr>
          <w:spacing w:val="-13"/>
          <w:sz w:val="20"/>
        </w:rPr>
        <w:t> </w:t>
      </w:r>
      <w:r>
        <w:rPr>
          <w:sz w:val="20"/>
        </w:rPr>
        <w:t>de</w:t>
      </w:r>
      <w:r>
        <w:rPr>
          <w:spacing w:val="-14"/>
          <w:sz w:val="20"/>
        </w:rPr>
        <w:t> </w:t>
      </w:r>
      <w:r>
        <w:rPr>
          <w:sz w:val="20"/>
        </w:rPr>
        <w:t>Gini;</w:t>
      </w:r>
      <w:r>
        <w:rPr>
          <w:spacing w:val="-14"/>
          <w:sz w:val="20"/>
        </w:rPr>
        <w:t> </w:t>
      </w:r>
      <w:r>
        <w:rPr>
          <w:sz w:val="20"/>
        </w:rPr>
        <w:t>INEC-ECE:</w:t>
      </w:r>
      <w:r>
        <w:rPr>
          <w:spacing w:val="-14"/>
          <w:sz w:val="20"/>
        </w:rPr>
        <w:t> </w:t>
      </w:r>
      <w:r>
        <w:rPr>
          <w:sz w:val="20"/>
        </w:rPr>
        <w:t>tasa</w:t>
      </w:r>
      <w:r>
        <w:rPr>
          <w:spacing w:val="-14"/>
          <w:sz w:val="20"/>
        </w:rPr>
        <w:t> </w:t>
      </w:r>
      <w:r>
        <w:rPr>
          <w:sz w:val="20"/>
        </w:rPr>
        <w:t>de</w:t>
      </w:r>
      <w:r>
        <w:rPr>
          <w:spacing w:val="-14"/>
          <w:sz w:val="20"/>
        </w:rPr>
        <w:t> </w:t>
      </w:r>
      <w:r>
        <w:rPr>
          <w:sz w:val="20"/>
        </w:rPr>
        <w:t>desempleo</w:t>
      </w:r>
      <w:r>
        <w:rPr>
          <w:spacing w:val="-13"/>
          <w:sz w:val="20"/>
        </w:rPr>
        <w:t> </w:t>
      </w:r>
      <w:r>
        <w:rPr>
          <w:sz w:val="20"/>
        </w:rPr>
        <w:t>abierto.</w:t>
      </w:r>
      <w:r>
        <w:rPr>
          <w:spacing w:val="-14"/>
          <w:sz w:val="20"/>
        </w:rPr>
        <w:t> </w:t>
      </w:r>
      <w:r>
        <w:rPr>
          <w:sz w:val="20"/>
        </w:rPr>
        <w:t>Nota:</w:t>
      </w:r>
      <w:r>
        <w:rPr>
          <w:spacing w:val="-11"/>
          <w:sz w:val="20"/>
        </w:rPr>
        <w:t> </w:t>
      </w:r>
      <w:r>
        <w:rPr>
          <w:sz w:val="20"/>
        </w:rPr>
        <w:t>la</w:t>
      </w:r>
      <w:r>
        <w:rPr>
          <w:spacing w:val="-14"/>
          <w:sz w:val="20"/>
        </w:rPr>
        <w:t> </w:t>
      </w:r>
      <w:r>
        <w:rPr>
          <w:sz w:val="20"/>
        </w:rPr>
        <w:t>tasa</w:t>
      </w:r>
      <w:r>
        <w:rPr>
          <w:spacing w:val="-14"/>
          <w:sz w:val="20"/>
        </w:rPr>
        <w:t> </w:t>
      </w:r>
      <w:r>
        <w:rPr>
          <w:sz w:val="20"/>
        </w:rPr>
        <w:t>de</w:t>
      </w:r>
      <w:r>
        <w:rPr>
          <w:spacing w:val="-14"/>
          <w:sz w:val="20"/>
        </w:rPr>
        <w:t> </w:t>
      </w:r>
      <w:r>
        <w:rPr>
          <w:sz w:val="20"/>
        </w:rPr>
        <w:t>desempleo</w:t>
      </w:r>
      <w:r>
        <w:rPr>
          <w:spacing w:val="-14"/>
          <w:sz w:val="20"/>
        </w:rPr>
        <w:t> </w:t>
      </w:r>
      <w:r>
        <w:rPr>
          <w:sz w:val="20"/>
        </w:rPr>
        <w:t>de</w:t>
      </w:r>
      <w:r>
        <w:rPr>
          <w:spacing w:val="-12"/>
          <w:sz w:val="20"/>
        </w:rPr>
        <w:t> </w:t>
      </w:r>
      <w:r>
        <w:rPr>
          <w:sz w:val="20"/>
        </w:rPr>
        <w:t>la</w:t>
      </w:r>
      <w:r>
        <w:rPr>
          <w:spacing w:val="-14"/>
          <w:sz w:val="20"/>
        </w:rPr>
        <w:t> </w:t>
      </w:r>
      <w:r>
        <w:rPr>
          <w:sz w:val="20"/>
        </w:rPr>
        <w:t>tabla corresponde a la serie ECE y no a la estimación ENAHO.</w:t>
      </w:r>
    </w:p>
    <w:p>
      <w:pPr>
        <w:pStyle w:val="BodyText"/>
        <w:rPr>
          <w:sz w:val="20"/>
        </w:rPr>
      </w:pPr>
    </w:p>
    <w:p>
      <w:pPr>
        <w:pStyle w:val="BodyText"/>
        <w:rPr>
          <w:sz w:val="20"/>
        </w:rPr>
      </w:pPr>
    </w:p>
    <w:p>
      <w:pPr>
        <w:pStyle w:val="BodyText"/>
        <w:ind w:left="1625" w:right="1602"/>
        <w:jc w:val="both"/>
      </w:pPr>
      <w:r>
        <w:rPr/>
        <w:t>El análisis del gráfico 9 sobre la tasa neta de participación laboral entre 1990 y 2025 muestra</w:t>
      </w:r>
      <w:r>
        <w:rPr>
          <w:spacing w:val="-3"/>
        </w:rPr>
        <w:t> </w:t>
      </w:r>
      <w:r>
        <w:rPr/>
        <w:t>transformaciones</w:t>
      </w:r>
      <w:r>
        <w:rPr>
          <w:spacing w:val="-1"/>
        </w:rPr>
        <w:t> </w:t>
      </w:r>
      <w:r>
        <w:rPr/>
        <w:t>importantes</w:t>
      </w:r>
      <w:r>
        <w:rPr>
          <w:spacing w:val="-3"/>
        </w:rPr>
        <w:t> </w:t>
      </w:r>
      <w:r>
        <w:rPr/>
        <w:t>en</w:t>
      </w:r>
      <w:r>
        <w:rPr>
          <w:spacing w:val="-3"/>
        </w:rPr>
        <w:t> </w:t>
      </w:r>
      <w:r>
        <w:rPr/>
        <w:t>la</w:t>
      </w:r>
      <w:r>
        <w:rPr>
          <w:spacing w:val="-3"/>
        </w:rPr>
        <w:t> </w:t>
      </w:r>
      <w:r>
        <w:rPr/>
        <w:t>dinámica</w:t>
      </w:r>
      <w:r>
        <w:rPr>
          <w:spacing w:val="-1"/>
        </w:rPr>
        <w:t> </w:t>
      </w:r>
      <w:r>
        <w:rPr/>
        <w:t>laboral</w:t>
      </w:r>
      <w:r>
        <w:rPr>
          <w:spacing w:val="-2"/>
        </w:rPr>
        <w:t> </w:t>
      </w:r>
      <w:r>
        <w:rPr/>
        <w:t>del</w:t>
      </w:r>
      <w:r>
        <w:rPr>
          <w:spacing w:val="-3"/>
        </w:rPr>
        <w:t> </w:t>
      </w:r>
      <w:r>
        <w:rPr/>
        <w:t>país,</w:t>
      </w:r>
      <w:r>
        <w:rPr>
          <w:spacing w:val="-2"/>
        </w:rPr>
        <w:t> </w:t>
      </w:r>
      <w:r>
        <w:rPr/>
        <w:t>especialmente</w:t>
      </w:r>
      <w:r>
        <w:rPr>
          <w:spacing w:val="-3"/>
        </w:rPr>
        <w:t> </w:t>
      </w:r>
      <w:r>
        <w:rPr/>
        <w:t>en la evolución de la participación femenina y en la persistencia de la brecha por sexo. La lectura de largo plazo debe considerar, además, el cambio metodológico ocurrido en 2010,</w:t>
      </w:r>
      <w:r>
        <w:rPr>
          <w:spacing w:val="-4"/>
        </w:rPr>
        <w:t> </w:t>
      </w:r>
      <w:r>
        <w:rPr/>
        <w:t>cuando</w:t>
      </w:r>
      <w:r>
        <w:rPr>
          <w:spacing w:val="-5"/>
        </w:rPr>
        <w:t> </w:t>
      </w:r>
      <w:r>
        <w:rPr/>
        <w:t>la</w:t>
      </w:r>
      <w:r>
        <w:rPr>
          <w:spacing w:val="-3"/>
        </w:rPr>
        <w:t> </w:t>
      </w:r>
      <w:r>
        <w:rPr/>
        <w:t>Encuesta</w:t>
      </w:r>
      <w:r>
        <w:rPr>
          <w:spacing w:val="-3"/>
        </w:rPr>
        <w:t> </w:t>
      </w:r>
      <w:r>
        <w:rPr/>
        <w:t>de</w:t>
      </w:r>
      <w:r>
        <w:rPr>
          <w:spacing w:val="-5"/>
        </w:rPr>
        <w:t> </w:t>
      </w:r>
      <w:r>
        <w:rPr/>
        <w:t>Hogares</w:t>
      </w:r>
      <w:r>
        <w:rPr>
          <w:spacing w:val="-5"/>
        </w:rPr>
        <w:t> </w:t>
      </w:r>
      <w:r>
        <w:rPr/>
        <w:t>de</w:t>
      </w:r>
      <w:r>
        <w:rPr>
          <w:spacing w:val="-5"/>
        </w:rPr>
        <w:t> </w:t>
      </w:r>
      <w:r>
        <w:rPr/>
        <w:t>Propósitos</w:t>
      </w:r>
      <w:r>
        <w:rPr>
          <w:spacing w:val="-5"/>
        </w:rPr>
        <w:t> </w:t>
      </w:r>
      <w:r>
        <w:rPr/>
        <w:t>Múltiples</w:t>
      </w:r>
      <w:r>
        <w:rPr>
          <w:spacing w:val="-5"/>
        </w:rPr>
        <w:t> </w:t>
      </w:r>
      <w:r>
        <w:rPr/>
        <w:t>(EHPM)</w:t>
      </w:r>
      <w:r>
        <w:rPr>
          <w:spacing w:val="-4"/>
        </w:rPr>
        <w:t> </w:t>
      </w:r>
      <w:r>
        <w:rPr/>
        <w:t>fue</w:t>
      </w:r>
      <w:r>
        <w:rPr>
          <w:spacing w:val="-5"/>
        </w:rPr>
        <w:t> </w:t>
      </w:r>
      <w:r>
        <w:rPr/>
        <w:t>sustituida</w:t>
      </w:r>
      <w:r>
        <w:rPr>
          <w:spacing w:val="-5"/>
        </w:rPr>
        <w:t> </w:t>
      </w:r>
      <w:r>
        <w:rPr/>
        <w:t>por la Encuesta Nacional de Hogares (ENAHO).</w:t>
      </w:r>
    </w:p>
    <w:p>
      <w:pPr>
        <w:pStyle w:val="BodyText"/>
        <w:ind w:left="1625" w:right="1603"/>
        <w:jc w:val="both"/>
      </w:pPr>
      <w:r>
        <w:rPr/>
        <w:t>En términos agregados, la tasa neta de participación se ubicó en 53,50% en 1990. Tras varias</w:t>
      </w:r>
      <w:r>
        <w:rPr>
          <w:spacing w:val="-6"/>
        </w:rPr>
        <w:t> </w:t>
      </w:r>
      <w:r>
        <w:rPr/>
        <w:t>décadas</w:t>
      </w:r>
      <w:r>
        <w:rPr>
          <w:spacing w:val="-8"/>
        </w:rPr>
        <w:t> </w:t>
      </w:r>
      <w:r>
        <w:rPr/>
        <w:t>de</w:t>
      </w:r>
      <w:r>
        <w:rPr>
          <w:spacing w:val="-8"/>
        </w:rPr>
        <w:t> </w:t>
      </w:r>
      <w:r>
        <w:rPr/>
        <w:t>cambios</w:t>
      </w:r>
      <w:r>
        <w:rPr>
          <w:spacing w:val="-6"/>
        </w:rPr>
        <w:t> </w:t>
      </w:r>
      <w:r>
        <w:rPr/>
        <w:t>en</w:t>
      </w:r>
      <w:r>
        <w:rPr>
          <w:spacing w:val="-7"/>
        </w:rPr>
        <w:t> </w:t>
      </w:r>
      <w:r>
        <w:rPr/>
        <w:t>la</w:t>
      </w:r>
      <w:r>
        <w:rPr>
          <w:spacing w:val="-8"/>
        </w:rPr>
        <w:t> </w:t>
      </w:r>
      <w:r>
        <w:rPr/>
        <w:t>incorporación</w:t>
      </w:r>
      <w:r>
        <w:rPr>
          <w:spacing w:val="-8"/>
        </w:rPr>
        <w:t> </w:t>
      </w:r>
      <w:r>
        <w:rPr/>
        <w:t>de</w:t>
      </w:r>
      <w:r>
        <w:rPr>
          <w:spacing w:val="-8"/>
        </w:rPr>
        <w:t> </w:t>
      </w:r>
      <w:r>
        <w:rPr/>
        <w:t>la</w:t>
      </w:r>
      <w:r>
        <w:rPr>
          <w:spacing w:val="-6"/>
        </w:rPr>
        <w:t> </w:t>
      </w:r>
      <w:r>
        <w:rPr/>
        <w:t>población</w:t>
      </w:r>
      <w:r>
        <w:rPr>
          <w:spacing w:val="-7"/>
        </w:rPr>
        <w:t> </w:t>
      </w:r>
      <w:r>
        <w:rPr/>
        <w:t>al</w:t>
      </w:r>
      <w:r>
        <w:rPr>
          <w:spacing w:val="-9"/>
        </w:rPr>
        <w:t> </w:t>
      </w:r>
      <w:r>
        <w:rPr/>
        <w:t>mercado</w:t>
      </w:r>
      <w:r>
        <w:rPr>
          <w:spacing w:val="-11"/>
        </w:rPr>
        <w:t> </w:t>
      </w:r>
      <w:r>
        <w:rPr/>
        <w:t>de</w:t>
      </w:r>
      <w:r>
        <w:rPr>
          <w:spacing w:val="-7"/>
        </w:rPr>
        <w:t> </w:t>
      </w:r>
      <w:r>
        <w:rPr/>
        <w:t>trabajo</w:t>
      </w:r>
      <w:r>
        <w:rPr>
          <w:spacing w:val="-8"/>
        </w:rPr>
        <w:t> </w:t>
      </w:r>
      <w:r>
        <w:rPr/>
        <w:t>y</w:t>
      </w:r>
      <w:r>
        <w:rPr>
          <w:spacing w:val="-7"/>
        </w:rPr>
        <w:t> </w:t>
      </w:r>
      <w:r>
        <w:rPr/>
        <w:t>el retroceso observado durante la pandemia, la ENAHO registró una tasa de 54,45% en 2024 y de 56,29% en 2025. El aumento más reciente constituye una recuperación numérica respecto del año anterior, pero debe analizarse junto con la evolución del empleo, el desempleo y la población fuera de la fuerza de trabajo.</w:t>
      </w:r>
    </w:p>
    <w:p>
      <w:pPr>
        <w:pStyle w:val="BodyText"/>
      </w:pPr>
    </w:p>
    <w:p>
      <w:pPr>
        <w:pStyle w:val="BodyText"/>
        <w:ind w:left="1625" w:right="1607"/>
        <w:jc w:val="both"/>
      </w:pPr>
      <w:r>
        <w:rPr/>
        <w:t>La participación laboral masculina se mantiene por encima de la femenina a lo largo de toda la serie. En 1990, la tasa masculina se ubicó en 77,00%. Aunque su trayectoria presenta oscilaciones, en el largo plazo se observa una reducción de la participación masculina, asociada con transformaciones demográficas, educativas y del mercado de trabajo. En los años recientes, la tasa continúa claramente por encima de la femenina.</w:t>
      </w:r>
    </w:p>
    <w:p>
      <w:pPr>
        <w:pStyle w:val="BodyText"/>
        <w:spacing w:before="252"/>
        <w:ind w:left="1625" w:right="1606"/>
        <w:jc w:val="both"/>
      </w:pPr>
      <w:r>
        <w:rPr/>
        <w:t>La participación femenina, por su parte, se ubicó en 30,30% en 1990 y mostró una tendencia ascendente de largo plazo. En 2024 alcanzó 43,01% y la serie actualizada muestra una recuperación adicional en 2025. Este avance no elimina las barreras estructurales que condicionan la participación de las mujeres, entre ellas la distribución desigual de las responsabilidades de cuidado, las dificultades de acceso y permanencia en empleos de calidad y las brechas territoriales.</w:t>
      </w:r>
    </w:p>
    <w:p>
      <w:pPr>
        <w:pStyle w:val="BodyText"/>
        <w:spacing w:before="1"/>
      </w:pPr>
    </w:p>
    <w:p>
      <w:pPr>
        <w:pStyle w:val="BodyText"/>
        <w:ind w:left="1625" w:right="1605"/>
        <w:jc w:val="both"/>
      </w:pPr>
      <w:r>
        <w:rPr/>
        <w:t>En consecuencia, la brecha entre las</w:t>
      </w:r>
      <w:r>
        <w:rPr>
          <w:spacing w:val="-1"/>
        </w:rPr>
        <w:t> </w:t>
      </w:r>
      <w:r>
        <w:rPr/>
        <w:t>tasas de</w:t>
      </w:r>
      <w:r>
        <w:rPr>
          <w:spacing w:val="-1"/>
        </w:rPr>
        <w:t> </w:t>
      </w:r>
      <w:r>
        <w:rPr/>
        <w:t>participación masculina y femenina</w:t>
      </w:r>
      <w:r>
        <w:rPr>
          <w:spacing w:val="-1"/>
        </w:rPr>
        <w:t> </w:t>
      </w:r>
      <w:r>
        <w:rPr/>
        <w:t>se ha reducido de manera importante: pasó de 46,70 puntos porcentuales en 1990 a 24,36 puntos porcentuales en 2024. La observación de 2025 mantiene una distancia amplia entre ambas tasas, por lo que el cierre de esta brecha continúa siendo un reto para la política pública y para las estrategias</w:t>
      </w:r>
      <w:r>
        <w:rPr>
          <w:spacing w:val="-1"/>
        </w:rPr>
        <w:t> </w:t>
      </w:r>
      <w:r>
        <w:rPr/>
        <w:t>de</w:t>
      </w:r>
      <w:r>
        <w:rPr>
          <w:spacing w:val="-1"/>
        </w:rPr>
        <w:t> </w:t>
      </w:r>
      <w:r>
        <w:rPr/>
        <w:t>inclusión laboral</w:t>
      </w:r>
      <w:r>
        <w:rPr>
          <w:spacing w:val="-1"/>
        </w:rPr>
        <w:t> </w:t>
      </w:r>
      <w:r>
        <w:rPr/>
        <w:t>y autonomía económica de</w:t>
      </w:r>
      <w:r>
        <w:rPr>
          <w:spacing w:val="-1"/>
        </w:rPr>
        <w:t> </w:t>
      </w:r>
      <w:r>
        <w:rPr/>
        <w:t>las </w:t>
      </w:r>
      <w:r>
        <w:rPr>
          <w:spacing w:val="-2"/>
        </w:rPr>
        <w:t>mujeres.</w:t>
      </w:r>
    </w:p>
    <w:p>
      <w:pPr>
        <w:pStyle w:val="BodyText"/>
        <w:spacing w:after="0"/>
        <w:jc w:val="both"/>
        <w:sectPr>
          <w:pgSz w:w="12240" w:h="15840"/>
          <w:pgMar w:header="0" w:footer="1576" w:top="1000" w:bottom="1760" w:left="360" w:right="0"/>
        </w:sectPr>
      </w:pPr>
    </w:p>
    <w:p>
      <w:pPr>
        <w:pStyle w:val="Heading5"/>
        <w:spacing w:before="77"/>
        <w:ind w:left="4575" w:right="1186" w:hanging="3025"/>
      </w:pPr>
      <w:bookmarkStart w:name="_bookmark28" w:id="29"/>
      <w:bookmarkEnd w:id="29"/>
      <w:r>
        <w:rPr>
          <w:b w:val="0"/>
        </w:rPr>
      </w:r>
      <w:r>
        <w:rPr/>
        <w:t>Gráfico</w:t>
      </w:r>
      <w:r>
        <w:rPr>
          <w:spacing w:val="-4"/>
        </w:rPr>
        <w:t> </w:t>
      </w:r>
      <w:r>
        <w:rPr/>
        <w:t>9:</w:t>
      </w:r>
      <w:r>
        <w:rPr>
          <w:spacing w:val="-3"/>
        </w:rPr>
        <w:t> </w:t>
      </w:r>
      <w:r>
        <w:rPr/>
        <w:t>Costa</w:t>
      </w:r>
      <w:r>
        <w:rPr>
          <w:spacing w:val="-2"/>
        </w:rPr>
        <w:t> </w:t>
      </w:r>
      <w:r>
        <w:rPr/>
        <w:t>Rica:</w:t>
      </w:r>
      <w:r>
        <w:rPr>
          <w:spacing w:val="-5"/>
        </w:rPr>
        <w:t> </w:t>
      </w:r>
      <w:r>
        <w:rPr/>
        <w:t>Tasa</w:t>
      </w:r>
      <w:r>
        <w:rPr>
          <w:spacing w:val="-4"/>
        </w:rPr>
        <w:t> </w:t>
      </w:r>
      <w:r>
        <w:rPr/>
        <w:t>neta</w:t>
      </w:r>
      <w:r>
        <w:rPr>
          <w:spacing w:val="-4"/>
        </w:rPr>
        <w:t> </w:t>
      </w:r>
      <w:r>
        <w:rPr/>
        <w:t>de</w:t>
      </w:r>
      <w:r>
        <w:rPr>
          <w:spacing w:val="-2"/>
        </w:rPr>
        <w:t> </w:t>
      </w:r>
      <w:r>
        <w:rPr/>
        <w:t>participación</w:t>
      </w:r>
      <w:r>
        <w:rPr>
          <w:spacing w:val="-5"/>
        </w:rPr>
        <w:t> </w:t>
      </w:r>
      <w:r>
        <w:rPr/>
        <w:t>laboral</w:t>
      </w:r>
      <w:r>
        <w:rPr>
          <w:spacing w:val="-3"/>
        </w:rPr>
        <w:t> </w:t>
      </w:r>
      <w:r>
        <w:rPr/>
        <w:t>entre</w:t>
      </w:r>
      <w:r>
        <w:rPr>
          <w:spacing w:val="-1"/>
        </w:rPr>
        <w:t> </w:t>
      </w:r>
      <w:r>
        <w:rPr/>
        <w:t>personas</w:t>
      </w:r>
      <w:r>
        <w:rPr>
          <w:spacing w:val="-2"/>
        </w:rPr>
        <w:t> </w:t>
      </w:r>
      <w:r>
        <w:rPr/>
        <w:t>de</w:t>
      </w:r>
      <w:r>
        <w:rPr>
          <w:spacing w:val="-2"/>
        </w:rPr>
        <w:t> </w:t>
      </w:r>
      <w:r>
        <w:rPr/>
        <w:t>15</w:t>
      </w:r>
      <w:r>
        <w:rPr>
          <w:spacing w:val="-4"/>
        </w:rPr>
        <w:t> </w:t>
      </w:r>
      <w:r>
        <w:rPr/>
        <w:t>años</w:t>
      </w:r>
      <w:r>
        <w:rPr>
          <w:spacing w:val="-2"/>
        </w:rPr>
        <w:t> </w:t>
      </w:r>
      <w:r>
        <w:rPr/>
        <w:t>o más según sexo, 1990-2025</w:t>
      </w:r>
    </w:p>
    <w:p>
      <w:pPr>
        <w:spacing w:line="240" w:lineRule="auto"/>
        <w:ind w:left="1625" w:right="0" w:firstLine="0"/>
        <w:rPr>
          <w:sz w:val="20"/>
        </w:rPr>
      </w:pPr>
      <w:r>
        <w:rPr>
          <w:sz w:val="20"/>
        </w:rPr>
        <w:drawing>
          <wp:inline distT="0" distB="0" distL="0" distR="0">
            <wp:extent cx="5659678" cy="3038475"/>
            <wp:effectExtent l="0" t="0" r="0" b="0"/>
            <wp:docPr id="70" name="Image 70"/>
            <wp:cNvGraphicFramePr>
              <a:graphicFrameLocks/>
            </wp:cNvGraphicFramePr>
            <a:graphic>
              <a:graphicData uri="http://schemas.openxmlformats.org/drawingml/2006/picture">
                <pic:pic>
                  <pic:nvPicPr>
                    <pic:cNvPr id="70" name="Image 70"/>
                    <pic:cNvPicPr/>
                  </pic:nvPicPr>
                  <pic:blipFill>
                    <a:blip r:embed="rId41" cstate="print"/>
                    <a:stretch>
                      <a:fillRect/>
                    </a:stretch>
                  </pic:blipFill>
                  <pic:spPr>
                    <a:xfrm>
                      <a:off x="0" y="0"/>
                      <a:ext cx="5659678" cy="3038475"/>
                    </a:xfrm>
                    <a:prstGeom prst="rect">
                      <a:avLst/>
                    </a:prstGeom>
                  </pic:spPr>
                </pic:pic>
              </a:graphicData>
            </a:graphic>
          </wp:inline>
        </w:drawing>
      </w:r>
      <w:r>
        <w:rPr>
          <w:sz w:val="20"/>
        </w:rPr>
      </w:r>
    </w:p>
    <w:p>
      <w:pPr>
        <w:spacing w:before="0"/>
        <w:ind w:left="1625" w:right="0" w:firstLine="0"/>
        <w:jc w:val="both"/>
        <w:rPr>
          <w:i/>
          <w:sz w:val="18"/>
        </w:rPr>
      </w:pPr>
      <w:r>
        <w:rPr>
          <w:i/>
          <w:sz w:val="18"/>
        </w:rPr>
        <w:t>Nota:</w:t>
      </w:r>
      <w:r>
        <w:rPr>
          <w:i/>
          <w:spacing w:val="-3"/>
          <w:sz w:val="18"/>
        </w:rPr>
        <w:t> </w:t>
      </w:r>
      <w:r>
        <w:rPr>
          <w:i/>
          <w:sz w:val="18"/>
        </w:rPr>
        <w:t>TNPL</w:t>
      </w:r>
      <w:r>
        <w:rPr>
          <w:i/>
          <w:spacing w:val="-5"/>
          <w:sz w:val="18"/>
        </w:rPr>
        <w:t> </w:t>
      </w:r>
      <w:r>
        <w:rPr>
          <w:i/>
          <w:sz w:val="18"/>
        </w:rPr>
        <w:t>significa</w:t>
      </w:r>
      <w:r>
        <w:rPr>
          <w:i/>
          <w:spacing w:val="-5"/>
          <w:sz w:val="18"/>
        </w:rPr>
        <w:t> </w:t>
      </w:r>
      <w:r>
        <w:rPr>
          <w:i/>
          <w:sz w:val="18"/>
        </w:rPr>
        <w:t>Tasa</w:t>
      </w:r>
      <w:r>
        <w:rPr>
          <w:i/>
          <w:spacing w:val="-2"/>
          <w:sz w:val="18"/>
        </w:rPr>
        <w:t> </w:t>
      </w:r>
      <w:r>
        <w:rPr>
          <w:i/>
          <w:sz w:val="18"/>
        </w:rPr>
        <w:t>Neta</w:t>
      </w:r>
      <w:r>
        <w:rPr>
          <w:i/>
          <w:spacing w:val="-3"/>
          <w:sz w:val="18"/>
        </w:rPr>
        <w:t> </w:t>
      </w:r>
      <w:r>
        <w:rPr>
          <w:i/>
          <w:sz w:val="18"/>
        </w:rPr>
        <w:t>de</w:t>
      </w:r>
      <w:r>
        <w:rPr>
          <w:i/>
          <w:spacing w:val="-3"/>
          <w:sz w:val="18"/>
        </w:rPr>
        <w:t> </w:t>
      </w:r>
      <w:r>
        <w:rPr>
          <w:i/>
          <w:sz w:val="18"/>
        </w:rPr>
        <w:t>Participación</w:t>
      </w:r>
      <w:r>
        <w:rPr>
          <w:i/>
          <w:spacing w:val="-2"/>
          <w:sz w:val="18"/>
        </w:rPr>
        <w:t> Laboral.</w:t>
      </w:r>
    </w:p>
    <w:p>
      <w:pPr>
        <w:spacing w:before="0"/>
        <w:ind w:left="1625" w:right="1601" w:firstLine="0"/>
        <w:jc w:val="both"/>
        <w:rPr>
          <w:sz w:val="18"/>
        </w:rPr>
      </w:pPr>
      <w:r>
        <w:rPr>
          <w:sz w:val="18"/>
        </w:rPr>
        <w:t>Fuente: Elaboración propia con datos del Instituto Nacional de Estadística y Censos (INEC), EHPM 1990-2009 y ENAHO 2010-2025; procesamiento IMAS, Planificación Institucional.</w:t>
      </w:r>
    </w:p>
    <w:p>
      <w:pPr>
        <w:pStyle w:val="BodyText"/>
        <w:spacing w:before="192"/>
        <w:ind w:left="1625" w:right="1605"/>
        <w:jc w:val="both"/>
      </w:pPr>
      <w:r>
        <w:rPr/>
        <w:t>El gráfico 9 incorpora una línea vertical en 2010 para advertir el cambio de metodología entre la EHPM y la ENAHO. Esta señalización es necesaria porque la serie permite examinar la</w:t>
      </w:r>
      <w:r>
        <w:rPr>
          <w:spacing w:val="-3"/>
        </w:rPr>
        <w:t> </w:t>
      </w:r>
      <w:r>
        <w:rPr/>
        <w:t>tendencia de largo plazo,</w:t>
      </w:r>
      <w:r>
        <w:rPr>
          <w:spacing w:val="-1"/>
        </w:rPr>
        <w:t> </w:t>
      </w:r>
      <w:r>
        <w:rPr/>
        <w:t>pero los niveles anteriores y posteriores al</w:t>
      </w:r>
      <w:r>
        <w:rPr>
          <w:spacing w:val="-2"/>
        </w:rPr>
        <w:t> </w:t>
      </w:r>
      <w:r>
        <w:rPr/>
        <w:t>cambio no</w:t>
      </w:r>
      <w:r>
        <w:rPr>
          <w:spacing w:val="-3"/>
        </w:rPr>
        <w:t> </w:t>
      </w:r>
      <w:r>
        <w:rPr/>
        <w:t>deben</w:t>
      </w:r>
      <w:r>
        <w:rPr>
          <w:spacing w:val="-5"/>
        </w:rPr>
        <w:t> </w:t>
      </w:r>
      <w:r>
        <w:rPr/>
        <w:t>interpretarse</w:t>
      </w:r>
      <w:r>
        <w:rPr>
          <w:spacing w:val="-7"/>
        </w:rPr>
        <w:t> </w:t>
      </w:r>
      <w:r>
        <w:rPr/>
        <w:t>como</w:t>
      </w:r>
      <w:r>
        <w:rPr>
          <w:spacing w:val="-5"/>
        </w:rPr>
        <w:t> </w:t>
      </w:r>
      <w:r>
        <w:rPr/>
        <w:t>estrictamente</w:t>
      </w:r>
      <w:r>
        <w:rPr>
          <w:spacing w:val="-5"/>
        </w:rPr>
        <w:t> </w:t>
      </w:r>
      <w:r>
        <w:rPr/>
        <w:t>homogéneos.</w:t>
      </w:r>
      <w:r>
        <w:rPr>
          <w:spacing w:val="-4"/>
        </w:rPr>
        <w:t> </w:t>
      </w:r>
      <w:r>
        <w:rPr/>
        <w:t>El</w:t>
      </w:r>
      <w:r>
        <w:rPr>
          <w:spacing w:val="-3"/>
        </w:rPr>
        <w:t> </w:t>
      </w:r>
      <w:r>
        <w:rPr/>
        <w:t>dato</w:t>
      </w:r>
      <w:r>
        <w:rPr>
          <w:spacing w:val="-5"/>
        </w:rPr>
        <w:t> </w:t>
      </w:r>
      <w:r>
        <w:rPr/>
        <w:t>de</w:t>
      </w:r>
      <w:r>
        <w:rPr>
          <w:spacing w:val="-5"/>
        </w:rPr>
        <w:t> </w:t>
      </w:r>
      <w:r>
        <w:rPr/>
        <w:t>2025</w:t>
      </w:r>
      <w:r>
        <w:rPr>
          <w:spacing w:val="-8"/>
        </w:rPr>
        <w:t> </w:t>
      </w:r>
      <w:r>
        <w:rPr/>
        <w:t>corresponde</w:t>
      </w:r>
      <w:r>
        <w:rPr>
          <w:spacing w:val="-5"/>
        </w:rPr>
        <w:t> </w:t>
      </w:r>
      <w:r>
        <w:rPr/>
        <w:t>a la</w:t>
      </w:r>
      <w:r>
        <w:rPr>
          <w:spacing w:val="-2"/>
        </w:rPr>
        <w:t> </w:t>
      </w:r>
      <w:r>
        <w:rPr/>
        <w:t>actualización</w:t>
      </w:r>
      <w:r>
        <w:rPr>
          <w:spacing w:val="-2"/>
        </w:rPr>
        <w:t> </w:t>
      </w:r>
      <w:r>
        <w:rPr/>
        <w:t>anual</w:t>
      </w:r>
      <w:r>
        <w:rPr>
          <w:spacing w:val="-2"/>
        </w:rPr>
        <w:t> </w:t>
      </w:r>
      <w:r>
        <w:rPr/>
        <w:t>de</w:t>
      </w:r>
      <w:r>
        <w:rPr>
          <w:spacing w:val="-2"/>
        </w:rPr>
        <w:t> </w:t>
      </w:r>
      <w:r>
        <w:rPr/>
        <w:t>la</w:t>
      </w:r>
      <w:r>
        <w:rPr>
          <w:spacing w:val="-2"/>
        </w:rPr>
        <w:t> </w:t>
      </w:r>
      <w:r>
        <w:rPr/>
        <w:t>ENAHO y, por</w:t>
      </w:r>
      <w:r>
        <w:rPr>
          <w:spacing w:val="-3"/>
        </w:rPr>
        <w:t> </w:t>
      </w:r>
      <w:r>
        <w:rPr/>
        <w:t>ello,</w:t>
      </w:r>
      <w:r>
        <w:rPr>
          <w:spacing w:val="-1"/>
        </w:rPr>
        <w:t> </w:t>
      </w:r>
      <w:r>
        <w:rPr/>
        <w:t>se</w:t>
      </w:r>
      <w:r>
        <w:rPr>
          <w:spacing w:val="-4"/>
        </w:rPr>
        <w:t> </w:t>
      </w:r>
      <w:r>
        <w:rPr/>
        <w:t>mantiene</w:t>
      </w:r>
      <w:r>
        <w:rPr>
          <w:spacing w:val="-2"/>
        </w:rPr>
        <w:t> </w:t>
      </w:r>
      <w:r>
        <w:rPr/>
        <w:t>separado</w:t>
      </w:r>
      <w:r>
        <w:rPr>
          <w:spacing w:val="-2"/>
        </w:rPr>
        <w:t> </w:t>
      </w:r>
      <w:r>
        <w:rPr/>
        <w:t>de</w:t>
      </w:r>
      <w:r>
        <w:rPr>
          <w:spacing w:val="-2"/>
        </w:rPr>
        <w:t> </w:t>
      </w:r>
      <w:r>
        <w:rPr/>
        <w:t>los</w:t>
      </w:r>
      <w:r>
        <w:rPr>
          <w:spacing w:val="-2"/>
        </w:rPr>
        <w:t> </w:t>
      </w:r>
      <w:r>
        <w:rPr/>
        <w:t>indicadores trimestrales de la Encuesta Continua de Empleo (ECE), cuya periodicidad, diseño y período de referencia son distintos.</w:t>
      </w:r>
    </w:p>
    <w:p>
      <w:pPr>
        <w:pStyle w:val="BodyText"/>
        <w:spacing w:before="252"/>
        <w:ind w:left="1625" w:right="1603"/>
        <w:jc w:val="both"/>
      </w:pPr>
      <w:r>
        <w:rPr/>
        <w:t>En</w:t>
      </w:r>
      <w:r>
        <w:rPr>
          <w:spacing w:val="-10"/>
        </w:rPr>
        <w:t> </w:t>
      </w:r>
      <w:r>
        <w:rPr/>
        <w:t>síntesis,</w:t>
      </w:r>
      <w:r>
        <w:rPr>
          <w:spacing w:val="-8"/>
        </w:rPr>
        <w:t> </w:t>
      </w:r>
      <w:r>
        <w:rPr/>
        <w:t>Costa</w:t>
      </w:r>
      <w:r>
        <w:rPr>
          <w:spacing w:val="-10"/>
        </w:rPr>
        <w:t> </w:t>
      </w:r>
      <w:r>
        <w:rPr/>
        <w:t>Rica</w:t>
      </w:r>
      <w:r>
        <w:rPr>
          <w:spacing w:val="-10"/>
        </w:rPr>
        <w:t> </w:t>
      </w:r>
      <w:r>
        <w:rPr/>
        <w:t>ha</w:t>
      </w:r>
      <w:r>
        <w:rPr>
          <w:spacing w:val="-10"/>
        </w:rPr>
        <w:t> </w:t>
      </w:r>
      <w:r>
        <w:rPr/>
        <w:t>avanzado</w:t>
      </w:r>
      <w:r>
        <w:rPr>
          <w:spacing w:val="-10"/>
        </w:rPr>
        <w:t> </w:t>
      </w:r>
      <w:r>
        <w:rPr/>
        <w:t>en</w:t>
      </w:r>
      <w:r>
        <w:rPr>
          <w:spacing w:val="-13"/>
        </w:rPr>
        <w:t> </w:t>
      </w:r>
      <w:r>
        <w:rPr/>
        <w:t>la</w:t>
      </w:r>
      <w:r>
        <w:rPr>
          <w:spacing w:val="-10"/>
        </w:rPr>
        <w:t> </w:t>
      </w:r>
      <w:r>
        <w:rPr/>
        <w:t>reducción</w:t>
      </w:r>
      <w:r>
        <w:rPr>
          <w:spacing w:val="-10"/>
        </w:rPr>
        <w:t> </w:t>
      </w:r>
      <w:r>
        <w:rPr/>
        <w:t>de</w:t>
      </w:r>
      <w:r>
        <w:rPr>
          <w:spacing w:val="-10"/>
        </w:rPr>
        <w:t> </w:t>
      </w:r>
      <w:r>
        <w:rPr/>
        <w:t>la</w:t>
      </w:r>
      <w:r>
        <w:rPr>
          <w:spacing w:val="-10"/>
        </w:rPr>
        <w:t> </w:t>
      </w:r>
      <w:r>
        <w:rPr/>
        <w:t>brecha</w:t>
      </w:r>
      <w:r>
        <w:rPr>
          <w:spacing w:val="-10"/>
        </w:rPr>
        <w:t> </w:t>
      </w:r>
      <w:r>
        <w:rPr/>
        <w:t>de</w:t>
      </w:r>
      <w:r>
        <w:rPr>
          <w:spacing w:val="-13"/>
        </w:rPr>
        <w:t> </w:t>
      </w:r>
      <w:r>
        <w:rPr/>
        <w:t>participación</w:t>
      </w:r>
      <w:r>
        <w:rPr>
          <w:spacing w:val="-10"/>
        </w:rPr>
        <w:t> </w:t>
      </w:r>
      <w:r>
        <w:rPr/>
        <w:t>laboral por sexo, pero la distancia continúa siendo significativa. El aumento de la participación femenina observado en el largo plazo debe consolidarse mediante políticas activas de empleo, corresponsabilidad de los cuidados, formación pertinente, formalización y condiciones que favorezcan el acceso y la permanencia de las mujeres en empleos de calidad, sin perder de vista los cambios demográficos que también inciden en la participación total.</w:t>
      </w:r>
    </w:p>
    <w:p>
      <w:pPr>
        <w:pStyle w:val="BodyText"/>
      </w:pPr>
    </w:p>
    <w:p>
      <w:pPr>
        <w:pStyle w:val="BodyText"/>
        <w:ind w:left="1625" w:right="1608"/>
        <w:jc w:val="both"/>
      </w:pPr>
      <w:r>
        <w:rPr/>
        <w:t>Los resultados de ENAHO 2025 muestran que la niñez y la adolescencia continúan presentando una incidencia de pobreza superior al promedio nacional. La lectura combinada de LP e IPM permite distinguir entre pobreza por ingresos, privaciones multidimensionales y la coexistencia de ambas condiciones.</w:t>
      </w:r>
    </w:p>
    <w:p>
      <w:pPr>
        <w:pStyle w:val="BodyText"/>
      </w:pPr>
    </w:p>
    <w:p>
      <w:pPr>
        <w:pStyle w:val="BodyText"/>
        <w:ind w:left="1625" w:right="1606"/>
        <w:jc w:val="both"/>
      </w:pPr>
      <w:r>
        <w:rPr/>
        <w:t>En el grupo de 0 a 6 años, 11,66% presenta simultáneamente pobreza por LP e IPM, 18,12% es pobre solo por ingresos y 9,99% únicamente por IPM. En conjunto, 39,77% enfrenta</w:t>
      </w:r>
      <w:r>
        <w:rPr>
          <w:spacing w:val="-9"/>
        </w:rPr>
        <w:t> </w:t>
      </w:r>
      <w:r>
        <w:rPr/>
        <w:t>al</w:t>
      </w:r>
      <w:r>
        <w:rPr>
          <w:spacing w:val="-10"/>
        </w:rPr>
        <w:t> </w:t>
      </w:r>
      <w:r>
        <w:rPr/>
        <w:t>menos</w:t>
      </w:r>
      <w:r>
        <w:rPr>
          <w:spacing w:val="-9"/>
        </w:rPr>
        <w:t> </w:t>
      </w:r>
      <w:r>
        <w:rPr/>
        <w:t>una</w:t>
      </w:r>
      <w:r>
        <w:rPr>
          <w:spacing w:val="-11"/>
        </w:rPr>
        <w:t> </w:t>
      </w:r>
      <w:r>
        <w:rPr/>
        <w:t>forma</w:t>
      </w:r>
      <w:r>
        <w:rPr>
          <w:spacing w:val="-9"/>
        </w:rPr>
        <w:t> </w:t>
      </w:r>
      <w:r>
        <w:rPr/>
        <w:t>de</w:t>
      </w:r>
      <w:r>
        <w:rPr>
          <w:spacing w:val="-9"/>
        </w:rPr>
        <w:t> </w:t>
      </w:r>
      <w:r>
        <w:rPr/>
        <w:t>pobreza</w:t>
      </w:r>
      <w:r>
        <w:rPr>
          <w:spacing w:val="-9"/>
        </w:rPr>
        <w:t> </w:t>
      </w:r>
      <w:r>
        <w:rPr/>
        <w:t>y</w:t>
      </w:r>
      <w:r>
        <w:rPr>
          <w:spacing w:val="-8"/>
        </w:rPr>
        <w:t> </w:t>
      </w:r>
      <w:r>
        <w:rPr/>
        <w:t>60,23%</w:t>
      </w:r>
      <w:r>
        <w:rPr>
          <w:spacing w:val="-8"/>
        </w:rPr>
        <w:t> </w:t>
      </w:r>
      <w:r>
        <w:rPr/>
        <w:t>no</w:t>
      </w:r>
      <w:r>
        <w:rPr>
          <w:spacing w:val="-9"/>
        </w:rPr>
        <w:t> </w:t>
      </w:r>
      <w:r>
        <w:rPr/>
        <w:t>es</w:t>
      </w:r>
      <w:r>
        <w:rPr>
          <w:spacing w:val="-9"/>
        </w:rPr>
        <w:t> </w:t>
      </w:r>
      <w:r>
        <w:rPr/>
        <w:t>pobre</w:t>
      </w:r>
      <w:r>
        <w:rPr>
          <w:spacing w:val="-11"/>
        </w:rPr>
        <w:t> </w:t>
      </w:r>
      <w:r>
        <w:rPr/>
        <w:t>según</w:t>
      </w:r>
      <w:r>
        <w:rPr>
          <w:spacing w:val="-9"/>
        </w:rPr>
        <w:t> </w:t>
      </w:r>
      <w:r>
        <w:rPr/>
        <w:t>ninguno</w:t>
      </w:r>
      <w:r>
        <w:rPr>
          <w:spacing w:val="-9"/>
        </w:rPr>
        <w:t> </w:t>
      </w:r>
      <w:r>
        <w:rPr/>
        <w:t>de</w:t>
      </w:r>
      <w:r>
        <w:rPr>
          <w:spacing w:val="-9"/>
        </w:rPr>
        <w:t> </w:t>
      </w:r>
      <w:r>
        <w:rPr/>
        <w:t>los</w:t>
      </w:r>
      <w:r>
        <w:rPr>
          <w:spacing w:val="-9"/>
        </w:rPr>
        <w:t> </w:t>
      </w:r>
      <w:r>
        <w:rPr/>
        <w:t>dos métodos. Aunque el resultado mejora respecto de 2024, la primera infancia continúa siendo el grupo con mayor incidencia combinada.</w:t>
      </w:r>
    </w:p>
    <w:p>
      <w:pPr>
        <w:pStyle w:val="BodyText"/>
        <w:spacing w:after="0"/>
        <w:jc w:val="both"/>
        <w:sectPr>
          <w:pgSz w:w="12240" w:h="15840"/>
          <w:pgMar w:header="0" w:footer="1576" w:top="1000" w:bottom="1760" w:left="360" w:right="0"/>
        </w:sectPr>
      </w:pPr>
    </w:p>
    <w:p>
      <w:pPr>
        <w:pStyle w:val="Heading5"/>
        <w:spacing w:before="69"/>
        <w:ind w:left="3163" w:right="1444" w:hanging="1438"/>
      </w:pPr>
      <w:bookmarkStart w:name="_bookmark29" w:id="30"/>
      <w:bookmarkEnd w:id="30"/>
      <w:r>
        <w:rPr>
          <w:b w:val="0"/>
        </w:rPr>
      </w:r>
      <w:r>
        <w:rPr/>
        <w:t>Gráfico</w:t>
      </w:r>
      <w:r>
        <w:rPr>
          <w:spacing w:val="-5"/>
        </w:rPr>
        <w:t> </w:t>
      </w:r>
      <w:r>
        <w:rPr/>
        <w:t>10:</w:t>
      </w:r>
      <w:r>
        <w:rPr>
          <w:spacing w:val="-4"/>
        </w:rPr>
        <w:t> </w:t>
      </w:r>
      <w:r>
        <w:rPr/>
        <w:t>Costa</w:t>
      </w:r>
      <w:r>
        <w:rPr>
          <w:spacing w:val="-3"/>
        </w:rPr>
        <w:t> </w:t>
      </w:r>
      <w:r>
        <w:rPr/>
        <w:t>Rica:</w:t>
      </w:r>
      <w:r>
        <w:rPr>
          <w:spacing w:val="-4"/>
        </w:rPr>
        <w:t> </w:t>
      </w:r>
      <w:r>
        <w:rPr/>
        <w:t>Porcentaje</w:t>
      </w:r>
      <w:r>
        <w:rPr>
          <w:spacing w:val="-3"/>
        </w:rPr>
        <w:t> </w:t>
      </w:r>
      <w:r>
        <w:rPr/>
        <w:t>de</w:t>
      </w:r>
      <w:r>
        <w:rPr>
          <w:spacing w:val="-5"/>
        </w:rPr>
        <w:t> </w:t>
      </w:r>
      <w:r>
        <w:rPr/>
        <w:t>niñez</w:t>
      </w:r>
      <w:r>
        <w:rPr>
          <w:spacing w:val="-2"/>
        </w:rPr>
        <w:t> </w:t>
      </w:r>
      <w:r>
        <w:rPr/>
        <w:t>y</w:t>
      </w:r>
      <w:r>
        <w:rPr>
          <w:spacing w:val="-7"/>
        </w:rPr>
        <w:t> </w:t>
      </w:r>
      <w:r>
        <w:rPr/>
        <w:t>adolescencia</w:t>
      </w:r>
      <w:r>
        <w:rPr>
          <w:spacing w:val="-5"/>
        </w:rPr>
        <w:t> </w:t>
      </w:r>
      <w:r>
        <w:rPr/>
        <w:t>según</w:t>
      </w:r>
      <w:r>
        <w:rPr>
          <w:spacing w:val="-3"/>
        </w:rPr>
        <w:t> </w:t>
      </w:r>
      <w:r>
        <w:rPr/>
        <w:t>clasificación</w:t>
      </w:r>
      <w:r>
        <w:rPr>
          <w:spacing w:val="-5"/>
        </w:rPr>
        <w:t> </w:t>
      </w:r>
      <w:r>
        <w:rPr/>
        <w:t>de pobreza por método combinado y rango de edad, 2025</w:t>
      </w:r>
    </w:p>
    <w:p>
      <w:pPr>
        <w:pStyle w:val="BodyText"/>
        <w:spacing w:before="55"/>
        <w:rPr>
          <w:b/>
          <w:sz w:val="20"/>
        </w:rPr>
      </w:pPr>
      <w:r>
        <w:rPr>
          <w:b/>
          <w:sz w:val="20"/>
        </w:rPr>
        <w:drawing>
          <wp:anchor distT="0" distB="0" distL="0" distR="0" allowOverlap="1" layoutInCell="1" locked="0" behindDoc="1" simplePos="0" relativeHeight="487592960">
            <wp:simplePos x="0" y="0"/>
            <wp:positionH relativeFrom="page">
              <wp:posOffset>1342703</wp:posOffset>
            </wp:positionH>
            <wp:positionV relativeFrom="paragraph">
              <wp:posOffset>196475</wp:posOffset>
            </wp:positionV>
            <wp:extent cx="5453148" cy="3140964"/>
            <wp:effectExtent l="0" t="0" r="0" b="0"/>
            <wp:wrapTopAndBottom/>
            <wp:docPr id="71" name="Image 71"/>
            <wp:cNvGraphicFramePr>
              <a:graphicFrameLocks/>
            </wp:cNvGraphicFramePr>
            <a:graphic>
              <a:graphicData uri="http://schemas.openxmlformats.org/drawingml/2006/picture">
                <pic:pic>
                  <pic:nvPicPr>
                    <pic:cNvPr id="71" name="Image 71"/>
                    <pic:cNvPicPr/>
                  </pic:nvPicPr>
                  <pic:blipFill>
                    <a:blip r:embed="rId42" cstate="print"/>
                    <a:stretch>
                      <a:fillRect/>
                    </a:stretch>
                  </pic:blipFill>
                  <pic:spPr>
                    <a:xfrm>
                      <a:off x="0" y="0"/>
                      <a:ext cx="5453148" cy="3140964"/>
                    </a:xfrm>
                    <a:prstGeom prst="rect">
                      <a:avLst/>
                    </a:prstGeom>
                  </pic:spPr>
                </pic:pic>
              </a:graphicData>
            </a:graphic>
          </wp:anchor>
        </w:drawing>
      </w:r>
    </w:p>
    <w:p>
      <w:pPr>
        <w:spacing w:before="1"/>
        <w:ind w:left="1625" w:right="1614" w:firstLine="0"/>
        <w:jc w:val="both"/>
        <w:rPr>
          <w:sz w:val="20"/>
        </w:rPr>
      </w:pPr>
      <w:r>
        <w:rPr>
          <w:sz w:val="18"/>
        </w:rPr>
        <w:t>Fuente: Elaboración propia con datos del Instituto Nacional de Estadística y Censos (INEC), ENAHO 2025; procesamiento IMAS, Planificación Institucional</w:t>
      </w:r>
      <w:r>
        <w:rPr>
          <w:sz w:val="20"/>
        </w:rPr>
        <w:t>.</w:t>
      </w:r>
    </w:p>
    <w:p>
      <w:pPr>
        <w:pStyle w:val="BodyText"/>
        <w:spacing w:before="24"/>
        <w:rPr>
          <w:sz w:val="18"/>
        </w:rPr>
      </w:pPr>
    </w:p>
    <w:p>
      <w:pPr>
        <w:pStyle w:val="BodyText"/>
        <w:ind w:left="1625" w:right="1603"/>
        <w:jc w:val="both"/>
      </w:pPr>
      <w:r>
        <w:rPr/>
        <w:t>El gráfico 10 desagrega la pobreza de la niñez y adolescencia en cuatro categorías: pobreza</w:t>
      </w:r>
      <w:r>
        <w:rPr>
          <w:spacing w:val="-4"/>
        </w:rPr>
        <w:t> </w:t>
      </w:r>
      <w:r>
        <w:rPr/>
        <w:t>simultánea</w:t>
      </w:r>
      <w:r>
        <w:rPr>
          <w:spacing w:val="-4"/>
        </w:rPr>
        <w:t> </w:t>
      </w:r>
      <w:r>
        <w:rPr/>
        <w:t>por</w:t>
      </w:r>
      <w:r>
        <w:rPr>
          <w:spacing w:val="-5"/>
        </w:rPr>
        <w:t> </w:t>
      </w:r>
      <w:r>
        <w:rPr/>
        <w:t>LP</w:t>
      </w:r>
      <w:r>
        <w:rPr>
          <w:spacing w:val="-5"/>
        </w:rPr>
        <w:t> </w:t>
      </w:r>
      <w:r>
        <w:rPr/>
        <w:t>e</w:t>
      </w:r>
      <w:r>
        <w:rPr>
          <w:spacing w:val="-4"/>
        </w:rPr>
        <w:t> </w:t>
      </w:r>
      <w:r>
        <w:rPr/>
        <w:t>IPM,</w:t>
      </w:r>
      <w:r>
        <w:rPr>
          <w:spacing w:val="-5"/>
        </w:rPr>
        <w:t> </w:t>
      </w:r>
      <w:r>
        <w:rPr/>
        <w:t>pobreza</w:t>
      </w:r>
      <w:r>
        <w:rPr>
          <w:spacing w:val="-4"/>
        </w:rPr>
        <w:t> </w:t>
      </w:r>
      <w:r>
        <w:rPr/>
        <w:t>solo</w:t>
      </w:r>
      <w:r>
        <w:rPr>
          <w:spacing w:val="-9"/>
        </w:rPr>
        <w:t> </w:t>
      </w:r>
      <w:r>
        <w:rPr/>
        <w:t>por</w:t>
      </w:r>
      <w:r>
        <w:rPr>
          <w:spacing w:val="-3"/>
        </w:rPr>
        <w:t> </w:t>
      </w:r>
      <w:r>
        <w:rPr/>
        <w:t>LP,</w:t>
      </w:r>
      <w:r>
        <w:rPr>
          <w:spacing w:val="-5"/>
        </w:rPr>
        <w:t> </w:t>
      </w:r>
      <w:r>
        <w:rPr/>
        <w:t>pobreza</w:t>
      </w:r>
      <w:r>
        <w:rPr>
          <w:spacing w:val="-4"/>
        </w:rPr>
        <w:t> </w:t>
      </w:r>
      <w:r>
        <w:rPr/>
        <w:t>solo</w:t>
      </w:r>
      <w:r>
        <w:rPr>
          <w:spacing w:val="-6"/>
        </w:rPr>
        <w:t> </w:t>
      </w:r>
      <w:r>
        <w:rPr/>
        <w:t>por</w:t>
      </w:r>
      <w:r>
        <w:rPr>
          <w:spacing w:val="-5"/>
        </w:rPr>
        <w:t> </w:t>
      </w:r>
      <w:r>
        <w:rPr/>
        <w:t>IPM</w:t>
      </w:r>
      <w:r>
        <w:rPr>
          <w:spacing w:val="-3"/>
        </w:rPr>
        <w:t> </w:t>
      </w:r>
      <w:r>
        <w:rPr/>
        <w:t>y</w:t>
      </w:r>
      <w:r>
        <w:rPr>
          <w:spacing w:val="-6"/>
        </w:rPr>
        <w:t> </w:t>
      </w:r>
      <w:r>
        <w:rPr/>
        <w:t>ausencia de pobreza por ambos métodos. La primera infancia presenta la mayor incidencia combinada: 39,77% de las personas de 0 a 6 años enfrenta al menos una forma de pobreza. La proporción disminuye a 38,84% entre los 7 y 12 años y a 35,45% entre los 13</w:t>
      </w:r>
      <w:r>
        <w:rPr>
          <w:spacing w:val="-1"/>
        </w:rPr>
        <w:t> </w:t>
      </w:r>
      <w:r>
        <w:rPr/>
        <w:t>y</w:t>
      </w:r>
      <w:r>
        <w:rPr>
          <w:spacing w:val="-2"/>
        </w:rPr>
        <w:t> </w:t>
      </w:r>
      <w:r>
        <w:rPr/>
        <w:t>17</w:t>
      </w:r>
      <w:r>
        <w:rPr>
          <w:spacing w:val="-2"/>
        </w:rPr>
        <w:t> </w:t>
      </w:r>
      <w:r>
        <w:rPr/>
        <w:t>años.</w:t>
      </w:r>
      <w:r>
        <w:rPr>
          <w:spacing w:val="-2"/>
        </w:rPr>
        <w:t> </w:t>
      </w:r>
      <w:r>
        <w:rPr/>
        <w:t>El</w:t>
      </w:r>
      <w:r>
        <w:rPr>
          <w:spacing w:val="-1"/>
        </w:rPr>
        <w:t> </w:t>
      </w:r>
      <w:r>
        <w:rPr/>
        <w:t>patrón</w:t>
      </w:r>
      <w:r>
        <w:rPr>
          <w:spacing w:val="-4"/>
        </w:rPr>
        <w:t> </w:t>
      </w:r>
      <w:r>
        <w:rPr/>
        <w:t>evidencia que la</w:t>
      </w:r>
      <w:r>
        <w:rPr>
          <w:spacing w:val="-2"/>
        </w:rPr>
        <w:t> </w:t>
      </w:r>
      <w:r>
        <w:rPr/>
        <w:t>vulnerabilidad es particularmente intensa</w:t>
      </w:r>
      <w:r>
        <w:rPr>
          <w:spacing w:val="-2"/>
        </w:rPr>
        <w:t> </w:t>
      </w:r>
      <w:r>
        <w:rPr/>
        <w:t>en</w:t>
      </w:r>
      <w:r>
        <w:rPr>
          <w:spacing w:val="-2"/>
        </w:rPr>
        <w:t> </w:t>
      </w:r>
      <w:r>
        <w:rPr/>
        <w:t>las edades más tempranas y que las privaciones monetarias y multidimensionales se superponen en una fracción relevante de la población menor de edad.</w:t>
      </w:r>
    </w:p>
    <w:p>
      <w:pPr>
        <w:pStyle w:val="BodyText"/>
        <w:spacing w:before="252"/>
        <w:ind w:left="1625" w:right="1607"/>
        <w:jc w:val="both"/>
      </w:pPr>
      <w:r>
        <w:rPr/>
        <w:t>En el</w:t>
      </w:r>
      <w:r>
        <w:rPr>
          <w:spacing w:val="-1"/>
        </w:rPr>
        <w:t> </w:t>
      </w:r>
      <w:r>
        <w:rPr/>
        <w:t>grupo</w:t>
      </w:r>
      <w:r>
        <w:rPr>
          <w:spacing w:val="-2"/>
        </w:rPr>
        <w:t> </w:t>
      </w:r>
      <w:r>
        <w:rPr/>
        <w:t>de</w:t>
      </w:r>
      <w:r>
        <w:rPr>
          <w:spacing w:val="-2"/>
        </w:rPr>
        <w:t> </w:t>
      </w:r>
      <w:r>
        <w:rPr/>
        <w:t>7</w:t>
      </w:r>
      <w:r>
        <w:rPr>
          <w:spacing w:val="-2"/>
        </w:rPr>
        <w:t> </w:t>
      </w:r>
      <w:r>
        <w:rPr/>
        <w:t>a 12</w:t>
      </w:r>
      <w:r>
        <w:rPr>
          <w:spacing w:val="-2"/>
        </w:rPr>
        <w:t> </w:t>
      </w:r>
      <w:r>
        <w:rPr/>
        <w:t>años,</w:t>
      </w:r>
      <w:r>
        <w:rPr>
          <w:spacing w:val="-1"/>
        </w:rPr>
        <w:t> </w:t>
      </w:r>
      <w:r>
        <w:rPr/>
        <w:t>10,48%</w:t>
      </w:r>
      <w:r>
        <w:rPr>
          <w:spacing w:val="-1"/>
        </w:rPr>
        <w:t> </w:t>
      </w:r>
      <w:r>
        <w:rPr/>
        <w:t>presenta</w:t>
      </w:r>
      <w:r>
        <w:rPr>
          <w:spacing w:val="-2"/>
        </w:rPr>
        <w:t> </w:t>
      </w:r>
      <w:r>
        <w:rPr/>
        <w:t>pobreza</w:t>
      </w:r>
      <w:r>
        <w:rPr>
          <w:spacing w:val="-2"/>
        </w:rPr>
        <w:t> </w:t>
      </w:r>
      <w:r>
        <w:rPr/>
        <w:t>simultánea</w:t>
      </w:r>
      <w:r>
        <w:rPr>
          <w:spacing w:val="-2"/>
        </w:rPr>
        <w:t> </w:t>
      </w:r>
      <w:r>
        <w:rPr/>
        <w:t>por</w:t>
      </w:r>
      <w:r>
        <w:rPr>
          <w:spacing w:val="-1"/>
        </w:rPr>
        <w:t> </w:t>
      </w:r>
      <w:r>
        <w:rPr/>
        <w:t>LP e</w:t>
      </w:r>
      <w:r>
        <w:rPr>
          <w:spacing w:val="-2"/>
        </w:rPr>
        <w:t> </w:t>
      </w:r>
      <w:r>
        <w:rPr/>
        <w:t>IPM, 20,04% es pobre solo por ingresos y 8,32% únicamente por IPM. Por tanto, 38,84% enfrenta al menos una forma de pobreza y 61,16% no se clasifica como pobre bajo ninguno de los dos métodos.</w:t>
      </w:r>
    </w:p>
    <w:p>
      <w:pPr>
        <w:pStyle w:val="BodyText"/>
      </w:pPr>
    </w:p>
    <w:p>
      <w:pPr>
        <w:pStyle w:val="BodyText"/>
        <w:ind w:left="1625" w:right="1603"/>
        <w:jc w:val="both"/>
      </w:pPr>
      <w:r>
        <w:rPr>
          <w:spacing w:val="-2"/>
        </w:rPr>
        <w:t>Para</w:t>
      </w:r>
      <w:r>
        <w:rPr>
          <w:spacing w:val="-7"/>
        </w:rPr>
        <w:t> </w:t>
      </w:r>
      <w:r>
        <w:rPr>
          <w:spacing w:val="-2"/>
        </w:rPr>
        <w:t>las</w:t>
      </w:r>
      <w:r>
        <w:rPr>
          <w:spacing w:val="-10"/>
        </w:rPr>
        <w:t> </w:t>
      </w:r>
      <w:r>
        <w:rPr>
          <w:spacing w:val="-2"/>
        </w:rPr>
        <w:t>personas</w:t>
      </w:r>
      <w:r>
        <w:rPr>
          <w:spacing w:val="-10"/>
        </w:rPr>
        <w:t> </w:t>
      </w:r>
      <w:r>
        <w:rPr>
          <w:spacing w:val="-2"/>
        </w:rPr>
        <w:t>adolescentes</w:t>
      </w:r>
      <w:r>
        <w:rPr>
          <w:spacing w:val="-10"/>
        </w:rPr>
        <w:t> </w:t>
      </w:r>
      <w:r>
        <w:rPr>
          <w:spacing w:val="-2"/>
        </w:rPr>
        <w:t>de</w:t>
      </w:r>
      <w:r>
        <w:rPr>
          <w:spacing w:val="-10"/>
        </w:rPr>
        <w:t> </w:t>
      </w:r>
      <w:r>
        <w:rPr>
          <w:spacing w:val="-2"/>
        </w:rPr>
        <w:t>13</w:t>
      </w:r>
      <w:r>
        <w:rPr>
          <w:spacing w:val="-10"/>
        </w:rPr>
        <w:t> </w:t>
      </w:r>
      <w:r>
        <w:rPr>
          <w:spacing w:val="-2"/>
        </w:rPr>
        <w:t>a</w:t>
      </w:r>
      <w:r>
        <w:rPr>
          <w:spacing w:val="-10"/>
        </w:rPr>
        <w:t> </w:t>
      </w:r>
      <w:r>
        <w:rPr>
          <w:spacing w:val="-2"/>
        </w:rPr>
        <w:t>17</w:t>
      </w:r>
      <w:r>
        <w:rPr>
          <w:spacing w:val="-7"/>
        </w:rPr>
        <w:t> </w:t>
      </w:r>
      <w:r>
        <w:rPr>
          <w:spacing w:val="-2"/>
        </w:rPr>
        <w:t>años,</w:t>
      </w:r>
      <w:r>
        <w:rPr>
          <w:spacing w:val="-8"/>
        </w:rPr>
        <w:t> </w:t>
      </w:r>
      <w:r>
        <w:rPr>
          <w:spacing w:val="-2"/>
        </w:rPr>
        <w:t>la</w:t>
      </w:r>
      <w:r>
        <w:rPr>
          <w:spacing w:val="-7"/>
        </w:rPr>
        <w:t> </w:t>
      </w:r>
      <w:r>
        <w:rPr>
          <w:spacing w:val="-2"/>
        </w:rPr>
        <w:t>incidencia</w:t>
      </w:r>
      <w:r>
        <w:rPr>
          <w:spacing w:val="-7"/>
        </w:rPr>
        <w:t> </w:t>
      </w:r>
      <w:r>
        <w:rPr>
          <w:spacing w:val="-2"/>
        </w:rPr>
        <w:t>es</w:t>
      </w:r>
      <w:r>
        <w:rPr>
          <w:spacing w:val="-12"/>
        </w:rPr>
        <w:t> </w:t>
      </w:r>
      <w:r>
        <w:rPr>
          <w:spacing w:val="-2"/>
        </w:rPr>
        <w:t>menor</w:t>
      </w:r>
      <w:r>
        <w:rPr>
          <w:spacing w:val="-9"/>
        </w:rPr>
        <w:t> </w:t>
      </w:r>
      <w:r>
        <w:rPr>
          <w:spacing w:val="-2"/>
        </w:rPr>
        <w:t>que</w:t>
      </w:r>
      <w:r>
        <w:rPr>
          <w:spacing w:val="-7"/>
        </w:rPr>
        <w:t> </w:t>
      </w:r>
      <w:r>
        <w:rPr>
          <w:spacing w:val="-2"/>
        </w:rPr>
        <w:t>en</w:t>
      </w:r>
      <w:r>
        <w:rPr>
          <w:spacing w:val="-10"/>
        </w:rPr>
        <w:t> </w:t>
      </w:r>
      <w:r>
        <w:rPr>
          <w:spacing w:val="-2"/>
        </w:rPr>
        <w:t>los</w:t>
      </w:r>
      <w:r>
        <w:rPr>
          <w:spacing w:val="-10"/>
        </w:rPr>
        <w:t> </w:t>
      </w:r>
      <w:r>
        <w:rPr>
          <w:spacing w:val="-2"/>
        </w:rPr>
        <w:t>grupos </w:t>
      </w:r>
      <w:r>
        <w:rPr/>
        <w:t>más jóvenes: 8,78% presenta pobreza simultánea, 18,05% pobreza solo por ingresos y 8,62% pobreza únicamente por IPM. En total, 35,45% enfrenta al menos una forma de pobreza, mientras 64,54% no es pobre según ambos criterios.</w:t>
      </w:r>
    </w:p>
    <w:p>
      <w:pPr>
        <w:pStyle w:val="BodyText"/>
      </w:pPr>
    </w:p>
    <w:p>
      <w:pPr>
        <w:pStyle w:val="BodyText"/>
        <w:ind w:left="1625" w:right="1607"/>
        <w:jc w:val="both"/>
      </w:pPr>
      <w:r>
        <w:rPr/>
        <w:t>En términos agregados, 10,23% de la niñez y adolescencia presenta simultáneamente pobreza por LP</w:t>
      </w:r>
      <w:r>
        <w:rPr>
          <w:spacing w:val="-3"/>
        </w:rPr>
        <w:t> </w:t>
      </w:r>
      <w:r>
        <w:rPr/>
        <w:t>e</w:t>
      </w:r>
      <w:r>
        <w:rPr>
          <w:spacing w:val="-2"/>
        </w:rPr>
        <w:t> </w:t>
      </w:r>
      <w:r>
        <w:rPr/>
        <w:t>IPM, 18,81%</w:t>
      </w:r>
      <w:r>
        <w:rPr>
          <w:spacing w:val="-1"/>
        </w:rPr>
        <w:t> </w:t>
      </w:r>
      <w:r>
        <w:rPr/>
        <w:t>es pobre solo</w:t>
      </w:r>
      <w:r>
        <w:rPr>
          <w:spacing w:val="-2"/>
        </w:rPr>
        <w:t> </w:t>
      </w:r>
      <w:r>
        <w:rPr/>
        <w:t>por</w:t>
      </w:r>
      <w:r>
        <w:rPr>
          <w:spacing w:val="-1"/>
        </w:rPr>
        <w:t> </w:t>
      </w:r>
      <w:r>
        <w:rPr/>
        <w:t>ingresos</w:t>
      </w:r>
      <w:r>
        <w:rPr>
          <w:spacing w:val="-1"/>
        </w:rPr>
        <w:t> </w:t>
      </w:r>
      <w:r>
        <w:rPr/>
        <w:t>y 8,90%</w:t>
      </w:r>
      <w:r>
        <w:rPr>
          <w:spacing w:val="-1"/>
        </w:rPr>
        <w:t> </w:t>
      </w:r>
      <w:r>
        <w:rPr/>
        <w:t>únicamente</w:t>
      </w:r>
      <w:r>
        <w:rPr>
          <w:spacing w:val="-2"/>
        </w:rPr>
        <w:t> </w:t>
      </w:r>
      <w:r>
        <w:rPr/>
        <w:t>por</w:t>
      </w:r>
      <w:r>
        <w:rPr>
          <w:spacing w:val="-1"/>
        </w:rPr>
        <w:t> </w:t>
      </w:r>
      <w:r>
        <w:rPr/>
        <w:t>IPM. En consecuencia, aproximadamente 37,94% enfrenta al menos una</w:t>
      </w:r>
      <w:r>
        <w:rPr>
          <w:spacing w:val="-1"/>
        </w:rPr>
        <w:t> </w:t>
      </w:r>
      <w:r>
        <w:rPr/>
        <w:t>forma de pobreza y 62,07% no se encuentra en pobreza según ninguno de los dos métodos.</w:t>
      </w:r>
    </w:p>
    <w:p>
      <w:pPr>
        <w:pStyle w:val="BodyText"/>
        <w:spacing w:after="0"/>
        <w:jc w:val="both"/>
        <w:sectPr>
          <w:pgSz w:w="12240" w:h="15840"/>
          <w:pgMar w:header="0" w:footer="1576" w:top="1260" w:bottom="1760" w:left="360" w:right="0"/>
        </w:sectPr>
      </w:pPr>
    </w:p>
    <w:p>
      <w:pPr>
        <w:pStyle w:val="BodyText"/>
        <w:spacing w:before="77"/>
        <w:ind w:left="1625" w:right="1605"/>
        <w:jc w:val="both"/>
      </w:pPr>
      <w:r>
        <w:rPr/>
        <w:t>La</w:t>
      </w:r>
      <w:r>
        <w:rPr>
          <w:spacing w:val="-1"/>
        </w:rPr>
        <w:t> </w:t>
      </w:r>
      <w:r>
        <w:rPr/>
        <w:t>actualización</w:t>
      </w:r>
      <w:r>
        <w:rPr>
          <w:spacing w:val="-1"/>
        </w:rPr>
        <w:t> </w:t>
      </w:r>
      <w:r>
        <w:rPr/>
        <w:t>2025</w:t>
      </w:r>
      <w:r>
        <w:rPr>
          <w:spacing w:val="-1"/>
        </w:rPr>
        <w:t> </w:t>
      </w:r>
      <w:r>
        <w:rPr/>
        <w:t>evidencia una mejora importante respecto de</w:t>
      </w:r>
      <w:r>
        <w:rPr>
          <w:spacing w:val="-1"/>
        </w:rPr>
        <w:t> </w:t>
      </w:r>
      <w:r>
        <w:rPr/>
        <w:t>2024,</w:t>
      </w:r>
      <w:r>
        <w:rPr>
          <w:spacing w:val="-1"/>
        </w:rPr>
        <w:t> </w:t>
      </w:r>
      <w:r>
        <w:rPr/>
        <w:t>pero confirma que la pobreza infantil y adolescente requiere atención prioritaria. La combinación de insuficiencia de ingresos y privaciones multidimensionales puede comprometer las trayectorias educativas, la nutrición, el acceso a cuidados, la salud y las oportunidades </w:t>
      </w:r>
      <w:r>
        <w:rPr>
          <w:spacing w:val="-2"/>
        </w:rPr>
        <w:t>futuras.</w:t>
      </w:r>
    </w:p>
    <w:p>
      <w:pPr>
        <w:pStyle w:val="BodyText"/>
        <w:spacing w:before="253"/>
        <w:ind w:left="1625" w:right="1606"/>
        <w:jc w:val="both"/>
      </w:pPr>
      <w:r>
        <w:rPr/>
        <w:t>Estos hallazgos reafirman que la pobreza infantil y adolescente en Costa Rica no ha disminuido al mismo ritmo en todos los grupos etarios. La primera infancia sigue siendo la etapa de mayor riesgo, con niveles elevados de pobreza combinada, mientras que la niñez en edad escolar y las personas adolescentes enfrentan limitaciones que pueden comprometer sus trayectorias educativas y sus oportunidades futuras.</w:t>
      </w:r>
    </w:p>
    <w:p>
      <w:pPr>
        <w:pStyle w:val="BodyText"/>
        <w:spacing w:before="1"/>
      </w:pPr>
    </w:p>
    <w:p>
      <w:pPr>
        <w:pStyle w:val="BodyText"/>
        <w:ind w:left="1625" w:right="1600"/>
        <w:jc w:val="both"/>
      </w:pPr>
      <w:r>
        <w:rPr/>
        <w:t>Ante este panorama, resulta prioritario fortalecer políticas públicas integrales que prioricen la niñez y la adolescencia desde una perspectiva de derechos. Es necesario articular</w:t>
      </w:r>
      <w:r>
        <w:rPr>
          <w:spacing w:val="-10"/>
        </w:rPr>
        <w:t> </w:t>
      </w:r>
      <w:r>
        <w:rPr/>
        <w:t>estrategias</w:t>
      </w:r>
      <w:r>
        <w:rPr>
          <w:spacing w:val="-12"/>
        </w:rPr>
        <w:t> </w:t>
      </w:r>
      <w:r>
        <w:rPr/>
        <w:t>de</w:t>
      </w:r>
      <w:r>
        <w:rPr>
          <w:spacing w:val="-11"/>
        </w:rPr>
        <w:t> </w:t>
      </w:r>
      <w:r>
        <w:rPr/>
        <w:t>protección</w:t>
      </w:r>
      <w:r>
        <w:rPr>
          <w:spacing w:val="-13"/>
        </w:rPr>
        <w:t> </w:t>
      </w:r>
      <w:r>
        <w:rPr/>
        <w:t>social,</w:t>
      </w:r>
      <w:r>
        <w:rPr>
          <w:spacing w:val="-9"/>
        </w:rPr>
        <w:t> </w:t>
      </w:r>
      <w:r>
        <w:rPr/>
        <w:t>acceso</w:t>
      </w:r>
      <w:r>
        <w:rPr>
          <w:spacing w:val="-13"/>
        </w:rPr>
        <w:t> </w:t>
      </w:r>
      <w:r>
        <w:rPr/>
        <w:t>universal</w:t>
      </w:r>
      <w:r>
        <w:rPr>
          <w:spacing w:val="-11"/>
        </w:rPr>
        <w:t> </w:t>
      </w:r>
      <w:r>
        <w:rPr/>
        <w:t>a</w:t>
      </w:r>
      <w:r>
        <w:rPr>
          <w:spacing w:val="-11"/>
        </w:rPr>
        <w:t> </w:t>
      </w:r>
      <w:r>
        <w:rPr/>
        <w:t>servicios</w:t>
      </w:r>
      <w:r>
        <w:rPr>
          <w:spacing w:val="-11"/>
        </w:rPr>
        <w:t> </w:t>
      </w:r>
      <w:r>
        <w:rPr/>
        <w:t>básicos,</w:t>
      </w:r>
      <w:r>
        <w:rPr>
          <w:spacing w:val="-10"/>
        </w:rPr>
        <w:t> </w:t>
      </w:r>
      <w:r>
        <w:rPr/>
        <w:t>educación de calidad y programas de nutrición y desarrollo infantil temprano, especialmente en los primeros</w:t>
      </w:r>
      <w:r>
        <w:rPr>
          <w:spacing w:val="-11"/>
        </w:rPr>
        <w:t> </w:t>
      </w:r>
      <w:r>
        <w:rPr/>
        <w:t>años</w:t>
      </w:r>
      <w:r>
        <w:rPr>
          <w:spacing w:val="-11"/>
        </w:rPr>
        <w:t> </w:t>
      </w:r>
      <w:r>
        <w:rPr/>
        <w:t>de</w:t>
      </w:r>
      <w:r>
        <w:rPr>
          <w:spacing w:val="-9"/>
        </w:rPr>
        <w:t> </w:t>
      </w:r>
      <w:r>
        <w:rPr/>
        <w:t>vida.</w:t>
      </w:r>
      <w:r>
        <w:rPr>
          <w:spacing w:val="-10"/>
        </w:rPr>
        <w:t> </w:t>
      </w:r>
      <w:r>
        <w:rPr/>
        <w:t>Asimismo,</w:t>
      </w:r>
      <w:r>
        <w:rPr>
          <w:spacing w:val="-10"/>
        </w:rPr>
        <w:t> </w:t>
      </w:r>
      <w:r>
        <w:rPr/>
        <w:t>se</w:t>
      </w:r>
      <w:r>
        <w:rPr>
          <w:spacing w:val="-11"/>
        </w:rPr>
        <w:t> </w:t>
      </w:r>
      <w:r>
        <w:rPr/>
        <w:t>requiere</w:t>
      </w:r>
      <w:r>
        <w:rPr>
          <w:spacing w:val="-11"/>
        </w:rPr>
        <w:t> </w:t>
      </w:r>
      <w:r>
        <w:rPr/>
        <w:t>atención</w:t>
      </w:r>
      <w:r>
        <w:rPr>
          <w:spacing w:val="-9"/>
        </w:rPr>
        <w:t> </w:t>
      </w:r>
      <w:r>
        <w:rPr/>
        <w:t>diferenciada</w:t>
      </w:r>
      <w:r>
        <w:rPr>
          <w:spacing w:val="-9"/>
        </w:rPr>
        <w:t> </w:t>
      </w:r>
      <w:r>
        <w:rPr/>
        <w:t>por</w:t>
      </w:r>
      <w:r>
        <w:rPr>
          <w:spacing w:val="-9"/>
        </w:rPr>
        <w:t> </w:t>
      </w:r>
      <w:r>
        <w:rPr/>
        <w:t>grupo</w:t>
      </w:r>
      <w:r>
        <w:rPr>
          <w:spacing w:val="-9"/>
        </w:rPr>
        <w:t> </w:t>
      </w:r>
      <w:r>
        <w:rPr/>
        <w:t>etario</w:t>
      </w:r>
      <w:r>
        <w:rPr>
          <w:spacing w:val="-9"/>
        </w:rPr>
        <w:t> </w:t>
      </w:r>
      <w:r>
        <w:rPr/>
        <w:t>para contribuir a romper los ciclos intergeneracionales de pobreza y exclusión que afectan a una parte significativa de la población menor de edad.</w:t>
      </w:r>
    </w:p>
    <w:p>
      <w:pPr>
        <w:pStyle w:val="BodyText"/>
      </w:pPr>
    </w:p>
    <w:p>
      <w:pPr>
        <w:pStyle w:val="BodyText"/>
        <w:ind w:left="1625" w:right="1604"/>
        <w:jc w:val="both"/>
      </w:pPr>
      <w:r>
        <w:rPr/>
        <w:t>El tamaño</w:t>
      </w:r>
      <w:r>
        <w:rPr>
          <w:spacing w:val="-1"/>
        </w:rPr>
        <w:t> </w:t>
      </w:r>
      <w:r>
        <w:rPr/>
        <w:t>promedio de</w:t>
      </w:r>
      <w:r>
        <w:rPr>
          <w:spacing w:val="-1"/>
        </w:rPr>
        <w:t> </w:t>
      </w:r>
      <w:r>
        <w:rPr/>
        <w:t>los hogares</w:t>
      </w:r>
      <w:r>
        <w:rPr>
          <w:spacing w:val="-1"/>
        </w:rPr>
        <w:t> </w:t>
      </w:r>
      <w:r>
        <w:rPr/>
        <w:t>continuó disminuyendo en 2025. A</w:t>
      </w:r>
      <w:r>
        <w:rPr>
          <w:spacing w:val="-1"/>
        </w:rPr>
        <w:t> </w:t>
      </w:r>
      <w:r>
        <w:rPr/>
        <w:t>nivel nacional se estima en 2,83 personas por hogar; en los hogares no pobres es de 2,77, mientras que en los hogares pobres asciende a 3,20 y en pobreza extrema a 3,27. Estas diferencias reflejan</w:t>
      </w:r>
      <w:r>
        <w:rPr>
          <w:spacing w:val="-9"/>
        </w:rPr>
        <w:t> </w:t>
      </w:r>
      <w:r>
        <w:rPr/>
        <w:t>una</w:t>
      </w:r>
      <w:r>
        <w:rPr>
          <w:spacing w:val="-9"/>
        </w:rPr>
        <w:t> </w:t>
      </w:r>
      <w:r>
        <w:rPr/>
        <w:t>mayor</w:t>
      </w:r>
      <w:r>
        <w:rPr>
          <w:spacing w:val="-5"/>
        </w:rPr>
        <w:t> </w:t>
      </w:r>
      <w:r>
        <w:rPr/>
        <w:t>carga</w:t>
      </w:r>
      <w:r>
        <w:rPr>
          <w:spacing w:val="-9"/>
        </w:rPr>
        <w:t> </w:t>
      </w:r>
      <w:r>
        <w:rPr/>
        <w:t>demográfica</w:t>
      </w:r>
      <w:r>
        <w:rPr>
          <w:spacing w:val="-7"/>
        </w:rPr>
        <w:t> </w:t>
      </w:r>
      <w:r>
        <w:rPr/>
        <w:t>en</w:t>
      </w:r>
      <w:r>
        <w:rPr>
          <w:spacing w:val="-9"/>
        </w:rPr>
        <w:t> </w:t>
      </w:r>
      <w:r>
        <w:rPr/>
        <w:t>los</w:t>
      </w:r>
      <w:r>
        <w:rPr>
          <w:spacing w:val="-6"/>
        </w:rPr>
        <w:t> </w:t>
      </w:r>
      <w:r>
        <w:rPr/>
        <w:t>hogares</w:t>
      </w:r>
      <w:r>
        <w:rPr>
          <w:spacing w:val="-6"/>
        </w:rPr>
        <w:t> </w:t>
      </w:r>
      <w:r>
        <w:rPr/>
        <w:t>con</w:t>
      </w:r>
      <w:r>
        <w:rPr>
          <w:spacing w:val="-9"/>
        </w:rPr>
        <w:t> </w:t>
      </w:r>
      <w:r>
        <w:rPr/>
        <w:t>menores</w:t>
      </w:r>
      <w:r>
        <w:rPr>
          <w:spacing w:val="-9"/>
        </w:rPr>
        <w:t> </w:t>
      </w:r>
      <w:r>
        <w:rPr/>
        <w:t>ingresos</w:t>
      </w:r>
      <w:r>
        <w:rPr>
          <w:spacing w:val="-6"/>
        </w:rPr>
        <w:t> </w:t>
      </w:r>
      <w:r>
        <w:rPr/>
        <w:t>y</w:t>
      </w:r>
      <w:r>
        <w:rPr>
          <w:spacing w:val="-6"/>
        </w:rPr>
        <w:t> </w:t>
      </w:r>
      <w:r>
        <w:rPr/>
        <w:t>una</w:t>
      </w:r>
      <w:r>
        <w:rPr>
          <w:spacing w:val="-9"/>
        </w:rPr>
        <w:t> </w:t>
      </w:r>
      <w:r>
        <w:rPr/>
        <w:t>mayor presencia relativa de personas dependientes.</w:t>
      </w:r>
    </w:p>
    <w:p>
      <w:pPr>
        <w:pStyle w:val="BodyText"/>
        <w:spacing w:before="23"/>
      </w:pPr>
    </w:p>
    <w:p>
      <w:pPr>
        <w:pStyle w:val="Heading5"/>
        <w:ind w:left="3499" w:right="1444" w:hanging="1688"/>
      </w:pPr>
      <w:bookmarkStart w:name="_bookmark30" w:id="31"/>
      <w:bookmarkEnd w:id="31"/>
      <w:r>
        <w:rPr>
          <w:b w:val="0"/>
        </w:rPr>
      </w:r>
      <w:r>
        <w:rPr/>
        <w:t>Gráfico</w:t>
      </w:r>
      <w:r>
        <w:rPr>
          <w:spacing w:val="-4"/>
        </w:rPr>
        <w:t> </w:t>
      </w:r>
      <w:r>
        <w:rPr/>
        <w:t>11:</w:t>
      </w:r>
      <w:r>
        <w:rPr>
          <w:spacing w:val="-3"/>
        </w:rPr>
        <w:t> </w:t>
      </w:r>
      <w:r>
        <w:rPr/>
        <w:t>Costa</w:t>
      </w:r>
      <w:r>
        <w:rPr>
          <w:spacing w:val="-3"/>
        </w:rPr>
        <w:t> </w:t>
      </w:r>
      <w:r>
        <w:rPr/>
        <w:t>Rica:</w:t>
      </w:r>
      <w:r>
        <w:rPr>
          <w:spacing w:val="-3"/>
        </w:rPr>
        <w:t> </w:t>
      </w:r>
      <w:r>
        <w:rPr/>
        <w:t>Número</w:t>
      </w:r>
      <w:r>
        <w:rPr>
          <w:spacing w:val="-4"/>
        </w:rPr>
        <w:t> </w:t>
      </w:r>
      <w:r>
        <w:rPr/>
        <w:t>promedio</w:t>
      </w:r>
      <w:r>
        <w:rPr>
          <w:spacing w:val="-4"/>
        </w:rPr>
        <w:t> </w:t>
      </w:r>
      <w:r>
        <w:rPr/>
        <w:t>de</w:t>
      </w:r>
      <w:r>
        <w:rPr>
          <w:spacing w:val="-4"/>
        </w:rPr>
        <w:t> </w:t>
      </w:r>
      <w:r>
        <w:rPr/>
        <w:t>personas</w:t>
      </w:r>
      <w:r>
        <w:rPr>
          <w:spacing w:val="-3"/>
        </w:rPr>
        <w:t> </w:t>
      </w:r>
      <w:r>
        <w:rPr/>
        <w:t>por</w:t>
      </w:r>
      <w:r>
        <w:rPr>
          <w:spacing w:val="-3"/>
        </w:rPr>
        <w:t> </w:t>
      </w:r>
      <w:r>
        <w:rPr/>
        <w:t>hogar</w:t>
      </w:r>
      <w:r>
        <w:rPr>
          <w:spacing w:val="-3"/>
        </w:rPr>
        <w:t> </w:t>
      </w:r>
      <w:r>
        <w:rPr/>
        <w:t>según</w:t>
      </w:r>
      <w:r>
        <w:rPr>
          <w:spacing w:val="-3"/>
        </w:rPr>
        <w:t> </w:t>
      </w:r>
      <w:r>
        <w:rPr/>
        <w:t>nivel</w:t>
      </w:r>
      <w:r>
        <w:rPr>
          <w:spacing w:val="-1"/>
        </w:rPr>
        <w:t> </w:t>
      </w:r>
      <w:r>
        <w:rPr/>
        <w:t>de pobreza por La línea de Pobreza (LP), 2010-2025</w:t>
      </w:r>
    </w:p>
    <w:p>
      <w:pPr>
        <w:pStyle w:val="BodyText"/>
        <w:spacing w:before="7"/>
        <w:rPr>
          <w:b/>
          <w:sz w:val="9"/>
        </w:rPr>
      </w:pPr>
      <w:r>
        <w:rPr>
          <w:b/>
          <w:sz w:val="9"/>
        </w:rPr>
        <w:drawing>
          <wp:anchor distT="0" distB="0" distL="0" distR="0" allowOverlap="1" layoutInCell="1" locked="0" behindDoc="1" simplePos="0" relativeHeight="487593472">
            <wp:simplePos x="0" y="0"/>
            <wp:positionH relativeFrom="page">
              <wp:posOffset>1326422</wp:posOffset>
            </wp:positionH>
            <wp:positionV relativeFrom="paragraph">
              <wp:posOffset>85446</wp:posOffset>
            </wp:positionV>
            <wp:extent cx="5502157" cy="3036379"/>
            <wp:effectExtent l="0" t="0" r="0" b="0"/>
            <wp:wrapTopAndBottom/>
            <wp:docPr id="72" name="Image 72"/>
            <wp:cNvGraphicFramePr>
              <a:graphicFrameLocks/>
            </wp:cNvGraphicFramePr>
            <a:graphic>
              <a:graphicData uri="http://schemas.openxmlformats.org/drawingml/2006/picture">
                <pic:pic>
                  <pic:nvPicPr>
                    <pic:cNvPr id="72" name="Image 72"/>
                    <pic:cNvPicPr/>
                  </pic:nvPicPr>
                  <pic:blipFill>
                    <a:blip r:embed="rId43" cstate="print"/>
                    <a:stretch>
                      <a:fillRect/>
                    </a:stretch>
                  </pic:blipFill>
                  <pic:spPr>
                    <a:xfrm>
                      <a:off x="0" y="0"/>
                      <a:ext cx="5502157" cy="3036379"/>
                    </a:xfrm>
                    <a:prstGeom prst="rect">
                      <a:avLst/>
                    </a:prstGeom>
                  </pic:spPr>
                </pic:pic>
              </a:graphicData>
            </a:graphic>
          </wp:anchor>
        </w:drawing>
      </w:r>
    </w:p>
    <w:p>
      <w:pPr>
        <w:spacing w:before="33"/>
        <w:ind w:left="1625" w:right="1700" w:firstLine="0"/>
        <w:jc w:val="left"/>
        <w:rPr>
          <w:sz w:val="18"/>
        </w:rPr>
      </w:pPr>
      <w:r>
        <w:rPr>
          <w:sz w:val="18"/>
        </w:rPr>
        <w:t>Fuente:</w:t>
      </w:r>
      <w:r>
        <w:rPr>
          <w:spacing w:val="-2"/>
          <w:sz w:val="18"/>
        </w:rPr>
        <w:t> </w:t>
      </w:r>
      <w:r>
        <w:rPr>
          <w:sz w:val="18"/>
        </w:rPr>
        <w:t>Elaboración</w:t>
      </w:r>
      <w:r>
        <w:rPr>
          <w:spacing w:val="-2"/>
          <w:sz w:val="18"/>
        </w:rPr>
        <w:t> </w:t>
      </w:r>
      <w:r>
        <w:rPr>
          <w:sz w:val="18"/>
        </w:rPr>
        <w:t>propia</w:t>
      </w:r>
      <w:r>
        <w:rPr>
          <w:spacing w:val="-4"/>
          <w:sz w:val="18"/>
        </w:rPr>
        <w:t> </w:t>
      </w:r>
      <w:r>
        <w:rPr>
          <w:sz w:val="18"/>
        </w:rPr>
        <w:t>con</w:t>
      </w:r>
      <w:r>
        <w:rPr>
          <w:spacing w:val="-2"/>
          <w:sz w:val="18"/>
        </w:rPr>
        <w:t> </w:t>
      </w:r>
      <w:r>
        <w:rPr>
          <w:sz w:val="18"/>
        </w:rPr>
        <w:t>datos</w:t>
      </w:r>
      <w:r>
        <w:rPr>
          <w:spacing w:val="-1"/>
          <w:sz w:val="18"/>
        </w:rPr>
        <w:t> </w:t>
      </w:r>
      <w:r>
        <w:rPr>
          <w:sz w:val="18"/>
        </w:rPr>
        <w:t>del</w:t>
      </w:r>
      <w:r>
        <w:rPr>
          <w:spacing w:val="-2"/>
          <w:sz w:val="18"/>
        </w:rPr>
        <w:t> </w:t>
      </w:r>
      <w:r>
        <w:rPr>
          <w:sz w:val="18"/>
        </w:rPr>
        <w:t>Instituto</w:t>
      </w:r>
      <w:r>
        <w:rPr>
          <w:spacing w:val="-2"/>
          <w:sz w:val="18"/>
        </w:rPr>
        <w:t> </w:t>
      </w:r>
      <w:r>
        <w:rPr>
          <w:sz w:val="18"/>
        </w:rPr>
        <w:t>Nacional</w:t>
      </w:r>
      <w:r>
        <w:rPr>
          <w:spacing w:val="-4"/>
          <w:sz w:val="18"/>
        </w:rPr>
        <w:t> </w:t>
      </w:r>
      <w:r>
        <w:rPr>
          <w:sz w:val="18"/>
        </w:rPr>
        <w:t>de</w:t>
      </w:r>
      <w:r>
        <w:rPr>
          <w:spacing w:val="-2"/>
          <w:sz w:val="18"/>
        </w:rPr>
        <w:t> </w:t>
      </w:r>
      <w:r>
        <w:rPr>
          <w:sz w:val="18"/>
        </w:rPr>
        <w:t>Estadística</w:t>
      </w:r>
      <w:r>
        <w:rPr>
          <w:spacing w:val="-4"/>
          <w:sz w:val="18"/>
        </w:rPr>
        <w:t> </w:t>
      </w:r>
      <w:r>
        <w:rPr>
          <w:sz w:val="18"/>
        </w:rPr>
        <w:t>y</w:t>
      </w:r>
      <w:r>
        <w:rPr>
          <w:spacing w:val="-1"/>
          <w:sz w:val="18"/>
        </w:rPr>
        <w:t> </w:t>
      </w:r>
      <w:r>
        <w:rPr>
          <w:sz w:val="18"/>
        </w:rPr>
        <w:t>Censos</w:t>
      </w:r>
      <w:r>
        <w:rPr>
          <w:spacing w:val="-4"/>
          <w:sz w:val="18"/>
        </w:rPr>
        <w:t> </w:t>
      </w:r>
      <w:r>
        <w:rPr>
          <w:sz w:val="18"/>
        </w:rPr>
        <w:t>(INEC),</w:t>
      </w:r>
      <w:r>
        <w:rPr>
          <w:spacing w:val="-2"/>
          <w:sz w:val="18"/>
        </w:rPr>
        <w:t> </w:t>
      </w:r>
      <w:r>
        <w:rPr>
          <w:sz w:val="18"/>
        </w:rPr>
        <w:t>ENAHO</w:t>
      </w:r>
      <w:r>
        <w:rPr>
          <w:spacing w:val="-4"/>
          <w:sz w:val="18"/>
        </w:rPr>
        <w:t> </w:t>
      </w:r>
      <w:r>
        <w:rPr>
          <w:sz w:val="18"/>
        </w:rPr>
        <w:t>2010-</w:t>
      </w:r>
      <w:r>
        <w:rPr>
          <w:spacing w:val="-2"/>
          <w:sz w:val="18"/>
        </w:rPr>
        <w:t>2025.</w:t>
      </w:r>
    </w:p>
    <w:p>
      <w:pPr>
        <w:spacing w:after="0"/>
        <w:jc w:val="left"/>
        <w:rPr>
          <w:sz w:val="18"/>
        </w:rPr>
        <w:sectPr>
          <w:pgSz w:w="12240" w:h="15840"/>
          <w:pgMar w:header="0" w:footer="1576" w:top="1000" w:bottom="1760" w:left="360" w:right="0"/>
        </w:sectPr>
      </w:pPr>
    </w:p>
    <w:p>
      <w:pPr>
        <w:pStyle w:val="BodyText"/>
        <w:spacing w:before="77"/>
        <w:ind w:left="1625" w:right="1600"/>
        <w:jc w:val="both"/>
      </w:pPr>
      <w:r>
        <w:rPr/>
        <w:t>El</w:t>
      </w:r>
      <w:r>
        <w:rPr>
          <w:spacing w:val="-5"/>
        </w:rPr>
        <w:t> </w:t>
      </w:r>
      <w:r>
        <w:rPr/>
        <w:t>gráfico</w:t>
      </w:r>
      <w:r>
        <w:rPr>
          <w:spacing w:val="-4"/>
        </w:rPr>
        <w:t> </w:t>
      </w:r>
      <w:r>
        <w:rPr/>
        <w:t>11</w:t>
      </w:r>
      <w:r>
        <w:rPr>
          <w:spacing w:val="-4"/>
        </w:rPr>
        <w:t> </w:t>
      </w:r>
      <w:r>
        <w:rPr/>
        <w:t>compara</w:t>
      </w:r>
      <w:r>
        <w:rPr>
          <w:spacing w:val="-4"/>
        </w:rPr>
        <w:t> </w:t>
      </w:r>
      <w:r>
        <w:rPr/>
        <w:t>el</w:t>
      </w:r>
      <w:r>
        <w:rPr>
          <w:spacing w:val="-7"/>
        </w:rPr>
        <w:t> </w:t>
      </w:r>
      <w:r>
        <w:rPr/>
        <w:t>tamaño</w:t>
      </w:r>
      <w:r>
        <w:rPr>
          <w:spacing w:val="-4"/>
        </w:rPr>
        <w:t> </w:t>
      </w:r>
      <w:r>
        <w:rPr/>
        <w:t>promedio</w:t>
      </w:r>
      <w:r>
        <w:rPr>
          <w:spacing w:val="-4"/>
        </w:rPr>
        <w:t> </w:t>
      </w:r>
      <w:r>
        <w:rPr/>
        <w:t>de</w:t>
      </w:r>
      <w:r>
        <w:rPr>
          <w:spacing w:val="-4"/>
        </w:rPr>
        <w:t> </w:t>
      </w:r>
      <w:r>
        <w:rPr/>
        <w:t>los</w:t>
      </w:r>
      <w:r>
        <w:rPr>
          <w:spacing w:val="-6"/>
        </w:rPr>
        <w:t> </w:t>
      </w:r>
      <w:r>
        <w:rPr/>
        <w:t>hogares</w:t>
      </w:r>
      <w:r>
        <w:rPr>
          <w:spacing w:val="-4"/>
        </w:rPr>
        <w:t> </w:t>
      </w:r>
      <w:r>
        <w:rPr/>
        <w:t>según</w:t>
      </w:r>
      <w:r>
        <w:rPr>
          <w:spacing w:val="-4"/>
        </w:rPr>
        <w:t> </w:t>
      </w:r>
      <w:r>
        <w:rPr/>
        <w:t>nivel</w:t>
      </w:r>
      <w:r>
        <w:rPr>
          <w:spacing w:val="-5"/>
        </w:rPr>
        <w:t> </w:t>
      </w:r>
      <w:r>
        <w:rPr/>
        <w:t>de</w:t>
      </w:r>
      <w:r>
        <w:rPr>
          <w:spacing w:val="-4"/>
        </w:rPr>
        <w:t> </w:t>
      </w:r>
      <w:r>
        <w:rPr/>
        <w:t>pobreza</w:t>
      </w:r>
      <w:r>
        <w:rPr>
          <w:spacing w:val="-4"/>
        </w:rPr>
        <w:t> </w:t>
      </w:r>
      <w:r>
        <w:rPr/>
        <w:t>por</w:t>
      </w:r>
      <w:r>
        <w:rPr>
          <w:spacing w:val="-3"/>
        </w:rPr>
        <w:t> </w:t>
      </w:r>
      <w:r>
        <w:rPr/>
        <w:t>La línea</w:t>
      </w:r>
      <w:r>
        <w:rPr>
          <w:spacing w:val="-6"/>
        </w:rPr>
        <w:t> </w:t>
      </w:r>
      <w:r>
        <w:rPr/>
        <w:t>de</w:t>
      </w:r>
      <w:r>
        <w:rPr>
          <w:spacing w:val="-7"/>
        </w:rPr>
        <w:t> </w:t>
      </w:r>
      <w:r>
        <w:rPr/>
        <w:t>Pobreza</w:t>
      </w:r>
      <w:r>
        <w:rPr>
          <w:spacing w:val="-7"/>
        </w:rPr>
        <w:t> </w:t>
      </w:r>
      <w:r>
        <w:rPr/>
        <w:t>(LP)</w:t>
      </w:r>
      <w:r>
        <w:rPr>
          <w:spacing w:val="-5"/>
        </w:rPr>
        <w:t> </w:t>
      </w:r>
      <w:r>
        <w:rPr/>
        <w:t>y</w:t>
      </w:r>
      <w:r>
        <w:rPr>
          <w:spacing w:val="-8"/>
        </w:rPr>
        <w:t> </w:t>
      </w:r>
      <w:r>
        <w:rPr/>
        <w:t>permite</w:t>
      </w:r>
      <w:r>
        <w:rPr>
          <w:spacing w:val="-6"/>
        </w:rPr>
        <w:t> </w:t>
      </w:r>
      <w:r>
        <w:rPr/>
        <w:t>observar</w:t>
      </w:r>
      <w:r>
        <w:rPr>
          <w:spacing w:val="-5"/>
        </w:rPr>
        <w:t> </w:t>
      </w:r>
      <w:r>
        <w:rPr/>
        <w:t>una</w:t>
      </w:r>
      <w:r>
        <w:rPr>
          <w:spacing w:val="-6"/>
        </w:rPr>
        <w:t> </w:t>
      </w:r>
      <w:r>
        <w:rPr/>
        <w:t>tendencia</w:t>
      </w:r>
      <w:r>
        <w:rPr>
          <w:spacing w:val="-6"/>
        </w:rPr>
        <w:t> </w:t>
      </w:r>
      <w:r>
        <w:rPr/>
        <w:t>general</w:t>
      </w:r>
      <w:r>
        <w:rPr>
          <w:spacing w:val="-7"/>
        </w:rPr>
        <w:t> </w:t>
      </w:r>
      <w:r>
        <w:rPr/>
        <w:t>hacia</w:t>
      </w:r>
      <w:r>
        <w:rPr>
          <w:spacing w:val="-6"/>
        </w:rPr>
        <w:t> </w:t>
      </w:r>
      <w:r>
        <w:rPr/>
        <w:t>hogares</w:t>
      </w:r>
      <w:r>
        <w:rPr>
          <w:spacing w:val="-6"/>
        </w:rPr>
        <w:t> </w:t>
      </w:r>
      <w:r>
        <w:rPr/>
        <w:t>de</w:t>
      </w:r>
      <w:r>
        <w:rPr>
          <w:spacing w:val="-7"/>
        </w:rPr>
        <w:t> </w:t>
      </w:r>
      <w:r>
        <w:rPr/>
        <w:t>menor tamaño durante 2010–2025. La diferencia por condición socioeconómica, sin embargo, se mantiene: en 2025 el promedio nacional es de 2,83 personas, frente a 2,77 en los hogares no pobres por LP, 3,20 en los hogares pobres y 3,27 en pobreza extrema. La mayor cantidad de integrantes en los hogares con menores ingresos incrementa la presión sobre los recursos disponibles y ayuda a explicar parte de su mayor carga de </w:t>
      </w:r>
      <w:r>
        <w:rPr>
          <w:spacing w:val="-2"/>
        </w:rPr>
        <w:t>dependencia.</w:t>
      </w:r>
    </w:p>
    <w:p>
      <w:pPr>
        <w:pStyle w:val="BodyText"/>
        <w:spacing w:before="252"/>
        <w:ind w:left="1625" w:right="1604"/>
        <w:jc w:val="both"/>
      </w:pPr>
      <w:r>
        <w:rPr/>
        <w:t>En</w:t>
      </w:r>
      <w:r>
        <w:rPr>
          <w:spacing w:val="-8"/>
        </w:rPr>
        <w:t> </w:t>
      </w:r>
      <w:r>
        <w:rPr/>
        <w:t>contraste,</w:t>
      </w:r>
      <w:r>
        <w:rPr>
          <w:spacing w:val="-9"/>
        </w:rPr>
        <w:t> </w:t>
      </w:r>
      <w:r>
        <w:rPr/>
        <w:t>los</w:t>
      </w:r>
      <w:r>
        <w:rPr>
          <w:spacing w:val="-8"/>
        </w:rPr>
        <w:t> </w:t>
      </w:r>
      <w:r>
        <w:rPr/>
        <w:t>hogares</w:t>
      </w:r>
      <w:r>
        <w:rPr>
          <w:spacing w:val="-8"/>
        </w:rPr>
        <w:t> </w:t>
      </w:r>
      <w:r>
        <w:rPr/>
        <w:t>en</w:t>
      </w:r>
      <w:r>
        <w:rPr>
          <w:spacing w:val="-11"/>
        </w:rPr>
        <w:t> </w:t>
      </w:r>
      <w:r>
        <w:rPr/>
        <w:t>condición</w:t>
      </w:r>
      <w:r>
        <w:rPr>
          <w:spacing w:val="-9"/>
        </w:rPr>
        <w:t> </w:t>
      </w:r>
      <w:r>
        <w:rPr/>
        <w:t>de</w:t>
      </w:r>
      <w:r>
        <w:rPr>
          <w:spacing w:val="-9"/>
        </w:rPr>
        <w:t> </w:t>
      </w:r>
      <w:r>
        <w:rPr/>
        <w:t>pobreza,</w:t>
      </w:r>
      <w:r>
        <w:rPr>
          <w:spacing w:val="-7"/>
        </w:rPr>
        <w:t> </w:t>
      </w:r>
      <w:r>
        <w:rPr/>
        <w:t>y</w:t>
      </w:r>
      <w:r>
        <w:rPr>
          <w:spacing w:val="-10"/>
        </w:rPr>
        <w:t> </w:t>
      </w:r>
      <w:r>
        <w:rPr/>
        <w:t>especialmente</w:t>
      </w:r>
      <w:r>
        <w:rPr>
          <w:spacing w:val="-11"/>
        </w:rPr>
        <w:t> </w:t>
      </w:r>
      <w:r>
        <w:rPr/>
        <w:t>aquellos</w:t>
      </w:r>
      <w:r>
        <w:rPr>
          <w:spacing w:val="-8"/>
        </w:rPr>
        <w:t> </w:t>
      </w:r>
      <w:r>
        <w:rPr/>
        <w:t>en</w:t>
      </w:r>
      <w:r>
        <w:rPr>
          <w:spacing w:val="-9"/>
        </w:rPr>
        <w:t> </w:t>
      </w:r>
      <w:r>
        <w:rPr/>
        <w:t>pobreza extrema, continúan presentando un tamaño promedio mayor. Esto implica una mayor carga demográfica, ya que más personas comparten los recursos disponibles, lo cual intensifica</w:t>
      </w:r>
      <w:r>
        <w:rPr>
          <w:spacing w:val="-5"/>
        </w:rPr>
        <w:t> </w:t>
      </w:r>
      <w:r>
        <w:rPr/>
        <w:t>las</w:t>
      </w:r>
      <w:r>
        <w:rPr>
          <w:spacing w:val="-5"/>
        </w:rPr>
        <w:t> </w:t>
      </w:r>
      <w:r>
        <w:rPr/>
        <w:t>necesidades</w:t>
      </w:r>
      <w:r>
        <w:rPr>
          <w:spacing w:val="-5"/>
        </w:rPr>
        <w:t> </w:t>
      </w:r>
      <w:r>
        <w:rPr/>
        <w:t>económicas,</w:t>
      </w:r>
      <w:r>
        <w:rPr>
          <w:spacing w:val="-4"/>
        </w:rPr>
        <w:t> </w:t>
      </w:r>
      <w:r>
        <w:rPr/>
        <w:t>sociales</w:t>
      </w:r>
      <w:r>
        <w:rPr>
          <w:spacing w:val="-5"/>
        </w:rPr>
        <w:t> </w:t>
      </w:r>
      <w:r>
        <w:rPr/>
        <w:t>y</w:t>
      </w:r>
      <w:r>
        <w:rPr>
          <w:spacing w:val="-5"/>
        </w:rPr>
        <w:t> </w:t>
      </w:r>
      <w:r>
        <w:rPr/>
        <w:t>de</w:t>
      </w:r>
      <w:r>
        <w:rPr>
          <w:spacing w:val="-5"/>
        </w:rPr>
        <w:t> </w:t>
      </w:r>
      <w:r>
        <w:rPr/>
        <w:t>acceso</w:t>
      </w:r>
      <w:r>
        <w:rPr>
          <w:spacing w:val="-7"/>
        </w:rPr>
        <w:t> </w:t>
      </w:r>
      <w:r>
        <w:rPr/>
        <w:t>a</w:t>
      </w:r>
      <w:r>
        <w:rPr>
          <w:spacing w:val="-5"/>
        </w:rPr>
        <w:t> </w:t>
      </w:r>
      <w:r>
        <w:rPr/>
        <w:t>oportunidades.</w:t>
      </w:r>
      <w:r>
        <w:rPr>
          <w:spacing w:val="-4"/>
        </w:rPr>
        <w:t> </w:t>
      </w:r>
      <w:r>
        <w:rPr/>
        <w:t>A</w:t>
      </w:r>
      <w:r>
        <w:rPr>
          <w:spacing w:val="-5"/>
        </w:rPr>
        <w:t> </w:t>
      </w:r>
      <w:r>
        <w:rPr/>
        <w:t>su</w:t>
      </w:r>
      <w:r>
        <w:rPr>
          <w:spacing w:val="-7"/>
        </w:rPr>
        <w:t> </w:t>
      </w:r>
      <w:r>
        <w:rPr/>
        <w:t>vez, la</w:t>
      </w:r>
      <w:r>
        <w:rPr>
          <w:spacing w:val="-11"/>
        </w:rPr>
        <w:t> </w:t>
      </w:r>
      <w:r>
        <w:rPr/>
        <w:t>presencia</w:t>
      </w:r>
      <w:r>
        <w:rPr>
          <w:spacing w:val="-11"/>
        </w:rPr>
        <w:t> </w:t>
      </w:r>
      <w:r>
        <w:rPr/>
        <w:t>de</w:t>
      </w:r>
      <w:r>
        <w:rPr>
          <w:spacing w:val="-14"/>
        </w:rPr>
        <w:t> </w:t>
      </w:r>
      <w:r>
        <w:rPr/>
        <w:t>un</w:t>
      </w:r>
      <w:r>
        <w:rPr>
          <w:spacing w:val="-14"/>
        </w:rPr>
        <w:t> </w:t>
      </w:r>
      <w:r>
        <w:rPr/>
        <w:t>mayor</w:t>
      </w:r>
      <w:r>
        <w:rPr>
          <w:spacing w:val="-12"/>
        </w:rPr>
        <w:t> </w:t>
      </w:r>
      <w:r>
        <w:rPr/>
        <w:t>número</w:t>
      </w:r>
      <w:r>
        <w:rPr>
          <w:spacing w:val="-11"/>
        </w:rPr>
        <w:t> </w:t>
      </w:r>
      <w:r>
        <w:rPr/>
        <w:t>de</w:t>
      </w:r>
      <w:r>
        <w:rPr>
          <w:spacing w:val="-14"/>
        </w:rPr>
        <w:t> </w:t>
      </w:r>
      <w:r>
        <w:rPr/>
        <w:t>niñas,</w:t>
      </w:r>
      <w:r>
        <w:rPr>
          <w:spacing w:val="-12"/>
        </w:rPr>
        <w:t> </w:t>
      </w:r>
      <w:r>
        <w:rPr/>
        <w:t>niños</w:t>
      </w:r>
      <w:r>
        <w:rPr>
          <w:spacing w:val="-13"/>
        </w:rPr>
        <w:t> </w:t>
      </w:r>
      <w:r>
        <w:rPr/>
        <w:t>y</w:t>
      </w:r>
      <w:r>
        <w:rPr>
          <w:spacing w:val="-11"/>
        </w:rPr>
        <w:t> </w:t>
      </w:r>
      <w:r>
        <w:rPr/>
        <w:t>otras</w:t>
      </w:r>
      <w:r>
        <w:rPr>
          <w:spacing w:val="-11"/>
        </w:rPr>
        <w:t> </w:t>
      </w:r>
      <w:r>
        <w:rPr/>
        <w:t>personas</w:t>
      </w:r>
      <w:r>
        <w:rPr>
          <w:spacing w:val="-14"/>
        </w:rPr>
        <w:t> </w:t>
      </w:r>
      <w:r>
        <w:rPr/>
        <w:t>dependientes</w:t>
      </w:r>
      <w:r>
        <w:rPr>
          <w:spacing w:val="-11"/>
        </w:rPr>
        <w:t> </w:t>
      </w:r>
      <w:r>
        <w:rPr/>
        <w:t>en</w:t>
      </w:r>
      <w:r>
        <w:rPr>
          <w:spacing w:val="-14"/>
        </w:rPr>
        <w:t> </w:t>
      </w:r>
      <w:r>
        <w:rPr/>
        <w:t>estos hogares conlleva requerimientos más amplios en materia de cuidado, educación, salud, alimentación y vivienda, factores asociados con la reproducción intergeneracional de la </w:t>
      </w:r>
      <w:r>
        <w:rPr>
          <w:spacing w:val="-2"/>
        </w:rPr>
        <w:t>pobreza.</w:t>
      </w:r>
    </w:p>
    <w:p>
      <w:pPr>
        <w:pStyle w:val="BodyText"/>
        <w:spacing w:before="1"/>
      </w:pPr>
    </w:p>
    <w:p>
      <w:pPr>
        <w:pStyle w:val="BodyText"/>
        <w:spacing w:before="1"/>
        <w:ind w:left="1625" w:right="1604"/>
        <w:jc w:val="both"/>
      </w:pPr>
      <w:r>
        <w:rPr/>
        <w:t>Esta</w:t>
      </w:r>
      <w:r>
        <w:rPr>
          <w:spacing w:val="-3"/>
        </w:rPr>
        <w:t> </w:t>
      </w:r>
      <w:r>
        <w:rPr/>
        <w:t>diferencia</w:t>
      </w:r>
      <w:r>
        <w:rPr>
          <w:spacing w:val="-3"/>
        </w:rPr>
        <w:t> </w:t>
      </w:r>
      <w:r>
        <w:rPr/>
        <w:t>estructural</w:t>
      </w:r>
      <w:r>
        <w:rPr>
          <w:spacing w:val="-4"/>
        </w:rPr>
        <w:t> </w:t>
      </w:r>
      <w:r>
        <w:rPr/>
        <w:t>entre</w:t>
      </w:r>
      <w:r>
        <w:rPr>
          <w:spacing w:val="-5"/>
        </w:rPr>
        <w:t> </w:t>
      </w:r>
      <w:r>
        <w:rPr/>
        <w:t>hogares</w:t>
      </w:r>
      <w:r>
        <w:rPr>
          <w:spacing w:val="-5"/>
        </w:rPr>
        <w:t> </w:t>
      </w:r>
      <w:r>
        <w:rPr/>
        <w:t>según</w:t>
      </w:r>
      <w:r>
        <w:rPr>
          <w:spacing w:val="-5"/>
        </w:rPr>
        <w:t> </w:t>
      </w:r>
      <w:r>
        <w:rPr/>
        <w:t>su</w:t>
      </w:r>
      <w:r>
        <w:rPr>
          <w:spacing w:val="-3"/>
        </w:rPr>
        <w:t> </w:t>
      </w:r>
      <w:r>
        <w:rPr/>
        <w:t>condición</w:t>
      </w:r>
      <w:r>
        <w:rPr>
          <w:spacing w:val="-3"/>
        </w:rPr>
        <w:t> </w:t>
      </w:r>
      <w:r>
        <w:rPr/>
        <w:t>socioeconómica</w:t>
      </w:r>
      <w:r>
        <w:rPr>
          <w:spacing w:val="-3"/>
        </w:rPr>
        <w:t> </w:t>
      </w:r>
      <w:r>
        <w:rPr/>
        <w:t>refuerza</w:t>
      </w:r>
      <w:r>
        <w:rPr>
          <w:spacing w:val="-3"/>
        </w:rPr>
        <w:t> </w:t>
      </w:r>
      <w:r>
        <w:rPr/>
        <w:t>la importancia de incorporar la composición y el tamaño del hogar en el diseño de las intervenciones. Además del ingreso, la presencia de personas dependientes y las necesidades</w:t>
      </w:r>
      <w:r>
        <w:rPr>
          <w:spacing w:val="-5"/>
        </w:rPr>
        <w:t> </w:t>
      </w:r>
      <w:r>
        <w:rPr/>
        <w:t>de</w:t>
      </w:r>
      <w:r>
        <w:rPr>
          <w:spacing w:val="-8"/>
        </w:rPr>
        <w:t> </w:t>
      </w:r>
      <w:r>
        <w:rPr/>
        <w:t>cuidado</w:t>
      </w:r>
      <w:r>
        <w:rPr>
          <w:spacing w:val="-8"/>
        </w:rPr>
        <w:t> </w:t>
      </w:r>
      <w:r>
        <w:rPr/>
        <w:t>constituyen</w:t>
      </w:r>
      <w:r>
        <w:rPr>
          <w:spacing w:val="-7"/>
        </w:rPr>
        <w:t> </w:t>
      </w:r>
      <w:r>
        <w:rPr/>
        <w:t>elementos</w:t>
      </w:r>
      <w:r>
        <w:rPr>
          <w:spacing w:val="-10"/>
        </w:rPr>
        <w:t> </w:t>
      </w:r>
      <w:r>
        <w:rPr/>
        <w:t>relevantes</w:t>
      </w:r>
      <w:r>
        <w:rPr>
          <w:spacing w:val="-7"/>
        </w:rPr>
        <w:t> </w:t>
      </w:r>
      <w:r>
        <w:rPr/>
        <w:t>para</w:t>
      </w:r>
      <w:r>
        <w:rPr>
          <w:spacing w:val="-7"/>
        </w:rPr>
        <w:t> </w:t>
      </w:r>
      <w:r>
        <w:rPr/>
        <w:t>orientar</w:t>
      </w:r>
      <w:r>
        <w:rPr>
          <w:spacing w:val="-7"/>
        </w:rPr>
        <w:t> </w:t>
      </w:r>
      <w:r>
        <w:rPr/>
        <w:t>la</w:t>
      </w:r>
      <w:r>
        <w:rPr>
          <w:spacing w:val="-10"/>
        </w:rPr>
        <w:t> </w:t>
      </w:r>
      <w:r>
        <w:rPr/>
        <w:t>asistencia,</w:t>
      </w:r>
      <w:r>
        <w:rPr>
          <w:spacing w:val="-6"/>
        </w:rPr>
        <w:t> </w:t>
      </w:r>
      <w:r>
        <w:rPr/>
        <w:t>los subsidios y las transferencias, de manera que los hogares de mayor tamaño y con mayores cargas de dependencia reciban respuestas acordes con sus necesidades.</w:t>
      </w:r>
    </w:p>
    <w:p>
      <w:pPr>
        <w:pStyle w:val="BodyText"/>
        <w:spacing w:before="1"/>
        <w:ind w:left="1625" w:right="1603"/>
        <w:jc w:val="both"/>
      </w:pPr>
      <w:r>
        <w:rPr/>
        <w:t>En</w:t>
      </w:r>
      <w:r>
        <w:rPr>
          <w:spacing w:val="-2"/>
        </w:rPr>
        <w:t> </w:t>
      </w:r>
      <w:r>
        <w:rPr/>
        <w:t>resumen, si</w:t>
      </w:r>
      <w:r>
        <w:rPr>
          <w:spacing w:val="-2"/>
        </w:rPr>
        <w:t> </w:t>
      </w:r>
      <w:r>
        <w:rPr/>
        <w:t>bien</w:t>
      </w:r>
      <w:r>
        <w:rPr>
          <w:spacing w:val="-2"/>
        </w:rPr>
        <w:t> </w:t>
      </w:r>
      <w:r>
        <w:rPr/>
        <w:t>el</w:t>
      </w:r>
      <w:r>
        <w:rPr>
          <w:spacing w:val="-3"/>
        </w:rPr>
        <w:t> </w:t>
      </w:r>
      <w:r>
        <w:rPr/>
        <w:t>país</w:t>
      </w:r>
      <w:r>
        <w:rPr>
          <w:spacing w:val="-1"/>
        </w:rPr>
        <w:t> </w:t>
      </w:r>
      <w:r>
        <w:rPr/>
        <w:t>ha</w:t>
      </w:r>
      <w:r>
        <w:rPr>
          <w:spacing w:val="-2"/>
        </w:rPr>
        <w:t> </w:t>
      </w:r>
      <w:r>
        <w:rPr/>
        <w:t>experimentado</w:t>
      </w:r>
      <w:r>
        <w:rPr>
          <w:spacing w:val="-2"/>
        </w:rPr>
        <w:t> </w:t>
      </w:r>
      <w:r>
        <w:rPr/>
        <w:t>una</w:t>
      </w:r>
      <w:r>
        <w:rPr>
          <w:spacing w:val="-2"/>
        </w:rPr>
        <w:t> </w:t>
      </w:r>
      <w:r>
        <w:rPr/>
        <w:t>tendencia</w:t>
      </w:r>
      <w:r>
        <w:rPr>
          <w:spacing w:val="-2"/>
        </w:rPr>
        <w:t> </w:t>
      </w:r>
      <w:r>
        <w:rPr/>
        <w:t>general</w:t>
      </w:r>
      <w:r>
        <w:rPr>
          <w:spacing w:val="-3"/>
        </w:rPr>
        <w:t> </w:t>
      </w:r>
      <w:r>
        <w:rPr/>
        <w:t>hacia</w:t>
      </w:r>
      <w:r>
        <w:rPr>
          <w:spacing w:val="-2"/>
        </w:rPr>
        <w:t> </w:t>
      </w:r>
      <w:r>
        <w:rPr/>
        <w:t>hogares</w:t>
      </w:r>
      <w:r>
        <w:rPr>
          <w:spacing w:val="-4"/>
        </w:rPr>
        <w:t> </w:t>
      </w:r>
      <w:r>
        <w:rPr/>
        <w:t>más pequeños, la persistencia de hogares numerosos en condiciones de pobreza extrema revela tensiones estructurales que deben ser atendidas con políticas sociales integrales y focalizadas, que garanticen condiciones de vida dignas y sostenibles para todos los sectores de la población.</w:t>
      </w:r>
    </w:p>
    <w:p>
      <w:pPr>
        <w:pStyle w:val="BodyText"/>
        <w:spacing w:before="252"/>
        <w:ind w:left="1625" w:right="1605"/>
        <w:jc w:val="both"/>
      </w:pPr>
      <w:r>
        <w:rPr/>
        <w:t>La serie 2010–2025 muestra una reducción de largo plazo en el promedio de personas ocupadas por hogar, con una recuperación reciente en 2025 respecto de 2024. Para 2025, el promedio nacional se estima en 1,26 personas ocupadas por hogar. La mejora reciente no elimina las diferencias estructurales entre hogares pobres y no pobres.</w:t>
      </w:r>
    </w:p>
    <w:p>
      <w:pPr>
        <w:pStyle w:val="BodyText"/>
        <w:spacing w:after="0"/>
        <w:jc w:val="both"/>
        <w:sectPr>
          <w:pgSz w:w="12240" w:h="15840"/>
          <w:pgMar w:header="0" w:footer="1576" w:top="1000" w:bottom="1760" w:left="360" w:right="0"/>
        </w:sectPr>
      </w:pPr>
    </w:p>
    <w:p>
      <w:pPr>
        <w:pStyle w:val="Heading5"/>
        <w:spacing w:before="77"/>
        <w:ind w:left="3182" w:right="1444" w:hanging="1474"/>
      </w:pPr>
      <w:bookmarkStart w:name="_bookmark31" w:id="32"/>
      <w:bookmarkEnd w:id="32"/>
      <w:r>
        <w:rPr>
          <w:b w:val="0"/>
        </w:rPr>
      </w:r>
      <w:r>
        <w:rPr/>
        <w:t>Gráfico</w:t>
      </w:r>
      <w:r>
        <w:rPr>
          <w:spacing w:val="-5"/>
        </w:rPr>
        <w:t> </w:t>
      </w:r>
      <w:r>
        <w:rPr/>
        <w:t>12:</w:t>
      </w:r>
      <w:r>
        <w:rPr>
          <w:spacing w:val="-4"/>
        </w:rPr>
        <w:t> </w:t>
      </w:r>
      <w:r>
        <w:rPr/>
        <w:t>Costa</w:t>
      </w:r>
      <w:r>
        <w:rPr>
          <w:spacing w:val="-3"/>
        </w:rPr>
        <w:t> </w:t>
      </w:r>
      <w:r>
        <w:rPr/>
        <w:t>Rica:</w:t>
      </w:r>
      <w:r>
        <w:rPr>
          <w:spacing w:val="-4"/>
        </w:rPr>
        <w:t> </w:t>
      </w:r>
      <w:r>
        <w:rPr/>
        <w:t>Número</w:t>
      </w:r>
      <w:r>
        <w:rPr>
          <w:spacing w:val="-5"/>
        </w:rPr>
        <w:t> </w:t>
      </w:r>
      <w:r>
        <w:rPr/>
        <w:t>promedio</w:t>
      </w:r>
      <w:r>
        <w:rPr>
          <w:spacing w:val="-5"/>
        </w:rPr>
        <w:t> </w:t>
      </w:r>
      <w:r>
        <w:rPr/>
        <w:t>de</w:t>
      </w:r>
      <w:r>
        <w:rPr>
          <w:spacing w:val="-5"/>
        </w:rPr>
        <w:t> </w:t>
      </w:r>
      <w:r>
        <w:rPr/>
        <w:t>personas</w:t>
      </w:r>
      <w:r>
        <w:rPr>
          <w:spacing w:val="-3"/>
        </w:rPr>
        <w:t> </w:t>
      </w:r>
      <w:r>
        <w:rPr/>
        <w:t>ocupadas</w:t>
      </w:r>
      <w:r>
        <w:rPr>
          <w:spacing w:val="-5"/>
        </w:rPr>
        <w:t> </w:t>
      </w:r>
      <w:r>
        <w:rPr/>
        <w:t>por</w:t>
      </w:r>
      <w:r>
        <w:rPr>
          <w:spacing w:val="-2"/>
        </w:rPr>
        <w:t> </w:t>
      </w:r>
      <w:r>
        <w:rPr/>
        <w:t>hogar</w:t>
      </w:r>
      <w:r>
        <w:rPr>
          <w:spacing w:val="-4"/>
        </w:rPr>
        <w:t> </w:t>
      </w:r>
      <w:r>
        <w:rPr/>
        <w:t>según nivel de pobreza por Línea de Pobreza (LP), 2010-2025</w:t>
      </w:r>
    </w:p>
    <w:p>
      <w:pPr>
        <w:pStyle w:val="BodyText"/>
        <w:spacing w:before="8"/>
        <w:rPr>
          <w:b/>
          <w:sz w:val="3"/>
        </w:rPr>
      </w:pPr>
      <w:r>
        <w:rPr>
          <w:b/>
          <w:sz w:val="3"/>
        </w:rPr>
        <w:drawing>
          <wp:anchor distT="0" distB="0" distL="0" distR="0" allowOverlap="1" layoutInCell="1" locked="0" behindDoc="1" simplePos="0" relativeHeight="487593984">
            <wp:simplePos x="0" y="0"/>
            <wp:positionH relativeFrom="page">
              <wp:posOffset>1329932</wp:posOffset>
            </wp:positionH>
            <wp:positionV relativeFrom="paragraph">
              <wp:posOffset>42327</wp:posOffset>
            </wp:positionV>
            <wp:extent cx="5529095" cy="3184588"/>
            <wp:effectExtent l="0" t="0" r="0" b="0"/>
            <wp:wrapTopAndBottom/>
            <wp:docPr id="73" name="Image 73"/>
            <wp:cNvGraphicFramePr>
              <a:graphicFrameLocks/>
            </wp:cNvGraphicFramePr>
            <a:graphic>
              <a:graphicData uri="http://schemas.openxmlformats.org/drawingml/2006/picture">
                <pic:pic>
                  <pic:nvPicPr>
                    <pic:cNvPr id="73" name="Image 73"/>
                    <pic:cNvPicPr/>
                  </pic:nvPicPr>
                  <pic:blipFill>
                    <a:blip r:embed="rId44" cstate="print"/>
                    <a:stretch>
                      <a:fillRect/>
                    </a:stretch>
                  </pic:blipFill>
                  <pic:spPr>
                    <a:xfrm>
                      <a:off x="0" y="0"/>
                      <a:ext cx="5529095" cy="3184588"/>
                    </a:xfrm>
                    <a:prstGeom prst="rect">
                      <a:avLst/>
                    </a:prstGeom>
                  </pic:spPr>
                </pic:pic>
              </a:graphicData>
            </a:graphic>
          </wp:anchor>
        </w:drawing>
      </w:r>
    </w:p>
    <w:p>
      <w:pPr>
        <w:spacing w:before="19"/>
        <w:ind w:left="1625" w:right="1601" w:firstLine="0"/>
        <w:jc w:val="both"/>
        <w:rPr>
          <w:sz w:val="18"/>
        </w:rPr>
      </w:pPr>
      <w:r>
        <w:rPr>
          <w:sz w:val="18"/>
        </w:rPr>
        <w:t>Fuente: Elaboración propia con datos del Instituto Nacional de Estadística y Censos (INEC), ENAHO 2010-2025; procesamiento IMAS, Planificación Institucional.</w:t>
      </w:r>
    </w:p>
    <w:p>
      <w:pPr>
        <w:pStyle w:val="BodyText"/>
        <w:spacing w:before="23"/>
        <w:rPr>
          <w:sz w:val="18"/>
        </w:rPr>
      </w:pPr>
    </w:p>
    <w:p>
      <w:pPr>
        <w:pStyle w:val="BodyText"/>
        <w:ind w:left="1625" w:right="1603"/>
        <w:jc w:val="both"/>
      </w:pPr>
      <w:r>
        <w:rPr/>
        <w:t>El gráfico 12 evidencia una brecha persistente en el número de personas ocupadas por hogar</w:t>
      </w:r>
      <w:r>
        <w:rPr>
          <w:spacing w:val="-5"/>
        </w:rPr>
        <w:t> </w:t>
      </w:r>
      <w:r>
        <w:rPr/>
        <w:t>según</w:t>
      </w:r>
      <w:r>
        <w:rPr>
          <w:spacing w:val="-9"/>
        </w:rPr>
        <w:t> </w:t>
      </w:r>
      <w:r>
        <w:rPr/>
        <w:t>nivel</w:t>
      </w:r>
      <w:r>
        <w:rPr>
          <w:spacing w:val="-7"/>
        </w:rPr>
        <w:t> </w:t>
      </w:r>
      <w:r>
        <w:rPr/>
        <w:t>de</w:t>
      </w:r>
      <w:r>
        <w:rPr>
          <w:spacing w:val="-9"/>
        </w:rPr>
        <w:t> </w:t>
      </w:r>
      <w:r>
        <w:rPr/>
        <w:t>pobreza</w:t>
      </w:r>
      <w:r>
        <w:rPr>
          <w:spacing w:val="-7"/>
        </w:rPr>
        <w:t> </w:t>
      </w:r>
      <w:r>
        <w:rPr/>
        <w:t>por</w:t>
      </w:r>
      <w:r>
        <w:rPr>
          <w:spacing w:val="-5"/>
        </w:rPr>
        <w:t> </w:t>
      </w:r>
      <w:r>
        <w:rPr/>
        <w:t>La</w:t>
      </w:r>
      <w:r>
        <w:rPr>
          <w:spacing w:val="-9"/>
        </w:rPr>
        <w:t> </w:t>
      </w:r>
      <w:r>
        <w:rPr/>
        <w:t>línea</w:t>
      </w:r>
      <w:r>
        <w:rPr>
          <w:spacing w:val="-9"/>
        </w:rPr>
        <w:t> </w:t>
      </w:r>
      <w:r>
        <w:rPr/>
        <w:t>de</w:t>
      </w:r>
      <w:r>
        <w:rPr>
          <w:spacing w:val="-7"/>
        </w:rPr>
        <w:t> </w:t>
      </w:r>
      <w:r>
        <w:rPr/>
        <w:t>Pobreza</w:t>
      </w:r>
      <w:r>
        <w:rPr>
          <w:spacing w:val="-9"/>
        </w:rPr>
        <w:t> </w:t>
      </w:r>
      <w:r>
        <w:rPr/>
        <w:t>(LP).</w:t>
      </w:r>
      <w:r>
        <w:rPr>
          <w:spacing w:val="-5"/>
        </w:rPr>
        <w:t> </w:t>
      </w:r>
      <w:r>
        <w:rPr/>
        <w:t>Aunque</w:t>
      </w:r>
      <w:r>
        <w:rPr>
          <w:spacing w:val="-9"/>
        </w:rPr>
        <w:t> </w:t>
      </w:r>
      <w:r>
        <w:rPr/>
        <w:t>la</w:t>
      </w:r>
      <w:r>
        <w:rPr>
          <w:spacing w:val="-6"/>
        </w:rPr>
        <w:t> </w:t>
      </w:r>
      <w:r>
        <w:rPr/>
        <w:t>serie</w:t>
      </w:r>
      <w:r>
        <w:rPr>
          <w:spacing w:val="-6"/>
        </w:rPr>
        <w:t> </w:t>
      </w:r>
      <w:r>
        <w:rPr/>
        <w:t>muestra</w:t>
      </w:r>
      <w:r>
        <w:rPr>
          <w:spacing w:val="-9"/>
        </w:rPr>
        <w:t> </w:t>
      </w:r>
      <w:r>
        <w:rPr/>
        <w:t>una recuperación reciente respecto de 2024, las diferencias por condición socioeconómica permanecen. En 2025, el promedio nacional se sitúa en 1,26 personas ocupadas por hogar, y la distancia entre hogares pobres y no pobres confirma que la disponibilidad de fuentes</w:t>
      </w:r>
      <w:r>
        <w:rPr>
          <w:spacing w:val="-2"/>
        </w:rPr>
        <w:t> </w:t>
      </w:r>
      <w:r>
        <w:rPr/>
        <w:t>laborales de ingreso</w:t>
      </w:r>
      <w:r>
        <w:rPr>
          <w:spacing w:val="-1"/>
        </w:rPr>
        <w:t> </w:t>
      </w:r>
      <w:r>
        <w:rPr/>
        <w:t>continúa siendo</w:t>
      </w:r>
      <w:r>
        <w:rPr>
          <w:spacing w:val="-1"/>
        </w:rPr>
        <w:t> </w:t>
      </w:r>
      <w:r>
        <w:rPr/>
        <w:t>un</w:t>
      </w:r>
      <w:r>
        <w:rPr>
          <w:spacing w:val="-3"/>
        </w:rPr>
        <w:t> </w:t>
      </w:r>
      <w:r>
        <w:rPr/>
        <w:t>componente</w:t>
      </w:r>
      <w:r>
        <w:rPr>
          <w:spacing w:val="-2"/>
        </w:rPr>
        <w:t> </w:t>
      </w:r>
      <w:r>
        <w:rPr/>
        <w:t>central</w:t>
      </w:r>
      <w:r>
        <w:rPr>
          <w:spacing w:val="-2"/>
        </w:rPr>
        <w:t> </w:t>
      </w:r>
      <w:r>
        <w:rPr/>
        <w:t>de</w:t>
      </w:r>
      <w:r>
        <w:rPr>
          <w:spacing w:val="-3"/>
        </w:rPr>
        <w:t> </w:t>
      </w:r>
      <w:r>
        <w:rPr/>
        <w:t>la</w:t>
      </w:r>
      <w:r>
        <w:rPr>
          <w:spacing w:val="-3"/>
        </w:rPr>
        <w:t> </w:t>
      </w:r>
      <w:r>
        <w:rPr/>
        <w:t>vulnerabilidad </w:t>
      </w:r>
      <w:r>
        <w:rPr>
          <w:spacing w:val="-2"/>
        </w:rPr>
        <w:t>económica.</w:t>
      </w:r>
    </w:p>
    <w:p>
      <w:pPr>
        <w:pStyle w:val="BodyText"/>
      </w:pPr>
    </w:p>
    <w:p>
      <w:pPr>
        <w:pStyle w:val="BodyText"/>
        <w:ind w:left="1625" w:right="1601"/>
        <w:jc w:val="both"/>
      </w:pPr>
      <w:r>
        <w:rPr/>
        <w:t>En</w:t>
      </w:r>
      <w:r>
        <w:rPr>
          <w:spacing w:val="-6"/>
        </w:rPr>
        <w:t> </w:t>
      </w:r>
      <w:r>
        <w:rPr/>
        <w:t>2025,</w:t>
      </w:r>
      <w:r>
        <w:rPr>
          <w:spacing w:val="-7"/>
        </w:rPr>
        <w:t> </w:t>
      </w:r>
      <w:r>
        <w:rPr/>
        <w:t>los</w:t>
      </w:r>
      <w:r>
        <w:rPr>
          <w:spacing w:val="-9"/>
        </w:rPr>
        <w:t> </w:t>
      </w:r>
      <w:r>
        <w:rPr/>
        <w:t>hogares</w:t>
      </w:r>
      <w:r>
        <w:rPr>
          <w:spacing w:val="-9"/>
        </w:rPr>
        <w:t> </w:t>
      </w:r>
      <w:r>
        <w:rPr/>
        <w:t>no</w:t>
      </w:r>
      <w:r>
        <w:rPr>
          <w:spacing w:val="-12"/>
        </w:rPr>
        <w:t> </w:t>
      </w:r>
      <w:r>
        <w:rPr/>
        <w:t>pobres</w:t>
      </w:r>
      <w:r>
        <w:rPr>
          <w:spacing w:val="-8"/>
        </w:rPr>
        <w:t> </w:t>
      </w:r>
      <w:r>
        <w:rPr/>
        <w:t>registran</w:t>
      </w:r>
      <w:r>
        <w:rPr>
          <w:spacing w:val="-9"/>
        </w:rPr>
        <w:t> </w:t>
      </w:r>
      <w:r>
        <w:rPr/>
        <w:t>aproximadamente</w:t>
      </w:r>
      <w:r>
        <w:rPr>
          <w:spacing w:val="-9"/>
        </w:rPr>
        <w:t> </w:t>
      </w:r>
      <w:r>
        <w:rPr/>
        <w:t>1,37</w:t>
      </w:r>
      <w:r>
        <w:rPr>
          <w:spacing w:val="-9"/>
        </w:rPr>
        <w:t> </w:t>
      </w:r>
      <w:r>
        <w:rPr/>
        <w:t>personas</w:t>
      </w:r>
      <w:r>
        <w:rPr>
          <w:spacing w:val="-9"/>
        </w:rPr>
        <w:t> </w:t>
      </w:r>
      <w:r>
        <w:rPr/>
        <w:t>ocupadas</w:t>
      </w:r>
      <w:r>
        <w:rPr>
          <w:spacing w:val="-8"/>
        </w:rPr>
        <w:t> </w:t>
      </w:r>
      <w:r>
        <w:rPr/>
        <w:t>por hogar,</w:t>
      </w:r>
      <w:r>
        <w:rPr>
          <w:spacing w:val="-7"/>
        </w:rPr>
        <w:t> </w:t>
      </w:r>
      <w:r>
        <w:rPr/>
        <w:t>frente</w:t>
      </w:r>
      <w:r>
        <w:rPr>
          <w:spacing w:val="-6"/>
        </w:rPr>
        <w:t> </w:t>
      </w:r>
      <w:r>
        <w:rPr/>
        <w:t>a</w:t>
      </w:r>
      <w:r>
        <w:rPr>
          <w:spacing w:val="-6"/>
        </w:rPr>
        <w:t> </w:t>
      </w:r>
      <w:r>
        <w:rPr/>
        <w:t>0,67</w:t>
      </w:r>
      <w:r>
        <w:rPr>
          <w:spacing w:val="-7"/>
        </w:rPr>
        <w:t> </w:t>
      </w:r>
      <w:r>
        <w:rPr/>
        <w:t>en</w:t>
      </w:r>
      <w:r>
        <w:rPr>
          <w:spacing w:val="-7"/>
        </w:rPr>
        <w:t> </w:t>
      </w:r>
      <w:r>
        <w:rPr/>
        <w:t>los</w:t>
      </w:r>
      <w:r>
        <w:rPr>
          <w:spacing w:val="-6"/>
        </w:rPr>
        <w:t> </w:t>
      </w:r>
      <w:r>
        <w:rPr/>
        <w:t>hogares</w:t>
      </w:r>
      <w:r>
        <w:rPr>
          <w:spacing w:val="-6"/>
        </w:rPr>
        <w:t> </w:t>
      </w:r>
      <w:r>
        <w:rPr/>
        <w:t>pobres</w:t>
      </w:r>
      <w:r>
        <w:rPr>
          <w:spacing w:val="-6"/>
        </w:rPr>
        <w:t> </w:t>
      </w:r>
      <w:r>
        <w:rPr/>
        <w:t>y</w:t>
      </w:r>
      <w:r>
        <w:rPr>
          <w:spacing w:val="-6"/>
        </w:rPr>
        <w:t> </w:t>
      </w:r>
      <w:r>
        <w:rPr/>
        <w:t>0,53</w:t>
      </w:r>
      <w:r>
        <w:rPr>
          <w:spacing w:val="-9"/>
        </w:rPr>
        <w:t> </w:t>
      </w:r>
      <w:r>
        <w:rPr/>
        <w:t>en</w:t>
      </w:r>
      <w:r>
        <w:rPr>
          <w:spacing w:val="-7"/>
        </w:rPr>
        <w:t> </w:t>
      </w:r>
      <w:r>
        <w:rPr/>
        <w:t>los</w:t>
      </w:r>
      <w:r>
        <w:rPr>
          <w:spacing w:val="-6"/>
        </w:rPr>
        <w:t> </w:t>
      </w:r>
      <w:r>
        <w:rPr/>
        <w:t>hogares</w:t>
      </w:r>
      <w:r>
        <w:rPr>
          <w:spacing w:val="-6"/>
        </w:rPr>
        <w:t> </w:t>
      </w:r>
      <w:r>
        <w:rPr/>
        <w:t>en</w:t>
      </w:r>
      <w:r>
        <w:rPr>
          <w:spacing w:val="-7"/>
        </w:rPr>
        <w:t> </w:t>
      </w:r>
      <w:r>
        <w:rPr/>
        <w:t>pobreza</w:t>
      </w:r>
      <w:r>
        <w:rPr>
          <w:spacing w:val="-6"/>
        </w:rPr>
        <w:t> </w:t>
      </w:r>
      <w:r>
        <w:rPr/>
        <w:t>extrema.</w:t>
      </w:r>
      <w:r>
        <w:rPr>
          <w:spacing w:val="-5"/>
        </w:rPr>
        <w:t> </w:t>
      </w:r>
      <w:r>
        <w:rPr/>
        <w:t>La brecha evidencia que la inserción laboral efectiva sigue siendo un factor central en la capacidad de generación de ingresos y en las posibilidades de superar la pobreza.</w:t>
      </w:r>
    </w:p>
    <w:p>
      <w:pPr>
        <w:pStyle w:val="BodyText"/>
        <w:spacing w:before="1"/>
        <w:ind w:left="1625" w:right="1604"/>
        <w:jc w:val="both"/>
      </w:pPr>
      <w:r>
        <w:rPr/>
        <w:t>La evolución reciente muestra una recuperación parcial del número de ocupados por hogar después de la caída asociada a la pandemia. Sin embargo, los hogares pobres mantienen una disponibilidad mucho menor de ingresos laborales: además de tener menos</w:t>
      </w:r>
      <w:r>
        <w:rPr>
          <w:spacing w:val="-16"/>
        </w:rPr>
        <w:t> </w:t>
      </w:r>
      <w:r>
        <w:rPr/>
        <w:t>personas</w:t>
      </w:r>
      <w:r>
        <w:rPr>
          <w:spacing w:val="-15"/>
        </w:rPr>
        <w:t> </w:t>
      </w:r>
      <w:r>
        <w:rPr/>
        <w:t>ocupadas,</w:t>
      </w:r>
      <w:r>
        <w:rPr>
          <w:spacing w:val="-15"/>
        </w:rPr>
        <w:t> </w:t>
      </w:r>
      <w:r>
        <w:rPr/>
        <w:t>enfrentan</w:t>
      </w:r>
      <w:r>
        <w:rPr>
          <w:spacing w:val="-16"/>
        </w:rPr>
        <w:t> </w:t>
      </w:r>
      <w:r>
        <w:rPr/>
        <w:t>con</w:t>
      </w:r>
      <w:r>
        <w:rPr>
          <w:spacing w:val="-15"/>
        </w:rPr>
        <w:t> </w:t>
      </w:r>
      <w:r>
        <w:rPr/>
        <w:t>mayor</w:t>
      </w:r>
      <w:r>
        <w:rPr>
          <w:spacing w:val="-15"/>
        </w:rPr>
        <w:t> </w:t>
      </w:r>
      <w:r>
        <w:rPr/>
        <w:t>frecuencia</w:t>
      </w:r>
      <w:r>
        <w:rPr>
          <w:spacing w:val="-15"/>
        </w:rPr>
        <w:t> </w:t>
      </w:r>
      <w:r>
        <w:rPr/>
        <w:t>barreras</w:t>
      </w:r>
      <w:r>
        <w:rPr>
          <w:spacing w:val="-16"/>
        </w:rPr>
        <w:t> </w:t>
      </w:r>
      <w:r>
        <w:rPr/>
        <w:t>de</w:t>
      </w:r>
      <w:r>
        <w:rPr>
          <w:spacing w:val="-15"/>
        </w:rPr>
        <w:t> </w:t>
      </w:r>
      <w:r>
        <w:rPr/>
        <w:t>baja</w:t>
      </w:r>
      <w:r>
        <w:rPr>
          <w:spacing w:val="-15"/>
        </w:rPr>
        <w:t> </w:t>
      </w:r>
      <w:r>
        <w:rPr/>
        <w:t>escolaridad, cuidados, informalidad, desempleo y menor acceso a oportunidades territoriales.</w:t>
      </w:r>
    </w:p>
    <w:p>
      <w:pPr>
        <w:pStyle w:val="BodyText"/>
        <w:spacing w:before="252"/>
        <w:ind w:left="1625" w:right="1601"/>
        <w:jc w:val="both"/>
      </w:pPr>
      <w:r>
        <w:rPr/>
        <w:t>Este</w:t>
      </w:r>
      <w:r>
        <w:rPr>
          <w:spacing w:val="-12"/>
        </w:rPr>
        <w:t> </w:t>
      </w:r>
      <w:r>
        <w:rPr/>
        <w:t>patrón</w:t>
      </w:r>
      <w:r>
        <w:rPr>
          <w:spacing w:val="-16"/>
        </w:rPr>
        <w:t> </w:t>
      </w:r>
      <w:r>
        <w:rPr/>
        <w:t>revela</w:t>
      </w:r>
      <w:r>
        <w:rPr>
          <w:spacing w:val="-11"/>
        </w:rPr>
        <w:t> </w:t>
      </w:r>
      <w:r>
        <w:rPr/>
        <w:t>un</w:t>
      </w:r>
      <w:r>
        <w:rPr>
          <w:spacing w:val="-14"/>
        </w:rPr>
        <w:t> </w:t>
      </w:r>
      <w:r>
        <w:rPr/>
        <w:t>problema</w:t>
      </w:r>
      <w:r>
        <w:rPr>
          <w:spacing w:val="-12"/>
        </w:rPr>
        <w:t> </w:t>
      </w:r>
      <w:r>
        <w:rPr/>
        <w:t>estructural:</w:t>
      </w:r>
      <w:r>
        <w:rPr>
          <w:spacing w:val="-11"/>
        </w:rPr>
        <w:t> </w:t>
      </w:r>
      <w:r>
        <w:rPr/>
        <w:t>los</w:t>
      </w:r>
      <w:r>
        <w:rPr>
          <w:spacing w:val="-14"/>
        </w:rPr>
        <w:t> </w:t>
      </w:r>
      <w:r>
        <w:rPr/>
        <w:t>hogares</w:t>
      </w:r>
      <w:r>
        <w:rPr>
          <w:spacing w:val="-13"/>
        </w:rPr>
        <w:t> </w:t>
      </w:r>
      <w:r>
        <w:rPr/>
        <w:t>más</w:t>
      </w:r>
      <w:r>
        <w:rPr>
          <w:spacing w:val="-14"/>
        </w:rPr>
        <w:t> </w:t>
      </w:r>
      <w:r>
        <w:rPr/>
        <w:t>pobres</w:t>
      </w:r>
      <w:r>
        <w:rPr>
          <w:spacing w:val="-14"/>
        </w:rPr>
        <w:t> </w:t>
      </w:r>
      <w:r>
        <w:rPr/>
        <w:t>no</w:t>
      </w:r>
      <w:r>
        <w:rPr>
          <w:spacing w:val="-14"/>
        </w:rPr>
        <w:t> </w:t>
      </w:r>
      <w:r>
        <w:rPr/>
        <w:t>solo</w:t>
      </w:r>
      <w:r>
        <w:rPr>
          <w:spacing w:val="-12"/>
        </w:rPr>
        <w:t> </w:t>
      </w:r>
      <w:r>
        <w:rPr/>
        <w:t>tienen</w:t>
      </w:r>
      <w:r>
        <w:rPr>
          <w:spacing w:val="-14"/>
        </w:rPr>
        <w:t> </w:t>
      </w:r>
      <w:r>
        <w:rPr/>
        <w:t>menos ingresos, sino también menos integrantes ocupados, lo cual reduce la disponibilidad de ingresos laborales y limita sus posibilidades de movilidad social. Esta menor inserción laboral</w:t>
      </w:r>
      <w:r>
        <w:rPr>
          <w:spacing w:val="-3"/>
        </w:rPr>
        <w:t> </w:t>
      </w:r>
      <w:r>
        <w:rPr/>
        <w:t>puede</w:t>
      </w:r>
      <w:r>
        <w:rPr>
          <w:spacing w:val="-3"/>
        </w:rPr>
        <w:t> </w:t>
      </w:r>
      <w:r>
        <w:rPr/>
        <w:t>coexistir</w:t>
      </w:r>
      <w:r>
        <w:rPr>
          <w:spacing w:val="-2"/>
        </w:rPr>
        <w:t> </w:t>
      </w:r>
      <w:r>
        <w:rPr/>
        <w:t>con</w:t>
      </w:r>
      <w:r>
        <w:rPr>
          <w:spacing w:val="-3"/>
        </w:rPr>
        <w:t> </w:t>
      </w:r>
      <w:r>
        <w:rPr/>
        <w:t>barreras</w:t>
      </w:r>
      <w:r>
        <w:rPr>
          <w:spacing w:val="-4"/>
        </w:rPr>
        <w:t> </w:t>
      </w:r>
      <w:r>
        <w:rPr/>
        <w:t>como</w:t>
      </w:r>
      <w:r>
        <w:rPr>
          <w:spacing w:val="-4"/>
        </w:rPr>
        <w:t> </w:t>
      </w:r>
      <w:r>
        <w:rPr/>
        <w:t>el</w:t>
      </w:r>
      <w:r>
        <w:rPr>
          <w:spacing w:val="-3"/>
        </w:rPr>
        <w:t> </w:t>
      </w:r>
      <w:r>
        <w:rPr/>
        <w:t>bajo</w:t>
      </w:r>
      <w:r>
        <w:rPr>
          <w:spacing w:val="-4"/>
        </w:rPr>
        <w:t> </w:t>
      </w:r>
      <w:r>
        <w:rPr/>
        <w:t>nivel</w:t>
      </w:r>
      <w:r>
        <w:rPr>
          <w:spacing w:val="-3"/>
        </w:rPr>
        <w:t> </w:t>
      </w:r>
      <w:r>
        <w:rPr/>
        <w:t>educativo,</w:t>
      </w:r>
      <w:r>
        <w:rPr>
          <w:spacing w:val="-1"/>
        </w:rPr>
        <w:t> </w:t>
      </w:r>
      <w:r>
        <w:rPr/>
        <w:t>la</w:t>
      </w:r>
      <w:r>
        <w:rPr>
          <w:spacing w:val="-3"/>
        </w:rPr>
        <w:t> </w:t>
      </w:r>
      <w:r>
        <w:rPr/>
        <w:t>informalidad,</w:t>
      </w:r>
      <w:r>
        <w:rPr>
          <w:spacing w:val="-2"/>
        </w:rPr>
        <w:t> </w:t>
      </w:r>
      <w:r>
        <w:rPr/>
        <w:t>la</w:t>
      </w:r>
      <w:r>
        <w:rPr>
          <w:spacing w:val="-4"/>
        </w:rPr>
        <w:t> </w:t>
      </w:r>
      <w:r>
        <w:rPr/>
        <w:t>falta de acceso a servicios de cuidado para niñas, niños o personas adultas dependientes y otras desigualdades asociadas con el género o el territorio.</w:t>
      </w:r>
    </w:p>
    <w:p>
      <w:pPr>
        <w:pStyle w:val="BodyText"/>
        <w:spacing w:after="0"/>
        <w:jc w:val="both"/>
        <w:sectPr>
          <w:pgSz w:w="12240" w:h="15840"/>
          <w:pgMar w:header="0" w:footer="1576" w:top="1000" w:bottom="1760" w:left="360" w:right="0"/>
        </w:sectPr>
      </w:pPr>
    </w:p>
    <w:p>
      <w:pPr>
        <w:pStyle w:val="BodyText"/>
        <w:spacing w:before="77"/>
        <w:ind w:left="1625" w:right="1605"/>
        <w:jc w:val="both"/>
      </w:pPr>
      <w:r>
        <w:rPr/>
        <w:t>En conjunto, estos datos destacan la necesidad urgente de políticas públicas centradas en la generación de empleo inclusivo y accesible, especialmente para los hogares en situación de pobreza extrema. Asimismo, es fundamental promover condiciones que favorezcan</w:t>
      </w:r>
      <w:r>
        <w:rPr>
          <w:spacing w:val="-8"/>
        </w:rPr>
        <w:t> </w:t>
      </w:r>
      <w:r>
        <w:rPr/>
        <w:t>la</w:t>
      </w:r>
      <w:r>
        <w:rPr>
          <w:spacing w:val="-7"/>
        </w:rPr>
        <w:t> </w:t>
      </w:r>
      <w:r>
        <w:rPr/>
        <w:t>inserción</w:t>
      </w:r>
      <w:r>
        <w:rPr>
          <w:spacing w:val="-8"/>
        </w:rPr>
        <w:t> </w:t>
      </w:r>
      <w:r>
        <w:rPr/>
        <w:t>laboral</w:t>
      </w:r>
      <w:r>
        <w:rPr>
          <w:spacing w:val="-8"/>
        </w:rPr>
        <w:t> </w:t>
      </w:r>
      <w:r>
        <w:rPr/>
        <w:t>de</w:t>
      </w:r>
      <w:r>
        <w:rPr>
          <w:spacing w:val="-10"/>
        </w:rPr>
        <w:t> </w:t>
      </w:r>
      <w:r>
        <w:rPr/>
        <w:t>mujeres,</w:t>
      </w:r>
      <w:r>
        <w:rPr>
          <w:spacing w:val="-9"/>
        </w:rPr>
        <w:t> </w:t>
      </w:r>
      <w:r>
        <w:rPr/>
        <w:t>jóvenes</w:t>
      </w:r>
      <w:r>
        <w:rPr>
          <w:spacing w:val="-7"/>
        </w:rPr>
        <w:t> </w:t>
      </w:r>
      <w:r>
        <w:rPr/>
        <w:t>y</w:t>
      </w:r>
      <w:r>
        <w:rPr>
          <w:spacing w:val="-7"/>
        </w:rPr>
        <w:t> </w:t>
      </w:r>
      <w:r>
        <w:rPr/>
        <w:t>personas</w:t>
      </w:r>
      <w:r>
        <w:rPr>
          <w:spacing w:val="-7"/>
        </w:rPr>
        <w:t> </w:t>
      </w:r>
      <w:r>
        <w:rPr/>
        <w:t>en</w:t>
      </w:r>
      <w:r>
        <w:rPr>
          <w:spacing w:val="-10"/>
        </w:rPr>
        <w:t> </w:t>
      </w:r>
      <w:r>
        <w:rPr/>
        <w:t>contextos</w:t>
      </w:r>
      <w:r>
        <w:rPr>
          <w:spacing w:val="-7"/>
        </w:rPr>
        <w:t> </w:t>
      </w:r>
      <w:r>
        <w:rPr/>
        <w:t>vulnerables, para</w:t>
      </w:r>
      <w:r>
        <w:rPr>
          <w:spacing w:val="-12"/>
        </w:rPr>
        <w:t> </w:t>
      </w:r>
      <w:r>
        <w:rPr/>
        <w:t>cerrar</w:t>
      </w:r>
      <w:r>
        <w:rPr>
          <w:spacing w:val="-11"/>
        </w:rPr>
        <w:t> </w:t>
      </w:r>
      <w:r>
        <w:rPr/>
        <w:t>las</w:t>
      </w:r>
      <w:r>
        <w:rPr>
          <w:spacing w:val="-15"/>
        </w:rPr>
        <w:t> </w:t>
      </w:r>
      <w:r>
        <w:rPr/>
        <w:t>brechas</w:t>
      </w:r>
      <w:r>
        <w:rPr>
          <w:spacing w:val="-15"/>
        </w:rPr>
        <w:t> </w:t>
      </w:r>
      <w:r>
        <w:rPr/>
        <w:t>en</w:t>
      </w:r>
      <w:r>
        <w:rPr>
          <w:spacing w:val="-12"/>
        </w:rPr>
        <w:t> </w:t>
      </w:r>
      <w:r>
        <w:rPr/>
        <w:t>el</w:t>
      </w:r>
      <w:r>
        <w:rPr>
          <w:spacing w:val="-13"/>
        </w:rPr>
        <w:t> </w:t>
      </w:r>
      <w:r>
        <w:rPr/>
        <w:t>acceso</w:t>
      </w:r>
      <w:r>
        <w:rPr>
          <w:spacing w:val="-15"/>
        </w:rPr>
        <w:t> </w:t>
      </w:r>
      <w:r>
        <w:rPr/>
        <w:t>a</w:t>
      </w:r>
      <w:r>
        <w:rPr>
          <w:spacing w:val="-12"/>
        </w:rPr>
        <w:t> </w:t>
      </w:r>
      <w:r>
        <w:rPr/>
        <w:t>ingresos</w:t>
      </w:r>
      <w:r>
        <w:rPr>
          <w:spacing w:val="-14"/>
        </w:rPr>
        <w:t> </w:t>
      </w:r>
      <w:r>
        <w:rPr/>
        <w:t>y</w:t>
      </w:r>
      <w:r>
        <w:rPr>
          <w:spacing w:val="-14"/>
        </w:rPr>
        <w:t> </w:t>
      </w:r>
      <w:r>
        <w:rPr/>
        <w:t>reducir</w:t>
      </w:r>
      <w:r>
        <w:rPr>
          <w:spacing w:val="-11"/>
        </w:rPr>
        <w:t> </w:t>
      </w:r>
      <w:r>
        <w:rPr/>
        <w:t>de</w:t>
      </w:r>
      <w:r>
        <w:rPr>
          <w:spacing w:val="-15"/>
        </w:rPr>
        <w:t> </w:t>
      </w:r>
      <w:r>
        <w:rPr/>
        <w:t>manera</w:t>
      </w:r>
      <w:r>
        <w:rPr>
          <w:spacing w:val="-12"/>
        </w:rPr>
        <w:t> </w:t>
      </w:r>
      <w:r>
        <w:rPr/>
        <w:t>sostenible</w:t>
      </w:r>
      <w:r>
        <w:rPr>
          <w:spacing w:val="-12"/>
        </w:rPr>
        <w:t> </w:t>
      </w:r>
      <w:r>
        <w:rPr/>
        <w:t>los</w:t>
      </w:r>
      <w:r>
        <w:rPr>
          <w:spacing w:val="-12"/>
        </w:rPr>
        <w:t> </w:t>
      </w:r>
      <w:r>
        <w:rPr/>
        <w:t>niveles de pobreza.</w:t>
      </w:r>
    </w:p>
    <w:p>
      <w:pPr>
        <w:pStyle w:val="BodyText"/>
        <w:spacing w:before="1"/>
      </w:pPr>
    </w:p>
    <w:p>
      <w:pPr>
        <w:pStyle w:val="BodyText"/>
        <w:ind w:left="1625" w:right="1604"/>
        <w:jc w:val="both"/>
      </w:pPr>
      <w:r>
        <w:rPr/>
        <w:t>El porcentaje de hogares con jefatura femenina mantiene una tendencia ascendente en Costa Rica. En 2025 se registran 823.792 jefaturas femeninas, equivalentes al 43,59% del total de hogares. El cambio refleja transformaciones demográficas y familiares y refuerza la necesidad de incorporar el enfoque de género en el análisis de pobreza, cuidados y autonomía económica.</w:t>
      </w:r>
    </w:p>
    <w:p>
      <w:pPr>
        <w:pStyle w:val="BodyText"/>
        <w:spacing w:before="23"/>
      </w:pPr>
    </w:p>
    <w:p>
      <w:pPr>
        <w:pStyle w:val="Heading5"/>
        <w:ind w:left="3622" w:right="1444" w:hanging="1988"/>
      </w:pPr>
      <w:bookmarkStart w:name="_bookmark32" w:id="33"/>
      <w:bookmarkEnd w:id="33"/>
      <w:r>
        <w:rPr>
          <w:b w:val="0"/>
        </w:rPr>
      </w:r>
      <w:r>
        <w:rPr/>
        <w:t>Gráfico</w:t>
      </w:r>
      <w:r>
        <w:rPr>
          <w:spacing w:val="-4"/>
        </w:rPr>
        <w:t> </w:t>
      </w:r>
      <w:r>
        <w:rPr/>
        <w:t>13:</w:t>
      </w:r>
      <w:r>
        <w:rPr>
          <w:spacing w:val="-3"/>
        </w:rPr>
        <w:t> </w:t>
      </w:r>
      <w:r>
        <w:rPr/>
        <w:t>Costa</w:t>
      </w:r>
      <w:r>
        <w:rPr>
          <w:spacing w:val="-2"/>
        </w:rPr>
        <w:t> </w:t>
      </w:r>
      <w:r>
        <w:rPr/>
        <w:t>Rica:</w:t>
      </w:r>
      <w:r>
        <w:rPr>
          <w:spacing w:val="-3"/>
        </w:rPr>
        <w:t> </w:t>
      </w:r>
      <w:r>
        <w:rPr/>
        <w:t>Porcentaje</w:t>
      </w:r>
      <w:r>
        <w:rPr>
          <w:spacing w:val="-2"/>
        </w:rPr>
        <w:t> </w:t>
      </w:r>
      <w:r>
        <w:rPr/>
        <w:t>de</w:t>
      </w:r>
      <w:r>
        <w:rPr>
          <w:spacing w:val="-4"/>
        </w:rPr>
        <w:t> </w:t>
      </w:r>
      <w:r>
        <w:rPr/>
        <w:t>hogares</w:t>
      </w:r>
      <w:r>
        <w:rPr>
          <w:spacing w:val="-4"/>
        </w:rPr>
        <w:t> </w:t>
      </w:r>
      <w:r>
        <w:rPr/>
        <w:t>con</w:t>
      </w:r>
      <w:r>
        <w:rPr>
          <w:spacing w:val="-4"/>
        </w:rPr>
        <w:t> </w:t>
      </w:r>
      <w:r>
        <w:rPr/>
        <w:t>jefatura</w:t>
      </w:r>
      <w:r>
        <w:rPr>
          <w:spacing w:val="-4"/>
        </w:rPr>
        <w:t> </w:t>
      </w:r>
      <w:r>
        <w:rPr/>
        <w:t>femenina</w:t>
      </w:r>
      <w:r>
        <w:rPr>
          <w:spacing w:val="-7"/>
        </w:rPr>
        <w:t> </w:t>
      </w:r>
      <w:r>
        <w:rPr/>
        <w:t>según</w:t>
      </w:r>
      <w:r>
        <w:rPr>
          <w:spacing w:val="-2"/>
        </w:rPr>
        <w:t> </w:t>
      </w:r>
      <w:r>
        <w:rPr/>
        <w:t>nivel de pobreza por Línea de Pobreza (LP), 2010-2025</w:t>
      </w:r>
    </w:p>
    <w:p>
      <w:pPr>
        <w:pStyle w:val="BodyText"/>
        <w:spacing w:before="9"/>
        <w:rPr>
          <w:b/>
          <w:sz w:val="5"/>
        </w:rPr>
      </w:pPr>
      <w:r>
        <w:rPr>
          <w:b/>
          <w:sz w:val="5"/>
        </w:rPr>
        <w:drawing>
          <wp:anchor distT="0" distB="0" distL="0" distR="0" allowOverlap="1" layoutInCell="1" locked="0" behindDoc="1" simplePos="0" relativeHeight="487594496">
            <wp:simplePos x="0" y="0"/>
            <wp:positionH relativeFrom="page">
              <wp:posOffset>1286418</wp:posOffset>
            </wp:positionH>
            <wp:positionV relativeFrom="paragraph">
              <wp:posOffset>57567</wp:posOffset>
            </wp:positionV>
            <wp:extent cx="5544884" cy="2966466"/>
            <wp:effectExtent l="0" t="0" r="0" b="0"/>
            <wp:wrapTopAndBottom/>
            <wp:docPr id="74" name="Image 74"/>
            <wp:cNvGraphicFramePr>
              <a:graphicFrameLocks/>
            </wp:cNvGraphicFramePr>
            <a:graphic>
              <a:graphicData uri="http://schemas.openxmlformats.org/drawingml/2006/picture">
                <pic:pic>
                  <pic:nvPicPr>
                    <pic:cNvPr id="74" name="Image 74"/>
                    <pic:cNvPicPr/>
                  </pic:nvPicPr>
                  <pic:blipFill>
                    <a:blip r:embed="rId45" cstate="print"/>
                    <a:stretch>
                      <a:fillRect/>
                    </a:stretch>
                  </pic:blipFill>
                  <pic:spPr>
                    <a:xfrm>
                      <a:off x="0" y="0"/>
                      <a:ext cx="5544884" cy="2966466"/>
                    </a:xfrm>
                    <a:prstGeom prst="rect">
                      <a:avLst/>
                    </a:prstGeom>
                  </pic:spPr>
                </pic:pic>
              </a:graphicData>
            </a:graphic>
          </wp:anchor>
        </w:drawing>
      </w:r>
    </w:p>
    <w:p>
      <w:pPr>
        <w:spacing w:before="7"/>
        <w:ind w:left="1625" w:right="1601" w:firstLine="0"/>
        <w:jc w:val="both"/>
        <w:rPr>
          <w:sz w:val="18"/>
        </w:rPr>
      </w:pPr>
      <w:r>
        <w:rPr>
          <w:sz w:val="18"/>
        </w:rPr>
        <w:t>Fuente: Elaboración propia con datos del Instituto Nacional de Estadística y Censos (INEC), ENAHO 2010-2025; procesamiento IMAS, Planificación Institucional.</w:t>
      </w:r>
    </w:p>
    <w:p>
      <w:pPr>
        <w:pStyle w:val="BodyText"/>
        <w:spacing w:before="23"/>
        <w:rPr>
          <w:sz w:val="18"/>
        </w:rPr>
      </w:pPr>
    </w:p>
    <w:p>
      <w:pPr>
        <w:pStyle w:val="BodyText"/>
        <w:ind w:left="1625" w:right="1604"/>
        <w:jc w:val="both"/>
      </w:pPr>
      <w:r>
        <w:rPr/>
        <w:t>El gráfico 13 muestra la evolución de la jefatura femenina según nivel de pobreza por Línea</w:t>
      </w:r>
      <w:r>
        <w:rPr>
          <w:spacing w:val="-6"/>
        </w:rPr>
        <w:t> </w:t>
      </w:r>
      <w:r>
        <w:rPr/>
        <w:t>de</w:t>
      </w:r>
      <w:r>
        <w:rPr>
          <w:spacing w:val="-9"/>
        </w:rPr>
        <w:t> </w:t>
      </w:r>
      <w:r>
        <w:rPr/>
        <w:t>Pobreza</w:t>
      </w:r>
      <w:r>
        <w:rPr>
          <w:spacing w:val="-9"/>
        </w:rPr>
        <w:t> </w:t>
      </w:r>
      <w:r>
        <w:rPr/>
        <w:t>(LP).</w:t>
      </w:r>
      <w:r>
        <w:rPr>
          <w:spacing w:val="-10"/>
        </w:rPr>
        <w:t> </w:t>
      </w:r>
      <w:r>
        <w:rPr/>
        <w:t>En</w:t>
      </w:r>
      <w:r>
        <w:rPr>
          <w:spacing w:val="-6"/>
        </w:rPr>
        <w:t> </w:t>
      </w:r>
      <w:r>
        <w:rPr/>
        <w:t>2025,</w:t>
      </w:r>
      <w:r>
        <w:rPr>
          <w:spacing w:val="-7"/>
        </w:rPr>
        <w:t> </w:t>
      </w:r>
      <w:r>
        <w:rPr/>
        <w:t>las</w:t>
      </w:r>
      <w:r>
        <w:rPr>
          <w:spacing w:val="-11"/>
        </w:rPr>
        <w:t> </w:t>
      </w:r>
      <w:r>
        <w:rPr/>
        <w:t>jefaturas</w:t>
      </w:r>
      <w:r>
        <w:rPr>
          <w:spacing w:val="-11"/>
        </w:rPr>
        <w:t> </w:t>
      </w:r>
      <w:r>
        <w:rPr/>
        <w:t>femeninas</w:t>
      </w:r>
      <w:r>
        <w:rPr>
          <w:spacing w:val="-8"/>
        </w:rPr>
        <w:t> </w:t>
      </w:r>
      <w:r>
        <w:rPr/>
        <w:t>representan</w:t>
      </w:r>
      <w:r>
        <w:rPr>
          <w:spacing w:val="-9"/>
        </w:rPr>
        <w:t> </w:t>
      </w:r>
      <w:r>
        <w:rPr/>
        <w:t>43,59%</w:t>
      </w:r>
      <w:r>
        <w:rPr>
          <w:spacing w:val="-6"/>
        </w:rPr>
        <w:t> </w:t>
      </w:r>
      <w:r>
        <w:rPr/>
        <w:t>del</w:t>
      </w:r>
      <w:r>
        <w:rPr>
          <w:spacing w:val="-9"/>
        </w:rPr>
        <w:t> </w:t>
      </w:r>
      <w:r>
        <w:rPr/>
        <w:t>total</w:t>
      </w:r>
      <w:r>
        <w:rPr>
          <w:spacing w:val="-10"/>
        </w:rPr>
        <w:t> </w:t>
      </w:r>
      <w:r>
        <w:rPr/>
        <w:t>de hogares, pero su peso aumenta a 51,72% entre los hogares pobres por LP y a 57,68% en pobreza</w:t>
      </w:r>
      <w:r>
        <w:rPr>
          <w:spacing w:val="-2"/>
        </w:rPr>
        <w:t> </w:t>
      </w:r>
      <w:r>
        <w:rPr/>
        <w:t>extrema. La</w:t>
      </w:r>
      <w:r>
        <w:rPr>
          <w:spacing w:val="-4"/>
        </w:rPr>
        <w:t> </w:t>
      </w:r>
      <w:r>
        <w:rPr/>
        <w:t>separación entre</w:t>
      </w:r>
      <w:r>
        <w:rPr>
          <w:spacing w:val="-2"/>
        </w:rPr>
        <w:t> </w:t>
      </w:r>
      <w:r>
        <w:rPr/>
        <w:t>las</w:t>
      </w:r>
      <w:r>
        <w:rPr>
          <w:spacing w:val="-2"/>
        </w:rPr>
        <w:t> </w:t>
      </w:r>
      <w:r>
        <w:rPr/>
        <w:t>series sugiere</w:t>
      </w:r>
      <w:r>
        <w:rPr>
          <w:spacing w:val="-1"/>
        </w:rPr>
        <w:t> </w:t>
      </w:r>
      <w:r>
        <w:rPr/>
        <w:t>que</w:t>
      </w:r>
      <w:r>
        <w:rPr>
          <w:spacing w:val="-2"/>
        </w:rPr>
        <w:t> </w:t>
      </w:r>
      <w:r>
        <w:rPr/>
        <w:t>la</w:t>
      </w:r>
      <w:r>
        <w:rPr>
          <w:spacing w:val="-2"/>
        </w:rPr>
        <w:t> </w:t>
      </w:r>
      <w:r>
        <w:rPr/>
        <w:t>transformación</w:t>
      </w:r>
      <w:r>
        <w:rPr>
          <w:spacing w:val="-2"/>
        </w:rPr>
        <w:t> </w:t>
      </w:r>
      <w:r>
        <w:rPr/>
        <w:t>de las estructuras</w:t>
      </w:r>
      <w:r>
        <w:rPr>
          <w:spacing w:val="-12"/>
        </w:rPr>
        <w:t> </w:t>
      </w:r>
      <w:r>
        <w:rPr/>
        <w:t>familiares</w:t>
      </w:r>
      <w:r>
        <w:rPr>
          <w:spacing w:val="-11"/>
        </w:rPr>
        <w:t> </w:t>
      </w:r>
      <w:r>
        <w:rPr/>
        <w:t>no</w:t>
      </w:r>
      <w:r>
        <w:rPr>
          <w:spacing w:val="-14"/>
        </w:rPr>
        <w:t> </w:t>
      </w:r>
      <w:r>
        <w:rPr/>
        <w:t>se</w:t>
      </w:r>
      <w:r>
        <w:rPr>
          <w:spacing w:val="-11"/>
        </w:rPr>
        <w:t> </w:t>
      </w:r>
      <w:r>
        <w:rPr/>
        <w:t>ha</w:t>
      </w:r>
      <w:r>
        <w:rPr>
          <w:spacing w:val="-12"/>
        </w:rPr>
        <w:t> </w:t>
      </w:r>
      <w:r>
        <w:rPr/>
        <w:t>acompañado</w:t>
      </w:r>
      <w:r>
        <w:rPr>
          <w:spacing w:val="-12"/>
        </w:rPr>
        <w:t> </w:t>
      </w:r>
      <w:r>
        <w:rPr/>
        <w:t>de</w:t>
      </w:r>
      <w:r>
        <w:rPr>
          <w:spacing w:val="-14"/>
        </w:rPr>
        <w:t> </w:t>
      </w:r>
      <w:r>
        <w:rPr/>
        <w:t>una</w:t>
      </w:r>
      <w:r>
        <w:rPr>
          <w:spacing w:val="-11"/>
        </w:rPr>
        <w:t> </w:t>
      </w:r>
      <w:r>
        <w:rPr/>
        <w:t>reducción</w:t>
      </w:r>
      <w:r>
        <w:rPr>
          <w:spacing w:val="-12"/>
        </w:rPr>
        <w:t> </w:t>
      </w:r>
      <w:r>
        <w:rPr/>
        <w:t>equivalente</w:t>
      </w:r>
      <w:r>
        <w:rPr>
          <w:spacing w:val="-16"/>
        </w:rPr>
        <w:t> </w:t>
      </w:r>
      <w:r>
        <w:rPr/>
        <w:t>de</w:t>
      </w:r>
      <w:r>
        <w:rPr>
          <w:spacing w:val="-12"/>
        </w:rPr>
        <w:t> </w:t>
      </w:r>
      <w:r>
        <w:rPr/>
        <w:t>las</w:t>
      </w:r>
      <w:r>
        <w:rPr>
          <w:spacing w:val="-11"/>
        </w:rPr>
        <w:t> </w:t>
      </w:r>
      <w:r>
        <w:rPr/>
        <w:t>brechas económicas y de cuidados que enfrentan muchas mujeres responsables del hogar.</w:t>
      </w:r>
    </w:p>
    <w:p>
      <w:pPr>
        <w:pStyle w:val="BodyText"/>
        <w:spacing w:before="1"/>
      </w:pPr>
    </w:p>
    <w:p>
      <w:pPr>
        <w:pStyle w:val="BodyText"/>
        <w:ind w:left="1625" w:right="1606"/>
        <w:jc w:val="both"/>
      </w:pPr>
      <w:r>
        <w:rPr/>
        <w:t>En los hogares en pobreza extrema, la jefatura femenina alcanza 57,68% en 2025. Más de la mitad de estos hogares están encabezados por mujeres, lo que refuerza la necesidad</w:t>
      </w:r>
      <w:r>
        <w:rPr>
          <w:spacing w:val="-14"/>
        </w:rPr>
        <w:t> </w:t>
      </w:r>
      <w:r>
        <w:rPr/>
        <w:t>de</w:t>
      </w:r>
      <w:r>
        <w:rPr>
          <w:spacing w:val="-15"/>
        </w:rPr>
        <w:t> </w:t>
      </w:r>
      <w:r>
        <w:rPr/>
        <w:t>considerar</w:t>
      </w:r>
      <w:r>
        <w:rPr>
          <w:spacing w:val="-16"/>
        </w:rPr>
        <w:t> </w:t>
      </w:r>
      <w:r>
        <w:rPr/>
        <w:t>simultáneamente</w:t>
      </w:r>
      <w:r>
        <w:rPr>
          <w:spacing w:val="-13"/>
        </w:rPr>
        <w:t> </w:t>
      </w:r>
      <w:r>
        <w:rPr/>
        <w:t>empleo,</w:t>
      </w:r>
      <w:r>
        <w:rPr>
          <w:spacing w:val="-13"/>
        </w:rPr>
        <w:t> </w:t>
      </w:r>
      <w:r>
        <w:rPr/>
        <w:t>ingresos,</w:t>
      </w:r>
      <w:r>
        <w:rPr>
          <w:spacing w:val="-15"/>
        </w:rPr>
        <w:t> </w:t>
      </w:r>
      <w:r>
        <w:rPr/>
        <w:t>responsabilidades</w:t>
      </w:r>
      <w:r>
        <w:rPr>
          <w:spacing w:val="-14"/>
        </w:rPr>
        <w:t> </w:t>
      </w:r>
      <w:r>
        <w:rPr/>
        <w:t>de</w:t>
      </w:r>
      <w:r>
        <w:rPr>
          <w:spacing w:val="-15"/>
        </w:rPr>
        <w:t> </w:t>
      </w:r>
      <w:r>
        <w:rPr/>
        <w:t>cuido, acceso a servicios y protección social en el diseño de las intervenciones.</w:t>
      </w:r>
    </w:p>
    <w:p>
      <w:pPr>
        <w:pStyle w:val="BodyText"/>
      </w:pPr>
    </w:p>
    <w:p>
      <w:pPr>
        <w:pStyle w:val="BodyText"/>
        <w:ind w:left="1625" w:right="1603"/>
        <w:jc w:val="both"/>
      </w:pPr>
      <w:r>
        <w:rPr/>
        <w:t>El</w:t>
      </w:r>
      <w:r>
        <w:rPr>
          <w:spacing w:val="-2"/>
        </w:rPr>
        <w:t> </w:t>
      </w:r>
      <w:r>
        <w:rPr/>
        <w:t>patrón</w:t>
      </w:r>
      <w:r>
        <w:rPr>
          <w:spacing w:val="-2"/>
        </w:rPr>
        <w:t> </w:t>
      </w:r>
      <w:r>
        <w:rPr/>
        <w:t>observado</w:t>
      </w:r>
      <w:r>
        <w:rPr>
          <w:spacing w:val="-2"/>
        </w:rPr>
        <w:t> </w:t>
      </w:r>
      <w:r>
        <w:rPr/>
        <w:t>es</w:t>
      </w:r>
      <w:r>
        <w:rPr>
          <w:spacing w:val="-1"/>
        </w:rPr>
        <w:t> </w:t>
      </w:r>
      <w:r>
        <w:rPr/>
        <w:t>consistente</w:t>
      </w:r>
      <w:r>
        <w:rPr>
          <w:spacing w:val="-2"/>
        </w:rPr>
        <w:t> </w:t>
      </w:r>
      <w:r>
        <w:rPr/>
        <w:t>con</w:t>
      </w:r>
      <w:r>
        <w:rPr>
          <w:spacing w:val="-2"/>
        </w:rPr>
        <w:t> </w:t>
      </w:r>
      <w:r>
        <w:rPr/>
        <w:t>desigualdades</w:t>
      </w:r>
      <w:r>
        <w:rPr>
          <w:spacing w:val="-1"/>
        </w:rPr>
        <w:t> </w:t>
      </w:r>
      <w:r>
        <w:rPr/>
        <w:t>históricas</w:t>
      </w:r>
      <w:r>
        <w:rPr>
          <w:spacing w:val="-1"/>
        </w:rPr>
        <w:t> </w:t>
      </w:r>
      <w:r>
        <w:rPr/>
        <w:t>en</w:t>
      </w:r>
      <w:r>
        <w:rPr>
          <w:spacing w:val="-2"/>
        </w:rPr>
        <w:t> </w:t>
      </w:r>
      <w:r>
        <w:rPr/>
        <w:t>el</w:t>
      </w:r>
      <w:r>
        <w:rPr>
          <w:spacing w:val="-3"/>
        </w:rPr>
        <w:t> </w:t>
      </w:r>
      <w:r>
        <w:rPr/>
        <w:t>acceso</w:t>
      </w:r>
      <w:r>
        <w:rPr>
          <w:spacing w:val="-2"/>
        </w:rPr>
        <w:t> </w:t>
      </w:r>
      <w:r>
        <w:rPr/>
        <w:t>al</w:t>
      </w:r>
      <w:r>
        <w:rPr>
          <w:spacing w:val="-3"/>
        </w:rPr>
        <w:t> </w:t>
      </w:r>
      <w:r>
        <w:rPr/>
        <w:t>empleo de</w:t>
      </w:r>
      <w:r>
        <w:rPr>
          <w:spacing w:val="-16"/>
        </w:rPr>
        <w:t> </w:t>
      </w:r>
      <w:r>
        <w:rPr/>
        <w:t>calidad,</w:t>
      </w:r>
      <w:r>
        <w:rPr>
          <w:spacing w:val="-15"/>
        </w:rPr>
        <w:t> </w:t>
      </w:r>
      <w:r>
        <w:rPr/>
        <w:t>la</w:t>
      </w:r>
      <w:r>
        <w:rPr>
          <w:spacing w:val="-15"/>
        </w:rPr>
        <w:t> </w:t>
      </w:r>
      <w:r>
        <w:rPr/>
        <w:t>educación,</w:t>
      </w:r>
      <w:r>
        <w:rPr>
          <w:spacing w:val="-16"/>
        </w:rPr>
        <w:t> </w:t>
      </w:r>
      <w:r>
        <w:rPr/>
        <w:t>los</w:t>
      </w:r>
      <w:r>
        <w:rPr>
          <w:spacing w:val="-15"/>
        </w:rPr>
        <w:t> </w:t>
      </w:r>
      <w:r>
        <w:rPr/>
        <w:t>activos</w:t>
      </w:r>
      <w:r>
        <w:rPr>
          <w:spacing w:val="-15"/>
        </w:rPr>
        <w:t> </w:t>
      </w:r>
      <w:r>
        <w:rPr/>
        <w:t>productivos</w:t>
      </w:r>
      <w:r>
        <w:rPr>
          <w:spacing w:val="-15"/>
        </w:rPr>
        <w:t> </w:t>
      </w:r>
      <w:r>
        <w:rPr/>
        <w:t>y</w:t>
      </w:r>
      <w:r>
        <w:rPr>
          <w:spacing w:val="-16"/>
        </w:rPr>
        <w:t> </w:t>
      </w:r>
      <w:r>
        <w:rPr/>
        <w:t>las</w:t>
      </w:r>
      <w:r>
        <w:rPr>
          <w:spacing w:val="-15"/>
        </w:rPr>
        <w:t> </w:t>
      </w:r>
      <w:r>
        <w:rPr/>
        <w:t>redes</w:t>
      </w:r>
      <w:r>
        <w:rPr>
          <w:spacing w:val="-15"/>
        </w:rPr>
        <w:t> </w:t>
      </w:r>
      <w:r>
        <w:rPr/>
        <w:t>de</w:t>
      </w:r>
      <w:r>
        <w:rPr>
          <w:spacing w:val="-16"/>
        </w:rPr>
        <w:t> </w:t>
      </w:r>
      <w:r>
        <w:rPr/>
        <w:t>apoyo</w:t>
      </w:r>
      <w:r>
        <w:rPr>
          <w:spacing w:val="-15"/>
        </w:rPr>
        <w:t> </w:t>
      </w:r>
      <w:r>
        <w:rPr/>
        <w:t>social.</w:t>
      </w:r>
      <w:r>
        <w:rPr>
          <w:spacing w:val="-15"/>
        </w:rPr>
        <w:t> </w:t>
      </w:r>
      <w:r>
        <w:rPr/>
        <w:t>En</w:t>
      </w:r>
      <w:r>
        <w:rPr>
          <w:spacing w:val="-15"/>
        </w:rPr>
        <w:t> </w:t>
      </w:r>
      <w:r>
        <w:rPr/>
        <w:t>particular,</w:t>
      </w:r>
    </w:p>
    <w:p>
      <w:pPr>
        <w:pStyle w:val="BodyText"/>
        <w:spacing w:after="0"/>
        <w:jc w:val="both"/>
        <w:sectPr>
          <w:pgSz w:w="12240" w:h="15840"/>
          <w:pgMar w:header="0" w:footer="1576" w:top="1000" w:bottom="1760" w:left="360" w:right="0"/>
        </w:sectPr>
      </w:pPr>
    </w:p>
    <w:p>
      <w:pPr>
        <w:pStyle w:val="BodyText"/>
        <w:spacing w:before="77"/>
        <w:ind w:left="1625" w:right="1607"/>
        <w:jc w:val="both"/>
      </w:pPr>
      <w:r>
        <w:rPr/>
        <w:t>muchas mujeres jefas de hogar enfrentan restricciones para lograr una inserción laboral estable y remunerada, en un contexto en el que las responsabilidades domésticas y de cuidados no remunerados recaen de manera desproporcionada sobre las mujeres.</w:t>
      </w:r>
    </w:p>
    <w:p>
      <w:pPr>
        <w:pStyle w:val="BodyText"/>
        <w:spacing w:before="252"/>
        <w:ind w:left="1625" w:right="1605"/>
        <w:jc w:val="both"/>
      </w:pPr>
      <w:r>
        <w:rPr/>
        <w:t>Esta situación</w:t>
      </w:r>
      <w:r>
        <w:rPr>
          <w:spacing w:val="-3"/>
        </w:rPr>
        <w:t> </w:t>
      </w:r>
      <w:r>
        <w:rPr/>
        <w:t>refuerza la necesidad de</w:t>
      </w:r>
      <w:r>
        <w:rPr>
          <w:spacing w:val="-1"/>
        </w:rPr>
        <w:t> </w:t>
      </w:r>
      <w:r>
        <w:rPr/>
        <w:t>que las</w:t>
      </w:r>
      <w:r>
        <w:rPr>
          <w:spacing w:val="-3"/>
        </w:rPr>
        <w:t> </w:t>
      </w:r>
      <w:r>
        <w:rPr/>
        <w:t>políticas públicas incorporen un</w:t>
      </w:r>
      <w:r>
        <w:rPr>
          <w:spacing w:val="-1"/>
        </w:rPr>
        <w:t> </w:t>
      </w:r>
      <w:r>
        <w:rPr/>
        <w:t>enfoque de género transversal, orientado no solo a mejorar los ingresos de los hogares encabezados por mujeres, sino también a redistribuir las responsabilidades de cuidado, garantizar</w:t>
      </w:r>
      <w:r>
        <w:rPr>
          <w:spacing w:val="-2"/>
        </w:rPr>
        <w:t> </w:t>
      </w:r>
      <w:r>
        <w:rPr/>
        <w:t>el</w:t>
      </w:r>
      <w:r>
        <w:rPr>
          <w:spacing w:val="-2"/>
        </w:rPr>
        <w:t> </w:t>
      </w:r>
      <w:r>
        <w:rPr/>
        <w:t>acceso a servicios públicos y fortalecer la protección</w:t>
      </w:r>
      <w:r>
        <w:rPr>
          <w:spacing w:val="-1"/>
        </w:rPr>
        <w:t> </w:t>
      </w:r>
      <w:r>
        <w:rPr/>
        <w:t>social.</w:t>
      </w:r>
      <w:r>
        <w:rPr>
          <w:spacing w:val="-1"/>
        </w:rPr>
        <w:t> </w:t>
      </w:r>
      <w:r>
        <w:rPr/>
        <w:t>Los programas dirigidos a mujeres en pobreza deben considerar sus condiciones estructurales y contextos familiares, con el fin de reducir las brechas que incrementan la vulnerabilidad económica y social de estos hogares.</w:t>
      </w:r>
    </w:p>
    <w:p>
      <w:pPr>
        <w:pStyle w:val="BodyText"/>
        <w:spacing w:before="2"/>
      </w:pPr>
    </w:p>
    <w:p>
      <w:pPr>
        <w:pStyle w:val="BodyText"/>
        <w:ind w:left="1625" w:right="1602"/>
        <w:jc w:val="both"/>
      </w:pPr>
      <w:r>
        <w:rPr/>
        <w:t>En</w:t>
      </w:r>
      <w:r>
        <w:rPr>
          <w:spacing w:val="-6"/>
        </w:rPr>
        <w:t> </w:t>
      </w:r>
      <w:r>
        <w:rPr/>
        <w:t>resumen,</w:t>
      </w:r>
      <w:r>
        <w:rPr>
          <w:spacing w:val="-6"/>
        </w:rPr>
        <w:t> </w:t>
      </w:r>
      <w:r>
        <w:rPr/>
        <w:t>el</w:t>
      </w:r>
      <w:r>
        <w:rPr>
          <w:spacing w:val="-7"/>
        </w:rPr>
        <w:t> </w:t>
      </w:r>
      <w:r>
        <w:rPr/>
        <w:t>gráfico</w:t>
      </w:r>
      <w:r>
        <w:rPr>
          <w:spacing w:val="-6"/>
        </w:rPr>
        <w:t> </w:t>
      </w:r>
      <w:r>
        <w:rPr/>
        <w:t>13</w:t>
      </w:r>
      <w:r>
        <w:rPr>
          <w:spacing w:val="-6"/>
        </w:rPr>
        <w:t> </w:t>
      </w:r>
      <w:r>
        <w:rPr/>
        <w:t>muestra</w:t>
      </w:r>
      <w:r>
        <w:rPr>
          <w:spacing w:val="-6"/>
        </w:rPr>
        <w:t> </w:t>
      </w:r>
      <w:r>
        <w:rPr/>
        <w:t>que,</w:t>
      </w:r>
      <w:r>
        <w:rPr>
          <w:spacing w:val="-6"/>
        </w:rPr>
        <w:t> </w:t>
      </w:r>
      <w:r>
        <w:rPr/>
        <w:t>mientras</w:t>
      </w:r>
      <w:r>
        <w:rPr>
          <w:spacing w:val="-9"/>
        </w:rPr>
        <w:t> </w:t>
      </w:r>
      <w:r>
        <w:rPr/>
        <w:t>aumenta</w:t>
      </w:r>
      <w:r>
        <w:rPr>
          <w:spacing w:val="-6"/>
        </w:rPr>
        <w:t> </w:t>
      </w:r>
      <w:r>
        <w:rPr/>
        <w:t>la</w:t>
      </w:r>
      <w:r>
        <w:rPr>
          <w:spacing w:val="-6"/>
        </w:rPr>
        <w:t> </w:t>
      </w:r>
      <w:r>
        <w:rPr/>
        <w:t>participación</w:t>
      </w:r>
      <w:r>
        <w:rPr>
          <w:spacing w:val="-7"/>
        </w:rPr>
        <w:t> </w:t>
      </w:r>
      <w:r>
        <w:rPr/>
        <w:t>de</w:t>
      </w:r>
      <w:r>
        <w:rPr>
          <w:spacing w:val="-7"/>
        </w:rPr>
        <w:t> </w:t>
      </w:r>
      <w:r>
        <w:rPr/>
        <w:t>las</w:t>
      </w:r>
      <w:r>
        <w:rPr>
          <w:spacing w:val="-6"/>
        </w:rPr>
        <w:t> </w:t>
      </w:r>
      <w:r>
        <w:rPr/>
        <w:t>mujeres como</w:t>
      </w:r>
      <w:r>
        <w:rPr>
          <w:spacing w:val="-4"/>
        </w:rPr>
        <w:t> </w:t>
      </w:r>
      <w:r>
        <w:rPr/>
        <w:t>jefas</w:t>
      </w:r>
      <w:r>
        <w:rPr>
          <w:spacing w:val="-2"/>
        </w:rPr>
        <w:t> </w:t>
      </w:r>
      <w:r>
        <w:rPr/>
        <w:t>de</w:t>
      </w:r>
      <w:r>
        <w:rPr>
          <w:spacing w:val="-4"/>
        </w:rPr>
        <w:t> </w:t>
      </w:r>
      <w:r>
        <w:rPr/>
        <w:t>hogar</w:t>
      </w:r>
      <w:r>
        <w:rPr>
          <w:spacing w:val="-3"/>
        </w:rPr>
        <w:t> </w:t>
      </w:r>
      <w:r>
        <w:rPr/>
        <w:t>en</w:t>
      </w:r>
      <w:r>
        <w:rPr>
          <w:spacing w:val="-4"/>
        </w:rPr>
        <w:t> </w:t>
      </w:r>
      <w:r>
        <w:rPr/>
        <w:t>el</w:t>
      </w:r>
      <w:r>
        <w:rPr>
          <w:spacing w:val="-3"/>
        </w:rPr>
        <w:t> </w:t>
      </w:r>
      <w:r>
        <w:rPr/>
        <w:t>país,</w:t>
      </w:r>
      <w:r>
        <w:rPr>
          <w:spacing w:val="-3"/>
        </w:rPr>
        <w:t> </w:t>
      </w:r>
      <w:r>
        <w:rPr/>
        <w:t>persisten</w:t>
      </w:r>
      <w:r>
        <w:rPr>
          <w:spacing w:val="-2"/>
        </w:rPr>
        <w:t> </w:t>
      </w:r>
      <w:r>
        <w:rPr/>
        <w:t>brechas</w:t>
      </w:r>
      <w:r>
        <w:rPr>
          <w:spacing w:val="-1"/>
        </w:rPr>
        <w:t> </w:t>
      </w:r>
      <w:r>
        <w:rPr/>
        <w:t>de</w:t>
      </w:r>
      <w:r>
        <w:rPr>
          <w:spacing w:val="-2"/>
        </w:rPr>
        <w:t> </w:t>
      </w:r>
      <w:r>
        <w:rPr/>
        <w:t>género</w:t>
      </w:r>
      <w:r>
        <w:rPr>
          <w:spacing w:val="-2"/>
        </w:rPr>
        <w:t> </w:t>
      </w:r>
      <w:r>
        <w:rPr/>
        <w:t>asociadas</w:t>
      </w:r>
      <w:r>
        <w:rPr>
          <w:spacing w:val="-2"/>
        </w:rPr>
        <w:t> </w:t>
      </w:r>
      <w:r>
        <w:rPr/>
        <w:t>con</w:t>
      </w:r>
      <w:r>
        <w:rPr>
          <w:spacing w:val="-2"/>
        </w:rPr>
        <w:t> </w:t>
      </w:r>
      <w:r>
        <w:rPr/>
        <w:t>la</w:t>
      </w:r>
      <w:r>
        <w:rPr>
          <w:spacing w:val="-2"/>
        </w:rPr>
        <w:t> </w:t>
      </w:r>
      <w:r>
        <w:rPr/>
        <w:t>pobreza</w:t>
      </w:r>
      <w:r>
        <w:rPr>
          <w:spacing w:val="-4"/>
        </w:rPr>
        <w:t> </w:t>
      </w:r>
      <w:r>
        <w:rPr/>
        <w:t>y la autonomía económica. Reducir estas desigualdades requiere una combinación de estrategias económicas, sociales y de corresponsabilidad en los cuidados, con especial atención a las mujeres que encabezan hogares en situación de pobreza o pobreza </w:t>
      </w:r>
      <w:r>
        <w:rPr>
          <w:spacing w:val="-2"/>
        </w:rPr>
        <w:t>extrema.</w:t>
      </w:r>
    </w:p>
    <w:p>
      <w:pPr>
        <w:pStyle w:val="BodyText"/>
        <w:spacing w:before="252"/>
        <w:ind w:left="1625" w:right="1601"/>
        <w:jc w:val="both"/>
      </w:pPr>
      <w:r>
        <w:rPr/>
        <w:t>Como se ha señalado, entre 2010 y 2025 la pobreza en Costa Rica ha seguido una trayectoria</w:t>
      </w:r>
      <w:r>
        <w:rPr>
          <w:spacing w:val="-15"/>
        </w:rPr>
        <w:t> </w:t>
      </w:r>
      <w:r>
        <w:rPr/>
        <w:t>compleja,</w:t>
      </w:r>
      <w:r>
        <w:rPr>
          <w:spacing w:val="-12"/>
        </w:rPr>
        <w:t> </w:t>
      </w:r>
      <w:r>
        <w:rPr/>
        <w:t>con</w:t>
      </w:r>
      <w:r>
        <w:rPr>
          <w:spacing w:val="-16"/>
        </w:rPr>
        <w:t> </w:t>
      </w:r>
      <w:r>
        <w:rPr/>
        <w:t>un</w:t>
      </w:r>
      <w:r>
        <w:rPr>
          <w:spacing w:val="-13"/>
        </w:rPr>
        <w:t> </w:t>
      </w:r>
      <w:r>
        <w:rPr/>
        <w:t>fuerte</w:t>
      </w:r>
      <w:r>
        <w:rPr>
          <w:spacing w:val="-14"/>
        </w:rPr>
        <w:t> </w:t>
      </w:r>
      <w:r>
        <w:rPr/>
        <w:t>deterioro</w:t>
      </w:r>
      <w:r>
        <w:rPr>
          <w:spacing w:val="-16"/>
        </w:rPr>
        <w:t> </w:t>
      </w:r>
      <w:r>
        <w:rPr/>
        <w:t>en</w:t>
      </w:r>
      <w:r>
        <w:rPr>
          <w:spacing w:val="-13"/>
        </w:rPr>
        <w:t> </w:t>
      </w:r>
      <w:r>
        <w:rPr/>
        <w:t>2020</w:t>
      </w:r>
      <w:r>
        <w:rPr>
          <w:spacing w:val="-14"/>
        </w:rPr>
        <w:t> </w:t>
      </w:r>
      <w:r>
        <w:rPr/>
        <w:t>y</w:t>
      </w:r>
      <w:r>
        <w:rPr>
          <w:spacing w:val="-13"/>
        </w:rPr>
        <w:t> </w:t>
      </w:r>
      <w:r>
        <w:rPr/>
        <w:t>una</w:t>
      </w:r>
      <w:r>
        <w:rPr>
          <w:spacing w:val="-14"/>
        </w:rPr>
        <w:t> </w:t>
      </w:r>
      <w:r>
        <w:rPr/>
        <w:t>reducción</w:t>
      </w:r>
      <w:r>
        <w:rPr>
          <w:spacing w:val="-14"/>
        </w:rPr>
        <w:t> </w:t>
      </w:r>
      <w:r>
        <w:rPr/>
        <w:t>posterior.</w:t>
      </w:r>
      <w:r>
        <w:rPr>
          <w:spacing w:val="-12"/>
        </w:rPr>
        <w:t> </w:t>
      </w:r>
      <w:r>
        <w:rPr/>
        <w:t>La</w:t>
      </w:r>
      <w:r>
        <w:rPr>
          <w:spacing w:val="-16"/>
        </w:rPr>
        <w:t> </w:t>
      </w:r>
      <w:r>
        <w:rPr/>
        <w:t>mejora observada</w:t>
      </w:r>
      <w:r>
        <w:rPr>
          <w:spacing w:val="-13"/>
        </w:rPr>
        <w:t> </w:t>
      </w:r>
      <w:r>
        <w:rPr/>
        <w:t>en</w:t>
      </w:r>
      <w:r>
        <w:rPr>
          <w:spacing w:val="-15"/>
        </w:rPr>
        <w:t> </w:t>
      </w:r>
      <w:r>
        <w:rPr/>
        <w:t>2025</w:t>
      </w:r>
      <w:r>
        <w:rPr>
          <w:spacing w:val="-13"/>
        </w:rPr>
        <w:t> </w:t>
      </w:r>
      <w:r>
        <w:rPr/>
        <w:t>no</w:t>
      </w:r>
      <w:r>
        <w:rPr>
          <w:spacing w:val="-15"/>
        </w:rPr>
        <w:t> </w:t>
      </w:r>
      <w:r>
        <w:rPr/>
        <w:t>elimina</w:t>
      </w:r>
      <w:r>
        <w:rPr>
          <w:spacing w:val="-13"/>
        </w:rPr>
        <w:t> </w:t>
      </w:r>
      <w:r>
        <w:rPr/>
        <w:t>las</w:t>
      </w:r>
      <w:r>
        <w:rPr>
          <w:spacing w:val="-12"/>
        </w:rPr>
        <w:t> </w:t>
      </w:r>
      <w:r>
        <w:rPr/>
        <w:t>brechas</w:t>
      </w:r>
      <w:r>
        <w:rPr>
          <w:spacing w:val="-12"/>
        </w:rPr>
        <w:t> </w:t>
      </w:r>
      <w:r>
        <w:rPr/>
        <w:t>en</w:t>
      </w:r>
      <w:r>
        <w:rPr>
          <w:spacing w:val="-15"/>
        </w:rPr>
        <w:t> </w:t>
      </w:r>
      <w:r>
        <w:rPr/>
        <w:t>empleo,</w:t>
      </w:r>
      <w:r>
        <w:rPr>
          <w:spacing w:val="-11"/>
        </w:rPr>
        <w:t> </w:t>
      </w:r>
      <w:r>
        <w:rPr/>
        <w:t>calidad</w:t>
      </w:r>
      <w:r>
        <w:rPr>
          <w:spacing w:val="-12"/>
        </w:rPr>
        <w:t> </w:t>
      </w:r>
      <w:r>
        <w:rPr/>
        <w:t>de</w:t>
      </w:r>
      <w:r>
        <w:rPr>
          <w:spacing w:val="-13"/>
        </w:rPr>
        <w:t> </w:t>
      </w:r>
      <w:r>
        <w:rPr/>
        <w:t>la</w:t>
      </w:r>
      <w:r>
        <w:rPr>
          <w:spacing w:val="-12"/>
        </w:rPr>
        <w:t> </w:t>
      </w:r>
      <w:r>
        <w:rPr/>
        <w:t>ocupación,</w:t>
      </w:r>
      <w:r>
        <w:rPr>
          <w:spacing w:val="-11"/>
        </w:rPr>
        <w:t> </w:t>
      </w:r>
      <w:r>
        <w:rPr/>
        <w:t>educación y protección</w:t>
      </w:r>
      <w:r>
        <w:rPr>
          <w:spacing w:val="-2"/>
        </w:rPr>
        <w:t> </w:t>
      </w:r>
      <w:r>
        <w:rPr/>
        <w:t>social. En</w:t>
      </w:r>
      <w:r>
        <w:rPr>
          <w:spacing w:val="-2"/>
        </w:rPr>
        <w:t> </w:t>
      </w:r>
      <w:r>
        <w:rPr/>
        <w:t>este</w:t>
      </w:r>
      <w:r>
        <w:rPr>
          <w:spacing w:val="-2"/>
        </w:rPr>
        <w:t> </w:t>
      </w:r>
      <w:r>
        <w:rPr/>
        <w:t>contexto,</w:t>
      </w:r>
      <w:r>
        <w:rPr>
          <w:spacing w:val="-1"/>
        </w:rPr>
        <w:t> </w:t>
      </w:r>
      <w:r>
        <w:rPr/>
        <w:t>el</w:t>
      </w:r>
      <w:r>
        <w:rPr>
          <w:spacing w:val="-1"/>
        </w:rPr>
        <w:t> </w:t>
      </w:r>
      <w:r>
        <w:rPr/>
        <w:t>análisis por</w:t>
      </w:r>
      <w:r>
        <w:rPr>
          <w:spacing w:val="-1"/>
        </w:rPr>
        <w:t> </w:t>
      </w:r>
      <w:r>
        <w:rPr/>
        <w:t>tipo de</w:t>
      </w:r>
      <w:r>
        <w:rPr>
          <w:spacing w:val="-2"/>
        </w:rPr>
        <w:t> </w:t>
      </w:r>
      <w:r>
        <w:rPr/>
        <w:t>ocupación</w:t>
      </w:r>
      <w:r>
        <w:rPr>
          <w:spacing w:val="-2"/>
        </w:rPr>
        <w:t> </w:t>
      </w:r>
      <w:r>
        <w:rPr/>
        <w:t>permite</w:t>
      </w:r>
      <w:r>
        <w:rPr>
          <w:spacing w:val="-2"/>
        </w:rPr>
        <w:t> </w:t>
      </w:r>
      <w:r>
        <w:rPr/>
        <w:t>identificar con mayor claridad la segmentación del mercado laboral y su relación con la pobreza.</w:t>
      </w:r>
    </w:p>
    <w:p>
      <w:pPr>
        <w:pStyle w:val="BodyText"/>
        <w:spacing w:before="1"/>
      </w:pPr>
    </w:p>
    <w:p>
      <w:pPr>
        <w:pStyle w:val="BodyText"/>
        <w:ind w:left="1625" w:right="1605"/>
        <w:jc w:val="both"/>
      </w:pPr>
      <w:r>
        <w:rPr/>
        <w:t>El análisis por ocupación evidencia una fuerte segmentación. En 2025, las ocupaciones elementales representan aproximadamente 47,00% de las personas ocupadas que se encuentran simultáneamente en pobreza por LP e IPM, mientras los profesionales científicos e intelectuales tienen una presencia prácticamente nula en esa categoría. El contraste refleja el vínculo entre calificación, formalidad, protección social y riesgo de </w:t>
      </w:r>
      <w:r>
        <w:rPr>
          <w:spacing w:val="-2"/>
        </w:rPr>
        <w:t>pobreza.</w:t>
      </w:r>
    </w:p>
    <w:p>
      <w:pPr>
        <w:pStyle w:val="BodyText"/>
        <w:spacing w:after="0"/>
        <w:jc w:val="both"/>
        <w:sectPr>
          <w:pgSz w:w="12240" w:h="15840"/>
          <w:pgMar w:header="0" w:footer="1576" w:top="1000" w:bottom="1760" w:left="360" w:right="0"/>
        </w:sectPr>
      </w:pPr>
    </w:p>
    <w:p>
      <w:pPr>
        <w:pStyle w:val="Heading5"/>
        <w:spacing w:before="77"/>
        <w:ind w:left="2395" w:right="1700" w:hanging="370"/>
      </w:pPr>
      <w:bookmarkStart w:name="_bookmark33" w:id="34"/>
      <w:bookmarkEnd w:id="34"/>
      <w:r>
        <w:rPr>
          <w:b w:val="0"/>
        </w:rPr>
      </w:r>
      <w:r>
        <w:rPr/>
        <w:t>Gráfico</w:t>
      </w:r>
      <w:r>
        <w:rPr>
          <w:spacing w:val="-5"/>
        </w:rPr>
        <w:t> </w:t>
      </w:r>
      <w:r>
        <w:rPr/>
        <w:t>14:</w:t>
      </w:r>
      <w:r>
        <w:rPr>
          <w:spacing w:val="-4"/>
        </w:rPr>
        <w:t> </w:t>
      </w:r>
      <w:r>
        <w:rPr/>
        <w:t>Costa</w:t>
      </w:r>
      <w:r>
        <w:rPr>
          <w:spacing w:val="-3"/>
        </w:rPr>
        <w:t> </w:t>
      </w:r>
      <w:r>
        <w:rPr/>
        <w:t>Rica:</w:t>
      </w:r>
      <w:r>
        <w:rPr>
          <w:spacing w:val="-4"/>
        </w:rPr>
        <w:t> </w:t>
      </w:r>
      <w:r>
        <w:rPr/>
        <w:t>Porcentaje</w:t>
      </w:r>
      <w:r>
        <w:rPr>
          <w:spacing w:val="-3"/>
        </w:rPr>
        <w:t> </w:t>
      </w:r>
      <w:r>
        <w:rPr/>
        <w:t>de</w:t>
      </w:r>
      <w:r>
        <w:rPr>
          <w:spacing w:val="-5"/>
        </w:rPr>
        <w:t> </w:t>
      </w:r>
      <w:r>
        <w:rPr/>
        <w:t>personas</w:t>
      </w:r>
      <w:r>
        <w:rPr>
          <w:spacing w:val="-3"/>
        </w:rPr>
        <w:t> </w:t>
      </w:r>
      <w:r>
        <w:rPr/>
        <w:t>ocupadas</w:t>
      </w:r>
      <w:r>
        <w:rPr>
          <w:spacing w:val="-3"/>
        </w:rPr>
        <w:t> </w:t>
      </w:r>
      <w:r>
        <w:rPr/>
        <w:t>según</w:t>
      </w:r>
      <w:r>
        <w:rPr>
          <w:spacing w:val="-5"/>
        </w:rPr>
        <w:t> </w:t>
      </w:r>
      <w:r>
        <w:rPr/>
        <w:t>principales ocupaciones y clasificación de pobreza por método combinado, 2025</w:t>
      </w:r>
    </w:p>
    <w:p>
      <w:pPr>
        <w:pStyle w:val="BodyText"/>
        <w:spacing w:before="4"/>
        <w:rPr>
          <w:b/>
          <w:sz w:val="19"/>
        </w:rPr>
      </w:pPr>
      <w:r>
        <w:rPr>
          <w:b/>
          <w:sz w:val="19"/>
        </w:rPr>
        <w:drawing>
          <wp:anchor distT="0" distB="0" distL="0" distR="0" allowOverlap="1" layoutInCell="1" locked="0" behindDoc="1" simplePos="0" relativeHeight="487595008">
            <wp:simplePos x="0" y="0"/>
            <wp:positionH relativeFrom="page">
              <wp:posOffset>1319391</wp:posOffset>
            </wp:positionH>
            <wp:positionV relativeFrom="paragraph">
              <wp:posOffset>156576</wp:posOffset>
            </wp:positionV>
            <wp:extent cx="5868641" cy="3108960"/>
            <wp:effectExtent l="0" t="0" r="0" b="0"/>
            <wp:wrapTopAndBottom/>
            <wp:docPr id="75" name="Image 75"/>
            <wp:cNvGraphicFramePr>
              <a:graphicFrameLocks/>
            </wp:cNvGraphicFramePr>
            <a:graphic>
              <a:graphicData uri="http://schemas.openxmlformats.org/drawingml/2006/picture">
                <pic:pic>
                  <pic:nvPicPr>
                    <pic:cNvPr id="75" name="Image 75"/>
                    <pic:cNvPicPr/>
                  </pic:nvPicPr>
                  <pic:blipFill>
                    <a:blip r:embed="rId46" cstate="print"/>
                    <a:stretch>
                      <a:fillRect/>
                    </a:stretch>
                  </pic:blipFill>
                  <pic:spPr>
                    <a:xfrm>
                      <a:off x="0" y="0"/>
                      <a:ext cx="5868641" cy="3108960"/>
                    </a:xfrm>
                    <a:prstGeom prst="rect">
                      <a:avLst/>
                    </a:prstGeom>
                  </pic:spPr>
                </pic:pic>
              </a:graphicData>
            </a:graphic>
          </wp:anchor>
        </w:drawing>
      </w:r>
    </w:p>
    <w:p>
      <w:pPr>
        <w:spacing w:before="138"/>
        <w:ind w:left="1625" w:right="1611" w:firstLine="0"/>
        <w:jc w:val="both"/>
        <w:rPr>
          <w:sz w:val="18"/>
        </w:rPr>
      </w:pPr>
      <w:r>
        <w:rPr>
          <w:sz w:val="18"/>
        </w:rPr>
        <w:t>Fuente:</w:t>
      </w:r>
      <w:r>
        <w:rPr>
          <w:spacing w:val="-9"/>
          <w:sz w:val="18"/>
        </w:rPr>
        <w:t> </w:t>
      </w:r>
      <w:r>
        <w:rPr>
          <w:sz w:val="18"/>
        </w:rPr>
        <w:t>Elaboración</w:t>
      </w:r>
      <w:r>
        <w:rPr>
          <w:spacing w:val="-8"/>
          <w:sz w:val="18"/>
        </w:rPr>
        <w:t> </w:t>
      </w:r>
      <w:r>
        <w:rPr>
          <w:sz w:val="18"/>
        </w:rPr>
        <w:t>propia</w:t>
      </w:r>
      <w:r>
        <w:rPr>
          <w:spacing w:val="-8"/>
          <w:sz w:val="18"/>
        </w:rPr>
        <w:t> </w:t>
      </w:r>
      <w:r>
        <w:rPr>
          <w:sz w:val="18"/>
        </w:rPr>
        <w:t>a</w:t>
      </w:r>
      <w:r>
        <w:rPr>
          <w:spacing w:val="-10"/>
          <w:sz w:val="18"/>
        </w:rPr>
        <w:t> </w:t>
      </w:r>
      <w:r>
        <w:rPr>
          <w:sz w:val="18"/>
        </w:rPr>
        <w:t>partir</w:t>
      </w:r>
      <w:r>
        <w:rPr>
          <w:spacing w:val="-9"/>
          <w:sz w:val="18"/>
        </w:rPr>
        <w:t> </w:t>
      </w:r>
      <w:r>
        <w:rPr>
          <w:sz w:val="18"/>
        </w:rPr>
        <w:t>de</w:t>
      </w:r>
      <w:r>
        <w:rPr>
          <w:spacing w:val="-8"/>
          <w:sz w:val="18"/>
        </w:rPr>
        <w:t> </w:t>
      </w:r>
      <w:r>
        <w:rPr>
          <w:sz w:val="18"/>
        </w:rPr>
        <w:t>la</w:t>
      </w:r>
      <w:r>
        <w:rPr>
          <w:spacing w:val="-8"/>
          <w:sz w:val="18"/>
        </w:rPr>
        <w:t> </w:t>
      </w:r>
      <w:r>
        <w:rPr>
          <w:sz w:val="18"/>
        </w:rPr>
        <w:t>Encuesta</w:t>
      </w:r>
      <w:r>
        <w:rPr>
          <w:spacing w:val="-10"/>
          <w:sz w:val="18"/>
        </w:rPr>
        <w:t> </w:t>
      </w:r>
      <w:r>
        <w:rPr>
          <w:sz w:val="18"/>
        </w:rPr>
        <w:t>Nacional</w:t>
      </w:r>
      <w:r>
        <w:rPr>
          <w:spacing w:val="-8"/>
          <w:sz w:val="18"/>
        </w:rPr>
        <w:t> </w:t>
      </w:r>
      <w:r>
        <w:rPr>
          <w:sz w:val="18"/>
        </w:rPr>
        <w:t>de</w:t>
      </w:r>
      <w:r>
        <w:rPr>
          <w:spacing w:val="-8"/>
          <w:sz w:val="18"/>
        </w:rPr>
        <w:t> </w:t>
      </w:r>
      <w:r>
        <w:rPr>
          <w:sz w:val="18"/>
        </w:rPr>
        <w:t>Hogares</w:t>
      </w:r>
      <w:r>
        <w:rPr>
          <w:spacing w:val="-8"/>
          <w:sz w:val="18"/>
        </w:rPr>
        <w:t> </w:t>
      </w:r>
      <w:r>
        <w:rPr>
          <w:sz w:val="18"/>
        </w:rPr>
        <w:t>(ENAHO)</w:t>
      </w:r>
      <w:r>
        <w:rPr>
          <w:spacing w:val="-9"/>
          <w:sz w:val="18"/>
        </w:rPr>
        <w:t> </w:t>
      </w:r>
      <w:r>
        <w:rPr>
          <w:sz w:val="18"/>
        </w:rPr>
        <w:t>2025</w:t>
      </w:r>
      <w:r>
        <w:rPr>
          <w:spacing w:val="-10"/>
          <w:sz w:val="18"/>
        </w:rPr>
        <w:t> </w:t>
      </w:r>
      <w:r>
        <w:rPr>
          <w:sz w:val="18"/>
        </w:rPr>
        <w:t>del</w:t>
      </w:r>
      <w:r>
        <w:rPr>
          <w:spacing w:val="-10"/>
          <w:sz w:val="18"/>
        </w:rPr>
        <w:t> </w:t>
      </w:r>
      <w:r>
        <w:rPr>
          <w:sz w:val="18"/>
        </w:rPr>
        <w:t>Instituto</w:t>
      </w:r>
      <w:r>
        <w:rPr>
          <w:spacing w:val="-8"/>
          <w:sz w:val="18"/>
        </w:rPr>
        <w:t> </w:t>
      </w:r>
      <w:r>
        <w:rPr>
          <w:sz w:val="18"/>
        </w:rPr>
        <w:t>Nacional de Estadística y Censos (INEC); procesamiento IMAS, Planificación Institucional.</w:t>
      </w:r>
    </w:p>
    <w:p>
      <w:pPr>
        <w:pStyle w:val="BodyText"/>
        <w:spacing w:before="23"/>
        <w:rPr>
          <w:sz w:val="18"/>
        </w:rPr>
      </w:pPr>
    </w:p>
    <w:p>
      <w:pPr>
        <w:pStyle w:val="BodyText"/>
        <w:ind w:left="1625" w:right="1602"/>
        <w:jc w:val="both"/>
      </w:pPr>
      <w:r>
        <w:rPr/>
        <w:t>El gráfico 14 compara la estructura ocupacional de la población ocupada según la clasificación combinada de pobreza. El contraste más fuerte se observa en las ocupaciones elementales, que</w:t>
      </w:r>
      <w:r>
        <w:rPr>
          <w:spacing w:val="-1"/>
        </w:rPr>
        <w:t> </w:t>
      </w:r>
      <w:r>
        <w:rPr/>
        <w:t>representan alrededor de</w:t>
      </w:r>
      <w:r>
        <w:rPr>
          <w:spacing w:val="-1"/>
        </w:rPr>
        <w:t> </w:t>
      </w:r>
      <w:r>
        <w:rPr/>
        <w:t>47,00% de</w:t>
      </w:r>
      <w:r>
        <w:rPr>
          <w:spacing w:val="-1"/>
        </w:rPr>
        <w:t> </w:t>
      </w:r>
      <w:r>
        <w:rPr/>
        <w:t>quienes son pobres simultáneamente por LP e IPM, mientras la presencia de profesionales científicos e intelectuales en esa categoría es prácticamente nula. Los trabajadores de servicios y vendedores también tienen una participación relevante entre los grupos pobres. En conjunto, la distribución muestra una asociación clara entre menor calificación ocupacional y mayor incidencia de pobreza.</w:t>
      </w:r>
    </w:p>
    <w:p>
      <w:pPr>
        <w:pStyle w:val="BodyText"/>
        <w:spacing w:before="252"/>
        <w:ind w:left="1625" w:right="1605"/>
        <w:jc w:val="both"/>
      </w:pPr>
      <w:r>
        <w:rPr/>
        <w:t>Los</w:t>
      </w:r>
      <w:r>
        <w:rPr>
          <w:spacing w:val="-12"/>
        </w:rPr>
        <w:t> </w:t>
      </w:r>
      <w:r>
        <w:rPr/>
        <w:t>trabajadores</w:t>
      </w:r>
      <w:r>
        <w:rPr>
          <w:spacing w:val="-12"/>
        </w:rPr>
        <w:t> </w:t>
      </w:r>
      <w:r>
        <w:rPr/>
        <w:t>de</w:t>
      </w:r>
      <w:r>
        <w:rPr>
          <w:spacing w:val="-13"/>
        </w:rPr>
        <w:t> </w:t>
      </w:r>
      <w:r>
        <w:rPr/>
        <w:t>servicios</w:t>
      </w:r>
      <w:r>
        <w:rPr>
          <w:spacing w:val="-10"/>
        </w:rPr>
        <w:t> </w:t>
      </w:r>
      <w:r>
        <w:rPr/>
        <w:t>y</w:t>
      </w:r>
      <w:r>
        <w:rPr>
          <w:spacing w:val="-12"/>
        </w:rPr>
        <w:t> </w:t>
      </w:r>
      <w:r>
        <w:rPr/>
        <w:t>vendedores</w:t>
      </w:r>
      <w:r>
        <w:rPr>
          <w:spacing w:val="-12"/>
        </w:rPr>
        <w:t> </w:t>
      </w:r>
      <w:r>
        <w:rPr/>
        <w:t>de</w:t>
      </w:r>
      <w:r>
        <w:rPr>
          <w:spacing w:val="-13"/>
        </w:rPr>
        <w:t> </w:t>
      </w:r>
      <w:r>
        <w:rPr/>
        <w:t>comercios</w:t>
      </w:r>
      <w:r>
        <w:rPr>
          <w:spacing w:val="-12"/>
        </w:rPr>
        <w:t> </w:t>
      </w:r>
      <w:r>
        <w:rPr/>
        <w:t>y</w:t>
      </w:r>
      <w:r>
        <w:rPr>
          <w:spacing w:val="-13"/>
        </w:rPr>
        <w:t> </w:t>
      </w:r>
      <w:r>
        <w:rPr/>
        <w:t>mercados</w:t>
      </w:r>
      <w:r>
        <w:rPr>
          <w:spacing w:val="-12"/>
        </w:rPr>
        <w:t> </w:t>
      </w:r>
      <w:r>
        <w:rPr/>
        <w:t>también</w:t>
      </w:r>
      <w:r>
        <w:rPr>
          <w:spacing w:val="-10"/>
        </w:rPr>
        <w:t> </w:t>
      </w:r>
      <w:r>
        <w:rPr/>
        <w:t>tienen</w:t>
      </w:r>
      <w:r>
        <w:rPr>
          <w:spacing w:val="-13"/>
        </w:rPr>
        <w:t> </w:t>
      </w:r>
      <w:r>
        <w:rPr/>
        <w:t>una presencia relevante entre los grupos en pobreza: representan alrededor de 16,00% de quienes</w:t>
      </w:r>
      <w:r>
        <w:rPr>
          <w:spacing w:val="-2"/>
        </w:rPr>
        <w:t> </w:t>
      </w:r>
      <w:r>
        <w:rPr/>
        <w:t>se</w:t>
      </w:r>
      <w:r>
        <w:rPr>
          <w:spacing w:val="-4"/>
        </w:rPr>
        <w:t> </w:t>
      </w:r>
      <w:r>
        <w:rPr/>
        <w:t>encuentran</w:t>
      </w:r>
      <w:r>
        <w:rPr>
          <w:spacing w:val="-4"/>
        </w:rPr>
        <w:t> </w:t>
      </w:r>
      <w:r>
        <w:rPr/>
        <w:t>simultáneamente</w:t>
      </w:r>
      <w:r>
        <w:rPr>
          <w:spacing w:val="-4"/>
        </w:rPr>
        <w:t> </w:t>
      </w:r>
      <w:r>
        <w:rPr/>
        <w:t>en</w:t>
      </w:r>
      <w:r>
        <w:rPr>
          <w:spacing w:val="-4"/>
        </w:rPr>
        <w:t> </w:t>
      </w:r>
      <w:r>
        <w:rPr/>
        <w:t>pobreza</w:t>
      </w:r>
      <w:r>
        <w:rPr>
          <w:spacing w:val="-2"/>
        </w:rPr>
        <w:t> </w:t>
      </w:r>
      <w:r>
        <w:rPr/>
        <w:t>por</w:t>
      </w:r>
      <w:r>
        <w:rPr>
          <w:spacing w:val="-1"/>
        </w:rPr>
        <w:t> </w:t>
      </w:r>
      <w:r>
        <w:rPr/>
        <w:t>LP</w:t>
      </w:r>
      <w:r>
        <w:rPr>
          <w:spacing w:val="-5"/>
        </w:rPr>
        <w:t> </w:t>
      </w:r>
      <w:r>
        <w:rPr/>
        <w:t>e</w:t>
      </w:r>
      <w:r>
        <w:rPr>
          <w:spacing w:val="-6"/>
        </w:rPr>
        <w:t> </w:t>
      </w:r>
      <w:r>
        <w:rPr/>
        <w:t>IPM</w:t>
      </w:r>
      <w:r>
        <w:rPr>
          <w:spacing w:val="-3"/>
        </w:rPr>
        <w:t> </w:t>
      </w:r>
      <w:r>
        <w:rPr/>
        <w:t>y</w:t>
      </w:r>
      <w:r>
        <w:rPr>
          <w:spacing w:val="-4"/>
        </w:rPr>
        <w:t> </w:t>
      </w:r>
      <w:r>
        <w:rPr/>
        <w:t>cerca</w:t>
      </w:r>
      <w:r>
        <w:rPr>
          <w:spacing w:val="-6"/>
        </w:rPr>
        <w:t> </w:t>
      </w:r>
      <w:r>
        <w:rPr/>
        <w:t>de</w:t>
      </w:r>
      <w:r>
        <w:rPr>
          <w:spacing w:val="-2"/>
        </w:rPr>
        <w:t> </w:t>
      </w:r>
      <w:r>
        <w:rPr/>
        <w:t>25,00%</w:t>
      </w:r>
      <w:r>
        <w:rPr>
          <w:spacing w:val="-4"/>
        </w:rPr>
        <w:t> </w:t>
      </w:r>
      <w:r>
        <w:rPr/>
        <w:t>de quienes son pobres por ingresos, pero no por IPM.</w:t>
      </w:r>
    </w:p>
    <w:p>
      <w:pPr>
        <w:pStyle w:val="BodyText"/>
      </w:pPr>
    </w:p>
    <w:p>
      <w:pPr>
        <w:pStyle w:val="BodyText"/>
        <w:ind w:left="1625" w:right="1603"/>
        <w:jc w:val="both"/>
      </w:pPr>
      <w:r>
        <w:rPr/>
        <w:t>En</w:t>
      </w:r>
      <w:r>
        <w:rPr>
          <w:spacing w:val="-16"/>
        </w:rPr>
        <w:t> </w:t>
      </w:r>
      <w:r>
        <w:rPr/>
        <w:t>el</w:t>
      </w:r>
      <w:r>
        <w:rPr>
          <w:spacing w:val="-15"/>
        </w:rPr>
        <w:t> </w:t>
      </w:r>
      <w:r>
        <w:rPr/>
        <w:t>total</w:t>
      </w:r>
      <w:r>
        <w:rPr>
          <w:spacing w:val="-15"/>
        </w:rPr>
        <w:t> </w:t>
      </w:r>
      <w:r>
        <w:rPr/>
        <w:t>de</w:t>
      </w:r>
      <w:r>
        <w:rPr>
          <w:spacing w:val="-16"/>
        </w:rPr>
        <w:t> </w:t>
      </w:r>
      <w:r>
        <w:rPr/>
        <w:t>personas</w:t>
      </w:r>
      <w:r>
        <w:rPr>
          <w:spacing w:val="-15"/>
        </w:rPr>
        <w:t> </w:t>
      </w:r>
      <w:r>
        <w:rPr/>
        <w:t>ocupadas,</w:t>
      </w:r>
      <w:r>
        <w:rPr>
          <w:spacing w:val="-15"/>
        </w:rPr>
        <w:t> </w:t>
      </w:r>
      <w:r>
        <w:rPr/>
        <w:t>los</w:t>
      </w:r>
      <w:r>
        <w:rPr>
          <w:spacing w:val="-15"/>
        </w:rPr>
        <w:t> </w:t>
      </w:r>
      <w:r>
        <w:rPr/>
        <w:t>trabajadores</w:t>
      </w:r>
      <w:r>
        <w:rPr>
          <w:spacing w:val="-16"/>
        </w:rPr>
        <w:t> </w:t>
      </w:r>
      <w:r>
        <w:rPr/>
        <w:t>de</w:t>
      </w:r>
      <w:r>
        <w:rPr>
          <w:spacing w:val="-15"/>
        </w:rPr>
        <w:t> </w:t>
      </w:r>
      <w:r>
        <w:rPr/>
        <w:t>servicios</w:t>
      </w:r>
      <w:r>
        <w:rPr>
          <w:spacing w:val="-15"/>
        </w:rPr>
        <w:t> </w:t>
      </w:r>
      <w:r>
        <w:rPr/>
        <w:t>y</w:t>
      </w:r>
      <w:r>
        <w:rPr>
          <w:spacing w:val="-15"/>
        </w:rPr>
        <w:t> </w:t>
      </w:r>
      <w:r>
        <w:rPr/>
        <w:t>vendedores</w:t>
      </w:r>
      <w:r>
        <w:rPr>
          <w:spacing w:val="-14"/>
        </w:rPr>
        <w:t> </w:t>
      </w:r>
      <w:r>
        <w:rPr/>
        <w:t>representan alrededor de 19,00%. Su participación es cercana a 16,00% entre quienes enfrentan simultáneamente pobreza por LP e IPM y asciende a aproximadamente 25,00% entre quienes</w:t>
      </w:r>
      <w:r>
        <w:rPr>
          <w:spacing w:val="-2"/>
        </w:rPr>
        <w:t> </w:t>
      </w:r>
      <w:r>
        <w:rPr/>
        <w:t>son</w:t>
      </w:r>
      <w:r>
        <w:rPr>
          <w:spacing w:val="-3"/>
        </w:rPr>
        <w:t> </w:t>
      </w:r>
      <w:r>
        <w:rPr/>
        <w:t>pobres</w:t>
      </w:r>
      <w:r>
        <w:rPr>
          <w:spacing w:val="-2"/>
        </w:rPr>
        <w:t> </w:t>
      </w:r>
      <w:r>
        <w:rPr/>
        <w:t>únicamente</w:t>
      </w:r>
      <w:r>
        <w:rPr>
          <w:spacing w:val="-3"/>
        </w:rPr>
        <w:t> </w:t>
      </w:r>
      <w:r>
        <w:rPr/>
        <w:t>por</w:t>
      </w:r>
      <w:r>
        <w:rPr>
          <w:spacing w:val="-2"/>
        </w:rPr>
        <w:t> </w:t>
      </w:r>
      <w:r>
        <w:rPr/>
        <w:t>ingresos.</w:t>
      </w:r>
      <w:r>
        <w:rPr>
          <w:spacing w:val="-1"/>
        </w:rPr>
        <w:t> </w:t>
      </w:r>
      <w:r>
        <w:rPr/>
        <w:t>La</w:t>
      </w:r>
      <w:r>
        <w:rPr>
          <w:spacing w:val="-5"/>
        </w:rPr>
        <w:t> </w:t>
      </w:r>
      <w:r>
        <w:rPr/>
        <w:t>comparación</w:t>
      </w:r>
      <w:r>
        <w:rPr>
          <w:spacing w:val="-5"/>
        </w:rPr>
        <w:t> </w:t>
      </w:r>
      <w:r>
        <w:rPr/>
        <w:t>muestra</w:t>
      </w:r>
      <w:r>
        <w:rPr>
          <w:spacing w:val="-3"/>
        </w:rPr>
        <w:t> </w:t>
      </w:r>
      <w:r>
        <w:rPr/>
        <w:t>que</w:t>
      </w:r>
      <w:r>
        <w:rPr>
          <w:spacing w:val="-3"/>
        </w:rPr>
        <w:t> </w:t>
      </w:r>
      <w:r>
        <w:rPr/>
        <w:t>la</w:t>
      </w:r>
      <w:r>
        <w:rPr>
          <w:spacing w:val="-1"/>
        </w:rPr>
        <w:t> </w:t>
      </w:r>
      <w:r>
        <w:rPr/>
        <w:t>estructura ocupacional varía de forma importante según la condición de pobreza y que algunas categorías tienen un peso relativo mayor entre los grupos con insuficiencia de ingresos.</w:t>
      </w:r>
    </w:p>
    <w:p>
      <w:pPr>
        <w:pStyle w:val="BodyText"/>
        <w:spacing w:before="1"/>
      </w:pPr>
    </w:p>
    <w:p>
      <w:pPr>
        <w:pStyle w:val="BodyText"/>
        <w:ind w:left="1625" w:right="1599"/>
        <w:jc w:val="both"/>
      </w:pPr>
      <w:r>
        <w:rPr/>
        <w:t>En 2025, el tipo de ocupación mantiene una asociación estrecha con la condición de pobreza.</w:t>
      </w:r>
      <w:r>
        <w:rPr>
          <w:spacing w:val="-14"/>
        </w:rPr>
        <w:t> </w:t>
      </w:r>
      <w:r>
        <w:rPr/>
        <w:t>Las</w:t>
      </w:r>
      <w:r>
        <w:rPr>
          <w:spacing w:val="-14"/>
        </w:rPr>
        <w:t> </w:t>
      </w:r>
      <w:r>
        <w:rPr/>
        <w:t>ocupaciones</w:t>
      </w:r>
      <w:r>
        <w:rPr>
          <w:spacing w:val="-14"/>
        </w:rPr>
        <w:t> </w:t>
      </w:r>
      <w:r>
        <w:rPr/>
        <w:t>de</w:t>
      </w:r>
      <w:r>
        <w:rPr>
          <w:spacing w:val="-15"/>
        </w:rPr>
        <w:t> </w:t>
      </w:r>
      <w:r>
        <w:rPr/>
        <w:t>mayor</w:t>
      </w:r>
      <w:r>
        <w:rPr>
          <w:spacing w:val="-14"/>
        </w:rPr>
        <w:t> </w:t>
      </w:r>
      <w:r>
        <w:rPr/>
        <w:t>calificación</w:t>
      </w:r>
      <w:r>
        <w:rPr>
          <w:spacing w:val="-15"/>
        </w:rPr>
        <w:t> </w:t>
      </w:r>
      <w:r>
        <w:rPr/>
        <w:t>se</w:t>
      </w:r>
      <w:r>
        <w:rPr>
          <w:spacing w:val="-15"/>
        </w:rPr>
        <w:t> </w:t>
      </w:r>
      <w:r>
        <w:rPr/>
        <w:t>concentran</w:t>
      </w:r>
      <w:r>
        <w:rPr>
          <w:spacing w:val="-15"/>
        </w:rPr>
        <w:t> </w:t>
      </w:r>
      <w:r>
        <w:rPr/>
        <w:t>en</w:t>
      </w:r>
      <w:r>
        <w:rPr>
          <w:spacing w:val="-15"/>
        </w:rPr>
        <w:t> </w:t>
      </w:r>
      <w:r>
        <w:rPr/>
        <w:t>mayor</w:t>
      </w:r>
      <w:r>
        <w:rPr>
          <w:spacing w:val="-14"/>
        </w:rPr>
        <w:t> </w:t>
      </w:r>
      <w:r>
        <w:rPr/>
        <w:t>proporción</w:t>
      </w:r>
      <w:r>
        <w:rPr>
          <w:spacing w:val="-15"/>
        </w:rPr>
        <w:t> </w:t>
      </w:r>
      <w:r>
        <w:rPr/>
        <w:t>entre la</w:t>
      </w:r>
      <w:r>
        <w:rPr>
          <w:spacing w:val="-3"/>
        </w:rPr>
        <w:t> </w:t>
      </w:r>
      <w:r>
        <w:rPr/>
        <w:t>población</w:t>
      </w:r>
      <w:r>
        <w:rPr>
          <w:spacing w:val="-3"/>
        </w:rPr>
        <w:t> </w:t>
      </w:r>
      <w:r>
        <w:rPr/>
        <w:t>no</w:t>
      </w:r>
      <w:r>
        <w:rPr>
          <w:spacing w:val="-5"/>
        </w:rPr>
        <w:t> </w:t>
      </w:r>
      <w:r>
        <w:rPr/>
        <w:t>pobre,</w:t>
      </w:r>
      <w:r>
        <w:rPr>
          <w:spacing w:val="-6"/>
        </w:rPr>
        <w:t> </w:t>
      </w:r>
      <w:r>
        <w:rPr/>
        <w:t>mientras</w:t>
      </w:r>
      <w:r>
        <w:rPr>
          <w:spacing w:val="-5"/>
        </w:rPr>
        <w:t> </w:t>
      </w:r>
      <w:r>
        <w:rPr/>
        <w:t>que</w:t>
      </w:r>
      <w:r>
        <w:rPr>
          <w:spacing w:val="-5"/>
        </w:rPr>
        <w:t> </w:t>
      </w:r>
      <w:r>
        <w:rPr/>
        <w:t>las</w:t>
      </w:r>
      <w:r>
        <w:rPr>
          <w:spacing w:val="-5"/>
        </w:rPr>
        <w:t> </w:t>
      </w:r>
      <w:r>
        <w:rPr/>
        <w:t>ocupaciones</w:t>
      </w:r>
      <w:r>
        <w:rPr>
          <w:spacing w:val="-3"/>
        </w:rPr>
        <w:t> </w:t>
      </w:r>
      <w:r>
        <w:rPr/>
        <w:t>elementales,</w:t>
      </w:r>
      <w:r>
        <w:rPr>
          <w:spacing w:val="-4"/>
        </w:rPr>
        <w:t> </w:t>
      </w:r>
      <w:r>
        <w:rPr/>
        <w:t>los</w:t>
      </w:r>
      <w:r>
        <w:rPr>
          <w:spacing w:val="-5"/>
        </w:rPr>
        <w:t> </w:t>
      </w:r>
      <w:r>
        <w:rPr/>
        <w:t>servicios,</w:t>
      </w:r>
      <w:r>
        <w:rPr>
          <w:spacing w:val="-2"/>
        </w:rPr>
        <w:t> </w:t>
      </w:r>
      <w:r>
        <w:rPr/>
        <w:t>la</w:t>
      </w:r>
      <w:r>
        <w:rPr>
          <w:spacing w:val="-5"/>
        </w:rPr>
        <w:t> </w:t>
      </w:r>
      <w:r>
        <w:rPr/>
        <w:t>venta,</w:t>
      </w:r>
    </w:p>
    <w:p>
      <w:pPr>
        <w:pStyle w:val="BodyText"/>
        <w:spacing w:after="0"/>
        <w:jc w:val="both"/>
        <w:sectPr>
          <w:pgSz w:w="12240" w:h="15840"/>
          <w:pgMar w:header="0" w:footer="1576" w:top="1000" w:bottom="1760" w:left="360" w:right="0"/>
        </w:sectPr>
      </w:pPr>
    </w:p>
    <w:p>
      <w:pPr>
        <w:pStyle w:val="BodyText"/>
        <w:spacing w:before="77"/>
        <w:ind w:left="1625" w:right="1602"/>
        <w:jc w:val="both"/>
      </w:pPr>
      <w:r>
        <w:rPr/>
        <w:t>los</w:t>
      </w:r>
      <w:r>
        <w:rPr>
          <w:spacing w:val="-6"/>
        </w:rPr>
        <w:t> </w:t>
      </w:r>
      <w:r>
        <w:rPr/>
        <w:t>oficios</w:t>
      </w:r>
      <w:r>
        <w:rPr>
          <w:spacing w:val="-6"/>
        </w:rPr>
        <w:t> </w:t>
      </w:r>
      <w:r>
        <w:rPr/>
        <w:t>y</w:t>
      </w:r>
      <w:r>
        <w:rPr>
          <w:spacing w:val="-6"/>
        </w:rPr>
        <w:t> </w:t>
      </w:r>
      <w:r>
        <w:rPr/>
        <w:t>otros</w:t>
      </w:r>
      <w:r>
        <w:rPr>
          <w:spacing w:val="-9"/>
        </w:rPr>
        <w:t> </w:t>
      </w:r>
      <w:r>
        <w:rPr/>
        <w:t>trabajos</w:t>
      </w:r>
      <w:r>
        <w:rPr>
          <w:spacing w:val="-6"/>
        </w:rPr>
        <w:t> </w:t>
      </w:r>
      <w:r>
        <w:rPr/>
        <w:t>de</w:t>
      </w:r>
      <w:r>
        <w:rPr>
          <w:spacing w:val="-7"/>
        </w:rPr>
        <w:t> </w:t>
      </w:r>
      <w:r>
        <w:rPr/>
        <w:t>menor</w:t>
      </w:r>
      <w:r>
        <w:rPr>
          <w:spacing w:val="-8"/>
        </w:rPr>
        <w:t> </w:t>
      </w:r>
      <w:r>
        <w:rPr/>
        <w:t>calificación</w:t>
      </w:r>
      <w:r>
        <w:rPr>
          <w:spacing w:val="-7"/>
        </w:rPr>
        <w:t> </w:t>
      </w:r>
      <w:r>
        <w:rPr/>
        <w:t>tienen</w:t>
      </w:r>
      <w:r>
        <w:rPr>
          <w:spacing w:val="-7"/>
        </w:rPr>
        <w:t> </w:t>
      </w:r>
      <w:r>
        <w:rPr/>
        <w:t>mayor</w:t>
      </w:r>
      <w:r>
        <w:rPr>
          <w:spacing w:val="-5"/>
        </w:rPr>
        <w:t> </w:t>
      </w:r>
      <w:r>
        <w:rPr/>
        <w:t>peso</w:t>
      </w:r>
      <w:r>
        <w:rPr>
          <w:spacing w:val="-6"/>
        </w:rPr>
        <w:t> </w:t>
      </w:r>
      <w:r>
        <w:rPr/>
        <w:t>relativo</w:t>
      </w:r>
      <w:r>
        <w:rPr>
          <w:spacing w:val="-6"/>
        </w:rPr>
        <w:t> </w:t>
      </w:r>
      <w:r>
        <w:rPr/>
        <w:t>entre</w:t>
      </w:r>
      <w:r>
        <w:rPr>
          <w:spacing w:val="-6"/>
        </w:rPr>
        <w:t> </w:t>
      </w:r>
      <w:r>
        <w:rPr/>
        <w:t>quienes enfrentan pobreza monetaria o multidimensional.</w:t>
      </w:r>
    </w:p>
    <w:p>
      <w:pPr>
        <w:pStyle w:val="BodyText"/>
      </w:pPr>
    </w:p>
    <w:p>
      <w:pPr>
        <w:pStyle w:val="BodyText"/>
        <w:ind w:left="1625" w:right="1605"/>
        <w:jc w:val="both"/>
      </w:pPr>
      <w:r>
        <w:rPr/>
        <w:t>En conclusión, la estructura ocupacional se encuentra estrechamente asociada con la condición de pobreza en Costa Rica. Las ocupaciones de mayor calificación se concentran principalmente entre la población no pobre, mientras que los servicios, los oficios y las ocupaciones elementales tienen mayor peso relativo entre los grupos con pobreza monetaria o multidimensional. Esta evidencia refuerza la prioridad de promover empleo digno, formación pertinente y acceso efectivo a oportunidades productivas para reducir de manera sostenible la pobreza y la desigualdad.</w:t>
      </w:r>
    </w:p>
    <w:p>
      <w:pPr>
        <w:pStyle w:val="BodyText"/>
        <w:spacing w:before="253"/>
        <w:ind w:left="1625" w:right="1602"/>
        <w:jc w:val="both"/>
      </w:pPr>
      <w:r>
        <w:rPr/>
        <w:t>El</w:t>
      </w:r>
      <w:r>
        <w:rPr>
          <w:spacing w:val="-10"/>
        </w:rPr>
        <w:t> </w:t>
      </w:r>
      <w:r>
        <w:rPr/>
        <w:t>análisis</w:t>
      </w:r>
      <w:r>
        <w:rPr>
          <w:spacing w:val="-8"/>
        </w:rPr>
        <w:t> </w:t>
      </w:r>
      <w:r>
        <w:rPr/>
        <w:t>del</w:t>
      </w:r>
      <w:r>
        <w:rPr>
          <w:spacing w:val="-10"/>
        </w:rPr>
        <w:t> </w:t>
      </w:r>
      <w:r>
        <w:rPr/>
        <w:t>desempleo</w:t>
      </w:r>
      <w:r>
        <w:rPr>
          <w:spacing w:val="-9"/>
        </w:rPr>
        <w:t> </w:t>
      </w:r>
      <w:r>
        <w:rPr/>
        <w:t>abierto</w:t>
      </w:r>
      <w:r>
        <w:rPr>
          <w:spacing w:val="-11"/>
        </w:rPr>
        <w:t> </w:t>
      </w:r>
      <w:r>
        <w:rPr/>
        <w:t>entre</w:t>
      </w:r>
      <w:r>
        <w:rPr>
          <w:spacing w:val="-14"/>
        </w:rPr>
        <w:t> </w:t>
      </w:r>
      <w:r>
        <w:rPr/>
        <w:t>mujeres</w:t>
      </w:r>
      <w:r>
        <w:rPr>
          <w:spacing w:val="-11"/>
        </w:rPr>
        <w:t> </w:t>
      </w:r>
      <w:r>
        <w:rPr/>
        <w:t>jefas</w:t>
      </w:r>
      <w:r>
        <w:rPr>
          <w:spacing w:val="-11"/>
        </w:rPr>
        <w:t> </w:t>
      </w:r>
      <w:r>
        <w:rPr/>
        <w:t>de</w:t>
      </w:r>
      <w:r>
        <w:rPr>
          <w:spacing w:val="-9"/>
        </w:rPr>
        <w:t> </w:t>
      </w:r>
      <w:r>
        <w:rPr/>
        <w:t>hogar</w:t>
      </w:r>
      <w:r>
        <w:rPr>
          <w:spacing w:val="-10"/>
        </w:rPr>
        <w:t> </w:t>
      </w:r>
      <w:r>
        <w:rPr/>
        <w:t>para</w:t>
      </w:r>
      <w:r>
        <w:rPr>
          <w:spacing w:val="-11"/>
        </w:rPr>
        <w:t> </w:t>
      </w:r>
      <w:r>
        <w:rPr/>
        <w:t>2024</w:t>
      </w:r>
      <w:r>
        <w:rPr>
          <w:spacing w:val="-14"/>
        </w:rPr>
        <w:t> </w:t>
      </w:r>
      <w:r>
        <w:rPr/>
        <w:t>y</w:t>
      </w:r>
      <w:r>
        <w:rPr>
          <w:spacing w:val="-8"/>
        </w:rPr>
        <w:t> </w:t>
      </w:r>
      <w:r>
        <w:rPr/>
        <w:t>2025</w:t>
      </w:r>
      <w:r>
        <w:rPr>
          <w:spacing w:val="-12"/>
        </w:rPr>
        <w:t> </w:t>
      </w:r>
      <w:r>
        <w:rPr/>
        <w:t>confirma una vulnerabilidad laboral mayor entre quienes se encuentran en pobreza. No obstante, la actualización muestra una mejora general en 2025 respecto de 2024 en todas las categorías consideradas.</w:t>
      </w:r>
    </w:p>
    <w:p>
      <w:pPr>
        <w:pStyle w:val="BodyText"/>
      </w:pPr>
    </w:p>
    <w:p>
      <w:pPr>
        <w:pStyle w:val="BodyText"/>
        <w:ind w:left="1625" w:right="1603"/>
        <w:jc w:val="both"/>
      </w:pPr>
      <w:r>
        <w:rPr/>
        <w:t>En</w:t>
      </w:r>
      <w:r>
        <w:rPr>
          <w:spacing w:val="-9"/>
        </w:rPr>
        <w:t> </w:t>
      </w:r>
      <w:r>
        <w:rPr/>
        <w:t>2024,</w:t>
      </w:r>
      <w:r>
        <w:rPr>
          <w:spacing w:val="-7"/>
        </w:rPr>
        <w:t> </w:t>
      </w:r>
      <w:r>
        <w:rPr/>
        <w:t>la</w:t>
      </w:r>
      <w:r>
        <w:rPr>
          <w:spacing w:val="-9"/>
        </w:rPr>
        <w:t> </w:t>
      </w:r>
      <w:r>
        <w:rPr/>
        <w:t>tasa</w:t>
      </w:r>
      <w:r>
        <w:rPr>
          <w:spacing w:val="-9"/>
        </w:rPr>
        <w:t> </w:t>
      </w:r>
      <w:r>
        <w:rPr/>
        <w:t>de</w:t>
      </w:r>
      <w:r>
        <w:rPr>
          <w:spacing w:val="-9"/>
        </w:rPr>
        <w:t> </w:t>
      </w:r>
      <w:r>
        <w:rPr/>
        <w:t>desempleo</w:t>
      </w:r>
      <w:r>
        <w:rPr>
          <w:spacing w:val="-9"/>
        </w:rPr>
        <w:t> </w:t>
      </w:r>
      <w:r>
        <w:rPr/>
        <w:t>abierto</w:t>
      </w:r>
      <w:r>
        <w:rPr>
          <w:spacing w:val="-11"/>
        </w:rPr>
        <w:t> </w:t>
      </w:r>
      <w:r>
        <w:rPr/>
        <w:t>de</w:t>
      </w:r>
      <w:r>
        <w:rPr>
          <w:spacing w:val="-9"/>
        </w:rPr>
        <w:t> </w:t>
      </w:r>
      <w:r>
        <w:rPr/>
        <w:t>las</w:t>
      </w:r>
      <w:r>
        <w:rPr>
          <w:spacing w:val="-9"/>
        </w:rPr>
        <w:t> </w:t>
      </w:r>
      <w:r>
        <w:rPr/>
        <w:t>jefaturas</w:t>
      </w:r>
      <w:r>
        <w:rPr>
          <w:spacing w:val="-8"/>
        </w:rPr>
        <w:t> </w:t>
      </w:r>
      <w:r>
        <w:rPr/>
        <w:t>femeninas</w:t>
      </w:r>
      <w:r>
        <w:rPr>
          <w:spacing w:val="-11"/>
        </w:rPr>
        <w:t> </w:t>
      </w:r>
      <w:r>
        <w:rPr/>
        <w:t>fue</w:t>
      </w:r>
      <w:r>
        <w:rPr>
          <w:spacing w:val="-9"/>
        </w:rPr>
        <w:t> </w:t>
      </w:r>
      <w:r>
        <w:rPr/>
        <w:t>de</w:t>
      </w:r>
      <w:r>
        <w:rPr>
          <w:spacing w:val="-9"/>
        </w:rPr>
        <w:t> </w:t>
      </w:r>
      <w:r>
        <w:rPr/>
        <w:t>2,82%.</w:t>
      </w:r>
      <w:r>
        <w:rPr>
          <w:spacing w:val="-7"/>
        </w:rPr>
        <w:t> </w:t>
      </w:r>
      <w:r>
        <w:rPr/>
        <w:t>Entre</w:t>
      </w:r>
      <w:r>
        <w:rPr>
          <w:spacing w:val="-9"/>
        </w:rPr>
        <w:t> </w:t>
      </w:r>
      <w:r>
        <w:rPr/>
        <w:t>las mujeres pobres solo por LP alcanzó 7,61%; entre quienes eran pobres por LP e IPM, 6,94%;</w:t>
      </w:r>
      <w:r>
        <w:rPr>
          <w:spacing w:val="-13"/>
        </w:rPr>
        <w:t> </w:t>
      </w:r>
      <w:r>
        <w:rPr/>
        <w:t>entre</w:t>
      </w:r>
      <w:r>
        <w:rPr>
          <w:spacing w:val="-12"/>
        </w:rPr>
        <w:t> </w:t>
      </w:r>
      <w:r>
        <w:rPr/>
        <w:t>las</w:t>
      </w:r>
      <w:r>
        <w:rPr>
          <w:spacing w:val="-14"/>
        </w:rPr>
        <w:t> </w:t>
      </w:r>
      <w:r>
        <w:rPr/>
        <w:t>pobres</w:t>
      </w:r>
      <w:r>
        <w:rPr>
          <w:spacing w:val="-14"/>
        </w:rPr>
        <w:t> </w:t>
      </w:r>
      <w:r>
        <w:rPr/>
        <w:t>solo</w:t>
      </w:r>
      <w:r>
        <w:rPr>
          <w:spacing w:val="-12"/>
        </w:rPr>
        <w:t> </w:t>
      </w:r>
      <w:r>
        <w:rPr/>
        <w:t>por</w:t>
      </w:r>
      <w:r>
        <w:rPr>
          <w:spacing w:val="-15"/>
        </w:rPr>
        <w:t> </w:t>
      </w:r>
      <w:r>
        <w:rPr/>
        <w:t>IPM,</w:t>
      </w:r>
      <w:r>
        <w:rPr>
          <w:spacing w:val="-11"/>
        </w:rPr>
        <w:t> </w:t>
      </w:r>
      <w:r>
        <w:rPr/>
        <w:t>4,12%;</w:t>
      </w:r>
      <w:r>
        <w:rPr>
          <w:spacing w:val="-13"/>
        </w:rPr>
        <w:t> </w:t>
      </w:r>
      <w:r>
        <w:rPr/>
        <w:t>y</w:t>
      </w:r>
      <w:r>
        <w:rPr>
          <w:spacing w:val="-13"/>
        </w:rPr>
        <w:t> </w:t>
      </w:r>
      <w:r>
        <w:rPr/>
        <w:t>entre</w:t>
      </w:r>
      <w:r>
        <w:rPr>
          <w:spacing w:val="-12"/>
        </w:rPr>
        <w:t> </w:t>
      </w:r>
      <w:r>
        <w:rPr/>
        <w:t>las</w:t>
      </w:r>
      <w:r>
        <w:rPr>
          <w:spacing w:val="-14"/>
        </w:rPr>
        <w:t> </w:t>
      </w:r>
      <w:r>
        <w:rPr/>
        <w:t>no</w:t>
      </w:r>
      <w:r>
        <w:rPr>
          <w:spacing w:val="-14"/>
        </w:rPr>
        <w:t> </w:t>
      </w:r>
      <w:r>
        <w:rPr/>
        <w:t>pobres,</w:t>
      </w:r>
      <w:r>
        <w:rPr>
          <w:spacing w:val="-13"/>
        </w:rPr>
        <w:t> </w:t>
      </w:r>
      <w:r>
        <w:rPr/>
        <w:t>1,41%.</w:t>
      </w:r>
      <w:r>
        <w:rPr>
          <w:spacing w:val="-15"/>
        </w:rPr>
        <w:t> </w:t>
      </w:r>
      <w:r>
        <w:rPr/>
        <w:t>Estas</w:t>
      </w:r>
      <w:r>
        <w:rPr>
          <w:spacing w:val="-14"/>
        </w:rPr>
        <w:t> </w:t>
      </w:r>
      <w:r>
        <w:rPr/>
        <w:t>brechas evidenciaban una mayor dificultad de inserción laboral entre las jefaturas en pobreza.</w:t>
      </w:r>
    </w:p>
    <w:p>
      <w:pPr>
        <w:pStyle w:val="BodyText"/>
        <w:spacing w:before="1"/>
        <w:ind w:left="1625" w:right="1601"/>
        <w:jc w:val="both"/>
      </w:pPr>
      <w:r>
        <w:rPr/>
        <w:t>En 2025 se observa una reducción en todas las categorías: la tasa total baja a 2,20%; entre</w:t>
      </w:r>
      <w:r>
        <w:rPr>
          <w:spacing w:val="-6"/>
        </w:rPr>
        <w:t> </w:t>
      </w:r>
      <w:r>
        <w:rPr/>
        <w:t>las</w:t>
      </w:r>
      <w:r>
        <w:rPr>
          <w:spacing w:val="-6"/>
        </w:rPr>
        <w:t> </w:t>
      </w:r>
      <w:r>
        <w:rPr/>
        <w:t>jefaturas</w:t>
      </w:r>
      <w:r>
        <w:rPr>
          <w:spacing w:val="-6"/>
        </w:rPr>
        <w:t> </w:t>
      </w:r>
      <w:r>
        <w:rPr/>
        <w:t>femeninas</w:t>
      </w:r>
      <w:r>
        <w:rPr>
          <w:spacing w:val="-4"/>
        </w:rPr>
        <w:t> </w:t>
      </w:r>
      <w:r>
        <w:rPr/>
        <w:t>pobres</w:t>
      </w:r>
      <w:r>
        <w:rPr>
          <w:spacing w:val="-6"/>
        </w:rPr>
        <w:t> </w:t>
      </w:r>
      <w:r>
        <w:rPr/>
        <w:t>solo</w:t>
      </w:r>
      <w:r>
        <w:rPr>
          <w:spacing w:val="-4"/>
        </w:rPr>
        <w:t> </w:t>
      </w:r>
      <w:r>
        <w:rPr/>
        <w:t>por</w:t>
      </w:r>
      <w:r>
        <w:rPr>
          <w:spacing w:val="-5"/>
        </w:rPr>
        <w:t> </w:t>
      </w:r>
      <w:r>
        <w:rPr/>
        <w:t>LP</w:t>
      </w:r>
      <w:r>
        <w:rPr>
          <w:spacing w:val="-7"/>
        </w:rPr>
        <w:t> </w:t>
      </w:r>
      <w:r>
        <w:rPr/>
        <w:t>se</w:t>
      </w:r>
      <w:r>
        <w:rPr>
          <w:spacing w:val="-4"/>
        </w:rPr>
        <w:t> </w:t>
      </w:r>
      <w:r>
        <w:rPr/>
        <w:t>ubica</w:t>
      </w:r>
      <w:r>
        <w:rPr>
          <w:spacing w:val="-4"/>
        </w:rPr>
        <w:t> </w:t>
      </w:r>
      <w:r>
        <w:rPr/>
        <w:t>en</w:t>
      </w:r>
      <w:r>
        <w:rPr>
          <w:spacing w:val="-7"/>
        </w:rPr>
        <w:t> </w:t>
      </w:r>
      <w:r>
        <w:rPr/>
        <w:t>6,68%;</w:t>
      </w:r>
      <w:r>
        <w:rPr>
          <w:spacing w:val="-4"/>
        </w:rPr>
        <w:t> </w:t>
      </w:r>
      <w:r>
        <w:rPr/>
        <w:t>entre</w:t>
      </w:r>
      <w:r>
        <w:rPr>
          <w:spacing w:val="-6"/>
        </w:rPr>
        <w:t> </w:t>
      </w:r>
      <w:r>
        <w:rPr/>
        <w:t>las</w:t>
      </w:r>
      <w:r>
        <w:rPr>
          <w:spacing w:val="-4"/>
        </w:rPr>
        <w:t> </w:t>
      </w:r>
      <w:r>
        <w:rPr/>
        <w:t>pobres</w:t>
      </w:r>
      <w:r>
        <w:rPr>
          <w:spacing w:val="-4"/>
        </w:rPr>
        <w:t> </w:t>
      </w:r>
      <w:r>
        <w:rPr/>
        <w:t>por LP e IPM, en 4,08%; entre las pobres solo por IPM, en 2,25%; y entre las no pobres, en 1,28%. Aunque</w:t>
      </w:r>
      <w:r>
        <w:rPr>
          <w:spacing w:val="-1"/>
        </w:rPr>
        <w:t> </w:t>
      </w:r>
      <w:r>
        <w:rPr/>
        <w:t>la mejora es</w:t>
      </w:r>
      <w:r>
        <w:rPr>
          <w:spacing w:val="-1"/>
        </w:rPr>
        <w:t> </w:t>
      </w:r>
      <w:r>
        <w:rPr/>
        <w:t>generalizada, la distancia entre grupos</w:t>
      </w:r>
      <w:r>
        <w:rPr>
          <w:spacing w:val="-1"/>
        </w:rPr>
        <w:t> </w:t>
      </w:r>
      <w:r>
        <w:rPr/>
        <w:t>continúa mostrando una desigualdad estructural de acceso al empleo.</w:t>
      </w:r>
    </w:p>
    <w:p>
      <w:pPr>
        <w:pStyle w:val="BodyText"/>
        <w:spacing w:before="252"/>
        <w:ind w:left="1625" w:right="1600"/>
        <w:jc w:val="both"/>
      </w:pPr>
      <w:r>
        <w:rPr/>
        <w:t>Estos resultados muestran una vulnerabilidad laboral persistente entre las mujeres</w:t>
      </w:r>
      <w:r>
        <w:rPr>
          <w:spacing w:val="-1"/>
        </w:rPr>
        <w:t> </w:t>
      </w:r>
      <w:r>
        <w:rPr/>
        <w:t>jefas de</w:t>
      </w:r>
      <w:r>
        <w:rPr>
          <w:spacing w:val="-12"/>
        </w:rPr>
        <w:t> </w:t>
      </w:r>
      <w:r>
        <w:rPr/>
        <w:t>hogar</w:t>
      </w:r>
      <w:r>
        <w:rPr>
          <w:spacing w:val="-10"/>
        </w:rPr>
        <w:t> </w:t>
      </w:r>
      <w:r>
        <w:rPr/>
        <w:t>en</w:t>
      </w:r>
      <w:r>
        <w:rPr>
          <w:spacing w:val="-12"/>
        </w:rPr>
        <w:t> </w:t>
      </w:r>
      <w:r>
        <w:rPr/>
        <w:t>condiciones</w:t>
      </w:r>
      <w:r>
        <w:rPr>
          <w:spacing w:val="-13"/>
        </w:rPr>
        <w:t> </w:t>
      </w:r>
      <w:r>
        <w:rPr/>
        <w:t>de</w:t>
      </w:r>
      <w:r>
        <w:rPr>
          <w:spacing w:val="-12"/>
        </w:rPr>
        <w:t> </w:t>
      </w:r>
      <w:r>
        <w:rPr/>
        <w:t>pobreza,</w:t>
      </w:r>
      <w:r>
        <w:rPr>
          <w:spacing w:val="-12"/>
        </w:rPr>
        <w:t> </w:t>
      </w:r>
      <w:r>
        <w:rPr/>
        <w:t>especialmente</w:t>
      </w:r>
      <w:r>
        <w:rPr>
          <w:spacing w:val="-11"/>
        </w:rPr>
        <w:t> </w:t>
      </w:r>
      <w:r>
        <w:rPr/>
        <w:t>cuando</w:t>
      </w:r>
      <w:r>
        <w:rPr>
          <w:spacing w:val="-11"/>
        </w:rPr>
        <w:t> </w:t>
      </w:r>
      <w:r>
        <w:rPr/>
        <w:t>se</w:t>
      </w:r>
      <w:r>
        <w:rPr>
          <w:spacing w:val="-14"/>
        </w:rPr>
        <w:t> </w:t>
      </w:r>
      <w:r>
        <w:rPr/>
        <w:t>acumulan</w:t>
      </w:r>
      <w:r>
        <w:rPr>
          <w:spacing w:val="-12"/>
        </w:rPr>
        <w:t> </w:t>
      </w:r>
      <w:r>
        <w:rPr/>
        <w:t>otras</w:t>
      </w:r>
      <w:r>
        <w:rPr>
          <w:spacing w:val="-13"/>
        </w:rPr>
        <w:t> </w:t>
      </w:r>
      <w:r>
        <w:rPr/>
        <w:t>carencias sociales. La concentración de la pobreza en ocupaciones de menor calificación, observada en la ilustración 11, es consistente con mayores obstáculos de acceso al empleo</w:t>
      </w:r>
      <w:r>
        <w:rPr>
          <w:spacing w:val="-16"/>
        </w:rPr>
        <w:t> </w:t>
      </w:r>
      <w:r>
        <w:rPr/>
        <w:t>formal</w:t>
      </w:r>
      <w:r>
        <w:rPr>
          <w:spacing w:val="-15"/>
        </w:rPr>
        <w:t> </w:t>
      </w:r>
      <w:r>
        <w:rPr/>
        <w:t>y</w:t>
      </w:r>
      <w:r>
        <w:rPr>
          <w:spacing w:val="-15"/>
        </w:rPr>
        <w:t> </w:t>
      </w:r>
      <w:r>
        <w:rPr/>
        <w:t>estable.</w:t>
      </w:r>
      <w:r>
        <w:rPr>
          <w:spacing w:val="-16"/>
        </w:rPr>
        <w:t> </w:t>
      </w:r>
      <w:r>
        <w:rPr/>
        <w:t>La</w:t>
      </w:r>
      <w:r>
        <w:rPr>
          <w:spacing w:val="-14"/>
        </w:rPr>
        <w:t> </w:t>
      </w:r>
      <w:r>
        <w:rPr/>
        <w:t>segmentación</w:t>
      </w:r>
      <w:r>
        <w:rPr>
          <w:spacing w:val="-14"/>
        </w:rPr>
        <w:t> </w:t>
      </w:r>
      <w:r>
        <w:rPr/>
        <w:t>del</w:t>
      </w:r>
      <w:r>
        <w:rPr>
          <w:spacing w:val="-16"/>
        </w:rPr>
        <w:t> </w:t>
      </w:r>
      <w:r>
        <w:rPr/>
        <w:t>mercado</w:t>
      </w:r>
      <w:r>
        <w:rPr>
          <w:spacing w:val="-14"/>
        </w:rPr>
        <w:t> </w:t>
      </w:r>
      <w:r>
        <w:rPr/>
        <w:t>laboral,</w:t>
      </w:r>
      <w:r>
        <w:rPr>
          <w:spacing w:val="-15"/>
        </w:rPr>
        <w:t> </w:t>
      </w:r>
      <w:r>
        <w:rPr/>
        <w:t>por</w:t>
      </w:r>
      <w:r>
        <w:rPr>
          <w:spacing w:val="-15"/>
        </w:rPr>
        <w:t> </w:t>
      </w:r>
      <w:r>
        <w:rPr/>
        <w:t>tanto,</w:t>
      </w:r>
      <w:r>
        <w:rPr>
          <w:spacing w:val="-15"/>
        </w:rPr>
        <w:t> </w:t>
      </w:r>
      <w:r>
        <w:rPr/>
        <w:t>debe</w:t>
      </w:r>
      <w:r>
        <w:rPr>
          <w:spacing w:val="-15"/>
        </w:rPr>
        <w:t> </w:t>
      </w:r>
      <w:r>
        <w:rPr/>
        <w:t>analizarse también desde una perspectiva de género.</w:t>
      </w:r>
    </w:p>
    <w:p>
      <w:pPr>
        <w:pStyle w:val="BodyText"/>
        <w:spacing w:after="0"/>
        <w:jc w:val="both"/>
        <w:sectPr>
          <w:pgSz w:w="12240" w:h="15840"/>
          <w:pgMar w:header="0" w:footer="1576" w:top="1000" w:bottom="1760" w:left="360" w:right="0"/>
        </w:sectPr>
      </w:pPr>
    </w:p>
    <w:p>
      <w:pPr>
        <w:pStyle w:val="Heading5"/>
        <w:spacing w:before="77"/>
        <w:ind w:left="2551" w:right="1444" w:hanging="790"/>
      </w:pPr>
      <w:bookmarkStart w:name="_bookmark34" w:id="35"/>
      <w:bookmarkEnd w:id="35"/>
      <w:r>
        <w:rPr>
          <w:b w:val="0"/>
        </w:rPr>
      </w:r>
      <w:r>
        <w:rPr/>
        <w:t>Gráfico</w:t>
      </w:r>
      <w:r>
        <w:rPr>
          <w:spacing w:val="-5"/>
        </w:rPr>
        <w:t> </w:t>
      </w:r>
      <w:r>
        <w:rPr/>
        <w:t>15:</w:t>
      </w:r>
      <w:r>
        <w:rPr>
          <w:spacing w:val="-4"/>
        </w:rPr>
        <w:t> </w:t>
      </w:r>
      <w:r>
        <w:rPr/>
        <w:t>Costa</w:t>
      </w:r>
      <w:r>
        <w:rPr>
          <w:spacing w:val="-3"/>
        </w:rPr>
        <w:t> </w:t>
      </w:r>
      <w:r>
        <w:rPr/>
        <w:t>Rica:</w:t>
      </w:r>
      <w:r>
        <w:rPr>
          <w:spacing w:val="-4"/>
        </w:rPr>
        <w:t> </w:t>
      </w:r>
      <w:r>
        <w:rPr/>
        <w:t>Porcentaje</w:t>
      </w:r>
      <w:r>
        <w:rPr>
          <w:spacing w:val="-3"/>
        </w:rPr>
        <w:t> </w:t>
      </w:r>
      <w:r>
        <w:rPr/>
        <w:t>de</w:t>
      </w:r>
      <w:r>
        <w:rPr>
          <w:spacing w:val="-5"/>
        </w:rPr>
        <w:t> </w:t>
      </w:r>
      <w:r>
        <w:rPr/>
        <w:t>jefaturas</w:t>
      </w:r>
      <w:r>
        <w:rPr>
          <w:spacing w:val="-3"/>
        </w:rPr>
        <w:t> </w:t>
      </w:r>
      <w:r>
        <w:rPr/>
        <w:t>femeninas</w:t>
      </w:r>
      <w:r>
        <w:rPr>
          <w:spacing w:val="-5"/>
        </w:rPr>
        <w:t> </w:t>
      </w:r>
      <w:r>
        <w:rPr/>
        <w:t>con</w:t>
      </w:r>
      <w:r>
        <w:rPr>
          <w:spacing w:val="-3"/>
        </w:rPr>
        <w:t> </w:t>
      </w:r>
      <w:r>
        <w:rPr/>
        <w:t>desempleo</w:t>
      </w:r>
      <w:r>
        <w:rPr>
          <w:spacing w:val="-6"/>
        </w:rPr>
        <w:t> </w:t>
      </w:r>
      <w:r>
        <w:rPr/>
        <w:t>abierto según clasificación de pobreza por método combinado, 2024-2025</w:t>
      </w:r>
    </w:p>
    <w:p>
      <w:pPr>
        <w:pStyle w:val="BodyText"/>
        <w:spacing w:before="5"/>
        <w:rPr>
          <w:b/>
          <w:sz w:val="6"/>
        </w:rPr>
      </w:pPr>
      <w:r>
        <w:rPr>
          <w:b/>
          <w:sz w:val="6"/>
        </w:rPr>
        <w:drawing>
          <wp:anchor distT="0" distB="0" distL="0" distR="0" allowOverlap="1" layoutInCell="1" locked="0" behindDoc="1" simplePos="0" relativeHeight="487595520">
            <wp:simplePos x="0" y="0"/>
            <wp:positionH relativeFrom="page">
              <wp:posOffset>1310137</wp:posOffset>
            </wp:positionH>
            <wp:positionV relativeFrom="paragraph">
              <wp:posOffset>62763</wp:posOffset>
            </wp:positionV>
            <wp:extent cx="5454350" cy="3140964"/>
            <wp:effectExtent l="0" t="0" r="0" b="0"/>
            <wp:wrapTopAndBottom/>
            <wp:docPr id="76" name="Image 76"/>
            <wp:cNvGraphicFramePr>
              <a:graphicFrameLocks/>
            </wp:cNvGraphicFramePr>
            <a:graphic>
              <a:graphicData uri="http://schemas.openxmlformats.org/drawingml/2006/picture">
                <pic:pic>
                  <pic:nvPicPr>
                    <pic:cNvPr id="76" name="Image 76"/>
                    <pic:cNvPicPr/>
                  </pic:nvPicPr>
                  <pic:blipFill>
                    <a:blip r:embed="rId47" cstate="print"/>
                    <a:stretch>
                      <a:fillRect/>
                    </a:stretch>
                  </pic:blipFill>
                  <pic:spPr>
                    <a:xfrm>
                      <a:off x="0" y="0"/>
                      <a:ext cx="5454350" cy="3140964"/>
                    </a:xfrm>
                    <a:prstGeom prst="rect">
                      <a:avLst/>
                    </a:prstGeom>
                  </pic:spPr>
                </pic:pic>
              </a:graphicData>
            </a:graphic>
          </wp:anchor>
        </w:drawing>
      </w:r>
    </w:p>
    <w:p>
      <w:pPr>
        <w:spacing w:before="63"/>
        <w:ind w:left="1985" w:right="1444" w:firstLine="0"/>
        <w:jc w:val="left"/>
        <w:rPr>
          <w:sz w:val="18"/>
        </w:rPr>
      </w:pPr>
      <w:r>
        <w:rPr>
          <w:sz w:val="18"/>
        </w:rPr>
        <w:t>Fuente:</w:t>
      </w:r>
      <w:r>
        <w:rPr>
          <w:spacing w:val="24"/>
          <w:sz w:val="18"/>
        </w:rPr>
        <w:t> </w:t>
      </w:r>
      <w:r>
        <w:rPr>
          <w:sz w:val="18"/>
        </w:rPr>
        <w:t>Elaboración</w:t>
      </w:r>
      <w:r>
        <w:rPr>
          <w:spacing w:val="24"/>
          <w:sz w:val="18"/>
        </w:rPr>
        <w:t> </w:t>
      </w:r>
      <w:r>
        <w:rPr>
          <w:sz w:val="18"/>
        </w:rPr>
        <w:t>propia</w:t>
      </w:r>
      <w:r>
        <w:rPr>
          <w:spacing w:val="24"/>
          <w:sz w:val="18"/>
        </w:rPr>
        <w:t> </w:t>
      </w:r>
      <w:r>
        <w:rPr>
          <w:sz w:val="18"/>
        </w:rPr>
        <w:t>a</w:t>
      </w:r>
      <w:r>
        <w:rPr>
          <w:spacing w:val="22"/>
          <w:sz w:val="18"/>
        </w:rPr>
        <w:t> </w:t>
      </w:r>
      <w:r>
        <w:rPr>
          <w:sz w:val="18"/>
        </w:rPr>
        <w:t>partir</w:t>
      </w:r>
      <w:r>
        <w:rPr>
          <w:spacing w:val="23"/>
          <w:sz w:val="18"/>
        </w:rPr>
        <w:t> </w:t>
      </w:r>
      <w:r>
        <w:rPr>
          <w:sz w:val="18"/>
        </w:rPr>
        <w:t>de</w:t>
      </w:r>
      <w:r>
        <w:rPr>
          <w:spacing w:val="24"/>
          <w:sz w:val="18"/>
        </w:rPr>
        <w:t> </w:t>
      </w:r>
      <w:r>
        <w:rPr>
          <w:sz w:val="18"/>
        </w:rPr>
        <w:t>la</w:t>
      </w:r>
      <w:r>
        <w:rPr>
          <w:spacing w:val="24"/>
          <w:sz w:val="18"/>
        </w:rPr>
        <w:t> </w:t>
      </w:r>
      <w:r>
        <w:rPr>
          <w:sz w:val="18"/>
        </w:rPr>
        <w:t>Encuesta</w:t>
      </w:r>
      <w:r>
        <w:rPr>
          <w:spacing w:val="24"/>
          <w:sz w:val="18"/>
        </w:rPr>
        <w:t> </w:t>
      </w:r>
      <w:r>
        <w:rPr>
          <w:sz w:val="18"/>
        </w:rPr>
        <w:t>Nacional</w:t>
      </w:r>
      <w:r>
        <w:rPr>
          <w:spacing w:val="24"/>
          <w:sz w:val="18"/>
        </w:rPr>
        <w:t> </w:t>
      </w:r>
      <w:r>
        <w:rPr>
          <w:sz w:val="18"/>
        </w:rPr>
        <w:t>de</w:t>
      </w:r>
      <w:r>
        <w:rPr>
          <w:spacing w:val="24"/>
          <w:sz w:val="18"/>
        </w:rPr>
        <w:t> </w:t>
      </w:r>
      <w:r>
        <w:rPr>
          <w:sz w:val="18"/>
        </w:rPr>
        <w:t>Hogares</w:t>
      </w:r>
      <w:r>
        <w:rPr>
          <w:spacing w:val="24"/>
          <w:sz w:val="18"/>
        </w:rPr>
        <w:t> </w:t>
      </w:r>
      <w:r>
        <w:rPr>
          <w:sz w:val="18"/>
        </w:rPr>
        <w:t>(ENAHO)</w:t>
      </w:r>
      <w:r>
        <w:rPr>
          <w:spacing w:val="23"/>
          <w:sz w:val="18"/>
        </w:rPr>
        <w:t> </w:t>
      </w:r>
      <w:r>
        <w:rPr>
          <w:sz w:val="18"/>
        </w:rPr>
        <w:t>2024</w:t>
      </w:r>
      <w:r>
        <w:rPr>
          <w:spacing w:val="24"/>
          <w:sz w:val="18"/>
        </w:rPr>
        <w:t> </w:t>
      </w:r>
      <w:r>
        <w:rPr>
          <w:sz w:val="18"/>
        </w:rPr>
        <w:t>y</w:t>
      </w:r>
      <w:r>
        <w:rPr>
          <w:spacing w:val="24"/>
          <w:sz w:val="18"/>
        </w:rPr>
        <w:t> </w:t>
      </w:r>
      <w:r>
        <w:rPr>
          <w:sz w:val="18"/>
        </w:rPr>
        <w:t>2025</w:t>
      </w:r>
      <w:r>
        <w:rPr>
          <w:spacing w:val="24"/>
          <w:sz w:val="18"/>
        </w:rPr>
        <w:t> </w:t>
      </w:r>
      <w:r>
        <w:rPr>
          <w:sz w:val="18"/>
        </w:rPr>
        <w:t>del Instituto Nacional de Estadística y Censos (INEC); procesamiento IMAS, Planificación Institucional.</w:t>
      </w:r>
    </w:p>
    <w:p>
      <w:pPr>
        <w:pStyle w:val="BodyText"/>
        <w:spacing w:before="23"/>
        <w:rPr>
          <w:sz w:val="18"/>
        </w:rPr>
      </w:pPr>
    </w:p>
    <w:p>
      <w:pPr>
        <w:pStyle w:val="BodyText"/>
        <w:ind w:left="1625" w:right="1603"/>
        <w:jc w:val="both"/>
      </w:pPr>
      <w:r>
        <w:rPr/>
        <w:t>El gráfico 15 compara las tasas de desempleo abierto de las jefaturas femeninas entre 2024</w:t>
      </w:r>
      <w:r>
        <w:rPr>
          <w:spacing w:val="-9"/>
        </w:rPr>
        <w:t> </w:t>
      </w:r>
      <w:r>
        <w:rPr/>
        <w:t>y</w:t>
      </w:r>
      <w:r>
        <w:rPr>
          <w:spacing w:val="-8"/>
        </w:rPr>
        <w:t> </w:t>
      </w:r>
      <w:r>
        <w:rPr/>
        <w:t>2025</w:t>
      </w:r>
      <w:r>
        <w:rPr>
          <w:spacing w:val="-9"/>
        </w:rPr>
        <w:t> </w:t>
      </w:r>
      <w:r>
        <w:rPr/>
        <w:t>según</w:t>
      </w:r>
      <w:r>
        <w:rPr>
          <w:spacing w:val="-12"/>
        </w:rPr>
        <w:t> </w:t>
      </w:r>
      <w:r>
        <w:rPr/>
        <w:t>condición</w:t>
      </w:r>
      <w:r>
        <w:rPr>
          <w:spacing w:val="-9"/>
        </w:rPr>
        <w:t> </w:t>
      </w:r>
      <w:r>
        <w:rPr/>
        <w:t>de</w:t>
      </w:r>
      <w:r>
        <w:rPr>
          <w:spacing w:val="-9"/>
        </w:rPr>
        <w:t> </w:t>
      </w:r>
      <w:r>
        <w:rPr/>
        <w:t>pobreza.</w:t>
      </w:r>
      <w:r>
        <w:rPr>
          <w:spacing w:val="-7"/>
        </w:rPr>
        <w:t> </w:t>
      </w:r>
      <w:r>
        <w:rPr/>
        <w:t>En</w:t>
      </w:r>
      <w:r>
        <w:rPr>
          <w:spacing w:val="-9"/>
        </w:rPr>
        <w:t> </w:t>
      </w:r>
      <w:r>
        <w:rPr/>
        <w:t>todas</w:t>
      </w:r>
      <w:r>
        <w:rPr>
          <w:spacing w:val="-8"/>
        </w:rPr>
        <w:t> </w:t>
      </w:r>
      <w:r>
        <w:rPr/>
        <w:t>las</w:t>
      </w:r>
      <w:r>
        <w:rPr>
          <w:spacing w:val="-9"/>
        </w:rPr>
        <w:t> </w:t>
      </w:r>
      <w:r>
        <w:rPr/>
        <w:t>categorías</w:t>
      </w:r>
      <w:r>
        <w:rPr>
          <w:spacing w:val="-11"/>
        </w:rPr>
        <w:t> </w:t>
      </w:r>
      <w:r>
        <w:rPr/>
        <w:t>las</w:t>
      </w:r>
      <w:r>
        <w:rPr>
          <w:spacing w:val="-9"/>
        </w:rPr>
        <w:t> </w:t>
      </w:r>
      <w:r>
        <w:rPr/>
        <w:t>barras</w:t>
      </w:r>
      <w:r>
        <w:rPr>
          <w:spacing w:val="-8"/>
        </w:rPr>
        <w:t> </w:t>
      </w:r>
      <w:r>
        <w:rPr/>
        <w:t>de</w:t>
      </w:r>
      <w:r>
        <w:rPr>
          <w:spacing w:val="-9"/>
        </w:rPr>
        <w:t> </w:t>
      </w:r>
      <w:r>
        <w:rPr/>
        <w:t>2025</w:t>
      </w:r>
      <w:r>
        <w:rPr>
          <w:spacing w:val="-9"/>
        </w:rPr>
        <w:t> </w:t>
      </w:r>
      <w:r>
        <w:rPr/>
        <w:t>son inferiores a las de 2024, lo que refleja una mejora general. No obstante, las diferencias permanecen amplias: en 2025 el desempleo alcanza 6,68% entre las jefaturas pobres solo por</w:t>
      </w:r>
      <w:r>
        <w:rPr>
          <w:spacing w:val="-1"/>
        </w:rPr>
        <w:t> </w:t>
      </w:r>
      <w:r>
        <w:rPr/>
        <w:t>LP</w:t>
      </w:r>
      <w:r>
        <w:rPr>
          <w:spacing w:val="-3"/>
        </w:rPr>
        <w:t> </w:t>
      </w:r>
      <w:r>
        <w:rPr/>
        <w:t>y</w:t>
      </w:r>
      <w:r>
        <w:rPr>
          <w:spacing w:val="-2"/>
        </w:rPr>
        <w:t> </w:t>
      </w:r>
      <w:r>
        <w:rPr/>
        <w:t>4,08%</w:t>
      </w:r>
      <w:r>
        <w:rPr>
          <w:spacing w:val="-1"/>
        </w:rPr>
        <w:t> </w:t>
      </w:r>
      <w:r>
        <w:rPr/>
        <w:t>entre quienes</w:t>
      </w:r>
      <w:r>
        <w:rPr>
          <w:spacing w:val="-2"/>
        </w:rPr>
        <w:t> </w:t>
      </w:r>
      <w:r>
        <w:rPr/>
        <w:t>son</w:t>
      </w:r>
      <w:r>
        <w:rPr>
          <w:spacing w:val="-2"/>
        </w:rPr>
        <w:t> </w:t>
      </w:r>
      <w:r>
        <w:rPr/>
        <w:t>pobres</w:t>
      </w:r>
      <w:r>
        <w:rPr>
          <w:spacing w:val="-2"/>
        </w:rPr>
        <w:t> </w:t>
      </w:r>
      <w:r>
        <w:rPr/>
        <w:t>por LP</w:t>
      </w:r>
      <w:r>
        <w:rPr>
          <w:spacing w:val="-3"/>
        </w:rPr>
        <w:t> </w:t>
      </w:r>
      <w:r>
        <w:rPr/>
        <w:t>e</w:t>
      </w:r>
      <w:r>
        <w:rPr>
          <w:spacing w:val="-4"/>
        </w:rPr>
        <w:t> </w:t>
      </w:r>
      <w:r>
        <w:rPr/>
        <w:t>IPM, frente</w:t>
      </w:r>
      <w:r>
        <w:rPr>
          <w:spacing w:val="-2"/>
        </w:rPr>
        <w:t> </w:t>
      </w:r>
      <w:r>
        <w:rPr/>
        <w:t>a</w:t>
      </w:r>
      <w:r>
        <w:rPr>
          <w:spacing w:val="-2"/>
        </w:rPr>
        <w:t> </w:t>
      </w:r>
      <w:r>
        <w:rPr/>
        <w:t>1,28% entre</w:t>
      </w:r>
      <w:r>
        <w:rPr>
          <w:spacing w:val="-2"/>
        </w:rPr>
        <w:t> </w:t>
      </w:r>
      <w:r>
        <w:rPr/>
        <w:t>las</w:t>
      </w:r>
      <w:r>
        <w:rPr>
          <w:spacing w:val="-2"/>
        </w:rPr>
        <w:t> </w:t>
      </w:r>
      <w:r>
        <w:rPr/>
        <w:t>no pobres.</w:t>
      </w:r>
      <w:r>
        <w:rPr>
          <w:spacing w:val="-8"/>
        </w:rPr>
        <w:t> </w:t>
      </w:r>
      <w:r>
        <w:rPr/>
        <w:t>El</w:t>
      </w:r>
      <w:r>
        <w:rPr>
          <w:spacing w:val="-11"/>
        </w:rPr>
        <w:t> </w:t>
      </w:r>
      <w:r>
        <w:rPr/>
        <w:t>gráfico</w:t>
      </w:r>
      <w:r>
        <w:rPr>
          <w:spacing w:val="-10"/>
        </w:rPr>
        <w:t> </w:t>
      </w:r>
      <w:r>
        <w:rPr/>
        <w:t>confirma</w:t>
      </w:r>
      <w:r>
        <w:rPr>
          <w:spacing w:val="-10"/>
        </w:rPr>
        <w:t> </w:t>
      </w:r>
      <w:r>
        <w:rPr/>
        <w:t>que</w:t>
      </w:r>
      <w:r>
        <w:rPr>
          <w:spacing w:val="-10"/>
        </w:rPr>
        <w:t> </w:t>
      </w:r>
      <w:r>
        <w:rPr/>
        <w:t>la</w:t>
      </w:r>
      <w:r>
        <w:rPr>
          <w:spacing w:val="-10"/>
        </w:rPr>
        <w:t> </w:t>
      </w:r>
      <w:r>
        <w:rPr/>
        <w:t>mejora</w:t>
      </w:r>
      <w:r>
        <w:rPr>
          <w:spacing w:val="-9"/>
        </w:rPr>
        <w:t> </w:t>
      </w:r>
      <w:r>
        <w:rPr/>
        <w:t>coyuntural</w:t>
      </w:r>
      <w:r>
        <w:rPr>
          <w:spacing w:val="-10"/>
        </w:rPr>
        <w:t> </w:t>
      </w:r>
      <w:r>
        <w:rPr/>
        <w:t>no</w:t>
      </w:r>
      <w:r>
        <w:rPr>
          <w:spacing w:val="-10"/>
        </w:rPr>
        <w:t> </w:t>
      </w:r>
      <w:r>
        <w:rPr/>
        <w:t>elimina</w:t>
      </w:r>
      <w:r>
        <w:rPr>
          <w:spacing w:val="-10"/>
        </w:rPr>
        <w:t> </w:t>
      </w:r>
      <w:r>
        <w:rPr/>
        <w:t>la</w:t>
      </w:r>
      <w:r>
        <w:rPr>
          <w:spacing w:val="-10"/>
        </w:rPr>
        <w:t> </w:t>
      </w:r>
      <w:r>
        <w:rPr/>
        <w:t>desigualdad</w:t>
      </w:r>
      <w:r>
        <w:rPr>
          <w:spacing w:val="-10"/>
        </w:rPr>
        <w:t> </w:t>
      </w:r>
      <w:r>
        <w:rPr/>
        <w:t>estructural de acceso al empleo entre los distintos grupos.</w:t>
      </w:r>
    </w:p>
    <w:p>
      <w:pPr>
        <w:pStyle w:val="BodyText"/>
        <w:spacing w:before="2"/>
      </w:pPr>
    </w:p>
    <w:p>
      <w:pPr>
        <w:pStyle w:val="BodyText"/>
        <w:ind w:left="1625" w:right="1604"/>
        <w:jc w:val="both"/>
      </w:pPr>
      <w:r>
        <w:rPr/>
        <w:t>En consecuencia, las jefaturas femeninas en pobreza presentan tasas de desempleo superiores a las de las jefaturas no pobres. Esta desventaja, asociada simultáneamente con la situación socioeconómica y las brechas de género, subraya la necesidad de fortalecer las políticas de inclusión laboral, ampliar las oportunidades de empleo digno y mejorar el acceso a servicios de cuidado y capacitación. Estas medidas son fundamentales</w:t>
      </w:r>
      <w:r>
        <w:rPr>
          <w:spacing w:val="-2"/>
        </w:rPr>
        <w:t> </w:t>
      </w:r>
      <w:r>
        <w:rPr/>
        <w:t>para</w:t>
      </w:r>
      <w:r>
        <w:rPr>
          <w:spacing w:val="-4"/>
        </w:rPr>
        <w:t> </w:t>
      </w:r>
      <w:r>
        <w:rPr/>
        <w:t>reducir</w:t>
      </w:r>
      <w:r>
        <w:rPr>
          <w:spacing w:val="-1"/>
        </w:rPr>
        <w:t> </w:t>
      </w:r>
      <w:r>
        <w:rPr/>
        <w:t>las</w:t>
      </w:r>
      <w:r>
        <w:rPr>
          <w:spacing w:val="-2"/>
        </w:rPr>
        <w:t> </w:t>
      </w:r>
      <w:r>
        <w:rPr/>
        <w:t>barreras</w:t>
      </w:r>
      <w:r>
        <w:rPr>
          <w:spacing w:val="-2"/>
        </w:rPr>
        <w:t> </w:t>
      </w:r>
      <w:r>
        <w:rPr/>
        <w:t>estructurales</w:t>
      </w:r>
      <w:r>
        <w:rPr>
          <w:spacing w:val="-2"/>
        </w:rPr>
        <w:t> </w:t>
      </w:r>
      <w:r>
        <w:rPr/>
        <w:t>que</w:t>
      </w:r>
      <w:r>
        <w:rPr>
          <w:spacing w:val="-2"/>
        </w:rPr>
        <w:t> </w:t>
      </w:r>
      <w:r>
        <w:rPr/>
        <w:t>afectan</w:t>
      </w:r>
      <w:r>
        <w:rPr>
          <w:spacing w:val="-2"/>
        </w:rPr>
        <w:t> </w:t>
      </w:r>
      <w:r>
        <w:rPr/>
        <w:t>a</w:t>
      </w:r>
      <w:r>
        <w:rPr>
          <w:spacing w:val="-2"/>
        </w:rPr>
        <w:t> </w:t>
      </w:r>
      <w:r>
        <w:rPr/>
        <w:t>las</w:t>
      </w:r>
      <w:r>
        <w:rPr>
          <w:spacing w:val="-4"/>
        </w:rPr>
        <w:t> </w:t>
      </w:r>
      <w:r>
        <w:rPr/>
        <w:t>mujeres</w:t>
      </w:r>
      <w:r>
        <w:rPr>
          <w:spacing w:val="-4"/>
        </w:rPr>
        <w:t> </w:t>
      </w:r>
      <w:r>
        <w:rPr/>
        <w:t>jefas</w:t>
      </w:r>
      <w:r>
        <w:rPr>
          <w:spacing w:val="-2"/>
        </w:rPr>
        <w:t> </w:t>
      </w:r>
      <w:r>
        <w:rPr/>
        <w:t>de </w:t>
      </w:r>
      <w:r>
        <w:rPr>
          <w:spacing w:val="-2"/>
        </w:rPr>
        <w:t>hogar.</w:t>
      </w:r>
    </w:p>
    <w:p>
      <w:pPr>
        <w:pStyle w:val="BodyText"/>
        <w:spacing w:before="253"/>
        <w:ind w:left="1625" w:right="1602"/>
        <w:jc w:val="both"/>
      </w:pPr>
      <w:r>
        <w:rPr/>
        <w:t>En</w:t>
      </w:r>
      <w:r>
        <w:rPr>
          <w:spacing w:val="-6"/>
        </w:rPr>
        <w:t> </w:t>
      </w:r>
      <w:r>
        <w:rPr/>
        <w:t>el</w:t>
      </w:r>
      <w:r>
        <w:rPr>
          <w:spacing w:val="-7"/>
        </w:rPr>
        <w:t> </w:t>
      </w:r>
      <w:r>
        <w:rPr/>
        <w:t>contexto</w:t>
      </w:r>
      <w:r>
        <w:rPr>
          <w:spacing w:val="-8"/>
        </w:rPr>
        <w:t> </w:t>
      </w:r>
      <w:r>
        <w:rPr/>
        <w:t>de</w:t>
      </w:r>
      <w:r>
        <w:rPr>
          <w:spacing w:val="-9"/>
        </w:rPr>
        <w:t> </w:t>
      </w:r>
      <w:r>
        <w:rPr/>
        <w:t>la</w:t>
      </w:r>
      <w:r>
        <w:rPr>
          <w:spacing w:val="-6"/>
        </w:rPr>
        <w:t> </w:t>
      </w:r>
      <w:r>
        <w:rPr/>
        <w:t>pobreza</w:t>
      </w:r>
      <w:r>
        <w:rPr>
          <w:spacing w:val="-7"/>
        </w:rPr>
        <w:t> </w:t>
      </w:r>
      <w:r>
        <w:rPr/>
        <w:t>y</w:t>
      </w:r>
      <w:r>
        <w:rPr>
          <w:spacing w:val="-8"/>
        </w:rPr>
        <w:t> </w:t>
      </w:r>
      <w:r>
        <w:rPr/>
        <w:t>la</w:t>
      </w:r>
      <w:r>
        <w:rPr>
          <w:spacing w:val="-6"/>
        </w:rPr>
        <w:t> </w:t>
      </w:r>
      <w:r>
        <w:rPr/>
        <w:t>desigualdad,</w:t>
      </w:r>
      <w:r>
        <w:rPr>
          <w:spacing w:val="-8"/>
        </w:rPr>
        <w:t> </w:t>
      </w:r>
      <w:r>
        <w:rPr/>
        <w:t>el</w:t>
      </w:r>
      <w:r>
        <w:rPr>
          <w:spacing w:val="-10"/>
        </w:rPr>
        <w:t> </w:t>
      </w:r>
      <w:r>
        <w:rPr/>
        <w:t>nivel</w:t>
      </w:r>
      <w:r>
        <w:rPr>
          <w:spacing w:val="-7"/>
        </w:rPr>
        <w:t> </w:t>
      </w:r>
      <w:r>
        <w:rPr/>
        <w:t>educativo</w:t>
      </w:r>
      <w:r>
        <w:rPr>
          <w:spacing w:val="-9"/>
        </w:rPr>
        <w:t> </w:t>
      </w:r>
      <w:r>
        <w:rPr/>
        <w:t>de</w:t>
      </w:r>
      <w:r>
        <w:rPr>
          <w:spacing w:val="-7"/>
        </w:rPr>
        <w:t> </w:t>
      </w:r>
      <w:r>
        <w:rPr/>
        <w:t>las</w:t>
      </w:r>
      <w:r>
        <w:rPr>
          <w:spacing w:val="-11"/>
        </w:rPr>
        <w:t> </w:t>
      </w:r>
      <w:r>
        <w:rPr/>
        <w:t>jefaturas</w:t>
      </w:r>
      <w:r>
        <w:rPr>
          <w:spacing w:val="-6"/>
        </w:rPr>
        <w:t> </w:t>
      </w:r>
      <w:r>
        <w:rPr/>
        <w:t>de</w:t>
      </w:r>
      <w:r>
        <w:rPr>
          <w:spacing w:val="-9"/>
        </w:rPr>
        <w:t> </w:t>
      </w:r>
      <w:r>
        <w:rPr/>
        <w:t>hogar continúa siendo un factor estrechamente asociado con las oportunidades laborales, el ingreso y la movilidad social. La ilustración 13 compara 2024 y 2025 y muestra que, aunque el indicador mejora en</w:t>
      </w:r>
      <w:r>
        <w:rPr>
          <w:spacing w:val="-1"/>
        </w:rPr>
        <w:t> </w:t>
      </w:r>
      <w:r>
        <w:rPr/>
        <w:t>términos agregados, persisten</w:t>
      </w:r>
      <w:r>
        <w:rPr>
          <w:spacing w:val="-1"/>
        </w:rPr>
        <w:t> </w:t>
      </w:r>
      <w:r>
        <w:rPr/>
        <w:t>porcentajes</w:t>
      </w:r>
      <w:r>
        <w:rPr>
          <w:spacing w:val="-1"/>
        </w:rPr>
        <w:t> </w:t>
      </w:r>
      <w:r>
        <w:rPr/>
        <w:t>muy</w:t>
      </w:r>
      <w:r>
        <w:rPr>
          <w:spacing w:val="-1"/>
        </w:rPr>
        <w:t> </w:t>
      </w:r>
      <w:r>
        <w:rPr/>
        <w:t>elevados de jefaturas sin secundaria completa entre los grupos en pobreza multidimensional.</w:t>
      </w:r>
    </w:p>
    <w:p>
      <w:pPr>
        <w:pStyle w:val="BodyText"/>
        <w:spacing w:before="252"/>
        <w:ind w:left="1625" w:right="1604"/>
        <w:jc w:val="both"/>
      </w:pPr>
      <w:r>
        <w:rPr/>
        <w:t>Entre</w:t>
      </w:r>
      <w:r>
        <w:rPr>
          <w:spacing w:val="-16"/>
        </w:rPr>
        <w:t> </w:t>
      </w:r>
      <w:r>
        <w:rPr/>
        <w:t>las</w:t>
      </w:r>
      <w:r>
        <w:rPr>
          <w:spacing w:val="-15"/>
        </w:rPr>
        <w:t> </w:t>
      </w:r>
      <w:r>
        <w:rPr/>
        <w:t>jefaturas</w:t>
      </w:r>
      <w:r>
        <w:rPr>
          <w:spacing w:val="-15"/>
        </w:rPr>
        <w:t> </w:t>
      </w:r>
      <w:r>
        <w:rPr/>
        <w:t>no</w:t>
      </w:r>
      <w:r>
        <w:rPr>
          <w:spacing w:val="-16"/>
        </w:rPr>
        <w:t> </w:t>
      </w:r>
      <w:r>
        <w:rPr/>
        <w:t>pobres,</w:t>
      </w:r>
      <w:r>
        <w:rPr>
          <w:spacing w:val="-15"/>
        </w:rPr>
        <w:t> </w:t>
      </w:r>
      <w:r>
        <w:rPr/>
        <w:t>la</w:t>
      </w:r>
      <w:r>
        <w:rPr>
          <w:spacing w:val="-15"/>
        </w:rPr>
        <w:t> </w:t>
      </w:r>
      <w:r>
        <w:rPr/>
        <w:t>proporción</w:t>
      </w:r>
      <w:r>
        <w:rPr>
          <w:spacing w:val="-15"/>
        </w:rPr>
        <w:t> </w:t>
      </w:r>
      <w:r>
        <w:rPr/>
        <w:t>sin</w:t>
      </w:r>
      <w:r>
        <w:rPr>
          <w:spacing w:val="-16"/>
        </w:rPr>
        <w:t> </w:t>
      </w:r>
      <w:r>
        <w:rPr/>
        <w:t>secundaria</w:t>
      </w:r>
      <w:r>
        <w:rPr>
          <w:spacing w:val="-15"/>
        </w:rPr>
        <w:t> </w:t>
      </w:r>
      <w:r>
        <w:rPr/>
        <w:t>completa</w:t>
      </w:r>
      <w:r>
        <w:rPr>
          <w:spacing w:val="-15"/>
        </w:rPr>
        <w:t> </w:t>
      </w:r>
      <w:r>
        <w:rPr/>
        <w:t>disminuye</w:t>
      </w:r>
      <w:r>
        <w:rPr>
          <w:spacing w:val="-16"/>
        </w:rPr>
        <w:t> </w:t>
      </w:r>
      <w:r>
        <w:rPr/>
        <w:t>de</w:t>
      </w:r>
      <w:r>
        <w:rPr>
          <w:spacing w:val="-15"/>
        </w:rPr>
        <w:t> </w:t>
      </w:r>
      <w:r>
        <w:rPr/>
        <w:t>52,75% en 2024 a 52,00% en 2025, una reducción de 0,75 puntos porcentuales. Aunque se observa una mejora, más de la mitad continúa sin completar la educación secundaria.</w:t>
      </w:r>
    </w:p>
    <w:p>
      <w:pPr>
        <w:pStyle w:val="BodyText"/>
        <w:spacing w:after="0"/>
        <w:jc w:val="both"/>
        <w:sectPr>
          <w:pgSz w:w="12240" w:h="15840"/>
          <w:pgMar w:header="0" w:footer="1576" w:top="1000" w:bottom="1760" w:left="360" w:right="0"/>
        </w:sectPr>
      </w:pPr>
    </w:p>
    <w:p>
      <w:pPr>
        <w:pStyle w:val="Heading5"/>
        <w:spacing w:before="77"/>
        <w:ind w:left="1460" w:right="1303"/>
        <w:jc w:val="center"/>
      </w:pPr>
      <w:bookmarkStart w:name="_bookmark35" w:id="36"/>
      <w:bookmarkEnd w:id="36"/>
      <w:r>
        <w:rPr>
          <w:b w:val="0"/>
        </w:rPr>
      </w:r>
      <w:r>
        <w:rPr/>
        <w:t>Gráfico</w:t>
      </w:r>
      <w:r>
        <w:rPr>
          <w:spacing w:val="-4"/>
        </w:rPr>
        <w:t> </w:t>
      </w:r>
      <w:r>
        <w:rPr/>
        <w:t>16:</w:t>
      </w:r>
      <w:r>
        <w:rPr>
          <w:spacing w:val="-3"/>
        </w:rPr>
        <w:t> </w:t>
      </w:r>
      <w:r>
        <w:rPr/>
        <w:t>Costa</w:t>
      </w:r>
      <w:r>
        <w:rPr>
          <w:spacing w:val="-2"/>
        </w:rPr>
        <w:t> </w:t>
      </w:r>
      <w:r>
        <w:rPr/>
        <w:t>Rica:</w:t>
      </w:r>
      <w:r>
        <w:rPr>
          <w:spacing w:val="-3"/>
        </w:rPr>
        <w:t> </w:t>
      </w:r>
      <w:r>
        <w:rPr/>
        <w:t>Porcentaje</w:t>
      </w:r>
      <w:r>
        <w:rPr>
          <w:spacing w:val="-2"/>
        </w:rPr>
        <w:t> </w:t>
      </w:r>
      <w:r>
        <w:rPr/>
        <w:t>de</w:t>
      </w:r>
      <w:r>
        <w:rPr>
          <w:spacing w:val="-4"/>
        </w:rPr>
        <w:t> </w:t>
      </w:r>
      <w:r>
        <w:rPr/>
        <w:t>hogares</w:t>
      </w:r>
      <w:r>
        <w:rPr>
          <w:spacing w:val="-4"/>
        </w:rPr>
        <w:t> </w:t>
      </w:r>
      <w:r>
        <w:rPr/>
        <w:t>con</w:t>
      </w:r>
      <w:r>
        <w:rPr>
          <w:spacing w:val="-4"/>
        </w:rPr>
        <w:t> </w:t>
      </w:r>
      <w:r>
        <w:rPr/>
        <w:t>jefatura</w:t>
      </w:r>
      <w:r>
        <w:rPr>
          <w:spacing w:val="-2"/>
        </w:rPr>
        <w:t> </w:t>
      </w:r>
      <w:r>
        <w:rPr/>
        <w:t>de</w:t>
      </w:r>
      <w:r>
        <w:rPr>
          <w:spacing w:val="-4"/>
        </w:rPr>
        <w:t> </w:t>
      </w:r>
      <w:r>
        <w:rPr/>
        <w:t>24</w:t>
      </w:r>
      <w:r>
        <w:rPr>
          <w:spacing w:val="-4"/>
        </w:rPr>
        <w:t> </w:t>
      </w:r>
      <w:r>
        <w:rPr/>
        <w:t>años</w:t>
      </w:r>
      <w:r>
        <w:rPr>
          <w:spacing w:val="-2"/>
        </w:rPr>
        <w:t> </w:t>
      </w:r>
      <w:r>
        <w:rPr/>
        <w:t>o</w:t>
      </w:r>
      <w:r>
        <w:rPr>
          <w:spacing w:val="-4"/>
        </w:rPr>
        <w:t> </w:t>
      </w:r>
      <w:r>
        <w:rPr/>
        <w:t>más</w:t>
      </w:r>
      <w:r>
        <w:rPr>
          <w:spacing w:val="-2"/>
        </w:rPr>
        <w:t> </w:t>
      </w:r>
      <w:r>
        <w:rPr/>
        <w:t>sin educación secundaria completa según clasificación de pobreza por método combinado, 2024-2025</w:t>
      </w:r>
    </w:p>
    <w:p>
      <w:pPr>
        <w:pStyle w:val="BodyText"/>
        <w:spacing w:before="5"/>
        <w:rPr>
          <w:b/>
          <w:sz w:val="9"/>
        </w:rPr>
      </w:pPr>
      <w:r>
        <w:rPr>
          <w:b/>
          <w:sz w:val="9"/>
        </w:rPr>
        <w:drawing>
          <wp:anchor distT="0" distB="0" distL="0" distR="0" allowOverlap="1" layoutInCell="1" locked="0" behindDoc="1" simplePos="0" relativeHeight="487596032">
            <wp:simplePos x="0" y="0"/>
            <wp:positionH relativeFrom="page">
              <wp:posOffset>1292952</wp:posOffset>
            </wp:positionH>
            <wp:positionV relativeFrom="paragraph">
              <wp:posOffset>84474</wp:posOffset>
            </wp:positionV>
            <wp:extent cx="5564298" cy="2953512"/>
            <wp:effectExtent l="0" t="0" r="0" b="0"/>
            <wp:wrapTopAndBottom/>
            <wp:docPr id="77" name="Image 77"/>
            <wp:cNvGraphicFramePr>
              <a:graphicFrameLocks/>
            </wp:cNvGraphicFramePr>
            <a:graphic>
              <a:graphicData uri="http://schemas.openxmlformats.org/drawingml/2006/picture">
                <pic:pic>
                  <pic:nvPicPr>
                    <pic:cNvPr id="77" name="Image 77"/>
                    <pic:cNvPicPr/>
                  </pic:nvPicPr>
                  <pic:blipFill>
                    <a:blip r:embed="rId48" cstate="print"/>
                    <a:stretch>
                      <a:fillRect/>
                    </a:stretch>
                  </pic:blipFill>
                  <pic:spPr>
                    <a:xfrm>
                      <a:off x="0" y="0"/>
                      <a:ext cx="5564298" cy="2953512"/>
                    </a:xfrm>
                    <a:prstGeom prst="rect">
                      <a:avLst/>
                    </a:prstGeom>
                  </pic:spPr>
                </pic:pic>
              </a:graphicData>
            </a:graphic>
          </wp:anchor>
        </w:drawing>
      </w:r>
    </w:p>
    <w:p>
      <w:pPr>
        <w:spacing w:before="16"/>
        <w:ind w:left="1625" w:right="1611" w:firstLine="0"/>
        <w:jc w:val="both"/>
        <w:rPr>
          <w:sz w:val="18"/>
        </w:rPr>
      </w:pPr>
      <w:r>
        <w:rPr>
          <w:sz w:val="18"/>
        </w:rPr>
        <w:t>Fuente: Elaboración propia a partir de la Encuesta Nacional de Hogares (ENAHO) 2024 y 2025 del Instituto Nacional de Estadística y Censos (INEC); procesamiento IMAS, Planificación Institucional.</w:t>
      </w:r>
    </w:p>
    <w:p>
      <w:pPr>
        <w:spacing w:before="0"/>
        <w:ind w:left="1625" w:right="1612" w:firstLine="0"/>
        <w:jc w:val="both"/>
        <w:rPr>
          <w:i/>
          <w:sz w:val="18"/>
        </w:rPr>
      </w:pPr>
      <w:r>
        <w:rPr>
          <w:i/>
          <w:sz w:val="18"/>
        </w:rPr>
        <w:t>Nota:</w:t>
      </w:r>
      <w:r>
        <w:rPr>
          <w:i/>
          <w:spacing w:val="-2"/>
          <w:sz w:val="18"/>
        </w:rPr>
        <w:t> </w:t>
      </w:r>
      <w:r>
        <w:rPr>
          <w:i/>
          <w:sz w:val="18"/>
        </w:rPr>
        <w:t>La</w:t>
      </w:r>
      <w:r>
        <w:rPr>
          <w:i/>
          <w:spacing w:val="-2"/>
          <w:sz w:val="18"/>
        </w:rPr>
        <w:t> </w:t>
      </w:r>
      <w:r>
        <w:rPr>
          <w:i/>
          <w:sz w:val="18"/>
        </w:rPr>
        <w:t>serie</w:t>
      </w:r>
      <w:r>
        <w:rPr>
          <w:i/>
          <w:spacing w:val="-4"/>
          <w:sz w:val="18"/>
        </w:rPr>
        <w:t> </w:t>
      </w:r>
      <w:r>
        <w:rPr>
          <w:i/>
          <w:sz w:val="18"/>
        </w:rPr>
        <w:t>«Cambio»</w:t>
      </w:r>
      <w:r>
        <w:rPr>
          <w:i/>
          <w:spacing w:val="-4"/>
          <w:sz w:val="18"/>
        </w:rPr>
        <w:t> </w:t>
      </w:r>
      <w:r>
        <w:rPr>
          <w:i/>
          <w:sz w:val="18"/>
        </w:rPr>
        <w:t>del</w:t>
      </w:r>
      <w:r>
        <w:rPr>
          <w:i/>
          <w:spacing w:val="-4"/>
          <w:sz w:val="18"/>
        </w:rPr>
        <w:t> </w:t>
      </w:r>
      <w:r>
        <w:rPr>
          <w:i/>
          <w:sz w:val="18"/>
        </w:rPr>
        <w:t>gráfico</w:t>
      </w:r>
      <w:r>
        <w:rPr>
          <w:i/>
          <w:spacing w:val="-2"/>
          <w:sz w:val="18"/>
        </w:rPr>
        <w:t> </w:t>
      </w:r>
      <w:r>
        <w:rPr>
          <w:i/>
          <w:sz w:val="18"/>
        </w:rPr>
        <w:t>se</w:t>
      </w:r>
      <w:r>
        <w:rPr>
          <w:i/>
          <w:spacing w:val="-4"/>
          <w:sz w:val="18"/>
        </w:rPr>
        <w:t> </w:t>
      </w:r>
      <w:r>
        <w:rPr>
          <w:i/>
          <w:sz w:val="18"/>
        </w:rPr>
        <w:t>calcula</w:t>
      </w:r>
      <w:r>
        <w:rPr>
          <w:i/>
          <w:spacing w:val="-2"/>
          <w:sz w:val="18"/>
        </w:rPr>
        <w:t> </w:t>
      </w:r>
      <w:r>
        <w:rPr>
          <w:i/>
          <w:sz w:val="18"/>
        </w:rPr>
        <w:t>con</w:t>
      </w:r>
      <w:r>
        <w:rPr>
          <w:i/>
          <w:spacing w:val="-4"/>
          <w:sz w:val="18"/>
        </w:rPr>
        <w:t> </w:t>
      </w:r>
      <w:r>
        <w:rPr>
          <w:i/>
          <w:sz w:val="18"/>
        </w:rPr>
        <w:t>las</w:t>
      </w:r>
      <w:r>
        <w:rPr>
          <w:i/>
          <w:spacing w:val="-4"/>
          <w:sz w:val="18"/>
        </w:rPr>
        <w:t> </w:t>
      </w:r>
      <w:r>
        <w:rPr>
          <w:i/>
          <w:sz w:val="18"/>
        </w:rPr>
        <w:t>estimaciones</w:t>
      </w:r>
      <w:r>
        <w:rPr>
          <w:i/>
          <w:spacing w:val="-4"/>
          <w:sz w:val="18"/>
        </w:rPr>
        <w:t> </w:t>
      </w:r>
      <w:r>
        <w:rPr>
          <w:i/>
          <w:sz w:val="18"/>
        </w:rPr>
        <w:t>sin</w:t>
      </w:r>
      <w:r>
        <w:rPr>
          <w:i/>
          <w:spacing w:val="-2"/>
          <w:sz w:val="18"/>
        </w:rPr>
        <w:t> </w:t>
      </w:r>
      <w:r>
        <w:rPr>
          <w:i/>
          <w:sz w:val="18"/>
        </w:rPr>
        <w:t>redondear.</w:t>
      </w:r>
      <w:r>
        <w:rPr>
          <w:i/>
          <w:spacing w:val="-4"/>
          <w:sz w:val="18"/>
        </w:rPr>
        <w:t> </w:t>
      </w:r>
      <w:r>
        <w:rPr>
          <w:i/>
          <w:sz w:val="18"/>
        </w:rPr>
        <w:t>Por</w:t>
      </w:r>
      <w:r>
        <w:rPr>
          <w:i/>
          <w:spacing w:val="-4"/>
          <w:sz w:val="18"/>
        </w:rPr>
        <w:t> </w:t>
      </w:r>
      <w:r>
        <w:rPr>
          <w:i/>
          <w:sz w:val="18"/>
        </w:rPr>
        <w:t>ello,</w:t>
      </w:r>
      <w:r>
        <w:rPr>
          <w:i/>
          <w:spacing w:val="-2"/>
          <w:sz w:val="18"/>
        </w:rPr>
        <w:t> </w:t>
      </w:r>
      <w:r>
        <w:rPr>
          <w:i/>
          <w:sz w:val="18"/>
        </w:rPr>
        <w:t>puede</w:t>
      </w:r>
      <w:r>
        <w:rPr>
          <w:i/>
          <w:spacing w:val="-4"/>
          <w:sz w:val="18"/>
        </w:rPr>
        <w:t> </w:t>
      </w:r>
      <w:r>
        <w:rPr>
          <w:i/>
          <w:sz w:val="18"/>
        </w:rPr>
        <w:t>diferir</w:t>
      </w:r>
      <w:r>
        <w:rPr>
          <w:i/>
          <w:spacing w:val="-4"/>
          <w:sz w:val="18"/>
        </w:rPr>
        <w:t> </w:t>
      </w:r>
      <w:r>
        <w:rPr>
          <w:i/>
          <w:sz w:val="18"/>
        </w:rPr>
        <w:t>en</w:t>
      </w:r>
      <w:r>
        <w:rPr>
          <w:i/>
          <w:sz w:val="18"/>
        </w:rPr>
        <w:t> 0,01 puntos porcentuales de la resta entre los porcentajes mostrados con dos decimales.</w:t>
      </w:r>
    </w:p>
    <w:p>
      <w:pPr>
        <w:pStyle w:val="BodyText"/>
        <w:rPr>
          <w:i/>
          <w:sz w:val="18"/>
        </w:rPr>
      </w:pPr>
    </w:p>
    <w:p>
      <w:pPr>
        <w:pStyle w:val="BodyText"/>
        <w:ind w:left="1625" w:right="1602"/>
        <w:jc w:val="both"/>
      </w:pPr>
      <w:r>
        <w:rPr/>
        <w:t>El gráfico 16 muestra que el rezago educativo continúa fuertemente concentrado en los hogares en pobreza, particularmente cuando existe pobreza multidimensional. En 2025, 93,11%</w:t>
      </w:r>
      <w:r>
        <w:rPr>
          <w:spacing w:val="-8"/>
        </w:rPr>
        <w:t> </w:t>
      </w:r>
      <w:r>
        <w:rPr/>
        <w:t>de</w:t>
      </w:r>
      <w:r>
        <w:rPr>
          <w:spacing w:val="-12"/>
        </w:rPr>
        <w:t> </w:t>
      </w:r>
      <w:r>
        <w:rPr/>
        <w:t>las</w:t>
      </w:r>
      <w:r>
        <w:rPr>
          <w:spacing w:val="-11"/>
        </w:rPr>
        <w:t> </w:t>
      </w:r>
      <w:r>
        <w:rPr/>
        <w:t>jefaturas</w:t>
      </w:r>
      <w:r>
        <w:rPr>
          <w:spacing w:val="-11"/>
        </w:rPr>
        <w:t> </w:t>
      </w:r>
      <w:r>
        <w:rPr/>
        <w:t>pobres</w:t>
      </w:r>
      <w:r>
        <w:rPr>
          <w:spacing w:val="-9"/>
        </w:rPr>
        <w:t> </w:t>
      </w:r>
      <w:r>
        <w:rPr/>
        <w:t>por</w:t>
      </w:r>
      <w:r>
        <w:rPr>
          <w:spacing w:val="-8"/>
        </w:rPr>
        <w:t> </w:t>
      </w:r>
      <w:r>
        <w:rPr/>
        <w:t>LP</w:t>
      </w:r>
      <w:r>
        <w:rPr>
          <w:spacing w:val="-10"/>
        </w:rPr>
        <w:t> </w:t>
      </w:r>
      <w:r>
        <w:rPr/>
        <w:t>e</w:t>
      </w:r>
      <w:r>
        <w:rPr>
          <w:spacing w:val="-11"/>
        </w:rPr>
        <w:t> </w:t>
      </w:r>
      <w:r>
        <w:rPr/>
        <w:t>IPM</w:t>
      </w:r>
      <w:r>
        <w:rPr>
          <w:spacing w:val="-10"/>
        </w:rPr>
        <w:t> </w:t>
      </w:r>
      <w:r>
        <w:rPr/>
        <w:t>y</w:t>
      </w:r>
      <w:r>
        <w:rPr>
          <w:spacing w:val="-8"/>
        </w:rPr>
        <w:t> </w:t>
      </w:r>
      <w:r>
        <w:rPr/>
        <w:t>90,28%</w:t>
      </w:r>
      <w:r>
        <w:rPr>
          <w:spacing w:val="-8"/>
        </w:rPr>
        <w:t> </w:t>
      </w:r>
      <w:r>
        <w:rPr/>
        <w:t>de</w:t>
      </w:r>
      <w:r>
        <w:rPr>
          <w:spacing w:val="-9"/>
        </w:rPr>
        <w:t> </w:t>
      </w:r>
      <w:r>
        <w:rPr/>
        <w:t>las</w:t>
      </w:r>
      <w:r>
        <w:rPr>
          <w:spacing w:val="-9"/>
        </w:rPr>
        <w:t> </w:t>
      </w:r>
      <w:r>
        <w:rPr/>
        <w:t>pobres</w:t>
      </w:r>
      <w:r>
        <w:rPr>
          <w:spacing w:val="-11"/>
        </w:rPr>
        <w:t> </w:t>
      </w:r>
      <w:r>
        <w:rPr/>
        <w:t>solo</w:t>
      </w:r>
      <w:r>
        <w:rPr>
          <w:spacing w:val="-9"/>
        </w:rPr>
        <w:t> </w:t>
      </w:r>
      <w:r>
        <w:rPr/>
        <w:t>por</w:t>
      </w:r>
      <w:r>
        <w:rPr>
          <w:spacing w:val="-8"/>
        </w:rPr>
        <w:t> </w:t>
      </w:r>
      <w:r>
        <w:rPr/>
        <w:t>IPM</w:t>
      </w:r>
      <w:r>
        <w:rPr>
          <w:spacing w:val="-8"/>
        </w:rPr>
        <w:t> </w:t>
      </w:r>
      <w:r>
        <w:rPr/>
        <w:t>no</w:t>
      </w:r>
      <w:r>
        <w:rPr>
          <w:spacing w:val="-12"/>
        </w:rPr>
        <w:t> </w:t>
      </w:r>
      <w:r>
        <w:rPr/>
        <w:t>han completado la secundaria. En contraste, el indicador es 52,00% entre las jefaturas no pobres.</w:t>
      </w:r>
      <w:r>
        <w:rPr>
          <w:spacing w:val="-7"/>
        </w:rPr>
        <w:t> </w:t>
      </w:r>
      <w:r>
        <w:rPr/>
        <w:t>La</w:t>
      </w:r>
      <w:r>
        <w:rPr>
          <w:spacing w:val="-7"/>
        </w:rPr>
        <w:t> </w:t>
      </w:r>
      <w:r>
        <w:rPr/>
        <w:t>comparación</w:t>
      </w:r>
      <w:r>
        <w:rPr>
          <w:spacing w:val="-9"/>
        </w:rPr>
        <w:t> </w:t>
      </w:r>
      <w:r>
        <w:rPr/>
        <w:t>2024–2025</w:t>
      </w:r>
      <w:r>
        <w:rPr>
          <w:spacing w:val="-7"/>
        </w:rPr>
        <w:t> </w:t>
      </w:r>
      <w:r>
        <w:rPr/>
        <w:t>muestra</w:t>
      </w:r>
      <w:r>
        <w:rPr>
          <w:spacing w:val="-9"/>
        </w:rPr>
        <w:t> </w:t>
      </w:r>
      <w:r>
        <w:rPr/>
        <w:t>mejoras</w:t>
      </w:r>
      <w:r>
        <w:rPr>
          <w:spacing w:val="-6"/>
        </w:rPr>
        <w:t> </w:t>
      </w:r>
      <w:r>
        <w:rPr/>
        <w:t>en</w:t>
      </w:r>
      <w:r>
        <w:rPr>
          <w:spacing w:val="-7"/>
        </w:rPr>
        <w:t> </w:t>
      </w:r>
      <w:r>
        <w:rPr/>
        <w:t>la</w:t>
      </w:r>
      <w:r>
        <w:rPr>
          <w:spacing w:val="-9"/>
        </w:rPr>
        <w:t> </w:t>
      </w:r>
      <w:r>
        <w:rPr/>
        <w:t>mayoría</w:t>
      </w:r>
      <w:r>
        <w:rPr>
          <w:spacing w:val="-9"/>
        </w:rPr>
        <w:t> </w:t>
      </w:r>
      <w:r>
        <w:rPr/>
        <w:t>de</w:t>
      </w:r>
      <w:r>
        <w:rPr>
          <w:spacing w:val="-7"/>
        </w:rPr>
        <w:t> </w:t>
      </w:r>
      <w:r>
        <w:rPr/>
        <w:t>los</w:t>
      </w:r>
      <w:r>
        <w:rPr>
          <w:spacing w:val="-9"/>
        </w:rPr>
        <w:t> </w:t>
      </w:r>
      <w:r>
        <w:rPr/>
        <w:t>grupos</w:t>
      </w:r>
      <w:r>
        <w:rPr>
          <w:spacing w:val="-9"/>
        </w:rPr>
        <w:t> </w:t>
      </w:r>
      <w:r>
        <w:rPr/>
        <w:t>y</w:t>
      </w:r>
      <w:r>
        <w:rPr>
          <w:spacing w:val="-6"/>
        </w:rPr>
        <w:t> </w:t>
      </w:r>
      <w:r>
        <w:rPr/>
        <w:t>en</w:t>
      </w:r>
      <w:r>
        <w:rPr>
          <w:spacing w:val="-7"/>
        </w:rPr>
        <w:t> </w:t>
      </w:r>
      <w:r>
        <w:rPr/>
        <w:t>el total</w:t>
      </w:r>
      <w:r>
        <w:rPr>
          <w:spacing w:val="-15"/>
        </w:rPr>
        <w:t> </w:t>
      </w:r>
      <w:r>
        <w:rPr/>
        <w:t>nacional,</w:t>
      </w:r>
      <w:r>
        <w:rPr>
          <w:spacing w:val="-13"/>
        </w:rPr>
        <w:t> </w:t>
      </w:r>
      <w:r>
        <w:rPr/>
        <w:t>pero</w:t>
      </w:r>
      <w:r>
        <w:rPr>
          <w:spacing w:val="-15"/>
        </w:rPr>
        <w:t> </w:t>
      </w:r>
      <w:r>
        <w:rPr/>
        <w:t>un</w:t>
      </w:r>
      <w:r>
        <w:rPr>
          <w:spacing w:val="-15"/>
        </w:rPr>
        <w:t> </w:t>
      </w:r>
      <w:r>
        <w:rPr/>
        <w:t>aumento</w:t>
      </w:r>
      <w:r>
        <w:rPr>
          <w:spacing w:val="-15"/>
        </w:rPr>
        <w:t> </w:t>
      </w:r>
      <w:r>
        <w:rPr/>
        <w:t>de</w:t>
      </w:r>
      <w:r>
        <w:rPr>
          <w:spacing w:val="-15"/>
        </w:rPr>
        <w:t> </w:t>
      </w:r>
      <w:r>
        <w:rPr/>
        <w:t>91,87%</w:t>
      </w:r>
      <w:r>
        <w:rPr>
          <w:spacing w:val="-14"/>
        </w:rPr>
        <w:t> </w:t>
      </w:r>
      <w:r>
        <w:rPr/>
        <w:t>a</w:t>
      </w:r>
      <w:r>
        <w:rPr>
          <w:spacing w:val="-15"/>
        </w:rPr>
        <w:t> </w:t>
      </w:r>
      <w:r>
        <w:rPr/>
        <w:t>93,11%</w:t>
      </w:r>
      <w:r>
        <w:rPr>
          <w:spacing w:val="-14"/>
        </w:rPr>
        <w:t> </w:t>
      </w:r>
      <w:r>
        <w:rPr/>
        <w:t>en</w:t>
      </w:r>
      <w:r>
        <w:rPr>
          <w:spacing w:val="-15"/>
        </w:rPr>
        <w:t> </w:t>
      </w:r>
      <w:r>
        <w:rPr/>
        <w:t>el</w:t>
      </w:r>
      <w:r>
        <w:rPr>
          <w:spacing w:val="-15"/>
        </w:rPr>
        <w:t> </w:t>
      </w:r>
      <w:r>
        <w:rPr/>
        <w:t>grupo</w:t>
      </w:r>
      <w:r>
        <w:rPr>
          <w:spacing w:val="-15"/>
        </w:rPr>
        <w:t> </w:t>
      </w:r>
      <w:r>
        <w:rPr/>
        <w:t>con</w:t>
      </w:r>
      <w:r>
        <w:rPr>
          <w:spacing w:val="-15"/>
        </w:rPr>
        <w:t> </w:t>
      </w:r>
      <w:r>
        <w:rPr/>
        <w:t>pobreza</w:t>
      </w:r>
      <w:r>
        <w:rPr>
          <w:spacing w:val="-15"/>
        </w:rPr>
        <w:t> </w:t>
      </w:r>
      <w:r>
        <w:rPr/>
        <w:t>simultánea, lo que señala una persistencia crítica del rezago educativo en el núcleo de mayor </w:t>
      </w:r>
      <w:r>
        <w:rPr>
          <w:spacing w:val="-2"/>
        </w:rPr>
        <w:t>vulnerabilidad.</w:t>
      </w:r>
    </w:p>
    <w:p>
      <w:pPr>
        <w:pStyle w:val="BodyText"/>
        <w:spacing w:before="1"/>
      </w:pPr>
    </w:p>
    <w:p>
      <w:pPr>
        <w:pStyle w:val="BodyText"/>
        <w:ind w:left="1625" w:right="1600"/>
        <w:jc w:val="both"/>
      </w:pPr>
      <w:r>
        <w:rPr/>
        <w:t>Entre quienes son pobres por IPM, pero no por ingresos, el porcentaje disminuye de 91,29%</w:t>
      </w:r>
      <w:r>
        <w:rPr>
          <w:spacing w:val="-6"/>
        </w:rPr>
        <w:t> </w:t>
      </w:r>
      <w:r>
        <w:rPr/>
        <w:t>a</w:t>
      </w:r>
      <w:r>
        <w:rPr>
          <w:spacing w:val="-6"/>
        </w:rPr>
        <w:t> </w:t>
      </w:r>
      <w:r>
        <w:rPr/>
        <w:t>90,28%,</w:t>
      </w:r>
      <w:r>
        <w:rPr>
          <w:spacing w:val="-5"/>
        </w:rPr>
        <w:t> </w:t>
      </w:r>
      <w:r>
        <w:rPr/>
        <w:t>una</w:t>
      </w:r>
      <w:r>
        <w:rPr>
          <w:spacing w:val="-6"/>
        </w:rPr>
        <w:t> </w:t>
      </w:r>
      <w:r>
        <w:rPr/>
        <w:t>reducción</w:t>
      </w:r>
      <w:r>
        <w:rPr>
          <w:spacing w:val="-5"/>
        </w:rPr>
        <w:t> </w:t>
      </w:r>
      <w:r>
        <w:rPr/>
        <w:t>de</w:t>
      </w:r>
      <w:r>
        <w:rPr>
          <w:spacing w:val="-5"/>
        </w:rPr>
        <w:t> </w:t>
      </w:r>
      <w:r>
        <w:rPr/>
        <w:t>1,01</w:t>
      </w:r>
      <w:r>
        <w:rPr>
          <w:spacing w:val="-7"/>
        </w:rPr>
        <w:t> </w:t>
      </w:r>
      <w:r>
        <w:rPr/>
        <w:t>puntos</w:t>
      </w:r>
      <w:r>
        <w:rPr>
          <w:spacing w:val="-6"/>
        </w:rPr>
        <w:t> </w:t>
      </w:r>
      <w:r>
        <w:rPr/>
        <w:t>porcentuales.</w:t>
      </w:r>
      <w:r>
        <w:rPr>
          <w:spacing w:val="-4"/>
        </w:rPr>
        <w:t> </w:t>
      </w:r>
      <w:r>
        <w:rPr/>
        <w:t>El</w:t>
      </w:r>
      <w:r>
        <w:rPr>
          <w:spacing w:val="-7"/>
        </w:rPr>
        <w:t> </w:t>
      </w:r>
      <w:r>
        <w:rPr/>
        <w:t>nivel</w:t>
      </w:r>
      <w:r>
        <w:rPr>
          <w:spacing w:val="-5"/>
        </w:rPr>
        <w:t> </w:t>
      </w:r>
      <w:r>
        <w:rPr/>
        <w:t>sigue</w:t>
      </w:r>
      <w:r>
        <w:rPr>
          <w:spacing w:val="-5"/>
        </w:rPr>
        <w:t> </w:t>
      </w:r>
      <w:r>
        <w:rPr/>
        <w:t>siendo</w:t>
      </w:r>
      <w:r>
        <w:rPr>
          <w:spacing w:val="-7"/>
        </w:rPr>
        <w:t> </w:t>
      </w:r>
      <w:r>
        <w:rPr/>
        <w:t>muy elevado y evidencia que el rezago educativo se encuentra estrechamente asociado con la acumulación de privaciones multidimensionales.</w:t>
      </w:r>
    </w:p>
    <w:p>
      <w:pPr>
        <w:pStyle w:val="BodyText"/>
        <w:ind w:left="1625" w:right="1606"/>
        <w:jc w:val="both"/>
      </w:pPr>
      <w:r>
        <w:rPr/>
        <w:t>En el grupo pobre simultáneamente por LP e IPM, el indicador aumenta de 91,87% en 2024 a 93,11% en 2025. La serie de cambio del gráfico, calculada con las estimaciones sin redondear, registra un incremento de 1,23 puntos porcentuales.</w:t>
      </w:r>
    </w:p>
    <w:p>
      <w:pPr>
        <w:pStyle w:val="BodyText"/>
      </w:pPr>
    </w:p>
    <w:p>
      <w:pPr>
        <w:pStyle w:val="BodyText"/>
        <w:ind w:left="1625" w:right="1603"/>
        <w:jc w:val="both"/>
      </w:pPr>
      <w:r>
        <w:rPr/>
        <w:t>Este</w:t>
      </w:r>
      <w:r>
        <w:rPr>
          <w:spacing w:val="-10"/>
        </w:rPr>
        <w:t> </w:t>
      </w:r>
      <w:r>
        <w:rPr/>
        <w:t>comportamiento</w:t>
      </w:r>
      <w:r>
        <w:rPr>
          <w:spacing w:val="-10"/>
        </w:rPr>
        <w:t> </w:t>
      </w:r>
      <w:r>
        <w:rPr/>
        <w:t>requiere</w:t>
      </w:r>
      <w:r>
        <w:rPr>
          <w:spacing w:val="-9"/>
        </w:rPr>
        <w:t> </w:t>
      </w:r>
      <w:r>
        <w:rPr/>
        <w:t>especial</w:t>
      </w:r>
      <w:r>
        <w:rPr>
          <w:spacing w:val="-11"/>
        </w:rPr>
        <w:t> </w:t>
      </w:r>
      <w:r>
        <w:rPr/>
        <w:t>atención,</w:t>
      </w:r>
      <w:r>
        <w:rPr>
          <w:spacing w:val="-13"/>
        </w:rPr>
        <w:t> </w:t>
      </w:r>
      <w:r>
        <w:rPr/>
        <w:t>pues</w:t>
      </w:r>
      <w:r>
        <w:rPr>
          <w:spacing w:val="-10"/>
        </w:rPr>
        <w:t> </w:t>
      </w:r>
      <w:r>
        <w:rPr/>
        <w:t>muestra</w:t>
      </w:r>
      <w:r>
        <w:rPr>
          <w:spacing w:val="-12"/>
        </w:rPr>
        <w:t> </w:t>
      </w:r>
      <w:r>
        <w:rPr/>
        <w:t>que</w:t>
      </w:r>
      <w:r>
        <w:rPr>
          <w:spacing w:val="-10"/>
        </w:rPr>
        <w:t> </w:t>
      </w:r>
      <w:r>
        <w:rPr/>
        <w:t>el</w:t>
      </w:r>
      <w:r>
        <w:rPr>
          <w:spacing w:val="-11"/>
        </w:rPr>
        <w:t> </w:t>
      </w:r>
      <w:r>
        <w:rPr/>
        <w:t>grupo</w:t>
      </w:r>
      <w:r>
        <w:rPr>
          <w:spacing w:val="-10"/>
        </w:rPr>
        <w:t> </w:t>
      </w:r>
      <w:r>
        <w:rPr/>
        <w:t>con</w:t>
      </w:r>
      <w:r>
        <w:rPr>
          <w:spacing w:val="-10"/>
        </w:rPr>
        <w:t> </w:t>
      </w:r>
      <w:r>
        <w:rPr/>
        <w:t>pobreza simultánea mantiene una concentración muy alta de rezago educativo.</w:t>
      </w:r>
    </w:p>
    <w:p>
      <w:pPr>
        <w:pStyle w:val="BodyText"/>
        <w:spacing w:before="253"/>
        <w:ind w:left="1625" w:right="1605"/>
        <w:jc w:val="both"/>
      </w:pPr>
      <w:r>
        <w:rPr/>
        <w:t>Por</w:t>
      </w:r>
      <w:r>
        <w:rPr>
          <w:spacing w:val="-11"/>
        </w:rPr>
        <w:t> </w:t>
      </w:r>
      <w:r>
        <w:rPr/>
        <w:t>otro</w:t>
      </w:r>
      <w:r>
        <w:rPr>
          <w:spacing w:val="-15"/>
        </w:rPr>
        <w:t> </w:t>
      </w:r>
      <w:r>
        <w:rPr/>
        <w:t>lado,</w:t>
      </w:r>
      <w:r>
        <w:rPr>
          <w:spacing w:val="-14"/>
        </w:rPr>
        <w:t> </w:t>
      </w:r>
      <w:r>
        <w:rPr/>
        <w:t>entre</w:t>
      </w:r>
      <w:r>
        <w:rPr>
          <w:spacing w:val="-15"/>
        </w:rPr>
        <w:t> </w:t>
      </w:r>
      <w:r>
        <w:rPr/>
        <w:t>las</w:t>
      </w:r>
      <w:r>
        <w:rPr>
          <w:spacing w:val="-15"/>
        </w:rPr>
        <w:t> </w:t>
      </w:r>
      <w:r>
        <w:rPr/>
        <w:t>jefaturas</w:t>
      </w:r>
      <w:r>
        <w:rPr>
          <w:spacing w:val="-15"/>
        </w:rPr>
        <w:t> </w:t>
      </w:r>
      <w:r>
        <w:rPr/>
        <w:t>pobres</w:t>
      </w:r>
      <w:r>
        <w:rPr>
          <w:spacing w:val="-14"/>
        </w:rPr>
        <w:t> </w:t>
      </w:r>
      <w:r>
        <w:rPr/>
        <w:t>solo</w:t>
      </w:r>
      <w:r>
        <w:rPr>
          <w:spacing w:val="-15"/>
        </w:rPr>
        <w:t> </w:t>
      </w:r>
      <w:r>
        <w:rPr/>
        <w:t>por</w:t>
      </w:r>
      <w:r>
        <w:rPr>
          <w:spacing w:val="-13"/>
        </w:rPr>
        <w:t> </w:t>
      </w:r>
      <w:r>
        <w:rPr/>
        <w:t>LP</w:t>
      </w:r>
      <w:r>
        <w:rPr>
          <w:spacing w:val="-13"/>
        </w:rPr>
        <w:t> </w:t>
      </w:r>
      <w:r>
        <w:rPr/>
        <w:t>el</w:t>
      </w:r>
      <w:r>
        <w:rPr>
          <w:spacing w:val="-13"/>
        </w:rPr>
        <w:t> </w:t>
      </w:r>
      <w:r>
        <w:rPr/>
        <w:t>porcentaje</w:t>
      </w:r>
      <w:r>
        <w:rPr>
          <w:spacing w:val="-15"/>
        </w:rPr>
        <w:t> </w:t>
      </w:r>
      <w:r>
        <w:rPr/>
        <w:t>sin</w:t>
      </w:r>
      <w:r>
        <w:rPr>
          <w:spacing w:val="-15"/>
        </w:rPr>
        <w:t> </w:t>
      </w:r>
      <w:r>
        <w:rPr/>
        <w:t>secundaria</w:t>
      </w:r>
      <w:r>
        <w:rPr>
          <w:spacing w:val="-12"/>
        </w:rPr>
        <w:t> </w:t>
      </w:r>
      <w:r>
        <w:rPr/>
        <w:t>completa disminuye de 82,05% a 80,87%. La serie de cambio calculada con estimaciones sin redondear registra una reducción de 1,19 puntos porcentuales.</w:t>
      </w:r>
    </w:p>
    <w:p>
      <w:pPr>
        <w:pStyle w:val="BodyText"/>
        <w:spacing w:after="0"/>
        <w:jc w:val="both"/>
        <w:sectPr>
          <w:pgSz w:w="12240" w:h="15840"/>
          <w:pgMar w:header="0" w:footer="1576" w:top="1000" w:bottom="1760" w:left="360" w:right="0"/>
        </w:sectPr>
      </w:pPr>
    </w:p>
    <w:p>
      <w:pPr>
        <w:pStyle w:val="BodyText"/>
        <w:spacing w:before="77"/>
        <w:ind w:left="1625" w:right="1607"/>
        <w:jc w:val="both"/>
      </w:pPr>
      <w:r>
        <w:rPr/>
        <w:t>La</w:t>
      </w:r>
      <w:r>
        <w:rPr>
          <w:spacing w:val="-7"/>
        </w:rPr>
        <w:t> </w:t>
      </w:r>
      <w:r>
        <w:rPr/>
        <w:t>mejora</w:t>
      </w:r>
      <w:r>
        <w:rPr>
          <w:spacing w:val="-6"/>
        </w:rPr>
        <w:t> </w:t>
      </w:r>
      <w:r>
        <w:rPr/>
        <w:t>es</w:t>
      </w:r>
      <w:r>
        <w:rPr>
          <w:spacing w:val="-6"/>
        </w:rPr>
        <w:t> </w:t>
      </w:r>
      <w:r>
        <w:rPr/>
        <w:t>positiva,</w:t>
      </w:r>
      <w:r>
        <w:rPr>
          <w:spacing w:val="-5"/>
        </w:rPr>
        <w:t> </w:t>
      </w:r>
      <w:r>
        <w:rPr/>
        <w:t>aunque</w:t>
      </w:r>
      <w:r>
        <w:rPr>
          <w:spacing w:val="-4"/>
        </w:rPr>
        <w:t> </w:t>
      </w:r>
      <w:r>
        <w:rPr/>
        <w:t>cuatro</w:t>
      </w:r>
      <w:r>
        <w:rPr>
          <w:spacing w:val="-6"/>
        </w:rPr>
        <w:t> </w:t>
      </w:r>
      <w:r>
        <w:rPr/>
        <w:t>de</w:t>
      </w:r>
      <w:r>
        <w:rPr>
          <w:spacing w:val="-7"/>
        </w:rPr>
        <w:t> </w:t>
      </w:r>
      <w:r>
        <w:rPr/>
        <w:t>cada</w:t>
      </w:r>
      <w:r>
        <w:rPr>
          <w:spacing w:val="-9"/>
        </w:rPr>
        <w:t> </w:t>
      </w:r>
      <w:r>
        <w:rPr/>
        <w:t>cinco</w:t>
      </w:r>
      <w:r>
        <w:rPr>
          <w:spacing w:val="-7"/>
        </w:rPr>
        <w:t> </w:t>
      </w:r>
      <w:r>
        <w:rPr/>
        <w:t>jefaturas</w:t>
      </w:r>
      <w:r>
        <w:rPr>
          <w:spacing w:val="-6"/>
        </w:rPr>
        <w:t> </w:t>
      </w:r>
      <w:r>
        <w:rPr/>
        <w:t>de</w:t>
      </w:r>
      <w:r>
        <w:rPr>
          <w:spacing w:val="-7"/>
        </w:rPr>
        <w:t> </w:t>
      </w:r>
      <w:r>
        <w:rPr/>
        <w:t>este</w:t>
      </w:r>
      <w:r>
        <w:rPr>
          <w:spacing w:val="-6"/>
        </w:rPr>
        <w:t> </w:t>
      </w:r>
      <w:r>
        <w:rPr/>
        <w:t>grupo</w:t>
      </w:r>
      <w:r>
        <w:rPr>
          <w:spacing w:val="-6"/>
        </w:rPr>
        <w:t> </w:t>
      </w:r>
      <w:r>
        <w:rPr/>
        <w:t>continúan</w:t>
      </w:r>
      <w:r>
        <w:rPr>
          <w:spacing w:val="-7"/>
        </w:rPr>
        <w:t> </w:t>
      </w:r>
      <w:r>
        <w:rPr/>
        <w:t>sin secundaria completa.</w:t>
      </w:r>
    </w:p>
    <w:p>
      <w:pPr>
        <w:pStyle w:val="BodyText"/>
      </w:pPr>
    </w:p>
    <w:p>
      <w:pPr>
        <w:pStyle w:val="BodyText"/>
        <w:ind w:left="1625" w:right="1602"/>
        <w:jc w:val="both"/>
      </w:pPr>
      <w:r>
        <w:rPr/>
        <w:t>En</w:t>
      </w:r>
      <w:r>
        <w:rPr>
          <w:spacing w:val="-4"/>
        </w:rPr>
        <w:t> </w:t>
      </w:r>
      <w:r>
        <w:rPr/>
        <w:t>el</w:t>
      </w:r>
      <w:r>
        <w:rPr>
          <w:spacing w:val="-5"/>
        </w:rPr>
        <w:t> </w:t>
      </w:r>
      <w:r>
        <w:rPr/>
        <w:t>total</w:t>
      </w:r>
      <w:r>
        <w:rPr>
          <w:spacing w:val="-4"/>
        </w:rPr>
        <w:t> </w:t>
      </w:r>
      <w:r>
        <w:rPr/>
        <w:t>de</w:t>
      </w:r>
      <w:r>
        <w:rPr>
          <w:spacing w:val="-7"/>
        </w:rPr>
        <w:t> </w:t>
      </w:r>
      <w:r>
        <w:rPr/>
        <w:t>jefaturas,</w:t>
      </w:r>
      <w:r>
        <w:rPr>
          <w:spacing w:val="-3"/>
        </w:rPr>
        <w:t> </w:t>
      </w:r>
      <w:r>
        <w:rPr/>
        <w:t>el</w:t>
      </w:r>
      <w:r>
        <w:rPr>
          <w:spacing w:val="-5"/>
        </w:rPr>
        <w:t> </w:t>
      </w:r>
      <w:r>
        <w:rPr/>
        <w:t>indicador</w:t>
      </w:r>
      <w:r>
        <w:rPr>
          <w:spacing w:val="-3"/>
        </w:rPr>
        <w:t> </w:t>
      </w:r>
      <w:r>
        <w:rPr/>
        <w:t>disminuye</w:t>
      </w:r>
      <w:r>
        <w:rPr>
          <w:spacing w:val="-4"/>
        </w:rPr>
        <w:t> </w:t>
      </w:r>
      <w:r>
        <w:rPr/>
        <w:t>de</w:t>
      </w:r>
      <w:r>
        <w:rPr>
          <w:spacing w:val="-7"/>
        </w:rPr>
        <w:t> </w:t>
      </w:r>
      <w:r>
        <w:rPr/>
        <w:t>60,60%</w:t>
      </w:r>
      <w:r>
        <w:rPr>
          <w:spacing w:val="-3"/>
        </w:rPr>
        <w:t> </w:t>
      </w:r>
      <w:r>
        <w:rPr/>
        <w:t>en</w:t>
      </w:r>
      <w:r>
        <w:rPr>
          <w:spacing w:val="-4"/>
        </w:rPr>
        <w:t> </w:t>
      </w:r>
      <w:r>
        <w:rPr/>
        <w:t>2024</w:t>
      </w:r>
      <w:r>
        <w:rPr>
          <w:spacing w:val="-4"/>
        </w:rPr>
        <w:t> </w:t>
      </w:r>
      <w:r>
        <w:rPr/>
        <w:t>a</w:t>
      </w:r>
      <w:r>
        <w:rPr>
          <w:spacing w:val="-4"/>
        </w:rPr>
        <w:t> </w:t>
      </w:r>
      <w:r>
        <w:rPr/>
        <w:t>59,10%</w:t>
      </w:r>
      <w:r>
        <w:rPr>
          <w:spacing w:val="-3"/>
        </w:rPr>
        <w:t> </w:t>
      </w:r>
      <w:r>
        <w:rPr/>
        <w:t>en</w:t>
      </w:r>
      <w:r>
        <w:rPr>
          <w:spacing w:val="-4"/>
        </w:rPr>
        <w:t> </w:t>
      </w:r>
      <w:r>
        <w:rPr/>
        <w:t>2025.</w:t>
      </w:r>
      <w:r>
        <w:rPr>
          <w:spacing w:val="-5"/>
        </w:rPr>
        <w:t> </w:t>
      </w:r>
      <w:r>
        <w:rPr/>
        <w:t>La serie</w:t>
      </w:r>
      <w:r>
        <w:rPr>
          <w:spacing w:val="-10"/>
        </w:rPr>
        <w:t> </w:t>
      </w:r>
      <w:r>
        <w:rPr/>
        <w:t>de</w:t>
      </w:r>
      <w:r>
        <w:rPr>
          <w:spacing w:val="-13"/>
        </w:rPr>
        <w:t> </w:t>
      </w:r>
      <w:r>
        <w:rPr/>
        <w:t>cambio</w:t>
      </w:r>
      <w:r>
        <w:rPr>
          <w:spacing w:val="-12"/>
        </w:rPr>
        <w:t> </w:t>
      </w:r>
      <w:r>
        <w:rPr/>
        <w:t>calculada</w:t>
      </w:r>
      <w:r>
        <w:rPr>
          <w:spacing w:val="-10"/>
        </w:rPr>
        <w:t> </w:t>
      </w:r>
      <w:r>
        <w:rPr/>
        <w:t>con</w:t>
      </w:r>
      <w:r>
        <w:rPr>
          <w:spacing w:val="-13"/>
        </w:rPr>
        <w:t> </w:t>
      </w:r>
      <w:r>
        <w:rPr/>
        <w:t>estimaciones</w:t>
      </w:r>
      <w:r>
        <w:rPr>
          <w:spacing w:val="-12"/>
        </w:rPr>
        <w:t> </w:t>
      </w:r>
      <w:r>
        <w:rPr/>
        <w:t>sin</w:t>
      </w:r>
      <w:r>
        <w:rPr>
          <w:spacing w:val="-12"/>
        </w:rPr>
        <w:t> </w:t>
      </w:r>
      <w:r>
        <w:rPr/>
        <w:t>redondear</w:t>
      </w:r>
      <w:r>
        <w:rPr>
          <w:spacing w:val="-11"/>
        </w:rPr>
        <w:t> </w:t>
      </w:r>
      <w:r>
        <w:rPr/>
        <w:t>registra</w:t>
      </w:r>
      <w:r>
        <w:rPr>
          <w:spacing w:val="-12"/>
        </w:rPr>
        <w:t> </w:t>
      </w:r>
      <w:r>
        <w:rPr/>
        <w:t>una</w:t>
      </w:r>
      <w:r>
        <w:rPr>
          <w:spacing w:val="-12"/>
        </w:rPr>
        <w:t> </w:t>
      </w:r>
      <w:r>
        <w:rPr/>
        <w:t>reducción</w:t>
      </w:r>
      <w:r>
        <w:rPr>
          <w:spacing w:val="-10"/>
        </w:rPr>
        <w:t> </w:t>
      </w:r>
      <w:r>
        <w:rPr/>
        <w:t>de</w:t>
      </w:r>
      <w:r>
        <w:rPr>
          <w:spacing w:val="-13"/>
        </w:rPr>
        <w:t> </w:t>
      </w:r>
      <w:r>
        <w:rPr/>
        <w:t>1,49 puntos porcentuales. El resultado confirma una tendencia favorable, pero también evidencia que la baja escolaridad de las personas jefas de hogar sigue siendo un reto estructural para la empleabilidad y la movilidad social.</w:t>
      </w:r>
    </w:p>
    <w:p>
      <w:pPr>
        <w:pStyle w:val="BodyText"/>
        <w:spacing w:before="252"/>
        <w:ind w:left="1625" w:right="1603"/>
        <w:jc w:val="both"/>
      </w:pPr>
      <w:r>
        <w:rPr/>
        <w:t>En conclusión, el</w:t>
      </w:r>
      <w:r>
        <w:rPr>
          <w:spacing w:val="-1"/>
        </w:rPr>
        <w:t> </w:t>
      </w:r>
      <w:r>
        <w:rPr/>
        <w:t>gráfico 16</w:t>
      </w:r>
      <w:r>
        <w:rPr>
          <w:spacing w:val="-2"/>
        </w:rPr>
        <w:t> </w:t>
      </w:r>
      <w:r>
        <w:rPr/>
        <w:t>muestra una mejora educativa agregada entre 2024 y 2025, con diferencias relevantes según condición de pobreza. La persistencia de porcentajes superiores al 90,00% entre algunos grupos afectados por IPM refuerza la necesidad de fortalecer la educación de personas adultas, la formación técnica, la certificación de competencias y las rutas de empleabilidad.</w:t>
      </w:r>
    </w:p>
    <w:p>
      <w:pPr>
        <w:pStyle w:val="BodyText"/>
        <w:spacing w:before="1"/>
      </w:pPr>
    </w:p>
    <w:p>
      <w:pPr>
        <w:pStyle w:val="BodyText"/>
        <w:ind w:left="1625" w:right="1605"/>
        <w:jc w:val="both"/>
      </w:pPr>
      <w:r>
        <w:rPr/>
        <w:t>El</w:t>
      </w:r>
      <w:r>
        <w:rPr>
          <w:spacing w:val="-1"/>
        </w:rPr>
        <w:t> </w:t>
      </w:r>
      <w:r>
        <w:rPr/>
        <w:t>acceso</w:t>
      </w:r>
      <w:r>
        <w:rPr>
          <w:spacing w:val="-3"/>
        </w:rPr>
        <w:t> </w:t>
      </w:r>
      <w:r>
        <w:rPr/>
        <w:t>a</w:t>
      </w:r>
      <w:r>
        <w:rPr>
          <w:spacing w:val="-3"/>
        </w:rPr>
        <w:t> </w:t>
      </w:r>
      <w:r>
        <w:rPr/>
        <w:t>Internet</w:t>
      </w:r>
      <w:r>
        <w:rPr>
          <w:spacing w:val="-1"/>
        </w:rPr>
        <w:t> </w:t>
      </w:r>
      <w:r>
        <w:rPr/>
        <w:t>es</w:t>
      </w:r>
      <w:r>
        <w:rPr>
          <w:spacing w:val="-3"/>
        </w:rPr>
        <w:t> </w:t>
      </w:r>
      <w:r>
        <w:rPr/>
        <w:t>un factor central</w:t>
      </w:r>
      <w:r>
        <w:rPr>
          <w:spacing w:val="-4"/>
        </w:rPr>
        <w:t> </w:t>
      </w:r>
      <w:r>
        <w:rPr/>
        <w:t>de</w:t>
      </w:r>
      <w:r>
        <w:rPr>
          <w:spacing w:val="-3"/>
        </w:rPr>
        <w:t> </w:t>
      </w:r>
      <w:r>
        <w:rPr/>
        <w:t>inclusión</w:t>
      </w:r>
      <w:r>
        <w:rPr>
          <w:spacing w:val="-1"/>
        </w:rPr>
        <w:t> </w:t>
      </w:r>
      <w:r>
        <w:rPr/>
        <w:t>social,</w:t>
      </w:r>
      <w:r>
        <w:rPr>
          <w:spacing w:val="-1"/>
        </w:rPr>
        <w:t> </w:t>
      </w:r>
      <w:r>
        <w:rPr/>
        <w:t>educación,</w:t>
      </w:r>
      <w:r>
        <w:rPr>
          <w:spacing w:val="-1"/>
        </w:rPr>
        <w:t> </w:t>
      </w:r>
      <w:r>
        <w:rPr/>
        <w:t>empleo</w:t>
      </w:r>
      <w:r>
        <w:rPr>
          <w:spacing w:val="-1"/>
        </w:rPr>
        <w:t> </w:t>
      </w:r>
      <w:r>
        <w:rPr/>
        <w:t>y acceso a servicios. La ENAHO 2025 muestra una expansión de la conectividad, aunque las brechas por condición de pobreza persisten y son más profundas entre los hogares que acumulan privaciones monetarias y multidimensionales.</w:t>
      </w:r>
    </w:p>
    <w:p>
      <w:pPr>
        <w:pStyle w:val="BodyText"/>
        <w:spacing w:before="1"/>
      </w:pPr>
    </w:p>
    <w:p>
      <w:pPr>
        <w:pStyle w:val="Heading5"/>
        <w:ind w:left="5132" w:right="1186" w:hanging="3596"/>
      </w:pPr>
      <w:bookmarkStart w:name="_bookmark36" w:id="37"/>
      <w:bookmarkEnd w:id="37"/>
      <w:r>
        <w:rPr>
          <w:b w:val="0"/>
        </w:rPr>
      </w:r>
      <w:r>
        <w:rPr/>
        <w:t>Gráfico</w:t>
      </w:r>
      <w:r>
        <w:rPr>
          <w:spacing w:val="-4"/>
        </w:rPr>
        <w:t> </w:t>
      </w:r>
      <w:r>
        <w:rPr/>
        <w:t>17:</w:t>
      </w:r>
      <w:r>
        <w:rPr>
          <w:spacing w:val="-3"/>
        </w:rPr>
        <w:t> </w:t>
      </w:r>
      <w:r>
        <w:rPr/>
        <w:t>Costa</w:t>
      </w:r>
      <w:r>
        <w:rPr>
          <w:spacing w:val="-2"/>
        </w:rPr>
        <w:t> </w:t>
      </w:r>
      <w:r>
        <w:rPr/>
        <w:t>Rica:</w:t>
      </w:r>
      <w:r>
        <w:rPr>
          <w:spacing w:val="-3"/>
        </w:rPr>
        <w:t> </w:t>
      </w:r>
      <w:r>
        <w:rPr/>
        <w:t>Porcentaje</w:t>
      </w:r>
      <w:r>
        <w:rPr>
          <w:spacing w:val="-2"/>
        </w:rPr>
        <w:t> </w:t>
      </w:r>
      <w:r>
        <w:rPr/>
        <w:t>de</w:t>
      </w:r>
      <w:r>
        <w:rPr>
          <w:spacing w:val="-4"/>
        </w:rPr>
        <w:t> </w:t>
      </w:r>
      <w:r>
        <w:rPr/>
        <w:t>hogares</w:t>
      </w:r>
      <w:r>
        <w:rPr>
          <w:spacing w:val="-4"/>
        </w:rPr>
        <w:t> </w:t>
      </w:r>
      <w:r>
        <w:rPr/>
        <w:t>con</w:t>
      </w:r>
      <w:r>
        <w:rPr>
          <w:spacing w:val="-2"/>
        </w:rPr>
        <w:t> </w:t>
      </w:r>
      <w:r>
        <w:rPr/>
        <w:t>acceso</w:t>
      </w:r>
      <w:r>
        <w:rPr>
          <w:spacing w:val="-5"/>
        </w:rPr>
        <w:t> </w:t>
      </w:r>
      <w:r>
        <w:rPr/>
        <w:t>a</w:t>
      </w:r>
      <w:r>
        <w:rPr>
          <w:spacing w:val="-4"/>
        </w:rPr>
        <w:t> </w:t>
      </w:r>
      <w:r>
        <w:rPr/>
        <w:t>Internet</w:t>
      </w:r>
      <w:r>
        <w:rPr>
          <w:spacing w:val="-6"/>
        </w:rPr>
        <w:t> </w:t>
      </w:r>
      <w:r>
        <w:rPr/>
        <w:t>según</w:t>
      </w:r>
      <w:r>
        <w:rPr>
          <w:spacing w:val="-2"/>
        </w:rPr>
        <w:t> </w:t>
      </w:r>
      <w:r>
        <w:rPr/>
        <w:t>condición de pobreza, 2025</w:t>
      </w:r>
    </w:p>
    <w:p>
      <w:pPr>
        <w:pStyle w:val="BodyText"/>
        <w:spacing w:before="3"/>
        <w:rPr>
          <w:b/>
          <w:sz w:val="7"/>
        </w:rPr>
      </w:pPr>
      <w:r>
        <w:rPr>
          <w:b/>
          <w:sz w:val="7"/>
        </w:rPr>
        <w:drawing>
          <wp:anchor distT="0" distB="0" distL="0" distR="0" allowOverlap="1" layoutInCell="1" locked="0" behindDoc="1" simplePos="0" relativeHeight="487596544">
            <wp:simplePos x="0" y="0"/>
            <wp:positionH relativeFrom="page">
              <wp:posOffset>1349556</wp:posOffset>
            </wp:positionH>
            <wp:positionV relativeFrom="paragraph">
              <wp:posOffset>68292</wp:posOffset>
            </wp:positionV>
            <wp:extent cx="5452942" cy="3140964"/>
            <wp:effectExtent l="0" t="0" r="0" b="0"/>
            <wp:wrapTopAndBottom/>
            <wp:docPr id="78" name="Image 78"/>
            <wp:cNvGraphicFramePr>
              <a:graphicFrameLocks/>
            </wp:cNvGraphicFramePr>
            <a:graphic>
              <a:graphicData uri="http://schemas.openxmlformats.org/drawingml/2006/picture">
                <pic:pic>
                  <pic:nvPicPr>
                    <pic:cNvPr id="78" name="Image 78"/>
                    <pic:cNvPicPr/>
                  </pic:nvPicPr>
                  <pic:blipFill>
                    <a:blip r:embed="rId49" cstate="print"/>
                    <a:stretch>
                      <a:fillRect/>
                    </a:stretch>
                  </pic:blipFill>
                  <pic:spPr>
                    <a:xfrm>
                      <a:off x="0" y="0"/>
                      <a:ext cx="5452942" cy="3140964"/>
                    </a:xfrm>
                    <a:prstGeom prst="rect">
                      <a:avLst/>
                    </a:prstGeom>
                  </pic:spPr>
                </pic:pic>
              </a:graphicData>
            </a:graphic>
          </wp:anchor>
        </w:drawing>
      </w:r>
    </w:p>
    <w:p>
      <w:pPr>
        <w:spacing w:line="242" w:lineRule="auto" w:before="113"/>
        <w:ind w:left="1625" w:right="1611" w:firstLine="0"/>
        <w:jc w:val="both"/>
        <w:rPr>
          <w:sz w:val="18"/>
        </w:rPr>
      </w:pPr>
      <w:r>
        <w:rPr>
          <w:sz w:val="18"/>
        </w:rPr>
        <w:t>Fuente:</w:t>
      </w:r>
      <w:r>
        <w:rPr>
          <w:spacing w:val="-9"/>
          <w:sz w:val="18"/>
        </w:rPr>
        <w:t> </w:t>
      </w:r>
      <w:r>
        <w:rPr>
          <w:sz w:val="18"/>
        </w:rPr>
        <w:t>Elaboración</w:t>
      </w:r>
      <w:r>
        <w:rPr>
          <w:spacing w:val="-8"/>
          <w:sz w:val="18"/>
        </w:rPr>
        <w:t> </w:t>
      </w:r>
      <w:r>
        <w:rPr>
          <w:sz w:val="18"/>
        </w:rPr>
        <w:t>propia</w:t>
      </w:r>
      <w:r>
        <w:rPr>
          <w:spacing w:val="-8"/>
          <w:sz w:val="18"/>
        </w:rPr>
        <w:t> </w:t>
      </w:r>
      <w:r>
        <w:rPr>
          <w:sz w:val="18"/>
        </w:rPr>
        <w:t>a</w:t>
      </w:r>
      <w:r>
        <w:rPr>
          <w:spacing w:val="-10"/>
          <w:sz w:val="18"/>
        </w:rPr>
        <w:t> </w:t>
      </w:r>
      <w:r>
        <w:rPr>
          <w:sz w:val="18"/>
        </w:rPr>
        <w:t>partir</w:t>
      </w:r>
      <w:r>
        <w:rPr>
          <w:spacing w:val="-9"/>
          <w:sz w:val="18"/>
        </w:rPr>
        <w:t> </w:t>
      </w:r>
      <w:r>
        <w:rPr>
          <w:sz w:val="18"/>
        </w:rPr>
        <w:t>de</w:t>
      </w:r>
      <w:r>
        <w:rPr>
          <w:spacing w:val="-8"/>
          <w:sz w:val="18"/>
        </w:rPr>
        <w:t> </w:t>
      </w:r>
      <w:r>
        <w:rPr>
          <w:sz w:val="18"/>
        </w:rPr>
        <w:t>la</w:t>
      </w:r>
      <w:r>
        <w:rPr>
          <w:spacing w:val="-8"/>
          <w:sz w:val="18"/>
        </w:rPr>
        <w:t> </w:t>
      </w:r>
      <w:r>
        <w:rPr>
          <w:sz w:val="18"/>
        </w:rPr>
        <w:t>Encuesta</w:t>
      </w:r>
      <w:r>
        <w:rPr>
          <w:spacing w:val="-10"/>
          <w:sz w:val="18"/>
        </w:rPr>
        <w:t> </w:t>
      </w:r>
      <w:r>
        <w:rPr>
          <w:sz w:val="18"/>
        </w:rPr>
        <w:t>Nacional</w:t>
      </w:r>
      <w:r>
        <w:rPr>
          <w:spacing w:val="-8"/>
          <w:sz w:val="18"/>
        </w:rPr>
        <w:t> </w:t>
      </w:r>
      <w:r>
        <w:rPr>
          <w:sz w:val="18"/>
        </w:rPr>
        <w:t>de</w:t>
      </w:r>
      <w:r>
        <w:rPr>
          <w:spacing w:val="-8"/>
          <w:sz w:val="18"/>
        </w:rPr>
        <w:t> </w:t>
      </w:r>
      <w:r>
        <w:rPr>
          <w:sz w:val="18"/>
        </w:rPr>
        <w:t>Hogares</w:t>
      </w:r>
      <w:r>
        <w:rPr>
          <w:spacing w:val="-8"/>
          <w:sz w:val="18"/>
        </w:rPr>
        <w:t> </w:t>
      </w:r>
      <w:r>
        <w:rPr>
          <w:sz w:val="18"/>
        </w:rPr>
        <w:t>(ENAHO)</w:t>
      </w:r>
      <w:r>
        <w:rPr>
          <w:spacing w:val="-9"/>
          <w:sz w:val="18"/>
        </w:rPr>
        <w:t> </w:t>
      </w:r>
      <w:r>
        <w:rPr>
          <w:sz w:val="18"/>
        </w:rPr>
        <w:t>2025</w:t>
      </w:r>
      <w:r>
        <w:rPr>
          <w:spacing w:val="-10"/>
          <w:sz w:val="18"/>
        </w:rPr>
        <w:t> </w:t>
      </w:r>
      <w:r>
        <w:rPr>
          <w:sz w:val="18"/>
        </w:rPr>
        <w:t>del</w:t>
      </w:r>
      <w:r>
        <w:rPr>
          <w:spacing w:val="-10"/>
          <w:sz w:val="18"/>
        </w:rPr>
        <w:t> </w:t>
      </w:r>
      <w:r>
        <w:rPr>
          <w:sz w:val="18"/>
        </w:rPr>
        <w:t>Instituto</w:t>
      </w:r>
      <w:r>
        <w:rPr>
          <w:spacing w:val="-8"/>
          <w:sz w:val="18"/>
        </w:rPr>
        <w:t> </w:t>
      </w:r>
      <w:r>
        <w:rPr>
          <w:sz w:val="18"/>
        </w:rPr>
        <w:t>Nacional de Estadística y Censos (INEC); procesamiento IMAS, Planificación Institucional.</w:t>
      </w:r>
    </w:p>
    <w:p>
      <w:pPr>
        <w:pStyle w:val="BodyText"/>
        <w:spacing w:before="22"/>
        <w:rPr>
          <w:sz w:val="18"/>
        </w:rPr>
      </w:pPr>
    </w:p>
    <w:p>
      <w:pPr>
        <w:pStyle w:val="BodyText"/>
        <w:ind w:left="1625" w:right="1605"/>
        <w:jc w:val="both"/>
      </w:pPr>
      <w:r>
        <w:rPr/>
        <w:t>El gráfico 17 presenta un gradiente claro en el acceso a Internet según condición de pobreza. En 2025, 90,46% de los hogares no pobres dispone de conexión, frente a 77,21%</w:t>
      </w:r>
      <w:r>
        <w:rPr>
          <w:spacing w:val="-6"/>
        </w:rPr>
        <w:t> </w:t>
      </w:r>
      <w:r>
        <w:rPr/>
        <w:t>de</w:t>
      </w:r>
      <w:r>
        <w:rPr>
          <w:spacing w:val="-5"/>
        </w:rPr>
        <w:t> </w:t>
      </w:r>
      <w:r>
        <w:rPr/>
        <w:t>los</w:t>
      </w:r>
      <w:r>
        <w:rPr>
          <w:spacing w:val="-5"/>
        </w:rPr>
        <w:t> </w:t>
      </w:r>
      <w:r>
        <w:rPr/>
        <w:t>hogares</w:t>
      </w:r>
      <w:r>
        <w:rPr>
          <w:spacing w:val="-6"/>
        </w:rPr>
        <w:t> </w:t>
      </w:r>
      <w:r>
        <w:rPr/>
        <w:t>pobres</w:t>
      </w:r>
      <w:r>
        <w:rPr>
          <w:spacing w:val="-5"/>
        </w:rPr>
        <w:t> </w:t>
      </w:r>
      <w:r>
        <w:rPr/>
        <w:t>solo</w:t>
      </w:r>
      <w:r>
        <w:rPr>
          <w:spacing w:val="-5"/>
        </w:rPr>
        <w:t> </w:t>
      </w:r>
      <w:r>
        <w:rPr/>
        <w:t>por</w:t>
      </w:r>
      <w:r>
        <w:rPr>
          <w:spacing w:val="-4"/>
        </w:rPr>
        <w:t> </w:t>
      </w:r>
      <w:r>
        <w:rPr/>
        <w:t>LP,</w:t>
      </w:r>
      <w:r>
        <w:rPr>
          <w:spacing w:val="-4"/>
        </w:rPr>
        <w:t> </w:t>
      </w:r>
      <w:r>
        <w:rPr/>
        <w:t>75,92%</w:t>
      </w:r>
      <w:r>
        <w:rPr>
          <w:spacing w:val="-4"/>
        </w:rPr>
        <w:t> </w:t>
      </w:r>
      <w:r>
        <w:rPr/>
        <w:t>de</w:t>
      </w:r>
      <w:r>
        <w:rPr>
          <w:spacing w:val="-5"/>
        </w:rPr>
        <w:t> </w:t>
      </w:r>
      <w:r>
        <w:rPr/>
        <w:t>los</w:t>
      </w:r>
      <w:r>
        <w:rPr>
          <w:spacing w:val="-6"/>
        </w:rPr>
        <w:t> </w:t>
      </w:r>
      <w:r>
        <w:rPr/>
        <w:t>pobres</w:t>
      </w:r>
      <w:r>
        <w:rPr>
          <w:spacing w:val="-6"/>
        </w:rPr>
        <w:t> </w:t>
      </w:r>
      <w:r>
        <w:rPr/>
        <w:t>solo</w:t>
      </w:r>
      <w:r>
        <w:rPr>
          <w:spacing w:val="-5"/>
        </w:rPr>
        <w:t> </w:t>
      </w:r>
      <w:r>
        <w:rPr/>
        <w:t>por</w:t>
      </w:r>
      <w:r>
        <w:rPr>
          <w:spacing w:val="-5"/>
        </w:rPr>
        <w:t> </w:t>
      </w:r>
      <w:r>
        <w:rPr/>
        <w:t>IPM</w:t>
      </w:r>
      <w:r>
        <w:rPr>
          <w:spacing w:val="-6"/>
        </w:rPr>
        <w:t> </w:t>
      </w:r>
      <w:r>
        <w:rPr/>
        <w:t>y</w:t>
      </w:r>
      <w:r>
        <w:rPr>
          <w:spacing w:val="-6"/>
        </w:rPr>
        <w:t> </w:t>
      </w:r>
      <w:r>
        <w:rPr/>
        <w:t>69,99% de quienes son pobres simultáneamente por ambos métodos; el promedio nacional es 87,30%. La diferencia de 20,47 puntos porcentuales entre hogares no pobres y hogares</w:t>
      </w:r>
    </w:p>
    <w:p>
      <w:pPr>
        <w:pStyle w:val="BodyText"/>
        <w:spacing w:after="0"/>
        <w:jc w:val="both"/>
        <w:sectPr>
          <w:pgSz w:w="12240" w:h="15840"/>
          <w:pgMar w:header="0" w:footer="1576" w:top="1000" w:bottom="1760" w:left="360" w:right="0"/>
        </w:sectPr>
      </w:pPr>
    </w:p>
    <w:p>
      <w:pPr>
        <w:pStyle w:val="BodyText"/>
        <w:spacing w:before="77"/>
        <w:ind w:left="1625" w:right="1607"/>
        <w:jc w:val="both"/>
      </w:pPr>
      <w:r>
        <w:rPr/>
        <w:t>con pobreza por LP e IPM muestra que la brecha digital continúa vinculada con la acumulación de desventajas económicas y multidimensionales.</w:t>
      </w:r>
    </w:p>
    <w:p>
      <w:pPr>
        <w:pStyle w:val="BodyText"/>
      </w:pPr>
    </w:p>
    <w:p>
      <w:pPr>
        <w:pStyle w:val="BodyText"/>
        <w:ind w:left="1625" w:right="1604"/>
        <w:jc w:val="both"/>
      </w:pPr>
      <w:r>
        <w:rPr/>
        <w:t>En 2025, el acceso a Internet alcanza 87,30% en el total de hogares. Entre los hogares no pobres se sitúa en 90,46%, mostrando una cobertura alta, aunque todavía no </w:t>
      </w:r>
      <w:r>
        <w:rPr>
          <w:spacing w:val="-2"/>
        </w:rPr>
        <w:t>universal.</w:t>
      </w:r>
    </w:p>
    <w:p>
      <w:pPr>
        <w:pStyle w:val="BodyText"/>
        <w:spacing w:before="1"/>
      </w:pPr>
    </w:p>
    <w:p>
      <w:pPr>
        <w:pStyle w:val="BodyText"/>
        <w:ind w:left="1625" w:right="1601"/>
        <w:jc w:val="both"/>
      </w:pPr>
      <w:r>
        <w:rPr/>
        <w:t>Entre</w:t>
      </w:r>
      <w:r>
        <w:rPr>
          <w:spacing w:val="-5"/>
        </w:rPr>
        <w:t> </w:t>
      </w:r>
      <w:r>
        <w:rPr/>
        <w:t>los</w:t>
      </w:r>
      <w:r>
        <w:rPr>
          <w:spacing w:val="-7"/>
        </w:rPr>
        <w:t> </w:t>
      </w:r>
      <w:r>
        <w:rPr/>
        <w:t>hogares</w:t>
      </w:r>
      <w:r>
        <w:rPr>
          <w:spacing w:val="-5"/>
        </w:rPr>
        <w:t> </w:t>
      </w:r>
      <w:r>
        <w:rPr/>
        <w:t>pobres</w:t>
      </w:r>
      <w:r>
        <w:rPr>
          <w:spacing w:val="-7"/>
        </w:rPr>
        <w:t> </w:t>
      </w:r>
      <w:r>
        <w:rPr/>
        <w:t>solo</w:t>
      </w:r>
      <w:r>
        <w:rPr>
          <w:spacing w:val="-5"/>
        </w:rPr>
        <w:t> </w:t>
      </w:r>
      <w:r>
        <w:rPr/>
        <w:t>por</w:t>
      </w:r>
      <w:r>
        <w:rPr>
          <w:spacing w:val="-4"/>
        </w:rPr>
        <w:t> </w:t>
      </w:r>
      <w:r>
        <w:rPr/>
        <w:t>LP,</w:t>
      </w:r>
      <w:r>
        <w:rPr>
          <w:spacing w:val="-4"/>
        </w:rPr>
        <w:t> </w:t>
      </w:r>
      <w:r>
        <w:rPr/>
        <w:t>el</w:t>
      </w:r>
      <w:r>
        <w:rPr>
          <w:spacing w:val="-6"/>
        </w:rPr>
        <w:t> </w:t>
      </w:r>
      <w:r>
        <w:rPr/>
        <w:t>acceso</w:t>
      </w:r>
      <w:r>
        <w:rPr>
          <w:spacing w:val="-8"/>
        </w:rPr>
        <w:t> </w:t>
      </w:r>
      <w:r>
        <w:rPr/>
        <w:t>a</w:t>
      </w:r>
      <w:r>
        <w:rPr>
          <w:spacing w:val="-7"/>
        </w:rPr>
        <w:t> </w:t>
      </w:r>
      <w:r>
        <w:rPr/>
        <w:t>Internet</w:t>
      </w:r>
      <w:r>
        <w:rPr>
          <w:spacing w:val="-6"/>
        </w:rPr>
        <w:t> </w:t>
      </w:r>
      <w:r>
        <w:rPr/>
        <w:t>alcanza</w:t>
      </w:r>
      <w:r>
        <w:rPr>
          <w:spacing w:val="-5"/>
        </w:rPr>
        <w:t> </w:t>
      </w:r>
      <w:r>
        <w:rPr/>
        <w:t>77,21%.</w:t>
      </w:r>
      <w:r>
        <w:rPr>
          <w:spacing w:val="-6"/>
        </w:rPr>
        <w:t> </w:t>
      </w:r>
      <w:r>
        <w:rPr/>
        <w:t>La</w:t>
      </w:r>
      <w:r>
        <w:rPr>
          <w:spacing w:val="-5"/>
        </w:rPr>
        <w:t> </w:t>
      </w:r>
      <w:r>
        <w:rPr/>
        <w:t>diferencia respecto</w:t>
      </w:r>
      <w:r>
        <w:rPr>
          <w:spacing w:val="-13"/>
        </w:rPr>
        <w:t> </w:t>
      </w:r>
      <w:r>
        <w:rPr/>
        <w:t>de</w:t>
      </w:r>
      <w:r>
        <w:rPr>
          <w:spacing w:val="-12"/>
        </w:rPr>
        <w:t> </w:t>
      </w:r>
      <w:r>
        <w:rPr/>
        <w:t>los</w:t>
      </w:r>
      <w:r>
        <w:rPr>
          <w:spacing w:val="-11"/>
        </w:rPr>
        <w:t> </w:t>
      </w:r>
      <w:r>
        <w:rPr/>
        <w:t>hogares</w:t>
      </w:r>
      <w:r>
        <w:rPr>
          <w:spacing w:val="-16"/>
        </w:rPr>
        <w:t> </w:t>
      </w:r>
      <w:r>
        <w:rPr/>
        <w:t>no</w:t>
      </w:r>
      <w:r>
        <w:rPr>
          <w:spacing w:val="-11"/>
        </w:rPr>
        <w:t> </w:t>
      </w:r>
      <w:r>
        <w:rPr/>
        <w:t>pobres</w:t>
      </w:r>
      <w:r>
        <w:rPr>
          <w:spacing w:val="-13"/>
        </w:rPr>
        <w:t> </w:t>
      </w:r>
      <w:r>
        <w:rPr/>
        <w:t>muestra</w:t>
      </w:r>
      <w:r>
        <w:rPr>
          <w:spacing w:val="-11"/>
        </w:rPr>
        <w:t> </w:t>
      </w:r>
      <w:r>
        <w:rPr/>
        <w:t>que</w:t>
      </w:r>
      <w:r>
        <w:rPr>
          <w:spacing w:val="-11"/>
        </w:rPr>
        <w:t> </w:t>
      </w:r>
      <w:r>
        <w:rPr/>
        <w:t>la</w:t>
      </w:r>
      <w:r>
        <w:rPr>
          <w:spacing w:val="-11"/>
        </w:rPr>
        <w:t> </w:t>
      </w:r>
      <w:r>
        <w:rPr/>
        <w:t>insuficiencia</w:t>
      </w:r>
      <w:r>
        <w:rPr>
          <w:spacing w:val="-11"/>
        </w:rPr>
        <w:t> </w:t>
      </w:r>
      <w:r>
        <w:rPr/>
        <w:t>de</w:t>
      </w:r>
      <w:r>
        <w:rPr>
          <w:spacing w:val="-12"/>
        </w:rPr>
        <w:t> </w:t>
      </w:r>
      <w:r>
        <w:rPr/>
        <w:t>ingresos</w:t>
      </w:r>
      <w:r>
        <w:rPr>
          <w:spacing w:val="-11"/>
        </w:rPr>
        <w:t> </w:t>
      </w:r>
      <w:r>
        <w:rPr/>
        <w:t>se</w:t>
      </w:r>
      <w:r>
        <w:rPr>
          <w:spacing w:val="-11"/>
        </w:rPr>
        <w:t> </w:t>
      </w:r>
      <w:r>
        <w:rPr/>
        <w:t>asocia</w:t>
      </w:r>
      <w:r>
        <w:rPr>
          <w:spacing w:val="-11"/>
        </w:rPr>
        <w:t> </w:t>
      </w:r>
      <w:r>
        <w:rPr/>
        <w:t>con una</w:t>
      </w:r>
      <w:r>
        <w:rPr>
          <w:spacing w:val="-16"/>
        </w:rPr>
        <w:t> </w:t>
      </w:r>
      <w:r>
        <w:rPr/>
        <w:t>menor</w:t>
      </w:r>
      <w:r>
        <w:rPr>
          <w:spacing w:val="-15"/>
        </w:rPr>
        <w:t> </w:t>
      </w:r>
      <w:r>
        <w:rPr/>
        <w:t>cobertura</w:t>
      </w:r>
      <w:r>
        <w:rPr>
          <w:spacing w:val="-15"/>
        </w:rPr>
        <w:t> </w:t>
      </w:r>
      <w:r>
        <w:rPr/>
        <w:t>de</w:t>
      </w:r>
      <w:r>
        <w:rPr>
          <w:spacing w:val="-16"/>
        </w:rPr>
        <w:t> </w:t>
      </w:r>
      <w:r>
        <w:rPr/>
        <w:t>conectividad</w:t>
      </w:r>
      <w:r>
        <w:rPr>
          <w:spacing w:val="-15"/>
        </w:rPr>
        <w:t> </w:t>
      </w:r>
      <w:r>
        <w:rPr/>
        <w:t>y</w:t>
      </w:r>
      <w:r>
        <w:rPr>
          <w:spacing w:val="-15"/>
        </w:rPr>
        <w:t> </w:t>
      </w:r>
      <w:r>
        <w:rPr/>
        <w:t>con</w:t>
      </w:r>
      <w:r>
        <w:rPr>
          <w:spacing w:val="-15"/>
        </w:rPr>
        <w:t> </w:t>
      </w:r>
      <w:r>
        <w:rPr/>
        <w:t>mayores</w:t>
      </w:r>
      <w:r>
        <w:rPr>
          <w:spacing w:val="-16"/>
        </w:rPr>
        <w:t> </w:t>
      </w:r>
      <w:r>
        <w:rPr/>
        <w:t>restricciones</w:t>
      </w:r>
      <w:r>
        <w:rPr>
          <w:spacing w:val="-15"/>
        </w:rPr>
        <w:t> </w:t>
      </w:r>
      <w:r>
        <w:rPr/>
        <w:t>para</w:t>
      </w:r>
      <w:r>
        <w:rPr>
          <w:spacing w:val="-15"/>
        </w:rPr>
        <w:t> </w:t>
      </w:r>
      <w:r>
        <w:rPr/>
        <w:t>sostener</w:t>
      </w:r>
      <w:r>
        <w:rPr>
          <w:spacing w:val="-16"/>
        </w:rPr>
        <w:t> </w:t>
      </w:r>
      <w:r>
        <w:rPr/>
        <w:t>el</w:t>
      </w:r>
      <w:r>
        <w:rPr>
          <w:spacing w:val="-15"/>
        </w:rPr>
        <w:t> </w:t>
      </w:r>
      <w:r>
        <w:rPr/>
        <w:t>acceso a dispositivos y servicios digitales.</w:t>
      </w:r>
    </w:p>
    <w:p>
      <w:pPr>
        <w:pStyle w:val="BodyText"/>
      </w:pPr>
    </w:p>
    <w:p>
      <w:pPr>
        <w:pStyle w:val="BodyText"/>
        <w:ind w:left="1625" w:right="1604"/>
        <w:jc w:val="both"/>
      </w:pPr>
      <w:r>
        <w:rPr/>
        <w:t>En los hogares pobres por IPM, pero no por LP, el acceso es de 75,92%. El resultado confirma que las privaciones multidimensionales se asocian también con menor conectividad, incluso cuando el ingreso supera la línea monetaria de pobreza.</w:t>
      </w:r>
    </w:p>
    <w:p>
      <w:pPr>
        <w:pStyle w:val="BodyText"/>
        <w:spacing w:before="252"/>
        <w:ind w:left="1625" w:right="1603"/>
        <w:jc w:val="both"/>
      </w:pPr>
      <w:r>
        <w:rPr/>
        <w:t>El</w:t>
      </w:r>
      <w:r>
        <w:rPr>
          <w:spacing w:val="-2"/>
        </w:rPr>
        <w:t> </w:t>
      </w:r>
      <w:r>
        <w:rPr/>
        <w:t>grupo</w:t>
      </w:r>
      <w:r>
        <w:rPr>
          <w:spacing w:val="-4"/>
        </w:rPr>
        <w:t> </w:t>
      </w:r>
      <w:r>
        <w:rPr/>
        <w:t>con</w:t>
      </w:r>
      <w:r>
        <w:rPr>
          <w:spacing w:val="-4"/>
        </w:rPr>
        <w:t> </w:t>
      </w:r>
      <w:r>
        <w:rPr/>
        <w:t>menor</w:t>
      </w:r>
      <w:r>
        <w:rPr>
          <w:spacing w:val="-3"/>
        </w:rPr>
        <w:t> </w:t>
      </w:r>
      <w:r>
        <w:rPr/>
        <w:t>acceso</w:t>
      </w:r>
      <w:r>
        <w:rPr>
          <w:spacing w:val="-2"/>
        </w:rPr>
        <w:t> </w:t>
      </w:r>
      <w:r>
        <w:rPr/>
        <w:t>es</w:t>
      </w:r>
      <w:r>
        <w:rPr>
          <w:spacing w:val="-4"/>
        </w:rPr>
        <w:t> </w:t>
      </w:r>
      <w:r>
        <w:rPr/>
        <w:t>el</w:t>
      </w:r>
      <w:r>
        <w:rPr>
          <w:spacing w:val="-5"/>
        </w:rPr>
        <w:t> </w:t>
      </w:r>
      <w:r>
        <w:rPr/>
        <w:t>de</w:t>
      </w:r>
      <w:r>
        <w:rPr>
          <w:spacing w:val="-2"/>
        </w:rPr>
        <w:t> </w:t>
      </w:r>
      <w:r>
        <w:rPr/>
        <w:t>hogares</w:t>
      </w:r>
      <w:r>
        <w:rPr>
          <w:spacing w:val="-4"/>
        </w:rPr>
        <w:t> </w:t>
      </w:r>
      <w:r>
        <w:rPr/>
        <w:t>pobres</w:t>
      </w:r>
      <w:r>
        <w:rPr>
          <w:spacing w:val="-2"/>
        </w:rPr>
        <w:t> </w:t>
      </w:r>
      <w:r>
        <w:rPr/>
        <w:t>simultáneamente</w:t>
      </w:r>
      <w:r>
        <w:rPr>
          <w:spacing w:val="-4"/>
        </w:rPr>
        <w:t> </w:t>
      </w:r>
      <w:r>
        <w:rPr/>
        <w:t>por</w:t>
      </w:r>
      <w:r>
        <w:rPr>
          <w:spacing w:val="-5"/>
        </w:rPr>
        <w:t> </w:t>
      </w:r>
      <w:r>
        <w:rPr/>
        <w:t>LP</w:t>
      </w:r>
      <w:r>
        <w:rPr>
          <w:spacing w:val="-3"/>
        </w:rPr>
        <w:t> </w:t>
      </w:r>
      <w:r>
        <w:rPr/>
        <w:t>e</w:t>
      </w:r>
      <w:r>
        <w:rPr>
          <w:spacing w:val="-4"/>
        </w:rPr>
        <w:t> </w:t>
      </w:r>
      <w:r>
        <w:rPr/>
        <w:t>IPM,</w:t>
      </w:r>
      <w:r>
        <w:rPr>
          <w:spacing w:val="-3"/>
        </w:rPr>
        <w:t> </w:t>
      </w:r>
      <w:r>
        <w:rPr/>
        <w:t>con 69,99%. La acumulación de carencias se asocia con menores posibilidades de aprovechar plenamente la conectividad para educación, empleo, trámites, información y acceso a servicios públicos.</w:t>
      </w:r>
    </w:p>
    <w:p>
      <w:pPr>
        <w:pStyle w:val="BodyText"/>
      </w:pPr>
    </w:p>
    <w:p>
      <w:pPr>
        <w:pStyle w:val="BodyText"/>
        <w:ind w:left="1625" w:right="1605"/>
        <w:jc w:val="both"/>
      </w:pPr>
      <w:r>
        <w:rPr/>
        <w:t>La brecha entre hogares no pobres (90,46%) y hogares pobres por ambos métodos (69,99%) es de 20,47 puntos porcentuales. Este diferencial muestra que la inclusión digital debe seguir formando parte de las estrategias de superación de la pobreza y movilidad social.</w:t>
      </w:r>
    </w:p>
    <w:p>
      <w:pPr>
        <w:pStyle w:val="BodyText"/>
      </w:pPr>
    </w:p>
    <w:p>
      <w:pPr>
        <w:pStyle w:val="BodyText"/>
        <w:ind w:left="1625" w:right="1604"/>
        <w:jc w:val="both"/>
      </w:pPr>
      <w:r>
        <w:rPr/>
        <w:t>En síntesis, el gráfico 17 evidencia que la conectividad ha avanzado, pero no de forma homogénea. Se requieren políticas que combinen infraestructura, asequibilidad, dispositivos, alfabetización digital y acceso efectivo a servicios en línea, con prioridad para los hogares en pobreza y los territorios con mayores rezagos.</w:t>
      </w:r>
    </w:p>
    <w:p>
      <w:pPr>
        <w:pStyle w:val="BodyText"/>
      </w:pPr>
    </w:p>
    <w:p>
      <w:pPr>
        <w:pStyle w:val="Heading3"/>
        <w:numPr>
          <w:ilvl w:val="2"/>
          <w:numId w:val="5"/>
        </w:numPr>
        <w:tabs>
          <w:tab w:pos="2223" w:val="left" w:leader="none"/>
        </w:tabs>
        <w:spacing w:line="240" w:lineRule="auto" w:before="1" w:after="0"/>
        <w:ind w:left="2223" w:right="0" w:hanging="598"/>
        <w:jc w:val="left"/>
      </w:pPr>
      <w:r>
        <w:rPr/>
        <w:t>Perfiles</w:t>
      </w:r>
      <w:r>
        <w:rPr>
          <w:spacing w:val="-5"/>
        </w:rPr>
        <w:t> </w:t>
      </w:r>
      <w:r>
        <w:rPr/>
        <w:t>de</w:t>
      </w:r>
      <w:r>
        <w:rPr>
          <w:spacing w:val="-3"/>
        </w:rPr>
        <w:t> </w:t>
      </w:r>
      <w:r>
        <w:rPr/>
        <w:t>la</w:t>
      </w:r>
      <w:r>
        <w:rPr>
          <w:spacing w:val="-2"/>
        </w:rPr>
        <w:t> </w:t>
      </w:r>
      <w:r>
        <w:rPr/>
        <w:t>población</w:t>
      </w:r>
      <w:r>
        <w:rPr>
          <w:spacing w:val="-5"/>
        </w:rPr>
        <w:t> </w:t>
      </w:r>
      <w:r>
        <w:rPr/>
        <w:t>en</w:t>
      </w:r>
      <w:r>
        <w:rPr>
          <w:spacing w:val="-2"/>
        </w:rPr>
        <w:t> pobreza</w:t>
      </w:r>
    </w:p>
    <w:p>
      <w:pPr>
        <w:pStyle w:val="BodyText"/>
        <w:spacing w:before="275"/>
        <w:ind w:left="1625" w:right="1603"/>
        <w:jc w:val="both"/>
      </w:pPr>
      <w:r>
        <w:rPr/>
        <w:t>Los perfiles de los hogares y de las personas en pobreza permiten caracterizar su composición demográfica, la disponibilidad de ingresos laborales, el acceso a transferencias y otras condiciones que inciden en su bienestar. Esta información aporta elementos para valorar el alcance de la política social y orientar intervenciones diferenciadas según las características de los hogares, los grupos poblacionales y los territorios con mayores necesidades.</w:t>
      </w:r>
    </w:p>
    <w:p>
      <w:pPr>
        <w:pStyle w:val="BodyText"/>
      </w:pPr>
    </w:p>
    <w:p>
      <w:pPr>
        <w:pStyle w:val="BodyText"/>
        <w:spacing w:before="1"/>
        <w:ind w:left="1625" w:right="1604"/>
        <w:jc w:val="both"/>
      </w:pPr>
      <w:r>
        <w:rPr/>
        <w:t>En Costa Rica, las Encuestas de Hogares permiten identificar rasgos recurrentes asociados con la pobreza. A partir de la actualización a 2025, destacan los siguientes:</w:t>
      </w:r>
    </w:p>
    <w:p>
      <w:pPr>
        <w:pStyle w:val="ListParagraph"/>
        <w:numPr>
          <w:ilvl w:val="0"/>
          <w:numId w:val="14"/>
        </w:numPr>
        <w:tabs>
          <w:tab w:pos="2702" w:val="left" w:leader="none"/>
        </w:tabs>
        <w:spacing w:line="237" w:lineRule="auto" w:before="125" w:after="0"/>
        <w:ind w:left="2702" w:right="2326" w:hanging="358"/>
        <w:jc w:val="both"/>
        <w:rPr>
          <w:sz w:val="22"/>
        </w:rPr>
      </w:pPr>
      <w:r>
        <w:rPr>
          <w:sz w:val="22"/>
        </w:rPr>
        <w:t>En 2025, los hogares pobres presentan un tamaño promedio mayor (3,20 personas) que los hogares no pobres (2,77), lo que implica una mayor carga demográfica y una mayor probabilidad de presencia de personas dependientes.</w:t>
      </w:r>
    </w:p>
    <w:p>
      <w:pPr>
        <w:pStyle w:val="ListParagraph"/>
        <w:spacing w:after="0" w:line="237" w:lineRule="auto"/>
        <w:jc w:val="both"/>
        <w:rPr>
          <w:sz w:val="22"/>
        </w:rPr>
        <w:sectPr>
          <w:pgSz w:w="12240" w:h="15840"/>
          <w:pgMar w:header="0" w:footer="1576" w:top="1000" w:bottom="1760" w:left="360" w:right="0"/>
        </w:sectPr>
      </w:pPr>
    </w:p>
    <w:p>
      <w:pPr>
        <w:pStyle w:val="ListParagraph"/>
        <w:numPr>
          <w:ilvl w:val="0"/>
          <w:numId w:val="14"/>
        </w:numPr>
        <w:tabs>
          <w:tab w:pos="2702" w:val="left" w:leader="none"/>
        </w:tabs>
        <w:spacing w:line="240" w:lineRule="auto" w:before="77" w:after="0"/>
        <w:ind w:left="2702" w:right="2321" w:hanging="358"/>
        <w:jc w:val="both"/>
        <w:rPr>
          <w:sz w:val="22"/>
        </w:rPr>
      </w:pPr>
      <w:r>
        <w:rPr>
          <w:sz w:val="22"/>
        </w:rPr>
        <w:t>Las jefaturas y personas adultas en pobreza muestran mayores rezagos educativos. En</w:t>
      </w:r>
      <w:r>
        <w:rPr>
          <w:spacing w:val="-1"/>
          <w:sz w:val="22"/>
        </w:rPr>
        <w:t> </w:t>
      </w:r>
      <w:r>
        <w:rPr>
          <w:sz w:val="22"/>
        </w:rPr>
        <w:t>la población pobre</w:t>
      </w:r>
      <w:r>
        <w:rPr>
          <w:spacing w:val="-1"/>
          <w:sz w:val="22"/>
        </w:rPr>
        <w:t> </w:t>
      </w:r>
      <w:r>
        <w:rPr>
          <w:sz w:val="22"/>
        </w:rPr>
        <w:t>de</w:t>
      </w:r>
      <w:r>
        <w:rPr>
          <w:spacing w:val="-1"/>
          <w:sz w:val="22"/>
        </w:rPr>
        <w:t> </w:t>
      </w:r>
      <w:r>
        <w:rPr>
          <w:sz w:val="22"/>
        </w:rPr>
        <w:t>15</w:t>
      </w:r>
      <w:r>
        <w:rPr>
          <w:spacing w:val="-3"/>
          <w:sz w:val="22"/>
        </w:rPr>
        <w:t> </w:t>
      </w:r>
      <w:r>
        <w:rPr>
          <w:sz w:val="22"/>
        </w:rPr>
        <w:t>años y</w:t>
      </w:r>
      <w:r>
        <w:rPr>
          <w:spacing w:val="-3"/>
          <w:sz w:val="22"/>
        </w:rPr>
        <w:t> </w:t>
      </w:r>
      <w:r>
        <w:rPr>
          <w:sz w:val="22"/>
        </w:rPr>
        <w:t>más, 79,42% tiene secundaria incompleta o menos, condición que limita la empleabilidad, los ingresos y la movilidad social.</w:t>
      </w:r>
    </w:p>
    <w:p>
      <w:pPr>
        <w:pStyle w:val="ListParagraph"/>
        <w:numPr>
          <w:ilvl w:val="0"/>
          <w:numId w:val="14"/>
        </w:numPr>
        <w:tabs>
          <w:tab w:pos="2702" w:val="left" w:leader="none"/>
        </w:tabs>
        <w:spacing w:line="240" w:lineRule="auto" w:before="119" w:after="0"/>
        <w:ind w:left="2702" w:right="2324" w:hanging="358"/>
        <w:jc w:val="both"/>
        <w:rPr>
          <w:sz w:val="22"/>
        </w:rPr>
      </w:pPr>
      <w:r>
        <w:rPr>
          <w:sz w:val="22"/>
        </w:rPr>
        <w:t>La jefatura femenina tiene un peso relativo mayor entre los hogares pobres:</w:t>
      </w:r>
      <w:r>
        <w:rPr>
          <w:spacing w:val="-13"/>
          <w:sz w:val="22"/>
        </w:rPr>
        <w:t> </w:t>
      </w:r>
      <w:r>
        <w:rPr>
          <w:sz w:val="22"/>
        </w:rPr>
        <w:t>representa</w:t>
      </w:r>
      <w:r>
        <w:rPr>
          <w:spacing w:val="-12"/>
          <w:sz w:val="22"/>
        </w:rPr>
        <w:t> </w:t>
      </w:r>
      <w:r>
        <w:rPr>
          <w:sz w:val="22"/>
        </w:rPr>
        <w:t>51,72%</w:t>
      </w:r>
      <w:r>
        <w:rPr>
          <w:spacing w:val="-11"/>
          <w:sz w:val="22"/>
        </w:rPr>
        <w:t> </w:t>
      </w:r>
      <w:r>
        <w:rPr>
          <w:sz w:val="22"/>
        </w:rPr>
        <w:t>de</w:t>
      </w:r>
      <w:r>
        <w:rPr>
          <w:spacing w:val="-13"/>
          <w:sz w:val="22"/>
        </w:rPr>
        <w:t> </w:t>
      </w:r>
      <w:r>
        <w:rPr>
          <w:sz w:val="22"/>
        </w:rPr>
        <w:t>los</w:t>
      </w:r>
      <w:r>
        <w:rPr>
          <w:spacing w:val="-12"/>
          <w:sz w:val="22"/>
        </w:rPr>
        <w:t> </w:t>
      </w:r>
      <w:r>
        <w:rPr>
          <w:sz w:val="22"/>
        </w:rPr>
        <w:t>hogares</w:t>
      </w:r>
      <w:r>
        <w:rPr>
          <w:spacing w:val="-12"/>
          <w:sz w:val="22"/>
        </w:rPr>
        <w:t> </w:t>
      </w:r>
      <w:r>
        <w:rPr>
          <w:sz w:val="22"/>
        </w:rPr>
        <w:t>en</w:t>
      </w:r>
      <w:r>
        <w:rPr>
          <w:spacing w:val="-13"/>
          <w:sz w:val="22"/>
        </w:rPr>
        <w:t> </w:t>
      </w:r>
      <w:r>
        <w:rPr>
          <w:sz w:val="22"/>
        </w:rPr>
        <w:t>pobreza</w:t>
      </w:r>
      <w:r>
        <w:rPr>
          <w:spacing w:val="-13"/>
          <w:sz w:val="22"/>
        </w:rPr>
        <w:t> </w:t>
      </w:r>
      <w:r>
        <w:rPr>
          <w:sz w:val="22"/>
        </w:rPr>
        <w:t>y</w:t>
      </w:r>
      <w:r>
        <w:rPr>
          <w:spacing w:val="-12"/>
          <w:sz w:val="22"/>
        </w:rPr>
        <w:t> </w:t>
      </w:r>
      <w:r>
        <w:rPr>
          <w:sz w:val="22"/>
        </w:rPr>
        <w:t>57,68%</w:t>
      </w:r>
      <w:r>
        <w:rPr>
          <w:spacing w:val="-14"/>
          <w:sz w:val="22"/>
        </w:rPr>
        <w:t> </w:t>
      </w:r>
      <w:r>
        <w:rPr>
          <w:sz w:val="22"/>
        </w:rPr>
        <w:t>de</w:t>
      </w:r>
      <w:r>
        <w:rPr>
          <w:spacing w:val="-13"/>
          <w:sz w:val="22"/>
        </w:rPr>
        <w:t> </w:t>
      </w:r>
      <w:r>
        <w:rPr>
          <w:sz w:val="22"/>
        </w:rPr>
        <w:t>los hogares en pobreza extrema.</w:t>
      </w:r>
    </w:p>
    <w:p>
      <w:pPr>
        <w:pStyle w:val="ListParagraph"/>
        <w:numPr>
          <w:ilvl w:val="0"/>
          <w:numId w:val="14"/>
        </w:numPr>
        <w:tabs>
          <w:tab w:pos="2702" w:val="left" w:leader="none"/>
        </w:tabs>
        <w:spacing w:line="237" w:lineRule="auto" w:before="122" w:after="0"/>
        <w:ind w:left="2702" w:right="2251" w:hanging="358"/>
        <w:jc w:val="both"/>
        <w:rPr>
          <w:sz w:val="22"/>
        </w:rPr>
      </w:pPr>
      <w:r>
        <w:rPr>
          <w:sz w:val="22"/>
        </w:rPr>
        <w:t>Los hogares pobres tienen un menor número promedio de personas ocupadas: 0,67 frente a 1,37 en los hogares no pobres; en pobreza extrema el promedio baja a 0,53.</w:t>
      </w:r>
    </w:p>
    <w:p>
      <w:pPr>
        <w:pStyle w:val="ListParagraph"/>
        <w:numPr>
          <w:ilvl w:val="0"/>
          <w:numId w:val="14"/>
        </w:numPr>
        <w:tabs>
          <w:tab w:pos="2702" w:val="left" w:leader="none"/>
        </w:tabs>
        <w:spacing w:line="240" w:lineRule="auto" w:before="123" w:after="0"/>
        <w:ind w:left="2702" w:right="2253" w:hanging="358"/>
        <w:jc w:val="both"/>
        <w:rPr>
          <w:sz w:val="22"/>
        </w:rPr>
      </w:pPr>
      <w:r>
        <w:rPr>
          <w:sz w:val="22"/>
        </w:rPr>
        <w:t>La población pobre</w:t>
      </w:r>
      <w:r>
        <w:rPr>
          <w:spacing w:val="-2"/>
          <w:sz w:val="22"/>
        </w:rPr>
        <w:t> </w:t>
      </w:r>
      <w:r>
        <w:rPr>
          <w:sz w:val="22"/>
        </w:rPr>
        <w:t>presenta</w:t>
      </w:r>
      <w:r>
        <w:rPr>
          <w:spacing w:val="-2"/>
          <w:sz w:val="22"/>
        </w:rPr>
        <w:t> </w:t>
      </w:r>
      <w:r>
        <w:rPr>
          <w:sz w:val="22"/>
        </w:rPr>
        <w:t>mayores dificultades de inserción laboral. Al clasificar la población según Línea de Pobreza (LP), entre las personas de 15 años y más en pobreza la tasa de desempleo alcanza 20,50%, frente a 4,00% entre la población no pobre por LP.</w:t>
      </w:r>
    </w:p>
    <w:p>
      <w:pPr>
        <w:pStyle w:val="ListParagraph"/>
        <w:numPr>
          <w:ilvl w:val="0"/>
          <w:numId w:val="14"/>
        </w:numPr>
        <w:tabs>
          <w:tab w:pos="2702" w:val="left" w:leader="none"/>
        </w:tabs>
        <w:spacing w:line="237" w:lineRule="auto" w:before="121" w:after="0"/>
        <w:ind w:left="2702" w:right="2394" w:hanging="358"/>
        <w:jc w:val="both"/>
        <w:rPr>
          <w:sz w:val="22"/>
        </w:rPr>
      </w:pPr>
      <w:r>
        <w:rPr>
          <w:sz w:val="22"/>
        </w:rPr>
        <w:t>La mayor dependencia económica se combina con cargas de cuido, </w:t>
      </w:r>
      <w:r>
        <w:rPr>
          <w:spacing w:val="-2"/>
          <w:sz w:val="22"/>
        </w:rPr>
        <w:t>baja participación laboral</w:t>
      </w:r>
      <w:r>
        <w:rPr>
          <w:spacing w:val="-9"/>
          <w:sz w:val="22"/>
        </w:rPr>
        <w:t> </w:t>
      </w:r>
      <w:r>
        <w:rPr>
          <w:spacing w:val="-2"/>
          <w:sz w:val="22"/>
        </w:rPr>
        <w:t>y menor</w:t>
      </w:r>
      <w:r>
        <w:rPr>
          <w:spacing w:val="-4"/>
          <w:sz w:val="22"/>
        </w:rPr>
        <w:t> </w:t>
      </w:r>
      <w:r>
        <w:rPr>
          <w:spacing w:val="-2"/>
          <w:sz w:val="22"/>
        </w:rPr>
        <w:t>disponibilidad de ingresos</w:t>
      </w:r>
      <w:r>
        <w:rPr>
          <w:spacing w:val="-5"/>
          <w:sz w:val="22"/>
        </w:rPr>
        <w:t> </w:t>
      </w:r>
      <w:r>
        <w:rPr>
          <w:spacing w:val="-2"/>
          <w:sz w:val="22"/>
        </w:rPr>
        <w:t>laborales, </w:t>
      </w:r>
      <w:r>
        <w:rPr>
          <w:sz w:val="22"/>
        </w:rPr>
        <w:t>especialmente en hogares en pobreza extrema.</w:t>
      </w:r>
    </w:p>
    <w:p>
      <w:pPr>
        <w:pStyle w:val="ListParagraph"/>
        <w:numPr>
          <w:ilvl w:val="0"/>
          <w:numId w:val="14"/>
        </w:numPr>
        <w:tabs>
          <w:tab w:pos="2702" w:val="left" w:leader="none"/>
        </w:tabs>
        <w:spacing w:line="240" w:lineRule="auto" w:before="123" w:after="0"/>
        <w:ind w:left="2702" w:right="2318" w:hanging="358"/>
        <w:jc w:val="both"/>
        <w:rPr>
          <w:sz w:val="22"/>
        </w:rPr>
      </w:pPr>
      <w:r>
        <w:rPr>
          <w:sz w:val="22"/>
        </w:rPr>
        <w:t>La inserción laboral de la población pobre se concentra en mayor medida en ocupaciones de menor calificación; en 2025, las ocupaciones elementales tienen un peso particularmente alto entre quienes enfrentan pobreza simultánea por LP e IPM.</w:t>
      </w:r>
    </w:p>
    <w:p>
      <w:pPr>
        <w:pStyle w:val="ListParagraph"/>
        <w:numPr>
          <w:ilvl w:val="0"/>
          <w:numId w:val="14"/>
        </w:numPr>
        <w:tabs>
          <w:tab w:pos="2702" w:val="left" w:leader="none"/>
        </w:tabs>
        <w:spacing w:line="240" w:lineRule="auto" w:before="119" w:after="0"/>
        <w:ind w:left="2702" w:right="2317" w:hanging="358"/>
        <w:jc w:val="both"/>
        <w:rPr>
          <w:sz w:val="22"/>
        </w:rPr>
      </w:pPr>
      <w:r>
        <w:rPr>
          <w:sz w:val="22"/>
        </w:rPr>
        <w:t>En</w:t>
      </w:r>
      <w:r>
        <w:rPr>
          <w:spacing w:val="-10"/>
          <w:sz w:val="22"/>
        </w:rPr>
        <w:t> </w:t>
      </w:r>
      <w:r>
        <w:rPr>
          <w:sz w:val="22"/>
        </w:rPr>
        <w:t>conjunto,</w:t>
      </w:r>
      <w:r>
        <w:rPr>
          <w:spacing w:val="-8"/>
          <w:sz w:val="22"/>
        </w:rPr>
        <w:t> </w:t>
      </w:r>
      <w:r>
        <w:rPr>
          <w:sz w:val="22"/>
        </w:rPr>
        <w:t>estos</w:t>
      </w:r>
      <w:r>
        <w:rPr>
          <w:spacing w:val="-10"/>
          <w:sz w:val="22"/>
        </w:rPr>
        <w:t> </w:t>
      </w:r>
      <w:r>
        <w:rPr>
          <w:sz w:val="22"/>
        </w:rPr>
        <w:t>rasgos</w:t>
      </w:r>
      <w:r>
        <w:rPr>
          <w:spacing w:val="-9"/>
          <w:sz w:val="22"/>
        </w:rPr>
        <w:t> </w:t>
      </w:r>
      <w:r>
        <w:rPr>
          <w:sz w:val="22"/>
        </w:rPr>
        <w:t>muestran</w:t>
      </w:r>
      <w:r>
        <w:rPr>
          <w:spacing w:val="-10"/>
          <w:sz w:val="22"/>
        </w:rPr>
        <w:t> </w:t>
      </w:r>
      <w:r>
        <w:rPr>
          <w:sz w:val="22"/>
        </w:rPr>
        <w:t>que</w:t>
      </w:r>
      <w:r>
        <w:rPr>
          <w:spacing w:val="-10"/>
          <w:sz w:val="22"/>
        </w:rPr>
        <w:t> </w:t>
      </w:r>
      <w:r>
        <w:rPr>
          <w:sz w:val="22"/>
        </w:rPr>
        <w:t>la</w:t>
      </w:r>
      <w:r>
        <w:rPr>
          <w:spacing w:val="-10"/>
          <w:sz w:val="22"/>
        </w:rPr>
        <w:t> </w:t>
      </w:r>
      <w:r>
        <w:rPr>
          <w:sz w:val="22"/>
        </w:rPr>
        <w:t>pobreza</w:t>
      </w:r>
      <w:r>
        <w:rPr>
          <w:spacing w:val="-10"/>
          <w:sz w:val="22"/>
        </w:rPr>
        <w:t> </w:t>
      </w:r>
      <w:r>
        <w:rPr>
          <w:sz w:val="22"/>
        </w:rPr>
        <w:t>no</w:t>
      </w:r>
      <w:r>
        <w:rPr>
          <w:spacing w:val="-10"/>
          <w:sz w:val="22"/>
        </w:rPr>
        <w:t> </w:t>
      </w:r>
      <w:r>
        <w:rPr>
          <w:sz w:val="22"/>
        </w:rPr>
        <w:t>responde</w:t>
      </w:r>
      <w:r>
        <w:rPr>
          <w:spacing w:val="-10"/>
          <w:sz w:val="22"/>
        </w:rPr>
        <w:t> </w:t>
      </w:r>
      <w:r>
        <w:rPr>
          <w:sz w:val="22"/>
        </w:rPr>
        <w:t>a</w:t>
      </w:r>
      <w:r>
        <w:rPr>
          <w:spacing w:val="-10"/>
          <w:sz w:val="22"/>
        </w:rPr>
        <w:t> </w:t>
      </w:r>
      <w:r>
        <w:rPr>
          <w:sz w:val="22"/>
        </w:rPr>
        <w:t>una sola carencia, sino a la interacción entre menores ingresos laborales, rezagos educativos, cargas demográficas y de cuidado, brechas de género y segmentación ocupacional. La coexistencia de estas desventajas es particularmente relevante para identificar hogares con mayor riesgo de permanencia o reproducción intergeneracional de la pobreza y sustenta la necesidad de respuestas articuladas que combinen protección social, inclusión laboral, educación, cuidados y acceso efectivo a servicios.</w:t>
      </w:r>
    </w:p>
    <w:p>
      <w:pPr>
        <w:pStyle w:val="Heading3"/>
        <w:numPr>
          <w:ilvl w:val="2"/>
          <w:numId w:val="5"/>
        </w:numPr>
        <w:tabs>
          <w:tab w:pos="2224" w:val="left" w:leader="none"/>
        </w:tabs>
        <w:spacing w:line="240" w:lineRule="auto" w:before="118" w:after="0"/>
        <w:ind w:left="2224" w:right="0" w:hanging="599"/>
        <w:jc w:val="both"/>
      </w:pPr>
      <w:r>
        <w:rPr/>
        <w:t>Árbol</w:t>
      </w:r>
      <w:r>
        <w:rPr>
          <w:spacing w:val="-3"/>
        </w:rPr>
        <w:t> </w:t>
      </w:r>
      <w:r>
        <w:rPr/>
        <w:t>de</w:t>
      </w:r>
      <w:r>
        <w:rPr>
          <w:spacing w:val="-1"/>
        </w:rPr>
        <w:t> </w:t>
      </w:r>
      <w:r>
        <w:rPr>
          <w:spacing w:val="-2"/>
        </w:rPr>
        <w:t>problemas</w:t>
      </w:r>
    </w:p>
    <w:p>
      <w:pPr>
        <w:pStyle w:val="BodyText"/>
        <w:spacing w:before="275"/>
        <w:ind w:left="1625" w:right="1602"/>
        <w:jc w:val="both"/>
      </w:pPr>
      <w:r>
        <w:rPr/>
        <w:t>A la luz de la Política Costa Rica Impulsa y su plan de acción y de cara a priorizar los problemas por abordar, se consideró importante acompañar el diagnóstico con la herramienta metodológica del denominado árbol de problemas para capturar mejor la esencia de esos problemas prioritarios, vinculándolos a las consecuencias observadas de su interacción (efectos) y a partir de las causas (problemas raíz), establecer las estrategias de acción.</w:t>
      </w:r>
    </w:p>
    <w:p>
      <w:pPr>
        <w:pStyle w:val="BodyText"/>
        <w:spacing w:before="1"/>
      </w:pPr>
    </w:p>
    <w:p>
      <w:pPr>
        <w:pStyle w:val="BodyText"/>
        <w:ind w:left="1625" w:right="1604"/>
        <w:jc w:val="both"/>
      </w:pPr>
      <w:r>
        <w:rPr/>
        <w:t>Las causas profundas tienen que ver con las debilidades del crecimiento económico, un tejido institucional con</w:t>
      </w:r>
      <w:r>
        <w:rPr>
          <w:spacing w:val="-2"/>
        </w:rPr>
        <w:t> </w:t>
      </w:r>
      <w:r>
        <w:rPr/>
        <w:t>problemas para sostener su efectiva articulación como política de Estado, el desacople de la fuerza de trabajo con las fuentes de mayor dinamismo económico, la concentración de oportunidades en el Valle Central como factor ralentizador de los ritmos de progreso económico y social, lo que nos lleva a la construcción del siguiente problema central.</w:t>
      </w:r>
    </w:p>
    <w:p>
      <w:pPr>
        <w:pStyle w:val="BodyText"/>
        <w:spacing w:after="0"/>
        <w:jc w:val="both"/>
        <w:sectPr>
          <w:pgSz w:w="12240" w:h="15840"/>
          <w:pgMar w:header="0" w:footer="1576" w:top="1000" w:bottom="1760" w:left="360" w:right="0"/>
        </w:sectPr>
      </w:pPr>
    </w:p>
    <w:p>
      <w:pPr>
        <w:pStyle w:val="Heading5"/>
        <w:spacing w:before="69"/>
        <w:ind w:left="2705"/>
        <w:jc w:val="both"/>
      </w:pPr>
      <w:r>
        <w:rPr/>
        <w:t>Problema</w:t>
      </w:r>
      <w:r>
        <w:rPr>
          <w:spacing w:val="-9"/>
        </w:rPr>
        <w:t> </w:t>
      </w:r>
      <w:r>
        <w:rPr>
          <w:spacing w:val="-2"/>
        </w:rPr>
        <w:t>Central:</w:t>
      </w:r>
    </w:p>
    <w:p>
      <w:pPr>
        <w:pStyle w:val="BodyText"/>
        <w:spacing w:before="2"/>
        <w:ind w:left="1625" w:right="1602"/>
        <w:jc w:val="both"/>
      </w:pPr>
      <w:r>
        <w:rPr/>
        <w:t>“Persistencia</w:t>
      </w:r>
      <w:r>
        <w:rPr>
          <w:spacing w:val="-2"/>
        </w:rPr>
        <w:t> </w:t>
      </w:r>
      <w:r>
        <w:rPr/>
        <w:t>de</w:t>
      </w:r>
      <w:r>
        <w:rPr>
          <w:spacing w:val="-2"/>
        </w:rPr>
        <w:t> </w:t>
      </w:r>
      <w:r>
        <w:rPr/>
        <w:t>la</w:t>
      </w:r>
      <w:r>
        <w:rPr>
          <w:spacing w:val="-2"/>
        </w:rPr>
        <w:t> </w:t>
      </w:r>
      <w:r>
        <w:rPr/>
        <w:t>pobreza</w:t>
      </w:r>
      <w:r>
        <w:rPr>
          <w:spacing w:val="-2"/>
        </w:rPr>
        <w:t> </w:t>
      </w:r>
      <w:r>
        <w:rPr/>
        <w:t>y</w:t>
      </w:r>
      <w:r>
        <w:rPr>
          <w:spacing w:val="-1"/>
        </w:rPr>
        <w:t> </w:t>
      </w:r>
      <w:r>
        <w:rPr/>
        <w:t>la</w:t>
      </w:r>
      <w:r>
        <w:rPr>
          <w:spacing w:val="-2"/>
        </w:rPr>
        <w:t> </w:t>
      </w:r>
      <w:r>
        <w:rPr/>
        <w:t>desigualdad</w:t>
      </w:r>
      <w:r>
        <w:rPr>
          <w:spacing w:val="-2"/>
        </w:rPr>
        <w:t> </w:t>
      </w:r>
      <w:r>
        <w:rPr/>
        <w:t>en</w:t>
      </w:r>
      <w:r>
        <w:rPr>
          <w:spacing w:val="-2"/>
        </w:rPr>
        <w:t> </w:t>
      </w:r>
      <w:r>
        <w:rPr/>
        <w:t>Costa</w:t>
      </w:r>
      <w:r>
        <w:rPr>
          <w:spacing w:val="-1"/>
        </w:rPr>
        <w:t> </w:t>
      </w:r>
      <w:r>
        <w:rPr/>
        <w:t>Rica</w:t>
      </w:r>
      <w:r>
        <w:rPr>
          <w:spacing w:val="-2"/>
        </w:rPr>
        <w:t> </w:t>
      </w:r>
      <w:r>
        <w:rPr/>
        <w:t>debido</w:t>
      </w:r>
      <w:r>
        <w:rPr>
          <w:spacing w:val="-2"/>
        </w:rPr>
        <w:t> </w:t>
      </w:r>
      <w:r>
        <w:rPr/>
        <w:t>a</w:t>
      </w:r>
      <w:r>
        <w:rPr>
          <w:spacing w:val="-2"/>
        </w:rPr>
        <w:t> </w:t>
      </w:r>
      <w:r>
        <w:rPr/>
        <w:t>la</w:t>
      </w:r>
      <w:r>
        <w:rPr>
          <w:spacing w:val="-2"/>
        </w:rPr>
        <w:t> </w:t>
      </w:r>
      <w:r>
        <w:rPr/>
        <w:t>limitada</w:t>
      </w:r>
      <w:r>
        <w:rPr>
          <w:spacing w:val="-2"/>
        </w:rPr>
        <w:t> </w:t>
      </w:r>
      <w:r>
        <w:rPr/>
        <w:t>inclusión económica,</w:t>
      </w:r>
      <w:r>
        <w:rPr>
          <w:spacing w:val="-11"/>
        </w:rPr>
        <w:t> </w:t>
      </w:r>
      <w:r>
        <w:rPr/>
        <w:t>el</w:t>
      </w:r>
      <w:r>
        <w:rPr>
          <w:spacing w:val="-11"/>
        </w:rPr>
        <w:t> </w:t>
      </w:r>
      <w:r>
        <w:rPr/>
        <w:t>desacople</w:t>
      </w:r>
      <w:r>
        <w:rPr>
          <w:spacing w:val="-10"/>
        </w:rPr>
        <w:t> </w:t>
      </w:r>
      <w:r>
        <w:rPr/>
        <w:t>laboral,</w:t>
      </w:r>
      <w:r>
        <w:rPr>
          <w:spacing w:val="-11"/>
        </w:rPr>
        <w:t> </w:t>
      </w:r>
      <w:r>
        <w:rPr/>
        <w:t>la</w:t>
      </w:r>
      <w:r>
        <w:rPr>
          <w:spacing w:val="-10"/>
        </w:rPr>
        <w:t> </w:t>
      </w:r>
      <w:r>
        <w:rPr/>
        <w:t>concentración</w:t>
      </w:r>
      <w:r>
        <w:rPr>
          <w:spacing w:val="-10"/>
        </w:rPr>
        <w:t> </w:t>
      </w:r>
      <w:r>
        <w:rPr/>
        <w:t>de</w:t>
      </w:r>
      <w:r>
        <w:rPr>
          <w:spacing w:val="-13"/>
        </w:rPr>
        <w:t> </w:t>
      </w:r>
      <w:r>
        <w:rPr/>
        <w:t>oportunidades</w:t>
      </w:r>
      <w:r>
        <w:rPr>
          <w:spacing w:val="-10"/>
        </w:rPr>
        <w:t> </w:t>
      </w:r>
      <w:r>
        <w:rPr/>
        <w:t>y</w:t>
      </w:r>
      <w:r>
        <w:rPr>
          <w:spacing w:val="-12"/>
        </w:rPr>
        <w:t> </w:t>
      </w:r>
      <w:r>
        <w:rPr/>
        <w:t>la</w:t>
      </w:r>
      <w:r>
        <w:rPr>
          <w:spacing w:val="-12"/>
        </w:rPr>
        <w:t> </w:t>
      </w:r>
      <w:r>
        <w:rPr/>
        <w:t>débil</w:t>
      </w:r>
      <w:r>
        <w:rPr>
          <w:spacing w:val="-11"/>
        </w:rPr>
        <w:t> </w:t>
      </w:r>
      <w:r>
        <w:rPr/>
        <w:t>articulación </w:t>
      </w:r>
      <w:r>
        <w:rPr>
          <w:spacing w:val="-2"/>
        </w:rPr>
        <w:t>institucional.”</w:t>
      </w:r>
    </w:p>
    <w:p>
      <w:pPr>
        <w:pStyle w:val="Heading5"/>
        <w:spacing w:before="252"/>
        <w:ind w:left="2705"/>
      </w:pPr>
      <w:r>
        <w:rPr/>
        <w:t>Causas</w:t>
      </w:r>
      <w:r>
        <w:rPr>
          <w:spacing w:val="-5"/>
        </w:rPr>
        <w:t> </w:t>
      </w:r>
      <w:r>
        <w:rPr>
          <w:spacing w:val="-2"/>
        </w:rPr>
        <w:t>(Raíces):</w:t>
      </w:r>
    </w:p>
    <w:p>
      <w:pPr>
        <w:pStyle w:val="ListParagraph"/>
        <w:numPr>
          <w:ilvl w:val="0"/>
          <w:numId w:val="15"/>
        </w:numPr>
        <w:tabs>
          <w:tab w:pos="3063" w:val="left" w:leader="none"/>
          <w:tab w:pos="3065" w:val="left" w:leader="none"/>
        </w:tabs>
        <w:spacing w:line="240" w:lineRule="auto" w:before="1" w:after="0"/>
        <w:ind w:left="3065" w:right="3050" w:hanging="360"/>
        <w:jc w:val="left"/>
        <w:rPr>
          <w:sz w:val="22"/>
        </w:rPr>
      </w:pPr>
      <w:r>
        <w:rPr>
          <w:sz w:val="22"/>
        </w:rPr>
        <w:t>Dificultad</w:t>
      </w:r>
      <w:r>
        <w:rPr>
          <w:spacing w:val="-5"/>
          <w:sz w:val="22"/>
        </w:rPr>
        <w:t> </w:t>
      </w:r>
      <w:r>
        <w:rPr>
          <w:sz w:val="22"/>
        </w:rPr>
        <w:t>de</w:t>
      </w:r>
      <w:r>
        <w:rPr>
          <w:spacing w:val="-5"/>
          <w:sz w:val="22"/>
        </w:rPr>
        <w:t> </w:t>
      </w:r>
      <w:r>
        <w:rPr>
          <w:sz w:val="22"/>
        </w:rPr>
        <w:t>las</w:t>
      </w:r>
      <w:r>
        <w:rPr>
          <w:spacing w:val="-5"/>
          <w:sz w:val="22"/>
        </w:rPr>
        <w:t> </w:t>
      </w:r>
      <w:r>
        <w:rPr>
          <w:sz w:val="22"/>
        </w:rPr>
        <w:t>poblaciones</w:t>
      </w:r>
      <w:r>
        <w:rPr>
          <w:spacing w:val="-4"/>
          <w:sz w:val="22"/>
        </w:rPr>
        <w:t> </w:t>
      </w:r>
      <w:r>
        <w:rPr>
          <w:sz w:val="22"/>
        </w:rPr>
        <w:t>vulnerables</w:t>
      </w:r>
      <w:r>
        <w:rPr>
          <w:spacing w:val="-5"/>
          <w:sz w:val="22"/>
        </w:rPr>
        <w:t> </w:t>
      </w:r>
      <w:r>
        <w:rPr>
          <w:sz w:val="22"/>
        </w:rPr>
        <w:t>para</w:t>
      </w:r>
      <w:r>
        <w:rPr>
          <w:spacing w:val="-7"/>
          <w:sz w:val="22"/>
        </w:rPr>
        <w:t> </w:t>
      </w:r>
      <w:r>
        <w:rPr>
          <w:sz w:val="22"/>
        </w:rPr>
        <w:t>vincularse</w:t>
      </w:r>
      <w:r>
        <w:rPr>
          <w:spacing w:val="-4"/>
          <w:sz w:val="22"/>
        </w:rPr>
        <w:t> </w:t>
      </w:r>
      <w:r>
        <w:rPr>
          <w:sz w:val="22"/>
        </w:rPr>
        <w:t>al crecimiento económico.</w:t>
      </w:r>
    </w:p>
    <w:p>
      <w:pPr>
        <w:pStyle w:val="ListParagraph"/>
        <w:numPr>
          <w:ilvl w:val="1"/>
          <w:numId w:val="15"/>
        </w:numPr>
        <w:tabs>
          <w:tab w:pos="3682" w:val="left" w:leader="none"/>
        </w:tabs>
        <w:spacing w:line="251" w:lineRule="exact" w:before="0" w:after="0"/>
        <w:ind w:left="3682" w:right="0" w:hanging="356"/>
        <w:jc w:val="left"/>
        <w:rPr>
          <w:sz w:val="22"/>
        </w:rPr>
      </w:pPr>
      <w:r>
        <w:rPr>
          <w:sz w:val="22"/>
        </w:rPr>
        <w:t>Barreras</w:t>
      </w:r>
      <w:r>
        <w:rPr>
          <w:spacing w:val="-5"/>
          <w:sz w:val="22"/>
        </w:rPr>
        <w:t> </w:t>
      </w:r>
      <w:r>
        <w:rPr>
          <w:sz w:val="22"/>
        </w:rPr>
        <w:t>de</w:t>
      </w:r>
      <w:r>
        <w:rPr>
          <w:spacing w:val="-5"/>
          <w:sz w:val="22"/>
        </w:rPr>
        <w:t> </w:t>
      </w:r>
      <w:r>
        <w:rPr>
          <w:sz w:val="22"/>
        </w:rPr>
        <w:t>acceso</w:t>
      </w:r>
      <w:r>
        <w:rPr>
          <w:spacing w:val="-4"/>
          <w:sz w:val="22"/>
        </w:rPr>
        <w:t> </w:t>
      </w:r>
      <w:r>
        <w:rPr>
          <w:sz w:val="22"/>
        </w:rPr>
        <w:t>a</w:t>
      </w:r>
      <w:r>
        <w:rPr>
          <w:spacing w:val="-3"/>
          <w:sz w:val="22"/>
        </w:rPr>
        <w:t> </w:t>
      </w:r>
      <w:r>
        <w:rPr>
          <w:sz w:val="22"/>
        </w:rPr>
        <w:t>empleo</w:t>
      </w:r>
      <w:r>
        <w:rPr>
          <w:spacing w:val="-2"/>
          <w:sz w:val="22"/>
        </w:rPr>
        <w:t> formal.</w:t>
      </w:r>
    </w:p>
    <w:p>
      <w:pPr>
        <w:pStyle w:val="ListParagraph"/>
        <w:numPr>
          <w:ilvl w:val="1"/>
          <w:numId w:val="15"/>
        </w:numPr>
        <w:tabs>
          <w:tab w:pos="3682" w:val="left" w:leader="none"/>
        </w:tabs>
        <w:spacing w:line="252" w:lineRule="exact" w:before="1" w:after="0"/>
        <w:ind w:left="3682" w:right="0" w:hanging="356"/>
        <w:jc w:val="left"/>
        <w:rPr>
          <w:sz w:val="22"/>
        </w:rPr>
      </w:pPr>
      <w:r>
        <w:rPr>
          <w:sz w:val="22"/>
        </w:rPr>
        <w:t>Brechas</w:t>
      </w:r>
      <w:r>
        <w:rPr>
          <w:spacing w:val="-5"/>
          <w:sz w:val="22"/>
        </w:rPr>
        <w:t> </w:t>
      </w:r>
      <w:r>
        <w:rPr>
          <w:sz w:val="22"/>
        </w:rPr>
        <w:t>en</w:t>
      </w:r>
      <w:r>
        <w:rPr>
          <w:spacing w:val="-6"/>
          <w:sz w:val="22"/>
        </w:rPr>
        <w:t> </w:t>
      </w:r>
      <w:r>
        <w:rPr>
          <w:sz w:val="22"/>
        </w:rPr>
        <w:t>educación</w:t>
      </w:r>
      <w:r>
        <w:rPr>
          <w:spacing w:val="-6"/>
          <w:sz w:val="22"/>
        </w:rPr>
        <w:t> </w:t>
      </w:r>
      <w:r>
        <w:rPr>
          <w:sz w:val="22"/>
        </w:rPr>
        <w:t>y</w:t>
      </w:r>
      <w:r>
        <w:rPr>
          <w:spacing w:val="-6"/>
          <w:sz w:val="22"/>
        </w:rPr>
        <w:t> </w:t>
      </w:r>
      <w:r>
        <w:rPr>
          <w:sz w:val="22"/>
        </w:rPr>
        <w:t>formación</w:t>
      </w:r>
      <w:r>
        <w:rPr>
          <w:spacing w:val="-6"/>
          <w:sz w:val="22"/>
        </w:rPr>
        <w:t> </w:t>
      </w:r>
      <w:r>
        <w:rPr>
          <w:spacing w:val="-2"/>
          <w:sz w:val="22"/>
        </w:rPr>
        <w:t>técnica.</w:t>
      </w:r>
    </w:p>
    <w:p>
      <w:pPr>
        <w:pStyle w:val="ListParagraph"/>
        <w:numPr>
          <w:ilvl w:val="1"/>
          <w:numId w:val="15"/>
        </w:numPr>
        <w:tabs>
          <w:tab w:pos="3682" w:val="left" w:leader="none"/>
        </w:tabs>
        <w:spacing w:line="240" w:lineRule="auto" w:before="0" w:after="0"/>
        <w:ind w:left="3682" w:right="3046" w:hanging="356"/>
        <w:jc w:val="left"/>
        <w:rPr>
          <w:sz w:val="22"/>
        </w:rPr>
      </w:pPr>
      <w:r>
        <w:rPr>
          <w:sz w:val="22"/>
        </w:rPr>
        <w:t>Falta</w:t>
      </w:r>
      <w:r>
        <w:rPr>
          <w:spacing w:val="-4"/>
          <w:sz w:val="22"/>
        </w:rPr>
        <w:t> </w:t>
      </w:r>
      <w:r>
        <w:rPr>
          <w:sz w:val="22"/>
        </w:rPr>
        <w:t>de</w:t>
      </w:r>
      <w:r>
        <w:rPr>
          <w:spacing w:val="-5"/>
          <w:sz w:val="22"/>
        </w:rPr>
        <w:t> </w:t>
      </w:r>
      <w:r>
        <w:rPr>
          <w:sz w:val="22"/>
        </w:rPr>
        <w:t>redes</w:t>
      </w:r>
      <w:r>
        <w:rPr>
          <w:spacing w:val="-5"/>
          <w:sz w:val="22"/>
        </w:rPr>
        <w:t> </w:t>
      </w:r>
      <w:r>
        <w:rPr>
          <w:sz w:val="22"/>
        </w:rPr>
        <w:t>de</w:t>
      </w:r>
      <w:r>
        <w:rPr>
          <w:spacing w:val="-4"/>
          <w:sz w:val="22"/>
        </w:rPr>
        <w:t> </w:t>
      </w:r>
      <w:r>
        <w:rPr>
          <w:sz w:val="22"/>
        </w:rPr>
        <w:t>apoyo</w:t>
      </w:r>
      <w:r>
        <w:rPr>
          <w:spacing w:val="-8"/>
          <w:sz w:val="22"/>
        </w:rPr>
        <w:t> </w:t>
      </w:r>
      <w:r>
        <w:rPr>
          <w:sz w:val="22"/>
        </w:rPr>
        <w:t>para</w:t>
      </w:r>
      <w:r>
        <w:rPr>
          <w:spacing w:val="-4"/>
          <w:sz w:val="22"/>
        </w:rPr>
        <w:t> </w:t>
      </w:r>
      <w:r>
        <w:rPr>
          <w:sz w:val="22"/>
        </w:rPr>
        <w:t>el</w:t>
      </w:r>
      <w:r>
        <w:rPr>
          <w:spacing w:val="-4"/>
          <w:sz w:val="22"/>
        </w:rPr>
        <w:t> </w:t>
      </w:r>
      <w:r>
        <w:rPr>
          <w:sz w:val="22"/>
        </w:rPr>
        <w:t>emprendimiento</w:t>
      </w:r>
      <w:r>
        <w:rPr>
          <w:spacing w:val="-5"/>
          <w:sz w:val="22"/>
        </w:rPr>
        <w:t> </w:t>
      </w:r>
      <w:r>
        <w:rPr>
          <w:sz w:val="22"/>
        </w:rPr>
        <w:t>y</w:t>
      </w:r>
      <w:r>
        <w:rPr>
          <w:spacing w:val="-3"/>
          <w:sz w:val="22"/>
        </w:rPr>
        <w:t> </w:t>
      </w:r>
      <w:r>
        <w:rPr>
          <w:sz w:val="22"/>
        </w:rPr>
        <w:t>la producción local.</w:t>
      </w:r>
    </w:p>
    <w:p>
      <w:pPr>
        <w:pStyle w:val="ListParagraph"/>
        <w:numPr>
          <w:ilvl w:val="0"/>
          <w:numId w:val="15"/>
        </w:numPr>
        <w:tabs>
          <w:tab w:pos="3056" w:val="left" w:leader="none"/>
          <w:tab w:pos="3058" w:val="left" w:leader="none"/>
        </w:tabs>
        <w:spacing w:line="240" w:lineRule="auto" w:before="252" w:after="0"/>
        <w:ind w:left="3058" w:right="2998" w:hanging="356"/>
        <w:jc w:val="left"/>
        <w:rPr>
          <w:sz w:val="22"/>
        </w:rPr>
      </w:pPr>
      <w:r>
        <w:rPr>
          <w:sz w:val="22"/>
        </w:rPr>
        <w:t>Desacople</w:t>
      </w:r>
      <w:r>
        <w:rPr>
          <w:spacing w:val="-3"/>
          <w:sz w:val="22"/>
        </w:rPr>
        <w:t> </w:t>
      </w:r>
      <w:r>
        <w:rPr>
          <w:sz w:val="22"/>
        </w:rPr>
        <w:t>entre</w:t>
      </w:r>
      <w:r>
        <w:rPr>
          <w:spacing w:val="-5"/>
          <w:sz w:val="22"/>
        </w:rPr>
        <w:t> </w:t>
      </w:r>
      <w:r>
        <w:rPr>
          <w:sz w:val="22"/>
        </w:rPr>
        <w:t>la</w:t>
      </w:r>
      <w:r>
        <w:rPr>
          <w:spacing w:val="-5"/>
          <w:sz w:val="22"/>
        </w:rPr>
        <w:t> </w:t>
      </w:r>
      <w:r>
        <w:rPr>
          <w:sz w:val="22"/>
        </w:rPr>
        <w:t>fuerza</w:t>
      </w:r>
      <w:r>
        <w:rPr>
          <w:spacing w:val="-3"/>
          <w:sz w:val="22"/>
        </w:rPr>
        <w:t> </w:t>
      </w:r>
      <w:r>
        <w:rPr>
          <w:sz w:val="22"/>
        </w:rPr>
        <w:t>de</w:t>
      </w:r>
      <w:r>
        <w:rPr>
          <w:spacing w:val="-5"/>
          <w:sz w:val="22"/>
        </w:rPr>
        <w:t> </w:t>
      </w:r>
      <w:r>
        <w:rPr>
          <w:sz w:val="22"/>
        </w:rPr>
        <w:t>trabajo</w:t>
      </w:r>
      <w:r>
        <w:rPr>
          <w:spacing w:val="-3"/>
          <w:sz w:val="22"/>
        </w:rPr>
        <w:t> </w:t>
      </w:r>
      <w:r>
        <w:rPr>
          <w:sz w:val="22"/>
        </w:rPr>
        <w:t>y</w:t>
      </w:r>
      <w:r>
        <w:rPr>
          <w:spacing w:val="-4"/>
          <w:sz w:val="22"/>
        </w:rPr>
        <w:t> </w:t>
      </w:r>
      <w:r>
        <w:rPr>
          <w:sz w:val="22"/>
        </w:rPr>
        <w:t>las</w:t>
      </w:r>
      <w:r>
        <w:rPr>
          <w:spacing w:val="-5"/>
          <w:sz w:val="22"/>
        </w:rPr>
        <w:t> </w:t>
      </w:r>
      <w:r>
        <w:rPr>
          <w:sz w:val="22"/>
        </w:rPr>
        <w:t>fuentes</w:t>
      </w:r>
      <w:r>
        <w:rPr>
          <w:spacing w:val="-2"/>
          <w:sz w:val="22"/>
        </w:rPr>
        <w:t> </w:t>
      </w:r>
      <w:r>
        <w:rPr>
          <w:sz w:val="22"/>
        </w:rPr>
        <w:t>de</w:t>
      </w:r>
      <w:r>
        <w:rPr>
          <w:spacing w:val="-5"/>
          <w:sz w:val="22"/>
        </w:rPr>
        <w:t> </w:t>
      </w:r>
      <w:r>
        <w:rPr>
          <w:sz w:val="22"/>
        </w:rPr>
        <w:t>mayor dinamismo económico.</w:t>
      </w:r>
    </w:p>
    <w:p>
      <w:pPr>
        <w:pStyle w:val="ListParagraph"/>
        <w:numPr>
          <w:ilvl w:val="1"/>
          <w:numId w:val="15"/>
        </w:numPr>
        <w:tabs>
          <w:tab w:pos="3682" w:val="left" w:leader="none"/>
        </w:tabs>
        <w:spacing w:line="240" w:lineRule="auto" w:before="1" w:after="0"/>
        <w:ind w:left="3682" w:right="2619" w:hanging="356"/>
        <w:jc w:val="left"/>
        <w:rPr>
          <w:sz w:val="22"/>
        </w:rPr>
      </w:pPr>
      <w:r>
        <w:rPr>
          <w:sz w:val="22"/>
        </w:rPr>
        <w:t>Escasa</w:t>
      </w:r>
      <w:r>
        <w:rPr>
          <w:spacing w:val="-5"/>
          <w:sz w:val="22"/>
        </w:rPr>
        <w:t> </w:t>
      </w:r>
      <w:r>
        <w:rPr>
          <w:sz w:val="22"/>
        </w:rPr>
        <w:t>alineación</w:t>
      </w:r>
      <w:r>
        <w:rPr>
          <w:spacing w:val="-5"/>
          <w:sz w:val="22"/>
        </w:rPr>
        <w:t> </w:t>
      </w:r>
      <w:r>
        <w:rPr>
          <w:sz w:val="22"/>
        </w:rPr>
        <w:t>entre</w:t>
      </w:r>
      <w:r>
        <w:rPr>
          <w:spacing w:val="-5"/>
          <w:sz w:val="22"/>
        </w:rPr>
        <w:t> </w:t>
      </w:r>
      <w:r>
        <w:rPr>
          <w:sz w:val="22"/>
        </w:rPr>
        <w:t>la</w:t>
      </w:r>
      <w:r>
        <w:rPr>
          <w:spacing w:val="-5"/>
          <w:sz w:val="22"/>
        </w:rPr>
        <w:t> </w:t>
      </w:r>
      <w:r>
        <w:rPr>
          <w:sz w:val="22"/>
        </w:rPr>
        <w:t>oferta</w:t>
      </w:r>
      <w:r>
        <w:rPr>
          <w:spacing w:val="-7"/>
          <w:sz w:val="22"/>
        </w:rPr>
        <w:t> </w:t>
      </w:r>
      <w:r>
        <w:rPr>
          <w:sz w:val="22"/>
        </w:rPr>
        <w:t>educativa</w:t>
      </w:r>
      <w:r>
        <w:rPr>
          <w:spacing w:val="-7"/>
          <w:sz w:val="22"/>
        </w:rPr>
        <w:t> </w:t>
      </w:r>
      <w:r>
        <w:rPr>
          <w:sz w:val="22"/>
        </w:rPr>
        <w:t>y</w:t>
      </w:r>
      <w:r>
        <w:rPr>
          <w:spacing w:val="-4"/>
          <w:sz w:val="22"/>
        </w:rPr>
        <w:t> </w:t>
      </w:r>
      <w:r>
        <w:rPr>
          <w:sz w:val="22"/>
        </w:rPr>
        <w:t>la</w:t>
      </w:r>
      <w:r>
        <w:rPr>
          <w:spacing w:val="-7"/>
          <w:sz w:val="22"/>
        </w:rPr>
        <w:t> </w:t>
      </w:r>
      <w:r>
        <w:rPr>
          <w:sz w:val="22"/>
        </w:rPr>
        <w:t>demanda del mercado laboral.</w:t>
      </w:r>
    </w:p>
    <w:p>
      <w:pPr>
        <w:pStyle w:val="ListParagraph"/>
        <w:numPr>
          <w:ilvl w:val="1"/>
          <w:numId w:val="15"/>
        </w:numPr>
        <w:tabs>
          <w:tab w:pos="3682" w:val="left" w:leader="none"/>
        </w:tabs>
        <w:spacing w:line="252" w:lineRule="exact" w:before="1" w:after="0"/>
        <w:ind w:left="3682" w:right="0" w:hanging="356"/>
        <w:jc w:val="left"/>
        <w:rPr>
          <w:sz w:val="22"/>
        </w:rPr>
      </w:pPr>
      <w:r>
        <w:rPr>
          <w:sz w:val="22"/>
        </w:rPr>
        <w:t>Desigualdad</w:t>
      </w:r>
      <w:r>
        <w:rPr>
          <w:spacing w:val="-5"/>
          <w:sz w:val="22"/>
        </w:rPr>
        <w:t> </w:t>
      </w:r>
      <w:r>
        <w:rPr>
          <w:sz w:val="22"/>
        </w:rPr>
        <w:t>territorial</w:t>
      </w:r>
      <w:r>
        <w:rPr>
          <w:spacing w:val="-5"/>
          <w:sz w:val="22"/>
        </w:rPr>
        <w:t> </w:t>
      </w:r>
      <w:r>
        <w:rPr>
          <w:sz w:val="22"/>
        </w:rPr>
        <w:t>en</w:t>
      </w:r>
      <w:r>
        <w:rPr>
          <w:spacing w:val="-7"/>
          <w:sz w:val="22"/>
        </w:rPr>
        <w:t> </w:t>
      </w:r>
      <w:r>
        <w:rPr>
          <w:sz w:val="22"/>
        </w:rPr>
        <w:t>acceso</w:t>
      </w:r>
      <w:r>
        <w:rPr>
          <w:spacing w:val="-7"/>
          <w:sz w:val="22"/>
        </w:rPr>
        <w:t> </w:t>
      </w:r>
      <w:r>
        <w:rPr>
          <w:sz w:val="22"/>
        </w:rPr>
        <w:t>a</w:t>
      </w:r>
      <w:r>
        <w:rPr>
          <w:spacing w:val="-5"/>
          <w:sz w:val="22"/>
        </w:rPr>
        <w:t> </w:t>
      </w:r>
      <w:r>
        <w:rPr>
          <w:sz w:val="22"/>
        </w:rPr>
        <w:t>empleos</w:t>
      </w:r>
      <w:r>
        <w:rPr>
          <w:spacing w:val="-4"/>
          <w:sz w:val="22"/>
        </w:rPr>
        <w:t> </w:t>
      </w:r>
      <w:r>
        <w:rPr>
          <w:sz w:val="22"/>
        </w:rPr>
        <w:t>de</w:t>
      </w:r>
      <w:r>
        <w:rPr>
          <w:spacing w:val="-6"/>
          <w:sz w:val="22"/>
        </w:rPr>
        <w:t> </w:t>
      </w:r>
      <w:r>
        <w:rPr>
          <w:spacing w:val="-2"/>
          <w:sz w:val="22"/>
        </w:rPr>
        <w:t>calidad.</w:t>
      </w:r>
    </w:p>
    <w:p>
      <w:pPr>
        <w:pStyle w:val="ListParagraph"/>
        <w:numPr>
          <w:ilvl w:val="1"/>
          <w:numId w:val="15"/>
        </w:numPr>
        <w:tabs>
          <w:tab w:pos="3682" w:val="left" w:leader="none"/>
        </w:tabs>
        <w:spacing w:line="252" w:lineRule="exact" w:before="0" w:after="0"/>
        <w:ind w:left="3682" w:right="0" w:hanging="356"/>
        <w:jc w:val="left"/>
        <w:rPr>
          <w:sz w:val="22"/>
        </w:rPr>
      </w:pPr>
      <w:r>
        <w:rPr>
          <w:sz w:val="22"/>
        </w:rPr>
        <w:t>Falta</w:t>
      </w:r>
      <w:r>
        <w:rPr>
          <w:spacing w:val="-8"/>
          <w:sz w:val="22"/>
        </w:rPr>
        <w:t> </w:t>
      </w:r>
      <w:r>
        <w:rPr>
          <w:sz w:val="22"/>
        </w:rPr>
        <w:t>de</w:t>
      </w:r>
      <w:r>
        <w:rPr>
          <w:spacing w:val="-6"/>
          <w:sz w:val="22"/>
        </w:rPr>
        <w:t> </w:t>
      </w:r>
      <w:r>
        <w:rPr>
          <w:sz w:val="22"/>
        </w:rPr>
        <w:t>programas</w:t>
      </w:r>
      <w:r>
        <w:rPr>
          <w:spacing w:val="-7"/>
          <w:sz w:val="22"/>
        </w:rPr>
        <w:t> </w:t>
      </w:r>
      <w:r>
        <w:rPr>
          <w:sz w:val="22"/>
        </w:rPr>
        <w:t>efectivos</w:t>
      </w:r>
      <w:r>
        <w:rPr>
          <w:spacing w:val="-6"/>
          <w:sz w:val="22"/>
        </w:rPr>
        <w:t> </w:t>
      </w:r>
      <w:r>
        <w:rPr>
          <w:sz w:val="22"/>
        </w:rPr>
        <w:t>de</w:t>
      </w:r>
      <w:r>
        <w:rPr>
          <w:spacing w:val="-7"/>
          <w:sz w:val="22"/>
        </w:rPr>
        <w:t> </w:t>
      </w:r>
      <w:r>
        <w:rPr>
          <w:sz w:val="22"/>
        </w:rPr>
        <w:t>reconversión</w:t>
      </w:r>
      <w:r>
        <w:rPr>
          <w:spacing w:val="-5"/>
          <w:sz w:val="22"/>
        </w:rPr>
        <w:t> </w:t>
      </w:r>
      <w:r>
        <w:rPr>
          <w:spacing w:val="-2"/>
          <w:sz w:val="22"/>
        </w:rPr>
        <w:t>laboral.</w:t>
      </w:r>
    </w:p>
    <w:p>
      <w:pPr>
        <w:pStyle w:val="BodyText"/>
      </w:pPr>
    </w:p>
    <w:p>
      <w:pPr>
        <w:pStyle w:val="ListParagraph"/>
        <w:numPr>
          <w:ilvl w:val="0"/>
          <w:numId w:val="15"/>
        </w:numPr>
        <w:tabs>
          <w:tab w:pos="3056" w:val="left" w:leader="none"/>
        </w:tabs>
        <w:spacing w:line="240" w:lineRule="auto" w:before="0" w:after="0"/>
        <w:ind w:left="3056" w:right="0" w:hanging="354"/>
        <w:jc w:val="left"/>
        <w:rPr>
          <w:sz w:val="22"/>
        </w:rPr>
      </w:pPr>
      <w:r>
        <w:rPr>
          <w:sz w:val="22"/>
        </w:rPr>
        <w:t>Concentración</w:t>
      </w:r>
      <w:r>
        <w:rPr>
          <w:spacing w:val="-7"/>
          <w:sz w:val="22"/>
        </w:rPr>
        <w:t> </w:t>
      </w:r>
      <w:r>
        <w:rPr>
          <w:sz w:val="22"/>
        </w:rPr>
        <w:t>de</w:t>
      </w:r>
      <w:r>
        <w:rPr>
          <w:spacing w:val="-8"/>
          <w:sz w:val="22"/>
        </w:rPr>
        <w:t> </w:t>
      </w:r>
      <w:r>
        <w:rPr>
          <w:spacing w:val="-2"/>
          <w:sz w:val="22"/>
        </w:rPr>
        <w:t>oportunidades</w:t>
      </w:r>
    </w:p>
    <w:p>
      <w:pPr>
        <w:pStyle w:val="ListParagraph"/>
        <w:numPr>
          <w:ilvl w:val="1"/>
          <w:numId w:val="15"/>
        </w:numPr>
        <w:tabs>
          <w:tab w:pos="3682" w:val="left" w:leader="none"/>
        </w:tabs>
        <w:spacing w:line="252" w:lineRule="exact" w:before="2" w:after="0"/>
        <w:ind w:left="3682" w:right="0" w:hanging="356"/>
        <w:jc w:val="left"/>
        <w:rPr>
          <w:sz w:val="22"/>
        </w:rPr>
      </w:pPr>
      <w:r>
        <w:rPr>
          <w:sz w:val="22"/>
        </w:rPr>
        <w:t>Centralización</w:t>
      </w:r>
      <w:r>
        <w:rPr>
          <w:spacing w:val="-6"/>
          <w:sz w:val="22"/>
        </w:rPr>
        <w:t> </w:t>
      </w:r>
      <w:r>
        <w:rPr>
          <w:sz w:val="22"/>
        </w:rPr>
        <w:t>de</w:t>
      </w:r>
      <w:r>
        <w:rPr>
          <w:spacing w:val="-5"/>
          <w:sz w:val="22"/>
        </w:rPr>
        <w:t> </w:t>
      </w:r>
      <w:r>
        <w:rPr>
          <w:sz w:val="22"/>
        </w:rPr>
        <w:t>servicios</w:t>
      </w:r>
      <w:r>
        <w:rPr>
          <w:spacing w:val="-5"/>
          <w:sz w:val="22"/>
        </w:rPr>
        <w:t> </w:t>
      </w:r>
      <w:r>
        <w:rPr>
          <w:sz w:val="22"/>
        </w:rPr>
        <w:t>y</w:t>
      </w:r>
      <w:r>
        <w:rPr>
          <w:spacing w:val="-5"/>
          <w:sz w:val="22"/>
        </w:rPr>
        <w:t> </w:t>
      </w:r>
      <w:r>
        <w:rPr>
          <w:sz w:val="22"/>
        </w:rPr>
        <w:t>empleo</w:t>
      </w:r>
      <w:r>
        <w:rPr>
          <w:spacing w:val="-5"/>
          <w:sz w:val="22"/>
        </w:rPr>
        <w:t> </w:t>
      </w:r>
      <w:r>
        <w:rPr>
          <w:sz w:val="22"/>
        </w:rPr>
        <w:t>en</w:t>
      </w:r>
      <w:r>
        <w:rPr>
          <w:spacing w:val="-7"/>
          <w:sz w:val="22"/>
        </w:rPr>
        <w:t> </w:t>
      </w:r>
      <w:r>
        <w:rPr>
          <w:sz w:val="22"/>
        </w:rPr>
        <w:t>zonas</w:t>
      </w:r>
      <w:r>
        <w:rPr>
          <w:spacing w:val="-7"/>
          <w:sz w:val="22"/>
        </w:rPr>
        <w:t> </w:t>
      </w:r>
      <w:r>
        <w:rPr>
          <w:spacing w:val="-2"/>
          <w:sz w:val="22"/>
        </w:rPr>
        <w:t>urbanas.</w:t>
      </w:r>
    </w:p>
    <w:p>
      <w:pPr>
        <w:pStyle w:val="ListParagraph"/>
        <w:numPr>
          <w:ilvl w:val="1"/>
          <w:numId w:val="15"/>
        </w:numPr>
        <w:tabs>
          <w:tab w:pos="3682" w:val="left" w:leader="none"/>
        </w:tabs>
        <w:spacing w:line="252" w:lineRule="exact" w:before="0" w:after="0"/>
        <w:ind w:left="3682" w:right="0" w:hanging="356"/>
        <w:jc w:val="left"/>
        <w:rPr>
          <w:sz w:val="22"/>
        </w:rPr>
      </w:pPr>
      <w:r>
        <w:rPr>
          <w:sz w:val="22"/>
        </w:rPr>
        <w:t>Débil</w:t>
      </w:r>
      <w:r>
        <w:rPr>
          <w:spacing w:val="-7"/>
          <w:sz w:val="22"/>
        </w:rPr>
        <w:t> </w:t>
      </w:r>
      <w:r>
        <w:rPr>
          <w:sz w:val="22"/>
        </w:rPr>
        <w:t>inversión</w:t>
      </w:r>
      <w:r>
        <w:rPr>
          <w:spacing w:val="-7"/>
          <w:sz w:val="22"/>
        </w:rPr>
        <w:t> </w:t>
      </w:r>
      <w:r>
        <w:rPr>
          <w:sz w:val="22"/>
        </w:rPr>
        <w:t>pública</w:t>
      </w:r>
      <w:r>
        <w:rPr>
          <w:spacing w:val="-7"/>
          <w:sz w:val="22"/>
        </w:rPr>
        <w:t> </w:t>
      </w:r>
      <w:r>
        <w:rPr>
          <w:sz w:val="22"/>
        </w:rPr>
        <w:t>en</w:t>
      </w:r>
      <w:r>
        <w:rPr>
          <w:spacing w:val="-7"/>
          <w:sz w:val="22"/>
        </w:rPr>
        <w:t> </w:t>
      </w:r>
      <w:r>
        <w:rPr>
          <w:sz w:val="22"/>
        </w:rPr>
        <w:t>territorios</w:t>
      </w:r>
      <w:r>
        <w:rPr>
          <w:spacing w:val="-6"/>
          <w:sz w:val="22"/>
        </w:rPr>
        <w:t> </w:t>
      </w:r>
      <w:r>
        <w:rPr>
          <w:spacing w:val="-2"/>
          <w:sz w:val="22"/>
        </w:rPr>
        <w:t>rezagados.</w:t>
      </w:r>
    </w:p>
    <w:p>
      <w:pPr>
        <w:pStyle w:val="ListParagraph"/>
        <w:numPr>
          <w:ilvl w:val="1"/>
          <w:numId w:val="15"/>
        </w:numPr>
        <w:tabs>
          <w:tab w:pos="3682" w:val="left" w:leader="none"/>
        </w:tabs>
        <w:spacing w:line="240" w:lineRule="auto" w:before="1" w:after="0"/>
        <w:ind w:left="3682" w:right="2359" w:hanging="356"/>
        <w:jc w:val="left"/>
        <w:rPr>
          <w:sz w:val="22"/>
        </w:rPr>
      </w:pPr>
      <w:r>
        <w:rPr>
          <w:sz w:val="22"/>
        </w:rPr>
        <w:t>Limitado</w:t>
      </w:r>
      <w:r>
        <w:rPr>
          <w:spacing w:val="-5"/>
          <w:sz w:val="22"/>
        </w:rPr>
        <w:t> </w:t>
      </w:r>
      <w:r>
        <w:rPr>
          <w:sz w:val="22"/>
        </w:rPr>
        <w:t>acceso</w:t>
      </w:r>
      <w:r>
        <w:rPr>
          <w:spacing w:val="-5"/>
          <w:sz w:val="22"/>
        </w:rPr>
        <w:t> </w:t>
      </w:r>
      <w:r>
        <w:rPr>
          <w:sz w:val="22"/>
        </w:rPr>
        <w:t>al</w:t>
      </w:r>
      <w:r>
        <w:rPr>
          <w:spacing w:val="-5"/>
          <w:sz w:val="22"/>
        </w:rPr>
        <w:t> </w:t>
      </w:r>
      <w:r>
        <w:rPr>
          <w:sz w:val="22"/>
        </w:rPr>
        <w:t>crédito,</w:t>
      </w:r>
      <w:r>
        <w:rPr>
          <w:spacing w:val="-6"/>
          <w:sz w:val="22"/>
        </w:rPr>
        <w:t> </w:t>
      </w:r>
      <w:r>
        <w:rPr>
          <w:sz w:val="22"/>
        </w:rPr>
        <w:t>tecnología</w:t>
      </w:r>
      <w:r>
        <w:rPr>
          <w:spacing w:val="-7"/>
          <w:sz w:val="22"/>
        </w:rPr>
        <w:t> </w:t>
      </w:r>
      <w:r>
        <w:rPr>
          <w:sz w:val="22"/>
        </w:rPr>
        <w:t>e</w:t>
      </w:r>
      <w:r>
        <w:rPr>
          <w:spacing w:val="-5"/>
          <w:sz w:val="22"/>
        </w:rPr>
        <w:t> </w:t>
      </w:r>
      <w:r>
        <w:rPr>
          <w:sz w:val="22"/>
        </w:rPr>
        <w:t>infraestructura</w:t>
      </w:r>
      <w:r>
        <w:rPr>
          <w:spacing w:val="-7"/>
          <w:sz w:val="22"/>
        </w:rPr>
        <w:t> </w:t>
      </w:r>
      <w:r>
        <w:rPr>
          <w:sz w:val="22"/>
        </w:rPr>
        <w:t>para pequeñas unidades económicas.</w:t>
      </w:r>
    </w:p>
    <w:p>
      <w:pPr>
        <w:pStyle w:val="ListParagraph"/>
        <w:numPr>
          <w:ilvl w:val="0"/>
          <w:numId w:val="15"/>
        </w:numPr>
        <w:tabs>
          <w:tab w:pos="3056" w:val="left" w:leader="none"/>
        </w:tabs>
        <w:spacing w:line="252" w:lineRule="exact" w:before="253" w:after="0"/>
        <w:ind w:left="3056" w:right="0" w:hanging="354"/>
        <w:jc w:val="left"/>
        <w:rPr>
          <w:sz w:val="22"/>
        </w:rPr>
      </w:pPr>
      <w:r>
        <w:rPr>
          <w:sz w:val="22"/>
        </w:rPr>
        <w:t>Tejido</w:t>
      </w:r>
      <w:r>
        <w:rPr>
          <w:spacing w:val="-7"/>
          <w:sz w:val="22"/>
        </w:rPr>
        <w:t> </w:t>
      </w:r>
      <w:r>
        <w:rPr>
          <w:sz w:val="22"/>
        </w:rPr>
        <w:t>institucional</w:t>
      </w:r>
      <w:r>
        <w:rPr>
          <w:spacing w:val="-7"/>
          <w:sz w:val="22"/>
        </w:rPr>
        <w:t> </w:t>
      </w:r>
      <w:r>
        <w:rPr>
          <w:sz w:val="22"/>
        </w:rPr>
        <w:t>con</w:t>
      </w:r>
      <w:r>
        <w:rPr>
          <w:spacing w:val="-6"/>
          <w:sz w:val="22"/>
        </w:rPr>
        <w:t> </w:t>
      </w:r>
      <w:r>
        <w:rPr>
          <w:sz w:val="22"/>
        </w:rPr>
        <w:t>problemas</w:t>
      </w:r>
      <w:r>
        <w:rPr>
          <w:spacing w:val="-7"/>
          <w:sz w:val="22"/>
        </w:rPr>
        <w:t> </w:t>
      </w:r>
      <w:r>
        <w:rPr>
          <w:sz w:val="22"/>
        </w:rPr>
        <w:t>de</w:t>
      </w:r>
      <w:r>
        <w:rPr>
          <w:spacing w:val="-6"/>
          <w:sz w:val="22"/>
        </w:rPr>
        <w:t> </w:t>
      </w:r>
      <w:r>
        <w:rPr>
          <w:spacing w:val="-2"/>
          <w:sz w:val="22"/>
        </w:rPr>
        <w:t>articulación</w:t>
      </w:r>
    </w:p>
    <w:p>
      <w:pPr>
        <w:pStyle w:val="ListParagraph"/>
        <w:numPr>
          <w:ilvl w:val="1"/>
          <w:numId w:val="15"/>
        </w:numPr>
        <w:tabs>
          <w:tab w:pos="3682" w:val="left" w:leader="none"/>
        </w:tabs>
        <w:spacing w:line="252" w:lineRule="exact" w:before="0" w:after="0"/>
        <w:ind w:left="3682" w:right="0" w:hanging="356"/>
        <w:jc w:val="left"/>
        <w:rPr>
          <w:sz w:val="22"/>
        </w:rPr>
      </w:pPr>
      <w:r>
        <w:rPr>
          <w:sz w:val="22"/>
        </w:rPr>
        <w:t>Rectorías</w:t>
      </w:r>
      <w:r>
        <w:rPr>
          <w:spacing w:val="-6"/>
          <w:sz w:val="22"/>
        </w:rPr>
        <w:t> </w:t>
      </w:r>
      <w:r>
        <w:rPr>
          <w:sz w:val="22"/>
        </w:rPr>
        <w:t>cambiantes</w:t>
      </w:r>
      <w:r>
        <w:rPr>
          <w:spacing w:val="-7"/>
          <w:sz w:val="22"/>
        </w:rPr>
        <w:t> </w:t>
      </w:r>
      <w:r>
        <w:rPr>
          <w:sz w:val="22"/>
        </w:rPr>
        <w:t>entre</w:t>
      </w:r>
      <w:r>
        <w:rPr>
          <w:spacing w:val="-6"/>
          <w:sz w:val="22"/>
        </w:rPr>
        <w:t> </w:t>
      </w:r>
      <w:r>
        <w:rPr>
          <w:sz w:val="22"/>
        </w:rPr>
        <w:t>periodos</w:t>
      </w:r>
      <w:r>
        <w:rPr>
          <w:spacing w:val="-6"/>
          <w:sz w:val="22"/>
        </w:rPr>
        <w:t> </w:t>
      </w:r>
      <w:r>
        <w:rPr>
          <w:sz w:val="22"/>
        </w:rPr>
        <w:t>de</w:t>
      </w:r>
      <w:r>
        <w:rPr>
          <w:spacing w:val="-6"/>
          <w:sz w:val="22"/>
        </w:rPr>
        <w:t> </w:t>
      </w:r>
      <w:r>
        <w:rPr>
          <w:spacing w:val="-2"/>
          <w:sz w:val="22"/>
        </w:rPr>
        <w:t>gobierno</w:t>
      </w:r>
    </w:p>
    <w:p>
      <w:pPr>
        <w:pStyle w:val="ListParagraph"/>
        <w:numPr>
          <w:ilvl w:val="1"/>
          <w:numId w:val="15"/>
        </w:numPr>
        <w:tabs>
          <w:tab w:pos="3682" w:val="left" w:leader="none"/>
        </w:tabs>
        <w:spacing w:line="252" w:lineRule="exact" w:before="1" w:after="0"/>
        <w:ind w:left="3682" w:right="0" w:hanging="356"/>
        <w:jc w:val="left"/>
        <w:rPr>
          <w:sz w:val="22"/>
        </w:rPr>
      </w:pPr>
      <w:r>
        <w:rPr>
          <w:sz w:val="22"/>
        </w:rPr>
        <w:t>Falta</w:t>
      </w:r>
      <w:r>
        <w:rPr>
          <w:spacing w:val="-7"/>
          <w:sz w:val="22"/>
        </w:rPr>
        <w:t> </w:t>
      </w:r>
      <w:r>
        <w:rPr>
          <w:sz w:val="22"/>
        </w:rPr>
        <w:t>de</w:t>
      </w:r>
      <w:r>
        <w:rPr>
          <w:spacing w:val="-6"/>
          <w:sz w:val="22"/>
        </w:rPr>
        <w:t> </w:t>
      </w:r>
      <w:r>
        <w:rPr>
          <w:sz w:val="22"/>
        </w:rPr>
        <w:t>coordinación</w:t>
      </w:r>
      <w:r>
        <w:rPr>
          <w:spacing w:val="-6"/>
          <w:sz w:val="22"/>
        </w:rPr>
        <w:t> </w:t>
      </w:r>
      <w:r>
        <w:rPr>
          <w:sz w:val="22"/>
        </w:rPr>
        <w:t>entre</w:t>
      </w:r>
      <w:r>
        <w:rPr>
          <w:spacing w:val="-8"/>
          <w:sz w:val="22"/>
        </w:rPr>
        <w:t> </w:t>
      </w:r>
      <w:r>
        <w:rPr>
          <w:sz w:val="22"/>
        </w:rPr>
        <w:t>programas</w:t>
      </w:r>
      <w:r>
        <w:rPr>
          <w:spacing w:val="-8"/>
          <w:sz w:val="22"/>
        </w:rPr>
        <w:t> </w:t>
      </w:r>
      <w:r>
        <w:rPr>
          <w:spacing w:val="-2"/>
          <w:sz w:val="22"/>
        </w:rPr>
        <w:t>sociales.</w:t>
      </w:r>
    </w:p>
    <w:p>
      <w:pPr>
        <w:pStyle w:val="ListParagraph"/>
        <w:numPr>
          <w:ilvl w:val="1"/>
          <w:numId w:val="15"/>
        </w:numPr>
        <w:tabs>
          <w:tab w:pos="3682" w:val="left" w:leader="none"/>
        </w:tabs>
        <w:spacing w:line="252" w:lineRule="exact" w:before="0" w:after="0"/>
        <w:ind w:left="3682" w:right="0" w:hanging="356"/>
        <w:jc w:val="left"/>
        <w:rPr>
          <w:sz w:val="22"/>
        </w:rPr>
      </w:pPr>
      <w:r>
        <w:rPr>
          <w:sz w:val="22"/>
        </w:rPr>
        <w:t>Debilidad</w:t>
      </w:r>
      <w:r>
        <w:rPr>
          <w:spacing w:val="-7"/>
          <w:sz w:val="22"/>
        </w:rPr>
        <w:t> </w:t>
      </w:r>
      <w:r>
        <w:rPr>
          <w:sz w:val="22"/>
        </w:rPr>
        <w:t>en</w:t>
      </w:r>
      <w:r>
        <w:rPr>
          <w:spacing w:val="-6"/>
          <w:sz w:val="22"/>
        </w:rPr>
        <w:t> </w:t>
      </w:r>
      <w:r>
        <w:rPr>
          <w:sz w:val="22"/>
        </w:rPr>
        <w:t>la</w:t>
      </w:r>
      <w:r>
        <w:rPr>
          <w:spacing w:val="-6"/>
          <w:sz w:val="22"/>
        </w:rPr>
        <w:t> </w:t>
      </w:r>
      <w:r>
        <w:rPr>
          <w:sz w:val="22"/>
        </w:rPr>
        <w:t>gobernanza</w:t>
      </w:r>
      <w:r>
        <w:rPr>
          <w:spacing w:val="-6"/>
          <w:sz w:val="22"/>
        </w:rPr>
        <w:t> </w:t>
      </w:r>
      <w:r>
        <w:rPr>
          <w:spacing w:val="-2"/>
          <w:sz w:val="22"/>
        </w:rPr>
        <w:t>territorial.</w:t>
      </w:r>
    </w:p>
    <w:p>
      <w:pPr>
        <w:pStyle w:val="ListParagraph"/>
        <w:numPr>
          <w:ilvl w:val="1"/>
          <w:numId w:val="15"/>
        </w:numPr>
        <w:tabs>
          <w:tab w:pos="3682" w:val="left" w:leader="none"/>
        </w:tabs>
        <w:spacing w:line="252" w:lineRule="exact" w:before="0" w:after="0"/>
        <w:ind w:left="3682" w:right="0" w:hanging="356"/>
        <w:jc w:val="left"/>
        <w:rPr>
          <w:sz w:val="22"/>
        </w:rPr>
      </w:pPr>
      <w:r>
        <w:rPr>
          <w:sz w:val="22"/>
        </w:rPr>
        <w:t>Fragmentación</w:t>
      </w:r>
      <w:r>
        <w:rPr>
          <w:spacing w:val="-6"/>
          <w:sz w:val="22"/>
        </w:rPr>
        <w:t> </w:t>
      </w:r>
      <w:r>
        <w:rPr>
          <w:sz w:val="22"/>
        </w:rPr>
        <w:t>de</w:t>
      </w:r>
      <w:r>
        <w:rPr>
          <w:spacing w:val="-7"/>
          <w:sz w:val="22"/>
        </w:rPr>
        <w:t> </w:t>
      </w:r>
      <w:r>
        <w:rPr>
          <w:sz w:val="22"/>
        </w:rPr>
        <w:t>esfuerzos</w:t>
      </w:r>
      <w:r>
        <w:rPr>
          <w:spacing w:val="-6"/>
          <w:sz w:val="22"/>
        </w:rPr>
        <w:t> </w:t>
      </w:r>
      <w:r>
        <w:rPr>
          <w:sz w:val="22"/>
        </w:rPr>
        <w:t>entre</w:t>
      </w:r>
      <w:r>
        <w:rPr>
          <w:spacing w:val="-6"/>
          <w:sz w:val="22"/>
        </w:rPr>
        <w:t> </w:t>
      </w:r>
      <w:r>
        <w:rPr>
          <w:sz w:val="22"/>
        </w:rPr>
        <w:t>niveles</w:t>
      </w:r>
      <w:r>
        <w:rPr>
          <w:spacing w:val="-7"/>
          <w:sz w:val="22"/>
        </w:rPr>
        <w:t> </w:t>
      </w:r>
      <w:r>
        <w:rPr>
          <w:sz w:val="22"/>
        </w:rPr>
        <w:t>de</w:t>
      </w:r>
      <w:r>
        <w:rPr>
          <w:spacing w:val="-5"/>
          <w:sz w:val="22"/>
        </w:rPr>
        <w:t> </w:t>
      </w:r>
      <w:r>
        <w:rPr>
          <w:spacing w:val="-2"/>
          <w:sz w:val="22"/>
        </w:rPr>
        <w:t>gobierno.</w:t>
      </w:r>
    </w:p>
    <w:p>
      <w:pPr>
        <w:pStyle w:val="BodyText"/>
        <w:spacing w:before="1"/>
      </w:pPr>
    </w:p>
    <w:p>
      <w:pPr>
        <w:pStyle w:val="Heading5"/>
        <w:ind w:left="2705"/>
      </w:pPr>
      <w:r>
        <w:rPr/>
        <w:t>Efectos</w:t>
      </w:r>
      <w:r>
        <w:rPr>
          <w:spacing w:val="-6"/>
        </w:rPr>
        <w:t> </w:t>
      </w:r>
      <w:r>
        <w:rPr>
          <w:spacing w:val="-2"/>
        </w:rPr>
        <w:t>(Ramas):</w:t>
      </w:r>
    </w:p>
    <w:p>
      <w:pPr>
        <w:pStyle w:val="ListParagraph"/>
        <w:numPr>
          <w:ilvl w:val="0"/>
          <w:numId w:val="16"/>
        </w:numPr>
        <w:tabs>
          <w:tab w:pos="2483" w:val="left" w:leader="none"/>
        </w:tabs>
        <w:spacing w:line="252" w:lineRule="exact" w:before="1" w:after="0"/>
        <w:ind w:left="2483" w:right="0" w:hanging="138"/>
        <w:jc w:val="left"/>
        <w:rPr>
          <w:sz w:val="22"/>
        </w:rPr>
      </w:pPr>
      <w:r>
        <w:rPr>
          <w:sz w:val="22"/>
        </w:rPr>
        <w:t>Reproducción</w:t>
      </w:r>
      <w:r>
        <w:rPr>
          <w:spacing w:val="-11"/>
          <w:sz w:val="22"/>
        </w:rPr>
        <w:t> </w:t>
      </w:r>
      <w:r>
        <w:rPr>
          <w:sz w:val="22"/>
        </w:rPr>
        <w:t>intergeneracional</w:t>
      </w:r>
      <w:r>
        <w:rPr>
          <w:spacing w:val="-10"/>
          <w:sz w:val="22"/>
        </w:rPr>
        <w:t> </w:t>
      </w:r>
      <w:r>
        <w:rPr>
          <w:sz w:val="22"/>
        </w:rPr>
        <w:t>de</w:t>
      </w:r>
      <w:r>
        <w:rPr>
          <w:spacing w:val="-9"/>
          <w:sz w:val="22"/>
        </w:rPr>
        <w:t> </w:t>
      </w:r>
      <w:r>
        <w:rPr>
          <w:sz w:val="22"/>
        </w:rPr>
        <w:t>la</w:t>
      </w:r>
      <w:r>
        <w:rPr>
          <w:spacing w:val="-8"/>
          <w:sz w:val="22"/>
        </w:rPr>
        <w:t> </w:t>
      </w:r>
      <w:r>
        <w:rPr>
          <w:spacing w:val="-2"/>
          <w:sz w:val="22"/>
        </w:rPr>
        <w:t>pobreza.</w:t>
      </w:r>
    </w:p>
    <w:p>
      <w:pPr>
        <w:pStyle w:val="ListParagraph"/>
        <w:numPr>
          <w:ilvl w:val="0"/>
          <w:numId w:val="16"/>
        </w:numPr>
        <w:tabs>
          <w:tab w:pos="2483" w:val="left" w:leader="none"/>
        </w:tabs>
        <w:spacing w:line="252" w:lineRule="exact" w:before="0" w:after="0"/>
        <w:ind w:left="2483" w:right="0" w:hanging="138"/>
        <w:jc w:val="left"/>
        <w:rPr>
          <w:sz w:val="22"/>
        </w:rPr>
      </w:pPr>
      <w:r>
        <w:rPr>
          <w:sz w:val="22"/>
        </w:rPr>
        <w:t>Desigualdad</w:t>
      </w:r>
      <w:r>
        <w:rPr>
          <w:spacing w:val="-7"/>
          <w:sz w:val="22"/>
        </w:rPr>
        <w:t> </w:t>
      </w:r>
      <w:r>
        <w:rPr>
          <w:sz w:val="22"/>
        </w:rPr>
        <w:t>persistente</w:t>
      </w:r>
      <w:r>
        <w:rPr>
          <w:spacing w:val="-6"/>
          <w:sz w:val="22"/>
        </w:rPr>
        <w:t> </w:t>
      </w:r>
      <w:r>
        <w:rPr>
          <w:sz w:val="22"/>
        </w:rPr>
        <w:t>entre</w:t>
      </w:r>
      <w:r>
        <w:rPr>
          <w:spacing w:val="-8"/>
          <w:sz w:val="22"/>
        </w:rPr>
        <w:t> </w:t>
      </w:r>
      <w:r>
        <w:rPr>
          <w:sz w:val="22"/>
        </w:rPr>
        <w:t>regiones</w:t>
      </w:r>
      <w:r>
        <w:rPr>
          <w:spacing w:val="-7"/>
          <w:sz w:val="22"/>
        </w:rPr>
        <w:t> </w:t>
      </w:r>
      <w:r>
        <w:rPr>
          <w:sz w:val="22"/>
        </w:rPr>
        <w:t>y</w:t>
      </w:r>
      <w:r>
        <w:rPr>
          <w:spacing w:val="-7"/>
          <w:sz w:val="22"/>
        </w:rPr>
        <w:t> </w:t>
      </w:r>
      <w:r>
        <w:rPr>
          <w:sz w:val="22"/>
        </w:rPr>
        <w:t>grupos</w:t>
      </w:r>
      <w:r>
        <w:rPr>
          <w:spacing w:val="-5"/>
          <w:sz w:val="22"/>
        </w:rPr>
        <w:t> </w:t>
      </w:r>
      <w:r>
        <w:rPr>
          <w:spacing w:val="-2"/>
          <w:sz w:val="22"/>
        </w:rPr>
        <w:t>sociales.</w:t>
      </w:r>
    </w:p>
    <w:p>
      <w:pPr>
        <w:pStyle w:val="ListParagraph"/>
        <w:numPr>
          <w:ilvl w:val="0"/>
          <w:numId w:val="16"/>
        </w:numPr>
        <w:tabs>
          <w:tab w:pos="2483" w:val="left" w:leader="none"/>
        </w:tabs>
        <w:spacing w:line="252" w:lineRule="exact" w:before="0" w:after="0"/>
        <w:ind w:left="2483" w:right="0" w:hanging="138"/>
        <w:jc w:val="left"/>
        <w:rPr>
          <w:sz w:val="22"/>
        </w:rPr>
      </w:pPr>
      <w:r>
        <w:rPr>
          <w:sz w:val="22"/>
        </w:rPr>
        <w:t>Baja</w:t>
      </w:r>
      <w:r>
        <w:rPr>
          <w:spacing w:val="-8"/>
          <w:sz w:val="22"/>
        </w:rPr>
        <w:t> </w:t>
      </w:r>
      <w:r>
        <w:rPr>
          <w:sz w:val="22"/>
        </w:rPr>
        <w:t>movilidad</w:t>
      </w:r>
      <w:r>
        <w:rPr>
          <w:spacing w:val="-5"/>
          <w:sz w:val="22"/>
        </w:rPr>
        <w:t> </w:t>
      </w:r>
      <w:r>
        <w:rPr>
          <w:spacing w:val="-2"/>
          <w:sz w:val="22"/>
        </w:rPr>
        <w:t>social.</w:t>
      </w:r>
    </w:p>
    <w:p>
      <w:pPr>
        <w:pStyle w:val="ListParagraph"/>
        <w:numPr>
          <w:ilvl w:val="0"/>
          <w:numId w:val="16"/>
        </w:numPr>
        <w:tabs>
          <w:tab w:pos="2483" w:val="left" w:leader="none"/>
        </w:tabs>
        <w:spacing w:line="252" w:lineRule="exact" w:before="2" w:after="0"/>
        <w:ind w:left="2483" w:right="0" w:hanging="138"/>
        <w:jc w:val="left"/>
        <w:rPr>
          <w:sz w:val="22"/>
        </w:rPr>
      </w:pPr>
      <w:r>
        <w:rPr>
          <w:sz w:val="22"/>
        </w:rPr>
        <w:t>Debilitamiento</w:t>
      </w:r>
      <w:r>
        <w:rPr>
          <w:spacing w:val="-7"/>
          <w:sz w:val="22"/>
        </w:rPr>
        <w:t> </w:t>
      </w:r>
      <w:r>
        <w:rPr>
          <w:sz w:val="22"/>
        </w:rPr>
        <w:t>de</w:t>
      </w:r>
      <w:r>
        <w:rPr>
          <w:spacing w:val="-6"/>
          <w:sz w:val="22"/>
        </w:rPr>
        <w:t> </w:t>
      </w:r>
      <w:r>
        <w:rPr>
          <w:sz w:val="22"/>
        </w:rPr>
        <w:t>la</w:t>
      </w:r>
      <w:r>
        <w:rPr>
          <w:spacing w:val="-5"/>
          <w:sz w:val="22"/>
        </w:rPr>
        <w:t> </w:t>
      </w:r>
      <w:r>
        <w:rPr>
          <w:sz w:val="22"/>
        </w:rPr>
        <w:t>cohesión</w:t>
      </w:r>
      <w:r>
        <w:rPr>
          <w:spacing w:val="-5"/>
          <w:sz w:val="22"/>
        </w:rPr>
        <w:t> </w:t>
      </w:r>
      <w:r>
        <w:rPr>
          <w:sz w:val="22"/>
        </w:rPr>
        <w:t>social</w:t>
      </w:r>
      <w:r>
        <w:rPr>
          <w:spacing w:val="-6"/>
          <w:sz w:val="22"/>
        </w:rPr>
        <w:t> </w:t>
      </w:r>
      <w:r>
        <w:rPr>
          <w:sz w:val="22"/>
        </w:rPr>
        <w:t>y</w:t>
      </w:r>
      <w:r>
        <w:rPr>
          <w:spacing w:val="-4"/>
          <w:sz w:val="22"/>
        </w:rPr>
        <w:t> </w:t>
      </w:r>
      <w:r>
        <w:rPr>
          <w:sz w:val="22"/>
        </w:rPr>
        <w:t>aumento</w:t>
      </w:r>
      <w:r>
        <w:rPr>
          <w:spacing w:val="-9"/>
          <w:sz w:val="22"/>
        </w:rPr>
        <w:t> </w:t>
      </w:r>
      <w:r>
        <w:rPr>
          <w:sz w:val="22"/>
        </w:rPr>
        <w:t>de</w:t>
      </w:r>
      <w:r>
        <w:rPr>
          <w:spacing w:val="-5"/>
          <w:sz w:val="22"/>
        </w:rPr>
        <w:t> </w:t>
      </w:r>
      <w:r>
        <w:rPr>
          <w:sz w:val="22"/>
        </w:rPr>
        <w:t>la</w:t>
      </w:r>
      <w:r>
        <w:rPr>
          <w:spacing w:val="-4"/>
          <w:sz w:val="22"/>
        </w:rPr>
        <w:t> </w:t>
      </w:r>
      <w:r>
        <w:rPr>
          <w:spacing w:val="-2"/>
          <w:sz w:val="22"/>
        </w:rPr>
        <w:t>exclusión.</w:t>
      </w:r>
    </w:p>
    <w:p>
      <w:pPr>
        <w:pStyle w:val="ListParagraph"/>
        <w:numPr>
          <w:ilvl w:val="0"/>
          <w:numId w:val="16"/>
        </w:numPr>
        <w:tabs>
          <w:tab w:pos="2483" w:val="left" w:leader="none"/>
        </w:tabs>
        <w:spacing w:line="252" w:lineRule="exact" w:before="0" w:after="0"/>
        <w:ind w:left="2483" w:right="0" w:hanging="138"/>
        <w:jc w:val="left"/>
        <w:rPr>
          <w:sz w:val="22"/>
        </w:rPr>
      </w:pPr>
      <w:r>
        <w:rPr>
          <w:sz w:val="22"/>
        </w:rPr>
        <w:t>Subutilización</w:t>
      </w:r>
      <w:r>
        <w:rPr>
          <w:spacing w:val="-7"/>
          <w:sz w:val="22"/>
        </w:rPr>
        <w:t> </w:t>
      </w:r>
      <w:r>
        <w:rPr>
          <w:sz w:val="22"/>
        </w:rPr>
        <w:t>del</w:t>
      </w:r>
      <w:r>
        <w:rPr>
          <w:spacing w:val="-7"/>
          <w:sz w:val="22"/>
        </w:rPr>
        <w:t> </w:t>
      </w:r>
      <w:r>
        <w:rPr>
          <w:sz w:val="22"/>
        </w:rPr>
        <w:t>potencial</w:t>
      </w:r>
      <w:r>
        <w:rPr>
          <w:spacing w:val="-8"/>
          <w:sz w:val="22"/>
        </w:rPr>
        <w:t> </w:t>
      </w:r>
      <w:r>
        <w:rPr>
          <w:sz w:val="22"/>
        </w:rPr>
        <w:t>productivo</w:t>
      </w:r>
      <w:r>
        <w:rPr>
          <w:spacing w:val="-9"/>
          <w:sz w:val="22"/>
        </w:rPr>
        <w:t> </w:t>
      </w:r>
      <w:r>
        <w:rPr>
          <w:sz w:val="22"/>
        </w:rPr>
        <w:t>de</w:t>
      </w:r>
      <w:r>
        <w:rPr>
          <w:spacing w:val="-7"/>
          <w:sz w:val="22"/>
        </w:rPr>
        <w:t> </w:t>
      </w:r>
      <w:r>
        <w:rPr>
          <w:sz w:val="22"/>
        </w:rPr>
        <w:t>la</w:t>
      </w:r>
      <w:r>
        <w:rPr>
          <w:spacing w:val="-6"/>
          <w:sz w:val="22"/>
        </w:rPr>
        <w:t> </w:t>
      </w:r>
      <w:r>
        <w:rPr>
          <w:spacing w:val="-2"/>
          <w:sz w:val="22"/>
        </w:rPr>
        <w:t>población.</w:t>
      </w:r>
    </w:p>
    <w:p>
      <w:pPr>
        <w:pStyle w:val="ListParagraph"/>
        <w:spacing w:after="0" w:line="252" w:lineRule="exact"/>
        <w:jc w:val="left"/>
        <w:rPr>
          <w:sz w:val="22"/>
        </w:rPr>
        <w:sectPr>
          <w:pgSz w:w="12240" w:h="15840"/>
          <w:pgMar w:header="0" w:footer="1576" w:top="1260" w:bottom="1760" w:left="360" w:right="0"/>
        </w:sectPr>
      </w:pPr>
    </w:p>
    <w:p>
      <w:pPr>
        <w:pStyle w:val="Heading5"/>
        <w:spacing w:before="77"/>
        <w:ind w:left="1465" w:right="1303"/>
        <w:jc w:val="center"/>
      </w:pPr>
      <w:bookmarkStart w:name="_bookmark37" w:id="38"/>
      <w:bookmarkEnd w:id="38"/>
      <w:r>
        <w:rPr>
          <w:b w:val="0"/>
        </w:rPr>
      </w:r>
      <w:r>
        <w:rPr/>
        <w:t>Figura</w:t>
      </w:r>
      <w:r>
        <w:rPr>
          <w:spacing w:val="-8"/>
        </w:rPr>
        <w:t> </w:t>
      </w:r>
      <w:r>
        <w:rPr/>
        <w:t>3:</w:t>
      </w:r>
      <w:r>
        <w:rPr>
          <w:spacing w:val="-4"/>
        </w:rPr>
        <w:t> </w:t>
      </w:r>
      <w:r>
        <w:rPr/>
        <w:t>Representación</w:t>
      </w:r>
      <w:r>
        <w:rPr>
          <w:spacing w:val="-7"/>
        </w:rPr>
        <w:t> </w:t>
      </w:r>
      <w:r>
        <w:rPr/>
        <w:t>diagramática</w:t>
      </w:r>
      <w:r>
        <w:rPr>
          <w:spacing w:val="-6"/>
        </w:rPr>
        <w:t> </w:t>
      </w:r>
      <w:r>
        <w:rPr/>
        <w:t>del</w:t>
      </w:r>
      <w:r>
        <w:rPr>
          <w:spacing w:val="-6"/>
        </w:rPr>
        <w:t> </w:t>
      </w:r>
      <w:r>
        <w:rPr/>
        <w:t>árbol</w:t>
      </w:r>
      <w:r>
        <w:rPr>
          <w:spacing w:val="-5"/>
        </w:rPr>
        <w:t> </w:t>
      </w:r>
      <w:r>
        <w:rPr/>
        <w:t>de</w:t>
      </w:r>
      <w:r>
        <w:rPr>
          <w:spacing w:val="-8"/>
        </w:rPr>
        <w:t> </w:t>
      </w:r>
      <w:r>
        <w:rPr>
          <w:spacing w:val="-2"/>
        </w:rPr>
        <w:t>problemas</w:t>
      </w:r>
    </w:p>
    <w:p>
      <w:pPr>
        <w:pStyle w:val="BodyText"/>
        <w:spacing w:before="7"/>
        <w:rPr>
          <w:b/>
          <w:sz w:val="7"/>
        </w:rPr>
      </w:pPr>
      <w:r>
        <w:rPr>
          <w:b/>
          <w:sz w:val="7"/>
        </w:rPr>
        <w:drawing>
          <wp:anchor distT="0" distB="0" distL="0" distR="0" allowOverlap="1" layoutInCell="1" locked="0" behindDoc="1" simplePos="0" relativeHeight="487597056">
            <wp:simplePos x="0" y="0"/>
            <wp:positionH relativeFrom="page">
              <wp:posOffset>1228725</wp:posOffset>
            </wp:positionH>
            <wp:positionV relativeFrom="paragraph">
              <wp:posOffset>71133</wp:posOffset>
            </wp:positionV>
            <wp:extent cx="5493025" cy="3661600"/>
            <wp:effectExtent l="0" t="0" r="0" b="0"/>
            <wp:wrapTopAndBottom/>
            <wp:docPr id="79" name="Image 79" descr="Diagrama  El contenido generado por IA puede ser incorrecto."/>
            <wp:cNvGraphicFramePr>
              <a:graphicFrameLocks/>
            </wp:cNvGraphicFramePr>
            <a:graphic>
              <a:graphicData uri="http://schemas.openxmlformats.org/drawingml/2006/picture">
                <pic:pic>
                  <pic:nvPicPr>
                    <pic:cNvPr id="79" name="Image 79" descr="Diagrama  El contenido generado por IA puede ser incorrecto."/>
                    <pic:cNvPicPr/>
                  </pic:nvPicPr>
                  <pic:blipFill>
                    <a:blip r:embed="rId50" cstate="print"/>
                    <a:stretch>
                      <a:fillRect/>
                    </a:stretch>
                  </pic:blipFill>
                  <pic:spPr>
                    <a:xfrm>
                      <a:off x="0" y="0"/>
                      <a:ext cx="5493025" cy="3661600"/>
                    </a:xfrm>
                    <a:prstGeom prst="rect">
                      <a:avLst/>
                    </a:prstGeom>
                  </pic:spPr>
                </pic:pic>
              </a:graphicData>
            </a:graphic>
          </wp:anchor>
        </w:drawing>
      </w:r>
    </w:p>
    <w:p>
      <w:pPr>
        <w:spacing w:before="92"/>
        <w:ind w:left="1625" w:right="0" w:firstLine="0"/>
        <w:jc w:val="both"/>
        <w:rPr>
          <w:sz w:val="18"/>
        </w:rPr>
      </w:pPr>
      <w:r>
        <w:rPr>
          <w:sz w:val="18"/>
        </w:rPr>
        <w:t>Fuente:</w:t>
      </w:r>
      <w:r>
        <w:rPr>
          <w:spacing w:val="-3"/>
          <w:sz w:val="18"/>
        </w:rPr>
        <w:t> </w:t>
      </w:r>
      <w:r>
        <w:rPr>
          <w:sz w:val="18"/>
        </w:rPr>
        <w:t>Política</w:t>
      </w:r>
      <w:r>
        <w:rPr>
          <w:spacing w:val="-3"/>
          <w:sz w:val="18"/>
        </w:rPr>
        <w:t> </w:t>
      </w:r>
      <w:r>
        <w:rPr>
          <w:sz w:val="18"/>
        </w:rPr>
        <w:t>Nacional</w:t>
      </w:r>
      <w:r>
        <w:rPr>
          <w:spacing w:val="-5"/>
          <w:sz w:val="18"/>
        </w:rPr>
        <w:t> </w:t>
      </w:r>
      <w:r>
        <w:rPr>
          <w:sz w:val="18"/>
        </w:rPr>
        <w:t>de</w:t>
      </w:r>
      <w:r>
        <w:rPr>
          <w:spacing w:val="-2"/>
          <w:sz w:val="18"/>
        </w:rPr>
        <w:t> </w:t>
      </w:r>
      <w:r>
        <w:rPr>
          <w:sz w:val="18"/>
        </w:rPr>
        <w:t>Superación</w:t>
      </w:r>
      <w:r>
        <w:rPr>
          <w:spacing w:val="-3"/>
          <w:sz w:val="18"/>
        </w:rPr>
        <w:t> </w:t>
      </w:r>
      <w:r>
        <w:rPr>
          <w:sz w:val="18"/>
        </w:rPr>
        <w:t>de</w:t>
      </w:r>
      <w:r>
        <w:rPr>
          <w:spacing w:val="-5"/>
          <w:sz w:val="18"/>
        </w:rPr>
        <w:t> </w:t>
      </w:r>
      <w:r>
        <w:rPr>
          <w:sz w:val="18"/>
        </w:rPr>
        <w:t>la</w:t>
      </w:r>
      <w:r>
        <w:rPr>
          <w:spacing w:val="-2"/>
          <w:sz w:val="18"/>
        </w:rPr>
        <w:t> Pobreza</w:t>
      </w:r>
    </w:p>
    <w:p>
      <w:pPr>
        <w:pStyle w:val="BodyText"/>
        <w:rPr>
          <w:sz w:val="18"/>
        </w:rPr>
      </w:pPr>
    </w:p>
    <w:p>
      <w:pPr>
        <w:pStyle w:val="BodyText"/>
        <w:spacing w:before="115"/>
        <w:rPr>
          <w:sz w:val="18"/>
        </w:rPr>
      </w:pPr>
    </w:p>
    <w:p>
      <w:pPr>
        <w:pStyle w:val="Heading3"/>
        <w:numPr>
          <w:ilvl w:val="0"/>
          <w:numId w:val="5"/>
        </w:numPr>
        <w:tabs>
          <w:tab w:pos="1892" w:val="left" w:leader="none"/>
        </w:tabs>
        <w:spacing w:line="240" w:lineRule="auto" w:before="0" w:after="0"/>
        <w:ind w:left="1892" w:right="0" w:hanging="267"/>
        <w:jc w:val="left"/>
      </w:pPr>
      <w:bookmarkStart w:name="_bookmark38" w:id="39"/>
      <w:bookmarkEnd w:id="39"/>
      <w:r>
        <w:rPr>
          <w:b w:val="0"/>
        </w:rPr>
      </w:r>
      <w:r>
        <w:rPr/>
        <w:t>Estructura</w:t>
      </w:r>
      <w:r>
        <w:rPr>
          <w:spacing w:val="-6"/>
        </w:rPr>
        <w:t> </w:t>
      </w:r>
      <w:r>
        <w:rPr/>
        <w:t>Programática</w:t>
      </w:r>
      <w:r>
        <w:rPr>
          <w:spacing w:val="-6"/>
        </w:rPr>
        <w:t> </w:t>
      </w:r>
      <w:r>
        <w:rPr/>
        <w:t>del</w:t>
      </w:r>
      <w:r>
        <w:rPr>
          <w:spacing w:val="-5"/>
        </w:rPr>
        <w:t> </w:t>
      </w:r>
      <w:r>
        <w:rPr/>
        <w:t>Plan-</w:t>
      </w:r>
      <w:r>
        <w:rPr>
          <w:spacing w:val="-2"/>
        </w:rPr>
        <w:t>Presupuesto</w:t>
      </w:r>
    </w:p>
    <w:p>
      <w:pPr>
        <w:pStyle w:val="BodyText"/>
        <w:rPr>
          <w:b/>
          <w:sz w:val="24"/>
        </w:rPr>
      </w:pPr>
    </w:p>
    <w:p>
      <w:pPr>
        <w:pStyle w:val="BodyText"/>
        <w:ind w:left="1625" w:right="1604"/>
        <w:jc w:val="both"/>
      </w:pPr>
      <w:r>
        <w:rPr>
          <w:spacing w:val="-2"/>
        </w:rPr>
        <w:t>Para</w:t>
      </w:r>
      <w:r>
        <w:rPr>
          <w:spacing w:val="-4"/>
        </w:rPr>
        <w:t> </w:t>
      </w:r>
      <w:r>
        <w:rPr>
          <w:spacing w:val="-2"/>
        </w:rPr>
        <w:t>el</w:t>
      </w:r>
      <w:r>
        <w:rPr>
          <w:spacing w:val="-8"/>
        </w:rPr>
        <w:t> </w:t>
      </w:r>
      <w:r>
        <w:rPr>
          <w:spacing w:val="-2"/>
        </w:rPr>
        <w:t>cumplimiento</w:t>
      </w:r>
      <w:r>
        <w:rPr>
          <w:spacing w:val="-4"/>
        </w:rPr>
        <w:t> </w:t>
      </w:r>
      <w:r>
        <w:rPr>
          <w:spacing w:val="-2"/>
        </w:rPr>
        <w:t>de</w:t>
      </w:r>
      <w:r>
        <w:rPr>
          <w:spacing w:val="-3"/>
        </w:rPr>
        <w:t> </w:t>
      </w:r>
      <w:r>
        <w:rPr>
          <w:spacing w:val="-2"/>
        </w:rPr>
        <w:t>los</w:t>
      </w:r>
      <w:r>
        <w:rPr>
          <w:spacing w:val="-4"/>
        </w:rPr>
        <w:t> </w:t>
      </w:r>
      <w:r>
        <w:rPr>
          <w:spacing w:val="-2"/>
        </w:rPr>
        <w:t>objetivos,</w:t>
      </w:r>
      <w:r>
        <w:rPr>
          <w:spacing w:val="-5"/>
        </w:rPr>
        <w:t> </w:t>
      </w:r>
      <w:r>
        <w:rPr>
          <w:spacing w:val="-2"/>
        </w:rPr>
        <w:t>el</w:t>
      </w:r>
      <w:r>
        <w:rPr>
          <w:spacing w:val="-8"/>
        </w:rPr>
        <w:t> </w:t>
      </w:r>
      <w:r>
        <w:rPr>
          <w:spacing w:val="-2"/>
        </w:rPr>
        <w:t>IMAS</w:t>
      </w:r>
      <w:r>
        <w:rPr>
          <w:spacing w:val="-8"/>
        </w:rPr>
        <w:t> </w:t>
      </w:r>
      <w:r>
        <w:rPr>
          <w:spacing w:val="-2"/>
        </w:rPr>
        <w:t>cuenta</w:t>
      </w:r>
      <w:r>
        <w:rPr>
          <w:spacing w:val="-7"/>
        </w:rPr>
        <w:t> </w:t>
      </w:r>
      <w:r>
        <w:rPr>
          <w:spacing w:val="-2"/>
        </w:rPr>
        <w:t>con</w:t>
      </w:r>
      <w:r>
        <w:rPr>
          <w:spacing w:val="-8"/>
        </w:rPr>
        <w:t> </w:t>
      </w:r>
      <w:r>
        <w:rPr>
          <w:spacing w:val="-2"/>
        </w:rPr>
        <w:t>tres</w:t>
      </w:r>
      <w:r>
        <w:rPr>
          <w:spacing w:val="-4"/>
        </w:rPr>
        <w:t> </w:t>
      </w:r>
      <w:r>
        <w:rPr>
          <w:spacing w:val="-2"/>
        </w:rPr>
        <w:t>programas</w:t>
      </w:r>
      <w:r>
        <w:rPr>
          <w:spacing w:val="-8"/>
        </w:rPr>
        <w:t> </w:t>
      </w:r>
      <w:r>
        <w:rPr>
          <w:spacing w:val="-2"/>
        </w:rPr>
        <w:t>presupuestarios </w:t>
      </w:r>
      <w:r>
        <w:rPr/>
        <w:t>a saber: Protección y Promoción Social (PPPS), Actividades Centrales y Empresas </w:t>
      </w:r>
      <w:r>
        <w:rPr>
          <w:spacing w:val="-2"/>
        </w:rPr>
        <w:t>Comerciales.</w:t>
      </w:r>
    </w:p>
    <w:p>
      <w:pPr>
        <w:pStyle w:val="BodyText"/>
        <w:spacing w:before="1"/>
      </w:pPr>
    </w:p>
    <w:p>
      <w:pPr>
        <w:pStyle w:val="Heading3"/>
        <w:numPr>
          <w:ilvl w:val="1"/>
          <w:numId w:val="5"/>
        </w:numPr>
        <w:tabs>
          <w:tab w:pos="2887" w:val="left" w:leader="none"/>
        </w:tabs>
        <w:spacing w:line="240" w:lineRule="auto" w:before="0" w:after="0"/>
        <w:ind w:left="2887" w:right="0" w:hanging="401"/>
        <w:jc w:val="left"/>
      </w:pPr>
      <w:bookmarkStart w:name="_bookmark39" w:id="40"/>
      <w:bookmarkEnd w:id="40"/>
      <w:r>
        <w:rPr>
          <w:b w:val="0"/>
        </w:rPr>
      </w:r>
      <w:r>
        <w:rPr/>
        <w:t>Programa</w:t>
      </w:r>
      <w:r>
        <w:rPr>
          <w:spacing w:val="-5"/>
        </w:rPr>
        <w:t> </w:t>
      </w:r>
      <w:r>
        <w:rPr/>
        <w:t>de</w:t>
      </w:r>
      <w:r>
        <w:rPr>
          <w:spacing w:val="-4"/>
        </w:rPr>
        <w:t> </w:t>
      </w:r>
      <w:r>
        <w:rPr/>
        <w:t>Protección</w:t>
      </w:r>
      <w:r>
        <w:rPr>
          <w:spacing w:val="-4"/>
        </w:rPr>
        <w:t> </w:t>
      </w:r>
      <w:r>
        <w:rPr/>
        <w:t>y</w:t>
      </w:r>
      <w:r>
        <w:rPr>
          <w:spacing w:val="-4"/>
        </w:rPr>
        <w:t> </w:t>
      </w:r>
      <w:r>
        <w:rPr/>
        <w:t>Promoción</w:t>
      </w:r>
      <w:r>
        <w:rPr>
          <w:spacing w:val="-4"/>
        </w:rPr>
        <w:t> </w:t>
      </w:r>
      <w:r>
        <w:rPr>
          <w:spacing w:val="-2"/>
        </w:rPr>
        <w:t>Social</w:t>
      </w:r>
    </w:p>
    <w:p>
      <w:pPr>
        <w:pStyle w:val="BodyText"/>
        <w:rPr>
          <w:b/>
          <w:sz w:val="24"/>
        </w:rPr>
      </w:pPr>
    </w:p>
    <w:p>
      <w:pPr>
        <w:pStyle w:val="BodyText"/>
        <w:ind w:left="1625" w:right="1601"/>
        <w:jc w:val="both"/>
      </w:pPr>
      <w:r>
        <w:rPr/>
        <w:t>La población en situación de pobreza, así como los territorios en que reside dicha población, constituyen el eje central hacia el cual están orientados los servicios, beneficios, subsidios y transferencias monetarias que brinda el IMAS. Estos deben ser atendidos</w:t>
      </w:r>
      <w:r>
        <w:rPr>
          <w:spacing w:val="-12"/>
        </w:rPr>
        <w:t> </w:t>
      </w:r>
      <w:r>
        <w:rPr/>
        <w:t>considerando</w:t>
      </w:r>
      <w:r>
        <w:rPr>
          <w:spacing w:val="-13"/>
        </w:rPr>
        <w:t> </w:t>
      </w:r>
      <w:r>
        <w:rPr/>
        <w:t>la</w:t>
      </w:r>
      <w:r>
        <w:rPr>
          <w:spacing w:val="-12"/>
        </w:rPr>
        <w:t> </w:t>
      </w:r>
      <w:r>
        <w:rPr/>
        <w:t>especificidad</w:t>
      </w:r>
      <w:r>
        <w:rPr>
          <w:spacing w:val="-11"/>
        </w:rPr>
        <w:t> </w:t>
      </w:r>
      <w:r>
        <w:rPr/>
        <w:t>de</w:t>
      </w:r>
      <w:r>
        <w:rPr>
          <w:spacing w:val="-13"/>
        </w:rPr>
        <w:t> </w:t>
      </w:r>
      <w:r>
        <w:rPr/>
        <w:t>las</w:t>
      </w:r>
      <w:r>
        <w:rPr>
          <w:spacing w:val="-12"/>
        </w:rPr>
        <w:t> </w:t>
      </w:r>
      <w:r>
        <w:rPr/>
        <w:t>necesidades</w:t>
      </w:r>
      <w:r>
        <w:rPr>
          <w:spacing w:val="-12"/>
        </w:rPr>
        <w:t> </w:t>
      </w:r>
      <w:r>
        <w:rPr/>
        <w:t>de</w:t>
      </w:r>
      <w:r>
        <w:rPr>
          <w:spacing w:val="-13"/>
        </w:rPr>
        <w:t> </w:t>
      </w:r>
      <w:r>
        <w:rPr/>
        <w:t>las</w:t>
      </w:r>
      <w:r>
        <w:rPr>
          <w:spacing w:val="-12"/>
        </w:rPr>
        <w:t> </w:t>
      </w:r>
      <w:r>
        <w:rPr/>
        <w:t>personas</w:t>
      </w:r>
      <w:r>
        <w:rPr>
          <w:spacing w:val="-12"/>
        </w:rPr>
        <w:t> </w:t>
      </w:r>
      <w:r>
        <w:rPr/>
        <w:t>que</w:t>
      </w:r>
      <w:r>
        <w:rPr>
          <w:spacing w:val="-12"/>
        </w:rPr>
        <w:t> </w:t>
      </w:r>
      <w:r>
        <w:rPr/>
        <w:t>integran los hogares u organizaciones receptoras de recursos, así como retomando las particularidades de los territorios.</w:t>
      </w:r>
    </w:p>
    <w:p>
      <w:pPr>
        <w:pStyle w:val="BodyText"/>
        <w:spacing w:before="1"/>
      </w:pPr>
    </w:p>
    <w:p>
      <w:pPr>
        <w:pStyle w:val="BodyText"/>
        <w:ind w:left="1625" w:right="1601"/>
        <w:jc w:val="both"/>
      </w:pPr>
      <w:r>
        <w:rPr/>
        <w:t>Para este propósito el IMAS debe atender a la población en situación de pobreza, en primera instancia con la oferta programática interna, y posteriormente articulando acciones</w:t>
      </w:r>
      <w:r>
        <w:rPr>
          <w:spacing w:val="-11"/>
        </w:rPr>
        <w:t> </w:t>
      </w:r>
      <w:r>
        <w:rPr/>
        <w:t>con</w:t>
      </w:r>
      <w:r>
        <w:rPr>
          <w:spacing w:val="-12"/>
        </w:rPr>
        <w:t> </w:t>
      </w:r>
      <w:r>
        <w:rPr/>
        <w:t>otras</w:t>
      </w:r>
      <w:r>
        <w:rPr>
          <w:spacing w:val="-14"/>
        </w:rPr>
        <w:t> </w:t>
      </w:r>
      <w:r>
        <w:rPr/>
        <w:t>instituciones,</w:t>
      </w:r>
      <w:r>
        <w:rPr>
          <w:spacing w:val="-10"/>
        </w:rPr>
        <w:t> </w:t>
      </w:r>
      <w:r>
        <w:rPr/>
        <w:t>facilitando</w:t>
      </w:r>
      <w:r>
        <w:rPr>
          <w:spacing w:val="-12"/>
        </w:rPr>
        <w:t> </w:t>
      </w:r>
      <w:r>
        <w:rPr/>
        <w:t>así</w:t>
      </w:r>
      <w:r>
        <w:rPr>
          <w:spacing w:val="-13"/>
        </w:rPr>
        <w:t> </w:t>
      </w:r>
      <w:r>
        <w:rPr/>
        <w:t>el</w:t>
      </w:r>
      <w:r>
        <w:rPr>
          <w:spacing w:val="-15"/>
        </w:rPr>
        <w:t> </w:t>
      </w:r>
      <w:r>
        <w:rPr/>
        <w:t>acceso</w:t>
      </w:r>
      <w:r>
        <w:rPr>
          <w:spacing w:val="-11"/>
        </w:rPr>
        <w:t> </w:t>
      </w:r>
      <w:r>
        <w:rPr/>
        <w:t>oportuno</w:t>
      </w:r>
      <w:r>
        <w:rPr>
          <w:spacing w:val="-14"/>
        </w:rPr>
        <w:t> </w:t>
      </w:r>
      <w:r>
        <w:rPr/>
        <w:t>y</w:t>
      </w:r>
      <w:r>
        <w:rPr>
          <w:spacing w:val="-11"/>
        </w:rPr>
        <w:t> </w:t>
      </w:r>
      <w:r>
        <w:rPr/>
        <w:t>preferente</w:t>
      </w:r>
      <w:r>
        <w:rPr>
          <w:spacing w:val="-11"/>
        </w:rPr>
        <w:t> </w:t>
      </w:r>
      <w:r>
        <w:rPr/>
        <w:t>a</w:t>
      </w:r>
      <w:r>
        <w:rPr>
          <w:spacing w:val="-11"/>
        </w:rPr>
        <w:t> </w:t>
      </w:r>
      <w:r>
        <w:rPr/>
        <w:t>la</w:t>
      </w:r>
      <w:r>
        <w:rPr>
          <w:spacing w:val="-14"/>
        </w:rPr>
        <w:t> </w:t>
      </w:r>
      <w:r>
        <w:rPr/>
        <w:t>oferta de programas y servicios del Estado costarricense.</w:t>
      </w:r>
    </w:p>
    <w:p>
      <w:pPr>
        <w:pStyle w:val="BodyText"/>
      </w:pPr>
    </w:p>
    <w:p>
      <w:pPr>
        <w:pStyle w:val="BodyText"/>
        <w:ind w:left="1625" w:right="1607"/>
        <w:jc w:val="both"/>
      </w:pPr>
      <w:r>
        <w:rPr/>
        <w:t>Es así como la Protección y Promoción Social constituyen mecanismos que le permiten a la población el acceso a servicios de atención integral, que les garantizan derechos e</w:t>
      </w:r>
    </w:p>
    <w:p>
      <w:pPr>
        <w:pStyle w:val="BodyText"/>
        <w:spacing w:after="0"/>
        <w:jc w:val="both"/>
        <w:sectPr>
          <w:pgSz w:w="12240" w:h="15840"/>
          <w:pgMar w:header="0" w:footer="1576" w:top="1000" w:bottom="1760" w:left="360" w:right="0"/>
        </w:sectPr>
      </w:pPr>
    </w:p>
    <w:p>
      <w:pPr>
        <w:pStyle w:val="BodyText"/>
        <w:spacing w:before="77"/>
        <w:ind w:left="1625" w:right="1605"/>
        <w:jc w:val="both"/>
      </w:pPr>
      <w:r>
        <w:rPr/>
        <w:t>igualdad como vínculos directos con la movilidad promovida desde las políticas </w:t>
      </w:r>
      <w:r>
        <w:rPr>
          <w:spacing w:val="-2"/>
        </w:rPr>
        <w:t>universales.</w:t>
      </w:r>
    </w:p>
    <w:p>
      <w:pPr>
        <w:pStyle w:val="BodyText"/>
      </w:pPr>
    </w:p>
    <w:p>
      <w:pPr>
        <w:pStyle w:val="Heading3"/>
        <w:numPr>
          <w:ilvl w:val="2"/>
          <w:numId w:val="5"/>
        </w:numPr>
        <w:tabs>
          <w:tab w:pos="3084" w:val="left" w:leader="none"/>
        </w:tabs>
        <w:spacing w:line="240" w:lineRule="auto" w:before="1" w:after="0"/>
        <w:ind w:left="3084" w:right="0" w:hanging="598"/>
        <w:jc w:val="left"/>
      </w:pPr>
      <w:bookmarkStart w:name="_bookmark40" w:id="41"/>
      <w:bookmarkEnd w:id="41"/>
      <w:r>
        <w:rPr>
          <w:b w:val="0"/>
        </w:rPr>
      </w:r>
      <w:r>
        <w:rPr/>
        <w:t>Descripción</w:t>
      </w:r>
      <w:r>
        <w:rPr>
          <w:spacing w:val="-5"/>
        </w:rPr>
        <w:t> </w:t>
      </w:r>
      <w:r>
        <w:rPr/>
        <w:t>del</w:t>
      </w:r>
      <w:r>
        <w:rPr>
          <w:spacing w:val="-5"/>
        </w:rPr>
        <w:t> </w:t>
      </w:r>
      <w:r>
        <w:rPr>
          <w:spacing w:val="-2"/>
        </w:rPr>
        <w:t>Programa</w:t>
      </w:r>
    </w:p>
    <w:p>
      <w:pPr>
        <w:pStyle w:val="BodyText"/>
        <w:spacing w:before="251"/>
        <w:ind w:left="1625" w:right="1603"/>
        <w:jc w:val="both"/>
      </w:pPr>
      <w:r>
        <w:rPr/>
        <w:t>La</w:t>
      </w:r>
      <w:r>
        <w:rPr>
          <w:spacing w:val="-1"/>
        </w:rPr>
        <w:t> </w:t>
      </w:r>
      <w:r>
        <w:rPr/>
        <w:t>Constitución</w:t>
      </w:r>
      <w:r>
        <w:rPr>
          <w:spacing w:val="-1"/>
        </w:rPr>
        <w:t> </w:t>
      </w:r>
      <w:r>
        <w:rPr/>
        <w:t>Política</w:t>
      </w:r>
      <w:r>
        <w:rPr>
          <w:spacing w:val="-3"/>
        </w:rPr>
        <w:t> </w:t>
      </w:r>
      <w:r>
        <w:rPr/>
        <w:t>de Costa</w:t>
      </w:r>
      <w:r>
        <w:rPr>
          <w:spacing w:val="-2"/>
        </w:rPr>
        <w:t> </w:t>
      </w:r>
      <w:r>
        <w:rPr/>
        <w:t>Rica en</w:t>
      </w:r>
      <w:r>
        <w:rPr>
          <w:spacing w:val="-3"/>
        </w:rPr>
        <w:t> </w:t>
      </w:r>
      <w:r>
        <w:rPr/>
        <w:t>su</w:t>
      </w:r>
      <w:r>
        <w:rPr>
          <w:spacing w:val="-3"/>
        </w:rPr>
        <w:t> </w:t>
      </w:r>
      <w:r>
        <w:rPr/>
        <w:t>artículo 50</w:t>
      </w:r>
      <w:r>
        <w:rPr>
          <w:spacing w:val="-1"/>
        </w:rPr>
        <w:t> </w:t>
      </w:r>
      <w:r>
        <w:rPr/>
        <w:t>establece</w:t>
      </w:r>
      <w:r>
        <w:rPr>
          <w:spacing w:val="-3"/>
        </w:rPr>
        <w:t> </w:t>
      </w:r>
      <w:r>
        <w:rPr/>
        <w:t>la responsabilidad del Estado de procurar el mayor bienestar para la población, configurando a partir de este momento</w:t>
      </w:r>
      <w:r>
        <w:rPr>
          <w:spacing w:val="-5"/>
        </w:rPr>
        <w:t> </w:t>
      </w:r>
      <w:r>
        <w:rPr/>
        <w:t>la</w:t>
      </w:r>
      <w:r>
        <w:rPr>
          <w:spacing w:val="-5"/>
        </w:rPr>
        <w:t> </w:t>
      </w:r>
      <w:r>
        <w:rPr/>
        <w:t>importancia</w:t>
      </w:r>
      <w:r>
        <w:rPr>
          <w:spacing w:val="-7"/>
        </w:rPr>
        <w:t> </w:t>
      </w:r>
      <w:r>
        <w:rPr/>
        <w:t>de</w:t>
      </w:r>
      <w:r>
        <w:rPr>
          <w:spacing w:val="-5"/>
        </w:rPr>
        <w:t> </w:t>
      </w:r>
      <w:r>
        <w:rPr/>
        <w:t>la</w:t>
      </w:r>
      <w:r>
        <w:rPr>
          <w:spacing w:val="-5"/>
        </w:rPr>
        <w:t> </w:t>
      </w:r>
      <w:r>
        <w:rPr/>
        <w:t>protección</w:t>
      </w:r>
      <w:r>
        <w:rPr>
          <w:spacing w:val="-5"/>
        </w:rPr>
        <w:t> </w:t>
      </w:r>
      <w:r>
        <w:rPr/>
        <w:t>de</w:t>
      </w:r>
      <w:r>
        <w:rPr>
          <w:spacing w:val="-8"/>
        </w:rPr>
        <w:t> </w:t>
      </w:r>
      <w:r>
        <w:rPr/>
        <w:t>toda</w:t>
      </w:r>
      <w:r>
        <w:rPr>
          <w:spacing w:val="-5"/>
        </w:rPr>
        <w:t> </w:t>
      </w:r>
      <w:r>
        <w:rPr/>
        <w:t>la</w:t>
      </w:r>
      <w:r>
        <w:rPr>
          <w:spacing w:val="-5"/>
        </w:rPr>
        <w:t> </w:t>
      </w:r>
      <w:r>
        <w:rPr/>
        <w:t>sociedad,</w:t>
      </w:r>
      <w:r>
        <w:rPr>
          <w:spacing w:val="-4"/>
        </w:rPr>
        <w:t> </w:t>
      </w:r>
      <w:r>
        <w:rPr/>
        <w:t>principalmente</w:t>
      </w:r>
      <w:r>
        <w:rPr>
          <w:spacing w:val="-5"/>
        </w:rPr>
        <w:t> </w:t>
      </w:r>
      <w:r>
        <w:rPr/>
        <w:t>de</w:t>
      </w:r>
      <w:r>
        <w:rPr>
          <w:spacing w:val="-2"/>
        </w:rPr>
        <w:t> </w:t>
      </w:r>
      <w:r>
        <w:rPr/>
        <w:t>aquellos sectores más desfavorecidos.</w:t>
      </w:r>
    </w:p>
    <w:p>
      <w:pPr>
        <w:pStyle w:val="BodyText"/>
      </w:pPr>
    </w:p>
    <w:p>
      <w:pPr>
        <w:pStyle w:val="BodyText"/>
        <w:ind w:left="1625" w:right="1607"/>
        <w:jc w:val="both"/>
      </w:pPr>
      <w:r>
        <w:rPr/>
        <w:t>Vinculado a este rol del Estado como garante del bienestar de la población, es que mediante la ley N°4760 del 04 de mayo de 1971 se estableció la creación del IMAS, consignando entre los fines de esta instancia:</w:t>
      </w:r>
    </w:p>
    <w:p>
      <w:pPr>
        <w:pStyle w:val="BodyText"/>
      </w:pPr>
    </w:p>
    <w:p>
      <w:pPr>
        <w:spacing w:before="1"/>
        <w:ind w:left="1908" w:right="0" w:firstLine="0"/>
        <w:jc w:val="both"/>
        <w:rPr>
          <w:i/>
          <w:sz w:val="20"/>
        </w:rPr>
      </w:pPr>
      <w:r>
        <w:rPr>
          <w:i/>
          <w:sz w:val="20"/>
        </w:rPr>
        <w:t>“a)</w:t>
      </w:r>
      <w:r>
        <w:rPr>
          <w:i/>
          <w:spacing w:val="-10"/>
          <w:sz w:val="20"/>
        </w:rPr>
        <w:t> </w:t>
      </w:r>
      <w:r>
        <w:rPr>
          <w:i/>
          <w:sz w:val="20"/>
        </w:rPr>
        <w:t>Formular</w:t>
      </w:r>
      <w:r>
        <w:rPr>
          <w:i/>
          <w:spacing w:val="-9"/>
          <w:sz w:val="20"/>
        </w:rPr>
        <w:t> </w:t>
      </w:r>
      <w:r>
        <w:rPr>
          <w:i/>
          <w:sz w:val="20"/>
        </w:rPr>
        <w:t>y</w:t>
      </w:r>
      <w:r>
        <w:rPr>
          <w:i/>
          <w:spacing w:val="-8"/>
          <w:sz w:val="20"/>
        </w:rPr>
        <w:t> </w:t>
      </w:r>
      <w:r>
        <w:rPr>
          <w:i/>
          <w:sz w:val="20"/>
        </w:rPr>
        <w:t>ejecutar</w:t>
      </w:r>
      <w:r>
        <w:rPr>
          <w:i/>
          <w:spacing w:val="-7"/>
          <w:sz w:val="20"/>
        </w:rPr>
        <w:t> </w:t>
      </w:r>
      <w:r>
        <w:rPr>
          <w:i/>
          <w:sz w:val="20"/>
        </w:rPr>
        <w:t>una</w:t>
      </w:r>
      <w:r>
        <w:rPr>
          <w:i/>
          <w:spacing w:val="-7"/>
          <w:sz w:val="20"/>
        </w:rPr>
        <w:t> </w:t>
      </w:r>
      <w:r>
        <w:rPr>
          <w:i/>
          <w:sz w:val="20"/>
        </w:rPr>
        <w:t>política</w:t>
      </w:r>
      <w:r>
        <w:rPr>
          <w:i/>
          <w:spacing w:val="-10"/>
          <w:sz w:val="20"/>
        </w:rPr>
        <w:t> </w:t>
      </w:r>
      <w:r>
        <w:rPr>
          <w:i/>
          <w:sz w:val="20"/>
        </w:rPr>
        <w:t>nacional</w:t>
      </w:r>
      <w:r>
        <w:rPr>
          <w:i/>
          <w:spacing w:val="-9"/>
          <w:sz w:val="20"/>
        </w:rPr>
        <w:t> </w:t>
      </w:r>
      <w:r>
        <w:rPr>
          <w:i/>
          <w:sz w:val="20"/>
        </w:rPr>
        <w:t>de</w:t>
      </w:r>
      <w:r>
        <w:rPr>
          <w:i/>
          <w:spacing w:val="-10"/>
          <w:sz w:val="20"/>
        </w:rPr>
        <w:t> </w:t>
      </w:r>
      <w:r>
        <w:rPr>
          <w:i/>
          <w:sz w:val="20"/>
        </w:rPr>
        <w:t>promoción</w:t>
      </w:r>
      <w:r>
        <w:rPr>
          <w:i/>
          <w:spacing w:val="-10"/>
          <w:sz w:val="20"/>
        </w:rPr>
        <w:t> </w:t>
      </w:r>
      <w:r>
        <w:rPr>
          <w:i/>
          <w:sz w:val="20"/>
        </w:rPr>
        <w:t>social</w:t>
      </w:r>
      <w:r>
        <w:rPr>
          <w:i/>
          <w:spacing w:val="-11"/>
          <w:sz w:val="20"/>
        </w:rPr>
        <w:t> </w:t>
      </w:r>
      <w:r>
        <w:rPr>
          <w:i/>
          <w:sz w:val="20"/>
        </w:rPr>
        <w:t>y</w:t>
      </w:r>
      <w:r>
        <w:rPr>
          <w:i/>
          <w:spacing w:val="-8"/>
          <w:sz w:val="20"/>
        </w:rPr>
        <w:t> </w:t>
      </w:r>
      <w:r>
        <w:rPr>
          <w:i/>
          <w:sz w:val="20"/>
        </w:rPr>
        <w:t>humana</w:t>
      </w:r>
      <w:r>
        <w:rPr>
          <w:i/>
          <w:spacing w:val="-10"/>
          <w:sz w:val="20"/>
        </w:rPr>
        <w:t> </w:t>
      </w:r>
      <w:r>
        <w:rPr>
          <w:i/>
          <w:sz w:val="20"/>
        </w:rPr>
        <w:t>de</w:t>
      </w:r>
      <w:r>
        <w:rPr>
          <w:i/>
          <w:spacing w:val="-10"/>
          <w:sz w:val="20"/>
        </w:rPr>
        <w:t> </w:t>
      </w:r>
      <w:r>
        <w:rPr>
          <w:i/>
          <w:sz w:val="20"/>
        </w:rPr>
        <w:t>los</w:t>
      </w:r>
      <w:r>
        <w:rPr>
          <w:i/>
          <w:spacing w:val="-7"/>
          <w:sz w:val="20"/>
        </w:rPr>
        <w:t> </w:t>
      </w:r>
      <w:r>
        <w:rPr>
          <w:i/>
          <w:spacing w:val="-2"/>
          <w:sz w:val="20"/>
        </w:rPr>
        <w:t>sectores</w:t>
      </w:r>
    </w:p>
    <w:p>
      <w:pPr>
        <w:spacing w:before="0"/>
        <w:ind w:left="1908" w:right="0" w:firstLine="0"/>
        <w:jc w:val="both"/>
        <w:rPr>
          <w:i/>
          <w:sz w:val="20"/>
        </w:rPr>
      </w:pPr>
      <w:r>
        <w:rPr>
          <w:i/>
          <w:sz w:val="20"/>
        </w:rPr>
        <w:t>más</w:t>
      </w:r>
      <w:r>
        <w:rPr>
          <w:i/>
          <w:spacing w:val="-6"/>
          <w:sz w:val="20"/>
        </w:rPr>
        <w:t> </w:t>
      </w:r>
      <w:r>
        <w:rPr>
          <w:i/>
          <w:sz w:val="20"/>
        </w:rPr>
        <w:t>débiles</w:t>
      </w:r>
      <w:r>
        <w:rPr>
          <w:i/>
          <w:spacing w:val="-6"/>
          <w:sz w:val="20"/>
        </w:rPr>
        <w:t> </w:t>
      </w:r>
      <w:r>
        <w:rPr>
          <w:i/>
          <w:sz w:val="20"/>
        </w:rPr>
        <w:t>de</w:t>
      </w:r>
      <w:r>
        <w:rPr>
          <w:i/>
          <w:spacing w:val="-7"/>
          <w:sz w:val="20"/>
        </w:rPr>
        <w:t> </w:t>
      </w:r>
      <w:r>
        <w:rPr>
          <w:i/>
          <w:sz w:val="20"/>
        </w:rPr>
        <w:t>la</w:t>
      </w:r>
      <w:r>
        <w:rPr>
          <w:i/>
          <w:spacing w:val="-6"/>
          <w:sz w:val="20"/>
        </w:rPr>
        <w:t> </w:t>
      </w:r>
      <w:r>
        <w:rPr>
          <w:i/>
          <w:sz w:val="20"/>
        </w:rPr>
        <w:t>sociedad</w:t>
      </w:r>
      <w:r>
        <w:rPr>
          <w:i/>
          <w:spacing w:val="-5"/>
          <w:sz w:val="20"/>
        </w:rPr>
        <w:t> </w:t>
      </w:r>
      <w:r>
        <w:rPr>
          <w:i/>
          <w:spacing w:val="-2"/>
          <w:sz w:val="20"/>
        </w:rPr>
        <w:t>costarricense;</w:t>
      </w:r>
    </w:p>
    <w:p>
      <w:pPr>
        <w:pStyle w:val="ListParagraph"/>
        <w:numPr>
          <w:ilvl w:val="0"/>
          <w:numId w:val="17"/>
        </w:numPr>
        <w:tabs>
          <w:tab w:pos="2139" w:val="left" w:leader="none"/>
        </w:tabs>
        <w:spacing w:line="229" w:lineRule="exact" w:before="1" w:after="0"/>
        <w:ind w:left="2139" w:right="0" w:hanging="231"/>
        <w:jc w:val="both"/>
        <w:rPr>
          <w:i/>
          <w:sz w:val="20"/>
        </w:rPr>
      </w:pPr>
      <w:r>
        <w:rPr>
          <w:i/>
          <w:sz w:val="20"/>
        </w:rPr>
        <w:t>Atenuar,</w:t>
      </w:r>
      <w:r>
        <w:rPr>
          <w:i/>
          <w:spacing w:val="-6"/>
          <w:sz w:val="20"/>
        </w:rPr>
        <w:t> </w:t>
      </w:r>
      <w:r>
        <w:rPr>
          <w:i/>
          <w:sz w:val="20"/>
        </w:rPr>
        <w:t>disminuir</w:t>
      </w:r>
      <w:r>
        <w:rPr>
          <w:i/>
          <w:spacing w:val="-6"/>
          <w:sz w:val="20"/>
        </w:rPr>
        <w:t> </w:t>
      </w:r>
      <w:r>
        <w:rPr>
          <w:i/>
          <w:sz w:val="20"/>
        </w:rPr>
        <w:t>o</w:t>
      </w:r>
      <w:r>
        <w:rPr>
          <w:i/>
          <w:spacing w:val="-6"/>
          <w:sz w:val="20"/>
        </w:rPr>
        <w:t> </w:t>
      </w:r>
      <w:r>
        <w:rPr>
          <w:i/>
          <w:sz w:val="20"/>
        </w:rPr>
        <w:t>eliminar</w:t>
      </w:r>
      <w:r>
        <w:rPr>
          <w:i/>
          <w:spacing w:val="-5"/>
          <w:sz w:val="20"/>
        </w:rPr>
        <w:t> </w:t>
      </w:r>
      <w:r>
        <w:rPr>
          <w:i/>
          <w:sz w:val="20"/>
        </w:rPr>
        <w:t>las</w:t>
      </w:r>
      <w:r>
        <w:rPr>
          <w:i/>
          <w:spacing w:val="-7"/>
          <w:sz w:val="20"/>
        </w:rPr>
        <w:t> </w:t>
      </w:r>
      <w:r>
        <w:rPr>
          <w:i/>
          <w:sz w:val="20"/>
        </w:rPr>
        <w:t>causas</w:t>
      </w:r>
      <w:r>
        <w:rPr>
          <w:i/>
          <w:spacing w:val="-7"/>
          <w:sz w:val="20"/>
        </w:rPr>
        <w:t> </w:t>
      </w:r>
      <w:r>
        <w:rPr>
          <w:i/>
          <w:sz w:val="20"/>
        </w:rPr>
        <w:t>generadoras</w:t>
      </w:r>
      <w:r>
        <w:rPr>
          <w:i/>
          <w:spacing w:val="-7"/>
          <w:sz w:val="20"/>
        </w:rPr>
        <w:t> </w:t>
      </w:r>
      <w:r>
        <w:rPr>
          <w:i/>
          <w:sz w:val="20"/>
        </w:rPr>
        <w:t>de</w:t>
      </w:r>
      <w:r>
        <w:rPr>
          <w:i/>
          <w:spacing w:val="-8"/>
          <w:sz w:val="20"/>
        </w:rPr>
        <w:t> </w:t>
      </w:r>
      <w:r>
        <w:rPr>
          <w:i/>
          <w:sz w:val="20"/>
        </w:rPr>
        <w:t>la</w:t>
      </w:r>
      <w:r>
        <w:rPr>
          <w:i/>
          <w:spacing w:val="-8"/>
          <w:sz w:val="20"/>
        </w:rPr>
        <w:t> </w:t>
      </w:r>
      <w:r>
        <w:rPr>
          <w:i/>
          <w:sz w:val="20"/>
        </w:rPr>
        <w:t>indigencia</w:t>
      </w:r>
      <w:r>
        <w:rPr>
          <w:i/>
          <w:spacing w:val="-8"/>
          <w:sz w:val="20"/>
        </w:rPr>
        <w:t> </w:t>
      </w:r>
      <w:r>
        <w:rPr>
          <w:i/>
          <w:sz w:val="20"/>
        </w:rPr>
        <w:t>y</w:t>
      </w:r>
      <w:r>
        <w:rPr>
          <w:i/>
          <w:spacing w:val="-6"/>
          <w:sz w:val="20"/>
        </w:rPr>
        <w:t> </w:t>
      </w:r>
      <w:r>
        <w:rPr>
          <w:i/>
          <w:sz w:val="20"/>
        </w:rPr>
        <w:t>sus</w:t>
      </w:r>
      <w:r>
        <w:rPr>
          <w:i/>
          <w:spacing w:val="-7"/>
          <w:sz w:val="20"/>
        </w:rPr>
        <w:t> </w:t>
      </w:r>
      <w:r>
        <w:rPr>
          <w:i/>
          <w:spacing w:val="-2"/>
          <w:sz w:val="20"/>
        </w:rPr>
        <w:t>efectos;</w:t>
      </w:r>
    </w:p>
    <w:p>
      <w:pPr>
        <w:pStyle w:val="ListParagraph"/>
        <w:numPr>
          <w:ilvl w:val="0"/>
          <w:numId w:val="17"/>
        </w:numPr>
        <w:tabs>
          <w:tab w:pos="2149" w:val="left" w:leader="none"/>
        </w:tabs>
        <w:spacing w:line="240" w:lineRule="auto" w:before="0" w:after="0"/>
        <w:ind w:left="1908" w:right="1946" w:firstLine="0"/>
        <w:jc w:val="both"/>
        <w:rPr>
          <w:i/>
          <w:sz w:val="20"/>
        </w:rPr>
      </w:pPr>
      <w:r>
        <w:rPr>
          <w:i/>
          <w:sz w:val="20"/>
        </w:rPr>
        <w:t>Hacer de los programas de estímulo social un medio para obtener en el menor plazo</w:t>
      </w:r>
      <w:r>
        <w:rPr>
          <w:i/>
          <w:sz w:val="20"/>
        </w:rPr>
        <w:t> posible</w:t>
      </w:r>
      <w:r>
        <w:rPr>
          <w:i/>
          <w:spacing w:val="-11"/>
          <w:sz w:val="20"/>
        </w:rPr>
        <w:t> </w:t>
      </w:r>
      <w:r>
        <w:rPr>
          <w:i/>
          <w:sz w:val="20"/>
        </w:rPr>
        <w:t>la</w:t>
      </w:r>
      <w:r>
        <w:rPr>
          <w:i/>
          <w:spacing w:val="-11"/>
          <w:sz w:val="20"/>
        </w:rPr>
        <w:t> </w:t>
      </w:r>
      <w:r>
        <w:rPr>
          <w:i/>
          <w:sz w:val="20"/>
        </w:rPr>
        <w:t>incorporación</w:t>
      </w:r>
      <w:r>
        <w:rPr>
          <w:i/>
          <w:spacing w:val="-11"/>
          <w:sz w:val="20"/>
        </w:rPr>
        <w:t> </w:t>
      </w:r>
      <w:r>
        <w:rPr>
          <w:i/>
          <w:sz w:val="20"/>
        </w:rPr>
        <w:t>de</w:t>
      </w:r>
      <w:r>
        <w:rPr>
          <w:i/>
          <w:spacing w:val="-11"/>
          <w:sz w:val="20"/>
        </w:rPr>
        <w:t> </w:t>
      </w:r>
      <w:r>
        <w:rPr>
          <w:i/>
          <w:sz w:val="20"/>
        </w:rPr>
        <w:t>los</w:t>
      </w:r>
      <w:r>
        <w:rPr>
          <w:i/>
          <w:spacing w:val="-12"/>
          <w:sz w:val="20"/>
        </w:rPr>
        <w:t> </w:t>
      </w:r>
      <w:r>
        <w:rPr>
          <w:i/>
          <w:sz w:val="20"/>
        </w:rPr>
        <w:t>grupos</w:t>
      </w:r>
      <w:r>
        <w:rPr>
          <w:i/>
          <w:spacing w:val="-10"/>
          <w:sz w:val="20"/>
        </w:rPr>
        <w:t> </w:t>
      </w:r>
      <w:r>
        <w:rPr>
          <w:i/>
          <w:sz w:val="20"/>
        </w:rPr>
        <w:t>humanos</w:t>
      </w:r>
      <w:r>
        <w:rPr>
          <w:i/>
          <w:spacing w:val="-12"/>
          <w:sz w:val="20"/>
        </w:rPr>
        <w:t> </w:t>
      </w:r>
      <w:r>
        <w:rPr>
          <w:i/>
          <w:sz w:val="20"/>
        </w:rPr>
        <w:t>marginados</w:t>
      </w:r>
      <w:r>
        <w:rPr>
          <w:i/>
          <w:spacing w:val="-12"/>
          <w:sz w:val="20"/>
        </w:rPr>
        <w:t> </w:t>
      </w:r>
      <w:r>
        <w:rPr>
          <w:i/>
          <w:sz w:val="20"/>
        </w:rPr>
        <w:t>de</w:t>
      </w:r>
      <w:r>
        <w:rPr>
          <w:i/>
          <w:spacing w:val="-11"/>
          <w:sz w:val="20"/>
        </w:rPr>
        <w:t> </w:t>
      </w:r>
      <w:r>
        <w:rPr>
          <w:i/>
          <w:sz w:val="20"/>
        </w:rPr>
        <w:t>las</w:t>
      </w:r>
      <w:r>
        <w:rPr>
          <w:i/>
          <w:spacing w:val="-12"/>
          <w:sz w:val="20"/>
        </w:rPr>
        <w:t> </w:t>
      </w:r>
      <w:r>
        <w:rPr>
          <w:i/>
          <w:sz w:val="20"/>
        </w:rPr>
        <w:t>actividades</w:t>
      </w:r>
      <w:r>
        <w:rPr>
          <w:i/>
          <w:spacing w:val="-10"/>
          <w:sz w:val="20"/>
        </w:rPr>
        <w:t> </w:t>
      </w:r>
      <w:r>
        <w:rPr>
          <w:i/>
          <w:sz w:val="20"/>
        </w:rPr>
        <w:t>económicas y sociales del país;</w:t>
      </w:r>
    </w:p>
    <w:p>
      <w:pPr>
        <w:pStyle w:val="ListParagraph"/>
        <w:numPr>
          <w:ilvl w:val="0"/>
          <w:numId w:val="17"/>
        </w:numPr>
        <w:tabs>
          <w:tab w:pos="2171" w:val="left" w:leader="none"/>
        </w:tabs>
        <w:spacing w:line="240" w:lineRule="auto" w:before="0" w:after="0"/>
        <w:ind w:left="1908" w:right="1949" w:firstLine="0"/>
        <w:jc w:val="both"/>
        <w:rPr>
          <w:i/>
          <w:sz w:val="20"/>
        </w:rPr>
      </w:pPr>
      <w:r>
        <w:rPr>
          <w:i/>
          <w:sz w:val="20"/>
        </w:rPr>
        <w:t>Preparar los sectores indigentes en forma adecuada y rápida para que mejoren sus</w:t>
      </w:r>
      <w:r>
        <w:rPr>
          <w:i/>
          <w:sz w:val="20"/>
        </w:rPr>
        <w:t> posibilidades de desempeñar trabajo remunerado;</w:t>
      </w:r>
    </w:p>
    <w:p>
      <w:pPr>
        <w:pStyle w:val="ListParagraph"/>
        <w:numPr>
          <w:ilvl w:val="0"/>
          <w:numId w:val="17"/>
        </w:numPr>
        <w:tabs>
          <w:tab w:pos="2183" w:val="left" w:leader="none"/>
        </w:tabs>
        <w:spacing w:line="240" w:lineRule="auto" w:before="0" w:after="0"/>
        <w:ind w:left="1908" w:right="1950" w:firstLine="0"/>
        <w:jc w:val="both"/>
        <w:rPr>
          <w:i/>
          <w:sz w:val="20"/>
        </w:rPr>
      </w:pPr>
      <w:r>
        <w:rPr>
          <w:i/>
          <w:sz w:val="20"/>
        </w:rPr>
        <w:t>Atender las necesidades de los grupos sociales o de las personas que deban ser</w:t>
      </w:r>
      <w:r>
        <w:rPr>
          <w:i/>
          <w:sz w:val="20"/>
        </w:rPr>
        <w:t> provistas de medios de subsistencia cuando carezcan de ellos;</w:t>
      </w:r>
    </w:p>
    <w:p>
      <w:pPr>
        <w:pStyle w:val="ListParagraph"/>
        <w:numPr>
          <w:ilvl w:val="0"/>
          <w:numId w:val="17"/>
        </w:numPr>
        <w:tabs>
          <w:tab w:pos="2096" w:val="left" w:leader="none"/>
        </w:tabs>
        <w:spacing w:line="240" w:lineRule="auto" w:before="0" w:after="0"/>
        <w:ind w:left="1908" w:right="1939" w:firstLine="0"/>
        <w:jc w:val="both"/>
        <w:rPr>
          <w:i/>
          <w:sz w:val="20"/>
        </w:rPr>
      </w:pPr>
      <w:r>
        <w:rPr>
          <w:i/>
          <w:sz w:val="20"/>
        </w:rPr>
        <w:t>Procurar la participación de los sectores privados e instituciones públicas, nacionales y</w:t>
      </w:r>
      <w:r>
        <w:rPr>
          <w:i/>
          <w:sz w:val="20"/>
        </w:rPr>
        <w:t> extranjeras, especializadas en estas tareas, en la creación y desarrollo de toda clase de sistemas y programas destinados a mejorar las condiciones culturales, sociales y económicas de los grupos afectados por la pobreza con el máximo de participación de los esfuerzos de estos mismos grupos; y</w:t>
      </w:r>
    </w:p>
    <w:p>
      <w:pPr>
        <w:pStyle w:val="ListParagraph"/>
        <w:numPr>
          <w:ilvl w:val="0"/>
          <w:numId w:val="17"/>
        </w:numPr>
        <w:tabs>
          <w:tab w:pos="2130" w:val="left" w:leader="none"/>
        </w:tabs>
        <w:spacing w:line="230" w:lineRule="exact" w:before="0" w:after="0"/>
        <w:ind w:left="2130" w:right="0" w:hanging="222"/>
        <w:jc w:val="both"/>
        <w:rPr>
          <w:i/>
          <w:sz w:val="20"/>
        </w:rPr>
      </w:pPr>
      <w:r>
        <w:rPr>
          <w:i/>
          <w:spacing w:val="-2"/>
          <w:sz w:val="20"/>
        </w:rPr>
        <w:t>Coordinar</w:t>
      </w:r>
      <w:r>
        <w:rPr>
          <w:i/>
          <w:spacing w:val="-5"/>
          <w:sz w:val="20"/>
        </w:rPr>
        <w:t> </w:t>
      </w:r>
      <w:r>
        <w:rPr>
          <w:i/>
          <w:spacing w:val="-2"/>
          <w:sz w:val="20"/>
        </w:rPr>
        <w:t>los</w:t>
      </w:r>
      <w:r>
        <w:rPr>
          <w:i/>
          <w:spacing w:val="-5"/>
          <w:sz w:val="20"/>
        </w:rPr>
        <w:t> </w:t>
      </w:r>
      <w:r>
        <w:rPr>
          <w:i/>
          <w:spacing w:val="-2"/>
          <w:sz w:val="20"/>
        </w:rPr>
        <w:t>programas</w:t>
      </w:r>
      <w:r>
        <w:rPr>
          <w:i/>
          <w:spacing w:val="-1"/>
          <w:sz w:val="20"/>
        </w:rPr>
        <w:t> </w:t>
      </w:r>
      <w:r>
        <w:rPr>
          <w:i/>
          <w:spacing w:val="-2"/>
          <w:sz w:val="20"/>
        </w:rPr>
        <w:t>nacionales</w:t>
      </w:r>
      <w:r>
        <w:rPr>
          <w:i/>
          <w:spacing w:val="-5"/>
          <w:sz w:val="20"/>
        </w:rPr>
        <w:t> </w:t>
      </w:r>
      <w:r>
        <w:rPr>
          <w:i/>
          <w:spacing w:val="-2"/>
          <w:sz w:val="20"/>
        </w:rPr>
        <w:t>de</w:t>
      </w:r>
      <w:r>
        <w:rPr>
          <w:i/>
          <w:spacing w:val="-5"/>
          <w:sz w:val="20"/>
        </w:rPr>
        <w:t> </w:t>
      </w:r>
      <w:r>
        <w:rPr>
          <w:i/>
          <w:spacing w:val="-2"/>
          <w:sz w:val="20"/>
        </w:rPr>
        <w:t>los</w:t>
      </w:r>
      <w:r>
        <w:rPr>
          <w:i/>
          <w:spacing w:val="-5"/>
          <w:sz w:val="20"/>
        </w:rPr>
        <w:t> </w:t>
      </w:r>
      <w:r>
        <w:rPr>
          <w:i/>
          <w:spacing w:val="-2"/>
          <w:sz w:val="20"/>
        </w:rPr>
        <w:t>sectores</w:t>
      </w:r>
      <w:r>
        <w:rPr>
          <w:i/>
          <w:spacing w:val="-1"/>
          <w:sz w:val="20"/>
        </w:rPr>
        <w:t> </w:t>
      </w:r>
      <w:r>
        <w:rPr>
          <w:i/>
          <w:spacing w:val="-2"/>
          <w:sz w:val="20"/>
        </w:rPr>
        <w:t>públicos</w:t>
      </w:r>
      <w:r>
        <w:rPr>
          <w:i/>
          <w:spacing w:val="-5"/>
          <w:sz w:val="20"/>
        </w:rPr>
        <w:t> </w:t>
      </w:r>
      <w:r>
        <w:rPr>
          <w:i/>
          <w:spacing w:val="-2"/>
          <w:sz w:val="20"/>
        </w:rPr>
        <w:t>y</w:t>
      </w:r>
      <w:r>
        <w:rPr>
          <w:i/>
          <w:spacing w:val="-3"/>
          <w:sz w:val="20"/>
        </w:rPr>
        <w:t> </w:t>
      </w:r>
      <w:r>
        <w:rPr>
          <w:i/>
          <w:spacing w:val="-2"/>
          <w:sz w:val="20"/>
        </w:rPr>
        <w:t>privados cuyos</w:t>
      </w:r>
      <w:r>
        <w:rPr>
          <w:i/>
          <w:spacing w:val="-4"/>
          <w:sz w:val="20"/>
        </w:rPr>
        <w:t> </w:t>
      </w:r>
      <w:r>
        <w:rPr>
          <w:i/>
          <w:spacing w:val="-2"/>
          <w:sz w:val="20"/>
        </w:rPr>
        <w:t>fines</w:t>
      </w:r>
      <w:r>
        <w:rPr>
          <w:i/>
          <w:spacing w:val="-4"/>
          <w:sz w:val="20"/>
        </w:rPr>
        <w:t> sean</w:t>
      </w:r>
    </w:p>
    <w:p>
      <w:pPr>
        <w:spacing w:before="0"/>
        <w:ind w:left="1908" w:right="0" w:firstLine="0"/>
        <w:jc w:val="both"/>
        <w:rPr>
          <w:i/>
          <w:sz w:val="20"/>
        </w:rPr>
      </w:pPr>
      <w:r>
        <w:rPr>
          <w:i/>
          <w:sz w:val="20"/>
        </w:rPr>
        <w:t>similares</w:t>
      </w:r>
      <w:r>
        <w:rPr>
          <w:i/>
          <w:spacing w:val="-6"/>
          <w:sz w:val="20"/>
        </w:rPr>
        <w:t> </w:t>
      </w:r>
      <w:r>
        <w:rPr>
          <w:i/>
          <w:sz w:val="20"/>
        </w:rPr>
        <w:t>a</w:t>
      </w:r>
      <w:r>
        <w:rPr>
          <w:i/>
          <w:spacing w:val="-5"/>
          <w:sz w:val="20"/>
        </w:rPr>
        <w:t> </w:t>
      </w:r>
      <w:r>
        <w:rPr>
          <w:i/>
          <w:sz w:val="20"/>
        </w:rPr>
        <w:t>los</w:t>
      </w:r>
      <w:r>
        <w:rPr>
          <w:i/>
          <w:spacing w:val="-5"/>
          <w:sz w:val="20"/>
        </w:rPr>
        <w:t> </w:t>
      </w:r>
      <w:r>
        <w:rPr>
          <w:i/>
          <w:sz w:val="20"/>
        </w:rPr>
        <w:t>expresados</w:t>
      </w:r>
      <w:r>
        <w:rPr>
          <w:i/>
          <w:spacing w:val="-5"/>
          <w:sz w:val="20"/>
        </w:rPr>
        <w:t> </w:t>
      </w:r>
      <w:r>
        <w:rPr>
          <w:i/>
          <w:sz w:val="20"/>
        </w:rPr>
        <w:t>en</w:t>
      </w:r>
      <w:r>
        <w:rPr>
          <w:i/>
          <w:spacing w:val="-7"/>
          <w:sz w:val="20"/>
        </w:rPr>
        <w:t> </w:t>
      </w:r>
      <w:r>
        <w:rPr>
          <w:i/>
          <w:sz w:val="20"/>
        </w:rPr>
        <w:t>esta</w:t>
      </w:r>
      <w:r>
        <w:rPr>
          <w:i/>
          <w:spacing w:val="-5"/>
          <w:sz w:val="20"/>
        </w:rPr>
        <w:t> </w:t>
      </w:r>
      <w:r>
        <w:rPr>
          <w:i/>
          <w:spacing w:val="-2"/>
          <w:sz w:val="20"/>
        </w:rPr>
        <w:t>ley”.</w:t>
      </w:r>
    </w:p>
    <w:p>
      <w:pPr>
        <w:pStyle w:val="BodyText"/>
        <w:spacing w:before="23"/>
        <w:rPr>
          <w:i/>
          <w:sz w:val="20"/>
        </w:rPr>
      </w:pPr>
    </w:p>
    <w:p>
      <w:pPr>
        <w:pStyle w:val="BodyText"/>
        <w:ind w:left="1625" w:right="1605"/>
        <w:jc w:val="both"/>
      </w:pPr>
      <w:r>
        <w:rPr/>
        <w:t>Estos</w:t>
      </w:r>
      <w:r>
        <w:rPr>
          <w:spacing w:val="-7"/>
        </w:rPr>
        <w:t> </w:t>
      </w:r>
      <w:r>
        <w:rPr/>
        <w:t>fines</w:t>
      </w:r>
      <w:r>
        <w:rPr>
          <w:spacing w:val="-9"/>
        </w:rPr>
        <w:t> </w:t>
      </w:r>
      <w:r>
        <w:rPr/>
        <w:t>también</w:t>
      </w:r>
      <w:r>
        <w:rPr>
          <w:spacing w:val="-8"/>
        </w:rPr>
        <w:t> </w:t>
      </w:r>
      <w:r>
        <w:rPr/>
        <w:t>se</w:t>
      </w:r>
      <w:r>
        <w:rPr>
          <w:spacing w:val="-7"/>
        </w:rPr>
        <w:t> </w:t>
      </w:r>
      <w:r>
        <w:rPr/>
        <w:t>encuentran</w:t>
      </w:r>
      <w:r>
        <w:rPr>
          <w:spacing w:val="-10"/>
        </w:rPr>
        <w:t> </w:t>
      </w:r>
      <w:r>
        <w:rPr/>
        <w:t>respaldados</w:t>
      </w:r>
      <w:r>
        <w:rPr>
          <w:spacing w:val="-7"/>
        </w:rPr>
        <w:t> </w:t>
      </w:r>
      <w:r>
        <w:rPr/>
        <w:t>en</w:t>
      </w:r>
      <w:r>
        <w:rPr>
          <w:spacing w:val="-7"/>
        </w:rPr>
        <w:t> </w:t>
      </w:r>
      <w:r>
        <w:rPr/>
        <w:t>el</w:t>
      </w:r>
      <w:r>
        <w:rPr>
          <w:spacing w:val="-8"/>
        </w:rPr>
        <w:t> </w:t>
      </w:r>
      <w:r>
        <w:rPr/>
        <w:t>Reglamento</w:t>
      </w:r>
      <w:r>
        <w:rPr>
          <w:spacing w:val="-10"/>
        </w:rPr>
        <w:t> </w:t>
      </w:r>
      <w:r>
        <w:rPr/>
        <w:t>Orgánico</w:t>
      </w:r>
      <w:r>
        <w:rPr>
          <w:spacing w:val="-7"/>
        </w:rPr>
        <w:t> </w:t>
      </w:r>
      <w:r>
        <w:rPr/>
        <w:t>del</w:t>
      </w:r>
      <w:r>
        <w:rPr>
          <w:spacing w:val="-8"/>
        </w:rPr>
        <w:t> </w:t>
      </w:r>
      <w:r>
        <w:rPr/>
        <w:t>IMAS,</w:t>
      </w:r>
      <w:r>
        <w:rPr>
          <w:spacing w:val="-8"/>
        </w:rPr>
        <w:t> </w:t>
      </w:r>
      <w:r>
        <w:rPr/>
        <w:t>en donde se establece en el artículo 57 que,</w:t>
      </w:r>
    </w:p>
    <w:p>
      <w:pPr>
        <w:pStyle w:val="BodyText"/>
        <w:spacing w:before="2"/>
      </w:pPr>
    </w:p>
    <w:p>
      <w:pPr>
        <w:spacing w:before="0"/>
        <w:ind w:left="1908" w:right="1946" w:firstLine="0"/>
        <w:jc w:val="both"/>
        <w:rPr>
          <w:i/>
          <w:sz w:val="20"/>
        </w:rPr>
      </w:pPr>
      <w:r>
        <w:rPr>
          <w:i/>
          <w:sz w:val="20"/>
        </w:rPr>
        <w:t>“Toda acción del IMAS deberá estar dirigida a lograr el desarrollo integral de las</w:t>
      </w:r>
      <w:r>
        <w:rPr>
          <w:i/>
          <w:sz w:val="20"/>
        </w:rPr>
        <w:t> comunidades, los grupos, las personas y las familias, mediante la inserción en programas y proyectos de asistencia y promoción social.</w:t>
      </w:r>
    </w:p>
    <w:p>
      <w:pPr>
        <w:spacing w:before="229"/>
        <w:ind w:left="1908" w:right="1947" w:firstLine="0"/>
        <w:jc w:val="both"/>
        <w:rPr>
          <w:i/>
          <w:sz w:val="20"/>
        </w:rPr>
      </w:pPr>
      <w:r>
        <w:rPr>
          <w:i/>
          <w:sz w:val="20"/>
        </w:rPr>
        <w:t>Los programas del IMAS estarán orientados a la ejecución y coordinación de acciones y</w:t>
      </w:r>
      <w:r>
        <w:rPr>
          <w:i/>
          <w:sz w:val="20"/>
        </w:rPr>
        <w:t> proyectos de desarrollo económico y social, promoción social y de asistencia social, tendientes a conseguir el desarrollo integral de los individuos, las familias y las comunidades</w:t>
      </w:r>
      <w:r>
        <w:rPr>
          <w:i/>
          <w:spacing w:val="-12"/>
          <w:sz w:val="20"/>
        </w:rPr>
        <w:t> </w:t>
      </w:r>
      <w:r>
        <w:rPr>
          <w:i/>
          <w:sz w:val="20"/>
        </w:rPr>
        <w:t>en</w:t>
      </w:r>
      <w:r>
        <w:rPr>
          <w:i/>
          <w:spacing w:val="-14"/>
          <w:sz w:val="20"/>
        </w:rPr>
        <w:t> </w:t>
      </w:r>
      <w:r>
        <w:rPr>
          <w:i/>
          <w:sz w:val="20"/>
        </w:rPr>
        <w:t>condiciones</w:t>
      </w:r>
      <w:r>
        <w:rPr>
          <w:i/>
          <w:spacing w:val="-12"/>
          <w:sz w:val="20"/>
        </w:rPr>
        <w:t> </w:t>
      </w:r>
      <w:r>
        <w:rPr>
          <w:i/>
          <w:sz w:val="20"/>
        </w:rPr>
        <w:t>de</w:t>
      </w:r>
      <w:r>
        <w:rPr>
          <w:i/>
          <w:spacing w:val="-14"/>
          <w:sz w:val="20"/>
        </w:rPr>
        <w:t> </w:t>
      </w:r>
      <w:r>
        <w:rPr>
          <w:i/>
          <w:sz w:val="20"/>
        </w:rPr>
        <w:t>pobreza,</w:t>
      </w:r>
      <w:r>
        <w:rPr>
          <w:i/>
          <w:spacing w:val="-13"/>
          <w:sz w:val="20"/>
        </w:rPr>
        <w:t> </w:t>
      </w:r>
      <w:r>
        <w:rPr>
          <w:i/>
          <w:sz w:val="20"/>
        </w:rPr>
        <w:t>procurando</w:t>
      </w:r>
      <w:r>
        <w:rPr>
          <w:i/>
          <w:spacing w:val="-11"/>
          <w:sz w:val="20"/>
        </w:rPr>
        <w:t> </w:t>
      </w:r>
      <w:r>
        <w:rPr>
          <w:i/>
          <w:sz w:val="20"/>
        </w:rPr>
        <w:t>el</w:t>
      </w:r>
      <w:r>
        <w:rPr>
          <w:i/>
          <w:spacing w:val="-14"/>
          <w:sz w:val="20"/>
        </w:rPr>
        <w:t> </w:t>
      </w:r>
      <w:r>
        <w:rPr>
          <w:i/>
          <w:sz w:val="20"/>
        </w:rPr>
        <w:t>aumento</w:t>
      </w:r>
      <w:r>
        <w:rPr>
          <w:i/>
          <w:spacing w:val="-13"/>
          <w:sz w:val="20"/>
        </w:rPr>
        <w:t> </w:t>
      </w:r>
      <w:r>
        <w:rPr>
          <w:i/>
          <w:sz w:val="20"/>
        </w:rPr>
        <w:t>sostenido</w:t>
      </w:r>
      <w:r>
        <w:rPr>
          <w:i/>
          <w:spacing w:val="-13"/>
          <w:sz w:val="20"/>
        </w:rPr>
        <w:t> </w:t>
      </w:r>
      <w:r>
        <w:rPr>
          <w:i/>
          <w:sz w:val="20"/>
        </w:rPr>
        <w:t>de</w:t>
      </w:r>
      <w:r>
        <w:rPr>
          <w:i/>
          <w:spacing w:val="-11"/>
          <w:sz w:val="20"/>
        </w:rPr>
        <w:t> </w:t>
      </w:r>
      <w:r>
        <w:rPr>
          <w:i/>
          <w:sz w:val="20"/>
        </w:rPr>
        <w:t>los</w:t>
      </w:r>
      <w:r>
        <w:rPr>
          <w:i/>
          <w:spacing w:val="-12"/>
          <w:sz w:val="20"/>
        </w:rPr>
        <w:t> </w:t>
      </w:r>
      <w:r>
        <w:rPr>
          <w:i/>
          <w:sz w:val="20"/>
        </w:rPr>
        <w:t>ingresos económicos de la familia, la inserción en procesos productivos; el desarrollo de las capacidades de las personas; el fomento de organización de grupos con capacidad de solucionar sus propios problemas y el mejoramiento de las condiciones de vida para el desarrollo integral de la familia y la comunidad”.</w:t>
      </w:r>
    </w:p>
    <w:p>
      <w:pPr>
        <w:pStyle w:val="BodyText"/>
        <w:spacing w:before="24"/>
        <w:rPr>
          <w:i/>
          <w:sz w:val="20"/>
        </w:rPr>
      </w:pPr>
    </w:p>
    <w:p>
      <w:pPr>
        <w:pStyle w:val="BodyText"/>
        <w:ind w:left="1625" w:right="1600"/>
        <w:jc w:val="both"/>
      </w:pPr>
      <w:r>
        <w:rPr/>
        <w:t>Es al amparo y como respuesta a lo establecido en estas normas y otras conexas, que se crea el Programa de Protección y Promoción Social, el cual constituye el programa sustantivo de la institución en el que se ejecutan los recursos destinados a la inversión social para la atención de personas y hogares en situación de pobreza, así como de organizaciones que se vinculan a población en dicha situación.</w:t>
      </w:r>
    </w:p>
    <w:p>
      <w:pPr>
        <w:pStyle w:val="BodyText"/>
        <w:spacing w:after="0"/>
        <w:jc w:val="both"/>
        <w:sectPr>
          <w:pgSz w:w="12240" w:h="15840"/>
          <w:pgMar w:header="0" w:footer="1576" w:top="1000" w:bottom="1760" w:left="360" w:right="0"/>
        </w:sectPr>
      </w:pPr>
    </w:p>
    <w:p>
      <w:pPr>
        <w:pStyle w:val="BodyText"/>
        <w:spacing w:before="69"/>
        <w:ind w:left="1625" w:right="1604"/>
        <w:jc w:val="both"/>
      </w:pPr>
      <w:r>
        <w:rPr/>
        <w:t>Para ello, se parte de una oferta de servicios, beneficios, subsidios y transferencias </w:t>
      </w:r>
      <w:r>
        <w:rPr>
          <w:spacing w:val="-2"/>
        </w:rPr>
        <w:t>monetarias</w:t>
      </w:r>
      <w:r>
        <w:rPr>
          <w:spacing w:val="-4"/>
        </w:rPr>
        <w:t> </w:t>
      </w:r>
      <w:r>
        <w:rPr>
          <w:spacing w:val="-2"/>
        </w:rPr>
        <w:t>que</w:t>
      </w:r>
      <w:r>
        <w:rPr>
          <w:spacing w:val="-8"/>
        </w:rPr>
        <w:t> </w:t>
      </w:r>
      <w:r>
        <w:rPr>
          <w:spacing w:val="-2"/>
        </w:rPr>
        <w:t>se</w:t>
      </w:r>
      <w:r>
        <w:rPr>
          <w:spacing w:val="-8"/>
        </w:rPr>
        <w:t> </w:t>
      </w:r>
      <w:r>
        <w:rPr>
          <w:spacing w:val="-2"/>
        </w:rPr>
        <w:t>encuentran</w:t>
      </w:r>
      <w:r>
        <w:rPr>
          <w:spacing w:val="-8"/>
        </w:rPr>
        <w:t> </w:t>
      </w:r>
      <w:r>
        <w:rPr>
          <w:spacing w:val="-2"/>
        </w:rPr>
        <w:t>bajo</w:t>
      </w:r>
      <w:r>
        <w:rPr>
          <w:spacing w:val="-4"/>
        </w:rPr>
        <w:t> </w:t>
      </w:r>
      <w:r>
        <w:rPr>
          <w:spacing w:val="-2"/>
        </w:rPr>
        <w:t>la</w:t>
      </w:r>
      <w:r>
        <w:rPr>
          <w:spacing w:val="-8"/>
        </w:rPr>
        <w:t> </w:t>
      </w:r>
      <w:r>
        <w:rPr>
          <w:spacing w:val="-2"/>
        </w:rPr>
        <w:t>responsabilidad</w:t>
      </w:r>
      <w:r>
        <w:rPr>
          <w:spacing w:val="-4"/>
        </w:rPr>
        <w:t> </w:t>
      </w:r>
      <w:r>
        <w:rPr>
          <w:spacing w:val="-2"/>
        </w:rPr>
        <w:t>de</w:t>
      </w:r>
      <w:r>
        <w:rPr>
          <w:spacing w:val="-8"/>
        </w:rPr>
        <w:t> </w:t>
      </w:r>
      <w:r>
        <w:rPr>
          <w:spacing w:val="-2"/>
        </w:rPr>
        <w:t>la</w:t>
      </w:r>
      <w:r>
        <w:rPr>
          <w:spacing w:val="-4"/>
        </w:rPr>
        <w:t> </w:t>
      </w:r>
      <w:r>
        <w:rPr>
          <w:spacing w:val="-2"/>
        </w:rPr>
        <w:t>Dirección</w:t>
      </w:r>
      <w:r>
        <w:rPr>
          <w:spacing w:val="-4"/>
        </w:rPr>
        <w:t> </w:t>
      </w:r>
      <w:r>
        <w:rPr>
          <w:spacing w:val="-2"/>
        </w:rPr>
        <w:t>de</w:t>
      </w:r>
      <w:r>
        <w:rPr>
          <w:spacing w:val="-8"/>
        </w:rPr>
        <w:t> </w:t>
      </w:r>
      <w:r>
        <w:rPr>
          <w:spacing w:val="-2"/>
        </w:rPr>
        <w:t>Desarrollo</w:t>
      </w:r>
      <w:r>
        <w:rPr>
          <w:spacing w:val="-4"/>
        </w:rPr>
        <w:t> </w:t>
      </w:r>
      <w:r>
        <w:rPr>
          <w:spacing w:val="-2"/>
        </w:rPr>
        <w:t>Social </w:t>
      </w:r>
      <w:r>
        <w:rPr/>
        <w:t>(DDS), coordinados por instancias denominadas Departamentos Técnicos Asesores. Actualmente el programa cuenta con 6 de estos departamentos, a saber:</w:t>
      </w:r>
    </w:p>
    <w:p>
      <w:pPr>
        <w:pStyle w:val="BodyText"/>
      </w:pPr>
    </w:p>
    <w:p>
      <w:pPr>
        <w:pStyle w:val="ListParagraph"/>
        <w:numPr>
          <w:ilvl w:val="0"/>
          <w:numId w:val="18"/>
        </w:numPr>
        <w:tabs>
          <w:tab w:pos="2190" w:val="left" w:leader="none"/>
        </w:tabs>
        <w:spacing w:line="240" w:lineRule="auto" w:before="1" w:after="0"/>
        <w:ind w:left="2190" w:right="0" w:hanging="282"/>
        <w:jc w:val="left"/>
        <w:rPr>
          <w:sz w:val="22"/>
        </w:rPr>
      </w:pPr>
      <w:r>
        <w:rPr>
          <w:sz w:val="22"/>
        </w:rPr>
        <w:t>Departamento</w:t>
      </w:r>
      <w:r>
        <w:rPr>
          <w:spacing w:val="-10"/>
          <w:sz w:val="22"/>
        </w:rPr>
        <w:t> </w:t>
      </w:r>
      <w:r>
        <w:rPr>
          <w:sz w:val="22"/>
        </w:rPr>
        <w:t>de</w:t>
      </w:r>
      <w:r>
        <w:rPr>
          <w:spacing w:val="-6"/>
          <w:sz w:val="22"/>
        </w:rPr>
        <w:t> </w:t>
      </w:r>
      <w:r>
        <w:rPr>
          <w:sz w:val="22"/>
        </w:rPr>
        <w:t>Acción</w:t>
      </w:r>
      <w:r>
        <w:rPr>
          <w:spacing w:val="-8"/>
          <w:sz w:val="22"/>
        </w:rPr>
        <w:t> </w:t>
      </w:r>
      <w:r>
        <w:rPr>
          <w:sz w:val="22"/>
        </w:rPr>
        <w:t>Social</w:t>
      </w:r>
      <w:r>
        <w:rPr>
          <w:spacing w:val="-6"/>
          <w:sz w:val="22"/>
        </w:rPr>
        <w:t> </w:t>
      </w:r>
      <w:r>
        <w:rPr>
          <w:sz w:val="22"/>
        </w:rPr>
        <w:t>y</w:t>
      </w:r>
      <w:r>
        <w:rPr>
          <w:spacing w:val="-5"/>
          <w:sz w:val="22"/>
        </w:rPr>
        <w:t> </w:t>
      </w:r>
      <w:r>
        <w:rPr>
          <w:sz w:val="22"/>
        </w:rPr>
        <w:t>Administración</w:t>
      </w:r>
      <w:r>
        <w:rPr>
          <w:spacing w:val="-8"/>
          <w:sz w:val="22"/>
        </w:rPr>
        <w:t> </w:t>
      </w:r>
      <w:r>
        <w:rPr>
          <w:sz w:val="22"/>
        </w:rPr>
        <w:t>de</w:t>
      </w:r>
      <w:r>
        <w:rPr>
          <w:spacing w:val="-6"/>
          <w:sz w:val="22"/>
        </w:rPr>
        <w:t> </w:t>
      </w:r>
      <w:r>
        <w:rPr>
          <w:sz w:val="22"/>
        </w:rPr>
        <w:t>Instituciones</w:t>
      </w:r>
      <w:r>
        <w:rPr>
          <w:spacing w:val="-7"/>
          <w:sz w:val="22"/>
        </w:rPr>
        <w:t> </w:t>
      </w:r>
      <w:r>
        <w:rPr>
          <w:spacing w:val="-2"/>
          <w:sz w:val="22"/>
        </w:rPr>
        <w:t>(DASAI).</w:t>
      </w:r>
    </w:p>
    <w:p>
      <w:pPr>
        <w:pStyle w:val="ListParagraph"/>
        <w:numPr>
          <w:ilvl w:val="0"/>
          <w:numId w:val="18"/>
        </w:numPr>
        <w:tabs>
          <w:tab w:pos="2190" w:val="left" w:leader="none"/>
        </w:tabs>
        <w:spacing w:line="252" w:lineRule="exact" w:before="1" w:after="0"/>
        <w:ind w:left="2190" w:right="0" w:hanging="282"/>
        <w:jc w:val="left"/>
        <w:rPr>
          <w:sz w:val="22"/>
        </w:rPr>
      </w:pPr>
      <w:r>
        <w:rPr>
          <w:sz w:val="22"/>
        </w:rPr>
        <w:t>Departamento</w:t>
      </w:r>
      <w:r>
        <w:rPr>
          <w:spacing w:val="-12"/>
          <w:sz w:val="22"/>
        </w:rPr>
        <w:t> </w:t>
      </w:r>
      <w:r>
        <w:rPr>
          <w:sz w:val="22"/>
        </w:rPr>
        <w:t>de</w:t>
      </w:r>
      <w:r>
        <w:rPr>
          <w:spacing w:val="-7"/>
          <w:sz w:val="22"/>
        </w:rPr>
        <w:t> </w:t>
      </w:r>
      <w:r>
        <w:rPr>
          <w:sz w:val="22"/>
        </w:rPr>
        <w:t>Atención</w:t>
      </w:r>
      <w:r>
        <w:rPr>
          <w:spacing w:val="-8"/>
          <w:sz w:val="22"/>
        </w:rPr>
        <w:t> </w:t>
      </w:r>
      <w:r>
        <w:rPr>
          <w:sz w:val="22"/>
        </w:rPr>
        <w:t>Integral</w:t>
      </w:r>
      <w:r>
        <w:rPr>
          <w:spacing w:val="-8"/>
          <w:sz w:val="22"/>
        </w:rPr>
        <w:t> </w:t>
      </w:r>
      <w:r>
        <w:rPr>
          <w:sz w:val="22"/>
        </w:rPr>
        <w:t>e</w:t>
      </w:r>
      <w:r>
        <w:rPr>
          <w:spacing w:val="-9"/>
          <w:sz w:val="22"/>
        </w:rPr>
        <w:t> </w:t>
      </w:r>
      <w:r>
        <w:rPr>
          <w:sz w:val="22"/>
        </w:rPr>
        <w:t>Interinstitucional</w:t>
      </w:r>
      <w:r>
        <w:rPr>
          <w:spacing w:val="-8"/>
          <w:sz w:val="22"/>
        </w:rPr>
        <w:t> </w:t>
      </w:r>
      <w:r>
        <w:rPr>
          <w:spacing w:val="-2"/>
          <w:sz w:val="22"/>
        </w:rPr>
        <w:t>(DAII).</w:t>
      </w:r>
    </w:p>
    <w:p>
      <w:pPr>
        <w:pStyle w:val="ListParagraph"/>
        <w:numPr>
          <w:ilvl w:val="0"/>
          <w:numId w:val="18"/>
        </w:numPr>
        <w:tabs>
          <w:tab w:pos="2190" w:val="left" w:leader="none"/>
        </w:tabs>
        <w:spacing w:line="252" w:lineRule="exact" w:before="0" w:after="0"/>
        <w:ind w:left="2190" w:right="0" w:hanging="282"/>
        <w:jc w:val="left"/>
        <w:rPr>
          <w:sz w:val="22"/>
        </w:rPr>
      </w:pPr>
      <w:r>
        <w:rPr>
          <w:sz w:val="22"/>
        </w:rPr>
        <w:t>Departamento</w:t>
      </w:r>
      <w:r>
        <w:rPr>
          <w:spacing w:val="-10"/>
          <w:sz w:val="22"/>
        </w:rPr>
        <w:t> </w:t>
      </w:r>
      <w:r>
        <w:rPr>
          <w:sz w:val="22"/>
        </w:rPr>
        <w:t>de</w:t>
      </w:r>
      <w:r>
        <w:rPr>
          <w:spacing w:val="-6"/>
          <w:sz w:val="22"/>
        </w:rPr>
        <w:t> </w:t>
      </w:r>
      <w:r>
        <w:rPr>
          <w:sz w:val="22"/>
        </w:rPr>
        <w:t>Bienestar</w:t>
      </w:r>
      <w:r>
        <w:rPr>
          <w:spacing w:val="-7"/>
          <w:sz w:val="22"/>
        </w:rPr>
        <w:t> </w:t>
      </w:r>
      <w:r>
        <w:rPr>
          <w:sz w:val="22"/>
        </w:rPr>
        <w:t>Familiar</w:t>
      </w:r>
      <w:r>
        <w:rPr>
          <w:spacing w:val="-7"/>
          <w:sz w:val="22"/>
        </w:rPr>
        <w:t> </w:t>
      </w:r>
      <w:r>
        <w:rPr>
          <w:spacing w:val="-2"/>
          <w:sz w:val="22"/>
        </w:rPr>
        <w:t>(DBF).</w:t>
      </w:r>
    </w:p>
    <w:p>
      <w:pPr>
        <w:pStyle w:val="ListParagraph"/>
        <w:numPr>
          <w:ilvl w:val="0"/>
          <w:numId w:val="18"/>
        </w:numPr>
        <w:tabs>
          <w:tab w:pos="2190" w:val="left" w:leader="none"/>
        </w:tabs>
        <w:spacing w:line="252" w:lineRule="exact" w:before="0" w:after="0"/>
        <w:ind w:left="2190" w:right="0" w:hanging="282"/>
        <w:jc w:val="left"/>
        <w:rPr>
          <w:sz w:val="22"/>
        </w:rPr>
      </w:pPr>
      <w:r>
        <w:rPr>
          <w:sz w:val="22"/>
        </w:rPr>
        <w:t>Departamento</w:t>
      </w:r>
      <w:r>
        <w:rPr>
          <w:spacing w:val="-12"/>
          <w:sz w:val="22"/>
        </w:rPr>
        <w:t> </w:t>
      </w:r>
      <w:r>
        <w:rPr>
          <w:sz w:val="22"/>
        </w:rPr>
        <w:t>de</w:t>
      </w:r>
      <w:r>
        <w:rPr>
          <w:spacing w:val="-9"/>
          <w:sz w:val="22"/>
        </w:rPr>
        <w:t> </w:t>
      </w:r>
      <w:r>
        <w:rPr>
          <w:sz w:val="22"/>
        </w:rPr>
        <w:t>Desarrollo</w:t>
      </w:r>
      <w:r>
        <w:rPr>
          <w:spacing w:val="-9"/>
          <w:sz w:val="22"/>
        </w:rPr>
        <w:t> </w:t>
      </w:r>
      <w:r>
        <w:rPr>
          <w:sz w:val="22"/>
        </w:rPr>
        <w:t>Socioeducativo</w:t>
      </w:r>
      <w:r>
        <w:rPr>
          <w:spacing w:val="-9"/>
          <w:sz w:val="22"/>
        </w:rPr>
        <w:t> </w:t>
      </w:r>
      <w:r>
        <w:rPr>
          <w:spacing w:val="-2"/>
          <w:sz w:val="22"/>
        </w:rPr>
        <w:t>(DDSE).</w:t>
      </w:r>
    </w:p>
    <w:p>
      <w:pPr>
        <w:pStyle w:val="ListParagraph"/>
        <w:numPr>
          <w:ilvl w:val="0"/>
          <w:numId w:val="18"/>
        </w:numPr>
        <w:tabs>
          <w:tab w:pos="2190" w:val="left" w:leader="none"/>
        </w:tabs>
        <w:spacing w:line="252" w:lineRule="exact" w:before="1" w:after="0"/>
        <w:ind w:left="2190" w:right="0" w:hanging="282"/>
        <w:jc w:val="left"/>
        <w:rPr>
          <w:sz w:val="22"/>
        </w:rPr>
      </w:pPr>
      <w:r>
        <w:rPr>
          <w:sz w:val="22"/>
        </w:rPr>
        <w:t>Departamento</w:t>
      </w:r>
      <w:r>
        <w:rPr>
          <w:spacing w:val="-9"/>
          <w:sz w:val="22"/>
        </w:rPr>
        <w:t> </w:t>
      </w:r>
      <w:r>
        <w:rPr>
          <w:sz w:val="22"/>
        </w:rPr>
        <w:t>de</w:t>
      </w:r>
      <w:r>
        <w:rPr>
          <w:spacing w:val="-6"/>
          <w:sz w:val="22"/>
        </w:rPr>
        <w:t> </w:t>
      </w:r>
      <w:r>
        <w:rPr>
          <w:sz w:val="22"/>
        </w:rPr>
        <w:t>Desarrollo</w:t>
      </w:r>
      <w:r>
        <w:rPr>
          <w:spacing w:val="-6"/>
          <w:sz w:val="22"/>
        </w:rPr>
        <w:t> </w:t>
      </w:r>
      <w:r>
        <w:rPr>
          <w:sz w:val="22"/>
        </w:rPr>
        <w:t>Socio</w:t>
      </w:r>
      <w:r>
        <w:rPr>
          <w:spacing w:val="-7"/>
          <w:sz w:val="22"/>
        </w:rPr>
        <w:t> </w:t>
      </w:r>
      <w:r>
        <w:rPr>
          <w:sz w:val="22"/>
        </w:rPr>
        <w:t>productivo</w:t>
      </w:r>
      <w:r>
        <w:rPr>
          <w:spacing w:val="-8"/>
          <w:sz w:val="22"/>
        </w:rPr>
        <w:t> </w:t>
      </w:r>
      <w:r>
        <w:rPr>
          <w:sz w:val="22"/>
        </w:rPr>
        <w:t>y</w:t>
      </w:r>
      <w:r>
        <w:rPr>
          <w:spacing w:val="-5"/>
          <w:sz w:val="22"/>
        </w:rPr>
        <w:t> </w:t>
      </w:r>
      <w:r>
        <w:rPr>
          <w:sz w:val="22"/>
        </w:rPr>
        <w:t>Comunal</w:t>
      </w:r>
      <w:r>
        <w:rPr>
          <w:spacing w:val="-7"/>
          <w:sz w:val="22"/>
        </w:rPr>
        <w:t> </w:t>
      </w:r>
      <w:r>
        <w:rPr>
          <w:spacing w:val="-2"/>
          <w:sz w:val="22"/>
        </w:rPr>
        <w:t>(DDSPC).</w:t>
      </w:r>
    </w:p>
    <w:p>
      <w:pPr>
        <w:pStyle w:val="ListParagraph"/>
        <w:numPr>
          <w:ilvl w:val="0"/>
          <w:numId w:val="18"/>
        </w:numPr>
        <w:tabs>
          <w:tab w:pos="2190" w:val="left" w:leader="none"/>
        </w:tabs>
        <w:spacing w:line="252" w:lineRule="exact" w:before="0" w:after="0"/>
        <w:ind w:left="2190" w:right="0" w:hanging="282"/>
        <w:jc w:val="left"/>
        <w:rPr>
          <w:sz w:val="22"/>
        </w:rPr>
      </w:pPr>
      <w:r>
        <w:rPr>
          <w:sz w:val="22"/>
        </w:rPr>
        <w:t>Departamento</w:t>
      </w:r>
      <w:r>
        <w:rPr>
          <w:spacing w:val="-8"/>
          <w:sz w:val="22"/>
        </w:rPr>
        <w:t> </w:t>
      </w:r>
      <w:r>
        <w:rPr>
          <w:sz w:val="22"/>
        </w:rPr>
        <w:t>de</w:t>
      </w:r>
      <w:r>
        <w:rPr>
          <w:spacing w:val="-6"/>
          <w:sz w:val="22"/>
        </w:rPr>
        <w:t> </w:t>
      </w:r>
      <w:r>
        <w:rPr>
          <w:sz w:val="22"/>
        </w:rPr>
        <w:t>Sistemas</w:t>
      </w:r>
      <w:r>
        <w:rPr>
          <w:spacing w:val="-6"/>
          <w:sz w:val="22"/>
        </w:rPr>
        <w:t> </w:t>
      </w:r>
      <w:r>
        <w:rPr>
          <w:sz w:val="22"/>
        </w:rPr>
        <w:t>de</w:t>
      </w:r>
      <w:r>
        <w:rPr>
          <w:spacing w:val="-8"/>
          <w:sz w:val="22"/>
        </w:rPr>
        <w:t> </w:t>
      </w:r>
      <w:r>
        <w:rPr>
          <w:sz w:val="22"/>
        </w:rPr>
        <w:t>Información</w:t>
      </w:r>
      <w:r>
        <w:rPr>
          <w:spacing w:val="-6"/>
          <w:sz w:val="22"/>
        </w:rPr>
        <w:t> </w:t>
      </w:r>
      <w:r>
        <w:rPr>
          <w:sz w:val="22"/>
        </w:rPr>
        <w:t>Social</w:t>
      </w:r>
      <w:r>
        <w:rPr>
          <w:spacing w:val="-6"/>
          <w:sz w:val="22"/>
        </w:rPr>
        <w:t> </w:t>
      </w:r>
      <w:r>
        <w:rPr>
          <w:spacing w:val="-2"/>
          <w:sz w:val="22"/>
        </w:rPr>
        <w:t>(DSIS).</w:t>
      </w:r>
    </w:p>
    <w:p>
      <w:pPr>
        <w:pStyle w:val="BodyText"/>
        <w:spacing w:before="1"/>
      </w:pPr>
    </w:p>
    <w:p>
      <w:pPr>
        <w:pStyle w:val="BodyText"/>
        <w:ind w:left="1625" w:right="1605"/>
        <w:jc w:val="both"/>
      </w:pPr>
      <w:r>
        <w:rPr/>
        <w:t>La ejecución y asignación de los recursos económicos que ello conlleva se gesta tanto desde</w:t>
      </w:r>
      <w:r>
        <w:rPr>
          <w:spacing w:val="-3"/>
        </w:rPr>
        <w:t> </w:t>
      </w:r>
      <w:r>
        <w:rPr/>
        <w:t>el</w:t>
      </w:r>
      <w:r>
        <w:rPr>
          <w:spacing w:val="-4"/>
        </w:rPr>
        <w:t> </w:t>
      </w:r>
      <w:r>
        <w:rPr/>
        <w:t>DASAI</w:t>
      </w:r>
      <w:r>
        <w:rPr>
          <w:spacing w:val="-1"/>
        </w:rPr>
        <w:t> </w:t>
      </w:r>
      <w:r>
        <w:rPr/>
        <w:t>como</w:t>
      </w:r>
      <w:r>
        <w:rPr>
          <w:spacing w:val="-2"/>
        </w:rPr>
        <w:t> </w:t>
      </w:r>
      <w:r>
        <w:rPr/>
        <w:t>desde</w:t>
      </w:r>
      <w:r>
        <w:rPr>
          <w:spacing w:val="-3"/>
        </w:rPr>
        <w:t> </w:t>
      </w:r>
      <w:r>
        <w:rPr/>
        <w:t>10</w:t>
      </w:r>
      <w:r>
        <w:rPr>
          <w:spacing w:val="-3"/>
        </w:rPr>
        <w:t> </w:t>
      </w:r>
      <w:r>
        <w:rPr/>
        <w:t>unidades</w:t>
      </w:r>
      <w:r>
        <w:rPr>
          <w:spacing w:val="-2"/>
        </w:rPr>
        <w:t> </w:t>
      </w:r>
      <w:r>
        <w:rPr/>
        <w:t>ejecutoras</w:t>
      </w:r>
      <w:r>
        <w:rPr>
          <w:spacing w:val="-2"/>
        </w:rPr>
        <w:t> </w:t>
      </w:r>
      <w:r>
        <w:rPr/>
        <w:t>denominadas</w:t>
      </w:r>
      <w:r>
        <w:rPr>
          <w:spacing w:val="-2"/>
        </w:rPr>
        <w:t> </w:t>
      </w:r>
      <w:r>
        <w:rPr/>
        <w:t>Áreas</w:t>
      </w:r>
      <w:r>
        <w:rPr>
          <w:spacing w:val="-5"/>
        </w:rPr>
        <w:t> </w:t>
      </w:r>
      <w:r>
        <w:rPr/>
        <w:t>Regionales</w:t>
      </w:r>
      <w:r>
        <w:rPr>
          <w:spacing w:val="-3"/>
        </w:rPr>
        <w:t> </w:t>
      </w:r>
      <w:r>
        <w:rPr/>
        <w:t>de Desarrollo</w:t>
      </w:r>
      <w:r>
        <w:rPr>
          <w:spacing w:val="-3"/>
        </w:rPr>
        <w:t> </w:t>
      </w:r>
      <w:r>
        <w:rPr/>
        <w:t>Social</w:t>
      </w:r>
      <w:r>
        <w:rPr>
          <w:spacing w:val="-4"/>
        </w:rPr>
        <w:t> </w:t>
      </w:r>
      <w:r>
        <w:rPr/>
        <w:t>(ARDS),</w:t>
      </w:r>
      <w:r>
        <w:rPr>
          <w:spacing w:val="-4"/>
        </w:rPr>
        <w:t> </w:t>
      </w:r>
      <w:r>
        <w:rPr/>
        <w:t>y</w:t>
      </w:r>
      <w:r>
        <w:rPr>
          <w:spacing w:val="-3"/>
        </w:rPr>
        <w:t> </w:t>
      </w:r>
      <w:r>
        <w:rPr/>
        <w:t>específicamente</w:t>
      </w:r>
      <w:r>
        <w:rPr>
          <w:spacing w:val="-3"/>
        </w:rPr>
        <w:t> </w:t>
      </w:r>
      <w:r>
        <w:rPr/>
        <w:t>en</w:t>
      </w:r>
      <w:r>
        <w:rPr>
          <w:spacing w:val="-4"/>
        </w:rPr>
        <w:t> </w:t>
      </w:r>
      <w:r>
        <w:rPr/>
        <w:t>las</w:t>
      </w:r>
      <w:r>
        <w:rPr>
          <w:spacing w:val="-3"/>
        </w:rPr>
        <w:t> </w:t>
      </w:r>
      <w:r>
        <w:rPr/>
        <w:t>instancias</w:t>
      </w:r>
      <w:r>
        <w:rPr>
          <w:spacing w:val="-4"/>
        </w:rPr>
        <w:t> </w:t>
      </w:r>
      <w:r>
        <w:rPr/>
        <w:t>adscritas</w:t>
      </w:r>
      <w:r>
        <w:rPr>
          <w:spacing w:val="-3"/>
        </w:rPr>
        <w:t> </w:t>
      </w:r>
      <w:r>
        <w:rPr/>
        <w:t>a</w:t>
      </w:r>
      <w:r>
        <w:rPr>
          <w:spacing w:val="-5"/>
        </w:rPr>
        <w:t> </w:t>
      </w:r>
      <w:r>
        <w:rPr/>
        <w:t>ellas</w:t>
      </w:r>
      <w:r>
        <w:rPr>
          <w:spacing w:val="-3"/>
        </w:rPr>
        <w:t> </w:t>
      </w:r>
      <w:r>
        <w:rPr/>
        <w:t>llamadas Unidades Locales de Desarrollo Social (ULDS), siendo que se cuenta con 38 de estas unidades que brindan cobertura en todo el territorio nacional.</w:t>
      </w:r>
    </w:p>
    <w:p>
      <w:pPr>
        <w:pStyle w:val="BodyText"/>
        <w:spacing w:before="252"/>
        <w:ind w:left="1625" w:right="1606"/>
        <w:jc w:val="both"/>
      </w:pPr>
      <w:r>
        <w:rPr/>
        <w:t>Es</w:t>
      </w:r>
      <w:r>
        <w:rPr>
          <w:spacing w:val="-9"/>
        </w:rPr>
        <w:t> </w:t>
      </w:r>
      <w:r>
        <w:rPr/>
        <w:t>relevante</w:t>
      </w:r>
      <w:r>
        <w:rPr>
          <w:spacing w:val="-9"/>
        </w:rPr>
        <w:t> </w:t>
      </w:r>
      <w:r>
        <w:rPr/>
        <w:t>indicar</w:t>
      </w:r>
      <w:r>
        <w:rPr>
          <w:spacing w:val="-11"/>
        </w:rPr>
        <w:t> </w:t>
      </w:r>
      <w:r>
        <w:rPr/>
        <w:t>que</w:t>
      </w:r>
      <w:r>
        <w:rPr>
          <w:spacing w:val="-10"/>
        </w:rPr>
        <w:t> </w:t>
      </w:r>
      <w:r>
        <w:rPr/>
        <w:t>la</w:t>
      </w:r>
      <w:r>
        <w:rPr>
          <w:spacing w:val="-10"/>
        </w:rPr>
        <w:t> </w:t>
      </w:r>
      <w:r>
        <w:rPr/>
        <w:t>DDS</w:t>
      </w:r>
      <w:r>
        <w:rPr>
          <w:spacing w:val="-10"/>
        </w:rPr>
        <w:t> </w:t>
      </w:r>
      <w:r>
        <w:rPr/>
        <w:t>también</w:t>
      </w:r>
      <w:r>
        <w:rPr>
          <w:spacing w:val="-12"/>
        </w:rPr>
        <w:t> </w:t>
      </w:r>
      <w:r>
        <w:rPr/>
        <w:t>tiene</w:t>
      </w:r>
      <w:r>
        <w:rPr>
          <w:spacing w:val="-10"/>
        </w:rPr>
        <w:t> </w:t>
      </w:r>
      <w:r>
        <w:rPr/>
        <w:t>adscrita</w:t>
      </w:r>
      <w:r>
        <w:rPr>
          <w:spacing w:val="-10"/>
        </w:rPr>
        <w:t> </w:t>
      </w:r>
      <w:r>
        <w:rPr/>
        <w:t>la</w:t>
      </w:r>
      <w:r>
        <w:rPr>
          <w:spacing w:val="-10"/>
        </w:rPr>
        <w:t> </w:t>
      </w:r>
      <w:r>
        <w:rPr/>
        <w:t>secretaría</w:t>
      </w:r>
      <w:r>
        <w:rPr>
          <w:spacing w:val="-12"/>
        </w:rPr>
        <w:t> </w:t>
      </w:r>
      <w:r>
        <w:rPr/>
        <w:t>del</w:t>
      </w:r>
      <w:r>
        <w:rPr>
          <w:spacing w:val="-11"/>
        </w:rPr>
        <w:t> </w:t>
      </w:r>
      <w:r>
        <w:rPr/>
        <w:t>Sistema</w:t>
      </w:r>
      <w:r>
        <w:rPr>
          <w:spacing w:val="-9"/>
        </w:rPr>
        <w:t> </w:t>
      </w:r>
      <w:r>
        <w:rPr/>
        <w:t>Nacional de</w:t>
      </w:r>
      <w:r>
        <w:rPr>
          <w:spacing w:val="-1"/>
        </w:rPr>
        <w:t> </w:t>
      </w:r>
      <w:r>
        <w:rPr/>
        <w:t>Cuidados y</w:t>
      </w:r>
      <w:r>
        <w:rPr>
          <w:spacing w:val="-3"/>
        </w:rPr>
        <w:t> </w:t>
      </w:r>
      <w:r>
        <w:rPr/>
        <w:t>Apoyos</w:t>
      </w:r>
      <w:r>
        <w:rPr>
          <w:spacing w:val="-3"/>
        </w:rPr>
        <w:t> </w:t>
      </w:r>
      <w:r>
        <w:rPr/>
        <w:t>para Personas</w:t>
      </w:r>
      <w:r>
        <w:rPr>
          <w:spacing w:val="-3"/>
        </w:rPr>
        <w:t> </w:t>
      </w:r>
      <w:r>
        <w:rPr/>
        <w:t>Adultas</w:t>
      </w:r>
      <w:r>
        <w:rPr>
          <w:spacing w:val="-3"/>
        </w:rPr>
        <w:t> </w:t>
      </w:r>
      <w:r>
        <w:rPr/>
        <w:t>y</w:t>
      </w:r>
      <w:r>
        <w:rPr>
          <w:spacing w:val="-2"/>
        </w:rPr>
        <w:t> </w:t>
      </w:r>
      <w:r>
        <w:rPr/>
        <w:t>Personas</w:t>
      </w:r>
      <w:r>
        <w:rPr>
          <w:spacing w:val="-1"/>
        </w:rPr>
        <w:t> </w:t>
      </w:r>
      <w:r>
        <w:rPr/>
        <w:t>Adultas</w:t>
      </w:r>
      <w:r>
        <w:rPr>
          <w:spacing w:val="-2"/>
        </w:rPr>
        <w:t> </w:t>
      </w:r>
      <w:r>
        <w:rPr/>
        <w:t>Mayores en</w:t>
      </w:r>
      <w:r>
        <w:rPr>
          <w:spacing w:val="-3"/>
        </w:rPr>
        <w:t> </w:t>
      </w:r>
      <w:r>
        <w:rPr/>
        <w:t>Situación de Dependencia (SINCA).</w:t>
      </w:r>
    </w:p>
    <w:p>
      <w:pPr>
        <w:pStyle w:val="BodyText"/>
        <w:spacing w:before="2"/>
      </w:pPr>
    </w:p>
    <w:p>
      <w:pPr>
        <w:pStyle w:val="Heading3"/>
        <w:numPr>
          <w:ilvl w:val="2"/>
          <w:numId w:val="5"/>
        </w:numPr>
        <w:tabs>
          <w:tab w:pos="3084" w:val="left" w:leader="none"/>
        </w:tabs>
        <w:spacing w:line="480" w:lineRule="auto" w:before="0" w:after="0"/>
        <w:ind w:left="1625" w:right="2151" w:firstLine="861"/>
        <w:jc w:val="left"/>
      </w:pPr>
      <w:bookmarkStart w:name="_bookmark41" w:id="42"/>
      <w:bookmarkEnd w:id="42"/>
      <w:r>
        <w:rPr>
          <w:b w:val="0"/>
        </w:rPr>
      </w:r>
      <w:r>
        <w:rPr/>
        <w:t>Objetivos</w:t>
      </w:r>
      <w:r>
        <w:rPr>
          <w:spacing w:val="-6"/>
        </w:rPr>
        <w:t> </w:t>
      </w:r>
      <w:r>
        <w:rPr/>
        <w:t>del</w:t>
      </w:r>
      <w:r>
        <w:rPr>
          <w:spacing w:val="-6"/>
        </w:rPr>
        <w:t> </w:t>
      </w:r>
      <w:r>
        <w:rPr/>
        <w:t>Programa</w:t>
      </w:r>
      <w:r>
        <w:rPr>
          <w:spacing w:val="-6"/>
        </w:rPr>
        <w:t> </w:t>
      </w:r>
      <w:r>
        <w:rPr/>
        <w:t>de</w:t>
      </w:r>
      <w:r>
        <w:rPr>
          <w:spacing w:val="-7"/>
        </w:rPr>
        <w:t> </w:t>
      </w:r>
      <w:r>
        <w:rPr/>
        <w:t>Protección</w:t>
      </w:r>
      <w:r>
        <w:rPr>
          <w:spacing w:val="-6"/>
        </w:rPr>
        <w:t> </w:t>
      </w:r>
      <w:r>
        <w:rPr/>
        <w:t>y</w:t>
      </w:r>
      <w:r>
        <w:rPr>
          <w:spacing w:val="-6"/>
        </w:rPr>
        <w:t> </w:t>
      </w:r>
      <w:r>
        <w:rPr/>
        <w:t>Promoción</w:t>
      </w:r>
      <w:r>
        <w:rPr>
          <w:spacing w:val="-6"/>
        </w:rPr>
        <w:t> </w:t>
      </w:r>
      <w:r>
        <w:rPr/>
        <w:t>Social Objetivo General</w:t>
      </w:r>
    </w:p>
    <w:p>
      <w:pPr>
        <w:pStyle w:val="BodyText"/>
        <w:spacing w:line="229" w:lineRule="exact"/>
        <w:ind w:left="1625"/>
        <w:jc w:val="both"/>
      </w:pPr>
      <w:r>
        <w:rPr/>
        <w:t>Implementar</w:t>
      </w:r>
      <w:r>
        <w:rPr>
          <w:spacing w:val="2"/>
        </w:rPr>
        <w:t> </w:t>
      </w:r>
      <w:r>
        <w:rPr/>
        <w:t>acciones</w:t>
      </w:r>
      <w:r>
        <w:rPr>
          <w:spacing w:val="4"/>
        </w:rPr>
        <w:t> </w:t>
      </w:r>
      <w:r>
        <w:rPr/>
        <w:t>de</w:t>
      </w:r>
      <w:r>
        <w:rPr>
          <w:spacing w:val="3"/>
        </w:rPr>
        <w:t> </w:t>
      </w:r>
      <w:r>
        <w:rPr/>
        <w:t>protección</w:t>
      </w:r>
      <w:r>
        <w:rPr>
          <w:spacing w:val="3"/>
        </w:rPr>
        <w:t> </w:t>
      </w:r>
      <w:r>
        <w:rPr/>
        <w:t>y</w:t>
      </w:r>
      <w:r>
        <w:rPr>
          <w:spacing w:val="3"/>
        </w:rPr>
        <w:t> </w:t>
      </w:r>
      <w:r>
        <w:rPr/>
        <w:t>promoción</w:t>
      </w:r>
      <w:r>
        <w:rPr>
          <w:spacing w:val="4"/>
        </w:rPr>
        <w:t> </w:t>
      </w:r>
      <w:r>
        <w:rPr/>
        <w:t>social</w:t>
      </w:r>
      <w:r>
        <w:rPr>
          <w:spacing w:val="2"/>
        </w:rPr>
        <w:t> </w:t>
      </w:r>
      <w:r>
        <w:rPr/>
        <w:t>dirigidas</w:t>
      </w:r>
      <w:r>
        <w:rPr>
          <w:spacing w:val="4"/>
        </w:rPr>
        <w:t> </w:t>
      </w:r>
      <w:r>
        <w:rPr/>
        <w:t>a</w:t>
      </w:r>
      <w:r>
        <w:rPr>
          <w:spacing w:val="4"/>
        </w:rPr>
        <w:t> </w:t>
      </w:r>
      <w:r>
        <w:rPr/>
        <w:t>personas,</w:t>
      </w:r>
      <w:r>
        <w:rPr>
          <w:spacing w:val="4"/>
        </w:rPr>
        <w:t> </w:t>
      </w:r>
      <w:r>
        <w:rPr/>
        <w:t>hogares</w:t>
      </w:r>
      <w:r>
        <w:rPr>
          <w:spacing w:val="4"/>
        </w:rPr>
        <w:t> </w:t>
      </w:r>
      <w:r>
        <w:rPr>
          <w:spacing w:val="-10"/>
        </w:rPr>
        <w:t>y</w:t>
      </w:r>
    </w:p>
    <w:p>
      <w:pPr>
        <w:pStyle w:val="BodyText"/>
        <w:spacing w:line="276" w:lineRule="auto" w:before="40"/>
        <w:ind w:left="1625" w:right="1604"/>
        <w:jc w:val="both"/>
      </w:pPr>
      <w:r>
        <w:rPr/>
        <w:t>organizaciones, mediante procesos de atención integral y</w:t>
      </w:r>
      <w:r>
        <w:rPr>
          <w:spacing w:val="-1"/>
        </w:rPr>
        <w:t> </w:t>
      </w:r>
      <w:r>
        <w:rPr/>
        <w:t>otorgamiento de recursos que contribuyan a la disminución de la pobreza en Costa Rica.</w:t>
      </w:r>
    </w:p>
    <w:p>
      <w:pPr>
        <w:pStyle w:val="BodyText"/>
        <w:spacing w:before="22"/>
      </w:pPr>
    </w:p>
    <w:p>
      <w:pPr>
        <w:pStyle w:val="Heading3"/>
        <w:ind w:left="1625"/>
        <w:jc w:val="both"/>
      </w:pPr>
      <w:r>
        <w:rPr/>
        <w:t>Objetivos</w:t>
      </w:r>
      <w:r>
        <w:rPr>
          <w:spacing w:val="-5"/>
        </w:rPr>
        <w:t> </w:t>
      </w:r>
      <w:r>
        <w:rPr>
          <w:spacing w:val="-2"/>
        </w:rPr>
        <w:t>Específicos</w:t>
      </w:r>
    </w:p>
    <w:p>
      <w:pPr>
        <w:pStyle w:val="ListParagraph"/>
        <w:numPr>
          <w:ilvl w:val="0"/>
          <w:numId w:val="19"/>
        </w:numPr>
        <w:tabs>
          <w:tab w:pos="2189" w:val="left" w:leader="none"/>
          <w:tab w:pos="2191" w:val="left" w:leader="none"/>
        </w:tabs>
        <w:spacing w:line="276" w:lineRule="auto" w:before="276" w:after="0"/>
        <w:ind w:left="2191" w:right="1604" w:hanging="284"/>
        <w:jc w:val="both"/>
        <w:rPr>
          <w:sz w:val="22"/>
        </w:rPr>
      </w:pPr>
      <w:r>
        <w:rPr>
          <w:sz w:val="22"/>
        </w:rPr>
        <w:t>Ejecutar acciones de protección social mediante la articulación de servicios, beneficios,</w:t>
      </w:r>
      <w:r>
        <w:rPr>
          <w:spacing w:val="-5"/>
          <w:sz w:val="22"/>
        </w:rPr>
        <w:t> </w:t>
      </w:r>
      <w:r>
        <w:rPr>
          <w:sz w:val="22"/>
        </w:rPr>
        <w:t>subsidios</w:t>
      </w:r>
      <w:r>
        <w:rPr>
          <w:spacing w:val="-6"/>
          <w:sz w:val="22"/>
        </w:rPr>
        <w:t> </w:t>
      </w:r>
      <w:r>
        <w:rPr>
          <w:sz w:val="22"/>
        </w:rPr>
        <w:t>y</w:t>
      </w:r>
      <w:r>
        <w:rPr>
          <w:spacing w:val="-8"/>
          <w:sz w:val="22"/>
        </w:rPr>
        <w:t> </w:t>
      </w:r>
      <w:r>
        <w:rPr>
          <w:sz w:val="22"/>
        </w:rPr>
        <w:t>transferencias</w:t>
      </w:r>
      <w:r>
        <w:rPr>
          <w:spacing w:val="-8"/>
          <w:sz w:val="22"/>
        </w:rPr>
        <w:t> </w:t>
      </w:r>
      <w:r>
        <w:rPr>
          <w:sz w:val="22"/>
        </w:rPr>
        <w:t>monetarias</w:t>
      </w:r>
      <w:r>
        <w:rPr>
          <w:spacing w:val="-8"/>
          <w:sz w:val="22"/>
        </w:rPr>
        <w:t> </w:t>
      </w:r>
      <w:r>
        <w:rPr>
          <w:sz w:val="22"/>
        </w:rPr>
        <w:t>institucionales,</w:t>
      </w:r>
      <w:r>
        <w:rPr>
          <w:spacing w:val="-5"/>
          <w:sz w:val="22"/>
        </w:rPr>
        <w:t> </w:t>
      </w:r>
      <w:r>
        <w:rPr>
          <w:sz w:val="22"/>
        </w:rPr>
        <w:t>que</w:t>
      </w:r>
      <w:r>
        <w:rPr>
          <w:spacing w:val="-8"/>
          <w:sz w:val="22"/>
        </w:rPr>
        <w:t> </w:t>
      </w:r>
      <w:r>
        <w:rPr>
          <w:sz w:val="22"/>
        </w:rPr>
        <w:t>favorezcan</w:t>
      </w:r>
      <w:r>
        <w:rPr>
          <w:spacing w:val="-6"/>
          <w:sz w:val="22"/>
        </w:rPr>
        <w:t> </w:t>
      </w:r>
      <w:r>
        <w:rPr>
          <w:sz w:val="22"/>
        </w:rPr>
        <w:t>la atención integral de personas y hogares en situación de pobreza, así como de organizaciones vinculadas a dicha población.</w:t>
      </w:r>
    </w:p>
    <w:p>
      <w:pPr>
        <w:pStyle w:val="BodyText"/>
        <w:spacing w:before="32"/>
      </w:pPr>
    </w:p>
    <w:p>
      <w:pPr>
        <w:pStyle w:val="ListParagraph"/>
        <w:numPr>
          <w:ilvl w:val="0"/>
          <w:numId w:val="19"/>
        </w:numPr>
        <w:tabs>
          <w:tab w:pos="2189" w:val="left" w:leader="none"/>
          <w:tab w:pos="2191" w:val="left" w:leader="none"/>
        </w:tabs>
        <w:spacing w:line="276" w:lineRule="auto" w:before="1" w:after="0"/>
        <w:ind w:left="2191" w:right="1604" w:hanging="284"/>
        <w:jc w:val="both"/>
        <w:rPr>
          <w:sz w:val="22"/>
        </w:rPr>
      </w:pPr>
      <w:r>
        <w:rPr>
          <w:sz w:val="22"/>
        </w:rPr>
        <w:t>Ejecutar acciones de promoción social mediante la articulación de servicios, subsidios y transferencias monetarias institucionales que favorezcan la atención integral y la movilidad social de personas y hogares en situación de pobreza, así como de organizaciones vinculadas a dicha población.</w:t>
      </w:r>
    </w:p>
    <w:p>
      <w:pPr>
        <w:pStyle w:val="Heading3"/>
        <w:numPr>
          <w:ilvl w:val="2"/>
          <w:numId w:val="5"/>
        </w:numPr>
        <w:tabs>
          <w:tab w:pos="3084" w:val="left" w:leader="none"/>
        </w:tabs>
        <w:spacing w:line="240" w:lineRule="auto" w:before="251" w:after="0"/>
        <w:ind w:left="3084" w:right="0" w:hanging="598"/>
        <w:jc w:val="left"/>
      </w:pPr>
      <w:bookmarkStart w:name="_bookmark42" w:id="43"/>
      <w:bookmarkEnd w:id="43"/>
      <w:r>
        <w:rPr>
          <w:b w:val="0"/>
        </w:rPr>
      </w:r>
      <w:r>
        <w:rPr/>
        <w:t>Estrategias,</w:t>
      </w:r>
      <w:r>
        <w:rPr>
          <w:spacing w:val="-5"/>
        </w:rPr>
        <w:t> </w:t>
      </w:r>
      <w:r>
        <w:rPr/>
        <w:t>acciones</w:t>
      </w:r>
      <w:r>
        <w:rPr>
          <w:spacing w:val="-4"/>
        </w:rPr>
        <w:t> </w:t>
      </w:r>
      <w:r>
        <w:rPr/>
        <w:t>y</w:t>
      </w:r>
      <w:r>
        <w:rPr>
          <w:spacing w:val="-5"/>
        </w:rPr>
        <w:t> </w:t>
      </w:r>
      <w:r>
        <w:rPr/>
        <w:t>metas</w:t>
      </w:r>
      <w:r>
        <w:rPr>
          <w:spacing w:val="-4"/>
        </w:rPr>
        <w:t> </w:t>
      </w:r>
      <w:r>
        <w:rPr/>
        <w:t>del</w:t>
      </w:r>
      <w:r>
        <w:rPr>
          <w:spacing w:val="-4"/>
        </w:rPr>
        <w:t> </w:t>
      </w:r>
      <w:r>
        <w:rPr>
          <w:spacing w:val="-2"/>
        </w:rPr>
        <w:t>programa</w:t>
      </w:r>
    </w:p>
    <w:p>
      <w:pPr>
        <w:pStyle w:val="BodyText"/>
        <w:rPr>
          <w:b/>
          <w:sz w:val="24"/>
        </w:rPr>
      </w:pPr>
    </w:p>
    <w:p>
      <w:pPr>
        <w:pStyle w:val="BodyText"/>
        <w:spacing w:line="276" w:lineRule="auto"/>
        <w:ind w:left="1625" w:right="1604"/>
        <w:jc w:val="both"/>
      </w:pPr>
      <w:r>
        <w:rPr/>
        <w:t>El</w:t>
      </w:r>
      <w:r>
        <w:rPr>
          <w:spacing w:val="-3"/>
        </w:rPr>
        <w:t> </w:t>
      </w:r>
      <w:r>
        <w:rPr/>
        <w:t>desarrollo</w:t>
      </w:r>
      <w:r>
        <w:rPr>
          <w:spacing w:val="-3"/>
        </w:rPr>
        <w:t> </w:t>
      </w:r>
      <w:r>
        <w:rPr/>
        <w:t>del</w:t>
      </w:r>
      <w:r>
        <w:rPr>
          <w:spacing w:val="-3"/>
        </w:rPr>
        <w:t> </w:t>
      </w:r>
      <w:r>
        <w:rPr/>
        <w:t>Programa</w:t>
      </w:r>
      <w:r>
        <w:rPr>
          <w:spacing w:val="-3"/>
        </w:rPr>
        <w:t> </w:t>
      </w:r>
      <w:r>
        <w:rPr/>
        <w:t>de</w:t>
      </w:r>
      <w:r>
        <w:rPr>
          <w:spacing w:val="-5"/>
        </w:rPr>
        <w:t> </w:t>
      </w:r>
      <w:r>
        <w:rPr/>
        <w:t>Protección</w:t>
      </w:r>
      <w:r>
        <w:rPr>
          <w:spacing w:val="-3"/>
        </w:rPr>
        <w:t> </w:t>
      </w:r>
      <w:r>
        <w:rPr/>
        <w:t>y</w:t>
      </w:r>
      <w:r>
        <w:rPr>
          <w:spacing w:val="-5"/>
        </w:rPr>
        <w:t> </w:t>
      </w:r>
      <w:r>
        <w:rPr/>
        <w:t>Promoción</w:t>
      </w:r>
      <w:r>
        <w:rPr>
          <w:spacing w:val="-3"/>
        </w:rPr>
        <w:t> </w:t>
      </w:r>
      <w:r>
        <w:rPr/>
        <w:t>Social</w:t>
      </w:r>
      <w:r>
        <w:rPr>
          <w:spacing w:val="-4"/>
        </w:rPr>
        <w:t> </w:t>
      </w:r>
      <w:r>
        <w:rPr/>
        <w:t>se</w:t>
      </w:r>
      <w:r>
        <w:rPr>
          <w:spacing w:val="-5"/>
        </w:rPr>
        <w:t> </w:t>
      </w:r>
      <w:r>
        <w:rPr/>
        <w:t>sustenta</w:t>
      </w:r>
      <w:r>
        <w:rPr>
          <w:spacing w:val="-3"/>
        </w:rPr>
        <w:t> </w:t>
      </w:r>
      <w:r>
        <w:rPr/>
        <w:t>en</w:t>
      </w:r>
      <w:r>
        <w:rPr>
          <w:spacing w:val="-3"/>
        </w:rPr>
        <w:t> </w:t>
      </w:r>
      <w:r>
        <w:rPr/>
        <w:t>estrategias, acciones</w:t>
      </w:r>
      <w:r>
        <w:rPr>
          <w:spacing w:val="-7"/>
        </w:rPr>
        <w:t> </w:t>
      </w:r>
      <w:r>
        <w:rPr/>
        <w:t>y</w:t>
      </w:r>
      <w:r>
        <w:rPr>
          <w:spacing w:val="-9"/>
        </w:rPr>
        <w:t> </w:t>
      </w:r>
      <w:r>
        <w:rPr/>
        <w:t>metas</w:t>
      </w:r>
      <w:r>
        <w:rPr>
          <w:spacing w:val="-10"/>
        </w:rPr>
        <w:t> </w:t>
      </w:r>
      <w:r>
        <w:rPr/>
        <w:t>orientadas</w:t>
      </w:r>
      <w:r>
        <w:rPr>
          <w:spacing w:val="-7"/>
        </w:rPr>
        <w:t> </w:t>
      </w:r>
      <w:r>
        <w:rPr/>
        <w:t>a</w:t>
      </w:r>
      <w:r>
        <w:rPr>
          <w:spacing w:val="-10"/>
        </w:rPr>
        <w:t> </w:t>
      </w:r>
      <w:r>
        <w:rPr/>
        <w:t>la</w:t>
      </w:r>
      <w:r>
        <w:rPr>
          <w:spacing w:val="-7"/>
        </w:rPr>
        <w:t> </w:t>
      </w:r>
      <w:r>
        <w:rPr/>
        <w:t>atención</w:t>
      </w:r>
      <w:r>
        <w:rPr>
          <w:spacing w:val="-8"/>
        </w:rPr>
        <w:t> </w:t>
      </w:r>
      <w:r>
        <w:rPr/>
        <w:t>integral</w:t>
      </w:r>
      <w:r>
        <w:rPr>
          <w:spacing w:val="-8"/>
        </w:rPr>
        <w:t> </w:t>
      </w:r>
      <w:r>
        <w:rPr/>
        <w:t>de</w:t>
      </w:r>
      <w:r>
        <w:rPr>
          <w:spacing w:val="-8"/>
        </w:rPr>
        <w:t> </w:t>
      </w:r>
      <w:r>
        <w:rPr/>
        <w:t>personas</w:t>
      </w:r>
      <w:r>
        <w:rPr>
          <w:spacing w:val="-10"/>
        </w:rPr>
        <w:t> </w:t>
      </w:r>
      <w:r>
        <w:rPr/>
        <w:t>y</w:t>
      </w:r>
      <w:r>
        <w:rPr>
          <w:spacing w:val="-9"/>
        </w:rPr>
        <w:t> </w:t>
      </w:r>
      <w:r>
        <w:rPr/>
        <w:t>hogares</w:t>
      </w:r>
      <w:r>
        <w:rPr>
          <w:spacing w:val="-9"/>
        </w:rPr>
        <w:t> </w:t>
      </w:r>
      <w:r>
        <w:rPr/>
        <w:t>en</w:t>
      </w:r>
      <w:r>
        <w:rPr>
          <w:spacing w:val="-8"/>
        </w:rPr>
        <w:t> </w:t>
      </w:r>
      <w:r>
        <w:rPr/>
        <w:t>situación</w:t>
      </w:r>
      <w:r>
        <w:rPr>
          <w:spacing w:val="-10"/>
        </w:rPr>
        <w:t> </w:t>
      </w:r>
      <w:r>
        <w:rPr/>
        <w:t>de</w:t>
      </w:r>
    </w:p>
    <w:p>
      <w:pPr>
        <w:pStyle w:val="BodyText"/>
        <w:spacing w:after="0" w:line="276" w:lineRule="auto"/>
        <w:jc w:val="both"/>
        <w:sectPr>
          <w:pgSz w:w="12240" w:h="15840"/>
          <w:pgMar w:header="0" w:footer="1576" w:top="1260" w:bottom="1760" w:left="360" w:right="0"/>
        </w:sectPr>
      </w:pPr>
    </w:p>
    <w:p>
      <w:pPr>
        <w:pStyle w:val="BodyText"/>
        <w:spacing w:line="276" w:lineRule="auto" w:before="77"/>
        <w:ind w:left="1625" w:right="1604"/>
        <w:jc w:val="both"/>
      </w:pPr>
      <w:r>
        <w:rPr/>
        <w:t>pobreza, así como de organizaciones públicas y privadas vinculadas a la atención e intervención dicha</w:t>
      </w:r>
      <w:r>
        <w:rPr>
          <w:spacing w:val="-2"/>
        </w:rPr>
        <w:t> </w:t>
      </w:r>
      <w:r>
        <w:rPr/>
        <w:t>población; esto desde</w:t>
      </w:r>
      <w:r>
        <w:rPr>
          <w:spacing w:val="-3"/>
        </w:rPr>
        <w:t> </w:t>
      </w:r>
      <w:r>
        <w:rPr/>
        <w:t>los enfoques de protección y</w:t>
      </w:r>
      <w:r>
        <w:rPr>
          <w:spacing w:val="-2"/>
        </w:rPr>
        <w:t> </w:t>
      </w:r>
      <w:r>
        <w:rPr/>
        <w:t>promoción social.</w:t>
      </w:r>
    </w:p>
    <w:p>
      <w:pPr>
        <w:pStyle w:val="BodyText"/>
        <w:spacing w:before="37"/>
      </w:pPr>
    </w:p>
    <w:p>
      <w:pPr>
        <w:pStyle w:val="BodyText"/>
        <w:spacing w:line="276" w:lineRule="auto"/>
        <w:ind w:left="1625" w:right="1604"/>
        <w:jc w:val="both"/>
      </w:pPr>
      <w:r>
        <w:rPr/>
        <w:t>El</w:t>
      </w:r>
      <w:r>
        <w:rPr>
          <w:spacing w:val="-1"/>
        </w:rPr>
        <w:t> </w:t>
      </w:r>
      <w:r>
        <w:rPr/>
        <w:t>Modelo de</w:t>
      </w:r>
      <w:r>
        <w:rPr>
          <w:spacing w:val="-3"/>
        </w:rPr>
        <w:t> </w:t>
      </w:r>
      <w:r>
        <w:rPr/>
        <w:t>Intervención</w:t>
      </w:r>
      <w:r>
        <w:rPr>
          <w:spacing w:val="-1"/>
        </w:rPr>
        <w:t> </w:t>
      </w:r>
      <w:r>
        <w:rPr/>
        <w:t>Institucional</w:t>
      </w:r>
      <w:r>
        <w:rPr>
          <w:spacing w:val="-2"/>
        </w:rPr>
        <w:t> </w:t>
      </w:r>
      <w:r>
        <w:rPr/>
        <w:t>constituye</w:t>
      </w:r>
      <w:r>
        <w:rPr>
          <w:spacing w:val="-3"/>
        </w:rPr>
        <w:t> </w:t>
      </w:r>
      <w:r>
        <w:rPr/>
        <w:t>la estrategia definida</w:t>
      </w:r>
      <w:r>
        <w:rPr>
          <w:spacing w:val="-1"/>
        </w:rPr>
        <w:t> </w:t>
      </w:r>
      <w:r>
        <w:rPr/>
        <w:t>por el</w:t>
      </w:r>
      <w:r>
        <w:rPr>
          <w:spacing w:val="-4"/>
        </w:rPr>
        <w:t> </w:t>
      </w:r>
      <w:r>
        <w:rPr/>
        <w:t>IMAS</w:t>
      </w:r>
      <w:r>
        <w:rPr>
          <w:spacing w:val="-1"/>
        </w:rPr>
        <w:t> </w:t>
      </w:r>
      <w:r>
        <w:rPr/>
        <w:t>para orientar el cumplimiento de su finalidad legal y sustantiva. Este modelo guía la acción institucional hacia la disminución de la pobreza mediante procesos de atención integral, articulación de la oferta programática e inversión social dirigida a población en situación de pobreza y a organizaciones cuyo accionar se vincula con dicha población.</w:t>
      </w:r>
    </w:p>
    <w:p>
      <w:pPr>
        <w:pStyle w:val="BodyText"/>
        <w:spacing w:before="40"/>
      </w:pPr>
    </w:p>
    <w:p>
      <w:pPr>
        <w:pStyle w:val="BodyText"/>
        <w:spacing w:line="276" w:lineRule="auto"/>
        <w:ind w:left="1625" w:right="1601"/>
        <w:jc w:val="both"/>
      </w:pPr>
      <w:r>
        <w:rPr/>
        <w:t>Desde</w:t>
      </w:r>
      <w:r>
        <w:rPr>
          <w:spacing w:val="-2"/>
        </w:rPr>
        <w:t> </w:t>
      </w:r>
      <w:r>
        <w:rPr/>
        <w:t>este</w:t>
      </w:r>
      <w:r>
        <w:rPr>
          <w:spacing w:val="-2"/>
        </w:rPr>
        <w:t> </w:t>
      </w:r>
      <w:r>
        <w:rPr/>
        <w:t>marco, las</w:t>
      </w:r>
      <w:r>
        <w:rPr>
          <w:spacing w:val="-2"/>
        </w:rPr>
        <w:t> </w:t>
      </w:r>
      <w:r>
        <w:rPr/>
        <w:t>estrategias</w:t>
      </w:r>
      <w:r>
        <w:rPr>
          <w:spacing w:val="-2"/>
        </w:rPr>
        <w:t> </w:t>
      </w:r>
      <w:r>
        <w:rPr/>
        <w:t>del</w:t>
      </w:r>
      <w:r>
        <w:rPr>
          <w:spacing w:val="-2"/>
        </w:rPr>
        <w:t> </w:t>
      </w:r>
      <w:r>
        <w:rPr/>
        <w:t>programa</w:t>
      </w:r>
      <w:r>
        <w:rPr>
          <w:spacing w:val="-4"/>
        </w:rPr>
        <w:t> </w:t>
      </w:r>
      <w:r>
        <w:rPr/>
        <w:t>priorizan</w:t>
      </w:r>
      <w:r>
        <w:rPr>
          <w:spacing w:val="-2"/>
        </w:rPr>
        <w:t> </w:t>
      </w:r>
      <w:r>
        <w:rPr/>
        <w:t>la</w:t>
      </w:r>
      <w:r>
        <w:rPr>
          <w:spacing w:val="-2"/>
        </w:rPr>
        <w:t> </w:t>
      </w:r>
      <w:r>
        <w:rPr/>
        <w:t>focalización</w:t>
      </w:r>
      <w:r>
        <w:rPr>
          <w:spacing w:val="-2"/>
        </w:rPr>
        <w:t> </w:t>
      </w:r>
      <w:r>
        <w:rPr/>
        <w:t>de</w:t>
      </w:r>
      <w:r>
        <w:rPr>
          <w:spacing w:val="-2"/>
        </w:rPr>
        <w:t> </w:t>
      </w:r>
      <w:r>
        <w:rPr/>
        <w:t>la</w:t>
      </w:r>
      <w:r>
        <w:rPr>
          <w:spacing w:val="-2"/>
        </w:rPr>
        <w:t> </w:t>
      </w:r>
      <w:r>
        <w:rPr/>
        <w:t>población, la atención integral, la articulación interinstitucional, el acompañamiento</w:t>
      </w:r>
      <w:r>
        <w:rPr>
          <w:spacing w:val="-1"/>
        </w:rPr>
        <w:t> </w:t>
      </w:r>
      <w:r>
        <w:rPr/>
        <w:t>de los procesos y el seguimiento de los resultados, con el propósito de responder a la naturaleza multidimensional y cambiante de la pobreza, y con ello contribuir a la movilidad social ascendente de la población atendida.</w:t>
      </w:r>
    </w:p>
    <w:p>
      <w:pPr>
        <w:pStyle w:val="BodyText"/>
        <w:spacing w:before="37"/>
      </w:pPr>
    </w:p>
    <w:p>
      <w:pPr>
        <w:pStyle w:val="BodyText"/>
        <w:spacing w:line="276" w:lineRule="auto" w:before="1"/>
        <w:ind w:left="1625" w:right="1604"/>
        <w:jc w:val="both"/>
      </w:pPr>
      <w:r>
        <w:rPr/>
        <w:t>Estas estrategias se materializan en acciones desarrolladas principalmente desde la DDS, mediante la ejecución de programas, servicios, productos (beneficios, subsidios, transferencias monetarias) y demás actividades del quehacer institucional. Su implementación permite atender necesidades básicas, fortalecer capacidades, ampliar oportunidades y generar resultados consistentes con la cadena de valor institucional.</w:t>
      </w:r>
    </w:p>
    <w:p>
      <w:pPr>
        <w:pStyle w:val="BodyText"/>
        <w:spacing w:before="37"/>
      </w:pPr>
    </w:p>
    <w:p>
      <w:pPr>
        <w:pStyle w:val="BodyText"/>
        <w:spacing w:line="276" w:lineRule="auto"/>
        <w:ind w:left="1625" w:right="1608"/>
        <w:jc w:val="both"/>
      </w:pPr>
      <w:r>
        <w:rPr/>
        <w:t>Las metas del programa se orientan al cumplimiento de los compromisos institucionales en materia de inversión social, cobertura, oportunidad en la atención y contribución a la protección y promoción social de la población objetivo.</w:t>
      </w:r>
    </w:p>
    <w:p>
      <w:pPr>
        <w:pStyle w:val="BodyText"/>
        <w:spacing w:before="38"/>
      </w:pPr>
    </w:p>
    <w:p>
      <w:pPr>
        <w:pStyle w:val="BodyText"/>
        <w:spacing w:line="276" w:lineRule="auto"/>
        <w:ind w:left="1625" w:right="1604"/>
        <w:jc w:val="both"/>
      </w:pPr>
      <w:r>
        <w:rPr/>
        <w:t>Estas metas se evidencian en el Plan Estratégico Nacional, el Plan Nacional de Desarrollo,</w:t>
      </w:r>
      <w:r>
        <w:rPr>
          <w:spacing w:val="-16"/>
        </w:rPr>
        <w:t> </w:t>
      </w:r>
      <w:r>
        <w:rPr/>
        <w:t>el</w:t>
      </w:r>
      <w:r>
        <w:rPr>
          <w:spacing w:val="-15"/>
        </w:rPr>
        <w:t> </w:t>
      </w:r>
      <w:r>
        <w:rPr/>
        <w:t>Plan</w:t>
      </w:r>
      <w:r>
        <w:rPr>
          <w:spacing w:val="-15"/>
        </w:rPr>
        <w:t> </w:t>
      </w:r>
      <w:r>
        <w:rPr/>
        <w:t>Estratégico</w:t>
      </w:r>
      <w:r>
        <w:rPr>
          <w:spacing w:val="-16"/>
        </w:rPr>
        <w:t> </w:t>
      </w:r>
      <w:r>
        <w:rPr/>
        <w:t>Institucional,</w:t>
      </w:r>
      <w:r>
        <w:rPr>
          <w:spacing w:val="-15"/>
        </w:rPr>
        <w:t> </w:t>
      </w:r>
      <w:r>
        <w:rPr/>
        <w:t>el</w:t>
      </w:r>
      <w:r>
        <w:rPr>
          <w:spacing w:val="-15"/>
        </w:rPr>
        <w:t> </w:t>
      </w:r>
      <w:r>
        <w:rPr/>
        <w:t>Plan</w:t>
      </w:r>
      <w:r>
        <w:rPr>
          <w:spacing w:val="-15"/>
        </w:rPr>
        <w:t> </w:t>
      </w:r>
      <w:r>
        <w:rPr/>
        <w:t>Operativo</w:t>
      </w:r>
      <w:r>
        <w:rPr>
          <w:spacing w:val="-16"/>
        </w:rPr>
        <w:t> </w:t>
      </w:r>
      <w:r>
        <w:rPr/>
        <w:t>Gerencial,</w:t>
      </w:r>
      <w:r>
        <w:rPr>
          <w:spacing w:val="-15"/>
        </w:rPr>
        <w:t> </w:t>
      </w:r>
      <w:r>
        <w:rPr/>
        <w:t>el</w:t>
      </w:r>
      <w:r>
        <w:rPr>
          <w:spacing w:val="-15"/>
        </w:rPr>
        <w:t> </w:t>
      </w:r>
      <w:r>
        <w:rPr/>
        <w:t>Plan</w:t>
      </w:r>
      <w:r>
        <w:rPr>
          <w:spacing w:val="-16"/>
        </w:rPr>
        <w:t> </w:t>
      </w:r>
      <w:r>
        <w:rPr/>
        <w:t>Operativo Institucional y demás instrumentos de planificación vinculados, lo que favorece su seguimiento, monitoreo y evaluación.</w:t>
      </w:r>
    </w:p>
    <w:p>
      <w:pPr>
        <w:pStyle w:val="BodyText"/>
        <w:spacing w:before="2"/>
      </w:pPr>
    </w:p>
    <w:p>
      <w:pPr>
        <w:pStyle w:val="Heading3"/>
        <w:numPr>
          <w:ilvl w:val="2"/>
          <w:numId w:val="5"/>
        </w:numPr>
        <w:tabs>
          <w:tab w:pos="3084" w:val="left" w:leader="none"/>
        </w:tabs>
        <w:spacing w:line="240" w:lineRule="auto" w:before="1" w:after="0"/>
        <w:ind w:left="3084" w:right="0" w:hanging="598"/>
        <w:jc w:val="left"/>
      </w:pPr>
      <w:bookmarkStart w:name="_bookmark43" w:id="44"/>
      <w:bookmarkEnd w:id="44"/>
      <w:r>
        <w:rPr>
          <w:b w:val="0"/>
        </w:rPr>
      </w:r>
      <w:r>
        <w:rPr/>
        <w:t>Estructura</w:t>
      </w:r>
      <w:r>
        <w:rPr>
          <w:spacing w:val="-7"/>
        </w:rPr>
        <w:t> </w:t>
      </w:r>
      <w:r>
        <w:rPr/>
        <w:t>del</w:t>
      </w:r>
      <w:r>
        <w:rPr>
          <w:spacing w:val="-6"/>
        </w:rPr>
        <w:t> </w:t>
      </w:r>
      <w:r>
        <w:rPr/>
        <w:t>Programa</w:t>
      </w:r>
      <w:r>
        <w:rPr>
          <w:spacing w:val="-4"/>
        </w:rPr>
        <w:t> </w:t>
      </w:r>
      <w:r>
        <w:rPr/>
        <w:t>de</w:t>
      </w:r>
      <w:r>
        <w:rPr>
          <w:spacing w:val="-6"/>
        </w:rPr>
        <w:t> </w:t>
      </w:r>
      <w:r>
        <w:rPr/>
        <w:t>Protección</w:t>
      </w:r>
      <w:r>
        <w:rPr>
          <w:spacing w:val="-4"/>
        </w:rPr>
        <w:t> </w:t>
      </w:r>
      <w:r>
        <w:rPr/>
        <w:t>y</w:t>
      </w:r>
      <w:r>
        <w:rPr>
          <w:spacing w:val="-4"/>
        </w:rPr>
        <w:t> </w:t>
      </w:r>
      <w:r>
        <w:rPr/>
        <w:t>Promoción</w:t>
      </w:r>
      <w:r>
        <w:rPr>
          <w:spacing w:val="-4"/>
        </w:rPr>
        <w:t> </w:t>
      </w:r>
      <w:r>
        <w:rPr>
          <w:spacing w:val="-2"/>
        </w:rPr>
        <w:t>Social</w:t>
      </w:r>
    </w:p>
    <w:p>
      <w:pPr>
        <w:pStyle w:val="BodyText"/>
        <w:spacing w:line="276" w:lineRule="auto" w:before="251"/>
        <w:ind w:left="1625" w:right="1601"/>
        <w:jc w:val="both"/>
      </w:pPr>
      <w:r>
        <w:rPr/>
        <w:t>El Programa de Protección y Promoción Social se desarrolla desde dos dimensiones de intervención vinculadas de forma directa a los objetivos específicos del programa; estas dimensiones se</w:t>
      </w:r>
      <w:r>
        <w:rPr>
          <w:spacing w:val="-2"/>
        </w:rPr>
        <w:t> </w:t>
      </w:r>
      <w:r>
        <w:rPr/>
        <w:t>encuentran integradas por</w:t>
      </w:r>
      <w:r>
        <w:rPr>
          <w:spacing w:val="-1"/>
        </w:rPr>
        <w:t> </w:t>
      </w:r>
      <w:r>
        <w:rPr/>
        <w:t>la oferta programática institucional, conforme a la finalidad de cada uno de los beneficios, subsidios y transferencias monetarias que otorga la institución según lo establecido a nivel reglamentario.</w:t>
      </w:r>
    </w:p>
    <w:p>
      <w:pPr>
        <w:pStyle w:val="BodyText"/>
        <w:spacing w:before="24"/>
      </w:pPr>
    </w:p>
    <w:p>
      <w:pPr>
        <w:pStyle w:val="Heading3"/>
        <w:numPr>
          <w:ilvl w:val="2"/>
          <w:numId w:val="5"/>
        </w:numPr>
        <w:tabs>
          <w:tab w:pos="3084" w:val="left" w:leader="none"/>
        </w:tabs>
        <w:spacing w:line="240" w:lineRule="auto" w:before="0" w:after="0"/>
        <w:ind w:left="3084" w:right="0" w:hanging="598"/>
        <w:jc w:val="left"/>
      </w:pPr>
      <w:bookmarkStart w:name="_bookmark44" w:id="45"/>
      <w:bookmarkEnd w:id="45"/>
      <w:r>
        <w:rPr>
          <w:b w:val="0"/>
        </w:rPr>
      </w:r>
      <w:r>
        <w:rPr/>
        <w:t>Dimensión</w:t>
      </w:r>
      <w:r>
        <w:rPr>
          <w:spacing w:val="-5"/>
        </w:rPr>
        <w:t> </w:t>
      </w:r>
      <w:r>
        <w:rPr/>
        <w:t>de</w:t>
      </w:r>
      <w:r>
        <w:rPr>
          <w:spacing w:val="-4"/>
        </w:rPr>
        <w:t> </w:t>
      </w:r>
      <w:r>
        <w:rPr/>
        <w:t>Protección</w:t>
      </w:r>
      <w:r>
        <w:rPr>
          <w:spacing w:val="-4"/>
        </w:rPr>
        <w:t> </w:t>
      </w:r>
      <w:r>
        <w:rPr>
          <w:spacing w:val="-2"/>
        </w:rPr>
        <w:t>Social</w:t>
      </w:r>
    </w:p>
    <w:p>
      <w:pPr>
        <w:pStyle w:val="BodyText"/>
        <w:spacing w:line="276" w:lineRule="auto" w:before="276"/>
        <w:ind w:left="1625" w:right="1604"/>
        <w:jc w:val="both"/>
      </w:pPr>
      <w:r>
        <w:rPr/>
        <w:t>La dimensión de protección social se vislumbra como un conjunto de acciones para promover</w:t>
      </w:r>
      <w:r>
        <w:rPr>
          <w:spacing w:val="-9"/>
        </w:rPr>
        <w:t> </w:t>
      </w:r>
      <w:r>
        <w:rPr/>
        <w:t>el</w:t>
      </w:r>
      <w:r>
        <w:rPr>
          <w:spacing w:val="-8"/>
        </w:rPr>
        <w:t> </w:t>
      </w:r>
      <w:r>
        <w:rPr/>
        <w:t>ejercicio</w:t>
      </w:r>
      <w:r>
        <w:rPr>
          <w:spacing w:val="-10"/>
        </w:rPr>
        <w:t> </w:t>
      </w:r>
      <w:r>
        <w:rPr/>
        <w:t>de</w:t>
      </w:r>
      <w:r>
        <w:rPr>
          <w:spacing w:val="-13"/>
        </w:rPr>
        <w:t> </w:t>
      </w:r>
      <w:r>
        <w:rPr/>
        <w:t>derechos</w:t>
      </w:r>
      <w:r>
        <w:rPr>
          <w:spacing w:val="-10"/>
        </w:rPr>
        <w:t> </w:t>
      </w:r>
      <w:r>
        <w:rPr/>
        <w:t>económicos,</w:t>
      </w:r>
      <w:r>
        <w:rPr>
          <w:spacing w:val="-9"/>
        </w:rPr>
        <w:t> </w:t>
      </w:r>
      <w:r>
        <w:rPr/>
        <w:t>sociales</w:t>
      </w:r>
      <w:r>
        <w:rPr>
          <w:spacing w:val="-7"/>
        </w:rPr>
        <w:t> </w:t>
      </w:r>
      <w:r>
        <w:rPr/>
        <w:t>y</w:t>
      </w:r>
      <w:r>
        <w:rPr>
          <w:spacing w:val="-9"/>
        </w:rPr>
        <w:t> </w:t>
      </w:r>
      <w:r>
        <w:rPr/>
        <w:t>culturales;</w:t>
      </w:r>
      <w:r>
        <w:rPr>
          <w:spacing w:val="-8"/>
        </w:rPr>
        <w:t> </w:t>
      </w:r>
      <w:r>
        <w:rPr/>
        <w:t>se</w:t>
      </w:r>
      <w:r>
        <w:rPr>
          <w:spacing w:val="-7"/>
        </w:rPr>
        <w:t> </w:t>
      </w:r>
      <w:r>
        <w:rPr/>
        <w:t>asocia</w:t>
      </w:r>
      <w:r>
        <w:rPr>
          <w:spacing w:val="-7"/>
        </w:rPr>
        <w:t> </w:t>
      </w:r>
      <w:r>
        <w:rPr/>
        <w:t>a</w:t>
      </w:r>
      <w:r>
        <w:rPr>
          <w:spacing w:val="-10"/>
        </w:rPr>
        <w:t> </w:t>
      </w:r>
      <w:r>
        <w:rPr/>
        <w:t>la</w:t>
      </w:r>
      <w:r>
        <w:rPr>
          <w:spacing w:val="-7"/>
        </w:rPr>
        <w:t> </w:t>
      </w:r>
      <w:r>
        <w:rPr/>
        <w:t>oferta programática</w:t>
      </w:r>
      <w:r>
        <w:rPr>
          <w:spacing w:val="40"/>
        </w:rPr>
        <w:t> </w:t>
      </w:r>
      <w:r>
        <w:rPr/>
        <w:t>del</w:t>
      </w:r>
      <w:r>
        <w:rPr>
          <w:spacing w:val="40"/>
        </w:rPr>
        <w:t> </w:t>
      </w:r>
      <w:r>
        <w:rPr/>
        <w:t>IMAS</w:t>
      </w:r>
      <w:r>
        <w:rPr>
          <w:spacing w:val="40"/>
        </w:rPr>
        <w:t> </w:t>
      </w:r>
      <w:r>
        <w:rPr/>
        <w:t>vinculada</w:t>
      </w:r>
      <w:r>
        <w:rPr>
          <w:spacing w:val="40"/>
        </w:rPr>
        <w:t> </w:t>
      </w:r>
      <w:r>
        <w:rPr/>
        <w:t>con</w:t>
      </w:r>
      <w:r>
        <w:rPr>
          <w:spacing w:val="40"/>
        </w:rPr>
        <w:t> </w:t>
      </w:r>
      <w:r>
        <w:rPr/>
        <w:t>la</w:t>
      </w:r>
      <w:r>
        <w:rPr>
          <w:spacing w:val="40"/>
        </w:rPr>
        <w:t> </w:t>
      </w:r>
      <w:r>
        <w:rPr/>
        <w:t>satisfacción</w:t>
      </w:r>
      <w:r>
        <w:rPr>
          <w:spacing w:val="40"/>
        </w:rPr>
        <w:t> </w:t>
      </w:r>
      <w:r>
        <w:rPr/>
        <w:t>de</w:t>
      </w:r>
      <w:r>
        <w:rPr>
          <w:spacing w:val="40"/>
        </w:rPr>
        <w:t> </w:t>
      </w:r>
      <w:r>
        <w:rPr/>
        <w:t>las</w:t>
      </w:r>
      <w:r>
        <w:rPr>
          <w:spacing w:val="40"/>
        </w:rPr>
        <w:t> </w:t>
      </w:r>
      <w:r>
        <w:rPr/>
        <w:t>necesidades</w:t>
      </w:r>
      <w:r>
        <w:rPr>
          <w:spacing w:val="40"/>
        </w:rPr>
        <w:t> </w:t>
      </w:r>
      <w:r>
        <w:rPr/>
        <w:t>básicas,</w:t>
      </w:r>
      <w:r>
        <w:rPr>
          <w:spacing w:val="40"/>
        </w:rPr>
        <w:t> </w:t>
      </w:r>
      <w:r>
        <w:rPr/>
        <w:t>y</w:t>
      </w:r>
    </w:p>
    <w:p>
      <w:pPr>
        <w:pStyle w:val="BodyText"/>
        <w:spacing w:after="0" w:line="276" w:lineRule="auto"/>
        <w:jc w:val="both"/>
        <w:sectPr>
          <w:pgSz w:w="12240" w:h="15840"/>
          <w:pgMar w:header="0" w:footer="1576" w:top="1000" w:bottom="1760" w:left="360" w:right="0"/>
        </w:sectPr>
      </w:pPr>
    </w:p>
    <w:p>
      <w:pPr>
        <w:pStyle w:val="BodyText"/>
        <w:spacing w:line="276" w:lineRule="auto" w:before="77"/>
        <w:ind w:left="1625" w:right="1444"/>
      </w:pPr>
      <w:r>
        <w:rPr/>
        <w:t>orientada</w:t>
      </w:r>
      <w:r>
        <w:rPr>
          <w:spacing w:val="-16"/>
        </w:rPr>
        <w:t> </w:t>
      </w:r>
      <w:r>
        <w:rPr/>
        <w:t>a</w:t>
      </w:r>
      <w:r>
        <w:rPr>
          <w:spacing w:val="-15"/>
        </w:rPr>
        <w:t> </w:t>
      </w:r>
      <w:r>
        <w:rPr/>
        <w:t>reducir</w:t>
      </w:r>
      <w:r>
        <w:rPr>
          <w:spacing w:val="-15"/>
        </w:rPr>
        <w:t> </w:t>
      </w:r>
      <w:r>
        <w:rPr/>
        <w:t>el</w:t>
      </w:r>
      <w:r>
        <w:rPr>
          <w:spacing w:val="-16"/>
        </w:rPr>
        <w:t> </w:t>
      </w:r>
      <w:r>
        <w:rPr/>
        <w:t>riesgo</w:t>
      </w:r>
      <w:r>
        <w:rPr>
          <w:spacing w:val="-15"/>
        </w:rPr>
        <w:t> </w:t>
      </w:r>
      <w:r>
        <w:rPr/>
        <w:t>y</w:t>
      </w:r>
      <w:r>
        <w:rPr>
          <w:spacing w:val="-15"/>
        </w:rPr>
        <w:t> </w:t>
      </w:r>
      <w:r>
        <w:rPr/>
        <w:t>vulnerabilidad</w:t>
      </w:r>
      <w:r>
        <w:rPr>
          <w:spacing w:val="-14"/>
        </w:rPr>
        <w:t> </w:t>
      </w:r>
      <w:r>
        <w:rPr/>
        <w:t>social</w:t>
      </w:r>
      <w:r>
        <w:rPr>
          <w:spacing w:val="-15"/>
        </w:rPr>
        <w:t> </w:t>
      </w:r>
      <w:r>
        <w:rPr/>
        <w:t>de</w:t>
      </w:r>
      <w:r>
        <w:rPr>
          <w:spacing w:val="-14"/>
        </w:rPr>
        <w:t> </w:t>
      </w:r>
      <w:r>
        <w:rPr/>
        <w:t>las</w:t>
      </w:r>
      <w:r>
        <w:rPr>
          <w:spacing w:val="-16"/>
        </w:rPr>
        <w:t> </w:t>
      </w:r>
      <w:r>
        <w:rPr/>
        <w:t>personas</w:t>
      </w:r>
      <w:r>
        <w:rPr>
          <w:spacing w:val="-13"/>
        </w:rPr>
        <w:t> </w:t>
      </w:r>
      <w:r>
        <w:rPr/>
        <w:t>y</w:t>
      </w:r>
      <w:r>
        <w:rPr>
          <w:spacing w:val="-16"/>
        </w:rPr>
        <w:t> </w:t>
      </w:r>
      <w:r>
        <w:rPr/>
        <w:t>hogares</w:t>
      </w:r>
      <w:r>
        <w:rPr>
          <w:spacing w:val="-13"/>
        </w:rPr>
        <w:t> </w:t>
      </w:r>
      <w:r>
        <w:rPr/>
        <w:t>en</w:t>
      </w:r>
      <w:r>
        <w:rPr>
          <w:spacing w:val="-16"/>
        </w:rPr>
        <w:t> </w:t>
      </w:r>
      <w:r>
        <w:rPr/>
        <w:t>situación de pobreza, así como al aporte a organizaciones que atienden esta población.</w:t>
      </w:r>
    </w:p>
    <w:p>
      <w:pPr>
        <w:pStyle w:val="BodyText"/>
        <w:spacing w:before="37"/>
      </w:pPr>
    </w:p>
    <w:p>
      <w:pPr>
        <w:pStyle w:val="BodyText"/>
        <w:ind w:left="1625"/>
      </w:pPr>
      <w:r>
        <w:rPr/>
        <w:t>La</w:t>
      </w:r>
      <w:r>
        <w:rPr>
          <w:spacing w:val="-8"/>
        </w:rPr>
        <w:t> </w:t>
      </w:r>
      <w:r>
        <w:rPr/>
        <w:t>oferta</w:t>
      </w:r>
      <w:r>
        <w:rPr>
          <w:spacing w:val="-7"/>
        </w:rPr>
        <w:t> </w:t>
      </w:r>
      <w:r>
        <w:rPr/>
        <w:t>programática</w:t>
      </w:r>
      <w:r>
        <w:rPr>
          <w:spacing w:val="-6"/>
        </w:rPr>
        <w:t> </w:t>
      </w:r>
      <w:r>
        <w:rPr/>
        <w:t>vinculada</w:t>
      </w:r>
      <w:r>
        <w:rPr>
          <w:spacing w:val="-6"/>
        </w:rPr>
        <w:t> </w:t>
      </w:r>
      <w:r>
        <w:rPr/>
        <w:t>a</w:t>
      </w:r>
      <w:r>
        <w:rPr>
          <w:spacing w:val="-4"/>
        </w:rPr>
        <w:t> </w:t>
      </w:r>
      <w:r>
        <w:rPr/>
        <w:t>Protección</w:t>
      </w:r>
      <w:r>
        <w:rPr>
          <w:spacing w:val="-6"/>
        </w:rPr>
        <w:t> </w:t>
      </w:r>
      <w:r>
        <w:rPr/>
        <w:t>Social</w:t>
      </w:r>
      <w:r>
        <w:rPr>
          <w:spacing w:val="-6"/>
        </w:rPr>
        <w:t> </w:t>
      </w:r>
      <w:r>
        <w:rPr/>
        <w:t>es</w:t>
      </w:r>
      <w:r>
        <w:rPr>
          <w:spacing w:val="-6"/>
        </w:rPr>
        <w:t> </w:t>
      </w:r>
      <w:r>
        <w:rPr/>
        <w:t>la</w:t>
      </w:r>
      <w:r>
        <w:rPr>
          <w:spacing w:val="-5"/>
        </w:rPr>
        <w:t> </w:t>
      </w:r>
      <w:r>
        <w:rPr>
          <w:spacing w:val="-2"/>
        </w:rPr>
        <w:t>siguiente:</w:t>
      </w:r>
    </w:p>
    <w:p>
      <w:pPr>
        <w:pStyle w:val="BodyText"/>
        <w:spacing w:before="77"/>
      </w:pPr>
    </w:p>
    <w:p>
      <w:pPr>
        <w:pStyle w:val="ListParagraph"/>
        <w:numPr>
          <w:ilvl w:val="0"/>
          <w:numId w:val="19"/>
        </w:numPr>
        <w:tabs>
          <w:tab w:pos="2189" w:val="left" w:leader="none"/>
          <w:tab w:pos="2191" w:val="left" w:leader="none"/>
        </w:tabs>
        <w:spacing w:line="276" w:lineRule="auto" w:before="0" w:after="0"/>
        <w:ind w:left="2191" w:right="1617" w:hanging="284"/>
        <w:jc w:val="both"/>
        <w:rPr>
          <w:sz w:val="22"/>
        </w:rPr>
      </w:pPr>
      <w:r>
        <w:rPr>
          <w:b/>
          <w:sz w:val="22"/>
        </w:rPr>
        <w:t>Beneficio Titulación</w:t>
      </w:r>
      <w:r>
        <w:rPr>
          <w:sz w:val="22"/>
        </w:rPr>
        <w:t>: brinda oportunidades a hogares para que sean propietarias de bienes inmuebles inscritos a nombre del IMAS; se ejecuta mediante una valoración técnica, social</w:t>
      </w:r>
      <w:r>
        <w:rPr>
          <w:spacing w:val="-1"/>
          <w:sz w:val="22"/>
        </w:rPr>
        <w:t> </w:t>
      </w:r>
      <w:r>
        <w:rPr>
          <w:sz w:val="22"/>
        </w:rPr>
        <w:t>y legal</w:t>
      </w:r>
      <w:r>
        <w:rPr>
          <w:spacing w:val="-1"/>
          <w:sz w:val="22"/>
        </w:rPr>
        <w:t> </w:t>
      </w:r>
      <w:r>
        <w:rPr>
          <w:sz w:val="22"/>
        </w:rPr>
        <w:t>para la</w:t>
      </w:r>
      <w:r>
        <w:rPr>
          <w:spacing w:val="-2"/>
          <w:sz w:val="22"/>
        </w:rPr>
        <w:t> </w:t>
      </w:r>
      <w:r>
        <w:rPr>
          <w:sz w:val="22"/>
        </w:rPr>
        <w:t>inscripción ante</w:t>
      </w:r>
      <w:r>
        <w:rPr>
          <w:spacing w:val="-2"/>
          <w:sz w:val="22"/>
        </w:rPr>
        <w:t> </w:t>
      </w:r>
      <w:r>
        <w:rPr>
          <w:sz w:val="22"/>
        </w:rPr>
        <w:t>el</w:t>
      </w:r>
      <w:r>
        <w:rPr>
          <w:spacing w:val="-1"/>
          <w:sz w:val="22"/>
        </w:rPr>
        <w:t> </w:t>
      </w:r>
      <w:r>
        <w:rPr>
          <w:sz w:val="22"/>
        </w:rPr>
        <w:t>Registro Nacional de la Propiedad, esto</w:t>
      </w:r>
      <w:r>
        <w:rPr>
          <w:spacing w:val="-1"/>
          <w:sz w:val="22"/>
        </w:rPr>
        <w:t> </w:t>
      </w:r>
      <w:r>
        <w:rPr>
          <w:sz w:val="22"/>
        </w:rPr>
        <w:t>conforme</w:t>
      </w:r>
      <w:r>
        <w:rPr>
          <w:spacing w:val="-1"/>
          <w:sz w:val="22"/>
        </w:rPr>
        <w:t> </w:t>
      </w:r>
      <w:r>
        <w:rPr>
          <w:sz w:val="22"/>
        </w:rPr>
        <w:t>a</w:t>
      </w:r>
      <w:r>
        <w:rPr>
          <w:spacing w:val="-1"/>
          <w:sz w:val="22"/>
        </w:rPr>
        <w:t> </w:t>
      </w:r>
      <w:r>
        <w:rPr>
          <w:sz w:val="22"/>
        </w:rPr>
        <w:t>lo</w:t>
      </w:r>
      <w:r>
        <w:rPr>
          <w:spacing w:val="-1"/>
          <w:sz w:val="22"/>
        </w:rPr>
        <w:t> </w:t>
      </w:r>
      <w:r>
        <w:rPr>
          <w:sz w:val="22"/>
        </w:rPr>
        <w:t>establecido</w:t>
      </w:r>
      <w:r>
        <w:rPr>
          <w:spacing w:val="-1"/>
          <w:sz w:val="22"/>
        </w:rPr>
        <w:t> </w:t>
      </w:r>
      <w:r>
        <w:rPr>
          <w:sz w:val="22"/>
        </w:rPr>
        <w:t>en</w:t>
      </w:r>
      <w:r>
        <w:rPr>
          <w:spacing w:val="-1"/>
          <w:sz w:val="22"/>
        </w:rPr>
        <w:t> </w:t>
      </w:r>
      <w:r>
        <w:rPr>
          <w:sz w:val="22"/>
        </w:rPr>
        <w:t>el</w:t>
      </w:r>
      <w:r>
        <w:rPr>
          <w:spacing w:val="-4"/>
          <w:sz w:val="22"/>
        </w:rPr>
        <w:t> </w:t>
      </w:r>
      <w:r>
        <w:rPr>
          <w:sz w:val="22"/>
        </w:rPr>
        <w:t>Decreto</w:t>
      </w:r>
      <w:r>
        <w:rPr>
          <w:spacing w:val="-1"/>
          <w:sz w:val="22"/>
        </w:rPr>
        <w:t> </w:t>
      </w:r>
      <w:r>
        <w:rPr>
          <w:sz w:val="22"/>
        </w:rPr>
        <w:t>Ejecutivo</w:t>
      </w:r>
      <w:r>
        <w:rPr>
          <w:spacing w:val="-1"/>
          <w:sz w:val="22"/>
        </w:rPr>
        <w:t> </w:t>
      </w:r>
      <w:r>
        <w:rPr>
          <w:sz w:val="22"/>
        </w:rPr>
        <w:t>N°29531-MTSS y sus reformas.</w:t>
      </w:r>
    </w:p>
    <w:p>
      <w:pPr>
        <w:pStyle w:val="BodyText"/>
        <w:spacing w:before="33"/>
      </w:pPr>
    </w:p>
    <w:p>
      <w:pPr>
        <w:pStyle w:val="BodyText"/>
        <w:spacing w:line="276" w:lineRule="auto"/>
        <w:ind w:left="2191" w:right="1619"/>
        <w:jc w:val="both"/>
      </w:pPr>
      <w:r>
        <w:rPr/>
        <w:t>Considerando que durante años se ha prolongado el proceso de otorgamiento de los</w:t>
      </w:r>
      <w:r>
        <w:rPr>
          <w:spacing w:val="-4"/>
        </w:rPr>
        <w:t> </w:t>
      </w:r>
      <w:r>
        <w:rPr/>
        <w:t>Títulos</w:t>
      </w:r>
      <w:r>
        <w:rPr>
          <w:spacing w:val="-6"/>
        </w:rPr>
        <w:t> </w:t>
      </w:r>
      <w:r>
        <w:rPr/>
        <w:t>de</w:t>
      </w:r>
      <w:r>
        <w:rPr>
          <w:spacing w:val="-4"/>
        </w:rPr>
        <w:t> </w:t>
      </w:r>
      <w:r>
        <w:rPr/>
        <w:t>propiedad</w:t>
      </w:r>
      <w:r>
        <w:rPr>
          <w:spacing w:val="-6"/>
        </w:rPr>
        <w:t> </w:t>
      </w:r>
      <w:r>
        <w:rPr/>
        <w:t>a</w:t>
      </w:r>
      <w:r>
        <w:rPr>
          <w:spacing w:val="-4"/>
        </w:rPr>
        <w:t> </w:t>
      </w:r>
      <w:r>
        <w:rPr/>
        <w:t>los</w:t>
      </w:r>
      <w:r>
        <w:rPr>
          <w:spacing w:val="-4"/>
        </w:rPr>
        <w:t> </w:t>
      </w:r>
      <w:r>
        <w:rPr/>
        <w:t>hogares</w:t>
      </w:r>
      <w:r>
        <w:rPr>
          <w:spacing w:val="-4"/>
        </w:rPr>
        <w:t> </w:t>
      </w:r>
      <w:r>
        <w:rPr/>
        <w:t>que</w:t>
      </w:r>
      <w:r>
        <w:rPr>
          <w:spacing w:val="-6"/>
        </w:rPr>
        <w:t> </w:t>
      </w:r>
      <w:r>
        <w:rPr/>
        <w:t>habitan</w:t>
      </w:r>
      <w:r>
        <w:rPr>
          <w:spacing w:val="-4"/>
        </w:rPr>
        <w:t> </w:t>
      </w:r>
      <w:r>
        <w:rPr/>
        <w:t>los</w:t>
      </w:r>
      <w:r>
        <w:rPr>
          <w:spacing w:val="-4"/>
        </w:rPr>
        <w:t> </w:t>
      </w:r>
      <w:r>
        <w:rPr/>
        <w:t>terrenos</w:t>
      </w:r>
      <w:r>
        <w:rPr>
          <w:spacing w:val="-4"/>
        </w:rPr>
        <w:t> </w:t>
      </w:r>
      <w:r>
        <w:rPr/>
        <w:t>a</w:t>
      </w:r>
      <w:r>
        <w:rPr>
          <w:spacing w:val="-6"/>
        </w:rPr>
        <w:t> </w:t>
      </w:r>
      <w:r>
        <w:rPr/>
        <w:t>nombre</w:t>
      </w:r>
      <w:r>
        <w:rPr>
          <w:spacing w:val="-6"/>
        </w:rPr>
        <w:t> </w:t>
      </w:r>
      <w:r>
        <w:rPr/>
        <w:t>del</w:t>
      </w:r>
      <w:r>
        <w:rPr>
          <w:spacing w:val="-5"/>
        </w:rPr>
        <w:t> </w:t>
      </w:r>
      <w:r>
        <w:rPr/>
        <w:t>IMAS y que la institución tiene la necesidad de concluir este proceso dado que no se contempla que prevalezca en el futuro, se toma la decisión de una modalidad de ejecución a través de un proyecto, mismo que fue presentado a la autoridad presupuestaria y aprobado mediante MH-STAP-ACDO-0930-2026.</w:t>
      </w:r>
    </w:p>
    <w:p>
      <w:pPr>
        <w:pStyle w:val="BodyText"/>
        <w:spacing w:before="39"/>
      </w:pPr>
    </w:p>
    <w:p>
      <w:pPr>
        <w:pStyle w:val="BodyText"/>
        <w:spacing w:line="276" w:lineRule="auto" w:before="1"/>
        <w:ind w:left="2191" w:right="1618"/>
        <w:jc w:val="both"/>
      </w:pPr>
      <w:r>
        <w:rPr/>
        <w:t>De tal manera que la atención de este beneficio durante el año 2027 se abordará mediante un proyecto denominado “Consolidación del proceso de titulación de terrenos para la regularización de la tenencia de la tierra de inmuebles propiedad del IMAS”, dicho proyecto fue diseñado con un plazo de ejecución de 14 años y tiene el objetivo de: Otorgar, al año 2040, al menos 16 500 títulos de propiedad a las</w:t>
      </w:r>
      <w:r>
        <w:rPr>
          <w:spacing w:val="-4"/>
        </w:rPr>
        <w:t> </w:t>
      </w:r>
      <w:r>
        <w:rPr/>
        <w:t>familias</w:t>
      </w:r>
      <w:r>
        <w:rPr>
          <w:spacing w:val="-4"/>
        </w:rPr>
        <w:t> </w:t>
      </w:r>
      <w:r>
        <w:rPr/>
        <w:t>que</w:t>
      </w:r>
      <w:r>
        <w:rPr>
          <w:spacing w:val="-6"/>
        </w:rPr>
        <w:t> </w:t>
      </w:r>
      <w:r>
        <w:rPr/>
        <w:t>ocupan</w:t>
      </w:r>
      <w:r>
        <w:rPr>
          <w:spacing w:val="-9"/>
        </w:rPr>
        <w:t> </w:t>
      </w:r>
      <w:r>
        <w:rPr/>
        <w:t>de</w:t>
      </w:r>
      <w:r>
        <w:rPr>
          <w:spacing w:val="-7"/>
        </w:rPr>
        <w:t> </w:t>
      </w:r>
      <w:r>
        <w:rPr/>
        <w:t>manera</w:t>
      </w:r>
      <w:r>
        <w:rPr>
          <w:spacing w:val="-6"/>
        </w:rPr>
        <w:t> </w:t>
      </w:r>
      <w:r>
        <w:rPr/>
        <w:t>informal</w:t>
      </w:r>
      <w:r>
        <w:rPr>
          <w:spacing w:val="-10"/>
        </w:rPr>
        <w:t> </w:t>
      </w:r>
      <w:r>
        <w:rPr/>
        <w:t>terrenos</w:t>
      </w:r>
      <w:r>
        <w:rPr>
          <w:spacing w:val="-4"/>
        </w:rPr>
        <w:t> </w:t>
      </w:r>
      <w:r>
        <w:rPr/>
        <w:t>inscritos</w:t>
      </w:r>
      <w:r>
        <w:rPr>
          <w:spacing w:val="-6"/>
        </w:rPr>
        <w:t> </w:t>
      </w:r>
      <w:r>
        <w:rPr/>
        <w:t>a</w:t>
      </w:r>
      <w:r>
        <w:rPr>
          <w:spacing w:val="-6"/>
        </w:rPr>
        <w:t> </w:t>
      </w:r>
      <w:r>
        <w:rPr/>
        <w:t>nombre</w:t>
      </w:r>
      <w:r>
        <w:rPr>
          <w:spacing w:val="-6"/>
        </w:rPr>
        <w:t> </w:t>
      </w:r>
      <w:r>
        <w:rPr/>
        <w:t>del</w:t>
      </w:r>
      <w:r>
        <w:rPr>
          <w:spacing w:val="-5"/>
        </w:rPr>
        <w:t> </w:t>
      </w:r>
      <w:r>
        <w:rPr/>
        <w:t>IMAS</w:t>
      </w:r>
      <w:r>
        <w:rPr>
          <w:spacing w:val="-7"/>
        </w:rPr>
        <w:t> </w:t>
      </w:r>
      <w:r>
        <w:rPr/>
        <w:t>y a los gobiernos locales, mediante la ejecución de los 269 Proyectos de Titulación </w:t>
      </w:r>
      <w:r>
        <w:rPr>
          <w:spacing w:val="-2"/>
        </w:rPr>
        <w:t>identificados.</w:t>
      </w:r>
    </w:p>
    <w:p>
      <w:pPr>
        <w:pStyle w:val="BodyText"/>
        <w:spacing w:before="38"/>
      </w:pPr>
    </w:p>
    <w:p>
      <w:pPr>
        <w:pStyle w:val="BodyText"/>
        <w:spacing w:line="276" w:lineRule="auto"/>
        <w:ind w:left="2191" w:right="1619"/>
        <w:jc w:val="both"/>
      </w:pPr>
      <w:r>
        <w:rPr/>
        <w:t>La finalidad de esta estrategia de atención es pasar de una intervención con una estructura</w:t>
      </w:r>
      <w:r>
        <w:rPr>
          <w:spacing w:val="-7"/>
        </w:rPr>
        <w:t> </w:t>
      </w:r>
      <w:r>
        <w:rPr/>
        <w:t>rígida</w:t>
      </w:r>
      <w:r>
        <w:rPr>
          <w:spacing w:val="-5"/>
        </w:rPr>
        <w:t> </w:t>
      </w:r>
      <w:r>
        <w:rPr/>
        <w:t>y</w:t>
      </w:r>
      <w:r>
        <w:rPr>
          <w:spacing w:val="-5"/>
        </w:rPr>
        <w:t> </w:t>
      </w:r>
      <w:r>
        <w:rPr/>
        <w:t>permanente</w:t>
      </w:r>
      <w:r>
        <w:rPr>
          <w:spacing w:val="-4"/>
        </w:rPr>
        <w:t> </w:t>
      </w:r>
      <w:r>
        <w:rPr/>
        <w:t>a</w:t>
      </w:r>
      <w:r>
        <w:rPr>
          <w:spacing w:val="-5"/>
        </w:rPr>
        <w:t> </w:t>
      </w:r>
      <w:r>
        <w:rPr/>
        <w:t>una</w:t>
      </w:r>
      <w:r>
        <w:rPr>
          <w:spacing w:val="-5"/>
        </w:rPr>
        <w:t> </w:t>
      </w:r>
      <w:r>
        <w:rPr/>
        <w:t>estructura</w:t>
      </w:r>
      <w:r>
        <w:rPr>
          <w:spacing w:val="-5"/>
        </w:rPr>
        <w:t> </w:t>
      </w:r>
      <w:r>
        <w:rPr/>
        <w:t>de</w:t>
      </w:r>
      <w:r>
        <w:rPr>
          <w:spacing w:val="-5"/>
        </w:rPr>
        <w:t> </w:t>
      </w:r>
      <w:r>
        <w:rPr/>
        <w:t>proyecto,</w:t>
      </w:r>
      <w:r>
        <w:rPr>
          <w:spacing w:val="-4"/>
        </w:rPr>
        <w:t> </w:t>
      </w:r>
      <w:r>
        <w:rPr/>
        <w:t>la</w:t>
      </w:r>
      <w:r>
        <w:rPr>
          <w:spacing w:val="-5"/>
        </w:rPr>
        <w:t> </w:t>
      </w:r>
      <w:r>
        <w:rPr/>
        <w:t>cual</w:t>
      </w:r>
      <w:r>
        <w:rPr>
          <w:spacing w:val="-6"/>
        </w:rPr>
        <w:t> </w:t>
      </w:r>
      <w:r>
        <w:rPr/>
        <w:t>sería</w:t>
      </w:r>
      <w:r>
        <w:rPr>
          <w:spacing w:val="-5"/>
        </w:rPr>
        <w:t> </w:t>
      </w:r>
      <w:r>
        <w:rPr/>
        <w:t>temporal y flexible, basada en una programación de metas que permitan delimitar su temporalidad, considera el traslado de la intervención que históricamente ha realizado en el Departamento Socio Productivo y Comunal a la Dirección de Desarrollo Social, como</w:t>
      </w:r>
      <w:r>
        <w:rPr>
          <w:spacing w:val="-1"/>
        </w:rPr>
        <w:t> </w:t>
      </w:r>
      <w:r>
        <w:rPr/>
        <w:t>ente estratégico de orden superior y conformar un equipo interdisciplinario especializado, que fungiría como Unidad de Coordinación y Ejecución del proceso total de titulación.</w:t>
      </w:r>
    </w:p>
    <w:p>
      <w:pPr>
        <w:pStyle w:val="BodyText"/>
        <w:spacing w:before="38"/>
      </w:pPr>
    </w:p>
    <w:p>
      <w:pPr>
        <w:pStyle w:val="BodyText"/>
        <w:spacing w:line="276" w:lineRule="auto"/>
        <w:ind w:left="2191" w:right="1620"/>
        <w:jc w:val="both"/>
      </w:pPr>
      <w:r>
        <w:rPr/>
        <w:t>El proyecto requiere de la aprobación de plazas y contratación de personal, así como del equipamiento respectivo para el desarrollo de cada una de las acciones identificadas,</w:t>
      </w:r>
      <w:r>
        <w:rPr>
          <w:spacing w:val="-10"/>
        </w:rPr>
        <w:t> </w:t>
      </w:r>
      <w:r>
        <w:rPr/>
        <w:t>sus</w:t>
      </w:r>
      <w:r>
        <w:rPr>
          <w:spacing w:val="-13"/>
        </w:rPr>
        <w:t> </w:t>
      </w:r>
      <w:r>
        <w:rPr/>
        <w:t>recursos</w:t>
      </w:r>
      <w:r>
        <w:rPr>
          <w:spacing w:val="-11"/>
        </w:rPr>
        <w:t> </w:t>
      </w:r>
      <w:r>
        <w:rPr/>
        <w:t>han</w:t>
      </w:r>
      <w:r>
        <w:rPr>
          <w:spacing w:val="-11"/>
        </w:rPr>
        <w:t> </w:t>
      </w:r>
      <w:r>
        <w:rPr/>
        <w:t>sido</w:t>
      </w:r>
      <w:r>
        <w:rPr>
          <w:spacing w:val="-12"/>
        </w:rPr>
        <w:t> </w:t>
      </w:r>
      <w:r>
        <w:rPr/>
        <w:t>estimados</w:t>
      </w:r>
      <w:r>
        <w:rPr>
          <w:spacing w:val="-14"/>
        </w:rPr>
        <w:t> </w:t>
      </w:r>
      <w:r>
        <w:rPr/>
        <w:t>para</w:t>
      </w:r>
      <w:r>
        <w:rPr>
          <w:spacing w:val="-11"/>
        </w:rPr>
        <w:t> </w:t>
      </w:r>
      <w:r>
        <w:rPr/>
        <w:t>el</w:t>
      </w:r>
      <w:r>
        <w:rPr>
          <w:spacing w:val="-12"/>
        </w:rPr>
        <w:t> </w:t>
      </w:r>
      <w:r>
        <w:rPr/>
        <w:t>año</w:t>
      </w:r>
      <w:r>
        <w:rPr>
          <w:spacing w:val="-11"/>
        </w:rPr>
        <w:t> </w:t>
      </w:r>
      <w:r>
        <w:rPr/>
        <w:t>2027</w:t>
      </w:r>
      <w:r>
        <w:rPr>
          <w:spacing w:val="-10"/>
        </w:rPr>
        <w:t> </w:t>
      </w:r>
      <w:r>
        <w:rPr/>
        <w:t>en</w:t>
      </w:r>
      <w:r>
        <w:rPr>
          <w:spacing w:val="-12"/>
        </w:rPr>
        <w:t> </w:t>
      </w:r>
      <w:r>
        <w:rPr/>
        <w:t>cada</w:t>
      </w:r>
      <w:r>
        <w:rPr>
          <w:spacing w:val="-14"/>
        </w:rPr>
        <w:t> </w:t>
      </w:r>
      <w:r>
        <w:rPr/>
        <w:t>una</w:t>
      </w:r>
      <w:r>
        <w:rPr>
          <w:spacing w:val="-11"/>
        </w:rPr>
        <w:t> </w:t>
      </w:r>
      <w:r>
        <w:rPr/>
        <w:t>de</w:t>
      </w:r>
      <w:r>
        <w:rPr>
          <w:spacing w:val="-12"/>
        </w:rPr>
        <w:t> </w:t>
      </w:r>
      <w:r>
        <w:rPr/>
        <w:t>las partidas</w:t>
      </w:r>
      <w:r>
        <w:rPr>
          <w:spacing w:val="-10"/>
        </w:rPr>
        <w:t> </w:t>
      </w:r>
      <w:r>
        <w:rPr/>
        <w:t>presupuestarias</w:t>
      </w:r>
      <w:r>
        <w:rPr>
          <w:spacing w:val="-14"/>
        </w:rPr>
        <w:t> </w:t>
      </w:r>
      <w:r>
        <w:rPr/>
        <w:t>de</w:t>
      </w:r>
      <w:r>
        <w:rPr>
          <w:spacing w:val="-11"/>
        </w:rPr>
        <w:t> </w:t>
      </w:r>
      <w:r>
        <w:rPr/>
        <w:t>gasto</w:t>
      </w:r>
      <w:r>
        <w:rPr>
          <w:spacing w:val="-13"/>
        </w:rPr>
        <w:t> </w:t>
      </w:r>
      <w:r>
        <w:rPr/>
        <w:t>administrativo</w:t>
      </w:r>
      <w:r>
        <w:rPr>
          <w:spacing w:val="-14"/>
        </w:rPr>
        <w:t> </w:t>
      </w:r>
      <w:r>
        <w:rPr/>
        <w:t>operativo</w:t>
      </w:r>
      <w:r>
        <w:rPr>
          <w:spacing w:val="-12"/>
        </w:rPr>
        <w:t> </w:t>
      </w:r>
      <w:r>
        <w:rPr/>
        <w:t>correspondientes,</w:t>
      </w:r>
      <w:r>
        <w:rPr>
          <w:spacing w:val="-9"/>
        </w:rPr>
        <w:t> </w:t>
      </w:r>
      <w:r>
        <w:rPr/>
        <w:t>por</w:t>
      </w:r>
      <w:r>
        <w:rPr>
          <w:spacing w:val="-10"/>
        </w:rPr>
        <w:t> </w:t>
      </w:r>
      <w:r>
        <w:rPr/>
        <w:t>lo tanto,</w:t>
      </w:r>
      <w:r>
        <w:rPr>
          <w:spacing w:val="-16"/>
        </w:rPr>
        <w:t> </w:t>
      </w:r>
      <w:r>
        <w:rPr/>
        <w:t>no</w:t>
      </w:r>
      <w:r>
        <w:rPr>
          <w:spacing w:val="-15"/>
        </w:rPr>
        <w:t> </w:t>
      </w:r>
      <w:r>
        <w:rPr/>
        <w:t>se</w:t>
      </w:r>
      <w:r>
        <w:rPr>
          <w:spacing w:val="-15"/>
        </w:rPr>
        <w:t> </w:t>
      </w:r>
      <w:r>
        <w:rPr/>
        <w:t>visualizan</w:t>
      </w:r>
      <w:r>
        <w:rPr>
          <w:spacing w:val="-16"/>
        </w:rPr>
        <w:t> </w:t>
      </w:r>
      <w:r>
        <w:rPr/>
        <w:t>en</w:t>
      </w:r>
      <w:r>
        <w:rPr>
          <w:spacing w:val="-15"/>
        </w:rPr>
        <w:t> </w:t>
      </w:r>
      <w:r>
        <w:rPr/>
        <w:t>el</w:t>
      </w:r>
      <w:r>
        <w:rPr>
          <w:spacing w:val="-15"/>
        </w:rPr>
        <w:t> </w:t>
      </w:r>
      <w:r>
        <w:rPr/>
        <w:t>Plan</w:t>
      </w:r>
      <w:r>
        <w:rPr>
          <w:spacing w:val="-15"/>
        </w:rPr>
        <w:t> </w:t>
      </w:r>
      <w:r>
        <w:rPr/>
        <w:t>Operativo</w:t>
      </w:r>
      <w:r>
        <w:rPr>
          <w:spacing w:val="-16"/>
        </w:rPr>
        <w:t> </w:t>
      </w:r>
      <w:r>
        <w:rPr/>
        <w:t>Institucional</w:t>
      </w:r>
      <w:r>
        <w:rPr>
          <w:spacing w:val="-15"/>
        </w:rPr>
        <w:t> </w:t>
      </w:r>
      <w:r>
        <w:rPr/>
        <w:t>recursos</w:t>
      </w:r>
      <w:r>
        <w:rPr>
          <w:spacing w:val="-15"/>
        </w:rPr>
        <w:t> </w:t>
      </w:r>
      <w:r>
        <w:rPr/>
        <w:t>de</w:t>
      </w:r>
      <w:r>
        <w:rPr>
          <w:spacing w:val="-16"/>
        </w:rPr>
        <w:t> </w:t>
      </w:r>
      <w:r>
        <w:rPr/>
        <w:t>inversión</w:t>
      </w:r>
      <w:r>
        <w:rPr>
          <w:spacing w:val="-15"/>
        </w:rPr>
        <w:t> </w:t>
      </w:r>
      <w:r>
        <w:rPr/>
        <w:t>social asociados a la meta.</w:t>
      </w:r>
    </w:p>
    <w:p>
      <w:pPr>
        <w:pStyle w:val="BodyText"/>
        <w:spacing w:after="0" w:line="276" w:lineRule="auto"/>
        <w:jc w:val="both"/>
        <w:sectPr>
          <w:pgSz w:w="12240" w:h="15840"/>
          <w:pgMar w:header="0" w:footer="1576" w:top="1000" w:bottom="1760" w:left="360" w:right="0"/>
        </w:sectPr>
      </w:pPr>
    </w:p>
    <w:p>
      <w:pPr>
        <w:pStyle w:val="ListParagraph"/>
        <w:numPr>
          <w:ilvl w:val="0"/>
          <w:numId w:val="19"/>
        </w:numPr>
        <w:tabs>
          <w:tab w:pos="2189" w:val="left" w:leader="none"/>
          <w:tab w:pos="2191" w:val="left" w:leader="none"/>
        </w:tabs>
        <w:spacing w:line="276" w:lineRule="auto" w:before="77" w:after="0"/>
        <w:ind w:left="2191" w:right="1618" w:hanging="284"/>
        <w:jc w:val="both"/>
        <w:rPr>
          <w:sz w:val="22"/>
        </w:rPr>
      </w:pPr>
      <w:r>
        <w:rPr>
          <w:b/>
          <w:sz w:val="22"/>
        </w:rPr>
        <w:t>Levantamiento</w:t>
      </w:r>
      <w:r>
        <w:rPr>
          <w:b/>
          <w:spacing w:val="-16"/>
          <w:sz w:val="22"/>
        </w:rPr>
        <w:t> </w:t>
      </w:r>
      <w:r>
        <w:rPr>
          <w:b/>
          <w:sz w:val="22"/>
        </w:rPr>
        <w:t>de</w:t>
      </w:r>
      <w:r>
        <w:rPr>
          <w:b/>
          <w:spacing w:val="-15"/>
          <w:sz w:val="22"/>
        </w:rPr>
        <w:t> </w:t>
      </w:r>
      <w:r>
        <w:rPr>
          <w:b/>
          <w:sz w:val="22"/>
        </w:rPr>
        <w:t>limitaciones</w:t>
      </w:r>
      <w:r>
        <w:rPr>
          <w:sz w:val="22"/>
        </w:rPr>
        <w:t>:</w:t>
      </w:r>
      <w:r>
        <w:rPr>
          <w:spacing w:val="-15"/>
          <w:sz w:val="22"/>
        </w:rPr>
        <w:t> </w:t>
      </w:r>
      <w:r>
        <w:rPr>
          <w:sz w:val="22"/>
        </w:rPr>
        <w:t>beneficio</w:t>
      </w:r>
      <w:r>
        <w:rPr>
          <w:spacing w:val="-16"/>
          <w:sz w:val="22"/>
        </w:rPr>
        <w:t> </w:t>
      </w:r>
      <w:r>
        <w:rPr>
          <w:sz w:val="22"/>
        </w:rPr>
        <w:t>sin</w:t>
      </w:r>
      <w:r>
        <w:rPr>
          <w:spacing w:val="-15"/>
          <w:sz w:val="22"/>
        </w:rPr>
        <w:t> </w:t>
      </w:r>
      <w:r>
        <w:rPr>
          <w:sz w:val="22"/>
        </w:rPr>
        <w:t>erogación</w:t>
      </w:r>
      <w:r>
        <w:rPr>
          <w:spacing w:val="-15"/>
          <w:sz w:val="22"/>
        </w:rPr>
        <w:t> </w:t>
      </w:r>
      <w:r>
        <w:rPr>
          <w:sz w:val="22"/>
        </w:rPr>
        <w:t>económica</w:t>
      </w:r>
      <w:r>
        <w:rPr>
          <w:spacing w:val="-15"/>
          <w:sz w:val="22"/>
        </w:rPr>
        <w:t> </w:t>
      </w:r>
      <w:r>
        <w:rPr>
          <w:sz w:val="22"/>
        </w:rPr>
        <w:t>que</w:t>
      </w:r>
      <w:r>
        <w:rPr>
          <w:spacing w:val="-16"/>
          <w:sz w:val="22"/>
        </w:rPr>
        <w:t> </w:t>
      </w:r>
      <w:r>
        <w:rPr>
          <w:sz w:val="22"/>
        </w:rPr>
        <w:t>se</w:t>
      </w:r>
      <w:r>
        <w:rPr>
          <w:spacing w:val="-15"/>
          <w:sz w:val="22"/>
        </w:rPr>
        <w:t> </w:t>
      </w:r>
      <w:r>
        <w:rPr>
          <w:sz w:val="22"/>
        </w:rPr>
        <w:t>ejecuta de acuerdo con lo establecido en el Decreto Ejecutivo N°29531-MTSS y sus reformas. Se enmarca en que a todos los inmuebles titulados por el IMAS se les incorporará en su asiento registral las limitaciones del IMAS con lo cual no podrán ser arrendados, gravados, embargados, vendidos ni traspasados a favor de terceros por ningún título, mientras no hayan sido totalmente pagados y no hayan transcurrido</w:t>
      </w:r>
      <w:r>
        <w:rPr>
          <w:spacing w:val="-5"/>
          <w:sz w:val="22"/>
        </w:rPr>
        <w:t> </w:t>
      </w:r>
      <w:r>
        <w:rPr>
          <w:sz w:val="22"/>
        </w:rPr>
        <w:t>diez</w:t>
      </w:r>
      <w:r>
        <w:rPr>
          <w:spacing w:val="-5"/>
          <w:sz w:val="22"/>
        </w:rPr>
        <w:t> </w:t>
      </w:r>
      <w:r>
        <w:rPr>
          <w:sz w:val="22"/>
        </w:rPr>
        <w:t>años</w:t>
      </w:r>
      <w:r>
        <w:rPr>
          <w:spacing w:val="-5"/>
          <w:sz w:val="22"/>
        </w:rPr>
        <w:t> </w:t>
      </w:r>
      <w:r>
        <w:rPr>
          <w:sz w:val="22"/>
        </w:rPr>
        <w:t>desde</w:t>
      </w:r>
      <w:r>
        <w:rPr>
          <w:spacing w:val="-3"/>
          <w:sz w:val="22"/>
        </w:rPr>
        <w:t> </w:t>
      </w:r>
      <w:r>
        <w:rPr>
          <w:sz w:val="22"/>
        </w:rPr>
        <w:t>la</w:t>
      </w:r>
      <w:r>
        <w:rPr>
          <w:spacing w:val="-5"/>
          <w:sz w:val="22"/>
        </w:rPr>
        <w:t> </w:t>
      </w:r>
      <w:r>
        <w:rPr>
          <w:sz w:val="22"/>
        </w:rPr>
        <w:t>fecha</w:t>
      </w:r>
      <w:r>
        <w:rPr>
          <w:spacing w:val="-5"/>
          <w:sz w:val="22"/>
        </w:rPr>
        <w:t> </w:t>
      </w:r>
      <w:r>
        <w:rPr>
          <w:sz w:val="22"/>
        </w:rPr>
        <w:t>de</w:t>
      </w:r>
      <w:r>
        <w:rPr>
          <w:spacing w:val="-5"/>
          <w:sz w:val="22"/>
        </w:rPr>
        <w:t> </w:t>
      </w:r>
      <w:r>
        <w:rPr>
          <w:sz w:val="22"/>
        </w:rPr>
        <w:t>la</w:t>
      </w:r>
      <w:r>
        <w:rPr>
          <w:spacing w:val="-5"/>
          <w:sz w:val="22"/>
        </w:rPr>
        <w:t> </w:t>
      </w:r>
      <w:r>
        <w:rPr>
          <w:sz w:val="22"/>
        </w:rPr>
        <w:t>respectiva</w:t>
      </w:r>
      <w:r>
        <w:rPr>
          <w:spacing w:val="-5"/>
          <w:sz w:val="22"/>
        </w:rPr>
        <w:t> </w:t>
      </w:r>
      <w:r>
        <w:rPr>
          <w:sz w:val="22"/>
        </w:rPr>
        <w:t>titulación,</w:t>
      </w:r>
      <w:r>
        <w:rPr>
          <w:spacing w:val="-4"/>
          <w:sz w:val="22"/>
        </w:rPr>
        <w:t> </w:t>
      </w:r>
      <w:r>
        <w:rPr>
          <w:sz w:val="22"/>
        </w:rPr>
        <w:t>salvo</w:t>
      </w:r>
      <w:r>
        <w:rPr>
          <w:spacing w:val="-1"/>
          <w:sz w:val="22"/>
        </w:rPr>
        <w:t> </w:t>
      </w:r>
      <w:r>
        <w:rPr>
          <w:sz w:val="22"/>
        </w:rPr>
        <w:t>autorización expresa del Consejo Directivo del IMAS mediante la autorización para el levantamiento de limitaciones.</w:t>
      </w:r>
    </w:p>
    <w:p>
      <w:pPr>
        <w:pStyle w:val="BodyText"/>
        <w:spacing w:before="33"/>
      </w:pPr>
    </w:p>
    <w:p>
      <w:pPr>
        <w:pStyle w:val="ListParagraph"/>
        <w:numPr>
          <w:ilvl w:val="0"/>
          <w:numId w:val="19"/>
        </w:numPr>
        <w:tabs>
          <w:tab w:pos="2189" w:val="left" w:leader="none"/>
          <w:tab w:pos="2191" w:val="left" w:leader="none"/>
        </w:tabs>
        <w:spacing w:line="276" w:lineRule="auto" w:before="0" w:after="0"/>
        <w:ind w:left="2191" w:right="1603" w:hanging="284"/>
        <w:jc w:val="both"/>
        <w:rPr>
          <w:sz w:val="22"/>
        </w:rPr>
      </w:pPr>
      <w:r>
        <w:rPr>
          <w:b/>
          <w:sz w:val="22"/>
        </w:rPr>
        <w:t>Subsidio Asignación familiar (Inciso H): </w:t>
      </w:r>
      <w:r>
        <w:rPr>
          <w:sz w:val="22"/>
        </w:rPr>
        <w:t>promueve la satisfacción de necesidades básicas como alimentación, salud, vivienda temporal, servicios públicos básicos, educación y capacitación, entre otros, a personas con discapacidad, propiciando condiciones para mejorar su nivel de vida.</w:t>
      </w:r>
    </w:p>
    <w:p>
      <w:pPr>
        <w:pStyle w:val="BodyText"/>
        <w:spacing w:line="250" w:lineRule="exact"/>
        <w:ind w:left="2191"/>
        <w:jc w:val="both"/>
      </w:pPr>
      <w:r>
        <w:rPr/>
        <w:t>Se</w:t>
      </w:r>
      <w:r>
        <w:rPr>
          <w:spacing w:val="-2"/>
        </w:rPr>
        <w:t> </w:t>
      </w:r>
      <w:r>
        <w:rPr/>
        <w:t>otorga</w:t>
      </w:r>
      <w:r>
        <w:rPr>
          <w:spacing w:val="-3"/>
        </w:rPr>
        <w:t> </w:t>
      </w:r>
      <w:r>
        <w:rPr>
          <w:spacing w:val="-5"/>
        </w:rPr>
        <w:t>a:</w:t>
      </w:r>
    </w:p>
    <w:p>
      <w:pPr>
        <w:pStyle w:val="ListParagraph"/>
        <w:numPr>
          <w:ilvl w:val="1"/>
          <w:numId w:val="19"/>
        </w:numPr>
        <w:tabs>
          <w:tab w:pos="2475" w:val="left" w:leader="none"/>
          <w:tab w:pos="2477" w:val="left" w:leader="none"/>
        </w:tabs>
        <w:spacing w:line="278" w:lineRule="auto" w:before="38" w:after="0"/>
        <w:ind w:left="2477" w:right="1606" w:hanging="286"/>
        <w:jc w:val="both"/>
        <w:rPr>
          <w:sz w:val="22"/>
        </w:rPr>
      </w:pPr>
      <w:r>
        <w:rPr>
          <w:sz w:val="22"/>
        </w:rPr>
        <w:t>Personas trabajadoras con bajos ingresos que tengan a su cargo hijos o hijas con discapacidad permanente.</w:t>
      </w:r>
    </w:p>
    <w:p>
      <w:pPr>
        <w:pStyle w:val="ListParagraph"/>
        <w:numPr>
          <w:ilvl w:val="1"/>
          <w:numId w:val="19"/>
        </w:numPr>
        <w:tabs>
          <w:tab w:pos="2475" w:val="left" w:leader="none"/>
          <w:tab w:pos="2477" w:val="left" w:leader="none"/>
        </w:tabs>
        <w:spacing w:line="276" w:lineRule="auto" w:before="0" w:after="0"/>
        <w:ind w:left="2477" w:right="1605" w:hanging="286"/>
        <w:jc w:val="both"/>
        <w:rPr>
          <w:sz w:val="22"/>
        </w:rPr>
      </w:pPr>
      <w:r>
        <w:rPr>
          <w:sz w:val="22"/>
        </w:rPr>
        <w:t>Personas trabajadoras de bajos ingresos que tengan a su cargo hijos o hijas menores de edad con discapacidad.</w:t>
      </w:r>
    </w:p>
    <w:p>
      <w:pPr>
        <w:pStyle w:val="ListParagraph"/>
        <w:numPr>
          <w:ilvl w:val="1"/>
          <w:numId w:val="19"/>
        </w:numPr>
        <w:tabs>
          <w:tab w:pos="2477" w:val="left" w:leader="none"/>
        </w:tabs>
        <w:spacing w:line="276" w:lineRule="auto" w:before="0" w:after="0"/>
        <w:ind w:left="2477" w:right="1605" w:hanging="286"/>
        <w:jc w:val="both"/>
        <w:rPr>
          <w:sz w:val="22"/>
        </w:rPr>
      </w:pPr>
      <w:r>
        <w:rPr>
          <w:sz w:val="22"/>
        </w:rPr>
        <w:t>Personas trabajadoras con bajos ingresos que tengan a su cargo hijos o hijas estudiantes de educación superior o técnica (educación superior universitaria o capacitación</w:t>
      </w:r>
      <w:r>
        <w:rPr>
          <w:spacing w:val="-9"/>
          <w:sz w:val="22"/>
        </w:rPr>
        <w:t> </w:t>
      </w:r>
      <w:r>
        <w:rPr>
          <w:sz w:val="22"/>
        </w:rPr>
        <w:t>técnica</w:t>
      </w:r>
      <w:r>
        <w:rPr>
          <w:spacing w:val="-7"/>
          <w:sz w:val="22"/>
        </w:rPr>
        <w:t> </w:t>
      </w:r>
      <w:r>
        <w:rPr>
          <w:sz w:val="22"/>
        </w:rPr>
        <w:t>o</w:t>
      </w:r>
      <w:r>
        <w:rPr>
          <w:spacing w:val="-9"/>
          <w:sz w:val="22"/>
        </w:rPr>
        <w:t> </w:t>
      </w:r>
      <w:r>
        <w:rPr>
          <w:sz w:val="22"/>
        </w:rPr>
        <w:t>laboral)</w:t>
      </w:r>
      <w:r>
        <w:rPr>
          <w:spacing w:val="-6"/>
          <w:sz w:val="22"/>
        </w:rPr>
        <w:t> </w:t>
      </w:r>
      <w:r>
        <w:rPr>
          <w:sz w:val="22"/>
        </w:rPr>
        <w:t>con</w:t>
      </w:r>
      <w:r>
        <w:rPr>
          <w:spacing w:val="-8"/>
          <w:sz w:val="22"/>
        </w:rPr>
        <w:t> </w:t>
      </w:r>
      <w:r>
        <w:rPr>
          <w:sz w:val="22"/>
        </w:rPr>
        <w:t>discapacidad</w:t>
      </w:r>
      <w:r>
        <w:rPr>
          <w:spacing w:val="-11"/>
          <w:sz w:val="22"/>
        </w:rPr>
        <w:t> </w:t>
      </w:r>
      <w:r>
        <w:rPr>
          <w:sz w:val="22"/>
        </w:rPr>
        <w:t>entre</w:t>
      </w:r>
      <w:r>
        <w:rPr>
          <w:spacing w:val="-9"/>
          <w:sz w:val="22"/>
        </w:rPr>
        <w:t> </w:t>
      </w:r>
      <w:r>
        <w:rPr>
          <w:sz w:val="22"/>
        </w:rPr>
        <w:t>los</w:t>
      </w:r>
      <w:r>
        <w:rPr>
          <w:spacing w:val="-7"/>
          <w:sz w:val="22"/>
        </w:rPr>
        <w:t> </w:t>
      </w:r>
      <w:r>
        <w:rPr>
          <w:sz w:val="22"/>
        </w:rPr>
        <w:t>18</w:t>
      </w:r>
      <w:r>
        <w:rPr>
          <w:spacing w:val="-9"/>
          <w:sz w:val="22"/>
        </w:rPr>
        <w:t> </w:t>
      </w:r>
      <w:r>
        <w:rPr>
          <w:sz w:val="22"/>
        </w:rPr>
        <w:t>y</w:t>
      </w:r>
      <w:r>
        <w:rPr>
          <w:spacing w:val="-9"/>
          <w:sz w:val="22"/>
        </w:rPr>
        <w:t> </w:t>
      </w:r>
      <w:r>
        <w:rPr>
          <w:sz w:val="22"/>
        </w:rPr>
        <w:t>25</w:t>
      </w:r>
      <w:r>
        <w:rPr>
          <w:spacing w:val="-9"/>
          <w:sz w:val="22"/>
        </w:rPr>
        <w:t> </w:t>
      </w:r>
      <w:r>
        <w:rPr>
          <w:sz w:val="22"/>
        </w:rPr>
        <w:t>años</w:t>
      </w:r>
      <w:r>
        <w:rPr>
          <w:spacing w:val="-9"/>
          <w:sz w:val="22"/>
        </w:rPr>
        <w:t> </w:t>
      </w:r>
      <w:r>
        <w:rPr>
          <w:sz w:val="22"/>
        </w:rPr>
        <w:t>de</w:t>
      </w:r>
      <w:r>
        <w:rPr>
          <w:spacing w:val="-9"/>
          <w:sz w:val="22"/>
        </w:rPr>
        <w:t> </w:t>
      </w:r>
      <w:r>
        <w:rPr>
          <w:sz w:val="22"/>
        </w:rPr>
        <w:t>edad.</w:t>
      </w:r>
    </w:p>
    <w:p>
      <w:pPr>
        <w:pStyle w:val="ListParagraph"/>
        <w:numPr>
          <w:ilvl w:val="1"/>
          <w:numId w:val="19"/>
        </w:numPr>
        <w:tabs>
          <w:tab w:pos="2475" w:val="left" w:leader="none"/>
          <w:tab w:pos="2477" w:val="left" w:leader="none"/>
        </w:tabs>
        <w:spacing w:line="276" w:lineRule="auto" w:before="0" w:after="0"/>
        <w:ind w:left="2477" w:right="1604" w:hanging="286"/>
        <w:jc w:val="both"/>
        <w:rPr>
          <w:sz w:val="22"/>
        </w:rPr>
      </w:pPr>
      <w:r>
        <w:rPr>
          <w:sz w:val="22"/>
        </w:rPr>
        <w:t>Casos de excepción: en casos muy calificados, como por ejemplo orfandad, abandono, violencia intrafamiliar, orden</w:t>
      </w:r>
      <w:r>
        <w:rPr>
          <w:spacing w:val="-1"/>
          <w:sz w:val="22"/>
        </w:rPr>
        <w:t> </w:t>
      </w:r>
      <w:r>
        <w:rPr>
          <w:sz w:val="22"/>
        </w:rPr>
        <w:t>judicial u</w:t>
      </w:r>
      <w:r>
        <w:rPr>
          <w:spacing w:val="-4"/>
          <w:sz w:val="22"/>
        </w:rPr>
        <w:t> </w:t>
      </w:r>
      <w:r>
        <w:rPr>
          <w:sz w:val="22"/>
        </w:rPr>
        <w:t>otras</w:t>
      </w:r>
      <w:r>
        <w:rPr>
          <w:spacing w:val="-1"/>
          <w:sz w:val="22"/>
        </w:rPr>
        <w:t> </w:t>
      </w:r>
      <w:r>
        <w:rPr>
          <w:sz w:val="22"/>
        </w:rPr>
        <w:t>situaciones</w:t>
      </w:r>
      <w:r>
        <w:rPr>
          <w:spacing w:val="-1"/>
          <w:sz w:val="22"/>
        </w:rPr>
        <w:t> </w:t>
      </w:r>
      <w:r>
        <w:rPr>
          <w:sz w:val="22"/>
        </w:rPr>
        <w:t>similares, se podrá girar a favor de una persona o institución definida por el Juzgado de Familia</w:t>
      </w:r>
      <w:r>
        <w:rPr>
          <w:spacing w:val="-9"/>
          <w:sz w:val="22"/>
        </w:rPr>
        <w:t> </w:t>
      </w:r>
      <w:r>
        <w:rPr>
          <w:sz w:val="22"/>
        </w:rPr>
        <w:t>del</w:t>
      </w:r>
      <w:r>
        <w:rPr>
          <w:spacing w:val="-10"/>
          <w:sz w:val="22"/>
        </w:rPr>
        <w:t> </w:t>
      </w:r>
      <w:r>
        <w:rPr>
          <w:sz w:val="22"/>
        </w:rPr>
        <w:t>Poder</w:t>
      </w:r>
      <w:r>
        <w:rPr>
          <w:spacing w:val="-8"/>
          <w:sz w:val="22"/>
        </w:rPr>
        <w:t> </w:t>
      </w:r>
      <w:r>
        <w:rPr>
          <w:sz w:val="22"/>
        </w:rPr>
        <w:t>Judicial</w:t>
      </w:r>
      <w:r>
        <w:rPr>
          <w:spacing w:val="-10"/>
          <w:sz w:val="22"/>
        </w:rPr>
        <w:t> </w:t>
      </w:r>
      <w:r>
        <w:rPr>
          <w:sz w:val="22"/>
        </w:rPr>
        <w:t>o</w:t>
      </w:r>
      <w:r>
        <w:rPr>
          <w:spacing w:val="-9"/>
          <w:sz w:val="22"/>
        </w:rPr>
        <w:t> </w:t>
      </w:r>
      <w:r>
        <w:rPr>
          <w:sz w:val="22"/>
        </w:rPr>
        <w:t>el</w:t>
      </w:r>
      <w:r>
        <w:rPr>
          <w:spacing w:val="-10"/>
          <w:sz w:val="22"/>
        </w:rPr>
        <w:t> </w:t>
      </w:r>
      <w:r>
        <w:rPr>
          <w:sz w:val="22"/>
        </w:rPr>
        <w:t>Patronato</w:t>
      </w:r>
      <w:r>
        <w:rPr>
          <w:spacing w:val="-8"/>
          <w:sz w:val="22"/>
        </w:rPr>
        <w:t> </w:t>
      </w:r>
      <w:r>
        <w:rPr>
          <w:sz w:val="22"/>
        </w:rPr>
        <w:t>Nacional</w:t>
      </w:r>
      <w:r>
        <w:rPr>
          <w:spacing w:val="-10"/>
          <w:sz w:val="22"/>
        </w:rPr>
        <w:t> </w:t>
      </w:r>
      <w:r>
        <w:rPr>
          <w:sz w:val="22"/>
        </w:rPr>
        <w:t>de</w:t>
      </w:r>
      <w:r>
        <w:rPr>
          <w:spacing w:val="-9"/>
          <w:sz w:val="22"/>
        </w:rPr>
        <w:t> </w:t>
      </w:r>
      <w:r>
        <w:rPr>
          <w:sz w:val="22"/>
        </w:rPr>
        <w:t>la</w:t>
      </w:r>
      <w:r>
        <w:rPr>
          <w:spacing w:val="-9"/>
          <w:sz w:val="22"/>
        </w:rPr>
        <w:t> </w:t>
      </w:r>
      <w:r>
        <w:rPr>
          <w:sz w:val="22"/>
        </w:rPr>
        <w:t>Infancia</w:t>
      </w:r>
      <w:r>
        <w:rPr>
          <w:spacing w:val="-9"/>
          <w:sz w:val="22"/>
        </w:rPr>
        <w:t> </w:t>
      </w:r>
      <w:r>
        <w:rPr>
          <w:sz w:val="22"/>
        </w:rPr>
        <w:t>(de</w:t>
      </w:r>
      <w:r>
        <w:rPr>
          <w:spacing w:val="-9"/>
          <w:sz w:val="22"/>
        </w:rPr>
        <w:t> </w:t>
      </w:r>
      <w:r>
        <w:rPr>
          <w:sz w:val="22"/>
        </w:rPr>
        <w:t>acuerdo</w:t>
      </w:r>
      <w:r>
        <w:rPr>
          <w:spacing w:val="-9"/>
          <w:sz w:val="22"/>
        </w:rPr>
        <w:t> </w:t>
      </w:r>
      <w:r>
        <w:rPr>
          <w:sz w:val="22"/>
        </w:rPr>
        <w:t>con la vigencia de la medida).</w:t>
      </w:r>
    </w:p>
    <w:p>
      <w:pPr>
        <w:pStyle w:val="BodyText"/>
        <w:spacing w:before="33"/>
      </w:pPr>
    </w:p>
    <w:p>
      <w:pPr>
        <w:pStyle w:val="ListParagraph"/>
        <w:numPr>
          <w:ilvl w:val="0"/>
          <w:numId w:val="19"/>
        </w:numPr>
        <w:tabs>
          <w:tab w:pos="2189" w:val="left" w:leader="none"/>
          <w:tab w:pos="2191" w:val="left" w:leader="none"/>
        </w:tabs>
        <w:spacing w:line="276" w:lineRule="auto" w:before="0" w:after="0"/>
        <w:ind w:left="2191" w:right="1603" w:hanging="284"/>
        <w:jc w:val="both"/>
        <w:rPr>
          <w:sz w:val="22"/>
        </w:rPr>
      </w:pPr>
      <w:r>
        <w:rPr>
          <w:b/>
          <w:sz w:val="22"/>
        </w:rPr>
        <w:t>Subsidio Atención a familias: </w:t>
      </w:r>
      <w:r>
        <w:rPr>
          <w:sz w:val="22"/>
        </w:rPr>
        <w:t>promueve la satisfacción de necesidades básicas de alimentación, salud, vivienda temporal y</w:t>
      </w:r>
      <w:r>
        <w:rPr>
          <w:spacing w:val="-1"/>
          <w:sz w:val="22"/>
        </w:rPr>
        <w:t> </w:t>
      </w:r>
      <w:r>
        <w:rPr>
          <w:sz w:val="22"/>
        </w:rPr>
        <w:t>servicios públicos básicos, entre otros. Se otorga mediante un aporte económico temporal al ingreso del hogar, con el fin de mejorar las condiciones de vida.</w:t>
      </w:r>
    </w:p>
    <w:p>
      <w:pPr>
        <w:pStyle w:val="BodyText"/>
        <w:spacing w:before="35"/>
      </w:pPr>
    </w:p>
    <w:p>
      <w:pPr>
        <w:pStyle w:val="ListParagraph"/>
        <w:numPr>
          <w:ilvl w:val="0"/>
          <w:numId w:val="19"/>
        </w:numPr>
        <w:tabs>
          <w:tab w:pos="2189" w:val="left" w:leader="none"/>
          <w:tab w:pos="2191" w:val="left" w:leader="none"/>
        </w:tabs>
        <w:spacing w:line="276" w:lineRule="auto" w:before="0" w:after="0"/>
        <w:ind w:left="2191" w:right="1601" w:hanging="284"/>
        <w:jc w:val="both"/>
        <w:rPr>
          <w:sz w:val="22"/>
        </w:rPr>
      </w:pPr>
      <w:r>
        <w:rPr>
          <w:b/>
          <w:sz w:val="22"/>
        </w:rPr>
        <w:t>Subsidio Atención de situaciones de violencia: </w:t>
      </w:r>
      <w:r>
        <w:rPr>
          <w:sz w:val="22"/>
        </w:rPr>
        <w:t>brinda las condiciones para la protección inmediata de personas víctimas de violencia intrafamiliar y violencia de género, mediante un aporte económico para facilitar la separación de la o las víctimas del contexto que genera la situación de riesgo grave e inminente de </w:t>
      </w:r>
      <w:r>
        <w:rPr>
          <w:spacing w:val="-2"/>
          <w:sz w:val="22"/>
        </w:rPr>
        <w:t>muerte.</w:t>
      </w:r>
    </w:p>
    <w:p>
      <w:pPr>
        <w:pStyle w:val="BodyText"/>
        <w:spacing w:before="33"/>
      </w:pPr>
    </w:p>
    <w:p>
      <w:pPr>
        <w:pStyle w:val="ListParagraph"/>
        <w:numPr>
          <w:ilvl w:val="0"/>
          <w:numId w:val="19"/>
        </w:numPr>
        <w:tabs>
          <w:tab w:pos="2189" w:val="left" w:leader="none"/>
          <w:tab w:pos="2191" w:val="left" w:leader="none"/>
        </w:tabs>
        <w:spacing w:line="276" w:lineRule="auto" w:before="1" w:after="0"/>
        <w:ind w:left="2191" w:right="1620" w:hanging="284"/>
        <w:jc w:val="both"/>
        <w:rPr>
          <w:sz w:val="22"/>
        </w:rPr>
      </w:pPr>
      <w:r>
        <w:rPr>
          <w:b/>
          <w:sz w:val="22"/>
        </w:rPr>
        <w:t>Subsidio</w:t>
      </w:r>
      <w:r>
        <w:rPr>
          <w:b/>
          <w:spacing w:val="-6"/>
          <w:sz w:val="22"/>
        </w:rPr>
        <w:t> </w:t>
      </w:r>
      <w:r>
        <w:rPr>
          <w:b/>
          <w:sz w:val="22"/>
        </w:rPr>
        <w:t>Compra</w:t>
      </w:r>
      <w:r>
        <w:rPr>
          <w:b/>
          <w:spacing w:val="-6"/>
          <w:sz w:val="22"/>
        </w:rPr>
        <w:t> </w:t>
      </w:r>
      <w:r>
        <w:rPr>
          <w:b/>
          <w:sz w:val="22"/>
        </w:rPr>
        <w:t>de</w:t>
      </w:r>
      <w:r>
        <w:rPr>
          <w:b/>
          <w:spacing w:val="-7"/>
          <w:sz w:val="22"/>
        </w:rPr>
        <w:t> </w:t>
      </w:r>
      <w:r>
        <w:rPr>
          <w:b/>
          <w:sz w:val="22"/>
        </w:rPr>
        <w:t>lote</w:t>
      </w:r>
      <w:r>
        <w:rPr>
          <w:b/>
          <w:spacing w:val="-4"/>
          <w:sz w:val="22"/>
        </w:rPr>
        <w:t> </w:t>
      </w:r>
      <w:r>
        <w:rPr>
          <w:b/>
          <w:sz w:val="22"/>
        </w:rPr>
        <w:t>para</w:t>
      </w:r>
      <w:r>
        <w:rPr>
          <w:b/>
          <w:spacing w:val="-6"/>
          <w:sz w:val="22"/>
        </w:rPr>
        <w:t> </w:t>
      </w:r>
      <w:r>
        <w:rPr>
          <w:b/>
          <w:sz w:val="22"/>
        </w:rPr>
        <w:t>vivienda</w:t>
      </w:r>
      <w:r>
        <w:rPr>
          <w:b/>
          <w:spacing w:val="-6"/>
          <w:sz w:val="22"/>
        </w:rPr>
        <w:t> </w:t>
      </w:r>
      <w:r>
        <w:rPr>
          <w:b/>
          <w:sz w:val="22"/>
        </w:rPr>
        <w:t>de</w:t>
      </w:r>
      <w:r>
        <w:rPr>
          <w:b/>
          <w:spacing w:val="-7"/>
          <w:sz w:val="22"/>
        </w:rPr>
        <w:t> </w:t>
      </w:r>
      <w:r>
        <w:rPr>
          <w:b/>
          <w:sz w:val="22"/>
        </w:rPr>
        <w:t>interés</w:t>
      </w:r>
      <w:r>
        <w:rPr>
          <w:b/>
          <w:spacing w:val="-4"/>
          <w:sz w:val="22"/>
        </w:rPr>
        <w:t> </w:t>
      </w:r>
      <w:r>
        <w:rPr>
          <w:b/>
          <w:sz w:val="22"/>
        </w:rPr>
        <w:t>social</w:t>
      </w:r>
      <w:r>
        <w:rPr>
          <w:b/>
          <w:spacing w:val="-5"/>
          <w:sz w:val="22"/>
        </w:rPr>
        <w:t> </w:t>
      </w:r>
      <w:r>
        <w:rPr>
          <w:b/>
          <w:sz w:val="22"/>
        </w:rPr>
        <w:t>y</w:t>
      </w:r>
      <w:r>
        <w:rPr>
          <w:b/>
          <w:spacing w:val="-4"/>
          <w:sz w:val="22"/>
        </w:rPr>
        <w:t> </w:t>
      </w:r>
      <w:r>
        <w:rPr>
          <w:b/>
          <w:sz w:val="22"/>
        </w:rPr>
        <w:t>Vivienda</w:t>
      </w:r>
      <w:r>
        <w:rPr>
          <w:b/>
          <w:spacing w:val="-6"/>
          <w:sz w:val="22"/>
        </w:rPr>
        <w:t> </w:t>
      </w:r>
      <w:r>
        <w:rPr>
          <w:b/>
          <w:sz w:val="22"/>
        </w:rPr>
        <w:t>de</w:t>
      </w:r>
      <w:r>
        <w:rPr>
          <w:b/>
          <w:spacing w:val="-4"/>
          <w:sz w:val="22"/>
        </w:rPr>
        <w:t> </w:t>
      </w:r>
      <w:r>
        <w:rPr>
          <w:b/>
          <w:sz w:val="22"/>
        </w:rPr>
        <w:t>interés social</w:t>
      </w:r>
      <w:r>
        <w:rPr>
          <w:sz w:val="22"/>
        </w:rPr>
        <w:t>: subsidio que brinda la oportunidad a hogares debidamente calificados por el</w:t>
      </w:r>
      <w:r>
        <w:rPr>
          <w:spacing w:val="-3"/>
          <w:sz w:val="22"/>
        </w:rPr>
        <w:t> </w:t>
      </w:r>
      <w:r>
        <w:rPr>
          <w:sz w:val="22"/>
        </w:rPr>
        <w:t>IMAS</w:t>
      </w:r>
      <w:r>
        <w:rPr>
          <w:spacing w:val="-2"/>
          <w:sz w:val="22"/>
        </w:rPr>
        <w:t> </w:t>
      </w:r>
      <w:r>
        <w:rPr>
          <w:sz w:val="22"/>
        </w:rPr>
        <w:t>para</w:t>
      </w:r>
      <w:r>
        <w:rPr>
          <w:spacing w:val="-2"/>
          <w:sz w:val="22"/>
        </w:rPr>
        <w:t> </w:t>
      </w:r>
      <w:r>
        <w:rPr>
          <w:sz w:val="22"/>
        </w:rPr>
        <w:t>la</w:t>
      </w:r>
      <w:r>
        <w:rPr>
          <w:spacing w:val="-2"/>
          <w:sz w:val="22"/>
        </w:rPr>
        <w:t> </w:t>
      </w:r>
      <w:r>
        <w:rPr>
          <w:sz w:val="22"/>
        </w:rPr>
        <w:t>adquisición</w:t>
      </w:r>
      <w:r>
        <w:rPr>
          <w:spacing w:val="-2"/>
          <w:sz w:val="22"/>
        </w:rPr>
        <w:t> </w:t>
      </w:r>
      <w:r>
        <w:rPr>
          <w:sz w:val="22"/>
        </w:rPr>
        <w:t>de</w:t>
      </w:r>
      <w:r>
        <w:rPr>
          <w:spacing w:val="-2"/>
          <w:sz w:val="22"/>
        </w:rPr>
        <w:t> </w:t>
      </w:r>
      <w:r>
        <w:rPr>
          <w:sz w:val="22"/>
        </w:rPr>
        <w:t>un</w:t>
      </w:r>
      <w:r>
        <w:rPr>
          <w:spacing w:val="-2"/>
          <w:sz w:val="22"/>
        </w:rPr>
        <w:t> </w:t>
      </w:r>
      <w:r>
        <w:rPr>
          <w:sz w:val="22"/>
        </w:rPr>
        <w:t>lote</w:t>
      </w:r>
      <w:r>
        <w:rPr>
          <w:spacing w:val="-1"/>
          <w:sz w:val="22"/>
        </w:rPr>
        <w:t> </w:t>
      </w:r>
      <w:r>
        <w:rPr>
          <w:sz w:val="22"/>
        </w:rPr>
        <w:t>que</w:t>
      </w:r>
      <w:r>
        <w:rPr>
          <w:spacing w:val="-2"/>
          <w:sz w:val="22"/>
        </w:rPr>
        <w:t> </w:t>
      </w:r>
      <w:r>
        <w:rPr>
          <w:sz w:val="22"/>
        </w:rPr>
        <w:t>permita</w:t>
      </w:r>
      <w:r>
        <w:rPr>
          <w:spacing w:val="-2"/>
          <w:sz w:val="22"/>
        </w:rPr>
        <w:t> </w:t>
      </w:r>
      <w:r>
        <w:rPr>
          <w:sz w:val="22"/>
        </w:rPr>
        <w:t>la</w:t>
      </w:r>
      <w:r>
        <w:rPr>
          <w:spacing w:val="-2"/>
          <w:sz w:val="22"/>
        </w:rPr>
        <w:t> </w:t>
      </w:r>
      <w:r>
        <w:rPr>
          <w:sz w:val="22"/>
        </w:rPr>
        <w:t>construcción</w:t>
      </w:r>
      <w:r>
        <w:rPr>
          <w:spacing w:val="-2"/>
          <w:sz w:val="22"/>
        </w:rPr>
        <w:t> </w:t>
      </w:r>
      <w:r>
        <w:rPr>
          <w:sz w:val="22"/>
        </w:rPr>
        <w:t>de</w:t>
      </w:r>
      <w:r>
        <w:rPr>
          <w:spacing w:val="-2"/>
          <w:sz w:val="22"/>
        </w:rPr>
        <w:t> </w:t>
      </w:r>
      <w:r>
        <w:rPr>
          <w:sz w:val="22"/>
        </w:rPr>
        <w:t>una</w:t>
      </w:r>
      <w:r>
        <w:rPr>
          <w:spacing w:val="-4"/>
          <w:sz w:val="22"/>
        </w:rPr>
        <w:t> </w:t>
      </w:r>
      <w:r>
        <w:rPr>
          <w:sz w:val="22"/>
        </w:rPr>
        <w:t>vivienda de interés social o bien la compra de un lote con vivienda, en el marco de lo establecido en el Decreto Ejecutivo N°29531-MTSS y sus reformas.</w:t>
      </w:r>
    </w:p>
    <w:p>
      <w:pPr>
        <w:pStyle w:val="ListParagraph"/>
        <w:spacing w:after="0" w:line="276" w:lineRule="auto"/>
        <w:jc w:val="both"/>
        <w:rPr>
          <w:sz w:val="22"/>
        </w:rPr>
        <w:sectPr>
          <w:pgSz w:w="12240" w:h="15840"/>
          <w:pgMar w:header="0" w:footer="1576" w:top="1000" w:bottom="1760" w:left="360" w:right="0"/>
        </w:sectPr>
      </w:pPr>
    </w:p>
    <w:p>
      <w:pPr>
        <w:pStyle w:val="BodyText"/>
        <w:spacing w:line="276" w:lineRule="auto" w:before="77"/>
        <w:ind w:left="2191" w:right="1623"/>
        <w:jc w:val="both"/>
      </w:pPr>
      <w:r>
        <w:rPr/>
        <w:t>De conformidad con lo establecido por el Consejo Directivo del IMAS mediante Acuerdo N°265-06-2019, se otorgará este subsidio bajo el principio de Responsabilidad Administrativa a aquellas personas u hogares que habiten en terrenos propiedad del IMAS, exclusivamente cuando se presente algunas de las siguientes condiciones:</w:t>
      </w:r>
    </w:p>
    <w:p>
      <w:pPr>
        <w:pStyle w:val="ListParagraph"/>
        <w:numPr>
          <w:ilvl w:val="0"/>
          <w:numId w:val="20"/>
        </w:numPr>
        <w:tabs>
          <w:tab w:pos="2476" w:val="left" w:leader="none"/>
        </w:tabs>
        <w:spacing w:line="240" w:lineRule="auto" w:before="1" w:after="0"/>
        <w:ind w:left="2476" w:right="0" w:hanging="285"/>
        <w:jc w:val="left"/>
        <w:rPr>
          <w:sz w:val="22"/>
        </w:rPr>
      </w:pPr>
      <w:r>
        <w:rPr>
          <w:sz w:val="22"/>
        </w:rPr>
        <w:t>Se</w:t>
      </w:r>
      <w:r>
        <w:rPr>
          <w:spacing w:val="-6"/>
          <w:sz w:val="22"/>
        </w:rPr>
        <w:t> </w:t>
      </w:r>
      <w:r>
        <w:rPr>
          <w:sz w:val="22"/>
        </w:rPr>
        <w:t>encuentren</w:t>
      </w:r>
      <w:r>
        <w:rPr>
          <w:spacing w:val="-5"/>
          <w:sz w:val="22"/>
        </w:rPr>
        <w:t> </w:t>
      </w:r>
      <w:r>
        <w:rPr>
          <w:sz w:val="22"/>
        </w:rPr>
        <w:t>ocupando</w:t>
      </w:r>
      <w:r>
        <w:rPr>
          <w:spacing w:val="-5"/>
          <w:sz w:val="22"/>
        </w:rPr>
        <w:t> </w:t>
      </w:r>
      <w:r>
        <w:rPr>
          <w:sz w:val="22"/>
        </w:rPr>
        <w:t>terrenos</w:t>
      </w:r>
      <w:r>
        <w:rPr>
          <w:spacing w:val="-7"/>
          <w:sz w:val="22"/>
        </w:rPr>
        <w:t> </w:t>
      </w:r>
      <w:r>
        <w:rPr>
          <w:sz w:val="22"/>
        </w:rPr>
        <w:t>con</w:t>
      </w:r>
      <w:r>
        <w:rPr>
          <w:spacing w:val="-6"/>
          <w:sz w:val="22"/>
        </w:rPr>
        <w:t> </w:t>
      </w:r>
      <w:r>
        <w:rPr>
          <w:sz w:val="22"/>
        </w:rPr>
        <w:t>destino</w:t>
      </w:r>
      <w:r>
        <w:rPr>
          <w:spacing w:val="-5"/>
          <w:sz w:val="22"/>
        </w:rPr>
        <w:t> </w:t>
      </w:r>
      <w:r>
        <w:rPr>
          <w:spacing w:val="-2"/>
          <w:sz w:val="22"/>
        </w:rPr>
        <w:t>público.</w:t>
      </w:r>
    </w:p>
    <w:p>
      <w:pPr>
        <w:pStyle w:val="ListParagraph"/>
        <w:numPr>
          <w:ilvl w:val="0"/>
          <w:numId w:val="20"/>
        </w:numPr>
        <w:tabs>
          <w:tab w:pos="2477" w:val="left" w:leader="none"/>
        </w:tabs>
        <w:spacing w:line="276" w:lineRule="auto" w:before="37" w:after="0"/>
        <w:ind w:left="2477" w:right="1622" w:hanging="286"/>
        <w:jc w:val="left"/>
        <w:rPr>
          <w:sz w:val="22"/>
        </w:rPr>
      </w:pPr>
      <w:r>
        <w:rPr>
          <w:sz w:val="22"/>
        </w:rPr>
        <w:t>Se encuentren ocupando terrenos con situación o declaratoria de emergencia por inseguridad</w:t>
      </w:r>
      <w:r>
        <w:rPr>
          <w:spacing w:val="-2"/>
          <w:sz w:val="22"/>
        </w:rPr>
        <w:t> </w:t>
      </w:r>
      <w:r>
        <w:rPr>
          <w:sz w:val="22"/>
        </w:rPr>
        <w:t>habitacional</w:t>
      </w:r>
      <w:r>
        <w:rPr>
          <w:spacing w:val="-1"/>
          <w:sz w:val="22"/>
        </w:rPr>
        <w:t> </w:t>
      </w:r>
      <w:r>
        <w:rPr>
          <w:sz w:val="22"/>
        </w:rPr>
        <w:t>emitida por la Comisión Nacional</w:t>
      </w:r>
      <w:r>
        <w:rPr>
          <w:spacing w:val="-1"/>
          <w:sz w:val="22"/>
        </w:rPr>
        <w:t> </w:t>
      </w:r>
      <w:r>
        <w:rPr>
          <w:sz w:val="22"/>
        </w:rPr>
        <w:t>de Emergencias.</w:t>
      </w:r>
    </w:p>
    <w:p>
      <w:pPr>
        <w:pStyle w:val="ListParagraph"/>
        <w:numPr>
          <w:ilvl w:val="0"/>
          <w:numId w:val="20"/>
        </w:numPr>
        <w:tabs>
          <w:tab w:pos="2477" w:val="left" w:leader="none"/>
        </w:tabs>
        <w:spacing w:line="278" w:lineRule="auto" w:before="0" w:after="0"/>
        <w:ind w:left="2477" w:right="1623" w:hanging="286"/>
        <w:jc w:val="left"/>
        <w:rPr>
          <w:sz w:val="22"/>
        </w:rPr>
      </w:pPr>
      <w:r>
        <w:rPr>
          <w:sz w:val="22"/>
        </w:rPr>
        <w:t>Se</w:t>
      </w:r>
      <w:r>
        <w:rPr>
          <w:spacing w:val="-10"/>
          <w:sz w:val="22"/>
        </w:rPr>
        <w:t> </w:t>
      </w:r>
      <w:r>
        <w:rPr>
          <w:sz w:val="22"/>
        </w:rPr>
        <w:t>encuentren</w:t>
      </w:r>
      <w:r>
        <w:rPr>
          <w:spacing w:val="-13"/>
          <w:sz w:val="22"/>
        </w:rPr>
        <w:t> </w:t>
      </w:r>
      <w:r>
        <w:rPr>
          <w:sz w:val="22"/>
        </w:rPr>
        <w:t>ocupando</w:t>
      </w:r>
      <w:r>
        <w:rPr>
          <w:spacing w:val="-12"/>
          <w:sz w:val="22"/>
        </w:rPr>
        <w:t> </w:t>
      </w:r>
      <w:r>
        <w:rPr>
          <w:sz w:val="22"/>
        </w:rPr>
        <w:t>terrenos</w:t>
      </w:r>
      <w:r>
        <w:rPr>
          <w:spacing w:val="-12"/>
          <w:sz w:val="22"/>
        </w:rPr>
        <w:t> </w:t>
      </w:r>
      <w:r>
        <w:rPr>
          <w:sz w:val="22"/>
        </w:rPr>
        <w:t>con</w:t>
      </w:r>
      <w:r>
        <w:rPr>
          <w:spacing w:val="-10"/>
          <w:sz w:val="22"/>
        </w:rPr>
        <w:t> </w:t>
      </w:r>
      <w:r>
        <w:rPr>
          <w:sz w:val="22"/>
        </w:rPr>
        <w:t>situación</w:t>
      </w:r>
      <w:r>
        <w:rPr>
          <w:spacing w:val="-10"/>
          <w:sz w:val="22"/>
        </w:rPr>
        <w:t> </w:t>
      </w:r>
      <w:r>
        <w:rPr>
          <w:sz w:val="22"/>
        </w:rPr>
        <w:t>o</w:t>
      </w:r>
      <w:r>
        <w:rPr>
          <w:spacing w:val="-15"/>
          <w:sz w:val="22"/>
        </w:rPr>
        <w:t> </w:t>
      </w:r>
      <w:r>
        <w:rPr>
          <w:sz w:val="22"/>
        </w:rPr>
        <w:t>declaratoria</w:t>
      </w:r>
      <w:r>
        <w:rPr>
          <w:spacing w:val="-10"/>
          <w:sz w:val="22"/>
        </w:rPr>
        <w:t> </w:t>
      </w:r>
      <w:r>
        <w:rPr>
          <w:sz w:val="22"/>
        </w:rPr>
        <w:t>de</w:t>
      </w:r>
      <w:r>
        <w:rPr>
          <w:spacing w:val="-13"/>
          <w:sz w:val="22"/>
        </w:rPr>
        <w:t> </w:t>
      </w:r>
      <w:r>
        <w:rPr>
          <w:sz w:val="22"/>
        </w:rPr>
        <w:t>inhabitabilidad según Orden Sanitaria emitida por el Ministerio de Salud.</w:t>
      </w:r>
    </w:p>
    <w:p>
      <w:pPr>
        <w:pStyle w:val="ListParagraph"/>
        <w:numPr>
          <w:ilvl w:val="0"/>
          <w:numId w:val="20"/>
        </w:numPr>
        <w:tabs>
          <w:tab w:pos="2477" w:val="left" w:leader="none"/>
        </w:tabs>
        <w:spacing w:line="276" w:lineRule="auto" w:before="0" w:after="0"/>
        <w:ind w:left="2477" w:right="1620" w:hanging="286"/>
        <w:jc w:val="left"/>
        <w:rPr>
          <w:sz w:val="22"/>
        </w:rPr>
      </w:pPr>
      <w:r>
        <w:rPr>
          <w:sz w:val="22"/>
        </w:rPr>
        <w:t>Cuando</w:t>
      </w:r>
      <w:r>
        <w:rPr>
          <w:spacing w:val="-16"/>
          <w:sz w:val="22"/>
        </w:rPr>
        <w:t> </w:t>
      </w:r>
      <w:r>
        <w:rPr>
          <w:sz w:val="22"/>
        </w:rPr>
        <w:t>se</w:t>
      </w:r>
      <w:r>
        <w:rPr>
          <w:spacing w:val="-15"/>
          <w:sz w:val="22"/>
        </w:rPr>
        <w:t> </w:t>
      </w:r>
      <w:r>
        <w:rPr>
          <w:sz w:val="22"/>
        </w:rPr>
        <w:t>deban</w:t>
      </w:r>
      <w:r>
        <w:rPr>
          <w:spacing w:val="-15"/>
          <w:sz w:val="22"/>
        </w:rPr>
        <w:t> </w:t>
      </w:r>
      <w:r>
        <w:rPr>
          <w:sz w:val="22"/>
        </w:rPr>
        <w:t>resolver</w:t>
      </w:r>
      <w:r>
        <w:rPr>
          <w:spacing w:val="-16"/>
          <w:sz w:val="22"/>
        </w:rPr>
        <w:t> </w:t>
      </w:r>
      <w:r>
        <w:rPr>
          <w:sz w:val="22"/>
        </w:rPr>
        <w:t>problemas</w:t>
      </w:r>
      <w:r>
        <w:rPr>
          <w:spacing w:val="-15"/>
          <w:sz w:val="22"/>
        </w:rPr>
        <w:t> </w:t>
      </w:r>
      <w:r>
        <w:rPr>
          <w:sz w:val="22"/>
        </w:rPr>
        <w:t>o</w:t>
      </w:r>
      <w:r>
        <w:rPr>
          <w:spacing w:val="-15"/>
          <w:sz w:val="22"/>
        </w:rPr>
        <w:t> </w:t>
      </w:r>
      <w:r>
        <w:rPr>
          <w:sz w:val="22"/>
        </w:rPr>
        <w:t>situaciones</w:t>
      </w:r>
      <w:r>
        <w:rPr>
          <w:spacing w:val="-15"/>
          <w:sz w:val="22"/>
        </w:rPr>
        <w:t> </w:t>
      </w:r>
      <w:r>
        <w:rPr>
          <w:sz w:val="22"/>
        </w:rPr>
        <w:t>de</w:t>
      </w:r>
      <w:r>
        <w:rPr>
          <w:spacing w:val="-16"/>
          <w:sz w:val="22"/>
        </w:rPr>
        <w:t> </w:t>
      </w:r>
      <w:r>
        <w:rPr>
          <w:sz w:val="22"/>
        </w:rPr>
        <w:t>habitabilidad</w:t>
      </w:r>
      <w:r>
        <w:rPr>
          <w:spacing w:val="-15"/>
          <w:sz w:val="22"/>
        </w:rPr>
        <w:t> </w:t>
      </w:r>
      <w:r>
        <w:rPr>
          <w:sz w:val="22"/>
        </w:rPr>
        <w:t>por</w:t>
      </w:r>
      <w:r>
        <w:rPr>
          <w:spacing w:val="-15"/>
          <w:sz w:val="22"/>
        </w:rPr>
        <w:t> </w:t>
      </w:r>
      <w:r>
        <w:rPr>
          <w:sz w:val="22"/>
        </w:rPr>
        <w:t>mandato de un Órgano Jurisdiccional.</w:t>
      </w:r>
    </w:p>
    <w:p>
      <w:pPr>
        <w:pStyle w:val="ListParagraph"/>
        <w:numPr>
          <w:ilvl w:val="0"/>
          <w:numId w:val="20"/>
        </w:numPr>
        <w:tabs>
          <w:tab w:pos="2477" w:val="left" w:leader="none"/>
        </w:tabs>
        <w:spacing w:line="278" w:lineRule="auto" w:before="0" w:after="0"/>
        <w:ind w:left="2477" w:right="1622" w:hanging="286"/>
        <w:jc w:val="left"/>
        <w:rPr>
          <w:sz w:val="22"/>
        </w:rPr>
      </w:pPr>
      <w:r>
        <w:rPr>
          <w:sz w:val="22"/>
        </w:rPr>
        <w:t>En</w:t>
      </w:r>
      <w:r>
        <w:rPr>
          <w:spacing w:val="31"/>
          <w:sz w:val="22"/>
        </w:rPr>
        <w:t> </w:t>
      </w:r>
      <w:r>
        <w:rPr>
          <w:sz w:val="22"/>
        </w:rPr>
        <w:t>casos</w:t>
      </w:r>
      <w:r>
        <w:rPr>
          <w:spacing w:val="29"/>
          <w:sz w:val="22"/>
        </w:rPr>
        <w:t> </w:t>
      </w:r>
      <w:r>
        <w:rPr>
          <w:sz w:val="22"/>
        </w:rPr>
        <w:t>asociados</w:t>
      </w:r>
      <w:r>
        <w:rPr>
          <w:spacing w:val="28"/>
          <w:sz w:val="22"/>
        </w:rPr>
        <w:t> </w:t>
      </w:r>
      <w:r>
        <w:rPr>
          <w:sz w:val="22"/>
        </w:rPr>
        <w:t>y</w:t>
      </w:r>
      <w:r>
        <w:rPr>
          <w:spacing w:val="29"/>
          <w:sz w:val="22"/>
        </w:rPr>
        <w:t> </w:t>
      </w:r>
      <w:r>
        <w:rPr>
          <w:sz w:val="22"/>
        </w:rPr>
        <w:t>referidos</w:t>
      </w:r>
      <w:r>
        <w:rPr>
          <w:spacing w:val="31"/>
          <w:sz w:val="22"/>
        </w:rPr>
        <w:t> </w:t>
      </w:r>
      <w:r>
        <w:rPr>
          <w:sz w:val="22"/>
        </w:rPr>
        <w:t>a</w:t>
      </w:r>
      <w:r>
        <w:rPr>
          <w:spacing w:val="28"/>
          <w:sz w:val="22"/>
        </w:rPr>
        <w:t> </w:t>
      </w:r>
      <w:r>
        <w:rPr>
          <w:sz w:val="22"/>
        </w:rPr>
        <w:t>procesos</w:t>
      </w:r>
      <w:r>
        <w:rPr>
          <w:spacing w:val="28"/>
          <w:sz w:val="22"/>
        </w:rPr>
        <w:t> </w:t>
      </w:r>
      <w:r>
        <w:rPr>
          <w:sz w:val="22"/>
        </w:rPr>
        <w:t>de</w:t>
      </w:r>
      <w:r>
        <w:rPr>
          <w:spacing w:val="28"/>
          <w:sz w:val="22"/>
        </w:rPr>
        <w:t> </w:t>
      </w:r>
      <w:r>
        <w:rPr>
          <w:sz w:val="22"/>
        </w:rPr>
        <w:t>titulación</w:t>
      </w:r>
      <w:r>
        <w:rPr>
          <w:spacing w:val="30"/>
          <w:sz w:val="22"/>
        </w:rPr>
        <w:t> </w:t>
      </w:r>
      <w:r>
        <w:rPr>
          <w:sz w:val="22"/>
        </w:rPr>
        <w:t>y</w:t>
      </w:r>
      <w:r>
        <w:rPr>
          <w:spacing w:val="29"/>
          <w:sz w:val="22"/>
        </w:rPr>
        <w:t> </w:t>
      </w:r>
      <w:r>
        <w:rPr>
          <w:sz w:val="22"/>
        </w:rPr>
        <w:t>adjudicaciones</w:t>
      </w:r>
      <w:r>
        <w:rPr>
          <w:spacing w:val="31"/>
          <w:sz w:val="22"/>
        </w:rPr>
        <w:t> </w:t>
      </w:r>
      <w:r>
        <w:rPr>
          <w:sz w:val="22"/>
        </w:rPr>
        <w:t>de terrenos propiedad del IMAS.</w:t>
      </w:r>
    </w:p>
    <w:p>
      <w:pPr>
        <w:pStyle w:val="BodyText"/>
        <w:spacing w:before="28"/>
      </w:pPr>
    </w:p>
    <w:p>
      <w:pPr>
        <w:pStyle w:val="ListParagraph"/>
        <w:numPr>
          <w:ilvl w:val="0"/>
          <w:numId w:val="19"/>
        </w:numPr>
        <w:tabs>
          <w:tab w:pos="2189" w:val="left" w:leader="none"/>
          <w:tab w:pos="2191" w:val="left" w:leader="none"/>
        </w:tabs>
        <w:spacing w:line="276" w:lineRule="auto" w:before="0" w:after="0"/>
        <w:ind w:left="2191" w:right="1622" w:hanging="284"/>
        <w:jc w:val="both"/>
        <w:rPr>
          <w:sz w:val="22"/>
        </w:rPr>
      </w:pPr>
      <w:r>
        <w:rPr>
          <w:b/>
          <w:sz w:val="22"/>
        </w:rPr>
        <w:t>Subsidio Costo de atención para Organizaciones de Bienestar Social: </w:t>
      </w:r>
      <w:r>
        <w:rPr>
          <w:sz w:val="22"/>
        </w:rPr>
        <w:t>transferencia</w:t>
      </w:r>
      <w:r>
        <w:rPr>
          <w:spacing w:val="-16"/>
          <w:sz w:val="22"/>
        </w:rPr>
        <w:t> </w:t>
      </w:r>
      <w:r>
        <w:rPr>
          <w:sz w:val="22"/>
        </w:rPr>
        <w:t>monetaria</w:t>
      </w:r>
      <w:r>
        <w:rPr>
          <w:spacing w:val="-15"/>
          <w:sz w:val="22"/>
        </w:rPr>
        <w:t> </w:t>
      </w:r>
      <w:r>
        <w:rPr>
          <w:sz w:val="22"/>
        </w:rPr>
        <w:t>no</w:t>
      </w:r>
      <w:r>
        <w:rPr>
          <w:spacing w:val="-13"/>
          <w:sz w:val="22"/>
        </w:rPr>
        <w:t> </w:t>
      </w:r>
      <w:r>
        <w:rPr>
          <w:sz w:val="22"/>
        </w:rPr>
        <w:t>reembolsable</w:t>
      </w:r>
      <w:r>
        <w:rPr>
          <w:spacing w:val="-13"/>
          <w:sz w:val="22"/>
        </w:rPr>
        <w:t> </w:t>
      </w:r>
      <w:r>
        <w:rPr>
          <w:sz w:val="22"/>
        </w:rPr>
        <w:t>a</w:t>
      </w:r>
      <w:r>
        <w:rPr>
          <w:spacing w:val="-13"/>
          <w:sz w:val="22"/>
        </w:rPr>
        <w:t> </w:t>
      </w:r>
      <w:r>
        <w:rPr>
          <w:sz w:val="22"/>
        </w:rPr>
        <w:t>Organizaciones</w:t>
      </w:r>
      <w:r>
        <w:rPr>
          <w:spacing w:val="-13"/>
          <w:sz w:val="22"/>
        </w:rPr>
        <w:t> </w:t>
      </w:r>
      <w:r>
        <w:rPr>
          <w:sz w:val="22"/>
        </w:rPr>
        <w:t>de</w:t>
      </w:r>
      <w:r>
        <w:rPr>
          <w:spacing w:val="-14"/>
          <w:sz w:val="22"/>
        </w:rPr>
        <w:t> </w:t>
      </w:r>
      <w:r>
        <w:rPr>
          <w:sz w:val="22"/>
        </w:rPr>
        <w:t>Bienestar</w:t>
      </w:r>
      <w:r>
        <w:rPr>
          <w:spacing w:val="-12"/>
          <w:sz w:val="22"/>
        </w:rPr>
        <w:t> </w:t>
      </w:r>
      <w:r>
        <w:rPr>
          <w:sz w:val="22"/>
        </w:rPr>
        <w:t>Social</w:t>
      </w:r>
      <w:r>
        <w:rPr>
          <w:spacing w:val="-14"/>
          <w:sz w:val="22"/>
        </w:rPr>
        <w:t> </w:t>
      </w:r>
      <w:r>
        <w:rPr>
          <w:sz w:val="22"/>
        </w:rPr>
        <w:t>con el fin de promover la satisfacción de necesidades básicas a personas usuarias de éstas</w:t>
      </w:r>
      <w:r>
        <w:rPr>
          <w:spacing w:val="-12"/>
          <w:sz w:val="22"/>
        </w:rPr>
        <w:t> </w:t>
      </w:r>
      <w:r>
        <w:rPr>
          <w:sz w:val="22"/>
        </w:rPr>
        <w:t>que</w:t>
      </w:r>
      <w:r>
        <w:rPr>
          <w:spacing w:val="-12"/>
          <w:sz w:val="22"/>
        </w:rPr>
        <w:t> </w:t>
      </w:r>
      <w:r>
        <w:rPr>
          <w:sz w:val="22"/>
        </w:rPr>
        <w:t>se</w:t>
      </w:r>
      <w:r>
        <w:rPr>
          <w:spacing w:val="-12"/>
          <w:sz w:val="22"/>
        </w:rPr>
        <w:t> </w:t>
      </w:r>
      <w:r>
        <w:rPr>
          <w:sz w:val="22"/>
        </w:rPr>
        <w:t>encuentren</w:t>
      </w:r>
      <w:r>
        <w:rPr>
          <w:spacing w:val="-15"/>
          <w:sz w:val="22"/>
        </w:rPr>
        <w:t> </w:t>
      </w:r>
      <w:r>
        <w:rPr>
          <w:sz w:val="22"/>
        </w:rPr>
        <w:t>en</w:t>
      </w:r>
      <w:r>
        <w:rPr>
          <w:spacing w:val="-13"/>
          <w:sz w:val="22"/>
        </w:rPr>
        <w:t> </w:t>
      </w:r>
      <w:r>
        <w:rPr>
          <w:sz w:val="22"/>
        </w:rPr>
        <w:t>situación</w:t>
      </w:r>
      <w:r>
        <w:rPr>
          <w:spacing w:val="-13"/>
          <w:sz w:val="22"/>
        </w:rPr>
        <w:t> </w:t>
      </w:r>
      <w:r>
        <w:rPr>
          <w:sz w:val="22"/>
        </w:rPr>
        <w:t>de</w:t>
      </w:r>
      <w:r>
        <w:rPr>
          <w:spacing w:val="-13"/>
          <w:sz w:val="22"/>
        </w:rPr>
        <w:t> </w:t>
      </w:r>
      <w:r>
        <w:rPr>
          <w:sz w:val="22"/>
        </w:rPr>
        <w:t>pobreza.</w:t>
      </w:r>
      <w:r>
        <w:rPr>
          <w:spacing w:val="-13"/>
          <w:sz w:val="22"/>
        </w:rPr>
        <w:t> </w:t>
      </w:r>
      <w:r>
        <w:rPr>
          <w:sz w:val="22"/>
        </w:rPr>
        <w:t>Este</w:t>
      </w:r>
      <w:r>
        <w:rPr>
          <w:spacing w:val="-12"/>
          <w:sz w:val="22"/>
        </w:rPr>
        <w:t> </w:t>
      </w:r>
      <w:r>
        <w:rPr>
          <w:sz w:val="22"/>
        </w:rPr>
        <w:t>subsidio</w:t>
      </w:r>
      <w:r>
        <w:rPr>
          <w:spacing w:val="-12"/>
          <w:sz w:val="22"/>
        </w:rPr>
        <w:t> </w:t>
      </w:r>
      <w:r>
        <w:rPr>
          <w:sz w:val="22"/>
        </w:rPr>
        <w:t>es</w:t>
      </w:r>
      <w:r>
        <w:rPr>
          <w:spacing w:val="-12"/>
          <w:sz w:val="22"/>
        </w:rPr>
        <w:t> </w:t>
      </w:r>
      <w:r>
        <w:rPr>
          <w:sz w:val="22"/>
        </w:rPr>
        <w:t>complementario al costo total, por lo que se asigna un porcentaje para la atención de la población en la modalidad de servicio que se les brinda.</w:t>
      </w:r>
    </w:p>
    <w:p>
      <w:pPr>
        <w:pStyle w:val="BodyText"/>
        <w:spacing w:before="34"/>
      </w:pPr>
    </w:p>
    <w:p>
      <w:pPr>
        <w:pStyle w:val="ListParagraph"/>
        <w:numPr>
          <w:ilvl w:val="0"/>
          <w:numId w:val="19"/>
        </w:numPr>
        <w:tabs>
          <w:tab w:pos="2189" w:val="left" w:leader="none"/>
          <w:tab w:pos="2191" w:val="left" w:leader="none"/>
        </w:tabs>
        <w:spacing w:line="276" w:lineRule="auto" w:before="0" w:after="0"/>
        <w:ind w:left="2191" w:right="1604" w:hanging="284"/>
        <w:jc w:val="both"/>
        <w:rPr>
          <w:sz w:val="22"/>
        </w:rPr>
      </w:pPr>
      <w:r>
        <w:rPr>
          <w:b/>
          <w:sz w:val="22"/>
        </w:rPr>
        <w:t>Subsidio Emergencias: </w:t>
      </w:r>
      <w:r>
        <w:rPr>
          <w:sz w:val="22"/>
        </w:rPr>
        <w:t>brinda las condiciones para la atención de necesidades inmediatas de los hogares que enfrentan situaciones de emergencia a nivel local, regional o nacional, provocadas por un evento previsible o no, de origen natural o antrópico; se ejecuta mediante un aporte económico al ingreso del hogar para enfrentar las pérdidas ocasionadas por dicho evento.</w:t>
      </w:r>
    </w:p>
    <w:p>
      <w:pPr>
        <w:pStyle w:val="BodyText"/>
        <w:spacing w:before="33"/>
      </w:pPr>
    </w:p>
    <w:p>
      <w:pPr>
        <w:pStyle w:val="ListParagraph"/>
        <w:numPr>
          <w:ilvl w:val="0"/>
          <w:numId w:val="19"/>
        </w:numPr>
        <w:tabs>
          <w:tab w:pos="2189" w:val="left" w:leader="none"/>
          <w:tab w:pos="2191" w:val="left" w:leader="none"/>
        </w:tabs>
        <w:spacing w:line="276" w:lineRule="auto" w:before="0" w:after="0"/>
        <w:ind w:left="2191" w:right="1623" w:hanging="284"/>
        <w:jc w:val="both"/>
        <w:rPr>
          <w:sz w:val="22"/>
        </w:rPr>
      </w:pPr>
      <w:r>
        <w:rPr>
          <w:b/>
          <w:sz w:val="22"/>
        </w:rPr>
        <w:t>Subsidio Equipamiento básico para Organizaciones de Bienestar Social: </w:t>
      </w:r>
      <w:r>
        <w:rPr>
          <w:sz w:val="22"/>
        </w:rPr>
        <w:t>transferencia monetaria no reembolsable a Organizaciones de Bienestar Social, para</w:t>
      </w:r>
      <w:r>
        <w:rPr>
          <w:spacing w:val="-13"/>
          <w:sz w:val="22"/>
        </w:rPr>
        <w:t> </w:t>
      </w:r>
      <w:r>
        <w:rPr>
          <w:sz w:val="22"/>
        </w:rPr>
        <w:t>la</w:t>
      </w:r>
      <w:r>
        <w:rPr>
          <w:spacing w:val="-12"/>
          <w:sz w:val="22"/>
        </w:rPr>
        <w:t> </w:t>
      </w:r>
      <w:r>
        <w:rPr>
          <w:sz w:val="22"/>
        </w:rPr>
        <w:t>adquisición</w:t>
      </w:r>
      <w:r>
        <w:rPr>
          <w:spacing w:val="-13"/>
          <w:sz w:val="22"/>
        </w:rPr>
        <w:t> </w:t>
      </w:r>
      <w:r>
        <w:rPr>
          <w:sz w:val="22"/>
        </w:rPr>
        <w:t>de</w:t>
      </w:r>
      <w:r>
        <w:rPr>
          <w:spacing w:val="-16"/>
          <w:sz w:val="22"/>
        </w:rPr>
        <w:t> </w:t>
      </w:r>
      <w:r>
        <w:rPr>
          <w:sz w:val="22"/>
        </w:rPr>
        <w:t>mobiliario</w:t>
      </w:r>
      <w:r>
        <w:rPr>
          <w:spacing w:val="-12"/>
          <w:sz w:val="22"/>
        </w:rPr>
        <w:t> </w:t>
      </w:r>
      <w:r>
        <w:rPr>
          <w:sz w:val="22"/>
        </w:rPr>
        <w:t>y</w:t>
      </w:r>
      <w:r>
        <w:rPr>
          <w:spacing w:val="-12"/>
          <w:sz w:val="22"/>
        </w:rPr>
        <w:t> </w:t>
      </w:r>
      <w:r>
        <w:rPr>
          <w:sz w:val="22"/>
        </w:rPr>
        <w:t>equipo</w:t>
      </w:r>
      <w:r>
        <w:rPr>
          <w:spacing w:val="-13"/>
          <w:sz w:val="22"/>
        </w:rPr>
        <w:t> </w:t>
      </w:r>
      <w:r>
        <w:rPr>
          <w:sz w:val="22"/>
        </w:rPr>
        <w:t>que</w:t>
      </w:r>
      <w:r>
        <w:rPr>
          <w:spacing w:val="-15"/>
          <w:sz w:val="22"/>
        </w:rPr>
        <w:t> </w:t>
      </w:r>
      <w:r>
        <w:rPr>
          <w:sz w:val="22"/>
        </w:rPr>
        <w:t>permite</w:t>
      </w:r>
      <w:r>
        <w:rPr>
          <w:spacing w:val="-12"/>
          <w:sz w:val="22"/>
        </w:rPr>
        <w:t> </w:t>
      </w:r>
      <w:r>
        <w:rPr>
          <w:sz w:val="22"/>
        </w:rPr>
        <w:t>el</w:t>
      </w:r>
      <w:r>
        <w:rPr>
          <w:spacing w:val="-16"/>
          <w:sz w:val="22"/>
        </w:rPr>
        <w:t> </w:t>
      </w:r>
      <w:r>
        <w:rPr>
          <w:sz w:val="22"/>
        </w:rPr>
        <w:t>desarrollo</w:t>
      </w:r>
      <w:r>
        <w:rPr>
          <w:spacing w:val="-11"/>
          <w:sz w:val="22"/>
        </w:rPr>
        <w:t> </w:t>
      </w:r>
      <w:r>
        <w:rPr>
          <w:sz w:val="22"/>
        </w:rPr>
        <w:t>y</w:t>
      </w:r>
      <w:r>
        <w:rPr>
          <w:spacing w:val="-14"/>
          <w:sz w:val="22"/>
        </w:rPr>
        <w:t> </w:t>
      </w:r>
      <w:r>
        <w:rPr>
          <w:sz w:val="22"/>
        </w:rPr>
        <w:t>fortalecimiento de</w:t>
      </w:r>
      <w:r>
        <w:rPr>
          <w:spacing w:val="-16"/>
          <w:sz w:val="22"/>
        </w:rPr>
        <w:t> </w:t>
      </w:r>
      <w:r>
        <w:rPr>
          <w:sz w:val="22"/>
        </w:rPr>
        <w:t>los</w:t>
      </w:r>
      <w:r>
        <w:rPr>
          <w:spacing w:val="-15"/>
          <w:sz w:val="22"/>
        </w:rPr>
        <w:t> </w:t>
      </w:r>
      <w:r>
        <w:rPr>
          <w:sz w:val="22"/>
        </w:rPr>
        <w:t>servicios</w:t>
      </w:r>
      <w:r>
        <w:rPr>
          <w:spacing w:val="-15"/>
          <w:sz w:val="22"/>
        </w:rPr>
        <w:t> </w:t>
      </w:r>
      <w:r>
        <w:rPr>
          <w:sz w:val="22"/>
        </w:rPr>
        <w:t>que</w:t>
      </w:r>
      <w:r>
        <w:rPr>
          <w:spacing w:val="-16"/>
          <w:sz w:val="22"/>
        </w:rPr>
        <w:t> </w:t>
      </w:r>
      <w:r>
        <w:rPr>
          <w:sz w:val="22"/>
        </w:rPr>
        <w:t>ofrecen</w:t>
      </w:r>
      <w:r>
        <w:rPr>
          <w:spacing w:val="-15"/>
          <w:sz w:val="22"/>
        </w:rPr>
        <w:t> </w:t>
      </w:r>
      <w:r>
        <w:rPr>
          <w:sz w:val="22"/>
        </w:rPr>
        <w:t>a</w:t>
      </w:r>
      <w:r>
        <w:rPr>
          <w:spacing w:val="-15"/>
          <w:sz w:val="22"/>
        </w:rPr>
        <w:t> </w:t>
      </w:r>
      <w:r>
        <w:rPr>
          <w:sz w:val="22"/>
        </w:rPr>
        <w:t>las</w:t>
      </w:r>
      <w:r>
        <w:rPr>
          <w:spacing w:val="-15"/>
          <w:sz w:val="22"/>
        </w:rPr>
        <w:t> </w:t>
      </w:r>
      <w:r>
        <w:rPr>
          <w:sz w:val="22"/>
        </w:rPr>
        <w:t>personas</w:t>
      </w:r>
      <w:r>
        <w:rPr>
          <w:spacing w:val="-16"/>
          <w:sz w:val="22"/>
        </w:rPr>
        <w:t> </w:t>
      </w:r>
      <w:r>
        <w:rPr>
          <w:sz w:val="22"/>
        </w:rPr>
        <w:t>usuarias</w:t>
      </w:r>
      <w:r>
        <w:rPr>
          <w:spacing w:val="-15"/>
          <w:sz w:val="22"/>
        </w:rPr>
        <w:t> </w:t>
      </w:r>
      <w:r>
        <w:rPr>
          <w:sz w:val="22"/>
        </w:rPr>
        <w:t>que</w:t>
      </w:r>
      <w:r>
        <w:rPr>
          <w:spacing w:val="-15"/>
          <w:sz w:val="22"/>
        </w:rPr>
        <w:t> </w:t>
      </w:r>
      <w:r>
        <w:rPr>
          <w:sz w:val="22"/>
        </w:rPr>
        <w:t>se</w:t>
      </w:r>
      <w:r>
        <w:rPr>
          <w:spacing w:val="-16"/>
          <w:sz w:val="22"/>
        </w:rPr>
        <w:t> </w:t>
      </w:r>
      <w:r>
        <w:rPr>
          <w:sz w:val="22"/>
        </w:rPr>
        <w:t>encuentren</w:t>
      </w:r>
      <w:r>
        <w:rPr>
          <w:spacing w:val="-15"/>
          <w:sz w:val="22"/>
        </w:rPr>
        <w:t> </w:t>
      </w:r>
      <w:r>
        <w:rPr>
          <w:sz w:val="22"/>
        </w:rPr>
        <w:t>en</w:t>
      </w:r>
      <w:r>
        <w:rPr>
          <w:spacing w:val="-15"/>
          <w:sz w:val="22"/>
        </w:rPr>
        <w:t> </w:t>
      </w:r>
      <w:r>
        <w:rPr>
          <w:sz w:val="22"/>
        </w:rPr>
        <w:t>situación de pobreza.</w:t>
      </w:r>
    </w:p>
    <w:p>
      <w:pPr>
        <w:pStyle w:val="BodyText"/>
        <w:spacing w:before="35"/>
      </w:pPr>
    </w:p>
    <w:p>
      <w:pPr>
        <w:pStyle w:val="ListParagraph"/>
        <w:numPr>
          <w:ilvl w:val="0"/>
          <w:numId w:val="19"/>
        </w:numPr>
        <w:tabs>
          <w:tab w:pos="2189" w:val="left" w:leader="none"/>
          <w:tab w:pos="2191" w:val="left" w:leader="none"/>
        </w:tabs>
        <w:spacing w:line="276" w:lineRule="auto" w:before="0" w:after="0"/>
        <w:ind w:left="2191" w:right="1620" w:hanging="284"/>
        <w:jc w:val="both"/>
        <w:rPr>
          <w:sz w:val="22"/>
        </w:rPr>
      </w:pPr>
      <w:r>
        <w:rPr>
          <w:b/>
          <w:sz w:val="22"/>
        </w:rPr>
        <w:t>Subsidio Gastos de implementación para compra de lote para vivienda de interés social y vivienda de interés social</w:t>
      </w:r>
      <w:r>
        <w:rPr>
          <w:sz w:val="22"/>
        </w:rPr>
        <w:t>: subsidio que brinda la oportunidad a hogares debidamente calificados por el IMAS, para el acceso a recursos económicos</w:t>
      </w:r>
      <w:r>
        <w:rPr>
          <w:spacing w:val="-16"/>
          <w:sz w:val="22"/>
        </w:rPr>
        <w:t> </w:t>
      </w:r>
      <w:r>
        <w:rPr>
          <w:sz w:val="22"/>
        </w:rPr>
        <w:t>no</w:t>
      </w:r>
      <w:r>
        <w:rPr>
          <w:spacing w:val="-14"/>
          <w:sz w:val="22"/>
        </w:rPr>
        <w:t> </w:t>
      </w:r>
      <w:r>
        <w:rPr>
          <w:sz w:val="22"/>
        </w:rPr>
        <w:t>reembolsables</w:t>
      </w:r>
      <w:r>
        <w:rPr>
          <w:spacing w:val="-12"/>
          <w:sz w:val="22"/>
        </w:rPr>
        <w:t> </w:t>
      </w:r>
      <w:r>
        <w:rPr>
          <w:sz w:val="22"/>
        </w:rPr>
        <w:t>para</w:t>
      </w:r>
      <w:r>
        <w:rPr>
          <w:spacing w:val="-15"/>
          <w:sz w:val="22"/>
        </w:rPr>
        <w:t> </w:t>
      </w:r>
      <w:r>
        <w:rPr>
          <w:sz w:val="22"/>
        </w:rPr>
        <w:t>cubrir</w:t>
      </w:r>
      <w:r>
        <w:rPr>
          <w:spacing w:val="-13"/>
          <w:sz w:val="22"/>
        </w:rPr>
        <w:t> </w:t>
      </w:r>
      <w:r>
        <w:rPr>
          <w:sz w:val="22"/>
        </w:rPr>
        <w:t>los</w:t>
      </w:r>
      <w:r>
        <w:rPr>
          <w:spacing w:val="-15"/>
          <w:sz w:val="22"/>
        </w:rPr>
        <w:t> </w:t>
      </w:r>
      <w:r>
        <w:rPr>
          <w:sz w:val="22"/>
        </w:rPr>
        <w:t>servicios</w:t>
      </w:r>
      <w:r>
        <w:rPr>
          <w:spacing w:val="-12"/>
          <w:sz w:val="22"/>
        </w:rPr>
        <w:t> </w:t>
      </w:r>
      <w:r>
        <w:rPr>
          <w:sz w:val="22"/>
        </w:rPr>
        <w:t>de</w:t>
      </w:r>
      <w:r>
        <w:rPr>
          <w:spacing w:val="-15"/>
          <w:sz w:val="22"/>
        </w:rPr>
        <w:t> </w:t>
      </w:r>
      <w:r>
        <w:rPr>
          <w:sz w:val="22"/>
        </w:rPr>
        <w:t>consultoría</w:t>
      </w:r>
      <w:r>
        <w:rPr>
          <w:spacing w:val="-15"/>
          <w:sz w:val="22"/>
        </w:rPr>
        <w:t> </w:t>
      </w:r>
      <w:r>
        <w:rPr>
          <w:sz w:val="22"/>
        </w:rPr>
        <w:t>y</w:t>
      </w:r>
      <w:r>
        <w:rPr>
          <w:spacing w:val="-14"/>
          <w:sz w:val="22"/>
        </w:rPr>
        <w:t> </w:t>
      </w:r>
      <w:r>
        <w:rPr>
          <w:sz w:val="22"/>
        </w:rPr>
        <w:t>los</w:t>
      </w:r>
      <w:r>
        <w:rPr>
          <w:spacing w:val="-16"/>
          <w:sz w:val="22"/>
        </w:rPr>
        <w:t> </w:t>
      </w:r>
      <w:r>
        <w:rPr>
          <w:sz w:val="22"/>
        </w:rPr>
        <w:t>estudios técnicos necesarios para</w:t>
      </w:r>
      <w:r>
        <w:rPr>
          <w:spacing w:val="-1"/>
          <w:sz w:val="22"/>
        </w:rPr>
        <w:t> </w:t>
      </w:r>
      <w:r>
        <w:rPr>
          <w:sz w:val="22"/>
        </w:rPr>
        <w:t>determinar la procedencia de la compra de un inmueble, específicamente</w:t>
      </w:r>
      <w:r>
        <w:rPr>
          <w:spacing w:val="-11"/>
          <w:sz w:val="22"/>
        </w:rPr>
        <w:t> </w:t>
      </w:r>
      <w:r>
        <w:rPr>
          <w:sz w:val="22"/>
        </w:rPr>
        <w:t>la</w:t>
      </w:r>
      <w:r>
        <w:rPr>
          <w:spacing w:val="-9"/>
          <w:sz w:val="22"/>
        </w:rPr>
        <w:t> </w:t>
      </w:r>
      <w:r>
        <w:rPr>
          <w:sz w:val="22"/>
        </w:rPr>
        <w:t>compra</w:t>
      </w:r>
      <w:r>
        <w:rPr>
          <w:spacing w:val="-9"/>
          <w:sz w:val="22"/>
        </w:rPr>
        <w:t> </w:t>
      </w:r>
      <w:r>
        <w:rPr>
          <w:sz w:val="22"/>
        </w:rPr>
        <w:t>de</w:t>
      </w:r>
      <w:r>
        <w:rPr>
          <w:spacing w:val="-9"/>
          <w:sz w:val="22"/>
        </w:rPr>
        <w:t> </w:t>
      </w:r>
      <w:r>
        <w:rPr>
          <w:sz w:val="22"/>
        </w:rPr>
        <w:t>lote</w:t>
      </w:r>
      <w:r>
        <w:rPr>
          <w:spacing w:val="-8"/>
          <w:sz w:val="22"/>
        </w:rPr>
        <w:t> </w:t>
      </w:r>
      <w:r>
        <w:rPr>
          <w:sz w:val="22"/>
        </w:rPr>
        <w:t>para</w:t>
      </w:r>
      <w:r>
        <w:rPr>
          <w:spacing w:val="-9"/>
          <w:sz w:val="22"/>
        </w:rPr>
        <w:t> </w:t>
      </w:r>
      <w:r>
        <w:rPr>
          <w:sz w:val="22"/>
        </w:rPr>
        <w:t>vivienda</w:t>
      </w:r>
      <w:r>
        <w:rPr>
          <w:spacing w:val="-9"/>
          <w:sz w:val="22"/>
        </w:rPr>
        <w:t> </w:t>
      </w:r>
      <w:r>
        <w:rPr>
          <w:sz w:val="22"/>
        </w:rPr>
        <w:t>de</w:t>
      </w:r>
      <w:r>
        <w:rPr>
          <w:spacing w:val="-9"/>
          <w:sz w:val="22"/>
        </w:rPr>
        <w:t> </w:t>
      </w:r>
      <w:r>
        <w:rPr>
          <w:sz w:val="22"/>
        </w:rPr>
        <w:t>interés</w:t>
      </w:r>
      <w:r>
        <w:rPr>
          <w:spacing w:val="-9"/>
          <w:sz w:val="22"/>
        </w:rPr>
        <w:t> </w:t>
      </w:r>
      <w:r>
        <w:rPr>
          <w:sz w:val="22"/>
        </w:rPr>
        <w:t>social</w:t>
      </w:r>
      <w:r>
        <w:rPr>
          <w:spacing w:val="-10"/>
          <w:sz w:val="22"/>
        </w:rPr>
        <w:t> </w:t>
      </w:r>
      <w:r>
        <w:rPr>
          <w:sz w:val="22"/>
        </w:rPr>
        <w:t>y</w:t>
      </w:r>
      <w:r>
        <w:rPr>
          <w:spacing w:val="-8"/>
          <w:sz w:val="22"/>
        </w:rPr>
        <w:t> </w:t>
      </w:r>
      <w:r>
        <w:rPr>
          <w:sz w:val="22"/>
        </w:rPr>
        <w:t>una</w:t>
      </w:r>
      <w:r>
        <w:rPr>
          <w:spacing w:val="-9"/>
          <w:sz w:val="22"/>
        </w:rPr>
        <w:t> </w:t>
      </w:r>
      <w:r>
        <w:rPr>
          <w:sz w:val="22"/>
        </w:rPr>
        <w:t>vivienda</w:t>
      </w:r>
      <w:r>
        <w:rPr>
          <w:spacing w:val="-9"/>
          <w:sz w:val="22"/>
        </w:rPr>
        <w:t> </w:t>
      </w:r>
      <w:r>
        <w:rPr>
          <w:sz w:val="22"/>
        </w:rPr>
        <w:t>de interés social.</w:t>
      </w:r>
    </w:p>
    <w:p>
      <w:pPr>
        <w:pStyle w:val="BodyText"/>
        <w:spacing w:line="276" w:lineRule="auto"/>
        <w:ind w:left="2191" w:right="1622"/>
        <w:jc w:val="both"/>
      </w:pPr>
      <w:r>
        <w:rPr/>
        <w:t>De conformidad con lo establecido por el Consejo Directivo del IMAS, mediante Acuerdo N°265-06-2019, se otorgará este subsidio bajo el principio de Responsabilidad</w:t>
      </w:r>
      <w:r>
        <w:rPr>
          <w:spacing w:val="75"/>
        </w:rPr>
        <w:t> </w:t>
      </w:r>
      <w:r>
        <w:rPr/>
        <w:t>Administrativa,</w:t>
      </w:r>
      <w:r>
        <w:rPr>
          <w:spacing w:val="74"/>
        </w:rPr>
        <w:t> </w:t>
      </w:r>
      <w:r>
        <w:rPr/>
        <w:t>a</w:t>
      </w:r>
      <w:r>
        <w:rPr>
          <w:spacing w:val="73"/>
        </w:rPr>
        <w:t> </w:t>
      </w:r>
      <w:r>
        <w:rPr/>
        <w:t>aquellos</w:t>
      </w:r>
      <w:r>
        <w:rPr>
          <w:spacing w:val="75"/>
        </w:rPr>
        <w:t> </w:t>
      </w:r>
      <w:r>
        <w:rPr/>
        <w:t>hogares</w:t>
      </w:r>
      <w:r>
        <w:rPr>
          <w:spacing w:val="73"/>
        </w:rPr>
        <w:t> </w:t>
      </w:r>
      <w:r>
        <w:rPr/>
        <w:t>que</w:t>
      </w:r>
      <w:r>
        <w:rPr>
          <w:spacing w:val="75"/>
        </w:rPr>
        <w:t> </w:t>
      </w:r>
      <w:r>
        <w:rPr/>
        <w:t>habiten</w:t>
      </w:r>
      <w:r>
        <w:rPr>
          <w:spacing w:val="72"/>
        </w:rPr>
        <w:t> </w:t>
      </w:r>
      <w:r>
        <w:rPr/>
        <w:t>en</w:t>
      </w:r>
      <w:r>
        <w:rPr>
          <w:spacing w:val="72"/>
        </w:rPr>
        <w:t> </w:t>
      </w:r>
      <w:r>
        <w:rPr/>
        <w:t>terrenos</w:t>
      </w:r>
    </w:p>
    <w:p>
      <w:pPr>
        <w:pStyle w:val="BodyText"/>
        <w:spacing w:after="0" w:line="276" w:lineRule="auto"/>
        <w:jc w:val="both"/>
        <w:sectPr>
          <w:pgSz w:w="12240" w:h="15840"/>
          <w:pgMar w:header="0" w:footer="1576" w:top="1000" w:bottom="1760" w:left="360" w:right="0"/>
        </w:sectPr>
      </w:pPr>
    </w:p>
    <w:p>
      <w:pPr>
        <w:pStyle w:val="BodyText"/>
        <w:spacing w:line="276" w:lineRule="auto" w:before="77"/>
        <w:ind w:left="2191" w:right="1444"/>
      </w:pPr>
      <w:r>
        <w:rPr/>
        <w:t>propiedad</w:t>
      </w:r>
      <w:r>
        <w:rPr>
          <w:spacing w:val="-6"/>
        </w:rPr>
        <w:t> </w:t>
      </w:r>
      <w:r>
        <w:rPr/>
        <w:t>del</w:t>
      </w:r>
      <w:r>
        <w:rPr>
          <w:spacing w:val="-9"/>
        </w:rPr>
        <w:t> </w:t>
      </w:r>
      <w:r>
        <w:rPr/>
        <w:t>IMAS,</w:t>
      </w:r>
      <w:r>
        <w:rPr>
          <w:spacing w:val="-7"/>
        </w:rPr>
        <w:t> </w:t>
      </w:r>
      <w:r>
        <w:rPr/>
        <w:t>exclusivamente</w:t>
      </w:r>
      <w:r>
        <w:rPr>
          <w:spacing w:val="-8"/>
        </w:rPr>
        <w:t> </w:t>
      </w:r>
      <w:r>
        <w:rPr/>
        <w:t>cuando</w:t>
      </w:r>
      <w:r>
        <w:rPr>
          <w:spacing w:val="-8"/>
        </w:rPr>
        <w:t> </w:t>
      </w:r>
      <w:r>
        <w:rPr/>
        <w:t>se</w:t>
      </w:r>
      <w:r>
        <w:rPr>
          <w:spacing w:val="-8"/>
        </w:rPr>
        <w:t> </w:t>
      </w:r>
      <w:r>
        <w:rPr/>
        <w:t>presente</w:t>
      </w:r>
      <w:r>
        <w:rPr>
          <w:spacing w:val="-8"/>
        </w:rPr>
        <w:t> </w:t>
      </w:r>
      <w:r>
        <w:rPr/>
        <w:t>algunas</w:t>
      </w:r>
      <w:r>
        <w:rPr>
          <w:spacing w:val="-6"/>
        </w:rPr>
        <w:t> </w:t>
      </w:r>
      <w:r>
        <w:rPr/>
        <w:t>de</w:t>
      </w:r>
      <w:r>
        <w:rPr>
          <w:spacing w:val="-9"/>
        </w:rPr>
        <w:t> </w:t>
      </w:r>
      <w:r>
        <w:rPr/>
        <w:t>las</w:t>
      </w:r>
      <w:r>
        <w:rPr>
          <w:spacing w:val="-8"/>
        </w:rPr>
        <w:t> </w:t>
      </w:r>
      <w:r>
        <w:rPr/>
        <w:t>siguientes </w:t>
      </w:r>
      <w:r>
        <w:rPr>
          <w:spacing w:val="-2"/>
        </w:rPr>
        <w:t>condiciones:</w:t>
      </w:r>
    </w:p>
    <w:p>
      <w:pPr>
        <w:pStyle w:val="ListParagraph"/>
        <w:numPr>
          <w:ilvl w:val="0"/>
          <w:numId w:val="21"/>
        </w:numPr>
        <w:tabs>
          <w:tab w:pos="2476" w:val="left" w:leader="none"/>
        </w:tabs>
        <w:spacing w:line="252" w:lineRule="exact" w:before="0" w:after="0"/>
        <w:ind w:left="2476" w:right="0" w:hanging="285"/>
        <w:jc w:val="left"/>
        <w:rPr>
          <w:sz w:val="22"/>
        </w:rPr>
      </w:pPr>
      <w:r>
        <w:rPr>
          <w:sz w:val="22"/>
        </w:rPr>
        <w:t>Se</w:t>
      </w:r>
      <w:r>
        <w:rPr>
          <w:spacing w:val="-6"/>
          <w:sz w:val="22"/>
        </w:rPr>
        <w:t> </w:t>
      </w:r>
      <w:r>
        <w:rPr>
          <w:sz w:val="22"/>
        </w:rPr>
        <w:t>encuentren</w:t>
      </w:r>
      <w:r>
        <w:rPr>
          <w:spacing w:val="-5"/>
          <w:sz w:val="22"/>
        </w:rPr>
        <w:t> </w:t>
      </w:r>
      <w:r>
        <w:rPr>
          <w:sz w:val="22"/>
        </w:rPr>
        <w:t>ocupando</w:t>
      </w:r>
      <w:r>
        <w:rPr>
          <w:spacing w:val="-5"/>
          <w:sz w:val="22"/>
        </w:rPr>
        <w:t> </w:t>
      </w:r>
      <w:r>
        <w:rPr>
          <w:sz w:val="22"/>
        </w:rPr>
        <w:t>terrenos</w:t>
      </w:r>
      <w:r>
        <w:rPr>
          <w:spacing w:val="-7"/>
          <w:sz w:val="22"/>
        </w:rPr>
        <w:t> </w:t>
      </w:r>
      <w:r>
        <w:rPr>
          <w:sz w:val="22"/>
        </w:rPr>
        <w:t>con</w:t>
      </w:r>
      <w:r>
        <w:rPr>
          <w:spacing w:val="-6"/>
          <w:sz w:val="22"/>
        </w:rPr>
        <w:t> </w:t>
      </w:r>
      <w:r>
        <w:rPr>
          <w:sz w:val="22"/>
        </w:rPr>
        <w:t>destino</w:t>
      </w:r>
      <w:r>
        <w:rPr>
          <w:spacing w:val="-5"/>
          <w:sz w:val="22"/>
        </w:rPr>
        <w:t> </w:t>
      </w:r>
      <w:r>
        <w:rPr>
          <w:spacing w:val="-2"/>
          <w:sz w:val="22"/>
        </w:rPr>
        <w:t>público.</w:t>
      </w:r>
    </w:p>
    <w:p>
      <w:pPr>
        <w:pStyle w:val="ListParagraph"/>
        <w:numPr>
          <w:ilvl w:val="0"/>
          <w:numId w:val="21"/>
        </w:numPr>
        <w:tabs>
          <w:tab w:pos="2477" w:val="left" w:leader="none"/>
        </w:tabs>
        <w:spacing w:line="278" w:lineRule="auto" w:before="38" w:after="0"/>
        <w:ind w:left="2477" w:right="1622" w:hanging="286"/>
        <w:jc w:val="left"/>
        <w:rPr>
          <w:sz w:val="22"/>
        </w:rPr>
      </w:pPr>
      <w:r>
        <w:rPr>
          <w:sz w:val="22"/>
        </w:rPr>
        <w:t>Se encuentren ocupando terrenos con situación o declaratoria de emergencia por inseguridad</w:t>
      </w:r>
      <w:r>
        <w:rPr>
          <w:spacing w:val="-2"/>
          <w:sz w:val="22"/>
        </w:rPr>
        <w:t> </w:t>
      </w:r>
      <w:r>
        <w:rPr>
          <w:sz w:val="22"/>
        </w:rPr>
        <w:t>habitacional</w:t>
      </w:r>
      <w:r>
        <w:rPr>
          <w:spacing w:val="-1"/>
          <w:sz w:val="22"/>
        </w:rPr>
        <w:t> </w:t>
      </w:r>
      <w:r>
        <w:rPr>
          <w:sz w:val="22"/>
        </w:rPr>
        <w:t>emitida por la Comisión Nacional</w:t>
      </w:r>
      <w:r>
        <w:rPr>
          <w:spacing w:val="-1"/>
          <w:sz w:val="22"/>
        </w:rPr>
        <w:t> </w:t>
      </w:r>
      <w:r>
        <w:rPr>
          <w:sz w:val="22"/>
        </w:rPr>
        <w:t>de Emergencias.</w:t>
      </w:r>
    </w:p>
    <w:p>
      <w:pPr>
        <w:pStyle w:val="ListParagraph"/>
        <w:numPr>
          <w:ilvl w:val="0"/>
          <w:numId w:val="21"/>
        </w:numPr>
        <w:tabs>
          <w:tab w:pos="2477" w:val="left" w:leader="none"/>
        </w:tabs>
        <w:spacing w:line="276" w:lineRule="auto" w:before="0" w:after="0"/>
        <w:ind w:left="2477" w:right="1623" w:hanging="286"/>
        <w:jc w:val="left"/>
        <w:rPr>
          <w:sz w:val="22"/>
        </w:rPr>
      </w:pPr>
      <w:r>
        <w:rPr>
          <w:sz w:val="22"/>
        </w:rPr>
        <w:t>Se</w:t>
      </w:r>
      <w:r>
        <w:rPr>
          <w:spacing w:val="-10"/>
          <w:sz w:val="22"/>
        </w:rPr>
        <w:t> </w:t>
      </w:r>
      <w:r>
        <w:rPr>
          <w:sz w:val="22"/>
        </w:rPr>
        <w:t>encuentren</w:t>
      </w:r>
      <w:r>
        <w:rPr>
          <w:spacing w:val="-13"/>
          <w:sz w:val="22"/>
        </w:rPr>
        <w:t> </w:t>
      </w:r>
      <w:r>
        <w:rPr>
          <w:sz w:val="22"/>
        </w:rPr>
        <w:t>ocupando</w:t>
      </w:r>
      <w:r>
        <w:rPr>
          <w:spacing w:val="-12"/>
          <w:sz w:val="22"/>
        </w:rPr>
        <w:t> </w:t>
      </w:r>
      <w:r>
        <w:rPr>
          <w:sz w:val="22"/>
        </w:rPr>
        <w:t>terrenos</w:t>
      </w:r>
      <w:r>
        <w:rPr>
          <w:spacing w:val="-12"/>
          <w:sz w:val="22"/>
        </w:rPr>
        <w:t> </w:t>
      </w:r>
      <w:r>
        <w:rPr>
          <w:sz w:val="22"/>
        </w:rPr>
        <w:t>con</w:t>
      </w:r>
      <w:r>
        <w:rPr>
          <w:spacing w:val="-10"/>
          <w:sz w:val="22"/>
        </w:rPr>
        <w:t> </w:t>
      </w:r>
      <w:r>
        <w:rPr>
          <w:sz w:val="22"/>
        </w:rPr>
        <w:t>situación</w:t>
      </w:r>
      <w:r>
        <w:rPr>
          <w:spacing w:val="-10"/>
          <w:sz w:val="22"/>
        </w:rPr>
        <w:t> </w:t>
      </w:r>
      <w:r>
        <w:rPr>
          <w:sz w:val="22"/>
        </w:rPr>
        <w:t>o</w:t>
      </w:r>
      <w:r>
        <w:rPr>
          <w:spacing w:val="-15"/>
          <w:sz w:val="22"/>
        </w:rPr>
        <w:t> </w:t>
      </w:r>
      <w:r>
        <w:rPr>
          <w:sz w:val="22"/>
        </w:rPr>
        <w:t>declaratoria</w:t>
      </w:r>
      <w:r>
        <w:rPr>
          <w:spacing w:val="-10"/>
          <w:sz w:val="22"/>
        </w:rPr>
        <w:t> </w:t>
      </w:r>
      <w:r>
        <w:rPr>
          <w:sz w:val="22"/>
        </w:rPr>
        <w:t>de</w:t>
      </w:r>
      <w:r>
        <w:rPr>
          <w:spacing w:val="-13"/>
          <w:sz w:val="22"/>
        </w:rPr>
        <w:t> </w:t>
      </w:r>
      <w:r>
        <w:rPr>
          <w:sz w:val="22"/>
        </w:rPr>
        <w:t>inhabitabilidad según Orden Sanitaria emitida por el Ministerio de Salud.</w:t>
      </w:r>
    </w:p>
    <w:p>
      <w:pPr>
        <w:pStyle w:val="ListParagraph"/>
        <w:numPr>
          <w:ilvl w:val="0"/>
          <w:numId w:val="21"/>
        </w:numPr>
        <w:tabs>
          <w:tab w:pos="2477" w:val="left" w:leader="none"/>
        </w:tabs>
        <w:spacing w:line="276" w:lineRule="auto" w:before="0" w:after="0"/>
        <w:ind w:left="2477" w:right="1620" w:hanging="286"/>
        <w:jc w:val="left"/>
        <w:rPr>
          <w:sz w:val="22"/>
        </w:rPr>
      </w:pPr>
      <w:r>
        <w:rPr>
          <w:sz w:val="22"/>
        </w:rPr>
        <w:t>Cuando</w:t>
      </w:r>
      <w:r>
        <w:rPr>
          <w:spacing w:val="-16"/>
          <w:sz w:val="22"/>
        </w:rPr>
        <w:t> </w:t>
      </w:r>
      <w:r>
        <w:rPr>
          <w:sz w:val="22"/>
        </w:rPr>
        <w:t>se</w:t>
      </w:r>
      <w:r>
        <w:rPr>
          <w:spacing w:val="-15"/>
          <w:sz w:val="22"/>
        </w:rPr>
        <w:t> </w:t>
      </w:r>
      <w:r>
        <w:rPr>
          <w:sz w:val="22"/>
        </w:rPr>
        <w:t>deban</w:t>
      </w:r>
      <w:r>
        <w:rPr>
          <w:spacing w:val="-15"/>
          <w:sz w:val="22"/>
        </w:rPr>
        <w:t> </w:t>
      </w:r>
      <w:r>
        <w:rPr>
          <w:sz w:val="22"/>
        </w:rPr>
        <w:t>resolver</w:t>
      </w:r>
      <w:r>
        <w:rPr>
          <w:spacing w:val="-16"/>
          <w:sz w:val="22"/>
        </w:rPr>
        <w:t> </w:t>
      </w:r>
      <w:r>
        <w:rPr>
          <w:sz w:val="22"/>
        </w:rPr>
        <w:t>problemas</w:t>
      </w:r>
      <w:r>
        <w:rPr>
          <w:spacing w:val="-15"/>
          <w:sz w:val="22"/>
        </w:rPr>
        <w:t> </w:t>
      </w:r>
      <w:r>
        <w:rPr>
          <w:sz w:val="22"/>
        </w:rPr>
        <w:t>o</w:t>
      </w:r>
      <w:r>
        <w:rPr>
          <w:spacing w:val="-15"/>
          <w:sz w:val="22"/>
        </w:rPr>
        <w:t> </w:t>
      </w:r>
      <w:r>
        <w:rPr>
          <w:sz w:val="22"/>
        </w:rPr>
        <w:t>situaciones</w:t>
      </w:r>
      <w:r>
        <w:rPr>
          <w:spacing w:val="-15"/>
          <w:sz w:val="22"/>
        </w:rPr>
        <w:t> </w:t>
      </w:r>
      <w:r>
        <w:rPr>
          <w:sz w:val="22"/>
        </w:rPr>
        <w:t>de</w:t>
      </w:r>
      <w:r>
        <w:rPr>
          <w:spacing w:val="-16"/>
          <w:sz w:val="22"/>
        </w:rPr>
        <w:t> </w:t>
      </w:r>
      <w:r>
        <w:rPr>
          <w:sz w:val="22"/>
        </w:rPr>
        <w:t>habitabilidad</w:t>
      </w:r>
      <w:r>
        <w:rPr>
          <w:spacing w:val="-15"/>
          <w:sz w:val="22"/>
        </w:rPr>
        <w:t> </w:t>
      </w:r>
      <w:r>
        <w:rPr>
          <w:sz w:val="22"/>
        </w:rPr>
        <w:t>por</w:t>
      </w:r>
      <w:r>
        <w:rPr>
          <w:spacing w:val="-15"/>
          <w:sz w:val="22"/>
        </w:rPr>
        <w:t> </w:t>
      </w:r>
      <w:r>
        <w:rPr>
          <w:sz w:val="22"/>
        </w:rPr>
        <w:t>mandato de un Órgano Jurisdiccional.</w:t>
      </w:r>
    </w:p>
    <w:p>
      <w:pPr>
        <w:pStyle w:val="ListParagraph"/>
        <w:numPr>
          <w:ilvl w:val="0"/>
          <w:numId w:val="21"/>
        </w:numPr>
        <w:tabs>
          <w:tab w:pos="2477" w:val="left" w:leader="none"/>
        </w:tabs>
        <w:spacing w:line="276" w:lineRule="auto" w:before="0" w:after="0"/>
        <w:ind w:left="2477" w:right="1622" w:hanging="286"/>
        <w:jc w:val="left"/>
        <w:rPr>
          <w:sz w:val="22"/>
        </w:rPr>
      </w:pPr>
      <w:r>
        <w:rPr>
          <w:sz w:val="22"/>
        </w:rPr>
        <w:t>En</w:t>
      </w:r>
      <w:r>
        <w:rPr>
          <w:spacing w:val="31"/>
          <w:sz w:val="22"/>
        </w:rPr>
        <w:t> </w:t>
      </w:r>
      <w:r>
        <w:rPr>
          <w:sz w:val="22"/>
        </w:rPr>
        <w:t>casos</w:t>
      </w:r>
      <w:r>
        <w:rPr>
          <w:spacing w:val="29"/>
          <w:sz w:val="22"/>
        </w:rPr>
        <w:t> </w:t>
      </w:r>
      <w:r>
        <w:rPr>
          <w:sz w:val="22"/>
        </w:rPr>
        <w:t>asociados</w:t>
      </w:r>
      <w:r>
        <w:rPr>
          <w:spacing w:val="28"/>
          <w:sz w:val="22"/>
        </w:rPr>
        <w:t> </w:t>
      </w:r>
      <w:r>
        <w:rPr>
          <w:sz w:val="22"/>
        </w:rPr>
        <w:t>y</w:t>
      </w:r>
      <w:r>
        <w:rPr>
          <w:spacing w:val="29"/>
          <w:sz w:val="22"/>
        </w:rPr>
        <w:t> </w:t>
      </w:r>
      <w:r>
        <w:rPr>
          <w:sz w:val="22"/>
        </w:rPr>
        <w:t>referidos</w:t>
      </w:r>
      <w:r>
        <w:rPr>
          <w:spacing w:val="31"/>
          <w:sz w:val="22"/>
        </w:rPr>
        <w:t> </w:t>
      </w:r>
      <w:r>
        <w:rPr>
          <w:sz w:val="22"/>
        </w:rPr>
        <w:t>a</w:t>
      </w:r>
      <w:r>
        <w:rPr>
          <w:spacing w:val="28"/>
          <w:sz w:val="22"/>
        </w:rPr>
        <w:t> </w:t>
      </w:r>
      <w:r>
        <w:rPr>
          <w:sz w:val="22"/>
        </w:rPr>
        <w:t>procesos</w:t>
      </w:r>
      <w:r>
        <w:rPr>
          <w:spacing w:val="28"/>
          <w:sz w:val="22"/>
        </w:rPr>
        <w:t> </w:t>
      </w:r>
      <w:r>
        <w:rPr>
          <w:sz w:val="22"/>
        </w:rPr>
        <w:t>de</w:t>
      </w:r>
      <w:r>
        <w:rPr>
          <w:spacing w:val="28"/>
          <w:sz w:val="22"/>
        </w:rPr>
        <w:t> </w:t>
      </w:r>
      <w:r>
        <w:rPr>
          <w:sz w:val="22"/>
        </w:rPr>
        <w:t>titulación</w:t>
      </w:r>
      <w:r>
        <w:rPr>
          <w:spacing w:val="30"/>
          <w:sz w:val="22"/>
        </w:rPr>
        <w:t> </w:t>
      </w:r>
      <w:r>
        <w:rPr>
          <w:sz w:val="22"/>
        </w:rPr>
        <w:t>y</w:t>
      </w:r>
      <w:r>
        <w:rPr>
          <w:spacing w:val="29"/>
          <w:sz w:val="22"/>
        </w:rPr>
        <w:t> </w:t>
      </w:r>
      <w:r>
        <w:rPr>
          <w:sz w:val="22"/>
        </w:rPr>
        <w:t>adjudicaciones</w:t>
      </w:r>
      <w:r>
        <w:rPr>
          <w:spacing w:val="31"/>
          <w:sz w:val="22"/>
        </w:rPr>
        <w:t> </w:t>
      </w:r>
      <w:r>
        <w:rPr>
          <w:sz w:val="22"/>
        </w:rPr>
        <w:t>de terrenos propiedad del IMAS.</w:t>
      </w:r>
    </w:p>
    <w:p>
      <w:pPr>
        <w:pStyle w:val="BodyText"/>
        <w:spacing w:before="32"/>
      </w:pPr>
    </w:p>
    <w:p>
      <w:pPr>
        <w:pStyle w:val="ListParagraph"/>
        <w:numPr>
          <w:ilvl w:val="0"/>
          <w:numId w:val="19"/>
        </w:numPr>
        <w:tabs>
          <w:tab w:pos="2189" w:val="left" w:leader="none"/>
          <w:tab w:pos="2191" w:val="left" w:leader="none"/>
        </w:tabs>
        <w:spacing w:line="276" w:lineRule="auto" w:before="0" w:after="0"/>
        <w:ind w:left="2191" w:right="1617" w:hanging="284"/>
        <w:jc w:val="both"/>
        <w:rPr>
          <w:sz w:val="22"/>
        </w:rPr>
      </w:pPr>
      <w:r>
        <w:rPr>
          <w:b/>
          <w:sz w:val="22"/>
        </w:rPr>
        <w:t>Subsidio Gastos de implementación para titulación</w:t>
      </w:r>
      <w:r>
        <w:rPr>
          <w:sz w:val="22"/>
        </w:rPr>
        <w:t>: subsidio que brinda recursos no reembolsables para cubrir servicios profesionales relacionados con confección de planos catastrados y formalización de escrituras de propiedades de características urbanas destinadas a vivienda, a efectos de que los hogares sean propietarios</w:t>
      </w:r>
      <w:r>
        <w:rPr>
          <w:spacing w:val="-8"/>
          <w:sz w:val="22"/>
        </w:rPr>
        <w:t> </w:t>
      </w:r>
      <w:r>
        <w:rPr>
          <w:sz w:val="22"/>
        </w:rPr>
        <w:t>de</w:t>
      </w:r>
      <w:r>
        <w:rPr>
          <w:spacing w:val="-6"/>
          <w:sz w:val="22"/>
        </w:rPr>
        <w:t> </w:t>
      </w:r>
      <w:r>
        <w:rPr>
          <w:sz w:val="22"/>
        </w:rPr>
        <w:t>bienes</w:t>
      </w:r>
      <w:r>
        <w:rPr>
          <w:spacing w:val="-8"/>
          <w:sz w:val="22"/>
        </w:rPr>
        <w:t> </w:t>
      </w:r>
      <w:r>
        <w:rPr>
          <w:sz w:val="22"/>
        </w:rPr>
        <w:t>inmuebles</w:t>
      </w:r>
      <w:r>
        <w:rPr>
          <w:spacing w:val="-6"/>
          <w:sz w:val="22"/>
        </w:rPr>
        <w:t> </w:t>
      </w:r>
      <w:r>
        <w:rPr>
          <w:sz w:val="22"/>
        </w:rPr>
        <w:t>adquiridos</w:t>
      </w:r>
      <w:r>
        <w:rPr>
          <w:spacing w:val="-8"/>
          <w:sz w:val="22"/>
        </w:rPr>
        <w:t> </w:t>
      </w:r>
      <w:r>
        <w:rPr>
          <w:sz w:val="22"/>
        </w:rPr>
        <w:t>mediante</w:t>
      </w:r>
      <w:r>
        <w:rPr>
          <w:spacing w:val="-6"/>
          <w:sz w:val="22"/>
        </w:rPr>
        <w:t> </w:t>
      </w:r>
      <w:r>
        <w:rPr>
          <w:sz w:val="22"/>
        </w:rPr>
        <w:t>donación,</w:t>
      </w:r>
      <w:r>
        <w:rPr>
          <w:spacing w:val="-5"/>
          <w:sz w:val="22"/>
        </w:rPr>
        <w:t> </w:t>
      </w:r>
      <w:r>
        <w:rPr>
          <w:sz w:val="22"/>
        </w:rPr>
        <w:t>herencia,</w:t>
      </w:r>
      <w:r>
        <w:rPr>
          <w:spacing w:val="-7"/>
          <w:sz w:val="22"/>
        </w:rPr>
        <w:t> </w:t>
      </w:r>
      <w:r>
        <w:rPr>
          <w:sz w:val="22"/>
        </w:rPr>
        <w:t>legados particulares u otros, que sean propiedad de personas físicas o terrenos propiedad del IMAS.</w:t>
      </w:r>
    </w:p>
    <w:p>
      <w:pPr>
        <w:pStyle w:val="BodyText"/>
        <w:spacing w:before="35"/>
      </w:pPr>
    </w:p>
    <w:p>
      <w:pPr>
        <w:pStyle w:val="ListParagraph"/>
        <w:numPr>
          <w:ilvl w:val="0"/>
          <w:numId w:val="19"/>
        </w:numPr>
        <w:tabs>
          <w:tab w:pos="2189" w:val="left" w:leader="none"/>
          <w:tab w:pos="2191" w:val="left" w:leader="none"/>
        </w:tabs>
        <w:spacing w:line="276" w:lineRule="auto" w:before="0" w:after="0"/>
        <w:ind w:left="2191" w:right="1620" w:hanging="284"/>
        <w:jc w:val="both"/>
        <w:rPr>
          <w:sz w:val="22"/>
        </w:rPr>
      </w:pPr>
      <w:r>
        <w:rPr>
          <w:b/>
          <w:sz w:val="22"/>
        </w:rPr>
        <w:t>Subsidio Infraestructura comunal para las Organizaciones de Bienestar Social:</w:t>
      </w:r>
      <w:r>
        <w:rPr>
          <w:b/>
          <w:spacing w:val="-10"/>
          <w:sz w:val="22"/>
        </w:rPr>
        <w:t> </w:t>
      </w:r>
      <w:r>
        <w:rPr>
          <w:sz w:val="22"/>
        </w:rPr>
        <w:t>brinda</w:t>
      </w:r>
      <w:r>
        <w:rPr>
          <w:spacing w:val="-10"/>
          <w:sz w:val="22"/>
        </w:rPr>
        <w:t> </w:t>
      </w:r>
      <w:r>
        <w:rPr>
          <w:sz w:val="22"/>
        </w:rPr>
        <w:t>a</w:t>
      </w:r>
      <w:r>
        <w:rPr>
          <w:spacing w:val="-10"/>
          <w:sz w:val="22"/>
        </w:rPr>
        <w:t> </w:t>
      </w:r>
      <w:r>
        <w:rPr>
          <w:sz w:val="22"/>
        </w:rPr>
        <w:t>las</w:t>
      </w:r>
      <w:r>
        <w:rPr>
          <w:spacing w:val="-12"/>
          <w:sz w:val="22"/>
        </w:rPr>
        <w:t> </w:t>
      </w:r>
      <w:r>
        <w:rPr>
          <w:sz w:val="22"/>
        </w:rPr>
        <w:t>Organizaciones</w:t>
      </w:r>
      <w:r>
        <w:rPr>
          <w:spacing w:val="-10"/>
          <w:sz w:val="22"/>
        </w:rPr>
        <w:t> </w:t>
      </w:r>
      <w:r>
        <w:rPr>
          <w:sz w:val="22"/>
        </w:rPr>
        <w:t>de</w:t>
      </w:r>
      <w:r>
        <w:rPr>
          <w:spacing w:val="-10"/>
          <w:sz w:val="22"/>
        </w:rPr>
        <w:t> </w:t>
      </w:r>
      <w:r>
        <w:rPr>
          <w:sz w:val="22"/>
        </w:rPr>
        <w:t>Bienestar</w:t>
      </w:r>
      <w:r>
        <w:rPr>
          <w:spacing w:val="-11"/>
          <w:sz w:val="22"/>
        </w:rPr>
        <w:t> </w:t>
      </w:r>
      <w:r>
        <w:rPr>
          <w:sz w:val="22"/>
        </w:rPr>
        <w:t>Social,</w:t>
      </w:r>
      <w:r>
        <w:rPr>
          <w:spacing w:val="-8"/>
          <w:sz w:val="22"/>
        </w:rPr>
        <w:t> </w:t>
      </w:r>
      <w:r>
        <w:rPr>
          <w:sz w:val="22"/>
        </w:rPr>
        <w:t>transferencias</w:t>
      </w:r>
      <w:r>
        <w:rPr>
          <w:spacing w:val="-12"/>
          <w:sz w:val="22"/>
        </w:rPr>
        <w:t> </w:t>
      </w:r>
      <w:r>
        <w:rPr>
          <w:sz w:val="22"/>
        </w:rPr>
        <w:t>monetarias no reembolsables destinadas a mejorar y ampliar infraestructuras existentes, o construir una nueva infraestructura para la prestación de servicios a personas en situación de pobreza.</w:t>
      </w:r>
    </w:p>
    <w:p>
      <w:pPr>
        <w:pStyle w:val="BodyText"/>
        <w:spacing w:before="35"/>
      </w:pPr>
    </w:p>
    <w:p>
      <w:pPr>
        <w:pStyle w:val="ListParagraph"/>
        <w:numPr>
          <w:ilvl w:val="0"/>
          <w:numId w:val="19"/>
        </w:numPr>
        <w:tabs>
          <w:tab w:pos="2189" w:val="left" w:leader="none"/>
          <w:tab w:pos="2191" w:val="left" w:leader="none"/>
        </w:tabs>
        <w:spacing w:line="276" w:lineRule="auto" w:before="0" w:after="0"/>
        <w:ind w:left="2191" w:right="1604" w:hanging="284"/>
        <w:jc w:val="both"/>
        <w:rPr>
          <w:sz w:val="22"/>
        </w:rPr>
      </w:pPr>
      <w:r>
        <w:rPr>
          <w:b/>
          <w:sz w:val="22"/>
        </w:rPr>
        <w:t>Subsidio Gastos de implementación para mejoramiento de vivienda, Mejoramiento de vivienda y Mejoramiento de vivienda para la atención de emergencias: </w:t>
      </w:r>
      <w:r>
        <w:rPr>
          <w:sz w:val="22"/>
        </w:rPr>
        <w:t>consiste en el otorgamiento de recursos económicos no reembolsables</w:t>
      </w:r>
      <w:r>
        <w:rPr>
          <w:spacing w:val="-1"/>
          <w:sz w:val="22"/>
        </w:rPr>
        <w:t> </w:t>
      </w:r>
      <w:r>
        <w:rPr>
          <w:sz w:val="22"/>
        </w:rPr>
        <w:t>a</w:t>
      </w:r>
      <w:r>
        <w:rPr>
          <w:spacing w:val="-4"/>
          <w:sz w:val="22"/>
        </w:rPr>
        <w:t> </w:t>
      </w:r>
      <w:r>
        <w:rPr>
          <w:sz w:val="22"/>
        </w:rPr>
        <w:t>hogares</w:t>
      </w:r>
      <w:r>
        <w:rPr>
          <w:spacing w:val="-1"/>
          <w:sz w:val="22"/>
        </w:rPr>
        <w:t> </w:t>
      </w:r>
      <w:r>
        <w:rPr>
          <w:sz w:val="22"/>
        </w:rPr>
        <w:t>que</w:t>
      </w:r>
      <w:r>
        <w:rPr>
          <w:spacing w:val="-4"/>
          <w:sz w:val="22"/>
        </w:rPr>
        <w:t> </w:t>
      </w:r>
      <w:r>
        <w:rPr>
          <w:sz w:val="22"/>
        </w:rPr>
        <w:t>califiquen</w:t>
      </w:r>
      <w:r>
        <w:rPr>
          <w:spacing w:val="-2"/>
          <w:sz w:val="22"/>
        </w:rPr>
        <w:t> </w:t>
      </w:r>
      <w:r>
        <w:rPr>
          <w:sz w:val="22"/>
        </w:rPr>
        <w:t>dentro</w:t>
      </w:r>
      <w:r>
        <w:rPr>
          <w:spacing w:val="-4"/>
          <w:sz w:val="22"/>
        </w:rPr>
        <w:t> </w:t>
      </w:r>
      <w:r>
        <w:rPr>
          <w:sz w:val="22"/>
        </w:rPr>
        <w:t>de</w:t>
      </w:r>
      <w:r>
        <w:rPr>
          <w:spacing w:val="-1"/>
          <w:sz w:val="22"/>
        </w:rPr>
        <w:t> </w:t>
      </w:r>
      <w:r>
        <w:rPr>
          <w:sz w:val="22"/>
        </w:rPr>
        <w:t>los</w:t>
      </w:r>
      <w:r>
        <w:rPr>
          <w:spacing w:val="-1"/>
          <w:sz w:val="22"/>
        </w:rPr>
        <w:t> </w:t>
      </w:r>
      <w:r>
        <w:rPr>
          <w:sz w:val="22"/>
        </w:rPr>
        <w:t>parámetros</w:t>
      </w:r>
      <w:r>
        <w:rPr>
          <w:spacing w:val="-1"/>
          <w:sz w:val="22"/>
        </w:rPr>
        <w:t> </w:t>
      </w:r>
      <w:r>
        <w:rPr>
          <w:sz w:val="22"/>
        </w:rPr>
        <w:t>establecidos</w:t>
      </w:r>
      <w:r>
        <w:rPr>
          <w:spacing w:val="-1"/>
          <w:sz w:val="22"/>
        </w:rPr>
        <w:t> </w:t>
      </w:r>
      <w:r>
        <w:rPr>
          <w:sz w:val="22"/>
        </w:rPr>
        <w:t>por el IMAS, para cubrir los costos de servicios profesionales de consultoría en ingeniería y arquitectura, pago de pólizas de riesgos del trabajo, permisos de construcción y visados, requeridos para el desarrollo de trabajos y obras de casos de Mejoramiento de Vivienda y Mejoramiento de Vivienda para Atención de </w:t>
      </w:r>
      <w:r>
        <w:rPr>
          <w:spacing w:val="-2"/>
          <w:sz w:val="22"/>
        </w:rPr>
        <w:t>Emergencias.</w:t>
      </w:r>
    </w:p>
    <w:p>
      <w:pPr>
        <w:pStyle w:val="BodyText"/>
        <w:spacing w:line="276" w:lineRule="auto"/>
        <w:ind w:left="2191" w:right="1604"/>
        <w:jc w:val="both"/>
      </w:pPr>
      <w:r>
        <w:rPr/>
        <w:t>El subsidio de Mejoramiento de Vivienda y Mejoramiento de Vivienda para la Atención</w:t>
      </w:r>
      <w:r>
        <w:rPr>
          <w:spacing w:val="-3"/>
        </w:rPr>
        <w:t> </w:t>
      </w:r>
      <w:r>
        <w:rPr/>
        <w:t>de</w:t>
      </w:r>
      <w:r>
        <w:rPr>
          <w:spacing w:val="-3"/>
        </w:rPr>
        <w:t> </w:t>
      </w:r>
      <w:r>
        <w:rPr/>
        <w:t>Emergencias,</w:t>
      </w:r>
      <w:r>
        <w:rPr>
          <w:spacing w:val="-2"/>
        </w:rPr>
        <w:t> </w:t>
      </w:r>
      <w:r>
        <w:rPr/>
        <w:t>consiste</w:t>
      </w:r>
      <w:r>
        <w:rPr>
          <w:spacing w:val="-3"/>
        </w:rPr>
        <w:t> </w:t>
      </w:r>
      <w:r>
        <w:rPr/>
        <w:t>en</w:t>
      </w:r>
      <w:r>
        <w:rPr>
          <w:spacing w:val="-3"/>
        </w:rPr>
        <w:t> </w:t>
      </w:r>
      <w:r>
        <w:rPr/>
        <w:t>el</w:t>
      </w:r>
      <w:r>
        <w:rPr>
          <w:spacing w:val="-4"/>
        </w:rPr>
        <w:t> </w:t>
      </w:r>
      <w:r>
        <w:rPr/>
        <w:t>otorgamiento</w:t>
      </w:r>
      <w:r>
        <w:rPr>
          <w:spacing w:val="-3"/>
        </w:rPr>
        <w:t> </w:t>
      </w:r>
      <w:r>
        <w:rPr/>
        <w:t>de</w:t>
      </w:r>
      <w:r>
        <w:rPr>
          <w:spacing w:val="-3"/>
        </w:rPr>
        <w:t> </w:t>
      </w:r>
      <w:r>
        <w:rPr/>
        <w:t>recursos</w:t>
      </w:r>
      <w:r>
        <w:rPr>
          <w:spacing w:val="-3"/>
        </w:rPr>
        <w:t> </w:t>
      </w:r>
      <w:r>
        <w:rPr/>
        <w:t>económicos</w:t>
      </w:r>
      <w:r>
        <w:rPr>
          <w:spacing w:val="-3"/>
        </w:rPr>
        <w:t> </w:t>
      </w:r>
      <w:r>
        <w:rPr/>
        <w:t>no reembolsables</w:t>
      </w:r>
      <w:r>
        <w:rPr>
          <w:spacing w:val="-1"/>
        </w:rPr>
        <w:t> </w:t>
      </w:r>
      <w:r>
        <w:rPr/>
        <w:t>a</w:t>
      </w:r>
      <w:r>
        <w:rPr>
          <w:spacing w:val="-4"/>
        </w:rPr>
        <w:t> </w:t>
      </w:r>
      <w:r>
        <w:rPr/>
        <w:t>hogares</w:t>
      </w:r>
      <w:r>
        <w:rPr>
          <w:spacing w:val="-1"/>
        </w:rPr>
        <w:t> </w:t>
      </w:r>
      <w:r>
        <w:rPr/>
        <w:t>que</w:t>
      </w:r>
      <w:r>
        <w:rPr>
          <w:spacing w:val="-4"/>
        </w:rPr>
        <w:t> </w:t>
      </w:r>
      <w:r>
        <w:rPr/>
        <w:t>califiquen</w:t>
      </w:r>
      <w:r>
        <w:rPr>
          <w:spacing w:val="-2"/>
        </w:rPr>
        <w:t> </w:t>
      </w:r>
      <w:r>
        <w:rPr/>
        <w:t>dentro</w:t>
      </w:r>
      <w:r>
        <w:rPr>
          <w:spacing w:val="-4"/>
        </w:rPr>
        <w:t> </w:t>
      </w:r>
      <w:r>
        <w:rPr/>
        <w:t>de</w:t>
      </w:r>
      <w:r>
        <w:rPr>
          <w:spacing w:val="-1"/>
        </w:rPr>
        <w:t> </w:t>
      </w:r>
      <w:r>
        <w:rPr/>
        <w:t>los</w:t>
      </w:r>
      <w:r>
        <w:rPr>
          <w:spacing w:val="-1"/>
        </w:rPr>
        <w:t> </w:t>
      </w:r>
      <w:r>
        <w:rPr/>
        <w:t>parámetros</w:t>
      </w:r>
      <w:r>
        <w:rPr>
          <w:spacing w:val="-1"/>
        </w:rPr>
        <w:t> </w:t>
      </w:r>
      <w:r>
        <w:rPr/>
        <w:t>establecidos</w:t>
      </w:r>
      <w:r>
        <w:rPr>
          <w:spacing w:val="-1"/>
        </w:rPr>
        <w:t> </w:t>
      </w:r>
      <w:r>
        <w:rPr/>
        <w:t>por el IMAS, en procura del mejoramiento de las condiciones habitacionales, de accesibilidad</w:t>
      </w:r>
      <w:r>
        <w:rPr>
          <w:spacing w:val="-15"/>
        </w:rPr>
        <w:t> </w:t>
      </w:r>
      <w:r>
        <w:rPr/>
        <w:t>y</w:t>
      </w:r>
      <w:r>
        <w:rPr>
          <w:spacing w:val="-12"/>
        </w:rPr>
        <w:t> </w:t>
      </w:r>
      <w:r>
        <w:rPr/>
        <w:t>seguridad</w:t>
      </w:r>
      <w:r>
        <w:rPr>
          <w:spacing w:val="-13"/>
        </w:rPr>
        <w:t> </w:t>
      </w:r>
      <w:r>
        <w:rPr/>
        <w:t>del</w:t>
      </w:r>
      <w:r>
        <w:rPr>
          <w:spacing w:val="-14"/>
        </w:rPr>
        <w:t> </w:t>
      </w:r>
      <w:r>
        <w:rPr/>
        <w:t>inmueble</w:t>
      </w:r>
      <w:r>
        <w:rPr>
          <w:spacing w:val="-13"/>
        </w:rPr>
        <w:t> </w:t>
      </w:r>
      <w:r>
        <w:rPr/>
        <w:t>y</w:t>
      </w:r>
      <w:r>
        <w:rPr>
          <w:spacing w:val="-15"/>
        </w:rPr>
        <w:t> </w:t>
      </w:r>
      <w:r>
        <w:rPr/>
        <w:t>sus</w:t>
      </w:r>
      <w:r>
        <w:rPr>
          <w:spacing w:val="-13"/>
        </w:rPr>
        <w:t> </w:t>
      </w:r>
      <w:r>
        <w:rPr/>
        <w:t>ocupantes,</w:t>
      </w:r>
      <w:r>
        <w:rPr>
          <w:spacing w:val="-15"/>
        </w:rPr>
        <w:t> </w:t>
      </w:r>
      <w:r>
        <w:rPr/>
        <w:t>dando</w:t>
      </w:r>
      <w:r>
        <w:rPr>
          <w:spacing w:val="-16"/>
        </w:rPr>
        <w:t> </w:t>
      </w:r>
      <w:r>
        <w:rPr/>
        <w:t>prioridad</w:t>
      </w:r>
      <w:r>
        <w:rPr>
          <w:spacing w:val="-13"/>
        </w:rPr>
        <w:t> </w:t>
      </w:r>
      <w:r>
        <w:rPr/>
        <w:t>a</w:t>
      </w:r>
      <w:r>
        <w:rPr>
          <w:spacing w:val="-16"/>
        </w:rPr>
        <w:t> </w:t>
      </w:r>
      <w:r>
        <w:rPr/>
        <w:t>aspectos estructurales,</w:t>
      </w:r>
      <w:r>
        <w:rPr>
          <w:spacing w:val="-1"/>
        </w:rPr>
        <w:t> </w:t>
      </w:r>
      <w:r>
        <w:rPr/>
        <w:t>geotécnicos,</w:t>
      </w:r>
      <w:r>
        <w:rPr>
          <w:spacing w:val="-1"/>
        </w:rPr>
        <w:t> </w:t>
      </w:r>
      <w:r>
        <w:rPr/>
        <w:t>servicios</w:t>
      </w:r>
      <w:r>
        <w:rPr>
          <w:spacing w:val="-2"/>
        </w:rPr>
        <w:t> </w:t>
      </w:r>
      <w:r>
        <w:rPr/>
        <w:t>básicos,</w:t>
      </w:r>
      <w:r>
        <w:rPr>
          <w:spacing w:val="-1"/>
        </w:rPr>
        <w:t> </w:t>
      </w:r>
      <w:r>
        <w:rPr/>
        <w:t>y/o</w:t>
      </w:r>
      <w:r>
        <w:rPr>
          <w:spacing w:val="-5"/>
        </w:rPr>
        <w:t> </w:t>
      </w:r>
      <w:r>
        <w:rPr/>
        <w:t>adecuaciones</w:t>
      </w:r>
      <w:r>
        <w:rPr>
          <w:spacing w:val="-2"/>
        </w:rPr>
        <w:t> </w:t>
      </w:r>
      <w:r>
        <w:rPr/>
        <w:t>para</w:t>
      </w:r>
      <w:r>
        <w:rPr>
          <w:spacing w:val="-5"/>
        </w:rPr>
        <w:t> </w:t>
      </w:r>
      <w:r>
        <w:rPr/>
        <w:t>personas</w:t>
      </w:r>
      <w:r>
        <w:rPr>
          <w:spacing w:val="-2"/>
        </w:rPr>
        <w:t> </w:t>
      </w:r>
      <w:r>
        <w:rPr/>
        <w:t>con discapacidad, a su vez para la reparación de obras de la vivienda de personas u hogares que se vieron afectadas por un fenómeno natural. Con este subsidio se podrá financiar la compra de materiales de construcción, mano de obra, aserrío y</w:t>
      </w:r>
    </w:p>
    <w:p>
      <w:pPr>
        <w:pStyle w:val="BodyText"/>
        <w:spacing w:after="0" w:line="276" w:lineRule="auto"/>
        <w:jc w:val="both"/>
        <w:sectPr>
          <w:pgSz w:w="12240" w:h="15840"/>
          <w:pgMar w:header="0" w:footer="1576" w:top="1000" w:bottom="1760" w:left="360" w:right="0"/>
        </w:sectPr>
      </w:pPr>
    </w:p>
    <w:p>
      <w:pPr>
        <w:pStyle w:val="BodyText"/>
        <w:spacing w:line="276" w:lineRule="auto" w:before="77"/>
        <w:ind w:left="2191" w:right="1444"/>
      </w:pPr>
      <w:r>
        <w:rPr/>
        <w:t>transporte</w:t>
      </w:r>
      <w:r>
        <w:rPr>
          <w:spacing w:val="-10"/>
        </w:rPr>
        <w:t> </w:t>
      </w:r>
      <w:r>
        <w:rPr/>
        <w:t>que</w:t>
      </w:r>
      <w:r>
        <w:rPr>
          <w:spacing w:val="-7"/>
        </w:rPr>
        <w:t> </w:t>
      </w:r>
      <w:r>
        <w:rPr/>
        <w:t>se</w:t>
      </w:r>
      <w:r>
        <w:rPr>
          <w:spacing w:val="-10"/>
        </w:rPr>
        <w:t> </w:t>
      </w:r>
      <w:r>
        <w:rPr/>
        <w:t>requiera</w:t>
      </w:r>
      <w:r>
        <w:rPr>
          <w:spacing w:val="-7"/>
        </w:rPr>
        <w:t> </w:t>
      </w:r>
      <w:r>
        <w:rPr/>
        <w:t>para</w:t>
      </w:r>
      <w:r>
        <w:rPr>
          <w:spacing w:val="-7"/>
        </w:rPr>
        <w:t> </w:t>
      </w:r>
      <w:r>
        <w:rPr/>
        <w:t>el</w:t>
      </w:r>
      <w:r>
        <w:rPr>
          <w:spacing w:val="-8"/>
        </w:rPr>
        <w:t> </w:t>
      </w:r>
      <w:r>
        <w:rPr/>
        <w:t>desarrollo</w:t>
      </w:r>
      <w:r>
        <w:rPr>
          <w:spacing w:val="-7"/>
        </w:rPr>
        <w:t> </w:t>
      </w:r>
      <w:r>
        <w:rPr/>
        <w:t>de</w:t>
      </w:r>
      <w:r>
        <w:rPr>
          <w:spacing w:val="-8"/>
        </w:rPr>
        <w:t> </w:t>
      </w:r>
      <w:r>
        <w:rPr/>
        <w:t>las</w:t>
      </w:r>
      <w:r>
        <w:rPr>
          <w:spacing w:val="-7"/>
        </w:rPr>
        <w:t> </w:t>
      </w:r>
      <w:r>
        <w:rPr/>
        <w:t>obras</w:t>
      </w:r>
      <w:r>
        <w:rPr>
          <w:spacing w:val="-10"/>
        </w:rPr>
        <w:t> </w:t>
      </w:r>
      <w:r>
        <w:rPr/>
        <w:t>y</w:t>
      </w:r>
      <w:r>
        <w:rPr>
          <w:spacing w:val="-9"/>
        </w:rPr>
        <w:t> </w:t>
      </w:r>
      <w:r>
        <w:rPr/>
        <w:t>trabajos</w:t>
      </w:r>
      <w:r>
        <w:rPr>
          <w:spacing w:val="-10"/>
        </w:rPr>
        <w:t> </w:t>
      </w:r>
      <w:r>
        <w:rPr/>
        <w:t>recomendados para las viviendas de los hogares subsidiarios.</w:t>
      </w:r>
    </w:p>
    <w:p>
      <w:pPr>
        <w:pStyle w:val="BodyText"/>
        <w:spacing w:before="36"/>
      </w:pPr>
    </w:p>
    <w:p>
      <w:pPr>
        <w:pStyle w:val="ListParagraph"/>
        <w:numPr>
          <w:ilvl w:val="0"/>
          <w:numId w:val="19"/>
        </w:numPr>
        <w:tabs>
          <w:tab w:pos="2189" w:val="left" w:leader="none"/>
          <w:tab w:pos="2191" w:val="left" w:leader="none"/>
        </w:tabs>
        <w:spacing w:line="273" w:lineRule="auto" w:before="1" w:after="0"/>
        <w:ind w:left="2191" w:right="1602" w:hanging="284"/>
        <w:jc w:val="both"/>
        <w:rPr>
          <w:sz w:val="22"/>
        </w:rPr>
      </w:pPr>
      <w:r>
        <w:rPr>
          <w:b/>
          <w:sz w:val="22"/>
        </w:rPr>
        <w:t>Subsidio Prestación alimentaria (Inciso K): </w:t>
      </w:r>
      <w:r>
        <w:rPr>
          <w:sz w:val="22"/>
        </w:rPr>
        <w:t>subsidio destinado a cubrir la carencia</w:t>
      </w:r>
      <w:r>
        <w:rPr>
          <w:spacing w:val="-7"/>
          <w:sz w:val="22"/>
        </w:rPr>
        <w:t> </w:t>
      </w:r>
      <w:r>
        <w:rPr>
          <w:sz w:val="22"/>
        </w:rPr>
        <w:t>de</w:t>
      </w:r>
      <w:r>
        <w:rPr>
          <w:spacing w:val="-10"/>
          <w:sz w:val="22"/>
        </w:rPr>
        <w:t> </w:t>
      </w:r>
      <w:r>
        <w:rPr>
          <w:sz w:val="22"/>
        </w:rPr>
        <w:t>recursos</w:t>
      </w:r>
      <w:r>
        <w:rPr>
          <w:spacing w:val="-12"/>
          <w:sz w:val="22"/>
        </w:rPr>
        <w:t> </w:t>
      </w:r>
      <w:r>
        <w:rPr>
          <w:sz w:val="22"/>
        </w:rPr>
        <w:t>familiares,</w:t>
      </w:r>
      <w:r>
        <w:rPr>
          <w:spacing w:val="-7"/>
          <w:sz w:val="22"/>
        </w:rPr>
        <w:t> </w:t>
      </w:r>
      <w:r>
        <w:rPr>
          <w:sz w:val="22"/>
        </w:rPr>
        <w:t>personales</w:t>
      </w:r>
      <w:r>
        <w:rPr>
          <w:spacing w:val="-7"/>
          <w:sz w:val="22"/>
        </w:rPr>
        <w:t> </w:t>
      </w:r>
      <w:r>
        <w:rPr>
          <w:sz w:val="22"/>
        </w:rPr>
        <w:t>o</w:t>
      </w:r>
      <w:r>
        <w:rPr>
          <w:spacing w:val="-10"/>
          <w:sz w:val="22"/>
        </w:rPr>
        <w:t> </w:t>
      </w:r>
      <w:r>
        <w:rPr>
          <w:sz w:val="22"/>
        </w:rPr>
        <w:t>laborales</w:t>
      </w:r>
      <w:r>
        <w:rPr>
          <w:spacing w:val="-7"/>
          <w:sz w:val="22"/>
        </w:rPr>
        <w:t> </w:t>
      </w:r>
      <w:r>
        <w:rPr>
          <w:sz w:val="22"/>
        </w:rPr>
        <w:t>suficientes</w:t>
      </w:r>
      <w:r>
        <w:rPr>
          <w:spacing w:val="-10"/>
          <w:sz w:val="22"/>
        </w:rPr>
        <w:t> </w:t>
      </w:r>
      <w:r>
        <w:rPr>
          <w:sz w:val="22"/>
        </w:rPr>
        <w:t>para</w:t>
      </w:r>
      <w:r>
        <w:rPr>
          <w:spacing w:val="-10"/>
          <w:sz w:val="22"/>
        </w:rPr>
        <w:t> </w:t>
      </w:r>
      <w:r>
        <w:rPr>
          <w:sz w:val="22"/>
        </w:rPr>
        <w:t>atender</w:t>
      </w:r>
      <w:r>
        <w:rPr>
          <w:spacing w:val="-7"/>
          <w:sz w:val="22"/>
        </w:rPr>
        <w:t> </w:t>
      </w:r>
      <w:r>
        <w:rPr>
          <w:sz w:val="22"/>
        </w:rPr>
        <w:t>las necesidades básicas y de educación continua de la siguiente población:</w:t>
      </w:r>
    </w:p>
    <w:p>
      <w:pPr>
        <w:pStyle w:val="ListParagraph"/>
        <w:numPr>
          <w:ilvl w:val="1"/>
          <w:numId w:val="19"/>
        </w:numPr>
        <w:tabs>
          <w:tab w:pos="2475" w:val="left" w:leader="none"/>
          <w:tab w:pos="2477" w:val="left" w:leader="none"/>
        </w:tabs>
        <w:spacing w:line="276" w:lineRule="auto" w:before="4" w:after="0"/>
        <w:ind w:left="2477" w:right="1602" w:hanging="286"/>
        <w:jc w:val="both"/>
        <w:rPr>
          <w:sz w:val="22"/>
        </w:rPr>
      </w:pPr>
      <w:r>
        <w:rPr>
          <w:sz w:val="22"/>
        </w:rPr>
        <w:t>Personas</w:t>
      </w:r>
      <w:r>
        <w:rPr>
          <w:spacing w:val="-14"/>
          <w:sz w:val="22"/>
        </w:rPr>
        <w:t> </w:t>
      </w:r>
      <w:r>
        <w:rPr>
          <w:sz w:val="22"/>
        </w:rPr>
        <w:t>jóvenes</w:t>
      </w:r>
      <w:r>
        <w:rPr>
          <w:spacing w:val="-11"/>
          <w:sz w:val="22"/>
        </w:rPr>
        <w:t> </w:t>
      </w:r>
      <w:r>
        <w:rPr>
          <w:sz w:val="22"/>
        </w:rPr>
        <w:t>entre</w:t>
      </w:r>
      <w:r>
        <w:rPr>
          <w:spacing w:val="-14"/>
          <w:sz w:val="22"/>
        </w:rPr>
        <w:t> </w:t>
      </w:r>
      <w:r>
        <w:rPr>
          <w:sz w:val="22"/>
        </w:rPr>
        <w:t>los</w:t>
      </w:r>
      <w:r>
        <w:rPr>
          <w:spacing w:val="-11"/>
          <w:sz w:val="22"/>
        </w:rPr>
        <w:t> </w:t>
      </w:r>
      <w:r>
        <w:rPr>
          <w:sz w:val="22"/>
        </w:rPr>
        <w:t>18</w:t>
      </w:r>
      <w:r>
        <w:rPr>
          <w:spacing w:val="-12"/>
          <w:sz w:val="22"/>
        </w:rPr>
        <w:t> </w:t>
      </w:r>
      <w:r>
        <w:rPr>
          <w:sz w:val="22"/>
        </w:rPr>
        <w:t>y</w:t>
      </w:r>
      <w:r>
        <w:rPr>
          <w:spacing w:val="-11"/>
          <w:sz w:val="22"/>
        </w:rPr>
        <w:t> </w:t>
      </w:r>
      <w:r>
        <w:rPr>
          <w:sz w:val="22"/>
        </w:rPr>
        <w:t>25</w:t>
      </w:r>
      <w:r>
        <w:rPr>
          <w:spacing w:val="-14"/>
          <w:sz w:val="22"/>
        </w:rPr>
        <w:t> </w:t>
      </w:r>
      <w:r>
        <w:rPr>
          <w:sz w:val="22"/>
        </w:rPr>
        <w:t>años</w:t>
      </w:r>
      <w:r>
        <w:rPr>
          <w:spacing w:val="-11"/>
          <w:sz w:val="22"/>
        </w:rPr>
        <w:t> </w:t>
      </w:r>
      <w:r>
        <w:rPr>
          <w:sz w:val="22"/>
        </w:rPr>
        <w:t>cumplidos,</w:t>
      </w:r>
      <w:r>
        <w:rPr>
          <w:spacing w:val="-10"/>
          <w:sz w:val="22"/>
        </w:rPr>
        <w:t> </w:t>
      </w:r>
      <w:r>
        <w:rPr>
          <w:sz w:val="22"/>
        </w:rPr>
        <w:t>en</w:t>
      </w:r>
      <w:r>
        <w:rPr>
          <w:spacing w:val="-12"/>
          <w:sz w:val="22"/>
        </w:rPr>
        <w:t> </w:t>
      </w:r>
      <w:r>
        <w:rPr>
          <w:sz w:val="22"/>
        </w:rPr>
        <w:t>situación</w:t>
      </w:r>
      <w:r>
        <w:rPr>
          <w:spacing w:val="-12"/>
          <w:sz w:val="22"/>
        </w:rPr>
        <w:t> </w:t>
      </w:r>
      <w:r>
        <w:rPr>
          <w:sz w:val="22"/>
        </w:rPr>
        <w:t>de</w:t>
      </w:r>
      <w:r>
        <w:rPr>
          <w:spacing w:val="-12"/>
          <w:sz w:val="22"/>
        </w:rPr>
        <w:t> </w:t>
      </w:r>
      <w:r>
        <w:rPr>
          <w:sz w:val="22"/>
        </w:rPr>
        <w:t>pobreza</w:t>
      </w:r>
      <w:r>
        <w:rPr>
          <w:spacing w:val="-11"/>
          <w:sz w:val="22"/>
        </w:rPr>
        <w:t> </w:t>
      </w:r>
      <w:r>
        <w:rPr>
          <w:sz w:val="22"/>
        </w:rPr>
        <w:t>que egresan por alcanzar la mayoría de edad, de las alternativas operadas o supervisadas por el Sistema Nacional de Protección Especial (SNPE) del Patronato Nacional de la Infancia (PANI), a saber: programas en modalidad residencial, albergues PANI, aldeas PANI, programas en modalidad de acogimiento familiar. Deben ser estudiantes en cualquiera de los ciclos educativos (I y II ciclo-primaria, III ciclo-sétimo a noveno, Educación Diversificada-décimo y undécimo, o sexto año de educación técnica), estudios técnicos o universitarios.</w:t>
      </w:r>
    </w:p>
    <w:p>
      <w:pPr>
        <w:pStyle w:val="ListParagraph"/>
        <w:numPr>
          <w:ilvl w:val="1"/>
          <w:numId w:val="19"/>
        </w:numPr>
        <w:tabs>
          <w:tab w:pos="2475" w:val="left" w:leader="none"/>
          <w:tab w:pos="2477" w:val="left" w:leader="none"/>
        </w:tabs>
        <w:spacing w:line="276" w:lineRule="auto" w:before="1" w:after="0"/>
        <w:ind w:left="2477" w:right="1605" w:hanging="286"/>
        <w:jc w:val="both"/>
        <w:rPr>
          <w:sz w:val="22"/>
        </w:rPr>
      </w:pPr>
      <w:r>
        <w:rPr>
          <w:sz w:val="22"/>
        </w:rPr>
        <w:t>Personas jóvenes entre 18 y 25 años cumplidos en situación de pobreza, que tienen una situación de discapacidad debidamente comprobada que les impide o</w:t>
      </w:r>
      <w:r>
        <w:rPr>
          <w:spacing w:val="-3"/>
          <w:sz w:val="22"/>
        </w:rPr>
        <w:t> </w:t>
      </w:r>
      <w:r>
        <w:rPr>
          <w:sz w:val="22"/>
        </w:rPr>
        <w:t>les</w:t>
      </w:r>
      <w:r>
        <w:rPr>
          <w:spacing w:val="-2"/>
          <w:sz w:val="22"/>
        </w:rPr>
        <w:t> </w:t>
      </w:r>
      <w:r>
        <w:rPr>
          <w:sz w:val="22"/>
        </w:rPr>
        <w:t>limita</w:t>
      </w:r>
      <w:r>
        <w:rPr>
          <w:spacing w:val="-5"/>
          <w:sz w:val="22"/>
        </w:rPr>
        <w:t> </w:t>
      </w:r>
      <w:r>
        <w:rPr>
          <w:sz w:val="22"/>
        </w:rPr>
        <w:t>estudiar</w:t>
      </w:r>
      <w:r>
        <w:rPr>
          <w:spacing w:val="-4"/>
          <w:sz w:val="22"/>
        </w:rPr>
        <w:t> </w:t>
      </w:r>
      <w:r>
        <w:rPr>
          <w:sz w:val="22"/>
        </w:rPr>
        <w:t>o</w:t>
      </w:r>
      <w:r>
        <w:rPr>
          <w:spacing w:val="-5"/>
          <w:sz w:val="22"/>
        </w:rPr>
        <w:t> </w:t>
      </w:r>
      <w:r>
        <w:rPr>
          <w:sz w:val="22"/>
        </w:rPr>
        <w:t>trabajar.</w:t>
      </w:r>
      <w:r>
        <w:rPr>
          <w:spacing w:val="-1"/>
          <w:sz w:val="22"/>
        </w:rPr>
        <w:t> </w:t>
      </w:r>
      <w:r>
        <w:rPr>
          <w:sz w:val="22"/>
        </w:rPr>
        <w:t>Este</w:t>
      </w:r>
      <w:r>
        <w:rPr>
          <w:spacing w:val="-5"/>
          <w:sz w:val="22"/>
        </w:rPr>
        <w:t> </w:t>
      </w:r>
      <w:r>
        <w:rPr>
          <w:sz w:val="22"/>
        </w:rPr>
        <w:t>grupo</w:t>
      </w:r>
      <w:r>
        <w:rPr>
          <w:spacing w:val="-5"/>
          <w:sz w:val="22"/>
        </w:rPr>
        <w:t> </w:t>
      </w:r>
      <w:r>
        <w:rPr>
          <w:sz w:val="22"/>
        </w:rPr>
        <w:t>poblacional,</w:t>
      </w:r>
      <w:r>
        <w:rPr>
          <w:spacing w:val="-1"/>
          <w:sz w:val="22"/>
        </w:rPr>
        <w:t> </w:t>
      </w:r>
      <w:r>
        <w:rPr>
          <w:sz w:val="22"/>
        </w:rPr>
        <w:t>puede</w:t>
      </w:r>
      <w:r>
        <w:rPr>
          <w:spacing w:val="-5"/>
          <w:sz w:val="22"/>
        </w:rPr>
        <w:t> </w:t>
      </w:r>
      <w:r>
        <w:rPr>
          <w:sz w:val="22"/>
        </w:rPr>
        <w:t>o</w:t>
      </w:r>
      <w:r>
        <w:rPr>
          <w:spacing w:val="-5"/>
          <w:sz w:val="22"/>
        </w:rPr>
        <w:t> </w:t>
      </w:r>
      <w:r>
        <w:rPr>
          <w:sz w:val="22"/>
        </w:rPr>
        <w:t>no</w:t>
      </w:r>
      <w:r>
        <w:rPr>
          <w:spacing w:val="-3"/>
          <w:sz w:val="22"/>
        </w:rPr>
        <w:t> </w:t>
      </w:r>
      <w:r>
        <w:rPr>
          <w:sz w:val="22"/>
        </w:rPr>
        <w:t>ser</w:t>
      </w:r>
      <w:r>
        <w:rPr>
          <w:spacing w:val="-4"/>
          <w:sz w:val="22"/>
        </w:rPr>
        <w:t> </w:t>
      </w:r>
      <w:r>
        <w:rPr>
          <w:sz w:val="22"/>
        </w:rPr>
        <w:t>egresada del SNPE del PANI.</w:t>
      </w:r>
    </w:p>
    <w:p>
      <w:pPr>
        <w:pStyle w:val="BodyText"/>
        <w:spacing w:before="37"/>
      </w:pPr>
    </w:p>
    <w:p>
      <w:pPr>
        <w:pStyle w:val="ListParagraph"/>
        <w:numPr>
          <w:ilvl w:val="0"/>
          <w:numId w:val="19"/>
        </w:numPr>
        <w:tabs>
          <w:tab w:pos="2189" w:val="left" w:leader="none"/>
          <w:tab w:pos="2191" w:val="left" w:leader="none"/>
        </w:tabs>
        <w:spacing w:line="276" w:lineRule="auto" w:before="0" w:after="0"/>
        <w:ind w:left="2191" w:right="1603" w:hanging="284"/>
        <w:jc w:val="both"/>
        <w:rPr>
          <w:sz w:val="22"/>
        </w:rPr>
      </w:pPr>
      <w:r>
        <w:rPr>
          <w:b/>
          <w:sz w:val="22"/>
        </w:rPr>
        <w:t>Subsidio Veda</w:t>
      </w:r>
      <w:r>
        <w:rPr>
          <w:sz w:val="22"/>
        </w:rPr>
        <w:t>: coadyuva en la satisfacción de las necesidades básicas de las personas</w:t>
      </w:r>
      <w:r>
        <w:rPr>
          <w:spacing w:val="-15"/>
          <w:sz w:val="22"/>
        </w:rPr>
        <w:t> </w:t>
      </w:r>
      <w:r>
        <w:rPr>
          <w:sz w:val="22"/>
        </w:rPr>
        <w:t>pescadoras</w:t>
      </w:r>
      <w:r>
        <w:rPr>
          <w:spacing w:val="-14"/>
          <w:sz w:val="22"/>
        </w:rPr>
        <w:t> </w:t>
      </w:r>
      <w:r>
        <w:rPr>
          <w:sz w:val="22"/>
        </w:rPr>
        <w:t>y</w:t>
      </w:r>
      <w:r>
        <w:rPr>
          <w:spacing w:val="-13"/>
          <w:sz w:val="22"/>
        </w:rPr>
        <w:t> </w:t>
      </w:r>
      <w:r>
        <w:rPr>
          <w:sz w:val="22"/>
        </w:rPr>
        <w:t>sus</w:t>
      </w:r>
      <w:r>
        <w:rPr>
          <w:spacing w:val="-11"/>
          <w:sz w:val="22"/>
        </w:rPr>
        <w:t> </w:t>
      </w:r>
      <w:r>
        <w:rPr>
          <w:sz w:val="22"/>
        </w:rPr>
        <w:t>ayudantes</w:t>
      </w:r>
      <w:r>
        <w:rPr>
          <w:spacing w:val="-14"/>
          <w:sz w:val="22"/>
        </w:rPr>
        <w:t> </w:t>
      </w:r>
      <w:r>
        <w:rPr>
          <w:sz w:val="22"/>
        </w:rPr>
        <w:t>durante</w:t>
      </w:r>
      <w:r>
        <w:rPr>
          <w:spacing w:val="-14"/>
          <w:sz w:val="22"/>
        </w:rPr>
        <w:t> </w:t>
      </w:r>
      <w:r>
        <w:rPr>
          <w:sz w:val="22"/>
        </w:rPr>
        <w:t>los</w:t>
      </w:r>
      <w:r>
        <w:rPr>
          <w:spacing w:val="-14"/>
          <w:sz w:val="22"/>
        </w:rPr>
        <w:t> </w:t>
      </w:r>
      <w:r>
        <w:rPr>
          <w:sz w:val="22"/>
        </w:rPr>
        <w:t>períodos</w:t>
      </w:r>
      <w:r>
        <w:rPr>
          <w:spacing w:val="-14"/>
          <w:sz w:val="22"/>
        </w:rPr>
        <w:t> </w:t>
      </w:r>
      <w:r>
        <w:rPr>
          <w:sz w:val="22"/>
        </w:rPr>
        <w:t>declarados</w:t>
      </w:r>
      <w:r>
        <w:rPr>
          <w:spacing w:val="-14"/>
          <w:sz w:val="22"/>
        </w:rPr>
        <w:t> </w:t>
      </w:r>
      <w:r>
        <w:rPr>
          <w:sz w:val="22"/>
        </w:rPr>
        <w:t>en</w:t>
      </w:r>
      <w:r>
        <w:rPr>
          <w:spacing w:val="-16"/>
          <w:sz w:val="22"/>
        </w:rPr>
        <w:t> </w:t>
      </w:r>
      <w:r>
        <w:rPr>
          <w:sz w:val="22"/>
        </w:rPr>
        <w:t>veda.</w:t>
      </w:r>
      <w:r>
        <w:rPr>
          <w:spacing w:val="-13"/>
          <w:sz w:val="22"/>
        </w:rPr>
        <w:t> </w:t>
      </w:r>
      <w:r>
        <w:rPr>
          <w:sz w:val="22"/>
        </w:rPr>
        <w:t>Su otorgamiento está dirigido a las personas remitidas en el listado acreditado por el Instituto</w:t>
      </w:r>
      <w:r>
        <w:rPr>
          <w:spacing w:val="-7"/>
          <w:sz w:val="22"/>
        </w:rPr>
        <w:t> </w:t>
      </w:r>
      <w:r>
        <w:rPr>
          <w:sz w:val="22"/>
        </w:rPr>
        <w:t>Costarricense</w:t>
      </w:r>
      <w:r>
        <w:rPr>
          <w:spacing w:val="-7"/>
          <w:sz w:val="22"/>
        </w:rPr>
        <w:t> </w:t>
      </w:r>
      <w:r>
        <w:rPr>
          <w:sz w:val="22"/>
        </w:rPr>
        <w:t>de</w:t>
      </w:r>
      <w:r>
        <w:rPr>
          <w:spacing w:val="-7"/>
          <w:sz w:val="22"/>
        </w:rPr>
        <w:t> </w:t>
      </w:r>
      <w:r>
        <w:rPr>
          <w:sz w:val="22"/>
        </w:rPr>
        <w:t>Pesca</w:t>
      </w:r>
      <w:r>
        <w:rPr>
          <w:spacing w:val="-8"/>
          <w:sz w:val="22"/>
        </w:rPr>
        <w:t> </w:t>
      </w:r>
      <w:r>
        <w:rPr>
          <w:sz w:val="22"/>
        </w:rPr>
        <w:t>y</w:t>
      </w:r>
      <w:r>
        <w:rPr>
          <w:spacing w:val="-9"/>
          <w:sz w:val="22"/>
        </w:rPr>
        <w:t> </w:t>
      </w:r>
      <w:r>
        <w:rPr>
          <w:sz w:val="22"/>
        </w:rPr>
        <w:t>Acuicultura</w:t>
      </w:r>
      <w:r>
        <w:rPr>
          <w:spacing w:val="-9"/>
          <w:sz w:val="22"/>
        </w:rPr>
        <w:t> </w:t>
      </w:r>
      <w:r>
        <w:rPr>
          <w:sz w:val="22"/>
        </w:rPr>
        <w:t>(INCOPESCA)</w:t>
      </w:r>
      <w:r>
        <w:rPr>
          <w:spacing w:val="-7"/>
          <w:sz w:val="22"/>
        </w:rPr>
        <w:t> </w:t>
      </w:r>
      <w:r>
        <w:rPr>
          <w:sz w:val="22"/>
        </w:rPr>
        <w:t>y</w:t>
      </w:r>
      <w:r>
        <w:rPr>
          <w:spacing w:val="-7"/>
          <w:sz w:val="22"/>
        </w:rPr>
        <w:t> </w:t>
      </w:r>
      <w:r>
        <w:rPr>
          <w:sz w:val="22"/>
        </w:rPr>
        <w:t>que</w:t>
      </w:r>
      <w:r>
        <w:rPr>
          <w:spacing w:val="-10"/>
          <w:sz w:val="22"/>
        </w:rPr>
        <w:t> </w:t>
      </w:r>
      <w:r>
        <w:rPr>
          <w:sz w:val="22"/>
        </w:rPr>
        <w:t>cumplan</w:t>
      </w:r>
      <w:r>
        <w:rPr>
          <w:spacing w:val="-8"/>
          <w:sz w:val="22"/>
        </w:rPr>
        <w:t> </w:t>
      </w:r>
      <w:r>
        <w:rPr>
          <w:sz w:val="22"/>
        </w:rPr>
        <w:t>con</w:t>
      </w:r>
      <w:r>
        <w:rPr>
          <w:spacing w:val="-8"/>
          <w:sz w:val="22"/>
        </w:rPr>
        <w:t> </w:t>
      </w:r>
      <w:r>
        <w:rPr>
          <w:sz w:val="22"/>
        </w:rPr>
        <w:t>la realización del servicio de trabajo comunal establecido en el Decreto Ejecutivo N°45197-MAG-MDHIS-SP y sus reformas. Este subsidio se otorga de manera condicionada a la situación de pobreza de las personas beneficiarias, durante el período</w:t>
      </w:r>
      <w:r>
        <w:rPr>
          <w:spacing w:val="-11"/>
          <w:sz w:val="22"/>
        </w:rPr>
        <w:t> </w:t>
      </w:r>
      <w:r>
        <w:rPr>
          <w:sz w:val="22"/>
        </w:rPr>
        <w:t>definido</w:t>
      </w:r>
      <w:r>
        <w:rPr>
          <w:spacing w:val="-12"/>
          <w:sz w:val="22"/>
        </w:rPr>
        <w:t> </w:t>
      </w:r>
      <w:r>
        <w:rPr>
          <w:sz w:val="22"/>
        </w:rPr>
        <w:t>para</w:t>
      </w:r>
      <w:r>
        <w:rPr>
          <w:spacing w:val="-11"/>
          <w:sz w:val="22"/>
        </w:rPr>
        <w:t> </w:t>
      </w:r>
      <w:r>
        <w:rPr>
          <w:sz w:val="22"/>
        </w:rPr>
        <w:t>la</w:t>
      </w:r>
      <w:r>
        <w:rPr>
          <w:spacing w:val="-11"/>
          <w:sz w:val="22"/>
        </w:rPr>
        <w:t> </w:t>
      </w:r>
      <w:r>
        <w:rPr>
          <w:sz w:val="22"/>
        </w:rPr>
        <w:t>veda,</w:t>
      </w:r>
      <w:r>
        <w:rPr>
          <w:spacing w:val="-10"/>
          <w:sz w:val="22"/>
        </w:rPr>
        <w:t> </w:t>
      </w:r>
      <w:r>
        <w:rPr>
          <w:sz w:val="22"/>
        </w:rPr>
        <w:t>siempre</w:t>
      </w:r>
      <w:r>
        <w:rPr>
          <w:spacing w:val="-11"/>
          <w:sz w:val="22"/>
        </w:rPr>
        <w:t> </w:t>
      </w:r>
      <w:r>
        <w:rPr>
          <w:sz w:val="22"/>
        </w:rPr>
        <w:t>que</w:t>
      </w:r>
      <w:r>
        <w:rPr>
          <w:spacing w:val="-11"/>
          <w:sz w:val="22"/>
        </w:rPr>
        <w:t> </w:t>
      </w:r>
      <w:r>
        <w:rPr>
          <w:sz w:val="22"/>
        </w:rPr>
        <w:t>carezcan</w:t>
      </w:r>
      <w:r>
        <w:rPr>
          <w:spacing w:val="-12"/>
          <w:sz w:val="22"/>
        </w:rPr>
        <w:t> </w:t>
      </w:r>
      <w:r>
        <w:rPr>
          <w:sz w:val="22"/>
        </w:rPr>
        <w:t>de</w:t>
      </w:r>
      <w:r>
        <w:rPr>
          <w:spacing w:val="-12"/>
          <w:sz w:val="22"/>
        </w:rPr>
        <w:t> </w:t>
      </w:r>
      <w:r>
        <w:rPr>
          <w:sz w:val="22"/>
        </w:rPr>
        <w:t>fuentes</w:t>
      </w:r>
      <w:r>
        <w:rPr>
          <w:spacing w:val="-13"/>
          <w:sz w:val="22"/>
        </w:rPr>
        <w:t> </w:t>
      </w:r>
      <w:r>
        <w:rPr>
          <w:sz w:val="22"/>
        </w:rPr>
        <w:t>de</w:t>
      </w:r>
      <w:r>
        <w:rPr>
          <w:spacing w:val="-12"/>
          <w:sz w:val="22"/>
        </w:rPr>
        <w:t> </w:t>
      </w:r>
      <w:r>
        <w:rPr>
          <w:sz w:val="22"/>
        </w:rPr>
        <w:t>ingreso</w:t>
      </w:r>
      <w:r>
        <w:rPr>
          <w:spacing w:val="-14"/>
          <w:sz w:val="22"/>
        </w:rPr>
        <w:t> </w:t>
      </w:r>
      <w:r>
        <w:rPr>
          <w:sz w:val="22"/>
        </w:rPr>
        <w:t>distintas a la actividad pesquera.</w:t>
      </w:r>
    </w:p>
    <w:p>
      <w:pPr>
        <w:pStyle w:val="Heading3"/>
        <w:numPr>
          <w:ilvl w:val="2"/>
          <w:numId w:val="5"/>
        </w:numPr>
        <w:tabs>
          <w:tab w:pos="3084" w:val="left" w:leader="none"/>
        </w:tabs>
        <w:spacing w:line="240" w:lineRule="auto" w:before="251" w:after="0"/>
        <w:ind w:left="3084" w:right="0" w:hanging="598"/>
        <w:jc w:val="left"/>
      </w:pPr>
      <w:bookmarkStart w:name="_bookmark45" w:id="46"/>
      <w:bookmarkEnd w:id="46"/>
      <w:r>
        <w:rPr>
          <w:b w:val="0"/>
        </w:rPr>
      </w:r>
      <w:r>
        <w:rPr/>
        <w:t>Dimensión</w:t>
      </w:r>
      <w:r>
        <w:rPr>
          <w:spacing w:val="-5"/>
        </w:rPr>
        <w:t> </w:t>
      </w:r>
      <w:r>
        <w:rPr/>
        <w:t>de</w:t>
      </w:r>
      <w:r>
        <w:rPr>
          <w:spacing w:val="-4"/>
        </w:rPr>
        <w:t> </w:t>
      </w:r>
      <w:r>
        <w:rPr/>
        <w:t>Promoción</w:t>
      </w:r>
      <w:r>
        <w:rPr>
          <w:spacing w:val="-4"/>
        </w:rPr>
        <w:t> </w:t>
      </w:r>
      <w:r>
        <w:rPr>
          <w:spacing w:val="-2"/>
        </w:rPr>
        <w:t>Social</w:t>
      </w:r>
    </w:p>
    <w:p>
      <w:pPr>
        <w:pStyle w:val="BodyText"/>
        <w:rPr>
          <w:b/>
          <w:sz w:val="24"/>
        </w:rPr>
      </w:pPr>
    </w:p>
    <w:p>
      <w:pPr>
        <w:pStyle w:val="BodyText"/>
        <w:spacing w:line="276" w:lineRule="auto"/>
        <w:ind w:left="1625" w:right="1605"/>
        <w:jc w:val="both"/>
      </w:pPr>
      <w:r>
        <w:rPr/>
        <w:t>Bajo el concepto de promoción social se agrupan los subsidios y transferencias monetarias que contribuyen a la movilidad social de las personas, hogares u organizaciones</w:t>
      </w:r>
      <w:r>
        <w:rPr>
          <w:spacing w:val="-9"/>
        </w:rPr>
        <w:t> </w:t>
      </w:r>
      <w:r>
        <w:rPr/>
        <w:t>dentro</w:t>
      </w:r>
      <w:r>
        <w:rPr>
          <w:spacing w:val="-9"/>
        </w:rPr>
        <w:t> </w:t>
      </w:r>
      <w:r>
        <w:rPr/>
        <w:t>de</w:t>
      </w:r>
      <w:r>
        <w:rPr>
          <w:spacing w:val="-9"/>
        </w:rPr>
        <w:t> </w:t>
      </w:r>
      <w:r>
        <w:rPr/>
        <w:t>un</w:t>
      </w:r>
      <w:r>
        <w:rPr>
          <w:spacing w:val="-9"/>
        </w:rPr>
        <w:t> </w:t>
      </w:r>
      <w:r>
        <w:rPr/>
        <w:t>determinado</w:t>
      </w:r>
      <w:r>
        <w:rPr>
          <w:spacing w:val="-12"/>
        </w:rPr>
        <w:t> </w:t>
      </w:r>
      <w:r>
        <w:rPr/>
        <w:t>territorio,</w:t>
      </w:r>
      <w:r>
        <w:rPr>
          <w:spacing w:val="-8"/>
        </w:rPr>
        <w:t> </w:t>
      </w:r>
      <w:r>
        <w:rPr/>
        <w:t>el</w:t>
      </w:r>
      <w:r>
        <w:rPr>
          <w:spacing w:val="-10"/>
        </w:rPr>
        <w:t> </w:t>
      </w:r>
      <w:r>
        <w:rPr/>
        <w:t>cual</w:t>
      </w:r>
      <w:r>
        <w:rPr>
          <w:spacing w:val="-10"/>
        </w:rPr>
        <w:t> </w:t>
      </w:r>
      <w:r>
        <w:rPr/>
        <w:t>se</w:t>
      </w:r>
      <w:r>
        <w:rPr>
          <w:spacing w:val="-9"/>
        </w:rPr>
        <w:t> </w:t>
      </w:r>
      <w:r>
        <w:rPr/>
        <w:t>constituye</w:t>
      </w:r>
      <w:r>
        <w:rPr>
          <w:spacing w:val="-12"/>
        </w:rPr>
        <w:t> </w:t>
      </w:r>
      <w:r>
        <w:rPr/>
        <w:t>en</w:t>
      </w:r>
      <w:r>
        <w:rPr>
          <w:spacing w:val="-9"/>
        </w:rPr>
        <w:t> </w:t>
      </w:r>
      <w:r>
        <w:rPr/>
        <w:t>el</w:t>
      </w:r>
      <w:r>
        <w:rPr>
          <w:spacing w:val="-10"/>
        </w:rPr>
        <w:t> </w:t>
      </w:r>
      <w:r>
        <w:rPr/>
        <w:t>medio</w:t>
      </w:r>
      <w:r>
        <w:rPr>
          <w:spacing w:val="-9"/>
        </w:rPr>
        <w:t> </w:t>
      </w:r>
      <w:r>
        <w:rPr/>
        <w:t>para la construcción social y defensa de derechos.</w:t>
      </w:r>
    </w:p>
    <w:p>
      <w:pPr>
        <w:pStyle w:val="BodyText"/>
        <w:spacing w:before="38"/>
      </w:pPr>
    </w:p>
    <w:p>
      <w:pPr>
        <w:pStyle w:val="BodyText"/>
        <w:spacing w:line="276" w:lineRule="auto"/>
        <w:ind w:left="1625" w:right="1601"/>
        <w:jc w:val="both"/>
      </w:pPr>
      <w:r>
        <w:rPr/>
        <w:t>La dinámica de intervención desde la promoción social implica el acercamiento a la población objetivo</w:t>
      </w:r>
      <w:r>
        <w:rPr>
          <w:spacing w:val="-1"/>
        </w:rPr>
        <w:t> </w:t>
      </w:r>
      <w:r>
        <w:rPr/>
        <w:t>mediante la búsqueda</w:t>
      </w:r>
      <w:r>
        <w:rPr>
          <w:spacing w:val="-1"/>
        </w:rPr>
        <w:t> </w:t>
      </w:r>
      <w:r>
        <w:rPr/>
        <w:t>activa de personas, hogares</w:t>
      </w:r>
      <w:r>
        <w:rPr>
          <w:spacing w:val="-1"/>
        </w:rPr>
        <w:t> </w:t>
      </w:r>
      <w:r>
        <w:rPr/>
        <w:t>u organizaciones, para generar oportunidades de cambio en la situación de pobreza, trascendiendo así desde la asistencia social hacia una ruta de acciones potenciadoras de habilidades y capacidades asociadas -principalmente pero no limitadas a- permanencia educativa, empleabilidad y emprendimiento, con miras a la independencia de la protección estatal.</w:t>
      </w:r>
    </w:p>
    <w:p>
      <w:pPr>
        <w:pStyle w:val="BodyText"/>
        <w:spacing w:after="0" w:line="276" w:lineRule="auto"/>
        <w:jc w:val="both"/>
        <w:sectPr>
          <w:pgSz w:w="12240" w:h="15840"/>
          <w:pgMar w:header="0" w:footer="1576" w:top="1000" w:bottom="1760" w:left="360" w:right="0"/>
        </w:sectPr>
      </w:pPr>
    </w:p>
    <w:p>
      <w:pPr>
        <w:pStyle w:val="BodyText"/>
        <w:spacing w:before="77"/>
        <w:ind w:left="1625"/>
      </w:pPr>
      <w:r>
        <w:rPr/>
        <w:t>La</w:t>
      </w:r>
      <w:r>
        <w:rPr>
          <w:spacing w:val="-8"/>
        </w:rPr>
        <w:t> </w:t>
      </w:r>
      <w:r>
        <w:rPr/>
        <w:t>oferta</w:t>
      </w:r>
      <w:r>
        <w:rPr>
          <w:spacing w:val="-7"/>
        </w:rPr>
        <w:t> </w:t>
      </w:r>
      <w:r>
        <w:rPr/>
        <w:t>programática</w:t>
      </w:r>
      <w:r>
        <w:rPr>
          <w:spacing w:val="-6"/>
        </w:rPr>
        <w:t> </w:t>
      </w:r>
      <w:r>
        <w:rPr/>
        <w:t>vinculada</w:t>
      </w:r>
      <w:r>
        <w:rPr>
          <w:spacing w:val="-5"/>
        </w:rPr>
        <w:t> </w:t>
      </w:r>
      <w:r>
        <w:rPr/>
        <w:t>a</w:t>
      </w:r>
      <w:r>
        <w:rPr>
          <w:spacing w:val="-5"/>
        </w:rPr>
        <w:t> </w:t>
      </w:r>
      <w:r>
        <w:rPr/>
        <w:t>Promoción</w:t>
      </w:r>
      <w:r>
        <w:rPr>
          <w:spacing w:val="-5"/>
        </w:rPr>
        <w:t> </w:t>
      </w:r>
      <w:r>
        <w:rPr/>
        <w:t>Social</w:t>
      </w:r>
      <w:r>
        <w:rPr>
          <w:spacing w:val="-7"/>
        </w:rPr>
        <w:t> </w:t>
      </w:r>
      <w:r>
        <w:rPr/>
        <w:t>es</w:t>
      </w:r>
      <w:r>
        <w:rPr>
          <w:spacing w:val="-5"/>
        </w:rPr>
        <w:t> </w:t>
      </w:r>
      <w:r>
        <w:rPr/>
        <w:t>la</w:t>
      </w:r>
      <w:r>
        <w:rPr>
          <w:spacing w:val="-5"/>
        </w:rPr>
        <w:t> </w:t>
      </w:r>
      <w:r>
        <w:rPr>
          <w:spacing w:val="-2"/>
        </w:rPr>
        <w:t>siguiente:</w:t>
      </w:r>
    </w:p>
    <w:p>
      <w:pPr>
        <w:pStyle w:val="BodyText"/>
        <w:spacing w:before="75"/>
      </w:pPr>
    </w:p>
    <w:p>
      <w:pPr>
        <w:pStyle w:val="ListParagraph"/>
        <w:numPr>
          <w:ilvl w:val="0"/>
          <w:numId w:val="19"/>
        </w:numPr>
        <w:tabs>
          <w:tab w:pos="2189" w:val="left" w:leader="none"/>
          <w:tab w:pos="2191" w:val="left" w:leader="none"/>
        </w:tabs>
        <w:spacing w:line="273" w:lineRule="auto" w:before="0" w:after="0"/>
        <w:ind w:left="2191" w:right="1606" w:hanging="284"/>
        <w:jc w:val="both"/>
        <w:rPr>
          <w:sz w:val="22"/>
        </w:rPr>
      </w:pPr>
      <w:r>
        <w:rPr>
          <w:b/>
          <w:sz w:val="22"/>
        </w:rPr>
        <w:t>Diferencial de la tasa de interés FIDEIMAS</w:t>
      </w:r>
      <w:r>
        <w:rPr>
          <w:sz w:val="22"/>
        </w:rPr>
        <w:t>: facilita el acceso a préstamos reembolsables con tasas de interés diferenciada en condiciones favorables que fortalecen la actividad productiva.</w:t>
      </w:r>
    </w:p>
    <w:p>
      <w:pPr>
        <w:pStyle w:val="BodyText"/>
        <w:spacing w:before="41"/>
      </w:pPr>
    </w:p>
    <w:p>
      <w:pPr>
        <w:pStyle w:val="ListParagraph"/>
        <w:numPr>
          <w:ilvl w:val="0"/>
          <w:numId w:val="19"/>
        </w:numPr>
        <w:tabs>
          <w:tab w:pos="2189" w:val="left" w:leader="none"/>
          <w:tab w:pos="2191" w:val="left" w:leader="none"/>
        </w:tabs>
        <w:spacing w:line="273" w:lineRule="auto" w:before="1" w:after="0"/>
        <w:ind w:left="2191" w:right="1606" w:hanging="284"/>
        <w:jc w:val="both"/>
        <w:rPr>
          <w:sz w:val="22"/>
        </w:rPr>
      </w:pPr>
      <w:r>
        <w:rPr>
          <w:b/>
          <w:sz w:val="22"/>
        </w:rPr>
        <w:t>Garantías FIDEIMAS: </w:t>
      </w:r>
      <w:r>
        <w:rPr>
          <w:sz w:val="22"/>
        </w:rPr>
        <w:t>facilita el acceso a préstamos reembolsables con respaldo de</w:t>
      </w:r>
      <w:r>
        <w:rPr>
          <w:spacing w:val="-1"/>
          <w:sz w:val="22"/>
        </w:rPr>
        <w:t> </w:t>
      </w:r>
      <w:r>
        <w:rPr>
          <w:sz w:val="22"/>
        </w:rPr>
        <w:t>garantías ante los intermediarios</w:t>
      </w:r>
      <w:r>
        <w:rPr>
          <w:spacing w:val="-2"/>
          <w:sz w:val="22"/>
        </w:rPr>
        <w:t> </w:t>
      </w:r>
      <w:r>
        <w:rPr>
          <w:sz w:val="22"/>
        </w:rPr>
        <w:t>financieros,</w:t>
      </w:r>
      <w:r>
        <w:rPr>
          <w:spacing w:val="-4"/>
          <w:sz w:val="22"/>
        </w:rPr>
        <w:t> </w:t>
      </w:r>
      <w:r>
        <w:rPr>
          <w:sz w:val="22"/>
        </w:rPr>
        <w:t>para que fortalezcan</w:t>
      </w:r>
      <w:r>
        <w:rPr>
          <w:spacing w:val="-3"/>
          <w:sz w:val="22"/>
        </w:rPr>
        <w:t> </w:t>
      </w:r>
      <w:r>
        <w:rPr>
          <w:sz w:val="22"/>
        </w:rPr>
        <w:t>o consoliden una actividad productiva que les permita la generación de ingresos.</w:t>
      </w:r>
    </w:p>
    <w:p>
      <w:pPr>
        <w:pStyle w:val="BodyText"/>
        <w:spacing w:before="67"/>
      </w:pPr>
    </w:p>
    <w:p>
      <w:pPr>
        <w:pStyle w:val="ListParagraph"/>
        <w:numPr>
          <w:ilvl w:val="0"/>
          <w:numId w:val="19"/>
        </w:numPr>
        <w:tabs>
          <w:tab w:pos="2189" w:val="left" w:leader="none"/>
          <w:tab w:pos="2191" w:val="left" w:leader="none"/>
        </w:tabs>
        <w:spacing w:line="273" w:lineRule="auto" w:before="0" w:after="0"/>
        <w:ind w:left="2191" w:right="1620" w:hanging="284"/>
        <w:jc w:val="both"/>
        <w:rPr>
          <w:sz w:val="22"/>
        </w:rPr>
      </w:pPr>
      <w:r>
        <w:rPr>
          <w:b/>
          <w:sz w:val="22"/>
        </w:rPr>
        <w:t>Servicios de apoyo FIDEIMAS</w:t>
      </w:r>
      <w:r>
        <w:rPr>
          <w:sz w:val="22"/>
        </w:rPr>
        <w:t>: brindan oportunidades a las personas o grupos que</w:t>
      </w:r>
      <w:r>
        <w:rPr>
          <w:spacing w:val="-13"/>
          <w:sz w:val="22"/>
        </w:rPr>
        <w:t> </w:t>
      </w:r>
      <w:r>
        <w:rPr>
          <w:sz w:val="22"/>
        </w:rPr>
        <w:t>requieren</w:t>
      </w:r>
      <w:r>
        <w:rPr>
          <w:spacing w:val="-13"/>
          <w:sz w:val="22"/>
        </w:rPr>
        <w:t> </w:t>
      </w:r>
      <w:r>
        <w:rPr>
          <w:sz w:val="22"/>
        </w:rPr>
        <w:t>capacitación,</w:t>
      </w:r>
      <w:r>
        <w:rPr>
          <w:spacing w:val="-12"/>
          <w:sz w:val="22"/>
        </w:rPr>
        <w:t> </w:t>
      </w:r>
      <w:r>
        <w:rPr>
          <w:sz w:val="22"/>
        </w:rPr>
        <w:t>asistencia</w:t>
      </w:r>
      <w:r>
        <w:rPr>
          <w:spacing w:val="-13"/>
          <w:sz w:val="22"/>
        </w:rPr>
        <w:t> </w:t>
      </w:r>
      <w:r>
        <w:rPr>
          <w:sz w:val="22"/>
        </w:rPr>
        <w:t>técnica</w:t>
      </w:r>
      <w:r>
        <w:rPr>
          <w:spacing w:val="-16"/>
          <w:sz w:val="22"/>
        </w:rPr>
        <w:t> </w:t>
      </w:r>
      <w:r>
        <w:rPr>
          <w:sz w:val="22"/>
        </w:rPr>
        <w:t>y</w:t>
      </w:r>
      <w:r>
        <w:rPr>
          <w:spacing w:val="-12"/>
          <w:sz w:val="22"/>
        </w:rPr>
        <w:t> </w:t>
      </w:r>
      <w:r>
        <w:rPr>
          <w:sz w:val="22"/>
        </w:rPr>
        <w:t>seguimiento</w:t>
      </w:r>
      <w:r>
        <w:rPr>
          <w:spacing w:val="-13"/>
          <w:sz w:val="22"/>
        </w:rPr>
        <w:t> </w:t>
      </w:r>
      <w:r>
        <w:rPr>
          <w:sz w:val="22"/>
        </w:rPr>
        <w:t>para</w:t>
      </w:r>
      <w:r>
        <w:rPr>
          <w:spacing w:val="-16"/>
          <w:sz w:val="22"/>
        </w:rPr>
        <w:t> </w:t>
      </w:r>
      <w:r>
        <w:rPr>
          <w:sz w:val="22"/>
        </w:rPr>
        <w:t>el</w:t>
      </w:r>
      <w:r>
        <w:rPr>
          <w:spacing w:val="-13"/>
          <w:sz w:val="22"/>
        </w:rPr>
        <w:t> </w:t>
      </w:r>
      <w:r>
        <w:rPr>
          <w:sz w:val="22"/>
        </w:rPr>
        <w:t>fortalecimiento y desarrollo de emprendimientos productivos.</w:t>
      </w:r>
    </w:p>
    <w:p>
      <w:pPr>
        <w:pStyle w:val="BodyText"/>
        <w:spacing w:before="68"/>
      </w:pPr>
    </w:p>
    <w:p>
      <w:pPr>
        <w:pStyle w:val="ListParagraph"/>
        <w:numPr>
          <w:ilvl w:val="0"/>
          <w:numId w:val="19"/>
        </w:numPr>
        <w:tabs>
          <w:tab w:pos="2189" w:val="left" w:leader="none"/>
          <w:tab w:pos="2191" w:val="left" w:leader="none"/>
        </w:tabs>
        <w:spacing w:line="276" w:lineRule="auto" w:before="1" w:after="0"/>
        <w:ind w:left="2191" w:right="1606" w:hanging="284"/>
        <w:jc w:val="both"/>
        <w:rPr>
          <w:sz w:val="22"/>
        </w:rPr>
      </w:pPr>
      <w:r>
        <w:rPr>
          <w:b/>
          <w:sz w:val="22"/>
        </w:rPr>
        <w:t>Subsidio</w:t>
      </w:r>
      <w:r>
        <w:rPr>
          <w:b/>
          <w:spacing w:val="-10"/>
          <w:sz w:val="22"/>
        </w:rPr>
        <w:t> </w:t>
      </w:r>
      <w:r>
        <w:rPr>
          <w:b/>
          <w:sz w:val="22"/>
        </w:rPr>
        <w:t>Capacitación</w:t>
      </w:r>
      <w:r>
        <w:rPr>
          <w:sz w:val="22"/>
        </w:rPr>
        <w:t>:</w:t>
      </w:r>
      <w:r>
        <w:rPr>
          <w:spacing w:val="-11"/>
          <w:sz w:val="22"/>
        </w:rPr>
        <w:t> </w:t>
      </w:r>
      <w:r>
        <w:rPr>
          <w:sz w:val="22"/>
        </w:rPr>
        <w:t>consiste</w:t>
      </w:r>
      <w:r>
        <w:rPr>
          <w:spacing w:val="-10"/>
          <w:sz w:val="22"/>
        </w:rPr>
        <w:t> </w:t>
      </w:r>
      <w:r>
        <w:rPr>
          <w:sz w:val="22"/>
        </w:rPr>
        <w:t>en</w:t>
      </w:r>
      <w:r>
        <w:rPr>
          <w:spacing w:val="-10"/>
          <w:sz w:val="22"/>
        </w:rPr>
        <w:t> </w:t>
      </w:r>
      <w:r>
        <w:rPr>
          <w:sz w:val="22"/>
        </w:rPr>
        <w:t>el</w:t>
      </w:r>
      <w:r>
        <w:rPr>
          <w:spacing w:val="-11"/>
          <w:sz w:val="22"/>
        </w:rPr>
        <w:t> </w:t>
      </w:r>
      <w:r>
        <w:rPr>
          <w:sz w:val="22"/>
        </w:rPr>
        <w:t>apoyo</w:t>
      </w:r>
      <w:r>
        <w:rPr>
          <w:spacing w:val="-13"/>
          <w:sz w:val="22"/>
        </w:rPr>
        <w:t> </w:t>
      </w:r>
      <w:r>
        <w:rPr>
          <w:sz w:val="22"/>
        </w:rPr>
        <w:t>financiero</w:t>
      </w:r>
      <w:r>
        <w:rPr>
          <w:spacing w:val="-9"/>
          <w:sz w:val="22"/>
        </w:rPr>
        <w:t> </w:t>
      </w:r>
      <w:r>
        <w:rPr>
          <w:sz w:val="22"/>
        </w:rPr>
        <w:t>no</w:t>
      </w:r>
      <w:r>
        <w:rPr>
          <w:spacing w:val="-10"/>
          <w:sz w:val="22"/>
        </w:rPr>
        <w:t> </w:t>
      </w:r>
      <w:r>
        <w:rPr>
          <w:sz w:val="22"/>
        </w:rPr>
        <w:t>reembolsable</w:t>
      </w:r>
      <w:r>
        <w:rPr>
          <w:spacing w:val="-10"/>
          <w:sz w:val="22"/>
        </w:rPr>
        <w:t> </w:t>
      </w:r>
      <w:r>
        <w:rPr>
          <w:sz w:val="22"/>
        </w:rPr>
        <w:t>dirigido</w:t>
      </w:r>
      <w:r>
        <w:rPr>
          <w:spacing w:val="-10"/>
          <w:sz w:val="22"/>
        </w:rPr>
        <w:t> </w:t>
      </w:r>
      <w:r>
        <w:rPr>
          <w:sz w:val="22"/>
        </w:rPr>
        <w:t>a personas que requieren fortalecer sus competencias mediante la capacitación técnica, microempresarial y participación en ferias con la finalidad de facilitar el acceso al</w:t>
      </w:r>
      <w:r>
        <w:rPr>
          <w:spacing w:val="-2"/>
          <w:sz w:val="22"/>
        </w:rPr>
        <w:t> </w:t>
      </w:r>
      <w:r>
        <w:rPr>
          <w:sz w:val="22"/>
        </w:rPr>
        <w:t>empleo, mejorar su desempeño</w:t>
      </w:r>
      <w:r>
        <w:rPr>
          <w:spacing w:val="-1"/>
          <w:sz w:val="22"/>
        </w:rPr>
        <w:t> </w:t>
      </w:r>
      <w:r>
        <w:rPr>
          <w:sz w:val="22"/>
        </w:rPr>
        <w:t>en</w:t>
      </w:r>
      <w:r>
        <w:rPr>
          <w:spacing w:val="-3"/>
          <w:sz w:val="22"/>
        </w:rPr>
        <w:t> </w:t>
      </w:r>
      <w:r>
        <w:rPr>
          <w:sz w:val="22"/>
        </w:rPr>
        <w:t>la actividad organizacional,</w:t>
      </w:r>
      <w:r>
        <w:rPr>
          <w:spacing w:val="-1"/>
          <w:sz w:val="22"/>
        </w:rPr>
        <w:t> </w:t>
      </w:r>
      <w:r>
        <w:rPr>
          <w:sz w:val="22"/>
        </w:rPr>
        <w:t>así como el desarrollo o mejora en la ejecución de emprendimientos productivos.</w:t>
      </w:r>
    </w:p>
    <w:p>
      <w:pPr>
        <w:pStyle w:val="BodyText"/>
        <w:spacing w:line="276" w:lineRule="auto"/>
        <w:ind w:left="2191" w:right="1604"/>
        <w:jc w:val="both"/>
      </w:pPr>
      <w:r>
        <w:rPr/>
        <w:t>Incluye</w:t>
      </w:r>
      <w:r>
        <w:rPr>
          <w:spacing w:val="-8"/>
        </w:rPr>
        <w:t> </w:t>
      </w:r>
      <w:r>
        <w:rPr/>
        <w:t>además</w:t>
      </w:r>
      <w:r>
        <w:rPr>
          <w:spacing w:val="-7"/>
        </w:rPr>
        <w:t> </w:t>
      </w:r>
      <w:r>
        <w:rPr/>
        <w:t>del</w:t>
      </w:r>
      <w:r>
        <w:rPr>
          <w:spacing w:val="-10"/>
        </w:rPr>
        <w:t> </w:t>
      </w:r>
      <w:r>
        <w:rPr/>
        <w:t>costo</w:t>
      </w:r>
      <w:r>
        <w:rPr>
          <w:spacing w:val="-7"/>
        </w:rPr>
        <w:t> </w:t>
      </w:r>
      <w:r>
        <w:rPr/>
        <w:t>de</w:t>
      </w:r>
      <w:r>
        <w:rPr>
          <w:spacing w:val="-8"/>
        </w:rPr>
        <w:t> </w:t>
      </w:r>
      <w:r>
        <w:rPr/>
        <w:t>la</w:t>
      </w:r>
      <w:r>
        <w:rPr>
          <w:spacing w:val="-10"/>
        </w:rPr>
        <w:t> </w:t>
      </w:r>
      <w:r>
        <w:rPr/>
        <w:t>matrícula</w:t>
      </w:r>
      <w:r>
        <w:rPr>
          <w:spacing w:val="-7"/>
        </w:rPr>
        <w:t> </w:t>
      </w:r>
      <w:r>
        <w:rPr/>
        <w:t>y</w:t>
      </w:r>
      <w:r>
        <w:rPr>
          <w:spacing w:val="-9"/>
        </w:rPr>
        <w:t> </w:t>
      </w:r>
      <w:r>
        <w:rPr/>
        <w:t>mensualidades,</w:t>
      </w:r>
      <w:r>
        <w:rPr>
          <w:spacing w:val="-6"/>
        </w:rPr>
        <w:t> </w:t>
      </w:r>
      <w:r>
        <w:rPr/>
        <w:t>otros</w:t>
      </w:r>
      <w:r>
        <w:rPr>
          <w:spacing w:val="-7"/>
        </w:rPr>
        <w:t> </w:t>
      </w:r>
      <w:r>
        <w:rPr/>
        <w:t>costos</w:t>
      </w:r>
      <w:r>
        <w:rPr>
          <w:spacing w:val="-10"/>
        </w:rPr>
        <w:t> </w:t>
      </w:r>
      <w:r>
        <w:rPr/>
        <w:t>necesarios para la participación</w:t>
      </w:r>
      <w:r>
        <w:rPr>
          <w:spacing w:val="-1"/>
        </w:rPr>
        <w:t> </w:t>
      </w:r>
      <w:r>
        <w:rPr/>
        <w:t>plena de</w:t>
      </w:r>
      <w:r>
        <w:rPr>
          <w:spacing w:val="-1"/>
        </w:rPr>
        <w:t> </w:t>
      </w:r>
      <w:r>
        <w:rPr/>
        <w:t>las personas en</w:t>
      </w:r>
      <w:r>
        <w:rPr>
          <w:spacing w:val="-3"/>
        </w:rPr>
        <w:t> </w:t>
      </w:r>
      <w:r>
        <w:rPr/>
        <w:t>procesos de</w:t>
      </w:r>
      <w:r>
        <w:rPr>
          <w:spacing w:val="-1"/>
        </w:rPr>
        <w:t> </w:t>
      </w:r>
      <w:r>
        <w:rPr/>
        <w:t>capacitación,</w:t>
      </w:r>
      <w:r>
        <w:rPr>
          <w:spacing w:val="-1"/>
        </w:rPr>
        <w:t> </w:t>
      </w:r>
      <w:r>
        <w:rPr/>
        <w:t>así como los</w:t>
      </w:r>
      <w:r>
        <w:rPr>
          <w:spacing w:val="-16"/>
        </w:rPr>
        <w:t> </w:t>
      </w:r>
      <w:r>
        <w:rPr/>
        <w:t>costos</w:t>
      </w:r>
      <w:r>
        <w:rPr>
          <w:spacing w:val="-15"/>
        </w:rPr>
        <w:t> </w:t>
      </w:r>
      <w:r>
        <w:rPr/>
        <w:t>asociados</w:t>
      </w:r>
      <w:r>
        <w:rPr>
          <w:spacing w:val="-15"/>
        </w:rPr>
        <w:t> </w:t>
      </w:r>
      <w:r>
        <w:rPr/>
        <w:t>a</w:t>
      </w:r>
      <w:r>
        <w:rPr>
          <w:spacing w:val="-16"/>
        </w:rPr>
        <w:t> </w:t>
      </w:r>
      <w:r>
        <w:rPr/>
        <w:t>la</w:t>
      </w:r>
      <w:r>
        <w:rPr>
          <w:spacing w:val="-15"/>
        </w:rPr>
        <w:t> </w:t>
      </w:r>
      <w:r>
        <w:rPr/>
        <w:t>participación</w:t>
      </w:r>
      <w:r>
        <w:rPr>
          <w:spacing w:val="-15"/>
        </w:rPr>
        <w:t> </w:t>
      </w:r>
      <w:r>
        <w:rPr/>
        <w:t>en</w:t>
      </w:r>
      <w:r>
        <w:rPr>
          <w:spacing w:val="-15"/>
        </w:rPr>
        <w:t> </w:t>
      </w:r>
      <w:r>
        <w:rPr/>
        <w:t>ferias</w:t>
      </w:r>
      <w:r>
        <w:rPr>
          <w:spacing w:val="-16"/>
        </w:rPr>
        <w:t> </w:t>
      </w:r>
      <w:r>
        <w:rPr/>
        <w:t>e</w:t>
      </w:r>
      <w:r>
        <w:rPr>
          <w:spacing w:val="-15"/>
        </w:rPr>
        <w:t> </w:t>
      </w:r>
      <w:r>
        <w:rPr/>
        <w:t>intercambio</w:t>
      </w:r>
      <w:r>
        <w:rPr>
          <w:spacing w:val="-15"/>
        </w:rPr>
        <w:t> </w:t>
      </w:r>
      <w:r>
        <w:rPr/>
        <w:t>de</w:t>
      </w:r>
      <w:r>
        <w:rPr>
          <w:spacing w:val="-16"/>
        </w:rPr>
        <w:t> </w:t>
      </w:r>
      <w:r>
        <w:rPr/>
        <w:t>experiencias</w:t>
      </w:r>
      <w:r>
        <w:rPr>
          <w:spacing w:val="-15"/>
        </w:rPr>
        <w:t> </w:t>
      </w:r>
      <w:r>
        <w:rPr/>
        <w:t>como materiales, hospedaje, transporte, alimentación y otros requeridos para estas actividades de promoción. Se considerará el financiamiento de un proceso de capacitación como un solo subsidio, aunque el desembolso correspondiente se realice en varios eventos durante varios meses.</w:t>
      </w:r>
    </w:p>
    <w:p>
      <w:pPr>
        <w:pStyle w:val="BodyText"/>
        <w:spacing w:before="34"/>
      </w:pPr>
    </w:p>
    <w:p>
      <w:pPr>
        <w:pStyle w:val="ListParagraph"/>
        <w:numPr>
          <w:ilvl w:val="0"/>
          <w:numId w:val="19"/>
        </w:numPr>
        <w:tabs>
          <w:tab w:pos="2189" w:val="left" w:leader="none"/>
          <w:tab w:pos="2191" w:val="left" w:leader="none"/>
        </w:tabs>
        <w:spacing w:line="276" w:lineRule="auto" w:before="0" w:after="0"/>
        <w:ind w:left="2191" w:right="1616" w:hanging="284"/>
        <w:jc w:val="both"/>
        <w:rPr>
          <w:sz w:val="22"/>
        </w:rPr>
      </w:pPr>
      <w:r>
        <w:rPr>
          <w:b/>
          <w:sz w:val="22"/>
        </w:rPr>
        <w:t>Subsidio</w:t>
      </w:r>
      <w:r>
        <w:rPr>
          <w:b/>
          <w:spacing w:val="-16"/>
          <w:sz w:val="22"/>
        </w:rPr>
        <w:t> </w:t>
      </w:r>
      <w:r>
        <w:rPr>
          <w:b/>
          <w:sz w:val="22"/>
        </w:rPr>
        <w:t>Emprendimiento</w:t>
      </w:r>
      <w:r>
        <w:rPr>
          <w:b/>
          <w:spacing w:val="-15"/>
          <w:sz w:val="22"/>
        </w:rPr>
        <w:t> </w:t>
      </w:r>
      <w:r>
        <w:rPr>
          <w:b/>
          <w:sz w:val="22"/>
        </w:rPr>
        <w:t>Productivo</w:t>
      </w:r>
      <w:r>
        <w:rPr>
          <w:b/>
          <w:spacing w:val="-15"/>
          <w:sz w:val="22"/>
        </w:rPr>
        <w:t> </w:t>
      </w:r>
      <w:r>
        <w:rPr>
          <w:b/>
          <w:sz w:val="22"/>
        </w:rPr>
        <w:t>Individual</w:t>
      </w:r>
      <w:r>
        <w:rPr>
          <w:sz w:val="22"/>
        </w:rPr>
        <w:t>:</w:t>
      </w:r>
      <w:r>
        <w:rPr>
          <w:spacing w:val="-16"/>
          <w:sz w:val="22"/>
        </w:rPr>
        <w:t> </w:t>
      </w:r>
      <w:r>
        <w:rPr>
          <w:sz w:val="22"/>
        </w:rPr>
        <w:t>consiste</w:t>
      </w:r>
      <w:r>
        <w:rPr>
          <w:spacing w:val="-15"/>
          <w:sz w:val="22"/>
        </w:rPr>
        <w:t> </w:t>
      </w:r>
      <w:r>
        <w:rPr>
          <w:sz w:val="22"/>
        </w:rPr>
        <w:t>en</w:t>
      </w:r>
      <w:r>
        <w:rPr>
          <w:spacing w:val="-15"/>
          <w:sz w:val="22"/>
        </w:rPr>
        <w:t> </w:t>
      </w:r>
      <w:r>
        <w:rPr>
          <w:sz w:val="22"/>
        </w:rPr>
        <w:t>el</w:t>
      </w:r>
      <w:r>
        <w:rPr>
          <w:spacing w:val="-15"/>
          <w:sz w:val="22"/>
        </w:rPr>
        <w:t> </w:t>
      </w:r>
      <w:r>
        <w:rPr>
          <w:sz w:val="22"/>
        </w:rPr>
        <w:t>apoyo</w:t>
      </w:r>
      <w:r>
        <w:rPr>
          <w:spacing w:val="-16"/>
          <w:sz w:val="22"/>
        </w:rPr>
        <w:t> </w:t>
      </w:r>
      <w:r>
        <w:rPr>
          <w:sz w:val="22"/>
        </w:rPr>
        <w:t>financiero no reembolsable para facilitar la creación y el fortalecimiento de emprendimientos productivos lícitos, con la finalidad de estimular e impulsar la generación del autoempleo</w:t>
      </w:r>
      <w:r>
        <w:rPr>
          <w:spacing w:val="-7"/>
          <w:sz w:val="22"/>
        </w:rPr>
        <w:t> </w:t>
      </w:r>
      <w:r>
        <w:rPr>
          <w:sz w:val="22"/>
        </w:rPr>
        <w:t>y</w:t>
      </w:r>
      <w:r>
        <w:rPr>
          <w:spacing w:val="-6"/>
          <w:sz w:val="22"/>
        </w:rPr>
        <w:t> </w:t>
      </w:r>
      <w:r>
        <w:rPr>
          <w:sz w:val="22"/>
        </w:rPr>
        <w:t>el</w:t>
      </w:r>
      <w:r>
        <w:rPr>
          <w:spacing w:val="-7"/>
          <w:sz w:val="22"/>
        </w:rPr>
        <w:t> </w:t>
      </w:r>
      <w:r>
        <w:rPr>
          <w:sz w:val="22"/>
        </w:rPr>
        <w:t>empleo,</w:t>
      </w:r>
      <w:r>
        <w:rPr>
          <w:spacing w:val="-7"/>
          <w:sz w:val="22"/>
        </w:rPr>
        <w:t> </w:t>
      </w:r>
      <w:r>
        <w:rPr>
          <w:sz w:val="22"/>
        </w:rPr>
        <w:t>mediante</w:t>
      </w:r>
      <w:r>
        <w:rPr>
          <w:spacing w:val="-6"/>
          <w:sz w:val="22"/>
        </w:rPr>
        <w:t> </w:t>
      </w:r>
      <w:r>
        <w:rPr>
          <w:sz w:val="22"/>
        </w:rPr>
        <w:t>el</w:t>
      </w:r>
      <w:r>
        <w:rPr>
          <w:spacing w:val="-7"/>
          <w:sz w:val="22"/>
        </w:rPr>
        <w:t> </w:t>
      </w:r>
      <w:r>
        <w:rPr>
          <w:sz w:val="22"/>
        </w:rPr>
        <w:t>otorgamiento</w:t>
      </w:r>
      <w:r>
        <w:rPr>
          <w:spacing w:val="-6"/>
          <w:sz w:val="22"/>
        </w:rPr>
        <w:t> </w:t>
      </w:r>
      <w:r>
        <w:rPr>
          <w:sz w:val="22"/>
        </w:rPr>
        <w:t>de</w:t>
      </w:r>
      <w:r>
        <w:rPr>
          <w:spacing w:val="-7"/>
          <w:sz w:val="22"/>
        </w:rPr>
        <w:t> </w:t>
      </w:r>
      <w:r>
        <w:rPr>
          <w:sz w:val="22"/>
        </w:rPr>
        <w:t>recursos</w:t>
      </w:r>
      <w:r>
        <w:rPr>
          <w:spacing w:val="40"/>
          <w:sz w:val="22"/>
        </w:rPr>
        <w:t> </w:t>
      </w:r>
      <w:r>
        <w:rPr>
          <w:sz w:val="22"/>
        </w:rPr>
        <w:t>para</w:t>
      </w:r>
      <w:r>
        <w:rPr>
          <w:spacing w:val="-9"/>
          <w:sz w:val="22"/>
        </w:rPr>
        <w:t> </w:t>
      </w:r>
      <w:r>
        <w:rPr>
          <w:sz w:val="22"/>
        </w:rPr>
        <w:t>la</w:t>
      </w:r>
      <w:r>
        <w:rPr>
          <w:spacing w:val="-6"/>
          <w:sz w:val="22"/>
        </w:rPr>
        <w:t> </w:t>
      </w:r>
      <w:r>
        <w:rPr>
          <w:sz w:val="22"/>
        </w:rPr>
        <w:t>adquisición de</w:t>
      </w:r>
      <w:r>
        <w:rPr>
          <w:spacing w:val="-3"/>
          <w:sz w:val="22"/>
        </w:rPr>
        <w:t> </w:t>
      </w:r>
      <w:r>
        <w:rPr>
          <w:sz w:val="22"/>
        </w:rPr>
        <w:t>maquinaria y</w:t>
      </w:r>
      <w:r>
        <w:rPr>
          <w:spacing w:val="-3"/>
          <w:sz w:val="22"/>
        </w:rPr>
        <w:t> </w:t>
      </w:r>
      <w:r>
        <w:rPr>
          <w:sz w:val="22"/>
        </w:rPr>
        <w:t>equipo,</w:t>
      </w:r>
      <w:r>
        <w:rPr>
          <w:spacing w:val="-4"/>
          <w:sz w:val="22"/>
        </w:rPr>
        <w:t> </w:t>
      </w:r>
      <w:r>
        <w:rPr>
          <w:sz w:val="22"/>
        </w:rPr>
        <w:t>materia prima, apoyo</w:t>
      </w:r>
      <w:r>
        <w:rPr>
          <w:spacing w:val="-3"/>
          <w:sz w:val="22"/>
        </w:rPr>
        <w:t> </w:t>
      </w:r>
      <w:r>
        <w:rPr>
          <w:sz w:val="22"/>
        </w:rPr>
        <w:t>en</w:t>
      </w:r>
      <w:r>
        <w:rPr>
          <w:spacing w:val="-5"/>
          <w:sz w:val="22"/>
        </w:rPr>
        <w:t> </w:t>
      </w:r>
      <w:r>
        <w:rPr>
          <w:sz w:val="22"/>
        </w:rPr>
        <w:t>la comercialización,</w:t>
      </w:r>
      <w:r>
        <w:rPr>
          <w:spacing w:val="-1"/>
          <w:sz w:val="22"/>
        </w:rPr>
        <w:t> </w:t>
      </w:r>
      <w:r>
        <w:rPr>
          <w:sz w:val="22"/>
        </w:rPr>
        <w:t>reparación</w:t>
      </w:r>
      <w:r>
        <w:rPr>
          <w:spacing w:val="-1"/>
          <w:sz w:val="22"/>
        </w:rPr>
        <w:t> </w:t>
      </w:r>
      <w:r>
        <w:rPr>
          <w:sz w:val="22"/>
        </w:rPr>
        <w:t>o mantenimiento de equipo, construcción de obras de infraestructura productiva individual, mejoras de</w:t>
      </w:r>
      <w:r>
        <w:rPr>
          <w:spacing w:val="-1"/>
          <w:sz w:val="22"/>
        </w:rPr>
        <w:t> </w:t>
      </w:r>
      <w:r>
        <w:rPr>
          <w:sz w:val="22"/>
        </w:rPr>
        <w:t>infraestructura productiva</w:t>
      </w:r>
      <w:r>
        <w:rPr>
          <w:spacing w:val="-3"/>
          <w:sz w:val="22"/>
        </w:rPr>
        <w:t> </w:t>
      </w:r>
      <w:r>
        <w:rPr>
          <w:sz w:val="22"/>
        </w:rPr>
        <w:t>individual</w:t>
      </w:r>
      <w:r>
        <w:rPr>
          <w:spacing w:val="-2"/>
          <w:sz w:val="22"/>
        </w:rPr>
        <w:t> </w:t>
      </w:r>
      <w:r>
        <w:rPr>
          <w:sz w:val="22"/>
        </w:rPr>
        <w:t>existente y otros que se demanden en el inicio o fortalecimiento de la actividad emprendida.</w:t>
      </w:r>
    </w:p>
    <w:p>
      <w:pPr>
        <w:pStyle w:val="BodyText"/>
        <w:spacing w:before="62"/>
      </w:pPr>
    </w:p>
    <w:p>
      <w:pPr>
        <w:pStyle w:val="ListParagraph"/>
        <w:numPr>
          <w:ilvl w:val="0"/>
          <w:numId w:val="19"/>
        </w:numPr>
        <w:tabs>
          <w:tab w:pos="2189" w:val="left" w:leader="none"/>
          <w:tab w:pos="2191" w:val="left" w:leader="none"/>
        </w:tabs>
        <w:spacing w:line="276" w:lineRule="auto" w:before="0" w:after="0"/>
        <w:ind w:left="2191" w:right="1618" w:hanging="284"/>
        <w:jc w:val="both"/>
        <w:rPr>
          <w:sz w:val="22"/>
        </w:rPr>
      </w:pPr>
      <w:r>
        <w:rPr>
          <w:b/>
          <w:sz w:val="22"/>
        </w:rPr>
        <w:t>Subsidio</w:t>
      </w:r>
      <w:r>
        <w:rPr>
          <w:b/>
          <w:spacing w:val="-16"/>
          <w:sz w:val="22"/>
        </w:rPr>
        <w:t> </w:t>
      </w:r>
      <w:r>
        <w:rPr>
          <w:b/>
          <w:sz w:val="22"/>
        </w:rPr>
        <w:t>Equipamiento</w:t>
      </w:r>
      <w:r>
        <w:rPr>
          <w:b/>
          <w:spacing w:val="-15"/>
          <w:sz w:val="22"/>
        </w:rPr>
        <w:t> </w:t>
      </w:r>
      <w:r>
        <w:rPr>
          <w:b/>
          <w:sz w:val="22"/>
        </w:rPr>
        <w:t>básico</w:t>
      </w:r>
      <w:r>
        <w:rPr>
          <w:b/>
          <w:spacing w:val="-15"/>
          <w:sz w:val="22"/>
        </w:rPr>
        <w:t> </w:t>
      </w:r>
      <w:r>
        <w:rPr>
          <w:b/>
          <w:sz w:val="22"/>
        </w:rPr>
        <w:t>para</w:t>
      </w:r>
      <w:r>
        <w:rPr>
          <w:b/>
          <w:spacing w:val="-16"/>
          <w:sz w:val="22"/>
        </w:rPr>
        <w:t> </w:t>
      </w:r>
      <w:r>
        <w:rPr>
          <w:b/>
          <w:sz w:val="22"/>
        </w:rPr>
        <w:t>sujetos</w:t>
      </w:r>
      <w:r>
        <w:rPr>
          <w:b/>
          <w:spacing w:val="-15"/>
          <w:sz w:val="22"/>
        </w:rPr>
        <w:t> </w:t>
      </w:r>
      <w:r>
        <w:rPr>
          <w:b/>
          <w:sz w:val="22"/>
        </w:rPr>
        <w:t>de</w:t>
      </w:r>
      <w:r>
        <w:rPr>
          <w:b/>
          <w:spacing w:val="-15"/>
          <w:sz w:val="22"/>
        </w:rPr>
        <w:t> </w:t>
      </w:r>
      <w:r>
        <w:rPr>
          <w:b/>
          <w:sz w:val="22"/>
        </w:rPr>
        <w:t>derecho</w:t>
      </w:r>
      <w:r>
        <w:rPr>
          <w:b/>
          <w:spacing w:val="-15"/>
          <w:sz w:val="22"/>
        </w:rPr>
        <w:t> </w:t>
      </w:r>
      <w:r>
        <w:rPr>
          <w:b/>
          <w:sz w:val="22"/>
        </w:rPr>
        <w:t>privado</w:t>
      </w:r>
      <w:r>
        <w:rPr>
          <w:sz w:val="22"/>
        </w:rPr>
        <w:t>:</w:t>
      </w:r>
      <w:r>
        <w:rPr>
          <w:spacing w:val="-16"/>
          <w:sz w:val="22"/>
        </w:rPr>
        <w:t> </w:t>
      </w:r>
      <w:r>
        <w:rPr>
          <w:sz w:val="22"/>
        </w:rPr>
        <w:t>constituye</w:t>
      </w:r>
      <w:r>
        <w:rPr>
          <w:spacing w:val="-15"/>
          <w:sz w:val="22"/>
        </w:rPr>
        <w:t> </w:t>
      </w:r>
      <w:r>
        <w:rPr>
          <w:sz w:val="22"/>
        </w:rPr>
        <w:t>una transferencia económica no reembolsable otorgada a sujetos privados, para la adquisición de equipamiento, con el fin de implementar o fortalecer los servicios que se ofrecen a los miembros de una comunidad u organización, según las necesidades priorizadas por el IMAS.</w:t>
      </w:r>
    </w:p>
    <w:p>
      <w:pPr>
        <w:pStyle w:val="Heading4"/>
        <w:spacing w:line="276" w:lineRule="auto"/>
        <w:ind w:right="1611"/>
      </w:pPr>
      <w:r>
        <w:rPr/>
        <w:t>Este</w:t>
      </w:r>
      <w:r>
        <w:rPr>
          <w:spacing w:val="-11"/>
        </w:rPr>
        <w:t> </w:t>
      </w:r>
      <w:r>
        <w:rPr/>
        <w:t>subsidio</w:t>
      </w:r>
      <w:r>
        <w:rPr>
          <w:spacing w:val="-14"/>
        </w:rPr>
        <w:t> </w:t>
      </w:r>
      <w:r>
        <w:rPr/>
        <w:t>apoya</w:t>
      </w:r>
      <w:r>
        <w:rPr>
          <w:spacing w:val="-11"/>
        </w:rPr>
        <w:t> </w:t>
      </w:r>
      <w:r>
        <w:rPr/>
        <w:t>los</w:t>
      </w:r>
      <w:r>
        <w:rPr>
          <w:spacing w:val="-12"/>
        </w:rPr>
        <w:t> </w:t>
      </w:r>
      <w:r>
        <w:rPr/>
        <w:t>proyectos</w:t>
      </w:r>
      <w:r>
        <w:rPr>
          <w:spacing w:val="-12"/>
        </w:rPr>
        <w:t> </w:t>
      </w:r>
      <w:r>
        <w:rPr/>
        <w:t>desarrollados</w:t>
      </w:r>
      <w:r>
        <w:rPr>
          <w:spacing w:val="-12"/>
        </w:rPr>
        <w:t> </w:t>
      </w:r>
      <w:r>
        <w:rPr/>
        <w:t>por</w:t>
      </w:r>
      <w:r>
        <w:rPr>
          <w:spacing w:val="-13"/>
        </w:rPr>
        <w:t> </w:t>
      </w:r>
      <w:r>
        <w:rPr/>
        <w:t>sujetos</w:t>
      </w:r>
      <w:r>
        <w:rPr>
          <w:spacing w:val="-12"/>
        </w:rPr>
        <w:t> </w:t>
      </w:r>
      <w:r>
        <w:rPr/>
        <w:t>privados</w:t>
      </w:r>
      <w:r>
        <w:rPr>
          <w:spacing w:val="-12"/>
        </w:rPr>
        <w:t> </w:t>
      </w:r>
      <w:r>
        <w:rPr/>
        <w:t>que</w:t>
      </w:r>
      <w:r>
        <w:rPr>
          <w:spacing w:val="-11"/>
        </w:rPr>
        <w:t> </w:t>
      </w:r>
      <w:r>
        <w:rPr/>
        <w:t>no están</w:t>
      </w:r>
      <w:r>
        <w:rPr>
          <w:spacing w:val="-7"/>
        </w:rPr>
        <w:t> </w:t>
      </w:r>
      <w:r>
        <w:rPr/>
        <w:t>orientados</w:t>
      </w:r>
      <w:r>
        <w:rPr>
          <w:spacing w:val="-5"/>
        </w:rPr>
        <w:t> </w:t>
      </w:r>
      <w:r>
        <w:rPr/>
        <w:t>a</w:t>
      </w:r>
      <w:r>
        <w:rPr>
          <w:spacing w:val="-5"/>
        </w:rPr>
        <w:t> </w:t>
      </w:r>
      <w:r>
        <w:rPr/>
        <w:t>la</w:t>
      </w:r>
      <w:r>
        <w:rPr>
          <w:spacing w:val="-7"/>
        </w:rPr>
        <w:t> </w:t>
      </w:r>
      <w:r>
        <w:rPr/>
        <w:t>generación</w:t>
      </w:r>
      <w:r>
        <w:rPr>
          <w:spacing w:val="-5"/>
        </w:rPr>
        <w:t> </w:t>
      </w:r>
      <w:r>
        <w:rPr/>
        <w:t>de</w:t>
      </w:r>
      <w:r>
        <w:rPr>
          <w:spacing w:val="-7"/>
        </w:rPr>
        <w:t> </w:t>
      </w:r>
      <w:r>
        <w:rPr/>
        <w:t>utilidades</w:t>
      </w:r>
      <w:r>
        <w:rPr>
          <w:spacing w:val="-5"/>
        </w:rPr>
        <w:t> </w:t>
      </w:r>
      <w:r>
        <w:rPr/>
        <w:t>como</w:t>
      </w:r>
      <w:r>
        <w:rPr>
          <w:spacing w:val="-5"/>
        </w:rPr>
        <w:t> </w:t>
      </w:r>
      <w:r>
        <w:rPr/>
        <w:t>fin</w:t>
      </w:r>
      <w:r>
        <w:rPr>
          <w:spacing w:val="-5"/>
        </w:rPr>
        <w:t> </w:t>
      </w:r>
      <w:r>
        <w:rPr/>
        <w:t>primordial,</w:t>
      </w:r>
      <w:r>
        <w:rPr>
          <w:spacing w:val="-5"/>
        </w:rPr>
        <w:t> </w:t>
      </w:r>
      <w:r>
        <w:rPr/>
        <w:t>sino</w:t>
      </w:r>
      <w:r>
        <w:rPr>
          <w:spacing w:val="-4"/>
        </w:rPr>
        <w:t> </w:t>
      </w:r>
      <w:r>
        <w:rPr/>
        <w:t>a</w:t>
      </w:r>
      <w:r>
        <w:rPr>
          <w:spacing w:val="-5"/>
        </w:rPr>
        <w:t> </w:t>
      </w:r>
      <w:r>
        <w:rPr/>
        <w:t>un</w:t>
      </w:r>
    </w:p>
    <w:p>
      <w:pPr>
        <w:pStyle w:val="Heading4"/>
        <w:spacing w:after="0" w:line="276" w:lineRule="auto"/>
        <w:sectPr>
          <w:pgSz w:w="12240" w:h="15840"/>
          <w:pgMar w:header="0" w:footer="1576" w:top="1000" w:bottom="1760" w:left="360" w:right="0"/>
        </w:sectPr>
      </w:pPr>
    </w:p>
    <w:p>
      <w:pPr>
        <w:spacing w:line="276" w:lineRule="auto" w:before="78"/>
        <w:ind w:left="2191" w:right="1612" w:firstLine="0"/>
        <w:jc w:val="both"/>
        <w:rPr>
          <w:sz w:val="24"/>
        </w:rPr>
      </w:pPr>
      <w:r>
        <w:rPr>
          <w:sz w:val="24"/>
        </w:rPr>
        <w:t>servicio de calidad a determinados segmentos poblacionales de una comunidad u organización.</w:t>
      </w:r>
    </w:p>
    <w:p>
      <w:pPr>
        <w:pStyle w:val="BodyText"/>
        <w:spacing w:before="39"/>
        <w:rPr>
          <w:sz w:val="24"/>
        </w:rPr>
      </w:pPr>
    </w:p>
    <w:p>
      <w:pPr>
        <w:pStyle w:val="ListParagraph"/>
        <w:numPr>
          <w:ilvl w:val="0"/>
          <w:numId w:val="19"/>
        </w:numPr>
        <w:tabs>
          <w:tab w:pos="2189" w:val="left" w:leader="none"/>
          <w:tab w:pos="2191" w:val="left" w:leader="none"/>
        </w:tabs>
        <w:spacing w:line="276" w:lineRule="auto" w:before="0" w:after="0"/>
        <w:ind w:left="2191" w:right="1620" w:hanging="284"/>
        <w:jc w:val="both"/>
        <w:rPr>
          <w:sz w:val="22"/>
        </w:rPr>
      </w:pPr>
      <w:r>
        <w:rPr>
          <w:b/>
          <w:sz w:val="22"/>
        </w:rPr>
        <w:t>Subsidio</w:t>
      </w:r>
      <w:r>
        <w:rPr>
          <w:b/>
          <w:spacing w:val="-1"/>
          <w:sz w:val="22"/>
        </w:rPr>
        <w:t> </w:t>
      </w:r>
      <w:r>
        <w:rPr>
          <w:b/>
          <w:sz w:val="22"/>
        </w:rPr>
        <w:t>Equipamiento</w:t>
      </w:r>
      <w:r>
        <w:rPr>
          <w:b/>
          <w:spacing w:val="-1"/>
          <w:sz w:val="22"/>
        </w:rPr>
        <w:t> </w:t>
      </w:r>
      <w:r>
        <w:rPr>
          <w:b/>
          <w:sz w:val="22"/>
        </w:rPr>
        <w:t>básico para sujetos</w:t>
      </w:r>
      <w:r>
        <w:rPr>
          <w:b/>
          <w:spacing w:val="-1"/>
          <w:sz w:val="22"/>
        </w:rPr>
        <w:t> </w:t>
      </w:r>
      <w:r>
        <w:rPr>
          <w:b/>
          <w:sz w:val="22"/>
        </w:rPr>
        <w:t>de</w:t>
      </w:r>
      <w:r>
        <w:rPr>
          <w:b/>
          <w:spacing w:val="-1"/>
          <w:sz w:val="22"/>
        </w:rPr>
        <w:t> </w:t>
      </w:r>
      <w:r>
        <w:rPr>
          <w:b/>
          <w:sz w:val="22"/>
        </w:rPr>
        <w:t>derecho</w:t>
      </w:r>
      <w:r>
        <w:rPr>
          <w:b/>
          <w:spacing w:val="-1"/>
          <w:sz w:val="22"/>
        </w:rPr>
        <w:t> </w:t>
      </w:r>
      <w:r>
        <w:rPr>
          <w:b/>
          <w:sz w:val="22"/>
        </w:rPr>
        <w:t>público</w:t>
      </w:r>
      <w:r>
        <w:rPr>
          <w:sz w:val="22"/>
        </w:rPr>
        <w:t>: transferencia económica no reembolsable otorgada a sujetos públicos, para la adquisición de equipamiento, con</w:t>
      </w:r>
      <w:r>
        <w:rPr>
          <w:spacing w:val="-2"/>
          <w:sz w:val="22"/>
        </w:rPr>
        <w:t> </w:t>
      </w:r>
      <w:r>
        <w:rPr>
          <w:sz w:val="22"/>
        </w:rPr>
        <w:t>el</w:t>
      </w:r>
      <w:r>
        <w:rPr>
          <w:spacing w:val="-1"/>
          <w:sz w:val="22"/>
        </w:rPr>
        <w:t> </w:t>
      </w:r>
      <w:r>
        <w:rPr>
          <w:sz w:val="22"/>
        </w:rPr>
        <w:t>fin</w:t>
      </w:r>
      <w:r>
        <w:rPr>
          <w:spacing w:val="-2"/>
          <w:sz w:val="22"/>
        </w:rPr>
        <w:t> </w:t>
      </w:r>
      <w:r>
        <w:rPr>
          <w:sz w:val="22"/>
        </w:rPr>
        <w:t>de implementar o</w:t>
      </w:r>
      <w:r>
        <w:rPr>
          <w:spacing w:val="-2"/>
          <w:sz w:val="22"/>
        </w:rPr>
        <w:t> </w:t>
      </w:r>
      <w:r>
        <w:rPr>
          <w:sz w:val="22"/>
        </w:rPr>
        <w:t>fortalecer los servicios que se</w:t>
      </w:r>
      <w:r>
        <w:rPr>
          <w:spacing w:val="-2"/>
          <w:sz w:val="22"/>
        </w:rPr>
        <w:t> </w:t>
      </w:r>
      <w:r>
        <w:rPr>
          <w:sz w:val="22"/>
        </w:rPr>
        <w:t>ofrecen a los</w:t>
      </w:r>
      <w:r>
        <w:rPr>
          <w:spacing w:val="-13"/>
          <w:sz w:val="22"/>
        </w:rPr>
        <w:t> </w:t>
      </w:r>
      <w:r>
        <w:rPr>
          <w:sz w:val="22"/>
        </w:rPr>
        <w:t>miembros</w:t>
      </w:r>
      <w:r>
        <w:rPr>
          <w:spacing w:val="-14"/>
          <w:sz w:val="22"/>
        </w:rPr>
        <w:t> </w:t>
      </w:r>
      <w:r>
        <w:rPr>
          <w:sz w:val="22"/>
        </w:rPr>
        <w:t>de</w:t>
      </w:r>
      <w:r>
        <w:rPr>
          <w:spacing w:val="-15"/>
          <w:sz w:val="22"/>
        </w:rPr>
        <w:t> </w:t>
      </w:r>
      <w:r>
        <w:rPr>
          <w:sz w:val="22"/>
        </w:rPr>
        <w:t>una</w:t>
      </w:r>
      <w:r>
        <w:rPr>
          <w:spacing w:val="-15"/>
          <w:sz w:val="22"/>
        </w:rPr>
        <w:t> </w:t>
      </w:r>
      <w:r>
        <w:rPr>
          <w:sz w:val="22"/>
        </w:rPr>
        <w:t>comunidad</w:t>
      </w:r>
      <w:r>
        <w:rPr>
          <w:spacing w:val="-13"/>
          <w:sz w:val="22"/>
        </w:rPr>
        <w:t> </w:t>
      </w:r>
      <w:r>
        <w:rPr>
          <w:sz w:val="22"/>
        </w:rPr>
        <w:t>u</w:t>
      </w:r>
      <w:r>
        <w:rPr>
          <w:spacing w:val="-15"/>
          <w:sz w:val="22"/>
        </w:rPr>
        <w:t> </w:t>
      </w:r>
      <w:r>
        <w:rPr>
          <w:sz w:val="22"/>
        </w:rPr>
        <w:t>organización,</w:t>
      </w:r>
      <w:r>
        <w:rPr>
          <w:spacing w:val="-16"/>
          <w:sz w:val="22"/>
        </w:rPr>
        <w:t> </w:t>
      </w:r>
      <w:r>
        <w:rPr>
          <w:sz w:val="22"/>
        </w:rPr>
        <w:t>según</w:t>
      </w:r>
      <w:r>
        <w:rPr>
          <w:spacing w:val="-13"/>
          <w:sz w:val="22"/>
        </w:rPr>
        <w:t> </w:t>
      </w:r>
      <w:r>
        <w:rPr>
          <w:sz w:val="22"/>
        </w:rPr>
        <w:t>las</w:t>
      </w:r>
      <w:r>
        <w:rPr>
          <w:spacing w:val="-15"/>
          <w:sz w:val="22"/>
        </w:rPr>
        <w:t> </w:t>
      </w:r>
      <w:r>
        <w:rPr>
          <w:sz w:val="22"/>
        </w:rPr>
        <w:t>necesidades</w:t>
      </w:r>
      <w:r>
        <w:rPr>
          <w:spacing w:val="-14"/>
          <w:sz w:val="22"/>
        </w:rPr>
        <w:t> </w:t>
      </w:r>
      <w:r>
        <w:rPr>
          <w:sz w:val="22"/>
        </w:rPr>
        <w:t>priorizadas por el IMAS.</w:t>
      </w:r>
    </w:p>
    <w:p>
      <w:pPr>
        <w:pStyle w:val="Heading4"/>
        <w:spacing w:line="276" w:lineRule="auto"/>
        <w:ind w:right="1610"/>
      </w:pPr>
      <w:r>
        <w:rPr/>
        <w:t>Este</w:t>
      </w:r>
      <w:r>
        <w:rPr>
          <w:spacing w:val="-8"/>
        </w:rPr>
        <w:t> </w:t>
      </w:r>
      <w:r>
        <w:rPr/>
        <w:t>subsidio</w:t>
      </w:r>
      <w:r>
        <w:rPr>
          <w:spacing w:val="-10"/>
        </w:rPr>
        <w:t> </w:t>
      </w:r>
      <w:r>
        <w:rPr/>
        <w:t>apoya</w:t>
      </w:r>
      <w:r>
        <w:rPr>
          <w:spacing w:val="-8"/>
        </w:rPr>
        <w:t> </w:t>
      </w:r>
      <w:r>
        <w:rPr/>
        <w:t>los</w:t>
      </w:r>
      <w:r>
        <w:rPr>
          <w:spacing w:val="-9"/>
        </w:rPr>
        <w:t> </w:t>
      </w:r>
      <w:r>
        <w:rPr/>
        <w:t>proyectos</w:t>
      </w:r>
      <w:r>
        <w:rPr>
          <w:spacing w:val="-9"/>
        </w:rPr>
        <w:t> </w:t>
      </w:r>
      <w:r>
        <w:rPr/>
        <w:t>desarrollados</w:t>
      </w:r>
      <w:r>
        <w:rPr>
          <w:spacing w:val="-9"/>
        </w:rPr>
        <w:t> </w:t>
      </w:r>
      <w:r>
        <w:rPr/>
        <w:t>por</w:t>
      </w:r>
      <w:r>
        <w:rPr>
          <w:spacing w:val="-9"/>
        </w:rPr>
        <w:t> </w:t>
      </w:r>
      <w:r>
        <w:rPr/>
        <w:t>sujetos</w:t>
      </w:r>
      <w:r>
        <w:rPr>
          <w:spacing w:val="-9"/>
        </w:rPr>
        <w:t> </w:t>
      </w:r>
      <w:r>
        <w:rPr/>
        <w:t>públicos</w:t>
      </w:r>
      <w:r>
        <w:rPr>
          <w:spacing w:val="-9"/>
        </w:rPr>
        <w:t> </w:t>
      </w:r>
      <w:r>
        <w:rPr/>
        <w:t>que</w:t>
      </w:r>
      <w:r>
        <w:rPr>
          <w:spacing w:val="-10"/>
        </w:rPr>
        <w:t> </w:t>
      </w:r>
      <w:r>
        <w:rPr/>
        <w:t>no están</w:t>
      </w:r>
      <w:r>
        <w:rPr>
          <w:spacing w:val="-7"/>
        </w:rPr>
        <w:t> </w:t>
      </w:r>
      <w:r>
        <w:rPr/>
        <w:t>orientados</w:t>
      </w:r>
      <w:r>
        <w:rPr>
          <w:spacing w:val="-5"/>
        </w:rPr>
        <w:t> </w:t>
      </w:r>
      <w:r>
        <w:rPr/>
        <w:t>a</w:t>
      </w:r>
      <w:r>
        <w:rPr>
          <w:spacing w:val="-5"/>
        </w:rPr>
        <w:t> </w:t>
      </w:r>
      <w:r>
        <w:rPr/>
        <w:t>la</w:t>
      </w:r>
      <w:r>
        <w:rPr>
          <w:spacing w:val="-7"/>
        </w:rPr>
        <w:t> </w:t>
      </w:r>
      <w:r>
        <w:rPr/>
        <w:t>generación</w:t>
      </w:r>
      <w:r>
        <w:rPr>
          <w:spacing w:val="-5"/>
        </w:rPr>
        <w:t> </w:t>
      </w:r>
      <w:r>
        <w:rPr/>
        <w:t>de</w:t>
      </w:r>
      <w:r>
        <w:rPr>
          <w:spacing w:val="-7"/>
        </w:rPr>
        <w:t> </w:t>
      </w:r>
      <w:r>
        <w:rPr/>
        <w:t>utilidades</w:t>
      </w:r>
      <w:r>
        <w:rPr>
          <w:spacing w:val="-5"/>
        </w:rPr>
        <w:t> </w:t>
      </w:r>
      <w:r>
        <w:rPr/>
        <w:t>como</w:t>
      </w:r>
      <w:r>
        <w:rPr>
          <w:spacing w:val="-5"/>
        </w:rPr>
        <w:t> </w:t>
      </w:r>
      <w:r>
        <w:rPr/>
        <w:t>fin</w:t>
      </w:r>
      <w:r>
        <w:rPr>
          <w:spacing w:val="-5"/>
        </w:rPr>
        <w:t> </w:t>
      </w:r>
      <w:r>
        <w:rPr/>
        <w:t>primordial,</w:t>
      </w:r>
      <w:r>
        <w:rPr>
          <w:spacing w:val="-5"/>
        </w:rPr>
        <w:t> </w:t>
      </w:r>
      <w:r>
        <w:rPr/>
        <w:t>sino</w:t>
      </w:r>
      <w:r>
        <w:rPr>
          <w:spacing w:val="-4"/>
        </w:rPr>
        <w:t> </w:t>
      </w:r>
      <w:r>
        <w:rPr/>
        <w:t>a</w:t>
      </w:r>
      <w:r>
        <w:rPr>
          <w:spacing w:val="-5"/>
        </w:rPr>
        <w:t> </w:t>
      </w:r>
      <w:r>
        <w:rPr/>
        <w:t>un servicio de calidad a determinados segmentos poblacionales de una comunidad u organización.</w:t>
      </w:r>
    </w:p>
    <w:p>
      <w:pPr>
        <w:pStyle w:val="BodyText"/>
        <w:spacing w:before="12"/>
        <w:rPr>
          <w:sz w:val="24"/>
        </w:rPr>
      </w:pPr>
    </w:p>
    <w:p>
      <w:pPr>
        <w:pStyle w:val="ListParagraph"/>
        <w:numPr>
          <w:ilvl w:val="0"/>
          <w:numId w:val="19"/>
        </w:numPr>
        <w:tabs>
          <w:tab w:pos="2189" w:val="left" w:leader="none"/>
          <w:tab w:pos="2191" w:val="left" w:leader="none"/>
        </w:tabs>
        <w:spacing w:line="276" w:lineRule="auto" w:before="1" w:after="0"/>
        <w:ind w:left="2191" w:right="1598" w:hanging="284"/>
        <w:jc w:val="both"/>
        <w:rPr>
          <w:sz w:val="22"/>
        </w:rPr>
      </w:pPr>
      <w:r>
        <w:rPr>
          <w:b/>
          <w:sz w:val="22"/>
        </w:rPr>
        <w:t>Subsidio Gastos de implementación para infraestructura comunal y productiva</w:t>
      </w:r>
      <w:r>
        <w:rPr>
          <w:b/>
          <w:spacing w:val="-1"/>
          <w:sz w:val="22"/>
        </w:rPr>
        <w:t> </w:t>
      </w:r>
      <w:r>
        <w:rPr>
          <w:b/>
          <w:sz w:val="22"/>
        </w:rPr>
        <w:t>para sujetos de derecho privado: </w:t>
      </w:r>
      <w:r>
        <w:rPr>
          <w:sz w:val="22"/>
        </w:rPr>
        <w:t>otorga</w:t>
      </w:r>
      <w:r>
        <w:rPr>
          <w:spacing w:val="-1"/>
          <w:sz w:val="22"/>
        </w:rPr>
        <w:t> </w:t>
      </w:r>
      <w:r>
        <w:rPr>
          <w:sz w:val="22"/>
        </w:rPr>
        <w:t>recursos no</w:t>
      </w:r>
      <w:r>
        <w:rPr>
          <w:spacing w:val="-1"/>
          <w:sz w:val="22"/>
        </w:rPr>
        <w:t> </w:t>
      </w:r>
      <w:r>
        <w:rPr>
          <w:sz w:val="22"/>
        </w:rPr>
        <w:t>reembolsables a sujetos privados proponentes de iniciativas productivas que requieren de infraestructura, mejoras a la infraestructura de sus comunidades, prestación de servicios públicos o para la prestación de servicios de las Organizaciones de Bienestar Social, cuyos beneficios estarán dirigidos a personas y hogares en situación de pobreza, para cubrir los costos de servicios profesionales de consultoría en ingeniería y arquitectura, para la elaboración de estudios preliminares, estudios técnicos, anteproyecto, planos y especificaciones técnicas, estimación</w:t>
      </w:r>
      <w:r>
        <w:rPr>
          <w:spacing w:val="-12"/>
          <w:sz w:val="22"/>
        </w:rPr>
        <w:t> </w:t>
      </w:r>
      <w:r>
        <w:rPr>
          <w:sz w:val="22"/>
        </w:rPr>
        <w:t>global</w:t>
      </w:r>
      <w:r>
        <w:rPr>
          <w:spacing w:val="-10"/>
          <w:sz w:val="22"/>
        </w:rPr>
        <w:t> </w:t>
      </w:r>
      <w:r>
        <w:rPr>
          <w:sz w:val="22"/>
        </w:rPr>
        <w:t>de</w:t>
      </w:r>
      <w:r>
        <w:rPr>
          <w:spacing w:val="-12"/>
          <w:sz w:val="22"/>
        </w:rPr>
        <w:t> </w:t>
      </w:r>
      <w:r>
        <w:rPr>
          <w:sz w:val="22"/>
        </w:rPr>
        <w:t>costos,</w:t>
      </w:r>
      <w:r>
        <w:rPr>
          <w:spacing w:val="-10"/>
          <w:sz w:val="22"/>
        </w:rPr>
        <w:t> </w:t>
      </w:r>
      <w:r>
        <w:rPr>
          <w:sz w:val="22"/>
        </w:rPr>
        <w:t>presupuesto</w:t>
      </w:r>
      <w:r>
        <w:rPr>
          <w:spacing w:val="-11"/>
          <w:sz w:val="22"/>
        </w:rPr>
        <w:t> </w:t>
      </w:r>
      <w:r>
        <w:rPr>
          <w:sz w:val="22"/>
        </w:rPr>
        <w:t>detallado,</w:t>
      </w:r>
      <w:r>
        <w:rPr>
          <w:spacing w:val="-8"/>
          <w:sz w:val="22"/>
        </w:rPr>
        <w:t> </w:t>
      </w:r>
      <w:r>
        <w:rPr>
          <w:sz w:val="22"/>
        </w:rPr>
        <w:t>programa</w:t>
      </w:r>
      <w:r>
        <w:rPr>
          <w:spacing w:val="-11"/>
          <w:sz w:val="22"/>
        </w:rPr>
        <w:t> </w:t>
      </w:r>
      <w:r>
        <w:rPr>
          <w:sz w:val="22"/>
        </w:rPr>
        <w:t>de</w:t>
      </w:r>
      <w:r>
        <w:rPr>
          <w:spacing w:val="-12"/>
          <w:sz w:val="22"/>
        </w:rPr>
        <w:t> </w:t>
      </w:r>
      <w:r>
        <w:rPr>
          <w:sz w:val="22"/>
        </w:rPr>
        <w:t>la</w:t>
      </w:r>
      <w:r>
        <w:rPr>
          <w:spacing w:val="-11"/>
          <w:sz w:val="22"/>
        </w:rPr>
        <w:t> </w:t>
      </w:r>
      <w:r>
        <w:rPr>
          <w:sz w:val="22"/>
        </w:rPr>
        <w:t>obra</w:t>
      </w:r>
      <w:r>
        <w:rPr>
          <w:spacing w:val="-11"/>
          <w:sz w:val="22"/>
        </w:rPr>
        <w:t> </w:t>
      </w:r>
      <w:r>
        <w:rPr>
          <w:sz w:val="22"/>
        </w:rPr>
        <w:t>y</w:t>
      </w:r>
      <w:r>
        <w:rPr>
          <w:spacing w:val="-13"/>
          <w:sz w:val="22"/>
        </w:rPr>
        <w:t> </w:t>
      </w:r>
      <w:r>
        <w:rPr>
          <w:sz w:val="22"/>
        </w:rPr>
        <w:t>asesoría para el proceso de contratación de la obra, así como el trámite del tasado de la misma, según sea el caso, en una primera etapa denominada Planos y Documentos, además</w:t>
      </w:r>
      <w:r>
        <w:rPr>
          <w:spacing w:val="-1"/>
          <w:sz w:val="22"/>
        </w:rPr>
        <w:t> </w:t>
      </w:r>
      <w:r>
        <w:rPr>
          <w:sz w:val="22"/>
        </w:rPr>
        <w:t>contempla</w:t>
      </w:r>
      <w:r>
        <w:rPr>
          <w:spacing w:val="-2"/>
          <w:sz w:val="22"/>
        </w:rPr>
        <w:t> </w:t>
      </w:r>
      <w:r>
        <w:rPr>
          <w:sz w:val="22"/>
        </w:rPr>
        <w:t>el</w:t>
      </w:r>
      <w:r>
        <w:rPr>
          <w:spacing w:val="-1"/>
          <w:sz w:val="22"/>
        </w:rPr>
        <w:t> </w:t>
      </w:r>
      <w:r>
        <w:rPr>
          <w:sz w:val="22"/>
        </w:rPr>
        <w:t>pago</w:t>
      </w:r>
      <w:r>
        <w:rPr>
          <w:spacing w:val="-2"/>
          <w:sz w:val="22"/>
        </w:rPr>
        <w:t> </w:t>
      </w:r>
      <w:r>
        <w:rPr>
          <w:sz w:val="22"/>
        </w:rPr>
        <w:t>del visado de</w:t>
      </w:r>
      <w:r>
        <w:rPr>
          <w:spacing w:val="-2"/>
          <w:sz w:val="22"/>
        </w:rPr>
        <w:t> </w:t>
      </w:r>
      <w:r>
        <w:rPr>
          <w:sz w:val="22"/>
        </w:rPr>
        <w:t>planos,</w:t>
      </w:r>
      <w:r>
        <w:rPr>
          <w:spacing w:val="-1"/>
          <w:sz w:val="22"/>
        </w:rPr>
        <w:t> </w:t>
      </w:r>
      <w:r>
        <w:rPr>
          <w:sz w:val="22"/>
        </w:rPr>
        <w:t>pólizas,</w:t>
      </w:r>
      <w:r>
        <w:rPr>
          <w:spacing w:val="-1"/>
          <w:sz w:val="22"/>
        </w:rPr>
        <w:t> </w:t>
      </w:r>
      <w:r>
        <w:rPr>
          <w:sz w:val="22"/>
        </w:rPr>
        <w:t>permisos</w:t>
      </w:r>
      <w:r>
        <w:rPr>
          <w:spacing w:val="-2"/>
          <w:sz w:val="22"/>
        </w:rPr>
        <w:t> </w:t>
      </w:r>
      <w:r>
        <w:rPr>
          <w:sz w:val="22"/>
        </w:rPr>
        <w:t>y servicios</w:t>
      </w:r>
      <w:r>
        <w:rPr>
          <w:spacing w:val="-16"/>
          <w:sz w:val="22"/>
        </w:rPr>
        <w:t> </w:t>
      </w:r>
      <w:r>
        <w:rPr>
          <w:sz w:val="22"/>
        </w:rPr>
        <w:t>de</w:t>
      </w:r>
      <w:r>
        <w:rPr>
          <w:spacing w:val="-15"/>
          <w:sz w:val="22"/>
        </w:rPr>
        <w:t> </w:t>
      </w:r>
      <w:r>
        <w:rPr>
          <w:sz w:val="22"/>
        </w:rPr>
        <w:t>consultoría</w:t>
      </w:r>
      <w:r>
        <w:rPr>
          <w:spacing w:val="-15"/>
          <w:sz w:val="22"/>
        </w:rPr>
        <w:t> </w:t>
      </w:r>
      <w:r>
        <w:rPr>
          <w:sz w:val="22"/>
        </w:rPr>
        <w:t>de</w:t>
      </w:r>
      <w:r>
        <w:rPr>
          <w:spacing w:val="-16"/>
          <w:sz w:val="22"/>
        </w:rPr>
        <w:t> </w:t>
      </w:r>
      <w:r>
        <w:rPr>
          <w:sz w:val="22"/>
        </w:rPr>
        <w:t>dirección</w:t>
      </w:r>
      <w:r>
        <w:rPr>
          <w:spacing w:val="-15"/>
          <w:sz w:val="22"/>
        </w:rPr>
        <w:t> </w:t>
      </w:r>
      <w:r>
        <w:rPr>
          <w:sz w:val="22"/>
        </w:rPr>
        <w:t>de</w:t>
      </w:r>
      <w:r>
        <w:rPr>
          <w:spacing w:val="-14"/>
          <w:sz w:val="22"/>
        </w:rPr>
        <w:t> </w:t>
      </w:r>
      <w:r>
        <w:rPr>
          <w:sz w:val="22"/>
        </w:rPr>
        <w:t>obra,</w:t>
      </w:r>
      <w:r>
        <w:rPr>
          <w:spacing w:val="-16"/>
          <w:sz w:val="22"/>
        </w:rPr>
        <w:t> </w:t>
      </w:r>
      <w:r>
        <w:rPr>
          <w:sz w:val="22"/>
        </w:rPr>
        <w:t>responsable</w:t>
      </w:r>
      <w:r>
        <w:rPr>
          <w:spacing w:val="-14"/>
          <w:sz w:val="22"/>
        </w:rPr>
        <w:t> </w:t>
      </w:r>
      <w:r>
        <w:rPr>
          <w:sz w:val="22"/>
        </w:rPr>
        <w:t>de</w:t>
      </w:r>
      <w:r>
        <w:rPr>
          <w:spacing w:val="-15"/>
          <w:sz w:val="22"/>
        </w:rPr>
        <w:t> </w:t>
      </w:r>
      <w:r>
        <w:rPr>
          <w:sz w:val="22"/>
        </w:rPr>
        <w:t>la</w:t>
      </w:r>
      <w:r>
        <w:rPr>
          <w:spacing w:val="-15"/>
          <w:sz w:val="22"/>
        </w:rPr>
        <w:t> </w:t>
      </w:r>
      <w:r>
        <w:rPr>
          <w:sz w:val="22"/>
        </w:rPr>
        <w:t>ejecución</w:t>
      </w:r>
      <w:r>
        <w:rPr>
          <w:spacing w:val="-15"/>
          <w:sz w:val="22"/>
        </w:rPr>
        <w:t> </w:t>
      </w:r>
      <w:r>
        <w:rPr>
          <w:sz w:val="22"/>
        </w:rPr>
        <w:t>de</w:t>
      </w:r>
      <w:r>
        <w:rPr>
          <w:spacing w:val="-14"/>
          <w:sz w:val="22"/>
        </w:rPr>
        <w:t> </w:t>
      </w:r>
      <w:r>
        <w:rPr>
          <w:sz w:val="22"/>
        </w:rPr>
        <w:t>la</w:t>
      </w:r>
      <w:r>
        <w:rPr>
          <w:spacing w:val="-15"/>
          <w:sz w:val="22"/>
        </w:rPr>
        <w:t> </w:t>
      </w:r>
      <w:r>
        <w:rPr>
          <w:sz w:val="22"/>
        </w:rPr>
        <w:t>obra o</w:t>
      </w:r>
      <w:r>
        <w:rPr>
          <w:spacing w:val="-9"/>
          <w:sz w:val="22"/>
        </w:rPr>
        <w:t> </w:t>
      </w:r>
      <w:r>
        <w:rPr>
          <w:sz w:val="22"/>
        </w:rPr>
        <w:t>inspección,</w:t>
      </w:r>
      <w:r>
        <w:rPr>
          <w:spacing w:val="-7"/>
          <w:sz w:val="22"/>
        </w:rPr>
        <w:t> </w:t>
      </w:r>
      <w:r>
        <w:rPr>
          <w:sz w:val="22"/>
        </w:rPr>
        <w:t>según</w:t>
      </w:r>
      <w:r>
        <w:rPr>
          <w:spacing w:val="-9"/>
          <w:sz w:val="22"/>
        </w:rPr>
        <w:t> </w:t>
      </w:r>
      <w:r>
        <w:rPr>
          <w:sz w:val="22"/>
        </w:rPr>
        <w:t>sea</w:t>
      </w:r>
      <w:r>
        <w:rPr>
          <w:spacing w:val="-12"/>
          <w:sz w:val="22"/>
        </w:rPr>
        <w:t> </w:t>
      </w:r>
      <w:r>
        <w:rPr>
          <w:sz w:val="22"/>
        </w:rPr>
        <w:t>el</w:t>
      </w:r>
      <w:r>
        <w:rPr>
          <w:spacing w:val="-10"/>
          <w:sz w:val="22"/>
        </w:rPr>
        <w:t> </w:t>
      </w:r>
      <w:r>
        <w:rPr>
          <w:sz w:val="22"/>
        </w:rPr>
        <w:t>caso,</w:t>
      </w:r>
      <w:r>
        <w:rPr>
          <w:spacing w:val="-7"/>
          <w:sz w:val="22"/>
        </w:rPr>
        <w:t> </w:t>
      </w:r>
      <w:r>
        <w:rPr>
          <w:sz w:val="22"/>
        </w:rPr>
        <w:t>para</w:t>
      </w:r>
      <w:r>
        <w:rPr>
          <w:spacing w:val="-9"/>
          <w:sz w:val="22"/>
        </w:rPr>
        <w:t> </w:t>
      </w:r>
      <w:r>
        <w:rPr>
          <w:sz w:val="22"/>
        </w:rPr>
        <w:t>una</w:t>
      </w:r>
      <w:r>
        <w:rPr>
          <w:spacing w:val="-9"/>
          <w:sz w:val="22"/>
        </w:rPr>
        <w:t> </w:t>
      </w:r>
      <w:r>
        <w:rPr>
          <w:sz w:val="22"/>
        </w:rPr>
        <w:t>segunda</w:t>
      </w:r>
      <w:r>
        <w:rPr>
          <w:spacing w:val="-9"/>
          <w:sz w:val="22"/>
        </w:rPr>
        <w:t> </w:t>
      </w:r>
      <w:r>
        <w:rPr>
          <w:sz w:val="22"/>
        </w:rPr>
        <w:t>etapa</w:t>
      </w:r>
      <w:r>
        <w:rPr>
          <w:spacing w:val="-9"/>
          <w:sz w:val="22"/>
        </w:rPr>
        <w:t> </w:t>
      </w:r>
      <w:r>
        <w:rPr>
          <w:sz w:val="22"/>
        </w:rPr>
        <w:t>denominada</w:t>
      </w:r>
      <w:r>
        <w:rPr>
          <w:spacing w:val="-9"/>
          <w:sz w:val="22"/>
        </w:rPr>
        <w:t> </w:t>
      </w:r>
      <w:r>
        <w:rPr>
          <w:sz w:val="22"/>
        </w:rPr>
        <w:t>control</w:t>
      </w:r>
      <w:r>
        <w:rPr>
          <w:spacing w:val="-10"/>
          <w:sz w:val="22"/>
        </w:rPr>
        <w:t> </w:t>
      </w:r>
      <w:r>
        <w:rPr>
          <w:sz w:val="22"/>
        </w:rPr>
        <w:t>de</w:t>
      </w:r>
      <w:r>
        <w:rPr>
          <w:spacing w:val="-9"/>
          <w:sz w:val="22"/>
        </w:rPr>
        <w:t> </w:t>
      </w:r>
      <w:r>
        <w:rPr>
          <w:sz w:val="22"/>
        </w:rPr>
        <w:t>la ejecución de la obra.</w:t>
      </w:r>
    </w:p>
    <w:p>
      <w:pPr>
        <w:pStyle w:val="BodyText"/>
        <w:spacing w:before="60"/>
      </w:pPr>
    </w:p>
    <w:p>
      <w:pPr>
        <w:pStyle w:val="ListParagraph"/>
        <w:numPr>
          <w:ilvl w:val="0"/>
          <w:numId w:val="19"/>
        </w:numPr>
        <w:tabs>
          <w:tab w:pos="2189" w:val="left" w:leader="none"/>
          <w:tab w:pos="2191" w:val="left" w:leader="none"/>
        </w:tabs>
        <w:spacing w:line="276" w:lineRule="auto" w:before="0" w:after="0"/>
        <w:ind w:left="2191" w:right="1602" w:hanging="284"/>
        <w:jc w:val="both"/>
        <w:rPr>
          <w:sz w:val="22"/>
        </w:rPr>
      </w:pPr>
      <w:r>
        <w:rPr>
          <w:b/>
          <w:sz w:val="22"/>
        </w:rPr>
        <w:t>Subsidio Gastos de implementación para infraestructura comunal para Organizaciones</w:t>
      </w:r>
      <w:r>
        <w:rPr>
          <w:b/>
          <w:spacing w:val="-16"/>
          <w:sz w:val="22"/>
        </w:rPr>
        <w:t> </w:t>
      </w:r>
      <w:r>
        <w:rPr>
          <w:b/>
          <w:sz w:val="22"/>
        </w:rPr>
        <w:t>de</w:t>
      </w:r>
      <w:r>
        <w:rPr>
          <w:b/>
          <w:spacing w:val="-15"/>
          <w:sz w:val="22"/>
        </w:rPr>
        <w:t> </w:t>
      </w:r>
      <w:r>
        <w:rPr>
          <w:b/>
          <w:sz w:val="22"/>
        </w:rPr>
        <w:t>Bienestar</w:t>
      </w:r>
      <w:r>
        <w:rPr>
          <w:b/>
          <w:spacing w:val="-11"/>
          <w:sz w:val="22"/>
        </w:rPr>
        <w:t> </w:t>
      </w:r>
      <w:r>
        <w:rPr>
          <w:b/>
          <w:sz w:val="22"/>
        </w:rPr>
        <w:t>Social:</w:t>
      </w:r>
      <w:r>
        <w:rPr>
          <w:b/>
          <w:spacing w:val="-12"/>
          <w:sz w:val="22"/>
        </w:rPr>
        <w:t> </w:t>
      </w:r>
      <w:r>
        <w:rPr>
          <w:sz w:val="22"/>
        </w:rPr>
        <w:t>brinda</w:t>
      </w:r>
      <w:r>
        <w:rPr>
          <w:spacing w:val="-13"/>
          <w:sz w:val="22"/>
        </w:rPr>
        <w:t> </w:t>
      </w:r>
      <w:r>
        <w:rPr>
          <w:sz w:val="22"/>
        </w:rPr>
        <w:t>oportunidades</w:t>
      </w:r>
      <w:r>
        <w:rPr>
          <w:spacing w:val="-14"/>
          <w:sz w:val="22"/>
        </w:rPr>
        <w:t> </w:t>
      </w:r>
      <w:r>
        <w:rPr>
          <w:sz w:val="22"/>
        </w:rPr>
        <w:t>a</w:t>
      </w:r>
      <w:r>
        <w:rPr>
          <w:spacing w:val="-12"/>
          <w:sz w:val="22"/>
        </w:rPr>
        <w:t> </w:t>
      </w:r>
      <w:r>
        <w:rPr>
          <w:sz w:val="22"/>
        </w:rPr>
        <w:t>los</w:t>
      </w:r>
      <w:r>
        <w:rPr>
          <w:spacing w:val="-15"/>
          <w:sz w:val="22"/>
        </w:rPr>
        <w:t> </w:t>
      </w:r>
      <w:r>
        <w:rPr>
          <w:sz w:val="22"/>
        </w:rPr>
        <w:t>sujetos</w:t>
      </w:r>
      <w:r>
        <w:rPr>
          <w:spacing w:val="-16"/>
          <w:sz w:val="22"/>
        </w:rPr>
        <w:t> </w:t>
      </w:r>
      <w:r>
        <w:rPr>
          <w:sz w:val="22"/>
        </w:rPr>
        <w:t>privados, mediante una transferencia monetaria no reembolsable, para cubrir los costos de servicios profesionales requeridos antes de la ejecución del proyecto, así como el pago de pólizas, visado de planos, permisos requeridos antes de la ejecución del proyecto, y costos de servicios de consultoría durante la ejecución del proyecto.</w:t>
      </w:r>
    </w:p>
    <w:p>
      <w:pPr>
        <w:pStyle w:val="BodyText"/>
        <w:spacing w:before="62"/>
      </w:pPr>
    </w:p>
    <w:p>
      <w:pPr>
        <w:pStyle w:val="ListParagraph"/>
        <w:numPr>
          <w:ilvl w:val="0"/>
          <w:numId w:val="19"/>
        </w:numPr>
        <w:tabs>
          <w:tab w:pos="2189" w:val="left" w:leader="none"/>
          <w:tab w:pos="2191" w:val="left" w:leader="none"/>
        </w:tabs>
        <w:spacing w:line="276" w:lineRule="auto" w:before="0" w:after="0"/>
        <w:ind w:left="2191" w:right="1604" w:hanging="284"/>
        <w:jc w:val="both"/>
        <w:rPr>
          <w:sz w:val="22"/>
        </w:rPr>
      </w:pPr>
      <w:r>
        <w:rPr>
          <w:b/>
          <w:sz w:val="22"/>
        </w:rPr>
        <w:t>Subsidio Infraestructura comunal y productiva para sujetos de derecho privado</w:t>
      </w:r>
      <w:r>
        <w:rPr>
          <w:sz w:val="22"/>
        </w:rPr>
        <w:t>:</w:t>
      </w:r>
      <w:r>
        <w:rPr>
          <w:spacing w:val="-13"/>
          <w:sz w:val="22"/>
        </w:rPr>
        <w:t> </w:t>
      </w:r>
      <w:r>
        <w:rPr>
          <w:sz w:val="22"/>
        </w:rPr>
        <w:t>otorga</w:t>
      </w:r>
      <w:r>
        <w:rPr>
          <w:spacing w:val="-13"/>
          <w:sz w:val="22"/>
        </w:rPr>
        <w:t> </w:t>
      </w:r>
      <w:r>
        <w:rPr>
          <w:sz w:val="22"/>
        </w:rPr>
        <w:t>recursos</w:t>
      </w:r>
      <w:r>
        <w:rPr>
          <w:spacing w:val="-14"/>
          <w:sz w:val="22"/>
        </w:rPr>
        <w:t> </w:t>
      </w:r>
      <w:r>
        <w:rPr>
          <w:sz w:val="22"/>
        </w:rPr>
        <w:t>no</w:t>
      </w:r>
      <w:r>
        <w:rPr>
          <w:spacing w:val="-13"/>
          <w:sz w:val="22"/>
        </w:rPr>
        <w:t> </w:t>
      </w:r>
      <w:r>
        <w:rPr>
          <w:sz w:val="22"/>
        </w:rPr>
        <w:t>reembolsables</w:t>
      </w:r>
      <w:r>
        <w:rPr>
          <w:spacing w:val="-12"/>
          <w:sz w:val="22"/>
        </w:rPr>
        <w:t> </w:t>
      </w:r>
      <w:r>
        <w:rPr>
          <w:sz w:val="22"/>
        </w:rPr>
        <w:t>a</w:t>
      </w:r>
      <w:r>
        <w:rPr>
          <w:spacing w:val="-12"/>
          <w:sz w:val="22"/>
        </w:rPr>
        <w:t> </w:t>
      </w:r>
      <w:r>
        <w:rPr>
          <w:sz w:val="22"/>
        </w:rPr>
        <w:t>sujetos</w:t>
      </w:r>
      <w:r>
        <w:rPr>
          <w:spacing w:val="-12"/>
          <w:sz w:val="22"/>
        </w:rPr>
        <w:t> </w:t>
      </w:r>
      <w:r>
        <w:rPr>
          <w:sz w:val="22"/>
        </w:rPr>
        <w:t>privados,</w:t>
      </w:r>
      <w:r>
        <w:rPr>
          <w:spacing w:val="-12"/>
          <w:sz w:val="22"/>
        </w:rPr>
        <w:t> </w:t>
      </w:r>
      <w:r>
        <w:rPr>
          <w:sz w:val="22"/>
        </w:rPr>
        <w:t>para</w:t>
      </w:r>
      <w:r>
        <w:rPr>
          <w:spacing w:val="-12"/>
          <w:sz w:val="22"/>
        </w:rPr>
        <w:t> </w:t>
      </w:r>
      <w:r>
        <w:rPr>
          <w:sz w:val="22"/>
        </w:rPr>
        <w:t>la</w:t>
      </w:r>
      <w:r>
        <w:rPr>
          <w:spacing w:val="-12"/>
          <w:sz w:val="22"/>
        </w:rPr>
        <w:t> </w:t>
      </w:r>
      <w:r>
        <w:rPr>
          <w:sz w:val="22"/>
        </w:rPr>
        <w:t>construcción y</w:t>
      </w:r>
      <w:r>
        <w:rPr>
          <w:spacing w:val="-16"/>
          <w:sz w:val="22"/>
        </w:rPr>
        <w:t> </w:t>
      </w:r>
      <w:r>
        <w:rPr>
          <w:sz w:val="22"/>
        </w:rPr>
        <w:t>mejoras</w:t>
      </w:r>
      <w:r>
        <w:rPr>
          <w:spacing w:val="-15"/>
          <w:sz w:val="22"/>
        </w:rPr>
        <w:t> </w:t>
      </w:r>
      <w:r>
        <w:rPr>
          <w:sz w:val="22"/>
        </w:rPr>
        <w:t>de</w:t>
      </w:r>
      <w:r>
        <w:rPr>
          <w:spacing w:val="-15"/>
          <w:sz w:val="22"/>
        </w:rPr>
        <w:t> </w:t>
      </w:r>
      <w:r>
        <w:rPr>
          <w:sz w:val="22"/>
        </w:rPr>
        <w:t>la</w:t>
      </w:r>
      <w:r>
        <w:rPr>
          <w:spacing w:val="-15"/>
          <w:sz w:val="22"/>
        </w:rPr>
        <w:t> </w:t>
      </w:r>
      <w:r>
        <w:rPr>
          <w:sz w:val="22"/>
        </w:rPr>
        <w:t>infraestructura</w:t>
      </w:r>
      <w:r>
        <w:rPr>
          <w:spacing w:val="-14"/>
          <w:sz w:val="22"/>
        </w:rPr>
        <w:t> </w:t>
      </w:r>
      <w:r>
        <w:rPr>
          <w:sz w:val="22"/>
        </w:rPr>
        <w:t>destinada</w:t>
      </w:r>
      <w:r>
        <w:rPr>
          <w:spacing w:val="-15"/>
          <w:sz w:val="22"/>
        </w:rPr>
        <w:t> </w:t>
      </w:r>
      <w:r>
        <w:rPr>
          <w:sz w:val="22"/>
        </w:rPr>
        <w:t>para</w:t>
      </w:r>
      <w:r>
        <w:rPr>
          <w:spacing w:val="-15"/>
          <w:sz w:val="22"/>
        </w:rPr>
        <w:t> </w:t>
      </w:r>
      <w:r>
        <w:rPr>
          <w:sz w:val="22"/>
        </w:rPr>
        <w:t>actividades</w:t>
      </w:r>
      <w:r>
        <w:rPr>
          <w:spacing w:val="-14"/>
          <w:sz w:val="22"/>
        </w:rPr>
        <w:t> </w:t>
      </w:r>
      <w:r>
        <w:rPr>
          <w:sz w:val="22"/>
        </w:rPr>
        <w:t>productivas</w:t>
      </w:r>
      <w:r>
        <w:rPr>
          <w:spacing w:val="-16"/>
          <w:sz w:val="22"/>
        </w:rPr>
        <w:t> </w:t>
      </w:r>
      <w:r>
        <w:rPr>
          <w:sz w:val="22"/>
        </w:rPr>
        <w:t>o</w:t>
      </w:r>
      <w:r>
        <w:rPr>
          <w:spacing w:val="-15"/>
          <w:sz w:val="22"/>
        </w:rPr>
        <w:t> </w:t>
      </w:r>
      <w:r>
        <w:rPr>
          <w:sz w:val="22"/>
        </w:rPr>
        <w:t>comunales, prestación de servicios públicos o para la prestación de servicios de las Organizaciones</w:t>
      </w:r>
      <w:r>
        <w:rPr>
          <w:spacing w:val="-4"/>
          <w:sz w:val="22"/>
        </w:rPr>
        <w:t> </w:t>
      </w:r>
      <w:r>
        <w:rPr>
          <w:sz w:val="22"/>
        </w:rPr>
        <w:t>de</w:t>
      </w:r>
      <w:r>
        <w:rPr>
          <w:spacing w:val="-2"/>
          <w:sz w:val="22"/>
        </w:rPr>
        <w:t> </w:t>
      </w:r>
      <w:r>
        <w:rPr>
          <w:sz w:val="22"/>
        </w:rPr>
        <w:t>Bienestar</w:t>
      </w:r>
      <w:r>
        <w:rPr>
          <w:spacing w:val="-3"/>
          <w:sz w:val="22"/>
        </w:rPr>
        <w:t> </w:t>
      </w:r>
      <w:r>
        <w:rPr>
          <w:sz w:val="22"/>
        </w:rPr>
        <w:t>Social, cuyos</w:t>
      </w:r>
      <w:r>
        <w:rPr>
          <w:spacing w:val="-1"/>
          <w:sz w:val="22"/>
        </w:rPr>
        <w:t> </w:t>
      </w:r>
      <w:r>
        <w:rPr>
          <w:sz w:val="22"/>
        </w:rPr>
        <w:t>beneficios</w:t>
      </w:r>
      <w:r>
        <w:rPr>
          <w:spacing w:val="-1"/>
          <w:sz w:val="22"/>
        </w:rPr>
        <w:t> </w:t>
      </w:r>
      <w:r>
        <w:rPr>
          <w:sz w:val="22"/>
        </w:rPr>
        <w:t>estarán</w:t>
      </w:r>
      <w:r>
        <w:rPr>
          <w:spacing w:val="-2"/>
          <w:sz w:val="22"/>
        </w:rPr>
        <w:t> </w:t>
      </w:r>
      <w:r>
        <w:rPr>
          <w:sz w:val="22"/>
        </w:rPr>
        <w:t>dirigidos</w:t>
      </w:r>
      <w:r>
        <w:rPr>
          <w:spacing w:val="-1"/>
          <w:sz w:val="22"/>
        </w:rPr>
        <w:t> </w:t>
      </w:r>
      <w:r>
        <w:rPr>
          <w:sz w:val="22"/>
        </w:rPr>
        <w:t>a</w:t>
      </w:r>
      <w:r>
        <w:rPr>
          <w:spacing w:val="-4"/>
          <w:sz w:val="22"/>
        </w:rPr>
        <w:t> </w:t>
      </w:r>
      <w:r>
        <w:rPr>
          <w:sz w:val="22"/>
        </w:rPr>
        <w:t>personas y hogares en situación de pobreza, para cubrir los costos de materiales, mano de</w:t>
      </w:r>
    </w:p>
    <w:p>
      <w:pPr>
        <w:pStyle w:val="ListParagraph"/>
        <w:spacing w:after="0" w:line="276" w:lineRule="auto"/>
        <w:jc w:val="both"/>
        <w:rPr>
          <w:sz w:val="22"/>
        </w:rPr>
        <w:sectPr>
          <w:pgSz w:w="12240" w:h="15840"/>
          <w:pgMar w:header="0" w:footer="1576" w:top="1000" w:bottom="1760" w:left="360" w:right="0"/>
        </w:sectPr>
      </w:pPr>
    </w:p>
    <w:p>
      <w:pPr>
        <w:pStyle w:val="BodyText"/>
        <w:spacing w:line="276" w:lineRule="auto" w:before="77"/>
        <w:ind w:left="2191" w:right="1605"/>
        <w:jc w:val="both"/>
      </w:pPr>
      <w:r>
        <w:rPr/>
        <w:t>obra,</w:t>
      </w:r>
      <w:r>
        <w:rPr>
          <w:spacing w:val="-6"/>
        </w:rPr>
        <w:t> </w:t>
      </w:r>
      <w:r>
        <w:rPr/>
        <w:t>alquiler</w:t>
      </w:r>
      <w:r>
        <w:rPr>
          <w:spacing w:val="-4"/>
        </w:rPr>
        <w:t> </w:t>
      </w:r>
      <w:r>
        <w:rPr/>
        <w:t>de</w:t>
      </w:r>
      <w:r>
        <w:rPr>
          <w:spacing w:val="-10"/>
        </w:rPr>
        <w:t> </w:t>
      </w:r>
      <w:r>
        <w:rPr/>
        <w:t>maquinaria,</w:t>
      </w:r>
      <w:r>
        <w:rPr>
          <w:spacing w:val="-6"/>
        </w:rPr>
        <w:t> </w:t>
      </w:r>
      <w:r>
        <w:rPr/>
        <w:t>equipo,</w:t>
      </w:r>
      <w:r>
        <w:rPr>
          <w:spacing w:val="-6"/>
        </w:rPr>
        <w:t> </w:t>
      </w:r>
      <w:r>
        <w:rPr/>
        <w:t>acarreo</w:t>
      </w:r>
      <w:r>
        <w:rPr>
          <w:spacing w:val="-8"/>
        </w:rPr>
        <w:t> </w:t>
      </w:r>
      <w:r>
        <w:rPr/>
        <w:t>de</w:t>
      </w:r>
      <w:r>
        <w:rPr>
          <w:spacing w:val="-10"/>
        </w:rPr>
        <w:t> </w:t>
      </w:r>
      <w:r>
        <w:rPr/>
        <w:t>materiales,</w:t>
      </w:r>
      <w:r>
        <w:rPr>
          <w:spacing w:val="-6"/>
        </w:rPr>
        <w:t> </w:t>
      </w:r>
      <w:r>
        <w:rPr/>
        <w:t>así</w:t>
      </w:r>
      <w:r>
        <w:rPr>
          <w:spacing w:val="-6"/>
        </w:rPr>
        <w:t> </w:t>
      </w:r>
      <w:r>
        <w:rPr/>
        <w:t>como</w:t>
      </w:r>
      <w:r>
        <w:rPr>
          <w:spacing w:val="-7"/>
        </w:rPr>
        <w:t> </w:t>
      </w:r>
      <w:r>
        <w:rPr/>
        <w:t>los</w:t>
      </w:r>
      <w:r>
        <w:rPr>
          <w:spacing w:val="-10"/>
        </w:rPr>
        <w:t> </w:t>
      </w:r>
      <w:r>
        <w:rPr/>
        <w:t>costos</w:t>
      </w:r>
      <w:r>
        <w:rPr>
          <w:spacing w:val="-7"/>
        </w:rPr>
        <w:t> </w:t>
      </w:r>
      <w:r>
        <w:rPr/>
        <w:t>de los servicios de consultoría de Ingeniería y Arquitectura de inspección o dirección de obra de la etapa de control de ejecución del proyecto, según sea el caso.</w:t>
      </w:r>
    </w:p>
    <w:p>
      <w:pPr>
        <w:pStyle w:val="BodyText"/>
        <w:spacing w:before="65"/>
      </w:pPr>
    </w:p>
    <w:p>
      <w:pPr>
        <w:pStyle w:val="ListParagraph"/>
        <w:numPr>
          <w:ilvl w:val="0"/>
          <w:numId w:val="19"/>
        </w:numPr>
        <w:tabs>
          <w:tab w:pos="2189" w:val="left" w:leader="none"/>
          <w:tab w:pos="2191" w:val="left" w:leader="none"/>
        </w:tabs>
        <w:spacing w:line="276" w:lineRule="auto" w:before="0" w:after="0"/>
        <w:ind w:left="2191" w:right="1601" w:hanging="284"/>
        <w:jc w:val="both"/>
        <w:rPr>
          <w:sz w:val="22"/>
        </w:rPr>
      </w:pPr>
      <w:r>
        <w:rPr>
          <w:b/>
          <w:sz w:val="22"/>
        </w:rPr>
        <w:t>Subsidio Infraestructura comunal para sujetos de derecho público</w:t>
      </w:r>
      <w:r>
        <w:rPr>
          <w:sz w:val="22"/>
        </w:rPr>
        <w:t>: otorga recursos no</w:t>
      </w:r>
      <w:r>
        <w:rPr>
          <w:spacing w:val="-2"/>
          <w:sz w:val="22"/>
        </w:rPr>
        <w:t> </w:t>
      </w:r>
      <w:r>
        <w:rPr>
          <w:sz w:val="22"/>
        </w:rPr>
        <w:t>reembolsables a sujetos públicos para la construcción y</w:t>
      </w:r>
      <w:r>
        <w:rPr>
          <w:spacing w:val="-2"/>
          <w:sz w:val="22"/>
        </w:rPr>
        <w:t> </w:t>
      </w:r>
      <w:r>
        <w:rPr>
          <w:sz w:val="22"/>
        </w:rPr>
        <w:t>mejoras de la infraestructura destinada para actividades comunales, o prestación de servicios públicos, cuyos beneficios estarán dirigidos a personas y hogares en situación de pobreza,</w:t>
      </w:r>
      <w:r>
        <w:rPr>
          <w:spacing w:val="-16"/>
          <w:sz w:val="22"/>
        </w:rPr>
        <w:t> </w:t>
      </w:r>
      <w:r>
        <w:rPr>
          <w:sz w:val="22"/>
        </w:rPr>
        <w:t>para</w:t>
      </w:r>
      <w:r>
        <w:rPr>
          <w:spacing w:val="-15"/>
          <w:sz w:val="22"/>
        </w:rPr>
        <w:t> </w:t>
      </w:r>
      <w:r>
        <w:rPr>
          <w:sz w:val="22"/>
        </w:rPr>
        <w:t>cubrir</w:t>
      </w:r>
      <w:r>
        <w:rPr>
          <w:spacing w:val="-14"/>
          <w:sz w:val="22"/>
        </w:rPr>
        <w:t> </w:t>
      </w:r>
      <w:r>
        <w:rPr>
          <w:sz w:val="22"/>
        </w:rPr>
        <w:t>los</w:t>
      </w:r>
      <w:r>
        <w:rPr>
          <w:spacing w:val="-15"/>
          <w:sz w:val="22"/>
        </w:rPr>
        <w:t> </w:t>
      </w:r>
      <w:r>
        <w:rPr>
          <w:sz w:val="22"/>
        </w:rPr>
        <w:t>costos</w:t>
      </w:r>
      <w:r>
        <w:rPr>
          <w:spacing w:val="-13"/>
          <w:sz w:val="22"/>
        </w:rPr>
        <w:t> </w:t>
      </w:r>
      <w:r>
        <w:rPr>
          <w:sz w:val="22"/>
        </w:rPr>
        <w:t>de</w:t>
      </w:r>
      <w:r>
        <w:rPr>
          <w:spacing w:val="-16"/>
          <w:sz w:val="22"/>
        </w:rPr>
        <w:t> </w:t>
      </w:r>
      <w:r>
        <w:rPr>
          <w:sz w:val="22"/>
        </w:rPr>
        <w:t>materiales,</w:t>
      </w:r>
      <w:r>
        <w:rPr>
          <w:spacing w:val="-14"/>
          <w:sz w:val="22"/>
        </w:rPr>
        <w:t> </w:t>
      </w:r>
      <w:r>
        <w:rPr>
          <w:sz w:val="22"/>
        </w:rPr>
        <w:t>mano</w:t>
      </w:r>
      <w:r>
        <w:rPr>
          <w:spacing w:val="-14"/>
          <w:sz w:val="22"/>
        </w:rPr>
        <w:t> </w:t>
      </w:r>
      <w:r>
        <w:rPr>
          <w:sz w:val="22"/>
        </w:rPr>
        <w:t>de</w:t>
      </w:r>
      <w:r>
        <w:rPr>
          <w:spacing w:val="-14"/>
          <w:sz w:val="22"/>
        </w:rPr>
        <w:t> </w:t>
      </w:r>
      <w:r>
        <w:rPr>
          <w:sz w:val="22"/>
        </w:rPr>
        <w:t>obra,</w:t>
      </w:r>
      <w:r>
        <w:rPr>
          <w:spacing w:val="-12"/>
          <w:sz w:val="22"/>
        </w:rPr>
        <w:t> </w:t>
      </w:r>
      <w:r>
        <w:rPr>
          <w:sz w:val="22"/>
        </w:rPr>
        <w:t>alquiler</w:t>
      </w:r>
      <w:r>
        <w:rPr>
          <w:spacing w:val="-13"/>
          <w:sz w:val="22"/>
        </w:rPr>
        <w:t> </w:t>
      </w:r>
      <w:r>
        <w:rPr>
          <w:sz w:val="22"/>
        </w:rPr>
        <w:t>de</w:t>
      </w:r>
      <w:r>
        <w:rPr>
          <w:spacing w:val="-16"/>
          <w:sz w:val="22"/>
        </w:rPr>
        <w:t> </w:t>
      </w:r>
      <w:r>
        <w:rPr>
          <w:sz w:val="22"/>
        </w:rPr>
        <w:t>maquinaria, equipo, acarreo de materiales así como los costos de los servicios de consultoría de Ingeniería y Arquitectura de inspección, o dirección de obra, de la etapa de control de ejecución del proyecto, según sea el caso..</w:t>
      </w:r>
    </w:p>
    <w:p>
      <w:pPr>
        <w:pStyle w:val="BodyText"/>
        <w:spacing w:before="34"/>
      </w:pPr>
    </w:p>
    <w:p>
      <w:pPr>
        <w:pStyle w:val="ListParagraph"/>
        <w:numPr>
          <w:ilvl w:val="0"/>
          <w:numId w:val="19"/>
        </w:numPr>
        <w:tabs>
          <w:tab w:pos="2189" w:val="left" w:leader="none"/>
          <w:tab w:pos="2191" w:val="left" w:leader="none"/>
        </w:tabs>
        <w:spacing w:line="276" w:lineRule="auto" w:before="0" w:after="0"/>
        <w:ind w:left="2191" w:right="1617" w:hanging="284"/>
        <w:jc w:val="both"/>
        <w:rPr>
          <w:sz w:val="22"/>
        </w:rPr>
      </w:pPr>
      <w:r>
        <w:rPr>
          <w:b/>
          <w:sz w:val="22"/>
        </w:rPr>
        <w:t>Subsidio Procesos formativos</w:t>
      </w:r>
      <w:r>
        <w:rPr>
          <w:sz w:val="22"/>
        </w:rPr>
        <w:t>: corresponde a la vinculación de mujeres en situación de pobreza, así como de aquellas que se encuentran en un proceso de atención integral o asociadas a tipologías establecidas en la normativa vigente, tales como la Ley N°7769, el artículo 77 bis de la Ley N°8204 y la Ley N°7735. Asimismo, se incorpora el motivo de articulación como un componente complementario, dirigido a mujeres que participan en otros procesos formativos impartidos por el Instituto Nacional de las Mujeres (INAMU) y el Instituto Nacional de</w:t>
      </w:r>
      <w:r>
        <w:rPr>
          <w:spacing w:val="-12"/>
          <w:sz w:val="22"/>
        </w:rPr>
        <w:t> </w:t>
      </w:r>
      <w:r>
        <w:rPr>
          <w:sz w:val="22"/>
        </w:rPr>
        <w:t>Aprendizaje</w:t>
      </w:r>
      <w:r>
        <w:rPr>
          <w:spacing w:val="-14"/>
          <w:sz w:val="22"/>
        </w:rPr>
        <w:t> </w:t>
      </w:r>
      <w:r>
        <w:rPr>
          <w:sz w:val="22"/>
        </w:rPr>
        <w:t>(INA),</w:t>
      </w:r>
      <w:r>
        <w:rPr>
          <w:spacing w:val="-10"/>
          <w:sz w:val="22"/>
        </w:rPr>
        <w:t> </w:t>
      </w:r>
      <w:r>
        <w:rPr>
          <w:sz w:val="22"/>
        </w:rPr>
        <w:t>como</w:t>
      </w:r>
      <w:r>
        <w:rPr>
          <w:spacing w:val="-11"/>
          <w:sz w:val="22"/>
        </w:rPr>
        <w:t> </w:t>
      </w:r>
      <w:r>
        <w:rPr>
          <w:sz w:val="22"/>
        </w:rPr>
        <w:t>es</w:t>
      </w:r>
      <w:r>
        <w:rPr>
          <w:spacing w:val="-14"/>
          <w:sz w:val="22"/>
        </w:rPr>
        <w:t> </w:t>
      </w:r>
      <w:r>
        <w:rPr>
          <w:sz w:val="22"/>
        </w:rPr>
        <w:t>el</w:t>
      </w:r>
      <w:r>
        <w:rPr>
          <w:spacing w:val="-12"/>
          <w:sz w:val="22"/>
        </w:rPr>
        <w:t> </w:t>
      </w:r>
      <w:r>
        <w:rPr>
          <w:sz w:val="22"/>
        </w:rPr>
        <w:t>caso</w:t>
      </w:r>
      <w:r>
        <w:rPr>
          <w:spacing w:val="-14"/>
          <w:sz w:val="22"/>
        </w:rPr>
        <w:t> </w:t>
      </w:r>
      <w:r>
        <w:rPr>
          <w:sz w:val="22"/>
        </w:rPr>
        <w:t>del</w:t>
      </w:r>
      <w:r>
        <w:rPr>
          <w:spacing w:val="-12"/>
          <w:sz w:val="22"/>
        </w:rPr>
        <w:t> </w:t>
      </w:r>
      <w:r>
        <w:rPr>
          <w:sz w:val="22"/>
        </w:rPr>
        <w:t>programa</w:t>
      </w:r>
      <w:r>
        <w:rPr>
          <w:spacing w:val="-14"/>
          <w:sz w:val="22"/>
        </w:rPr>
        <w:t> </w:t>
      </w:r>
      <w:r>
        <w:rPr>
          <w:sz w:val="22"/>
        </w:rPr>
        <w:t>Mujeres</w:t>
      </w:r>
      <w:r>
        <w:rPr>
          <w:spacing w:val="-14"/>
          <w:sz w:val="22"/>
        </w:rPr>
        <w:t> </w:t>
      </w:r>
      <w:r>
        <w:rPr>
          <w:sz w:val="22"/>
        </w:rPr>
        <w:t>Semillas–Gestoras</w:t>
      </w:r>
      <w:r>
        <w:rPr>
          <w:spacing w:val="-13"/>
          <w:sz w:val="22"/>
        </w:rPr>
        <w:t> </w:t>
      </w:r>
      <w:r>
        <w:rPr>
          <w:sz w:val="22"/>
        </w:rPr>
        <w:t>de </w:t>
      </w:r>
      <w:r>
        <w:rPr>
          <w:spacing w:val="-2"/>
          <w:sz w:val="22"/>
        </w:rPr>
        <w:t>Vida.</w:t>
      </w:r>
    </w:p>
    <w:p>
      <w:pPr>
        <w:pStyle w:val="BodyText"/>
        <w:spacing w:before="33"/>
      </w:pPr>
    </w:p>
    <w:p>
      <w:pPr>
        <w:pStyle w:val="ListParagraph"/>
        <w:numPr>
          <w:ilvl w:val="0"/>
          <w:numId w:val="19"/>
        </w:numPr>
        <w:tabs>
          <w:tab w:pos="2189" w:val="left" w:leader="none"/>
          <w:tab w:pos="2191" w:val="left" w:leader="none"/>
        </w:tabs>
        <w:spacing w:line="276" w:lineRule="auto" w:before="0" w:after="0"/>
        <w:ind w:left="2191" w:right="1619" w:hanging="284"/>
        <w:jc w:val="both"/>
        <w:rPr>
          <w:sz w:val="22"/>
        </w:rPr>
      </w:pPr>
      <w:r>
        <w:rPr>
          <w:b/>
          <w:sz w:val="22"/>
        </w:rPr>
        <w:t>Subsidio Proyectos socio productivos para sujetos de derecho privado: </w:t>
      </w:r>
      <w:r>
        <w:rPr>
          <w:sz w:val="22"/>
        </w:rPr>
        <w:t>otorga recursos no reembolsables a sujetos privados proponentes de actividades productivas cuyos beneficios estarán dirigidos a personas y hogares en situación de pobreza, para la compra de materia prima, mejorar o adquirir maquinaria, mobiliario,</w:t>
      </w:r>
      <w:r>
        <w:rPr>
          <w:spacing w:val="-7"/>
          <w:sz w:val="22"/>
        </w:rPr>
        <w:t> </w:t>
      </w:r>
      <w:r>
        <w:rPr>
          <w:sz w:val="22"/>
        </w:rPr>
        <w:t>equipos,</w:t>
      </w:r>
      <w:r>
        <w:rPr>
          <w:spacing w:val="-6"/>
          <w:sz w:val="22"/>
        </w:rPr>
        <w:t> </w:t>
      </w:r>
      <w:r>
        <w:rPr>
          <w:sz w:val="22"/>
        </w:rPr>
        <w:t>insumos,</w:t>
      </w:r>
      <w:r>
        <w:rPr>
          <w:spacing w:val="-9"/>
          <w:sz w:val="22"/>
        </w:rPr>
        <w:t> </w:t>
      </w:r>
      <w:r>
        <w:rPr>
          <w:sz w:val="22"/>
        </w:rPr>
        <w:t>y</w:t>
      </w:r>
      <w:r>
        <w:rPr>
          <w:spacing w:val="-7"/>
          <w:sz w:val="22"/>
        </w:rPr>
        <w:t> </w:t>
      </w:r>
      <w:r>
        <w:rPr>
          <w:sz w:val="22"/>
        </w:rPr>
        <w:t>en</w:t>
      </w:r>
      <w:r>
        <w:rPr>
          <w:spacing w:val="-8"/>
          <w:sz w:val="22"/>
        </w:rPr>
        <w:t> </w:t>
      </w:r>
      <w:r>
        <w:rPr>
          <w:sz w:val="22"/>
        </w:rPr>
        <w:t>general,</w:t>
      </w:r>
      <w:r>
        <w:rPr>
          <w:spacing w:val="-7"/>
          <w:sz w:val="22"/>
        </w:rPr>
        <w:t> </w:t>
      </w:r>
      <w:r>
        <w:rPr>
          <w:sz w:val="22"/>
        </w:rPr>
        <w:t>cualquier</w:t>
      </w:r>
      <w:r>
        <w:rPr>
          <w:spacing w:val="-7"/>
          <w:sz w:val="22"/>
        </w:rPr>
        <w:t> </w:t>
      </w:r>
      <w:r>
        <w:rPr>
          <w:sz w:val="22"/>
        </w:rPr>
        <w:t>bien</w:t>
      </w:r>
      <w:r>
        <w:rPr>
          <w:spacing w:val="-8"/>
          <w:sz w:val="22"/>
        </w:rPr>
        <w:t> </w:t>
      </w:r>
      <w:r>
        <w:rPr>
          <w:sz w:val="22"/>
        </w:rPr>
        <w:t>o</w:t>
      </w:r>
      <w:r>
        <w:rPr>
          <w:spacing w:val="-7"/>
          <w:sz w:val="22"/>
        </w:rPr>
        <w:t> </w:t>
      </w:r>
      <w:r>
        <w:rPr>
          <w:sz w:val="22"/>
        </w:rPr>
        <w:t>servicio</w:t>
      </w:r>
      <w:r>
        <w:rPr>
          <w:spacing w:val="-7"/>
          <w:sz w:val="22"/>
        </w:rPr>
        <w:t> </w:t>
      </w:r>
      <w:r>
        <w:rPr>
          <w:sz w:val="22"/>
        </w:rPr>
        <w:t>necesario</w:t>
      </w:r>
      <w:r>
        <w:rPr>
          <w:spacing w:val="-8"/>
          <w:sz w:val="22"/>
        </w:rPr>
        <w:t> </w:t>
      </w:r>
      <w:r>
        <w:rPr>
          <w:sz w:val="22"/>
        </w:rPr>
        <w:t>para la operación satisfactoria del proyecto productivo presentado. Además, este subsidio contempla, los Fondos Locales de Solidaridad que permiten establecer, fortalecer e impulsar Fondos Locales Revolutivos y Fondos Locales de Comercialización,</w:t>
      </w:r>
      <w:r>
        <w:rPr>
          <w:spacing w:val="-11"/>
          <w:sz w:val="22"/>
        </w:rPr>
        <w:t> </w:t>
      </w:r>
      <w:r>
        <w:rPr>
          <w:sz w:val="22"/>
        </w:rPr>
        <w:t>tanto</w:t>
      </w:r>
      <w:r>
        <w:rPr>
          <w:spacing w:val="-12"/>
          <w:sz w:val="22"/>
        </w:rPr>
        <w:t> </w:t>
      </w:r>
      <w:r>
        <w:rPr>
          <w:sz w:val="22"/>
        </w:rPr>
        <w:t>para</w:t>
      </w:r>
      <w:r>
        <w:rPr>
          <w:spacing w:val="-9"/>
          <w:sz w:val="22"/>
        </w:rPr>
        <w:t> </w:t>
      </w:r>
      <w:r>
        <w:rPr>
          <w:sz w:val="22"/>
        </w:rPr>
        <w:t>el</w:t>
      </w:r>
      <w:r>
        <w:rPr>
          <w:spacing w:val="-13"/>
          <w:sz w:val="22"/>
        </w:rPr>
        <w:t> </w:t>
      </w:r>
      <w:r>
        <w:rPr>
          <w:sz w:val="22"/>
        </w:rPr>
        <w:t>fomento</w:t>
      </w:r>
      <w:r>
        <w:rPr>
          <w:spacing w:val="-12"/>
          <w:sz w:val="22"/>
        </w:rPr>
        <w:t> </w:t>
      </w:r>
      <w:r>
        <w:rPr>
          <w:sz w:val="22"/>
        </w:rPr>
        <w:t>de</w:t>
      </w:r>
      <w:r>
        <w:rPr>
          <w:spacing w:val="-13"/>
          <w:sz w:val="22"/>
        </w:rPr>
        <w:t> </w:t>
      </w:r>
      <w:r>
        <w:rPr>
          <w:sz w:val="22"/>
        </w:rPr>
        <w:t>la</w:t>
      </w:r>
      <w:r>
        <w:rPr>
          <w:spacing w:val="-12"/>
          <w:sz w:val="22"/>
        </w:rPr>
        <w:t> </w:t>
      </w:r>
      <w:r>
        <w:rPr>
          <w:sz w:val="22"/>
        </w:rPr>
        <w:t>producción</w:t>
      </w:r>
      <w:r>
        <w:rPr>
          <w:spacing w:val="-10"/>
          <w:sz w:val="22"/>
        </w:rPr>
        <w:t> </w:t>
      </w:r>
      <w:r>
        <w:rPr>
          <w:sz w:val="22"/>
        </w:rPr>
        <w:t>por</w:t>
      </w:r>
      <w:r>
        <w:rPr>
          <w:spacing w:val="-13"/>
          <w:sz w:val="22"/>
        </w:rPr>
        <w:t> </w:t>
      </w:r>
      <w:r>
        <w:rPr>
          <w:sz w:val="22"/>
        </w:rPr>
        <w:t>medio</w:t>
      </w:r>
      <w:r>
        <w:rPr>
          <w:spacing w:val="-10"/>
          <w:sz w:val="22"/>
        </w:rPr>
        <w:t> </w:t>
      </w:r>
      <w:r>
        <w:rPr>
          <w:sz w:val="22"/>
        </w:rPr>
        <w:t>de</w:t>
      </w:r>
      <w:r>
        <w:rPr>
          <w:spacing w:val="-13"/>
          <w:sz w:val="22"/>
        </w:rPr>
        <w:t> </w:t>
      </w:r>
      <w:r>
        <w:rPr>
          <w:sz w:val="22"/>
        </w:rPr>
        <w:t>créditos</w:t>
      </w:r>
      <w:r>
        <w:rPr>
          <w:spacing w:val="-10"/>
          <w:sz w:val="22"/>
        </w:rPr>
        <w:t> </w:t>
      </w:r>
      <w:r>
        <w:rPr>
          <w:sz w:val="22"/>
        </w:rPr>
        <w:t>que otorguen las organizaciones con ese capital (Fondo Local Revolutivo), como para la</w:t>
      </w:r>
      <w:r>
        <w:rPr>
          <w:spacing w:val="-3"/>
          <w:sz w:val="22"/>
        </w:rPr>
        <w:t> </w:t>
      </w:r>
      <w:r>
        <w:rPr>
          <w:sz w:val="22"/>
        </w:rPr>
        <w:t>compra</w:t>
      </w:r>
      <w:r>
        <w:rPr>
          <w:spacing w:val="-5"/>
          <w:sz w:val="22"/>
        </w:rPr>
        <w:t> </w:t>
      </w:r>
      <w:r>
        <w:rPr>
          <w:sz w:val="22"/>
        </w:rPr>
        <w:t>de</w:t>
      </w:r>
      <w:r>
        <w:rPr>
          <w:spacing w:val="-3"/>
          <w:sz w:val="22"/>
        </w:rPr>
        <w:t> </w:t>
      </w:r>
      <w:r>
        <w:rPr>
          <w:sz w:val="22"/>
        </w:rPr>
        <w:t>la</w:t>
      </w:r>
      <w:r>
        <w:rPr>
          <w:spacing w:val="-3"/>
          <w:sz w:val="22"/>
        </w:rPr>
        <w:t> </w:t>
      </w:r>
      <w:r>
        <w:rPr>
          <w:sz w:val="22"/>
        </w:rPr>
        <w:t>producción</w:t>
      </w:r>
      <w:r>
        <w:rPr>
          <w:spacing w:val="-3"/>
          <w:sz w:val="22"/>
        </w:rPr>
        <w:t> </w:t>
      </w:r>
      <w:r>
        <w:rPr>
          <w:sz w:val="22"/>
        </w:rPr>
        <w:t>prioritariamente</w:t>
      </w:r>
      <w:r>
        <w:rPr>
          <w:spacing w:val="-3"/>
          <w:sz w:val="22"/>
        </w:rPr>
        <w:t> </w:t>
      </w:r>
      <w:r>
        <w:rPr>
          <w:sz w:val="22"/>
        </w:rPr>
        <w:t>de</w:t>
      </w:r>
      <w:r>
        <w:rPr>
          <w:spacing w:val="-3"/>
          <w:sz w:val="22"/>
        </w:rPr>
        <w:t> </w:t>
      </w:r>
      <w:r>
        <w:rPr>
          <w:sz w:val="22"/>
        </w:rPr>
        <w:t>sus</w:t>
      </w:r>
      <w:r>
        <w:rPr>
          <w:spacing w:val="-2"/>
          <w:sz w:val="22"/>
        </w:rPr>
        <w:t> </w:t>
      </w:r>
      <w:r>
        <w:rPr>
          <w:sz w:val="22"/>
        </w:rPr>
        <w:t>asociados,</w:t>
      </w:r>
      <w:r>
        <w:rPr>
          <w:spacing w:val="-4"/>
          <w:sz w:val="22"/>
        </w:rPr>
        <w:t> </w:t>
      </w:r>
      <w:r>
        <w:rPr>
          <w:sz w:val="22"/>
        </w:rPr>
        <w:t>en</w:t>
      </w:r>
      <w:r>
        <w:rPr>
          <w:spacing w:val="-3"/>
          <w:sz w:val="22"/>
        </w:rPr>
        <w:t> </w:t>
      </w:r>
      <w:r>
        <w:rPr>
          <w:sz w:val="22"/>
        </w:rPr>
        <w:t>condiciones</w:t>
      </w:r>
      <w:r>
        <w:rPr>
          <w:spacing w:val="-2"/>
          <w:sz w:val="22"/>
        </w:rPr>
        <w:t> </w:t>
      </w:r>
      <w:r>
        <w:rPr>
          <w:sz w:val="22"/>
        </w:rPr>
        <w:t>más favorables (Fondo Local de Comercialización).</w:t>
      </w:r>
    </w:p>
    <w:p>
      <w:pPr>
        <w:pStyle w:val="BodyText"/>
        <w:spacing w:before="34"/>
      </w:pPr>
    </w:p>
    <w:p>
      <w:pPr>
        <w:pStyle w:val="ListParagraph"/>
        <w:numPr>
          <w:ilvl w:val="0"/>
          <w:numId w:val="19"/>
        </w:numPr>
        <w:tabs>
          <w:tab w:pos="2189" w:val="left" w:leader="none"/>
          <w:tab w:pos="2191" w:val="left" w:leader="none"/>
        </w:tabs>
        <w:spacing w:line="276" w:lineRule="auto" w:before="0" w:after="0"/>
        <w:ind w:left="2191" w:right="1617" w:hanging="284"/>
        <w:jc w:val="both"/>
        <w:rPr>
          <w:sz w:val="22"/>
        </w:rPr>
      </w:pPr>
      <w:r>
        <w:rPr>
          <w:b/>
          <w:sz w:val="22"/>
        </w:rPr>
        <w:t>Transferencia Monetaria Condicionada Avancemos: </w:t>
      </w:r>
      <w:r>
        <w:rPr>
          <w:sz w:val="22"/>
        </w:rPr>
        <w:t>transferencia monetaria condicionada orientada a coadyuvar a la inclusión, la permanencia, la asistencia y la reincorporación en el sistema educativo formal de personas estudiantes de educación primaria y secundaria de las diferentes modalidades avaladas por el Ministerio de Educación Pública (MEP); en la ejecución de esta transferencia se deben</w:t>
      </w:r>
      <w:r>
        <w:rPr>
          <w:spacing w:val="-5"/>
          <w:sz w:val="22"/>
        </w:rPr>
        <w:t> </w:t>
      </w:r>
      <w:r>
        <w:rPr>
          <w:sz w:val="22"/>
        </w:rPr>
        <w:t>considerar</w:t>
      </w:r>
      <w:r>
        <w:rPr>
          <w:spacing w:val="-6"/>
          <w:sz w:val="22"/>
        </w:rPr>
        <w:t> </w:t>
      </w:r>
      <w:r>
        <w:rPr>
          <w:sz w:val="22"/>
        </w:rPr>
        <w:t>los</w:t>
      </w:r>
      <w:r>
        <w:rPr>
          <w:spacing w:val="-5"/>
          <w:sz w:val="22"/>
        </w:rPr>
        <w:t> </w:t>
      </w:r>
      <w:r>
        <w:rPr>
          <w:sz w:val="22"/>
        </w:rPr>
        <w:t>acuerdos</w:t>
      </w:r>
      <w:r>
        <w:rPr>
          <w:spacing w:val="-7"/>
          <w:sz w:val="22"/>
        </w:rPr>
        <w:t> </w:t>
      </w:r>
      <w:r>
        <w:rPr>
          <w:sz w:val="22"/>
        </w:rPr>
        <w:t>y</w:t>
      </w:r>
      <w:r>
        <w:rPr>
          <w:spacing w:val="-7"/>
          <w:sz w:val="22"/>
        </w:rPr>
        <w:t> </w:t>
      </w:r>
      <w:r>
        <w:rPr>
          <w:sz w:val="22"/>
        </w:rPr>
        <w:t>criterios</w:t>
      </w:r>
      <w:r>
        <w:rPr>
          <w:spacing w:val="-5"/>
          <w:sz w:val="22"/>
        </w:rPr>
        <w:t> </w:t>
      </w:r>
      <w:r>
        <w:rPr>
          <w:sz w:val="22"/>
        </w:rPr>
        <w:t>definidos</w:t>
      </w:r>
      <w:r>
        <w:rPr>
          <w:spacing w:val="-5"/>
          <w:sz w:val="22"/>
        </w:rPr>
        <w:t> </w:t>
      </w:r>
      <w:r>
        <w:rPr>
          <w:sz w:val="22"/>
        </w:rPr>
        <w:t>por</w:t>
      </w:r>
      <w:r>
        <w:rPr>
          <w:spacing w:val="-6"/>
          <w:sz w:val="22"/>
        </w:rPr>
        <w:t> </w:t>
      </w:r>
      <w:r>
        <w:rPr>
          <w:sz w:val="22"/>
        </w:rPr>
        <w:t>el</w:t>
      </w:r>
      <w:r>
        <w:rPr>
          <w:spacing w:val="-8"/>
          <w:sz w:val="22"/>
        </w:rPr>
        <w:t> </w:t>
      </w:r>
      <w:r>
        <w:rPr>
          <w:sz w:val="22"/>
        </w:rPr>
        <w:t>Consejo</w:t>
      </w:r>
      <w:r>
        <w:rPr>
          <w:spacing w:val="-7"/>
          <w:sz w:val="22"/>
        </w:rPr>
        <w:t> </w:t>
      </w:r>
      <w:r>
        <w:rPr>
          <w:sz w:val="22"/>
        </w:rPr>
        <w:t>de</w:t>
      </w:r>
      <w:r>
        <w:rPr>
          <w:spacing w:val="-8"/>
          <w:sz w:val="22"/>
        </w:rPr>
        <w:t> </w:t>
      </w:r>
      <w:r>
        <w:rPr>
          <w:sz w:val="22"/>
        </w:rPr>
        <w:t>Coordinación del Programa Avancemos (máxima instancia según las competencias asignadas mediante le Ley N°9617)</w:t>
      </w:r>
    </w:p>
    <w:p>
      <w:pPr>
        <w:pStyle w:val="ListParagraph"/>
        <w:spacing w:after="0" w:line="276" w:lineRule="auto"/>
        <w:jc w:val="both"/>
        <w:rPr>
          <w:sz w:val="22"/>
        </w:rPr>
        <w:sectPr>
          <w:pgSz w:w="12240" w:h="15840"/>
          <w:pgMar w:header="0" w:footer="1576" w:top="1000" w:bottom="1760" w:left="360" w:right="0"/>
        </w:sectPr>
      </w:pPr>
    </w:p>
    <w:p>
      <w:pPr>
        <w:pStyle w:val="ListParagraph"/>
        <w:numPr>
          <w:ilvl w:val="0"/>
          <w:numId w:val="22"/>
        </w:numPr>
        <w:tabs>
          <w:tab w:pos="1985" w:val="left" w:leader="none"/>
        </w:tabs>
        <w:spacing w:line="276" w:lineRule="auto" w:before="89" w:after="0"/>
        <w:ind w:left="1985" w:right="1599" w:hanging="360"/>
        <w:jc w:val="both"/>
        <w:rPr>
          <w:sz w:val="22"/>
        </w:rPr>
      </w:pPr>
      <w:r>
        <w:rPr>
          <w:b/>
          <w:sz w:val="22"/>
        </w:rPr>
        <w:t>Transferencia Monetaria Condicionada Cuidado y desarrollo infantil: </w:t>
      </w:r>
      <w:r>
        <w:rPr>
          <w:sz w:val="22"/>
        </w:rPr>
        <w:t>se ejecuta en el marco de la Red Nacional de Cuido y Desarrollo Infantil, consiste en una transferencia monetaria condicionada a la asistencia de las personas menores de edad a los servicios que brindan las alternativas de atención públicas y privadas debidamente habilitadas. Está orientada a niños y niñas de 0 a 12 años y 364 días cumplidos, o personas menores de 18 años con discapacidad, en situación de pobreza. Las alternativas de atención son seleccionadas por los padres, madres o representantes legales de las personas menores de edad, quienes autorizan el traslado del costo total o parcial de la atención.</w:t>
      </w:r>
    </w:p>
    <w:p>
      <w:pPr>
        <w:pStyle w:val="Heading3"/>
        <w:numPr>
          <w:ilvl w:val="1"/>
          <w:numId w:val="5"/>
        </w:numPr>
        <w:tabs>
          <w:tab w:pos="3041" w:val="left" w:leader="none"/>
        </w:tabs>
        <w:spacing w:line="240" w:lineRule="auto" w:before="251" w:after="0"/>
        <w:ind w:left="3041" w:right="0" w:hanging="555"/>
        <w:jc w:val="left"/>
      </w:pPr>
      <w:bookmarkStart w:name="_bookmark46" w:id="47"/>
      <w:bookmarkEnd w:id="47"/>
      <w:r>
        <w:rPr>
          <w:b w:val="0"/>
        </w:rPr>
      </w:r>
      <w:r>
        <w:rPr/>
        <w:t>Programa</w:t>
      </w:r>
      <w:r>
        <w:rPr>
          <w:spacing w:val="-6"/>
        </w:rPr>
        <w:t> </w:t>
      </w:r>
      <w:r>
        <w:rPr/>
        <w:t>de</w:t>
      </w:r>
      <w:r>
        <w:rPr>
          <w:spacing w:val="-5"/>
        </w:rPr>
        <w:t> </w:t>
      </w:r>
      <w:r>
        <w:rPr/>
        <w:t>Actividades</w:t>
      </w:r>
      <w:r>
        <w:rPr>
          <w:spacing w:val="-5"/>
        </w:rPr>
        <w:t> </w:t>
      </w:r>
      <w:r>
        <w:rPr>
          <w:spacing w:val="-2"/>
        </w:rPr>
        <w:t>Centrales</w:t>
      </w:r>
    </w:p>
    <w:p>
      <w:pPr>
        <w:pStyle w:val="Heading3"/>
        <w:numPr>
          <w:ilvl w:val="2"/>
          <w:numId w:val="5"/>
        </w:numPr>
        <w:tabs>
          <w:tab w:pos="3084" w:val="left" w:leader="none"/>
        </w:tabs>
        <w:spacing w:line="240" w:lineRule="auto" w:before="252" w:after="0"/>
        <w:ind w:left="3084" w:right="0" w:hanging="598"/>
        <w:jc w:val="left"/>
      </w:pPr>
      <w:bookmarkStart w:name="_bookmark47" w:id="48"/>
      <w:bookmarkEnd w:id="48"/>
      <w:r>
        <w:rPr>
          <w:b w:val="0"/>
        </w:rPr>
      </w:r>
      <w:r>
        <w:rPr/>
        <w:t>Descripción</w:t>
      </w:r>
      <w:r>
        <w:rPr>
          <w:spacing w:val="-5"/>
        </w:rPr>
        <w:t> </w:t>
      </w:r>
      <w:r>
        <w:rPr/>
        <w:t>del</w:t>
      </w:r>
      <w:r>
        <w:rPr>
          <w:spacing w:val="-5"/>
        </w:rPr>
        <w:t> </w:t>
      </w:r>
      <w:r>
        <w:rPr>
          <w:spacing w:val="-2"/>
        </w:rPr>
        <w:t>Programa</w:t>
      </w:r>
    </w:p>
    <w:p>
      <w:pPr>
        <w:pStyle w:val="BodyText"/>
        <w:rPr>
          <w:b/>
          <w:sz w:val="24"/>
        </w:rPr>
      </w:pPr>
    </w:p>
    <w:p>
      <w:pPr>
        <w:pStyle w:val="BodyText"/>
        <w:ind w:left="1625" w:right="1604"/>
        <w:jc w:val="both"/>
      </w:pPr>
      <w:r>
        <w:rPr/>
        <w:t>El programa de Actividades Centrales tiene como fin la “Eficiente gestión administrativa, financiera</w:t>
      </w:r>
      <w:r>
        <w:rPr>
          <w:spacing w:val="-15"/>
        </w:rPr>
        <w:t> </w:t>
      </w:r>
      <w:r>
        <w:rPr/>
        <w:t>y</w:t>
      </w:r>
      <w:r>
        <w:rPr>
          <w:spacing w:val="-13"/>
        </w:rPr>
        <w:t> </w:t>
      </w:r>
      <w:r>
        <w:rPr/>
        <w:t>tecnológica,</w:t>
      </w:r>
      <w:r>
        <w:rPr>
          <w:spacing w:val="-16"/>
        </w:rPr>
        <w:t> </w:t>
      </w:r>
      <w:r>
        <w:rPr/>
        <w:t>orientada</w:t>
      </w:r>
      <w:r>
        <w:rPr>
          <w:spacing w:val="-14"/>
        </w:rPr>
        <w:t> </w:t>
      </w:r>
      <w:r>
        <w:rPr/>
        <w:t>a</w:t>
      </w:r>
      <w:r>
        <w:rPr>
          <w:spacing w:val="-15"/>
        </w:rPr>
        <w:t> </w:t>
      </w:r>
      <w:r>
        <w:rPr/>
        <w:t>la</w:t>
      </w:r>
      <w:r>
        <w:rPr>
          <w:spacing w:val="-15"/>
        </w:rPr>
        <w:t> </w:t>
      </w:r>
      <w:r>
        <w:rPr/>
        <w:t>institucionalización</w:t>
      </w:r>
      <w:r>
        <w:rPr>
          <w:spacing w:val="-15"/>
        </w:rPr>
        <w:t> </w:t>
      </w:r>
      <w:r>
        <w:rPr/>
        <w:t>de</w:t>
      </w:r>
      <w:r>
        <w:rPr>
          <w:spacing w:val="-15"/>
        </w:rPr>
        <w:t> </w:t>
      </w:r>
      <w:r>
        <w:rPr/>
        <w:t>la</w:t>
      </w:r>
      <w:r>
        <w:rPr>
          <w:spacing w:val="-15"/>
        </w:rPr>
        <w:t> </w:t>
      </w:r>
      <w:r>
        <w:rPr/>
        <w:t>estrategia</w:t>
      </w:r>
      <w:r>
        <w:rPr>
          <w:spacing w:val="-16"/>
        </w:rPr>
        <w:t> </w:t>
      </w:r>
      <w:r>
        <w:rPr/>
        <w:t>de</w:t>
      </w:r>
      <w:r>
        <w:rPr>
          <w:spacing w:val="-14"/>
        </w:rPr>
        <w:t> </w:t>
      </w:r>
      <w:r>
        <w:rPr/>
        <w:t>intervención de la población en situación de pobreza y pobreza extrema”.</w:t>
      </w:r>
    </w:p>
    <w:p>
      <w:pPr>
        <w:pStyle w:val="BodyText"/>
        <w:spacing w:before="1"/>
      </w:pPr>
    </w:p>
    <w:p>
      <w:pPr>
        <w:pStyle w:val="BodyText"/>
        <w:ind w:left="1625" w:right="1608"/>
        <w:jc w:val="both"/>
      </w:pPr>
      <w:r>
        <w:rPr/>
        <w:t>Comprende la administración del recurso humano, financiero, material y tecnológico de la Institución,</w:t>
      </w:r>
      <w:r>
        <w:rPr>
          <w:spacing w:val="-1"/>
        </w:rPr>
        <w:t> </w:t>
      </w:r>
      <w:r>
        <w:rPr/>
        <w:t>para que</w:t>
      </w:r>
      <w:r>
        <w:rPr>
          <w:spacing w:val="-3"/>
        </w:rPr>
        <w:t> </w:t>
      </w:r>
      <w:r>
        <w:rPr/>
        <w:t>se conviertan</w:t>
      </w:r>
      <w:r>
        <w:rPr>
          <w:spacing w:val="-3"/>
        </w:rPr>
        <w:t> </w:t>
      </w:r>
      <w:r>
        <w:rPr/>
        <w:t>en</w:t>
      </w:r>
      <w:r>
        <w:rPr>
          <w:spacing w:val="-3"/>
        </w:rPr>
        <w:t> </w:t>
      </w:r>
      <w:r>
        <w:rPr/>
        <w:t>apoyo</w:t>
      </w:r>
      <w:r>
        <w:rPr>
          <w:spacing w:val="-3"/>
        </w:rPr>
        <w:t> </w:t>
      </w:r>
      <w:r>
        <w:rPr/>
        <w:t>efectivo</w:t>
      </w:r>
      <w:r>
        <w:rPr>
          <w:spacing w:val="-1"/>
        </w:rPr>
        <w:t> </w:t>
      </w:r>
      <w:r>
        <w:rPr/>
        <w:t>para</w:t>
      </w:r>
      <w:r>
        <w:rPr>
          <w:spacing w:val="-3"/>
        </w:rPr>
        <w:t> </w:t>
      </w:r>
      <w:r>
        <w:rPr/>
        <w:t>la ejecución</w:t>
      </w:r>
      <w:r>
        <w:rPr>
          <w:spacing w:val="-5"/>
        </w:rPr>
        <w:t> </w:t>
      </w:r>
      <w:r>
        <w:rPr/>
        <w:t>de</w:t>
      </w:r>
      <w:r>
        <w:rPr>
          <w:spacing w:val="-1"/>
        </w:rPr>
        <w:t> </w:t>
      </w:r>
      <w:r>
        <w:rPr/>
        <w:t>los</w:t>
      </w:r>
      <w:r>
        <w:rPr>
          <w:spacing w:val="-3"/>
        </w:rPr>
        <w:t> </w:t>
      </w:r>
      <w:r>
        <w:rPr/>
        <w:t>planes y programas que se implementen, en beneficio de la población objetivo.</w:t>
      </w:r>
    </w:p>
    <w:p>
      <w:pPr>
        <w:pStyle w:val="BodyText"/>
        <w:spacing w:before="252"/>
        <w:ind w:left="1625" w:right="1601"/>
        <w:jc w:val="both"/>
      </w:pPr>
      <w:r>
        <w:rPr/>
        <w:t>El Programa formula planes de trabajo, emite la normativa requerida e implementa procesos y controles, para el correcto funcionamiento institucional, con el apoyo técnico para su ejecución. Lo anterior, se basa en decisiones político-gerenciales y la definición de</w:t>
      </w:r>
      <w:r>
        <w:rPr>
          <w:spacing w:val="-8"/>
        </w:rPr>
        <w:t> </w:t>
      </w:r>
      <w:r>
        <w:rPr/>
        <w:t>estrategias</w:t>
      </w:r>
      <w:r>
        <w:rPr>
          <w:spacing w:val="-7"/>
        </w:rPr>
        <w:t> </w:t>
      </w:r>
      <w:r>
        <w:rPr/>
        <w:t>que</w:t>
      </w:r>
      <w:r>
        <w:rPr>
          <w:spacing w:val="-10"/>
        </w:rPr>
        <w:t> </w:t>
      </w:r>
      <w:r>
        <w:rPr/>
        <w:t>integran</w:t>
      </w:r>
      <w:r>
        <w:rPr>
          <w:spacing w:val="-8"/>
        </w:rPr>
        <w:t> </w:t>
      </w:r>
      <w:r>
        <w:rPr/>
        <w:t>los</w:t>
      </w:r>
      <w:r>
        <w:rPr>
          <w:spacing w:val="-10"/>
        </w:rPr>
        <w:t> </w:t>
      </w:r>
      <w:r>
        <w:rPr/>
        <w:t>lineamientos</w:t>
      </w:r>
      <w:r>
        <w:rPr>
          <w:spacing w:val="-9"/>
        </w:rPr>
        <w:t> </w:t>
      </w:r>
      <w:r>
        <w:rPr/>
        <w:t>y</w:t>
      </w:r>
      <w:r>
        <w:rPr>
          <w:spacing w:val="-9"/>
        </w:rPr>
        <w:t> </w:t>
      </w:r>
      <w:r>
        <w:rPr/>
        <w:t>políticas</w:t>
      </w:r>
      <w:r>
        <w:rPr>
          <w:spacing w:val="-7"/>
        </w:rPr>
        <w:t> </w:t>
      </w:r>
      <w:r>
        <w:rPr/>
        <w:t>emanadas</w:t>
      </w:r>
      <w:r>
        <w:rPr>
          <w:spacing w:val="-10"/>
        </w:rPr>
        <w:t> </w:t>
      </w:r>
      <w:r>
        <w:rPr/>
        <w:t>de</w:t>
      </w:r>
      <w:r>
        <w:rPr>
          <w:spacing w:val="-10"/>
        </w:rPr>
        <w:t> </w:t>
      </w:r>
      <w:r>
        <w:rPr/>
        <w:t>la</w:t>
      </w:r>
      <w:r>
        <w:rPr>
          <w:spacing w:val="-10"/>
        </w:rPr>
        <w:t> </w:t>
      </w:r>
      <w:r>
        <w:rPr/>
        <w:t>Presidencia</w:t>
      </w:r>
      <w:r>
        <w:rPr>
          <w:spacing w:val="-7"/>
        </w:rPr>
        <w:t> </w:t>
      </w:r>
      <w:r>
        <w:rPr/>
        <w:t>de</w:t>
      </w:r>
      <w:r>
        <w:rPr>
          <w:spacing w:val="-8"/>
        </w:rPr>
        <w:t> </w:t>
      </w:r>
      <w:r>
        <w:rPr/>
        <w:t>la República y demás órganos contralores y fiscalizadores.</w:t>
      </w:r>
    </w:p>
    <w:p>
      <w:pPr>
        <w:pStyle w:val="BodyText"/>
        <w:spacing w:before="2"/>
      </w:pPr>
    </w:p>
    <w:p>
      <w:pPr>
        <w:pStyle w:val="Heading3"/>
        <w:numPr>
          <w:ilvl w:val="2"/>
          <w:numId w:val="5"/>
        </w:numPr>
        <w:tabs>
          <w:tab w:pos="3084" w:val="left" w:leader="none"/>
        </w:tabs>
        <w:spacing w:line="240" w:lineRule="auto" w:before="0" w:after="0"/>
        <w:ind w:left="3084" w:right="0" w:hanging="598"/>
        <w:jc w:val="left"/>
      </w:pPr>
      <w:bookmarkStart w:name="_bookmark48" w:id="49"/>
      <w:bookmarkEnd w:id="49"/>
      <w:r>
        <w:rPr>
          <w:b w:val="0"/>
        </w:rPr>
      </w:r>
      <w:r>
        <w:rPr/>
        <w:t>Objetivos</w:t>
      </w:r>
      <w:r>
        <w:rPr>
          <w:spacing w:val="-5"/>
        </w:rPr>
        <w:t> </w:t>
      </w:r>
      <w:r>
        <w:rPr/>
        <w:t>del</w:t>
      </w:r>
      <w:r>
        <w:rPr>
          <w:spacing w:val="-4"/>
        </w:rPr>
        <w:t> </w:t>
      </w:r>
      <w:r>
        <w:rPr>
          <w:spacing w:val="-2"/>
        </w:rPr>
        <w:t>Programa</w:t>
      </w:r>
    </w:p>
    <w:p>
      <w:pPr>
        <w:pStyle w:val="Heading5"/>
        <w:spacing w:before="251"/>
        <w:jc w:val="both"/>
      </w:pPr>
      <w:r>
        <w:rPr/>
        <w:t>Objetivo</w:t>
      </w:r>
      <w:r>
        <w:rPr>
          <w:spacing w:val="-8"/>
        </w:rPr>
        <w:t> </w:t>
      </w:r>
      <w:r>
        <w:rPr>
          <w:spacing w:val="-2"/>
        </w:rPr>
        <w:t>General</w:t>
      </w:r>
    </w:p>
    <w:p>
      <w:pPr>
        <w:pStyle w:val="BodyText"/>
        <w:spacing w:before="1"/>
        <w:rPr>
          <w:b/>
        </w:rPr>
      </w:pPr>
    </w:p>
    <w:p>
      <w:pPr>
        <w:pStyle w:val="BodyText"/>
        <w:ind w:left="1625" w:right="1601"/>
        <w:jc w:val="both"/>
      </w:pPr>
      <w:r>
        <w:rPr/>
        <w:t>Realizar una efectiva gestión de los recursos humanos, financieros, materiales y tecnológicos, con el fin de contribuir con la institucionalización de la estrategia de intervención de la población en situación de pobreza y pobreza extrema, mediante un proceso</w:t>
      </w:r>
      <w:r>
        <w:rPr>
          <w:spacing w:val="-8"/>
        </w:rPr>
        <w:t> </w:t>
      </w:r>
      <w:r>
        <w:rPr/>
        <w:t>de</w:t>
      </w:r>
      <w:r>
        <w:rPr>
          <w:spacing w:val="-10"/>
        </w:rPr>
        <w:t> </w:t>
      </w:r>
      <w:r>
        <w:rPr/>
        <w:t>toma</w:t>
      </w:r>
      <w:r>
        <w:rPr>
          <w:spacing w:val="-10"/>
        </w:rPr>
        <w:t> </w:t>
      </w:r>
      <w:r>
        <w:rPr/>
        <w:t>de</w:t>
      </w:r>
      <w:r>
        <w:rPr>
          <w:spacing w:val="-8"/>
        </w:rPr>
        <w:t> </w:t>
      </w:r>
      <w:r>
        <w:rPr/>
        <w:t>decisiones</w:t>
      </w:r>
      <w:r>
        <w:rPr>
          <w:spacing w:val="-7"/>
        </w:rPr>
        <w:t> </w:t>
      </w:r>
      <w:r>
        <w:rPr/>
        <w:t>político-gerenciales</w:t>
      </w:r>
      <w:r>
        <w:rPr>
          <w:spacing w:val="-7"/>
        </w:rPr>
        <w:t> </w:t>
      </w:r>
      <w:r>
        <w:rPr/>
        <w:t>asertivo,</w:t>
      </w:r>
      <w:r>
        <w:rPr>
          <w:spacing w:val="-9"/>
        </w:rPr>
        <w:t> </w:t>
      </w:r>
      <w:r>
        <w:rPr/>
        <w:t>que</w:t>
      </w:r>
      <w:r>
        <w:rPr>
          <w:spacing w:val="-7"/>
        </w:rPr>
        <w:t> </w:t>
      </w:r>
      <w:r>
        <w:rPr/>
        <w:t>integre</w:t>
      </w:r>
      <w:r>
        <w:rPr>
          <w:spacing w:val="-10"/>
        </w:rPr>
        <w:t> </w:t>
      </w:r>
      <w:r>
        <w:rPr/>
        <w:t>los</w:t>
      </w:r>
      <w:r>
        <w:rPr>
          <w:spacing w:val="-7"/>
        </w:rPr>
        <w:t> </w:t>
      </w:r>
      <w:r>
        <w:rPr/>
        <w:t>lineamientos y políticas emanadas por la Presidencia de la República y demás entes contralores y </w:t>
      </w:r>
      <w:r>
        <w:rPr>
          <w:spacing w:val="-2"/>
        </w:rPr>
        <w:t>fiscalizadores</w:t>
      </w:r>
    </w:p>
    <w:p>
      <w:pPr>
        <w:pStyle w:val="BodyText"/>
      </w:pPr>
    </w:p>
    <w:p>
      <w:pPr>
        <w:pStyle w:val="Heading5"/>
        <w:jc w:val="both"/>
      </w:pPr>
      <w:r>
        <w:rPr/>
        <w:t>Objetivos</w:t>
      </w:r>
      <w:r>
        <w:rPr>
          <w:spacing w:val="-8"/>
        </w:rPr>
        <w:t> </w:t>
      </w:r>
      <w:r>
        <w:rPr>
          <w:spacing w:val="-2"/>
        </w:rPr>
        <w:t>Específicos</w:t>
      </w:r>
    </w:p>
    <w:p>
      <w:pPr>
        <w:pStyle w:val="BodyText"/>
        <w:spacing w:before="1"/>
        <w:rPr>
          <w:b/>
        </w:rPr>
      </w:pPr>
    </w:p>
    <w:p>
      <w:pPr>
        <w:pStyle w:val="ListParagraph"/>
        <w:numPr>
          <w:ilvl w:val="0"/>
          <w:numId w:val="22"/>
        </w:numPr>
        <w:tabs>
          <w:tab w:pos="1985" w:val="left" w:leader="none"/>
        </w:tabs>
        <w:spacing w:line="240" w:lineRule="auto" w:before="0" w:after="0"/>
        <w:ind w:left="1985" w:right="1603" w:hanging="360"/>
        <w:jc w:val="both"/>
        <w:rPr>
          <w:sz w:val="22"/>
        </w:rPr>
      </w:pPr>
      <w:r>
        <w:rPr>
          <w:sz w:val="22"/>
        </w:rPr>
        <w:t>Mejorar</w:t>
      </w:r>
      <w:r>
        <w:rPr>
          <w:spacing w:val="-11"/>
          <w:sz w:val="22"/>
        </w:rPr>
        <w:t> </w:t>
      </w:r>
      <w:r>
        <w:rPr>
          <w:sz w:val="22"/>
        </w:rPr>
        <w:t>los</w:t>
      </w:r>
      <w:r>
        <w:rPr>
          <w:spacing w:val="-10"/>
          <w:sz w:val="22"/>
        </w:rPr>
        <w:t> </w:t>
      </w:r>
      <w:r>
        <w:rPr>
          <w:sz w:val="22"/>
        </w:rPr>
        <w:t>procesos</w:t>
      </w:r>
      <w:r>
        <w:rPr>
          <w:spacing w:val="-9"/>
          <w:sz w:val="22"/>
        </w:rPr>
        <w:t> </w:t>
      </w:r>
      <w:r>
        <w:rPr>
          <w:sz w:val="22"/>
        </w:rPr>
        <w:t>administrativo-financieros,</w:t>
      </w:r>
      <w:r>
        <w:rPr>
          <w:spacing w:val="-13"/>
          <w:sz w:val="22"/>
        </w:rPr>
        <w:t> </w:t>
      </w:r>
      <w:r>
        <w:rPr>
          <w:sz w:val="22"/>
        </w:rPr>
        <w:t>con</w:t>
      </w:r>
      <w:r>
        <w:rPr>
          <w:spacing w:val="-10"/>
          <w:sz w:val="22"/>
        </w:rPr>
        <w:t> </w:t>
      </w:r>
      <w:r>
        <w:rPr>
          <w:sz w:val="22"/>
        </w:rPr>
        <w:t>el</w:t>
      </w:r>
      <w:r>
        <w:rPr>
          <w:spacing w:val="-11"/>
          <w:sz w:val="22"/>
        </w:rPr>
        <w:t> </w:t>
      </w:r>
      <w:r>
        <w:rPr>
          <w:sz w:val="22"/>
        </w:rPr>
        <w:t>fin</w:t>
      </w:r>
      <w:r>
        <w:rPr>
          <w:spacing w:val="-10"/>
          <w:sz w:val="22"/>
        </w:rPr>
        <w:t> </w:t>
      </w:r>
      <w:r>
        <w:rPr>
          <w:sz w:val="22"/>
        </w:rPr>
        <w:t>de</w:t>
      </w:r>
      <w:r>
        <w:rPr>
          <w:spacing w:val="-13"/>
          <w:sz w:val="22"/>
        </w:rPr>
        <w:t> </w:t>
      </w:r>
      <w:r>
        <w:rPr>
          <w:sz w:val="22"/>
        </w:rPr>
        <w:t>cumplir</w:t>
      </w:r>
      <w:r>
        <w:rPr>
          <w:spacing w:val="-9"/>
          <w:sz w:val="22"/>
        </w:rPr>
        <w:t> </w:t>
      </w:r>
      <w:r>
        <w:rPr>
          <w:sz w:val="22"/>
        </w:rPr>
        <w:t>con</w:t>
      </w:r>
      <w:r>
        <w:rPr>
          <w:spacing w:val="-10"/>
          <w:sz w:val="22"/>
        </w:rPr>
        <w:t> </w:t>
      </w:r>
      <w:r>
        <w:rPr>
          <w:sz w:val="22"/>
        </w:rPr>
        <w:t>los</w:t>
      </w:r>
      <w:r>
        <w:rPr>
          <w:spacing w:val="-10"/>
          <w:sz w:val="22"/>
        </w:rPr>
        <w:t> </w:t>
      </w:r>
      <w:r>
        <w:rPr>
          <w:sz w:val="22"/>
        </w:rPr>
        <w:t>objetivos y metas institucionales, por medio de la dotación e implementación de recursos tecnológicos, la simplificación de trámites y la mejora normativa.</w:t>
      </w:r>
    </w:p>
    <w:p>
      <w:pPr>
        <w:pStyle w:val="ListParagraph"/>
        <w:numPr>
          <w:ilvl w:val="0"/>
          <w:numId w:val="22"/>
        </w:numPr>
        <w:tabs>
          <w:tab w:pos="1985" w:val="left" w:leader="none"/>
        </w:tabs>
        <w:spacing w:line="237" w:lineRule="auto" w:before="2" w:after="0"/>
        <w:ind w:left="1985" w:right="1602" w:hanging="360"/>
        <w:jc w:val="both"/>
        <w:rPr>
          <w:sz w:val="22"/>
        </w:rPr>
      </w:pPr>
      <w:r>
        <w:rPr>
          <w:sz w:val="22"/>
        </w:rPr>
        <w:t>Realizar una</w:t>
      </w:r>
      <w:r>
        <w:rPr>
          <w:spacing w:val="-2"/>
          <w:sz w:val="22"/>
        </w:rPr>
        <w:t> </w:t>
      </w:r>
      <w:r>
        <w:rPr>
          <w:sz w:val="22"/>
        </w:rPr>
        <w:t>efectiva</w:t>
      </w:r>
      <w:r>
        <w:rPr>
          <w:spacing w:val="-2"/>
          <w:sz w:val="22"/>
        </w:rPr>
        <w:t> </w:t>
      </w:r>
      <w:r>
        <w:rPr>
          <w:sz w:val="22"/>
        </w:rPr>
        <w:t>captación y</w:t>
      </w:r>
      <w:r>
        <w:rPr>
          <w:spacing w:val="-2"/>
          <w:sz w:val="22"/>
        </w:rPr>
        <w:t> </w:t>
      </w:r>
      <w:r>
        <w:rPr>
          <w:sz w:val="22"/>
        </w:rPr>
        <w:t>gestión</w:t>
      </w:r>
      <w:r>
        <w:rPr>
          <w:spacing w:val="-2"/>
          <w:sz w:val="22"/>
        </w:rPr>
        <w:t> </w:t>
      </w:r>
      <w:r>
        <w:rPr>
          <w:sz w:val="22"/>
        </w:rPr>
        <w:t>de</w:t>
      </w:r>
      <w:r>
        <w:rPr>
          <w:spacing w:val="-2"/>
          <w:sz w:val="22"/>
        </w:rPr>
        <w:t> </w:t>
      </w:r>
      <w:r>
        <w:rPr>
          <w:sz w:val="22"/>
        </w:rPr>
        <w:t>recursos,</w:t>
      </w:r>
      <w:r>
        <w:rPr>
          <w:spacing w:val="-1"/>
          <w:sz w:val="22"/>
        </w:rPr>
        <w:t> </w:t>
      </w:r>
      <w:r>
        <w:rPr>
          <w:sz w:val="22"/>
        </w:rPr>
        <w:t>con</w:t>
      </w:r>
      <w:r>
        <w:rPr>
          <w:spacing w:val="-2"/>
          <w:sz w:val="22"/>
        </w:rPr>
        <w:t> </w:t>
      </w:r>
      <w:r>
        <w:rPr>
          <w:sz w:val="22"/>
        </w:rPr>
        <w:t>el</w:t>
      </w:r>
      <w:r>
        <w:rPr>
          <w:spacing w:val="-3"/>
          <w:sz w:val="22"/>
        </w:rPr>
        <w:t> </w:t>
      </w:r>
      <w:r>
        <w:rPr>
          <w:sz w:val="22"/>
        </w:rPr>
        <w:t>objetivo</w:t>
      </w:r>
      <w:r>
        <w:rPr>
          <w:spacing w:val="-2"/>
          <w:sz w:val="22"/>
        </w:rPr>
        <w:t> </w:t>
      </w:r>
      <w:r>
        <w:rPr>
          <w:sz w:val="22"/>
        </w:rPr>
        <w:t>de</w:t>
      </w:r>
      <w:r>
        <w:rPr>
          <w:spacing w:val="-4"/>
          <w:sz w:val="22"/>
        </w:rPr>
        <w:t> </w:t>
      </w:r>
      <w:r>
        <w:rPr>
          <w:sz w:val="22"/>
        </w:rPr>
        <w:t>mantener</w:t>
      </w:r>
      <w:r>
        <w:rPr>
          <w:spacing w:val="-1"/>
          <w:sz w:val="22"/>
        </w:rPr>
        <w:t> </w:t>
      </w:r>
      <w:r>
        <w:rPr>
          <w:sz w:val="22"/>
        </w:rPr>
        <w:t>la sostenibilidad financiera de la institución y sus Programas Sociales, por medio de la implementación</w:t>
      </w:r>
      <w:r>
        <w:rPr>
          <w:spacing w:val="-5"/>
          <w:sz w:val="22"/>
        </w:rPr>
        <w:t> </w:t>
      </w:r>
      <w:r>
        <w:rPr>
          <w:sz w:val="22"/>
        </w:rPr>
        <w:t>de</w:t>
      </w:r>
      <w:r>
        <w:rPr>
          <w:spacing w:val="-3"/>
          <w:sz w:val="22"/>
        </w:rPr>
        <w:t> </w:t>
      </w:r>
      <w:r>
        <w:rPr>
          <w:sz w:val="22"/>
        </w:rPr>
        <w:t>una</w:t>
      </w:r>
      <w:r>
        <w:rPr>
          <w:spacing w:val="-5"/>
          <w:sz w:val="22"/>
        </w:rPr>
        <w:t> </w:t>
      </w:r>
      <w:r>
        <w:rPr>
          <w:sz w:val="22"/>
        </w:rPr>
        <w:t>estrategia</w:t>
      </w:r>
      <w:r>
        <w:rPr>
          <w:spacing w:val="-3"/>
          <w:sz w:val="22"/>
        </w:rPr>
        <w:t> </w:t>
      </w:r>
      <w:r>
        <w:rPr>
          <w:sz w:val="22"/>
        </w:rPr>
        <w:t>de</w:t>
      </w:r>
      <w:r>
        <w:rPr>
          <w:spacing w:val="-5"/>
          <w:sz w:val="22"/>
        </w:rPr>
        <w:t> </w:t>
      </w:r>
      <w:r>
        <w:rPr>
          <w:sz w:val="22"/>
        </w:rPr>
        <w:t>recaudación,</w:t>
      </w:r>
      <w:r>
        <w:rPr>
          <w:spacing w:val="-1"/>
          <w:sz w:val="22"/>
        </w:rPr>
        <w:t> </w:t>
      </w:r>
      <w:r>
        <w:rPr>
          <w:sz w:val="22"/>
        </w:rPr>
        <w:t>y</w:t>
      </w:r>
      <w:r>
        <w:rPr>
          <w:spacing w:val="-5"/>
          <w:sz w:val="22"/>
        </w:rPr>
        <w:t> </w:t>
      </w:r>
      <w:r>
        <w:rPr>
          <w:sz w:val="22"/>
        </w:rPr>
        <w:t>de</w:t>
      </w:r>
      <w:r>
        <w:rPr>
          <w:spacing w:val="-5"/>
          <w:sz w:val="22"/>
        </w:rPr>
        <w:t> </w:t>
      </w:r>
      <w:r>
        <w:rPr>
          <w:sz w:val="22"/>
        </w:rPr>
        <w:t>búsqueda</w:t>
      </w:r>
      <w:r>
        <w:rPr>
          <w:spacing w:val="-5"/>
          <w:sz w:val="22"/>
        </w:rPr>
        <w:t> </w:t>
      </w:r>
      <w:r>
        <w:rPr>
          <w:sz w:val="22"/>
        </w:rPr>
        <w:t>de</w:t>
      </w:r>
      <w:r>
        <w:rPr>
          <w:spacing w:val="-5"/>
          <w:sz w:val="22"/>
        </w:rPr>
        <w:t> </w:t>
      </w:r>
      <w:r>
        <w:rPr>
          <w:sz w:val="22"/>
        </w:rPr>
        <w:t>nuevas</w:t>
      </w:r>
      <w:r>
        <w:rPr>
          <w:spacing w:val="-5"/>
          <w:sz w:val="22"/>
        </w:rPr>
        <w:t> </w:t>
      </w:r>
      <w:r>
        <w:rPr>
          <w:sz w:val="22"/>
        </w:rPr>
        <w:t>fuentes de financiamiento.</w:t>
      </w:r>
    </w:p>
    <w:p>
      <w:pPr>
        <w:pStyle w:val="ListParagraph"/>
        <w:spacing w:after="0" w:line="237" w:lineRule="auto"/>
        <w:jc w:val="both"/>
        <w:rPr>
          <w:sz w:val="22"/>
        </w:rPr>
        <w:sectPr>
          <w:pgSz w:w="12240" w:h="15840"/>
          <w:pgMar w:header="0" w:footer="1576" w:top="1240" w:bottom="1760" w:left="360" w:right="0"/>
        </w:sectPr>
      </w:pPr>
    </w:p>
    <w:p>
      <w:pPr>
        <w:pStyle w:val="ListParagraph"/>
        <w:numPr>
          <w:ilvl w:val="0"/>
          <w:numId w:val="22"/>
        </w:numPr>
        <w:tabs>
          <w:tab w:pos="1985" w:val="left" w:leader="none"/>
        </w:tabs>
        <w:spacing w:line="240" w:lineRule="auto" w:before="77" w:after="0"/>
        <w:ind w:left="1985" w:right="1605" w:hanging="360"/>
        <w:jc w:val="both"/>
        <w:rPr>
          <w:sz w:val="22"/>
        </w:rPr>
      </w:pPr>
      <w:r>
        <w:rPr>
          <w:sz w:val="22"/>
        </w:rPr>
        <w:t>Brindar</w:t>
      </w:r>
      <w:r>
        <w:rPr>
          <w:spacing w:val="-5"/>
          <w:sz w:val="22"/>
        </w:rPr>
        <w:t> </w:t>
      </w:r>
      <w:r>
        <w:rPr>
          <w:sz w:val="22"/>
        </w:rPr>
        <w:t>orientaciones</w:t>
      </w:r>
      <w:r>
        <w:rPr>
          <w:spacing w:val="-8"/>
          <w:sz w:val="22"/>
        </w:rPr>
        <w:t> </w:t>
      </w:r>
      <w:r>
        <w:rPr>
          <w:sz w:val="22"/>
        </w:rPr>
        <w:t>estratégicas,</w:t>
      </w:r>
      <w:r>
        <w:rPr>
          <w:spacing w:val="-5"/>
          <w:sz w:val="22"/>
        </w:rPr>
        <w:t> </w:t>
      </w:r>
      <w:r>
        <w:rPr>
          <w:sz w:val="22"/>
        </w:rPr>
        <w:t>que</w:t>
      </w:r>
      <w:r>
        <w:rPr>
          <w:spacing w:val="-8"/>
          <w:sz w:val="22"/>
        </w:rPr>
        <w:t> </w:t>
      </w:r>
      <w:r>
        <w:rPr>
          <w:sz w:val="22"/>
        </w:rPr>
        <w:t>conlleven</w:t>
      </w:r>
      <w:r>
        <w:rPr>
          <w:spacing w:val="-8"/>
          <w:sz w:val="22"/>
        </w:rPr>
        <w:t> </w:t>
      </w:r>
      <w:r>
        <w:rPr>
          <w:sz w:val="22"/>
        </w:rPr>
        <w:t>al</w:t>
      </w:r>
      <w:r>
        <w:rPr>
          <w:spacing w:val="-7"/>
          <w:sz w:val="22"/>
        </w:rPr>
        <w:t> </w:t>
      </w:r>
      <w:r>
        <w:rPr>
          <w:sz w:val="22"/>
        </w:rPr>
        <w:t>cumplimiento</w:t>
      </w:r>
      <w:r>
        <w:rPr>
          <w:spacing w:val="-8"/>
          <w:sz w:val="22"/>
        </w:rPr>
        <w:t> </w:t>
      </w:r>
      <w:r>
        <w:rPr>
          <w:sz w:val="22"/>
        </w:rPr>
        <w:t>de</w:t>
      </w:r>
      <w:r>
        <w:rPr>
          <w:spacing w:val="-9"/>
          <w:sz w:val="22"/>
        </w:rPr>
        <w:t> </w:t>
      </w:r>
      <w:r>
        <w:rPr>
          <w:sz w:val="22"/>
        </w:rPr>
        <w:t>la</w:t>
      </w:r>
      <w:r>
        <w:rPr>
          <w:spacing w:val="-8"/>
          <w:sz w:val="22"/>
        </w:rPr>
        <w:t> </w:t>
      </w:r>
      <w:r>
        <w:rPr>
          <w:sz w:val="22"/>
        </w:rPr>
        <w:t>misión,</w:t>
      </w:r>
      <w:r>
        <w:rPr>
          <w:spacing w:val="-5"/>
          <w:sz w:val="22"/>
        </w:rPr>
        <w:t> </w:t>
      </w:r>
      <w:r>
        <w:rPr>
          <w:sz w:val="22"/>
        </w:rPr>
        <w:t>visión y</w:t>
      </w:r>
      <w:r>
        <w:rPr>
          <w:spacing w:val="-9"/>
          <w:sz w:val="22"/>
        </w:rPr>
        <w:t> </w:t>
      </w:r>
      <w:r>
        <w:rPr>
          <w:sz w:val="22"/>
        </w:rPr>
        <w:t>objetivos</w:t>
      </w:r>
      <w:r>
        <w:rPr>
          <w:spacing w:val="-12"/>
          <w:sz w:val="22"/>
        </w:rPr>
        <w:t> </w:t>
      </w:r>
      <w:r>
        <w:rPr>
          <w:sz w:val="22"/>
        </w:rPr>
        <w:t>institucionales,</w:t>
      </w:r>
      <w:r>
        <w:rPr>
          <w:spacing w:val="-11"/>
          <w:sz w:val="22"/>
        </w:rPr>
        <w:t> </w:t>
      </w:r>
      <w:r>
        <w:rPr>
          <w:sz w:val="22"/>
        </w:rPr>
        <w:t>sobre</w:t>
      </w:r>
      <w:r>
        <w:rPr>
          <w:spacing w:val="-12"/>
          <w:sz w:val="22"/>
        </w:rPr>
        <w:t> </w:t>
      </w:r>
      <w:r>
        <w:rPr>
          <w:sz w:val="22"/>
        </w:rPr>
        <w:t>la</w:t>
      </w:r>
      <w:r>
        <w:rPr>
          <w:spacing w:val="-10"/>
          <w:sz w:val="22"/>
        </w:rPr>
        <w:t> </w:t>
      </w:r>
      <w:r>
        <w:rPr>
          <w:sz w:val="22"/>
        </w:rPr>
        <w:t>base</w:t>
      </w:r>
      <w:r>
        <w:rPr>
          <w:spacing w:val="-12"/>
          <w:sz w:val="22"/>
        </w:rPr>
        <w:t> </w:t>
      </w:r>
      <w:r>
        <w:rPr>
          <w:sz w:val="22"/>
        </w:rPr>
        <w:t>de</w:t>
      </w:r>
      <w:r>
        <w:rPr>
          <w:spacing w:val="-13"/>
          <w:sz w:val="22"/>
        </w:rPr>
        <w:t> </w:t>
      </w:r>
      <w:r>
        <w:rPr>
          <w:sz w:val="22"/>
        </w:rPr>
        <w:t>efectivos</w:t>
      </w:r>
      <w:r>
        <w:rPr>
          <w:spacing w:val="-10"/>
          <w:sz w:val="22"/>
        </w:rPr>
        <w:t> </w:t>
      </w:r>
      <w:r>
        <w:rPr>
          <w:sz w:val="22"/>
        </w:rPr>
        <w:t>procesos</w:t>
      </w:r>
      <w:r>
        <w:rPr>
          <w:spacing w:val="-12"/>
          <w:sz w:val="22"/>
        </w:rPr>
        <w:t> </w:t>
      </w:r>
      <w:r>
        <w:rPr>
          <w:sz w:val="22"/>
        </w:rPr>
        <w:t>de</w:t>
      </w:r>
      <w:r>
        <w:rPr>
          <w:spacing w:val="-13"/>
          <w:sz w:val="22"/>
        </w:rPr>
        <w:t> </w:t>
      </w:r>
      <w:r>
        <w:rPr>
          <w:sz w:val="22"/>
        </w:rPr>
        <w:t>toma</w:t>
      </w:r>
      <w:r>
        <w:rPr>
          <w:spacing w:val="-10"/>
          <w:sz w:val="22"/>
        </w:rPr>
        <w:t> </w:t>
      </w:r>
      <w:r>
        <w:rPr>
          <w:sz w:val="22"/>
        </w:rPr>
        <w:t>de</w:t>
      </w:r>
      <w:r>
        <w:rPr>
          <w:spacing w:val="-13"/>
          <w:sz w:val="22"/>
        </w:rPr>
        <w:t> </w:t>
      </w:r>
      <w:r>
        <w:rPr>
          <w:sz w:val="22"/>
        </w:rPr>
        <w:t>decisiones y de gestión.</w:t>
      </w:r>
    </w:p>
    <w:p>
      <w:pPr>
        <w:pStyle w:val="ListParagraph"/>
        <w:numPr>
          <w:ilvl w:val="0"/>
          <w:numId w:val="22"/>
        </w:numPr>
        <w:tabs>
          <w:tab w:pos="1985" w:val="left" w:leader="none"/>
        </w:tabs>
        <w:spacing w:line="237" w:lineRule="auto" w:before="2" w:after="0"/>
        <w:ind w:left="1985" w:right="1604" w:hanging="360"/>
        <w:jc w:val="both"/>
        <w:rPr>
          <w:sz w:val="22"/>
        </w:rPr>
      </w:pPr>
      <w:r>
        <w:rPr>
          <w:sz w:val="22"/>
        </w:rPr>
        <w:t>Garantizar el recurso humano idóneo, para cumplir con los objetivos y metas establecidas, por medio de procesos de dotación y de fortalecimiento de las capacidades, acordes con las necesidades institucionales.</w:t>
      </w:r>
    </w:p>
    <w:p>
      <w:pPr>
        <w:pStyle w:val="ListParagraph"/>
        <w:numPr>
          <w:ilvl w:val="0"/>
          <w:numId w:val="22"/>
        </w:numPr>
        <w:tabs>
          <w:tab w:pos="1985" w:val="left" w:leader="none"/>
        </w:tabs>
        <w:spacing w:line="240" w:lineRule="auto" w:before="3" w:after="0"/>
        <w:ind w:left="1985" w:right="1605" w:hanging="360"/>
        <w:jc w:val="both"/>
        <w:rPr>
          <w:sz w:val="22"/>
        </w:rPr>
      </w:pPr>
      <w:r>
        <w:rPr>
          <w:sz w:val="22"/>
        </w:rPr>
        <w:t>Satisfacer las necesidades internas de bienes y servicios, para garantizar la operatividad y la mejora continua de la institución, mediante una eficiente ejecución </w:t>
      </w:r>
      <w:r>
        <w:rPr>
          <w:spacing w:val="-2"/>
          <w:sz w:val="22"/>
        </w:rPr>
        <w:t>presupuestaria.</w:t>
      </w:r>
    </w:p>
    <w:p>
      <w:pPr>
        <w:pStyle w:val="Heading3"/>
        <w:numPr>
          <w:ilvl w:val="2"/>
          <w:numId w:val="5"/>
        </w:numPr>
        <w:tabs>
          <w:tab w:pos="598" w:val="left" w:leader="none"/>
        </w:tabs>
        <w:spacing w:line="240" w:lineRule="auto" w:before="250" w:after="0"/>
        <w:ind w:left="598" w:right="6182" w:hanging="598"/>
        <w:jc w:val="right"/>
      </w:pPr>
      <w:bookmarkStart w:name="_bookmark49" w:id="50"/>
      <w:bookmarkEnd w:id="50"/>
      <w:r>
        <w:rPr>
          <w:b w:val="0"/>
        </w:rPr>
      </w:r>
      <w:r>
        <w:rPr/>
        <w:t>Estructura</w:t>
      </w:r>
      <w:r>
        <w:rPr>
          <w:spacing w:val="-3"/>
        </w:rPr>
        <w:t> </w:t>
      </w:r>
      <w:r>
        <w:rPr/>
        <w:t>del</w:t>
      </w:r>
      <w:r>
        <w:rPr>
          <w:spacing w:val="-4"/>
        </w:rPr>
        <w:t> </w:t>
      </w:r>
      <w:r>
        <w:rPr>
          <w:spacing w:val="-2"/>
        </w:rPr>
        <w:t>Programa</w:t>
      </w:r>
    </w:p>
    <w:p>
      <w:pPr>
        <w:pStyle w:val="BodyText"/>
        <w:rPr>
          <w:b/>
          <w:sz w:val="24"/>
        </w:rPr>
      </w:pPr>
    </w:p>
    <w:p>
      <w:pPr>
        <w:pStyle w:val="BodyText"/>
        <w:ind w:left="1625" w:right="1606"/>
        <w:jc w:val="both"/>
      </w:pPr>
      <w:r>
        <w:rPr/>
        <w:t>Desde el punto de vista organizacional, el Programa de Actividades Centrales se divide en tres grandes áreas de acción: Soporte Administrativo, Captación de Recursos y Dirección Superior y Asesores, según el siguiente detalle.</w:t>
      </w:r>
    </w:p>
    <w:p>
      <w:pPr>
        <w:pStyle w:val="BodyText"/>
        <w:spacing w:before="1"/>
      </w:pPr>
    </w:p>
    <w:p>
      <w:pPr>
        <w:pStyle w:val="Heading5"/>
        <w:numPr>
          <w:ilvl w:val="0"/>
          <w:numId w:val="23"/>
        </w:numPr>
        <w:tabs>
          <w:tab w:pos="358" w:val="left" w:leader="none"/>
        </w:tabs>
        <w:spacing w:line="240" w:lineRule="auto" w:before="0" w:after="0"/>
        <w:ind w:left="358" w:right="6139" w:hanging="358"/>
        <w:jc w:val="right"/>
      </w:pPr>
      <w:r>
        <w:rPr/>
        <w:t>Soporte</w:t>
      </w:r>
      <w:r>
        <w:rPr>
          <w:spacing w:val="-10"/>
        </w:rPr>
        <w:t> </w:t>
      </w:r>
      <w:r>
        <w:rPr/>
        <w:t>Administrativo</w:t>
      </w:r>
      <w:r>
        <w:rPr>
          <w:spacing w:val="-9"/>
        </w:rPr>
        <w:t> </w:t>
      </w:r>
      <w:r>
        <w:rPr>
          <w:spacing w:val="-2"/>
        </w:rPr>
        <w:t>comprende:</w:t>
      </w:r>
    </w:p>
    <w:p>
      <w:pPr>
        <w:pStyle w:val="BodyText"/>
        <w:spacing w:before="1"/>
        <w:rPr>
          <w:b/>
        </w:rPr>
      </w:pPr>
    </w:p>
    <w:p>
      <w:pPr>
        <w:pStyle w:val="BodyText"/>
        <w:ind w:left="1625" w:right="1606"/>
        <w:jc w:val="both"/>
      </w:pPr>
      <w:r>
        <w:rPr/>
        <w:t>Está</w:t>
      </w:r>
      <w:r>
        <w:rPr>
          <w:spacing w:val="-5"/>
        </w:rPr>
        <w:t> </w:t>
      </w:r>
      <w:r>
        <w:rPr/>
        <w:t>conformado</w:t>
      </w:r>
      <w:r>
        <w:rPr>
          <w:spacing w:val="-5"/>
        </w:rPr>
        <w:t> </w:t>
      </w:r>
      <w:r>
        <w:rPr/>
        <w:t>por</w:t>
      </w:r>
      <w:r>
        <w:rPr>
          <w:spacing w:val="-4"/>
        </w:rPr>
        <w:t> </w:t>
      </w:r>
      <w:r>
        <w:rPr/>
        <w:t>tres</w:t>
      </w:r>
      <w:r>
        <w:rPr>
          <w:spacing w:val="-2"/>
        </w:rPr>
        <w:t> </w:t>
      </w:r>
      <w:r>
        <w:rPr/>
        <w:t>departamentos:</w:t>
      </w:r>
      <w:r>
        <w:rPr>
          <w:spacing w:val="-3"/>
        </w:rPr>
        <w:t> </w:t>
      </w:r>
      <w:r>
        <w:rPr/>
        <w:t>Servicios</w:t>
      </w:r>
      <w:r>
        <w:rPr>
          <w:spacing w:val="-5"/>
        </w:rPr>
        <w:t> </w:t>
      </w:r>
      <w:r>
        <w:rPr/>
        <w:t>Generales,</w:t>
      </w:r>
      <w:r>
        <w:rPr>
          <w:spacing w:val="-1"/>
        </w:rPr>
        <w:t> </w:t>
      </w:r>
      <w:r>
        <w:rPr/>
        <w:t>Proveeduría</w:t>
      </w:r>
      <w:r>
        <w:rPr>
          <w:spacing w:val="-5"/>
        </w:rPr>
        <w:t> </w:t>
      </w:r>
      <w:r>
        <w:rPr/>
        <w:t>Institucional y Administración Financiera, ésta última cuenta con tres unidades: Tesorería, Presupuesto y Contabilidad.</w:t>
      </w:r>
    </w:p>
    <w:p>
      <w:pPr>
        <w:pStyle w:val="Heading5"/>
        <w:numPr>
          <w:ilvl w:val="0"/>
          <w:numId w:val="23"/>
        </w:numPr>
        <w:tabs>
          <w:tab w:pos="358" w:val="left" w:leader="none"/>
        </w:tabs>
        <w:spacing w:line="240" w:lineRule="auto" w:before="251" w:after="0"/>
        <w:ind w:left="358" w:right="6125" w:hanging="358"/>
        <w:jc w:val="right"/>
      </w:pPr>
      <w:r>
        <w:rPr/>
        <w:t>Captación</w:t>
      </w:r>
      <w:r>
        <w:rPr>
          <w:spacing w:val="-4"/>
        </w:rPr>
        <w:t> </w:t>
      </w:r>
      <w:r>
        <w:rPr/>
        <w:t>de</w:t>
      </w:r>
      <w:r>
        <w:rPr>
          <w:spacing w:val="-7"/>
        </w:rPr>
        <w:t> </w:t>
      </w:r>
      <w:r>
        <w:rPr/>
        <w:t>Recursos</w:t>
      </w:r>
      <w:r>
        <w:rPr>
          <w:spacing w:val="-5"/>
        </w:rPr>
        <w:t> </w:t>
      </w:r>
      <w:r>
        <w:rPr>
          <w:spacing w:val="-2"/>
        </w:rPr>
        <w:t>comprende:</w:t>
      </w:r>
    </w:p>
    <w:p>
      <w:pPr>
        <w:pStyle w:val="BodyText"/>
        <w:spacing w:before="1"/>
        <w:rPr>
          <w:b/>
        </w:rPr>
      </w:pPr>
    </w:p>
    <w:p>
      <w:pPr>
        <w:pStyle w:val="BodyText"/>
        <w:ind w:left="1625"/>
        <w:jc w:val="both"/>
      </w:pPr>
      <w:r>
        <w:rPr/>
        <w:t>Comprende</w:t>
      </w:r>
      <w:r>
        <w:rPr>
          <w:spacing w:val="-8"/>
        </w:rPr>
        <w:t> </w:t>
      </w:r>
      <w:r>
        <w:rPr/>
        <w:t>la</w:t>
      </w:r>
      <w:r>
        <w:rPr>
          <w:spacing w:val="-6"/>
        </w:rPr>
        <w:t> </w:t>
      </w:r>
      <w:r>
        <w:rPr/>
        <w:t>Unidad</w:t>
      </w:r>
      <w:r>
        <w:rPr>
          <w:spacing w:val="-5"/>
        </w:rPr>
        <w:t> </w:t>
      </w:r>
      <w:r>
        <w:rPr/>
        <w:t>de</w:t>
      </w:r>
      <w:r>
        <w:rPr>
          <w:spacing w:val="-8"/>
        </w:rPr>
        <w:t> </w:t>
      </w:r>
      <w:r>
        <w:rPr/>
        <w:t>Administración</w:t>
      </w:r>
      <w:r>
        <w:rPr>
          <w:spacing w:val="-5"/>
        </w:rPr>
        <w:t> </w:t>
      </w:r>
      <w:r>
        <w:rPr>
          <w:spacing w:val="-2"/>
        </w:rPr>
        <w:t>Tributaria.</w:t>
      </w:r>
    </w:p>
    <w:p>
      <w:pPr>
        <w:pStyle w:val="BodyText"/>
      </w:pPr>
    </w:p>
    <w:p>
      <w:pPr>
        <w:pStyle w:val="Heading5"/>
        <w:numPr>
          <w:ilvl w:val="0"/>
          <w:numId w:val="23"/>
        </w:numPr>
        <w:tabs>
          <w:tab w:pos="1983" w:val="left" w:leader="none"/>
        </w:tabs>
        <w:spacing w:line="240" w:lineRule="auto" w:before="0" w:after="0"/>
        <w:ind w:left="1983" w:right="0" w:hanging="358"/>
        <w:jc w:val="both"/>
      </w:pPr>
      <w:r>
        <w:rPr/>
        <w:t>Dirección</w:t>
      </w:r>
      <w:r>
        <w:rPr>
          <w:spacing w:val="-6"/>
        </w:rPr>
        <w:t> </w:t>
      </w:r>
      <w:r>
        <w:rPr/>
        <w:t>Superior</w:t>
      </w:r>
      <w:r>
        <w:rPr>
          <w:spacing w:val="-3"/>
        </w:rPr>
        <w:t> </w:t>
      </w:r>
      <w:r>
        <w:rPr/>
        <w:t>y</w:t>
      </w:r>
      <w:r>
        <w:rPr>
          <w:spacing w:val="-8"/>
        </w:rPr>
        <w:t> </w:t>
      </w:r>
      <w:r>
        <w:rPr/>
        <w:t>Asesores</w:t>
      </w:r>
      <w:r>
        <w:rPr>
          <w:spacing w:val="-3"/>
        </w:rPr>
        <w:t> </w:t>
      </w:r>
      <w:r>
        <w:rPr>
          <w:spacing w:val="-2"/>
        </w:rPr>
        <w:t>comprende:</w:t>
      </w:r>
    </w:p>
    <w:p>
      <w:pPr>
        <w:pStyle w:val="BodyText"/>
        <w:rPr>
          <w:b/>
        </w:rPr>
      </w:pPr>
    </w:p>
    <w:p>
      <w:pPr>
        <w:pStyle w:val="BodyText"/>
        <w:spacing w:before="1"/>
        <w:ind w:left="1625" w:right="1598"/>
        <w:jc w:val="both"/>
      </w:pPr>
      <w:r>
        <w:rPr/>
        <w:t>Comprende</w:t>
      </w:r>
      <w:r>
        <w:rPr>
          <w:spacing w:val="-3"/>
        </w:rPr>
        <w:t> </w:t>
      </w:r>
      <w:r>
        <w:rPr/>
        <w:t>siete órganos de</w:t>
      </w:r>
      <w:r>
        <w:rPr>
          <w:spacing w:val="-1"/>
        </w:rPr>
        <w:t> </w:t>
      </w:r>
      <w:r>
        <w:rPr/>
        <w:t>la administración, a</w:t>
      </w:r>
      <w:r>
        <w:rPr>
          <w:spacing w:val="-5"/>
        </w:rPr>
        <w:t> </w:t>
      </w:r>
      <w:r>
        <w:rPr/>
        <w:t>saber:</w:t>
      </w:r>
      <w:r>
        <w:rPr>
          <w:spacing w:val="-1"/>
        </w:rPr>
        <w:t> </w:t>
      </w:r>
      <w:r>
        <w:rPr/>
        <w:t>Dirección</w:t>
      </w:r>
      <w:r>
        <w:rPr>
          <w:spacing w:val="-1"/>
        </w:rPr>
        <w:t> </w:t>
      </w:r>
      <w:r>
        <w:rPr/>
        <w:t>Superior (Presidencia Ejecutiva, Gerencia General, Dirección de Desarrollo Social, Dirección de Soporte Administrativo,</w:t>
      </w:r>
      <w:r>
        <w:rPr>
          <w:spacing w:val="-9"/>
        </w:rPr>
        <w:t> </w:t>
      </w:r>
      <w:r>
        <w:rPr/>
        <w:t>Dirección</w:t>
      </w:r>
      <w:r>
        <w:rPr>
          <w:spacing w:val="-11"/>
        </w:rPr>
        <w:t> </w:t>
      </w:r>
      <w:r>
        <w:rPr/>
        <w:t>de</w:t>
      </w:r>
      <w:r>
        <w:rPr>
          <w:spacing w:val="-14"/>
        </w:rPr>
        <w:t> </w:t>
      </w:r>
      <w:r>
        <w:rPr/>
        <w:t>Gestión</w:t>
      </w:r>
      <w:r>
        <w:rPr>
          <w:spacing w:val="-11"/>
        </w:rPr>
        <w:t> </w:t>
      </w:r>
      <w:r>
        <w:rPr/>
        <w:t>de</w:t>
      </w:r>
      <w:r>
        <w:rPr>
          <w:spacing w:val="-14"/>
        </w:rPr>
        <w:t> </w:t>
      </w:r>
      <w:r>
        <w:rPr/>
        <w:t>Recursos),</w:t>
      </w:r>
      <w:r>
        <w:rPr>
          <w:spacing w:val="-12"/>
        </w:rPr>
        <w:t> </w:t>
      </w:r>
      <w:r>
        <w:rPr/>
        <w:t>Planificación</w:t>
      </w:r>
      <w:r>
        <w:rPr>
          <w:spacing w:val="-11"/>
        </w:rPr>
        <w:t> </w:t>
      </w:r>
      <w:r>
        <w:rPr/>
        <w:t>Institucional,</w:t>
      </w:r>
      <w:r>
        <w:rPr>
          <w:spacing w:val="-9"/>
        </w:rPr>
        <w:t> </w:t>
      </w:r>
      <w:r>
        <w:rPr/>
        <w:t>Contraloría de Servicios, Desarrollo Humano, Tecnologías de Información, Asesoría Jurídica y Equidad e Igualdad de Género.</w:t>
      </w:r>
    </w:p>
    <w:p>
      <w:pPr>
        <w:pStyle w:val="BodyText"/>
        <w:spacing w:before="23"/>
      </w:pPr>
    </w:p>
    <w:p>
      <w:pPr>
        <w:pStyle w:val="Heading3"/>
        <w:numPr>
          <w:ilvl w:val="1"/>
          <w:numId w:val="5"/>
        </w:numPr>
        <w:tabs>
          <w:tab w:pos="2690" w:val="left" w:leader="none"/>
        </w:tabs>
        <w:spacing w:line="240" w:lineRule="auto" w:before="0" w:after="0"/>
        <w:ind w:left="2690" w:right="0" w:hanging="398"/>
        <w:jc w:val="left"/>
      </w:pPr>
      <w:bookmarkStart w:name="_bookmark50" w:id="51"/>
      <w:bookmarkEnd w:id="51"/>
      <w:r>
        <w:rPr>
          <w:b w:val="0"/>
        </w:rPr>
      </w:r>
      <w:r>
        <w:rPr/>
        <w:t>Programa</w:t>
      </w:r>
      <w:r>
        <w:rPr>
          <w:spacing w:val="-7"/>
        </w:rPr>
        <w:t> </w:t>
      </w:r>
      <w:r>
        <w:rPr/>
        <w:t>de</w:t>
      </w:r>
      <w:r>
        <w:rPr>
          <w:spacing w:val="-4"/>
        </w:rPr>
        <w:t> </w:t>
      </w:r>
      <w:r>
        <w:rPr/>
        <w:t>Empresas</w:t>
      </w:r>
      <w:r>
        <w:rPr>
          <w:spacing w:val="-6"/>
        </w:rPr>
        <w:t> </w:t>
      </w:r>
      <w:r>
        <w:rPr>
          <w:spacing w:val="-2"/>
        </w:rPr>
        <w:t>Comerciales</w:t>
      </w:r>
    </w:p>
    <w:p>
      <w:pPr>
        <w:pStyle w:val="BodyText"/>
        <w:rPr>
          <w:b/>
          <w:sz w:val="24"/>
        </w:rPr>
      </w:pPr>
    </w:p>
    <w:p>
      <w:pPr>
        <w:pStyle w:val="Heading3"/>
        <w:numPr>
          <w:ilvl w:val="2"/>
          <w:numId w:val="5"/>
        </w:numPr>
        <w:tabs>
          <w:tab w:pos="2823" w:val="left" w:leader="none"/>
        </w:tabs>
        <w:spacing w:line="240" w:lineRule="auto" w:before="0" w:after="0"/>
        <w:ind w:left="2823" w:right="0" w:hanging="596"/>
        <w:jc w:val="left"/>
      </w:pPr>
      <w:bookmarkStart w:name="_bookmark51" w:id="52"/>
      <w:bookmarkEnd w:id="52"/>
      <w:r>
        <w:rPr>
          <w:b w:val="0"/>
        </w:rPr>
      </w:r>
      <w:r>
        <w:rPr/>
        <w:t>Descripción</w:t>
      </w:r>
      <w:r>
        <w:rPr>
          <w:spacing w:val="-5"/>
        </w:rPr>
        <w:t> </w:t>
      </w:r>
      <w:r>
        <w:rPr/>
        <w:t>del</w:t>
      </w:r>
      <w:r>
        <w:rPr>
          <w:spacing w:val="-4"/>
        </w:rPr>
        <w:t> </w:t>
      </w:r>
      <w:r>
        <w:rPr>
          <w:spacing w:val="-2"/>
        </w:rPr>
        <w:t>Programa</w:t>
      </w:r>
    </w:p>
    <w:p>
      <w:pPr>
        <w:pStyle w:val="BodyText"/>
        <w:rPr>
          <w:b/>
          <w:sz w:val="24"/>
        </w:rPr>
      </w:pPr>
    </w:p>
    <w:p>
      <w:pPr>
        <w:pStyle w:val="BodyText"/>
        <w:spacing w:line="252" w:lineRule="exact"/>
        <w:ind w:left="1625"/>
        <w:jc w:val="both"/>
      </w:pPr>
      <w:r>
        <w:rPr/>
        <w:t>La</w:t>
      </w:r>
      <w:r>
        <w:rPr>
          <w:spacing w:val="-11"/>
        </w:rPr>
        <w:t> </w:t>
      </w:r>
      <w:r>
        <w:rPr/>
        <w:t>Ley</w:t>
      </w:r>
      <w:r>
        <w:rPr>
          <w:spacing w:val="-8"/>
        </w:rPr>
        <w:t> </w:t>
      </w:r>
      <w:r>
        <w:rPr/>
        <w:t>de</w:t>
      </w:r>
      <w:r>
        <w:rPr>
          <w:spacing w:val="-8"/>
        </w:rPr>
        <w:t> </w:t>
      </w:r>
      <w:r>
        <w:rPr/>
        <w:t>Creación</w:t>
      </w:r>
      <w:r>
        <w:rPr>
          <w:spacing w:val="-9"/>
        </w:rPr>
        <w:t> </w:t>
      </w:r>
      <w:r>
        <w:rPr/>
        <w:t>del</w:t>
      </w:r>
      <w:r>
        <w:rPr>
          <w:spacing w:val="-11"/>
        </w:rPr>
        <w:t> </w:t>
      </w:r>
      <w:r>
        <w:rPr/>
        <w:t>Instituto</w:t>
      </w:r>
      <w:r>
        <w:rPr>
          <w:spacing w:val="-11"/>
        </w:rPr>
        <w:t> </w:t>
      </w:r>
      <w:r>
        <w:rPr/>
        <w:t>Mixto</w:t>
      </w:r>
      <w:r>
        <w:rPr>
          <w:spacing w:val="-8"/>
        </w:rPr>
        <w:t> </w:t>
      </w:r>
      <w:r>
        <w:rPr/>
        <w:t>de</w:t>
      </w:r>
      <w:r>
        <w:rPr>
          <w:spacing w:val="-8"/>
        </w:rPr>
        <w:t> </w:t>
      </w:r>
      <w:r>
        <w:rPr/>
        <w:t>Ayuda</w:t>
      </w:r>
      <w:r>
        <w:rPr>
          <w:spacing w:val="-11"/>
        </w:rPr>
        <w:t> </w:t>
      </w:r>
      <w:r>
        <w:rPr/>
        <w:t>Social,</w:t>
      </w:r>
      <w:r>
        <w:rPr>
          <w:spacing w:val="-6"/>
        </w:rPr>
        <w:t> </w:t>
      </w:r>
      <w:r>
        <w:rPr/>
        <w:t>establece</w:t>
      </w:r>
      <w:r>
        <w:rPr>
          <w:spacing w:val="-9"/>
        </w:rPr>
        <w:t> </w:t>
      </w:r>
      <w:r>
        <w:rPr/>
        <w:t>en</w:t>
      </w:r>
      <w:r>
        <w:rPr>
          <w:spacing w:val="-9"/>
        </w:rPr>
        <w:t> </w:t>
      </w:r>
      <w:r>
        <w:rPr/>
        <w:t>su</w:t>
      </w:r>
      <w:r>
        <w:rPr>
          <w:spacing w:val="-7"/>
        </w:rPr>
        <w:t> </w:t>
      </w:r>
      <w:r>
        <w:rPr/>
        <w:t>artículo</w:t>
      </w:r>
      <w:r>
        <w:rPr>
          <w:spacing w:val="-8"/>
        </w:rPr>
        <w:t> </w:t>
      </w:r>
      <w:r>
        <w:rPr/>
        <w:t>14</w:t>
      </w:r>
      <w:r>
        <w:rPr>
          <w:spacing w:val="-8"/>
        </w:rPr>
        <w:t> </w:t>
      </w:r>
      <w:r>
        <w:rPr>
          <w:spacing w:val="-2"/>
        </w:rPr>
        <w:t>inciso</w:t>
      </w:r>
    </w:p>
    <w:p>
      <w:pPr>
        <w:pStyle w:val="BodyText"/>
        <w:ind w:left="1625" w:right="1601"/>
        <w:jc w:val="both"/>
      </w:pPr>
      <w:r>
        <w:rPr/>
        <w:t>h) el derecho exclusivo de explotación de las tiendas libres de derecho en puertos, fronteras y aeropuertos internacionales, por parte del IMAS; constituyéndose en la consolidación</w:t>
      </w:r>
      <w:r>
        <w:rPr>
          <w:spacing w:val="-7"/>
        </w:rPr>
        <w:t> </w:t>
      </w:r>
      <w:r>
        <w:rPr/>
        <w:t>normativa</w:t>
      </w:r>
      <w:r>
        <w:rPr>
          <w:spacing w:val="-12"/>
        </w:rPr>
        <w:t> </w:t>
      </w:r>
      <w:r>
        <w:rPr/>
        <w:t>de</w:t>
      </w:r>
      <w:r>
        <w:rPr>
          <w:spacing w:val="-7"/>
        </w:rPr>
        <w:t> </w:t>
      </w:r>
      <w:r>
        <w:rPr/>
        <w:t>la</w:t>
      </w:r>
      <w:r>
        <w:rPr>
          <w:spacing w:val="-6"/>
        </w:rPr>
        <w:t> </w:t>
      </w:r>
      <w:r>
        <w:rPr/>
        <w:t>asignación,</w:t>
      </w:r>
      <w:r>
        <w:rPr>
          <w:spacing w:val="-7"/>
        </w:rPr>
        <w:t> </w:t>
      </w:r>
      <w:r>
        <w:rPr/>
        <w:t>que</w:t>
      </w:r>
      <w:r>
        <w:rPr>
          <w:spacing w:val="-9"/>
        </w:rPr>
        <w:t> </w:t>
      </w:r>
      <w:r>
        <w:rPr/>
        <w:t>desde</w:t>
      </w:r>
      <w:r>
        <w:rPr>
          <w:spacing w:val="-7"/>
        </w:rPr>
        <w:t> </w:t>
      </w:r>
      <w:r>
        <w:rPr/>
        <w:t>1972,</w:t>
      </w:r>
      <w:r>
        <w:rPr>
          <w:spacing w:val="-7"/>
        </w:rPr>
        <w:t> </w:t>
      </w:r>
      <w:r>
        <w:rPr/>
        <w:t>se</w:t>
      </w:r>
      <w:r>
        <w:rPr>
          <w:spacing w:val="-9"/>
        </w:rPr>
        <w:t> </w:t>
      </w:r>
      <w:r>
        <w:rPr/>
        <w:t>efectuó</w:t>
      </w:r>
      <w:r>
        <w:rPr>
          <w:spacing w:val="-9"/>
        </w:rPr>
        <w:t> </w:t>
      </w:r>
      <w:r>
        <w:rPr/>
        <w:t>de</w:t>
      </w:r>
      <w:r>
        <w:rPr>
          <w:spacing w:val="-12"/>
        </w:rPr>
        <w:t> </w:t>
      </w:r>
      <w:r>
        <w:rPr/>
        <w:t>dicha</w:t>
      </w:r>
      <w:r>
        <w:rPr>
          <w:spacing w:val="-7"/>
        </w:rPr>
        <w:t> </w:t>
      </w:r>
      <w:r>
        <w:rPr/>
        <w:t>fuente</w:t>
      </w:r>
      <w:r>
        <w:rPr>
          <w:spacing w:val="-9"/>
        </w:rPr>
        <w:t> </w:t>
      </w:r>
      <w:r>
        <w:rPr/>
        <w:t>de ingresos a la institución.</w:t>
      </w:r>
    </w:p>
    <w:p>
      <w:pPr>
        <w:pStyle w:val="BodyText"/>
      </w:pPr>
    </w:p>
    <w:p>
      <w:pPr>
        <w:pStyle w:val="BodyText"/>
        <w:ind w:left="1625" w:right="1607"/>
        <w:jc w:val="both"/>
      </w:pPr>
      <w:r>
        <w:rPr/>
        <w:t>En la actualidad el IMAS dispone de siete tiendas en el Aeropuerto Internacional Juan Santamaría (AIJS); donde se operan cinco puntos de ventas en el área de salidas internacionales del país y dos en el área de llegadas a Costa Rica.</w:t>
      </w:r>
    </w:p>
    <w:p>
      <w:pPr>
        <w:pStyle w:val="BodyText"/>
        <w:spacing w:before="1"/>
      </w:pPr>
    </w:p>
    <w:p>
      <w:pPr>
        <w:pStyle w:val="BodyText"/>
        <w:ind w:left="1625" w:right="1600"/>
        <w:jc w:val="both"/>
      </w:pPr>
      <w:r>
        <w:rPr/>
        <w:t>En</w:t>
      </w:r>
      <w:r>
        <w:rPr>
          <w:spacing w:val="-9"/>
        </w:rPr>
        <w:t> </w:t>
      </w:r>
      <w:r>
        <w:rPr/>
        <w:t>lo</w:t>
      </w:r>
      <w:r>
        <w:rPr>
          <w:spacing w:val="-9"/>
        </w:rPr>
        <w:t> </w:t>
      </w:r>
      <w:r>
        <w:rPr/>
        <w:t>que</w:t>
      </w:r>
      <w:r>
        <w:rPr>
          <w:spacing w:val="-9"/>
        </w:rPr>
        <w:t> </w:t>
      </w:r>
      <w:r>
        <w:rPr/>
        <w:t>respecta</w:t>
      </w:r>
      <w:r>
        <w:rPr>
          <w:spacing w:val="-8"/>
        </w:rPr>
        <w:t> </w:t>
      </w:r>
      <w:r>
        <w:rPr/>
        <w:t>al</w:t>
      </w:r>
      <w:r>
        <w:rPr>
          <w:spacing w:val="-10"/>
        </w:rPr>
        <w:t> </w:t>
      </w:r>
      <w:r>
        <w:rPr/>
        <w:t>Aeropuerto</w:t>
      </w:r>
      <w:r>
        <w:rPr>
          <w:spacing w:val="-11"/>
        </w:rPr>
        <w:t> </w:t>
      </w:r>
      <w:r>
        <w:rPr/>
        <w:t>Internacional</w:t>
      </w:r>
      <w:r>
        <w:rPr>
          <w:spacing w:val="-10"/>
        </w:rPr>
        <w:t> </w:t>
      </w:r>
      <w:r>
        <w:rPr/>
        <w:t>Daniel</w:t>
      </w:r>
      <w:r>
        <w:rPr>
          <w:spacing w:val="-10"/>
        </w:rPr>
        <w:t> </w:t>
      </w:r>
      <w:r>
        <w:rPr/>
        <w:t>Oduber</w:t>
      </w:r>
      <w:r>
        <w:rPr>
          <w:spacing w:val="-8"/>
        </w:rPr>
        <w:t> </w:t>
      </w:r>
      <w:r>
        <w:rPr/>
        <w:t>Quirós</w:t>
      </w:r>
      <w:r>
        <w:rPr>
          <w:spacing w:val="-8"/>
        </w:rPr>
        <w:t> </w:t>
      </w:r>
      <w:r>
        <w:rPr/>
        <w:t>(AIDOQ),</w:t>
      </w:r>
      <w:r>
        <w:rPr>
          <w:spacing w:val="-10"/>
        </w:rPr>
        <w:t> </w:t>
      </w:r>
      <w:r>
        <w:rPr/>
        <w:t>se</w:t>
      </w:r>
      <w:r>
        <w:rPr>
          <w:spacing w:val="-9"/>
        </w:rPr>
        <w:t> </w:t>
      </w:r>
      <w:r>
        <w:rPr/>
        <w:t>cuenta con dos tiendas; una en salidas internacionales y otra en llegadas a Costa Rica.</w:t>
      </w:r>
    </w:p>
    <w:p>
      <w:pPr>
        <w:pStyle w:val="BodyText"/>
        <w:spacing w:after="0"/>
        <w:jc w:val="both"/>
        <w:sectPr>
          <w:pgSz w:w="12240" w:h="15840"/>
          <w:pgMar w:header="0" w:footer="1576" w:top="1000" w:bottom="1760" w:left="360" w:right="0"/>
        </w:sectPr>
      </w:pPr>
    </w:p>
    <w:p>
      <w:pPr>
        <w:pStyle w:val="BodyText"/>
        <w:spacing w:before="69"/>
        <w:ind w:left="1625" w:right="1602"/>
        <w:jc w:val="both"/>
      </w:pPr>
      <w:r>
        <w:rPr/>
        <w:t>Empresas Comerciales del IMAS constituye un órgano-empresa, que desarrolla actividades comerciales de venta de mercancías libres de impuestos, en un entorno en competencia</w:t>
      </w:r>
      <w:r>
        <w:rPr>
          <w:spacing w:val="-2"/>
        </w:rPr>
        <w:t> </w:t>
      </w:r>
      <w:r>
        <w:rPr/>
        <w:t>con</w:t>
      </w:r>
      <w:r>
        <w:rPr>
          <w:spacing w:val="-4"/>
        </w:rPr>
        <w:t> </w:t>
      </w:r>
      <w:r>
        <w:rPr/>
        <w:t>otros</w:t>
      </w:r>
      <w:r>
        <w:rPr>
          <w:spacing w:val="-4"/>
        </w:rPr>
        <w:t> </w:t>
      </w:r>
      <w:r>
        <w:rPr/>
        <w:t>comercios</w:t>
      </w:r>
      <w:r>
        <w:rPr>
          <w:spacing w:val="-4"/>
        </w:rPr>
        <w:t> </w:t>
      </w:r>
      <w:r>
        <w:rPr/>
        <w:t>dentro</w:t>
      </w:r>
      <w:r>
        <w:rPr>
          <w:spacing w:val="-4"/>
        </w:rPr>
        <w:t> </w:t>
      </w:r>
      <w:r>
        <w:rPr/>
        <w:t>de</w:t>
      </w:r>
      <w:r>
        <w:rPr>
          <w:spacing w:val="-4"/>
        </w:rPr>
        <w:t> </w:t>
      </w:r>
      <w:r>
        <w:rPr/>
        <w:t>los</w:t>
      </w:r>
      <w:r>
        <w:rPr>
          <w:spacing w:val="-2"/>
        </w:rPr>
        <w:t> </w:t>
      </w:r>
      <w:r>
        <w:rPr/>
        <w:t>aeropuertos</w:t>
      </w:r>
      <w:r>
        <w:rPr>
          <w:spacing w:val="-4"/>
        </w:rPr>
        <w:t> </w:t>
      </w:r>
      <w:r>
        <w:rPr/>
        <w:t>y</w:t>
      </w:r>
      <w:r>
        <w:rPr>
          <w:spacing w:val="-4"/>
        </w:rPr>
        <w:t> </w:t>
      </w:r>
      <w:r>
        <w:rPr/>
        <w:t>con</w:t>
      </w:r>
      <w:r>
        <w:rPr>
          <w:spacing w:val="-4"/>
        </w:rPr>
        <w:t> </w:t>
      </w:r>
      <w:r>
        <w:rPr/>
        <w:t>otros</w:t>
      </w:r>
      <w:r>
        <w:rPr>
          <w:spacing w:val="-1"/>
        </w:rPr>
        <w:t> </w:t>
      </w:r>
      <w:r>
        <w:rPr/>
        <w:t>Duty</w:t>
      </w:r>
      <w:r>
        <w:rPr>
          <w:spacing w:val="-2"/>
        </w:rPr>
        <w:t> </w:t>
      </w:r>
      <w:r>
        <w:rPr/>
        <w:t>Free</w:t>
      </w:r>
      <w:r>
        <w:rPr>
          <w:spacing w:val="-4"/>
        </w:rPr>
        <w:t> </w:t>
      </w:r>
      <w:r>
        <w:rPr/>
        <w:t>de</w:t>
      </w:r>
      <w:r>
        <w:rPr>
          <w:spacing w:val="-4"/>
        </w:rPr>
        <w:t> </w:t>
      </w:r>
      <w:r>
        <w:rPr/>
        <w:t>los países que visitan, o de donde provienen, las personas pasajeras.</w:t>
      </w:r>
    </w:p>
    <w:p>
      <w:pPr>
        <w:pStyle w:val="BodyText"/>
      </w:pPr>
    </w:p>
    <w:p>
      <w:pPr>
        <w:pStyle w:val="BodyText"/>
        <w:spacing w:before="1"/>
        <w:ind w:left="1625" w:right="1601"/>
        <w:jc w:val="both"/>
      </w:pPr>
      <w:r>
        <w:rPr/>
        <w:t>Dicha</w:t>
      </w:r>
      <w:r>
        <w:rPr>
          <w:spacing w:val="-8"/>
        </w:rPr>
        <w:t> </w:t>
      </w:r>
      <w:r>
        <w:rPr/>
        <w:t>gestión</w:t>
      </w:r>
      <w:r>
        <w:rPr>
          <w:spacing w:val="-10"/>
        </w:rPr>
        <w:t> </w:t>
      </w:r>
      <w:r>
        <w:rPr/>
        <w:t>de</w:t>
      </w:r>
      <w:r>
        <w:rPr>
          <w:spacing w:val="-10"/>
        </w:rPr>
        <w:t> </w:t>
      </w:r>
      <w:r>
        <w:rPr/>
        <w:t>Empresas</w:t>
      </w:r>
      <w:r>
        <w:rPr>
          <w:spacing w:val="-8"/>
        </w:rPr>
        <w:t> </w:t>
      </w:r>
      <w:r>
        <w:rPr/>
        <w:t>Comerciales</w:t>
      </w:r>
      <w:r>
        <w:rPr>
          <w:spacing w:val="-10"/>
        </w:rPr>
        <w:t> </w:t>
      </w:r>
      <w:r>
        <w:rPr/>
        <w:t>es</w:t>
      </w:r>
      <w:r>
        <w:rPr>
          <w:spacing w:val="-12"/>
        </w:rPr>
        <w:t> </w:t>
      </w:r>
      <w:r>
        <w:rPr/>
        <w:t>financieramente</w:t>
      </w:r>
      <w:r>
        <w:rPr>
          <w:spacing w:val="-10"/>
        </w:rPr>
        <w:t> </w:t>
      </w:r>
      <w:r>
        <w:rPr/>
        <w:t>autosostenible</w:t>
      </w:r>
      <w:r>
        <w:rPr>
          <w:spacing w:val="-8"/>
        </w:rPr>
        <w:t> </w:t>
      </w:r>
      <w:r>
        <w:rPr/>
        <w:t>ya</w:t>
      </w:r>
      <w:r>
        <w:rPr>
          <w:spacing w:val="-10"/>
        </w:rPr>
        <w:t> </w:t>
      </w:r>
      <w:r>
        <w:rPr/>
        <w:t>que</w:t>
      </w:r>
      <w:r>
        <w:rPr>
          <w:spacing w:val="-10"/>
        </w:rPr>
        <w:t> </w:t>
      </w:r>
      <w:r>
        <w:rPr/>
        <w:t>cubre el 100% de sus costos y gastos operativos, y su propósito es generar utilidades que se destinan a la inversión social que realiza la institución; por ende, complementa el fin público institucional al constituir una fuente de generación de recursos.</w:t>
      </w:r>
    </w:p>
    <w:p>
      <w:pPr>
        <w:pStyle w:val="BodyText"/>
        <w:spacing w:before="253"/>
        <w:ind w:left="1625" w:right="1601"/>
        <w:jc w:val="both"/>
      </w:pPr>
      <w:r>
        <w:rPr/>
        <w:t>En</w:t>
      </w:r>
      <w:r>
        <w:rPr>
          <w:spacing w:val="-2"/>
        </w:rPr>
        <w:t> </w:t>
      </w:r>
      <w:r>
        <w:rPr/>
        <w:t>materia</w:t>
      </w:r>
      <w:r>
        <w:rPr>
          <w:spacing w:val="-2"/>
        </w:rPr>
        <w:t> </w:t>
      </w:r>
      <w:r>
        <w:rPr/>
        <w:t>de</w:t>
      </w:r>
      <w:r>
        <w:rPr>
          <w:spacing w:val="-4"/>
        </w:rPr>
        <w:t> </w:t>
      </w:r>
      <w:r>
        <w:rPr/>
        <w:t>relaciones</w:t>
      </w:r>
      <w:r>
        <w:rPr>
          <w:spacing w:val="-4"/>
        </w:rPr>
        <w:t> </w:t>
      </w:r>
      <w:r>
        <w:rPr/>
        <w:t>de</w:t>
      </w:r>
      <w:r>
        <w:rPr>
          <w:spacing w:val="-4"/>
        </w:rPr>
        <w:t> </w:t>
      </w:r>
      <w:r>
        <w:rPr/>
        <w:t>trabajo,</w:t>
      </w:r>
      <w:r>
        <w:rPr>
          <w:spacing w:val="-3"/>
        </w:rPr>
        <w:t> </w:t>
      </w:r>
      <w:r>
        <w:rPr/>
        <w:t>el</w:t>
      </w:r>
      <w:r>
        <w:rPr>
          <w:spacing w:val="-3"/>
        </w:rPr>
        <w:t> </w:t>
      </w:r>
      <w:r>
        <w:rPr/>
        <w:t>negocio</w:t>
      </w:r>
      <w:r>
        <w:rPr>
          <w:spacing w:val="-2"/>
        </w:rPr>
        <w:t> </w:t>
      </w:r>
      <w:r>
        <w:rPr/>
        <w:t>opera</w:t>
      </w:r>
      <w:r>
        <w:rPr>
          <w:spacing w:val="-2"/>
        </w:rPr>
        <w:t> </w:t>
      </w:r>
      <w:r>
        <w:rPr/>
        <w:t>bajo</w:t>
      </w:r>
      <w:r>
        <w:rPr>
          <w:spacing w:val="-2"/>
        </w:rPr>
        <w:t> </w:t>
      </w:r>
      <w:r>
        <w:rPr/>
        <w:t>la</w:t>
      </w:r>
      <w:r>
        <w:rPr>
          <w:spacing w:val="-4"/>
        </w:rPr>
        <w:t> </w:t>
      </w:r>
      <w:r>
        <w:rPr/>
        <w:t>figura</w:t>
      </w:r>
      <w:r>
        <w:rPr>
          <w:spacing w:val="-4"/>
        </w:rPr>
        <w:t> </w:t>
      </w:r>
      <w:r>
        <w:rPr/>
        <w:t>de</w:t>
      </w:r>
      <w:r>
        <w:rPr>
          <w:spacing w:val="-4"/>
        </w:rPr>
        <w:t> </w:t>
      </w:r>
      <w:r>
        <w:rPr/>
        <w:t>régimen</w:t>
      </w:r>
      <w:r>
        <w:rPr>
          <w:spacing w:val="-2"/>
        </w:rPr>
        <w:t> </w:t>
      </w:r>
      <w:r>
        <w:rPr/>
        <w:t>mixto,</w:t>
      </w:r>
      <w:r>
        <w:rPr>
          <w:spacing w:val="-3"/>
        </w:rPr>
        <w:t> </w:t>
      </w:r>
      <w:r>
        <w:rPr/>
        <w:t>ya que al personal le es aplicable el régimen laboral establecido por el derecho laboral común, así como aquellos principios generales necesarios para observar la legalidad y moralidad administrativa.</w:t>
      </w:r>
    </w:p>
    <w:p>
      <w:pPr>
        <w:pStyle w:val="BodyText"/>
      </w:pPr>
    </w:p>
    <w:p>
      <w:pPr>
        <w:pStyle w:val="BodyText"/>
        <w:ind w:left="1625" w:right="1603"/>
        <w:jc w:val="both"/>
      </w:pPr>
      <w:r>
        <w:rPr/>
        <w:t>A nivel presupuestario el Programa Empresas Comerciales es autosuficiente, ya que todos los recursos que dispone para gasto son generados por medio de la venta de mercancías en los distintos puntos donde se opera.</w:t>
      </w:r>
    </w:p>
    <w:p>
      <w:pPr>
        <w:pStyle w:val="BodyText"/>
        <w:spacing w:before="23"/>
      </w:pPr>
    </w:p>
    <w:p>
      <w:pPr>
        <w:pStyle w:val="Heading3"/>
        <w:numPr>
          <w:ilvl w:val="2"/>
          <w:numId w:val="5"/>
        </w:numPr>
        <w:tabs>
          <w:tab w:pos="3084" w:val="left" w:leader="none"/>
        </w:tabs>
        <w:spacing w:line="240" w:lineRule="auto" w:before="0" w:after="0"/>
        <w:ind w:left="3084" w:right="0" w:hanging="598"/>
        <w:jc w:val="left"/>
      </w:pPr>
      <w:bookmarkStart w:name="_bookmark52" w:id="53"/>
      <w:bookmarkEnd w:id="53"/>
      <w:r>
        <w:rPr>
          <w:b w:val="0"/>
        </w:rPr>
      </w:r>
      <w:r>
        <w:rPr/>
        <w:t>Objetivos</w:t>
      </w:r>
      <w:r>
        <w:rPr>
          <w:spacing w:val="-5"/>
        </w:rPr>
        <w:t> </w:t>
      </w:r>
      <w:r>
        <w:rPr/>
        <w:t>del</w:t>
      </w:r>
      <w:r>
        <w:rPr>
          <w:spacing w:val="-4"/>
        </w:rPr>
        <w:t> </w:t>
      </w:r>
      <w:r>
        <w:rPr>
          <w:spacing w:val="-2"/>
        </w:rPr>
        <w:t>Programa</w:t>
      </w:r>
    </w:p>
    <w:p>
      <w:pPr>
        <w:pStyle w:val="Heading5"/>
        <w:spacing w:before="254"/>
        <w:jc w:val="both"/>
      </w:pPr>
      <w:r>
        <w:rPr/>
        <w:t>Objetivo</w:t>
      </w:r>
      <w:r>
        <w:rPr>
          <w:spacing w:val="-8"/>
        </w:rPr>
        <w:t> </w:t>
      </w:r>
      <w:r>
        <w:rPr>
          <w:spacing w:val="-2"/>
        </w:rPr>
        <w:t>General</w:t>
      </w:r>
    </w:p>
    <w:p>
      <w:pPr>
        <w:pStyle w:val="BodyText"/>
        <w:rPr>
          <w:b/>
        </w:rPr>
      </w:pPr>
    </w:p>
    <w:p>
      <w:pPr>
        <w:pStyle w:val="BodyText"/>
        <w:ind w:left="1625" w:right="1604"/>
        <w:jc w:val="both"/>
      </w:pPr>
      <w:r>
        <w:rPr/>
        <w:t>Generar la mayor cantidad posible de ingresos por concepto de utilidades con la operación comercial de las tiendas del IMAS, con el fin de contribuir a la sostenibilidad financiera de los programas de inversión social destinados a la población objetivo.</w:t>
      </w:r>
    </w:p>
    <w:p>
      <w:pPr>
        <w:pStyle w:val="Heading5"/>
        <w:spacing w:before="252"/>
        <w:jc w:val="both"/>
      </w:pPr>
      <w:r>
        <w:rPr/>
        <w:t>Objetivos</w:t>
      </w:r>
      <w:r>
        <w:rPr>
          <w:spacing w:val="-8"/>
        </w:rPr>
        <w:t> </w:t>
      </w:r>
      <w:r>
        <w:rPr>
          <w:spacing w:val="-2"/>
        </w:rPr>
        <w:t>Específicos</w:t>
      </w:r>
    </w:p>
    <w:p>
      <w:pPr>
        <w:pStyle w:val="BodyText"/>
        <w:spacing w:before="5"/>
        <w:rPr>
          <w:b/>
        </w:rPr>
      </w:pPr>
    </w:p>
    <w:p>
      <w:pPr>
        <w:pStyle w:val="ListParagraph"/>
        <w:numPr>
          <w:ilvl w:val="0"/>
          <w:numId w:val="24"/>
        </w:numPr>
        <w:tabs>
          <w:tab w:pos="2345" w:val="left" w:leader="none"/>
        </w:tabs>
        <w:spacing w:line="237" w:lineRule="auto" w:before="0" w:after="0"/>
        <w:ind w:left="2345" w:right="1601" w:hanging="360"/>
        <w:jc w:val="both"/>
        <w:rPr>
          <w:sz w:val="22"/>
        </w:rPr>
      </w:pPr>
      <w:r>
        <w:rPr>
          <w:sz w:val="22"/>
        </w:rPr>
        <w:t>Potenciar las capacidades de Empresas Comerciales para maximizar su rentabilidad, mediante el desarrollo de un modelo operativo-administrativo eficiente, productivo y que impulse la dinamicidad del negocio.</w:t>
      </w:r>
    </w:p>
    <w:p>
      <w:pPr>
        <w:pStyle w:val="BodyText"/>
        <w:spacing w:before="6"/>
      </w:pPr>
    </w:p>
    <w:p>
      <w:pPr>
        <w:pStyle w:val="ListParagraph"/>
        <w:numPr>
          <w:ilvl w:val="0"/>
          <w:numId w:val="24"/>
        </w:numPr>
        <w:tabs>
          <w:tab w:pos="2345" w:val="left" w:leader="none"/>
        </w:tabs>
        <w:spacing w:line="237" w:lineRule="auto" w:before="0" w:after="0"/>
        <w:ind w:left="2345" w:right="1605" w:hanging="360"/>
        <w:jc w:val="both"/>
        <w:rPr>
          <w:sz w:val="22"/>
        </w:rPr>
      </w:pPr>
      <w:r>
        <w:rPr>
          <w:sz w:val="22"/>
        </w:rPr>
        <w:t>Implementar estrategias integrales de mercadeo y ventas, para incrementar las ventas y las utilidades, potenciando el mix mercadológico.</w:t>
      </w:r>
    </w:p>
    <w:p>
      <w:pPr>
        <w:pStyle w:val="BodyText"/>
        <w:spacing w:before="3"/>
      </w:pPr>
    </w:p>
    <w:p>
      <w:pPr>
        <w:pStyle w:val="ListParagraph"/>
        <w:numPr>
          <w:ilvl w:val="0"/>
          <w:numId w:val="24"/>
        </w:numPr>
        <w:tabs>
          <w:tab w:pos="2345" w:val="left" w:leader="none"/>
        </w:tabs>
        <w:spacing w:line="237" w:lineRule="auto" w:before="0" w:after="0"/>
        <w:ind w:left="2345" w:right="1604" w:hanging="360"/>
        <w:jc w:val="both"/>
        <w:rPr>
          <w:sz w:val="22"/>
        </w:rPr>
      </w:pPr>
      <w:r>
        <w:rPr>
          <w:sz w:val="22"/>
        </w:rPr>
        <w:t>Garantizar el abastecimiento oportuno y suficiente de mercancías en</w:t>
      </w:r>
      <w:r>
        <w:rPr>
          <w:spacing w:val="-1"/>
          <w:sz w:val="22"/>
        </w:rPr>
        <w:t> </w:t>
      </w:r>
      <w:r>
        <w:rPr>
          <w:sz w:val="22"/>
        </w:rPr>
        <w:t>las tiendas, para</w:t>
      </w:r>
      <w:r>
        <w:rPr>
          <w:spacing w:val="-14"/>
          <w:sz w:val="22"/>
        </w:rPr>
        <w:t> </w:t>
      </w:r>
      <w:r>
        <w:rPr>
          <w:sz w:val="22"/>
        </w:rPr>
        <w:t>la</w:t>
      </w:r>
      <w:r>
        <w:rPr>
          <w:spacing w:val="-12"/>
          <w:sz w:val="22"/>
        </w:rPr>
        <w:t> </w:t>
      </w:r>
      <w:r>
        <w:rPr>
          <w:sz w:val="22"/>
        </w:rPr>
        <w:t>generación</w:t>
      </w:r>
      <w:r>
        <w:rPr>
          <w:spacing w:val="-13"/>
          <w:sz w:val="22"/>
        </w:rPr>
        <w:t> </w:t>
      </w:r>
      <w:r>
        <w:rPr>
          <w:sz w:val="22"/>
        </w:rPr>
        <w:t>de</w:t>
      </w:r>
      <w:r>
        <w:rPr>
          <w:spacing w:val="-15"/>
          <w:sz w:val="22"/>
        </w:rPr>
        <w:t> </w:t>
      </w:r>
      <w:r>
        <w:rPr>
          <w:sz w:val="22"/>
        </w:rPr>
        <w:t>ventas,</w:t>
      </w:r>
      <w:r>
        <w:rPr>
          <w:spacing w:val="-13"/>
          <w:sz w:val="22"/>
        </w:rPr>
        <w:t> </w:t>
      </w:r>
      <w:r>
        <w:rPr>
          <w:sz w:val="22"/>
        </w:rPr>
        <w:t>mediante</w:t>
      </w:r>
      <w:r>
        <w:rPr>
          <w:spacing w:val="-12"/>
          <w:sz w:val="22"/>
        </w:rPr>
        <w:t> </w:t>
      </w:r>
      <w:r>
        <w:rPr>
          <w:sz w:val="22"/>
        </w:rPr>
        <w:t>procesos</w:t>
      </w:r>
      <w:r>
        <w:rPr>
          <w:spacing w:val="-16"/>
          <w:sz w:val="22"/>
        </w:rPr>
        <w:t> </w:t>
      </w:r>
      <w:r>
        <w:rPr>
          <w:sz w:val="22"/>
        </w:rPr>
        <w:t>de</w:t>
      </w:r>
      <w:r>
        <w:rPr>
          <w:spacing w:val="-13"/>
          <w:sz w:val="22"/>
        </w:rPr>
        <w:t> </w:t>
      </w:r>
      <w:r>
        <w:rPr>
          <w:sz w:val="22"/>
        </w:rPr>
        <w:t>compra</w:t>
      </w:r>
      <w:r>
        <w:rPr>
          <w:spacing w:val="-12"/>
          <w:sz w:val="22"/>
        </w:rPr>
        <w:t> </w:t>
      </w:r>
      <w:r>
        <w:rPr>
          <w:sz w:val="22"/>
        </w:rPr>
        <w:t>ágiles,</w:t>
      </w:r>
      <w:r>
        <w:rPr>
          <w:spacing w:val="-14"/>
          <w:sz w:val="22"/>
        </w:rPr>
        <w:t> </w:t>
      </w:r>
      <w:r>
        <w:rPr>
          <w:sz w:val="22"/>
        </w:rPr>
        <w:t>transparentes y seguros.</w:t>
      </w:r>
    </w:p>
    <w:p>
      <w:pPr>
        <w:pStyle w:val="BodyText"/>
        <w:spacing w:before="6"/>
      </w:pPr>
    </w:p>
    <w:p>
      <w:pPr>
        <w:pStyle w:val="ListParagraph"/>
        <w:numPr>
          <w:ilvl w:val="0"/>
          <w:numId w:val="24"/>
        </w:numPr>
        <w:tabs>
          <w:tab w:pos="2345" w:val="left" w:leader="none"/>
        </w:tabs>
        <w:spacing w:line="237" w:lineRule="auto" w:before="0" w:after="0"/>
        <w:ind w:left="2345" w:right="1605" w:hanging="360"/>
        <w:jc w:val="both"/>
        <w:rPr>
          <w:sz w:val="22"/>
        </w:rPr>
      </w:pPr>
      <w:r>
        <w:rPr>
          <w:sz w:val="22"/>
        </w:rPr>
        <w:t>Asegurar</w:t>
      </w:r>
      <w:r>
        <w:rPr>
          <w:spacing w:val="-16"/>
          <w:sz w:val="22"/>
        </w:rPr>
        <w:t> </w:t>
      </w:r>
      <w:r>
        <w:rPr>
          <w:sz w:val="22"/>
        </w:rPr>
        <w:t>información</w:t>
      </w:r>
      <w:r>
        <w:rPr>
          <w:spacing w:val="-15"/>
          <w:sz w:val="22"/>
        </w:rPr>
        <w:t> </w:t>
      </w:r>
      <w:r>
        <w:rPr>
          <w:sz w:val="22"/>
        </w:rPr>
        <w:t>oportuna,</w:t>
      </w:r>
      <w:r>
        <w:rPr>
          <w:spacing w:val="-15"/>
          <w:sz w:val="22"/>
        </w:rPr>
        <w:t> </w:t>
      </w:r>
      <w:r>
        <w:rPr>
          <w:sz w:val="22"/>
        </w:rPr>
        <w:t>confiable</w:t>
      </w:r>
      <w:r>
        <w:rPr>
          <w:spacing w:val="-16"/>
          <w:sz w:val="22"/>
        </w:rPr>
        <w:t> </w:t>
      </w:r>
      <w:r>
        <w:rPr>
          <w:sz w:val="22"/>
        </w:rPr>
        <w:t>y</w:t>
      </w:r>
      <w:r>
        <w:rPr>
          <w:spacing w:val="-15"/>
          <w:sz w:val="22"/>
        </w:rPr>
        <w:t> </w:t>
      </w:r>
      <w:r>
        <w:rPr>
          <w:sz w:val="22"/>
        </w:rPr>
        <w:t>pertinente,</w:t>
      </w:r>
      <w:r>
        <w:rPr>
          <w:spacing w:val="-15"/>
          <w:sz w:val="22"/>
        </w:rPr>
        <w:t> </w:t>
      </w:r>
      <w:r>
        <w:rPr>
          <w:sz w:val="22"/>
        </w:rPr>
        <w:t>para</w:t>
      </w:r>
      <w:r>
        <w:rPr>
          <w:spacing w:val="-15"/>
          <w:sz w:val="22"/>
        </w:rPr>
        <w:t> </w:t>
      </w:r>
      <w:r>
        <w:rPr>
          <w:sz w:val="22"/>
        </w:rPr>
        <w:t>la</w:t>
      </w:r>
      <w:r>
        <w:rPr>
          <w:spacing w:val="-16"/>
          <w:sz w:val="22"/>
        </w:rPr>
        <w:t> </w:t>
      </w:r>
      <w:r>
        <w:rPr>
          <w:sz w:val="22"/>
        </w:rPr>
        <w:t>toma</w:t>
      </w:r>
      <w:r>
        <w:rPr>
          <w:spacing w:val="-15"/>
          <w:sz w:val="22"/>
        </w:rPr>
        <w:t> </w:t>
      </w:r>
      <w:r>
        <w:rPr>
          <w:sz w:val="22"/>
        </w:rPr>
        <w:t>de</w:t>
      </w:r>
      <w:r>
        <w:rPr>
          <w:spacing w:val="-15"/>
          <w:sz w:val="22"/>
        </w:rPr>
        <w:t> </w:t>
      </w:r>
      <w:r>
        <w:rPr>
          <w:sz w:val="22"/>
        </w:rPr>
        <w:t>decisiones, mediante el adecuado desarrollo de procesos contables, presupuestarios y de control interno.</w:t>
      </w:r>
    </w:p>
    <w:p>
      <w:pPr>
        <w:pStyle w:val="BodyText"/>
        <w:spacing w:before="7"/>
      </w:pPr>
    </w:p>
    <w:p>
      <w:pPr>
        <w:pStyle w:val="ListParagraph"/>
        <w:numPr>
          <w:ilvl w:val="0"/>
          <w:numId w:val="24"/>
        </w:numPr>
        <w:tabs>
          <w:tab w:pos="2345" w:val="left" w:leader="none"/>
        </w:tabs>
        <w:spacing w:line="237" w:lineRule="auto" w:before="1" w:after="0"/>
        <w:ind w:left="2345" w:right="1606" w:hanging="360"/>
        <w:jc w:val="both"/>
        <w:rPr>
          <w:sz w:val="22"/>
        </w:rPr>
      </w:pPr>
      <w:r>
        <w:rPr>
          <w:sz w:val="22"/>
        </w:rPr>
        <w:t>Satisfacer las expectativas de las personas pasajeras que transitan por las localizaciones donde se tiene operación comercial, mediante un servicio de alta calidad, oferta</w:t>
      </w:r>
      <w:r>
        <w:rPr>
          <w:spacing w:val="-1"/>
          <w:sz w:val="22"/>
        </w:rPr>
        <w:t> </w:t>
      </w:r>
      <w:r>
        <w:rPr>
          <w:sz w:val="22"/>
        </w:rPr>
        <w:t>de productos adecuada a</w:t>
      </w:r>
      <w:r>
        <w:rPr>
          <w:spacing w:val="-1"/>
          <w:sz w:val="22"/>
        </w:rPr>
        <w:t> </w:t>
      </w:r>
      <w:r>
        <w:rPr>
          <w:sz w:val="22"/>
        </w:rPr>
        <w:t>sus necesidades y con</w:t>
      </w:r>
      <w:r>
        <w:rPr>
          <w:spacing w:val="-1"/>
          <w:sz w:val="22"/>
        </w:rPr>
        <w:t> </w:t>
      </w:r>
      <w:r>
        <w:rPr>
          <w:sz w:val="22"/>
        </w:rPr>
        <w:t>precios óptimos.</w:t>
      </w:r>
    </w:p>
    <w:p>
      <w:pPr>
        <w:pStyle w:val="ListParagraph"/>
        <w:spacing w:after="0" w:line="237" w:lineRule="auto"/>
        <w:jc w:val="both"/>
        <w:rPr>
          <w:sz w:val="22"/>
        </w:rPr>
        <w:sectPr>
          <w:pgSz w:w="12240" w:h="15840"/>
          <w:pgMar w:header="0" w:footer="1576" w:top="1260" w:bottom="1760" w:left="360" w:right="0"/>
        </w:sectPr>
      </w:pPr>
    </w:p>
    <w:p>
      <w:pPr>
        <w:pStyle w:val="ListParagraph"/>
        <w:numPr>
          <w:ilvl w:val="0"/>
          <w:numId w:val="24"/>
        </w:numPr>
        <w:tabs>
          <w:tab w:pos="2345" w:val="left" w:leader="none"/>
        </w:tabs>
        <w:spacing w:line="240" w:lineRule="auto" w:before="77" w:after="0"/>
        <w:ind w:left="2345" w:right="1607" w:hanging="360"/>
        <w:jc w:val="both"/>
        <w:rPr>
          <w:sz w:val="22"/>
        </w:rPr>
      </w:pPr>
      <w:r>
        <w:rPr>
          <w:sz w:val="22"/>
        </w:rPr>
        <w:t>Motivar la inserción de</w:t>
      </w:r>
      <w:r>
        <w:rPr>
          <w:spacing w:val="-1"/>
          <w:sz w:val="22"/>
        </w:rPr>
        <w:t> </w:t>
      </w:r>
      <w:r>
        <w:rPr>
          <w:sz w:val="22"/>
        </w:rPr>
        <w:t>emprendimientos productivos en las tiendas que cumplan con</w:t>
      </w:r>
      <w:r>
        <w:rPr>
          <w:spacing w:val="-13"/>
          <w:sz w:val="22"/>
        </w:rPr>
        <w:t> </w:t>
      </w:r>
      <w:r>
        <w:rPr>
          <w:sz w:val="22"/>
        </w:rPr>
        <w:t>los</w:t>
      </w:r>
      <w:r>
        <w:rPr>
          <w:spacing w:val="-12"/>
          <w:sz w:val="22"/>
        </w:rPr>
        <w:t> </w:t>
      </w:r>
      <w:r>
        <w:rPr>
          <w:sz w:val="22"/>
        </w:rPr>
        <w:t>estándares</w:t>
      </w:r>
      <w:r>
        <w:rPr>
          <w:spacing w:val="-12"/>
          <w:sz w:val="22"/>
        </w:rPr>
        <w:t> </w:t>
      </w:r>
      <w:r>
        <w:rPr>
          <w:sz w:val="22"/>
        </w:rPr>
        <w:t>de</w:t>
      </w:r>
      <w:r>
        <w:rPr>
          <w:spacing w:val="-13"/>
          <w:sz w:val="22"/>
        </w:rPr>
        <w:t> </w:t>
      </w:r>
      <w:r>
        <w:rPr>
          <w:sz w:val="22"/>
        </w:rPr>
        <w:t>calidad,</w:t>
      </w:r>
      <w:r>
        <w:rPr>
          <w:spacing w:val="-11"/>
          <w:sz w:val="22"/>
        </w:rPr>
        <w:t> </w:t>
      </w:r>
      <w:r>
        <w:rPr>
          <w:sz w:val="22"/>
        </w:rPr>
        <w:t>para</w:t>
      </w:r>
      <w:r>
        <w:rPr>
          <w:spacing w:val="-12"/>
          <w:sz w:val="22"/>
        </w:rPr>
        <w:t> </w:t>
      </w:r>
      <w:r>
        <w:rPr>
          <w:sz w:val="22"/>
        </w:rPr>
        <w:t>contribuir</w:t>
      </w:r>
      <w:r>
        <w:rPr>
          <w:spacing w:val="-11"/>
          <w:sz w:val="22"/>
        </w:rPr>
        <w:t> </w:t>
      </w:r>
      <w:r>
        <w:rPr>
          <w:sz w:val="22"/>
        </w:rPr>
        <w:t>al</w:t>
      </w:r>
      <w:r>
        <w:rPr>
          <w:spacing w:val="-13"/>
          <w:sz w:val="22"/>
        </w:rPr>
        <w:t> </w:t>
      </w:r>
      <w:r>
        <w:rPr>
          <w:sz w:val="22"/>
        </w:rPr>
        <w:t>desarrollo</w:t>
      </w:r>
      <w:r>
        <w:rPr>
          <w:spacing w:val="-12"/>
          <w:sz w:val="22"/>
        </w:rPr>
        <w:t> </w:t>
      </w:r>
      <w:r>
        <w:rPr>
          <w:sz w:val="22"/>
        </w:rPr>
        <w:t>sostenido</w:t>
      </w:r>
      <w:r>
        <w:rPr>
          <w:spacing w:val="-15"/>
          <w:sz w:val="22"/>
        </w:rPr>
        <w:t> </w:t>
      </w:r>
      <w:r>
        <w:rPr>
          <w:sz w:val="22"/>
        </w:rPr>
        <w:t>financiero</w:t>
      </w:r>
      <w:r>
        <w:rPr>
          <w:spacing w:val="-12"/>
          <w:sz w:val="22"/>
        </w:rPr>
        <w:t> </w:t>
      </w:r>
      <w:r>
        <w:rPr>
          <w:sz w:val="22"/>
        </w:rPr>
        <w:t>de las familias en pobreza a través de la estrategia de IMAS Impulsa.</w:t>
      </w:r>
    </w:p>
    <w:p>
      <w:pPr>
        <w:pStyle w:val="BodyText"/>
        <w:spacing w:before="21"/>
      </w:pPr>
    </w:p>
    <w:p>
      <w:pPr>
        <w:pStyle w:val="Heading3"/>
        <w:numPr>
          <w:ilvl w:val="2"/>
          <w:numId w:val="5"/>
        </w:numPr>
        <w:tabs>
          <w:tab w:pos="3085" w:val="left" w:leader="none"/>
        </w:tabs>
        <w:spacing w:line="240" w:lineRule="auto" w:before="1" w:after="0"/>
        <w:ind w:left="3085" w:right="0" w:hanging="599"/>
        <w:jc w:val="left"/>
      </w:pPr>
      <w:bookmarkStart w:name="_bookmark53" w:id="54"/>
      <w:bookmarkEnd w:id="54"/>
      <w:r>
        <w:rPr>
          <w:b w:val="0"/>
        </w:rPr>
      </w:r>
      <w:r>
        <w:rPr/>
        <w:t>Estructura</w:t>
      </w:r>
      <w:r>
        <w:rPr>
          <w:spacing w:val="-4"/>
        </w:rPr>
        <w:t> </w:t>
      </w:r>
      <w:r>
        <w:rPr/>
        <w:t>del</w:t>
      </w:r>
      <w:r>
        <w:rPr>
          <w:spacing w:val="-5"/>
        </w:rPr>
        <w:t> </w:t>
      </w:r>
      <w:r>
        <w:rPr>
          <w:spacing w:val="-2"/>
        </w:rPr>
        <w:t>Programa</w:t>
      </w:r>
    </w:p>
    <w:p>
      <w:pPr>
        <w:pStyle w:val="BodyText"/>
        <w:spacing w:before="254"/>
        <w:ind w:left="1625" w:right="1604"/>
        <w:jc w:val="both"/>
      </w:pPr>
      <w:r>
        <w:rPr/>
        <w:t>En cuanto a la estructura organizacional, Empresas Comerciales, está bajo la jerarquía de la Dirección de Gestión de Recursos. Cuenta con una Administración General que dirige la operación del negocio, y las unidades de Mercadeo y Ventas responsable de la estrategia comercial, Logística e Importaciones a cargo del abastecimiento oportuno de </w:t>
      </w:r>
      <w:r>
        <w:rPr>
          <w:spacing w:val="-2"/>
        </w:rPr>
        <w:t>mercancías,</w:t>
      </w:r>
      <w:r>
        <w:rPr>
          <w:spacing w:val="-3"/>
        </w:rPr>
        <w:t> </w:t>
      </w:r>
      <w:r>
        <w:rPr>
          <w:spacing w:val="-2"/>
        </w:rPr>
        <w:t>bienes</w:t>
      </w:r>
      <w:r>
        <w:rPr>
          <w:spacing w:val="-8"/>
        </w:rPr>
        <w:t> </w:t>
      </w:r>
      <w:r>
        <w:rPr>
          <w:spacing w:val="-2"/>
        </w:rPr>
        <w:t>y</w:t>
      </w:r>
      <w:r>
        <w:rPr>
          <w:spacing w:val="-7"/>
        </w:rPr>
        <w:t> </w:t>
      </w:r>
      <w:r>
        <w:rPr>
          <w:spacing w:val="-2"/>
        </w:rPr>
        <w:t>servicios,</w:t>
      </w:r>
      <w:r>
        <w:rPr>
          <w:spacing w:val="-6"/>
        </w:rPr>
        <w:t> </w:t>
      </w:r>
      <w:r>
        <w:rPr>
          <w:spacing w:val="-2"/>
        </w:rPr>
        <w:t>requeridos</w:t>
      </w:r>
      <w:r>
        <w:rPr>
          <w:spacing w:val="-7"/>
        </w:rPr>
        <w:t> </w:t>
      </w:r>
      <w:r>
        <w:rPr>
          <w:spacing w:val="-2"/>
        </w:rPr>
        <w:t>para</w:t>
      </w:r>
      <w:r>
        <w:rPr>
          <w:spacing w:val="-8"/>
        </w:rPr>
        <w:t> </w:t>
      </w:r>
      <w:r>
        <w:rPr>
          <w:spacing w:val="-2"/>
        </w:rPr>
        <w:t>la</w:t>
      </w:r>
      <w:r>
        <w:rPr>
          <w:spacing w:val="-7"/>
        </w:rPr>
        <w:t> </w:t>
      </w:r>
      <w:r>
        <w:rPr>
          <w:spacing w:val="-2"/>
        </w:rPr>
        <w:t>gestión</w:t>
      </w:r>
      <w:r>
        <w:rPr>
          <w:spacing w:val="-5"/>
        </w:rPr>
        <w:t> </w:t>
      </w:r>
      <w:r>
        <w:rPr>
          <w:spacing w:val="-2"/>
        </w:rPr>
        <w:t>y</w:t>
      </w:r>
      <w:r>
        <w:rPr>
          <w:spacing w:val="-7"/>
        </w:rPr>
        <w:t> </w:t>
      </w:r>
      <w:r>
        <w:rPr>
          <w:spacing w:val="-2"/>
        </w:rPr>
        <w:t>compras</w:t>
      </w:r>
      <w:r>
        <w:rPr>
          <w:spacing w:val="-5"/>
        </w:rPr>
        <w:t> </w:t>
      </w:r>
      <w:r>
        <w:rPr>
          <w:spacing w:val="-2"/>
        </w:rPr>
        <w:t>de</w:t>
      </w:r>
      <w:r>
        <w:rPr>
          <w:spacing w:val="-8"/>
        </w:rPr>
        <w:t> </w:t>
      </w:r>
      <w:r>
        <w:rPr>
          <w:spacing w:val="-2"/>
        </w:rPr>
        <w:t>bienes</w:t>
      </w:r>
      <w:r>
        <w:rPr>
          <w:spacing w:val="-5"/>
        </w:rPr>
        <w:t> </w:t>
      </w:r>
      <w:r>
        <w:rPr>
          <w:spacing w:val="-2"/>
        </w:rPr>
        <w:t>y</w:t>
      </w:r>
      <w:r>
        <w:rPr>
          <w:spacing w:val="-7"/>
        </w:rPr>
        <w:t> </w:t>
      </w:r>
      <w:r>
        <w:rPr>
          <w:spacing w:val="-2"/>
        </w:rPr>
        <w:t>servicios </w:t>
      </w:r>
      <w:r>
        <w:rPr/>
        <w:t>y Coordinación</w:t>
      </w:r>
      <w:r>
        <w:rPr>
          <w:spacing w:val="-1"/>
        </w:rPr>
        <w:t> </w:t>
      </w:r>
      <w:r>
        <w:rPr/>
        <w:t>Administrativa</w:t>
      </w:r>
      <w:r>
        <w:rPr>
          <w:spacing w:val="-1"/>
        </w:rPr>
        <w:t> </w:t>
      </w:r>
      <w:r>
        <w:rPr/>
        <w:t>que le</w:t>
      </w:r>
      <w:r>
        <w:rPr>
          <w:spacing w:val="-3"/>
        </w:rPr>
        <w:t> </w:t>
      </w:r>
      <w:r>
        <w:rPr/>
        <w:t>compete los</w:t>
      </w:r>
      <w:r>
        <w:rPr>
          <w:spacing w:val="-5"/>
        </w:rPr>
        <w:t> </w:t>
      </w:r>
      <w:r>
        <w:rPr/>
        <w:t>aspectos</w:t>
      </w:r>
      <w:r>
        <w:rPr>
          <w:spacing w:val="-2"/>
        </w:rPr>
        <w:t> </w:t>
      </w:r>
      <w:r>
        <w:rPr/>
        <w:t>contables, presupuestarios</w:t>
      </w:r>
      <w:r>
        <w:rPr>
          <w:spacing w:val="-3"/>
        </w:rPr>
        <w:t> </w:t>
      </w:r>
      <w:r>
        <w:rPr/>
        <w:t>y de control de la operación.</w:t>
      </w:r>
    </w:p>
    <w:p>
      <w:pPr>
        <w:pStyle w:val="Heading3"/>
        <w:numPr>
          <w:ilvl w:val="0"/>
          <w:numId w:val="5"/>
        </w:numPr>
        <w:tabs>
          <w:tab w:pos="1826" w:val="left" w:leader="none"/>
        </w:tabs>
        <w:spacing w:line="240" w:lineRule="auto" w:before="252" w:after="0"/>
        <w:ind w:left="1826" w:right="0" w:hanging="201"/>
        <w:jc w:val="left"/>
      </w:pPr>
      <w:bookmarkStart w:name="_bookmark54" w:id="55"/>
      <w:bookmarkEnd w:id="55"/>
      <w:r>
        <w:rPr>
          <w:b w:val="0"/>
        </w:rPr>
      </w:r>
      <w:r>
        <w:rPr/>
        <w:t>Comparación</w:t>
      </w:r>
      <w:r>
        <w:rPr>
          <w:spacing w:val="-6"/>
        </w:rPr>
        <w:t> </w:t>
      </w:r>
      <w:r>
        <w:rPr>
          <w:spacing w:val="-2"/>
        </w:rPr>
        <w:t>Presupuestaria</w:t>
      </w:r>
    </w:p>
    <w:p>
      <w:pPr>
        <w:pStyle w:val="BodyText"/>
        <w:rPr>
          <w:b/>
          <w:sz w:val="24"/>
        </w:rPr>
      </w:pPr>
    </w:p>
    <w:p>
      <w:pPr>
        <w:pStyle w:val="BodyText"/>
        <w:spacing w:before="1"/>
        <w:ind w:left="1625" w:right="1606"/>
        <w:jc w:val="both"/>
      </w:pPr>
      <w:r>
        <w:rPr/>
        <w:t>A continuación, se presentan los cuadros comparativos del Presupuesto Ordinario y del Presupuesto por Programa entre los años 2026 y 2027.</w:t>
      </w:r>
    </w:p>
    <w:p>
      <w:pPr>
        <w:pStyle w:val="Heading5"/>
        <w:spacing w:before="252"/>
        <w:ind w:left="1468" w:right="1303"/>
        <w:jc w:val="center"/>
      </w:pPr>
      <w:bookmarkStart w:name="_bookmark55" w:id="56"/>
      <w:bookmarkEnd w:id="56"/>
      <w:r>
        <w:rPr>
          <w:b w:val="0"/>
        </w:rPr>
      </w:r>
      <w:r>
        <w:rPr/>
        <w:t>Tabla</w:t>
      </w:r>
      <w:r>
        <w:rPr>
          <w:spacing w:val="-2"/>
        </w:rPr>
        <w:t> </w:t>
      </w:r>
      <w:r>
        <w:rPr/>
        <w:t>9:</w:t>
      </w:r>
      <w:r>
        <w:rPr>
          <w:spacing w:val="-1"/>
        </w:rPr>
        <w:t> </w:t>
      </w:r>
      <w:r>
        <w:rPr/>
        <w:t>Comparación</w:t>
      </w:r>
      <w:r>
        <w:rPr>
          <w:spacing w:val="-8"/>
        </w:rPr>
        <w:t> </w:t>
      </w:r>
      <w:r>
        <w:rPr/>
        <w:t>del</w:t>
      </w:r>
      <w:r>
        <w:rPr>
          <w:spacing w:val="-1"/>
        </w:rPr>
        <w:t> </w:t>
      </w:r>
      <w:r>
        <w:rPr/>
        <w:t>Presupuesto</w:t>
      </w:r>
      <w:r>
        <w:rPr>
          <w:spacing w:val="-2"/>
        </w:rPr>
        <w:t> </w:t>
      </w:r>
      <w:r>
        <w:rPr/>
        <w:t>ordinario</w:t>
      </w:r>
      <w:r>
        <w:rPr>
          <w:spacing w:val="-3"/>
        </w:rPr>
        <w:t> </w:t>
      </w:r>
      <w:r>
        <w:rPr/>
        <w:t>de</w:t>
      </w:r>
      <w:r>
        <w:rPr>
          <w:spacing w:val="-5"/>
        </w:rPr>
        <w:t> </w:t>
      </w:r>
      <w:r>
        <w:rPr/>
        <w:t>gasto</w:t>
      </w:r>
      <w:r>
        <w:rPr>
          <w:spacing w:val="-5"/>
        </w:rPr>
        <w:t> </w:t>
      </w:r>
      <w:r>
        <w:rPr/>
        <w:t>periodo</w:t>
      </w:r>
      <w:r>
        <w:rPr>
          <w:spacing w:val="-3"/>
        </w:rPr>
        <w:t> </w:t>
      </w:r>
      <w:r>
        <w:rPr/>
        <w:t>2026</w:t>
      </w:r>
      <w:r>
        <w:rPr>
          <w:spacing w:val="-3"/>
        </w:rPr>
        <w:t> </w:t>
      </w:r>
      <w:r>
        <w:rPr/>
        <w:t>y</w:t>
      </w:r>
      <w:r>
        <w:rPr>
          <w:spacing w:val="-3"/>
        </w:rPr>
        <w:t> </w:t>
      </w:r>
      <w:r>
        <w:rPr/>
        <w:t>2027,</w:t>
      </w:r>
      <w:r>
        <w:rPr>
          <w:spacing w:val="-1"/>
        </w:rPr>
        <w:t> </w:t>
      </w:r>
      <w:r>
        <w:rPr/>
        <w:t>según partidas en (Miles de colones)</w:t>
      </w:r>
    </w:p>
    <w:p>
      <w:pPr>
        <w:pStyle w:val="BodyText"/>
        <w:spacing w:before="46"/>
        <w:rPr>
          <w:b/>
          <w:sz w:val="20"/>
        </w:rPr>
      </w:pPr>
    </w:p>
    <w:tbl>
      <w:tblPr>
        <w:tblW w:w="0" w:type="auto"/>
        <w:jc w:val="left"/>
        <w:tblInd w:w="1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0"/>
        <w:gridCol w:w="2991"/>
        <w:gridCol w:w="1352"/>
        <w:gridCol w:w="1352"/>
        <w:gridCol w:w="1216"/>
        <w:gridCol w:w="1655"/>
      </w:tblGrid>
      <w:tr>
        <w:trPr>
          <w:trHeight w:val="225" w:hRule="atLeast"/>
        </w:trPr>
        <w:tc>
          <w:tcPr>
            <w:tcW w:w="790" w:type="dxa"/>
            <w:vMerge w:val="restart"/>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137"/>
              <w:ind w:left="69"/>
              <w:rPr>
                <w:b/>
                <w:sz w:val="16"/>
              </w:rPr>
            </w:pPr>
            <w:r>
              <w:rPr>
                <w:b/>
                <w:color w:val="FFFFFF"/>
                <w:spacing w:val="-2"/>
                <w:sz w:val="16"/>
              </w:rPr>
              <w:t>CODIGO</w:t>
            </w:r>
          </w:p>
        </w:tc>
        <w:tc>
          <w:tcPr>
            <w:tcW w:w="2991" w:type="dxa"/>
            <w:vMerge w:val="restart"/>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137"/>
              <w:ind w:left="11"/>
              <w:jc w:val="center"/>
              <w:rPr>
                <w:b/>
                <w:sz w:val="16"/>
              </w:rPr>
            </w:pPr>
            <w:r>
              <w:rPr>
                <w:b/>
                <w:color w:val="FFFFFF"/>
                <w:spacing w:val="-2"/>
                <w:sz w:val="16"/>
              </w:rPr>
              <w:t>PARTIDAS</w:t>
            </w:r>
          </w:p>
        </w:tc>
        <w:tc>
          <w:tcPr>
            <w:tcW w:w="1352" w:type="dxa"/>
            <w:vMerge w:val="restart"/>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46"/>
              <w:ind w:left="496" w:hanging="428"/>
              <w:rPr>
                <w:b/>
                <w:sz w:val="16"/>
              </w:rPr>
            </w:pPr>
            <w:r>
              <w:rPr>
                <w:b/>
                <w:color w:val="FFFFFF"/>
                <w:spacing w:val="-2"/>
                <w:sz w:val="16"/>
              </w:rPr>
              <w:t>PRESUPUESTO </w:t>
            </w:r>
            <w:r>
              <w:rPr>
                <w:b/>
                <w:color w:val="FFFFFF"/>
                <w:spacing w:val="-4"/>
                <w:sz w:val="16"/>
              </w:rPr>
              <w:t>2026</w:t>
            </w:r>
          </w:p>
        </w:tc>
        <w:tc>
          <w:tcPr>
            <w:tcW w:w="1352" w:type="dxa"/>
            <w:vMerge w:val="restart"/>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46"/>
              <w:ind w:left="495" w:hanging="428"/>
              <w:rPr>
                <w:b/>
                <w:sz w:val="16"/>
              </w:rPr>
            </w:pPr>
            <w:r>
              <w:rPr>
                <w:b/>
                <w:color w:val="FFFFFF"/>
                <w:spacing w:val="-2"/>
                <w:sz w:val="16"/>
              </w:rPr>
              <w:t>PRESUPUESTO </w:t>
            </w:r>
            <w:r>
              <w:rPr>
                <w:b/>
                <w:color w:val="FFFFFF"/>
                <w:spacing w:val="-4"/>
                <w:sz w:val="16"/>
              </w:rPr>
              <w:t>2027</w:t>
            </w:r>
          </w:p>
        </w:tc>
        <w:tc>
          <w:tcPr>
            <w:tcW w:w="2871" w:type="dxa"/>
            <w:gridSpan w:val="2"/>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20"/>
              <w:ind w:left="242"/>
              <w:rPr>
                <w:b/>
                <w:sz w:val="16"/>
              </w:rPr>
            </w:pPr>
            <w:r>
              <w:rPr>
                <w:b/>
                <w:color w:val="FFFFFF"/>
                <w:sz w:val="16"/>
              </w:rPr>
              <w:t>VARIACIÓN</w:t>
            </w:r>
            <w:r>
              <w:rPr>
                <w:b/>
                <w:color w:val="FFFFFF"/>
                <w:spacing w:val="-7"/>
                <w:sz w:val="16"/>
              </w:rPr>
              <w:t> </w:t>
            </w:r>
            <w:r>
              <w:rPr>
                <w:b/>
                <w:color w:val="FFFFFF"/>
                <w:sz w:val="16"/>
              </w:rPr>
              <w:t>ENTRE</w:t>
            </w:r>
            <w:r>
              <w:rPr>
                <w:b/>
                <w:color w:val="FFFFFF"/>
                <w:spacing w:val="-5"/>
                <w:sz w:val="16"/>
              </w:rPr>
              <w:t> </w:t>
            </w:r>
            <w:r>
              <w:rPr>
                <w:b/>
                <w:color w:val="FFFFFF"/>
                <w:spacing w:val="-2"/>
                <w:sz w:val="16"/>
              </w:rPr>
              <w:t>PERIODOS</w:t>
            </w:r>
          </w:p>
        </w:tc>
      </w:tr>
      <w:tr>
        <w:trPr>
          <w:trHeight w:val="225" w:hRule="atLeast"/>
        </w:trPr>
        <w:tc>
          <w:tcPr>
            <w:tcW w:w="790" w:type="dxa"/>
            <w:vMerge/>
            <w:tcBorders>
              <w:top w:val="nil"/>
              <w:left w:val="single" w:sz="4" w:space="0" w:color="000000"/>
              <w:bottom w:val="single" w:sz="4" w:space="0" w:color="000000"/>
              <w:right w:val="single" w:sz="4" w:space="0" w:color="000000"/>
            </w:tcBorders>
            <w:shd w:val="clear" w:color="auto" w:fill="0E233D"/>
          </w:tcPr>
          <w:p>
            <w:pPr>
              <w:rPr>
                <w:sz w:val="2"/>
                <w:szCs w:val="2"/>
              </w:rPr>
            </w:pPr>
          </w:p>
        </w:tc>
        <w:tc>
          <w:tcPr>
            <w:tcW w:w="2991" w:type="dxa"/>
            <w:vMerge/>
            <w:tcBorders>
              <w:top w:val="nil"/>
              <w:left w:val="single" w:sz="4" w:space="0" w:color="000000"/>
              <w:bottom w:val="single" w:sz="4" w:space="0" w:color="000000"/>
              <w:right w:val="single" w:sz="4" w:space="0" w:color="000000"/>
            </w:tcBorders>
            <w:shd w:val="clear" w:color="auto" w:fill="0E233D"/>
          </w:tcPr>
          <w:p>
            <w:pPr>
              <w:rPr>
                <w:sz w:val="2"/>
                <w:szCs w:val="2"/>
              </w:rPr>
            </w:pPr>
          </w:p>
        </w:tc>
        <w:tc>
          <w:tcPr>
            <w:tcW w:w="1352" w:type="dxa"/>
            <w:vMerge/>
            <w:tcBorders>
              <w:top w:val="nil"/>
              <w:left w:val="single" w:sz="4" w:space="0" w:color="000000"/>
              <w:bottom w:val="single" w:sz="4" w:space="0" w:color="000000"/>
              <w:right w:val="single" w:sz="4" w:space="0" w:color="000000"/>
            </w:tcBorders>
            <w:shd w:val="clear" w:color="auto" w:fill="0E233D"/>
          </w:tcPr>
          <w:p>
            <w:pPr>
              <w:rPr>
                <w:sz w:val="2"/>
                <w:szCs w:val="2"/>
              </w:rPr>
            </w:pPr>
          </w:p>
        </w:tc>
        <w:tc>
          <w:tcPr>
            <w:tcW w:w="1352" w:type="dxa"/>
            <w:vMerge/>
            <w:tcBorders>
              <w:top w:val="nil"/>
              <w:left w:val="single" w:sz="4" w:space="0" w:color="000000"/>
              <w:bottom w:val="single" w:sz="4" w:space="0" w:color="000000"/>
              <w:right w:val="single" w:sz="4" w:space="0" w:color="000000"/>
            </w:tcBorders>
            <w:shd w:val="clear" w:color="auto" w:fill="0E233D"/>
          </w:tcPr>
          <w:p>
            <w:pPr>
              <w:rPr>
                <w:sz w:val="2"/>
                <w:szCs w:val="2"/>
              </w:rPr>
            </w:pPr>
          </w:p>
        </w:tc>
        <w:tc>
          <w:tcPr>
            <w:tcW w:w="1216"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20"/>
              <w:ind w:left="158"/>
              <w:rPr>
                <w:b/>
                <w:sz w:val="16"/>
              </w:rPr>
            </w:pPr>
            <w:r>
              <w:rPr>
                <w:b/>
                <w:color w:val="FFFFFF"/>
                <w:spacing w:val="-2"/>
                <w:sz w:val="16"/>
              </w:rPr>
              <w:t>ABSOLUTA</w:t>
            </w:r>
          </w:p>
        </w:tc>
        <w:tc>
          <w:tcPr>
            <w:tcW w:w="1655"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20"/>
              <w:jc w:val="center"/>
              <w:rPr>
                <w:b/>
                <w:sz w:val="16"/>
              </w:rPr>
            </w:pPr>
            <w:r>
              <w:rPr>
                <w:b/>
                <w:color w:val="FFFFFF"/>
                <w:spacing w:val="-2"/>
                <w:sz w:val="16"/>
              </w:rPr>
              <w:t>RELATIVA</w:t>
            </w:r>
          </w:p>
        </w:tc>
      </w:tr>
      <w:tr>
        <w:trPr>
          <w:trHeight w:val="238" w:hRule="atLeast"/>
        </w:trPr>
        <w:tc>
          <w:tcPr>
            <w:tcW w:w="790" w:type="dxa"/>
            <w:tcBorders>
              <w:top w:val="single" w:sz="4" w:space="0" w:color="000000"/>
            </w:tcBorders>
          </w:tcPr>
          <w:p>
            <w:pPr>
              <w:pStyle w:val="TableParagraph"/>
              <w:spacing w:line="176" w:lineRule="exact" w:before="41"/>
              <w:ind w:left="9"/>
              <w:jc w:val="center"/>
              <w:rPr>
                <w:sz w:val="16"/>
              </w:rPr>
            </w:pPr>
            <w:r>
              <w:rPr>
                <w:spacing w:val="-10"/>
                <w:sz w:val="16"/>
              </w:rPr>
              <w:t>0</w:t>
            </w:r>
          </w:p>
        </w:tc>
        <w:tc>
          <w:tcPr>
            <w:tcW w:w="2991" w:type="dxa"/>
            <w:tcBorders>
              <w:top w:val="single" w:sz="4" w:space="0" w:color="000000"/>
            </w:tcBorders>
          </w:tcPr>
          <w:p>
            <w:pPr>
              <w:pStyle w:val="TableParagraph"/>
              <w:spacing w:line="176" w:lineRule="exact" w:before="41"/>
              <w:ind w:left="76"/>
              <w:rPr>
                <w:sz w:val="16"/>
              </w:rPr>
            </w:pPr>
            <w:r>
              <w:rPr>
                <w:spacing w:val="-2"/>
                <w:sz w:val="16"/>
              </w:rPr>
              <w:t>REMUNERACIONES</w:t>
            </w:r>
          </w:p>
        </w:tc>
        <w:tc>
          <w:tcPr>
            <w:tcW w:w="1352" w:type="dxa"/>
            <w:tcBorders>
              <w:top w:val="single" w:sz="4" w:space="0" w:color="000000"/>
            </w:tcBorders>
          </w:tcPr>
          <w:p>
            <w:pPr>
              <w:pStyle w:val="TableParagraph"/>
              <w:spacing w:before="20"/>
              <w:ind w:right="64"/>
              <w:jc w:val="right"/>
              <w:rPr>
                <w:sz w:val="16"/>
              </w:rPr>
            </w:pPr>
            <w:r>
              <w:rPr>
                <w:sz w:val="16"/>
              </w:rPr>
              <w:t>24</w:t>
            </w:r>
            <w:r>
              <w:rPr>
                <w:spacing w:val="-2"/>
                <w:sz w:val="16"/>
              </w:rPr>
              <w:t> </w:t>
            </w:r>
            <w:r>
              <w:rPr>
                <w:sz w:val="16"/>
              </w:rPr>
              <w:t>122</w:t>
            </w:r>
            <w:r>
              <w:rPr>
                <w:spacing w:val="-1"/>
                <w:sz w:val="16"/>
              </w:rPr>
              <w:t> </w:t>
            </w:r>
            <w:r>
              <w:rPr>
                <w:spacing w:val="-2"/>
                <w:sz w:val="16"/>
              </w:rPr>
              <w:t>584,57</w:t>
            </w:r>
          </w:p>
        </w:tc>
        <w:tc>
          <w:tcPr>
            <w:tcW w:w="1352" w:type="dxa"/>
            <w:tcBorders>
              <w:top w:val="single" w:sz="4" w:space="0" w:color="000000"/>
            </w:tcBorders>
          </w:tcPr>
          <w:p>
            <w:pPr>
              <w:pStyle w:val="TableParagraph"/>
              <w:spacing w:line="176" w:lineRule="exact" w:before="41"/>
              <w:ind w:right="64"/>
              <w:jc w:val="right"/>
              <w:rPr>
                <w:sz w:val="16"/>
              </w:rPr>
            </w:pPr>
            <w:r>
              <w:rPr>
                <w:sz w:val="16"/>
              </w:rPr>
              <w:t>25</w:t>
            </w:r>
            <w:r>
              <w:rPr>
                <w:spacing w:val="-2"/>
                <w:sz w:val="16"/>
              </w:rPr>
              <w:t> </w:t>
            </w:r>
            <w:r>
              <w:rPr>
                <w:sz w:val="16"/>
              </w:rPr>
              <w:t>380</w:t>
            </w:r>
            <w:r>
              <w:rPr>
                <w:spacing w:val="-1"/>
                <w:sz w:val="16"/>
              </w:rPr>
              <w:t> </w:t>
            </w:r>
            <w:r>
              <w:rPr>
                <w:spacing w:val="-2"/>
                <w:sz w:val="16"/>
              </w:rPr>
              <w:t>773,11</w:t>
            </w:r>
          </w:p>
        </w:tc>
        <w:tc>
          <w:tcPr>
            <w:tcW w:w="1216" w:type="dxa"/>
            <w:tcBorders>
              <w:top w:val="single" w:sz="4" w:space="0" w:color="000000"/>
            </w:tcBorders>
          </w:tcPr>
          <w:p>
            <w:pPr>
              <w:pStyle w:val="TableParagraph"/>
              <w:spacing w:line="176" w:lineRule="exact" w:before="41"/>
              <w:ind w:right="63"/>
              <w:jc w:val="right"/>
              <w:rPr>
                <w:sz w:val="16"/>
              </w:rPr>
            </w:pPr>
            <w:r>
              <w:rPr>
                <w:sz w:val="16"/>
              </w:rPr>
              <w:t>1</w:t>
            </w:r>
            <w:r>
              <w:rPr>
                <w:spacing w:val="-1"/>
                <w:sz w:val="16"/>
              </w:rPr>
              <w:t> </w:t>
            </w:r>
            <w:r>
              <w:rPr>
                <w:sz w:val="16"/>
              </w:rPr>
              <w:t>258</w:t>
            </w:r>
            <w:r>
              <w:rPr>
                <w:spacing w:val="-1"/>
                <w:sz w:val="16"/>
              </w:rPr>
              <w:t> </w:t>
            </w:r>
            <w:r>
              <w:rPr>
                <w:spacing w:val="-2"/>
                <w:sz w:val="16"/>
              </w:rPr>
              <w:t>188,54</w:t>
            </w:r>
          </w:p>
        </w:tc>
        <w:tc>
          <w:tcPr>
            <w:tcW w:w="1655" w:type="dxa"/>
            <w:tcBorders>
              <w:top w:val="single" w:sz="4" w:space="0" w:color="000000"/>
            </w:tcBorders>
          </w:tcPr>
          <w:p>
            <w:pPr>
              <w:pStyle w:val="TableParagraph"/>
              <w:spacing w:line="176" w:lineRule="exact" w:before="41"/>
              <w:ind w:left="1" w:right="1"/>
              <w:jc w:val="center"/>
              <w:rPr>
                <w:sz w:val="16"/>
              </w:rPr>
            </w:pPr>
            <w:r>
              <w:rPr>
                <w:spacing w:val="-2"/>
                <w:sz w:val="16"/>
              </w:rPr>
              <w:t>5,22%</w:t>
            </w:r>
          </w:p>
        </w:tc>
      </w:tr>
      <w:tr>
        <w:trPr>
          <w:trHeight w:val="224" w:hRule="atLeast"/>
        </w:trPr>
        <w:tc>
          <w:tcPr>
            <w:tcW w:w="790" w:type="dxa"/>
          </w:tcPr>
          <w:p>
            <w:pPr>
              <w:pStyle w:val="TableParagraph"/>
              <w:spacing w:line="178" w:lineRule="exact" w:before="27"/>
              <w:ind w:left="9"/>
              <w:jc w:val="center"/>
              <w:rPr>
                <w:sz w:val="16"/>
              </w:rPr>
            </w:pPr>
            <w:r>
              <w:rPr>
                <w:spacing w:val="-10"/>
                <w:sz w:val="16"/>
              </w:rPr>
              <w:t>1</w:t>
            </w:r>
          </w:p>
        </w:tc>
        <w:tc>
          <w:tcPr>
            <w:tcW w:w="2991" w:type="dxa"/>
          </w:tcPr>
          <w:p>
            <w:pPr>
              <w:pStyle w:val="TableParagraph"/>
              <w:spacing w:line="178" w:lineRule="exact" w:before="27"/>
              <w:ind w:left="76"/>
              <w:rPr>
                <w:sz w:val="16"/>
              </w:rPr>
            </w:pPr>
            <w:r>
              <w:rPr>
                <w:spacing w:val="-2"/>
                <w:sz w:val="16"/>
              </w:rPr>
              <w:t>SERVICIOS</w:t>
            </w:r>
          </w:p>
        </w:tc>
        <w:tc>
          <w:tcPr>
            <w:tcW w:w="1352" w:type="dxa"/>
          </w:tcPr>
          <w:p>
            <w:pPr>
              <w:pStyle w:val="TableParagraph"/>
              <w:spacing w:before="7"/>
              <w:ind w:right="64"/>
              <w:jc w:val="right"/>
              <w:rPr>
                <w:sz w:val="16"/>
              </w:rPr>
            </w:pPr>
            <w:r>
              <w:rPr>
                <w:sz w:val="16"/>
              </w:rPr>
              <w:t>15</w:t>
            </w:r>
            <w:r>
              <w:rPr>
                <w:spacing w:val="-2"/>
                <w:sz w:val="16"/>
              </w:rPr>
              <w:t> </w:t>
            </w:r>
            <w:r>
              <w:rPr>
                <w:sz w:val="16"/>
              </w:rPr>
              <w:t>094</w:t>
            </w:r>
            <w:r>
              <w:rPr>
                <w:spacing w:val="-1"/>
                <w:sz w:val="16"/>
              </w:rPr>
              <w:t> </w:t>
            </w:r>
            <w:r>
              <w:rPr>
                <w:spacing w:val="-2"/>
                <w:sz w:val="16"/>
              </w:rPr>
              <w:t>088,34</w:t>
            </w:r>
          </w:p>
        </w:tc>
        <w:tc>
          <w:tcPr>
            <w:tcW w:w="1352" w:type="dxa"/>
          </w:tcPr>
          <w:p>
            <w:pPr>
              <w:pStyle w:val="TableParagraph"/>
              <w:spacing w:line="178" w:lineRule="exact" w:before="27"/>
              <w:ind w:right="64"/>
              <w:jc w:val="right"/>
              <w:rPr>
                <w:sz w:val="16"/>
              </w:rPr>
            </w:pPr>
            <w:r>
              <w:rPr>
                <w:sz w:val="16"/>
              </w:rPr>
              <w:t>15</w:t>
            </w:r>
            <w:r>
              <w:rPr>
                <w:spacing w:val="-2"/>
                <w:sz w:val="16"/>
              </w:rPr>
              <w:t> </w:t>
            </w:r>
            <w:r>
              <w:rPr>
                <w:sz w:val="16"/>
              </w:rPr>
              <w:t>497</w:t>
            </w:r>
            <w:r>
              <w:rPr>
                <w:spacing w:val="-1"/>
                <w:sz w:val="16"/>
              </w:rPr>
              <w:t> </w:t>
            </w:r>
            <w:r>
              <w:rPr>
                <w:spacing w:val="-2"/>
                <w:sz w:val="16"/>
              </w:rPr>
              <w:t>577,40</w:t>
            </w:r>
          </w:p>
        </w:tc>
        <w:tc>
          <w:tcPr>
            <w:tcW w:w="1216" w:type="dxa"/>
          </w:tcPr>
          <w:p>
            <w:pPr>
              <w:pStyle w:val="TableParagraph"/>
              <w:spacing w:line="178" w:lineRule="exact" w:before="27"/>
              <w:ind w:right="65"/>
              <w:jc w:val="right"/>
              <w:rPr>
                <w:sz w:val="16"/>
              </w:rPr>
            </w:pPr>
            <w:r>
              <w:rPr>
                <w:sz w:val="16"/>
              </w:rPr>
              <w:t>403</w:t>
            </w:r>
            <w:r>
              <w:rPr>
                <w:spacing w:val="-2"/>
                <w:sz w:val="16"/>
              </w:rPr>
              <w:t> 489,05</w:t>
            </w:r>
          </w:p>
        </w:tc>
        <w:tc>
          <w:tcPr>
            <w:tcW w:w="1655" w:type="dxa"/>
          </w:tcPr>
          <w:p>
            <w:pPr>
              <w:pStyle w:val="TableParagraph"/>
              <w:spacing w:line="178" w:lineRule="exact" w:before="27"/>
              <w:ind w:left="1" w:right="1"/>
              <w:jc w:val="center"/>
              <w:rPr>
                <w:sz w:val="16"/>
              </w:rPr>
            </w:pPr>
            <w:r>
              <w:rPr>
                <w:spacing w:val="-2"/>
                <w:sz w:val="16"/>
              </w:rPr>
              <w:t>2,67%</w:t>
            </w:r>
          </w:p>
        </w:tc>
      </w:tr>
      <w:tr>
        <w:trPr>
          <w:trHeight w:val="224" w:hRule="atLeast"/>
        </w:trPr>
        <w:tc>
          <w:tcPr>
            <w:tcW w:w="790" w:type="dxa"/>
          </w:tcPr>
          <w:p>
            <w:pPr>
              <w:pStyle w:val="TableParagraph"/>
              <w:spacing w:line="176" w:lineRule="exact" w:before="28"/>
              <w:ind w:left="9"/>
              <w:jc w:val="center"/>
              <w:rPr>
                <w:sz w:val="16"/>
              </w:rPr>
            </w:pPr>
            <w:r>
              <w:rPr>
                <w:spacing w:val="-10"/>
                <w:sz w:val="16"/>
              </w:rPr>
              <w:t>2</w:t>
            </w:r>
          </w:p>
        </w:tc>
        <w:tc>
          <w:tcPr>
            <w:tcW w:w="2991" w:type="dxa"/>
          </w:tcPr>
          <w:p>
            <w:pPr>
              <w:pStyle w:val="TableParagraph"/>
              <w:spacing w:line="176" w:lineRule="exact" w:before="28"/>
              <w:ind w:left="76"/>
              <w:rPr>
                <w:sz w:val="16"/>
              </w:rPr>
            </w:pPr>
            <w:r>
              <w:rPr>
                <w:sz w:val="16"/>
              </w:rPr>
              <w:t>MATERIALES</w:t>
            </w:r>
            <w:r>
              <w:rPr>
                <w:spacing w:val="-6"/>
                <w:sz w:val="16"/>
              </w:rPr>
              <w:t> </w:t>
            </w:r>
            <w:r>
              <w:rPr>
                <w:sz w:val="16"/>
              </w:rPr>
              <w:t>Y</w:t>
            </w:r>
            <w:r>
              <w:rPr>
                <w:spacing w:val="-5"/>
                <w:sz w:val="16"/>
              </w:rPr>
              <w:t> </w:t>
            </w:r>
            <w:r>
              <w:rPr>
                <w:spacing w:val="-2"/>
                <w:sz w:val="16"/>
              </w:rPr>
              <w:t>SUMINISTROS</w:t>
            </w:r>
          </w:p>
        </w:tc>
        <w:tc>
          <w:tcPr>
            <w:tcW w:w="1352" w:type="dxa"/>
          </w:tcPr>
          <w:p>
            <w:pPr>
              <w:pStyle w:val="TableParagraph"/>
              <w:spacing w:before="9"/>
              <w:ind w:right="64"/>
              <w:jc w:val="right"/>
              <w:rPr>
                <w:sz w:val="16"/>
              </w:rPr>
            </w:pPr>
            <w:r>
              <w:rPr>
                <w:sz w:val="16"/>
              </w:rPr>
              <w:t>15</w:t>
            </w:r>
            <w:r>
              <w:rPr>
                <w:spacing w:val="-2"/>
                <w:sz w:val="16"/>
              </w:rPr>
              <w:t> </w:t>
            </w:r>
            <w:r>
              <w:rPr>
                <w:sz w:val="16"/>
              </w:rPr>
              <w:t>934</w:t>
            </w:r>
            <w:r>
              <w:rPr>
                <w:spacing w:val="-1"/>
                <w:sz w:val="16"/>
              </w:rPr>
              <w:t> </w:t>
            </w:r>
            <w:r>
              <w:rPr>
                <w:spacing w:val="-2"/>
                <w:sz w:val="16"/>
              </w:rPr>
              <w:t>815,38</w:t>
            </w:r>
          </w:p>
        </w:tc>
        <w:tc>
          <w:tcPr>
            <w:tcW w:w="1352" w:type="dxa"/>
          </w:tcPr>
          <w:p>
            <w:pPr>
              <w:pStyle w:val="TableParagraph"/>
              <w:spacing w:line="176" w:lineRule="exact" w:before="28"/>
              <w:ind w:right="64"/>
              <w:jc w:val="right"/>
              <w:rPr>
                <w:sz w:val="16"/>
              </w:rPr>
            </w:pPr>
            <w:r>
              <w:rPr>
                <w:sz w:val="16"/>
              </w:rPr>
              <w:t>13</w:t>
            </w:r>
            <w:r>
              <w:rPr>
                <w:spacing w:val="-2"/>
                <w:sz w:val="16"/>
              </w:rPr>
              <w:t> </w:t>
            </w:r>
            <w:r>
              <w:rPr>
                <w:sz w:val="16"/>
              </w:rPr>
              <w:t>052</w:t>
            </w:r>
            <w:r>
              <w:rPr>
                <w:spacing w:val="-1"/>
                <w:sz w:val="16"/>
              </w:rPr>
              <w:t> </w:t>
            </w:r>
            <w:r>
              <w:rPr>
                <w:spacing w:val="-2"/>
                <w:sz w:val="16"/>
              </w:rPr>
              <w:t>052,76</w:t>
            </w:r>
          </w:p>
        </w:tc>
        <w:tc>
          <w:tcPr>
            <w:tcW w:w="1216" w:type="dxa"/>
          </w:tcPr>
          <w:p>
            <w:pPr>
              <w:pStyle w:val="TableParagraph"/>
              <w:spacing w:line="176" w:lineRule="exact" w:before="28"/>
              <w:ind w:right="63"/>
              <w:jc w:val="right"/>
              <w:rPr>
                <w:sz w:val="16"/>
              </w:rPr>
            </w:pPr>
            <w:r>
              <w:rPr>
                <w:sz w:val="16"/>
              </w:rPr>
              <w:t>-2</w:t>
            </w:r>
            <w:r>
              <w:rPr>
                <w:spacing w:val="-2"/>
                <w:sz w:val="16"/>
              </w:rPr>
              <w:t> </w:t>
            </w:r>
            <w:r>
              <w:rPr>
                <w:sz w:val="16"/>
              </w:rPr>
              <w:t>882</w:t>
            </w:r>
            <w:r>
              <w:rPr>
                <w:spacing w:val="-1"/>
                <w:sz w:val="16"/>
              </w:rPr>
              <w:t> </w:t>
            </w:r>
            <w:r>
              <w:rPr>
                <w:spacing w:val="-2"/>
                <w:sz w:val="16"/>
              </w:rPr>
              <w:t>762,62</w:t>
            </w:r>
          </w:p>
        </w:tc>
        <w:tc>
          <w:tcPr>
            <w:tcW w:w="1655" w:type="dxa"/>
          </w:tcPr>
          <w:p>
            <w:pPr>
              <w:pStyle w:val="TableParagraph"/>
              <w:spacing w:line="176" w:lineRule="exact" w:before="28"/>
              <w:ind w:left="1"/>
              <w:jc w:val="center"/>
              <w:rPr>
                <w:sz w:val="16"/>
              </w:rPr>
            </w:pPr>
            <w:r>
              <w:rPr>
                <w:spacing w:val="-2"/>
                <w:sz w:val="16"/>
              </w:rPr>
              <w:t>-18,09%</w:t>
            </w:r>
          </w:p>
        </w:tc>
      </w:tr>
      <w:tr>
        <w:trPr>
          <w:trHeight w:val="225" w:hRule="atLeast"/>
        </w:trPr>
        <w:tc>
          <w:tcPr>
            <w:tcW w:w="790" w:type="dxa"/>
          </w:tcPr>
          <w:p>
            <w:pPr>
              <w:pStyle w:val="TableParagraph"/>
              <w:spacing w:line="176" w:lineRule="exact" w:before="29"/>
              <w:ind w:left="9"/>
              <w:jc w:val="center"/>
              <w:rPr>
                <w:sz w:val="16"/>
              </w:rPr>
            </w:pPr>
            <w:r>
              <w:rPr>
                <w:spacing w:val="-10"/>
                <w:sz w:val="16"/>
              </w:rPr>
              <w:t>5</w:t>
            </w:r>
          </w:p>
        </w:tc>
        <w:tc>
          <w:tcPr>
            <w:tcW w:w="2991" w:type="dxa"/>
          </w:tcPr>
          <w:p>
            <w:pPr>
              <w:pStyle w:val="TableParagraph"/>
              <w:spacing w:line="176" w:lineRule="exact" w:before="29"/>
              <w:ind w:left="76"/>
              <w:rPr>
                <w:sz w:val="16"/>
              </w:rPr>
            </w:pPr>
            <w:r>
              <w:rPr>
                <w:sz w:val="16"/>
              </w:rPr>
              <w:t>BIENES</w:t>
            </w:r>
            <w:r>
              <w:rPr>
                <w:spacing w:val="-4"/>
                <w:sz w:val="16"/>
              </w:rPr>
              <w:t> </w:t>
            </w:r>
            <w:r>
              <w:rPr>
                <w:spacing w:val="-2"/>
                <w:sz w:val="16"/>
              </w:rPr>
              <w:t>DURADEROS</w:t>
            </w:r>
          </w:p>
        </w:tc>
        <w:tc>
          <w:tcPr>
            <w:tcW w:w="1352" w:type="dxa"/>
          </w:tcPr>
          <w:p>
            <w:pPr>
              <w:pStyle w:val="TableParagraph"/>
              <w:spacing w:before="7"/>
              <w:ind w:right="64"/>
              <w:jc w:val="right"/>
              <w:rPr>
                <w:sz w:val="16"/>
              </w:rPr>
            </w:pPr>
            <w:r>
              <w:rPr>
                <w:sz w:val="16"/>
              </w:rPr>
              <w:t>6</w:t>
            </w:r>
            <w:r>
              <w:rPr>
                <w:spacing w:val="-1"/>
                <w:sz w:val="16"/>
              </w:rPr>
              <w:t> </w:t>
            </w:r>
            <w:r>
              <w:rPr>
                <w:sz w:val="16"/>
              </w:rPr>
              <w:t>202</w:t>
            </w:r>
            <w:r>
              <w:rPr>
                <w:spacing w:val="-1"/>
                <w:sz w:val="16"/>
              </w:rPr>
              <w:t> </w:t>
            </w:r>
            <w:r>
              <w:rPr>
                <w:spacing w:val="-2"/>
                <w:sz w:val="16"/>
              </w:rPr>
              <w:t>034,34</w:t>
            </w:r>
          </w:p>
        </w:tc>
        <w:tc>
          <w:tcPr>
            <w:tcW w:w="1352" w:type="dxa"/>
          </w:tcPr>
          <w:p>
            <w:pPr>
              <w:pStyle w:val="TableParagraph"/>
              <w:spacing w:line="176" w:lineRule="exact" w:before="29"/>
              <w:ind w:right="64"/>
              <w:jc w:val="right"/>
              <w:rPr>
                <w:sz w:val="16"/>
              </w:rPr>
            </w:pPr>
            <w:r>
              <w:rPr>
                <w:sz w:val="16"/>
              </w:rPr>
              <w:t>4</w:t>
            </w:r>
            <w:r>
              <w:rPr>
                <w:spacing w:val="-1"/>
                <w:sz w:val="16"/>
              </w:rPr>
              <w:t> </w:t>
            </w:r>
            <w:r>
              <w:rPr>
                <w:sz w:val="16"/>
              </w:rPr>
              <w:t>094</w:t>
            </w:r>
            <w:r>
              <w:rPr>
                <w:spacing w:val="-1"/>
                <w:sz w:val="16"/>
              </w:rPr>
              <w:t> </w:t>
            </w:r>
            <w:r>
              <w:rPr>
                <w:spacing w:val="-2"/>
                <w:sz w:val="16"/>
              </w:rPr>
              <w:t>702,04</w:t>
            </w:r>
          </w:p>
        </w:tc>
        <w:tc>
          <w:tcPr>
            <w:tcW w:w="1216" w:type="dxa"/>
          </w:tcPr>
          <w:p>
            <w:pPr>
              <w:pStyle w:val="TableParagraph"/>
              <w:spacing w:line="176" w:lineRule="exact" w:before="29"/>
              <w:ind w:right="63"/>
              <w:jc w:val="right"/>
              <w:rPr>
                <w:sz w:val="16"/>
              </w:rPr>
            </w:pPr>
            <w:r>
              <w:rPr>
                <w:sz w:val="16"/>
              </w:rPr>
              <w:t>-2</w:t>
            </w:r>
            <w:r>
              <w:rPr>
                <w:spacing w:val="-2"/>
                <w:sz w:val="16"/>
              </w:rPr>
              <w:t> </w:t>
            </w:r>
            <w:r>
              <w:rPr>
                <w:sz w:val="16"/>
              </w:rPr>
              <w:t>107</w:t>
            </w:r>
            <w:r>
              <w:rPr>
                <w:spacing w:val="-1"/>
                <w:sz w:val="16"/>
              </w:rPr>
              <w:t> </w:t>
            </w:r>
            <w:r>
              <w:rPr>
                <w:spacing w:val="-2"/>
                <w:sz w:val="16"/>
              </w:rPr>
              <w:t>332,29</w:t>
            </w:r>
          </w:p>
        </w:tc>
        <w:tc>
          <w:tcPr>
            <w:tcW w:w="1655" w:type="dxa"/>
          </w:tcPr>
          <w:p>
            <w:pPr>
              <w:pStyle w:val="TableParagraph"/>
              <w:spacing w:line="176" w:lineRule="exact" w:before="29"/>
              <w:ind w:left="1"/>
              <w:jc w:val="center"/>
              <w:rPr>
                <w:sz w:val="16"/>
              </w:rPr>
            </w:pPr>
            <w:r>
              <w:rPr>
                <w:spacing w:val="-2"/>
                <w:sz w:val="16"/>
              </w:rPr>
              <w:t>-33,98%</w:t>
            </w:r>
          </w:p>
        </w:tc>
      </w:tr>
      <w:tr>
        <w:trPr>
          <w:trHeight w:val="225" w:hRule="atLeast"/>
        </w:trPr>
        <w:tc>
          <w:tcPr>
            <w:tcW w:w="790" w:type="dxa"/>
          </w:tcPr>
          <w:p>
            <w:pPr>
              <w:pStyle w:val="TableParagraph"/>
              <w:spacing w:line="177" w:lineRule="exact" w:before="29"/>
              <w:ind w:left="9"/>
              <w:jc w:val="center"/>
              <w:rPr>
                <w:sz w:val="16"/>
              </w:rPr>
            </w:pPr>
            <w:r>
              <w:rPr>
                <w:spacing w:val="-10"/>
                <w:sz w:val="16"/>
              </w:rPr>
              <w:t>6</w:t>
            </w:r>
          </w:p>
        </w:tc>
        <w:tc>
          <w:tcPr>
            <w:tcW w:w="2991" w:type="dxa"/>
          </w:tcPr>
          <w:p>
            <w:pPr>
              <w:pStyle w:val="TableParagraph"/>
              <w:spacing w:line="177" w:lineRule="exact" w:before="29"/>
              <w:ind w:left="76"/>
              <w:rPr>
                <w:sz w:val="16"/>
              </w:rPr>
            </w:pPr>
            <w:r>
              <w:rPr>
                <w:spacing w:val="-2"/>
                <w:sz w:val="16"/>
              </w:rPr>
              <w:t>TRANSFERENCIAS</w:t>
            </w:r>
            <w:r>
              <w:rPr>
                <w:spacing w:val="16"/>
                <w:sz w:val="16"/>
              </w:rPr>
              <w:t> </w:t>
            </w:r>
            <w:r>
              <w:rPr>
                <w:spacing w:val="-2"/>
                <w:sz w:val="16"/>
              </w:rPr>
              <w:t>CORRIENTES</w:t>
            </w:r>
          </w:p>
        </w:tc>
        <w:tc>
          <w:tcPr>
            <w:tcW w:w="1352" w:type="dxa"/>
          </w:tcPr>
          <w:p>
            <w:pPr>
              <w:pStyle w:val="TableParagraph"/>
              <w:spacing w:before="7"/>
              <w:ind w:right="64"/>
              <w:jc w:val="right"/>
              <w:rPr>
                <w:sz w:val="16"/>
              </w:rPr>
            </w:pPr>
            <w:r>
              <w:rPr>
                <w:sz w:val="16"/>
              </w:rPr>
              <w:t>186</w:t>
            </w:r>
            <w:r>
              <w:rPr>
                <w:spacing w:val="-2"/>
                <w:sz w:val="16"/>
              </w:rPr>
              <w:t> </w:t>
            </w:r>
            <w:r>
              <w:rPr>
                <w:sz w:val="16"/>
              </w:rPr>
              <w:t>722</w:t>
            </w:r>
            <w:r>
              <w:rPr>
                <w:spacing w:val="-2"/>
                <w:sz w:val="16"/>
              </w:rPr>
              <w:t> 781,08</w:t>
            </w:r>
          </w:p>
        </w:tc>
        <w:tc>
          <w:tcPr>
            <w:tcW w:w="1352" w:type="dxa"/>
          </w:tcPr>
          <w:p>
            <w:pPr>
              <w:pStyle w:val="TableParagraph"/>
              <w:spacing w:line="177" w:lineRule="exact" w:before="29"/>
              <w:ind w:right="64"/>
              <w:jc w:val="right"/>
              <w:rPr>
                <w:sz w:val="16"/>
              </w:rPr>
            </w:pPr>
            <w:r>
              <w:rPr>
                <w:sz w:val="16"/>
              </w:rPr>
              <w:t>177</w:t>
            </w:r>
            <w:r>
              <w:rPr>
                <w:spacing w:val="-2"/>
                <w:sz w:val="16"/>
              </w:rPr>
              <w:t> </w:t>
            </w:r>
            <w:r>
              <w:rPr>
                <w:sz w:val="16"/>
              </w:rPr>
              <w:t>401</w:t>
            </w:r>
            <w:r>
              <w:rPr>
                <w:spacing w:val="-2"/>
                <w:sz w:val="16"/>
              </w:rPr>
              <w:t> 687,21</w:t>
            </w:r>
          </w:p>
        </w:tc>
        <w:tc>
          <w:tcPr>
            <w:tcW w:w="1216" w:type="dxa"/>
          </w:tcPr>
          <w:p>
            <w:pPr>
              <w:pStyle w:val="TableParagraph"/>
              <w:spacing w:line="177" w:lineRule="exact" w:before="29"/>
              <w:ind w:right="63"/>
              <w:jc w:val="right"/>
              <w:rPr>
                <w:sz w:val="16"/>
              </w:rPr>
            </w:pPr>
            <w:r>
              <w:rPr>
                <w:sz w:val="16"/>
              </w:rPr>
              <w:t>-9</w:t>
            </w:r>
            <w:r>
              <w:rPr>
                <w:spacing w:val="-2"/>
                <w:sz w:val="16"/>
              </w:rPr>
              <w:t> </w:t>
            </w:r>
            <w:r>
              <w:rPr>
                <w:sz w:val="16"/>
              </w:rPr>
              <w:t>321</w:t>
            </w:r>
            <w:r>
              <w:rPr>
                <w:spacing w:val="-1"/>
                <w:sz w:val="16"/>
              </w:rPr>
              <w:t> </w:t>
            </w:r>
            <w:r>
              <w:rPr>
                <w:spacing w:val="-2"/>
                <w:sz w:val="16"/>
              </w:rPr>
              <w:t>093,88</w:t>
            </w:r>
          </w:p>
        </w:tc>
        <w:tc>
          <w:tcPr>
            <w:tcW w:w="1655" w:type="dxa"/>
          </w:tcPr>
          <w:p>
            <w:pPr>
              <w:pStyle w:val="TableParagraph"/>
              <w:spacing w:line="177" w:lineRule="exact" w:before="29"/>
              <w:ind w:left="1" w:right="1"/>
              <w:jc w:val="center"/>
              <w:rPr>
                <w:sz w:val="16"/>
              </w:rPr>
            </w:pPr>
            <w:r>
              <w:rPr>
                <w:spacing w:val="-2"/>
                <w:sz w:val="16"/>
              </w:rPr>
              <w:t>-4,99%</w:t>
            </w:r>
          </w:p>
        </w:tc>
      </w:tr>
      <w:tr>
        <w:trPr>
          <w:trHeight w:val="210" w:hRule="atLeast"/>
        </w:trPr>
        <w:tc>
          <w:tcPr>
            <w:tcW w:w="790" w:type="dxa"/>
            <w:tcBorders>
              <w:bottom w:val="single" w:sz="4" w:space="0" w:color="000000"/>
            </w:tcBorders>
          </w:tcPr>
          <w:p>
            <w:pPr>
              <w:pStyle w:val="TableParagraph"/>
              <w:spacing w:line="163" w:lineRule="exact" w:before="27"/>
              <w:ind w:left="9"/>
              <w:jc w:val="center"/>
              <w:rPr>
                <w:sz w:val="16"/>
              </w:rPr>
            </w:pPr>
            <w:r>
              <w:rPr>
                <w:spacing w:val="-10"/>
                <w:sz w:val="16"/>
              </w:rPr>
              <w:t>7</w:t>
            </w:r>
          </w:p>
        </w:tc>
        <w:tc>
          <w:tcPr>
            <w:tcW w:w="2991" w:type="dxa"/>
            <w:tcBorders>
              <w:bottom w:val="single" w:sz="4" w:space="0" w:color="000000"/>
            </w:tcBorders>
          </w:tcPr>
          <w:p>
            <w:pPr>
              <w:pStyle w:val="TableParagraph"/>
              <w:spacing w:line="163" w:lineRule="exact" w:before="27"/>
              <w:ind w:left="76"/>
              <w:rPr>
                <w:sz w:val="16"/>
              </w:rPr>
            </w:pPr>
            <w:r>
              <w:rPr>
                <w:sz w:val="16"/>
              </w:rPr>
              <w:t>TRANSFERENCIAS</w:t>
            </w:r>
            <w:r>
              <w:rPr>
                <w:spacing w:val="-7"/>
                <w:sz w:val="16"/>
              </w:rPr>
              <w:t> </w:t>
            </w:r>
            <w:r>
              <w:rPr>
                <w:sz w:val="16"/>
              </w:rPr>
              <w:t>DE</w:t>
            </w:r>
            <w:r>
              <w:rPr>
                <w:spacing w:val="-7"/>
                <w:sz w:val="16"/>
              </w:rPr>
              <w:t> </w:t>
            </w:r>
            <w:r>
              <w:rPr>
                <w:spacing w:val="-2"/>
                <w:sz w:val="16"/>
              </w:rPr>
              <w:t>CAPITAL</w:t>
            </w:r>
          </w:p>
        </w:tc>
        <w:tc>
          <w:tcPr>
            <w:tcW w:w="1352" w:type="dxa"/>
            <w:tcBorders>
              <w:bottom w:val="single" w:sz="4" w:space="0" w:color="000000"/>
            </w:tcBorders>
          </w:tcPr>
          <w:p>
            <w:pPr>
              <w:pStyle w:val="TableParagraph"/>
              <w:spacing w:line="183" w:lineRule="exact" w:before="8"/>
              <w:ind w:right="64"/>
              <w:jc w:val="right"/>
              <w:rPr>
                <w:sz w:val="16"/>
              </w:rPr>
            </w:pPr>
            <w:r>
              <w:rPr>
                <w:sz w:val="16"/>
              </w:rPr>
              <w:t>1</w:t>
            </w:r>
            <w:r>
              <w:rPr>
                <w:spacing w:val="-1"/>
                <w:sz w:val="16"/>
              </w:rPr>
              <w:t> </w:t>
            </w:r>
            <w:r>
              <w:rPr>
                <w:sz w:val="16"/>
              </w:rPr>
              <w:t>141</w:t>
            </w:r>
            <w:r>
              <w:rPr>
                <w:spacing w:val="-1"/>
                <w:sz w:val="16"/>
              </w:rPr>
              <w:t> </w:t>
            </w:r>
            <w:r>
              <w:rPr>
                <w:spacing w:val="-2"/>
                <w:sz w:val="16"/>
              </w:rPr>
              <w:t>869,55</w:t>
            </w:r>
          </w:p>
        </w:tc>
        <w:tc>
          <w:tcPr>
            <w:tcW w:w="1352" w:type="dxa"/>
            <w:tcBorders>
              <w:bottom w:val="single" w:sz="4" w:space="0" w:color="000000"/>
            </w:tcBorders>
          </w:tcPr>
          <w:p>
            <w:pPr>
              <w:pStyle w:val="TableParagraph"/>
              <w:spacing w:line="163" w:lineRule="exact" w:before="27"/>
              <w:ind w:right="66"/>
              <w:jc w:val="right"/>
              <w:rPr>
                <w:sz w:val="16"/>
              </w:rPr>
            </w:pPr>
            <w:r>
              <w:rPr>
                <w:sz w:val="16"/>
              </w:rPr>
              <w:t>756</w:t>
            </w:r>
            <w:r>
              <w:rPr>
                <w:spacing w:val="-2"/>
                <w:sz w:val="16"/>
              </w:rPr>
              <w:t> 749,80</w:t>
            </w:r>
          </w:p>
        </w:tc>
        <w:tc>
          <w:tcPr>
            <w:tcW w:w="1216" w:type="dxa"/>
            <w:tcBorders>
              <w:bottom w:val="single" w:sz="4" w:space="0" w:color="000000"/>
            </w:tcBorders>
          </w:tcPr>
          <w:p>
            <w:pPr>
              <w:pStyle w:val="TableParagraph"/>
              <w:spacing w:line="163" w:lineRule="exact" w:before="27"/>
              <w:ind w:right="65"/>
              <w:jc w:val="right"/>
              <w:rPr>
                <w:sz w:val="16"/>
              </w:rPr>
            </w:pPr>
            <w:r>
              <w:rPr>
                <w:sz w:val="16"/>
              </w:rPr>
              <w:t>-385</w:t>
            </w:r>
            <w:r>
              <w:rPr>
                <w:spacing w:val="-3"/>
                <w:sz w:val="16"/>
              </w:rPr>
              <w:t> </w:t>
            </w:r>
            <w:r>
              <w:rPr>
                <w:spacing w:val="-2"/>
                <w:sz w:val="16"/>
              </w:rPr>
              <w:t>119,75</w:t>
            </w:r>
          </w:p>
        </w:tc>
        <w:tc>
          <w:tcPr>
            <w:tcW w:w="1655" w:type="dxa"/>
            <w:tcBorders>
              <w:bottom w:val="single" w:sz="4" w:space="0" w:color="000000"/>
            </w:tcBorders>
          </w:tcPr>
          <w:p>
            <w:pPr>
              <w:pStyle w:val="TableParagraph"/>
              <w:spacing w:line="163" w:lineRule="exact" w:before="27"/>
              <w:ind w:left="1"/>
              <w:jc w:val="center"/>
              <w:rPr>
                <w:sz w:val="16"/>
              </w:rPr>
            </w:pPr>
            <w:r>
              <w:rPr>
                <w:spacing w:val="-2"/>
                <w:sz w:val="16"/>
              </w:rPr>
              <w:t>-33,73%</w:t>
            </w:r>
          </w:p>
        </w:tc>
      </w:tr>
      <w:tr>
        <w:trPr>
          <w:trHeight w:val="225" w:hRule="atLeast"/>
        </w:trPr>
        <w:tc>
          <w:tcPr>
            <w:tcW w:w="3781" w:type="dxa"/>
            <w:gridSpan w:val="2"/>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3" w:lineRule="exact" w:before="41"/>
              <w:ind w:left="69"/>
              <w:rPr>
                <w:b/>
                <w:sz w:val="16"/>
              </w:rPr>
            </w:pPr>
            <w:r>
              <w:rPr>
                <w:b/>
                <w:color w:val="FFFFFF"/>
                <w:spacing w:val="-2"/>
                <w:sz w:val="16"/>
              </w:rPr>
              <w:t>TOTAL</w:t>
            </w:r>
          </w:p>
        </w:tc>
        <w:tc>
          <w:tcPr>
            <w:tcW w:w="1352"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3" w:lineRule="exact" w:before="41"/>
              <w:ind w:right="59"/>
              <w:jc w:val="right"/>
              <w:rPr>
                <w:b/>
                <w:sz w:val="16"/>
              </w:rPr>
            </w:pPr>
            <w:r>
              <w:rPr>
                <w:b/>
                <w:color w:val="FFFFFF"/>
                <w:sz w:val="16"/>
              </w:rPr>
              <w:t>249</w:t>
            </w:r>
            <w:r>
              <w:rPr>
                <w:b/>
                <w:color w:val="FFFFFF"/>
                <w:spacing w:val="-2"/>
                <w:sz w:val="16"/>
              </w:rPr>
              <w:t> </w:t>
            </w:r>
            <w:r>
              <w:rPr>
                <w:b/>
                <w:color w:val="FFFFFF"/>
                <w:sz w:val="16"/>
              </w:rPr>
              <w:t>218</w:t>
            </w:r>
            <w:r>
              <w:rPr>
                <w:b/>
                <w:color w:val="FFFFFF"/>
                <w:spacing w:val="-2"/>
                <w:sz w:val="16"/>
              </w:rPr>
              <w:t> 173,25</w:t>
            </w:r>
          </w:p>
        </w:tc>
        <w:tc>
          <w:tcPr>
            <w:tcW w:w="1352"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3" w:lineRule="exact" w:before="41"/>
              <w:ind w:right="59"/>
              <w:jc w:val="right"/>
              <w:rPr>
                <w:b/>
                <w:sz w:val="16"/>
              </w:rPr>
            </w:pPr>
            <w:r>
              <w:rPr>
                <w:b/>
                <w:color w:val="FFFFFF"/>
                <w:sz w:val="16"/>
              </w:rPr>
              <w:t>236</w:t>
            </w:r>
            <w:r>
              <w:rPr>
                <w:b/>
                <w:color w:val="FFFFFF"/>
                <w:spacing w:val="-2"/>
                <w:sz w:val="16"/>
              </w:rPr>
              <w:t> </w:t>
            </w:r>
            <w:r>
              <w:rPr>
                <w:b/>
                <w:color w:val="FFFFFF"/>
                <w:sz w:val="16"/>
              </w:rPr>
              <w:t>183</w:t>
            </w:r>
            <w:r>
              <w:rPr>
                <w:b/>
                <w:color w:val="FFFFFF"/>
                <w:spacing w:val="-2"/>
                <w:sz w:val="16"/>
              </w:rPr>
              <w:t> 542,32</w:t>
            </w:r>
          </w:p>
        </w:tc>
        <w:tc>
          <w:tcPr>
            <w:tcW w:w="1216"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3" w:lineRule="exact" w:before="41"/>
              <w:ind w:right="61"/>
              <w:jc w:val="right"/>
              <w:rPr>
                <w:b/>
                <w:sz w:val="16"/>
              </w:rPr>
            </w:pPr>
            <w:r>
              <w:rPr>
                <w:b/>
                <w:color w:val="FFFFFF"/>
                <w:sz w:val="16"/>
              </w:rPr>
              <w:t>-13</w:t>
            </w:r>
            <w:r>
              <w:rPr>
                <w:b/>
                <w:color w:val="FFFFFF"/>
                <w:spacing w:val="-2"/>
                <w:sz w:val="16"/>
              </w:rPr>
              <w:t> </w:t>
            </w:r>
            <w:r>
              <w:rPr>
                <w:b/>
                <w:color w:val="FFFFFF"/>
                <w:sz w:val="16"/>
              </w:rPr>
              <w:t>034</w:t>
            </w:r>
            <w:r>
              <w:rPr>
                <w:b/>
                <w:color w:val="FFFFFF"/>
                <w:spacing w:val="-2"/>
                <w:sz w:val="16"/>
              </w:rPr>
              <w:t> 630,94</w:t>
            </w:r>
          </w:p>
        </w:tc>
        <w:tc>
          <w:tcPr>
            <w:tcW w:w="1655"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3" w:lineRule="exact" w:before="41"/>
              <w:jc w:val="center"/>
              <w:rPr>
                <w:b/>
                <w:sz w:val="16"/>
              </w:rPr>
            </w:pPr>
            <w:r>
              <w:rPr>
                <w:b/>
                <w:color w:val="FFFFFF"/>
                <w:spacing w:val="-2"/>
                <w:sz w:val="16"/>
              </w:rPr>
              <w:t>-5,23%</w:t>
            </w:r>
          </w:p>
        </w:tc>
      </w:tr>
    </w:tbl>
    <w:p>
      <w:pPr>
        <w:spacing w:before="2"/>
        <w:ind w:left="1625" w:right="0" w:firstLine="0"/>
        <w:jc w:val="both"/>
        <w:rPr>
          <w:sz w:val="18"/>
        </w:rPr>
      </w:pPr>
      <w:r>
        <w:rPr>
          <w:sz w:val="18"/>
        </w:rPr>
        <w:t>Fuente:</w:t>
      </w:r>
      <w:r>
        <w:rPr>
          <w:spacing w:val="-6"/>
          <w:sz w:val="18"/>
        </w:rPr>
        <w:t> </w:t>
      </w:r>
      <w:r>
        <w:rPr>
          <w:sz w:val="18"/>
        </w:rPr>
        <w:t>Presupuesto</w:t>
      </w:r>
      <w:r>
        <w:rPr>
          <w:spacing w:val="-6"/>
          <w:sz w:val="18"/>
        </w:rPr>
        <w:t> </w:t>
      </w:r>
      <w:r>
        <w:rPr>
          <w:sz w:val="18"/>
        </w:rPr>
        <w:t>Ordinario</w:t>
      </w:r>
      <w:r>
        <w:rPr>
          <w:spacing w:val="-5"/>
          <w:sz w:val="18"/>
        </w:rPr>
        <w:t> </w:t>
      </w:r>
      <w:r>
        <w:rPr>
          <w:spacing w:val="-4"/>
          <w:sz w:val="18"/>
        </w:rPr>
        <w:t>2027</w:t>
      </w:r>
    </w:p>
    <w:p>
      <w:pPr>
        <w:pStyle w:val="BodyText"/>
        <w:rPr>
          <w:sz w:val="18"/>
        </w:rPr>
      </w:pPr>
    </w:p>
    <w:p>
      <w:pPr>
        <w:pStyle w:val="BodyText"/>
        <w:spacing w:before="1"/>
        <w:rPr>
          <w:sz w:val="18"/>
        </w:rPr>
      </w:pPr>
    </w:p>
    <w:p>
      <w:pPr>
        <w:pStyle w:val="Heading5"/>
        <w:ind w:left="1543" w:right="1381"/>
        <w:jc w:val="center"/>
      </w:pPr>
      <w:bookmarkStart w:name="_bookmark56" w:id="57"/>
      <w:bookmarkEnd w:id="57"/>
      <w:r>
        <w:rPr>
          <w:b w:val="0"/>
        </w:rPr>
      </w:r>
      <w:r>
        <w:rPr/>
        <w:t>Tabla</w:t>
      </w:r>
      <w:r>
        <w:rPr>
          <w:spacing w:val="-2"/>
        </w:rPr>
        <w:t> </w:t>
      </w:r>
      <w:r>
        <w:rPr/>
        <w:t>10:</w:t>
      </w:r>
      <w:r>
        <w:rPr>
          <w:spacing w:val="-1"/>
        </w:rPr>
        <w:t> </w:t>
      </w:r>
      <w:r>
        <w:rPr/>
        <w:t>Comparación</w:t>
      </w:r>
      <w:r>
        <w:rPr>
          <w:spacing w:val="-6"/>
        </w:rPr>
        <w:t> </w:t>
      </w:r>
      <w:r>
        <w:rPr/>
        <w:t>del</w:t>
      </w:r>
      <w:r>
        <w:rPr>
          <w:spacing w:val="-4"/>
        </w:rPr>
        <w:t> </w:t>
      </w:r>
      <w:r>
        <w:rPr/>
        <w:t>Presupuesto</w:t>
      </w:r>
      <w:r>
        <w:rPr>
          <w:spacing w:val="-4"/>
        </w:rPr>
        <w:t> </w:t>
      </w:r>
      <w:r>
        <w:rPr/>
        <w:t>ordinario</w:t>
      </w:r>
      <w:r>
        <w:rPr>
          <w:spacing w:val="-3"/>
        </w:rPr>
        <w:t> </w:t>
      </w:r>
      <w:r>
        <w:rPr/>
        <w:t>de</w:t>
      </w:r>
      <w:r>
        <w:rPr>
          <w:spacing w:val="-5"/>
        </w:rPr>
        <w:t> </w:t>
      </w:r>
      <w:r>
        <w:rPr/>
        <w:t>gasto</w:t>
      </w:r>
      <w:r>
        <w:rPr>
          <w:spacing w:val="-5"/>
        </w:rPr>
        <w:t> </w:t>
      </w:r>
      <w:r>
        <w:rPr/>
        <w:t>periodo</w:t>
      </w:r>
      <w:r>
        <w:rPr>
          <w:spacing w:val="-3"/>
        </w:rPr>
        <w:t> </w:t>
      </w:r>
      <w:r>
        <w:rPr/>
        <w:t>2026</w:t>
      </w:r>
      <w:r>
        <w:rPr>
          <w:spacing w:val="-3"/>
        </w:rPr>
        <w:t> </w:t>
      </w:r>
      <w:r>
        <w:rPr/>
        <w:t>y</w:t>
      </w:r>
      <w:r>
        <w:rPr>
          <w:spacing w:val="-3"/>
        </w:rPr>
        <w:t> </w:t>
      </w:r>
      <w:r>
        <w:rPr/>
        <w:t>2027, según partidas Programa Protección y Promoción Social (Miles de colones)</w:t>
      </w:r>
    </w:p>
    <w:p>
      <w:pPr>
        <w:pStyle w:val="BodyText"/>
        <w:spacing w:before="47"/>
        <w:rPr>
          <w:b/>
          <w:sz w:val="20"/>
        </w:rPr>
      </w:pPr>
    </w:p>
    <w:tbl>
      <w:tblPr>
        <w:tblW w:w="0" w:type="auto"/>
        <w:jc w:val="left"/>
        <w:tblInd w:w="1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0"/>
        <w:gridCol w:w="2694"/>
        <w:gridCol w:w="1779"/>
        <w:gridCol w:w="1354"/>
        <w:gridCol w:w="1878"/>
        <w:gridCol w:w="941"/>
      </w:tblGrid>
      <w:tr>
        <w:trPr>
          <w:trHeight w:val="225" w:hRule="atLeast"/>
        </w:trPr>
        <w:tc>
          <w:tcPr>
            <w:tcW w:w="790" w:type="dxa"/>
            <w:vMerge w:val="restart"/>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137"/>
              <w:ind w:left="69"/>
              <w:rPr>
                <w:b/>
                <w:sz w:val="16"/>
              </w:rPr>
            </w:pPr>
            <w:r>
              <w:rPr>
                <w:b/>
                <w:color w:val="FFFFFF"/>
                <w:spacing w:val="-2"/>
                <w:sz w:val="16"/>
              </w:rPr>
              <w:t>CODIGO</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137"/>
              <w:ind w:left="6"/>
              <w:jc w:val="center"/>
              <w:rPr>
                <w:b/>
                <w:sz w:val="16"/>
              </w:rPr>
            </w:pPr>
            <w:r>
              <w:rPr>
                <w:b/>
                <w:color w:val="FFFFFF"/>
                <w:spacing w:val="-2"/>
                <w:sz w:val="16"/>
              </w:rPr>
              <w:t>PARTIDAS</w:t>
            </w:r>
          </w:p>
        </w:tc>
        <w:tc>
          <w:tcPr>
            <w:tcW w:w="1779" w:type="dxa"/>
            <w:vMerge w:val="restart"/>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46"/>
              <w:ind w:left="733" w:right="273" w:hanging="452"/>
              <w:rPr>
                <w:b/>
                <w:sz w:val="16"/>
              </w:rPr>
            </w:pPr>
            <w:r>
              <w:rPr>
                <w:b/>
                <w:color w:val="FFFFFF"/>
                <w:spacing w:val="-2"/>
                <w:sz w:val="16"/>
              </w:rPr>
              <w:t>PRESUPUESTO </w:t>
            </w:r>
            <w:r>
              <w:rPr>
                <w:b/>
                <w:color w:val="FFFFFF"/>
                <w:spacing w:val="-4"/>
                <w:sz w:val="16"/>
              </w:rPr>
              <w:t>2026</w:t>
            </w:r>
          </w:p>
        </w:tc>
        <w:tc>
          <w:tcPr>
            <w:tcW w:w="1354" w:type="dxa"/>
            <w:vMerge w:val="restart"/>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46"/>
              <w:ind w:left="495" w:right="62" w:hanging="428"/>
              <w:rPr>
                <w:b/>
                <w:sz w:val="16"/>
              </w:rPr>
            </w:pPr>
            <w:r>
              <w:rPr>
                <w:b/>
                <w:color w:val="FFFFFF"/>
                <w:spacing w:val="-2"/>
                <w:sz w:val="16"/>
              </w:rPr>
              <w:t>PRESUPUESTO </w:t>
            </w:r>
            <w:r>
              <w:rPr>
                <w:b/>
                <w:color w:val="FFFFFF"/>
                <w:spacing w:val="-4"/>
                <w:sz w:val="16"/>
              </w:rPr>
              <w:t>2027</w:t>
            </w:r>
          </w:p>
        </w:tc>
        <w:tc>
          <w:tcPr>
            <w:tcW w:w="2819" w:type="dxa"/>
            <w:gridSpan w:val="2"/>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20"/>
              <w:ind w:left="218"/>
              <w:rPr>
                <w:b/>
                <w:sz w:val="16"/>
              </w:rPr>
            </w:pPr>
            <w:r>
              <w:rPr>
                <w:b/>
                <w:color w:val="FFFFFF"/>
                <w:sz w:val="16"/>
              </w:rPr>
              <w:t>VARIACIÓN</w:t>
            </w:r>
            <w:r>
              <w:rPr>
                <w:b/>
                <w:color w:val="FFFFFF"/>
                <w:spacing w:val="-7"/>
                <w:sz w:val="16"/>
              </w:rPr>
              <w:t> </w:t>
            </w:r>
            <w:r>
              <w:rPr>
                <w:b/>
                <w:color w:val="FFFFFF"/>
                <w:sz w:val="16"/>
              </w:rPr>
              <w:t>ENTRE</w:t>
            </w:r>
            <w:r>
              <w:rPr>
                <w:b/>
                <w:color w:val="FFFFFF"/>
                <w:spacing w:val="-5"/>
                <w:sz w:val="16"/>
              </w:rPr>
              <w:t> </w:t>
            </w:r>
            <w:r>
              <w:rPr>
                <w:b/>
                <w:color w:val="FFFFFF"/>
                <w:spacing w:val="-2"/>
                <w:sz w:val="16"/>
              </w:rPr>
              <w:t>PERIODOS</w:t>
            </w:r>
          </w:p>
        </w:tc>
      </w:tr>
      <w:tr>
        <w:trPr>
          <w:trHeight w:val="225" w:hRule="atLeast"/>
        </w:trPr>
        <w:tc>
          <w:tcPr>
            <w:tcW w:w="790" w:type="dxa"/>
            <w:vMerge/>
            <w:tcBorders>
              <w:top w:val="nil"/>
              <w:left w:val="single" w:sz="4" w:space="0" w:color="000000"/>
              <w:bottom w:val="single" w:sz="4" w:space="0" w:color="000000"/>
              <w:right w:val="single" w:sz="4" w:space="0" w:color="000000"/>
            </w:tcBorders>
            <w:shd w:val="clear" w:color="auto" w:fill="0E233D"/>
          </w:tcPr>
          <w:p>
            <w:pPr>
              <w:rPr>
                <w:sz w:val="2"/>
                <w:szCs w:val="2"/>
              </w:rPr>
            </w:pPr>
          </w:p>
        </w:tc>
        <w:tc>
          <w:tcPr>
            <w:tcW w:w="2694" w:type="dxa"/>
            <w:vMerge/>
            <w:tcBorders>
              <w:top w:val="nil"/>
              <w:left w:val="single" w:sz="4" w:space="0" w:color="000000"/>
              <w:bottom w:val="single" w:sz="4" w:space="0" w:color="000000"/>
              <w:right w:val="single" w:sz="4" w:space="0" w:color="000000"/>
            </w:tcBorders>
            <w:shd w:val="clear" w:color="auto" w:fill="0E233D"/>
          </w:tcPr>
          <w:p>
            <w:pPr>
              <w:rPr>
                <w:sz w:val="2"/>
                <w:szCs w:val="2"/>
              </w:rPr>
            </w:pPr>
          </w:p>
        </w:tc>
        <w:tc>
          <w:tcPr>
            <w:tcW w:w="1779" w:type="dxa"/>
            <w:vMerge/>
            <w:tcBorders>
              <w:top w:val="nil"/>
              <w:left w:val="single" w:sz="4" w:space="0" w:color="000000"/>
              <w:bottom w:val="single" w:sz="4" w:space="0" w:color="000000"/>
              <w:right w:val="single" w:sz="4" w:space="0" w:color="000000"/>
            </w:tcBorders>
            <w:shd w:val="clear" w:color="auto" w:fill="0E233D"/>
          </w:tcPr>
          <w:p>
            <w:pPr>
              <w:rPr>
                <w:sz w:val="2"/>
                <w:szCs w:val="2"/>
              </w:rPr>
            </w:pPr>
          </w:p>
        </w:tc>
        <w:tc>
          <w:tcPr>
            <w:tcW w:w="1354" w:type="dxa"/>
            <w:vMerge/>
            <w:tcBorders>
              <w:top w:val="nil"/>
              <w:left w:val="single" w:sz="4" w:space="0" w:color="000000"/>
              <w:bottom w:val="single" w:sz="4" w:space="0" w:color="000000"/>
              <w:right w:val="single" w:sz="4" w:space="0" w:color="000000"/>
            </w:tcBorders>
            <w:shd w:val="clear" w:color="auto" w:fill="0E233D"/>
          </w:tcPr>
          <w:p>
            <w:pPr>
              <w:rPr>
                <w:sz w:val="2"/>
                <w:szCs w:val="2"/>
              </w:rPr>
            </w:pPr>
          </w:p>
        </w:tc>
        <w:tc>
          <w:tcPr>
            <w:tcW w:w="1878"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20"/>
              <w:ind w:left="490"/>
              <w:rPr>
                <w:b/>
                <w:sz w:val="16"/>
              </w:rPr>
            </w:pPr>
            <w:r>
              <w:rPr>
                <w:b/>
                <w:color w:val="FFFFFF"/>
                <w:spacing w:val="-2"/>
                <w:sz w:val="16"/>
              </w:rPr>
              <w:t>ABSOLUTA</w:t>
            </w:r>
          </w:p>
        </w:tc>
        <w:tc>
          <w:tcPr>
            <w:tcW w:w="941"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20"/>
              <w:ind w:right="57"/>
              <w:jc w:val="right"/>
              <w:rPr>
                <w:b/>
                <w:sz w:val="16"/>
              </w:rPr>
            </w:pPr>
            <w:r>
              <w:rPr>
                <w:b/>
                <w:color w:val="FFFFFF"/>
                <w:spacing w:val="-2"/>
                <w:sz w:val="16"/>
              </w:rPr>
              <w:t>RELATIVA</w:t>
            </w:r>
          </w:p>
        </w:tc>
      </w:tr>
      <w:tr>
        <w:trPr>
          <w:trHeight w:val="247" w:hRule="atLeast"/>
        </w:trPr>
        <w:tc>
          <w:tcPr>
            <w:tcW w:w="790" w:type="dxa"/>
            <w:tcBorders>
              <w:top w:val="single" w:sz="4" w:space="0" w:color="000000"/>
            </w:tcBorders>
          </w:tcPr>
          <w:p>
            <w:pPr>
              <w:pStyle w:val="TableParagraph"/>
              <w:spacing w:before="41"/>
              <w:ind w:left="9" w:right="5"/>
              <w:jc w:val="center"/>
              <w:rPr>
                <w:sz w:val="16"/>
              </w:rPr>
            </w:pPr>
            <w:r>
              <w:rPr>
                <w:spacing w:val="-10"/>
                <w:sz w:val="16"/>
              </w:rPr>
              <w:t>0</w:t>
            </w:r>
          </w:p>
        </w:tc>
        <w:tc>
          <w:tcPr>
            <w:tcW w:w="2694" w:type="dxa"/>
            <w:tcBorders>
              <w:top w:val="single" w:sz="4" w:space="0" w:color="000000"/>
            </w:tcBorders>
          </w:tcPr>
          <w:p>
            <w:pPr>
              <w:pStyle w:val="TableParagraph"/>
              <w:spacing w:before="41"/>
              <w:ind w:left="73"/>
              <w:rPr>
                <w:sz w:val="16"/>
              </w:rPr>
            </w:pPr>
            <w:r>
              <w:rPr>
                <w:spacing w:val="-2"/>
                <w:sz w:val="16"/>
              </w:rPr>
              <w:t>REMUNERACIONES</w:t>
            </w:r>
          </w:p>
        </w:tc>
        <w:tc>
          <w:tcPr>
            <w:tcW w:w="1779" w:type="dxa"/>
            <w:tcBorders>
              <w:top w:val="single" w:sz="4" w:space="0" w:color="000000"/>
            </w:tcBorders>
          </w:tcPr>
          <w:p>
            <w:pPr>
              <w:pStyle w:val="TableParagraph"/>
              <w:spacing w:before="41"/>
              <w:ind w:right="62"/>
              <w:jc w:val="right"/>
              <w:rPr>
                <w:sz w:val="16"/>
              </w:rPr>
            </w:pPr>
            <w:r>
              <w:rPr>
                <w:sz w:val="16"/>
              </w:rPr>
              <w:t>16</w:t>
            </w:r>
            <w:r>
              <w:rPr>
                <w:spacing w:val="-2"/>
                <w:sz w:val="16"/>
              </w:rPr>
              <w:t> </w:t>
            </w:r>
            <w:r>
              <w:rPr>
                <w:sz w:val="16"/>
              </w:rPr>
              <w:t>350</w:t>
            </w:r>
            <w:r>
              <w:rPr>
                <w:spacing w:val="-1"/>
                <w:sz w:val="16"/>
              </w:rPr>
              <w:t> </w:t>
            </w:r>
            <w:r>
              <w:rPr>
                <w:spacing w:val="-2"/>
                <w:sz w:val="16"/>
              </w:rPr>
              <w:t>648,60</w:t>
            </w:r>
          </w:p>
        </w:tc>
        <w:tc>
          <w:tcPr>
            <w:tcW w:w="1354" w:type="dxa"/>
            <w:tcBorders>
              <w:top w:val="single" w:sz="4" w:space="0" w:color="000000"/>
            </w:tcBorders>
          </w:tcPr>
          <w:p>
            <w:pPr>
              <w:pStyle w:val="TableParagraph"/>
              <w:spacing w:before="41"/>
              <w:ind w:right="66"/>
              <w:jc w:val="right"/>
              <w:rPr>
                <w:sz w:val="16"/>
              </w:rPr>
            </w:pPr>
            <w:r>
              <w:rPr>
                <w:sz w:val="16"/>
              </w:rPr>
              <w:t>16</w:t>
            </w:r>
            <w:r>
              <w:rPr>
                <w:spacing w:val="-2"/>
                <w:sz w:val="16"/>
              </w:rPr>
              <w:t> </w:t>
            </w:r>
            <w:r>
              <w:rPr>
                <w:sz w:val="16"/>
              </w:rPr>
              <w:t>994</w:t>
            </w:r>
            <w:r>
              <w:rPr>
                <w:spacing w:val="-1"/>
                <w:sz w:val="16"/>
              </w:rPr>
              <w:t> </w:t>
            </w:r>
            <w:r>
              <w:rPr>
                <w:spacing w:val="-2"/>
                <w:sz w:val="16"/>
              </w:rPr>
              <w:t>350,29</w:t>
            </w:r>
          </w:p>
        </w:tc>
        <w:tc>
          <w:tcPr>
            <w:tcW w:w="1878" w:type="dxa"/>
            <w:tcBorders>
              <w:top w:val="single" w:sz="4" w:space="0" w:color="000000"/>
            </w:tcBorders>
          </w:tcPr>
          <w:p>
            <w:pPr>
              <w:pStyle w:val="TableParagraph"/>
              <w:spacing w:before="41"/>
              <w:ind w:right="64"/>
              <w:jc w:val="right"/>
              <w:rPr>
                <w:sz w:val="16"/>
              </w:rPr>
            </w:pPr>
            <w:r>
              <w:rPr>
                <w:sz w:val="16"/>
              </w:rPr>
              <w:t>643</w:t>
            </w:r>
            <w:r>
              <w:rPr>
                <w:spacing w:val="-2"/>
                <w:sz w:val="16"/>
              </w:rPr>
              <w:t> 701,69</w:t>
            </w:r>
          </w:p>
        </w:tc>
        <w:tc>
          <w:tcPr>
            <w:tcW w:w="941" w:type="dxa"/>
            <w:tcBorders>
              <w:top w:val="single" w:sz="4" w:space="0" w:color="000000"/>
            </w:tcBorders>
          </w:tcPr>
          <w:p>
            <w:pPr>
              <w:pStyle w:val="TableParagraph"/>
              <w:spacing w:before="41"/>
              <w:ind w:right="64"/>
              <w:jc w:val="right"/>
              <w:rPr>
                <w:sz w:val="16"/>
              </w:rPr>
            </w:pPr>
            <w:r>
              <w:rPr>
                <w:spacing w:val="-2"/>
                <w:sz w:val="16"/>
              </w:rPr>
              <w:t>3,94%</w:t>
            </w:r>
          </w:p>
        </w:tc>
      </w:tr>
      <w:tr>
        <w:trPr>
          <w:trHeight w:val="224" w:hRule="atLeast"/>
        </w:trPr>
        <w:tc>
          <w:tcPr>
            <w:tcW w:w="790" w:type="dxa"/>
          </w:tcPr>
          <w:p>
            <w:pPr>
              <w:pStyle w:val="TableParagraph"/>
              <w:spacing w:before="17"/>
              <w:ind w:left="9" w:right="5"/>
              <w:jc w:val="center"/>
              <w:rPr>
                <w:sz w:val="16"/>
              </w:rPr>
            </w:pPr>
            <w:r>
              <w:rPr>
                <w:spacing w:val="-10"/>
                <w:sz w:val="16"/>
              </w:rPr>
              <w:t>1</w:t>
            </w:r>
          </w:p>
        </w:tc>
        <w:tc>
          <w:tcPr>
            <w:tcW w:w="2694" w:type="dxa"/>
          </w:tcPr>
          <w:p>
            <w:pPr>
              <w:pStyle w:val="TableParagraph"/>
              <w:spacing w:before="17"/>
              <w:ind w:left="73"/>
              <w:rPr>
                <w:sz w:val="16"/>
              </w:rPr>
            </w:pPr>
            <w:r>
              <w:rPr>
                <w:spacing w:val="-2"/>
                <w:sz w:val="16"/>
              </w:rPr>
              <w:t>SERVICIOS</w:t>
            </w:r>
          </w:p>
        </w:tc>
        <w:tc>
          <w:tcPr>
            <w:tcW w:w="1779" w:type="dxa"/>
          </w:tcPr>
          <w:p>
            <w:pPr>
              <w:pStyle w:val="TableParagraph"/>
              <w:spacing w:before="17"/>
              <w:ind w:right="62"/>
              <w:jc w:val="right"/>
              <w:rPr>
                <w:sz w:val="16"/>
              </w:rPr>
            </w:pPr>
            <w:r>
              <w:rPr>
                <w:sz w:val="16"/>
              </w:rPr>
              <w:t>7</w:t>
            </w:r>
            <w:r>
              <w:rPr>
                <w:spacing w:val="-1"/>
                <w:sz w:val="16"/>
              </w:rPr>
              <w:t> </w:t>
            </w:r>
            <w:r>
              <w:rPr>
                <w:sz w:val="16"/>
              </w:rPr>
              <w:t>146</w:t>
            </w:r>
            <w:r>
              <w:rPr>
                <w:spacing w:val="-1"/>
                <w:sz w:val="16"/>
              </w:rPr>
              <w:t> </w:t>
            </w:r>
            <w:r>
              <w:rPr>
                <w:spacing w:val="-2"/>
                <w:sz w:val="16"/>
              </w:rPr>
              <w:t>367,29</w:t>
            </w:r>
          </w:p>
        </w:tc>
        <w:tc>
          <w:tcPr>
            <w:tcW w:w="1354" w:type="dxa"/>
          </w:tcPr>
          <w:p>
            <w:pPr>
              <w:pStyle w:val="TableParagraph"/>
              <w:spacing w:before="17"/>
              <w:ind w:right="66"/>
              <w:jc w:val="right"/>
              <w:rPr>
                <w:sz w:val="16"/>
              </w:rPr>
            </w:pPr>
            <w:r>
              <w:rPr>
                <w:sz w:val="16"/>
              </w:rPr>
              <w:t>7</w:t>
            </w:r>
            <w:r>
              <w:rPr>
                <w:spacing w:val="-1"/>
                <w:sz w:val="16"/>
              </w:rPr>
              <w:t> </w:t>
            </w:r>
            <w:r>
              <w:rPr>
                <w:sz w:val="16"/>
              </w:rPr>
              <w:t>940</w:t>
            </w:r>
            <w:r>
              <w:rPr>
                <w:spacing w:val="-1"/>
                <w:sz w:val="16"/>
              </w:rPr>
              <w:t> </w:t>
            </w:r>
            <w:r>
              <w:rPr>
                <w:spacing w:val="-2"/>
                <w:sz w:val="16"/>
              </w:rPr>
              <w:t>463,33</w:t>
            </w:r>
          </w:p>
        </w:tc>
        <w:tc>
          <w:tcPr>
            <w:tcW w:w="1878" w:type="dxa"/>
          </w:tcPr>
          <w:p>
            <w:pPr>
              <w:pStyle w:val="TableParagraph"/>
              <w:spacing w:before="17"/>
              <w:ind w:right="64"/>
              <w:jc w:val="right"/>
              <w:rPr>
                <w:sz w:val="16"/>
              </w:rPr>
            </w:pPr>
            <w:r>
              <w:rPr>
                <w:sz w:val="16"/>
              </w:rPr>
              <w:t>794</w:t>
            </w:r>
            <w:r>
              <w:rPr>
                <w:spacing w:val="-2"/>
                <w:sz w:val="16"/>
              </w:rPr>
              <w:t> 096,04</w:t>
            </w:r>
          </w:p>
        </w:tc>
        <w:tc>
          <w:tcPr>
            <w:tcW w:w="941" w:type="dxa"/>
          </w:tcPr>
          <w:p>
            <w:pPr>
              <w:pStyle w:val="TableParagraph"/>
              <w:spacing w:before="17"/>
              <w:ind w:right="64"/>
              <w:jc w:val="right"/>
              <w:rPr>
                <w:sz w:val="16"/>
              </w:rPr>
            </w:pPr>
            <w:r>
              <w:rPr>
                <w:spacing w:val="-2"/>
                <w:sz w:val="16"/>
              </w:rPr>
              <w:t>11,11%</w:t>
            </w:r>
          </w:p>
        </w:tc>
      </w:tr>
      <w:tr>
        <w:trPr>
          <w:trHeight w:val="225" w:hRule="atLeast"/>
        </w:trPr>
        <w:tc>
          <w:tcPr>
            <w:tcW w:w="790" w:type="dxa"/>
          </w:tcPr>
          <w:p>
            <w:pPr>
              <w:pStyle w:val="TableParagraph"/>
              <w:spacing w:before="18"/>
              <w:ind w:left="9" w:right="5"/>
              <w:jc w:val="center"/>
              <w:rPr>
                <w:sz w:val="16"/>
              </w:rPr>
            </w:pPr>
            <w:r>
              <w:rPr>
                <w:spacing w:val="-10"/>
                <w:sz w:val="16"/>
              </w:rPr>
              <w:t>2</w:t>
            </w:r>
          </w:p>
        </w:tc>
        <w:tc>
          <w:tcPr>
            <w:tcW w:w="2694" w:type="dxa"/>
          </w:tcPr>
          <w:p>
            <w:pPr>
              <w:pStyle w:val="TableParagraph"/>
              <w:spacing w:before="18"/>
              <w:ind w:left="73"/>
              <w:rPr>
                <w:sz w:val="16"/>
              </w:rPr>
            </w:pPr>
            <w:r>
              <w:rPr>
                <w:sz w:val="16"/>
              </w:rPr>
              <w:t>MATERIALES</w:t>
            </w:r>
            <w:r>
              <w:rPr>
                <w:spacing w:val="-6"/>
                <w:sz w:val="16"/>
              </w:rPr>
              <w:t> </w:t>
            </w:r>
            <w:r>
              <w:rPr>
                <w:sz w:val="16"/>
              </w:rPr>
              <w:t>Y</w:t>
            </w:r>
            <w:r>
              <w:rPr>
                <w:spacing w:val="-5"/>
                <w:sz w:val="16"/>
              </w:rPr>
              <w:t> </w:t>
            </w:r>
            <w:r>
              <w:rPr>
                <w:spacing w:val="-2"/>
                <w:sz w:val="16"/>
              </w:rPr>
              <w:t>SUMINISTROS</w:t>
            </w:r>
          </w:p>
        </w:tc>
        <w:tc>
          <w:tcPr>
            <w:tcW w:w="1779" w:type="dxa"/>
          </w:tcPr>
          <w:p>
            <w:pPr>
              <w:pStyle w:val="TableParagraph"/>
              <w:spacing w:before="18"/>
              <w:ind w:right="64"/>
              <w:jc w:val="right"/>
              <w:rPr>
                <w:sz w:val="16"/>
              </w:rPr>
            </w:pPr>
            <w:r>
              <w:rPr>
                <w:sz w:val="16"/>
              </w:rPr>
              <w:t>394</w:t>
            </w:r>
            <w:r>
              <w:rPr>
                <w:spacing w:val="-2"/>
                <w:sz w:val="16"/>
              </w:rPr>
              <w:t> 294,98</w:t>
            </w:r>
          </w:p>
        </w:tc>
        <w:tc>
          <w:tcPr>
            <w:tcW w:w="1354" w:type="dxa"/>
          </w:tcPr>
          <w:p>
            <w:pPr>
              <w:pStyle w:val="TableParagraph"/>
              <w:spacing w:before="18"/>
              <w:ind w:right="69"/>
              <w:jc w:val="right"/>
              <w:rPr>
                <w:sz w:val="16"/>
              </w:rPr>
            </w:pPr>
            <w:r>
              <w:rPr>
                <w:sz w:val="16"/>
              </w:rPr>
              <w:t>372</w:t>
            </w:r>
            <w:r>
              <w:rPr>
                <w:spacing w:val="-2"/>
                <w:sz w:val="16"/>
              </w:rPr>
              <w:t> 356,12</w:t>
            </w:r>
          </w:p>
        </w:tc>
        <w:tc>
          <w:tcPr>
            <w:tcW w:w="1878" w:type="dxa"/>
          </w:tcPr>
          <w:p>
            <w:pPr>
              <w:pStyle w:val="TableParagraph"/>
              <w:spacing w:before="18"/>
              <w:ind w:right="64"/>
              <w:jc w:val="right"/>
              <w:rPr>
                <w:sz w:val="16"/>
              </w:rPr>
            </w:pPr>
            <w:r>
              <w:rPr>
                <w:sz w:val="16"/>
              </w:rPr>
              <w:t>-21</w:t>
            </w:r>
            <w:r>
              <w:rPr>
                <w:spacing w:val="-2"/>
                <w:sz w:val="16"/>
              </w:rPr>
              <w:t> 938,86</w:t>
            </w:r>
          </w:p>
        </w:tc>
        <w:tc>
          <w:tcPr>
            <w:tcW w:w="941" w:type="dxa"/>
          </w:tcPr>
          <w:p>
            <w:pPr>
              <w:pStyle w:val="TableParagraph"/>
              <w:spacing w:before="18"/>
              <w:ind w:right="64"/>
              <w:jc w:val="right"/>
              <w:rPr>
                <w:sz w:val="16"/>
              </w:rPr>
            </w:pPr>
            <w:r>
              <w:rPr>
                <w:spacing w:val="-2"/>
                <w:sz w:val="16"/>
              </w:rPr>
              <w:t>-5,56%</w:t>
            </w:r>
          </w:p>
        </w:tc>
      </w:tr>
      <w:tr>
        <w:trPr>
          <w:trHeight w:val="225" w:hRule="atLeast"/>
        </w:trPr>
        <w:tc>
          <w:tcPr>
            <w:tcW w:w="790" w:type="dxa"/>
          </w:tcPr>
          <w:p>
            <w:pPr>
              <w:pStyle w:val="TableParagraph"/>
              <w:spacing w:before="18"/>
              <w:ind w:left="9" w:right="5"/>
              <w:jc w:val="center"/>
              <w:rPr>
                <w:sz w:val="16"/>
              </w:rPr>
            </w:pPr>
            <w:r>
              <w:rPr>
                <w:spacing w:val="-10"/>
                <w:sz w:val="16"/>
              </w:rPr>
              <w:t>5</w:t>
            </w:r>
          </w:p>
        </w:tc>
        <w:tc>
          <w:tcPr>
            <w:tcW w:w="2694" w:type="dxa"/>
          </w:tcPr>
          <w:p>
            <w:pPr>
              <w:pStyle w:val="TableParagraph"/>
              <w:spacing w:before="18"/>
              <w:ind w:left="73"/>
              <w:rPr>
                <w:sz w:val="16"/>
              </w:rPr>
            </w:pPr>
            <w:r>
              <w:rPr>
                <w:sz w:val="16"/>
              </w:rPr>
              <w:t>BIENES</w:t>
            </w:r>
            <w:r>
              <w:rPr>
                <w:spacing w:val="-4"/>
                <w:sz w:val="16"/>
              </w:rPr>
              <w:t> </w:t>
            </w:r>
            <w:r>
              <w:rPr>
                <w:spacing w:val="-2"/>
                <w:sz w:val="16"/>
              </w:rPr>
              <w:t>DURADEROS</w:t>
            </w:r>
          </w:p>
        </w:tc>
        <w:tc>
          <w:tcPr>
            <w:tcW w:w="1779" w:type="dxa"/>
          </w:tcPr>
          <w:p>
            <w:pPr>
              <w:pStyle w:val="TableParagraph"/>
              <w:spacing w:before="18"/>
              <w:ind w:right="62"/>
              <w:jc w:val="right"/>
              <w:rPr>
                <w:sz w:val="16"/>
              </w:rPr>
            </w:pPr>
            <w:r>
              <w:rPr>
                <w:sz w:val="16"/>
              </w:rPr>
              <w:t>5</w:t>
            </w:r>
            <w:r>
              <w:rPr>
                <w:spacing w:val="-1"/>
                <w:sz w:val="16"/>
              </w:rPr>
              <w:t> </w:t>
            </w:r>
            <w:r>
              <w:rPr>
                <w:sz w:val="16"/>
              </w:rPr>
              <w:t>111</w:t>
            </w:r>
            <w:r>
              <w:rPr>
                <w:spacing w:val="-1"/>
                <w:sz w:val="16"/>
              </w:rPr>
              <w:t> </w:t>
            </w:r>
            <w:r>
              <w:rPr>
                <w:spacing w:val="-2"/>
                <w:sz w:val="16"/>
              </w:rPr>
              <w:t>541,83</w:t>
            </w:r>
          </w:p>
        </w:tc>
        <w:tc>
          <w:tcPr>
            <w:tcW w:w="1354" w:type="dxa"/>
          </w:tcPr>
          <w:p>
            <w:pPr>
              <w:pStyle w:val="TableParagraph"/>
              <w:spacing w:before="18"/>
              <w:ind w:right="66"/>
              <w:jc w:val="right"/>
              <w:rPr>
                <w:sz w:val="16"/>
              </w:rPr>
            </w:pPr>
            <w:r>
              <w:rPr>
                <w:sz w:val="16"/>
              </w:rPr>
              <w:t>3</w:t>
            </w:r>
            <w:r>
              <w:rPr>
                <w:spacing w:val="-1"/>
                <w:sz w:val="16"/>
              </w:rPr>
              <w:t> </w:t>
            </w:r>
            <w:r>
              <w:rPr>
                <w:sz w:val="16"/>
              </w:rPr>
              <w:t>410</w:t>
            </w:r>
            <w:r>
              <w:rPr>
                <w:spacing w:val="-1"/>
                <w:sz w:val="16"/>
              </w:rPr>
              <w:t> </w:t>
            </w:r>
            <w:r>
              <w:rPr>
                <w:spacing w:val="-2"/>
                <w:sz w:val="16"/>
              </w:rPr>
              <w:t>349,06</w:t>
            </w:r>
          </w:p>
        </w:tc>
        <w:tc>
          <w:tcPr>
            <w:tcW w:w="1878" w:type="dxa"/>
          </w:tcPr>
          <w:p>
            <w:pPr>
              <w:pStyle w:val="TableParagraph"/>
              <w:spacing w:before="18"/>
              <w:ind w:right="62"/>
              <w:jc w:val="right"/>
              <w:rPr>
                <w:sz w:val="16"/>
              </w:rPr>
            </w:pPr>
            <w:r>
              <w:rPr>
                <w:sz w:val="16"/>
              </w:rPr>
              <w:t>-1</w:t>
            </w:r>
            <w:r>
              <w:rPr>
                <w:spacing w:val="-2"/>
                <w:sz w:val="16"/>
              </w:rPr>
              <w:t> </w:t>
            </w:r>
            <w:r>
              <w:rPr>
                <w:sz w:val="16"/>
              </w:rPr>
              <w:t>701</w:t>
            </w:r>
            <w:r>
              <w:rPr>
                <w:spacing w:val="-1"/>
                <w:sz w:val="16"/>
              </w:rPr>
              <w:t> </w:t>
            </w:r>
            <w:r>
              <w:rPr>
                <w:spacing w:val="-2"/>
                <w:sz w:val="16"/>
              </w:rPr>
              <w:t>192,76</w:t>
            </w:r>
          </w:p>
        </w:tc>
        <w:tc>
          <w:tcPr>
            <w:tcW w:w="941" w:type="dxa"/>
          </w:tcPr>
          <w:p>
            <w:pPr>
              <w:pStyle w:val="TableParagraph"/>
              <w:spacing w:before="18"/>
              <w:ind w:right="64"/>
              <w:jc w:val="right"/>
              <w:rPr>
                <w:sz w:val="16"/>
              </w:rPr>
            </w:pPr>
            <w:r>
              <w:rPr>
                <w:spacing w:val="-2"/>
                <w:sz w:val="16"/>
              </w:rPr>
              <w:t>-33,28%</w:t>
            </w:r>
          </w:p>
        </w:tc>
      </w:tr>
      <w:tr>
        <w:trPr>
          <w:trHeight w:val="224" w:hRule="atLeast"/>
        </w:trPr>
        <w:tc>
          <w:tcPr>
            <w:tcW w:w="790" w:type="dxa"/>
          </w:tcPr>
          <w:p>
            <w:pPr>
              <w:pStyle w:val="TableParagraph"/>
              <w:spacing w:before="18"/>
              <w:ind w:left="9" w:right="5"/>
              <w:jc w:val="center"/>
              <w:rPr>
                <w:sz w:val="16"/>
              </w:rPr>
            </w:pPr>
            <w:r>
              <w:rPr>
                <w:spacing w:val="-10"/>
                <w:sz w:val="16"/>
              </w:rPr>
              <w:t>6</w:t>
            </w:r>
          </w:p>
        </w:tc>
        <w:tc>
          <w:tcPr>
            <w:tcW w:w="2694" w:type="dxa"/>
          </w:tcPr>
          <w:p>
            <w:pPr>
              <w:pStyle w:val="TableParagraph"/>
              <w:spacing w:before="18"/>
              <w:ind w:left="73"/>
              <w:rPr>
                <w:sz w:val="16"/>
              </w:rPr>
            </w:pPr>
            <w:r>
              <w:rPr>
                <w:spacing w:val="-2"/>
                <w:sz w:val="16"/>
              </w:rPr>
              <w:t>TRANSFERENCIAS</w:t>
            </w:r>
            <w:r>
              <w:rPr>
                <w:spacing w:val="16"/>
                <w:sz w:val="16"/>
              </w:rPr>
              <w:t> </w:t>
            </w:r>
            <w:r>
              <w:rPr>
                <w:spacing w:val="-2"/>
                <w:sz w:val="16"/>
              </w:rPr>
              <w:t>CORRIENTES</w:t>
            </w:r>
          </w:p>
        </w:tc>
        <w:tc>
          <w:tcPr>
            <w:tcW w:w="1779" w:type="dxa"/>
          </w:tcPr>
          <w:p>
            <w:pPr>
              <w:pStyle w:val="TableParagraph"/>
              <w:spacing w:before="18"/>
              <w:ind w:right="62"/>
              <w:jc w:val="right"/>
              <w:rPr>
                <w:sz w:val="16"/>
              </w:rPr>
            </w:pPr>
            <w:r>
              <w:rPr>
                <w:sz w:val="16"/>
              </w:rPr>
              <w:t>181</w:t>
            </w:r>
            <w:r>
              <w:rPr>
                <w:spacing w:val="-2"/>
                <w:sz w:val="16"/>
              </w:rPr>
              <w:t> </w:t>
            </w:r>
            <w:r>
              <w:rPr>
                <w:sz w:val="16"/>
              </w:rPr>
              <w:t>840</w:t>
            </w:r>
            <w:r>
              <w:rPr>
                <w:spacing w:val="-2"/>
                <w:sz w:val="16"/>
              </w:rPr>
              <w:t> 487,26</w:t>
            </w:r>
          </w:p>
        </w:tc>
        <w:tc>
          <w:tcPr>
            <w:tcW w:w="1354" w:type="dxa"/>
          </w:tcPr>
          <w:p>
            <w:pPr>
              <w:pStyle w:val="TableParagraph"/>
              <w:spacing w:before="18"/>
              <w:ind w:right="66"/>
              <w:jc w:val="right"/>
              <w:rPr>
                <w:sz w:val="16"/>
              </w:rPr>
            </w:pPr>
            <w:r>
              <w:rPr>
                <w:sz w:val="16"/>
              </w:rPr>
              <w:t>171</w:t>
            </w:r>
            <w:r>
              <w:rPr>
                <w:spacing w:val="-2"/>
                <w:sz w:val="16"/>
              </w:rPr>
              <w:t> </w:t>
            </w:r>
            <w:r>
              <w:rPr>
                <w:sz w:val="16"/>
              </w:rPr>
              <w:t>554</w:t>
            </w:r>
            <w:r>
              <w:rPr>
                <w:spacing w:val="-2"/>
                <w:sz w:val="16"/>
              </w:rPr>
              <w:t> 193,39</w:t>
            </w:r>
          </w:p>
        </w:tc>
        <w:tc>
          <w:tcPr>
            <w:tcW w:w="1878" w:type="dxa"/>
          </w:tcPr>
          <w:p>
            <w:pPr>
              <w:pStyle w:val="TableParagraph"/>
              <w:spacing w:before="18"/>
              <w:ind w:right="65"/>
              <w:jc w:val="right"/>
              <w:rPr>
                <w:sz w:val="16"/>
              </w:rPr>
            </w:pPr>
            <w:r>
              <w:rPr>
                <w:sz w:val="16"/>
              </w:rPr>
              <w:t>-10</w:t>
            </w:r>
            <w:r>
              <w:rPr>
                <w:spacing w:val="-2"/>
                <w:sz w:val="16"/>
              </w:rPr>
              <w:t> </w:t>
            </w:r>
            <w:r>
              <w:rPr>
                <w:sz w:val="16"/>
              </w:rPr>
              <w:t>286</w:t>
            </w:r>
            <w:r>
              <w:rPr>
                <w:spacing w:val="-2"/>
                <w:sz w:val="16"/>
              </w:rPr>
              <w:t> 293,88</w:t>
            </w:r>
          </w:p>
        </w:tc>
        <w:tc>
          <w:tcPr>
            <w:tcW w:w="941" w:type="dxa"/>
          </w:tcPr>
          <w:p>
            <w:pPr>
              <w:pStyle w:val="TableParagraph"/>
              <w:spacing w:before="18"/>
              <w:ind w:right="64"/>
              <w:jc w:val="right"/>
              <w:rPr>
                <w:sz w:val="16"/>
              </w:rPr>
            </w:pPr>
            <w:r>
              <w:rPr>
                <w:spacing w:val="-2"/>
                <w:sz w:val="16"/>
              </w:rPr>
              <w:t>-5,66%</w:t>
            </w:r>
          </w:p>
        </w:tc>
      </w:tr>
      <w:tr>
        <w:trPr>
          <w:trHeight w:val="224" w:hRule="atLeast"/>
        </w:trPr>
        <w:tc>
          <w:tcPr>
            <w:tcW w:w="790" w:type="dxa"/>
          </w:tcPr>
          <w:p>
            <w:pPr>
              <w:pStyle w:val="TableParagraph"/>
              <w:spacing w:before="17"/>
              <w:ind w:left="9" w:right="5"/>
              <w:jc w:val="center"/>
              <w:rPr>
                <w:sz w:val="16"/>
              </w:rPr>
            </w:pPr>
            <w:r>
              <w:rPr>
                <w:spacing w:val="-10"/>
                <w:sz w:val="16"/>
              </w:rPr>
              <w:t>7</w:t>
            </w:r>
          </w:p>
        </w:tc>
        <w:tc>
          <w:tcPr>
            <w:tcW w:w="2694" w:type="dxa"/>
          </w:tcPr>
          <w:p>
            <w:pPr>
              <w:pStyle w:val="TableParagraph"/>
              <w:spacing w:before="17"/>
              <w:ind w:left="73"/>
              <w:rPr>
                <w:sz w:val="16"/>
              </w:rPr>
            </w:pPr>
            <w:r>
              <w:rPr>
                <w:sz w:val="16"/>
              </w:rPr>
              <w:t>TRANSFERENCIAS</w:t>
            </w:r>
            <w:r>
              <w:rPr>
                <w:spacing w:val="-7"/>
                <w:sz w:val="16"/>
              </w:rPr>
              <w:t> </w:t>
            </w:r>
            <w:r>
              <w:rPr>
                <w:sz w:val="16"/>
              </w:rPr>
              <w:t>DE</w:t>
            </w:r>
            <w:r>
              <w:rPr>
                <w:spacing w:val="-7"/>
                <w:sz w:val="16"/>
              </w:rPr>
              <w:t> </w:t>
            </w:r>
            <w:r>
              <w:rPr>
                <w:spacing w:val="-2"/>
                <w:sz w:val="16"/>
              </w:rPr>
              <w:t>CAPITAL</w:t>
            </w:r>
          </w:p>
        </w:tc>
        <w:tc>
          <w:tcPr>
            <w:tcW w:w="1779" w:type="dxa"/>
          </w:tcPr>
          <w:p>
            <w:pPr>
              <w:pStyle w:val="TableParagraph"/>
              <w:spacing w:before="17"/>
              <w:ind w:right="62"/>
              <w:jc w:val="right"/>
              <w:rPr>
                <w:sz w:val="16"/>
              </w:rPr>
            </w:pPr>
            <w:r>
              <w:rPr>
                <w:sz w:val="16"/>
              </w:rPr>
              <w:t>1</w:t>
            </w:r>
            <w:r>
              <w:rPr>
                <w:spacing w:val="-1"/>
                <w:sz w:val="16"/>
              </w:rPr>
              <w:t> </w:t>
            </w:r>
            <w:r>
              <w:rPr>
                <w:sz w:val="16"/>
              </w:rPr>
              <w:t>141</w:t>
            </w:r>
            <w:r>
              <w:rPr>
                <w:spacing w:val="-1"/>
                <w:sz w:val="16"/>
              </w:rPr>
              <w:t> </w:t>
            </w:r>
            <w:r>
              <w:rPr>
                <w:spacing w:val="-2"/>
                <w:sz w:val="16"/>
              </w:rPr>
              <w:t>869,55</w:t>
            </w:r>
          </w:p>
        </w:tc>
        <w:tc>
          <w:tcPr>
            <w:tcW w:w="1354" w:type="dxa"/>
          </w:tcPr>
          <w:p>
            <w:pPr>
              <w:pStyle w:val="TableParagraph"/>
              <w:spacing w:before="17"/>
              <w:ind w:right="69"/>
              <w:jc w:val="right"/>
              <w:rPr>
                <w:sz w:val="16"/>
              </w:rPr>
            </w:pPr>
            <w:r>
              <w:rPr>
                <w:sz w:val="16"/>
              </w:rPr>
              <w:t>756</w:t>
            </w:r>
            <w:r>
              <w:rPr>
                <w:spacing w:val="-2"/>
                <w:sz w:val="16"/>
              </w:rPr>
              <w:t> 749,80</w:t>
            </w:r>
          </w:p>
        </w:tc>
        <w:tc>
          <w:tcPr>
            <w:tcW w:w="1878" w:type="dxa"/>
          </w:tcPr>
          <w:p>
            <w:pPr>
              <w:pStyle w:val="TableParagraph"/>
              <w:spacing w:before="17"/>
              <w:ind w:right="64"/>
              <w:jc w:val="right"/>
              <w:rPr>
                <w:sz w:val="16"/>
              </w:rPr>
            </w:pPr>
            <w:r>
              <w:rPr>
                <w:sz w:val="16"/>
              </w:rPr>
              <w:t>-385</w:t>
            </w:r>
            <w:r>
              <w:rPr>
                <w:spacing w:val="-3"/>
                <w:sz w:val="16"/>
              </w:rPr>
              <w:t> </w:t>
            </w:r>
            <w:r>
              <w:rPr>
                <w:spacing w:val="-2"/>
                <w:sz w:val="16"/>
              </w:rPr>
              <w:t>119,75</w:t>
            </w:r>
          </w:p>
        </w:tc>
        <w:tc>
          <w:tcPr>
            <w:tcW w:w="941" w:type="dxa"/>
          </w:tcPr>
          <w:p>
            <w:pPr>
              <w:pStyle w:val="TableParagraph"/>
              <w:spacing w:before="17"/>
              <w:ind w:right="64"/>
              <w:jc w:val="right"/>
              <w:rPr>
                <w:sz w:val="16"/>
              </w:rPr>
            </w:pPr>
            <w:r>
              <w:rPr>
                <w:spacing w:val="-2"/>
                <w:sz w:val="16"/>
              </w:rPr>
              <w:t>-33,73%</w:t>
            </w:r>
          </w:p>
        </w:tc>
      </w:tr>
      <w:tr>
        <w:trPr>
          <w:trHeight w:val="201" w:hRule="atLeast"/>
        </w:trPr>
        <w:tc>
          <w:tcPr>
            <w:tcW w:w="790" w:type="dxa"/>
            <w:tcBorders>
              <w:bottom w:val="single" w:sz="4" w:space="0" w:color="000000"/>
            </w:tcBorders>
          </w:tcPr>
          <w:p>
            <w:pPr>
              <w:pStyle w:val="TableParagraph"/>
              <w:spacing w:line="163" w:lineRule="exact" w:before="18"/>
              <w:ind w:left="9" w:right="5"/>
              <w:jc w:val="center"/>
              <w:rPr>
                <w:sz w:val="16"/>
              </w:rPr>
            </w:pPr>
            <w:r>
              <w:rPr>
                <w:spacing w:val="-10"/>
                <w:sz w:val="16"/>
              </w:rPr>
              <w:t>9</w:t>
            </w:r>
          </w:p>
        </w:tc>
        <w:tc>
          <w:tcPr>
            <w:tcW w:w="2694" w:type="dxa"/>
            <w:tcBorders>
              <w:bottom w:val="single" w:sz="4" w:space="0" w:color="000000"/>
            </w:tcBorders>
          </w:tcPr>
          <w:p>
            <w:pPr>
              <w:pStyle w:val="TableParagraph"/>
              <w:spacing w:line="163" w:lineRule="exact" w:before="18"/>
              <w:ind w:left="73"/>
              <w:rPr>
                <w:sz w:val="16"/>
              </w:rPr>
            </w:pPr>
            <w:r>
              <w:rPr>
                <w:sz w:val="16"/>
              </w:rPr>
              <w:t>CUENTAS</w:t>
            </w:r>
            <w:r>
              <w:rPr>
                <w:spacing w:val="-4"/>
                <w:sz w:val="16"/>
              </w:rPr>
              <w:t> </w:t>
            </w:r>
            <w:r>
              <w:rPr>
                <w:spacing w:val="-2"/>
                <w:sz w:val="16"/>
              </w:rPr>
              <w:t>ESPECIALES</w:t>
            </w:r>
          </w:p>
        </w:tc>
        <w:tc>
          <w:tcPr>
            <w:tcW w:w="1779" w:type="dxa"/>
            <w:tcBorders>
              <w:bottom w:val="single" w:sz="4" w:space="0" w:color="000000"/>
            </w:tcBorders>
          </w:tcPr>
          <w:p>
            <w:pPr>
              <w:pStyle w:val="TableParagraph"/>
              <w:rPr>
                <w:rFonts w:ascii="Times New Roman"/>
                <w:sz w:val="14"/>
              </w:rPr>
            </w:pPr>
          </w:p>
        </w:tc>
        <w:tc>
          <w:tcPr>
            <w:tcW w:w="1354" w:type="dxa"/>
            <w:tcBorders>
              <w:bottom w:val="single" w:sz="4" w:space="0" w:color="000000"/>
            </w:tcBorders>
          </w:tcPr>
          <w:p>
            <w:pPr>
              <w:pStyle w:val="TableParagraph"/>
              <w:rPr>
                <w:rFonts w:ascii="Times New Roman"/>
                <w:sz w:val="14"/>
              </w:rPr>
            </w:pPr>
          </w:p>
        </w:tc>
        <w:tc>
          <w:tcPr>
            <w:tcW w:w="1878" w:type="dxa"/>
            <w:tcBorders>
              <w:bottom w:val="single" w:sz="4" w:space="0" w:color="000000"/>
            </w:tcBorders>
          </w:tcPr>
          <w:p>
            <w:pPr>
              <w:pStyle w:val="TableParagraph"/>
              <w:rPr>
                <w:rFonts w:ascii="Times New Roman"/>
                <w:sz w:val="14"/>
              </w:rPr>
            </w:pPr>
          </w:p>
        </w:tc>
        <w:tc>
          <w:tcPr>
            <w:tcW w:w="941" w:type="dxa"/>
            <w:tcBorders>
              <w:bottom w:val="single" w:sz="4" w:space="0" w:color="000000"/>
            </w:tcBorders>
          </w:tcPr>
          <w:p>
            <w:pPr>
              <w:pStyle w:val="TableParagraph"/>
              <w:rPr>
                <w:rFonts w:ascii="Times New Roman"/>
                <w:sz w:val="14"/>
              </w:rPr>
            </w:pPr>
          </w:p>
        </w:tc>
      </w:tr>
      <w:tr>
        <w:trPr>
          <w:trHeight w:val="225" w:hRule="atLeast"/>
        </w:trPr>
        <w:tc>
          <w:tcPr>
            <w:tcW w:w="3484" w:type="dxa"/>
            <w:gridSpan w:val="2"/>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3" w:lineRule="exact" w:before="41"/>
              <w:ind w:left="69"/>
              <w:rPr>
                <w:b/>
                <w:sz w:val="16"/>
              </w:rPr>
            </w:pPr>
            <w:r>
              <w:rPr>
                <w:b/>
                <w:color w:val="FFFFFF"/>
                <w:spacing w:val="-2"/>
                <w:sz w:val="16"/>
              </w:rPr>
              <w:t>TOTAL</w:t>
            </w:r>
          </w:p>
        </w:tc>
        <w:tc>
          <w:tcPr>
            <w:tcW w:w="1779"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3" w:lineRule="exact" w:before="41"/>
              <w:ind w:right="57"/>
              <w:jc w:val="right"/>
              <w:rPr>
                <w:b/>
                <w:sz w:val="16"/>
              </w:rPr>
            </w:pPr>
            <w:r>
              <w:rPr>
                <w:b/>
                <w:color w:val="FFFFFF"/>
                <w:sz w:val="16"/>
              </w:rPr>
              <w:t>211</w:t>
            </w:r>
            <w:r>
              <w:rPr>
                <w:b/>
                <w:color w:val="FFFFFF"/>
                <w:spacing w:val="-2"/>
                <w:sz w:val="16"/>
              </w:rPr>
              <w:t> </w:t>
            </w:r>
            <w:r>
              <w:rPr>
                <w:b/>
                <w:color w:val="FFFFFF"/>
                <w:sz w:val="16"/>
              </w:rPr>
              <w:t>985</w:t>
            </w:r>
            <w:r>
              <w:rPr>
                <w:b/>
                <w:color w:val="FFFFFF"/>
                <w:spacing w:val="-2"/>
                <w:sz w:val="16"/>
              </w:rPr>
              <w:t> 209,51</w:t>
            </w:r>
          </w:p>
        </w:tc>
        <w:tc>
          <w:tcPr>
            <w:tcW w:w="1354"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3" w:lineRule="exact" w:before="41"/>
              <w:ind w:right="61"/>
              <w:jc w:val="right"/>
              <w:rPr>
                <w:b/>
                <w:sz w:val="16"/>
              </w:rPr>
            </w:pPr>
            <w:r>
              <w:rPr>
                <w:b/>
                <w:color w:val="FFFFFF"/>
                <w:sz w:val="16"/>
              </w:rPr>
              <w:t>201</w:t>
            </w:r>
            <w:r>
              <w:rPr>
                <w:b/>
                <w:color w:val="FFFFFF"/>
                <w:spacing w:val="-2"/>
                <w:sz w:val="16"/>
              </w:rPr>
              <w:t> </w:t>
            </w:r>
            <w:r>
              <w:rPr>
                <w:b/>
                <w:color w:val="FFFFFF"/>
                <w:sz w:val="16"/>
              </w:rPr>
              <w:t>028</w:t>
            </w:r>
            <w:r>
              <w:rPr>
                <w:b/>
                <w:color w:val="FFFFFF"/>
                <w:spacing w:val="-2"/>
                <w:sz w:val="16"/>
              </w:rPr>
              <w:t> 461,99</w:t>
            </w:r>
          </w:p>
        </w:tc>
        <w:tc>
          <w:tcPr>
            <w:tcW w:w="1878"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3" w:lineRule="exact" w:before="41"/>
              <w:ind w:right="60"/>
              <w:jc w:val="right"/>
              <w:rPr>
                <w:b/>
                <w:sz w:val="16"/>
              </w:rPr>
            </w:pPr>
            <w:r>
              <w:rPr>
                <w:b/>
                <w:color w:val="FFFFFF"/>
                <w:sz w:val="16"/>
              </w:rPr>
              <w:t>-10</w:t>
            </w:r>
            <w:r>
              <w:rPr>
                <w:b/>
                <w:color w:val="FFFFFF"/>
                <w:spacing w:val="-2"/>
                <w:sz w:val="16"/>
              </w:rPr>
              <w:t> </w:t>
            </w:r>
            <w:r>
              <w:rPr>
                <w:b/>
                <w:color w:val="FFFFFF"/>
                <w:sz w:val="16"/>
              </w:rPr>
              <w:t>956</w:t>
            </w:r>
            <w:r>
              <w:rPr>
                <w:b/>
                <w:color w:val="FFFFFF"/>
                <w:spacing w:val="-2"/>
                <w:sz w:val="16"/>
              </w:rPr>
              <w:t> 747,52</w:t>
            </w:r>
          </w:p>
        </w:tc>
        <w:tc>
          <w:tcPr>
            <w:tcW w:w="941"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3" w:lineRule="exact" w:before="41"/>
              <w:ind w:right="59"/>
              <w:jc w:val="right"/>
              <w:rPr>
                <w:b/>
                <w:sz w:val="16"/>
              </w:rPr>
            </w:pPr>
            <w:r>
              <w:rPr>
                <w:b/>
                <w:color w:val="FFFFFF"/>
                <w:spacing w:val="-2"/>
                <w:sz w:val="16"/>
              </w:rPr>
              <w:t>-5,17%</w:t>
            </w:r>
          </w:p>
        </w:tc>
      </w:tr>
    </w:tbl>
    <w:p>
      <w:pPr>
        <w:spacing w:before="4"/>
        <w:ind w:left="1625" w:right="0" w:firstLine="0"/>
        <w:jc w:val="both"/>
        <w:rPr>
          <w:sz w:val="18"/>
        </w:rPr>
      </w:pPr>
      <w:r>
        <w:rPr>
          <w:sz w:val="18"/>
        </w:rPr>
        <w:t>Fuente:</w:t>
      </w:r>
      <w:r>
        <w:rPr>
          <w:spacing w:val="-6"/>
          <w:sz w:val="18"/>
        </w:rPr>
        <w:t> </w:t>
      </w:r>
      <w:r>
        <w:rPr>
          <w:sz w:val="18"/>
        </w:rPr>
        <w:t>Presupuesto</w:t>
      </w:r>
      <w:r>
        <w:rPr>
          <w:spacing w:val="-6"/>
          <w:sz w:val="18"/>
        </w:rPr>
        <w:t> </w:t>
      </w:r>
      <w:r>
        <w:rPr>
          <w:sz w:val="18"/>
        </w:rPr>
        <w:t>Ordinario</w:t>
      </w:r>
      <w:r>
        <w:rPr>
          <w:spacing w:val="-5"/>
          <w:sz w:val="18"/>
        </w:rPr>
        <w:t> </w:t>
      </w:r>
      <w:r>
        <w:rPr>
          <w:spacing w:val="-4"/>
          <w:sz w:val="18"/>
        </w:rPr>
        <w:t>2027</w:t>
      </w:r>
    </w:p>
    <w:p>
      <w:pPr>
        <w:spacing w:after="0"/>
        <w:jc w:val="both"/>
        <w:rPr>
          <w:sz w:val="18"/>
        </w:rPr>
        <w:sectPr>
          <w:pgSz w:w="12240" w:h="15840"/>
          <w:pgMar w:header="0" w:footer="1576" w:top="1000" w:bottom="1760" w:left="360" w:right="0"/>
        </w:sectPr>
      </w:pPr>
    </w:p>
    <w:p>
      <w:pPr>
        <w:pStyle w:val="Heading5"/>
        <w:spacing w:before="69"/>
        <w:ind w:left="1468" w:right="1303"/>
        <w:jc w:val="center"/>
      </w:pPr>
      <w:bookmarkStart w:name="_bookmark57" w:id="58"/>
      <w:bookmarkEnd w:id="58"/>
      <w:r>
        <w:rPr>
          <w:b w:val="0"/>
        </w:rPr>
      </w:r>
      <w:r>
        <w:rPr/>
        <w:t>Tabla</w:t>
      </w:r>
      <w:r>
        <w:rPr>
          <w:spacing w:val="-2"/>
        </w:rPr>
        <w:t> </w:t>
      </w:r>
      <w:r>
        <w:rPr/>
        <w:t>11:Comparación</w:t>
      </w:r>
      <w:r>
        <w:rPr>
          <w:spacing w:val="-6"/>
        </w:rPr>
        <w:t> </w:t>
      </w:r>
      <w:r>
        <w:rPr/>
        <w:t>del</w:t>
      </w:r>
      <w:r>
        <w:rPr>
          <w:spacing w:val="-1"/>
        </w:rPr>
        <w:t> </w:t>
      </w:r>
      <w:r>
        <w:rPr/>
        <w:t>Presupuesto</w:t>
      </w:r>
      <w:r>
        <w:rPr>
          <w:spacing w:val="-3"/>
        </w:rPr>
        <w:t> </w:t>
      </w:r>
      <w:r>
        <w:rPr/>
        <w:t>ordinario</w:t>
      </w:r>
      <w:r>
        <w:rPr>
          <w:spacing w:val="-1"/>
        </w:rPr>
        <w:t> </w:t>
      </w:r>
      <w:r>
        <w:rPr/>
        <w:t>de</w:t>
      </w:r>
      <w:r>
        <w:rPr>
          <w:spacing w:val="-6"/>
        </w:rPr>
        <w:t> </w:t>
      </w:r>
      <w:r>
        <w:rPr/>
        <w:t>gasto</w:t>
      </w:r>
      <w:r>
        <w:rPr>
          <w:spacing w:val="-5"/>
        </w:rPr>
        <w:t> </w:t>
      </w:r>
      <w:r>
        <w:rPr/>
        <w:t>periodo</w:t>
      </w:r>
      <w:r>
        <w:rPr>
          <w:spacing w:val="-3"/>
        </w:rPr>
        <w:t> </w:t>
      </w:r>
      <w:r>
        <w:rPr/>
        <w:t>2026</w:t>
      </w:r>
      <w:r>
        <w:rPr>
          <w:spacing w:val="-3"/>
        </w:rPr>
        <w:t> </w:t>
      </w:r>
      <w:r>
        <w:rPr/>
        <w:t>y</w:t>
      </w:r>
      <w:r>
        <w:rPr>
          <w:spacing w:val="-3"/>
        </w:rPr>
        <w:t> </w:t>
      </w:r>
      <w:r>
        <w:rPr/>
        <w:t>2027,</w:t>
      </w:r>
      <w:r>
        <w:rPr>
          <w:spacing w:val="-1"/>
        </w:rPr>
        <w:t> </w:t>
      </w:r>
      <w:r>
        <w:rPr/>
        <w:t>según partidas Programa Actividades Centrales, Auditoria y Avancemos</w:t>
      </w:r>
    </w:p>
    <w:p>
      <w:pPr>
        <w:spacing w:before="1"/>
        <w:ind w:left="1462" w:right="1303" w:firstLine="0"/>
        <w:jc w:val="center"/>
        <w:rPr>
          <w:b/>
          <w:sz w:val="22"/>
        </w:rPr>
      </w:pPr>
      <w:r>
        <w:rPr>
          <w:b/>
          <w:sz w:val="22"/>
        </w:rPr>
        <w:t>(Miles</w:t>
      </w:r>
      <w:r>
        <w:rPr>
          <w:b/>
          <w:spacing w:val="-4"/>
          <w:sz w:val="22"/>
        </w:rPr>
        <w:t> </w:t>
      </w:r>
      <w:r>
        <w:rPr>
          <w:b/>
          <w:sz w:val="22"/>
        </w:rPr>
        <w:t>de</w:t>
      </w:r>
      <w:r>
        <w:rPr>
          <w:b/>
          <w:spacing w:val="-2"/>
          <w:sz w:val="22"/>
        </w:rPr>
        <w:t> colones)</w:t>
      </w:r>
    </w:p>
    <w:p>
      <w:pPr>
        <w:pStyle w:val="BodyText"/>
        <w:spacing w:before="45"/>
        <w:rPr>
          <w:b/>
          <w:sz w:val="20"/>
        </w:rPr>
      </w:pPr>
    </w:p>
    <w:tbl>
      <w:tblPr>
        <w:tblW w:w="0" w:type="auto"/>
        <w:jc w:val="left"/>
        <w:tblInd w:w="1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45"/>
        <w:gridCol w:w="2554"/>
        <w:gridCol w:w="1966"/>
        <w:gridCol w:w="1351"/>
        <w:gridCol w:w="1028"/>
        <w:gridCol w:w="1608"/>
      </w:tblGrid>
      <w:tr>
        <w:trPr>
          <w:trHeight w:val="553" w:hRule="atLeast"/>
        </w:trPr>
        <w:tc>
          <w:tcPr>
            <w:tcW w:w="845" w:type="dxa"/>
            <w:vMerge w:val="restart"/>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97"/>
              <w:rPr>
                <w:b/>
                <w:sz w:val="16"/>
              </w:rPr>
            </w:pPr>
          </w:p>
          <w:p>
            <w:pPr>
              <w:pStyle w:val="TableParagraph"/>
              <w:ind w:left="98"/>
              <w:rPr>
                <w:b/>
                <w:sz w:val="16"/>
              </w:rPr>
            </w:pPr>
            <w:r>
              <w:rPr>
                <w:b/>
                <w:color w:val="FFFFFF"/>
                <w:spacing w:val="-2"/>
                <w:sz w:val="16"/>
              </w:rPr>
              <w:t>CODIGO</w:t>
            </w: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97"/>
              <w:rPr>
                <w:b/>
                <w:sz w:val="16"/>
              </w:rPr>
            </w:pPr>
          </w:p>
          <w:p>
            <w:pPr>
              <w:pStyle w:val="TableParagraph"/>
              <w:ind w:left="7"/>
              <w:jc w:val="center"/>
              <w:rPr>
                <w:b/>
                <w:sz w:val="16"/>
              </w:rPr>
            </w:pPr>
            <w:r>
              <w:rPr>
                <w:b/>
                <w:color w:val="FFFFFF"/>
                <w:spacing w:val="-2"/>
                <w:sz w:val="16"/>
              </w:rPr>
              <w:t>PARTIDAS</w:t>
            </w:r>
          </w:p>
        </w:tc>
        <w:tc>
          <w:tcPr>
            <w:tcW w:w="1966" w:type="dxa"/>
            <w:vMerge w:val="restart"/>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92"/>
              <w:rPr>
                <w:b/>
                <w:sz w:val="16"/>
              </w:rPr>
            </w:pPr>
          </w:p>
          <w:p>
            <w:pPr>
              <w:pStyle w:val="TableParagraph"/>
              <w:spacing w:before="1"/>
              <w:ind w:left="174"/>
              <w:rPr>
                <w:b/>
                <w:sz w:val="16"/>
              </w:rPr>
            </w:pPr>
            <w:r>
              <w:rPr>
                <w:b/>
                <w:color w:val="FFFFFF"/>
                <w:sz w:val="16"/>
              </w:rPr>
              <w:t>PRESUPUESTO</w:t>
            </w:r>
            <w:r>
              <w:rPr>
                <w:b/>
                <w:color w:val="FFFFFF"/>
                <w:spacing w:val="-10"/>
                <w:sz w:val="16"/>
              </w:rPr>
              <w:t> </w:t>
            </w:r>
            <w:r>
              <w:rPr>
                <w:b/>
                <w:color w:val="FFFFFF"/>
                <w:spacing w:val="-4"/>
                <w:sz w:val="16"/>
              </w:rPr>
              <w:t>2026</w:t>
            </w:r>
          </w:p>
        </w:tc>
        <w:tc>
          <w:tcPr>
            <w:tcW w:w="1351" w:type="dxa"/>
            <w:vMerge w:val="restart"/>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1"/>
              <w:rPr>
                <w:b/>
                <w:sz w:val="16"/>
              </w:rPr>
            </w:pPr>
          </w:p>
          <w:p>
            <w:pPr>
              <w:pStyle w:val="TableParagraph"/>
              <w:ind w:left="496" w:hanging="428"/>
              <w:rPr>
                <w:b/>
                <w:sz w:val="16"/>
              </w:rPr>
            </w:pPr>
            <w:r>
              <w:rPr>
                <w:b/>
                <w:color w:val="FFFFFF"/>
                <w:spacing w:val="-2"/>
                <w:sz w:val="16"/>
              </w:rPr>
              <w:t>PRESUPUESTO </w:t>
            </w:r>
            <w:r>
              <w:rPr>
                <w:b/>
                <w:color w:val="FFFFFF"/>
                <w:spacing w:val="-4"/>
                <w:sz w:val="16"/>
              </w:rPr>
              <w:t>2027</w:t>
            </w:r>
          </w:p>
        </w:tc>
        <w:tc>
          <w:tcPr>
            <w:tcW w:w="2636" w:type="dxa"/>
            <w:gridSpan w:val="2"/>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1"/>
              <w:rPr>
                <w:b/>
                <w:sz w:val="16"/>
              </w:rPr>
            </w:pPr>
          </w:p>
          <w:p>
            <w:pPr>
              <w:pStyle w:val="TableParagraph"/>
              <w:ind w:left="127"/>
              <w:rPr>
                <w:b/>
                <w:sz w:val="16"/>
              </w:rPr>
            </w:pPr>
            <w:r>
              <w:rPr>
                <w:b/>
                <w:color w:val="FFFFFF"/>
                <w:sz w:val="16"/>
              </w:rPr>
              <w:t>VARIACIÓN</w:t>
            </w:r>
            <w:r>
              <w:rPr>
                <w:b/>
                <w:color w:val="FFFFFF"/>
                <w:spacing w:val="-7"/>
                <w:sz w:val="16"/>
              </w:rPr>
              <w:t> </w:t>
            </w:r>
            <w:r>
              <w:rPr>
                <w:b/>
                <w:color w:val="FFFFFF"/>
                <w:sz w:val="16"/>
              </w:rPr>
              <w:t>ENTRE</w:t>
            </w:r>
            <w:r>
              <w:rPr>
                <w:b/>
                <w:color w:val="FFFFFF"/>
                <w:spacing w:val="-5"/>
                <w:sz w:val="16"/>
              </w:rPr>
              <w:t> </w:t>
            </w:r>
            <w:r>
              <w:rPr>
                <w:b/>
                <w:color w:val="FFFFFF"/>
                <w:spacing w:val="-2"/>
                <w:sz w:val="16"/>
              </w:rPr>
              <w:t>PERIODOS</w:t>
            </w:r>
          </w:p>
        </w:tc>
      </w:tr>
      <w:tr>
        <w:trPr>
          <w:trHeight w:val="182" w:hRule="atLeast"/>
        </w:trPr>
        <w:tc>
          <w:tcPr>
            <w:tcW w:w="845" w:type="dxa"/>
            <w:vMerge/>
            <w:tcBorders>
              <w:top w:val="nil"/>
              <w:left w:val="single" w:sz="4" w:space="0" w:color="000000"/>
              <w:bottom w:val="single" w:sz="4" w:space="0" w:color="000000"/>
              <w:right w:val="single" w:sz="4" w:space="0" w:color="000000"/>
            </w:tcBorders>
            <w:shd w:val="clear" w:color="auto" w:fill="0E233D"/>
          </w:tcPr>
          <w:p>
            <w:pPr>
              <w:rPr>
                <w:sz w:val="2"/>
                <w:szCs w:val="2"/>
              </w:rPr>
            </w:pPr>
          </w:p>
        </w:tc>
        <w:tc>
          <w:tcPr>
            <w:tcW w:w="2554" w:type="dxa"/>
            <w:vMerge/>
            <w:tcBorders>
              <w:top w:val="nil"/>
              <w:left w:val="single" w:sz="4" w:space="0" w:color="000000"/>
              <w:bottom w:val="single" w:sz="4" w:space="0" w:color="000000"/>
              <w:right w:val="single" w:sz="4" w:space="0" w:color="000000"/>
            </w:tcBorders>
            <w:shd w:val="clear" w:color="auto" w:fill="0E233D"/>
          </w:tcPr>
          <w:p>
            <w:pPr>
              <w:rPr>
                <w:sz w:val="2"/>
                <w:szCs w:val="2"/>
              </w:rPr>
            </w:pPr>
          </w:p>
        </w:tc>
        <w:tc>
          <w:tcPr>
            <w:tcW w:w="1966" w:type="dxa"/>
            <w:vMerge/>
            <w:tcBorders>
              <w:top w:val="nil"/>
              <w:left w:val="single" w:sz="4" w:space="0" w:color="000000"/>
              <w:bottom w:val="single" w:sz="4" w:space="0" w:color="000000"/>
              <w:right w:val="single" w:sz="4" w:space="0" w:color="000000"/>
            </w:tcBorders>
            <w:shd w:val="clear" w:color="auto" w:fill="0E233D"/>
          </w:tcPr>
          <w:p>
            <w:pPr>
              <w:rPr>
                <w:sz w:val="2"/>
                <w:szCs w:val="2"/>
              </w:rPr>
            </w:pPr>
          </w:p>
        </w:tc>
        <w:tc>
          <w:tcPr>
            <w:tcW w:w="1351" w:type="dxa"/>
            <w:vMerge/>
            <w:tcBorders>
              <w:top w:val="nil"/>
              <w:left w:val="single" w:sz="4" w:space="0" w:color="000000"/>
              <w:bottom w:val="single" w:sz="4" w:space="0" w:color="000000"/>
              <w:right w:val="single" w:sz="4" w:space="0" w:color="000000"/>
            </w:tcBorders>
            <w:shd w:val="clear" w:color="auto" w:fill="0E233D"/>
          </w:tcPr>
          <w:p>
            <w:pPr>
              <w:rPr>
                <w:sz w:val="2"/>
                <w:szCs w:val="2"/>
              </w:rPr>
            </w:pPr>
          </w:p>
        </w:tc>
        <w:tc>
          <w:tcPr>
            <w:tcW w:w="1028"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2" w:lineRule="exact"/>
              <w:ind w:right="57"/>
              <w:jc w:val="right"/>
              <w:rPr>
                <w:b/>
                <w:sz w:val="16"/>
              </w:rPr>
            </w:pPr>
            <w:r>
              <w:rPr>
                <w:b/>
                <w:color w:val="FFFFFF"/>
                <w:spacing w:val="-2"/>
                <w:sz w:val="16"/>
              </w:rPr>
              <w:t>ABSOLUTA</w:t>
            </w:r>
          </w:p>
        </w:tc>
        <w:tc>
          <w:tcPr>
            <w:tcW w:w="1608"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2" w:lineRule="exact"/>
              <w:ind w:left="402"/>
              <w:rPr>
                <w:b/>
                <w:sz w:val="16"/>
              </w:rPr>
            </w:pPr>
            <w:r>
              <w:rPr>
                <w:b/>
                <w:color w:val="FFFFFF"/>
                <w:spacing w:val="-2"/>
                <w:sz w:val="16"/>
              </w:rPr>
              <w:t>RELATIVA</w:t>
            </w:r>
          </w:p>
        </w:tc>
      </w:tr>
      <w:tr>
        <w:trPr>
          <w:trHeight w:val="248" w:hRule="atLeast"/>
        </w:trPr>
        <w:tc>
          <w:tcPr>
            <w:tcW w:w="845" w:type="dxa"/>
            <w:tcBorders>
              <w:top w:val="single" w:sz="4" w:space="0" w:color="000000"/>
            </w:tcBorders>
          </w:tcPr>
          <w:p>
            <w:pPr>
              <w:pStyle w:val="TableParagraph"/>
              <w:spacing w:before="41"/>
              <w:ind w:left="7"/>
              <w:jc w:val="center"/>
              <w:rPr>
                <w:sz w:val="16"/>
              </w:rPr>
            </w:pPr>
            <w:r>
              <w:rPr>
                <w:spacing w:val="-10"/>
                <w:sz w:val="16"/>
              </w:rPr>
              <w:t>0</w:t>
            </w:r>
          </w:p>
        </w:tc>
        <w:tc>
          <w:tcPr>
            <w:tcW w:w="2554" w:type="dxa"/>
            <w:tcBorders>
              <w:top w:val="single" w:sz="4" w:space="0" w:color="000000"/>
            </w:tcBorders>
          </w:tcPr>
          <w:p>
            <w:pPr>
              <w:pStyle w:val="TableParagraph"/>
              <w:spacing w:before="41"/>
              <w:ind w:left="74"/>
              <w:rPr>
                <w:sz w:val="16"/>
              </w:rPr>
            </w:pPr>
            <w:r>
              <w:rPr>
                <w:spacing w:val="-2"/>
                <w:sz w:val="16"/>
              </w:rPr>
              <w:t>REMUNERACIONES</w:t>
            </w:r>
          </w:p>
        </w:tc>
        <w:tc>
          <w:tcPr>
            <w:tcW w:w="1966" w:type="dxa"/>
            <w:tcBorders>
              <w:top w:val="single" w:sz="4" w:space="0" w:color="000000"/>
            </w:tcBorders>
          </w:tcPr>
          <w:p>
            <w:pPr>
              <w:pStyle w:val="TableParagraph"/>
              <w:spacing w:before="41"/>
              <w:ind w:right="63"/>
              <w:jc w:val="right"/>
              <w:rPr>
                <w:sz w:val="16"/>
              </w:rPr>
            </w:pPr>
            <w:r>
              <w:rPr>
                <w:sz w:val="16"/>
              </w:rPr>
              <w:t>5</w:t>
            </w:r>
            <w:r>
              <w:rPr>
                <w:spacing w:val="-1"/>
                <w:sz w:val="16"/>
              </w:rPr>
              <w:t> </w:t>
            </w:r>
            <w:r>
              <w:rPr>
                <w:sz w:val="16"/>
              </w:rPr>
              <w:t>373</w:t>
            </w:r>
            <w:r>
              <w:rPr>
                <w:spacing w:val="-1"/>
                <w:sz w:val="16"/>
              </w:rPr>
              <w:t> </w:t>
            </w:r>
            <w:r>
              <w:rPr>
                <w:spacing w:val="-2"/>
                <w:sz w:val="16"/>
              </w:rPr>
              <w:t>784,23</w:t>
            </w:r>
          </w:p>
        </w:tc>
        <w:tc>
          <w:tcPr>
            <w:tcW w:w="1351" w:type="dxa"/>
            <w:tcBorders>
              <w:top w:val="single" w:sz="4" w:space="0" w:color="000000"/>
            </w:tcBorders>
          </w:tcPr>
          <w:p>
            <w:pPr>
              <w:pStyle w:val="TableParagraph"/>
              <w:spacing w:before="41"/>
              <w:ind w:right="62"/>
              <w:jc w:val="right"/>
              <w:rPr>
                <w:sz w:val="16"/>
              </w:rPr>
            </w:pPr>
            <w:r>
              <w:rPr>
                <w:sz w:val="16"/>
              </w:rPr>
              <w:t>5</w:t>
            </w:r>
            <w:r>
              <w:rPr>
                <w:spacing w:val="-1"/>
                <w:sz w:val="16"/>
              </w:rPr>
              <w:t> </w:t>
            </w:r>
            <w:r>
              <w:rPr>
                <w:sz w:val="16"/>
              </w:rPr>
              <w:t>708</w:t>
            </w:r>
            <w:r>
              <w:rPr>
                <w:spacing w:val="-1"/>
                <w:sz w:val="16"/>
              </w:rPr>
              <w:t> </w:t>
            </w:r>
            <w:r>
              <w:rPr>
                <w:spacing w:val="-2"/>
                <w:sz w:val="16"/>
              </w:rPr>
              <w:t>628,76</w:t>
            </w:r>
          </w:p>
        </w:tc>
        <w:tc>
          <w:tcPr>
            <w:tcW w:w="1028" w:type="dxa"/>
            <w:tcBorders>
              <w:top w:val="single" w:sz="4" w:space="0" w:color="000000"/>
            </w:tcBorders>
          </w:tcPr>
          <w:p>
            <w:pPr>
              <w:pStyle w:val="TableParagraph"/>
              <w:spacing w:before="41"/>
              <w:ind w:right="65"/>
              <w:jc w:val="right"/>
              <w:rPr>
                <w:sz w:val="16"/>
              </w:rPr>
            </w:pPr>
            <w:r>
              <w:rPr>
                <w:sz w:val="16"/>
              </w:rPr>
              <w:t>334</w:t>
            </w:r>
            <w:r>
              <w:rPr>
                <w:spacing w:val="-2"/>
                <w:sz w:val="16"/>
              </w:rPr>
              <w:t> 844,52</w:t>
            </w:r>
          </w:p>
        </w:tc>
        <w:tc>
          <w:tcPr>
            <w:tcW w:w="1608" w:type="dxa"/>
            <w:tcBorders>
              <w:top w:val="single" w:sz="4" w:space="0" w:color="000000"/>
            </w:tcBorders>
          </w:tcPr>
          <w:p>
            <w:pPr>
              <w:pStyle w:val="TableParagraph"/>
              <w:spacing w:before="41"/>
              <w:ind w:right="61"/>
              <w:jc w:val="right"/>
              <w:rPr>
                <w:sz w:val="16"/>
              </w:rPr>
            </w:pPr>
            <w:r>
              <w:rPr>
                <w:spacing w:val="-2"/>
                <w:sz w:val="16"/>
              </w:rPr>
              <w:t>6,23%</w:t>
            </w:r>
          </w:p>
        </w:tc>
      </w:tr>
      <w:tr>
        <w:trPr>
          <w:trHeight w:val="225" w:hRule="atLeast"/>
        </w:trPr>
        <w:tc>
          <w:tcPr>
            <w:tcW w:w="845" w:type="dxa"/>
          </w:tcPr>
          <w:p>
            <w:pPr>
              <w:pStyle w:val="TableParagraph"/>
              <w:spacing w:before="18"/>
              <w:ind w:left="7"/>
              <w:jc w:val="center"/>
              <w:rPr>
                <w:sz w:val="16"/>
              </w:rPr>
            </w:pPr>
            <w:r>
              <w:rPr>
                <w:spacing w:val="-10"/>
                <w:sz w:val="16"/>
              </w:rPr>
              <w:t>1</w:t>
            </w:r>
          </w:p>
        </w:tc>
        <w:tc>
          <w:tcPr>
            <w:tcW w:w="2554" w:type="dxa"/>
          </w:tcPr>
          <w:p>
            <w:pPr>
              <w:pStyle w:val="TableParagraph"/>
              <w:spacing w:before="18"/>
              <w:ind w:left="74"/>
              <w:rPr>
                <w:sz w:val="16"/>
              </w:rPr>
            </w:pPr>
            <w:r>
              <w:rPr>
                <w:spacing w:val="-2"/>
                <w:sz w:val="16"/>
              </w:rPr>
              <w:t>SERVICIOS</w:t>
            </w:r>
          </w:p>
        </w:tc>
        <w:tc>
          <w:tcPr>
            <w:tcW w:w="1966" w:type="dxa"/>
          </w:tcPr>
          <w:p>
            <w:pPr>
              <w:pStyle w:val="TableParagraph"/>
              <w:spacing w:before="18"/>
              <w:ind w:right="63"/>
              <w:jc w:val="right"/>
              <w:rPr>
                <w:sz w:val="16"/>
              </w:rPr>
            </w:pPr>
            <w:r>
              <w:rPr>
                <w:sz w:val="16"/>
              </w:rPr>
              <w:t>4</w:t>
            </w:r>
            <w:r>
              <w:rPr>
                <w:spacing w:val="-1"/>
                <w:sz w:val="16"/>
              </w:rPr>
              <w:t> </w:t>
            </w:r>
            <w:r>
              <w:rPr>
                <w:sz w:val="16"/>
              </w:rPr>
              <w:t>961</w:t>
            </w:r>
            <w:r>
              <w:rPr>
                <w:spacing w:val="-1"/>
                <w:sz w:val="16"/>
              </w:rPr>
              <w:t> </w:t>
            </w:r>
            <w:r>
              <w:rPr>
                <w:spacing w:val="-2"/>
                <w:sz w:val="16"/>
              </w:rPr>
              <w:t>336,18</w:t>
            </w:r>
          </w:p>
        </w:tc>
        <w:tc>
          <w:tcPr>
            <w:tcW w:w="1351" w:type="dxa"/>
          </w:tcPr>
          <w:p>
            <w:pPr>
              <w:pStyle w:val="TableParagraph"/>
              <w:spacing w:before="18"/>
              <w:ind w:right="62"/>
              <w:jc w:val="right"/>
              <w:rPr>
                <w:sz w:val="16"/>
              </w:rPr>
            </w:pPr>
            <w:r>
              <w:rPr>
                <w:sz w:val="16"/>
              </w:rPr>
              <w:t>5</w:t>
            </w:r>
            <w:r>
              <w:rPr>
                <w:spacing w:val="-1"/>
                <w:sz w:val="16"/>
              </w:rPr>
              <w:t> </w:t>
            </w:r>
            <w:r>
              <w:rPr>
                <w:sz w:val="16"/>
              </w:rPr>
              <w:t>057</w:t>
            </w:r>
            <w:r>
              <w:rPr>
                <w:spacing w:val="-1"/>
                <w:sz w:val="16"/>
              </w:rPr>
              <w:t> </w:t>
            </w:r>
            <w:r>
              <w:rPr>
                <w:spacing w:val="-2"/>
                <w:sz w:val="16"/>
              </w:rPr>
              <w:t>782,76</w:t>
            </w:r>
          </w:p>
        </w:tc>
        <w:tc>
          <w:tcPr>
            <w:tcW w:w="1028" w:type="dxa"/>
          </w:tcPr>
          <w:p>
            <w:pPr>
              <w:pStyle w:val="TableParagraph"/>
              <w:spacing w:before="18"/>
              <w:ind w:right="65"/>
              <w:jc w:val="right"/>
              <w:rPr>
                <w:sz w:val="16"/>
              </w:rPr>
            </w:pPr>
            <w:r>
              <w:rPr>
                <w:sz w:val="16"/>
              </w:rPr>
              <w:t>96</w:t>
            </w:r>
            <w:r>
              <w:rPr>
                <w:spacing w:val="-1"/>
                <w:sz w:val="16"/>
              </w:rPr>
              <w:t> </w:t>
            </w:r>
            <w:r>
              <w:rPr>
                <w:spacing w:val="-2"/>
                <w:sz w:val="16"/>
              </w:rPr>
              <w:t>446,58</w:t>
            </w:r>
          </w:p>
        </w:tc>
        <w:tc>
          <w:tcPr>
            <w:tcW w:w="1608" w:type="dxa"/>
          </w:tcPr>
          <w:p>
            <w:pPr>
              <w:pStyle w:val="TableParagraph"/>
              <w:spacing w:before="18"/>
              <w:ind w:right="61"/>
              <w:jc w:val="right"/>
              <w:rPr>
                <w:sz w:val="16"/>
              </w:rPr>
            </w:pPr>
            <w:r>
              <w:rPr>
                <w:spacing w:val="-2"/>
                <w:sz w:val="16"/>
              </w:rPr>
              <w:t>1,94%</w:t>
            </w:r>
          </w:p>
        </w:tc>
      </w:tr>
      <w:tr>
        <w:trPr>
          <w:trHeight w:val="224" w:hRule="atLeast"/>
        </w:trPr>
        <w:tc>
          <w:tcPr>
            <w:tcW w:w="845" w:type="dxa"/>
          </w:tcPr>
          <w:p>
            <w:pPr>
              <w:pStyle w:val="TableParagraph"/>
              <w:spacing w:before="18"/>
              <w:ind w:left="7"/>
              <w:jc w:val="center"/>
              <w:rPr>
                <w:sz w:val="16"/>
              </w:rPr>
            </w:pPr>
            <w:r>
              <w:rPr>
                <w:spacing w:val="-10"/>
                <w:sz w:val="16"/>
              </w:rPr>
              <w:t>2</w:t>
            </w:r>
          </w:p>
        </w:tc>
        <w:tc>
          <w:tcPr>
            <w:tcW w:w="2554" w:type="dxa"/>
          </w:tcPr>
          <w:p>
            <w:pPr>
              <w:pStyle w:val="TableParagraph"/>
              <w:spacing w:before="18"/>
              <w:ind w:left="74"/>
              <w:rPr>
                <w:sz w:val="16"/>
              </w:rPr>
            </w:pPr>
            <w:r>
              <w:rPr>
                <w:sz w:val="16"/>
              </w:rPr>
              <w:t>MATERIALES</w:t>
            </w:r>
            <w:r>
              <w:rPr>
                <w:spacing w:val="-6"/>
                <w:sz w:val="16"/>
              </w:rPr>
              <w:t> </w:t>
            </w:r>
            <w:r>
              <w:rPr>
                <w:sz w:val="16"/>
              </w:rPr>
              <w:t>Y</w:t>
            </w:r>
            <w:r>
              <w:rPr>
                <w:spacing w:val="-5"/>
                <w:sz w:val="16"/>
              </w:rPr>
              <w:t> </w:t>
            </w:r>
            <w:r>
              <w:rPr>
                <w:spacing w:val="-2"/>
                <w:sz w:val="16"/>
              </w:rPr>
              <w:t>SUMINISTROS</w:t>
            </w:r>
          </w:p>
        </w:tc>
        <w:tc>
          <w:tcPr>
            <w:tcW w:w="1966" w:type="dxa"/>
          </w:tcPr>
          <w:p>
            <w:pPr>
              <w:pStyle w:val="TableParagraph"/>
              <w:spacing w:before="18"/>
              <w:ind w:right="63"/>
              <w:jc w:val="right"/>
              <w:rPr>
                <w:sz w:val="16"/>
              </w:rPr>
            </w:pPr>
            <w:r>
              <w:rPr>
                <w:sz w:val="16"/>
              </w:rPr>
              <w:t>333</w:t>
            </w:r>
            <w:r>
              <w:rPr>
                <w:spacing w:val="-2"/>
                <w:sz w:val="16"/>
              </w:rPr>
              <w:t> 820,40</w:t>
            </w:r>
          </w:p>
        </w:tc>
        <w:tc>
          <w:tcPr>
            <w:tcW w:w="1351" w:type="dxa"/>
          </w:tcPr>
          <w:p>
            <w:pPr>
              <w:pStyle w:val="TableParagraph"/>
              <w:spacing w:before="18"/>
              <w:ind w:right="64"/>
              <w:jc w:val="right"/>
              <w:rPr>
                <w:sz w:val="16"/>
              </w:rPr>
            </w:pPr>
            <w:r>
              <w:rPr>
                <w:sz w:val="16"/>
              </w:rPr>
              <w:t>369</w:t>
            </w:r>
            <w:r>
              <w:rPr>
                <w:spacing w:val="-2"/>
                <w:sz w:val="16"/>
              </w:rPr>
              <w:t> 540,99</w:t>
            </w:r>
          </w:p>
        </w:tc>
        <w:tc>
          <w:tcPr>
            <w:tcW w:w="1028" w:type="dxa"/>
          </w:tcPr>
          <w:p>
            <w:pPr>
              <w:pStyle w:val="TableParagraph"/>
              <w:spacing w:before="18"/>
              <w:ind w:right="65"/>
              <w:jc w:val="right"/>
              <w:rPr>
                <w:sz w:val="16"/>
              </w:rPr>
            </w:pPr>
            <w:r>
              <w:rPr>
                <w:sz w:val="16"/>
              </w:rPr>
              <w:t>35</w:t>
            </w:r>
            <w:r>
              <w:rPr>
                <w:spacing w:val="-1"/>
                <w:sz w:val="16"/>
              </w:rPr>
              <w:t> </w:t>
            </w:r>
            <w:r>
              <w:rPr>
                <w:spacing w:val="-2"/>
                <w:sz w:val="16"/>
              </w:rPr>
              <w:t>720,59</w:t>
            </w:r>
          </w:p>
        </w:tc>
        <w:tc>
          <w:tcPr>
            <w:tcW w:w="1608" w:type="dxa"/>
          </w:tcPr>
          <w:p>
            <w:pPr>
              <w:pStyle w:val="TableParagraph"/>
              <w:spacing w:before="18"/>
              <w:ind w:right="61"/>
              <w:jc w:val="right"/>
              <w:rPr>
                <w:sz w:val="16"/>
              </w:rPr>
            </w:pPr>
            <w:r>
              <w:rPr>
                <w:spacing w:val="-2"/>
                <w:sz w:val="16"/>
              </w:rPr>
              <w:t>10,70%</w:t>
            </w:r>
          </w:p>
        </w:tc>
      </w:tr>
      <w:tr>
        <w:trPr>
          <w:trHeight w:val="204" w:hRule="atLeast"/>
        </w:trPr>
        <w:tc>
          <w:tcPr>
            <w:tcW w:w="845" w:type="dxa"/>
          </w:tcPr>
          <w:p>
            <w:pPr>
              <w:pStyle w:val="TableParagraph"/>
              <w:spacing w:line="167" w:lineRule="exact" w:before="17"/>
              <w:ind w:left="7"/>
              <w:jc w:val="center"/>
              <w:rPr>
                <w:sz w:val="16"/>
              </w:rPr>
            </w:pPr>
            <w:r>
              <w:rPr>
                <w:spacing w:val="-10"/>
                <w:sz w:val="16"/>
              </w:rPr>
              <w:t>5</w:t>
            </w:r>
          </w:p>
        </w:tc>
        <w:tc>
          <w:tcPr>
            <w:tcW w:w="2554" w:type="dxa"/>
          </w:tcPr>
          <w:p>
            <w:pPr>
              <w:pStyle w:val="TableParagraph"/>
              <w:spacing w:line="167" w:lineRule="exact" w:before="17"/>
              <w:ind w:left="74"/>
              <w:rPr>
                <w:sz w:val="16"/>
              </w:rPr>
            </w:pPr>
            <w:r>
              <w:rPr>
                <w:sz w:val="16"/>
              </w:rPr>
              <w:t>BIENES</w:t>
            </w:r>
            <w:r>
              <w:rPr>
                <w:spacing w:val="-4"/>
                <w:sz w:val="16"/>
              </w:rPr>
              <w:t> </w:t>
            </w:r>
            <w:r>
              <w:rPr>
                <w:spacing w:val="-2"/>
                <w:sz w:val="16"/>
              </w:rPr>
              <w:t>DURADEROS</w:t>
            </w:r>
          </w:p>
        </w:tc>
        <w:tc>
          <w:tcPr>
            <w:tcW w:w="1966" w:type="dxa"/>
          </w:tcPr>
          <w:p>
            <w:pPr>
              <w:pStyle w:val="TableParagraph"/>
              <w:spacing w:line="167" w:lineRule="exact" w:before="17"/>
              <w:ind w:right="63"/>
              <w:jc w:val="right"/>
              <w:rPr>
                <w:sz w:val="16"/>
              </w:rPr>
            </w:pPr>
            <w:r>
              <w:rPr>
                <w:sz w:val="16"/>
              </w:rPr>
              <w:t>912</w:t>
            </w:r>
            <w:r>
              <w:rPr>
                <w:spacing w:val="-2"/>
                <w:sz w:val="16"/>
              </w:rPr>
              <w:t> 492,51</w:t>
            </w:r>
          </w:p>
        </w:tc>
        <w:tc>
          <w:tcPr>
            <w:tcW w:w="1351" w:type="dxa"/>
          </w:tcPr>
          <w:p>
            <w:pPr>
              <w:pStyle w:val="TableParagraph"/>
              <w:spacing w:line="167" w:lineRule="exact" w:before="17"/>
              <w:ind w:right="64"/>
              <w:jc w:val="right"/>
              <w:rPr>
                <w:sz w:val="16"/>
              </w:rPr>
            </w:pPr>
            <w:r>
              <w:rPr>
                <w:sz w:val="16"/>
              </w:rPr>
              <w:t>498</w:t>
            </w:r>
            <w:r>
              <w:rPr>
                <w:spacing w:val="-2"/>
                <w:sz w:val="16"/>
              </w:rPr>
              <w:t> 252,98</w:t>
            </w:r>
          </w:p>
        </w:tc>
        <w:tc>
          <w:tcPr>
            <w:tcW w:w="1028" w:type="dxa"/>
          </w:tcPr>
          <w:p>
            <w:pPr>
              <w:pStyle w:val="TableParagraph"/>
              <w:spacing w:line="167" w:lineRule="exact" w:before="17"/>
              <w:ind w:right="65"/>
              <w:jc w:val="right"/>
              <w:rPr>
                <w:sz w:val="16"/>
              </w:rPr>
            </w:pPr>
            <w:r>
              <w:rPr>
                <w:sz w:val="16"/>
              </w:rPr>
              <w:t>-414</w:t>
            </w:r>
            <w:r>
              <w:rPr>
                <w:spacing w:val="-3"/>
                <w:sz w:val="16"/>
              </w:rPr>
              <w:t> </w:t>
            </w:r>
            <w:r>
              <w:rPr>
                <w:spacing w:val="-2"/>
                <w:sz w:val="16"/>
              </w:rPr>
              <w:t>239,53</w:t>
            </w:r>
          </w:p>
        </w:tc>
        <w:tc>
          <w:tcPr>
            <w:tcW w:w="1608" w:type="dxa"/>
          </w:tcPr>
          <w:p>
            <w:pPr>
              <w:pStyle w:val="TableParagraph"/>
              <w:spacing w:line="167" w:lineRule="exact" w:before="17"/>
              <w:ind w:right="61"/>
              <w:jc w:val="right"/>
              <w:rPr>
                <w:sz w:val="16"/>
              </w:rPr>
            </w:pPr>
            <w:r>
              <w:rPr>
                <w:spacing w:val="-2"/>
                <w:sz w:val="16"/>
              </w:rPr>
              <w:t>-45,40%</w:t>
            </w:r>
          </w:p>
        </w:tc>
      </w:tr>
      <w:tr>
        <w:trPr>
          <w:trHeight w:val="390" w:hRule="atLeast"/>
        </w:trPr>
        <w:tc>
          <w:tcPr>
            <w:tcW w:w="845" w:type="dxa"/>
          </w:tcPr>
          <w:p>
            <w:pPr>
              <w:pStyle w:val="TableParagraph"/>
              <w:spacing w:before="183"/>
              <w:ind w:left="7"/>
              <w:jc w:val="center"/>
              <w:rPr>
                <w:sz w:val="16"/>
              </w:rPr>
            </w:pPr>
            <w:r>
              <w:rPr>
                <w:spacing w:val="-10"/>
                <w:sz w:val="16"/>
              </w:rPr>
              <w:t>6</w:t>
            </w:r>
          </w:p>
        </w:tc>
        <w:tc>
          <w:tcPr>
            <w:tcW w:w="2554" w:type="dxa"/>
          </w:tcPr>
          <w:p>
            <w:pPr>
              <w:pStyle w:val="TableParagraph"/>
              <w:ind w:left="74" w:right="1017"/>
              <w:rPr>
                <w:sz w:val="16"/>
              </w:rPr>
            </w:pPr>
            <w:r>
              <w:rPr>
                <w:spacing w:val="-2"/>
                <w:sz w:val="16"/>
              </w:rPr>
              <w:t>TRANSFERENCIAS CORRIENTES</w:t>
            </w:r>
          </w:p>
        </w:tc>
        <w:tc>
          <w:tcPr>
            <w:tcW w:w="1966" w:type="dxa"/>
          </w:tcPr>
          <w:p>
            <w:pPr>
              <w:pStyle w:val="TableParagraph"/>
              <w:spacing w:before="183"/>
              <w:ind w:right="63"/>
              <w:jc w:val="right"/>
              <w:rPr>
                <w:sz w:val="16"/>
              </w:rPr>
            </w:pPr>
            <w:r>
              <w:rPr>
                <w:sz w:val="16"/>
              </w:rPr>
              <w:t>918</w:t>
            </w:r>
            <w:r>
              <w:rPr>
                <w:spacing w:val="-2"/>
                <w:sz w:val="16"/>
              </w:rPr>
              <w:t> 800,00</w:t>
            </w:r>
          </w:p>
        </w:tc>
        <w:tc>
          <w:tcPr>
            <w:tcW w:w="1351" w:type="dxa"/>
          </w:tcPr>
          <w:p>
            <w:pPr>
              <w:pStyle w:val="TableParagraph"/>
              <w:spacing w:before="183"/>
              <w:ind w:right="64"/>
              <w:jc w:val="right"/>
              <w:rPr>
                <w:sz w:val="16"/>
              </w:rPr>
            </w:pPr>
            <w:r>
              <w:rPr>
                <w:sz w:val="16"/>
              </w:rPr>
              <w:t>772</w:t>
            </w:r>
            <w:r>
              <w:rPr>
                <w:spacing w:val="-2"/>
                <w:sz w:val="16"/>
              </w:rPr>
              <w:t> 000,00</w:t>
            </w:r>
          </w:p>
        </w:tc>
        <w:tc>
          <w:tcPr>
            <w:tcW w:w="1028" w:type="dxa"/>
          </w:tcPr>
          <w:p>
            <w:pPr>
              <w:pStyle w:val="TableParagraph"/>
              <w:spacing w:before="183"/>
              <w:ind w:right="65"/>
              <w:jc w:val="right"/>
              <w:rPr>
                <w:sz w:val="16"/>
              </w:rPr>
            </w:pPr>
            <w:r>
              <w:rPr>
                <w:sz w:val="16"/>
              </w:rPr>
              <w:t>-146</w:t>
            </w:r>
            <w:r>
              <w:rPr>
                <w:spacing w:val="-3"/>
                <w:sz w:val="16"/>
              </w:rPr>
              <w:t> </w:t>
            </w:r>
            <w:r>
              <w:rPr>
                <w:spacing w:val="-2"/>
                <w:sz w:val="16"/>
              </w:rPr>
              <w:t>800,00</w:t>
            </w:r>
          </w:p>
        </w:tc>
        <w:tc>
          <w:tcPr>
            <w:tcW w:w="1608" w:type="dxa"/>
          </w:tcPr>
          <w:p>
            <w:pPr>
              <w:pStyle w:val="TableParagraph"/>
              <w:spacing w:before="183"/>
              <w:ind w:right="61"/>
              <w:jc w:val="right"/>
              <w:rPr>
                <w:sz w:val="16"/>
              </w:rPr>
            </w:pPr>
            <w:r>
              <w:rPr>
                <w:spacing w:val="-2"/>
                <w:sz w:val="16"/>
              </w:rPr>
              <w:t>-15,98%</w:t>
            </w:r>
          </w:p>
        </w:tc>
      </w:tr>
      <w:tr>
        <w:trPr>
          <w:trHeight w:val="201" w:hRule="atLeast"/>
        </w:trPr>
        <w:tc>
          <w:tcPr>
            <w:tcW w:w="845" w:type="dxa"/>
            <w:tcBorders>
              <w:bottom w:val="single" w:sz="4" w:space="0" w:color="000000"/>
            </w:tcBorders>
          </w:tcPr>
          <w:p>
            <w:pPr>
              <w:pStyle w:val="TableParagraph"/>
              <w:spacing w:line="163" w:lineRule="exact" w:before="18"/>
              <w:ind w:left="7"/>
              <w:jc w:val="center"/>
              <w:rPr>
                <w:sz w:val="16"/>
              </w:rPr>
            </w:pPr>
            <w:r>
              <w:rPr>
                <w:spacing w:val="-10"/>
                <w:sz w:val="16"/>
              </w:rPr>
              <w:t>9</w:t>
            </w:r>
          </w:p>
        </w:tc>
        <w:tc>
          <w:tcPr>
            <w:tcW w:w="2554" w:type="dxa"/>
            <w:tcBorders>
              <w:bottom w:val="single" w:sz="4" w:space="0" w:color="000000"/>
            </w:tcBorders>
          </w:tcPr>
          <w:p>
            <w:pPr>
              <w:pStyle w:val="TableParagraph"/>
              <w:spacing w:line="163" w:lineRule="exact" w:before="18"/>
              <w:ind w:left="74"/>
              <w:rPr>
                <w:sz w:val="16"/>
              </w:rPr>
            </w:pPr>
            <w:r>
              <w:rPr>
                <w:sz w:val="16"/>
              </w:rPr>
              <w:t>CUENTAS</w:t>
            </w:r>
            <w:r>
              <w:rPr>
                <w:spacing w:val="-4"/>
                <w:sz w:val="16"/>
              </w:rPr>
              <w:t> </w:t>
            </w:r>
            <w:r>
              <w:rPr>
                <w:spacing w:val="-2"/>
                <w:sz w:val="16"/>
              </w:rPr>
              <w:t>ESPECIALES</w:t>
            </w:r>
          </w:p>
        </w:tc>
        <w:tc>
          <w:tcPr>
            <w:tcW w:w="1966" w:type="dxa"/>
            <w:tcBorders>
              <w:bottom w:val="single" w:sz="4" w:space="0" w:color="000000"/>
            </w:tcBorders>
          </w:tcPr>
          <w:p>
            <w:pPr>
              <w:pStyle w:val="TableParagraph"/>
              <w:rPr>
                <w:rFonts w:ascii="Times New Roman"/>
                <w:sz w:val="14"/>
              </w:rPr>
            </w:pPr>
          </w:p>
        </w:tc>
        <w:tc>
          <w:tcPr>
            <w:tcW w:w="1351" w:type="dxa"/>
            <w:tcBorders>
              <w:bottom w:val="single" w:sz="4" w:space="0" w:color="000000"/>
            </w:tcBorders>
          </w:tcPr>
          <w:p>
            <w:pPr>
              <w:pStyle w:val="TableParagraph"/>
              <w:rPr>
                <w:rFonts w:ascii="Times New Roman"/>
                <w:sz w:val="14"/>
              </w:rPr>
            </w:pPr>
          </w:p>
        </w:tc>
        <w:tc>
          <w:tcPr>
            <w:tcW w:w="1028" w:type="dxa"/>
            <w:tcBorders>
              <w:bottom w:val="single" w:sz="4" w:space="0" w:color="000000"/>
            </w:tcBorders>
          </w:tcPr>
          <w:p>
            <w:pPr>
              <w:pStyle w:val="TableParagraph"/>
              <w:rPr>
                <w:rFonts w:ascii="Times New Roman"/>
                <w:sz w:val="14"/>
              </w:rPr>
            </w:pPr>
          </w:p>
        </w:tc>
        <w:tc>
          <w:tcPr>
            <w:tcW w:w="1608" w:type="dxa"/>
            <w:tcBorders>
              <w:bottom w:val="single" w:sz="4" w:space="0" w:color="000000"/>
            </w:tcBorders>
          </w:tcPr>
          <w:p>
            <w:pPr>
              <w:pStyle w:val="TableParagraph"/>
              <w:rPr>
                <w:rFonts w:ascii="Times New Roman"/>
                <w:sz w:val="14"/>
              </w:rPr>
            </w:pPr>
          </w:p>
        </w:tc>
      </w:tr>
      <w:tr>
        <w:trPr>
          <w:trHeight w:val="225" w:hRule="atLeast"/>
        </w:trPr>
        <w:tc>
          <w:tcPr>
            <w:tcW w:w="3399" w:type="dxa"/>
            <w:gridSpan w:val="2"/>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6" w:lineRule="exact" w:before="39"/>
              <w:ind w:left="69"/>
              <w:rPr>
                <w:b/>
                <w:sz w:val="16"/>
              </w:rPr>
            </w:pPr>
            <w:r>
              <w:rPr>
                <w:b/>
                <w:color w:val="FFFFFF"/>
                <w:spacing w:val="-2"/>
                <w:sz w:val="16"/>
              </w:rPr>
              <w:t>TOTAL</w:t>
            </w:r>
          </w:p>
        </w:tc>
        <w:tc>
          <w:tcPr>
            <w:tcW w:w="1966"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6" w:lineRule="exact" w:before="39"/>
              <w:ind w:right="58"/>
              <w:jc w:val="right"/>
              <w:rPr>
                <w:b/>
                <w:sz w:val="16"/>
              </w:rPr>
            </w:pPr>
            <w:r>
              <w:rPr>
                <w:b/>
                <w:color w:val="FFFFFF"/>
                <w:sz w:val="16"/>
              </w:rPr>
              <w:t>12</w:t>
            </w:r>
            <w:r>
              <w:rPr>
                <w:b/>
                <w:color w:val="FFFFFF"/>
                <w:spacing w:val="-2"/>
                <w:sz w:val="16"/>
              </w:rPr>
              <w:t> </w:t>
            </w:r>
            <w:r>
              <w:rPr>
                <w:b/>
                <w:color w:val="FFFFFF"/>
                <w:sz w:val="16"/>
              </w:rPr>
              <w:t>500</w:t>
            </w:r>
            <w:r>
              <w:rPr>
                <w:b/>
                <w:color w:val="FFFFFF"/>
                <w:spacing w:val="-1"/>
                <w:sz w:val="16"/>
              </w:rPr>
              <w:t> </w:t>
            </w:r>
            <w:r>
              <w:rPr>
                <w:b/>
                <w:color w:val="FFFFFF"/>
                <w:spacing w:val="-2"/>
                <w:sz w:val="16"/>
              </w:rPr>
              <w:t>233,32</w:t>
            </w:r>
          </w:p>
        </w:tc>
        <w:tc>
          <w:tcPr>
            <w:tcW w:w="1351"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6" w:lineRule="exact" w:before="39"/>
              <w:ind w:right="57"/>
              <w:jc w:val="right"/>
              <w:rPr>
                <w:b/>
                <w:sz w:val="16"/>
              </w:rPr>
            </w:pPr>
            <w:r>
              <w:rPr>
                <w:b/>
                <w:color w:val="FFFFFF"/>
                <w:sz w:val="16"/>
              </w:rPr>
              <w:t>12</w:t>
            </w:r>
            <w:r>
              <w:rPr>
                <w:b/>
                <w:color w:val="FFFFFF"/>
                <w:spacing w:val="-2"/>
                <w:sz w:val="16"/>
              </w:rPr>
              <w:t> </w:t>
            </w:r>
            <w:r>
              <w:rPr>
                <w:b/>
                <w:color w:val="FFFFFF"/>
                <w:sz w:val="16"/>
              </w:rPr>
              <w:t>406</w:t>
            </w:r>
            <w:r>
              <w:rPr>
                <w:b/>
                <w:color w:val="FFFFFF"/>
                <w:spacing w:val="-1"/>
                <w:sz w:val="16"/>
              </w:rPr>
              <w:t> </w:t>
            </w:r>
            <w:r>
              <w:rPr>
                <w:b/>
                <w:color w:val="FFFFFF"/>
                <w:spacing w:val="-2"/>
                <w:sz w:val="16"/>
              </w:rPr>
              <w:t>205,48</w:t>
            </w:r>
          </w:p>
        </w:tc>
        <w:tc>
          <w:tcPr>
            <w:tcW w:w="1028"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6" w:lineRule="exact" w:before="39"/>
              <w:ind w:right="60"/>
              <w:jc w:val="right"/>
              <w:rPr>
                <w:b/>
                <w:sz w:val="16"/>
              </w:rPr>
            </w:pPr>
            <w:r>
              <w:rPr>
                <w:b/>
                <w:color w:val="FFFFFF"/>
                <w:sz w:val="16"/>
              </w:rPr>
              <w:t>-94</w:t>
            </w:r>
            <w:r>
              <w:rPr>
                <w:b/>
                <w:color w:val="FFFFFF"/>
                <w:spacing w:val="-2"/>
                <w:sz w:val="16"/>
              </w:rPr>
              <w:t> 027,84</w:t>
            </w:r>
          </w:p>
        </w:tc>
        <w:tc>
          <w:tcPr>
            <w:tcW w:w="1608"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6" w:lineRule="exact" w:before="39"/>
              <w:ind w:right="56"/>
              <w:jc w:val="right"/>
              <w:rPr>
                <w:b/>
                <w:sz w:val="16"/>
              </w:rPr>
            </w:pPr>
            <w:r>
              <w:rPr>
                <w:b/>
                <w:color w:val="FFFFFF"/>
                <w:spacing w:val="-2"/>
                <w:sz w:val="16"/>
              </w:rPr>
              <w:t>-0,75%</w:t>
            </w:r>
          </w:p>
        </w:tc>
      </w:tr>
    </w:tbl>
    <w:p>
      <w:pPr>
        <w:spacing w:before="2"/>
        <w:ind w:left="1625" w:right="0" w:firstLine="0"/>
        <w:jc w:val="left"/>
        <w:rPr>
          <w:sz w:val="18"/>
        </w:rPr>
      </w:pPr>
      <w:r>
        <w:rPr>
          <w:sz w:val="18"/>
        </w:rPr>
        <w:t>Fuente:</w:t>
      </w:r>
      <w:r>
        <w:rPr>
          <w:spacing w:val="-6"/>
          <w:sz w:val="18"/>
        </w:rPr>
        <w:t> </w:t>
      </w:r>
      <w:r>
        <w:rPr>
          <w:sz w:val="18"/>
        </w:rPr>
        <w:t>Presupuesto</w:t>
      </w:r>
      <w:r>
        <w:rPr>
          <w:spacing w:val="-6"/>
          <w:sz w:val="18"/>
        </w:rPr>
        <w:t> </w:t>
      </w:r>
      <w:r>
        <w:rPr>
          <w:sz w:val="18"/>
        </w:rPr>
        <w:t>Ordinario</w:t>
      </w:r>
      <w:r>
        <w:rPr>
          <w:spacing w:val="-5"/>
          <w:sz w:val="18"/>
        </w:rPr>
        <w:t> </w:t>
      </w:r>
      <w:r>
        <w:rPr>
          <w:spacing w:val="-4"/>
          <w:sz w:val="18"/>
        </w:rPr>
        <w:t>2027</w:t>
      </w:r>
    </w:p>
    <w:p>
      <w:pPr>
        <w:pStyle w:val="BodyText"/>
        <w:spacing w:before="1"/>
        <w:rPr>
          <w:sz w:val="18"/>
        </w:rPr>
      </w:pPr>
    </w:p>
    <w:p>
      <w:pPr>
        <w:pStyle w:val="Heading5"/>
        <w:ind w:left="1543" w:right="1381"/>
        <w:jc w:val="center"/>
      </w:pPr>
      <w:bookmarkStart w:name="_bookmark58" w:id="59"/>
      <w:bookmarkEnd w:id="59"/>
      <w:r>
        <w:rPr>
          <w:b w:val="0"/>
        </w:rPr>
      </w:r>
      <w:r>
        <w:rPr/>
        <w:t>Tabla</w:t>
      </w:r>
      <w:r>
        <w:rPr>
          <w:spacing w:val="-2"/>
        </w:rPr>
        <w:t> </w:t>
      </w:r>
      <w:r>
        <w:rPr/>
        <w:t>12:</w:t>
      </w:r>
      <w:r>
        <w:rPr>
          <w:spacing w:val="-1"/>
        </w:rPr>
        <w:t> </w:t>
      </w:r>
      <w:r>
        <w:rPr/>
        <w:t>Comparación</w:t>
      </w:r>
      <w:r>
        <w:rPr>
          <w:spacing w:val="-6"/>
        </w:rPr>
        <w:t> </w:t>
      </w:r>
      <w:r>
        <w:rPr/>
        <w:t>del</w:t>
      </w:r>
      <w:r>
        <w:rPr>
          <w:spacing w:val="-4"/>
        </w:rPr>
        <w:t> </w:t>
      </w:r>
      <w:r>
        <w:rPr/>
        <w:t>Presupuesto</w:t>
      </w:r>
      <w:r>
        <w:rPr>
          <w:spacing w:val="-5"/>
        </w:rPr>
        <w:t> </w:t>
      </w:r>
      <w:r>
        <w:rPr/>
        <w:t>ordinario</w:t>
      </w:r>
      <w:r>
        <w:rPr>
          <w:spacing w:val="-3"/>
        </w:rPr>
        <w:t> </w:t>
      </w:r>
      <w:r>
        <w:rPr/>
        <w:t>de</w:t>
      </w:r>
      <w:r>
        <w:rPr>
          <w:spacing w:val="-5"/>
        </w:rPr>
        <w:t> </w:t>
      </w:r>
      <w:r>
        <w:rPr/>
        <w:t>gasto</w:t>
      </w:r>
      <w:r>
        <w:rPr>
          <w:spacing w:val="-5"/>
        </w:rPr>
        <w:t> </w:t>
      </w:r>
      <w:r>
        <w:rPr/>
        <w:t>periodo</w:t>
      </w:r>
      <w:r>
        <w:rPr>
          <w:spacing w:val="-3"/>
        </w:rPr>
        <w:t> </w:t>
      </w:r>
      <w:r>
        <w:rPr/>
        <w:t>2026</w:t>
      </w:r>
      <w:r>
        <w:rPr>
          <w:spacing w:val="-3"/>
        </w:rPr>
        <w:t> </w:t>
      </w:r>
      <w:r>
        <w:rPr/>
        <w:t>y</w:t>
      </w:r>
      <w:r>
        <w:rPr>
          <w:spacing w:val="-3"/>
        </w:rPr>
        <w:t> </w:t>
      </w:r>
      <w:r>
        <w:rPr/>
        <w:t>2027, según partidas Programa Empresas Comerciales (Miles de colones)</w:t>
      </w:r>
    </w:p>
    <w:p>
      <w:pPr>
        <w:pStyle w:val="BodyText"/>
        <w:spacing w:before="46"/>
        <w:rPr>
          <w:b/>
          <w:sz w:val="20"/>
        </w:rPr>
      </w:pPr>
    </w:p>
    <w:tbl>
      <w:tblPr>
        <w:tblW w:w="0" w:type="auto"/>
        <w:jc w:val="left"/>
        <w:tblInd w:w="1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0"/>
        <w:gridCol w:w="2694"/>
        <w:gridCol w:w="1878"/>
        <w:gridCol w:w="1352"/>
        <w:gridCol w:w="1127"/>
        <w:gridCol w:w="1515"/>
      </w:tblGrid>
      <w:tr>
        <w:trPr>
          <w:trHeight w:val="225" w:hRule="atLeast"/>
        </w:trPr>
        <w:tc>
          <w:tcPr>
            <w:tcW w:w="790" w:type="dxa"/>
            <w:vMerge w:val="restart"/>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137"/>
              <w:ind w:left="69"/>
              <w:rPr>
                <w:b/>
                <w:sz w:val="16"/>
              </w:rPr>
            </w:pPr>
            <w:r>
              <w:rPr>
                <w:b/>
                <w:color w:val="FFFFFF"/>
                <w:spacing w:val="-2"/>
                <w:sz w:val="16"/>
              </w:rPr>
              <w:t>CODIGO</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137"/>
              <w:ind w:left="6"/>
              <w:jc w:val="center"/>
              <w:rPr>
                <w:b/>
                <w:sz w:val="16"/>
              </w:rPr>
            </w:pPr>
            <w:r>
              <w:rPr>
                <w:b/>
                <w:color w:val="FFFFFF"/>
                <w:spacing w:val="-2"/>
                <w:sz w:val="16"/>
              </w:rPr>
              <w:t>PARTIDAS</w:t>
            </w:r>
          </w:p>
        </w:tc>
        <w:tc>
          <w:tcPr>
            <w:tcW w:w="1878" w:type="dxa"/>
            <w:vMerge w:val="restart"/>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137"/>
              <w:ind w:left="130"/>
              <w:rPr>
                <w:b/>
                <w:sz w:val="16"/>
              </w:rPr>
            </w:pPr>
            <w:r>
              <w:rPr>
                <w:b/>
                <w:color w:val="FFFFFF"/>
                <w:sz w:val="16"/>
              </w:rPr>
              <w:t>PRESUPUESTO</w:t>
            </w:r>
            <w:r>
              <w:rPr>
                <w:b/>
                <w:color w:val="FFFFFF"/>
                <w:spacing w:val="-10"/>
                <w:sz w:val="16"/>
              </w:rPr>
              <w:t> </w:t>
            </w:r>
            <w:r>
              <w:rPr>
                <w:b/>
                <w:color w:val="FFFFFF"/>
                <w:spacing w:val="-4"/>
                <w:sz w:val="16"/>
              </w:rPr>
              <w:t>2026</w:t>
            </w:r>
          </w:p>
        </w:tc>
        <w:tc>
          <w:tcPr>
            <w:tcW w:w="1352" w:type="dxa"/>
            <w:vMerge w:val="restart"/>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46"/>
              <w:ind w:left="494" w:hanging="428"/>
              <w:rPr>
                <w:b/>
                <w:sz w:val="16"/>
              </w:rPr>
            </w:pPr>
            <w:r>
              <w:rPr>
                <w:b/>
                <w:color w:val="FFFFFF"/>
                <w:spacing w:val="-2"/>
                <w:sz w:val="16"/>
              </w:rPr>
              <w:t>PRESUPUESTO </w:t>
            </w:r>
            <w:r>
              <w:rPr>
                <w:b/>
                <w:color w:val="FFFFFF"/>
                <w:spacing w:val="-4"/>
                <w:sz w:val="16"/>
              </w:rPr>
              <w:t>2027</w:t>
            </w:r>
          </w:p>
        </w:tc>
        <w:tc>
          <w:tcPr>
            <w:tcW w:w="2642" w:type="dxa"/>
            <w:gridSpan w:val="2"/>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20"/>
              <w:ind w:left="129"/>
              <w:rPr>
                <w:b/>
                <w:sz w:val="16"/>
              </w:rPr>
            </w:pPr>
            <w:r>
              <w:rPr>
                <w:b/>
                <w:color w:val="FFFFFF"/>
                <w:sz w:val="16"/>
              </w:rPr>
              <w:t>VARIACIÓN</w:t>
            </w:r>
            <w:r>
              <w:rPr>
                <w:b/>
                <w:color w:val="FFFFFF"/>
                <w:spacing w:val="-7"/>
                <w:sz w:val="16"/>
              </w:rPr>
              <w:t> </w:t>
            </w:r>
            <w:r>
              <w:rPr>
                <w:b/>
                <w:color w:val="FFFFFF"/>
                <w:sz w:val="16"/>
              </w:rPr>
              <w:t>ENTRE</w:t>
            </w:r>
            <w:r>
              <w:rPr>
                <w:b/>
                <w:color w:val="FFFFFF"/>
                <w:spacing w:val="-5"/>
                <w:sz w:val="16"/>
              </w:rPr>
              <w:t> </w:t>
            </w:r>
            <w:r>
              <w:rPr>
                <w:b/>
                <w:color w:val="FFFFFF"/>
                <w:spacing w:val="-2"/>
                <w:sz w:val="16"/>
              </w:rPr>
              <w:t>PERIODOS</w:t>
            </w:r>
          </w:p>
        </w:tc>
      </w:tr>
      <w:tr>
        <w:trPr>
          <w:trHeight w:val="225" w:hRule="atLeast"/>
        </w:trPr>
        <w:tc>
          <w:tcPr>
            <w:tcW w:w="790" w:type="dxa"/>
            <w:vMerge/>
            <w:tcBorders>
              <w:top w:val="nil"/>
              <w:left w:val="single" w:sz="4" w:space="0" w:color="000000"/>
              <w:bottom w:val="single" w:sz="4" w:space="0" w:color="000000"/>
              <w:right w:val="single" w:sz="4" w:space="0" w:color="000000"/>
            </w:tcBorders>
            <w:shd w:val="clear" w:color="auto" w:fill="0E233D"/>
          </w:tcPr>
          <w:p>
            <w:pPr>
              <w:rPr>
                <w:sz w:val="2"/>
                <w:szCs w:val="2"/>
              </w:rPr>
            </w:pPr>
          </w:p>
        </w:tc>
        <w:tc>
          <w:tcPr>
            <w:tcW w:w="2694" w:type="dxa"/>
            <w:vMerge/>
            <w:tcBorders>
              <w:top w:val="nil"/>
              <w:left w:val="single" w:sz="4" w:space="0" w:color="000000"/>
              <w:bottom w:val="single" w:sz="4" w:space="0" w:color="000000"/>
              <w:right w:val="single" w:sz="4" w:space="0" w:color="000000"/>
            </w:tcBorders>
            <w:shd w:val="clear" w:color="auto" w:fill="0E233D"/>
          </w:tcPr>
          <w:p>
            <w:pPr>
              <w:rPr>
                <w:sz w:val="2"/>
                <w:szCs w:val="2"/>
              </w:rPr>
            </w:pPr>
          </w:p>
        </w:tc>
        <w:tc>
          <w:tcPr>
            <w:tcW w:w="1878" w:type="dxa"/>
            <w:vMerge/>
            <w:tcBorders>
              <w:top w:val="nil"/>
              <w:left w:val="single" w:sz="4" w:space="0" w:color="000000"/>
              <w:bottom w:val="single" w:sz="4" w:space="0" w:color="000000"/>
              <w:right w:val="single" w:sz="4" w:space="0" w:color="000000"/>
            </w:tcBorders>
            <w:shd w:val="clear" w:color="auto" w:fill="0E233D"/>
          </w:tcPr>
          <w:p>
            <w:pPr>
              <w:rPr>
                <w:sz w:val="2"/>
                <w:szCs w:val="2"/>
              </w:rPr>
            </w:pPr>
          </w:p>
        </w:tc>
        <w:tc>
          <w:tcPr>
            <w:tcW w:w="1352" w:type="dxa"/>
            <w:vMerge/>
            <w:tcBorders>
              <w:top w:val="nil"/>
              <w:left w:val="single" w:sz="4" w:space="0" w:color="000000"/>
              <w:bottom w:val="single" w:sz="4" w:space="0" w:color="000000"/>
              <w:right w:val="single" w:sz="4" w:space="0" w:color="000000"/>
            </w:tcBorders>
            <w:shd w:val="clear" w:color="auto" w:fill="0E233D"/>
          </w:tcPr>
          <w:p>
            <w:pPr>
              <w:rPr>
                <w:sz w:val="2"/>
                <w:szCs w:val="2"/>
              </w:rPr>
            </w:pPr>
          </w:p>
        </w:tc>
        <w:tc>
          <w:tcPr>
            <w:tcW w:w="1127"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20"/>
              <w:ind w:right="109"/>
              <w:jc w:val="right"/>
              <w:rPr>
                <w:b/>
                <w:sz w:val="16"/>
              </w:rPr>
            </w:pPr>
            <w:r>
              <w:rPr>
                <w:b/>
                <w:color w:val="FFFFFF"/>
                <w:spacing w:val="-2"/>
                <w:sz w:val="16"/>
              </w:rPr>
              <w:t>ABSOLUTA</w:t>
            </w:r>
          </w:p>
        </w:tc>
        <w:tc>
          <w:tcPr>
            <w:tcW w:w="1515"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before="20"/>
              <w:ind w:left="1" w:right="1"/>
              <w:jc w:val="center"/>
              <w:rPr>
                <w:b/>
                <w:sz w:val="16"/>
              </w:rPr>
            </w:pPr>
            <w:r>
              <w:rPr>
                <w:b/>
                <w:color w:val="FFFFFF"/>
                <w:spacing w:val="-2"/>
                <w:sz w:val="16"/>
              </w:rPr>
              <w:t>RELATIVA</w:t>
            </w:r>
          </w:p>
        </w:tc>
      </w:tr>
      <w:tr>
        <w:trPr>
          <w:trHeight w:val="247" w:hRule="atLeast"/>
        </w:trPr>
        <w:tc>
          <w:tcPr>
            <w:tcW w:w="790" w:type="dxa"/>
            <w:tcBorders>
              <w:top w:val="single" w:sz="4" w:space="0" w:color="000000"/>
            </w:tcBorders>
          </w:tcPr>
          <w:p>
            <w:pPr>
              <w:pStyle w:val="TableParagraph"/>
              <w:spacing w:before="41"/>
              <w:ind w:left="9" w:right="5"/>
              <w:jc w:val="center"/>
              <w:rPr>
                <w:sz w:val="16"/>
              </w:rPr>
            </w:pPr>
            <w:r>
              <w:rPr>
                <w:spacing w:val="-10"/>
                <w:sz w:val="16"/>
              </w:rPr>
              <w:t>0</w:t>
            </w:r>
          </w:p>
        </w:tc>
        <w:tc>
          <w:tcPr>
            <w:tcW w:w="2694" w:type="dxa"/>
            <w:tcBorders>
              <w:top w:val="single" w:sz="4" w:space="0" w:color="000000"/>
            </w:tcBorders>
          </w:tcPr>
          <w:p>
            <w:pPr>
              <w:pStyle w:val="TableParagraph"/>
              <w:spacing w:before="41"/>
              <w:ind w:left="73"/>
              <w:rPr>
                <w:sz w:val="16"/>
              </w:rPr>
            </w:pPr>
            <w:r>
              <w:rPr>
                <w:spacing w:val="-2"/>
                <w:sz w:val="16"/>
              </w:rPr>
              <w:t>REMUNERACIONES</w:t>
            </w:r>
          </w:p>
        </w:tc>
        <w:tc>
          <w:tcPr>
            <w:tcW w:w="1878" w:type="dxa"/>
            <w:tcBorders>
              <w:top w:val="single" w:sz="4" w:space="0" w:color="000000"/>
            </w:tcBorders>
          </w:tcPr>
          <w:p>
            <w:pPr>
              <w:pStyle w:val="TableParagraph"/>
              <w:spacing w:before="41"/>
              <w:ind w:right="65"/>
              <w:jc w:val="right"/>
              <w:rPr>
                <w:sz w:val="16"/>
              </w:rPr>
            </w:pPr>
            <w:r>
              <w:rPr>
                <w:sz w:val="16"/>
              </w:rPr>
              <w:t>2</w:t>
            </w:r>
            <w:r>
              <w:rPr>
                <w:spacing w:val="-1"/>
                <w:sz w:val="16"/>
              </w:rPr>
              <w:t> </w:t>
            </w:r>
            <w:r>
              <w:rPr>
                <w:sz w:val="16"/>
              </w:rPr>
              <w:t>398</w:t>
            </w:r>
            <w:r>
              <w:rPr>
                <w:spacing w:val="-1"/>
                <w:sz w:val="16"/>
              </w:rPr>
              <w:t> </w:t>
            </w:r>
            <w:r>
              <w:rPr>
                <w:spacing w:val="-2"/>
                <w:sz w:val="16"/>
              </w:rPr>
              <w:t>151,74</w:t>
            </w:r>
          </w:p>
        </w:tc>
        <w:tc>
          <w:tcPr>
            <w:tcW w:w="1352" w:type="dxa"/>
            <w:tcBorders>
              <w:top w:val="single" w:sz="4" w:space="0" w:color="000000"/>
            </w:tcBorders>
          </w:tcPr>
          <w:p>
            <w:pPr>
              <w:pStyle w:val="TableParagraph"/>
              <w:spacing w:before="41"/>
              <w:ind w:right="65"/>
              <w:jc w:val="right"/>
              <w:rPr>
                <w:sz w:val="16"/>
              </w:rPr>
            </w:pPr>
            <w:r>
              <w:rPr>
                <w:sz w:val="16"/>
              </w:rPr>
              <w:t>2</w:t>
            </w:r>
            <w:r>
              <w:rPr>
                <w:spacing w:val="-1"/>
                <w:sz w:val="16"/>
              </w:rPr>
              <w:t> </w:t>
            </w:r>
            <w:r>
              <w:rPr>
                <w:sz w:val="16"/>
              </w:rPr>
              <w:t>677</w:t>
            </w:r>
            <w:r>
              <w:rPr>
                <w:spacing w:val="-1"/>
                <w:sz w:val="16"/>
              </w:rPr>
              <w:t> </w:t>
            </w:r>
            <w:r>
              <w:rPr>
                <w:spacing w:val="-2"/>
                <w:sz w:val="16"/>
              </w:rPr>
              <w:t>794,07</w:t>
            </w:r>
          </w:p>
        </w:tc>
        <w:tc>
          <w:tcPr>
            <w:tcW w:w="1127" w:type="dxa"/>
            <w:tcBorders>
              <w:top w:val="single" w:sz="4" w:space="0" w:color="000000"/>
            </w:tcBorders>
          </w:tcPr>
          <w:p>
            <w:pPr>
              <w:pStyle w:val="TableParagraph"/>
              <w:spacing w:before="41"/>
              <w:ind w:right="66"/>
              <w:jc w:val="right"/>
              <w:rPr>
                <w:sz w:val="16"/>
              </w:rPr>
            </w:pPr>
            <w:r>
              <w:rPr>
                <w:sz w:val="16"/>
              </w:rPr>
              <w:t>279</w:t>
            </w:r>
            <w:r>
              <w:rPr>
                <w:spacing w:val="-2"/>
                <w:sz w:val="16"/>
              </w:rPr>
              <w:t> 642,33</w:t>
            </w:r>
          </w:p>
        </w:tc>
        <w:tc>
          <w:tcPr>
            <w:tcW w:w="1515" w:type="dxa"/>
            <w:tcBorders>
              <w:top w:val="single" w:sz="4" w:space="0" w:color="000000"/>
            </w:tcBorders>
          </w:tcPr>
          <w:p>
            <w:pPr>
              <w:pStyle w:val="TableParagraph"/>
              <w:spacing w:before="41"/>
              <w:ind w:left="1" w:right="1"/>
              <w:jc w:val="center"/>
              <w:rPr>
                <w:sz w:val="16"/>
              </w:rPr>
            </w:pPr>
            <w:r>
              <w:rPr>
                <w:spacing w:val="-2"/>
                <w:sz w:val="16"/>
              </w:rPr>
              <w:t>11,66%</w:t>
            </w:r>
          </w:p>
        </w:tc>
      </w:tr>
      <w:tr>
        <w:trPr>
          <w:trHeight w:val="224" w:hRule="atLeast"/>
        </w:trPr>
        <w:tc>
          <w:tcPr>
            <w:tcW w:w="790" w:type="dxa"/>
          </w:tcPr>
          <w:p>
            <w:pPr>
              <w:pStyle w:val="TableParagraph"/>
              <w:spacing w:before="17"/>
              <w:ind w:left="9" w:right="5"/>
              <w:jc w:val="center"/>
              <w:rPr>
                <w:sz w:val="16"/>
              </w:rPr>
            </w:pPr>
            <w:r>
              <w:rPr>
                <w:spacing w:val="-10"/>
                <w:sz w:val="16"/>
              </w:rPr>
              <w:t>1</w:t>
            </w:r>
          </w:p>
        </w:tc>
        <w:tc>
          <w:tcPr>
            <w:tcW w:w="2694" w:type="dxa"/>
          </w:tcPr>
          <w:p>
            <w:pPr>
              <w:pStyle w:val="TableParagraph"/>
              <w:spacing w:before="17"/>
              <w:ind w:left="73"/>
              <w:rPr>
                <w:sz w:val="16"/>
              </w:rPr>
            </w:pPr>
            <w:r>
              <w:rPr>
                <w:spacing w:val="-2"/>
                <w:sz w:val="16"/>
              </w:rPr>
              <w:t>SERVICIOS</w:t>
            </w:r>
          </w:p>
        </w:tc>
        <w:tc>
          <w:tcPr>
            <w:tcW w:w="1878" w:type="dxa"/>
          </w:tcPr>
          <w:p>
            <w:pPr>
              <w:pStyle w:val="TableParagraph"/>
              <w:spacing w:before="17"/>
              <w:ind w:right="65"/>
              <w:jc w:val="right"/>
              <w:rPr>
                <w:sz w:val="16"/>
              </w:rPr>
            </w:pPr>
            <w:r>
              <w:rPr>
                <w:sz w:val="16"/>
              </w:rPr>
              <w:t>2</w:t>
            </w:r>
            <w:r>
              <w:rPr>
                <w:spacing w:val="-1"/>
                <w:sz w:val="16"/>
              </w:rPr>
              <w:t> </w:t>
            </w:r>
            <w:r>
              <w:rPr>
                <w:sz w:val="16"/>
              </w:rPr>
              <w:t>986</w:t>
            </w:r>
            <w:r>
              <w:rPr>
                <w:spacing w:val="-1"/>
                <w:sz w:val="16"/>
              </w:rPr>
              <w:t> </w:t>
            </w:r>
            <w:r>
              <w:rPr>
                <w:spacing w:val="-2"/>
                <w:sz w:val="16"/>
              </w:rPr>
              <w:t>384,88</w:t>
            </w:r>
          </w:p>
        </w:tc>
        <w:tc>
          <w:tcPr>
            <w:tcW w:w="1352" w:type="dxa"/>
          </w:tcPr>
          <w:p>
            <w:pPr>
              <w:pStyle w:val="TableParagraph"/>
              <w:spacing w:before="17"/>
              <w:ind w:right="65"/>
              <w:jc w:val="right"/>
              <w:rPr>
                <w:sz w:val="16"/>
              </w:rPr>
            </w:pPr>
            <w:r>
              <w:rPr>
                <w:sz w:val="16"/>
              </w:rPr>
              <w:t>2</w:t>
            </w:r>
            <w:r>
              <w:rPr>
                <w:spacing w:val="-1"/>
                <w:sz w:val="16"/>
              </w:rPr>
              <w:t> </w:t>
            </w:r>
            <w:r>
              <w:rPr>
                <w:sz w:val="16"/>
              </w:rPr>
              <w:t>499</w:t>
            </w:r>
            <w:r>
              <w:rPr>
                <w:spacing w:val="-1"/>
                <w:sz w:val="16"/>
              </w:rPr>
              <w:t> </w:t>
            </w:r>
            <w:r>
              <w:rPr>
                <w:spacing w:val="-2"/>
                <w:sz w:val="16"/>
              </w:rPr>
              <w:t>331,31</w:t>
            </w:r>
          </w:p>
        </w:tc>
        <w:tc>
          <w:tcPr>
            <w:tcW w:w="1127" w:type="dxa"/>
          </w:tcPr>
          <w:p>
            <w:pPr>
              <w:pStyle w:val="TableParagraph"/>
              <w:spacing w:before="17"/>
              <w:ind w:right="66"/>
              <w:jc w:val="right"/>
              <w:rPr>
                <w:sz w:val="16"/>
              </w:rPr>
            </w:pPr>
            <w:r>
              <w:rPr>
                <w:sz w:val="16"/>
              </w:rPr>
              <w:t>-487</w:t>
            </w:r>
            <w:r>
              <w:rPr>
                <w:spacing w:val="-3"/>
                <w:sz w:val="16"/>
              </w:rPr>
              <w:t> </w:t>
            </w:r>
            <w:r>
              <w:rPr>
                <w:spacing w:val="-2"/>
                <w:sz w:val="16"/>
              </w:rPr>
              <w:t>053,57</w:t>
            </w:r>
          </w:p>
        </w:tc>
        <w:tc>
          <w:tcPr>
            <w:tcW w:w="1515" w:type="dxa"/>
          </w:tcPr>
          <w:p>
            <w:pPr>
              <w:pStyle w:val="TableParagraph"/>
              <w:spacing w:before="17"/>
              <w:ind w:left="1" w:right="1"/>
              <w:jc w:val="center"/>
              <w:rPr>
                <w:sz w:val="16"/>
              </w:rPr>
            </w:pPr>
            <w:r>
              <w:rPr>
                <w:spacing w:val="-2"/>
                <w:sz w:val="16"/>
              </w:rPr>
              <w:t>-16,31%</w:t>
            </w:r>
          </w:p>
        </w:tc>
      </w:tr>
      <w:tr>
        <w:trPr>
          <w:trHeight w:val="225" w:hRule="atLeast"/>
        </w:trPr>
        <w:tc>
          <w:tcPr>
            <w:tcW w:w="790" w:type="dxa"/>
          </w:tcPr>
          <w:p>
            <w:pPr>
              <w:pStyle w:val="TableParagraph"/>
              <w:spacing w:before="18"/>
              <w:ind w:left="9" w:right="5"/>
              <w:jc w:val="center"/>
              <w:rPr>
                <w:sz w:val="16"/>
              </w:rPr>
            </w:pPr>
            <w:r>
              <w:rPr>
                <w:spacing w:val="-10"/>
                <w:sz w:val="16"/>
              </w:rPr>
              <w:t>2</w:t>
            </w:r>
          </w:p>
        </w:tc>
        <w:tc>
          <w:tcPr>
            <w:tcW w:w="2694" w:type="dxa"/>
          </w:tcPr>
          <w:p>
            <w:pPr>
              <w:pStyle w:val="TableParagraph"/>
              <w:spacing w:before="18"/>
              <w:ind w:left="73"/>
              <w:rPr>
                <w:sz w:val="16"/>
              </w:rPr>
            </w:pPr>
            <w:r>
              <w:rPr>
                <w:sz w:val="16"/>
              </w:rPr>
              <w:t>MATERIALES</w:t>
            </w:r>
            <w:r>
              <w:rPr>
                <w:spacing w:val="-6"/>
                <w:sz w:val="16"/>
              </w:rPr>
              <w:t> </w:t>
            </w:r>
            <w:r>
              <w:rPr>
                <w:sz w:val="16"/>
              </w:rPr>
              <w:t>Y</w:t>
            </w:r>
            <w:r>
              <w:rPr>
                <w:spacing w:val="-5"/>
                <w:sz w:val="16"/>
              </w:rPr>
              <w:t> </w:t>
            </w:r>
            <w:r>
              <w:rPr>
                <w:spacing w:val="-2"/>
                <w:sz w:val="16"/>
              </w:rPr>
              <w:t>SUMINISTROS</w:t>
            </w:r>
          </w:p>
        </w:tc>
        <w:tc>
          <w:tcPr>
            <w:tcW w:w="1878" w:type="dxa"/>
          </w:tcPr>
          <w:p>
            <w:pPr>
              <w:pStyle w:val="TableParagraph"/>
              <w:spacing w:before="18"/>
              <w:ind w:right="65"/>
              <w:jc w:val="right"/>
              <w:rPr>
                <w:sz w:val="16"/>
              </w:rPr>
            </w:pPr>
            <w:r>
              <w:rPr>
                <w:sz w:val="16"/>
              </w:rPr>
              <w:t>15</w:t>
            </w:r>
            <w:r>
              <w:rPr>
                <w:spacing w:val="-2"/>
                <w:sz w:val="16"/>
              </w:rPr>
              <w:t> </w:t>
            </w:r>
            <w:r>
              <w:rPr>
                <w:sz w:val="16"/>
              </w:rPr>
              <w:t>206</w:t>
            </w:r>
            <w:r>
              <w:rPr>
                <w:spacing w:val="-1"/>
                <w:sz w:val="16"/>
              </w:rPr>
              <w:t> </w:t>
            </w:r>
            <w:r>
              <w:rPr>
                <w:spacing w:val="-2"/>
                <w:sz w:val="16"/>
              </w:rPr>
              <w:t>700,00</w:t>
            </w:r>
          </w:p>
        </w:tc>
        <w:tc>
          <w:tcPr>
            <w:tcW w:w="1352" w:type="dxa"/>
          </w:tcPr>
          <w:p>
            <w:pPr>
              <w:pStyle w:val="TableParagraph"/>
              <w:spacing w:before="18"/>
              <w:ind w:right="65"/>
              <w:jc w:val="right"/>
              <w:rPr>
                <w:sz w:val="16"/>
              </w:rPr>
            </w:pPr>
            <w:r>
              <w:rPr>
                <w:sz w:val="16"/>
              </w:rPr>
              <w:t>12</w:t>
            </w:r>
            <w:r>
              <w:rPr>
                <w:spacing w:val="-2"/>
                <w:sz w:val="16"/>
              </w:rPr>
              <w:t> </w:t>
            </w:r>
            <w:r>
              <w:rPr>
                <w:sz w:val="16"/>
              </w:rPr>
              <w:t>310</w:t>
            </w:r>
            <w:r>
              <w:rPr>
                <w:spacing w:val="-1"/>
                <w:sz w:val="16"/>
              </w:rPr>
              <w:t> </w:t>
            </w:r>
            <w:r>
              <w:rPr>
                <w:spacing w:val="-2"/>
                <w:sz w:val="16"/>
              </w:rPr>
              <w:t>155,66</w:t>
            </w:r>
          </w:p>
        </w:tc>
        <w:tc>
          <w:tcPr>
            <w:tcW w:w="1127" w:type="dxa"/>
          </w:tcPr>
          <w:p>
            <w:pPr>
              <w:pStyle w:val="TableParagraph"/>
              <w:spacing w:before="18"/>
              <w:ind w:right="64"/>
              <w:jc w:val="right"/>
              <w:rPr>
                <w:sz w:val="16"/>
              </w:rPr>
            </w:pPr>
            <w:r>
              <w:rPr>
                <w:sz w:val="16"/>
              </w:rPr>
              <w:t>-2</w:t>
            </w:r>
            <w:r>
              <w:rPr>
                <w:spacing w:val="-2"/>
                <w:sz w:val="16"/>
              </w:rPr>
              <w:t> </w:t>
            </w:r>
            <w:r>
              <w:rPr>
                <w:sz w:val="16"/>
              </w:rPr>
              <w:t>896</w:t>
            </w:r>
            <w:r>
              <w:rPr>
                <w:spacing w:val="-1"/>
                <w:sz w:val="16"/>
              </w:rPr>
              <w:t> </w:t>
            </w:r>
            <w:r>
              <w:rPr>
                <w:spacing w:val="-2"/>
                <w:sz w:val="16"/>
              </w:rPr>
              <w:t>544,35</w:t>
            </w:r>
          </w:p>
        </w:tc>
        <w:tc>
          <w:tcPr>
            <w:tcW w:w="1515" w:type="dxa"/>
          </w:tcPr>
          <w:p>
            <w:pPr>
              <w:pStyle w:val="TableParagraph"/>
              <w:spacing w:before="18"/>
              <w:ind w:left="1" w:right="1"/>
              <w:jc w:val="center"/>
              <w:rPr>
                <w:sz w:val="16"/>
              </w:rPr>
            </w:pPr>
            <w:r>
              <w:rPr>
                <w:spacing w:val="-2"/>
                <w:sz w:val="16"/>
              </w:rPr>
              <w:t>-19,05%</w:t>
            </w:r>
          </w:p>
        </w:tc>
      </w:tr>
      <w:tr>
        <w:trPr>
          <w:trHeight w:val="225" w:hRule="atLeast"/>
        </w:trPr>
        <w:tc>
          <w:tcPr>
            <w:tcW w:w="790" w:type="dxa"/>
          </w:tcPr>
          <w:p>
            <w:pPr>
              <w:pStyle w:val="TableParagraph"/>
              <w:spacing w:before="18"/>
              <w:ind w:left="9" w:right="5"/>
              <w:jc w:val="center"/>
              <w:rPr>
                <w:sz w:val="16"/>
              </w:rPr>
            </w:pPr>
            <w:r>
              <w:rPr>
                <w:spacing w:val="-10"/>
                <w:sz w:val="16"/>
              </w:rPr>
              <w:t>5</w:t>
            </w:r>
          </w:p>
        </w:tc>
        <w:tc>
          <w:tcPr>
            <w:tcW w:w="2694" w:type="dxa"/>
          </w:tcPr>
          <w:p>
            <w:pPr>
              <w:pStyle w:val="TableParagraph"/>
              <w:spacing w:before="18"/>
              <w:ind w:left="73"/>
              <w:rPr>
                <w:sz w:val="16"/>
              </w:rPr>
            </w:pPr>
            <w:r>
              <w:rPr>
                <w:sz w:val="16"/>
              </w:rPr>
              <w:t>BIENES</w:t>
            </w:r>
            <w:r>
              <w:rPr>
                <w:spacing w:val="-4"/>
                <w:sz w:val="16"/>
              </w:rPr>
              <w:t> </w:t>
            </w:r>
            <w:r>
              <w:rPr>
                <w:spacing w:val="-2"/>
                <w:sz w:val="16"/>
              </w:rPr>
              <w:t>DURADEROS</w:t>
            </w:r>
          </w:p>
        </w:tc>
        <w:tc>
          <w:tcPr>
            <w:tcW w:w="1878" w:type="dxa"/>
          </w:tcPr>
          <w:p>
            <w:pPr>
              <w:pStyle w:val="TableParagraph"/>
              <w:spacing w:before="18"/>
              <w:ind w:right="64"/>
              <w:jc w:val="right"/>
              <w:rPr>
                <w:sz w:val="16"/>
              </w:rPr>
            </w:pPr>
            <w:r>
              <w:rPr>
                <w:sz w:val="16"/>
              </w:rPr>
              <w:t>178</w:t>
            </w:r>
            <w:r>
              <w:rPr>
                <w:spacing w:val="-2"/>
                <w:sz w:val="16"/>
              </w:rPr>
              <w:t> 000,00</w:t>
            </w:r>
          </w:p>
        </w:tc>
        <w:tc>
          <w:tcPr>
            <w:tcW w:w="1352" w:type="dxa"/>
          </w:tcPr>
          <w:p>
            <w:pPr>
              <w:pStyle w:val="TableParagraph"/>
              <w:spacing w:before="18"/>
              <w:ind w:right="67"/>
              <w:jc w:val="right"/>
              <w:rPr>
                <w:sz w:val="16"/>
              </w:rPr>
            </w:pPr>
            <w:r>
              <w:rPr>
                <w:sz w:val="16"/>
              </w:rPr>
              <w:t>186</w:t>
            </w:r>
            <w:r>
              <w:rPr>
                <w:spacing w:val="-2"/>
                <w:sz w:val="16"/>
              </w:rPr>
              <w:t> 100,00</w:t>
            </w:r>
          </w:p>
        </w:tc>
        <w:tc>
          <w:tcPr>
            <w:tcW w:w="1127" w:type="dxa"/>
          </w:tcPr>
          <w:p>
            <w:pPr>
              <w:pStyle w:val="TableParagraph"/>
              <w:spacing w:before="18"/>
              <w:ind w:right="66"/>
              <w:jc w:val="right"/>
              <w:rPr>
                <w:sz w:val="16"/>
              </w:rPr>
            </w:pPr>
            <w:r>
              <w:rPr>
                <w:sz w:val="16"/>
              </w:rPr>
              <w:t>8 </w:t>
            </w:r>
            <w:r>
              <w:rPr>
                <w:spacing w:val="-2"/>
                <w:sz w:val="16"/>
              </w:rPr>
              <w:t>100,00</w:t>
            </w:r>
          </w:p>
        </w:tc>
        <w:tc>
          <w:tcPr>
            <w:tcW w:w="1515" w:type="dxa"/>
          </w:tcPr>
          <w:p>
            <w:pPr>
              <w:pStyle w:val="TableParagraph"/>
              <w:spacing w:before="18"/>
              <w:ind w:right="1"/>
              <w:jc w:val="center"/>
              <w:rPr>
                <w:sz w:val="16"/>
              </w:rPr>
            </w:pPr>
            <w:r>
              <w:rPr>
                <w:spacing w:val="-2"/>
                <w:sz w:val="16"/>
              </w:rPr>
              <w:t>4,55%</w:t>
            </w:r>
          </w:p>
        </w:tc>
      </w:tr>
      <w:tr>
        <w:trPr>
          <w:trHeight w:val="224" w:hRule="atLeast"/>
        </w:trPr>
        <w:tc>
          <w:tcPr>
            <w:tcW w:w="790" w:type="dxa"/>
          </w:tcPr>
          <w:p>
            <w:pPr>
              <w:pStyle w:val="TableParagraph"/>
              <w:spacing w:before="18"/>
              <w:ind w:left="9" w:right="5"/>
              <w:jc w:val="center"/>
              <w:rPr>
                <w:sz w:val="16"/>
              </w:rPr>
            </w:pPr>
            <w:r>
              <w:rPr>
                <w:spacing w:val="-10"/>
                <w:sz w:val="16"/>
              </w:rPr>
              <w:t>6</w:t>
            </w:r>
          </w:p>
        </w:tc>
        <w:tc>
          <w:tcPr>
            <w:tcW w:w="2694" w:type="dxa"/>
          </w:tcPr>
          <w:p>
            <w:pPr>
              <w:pStyle w:val="TableParagraph"/>
              <w:spacing w:before="18"/>
              <w:ind w:left="73"/>
              <w:rPr>
                <w:sz w:val="16"/>
              </w:rPr>
            </w:pPr>
            <w:r>
              <w:rPr>
                <w:spacing w:val="-2"/>
                <w:sz w:val="16"/>
              </w:rPr>
              <w:t>TRANSFERENCIAS</w:t>
            </w:r>
            <w:r>
              <w:rPr>
                <w:spacing w:val="16"/>
                <w:sz w:val="16"/>
              </w:rPr>
              <w:t> </w:t>
            </w:r>
            <w:r>
              <w:rPr>
                <w:spacing w:val="-2"/>
                <w:sz w:val="16"/>
              </w:rPr>
              <w:t>CORRIENTES</w:t>
            </w:r>
          </w:p>
        </w:tc>
        <w:tc>
          <w:tcPr>
            <w:tcW w:w="1878" w:type="dxa"/>
          </w:tcPr>
          <w:p>
            <w:pPr>
              <w:pStyle w:val="TableParagraph"/>
              <w:spacing w:before="18"/>
              <w:ind w:right="65"/>
              <w:jc w:val="right"/>
              <w:rPr>
                <w:sz w:val="16"/>
              </w:rPr>
            </w:pPr>
            <w:r>
              <w:rPr>
                <w:sz w:val="16"/>
              </w:rPr>
              <w:t>3</w:t>
            </w:r>
            <w:r>
              <w:rPr>
                <w:spacing w:val="-1"/>
                <w:sz w:val="16"/>
              </w:rPr>
              <w:t> </w:t>
            </w:r>
            <w:r>
              <w:rPr>
                <w:sz w:val="16"/>
              </w:rPr>
              <w:t>963</w:t>
            </w:r>
            <w:r>
              <w:rPr>
                <w:spacing w:val="-1"/>
                <w:sz w:val="16"/>
              </w:rPr>
              <w:t> </w:t>
            </w:r>
            <w:r>
              <w:rPr>
                <w:spacing w:val="-2"/>
                <w:sz w:val="16"/>
              </w:rPr>
              <w:t>493,82</w:t>
            </w:r>
          </w:p>
        </w:tc>
        <w:tc>
          <w:tcPr>
            <w:tcW w:w="1352" w:type="dxa"/>
          </w:tcPr>
          <w:p>
            <w:pPr>
              <w:pStyle w:val="TableParagraph"/>
              <w:spacing w:before="18"/>
              <w:ind w:right="65"/>
              <w:jc w:val="right"/>
              <w:rPr>
                <w:sz w:val="16"/>
              </w:rPr>
            </w:pPr>
            <w:r>
              <w:rPr>
                <w:sz w:val="16"/>
              </w:rPr>
              <w:t>5</w:t>
            </w:r>
            <w:r>
              <w:rPr>
                <w:spacing w:val="-1"/>
                <w:sz w:val="16"/>
              </w:rPr>
              <w:t> </w:t>
            </w:r>
            <w:r>
              <w:rPr>
                <w:sz w:val="16"/>
              </w:rPr>
              <w:t>075</w:t>
            </w:r>
            <w:r>
              <w:rPr>
                <w:spacing w:val="-1"/>
                <w:sz w:val="16"/>
              </w:rPr>
              <w:t> </w:t>
            </w:r>
            <w:r>
              <w:rPr>
                <w:spacing w:val="-2"/>
                <w:sz w:val="16"/>
              </w:rPr>
              <w:t>493,82</w:t>
            </w:r>
          </w:p>
        </w:tc>
        <w:tc>
          <w:tcPr>
            <w:tcW w:w="1127" w:type="dxa"/>
          </w:tcPr>
          <w:p>
            <w:pPr>
              <w:pStyle w:val="TableParagraph"/>
              <w:spacing w:before="18"/>
              <w:ind w:right="64"/>
              <w:jc w:val="right"/>
              <w:rPr>
                <w:sz w:val="16"/>
              </w:rPr>
            </w:pPr>
            <w:r>
              <w:rPr>
                <w:sz w:val="16"/>
              </w:rPr>
              <w:t>1</w:t>
            </w:r>
            <w:r>
              <w:rPr>
                <w:spacing w:val="-1"/>
                <w:sz w:val="16"/>
              </w:rPr>
              <w:t> </w:t>
            </w:r>
            <w:r>
              <w:rPr>
                <w:sz w:val="16"/>
              </w:rPr>
              <w:t>112</w:t>
            </w:r>
            <w:r>
              <w:rPr>
                <w:spacing w:val="-1"/>
                <w:sz w:val="16"/>
              </w:rPr>
              <w:t> </w:t>
            </w:r>
            <w:r>
              <w:rPr>
                <w:spacing w:val="-2"/>
                <w:sz w:val="16"/>
              </w:rPr>
              <w:t>000,00</w:t>
            </w:r>
          </w:p>
        </w:tc>
        <w:tc>
          <w:tcPr>
            <w:tcW w:w="1515" w:type="dxa"/>
          </w:tcPr>
          <w:p>
            <w:pPr>
              <w:pStyle w:val="TableParagraph"/>
              <w:spacing w:before="18"/>
              <w:ind w:left="1" w:right="1"/>
              <w:jc w:val="center"/>
              <w:rPr>
                <w:sz w:val="16"/>
              </w:rPr>
            </w:pPr>
            <w:r>
              <w:rPr>
                <w:spacing w:val="-2"/>
                <w:sz w:val="16"/>
              </w:rPr>
              <w:t>28,06%</w:t>
            </w:r>
          </w:p>
        </w:tc>
      </w:tr>
      <w:tr>
        <w:trPr>
          <w:trHeight w:val="200" w:hRule="atLeast"/>
        </w:trPr>
        <w:tc>
          <w:tcPr>
            <w:tcW w:w="790" w:type="dxa"/>
            <w:tcBorders>
              <w:bottom w:val="single" w:sz="4" w:space="0" w:color="000000"/>
            </w:tcBorders>
          </w:tcPr>
          <w:p>
            <w:pPr>
              <w:pStyle w:val="TableParagraph"/>
              <w:spacing w:line="163" w:lineRule="exact" w:before="17"/>
              <w:ind w:left="9" w:right="5"/>
              <w:jc w:val="center"/>
              <w:rPr>
                <w:sz w:val="16"/>
              </w:rPr>
            </w:pPr>
            <w:r>
              <w:rPr>
                <w:spacing w:val="-10"/>
                <w:sz w:val="16"/>
              </w:rPr>
              <w:t>9</w:t>
            </w:r>
          </w:p>
        </w:tc>
        <w:tc>
          <w:tcPr>
            <w:tcW w:w="2694" w:type="dxa"/>
            <w:tcBorders>
              <w:bottom w:val="single" w:sz="4" w:space="0" w:color="000000"/>
            </w:tcBorders>
          </w:tcPr>
          <w:p>
            <w:pPr>
              <w:pStyle w:val="TableParagraph"/>
              <w:spacing w:line="163" w:lineRule="exact" w:before="17"/>
              <w:ind w:left="73"/>
              <w:rPr>
                <w:sz w:val="16"/>
              </w:rPr>
            </w:pPr>
            <w:r>
              <w:rPr>
                <w:sz w:val="16"/>
              </w:rPr>
              <w:t>CUENTAS</w:t>
            </w:r>
            <w:r>
              <w:rPr>
                <w:spacing w:val="-4"/>
                <w:sz w:val="16"/>
              </w:rPr>
              <w:t> </w:t>
            </w:r>
            <w:r>
              <w:rPr>
                <w:spacing w:val="-2"/>
                <w:sz w:val="16"/>
              </w:rPr>
              <w:t>ESPECIALES</w:t>
            </w:r>
          </w:p>
        </w:tc>
        <w:tc>
          <w:tcPr>
            <w:tcW w:w="1878" w:type="dxa"/>
            <w:tcBorders>
              <w:bottom w:val="single" w:sz="4" w:space="0" w:color="000000"/>
            </w:tcBorders>
          </w:tcPr>
          <w:p>
            <w:pPr>
              <w:pStyle w:val="TableParagraph"/>
              <w:rPr>
                <w:rFonts w:ascii="Times New Roman"/>
                <w:sz w:val="12"/>
              </w:rPr>
            </w:pPr>
          </w:p>
        </w:tc>
        <w:tc>
          <w:tcPr>
            <w:tcW w:w="1352" w:type="dxa"/>
            <w:tcBorders>
              <w:bottom w:val="single" w:sz="4" w:space="0" w:color="000000"/>
            </w:tcBorders>
          </w:tcPr>
          <w:p>
            <w:pPr>
              <w:pStyle w:val="TableParagraph"/>
              <w:rPr>
                <w:rFonts w:ascii="Times New Roman"/>
                <w:sz w:val="12"/>
              </w:rPr>
            </w:pPr>
          </w:p>
        </w:tc>
        <w:tc>
          <w:tcPr>
            <w:tcW w:w="1127" w:type="dxa"/>
            <w:tcBorders>
              <w:bottom w:val="single" w:sz="4" w:space="0" w:color="000000"/>
            </w:tcBorders>
          </w:tcPr>
          <w:p>
            <w:pPr>
              <w:pStyle w:val="TableParagraph"/>
              <w:rPr>
                <w:rFonts w:ascii="Times New Roman"/>
                <w:sz w:val="12"/>
              </w:rPr>
            </w:pPr>
          </w:p>
        </w:tc>
        <w:tc>
          <w:tcPr>
            <w:tcW w:w="1515" w:type="dxa"/>
            <w:tcBorders>
              <w:bottom w:val="single" w:sz="4" w:space="0" w:color="000000"/>
            </w:tcBorders>
          </w:tcPr>
          <w:p>
            <w:pPr>
              <w:pStyle w:val="TableParagraph"/>
              <w:rPr>
                <w:rFonts w:ascii="Times New Roman"/>
                <w:sz w:val="12"/>
              </w:rPr>
            </w:pPr>
          </w:p>
        </w:tc>
      </w:tr>
      <w:tr>
        <w:trPr>
          <w:trHeight w:val="227" w:hRule="atLeast"/>
        </w:trPr>
        <w:tc>
          <w:tcPr>
            <w:tcW w:w="3484" w:type="dxa"/>
            <w:gridSpan w:val="2"/>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6" w:lineRule="exact" w:before="41"/>
              <w:ind w:left="69"/>
              <w:rPr>
                <w:b/>
                <w:sz w:val="16"/>
              </w:rPr>
            </w:pPr>
            <w:r>
              <w:rPr>
                <w:b/>
                <w:color w:val="FFFFFF"/>
                <w:spacing w:val="-2"/>
                <w:sz w:val="16"/>
              </w:rPr>
              <w:t>TOTAL</w:t>
            </w:r>
          </w:p>
        </w:tc>
        <w:tc>
          <w:tcPr>
            <w:tcW w:w="1878"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6" w:lineRule="exact" w:before="41"/>
              <w:ind w:right="57"/>
              <w:jc w:val="right"/>
              <w:rPr>
                <w:b/>
                <w:sz w:val="16"/>
              </w:rPr>
            </w:pPr>
            <w:r>
              <w:rPr>
                <w:b/>
                <w:color w:val="FFFFFF"/>
                <w:sz w:val="16"/>
              </w:rPr>
              <w:t>24</w:t>
            </w:r>
            <w:r>
              <w:rPr>
                <w:b/>
                <w:color w:val="FFFFFF"/>
                <w:spacing w:val="-2"/>
                <w:sz w:val="16"/>
              </w:rPr>
              <w:t> </w:t>
            </w:r>
            <w:r>
              <w:rPr>
                <w:b/>
                <w:color w:val="FFFFFF"/>
                <w:sz w:val="16"/>
              </w:rPr>
              <w:t>732</w:t>
            </w:r>
            <w:r>
              <w:rPr>
                <w:b/>
                <w:color w:val="FFFFFF"/>
                <w:spacing w:val="-1"/>
                <w:sz w:val="16"/>
              </w:rPr>
              <w:t> </w:t>
            </w:r>
            <w:r>
              <w:rPr>
                <w:b/>
                <w:color w:val="FFFFFF"/>
                <w:spacing w:val="-2"/>
                <w:sz w:val="16"/>
              </w:rPr>
              <w:t>730,43</w:t>
            </w:r>
          </w:p>
        </w:tc>
        <w:tc>
          <w:tcPr>
            <w:tcW w:w="1352"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6" w:lineRule="exact" w:before="41"/>
              <w:ind w:right="60"/>
              <w:jc w:val="right"/>
              <w:rPr>
                <w:b/>
                <w:sz w:val="16"/>
              </w:rPr>
            </w:pPr>
            <w:r>
              <w:rPr>
                <w:b/>
                <w:color w:val="FFFFFF"/>
                <w:sz w:val="16"/>
              </w:rPr>
              <w:t>22</w:t>
            </w:r>
            <w:r>
              <w:rPr>
                <w:b/>
                <w:color w:val="FFFFFF"/>
                <w:spacing w:val="-2"/>
                <w:sz w:val="16"/>
              </w:rPr>
              <w:t> </w:t>
            </w:r>
            <w:r>
              <w:rPr>
                <w:b/>
                <w:color w:val="FFFFFF"/>
                <w:sz w:val="16"/>
              </w:rPr>
              <w:t>748</w:t>
            </w:r>
            <w:r>
              <w:rPr>
                <w:b/>
                <w:color w:val="FFFFFF"/>
                <w:spacing w:val="-1"/>
                <w:sz w:val="16"/>
              </w:rPr>
              <w:t> </w:t>
            </w:r>
            <w:r>
              <w:rPr>
                <w:b/>
                <w:color w:val="FFFFFF"/>
                <w:spacing w:val="-2"/>
                <w:sz w:val="16"/>
              </w:rPr>
              <w:t>874,85</w:t>
            </w:r>
          </w:p>
        </w:tc>
        <w:tc>
          <w:tcPr>
            <w:tcW w:w="1127"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6" w:lineRule="exact" w:before="41"/>
              <w:ind w:right="59"/>
              <w:jc w:val="right"/>
              <w:rPr>
                <w:b/>
                <w:sz w:val="16"/>
              </w:rPr>
            </w:pPr>
            <w:r>
              <w:rPr>
                <w:b/>
                <w:color w:val="FFFFFF"/>
                <w:sz w:val="16"/>
              </w:rPr>
              <w:t>-1</w:t>
            </w:r>
            <w:r>
              <w:rPr>
                <w:b/>
                <w:color w:val="FFFFFF"/>
                <w:spacing w:val="-2"/>
                <w:sz w:val="16"/>
              </w:rPr>
              <w:t> </w:t>
            </w:r>
            <w:r>
              <w:rPr>
                <w:b/>
                <w:color w:val="FFFFFF"/>
                <w:sz w:val="16"/>
              </w:rPr>
              <w:t>983</w:t>
            </w:r>
            <w:r>
              <w:rPr>
                <w:b/>
                <w:color w:val="FFFFFF"/>
                <w:spacing w:val="-1"/>
                <w:sz w:val="16"/>
              </w:rPr>
              <w:t> </w:t>
            </w:r>
            <w:r>
              <w:rPr>
                <w:b/>
                <w:color w:val="FFFFFF"/>
                <w:spacing w:val="-2"/>
                <w:sz w:val="16"/>
              </w:rPr>
              <w:t>855,58</w:t>
            </w:r>
          </w:p>
        </w:tc>
        <w:tc>
          <w:tcPr>
            <w:tcW w:w="1515" w:type="dxa"/>
            <w:tcBorders>
              <w:top w:val="single" w:sz="4" w:space="0" w:color="000000"/>
              <w:left w:val="single" w:sz="4" w:space="0" w:color="000000"/>
              <w:bottom w:val="single" w:sz="4" w:space="0" w:color="000000"/>
              <w:right w:val="single" w:sz="4" w:space="0" w:color="000000"/>
            </w:tcBorders>
            <w:shd w:val="clear" w:color="auto" w:fill="0E233D"/>
          </w:tcPr>
          <w:p>
            <w:pPr>
              <w:pStyle w:val="TableParagraph"/>
              <w:spacing w:line="166" w:lineRule="exact" w:before="41"/>
              <w:ind w:right="1"/>
              <w:jc w:val="center"/>
              <w:rPr>
                <w:b/>
                <w:sz w:val="16"/>
              </w:rPr>
            </w:pPr>
            <w:r>
              <w:rPr>
                <w:b/>
                <w:color w:val="FFFFFF"/>
                <w:spacing w:val="-2"/>
                <w:sz w:val="16"/>
              </w:rPr>
              <w:t>-8,02%</w:t>
            </w:r>
          </w:p>
        </w:tc>
      </w:tr>
    </w:tbl>
    <w:p>
      <w:pPr>
        <w:spacing w:before="3"/>
        <w:ind w:left="1625" w:right="0" w:firstLine="0"/>
        <w:jc w:val="left"/>
        <w:rPr>
          <w:sz w:val="18"/>
        </w:rPr>
      </w:pPr>
      <w:r>
        <w:rPr>
          <w:sz w:val="18"/>
        </w:rPr>
        <w:t>Fuente:</w:t>
      </w:r>
      <w:r>
        <w:rPr>
          <w:spacing w:val="-6"/>
          <w:sz w:val="18"/>
        </w:rPr>
        <w:t> </w:t>
      </w:r>
      <w:r>
        <w:rPr>
          <w:sz w:val="18"/>
        </w:rPr>
        <w:t>Presupuesto</w:t>
      </w:r>
      <w:r>
        <w:rPr>
          <w:spacing w:val="-6"/>
          <w:sz w:val="18"/>
        </w:rPr>
        <w:t> </w:t>
      </w:r>
      <w:r>
        <w:rPr>
          <w:sz w:val="18"/>
        </w:rPr>
        <w:t>Ordinario</w:t>
      </w:r>
      <w:r>
        <w:rPr>
          <w:spacing w:val="-5"/>
          <w:sz w:val="18"/>
        </w:rPr>
        <w:t> </w:t>
      </w:r>
      <w:r>
        <w:rPr>
          <w:spacing w:val="-4"/>
          <w:sz w:val="18"/>
        </w:rPr>
        <w:t>2027</w:t>
      </w:r>
    </w:p>
    <w:p>
      <w:pPr>
        <w:pStyle w:val="BodyText"/>
        <w:spacing w:before="46"/>
        <w:rPr>
          <w:sz w:val="18"/>
        </w:rPr>
      </w:pPr>
    </w:p>
    <w:p>
      <w:pPr>
        <w:pStyle w:val="Heading3"/>
        <w:numPr>
          <w:ilvl w:val="0"/>
          <w:numId w:val="5"/>
        </w:numPr>
        <w:tabs>
          <w:tab w:pos="1892" w:val="left" w:leader="none"/>
        </w:tabs>
        <w:spacing w:line="240" w:lineRule="auto" w:before="0" w:after="0"/>
        <w:ind w:left="1892" w:right="0" w:hanging="267"/>
        <w:jc w:val="left"/>
      </w:pPr>
      <w:bookmarkStart w:name="_bookmark59" w:id="60"/>
      <w:bookmarkEnd w:id="60"/>
      <w:r>
        <w:rPr>
          <w:b w:val="0"/>
        </w:rPr>
      </w:r>
      <w:r>
        <w:rPr/>
        <w:t>Marco</w:t>
      </w:r>
      <w:r>
        <w:rPr>
          <w:spacing w:val="-8"/>
        </w:rPr>
        <w:t> </w:t>
      </w:r>
      <w:r>
        <w:rPr/>
        <w:t>Estratégico</w:t>
      </w:r>
      <w:r>
        <w:rPr>
          <w:spacing w:val="-7"/>
        </w:rPr>
        <w:t> </w:t>
      </w:r>
      <w:r>
        <w:rPr>
          <w:spacing w:val="-2"/>
        </w:rPr>
        <w:t>Institucional</w:t>
      </w:r>
    </w:p>
    <w:p>
      <w:pPr>
        <w:pStyle w:val="BodyText"/>
        <w:spacing w:before="254"/>
        <w:ind w:left="1625" w:right="1602"/>
        <w:jc w:val="both"/>
      </w:pPr>
      <w:r>
        <w:rPr/>
        <w:t>El marco estratégico del IMAS consiste en el marco de referencia que orienta a la institución hacia el cumplimiento de su misión, el alcance de su visión y el cumplimiento de sus objetivos estratégicos.</w:t>
      </w:r>
    </w:p>
    <w:p>
      <w:pPr>
        <w:pStyle w:val="BodyText"/>
        <w:spacing w:before="251"/>
        <w:ind w:left="1625" w:right="1602"/>
        <w:jc w:val="both"/>
      </w:pPr>
      <w:r>
        <w:rPr/>
        <w:t>El</w:t>
      </w:r>
      <w:r>
        <w:rPr>
          <w:spacing w:val="-10"/>
        </w:rPr>
        <w:t> </w:t>
      </w:r>
      <w:r>
        <w:rPr/>
        <w:t>marco</w:t>
      </w:r>
      <w:r>
        <w:rPr>
          <w:spacing w:val="-9"/>
        </w:rPr>
        <w:t> </w:t>
      </w:r>
      <w:r>
        <w:rPr/>
        <w:t>estratégico</w:t>
      </w:r>
      <w:r>
        <w:rPr>
          <w:spacing w:val="-9"/>
        </w:rPr>
        <w:t> </w:t>
      </w:r>
      <w:r>
        <w:rPr/>
        <w:t>de</w:t>
      </w:r>
      <w:r>
        <w:rPr>
          <w:spacing w:val="-9"/>
        </w:rPr>
        <w:t> </w:t>
      </w:r>
      <w:r>
        <w:rPr/>
        <w:t>la</w:t>
      </w:r>
      <w:r>
        <w:rPr>
          <w:spacing w:val="-9"/>
        </w:rPr>
        <w:t> </w:t>
      </w:r>
      <w:r>
        <w:rPr/>
        <w:t>institución</w:t>
      </w:r>
      <w:r>
        <w:rPr>
          <w:spacing w:val="-9"/>
        </w:rPr>
        <w:t> </w:t>
      </w:r>
      <w:r>
        <w:rPr/>
        <w:t>fue</w:t>
      </w:r>
      <w:r>
        <w:rPr>
          <w:spacing w:val="-11"/>
        </w:rPr>
        <w:t> </w:t>
      </w:r>
      <w:r>
        <w:rPr/>
        <w:t>planteado</w:t>
      </w:r>
      <w:r>
        <w:rPr>
          <w:spacing w:val="-9"/>
        </w:rPr>
        <w:t> </w:t>
      </w:r>
      <w:r>
        <w:rPr/>
        <w:t>en</w:t>
      </w:r>
      <w:r>
        <w:rPr>
          <w:spacing w:val="-9"/>
        </w:rPr>
        <w:t> </w:t>
      </w:r>
      <w:r>
        <w:rPr/>
        <w:t>la</w:t>
      </w:r>
      <w:r>
        <w:rPr>
          <w:spacing w:val="-9"/>
        </w:rPr>
        <w:t> </w:t>
      </w:r>
      <w:r>
        <w:rPr/>
        <w:t>formulación</w:t>
      </w:r>
      <w:r>
        <w:rPr>
          <w:spacing w:val="-9"/>
        </w:rPr>
        <w:t> </w:t>
      </w:r>
      <w:r>
        <w:rPr/>
        <w:t>del</w:t>
      </w:r>
      <w:r>
        <w:rPr>
          <w:spacing w:val="-10"/>
        </w:rPr>
        <w:t> </w:t>
      </w:r>
      <w:r>
        <w:rPr/>
        <w:t>Plan</w:t>
      </w:r>
      <w:r>
        <w:rPr>
          <w:spacing w:val="-9"/>
        </w:rPr>
        <w:t> </w:t>
      </w:r>
      <w:r>
        <w:rPr/>
        <w:t>Estratégico Institucional</w:t>
      </w:r>
      <w:r>
        <w:rPr>
          <w:spacing w:val="-15"/>
        </w:rPr>
        <w:t> </w:t>
      </w:r>
      <w:r>
        <w:rPr/>
        <w:t>del</w:t>
      </w:r>
      <w:r>
        <w:rPr>
          <w:spacing w:val="-14"/>
        </w:rPr>
        <w:t> </w:t>
      </w:r>
      <w:r>
        <w:rPr/>
        <w:t>IMAS,</w:t>
      </w:r>
      <w:r>
        <w:rPr>
          <w:spacing w:val="-12"/>
        </w:rPr>
        <w:t> </w:t>
      </w:r>
      <w:r>
        <w:rPr/>
        <w:t>el</w:t>
      </w:r>
      <w:r>
        <w:rPr>
          <w:spacing w:val="-16"/>
        </w:rPr>
        <w:t> </w:t>
      </w:r>
      <w:r>
        <w:rPr/>
        <w:t>cual</w:t>
      </w:r>
      <w:r>
        <w:rPr>
          <w:spacing w:val="-13"/>
        </w:rPr>
        <w:t> </w:t>
      </w:r>
      <w:r>
        <w:rPr/>
        <w:t>tiene</w:t>
      </w:r>
      <w:r>
        <w:rPr>
          <w:spacing w:val="-14"/>
        </w:rPr>
        <w:t> </w:t>
      </w:r>
      <w:r>
        <w:rPr/>
        <w:t>un</w:t>
      </w:r>
      <w:r>
        <w:rPr>
          <w:spacing w:val="-14"/>
        </w:rPr>
        <w:t> </w:t>
      </w:r>
      <w:r>
        <w:rPr/>
        <w:t>periodo</w:t>
      </w:r>
      <w:r>
        <w:rPr>
          <w:spacing w:val="-14"/>
        </w:rPr>
        <w:t> </w:t>
      </w:r>
      <w:r>
        <w:rPr/>
        <w:t>de</w:t>
      </w:r>
      <w:r>
        <w:rPr>
          <w:spacing w:val="-16"/>
        </w:rPr>
        <w:t> </w:t>
      </w:r>
      <w:r>
        <w:rPr/>
        <w:t>vigencia</w:t>
      </w:r>
      <w:r>
        <w:rPr>
          <w:spacing w:val="-13"/>
        </w:rPr>
        <w:t> </w:t>
      </w:r>
      <w:r>
        <w:rPr/>
        <w:t>desde</w:t>
      </w:r>
      <w:r>
        <w:rPr>
          <w:spacing w:val="-12"/>
        </w:rPr>
        <w:t> </w:t>
      </w:r>
      <w:r>
        <w:rPr/>
        <w:t>el</w:t>
      </w:r>
      <w:r>
        <w:rPr>
          <w:spacing w:val="-14"/>
        </w:rPr>
        <w:t> </w:t>
      </w:r>
      <w:r>
        <w:rPr/>
        <w:t>año</w:t>
      </w:r>
      <w:r>
        <w:rPr>
          <w:spacing w:val="-14"/>
        </w:rPr>
        <w:t> </w:t>
      </w:r>
      <w:r>
        <w:rPr/>
        <w:t>2023</w:t>
      </w:r>
      <w:r>
        <w:rPr>
          <w:spacing w:val="-14"/>
        </w:rPr>
        <w:t> </w:t>
      </w:r>
      <w:r>
        <w:rPr/>
        <w:t>al</w:t>
      </w:r>
      <w:r>
        <w:rPr>
          <w:spacing w:val="-14"/>
        </w:rPr>
        <w:t> </w:t>
      </w:r>
      <w:r>
        <w:rPr/>
        <w:t>año</w:t>
      </w:r>
      <w:r>
        <w:rPr>
          <w:spacing w:val="-14"/>
        </w:rPr>
        <w:t> </w:t>
      </w:r>
      <w:r>
        <w:rPr/>
        <w:t>2028. Dicho</w:t>
      </w:r>
      <w:r>
        <w:rPr>
          <w:spacing w:val="-11"/>
        </w:rPr>
        <w:t> </w:t>
      </w:r>
      <w:r>
        <w:rPr/>
        <w:t>Plan</w:t>
      </w:r>
      <w:r>
        <w:rPr>
          <w:spacing w:val="-11"/>
        </w:rPr>
        <w:t> </w:t>
      </w:r>
      <w:r>
        <w:rPr/>
        <w:t>Estratégico</w:t>
      </w:r>
      <w:r>
        <w:rPr>
          <w:spacing w:val="-13"/>
        </w:rPr>
        <w:t> </w:t>
      </w:r>
      <w:r>
        <w:rPr/>
        <w:t>fue</w:t>
      </w:r>
      <w:r>
        <w:rPr>
          <w:spacing w:val="-11"/>
        </w:rPr>
        <w:t> </w:t>
      </w:r>
      <w:r>
        <w:rPr/>
        <w:t>aprobado</w:t>
      </w:r>
      <w:r>
        <w:rPr>
          <w:spacing w:val="-13"/>
        </w:rPr>
        <w:t> </w:t>
      </w:r>
      <w:r>
        <w:rPr/>
        <w:t>mediante</w:t>
      </w:r>
      <w:r>
        <w:rPr>
          <w:spacing w:val="-11"/>
        </w:rPr>
        <w:t> </w:t>
      </w:r>
      <w:r>
        <w:rPr/>
        <w:t>acuerdo</w:t>
      </w:r>
      <w:r>
        <w:rPr>
          <w:spacing w:val="-11"/>
        </w:rPr>
        <w:t> </w:t>
      </w:r>
      <w:r>
        <w:rPr/>
        <w:t>del</w:t>
      </w:r>
      <w:r>
        <w:rPr>
          <w:spacing w:val="-12"/>
        </w:rPr>
        <w:t> </w:t>
      </w:r>
      <w:r>
        <w:rPr/>
        <w:t>Consejo</w:t>
      </w:r>
      <w:r>
        <w:rPr>
          <w:spacing w:val="-11"/>
        </w:rPr>
        <w:t> </w:t>
      </w:r>
      <w:r>
        <w:rPr/>
        <w:t>Directivo</w:t>
      </w:r>
      <w:r>
        <w:rPr>
          <w:spacing w:val="-6"/>
        </w:rPr>
        <w:t> </w:t>
      </w:r>
      <w:r>
        <w:rPr/>
        <w:t>N.º</w:t>
      </w:r>
      <w:r>
        <w:rPr>
          <w:spacing w:val="-9"/>
        </w:rPr>
        <w:t> </w:t>
      </w:r>
      <w:r>
        <w:rPr/>
        <w:t>231-09-2023, y desde su aprobación se ha convertido en el instrumento que guía el accionar </w:t>
      </w:r>
      <w:r>
        <w:rPr>
          <w:spacing w:val="-2"/>
        </w:rPr>
        <w:t>institucional.</w:t>
      </w:r>
    </w:p>
    <w:p>
      <w:pPr>
        <w:pStyle w:val="BodyText"/>
        <w:spacing w:before="2"/>
      </w:pPr>
    </w:p>
    <w:p>
      <w:pPr>
        <w:pStyle w:val="BodyText"/>
        <w:ind w:left="1625" w:right="1601"/>
        <w:jc w:val="both"/>
      </w:pPr>
      <w:r>
        <w:rPr/>
        <w:t>Posteriormente</w:t>
      </w:r>
      <w:r>
        <w:rPr>
          <w:spacing w:val="-16"/>
        </w:rPr>
        <w:t> </w:t>
      </w:r>
      <w:r>
        <w:rPr/>
        <w:t>en</w:t>
      </w:r>
      <w:r>
        <w:rPr>
          <w:spacing w:val="-15"/>
        </w:rPr>
        <w:t> </w:t>
      </w:r>
      <w:r>
        <w:rPr/>
        <w:t>el</w:t>
      </w:r>
      <w:r>
        <w:rPr>
          <w:spacing w:val="-15"/>
        </w:rPr>
        <w:t> </w:t>
      </w:r>
      <w:r>
        <w:rPr/>
        <w:t>año</w:t>
      </w:r>
      <w:r>
        <w:rPr>
          <w:spacing w:val="-16"/>
        </w:rPr>
        <w:t> </w:t>
      </w:r>
      <w:r>
        <w:rPr/>
        <w:t>2024</w:t>
      </w:r>
      <w:r>
        <w:rPr>
          <w:spacing w:val="-15"/>
        </w:rPr>
        <w:t> </w:t>
      </w:r>
      <w:r>
        <w:rPr/>
        <w:t>se</w:t>
      </w:r>
      <w:r>
        <w:rPr>
          <w:spacing w:val="-15"/>
        </w:rPr>
        <w:t> </w:t>
      </w:r>
      <w:r>
        <w:rPr/>
        <w:t>realiza</w:t>
      </w:r>
      <w:r>
        <w:rPr>
          <w:spacing w:val="-15"/>
        </w:rPr>
        <w:t> </w:t>
      </w:r>
      <w:r>
        <w:rPr/>
        <w:t>un</w:t>
      </w:r>
      <w:r>
        <w:rPr>
          <w:spacing w:val="-13"/>
        </w:rPr>
        <w:t> </w:t>
      </w:r>
      <w:r>
        <w:rPr/>
        <w:t>ajuste</w:t>
      </w:r>
      <w:r>
        <w:rPr>
          <w:spacing w:val="-16"/>
        </w:rPr>
        <w:t> </w:t>
      </w:r>
      <w:r>
        <w:rPr/>
        <w:t>a</w:t>
      </w:r>
      <w:r>
        <w:rPr>
          <w:spacing w:val="-13"/>
        </w:rPr>
        <w:t> </w:t>
      </w:r>
      <w:r>
        <w:rPr/>
        <w:t>dicho</w:t>
      </w:r>
      <w:r>
        <w:rPr>
          <w:spacing w:val="-16"/>
        </w:rPr>
        <w:t> </w:t>
      </w:r>
      <w:r>
        <w:rPr/>
        <w:t>Plan</w:t>
      </w:r>
      <w:r>
        <w:rPr>
          <w:spacing w:val="-13"/>
        </w:rPr>
        <w:t> </w:t>
      </w:r>
      <w:r>
        <w:rPr/>
        <w:t>Estratégico,</w:t>
      </w:r>
      <w:r>
        <w:rPr>
          <w:spacing w:val="-15"/>
        </w:rPr>
        <w:t> </w:t>
      </w:r>
      <w:r>
        <w:rPr/>
        <w:t>incorporando un nuevo Eje estratégico asociado exclusivamente a la gestión del Recurso Humano de la Institución, esta nueva versión fue aprobada mediante acuerdo del Consejo Directivo N° 99-05-2024 con fecha 31 de mayo 2024.</w:t>
      </w:r>
    </w:p>
    <w:p>
      <w:pPr>
        <w:pStyle w:val="BodyText"/>
      </w:pPr>
    </w:p>
    <w:p>
      <w:pPr>
        <w:pStyle w:val="BodyText"/>
        <w:ind w:left="1625"/>
        <w:jc w:val="both"/>
      </w:pPr>
      <w:r>
        <w:rPr/>
        <w:t>A</w:t>
      </w:r>
      <w:r>
        <w:rPr>
          <w:spacing w:val="-7"/>
        </w:rPr>
        <w:t> </w:t>
      </w:r>
      <w:r>
        <w:rPr/>
        <w:t>continuación,</w:t>
      </w:r>
      <w:r>
        <w:rPr>
          <w:spacing w:val="-6"/>
        </w:rPr>
        <w:t> </w:t>
      </w:r>
      <w:r>
        <w:rPr/>
        <w:t>se</w:t>
      </w:r>
      <w:r>
        <w:rPr>
          <w:spacing w:val="-5"/>
        </w:rPr>
        <w:t> </w:t>
      </w:r>
      <w:r>
        <w:rPr/>
        <w:t>detalle</w:t>
      </w:r>
      <w:r>
        <w:rPr>
          <w:spacing w:val="-4"/>
        </w:rPr>
        <w:t> </w:t>
      </w:r>
      <w:r>
        <w:rPr/>
        <w:t>lo</w:t>
      </w:r>
      <w:r>
        <w:rPr>
          <w:spacing w:val="-5"/>
        </w:rPr>
        <w:t> </w:t>
      </w:r>
      <w:r>
        <w:rPr/>
        <w:t>establecido</w:t>
      </w:r>
      <w:r>
        <w:rPr>
          <w:spacing w:val="-5"/>
        </w:rPr>
        <w:t> </w:t>
      </w:r>
      <w:r>
        <w:rPr/>
        <w:t>en</w:t>
      </w:r>
      <w:r>
        <w:rPr>
          <w:spacing w:val="-6"/>
        </w:rPr>
        <w:t> </w:t>
      </w:r>
      <w:r>
        <w:rPr/>
        <w:t>el</w:t>
      </w:r>
      <w:r>
        <w:rPr>
          <w:spacing w:val="-8"/>
        </w:rPr>
        <w:t> </w:t>
      </w:r>
      <w:r>
        <w:rPr/>
        <w:t>Marco</w:t>
      </w:r>
      <w:r>
        <w:rPr>
          <w:spacing w:val="-4"/>
        </w:rPr>
        <w:t> </w:t>
      </w:r>
      <w:r>
        <w:rPr/>
        <w:t>Estratégico</w:t>
      </w:r>
      <w:r>
        <w:rPr>
          <w:spacing w:val="-5"/>
        </w:rPr>
        <w:t> </w:t>
      </w:r>
      <w:r>
        <w:rPr/>
        <w:t>de</w:t>
      </w:r>
      <w:r>
        <w:rPr>
          <w:spacing w:val="-7"/>
        </w:rPr>
        <w:t> </w:t>
      </w:r>
      <w:r>
        <w:rPr/>
        <w:t>la</w:t>
      </w:r>
      <w:r>
        <w:rPr>
          <w:spacing w:val="-4"/>
        </w:rPr>
        <w:t> </w:t>
      </w:r>
      <w:r>
        <w:rPr>
          <w:spacing w:val="-2"/>
        </w:rPr>
        <w:t>Institución.</w:t>
      </w:r>
    </w:p>
    <w:p>
      <w:pPr>
        <w:pStyle w:val="BodyText"/>
        <w:spacing w:after="0"/>
        <w:jc w:val="both"/>
        <w:sectPr>
          <w:pgSz w:w="12240" w:h="15840"/>
          <w:pgMar w:header="0" w:footer="1576" w:top="1260" w:bottom="1760" w:left="360" w:right="0"/>
        </w:sectPr>
      </w:pPr>
    </w:p>
    <w:p>
      <w:pPr>
        <w:pStyle w:val="Heading3"/>
        <w:numPr>
          <w:ilvl w:val="1"/>
          <w:numId w:val="5"/>
        </w:numPr>
        <w:tabs>
          <w:tab w:pos="2887" w:val="left" w:leader="none"/>
        </w:tabs>
        <w:spacing w:line="240" w:lineRule="auto" w:before="78" w:after="0"/>
        <w:ind w:left="2887" w:right="0" w:hanging="401"/>
        <w:jc w:val="left"/>
      </w:pPr>
      <w:bookmarkStart w:name="_bookmark60" w:id="61"/>
      <w:bookmarkEnd w:id="61"/>
      <w:r>
        <w:rPr>
          <w:b w:val="0"/>
        </w:rPr>
      </w:r>
      <w:r>
        <w:rPr/>
        <w:t>Visión</w:t>
      </w:r>
      <w:r>
        <w:rPr>
          <w:spacing w:val="-4"/>
        </w:rPr>
        <w:t> </w:t>
      </w:r>
      <w:r>
        <w:rPr>
          <w:spacing w:val="-2"/>
        </w:rPr>
        <w:t>Institucional</w:t>
      </w:r>
    </w:p>
    <w:p>
      <w:pPr>
        <w:pStyle w:val="BodyText"/>
        <w:rPr>
          <w:b/>
          <w:sz w:val="24"/>
        </w:rPr>
      </w:pPr>
    </w:p>
    <w:p>
      <w:pPr>
        <w:pStyle w:val="BodyText"/>
        <w:ind w:left="1625" w:right="1601"/>
        <w:jc w:val="both"/>
      </w:pPr>
      <w:r>
        <w:rPr/>
        <w:t>“El IMAS será la entidad que lidera técnicamente la política social del país y articula acciones públicas y privadas, que respondan oportunamente con servicios innovadores que</w:t>
      </w:r>
      <w:r>
        <w:rPr>
          <w:spacing w:val="-16"/>
        </w:rPr>
        <w:t> </w:t>
      </w:r>
      <w:r>
        <w:rPr/>
        <w:t>permiten</w:t>
      </w:r>
      <w:r>
        <w:rPr>
          <w:spacing w:val="-15"/>
        </w:rPr>
        <w:t> </w:t>
      </w:r>
      <w:r>
        <w:rPr/>
        <w:t>mejorar</w:t>
      </w:r>
      <w:r>
        <w:rPr>
          <w:spacing w:val="-15"/>
        </w:rPr>
        <w:t> </w:t>
      </w:r>
      <w:r>
        <w:rPr/>
        <w:t>las</w:t>
      </w:r>
      <w:r>
        <w:rPr>
          <w:spacing w:val="-16"/>
        </w:rPr>
        <w:t> </w:t>
      </w:r>
      <w:r>
        <w:rPr/>
        <w:t>condiciones</w:t>
      </w:r>
      <w:r>
        <w:rPr>
          <w:spacing w:val="-15"/>
        </w:rPr>
        <w:t> </w:t>
      </w:r>
      <w:r>
        <w:rPr/>
        <w:t>de</w:t>
      </w:r>
      <w:r>
        <w:rPr>
          <w:spacing w:val="-15"/>
        </w:rPr>
        <w:t> </w:t>
      </w:r>
      <w:r>
        <w:rPr/>
        <w:t>vida</w:t>
      </w:r>
      <w:r>
        <w:rPr>
          <w:spacing w:val="-15"/>
        </w:rPr>
        <w:t> </w:t>
      </w:r>
      <w:r>
        <w:rPr/>
        <w:t>y</w:t>
      </w:r>
      <w:r>
        <w:rPr>
          <w:spacing w:val="-16"/>
        </w:rPr>
        <w:t> </w:t>
      </w:r>
      <w:r>
        <w:rPr/>
        <w:t>potenciar</w:t>
      </w:r>
      <w:r>
        <w:rPr>
          <w:spacing w:val="-15"/>
        </w:rPr>
        <w:t> </w:t>
      </w:r>
      <w:r>
        <w:rPr/>
        <w:t>las</w:t>
      </w:r>
      <w:r>
        <w:rPr>
          <w:spacing w:val="-15"/>
        </w:rPr>
        <w:t> </w:t>
      </w:r>
      <w:r>
        <w:rPr/>
        <w:t>capacidades</w:t>
      </w:r>
      <w:r>
        <w:rPr>
          <w:spacing w:val="-16"/>
        </w:rPr>
        <w:t> </w:t>
      </w:r>
      <w:r>
        <w:rPr/>
        <w:t>de</w:t>
      </w:r>
      <w:r>
        <w:rPr>
          <w:spacing w:val="-15"/>
        </w:rPr>
        <w:t> </w:t>
      </w:r>
      <w:r>
        <w:rPr/>
        <w:t>las</w:t>
      </w:r>
      <w:r>
        <w:rPr>
          <w:spacing w:val="-15"/>
        </w:rPr>
        <w:t> </w:t>
      </w:r>
      <w:r>
        <w:rPr/>
        <w:t>personas en situación de pobreza y pobreza extrema.”</w:t>
      </w:r>
    </w:p>
    <w:p>
      <w:pPr>
        <w:pStyle w:val="BodyText"/>
      </w:pPr>
    </w:p>
    <w:p>
      <w:pPr>
        <w:pStyle w:val="Heading3"/>
        <w:numPr>
          <w:ilvl w:val="1"/>
          <w:numId w:val="5"/>
        </w:numPr>
        <w:tabs>
          <w:tab w:pos="2887" w:val="left" w:leader="none"/>
        </w:tabs>
        <w:spacing w:line="240" w:lineRule="auto" w:before="0" w:after="0"/>
        <w:ind w:left="2887" w:right="0" w:hanging="401"/>
        <w:jc w:val="left"/>
      </w:pPr>
      <w:bookmarkStart w:name="_bookmark61" w:id="62"/>
      <w:bookmarkEnd w:id="62"/>
      <w:r>
        <w:rPr>
          <w:b w:val="0"/>
        </w:rPr>
      </w:r>
      <w:r>
        <w:rPr/>
        <w:t>Misión</w:t>
      </w:r>
      <w:r>
        <w:rPr>
          <w:spacing w:val="-5"/>
        </w:rPr>
        <w:t> </w:t>
      </w:r>
      <w:r>
        <w:rPr>
          <w:spacing w:val="-2"/>
        </w:rPr>
        <w:t>Institucional</w:t>
      </w:r>
    </w:p>
    <w:p>
      <w:pPr>
        <w:pStyle w:val="BodyText"/>
        <w:spacing w:before="252"/>
        <w:ind w:left="1625" w:right="1601"/>
        <w:jc w:val="both"/>
      </w:pPr>
      <w:r>
        <w:rPr/>
        <w:t>“El IMAS brinda y coordina servicios de protección y promoción social, de manera inclusiva</w:t>
      </w:r>
      <w:r>
        <w:rPr>
          <w:spacing w:val="-5"/>
        </w:rPr>
        <w:t> </w:t>
      </w:r>
      <w:r>
        <w:rPr/>
        <w:t>y</w:t>
      </w:r>
      <w:r>
        <w:rPr>
          <w:spacing w:val="-5"/>
        </w:rPr>
        <w:t> </w:t>
      </w:r>
      <w:r>
        <w:rPr/>
        <w:t>solidaria,</w:t>
      </w:r>
      <w:r>
        <w:rPr>
          <w:spacing w:val="-6"/>
        </w:rPr>
        <w:t> </w:t>
      </w:r>
      <w:r>
        <w:rPr/>
        <w:t>para</w:t>
      </w:r>
      <w:r>
        <w:rPr>
          <w:spacing w:val="-7"/>
        </w:rPr>
        <w:t> </w:t>
      </w:r>
      <w:r>
        <w:rPr/>
        <w:t>el</w:t>
      </w:r>
      <w:r>
        <w:rPr>
          <w:spacing w:val="-6"/>
        </w:rPr>
        <w:t> </w:t>
      </w:r>
      <w:r>
        <w:rPr/>
        <w:t>desarrollo</w:t>
      </w:r>
      <w:r>
        <w:rPr>
          <w:spacing w:val="-5"/>
        </w:rPr>
        <w:t> </w:t>
      </w:r>
      <w:r>
        <w:rPr/>
        <w:t>de</w:t>
      </w:r>
      <w:r>
        <w:rPr>
          <w:spacing w:val="-8"/>
        </w:rPr>
        <w:t> </w:t>
      </w:r>
      <w:r>
        <w:rPr/>
        <w:t>la</w:t>
      </w:r>
      <w:r>
        <w:rPr>
          <w:spacing w:val="-5"/>
        </w:rPr>
        <w:t> </w:t>
      </w:r>
      <w:r>
        <w:rPr/>
        <w:t>población</w:t>
      </w:r>
      <w:r>
        <w:rPr>
          <w:spacing w:val="-5"/>
        </w:rPr>
        <w:t> </w:t>
      </w:r>
      <w:r>
        <w:rPr/>
        <w:t>en</w:t>
      </w:r>
      <w:r>
        <w:rPr>
          <w:spacing w:val="-5"/>
        </w:rPr>
        <w:t> </w:t>
      </w:r>
      <w:r>
        <w:rPr/>
        <w:t>situación</w:t>
      </w:r>
      <w:r>
        <w:rPr>
          <w:spacing w:val="-5"/>
        </w:rPr>
        <w:t> </w:t>
      </w:r>
      <w:r>
        <w:rPr/>
        <w:t>de</w:t>
      </w:r>
      <w:r>
        <w:rPr>
          <w:spacing w:val="-5"/>
        </w:rPr>
        <w:t> </w:t>
      </w:r>
      <w:r>
        <w:rPr/>
        <w:t>pobreza</w:t>
      </w:r>
      <w:r>
        <w:rPr>
          <w:spacing w:val="-5"/>
        </w:rPr>
        <w:t> </w:t>
      </w:r>
      <w:r>
        <w:rPr/>
        <w:t>y</w:t>
      </w:r>
      <w:r>
        <w:rPr>
          <w:spacing w:val="-7"/>
        </w:rPr>
        <w:t> </w:t>
      </w:r>
      <w:r>
        <w:rPr/>
        <w:t>pobreza extrema, mediante la ejecución y coordinación de programas y proyectos sociales y económicos, desde un abordaje multidimensional.”</w:t>
      </w:r>
    </w:p>
    <w:p>
      <w:pPr>
        <w:pStyle w:val="BodyText"/>
      </w:pPr>
    </w:p>
    <w:p>
      <w:pPr>
        <w:pStyle w:val="BodyText"/>
        <w:spacing w:before="2"/>
      </w:pPr>
    </w:p>
    <w:p>
      <w:pPr>
        <w:pStyle w:val="Heading3"/>
        <w:numPr>
          <w:ilvl w:val="1"/>
          <w:numId w:val="5"/>
        </w:numPr>
        <w:tabs>
          <w:tab w:pos="2887" w:val="left" w:leader="none"/>
        </w:tabs>
        <w:spacing w:line="240" w:lineRule="auto" w:before="0" w:after="0"/>
        <w:ind w:left="2887" w:right="0" w:hanging="401"/>
        <w:jc w:val="left"/>
      </w:pPr>
      <w:bookmarkStart w:name="_bookmark62" w:id="63"/>
      <w:bookmarkEnd w:id="63"/>
      <w:r>
        <w:rPr>
          <w:b w:val="0"/>
        </w:rPr>
      </w:r>
      <w:r>
        <w:rPr/>
        <w:t>Políticas</w:t>
      </w:r>
      <w:r>
        <w:rPr>
          <w:spacing w:val="-7"/>
        </w:rPr>
        <w:t> </w:t>
      </w:r>
      <w:r>
        <w:rPr>
          <w:spacing w:val="-2"/>
        </w:rPr>
        <w:t>Institucionales</w:t>
      </w:r>
    </w:p>
    <w:p>
      <w:pPr>
        <w:pStyle w:val="BodyText"/>
        <w:spacing w:before="276"/>
        <w:ind w:left="1625" w:right="1605"/>
        <w:jc w:val="both"/>
      </w:pPr>
      <w:r>
        <w:rPr/>
        <w:t>Las</w:t>
      </w:r>
      <w:r>
        <w:rPr>
          <w:spacing w:val="-13"/>
        </w:rPr>
        <w:t> </w:t>
      </w:r>
      <w:r>
        <w:rPr/>
        <w:t>Políticas</w:t>
      </w:r>
      <w:r>
        <w:rPr>
          <w:spacing w:val="-16"/>
        </w:rPr>
        <w:t> </w:t>
      </w:r>
      <w:r>
        <w:rPr/>
        <w:t>Institucionales</w:t>
      </w:r>
      <w:r>
        <w:rPr>
          <w:spacing w:val="-11"/>
        </w:rPr>
        <w:t> </w:t>
      </w:r>
      <w:r>
        <w:rPr/>
        <w:t>que</w:t>
      </w:r>
      <w:r>
        <w:rPr>
          <w:spacing w:val="-15"/>
        </w:rPr>
        <w:t> </w:t>
      </w:r>
      <w:r>
        <w:rPr/>
        <w:t>actualmente</w:t>
      </w:r>
      <w:r>
        <w:rPr>
          <w:spacing w:val="-15"/>
        </w:rPr>
        <w:t> </w:t>
      </w:r>
      <w:r>
        <w:rPr/>
        <w:t>están</w:t>
      </w:r>
      <w:r>
        <w:rPr>
          <w:spacing w:val="-12"/>
        </w:rPr>
        <w:t> </w:t>
      </w:r>
      <w:r>
        <w:rPr/>
        <w:t>vigentes</w:t>
      </w:r>
      <w:r>
        <w:rPr>
          <w:spacing w:val="-14"/>
        </w:rPr>
        <w:t> </w:t>
      </w:r>
      <w:r>
        <w:rPr/>
        <w:t>en</w:t>
      </w:r>
      <w:r>
        <w:rPr>
          <w:spacing w:val="-15"/>
        </w:rPr>
        <w:t> </w:t>
      </w:r>
      <w:r>
        <w:rPr/>
        <w:t>la</w:t>
      </w:r>
      <w:r>
        <w:rPr>
          <w:spacing w:val="-12"/>
        </w:rPr>
        <w:t> </w:t>
      </w:r>
      <w:r>
        <w:rPr/>
        <w:t>institución,</w:t>
      </w:r>
      <w:r>
        <w:rPr>
          <w:spacing w:val="-13"/>
        </w:rPr>
        <w:t> </w:t>
      </w:r>
      <w:r>
        <w:rPr/>
        <w:t>mismas</w:t>
      </w:r>
      <w:r>
        <w:rPr>
          <w:spacing w:val="-15"/>
        </w:rPr>
        <w:t> </w:t>
      </w:r>
      <w:r>
        <w:rPr/>
        <w:t>que dan respuesta a demandas o problemas identificados y sirven de guía para la gestión administrativa, son las siguientes:</w:t>
      </w:r>
    </w:p>
    <w:p>
      <w:pPr>
        <w:pStyle w:val="ListParagraph"/>
        <w:numPr>
          <w:ilvl w:val="0"/>
          <w:numId w:val="25"/>
        </w:numPr>
        <w:tabs>
          <w:tab w:pos="2345" w:val="left" w:leader="none"/>
        </w:tabs>
        <w:spacing w:line="240" w:lineRule="auto" w:before="251" w:after="0"/>
        <w:ind w:left="2345" w:right="1605" w:hanging="360"/>
        <w:jc w:val="both"/>
        <w:rPr>
          <w:sz w:val="22"/>
        </w:rPr>
      </w:pPr>
      <w:r>
        <w:rPr>
          <w:sz w:val="22"/>
        </w:rPr>
        <w:t>Política Nacional para la Atención de Personas en Situación de abandono y Situación de Calle 2016-2026 (Decreto N° 39727-MDHIS-MP del 04/07/2016)</w:t>
      </w:r>
    </w:p>
    <w:p>
      <w:pPr>
        <w:pStyle w:val="ListParagraph"/>
        <w:numPr>
          <w:ilvl w:val="0"/>
          <w:numId w:val="25"/>
        </w:numPr>
        <w:tabs>
          <w:tab w:pos="2345" w:val="left" w:leader="none"/>
        </w:tabs>
        <w:spacing w:line="240" w:lineRule="auto" w:before="253" w:after="0"/>
        <w:ind w:left="2345" w:right="1605" w:hanging="360"/>
        <w:jc w:val="both"/>
        <w:rPr>
          <w:sz w:val="22"/>
        </w:rPr>
      </w:pPr>
      <w:r>
        <w:rPr>
          <w:sz w:val="22"/>
        </w:rPr>
        <w:t>Plan Nacional para la Superación de la Pobreza e Inclusión Social 2022-2030 (Acuerdo CD 389-11-2021 del 30 de noviembre de 2021)</w:t>
      </w:r>
    </w:p>
    <w:p>
      <w:pPr>
        <w:pStyle w:val="BodyText"/>
        <w:spacing w:before="1"/>
      </w:pPr>
    </w:p>
    <w:p>
      <w:pPr>
        <w:pStyle w:val="ListParagraph"/>
        <w:numPr>
          <w:ilvl w:val="0"/>
          <w:numId w:val="25"/>
        </w:numPr>
        <w:tabs>
          <w:tab w:pos="2345" w:val="left" w:leader="none"/>
        </w:tabs>
        <w:spacing w:line="240" w:lineRule="auto" w:before="0" w:after="0"/>
        <w:ind w:left="2345" w:right="1600" w:hanging="360"/>
        <w:jc w:val="both"/>
        <w:rPr>
          <w:sz w:val="22"/>
        </w:rPr>
      </w:pPr>
      <w:r>
        <w:rPr>
          <w:sz w:val="22"/>
        </w:rPr>
        <w:t>Política Nacional de Cuidados2021-2031 (Decreto N° 42878-MP-MDHIS del </w:t>
      </w:r>
      <w:r>
        <w:rPr>
          <w:spacing w:val="-2"/>
          <w:sz w:val="22"/>
        </w:rPr>
        <w:t>03/03/2021)</w:t>
      </w:r>
    </w:p>
    <w:p>
      <w:pPr>
        <w:pStyle w:val="BodyText"/>
      </w:pPr>
    </w:p>
    <w:p>
      <w:pPr>
        <w:pStyle w:val="BodyText"/>
      </w:pPr>
    </w:p>
    <w:p>
      <w:pPr>
        <w:pStyle w:val="Heading3"/>
        <w:numPr>
          <w:ilvl w:val="1"/>
          <w:numId w:val="26"/>
        </w:numPr>
        <w:tabs>
          <w:tab w:pos="2952" w:val="left" w:leader="none"/>
        </w:tabs>
        <w:spacing w:line="240" w:lineRule="auto" w:before="0" w:after="0"/>
        <w:ind w:left="2952" w:right="0" w:hanging="466"/>
        <w:jc w:val="left"/>
      </w:pPr>
      <w:bookmarkStart w:name="_bookmark63" w:id="64"/>
      <w:bookmarkEnd w:id="64"/>
      <w:r>
        <w:rPr>
          <w:b w:val="0"/>
        </w:rPr>
      </w:r>
      <w:r>
        <w:rPr/>
        <w:t>Objetivos</w:t>
      </w:r>
      <w:r>
        <w:rPr>
          <w:spacing w:val="-8"/>
        </w:rPr>
        <w:t> </w:t>
      </w:r>
      <w:r>
        <w:rPr/>
        <w:t>Estratégicos</w:t>
      </w:r>
      <w:r>
        <w:rPr>
          <w:spacing w:val="-8"/>
        </w:rPr>
        <w:t> </w:t>
      </w:r>
      <w:r>
        <w:rPr>
          <w:spacing w:val="-2"/>
        </w:rPr>
        <w:t>Institucionales</w:t>
      </w:r>
    </w:p>
    <w:p>
      <w:pPr>
        <w:pStyle w:val="BodyText"/>
        <w:spacing w:before="275"/>
        <w:ind w:left="1625" w:right="1601"/>
        <w:jc w:val="both"/>
      </w:pPr>
      <w:r>
        <w:rPr/>
        <w:t>Los</w:t>
      </w:r>
      <w:r>
        <w:rPr>
          <w:spacing w:val="-3"/>
        </w:rPr>
        <w:t> </w:t>
      </w:r>
      <w:r>
        <w:rPr/>
        <w:t>objetivos</w:t>
      </w:r>
      <w:r>
        <w:rPr>
          <w:spacing w:val="-6"/>
        </w:rPr>
        <w:t> </w:t>
      </w:r>
      <w:r>
        <w:rPr/>
        <w:t>estratégicos</w:t>
      </w:r>
      <w:r>
        <w:rPr>
          <w:spacing w:val="-3"/>
        </w:rPr>
        <w:t> </w:t>
      </w:r>
      <w:r>
        <w:rPr/>
        <w:t>derivados</w:t>
      </w:r>
      <w:r>
        <w:rPr>
          <w:spacing w:val="-6"/>
        </w:rPr>
        <w:t> </w:t>
      </w:r>
      <w:r>
        <w:rPr/>
        <w:t>del</w:t>
      </w:r>
      <w:r>
        <w:rPr>
          <w:spacing w:val="-4"/>
        </w:rPr>
        <w:t> </w:t>
      </w:r>
      <w:r>
        <w:rPr/>
        <w:t>Plan</w:t>
      </w:r>
      <w:r>
        <w:rPr>
          <w:spacing w:val="-6"/>
        </w:rPr>
        <w:t> </w:t>
      </w:r>
      <w:r>
        <w:rPr/>
        <w:t>Estratégico</w:t>
      </w:r>
      <w:r>
        <w:rPr>
          <w:spacing w:val="-6"/>
        </w:rPr>
        <w:t> </w:t>
      </w:r>
      <w:r>
        <w:rPr/>
        <w:t>Institucional</w:t>
      </w:r>
      <w:r>
        <w:rPr>
          <w:spacing w:val="-5"/>
        </w:rPr>
        <w:t> </w:t>
      </w:r>
      <w:r>
        <w:rPr/>
        <w:t>2023-2028</w:t>
      </w:r>
      <w:r>
        <w:rPr>
          <w:spacing w:val="-6"/>
        </w:rPr>
        <w:t> </w:t>
      </w:r>
      <w:r>
        <w:rPr/>
        <w:t>son</w:t>
      </w:r>
      <w:r>
        <w:rPr>
          <w:spacing w:val="-6"/>
        </w:rPr>
        <w:t> </w:t>
      </w:r>
      <w:r>
        <w:rPr/>
        <w:t>los </w:t>
      </w:r>
      <w:r>
        <w:rPr>
          <w:spacing w:val="-2"/>
        </w:rPr>
        <w:t>siguientes</w:t>
      </w:r>
    </w:p>
    <w:p>
      <w:pPr>
        <w:pStyle w:val="BodyText"/>
      </w:pPr>
    </w:p>
    <w:p>
      <w:pPr>
        <w:pStyle w:val="ListParagraph"/>
        <w:numPr>
          <w:ilvl w:val="0"/>
          <w:numId w:val="27"/>
        </w:numPr>
        <w:tabs>
          <w:tab w:pos="2343" w:val="left" w:leader="none"/>
          <w:tab w:pos="2345" w:val="left" w:leader="none"/>
        </w:tabs>
        <w:spacing w:line="240" w:lineRule="auto" w:before="0" w:after="0"/>
        <w:ind w:left="2345" w:right="1606" w:hanging="360"/>
        <w:jc w:val="both"/>
        <w:rPr>
          <w:sz w:val="22"/>
        </w:rPr>
      </w:pPr>
      <w:r>
        <w:rPr>
          <w:sz w:val="22"/>
        </w:rPr>
        <w:t>Desarrollar procesos administrativos, gerenciales y tecnológicos que faciliten la adaptabilidad del IMAS a los cambios del entorno, para una efectiva entrega de bienes y servicios oportunos, de calidad y con impacto para el desarrollo de los hogares en situación de pobreza del país.</w:t>
      </w:r>
    </w:p>
    <w:p>
      <w:pPr>
        <w:pStyle w:val="BodyText"/>
        <w:spacing w:before="2"/>
      </w:pPr>
    </w:p>
    <w:p>
      <w:pPr>
        <w:pStyle w:val="ListParagraph"/>
        <w:numPr>
          <w:ilvl w:val="0"/>
          <w:numId w:val="27"/>
        </w:numPr>
        <w:tabs>
          <w:tab w:pos="2343" w:val="left" w:leader="none"/>
          <w:tab w:pos="2345" w:val="left" w:leader="none"/>
        </w:tabs>
        <w:spacing w:line="240" w:lineRule="auto" w:before="0" w:after="0"/>
        <w:ind w:left="2345" w:right="1605" w:hanging="360"/>
        <w:jc w:val="both"/>
        <w:rPr>
          <w:sz w:val="22"/>
        </w:rPr>
      </w:pPr>
      <w:r>
        <w:rPr>
          <w:sz w:val="22"/>
        </w:rPr>
        <w:t>Garantizar el desarrollo de una oferta de servicios y beneficios de protección y promoción social oportuna y de calidad, acorde con las necesidades de la población</w:t>
      </w:r>
      <w:r>
        <w:rPr>
          <w:spacing w:val="-8"/>
          <w:sz w:val="22"/>
        </w:rPr>
        <w:t> </w:t>
      </w:r>
      <w:r>
        <w:rPr>
          <w:sz w:val="22"/>
        </w:rPr>
        <w:t>objetivo</w:t>
      </w:r>
      <w:r>
        <w:rPr>
          <w:spacing w:val="-7"/>
          <w:sz w:val="22"/>
        </w:rPr>
        <w:t> </w:t>
      </w:r>
      <w:r>
        <w:rPr>
          <w:sz w:val="22"/>
        </w:rPr>
        <w:t>y</w:t>
      </w:r>
      <w:r>
        <w:rPr>
          <w:spacing w:val="-9"/>
          <w:sz w:val="22"/>
        </w:rPr>
        <w:t> </w:t>
      </w:r>
      <w:r>
        <w:rPr>
          <w:sz w:val="22"/>
        </w:rPr>
        <w:t>sobre</w:t>
      </w:r>
      <w:r>
        <w:rPr>
          <w:spacing w:val="-7"/>
          <w:sz w:val="22"/>
        </w:rPr>
        <w:t> </w:t>
      </w:r>
      <w:r>
        <w:rPr>
          <w:sz w:val="22"/>
        </w:rPr>
        <w:t>la</w:t>
      </w:r>
      <w:r>
        <w:rPr>
          <w:spacing w:val="-7"/>
          <w:sz w:val="22"/>
        </w:rPr>
        <w:t> </w:t>
      </w:r>
      <w:r>
        <w:rPr>
          <w:sz w:val="22"/>
        </w:rPr>
        <w:t>base</w:t>
      </w:r>
      <w:r>
        <w:rPr>
          <w:spacing w:val="-7"/>
          <w:sz w:val="22"/>
        </w:rPr>
        <w:t> </w:t>
      </w:r>
      <w:r>
        <w:rPr>
          <w:sz w:val="22"/>
        </w:rPr>
        <w:t>de</w:t>
      </w:r>
      <w:r>
        <w:rPr>
          <w:spacing w:val="-10"/>
          <w:sz w:val="22"/>
        </w:rPr>
        <w:t> </w:t>
      </w:r>
      <w:r>
        <w:rPr>
          <w:sz w:val="22"/>
        </w:rPr>
        <w:t>las</w:t>
      </w:r>
      <w:r>
        <w:rPr>
          <w:spacing w:val="-10"/>
          <w:sz w:val="22"/>
        </w:rPr>
        <w:t> </w:t>
      </w:r>
      <w:r>
        <w:rPr>
          <w:sz w:val="22"/>
        </w:rPr>
        <w:t>desigualdades</w:t>
      </w:r>
      <w:r>
        <w:rPr>
          <w:spacing w:val="-7"/>
          <w:sz w:val="22"/>
        </w:rPr>
        <w:t> </w:t>
      </w:r>
      <w:r>
        <w:rPr>
          <w:sz w:val="22"/>
        </w:rPr>
        <w:t>que</w:t>
      </w:r>
      <w:r>
        <w:rPr>
          <w:spacing w:val="-10"/>
          <w:sz w:val="22"/>
        </w:rPr>
        <w:t> </w:t>
      </w:r>
      <w:r>
        <w:rPr>
          <w:sz w:val="22"/>
        </w:rPr>
        <w:t>se</w:t>
      </w:r>
      <w:r>
        <w:rPr>
          <w:spacing w:val="-10"/>
          <w:sz w:val="22"/>
        </w:rPr>
        <w:t> </w:t>
      </w:r>
      <w:r>
        <w:rPr>
          <w:sz w:val="22"/>
        </w:rPr>
        <w:t>configuran</w:t>
      </w:r>
      <w:r>
        <w:rPr>
          <w:spacing w:val="-13"/>
          <w:sz w:val="22"/>
        </w:rPr>
        <w:t> </w:t>
      </w:r>
      <w:r>
        <w:rPr>
          <w:sz w:val="22"/>
        </w:rPr>
        <w:t>a</w:t>
      </w:r>
      <w:r>
        <w:rPr>
          <w:spacing w:val="-7"/>
          <w:sz w:val="22"/>
        </w:rPr>
        <w:t> </w:t>
      </w:r>
      <w:r>
        <w:rPr>
          <w:sz w:val="22"/>
        </w:rPr>
        <w:t>partir de la superposición de diferentes factores sociales.</w:t>
      </w:r>
    </w:p>
    <w:p>
      <w:pPr>
        <w:pStyle w:val="BodyText"/>
      </w:pPr>
    </w:p>
    <w:p>
      <w:pPr>
        <w:pStyle w:val="ListParagraph"/>
        <w:numPr>
          <w:ilvl w:val="0"/>
          <w:numId w:val="27"/>
        </w:numPr>
        <w:tabs>
          <w:tab w:pos="2343" w:val="left" w:leader="none"/>
          <w:tab w:pos="2345" w:val="left" w:leader="none"/>
        </w:tabs>
        <w:spacing w:line="240" w:lineRule="auto" w:before="1" w:after="0"/>
        <w:ind w:left="2345" w:right="1606" w:hanging="360"/>
        <w:jc w:val="both"/>
        <w:rPr>
          <w:sz w:val="22"/>
        </w:rPr>
      </w:pPr>
      <w:r>
        <w:rPr>
          <w:sz w:val="22"/>
        </w:rPr>
        <w:t>Fortalecer el desarrollo regional con procesos de descentralización e inversión social acorde con las particularidades territoriales.</w:t>
      </w:r>
    </w:p>
    <w:p>
      <w:pPr>
        <w:pStyle w:val="ListParagraph"/>
        <w:spacing w:after="0" w:line="240" w:lineRule="auto"/>
        <w:jc w:val="both"/>
        <w:rPr>
          <w:sz w:val="22"/>
        </w:rPr>
        <w:sectPr>
          <w:pgSz w:w="12240" w:h="15840"/>
          <w:pgMar w:header="0" w:footer="1576" w:top="1000" w:bottom="1760" w:left="360" w:right="0"/>
        </w:sectPr>
      </w:pPr>
    </w:p>
    <w:p>
      <w:pPr>
        <w:pStyle w:val="ListParagraph"/>
        <w:numPr>
          <w:ilvl w:val="0"/>
          <w:numId w:val="27"/>
        </w:numPr>
        <w:tabs>
          <w:tab w:pos="2343" w:val="left" w:leader="none"/>
          <w:tab w:pos="2345" w:val="left" w:leader="none"/>
        </w:tabs>
        <w:spacing w:line="240" w:lineRule="auto" w:before="77" w:after="0"/>
        <w:ind w:left="2345" w:right="1608" w:hanging="360"/>
        <w:jc w:val="both"/>
        <w:rPr>
          <w:sz w:val="22"/>
        </w:rPr>
      </w:pPr>
      <w:r>
        <w:rPr>
          <w:sz w:val="22"/>
        </w:rPr>
        <w:t>Desarrollar la rectoría técnica mediante la articulación interinstitucional y la información social como mecanismos para la atención y reducción integral, sistemática y sostenida de la pobreza.</w:t>
      </w:r>
    </w:p>
    <w:p>
      <w:pPr>
        <w:pStyle w:val="ListParagraph"/>
        <w:numPr>
          <w:ilvl w:val="0"/>
          <w:numId w:val="27"/>
        </w:numPr>
        <w:tabs>
          <w:tab w:pos="2343" w:val="left" w:leader="none"/>
          <w:tab w:pos="2345" w:val="left" w:leader="none"/>
        </w:tabs>
        <w:spacing w:line="240" w:lineRule="auto" w:before="252" w:after="0"/>
        <w:ind w:left="2345" w:right="1608" w:hanging="360"/>
        <w:jc w:val="both"/>
        <w:rPr>
          <w:sz w:val="22"/>
        </w:rPr>
      </w:pPr>
      <w:r>
        <w:rPr>
          <w:sz w:val="22"/>
        </w:rPr>
        <w:t>Gestionar mecanismos para la generación de recursos necesarios para la sostenibilidad y la ejecución de</w:t>
      </w:r>
      <w:r>
        <w:rPr>
          <w:spacing w:val="-1"/>
          <w:sz w:val="22"/>
        </w:rPr>
        <w:t> </w:t>
      </w:r>
      <w:r>
        <w:rPr>
          <w:sz w:val="22"/>
        </w:rPr>
        <w:t>los servicios</w:t>
      </w:r>
      <w:r>
        <w:rPr>
          <w:spacing w:val="-1"/>
          <w:sz w:val="22"/>
        </w:rPr>
        <w:t> </w:t>
      </w:r>
      <w:r>
        <w:rPr>
          <w:sz w:val="22"/>
        </w:rPr>
        <w:t>y beneficios que</w:t>
      </w:r>
      <w:r>
        <w:rPr>
          <w:spacing w:val="-1"/>
          <w:sz w:val="22"/>
        </w:rPr>
        <w:t> </w:t>
      </w:r>
      <w:r>
        <w:rPr>
          <w:sz w:val="22"/>
        </w:rPr>
        <w:t>otorga el</w:t>
      </w:r>
      <w:r>
        <w:rPr>
          <w:spacing w:val="-2"/>
          <w:sz w:val="22"/>
        </w:rPr>
        <w:t> </w:t>
      </w:r>
      <w:r>
        <w:rPr>
          <w:sz w:val="22"/>
        </w:rPr>
        <w:t>IMAS a</w:t>
      </w:r>
      <w:r>
        <w:rPr>
          <w:spacing w:val="-1"/>
          <w:sz w:val="22"/>
        </w:rPr>
        <w:t> </w:t>
      </w:r>
      <w:r>
        <w:rPr>
          <w:sz w:val="22"/>
        </w:rPr>
        <w:t>la población en situación de pobreza.</w:t>
      </w:r>
    </w:p>
    <w:p>
      <w:pPr>
        <w:pStyle w:val="BodyText"/>
        <w:spacing w:before="25"/>
      </w:pPr>
    </w:p>
    <w:p>
      <w:pPr>
        <w:pStyle w:val="Heading3"/>
        <w:numPr>
          <w:ilvl w:val="1"/>
          <w:numId w:val="28"/>
        </w:numPr>
        <w:tabs>
          <w:tab w:pos="2887" w:val="left" w:leader="none"/>
        </w:tabs>
        <w:spacing w:line="240" w:lineRule="auto" w:before="1" w:after="0"/>
        <w:ind w:left="2887" w:right="0" w:hanging="401"/>
        <w:jc w:val="left"/>
      </w:pPr>
      <w:bookmarkStart w:name="_bookmark64" w:id="65"/>
      <w:bookmarkEnd w:id="65"/>
      <w:r>
        <w:rPr>
          <w:b w:val="0"/>
        </w:rPr>
      </w:r>
      <w:r>
        <w:rPr/>
        <w:t>Indicadores</w:t>
      </w:r>
      <w:r>
        <w:rPr>
          <w:spacing w:val="-3"/>
        </w:rPr>
        <w:t> </w:t>
      </w:r>
      <w:r>
        <w:rPr/>
        <w:t>de</w:t>
      </w:r>
      <w:r>
        <w:rPr>
          <w:spacing w:val="-2"/>
        </w:rPr>
        <w:t> </w:t>
      </w:r>
      <w:r>
        <w:rPr/>
        <w:t>Gestión</w:t>
      </w:r>
      <w:r>
        <w:rPr>
          <w:spacing w:val="-3"/>
        </w:rPr>
        <w:t> </w:t>
      </w:r>
      <w:r>
        <w:rPr/>
        <w:t>y/o</w:t>
      </w:r>
      <w:r>
        <w:rPr>
          <w:spacing w:val="-2"/>
        </w:rPr>
        <w:t> Resultados</w:t>
      </w:r>
    </w:p>
    <w:p>
      <w:pPr>
        <w:pStyle w:val="BodyText"/>
        <w:spacing w:before="251"/>
        <w:ind w:left="1625" w:right="1606"/>
        <w:jc w:val="both"/>
      </w:pPr>
      <w:r>
        <w:rPr/>
        <w:t>Los indicadores de Gestión y de Resultados se encuentran inmersos en las matrices de Gestión para Resultados</w:t>
      </w:r>
      <w:r>
        <w:rPr>
          <w:spacing w:val="-3"/>
        </w:rPr>
        <w:t> </w:t>
      </w:r>
      <w:r>
        <w:rPr/>
        <w:t>en</w:t>
      </w:r>
      <w:r>
        <w:rPr>
          <w:spacing w:val="-1"/>
        </w:rPr>
        <w:t> </w:t>
      </w:r>
      <w:r>
        <w:rPr/>
        <w:t>el</w:t>
      </w:r>
      <w:r>
        <w:rPr>
          <w:spacing w:val="-2"/>
        </w:rPr>
        <w:t> </w:t>
      </w:r>
      <w:r>
        <w:rPr/>
        <w:t>Desarrollo (GpRD)</w:t>
      </w:r>
      <w:r>
        <w:rPr>
          <w:spacing w:val="-2"/>
        </w:rPr>
        <w:t> </w:t>
      </w:r>
      <w:r>
        <w:rPr/>
        <w:t>en</w:t>
      </w:r>
      <w:r>
        <w:rPr>
          <w:spacing w:val="-1"/>
        </w:rPr>
        <w:t> </w:t>
      </w:r>
      <w:r>
        <w:rPr/>
        <w:t>los cinco</w:t>
      </w:r>
      <w:r>
        <w:rPr>
          <w:spacing w:val="-1"/>
        </w:rPr>
        <w:t> </w:t>
      </w:r>
      <w:r>
        <w:rPr/>
        <w:t>ejes estratégicos del</w:t>
      </w:r>
      <w:r>
        <w:rPr>
          <w:spacing w:val="-1"/>
        </w:rPr>
        <w:t> </w:t>
      </w:r>
      <w:r>
        <w:rPr/>
        <w:t>PEI, a saber:</w:t>
      </w:r>
    </w:p>
    <w:p>
      <w:pPr>
        <w:pStyle w:val="BodyText"/>
        <w:spacing w:before="1"/>
      </w:pPr>
    </w:p>
    <w:p>
      <w:pPr>
        <w:pStyle w:val="ListParagraph"/>
        <w:numPr>
          <w:ilvl w:val="0"/>
          <w:numId w:val="29"/>
        </w:numPr>
        <w:tabs>
          <w:tab w:pos="1820" w:val="left" w:leader="none"/>
        </w:tabs>
        <w:spacing w:line="253" w:lineRule="exact" w:before="0" w:after="0"/>
        <w:ind w:left="1820" w:right="0" w:hanging="195"/>
        <w:jc w:val="left"/>
        <w:rPr>
          <w:sz w:val="22"/>
        </w:rPr>
      </w:pPr>
      <w:r>
        <w:rPr>
          <w:sz w:val="22"/>
        </w:rPr>
        <w:t>Gestión</w:t>
      </w:r>
      <w:r>
        <w:rPr>
          <w:spacing w:val="-6"/>
          <w:sz w:val="22"/>
        </w:rPr>
        <w:t> </w:t>
      </w:r>
      <w:r>
        <w:rPr>
          <w:sz w:val="22"/>
        </w:rPr>
        <w:t>del</w:t>
      </w:r>
      <w:r>
        <w:rPr>
          <w:spacing w:val="-5"/>
          <w:sz w:val="22"/>
        </w:rPr>
        <w:t> </w:t>
      </w:r>
      <w:r>
        <w:rPr>
          <w:sz w:val="22"/>
        </w:rPr>
        <w:t>cambio</w:t>
      </w:r>
      <w:r>
        <w:rPr>
          <w:spacing w:val="-5"/>
          <w:sz w:val="22"/>
        </w:rPr>
        <w:t> </w:t>
      </w:r>
      <w:r>
        <w:rPr>
          <w:sz w:val="22"/>
        </w:rPr>
        <w:t>e</w:t>
      </w:r>
      <w:r>
        <w:rPr>
          <w:spacing w:val="-7"/>
          <w:sz w:val="22"/>
        </w:rPr>
        <w:t> </w:t>
      </w:r>
      <w:r>
        <w:rPr>
          <w:sz w:val="22"/>
        </w:rPr>
        <w:t>innovación</w:t>
      </w:r>
      <w:r>
        <w:rPr>
          <w:spacing w:val="-5"/>
          <w:sz w:val="22"/>
        </w:rPr>
        <w:t> </w:t>
      </w:r>
      <w:r>
        <w:rPr>
          <w:spacing w:val="-2"/>
          <w:sz w:val="22"/>
        </w:rPr>
        <w:t>institucional.</w:t>
      </w:r>
    </w:p>
    <w:p>
      <w:pPr>
        <w:pStyle w:val="ListParagraph"/>
        <w:numPr>
          <w:ilvl w:val="0"/>
          <w:numId w:val="29"/>
        </w:numPr>
        <w:tabs>
          <w:tab w:pos="1820" w:val="left" w:leader="none"/>
        </w:tabs>
        <w:spacing w:line="252" w:lineRule="exact" w:before="0" w:after="0"/>
        <w:ind w:left="1820" w:right="0" w:hanging="195"/>
        <w:jc w:val="left"/>
        <w:rPr>
          <w:sz w:val="22"/>
        </w:rPr>
      </w:pPr>
      <w:r>
        <w:rPr>
          <w:sz w:val="22"/>
        </w:rPr>
        <w:t>Gestión</w:t>
      </w:r>
      <w:r>
        <w:rPr>
          <w:spacing w:val="-8"/>
          <w:sz w:val="22"/>
        </w:rPr>
        <w:t> </w:t>
      </w:r>
      <w:r>
        <w:rPr>
          <w:sz w:val="22"/>
        </w:rPr>
        <w:t>del</w:t>
      </w:r>
      <w:r>
        <w:rPr>
          <w:spacing w:val="-5"/>
          <w:sz w:val="22"/>
        </w:rPr>
        <w:t> </w:t>
      </w:r>
      <w:r>
        <w:rPr>
          <w:sz w:val="22"/>
        </w:rPr>
        <w:t>desarrollo</w:t>
      </w:r>
      <w:r>
        <w:rPr>
          <w:spacing w:val="-8"/>
          <w:sz w:val="22"/>
        </w:rPr>
        <w:t> </w:t>
      </w:r>
      <w:r>
        <w:rPr>
          <w:sz w:val="22"/>
        </w:rPr>
        <w:t>social</w:t>
      </w:r>
      <w:r>
        <w:rPr>
          <w:spacing w:val="-6"/>
          <w:sz w:val="22"/>
        </w:rPr>
        <w:t> </w:t>
      </w:r>
      <w:r>
        <w:rPr>
          <w:sz w:val="22"/>
        </w:rPr>
        <w:t>con</w:t>
      </w:r>
      <w:r>
        <w:rPr>
          <w:spacing w:val="-5"/>
          <w:sz w:val="22"/>
        </w:rPr>
        <w:t> </w:t>
      </w:r>
      <w:r>
        <w:rPr>
          <w:sz w:val="22"/>
        </w:rPr>
        <w:t>enfoque</w:t>
      </w:r>
      <w:r>
        <w:rPr>
          <w:spacing w:val="-7"/>
          <w:sz w:val="22"/>
        </w:rPr>
        <w:t> </w:t>
      </w:r>
      <w:r>
        <w:rPr>
          <w:spacing w:val="-2"/>
          <w:sz w:val="22"/>
        </w:rPr>
        <w:t>interseccional.</w:t>
      </w:r>
    </w:p>
    <w:p>
      <w:pPr>
        <w:pStyle w:val="ListParagraph"/>
        <w:numPr>
          <w:ilvl w:val="0"/>
          <w:numId w:val="29"/>
        </w:numPr>
        <w:tabs>
          <w:tab w:pos="1820" w:val="left" w:leader="none"/>
        </w:tabs>
        <w:spacing w:line="252" w:lineRule="exact" w:before="0" w:after="0"/>
        <w:ind w:left="1820" w:right="0" w:hanging="195"/>
        <w:jc w:val="left"/>
        <w:rPr>
          <w:sz w:val="22"/>
        </w:rPr>
      </w:pPr>
      <w:r>
        <w:rPr>
          <w:sz w:val="22"/>
        </w:rPr>
        <w:t>Gestión</w:t>
      </w:r>
      <w:r>
        <w:rPr>
          <w:spacing w:val="-7"/>
          <w:sz w:val="22"/>
        </w:rPr>
        <w:t> </w:t>
      </w:r>
      <w:r>
        <w:rPr>
          <w:sz w:val="22"/>
        </w:rPr>
        <w:t>del</w:t>
      </w:r>
      <w:r>
        <w:rPr>
          <w:spacing w:val="-6"/>
          <w:sz w:val="22"/>
        </w:rPr>
        <w:t> </w:t>
      </w:r>
      <w:r>
        <w:rPr>
          <w:sz w:val="22"/>
        </w:rPr>
        <w:t>desarrollo</w:t>
      </w:r>
      <w:r>
        <w:rPr>
          <w:spacing w:val="-8"/>
          <w:sz w:val="22"/>
        </w:rPr>
        <w:t> </w:t>
      </w:r>
      <w:r>
        <w:rPr>
          <w:sz w:val="22"/>
        </w:rPr>
        <w:t>regional</w:t>
      </w:r>
      <w:r>
        <w:rPr>
          <w:spacing w:val="-7"/>
          <w:sz w:val="22"/>
        </w:rPr>
        <w:t> </w:t>
      </w:r>
      <w:r>
        <w:rPr>
          <w:sz w:val="22"/>
        </w:rPr>
        <w:t>e</w:t>
      </w:r>
      <w:r>
        <w:rPr>
          <w:spacing w:val="-6"/>
          <w:sz w:val="22"/>
        </w:rPr>
        <w:t> </w:t>
      </w:r>
      <w:r>
        <w:rPr>
          <w:sz w:val="22"/>
        </w:rPr>
        <w:t>inversión</w:t>
      </w:r>
      <w:r>
        <w:rPr>
          <w:spacing w:val="-8"/>
          <w:sz w:val="22"/>
        </w:rPr>
        <w:t> </w:t>
      </w:r>
      <w:r>
        <w:rPr>
          <w:sz w:val="22"/>
        </w:rPr>
        <w:t>social</w:t>
      </w:r>
      <w:r>
        <w:rPr>
          <w:spacing w:val="-6"/>
          <w:sz w:val="22"/>
        </w:rPr>
        <w:t> </w:t>
      </w:r>
      <w:r>
        <w:rPr>
          <w:spacing w:val="-2"/>
          <w:sz w:val="22"/>
        </w:rPr>
        <w:t>territorial.</w:t>
      </w:r>
    </w:p>
    <w:p>
      <w:pPr>
        <w:pStyle w:val="ListParagraph"/>
        <w:numPr>
          <w:ilvl w:val="0"/>
          <w:numId w:val="29"/>
        </w:numPr>
        <w:tabs>
          <w:tab w:pos="1820" w:val="left" w:leader="none"/>
        </w:tabs>
        <w:spacing w:line="252" w:lineRule="exact" w:before="1" w:after="0"/>
        <w:ind w:left="1820" w:right="0" w:hanging="195"/>
        <w:jc w:val="left"/>
        <w:rPr>
          <w:sz w:val="22"/>
        </w:rPr>
      </w:pPr>
      <w:r>
        <w:rPr>
          <w:sz w:val="22"/>
        </w:rPr>
        <w:t>Rectoría</w:t>
      </w:r>
      <w:r>
        <w:rPr>
          <w:spacing w:val="-6"/>
          <w:sz w:val="22"/>
        </w:rPr>
        <w:t> </w:t>
      </w:r>
      <w:r>
        <w:rPr>
          <w:sz w:val="22"/>
        </w:rPr>
        <w:t>técnica</w:t>
      </w:r>
      <w:r>
        <w:rPr>
          <w:spacing w:val="-6"/>
          <w:sz w:val="22"/>
        </w:rPr>
        <w:t> </w:t>
      </w:r>
      <w:r>
        <w:rPr>
          <w:sz w:val="22"/>
        </w:rPr>
        <w:t>social</w:t>
      </w:r>
      <w:r>
        <w:rPr>
          <w:spacing w:val="-5"/>
          <w:sz w:val="22"/>
        </w:rPr>
        <w:t> </w:t>
      </w:r>
      <w:r>
        <w:rPr>
          <w:sz w:val="22"/>
        </w:rPr>
        <w:t>y</w:t>
      </w:r>
      <w:r>
        <w:rPr>
          <w:spacing w:val="-3"/>
          <w:sz w:val="22"/>
        </w:rPr>
        <w:t> </w:t>
      </w:r>
      <w:r>
        <w:rPr>
          <w:spacing w:val="-2"/>
          <w:sz w:val="22"/>
        </w:rPr>
        <w:t>articulación.</w:t>
      </w:r>
    </w:p>
    <w:p>
      <w:pPr>
        <w:pStyle w:val="ListParagraph"/>
        <w:numPr>
          <w:ilvl w:val="0"/>
          <w:numId w:val="29"/>
        </w:numPr>
        <w:tabs>
          <w:tab w:pos="1820" w:val="left" w:leader="none"/>
        </w:tabs>
        <w:spacing w:line="252" w:lineRule="exact" w:before="0" w:after="0"/>
        <w:ind w:left="1820" w:right="0" w:hanging="195"/>
        <w:jc w:val="left"/>
        <w:rPr>
          <w:sz w:val="22"/>
        </w:rPr>
      </w:pPr>
      <w:r>
        <w:rPr>
          <w:sz w:val="22"/>
        </w:rPr>
        <w:t>Gestión</w:t>
      </w:r>
      <w:r>
        <w:rPr>
          <w:spacing w:val="-5"/>
          <w:sz w:val="22"/>
        </w:rPr>
        <w:t> </w:t>
      </w:r>
      <w:r>
        <w:rPr>
          <w:sz w:val="22"/>
        </w:rPr>
        <w:t>de</w:t>
      </w:r>
      <w:r>
        <w:rPr>
          <w:spacing w:val="-6"/>
          <w:sz w:val="22"/>
        </w:rPr>
        <w:t> </w:t>
      </w:r>
      <w:r>
        <w:rPr>
          <w:sz w:val="22"/>
        </w:rPr>
        <w:t>recursos</w:t>
      </w:r>
      <w:r>
        <w:rPr>
          <w:spacing w:val="-5"/>
          <w:sz w:val="22"/>
        </w:rPr>
        <w:t> </w:t>
      </w:r>
      <w:r>
        <w:rPr>
          <w:sz w:val="22"/>
        </w:rPr>
        <w:t>y</w:t>
      </w:r>
      <w:r>
        <w:rPr>
          <w:spacing w:val="-6"/>
          <w:sz w:val="22"/>
        </w:rPr>
        <w:t> </w:t>
      </w:r>
      <w:r>
        <w:rPr>
          <w:sz w:val="22"/>
        </w:rPr>
        <w:t>alianzas</w:t>
      </w:r>
      <w:r>
        <w:rPr>
          <w:spacing w:val="-4"/>
          <w:sz w:val="22"/>
        </w:rPr>
        <w:t> </w:t>
      </w:r>
      <w:r>
        <w:rPr>
          <w:spacing w:val="-2"/>
          <w:sz w:val="22"/>
        </w:rPr>
        <w:t>estratégicas.</w:t>
      </w:r>
    </w:p>
    <w:p>
      <w:pPr>
        <w:pStyle w:val="BodyText"/>
        <w:spacing w:before="1"/>
      </w:pPr>
    </w:p>
    <w:p>
      <w:pPr>
        <w:pStyle w:val="BodyText"/>
        <w:ind w:left="1625"/>
        <w:jc w:val="both"/>
      </w:pPr>
      <w:r>
        <w:rPr/>
        <w:t>Los</w:t>
      </w:r>
      <w:r>
        <w:rPr>
          <w:spacing w:val="-5"/>
        </w:rPr>
        <w:t> </w:t>
      </w:r>
      <w:r>
        <w:rPr/>
        <w:t>mismos</w:t>
      </w:r>
      <w:r>
        <w:rPr>
          <w:spacing w:val="-6"/>
        </w:rPr>
        <w:t> </w:t>
      </w:r>
      <w:r>
        <w:rPr/>
        <w:t>pueden</w:t>
      </w:r>
      <w:r>
        <w:rPr>
          <w:spacing w:val="-3"/>
        </w:rPr>
        <w:t> </w:t>
      </w:r>
      <w:r>
        <w:rPr/>
        <w:t>encontrase</w:t>
      </w:r>
      <w:r>
        <w:rPr>
          <w:spacing w:val="-6"/>
        </w:rPr>
        <w:t> </w:t>
      </w:r>
      <w:r>
        <w:rPr/>
        <w:t>en</w:t>
      </w:r>
      <w:r>
        <w:rPr>
          <w:spacing w:val="-3"/>
        </w:rPr>
        <w:t> </w:t>
      </w:r>
      <w:r>
        <w:rPr/>
        <w:t>el</w:t>
      </w:r>
      <w:r>
        <w:rPr>
          <w:spacing w:val="-7"/>
        </w:rPr>
        <w:t> </w:t>
      </w:r>
      <w:r>
        <w:rPr/>
        <w:t>apartado</w:t>
      </w:r>
      <w:r>
        <w:rPr>
          <w:spacing w:val="-3"/>
        </w:rPr>
        <w:t> </w:t>
      </w:r>
      <w:r>
        <w:rPr/>
        <w:t>7</w:t>
      </w:r>
      <w:r>
        <w:rPr>
          <w:spacing w:val="-7"/>
        </w:rPr>
        <w:t> </w:t>
      </w:r>
      <w:r>
        <w:rPr/>
        <w:t>del</w:t>
      </w:r>
      <w:r>
        <w:rPr>
          <w:spacing w:val="-4"/>
        </w:rPr>
        <w:t> </w:t>
      </w:r>
      <w:r>
        <w:rPr/>
        <w:t>presente</w:t>
      </w:r>
      <w:r>
        <w:rPr>
          <w:spacing w:val="-5"/>
        </w:rPr>
        <w:t> </w:t>
      </w:r>
      <w:r>
        <w:rPr>
          <w:spacing w:val="-2"/>
        </w:rPr>
        <w:t>documento.</w:t>
      </w:r>
    </w:p>
    <w:p>
      <w:pPr>
        <w:pStyle w:val="BodyText"/>
        <w:spacing w:before="22"/>
      </w:pPr>
    </w:p>
    <w:p>
      <w:pPr>
        <w:pStyle w:val="Heading3"/>
        <w:numPr>
          <w:ilvl w:val="1"/>
          <w:numId w:val="28"/>
        </w:numPr>
        <w:tabs>
          <w:tab w:pos="2887" w:val="left" w:leader="none"/>
        </w:tabs>
        <w:spacing w:line="240" w:lineRule="auto" w:before="0" w:after="0"/>
        <w:ind w:left="2887" w:right="0" w:hanging="401"/>
        <w:jc w:val="left"/>
      </w:pPr>
      <w:bookmarkStart w:name="_bookmark65" w:id="66"/>
      <w:bookmarkEnd w:id="66"/>
      <w:r>
        <w:rPr>
          <w:b w:val="0"/>
        </w:rPr>
      </w:r>
      <w:r>
        <w:rPr>
          <w:spacing w:val="-2"/>
        </w:rPr>
        <w:t>Valores</w:t>
      </w:r>
    </w:p>
    <w:p>
      <w:pPr>
        <w:pStyle w:val="BodyText"/>
        <w:rPr>
          <w:b/>
          <w:sz w:val="24"/>
        </w:rPr>
      </w:pPr>
    </w:p>
    <w:p>
      <w:pPr>
        <w:pStyle w:val="BodyText"/>
        <w:ind w:left="1625" w:right="1601"/>
        <w:jc w:val="both"/>
      </w:pPr>
      <w:r>
        <w:rPr/>
        <w:t>La</w:t>
      </w:r>
      <w:r>
        <w:rPr>
          <w:spacing w:val="-2"/>
        </w:rPr>
        <w:t> </w:t>
      </w:r>
      <w:r>
        <w:rPr/>
        <w:t>definición</w:t>
      </w:r>
      <w:r>
        <w:rPr>
          <w:spacing w:val="-2"/>
        </w:rPr>
        <w:t> </w:t>
      </w:r>
      <w:r>
        <w:rPr/>
        <w:t>de</w:t>
      </w:r>
      <w:r>
        <w:rPr>
          <w:spacing w:val="-2"/>
        </w:rPr>
        <w:t> </w:t>
      </w:r>
      <w:r>
        <w:rPr/>
        <w:t>los</w:t>
      </w:r>
      <w:r>
        <w:rPr>
          <w:spacing w:val="-2"/>
        </w:rPr>
        <w:t> </w:t>
      </w:r>
      <w:r>
        <w:rPr/>
        <w:t>valores</w:t>
      </w:r>
      <w:r>
        <w:rPr>
          <w:spacing w:val="-1"/>
        </w:rPr>
        <w:t> </w:t>
      </w:r>
      <w:r>
        <w:rPr/>
        <w:t>se</w:t>
      </w:r>
      <w:r>
        <w:rPr>
          <w:spacing w:val="-2"/>
        </w:rPr>
        <w:t> </w:t>
      </w:r>
      <w:r>
        <w:rPr/>
        <w:t>constituye</w:t>
      </w:r>
      <w:r>
        <w:rPr>
          <w:spacing w:val="-2"/>
        </w:rPr>
        <w:t> </w:t>
      </w:r>
      <w:r>
        <w:rPr/>
        <w:t>en</w:t>
      </w:r>
      <w:r>
        <w:rPr>
          <w:spacing w:val="-2"/>
        </w:rPr>
        <w:t> </w:t>
      </w:r>
      <w:r>
        <w:rPr/>
        <w:t>un</w:t>
      </w:r>
      <w:r>
        <w:rPr>
          <w:spacing w:val="-2"/>
        </w:rPr>
        <w:t> </w:t>
      </w:r>
      <w:r>
        <w:rPr/>
        <w:t>elemento</w:t>
      </w:r>
      <w:r>
        <w:rPr>
          <w:spacing w:val="-2"/>
        </w:rPr>
        <w:t> </w:t>
      </w:r>
      <w:r>
        <w:rPr/>
        <w:t>esencial</w:t>
      </w:r>
      <w:r>
        <w:rPr>
          <w:spacing w:val="-3"/>
        </w:rPr>
        <w:t> </w:t>
      </w:r>
      <w:r>
        <w:rPr/>
        <w:t>en</w:t>
      </w:r>
      <w:r>
        <w:rPr>
          <w:spacing w:val="-2"/>
        </w:rPr>
        <w:t> </w:t>
      </w:r>
      <w:r>
        <w:rPr/>
        <w:t>la</w:t>
      </w:r>
      <w:r>
        <w:rPr>
          <w:spacing w:val="-2"/>
        </w:rPr>
        <w:t> </w:t>
      </w:r>
      <w:r>
        <w:rPr/>
        <w:t>construcción</w:t>
      </w:r>
      <w:r>
        <w:rPr>
          <w:spacing w:val="-2"/>
        </w:rPr>
        <w:t> </w:t>
      </w:r>
      <w:r>
        <w:rPr/>
        <w:t>del PEI,</w:t>
      </w:r>
      <w:r>
        <w:rPr>
          <w:spacing w:val="-3"/>
        </w:rPr>
        <w:t> </w:t>
      </w:r>
      <w:r>
        <w:rPr/>
        <w:t>siendo</w:t>
      </w:r>
      <w:r>
        <w:rPr>
          <w:spacing w:val="-4"/>
        </w:rPr>
        <w:t> </w:t>
      </w:r>
      <w:r>
        <w:rPr/>
        <w:t>que</w:t>
      </w:r>
      <w:r>
        <w:rPr>
          <w:spacing w:val="-4"/>
        </w:rPr>
        <w:t> </w:t>
      </w:r>
      <w:r>
        <w:rPr/>
        <w:t>estos</w:t>
      </w:r>
      <w:r>
        <w:rPr>
          <w:spacing w:val="-6"/>
        </w:rPr>
        <w:t> </w:t>
      </w:r>
      <w:r>
        <w:rPr/>
        <w:t>son</w:t>
      </w:r>
      <w:r>
        <w:rPr>
          <w:spacing w:val="-4"/>
        </w:rPr>
        <w:t> </w:t>
      </w:r>
      <w:r>
        <w:rPr/>
        <w:t>la</w:t>
      </w:r>
      <w:r>
        <w:rPr>
          <w:spacing w:val="-4"/>
        </w:rPr>
        <w:t> </w:t>
      </w:r>
      <w:r>
        <w:rPr/>
        <w:t>guía</w:t>
      </w:r>
      <w:r>
        <w:rPr>
          <w:spacing w:val="-4"/>
        </w:rPr>
        <w:t> </w:t>
      </w:r>
      <w:r>
        <w:rPr/>
        <w:t>que</w:t>
      </w:r>
      <w:r>
        <w:rPr>
          <w:spacing w:val="-4"/>
        </w:rPr>
        <w:t> </w:t>
      </w:r>
      <w:r>
        <w:rPr/>
        <w:t>orienta</w:t>
      </w:r>
      <w:r>
        <w:rPr>
          <w:spacing w:val="-4"/>
        </w:rPr>
        <w:t> </w:t>
      </w:r>
      <w:r>
        <w:rPr/>
        <w:t>la</w:t>
      </w:r>
      <w:r>
        <w:rPr>
          <w:spacing w:val="-4"/>
        </w:rPr>
        <w:t> </w:t>
      </w:r>
      <w:r>
        <w:rPr/>
        <w:t>actuación</w:t>
      </w:r>
      <w:r>
        <w:rPr>
          <w:spacing w:val="-4"/>
        </w:rPr>
        <w:t> </w:t>
      </w:r>
      <w:r>
        <w:rPr/>
        <w:t>y</w:t>
      </w:r>
      <w:r>
        <w:rPr>
          <w:spacing w:val="-4"/>
        </w:rPr>
        <w:t> </w:t>
      </w:r>
      <w:r>
        <w:rPr/>
        <w:t>conducta</w:t>
      </w:r>
      <w:r>
        <w:rPr>
          <w:spacing w:val="-4"/>
        </w:rPr>
        <w:t> </w:t>
      </w:r>
      <w:r>
        <w:rPr/>
        <w:t>institucional</w:t>
      </w:r>
      <w:r>
        <w:rPr>
          <w:spacing w:val="-5"/>
        </w:rPr>
        <w:t> </w:t>
      </w:r>
      <w:r>
        <w:rPr/>
        <w:t>desde el</w:t>
      </w:r>
      <w:r>
        <w:rPr>
          <w:spacing w:val="-16"/>
        </w:rPr>
        <w:t> </w:t>
      </w:r>
      <w:r>
        <w:rPr/>
        <w:t>más</w:t>
      </w:r>
      <w:r>
        <w:rPr>
          <w:spacing w:val="-15"/>
        </w:rPr>
        <w:t> </w:t>
      </w:r>
      <w:r>
        <w:rPr/>
        <w:t>alto</w:t>
      </w:r>
      <w:r>
        <w:rPr>
          <w:spacing w:val="-15"/>
        </w:rPr>
        <w:t> </w:t>
      </w:r>
      <w:r>
        <w:rPr/>
        <w:t>nivel</w:t>
      </w:r>
      <w:r>
        <w:rPr>
          <w:spacing w:val="-16"/>
        </w:rPr>
        <w:t> </w:t>
      </w:r>
      <w:r>
        <w:rPr/>
        <w:t>de</w:t>
      </w:r>
      <w:r>
        <w:rPr>
          <w:spacing w:val="-15"/>
        </w:rPr>
        <w:t> </w:t>
      </w:r>
      <w:r>
        <w:rPr/>
        <w:t>gobernanza</w:t>
      </w:r>
      <w:r>
        <w:rPr>
          <w:spacing w:val="-15"/>
        </w:rPr>
        <w:t> </w:t>
      </w:r>
      <w:r>
        <w:rPr/>
        <w:t>del</w:t>
      </w:r>
      <w:r>
        <w:rPr>
          <w:spacing w:val="-15"/>
        </w:rPr>
        <w:t> </w:t>
      </w:r>
      <w:r>
        <w:rPr/>
        <w:t>IMAS</w:t>
      </w:r>
      <w:r>
        <w:rPr>
          <w:spacing w:val="-16"/>
        </w:rPr>
        <w:t> </w:t>
      </w:r>
      <w:r>
        <w:rPr/>
        <w:t>hasta</w:t>
      </w:r>
      <w:r>
        <w:rPr>
          <w:spacing w:val="-15"/>
        </w:rPr>
        <w:t> </w:t>
      </w:r>
      <w:r>
        <w:rPr/>
        <w:t>el</w:t>
      </w:r>
      <w:r>
        <w:rPr>
          <w:spacing w:val="-15"/>
        </w:rPr>
        <w:t> </w:t>
      </w:r>
      <w:r>
        <w:rPr/>
        <w:t>nivel</w:t>
      </w:r>
      <w:r>
        <w:rPr>
          <w:spacing w:val="-15"/>
        </w:rPr>
        <w:t> </w:t>
      </w:r>
      <w:r>
        <w:rPr/>
        <w:t>más</w:t>
      </w:r>
      <w:r>
        <w:rPr>
          <w:spacing w:val="-16"/>
        </w:rPr>
        <w:t> </w:t>
      </w:r>
      <w:r>
        <w:rPr/>
        <w:t>operativo</w:t>
      </w:r>
      <w:r>
        <w:rPr>
          <w:spacing w:val="-15"/>
        </w:rPr>
        <w:t> </w:t>
      </w:r>
      <w:r>
        <w:rPr/>
        <w:t>tanto</w:t>
      </w:r>
      <w:r>
        <w:rPr>
          <w:spacing w:val="-15"/>
        </w:rPr>
        <w:t> </w:t>
      </w:r>
      <w:r>
        <w:rPr/>
        <w:t>regional</w:t>
      </w:r>
      <w:r>
        <w:rPr>
          <w:spacing w:val="-14"/>
        </w:rPr>
        <w:t> </w:t>
      </w:r>
      <w:r>
        <w:rPr/>
        <w:t>como territorial. Los valores serán los principios impulsores de la gobernanza institucional.</w:t>
      </w:r>
    </w:p>
    <w:p>
      <w:pPr>
        <w:pStyle w:val="BodyText"/>
      </w:pPr>
    </w:p>
    <w:p>
      <w:pPr>
        <w:pStyle w:val="BodyText"/>
        <w:ind w:left="1625" w:right="1601"/>
        <w:jc w:val="both"/>
      </w:pPr>
      <w:r>
        <w:rPr/>
        <w:t>Los valores están asociados a un código de conducta, el cual forma un vínculo entre la organización</w:t>
      </w:r>
      <w:r>
        <w:rPr>
          <w:spacing w:val="-1"/>
        </w:rPr>
        <w:t> </w:t>
      </w:r>
      <w:r>
        <w:rPr/>
        <w:t>y sus integrantes,</w:t>
      </w:r>
      <w:r>
        <w:rPr>
          <w:spacing w:val="-2"/>
        </w:rPr>
        <w:t> </w:t>
      </w:r>
      <w:r>
        <w:rPr/>
        <w:t>quienes están</w:t>
      </w:r>
      <w:r>
        <w:rPr>
          <w:spacing w:val="-3"/>
        </w:rPr>
        <w:t> </w:t>
      </w:r>
      <w:r>
        <w:rPr/>
        <w:t>moralmente</w:t>
      </w:r>
      <w:r>
        <w:rPr>
          <w:spacing w:val="-3"/>
        </w:rPr>
        <w:t> </w:t>
      </w:r>
      <w:r>
        <w:rPr/>
        <w:t>comprometidos</w:t>
      </w:r>
      <w:r>
        <w:rPr>
          <w:spacing w:val="-3"/>
        </w:rPr>
        <w:t> </w:t>
      </w:r>
      <w:r>
        <w:rPr/>
        <w:t>a cumplir con los</w:t>
      </w:r>
      <w:r>
        <w:rPr>
          <w:spacing w:val="-16"/>
        </w:rPr>
        <w:t> </w:t>
      </w:r>
      <w:r>
        <w:rPr/>
        <w:t>principios</w:t>
      </w:r>
      <w:r>
        <w:rPr>
          <w:spacing w:val="-15"/>
        </w:rPr>
        <w:t> </w:t>
      </w:r>
      <w:r>
        <w:rPr/>
        <w:t>de</w:t>
      </w:r>
      <w:r>
        <w:rPr>
          <w:spacing w:val="-15"/>
        </w:rPr>
        <w:t> </w:t>
      </w:r>
      <w:r>
        <w:rPr/>
        <w:t>la</w:t>
      </w:r>
      <w:r>
        <w:rPr>
          <w:spacing w:val="-16"/>
        </w:rPr>
        <w:t> </w:t>
      </w:r>
      <w:r>
        <w:rPr/>
        <w:t>institución.</w:t>
      </w:r>
      <w:r>
        <w:rPr>
          <w:spacing w:val="-15"/>
        </w:rPr>
        <w:t> </w:t>
      </w:r>
      <w:r>
        <w:rPr/>
        <w:t>Establecen</w:t>
      </w:r>
      <w:r>
        <w:rPr>
          <w:spacing w:val="-15"/>
        </w:rPr>
        <w:t> </w:t>
      </w:r>
      <w:r>
        <w:rPr/>
        <w:t>el</w:t>
      </w:r>
      <w:r>
        <w:rPr>
          <w:spacing w:val="-15"/>
        </w:rPr>
        <w:t> </w:t>
      </w:r>
      <w:r>
        <w:rPr/>
        <w:t>marco</w:t>
      </w:r>
      <w:r>
        <w:rPr>
          <w:spacing w:val="-16"/>
        </w:rPr>
        <w:t> </w:t>
      </w:r>
      <w:r>
        <w:rPr/>
        <w:t>ético</w:t>
      </w:r>
      <w:r>
        <w:rPr>
          <w:spacing w:val="-15"/>
        </w:rPr>
        <w:t> </w:t>
      </w:r>
      <w:r>
        <w:rPr/>
        <w:t>necesario</w:t>
      </w:r>
      <w:r>
        <w:rPr>
          <w:spacing w:val="-15"/>
        </w:rPr>
        <w:t> </w:t>
      </w:r>
      <w:r>
        <w:rPr/>
        <w:t>que</w:t>
      </w:r>
      <w:r>
        <w:rPr>
          <w:spacing w:val="-16"/>
        </w:rPr>
        <w:t> </w:t>
      </w:r>
      <w:r>
        <w:rPr/>
        <w:t>guíe</w:t>
      </w:r>
      <w:r>
        <w:rPr>
          <w:spacing w:val="-15"/>
        </w:rPr>
        <w:t> </w:t>
      </w:r>
      <w:r>
        <w:rPr/>
        <w:t>las</w:t>
      </w:r>
      <w:r>
        <w:rPr>
          <w:spacing w:val="-15"/>
        </w:rPr>
        <w:t> </w:t>
      </w:r>
      <w:r>
        <w:rPr/>
        <w:t>relaciones entre el personal y las estructuras institucionales del IMAS.</w:t>
      </w:r>
    </w:p>
    <w:p>
      <w:pPr>
        <w:pStyle w:val="BodyText"/>
        <w:spacing w:before="2"/>
      </w:pPr>
    </w:p>
    <w:p>
      <w:pPr>
        <w:pStyle w:val="BodyText"/>
        <w:spacing w:before="1"/>
        <w:ind w:left="1625" w:right="1601"/>
        <w:jc w:val="both"/>
      </w:pPr>
      <w:r>
        <w:rPr/>
        <w:t>Los</w:t>
      </w:r>
      <w:r>
        <w:rPr>
          <w:spacing w:val="-16"/>
        </w:rPr>
        <w:t> </w:t>
      </w:r>
      <w:r>
        <w:rPr/>
        <w:t>valores</w:t>
      </w:r>
      <w:r>
        <w:rPr>
          <w:spacing w:val="-15"/>
        </w:rPr>
        <w:t> </w:t>
      </w:r>
      <w:r>
        <w:rPr/>
        <w:t>que</w:t>
      </w:r>
      <w:r>
        <w:rPr>
          <w:spacing w:val="-15"/>
        </w:rPr>
        <w:t> </w:t>
      </w:r>
      <w:r>
        <w:rPr/>
        <w:t>a</w:t>
      </w:r>
      <w:r>
        <w:rPr>
          <w:spacing w:val="-16"/>
        </w:rPr>
        <w:t> </w:t>
      </w:r>
      <w:r>
        <w:rPr/>
        <w:t>continuación</w:t>
      </w:r>
      <w:r>
        <w:rPr>
          <w:spacing w:val="-15"/>
        </w:rPr>
        <w:t> </w:t>
      </w:r>
      <w:r>
        <w:rPr/>
        <w:t>se</w:t>
      </w:r>
      <w:r>
        <w:rPr>
          <w:spacing w:val="-15"/>
        </w:rPr>
        <w:t> </w:t>
      </w:r>
      <w:r>
        <w:rPr/>
        <w:t>presentan,</w:t>
      </w:r>
      <w:r>
        <w:rPr>
          <w:spacing w:val="-15"/>
        </w:rPr>
        <w:t> </w:t>
      </w:r>
      <w:r>
        <w:rPr/>
        <w:t>fueron</w:t>
      </w:r>
      <w:r>
        <w:rPr>
          <w:spacing w:val="-16"/>
        </w:rPr>
        <w:t> </w:t>
      </w:r>
      <w:r>
        <w:rPr/>
        <w:t>revisados</w:t>
      </w:r>
      <w:r>
        <w:rPr>
          <w:spacing w:val="-15"/>
        </w:rPr>
        <w:t> </w:t>
      </w:r>
      <w:r>
        <w:rPr/>
        <w:t>dentro</w:t>
      </w:r>
      <w:r>
        <w:rPr>
          <w:spacing w:val="-15"/>
        </w:rPr>
        <w:t> </w:t>
      </w:r>
      <w:r>
        <w:rPr/>
        <w:t>del</w:t>
      </w:r>
      <w:r>
        <w:rPr>
          <w:spacing w:val="-16"/>
        </w:rPr>
        <w:t> </w:t>
      </w:r>
      <w:r>
        <w:rPr/>
        <w:t>replanteamiento del</w:t>
      </w:r>
      <w:r>
        <w:rPr>
          <w:spacing w:val="-6"/>
        </w:rPr>
        <w:t> </w:t>
      </w:r>
      <w:r>
        <w:rPr/>
        <w:t>marco</w:t>
      </w:r>
      <w:r>
        <w:rPr>
          <w:spacing w:val="-7"/>
        </w:rPr>
        <w:t> </w:t>
      </w:r>
      <w:r>
        <w:rPr/>
        <w:t>filosófico</w:t>
      </w:r>
      <w:r>
        <w:rPr>
          <w:spacing w:val="-7"/>
        </w:rPr>
        <w:t> </w:t>
      </w:r>
      <w:r>
        <w:rPr/>
        <w:t>del</w:t>
      </w:r>
      <w:r>
        <w:rPr>
          <w:spacing w:val="-6"/>
        </w:rPr>
        <w:t> </w:t>
      </w:r>
      <w:r>
        <w:rPr/>
        <w:t>PEI-2023-2028,</w:t>
      </w:r>
      <w:r>
        <w:rPr>
          <w:spacing w:val="-6"/>
        </w:rPr>
        <w:t> </w:t>
      </w:r>
      <w:r>
        <w:rPr/>
        <w:t>como</w:t>
      </w:r>
      <w:r>
        <w:rPr>
          <w:spacing w:val="-5"/>
        </w:rPr>
        <w:t> </w:t>
      </w:r>
      <w:r>
        <w:rPr/>
        <w:t>parte</w:t>
      </w:r>
      <w:r>
        <w:rPr>
          <w:spacing w:val="-5"/>
        </w:rPr>
        <w:t> </w:t>
      </w:r>
      <w:r>
        <w:rPr/>
        <w:t>de</w:t>
      </w:r>
      <w:r>
        <w:rPr>
          <w:spacing w:val="-8"/>
        </w:rPr>
        <w:t> </w:t>
      </w:r>
      <w:r>
        <w:rPr/>
        <w:t>las</w:t>
      </w:r>
      <w:r>
        <w:rPr>
          <w:spacing w:val="-5"/>
        </w:rPr>
        <w:t> </w:t>
      </w:r>
      <w:r>
        <w:rPr/>
        <w:t>sesiones</w:t>
      </w:r>
      <w:r>
        <w:rPr>
          <w:spacing w:val="-5"/>
        </w:rPr>
        <w:t> </w:t>
      </w:r>
      <w:r>
        <w:rPr/>
        <w:t>de</w:t>
      </w:r>
      <w:r>
        <w:rPr>
          <w:spacing w:val="-8"/>
        </w:rPr>
        <w:t> </w:t>
      </w:r>
      <w:r>
        <w:rPr/>
        <w:t>trabajo</w:t>
      </w:r>
      <w:r>
        <w:rPr>
          <w:spacing w:val="-7"/>
        </w:rPr>
        <w:t> </w:t>
      </w:r>
      <w:r>
        <w:rPr/>
        <w:t>realizadas en los diferentes talleres, tanto del nivel regional como central.</w:t>
      </w:r>
    </w:p>
    <w:p>
      <w:pPr>
        <w:pStyle w:val="BodyText"/>
        <w:spacing w:before="251"/>
        <w:ind w:left="1625" w:right="1600"/>
        <w:jc w:val="both"/>
      </w:pPr>
      <w:r>
        <w:rPr>
          <w:b/>
        </w:rPr>
        <w:t>Compromiso</w:t>
      </w:r>
      <w:r>
        <w:rPr>
          <w:b/>
          <w:spacing w:val="-15"/>
        </w:rPr>
        <w:t> </w:t>
      </w:r>
      <w:r>
        <w:rPr>
          <w:b/>
        </w:rPr>
        <w:t>y</w:t>
      </w:r>
      <w:r>
        <w:rPr>
          <w:b/>
          <w:spacing w:val="-15"/>
        </w:rPr>
        <w:t> </w:t>
      </w:r>
      <w:r>
        <w:rPr>
          <w:b/>
        </w:rPr>
        <w:t>calidad:</w:t>
      </w:r>
      <w:r>
        <w:rPr>
          <w:b/>
          <w:spacing w:val="-15"/>
        </w:rPr>
        <w:t> </w:t>
      </w:r>
      <w:r>
        <w:rPr/>
        <w:t>actitud</w:t>
      </w:r>
      <w:r>
        <w:rPr>
          <w:spacing w:val="-14"/>
        </w:rPr>
        <w:t> </w:t>
      </w:r>
      <w:r>
        <w:rPr/>
        <w:t>positiva</w:t>
      </w:r>
      <w:r>
        <w:rPr>
          <w:spacing w:val="-16"/>
        </w:rPr>
        <w:t> </w:t>
      </w:r>
      <w:r>
        <w:rPr/>
        <w:t>y</w:t>
      </w:r>
      <w:r>
        <w:rPr>
          <w:spacing w:val="-13"/>
        </w:rPr>
        <w:t> </w:t>
      </w:r>
      <w:r>
        <w:rPr/>
        <w:t>dedicada</w:t>
      </w:r>
      <w:r>
        <w:rPr>
          <w:spacing w:val="-15"/>
        </w:rPr>
        <w:t> </w:t>
      </w:r>
      <w:r>
        <w:rPr/>
        <w:t>del</w:t>
      </w:r>
      <w:r>
        <w:rPr>
          <w:spacing w:val="-15"/>
        </w:rPr>
        <w:t> </w:t>
      </w:r>
      <w:r>
        <w:rPr/>
        <w:t>recurso</w:t>
      </w:r>
      <w:r>
        <w:rPr>
          <w:spacing w:val="-15"/>
        </w:rPr>
        <w:t> </w:t>
      </w:r>
      <w:r>
        <w:rPr/>
        <w:t>humano</w:t>
      </w:r>
      <w:r>
        <w:rPr>
          <w:spacing w:val="-15"/>
        </w:rPr>
        <w:t> </w:t>
      </w:r>
      <w:r>
        <w:rPr/>
        <w:t>institucional,</w:t>
      </w:r>
      <w:r>
        <w:rPr>
          <w:spacing w:val="-13"/>
        </w:rPr>
        <w:t> </w:t>
      </w:r>
      <w:r>
        <w:rPr/>
        <w:t>con la consecución de la excelencia del servicio que se presta a la población objetivo en atención de sus necesidades.</w:t>
      </w:r>
    </w:p>
    <w:p>
      <w:pPr>
        <w:pStyle w:val="BodyText"/>
        <w:spacing w:before="1"/>
      </w:pPr>
    </w:p>
    <w:p>
      <w:pPr>
        <w:pStyle w:val="BodyText"/>
        <w:spacing w:before="1"/>
        <w:ind w:left="1625" w:right="1606"/>
        <w:jc w:val="both"/>
      </w:pPr>
      <w:r>
        <w:rPr>
          <w:b/>
        </w:rPr>
        <w:t>Equidad: </w:t>
      </w:r>
      <w:r>
        <w:rPr/>
        <w:t>atender las necesidades e intereses de las personas de acuerdo con sus condiciones y diferencias, especialmente de aquellas que están en desventaja social.</w:t>
      </w:r>
    </w:p>
    <w:p>
      <w:pPr>
        <w:pStyle w:val="BodyText"/>
        <w:spacing w:before="252"/>
        <w:ind w:left="1625" w:right="1608"/>
        <w:jc w:val="both"/>
      </w:pPr>
      <w:r>
        <w:rPr>
          <w:b/>
        </w:rPr>
        <w:t>Igualdad: </w:t>
      </w:r>
      <w:r>
        <w:rPr/>
        <w:t>proporcionar un trato justo y equitativo a todas las personas, sin tener ningún tipo de discriminación por sus diferencias.</w:t>
      </w:r>
    </w:p>
    <w:p>
      <w:pPr>
        <w:pStyle w:val="BodyText"/>
        <w:spacing w:before="252"/>
        <w:ind w:left="1625" w:right="1606"/>
        <w:jc w:val="both"/>
      </w:pPr>
      <w:r>
        <w:rPr>
          <w:b/>
        </w:rPr>
        <w:t>Innovación: </w:t>
      </w:r>
      <w:r>
        <w:rPr/>
        <w:t>capacidad para identificar e implementar nuevos instrumentos, métodos y tecnologías,</w:t>
      </w:r>
      <w:r>
        <w:rPr>
          <w:spacing w:val="61"/>
        </w:rPr>
        <w:t> </w:t>
      </w:r>
      <w:r>
        <w:rPr/>
        <w:t>que</w:t>
      </w:r>
      <w:r>
        <w:rPr>
          <w:spacing w:val="60"/>
        </w:rPr>
        <w:t> </w:t>
      </w:r>
      <w:r>
        <w:rPr/>
        <w:t>contribuyan</w:t>
      </w:r>
      <w:r>
        <w:rPr>
          <w:spacing w:val="59"/>
        </w:rPr>
        <w:t> </w:t>
      </w:r>
      <w:r>
        <w:rPr/>
        <w:t>a</w:t>
      </w:r>
      <w:r>
        <w:rPr>
          <w:spacing w:val="60"/>
        </w:rPr>
        <w:t> </w:t>
      </w:r>
      <w:r>
        <w:rPr/>
        <w:t>fortalecer</w:t>
      </w:r>
      <w:r>
        <w:rPr>
          <w:spacing w:val="60"/>
        </w:rPr>
        <w:t> </w:t>
      </w:r>
      <w:r>
        <w:rPr/>
        <w:t>la</w:t>
      </w:r>
      <w:r>
        <w:rPr>
          <w:spacing w:val="60"/>
        </w:rPr>
        <w:t> </w:t>
      </w:r>
      <w:r>
        <w:rPr/>
        <w:t>capacidad</w:t>
      </w:r>
      <w:r>
        <w:rPr>
          <w:spacing w:val="60"/>
        </w:rPr>
        <w:t> </w:t>
      </w:r>
      <w:r>
        <w:rPr/>
        <w:t>de</w:t>
      </w:r>
      <w:r>
        <w:rPr>
          <w:spacing w:val="59"/>
        </w:rPr>
        <w:t> </w:t>
      </w:r>
      <w:r>
        <w:rPr/>
        <w:t>trabajo</w:t>
      </w:r>
      <w:r>
        <w:rPr>
          <w:spacing w:val="60"/>
        </w:rPr>
        <w:t> </w:t>
      </w:r>
      <w:r>
        <w:rPr/>
        <w:t>de</w:t>
      </w:r>
      <w:r>
        <w:rPr>
          <w:spacing w:val="40"/>
        </w:rPr>
        <w:t> </w:t>
      </w:r>
      <w:r>
        <w:rPr/>
        <w:t>la</w:t>
      </w:r>
      <w:r>
        <w:rPr>
          <w:spacing w:val="60"/>
        </w:rPr>
        <w:t> </w:t>
      </w:r>
      <w:r>
        <w:rPr/>
        <w:t>institución,</w:t>
      </w:r>
    </w:p>
    <w:p>
      <w:pPr>
        <w:pStyle w:val="BodyText"/>
        <w:spacing w:after="0"/>
        <w:jc w:val="both"/>
        <w:sectPr>
          <w:pgSz w:w="12240" w:h="15840"/>
          <w:pgMar w:header="0" w:footer="1576" w:top="1000" w:bottom="1760" w:left="360" w:right="0"/>
        </w:sectPr>
      </w:pPr>
    </w:p>
    <w:p>
      <w:pPr>
        <w:pStyle w:val="BodyText"/>
        <w:spacing w:before="77"/>
        <w:ind w:left="1625" w:right="1604"/>
        <w:jc w:val="both"/>
      </w:pPr>
      <w:r>
        <w:rPr/>
        <w:t>ofreciendo bienes y servicios eficientes, de calidad e inclusivos en el marco del valor público que debe atender el IMAS.</w:t>
      </w:r>
    </w:p>
    <w:p>
      <w:pPr>
        <w:pStyle w:val="BodyText"/>
      </w:pPr>
    </w:p>
    <w:p>
      <w:pPr>
        <w:pStyle w:val="BodyText"/>
        <w:ind w:left="1625" w:right="1605"/>
        <w:jc w:val="both"/>
      </w:pPr>
      <w:r>
        <w:rPr>
          <w:b/>
        </w:rPr>
        <w:t>Integralidad: </w:t>
      </w:r>
      <w:r>
        <w:rPr/>
        <w:t>gestión</w:t>
      </w:r>
      <w:r>
        <w:rPr>
          <w:spacing w:val="-2"/>
        </w:rPr>
        <w:t> </w:t>
      </w:r>
      <w:r>
        <w:rPr/>
        <w:t>orientada hacia un</w:t>
      </w:r>
      <w:r>
        <w:rPr>
          <w:spacing w:val="-2"/>
        </w:rPr>
        <w:t> </w:t>
      </w:r>
      <w:r>
        <w:rPr/>
        <w:t>abordaje comprehensivo</w:t>
      </w:r>
      <w:r>
        <w:rPr>
          <w:spacing w:val="-2"/>
        </w:rPr>
        <w:t> </w:t>
      </w:r>
      <w:r>
        <w:rPr/>
        <w:t>y</w:t>
      </w:r>
      <w:r>
        <w:rPr>
          <w:spacing w:val="-1"/>
        </w:rPr>
        <w:t> </w:t>
      </w:r>
      <w:r>
        <w:rPr/>
        <w:t>multidimensional de los fenómenos sociales que determinan las condiciones de vida de la población objetivo del IMAS.</w:t>
      </w:r>
    </w:p>
    <w:p>
      <w:pPr>
        <w:pStyle w:val="BodyText"/>
        <w:spacing w:before="1"/>
      </w:pPr>
    </w:p>
    <w:p>
      <w:pPr>
        <w:pStyle w:val="BodyText"/>
        <w:ind w:left="1625" w:right="1607"/>
        <w:jc w:val="both"/>
      </w:pPr>
      <w:r>
        <w:rPr>
          <w:b/>
        </w:rPr>
        <w:t>Solidaridad: </w:t>
      </w:r>
      <w:r>
        <w:rPr/>
        <w:t>actuar en favor de los demás, especialmente ante las dificultades o necesidades, promoviendo la cooperación y empatía y aportando a la construcción de una institución más resiliente y equitativa.</w:t>
      </w:r>
    </w:p>
    <w:p>
      <w:pPr>
        <w:pStyle w:val="BodyText"/>
        <w:spacing w:before="252"/>
        <w:ind w:left="1625" w:right="1606"/>
        <w:jc w:val="both"/>
      </w:pPr>
      <w:r>
        <w:rPr>
          <w:b/>
        </w:rPr>
        <w:t>Transparencia</w:t>
      </w:r>
      <w:r>
        <w:rPr/>
        <w:t>:</w:t>
      </w:r>
      <w:r>
        <w:rPr>
          <w:spacing w:val="-5"/>
        </w:rPr>
        <w:t> </w:t>
      </w:r>
      <w:r>
        <w:rPr/>
        <w:t>actuación</w:t>
      </w:r>
      <w:r>
        <w:rPr>
          <w:spacing w:val="-4"/>
        </w:rPr>
        <w:t> </w:t>
      </w:r>
      <w:r>
        <w:rPr/>
        <w:t>sujeta</w:t>
      </w:r>
      <w:r>
        <w:rPr>
          <w:spacing w:val="-5"/>
        </w:rPr>
        <w:t> </w:t>
      </w:r>
      <w:r>
        <w:rPr/>
        <w:t>a</w:t>
      </w:r>
      <w:r>
        <w:rPr>
          <w:spacing w:val="-5"/>
        </w:rPr>
        <w:t> </w:t>
      </w:r>
      <w:r>
        <w:rPr/>
        <w:t>la</w:t>
      </w:r>
      <w:r>
        <w:rPr>
          <w:spacing w:val="-5"/>
        </w:rPr>
        <w:t> </w:t>
      </w:r>
      <w:r>
        <w:rPr/>
        <w:t>ética,</w:t>
      </w:r>
      <w:r>
        <w:rPr>
          <w:spacing w:val="-2"/>
        </w:rPr>
        <w:t> </w:t>
      </w:r>
      <w:r>
        <w:rPr/>
        <w:t>la</w:t>
      </w:r>
      <w:r>
        <w:rPr>
          <w:spacing w:val="-5"/>
        </w:rPr>
        <w:t> </w:t>
      </w:r>
      <w:r>
        <w:rPr/>
        <w:t>legalidad</w:t>
      </w:r>
      <w:r>
        <w:rPr>
          <w:spacing w:val="-4"/>
        </w:rPr>
        <w:t> </w:t>
      </w:r>
      <w:r>
        <w:rPr/>
        <w:t>y</w:t>
      </w:r>
      <w:r>
        <w:rPr>
          <w:spacing w:val="-3"/>
        </w:rPr>
        <w:t> </w:t>
      </w:r>
      <w:r>
        <w:rPr/>
        <w:t>la</w:t>
      </w:r>
      <w:r>
        <w:rPr>
          <w:spacing w:val="-5"/>
        </w:rPr>
        <w:t> </w:t>
      </w:r>
      <w:r>
        <w:rPr/>
        <w:t>técnica</w:t>
      </w:r>
      <w:r>
        <w:rPr>
          <w:spacing w:val="-4"/>
        </w:rPr>
        <w:t> </w:t>
      </w:r>
      <w:r>
        <w:rPr/>
        <w:t>garantiza</w:t>
      </w:r>
      <w:r>
        <w:rPr>
          <w:spacing w:val="-4"/>
        </w:rPr>
        <w:t> </w:t>
      </w:r>
      <w:r>
        <w:rPr/>
        <w:t>claridad</w:t>
      </w:r>
      <w:r>
        <w:rPr>
          <w:spacing w:val="-5"/>
        </w:rPr>
        <w:t> </w:t>
      </w:r>
      <w:r>
        <w:rPr/>
        <w:t>en las acciones y decisiones, libre acceso a la información y rendición de cuentas.</w:t>
      </w:r>
    </w:p>
    <w:p>
      <w:pPr>
        <w:pStyle w:val="BodyText"/>
        <w:spacing w:before="23"/>
      </w:pPr>
    </w:p>
    <w:p>
      <w:pPr>
        <w:pStyle w:val="Heading3"/>
        <w:numPr>
          <w:ilvl w:val="1"/>
          <w:numId w:val="28"/>
        </w:numPr>
        <w:tabs>
          <w:tab w:pos="2887" w:val="left" w:leader="none"/>
        </w:tabs>
        <w:spacing w:line="240" w:lineRule="auto" w:before="0" w:after="0"/>
        <w:ind w:left="2887" w:right="0" w:hanging="401"/>
        <w:jc w:val="left"/>
      </w:pPr>
      <w:bookmarkStart w:name="_bookmark66" w:id="67"/>
      <w:bookmarkEnd w:id="67"/>
      <w:r>
        <w:rPr>
          <w:b w:val="0"/>
        </w:rPr>
      </w:r>
      <w:r>
        <w:rPr/>
        <w:t>Factores</w:t>
      </w:r>
      <w:r>
        <w:rPr>
          <w:spacing w:val="-4"/>
        </w:rPr>
        <w:t> </w:t>
      </w:r>
      <w:r>
        <w:rPr/>
        <w:t>Claves</w:t>
      </w:r>
      <w:r>
        <w:rPr>
          <w:spacing w:val="-4"/>
        </w:rPr>
        <w:t> </w:t>
      </w:r>
      <w:r>
        <w:rPr/>
        <w:t>de</w:t>
      </w:r>
      <w:r>
        <w:rPr>
          <w:spacing w:val="-1"/>
        </w:rPr>
        <w:t> </w:t>
      </w:r>
      <w:r>
        <w:rPr>
          <w:spacing w:val="-4"/>
        </w:rPr>
        <w:t>Éxito</w:t>
      </w:r>
    </w:p>
    <w:p>
      <w:pPr>
        <w:pStyle w:val="BodyText"/>
        <w:rPr>
          <w:b/>
          <w:sz w:val="24"/>
        </w:rPr>
      </w:pPr>
    </w:p>
    <w:p>
      <w:pPr>
        <w:pStyle w:val="BodyText"/>
        <w:spacing w:before="1"/>
        <w:ind w:left="1625" w:right="1600"/>
        <w:jc w:val="both"/>
      </w:pPr>
      <w:r>
        <w:rPr/>
        <w:t>Los factores claves de éxito para la formulación y ejecución de los ejes y acciones estratégicas</w:t>
      </w:r>
      <w:r>
        <w:rPr>
          <w:spacing w:val="-2"/>
        </w:rPr>
        <w:t> </w:t>
      </w:r>
      <w:r>
        <w:rPr/>
        <w:t>del</w:t>
      </w:r>
      <w:r>
        <w:rPr>
          <w:spacing w:val="-2"/>
        </w:rPr>
        <w:t> </w:t>
      </w:r>
      <w:r>
        <w:rPr/>
        <w:t>PEI se</w:t>
      </w:r>
      <w:r>
        <w:rPr>
          <w:spacing w:val="-2"/>
        </w:rPr>
        <w:t> </w:t>
      </w:r>
      <w:r>
        <w:rPr/>
        <w:t>encuentran</w:t>
      </w:r>
      <w:r>
        <w:rPr>
          <w:spacing w:val="-2"/>
        </w:rPr>
        <w:t> </w:t>
      </w:r>
      <w:r>
        <w:rPr/>
        <w:t>definidos</w:t>
      </w:r>
      <w:r>
        <w:rPr>
          <w:spacing w:val="-1"/>
        </w:rPr>
        <w:t> </w:t>
      </w:r>
      <w:r>
        <w:rPr/>
        <w:t>en</w:t>
      </w:r>
      <w:r>
        <w:rPr>
          <w:spacing w:val="-2"/>
        </w:rPr>
        <w:t> </w:t>
      </w:r>
      <w:r>
        <w:rPr/>
        <w:t>los</w:t>
      </w:r>
      <w:r>
        <w:rPr>
          <w:spacing w:val="-2"/>
        </w:rPr>
        <w:t> </w:t>
      </w:r>
      <w:r>
        <w:rPr/>
        <w:t>siguientes</w:t>
      </w:r>
      <w:r>
        <w:rPr>
          <w:spacing w:val="-2"/>
        </w:rPr>
        <w:t> </w:t>
      </w:r>
      <w:r>
        <w:rPr/>
        <w:t>enunciados,</w:t>
      </w:r>
      <w:r>
        <w:rPr>
          <w:spacing w:val="-1"/>
        </w:rPr>
        <w:t> </w:t>
      </w:r>
      <w:r>
        <w:rPr/>
        <w:t>los</w:t>
      </w:r>
      <w:r>
        <w:rPr>
          <w:spacing w:val="-2"/>
        </w:rPr>
        <w:t> </w:t>
      </w:r>
      <w:r>
        <w:rPr/>
        <w:t>cuales</w:t>
      </w:r>
      <w:r>
        <w:rPr>
          <w:spacing w:val="-2"/>
        </w:rPr>
        <w:t> </w:t>
      </w:r>
      <w:r>
        <w:rPr/>
        <w:t>se constituyeron en</w:t>
      </w:r>
      <w:r>
        <w:rPr>
          <w:spacing w:val="-2"/>
        </w:rPr>
        <w:t> </w:t>
      </w:r>
      <w:r>
        <w:rPr/>
        <w:t>lineamientos aprobados</w:t>
      </w:r>
      <w:r>
        <w:rPr>
          <w:spacing w:val="-2"/>
        </w:rPr>
        <w:t> </w:t>
      </w:r>
      <w:r>
        <w:rPr/>
        <w:t>en</w:t>
      </w:r>
      <w:r>
        <w:rPr>
          <w:spacing w:val="-2"/>
        </w:rPr>
        <w:t> </w:t>
      </w:r>
      <w:r>
        <w:rPr/>
        <w:t>sesión de Consejo</w:t>
      </w:r>
      <w:r>
        <w:rPr>
          <w:spacing w:val="-2"/>
        </w:rPr>
        <w:t> </w:t>
      </w:r>
      <w:r>
        <w:rPr/>
        <w:t>Directivo</w:t>
      </w:r>
      <w:r>
        <w:rPr>
          <w:spacing w:val="-4"/>
        </w:rPr>
        <w:t> </w:t>
      </w:r>
      <w:r>
        <w:rPr/>
        <w:t>de fecha</w:t>
      </w:r>
      <w:r>
        <w:rPr>
          <w:spacing w:val="-2"/>
        </w:rPr>
        <w:t> </w:t>
      </w:r>
      <w:r>
        <w:rPr/>
        <w:t>19 de enero del 2023, Acta 02-01-2023 acuerdo CD N° 07-01-2023.</w:t>
      </w:r>
    </w:p>
    <w:p>
      <w:pPr>
        <w:pStyle w:val="ListParagraph"/>
        <w:numPr>
          <w:ilvl w:val="0"/>
          <w:numId w:val="30"/>
        </w:numPr>
        <w:tabs>
          <w:tab w:pos="2345" w:val="left" w:leader="none"/>
        </w:tabs>
        <w:spacing w:line="240" w:lineRule="auto" w:before="253" w:after="0"/>
        <w:ind w:left="2345" w:right="1605" w:hanging="360"/>
        <w:jc w:val="both"/>
        <w:rPr>
          <w:sz w:val="22"/>
        </w:rPr>
      </w:pPr>
      <w:r>
        <w:rPr>
          <w:sz w:val="22"/>
        </w:rPr>
        <w:t>El IMAS debe actuar bajo un enfoque de territorialidad y descentralización y su planificación debe considerar las particularidades de cada región.</w:t>
      </w:r>
    </w:p>
    <w:p>
      <w:pPr>
        <w:pStyle w:val="ListParagraph"/>
        <w:numPr>
          <w:ilvl w:val="0"/>
          <w:numId w:val="30"/>
        </w:numPr>
        <w:tabs>
          <w:tab w:pos="2345" w:val="left" w:leader="none"/>
        </w:tabs>
        <w:spacing w:line="240" w:lineRule="auto" w:before="252" w:after="0"/>
        <w:ind w:left="2345" w:right="1607" w:hanging="360"/>
        <w:jc w:val="both"/>
        <w:rPr>
          <w:sz w:val="22"/>
        </w:rPr>
      </w:pPr>
      <w:r>
        <w:rPr>
          <w:sz w:val="22"/>
        </w:rPr>
        <w:t>Ejercicio</w:t>
      </w:r>
      <w:r>
        <w:rPr>
          <w:spacing w:val="-10"/>
          <w:sz w:val="22"/>
        </w:rPr>
        <w:t> </w:t>
      </w:r>
      <w:r>
        <w:rPr>
          <w:sz w:val="22"/>
        </w:rPr>
        <w:t>de</w:t>
      </w:r>
      <w:r>
        <w:rPr>
          <w:spacing w:val="-10"/>
          <w:sz w:val="22"/>
        </w:rPr>
        <w:t> </w:t>
      </w:r>
      <w:r>
        <w:rPr>
          <w:sz w:val="22"/>
        </w:rPr>
        <w:t>formulación</w:t>
      </w:r>
      <w:r>
        <w:rPr>
          <w:spacing w:val="-13"/>
          <w:sz w:val="22"/>
        </w:rPr>
        <w:t> </w:t>
      </w:r>
      <w:r>
        <w:rPr>
          <w:sz w:val="22"/>
        </w:rPr>
        <w:t>y</w:t>
      </w:r>
      <w:r>
        <w:rPr>
          <w:spacing w:val="-8"/>
          <w:sz w:val="22"/>
        </w:rPr>
        <w:t> </w:t>
      </w:r>
      <w:r>
        <w:rPr>
          <w:sz w:val="22"/>
        </w:rPr>
        <w:t>ejecución</w:t>
      </w:r>
      <w:r>
        <w:rPr>
          <w:spacing w:val="-10"/>
          <w:sz w:val="22"/>
        </w:rPr>
        <w:t> </w:t>
      </w:r>
      <w:r>
        <w:rPr>
          <w:sz w:val="22"/>
        </w:rPr>
        <w:t>del</w:t>
      </w:r>
      <w:r>
        <w:rPr>
          <w:spacing w:val="-9"/>
          <w:sz w:val="22"/>
        </w:rPr>
        <w:t> </w:t>
      </w:r>
      <w:r>
        <w:rPr>
          <w:sz w:val="22"/>
        </w:rPr>
        <w:t>PEI</w:t>
      </w:r>
      <w:r>
        <w:rPr>
          <w:spacing w:val="-9"/>
          <w:sz w:val="22"/>
        </w:rPr>
        <w:t> </w:t>
      </w:r>
      <w:r>
        <w:rPr>
          <w:sz w:val="22"/>
        </w:rPr>
        <w:t>debe</w:t>
      </w:r>
      <w:r>
        <w:rPr>
          <w:spacing w:val="-13"/>
          <w:sz w:val="22"/>
        </w:rPr>
        <w:t> </w:t>
      </w:r>
      <w:r>
        <w:rPr>
          <w:sz w:val="22"/>
        </w:rPr>
        <w:t>ser</w:t>
      </w:r>
      <w:r>
        <w:rPr>
          <w:spacing w:val="-9"/>
          <w:sz w:val="22"/>
        </w:rPr>
        <w:t> </w:t>
      </w:r>
      <w:r>
        <w:rPr>
          <w:sz w:val="22"/>
        </w:rPr>
        <w:t>auténticamente</w:t>
      </w:r>
      <w:r>
        <w:rPr>
          <w:spacing w:val="-10"/>
          <w:sz w:val="22"/>
        </w:rPr>
        <w:t> </w:t>
      </w:r>
      <w:r>
        <w:rPr>
          <w:sz w:val="22"/>
        </w:rPr>
        <w:t>participativo y no simplemente un proceso de consulta.</w:t>
      </w:r>
    </w:p>
    <w:p>
      <w:pPr>
        <w:pStyle w:val="ListParagraph"/>
        <w:numPr>
          <w:ilvl w:val="0"/>
          <w:numId w:val="30"/>
        </w:numPr>
        <w:tabs>
          <w:tab w:pos="2345" w:val="left" w:leader="none"/>
        </w:tabs>
        <w:spacing w:line="240" w:lineRule="auto" w:before="252" w:after="0"/>
        <w:ind w:left="2345" w:right="1607" w:hanging="360"/>
        <w:jc w:val="both"/>
        <w:rPr>
          <w:sz w:val="22"/>
        </w:rPr>
      </w:pPr>
      <w:r>
        <w:rPr>
          <w:sz w:val="22"/>
        </w:rPr>
        <w:t>La institución debe fortalecer la innovación tecnológica que facilite su gestión y entrega oportuna de servicios.</w:t>
      </w:r>
    </w:p>
    <w:p>
      <w:pPr>
        <w:pStyle w:val="BodyText"/>
        <w:spacing w:before="3"/>
      </w:pPr>
    </w:p>
    <w:p>
      <w:pPr>
        <w:pStyle w:val="ListParagraph"/>
        <w:numPr>
          <w:ilvl w:val="0"/>
          <w:numId w:val="30"/>
        </w:numPr>
        <w:tabs>
          <w:tab w:pos="2345" w:val="left" w:leader="none"/>
        </w:tabs>
        <w:spacing w:line="240" w:lineRule="auto" w:before="0" w:after="0"/>
        <w:ind w:left="2345" w:right="1606" w:hanging="360"/>
        <w:jc w:val="both"/>
        <w:rPr>
          <w:sz w:val="22"/>
        </w:rPr>
      </w:pPr>
      <w:r>
        <w:rPr>
          <w:sz w:val="22"/>
        </w:rPr>
        <w:t>La gestión institucional debe estar basada en la Gestión para Resultados en el Desarrollo (GpRD) y de medición de la contribución al valor público.</w:t>
      </w:r>
    </w:p>
    <w:p>
      <w:pPr>
        <w:pStyle w:val="ListParagraph"/>
        <w:numPr>
          <w:ilvl w:val="0"/>
          <w:numId w:val="30"/>
        </w:numPr>
        <w:tabs>
          <w:tab w:pos="2345" w:val="left" w:leader="none"/>
        </w:tabs>
        <w:spacing w:line="240" w:lineRule="auto" w:before="252" w:after="0"/>
        <w:ind w:left="2345" w:right="1607" w:hanging="360"/>
        <w:jc w:val="both"/>
        <w:rPr>
          <w:sz w:val="22"/>
        </w:rPr>
      </w:pPr>
      <w:r>
        <w:rPr>
          <w:sz w:val="22"/>
        </w:rPr>
        <w:t>El modelo de intervención del IMAS debe ser base del proceso de gestión institucional, el cual debe estar debidamente oficializado y socializado.</w:t>
      </w:r>
    </w:p>
    <w:p>
      <w:pPr>
        <w:pStyle w:val="ListParagraph"/>
        <w:numPr>
          <w:ilvl w:val="0"/>
          <w:numId w:val="30"/>
        </w:numPr>
        <w:tabs>
          <w:tab w:pos="2345" w:val="left" w:leader="none"/>
        </w:tabs>
        <w:spacing w:line="240" w:lineRule="auto" w:before="253" w:after="0"/>
        <w:ind w:left="2345" w:right="1609" w:hanging="360"/>
        <w:jc w:val="both"/>
        <w:rPr>
          <w:sz w:val="22"/>
        </w:rPr>
      </w:pPr>
      <w:r>
        <w:rPr>
          <w:sz w:val="22"/>
        </w:rPr>
        <w:t>Para ser más eficientes</w:t>
      </w:r>
      <w:r>
        <w:rPr>
          <w:spacing w:val="-2"/>
          <w:sz w:val="22"/>
        </w:rPr>
        <w:t> </w:t>
      </w:r>
      <w:r>
        <w:rPr>
          <w:sz w:val="22"/>
        </w:rPr>
        <w:t>en la gestión y alcanzar un mayor valor público,</w:t>
      </w:r>
      <w:r>
        <w:rPr>
          <w:spacing w:val="-1"/>
          <w:sz w:val="22"/>
        </w:rPr>
        <w:t> </w:t>
      </w:r>
      <w:r>
        <w:rPr>
          <w:sz w:val="22"/>
        </w:rPr>
        <w:t>se debe fortalecer los procesos de integración con otros actores, así como la articulación de los servicios a lo interno del IMAS.</w:t>
      </w:r>
    </w:p>
    <w:p>
      <w:pPr>
        <w:pStyle w:val="BodyText"/>
      </w:pPr>
    </w:p>
    <w:p>
      <w:pPr>
        <w:pStyle w:val="ListParagraph"/>
        <w:numPr>
          <w:ilvl w:val="0"/>
          <w:numId w:val="30"/>
        </w:numPr>
        <w:tabs>
          <w:tab w:pos="2345" w:val="left" w:leader="none"/>
        </w:tabs>
        <w:spacing w:line="240" w:lineRule="auto" w:before="0" w:after="0"/>
        <w:ind w:left="2345" w:right="1607" w:hanging="360"/>
        <w:jc w:val="both"/>
        <w:rPr>
          <w:sz w:val="22"/>
        </w:rPr>
      </w:pPr>
      <w:r>
        <w:rPr>
          <w:sz w:val="22"/>
        </w:rPr>
        <w:t>La revisión y ajuste de la estructura y oferta de servicios del IMAS, será una condición</w:t>
      </w:r>
      <w:r>
        <w:rPr>
          <w:spacing w:val="-15"/>
          <w:sz w:val="22"/>
        </w:rPr>
        <w:t> </w:t>
      </w:r>
      <w:r>
        <w:rPr>
          <w:sz w:val="22"/>
        </w:rPr>
        <w:t>fundamental</w:t>
      </w:r>
      <w:r>
        <w:rPr>
          <w:spacing w:val="-15"/>
          <w:sz w:val="22"/>
        </w:rPr>
        <w:t> </w:t>
      </w:r>
      <w:r>
        <w:rPr>
          <w:sz w:val="22"/>
        </w:rPr>
        <w:t>para</w:t>
      </w:r>
      <w:r>
        <w:rPr>
          <w:spacing w:val="-15"/>
          <w:sz w:val="22"/>
        </w:rPr>
        <w:t> </w:t>
      </w:r>
      <w:r>
        <w:rPr>
          <w:sz w:val="22"/>
        </w:rPr>
        <w:t>el</w:t>
      </w:r>
      <w:r>
        <w:rPr>
          <w:spacing w:val="-15"/>
          <w:sz w:val="22"/>
        </w:rPr>
        <w:t> </w:t>
      </w:r>
      <w:r>
        <w:rPr>
          <w:sz w:val="22"/>
        </w:rPr>
        <w:t>análisis</w:t>
      </w:r>
      <w:r>
        <w:rPr>
          <w:spacing w:val="-14"/>
          <w:sz w:val="22"/>
        </w:rPr>
        <w:t> </w:t>
      </w:r>
      <w:r>
        <w:rPr>
          <w:sz w:val="22"/>
        </w:rPr>
        <w:t>de</w:t>
      </w:r>
      <w:r>
        <w:rPr>
          <w:spacing w:val="-15"/>
          <w:sz w:val="22"/>
        </w:rPr>
        <w:t> </w:t>
      </w:r>
      <w:r>
        <w:rPr>
          <w:sz w:val="22"/>
        </w:rPr>
        <w:t>la</w:t>
      </w:r>
      <w:r>
        <w:rPr>
          <w:spacing w:val="-15"/>
          <w:sz w:val="22"/>
        </w:rPr>
        <w:t> </w:t>
      </w:r>
      <w:r>
        <w:rPr>
          <w:sz w:val="22"/>
        </w:rPr>
        <w:t>contribución</w:t>
      </w:r>
      <w:r>
        <w:rPr>
          <w:spacing w:val="-15"/>
          <w:sz w:val="22"/>
        </w:rPr>
        <w:t> </w:t>
      </w:r>
      <w:r>
        <w:rPr>
          <w:sz w:val="22"/>
        </w:rPr>
        <w:t>del</w:t>
      </w:r>
      <w:r>
        <w:rPr>
          <w:spacing w:val="-15"/>
          <w:sz w:val="22"/>
        </w:rPr>
        <w:t> </w:t>
      </w:r>
      <w:r>
        <w:rPr>
          <w:sz w:val="22"/>
        </w:rPr>
        <w:t>IMAS</w:t>
      </w:r>
      <w:r>
        <w:rPr>
          <w:spacing w:val="-15"/>
          <w:sz w:val="22"/>
        </w:rPr>
        <w:t> </w:t>
      </w:r>
      <w:r>
        <w:rPr>
          <w:sz w:val="22"/>
        </w:rPr>
        <w:t>al</w:t>
      </w:r>
      <w:r>
        <w:rPr>
          <w:spacing w:val="-15"/>
          <w:sz w:val="22"/>
        </w:rPr>
        <w:t> </w:t>
      </w:r>
      <w:r>
        <w:rPr>
          <w:sz w:val="22"/>
        </w:rPr>
        <w:t>valor</w:t>
      </w:r>
      <w:r>
        <w:rPr>
          <w:spacing w:val="-15"/>
          <w:sz w:val="22"/>
        </w:rPr>
        <w:t> </w:t>
      </w:r>
      <w:r>
        <w:rPr>
          <w:sz w:val="22"/>
        </w:rPr>
        <w:t>público.</w:t>
      </w:r>
    </w:p>
    <w:p>
      <w:pPr>
        <w:pStyle w:val="BodyText"/>
      </w:pPr>
    </w:p>
    <w:p>
      <w:pPr>
        <w:pStyle w:val="ListParagraph"/>
        <w:numPr>
          <w:ilvl w:val="0"/>
          <w:numId w:val="30"/>
        </w:numPr>
        <w:tabs>
          <w:tab w:pos="2345" w:val="left" w:leader="none"/>
        </w:tabs>
        <w:spacing w:line="240" w:lineRule="auto" w:before="1" w:after="0"/>
        <w:ind w:left="2345" w:right="1607" w:hanging="360"/>
        <w:jc w:val="both"/>
        <w:rPr>
          <w:sz w:val="22"/>
        </w:rPr>
      </w:pPr>
      <w:r>
        <w:rPr>
          <w:sz w:val="22"/>
        </w:rPr>
        <w:t>Los</w:t>
      </w:r>
      <w:r>
        <w:rPr>
          <w:spacing w:val="-13"/>
          <w:sz w:val="22"/>
        </w:rPr>
        <w:t> </w:t>
      </w:r>
      <w:r>
        <w:rPr>
          <w:sz w:val="22"/>
        </w:rPr>
        <w:t>instrumentos</w:t>
      </w:r>
      <w:r>
        <w:rPr>
          <w:spacing w:val="-13"/>
          <w:sz w:val="22"/>
        </w:rPr>
        <w:t> </w:t>
      </w:r>
      <w:r>
        <w:rPr>
          <w:sz w:val="22"/>
        </w:rPr>
        <w:t>de</w:t>
      </w:r>
      <w:r>
        <w:rPr>
          <w:spacing w:val="-16"/>
          <w:sz w:val="22"/>
        </w:rPr>
        <w:t> </w:t>
      </w:r>
      <w:r>
        <w:rPr>
          <w:sz w:val="22"/>
        </w:rPr>
        <w:t>planificación</w:t>
      </w:r>
      <w:r>
        <w:rPr>
          <w:spacing w:val="-13"/>
          <w:sz w:val="22"/>
        </w:rPr>
        <w:t> </w:t>
      </w:r>
      <w:r>
        <w:rPr>
          <w:sz w:val="22"/>
        </w:rPr>
        <w:t>deben</w:t>
      </w:r>
      <w:r>
        <w:rPr>
          <w:spacing w:val="-13"/>
          <w:sz w:val="22"/>
        </w:rPr>
        <w:t> </w:t>
      </w:r>
      <w:r>
        <w:rPr>
          <w:sz w:val="22"/>
        </w:rPr>
        <w:t>estar</w:t>
      </w:r>
      <w:r>
        <w:rPr>
          <w:spacing w:val="-15"/>
          <w:sz w:val="22"/>
        </w:rPr>
        <w:t> </w:t>
      </w:r>
      <w:r>
        <w:rPr>
          <w:sz w:val="22"/>
        </w:rPr>
        <w:t>alineados</w:t>
      </w:r>
      <w:r>
        <w:rPr>
          <w:spacing w:val="-13"/>
          <w:sz w:val="22"/>
        </w:rPr>
        <w:t> </w:t>
      </w:r>
      <w:r>
        <w:rPr>
          <w:sz w:val="22"/>
        </w:rPr>
        <w:t>en</w:t>
      </w:r>
      <w:r>
        <w:rPr>
          <w:spacing w:val="-14"/>
          <w:sz w:val="22"/>
        </w:rPr>
        <w:t> </w:t>
      </w:r>
      <w:r>
        <w:rPr>
          <w:sz w:val="22"/>
        </w:rPr>
        <w:t>sus</w:t>
      </w:r>
      <w:r>
        <w:rPr>
          <w:spacing w:val="-13"/>
          <w:sz w:val="22"/>
        </w:rPr>
        <w:t> </w:t>
      </w:r>
      <w:r>
        <w:rPr>
          <w:sz w:val="22"/>
        </w:rPr>
        <w:t>diferentes</w:t>
      </w:r>
      <w:r>
        <w:rPr>
          <w:spacing w:val="-15"/>
          <w:sz w:val="22"/>
        </w:rPr>
        <w:t> </w:t>
      </w:r>
      <w:r>
        <w:rPr>
          <w:sz w:val="22"/>
        </w:rPr>
        <w:t>niveles. A nivel nacional el PEI debe alinearse con el PNDIP, pero a nivel institucional también con el POI y el POGE.</w:t>
      </w:r>
    </w:p>
    <w:p>
      <w:pPr>
        <w:pStyle w:val="BodyText"/>
      </w:pPr>
    </w:p>
    <w:p>
      <w:pPr>
        <w:pStyle w:val="ListParagraph"/>
        <w:numPr>
          <w:ilvl w:val="0"/>
          <w:numId w:val="30"/>
        </w:numPr>
        <w:tabs>
          <w:tab w:pos="2345" w:val="left" w:leader="none"/>
        </w:tabs>
        <w:spacing w:line="240" w:lineRule="auto" w:before="0" w:after="0"/>
        <w:ind w:left="2345" w:right="1609" w:hanging="360"/>
        <w:jc w:val="both"/>
        <w:rPr>
          <w:sz w:val="22"/>
        </w:rPr>
      </w:pPr>
      <w:r>
        <w:rPr>
          <w:sz w:val="22"/>
        </w:rPr>
        <w:t>El</w:t>
      </w:r>
      <w:r>
        <w:rPr>
          <w:spacing w:val="-1"/>
          <w:sz w:val="22"/>
        </w:rPr>
        <w:t> </w:t>
      </w:r>
      <w:r>
        <w:rPr>
          <w:sz w:val="22"/>
        </w:rPr>
        <w:t>sistema</w:t>
      </w:r>
      <w:r>
        <w:rPr>
          <w:spacing w:val="-2"/>
          <w:sz w:val="22"/>
        </w:rPr>
        <w:t> </w:t>
      </w:r>
      <w:r>
        <w:rPr>
          <w:sz w:val="22"/>
        </w:rPr>
        <w:t>de</w:t>
      </w:r>
      <w:r>
        <w:rPr>
          <w:spacing w:val="-1"/>
          <w:sz w:val="22"/>
        </w:rPr>
        <w:t> </w:t>
      </w:r>
      <w:r>
        <w:rPr>
          <w:sz w:val="22"/>
        </w:rPr>
        <w:t>planificación</w:t>
      </w:r>
      <w:r>
        <w:rPr>
          <w:spacing w:val="-1"/>
          <w:sz w:val="22"/>
        </w:rPr>
        <w:t> </w:t>
      </w:r>
      <w:r>
        <w:rPr>
          <w:sz w:val="22"/>
        </w:rPr>
        <w:t>institucional</w:t>
      </w:r>
      <w:r>
        <w:rPr>
          <w:spacing w:val="-2"/>
          <w:sz w:val="22"/>
        </w:rPr>
        <w:t> </w:t>
      </w:r>
      <w:r>
        <w:rPr>
          <w:sz w:val="22"/>
        </w:rPr>
        <w:t>debe</w:t>
      </w:r>
      <w:r>
        <w:rPr>
          <w:spacing w:val="-3"/>
          <w:sz w:val="22"/>
        </w:rPr>
        <w:t> </w:t>
      </w:r>
      <w:r>
        <w:rPr>
          <w:sz w:val="22"/>
        </w:rPr>
        <w:t>fortalecer una</w:t>
      </w:r>
      <w:r>
        <w:rPr>
          <w:spacing w:val="-3"/>
          <w:sz w:val="22"/>
        </w:rPr>
        <w:t> </w:t>
      </w:r>
      <w:r>
        <w:rPr>
          <w:sz w:val="22"/>
        </w:rPr>
        <w:t>cultura</w:t>
      </w:r>
      <w:r>
        <w:rPr>
          <w:spacing w:val="-2"/>
          <w:sz w:val="22"/>
        </w:rPr>
        <w:t> </w:t>
      </w:r>
      <w:r>
        <w:rPr>
          <w:sz w:val="22"/>
        </w:rPr>
        <w:t>de</w:t>
      </w:r>
      <w:r>
        <w:rPr>
          <w:spacing w:val="-3"/>
          <w:sz w:val="22"/>
        </w:rPr>
        <w:t> </w:t>
      </w:r>
      <w:r>
        <w:rPr>
          <w:sz w:val="22"/>
        </w:rPr>
        <w:t>medición</w:t>
      </w:r>
      <w:r>
        <w:rPr>
          <w:spacing w:val="-1"/>
          <w:sz w:val="22"/>
        </w:rPr>
        <w:t> </w:t>
      </w:r>
      <w:r>
        <w:rPr>
          <w:sz w:val="22"/>
        </w:rPr>
        <w:t>y evaluación de resultados, de producto, efecto y de impacto.</w:t>
      </w:r>
    </w:p>
    <w:p>
      <w:pPr>
        <w:pStyle w:val="ListParagraph"/>
        <w:spacing w:after="0" w:line="240" w:lineRule="auto"/>
        <w:jc w:val="both"/>
        <w:rPr>
          <w:sz w:val="22"/>
        </w:rPr>
        <w:sectPr>
          <w:pgSz w:w="12240" w:h="15840"/>
          <w:pgMar w:header="0" w:footer="1576" w:top="1000" w:bottom="1760" w:left="360" w:right="0"/>
        </w:sectPr>
      </w:pPr>
    </w:p>
    <w:p>
      <w:pPr>
        <w:pStyle w:val="ListParagraph"/>
        <w:numPr>
          <w:ilvl w:val="0"/>
          <w:numId w:val="30"/>
        </w:numPr>
        <w:tabs>
          <w:tab w:pos="2345" w:val="left" w:leader="none"/>
        </w:tabs>
        <w:spacing w:line="240" w:lineRule="auto" w:before="77" w:after="0"/>
        <w:ind w:left="2345" w:right="1607" w:hanging="360"/>
        <w:jc w:val="left"/>
        <w:rPr>
          <w:sz w:val="22"/>
        </w:rPr>
      </w:pPr>
      <w:r>
        <w:rPr>
          <w:sz w:val="22"/>
        </w:rPr>
        <w:t>En entornos cambiantes y de crisis se hace fundamental un análisis prospectivo de los contenidos presupuestarios del IMAS.</w:t>
      </w:r>
    </w:p>
    <w:p>
      <w:pPr>
        <w:pStyle w:val="BodyText"/>
        <w:spacing w:before="24"/>
      </w:pPr>
    </w:p>
    <w:p>
      <w:pPr>
        <w:pStyle w:val="Heading3"/>
        <w:numPr>
          <w:ilvl w:val="1"/>
          <w:numId w:val="28"/>
        </w:numPr>
        <w:tabs>
          <w:tab w:pos="2887" w:val="left" w:leader="none"/>
        </w:tabs>
        <w:spacing w:line="240" w:lineRule="auto" w:before="1" w:after="0"/>
        <w:ind w:left="2887" w:right="0" w:hanging="401"/>
        <w:jc w:val="left"/>
      </w:pPr>
      <w:bookmarkStart w:name="_bookmark67" w:id="68"/>
      <w:bookmarkEnd w:id="68"/>
      <w:r>
        <w:rPr>
          <w:b w:val="0"/>
        </w:rPr>
      </w:r>
      <w:r>
        <w:rPr/>
        <w:t>Población</w:t>
      </w:r>
      <w:r>
        <w:rPr>
          <w:spacing w:val="-6"/>
        </w:rPr>
        <w:t> </w:t>
      </w:r>
      <w:r>
        <w:rPr>
          <w:spacing w:val="-2"/>
        </w:rPr>
        <w:t>Objetivo</w:t>
      </w:r>
    </w:p>
    <w:p>
      <w:pPr>
        <w:pStyle w:val="BodyText"/>
        <w:spacing w:before="275"/>
        <w:ind w:left="1625" w:right="1601"/>
        <w:jc w:val="both"/>
      </w:pPr>
      <w:r>
        <w:rPr/>
        <w:t>Se</w:t>
      </w:r>
      <w:r>
        <w:rPr>
          <w:spacing w:val="-14"/>
        </w:rPr>
        <w:t> </w:t>
      </w:r>
      <w:r>
        <w:rPr/>
        <w:t>ejecuta</w:t>
      </w:r>
      <w:r>
        <w:rPr>
          <w:spacing w:val="-16"/>
        </w:rPr>
        <w:t> </w:t>
      </w:r>
      <w:r>
        <w:rPr/>
        <w:t>mediante</w:t>
      </w:r>
      <w:r>
        <w:rPr>
          <w:spacing w:val="-11"/>
        </w:rPr>
        <w:t> </w:t>
      </w:r>
      <w:r>
        <w:rPr/>
        <w:t>el</w:t>
      </w:r>
      <w:r>
        <w:rPr>
          <w:spacing w:val="-15"/>
        </w:rPr>
        <w:t> </w:t>
      </w:r>
      <w:r>
        <w:rPr/>
        <w:t>programa</w:t>
      </w:r>
      <w:r>
        <w:rPr>
          <w:spacing w:val="-16"/>
        </w:rPr>
        <w:t> </w:t>
      </w:r>
      <w:r>
        <w:rPr/>
        <w:t>sustantivo</w:t>
      </w:r>
      <w:r>
        <w:rPr>
          <w:spacing w:val="-13"/>
        </w:rPr>
        <w:t> </w:t>
      </w:r>
      <w:r>
        <w:rPr/>
        <w:t>de</w:t>
      </w:r>
      <w:r>
        <w:rPr>
          <w:spacing w:val="-14"/>
        </w:rPr>
        <w:t> </w:t>
      </w:r>
      <w:r>
        <w:rPr/>
        <w:t>la</w:t>
      </w:r>
      <w:r>
        <w:rPr>
          <w:spacing w:val="-15"/>
        </w:rPr>
        <w:t> </w:t>
      </w:r>
      <w:r>
        <w:rPr/>
        <w:t>Institución</w:t>
      </w:r>
      <w:r>
        <w:rPr>
          <w:spacing w:val="-14"/>
        </w:rPr>
        <w:t> </w:t>
      </w:r>
      <w:r>
        <w:rPr/>
        <w:t>y</w:t>
      </w:r>
      <w:r>
        <w:rPr>
          <w:spacing w:val="-13"/>
        </w:rPr>
        <w:t> </w:t>
      </w:r>
      <w:r>
        <w:rPr/>
        <w:t>en</w:t>
      </w:r>
      <w:r>
        <w:rPr>
          <w:spacing w:val="-16"/>
        </w:rPr>
        <w:t> </w:t>
      </w:r>
      <w:r>
        <w:rPr/>
        <w:t>él</w:t>
      </w:r>
      <w:r>
        <w:rPr>
          <w:spacing w:val="-14"/>
        </w:rPr>
        <w:t> </w:t>
      </w:r>
      <w:r>
        <w:rPr/>
        <w:t>se</w:t>
      </w:r>
      <w:r>
        <w:rPr>
          <w:spacing w:val="-14"/>
        </w:rPr>
        <w:t> </w:t>
      </w:r>
      <w:r>
        <w:rPr/>
        <w:t>definen</w:t>
      </w:r>
      <w:r>
        <w:rPr>
          <w:spacing w:val="-14"/>
        </w:rPr>
        <w:t> </w:t>
      </w:r>
      <w:r>
        <w:rPr/>
        <w:t>estrategias para la intervención y se da cumplimiento y seguimiento de las metas y la ejecución de los recursos que se destinan a inversión social. La población objetivo de este Programa son las personas, hogares, familias y comunidades en pobreza, y sujetos de derecho público y privado que desarrollan proyectos de interés social y económico, en beneficio de la población en situación de pobreza y el desarrollo de los territorios.</w:t>
      </w:r>
    </w:p>
    <w:p>
      <w:pPr>
        <w:pStyle w:val="Heading3"/>
        <w:numPr>
          <w:ilvl w:val="1"/>
          <w:numId w:val="28"/>
        </w:numPr>
        <w:tabs>
          <w:tab w:pos="2889" w:val="left" w:leader="none"/>
        </w:tabs>
        <w:spacing w:line="240" w:lineRule="auto" w:before="252" w:after="0"/>
        <w:ind w:left="2889" w:right="0" w:hanging="403"/>
        <w:jc w:val="left"/>
      </w:pPr>
      <w:bookmarkStart w:name="_bookmark68" w:id="69"/>
      <w:bookmarkEnd w:id="69"/>
      <w:r>
        <w:rPr>
          <w:b w:val="0"/>
        </w:rPr>
      </w:r>
      <w:r>
        <w:rPr/>
        <w:t>Plan</w:t>
      </w:r>
      <w:r>
        <w:rPr>
          <w:spacing w:val="-4"/>
        </w:rPr>
        <w:t> </w:t>
      </w:r>
      <w:r>
        <w:rPr/>
        <w:t>Nacional</w:t>
      </w:r>
      <w:r>
        <w:rPr>
          <w:spacing w:val="-3"/>
        </w:rPr>
        <w:t> </w:t>
      </w:r>
      <w:r>
        <w:rPr/>
        <w:t>de</w:t>
      </w:r>
      <w:r>
        <w:rPr>
          <w:spacing w:val="-3"/>
        </w:rPr>
        <w:t> </w:t>
      </w:r>
      <w:r>
        <w:rPr/>
        <w:t>Desarrollo</w:t>
      </w:r>
      <w:r>
        <w:rPr>
          <w:spacing w:val="-3"/>
        </w:rPr>
        <w:t> </w:t>
      </w:r>
      <w:r>
        <w:rPr/>
        <w:t>e</w:t>
      </w:r>
      <w:r>
        <w:rPr>
          <w:spacing w:val="-4"/>
        </w:rPr>
        <w:t> </w:t>
      </w:r>
      <w:r>
        <w:rPr/>
        <w:t>Inversión</w:t>
      </w:r>
      <w:r>
        <w:rPr>
          <w:spacing w:val="-3"/>
        </w:rPr>
        <w:t> </w:t>
      </w:r>
      <w:r>
        <w:rPr/>
        <w:t>Pública 2027-</w:t>
      </w:r>
      <w:r>
        <w:rPr>
          <w:spacing w:val="-4"/>
        </w:rPr>
        <w:t>2030</w:t>
      </w:r>
    </w:p>
    <w:p>
      <w:pPr>
        <w:pStyle w:val="BodyText"/>
        <w:spacing w:before="254"/>
        <w:ind w:left="1625" w:right="1602"/>
        <w:jc w:val="both"/>
      </w:pPr>
      <w:r>
        <w:rPr/>
        <w:t>El Plan Nacional de Desarrollo e Inversión Pública (PNDIP) es el principal instrumento mediante el cual el Gobierno define qué quiere lograr durante los cuatro años de una administración y qué acciones, programas, proyectos e inversiones públicas realizará para el logro de los objetivos planteados. El PNDIP fue formulado bajo el enfoque de Gestión para Resultados en el Desarrollo, por lo que en él se establecen resultados medibles</w:t>
      </w:r>
      <w:r>
        <w:rPr>
          <w:spacing w:val="-16"/>
        </w:rPr>
        <w:t> </w:t>
      </w:r>
      <w:r>
        <w:rPr/>
        <w:t>que</w:t>
      </w:r>
      <w:r>
        <w:rPr>
          <w:spacing w:val="-15"/>
        </w:rPr>
        <w:t> </w:t>
      </w:r>
      <w:r>
        <w:rPr/>
        <w:t>buscan</w:t>
      </w:r>
      <w:r>
        <w:rPr>
          <w:spacing w:val="-15"/>
        </w:rPr>
        <w:t> </w:t>
      </w:r>
      <w:r>
        <w:rPr/>
        <w:t>fortalecer</w:t>
      </w:r>
      <w:r>
        <w:rPr>
          <w:spacing w:val="-16"/>
        </w:rPr>
        <w:t> </w:t>
      </w:r>
      <w:r>
        <w:rPr/>
        <w:t>el</w:t>
      </w:r>
      <w:r>
        <w:rPr>
          <w:spacing w:val="-15"/>
        </w:rPr>
        <w:t> </w:t>
      </w:r>
      <w:r>
        <w:rPr/>
        <w:t>valor</w:t>
      </w:r>
      <w:r>
        <w:rPr>
          <w:spacing w:val="-15"/>
        </w:rPr>
        <w:t> </w:t>
      </w:r>
      <w:r>
        <w:rPr/>
        <w:t>público</w:t>
      </w:r>
      <w:r>
        <w:rPr>
          <w:spacing w:val="-15"/>
        </w:rPr>
        <w:t> </w:t>
      </w:r>
      <w:r>
        <w:rPr/>
        <w:t>que</w:t>
      </w:r>
      <w:r>
        <w:rPr>
          <w:spacing w:val="-16"/>
        </w:rPr>
        <w:t> </w:t>
      </w:r>
      <w:r>
        <w:rPr/>
        <w:t>aportan</w:t>
      </w:r>
      <w:r>
        <w:rPr>
          <w:spacing w:val="-15"/>
        </w:rPr>
        <w:t> </w:t>
      </w:r>
      <w:r>
        <w:rPr/>
        <w:t>de</w:t>
      </w:r>
      <w:r>
        <w:rPr>
          <w:spacing w:val="-15"/>
        </w:rPr>
        <w:t> </w:t>
      </w:r>
      <w:r>
        <w:rPr/>
        <w:t>las</w:t>
      </w:r>
      <w:r>
        <w:rPr>
          <w:spacing w:val="-16"/>
        </w:rPr>
        <w:t> </w:t>
      </w:r>
      <w:r>
        <w:rPr/>
        <w:t>instituciones</w:t>
      </w:r>
      <w:r>
        <w:rPr>
          <w:spacing w:val="-15"/>
        </w:rPr>
        <w:t> </w:t>
      </w:r>
      <w:r>
        <w:rPr/>
        <w:t>del</w:t>
      </w:r>
      <w:r>
        <w:rPr>
          <w:spacing w:val="-15"/>
        </w:rPr>
        <w:t> </w:t>
      </w:r>
      <w:r>
        <w:rPr/>
        <w:t>estado hacia la sociedad.</w:t>
      </w:r>
    </w:p>
    <w:p>
      <w:pPr>
        <w:pStyle w:val="BodyText"/>
        <w:spacing w:before="253"/>
        <w:ind w:left="1625" w:right="1602"/>
        <w:jc w:val="both"/>
      </w:pPr>
      <w:r>
        <w:rPr/>
        <w:t>El</w:t>
      </w:r>
      <w:r>
        <w:rPr>
          <w:spacing w:val="-7"/>
        </w:rPr>
        <w:t> </w:t>
      </w:r>
      <w:r>
        <w:rPr/>
        <w:t>IMAS</w:t>
      </w:r>
      <w:r>
        <w:rPr>
          <w:spacing w:val="-7"/>
        </w:rPr>
        <w:t> </w:t>
      </w:r>
      <w:r>
        <w:rPr/>
        <w:t>en</w:t>
      </w:r>
      <w:r>
        <w:rPr>
          <w:spacing w:val="-7"/>
        </w:rPr>
        <w:t> </w:t>
      </w:r>
      <w:r>
        <w:rPr/>
        <w:t>atención</w:t>
      </w:r>
      <w:r>
        <w:rPr>
          <w:spacing w:val="-7"/>
        </w:rPr>
        <w:t> </w:t>
      </w:r>
      <w:r>
        <w:rPr/>
        <w:t>a</w:t>
      </w:r>
      <w:r>
        <w:rPr>
          <w:spacing w:val="-6"/>
        </w:rPr>
        <w:t> </w:t>
      </w:r>
      <w:r>
        <w:rPr/>
        <w:t>su</w:t>
      </w:r>
      <w:r>
        <w:rPr>
          <w:spacing w:val="-8"/>
        </w:rPr>
        <w:t> </w:t>
      </w:r>
      <w:r>
        <w:rPr/>
        <w:t>responsabilidad</w:t>
      </w:r>
      <w:r>
        <w:rPr>
          <w:spacing w:val="-6"/>
        </w:rPr>
        <w:t> </w:t>
      </w:r>
      <w:r>
        <w:rPr/>
        <w:t>directa</w:t>
      </w:r>
      <w:r>
        <w:rPr>
          <w:spacing w:val="-7"/>
        </w:rPr>
        <w:t> </w:t>
      </w:r>
      <w:r>
        <w:rPr/>
        <w:t>de</w:t>
      </w:r>
      <w:r>
        <w:rPr>
          <w:spacing w:val="-7"/>
        </w:rPr>
        <w:t> </w:t>
      </w:r>
      <w:r>
        <w:rPr/>
        <w:t>planificar,</w:t>
      </w:r>
      <w:r>
        <w:rPr>
          <w:spacing w:val="-5"/>
        </w:rPr>
        <w:t> </w:t>
      </w:r>
      <w:r>
        <w:rPr/>
        <w:t>dirigir,</w:t>
      </w:r>
      <w:r>
        <w:rPr>
          <w:spacing w:val="-5"/>
        </w:rPr>
        <w:t> </w:t>
      </w:r>
      <w:r>
        <w:rPr/>
        <w:t>ejecutar</w:t>
      </w:r>
      <w:r>
        <w:rPr>
          <w:spacing w:val="-5"/>
        </w:rPr>
        <w:t> </w:t>
      </w:r>
      <w:r>
        <w:rPr/>
        <w:t>y</w:t>
      </w:r>
      <w:r>
        <w:rPr>
          <w:spacing w:val="-6"/>
        </w:rPr>
        <w:t> </w:t>
      </w:r>
      <w:r>
        <w:rPr/>
        <w:t>controlar acciones orientadas a combatir la pobreza extrema, tiene un papel fundamental en el PNDIP, visualizando sus compromisos en el Sector Bienestar Trabajo e Inclusión Social el</w:t>
      </w:r>
      <w:r>
        <w:rPr>
          <w:spacing w:val="-10"/>
        </w:rPr>
        <w:t> </w:t>
      </w:r>
      <w:r>
        <w:rPr/>
        <w:t>cual</w:t>
      </w:r>
      <w:r>
        <w:rPr>
          <w:spacing w:val="-10"/>
        </w:rPr>
        <w:t> </w:t>
      </w:r>
      <w:r>
        <w:rPr/>
        <w:t>cumple</w:t>
      </w:r>
      <w:r>
        <w:rPr>
          <w:spacing w:val="-10"/>
        </w:rPr>
        <w:t> </w:t>
      </w:r>
      <w:r>
        <w:rPr/>
        <w:t>una</w:t>
      </w:r>
      <w:r>
        <w:rPr>
          <w:spacing w:val="-11"/>
        </w:rPr>
        <w:t> </w:t>
      </w:r>
      <w:r>
        <w:rPr/>
        <w:t>función</w:t>
      </w:r>
      <w:r>
        <w:rPr>
          <w:spacing w:val="-10"/>
        </w:rPr>
        <w:t> </w:t>
      </w:r>
      <w:r>
        <w:rPr/>
        <w:t>estratégica</w:t>
      </w:r>
      <w:r>
        <w:rPr>
          <w:spacing w:val="-10"/>
        </w:rPr>
        <w:t> </w:t>
      </w:r>
      <w:r>
        <w:rPr/>
        <w:t>en</w:t>
      </w:r>
      <w:r>
        <w:rPr>
          <w:spacing w:val="-12"/>
        </w:rPr>
        <w:t> </w:t>
      </w:r>
      <w:r>
        <w:rPr/>
        <w:t>la</w:t>
      </w:r>
      <w:r>
        <w:rPr>
          <w:spacing w:val="-8"/>
        </w:rPr>
        <w:t> </w:t>
      </w:r>
      <w:r>
        <w:rPr/>
        <w:t>reducción</w:t>
      </w:r>
      <w:r>
        <w:rPr>
          <w:spacing w:val="-10"/>
        </w:rPr>
        <w:t> </w:t>
      </w:r>
      <w:r>
        <w:rPr/>
        <w:t>de</w:t>
      </w:r>
      <w:r>
        <w:rPr>
          <w:spacing w:val="-10"/>
        </w:rPr>
        <w:t> </w:t>
      </w:r>
      <w:r>
        <w:rPr/>
        <w:t>la</w:t>
      </w:r>
      <w:r>
        <w:rPr>
          <w:spacing w:val="-10"/>
        </w:rPr>
        <w:t> </w:t>
      </w:r>
      <w:r>
        <w:rPr/>
        <w:t>pobreza,</w:t>
      </w:r>
      <w:r>
        <w:rPr>
          <w:spacing w:val="-8"/>
        </w:rPr>
        <w:t> </w:t>
      </w:r>
      <w:r>
        <w:rPr/>
        <w:t>la</w:t>
      </w:r>
      <w:r>
        <w:rPr>
          <w:spacing w:val="-11"/>
        </w:rPr>
        <w:t> </w:t>
      </w:r>
      <w:r>
        <w:rPr/>
        <w:t>protección</w:t>
      </w:r>
      <w:r>
        <w:rPr>
          <w:spacing w:val="-10"/>
        </w:rPr>
        <w:t> </w:t>
      </w:r>
      <w:r>
        <w:rPr/>
        <w:t>social, la movilidad social, el fortalecimiento de capacidades, la inclusión productiva y la generación</w:t>
      </w:r>
      <w:r>
        <w:rPr>
          <w:spacing w:val="-8"/>
        </w:rPr>
        <w:t> </w:t>
      </w:r>
      <w:r>
        <w:rPr/>
        <w:t>de</w:t>
      </w:r>
      <w:r>
        <w:rPr>
          <w:spacing w:val="-8"/>
        </w:rPr>
        <w:t> </w:t>
      </w:r>
      <w:r>
        <w:rPr/>
        <w:t>oportunidades</w:t>
      </w:r>
      <w:r>
        <w:rPr>
          <w:spacing w:val="-7"/>
        </w:rPr>
        <w:t> </w:t>
      </w:r>
      <w:r>
        <w:rPr/>
        <w:t>para</w:t>
      </w:r>
      <w:r>
        <w:rPr>
          <w:spacing w:val="-10"/>
        </w:rPr>
        <w:t> </w:t>
      </w:r>
      <w:r>
        <w:rPr/>
        <w:t>la</w:t>
      </w:r>
      <w:r>
        <w:rPr>
          <w:spacing w:val="-7"/>
        </w:rPr>
        <w:t> </w:t>
      </w:r>
      <w:r>
        <w:rPr/>
        <w:t>población</w:t>
      </w:r>
      <w:r>
        <w:rPr>
          <w:spacing w:val="-8"/>
        </w:rPr>
        <w:t> </w:t>
      </w:r>
      <w:r>
        <w:rPr/>
        <w:t>en</w:t>
      </w:r>
      <w:r>
        <w:rPr>
          <w:spacing w:val="-6"/>
        </w:rPr>
        <w:t> </w:t>
      </w:r>
      <w:r>
        <w:rPr/>
        <w:t>condición</w:t>
      </w:r>
      <w:r>
        <w:rPr>
          <w:spacing w:val="-8"/>
        </w:rPr>
        <w:t> </w:t>
      </w:r>
      <w:r>
        <w:rPr/>
        <w:t>de</w:t>
      </w:r>
      <w:r>
        <w:rPr>
          <w:spacing w:val="-8"/>
        </w:rPr>
        <w:t> </w:t>
      </w:r>
      <w:r>
        <w:rPr/>
        <w:t>pobreza</w:t>
      </w:r>
      <w:r>
        <w:rPr>
          <w:spacing w:val="-7"/>
        </w:rPr>
        <w:t> </w:t>
      </w:r>
      <w:r>
        <w:rPr/>
        <w:t>y</w:t>
      </w:r>
      <w:r>
        <w:rPr>
          <w:spacing w:val="-9"/>
        </w:rPr>
        <w:t> </w:t>
      </w:r>
      <w:r>
        <w:rPr/>
        <w:t>vulnerabilidad.</w:t>
      </w:r>
    </w:p>
    <w:p>
      <w:pPr>
        <w:pStyle w:val="BodyText"/>
      </w:pPr>
    </w:p>
    <w:p>
      <w:pPr>
        <w:pStyle w:val="BodyText"/>
        <w:ind w:left="1625" w:right="1600"/>
        <w:jc w:val="both"/>
      </w:pPr>
      <w:r>
        <w:rPr/>
        <w:t>En</w:t>
      </w:r>
      <w:r>
        <w:rPr>
          <w:spacing w:val="-2"/>
        </w:rPr>
        <w:t> </w:t>
      </w:r>
      <w:r>
        <w:rPr/>
        <w:t>el</w:t>
      </w:r>
      <w:r>
        <w:rPr>
          <w:spacing w:val="-2"/>
        </w:rPr>
        <w:t> </w:t>
      </w:r>
      <w:r>
        <w:rPr/>
        <w:t>PNDIP</w:t>
      </w:r>
      <w:r>
        <w:rPr>
          <w:spacing w:val="-2"/>
        </w:rPr>
        <w:t> </w:t>
      </w:r>
      <w:r>
        <w:rPr/>
        <w:t>2027-2030</w:t>
      </w:r>
      <w:r>
        <w:rPr>
          <w:spacing w:val="-1"/>
        </w:rPr>
        <w:t> </w:t>
      </w:r>
      <w:r>
        <w:rPr/>
        <w:t>el</w:t>
      </w:r>
      <w:r>
        <w:rPr>
          <w:spacing w:val="-3"/>
        </w:rPr>
        <w:t> </w:t>
      </w:r>
      <w:r>
        <w:rPr/>
        <w:t>IMAS</w:t>
      </w:r>
      <w:r>
        <w:rPr>
          <w:spacing w:val="-2"/>
        </w:rPr>
        <w:t> </w:t>
      </w:r>
      <w:r>
        <w:rPr/>
        <w:t>se</w:t>
      </w:r>
      <w:r>
        <w:rPr>
          <w:spacing w:val="-2"/>
        </w:rPr>
        <w:t> </w:t>
      </w:r>
      <w:r>
        <w:rPr/>
        <w:t>comprometió</w:t>
      </w:r>
      <w:r>
        <w:rPr>
          <w:spacing w:val="-4"/>
        </w:rPr>
        <w:t> </w:t>
      </w:r>
      <w:r>
        <w:rPr/>
        <w:t>con cuatro</w:t>
      </w:r>
      <w:r>
        <w:rPr>
          <w:spacing w:val="-2"/>
        </w:rPr>
        <w:t> </w:t>
      </w:r>
      <w:r>
        <w:rPr/>
        <w:t>metas, que</w:t>
      </w:r>
      <w:r>
        <w:rPr>
          <w:spacing w:val="-2"/>
        </w:rPr>
        <w:t> </w:t>
      </w:r>
      <w:r>
        <w:rPr/>
        <w:t>buscan</w:t>
      </w:r>
      <w:r>
        <w:rPr>
          <w:spacing w:val="-2"/>
        </w:rPr>
        <w:t> </w:t>
      </w:r>
      <w:r>
        <w:rPr/>
        <w:t>generar oportunidades</w:t>
      </w:r>
      <w:r>
        <w:rPr>
          <w:spacing w:val="-14"/>
        </w:rPr>
        <w:t> </w:t>
      </w:r>
      <w:r>
        <w:rPr/>
        <w:t>y</w:t>
      </w:r>
      <w:r>
        <w:rPr>
          <w:spacing w:val="-16"/>
        </w:rPr>
        <w:t> </w:t>
      </w:r>
      <w:r>
        <w:rPr/>
        <w:t>cambios</w:t>
      </w:r>
      <w:r>
        <w:rPr>
          <w:spacing w:val="-15"/>
        </w:rPr>
        <w:t> </w:t>
      </w:r>
      <w:r>
        <w:rPr/>
        <w:t>en</w:t>
      </w:r>
      <w:r>
        <w:rPr>
          <w:spacing w:val="-14"/>
        </w:rPr>
        <w:t> </w:t>
      </w:r>
      <w:r>
        <w:rPr/>
        <w:t>la</w:t>
      </w:r>
      <w:r>
        <w:rPr>
          <w:spacing w:val="-14"/>
        </w:rPr>
        <w:t> </w:t>
      </w:r>
      <w:r>
        <w:rPr/>
        <w:t>población,</w:t>
      </w:r>
      <w:r>
        <w:rPr>
          <w:spacing w:val="-12"/>
        </w:rPr>
        <w:t> </w:t>
      </w:r>
      <w:r>
        <w:rPr/>
        <w:t>estas</w:t>
      </w:r>
      <w:r>
        <w:rPr>
          <w:spacing w:val="-15"/>
        </w:rPr>
        <w:t> </w:t>
      </w:r>
      <w:r>
        <w:rPr/>
        <w:t>metas</w:t>
      </w:r>
      <w:r>
        <w:rPr>
          <w:spacing w:val="-13"/>
        </w:rPr>
        <w:t> </w:t>
      </w:r>
      <w:r>
        <w:rPr/>
        <w:t>serán</w:t>
      </w:r>
      <w:r>
        <w:rPr>
          <w:spacing w:val="-14"/>
        </w:rPr>
        <w:t> </w:t>
      </w:r>
      <w:r>
        <w:rPr/>
        <w:t>operacionalizadas</w:t>
      </w:r>
      <w:r>
        <w:rPr>
          <w:spacing w:val="-13"/>
        </w:rPr>
        <w:t> </w:t>
      </w:r>
      <w:r>
        <w:rPr/>
        <w:t>en</w:t>
      </w:r>
      <w:r>
        <w:rPr>
          <w:spacing w:val="-14"/>
        </w:rPr>
        <w:t> </w:t>
      </w:r>
      <w:r>
        <w:rPr/>
        <w:t>el</w:t>
      </w:r>
      <w:r>
        <w:rPr>
          <w:spacing w:val="-15"/>
        </w:rPr>
        <w:t> </w:t>
      </w:r>
      <w:r>
        <w:rPr/>
        <w:t>Plan Operativo</w:t>
      </w:r>
      <w:r>
        <w:rPr>
          <w:spacing w:val="-10"/>
        </w:rPr>
        <w:t> </w:t>
      </w:r>
      <w:r>
        <w:rPr/>
        <w:t>Institucional</w:t>
      </w:r>
      <w:r>
        <w:rPr>
          <w:spacing w:val="-8"/>
        </w:rPr>
        <w:t> </w:t>
      </w:r>
      <w:r>
        <w:rPr/>
        <w:t>mediante</w:t>
      </w:r>
      <w:r>
        <w:rPr>
          <w:spacing w:val="-7"/>
        </w:rPr>
        <w:t> </w:t>
      </w:r>
      <w:r>
        <w:rPr/>
        <w:t>la</w:t>
      </w:r>
      <w:r>
        <w:rPr>
          <w:spacing w:val="-7"/>
        </w:rPr>
        <w:t> </w:t>
      </w:r>
      <w:r>
        <w:rPr/>
        <w:t>ejecución</w:t>
      </w:r>
      <w:r>
        <w:rPr>
          <w:spacing w:val="-8"/>
        </w:rPr>
        <w:t> </w:t>
      </w:r>
      <w:r>
        <w:rPr/>
        <w:t>de</w:t>
      </w:r>
      <w:r>
        <w:rPr>
          <w:spacing w:val="-10"/>
        </w:rPr>
        <w:t> </w:t>
      </w:r>
      <w:r>
        <w:rPr/>
        <w:t>los</w:t>
      </w:r>
      <w:r>
        <w:rPr>
          <w:spacing w:val="-7"/>
        </w:rPr>
        <w:t> </w:t>
      </w:r>
      <w:r>
        <w:rPr/>
        <w:t>diferentes</w:t>
      </w:r>
      <w:r>
        <w:rPr>
          <w:spacing w:val="-10"/>
        </w:rPr>
        <w:t> </w:t>
      </w:r>
      <w:r>
        <w:rPr/>
        <w:t>subsidios</w:t>
      </w:r>
      <w:r>
        <w:rPr>
          <w:spacing w:val="-7"/>
        </w:rPr>
        <w:t> </w:t>
      </w:r>
      <w:r>
        <w:rPr/>
        <w:t>y</w:t>
      </w:r>
      <w:r>
        <w:rPr>
          <w:spacing w:val="-12"/>
        </w:rPr>
        <w:t> </w:t>
      </w:r>
      <w:r>
        <w:rPr/>
        <w:t>beneficios</w:t>
      </w:r>
      <w:r>
        <w:rPr>
          <w:spacing w:val="-4"/>
        </w:rPr>
        <w:t> </w:t>
      </w:r>
      <w:r>
        <w:rPr/>
        <w:t>y</w:t>
      </w:r>
      <w:r>
        <w:rPr>
          <w:spacing w:val="-9"/>
        </w:rPr>
        <w:t> </w:t>
      </w:r>
      <w:r>
        <w:rPr/>
        <w:t>su cumplimiento será reportado de manera semestral en los informes de rendición de cuentas que se remiten a los entes contralores y fiscalizadores.</w:t>
      </w:r>
    </w:p>
    <w:p>
      <w:pPr>
        <w:pStyle w:val="BodyText"/>
        <w:spacing w:before="252"/>
        <w:ind w:left="1625" w:right="1606"/>
        <w:jc w:val="both"/>
      </w:pPr>
      <w:r>
        <w:rPr/>
        <w:t>A continuación, se muestra tabla que resume los compromisos planteados por la institución en el PNDIP 2027-2030.</w:t>
      </w:r>
    </w:p>
    <w:p>
      <w:pPr>
        <w:pStyle w:val="BodyText"/>
        <w:spacing w:after="0"/>
        <w:jc w:val="both"/>
        <w:sectPr>
          <w:pgSz w:w="12240" w:h="15840"/>
          <w:pgMar w:header="0" w:footer="1576" w:top="1000" w:bottom="1760" w:left="360" w:right="0"/>
        </w:sectPr>
      </w:pPr>
    </w:p>
    <w:p>
      <w:pPr>
        <w:pStyle w:val="Heading5"/>
        <w:spacing w:before="77"/>
        <w:ind w:left="1466" w:right="1303"/>
        <w:jc w:val="center"/>
      </w:pPr>
      <w:bookmarkStart w:name="_bookmark69" w:id="70"/>
      <w:bookmarkEnd w:id="70"/>
      <w:r>
        <w:rPr>
          <w:b w:val="0"/>
        </w:rPr>
      </w:r>
      <w:r>
        <w:rPr/>
        <w:t>Tabla</w:t>
      </w:r>
      <w:r>
        <w:rPr>
          <w:spacing w:val="-6"/>
        </w:rPr>
        <w:t> </w:t>
      </w:r>
      <w:r>
        <w:rPr/>
        <w:t>13:</w:t>
      </w:r>
      <w:r>
        <w:rPr>
          <w:spacing w:val="-3"/>
        </w:rPr>
        <w:t> </w:t>
      </w:r>
      <w:r>
        <w:rPr/>
        <w:t>Compromisos</w:t>
      </w:r>
      <w:r>
        <w:rPr>
          <w:spacing w:val="-4"/>
        </w:rPr>
        <w:t> </w:t>
      </w:r>
      <w:r>
        <w:rPr/>
        <w:t>del</w:t>
      </w:r>
      <w:r>
        <w:rPr>
          <w:spacing w:val="-5"/>
        </w:rPr>
        <w:t> </w:t>
      </w:r>
      <w:r>
        <w:rPr/>
        <w:t>IMAS</w:t>
      </w:r>
      <w:r>
        <w:rPr>
          <w:spacing w:val="-4"/>
        </w:rPr>
        <w:t> </w:t>
      </w:r>
      <w:r>
        <w:rPr/>
        <w:t>en</w:t>
      </w:r>
      <w:r>
        <w:rPr>
          <w:spacing w:val="-7"/>
        </w:rPr>
        <w:t> </w:t>
      </w:r>
      <w:r>
        <w:rPr/>
        <w:t>el</w:t>
      </w:r>
      <w:r>
        <w:rPr>
          <w:spacing w:val="-5"/>
        </w:rPr>
        <w:t> </w:t>
      </w:r>
      <w:r>
        <w:rPr/>
        <w:t>Plan</w:t>
      </w:r>
      <w:r>
        <w:rPr>
          <w:spacing w:val="-6"/>
        </w:rPr>
        <w:t> </w:t>
      </w:r>
      <w:r>
        <w:rPr/>
        <w:t>Nacional</w:t>
      </w:r>
      <w:r>
        <w:rPr>
          <w:spacing w:val="-5"/>
        </w:rPr>
        <w:t> </w:t>
      </w:r>
      <w:r>
        <w:rPr/>
        <w:t>de</w:t>
      </w:r>
      <w:r>
        <w:rPr>
          <w:spacing w:val="-4"/>
        </w:rPr>
        <w:t> </w:t>
      </w:r>
      <w:r>
        <w:rPr/>
        <w:t>Desarrollo</w:t>
      </w:r>
      <w:r>
        <w:rPr>
          <w:spacing w:val="-4"/>
        </w:rPr>
        <w:t> </w:t>
      </w:r>
      <w:r>
        <w:rPr/>
        <w:t>2027-</w:t>
      </w:r>
      <w:r>
        <w:rPr>
          <w:spacing w:val="-4"/>
        </w:rPr>
        <w:t>2030</w:t>
      </w:r>
    </w:p>
    <w:p>
      <w:pPr>
        <w:pStyle w:val="BodyText"/>
        <w:spacing w:before="24"/>
        <w:rPr>
          <w:b/>
          <w:sz w:val="20"/>
        </w:rPr>
      </w:pPr>
    </w:p>
    <w:tbl>
      <w:tblPr>
        <w:tblW w:w="0" w:type="auto"/>
        <w:jc w:val="left"/>
        <w:tblInd w:w="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47"/>
        <w:gridCol w:w="2551"/>
        <w:gridCol w:w="2554"/>
      </w:tblGrid>
      <w:tr>
        <w:trPr>
          <w:trHeight w:val="458" w:hRule="atLeast"/>
        </w:trPr>
        <w:tc>
          <w:tcPr>
            <w:tcW w:w="5247" w:type="dxa"/>
            <w:shd w:val="clear" w:color="auto" w:fill="0A2F40"/>
          </w:tcPr>
          <w:p>
            <w:pPr>
              <w:pStyle w:val="TableParagraph"/>
              <w:spacing w:before="112"/>
              <w:ind w:left="9"/>
              <w:jc w:val="center"/>
              <w:rPr>
                <w:b/>
                <w:sz w:val="20"/>
              </w:rPr>
            </w:pPr>
            <w:r>
              <w:rPr>
                <w:b/>
                <w:color w:val="FFFFFF"/>
                <w:spacing w:val="-2"/>
                <w:sz w:val="20"/>
              </w:rPr>
              <w:t>Indicador</w:t>
            </w:r>
          </w:p>
        </w:tc>
        <w:tc>
          <w:tcPr>
            <w:tcW w:w="2551" w:type="dxa"/>
            <w:shd w:val="clear" w:color="auto" w:fill="0A2F40"/>
          </w:tcPr>
          <w:p>
            <w:pPr>
              <w:pStyle w:val="TableParagraph"/>
              <w:spacing w:line="228" w:lineRule="exact"/>
              <w:ind w:left="826" w:right="466" w:hanging="351"/>
              <w:rPr>
                <w:b/>
                <w:sz w:val="20"/>
              </w:rPr>
            </w:pPr>
            <w:r>
              <w:rPr>
                <w:b/>
                <w:color w:val="FFFFFF"/>
                <w:sz w:val="20"/>
              </w:rPr>
              <w:t>Meta</w:t>
            </w:r>
            <w:r>
              <w:rPr>
                <w:b/>
                <w:color w:val="FFFFFF"/>
                <w:spacing w:val="-14"/>
                <w:sz w:val="20"/>
              </w:rPr>
              <w:t> </w:t>
            </w:r>
            <w:r>
              <w:rPr>
                <w:b/>
                <w:color w:val="FFFFFF"/>
                <w:sz w:val="20"/>
              </w:rPr>
              <w:t>del</w:t>
            </w:r>
            <w:r>
              <w:rPr>
                <w:b/>
                <w:color w:val="FFFFFF"/>
                <w:spacing w:val="-14"/>
                <w:sz w:val="20"/>
              </w:rPr>
              <w:t> </w:t>
            </w:r>
            <w:r>
              <w:rPr>
                <w:b/>
                <w:color w:val="FFFFFF"/>
                <w:sz w:val="20"/>
              </w:rPr>
              <w:t>Periodo </w:t>
            </w:r>
            <w:r>
              <w:rPr>
                <w:b/>
                <w:color w:val="FFFFFF"/>
                <w:spacing w:val="-2"/>
                <w:sz w:val="20"/>
              </w:rPr>
              <w:t>2027-2030</w:t>
            </w:r>
          </w:p>
        </w:tc>
        <w:tc>
          <w:tcPr>
            <w:tcW w:w="2554" w:type="dxa"/>
            <w:shd w:val="clear" w:color="auto" w:fill="0A2F40"/>
          </w:tcPr>
          <w:p>
            <w:pPr>
              <w:pStyle w:val="TableParagraph"/>
              <w:spacing w:before="112"/>
              <w:ind w:left="10" w:right="1"/>
              <w:jc w:val="center"/>
              <w:rPr>
                <w:b/>
                <w:sz w:val="20"/>
              </w:rPr>
            </w:pPr>
            <w:r>
              <w:rPr>
                <w:b/>
                <w:color w:val="FFFFFF"/>
                <w:sz w:val="20"/>
              </w:rPr>
              <w:t>Meta</w:t>
            </w:r>
            <w:r>
              <w:rPr>
                <w:b/>
                <w:color w:val="FFFFFF"/>
                <w:spacing w:val="-7"/>
                <w:sz w:val="20"/>
              </w:rPr>
              <w:t> </w:t>
            </w:r>
            <w:r>
              <w:rPr>
                <w:b/>
                <w:color w:val="FFFFFF"/>
                <w:sz w:val="20"/>
              </w:rPr>
              <w:t>año</w:t>
            </w:r>
            <w:r>
              <w:rPr>
                <w:b/>
                <w:color w:val="FFFFFF"/>
                <w:spacing w:val="-4"/>
                <w:sz w:val="20"/>
              </w:rPr>
              <w:t> 2027</w:t>
            </w:r>
          </w:p>
        </w:tc>
      </w:tr>
      <w:tr>
        <w:trPr>
          <w:trHeight w:val="1900" w:hRule="atLeast"/>
        </w:trPr>
        <w:tc>
          <w:tcPr>
            <w:tcW w:w="5247" w:type="dxa"/>
          </w:tcPr>
          <w:p>
            <w:pPr>
              <w:pStyle w:val="TableParagraph"/>
              <w:spacing w:before="146"/>
              <w:ind w:left="71" w:right="85"/>
              <w:rPr>
                <w:sz w:val="20"/>
              </w:rPr>
            </w:pPr>
            <w:r>
              <w:rPr>
                <w:sz w:val="20"/>
              </w:rPr>
              <w:t>Número</w:t>
            </w:r>
            <w:r>
              <w:rPr>
                <w:spacing w:val="-5"/>
                <w:sz w:val="20"/>
              </w:rPr>
              <w:t> </w:t>
            </w:r>
            <w:r>
              <w:rPr>
                <w:sz w:val="20"/>
              </w:rPr>
              <w:t>acumulado</w:t>
            </w:r>
            <w:r>
              <w:rPr>
                <w:spacing w:val="-5"/>
                <w:sz w:val="20"/>
              </w:rPr>
              <w:t> </w:t>
            </w:r>
            <w:r>
              <w:rPr>
                <w:sz w:val="20"/>
              </w:rPr>
              <w:t>de</w:t>
            </w:r>
            <w:r>
              <w:rPr>
                <w:spacing w:val="-6"/>
                <w:sz w:val="20"/>
              </w:rPr>
              <w:t> </w:t>
            </w:r>
            <w:r>
              <w:rPr>
                <w:sz w:val="20"/>
              </w:rPr>
              <w:t>personas</w:t>
            </w:r>
            <w:r>
              <w:rPr>
                <w:spacing w:val="-6"/>
                <w:sz w:val="20"/>
              </w:rPr>
              <w:t> </w:t>
            </w:r>
            <w:r>
              <w:rPr>
                <w:sz w:val="20"/>
              </w:rPr>
              <w:t>en</w:t>
            </w:r>
            <w:r>
              <w:rPr>
                <w:spacing w:val="-8"/>
                <w:sz w:val="20"/>
              </w:rPr>
              <w:t> </w:t>
            </w:r>
            <w:r>
              <w:rPr>
                <w:sz w:val="20"/>
              </w:rPr>
              <w:t>situación</w:t>
            </w:r>
            <w:r>
              <w:rPr>
                <w:spacing w:val="-6"/>
                <w:sz w:val="20"/>
              </w:rPr>
              <w:t> </w:t>
            </w:r>
            <w:r>
              <w:rPr>
                <w:sz w:val="20"/>
              </w:rPr>
              <w:t>de</w:t>
            </w:r>
            <w:r>
              <w:rPr>
                <w:spacing w:val="-6"/>
                <w:sz w:val="20"/>
              </w:rPr>
              <w:t> </w:t>
            </w:r>
            <w:r>
              <w:rPr>
                <w:sz w:val="20"/>
              </w:rPr>
              <w:t>pobreza con perfil de entrada para la empleabilidad, empresariedad y oficios que reciben el subsidio de capacitación para acceder a procesos que mejoren sus capacidades para el desarrollo de actividades productivas o en el proceso de búsqueda de empleo, a nivel nacional y regional.</w:t>
            </w:r>
          </w:p>
        </w:tc>
        <w:tc>
          <w:tcPr>
            <w:tcW w:w="2551" w:type="dxa"/>
          </w:tcPr>
          <w:p>
            <w:pPr>
              <w:pStyle w:val="TableParagraph"/>
              <w:rPr>
                <w:b/>
                <w:sz w:val="20"/>
              </w:rPr>
            </w:pPr>
          </w:p>
          <w:p>
            <w:pPr>
              <w:pStyle w:val="TableParagraph"/>
              <w:rPr>
                <w:b/>
                <w:sz w:val="20"/>
              </w:rPr>
            </w:pPr>
          </w:p>
          <w:p>
            <w:pPr>
              <w:pStyle w:val="TableParagraph"/>
              <w:spacing w:before="144"/>
              <w:rPr>
                <w:b/>
                <w:sz w:val="20"/>
              </w:rPr>
            </w:pPr>
          </w:p>
          <w:p>
            <w:pPr>
              <w:pStyle w:val="TableParagraph"/>
              <w:ind w:left="12" w:right="1"/>
              <w:jc w:val="center"/>
              <w:rPr>
                <w:sz w:val="20"/>
              </w:rPr>
            </w:pPr>
            <w:r>
              <w:rPr>
                <w:spacing w:val="-2"/>
                <w:sz w:val="20"/>
              </w:rPr>
              <w:t>11000</w:t>
            </w:r>
          </w:p>
        </w:tc>
        <w:tc>
          <w:tcPr>
            <w:tcW w:w="2554" w:type="dxa"/>
          </w:tcPr>
          <w:p>
            <w:pPr>
              <w:pStyle w:val="TableParagraph"/>
              <w:rPr>
                <w:b/>
                <w:sz w:val="20"/>
              </w:rPr>
            </w:pPr>
          </w:p>
          <w:p>
            <w:pPr>
              <w:pStyle w:val="TableParagraph"/>
              <w:rPr>
                <w:b/>
                <w:sz w:val="20"/>
              </w:rPr>
            </w:pPr>
          </w:p>
          <w:p>
            <w:pPr>
              <w:pStyle w:val="TableParagraph"/>
              <w:spacing w:before="144"/>
              <w:rPr>
                <w:b/>
                <w:sz w:val="20"/>
              </w:rPr>
            </w:pPr>
          </w:p>
          <w:p>
            <w:pPr>
              <w:pStyle w:val="TableParagraph"/>
              <w:ind w:left="10"/>
              <w:jc w:val="center"/>
              <w:rPr>
                <w:sz w:val="20"/>
              </w:rPr>
            </w:pPr>
            <w:r>
              <w:rPr>
                <w:spacing w:val="-2"/>
                <w:sz w:val="20"/>
              </w:rPr>
              <w:t>11000</w:t>
            </w:r>
          </w:p>
        </w:tc>
      </w:tr>
      <w:tr>
        <w:trPr>
          <w:trHeight w:val="1649" w:hRule="atLeast"/>
        </w:trPr>
        <w:tc>
          <w:tcPr>
            <w:tcW w:w="5247" w:type="dxa"/>
          </w:tcPr>
          <w:p>
            <w:pPr>
              <w:pStyle w:val="TableParagraph"/>
              <w:spacing w:before="19"/>
              <w:rPr>
                <w:b/>
                <w:sz w:val="20"/>
              </w:rPr>
            </w:pPr>
          </w:p>
          <w:p>
            <w:pPr>
              <w:pStyle w:val="TableParagraph"/>
              <w:ind w:left="71" w:right="85"/>
              <w:rPr>
                <w:sz w:val="20"/>
              </w:rPr>
            </w:pPr>
            <w:r>
              <w:rPr>
                <w:sz w:val="20"/>
              </w:rPr>
              <w:t>Número</w:t>
            </w:r>
            <w:r>
              <w:rPr>
                <w:spacing w:val="-5"/>
                <w:sz w:val="20"/>
              </w:rPr>
              <w:t> </w:t>
            </w:r>
            <w:r>
              <w:rPr>
                <w:sz w:val="20"/>
              </w:rPr>
              <w:t>acumulado</w:t>
            </w:r>
            <w:r>
              <w:rPr>
                <w:spacing w:val="-5"/>
                <w:sz w:val="20"/>
              </w:rPr>
              <w:t> </w:t>
            </w:r>
            <w:r>
              <w:rPr>
                <w:sz w:val="20"/>
              </w:rPr>
              <w:t>de</w:t>
            </w:r>
            <w:r>
              <w:rPr>
                <w:spacing w:val="-6"/>
                <w:sz w:val="20"/>
              </w:rPr>
              <w:t> </w:t>
            </w:r>
            <w:r>
              <w:rPr>
                <w:sz w:val="20"/>
              </w:rPr>
              <w:t>personas</w:t>
            </w:r>
            <w:r>
              <w:rPr>
                <w:spacing w:val="-6"/>
                <w:sz w:val="20"/>
              </w:rPr>
              <w:t> </w:t>
            </w:r>
            <w:r>
              <w:rPr>
                <w:sz w:val="20"/>
              </w:rPr>
              <w:t>en</w:t>
            </w:r>
            <w:r>
              <w:rPr>
                <w:spacing w:val="-8"/>
                <w:sz w:val="20"/>
              </w:rPr>
              <w:t> </w:t>
            </w:r>
            <w:r>
              <w:rPr>
                <w:sz w:val="20"/>
              </w:rPr>
              <w:t>situación</w:t>
            </w:r>
            <w:r>
              <w:rPr>
                <w:spacing w:val="-6"/>
                <w:sz w:val="20"/>
              </w:rPr>
              <w:t> </w:t>
            </w:r>
            <w:r>
              <w:rPr>
                <w:sz w:val="20"/>
              </w:rPr>
              <w:t>de</w:t>
            </w:r>
            <w:r>
              <w:rPr>
                <w:spacing w:val="-6"/>
                <w:sz w:val="20"/>
              </w:rPr>
              <w:t> </w:t>
            </w:r>
            <w:r>
              <w:rPr>
                <w:sz w:val="20"/>
              </w:rPr>
              <w:t>pobreza con perfil de entrada para la empresariedad que reciben el</w:t>
            </w:r>
            <w:r>
              <w:rPr>
                <w:spacing w:val="-1"/>
                <w:sz w:val="20"/>
              </w:rPr>
              <w:t> </w:t>
            </w:r>
            <w:r>
              <w:rPr>
                <w:sz w:val="20"/>
              </w:rPr>
              <w:t>subsidio de emprendimiento</w:t>
            </w:r>
            <w:r>
              <w:rPr>
                <w:spacing w:val="-1"/>
                <w:sz w:val="20"/>
              </w:rPr>
              <w:t> </w:t>
            </w:r>
            <w:r>
              <w:rPr>
                <w:sz w:val="20"/>
              </w:rPr>
              <w:t>productivo individual para la creación o fortalecimiento de su emprendimiento, a nivel nacional y regional.</w:t>
            </w:r>
          </w:p>
        </w:tc>
        <w:tc>
          <w:tcPr>
            <w:tcW w:w="2551" w:type="dxa"/>
          </w:tcPr>
          <w:p>
            <w:pPr>
              <w:pStyle w:val="TableParagraph"/>
              <w:rPr>
                <w:b/>
                <w:sz w:val="20"/>
              </w:rPr>
            </w:pPr>
          </w:p>
          <w:p>
            <w:pPr>
              <w:pStyle w:val="TableParagraph"/>
              <w:rPr>
                <w:b/>
                <w:sz w:val="20"/>
              </w:rPr>
            </w:pPr>
          </w:p>
          <w:p>
            <w:pPr>
              <w:pStyle w:val="TableParagraph"/>
              <w:spacing w:before="19"/>
              <w:rPr>
                <w:b/>
                <w:sz w:val="20"/>
              </w:rPr>
            </w:pPr>
          </w:p>
          <w:p>
            <w:pPr>
              <w:pStyle w:val="TableParagraph"/>
              <w:spacing w:before="1"/>
              <w:ind w:left="12" w:right="4"/>
              <w:jc w:val="center"/>
              <w:rPr>
                <w:sz w:val="20"/>
              </w:rPr>
            </w:pPr>
            <w:r>
              <w:rPr>
                <w:spacing w:val="-4"/>
                <w:sz w:val="20"/>
              </w:rPr>
              <w:t>5200</w:t>
            </w:r>
          </w:p>
        </w:tc>
        <w:tc>
          <w:tcPr>
            <w:tcW w:w="2554" w:type="dxa"/>
          </w:tcPr>
          <w:p>
            <w:pPr>
              <w:pStyle w:val="TableParagraph"/>
              <w:rPr>
                <w:b/>
                <w:sz w:val="20"/>
              </w:rPr>
            </w:pPr>
          </w:p>
          <w:p>
            <w:pPr>
              <w:pStyle w:val="TableParagraph"/>
              <w:rPr>
                <w:b/>
                <w:sz w:val="20"/>
              </w:rPr>
            </w:pPr>
          </w:p>
          <w:p>
            <w:pPr>
              <w:pStyle w:val="TableParagraph"/>
              <w:spacing w:before="19"/>
              <w:rPr>
                <w:b/>
                <w:sz w:val="20"/>
              </w:rPr>
            </w:pPr>
          </w:p>
          <w:p>
            <w:pPr>
              <w:pStyle w:val="TableParagraph"/>
              <w:spacing w:before="1"/>
              <w:ind w:left="10" w:right="3"/>
              <w:jc w:val="center"/>
              <w:rPr>
                <w:sz w:val="20"/>
              </w:rPr>
            </w:pPr>
            <w:r>
              <w:rPr>
                <w:spacing w:val="-4"/>
                <w:sz w:val="20"/>
              </w:rPr>
              <w:t>1300</w:t>
            </w:r>
          </w:p>
        </w:tc>
      </w:tr>
      <w:tr>
        <w:trPr>
          <w:trHeight w:val="1125" w:hRule="atLeast"/>
        </w:trPr>
        <w:tc>
          <w:tcPr>
            <w:tcW w:w="5247" w:type="dxa"/>
          </w:tcPr>
          <w:p>
            <w:pPr>
              <w:pStyle w:val="TableParagraph"/>
              <w:spacing w:before="218"/>
              <w:ind w:left="71" w:right="85"/>
              <w:rPr>
                <w:sz w:val="20"/>
              </w:rPr>
            </w:pPr>
            <w:r>
              <w:rPr>
                <w:sz w:val="20"/>
              </w:rPr>
              <w:t>Número</w:t>
            </w:r>
            <w:r>
              <w:rPr>
                <w:spacing w:val="-7"/>
                <w:sz w:val="20"/>
              </w:rPr>
              <w:t> </w:t>
            </w:r>
            <w:r>
              <w:rPr>
                <w:sz w:val="20"/>
              </w:rPr>
              <w:t>acumulado</w:t>
            </w:r>
            <w:r>
              <w:rPr>
                <w:spacing w:val="-7"/>
                <w:sz w:val="20"/>
              </w:rPr>
              <w:t> </w:t>
            </w:r>
            <w:r>
              <w:rPr>
                <w:sz w:val="20"/>
              </w:rPr>
              <w:t>de</w:t>
            </w:r>
            <w:r>
              <w:rPr>
                <w:spacing w:val="-8"/>
                <w:sz w:val="20"/>
              </w:rPr>
              <w:t> </w:t>
            </w:r>
            <w:r>
              <w:rPr>
                <w:sz w:val="20"/>
              </w:rPr>
              <w:t>personas</w:t>
            </w:r>
            <w:r>
              <w:rPr>
                <w:spacing w:val="-8"/>
                <w:sz w:val="20"/>
              </w:rPr>
              <w:t> </w:t>
            </w:r>
            <w:r>
              <w:rPr>
                <w:sz w:val="20"/>
              </w:rPr>
              <w:t>estudiantes</w:t>
            </w:r>
            <w:r>
              <w:rPr>
                <w:spacing w:val="-8"/>
                <w:sz w:val="20"/>
              </w:rPr>
              <w:t> </w:t>
            </w:r>
            <w:r>
              <w:rPr>
                <w:sz w:val="20"/>
              </w:rPr>
              <w:t>que</w:t>
            </w:r>
            <w:r>
              <w:rPr>
                <w:spacing w:val="-9"/>
                <w:sz w:val="20"/>
              </w:rPr>
              <w:t> </w:t>
            </w:r>
            <w:r>
              <w:rPr>
                <w:sz w:val="20"/>
              </w:rPr>
              <w:t>reciben Avancemos según el registro de SINIRUBE, a nivel nacional y regional. Nacional.</w:t>
            </w:r>
          </w:p>
        </w:tc>
        <w:tc>
          <w:tcPr>
            <w:tcW w:w="2551" w:type="dxa"/>
          </w:tcPr>
          <w:p>
            <w:pPr>
              <w:pStyle w:val="TableParagraph"/>
              <w:spacing w:before="218"/>
              <w:rPr>
                <w:b/>
                <w:sz w:val="20"/>
              </w:rPr>
            </w:pPr>
          </w:p>
          <w:p>
            <w:pPr>
              <w:pStyle w:val="TableParagraph"/>
              <w:ind w:left="12" w:right="1"/>
              <w:jc w:val="center"/>
              <w:rPr>
                <w:sz w:val="20"/>
              </w:rPr>
            </w:pPr>
            <w:r>
              <w:rPr>
                <w:spacing w:val="-2"/>
                <w:sz w:val="20"/>
              </w:rPr>
              <w:t>370000</w:t>
            </w:r>
          </w:p>
        </w:tc>
        <w:tc>
          <w:tcPr>
            <w:tcW w:w="2554" w:type="dxa"/>
          </w:tcPr>
          <w:p>
            <w:pPr>
              <w:pStyle w:val="TableParagraph"/>
              <w:spacing w:before="218"/>
              <w:rPr>
                <w:b/>
                <w:sz w:val="20"/>
              </w:rPr>
            </w:pPr>
          </w:p>
          <w:p>
            <w:pPr>
              <w:pStyle w:val="TableParagraph"/>
              <w:ind w:left="10"/>
              <w:jc w:val="center"/>
              <w:rPr>
                <w:sz w:val="20"/>
              </w:rPr>
            </w:pPr>
            <w:r>
              <w:rPr>
                <w:spacing w:val="-2"/>
                <w:sz w:val="20"/>
              </w:rPr>
              <w:t>332500</w:t>
            </w:r>
          </w:p>
        </w:tc>
      </w:tr>
      <w:tr>
        <w:trPr>
          <w:trHeight w:val="1245" w:hRule="atLeast"/>
        </w:trPr>
        <w:tc>
          <w:tcPr>
            <w:tcW w:w="5247" w:type="dxa"/>
          </w:tcPr>
          <w:p>
            <w:pPr>
              <w:pStyle w:val="TableParagraph"/>
              <w:spacing w:before="162"/>
              <w:ind w:left="71" w:right="127"/>
              <w:rPr>
                <w:sz w:val="20"/>
              </w:rPr>
            </w:pPr>
            <w:r>
              <w:rPr>
                <w:sz w:val="20"/>
              </w:rPr>
              <w:t>Porcentaje de hogares que reciben la Transferencia Monetaria Condicionada para Cuidado y Desarrollo Infantil</w:t>
            </w:r>
            <w:r>
              <w:rPr>
                <w:spacing w:val="-8"/>
                <w:sz w:val="20"/>
              </w:rPr>
              <w:t> </w:t>
            </w:r>
            <w:r>
              <w:rPr>
                <w:sz w:val="20"/>
              </w:rPr>
              <w:t>que</w:t>
            </w:r>
            <w:r>
              <w:rPr>
                <w:spacing w:val="-7"/>
                <w:sz w:val="20"/>
              </w:rPr>
              <w:t> </w:t>
            </w:r>
            <w:r>
              <w:rPr>
                <w:sz w:val="20"/>
              </w:rPr>
              <w:t>participan</w:t>
            </w:r>
            <w:r>
              <w:rPr>
                <w:spacing w:val="-5"/>
                <w:sz w:val="20"/>
              </w:rPr>
              <w:t> </w:t>
            </w:r>
            <w:r>
              <w:rPr>
                <w:sz w:val="20"/>
              </w:rPr>
              <w:t>en</w:t>
            </w:r>
            <w:r>
              <w:rPr>
                <w:spacing w:val="-6"/>
                <w:sz w:val="20"/>
              </w:rPr>
              <w:t> </w:t>
            </w:r>
            <w:r>
              <w:rPr>
                <w:sz w:val="20"/>
              </w:rPr>
              <w:t>procesos</w:t>
            </w:r>
            <w:r>
              <w:rPr>
                <w:spacing w:val="-6"/>
                <w:sz w:val="20"/>
              </w:rPr>
              <w:t> </w:t>
            </w:r>
            <w:r>
              <w:rPr>
                <w:sz w:val="20"/>
              </w:rPr>
              <w:t>de</w:t>
            </w:r>
            <w:r>
              <w:rPr>
                <w:spacing w:val="-8"/>
                <w:sz w:val="20"/>
              </w:rPr>
              <w:t> </w:t>
            </w:r>
            <w:r>
              <w:rPr>
                <w:sz w:val="20"/>
              </w:rPr>
              <w:t>capacitación</w:t>
            </w:r>
            <w:r>
              <w:rPr>
                <w:spacing w:val="-5"/>
                <w:sz w:val="20"/>
              </w:rPr>
              <w:t> </w:t>
            </w:r>
            <w:r>
              <w:rPr>
                <w:sz w:val="20"/>
              </w:rPr>
              <w:t>para el empleo o autoempleo.</w:t>
            </w:r>
          </w:p>
        </w:tc>
        <w:tc>
          <w:tcPr>
            <w:tcW w:w="2551" w:type="dxa"/>
          </w:tcPr>
          <w:p>
            <w:pPr>
              <w:pStyle w:val="TableParagraph"/>
              <w:rPr>
                <w:b/>
                <w:sz w:val="20"/>
              </w:rPr>
            </w:pPr>
          </w:p>
          <w:p>
            <w:pPr>
              <w:pStyle w:val="TableParagraph"/>
              <w:spacing w:before="48"/>
              <w:rPr>
                <w:b/>
                <w:sz w:val="20"/>
              </w:rPr>
            </w:pPr>
          </w:p>
          <w:p>
            <w:pPr>
              <w:pStyle w:val="TableParagraph"/>
              <w:ind w:left="12" w:right="4"/>
              <w:jc w:val="center"/>
              <w:rPr>
                <w:sz w:val="20"/>
              </w:rPr>
            </w:pPr>
            <w:r>
              <w:rPr>
                <w:spacing w:val="-5"/>
                <w:sz w:val="20"/>
              </w:rPr>
              <w:t>20%</w:t>
            </w:r>
          </w:p>
        </w:tc>
        <w:tc>
          <w:tcPr>
            <w:tcW w:w="2554" w:type="dxa"/>
          </w:tcPr>
          <w:p>
            <w:pPr>
              <w:pStyle w:val="TableParagraph"/>
              <w:rPr>
                <w:b/>
                <w:sz w:val="20"/>
              </w:rPr>
            </w:pPr>
          </w:p>
          <w:p>
            <w:pPr>
              <w:pStyle w:val="TableParagraph"/>
              <w:spacing w:before="48"/>
              <w:rPr>
                <w:b/>
                <w:sz w:val="20"/>
              </w:rPr>
            </w:pPr>
          </w:p>
          <w:p>
            <w:pPr>
              <w:pStyle w:val="TableParagraph"/>
              <w:ind w:left="10" w:right="4"/>
              <w:jc w:val="center"/>
              <w:rPr>
                <w:sz w:val="20"/>
              </w:rPr>
            </w:pPr>
            <w:r>
              <w:rPr>
                <w:spacing w:val="-5"/>
                <w:sz w:val="20"/>
              </w:rPr>
              <w:t>13%</w:t>
            </w:r>
          </w:p>
        </w:tc>
      </w:tr>
    </w:tbl>
    <w:p>
      <w:pPr>
        <w:spacing w:before="0"/>
        <w:ind w:left="1625" w:right="0" w:firstLine="0"/>
        <w:jc w:val="left"/>
        <w:rPr>
          <w:sz w:val="18"/>
        </w:rPr>
      </w:pPr>
      <w:r>
        <w:rPr>
          <w:sz w:val="18"/>
        </w:rPr>
        <w:t>Fuente:</w:t>
      </w:r>
      <w:r>
        <w:rPr>
          <w:spacing w:val="-3"/>
          <w:sz w:val="18"/>
        </w:rPr>
        <w:t> </w:t>
      </w:r>
      <w:r>
        <w:rPr>
          <w:sz w:val="18"/>
        </w:rPr>
        <w:t>Planificación</w:t>
      </w:r>
      <w:r>
        <w:rPr>
          <w:spacing w:val="-3"/>
          <w:sz w:val="18"/>
        </w:rPr>
        <w:t> </w:t>
      </w:r>
      <w:r>
        <w:rPr>
          <w:sz w:val="18"/>
        </w:rPr>
        <w:t>Institucional,</w:t>
      </w:r>
      <w:r>
        <w:rPr>
          <w:spacing w:val="-5"/>
          <w:sz w:val="18"/>
        </w:rPr>
        <w:t> </w:t>
      </w:r>
      <w:r>
        <w:rPr>
          <w:sz w:val="18"/>
        </w:rPr>
        <w:t>con</w:t>
      </w:r>
      <w:r>
        <w:rPr>
          <w:spacing w:val="-5"/>
          <w:sz w:val="18"/>
        </w:rPr>
        <w:t> </w:t>
      </w:r>
      <w:r>
        <w:rPr>
          <w:sz w:val="18"/>
        </w:rPr>
        <w:t>datos</w:t>
      </w:r>
      <w:r>
        <w:rPr>
          <w:spacing w:val="-2"/>
          <w:sz w:val="18"/>
        </w:rPr>
        <w:t> </w:t>
      </w:r>
      <w:r>
        <w:rPr>
          <w:sz w:val="18"/>
        </w:rPr>
        <w:t>del</w:t>
      </w:r>
      <w:r>
        <w:rPr>
          <w:spacing w:val="-3"/>
          <w:sz w:val="18"/>
        </w:rPr>
        <w:t> </w:t>
      </w:r>
      <w:r>
        <w:rPr>
          <w:sz w:val="18"/>
        </w:rPr>
        <w:t>PNDIP</w:t>
      </w:r>
      <w:r>
        <w:rPr>
          <w:spacing w:val="-3"/>
          <w:sz w:val="18"/>
        </w:rPr>
        <w:t> </w:t>
      </w:r>
      <w:r>
        <w:rPr>
          <w:sz w:val="18"/>
        </w:rPr>
        <w:t>2027-</w:t>
      </w:r>
      <w:r>
        <w:rPr>
          <w:spacing w:val="-2"/>
          <w:sz w:val="18"/>
        </w:rPr>
        <w:t>2030.</w:t>
      </w:r>
    </w:p>
    <w:p>
      <w:pPr>
        <w:spacing w:after="0"/>
        <w:jc w:val="left"/>
        <w:rPr>
          <w:sz w:val="18"/>
        </w:rPr>
        <w:sectPr>
          <w:pgSz w:w="12240" w:h="15840"/>
          <w:pgMar w:header="0" w:footer="1576" w:top="1000" w:bottom="1760" w:left="360" w:right="0"/>
        </w:sectPr>
      </w:pPr>
    </w:p>
    <w:p>
      <w:pPr>
        <w:pStyle w:val="Heading3"/>
        <w:numPr>
          <w:ilvl w:val="0"/>
          <w:numId w:val="5"/>
        </w:numPr>
        <w:tabs>
          <w:tab w:pos="1325" w:val="left" w:leader="none"/>
        </w:tabs>
        <w:spacing w:line="240" w:lineRule="auto" w:before="181" w:after="0"/>
        <w:ind w:left="1325" w:right="0" w:hanging="267"/>
        <w:jc w:val="left"/>
      </w:pPr>
      <w:bookmarkStart w:name="_bookmark70" w:id="71"/>
      <w:bookmarkEnd w:id="71"/>
      <w:r>
        <w:rPr>
          <w:b w:val="0"/>
        </w:rPr>
      </w:r>
      <w:r>
        <w:rPr/>
        <w:t>Vinculación</w:t>
      </w:r>
      <w:r>
        <w:rPr>
          <w:spacing w:val="-5"/>
        </w:rPr>
        <w:t> </w:t>
      </w:r>
      <w:r>
        <w:rPr/>
        <w:t>Plan</w:t>
      </w:r>
      <w:r>
        <w:rPr>
          <w:spacing w:val="-3"/>
        </w:rPr>
        <w:t> </w:t>
      </w:r>
      <w:r>
        <w:rPr>
          <w:spacing w:val="-2"/>
        </w:rPr>
        <w:t>Presupuesto</w:t>
      </w:r>
    </w:p>
    <w:p>
      <w:pPr>
        <w:pStyle w:val="Heading3"/>
        <w:numPr>
          <w:ilvl w:val="1"/>
          <w:numId w:val="5"/>
        </w:numPr>
        <w:tabs>
          <w:tab w:pos="2320" w:val="left" w:leader="none"/>
        </w:tabs>
        <w:spacing w:line="240" w:lineRule="auto" w:before="276" w:after="0"/>
        <w:ind w:left="2320" w:right="0" w:hanging="400"/>
        <w:jc w:val="left"/>
      </w:pPr>
      <w:bookmarkStart w:name="_bookmark71" w:id="72"/>
      <w:bookmarkEnd w:id="72"/>
      <w:r>
        <w:rPr>
          <w:b w:val="0"/>
        </w:rPr>
      </w:r>
      <w:r>
        <w:rPr/>
        <w:t>Matriz</w:t>
      </w:r>
      <w:r>
        <w:rPr>
          <w:spacing w:val="-6"/>
        </w:rPr>
        <w:t> </w:t>
      </w:r>
      <w:r>
        <w:rPr/>
        <w:t>de</w:t>
      </w:r>
      <w:r>
        <w:rPr>
          <w:spacing w:val="-4"/>
        </w:rPr>
        <w:t> </w:t>
      </w:r>
      <w:r>
        <w:rPr/>
        <w:t>Gestión</w:t>
      </w:r>
      <w:r>
        <w:rPr>
          <w:spacing w:val="-7"/>
        </w:rPr>
        <w:t> </w:t>
      </w:r>
      <w:r>
        <w:rPr/>
        <w:t>para</w:t>
      </w:r>
      <w:r>
        <w:rPr>
          <w:spacing w:val="-4"/>
        </w:rPr>
        <w:t> </w:t>
      </w:r>
      <w:r>
        <w:rPr/>
        <w:t>Resultados</w:t>
      </w:r>
      <w:r>
        <w:rPr>
          <w:spacing w:val="-4"/>
        </w:rPr>
        <w:t> </w:t>
      </w:r>
      <w:r>
        <w:rPr/>
        <w:t>de</w:t>
      </w:r>
      <w:r>
        <w:rPr>
          <w:spacing w:val="-6"/>
        </w:rPr>
        <w:t> </w:t>
      </w:r>
      <w:r>
        <w:rPr/>
        <w:t>Desarrollo</w:t>
      </w:r>
      <w:r>
        <w:rPr>
          <w:spacing w:val="-6"/>
        </w:rPr>
        <w:t> </w:t>
      </w:r>
      <w:r>
        <w:rPr/>
        <w:t>(GpRD)</w:t>
      </w:r>
      <w:r>
        <w:rPr>
          <w:spacing w:val="-4"/>
        </w:rPr>
        <w:t> </w:t>
      </w:r>
      <w:r>
        <w:rPr/>
        <w:t>del</w:t>
      </w:r>
      <w:r>
        <w:rPr>
          <w:spacing w:val="-4"/>
        </w:rPr>
        <w:t> </w:t>
      </w:r>
      <w:r>
        <w:rPr/>
        <w:t>Programa</w:t>
      </w:r>
      <w:r>
        <w:rPr>
          <w:spacing w:val="-3"/>
        </w:rPr>
        <w:t> </w:t>
      </w:r>
      <w:r>
        <w:rPr/>
        <w:t>protección</w:t>
      </w:r>
      <w:r>
        <w:rPr>
          <w:spacing w:val="-4"/>
        </w:rPr>
        <w:t> </w:t>
      </w:r>
      <w:r>
        <w:rPr/>
        <w:t>y</w:t>
      </w:r>
      <w:r>
        <w:rPr>
          <w:spacing w:val="-4"/>
        </w:rPr>
        <w:t> </w:t>
      </w:r>
      <w:r>
        <w:rPr/>
        <w:t>Promoción</w:t>
      </w:r>
      <w:r>
        <w:rPr>
          <w:spacing w:val="-3"/>
        </w:rPr>
        <w:t> </w:t>
      </w:r>
      <w:r>
        <w:rPr>
          <w:spacing w:val="-2"/>
        </w:rPr>
        <w:t>Social</w:t>
      </w:r>
    </w:p>
    <w:p>
      <w:pPr>
        <w:pStyle w:val="BodyText"/>
        <w:spacing w:before="45"/>
        <w:rPr>
          <w:b/>
          <w:sz w:val="20"/>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1133"/>
        <w:gridCol w:w="1422"/>
        <w:gridCol w:w="1558"/>
        <w:gridCol w:w="1419"/>
        <w:gridCol w:w="1416"/>
        <w:gridCol w:w="1841"/>
        <w:gridCol w:w="2417"/>
      </w:tblGrid>
      <w:tr>
        <w:trPr>
          <w:trHeight w:val="962" w:hRule="atLeast"/>
        </w:trPr>
        <w:tc>
          <w:tcPr>
            <w:tcW w:w="2835" w:type="dxa"/>
            <w:shd w:val="clear" w:color="auto" w:fill="F1F1F1"/>
          </w:tcPr>
          <w:p>
            <w:pPr>
              <w:pStyle w:val="TableParagraph"/>
              <w:spacing w:before="134"/>
              <w:rPr>
                <w:b/>
                <w:sz w:val="20"/>
              </w:rPr>
            </w:pPr>
          </w:p>
          <w:p>
            <w:pPr>
              <w:pStyle w:val="TableParagraph"/>
              <w:ind w:left="338"/>
              <w:rPr>
                <w:b/>
                <w:sz w:val="20"/>
              </w:rPr>
            </w:pPr>
            <w:r>
              <w:rPr>
                <w:b/>
                <w:sz w:val="20"/>
              </w:rPr>
              <w:t>Objetivos</w:t>
            </w:r>
            <w:r>
              <w:rPr>
                <w:b/>
                <w:spacing w:val="-9"/>
                <w:sz w:val="20"/>
              </w:rPr>
              <w:t> </w:t>
            </w:r>
            <w:r>
              <w:rPr>
                <w:b/>
                <w:sz w:val="20"/>
              </w:rPr>
              <w:t>/</w:t>
            </w:r>
            <w:r>
              <w:rPr>
                <w:b/>
                <w:spacing w:val="-9"/>
                <w:sz w:val="20"/>
              </w:rPr>
              <w:t> </w:t>
            </w:r>
            <w:r>
              <w:rPr>
                <w:b/>
                <w:spacing w:val="-2"/>
                <w:sz w:val="20"/>
              </w:rPr>
              <w:t>Resultados</w:t>
            </w:r>
          </w:p>
        </w:tc>
        <w:tc>
          <w:tcPr>
            <w:tcW w:w="1133" w:type="dxa"/>
            <w:shd w:val="clear" w:color="auto" w:fill="F1F1F1"/>
          </w:tcPr>
          <w:p>
            <w:pPr>
              <w:pStyle w:val="TableParagraph"/>
              <w:ind w:left="275" w:right="270" w:firstLine="28"/>
              <w:jc w:val="both"/>
              <w:rPr>
                <w:b/>
                <w:sz w:val="20"/>
              </w:rPr>
            </w:pPr>
            <w:r>
              <w:rPr>
                <w:b/>
                <w:spacing w:val="-4"/>
                <w:sz w:val="20"/>
              </w:rPr>
              <w:t>Línea Base </w:t>
            </w:r>
            <w:r>
              <w:rPr>
                <w:b/>
                <w:spacing w:val="-2"/>
                <w:sz w:val="20"/>
              </w:rPr>
              <w:t>(2025)</w:t>
            </w:r>
          </w:p>
        </w:tc>
        <w:tc>
          <w:tcPr>
            <w:tcW w:w="1422" w:type="dxa"/>
            <w:shd w:val="clear" w:color="auto" w:fill="F1F1F1"/>
          </w:tcPr>
          <w:p>
            <w:pPr>
              <w:pStyle w:val="TableParagraph"/>
              <w:spacing w:before="134"/>
              <w:ind w:left="131" w:right="124" w:firstLine="1"/>
              <w:jc w:val="center"/>
              <w:rPr>
                <w:b/>
                <w:sz w:val="20"/>
              </w:rPr>
            </w:pPr>
            <w:r>
              <w:rPr>
                <w:b/>
                <w:spacing w:val="-4"/>
                <w:sz w:val="20"/>
              </w:rPr>
              <w:t>Meta </w:t>
            </w:r>
            <w:r>
              <w:rPr>
                <w:b/>
                <w:spacing w:val="-2"/>
                <w:sz w:val="20"/>
              </w:rPr>
              <w:t>programada </w:t>
            </w:r>
            <w:r>
              <w:rPr>
                <w:b/>
                <w:spacing w:val="-4"/>
                <w:sz w:val="20"/>
              </w:rPr>
              <w:t>2027</w:t>
            </w:r>
          </w:p>
        </w:tc>
        <w:tc>
          <w:tcPr>
            <w:tcW w:w="1558" w:type="dxa"/>
            <w:shd w:val="clear" w:color="auto" w:fill="F1F1F1"/>
          </w:tcPr>
          <w:p>
            <w:pPr>
              <w:pStyle w:val="TableParagraph"/>
              <w:spacing w:before="134"/>
              <w:rPr>
                <w:b/>
                <w:sz w:val="20"/>
              </w:rPr>
            </w:pPr>
          </w:p>
          <w:p>
            <w:pPr>
              <w:pStyle w:val="TableParagraph"/>
              <w:ind w:left="327"/>
              <w:rPr>
                <w:b/>
                <w:sz w:val="20"/>
              </w:rPr>
            </w:pPr>
            <w:r>
              <w:rPr>
                <w:b/>
                <w:spacing w:val="-2"/>
                <w:sz w:val="20"/>
              </w:rPr>
              <w:t>Indicador</w:t>
            </w:r>
          </w:p>
        </w:tc>
        <w:tc>
          <w:tcPr>
            <w:tcW w:w="1419" w:type="dxa"/>
            <w:shd w:val="clear" w:color="auto" w:fill="F1F1F1"/>
          </w:tcPr>
          <w:p>
            <w:pPr>
              <w:pStyle w:val="TableParagraph"/>
              <w:spacing w:before="19"/>
              <w:rPr>
                <w:b/>
                <w:sz w:val="20"/>
              </w:rPr>
            </w:pPr>
          </w:p>
          <w:p>
            <w:pPr>
              <w:pStyle w:val="TableParagraph"/>
              <w:ind w:left="149" w:right="102" w:firstLine="67"/>
              <w:rPr>
                <w:b/>
                <w:sz w:val="20"/>
              </w:rPr>
            </w:pPr>
            <w:r>
              <w:rPr>
                <w:b/>
                <w:sz w:val="20"/>
              </w:rPr>
              <w:t>Medios de </w:t>
            </w:r>
            <w:r>
              <w:rPr>
                <w:b/>
                <w:spacing w:val="-2"/>
                <w:sz w:val="20"/>
              </w:rPr>
              <w:t>verificación</w:t>
            </w:r>
          </w:p>
        </w:tc>
        <w:tc>
          <w:tcPr>
            <w:tcW w:w="1416" w:type="dxa"/>
            <w:shd w:val="clear" w:color="auto" w:fill="F1F1F1"/>
          </w:tcPr>
          <w:p>
            <w:pPr>
              <w:pStyle w:val="TableParagraph"/>
              <w:spacing w:before="134"/>
              <w:rPr>
                <w:b/>
                <w:sz w:val="20"/>
              </w:rPr>
            </w:pPr>
          </w:p>
          <w:p>
            <w:pPr>
              <w:pStyle w:val="TableParagraph"/>
              <w:ind w:left="43" w:right="42"/>
              <w:jc w:val="center"/>
              <w:rPr>
                <w:b/>
                <w:sz w:val="20"/>
              </w:rPr>
            </w:pPr>
            <w:r>
              <w:rPr>
                <w:b/>
                <w:spacing w:val="-2"/>
                <w:sz w:val="20"/>
              </w:rPr>
              <w:t>Responsable</w:t>
            </w:r>
          </w:p>
        </w:tc>
        <w:tc>
          <w:tcPr>
            <w:tcW w:w="1841" w:type="dxa"/>
            <w:shd w:val="clear" w:color="auto" w:fill="F1F1F1"/>
          </w:tcPr>
          <w:p>
            <w:pPr>
              <w:pStyle w:val="TableParagraph"/>
              <w:spacing w:before="19"/>
              <w:rPr>
                <w:b/>
                <w:sz w:val="20"/>
              </w:rPr>
            </w:pPr>
          </w:p>
          <w:p>
            <w:pPr>
              <w:pStyle w:val="TableParagraph"/>
              <w:ind w:left="480" w:hanging="140"/>
              <w:rPr>
                <w:b/>
                <w:sz w:val="20"/>
              </w:rPr>
            </w:pPr>
            <w:r>
              <w:rPr>
                <w:b/>
                <w:spacing w:val="-2"/>
                <w:sz w:val="20"/>
              </w:rPr>
              <w:t>Presupuesto asignado</w:t>
            </w:r>
          </w:p>
        </w:tc>
        <w:tc>
          <w:tcPr>
            <w:tcW w:w="2417" w:type="dxa"/>
            <w:shd w:val="clear" w:color="auto" w:fill="F1F1F1"/>
          </w:tcPr>
          <w:p>
            <w:pPr>
              <w:pStyle w:val="TableParagraph"/>
              <w:spacing w:before="19"/>
              <w:rPr>
                <w:b/>
                <w:sz w:val="20"/>
              </w:rPr>
            </w:pPr>
          </w:p>
          <w:p>
            <w:pPr>
              <w:pStyle w:val="TableParagraph"/>
              <w:ind w:left="557" w:hanging="368"/>
              <w:rPr>
                <w:b/>
                <w:sz w:val="20"/>
              </w:rPr>
            </w:pPr>
            <w:r>
              <w:rPr>
                <w:b/>
                <w:sz w:val="20"/>
              </w:rPr>
              <w:t>Riesgos</w:t>
            </w:r>
            <w:r>
              <w:rPr>
                <w:b/>
                <w:spacing w:val="-14"/>
                <w:sz w:val="20"/>
              </w:rPr>
              <w:t> </w:t>
            </w:r>
            <w:r>
              <w:rPr>
                <w:b/>
                <w:sz w:val="20"/>
              </w:rPr>
              <w:t>asociados</w:t>
            </w:r>
            <w:r>
              <w:rPr>
                <w:b/>
                <w:spacing w:val="-14"/>
                <w:sz w:val="20"/>
              </w:rPr>
              <w:t> </w:t>
            </w:r>
            <w:r>
              <w:rPr>
                <w:b/>
                <w:sz w:val="20"/>
              </w:rPr>
              <w:t>al </w:t>
            </w:r>
            <w:r>
              <w:rPr>
                <w:b/>
                <w:spacing w:val="-2"/>
                <w:sz w:val="20"/>
              </w:rPr>
              <w:t>cumplimiento</w:t>
            </w:r>
          </w:p>
        </w:tc>
      </w:tr>
      <w:tr>
        <w:trPr>
          <w:trHeight w:val="780" w:hRule="atLeast"/>
        </w:trPr>
        <w:tc>
          <w:tcPr>
            <w:tcW w:w="14041" w:type="dxa"/>
            <w:gridSpan w:val="8"/>
            <w:shd w:val="clear" w:color="auto" w:fill="F1F1F1"/>
          </w:tcPr>
          <w:p>
            <w:pPr>
              <w:pStyle w:val="TableParagraph"/>
              <w:spacing w:before="158"/>
              <w:ind w:left="69" w:right="47"/>
              <w:rPr>
                <w:b/>
                <w:sz w:val="20"/>
              </w:rPr>
            </w:pPr>
            <w:r>
              <w:rPr>
                <w:b/>
                <w:sz w:val="20"/>
              </w:rPr>
              <w:t>Efecto: Acciones de protección y promoción social implementadas, dirigidas a personas, hogares y organizaciones, mediante procesos de atención</w:t>
            </w:r>
            <w:r>
              <w:rPr>
                <w:b/>
                <w:spacing w:val="-2"/>
                <w:sz w:val="20"/>
              </w:rPr>
              <w:t> </w:t>
            </w:r>
            <w:r>
              <w:rPr>
                <w:b/>
                <w:sz w:val="20"/>
              </w:rPr>
              <w:t>integral,</w:t>
            </w:r>
            <w:r>
              <w:rPr>
                <w:b/>
                <w:spacing w:val="-3"/>
                <w:sz w:val="20"/>
              </w:rPr>
              <w:t> </w:t>
            </w:r>
            <w:r>
              <w:rPr>
                <w:b/>
                <w:sz w:val="20"/>
              </w:rPr>
              <w:t>gestión</w:t>
            </w:r>
            <w:r>
              <w:rPr>
                <w:b/>
                <w:spacing w:val="-2"/>
                <w:sz w:val="20"/>
              </w:rPr>
              <w:t> </w:t>
            </w:r>
            <w:r>
              <w:rPr>
                <w:b/>
                <w:sz w:val="20"/>
              </w:rPr>
              <w:t>de</w:t>
            </w:r>
            <w:r>
              <w:rPr>
                <w:b/>
                <w:spacing w:val="-3"/>
                <w:sz w:val="20"/>
              </w:rPr>
              <w:t> </w:t>
            </w:r>
            <w:r>
              <w:rPr>
                <w:b/>
                <w:sz w:val="20"/>
              </w:rPr>
              <w:t>procesos</w:t>
            </w:r>
            <w:r>
              <w:rPr>
                <w:b/>
                <w:spacing w:val="-1"/>
                <w:sz w:val="20"/>
              </w:rPr>
              <w:t> </w:t>
            </w:r>
            <w:r>
              <w:rPr>
                <w:b/>
                <w:sz w:val="20"/>
              </w:rPr>
              <w:t>y</w:t>
            </w:r>
            <w:r>
              <w:rPr>
                <w:b/>
                <w:spacing w:val="-3"/>
                <w:sz w:val="20"/>
              </w:rPr>
              <w:t> </w:t>
            </w:r>
            <w:r>
              <w:rPr>
                <w:b/>
                <w:sz w:val="20"/>
              </w:rPr>
              <w:t>proyectos,</w:t>
            </w:r>
            <w:r>
              <w:rPr>
                <w:b/>
                <w:spacing w:val="-3"/>
                <w:sz w:val="20"/>
              </w:rPr>
              <w:t> </w:t>
            </w:r>
            <w:r>
              <w:rPr>
                <w:b/>
                <w:sz w:val="20"/>
              </w:rPr>
              <w:t>y</w:t>
            </w:r>
            <w:r>
              <w:rPr>
                <w:b/>
                <w:spacing w:val="-4"/>
                <w:sz w:val="20"/>
              </w:rPr>
              <w:t> </w:t>
            </w:r>
            <w:r>
              <w:rPr>
                <w:b/>
                <w:sz w:val="20"/>
              </w:rPr>
              <w:t>otorgamiento</w:t>
            </w:r>
            <w:r>
              <w:rPr>
                <w:b/>
                <w:spacing w:val="-2"/>
                <w:sz w:val="20"/>
              </w:rPr>
              <w:t> </w:t>
            </w:r>
            <w:r>
              <w:rPr>
                <w:b/>
                <w:sz w:val="20"/>
              </w:rPr>
              <w:t>de</w:t>
            </w:r>
            <w:r>
              <w:rPr>
                <w:b/>
                <w:spacing w:val="-3"/>
                <w:sz w:val="20"/>
              </w:rPr>
              <w:t> </w:t>
            </w:r>
            <w:r>
              <w:rPr>
                <w:b/>
                <w:sz w:val="20"/>
              </w:rPr>
              <w:t>recursos</w:t>
            </w:r>
            <w:r>
              <w:rPr>
                <w:b/>
                <w:spacing w:val="-3"/>
                <w:sz w:val="20"/>
              </w:rPr>
              <w:t> </w:t>
            </w:r>
            <w:r>
              <w:rPr>
                <w:b/>
                <w:sz w:val="20"/>
              </w:rPr>
              <w:t>que</w:t>
            </w:r>
            <w:r>
              <w:rPr>
                <w:b/>
                <w:spacing w:val="-3"/>
                <w:sz w:val="20"/>
              </w:rPr>
              <w:t> </w:t>
            </w:r>
            <w:r>
              <w:rPr>
                <w:b/>
                <w:sz w:val="20"/>
              </w:rPr>
              <w:t>contribuyan a</w:t>
            </w:r>
            <w:r>
              <w:rPr>
                <w:b/>
                <w:spacing w:val="-3"/>
                <w:sz w:val="20"/>
              </w:rPr>
              <w:t> </w:t>
            </w:r>
            <w:r>
              <w:rPr>
                <w:b/>
                <w:sz w:val="20"/>
              </w:rPr>
              <w:t>la</w:t>
            </w:r>
            <w:r>
              <w:rPr>
                <w:b/>
                <w:spacing w:val="-1"/>
                <w:sz w:val="20"/>
              </w:rPr>
              <w:t> </w:t>
            </w:r>
            <w:r>
              <w:rPr>
                <w:b/>
                <w:sz w:val="20"/>
              </w:rPr>
              <w:t>disminución</w:t>
            </w:r>
            <w:r>
              <w:rPr>
                <w:b/>
                <w:spacing w:val="-2"/>
                <w:sz w:val="20"/>
              </w:rPr>
              <w:t> </w:t>
            </w:r>
            <w:r>
              <w:rPr>
                <w:b/>
                <w:sz w:val="20"/>
              </w:rPr>
              <w:t>de</w:t>
            </w:r>
            <w:r>
              <w:rPr>
                <w:b/>
                <w:spacing w:val="-1"/>
                <w:sz w:val="20"/>
              </w:rPr>
              <w:t> </w:t>
            </w:r>
            <w:r>
              <w:rPr>
                <w:b/>
                <w:sz w:val="20"/>
              </w:rPr>
              <w:t>la</w:t>
            </w:r>
            <w:r>
              <w:rPr>
                <w:b/>
                <w:spacing w:val="-4"/>
                <w:sz w:val="20"/>
              </w:rPr>
              <w:t> </w:t>
            </w:r>
            <w:r>
              <w:rPr>
                <w:b/>
                <w:sz w:val="20"/>
              </w:rPr>
              <w:t>pobreza</w:t>
            </w:r>
            <w:r>
              <w:rPr>
                <w:b/>
                <w:spacing w:val="-3"/>
                <w:sz w:val="20"/>
              </w:rPr>
              <w:t> </w:t>
            </w:r>
            <w:r>
              <w:rPr>
                <w:b/>
                <w:sz w:val="20"/>
              </w:rPr>
              <w:t>en</w:t>
            </w:r>
            <w:r>
              <w:rPr>
                <w:b/>
                <w:spacing w:val="-2"/>
                <w:sz w:val="20"/>
              </w:rPr>
              <w:t> </w:t>
            </w:r>
            <w:r>
              <w:rPr>
                <w:b/>
                <w:sz w:val="20"/>
              </w:rPr>
              <w:t>costa</w:t>
            </w:r>
            <w:r>
              <w:rPr>
                <w:b/>
                <w:spacing w:val="-3"/>
                <w:sz w:val="20"/>
              </w:rPr>
              <w:t> </w:t>
            </w:r>
            <w:r>
              <w:rPr>
                <w:b/>
                <w:sz w:val="20"/>
              </w:rPr>
              <w:t>rica.</w:t>
            </w:r>
          </w:p>
        </w:tc>
      </w:tr>
      <w:tr>
        <w:trPr>
          <w:trHeight w:val="705" w:hRule="atLeast"/>
        </w:trPr>
        <w:tc>
          <w:tcPr>
            <w:tcW w:w="14041" w:type="dxa"/>
            <w:gridSpan w:val="8"/>
            <w:shd w:val="clear" w:color="auto" w:fill="DCE6F0"/>
          </w:tcPr>
          <w:p>
            <w:pPr>
              <w:pStyle w:val="TableParagraph"/>
              <w:spacing w:before="122"/>
              <w:ind w:left="69" w:right="47"/>
              <w:rPr>
                <w:b/>
                <w:sz w:val="20"/>
              </w:rPr>
            </w:pPr>
            <w:r>
              <w:rPr>
                <w:b/>
                <w:sz w:val="20"/>
              </w:rPr>
              <w:t>Producto</w:t>
            </w:r>
            <w:r>
              <w:rPr>
                <w:b/>
                <w:spacing w:val="-3"/>
                <w:sz w:val="20"/>
              </w:rPr>
              <w:t> </w:t>
            </w:r>
            <w:r>
              <w:rPr>
                <w:b/>
                <w:sz w:val="20"/>
              </w:rPr>
              <w:t>PPPS</w:t>
            </w:r>
            <w:r>
              <w:rPr>
                <w:b/>
                <w:spacing w:val="-2"/>
                <w:sz w:val="20"/>
              </w:rPr>
              <w:t> </w:t>
            </w:r>
            <w:r>
              <w:rPr>
                <w:b/>
                <w:sz w:val="20"/>
              </w:rPr>
              <w:t>1.1:</w:t>
            </w:r>
            <w:r>
              <w:rPr>
                <w:b/>
                <w:spacing w:val="-3"/>
                <w:sz w:val="20"/>
              </w:rPr>
              <w:t> </w:t>
            </w:r>
            <w:r>
              <w:rPr>
                <w:b/>
                <w:sz w:val="20"/>
              </w:rPr>
              <w:t>Oferta</w:t>
            </w:r>
            <w:r>
              <w:rPr>
                <w:b/>
                <w:spacing w:val="-4"/>
                <w:sz w:val="20"/>
              </w:rPr>
              <w:t> </w:t>
            </w:r>
            <w:r>
              <w:rPr>
                <w:b/>
                <w:sz w:val="20"/>
              </w:rPr>
              <w:t>programática</w:t>
            </w:r>
            <w:r>
              <w:rPr>
                <w:b/>
                <w:spacing w:val="-2"/>
                <w:sz w:val="20"/>
              </w:rPr>
              <w:t> </w:t>
            </w:r>
            <w:r>
              <w:rPr>
                <w:b/>
                <w:sz w:val="20"/>
              </w:rPr>
              <w:t>institucional</w:t>
            </w:r>
            <w:r>
              <w:rPr>
                <w:b/>
                <w:spacing w:val="-4"/>
                <w:sz w:val="20"/>
              </w:rPr>
              <w:t> </w:t>
            </w:r>
            <w:r>
              <w:rPr>
                <w:b/>
                <w:sz w:val="20"/>
              </w:rPr>
              <w:t>en</w:t>
            </w:r>
            <w:r>
              <w:rPr>
                <w:b/>
                <w:spacing w:val="-4"/>
                <w:sz w:val="20"/>
              </w:rPr>
              <w:t> </w:t>
            </w:r>
            <w:r>
              <w:rPr>
                <w:b/>
                <w:sz w:val="20"/>
              </w:rPr>
              <w:t>protección</w:t>
            </w:r>
            <w:r>
              <w:rPr>
                <w:b/>
                <w:spacing w:val="-3"/>
                <w:sz w:val="20"/>
              </w:rPr>
              <w:t> </w:t>
            </w:r>
            <w:r>
              <w:rPr>
                <w:b/>
                <w:sz w:val="20"/>
              </w:rPr>
              <w:t>social</w:t>
            </w:r>
            <w:r>
              <w:rPr>
                <w:b/>
                <w:spacing w:val="-2"/>
                <w:sz w:val="20"/>
              </w:rPr>
              <w:t> </w:t>
            </w:r>
            <w:r>
              <w:rPr>
                <w:b/>
                <w:sz w:val="20"/>
              </w:rPr>
              <w:t>que</w:t>
            </w:r>
            <w:r>
              <w:rPr>
                <w:b/>
                <w:spacing w:val="-4"/>
                <w:sz w:val="20"/>
              </w:rPr>
              <w:t> </w:t>
            </w:r>
            <w:r>
              <w:rPr>
                <w:b/>
                <w:sz w:val="20"/>
              </w:rPr>
              <w:t>contribuye</w:t>
            </w:r>
            <w:r>
              <w:rPr>
                <w:b/>
                <w:spacing w:val="-2"/>
                <w:sz w:val="20"/>
              </w:rPr>
              <w:t> </w:t>
            </w:r>
            <w:r>
              <w:rPr>
                <w:b/>
                <w:sz w:val="20"/>
              </w:rPr>
              <w:t>a</w:t>
            </w:r>
            <w:r>
              <w:rPr>
                <w:b/>
                <w:spacing w:val="-5"/>
                <w:sz w:val="20"/>
              </w:rPr>
              <w:t> </w:t>
            </w:r>
            <w:r>
              <w:rPr>
                <w:b/>
                <w:sz w:val="20"/>
              </w:rPr>
              <w:t>la</w:t>
            </w:r>
            <w:r>
              <w:rPr>
                <w:b/>
                <w:spacing w:val="-4"/>
                <w:sz w:val="20"/>
              </w:rPr>
              <w:t> </w:t>
            </w:r>
            <w:r>
              <w:rPr>
                <w:b/>
                <w:sz w:val="20"/>
              </w:rPr>
              <w:t>satisfacción</w:t>
            </w:r>
            <w:r>
              <w:rPr>
                <w:b/>
                <w:spacing w:val="-3"/>
                <w:sz w:val="20"/>
              </w:rPr>
              <w:t> </w:t>
            </w:r>
            <w:r>
              <w:rPr>
                <w:b/>
                <w:sz w:val="20"/>
              </w:rPr>
              <w:t>de</w:t>
            </w:r>
            <w:r>
              <w:rPr>
                <w:b/>
                <w:spacing w:val="-4"/>
                <w:sz w:val="20"/>
              </w:rPr>
              <w:t> </w:t>
            </w:r>
            <w:r>
              <w:rPr>
                <w:b/>
                <w:sz w:val="20"/>
              </w:rPr>
              <w:t>las</w:t>
            </w:r>
            <w:r>
              <w:rPr>
                <w:b/>
                <w:spacing w:val="-5"/>
                <w:sz w:val="20"/>
              </w:rPr>
              <w:t> </w:t>
            </w:r>
            <w:r>
              <w:rPr>
                <w:b/>
                <w:sz w:val="20"/>
              </w:rPr>
              <w:t>necesidades básicas</w:t>
            </w:r>
            <w:r>
              <w:rPr>
                <w:b/>
                <w:spacing w:val="-5"/>
                <w:sz w:val="20"/>
              </w:rPr>
              <w:t> </w:t>
            </w:r>
            <w:r>
              <w:rPr>
                <w:b/>
                <w:sz w:val="20"/>
              </w:rPr>
              <w:t>de personas y hogares en situación de pobreza, u organizaciones que atienden poblaciones en dicha situación.</w:t>
            </w:r>
          </w:p>
        </w:tc>
      </w:tr>
      <w:tr>
        <w:trPr>
          <w:trHeight w:val="2529" w:hRule="atLeast"/>
        </w:trPr>
        <w:tc>
          <w:tcPr>
            <w:tcW w:w="2835" w:type="dxa"/>
          </w:tcPr>
          <w:p>
            <w:pPr>
              <w:pStyle w:val="TableParagraph"/>
              <w:ind w:left="69" w:right="68"/>
              <w:rPr>
                <w:b/>
                <w:i/>
                <w:sz w:val="20"/>
              </w:rPr>
            </w:pPr>
            <w:r>
              <w:rPr>
                <w:b/>
                <w:sz w:val="20"/>
              </w:rPr>
              <w:t>Actividad PPPS 1.1.1: </w:t>
            </w:r>
            <w:r>
              <w:rPr>
                <w:sz w:val="20"/>
              </w:rPr>
              <w:t>Otorgamiento del subsidio Atención</w:t>
            </w:r>
            <w:r>
              <w:rPr>
                <w:spacing w:val="-10"/>
                <w:sz w:val="20"/>
              </w:rPr>
              <w:t> </w:t>
            </w:r>
            <w:r>
              <w:rPr>
                <w:sz w:val="20"/>
              </w:rPr>
              <w:t>a</w:t>
            </w:r>
            <w:r>
              <w:rPr>
                <w:spacing w:val="-11"/>
                <w:sz w:val="20"/>
              </w:rPr>
              <w:t> </w:t>
            </w:r>
            <w:r>
              <w:rPr>
                <w:sz w:val="20"/>
              </w:rPr>
              <w:t>Familias</w:t>
            </w:r>
            <w:r>
              <w:rPr>
                <w:spacing w:val="-10"/>
                <w:sz w:val="20"/>
              </w:rPr>
              <w:t> </w:t>
            </w:r>
            <w:r>
              <w:rPr>
                <w:sz w:val="20"/>
              </w:rPr>
              <w:t>a</w:t>
            </w:r>
            <w:r>
              <w:rPr>
                <w:spacing w:val="-12"/>
                <w:sz w:val="20"/>
              </w:rPr>
              <w:t> </w:t>
            </w:r>
            <w:r>
              <w:rPr>
                <w:sz w:val="20"/>
              </w:rPr>
              <w:t>hogares en situación de pobreza,</w:t>
            </w:r>
            <w:r>
              <w:rPr>
                <w:spacing w:val="40"/>
                <w:sz w:val="20"/>
              </w:rPr>
              <w:t> </w:t>
            </w:r>
            <w:r>
              <w:rPr>
                <w:sz w:val="20"/>
              </w:rPr>
              <w:t>como un aporte económico temporal para la satisfacción de sus necesidades básicas </w:t>
            </w:r>
            <w:r>
              <w:rPr>
                <w:b/>
                <w:i/>
                <w:sz w:val="20"/>
              </w:rPr>
              <w:t>(vinculación con vinculado</w:t>
            </w:r>
            <w:r>
              <w:rPr>
                <w:b/>
                <w:i/>
                <w:sz w:val="20"/>
              </w:rPr>
              <w:t> al PEN y a los indicadores</w:t>
            </w:r>
          </w:p>
          <w:p>
            <w:pPr>
              <w:pStyle w:val="TableParagraph"/>
              <w:spacing w:line="229" w:lineRule="exact"/>
              <w:ind w:left="69"/>
              <w:rPr>
                <w:b/>
                <w:i/>
                <w:sz w:val="20"/>
              </w:rPr>
            </w:pPr>
            <w:r>
              <w:rPr>
                <w:b/>
                <w:i/>
                <w:sz w:val="20"/>
              </w:rPr>
              <w:t>2.3.2</w:t>
            </w:r>
            <w:r>
              <w:rPr>
                <w:b/>
                <w:i/>
                <w:spacing w:val="-4"/>
                <w:sz w:val="20"/>
              </w:rPr>
              <w:t> </w:t>
            </w:r>
            <w:r>
              <w:rPr>
                <w:b/>
                <w:i/>
                <w:sz w:val="20"/>
              </w:rPr>
              <w:t>y</w:t>
            </w:r>
            <w:r>
              <w:rPr>
                <w:b/>
                <w:i/>
                <w:spacing w:val="-5"/>
                <w:sz w:val="20"/>
              </w:rPr>
              <w:t> </w:t>
            </w:r>
            <w:r>
              <w:rPr>
                <w:b/>
                <w:i/>
                <w:sz w:val="20"/>
              </w:rPr>
              <w:t>2.6.1</w:t>
            </w:r>
            <w:r>
              <w:rPr>
                <w:b/>
                <w:i/>
                <w:spacing w:val="-3"/>
                <w:sz w:val="20"/>
              </w:rPr>
              <w:t> </w:t>
            </w:r>
            <w:r>
              <w:rPr>
                <w:b/>
                <w:i/>
                <w:sz w:val="20"/>
              </w:rPr>
              <w:t>de</w:t>
            </w:r>
            <w:r>
              <w:rPr>
                <w:b/>
                <w:i/>
                <w:spacing w:val="-5"/>
                <w:sz w:val="20"/>
              </w:rPr>
              <w:t> </w:t>
            </w:r>
            <w:r>
              <w:rPr>
                <w:b/>
                <w:i/>
                <w:sz w:val="20"/>
              </w:rPr>
              <w:t>la</w:t>
            </w:r>
            <w:r>
              <w:rPr>
                <w:b/>
                <w:i/>
                <w:spacing w:val="-4"/>
                <w:sz w:val="20"/>
              </w:rPr>
              <w:t> PIEG;</w:t>
            </w:r>
          </w:p>
          <w:p>
            <w:pPr>
              <w:pStyle w:val="TableParagraph"/>
              <w:spacing w:line="211" w:lineRule="exact"/>
              <w:ind w:left="69"/>
              <w:rPr>
                <w:b/>
                <w:i/>
                <w:sz w:val="20"/>
              </w:rPr>
            </w:pPr>
            <w:r>
              <w:rPr>
                <w:b/>
                <w:i/>
                <w:sz w:val="20"/>
              </w:rPr>
              <w:t>PLANOVI</w:t>
            </w:r>
            <w:r>
              <w:rPr>
                <w:b/>
                <w:i/>
                <w:spacing w:val="-9"/>
                <w:sz w:val="20"/>
              </w:rPr>
              <w:t> </w:t>
            </w:r>
            <w:r>
              <w:rPr>
                <w:b/>
                <w:i/>
                <w:spacing w:val="-2"/>
                <w:sz w:val="20"/>
              </w:rPr>
              <w:t>6.3.1)</w:t>
            </w:r>
          </w:p>
        </w:tc>
        <w:tc>
          <w:tcPr>
            <w:tcW w:w="1133" w:type="dxa"/>
          </w:tcPr>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p>
            <w:pPr>
              <w:pStyle w:val="TableParagraph"/>
              <w:ind w:left="5" w:right="1"/>
              <w:jc w:val="center"/>
              <w:rPr>
                <w:sz w:val="20"/>
              </w:rPr>
            </w:pPr>
            <w:r>
              <w:rPr>
                <w:sz w:val="20"/>
              </w:rPr>
              <w:t>189</w:t>
            </w:r>
            <w:r>
              <w:rPr>
                <w:spacing w:val="-5"/>
                <w:sz w:val="20"/>
              </w:rPr>
              <w:t> 664</w:t>
            </w:r>
          </w:p>
        </w:tc>
        <w:tc>
          <w:tcPr>
            <w:tcW w:w="1422" w:type="dxa"/>
          </w:tcPr>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p>
            <w:pPr>
              <w:pStyle w:val="TableParagraph"/>
              <w:ind w:left="8" w:right="4"/>
              <w:jc w:val="center"/>
              <w:rPr>
                <w:sz w:val="20"/>
              </w:rPr>
            </w:pPr>
            <w:r>
              <w:rPr>
                <w:sz w:val="20"/>
              </w:rPr>
              <w:t>46</w:t>
            </w:r>
            <w:r>
              <w:rPr>
                <w:spacing w:val="-6"/>
                <w:sz w:val="20"/>
              </w:rPr>
              <w:t> </w:t>
            </w:r>
            <w:r>
              <w:rPr>
                <w:spacing w:val="-5"/>
                <w:sz w:val="20"/>
              </w:rPr>
              <w:t>500</w:t>
            </w:r>
          </w:p>
        </w:tc>
        <w:tc>
          <w:tcPr>
            <w:tcW w:w="1558" w:type="dxa"/>
          </w:tcPr>
          <w:p>
            <w:pPr>
              <w:pStyle w:val="TableParagraph"/>
              <w:rPr>
                <w:b/>
                <w:sz w:val="20"/>
              </w:rPr>
            </w:pPr>
          </w:p>
          <w:p>
            <w:pPr>
              <w:pStyle w:val="TableParagraph"/>
              <w:spacing w:before="113"/>
              <w:rPr>
                <w:b/>
                <w:sz w:val="20"/>
              </w:rPr>
            </w:pPr>
          </w:p>
          <w:p>
            <w:pPr>
              <w:pStyle w:val="TableParagraph"/>
              <w:ind w:left="68" w:right="361"/>
              <w:rPr>
                <w:sz w:val="20"/>
              </w:rPr>
            </w:pPr>
            <w:r>
              <w:rPr>
                <w:sz w:val="20"/>
              </w:rPr>
              <w:t>Cantidad</w:t>
            </w:r>
            <w:r>
              <w:rPr>
                <w:spacing w:val="-9"/>
                <w:sz w:val="20"/>
              </w:rPr>
              <w:t> </w:t>
            </w:r>
            <w:r>
              <w:rPr>
                <w:sz w:val="20"/>
              </w:rPr>
              <w:t>de hogares</w:t>
            </w:r>
            <w:r>
              <w:rPr>
                <w:spacing w:val="-14"/>
                <w:sz w:val="20"/>
              </w:rPr>
              <w:t> </w:t>
            </w:r>
            <w:r>
              <w:rPr>
                <w:sz w:val="20"/>
              </w:rPr>
              <w:t>que reciben el subsidio de atención a </w:t>
            </w:r>
            <w:r>
              <w:rPr>
                <w:spacing w:val="-2"/>
                <w:sz w:val="20"/>
              </w:rPr>
              <w:t>familias.</w:t>
            </w:r>
          </w:p>
        </w:tc>
        <w:tc>
          <w:tcPr>
            <w:tcW w:w="1419" w:type="dxa"/>
          </w:tcPr>
          <w:p>
            <w:pPr>
              <w:pStyle w:val="TableParagraph"/>
              <w:rPr>
                <w:b/>
                <w:sz w:val="20"/>
              </w:rPr>
            </w:pPr>
          </w:p>
          <w:p>
            <w:pPr>
              <w:pStyle w:val="TableParagraph"/>
              <w:rPr>
                <w:b/>
                <w:sz w:val="20"/>
              </w:rPr>
            </w:pPr>
          </w:p>
          <w:p>
            <w:pPr>
              <w:pStyle w:val="TableParagraph"/>
              <w:spacing w:before="113"/>
              <w:rPr>
                <w:b/>
                <w:sz w:val="20"/>
              </w:rPr>
            </w:pPr>
          </w:p>
          <w:p>
            <w:pPr>
              <w:pStyle w:val="TableParagraph"/>
              <w:ind w:left="68" w:right="102"/>
              <w:rPr>
                <w:sz w:val="20"/>
              </w:rPr>
            </w:pPr>
            <w:r>
              <w:rPr>
                <w:sz w:val="20"/>
              </w:rPr>
              <w:t>Informes</w:t>
            </w:r>
            <w:r>
              <w:rPr>
                <w:spacing w:val="-14"/>
                <w:sz w:val="20"/>
              </w:rPr>
              <w:t> </w:t>
            </w:r>
            <w:r>
              <w:rPr>
                <w:sz w:val="20"/>
              </w:rPr>
              <w:t>de </w:t>
            </w:r>
            <w:r>
              <w:rPr>
                <w:spacing w:val="-2"/>
                <w:sz w:val="20"/>
              </w:rPr>
              <w:t>ejecución elaborados </w:t>
            </w:r>
            <w:r>
              <w:rPr>
                <w:sz w:val="20"/>
              </w:rPr>
              <w:t>por</w:t>
            </w:r>
            <w:r>
              <w:rPr>
                <w:spacing w:val="-14"/>
                <w:sz w:val="20"/>
              </w:rPr>
              <w:t> </w:t>
            </w:r>
            <w:r>
              <w:rPr>
                <w:sz w:val="20"/>
              </w:rPr>
              <w:t>el</w:t>
            </w:r>
            <w:r>
              <w:rPr>
                <w:spacing w:val="-14"/>
                <w:sz w:val="20"/>
              </w:rPr>
              <w:t> </w:t>
            </w:r>
            <w:r>
              <w:rPr>
                <w:sz w:val="20"/>
              </w:rPr>
              <w:t>DSIS.</w:t>
            </w:r>
          </w:p>
        </w:tc>
        <w:tc>
          <w:tcPr>
            <w:tcW w:w="1416" w:type="dxa"/>
          </w:tcPr>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p>
            <w:pPr>
              <w:pStyle w:val="TableParagraph"/>
              <w:ind w:left="43" w:right="42"/>
              <w:jc w:val="center"/>
              <w:rPr>
                <w:sz w:val="20"/>
              </w:rPr>
            </w:pPr>
            <w:r>
              <w:rPr>
                <w:spacing w:val="-5"/>
                <w:sz w:val="20"/>
              </w:rPr>
              <w:t>DBF</w:t>
            </w:r>
          </w:p>
        </w:tc>
        <w:tc>
          <w:tcPr>
            <w:tcW w:w="1841" w:type="dxa"/>
          </w:tcPr>
          <w:p>
            <w:pPr>
              <w:pStyle w:val="TableParagraph"/>
              <w:rPr>
                <w:b/>
                <w:sz w:val="20"/>
              </w:rPr>
            </w:pPr>
          </w:p>
          <w:p>
            <w:pPr>
              <w:pStyle w:val="TableParagraph"/>
              <w:rPr>
                <w:b/>
                <w:sz w:val="20"/>
              </w:rPr>
            </w:pPr>
          </w:p>
          <w:p>
            <w:pPr>
              <w:pStyle w:val="TableParagraph"/>
              <w:rPr>
                <w:b/>
                <w:sz w:val="20"/>
              </w:rPr>
            </w:pPr>
          </w:p>
          <w:p>
            <w:pPr>
              <w:pStyle w:val="TableParagraph"/>
              <w:spacing w:before="113"/>
              <w:rPr>
                <w:b/>
                <w:sz w:val="20"/>
              </w:rPr>
            </w:pPr>
          </w:p>
          <w:p>
            <w:pPr>
              <w:pStyle w:val="TableParagraph"/>
              <w:spacing w:before="1"/>
              <w:ind w:left="122"/>
              <w:rPr>
                <w:sz w:val="20"/>
              </w:rPr>
            </w:pPr>
            <w:r>
              <w:rPr>
                <w:sz w:val="20"/>
              </w:rPr>
              <w:t>₡</w:t>
            </w:r>
            <w:r>
              <w:rPr>
                <w:spacing w:val="-5"/>
                <w:sz w:val="20"/>
              </w:rPr>
              <w:t> </w:t>
            </w:r>
            <w:r>
              <w:rPr>
                <w:sz w:val="20"/>
              </w:rPr>
              <w:t>16</w:t>
            </w:r>
            <w:r>
              <w:rPr>
                <w:spacing w:val="-2"/>
                <w:sz w:val="20"/>
              </w:rPr>
              <w:t> </w:t>
            </w:r>
            <w:r>
              <w:rPr>
                <w:sz w:val="20"/>
              </w:rPr>
              <w:t>224</w:t>
            </w:r>
            <w:r>
              <w:rPr>
                <w:spacing w:val="-3"/>
                <w:sz w:val="20"/>
              </w:rPr>
              <w:t> </w:t>
            </w:r>
            <w:r>
              <w:rPr>
                <w:sz w:val="20"/>
              </w:rPr>
              <w:t>029</w:t>
            </w:r>
            <w:r>
              <w:rPr>
                <w:spacing w:val="-3"/>
                <w:sz w:val="20"/>
              </w:rPr>
              <w:t> </w:t>
            </w:r>
            <w:r>
              <w:rPr>
                <w:spacing w:val="-5"/>
                <w:sz w:val="20"/>
              </w:rPr>
              <w:t>867</w:t>
            </w:r>
          </w:p>
        </w:tc>
        <w:tc>
          <w:tcPr>
            <w:tcW w:w="2417" w:type="dxa"/>
            <w:vMerge w:val="restart"/>
          </w:tcPr>
          <w:p>
            <w:pPr>
              <w:pStyle w:val="TableParagraph"/>
              <w:spacing w:before="4"/>
              <w:ind w:left="70"/>
              <w:rPr>
                <w:sz w:val="20"/>
              </w:rPr>
            </w:pPr>
            <w:r>
              <w:rPr>
                <w:spacing w:val="-2"/>
                <w:sz w:val="20"/>
              </w:rPr>
              <w:t>Eventos:</w:t>
            </w:r>
          </w:p>
          <w:p>
            <w:pPr>
              <w:pStyle w:val="TableParagraph"/>
              <w:numPr>
                <w:ilvl w:val="0"/>
                <w:numId w:val="31"/>
              </w:numPr>
              <w:tabs>
                <w:tab w:pos="301" w:val="left" w:leader="none"/>
              </w:tabs>
              <w:spacing w:line="240" w:lineRule="auto" w:before="0" w:after="0"/>
              <w:ind w:left="70" w:right="92" w:firstLine="0"/>
              <w:jc w:val="left"/>
              <w:rPr>
                <w:sz w:val="20"/>
              </w:rPr>
            </w:pPr>
            <w:r>
              <w:rPr>
                <w:sz w:val="20"/>
              </w:rPr>
              <w:t>Traslado tardío de recursos</w:t>
            </w:r>
            <w:r>
              <w:rPr>
                <w:spacing w:val="-14"/>
                <w:sz w:val="20"/>
              </w:rPr>
              <w:t> </w:t>
            </w:r>
            <w:r>
              <w:rPr>
                <w:sz w:val="20"/>
              </w:rPr>
              <w:t>presupuestarios provenientes de fuentes externas u otros programas de IMAS que están desvinculados con la planificación previa.</w:t>
            </w:r>
          </w:p>
          <w:p>
            <w:pPr>
              <w:pStyle w:val="TableParagraph"/>
              <w:numPr>
                <w:ilvl w:val="0"/>
                <w:numId w:val="31"/>
              </w:numPr>
              <w:tabs>
                <w:tab w:pos="301" w:val="left" w:leader="none"/>
              </w:tabs>
              <w:spacing w:line="240" w:lineRule="auto" w:before="0" w:after="0"/>
              <w:ind w:left="70" w:right="116" w:firstLine="0"/>
              <w:jc w:val="left"/>
              <w:rPr>
                <w:sz w:val="20"/>
              </w:rPr>
            </w:pPr>
            <w:r>
              <w:rPr>
                <w:sz w:val="20"/>
              </w:rPr>
              <w:t>No contar con los recursos</w:t>
            </w:r>
            <w:r>
              <w:rPr>
                <w:spacing w:val="-14"/>
                <w:sz w:val="20"/>
              </w:rPr>
              <w:t> </w:t>
            </w:r>
            <w:r>
              <w:rPr>
                <w:sz w:val="20"/>
              </w:rPr>
              <w:t>suficientes</w:t>
            </w:r>
            <w:r>
              <w:rPr>
                <w:spacing w:val="-14"/>
                <w:sz w:val="20"/>
              </w:rPr>
              <w:t> </w:t>
            </w:r>
            <w:r>
              <w:rPr>
                <w:sz w:val="20"/>
              </w:rPr>
              <w:t>para el otorgamiento de nuevos subsidios a personas que tienen a cargo personas con </w:t>
            </w:r>
            <w:r>
              <w:rPr>
                <w:spacing w:val="-2"/>
                <w:sz w:val="20"/>
              </w:rPr>
              <w:t>discapacidad permanente.</w:t>
            </w:r>
          </w:p>
          <w:p>
            <w:pPr>
              <w:pStyle w:val="TableParagraph"/>
              <w:numPr>
                <w:ilvl w:val="0"/>
                <w:numId w:val="31"/>
              </w:numPr>
              <w:tabs>
                <w:tab w:pos="301" w:val="left" w:leader="none"/>
              </w:tabs>
              <w:spacing w:line="240" w:lineRule="auto" w:before="0" w:after="0"/>
              <w:ind w:left="70" w:right="92" w:firstLine="0"/>
              <w:jc w:val="left"/>
              <w:rPr>
                <w:sz w:val="20"/>
              </w:rPr>
            </w:pPr>
            <w:r>
              <w:rPr>
                <w:sz w:val="20"/>
              </w:rPr>
              <w:t>Imposibilidad de usar los recursos de FODESAF porque no se</w:t>
            </w:r>
          </w:p>
          <w:p>
            <w:pPr>
              <w:pStyle w:val="TableParagraph"/>
              <w:spacing w:line="230" w:lineRule="exact"/>
              <w:ind w:left="70"/>
              <w:rPr>
                <w:sz w:val="20"/>
              </w:rPr>
            </w:pPr>
            <w:r>
              <w:rPr>
                <w:sz w:val="20"/>
              </w:rPr>
              <w:t>cumple</w:t>
            </w:r>
            <w:r>
              <w:rPr>
                <w:spacing w:val="-14"/>
                <w:sz w:val="20"/>
              </w:rPr>
              <w:t> </w:t>
            </w:r>
            <w:r>
              <w:rPr>
                <w:sz w:val="20"/>
              </w:rPr>
              <w:t>con</w:t>
            </w:r>
            <w:r>
              <w:rPr>
                <w:spacing w:val="-14"/>
                <w:sz w:val="20"/>
              </w:rPr>
              <w:t> </w:t>
            </w:r>
            <w:r>
              <w:rPr>
                <w:sz w:val="20"/>
              </w:rPr>
              <w:t>los</w:t>
            </w:r>
            <w:r>
              <w:rPr>
                <w:spacing w:val="-13"/>
                <w:sz w:val="20"/>
              </w:rPr>
              <w:t> </w:t>
            </w:r>
            <w:r>
              <w:rPr>
                <w:sz w:val="20"/>
              </w:rPr>
              <w:t>requisitos de la normativa externa</w:t>
            </w:r>
          </w:p>
        </w:tc>
      </w:tr>
      <w:tr>
        <w:trPr>
          <w:trHeight w:val="2299" w:hRule="atLeast"/>
        </w:trPr>
        <w:tc>
          <w:tcPr>
            <w:tcW w:w="2835" w:type="dxa"/>
          </w:tcPr>
          <w:p>
            <w:pPr>
              <w:pStyle w:val="TableParagraph"/>
              <w:spacing w:before="115"/>
              <w:rPr>
                <w:b/>
                <w:sz w:val="20"/>
              </w:rPr>
            </w:pPr>
          </w:p>
          <w:p>
            <w:pPr>
              <w:pStyle w:val="TableParagraph"/>
              <w:ind w:left="69" w:right="107"/>
              <w:rPr>
                <w:sz w:val="20"/>
              </w:rPr>
            </w:pPr>
            <w:r>
              <w:rPr>
                <w:b/>
                <w:sz w:val="20"/>
              </w:rPr>
              <w:t>Actividad PPPS 1.1.2: </w:t>
            </w:r>
            <w:r>
              <w:rPr>
                <w:sz w:val="20"/>
              </w:rPr>
              <w:t>Otorgamiento de transferencias</w:t>
            </w:r>
            <w:r>
              <w:rPr>
                <w:spacing w:val="-14"/>
                <w:sz w:val="20"/>
              </w:rPr>
              <w:t> </w:t>
            </w:r>
            <w:r>
              <w:rPr>
                <w:sz w:val="20"/>
              </w:rPr>
              <w:t>económicas</w:t>
            </w:r>
            <w:r>
              <w:rPr>
                <w:spacing w:val="-14"/>
                <w:sz w:val="20"/>
              </w:rPr>
              <w:t> </w:t>
            </w:r>
            <w:r>
              <w:rPr>
                <w:sz w:val="20"/>
              </w:rPr>
              <w:t>a personas trabajadoras con bajos</w:t>
            </w:r>
            <w:r>
              <w:rPr>
                <w:spacing w:val="-3"/>
                <w:sz w:val="20"/>
              </w:rPr>
              <w:t> </w:t>
            </w:r>
            <w:r>
              <w:rPr>
                <w:sz w:val="20"/>
              </w:rPr>
              <w:t>ingresos</w:t>
            </w:r>
            <w:r>
              <w:rPr>
                <w:spacing w:val="-3"/>
                <w:sz w:val="20"/>
              </w:rPr>
              <w:t> </w:t>
            </w:r>
            <w:r>
              <w:rPr>
                <w:sz w:val="20"/>
              </w:rPr>
              <w:t>que</w:t>
            </w:r>
            <w:r>
              <w:rPr>
                <w:spacing w:val="-4"/>
                <w:sz w:val="20"/>
              </w:rPr>
              <w:t> </w:t>
            </w:r>
            <w:r>
              <w:rPr>
                <w:sz w:val="20"/>
              </w:rPr>
              <w:t>tengan</w:t>
            </w:r>
            <w:r>
              <w:rPr>
                <w:spacing w:val="-2"/>
                <w:sz w:val="20"/>
              </w:rPr>
              <w:t> </w:t>
            </w:r>
            <w:r>
              <w:rPr>
                <w:sz w:val="20"/>
              </w:rPr>
              <w:t>a su cargo personas con discapacidad permanente.</w:t>
            </w:r>
          </w:p>
        </w:tc>
        <w:tc>
          <w:tcPr>
            <w:tcW w:w="1133" w:type="dxa"/>
          </w:tcPr>
          <w:p>
            <w:pPr>
              <w:pStyle w:val="TableParagraph"/>
              <w:rPr>
                <w:b/>
                <w:sz w:val="20"/>
              </w:rPr>
            </w:pPr>
          </w:p>
          <w:p>
            <w:pPr>
              <w:pStyle w:val="TableParagraph"/>
              <w:rPr>
                <w:b/>
                <w:sz w:val="20"/>
              </w:rPr>
            </w:pPr>
          </w:p>
          <w:p>
            <w:pPr>
              <w:pStyle w:val="TableParagraph"/>
              <w:rPr>
                <w:b/>
                <w:sz w:val="20"/>
              </w:rPr>
            </w:pPr>
          </w:p>
          <w:p>
            <w:pPr>
              <w:pStyle w:val="TableParagraph"/>
              <w:spacing w:before="113"/>
              <w:rPr>
                <w:b/>
                <w:sz w:val="20"/>
              </w:rPr>
            </w:pPr>
          </w:p>
          <w:p>
            <w:pPr>
              <w:pStyle w:val="TableParagraph"/>
              <w:spacing w:before="1"/>
              <w:ind w:left="5" w:right="1"/>
              <w:jc w:val="center"/>
              <w:rPr>
                <w:sz w:val="20"/>
              </w:rPr>
            </w:pPr>
            <w:r>
              <w:rPr>
                <w:sz w:val="20"/>
              </w:rPr>
              <w:t>3</w:t>
            </w:r>
            <w:r>
              <w:rPr>
                <w:spacing w:val="-3"/>
                <w:sz w:val="20"/>
              </w:rPr>
              <w:t> </w:t>
            </w:r>
            <w:r>
              <w:rPr>
                <w:spacing w:val="-5"/>
                <w:sz w:val="20"/>
              </w:rPr>
              <w:t>359</w:t>
            </w:r>
          </w:p>
        </w:tc>
        <w:tc>
          <w:tcPr>
            <w:tcW w:w="1422" w:type="dxa"/>
          </w:tcPr>
          <w:p>
            <w:pPr>
              <w:pStyle w:val="TableParagraph"/>
              <w:rPr>
                <w:b/>
                <w:sz w:val="20"/>
              </w:rPr>
            </w:pPr>
          </w:p>
          <w:p>
            <w:pPr>
              <w:pStyle w:val="TableParagraph"/>
              <w:rPr>
                <w:b/>
                <w:sz w:val="20"/>
              </w:rPr>
            </w:pPr>
          </w:p>
          <w:p>
            <w:pPr>
              <w:pStyle w:val="TableParagraph"/>
              <w:rPr>
                <w:b/>
                <w:sz w:val="20"/>
              </w:rPr>
            </w:pPr>
          </w:p>
          <w:p>
            <w:pPr>
              <w:pStyle w:val="TableParagraph"/>
              <w:spacing w:before="113"/>
              <w:rPr>
                <w:b/>
                <w:sz w:val="20"/>
              </w:rPr>
            </w:pPr>
          </w:p>
          <w:p>
            <w:pPr>
              <w:pStyle w:val="TableParagraph"/>
              <w:spacing w:before="1"/>
              <w:ind w:left="8" w:right="4"/>
              <w:jc w:val="center"/>
              <w:rPr>
                <w:sz w:val="20"/>
              </w:rPr>
            </w:pPr>
            <w:r>
              <w:rPr>
                <w:sz w:val="20"/>
              </w:rPr>
              <w:t>4</w:t>
            </w:r>
            <w:r>
              <w:rPr>
                <w:spacing w:val="-3"/>
                <w:sz w:val="20"/>
              </w:rPr>
              <w:t> </w:t>
            </w:r>
            <w:r>
              <w:rPr>
                <w:spacing w:val="-5"/>
                <w:sz w:val="20"/>
              </w:rPr>
              <w:t>000</w:t>
            </w:r>
          </w:p>
        </w:tc>
        <w:tc>
          <w:tcPr>
            <w:tcW w:w="1558" w:type="dxa"/>
          </w:tcPr>
          <w:p>
            <w:pPr>
              <w:pStyle w:val="TableParagraph"/>
              <w:ind w:left="68" w:right="95"/>
              <w:rPr>
                <w:sz w:val="20"/>
              </w:rPr>
            </w:pPr>
            <w:r>
              <w:rPr>
                <w:sz w:val="20"/>
              </w:rPr>
              <w:t>Cantidad de </w:t>
            </w:r>
            <w:r>
              <w:rPr>
                <w:spacing w:val="-2"/>
                <w:sz w:val="20"/>
              </w:rPr>
              <w:t>personas trabajadoras </w:t>
            </w:r>
            <w:r>
              <w:rPr>
                <w:sz w:val="20"/>
              </w:rPr>
              <w:t>con bajos ingresos que tengan a su cargo</w:t>
            </w:r>
            <w:r>
              <w:rPr>
                <w:spacing w:val="-14"/>
                <w:sz w:val="20"/>
              </w:rPr>
              <w:t> </w:t>
            </w:r>
            <w:r>
              <w:rPr>
                <w:sz w:val="20"/>
              </w:rPr>
              <w:t>personas </w:t>
            </w:r>
            <w:r>
              <w:rPr>
                <w:spacing w:val="-4"/>
                <w:sz w:val="20"/>
              </w:rPr>
              <w:t>con </w:t>
            </w:r>
            <w:r>
              <w:rPr>
                <w:spacing w:val="-2"/>
                <w:sz w:val="20"/>
              </w:rPr>
              <w:t>discapacidad</w:t>
            </w:r>
          </w:p>
          <w:p>
            <w:pPr>
              <w:pStyle w:val="TableParagraph"/>
              <w:spacing w:line="210" w:lineRule="exact"/>
              <w:ind w:left="68"/>
              <w:rPr>
                <w:sz w:val="20"/>
              </w:rPr>
            </w:pPr>
            <w:r>
              <w:rPr>
                <w:spacing w:val="-2"/>
                <w:sz w:val="20"/>
              </w:rPr>
              <w:t>permanente</w:t>
            </w:r>
            <w:r>
              <w:rPr>
                <w:spacing w:val="5"/>
                <w:sz w:val="20"/>
              </w:rPr>
              <w:t> </w:t>
            </w:r>
            <w:r>
              <w:rPr>
                <w:spacing w:val="-10"/>
                <w:sz w:val="20"/>
              </w:rPr>
              <w:t>y</w:t>
            </w:r>
          </w:p>
        </w:tc>
        <w:tc>
          <w:tcPr>
            <w:tcW w:w="1419" w:type="dxa"/>
          </w:tcPr>
          <w:p>
            <w:pPr>
              <w:pStyle w:val="TableParagraph"/>
              <w:rPr>
                <w:b/>
                <w:sz w:val="20"/>
              </w:rPr>
            </w:pPr>
          </w:p>
          <w:p>
            <w:pPr>
              <w:pStyle w:val="TableParagraph"/>
              <w:spacing w:before="228"/>
              <w:rPr>
                <w:b/>
                <w:sz w:val="20"/>
              </w:rPr>
            </w:pPr>
          </w:p>
          <w:p>
            <w:pPr>
              <w:pStyle w:val="TableParagraph"/>
              <w:ind w:left="68" w:right="102"/>
              <w:rPr>
                <w:sz w:val="20"/>
              </w:rPr>
            </w:pPr>
            <w:r>
              <w:rPr>
                <w:sz w:val="20"/>
              </w:rPr>
              <w:t>Informes</w:t>
            </w:r>
            <w:r>
              <w:rPr>
                <w:spacing w:val="-14"/>
                <w:sz w:val="20"/>
              </w:rPr>
              <w:t> </w:t>
            </w:r>
            <w:r>
              <w:rPr>
                <w:sz w:val="20"/>
              </w:rPr>
              <w:t>de </w:t>
            </w:r>
            <w:r>
              <w:rPr>
                <w:spacing w:val="-2"/>
                <w:sz w:val="20"/>
              </w:rPr>
              <w:t>ejecución elaborados </w:t>
            </w:r>
            <w:r>
              <w:rPr>
                <w:sz w:val="20"/>
              </w:rPr>
              <w:t>por</w:t>
            </w:r>
            <w:r>
              <w:rPr>
                <w:spacing w:val="-14"/>
                <w:sz w:val="20"/>
              </w:rPr>
              <w:t> </w:t>
            </w:r>
            <w:r>
              <w:rPr>
                <w:sz w:val="20"/>
              </w:rPr>
              <w:t>el</w:t>
            </w:r>
            <w:r>
              <w:rPr>
                <w:spacing w:val="-14"/>
                <w:sz w:val="20"/>
              </w:rPr>
              <w:t> </w:t>
            </w:r>
            <w:r>
              <w:rPr>
                <w:sz w:val="20"/>
              </w:rPr>
              <w:t>DSIS.</w:t>
            </w:r>
          </w:p>
        </w:tc>
        <w:tc>
          <w:tcPr>
            <w:tcW w:w="1416" w:type="dxa"/>
          </w:tcPr>
          <w:p>
            <w:pPr>
              <w:pStyle w:val="TableParagraph"/>
              <w:rPr>
                <w:b/>
                <w:sz w:val="20"/>
              </w:rPr>
            </w:pPr>
          </w:p>
          <w:p>
            <w:pPr>
              <w:pStyle w:val="TableParagraph"/>
              <w:rPr>
                <w:b/>
                <w:sz w:val="20"/>
              </w:rPr>
            </w:pPr>
          </w:p>
          <w:p>
            <w:pPr>
              <w:pStyle w:val="TableParagraph"/>
              <w:rPr>
                <w:b/>
                <w:sz w:val="20"/>
              </w:rPr>
            </w:pPr>
          </w:p>
          <w:p>
            <w:pPr>
              <w:pStyle w:val="TableParagraph"/>
              <w:spacing w:before="113"/>
              <w:rPr>
                <w:b/>
                <w:sz w:val="20"/>
              </w:rPr>
            </w:pPr>
          </w:p>
          <w:p>
            <w:pPr>
              <w:pStyle w:val="TableParagraph"/>
              <w:spacing w:before="1"/>
              <w:ind w:left="43" w:right="42"/>
              <w:jc w:val="center"/>
              <w:rPr>
                <w:sz w:val="20"/>
              </w:rPr>
            </w:pPr>
            <w:r>
              <w:rPr>
                <w:spacing w:val="-5"/>
                <w:sz w:val="20"/>
              </w:rPr>
              <w:t>DBF</w:t>
            </w:r>
          </w:p>
        </w:tc>
        <w:tc>
          <w:tcPr>
            <w:tcW w:w="1841" w:type="dxa"/>
          </w:tcPr>
          <w:p>
            <w:pPr>
              <w:pStyle w:val="TableParagraph"/>
              <w:rPr>
                <w:b/>
                <w:sz w:val="20"/>
              </w:rPr>
            </w:pPr>
          </w:p>
          <w:p>
            <w:pPr>
              <w:pStyle w:val="TableParagraph"/>
              <w:rPr>
                <w:b/>
                <w:sz w:val="20"/>
              </w:rPr>
            </w:pPr>
          </w:p>
          <w:p>
            <w:pPr>
              <w:pStyle w:val="TableParagraph"/>
              <w:rPr>
                <w:b/>
                <w:sz w:val="20"/>
              </w:rPr>
            </w:pPr>
          </w:p>
          <w:p>
            <w:pPr>
              <w:pStyle w:val="TableParagraph"/>
              <w:spacing w:before="113"/>
              <w:rPr>
                <w:b/>
                <w:sz w:val="20"/>
              </w:rPr>
            </w:pPr>
          </w:p>
          <w:p>
            <w:pPr>
              <w:pStyle w:val="TableParagraph"/>
              <w:spacing w:before="1"/>
              <w:ind w:left="290"/>
              <w:rPr>
                <w:sz w:val="20"/>
              </w:rPr>
            </w:pPr>
            <w:r>
              <w:rPr>
                <w:sz w:val="20"/>
              </w:rPr>
              <w:t>₡</w:t>
            </w:r>
            <w:r>
              <w:rPr>
                <w:spacing w:val="-4"/>
                <w:sz w:val="20"/>
              </w:rPr>
              <w:t> </w:t>
            </w:r>
            <w:r>
              <w:rPr>
                <w:sz w:val="20"/>
              </w:rPr>
              <w:t>3</w:t>
            </w:r>
            <w:r>
              <w:rPr>
                <w:spacing w:val="-4"/>
                <w:sz w:val="20"/>
              </w:rPr>
              <w:t> </w:t>
            </w:r>
            <w:r>
              <w:rPr>
                <w:sz w:val="20"/>
              </w:rPr>
              <w:t>211</w:t>
            </w:r>
            <w:r>
              <w:rPr>
                <w:spacing w:val="-2"/>
                <w:sz w:val="20"/>
              </w:rPr>
              <w:t> </w:t>
            </w:r>
            <w:r>
              <w:rPr>
                <w:sz w:val="20"/>
              </w:rPr>
              <w:t>457</w:t>
            </w:r>
            <w:r>
              <w:rPr>
                <w:spacing w:val="-1"/>
                <w:sz w:val="20"/>
              </w:rPr>
              <w:t> </w:t>
            </w:r>
            <w:r>
              <w:rPr>
                <w:spacing w:val="-5"/>
                <w:sz w:val="20"/>
              </w:rPr>
              <w:t>500</w:t>
            </w:r>
          </w:p>
        </w:tc>
        <w:tc>
          <w:tcPr>
            <w:tcW w:w="2417" w:type="dxa"/>
            <w:vMerge/>
            <w:tcBorders>
              <w:top w:val="nil"/>
            </w:tcBorders>
          </w:tcPr>
          <w:p>
            <w:pPr>
              <w:rPr>
                <w:sz w:val="2"/>
                <w:szCs w:val="2"/>
              </w:rPr>
            </w:pPr>
          </w:p>
        </w:tc>
      </w:tr>
    </w:tbl>
    <w:p>
      <w:pPr>
        <w:spacing w:after="0"/>
        <w:rPr>
          <w:sz w:val="2"/>
          <w:szCs w:val="2"/>
        </w:rPr>
        <w:sectPr>
          <w:footerReference w:type="default" r:id="rId51"/>
          <w:pgSz w:w="15840" w:h="12240" w:orient="landscape"/>
          <w:pgMar w:header="0" w:footer="1530" w:top="1380" w:bottom="172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1133"/>
        <w:gridCol w:w="1422"/>
        <w:gridCol w:w="1558"/>
        <w:gridCol w:w="1419"/>
        <w:gridCol w:w="1416"/>
        <w:gridCol w:w="1840"/>
        <w:gridCol w:w="2418"/>
      </w:tblGrid>
      <w:tr>
        <w:trPr>
          <w:trHeight w:val="962" w:hRule="atLeast"/>
        </w:trPr>
        <w:tc>
          <w:tcPr>
            <w:tcW w:w="2835" w:type="dxa"/>
            <w:shd w:val="clear" w:color="auto" w:fill="F1F1F1"/>
          </w:tcPr>
          <w:p>
            <w:pPr>
              <w:pStyle w:val="TableParagraph"/>
              <w:spacing w:before="134"/>
              <w:rPr>
                <w:b/>
                <w:sz w:val="20"/>
              </w:rPr>
            </w:pPr>
          </w:p>
          <w:p>
            <w:pPr>
              <w:pStyle w:val="TableParagraph"/>
              <w:ind w:left="338"/>
              <w:rPr>
                <w:b/>
                <w:sz w:val="20"/>
              </w:rPr>
            </w:pPr>
            <w:r>
              <w:rPr>
                <w:b/>
                <w:sz w:val="20"/>
              </w:rPr>
              <w:t>Objetivos</w:t>
            </w:r>
            <w:r>
              <w:rPr>
                <w:b/>
                <w:spacing w:val="-9"/>
                <w:sz w:val="20"/>
              </w:rPr>
              <w:t> </w:t>
            </w:r>
            <w:r>
              <w:rPr>
                <w:b/>
                <w:sz w:val="20"/>
              </w:rPr>
              <w:t>/</w:t>
            </w:r>
            <w:r>
              <w:rPr>
                <w:b/>
                <w:spacing w:val="-9"/>
                <w:sz w:val="20"/>
              </w:rPr>
              <w:t> </w:t>
            </w:r>
            <w:r>
              <w:rPr>
                <w:b/>
                <w:spacing w:val="-2"/>
                <w:sz w:val="20"/>
              </w:rPr>
              <w:t>Resultados</w:t>
            </w:r>
          </w:p>
        </w:tc>
        <w:tc>
          <w:tcPr>
            <w:tcW w:w="1133" w:type="dxa"/>
            <w:shd w:val="clear" w:color="auto" w:fill="F1F1F1"/>
          </w:tcPr>
          <w:p>
            <w:pPr>
              <w:pStyle w:val="TableParagraph"/>
              <w:ind w:left="275" w:right="270" w:firstLine="28"/>
              <w:jc w:val="both"/>
              <w:rPr>
                <w:b/>
                <w:sz w:val="20"/>
              </w:rPr>
            </w:pPr>
            <w:r>
              <w:rPr>
                <w:b/>
                <w:spacing w:val="-4"/>
                <w:sz w:val="20"/>
              </w:rPr>
              <w:t>Línea Base </w:t>
            </w:r>
            <w:r>
              <w:rPr>
                <w:b/>
                <w:spacing w:val="-2"/>
                <w:sz w:val="20"/>
              </w:rPr>
              <w:t>(2025)</w:t>
            </w:r>
          </w:p>
        </w:tc>
        <w:tc>
          <w:tcPr>
            <w:tcW w:w="1422" w:type="dxa"/>
            <w:shd w:val="clear" w:color="auto" w:fill="F1F1F1"/>
          </w:tcPr>
          <w:p>
            <w:pPr>
              <w:pStyle w:val="TableParagraph"/>
              <w:spacing w:before="134"/>
              <w:ind w:left="131" w:right="124" w:firstLine="1"/>
              <w:jc w:val="center"/>
              <w:rPr>
                <w:b/>
                <w:sz w:val="20"/>
              </w:rPr>
            </w:pPr>
            <w:r>
              <w:rPr>
                <w:b/>
                <w:spacing w:val="-4"/>
                <w:sz w:val="20"/>
              </w:rPr>
              <w:t>Meta </w:t>
            </w:r>
            <w:r>
              <w:rPr>
                <w:b/>
                <w:spacing w:val="-2"/>
                <w:sz w:val="20"/>
              </w:rPr>
              <w:t>programada </w:t>
            </w:r>
            <w:r>
              <w:rPr>
                <w:b/>
                <w:spacing w:val="-4"/>
                <w:sz w:val="20"/>
              </w:rPr>
              <w:t>2027</w:t>
            </w:r>
          </w:p>
        </w:tc>
        <w:tc>
          <w:tcPr>
            <w:tcW w:w="1558" w:type="dxa"/>
            <w:shd w:val="clear" w:color="auto" w:fill="F1F1F1"/>
          </w:tcPr>
          <w:p>
            <w:pPr>
              <w:pStyle w:val="TableParagraph"/>
              <w:spacing w:before="134"/>
              <w:rPr>
                <w:b/>
                <w:sz w:val="20"/>
              </w:rPr>
            </w:pPr>
          </w:p>
          <w:p>
            <w:pPr>
              <w:pStyle w:val="TableParagraph"/>
              <w:ind w:left="327"/>
              <w:rPr>
                <w:b/>
                <w:sz w:val="20"/>
              </w:rPr>
            </w:pPr>
            <w:r>
              <w:rPr>
                <w:b/>
                <w:spacing w:val="-2"/>
                <w:sz w:val="20"/>
              </w:rPr>
              <w:t>Indicador</w:t>
            </w:r>
          </w:p>
        </w:tc>
        <w:tc>
          <w:tcPr>
            <w:tcW w:w="1419" w:type="dxa"/>
            <w:shd w:val="clear" w:color="auto" w:fill="F1F1F1"/>
          </w:tcPr>
          <w:p>
            <w:pPr>
              <w:pStyle w:val="TableParagraph"/>
              <w:spacing w:before="19"/>
              <w:rPr>
                <w:b/>
                <w:sz w:val="20"/>
              </w:rPr>
            </w:pPr>
          </w:p>
          <w:p>
            <w:pPr>
              <w:pStyle w:val="TableParagraph"/>
              <w:ind w:left="149" w:right="102" w:firstLine="67"/>
              <w:rPr>
                <w:b/>
                <w:sz w:val="20"/>
              </w:rPr>
            </w:pPr>
            <w:r>
              <w:rPr>
                <w:b/>
                <w:sz w:val="20"/>
              </w:rPr>
              <w:t>Medios de </w:t>
            </w:r>
            <w:r>
              <w:rPr>
                <w:b/>
                <w:spacing w:val="-2"/>
                <w:sz w:val="20"/>
              </w:rPr>
              <w:t>verificación</w:t>
            </w:r>
          </w:p>
        </w:tc>
        <w:tc>
          <w:tcPr>
            <w:tcW w:w="1416" w:type="dxa"/>
            <w:shd w:val="clear" w:color="auto" w:fill="F1F1F1"/>
          </w:tcPr>
          <w:p>
            <w:pPr>
              <w:pStyle w:val="TableParagraph"/>
              <w:spacing w:before="134"/>
              <w:rPr>
                <w:b/>
                <w:sz w:val="20"/>
              </w:rPr>
            </w:pPr>
          </w:p>
          <w:p>
            <w:pPr>
              <w:pStyle w:val="TableParagraph"/>
              <w:ind w:left="43" w:right="42"/>
              <w:jc w:val="center"/>
              <w:rPr>
                <w:b/>
                <w:sz w:val="20"/>
              </w:rPr>
            </w:pPr>
            <w:r>
              <w:rPr>
                <w:b/>
                <w:spacing w:val="-2"/>
                <w:sz w:val="20"/>
              </w:rPr>
              <w:t>Responsable</w:t>
            </w:r>
          </w:p>
        </w:tc>
        <w:tc>
          <w:tcPr>
            <w:tcW w:w="1840" w:type="dxa"/>
            <w:shd w:val="clear" w:color="auto" w:fill="F1F1F1"/>
          </w:tcPr>
          <w:p>
            <w:pPr>
              <w:pStyle w:val="TableParagraph"/>
              <w:spacing w:before="19"/>
              <w:rPr>
                <w:b/>
                <w:sz w:val="20"/>
              </w:rPr>
            </w:pPr>
          </w:p>
          <w:p>
            <w:pPr>
              <w:pStyle w:val="TableParagraph"/>
              <w:ind w:left="480" w:hanging="140"/>
              <w:rPr>
                <w:b/>
                <w:sz w:val="20"/>
              </w:rPr>
            </w:pPr>
            <w:r>
              <w:rPr>
                <w:b/>
                <w:spacing w:val="-2"/>
                <w:sz w:val="20"/>
              </w:rPr>
              <w:t>Presupuesto asignado</w:t>
            </w:r>
          </w:p>
        </w:tc>
        <w:tc>
          <w:tcPr>
            <w:tcW w:w="2418" w:type="dxa"/>
            <w:tcBorders>
              <w:bottom w:val="nil"/>
            </w:tcBorders>
            <w:shd w:val="clear" w:color="auto" w:fill="F1F1F1"/>
          </w:tcPr>
          <w:p>
            <w:pPr>
              <w:pStyle w:val="TableParagraph"/>
              <w:spacing w:before="19"/>
              <w:rPr>
                <w:b/>
                <w:sz w:val="20"/>
              </w:rPr>
            </w:pPr>
          </w:p>
          <w:p>
            <w:pPr>
              <w:pStyle w:val="TableParagraph"/>
              <w:ind w:left="558" w:hanging="368"/>
              <w:rPr>
                <w:b/>
                <w:sz w:val="20"/>
              </w:rPr>
            </w:pPr>
            <w:r>
              <w:rPr>
                <w:b/>
                <w:sz w:val="20"/>
              </w:rPr>
              <w:t>Riesgos</w:t>
            </w:r>
            <w:r>
              <w:rPr>
                <w:b/>
                <w:spacing w:val="-14"/>
                <w:sz w:val="20"/>
              </w:rPr>
              <w:t> </w:t>
            </w:r>
            <w:r>
              <w:rPr>
                <w:b/>
                <w:sz w:val="20"/>
              </w:rPr>
              <w:t>asociados</w:t>
            </w:r>
            <w:r>
              <w:rPr>
                <w:b/>
                <w:spacing w:val="-14"/>
                <w:sz w:val="20"/>
              </w:rPr>
              <w:t> </w:t>
            </w:r>
            <w:r>
              <w:rPr>
                <w:b/>
                <w:sz w:val="20"/>
              </w:rPr>
              <w:t>al </w:t>
            </w:r>
            <w:r>
              <w:rPr>
                <w:b/>
                <w:spacing w:val="-2"/>
                <w:sz w:val="20"/>
              </w:rPr>
              <w:t>cumplimiento</w:t>
            </w:r>
          </w:p>
        </w:tc>
      </w:tr>
      <w:tr>
        <w:trPr>
          <w:trHeight w:val="1773" w:hRule="atLeast"/>
        </w:trPr>
        <w:tc>
          <w:tcPr>
            <w:tcW w:w="2835" w:type="dxa"/>
          </w:tcPr>
          <w:p>
            <w:pPr>
              <w:pStyle w:val="TableParagraph"/>
              <w:rPr>
                <w:rFonts w:ascii="Times New Roman"/>
                <w:sz w:val="20"/>
              </w:rPr>
            </w:pPr>
          </w:p>
        </w:tc>
        <w:tc>
          <w:tcPr>
            <w:tcW w:w="1133" w:type="dxa"/>
          </w:tcPr>
          <w:p>
            <w:pPr>
              <w:pStyle w:val="TableParagraph"/>
              <w:rPr>
                <w:rFonts w:ascii="Times New Roman"/>
                <w:sz w:val="20"/>
              </w:rPr>
            </w:pPr>
          </w:p>
        </w:tc>
        <w:tc>
          <w:tcPr>
            <w:tcW w:w="1422" w:type="dxa"/>
          </w:tcPr>
          <w:p>
            <w:pPr>
              <w:pStyle w:val="TableParagraph"/>
              <w:rPr>
                <w:rFonts w:ascii="Times New Roman"/>
                <w:sz w:val="20"/>
              </w:rPr>
            </w:pPr>
          </w:p>
        </w:tc>
        <w:tc>
          <w:tcPr>
            <w:tcW w:w="1558" w:type="dxa"/>
          </w:tcPr>
          <w:p>
            <w:pPr>
              <w:pStyle w:val="TableParagraph"/>
              <w:spacing w:line="217" w:lineRule="exact"/>
              <w:ind w:left="68"/>
              <w:jc w:val="both"/>
              <w:rPr>
                <w:sz w:val="20"/>
              </w:rPr>
            </w:pPr>
            <w:r>
              <w:rPr>
                <w:sz w:val="20"/>
              </w:rPr>
              <w:t>que</w:t>
            </w:r>
            <w:r>
              <w:rPr>
                <w:spacing w:val="-6"/>
                <w:sz w:val="20"/>
              </w:rPr>
              <w:t> </w:t>
            </w:r>
            <w:r>
              <w:rPr>
                <w:sz w:val="20"/>
              </w:rPr>
              <w:t>reciben</w:t>
            </w:r>
            <w:r>
              <w:rPr>
                <w:spacing w:val="-6"/>
                <w:sz w:val="20"/>
              </w:rPr>
              <w:t> </w:t>
            </w:r>
            <w:r>
              <w:rPr>
                <w:spacing w:val="-5"/>
                <w:sz w:val="20"/>
              </w:rPr>
              <w:t>el</w:t>
            </w:r>
          </w:p>
          <w:p>
            <w:pPr>
              <w:pStyle w:val="TableParagraph"/>
              <w:ind w:left="68" w:right="467"/>
              <w:jc w:val="both"/>
              <w:rPr>
                <w:sz w:val="20"/>
              </w:rPr>
            </w:pPr>
            <w:r>
              <w:rPr>
                <w:sz w:val="20"/>
              </w:rPr>
              <w:t>subsidio</w:t>
            </w:r>
            <w:r>
              <w:rPr>
                <w:spacing w:val="-14"/>
                <w:sz w:val="20"/>
              </w:rPr>
              <w:t> </w:t>
            </w:r>
            <w:r>
              <w:rPr>
                <w:sz w:val="20"/>
              </w:rPr>
              <w:t>de </w:t>
            </w:r>
            <w:r>
              <w:rPr>
                <w:spacing w:val="-2"/>
                <w:sz w:val="20"/>
              </w:rPr>
              <w:t>Asignación Familiar.</w:t>
            </w:r>
          </w:p>
        </w:tc>
        <w:tc>
          <w:tcPr>
            <w:tcW w:w="1419" w:type="dxa"/>
          </w:tcPr>
          <w:p>
            <w:pPr>
              <w:pStyle w:val="TableParagraph"/>
              <w:rPr>
                <w:rFonts w:ascii="Times New Roman"/>
                <w:sz w:val="20"/>
              </w:rPr>
            </w:pPr>
          </w:p>
        </w:tc>
        <w:tc>
          <w:tcPr>
            <w:tcW w:w="1416" w:type="dxa"/>
          </w:tcPr>
          <w:p>
            <w:pPr>
              <w:pStyle w:val="TableParagraph"/>
              <w:rPr>
                <w:rFonts w:ascii="Times New Roman"/>
                <w:sz w:val="20"/>
              </w:rPr>
            </w:pPr>
          </w:p>
        </w:tc>
        <w:tc>
          <w:tcPr>
            <w:tcW w:w="1840" w:type="dxa"/>
          </w:tcPr>
          <w:p>
            <w:pPr>
              <w:pStyle w:val="TableParagraph"/>
              <w:rPr>
                <w:rFonts w:ascii="Times New Roman"/>
                <w:sz w:val="20"/>
              </w:rPr>
            </w:pPr>
          </w:p>
        </w:tc>
        <w:tc>
          <w:tcPr>
            <w:tcW w:w="2418" w:type="dxa"/>
            <w:vMerge w:val="restart"/>
            <w:tcBorders>
              <w:top w:val="nil"/>
            </w:tcBorders>
          </w:tcPr>
          <w:p>
            <w:pPr>
              <w:pStyle w:val="TableParagraph"/>
              <w:spacing w:line="217" w:lineRule="exact"/>
              <w:ind w:left="71"/>
              <w:rPr>
                <w:sz w:val="20"/>
              </w:rPr>
            </w:pPr>
            <w:r>
              <w:rPr>
                <w:spacing w:val="-2"/>
                <w:sz w:val="20"/>
              </w:rPr>
              <w:t>vigente.</w:t>
            </w:r>
          </w:p>
          <w:p>
            <w:pPr>
              <w:pStyle w:val="TableParagraph"/>
              <w:numPr>
                <w:ilvl w:val="0"/>
                <w:numId w:val="32"/>
              </w:numPr>
              <w:tabs>
                <w:tab w:pos="302" w:val="left" w:leader="none"/>
              </w:tabs>
              <w:spacing w:line="240" w:lineRule="auto" w:before="0" w:after="0"/>
              <w:ind w:left="71" w:right="70" w:firstLine="0"/>
              <w:jc w:val="left"/>
              <w:rPr>
                <w:sz w:val="20"/>
              </w:rPr>
            </w:pPr>
            <w:r>
              <w:rPr>
                <w:sz w:val="20"/>
              </w:rPr>
              <w:t>Posible exclusión de niños</w:t>
            </w:r>
            <w:r>
              <w:rPr>
                <w:spacing w:val="-9"/>
                <w:sz w:val="20"/>
              </w:rPr>
              <w:t> </w:t>
            </w:r>
            <w:r>
              <w:rPr>
                <w:sz w:val="20"/>
              </w:rPr>
              <w:t>y</w:t>
            </w:r>
            <w:r>
              <w:rPr>
                <w:spacing w:val="-9"/>
                <w:sz w:val="20"/>
              </w:rPr>
              <w:t> </w:t>
            </w:r>
            <w:r>
              <w:rPr>
                <w:sz w:val="20"/>
              </w:rPr>
              <w:t>niñas</w:t>
            </w:r>
            <w:r>
              <w:rPr>
                <w:spacing w:val="-9"/>
                <w:sz w:val="20"/>
              </w:rPr>
              <w:t> </w:t>
            </w:r>
            <w:r>
              <w:rPr>
                <w:sz w:val="20"/>
              </w:rPr>
              <w:t>de</w:t>
            </w:r>
            <w:r>
              <w:rPr>
                <w:spacing w:val="-9"/>
                <w:sz w:val="20"/>
              </w:rPr>
              <w:t> </w:t>
            </w:r>
            <w:r>
              <w:rPr>
                <w:sz w:val="20"/>
              </w:rPr>
              <w:t>hasta</w:t>
            </w:r>
            <w:r>
              <w:rPr>
                <w:spacing w:val="-8"/>
                <w:sz w:val="20"/>
              </w:rPr>
              <w:t> </w:t>
            </w:r>
            <w:r>
              <w:rPr>
                <w:sz w:val="20"/>
              </w:rPr>
              <w:t>12 años, y personas con condición de discapacidad menores</w:t>
            </w:r>
            <w:r>
              <w:rPr>
                <w:spacing w:val="40"/>
                <w:sz w:val="20"/>
              </w:rPr>
              <w:t> </w:t>
            </w:r>
            <w:r>
              <w:rPr>
                <w:sz w:val="20"/>
              </w:rPr>
              <w:t>de 18 años.</w:t>
            </w:r>
          </w:p>
          <w:p>
            <w:pPr>
              <w:pStyle w:val="TableParagraph"/>
              <w:numPr>
                <w:ilvl w:val="0"/>
                <w:numId w:val="32"/>
              </w:numPr>
              <w:tabs>
                <w:tab w:pos="302" w:val="left" w:leader="none"/>
              </w:tabs>
              <w:spacing w:line="240" w:lineRule="auto" w:before="1" w:after="0"/>
              <w:ind w:left="71" w:right="80" w:firstLine="0"/>
              <w:jc w:val="left"/>
              <w:rPr>
                <w:sz w:val="20"/>
              </w:rPr>
            </w:pPr>
            <w:r>
              <w:rPr>
                <w:sz w:val="20"/>
              </w:rPr>
              <w:t>No identificación de la población</w:t>
            </w:r>
            <w:r>
              <w:rPr>
                <w:spacing w:val="-14"/>
                <w:sz w:val="20"/>
              </w:rPr>
              <w:t> </w:t>
            </w:r>
            <w:r>
              <w:rPr>
                <w:sz w:val="20"/>
              </w:rPr>
              <w:t>en</w:t>
            </w:r>
            <w:r>
              <w:rPr>
                <w:spacing w:val="-14"/>
                <w:sz w:val="20"/>
              </w:rPr>
              <w:t> </w:t>
            </w:r>
            <w:r>
              <w:rPr>
                <w:sz w:val="20"/>
              </w:rPr>
              <w:t>situación</w:t>
            </w:r>
            <w:r>
              <w:rPr>
                <w:spacing w:val="-14"/>
                <w:sz w:val="20"/>
              </w:rPr>
              <w:t> </w:t>
            </w:r>
            <w:r>
              <w:rPr>
                <w:sz w:val="20"/>
              </w:rPr>
              <w:t>de violencia</w:t>
            </w:r>
            <w:r>
              <w:rPr>
                <w:spacing w:val="40"/>
                <w:sz w:val="20"/>
              </w:rPr>
              <w:t> </w:t>
            </w:r>
            <w:r>
              <w:rPr>
                <w:sz w:val="20"/>
              </w:rPr>
              <w:t>y sus dependientes para el otorgamiento de subsidios, beneficios y </w:t>
            </w:r>
            <w:r>
              <w:rPr>
                <w:spacing w:val="-2"/>
                <w:sz w:val="20"/>
              </w:rPr>
              <w:t>transferencias monetarias.</w:t>
            </w:r>
          </w:p>
          <w:p>
            <w:pPr>
              <w:pStyle w:val="TableParagraph"/>
              <w:numPr>
                <w:ilvl w:val="0"/>
                <w:numId w:val="32"/>
              </w:numPr>
              <w:tabs>
                <w:tab w:pos="302" w:val="left" w:leader="none"/>
              </w:tabs>
              <w:spacing w:line="240" w:lineRule="auto" w:before="1" w:after="0"/>
              <w:ind w:left="71" w:right="237" w:firstLine="0"/>
              <w:jc w:val="both"/>
              <w:rPr>
                <w:sz w:val="20"/>
              </w:rPr>
            </w:pPr>
            <w:r>
              <w:rPr>
                <w:sz w:val="20"/>
              </w:rPr>
              <w:t>Entrega</w:t>
            </w:r>
            <w:r>
              <w:rPr>
                <w:spacing w:val="-14"/>
                <w:sz w:val="20"/>
              </w:rPr>
              <w:t> </w:t>
            </w:r>
            <w:r>
              <w:rPr>
                <w:sz w:val="20"/>
              </w:rPr>
              <w:t>de</w:t>
            </w:r>
            <w:r>
              <w:rPr>
                <w:spacing w:val="-14"/>
                <w:sz w:val="20"/>
              </w:rPr>
              <w:t> </w:t>
            </w:r>
            <w:r>
              <w:rPr>
                <w:sz w:val="20"/>
              </w:rPr>
              <w:t>subsidios fuera</w:t>
            </w:r>
            <w:r>
              <w:rPr>
                <w:spacing w:val="-4"/>
                <w:sz w:val="20"/>
              </w:rPr>
              <w:t> </w:t>
            </w:r>
            <w:r>
              <w:rPr>
                <w:sz w:val="20"/>
              </w:rPr>
              <w:t>del</w:t>
            </w:r>
            <w:r>
              <w:rPr>
                <w:spacing w:val="-3"/>
                <w:sz w:val="20"/>
              </w:rPr>
              <w:t> </w:t>
            </w:r>
            <w:r>
              <w:rPr>
                <w:sz w:val="20"/>
              </w:rPr>
              <w:t>plazo</w:t>
            </w:r>
            <w:r>
              <w:rPr>
                <w:spacing w:val="-4"/>
                <w:sz w:val="20"/>
              </w:rPr>
              <w:t> </w:t>
            </w:r>
            <w:r>
              <w:rPr>
                <w:sz w:val="20"/>
              </w:rPr>
              <w:t>definido (Veda pesquera).</w:t>
            </w:r>
          </w:p>
          <w:p>
            <w:pPr>
              <w:pStyle w:val="TableParagraph"/>
              <w:numPr>
                <w:ilvl w:val="0"/>
                <w:numId w:val="32"/>
              </w:numPr>
              <w:tabs>
                <w:tab w:pos="302" w:val="left" w:leader="none"/>
              </w:tabs>
              <w:spacing w:line="240" w:lineRule="auto" w:before="0" w:after="0"/>
              <w:ind w:left="71" w:right="91" w:firstLine="0"/>
              <w:jc w:val="left"/>
              <w:rPr>
                <w:sz w:val="20"/>
              </w:rPr>
            </w:pPr>
            <w:r>
              <w:rPr>
                <w:sz w:val="20"/>
              </w:rPr>
              <w:t>No se presenten las solicitudes del subsidio según la programación, ya</w:t>
            </w:r>
            <w:r>
              <w:rPr>
                <w:spacing w:val="-12"/>
                <w:sz w:val="20"/>
              </w:rPr>
              <w:t> </w:t>
            </w:r>
            <w:r>
              <w:rPr>
                <w:sz w:val="20"/>
              </w:rPr>
              <w:t>que</w:t>
            </w:r>
            <w:r>
              <w:rPr>
                <w:spacing w:val="-11"/>
                <w:sz w:val="20"/>
              </w:rPr>
              <w:t> </w:t>
            </w:r>
            <w:r>
              <w:rPr>
                <w:sz w:val="20"/>
              </w:rPr>
              <w:t>las</w:t>
            </w:r>
            <w:r>
              <w:rPr>
                <w:spacing w:val="-11"/>
                <w:sz w:val="20"/>
              </w:rPr>
              <w:t> </w:t>
            </w:r>
            <w:r>
              <w:rPr>
                <w:sz w:val="20"/>
              </w:rPr>
              <w:t>situaciones</w:t>
            </w:r>
            <w:r>
              <w:rPr>
                <w:spacing w:val="-9"/>
                <w:sz w:val="20"/>
              </w:rPr>
              <w:t> </w:t>
            </w:r>
            <w:r>
              <w:rPr>
                <w:sz w:val="20"/>
              </w:rPr>
              <w:t>de emergencia no son eventos previsibles.</w:t>
            </w:r>
          </w:p>
          <w:p>
            <w:pPr>
              <w:pStyle w:val="TableParagraph"/>
              <w:numPr>
                <w:ilvl w:val="0"/>
                <w:numId w:val="32"/>
              </w:numPr>
              <w:tabs>
                <w:tab w:pos="302" w:val="left" w:leader="none"/>
              </w:tabs>
              <w:spacing w:line="240" w:lineRule="auto" w:before="0" w:after="0"/>
              <w:ind w:left="71" w:right="657" w:firstLine="0"/>
              <w:jc w:val="left"/>
              <w:rPr>
                <w:sz w:val="20"/>
              </w:rPr>
            </w:pPr>
            <w:r>
              <w:rPr>
                <w:sz w:val="20"/>
              </w:rPr>
              <w:t>Imposibilidad</w:t>
            </w:r>
            <w:r>
              <w:rPr>
                <w:spacing w:val="-14"/>
                <w:sz w:val="20"/>
              </w:rPr>
              <w:t> </w:t>
            </w:r>
            <w:r>
              <w:rPr>
                <w:sz w:val="20"/>
              </w:rPr>
              <w:t>de otorgamiento del subsidio Costo de </w:t>
            </w:r>
            <w:r>
              <w:rPr>
                <w:spacing w:val="-2"/>
                <w:sz w:val="20"/>
              </w:rPr>
              <w:t>Atención.</w:t>
            </w:r>
          </w:p>
        </w:tc>
      </w:tr>
      <w:tr>
        <w:trPr>
          <w:trHeight w:val="2532" w:hRule="atLeast"/>
        </w:trPr>
        <w:tc>
          <w:tcPr>
            <w:tcW w:w="2835" w:type="dxa"/>
          </w:tcPr>
          <w:p>
            <w:pPr>
              <w:pStyle w:val="TableParagraph"/>
              <w:ind w:left="69" w:right="100"/>
              <w:rPr>
                <w:sz w:val="20"/>
              </w:rPr>
            </w:pPr>
            <w:r>
              <w:rPr>
                <w:b/>
                <w:sz w:val="20"/>
              </w:rPr>
              <w:t>Actividad PPPS 1.1.3: </w:t>
            </w:r>
            <w:r>
              <w:rPr>
                <w:sz w:val="20"/>
              </w:rPr>
              <w:t>Otorgamiento de transferencias económicas a personas jóvenes de 18 a 25 años que egresan del Sistema Nacional de Protección</w:t>
            </w:r>
            <w:r>
              <w:rPr>
                <w:spacing w:val="-14"/>
                <w:sz w:val="20"/>
              </w:rPr>
              <w:t> </w:t>
            </w:r>
            <w:r>
              <w:rPr>
                <w:sz w:val="20"/>
              </w:rPr>
              <w:t>Especial</w:t>
            </w:r>
            <w:r>
              <w:rPr>
                <w:spacing w:val="-14"/>
                <w:sz w:val="20"/>
              </w:rPr>
              <w:t> </w:t>
            </w:r>
            <w:r>
              <w:rPr>
                <w:sz w:val="20"/>
              </w:rPr>
              <w:t>del</w:t>
            </w:r>
            <w:r>
              <w:rPr>
                <w:spacing w:val="-13"/>
                <w:sz w:val="20"/>
              </w:rPr>
              <w:t> </w:t>
            </w:r>
            <w:r>
              <w:rPr>
                <w:sz w:val="20"/>
              </w:rPr>
              <w:t>PANI, así como a personas con condición de discapacidad</w:t>
            </w:r>
          </w:p>
          <w:p>
            <w:pPr>
              <w:pStyle w:val="TableParagraph"/>
              <w:spacing w:line="230" w:lineRule="atLeast"/>
              <w:ind w:left="69"/>
              <w:rPr>
                <w:sz w:val="20"/>
              </w:rPr>
            </w:pPr>
            <w:r>
              <w:rPr>
                <w:sz w:val="20"/>
              </w:rPr>
              <w:t>permanente</w:t>
            </w:r>
            <w:r>
              <w:rPr>
                <w:spacing w:val="-10"/>
                <w:sz w:val="20"/>
              </w:rPr>
              <w:t> </w:t>
            </w:r>
            <w:r>
              <w:rPr>
                <w:sz w:val="20"/>
              </w:rPr>
              <w:t>entre</w:t>
            </w:r>
            <w:r>
              <w:rPr>
                <w:spacing w:val="-8"/>
                <w:sz w:val="20"/>
              </w:rPr>
              <w:t> </w:t>
            </w:r>
            <w:r>
              <w:rPr>
                <w:sz w:val="20"/>
              </w:rPr>
              <w:t>los</w:t>
            </w:r>
            <w:r>
              <w:rPr>
                <w:spacing w:val="-9"/>
                <w:sz w:val="20"/>
              </w:rPr>
              <w:t> </w:t>
            </w:r>
            <w:r>
              <w:rPr>
                <w:sz w:val="20"/>
              </w:rPr>
              <w:t>18</w:t>
            </w:r>
            <w:r>
              <w:rPr>
                <w:spacing w:val="-8"/>
                <w:sz w:val="20"/>
              </w:rPr>
              <w:t> </w:t>
            </w:r>
            <w:r>
              <w:rPr>
                <w:sz w:val="20"/>
              </w:rPr>
              <w:t>y</w:t>
            </w:r>
            <w:r>
              <w:rPr>
                <w:spacing w:val="-9"/>
                <w:sz w:val="20"/>
              </w:rPr>
              <w:t> </w:t>
            </w:r>
            <w:r>
              <w:rPr>
                <w:sz w:val="20"/>
              </w:rPr>
              <w:t>los 25 años.</w:t>
            </w:r>
          </w:p>
        </w:tc>
        <w:tc>
          <w:tcPr>
            <w:tcW w:w="1133" w:type="dxa"/>
          </w:tcPr>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p>
            <w:pPr>
              <w:pStyle w:val="TableParagraph"/>
              <w:ind w:left="5" w:right="1"/>
              <w:jc w:val="center"/>
              <w:rPr>
                <w:sz w:val="20"/>
              </w:rPr>
            </w:pPr>
            <w:r>
              <w:rPr>
                <w:spacing w:val="-5"/>
                <w:sz w:val="20"/>
              </w:rPr>
              <w:t>495</w:t>
            </w:r>
          </w:p>
        </w:tc>
        <w:tc>
          <w:tcPr>
            <w:tcW w:w="1422" w:type="dxa"/>
          </w:tcPr>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p>
            <w:pPr>
              <w:pStyle w:val="TableParagraph"/>
              <w:ind w:left="8" w:right="5"/>
              <w:jc w:val="center"/>
              <w:rPr>
                <w:sz w:val="20"/>
              </w:rPr>
            </w:pPr>
            <w:r>
              <w:rPr>
                <w:spacing w:val="-5"/>
                <w:sz w:val="20"/>
              </w:rPr>
              <w:t>550</w:t>
            </w:r>
          </w:p>
        </w:tc>
        <w:tc>
          <w:tcPr>
            <w:tcW w:w="1558" w:type="dxa"/>
          </w:tcPr>
          <w:p>
            <w:pPr>
              <w:pStyle w:val="TableParagraph"/>
              <w:rPr>
                <w:b/>
                <w:sz w:val="20"/>
              </w:rPr>
            </w:pPr>
          </w:p>
          <w:p>
            <w:pPr>
              <w:pStyle w:val="TableParagraph"/>
              <w:spacing w:before="115"/>
              <w:rPr>
                <w:b/>
                <w:sz w:val="20"/>
              </w:rPr>
            </w:pPr>
          </w:p>
          <w:p>
            <w:pPr>
              <w:pStyle w:val="TableParagraph"/>
              <w:ind w:left="68" w:right="261"/>
              <w:rPr>
                <w:sz w:val="20"/>
              </w:rPr>
            </w:pPr>
            <w:r>
              <w:rPr>
                <w:sz w:val="20"/>
              </w:rPr>
              <w:t>Cantidad de personas</w:t>
            </w:r>
            <w:r>
              <w:rPr>
                <w:spacing w:val="-14"/>
                <w:sz w:val="20"/>
              </w:rPr>
              <w:t> </w:t>
            </w:r>
            <w:r>
              <w:rPr>
                <w:sz w:val="20"/>
              </w:rPr>
              <w:t>que reciben el subsidio de </w:t>
            </w:r>
            <w:r>
              <w:rPr>
                <w:spacing w:val="-2"/>
                <w:sz w:val="20"/>
              </w:rPr>
              <w:t>Prestación Alimentaria.</w:t>
            </w:r>
          </w:p>
        </w:tc>
        <w:tc>
          <w:tcPr>
            <w:tcW w:w="1419" w:type="dxa"/>
          </w:tcPr>
          <w:p>
            <w:pPr>
              <w:pStyle w:val="TableParagraph"/>
              <w:rPr>
                <w:b/>
                <w:sz w:val="20"/>
              </w:rPr>
            </w:pPr>
          </w:p>
          <w:p>
            <w:pPr>
              <w:pStyle w:val="TableParagraph"/>
              <w:rPr>
                <w:b/>
                <w:sz w:val="20"/>
              </w:rPr>
            </w:pPr>
          </w:p>
          <w:p>
            <w:pPr>
              <w:pStyle w:val="TableParagraph"/>
              <w:spacing w:before="115"/>
              <w:rPr>
                <w:b/>
                <w:sz w:val="20"/>
              </w:rPr>
            </w:pPr>
          </w:p>
          <w:p>
            <w:pPr>
              <w:pStyle w:val="TableParagraph"/>
              <w:spacing w:before="1"/>
              <w:ind w:left="68" w:right="102"/>
              <w:rPr>
                <w:sz w:val="20"/>
              </w:rPr>
            </w:pPr>
            <w:r>
              <w:rPr>
                <w:sz w:val="20"/>
              </w:rPr>
              <w:t>Informes</w:t>
            </w:r>
            <w:r>
              <w:rPr>
                <w:spacing w:val="-14"/>
                <w:sz w:val="20"/>
              </w:rPr>
              <w:t> </w:t>
            </w:r>
            <w:r>
              <w:rPr>
                <w:sz w:val="20"/>
              </w:rPr>
              <w:t>de </w:t>
            </w:r>
            <w:r>
              <w:rPr>
                <w:spacing w:val="-2"/>
                <w:sz w:val="20"/>
              </w:rPr>
              <w:t>ejecución elaborados </w:t>
            </w:r>
            <w:r>
              <w:rPr>
                <w:sz w:val="20"/>
              </w:rPr>
              <w:t>por</w:t>
            </w:r>
            <w:r>
              <w:rPr>
                <w:spacing w:val="-14"/>
                <w:sz w:val="20"/>
              </w:rPr>
              <w:t> </w:t>
            </w:r>
            <w:r>
              <w:rPr>
                <w:sz w:val="20"/>
              </w:rPr>
              <w:t>el</w:t>
            </w:r>
            <w:r>
              <w:rPr>
                <w:spacing w:val="-14"/>
                <w:sz w:val="20"/>
              </w:rPr>
              <w:t> </w:t>
            </w:r>
            <w:r>
              <w:rPr>
                <w:sz w:val="20"/>
              </w:rPr>
              <w:t>DSIS.</w:t>
            </w:r>
          </w:p>
        </w:tc>
        <w:tc>
          <w:tcPr>
            <w:tcW w:w="1416" w:type="dxa"/>
          </w:tcPr>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p>
            <w:pPr>
              <w:pStyle w:val="TableParagraph"/>
              <w:ind w:left="43" w:right="42"/>
              <w:jc w:val="center"/>
              <w:rPr>
                <w:sz w:val="20"/>
              </w:rPr>
            </w:pPr>
            <w:r>
              <w:rPr>
                <w:spacing w:val="-5"/>
                <w:sz w:val="20"/>
              </w:rPr>
              <w:t>DBF</w:t>
            </w:r>
          </w:p>
        </w:tc>
        <w:tc>
          <w:tcPr>
            <w:tcW w:w="1840" w:type="dxa"/>
          </w:tcPr>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p>
            <w:pPr>
              <w:pStyle w:val="TableParagraph"/>
              <w:ind w:left="233"/>
              <w:rPr>
                <w:sz w:val="20"/>
              </w:rPr>
            </w:pPr>
            <w:r>
              <w:rPr>
                <w:sz w:val="20"/>
              </w:rPr>
              <w:t>₡</w:t>
            </w:r>
            <w:r>
              <w:rPr>
                <w:spacing w:val="-4"/>
                <w:sz w:val="20"/>
              </w:rPr>
              <w:t> </w:t>
            </w:r>
            <w:r>
              <w:rPr>
                <w:sz w:val="20"/>
              </w:rPr>
              <w:t>2</w:t>
            </w:r>
            <w:r>
              <w:rPr>
                <w:spacing w:val="-2"/>
                <w:sz w:val="20"/>
              </w:rPr>
              <w:t> </w:t>
            </w:r>
            <w:r>
              <w:rPr>
                <w:sz w:val="20"/>
              </w:rPr>
              <w:t>311</w:t>
            </w:r>
            <w:r>
              <w:rPr>
                <w:spacing w:val="-2"/>
                <w:sz w:val="20"/>
              </w:rPr>
              <w:t> </w:t>
            </w:r>
            <w:r>
              <w:rPr>
                <w:sz w:val="20"/>
              </w:rPr>
              <w:t>457</w:t>
            </w:r>
            <w:r>
              <w:rPr>
                <w:spacing w:val="-3"/>
                <w:sz w:val="20"/>
              </w:rPr>
              <w:t> </w:t>
            </w:r>
            <w:r>
              <w:rPr>
                <w:spacing w:val="-5"/>
                <w:sz w:val="20"/>
              </w:rPr>
              <w:t>500</w:t>
            </w:r>
          </w:p>
        </w:tc>
        <w:tc>
          <w:tcPr>
            <w:tcW w:w="2418" w:type="dxa"/>
            <w:vMerge/>
            <w:tcBorders>
              <w:top w:val="nil"/>
            </w:tcBorders>
          </w:tcPr>
          <w:p>
            <w:pPr>
              <w:rPr>
                <w:sz w:val="2"/>
                <w:szCs w:val="2"/>
              </w:rPr>
            </w:pPr>
          </w:p>
        </w:tc>
      </w:tr>
      <w:tr>
        <w:trPr>
          <w:trHeight w:val="2298" w:hRule="atLeast"/>
        </w:trPr>
        <w:tc>
          <w:tcPr>
            <w:tcW w:w="2835" w:type="dxa"/>
          </w:tcPr>
          <w:p>
            <w:pPr>
              <w:pStyle w:val="TableParagraph"/>
              <w:ind w:left="69" w:right="107"/>
              <w:rPr>
                <w:b/>
                <w:i/>
                <w:sz w:val="20"/>
              </w:rPr>
            </w:pPr>
            <w:r>
              <w:rPr>
                <w:b/>
                <w:sz w:val="20"/>
              </w:rPr>
              <w:t>Actividad PPPS 1.1.4: </w:t>
            </w:r>
            <w:r>
              <w:rPr>
                <w:sz w:val="20"/>
              </w:rPr>
              <w:t>Otorgamiento de transferencias</w:t>
            </w:r>
            <w:r>
              <w:rPr>
                <w:spacing w:val="-14"/>
                <w:sz w:val="20"/>
              </w:rPr>
              <w:t> </w:t>
            </w:r>
            <w:r>
              <w:rPr>
                <w:sz w:val="20"/>
              </w:rPr>
              <w:t>económicas</w:t>
            </w:r>
            <w:r>
              <w:rPr>
                <w:spacing w:val="-14"/>
                <w:sz w:val="20"/>
              </w:rPr>
              <w:t> </w:t>
            </w:r>
            <w:r>
              <w:rPr>
                <w:sz w:val="20"/>
              </w:rPr>
              <w:t>a hogares que enfrentan situaciones de violencia intrafamiliar y violencia de género </w:t>
            </w:r>
            <w:r>
              <w:rPr>
                <w:b/>
                <w:i/>
                <w:sz w:val="20"/>
              </w:rPr>
              <w:t>(vinculación al</w:t>
            </w:r>
            <w:r>
              <w:rPr>
                <w:b/>
                <w:i/>
                <w:sz w:val="20"/>
              </w:rPr>
              <w:t> PLANOVI, indicadores 4.2.1.1, 4.7.2, 5.1.2.1.1 y</w:t>
            </w:r>
          </w:p>
          <w:p>
            <w:pPr>
              <w:pStyle w:val="TableParagraph"/>
              <w:spacing w:line="210" w:lineRule="exact"/>
              <w:ind w:left="69"/>
              <w:rPr>
                <w:b/>
                <w:i/>
                <w:sz w:val="20"/>
              </w:rPr>
            </w:pPr>
            <w:r>
              <w:rPr>
                <w:b/>
                <w:i/>
                <w:spacing w:val="-2"/>
                <w:sz w:val="20"/>
              </w:rPr>
              <w:t>5.1.1)</w:t>
            </w:r>
          </w:p>
        </w:tc>
        <w:tc>
          <w:tcPr>
            <w:tcW w:w="1133" w:type="dxa"/>
          </w:tcPr>
          <w:p>
            <w:pPr>
              <w:pStyle w:val="TableParagraph"/>
              <w:rPr>
                <w:b/>
                <w:sz w:val="20"/>
              </w:rPr>
            </w:pPr>
          </w:p>
          <w:p>
            <w:pPr>
              <w:pStyle w:val="TableParagraph"/>
              <w:rPr>
                <w:b/>
                <w:sz w:val="20"/>
              </w:rPr>
            </w:pPr>
          </w:p>
          <w:p>
            <w:pPr>
              <w:pStyle w:val="TableParagraph"/>
              <w:rPr>
                <w:b/>
                <w:sz w:val="20"/>
              </w:rPr>
            </w:pPr>
          </w:p>
          <w:p>
            <w:pPr>
              <w:pStyle w:val="TableParagraph"/>
              <w:spacing w:before="113"/>
              <w:rPr>
                <w:b/>
                <w:sz w:val="20"/>
              </w:rPr>
            </w:pPr>
          </w:p>
          <w:p>
            <w:pPr>
              <w:pStyle w:val="TableParagraph"/>
              <w:spacing w:before="1"/>
              <w:ind w:left="5" w:right="1"/>
              <w:jc w:val="center"/>
              <w:rPr>
                <w:sz w:val="20"/>
              </w:rPr>
            </w:pPr>
            <w:r>
              <w:rPr>
                <w:sz w:val="20"/>
              </w:rPr>
              <w:t>2</w:t>
            </w:r>
            <w:r>
              <w:rPr>
                <w:spacing w:val="-3"/>
                <w:sz w:val="20"/>
              </w:rPr>
              <w:t> </w:t>
            </w:r>
            <w:r>
              <w:rPr>
                <w:spacing w:val="-5"/>
                <w:sz w:val="20"/>
              </w:rPr>
              <w:t>703</w:t>
            </w:r>
          </w:p>
        </w:tc>
        <w:tc>
          <w:tcPr>
            <w:tcW w:w="1422" w:type="dxa"/>
          </w:tcPr>
          <w:p>
            <w:pPr>
              <w:pStyle w:val="TableParagraph"/>
              <w:rPr>
                <w:b/>
                <w:sz w:val="20"/>
              </w:rPr>
            </w:pPr>
          </w:p>
          <w:p>
            <w:pPr>
              <w:pStyle w:val="TableParagraph"/>
              <w:spacing w:before="228"/>
              <w:rPr>
                <w:b/>
                <w:sz w:val="20"/>
              </w:rPr>
            </w:pPr>
          </w:p>
          <w:p>
            <w:pPr>
              <w:pStyle w:val="TableParagraph"/>
              <w:ind w:left="8"/>
              <w:jc w:val="center"/>
              <w:rPr>
                <w:sz w:val="20"/>
              </w:rPr>
            </w:pPr>
            <w:r>
              <w:rPr>
                <w:sz w:val="20"/>
              </w:rPr>
              <w:t>No</w:t>
            </w:r>
            <w:r>
              <w:rPr>
                <w:spacing w:val="-14"/>
                <w:sz w:val="20"/>
              </w:rPr>
              <w:t> </w:t>
            </w:r>
            <w:r>
              <w:rPr>
                <w:sz w:val="20"/>
              </w:rPr>
              <w:t>se</w:t>
            </w:r>
            <w:r>
              <w:rPr>
                <w:spacing w:val="-14"/>
                <w:sz w:val="20"/>
              </w:rPr>
              <w:t> </w:t>
            </w:r>
            <w:r>
              <w:rPr>
                <w:sz w:val="20"/>
              </w:rPr>
              <w:t>define meta al ser eventos no </w:t>
            </w:r>
            <w:r>
              <w:rPr>
                <w:spacing w:val="-2"/>
                <w:sz w:val="20"/>
              </w:rPr>
              <w:t>previsibles</w:t>
            </w:r>
          </w:p>
        </w:tc>
        <w:tc>
          <w:tcPr>
            <w:tcW w:w="1558" w:type="dxa"/>
          </w:tcPr>
          <w:p>
            <w:pPr>
              <w:pStyle w:val="TableParagraph"/>
              <w:spacing w:before="112"/>
              <w:rPr>
                <w:b/>
                <w:sz w:val="20"/>
              </w:rPr>
            </w:pPr>
          </w:p>
          <w:p>
            <w:pPr>
              <w:pStyle w:val="TableParagraph"/>
              <w:ind w:left="68" w:right="161"/>
              <w:rPr>
                <w:sz w:val="20"/>
              </w:rPr>
            </w:pPr>
            <w:r>
              <w:rPr>
                <w:sz w:val="20"/>
              </w:rPr>
              <w:t>Cantidad de hogares que reciben el </w:t>
            </w:r>
            <w:r>
              <w:rPr>
                <w:spacing w:val="-2"/>
                <w:sz w:val="20"/>
              </w:rPr>
              <w:t>subsidio </w:t>
            </w:r>
            <w:r>
              <w:rPr>
                <w:sz w:val="20"/>
              </w:rPr>
              <w:t>Atención de Situaciones</w:t>
            </w:r>
            <w:r>
              <w:rPr>
                <w:spacing w:val="-14"/>
                <w:sz w:val="20"/>
              </w:rPr>
              <w:t> </w:t>
            </w:r>
            <w:r>
              <w:rPr>
                <w:sz w:val="20"/>
              </w:rPr>
              <w:t>de </w:t>
            </w:r>
            <w:r>
              <w:rPr>
                <w:spacing w:val="-2"/>
                <w:sz w:val="20"/>
              </w:rPr>
              <w:t>Violencia.</w:t>
            </w:r>
          </w:p>
        </w:tc>
        <w:tc>
          <w:tcPr>
            <w:tcW w:w="1419" w:type="dxa"/>
          </w:tcPr>
          <w:p>
            <w:pPr>
              <w:pStyle w:val="TableParagraph"/>
              <w:rPr>
                <w:b/>
                <w:sz w:val="20"/>
              </w:rPr>
            </w:pPr>
          </w:p>
          <w:p>
            <w:pPr>
              <w:pStyle w:val="TableParagraph"/>
              <w:spacing w:before="228"/>
              <w:rPr>
                <w:b/>
                <w:sz w:val="20"/>
              </w:rPr>
            </w:pPr>
          </w:p>
          <w:p>
            <w:pPr>
              <w:pStyle w:val="TableParagraph"/>
              <w:ind w:left="68" w:right="102"/>
              <w:rPr>
                <w:sz w:val="20"/>
              </w:rPr>
            </w:pPr>
            <w:r>
              <w:rPr>
                <w:sz w:val="20"/>
              </w:rPr>
              <w:t>Informes</w:t>
            </w:r>
            <w:r>
              <w:rPr>
                <w:spacing w:val="-14"/>
                <w:sz w:val="20"/>
              </w:rPr>
              <w:t> </w:t>
            </w:r>
            <w:r>
              <w:rPr>
                <w:sz w:val="20"/>
              </w:rPr>
              <w:t>de </w:t>
            </w:r>
            <w:r>
              <w:rPr>
                <w:spacing w:val="-2"/>
                <w:sz w:val="20"/>
              </w:rPr>
              <w:t>ejecución elaborados </w:t>
            </w:r>
            <w:r>
              <w:rPr>
                <w:sz w:val="20"/>
              </w:rPr>
              <w:t>por</w:t>
            </w:r>
            <w:r>
              <w:rPr>
                <w:spacing w:val="-14"/>
                <w:sz w:val="20"/>
              </w:rPr>
              <w:t> </w:t>
            </w:r>
            <w:r>
              <w:rPr>
                <w:sz w:val="20"/>
              </w:rPr>
              <w:t>el</w:t>
            </w:r>
            <w:r>
              <w:rPr>
                <w:spacing w:val="-14"/>
                <w:sz w:val="20"/>
              </w:rPr>
              <w:t> </w:t>
            </w:r>
            <w:r>
              <w:rPr>
                <w:sz w:val="20"/>
              </w:rPr>
              <w:t>DSIS.</w:t>
            </w:r>
          </w:p>
        </w:tc>
        <w:tc>
          <w:tcPr>
            <w:tcW w:w="1416" w:type="dxa"/>
          </w:tcPr>
          <w:p>
            <w:pPr>
              <w:pStyle w:val="TableParagraph"/>
              <w:rPr>
                <w:b/>
                <w:sz w:val="20"/>
              </w:rPr>
            </w:pPr>
          </w:p>
          <w:p>
            <w:pPr>
              <w:pStyle w:val="TableParagraph"/>
              <w:rPr>
                <w:b/>
                <w:sz w:val="20"/>
              </w:rPr>
            </w:pPr>
          </w:p>
          <w:p>
            <w:pPr>
              <w:pStyle w:val="TableParagraph"/>
              <w:rPr>
                <w:b/>
                <w:sz w:val="20"/>
              </w:rPr>
            </w:pPr>
          </w:p>
          <w:p>
            <w:pPr>
              <w:pStyle w:val="TableParagraph"/>
              <w:spacing w:before="113"/>
              <w:rPr>
                <w:b/>
                <w:sz w:val="20"/>
              </w:rPr>
            </w:pPr>
          </w:p>
          <w:p>
            <w:pPr>
              <w:pStyle w:val="TableParagraph"/>
              <w:spacing w:before="1"/>
              <w:ind w:left="43" w:right="42"/>
              <w:jc w:val="center"/>
              <w:rPr>
                <w:sz w:val="20"/>
              </w:rPr>
            </w:pPr>
            <w:r>
              <w:rPr>
                <w:spacing w:val="-5"/>
                <w:sz w:val="20"/>
              </w:rPr>
              <w:t>DBF</w:t>
            </w:r>
          </w:p>
        </w:tc>
        <w:tc>
          <w:tcPr>
            <w:tcW w:w="1840" w:type="dxa"/>
          </w:tcPr>
          <w:p>
            <w:pPr>
              <w:pStyle w:val="TableParagraph"/>
              <w:rPr>
                <w:b/>
                <w:sz w:val="20"/>
              </w:rPr>
            </w:pPr>
          </w:p>
          <w:p>
            <w:pPr>
              <w:pStyle w:val="TableParagraph"/>
              <w:rPr>
                <w:b/>
                <w:sz w:val="20"/>
              </w:rPr>
            </w:pPr>
          </w:p>
          <w:p>
            <w:pPr>
              <w:pStyle w:val="TableParagraph"/>
              <w:rPr>
                <w:b/>
                <w:sz w:val="20"/>
              </w:rPr>
            </w:pPr>
          </w:p>
          <w:p>
            <w:pPr>
              <w:pStyle w:val="TableParagraph"/>
              <w:spacing w:before="113"/>
              <w:rPr>
                <w:b/>
                <w:sz w:val="20"/>
              </w:rPr>
            </w:pPr>
          </w:p>
          <w:p>
            <w:pPr>
              <w:pStyle w:val="TableParagraph"/>
              <w:spacing w:before="1"/>
              <w:ind w:left="290"/>
              <w:rPr>
                <w:sz w:val="20"/>
              </w:rPr>
            </w:pPr>
            <w:r>
              <w:rPr>
                <w:sz w:val="20"/>
              </w:rPr>
              <w:t>₡</w:t>
            </w:r>
            <w:r>
              <w:rPr>
                <w:spacing w:val="-4"/>
                <w:sz w:val="20"/>
              </w:rPr>
              <w:t> </w:t>
            </w:r>
            <w:r>
              <w:rPr>
                <w:sz w:val="20"/>
              </w:rPr>
              <w:t>2</w:t>
            </w:r>
            <w:r>
              <w:rPr>
                <w:spacing w:val="-4"/>
                <w:sz w:val="20"/>
              </w:rPr>
              <w:t> </w:t>
            </w:r>
            <w:r>
              <w:rPr>
                <w:sz w:val="20"/>
              </w:rPr>
              <w:t>700</w:t>
            </w:r>
            <w:r>
              <w:rPr>
                <w:spacing w:val="-3"/>
                <w:sz w:val="20"/>
              </w:rPr>
              <w:t> </w:t>
            </w:r>
            <w:r>
              <w:rPr>
                <w:sz w:val="20"/>
              </w:rPr>
              <w:t>000</w:t>
            </w:r>
            <w:r>
              <w:rPr>
                <w:spacing w:val="-2"/>
                <w:sz w:val="20"/>
              </w:rPr>
              <w:t> </w:t>
            </w:r>
            <w:r>
              <w:rPr>
                <w:spacing w:val="-5"/>
                <w:sz w:val="20"/>
              </w:rPr>
              <w:t>000</w:t>
            </w:r>
          </w:p>
        </w:tc>
        <w:tc>
          <w:tcPr>
            <w:tcW w:w="2418"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1133"/>
        <w:gridCol w:w="1422"/>
        <w:gridCol w:w="1558"/>
        <w:gridCol w:w="1419"/>
        <w:gridCol w:w="1416"/>
        <w:gridCol w:w="1840"/>
        <w:gridCol w:w="2418"/>
      </w:tblGrid>
      <w:tr>
        <w:trPr>
          <w:trHeight w:val="962" w:hRule="atLeast"/>
        </w:trPr>
        <w:tc>
          <w:tcPr>
            <w:tcW w:w="2835" w:type="dxa"/>
            <w:shd w:val="clear" w:color="auto" w:fill="F1F1F1"/>
          </w:tcPr>
          <w:p>
            <w:pPr>
              <w:pStyle w:val="TableParagraph"/>
              <w:spacing w:before="134"/>
              <w:rPr>
                <w:b/>
                <w:sz w:val="20"/>
              </w:rPr>
            </w:pPr>
          </w:p>
          <w:p>
            <w:pPr>
              <w:pStyle w:val="TableParagraph"/>
              <w:ind w:left="338"/>
              <w:rPr>
                <w:b/>
                <w:sz w:val="20"/>
              </w:rPr>
            </w:pPr>
            <w:r>
              <w:rPr>
                <w:b/>
                <w:sz w:val="20"/>
              </w:rPr>
              <w:t>Objetivos</w:t>
            </w:r>
            <w:r>
              <w:rPr>
                <w:b/>
                <w:spacing w:val="-9"/>
                <w:sz w:val="20"/>
              </w:rPr>
              <w:t> </w:t>
            </w:r>
            <w:r>
              <w:rPr>
                <w:b/>
                <w:sz w:val="20"/>
              </w:rPr>
              <w:t>/</w:t>
            </w:r>
            <w:r>
              <w:rPr>
                <w:b/>
                <w:spacing w:val="-9"/>
                <w:sz w:val="20"/>
              </w:rPr>
              <w:t> </w:t>
            </w:r>
            <w:r>
              <w:rPr>
                <w:b/>
                <w:spacing w:val="-2"/>
                <w:sz w:val="20"/>
              </w:rPr>
              <w:t>Resultados</w:t>
            </w:r>
          </w:p>
        </w:tc>
        <w:tc>
          <w:tcPr>
            <w:tcW w:w="1133" w:type="dxa"/>
            <w:shd w:val="clear" w:color="auto" w:fill="F1F1F1"/>
          </w:tcPr>
          <w:p>
            <w:pPr>
              <w:pStyle w:val="TableParagraph"/>
              <w:ind w:left="275" w:right="270" w:firstLine="28"/>
              <w:jc w:val="both"/>
              <w:rPr>
                <w:b/>
                <w:sz w:val="20"/>
              </w:rPr>
            </w:pPr>
            <w:r>
              <w:rPr>
                <w:b/>
                <w:spacing w:val="-4"/>
                <w:sz w:val="20"/>
              </w:rPr>
              <w:t>Línea Base </w:t>
            </w:r>
            <w:r>
              <w:rPr>
                <w:b/>
                <w:spacing w:val="-2"/>
                <w:sz w:val="20"/>
              </w:rPr>
              <w:t>(2025)</w:t>
            </w:r>
          </w:p>
        </w:tc>
        <w:tc>
          <w:tcPr>
            <w:tcW w:w="1422" w:type="dxa"/>
            <w:shd w:val="clear" w:color="auto" w:fill="F1F1F1"/>
          </w:tcPr>
          <w:p>
            <w:pPr>
              <w:pStyle w:val="TableParagraph"/>
              <w:spacing w:before="134"/>
              <w:ind w:left="131" w:right="124" w:firstLine="1"/>
              <w:jc w:val="center"/>
              <w:rPr>
                <w:b/>
                <w:sz w:val="20"/>
              </w:rPr>
            </w:pPr>
            <w:r>
              <w:rPr>
                <w:b/>
                <w:spacing w:val="-4"/>
                <w:sz w:val="20"/>
              </w:rPr>
              <w:t>Meta </w:t>
            </w:r>
            <w:r>
              <w:rPr>
                <w:b/>
                <w:spacing w:val="-2"/>
                <w:sz w:val="20"/>
              </w:rPr>
              <w:t>programada </w:t>
            </w:r>
            <w:r>
              <w:rPr>
                <w:b/>
                <w:spacing w:val="-4"/>
                <w:sz w:val="20"/>
              </w:rPr>
              <w:t>2027</w:t>
            </w:r>
          </w:p>
        </w:tc>
        <w:tc>
          <w:tcPr>
            <w:tcW w:w="1558" w:type="dxa"/>
            <w:shd w:val="clear" w:color="auto" w:fill="F1F1F1"/>
          </w:tcPr>
          <w:p>
            <w:pPr>
              <w:pStyle w:val="TableParagraph"/>
              <w:spacing w:before="134"/>
              <w:rPr>
                <w:b/>
                <w:sz w:val="20"/>
              </w:rPr>
            </w:pPr>
          </w:p>
          <w:p>
            <w:pPr>
              <w:pStyle w:val="TableParagraph"/>
              <w:ind w:left="327"/>
              <w:rPr>
                <w:b/>
                <w:sz w:val="20"/>
              </w:rPr>
            </w:pPr>
            <w:r>
              <w:rPr>
                <w:b/>
                <w:spacing w:val="-2"/>
                <w:sz w:val="20"/>
              </w:rPr>
              <w:t>Indicador</w:t>
            </w:r>
          </w:p>
        </w:tc>
        <w:tc>
          <w:tcPr>
            <w:tcW w:w="1419" w:type="dxa"/>
            <w:shd w:val="clear" w:color="auto" w:fill="F1F1F1"/>
          </w:tcPr>
          <w:p>
            <w:pPr>
              <w:pStyle w:val="TableParagraph"/>
              <w:spacing w:before="19"/>
              <w:rPr>
                <w:b/>
                <w:sz w:val="20"/>
              </w:rPr>
            </w:pPr>
          </w:p>
          <w:p>
            <w:pPr>
              <w:pStyle w:val="TableParagraph"/>
              <w:ind w:left="149" w:right="102" w:firstLine="67"/>
              <w:rPr>
                <w:b/>
                <w:sz w:val="20"/>
              </w:rPr>
            </w:pPr>
            <w:r>
              <w:rPr>
                <w:b/>
                <w:sz w:val="20"/>
              </w:rPr>
              <w:t>Medios de </w:t>
            </w:r>
            <w:r>
              <w:rPr>
                <w:b/>
                <w:spacing w:val="-2"/>
                <w:sz w:val="20"/>
              </w:rPr>
              <w:t>verificación</w:t>
            </w:r>
          </w:p>
        </w:tc>
        <w:tc>
          <w:tcPr>
            <w:tcW w:w="1416" w:type="dxa"/>
            <w:shd w:val="clear" w:color="auto" w:fill="F1F1F1"/>
          </w:tcPr>
          <w:p>
            <w:pPr>
              <w:pStyle w:val="TableParagraph"/>
              <w:spacing w:before="134"/>
              <w:rPr>
                <w:b/>
                <w:sz w:val="20"/>
              </w:rPr>
            </w:pPr>
          </w:p>
          <w:p>
            <w:pPr>
              <w:pStyle w:val="TableParagraph"/>
              <w:ind w:left="43" w:right="42"/>
              <w:jc w:val="center"/>
              <w:rPr>
                <w:b/>
                <w:sz w:val="20"/>
              </w:rPr>
            </w:pPr>
            <w:r>
              <w:rPr>
                <w:b/>
                <w:spacing w:val="-2"/>
                <w:sz w:val="20"/>
              </w:rPr>
              <w:t>Responsable</w:t>
            </w:r>
          </w:p>
        </w:tc>
        <w:tc>
          <w:tcPr>
            <w:tcW w:w="1840" w:type="dxa"/>
            <w:shd w:val="clear" w:color="auto" w:fill="F1F1F1"/>
          </w:tcPr>
          <w:p>
            <w:pPr>
              <w:pStyle w:val="TableParagraph"/>
              <w:spacing w:before="19"/>
              <w:rPr>
                <w:b/>
                <w:sz w:val="20"/>
              </w:rPr>
            </w:pPr>
          </w:p>
          <w:p>
            <w:pPr>
              <w:pStyle w:val="TableParagraph"/>
              <w:ind w:left="480" w:hanging="140"/>
              <w:rPr>
                <w:b/>
                <w:sz w:val="20"/>
              </w:rPr>
            </w:pPr>
            <w:r>
              <w:rPr>
                <w:b/>
                <w:spacing w:val="-2"/>
                <w:sz w:val="20"/>
              </w:rPr>
              <w:t>Presupuesto asignado</w:t>
            </w:r>
          </w:p>
        </w:tc>
        <w:tc>
          <w:tcPr>
            <w:tcW w:w="2418" w:type="dxa"/>
            <w:tcBorders>
              <w:bottom w:val="nil"/>
            </w:tcBorders>
            <w:shd w:val="clear" w:color="auto" w:fill="F1F1F1"/>
          </w:tcPr>
          <w:p>
            <w:pPr>
              <w:pStyle w:val="TableParagraph"/>
              <w:spacing w:before="19"/>
              <w:rPr>
                <w:b/>
                <w:sz w:val="20"/>
              </w:rPr>
            </w:pPr>
          </w:p>
          <w:p>
            <w:pPr>
              <w:pStyle w:val="TableParagraph"/>
              <w:ind w:left="558" w:hanging="368"/>
              <w:rPr>
                <w:b/>
                <w:sz w:val="20"/>
              </w:rPr>
            </w:pPr>
            <w:r>
              <w:rPr>
                <w:b/>
                <w:sz w:val="20"/>
              </w:rPr>
              <w:t>Riesgos</w:t>
            </w:r>
            <w:r>
              <w:rPr>
                <w:b/>
                <w:spacing w:val="-14"/>
                <w:sz w:val="20"/>
              </w:rPr>
              <w:t> </w:t>
            </w:r>
            <w:r>
              <w:rPr>
                <w:b/>
                <w:sz w:val="20"/>
              </w:rPr>
              <w:t>asociados</w:t>
            </w:r>
            <w:r>
              <w:rPr>
                <w:b/>
                <w:spacing w:val="-14"/>
                <w:sz w:val="20"/>
              </w:rPr>
              <w:t> </w:t>
            </w:r>
            <w:r>
              <w:rPr>
                <w:b/>
                <w:sz w:val="20"/>
              </w:rPr>
              <w:t>al </w:t>
            </w:r>
            <w:r>
              <w:rPr>
                <w:b/>
                <w:spacing w:val="-2"/>
                <w:sz w:val="20"/>
              </w:rPr>
              <w:t>cumplimiento</w:t>
            </w:r>
          </w:p>
        </w:tc>
      </w:tr>
      <w:tr>
        <w:trPr>
          <w:trHeight w:val="1838" w:hRule="atLeast"/>
        </w:trPr>
        <w:tc>
          <w:tcPr>
            <w:tcW w:w="2835" w:type="dxa"/>
          </w:tcPr>
          <w:p>
            <w:pPr>
              <w:pStyle w:val="TableParagraph"/>
              <w:ind w:left="69" w:right="107"/>
              <w:rPr>
                <w:sz w:val="20"/>
              </w:rPr>
            </w:pPr>
            <w:r>
              <w:rPr>
                <w:b/>
                <w:sz w:val="20"/>
              </w:rPr>
              <w:t>Actividad PPPS 1.1.5: </w:t>
            </w:r>
            <w:r>
              <w:rPr>
                <w:sz w:val="20"/>
              </w:rPr>
              <w:t>Otorgamiento de las transferencias económicas como</w:t>
            </w:r>
            <w:r>
              <w:rPr>
                <w:spacing w:val="-11"/>
                <w:sz w:val="20"/>
              </w:rPr>
              <w:t> </w:t>
            </w:r>
            <w:r>
              <w:rPr>
                <w:sz w:val="20"/>
              </w:rPr>
              <w:t>aporte</w:t>
            </w:r>
            <w:r>
              <w:rPr>
                <w:spacing w:val="-9"/>
                <w:sz w:val="20"/>
              </w:rPr>
              <w:t> </w:t>
            </w:r>
            <w:r>
              <w:rPr>
                <w:sz w:val="20"/>
              </w:rPr>
              <w:t>a</w:t>
            </w:r>
            <w:r>
              <w:rPr>
                <w:spacing w:val="-11"/>
                <w:sz w:val="20"/>
              </w:rPr>
              <w:t> </w:t>
            </w:r>
            <w:r>
              <w:rPr>
                <w:sz w:val="20"/>
              </w:rPr>
              <w:t>la</w:t>
            </w:r>
            <w:r>
              <w:rPr>
                <w:spacing w:val="-11"/>
                <w:sz w:val="20"/>
              </w:rPr>
              <w:t> </w:t>
            </w:r>
            <w:r>
              <w:rPr>
                <w:sz w:val="20"/>
              </w:rPr>
              <w:t>satisfacción de necesidades básicas de personas pescadoras y sus ayudantes afectados por la</w:t>
            </w:r>
          </w:p>
          <w:p>
            <w:pPr>
              <w:pStyle w:val="TableParagraph"/>
              <w:spacing w:line="209" w:lineRule="exact"/>
              <w:ind w:left="69"/>
              <w:rPr>
                <w:sz w:val="20"/>
              </w:rPr>
            </w:pPr>
            <w:r>
              <w:rPr>
                <w:sz w:val="20"/>
              </w:rPr>
              <w:t>veda</w:t>
            </w:r>
            <w:r>
              <w:rPr>
                <w:spacing w:val="-7"/>
                <w:sz w:val="20"/>
              </w:rPr>
              <w:t> </w:t>
            </w:r>
            <w:r>
              <w:rPr>
                <w:spacing w:val="-2"/>
                <w:sz w:val="20"/>
              </w:rPr>
              <w:t>pesquera.</w:t>
            </w:r>
          </w:p>
        </w:tc>
        <w:tc>
          <w:tcPr>
            <w:tcW w:w="1133" w:type="dxa"/>
          </w:tcPr>
          <w:p>
            <w:pPr>
              <w:pStyle w:val="TableParagraph"/>
              <w:rPr>
                <w:b/>
                <w:sz w:val="20"/>
              </w:rPr>
            </w:pPr>
          </w:p>
          <w:p>
            <w:pPr>
              <w:pStyle w:val="TableParagraph"/>
              <w:rPr>
                <w:b/>
                <w:sz w:val="20"/>
              </w:rPr>
            </w:pPr>
          </w:p>
          <w:p>
            <w:pPr>
              <w:pStyle w:val="TableParagraph"/>
              <w:spacing w:before="113"/>
              <w:rPr>
                <w:b/>
                <w:sz w:val="20"/>
              </w:rPr>
            </w:pPr>
          </w:p>
          <w:p>
            <w:pPr>
              <w:pStyle w:val="TableParagraph"/>
              <w:ind w:left="5" w:right="1"/>
              <w:jc w:val="center"/>
              <w:rPr>
                <w:sz w:val="20"/>
              </w:rPr>
            </w:pPr>
            <w:r>
              <w:rPr>
                <w:sz w:val="20"/>
              </w:rPr>
              <w:t>1</w:t>
            </w:r>
            <w:r>
              <w:rPr>
                <w:spacing w:val="-3"/>
                <w:sz w:val="20"/>
              </w:rPr>
              <w:t> </w:t>
            </w:r>
            <w:r>
              <w:rPr>
                <w:spacing w:val="-5"/>
                <w:sz w:val="20"/>
              </w:rPr>
              <w:t>107</w:t>
            </w:r>
          </w:p>
        </w:tc>
        <w:tc>
          <w:tcPr>
            <w:tcW w:w="1422" w:type="dxa"/>
          </w:tcPr>
          <w:p>
            <w:pPr>
              <w:pStyle w:val="TableParagraph"/>
              <w:rPr>
                <w:b/>
                <w:sz w:val="20"/>
              </w:rPr>
            </w:pPr>
          </w:p>
          <w:p>
            <w:pPr>
              <w:pStyle w:val="TableParagraph"/>
              <w:rPr>
                <w:b/>
                <w:sz w:val="20"/>
              </w:rPr>
            </w:pPr>
          </w:p>
          <w:p>
            <w:pPr>
              <w:pStyle w:val="TableParagraph"/>
              <w:spacing w:before="113"/>
              <w:rPr>
                <w:b/>
                <w:sz w:val="20"/>
              </w:rPr>
            </w:pPr>
          </w:p>
          <w:p>
            <w:pPr>
              <w:pStyle w:val="TableParagraph"/>
              <w:ind w:left="8" w:right="4"/>
              <w:jc w:val="center"/>
              <w:rPr>
                <w:sz w:val="20"/>
              </w:rPr>
            </w:pPr>
            <w:r>
              <w:rPr>
                <w:sz w:val="20"/>
              </w:rPr>
              <w:t>1</w:t>
            </w:r>
            <w:r>
              <w:rPr>
                <w:spacing w:val="-3"/>
                <w:sz w:val="20"/>
              </w:rPr>
              <w:t> </w:t>
            </w:r>
            <w:r>
              <w:rPr>
                <w:spacing w:val="-5"/>
                <w:sz w:val="20"/>
              </w:rPr>
              <w:t>500</w:t>
            </w:r>
          </w:p>
        </w:tc>
        <w:tc>
          <w:tcPr>
            <w:tcW w:w="1558" w:type="dxa"/>
          </w:tcPr>
          <w:p>
            <w:pPr>
              <w:pStyle w:val="TableParagraph"/>
              <w:spacing w:before="112"/>
              <w:rPr>
                <w:b/>
                <w:sz w:val="20"/>
              </w:rPr>
            </w:pPr>
          </w:p>
          <w:p>
            <w:pPr>
              <w:pStyle w:val="TableParagraph"/>
              <w:ind w:left="68" w:right="261"/>
              <w:rPr>
                <w:sz w:val="20"/>
              </w:rPr>
            </w:pPr>
            <w:r>
              <w:rPr>
                <w:sz w:val="20"/>
              </w:rPr>
              <w:t>Cantidad de personas</w:t>
            </w:r>
            <w:r>
              <w:rPr>
                <w:spacing w:val="-14"/>
                <w:sz w:val="20"/>
              </w:rPr>
              <w:t> </w:t>
            </w:r>
            <w:r>
              <w:rPr>
                <w:sz w:val="20"/>
              </w:rPr>
              <w:t>que reciben el subsidio de </w:t>
            </w:r>
            <w:r>
              <w:rPr>
                <w:spacing w:val="-4"/>
                <w:sz w:val="20"/>
              </w:rPr>
              <w:t>Veda.</w:t>
            </w:r>
          </w:p>
        </w:tc>
        <w:tc>
          <w:tcPr>
            <w:tcW w:w="1419" w:type="dxa"/>
          </w:tcPr>
          <w:p>
            <w:pPr>
              <w:pStyle w:val="TableParagraph"/>
              <w:spacing w:before="227"/>
              <w:rPr>
                <w:b/>
                <w:sz w:val="20"/>
              </w:rPr>
            </w:pPr>
          </w:p>
          <w:p>
            <w:pPr>
              <w:pStyle w:val="TableParagraph"/>
              <w:spacing w:before="1"/>
              <w:ind w:left="68" w:right="102"/>
              <w:rPr>
                <w:sz w:val="20"/>
              </w:rPr>
            </w:pPr>
            <w:r>
              <w:rPr>
                <w:sz w:val="20"/>
              </w:rPr>
              <w:t>Informes</w:t>
            </w:r>
            <w:r>
              <w:rPr>
                <w:spacing w:val="-14"/>
                <w:sz w:val="20"/>
              </w:rPr>
              <w:t> </w:t>
            </w:r>
            <w:r>
              <w:rPr>
                <w:sz w:val="20"/>
              </w:rPr>
              <w:t>de </w:t>
            </w:r>
            <w:r>
              <w:rPr>
                <w:spacing w:val="-2"/>
                <w:sz w:val="20"/>
              </w:rPr>
              <w:t>ejecución elaborados </w:t>
            </w:r>
            <w:r>
              <w:rPr>
                <w:sz w:val="20"/>
              </w:rPr>
              <w:t>por</w:t>
            </w:r>
            <w:r>
              <w:rPr>
                <w:spacing w:val="-14"/>
                <w:sz w:val="20"/>
              </w:rPr>
              <w:t> </w:t>
            </w:r>
            <w:r>
              <w:rPr>
                <w:sz w:val="20"/>
              </w:rPr>
              <w:t>el</w:t>
            </w:r>
            <w:r>
              <w:rPr>
                <w:spacing w:val="-14"/>
                <w:sz w:val="20"/>
              </w:rPr>
              <w:t> </w:t>
            </w:r>
            <w:r>
              <w:rPr>
                <w:sz w:val="20"/>
              </w:rPr>
              <w:t>DSIS.</w:t>
            </w:r>
          </w:p>
        </w:tc>
        <w:tc>
          <w:tcPr>
            <w:tcW w:w="1416" w:type="dxa"/>
          </w:tcPr>
          <w:p>
            <w:pPr>
              <w:pStyle w:val="TableParagraph"/>
              <w:rPr>
                <w:b/>
                <w:sz w:val="20"/>
              </w:rPr>
            </w:pPr>
          </w:p>
          <w:p>
            <w:pPr>
              <w:pStyle w:val="TableParagraph"/>
              <w:rPr>
                <w:b/>
                <w:sz w:val="20"/>
              </w:rPr>
            </w:pPr>
          </w:p>
          <w:p>
            <w:pPr>
              <w:pStyle w:val="TableParagraph"/>
              <w:spacing w:before="113"/>
              <w:rPr>
                <w:b/>
                <w:sz w:val="20"/>
              </w:rPr>
            </w:pPr>
          </w:p>
          <w:p>
            <w:pPr>
              <w:pStyle w:val="TableParagraph"/>
              <w:ind w:left="43" w:right="42"/>
              <w:jc w:val="center"/>
              <w:rPr>
                <w:sz w:val="20"/>
              </w:rPr>
            </w:pPr>
            <w:r>
              <w:rPr>
                <w:spacing w:val="-5"/>
                <w:sz w:val="20"/>
              </w:rPr>
              <w:t>DBF</w:t>
            </w:r>
          </w:p>
        </w:tc>
        <w:tc>
          <w:tcPr>
            <w:tcW w:w="1840" w:type="dxa"/>
          </w:tcPr>
          <w:p>
            <w:pPr>
              <w:pStyle w:val="TableParagraph"/>
              <w:rPr>
                <w:b/>
                <w:sz w:val="20"/>
              </w:rPr>
            </w:pPr>
          </w:p>
          <w:p>
            <w:pPr>
              <w:pStyle w:val="TableParagraph"/>
              <w:rPr>
                <w:b/>
                <w:sz w:val="20"/>
              </w:rPr>
            </w:pPr>
          </w:p>
          <w:p>
            <w:pPr>
              <w:pStyle w:val="TableParagraph"/>
              <w:spacing w:before="113"/>
              <w:rPr>
                <w:b/>
                <w:sz w:val="20"/>
              </w:rPr>
            </w:pPr>
          </w:p>
          <w:p>
            <w:pPr>
              <w:pStyle w:val="TableParagraph"/>
              <w:ind w:right="58"/>
              <w:jc w:val="right"/>
              <w:rPr>
                <w:sz w:val="20"/>
              </w:rPr>
            </w:pPr>
            <w:r>
              <w:rPr>
                <w:sz w:val="20"/>
              </w:rPr>
              <w:t>₡650</w:t>
            </w:r>
            <w:r>
              <w:rPr>
                <w:spacing w:val="-5"/>
                <w:sz w:val="20"/>
              </w:rPr>
              <w:t> </w:t>
            </w:r>
            <w:r>
              <w:rPr>
                <w:sz w:val="20"/>
              </w:rPr>
              <w:t>000</w:t>
            </w:r>
            <w:r>
              <w:rPr>
                <w:spacing w:val="-7"/>
                <w:sz w:val="20"/>
              </w:rPr>
              <w:t> </w:t>
            </w:r>
            <w:r>
              <w:rPr>
                <w:spacing w:val="-5"/>
                <w:sz w:val="20"/>
              </w:rPr>
              <w:t>000</w:t>
            </w:r>
          </w:p>
        </w:tc>
        <w:tc>
          <w:tcPr>
            <w:tcW w:w="2418" w:type="dxa"/>
            <w:vMerge w:val="restart"/>
            <w:tcBorders>
              <w:top w:val="nil"/>
            </w:tcBorders>
          </w:tcPr>
          <w:p>
            <w:pPr>
              <w:pStyle w:val="TableParagraph"/>
              <w:ind w:left="71" w:right="71"/>
              <w:rPr>
                <w:sz w:val="20"/>
              </w:rPr>
            </w:pPr>
            <w:r>
              <w:rPr>
                <w:sz w:val="20"/>
              </w:rPr>
              <w:t>9)</w:t>
            </w:r>
            <w:r>
              <w:rPr>
                <w:spacing w:val="-14"/>
                <w:sz w:val="20"/>
              </w:rPr>
              <w:t> </w:t>
            </w:r>
            <w:r>
              <w:rPr>
                <w:sz w:val="20"/>
              </w:rPr>
              <w:t>Incumplimiento</w:t>
            </w:r>
            <w:r>
              <w:rPr>
                <w:spacing w:val="-14"/>
                <w:sz w:val="20"/>
              </w:rPr>
              <w:t> </w:t>
            </w:r>
            <w:r>
              <w:rPr>
                <w:sz w:val="20"/>
              </w:rPr>
              <w:t>con</w:t>
            </w:r>
            <w:r>
              <w:rPr>
                <w:spacing w:val="-14"/>
                <w:sz w:val="20"/>
              </w:rPr>
              <w:t> </w:t>
            </w:r>
            <w:r>
              <w:rPr>
                <w:sz w:val="20"/>
              </w:rPr>
              <w:t>los plazos máximos establecidos para el trámite del</w:t>
            </w:r>
            <w:r>
              <w:rPr>
                <w:spacing w:val="40"/>
                <w:sz w:val="20"/>
              </w:rPr>
              <w:t> </w:t>
            </w:r>
            <w:r>
              <w:rPr>
                <w:spacing w:val="-2"/>
                <w:sz w:val="20"/>
              </w:rPr>
              <w:t>financiamiento.</w:t>
            </w:r>
          </w:p>
        </w:tc>
      </w:tr>
      <w:tr>
        <w:trPr>
          <w:trHeight w:val="3220" w:hRule="atLeast"/>
        </w:trPr>
        <w:tc>
          <w:tcPr>
            <w:tcW w:w="2835" w:type="dxa"/>
          </w:tcPr>
          <w:p>
            <w:pPr>
              <w:pStyle w:val="TableParagraph"/>
              <w:ind w:left="69" w:right="107"/>
              <w:rPr>
                <w:b/>
                <w:sz w:val="20"/>
              </w:rPr>
            </w:pPr>
            <w:r>
              <w:rPr>
                <w:b/>
                <w:sz w:val="20"/>
              </w:rPr>
              <w:t>Actividad PPPS 1.1.6: </w:t>
            </w:r>
            <w:r>
              <w:rPr>
                <w:sz w:val="20"/>
              </w:rPr>
              <w:t>Otorgamiento de transferencias económicas como aporte a la satisfacción de necesidades básicas de hogares afectados por situaciones de emergencia </w:t>
            </w:r>
            <w:r>
              <w:rPr>
                <w:b/>
                <w:sz w:val="20"/>
              </w:rPr>
              <w:t>(vinculación</w:t>
            </w:r>
            <w:r>
              <w:rPr>
                <w:b/>
                <w:spacing w:val="-13"/>
                <w:sz w:val="20"/>
              </w:rPr>
              <w:t> </w:t>
            </w:r>
            <w:r>
              <w:rPr>
                <w:b/>
                <w:sz w:val="20"/>
              </w:rPr>
              <w:t>a</w:t>
            </w:r>
            <w:r>
              <w:rPr>
                <w:b/>
                <w:spacing w:val="-14"/>
                <w:sz w:val="20"/>
              </w:rPr>
              <w:t> </w:t>
            </w:r>
            <w:r>
              <w:rPr>
                <w:b/>
                <w:sz w:val="20"/>
              </w:rPr>
              <w:t>Estrategia</w:t>
            </w:r>
            <w:r>
              <w:rPr>
                <w:b/>
                <w:spacing w:val="-13"/>
                <w:sz w:val="20"/>
              </w:rPr>
              <w:t> </w:t>
            </w:r>
            <w:r>
              <w:rPr>
                <w:b/>
                <w:sz w:val="20"/>
              </w:rPr>
              <w:t>de Transversalización de Equidad e Igualdad de Género del Sistema Nacional de Gestión de Riesgo a Desastres Eje 2,</w:t>
            </w:r>
          </w:p>
          <w:p>
            <w:pPr>
              <w:pStyle w:val="TableParagraph"/>
              <w:spacing w:line="211" w:lineRule="exact"/>
              <w:ind w:left="69"/>
              <w:rPr>
                <w:b/>
                <w:sz w:val="20"/>
              </w:rPr>
            </w:pPr>
            <w:r>
              <w:rPr>
                <w:b/>
                <w:sz w:val="20"/>
              </w:rPr>
              <w:t>2023</w:t>
            </w:r>
            <w:r>
              <w:rPr>
                <w:b/>
                <w:spacing w:val="-4"/>
                <w:sz w:val="20"/>
              </w:rPr>
              <w:t> </w:t>
            </w:r>
            <w:r>
              <w:rPr>
                <w:b/>
                <w:sz w:val="20"/>
              </w:rPr>
              <w:t>-</w:t>
            </w:r>
            <w:r>
              <w:rPr>
                <w:b/>
                <w:spacing w:val="-4"/>
                <w:sz w:val="20"/>
              </w:rPr>
              <w:t> 2027</w:t>
            </w:r>
          </w:p>
        </w:tc>
        <w:tc>
          <w:tcPr>
            <w:tcW w:w="1133"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ind w:left="5" w:right="1"/>
              <w:jc w:val="center"/>
              <w:rPr>
                <w:sz w:val="20"/>
              </w:rPr>
            </w:pPr>
            <w:r>
              <w:rPr>
                <w:sz w:val="20"/>
              </w:rPr>
              <w:t>2</w:t>
            </w:r>
            <w:r>
              <w:rPr>
                <w:spacing w:val="-3"/>
                <w:sz w:val="20"/>
              </w:rPr>
              <w:t> </w:t>
            </w:r>
            <w:r>
              <w:rPr>
                <w:spacing w:val="-5"/>
                <w:sz w:val="20"/>
              </w:rPr>
              <w:t>556</w:t>
            </w:r>
          </w:p>
        </w:tc>
        <w:tc>
          <w:tcPr>
            <w:tcW w:w="1422" w:type="dxa"/>
          </w:tcPr>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p>
            <w:pPr>
              <w:pStyle w:val="TableParagraph"/>
              <w:ind w:left="8"/>
              <w:jc w:val="center"/>
              <w:rPr>
                <w:sz w:val="20"/>
              </w:rPr>
            </w:pPr>
            <w:r>
              <w:rPr>
                <w:sz w:val="20"/>
              </w:rPr>
              <w:t>No</w:t>
            </w:r>
            <w:r>
              <w:rPr>
                <w:spacing w:val="-14"/>
                <w:sz w:val="20"/>
              </w:rPr>
              <w:t> </w:t>
            </w:r>
            <w:r>
              <w:rPr>
                <w:sz w:val="20"/>
              </w:rPr>
              <w:t>se</w:t>
            </w:r>
            <w:r>
              <w:rPr>
                <w:spacing w:val="-14"/>
                <w:sz w:val="20"/>
              </w:rPr>
              <w:t> </w:t>
            </w:r>
            <w:r>
              <w:rPr>
                <w:sz w:val="20"/>
              </w:rPr>
              <w:t>define meta al ser eventos no </w:t>
            </w:r>
            <w:r>
              <w:rPr>
                <w:spacing w:val="-2"/>
                <w:sz w:val="20"/>
              </w:rPr>
              <w:t>previsibles</w:t>
            </w:r>
          </w:p>
        </w:tc>
        <w:tc>
          <w:tcPr>
            <w:tcW w:w="1558" w:type="dxa"/>
          </w:tcPr>
          <w:p>
            <w:pPr>
              <w:pStyle w:val="TableParagraph"/>
              <w:rPr>
                <w:b/>
                <w:sz w:val="20"/>
              </w:rPr>
            </w:pPr>
          </w:p>
          <w:p>
            <w:pPr>
              <w:pStyle w:val="TableParagraph"/>
              <w:rPr>
                <w:b/>
                <w:sz w:val="20"/>
              </w:rPr>
            </w:pPr>
          </w:p>
          <w:p>
            <w:pPr>
              <w:pStyle w:val="TableParagraph"/>
              <w:rPr>
                <w:b/>
                <w:sz w:val="20"/>
              </w:rPr>
            </w:pPr>
          </w:p>
          <w:p>
            <w:pPr>
              <w:pStyle w:val="TableParagraph"/>
              <w:spacing w:before="116"/>
              <w:rPr>
                <w:b/>
                <w:sz w:val="20"/>
              </w:rPr>
            </w:pPr>
          </w:p>
          <w:p>
            <w:pPr>
              <w:pStyle w:val="TableParagraph"/>
              <w:ind w:left="68"/>
              <w:rPr>
                <w:sz w:val="20"/>
              </w:rPr>
            </w:pPr>
            <w:r>
              <w:rPr>
                <w:sz w:val="20"/>
              </w:rPr>
              <w:t>Cantidad de hogares que reciben el </w:t>
            </w:r>
            <w:r>
              <w:rPr>
                <w:spacing w:val="-2"/>
                <w:sz w:val="20"/>
              </w:rPr>
              <w:t>subsidio Emergencias.</w:t>
            </w:r>
          </w:p>
        </w:tc>
        <w:tc>
          <w:tcPr>
            <w:tcW w:w="1419" w:type="dxa"/>
          </w:tcPr>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p>
            <w:pPr>
              <w:pStyle w:val="TableParagraph"/>
              <w:ind w:left="68" w:right="102"/>
              <w:rPr>
                <w:sz w:val="20"/>
              </w:rPr>
            </w:pPr>
            <w:r>
              <w:rPr>
                <w:sz w:val="20"/>
              </w:rPr>
              <w:t>Informes</w:t>
            </w:r>
            <w:r>
              <w:rPr>
                <w:spacing w:val="-14"/>
                <w:sz w:val="20"/>
              </w:rPr>
              <w:t> </w:t>
            </w:r>
            <w:r>
              <w:rPr>
                <w:sz w:val="20"/>
              </w:rPr>
              <w:t>de </w:t>
            </w:r>
            <w:r>
              <w:rPr>
                <w:spacing w:val="-2"/>
                <w:sz w:val="20"/>
              </w:rPr>
              <w:t>ejecución elaborados </w:t>
            </w:r>
            <w:r>
              <w:rPr>
                <w:sz w:val="20"/>
              </w:rPr>
              <w:t>por</w:t>
            </w:r>
            <w:r>
              <w:rPr>
                <w:spacing w:val="-14"/>
                <w:sz w:val="20"/>
              </w:rPr>
              <w:t> </w:t>
            </w:r>
            <w:r>
              <w:rPr>
                <w:sz w:val="20"/>
              </w:rPr>
              <w:t>el</w:t>
            </w:r>
            <w:r>
              <w:rPr>
                <w:spacing w:val="-14"/>
                <w:sz w:val="20"/>
              </w:rPr>
              <w:t> </w:t>
            </w:r>
            <w:r>
              <w:rPr>
                <w:sz w:val="20"/>
              </w:rPr>
              <w:t>DSIS.</w:t>
            </w:r>
          </w:p>
        </w:tc>
        <w:tc>
          <w:tcPr>
            <w:tcW w:w="1416"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ind w:left="43" w:right="42"/>
              <w:jc w:val="center"/>
              <w:rPr>
                <w:sz w:val="20"/>
              </w:rPr>
            </w:pPr>
            <w:r>
              <w:rPr>
                <w:spacing w:val="-5"/>
                <w:sz w:val="20"/>
              </w:rPr>
              <w:t>DBF</w:t>
            </w:r>
          </w:p>
        </w:tc>
        <w:tc>
          <w:tcPr>
            <w:tcW w:w="1840"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ind w:right="61"/>
              <w:jc w:val="right"/>
              <w:rPr>
                <w:sz w:val="20"/>
              </w:rPr>
            </w:pPr>
            <w:r>
              <w:rPr>
                <w:sz w:val="20"/>
              </w:rPr>
              <w:t>₡1</w:t>
            </w:r>
            <w:r>
              <w:rPr>
                <w:spacing w:val="-3"/>
                <w:sz w:val="20"/>
              </w:rPr>
              <w:t> </w:t>
            </w:r>
            <w:r>
              <w:rPr>
                <w:sz w:val="20"/>
              </w:rPr>
              <w:t>900</w:t>
            </w:r>
            <w:r>
              <w:rPr>
                <w:spacing w:val="-4"/>
                <w:sz w:val="20"/>
              </w:rPr>
              <w:t> </w:t>
            </w:r>
            <w:r>
              <w:rPr>
                <w:sz w:val="20"/>
              </w:rPr>
              <w:t>000</w:t>
            </w:r>
            <w:r>
              <w:rPr>
                <w:spacing w:val="-5"/>
                <w:sz w:val="20"/>
              </w:rPr>
              <w:t> 000</w:t>
            </w:r>
          </w:p>
        </w:tc>
        <w:tc>
          <w:tcPr>
            <w:tcW w:w="2418" w:type="dxa"/>
            <w:vMerge/>
            <w:tcBorders>
              <w:top w:val="nil"/>
            </w:tcBorders>
          </w:tcPr>
          <w:p>
            <w:pPr>
              <w:rPr>
                <w:sz w:val="2"/>
                <w:szCs w:val="2"/>
              </w:rPr>
            </w:pPr>
          </w:p>
        </w:tc>
      </w:tr>
      <w:tr>
        <w:trPr>
          <w:trHeight w:val="1841" w:hRule="atLeast"/>
        </w:trPr>
        <w:tc>
          <w:tcPr>
            <w:tcW w:w="2835" w:type="dxa"/>
          </w:tcPr>
          <w:p>
            <w:pPr>
              <w:pStyle w:val="TableParagraph"/>
              <w:spacing w:before="114"/>
              <w:ind w:left="69"/>
              <w:rPr>
                <w:sz w:val="20"/>
              </w:rPr>
            </w:pPr>
            <w:r>
              <w:rPr>
                <w:b/>
                <w:sz w:val="20"/>
              </w:rPr>
              <w:t>Actividad PPPS 1.1.7: </w:t>
            </w:r>
            <w:r>
              <w:rPr>
                <w:sz w:val="20"/>
              </w:rPr>
              <w:t>Otorgamiento del subsidio Costo de Atención a organizaciones</w:t>
            </w:r>
            <w:r>
              <w:rPr>
                <w:spacing w:val="-14"/>
                <w:sz w:val="20"/>
              </w:rPr>
              <w:t> </w:t>
            </w:r>
            <w:r>
              <w:rPr>
                <w:sz w:val="20"/>
              </w:rPr>
              <w:t>de</w:t>
            </w:r>
            <w:r>
              <w:rPr>
                <w:spacing w:val="-14"/>
                <w:sz w:val="20"/>
              </w:rPr>
              <w:t> </w:t>
            </w:r>
            <w:r>
              <w:rPr>
                <w:sz w:val="20"/>
              </w:rPr>
              <w:t>bienestar social para la atención de personas en situación de </w:t>
            </w:r>
            <w:r>
              <w:rPr>
                <w:spacing w:val="-2"/>
                <w:sz w:val="20"/>
              </w:rPr>
              <w:t>pobreza.</w:t>
            </w:r>
          </w:p>
        </w:tc>
        <w:tc>
          <w:tcPr>
            <w:tcW w:w="1133" w:type="dxa"/>
          </w:tcPr>
          <w:p>
            <w:pPr>
              <w:pStyle w:val="TableParagraph"/>
              <w:rPr>
                <w:b/>
                <w:sz w:val="20"/>
              </w:rPr>
            </w:pPr>
          </w:p>
          <w:p>
            <w:pPr>
              <w:pStyle w:val="TableParagraph"/>
              <w:rPr>
                <w:b/>
                <w:sz w:val="20"/>
              </w:rPr>
            </w:pPr>
          </w:p>
          <w:p>
            <w:pPr>
              <w:pStyle w:val="TableParagraph"/>
              <w:spacing w:before="113"/>
              <w:rPr>
                <w:b/>
                <w:sz w:val="20"/>
              </w:rPr>
            </w:pPr>
          </w:p>
          <w:p>
            <w:pPr>
              <w:pStyle w:val="TableParagraph"/>
              <w:ind w:left="5" w:right="1"/>
              <w:jc w:val="center"/>
              <w:rPr>
                <w:sz w:val="20"/>
              </w:rPr>
            </w:pPr>
            <w:r>
              <w:rPr>
                <w:spacing w:val="-5"/>
                <w:sz w:val="20"/>
              </w:rPr>
              <w:t>27</w:t>
            </w:r>
          </w:p>
        </w:tc>
        <w:tc>
          <w:tcPr>
            <w:tcW w:w="1422" w:type="dxa"/>
          </w:tcPr>
          <w:p>
            <w:pPr>
              <w:pStyle w:val="TableParagraph"/>
              <w:rPr>
                <w:b/>
                <w:sz w:val="20"/>
              </w:rPr>
            </w:pPr>
          </w:p>
          <w:p>
            <w:pPr>
              <w:pStyle w:val="TableParagraph"/>
              <w:rPr>
                <w:b/>
                <w:sz w:val="20"/>
              </w:rPr>
            </w:pPr>
          </w:p>
          <w:p>
            <w:pPr>
              <w:pStyle w:val="TableParagraph"/>
              <w:spacing w:before="113"/>
              <w:rPr>
                <w:b/>
                <w:sz w:val="20"/>
              </w:rPr>
            </w:pPr>
          </w:p>
          <w:p>
            <w:pPr>
              <w:pStyle w:val="TableParagraph"/>
              <w:ind w:left="8" w:right="5"/>
              <w:jc w:val="center"/>
              <w:rPr>
                <w:sz w:val="20"/>
              </w:rPr>
            </w:pPr>
            <w:r>
              <w:rPr>
                <w:spacing w:val="-5"/>
                <w:sz w:val="20"/>
              </w:rPr>
              <w:t>23</w:t>
            </w:r>
          </w:p>
        </w:tc>
        <w:tc>
          <w:tcPr>
            <w:tcW w:w="1558" w:type="dxa"/>
          </w:tcPr>
          <w:p>
            <w:pPr>
              <w:pStyle w:val="TableParagraph"/>
              <w:ind w:left="68"/>
              <w:rPr>
                <w:sz w:val="20"/>
              </w:rPr>
            </w:pPr>
            <w:r>
              <w:rPr>
                <w:sz w:val="20"/>
              </w:rPr>
              <w:t>Cantidad de subsidios de Costo de </w:t>
            </w:r>
            <w:r>
              <w:rPr>
                <w:spacing w:val="-2"/>
                <w:sz w:val="20"/>
              </w:rPr>
              <w:t>atención </w:t>
            </w:r>
            <w:r>
              <w:rPr>
                <w:sz w:val="20"/>
              </w:rPr>
              <w:t>otorgados a </w:t>
            </w:r>
            <w:r>
              <w:rPr>
                <w:spacing w:val="-2"/>
                <w:sz w:val="20"/>
              </w:rPr>
              <w:t>organizaciones </w:t>
            </w:r>
            <w:r>
              <w:rPr>
                <w:sz w:val="20"/>
              </w:rPr>
              <w:t>de bienestar</w:t>
            </w:r>
          </w:p>
          <w:p>
            <w:pPr>
              <w:pStyle w:val="TableParagraph"/>
              <w:spacing w:line="211" w:lineRule="exact"/>
              <w:ind w:left="68"/>
              <w:rPr>
                <w:sz w:val="20"/>
              </w:rPr>
            </w:pPr>
            <w:r>
              <w:rPr>
                <w:spacing w:val="-2"/>
                <w:sz w:val="20"/>
              </w:rPr>
              <w:t>social</w:t>
            </w:r>
          </w:p>
        </w:tc>
        <w:tc>
          <w:tcPr>
            <w:tcW w:w="1419" w:type="dxa"/>
          </w:tcPr>
          <w:p>
            <w:pPr>
              <w:pStyle w:val="TableParagraph"/>
              <w:rPr>
                <w:b/>
                <w:sz w:val="20"/>
              </w:rPr>
            </w:pPr>
          </w:p>
          <w:p>
            <w:pPr>
              <w:pStyle w:val="TableParagraph"/>
              <w:rPr>
                <w:b/>
                <w:sz w:val="20"/>
              </w:rPr>
            </w:pPr>
          </w:p>
          <w:p>
            <w:pPr>
              <w:pStyle w:val="TableParagraph"/>
              <w:ind w:left="68" w:right="102"/>
              <w:rPr>
                <w:sz w:val="20"/>
              </w:rPr>
            </w:pPr>
            <w:r>
              <w:rPr>
                <w:sz w:val="20"/>
              </w:rPr>
              <w:t>Informes de </w:t>
            </w:r>
            <w:r>
              <w:rPr>
                <w:spacing w:val="-2"/>
                <w:sz w:val="20"/>
              </w:rPr>
              <w:t>ejecución elaborados </w:t>
            </w:r>
            <w:r>
              <w:rPr>
                <w:sz w:val="20"/>
              </w:rPr>
              <w:t>por</w:t>
            </w:r>
            <w:r>
              <w:rPr>
                <w:spacing w:val="-14"/>
                <w:sz w:val="20"/>
              </w:rPr>
              <w:t> </w:t>
            </w:r>
            <w:r>
              <w:rPr>
                <w:sz w:val="20"/>
              </w:rPr>
              <w:t>el</w:t>
            </w:r>
            <w:r>
              <w:rPr>
                <w:spacing w:val="-14"/>
                <w:sz w:val="20"/>
              </w:rPr>
              <w:t> </w:t>
            </w:r>
            <w:r>
              <w:rPr>
                <w:sz w:val="20"/>
              </w:rPr>
              <w:t>DASAI.</w:t>
            </w:r>
          </w:p>
        </w:tc>
        <w:tc>
          <w:tcPr>
            <w:tcW w:w="1416" w:type="dxa"/>
          </w:tcPr>
          <w:p>
            <w:pPr>
              <w:pStyle w:val="TableParagraph"/>
              <w:rPr>
                <w:b/>
                <w:sz w:val="20"/>
              </w:rPr>
            </w:pPr>
          </w:p>
          <w:p>
            <w:pPr>
              <w:pStyle w:val="TableParagraph"/>
              <w:rPr>
                <w:b/>
                <w:sz w:val="20"/>
              </w:rPr>
            </w:pPr>
          </w:p>
          <w:p>
            <w:pPr>
              <w:pStyle w:val="TableParagraph"/>
              <w:spacing w:before="113"/>
              <w:rPr>
                <w:b/>
                <w:sz w:val="20"/>
              </w:rPr>
            </w:pPr>
          </w:p>
          <w:p>
            <w:pPr>
              <w:pStyle w:val="TableParagraph"/>
              <w:ind w:left="43" w:right="39"/>
              <w:jc w:val="center"/>
              <w:rPr>
                <w:sz w:val="20"/>
              </w:rPr>
            </w:pPr>
            <w:r>
              <w:rPr>
                <w:spacing w:val="-2"/>
                <w:sz w:val="20"/>
              </w:rPr>
              <w:t>DASAI</w:t>
            </w:r>
          </w:p>
        </w:tc>
        <w:tc>
          <w:tcPr>
            <w:tcW w:w="1840" w:type="dxa"/>
          </w:tcPr>
          <w:p>
            <w:pPr>
              <w:pStyle w:val="TableParagraph"/>
              <w:rPr>
                <w:b/>
                <w:sz w:val="20"/>
              </w:rPr>
            </w:pPr>
          </w:p>
          <w:p>
            <w:pPr>
              <w:pStyle w:val="TableParagraph"/>
              <w:rPr>
                <w:b/>
                <w:sz w:val="20"/>
              </w:rPr>
            </w:pPr>
          </w:p>
          <w:p>
            <w:pPr>
              <w:pStyle w:val="TableParagraph"/>
              <w:spacing w:before="113"/>
              <w:rPr>
                <w:b/>
                <w:sz w:val="20"/>
              </w:rPr>
            </w:pPr>
          </w:p>
          <w:p>
            <w:pPr>
              <w:pStyle w:val="TableParagraph"/>
              <w:ind w:right="61"/>
              <w:jc w:val="right"/>
              <w:rPr>
                <w:sz w:val="20"/>
              </w:rPr>
            </w:pPr>
            <w:r>
              <w:rPr>
                <w:sz w:val="20"/>
              </w:rPr>
              <w:t>₡</w:t>
            </w:r>
            <w:r>
              <w:rPr>
                <w:spacing w:val="-5"/>
                <w:sz w:val="20"/>
              </w:rPr>
              <w:t> </w:t>
            </w:r>
            <w:r>
              <w:rPr>
                <w:sz w:val="20"/>
              </w:rPr>
              <w:t>550</w:t>
            </w:r>
            <w:r>
              <w:rPr>
                <w:spacing w:val="-2"/>
                <w:sz w:val="20"/>
              </w:rPr>
              <w:t> </w:t>
            </w:r>
            <w:r>
              <w:rPr>
                <w:sz w:val="20"/>
              </w:rPr>
              <w:t>457</w:t>
            </w:r>
            <w:r>
              <w:rPr>
                <w:spacing w:val="-5"/>
                <w:sz w:val="20"/>
              </w:rPr>
              <w:t> 416</w:t>
            </w:r>
          </w:p>
        </w:tc>
        <w:tc>
          <w:tcPr>
            <w:tcW w:w="2418"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1133"/>
        <w:gridCol w:w="1422"/>
        <w:gridCol w:w="1558"/>
        <w:gridCol w:w="1419"/>
        <w:gridCol w:w="1416"/>
        <w:gridCol w:w="1844"/>
        <w:gridCol w:w="2415"/>
      </w:tblGrid>
      <w:tr>
        <w:trPr>
          <w:trHeight w:val="962" w:hRule="atLeast"/>
        </w:trPr>
        <w:tc>
          <w:tcPr>
            <w:tcW w:w="2835" w:type="dxa"/>
            <w:shd w:val="clear" w:color="auto" w:fill="F1F1F1"/>
          </w:tcPr>
          <w:p>
            <w:pPr>
              <w:pStyle w:val="TableParagraph"/>
              <w:spacing w:before="134"/>
              <w:rPr>
                <w:b/>
                <w:sz w:val="20"/>
              </w:rPr>
            </w:pPr>
          </w:p>
          <w:p>
            <w:pPr>
              <w:pStyle w:val="TableParagraph"/>
              <w:ind w:left="338"/>
              <w:rPr>
                <w:b/>
                <w:sz w:val="20"/>
              </w:rPr>
            </w:pPr>
            <w:r>
              <w:rPr>
                <w:b/>
                <w:sz w:val="20"/>
              </w:rPr>
              <w:t>Objetivos</w:t>
            </w:r>
            <w:r>
              <w:rPr>
                <w:b/>
                <w:spacing w:val="-9"/>
                <w:sz w:val="20"/>
              </w:rPr>
              <w:t> </w:t>
            </w:r>
            <w:r>
              <w:rPr>
                <w:b/>
                <w:sz w:val="20"/>
              </w:rPr>
              <w:t>/</w:t>
            </w:r>
            <w:r>
              <w:rPr>
                <w:b/>
                <w:spacing w:val="-9"/>
                <w:sz w:val="20"/>
              </w:rPr>
              <w:t> </w:t>
            </w:r>
            <w:r>
              <w:rPr>
                <w:b/>
                <w:spacing w:val="-2"/>
                <w:sz w:val="20"/>
              </w:rPr>
              <w:t>Resultados</w:t>
            </w:r>
          </w:p>
        </w:tc>
        <w:tc>
          <w:tcPr>
            <w:tcW w:w="1133" w:type="dxa"/>
            <w:shd w:val="clear" w:color="auto" w:fill="F1F1F1"/>
          </w:tcPr>
          <w:p>
            <w:pPr>
              <w:pStyle w:val="TableParagraph"/>
              <w:ind w:left="275" w:right="270" w:firstLine="28"/>
              <w:jc w:val="both"/>
              <w:rPr>
                <w:b/>
                <w:sz w:val="20"/>
              </w:rPr>
            </w:pPr>
            <w:r>
              <w:rPr>
                <w:b/>
                <w:spacing w:val="-4"/>
                <w:sz w:val="20"/>
              </w:rPr>
              <w:t>Línea Base </w:t>
            </w:r>
            <w:r>
              <w:rPr>
                <w:b/>
                <w:spacing w:val="-2"/>
                <w:sz w:val="20"/>
              </w:rPr>
              <w:t>(2025)</w:t>
            </w:r>
          </w:p>
        </w:tc>
        <w:tc>
          <w:tcPr>
            <w:tcW w:w="1422" w:type="dxa"/>
            <w:shd w:val="clear" w:color="auto" w:fill="F1F1F1"/>
          </w:tcPr>
          <w:p>
            <w:pPr>
              <w:pStyle w:val="TableParagraph"/>
              <w:spacing w:before="134"/>
              <w:ind w:left="131" w:right="124" w:firstLine="1"/>
              <w:jc w:val="center"/>
              <w:rPr>
                <w:b/>
                <w:sz w:val="20"/>
              </w:rPr>
            </w:pPr>
            <w:r>
              <w:rPr>
                <w:b/>
                <w:spacing w:val="-4"/>
                <w:sz w:val="20"/>
              </w:rPr>
              <w:t>Meta </w:t>
            </w:r>
            <w:r>
              <w:rPr>
                <w:b/>
                <w:spacing w:val="-2"/>
                <w:sz w:val="20"/>
              </w:rPr>
              <w:t>programada </w:t>
            </w:r>
            <w:r>
              <w:rPr>
                <w:b/>
                <w:spacing w:val="-4"/>
                <w:sz w:val="20"/>
              </w:rPr>
              <w:t>2027</w:t>
            </w:r>
          </w:p>
        </w:tc>
        <w:tc>
          <w:tcPr>
            <w:tcW w:w="1558" w:type="dxa"/>
            <w:shd w:val="clear" w:color="auto" w:fill="F1F1F1"/>
          </w:tcPr>
          <w:p>
            <w:pPr>
              <w:pStyle w:val="TableParagraph"/>
              <w:spacing w:before="134"/>
              <w:rPr>
                <w:b/>
                <w:sz w:val="20"/>
              </w:rPr>
            </w:pPr>
          </w:p>
          <w:p>
            <w:pPr>
              <w:pStyle w:val="TableParagraph"/>
              <w:ind w:left="327"/>
              <w:rPr>
                <w:b/>
                <w:sz w:val="20"/>
              </w:rPr>
            </w:pPr>
            <w:r>
              <w:rPr>
                <w:b/>
                <w:spacing w:val="-2"/>
                <w:sz w:val="20"/>
              </w:rPr>
              <w:t>Indicador</w:t>
            </w:r>
          </w:p>
        </w:tc>
        <w:tc>
          <w:tcPr>
            <w:tcW w:w="1419" w:type="dxa"/>
            <w:shd w:val="clear" w:color="auto" w:fill="F1F1F1"/>
          </w:tcPr>
          <w:p>
            <w:pPr>
              <w:pStyle w:val="TableParagraph"/>
              <w:spacing w:before="19"/>
              <w:rPr>
                <w:b/>
                <w:sz w:val="20"/>
              </w:rPr>
            </w:pPr>
          </w:p>
          <w:p>
            <w:pPr>
              <w:pStyle w:val="TableParagraph"/>
              <w:ind w:left="149" w:right="102" w:firstLine="67"/>
              <w:rPr>
                <w:b/>
                <w:sz w:val="20"/>
              </w:rPr>
            </w:pPr>
            <w:r>
              <w:rPr>
                <w:b/>
                <w:sz w:val="20"/>
              </w:rPr>
              <w:t>Medios de </w:t>
            </w:r>
            <w:r>
              <w:rPr>
                <w:b/>
                <w:spacing w:val="-2"/>
                <w:sz w:val="20"/>
              </w:rPr>
              <w:t>verificación</w:t>
            </w:r>
          </w:p>
        </w:tc>
        <w:tc>
          <w:tcPr>
            <w:tcW w:w="1416" w:type="dxa"/>
            <w:shd w:val="clear" w:color="auto" w:fill="F1F1F1"/>
          </w:tcPr>
          <w:p>
            <w:pPr>
              <w:pStyle w:val="TableParagraph"/>
              <w:spacing w:before="134"/>
              <w:rPr>
                <w:b/>
                <w:sz w:val="20"/>
              </w:rPr>
            </w:pPr>
          </w:p>
          <w:p>
            <w:pPr>
              <w:pStyle w:val="TableParagraph"/>
              <w:ind w:left="43" w:right="42"/>
              <w:jc w:val="center"/>
              <w:rPr>
                <w:b/>
                <w:sz w:val="20"/>
              </w:rPr>
            </w:pPr>
            <w:r>
              <w:rPr>
                <w:b/>
                <w:spacing w:val="-2"/>
                <w:sz w:val="20"/>
              </w:rPr>
              <w:t>Responsable</w:t>
            </w:r>
          </w:p>
        </w:tc>
        <w:tc>
          <w:tcPr>
            <w:tcW w:w="1844" w:type="dxa"/>
            <w:shd w:val="clear" w:color="auto" w:fill="F1F1F1"/>
          </w:tcPr>
          <w:p>
            <w:pPr>
              <w:pStyle w:val="TableParagraph"/>
              <w:spacing w:before="19"/>
              <w:rPr>
                <w:b/>
                <w:sz w:val="20"/>
              </w:rPr>
            </w:pPr>
          </w:p>
          <w:p>
            <w:pPr>
              <w:pStyle w:val="TableParagraph"/>
              <w:ind w:left="480" w:hanging="140"/>
              <w:rPr>
                <w:b/>
                <w:sz w:val="20"/>
              </w:rPr>
            </w:pPr>
            <w:r>
              <w:rPr>
                <w:b/>
                <w:spacing w:val="-2"/>
                <w:sz w:val="20"/>
              </w:rPr>
              <w:t>Presupuesto asignado</w:t>
            </w:r>
          </w:p>
        </w:tc>
        <w:tc>
          <w:tcPr>
            <w:tcW w:w="2415" w:type="dxa"/>
            <w:tcBorders>
              <w:bottom w:val="nil"/>
            </w:tcBorders>
            <w:shd w:val="clear" w:color="auto" w:fill="F1F1F1"/>
          </w:tcPr>
          <w:p>
            <w:pPr>
              <w:pStyle w:val="TableParagraph"/>
              <w:spacing w:before="19"/>
              <w:rPr>
                <w:b/>
                <w:sz w:val="20"/>
              </w:rPr>
            </w:pPr>
          </w:p>
          <w:p>
            <w:pPr>
              <w:pStyle w:val="TableParagraph"/>
              <w:ind w:left="554" w:hanging="368"/>
              <w:rPr>
                <w:b/>
                <w:sz w:val="20"/>
              </w:rPr>
            </w:pPr>
            <w:r>
              <w:rPr>
                <w:b/>
                <w:sz w:val="20"/>
              </w:rPr>
              <w:t>Riesgos</w:t>
            </w:r>
            <w:r>
              <w:rPr>
                <w:b/>
                <w:spacing w:val="-14"/>
                <w:sz w:val="20"/>
              </w:rPr>
              <w:t> </w:t>
            </w:r>
            <w:r>
              <w:rPr>
                <w:b/>
                <w:sz w:val="20"/>
              </w:rPr>
              <w:t>asociados</w:t>
            </w:r>
            <w:r>
              <w:rPr>
                <w:b/>
                <w:spacing w:val="-14"/>
                <w:sz w:val="20"/>
              </w:rPr>
              <w:t> </w:t>
            </w:r>
            <w:r>
              <w:rPr>
                <w:b/>
                <w:sz w:val="20"/>
              </w:rPr>
              <w:t>al </w:t>
            </w:r>
            <w:r>
              <w:rPr>
                <w:b/>
                <w:spacing w:val="-2"/>
                <w:sz w:val="20"/>
              </w:rPr>
              <w:t>cumplimiento</w:t>
            </w:r>
          </w:p>
        </w:tc>
      </w:tr>
      <w:tr>
        <w:trPr>
          <w:trHeight w:val="2988" w:hRule="atLeast"/>
        </w:trPr>
        <w:tc>
          <w:tcPr>
            <w:tcW w:w="2835" w:type="dxa"/>
          </w:tcPr>
          <w:p>
            <w:pPr>
              <w:pStyle w:val="TableParagraph"/>
              <w:ind w:left="69" w:right="137"/>
              <w:rPr>
                <w:b/>
                <w:sz w:val="20"/>
              </w:rPr>
            </w:pPr>
            <w:r>
              <w:rPr>
                <w:b/>
                <w:sz w:val="20"/>
              </w:rPr>
              <w:t>Actividad PPPS 1.1.8: </w:t>
            </w:r>
            <w:r>
              <w:rPr>
                <w:sz w:val="20"/>
              </w:rPr>
              <w:t>Otorgamiento</w:t>
            </w:r>
            <w:r>
              <w:rPr>
                <w:spacing w:val="-14"/>
                <w:sz w:val="20"/>
              </w:rPr>
              <w:t> </w:t>
            </w:r>
            <w:r>
              <w:rPr>
                <w:sz w:val="20"/>
              </w:rPr>
              <w:t>de</w:t>
            </w:r>
            <w:r>
              <w:rPr>
                <w:spacing w:val="-14"/>
                <w:sz w:val="20"/>
              </w:rPr>
              <w:t> </w:t>
            </w:r>
            <w:r>
              <w:rPr>
                <w:sz w:val="20"/>
              </w:rPr>
              <w:t>subsidios</w:t>
            </w:r>
            <w:r>
              <w:rPr>
                <w:spacing w:val="-12"/>
                <w:sz w:val="20"/>
              </w:rPr>
              <w:t> </w:t>
            </w:r>
            <w:r>
              <w:rPr>
                <w:sz w:val="20"/>
              </w:rPr>
              <w:t>a hogares en situación de pobreza, para el mejoramiento de las condiciones</w:t>
            </w:r>
            <w:r>
              <w:rPr>
                <w:spacing w:val="-14"/>
                <w:sz w:val="20"/>
              </w:rPr>
              <w:t> </w:t>
            </w:r>
            <w:r>
              <w:rPr>
                <w:sz w:val="20"/>
              </w:rPr>
              <w:t>habitacionales</w:t>
            </w:r>
            <w:r>
              <w:rPr>
                <w:spacing w:val="-14"/>
                <w:sz w:val="20"/>
              </w:rPr>
              <w:t> </w:t>
            </w:r>
            <w:r>
              <w:rPr>
                <w:sz w:val="20"/>
              </w:rPr>
              <w:t>y de accesibilidad, incluyendo hogares afectados por situaciones de emergencia, así como la construcción de viviendas en territorios indígenas </w:t>
            </w:r>
            <w:r>
              <w:rPr>
                <w:b/>
                <w:sz w:val="20"/>
              </w:rPr>
              <w:t>(vinculación con</w:t>
            </w:r>
          </w:p>
          <w:p>
            <w:pPr>
              <w:pStyle w:val="TableParagraph"/>
              <w:spacing w:line="209" w:lineRule="exact"/>
              <w:ind w:left="69"/>
              <w:rPr>
                <w:b/>
                <w:sz w:val="20"/>
              </w:rPr>
            </w:pPr>
            <w:r>
              <w:rPr>
                <w:b/>
                <w:sz w:val="20"/>
              </w:rPr>
              <w:t>PGCC</w:t>
            </w:r>
            <w:r>
              <w:rPr>
                <w:b/>
                <w:spacing w:val="-9"/>
                <w:sz w:val="20"/>
              </w:rPr>
              <w:t> </w:t>
            </w:r>
            <w:r>
              <w:rPr>
                <w:b/>
                <w:spacing w:val="-2"/>
                <w:sz w:val="20"/>
              </w:rPr>
              <w:t>4.3).</w:t>
            </w:r>
          </w:p>
        </w:tc>
        <w:tc>
          <w:tcPr>
            <w:tcW w:w="1133"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ind w:left="5" w:right="1"/>
              <w:jc w:val="center"/>
              <w:rPr>
                <w:sz w:val="20"/>
              </w:rPr>
            </w:pPr>
            <w:r>
              <w:rPr>
                <w:spacing w:val="-5"/>
                <w:sz w:val="20"/>
              </w:rPr>
              <w:t>175</w:t>
            </w:r>
          </w:p>
        </w:tc>
        <w:tc>
          <w:tcPr>
            <w:tcW w:w="1422"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ind w:left="8" w:right="5"/>
              <w:jc w:val="center"/>
              <w:rPr>
                <w:sz w:val="20"/>
              </w:rPr>
            </w:pPr>
            <w:r>
              <w:rPr>
                <w:spacing w:val="-5"/>
                <w:sz w:val="20"/>
              </w:rPr>
              <w:t>150</w:t>
            </w:r>
          </w:p>
        </w:tc>
        <w:tc>
          <w:tcPr>
            <w:tcW w:w="1558" w:type="dxa"/>
          </w:tcPr>
          <w:p>
            <w:pPr>
              <w:pStyle w:val="TableParagraph"/>
              <w:spacing w:before="112"/>
              <w:ind w:left="68" w:right="87"/>
              <w:rPr>
                <w:sz w:val="20"/>
              </w:rPr>
            </w:pPr>
            <w:r>
              <w:rPr>
                <w:sz w:val="20"/>
              </w:rPr>
              <w:t>Cantidad de hogares que reciben un subsidio</w:t>
            </w:r>
            <w:r>
              <w:rPr>
                <w:spacing w:val="-14"/>
                <w:sz w:val="20"/>
              </w:rPr>
              <w:t> </w:t>
            </w:r>
            <w:r>
              <w:rPr>
                <w:sz w:val="20"/>
              </w:rPr>
              <w:t>para</w:t>
            </w:r>
            <w:r>
              <w:rPr>
                <w:spacing w:val="-14"/>
                <w:sz w:val="20"/>
              </w:rPr>
              <w:t> </w:t>
            </w:r>
            <w:r>
              <w:rPr>
                <w:sz w:val="20"/>
              </w:rPr>
              <w:t>el </w:t>
            </w:r>
            <w:r>
              <w:rPr>
                <w:spacing w:val="-2"/>
                <w:sz w:val="20"/>
              </w:rPr>
              <w:t>mejoramiento </w:t>
            </w:r>
            <w:r>
              <w:rPr>
                <w:sz w:val="20"/>
              </w:rPr>
              <w:t>de las </w:t>
            </w:r>
            <w:r>
              <w:rPr>
                <w:spacing w:val="-2"/>
                <w:sz w:val="20"/>
              </w:rPr>
              <w:t>condiciones habitacionales</w:t>
            </w:r>
            <w:r>
              <w:rPr>
                <w:spacing w:val="40"/>
                <w:sz w:val="20"/>
              </w:rPr>
              <w:t> </w:t>
            </w:r>
            <w:r>
              <w:rPr>
                <w:sz w:val="20"/>
              </w:rPr>
              <w:t>y de </w:t>
            </w:r>
            <w:r>
              <w:rPr>
                <w:spacing w:val="-2"/>
                <w:sz w:val="20"/>
              </w:rPr>
              <w:t>accesibilidad</w:t>
            </w:r>
            <w:r>
              <w:rPr>
                <w:spacing w:val="80"/>
                <w:sz w:val="20"/>
              </w:rPr>
              <w:t> </w:t>
            </w:r>
            <w:r>
              <w:rPr>
                <w:sz w:val="20"/>
              </w:rPr>
              <w:t>de sus </w:t>
            </w:r>
            <w:r>
              <w:rPr>
                <w:spacing w:val="-2"/>
                <w:sz w:val="20"/>
              </w:rPr>
              <w:t>viviendas.</w:t>
            </w:r>
          </w:p>
        </w:tc>
        <w:tc>
          <w:tcPr>
            <w:tcW w:w="1419" w:type="dxa"/>
          </w:tcPr>
          <w:p>
            <w:pPr>
              <w:pStyle w:val="TableParagraph"/>
              <w:rPr>
                <w:b/>
                <w:sz w:val="20"/>
              </w:rPr>
            </w:pPr>
          </w:p>
          <w:p>
            <w:pPr>
              <w:pStyle w:val="TableParagraph"/>
              <w:rPr>
                <w:b/>
                <w:sz w:val="20"/>
              </w:rPr>
            </w:pPr>
          </w:p>
          <w:p>
            <w:pPr>
              <w:pStyle w:val="TableParagraph"/>
              <w:rPr>
                <w:b/>
                <w:sz w:val="20"/>
              </w:rPr>
            </w:pPr>
          </w:p>
          <w:p>
            <w:pPr>
              <w:pStyle w:val="TableParagraph"/>
              <w:spacing w:before="113"/>
              <w:rPr>
                <w:b/>
                <w:sz w:val="20"/>
              </w:rPr>
            </w:pPr>
          </w:p>
          <w:p>
            <w:pPr>
              <w:pStyle w:val="TableParagraph"/>
              <w:spacing w:before="1"/>
              <w:ind w:left="68" w:right="102"/>
              <w:rPr>
                <w:sz w:val="20"/>
              </w:rPr>
            </w:pPr>
            <w:r>
              <w:rPr>
                <w:sz w:val="20"/>
              </w:rPr>
              <w:t>Informes</w:t>
            </w:r>
            <w:r>
              <w:rPr>
                <w:spacing w:val="-14"/>
                <w:sz w:val="20"/>
              </w:rPr>
              <w:t> </w:t>
            </w:r>
            <w:r>
              <w:rPr>
                <w:sz w:val="20"/>
              </w:rPr>
              <w:t>de </w:t>
            </w:r>
            <w:r>
              <w:rPr>
                <w:spacing w:val="-2"/>
                <w:sz w:val="20"/>
              </w:rPr>
              <w:t>ejecución elaborados </w:t>
            </w:r>
            <w:r>
              <w:rPr>
                <w:sz w:val="20"/>
              </w:rPr>
              <w:t>por</w:t>
            </w:r>
            <w:r>
              <w:rPr>
                <w:spacing w:val="-14"/>
                <w:sz w:val="20"/>
              </w:rPr>
              <w:t> </w:t>
            </w:r>
            <w:r>
              <w:rPr>
                <w:sz w:val="20"/>
              </w:rPr>
              <w:t>el</w:t>
            </w:r>
            <w:r>
              <w:rPr>
                <w:spacing w:val="-14"/>
                <w:sz w:val="20"/>
              </w:rPr>
              <w:t> </w:t>
            </w:r>
            <w:r>
              <w:rPr>
                <w:sz w:val="20"/>
              </w:rPr>
              <w:t>DSIS.</w:t>
            </w:r>
          </w:p>
        </w:tc>
        <w:tc>
          <w:tcPr>
            <w:tcW w:w="1416"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ind w:left="43" w:right="40"/>
              <w:jc w:val="center"/>
              <w:rPr>
                <w:sz w:val="20"/>
              </w:rPr>
            </w:pPr>
            <w:r>
              <w:rPr>
                <w:spacing w:val="-2"/>
                <w:sz w:val="20"/>
              </w:rPr>
              <w:t>DDSPC</w:t>
            </w:r>
          </w:p>
        </w:tc>
        <w:tc>
          <w:tcPr>
            <w:tcW w:w="1844"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ind w:right="61"/>
              <w:jc w:val="right"/>
              <w:rPr>
                <w:sz w:val="20"/>
              </w:rPr>
            </w:pPr>
            <w:r>
              <w:rPr>
                <w:sz w:val="20"/>
              </w:rPr>
              <w:t>₡</w:t>
            </w:r>
            <w:r>
              <w:rPr>
                <w:spacing w:val="-5"/>
                <w:sz w:val="20"/>
              </w:rPr>
              <w:t> </w:t>
            </w:r>
            <w:r>
              <w:rPr>
                <w:sz w:val="20"/>
              </w:rPr>
              <w:t>756</w:t>
            </w:r>
            <w:r>
              <w:rPr>
                <w:spacing w:val="-2"/>
                <w:sz w:val="20"/>
              </w:rPr>
              <w:t> </w:t>
            </w:r>
            <w:r>
              <w:rPr>
                <w:sz w:val="20"/>
              </w:rPr>
              <w:t>749</w:t>
            </w:r>
            <w:r>
              <w:rPr>
                <w:spacing w:val="-4"/>
                <w:sz w:val="20"/>
              </w:rPr>
              <w:t> </w:t>
            </w:r>
            <w:r>
              <w:rPr>
                <w:spacing w:val="-5"/>
                <w:sz w:val="20"/>
              </w:rPr>
              <w:t>800</w:t>
            </w:r>
          </w:p>
        </w:tc>
        <w:tc>
          <w:tcPr>
            <w:tcW w:w="2415" w:type="dxa"/>
            <w:tcBorders>
              <w:top w:val="nil"/>
            </w:tcBorders>
          </w:tcPr>
          <w:p>
            <w:pPr>
              <w:pStyle w:val="TableParagraph"/>
              <w:rPr>
                <w:rFonts w:ascii="Times New Roman"/>
                <w:sz w:val="20"/>
              </w:rPr>
            </w:pPr>
          </w:p>
        </w:tc>
      </w:tr>
      <w:tr>
        <w:trPr>
          <w:trHeight w:val="3451" w:hRule="atLeast"/>
        </w:trPr>
        <w:tc>
          <w:tcPr>
            <w:tcW w:w="2835" w:type="dxa"/>
          </w:tcPr>
          <w:p>
            <w:pPr>
              <w:pStyle w:val="TableParagraph"/>
              <w:ind w:left="69" w:right="84"/>
              <w:rPr>
                <w:sz w:val="20"/>
              </w:rPr>
            </w:pPr>
            <w:r>
              <w:rPr>
                <w:b/>
                <w:sz w:val="20"/>
              </w:rPr>
              <w:t>Actividad</w:t>
            </w:r>
            <w:r>
              <w:rPr>
                <w:b/>
                <w:spacing w:val="-12"/>
                <w:sz w:val="20"/>
              </w:rPr>
              <w:t> </w:t>
            </w:r>
            <w:r>
              <w:rPr>
                <w:b/>
                <w:sz w:val="20"/>
              </w:rPr>
              <w:t>PPPS</w:t>
            </w:r>
            <w:r>
              <w:rPr>
                <w:b/>
                <w:spacing w:val="-14"/>
                <w:sz w:val="20"/>
              </w:rPr>
              <w:t> </w:t>
            </w:r>
            <w:r>
              <w:rPr>
                <w:b/>
                <w:sz w:val="20"/>
              </w:rPr>
              <w:t>1.1.9:</w:t>
            </w:r>
            <w:r>
              <w:rPr>
                <w:b/>
                <w:spacing w:val="-13"/>
                <w:sz w:val="20"/>
              </w:rPr>
              <w:t> </w:t>
            </w:r>
            <w:r>
              <w:rPr>
                <w:sz w:val="20"/>
              </w:rPr>
              <w:t>Lograr la inscripción de escrituras de proyectos de Titulación a nombre de las personas beneficiarias o de los gobiernos locales, según corresponda en el Registro Nacional, mediante la ejecución del proyecto denominado “Consolidación del proceso de titulación de terrenos para la</w:t>
            </w:r>
            <w:r>
              <w:rPr>
                <w:spacing w:val="40"/>
                <w:sz w:val="20"/>
              </w:rPr>
              <w:t> </w:t>
            </w:r>
            <w:r>
              <w:rPr>
                <w:sz w:val="20"/>
              </w:rPr>
              <w:t>regularización de la tenencia</w:t>
            </w:r>
          </w:p>
          <w:p>
            <w:pPr>
              <w:pStyle w:val="TableParagraph"/>
              <w:spacing w:line="230" w:lineRule="atLeast"/>
              <w:ind w:left="69"/>
              <w:rPr>
                <w:sz w:val="20"/>
              </w:rPr>
            </w:pPr>
            <w:r>
              <w:rPr>
                <w:sz w:val="20"/>
              </w:rPr>
              <w:t>de</w:t>
            </w:r>
            <w:r>
              <w:rPr>
                <w:spacing w:val="-11"/>
                <w:sz w:val="20"/>
              </w:rPr>
              <w:t> </w:t>
            </w:r>
            <w:r>
              <w:rPr>
                <w:sz w:val="20"/>
              </w:rPr>
              <w:t>la</w:t>
            </w:r>
            <w:r>
              <w:rPr>
                <w:spacing w:val="-11"/>
                <w:sz w:val="20"/>
              </w:rPr>
              <w:t> </w:t>
            </w:r>
            <w:r>
              <w:rPr>
                <w:sz w:val="20"/>
              </w:rPr>
              <w:t>tierra</w:t>
            </w:r>
            <w:r>
              <w:rPr>
                <w:spacing w:val="-11"/>
                <w:sz w:val="20"/>
              </w:rPr>
              <w:t> </w:t>
            </w:r>
            <w:r>
              <w:rPr>
                <w:sz w:val="20"/>
              </w:rPr>
              <w:t>de</w:t>
            </w:r>
            <w:r>
              <w:rPr>
                <w:spacing w:val="-11"/>
                <w:sz w:val="20"/>
              </w:rPr>
              <w:t> </w:t>
            </w:r>
            <w:r>
              <w:rPr>
                <w:sz w:val="20"/>
              </w:rPr>
              <w:t>inmuebles propiedad del IMAS”</w:t>
            </w:r>
          </w:p>
        </w:tc>
        <w:tc>
          <w:tcPr>
            <w:tcW w:w="1133"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ind w:left="5" w:right="1"/>
              <w:jc w:val="center"/>
              <w:rPr>
                <w:sz w:val="20"/>
              </w:rPr>
            </w:pPr>
            <w:r>
              <w:rPr>
                <w:spacing w:val="-5"/>
                <w:sz w:val="20"/>
              </w:rPr>
              <w:t>74</w:t>
            </w:r>
          </w:p>
        </w:tc>
        <w:tc>
          <w:tcPr>
            <w:tcW w:w="1422"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ind w:left="8" w:right="5"/>
              <w:jc w:val="center"/>
              <w:rPr>
                <w:sz w:val="20"/>
              </w:rPr>
            </w:pPr>
            <w:r>
              <w:rPr>
                <w:spacing w:val="-5"/>
                <w:sz w:val="20"/>
              </w:rPr>
              <w:t>500</w:t>
            </w:r>
          </w:p>
        </w:tc>
        <w:tc>
          <w:tcPr>
            <w:tcW w:w="1558" w:type="dxa"/>
          </w:tcPr>
          <w:p>
            <w:pPr>
              <w:pStyle w:val="TableParagraph"/>
              <w:rPr>
                <w:b/>
                <w:sz w:val="20"/>
              </w:rPr>
            </w:pPr>
          </w:p>
          <w:p>
            <w:pPr>
              <w:pStyle w:val="TableParagraph"/>
              <w:rPr>
                <w:b/>
                <w:sz w:val="20"/>
              </w:rPr>
            </w:pPr>
          </w:p>
          <w:p>
            <w:pPr>
              <w:pStyle w:val="TableParagraph"/>
              <w:rPr>
                <w:b/>
                <w:sz w:val="20"/>
              </w:rPr>
            </w:pPr>
          </w:p>
          <w:p>
            <w:pPr>
              <w:pStyle w:val="TableParagraph"/>
              <w:ind w:left="68" w:right="184"/>
              <w:rPr>
                <w:sz w:val="20"/>
              </w:rPr>
            </w:pPr>
            <w:r>
              <w:rPr>
                <w:sz w:val="20"/>
              </w:rPr>
              <w:t>Cantidad de </w:t>
            </w:r>
            <w:r>
              <w:rPr>
                <w:spacing w:val="-2"/>
                <w:sz w:val="20"/>
              </w:rPr>
              <w:t>escrituras </w:t>
            </w:r>
            <w:r>
              <w:rPr>
                <w:sz w:val="20"/>
              </w:rPr>
              <w:t>inscritas a nombre</w:t>
            </w:r>
            <w:r>
              <w:rPr>
                <w:spacing w:val="-11"/>
                <w:sz w:val="20"/>
              </w:rPr>
              <w:t> </w:t>
            </w:r>
            <w:r>
              <w:rPr>
                <w:sz w:val="20"/>
              </w:rPr>
              <w:t>de</w:t>
            </w:r>
            <w:r>
              <w:rPr>
                <w:spacing w:val="-9"/>
                <w:sz w:val="20"/>
              </w:rPr>
              <w:t> </w:t>
            </w:r>
            <w:r>
              <w:rPr>
                <w:sz w:val="20"/>
              </w:rPr>
              <w:t>las </w:t>
            </w:r>
            <w:r>
              <w:rPr>
                <w:spacing w:val="-2"/>
                <w:sz w:val="20"/>
              </w:rPr>
              <w:t>personas </w:t>
            </w:r>
            <w:r>
              <w:rPr>
                <w:sz w:val="20"/>
              </w:rPr>
              <w:t>beneficiarias</w:t>
            </w:r>
            <w:r>
              <w:rPr>
                <w:spacing w:val="-14"/>
                <w:sz w:val="20"/>
              </w:rPr>
              <w:t> </w:t>
            </w:r>
            <w:r>
              <w:rPr>
                <w:sz w:val="20"/>
              </w:rPr>
              <w:t>o de los </w:t>
            </w:r>
            <w:r>
              <w:rPr>
                <w:spacing w:val="-2"/>
                <w:sz w:val="20"/>
              </w:rPr>
              <w:t>gobiernos locales</w:t>
            </w:r>
          </w:p>
        </w:tc>
        <w:tc>
          <w:tcPr>
            <w:tcW w:w="1419"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p>
            <w:pPr>
              <w:pStyle w:val="TableParagraph"/>
              <w:spacing w:before="1"/>
              <w:ind w:left="68" w:right="167"/>
              <w:rPr>
                <w:sz w:val="20"/>
              </w:rPr>
            </w:pPr>
            <w:r>
              <w:rPr>
                <w:sz w:val="20"/>
              </w:rPr>
              <w:t>Informes de ejecución</w:t>
            </w:r>
            <w:r>
              <w:rPr>
                <w:spacing w:val="-14"/>
                <w:sz w:val="20"/>
              </w:rPr>
              <w:t> </w:t>
            </w:r>
            <w:r>
              <w:rPr>
                <w:sz w:val="20"/>
              </w:rPr>
              <w:t>del </w:t>
            </w:r>
            <w:r>
              <w:rPr>
                <w:spacing w:val="-2"/>
                <w:sz w:val="20"/>
              </w:rPr>
              <w:t>proyecto</w:t>
            </w:r>
          </w:p>
        </w:tc>
        <w:tc>
          <w:tcPr>
            <w:tcW w:w="1416"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ind w:left="43" w:right="38"/>
              <w:jc w:val="center"/>
              <w:rPr>
                <w:sz w:val="20"/>
              </w:rPr>
            </w:pPr>
            <w:r>
              <w:rPr>
                <w:spacing w:val="-5"/>
                <w:sz w:val="20"/>
              </w:rPr>
              <w:t>DDS</w:t>
            </w:r>
          </w:p>
        </w:tc>
        <w:tc>
          <w:tcPr>
            <w:tcW w:w="1844"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ind w:right="61"/>
              <w:jc w:val="right"/>
              <w:rPr>
                <w:sz w:val="20"/>
              </w:rPr>
            </w:pPr>
            <w:r>
              <w:rPr>
                <w:spacing w:val="-10"/>
                <w:sz w:val="20"/>
              </w:rPr>
              <w:t>_</w:t>
            </w:r>
          </w:p>
        </w:tc>
        <w:tc>
          <w:tcPr>
            <w:tcW w:w="2415" w:type="dxa"/>
          </w:tcPr>
          <w:p>
            <w:pPr>
              <w:pStyle w:val="TableParagraph"/>
              <w:rPr>
                <w:rFonts w:ascii="Times New Roman"/>
                <w:sz w:val="20"/>
              </w:rPr>
            </w:pPr>
          </w:p>
        </w:tc>
      </w:tr>
      <w:tr>
        <w:trPr>
          <w:trHeight w:val="871" w:hRule="atLeast"/>
        </w:trPr>
        <w:tc>
          <w:tcPr>
            <w:tcW w:w="14042" w:type="dxa"/>
            <w:gridSpan w:val="8"/>
            <w:shd w:val="clear" w:color="auto" w:fill="DBE4F0"/>
          </w:tcPr>
          <w:p>
            <w:pPr>
              <w:pStyle w:val="TableParagraph"/>
              <w:spacing w:before="204"/>
              <w:ind w:left="69" w:right="548"/>
              <w:rPr>
                <w:b/>
                <w:sz w:val="20"/>
              </w:rPr>
            </w:pPr>
            <w:r>
              <w:rPr>
                <w:b/>
                <w:sz w:val="20"/>
              </w:rPr>
              <w:t>Producto</w:t>
            </w:r>
            <w:r>
              <w:rPr>
                <w:b/>
                <w:spacing w:val="-3"/>
                <w:sz w:val="20"/>
              </w:rPr>
              <w:t> </w:t>
            </w:r>
            <w:r>
              <w:rPr>
                <w:b/>
                <w:sz w:val="20"/>
              </w:rPr>
              <w:t>PPPS</w:t>
            </w:r>
            <w:r>
              <w:rPr>
                <w:b/>
                <w:spacing w:val="-2"/>
                <w:sz w:val="20"/>
              </w:rPr>
              <w:t> </w:t>
            </w:r>
            <w:r>
              <w:rPr>
                <w:b/>
                <w:sz w:val="20"/>
              </w:rPr>
              <w:t>1.2:</w:t>
            </w:r>
            <w:r>
              <w:rPr>
                <w:b/>
                <w:spacing w:val="-3"/>
                <w:sz w:val="20"/>
              </w:rPr>
              <w:t> </w:t>
            </w:r>
            <w:r>
              <w:rPr>
                <w:b/>
                <w:sz w:val="20"/>
              </w:rPr>
              <w:t>Oferta</w:t>
            </w:r>
            <w:r>
              <w:rPr>
                <w:b/>
                <w:spacing w:val="-4"/>
                <w:sz w:val="20"/>
              </w:rPr>
              <w:t> </w:t>
            </w:r>
            <w:r>
              <w:rPr>
                <w:b/>
                <w:sz w:val="20"/>
              </w:rPr>
              <w:t>programática</w:t>
            </w:r>
            <w:r>
              <w:rPr>
                <w:b/>
                <w:spacing w:val="-2"/>
                <w:sz w:val="20"/>
              </w:rPr>
              <w:t> </w:t>
            </w:r>
            <w:r>
              <w:rPr>
                <w:b/>
                <w:sz w:val="20"/>
              </w:rPr>
              <w:t>institucional</w:t>
            </w:r>
            <w:r>
              <w:rPr>
                <w:b/>
                <w:spacing w:val="-4"/>
                <w:sz w:val="20"/>
              </w:rPr>
              <w:t> </w:t>
            </w:r>
            <w:r>
              <w:rPr>
                <w:b/>
                <w:sz w:val="20"/>
              </w:rPr>
              <w:t>en</w:t>
            </w:r>
            <w:r>
              <w:rPr>
                <w:b/>
                <w:spacing w:val="-4"/>
                <w:sz w:val="20"/>
              </w:rPr>
              <w:t> </w:t>
            </w:r>
            <w:r>
              <w:rPr>
                <w:b/>
                <w:sz w:val="20"/>
              </w:rPr>
              <w:t>promoción</w:t>
            </w:r>
            <w:r>
              <w:rPr>
                <w:b/>
                <w:spacing w:val="-3"/>
                <w:sz w:val="20"/>
              </w:rPr>
              <w:t> </w:t>
            </w:r>
            <w:r>
              <w:rPr>
                <w:b/>
                <w:sz w:val="20"/>
              </w:rPr>
              <w:t>social</w:t>
            </w:r>
            <w:r>
              <w:rPr>
                <w:b/>
                <w:spacing w:val="-2"/>
                <w:sz w:val="20"/>
              </w:rPr>
              <w:t> </w:t>
            </w:r>
            <w:r>
              <w:rPr>
                <w:b/>
                <w:sz w:val="20"/>
              </w:rPr>
              <w:t>que</w:t>
            </w:r>
            <w:r>
              <w:rPr>
                <w:b/>
                <w:spacing w:val="-4"/>
                <w:sz w:val="20"/>
              </w:rPr>
              <w:t> </w:t>
            </w:r>
            <w:r>
              <w:rPr>
                <w:b/>
                <w:sz w:val="20"/>
              </w:rPr>
              <w:t>contribuye</w:t>
            </w:r>
            <w:r>
              <w:rPr>
                <w:b/>
                <w:spacing w:val="-3"/>
                <w:sz w:val="20"/>
              </w:rPr>
              <w:t> </w:t>
            </w:r>
            <w:r>
              <w:rPr>
                <w:b/>
                <w:sz w:val="20"/>
              </w:rPr>
              <w:t>a</w:t>
            </w:r>
            <w:r>
              <w:rPr>
                <w:b/>
                <w:spacing w:val="-4"/>
                <w:sz w:val="20"/>
              </w:rPr>
              <w:t> </w:t>
            </w:r>
            <w:r>
              <w:rPr>
                <w:b/>
                <w:sz w:val="20"/>
              </w:rPr>
              <w:t>la</w:t>
            </w:r>
            <w:r>
              <w:rPr>
                <w:b/>
                <w:spacing w:val="-2"/>
                <w:sz w:val="20"/>
              </w:rPr>
              <w:t> </w:t>
            </w:r>
            <w:r>
              <w:rPr>
                <w:b/>
                <w:sz w:val="20"/>
              </w:rPr>
              <w:t>movilidad</w:t>
            </w:r>
            <w:r>
              <w:rPr>
                <w:b/>
                <w:spacing w:val="-4"/>
                <w:sz w:val="20"/>
              </w:rPr>
              <w:t> </w:t>
            </w:r>
            <w:r>
              <w:rPr>
                <w:b/>
                <w:sz w:val="20"/>
              </w:rPr>
              <w:t>social</w:t>
            </w:r>
            <w:r>
              <w:rPr>
                <w:b/>
                <w:spacing w:val="-4"/>
                <w:sz w:val="20"/>
              </w:rPr>
              <w:t> </w:t>
            </w:r>
            <w:r>
              <w:rPr>
                <w:b/>
                <w:sz w:val="20"/>
              </w:rPr>
              <w:t>de</w:t>
            </w:r>
            <w:r>
              <w:rPr>
                <w:b/>
                <w:spacing w:val="-4"/>
                <w:sz w:val="20"/>
              </w:rPr>
              <w:t> </w:t>
            </w:r>
            <w:r>
              <w:rPr>
                <w:b/>
                <w:sz w:val="20"/>
              </w:rPr>
              <w:t>las</w:t>
            </w:r>
            <w:r>
              <w:rPr>
                <w:b/>
                <w:spacing w:val="-5"/>
                <w:sz w:val="20"/>
              </w:rPr>
              <w:t> </w:t>
            </w:r>
            <w:r>
              <w:rPr>
                <w:b/>
                <w:sz w:val="20"/>
              </w:rPr>
              <w:t>personas y</w:t>
            </w:r>
            <w:r>
              <w:rPr>
                <w:b/>
                <w:spacing w:val="-4"/>
                <w:sz w:val="20"/>
              </w:rPr>
              <w:t> </w:t>
            </w:r>
            <w:r>
              <w:rPr>
                <w:b/>
                <w:sz w:val="20"/>
              </w:rPr>
              <w:t>hogares</w:t>
            </w:r>
            <w:r>
              <w:rPr>
                <w:b/>
                <w:spacing w:val="-3"/>
                <w:sz w:val="20"/>
              </w:rPr>
              <w:t> </w:t>
            </w:r>
            <w:r>
              <w:rPr>
                <w:b/>
                <w:sz w:val="20"/>
              </w:rPr>
              <w:t>en situación de pobreza, u organizaciones que atienden poblaciones en dicha situación.</w:t>
            </w:r>
          </w:p>
        </w:tc>
      </w:tr>
    </w:tbl>
    <w:p>
      <w:pPr>
        <w:pStyle w:val="TableParagraph"/>
        <w:spacing w:after="0"/>
        <w:rPr>
          <w:b/>
          <w:sz w:val="20"/>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1133"/>
        <w:gridCol w:w="1422"/>
        <w:gridCol w:w="1558"/>
        <w:gridCol w:w="1419"/>
        <w:gridCol w:w="1416"/>
        <w:gridCol w:w="1840"/>
        <w:gridCol w:w="2418"/>
      </w:tblGrid>
      <w:tr>
        <w:trPr>
          <w:trHeight w:val="962" w:hRule="atLeast"/>
        </w:trPr>
        <w:tc>
          <w:tcPr>
            <w:tcW w:w="2835" w:type="dxa"/>
            <w:shd w:val="clear" w:color="auto" w:fill="F1F1F1"/>
          </w:tcPr>
          <w:p>
            <w:pPr>
              <w:pStyle w:val="TableParagraph"/>
              <w:spacing w:before="134"/>
              <w:rPr>
                <w:b/>
                <w:sz w:val="20"/>
              </w:rPr>
            </w:pPr>
          </w:p>
          <w:p>
            <w:pPr>
              <w:pStyle w:val="TableParagraph"/>
              <w:ind w:left="338"/>
              <w:rPr>
                <w:b/>
                <w:sz w:val="20"/>
              </w:rPr>
            </w:pPr>
            <w:r>
              <w:rPr>
                <w:b/>
                <w:sz w:val="20"/>
              </w:rPr>
              <w:t>Objetivos</w:t>
            </w:r>
            <w:r>
              <w:rPr>
                <w:b/>
                <w:spacing w:val="-9"/>
                <w:sz w:val="20"/>
              </w:rPr>
              <w:t> </w:t>
            </w:r>
            <w:r>
              <w:rPr>
                <w:b/>
                <w:sz w:val="20"/>
              </w:rPr>
              <w:t>/</w:t>
            </w:r>
            <w:r>
              <w:rPr>
                <w:b/>
                <w:spacing w:val="-9"/>
                <w:sz w:val="20"/>
              </w:rPr>
              <w:t> </w:t>
            </w:r>
            <w:r>
              <w:rPr>
                <w:b/>
                <w:spacing w:val="-2"/>
                <w:sz w:val="20"/>
              </w:rPr>
              <w:t>Resultados</w:t>
            </w:r>
          </w:p>
        </w:tc>
        <w:tc>
          <w:tcPr>
            <w:tcW w:w="1133" w:type="dxa"/>
            <w:shd w:val="clear" w:color="auto" w:fill="F1F1F1"/>
          </w:tcPr>
          <w:p>
            <w:pPr>
              <w:pStyle w:val="TableParagraph"/>
              <w:ind w:left="275" w:right="270" w:firstLine="28"/>
              <w:jc w:val="both"/>
              <w:rPr>
                <w:b/>
                <w:sz w:val="20"/>
              </w:rPr>
            </w:pPr>
            <w:r>
              <w:rPr>
                <w:b/>
                <w:spacing w:val="-4"/>
                <w:sz w:val="20"/>
              </w:rPr>
              <w:t>Línea Base </w:t>
            </w:r>
            <w:r>
              <w:rPr>
                <w:b/>
                <w:spacing w:val="-2"/>
                <w:sz w:val="20"/>
              </w:rPr>
              <w:t>(2025)</w:t>
            </w:r>
          </w:p>
        </w:tc>
        <w:tc>
          <w:tcPr>
            <w:tcW w:w="1422" w:type="dxa"/>
            <w:shd w:val="clear" w:color="auto" w:fill="F1F1F1"/>
          </w:tcPr>
          <w:p>
            <w:pPr>
              <w:pStyle w:val="TableParagraph"/>
              <w:spacing w:before="134"/>
              <w:ind w:left="131" w:right="124" w:firstLine="1"/>
              <w:jc w:val="center"/>
              <w:rPr>
                <w:b/>
                <w:sz w:val="20"/>
              </w:rPr>
            </w:pPr>
            <w:r>
              <w:rPr>
                <w:b/>
                <w:spacing w:val="-4"/>
                <w:sz w:val="20"/>
              </w:rPr>
              <w:t>Meta </w:t>
            </w:r>
            <w:r>
              <w:rPr>
                <w:b/>
                <w:spacing w:val="-2"/>
                <w:sz w:val="20"/>
              </w:rPr>
              <w:t>programada </w:t>
            </w:r>
            <w:r>
              <w:rPr>
                <w:b/>
                <w:spacing w:val="-4"/>
                <w:sz w:val="20"/>
              </w:rPr>
              <w:t>2027</w:t>
            </w:r>
          </w:p>
        </w:tc>
        <w:tc>
          <w:tcPr>
            <w:tcW w:w="1558" w:type="dxa"/>
            <w:shd w:val="clear" w:color="auto" w:fill="F1F1F1"/>
          </w:tcPr>
          <w:p>
            <w:pPr>
              <w:pStyle w:val="TableParagraph"/>
              <w:spacing w:before="134"/>
              <w:rPr>
                <w:b/>
                <w:sz w:val="20"/>
              </w:rPr>
            </w:pPr>
          </w:p>
          <w:p>
            <w:pPr>
              <w:pStyle w:val="TableParagraph"/>
              <w:ind w:left="327"/>
              <w:rPr>
                <w:b/>
                <w:sz w:val="20"/>
              </w:rPr>
            </w:pPr>
            <w:r>
              <w:rPr>
                <w:b/>
                <w:spacing w:val="-2"/>
                <w:sz w:val="20"/>
              </w:rPr>
              <w:t>Indicador</w:t>
            </w:r>
          </w:p>
        </w:tc>
        <w:tc>
          <w:tcPr>
            <w:tcW w:w="1419" w:type="dxa"/>
            <w:shd w:val="clear" w:color="auto" w:fill="F1F1F1"/>
          </w:tcPr>
          <w:p>
            <w:pPr>
              <w:pStyle w:val="TableParagraph"/>
              <w:spacing w:before="19"/>
              <w:rPr>
                <w:b/>
                <w:sz w:val="20"/>
              </w:rPr>
            </w:pPr>
          </w:p>
          <w:p>
            <w:pPr>
              <w:pStyle w:val="TableParagraph"/>
              <w:ind w:left="149" w:right="102" w:firstLine="67"/>
              <w:rPr>
                <w:b/>
                <w:sz w:val="20"/>
              </w:rPr>
            </w:pPr>
            <w:r>
              <w:rPr>
                <w:b/>
                <w:sz w:val="20"/>
              </w:rPr>
              <w:t>Medios de </w:t>
            </w:r>
            <w:r>
              <w:rPr>
                <w:b/>
                <w:spacing w:val="-2"/>
                <w:sz w:val="20"/>
              </w:rPr>
              <w:t>verificación</w:t>
            </w:r>
          </w:p>
        </w:tc>
        <w:tc>
          <w:tcPr>
            <w:tcW w:w="1416" w:type="dxa"/>
            <w:shd w:val="clear" w:color="auto" w:fill="F1F1F1"/>
          </w:tcPr>
          <w:p>
            <w:pPr>
              <w:pStyle w:val="TableParagraph"/>
              <w:spacing w:before="134"/>
              <w:rPr>
                <w:b/>
                <w:sz w:val="20"/>
              </w:rPr>
            </w:pPr>
          </w:p>
          <w:p>
            <w:pPr>
              <w:pStyle w:val="TableParagraph"/>
              <w:ind w:left="43" w:right="42"/>
              <w:jc w:val="center"/>
              <w:rPr>
                <w:b/>
                <w:sz w:val="20"/>
              </w:rPr>
            </w:pPr>
            <w:r>
              <w:rPr>
                <w:b/>
                <w:spacing w:val="-2"/>
                <w:sz w:val="20"/>
              </w:rPr>
              <w:t>Responsable</w:t>
            </w:r>
          </w:p>
        </w:tc>
        <w:tc>
          <w:tcPr>
            <w:tcW w:w="1840" w:type="dxa"/>
            <w:shd w:val="clear" w:color="auto" w:fill="F1F1F1"/>
          </w:tcPr>
          <w:p>
            <w:pPr>
              <w:pStyle w:val="TableParagraph"/>
              <w:spacing w:before="19"/>
              <w:rPr>
                <w:b/>
                <w:sz w:val="20"/>
              </w:rPr>
            </w:pPr>
          </w:p>
          <w:p>
            <w:pPr>
              <w:pStyle w:val="TableParagraph"/>
              <w:ind w:left="480" w:hanging="140"/>
              <w:rPr>
                <w:b/>
                <w:sz w:val="20"/>
              </w:rPr>
            </w:pPr>
            <w:r>
              <w:rPr>
                <w:b/>
                <w:spacing w:val="-2"/>
                <w:sz w:val="20"/>
              </w:rPr>
              <w:t>Presupuesto asignado</w:t>
            </w:r>
          </w:p>
        </w:tc>
        <w:tc>
          <w:tcPr>
            <w:tcW w:w="2418" w:type="dxa"/>
            <w:shd w:val="clear" w:color="auto" w:fill="F1F1F1"/>
          </w:tcPr>
          <w:p>
            <w:pPr>
              <w:pStyle w:val="TableParagraph"/>
              <w:spacing w:before="19"/>
              <w:rPr>
                <w:b/>
                <w:sz w:val="20"/>
              </w:rPr>
            </w:pPr>
          </w:p>
          <w:p>
            <w:pPr>
              <w:pStyle w:val="TableParagraph"/>
              <w:ind w:left="558" w:hanging="368"/>
              <w:rPr>
                <w:b/>
                <w:sz w:val="20"/>
              </w:rPr>
            </w:pPr>
            <w:r>
              <w:rPr>
                <w:b/>
                <w:sz w:val="20"/>
              </w:rPr>
              <w:t>Riesgos</w:t>
            </w:r>
            <w:r>
              <w:rPr>
                <w:b/>
                <w:spacing w:val="-14"/>
                <w:sz w:val="20"/>
              </w:rPr>
              <w:t> </w:t>
            </w:r>
            <w:r>
              <w:rPr>
                <w:b/>
                <w:sz w:val="20"/>
              </w:rPr>
              <w:t>asociados</w:t>
            </w:r>
            <w:r>
              <w:rPr>
                <w:b/>
                <w:spacing w:val="-14"/>
                <w:sz w:val="20"/>
              </w:rPr>
              <w:t> </w:t>
            </w:r>
            <w:r>
              <w:rPr>
                <w:b/>
                <w:sz w:val="20"/>
              </w:rPr>
              <w:t>al </w:t>
            </w:r>
            <w:r>
              <w:rPr>
                <w:b/>
                <w:spacing w:val="-2"/>
                <w:sz w:val="20"/>
              </w:rPr>
              <w:t>cumplimiento</w:t>
            </w:r>
          </w:p>
        </w:tc>
      </w:tr>
      <w:tr>
        <w:trPr>
          <w:trHeight w:val="2760" w:hRule="atLeast"/>
        </w:trPr>
        <w:tc>
          <w:tcPr>
            <w:tcW w:w="2835" w:type="dxa"/>
          </w:tcPr>
          <w:p>
            <w:pPr>
              <w:pStyle w:val="TableParagraph"/>
              <w:ind w:left="69" w:right="30"/>
              <w:rPr>
                <w:b/>
                <w:i/>
                <w:sz w:val="20"/>
              </w:rPr>
            </w:pPr>
            <w:r>
              <w:rPr>
                <w:b/>
                <w:sz w:val="20"/>
              </w:rPr>
              <w:t>Actividad PPPS 1.2.1: </w:t>
            </w:r>
            <w:r>
              <w:rPr>
                <w:sz w:val="20"/>
              </w:rPr>
              <w:t>Otorgamiento de transferencias monetarias condicionadas Avancemos a personas estudiantes de primaria y secundaria con el objetivo de coadyuvar con la inclusión, la permanencia, la asistencia</w:t>
            </w:r>
            <w:r>
              <w:rPr>
                <w:spacing w:val="-14"/>
                <w:sz w:val="20"/>
              </w:rPr>
              <w:t> </w:t>
            </w:r>
            <w:r>
              <w:rPr>
                <w:sz w:val="20"/>
              </w:rPr>
              <w:t>y</w:t>
            </w:r>
            <w:r>
              <w:rPr>
                <w:spacing w:val="-14"/>
                <w:sz w:val="20"/>
              </w:rPr>
              <w:t> </w:t>
            </w:r>
            <w:r>
              <w:rPr>
                <w:sz w:val="20"/>
              </w:rPr>
              <w:t>la</w:t>
            </w:r>
            <w:r>
              <w:rPr>
                <w:spacing w:val="-14"/>
                <w:sz w:val="20"/>
              </w:rPr>
              <w:t> </w:t>
            </w:r>
            <w:r>
              <w:rPr>
                <w:sz w:val="20"/>
              </w:rPr>
              <w:t>reincorporación al sistema educativo </w:t>
            </w:r>
            <w:r>
              <w:rPr>
                <w:b/>
                <w:i/>
                <w:sz w:val="20"/>
              </w:rPr>
              <w:t>(vinculación con PNDIP</w:t>
            </w:r>
          </w:p>
          <w:p>
            <w:pPr>
              <w:pStyle w:val="TableParagraph"/>
              <w:spacing w:line="211" w:lineRule="exact"/>
              <w:ind w:left="69"/>
              <w:rPr>
                <w:b/>
                <w:i/>
                <w:sz w:val="20"/>
              </w:rPr>
            </w:pPr>
            <w:r>
              <w:rPr>
                <w:b/>
                <w:i/>
                <w:spacing w:val="-2"/>
                <w:sz w:val="20"/>
              </w:rPr>
              <w:t>2027-2030).</w:t>
            </w:r>
          </w:p>
        </w:tc>
        <w:tc>
          <w:tcPr>
            <w:tcW w:w="1133"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spacing w:before="1"/>
              <w:ind w:left="5" w:right="1"/>
              <w:jc w:val="center"/>
              <w:rPr>
                <w:sz w:val="20"/>
              </w:rPr>
            </w:pPr>
            <w:r>
              <w:rPr>
                <w:sz w:val="20"/>
              </w:rPr>
              <w:t>325</w:t>
            </w:r>
            <w:r>
              <w:rPr>
                <w:spacing w:val="-5"/>
                <w:sz w:val="20"/>
              </w:rPr>
              <w:t> 660</w:t>
            </w:r>
          </w:p>
        </w:tc>
        <w:tc>
          <w:tcPr>
            <w:tcW w:w="1422"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spacing w:before="1"/>
              <w:ind w:left="8" w:right="5"/>
              <w:jc w:val="center"/>
              <w:rPr>
                <w:sz w:val="20"/>
              </w:rPr>
            </w:pPr>
            <w:r>
              <w:rPr>
                <w:sz w:val="20"/>
              </w:rPr>
              <w:t>320</w:t>
            </w:r>
            <w:r>
              <w:rPr>
                <w:spacing w:val="-5"/>
                <w:sz w:val="20"/>
              </w:rPr>
              <w:t> 000</w:t>
            </w:r>
          </w:p>
        </w:tc>
        <w:tc>
          <w:tcPr>
            <w:tcW w:w="1558" w:type="dxa"/>
          </w:tcPr>
          <w:p>
            <w:pPr>
              <w:pStyle w:val="TableParagraph"/>
              <w:spacing w:before="227"/>
              <w:ind w:left="68" w:right="106"/>
              <w:rPr>
                <w:sz w:val="20"/>
              </w:rPr>
            </w:pPr>
            <w:r>
              <w:rPr>
                <w:sz w:val="20"/>
              </w:rPr>
              <w:t>Cantidad de </w:t>
            </w:r>
            <w:r>
              <w:rPr>
                <w:spacing w:val="-2"/>
                <w:sz w:val="20"/>
              </w:rPr>
              <w:t>personas </w:t>
            </w:r>
            <w:r>
              <w:rPr>
                <w:sz w:val="20"/>
              </w:rPr>
              <w:t>estudiantes de primaria y secundaria</w:t>
            </w:r>
            <w:r>
              <w:rPr>
                <w:spacing w:val="-14"/>
                <w:sz w:val="20"/>
              </w:rPr>
              <w:t> </w:t>
            </w:r>
            <w:r>
              <w:rPr>
                <w:sz w:val="20"/>
              </w:rPr>
              <w:t>que reciben la </w:t>
            </w:r>
            <w:r>
              <w:rPr>
                <w:spacing w:val="-2"/>
                <w:sz w:val="20"/>
              </w:rPr>
              <w:t>transferencia monetaria condicionada Avancemos.</w:t>
            </w:r>
          </w:p>
        </w:tc>
        <w:tc>
          <w:tcPr>
            <w:tcW w:w="1419" w:type="dxa"/>
          </w:tcPr>
          <w:p>
            <w:pPr>
              <w:pStyle w:val="TableParagraph"/>
              <w:rPr>
                <w:b/>
                <w:sz w:val="20"/>
              </w:rPr>
            </w:pPr>
          </w:p>
          <w:p>
            <w:pPr>
              <w:pStyle w:val="TableParagraph"/>
              <w:rPr>
                <w:b/>
                <w:sz w:val="20"/>
              </w:rPr>
            </w:pPr>
          </w:p>
          <w:p>
            <w:pPr>
              <w:pStyle w:val="TableParagraph"/>
              <w:spacing w:before="228"/>
              <w:rPr>
                <w:b/>
                <w:sz w:val="20"/>
              </w:rPr>
            </w:pPr>
          </w:p>
          <w:p>
            <w:pPr>
              <w:pStyle w:val="TableParagraph"/>
              <w:ind w:left="68" w:right="102"/>
              <w:rPr>
                <w:sz w:val="20"/>
              </w:rPr>
            </w:pPr>
            <w:r>
              <w:rPr>
                <w:sz w:val="20"/>
              </w:rPr>
              <w:t>Informes</w:t>
            </w:r>
            <w:r>
              <w:rPr>
                <w:spacing w:val="-14"/>
                <w:sz w:val="20"/>
              </w:rPr>
              <w:t> </w:t>
            </w:r>
            <w:r>
              <w:rPr>
                <w:sz w:val="20"/>
              </w:rPr>
              <w:t>de </w:t>
            </w:r>
            <w:r>
              <w:rPr>
                <w:spacing w:val="-2"/>
                <w:sz w:val="20"/>
              </w:rPr>
              <w:t>ejecución elaborados </w:t>
            </w:r>
            <w:r>
              <w:rPr>
                <w:sz w:val="20"/>
              </w:rPr>
              <w:t>por</w:t>
            </w:r>
            <w:r>
              <w:rPr>
                <w:spacing w:val="-14"/>
                <w:sz w:val="20"/>
              </w:rPr>
              <w:t> </w:t>
            </w:r>
            <w:r>
              <w:rPr>
                <w:sz w:val="20"/>
              </w:rPr>
              <w:t>el</w:t>
            </w:r>
            <w:r>
              <w:rPr>
                <w:spacing w:val="-14"/>
                <w:sz w:val="20"/>
              </w:rPr>
              <w:t> </w:t>
            </w:r>
            <w:r>
              <w:rPr>
                <w:sz w:val="20"/>
              </w:rPr>
              <w:t>DSIS.</w:t>
            </w:r>
          </w:p>
        </w:tc>
        <w:tc>
          <w:tcPr>
            <w:tcW w:w="1416"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spacing w:before="1"/>
              <w:ind w:left="43" w:right="39"/>
              <w:jc w:val="center"/>
              <w:rPr>
                <w:sz w:val="20"/>
              </w:rPr>
            </w:pPr>
            <w:r>
              <w:rPr>
                <w:spacing w:val="-4"/>
                <w:sz w:val="20"/>
              </w:rPr>
              <w:t>DDSE</w:t>
            </w:r>
          </w:p>
        </w:tc>
        <w:tc>
          <w:tcPr>
            <w:tcW w:w="1840"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spacing w:before="1"/>
              <w:ind w:right="59"/>
              <w:jc w:val="right"/>
              <w:rPr>
                <w:sz w:val="20"/>
              </w:rPr>
            </w:pPr>
            <w:r>
              <w:rPr>
                <w:sz w:val="20"/>
              </w:rPr>
              <w:t>₡</w:t>
            </w:r>
            <w:r>
              <w:rPr>
                <w:spacing w:val="-4"/>
                <w:sz w:val="20"/>
              </w:rPr>
              <w:t> </w:t>
            </w:r>
            <w:r>
              <w:rPr>
                <w:sz w:val="20"/>
              </w:rPr>
              <w:t>84</w:t>
            </w:r>
            <w:r>
              <w:rPr>
                <w:spacing w:val="-2"/>
                <w:sz w:val="20"/>
              </w:rPr>
              <w:t> </w:t>
            </w:r>
            <w:r>
              <w:rPr>
                <w:sz w:val="20"/>
              </w:rPr>
              <w:t>610</w:t>
            </w:r>
            <w:r>
              <w:rPr>
                <w:spacing w:val="-4"/>
                <w:sz w:val="20"/>
              </w:rPr>
              <w:t> </w:t>
            </w:r>
            <w:r>
              <w:rPr>
                <w:sz w:val="20"/>
              </w:rPr>
              <w:t>727</w:t>
            </w:r>
            <w:r>
              <w:rPr>
                <w:spacing w:val="-3"/>
                <w:sz w:val="20"/>
              </w:rPr>
              <w:t> </w:t>
            </w:r>
            <w:r>
              <w:rPr>
                <w:spacing w:val="-5"/>
                <w:sz w:val="20"/>
              </w:rPr>
              <w:t>755</w:t>
            </w:r>
          </w:p>
        </w:tc>
        <w:tc>
          <w:tcPr>
            <w:tcW w:w="2418" w:type="dxa"/>
            <w:vMerge w:val="restart"/>
            <w:tcBorders>
              <w:bottom w:val="nil"/>
            </w:tcBorders>
          </w:tcPr>
          <w:p>
            <w:pPr>
              <w:pStyle w:val="TableParagraph"/>
              <w:spacing w:before="9"/>
              <w:ind w:left="71"/>
              <w:rPr>
                <w:sz w:val="20"/>
              </w:rPr>
            </w:pPr>
            <w:r>
              <w:rPr>
                <w:spacing w:val="-2"/>
                <w:sz w:val="20"/>
              </w:rPr>
              <w:t>Eventos:</w:t>
            </w:r>
          </w:p>
          <w:p>
            <w:pPr>
              <w:pStyle w:val="TableParagraph"/>
              <w:numPr>
                <w:ilvl w:val="0"/>
                <w:numId w:val="33"/>
              </w:numPr>
              <w:tabs>
                <w:tab w:pos="302" w:val="left" w:leader="none"/>
              </w:tabs>
              <w:spacing w:line="240" w:lineRule="auto" w:before="0" w:after="0"/>
              <w:ind w:left="71" w:right="247" w:firstLine="0"/>
              <w:jc w:val="left"/>
              <w:rPr>
                <w:sz w:val="20"/>
              </w:rPr>
            </w:pPr>
            <w:r>
              <w:rPr>
                <w:spacing w:val="-2"/>
                <w:sz w:val="20"/>
              </w:rPr>
              <w:t>Posible </w:t>
            </w:r>
            <w:r>
              <w:rPr>
                <w:sz w:val="20"/>
              </w:rPr>
              <w:t>incumplimiento de la meta física para el otorgamiento de TMC (primaria y secundaria) ante limitaciones presupuestarias</w:t>
            </w:r>
            <w:r>
              <w:rPr>
                <w:spacing w:val="-14"/>
                <w:sz w:val="20"/>
              </w:rPr>
              <w:t> </w:t>
            </w:r>
            <w:r>
              <w:rPr>
                <w:sz w:val="20"/>
              </w:rPr>
              <w:t>para</w:t>
            </w:r>
            <w:r>
              <w:rPr>
                <w:spacing w:val="-14"/>
                <w:sz w:val="20"/>
              </w:rPr>
              <w:t> </w:t>
            </w:r>
            <w:r>
              <w:rPr>
                <w:sz w:val="20"/>
              </w:rPr>
              <w:t>la cobertura propuesta.</w:t>
            </w:r>
          </w:p>
          <w:p>
            <w:pPr>
              <w:pStyle w:val="TableParagraph"/>
              <w:numPr>
                <w:ilvl w:val="0"/>
                <w:numId w:val="33"/>
              </w:numPr>
              <w:tabs>
                <w:tab w:pos="302" w:val="left" w:leader="none"/>
              </w:tabs>
              <w:spacing w:line="240" w:lineRule="auto" w:before="0" w:after="0"/>
              <w:ind w:left="71" w:right="513" w:firstLine="0"/>
              <w:jc w:val="left"/>
              <w:rPr>
                <w:sz w:val="20"/>
              </w:rPr>
            </w:pPr>
            <w:r>
              <w:rPr>
                <w:spacing w:val="-2"/>
                <w:sz w:val="20"/>
              </w:rPr>
              <w:t>Posible </w:t>
            </w:r>
            <w:r>
              <w:rPr>
                <w:sz w:val="20"/>
              </w:rPr>
              <w:t>incumplimiento</w:t>
            </w:r>
            <w:r>
              <w:rPr>
                <w:spacing w:val="-14"/>
                <w:sz w:val="20"/>
              </w:rPr>
              <w:t> </w:t>
            </w:r>
            <w:r>
              <w:rPr>
                <w:sz w:val="20"/>
              </w:rPr>
              <w:t>de</w:t>
            </w:r>
            <w:r>
              <w:rPr>
                <w:spacing w:val="-14"/>
                <w:sz w:val="20"/>
              </w:rPr>
              <w:t> </w:t>
            </w:r>
            <w:r>
              <w:rPr>
                <w:sz w:val="20"/>
              </w:rPr>
              <w:t>la meta física para el otorgamiento del subsidio formación </w:t>
            </w:r>
            <w:r>
              <w:rPr>
                <w:spacing w:val="-2"/>
                <w:sz w:val="20"/>
              </w:rPr>
              <w:t>humana.</w:t>
            </w:r>
          </w:p>
          <w:p>
            <w:pPr>
              <w:pStyle w:val="TableParagraph"/>
              <w:numPr>
                <w:ilvl w:val="0"/>
                <w:numId w:val="33"/>
              </w:numPr>
              <w:tabs>
                <w:tab w:pos="302" w:val="left" w:leader="none"/>
              </w:tabs>
              <w:spacing w:line="240" w:lineRule="auto" w:before="0" w:after="0"/>
              <w:ind w:left="71" w:right="71" w:firstLine="0"/>
              <w:jc w:val="left"/>
              <w:rPr>
                <w:sz w:val="20"/>
              </w:rPr>
            </w:pPr>
            <w:r>
              <w:rPr>
                <w:sz w:val="20"/>
              </w:rPr>
              <w:t>Incumplimiento</w:t>
            </w:r>
            <w:r>
              <w:rPr>
                <w:spacing w:val="-14"/>
                <w:sz w:val="20"/>
              </w:rPr>
              <w:t> </w:t>
            </w:r>
            <w:r>
              <w:rPr>
                <w:sz w:val="20"/>
              </w:rPr>
              <w:t>con</w:t>
            </w:r>
            <w:r>
              <w:rPr>
                <w:spacing w:val="-14"/>
                <w:sz w:val="20"/>
              </w:rPr>
              <w:t> </w:t>
            </w:r>
            <w:r>
              <w:rPr>
                <w:sz w:val="20"/>
              </w:rPr>
              <w:t>los plazos máximos establecidos para el trámite del otorgamiento del subsidio de </w:t>
            </w:r>
            <w:r>
              <w:rPr>
                <w:spacing w:val="-2"/>
                <w:sz w:val="20"/>
              </w:rPr>
              <w:t>capacitación.</w:t>
            </w:r>
          </w:p>
          <w:p>
            <w:pPr>
              <w:pStyle w:val="TableParagraph"/>
              <w:numPr>
                <w:ilvl w:val="0"/>
                <w:numId w:val="33"/>
              </w:numPr>
              <w:tabs>
                <w:tab w:pos="302" w:val="left" w:leader="none"/>
              </w:tabs>
              <w:spacing w:line="240" w:lineRule="auto" w:before="0" w:after="0"/>
              <w:ind w:left="71" w:right="71" w:firstLine="0"/>
              <w:jc w:val="left"/>
              <w:rPr>
                <w:sz w:val="20"/>
              </w:rPr>
            </w:pPr>
            <w:r>
              <w:rPr>
                <w:sz w:val="20"/>
              </w:rPr>
              <w:t>Incumplimiento</w:t>
            </w:r>
            <w:r>
              <w:rPr>
                <w:spacing w:val="-14"/>
                <w:sz w:val="20"/>
              </w:rPr>
              <w:t> </w:t>
            </w:r>
            <w:r>
              <w:rPr>
                <w:sz w:val="20"/>
              </w:rPr>
              <w:t>con</w:t>
            </w:r>
            <w:r>
              <w:rPr>
                <w:spacing w:val="-14"/>
                <w:sz w:val="20"/>
              </w:rPr>
              <w:t> </w:t>
            </w:r>
            <w:r>
              <w:rPr>
                <w:sz w:val="20"/>
              </w:rPr>
              <w:t>los plazos máximos establecidos para el trámite del otorgamiento del subsidio de </w:t>
            </w:r>
            <w:r>
              <w:rPr>
                <w:spacing w:val="-2"/>
                <w:sz w:val="20"/>
              </w:rPr>
              <w:t>emprendimiento </w:t>
            </w:r>
            <w:r>
              <w:rPr>
                <w:sz w:val="20"/>
              </w:rPr>
              <w:t>productivo individual.</w:t>
            </w:r>
          </w:p>
          <w:p>
            <w:pPr>
              <w:pStyle w:val="TableParagraph"/>
              <w:numPr>
                <w:ilvl w:val="0"/>
                <w:numId w:val="33"/>
              </w:numPr>
              <w:tabs>
                <w:tab w:pos="303" w:val="left" w:leader="none"/>
              </w:tabs>
              <w:spacing w:line="240" w:lineRule="auto" w:before="0" w:after="0"/>
              <w:ind w:left="303" w:right="0" w:hanging="232"/>
              <w:jc w:val="left"/>
              <w:rPr>
                <w:sz w:val="20"/>
              </w:rPr>
            </w:pPr>
            <w:r>
              <w:rPr>
                <w:sz w:val="20"/>
              </w:rPr>
              <w:t>Traslado</w:t>
            </w:r>
            <w:r>
              <w:rPr>
                <w:spacing w:val="-8"/>
                <w:sz w:val="20"/>
              </w:rPr>
              <w:t> </w:t>
            </w:r>
            <w:r>
              <w:rPr>
                <w:sz w:val="20"/>
              </w:rPr>
              <w:t>tardío</w:t>
            </w:r>
            <w:r>
              <w:rPr>
                <w:spacing w:val="-8"/>
                <w:sz w:val="20"/>
              </w:rPr>
              <w:t> </w:t>
            </w:r>
            <w:r>
              <w:rPr>
                <w:spacing w:val="-5"/>
                <w:sz w:val="20"/>
              </w:rPr>
              <w:t>de</w:t>
            </w:r>
          </w:p>
          <w:p>
            <w:pPr>
              <w:pStyle w:val="TableParagraph"/>
              <w:spacing w:line="228" w:lineRule="exact"/>
              <w:ind w:left="71" w:right="85"/>
              <w:rPr>
                <w:sz w:val="20"/>
              </w:rPr>
            </w:pPr>
            <w:r>
              <w:rPr>
                <w:sz w:val="20"/>
              </w:rPr>
              <w:t>recursos</w:t>
            </w:r>
            <w:r>
              <w:rPr>
                <w:spacing w:val="-14"/>
                <w:sz w:val="20"/>
              </w:rPr>
              <w:t> </w:t>
            </w:r>
            <w:r>
              <w:rPr>
                <w:sz w:val="20"/>
              </w:rPr>
              <w:t>presupuestarios provenientes de fuentes</w:t>
            </w:r>
          </w:p>
        </w:tc>
      </w:tr>
      <w:tr>
        <w:trPr>
          <w:trHeight w:val="2529" w:hRule="atLeast"/>
        </w:trPr>
        <w:tc>
          <w:tcPr>
            <w:tcW w:w="2835" w:type="dxa"/>
          </w:tcPr>
          <w:p>
            <w:pPr>
              <w:pStyle w:val="TableParagraph"/>
              <w:ind w:left="69" w:right="107"/>
              <w:rPr>
                <w:b/>
                <w:sz w:val="20"/>
              </w:rPr>
            </w:pPr>
            <w:r>
              <w:rPr>
                <w:b/>
                <w:sz w:val="20"/>
              </w:rPr>
              <w:t>Actividad PPPS 1.2.2: </w:t>
            </w:r>
            <w:r>
              <w:rPr>
                <w:sz w:val="20"/>
              </w:rPr>
              <w:t>Otorgamiento de subsidios para</w:t>
            </w:r>
            <w:r>
              <w:rPr>
                <w:spacing w:val="-8"/>
                <w:sz w:val="20"/>
              </w:rPr>
              <w:t> </w:t>
            </w:r>
            <w:r>
              <w:rPr>
                <w:sz w:val="20"/>
              </w:rPr>
              <w:t>la</w:t>
            </w:r>
            <w:r>
              <w:rPr>
                <w:spacing w:val="-8"/>
                <w:sz w:val="20"/>
              </w:rPr>
              <w:t> </w:t>
            </w:r>
            <w:r>
              <w:rPr>
                <w:sz w:val="20"/>
              </w:rPr>
              <w:t>inclusión</w:t>
            </w:r>
            <w:r>
              <w:rPr>
                <w:spacing w:val="-7"/>
                <w:sz w:val="20"/>
              </w:rPr>
              <w:t> </w:t>
            </w:r>
            <w:r>
              <w:rPr>
                <w:sz w:val="20"/>
              </w:rPr>
              <w:t>de</w:t>
            </w:r>
            <w:r>
              <w:rPr>
                <w:spacing w:val="-7"/>
                <w:sz w:val="20"/>
              </w:rPr>
              <w:t> </w:t>
            </w:r>
            <w:r>
              <w:rPr>
                <w:sz w:val="20"/>
              </w:rPr>
              <w:t>personas en procesos formativos para el</w:t>
            </w:r>
            <w:r>
              <w:rPr>
                <w:spacing w:val="-11"/>
                <w:sz w:val="20"/>
              </w:rPr>
              <w:t> </w:t>
            </w:r>
            <w:r>
              <w:rPr>
                <w:sz w:val="20"/>
              </w:rPr>
              <w:t>fortalecimiento</w:t>
            </w:r>
            <w:r>
              <w:rPr>
                <w:spacing w:val="-11"/>
                <w:sz w:val="20"/>
              </w:rPr>
              <w:t> </w:t>
            </w:r>
            <w:r>
              <w:rPr>
                <w:sz w:val="20"/>
              </w:rPr>
              <w:t>y</w:t>
            </w:r>
            <w:r>
              <w:rPr>
                <w:spacing w:val="-9"/>
                <w:sz w:val="20"/>
              </w:rPr>
              <w:t> </w:t>
            </w:r>
            <w:r>
              <w:rPr>
                <w:sz w:val="20"/>
              </w:rPr>
              <w:t>desarrollo de</w:t>
            </w:r>
            <w:r>
              <w:rPr>
                <w:spacing w:val="-14"/>
                <w:sz w:val="20"/>
              </w:rPr>
              <w:t> </w:t>
            </w:r>
            <w:r>
              <w:rPr>
                <w:sz w:val="20"/>
              </w:rPr>
              <w:t>capacidades</w:t>
            </w:r>
            <w:r>
              <w:rPr>
                <w:spacing w:val="-13"/>
                <w:sz w:val="20"/>
              </w:rPr>
              <w:t> </w:t>
            </w:r>
            <w:r>
              <w:rPr>
                <w:sz w:val="20"/>
              </w:rPr>
              <w:t>de</w:t>
            </w:r>
            <w:r>
              <w:rPr>
                <w:spacing w:val="-14"/>
                <w:sz w:val="20"/>
              </w:rPr>
              <w:t> </w:t>
            </w:r>
            <w:r>
              <w:rPr>
                <w:sz w:val="20"/>
              </w:rPr>
              <w:t>formación personal que contribuyan al desarrollo integral </w:t>
            </w:r>
            <w:r>
              <w:rPr>
                <w:b/>
                <w:sz w:val="20"/>
              </w:rPr>
              <w:t>(vinculación con PIEG-PLANOVI 1.1.3 / PIEG-</w:t>
            </w:r>
          </w:p>
          <w:p>
            <w:pPr>
              <w:pStyle w:val="TableParagraph"/>
              <w:spacing w:line="210" w:lineRule="exact"/>
              <w:ind w:left="69"/>
              <w:rPr>
                <w:b/>
                <w:sz w:val="20"/>
              </w:rPr>
            </w:pPr>
            <w:r>
              <w:rPr>
                <w:b/>
                <w:sz w:val="20"/>
              </w:rPr>
              <w:t>PLANOVI</w:t>
            </w:r>
            <w:r>
              <w:rPr>
                <w:b/>
                <w:spacing w:val="-9"/>
                <w:sz w:val="20"/>
              </w:rPr>
              <w:t> </w:t>
            </w:r>
            <w:r>
              <w:rPr>
                <w:b/>
                <w:spacing w:val="-4"/>
                <w:sz w:val="20"/>
              </w:rPr>
              <w:t>1.1.4</w:t>
            </w:r>
          </w:p>
        </w:tc>
        <w:tc>
          <w:tcPr>
            <w:tcW w:w="1133" w:type="dxa"/>
          </w:tcPr>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p>
            <w:pPr>
              <w:pStyle w:val="TableParagraph"/>
              <w:ind w:left="5" w:right="1"/>
              <w:jc w:val="center"/>
              <w:rPr>
                <w:sz w:val="20"/>
              </w:rPr>
            </w:pPr>
            <w:r>
              <w:rPr>
                <w:sz w:val="20"/>
              </w:rPr>
              <w:t>10</w:t>
            </w:r>
            <w:r>
              <w:rPr>
                <w:spacing w:val="-6"/>
                <w:sz w:val="20"/>
              </w:rPr>
              <w:t> </w:t>
            </w:r>
            <w:r>
              <w:rPr>
                <w:spacing w:val="-5"/>
                <w:sz w:val="20"/>
              </w:rPr>
              <w:t>960</w:t>
            </w:r>
          </w:p>
        </w:tc>
        <w:tc>
          <w:tcPr>
            <w:tcW w:w="1422" w:type="dxa"/>
          </w:tcPr>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p>
            <w:pPr>
              <w:pStyle w:val="TableParagraph"/>
              <w:ind w:left="8" w:right="4"/>
              <w:jc w:val="center"/>
              <w:rPr>
                <w:sz w:val="20"/>
              </w:rPr>
            </w:pPr>
            <w:r>
              <w:rPr>
                <w:sz w:val="20"/>
              </w:rPr>
              <w:t>11</w:t>
            </w:r>
            <w:r>
              <w:rPr>
                <w:spacing w:val="-6"/>
                <w:sz w:val="20"/>
              </w:rPr>
              <w:t> </w:t>
            </w:r>
            <w:r>
              <w:rPr>
                <w:spacing w:val="-5"/>
                <w:sz w:val="20"/>
              </w:rPr>
              <w:t>373</w:t>
            </w:r>
          </w:p>
        </w:tc>
        <w:tc>
          <w:tcPr>
            <w:tcW w:w="1558" w:type="dxa"/>
          </w:tcPr>
          <w:p>
            <w:pPr>
              <w:pStyle w:val="TableParagraph"/>
              <w:rPr>
                <w:b/>
                <w:sz w:val="20"/>
              </w:rPr>
            </w:pPr>
          </w:p>
          <w:p>
            <w:pPr>
              <w:pStyle w:val="TableParagraph"/>
              <w:spacing w:before="113"/>
              <w:rPr>
                <w:b/>
                <w:sz w:val="20"/>
              </w:rPr>
            </w:pPr>
          </w:p>
          <w:p>
            <w:pPr>
              <w:pStyle w:val="TableParagraph"/>
              <w:ind w:left="68" w:right="261"/>
              <w:rPr>
                <w:sz w:val="20"/>
              </w:rPr>
            </w:pPr>
            <w:r>
              <w:rPr>
                <w:sz w:val="20"/>
              </w:rPr>
              <w:t>Cantidad de personas</w:t>
            </w:r>
            <w:r>
              <w:rPr>
                <w:spacing w:val="-14"/>
                <w:sz w:val="20"/>
              </w:rPr>
              <w:t> </w:t>
            </w:r>
            <w:r>
              <w:rPr>
                <w:sz w:val="20"/>
              </w:rPr>
              <w:t>que reciben el subsidio de </w:t>
            </w:r>
            <w:r>
              <w:rPr>
                <w:spacing w:val="-2"/>
                <w:sz w:val="20"/>
              </w:rPr>
              <w:t>procesos formativos.</w:t>
            </w:r>
          </w:p>
        </w:tc>
        <w:tc>
          <w:tcPr>
            <w:tcW w:w="1419" w:type="dxa"/>
          </w:tcPr>
          <w:p>
            <w:pPr>
              <w:pStyle w:val="TableParagraph"/>
              <w:rPr>
                <w:b/>
                <w:sz w:val="20"/>
              </w:rPr>
            </w:pPr>
          </w:p>
          <w:p>
            <w:pPr>
              <w:pStyle w:val="TableParagraph"/>
              <w:rPr>
                <w:b/>
                <w:sz w:val="20"/>
              </w:rPr>
            </w:pPr>
          </w:p>
          <w:p>
            <w:pPr>
              <w:pStyle w:val="TableParagraph"/>
              <w:spacing w:before="113"/>
              <w:rPr>
                <w:b/>
                <w:sz w:val="20"/>
              </w:rPr>
            </w:pPr>
          </w:p>
          <w:p>
            <w:pPr>
              <w:pStyle w:val="TableParagraph"/>
              <w:ind w:left="68" w:right="102"/>
              <w:rPr>
                <w:sz w:val="20"/>
              </w:rPr>
            </w:pPr>
            <w:r>
              <w:rPr>
                <w:sz w:val="20"/>
              </w:rPr>
              <w:t>Informes</w:t>
            </w:r>
            <w:r>
              <w:rPr>
                <w:spacing w:val="-14"/>
                <w:sz w:val="20"/>
              </w:rPr>
              <w:t> </w:t>
            </w:r>
            <w:r>
              <w:rPr>
                <w:sz w:val="20"/>
              </w:rPr>
              <w:t>de </w:t>
            </w:r>
            <w:r>
              <w:rPr>
                <w:spacing w:val="-2"/>
                <w:sz w:val="20"/>
              </w:rPr>
              <w:t>ejecución elaborados </w:t>
            </w:r>
            <w:r>
              <w:rPr>
                <w:sz w:val="20"/>
              </w:rPr>
              <w:t>por</w:t>
            </w:r>
            <w:r>
              <w:rPr>
                <w:spacing w:val="-14"/>
                <w:sz w:val="20"/>
              </w:rPr>
              <w:t> </w:t>
            </w:r>
            <w:r>
              <w:rPr>
                <w:sz w:val="20"/>
              </w:rPr>
              <w:t>el</w:t>
            </w:r>
            <w:r>
              <w:rPr>
                <w:spacing w:val="-14"/>
                <w:sz w:val="20"/>
              </w:rPr>
              <w:t> </w:t>
            </w:r>
            <w:r>
              <w:rPr>
                <w:sz w:val="20"/>
              </w:rPr>
              <w:t>DSIS.</w:t>
            </w:r>
          </w:p>
        </w:tc>
        <w:tc>
          <w:tcPr>
            <w:tcW w:w="1416" w:type="dxa"/>
          </w:tcPr>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p>
            <w:pPr>
              <w:pStyle w:val="TableParagraph"/>
              <w:ind w:left="43" w:right="39"/>
              <w:jc w:val="center"/>
              <w:rPr>
                <w:sz w:val="20"/>
              </w:rPr>
            </w:pPr>
            <w:r>
              <w:rPr>
                <w:spacing w:val="-4"/>
                <w:sz w:val="20"/>
              </w:rPr>
              <w:t>DDSE</w:t>
            </w:r>
          </w:p>
        </w:tc>
        <w:tc>
          <w:tcPr>
            <w:tcW w:w="1840" w:type="dxa"/>
          </w:tcPr>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p>
            <w:pPr>
              <w:pStyle w:val="TableParagraph"/>
              <w:ind w:right="61"/>
              <w:jc w:val="right"/>
              <w:rPr>
                <w:sz w:val="20"/>
              </w:rPr>
            </w:pPr>
            <w:r>
              <w:rPr>
                <w:sz w:val="20"/>
              </w:rPr>
              <w:t>₡3</w:t>
            </w:r>
            <w:r>
              <w:rPr>
                <w:spacing w:val="-3"/>
                <w:sz w:val="20"/>
              </w:rPr>
              <w:t> </w:t>
            </w:r>
            <w:r>
              <w:rPr>
                <w:sz w:val="20"/>
              </w:rPr>
              <w:t>412</w:t>
            </w:r>
            <w:r>
              <w:rPr>
                <w:spacing w:val="-4"/>
                <w:sz w:val="20"/>
              </w:rPr>
              <w:t> </w:t>
            </w:r>
            <w:r>
              <w:rPr>
                <w:sz w:val="20"/>
              </w:rPr>
              <w:t>000</w:t>
            </w:r>
            <w:r>
              <w:rPr>
                <w:spacing w:val="-5"/>
                <w:sz w:val="20"/>
              </w:rPr>
              <w:t> 000</w:t>
            </w:r>
          </w:p>
        </w:tc>
        <w:tc>
          <w:tcPr>
            <w:tcW w:w="2418" w:type="dxa"/>
            <w:vMerge/>
            <w:tcBorders>
              <w:top w:val="nil"/>
              <w:bottom w:val="nil"/>
            </w:tcBorders>
          </w:tcPr>
          <w:p>
            <w:pPr>
              <w:rPr>
                <w:sz w:val="2"/>
                <w:szCs w:val="2"/>
              </w:rPr>
            </w:pPr>
          </w:p>
        </w:tc>
      </w:tr>
      <w:tr>
        <w:trPr>
          <w:trHeight w:val="1841" w:hRule="atLeast"/>
        </w:trPr>
        <w:tc>
          <w:tcPr>
            <w:tcW w:w="2835" w:type="dxa"/>
          </w:tcPr>
          <w:p>
            <w:pPr>
              <w:pStyle w:val="TableParagraph"/>
              <w:ind w:left="69"/>
              <w:rPr>
                <w:sz w:val="20"/>
              </w:rPr>
            </w:pPr>
            <w:r>
              <w:rPr>
                <w:b/>
                <w:sz w:val="20"/>
              </w:rPr>
              <w:t>Actividad PPPS 1.2.3: </w:t>
            </w:r>
            <w:r>
              <w:rPr>
                <w:sz w:val="20"/>
              </w:rPr>
              <w:t>Otorgamiento del subsidio de capacitación que permita a personas</w:t>
            </w:r>
            <w:r>
              <w:rPr>
                <w:spacing w:val="-2"/>
                <w:sz w:val="20"/>
              </w:rPr>
              <w:t> </w:t>
            </w:r>
            <w:r>
              <w:rPr>
                <w:sz w:val="20"/>
              </w:rPr>
              <w:t>acceder</w:t>
            </w:r>
            <w:r>
              <w:rPr>
                <w:spacing w:val="-3"/>
                <w:sz w:val="20"/>
              </w:rPr>
              <w:t> </w:t>
            </w:r>
            <w:r>
              <w:rPr>
                <w:sz w:val="20"/>
              </w:rPr>
              <w:t>a</w:t>
            </w:r>
            <w:r>
              <w:rPr>
                <w:spacing w:val="-3"/>
                <w:sz w:val="20"/>
              </w:rPr>
              <w:t> </w:t>
            </w:r>
            <w:r>
              <w:rPr>
                <w:sz w:val="20"/>
              </w:rPr>
              <w:t>procesos que</w:t>
            </w:r>
            <w:r>
              <w:rPr>
                <w:spacing w:val="-14"/>
                <w:sz w:val="20"/>
              </w:rPr>
              <w:t> </w:t>
            </w:r>
            <w:r>
              <w:rPr>
                <w:sz w:val="20"/>
              </w:rPr>
              <w:t>mejoren</w:t>
            </w:r>
            <w:r>
              <w:rPr>
                <w:spacing w:val="-14"/>
                <w:sz w:val="20"/>
              </w:rPr>
              <w:t> </w:t>
            </w:r>
            <w:r>
              <w:rPr>
                <w:sz w:val="20"/>
              </w:rPr>
              <w:t>sus</w:t>
            </w:r>
            <w:r>
              <w:rPr>
                <w:spacing w:val="-13"/>
                <w:sz w:val="20"/>
              </w:rPr>
              <w:t> </w:t>
            </w:r>
            <w:r>
              <w:rPr>
                <w:sz w:val="20"/>
              </w:rPr>
              <w:t>capacidades para facilitar la búsqueda de empleo o mejora en la</w:t>
            </w:r>
          </w:p>
          <w:p>
            <w:pPr>
              <w:pStyle w:val="TableParagraph"/>
              <w:spacing w:line="211" w:lineRule="exact"/>
              <w:ind w:left="69"/>
              <w:rPr>
                <w:sz w:val="20"/>
              </w:rPr>
            </w:pPr>
            <w:r>
              <w:rPr>
                <w:sz w:val="20"/>
              </w:rPr>
              <w:t>ejecución</w:t>
            </w:r>
            <w:r>
              <w:rPr>
                <w:spacing w:val="-13"/>
                <w:sz w:val="20"/>
              </w:rPr>
              <w:t> </w:t>
            </w:r>
            <w:r>
              <w:rPr>
                <w:spacing w:val="-5"/>
                <w:sz w:val="20"/>
              </w:rPr>
              <w:t>de</w:t>
            </w:r>
          </w:p>
        </w:tc>
        <w:tc>
          <w:tcPr>
            <w:tcW w:w="1133" w:type="dxa"/>
          </w:tcPr>
          <w:p>
            <w:pPr>
              <w:pStyle w:val="TableParagraph"/>
              <w:rPr>
                <w:b/>
                <w:sz w:val="20"/>
              </w:rPr>
            </w:pPr>
          </w:p>
          <w:p>
            <w:pPr>
              <w:pStyle w:val="TableParagraph"/>
              <w:rPr>
                <w:b/>
                <w:sz w:val="20"/>
              </w:rPr>
            </w:pPr>
          </w:p>
          <w:p>
            <w:pPr>
              <w:pStyle w:val="TableParagraph"/>
              <w:spacing w:before="113"/>
              <w:rPr>
                <w:b/>
                <w:sz w:val="20"/>
              </w:rPr>
            </w:pPr>
          </w:p>
          <w:p>
            <w:pPr>
              <w:pStyle w:val="TableParagraph"/>
              <w:ind w:left="5" w:right="1"/>
              <w:jc w:val="center"/>
              <w:rPr>
                <w:sz w:val="20"/>
              </w:rPr>
            </w:pPr>
            <w:r>
              <w:rPr>
                <w:sz w:val="20"/>
              </w:rPr>
              <w:t>12</w:t>
            </w:r>
            <w:r>
              <w:rPr>
                <w:spacing w:val="-6"/>
                <w:sz w:val="20"/>
              </w:rPr>
              <w:t> </w:t>
            </w:r>
            <w:r>
              <w:rPr>
                <w:spacing w:val="-5"/>
                <w:sz w:val="20"/>
              </w:rPr>
              <w:t>000</w:t>
            </w:r>
          </w:p>
        </w:tc>
        <w:tc>
          <w:tcPr>
            <w:tcW w:w="1422" w:type="dxa"/>
          </w:tcPr>
          <w:p>
            <w:pPr>
              <w:pStyle w:val="TableParagraph"/>
              <w:rPr>
                <w:b/>
                <w:sz w:val="20"/>
              </w:rPr>
            </w:pPr>
          </w:p>
          <w:p>
            <w:pPr>
              <w:pStyle w:val="TableParagraph"/>
              <w:rPr>
                <w:b/>
                <w:sz w:val="20"/>
              </w:rPr>
            </w:pPr>
          </w:p>
          <w:p>
            <w:pPr>
              <w:pStyle w:val="TableParagraph"/>
              <w:spacing w:before="113"/>
              <w:rPr>
                <w:b/>
                <w:sz w:val="20"/>
              </w:rPr>
            </w:pPr>
          </w:p>
          <w:p>
            <w:pPr>
              <w:pStyle w:val="TableParagraph"/>
              <w:ind w:left="8" w:right="4"/>
              <w:jc w:val="center"/>
              <w:rPr>
                <w:sz w:val="20"/>
              </w:rPr>
            </w:pPr>
            <w:r>
              <w:rPr>
                <w:sz w:val="20"/>
              </w:rPr>
              <w:t>12</w:t>
            </w:r>
            <w:r>
              <w:rPr>
                <w:spacing w:val="-6"/>
                <w:sz w:val="20"/>
              </w:rPr>
              <w:t> </w:t>
            </w:r>
            <w:r>
              <w:rPr>
                <w:spacing w:val="-5"/>
                <w:sz w:val="20"/>
              </w:rPr>
              <w:t>000</w:t>
            </w:r>
          </w:p>
        </w:tc>
        <w:tc>
          <w:tcPr>
            <w:tcW w:w="1558" w:type="dxa"/>
          </w:tcPr>
          <w:p>
            <w:pPr>
              <w:pStyle w:val="TableParagraph"/>
              <w:spacing w:before="115"/>
              <w:rPr>
                <w:b/>
                <w:sz w:val="20"/>
              </w:rPr>
            </w:pPr>
          </w:p>
          <w:p>
            <w:pPr>
              <w:pStyle w:val="TableParagraph"/>
              <w:ind w:left="68" w:right="261"/>
              <w:rPr>
                <w:sz w:val="20"/>
              </w:rPr>
            </w:pPr>
            <w:r>
              <w:rPr>
                <w:sz w:val="20"/>
              </w:rPr>
              <w:t>Cantidad de personas</w:t>
            </w:r>
            <w:r>
              <w:rPr>
                <w:spacing w:val="-14"/>
                <w:sz w:val="20"/>
              </w:rPr>
              <w:t> </w:t>
            </w:r>
            <w:r>
              <w:rPr>
                <w:sz w:val="20"/>
              </w:rPr>
              <w:t>que </w:t>
            </w:r>
            <w:r>
              <w:rPr>
                <w:spacing w:val="-2"/>
                <w:sz w:val="20"/>
              </w:rPr>
              <w:t>reciben </w:t>
            </w:r>
            <w:r>
              <w:rPr>
                <w:sz w:val="20"/>
              </w:rPr>
              <w:t>subsidio de </w:t>
            </w:r>
            <w:r>
              <w:rPr>
                <w:spacing w:val="-2"/>
                <w:sz w:val="20"/>
              </w:rPr>
              <w:t>capacitación</w:t>
            </w:r>
          </w:p>
        </w:tc>
        <w:tc>
          <w:tcPr>
            <w:tcW w:w="1419" w:type="dxa"/>
          </w:tcPr>
          <w:p>
            <w:pPr>
              <w:pStyle w:val="TableParagraph"/>
              <w:rPr>
                <w:b/>
                <w:sz w:val="20"/>
              </w:rPr>
            </w:pPr>
          </w:p>
          <w:p>
            <w:pPr>
              <w:pStyle w:val="TableParagraph"/>
              <w:rPr>
                <w:b/>
                <w:sz w:val="20"/>
              </w:rPr>
            </w:pPr>
          </w:p>
          <w:p>
            <w:pPr>
              <w:pStyle w:val="TableParagraph"/>
              <w:ind w:left="68" w:right="102"/>
              <w:rPr>
                <w:sz w:val="20"/>
              </w:rPr>
            </w:pPr>
            <w:r>
              <w:rPr>
                <w:sz w:val="20"/>
              </w:rPr>
              <w:t>Informes</w:t>
            </w:r>
            <w:r>
              <w:rPr>
                <w:spacing w:val="-14"/>
                <w:sz w:val="20"/>
              </w:rPr>
              <w:t> </w:t>
            </w:r>
            <w:r>
              <w:rPr>
                <w:sz w:val="20"/>
              </w:rPr>
              <w:t>de </w:t>
            </w:r>
            <w:r>
              <w:rPr>
                <w:spacing w:val="-2"/>
                <w:sz w:val="20"/>
              </w:rPr>
              <w:t>ejecución elaborados </w:t>
            </w:r>
            <w:r>
              <w:rPr>
                <w:sz w:val="20"/>
              </w:rPr>
              <w:t>por</w:t>
            </w:r>
            <w:r>
              <w:rPr>
                <w:spacing w:val="-14"/>
                <w:sz w:val="20"/>
              </w:rPr>
              <w:t> </w:t>
            </w:r>
            <w:r>
              <w:rPr>
                <w:sz w:val="20"/>
              </w:rPr>
              <w:t>el</w:t>
            </w:r>
            <w:r>
              <w:rPr>
                <w:spacing w:val="-14"/>
                <w:sz w:val="20"/>
              </w:rPr>
              <w:t> </w:t>
            </w:r>
            <w:r>
              <w:rPr>
                <w:sz w:val="20"/>
              </w:rPr>
              <w:t>DSIS.</w:t>
            </w:r>
          </w:p>
        </w:tc>
        <w:tc>
          <w:tcPr>
            <w:tcW w:w="1416" w:type="dxa"/>
          </w:tcPr>
          <w:p>
            <w:pPr>
              <w:pStyle w:val="TableParagraph"/>
              <w:rPr>
                <w:b/>
                <w:sz w:val="20"/>
              </w:rPr>
            </w:pPr>
          </w:p>
          <w:p>
            <w:pPr>
              <w:pStyle w:val="TableParagraph"/>
              <w:rPr>
                <w:b/>
                <w:sz w:val="20"/>
              </w:rPr>
            </w:pPr>
          </w:p>
          <w:p>
            <w:pPr>
              <w:pStyle w:val="TableParagraph"/>
              <w:spacing w:before="113"/>
              <w:rPr>
                <w:b/>
                <w:sz w:val="20"/>
              </w:rPr>
            </w:pPr>
          </w:p>
          <w:p>
            <w:pPr>
              <w:pStyle w:val="TableParagraph"/>
              <w:ind w:left="43" w:right="40"/>
              <w:jc w:val="center"/>
              <w:rPr>
                <w:sz w:val="20"/>
              </w:rPr>
            </w:pPr>
            <w:r>
              <w:rPr>
                <w:spacing w:val="-2"/>
                <w:sz w:val="20"/>
              </w:rPr>
              <w:t>DDSPC</w:t>
            </w:r>
          </w:p>
        </w:tc>
        <w:tc>
          <w:tcPr>
            <w:tcW w:w="1840" w:type="dxa"/>
          </w:tcPr>
          <w:p>
            <w:pPr>
              <w:pStyle w:val="TableParagraph"/>
              <w:rPr>
                <w:b/>
                <w:sz w:val="20"/>
              </w:rPr>
            </w:pPr>
          </w:p>
          <w:p>
            <w:pPr>
              <w:pStyle w:val="TableParagraph"/>
              <w:rPr>
                <w:b/>
                <w:sz w:val="20"/>
              </w:rPr>
            </w:pPr>
          </w:p>
          <w:p>
            <w:pPr>
              <w:pStyle w:val="TableParagraph"/>
              <w:spacing w:before="113"/>
              <w:rPr>
                <w:b/>
                <w:sz w:val="20"/>
              </w:rPr>
            </w:pPr>
          </w:p>
          <w:p>
            <w:pPr>
              <w:pStyle w:val="TableParagraph"/>
              <w:ind w:right="61"/>
              <w:jc w:val="right"/>
              <w:rPr>
                <w:sz w:val="20"/>
              </w:rPr>
            </w:pPr>
            <w:r>
              <w:rPr>
                <w:sz w:val="20"/>
              </w:rPr>
              <w:t>₡</w:t>
            </w:r>
            <w:r>
              <w:rPr>
                <w:spacing w:val="-4"/>
                <w:sz w:val="20"/>
              </w:rPr>
              <w:t> </w:t>
            </w:r>
            <w:r>
              <w:rPr>
                <w:sz w:val="20"/>
              </w:rPr>
              <w:t>9</w:t>
            </w:r>
            <w:r>
              <w:rPr>
                <w:spacing w:val="-1"/>
                <w:sz w:val="20"/>
              </w:rPr>
              <w:t> </w:t>
            </w:r>
            <w:r>
              <w:rPr>
                <w:sz w:val="20"/>
              </w:rPr>
              <w:t>000</w:t>
            </w:r>
            <w:r>
              <w:rPr>
                <w:spacing w:val="-3"/>
                <w:sz w:val="20"/>
              </w:rPr>
              <w:t> </w:t>
            </w:r>
            <w:r>
              <w:rPr>
                <w:sz w:val="20"/>
              </w:rPr>
              <w:t>000</w:t>
            </w:r>
            <w:r>
              <w:rPr>
                <w:spacing w:val="-4"/>
                <w:sz w:val="20"/>
              </w:rPr>
              <w:t> </w:t>
            </w:r>
            <w:r>
              <w:rPr>
                <w:spacing w:val="-5"/>
                <w:sz w:val="20"/>
              </w:rPr>
              <w:t>000</w:t>
            </w:r>
          </w:p>
        </w:tc>
        <w:tc>
          <w:tcPr>
            <w:tcW w:w="2418" w:type="dxa"/>
            <w:vMerge/>
            <w:tcBorders>
              <w:top w:val="nil"/>
              <w:bottom w:val="nil"/>
            </w:tcBorders>
          </w:tcPr>
          <w:p>
            <w:pPr>
              <w:rPr>
                <w:sz w:val="2"/>
                <w:szCs w:val="2"/>
              </w:rPr>
            </w:pPr>
          </w:p>
        </w:tc>
      </w:tr>
    </w:tbl>
    <w:p>
      <w:pPr>
        <w:spacing w:after="0"/>
        <w:rPr>
          <w:sz w:val="2"/>
          <w:szCs w:val="2"/>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1133"/>
        <w:gridCol w:w="1422"/>
        <w:gridCol w:w="1558"/>
        <w:gridCol w:w="1419"/>
        <w:gridCol w:w="1416"/>
        <w:gridCol w:w="1840"/>
        <w:gridCol w:w="2418"/>
      </w:tblGrid>
      <w:tr>
        <w:trPr>
          <w:trHeight w:val="962" w:hRule="atLeast"/>
        </w:trPr>
        <w:tc>
          <w:tcPr>
            <w:tcW w:w="2835" w:type="dxa"/>
            <w:shd w:val="clear" w:color="auto" w:fill="F1F1F1"/>
          </w:tcPr>
          <w:p>
            <w:pPr>
              <w:pStyle w:val="TableParagraph"/>
              <w:spacing w:before="134"/>
              <w:rPr>
                <w:b/>
                <w:sz w:val="20"/>
              </w:rPr>
            </w:pPr>
          </w:p>
          <w:p>
            <w:pPr>
              <w:pStyle w:val="TableParagraph"/>
              <w:ind w:left="338"/>
              <w:rPr>
                <w:b/>
                <w:sz w:val="20"/>
              </w:rPr>
            </w:pPr>
            <w:r>
              <w:rPr>
                <w:b/>
                <w:sz w:val="20"/>
              </w:rPr>
              <w:t>Objetivos</w:t>
            </w:r>
            <w:r>
              <w:rPr>
                <w:b/>
                <w:spacing w:val="-9"/>
                <w:sz w:val="20"/>
              </w:rPr>
              <w:t> </w:t>
            </w:r>
            <w:r>
              <w:rPr>
                <w:b/>
                <w:sz w:val="20"/>
              </w:rPr>
              <w:t>/</w:t>
            </w:r>
            <w:r>
              <w:rPr>
                <w:b/>
                <w:spacing w:val="-9"/>
                <w:sz w:val="20"/>
              </w:rPr>
              <w:t> </w:t>
            </w:r>
            <w:r>
              <w:rPr>
                <w:b/>
                <w:spacing w:val="-2"/>
                <w:sz w:val="20"/>
              </w:rPr>
              <w:t>Resultados</w:t>
            </w:r>
          </w:p>
        </w:tc>
        <w:tc>
          <w:tcPr>
            <w:tcW w:w="1133" w:type="dxa"/>
            <w:shd w:val="clear" w:color="auto" w:fill="F1F1F1"/>
          </w:tcPr>
          <w:p>
            <w:pPr>
              <w:pStyle w:val="TableParagraph"/>
              <w:ind w:left="275" w:right="270" w:firstLine="28"/>
              <w:jc w:val="both"/>
              <w:rPr>
                <w:b/>
                <w:sz w:val="20"/>
              </w:rPr>
            </w:pPr>
            <w:r>
              <w:rPr>
                <w:b/>
                <w:spacing w:val="-4"/>
                <w:sz w:val="20"/>
              </w:rPr>
              <w:t>Línea Base </w:t>
            </w:r>
            <w:r>
              <w:rPr>
                <w:b/>
                <w:spacing w:val="-2"/>
                <w:sz w:val="20"/>
              </w:rPr>
              <w:t>(2025)</w:t>
            </w:r>
          </w:p>
        </w:tc>
        <w:tc>
          <w:tcPr>
            <w:tcW w:w="1422" w:type="dxa"/>
            <w:shd w:val="clear" w:color="auto" w:fill="F1F1F1"/>
          </w:tcPr>
          <w:p>
            <w:pPr>
              <w:pStyle w:val="TableParagraph"/>
              <w:spacing w:before="134"/>
              <w:ind w:left="131" w:right="124" w:firstLine="1"/>
              <w:jc w:val="center"/>
              <w:rPr>
                <w:b/>
                <w:sz w:val="20"/>
              </w:rPr>
            </w:pPr>
            <w:r>
              <w:rPr>
                <w:b/>
                <w:spacing w:val="-4"/>
                <w:sz w:val="20"/>
              </w:rPr>
              <w:t>Meta </w:t>
            </w:r>
            <w:r>
              <w:rPr>
                <w:b/>
                <w:spacing w:val="-2"/>
                <w:sz w:val="20"/>
              </w:rPr>
              <w:t>programada </w:t>
            </w:r>
            <w:r>
              <w:rPr>
                <w:b/>
                <w:spacing w:val="-4"/>
                <w:sz w:val="20"/>
              </w:rPr>
              <w:t>2027</w:t>
            </w:r>
          </w:p>
        </w:tc>
        <w:tc>
          <w:tcPr>
            <w:tcW w:w="1558" w:type="dxa"/>
            <w:shd w:val="clear" w:color="auto" w:fill="F1F1F1"/>
          </w:tcPr>
          <w:p>
            <w:pPr>
              <w:pStyle w:val="TableParagraph"/>
              <w:spacing w:before="134"/>
              <w:rPr>
                <w:b/>
                <w:sz w:val="20"/>
              </w:rPr>
            </w:pPr>
          </w:p>
          <w:p>
            <w:pPr>
              <w:pStyle w:val="TableParagraph"/>
              <w:ind w:left="327"/>
              <w:rPr>
                <w:b/>
                <w:sz w:val="20"/>
              </w:rPr>
            </w:pPr>
            <w:r>
              <w:rPr>
                <w:b/>
                <w:spacing w:val="-2"/>
                <w:sz w:val="20"/>
              </w:rPr>
              <w:t>Indicador</w:t>
            </w:r>
          </w:p>
        </w:tc>
        <w:tc>
          <w:tcPr>
            <w:tcW w:w="1419" w:type="dxa"/>
            <w:shd w:val="clear" w:color="auto" w:fill="F1F1F1"/>
          </w:tcPr>
          <w:p>
            <w:pPr>
              <w:pStyle w:val="TableParagraph"/>
              <w:spacing w:before="19"/>
              <w:rPr>
                <w:b/>
                <w:sz w:val="20"/>
              </w:rPr>
            </w:pPr>
          </w:p>
          <w:p>
            <w:pPr>
              <w:pStyle w:val="TableParagraph"/>
              <w:ind w:left="149" w:right="102" w:firstLine="67"/>
              <w:rPr>
                <w:b/>
                <w:sz w:val="20"/>
              </w:rPr>
            </w:pPr>
            <w:r>
              <w:rPr>
                <w:b/>
                <w:sz w:val="20"/>
              </w:rPr>
              <w:t>Medios de </w:t>
            </w:r>
            <w:r>
              <w:rPr>
                <w:b/>
                <w:spacing w:val="-2"/>
                <w:sz w:val="20"/>
              </w:rPr>
              <w:t>verificación</w:t>
            </w:r>
          </w:p>
        </w:tc>
        <w:tc>
          <w:tcPr>
            <w:tcW w:w="1416" w:type="dxa"/>
            <w:shd w:val="clear" w:color="auto" w:fill="F1F1F1"/>
          </w:tcPr>
          <w:p>
            <w:pPr>
              <w:pStyle w:val="TableParagraph"/>
              <w:spacing w:before="134"/>
              <w:rPr>
                <w:b/>
                <w:sz w:val="20"/>
              </w:rPr>
            </w:pPr>
          </w:p>
          <w:p>
            <w:pPr>
              <w:pStyle w:val="TableParagraph"/>
              <w:ind w:left="43" w:right="42"/>
              <w:jc w:val="center"/>
              <w:rPr>
                <w:b/>
                <w:sz w:val="20"/>
              </w:rPr>
            </w:pPr>
            <w:r>
              <w:rPr>
                <w:b/>
                <w:spacing w:val="-2"/>
                <w:sz w:val="20"/>
              </w:rPr>
              <w:t>Responsable</w:t>
            </w:r>
          </w:p>
        </w:tc>
        <w:tc>
          <w:tcPr>
            <w:tcW w:w="1840" w:type="dxa"/>
            <w:shd w:val="clear" w:color="auto" w:fill="F1F1F1"/>
          </w:tcPr>
          <w:p>
            <w:pPr>
              <w:pStyle w:val="TableParagraph"/>
              <w:spacing w:before="19"/>
              <w:rPr>
                <w:b/>
                <w:sz w:val="20"/>
              </w:rPr>
            </w:pPr>
          </w:p>
          <w:p>
            <w:pPr>
              <w:pStyle w:val="TableParagraph"/>
              <w:ind w:left="480" w:hanging="140"/>
              <w:rPr>
                <w:b/>
                <w:sz w:val="20"/>
              </w:rPr>
            </w:pPr>
            <w:r>
              <w:rPr>
                <w:b/>
                <w:spacing w:val="-2"/>
                <w:sz w:val="20"/>
              </w:rPr>
              <w:t>Presupuesto asignado</w:t>
            </w:r>
          </w:p>
        </w:tc>
        <w:tc>
          <w:tcPr>
            <w:tcW w:w="2418" w:type="dxa"/>
            <w:tcBorders>
              <w:bottom w:val="nil"/>
            </w:tcBorders>
            <w:shd w:val="clear" w:color="auto" w:fill="F1F1F1"/>
          </w:tcPr>
          <w:p>
            <w:pPr>
              <w:pStyle w:val="TableParagraph"/>
              <w:spacing w:before="19"/>
              <w:rPr>
                <w:b/>
                <w:sz w:val="20"/>
              </w:rPr>
            </w:pPr>
          </w:p>
          <w:p>
            <w:pPr>
              <w:pStyle w:val="TableParagraph"/>
              <w:ind w:left="558" w:hanging="368"/>
              <w:rPr>
                <w:b/>
                <w:sz w:val="20"/>
              </w:rPr>
            </w:pPr>
            <w:r>
              <w:rPr>
                <w:b/>
                <w:sz w:val="20"/>
              </w:rPr>
              <w:t>Riesgos</w:t>
            </w:r>
            <w:r>
              <w:rPr>
                <w:b/>
                <w:spacing w:val="-14"/>
                <w:sz w:val="20"/>
              </w:rPr>
              <w:t> </w:t>
            </w:r>
            <w:r>
              <w:rPr>
                <w:b/>
                <w:sz w:val="20"/>
              </w:rPr>
              <w:t>asociados</w:t>
            </w:r>
            <w:r>
              <w:rPr>
                <w:b/>
                <w:spacing w:val="-14"/>
                <w:sz w:val="20"/>
              </w:rPr>
              <w:t> </w:t>
            </w:r>
            <w:r>
              <w:rPr>
                <w:b/>
                <w:sz w:val="20"/>
              </w:rPr>
              <w:t>al </w:t>
            </w:r>
            <w:r>
              <w:rPr>
                <w:b/>
                <w:spacing w:val="-2"/>
                <w:sz w:val="20"/>
              </w:rPr>
              <w:t>cumplimiento</w:t>
            </w:r>
          </w:p>
        </w:tc>
      </w:tr>
      <w:tr>
        <w:trPr>
          <w:trHeight w:val="479" w:hRule="atLeast"/>
        </w:trPr>
        <w:tc>
          <w:tcPr>
            <w:tcW w:w="2835" w:type="dxa"/>
          </w:tcPr>
          <w:p>
            <w:pPr>
              <w:pStyle w:val="TableParagraph"/>
              <w:spacing w:line="217" w:lineRule="exact"/>
              <w:ind w:left="69"/>
              <w:rPr>
                <w:sz w:val="20"/>
              </w:rPr>
            </w:pPr>
            <w:r>
              <w:rPr>
                <w:spacing w:val="-2"/>
                <w:sz w:val="20"/>
              </w:rPr>
              <w:t>emprendimientos</w:t>
            </w:r>
            <w:r>
              <w:rPr>
                <w:spacing w:val="11"/>
                <w:sz w:val="20"/>
              </w:rPr>
              <w:t> </w:t>
            </w:r>
            <w:r>
              <w:rPr>
                <w:spacing w:val="-2"/>
                <w:sz w:val="20"/>
              </w:rPr>
              <w:t>productivos</w:t>
            </w:r>
          </w:p>
          <w:p>
            <w:pPr>
              <w:pStyle w:val="TableParagraph"/>
              <w:ind w:left="69"/>
              <w:rPr>
                <w:sz w:val="20"/>
              </w:rPr>
            </w:pPr>
            <w:r>
              <w:rPr>
                <w:b/>
                <w:i/>
                <w:sz w:val="20"/>
              </w:rPr>
              <w:t>(vinculación</w:t>
            </w:r>
            <w:r>
              <w:rPr>
                <w:b/>
                <w:i/>
                <w:spacing w:val="-6"/>
                <w:sz w:val="20"/>
              </w:rPr>
              <w:t> </w:t>
            </w:r>
            <w:r>
              <w:rPr>
                <w:b/>
                <w:i/>
                <w:sz w:val="20"/>
              </w:rPr>
              <w:t>con</w:t>
            </w:r>
            <w:r>
              <w:rPr>
                <w:b/>
                <w:i/>
                <w:spacing w:val="-8"/>
                <w:sz w:val="20"/>
              </w:rPr>
              <w:t> </w:t>
            </w:r>
            <w:r>
              <w:rPr>
                <w:b/>
                <w:i/>
                <w:spacing w:val="-4"/>
                <w:sz w:val="20"/>
              </w:rPr>
              <w:t>PEN)</w:t>
            </w:r>
            <w:r>
              <w:rPr>
                <w:spacing w:val="-4"/>
                <w:sz w:val="20"/>
              </w:rPr>
              <w:t>.</w:t>
            </w:r>
          </w:p>
        </w:tc>
        <w:tc>
          <w:tcPr>
            <w:tcW w:w="1133" w:type="dxa"/>
          </w:tcPr>
          <w:p>
            <w:pPr>
              <w:pStyle w:val="TableParagraph"/>
              <w:rPr>
                <w:rFonts w:ascii="Times New Roman"/>
                <w:sz w:val="20"/>
              </w:rPr>
            </w:pPr>
          </w:p>
        </w:tc>
        <w:tc>
          <w:tcPr>
            <w:tcW w:w="1422" w:type="dxa"/>
          </w:tcPr>
          <w:p>
            <w:pPr>
              <w:pStyle w:val="TableParagraph"/>
              <w:rPr>
                <w:rFonts w:ascii="Times New Roman"/>
                <w:sz w:val="20"/>
              </w:rPr>
            </w:pPr>
          </w:p>
        </w:tc>
        <w:tc>
          <w:tcPr>
            <w:tcW w:w="1558" w:type="dxa"/>
          </w:tcPr>
          <w:p>
            <w:pPr>
              <w:pStyle w:val="TableParagraph"/>
              <w:rPr>
                <w:rFonts w:ascii="Times New Roman"/>
                <w:sz w:val="20"/>
              </w:rPr>
            </w:pPr>
          </w:p>
        </w:tc>
        <w:tc>
          <w:tcPr>
            <w:tcW w:w="1419" w:type="dxa"/>
          </w:tcPr>
          <w:p>
            <w:pPr>
              <w:pStyle w:val="TableParagraph"/>
              <w:rPr>
                <w:rFonts w:ascii="Times New Roman"/>
                <w:sz w:val="20"/>
              </w:rPr>
            </w:pPr>
          </w:p>
        </w:tc>
        <w:tc>
          <w:tcPr>
            <w:tcW w:w="1416" w:type="dxa"/>
          </w:tcPr>
          <w:p>
            <w:pPr>
              <w:pStyle w:val="TableParagraph"/>
              <w:rPr>
                <w:rFonts w:ascii="Times New Roman"/>
                <w:sz w:val="20"/>
              </w:rPr>
            </w:pPr>
          </w:p>
        </w:tc>
        <w:tc>
          <w:tcPr>
            <w:tcW w:w="1840" w:type="dxa"/>
          </w:tcPr>
          <w:p>
            <w:pPr>
              <w:pStyle w:val="TableParagraph"/>
              <w:rPr>
                <w:rFonts w:ascii="Times New Roman"/>
                <w:sz w:val="20"/>
              </w:rPr>
            </w:pPr>
          </w:p>
        </w:tc>
        <w:tc>
          <w:tcPr>
            <w:tcW w:w="2418" w:type="dxa"/>
            <w:vMerge w:val="restart"/>
            <w:tcBorders>
              <w:top w:val="nil"/>
            </w:tcBorders>
          </w:tcPr>
          <w:p>
            <w:pPr>
              <w:pStyle w:val="TableParagraph"/>
              <w:spacing w:line="217" w:lineRule="exact"/>
              <w:ind w:left="71"/>
              <w:jc w:val="both"/>
              <w:rPr>
                <w:sz w:val="20"/>
              </w:rPr>
            </w:pPr>
            <w:r>
              <w:rPr>
                <w:sz w:val="20"/>
              </w:rPr>
              <w:t>externas</w:t>
            </w:r>
            <w:r>
              <w:rPr>
                <w:spacing w:val="-5"/>
                <w:sz w:val="20"/>
              </w:rPr>
              <w:t> </w:t>
            </w:r>
            <w:r>
              <w:rPr>
                <w:sz w:val="20"/>
              </w:rPr>
              <w:t>u</w:t>
            </w:r>
            <w:r>
              <w:rPr>
                <w:spacing w:val="-3"/>
                <w:sz w:val="20"/>
              </w:rPr>
              <w:t> </w:t>
            </w:r>
            <w:r>
              <w:rPr>
                <w:spacing w:val="-2"/>
                <w:sz w:val="20"/>
              </w:rPr>
              <w:t>otros</w:t>
            </w:r>
          </w:p>
          <w:p>
            <w:pPr>
              <w:pStyle w:val="TableParagraph"/>
              <w:ind w:left="71" w:right="146"/>
              <w:jc w:val="both"/>
              <w:rPr>
                <w:sz w:val="20"/>
              </w:rPr>
            </w:pPr>
            <w:r>
              <w:rPr>
                <w:sz w:val="20"/>
              </w:rPr>
              <w:t>programas</w:t>
            </w:r>
            <w:r>
              <w:rPr>
                <w:spacing w:val="-6"/>
                <w:sz w:val="20"/>
              </w:rPr>
              <w:t> </w:t>
            </w:r>
            <w:r>
              <w:rPr>
                <w:sz w:val="20"/>
              </w:rPr>
              <w:t>de</w:t>
            </w:r>
            <w:r>
              <w:rPr>
                <w:spacing w:val="-6"/>
                <w:sz w:val="20"/>
              </w:rPr>
              <w:t> </w:t>
            </w:r>
            <w:r>
              <w:rPr>
                <w:sz w:val="20"/>
              </w:rPr>
              <w:t>IMAS</w:t>
            </w:r>
            <w:r>
              <w:rPr>
                <w:spacing w:val="-6"/>
                <w:sz w:val="20"/>
              </w:rPr>
              <w:t> </w:t>
            </w:r>
            <w:r>
              <w:rPr>
                <w:sz w:val="20"/>
              </w:rPr>
              <w:t>que están</w:t>
            </w:r>
            <w:r>
              <w:rPr>
                <w:spacing w:val="-14"/>
                <w:sz w:val="20"/>
              </w:rPr>
              <w:t> </w:t>
            </w:r>
            <w:r>
              <w:rPr>
                <w:sz w:val="20"/>
              </w:rPr>
              <w:t>desvinculados</w:t>
            </w:r>
            <w:r>
              <w:rPr>
                <w:spacing w:val="-14"/>
                <w:sz w:val="20"/>
              </w:rPr>
              <w:t> </w:t>
            </w:r>
            <w:r>
              <w:rPr>
                <w:sz w:val="20"/>
              </w:rPr>
              <w:t>con la planificación previa.</w:t>
            </w:r>
          </w:p>
        </w:tc>
      </w:tr>
      <w:tr>
        <w:trPr>
          <w:trHeight w:val="2760" w:hRule="atLeast"/>
        </w:trPr>
        <w:tc>
          <w:tcPr>
            <w:tcW w:w="2835" w:type="dxa"/>
          </w:tcPr>
          <w:p>
            <w:pPr>
              <w:pStyle w:val="TableParagraph"/>
              <w:ind w:left="69" w:right="137"/>
              <w:rPr>
                <w:b/>
                <w:i/>
                <w:sz w:val="20"/>
              </w:rPr>
            </w:pPr>
            <w:r>
              <w:rPr>
                <w:b/>
                <w:sz w:val="20"/>
              </w:rPr>
              <w:t>Actividad PPPS 1.2.4: </w:t>
            </w:r>
            <w:r>
              <w:rPr>
                <w:sz w:val="20"/>
              </w:rPr>
              <w:t>Otorgamiento</w:t>
            </w:r>
            <w:r>
              <w:rPr>
                <w:spacing w:val="-11"/>
                <w:sz w:val="20"/>
              </w:rPr>
              <w:t> </w:t>
            </w:r>
            <w:r>
              <w:rPr>
                <w:sz w:val="20"/>
              </w:rPr>
              <w:t>del</w:t>
            </w:r>
            <w:r>
              <w:rPr>
                <w:spacing w:val="-11"/>
                <w:sz w:val="20"/>
              </w:rPr>
              <w:t> </w:t>
            </w:r>
            <w:r>
              <w:rPr>
                <w:sz w:val="20"/>
              </w:rPr>
              <w:t>subsidio</w:t>
            </w:r>
            <w:r>
              <w:rPr>
                <w:spacing w:val="-8"/>
                <w:sz w:val="20"/>
              </w:rPr>
              <w:t> </w:t>
            </w:r>
            <w:r>
              <w:rPr>
                <w:sz w:val="20"/>
              </w:rPr>
              <w:t>de emprendimiento productivo individual a personas en situación</w:t>
            </w:r>
            <w:r>
              <w:rPr>
                <w:spacing w:val="-1"/>
                <w:sz w:val="20"/>
              </w:rPr>
              <w:t> </w:t>
            </w:r>
            <w:r>
              <w:rPr>
                <w:sz w:val="20"/>
              </w:rPr>
              <w:t>de pobreza, para la creación y fortalecimiento de emprendimientos</w:t>
            </w:r>
            <w:r>
              <w:rPr>
                <w:spacing w:val="-14"/>
                <w:sz w:val="20"/>
              </w:rPr>
              <w:t> </w:t>
            </w:r>
            <w:r>
              <w:rPr>
                <w:sz w:val="20"/>
              </w:rPr>
              <w:t>productivos lícitos, para estimular e impulsar, primeramente, la generación del</w:t>
            </w:r>
            <w:r>
              <w:rPr>
                <w:spacing w:val="-1"/>
                <w:sz w:val="20"/>
              </w:rPr>
              <w:t> </w:t>
            </w:r>
            <w:r>
              <w:rPr>
                <w:sz w:val="20"/>
              </w:rPr>
              <w:t>autoempleo y el empleo </w:t>
            </w:r>
            <w:r>
              <w:rPr>
                <w:b/>
                <w:i/>
                <w:sz w:val="20"/>
              </w:rPr>
              <w:t>(vinculación con</w:t>
            </w:r>
          </w:p>
          <w:p>
            <w:pPr>
              <w:pStyle w:val="TableParagraph"/>
              <w:spacing w:line="211" w:lineRule="exact"/>
              <w:ind w:left="69"/>
              <w:rPr>
                <w:b/>
                <w:i/>
                <w:sz w:val="20"/>
              </w:rPr>
            </w:pPr>
            <w:r>
              <w:rPr>
                <w:b/>
                <w:i/>
                <w:spacing w:val="-2"/>
                <w:sz w:val="20"/>
              </w:rPr>
              <w:t>PEN).</w:t>
            </w:r>
          </w:p>
        </w:tc>
        <w:tc>
          <w:tcPr>
            <w:tcW w:w="1133"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spacing w:before="1"/>
              <w:ind w:left="5" w:right="1"/>
              <w:jc w:val="center"/>
              <w:rPr>
                <w:sz w:val="20"/>
              </w:rPr>
            </w:pPr>
            <w:r>
              <w:rPr>
                <w:sz w:val="20"/>
              </w:rPr>
              <w:t>1</w:t>
            </w:r>
            <w:r>
              <w:rPr>
                <w:spacing w:val="-3"/>
                <w:sz w:val="20"/>
              </w:rPr>
              <w:t> </w:t>
            </w:r>
            <w:r>
              <w:rPr>
                <w:spacing w:val="-5"/>
                <w:sz w:val="20"/>
              </w:rPr>
              <w:t>400</w:t>
            </w:r>
          </w:p>
        </w:tc>
        <w:tc>
          <w:tcPr>
            <w:tcW w:w="1422"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spacing w:before="1"/>
              <w:ind w:left="8" w:right="4"/>
              <w:jc w:val="center"/>
              <w:rPr>
                <w:sz w:val="20"/>
              </w:rPr>
            </w:pPr>
            <w:r>
              <w:rPr>
                <w:sz w:val="20"/>
              </w:rPr>
              <w:t>1</w:t>
            </w:r>
            <w:r>
              <w:rPr>
                <w:spacing w:val="-3"/>
                <w:sz w:val="20"/>
              </w:rPr>
              <w:t> </w:t>
            </w:r>
            <w:r>
              <w:rPr>
                <w:spacing w:val="-5"/>
                <w:sz w:val="20"/>
              </w:rPr>
              <w:t>600</w:t>
            </w:r>
          </w:p>
        </w:tc>
        <w:tc>
          <w:tcPr>
            <w:tcW w:w="1558" w:type="dxa"/>
          </w:tcPr>
          <w:p>
            <w:pPr>
              <w:pStyle w:val="TableParagraph"/>
              <w:rPr>
                <w:b/>
                <w:sz w:val="20"/>
              </w:rPr>
            </w:pPr>
          </w:p>
          <w:p>
            <w:pPr>
              <w:pStyle w:val="TableParagraph"/>
              <w:rPr>
                <w:b/>
                <w:sz w:val="20"/>
              </w:rPr>
            </w:pPr>
          </w:p>
          <w:p>
            <w:pPr>
              <w:pStyle w:val="TableParagraph"/>
              <w:spacing w:before="1"/>
              <w:rPr>
                <w:b/>
                <w:sz w:val="20"/>
              </w:rPr>
            </w:pPr>
          </w:p>
          <w:p>
            <w:pPr>
              <w:pStyle w:val="TableParagraph"/>
              <w:ind w:left="68"/>
              <w:rPr>
                <w:sz w:val="20"/>
              </w:rPr>
            </w:pPr>
            <w:r>
              <w:rPr>
                <w:sz w:val="20"/>
              </w:rPr>
              <w:t>Cantidad de personas con </w:t>
            </w:r>
            <w:r>
              <w:rPr>
                <w:spacing w:val="-2"/>
                <w:sz w:val="20"/>
              </w:rPr>
              <w:t>subsidio emprendimient </w:t>
            </w:r>
            <w:r>
              <w:rPr>
                <w:sz w:val="20"/>
              </w:rPr>
              <w:t>os</w:t>
            </w:r>
            <w:r>
              <w:rPr>
                <w:spacing w:val="-8"/>
                <w:sz w:val="20"/>
              </w:rPr>
              <w:t> </w:t>
            </w:r>
            <w:r>
              <w:rPr>
                <w:sz w:val="20"/>
              </w:rPr>
              <w:t>productivos </w:t>
            </w:r>
            <w:r>
              <w:rPr>
                <w:spacing w:val="-2"/>
                <w:sz w:val="20"/>
              </w:rPr>
              <w:t>individuales</w:t>
            </w:r>
          </w:p>
        </w:tc>
        <w:tc>
          <w:tcPr>
            <w:tcW w:w="1419" w:type="dxa"/>
          </w:tcPr>
          <w:p>
            <w:pPr>
              <w:pStyle w:val="TableParagraph"/>
              <w:rPr>
                <w:b/>
                <w:sz w:val="20"/>
              </w:rPr>
            </w:pPr>
          </w:p>
          <w:p>
            <w:pPr>
              <w:pStyle w:val="TableParagraph"/>
              <w:rPr>
                <w:b/>
                <w:sz w:val="20"/>
              </w:rPr>
            </w:pPr>
          </w:p>
          <w:p>
            <w:pPr>
              <w:pStyle w:val="TableParagraph"/>
              <w:spacing w:before="229"/>
              <w:rPr>
                <w:b/>
                <w:sz w:val="20"/>
              </w:rPr>
            </w:pPr>
          </w:p>
          <w:p>
            <w:pPr>
              <w:pStyle w:val="TableParagraph"/>
              <w:ind w:left="68" w:right="102"/>
              <w:rPr>
                <w:sz w:val="20"/>
              </w:rPr>
            </w:pPr>
            <w:r>
              <w:rPr>
                <w:sz w:val="20"/>
              </w:rPr>
              <w:t>Informes</w:t>
            </w:r>
            <w:r>
              <w:rPr>
                <w:spacing w:val="-14"/>
                <w:sz w:val="20"/>
              </w:rPr>
              <w:t> </w:t>
            </w:r>
            <w:r>
              <w:rPr>
                <w:sz w:val="20"/>
              </w:rPr>
              <w:t>de </w:t>
            </w:r>
            <w:r>
              <w:rPr>
                <w:spacing w:val="-2"/>
                <w:sz w:val="20"/>
              </w:rPr>
              <w:t>ejecución elaborados </w:t>
            </w:r>
            <w:r>
              <w:rPr>
                <w:sz w:val="20"/>
              </w:rPr>
              <w:t>por</w:t>
            </w:r>
            <w:r>
              <w:rPr>
                <w:spacing w:val="-14"/>
                <w:sz w:val="20"/>
              </w:rPr>
              <w:t> </w:t>
            </w:r>
            <w:r>
              <w:rPr>
                <w:sz w:val="20"/>
              </w:rPr>
              <w:t>el</w:t>
            </w:r>
            <w:r>
              <w:rPr>
                <w:spacing w:val="-14"/>
                <w:sz w:val="20"/>
              </w:rPr>
              <w:t> </w:t>
            </w:r>
            <w:r>
              <w:rPr>
                <w:sz w:val="20"/>
              </w:rPr>
              <w:t>DSIS.</w:t>
            </w:r>
          </w:p>
        </w:tc>
        <w:tc>
          <w:tcPr>
            <w:tcW w:w="1416"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spacing w:before="1"/>
              <w:ind w:left="43" w:right="40"/>
              <w:jc w:val="center"/>
              <w:rPr>
                <w:sz w:val="20"/>
              </w:rPr>
            </w:pPr>
            <w:r>
              <w:rPr>
                <w:spacing w:val="-2"/>
                <w:sz w:val="20"/>
              </w:rPr>
              <w:t>DDSPC</w:t>
            </w:r>
          </w:p>
        </w:tc>
        <w:tc>
          <w:tcPr>
            <w:tcW w:w="1840"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spacing w:before="1"/>
              <w:ind w:left="233"/>
              <w:rPr>
                <w:sz w:val="20"/>
              </w:rPr>
            </w:pPr>
            <w:r>
              <w:rPr>
                <w:sz w:val="20"/>
              </w:rPr>
              <w:t>₡</w:t>
            </w:r>
            <w:r>
              <w:rPr>
                <w:spacing w:val="-4"/>
                <w:sz w:val="20"/>
              </w:rPr>
              <w:t> </w:t>
            </w:r>
            <w:r>
              <w:rPr>
                <w:sz w:val="20"/>
              </w:rPr>
              <w:t>2</w:t>
            </w:r>
            <w:r>
              <w:rPr>
                <w:spacing w:val="-2"/>
                <w:sz w:val="20"/>
              </w:rPr>
              <w:t> </w:t>
            </w:r>
            <w:r>
              <w:rPr>
                <w:sz w:val="20"/>
              </w:rPr>
              <w:t>500</w:t>
            </w:r>
            <w:r>
              <w:rPr>
                <w:spacing w:val="-2"/>
                <w:sz w:val="20"/>
              </w:rPr>
              <w:t> </w:t>
            </w:r>
            <w:r>
              <w:rPr>
                <w:sz w:val="20"/>
              </w:rPr>
              <w:t>000</w:t>
            </w:r>
            <w:r>
              <w:rPr>
                <w:spacing w:val="-3"/>
                <w:sz w:val="20"/>
              </w:rPr>
              <w:t> </w:t>
            </w:r>
            <w:r>
              <w:rPr>
                <w:spacing w:val="-5"/>
                <w:sz w:val="20"/>
              </w:rPr>
              <w:t>000</w:t>
            </w:r>
          </w:p>
        </w:tc>
        <w:tc>
          <w:tcPr>
            <w:tcW w:w="2418" w:type="dxa"/>
            <w:vMerge/>
            <w:tcBorders>
              <w:top w:val="nil"/>
            </w:tcBorders>
          </w:tcPr>
          <w:p>
            <w:pPr>
              <w:rPr>
                <w:sz w:val="2"/>
                <w:szCs w:val="2"/>
              </w:rPr>
            </w:pPr>
          </w:p>
        </w:tc>
      </w:tr>
      <w:tr>
        <w:trPr>
          <w:trHeight w:val="2445" w:hRule="atLeast"/>
        </w:trPr>
        <w:tc>
          <w:tcPr>
            <w:tcW w:w="2835" w:type="dxa"/>
          </w:tcPr>
          <w:p>
            <w:pPr>
              <w:pStyle w:val="TableParagraph"/>
              <w:spacing w:before="71"/>
              <w:ind w:left="69" w:right="90"/>
              <w:rPr>
                <w:b/>
                <w:sz w:val="20"/>
              </w:rPr>
            </w:pPr>
            <w:r>
              <w:rPr>
                <w:b/>
                <w:sz w:val="20"/>
              </w:rPr>
              <w:t>Actividad PPPS 1.2.5: </w:t>
            </w:r>
            <w:r>
              <w:rPr>
                <w:sz w:val="20"/>
              </w:rPr>
              <w:t>Otorgamiento de transferencias económicas como</w:t>
            </w:r>
            <w:r>
              <w:rPr>
                <w:spacing w:val="-9"/>
                <w:sz w:val="20"/>
              </w:rPr>
              <w:t> </w:t>
            </w:r>
            <w:r>
              <w:rPr>
                <w:sz w:val="20"/>
              </w:rPr>
              <w:t>aporte</w:t>
            </w:r>
            <w:r>
              <w:rPr>
                <w:spacing w:val="-7"/>
                <w:sz w:val="20"/>
              </w:rPr>
              <w:t> </w:t>
            </w:r>
            <w:r>
              <w:rPr>
                <w:sz w:val="20"/>
              </w:rPr>
              <w:t>al</w:t>
            </w:r>
            <w:r>
              <w:rPr>
                <w:spacing w:val="-10"/>
                <w:sz w:val="20"/>
              </w:rPr>
              <w:t> </w:t>
            </w:r>
            <w:r>
              <w:rPr>
                <w:sz w:val="20"/>
              </w:rPr>
              <w:t>cuido</w:t>
            </w:r>
            <w:r>
              <w:rPr>
                <w:spacing w:val="-9"/>
                <w:sz w:val="20"/>
              </w:rPr>
              <w:t> </w:t>
            </w:r>
            <w:r>
              <w:rPr>
                <w:sz w:val="20"/>
              </w:rPr>
              <w:t>de</w:t>
            </w:r>
            <w:r>
              <w:rPr>
                <w:spacing w:val="-9"/>
                <w:sz w:val="20"/>
              </w:rPr>
              <w:t> </w:t>
            </w:r>
            <w:r>
              <w:rPr>
                <w:sz w:val="20"/>
              </w:rPr>
              <w:t>niños y niñas de 0 y hasta 12 años</w:t>
            </w:r>
            <w:r>
              <w:rPr>
                <w:spacing w:val="40"/>
                <w:sz w:val="20"/>
              </w:rPr>
              <w:t> </w:t>
            </w:r>
            <w:r>
              <w:rPr>
                <w:sz w:val="20"/>
              </w:rPr>
              <w:t>y 364 días cumplidos, y personas con condición de discapacidad menores de 18 años </w:t>
            </w:r>
            <w:r>
              <w:rPr>
                <w:b/>
                <w:i/>
                <w:sz w:val="20"/>
              </w:rPr>
              <w:t>(vinculación con</w:t>
            </w:r>
            <w:r>
              <w:rPr>
                <w:b/>
                <w:i/>
                <w:sz w:val="20"/>
              </w:rPr>
              <w:t> PLANOVI</w:t>
            </w:r>
            <w:r>
              <w:rPr>
                <w:b/>
                <w:i/>
                <w:spacing w:val="-3"/>
                <w:sz w:val="20"/>
              </w:rPr>
              <w:t> </w:t>
            </w:r>
            <w:r>
              <w:rPr>
                <w:b/>
                <w:i/>
                <w:sz w:val="20"/>
              </w:rPr>
              <w:t>indicador</w:t>
            </w:r>
            <w:r>
              <w:rPr>
                <w:b/>
                <w:i/>
                <w:spacing w:val="-5"/>
                <w:sz w:val="20"/>
              </w:rPr>
              <w:t> </w:t>
            </w:r>
            <w:r>
              <w:rPr>
                <w:b/>
                <w:i/>
                <w:sz w:val="20"/>
              </w:rPr>
              <w:t>3.3.1.1)</w:t>
            </w:r>
            <w:r>
              <w:rPr>
                <w:b/>
                <w:sz w:val="20"/>
              </w:rPr>
              <w:t>.</w:t>
            </w:r>
          </w:p>
        </w:tc>
        <w:tc>
          <w:tcPr>
            <w:tcW w:w="1133" w:type="dxa"/>
          </w:tcPr>
          <w:p>
            <w:pPr>
              <w:pStyle w:val="TableParagraph"/>
              <w:rPr>
                <w:b/>
                <w:sz w:val="20"/>
              </w:rPr>
            </w:pPr>
          </w:p>
          <w:p>
            <w:pPr>
              <w:pStyle w:val="TableParagraph"/>
              <w:rPr>
                <w:b/>
                <w:sz w:val="20"/>
              </w:rPr>
            </w:pPr>
          </w:p>
          <w:p>
            <w:pPr>
              <w:pStyle w:val="TableParagraph"/>
              <w:rPr>
                <w:b/>
                <w:sz w:val="20"/>
              </w:rPr>
            </w:pPr>
          </w:p>
          <w:p>
            <w:pPr>
              <w:pStyle w:val="TableParagraph"/>
              <w:spacing w:before="188"/>
              <w:rPr>
                <w:b/>
                <w:sz w:val="20"/>
              </w:rPr>
            </w:pPr>
          </w:p>
          <w:p>
            <w:pPr>
              <w:pStyle w:val="TableParagraph"/>
              <w:ind w:left="5" w:right="1"/>
              <w:jc w:val="center"/>
              <w:rPr>
                <w:sz w:val="20"/>
              </w:rPr>
            </w:pPr>
            <w:r>
              <w:rPr>
                <w:sz w:val="20"/>
              </w:rPr>
              <w:t>33</w:t>
            </w:r>
            <w:r>
              <w:rPr>
                <w:spacing w:val="-6"/>
                <w:sz w:val="20"/>
              </w:rPr>
              <w:t> </w:t>
            </w:r>
            <w:r>
              <w:rPr>
                <w:spacing w:val="-5"/>
                <w:sz w:val="20"/>
              </w:rPr>
              <w:t>935</w:t>
            </w:r>
          </w:p>
        </w:tc>
        <w:tc>
          <w:tcPr>
            <w:tcW w:w="1422" w:type="dxa"/>
          </w:tcPr>
          <w:p>
            <w:pPr>
              <w:pStyle w:val="TableParagraph"/>
              <w:rPr>
                <w:b/>
                <w:sz w:val="20"/>
              </w:rPr>
            </w:pPr>
          </w:p>
          <w:p>
            <w:pPr>
              <w:pStyle w:val="TableParagraph"/>
              <w:rPr>
                <w:b/>
                <w:sz w:val="20"/>
              </w:rPr>
            </w:pPr>
          </w:p>
          <w:p>
            <w:pPr>
              <w:pStyle w:val="TableParagraph"/>
              <w:rPr>
                <w:b/>
                <w:sz w:val="20"/>
              </w:rPr>
            </w:pPr>
          </w:p>
          <w:p>
            <w:pPr>
              <w:pStyle w:val="TableParagraph"/>
              <w:spacing w:before="188"/>
              <w:rPr>
                <w:b/>
                <w:sz w:val="20"/>
              </w:rPr>
            </w:pPr>
          </w:p>
          <w:p>
            <w:pPr>
              <w:pStyle w:val="TableParagraph"/>
              <w:ind w:left="8" w:right="4"/>
              <w:jc w:val="center"/>
              <w:rPr>
                <w:sz w:val="20"/>
              </w:rPr>
            </w:pPr>
            <w:r>
              <w:rPr>
                <w:sz w:val="20"/>
              </w:rPr>
              <w:t>35</w:t>
            </w:r>
            <w:r>
              <w:rPr>
                <w:spacing w:val="-6"/>
                <w:sz w:val="20"/>
              </w:rPr>
              <w:t> </w:t>
            </w:r>
            <w:r>
              <w:rPr>
                <w:spacing w:val="-5"/>
                <w:sz w:val="20"/>
              </w:rPr>
              <w:t>000</w:t>
            </w:r>
          </w:p>
        </w:tc>
        <w:tc>
          <w:tcPr>
            <w:tcW w:w="1558" w:type="dxa"/>
          </w:tcPr>
          <w:p>
            <w:pPr>
              <w:pStyle w:val="TableParagraph"/>
              <w:spacing w:before="186"/>
              <w:ind w:left="68" w:right="106"/>
              <w:rPr>
                <w:sz w:val="20"/>
              </w:rPr>
            </w:pPr>
            <w:r>
              <w:rPr>
                <w:sz w:val="20"/>
              </w:rPr>
              <w:t>Cantidad de </w:t>
            </w:r>
            <w:r>
              <w:rPr>
                <w:spacing w:val="-2"/>
                <w:sz w:val="20"/>
              </w:rPr>
              <w:t>personas </w:t>
            </w:r>
            <w:r>
              <w:rPr>
                <w:sz w:val="20"/>
              </w:rPr>
              <w:t>receptoras de la</w:t>
            </w:r>
            <w:r>
              <w:rPr>
                <w:spacing w:val="-14"/>
                <w:sz w:val="20"/>
              </w:rPr>
              <w:t> </w:t>
            </w:r>
            <w:r>
              <w:rPr>
                <w:sz w:val="20"/>
              </w:rPr>
              <w:t>transferencia </w:t>
            </w:r>
            <w:r>
              <w:rPr>
                <w:spacing w:val="-2"/>
                <w:sz w:val="20"/>
              </w:rPr>
              <w:t>monetaria condicionada </w:t>
            </w:r>
            <w:r>
              <w:rPr>
                <w:sz w:val="20"/>
              </w:rPr>
              <w:t>Cuidado y </w:t>
            </w:r>
            <w:r>
              <w:rPr>
                <w:spacing w:val="-2"/>
                <w:sz w:val="20"/>
              </w:rPr>
              <w:t>Desarrollo Infantil.</w:t>
            </w:r>
          </w:p>
        </w:tc>
        <w:tc>
          <w:tcPr>
            <w:tcW w:w="1419" w:type="dxa"/>
          </w:tcPr>
          <w:p>
            <w:pPr>
              <w:pStyle w:val="TableParagraph"/>
              <w:rPr>
                <w:b/>
                <w:sz w:val="20"/>
              </w:rPr>
            </w:pPr>
          </w:p>
          <w:p>
            <w:pPr>
              <w:pStyle w:val="TableParagraph"/>
              <w:rPr>
                <w:b/>
                <w:sz w:val="20"/>
              </w:rPr>
            </w:pPr>
          </w:p>
          <w:p>
            <w:pPr>
              <w:pStyle w:val="TableParagraph"/>
              <w:spacing w:before="73"/>
              <w:rPr>
                <w:b/>
                <w:sz w:val="20"/>
              </w:rPr>
            </w:pPr>
          </w:p>
          <w:p>
            <w:pPr>
              <w:pStyle w:val="TableParagraph"/>
              <w:ind w:left="68" w:right="278"/>
              <w:rPr>
                <w:sz w:val="20"/>
              </w:rPr>
            </w:pPr>
            <w:r>
              <w:rPr>
                <w:sz w:val="20"/>
              </w:rPr>
              <w:t>Informes</w:t>
            </w:r>
            <w:r>
              <w:rPr>
                <w:spacing w:val="-14"/>
                <w:sz w:val="20"/>
              </w:rPr>
              <w:t> </w:t>
            </w:r>
            <w:r>
              <w:rPr>
                <w:sz w:val="20"/>
              </w:rPr>
              <w:t>de </w:t>
            </w:r>
            <w:r>
              <w:rPr>
                <w:spacing w:val="-2"/>
                <w:sz w:val="20"/>
              </w:rPr>
              <w:t>ejecución elaborados </w:t>
            </w:r>
            <w:r>
              <w:rPr>
                <w:sz w:val="20"/>
              </w:rPr>
              <w:t>por</w:t>
            </w:r>
            <w:r>
              <w:rPr>
                <w:spacing w:val="-4"/>
                <w:sz w:val="20"/>
              </w:rPr>
              <w:t> </w:t>
            </w:r>
            <w:r>
              <w:rPr>
                <w:sz w:val="20"/>
              </w:rPr>
              <w:t>el</w:t>
            </w:r>
            <w:r>
              <w:rPr>
                <w:spacing w:val="-4"/>
                <w:sz w:val="20"/>
              </w:rPr>
              <w:t> DSIS</w:t>
            </w:r>
          </w:p>
        </w:tc>
        <w:tc>
          <w:tcPr>
            <w:tcW w:w="1416" w:type="dxa"/>
          </w:tcPr>
          <w:p>
            <w:pPr>
              <w:pStyle w:val="TableParagraph"/>
              <w:rPr>
                <w:b/>
                <w:sz w:val="20"/>
              </w:rPr>
            </w:pPr>
          </w:p>
          <w:p>
            <w:pPr>
              <w:pStyle w:val="TableParagraph"/>
              <w:rPr>
                <w:b/>
                <w:sz w:val="20"/>
              </w:rPr>
            </w:pPr>
          </w:p>
          <w:p>
            <w:pPr>
              <w:pStyle w:val="TableParagraph"/>
              <w:rPr>
                <w:b/>
                <w:sz w:val="20"/>
              </w:rPr>
            </w:pPr>
          </w:p>
          <w:p>
            <w:pPr>
              <w:pStyle w:val="TableParagraph"/>
              <w:spacing w:before="188"/>
              <w:rPr>
                <w:b/>
                <w:sz w:val="20"/>
              </w:rPr>
            </w:pPr>
          </w:p>
          <w:p>
            <w:pPr>
              <w:pStyle w:val="TableParagraph"/>
              <w:ind w:left="43" w:right="42"/>
              <w:jc w:val="center"/>
              <w:rPr>
                <w:sz w:val="20"/>
              </w:rPr>
            </w:pPr>
            <w:r>
              <w:rPr>
                <w:spacing w:val="-5"/>
                <w:sz w:val="20"/>
              </w:rPr>
              <w:t>DBF</w:t>
            </w:r>
          </w:p>
        </w:tc>
        <w:tc>
          <w:tcPr>
            <w:tcW w:w="1840" w:type="dxa"/>
          </w:tcPr>
          <w:p>
            <w:pPr>
              <w:pStyle w:val="TableParagraph"/>
              <w:rPr>
                <w:b/>
                <w:sz w:val="20"/>
              </w:rPr>
            </w:pPr>
          </w:p>
          <w:p>
            <w:pPr>
              <w:pStyle w:val="TableParagraph"/>
              <w:rPr>
                <w:b/>
                <w:sz w:val="20"/>
              </w:rPr>
            </w:pPr>
          </w:p>
          <w:p>
            <w:pPr>
              <w:pStyle w:val="TableParagraph"/>
              <w:rPr>
                <w:b/>
                <w:sz w:val="20"/>
              </w:rPr>
            </w:pPr>
          </w:p>
          <w:p>
            <w:pPr>
              <w:pStyle w:val="TableParagraph"/>
              <w:spacing w:before="188"/>
              <w:rPr>
                <w:b/>
                <w:sz w:val="20"/>
              </w:rPr>
            </w:pPr>
          </w:p>
          <w:p>
            <w:pPr>
              <w:pStyle w:val="TableParagraph"/>
              <w:ind w:right="60"/>
              <w:jc w:val="right"/>
              <w:rPr>
                <w:sz w:val="20"/>
              </w:rPr>
            </w:pPr>
            <w:r>
              <w:rPr>
                <w:sz w:val="20"/>
              </w:rPr>
              <w:t>₡43</w:t>
            </w:r>
            <w:r>
              <w:rPr>
                <w:spacing w:val="-4"/>
                <w:sz w:val="20"/>
              </w:rPr>
              <w:t> </w:t>
            </w:r>
            <w:r>
              <w:rPr>
                <w:sz w:val="20"/>
              </w:rPr>
              <w:t>783</w:t>
            </w:r>
            <w:r>
              <w:rPr>
                <w:spacing w:val="-5"/>
                <w:sz w:val="20"/>
              </w:rPr>
              <w:t> </w:t>
            </w:r>
            <w:r>
              <w:rPr>
                <w:sz w:val="20"/>
              </w:rPr>
              <w:t>320</w:t>
            </w:r>
            <w:r>
              <w:rPr>
                <w:spacing w:val="-5"/>
                <w:sz w:val="20"/>
              </w:rPr>
              <w:t> 000</w:t>
            </w:r>
          </w:p>
        </w:tc>
        <w:tc>
          <w:tcPr>
            <w:tcW w:w="2418" w:type="dxa"/>
            <w:vMerge/>
            <w:tcBorders>
              <w:top w:val="nil"/>
            </w:tcBorders>
          </w:tcPr>
          <w:p>
            <w:pPr>
              <w:rPr>
                <w:sz w:val="2"/>
                <w:szCs w:val="2"/>
              </w:rPr>
            </w:pPr>
          </w:p>
        </w:tc>
      </w:tr>
      <w:tr>
        <w:trPr>
          <w:trHeight w:val="719" w:hRule="atLeast"/>
        </w:trPr>
        <w:tc>
          <w:tcPr>
            <w:tcW w:w="14041" w:type="dxa"/>
            <w:gridSpan w:val="8"/>
            <w:shd w:val="clear" w:color="auto" w:fill="DBE4F0"/>
          </w:tcPr>
          <w:p>
            <w:pPr>
              <w:pStyle w:val="TableParagraph"/>
              <w:spacing w:before="129"/>
              <w:ind w:left="69" w:right="47"/>
              <w:rPr>
                <w:b/>
                <w:sz w:val="20"/>
              </w:rPr>
            </w:pPr>
            <w:r>
              <w:rPr>
                <w:b/>
                <w:sz w:val="20"/>
              </w:rPr>
              <w:t>Producto</w:t>
            </w:r>
            <w:r>
              <w:rPr>
                <w:b/>
                <w:spacing w:val="-2"/>
                <w:sz w:val="20"/>
              </w:rPr>
              <w:t> </w:t>
            </w:r>
            <w:r>
              <w:rPr>
                <w:b/>
                <w:sz w:val="20"/>
              </w:rPr>
              <w:t>PPPS</w:t>
            </w:r>
            <w:r>
              <w:rPr>
                <w:b/>
                <w:spacing w:val="-1"/>
                <w:sz w:val="20"/>
              </w:rPr>
              <w:t> </w:t>
            </w:r>
            <w:r>
              <w:rPr>
                <w:b/>
                <w:sz w:val="20"/>
              </w:rPr>
              <w:t>1.3:</w:t>
            </w:r>
            <w:r>
              <w:rPr>
                <w:b/>
                <w:spacing w:val="-1"/>
                <w:sz w:val="20"/>
              </w:rPr>
              <w:t> </w:t>
            </w:r>
            <w:r>
              <w:rPr>
                <w:b/>
                <w:sz w:val="20"/>
              </w:rPr>
              <w:t>Eficiente</w:t>
            </w:r>
            <w:r>
              <w:rPr>
                <w:b/>
                <w:spacing w:val="-3"/>
                <w:sz w:val="20"/>
              </w:rPr>
              <w:t> </w:t>
            </w:r>
            <w:r>
              <w:rPr>
                <w:b/>
                <w:sz w:val="20"/>
              </w:rPr>
              <w:t>administración</w:t>
            </w:r>
            <w:r>
              <w:rPr>
                <w:b/>
                <w:spacing w:val="-2"/>
                <w:sz w:val="20"/>
              </w:rPr>
              <w:t> </w:t>
            </w:r>
            <w:r>
              <w:rPr>
                <w:b/>
                <w:sz w:val="20"/>
              </w:rPr>
              <w:t>de</w:t>
            </w:r>
            <w:r>
              <w:rPr>
                <w:b/>
                <w:spacing w:val="-3"/>
                <w:sz w:val="20"/>
              </w:rPr>
              <w:t> </w:t>
            </w:r>
            <w:r>
              <w:rPr>
                <w:b/>
                <w:sz w:val="20"/>
              </w:rPr>
              <w:t>los</w:t>
            </w:r>
            <w:r>
              <w:rPr>
                <w:b/>
                <w:spacing w:val="-3"/>
                <w:sz w:val="20"/>
              </w:rPr>
              <w:t> </w:t>
            </w:r>
            <w:r>
              <w:rPr>
                <w:b/>
                <w:sz w:val="20"/>
              </w:rPr>
              <w:t>recursos</w:t>
            </w:r>
            <w:r>
              <w:rPr>
                <w:b/>
                <w:spacing w:val="-3"/>
                <w:sz w:val="20"/>
              </w:rPr>
              <w:t> </w:t>
            </w:r>
            <w:r>
              <w:rPr>
                <w:b/>
                <w:sz w:val="20"/>
              </w:rPr>
              <w:t>del</w:t>
            </w:r>
            <w:r>
              <w:rPr>
                <w:b/>
                <w:spacing w:val="-3"/>
                <w:sz w:val="20"/>
              </w:rPr>
              <w:t> </w:t>
            </w:r>
            <w:r>
              <w:rPr>
                <w:b/>
                <w:sz w:val="20"/>
              </w:rPr>
              <w:t>gasto</w:t>
            </w:r>
            <w:r>
              <w:rPr>
                <w:b/>
                <w:spacing w:val="-2"/>
                <w:sz w:val="20"/>
              </w:rPr>
              <w:t> </w:t>
            </w:r>
            <w:r>
              <w:rPr>
                <w:b/>
                <w:sz w:val="20"/>
              </w:rPr>
              <w:t>administrativo</w:t>
            </w:r>
            <w:r>
              <w:rPr>
                <w:b/>
                <w:spacing w:val="-2"/>
                <w:sz w:val="20"/>
              </w:rPr>
              <w:t> </w:t>
            </w:r>
            <w:r>
              <w:rPr>
                <w:b/>
                <w:sz w:val="20"/>
              </w:rPr>
              <w:t>operativo</w:t>
            </w:r>
            <w:r>
              <w:rPr>
                <w:b/>
                <w:spacing w:val="-3"/>
                <w:sz w:val="20"/>
              </w:rPr>
              <w:t> </w:t>
            </w:r>
            <w:r>
              <w:rPr>
                <w:b/>
                <w:sz w:val="20"/>
              </w:rPr>
              <w:t>que</w:t>
            </w:r>
            <w:r>
              <w:rPr>
                <w:b/>
                <w:spacing w:val="-1"/>
                <w:sz w:val="20"/>
              </w:rPr>
              <w:t> </w:t>
            </w:r>
            <w:r>
              <w:rPr>
                <w:b/>
                <w:sz w:val="20"/>
              </w:rPr>
              <w:t>contribuya</w:t>
            </w:r>
            <w:r>
              <w:rPr>
                <w:b/>
                <w:spacing w:val="-2"/>
                <w:sz w:val="20"/>
              </w:rPr>
              <w:t> </w:t>
            </w:r>
            <w:r>
              <w:rPr>
                <w:b/>
                <w:sz w:val="20"/>
              </w:rPr>
              <w:t>a</w:t>
            </w:r>
            <w:r>
              <w:rPr>
                <w:b/>
                <w:spacing w:val="-3"/>
                <w:sz w:val="20"/>
              </w:rPr>
              <w:t> </w:t>
            </w:r>
            <w:r>
              <w:rPr>
                <w:b/>
                <w:sz w:val="20"/>
              </w:rPr>
              <w:t>solventar</w:t>
            </w:r>
            <w:r>
              <w:rPr>
                <w:b/>
                <w:spacing w:val="-4"/>
                <w:sz w:val="20"/>
              </w:rPr>
              <w:t> </w:t>
            </w:r>
            <w:r>
              <w:rPr>
                <w:b/>
                <w:sz w:val="20"/>
              </w:rPr>
              <w:t>necesidades administrativas, de espacio y otros requerimientos del programa Protección y Promoción Social.</w:t>
            </w:r>
          </w:p>
        </w:tc>
      </w:tr>
      <w:tr>
        <w:trPr>
          <w:trHeight w:val="921" w:hRule="atLeast"/>
        </w:trPr>
        <w:tc>
          <w:tcPr>
            <w:tcW w:w="2835" w:type="dxa"/>
          </w:tcPr>
          <w:p>
            <w:pPr>
              <w:pStyle w:val="TableParagraph"/>
              <w:spacing w:line="229" w:lineRule="exact"/>
              <w:ind w:left="69"/>
              <w:rPr>
                <w:b/>
                <w:sz w:val="20"/>
              </w:rPr>
            </w:pPr>
            <w:r>
              <w:rPr>
                <w:b/>
                <w:sz w:val="20"/>
              </w:rPr>
              <w:t>Actividad</w:t>
            </w:r>
            <w:r>
              <w:rPr>
                <w:b/>
                <w:spacing w:val="-6"/>
                <w:sz w:val="20"/>
              </w:rPr>
              <w:t> </w:t>
            </w:r>
            <w:r>
              <w:rPr>
                <w:b/>
                <w:sz w:val="20"/>
              </w:rPr>
              <w:t>PPPS</w:t>
            </w:r>
            <w:r>
              <w:rPr>
                <w:b/>
                <w:spacing w:val="-8"/>
                <w:sz w:val="20"/>
              </w:rPr>
              <w:t> </w:t>
            </w:r>
            <w:r>
              <w:rPr>
                <w:b/>
                <w:spacing w:val="-2"/>
                <w:sz w:val="20"/>
              </w:rPr>
              <w:t>1.3.1:</w:t>
            </w:r>
          </w:p>
          <w:p>
            <w:pPr>
              <w:pStyle w:val="TableParagraph"/>
              <w:spacing w:line="230" w:lineRule="atLeast"/>
              <w:ind w:left="69"/>
              <w:rPr>
                <w:sz w:val="20"/>
              </w:rPr>
            </w:pPr>
            <w:r>
              <w:rPr>
                <w:sz w:val="20"/>
              </w:rPr>
              <w:t>Financiar las llamadas telefónicas que realizan las personas</w:t>
            </w:r>
            <w:r>
              <w:rPr>
                <w:spacing w:val="-11"/>
                <w:sz w:val="20"/>
              </w:rPr>
              <w:t> </w:t>
            </w:r>
            <w:r>
              <w:rPr>
                <w:sz w:val="20"/>
              </w:rPr>
              <w:t>usuarias</w:t>
            </w:r>
            <w:r>
              <w:rPr>
                <w:spacing w:val="-9"/>
                <w:sz w:val="20"/>
              </w:rPr>
              <w:t> </w:t>
            </w:r>
            <w:r>
              <w:rPr>
                <w:sz w:val="20"/>
              </w:rPr>
              <w:t>a</w:t>
            </w:r>
            <w:r>
              <w:rPr>
                <w:spacing w:val="-12"/>
                <w:sz w:val="20"/>
              </w:rPr>
              <w:t> </w:t>
            </w:r>
            <w:r>
              <w:rPr>
                <w:sz w:val="20"/>
              </w:rPr>
              <w:t>través</w:t>
            </w:r>
            <w:r>
              <w:rPr>
                <w:spacing w:val="-9"/>
                <w:sz w:val="20"/>
              </w:rPr>
              <w:t> </w:t>
            </w:r>
            <w:r>
              <w:rPr>
                <w:sz w:val="20"/>
              </w:rPr>
              <w:t>de</w:t>
            </w:r>
          </w:p>
        </w:tc>
        <w:tc>
          <w:tcPr>
            <w:tcW w:w="1133" w:type="dxa"/>
          </w:tcPr>
          <w:p>
            <w:pPr>
              <w:pStyle w:val="TableParagraph"/>
              <w:spacing w:before="115"/>
              <w:rPr>
                <w:b/>
                <w:sz w:val="20"/>
              </w:rPr>
            </w:pPr>
          </w:p>
          <w:p>
            <w:pPr>
              <w:pStyle w:val="TableParagraph"/>
              <w:ind w:left="5" w:right="2"/>
              <w:jc w:val="center"/>
              <w:rPr>
                <w:sz w:val="20"/>
              </w:rPr>
            </w:pPr>
            <w:r>
              <w:rPr>
                <w:spacing w:val="-4"/>
                <w:sz w:val="20"/>
              </w:rPr>
              <w:t>100%</w:t>
            </w:r>
          </w:p>
        </w:tc>
        <w:tc>
          <w:tcPr>
            <w:tcW w:w="1422" w:type="dxa"/>
          </w:tcPr>
          <w:p>
            <w:pPr>
              <w:pStyle w:val="TableParagraph"/>
              <w:spacing w:before="115"/>
              <w:rPr>
                <w:b/>
                <w:sz w:val="20"/>
              </w:rPr>
            </w:pPr>
          </w:p>
          <w:p>
            <w:pPr>
              <w:pStyle w:val="TableParagraph"/>
              <w:ind w:left="8" w:right="5"/>
              <w:jc w:val="center"/>
              <w:rPr>
                <w:sz w:val="20"/>
              </w:rPr>
            </w:pPr>
            <w:r>
              <w:rPr>
                <w:spacing w:val="-4"/>
                <w:sz w:val="20"/>
              </w:rPr>
              <w:t>100%</w:t>
            </w:r>
          </w:p>
        </w:tc>
        <w:tc>
          <w:tcPr>
            <w:tcW w:w="1558" w:type="dxa"/>
          </w:tcPr>
          <w:p>
            <w:pPr>
              <w:pStyle w:val="TableParagraph"/>
              <w:spacing w:before="115"/>
              <w:ind w:left="68" w:right="239"/>
              <w:rPr>
                <w:sz w:val="20"/>
              </w:rPr>
            </w:pPr>
            <w:r>
              <w:rPr>
                <w:sz w:val="20"/>
              </w:rPr>
              <w:t>Porcentaje</w:t>
            </w:r>
            <w:r>
              <w:rPr>
                <w:spacing w:val="-14"/>
                <w:sz w:val="20"/>
              </w:rPr>
              <w:t> </w:t>
            </w:r>
            <w:r>
              <w:rPr>
                <w:sz w:val="20"/>
              </w:rPr>
              <w:t>de </w:t>
            </w:r>
            <w:r>
              <w:rPr>
                <w:spacing w:val="-2"/>
                <w:sz w:val="20"/>
              </w:rPr>
              <w:t>llamadas telefónicas</w:t>
            </w:r>
          </w:p>
        </w:tc>
        <w:tc>
          <w:tcPr>
            <w:tcW w:w="1419" w:type="dxa"/>
          </w:tcPr>
          <w:p>
            <w:pPr>
              <w:pStyle w:val="TableParagraph"/>
              <w:ind w:left="68"/>
              <w:rPr>
                <w:sz w:val="20"/>
              </w:rPr>
            </w:pPr>
            <w:r>
              <w:rPr>
                <w:spacing w:val="-2"/>
                <w:sz w:val="20"/>
              </w:rPr>
              <w:t>Reportes </w:t>
            </w:r>
            <w:r>
              <w:rPr>
                <w:sz w:val="20"/>
              </w:rPr>
              <w:t>mensuales</w:t>
            </w:r>
            <w:r>
              <w:rPr>
                <w:spacing w:val="-12"/>
                <w:sz w:val="20"/>
              </w:rPr>
              <w:t> </w:t>
            </w:r>
            <w:r>
              <w:rPr>
                <w:spacing w:val="-5"/>
                <w:sz w:val="20"/>
              </w:rPr>
              <w:t>de</w:t>
            </w:r>
          </w:p>
          <w:p>
            <w:pPr>
              <w:pStyle w:val="TableParagraph"/>
              <w:spacing w:line="230" w:lineRule="atLeast"/>
              <w:ind w:left="68" w:right="102"/>
              <w:rPr>
                <w:sz w:val="20"/>
              </w:rPr>
            </w:pPr>
            <w:r>
              <w:rPr>
                <w:sz w:val="20"/>
              </w:rPr>
              <w:t>SAP</w:t>
            </w:r>
            <w:r>
              <w:rPr>
                <w:spacing w:val="-14"/>
                <w:sz w:val="20"/>
              </w:rPr>
              <w:t> </w:t>
            </w:r>
            <w:r>
              <w:rPr>
                <w:sz w:val="20"/>
              </w:rPr>
              <w:t>de</w:t>
            </w:r>
            <w:r>
              <w:rPr>
                <w:spacing w:val="-14"/>
                <w:sz w:val="20"/>
              </w:rPr>
              <w:t> </w:t>
            </w:r>
            <w:r>
              <w:rPr>
                <w:sz w:val="20"/>
              </w:rPr>
              <w:t>pago de</w:t>
            </w:r>
            <w:r>
              <w:rPr>
                <w:spacing w:val="-7"/>
                <w:sz w:val="20"/>
              </w:rPr>
              <w:t> </w:t>
            </w:r>
            <w:r>
              <w:rPr>
                <w:sz w:val="20"/>
              </w:rPr>
              <w:t>facturas</w:t>
            </w:r>
            <w:r>
              <w:rPr>
                <w:spacing w:val="-4"/>
                <w:sz w:val="20"/>
              </w:rPr>
              <w:t> </w:t>
            </w:r>
            <w:r>
              <w:rPr>
                <w:spacing w:val="-10"/>
                <w:sz w:val="20"/>
              </w:rPr>
              <w:t>o</w:t>
            </w:r>
          </w:p>
        </w:tc>
        <w:tc>
          <w:tcPr>
            <w:tcW w:w="1416" w:type="dxa"/>
          </w:tcPr>
          <w:p>
            <w:pPr>
              <w:pStyle w:val="TableParagraph"/>
              <w:spacing w:before="115"/>
              <w:rPr>
                <w:b/>
                <w:sz w:val="20"/>
              </w:rPr>
            </w:pPr>
          </w:p>
          <w:p>
            <w:pPr>
              <w:pStyle w:val="TableParagraph"/>
              <w:ind w:left="43" w:right="41"/>
              <w:jc w:val="center"/>
              <w:rPr>
                <w:sz w:val="20"/>
              </w:rPr>
            </w:pPr>
            <w:r>
              <w:rPr>
                <w:spacing w:val="-4"/>
                <w:sz w:val="20"/>
              </w:rPr>
              <w:t>DSIS</w:t>
            </w:r>
          </w:p>
        </w:tc>
        <w:tc>
          <w:tcPr>
            <w:tcW w:w="1840" w:type="dxa"/>
          </w:tcPr>
          <w:p>
            <w:pPr>
              <w:pStyle w:val="TableParagraph"/>
              <w:spacing w:before="115"/>
              <w:rPr>
                <w:b/>
                <w:sz w:val="20"/>
              </w:rPr>
            </w:pPr>
          </w:p>
          <w:p>
            <w:pPr>
              <w:pStyle w:val="TableParagraph"/>
              <w:ind w:right="61"/>
              <w:jc w:val="right"/>
              <w:rPr>
                <w:sz w:val="20"/>
              </w:rPr>
            </w:pPr>
            <w:r>
              <w:rPr>
                <w:sz w:val="20"/>
              </w:rPr>
              <w:t>₡14</w:t>
            </w:r>
            <w:r>
              <w:rPr>
                <w:spacing w:val="-7"/>
                <w:sz w:val="20"/>
              </w:rPr>
              <w:t> </w:t>
            </w:r>
            <w:r>
              <w:rPr>
                <w:sz w:val="20"/>
              </w:rPr>
              <w:t>000</w:t>
            </w:r>
            <w:r>
              <w:rPr>
                <w:spacing w:val="-4"/>
                <w:sz w:val="20"/>
              </w:rPr>
              <w:t> </w:t>
            </w:r>
            <w:r>
              <w:rPr>
                <w:spacing w:val="-5"/>
                <w:sz w:val="20"/>
              </w:rPr>
              <w:t>000</w:t>
            </w:r>
          </w:p>
        </w:tc>
        <w:tc>
          <w:tcPr>
            <w:tcW w:w="2418" w:type="dxa"/>
          </w:tcPr>
          <w:p>
            <w:pPr>
              <w:pStyle w:val="TableParagraph"/>
              <w:spacing w:line="229" w:lineRule="exact"/>
              <w:ind w:left="71"/>
              <w:rPr>
                <w:sz w:val="20"/>
              </w:rPr>
            </w:pPr>
            <w:r>
              <w:rPr>
                <w:spacing w:val="-2"/>
                <w:sz w:val="20"/>
              </w:rPr>
              <w:t>Eventos:</w:t>
            </w:r>
          </w:p>
          <w:p>
            <w:pPr>
              <w:pStyle w:val="TableParagraph"/>
              <w:spacing w:line="230" w:lineRule="atLeast"/>
              <w:ind w:left="71"/>
              <w:rPr>
                <w:sz w:val="20"/>
              </w:rPr>
            </w:pPr>
            <w:r>
              <w:rPr>
                <w:sz w:val="20"/>
              </w:rPr>
              <w:t>1)</w:t>
            </w:r>
            <w:r>
              <w:rPr>
                <w:spacing w:val="-14"/>
                <w:sz w:val="20"/>
              </w:rPr>
              <w:t> </w:t>
            </w:r>
            <w:r>
              <w:rPr>
                <w:sz w:val="20"/>
              </w:rPr>
              <w:t>Volumen</w:t>
            </w:r>
            <w:r>
              <w:rPr>
                <w:spacing w:val="-14"/>
                <w:sz w:val="20"/>
              </w:rPr>
              <w:t> </w:t>
            </w:r>
            <w:r>
              <w:rPr>
                <w:sz w:val="20"/>
              </w:rPr>
              <w:t>de</w:t>
            </w:r>
            <w:r>
              <w:rPr>
                <w:spacing w:val="-13"/>
                <w:sz w:val="20"/>
              </w:rPr>
              <w:t> </w:t>
            </w:r>
            <w:r>
              <w:rPr>
                <w:sz w:val="20"/>
              </w:rPr>
              <w:t>llamadas exceda los recursos presupuestarios para la</w:t>
            </w:r>
          </w:p>
        </w:tc>
      </w:tr>
    </w:tbl>
    <w:p>
      <w:pPr>
        <w:pStyle w:val="TableParagraph"/>
        <w:spacing w:after="0" w:line="230" w:lineRule="atLeast"/>
        <w:rPr>
          <w:sz w:val="20"/>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1133"/>
        <w:gridCol w:w="1422"/>
        <w:gridCol w:w="1558"/>
        <w:gridCol w:w="1419"/>
        <w:gridCol w:w="1416"/>
        <w:gridCol w:w="1839"/>
        <w:gridCol w:w="2418"/>
      </w:tblGrid>
      <w:tr>
        <w:trPr>
          <w:trHeight w:val="962" w:hRule="atLeast"/>
        </w:trPr>
        <w:tc>
          <w:tcPr>
            <w:tcW w:w="2835" w:type="dxa"/>
            <w:shd w:val="clear" w:color="auto" w:fill="F1F1F1"/>
          </w:tcPr>
          <w:p>
            <w:pPr>
              <w:pStyle w:val="TableParagraph"/>
              <w:spacing w:before="134"/>
              <w:rPr>
                <w:b/>
                <w:sz w:val="20"/>
              </w:rPr>
            </w:pPr>
          </w:p>
          <w:p>
            <w:pPr>
              <w:pStyle w:val="TableParagraph"/>
              <w:ind w:left="338"/>
              <w:rPr>
                <w:b/>
                <w:sz w:val="20"/>
              </w:rPr>
            </w:pPr>
            <w:r>
              <w:rPr>
                <w:b/>
                <w:sz w:val="20"/>
              </w:rPr>
              <w:t>Objetivos</w:t>
            </w:r>
            <w:r>
              <w:rPr>
                <w:b/>
                <w:spacing w:val="-9"/>
                <w:sz w:val="20"/>
              </w:rPr>
              <w:t> </w:t>
            </w:r>
            <w:r>
              <w:rPr>
                <w:b/>
                <w:sz w:val="20"/>
              </w:rPr>
              <w:t>/</w:t>
            </w:r>
            <w:r>
              <w:rPr>
                <w:b/>
                <w:spacing w:val="-9"/>
                <w:sz w:val="20"/>
              </w:rPr>
              <w:t> </w:t>
            </w:r>
            <w:r>
              <w:rPr>
                <w:b/>
                <w:spacing w:val="-2"/>
                <w:sz w:val="20"/>
              </w:rPr>
              <w:t>Resultados</w:t>
            </w:r>
          </w:p>
        </w:tc>
        <w:tc>
          <w:tcPr>
            <w:tcW w:w="1133" w:type="dxa"/>
            <w:shd w:val="clear" w:color="auto" w:fill="F1F1F1"/>
          </w:tcPr>
          <w:p>
            <w:pPr>
              <w:pStyle w:val="TableParagraph"/>
              <w:ind w:left="275" w:right="270" w:firstLine="28"/>
              <w:jc w:val="both"/>
              <w:rPr>
                <w:b/>
                <w:sz w:val="20"/>
              </w:rPr>
            </w:pPr>
            <w:r>
              <w:rPr>
                <w:b/>
                <w:spacing w:val="-4"/>
                <w:sz w:val="20"/>
              </w:rPr>
              <w:t>Línea Base </w:t>
            </w:r>
            <w:r>
              <w:rPr>
                <w:b/>
                <w:spacing w:val="-2"/>
                <w:sz w:val="20"/>
              </w:rPr>
              <w:t>(2025)</w:t>
            </w:r>
          </w:p>
        </w:tc>
        <w:tc>
          <w:tcPr>
            <w:tcW w:w="1422" w:type="dxa"/>
            <w:shd w:val="clear" w:color="auto" w:fill="F1F1F1"/>
          </w:tcPr>
          <w:p>
            <w:pPr>
              <w:pStyle w:val="TableParagraph"/>
              <w:spacing w:before="134"/>
              <w:ind w:left="131" w:right="124" w:firstLine="1"/>
              <w:jc w:val="center"/>
              <w:rPr>
                <w:b/>
                <w:sz w:val="20"/>
              </w:rPr>
            </w:pPr>
            <w:r>
              <w:rPr>
                <w:b/>
                <w:spacing w:val="-4"/>
                <w:sz w:val="20"/>
              </w:rPr>
              <w:t>Meta </w:t>
            </w:r>
            <w:r>
              <w:rPr>
                <w:b/>
                <w:spacing w:val="-2"/>
                <w:sz w:val="20"/>
              </w:rPr>
              <w:t>programada </w:t>
            </w:r>
            <w:r>
              <w:rPr>
                <w:b/>
                <w:spacing w:val="-4"/>
                <w:sz w:val="20"/>
              </w:rPr>
              <w:t>2027</w:t>
            </w:r>
          </w:p>
        </w:tc>
        <w:tc>
          <w:tcPr>
            <w:tcW w:w="1558" w:type="dxa"/>
            <w:shd w:val="clear" w:color="auto" w:fill="F1F1F1"/>
          </w:tcPr>
          <w:p>
            <w:pPr>
              <w:pStyle w:val="TableParagraph"/>
              <w:spacing w:before="134"/>
              <w:rPr>
                <w:b/>
                <w:sz w:val="20"/>
              </w:rPr>
            </w:pPr>
          </w:p>
          <w:p>
            <w:pPr>
              <w:pStyle w:val="TableParagraph"/>
              <w:ind w:left="327"/>
              <w:rPr>
                <w:b/>
                <w:sz w:val="20"/>
              </w:rPr>
            </w:pPr>
            <w:r>
              <w:rPr>
                <w:b/>
                <w:spacing w:val="-2"/>
                <w:sz w:val="20"/>
              </w:rPr>
              <w:t>Indicador</w:t>
            </w:r>
          </w:p>
        </w:tc>
        <w:tc>
          <w:tcPr>
            <w:tcW w:w="1419" w:type="dxa"/>
            <w:shd w:val="clear" w:color="auto" w:fill="F1F1F1"/>
          </w:tcPr>
          <w:p>
            <w:pPr>
              <w:pStyle w:val="TableParagraph"/>
              <w:spacing w:before="19"/>
              <w:rPr>
                <w:b/>
                <w:sz w:val="20"/>
              </w:rPr>
            </w:pPr>
          </w:p>
          <w:p>
            <w:pPr>
              <w:pStyle w:val="TableParagraph"/>
              <w:ind w:left="149" w:right="102" w:firstLine="67"/>
              <w:rPr>
                <w:b/>
                <w:sz w:val="20"/>
              </w:rPr>
            </w:pPr>
            <w:r>
              <w:rPr>
                <w:b/>
                <w:sz w:val="20"/>
              </w:rPr>
              <w:t>Medios de </w:t>
            </w:r>
            <w:r>
              <w:rPr>
                <w:b/>
                <w:spacing w:val="-2"/>
                <w:sz w:val="20"/>
              </w:rPr>
              <w:t>verificación</w:t>
            </w:r>
          </w:p>
        </w:tc>
        <w:tc>
          <w:tcPr>
            <w:tcW w:w="1416" w:type="dxa"/>
            <w:shd w:val="clear" w:color="auto" w:fill="F1F1F1"/>
          </w:tcPr>
          <w:p>
            <w:pPr>
              <w:pStyle w:val="TableParagraph"/>
              <w:spacing w:before="134"/>
              <w:rPr>
                <w:b/>
                <w:sz w:val="20"/>
              </w:rPr>
            </w:pPr>
          </w:p>
          <w:p>
            <w:pPr>
              <w:pStyle w:val="TableParagraph"/>
              <w:ind w:left="43" w:right="42"/>
              <w:jc w:val="center"/>
              <w:rPr>
                <w:b/>
                <w:sz w:val="20"/>
              </w:rPr>
            </w:pPr>
            <w:r>
              <w:rPr>
                <w:b/>
                <w:spacing w:val="-2"/>
                <w:sz w:val="20"/>
              </w:rPr>
              <w:t>Responsable</w:t>
            </w:r>
          </w:p>
        </w:tc>
        <w:tc>
          <w:tcPr>
            <w:tcW w:w="1839" w:type="dxa"/>
            <w:shd w:val="clear" w:color="auto" w:fill="F1F1F1"/>
          </w:tcPr>
          <w:p>
            <w:pPr>
              <w:pStyle w:val="TableParagraph"/>
              <w:spacing w:before="19"/>
              <w:rPr>
                <w:b/>
                <w:sz w:val="20"/>
              </w:rPr>
            </w:pPr>
          </w:p>
          <w:p>
            <w:pPr>
              <w:pStyle w:val="TableParagraph"/>
              <w:ind w:left="480" w:hanging="140"/>
              <w:rPr>
                <w:b/>
                <w:sz w:val="20"/>
              </w:rPr>
            </w:pPr>
            <w:r>
              <w:rPr>
                <w:b/>
                <w:spacing w:val="-2"/>
                <w:sz w:val="20"/>
              </w:rPr>
              <w:t>Presupuesto asignado</w:t>
            </w:r>
          </w:p>
        </w:tc>
        <w:tc>
          <w:tcPr>
            <w:tcW w:w="2418" w:type="dxa"/>
            <w:shd w:val="clear" w:color="auto" w:fill="F1F1F1"/>
          </w:tcPr>
          <w:p>
            <w:pPr>
              <w:pStyle w:val="TableParagraph"/>
              <w:spacing w:before="19"/>
              <w:rPr>
                <w:b/>
                <w:sz w:val="20"/>
              </w:rPr>
            </w:pPr>
          </w:p>
          <w:p>
            <w:pPr>
              <w:pStyle w:val="TableParagraph"/>
              <w:ind w:left="559" w:hanging="368"/>
              <w:rPr>
                <w:b/>
                <w:sz w:val="20"/>
              </w:rPr>
            </w:pPr>
            <w:r>
              <w:rPr>
                <w:b/>
                <w:sz w:val="20"/>
              </w:rPr>
              <w:t>Riesgos</w:t>
            </w:r>
            <w:r>
              <w:rPr>
                <w:b/>
                <w:spacing w:val="-14"/>
                <w:sz w:val="20"/>
              </w:rPr>
              <w:t> </w:t>
            </w:r>
            <w:r>
              <w:rPr>
                <w:b/>
                <w:sz w:val="20"/>
              </w:rPr>
              <w:t>asociados</w:t>
            </w:r>
            <w:r>
              <w:rPr>
                <w:b/>
                <w:spacing w:val="-14"/>
                <w:sz w:val="20"/>
              </w:rPr>
              <w:t> </w:t>
            </w:r>
            <w:r>
              <w:rPr>
                <w:b/>
                <w:sz w:val="20"/>
              </w:rPr>
              <w:t>al </w:t>
            </w:r>
            <w:r>
              <w:rPr>
                <w:b/>
                <w:spacing w:val="-2"/>
                <w:sz w:val="20"/>
              </w:rPr>
              <w:t>cumplimiento</w:t>
            </w:r>
          </w:p>
        </w:tc>
      </w:tr>
      <w:tr>
        <w:trPr>
          <w:trHeight w:val="909" w:hRule="atLeast"/>
        </w:trPr>
        <w:tc>
          <w:tcPr>
            <w:tcW w:w="2835" w:type="dxa"/>
          </w:tcPr>
          <w:p>
            <w:pPr>
              <w:pStyle w:val="TableParagraph"/>
              <w:spacing w:line="217" w:lineRule="exact"/>
              <w:ind w:left="69"/>
              <w:rPr>
                <w:sz w:val="20"/>
              </w:rPr>
            </w:pPr>
            <w:r>
              <w:rPr>
                <w:sz w:val="20"/>
              </w:rPr>
              <w:t>la</w:t>
            </w:r>
            <w:r>
              <w:rPr>
                <w:spacing w:val="-5"/>
                <w:sz w:val="20"/>
              </w:rPr>
              <w:t> </w:t>
            </w:r>
            <w:r>
              <w:rPr>
                <w:sz w:val="20"/>
              </w:rPr>
              <w:t>Mesa</w:t>
            </w:r>
            <w:r>
              <w:rPr>
                <w:spacing w:val="-5"/>
                <w:sz w:val="20"/>
              </w:rPr>
              <w:t> </w:t>
            </w:r>
            <w:r>
              <w:rPr>
                <w:sz w:val="20"/>
              </w:rPr>
              <w:t>de</w:t>
            </w:r>
            <w:r>
              <w:rPr>
                <w:spacing w:val="-5"/>
                <w:sz w:val="20"/>
              </w:rPr>
              <w:t> </w:t>
            </w:r>
            <w:r>
              <w:rPr>
                <w:sz w:val="20"/>
              </w:rPr>
              <w:t>Ayuda</w:t>
            </w:r>
            <w:r>
              <w:rPr>
                <w:spacing w:val="-4"/>
                <w:sz w:val="20"/>
              </w:rPr>
              <w:t> </w:t>
            </w:r>
            <w:r>
              <w:rPr>
                <w:sz w:val="20"/>
              </w:rPr>
              <w:t>del</w:t>
            </w:r>
            <w:r>
              <w:rPr>
                <w:spacing w:val="-5"/>
                <w:sz w:val="20"/>
              </w:rPr>
              <w:t> </w:t>
            </w:r>
            <w:r>
              <w:rPr>
                <w:spacing w:val="-4"/>
                <w:sz w:val="20"/>
              </w:rPr>
              <w:t>SACI,</w:t>
            </w:r>
          </w:p>
          <w:p>
            <w:pPr>
              <w:pStyle w:val="TableParagraph"/>
              <w:spacing w:line="230" w:lineRule="atLeast"/>
              <w:ind w:left="69" w:right="107"/>
              <w:rPr>
                <w:sz w:val="20"/>
              </w:rPr>
            </w:pPr>
            <w:r>
              <w:rPr>
                <w:sz w:val="20"/>
              </w:rPr>
              <w:t>en el marco del acceso gratuito de la plataforma virtual,</w:t>
            </w:r>
            <w:r>
              <w:rPr>
                <w:spacing w:val="-14"/>
                <w:sz w:val="20"/>
              </w:rPr>
              <w:t> </w:t>
            </w:r>
            <w:r>
              <w:rPr>
                <w:sz w:val="20"/>
              </w:rPr>
              <w:t>centralizada</w:t>
            </w:r>
            <w:r>
              <w:rPr>
                <w:spacing w:val="-14"/>
                <w:sz w:val="20"/>
              </w:rPr>
              <w:t> </w:t>
            </w:r>
            <w:r>
              <w:rPr>
                <w:sz w:val="20"/>
              </w:rPr>
              <w:t>y</w:t>
            </w:r>
            <w:r>
              <w:rPr>
                <w:spacing w:val="-13"/>
                <w:sz w:val="20"/>
              </w:rPr>
              <w:t> </w:t>
            </w:r>
            <w:r>
              <w:rPr>
                <w:sz w:val="20"/>
              </w:rPr>
              <w:t>remota.</w:t>
            </w:r>
          </w:p>
        </w:tc>
        <w:tc>
          <w:tcPr>
            <w:tcW w:w="1133" w:type="dxa"/>
          </w:tcPr>
          <w:p>
            <w:pPr>
              <w:pStyle w:val="TableParagraph"/>
              <w:rPr>
                <w:rFonts w:ascii="Times New Roman"/>
                <w:sz w:val="20"/>
              </w:rPr>
            </w:pPr>
          </w:p>
        </w:tc>
        <w:tc>
          <w:tcPr>
            <w:tcW w:w="1422" w:type="dxa"/>
          </w:tcPr>
          <w:p>
            <w:pPr>
              <w:pStyle w:val="TableParagraph"/>
              <w:rPr>
                <w:rFonts w:ascii="Times New Roman"/>
                <w:sz w:val="20"/>
              </w:rPr>
            </w:pPr>
          </w:p>
        </w:tc>
        <w:tc>
          <w:tcPr>
            <w:tcW w:w="1558" w:type="dxa"/>
          </w:tcPr>
          <w:p>
            <w:pPr>
              <w:pStyle w:val="TableParagraph"/>
              <w:spacing w:line="217" w:lineRule="exact"/>
              <w:ind w:left="68"/>
              <w:rPr>
                <w:sz w:val="20"/>
              </w:rPr>
            </w:pPr>
            <w:r>
              <w:rPr>
                <w:spacing w:val="-2"/>
                <w:sz w:val="20"/>
              </w:rPr>
              <w:t>financiadas</w:t>
            </w:r>
            <w:r>
              <w:rPr>
                <w:spacing w:val="5"/>
                <w:sz w:val="20"/>
              </w:rPr>
              <w:t> </w:t>
            </w:r>
            <w:r>
              <w:rPr>
                <w:spacing w:val="-5"/>
                <w:sz w:val="20"/>
              </w:rPr>
              <w:t>por</w:t>
            </w:r>
          </w:p>
          <w:p>
            <w:pPr>
              <w:pStyle w:val="TableParagraph"/>
              <w:ind w:left="68"/>
              <w:rPr>
                <w:sz w:val="20"/>
              </w:rPr>
            </w:pPr>
            <w:r>
              <w:rPr>
                <w:sz w:val="20"/>
              </w:rPr>
              <w:t>el</w:t>
            </w:r>
            <w:r>
              <w:rPr>
                <w:spacing w:val="-5"/>
                <w:sz w:val="20"/>
              </w:rPr>
              <w:t> </w:t>
            </w:r>
            <w:r>
              <w:rPr>
                <w:spacing w:val="-2"/>
                <w:sz w:val="20"/>
              </w:rPr>
              <w:t>IMAS.</w:t>
            </w:r>
          </w:p>
        </w:tc>
        <w:tc>
          <w:tcPr>
            <w:tcW w:w="1419" w:type="dxa"/>
          </w:tcPr>
          <w:p>
            <w:pPr>
              <w:pStyle w:val="TableParagraph"/>
              <w:spacing w:line="217" w:lineRule="exact"/>
              <w:ind w:left="68"/>
              <w:rPr>
                <w:sz w:val="20"/>
              </w:rPr>
            </w:pPr>
            <w:r>
              <w:rPr>
                <w:spacing w:val="-2"/>
                <w:sz w:val="20"/>
              </w:rPr>
              <w:t>mediante</w:t>
            </w:r>
          </w:p>
          <w:p>
            <w:pPr>
              <w:pStyle w:val="TableParagraph"/>
              <w:ind w:left="68" w:right="145"/>
              <w:rPr>
                <w:sz w:val="20"/>
              </w:rPr>
            </w:pPr>
            <w:r>
              <w:rPr>
                <w:sz w:val="20"/>
              </w:rPr>
              <w:t>reportes del Sistema</w:t>
            </w:r>
            <w:r>
              <w:rPr>
                <w:spacing w:val="-14"/>
                <w:sz w:val="20"/>
              </w:rPr>
              <w:t> </w:t>
            </w:r>
            <w:r>
              <w:rPr>
                <w:sz w:val="20"/>
              </w:rPr>
              <w:t>PAR</w:t>
            </w:r>
          </w:p>
        </w:tc>
        <w:tc>
          <w:tcPr>
            <w:tcW w:w="1416" w:type="dxa"/>
          </w:tcPr>
          <w:p>
            <w:pPr>
              <w:pStyle w:val="TableParagraph"/>
              <w:rPr>
                <w:rFonts w:ascii="Times New Roman"/>
                <w:sz w:val="20"/>
              </w:rPr>
            </w:pPr>
          </w:p>
        </w:tc>
        <w:tc>
          <w:tcPr>
            <w:tcW w:w="1839" w:type="dxa"/>
          </w:tcPr>
          <w:p>
            <w:pPr>
              <w:pStyle w:val="TableParagraph"/>
              <w:rPr>
                <w:rFonts w:ascii="Times New Roman"/>
                <w:sz w:val="20"/>
              </w:rPr>
            </w:pPr>
          </w:p>
        </w:tc>
        <w:tc>
          <w:tcPr>
            <w:tcW w:w="2418" w:type="dxa"/>
            <w:vMerge w:val="restart"/>
          </w:tcPr>
          <w:p>
            <w:pPr>
              <w:pStyle w:val="TableParagraph"/>
              <w:spacing w:line="217" w:lineRule="exact"/>
              <w:ind w:left="72"/>
              <w:rPr>
                <w:sz w:val="20"/>
              </w:rPr>
            </w:pPr>
            <w:r>
              <w:rPr>
                <w:sz w:val="20"/>
              </w:rPr>
              <w:t>atención</w:t>
            </w:r>
            <w:r>
              <w:rPr>
                <w:spacing w:val="-9"/>
                <w:sz w:val="20"/>
              </w:rPr>
              <w:t> </w:t>
            </w:r>
            <w:r>
              <w:rPr>
                <w:sz w:val="20"/>
              </w:rPr>
              <w:t>gratuita</w:t>
            </w:r>
            <w:r>
              <w:rPr>
                <w:spacing w:val="-8"/>
                <w:sz w:val="20"/>
              </w:rPr>
              <w:t> </w:t>
            </w:r>
            <w:r>
              <w:rPr>
                <w:sz w:val="20"/>
              </w:rPr>
              <w:t>de</w:t>
            </w:r>
            <w:r>
              <w:rPr>
                <w:spacing w:val="-9"/>
                <w:sz w:val="20"/>
              </w:rPr>
              <w:t> </w:t>
            </w:r>
            <w:r>
              <w:rPr>
                <w:spacing w:val="-5"/>
                <w:sz w:val="20"/>
              </w:rPr>
              <w:t>la</w:t>
            </w:r>
          </w:p>
          <w:p>
            <w:pPr>
              <w:pStyle w:val="TableParagraph"/>
              <w:ind w:left="72"/>
              <w:rPr>
                <w:sz w:val="20"/>
              </w:rPr>
            </w:pPr>
            <w:r>
              <w:rPr>
                <w:sz w:val="20"/>
              </w:rPr>
              <w:t>población</w:t>
            </w:r>
            <w:r>
              <w:rPr>
                <w:spacing w:val="-14"/>
                <w:sz w:val="20"/>
              </w:rPr>
              <w:t> </w:t>
            </w:r>
            <w:r>
              <w:rPr>
                <w:spacing w:val="-2"/>
                <w:sz w:val="20"/>
              </w:rPr>
              <w:t>institucional.</w:t>
            </w:r>
          </w:p>
          <w:p>
            <w:pPr>
              <w:pStyle w:val="TableParagraph"/>
              <w:spacing w:before="1"/>
              <w:ind w:left="72"/>
              <w:rPr>
                <w:sz w:val="20"/>
              </w:rPr>
            </w:pPr>
            <w:r>
              <w:rPr>
                <w:sz w:val="20"/>
              </w:rPr>
              <w:t>2)</w:t>
            </w:r>
            <w:r>
              <w:rPr>
                <w:spacing w:val="-14"/>
                <w:sz w:val="20"/>
              </w:rPr>
              <w:t> </w:t>
            </w:r>
            <w:r>
              <w:rPr>
                <w:sz w:val="20"/>
              </w:rPr>
              <w:t>Incumplimiento</w:t>
            </w:r>
            <w:r>
              <w:rPr>
                <w:spacing w:val="-14"/>
                <w:sz w:val="20"/>
              </w:rPr>
              <w:t> </w:t>
            </w:r>
            <w:r>
              <w:rPr>
                <w:sz w:val="20"/>
              </w:rPr>
              <w:t>del modelo de atención establecido por la </w:t>
            </w:r>
            <w:r>
              <w:rPr>
                <w:spacing w:val="-2"/>
                <w:sz w:val="20"/>
              </w:rPr>
              <w:t>institución.</w:t>
            </w:r>
          </w:p>
          <w:p>
            <w:pPr>
              <w:pStyle w:val="TableParagraph"/>
              <w:ind w:left="72" w:right="126"/>
              <w:rPr>
                <w:sz w:val="20"/>
              </w:rPr>
            </w:pPr>
            <w:r>
              <w:rPr>
                <w:sz w:val="20"/>
              </w:rPr>
              <w:t>3-4-5-6-7) Cambios en normativa</w:t>
            </w:r>
            <w:r>
              <w:rPr>
                <w:spacing w:val="-14"/>
                <w:sz w:val="20"/>
              </w:rPr>
              <w:t> </w:t>
            </w:r>
            <w:r>
              <w:rPr>
                <w:sz w:val="20"/>
              </w:rPr>
              <w:t>y</w:t>
            </w:r>
            <w:r>
              <w:rPr>
                <w:spacing w:val="-14"/>
                <w:sz w:val="20"/>
              </w:rPr>
              <w:t> </w:t>
            </w:r>
            <w:r>
              <w:rPr>
                <w:sz w:val="20"/>
              </w:rPr>
              <w:t>lineamientos externos inciden en procesos de </w:t>
            </w:r>
            <w:r>
              <w:rPr>
                <w:spacing w:val="-2"/>
                <w:sz w:val="20"/>
              </w:rPr>
              <w:t>contratación.</w:t>
            </w:r>
          </w:p>
          <w:p>
            <w:pPr>
              <w:pStyle w:val="TableParagraph"/>
              <w:ind w:left="72"/>
              <w:rPr>
                <w:sz w:val="20"/>
              </w:rPr>
            </w:pPr>
            <w:r>
              <w:rPr>
                <w:sz w:val="20"/>
              </w:rPr>
              <w:t>8-9-10-11) Limitaciones presupuestarias para cubrir</w:t>
            </w:r>
            <w:r>
              <w:rPr>
                <w:spacing w:val="-14"/>
                <w:sz w:val="20"/>
              </w:rPr>
              <w:t> </w:t>
            </w:r>
            <w:r>
              <w:rPr>
                <w:sz w:val="20"/>
              </w:rPr>
              <w:t>los</w:t>
            </w:r>
            <w:r>
              <w:rPr>
                <w:spacing w:val="-14"/>
                <w:sz w:val="20"/>
              </w:rPr>
              <w:t> </w:t>
            </w:r>
            <w:r>
              <w:rPr>
                <w:sz w:val="20"/>
              </w:rPr>
              <w:t>requerimientos del plan de compras.</w:t>
            </w:r>
          </w:p>
        </w:tc>
      </w:tr>
      <w:tr>
        <w:trPr>
          <w:trHeight w:val="2069" w:hRule="atLeast"/>
        </w:trPr>
        <w:tc>
          <w:tcPr>
            <w:tcW w:w="2835" w:type="dxa"/>
          </w:tcPr>
          <w:p>
            <w:pPr>
              <w:pStyle w:val="TableParagraph"/>
              <w:rPr>
                <w:b/>
                <w:sz w:val="20"/>
              </w:rPr>
            </w:pPr>
          </w:p>
          <w:p>
            <w:pPr>
              <w:pStyle w:val="TableParagraph"/>
              <w:rPr>
                <w:b/>
                <w:sz w:val="20"/>
              </w:rPr>
            </w:pPr>
          </w:p>
          <w:p>
            <w:pPr>
              <w:pStyle w:val="TableParagraph"/>
              <w:spacing w:before="1"/>
              <w:ind w:left="69" w:right="137"/>
              <w:rPr>
                <w:b/>
                <w:sz w:val="20"/>
              </w:rPr>
            </w:pPr>
            <w:r>
              <w:rPr>
                <w:b/>
                <w:sz w:val="20"/>
              </w:rPr>
              <w:t>Actividad PPPS 1.3.2: </w:t>
            </w:r>
            <w:r>
              <w:rPr>
                <w:sz w:val="20"/>
              </w:rPr>
              <w:t>Implementación de un sistema</w:t>
            </w:r>
            <w:r>
              <w:rPr>
                <w:spacing w:val="-14"/>
                <w:sz w:val="20"/>
              </w:rPr>
              <w:t> </w:t>
            </w:r>
            <w:r>
              <w:rPr>
                <w:sz w:val="20"/>
              </w:rPr>
              <w:t>de</w:t>
            </w:r>
            <w:r>
              <w:rPr>
                <w:spacing w:val="-14"/>
                <w:sz w:val="20"/>
              </w:rPr>
              <w:t> </w:t>
            </w:r>
            <w:r>
              <w:rPr>
                <w:sz w:val="20"/>
              </w:rPr>
              <w:t>citas</w:t>
            </w:r>
            <w:r>
              <w:rPr>
                <w:spacing w:val="-13"/>
                <w:sz w:val="20"/>
              </w:rPr>
              <w:t> </w:t>
            </w:r>
            <w:r>
              <w:rPr>
                <w:sz w:val="20"/>
              </w:rPr>
              <w:t>integrado mediante un servicio informático en la nube</w:t>
            </w:r>
            <w:r>
              <w:rPr>
                <w:b/>
                <w:sz w:val="20"/>
              </w:rPr>
              <w:t>.</w:t>
            </w:r>
          </w:p>
        </w:tc>
        <w:tc>
          <w:tcPr>
            <w:tcW w:w="1133" w:type="dxa"/>
          </w:tcPr>
          <w:p>
            <w:pPr>
              <w:pStyle w:val="TableParagraph"/>
              <w:rPr>
                <w:b/>
                <w:sz w:val="20"/>
              </w:rPr>
            </w:pPr>
          </w:p>
          <w:p>
            <w:pPr>
              <w:pStyle w:val="TableParagraph"/>
              <w:rPr>
                <w:b/>
                <w:sz w:val="20"/>
              </w:rPr>
            </w:pPr>
          </w:p>
          <w:p>
            <w:pPr>
              <w:pStyle w:val="TableParagraph"/>
              <w:spacing w:before="229"/>
              <w:rPr>
                <w:b/>
                <w:sz w:val="20"/>
              </w:rPr>
            </w:pPr>
          </w:p>
          <w:p>
            <w:pPr>
              <w:pStyle w:val="TableParagraph"/>
              <w:ind w:left="5" w:right="2"/>
              <w:jc w:val="center"/>
              <w:rPr>
                <w:sz w:val="20"/>
              </w:rPr>
            </w:pPr>
            <w:r>
              <w:rPr>
                <w:spacing w:val="-4"/>
                <w:sz w:val="20"/>
              </w:rPr>
              <w:t>100%</w:t>
            </w:r>
          </w:p>
        </w:tc>
        <w:tc>
          <w:tcPr>
            <w:tcW w:w="1422" w:type="dxa"/>
          </w:tcPr>
          <w:p>
            <w:pPr>
              <w:pStyle w:val="TableParagraph"/>
              <w:rPr>
                <w:b/>
                <w:sz w:val="20"/>
              </w:rPr>
            </w:pPr>
          </w:p>
          <w:p>
            <w:pPr>
              <w:pStyle w:val="TableParagraph"/>
              <w:rPr>
                <w:b/>
                <w:sz w:val="20"/>
              </w:rPr>
            </w:pPr>
          </w:p>
          <w:p>
            <w:pPr>
              <w:pStyle w:val="TableParagraph"/>
              <w:spacing w:before="229"/>
              <w:rPr>
                <w:b/>
                <w:sz w:val="20"/>
              </w:rPr>
            </w:pPr>
          </w:p>
          <w:p>
            <w:pPr>
              <w:pStyle w:val="TableParagraph"/>
              <w:ind w:left="8" w:right="5"/>
              <w:jc w:val="center"/>
              <w:rPr>
                <w:sz w:val="20"/>
              </w:rPr>
            </w:pPr>
            <w:r>
              <w:rPr>
                <w:spacing w:val="-4"/>
                <w:sz w:val="20"/>
              </w:rPr>
              <w:t>100%</w:t>
            </w:r>
          </w:p>
        </w:tc>
        <w:tc>
          <w:tcPr>
            <w:tcW w:w="1558" w:type="dxa"/>
          </w:tcPr>
          <w:p>
            <w:pPr>
              <w:pStyle w:val="TableParagraph"/>
              <w:spacing w:before="115"/>
              <w:rPr>
                <w:b/>
                <w:sz w:val="20"/>
              </w:rPr>
            </w:pPr>
          </w:p>
          <w:p>
            <w:pPr>
              <w:pStyle w:val="TableParagraph"/>
              <w:ind w:left="68" w:right="95"/>
              <w:rPr>
                <w:sz w:val="20"/>
              </w:rPr>
            </w:pPr>
            <w:r>
              <w:rPr>
                <w:sz w:val="20"/>
              </w:rPr>
              <w:t>Porcentaje de citas</w:t>
            </w:r>
            <w:r>
              <w:rPr>
                <w:spacing w:val="-14"/>
                <w:sz w:val="20"/>
              </w:rPr>
              <w:t> </w:t>
            </w:r>
            <w:r>
              <w:rPr>
                <w:sz w:val="20"/>
              </w:rPr>
              <w:t>asignadas mediante el Sistema de </w:t>
            </w:r>
            <w:r>
              <w:rPr>
                <w:spacing w:val="-2"/>
                <w:sz w:val="20"/>
              </w:rPr>
              <w:t>Citas institucional.</w:t>
            </w:r>
          </w:p>
        </w:tc>
        <w:tc>
          <w:tcPr>
            <w:tcW w:w="1419" w:type="dxa"/>
          </w:tcPr>
          <w:p>
            <w:pPr>
              <w:pStyle w:val="TableParagraph"/>
              <w:ind w:left="68" w:right="189"/>
              <w:rPr>
                <w:sz w:val="20"/>
              </w:rPr>
            </w:pPr>
            <w:r>
              <w:rPr>
                <w:spacing w:val="-2"/>
                <w:sz w:val="20"/>
              </w:rPr>
              <w:t>Informes mensuales </w:t>
            </w:r>
            <w:r>
              <w:rPr>
                <w:sz w:val="20"/>
              </w:rPr>
              <w:t>reflejados</w:t>
            </w:r>
            <w:r>
              <w:rPr>
                <w:spacing w:val="-14"/>
                <w:sz w:val="20"/>
              </w:rPr>
              <w:t> </w:t>
            </w:r>
            <w:r>
              <w:rPr>
                <w:sz w:val="20"/>
              </w:rPr>
              <w:t>en </w:t>
            </w:r>
            <w:r>
              <w:rPr>
                <w:spacing w:val="-6"/>
                <w:sz w:val="20"/>
              </w:rPr>
              <w:t>la </w:t>
            </w:r>
            <w:r>
              <w:rPr>
                <w:spacing w:val="-2"/>
                <w:sz w:val="20"/>
              </w:rPr>
              <w:t>contratación </w:t>
            </w:r>
            <w:r>
              <w:rPr>
                <w:sz w:val="20"/>
              </w:rPr>
              <w:t>vigente y Reportes</w:t>
            </w:r>
            <w:r>
              <w:rPr>
                <w:spacing w:val="-14"/>
                <w:sz w:val="20"/>
              </w:rPr>
              <w:t> </w:t>
            </w:r>
            <w:r>
              <w:rPr>
                <w:sz w:val="20"/>
              </w:rPr>
              <w:t>del</w:t>
            </w:r>
          </w:p>
          <w:p>
            <w:pPr>
              <w:pStyle w:val="TableParagraph"/>
              <w:spacing w:line="228" w:lineRule="exact"/>
              <w:ind w:left="68" w:right="367"/>
              <w:rPr>
                <w:sz w:val="20"/>
              </w:rPr>
            </w:pPr>
            <w:r>
              <w:rPr>
                <w:sz w:val="20"/>
              </w:rPr>
              <w:t>sistema</w:t>
            </w:r>
            <w:r>
              <w:rPr>
                <w:spacing w:val="-14"/>
                <w:sz w:val="20"/>
              </w:rPr>
              <w:t> </w:t>
            </w:r>
            <w:r>
              <w:rPr>
                <w:sz w:val="20"/>
              </w:rPr>
              <w:t>de </w:t>
            </w:r>
            <w:r>
              <w:rPr>
                <w:spacing w:val="-2"/>
                <w:sz w:val="20"/>
              </w:rPr>
              <w:t>citas</w:t>
            </w:r>
          </w:p>
        </w:tc>
        <w:tc>
          <w:tcPr>
            <w:tcW w:w="1416" w:type="dxa"/>
          </w:tcPr>
          <w:p>
            <w:pPr>
              <w:pStyle w:val="TableParagraph"/>
              <w:rPr>
                <w:b/>
                <w:sz w:val="20"/>
              </w:rPr>
            </w:pPr>
          </w:p>
          <w:p>
            <w:pPr>
              <w:pStyle w:val="TableParagraph"/>
              <w:rPr>
                <w:b/>
                <w:sz w:val="20"/>
              </w:rPr>
            </w:pPr>
          </w:p>
          <w:p>
            <w:pPr>
              <w:pStyle w:val="TableParagraph"/>
              <w:spacing w:before="229"/>
              <w:rPr>
                <w:b/>
                <w:sz w:val="20"/>
              </w:rPr>
            </w:pPr>
          </w:p>
          <w:p>
            <w:pPr>
              <w:pStyle w:val="TableParagraph"/>
              <w:ind w:left="43" w:right="41"/>
              <w:jc w:val="center"/>
              <w:rPr>
                <w:sz w:val="20"/>
              </w:rPr>
            </w:pPr>
            <w:r>
              <w:rPr>
                <w:spacing w:val="-4"/>
                <w:sz w:val="20"/>
              </w:rPr>
              <w:t>DSIS</w:t>
            </w:r>
          </w:p>
        </w:tc>
        <w:tc>
          <w:tcPr>
            <w:tcW w:w="1839" w:type="dxa"/>
          </w:tcPr>
          <w:p>
            <w:pPr>
              <w:pStyle w:val="TableParagraph"/>
              <w:rPr>
                <w:b/>
                <w:sz w:val="20"/>
              </w:rPr>
            </w:pPr>
          </w:p>
          <w:p>
            <w:pPr>
              <w:pStyle w:val="TableParagraph"/>
              <w:rPr>
                <w:b/>
                <w:sz w:val="20"/>
              </w:rPr>
            </w:pPr>
          </w:p>
          <w:p>
            <w:pPr>
              <w:pStyle w:val="TableParagraph"/>
              <w:spacing w:before="229"/>
              <w:rPr>
                <w:b/>
                <w:sz w:val="20"/>
              </w:rPr>
            </w:pPr>
          </w:p>
          <w:p>
            <w:pPr>
              <w:pStyle w:val="TableParagraph"/>
              <w:ind w:right="60"/>
              <w:jc w:val="right"/>
              <w:rPr>
                <w:sz w:val="20"/>
              </w:rPr>
            </w:pPr>
            <w:r>
              <w:rPr>
                <w:sz w:val="20"/>
              </w:rPr>
              <w:t>₡40</w:t>
            </w:r>
            <w:r>
              <w:rPr>
                <w:spacing w:val="-6"/>
                <w:sz w:val="20"/>
              </w:rPr>
              <w:t> </w:t>
            </w:r>
            <w:r>
              <w:rPr>
                <w:sz w:val="20"/>
              </w:rPr>
              <w:t>000</w:t>
            </w:r>
            <w:r>
              <w:rPr>
                <w:spacing w:val="-5"/>
                <w:sz w:val="20"/>
              </w:rPr>
              <w:t> 000</w:t>
            </w:r>
          </w:p>
        </w:tc>
        <w:tc>
          <w:tcPr>
            <w:tcW w:w="2418" w:type="dxa"/>
            <w:vMerge/>
            <w:tcBorders>
              <w:top w:val="nil"/>
            </w:tcBorders>
          </w:tcPr>
          <w:p>
            <w:pPr>
              <w:rPr>
                <w:sz w:val="2"/>
                <w:szCs w:val="2"/>
              </w:rPr>
            </w:pPr>
          </w:p>
        </w:tc>
      </w:tr>
      <w:tr>
        <w:trPr>
          <w:trHeight w:val="2531" w:hRule="atLeast"/>
        </w:trPr>
        <w:tc>
          <w:tcPr>
            <w:tcW w:w="2835" w:type="dxa"/>
          </w:tcPr>
          <w:p>
            <w:pPr>
              <w:pStyle w:val="TableParagraph"/>
              <w:rPr>
                <w:b/>
                <w:sz w:val="20"/>
              </w:rPr>
            </w:pPr>
          </w:p>
          <w:p>
            <w:pPr>
              <w:pStyle w:val="TableParagraph"/>
              <w:spacing w:before="115"/>
              <w:rPr>
                <w:b/>
                <w:sz w:val="20"/>
              </w:rPr>
            </w:pPr>
          </w:p>
          <w:p>
            <w:pPr>
              <w:pStyle w:val="TableParagraph"/>
              <w:ind w:left="69" w:right="252"/>
              <w:rPr>
                <w:sz w:val="20"/>
              </w:rPr>
            </w:pPr>
            <w:r>
              <w:rPr>
                <w:b/>
                <w:sz w:val="20"/>
              </w:rPr>
              <w:t>Actividad PPPS 1.3.3: </w:t>
            </w:r>
            <w:r>
              <w:rPr>
                <w:sz w:val="20"/>
              </w:rPr>
              <w:t>Pago de servicios profesionales y técnicos requeridos</w:t>
            </w:r>
            <w:r>
              <w:rPr>
                <w:spacing w:val="-14"/>
                <w:sz w:val="20"/>
              </w:rPr>
              <w:t> </w:t>
            </w:r>
            <w:r>
              <w:rPr>
                <w:sz w:val="20"/>
              </w:rPr>
              <w:t>para</w:t>
            </w:r>
            <w:r>
              <w:rPr>
                <w:spacing w:val="-14"/>
                <w:sz w:val="20"/>
              </w:rPr>
              <w:t> </w:t>
            </w:r>
            <w:r>
              <w:rPr>
                <w:sz w:val="20"/>
              </w:rPr>
              <w:t>solventar necesidades de infraestructura (1.04.03).</w:t>
            </w:r>
          </w:p>
        </w:tc>
        <w:tc>
          <w:tcPr>
            <w:tcW w:w="1133"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
              <w:rPr>
                <w:b/>
                <w:sz w:val="20"/>
              </w:rPr>
            </w:pPr>
          </w:p>
          <w:p>
            <w:pPr>
              <w:pStyle w:val="TableParagraph"/>
              <w:spacing w:before="1"/>
              <w:ind w:left="5" w:right="2"/>
              <w:jc w:val="center"/>
              <w:rPr>
                <w:sz w:val="20"/>
              </w:rPr>
            </w:pPr>
            <w:r>
              <w:rPr>
                <w:spacing w:val="-2"/>
                <w:sz w:val="20"/>
              </w:rPr>
              <w:t>20,02%</w:t>
            </w:r>
          </w:p>
        </w:tc>
        <w:tc>
          <w:tcPr>
            <w:tcW w:w="1422"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
              <w:rPr>
                <w:b/>
                <w:sz w:val="20"/>
              </w:rPr>
            </w:pPr>
          </w:p>
          <w:p>
            <w:pPr>
              <w:pStyle w:val="TableParagraph"/>
              <w:spacing w:before="1"/>
              <w:ind w:left="8" w:right="5"/>
              <w:jc w:val="center"/>
              <w:rPr>
                <w:sz w:val="20"/>
              </w:rPr>
            </w:pPr>
            <w:r>
              <w:rPr>
                <w:spacing w:val="-4"/>
                <w:sz w:val="20"/>
              </w:rPr>
              <w:t>100%</w:t>
            </w:r>
          </w:p>
        </w:tc>
        <w:tc>
          <w:tcPr>
            <w:tcW w:w="1558" w:type="dxa"/>
          </w:tcPr>
          <w:p>
            <w:pPr>
              <w:pStyle w:val="TableParagraph"/>
              <w:rPr>
                <w:b/>
                <w:sz w:val="20"/>
              </w:rPr>
            </w:pPr>
          </w:p>
          <w:p>
            <w:pPr>
              <w:pStyle w:val="TableParagraph"/>
              <w:rPr>
                <w:b/>
                <w:sz w:val="20"/>
              </w:rPr>
            </w:pPr>
          </w:p>
          <w:p>
            <w:pPr>
              <w:pStyle w:val="TableParagraph"/>
              <w:ind w:left="68" w:right="161"/>
              <w:rPr>
                <w:sz w:val="20"/>
              </w:rPr>
            </w:pPr>
            <w:r>
              <w:rPr>
                <w:sz w:val="20"/>
              </w:rPr>
              <w:t>Porcentaje de </w:t>
            </w:r>
            <w:r>
              <w:rPr>
                <w:spacing w:val="-2"/>
                <w:sz w:val="20"/>
              </w:rPr>
              <w:t>presupuesto programado </w:t>
            </w:r>
            <w:r>
              <w:rPr>
                <w:sz w:val="20"/>
              </w:rPr>
              <w:t>que</w:t>
            </w:r>
            <w:r>
              <w:rPr>
                <w:spacing w:val="-14"/>
                <w:sz w:val="20"/>
              </w:rPr>
              <w:t> </w:t>
            </w:r>
            <w:r>
              <w:rPr>
                <w:sz w:val="20"/>
              </w:rPr>
              <w:t>se</w:t>
            </w:r>
            <w:r>
              <w:rPr>
                <w:spacing w:val="-14"/>
                <w:sz w:val="20"/>
              </w:rPr>
              <w:t> </w:t>
            </w:r>
            <w:r>
              <w:rPr>
                <w:sz w:val="20"/>
              </w:rPr>
              <w:t>invierte en el pago de servicios de </w:t>
            </w:r>
            <w:r>
              <w:rPr>
                <w:spacing w:val="-2"/>
                <w:sz w:val="20"/>
              </w:rPr>
              <w:t>ingeniería.</w:t>
            </w:r>
          </w:p>
        </w:tc>
        <w:tc>
          <w:tcPr>
            <w:tcW w:w="1419" w:type="dxa"/>
          </w:tcPr>
          <w:p>
            <w:pPr>
              <w:pStyle w:val="TableParagraph"/>
              <w:rPr>
                <w:b/>
                <w:sz w:val="20"/>
              </w:rPr>
            </w:pPr>
          </w:p>
          <w:p>
            <w:pPr>
              <w:pStyle w:val="TableParagraph"/>
              <w:rPr>
                <w:b/>
                <w:sz w:val="20"/>
              </w:rPr>
            </w:pPr>
          </w:p>
          <w:p>
            <w:pPr>
              <w:pStyle w:val="TableParagraph"/>
              <w:spacing w:before="115"/>
              <w:rPr>
                <w:b/>
                <w:sz w:val="20"/>
              </w:rPr>
            </w:pPr>
          </w:p>
          <w:p>
            <w:pPr>
              <w:pStyle w:val="TableParagraph"/>
              <w:spacing w:before="1"/>
              <w:ind w:left="68" w:right="78"/>
              <w:rPr>
                <w:sz w:val="20"/>
              </w:rPr>
            </w:pPr>
            <w:r>
              <w:rPr>
                <w:spacing w:val="-2"/>
                <w:sz w:val="20"/>
              </w:rPr>
              <w:t>Registros </w:t>
            </w:r>
            <w:r>
              <w:rPr>
                <w:sz w:val="20"/>
              </w:rPr>
              <w:t>efectuados</w:t>
            </w:r>
            <w:r>
              <w:rPr>
                <w:spacing w:val="-14"/>
                <w:sz w:val="20"/>
              </w:rPr>
              <w:t> </w:t>
            </w:r>
            <w:r>
              <w:rPr>
                <w:sz w:val="20"/>
              </w:rPr>
              <w:t>en sistema de </w:t>
            </w:r>
            <w:r>
              <w:rPr>
                <w:spacing w:val="-2"/>
                <w:sz w:val="20"/>
              </w:rPr>
              <w:t>pagos</w:t>
            </w:r>
          </w:p>
        </w:tc>
        <w:tc>
          <w:tcPr>
            <w:tcW w:w="1416" w:type="dxa"/>
          </w:tcPr>
          <w:p>
            <w:pPr>
              <w:pStyle w:val="TableParagraph"/>
              <w:ind w:left="396" w:right="387" w:hanging="3"/>
              <w:jc w:val="center"/>
              <w:rPr>
                <w:sz w:val="20"/>
              </w:rPr>
            </w:pPr>
            <w:r>
              <w:rPr>
                <w:spacing w:val="-4"/>
                <w:sz w:val="20"/>
              </w:rPr>
              <w:t>DDS (ARDS</w:t>
            </w:r>
          </w:p>
          <w:p>
            <w:pPr>
              <w:pStyle w:val="TableParagraph"/>
              <w:ind w:left="228" w:right="223" w:firstLine="3"/>
              <w:jc w:val="center"/>
              <w:rPr>
                <w:sz w:val="20"/>
              </w:rPr>
            </w:pPr>
            <w:r>
              <w:rPr>
                <w:spacing w:val="-2"/>
                <w:sz w:val="20"/>
              </w:rPr>
              <w:t>Central Occidente, </w:t>
            </w:r>
            <w:r>
              <w:rPr>
                <w:spacing w:val="-4"/>
                <w:sz w:val="20"/>
              </w:rPr>
              <w:t>ARDS</w:t>
            </w:r>
          </w:p>
          <w:p>
            <w:pPr>
              <w:pStyle w:val="TableParagraph"/>
              <w:spacing w:before="2"/>
              <w:ind w:left="101" w:right="94" w:firstLine="1"/>
              <w:jc w:val="center"/>
              <w:rPr>
                <w:sz w:val="20"/>
              </w:rPr>
            </w:pPr>
            <w:r>
              <w:rPr>
                <w:spacing w:val="-2"/>
                <w:sz w:val="20"/>
              </w:rPr>
              <w:t>Brunca, </w:t>
            </w:r>
            <w:r>
              <w:rPr>
                <w:sz w:val="20"/>
              </w:rPr>
              <w:t>ARDS</w:t>
            </w:r>
            <w:r>
              <w:rPr>
                <w:spacing w:val="-14"/>
                <w:sz w:val="20"/>
              </w:rPr>
              <w:t> </w:t>
            </w:r>
            <w:r>
              <w:rPr>
                <w:sz w:val="20"/>
              </w:rPr>
              <w:t>Huetar Norte, ARDS </w:t>
            </w:r>
            <w:r>
              <w:rPr>
                <w:spacing w:val="-2"/>
                <w:sz w:val="20"/>
              </w:rPr>
              <w:t>Huetar Caribe,</w:t>
            </w:r>
          </w:p>
          <w:p>
            <w:pPr>
              <w:pStyle w:val="TableParagraph"/>
              <w:spacing w:line="210" w:lineRule="exact"/>
              <w:ind w:left="43" w:right="41"/>
              <w:jc w:val="center"/>
              <w:rPr>
                <w:sz w:val="20"/>
              </w:rPr>
            </w:pPr>
            <w:r>
              <w:rPr>
                <w:spacing w:val="-2"/>
                <w:sz w:val="20"/>
              </w:rPr>
              <w:t>DDSPC)</w:t>
            </w:r>
          </w:p>
        </w:tc>
        <w:tc>
          <w:tcPr>
            <w:tcW w:w="1839"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
              <w:rPr>
                <w:b/>
                <w:sz w:val="20"/>
              </w:rPr>
            </w:pPr>
          </w:p>
          <w:p>
            <w:pPr>
              <w:pStyle w:val="TableParagraph"/>
              <w:spacing w:before="1"/>
              <w:ind w:right="60"/>
              <w:jc w:val="right"/>
              <w:rPr>
                <w:sz w:val="20"/>
              </w:rPr>
            </w:pPr>
            <w:r>
              <w:rPr>
                <w:sz w:val="20"/>
              </w:rPr>
              <w:t>₡383</w:t>
            </w:r>
            <w:r>
              <w:rPr>
                <w:spacing w:val="-4"/>
                <w:sz w:val="20"/>
              </w:rPr>
              <w:t> </w:t>
            </w:r>
            <w:r>
              <w:rPr>
                <w:sz w:val="20"/>
              </w:rPr>
              <w:t>352</w:t>
            </w:r>
            <w:r>
              <w:rPr>
                <w:spacing w:val="-5"/>
                <w:sz w:val="20"/>
              </w:rPr>
              <w:t> 000</w:t>
            </w:r>
          </w:p>
        </w:tc>
        <w:tc>
          <w:tcPr>
            <w:tcW w:w="2418" w:type="dxa"/>
            <w:vMerge/>
            <w:tcBorders>
              <w:top w:val="nil"/>
            </w:tcBorders>
          </w:tcPr>
          <w:p>
            <w:pPr>
              <w:rPr>
                <w:sz w:val="2"/>
                <w:szCs w:val="2"/>
              </w:rPr>
            </w:pPr>
          </w:p>
        </w:tc>
      </w:tr>
      <w:tr>
        <w:trPr>
          <w:trHeight w:val="1610" w:hRule="atLeast"/>
        </w:trPr>
        <w:tc>
          <w:tcPr>
            <w:tcW w:w="2835" w:type="dxa"/>
          </w:tcPr>
          <w:p>
            <w:pPr>
              <w:pStyle w:val="TableParagraph"/>
              <w:spacing w:before="112"/>
              <w:rPr>
                <w:b/>
                <w:sz w:val="20"/>
              </w:rPr>
            </w:pPr>
          </w:p>
          <w:p>
            <w:pPr>
              <w:pStyle w:val="TableParagraph"/>
              <w:ind w:left="69" w:right="107"/>
              <w:rPr>
                <w:sz w:val="20"/>
              </w:rPr>
            </w:pPr>
            <w:r>
              <w:rPr>
                <w:b/>
                <w:sz w:val="20"/>
              </w:rPr>
              <w:t>Actividad PPPS 1.3.4: </w:t>
            </w:r>
            <w:r>
              <w:rPr>
                <w:sz w:val="20"/>
              </w:rPr>
              <w:t>Construcción de nuevo edificio</w:t>
            </w:r>
            <w:r>
              <w:rPr>
                <w:spacing w:val="-10"/>
                <w:sz w:val="20"/>
              </w:rPr>
              <w:t> </w:t>
            </w:r>
            <w:r>
              <w:rPr>
                <w:sz w:val="20"/>
              </w:rPr>
              <w:t>para</w:t>
            </w:r>
            <w:r>
              <w:rPr>
                <w:spacing w:val="-10"/>
                <w:sz w:val="20"/>
              </w:rPr>
              <w:t> </w:t>
            </w:r>
            <w:r>
              <w:rPr>
                <w:sz w:val="20"/>
              </w:rPr>
              <w:t>la</w:t>
            </w:r>
            <w:r>
              <w:rPr>
                <w:spacing w:val="-10"/>
                <w:sz w:val="20"/>
              </w:rPr>
              <w:t> </w:t>
            </w:r>
            <w:r>
              <w:rPr>
                <w:sz w:val="20"/>
              </w:rPr>
              <w:t>ULDS</w:t>
            </w:r>
            <w:r>
              <w:rPr>
                <w:spacing w:val="-12"/>
                <w:sz w:val="20"/>
              </w:rPr>
              <w:t> </w:t>
            </w:r>
            <w:r>
              <w:rPr>
                <w:sz w:val="20"/>
              </w:rPr>
              <w:t>Los </w:t>
            </w:r>
            <w:r>
              <w:rPr>
                <w:spacing w:val="-2"/>
                <w:sz w:val="20"/>
              </w:rPr>
              <w:t>Chiles.</w:t>
            </w:r>
          </w:p>
        </w:tc>
        <w:tc>
          <w:tcPr>
            <w:tcW w:w="1133" w:type="dxa"/>
          </w:tcPr>
          <w:p>
            <w:pPr>
              <w:pStyle w:val="TableParagraph"/>
              <w:rPr>
                <w:b/>
                <w:sz w:val="20"/>
              </w:rPr>
            </w:pPr>
          </w:p>
          <w:p>
            <w:pPr>
              <w:pStyle w:val="TableParagraph"/>
              <w:spacing w:before="228"/>
              <w:rPr>
                <w:b/>
                <w:sz w:val="20"/>
              </w:rPr>
            </w:pPr>
          </w:p>
          <w:p>
            <w:pPr>
              <w:pStyle w:val="TableParagraph"/>
              <w:ind w:left="5"/>
              <w:jc w:val="center"/>
              <w:rPr>
                <w:sz w:val="20"/>
              </w:rPr>
            </w:pPr>
            <w:r>
              <w:rPr>
                <w:spacing w:val="-5"/>
                <w:sz w:val="20"/>
              </w:rPr>
              <w:t>N/A</w:t>
            </w:r>
          </w:p>
        </w:tc>
        <w:tc>
          <w:tcPr>
            <w:tcW w:w="1422" w:type="dxa"/>
          </w:tcPr>
          <w:p>
            <w:pPr>
              <w:pStyle w:val="TableParagraph"/>
              <w:rPr>
                <w:b/>
                <w:sz w:val="20"/>
              </w:rPr>
            </w:pPr>
          </w:p>
          <w:p>
            <w:pPr>
              <w:pStyle w:val="TableParagraph"/>
              <w:spacing w:before="228"/>
              <w:rPr>
                <w:b/>
                <w:sz w:val="20"/>
              </w:rPr>
            </w:pPr>
          </w:p>
          <w:p>
            <w:pPr>
              <w:pStyle w:val="TableParagraph"/>
              <w:ind w:left="8" w:right="5"/>
              <w:jc w:val="center"/>
              <w:rPr>
                <w:sz w:val="20"/>
              </w:rPr>
            </w:pPr>
            <w:r>
              <w:rPr>
                <w:spacing w:val="-4"/>
                <w:sz w:val="20"/>
              </w:rPr>
              <w:t>100%</w:t>
            </w:r>
          </w:p>
        </w:tc>
        <w:tc>
          <w:tcPr>
            <w:tcW w:w="1558" w:type="dxa"/>
          </w:tcPr>
          <w:p>
            <w:pPr>
              <w:pStyle w:val="TableParagraph"/>
              <w:ind w:left="68" w:right="161"/>
              <w:rPr>
                <w:sz w:val="20"/>
              </w:rPr>
            </w:pPr>
            <w:r>
              <w:rPr>
                <w:sz w:val="20"/>
              </w:rPr>
              <w:t>Porcentaje de </w:t>
            </w:r>
            <w:r>
              <w:rPr>
                <w:spacing w:val="-2"/>
                <w:sz w:val="20"/>
              </w:rPr>
              <w:t>presupuesto programado </w:t>
            </w:r>
            <w:r>
              <w:rPr>
                <w:sz w:val="20"/>
              </w:rPr>
              <w:t>que</w:t>
            </w:r>
            <w:r>
              <w:rPr>
                <w:spacing w:val="-14"/>
                <w:sz w:val="20"/>
              </w:rPr>
              <w:t> </w:t>
            </w:r>
            <w:r>
              <w:rPr>
                <w:sz w:val="20"/>
              </w:rPr>
              <w:t>se</w:t>
            </w:r>
            <w:r>
              <w:rPr>
                <w:spacing w:val="-14"/>
                <w:sz w:val="20"/>
              </w:rPr>
              <w:t> </w:t>
            </w:r>
            <w:r>
              <w:rPr>
                <w:sz w:val="20"/>
              </w:rPr>
              <w:t>invierte en la </w:t>
            </w:r>
            <w:r>
              <w:rPr>
                <w:spacing w:val="-2"/>
                <w:sz w:val="20"/>
              </w:rPr>
              <w:t>construcción</w:t>
            </w:r>
          </w:p>
          <w:p>
            <w:pPr>
              <w:pStyle w:val="TableParagraph"/>
              <w:spacing w:line="211" w:lineRule="exact"/>
              <w:ind w:left="68"/>
              <w:rPr>
                <w:sz w:val="20"/>
              </w:rPr>
            </w:pPr>
            <w:r>
              <w:rPr>
                <w:sz w:val="20"/>
              </w:rPr>
              <w:t>del</w:t>
            </w:r>
            <w:r>
              <w:rPr>
                <w:spacing w:val="-8"/>
                <w:sz w:val="20"/>
              </w:rPr>
              <w:t> </w:t>
            </w:r>
            <w:r>
              <w:rPr>
                <w:sz w:val="20"/>
              </w:rPr>
              <w:t>edificio</w:t>
            </w:r>
            <w:r>
              <w:rPr>
                <w:spacing w:val="-7"/>
                <w:sz w:val="20"/>
              </w:rPr>
              <w:t> </w:t>
            </w:r>
            <w:r>
              <w:rPr>
                <w:spacing w:val="-5"/>
                <w:sz w:val="20"/>
              </w:rPr>
              <w:t>de</w:t>
            </w:r>
          </w:p>
        </w:tc>
        <w:tc>
          <w:tcPr>
            <w:tcW w:w="1419" w:type="dxa"/>
          </w:tcPr>
          <w:p>
            <w:pPr>
              <w:pStyle w:val="TableParagraph"/>
              <w:spacing w:before="112"/>
              <w:rPr>
                <w:b/>
                <w:sz w:val="20"/>
              </w:rPr>
            </w:pPr>
          </w:p>
          <w:p>
            <w:pPr>
              <w:pStyle w:val="TableParagraph"/>
              <w:ind w:left="68" w:right="78"/>
              <w:rPr>
                <w:sz w:val="20"/>
              </w:rPr>
            </w:pPr>
            <w:r>
              <w:rPr>
                <w:spacing w:val="-2"/>
                <w:sz w:val="20"/>
              </w:rPr>
              <w:t>Registros </w:t>
            </w:r>
            <w:r>
              <w:rPr>
                <w:sz w:val="20"/>
              </w:rPr>
              <w:t>efectuados</w:t>
            </w:r>
            <w:r>
              <w:rPr>
                <w:spacing w:val="-14"/>
                <w:sz w:val="20"/>
              </w:rPr>
              <w:t> </w:t>
            </w:r>
            <w:r>
              <w:rPr>
                <w:sz w:val="20"/>
              </w:rPr>
              <w:t>en sistema de </w:t>
            </w:r>
            <w:r>
              <w:rPr>
                <w:spacing w:val="-2"/>
                <w:sz w:val="20"/>
              </w:rPr>
              <w:t>pagos</w:t>
            </w:r>
          </w:p>
        </w:tc>
        <w:tc>
          <w:tcPr>
            <w:tcW w:w="1416" w:type="dxa"/>
          </w:tcPr>
          <w:p>
            <w:pPr>
              <w:pStyle w:val="TableParagraph"/>
              <w:spacing w:before="227"/>
              <w:rPr>
                <w:b/>
                <w:sz w:val="20"/>
              </w:rPr>
            </w:pPr>
          </w:p>
          <w:p>
            <w:pPr>
              <w:pStyle w:val="TableParagraph"/>
              <w:spacing w:before="1"/>
              <w:ind w:left="396" w:right="387" w:hanging="2"/>
              <w:jc w:val="center"/>
              <w:rPr>
                <w:sz w:val="20"/>
              </w:rPr>
            </w:pPr>
            <w:r>
              <w:rPr>
                <w:spacing w:val="-4"/>
                <w:sz w:val="20"/>
              </w:rPr>
              <w:t>DDS </w:t>
            </w:r>
            <w:r>
              <w:rPr>
                <w:spacing w:val="-2"/>
                <w:sz w:val="20"/>
              </w:rPr>
              <w:t>(ARDS</w:t>
            </w:r>
          </w:p>
          <w:p>
            <w:pPr>
              <w:pStyle w:val="TableParagraph"/>
              <w:ind w:left="43" w:right="43"/>
              <w:jc w:val="center"/>
              <w:rPr>
                <w:sz w:val="20"/>
              </w:rPr>
            </w:pPr>
            <w:r>
              <w:rPr>
                <w:sz w:val="20"/>
              </w:rPr>
              <w:t>Huetar</w:t>
            </w:r>
            <w:r>
              <w:rPr>
                <w:spacing w:val="-10"/>
                <w:sz w:val="20"/>
              </w:rPr>
              <w:t> </w:t>
            </w:r>
            <w:r>
              <w:rPr>
                <w:spacing w:val="-2"/>
                <w:sz w:val="20"/>
              </w:rPr>
              <w:t>Norte)</w:t>
            </w:r>
          </w:p>
        </w:tc>
        <w:tc>
          <w:tcPr>
            <w:tcW w:w="1839" w:type="dxa"/>
          </w:tcPr>
          <w:p>
            <w:pPr>
              <w:pStyle w:val="TableParagraph"/>
              <w:rPr>
                <w:b/>
                <w:sz w:val="20"/>
              </w:rPr>
            </w:pPr>
          </w:p>
          <w:p>
            <w:pPr>
              <w:pStyle w:val="TableParagraph"/>
              <w:spacing w:before="228"/>
              <w:rPr>
                <w:b/>
                <w:sz w:val="20"/>
              </w:rPr>
            </w:pPr>
          </w:p>
          <w:p>
            <w:pPr>
              <w:pStyle w:val="TableParagraph"/>
              <w:ind w:right="59"/>
              <w:jc w:val="right"/>
              <w:rPr>
                <w:sz w:val="20"/>
              </w:rPr>
            </w:pPr>
            <w:r>
              <w:rPr>
                <w:sz w:val="20"/>
              </w:rPr>
              <w:t>₡</w:t>
            </w:r>
            <w:r>
              <w:rPr>
                <w:spacing w:val="-4"/>
                <w:sz w:val="20"/>
              </w:rPr>
              <w:t> </w:t>
            </w:r>
            <w:r>
              <w:rPr>
                <w:sz w:val="20"/>
              </w:rPr>
              <w:t>570</w:t>
            </w:r>
            <w:r>
              <w:rPr>
                <w:spacing w:val="-4"/>
                <w:sz w:val="20"/>
              </w:rPr>
              <w:t> </w:t>
            </w:r>
            <w:r>
              <w:rPr>
                <w:sz w:val="20"/>
              </w:rPr>
              <w:t>000</w:t>
            </w:r>
            <w:r>
              <w:rPr>
                <w:spacing w:val="-4"/>
                <w:sz w:val="20"/>
              </w:rPr>
              <w:t> </w:t>
            </w:r>
            <w:r>
              <w:rPr>
                <w:spacing w:val="-5"/>
                <w:sz w:val="20"/>
              </w:rPr>
              <w:t>000</w:t>
            </w:r>
          </w:p>
        </w:tc>
        <w:tc>
          <w:tcPr>
            <w:tcW w:w="2418"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1133"/>
        <w:gridCol w:w="1422"/>
        <w:gridCol w:w="1558"/>
        <w:gridCol w:w="1419"/>
        <w:gridCol w:w="1416"/>
        <w:gridCol w:w="1839"/>
        <w:gridCol w:w="2418"/>
      </w:tblGrid>
      <w:tr>
        <w:trPr>
          <w:trHeight w:val="962" w:hRule="atLeast"/>
        </w:trPr>
        <w:tc>
          <w:tcPr>
            <w:tcW w:w="2835" w:type="dxa"/>
            <w:shd w:val="clear" w:color="auto" w:fill="F1F1F1"/>
          </w:tcPr>
          <w:p>
            <w:pPr>
              <w:pStyle w:val="TableParagraph"/>
              <w:spacing w:before="134"/>
              <w:rPr>
                <w:b/>
                <w:sz w:val="20"/>
              </w:rPr>
            </w:pPr>
          </w:p>
          <w:p>
            <w:pPr>
              <w:pStyle w:val="TableParagraph"/>
              <w:ind w:left="338"/>
              <w:rPr>
                <w:b/>
                <w:sz w:val="20"/>
              </w:rPr>
            </w:pPr>
            <w:r>
              <w:rPr>
                <w:b/>
                <w:sz w:val="20"/>
              </w:rPr>
              <w:t>Objetivos</w:t>
            </w:r>
            <w:r>
              <w:rPr>
                <w:b/>
                <w:spacing w:val="-9"/>
                <w:sz w:val="20"/>
              </w:rPr>
              <w:t> </w:t>
            </w:r>
            <w:r>
              <w:rPr>
                <w:b/>
                <w:sz w:val="20"/>
              </w:rPr>
              <w:t>/</w:t>
            </w:r>
            <w:r>
              <w:rPr>
                <w:b/>
                <w:spacing w:val="-9"/>
                <w:sz w:val="20"/>
              </w:rPr>
              <w:t> </w:t>
            </w:r>
            <w:r>
              <w:rPr>
                <w:b/>
                <w:spacing w:val="-2"/>
                <w:sz w:val="20"/>
              </w:rPr>
              <w:t>Resultados</w:t>
            </w:r>
          </w:p>
        </w:tc>
        <w:tc>
          <w:tcPr>
            <w:tcW w:w="1133" w:type="dxa"/>
            <w:shd w:val="clear" w:color="auto" w:fill="F1F1F1"/>
          </w:tcPr>
          <w:p>
            <w:pPr>
              <w:pStyle w:val="TableParagraph"/>
              <w:ind w:left="275" w:right="270" w:firstLine="28"/>
              <w:jc w:val="both"/>
              <w:rPr>
                <w:b/>
                <w:sz w:val="20"/>
              </w:rPr>
            </w:pPr>
            <w:r>
              <w:rPr>
                <w:b/>
                <w:spacing w:val="-4"/>
                <w:sz w:val="20"/>
              </w:rPr>
              <w:t>Línea Base </w:t>
            </w:r>
            <w:r>
              <w:rPr>
                <w:b/>
                <w:spacing w:val="-2"/>
                <w:sz w:val="20"/>
              </w:rPr>
              <w:t>(2025)</w:t>
            </w:r>
          </w:p>
        </w:tc>
        <w:tc>
          <w:tcPr>
            <w:tcW w:w="1422" w:type="dxa"/>
            <w:shd w:val="clear" w:color="auto" w:fill="F1F1F1"/>
          </w:tcPr>
          <w:p>
            <w:pPr>
              <w:pStyle w:val="TableParagraph"/>
              <w:spacing w:before="134"/>
              <w:ind w:left="131" w:right="124" w:firstLine="1"/>
              <w:jc w:val="center"/>
              <w:rPr>
                <w:b/>
                <w:sz w:val="20"/>
              </w:rPr>
            </w:pPr>
            <w:r>
              <w:rPr>
                <w:b/>
                <w:spacing w:val="-4"/>
                <w:sz w:val="20"/>
              </w:rPr>
              <w:t>Meta </w:t>
            </w:r>
            <w:r>
              <w:rPr>
                <w:b/>
                <w:spacing w:val="-2"/>
                <w:sz w:val="20"/>
              </w:rPr>
              <w:t>programada </w:t>
            </w:r>
            <w:r>
              <w:rPr>
                <w:b/>
                <w:spacing w:val="-4"/>
                <w:sz w:val="20"/>
              </w:rPr>
              <w:t>2027</w:t>
            </w:r>
          </w:p>
        </w:tc>
        <w:tc>
          <w:tcPr>
            <w:tcW w:w="1558" w:type="dxa"/>
            <w:shd w:val="clear" w:color="auto" w:fill="F1F1F1"/>
          </w:tcPr>
          <w:p>
            <w:pPr>
              <w:pStyle w:val="TableParagraph"/>
              <w:spacing w:before="134"/>
              <w:rPr>
                <w:b/>
                <w:sz w:val="20"/>
              </w:rPr>
            </w:pPr>
          </w:p>
          <w:p>
            <w:pPr>
              <w:pStyle w:val="TableParagraph"/>
              <w:ind w:left="327"/>
              <w:rPr>
                <w:b/>
                <w:sz w:val="20"/>
              </w:rPr>
            </w:pPr>
            <w:r>
              <w:rPr>
                <w:b/>
                <w:spacing w:val="-2"/>
                <w:sz w:val="20"/>
              </w:rPr>
              <w:t>Indicador</w:t>
            </w:r>
          </w:p>
        </w:tc>
        <w:tc>
          <w:tcPr>
            <w:tcW w:w="1419" w:type="dxa"/>
            <w:shd w:val="clear" w:color="auto" w:fill="F1F1F1"/>
          </w:tcPr>
          <w:p>
            <w:pPr>
              <w:pStyle w:val="TableParagraph"/>
              <w:spacing w:before="19"/>
              <w:rPr>
                <w:b/>
                <w:sz w:val="20"/>
              </w:rPr>
            </w:pPr>
          </w:p>
          <w:p>
            <w:pPr>
              <w:pStyle w:val="TableParagraph"/>
              <w:ind w:left="149" w:right="102" w:firstLine="67"/>
              <w:rPr>
                <w:b/>
                <w:sz w:val="20"/>
              </w:rPr>
            </w:pPr>
            <w:r>
              <w:rPr>
                <w:b/>
                <w:sz w:val="20"/>
              </w:rPr>
              <w:t>Medios de </w:t>
            </w:r>
            <w:r>
              <w:rPr>
                <w:b/>
                <w:spacing w:val="-2"/>
                <w:sz w:val="20"/>
              </w:rPr>
              <w:t>verificación</w:t>
            </w:r>
          </w:p>
        </w:tc>
        <w:tc>
          <w:tcPr>
            <w:tcW w:w="1416" w:type="dxa"/>
            <w:shd w:val="clear" w:color="auto" w:fill="F1F1F1"/>
          </w:tcPr>
          <w:p>
            <w:pPr>
              <w:pStyle w:val="TableParagraph"/>
              <w:spacing w:before="134"/>
              <w:rPr>
                <w:b/>
                <w:sz w:val="20"/>
              </w:rPr>
            </w:pPr>
          </w:p>
          <w:p>
            <w:pPr>
              <w:pStyle w:val="TableParagraph"/>
              <w:ind w:left="82"/>
              <w:rPr>
                <w:b/>
                <w:sz w:val="20"/>
              </w:rPr>
            </w:pPr>
            <w:r>
              <w:rPr>
                <w:b/>
                <w:spacing w:val="-2"/>
                <w:sz w:val="20"/>
              </w:rPr>
              <w:t>Responsable</w:t>
            </w:r>
          </w:p>
        </w:tc>
        <w:tc>
          <w:tcPr>
            <w:tcW w:w="1839" w:type="dxa"/>
            <w:shd w:val="clear" w:color="auto" w:fill="F1F1F1"/>
          </w:tcPr>
          <w:p>
            <w:pPr>
              <w:pStyle w:val="TableParagraph"/>
              <w:spacing w:before="19"/>
              <w:rPr>
                <w:b/>
                <w:sz w:val="20"/>
              </w:rPr>
            </w:pPr>
          </w:p>
          <w:p>
            <w:pPr>
              <w:pStyle w:val="TableParagraph"/>
              <w:ind w:left="480" w:hanging="140"/>
              <w:rPr>
                <w:b/>
                <w:sz w:val="20"/>
              </w:rPr>
            </w:pPr>
            <w:r>
              <w:rPr>
                <w:b/>
                <w:spacing w:val="-2"/>
                <w:sz w:val="20"/>
              </w:rPr>
              <w:t>Presupuesto asignado</w:t>
            </w:r>
          </w:p>
        </w:tc>
        <w:tc>
          <w:tcPr>
            <w:tcW w:w="2418" w:type="dxa"/>
            <w:tcBorders>
              <w:bottom w:val="nil"/>
            </w:tcBorders>
            <w:shd w:val="clear" w:color="auto" w:fill="F1F1F1"/>
          </w:tcPr>
          <w:p>
            <w:pPr>
              <w:pStyle w:val="TableParagraph"/>
              <w:spacing w:before="19"/>
              <w:rPr>
                <w:b/>
                <w:sz w:val="20"/>
              </w:rPr>
            </w:pPr>
          </w:p>
          <w:p>
            <w:pPr>
              <w:pStyle w:val="TableParagraph"/>
              <w:ind w:left="559" w:hanging="368"/>
              <w:rPr>
                <w:b/>
                <w:sz w:val="20"/>
              </w:rPr>
            </w:pPr>
            <w:r>
              <w:rPr>
                <w:b/>
                <w:sz w:val="20"/>
              </w:rPr>
              <w:t>Riesgos</w:t>
            </w:r>
            <w:r>
              <w:rPr>
                <w:b/>
                <w:spacing w:val="-14"/>
                <w:sz w:val="20"/>
              </w:rPr>
              <w:t> </w:t>
            </w:r>
            <w:r>
              <w:rPr>
                <w:b/>
                <w:sz w:val="20"/>
              </w:rPr>
              <w:t>asociados</w:t>
            </w:r>
            <w:r>
              <w:rPr>
                <w:b/>
                <w:spacing w:val="-14"/>
                <w:sz w:val="20"/>
              </w:rPr>
              <w:t> </w:t>
            </w:r>
            <w:r>
              <w:rPr>
                <w:b/>
                <w:sz w:val="20"/>
              </w:rPr>
              <w:t>al </w:t>
            </w:r>
            <w:r>
              <w:rPr>
                <w:b/>
                <w:spacing w:val="-2"/>
                <w:sz w:val="20"/>
              </w:rPr>
              <w:t>cumplimiento</w:t>
            </w:r>
          </w:p>
        </w:tc>
      </w:tr>
      <w:tr>
        <w:trPr>
          <w:trHeight w:val="1444" w:hRule="atLeast"/>
        </w:trPr>
        <w:tc>
          <w:tcPr>
            <w:tcW w:w="2835" w:type="dxa"/>
          </w:tcPr>
          <w:p>
            <w:pPr>
              <w:pStyle w:val="TableParagraph"/>
              <w:rPr>
                <w:rFonts w:ascii="Times New Roman"/>
                <w:sz w:val="20"/>
              </w:rPr>
            </w:pPr>
          </w:p>
        </w:tc>
        <w:tc>
          <w:tcPr>
            <w:tcW w:w="1133" w:type="dxa"/>
          </w:tcPr>
          <w:p>
            <w:pPr>
              <w:pStyle w:val="TableParagraph"/>
              <w:rPr>
                <w:rFonts w:ascii="Times New Roman"/>
                <w:sz w:val="20"/>
              </w:rPr>
            </w:pPr>
          </w:p>
        </w:tc>
        <w:tc>
          <w:tcPr>
            <w:tcW w:w="1422" w:type="dxa"/>
          </w:tcPr>
          <w:p>
            <w:pPr>
              <w:pStyle w:val="TableParagraph"/>
              <w:rPr>
                <w:rFonts w:ascii="Times New Roman"/>
                <w:sz w:val="20"/>
              </w:rPr>
            </w:pPr>
          </w:p>
        </w:tc>
        <w:tc>
          <w:tcPr>
            <w:tcW w:w="1558" w:type="dxa"/>
          </w:tcPr>
          <w:p>
            <w:pPr>
              <w:pStyle w:val="TableParagraph"/>
              <w:spacing w:line="217" w:lineRule="exact"/>
              <w:ind w:left="68"/>
              <w:rPr>
                <w:sz w:val="20"/>
              </w:rPr>
            </w:pPr>
            <w:r>
              <w:rPr>
                <w:sz w:val="20"/>
              </w:rPr>
              <w:t>la</w:t>
            </w:r>
            <w:r>
              <w:rPr>
                <w:spacing w:val="-5"/>
                <w:sz w:val="20"/>
              </w:rPr>
              <w:t> </w:t>
            </w:r>
            <w:r>
              <w:rPr>
                <w:sz w:val="20"/>
              </w:rPr>
              <w:t>ULDS</w:t>
            </w:r>
            <w:r>
              <w:rPr>
                <w:spacing w:val="-4"/>
                <w:sz w:val="20"/>
              </w:rPr>
              <w:t> </w:t>
            </w:r>
            <w:r>
              <w:rPr>
                <w:spacing w:val="-5"/>
                <w:sz w:val="20"/>
              </w:rPr>
              <w:t>Los</w:t>
            </w:r>
          </w:p>
          <w:p>
            <w:pPr>
              <w:pStyle w:val="TableParagraph"/>
              <w:ind w:left="68"/>
              <w:rPr>
                <w:sz w:val="20"/>
              </w:rPr>
            </w:pPr>
            <w:r>
              <w:rPr>
                <w:spacing w:val="-2"/>
                <w:sz w:val="20"/>
              </w:rPr>
              <w:t>Chiles.</w:t>
            </w:r>
          </w:p>
        </w:tc>
        <w:tc>
          <w:tcPr>
            <w:tcW w:w="1419" w:type="dxa"/>
          </w:tcPr>
          <w:p>
            <w:pPr>
              <w:pStyle w:val="TableParagraph"/>
              <w:rPr>
                <w:rFonts w:ascii="Times New Roman"/>
                <w:sz w:val="20"/>
              </w:rPr>
            </w:pPr>
          </w:p>
        </w:tc>
        <w:tc>
          <w:tcPr>
            <w:tcW w:w="1416" w:type="dxa"/>
          </w:tcPr>
          <w:p>
            <w:pPr>
              <w:pStyle w:val="TableParagraph"/>
              <w:rPr>
                <w:rFonts w:ascii="Times New Roman"/>
                <w:sz w:val="20"/>
              </w:rPr>
            </w:pPr>
          </w:p>
        </w:tc>
        <w:tc>
          <w:tcPr>
            <w:tcW w:w="1839" w:type="dxa"/>
          </w:tcPr>
          <w:p>
            <w:pPr>
              <w:pStyle w:val="TableParagraph"/>
              <w:rPr>
                <w:rFonts w:ascii="Times New Roman"/>
                <w:sz w:val="20"/>
              </w:rPr>
            </w:pPr>
          </w:p>
        </w:tc>
        <w:tc>
          <w:tcPr>
            <w:tcW w:w="2418" w:type="dxa"/>
            <w:vMerge w:val="restart"/>
            <w:tcBorders>
              <w:top w:val="nil"/>
            </w:tcBorders>
          </w:tcPr>
          <w:p>
            <w:pPr>
              <w:pStyle w:val="TableParagraph"/>
              <w:rPr>
                <w:rFonts w:ascii="Times New Roman"/>
                <w:sz w:val="20"/>
              </w:rPr>
            </w:pPr>
          </w:p>
        </w:tc>
      </w:tr>
      <w:tr>
        <w:trPr>
          <w:trHeight w:val="2068" w:hRule="atLeast"/>
        </w:trPr>
        <w:tc>
          <w:tcPr>
            <w:tcW w:w="2835" w:type="dxa"/>
          </w:tcPr>
          <w:p>
            <w:pPr>
              <w:pStyle w:val="TableParagraph"/>
              <w:rPr>
                <w:b/>
                <w:sz w:val="20"/>
              </w:rPr>
            </w:pPr>
          </w:p>
          <w:p>
            <w:pPr>
              <w:pStyle w:val="TableParagraph"/>
              <w:spacing w:before="113"/>
              <w:rPr>
                <w:b/>
                <w:sz w:val="20"/>
              </w:rPr>
            </w:pPr>
          </w:p>
          <w:p>
            <w:pPr>
              <w:pStyle w:val="TableParagraph"/>
              <w:ind w:left="69" w:right="107"/>
              <w:rPr>
                <w:sz w:val="20"/>
              </w:rPr>
            </w:pPr>
            <w:r>
              <w:rPr>
                <w:b/>
                <w:sz w:val="20"/>
              </w:rPr>
              <w:t>Actividad PPPS 1.3.5: </w:t>
            </w:r>
            <w:r>
              <w:rPr>
                <w:sz w:val="20"/>
              </w:rPr>
              <w:t>Construcción de nuevo edificio</w:t>
            </w:r>
            <w:r>
              <w:rPr>
                <w:spacing w:val="-14"/>
                <w:sz w:val="20"/>
              </w:rPr>
              <w:t> </w:t>
            </w:r>
            <w:r>
              <w:rPr>
                <w:sz w:val="20"/>
              </w:rPr>
              <w:t>para</w:t>
            </w:r>
            <w:r>
              <w:rPr>
                <w:spacing w:val="-13"/>
                <w:sz w:val="20"/>
              </w:rPr>
              <w:t> </w:t>
            </w:r>
            <w:r>
              <w:rPr>
                <w:sz w:val="20"/>
              </w:rPr>
              <w:t>ARDS</w:t>
            </w:r>
            <w:r>
              <w:rPr>
                <w:spacing w:val="-14"/>
                <w:sz w:val="20"/>
              </w:rPr>
              <w:t> </w:t>
            </w:r>
            <w:r>
              <w:rPr>
                <w:sz w:val="20"/>
              </w:rPr>
              <w:t>Huetar </w:t>
            </w:r>
            <w:r>
              <w:rPr>
                <w:spacing w:val="-2"/>
                <w:sz w:val="20"/>
              </w:rPr>
              <w:t>Caribe</w:t>
            </w:r>
          </w:p>
        </w:tc>
        <w:tc>
          <w:tcPr>
            <w:tcW w:w="1133" w:type="dxa"/>
          </w:tcPr>
          <w:p>
            <w:pPr>
              <w:pStyle w:val="TableParagraph"/>
              <w:rPr>
                <w:b/>
                <w:sz w:val="20"/>
              </w:rPr>
            </w:pPr>
          </w:p>
          <w:p>
            <w:pPr>
              <w:pStyle w:val="TableParagraph"/>
              <w:rPr>
                <w:b/>
                <w:sz w:val="20"/>
              </w:rPr>
            </w:pPr>
          </w:p>
          <w:p>
            <w:pPr>
              <w:pStyle w:val="TableParagraph"/>
              <w:spacing w:before="228"/>
              <w:rPr>
                <w:b/>
                <w:sz w:val="20"/>
              </w:rPr>
            </w:pPr>
          </w:p>
          <w:p>
            <w:pPr>
              <w:pStyle w:val="TableParagraph"/>
              <w:ind w:left="5"/>
              <w:jc w:val="center"/>
              <w:rPr>
                <w:sz w:val="20"/>
              </w:rPr>
            </w:pPr>
            <w:r>
              <w:rPr>
                <w:spacing w:val="-5"/>
                <w:sz w:val="20"/>
              </w:rPr>
              <w:t>N/A</w:t>
            </w:r>
          </w:p>
        </w:tc>
        <w:tc>
          <w:tcPr>
            <w:tcW w:w="1422" w:type="dxa"/>
          </w:tcPr>
          <w:p>
            <w:pPr>
              <w:pStyle w:val="TableParagraph"/>
              <w:rPr>
                <w:b/>
                <w:sz w:val="20"/>
              </w:rPr>
            </w:pPr>
          </w:p>
          <w:p>
            <w:pPr>
              <w:pStyle w:val="TableParagraph"/>
              <w:rPr>
                <w:b/>
                <w:sz w:val="20"/>
              </w:rPr>
            </w:pPr>
          </w:p>
          <w:p>
            <w:pPr>
              <w:pStyle w:val="TableParagraph"/>
              <w:spacing w:before="228"/>
              <w:rPr>
                <w:b/>
                <w:sz w:val="20"/>
              </w:rPr>
            </w:pPr>
          </w:p>
          <w:p>
            <w:pPr>
              <w:pStyle w:val="TableParagraph"/>
              <w:ind w:left="8" w:right="5"/>
              <w:jc w:val="center"/>
              <w:rPr>
                <w:sz w:val="20"/>
              </w:rPr>
            </w:pPr>
            <w:r>
              <w:rPr>
                <w:spacing w:val="-4"/>
                <w:sz w:val="20"/>
              </w:rPr>
              <w:t>100%</w:t>
            </w:r>
          </w:p>
        </w:tc>
        <w:tc>
          <w:tcPr>
            <w:tcW w:w="1558" w:type="dxa"/>
          </w:tcPr>
          <w:p>
            <w:pPr>
              <w:pStyle w:val="TableParagraph"/>
              <w:ind w:left="68" w:right="161"/>
              <w:rPr>
                <w:sz w:val="20"/>
              </w:rPr>
            </w:pPr>
            <w:r>
              <w:rPr>
                <w:sz w:val="20"/>
              </w:rPr>
              <w:t>Porcentaje de </w:t>
            </w:r>
            <w:r>
              <w:rPr>
                <w:spacing w:val="-2"/>
                <w:sz w:val="20"/>
              </w:rPr>
              <w:t>presupuesto programado </w:t>
            </w:r>
            <w:r>
              <w:rPr>
                <w:sz w:val="20"/>
              </w:rPr>
              <w:t>que</w:t>
            </w:r>
            <w:r>
              <w:rPr>
                <w:spacing w:val="-14"/>
                <w:sz w:val="20"/>
              </w:rPr>
              <w:t> </w:t>
            </w:r>
            <w:r>
              <w:rPr>
                <w:sz w:val="20"/>
              </w:rPr>
              <w:t>se</w:t>
            </w:r>
            <w:r>
              <w:rPr>
                <w:spacing w:val="-14"/>
                <w:sz w:val="20"/>
              </w:rPr>
              <w:t> </w:t>
            </w:r>
            <w:r>
              <w:rPr>
                <w:sz w:val="20"/>
              </w:rPr>
              <w:t>invierte en la </w:t>
            </w:r>
            <w:r>
              <w:rPr>
                <w:spacing w:val="-2"/>
                <w:sz w:val="20"/>
              </w:rPr>
              <w:t>construcción </w:t>
            </w:r>
            <w:r>
              <w:rPr>
                <w:sz w:val="20"/>
              </w:rPr>
              <w:t>del</w:t>
            </w:r>
            <w:r>
              <w:rPr>
                <w:spacing w:val="-4"/>
                <w:sz w:val="20"/>
              </w:rPr>
              <w:t> </w:t>
            </w:r>
            <w:r>
              <w:rPr>
                <w:sz w:val="20"/>
              </w:rPr>
              <w:t>edificio</w:t>
            </w:r>
            <w:r>
              <w:rPr>
                <w:spacing w:val="-5"/>
                <w:sz w:val="20"/>
              </w:rPr>
              <w:t> </w:t>
            </w:r>
            <w:r>
              <w:rPr>
                <w:sz w:val="20"/>
              </w:rPr>
              <w:t>del</w:t>
            </w:r>
          </w:p>
          <w:p>
            <w:pPr>
              <w:pStyle w:val="TableParagraph"/>
              <w:spacing w:line="228" w:lineRule="exact"/>
              <w:ind w:left="68" w:right="262"/>
              <w:rPr>
                <w:sz w:val="20"/>
              </w:rPr>
            </w:pPr>
            <w:r>
              <w:rPr>
                <w:sz w:val="20"/>
              </w:rPr>
              <w:t>ARDS</w:t>
            </w:r>
            <w:r>
              <w:rPr>
                <w:spacing w:val="-14"/>
                <w:sz w:val="20"/>
              </w:rPr>
              <w:t> </w:t>
            </w:r>
            <w:r>
              <w:rPr>
                <w:sz w:val="20"/>
              </w:rPr>
              <w:t>Huetar </w:t>
            </w:r>
            <w:r>
              <w:rPr>
                <w:spacing w:val="-2"/>
                <w:sz w:val="20"/>
              </w:rPr>
              <w:t>Caribe</w:t>
            </w:r>
          </w:p>
        </w:tc>
        <w:tc>
          <w:tcPr>
            <w:tcW w:w="1419" w:type="dxa"/>
          </w:tcPr>
          <w:p>
            <w:pPr>
              <w:pStyle w:val="TableParagraph"/>
              <w:rPr>
                <w:b/>
                <w:sz w:val="20"/>
              </w:rPr>
            </w:pPr>
          </w:p>
          <w:p>
            <w:pPr>
              <w:pStyle w:val="TableParagraph"/>
              <w:spacing w:before="113"/>
              <w:rPr>
                <w:b/>
                <w:sz w:val="20"/>
              </w:rPr>
            </w:pPr>
          </w:p>
          <w:p>
            <w:pPr>
              <w:pStyle w:val="TableParagraph"/>
              <w:ind w:left="68" w:right="78"/>
              <w:rPr>
                <w:sz w:val="20"/>
              </w:rPr>
            </w:pPr>
            <w:r>
              <w:rPr>
                <w:spacing w:val="-2"/>
                <w:sz w:val="20"/>
              </w:rPr>
              <w:t>Registros </w:t>
            </w:r>
            <w:r>
              <w:rPr>
                <w:sz w:val="20"/>
              </w:rPr>
              <w:t>efectuados</w:t>
            </w:r>
            <w:r>
              <w:rPr>
                <w:spacing w:val="-14"/>
                <w:sz w:val="20"/>
              </w:rPr>
              <w:t> </w:t>
            </w:r>
            <w:r>
              <w:rPr>
                <w:sz w:val="20"/>
              </w:rPr>
              <w:t>en sistema de </w:t>
            </w:r>
            <w:r>
              <w:rPr>
                <w:spacing w:val="-2"/>
                <w:sz w:val="20"/>
              </w:rPr>
              <w:t>pagos</w:t>
            </w:r>
          </w:p>
        </w:tc>
        <w:tc>
          <w:tcPr>
            <w:tcW w:w="1416" w:type="dxa"/>
          </w:tcPr>
          <w:p>
            <w:pPr>
              <w:pStyle w:val="TableParagraph"/>
              <w:rPr>
                <w:b/>
                <w:sz w:val="20"/>
              </w:rPr>
            </w:pPr>
          </w:p>
          <w:p>
            <w:pPr>
              <w:pStyle w:val="TableParagraph"/>
              <w:spacing w:before="113"/>
              <w:rPr>
                <w:b/>
                <w:sz w:val="20"/>
              </w:rPr>
            </w:pPr>
          </w:p>
          <w:p>
            <w:pPr>
              <w:pStyle w:val="TableParagraph"/>
              <w:ind w:left="396" w:firstLine="98"/>
              <w:rPr>
                <w:sz w:val="20"/>
              </w:rPr>
            </w:pPr>
            <w:r>
              <w:rPr>
                <w:spacing w:val="-4"/>
                <w:sz w:val="20"/>
              </w:rPr>
              <w:t>DDS (ARDS</w:t>
            </w:r>
          </w:p>
          <w:p>
            <w:pPr>
              <w:pStyle w:val="TableParagraph"/>
              <w:spacing w:before="1"/>
              <w:ind w:left="377" w:right="367" w:firstLine="28"/>
              <w:rPr>
                <w:sz w:val="20"/>
              </w:rPr>
            </w:pPr>
            <w:r>
              <w:rPr>
                <w:spacing w:val="-2"/>
                <w:sz w:val="20"/>
              </w:rPr>
              <w:t>Huetar Caribe)</w:t>
            </w:r>
          </w:p>
        </w:tc>
        <w:tc>
          <w:tcPr>
            <w:tcW w:w="1839" w:type="dxa"/>
          </w:tcPr>
          <w:p>
            <w:pPr>
              <w:pStyle w:val="TableParagraph"/>
              <w:rPr>
                <w:b/>
                <w:sz w:val="20"/>
              </w:rPr>
            </w:pPr>
          </w:p>
          <w:p>
            <w:pPr>
              <w:pStyle w:val="TableParagraph"/>
              <w:rPr>
                <w:b/>
                <w:sz w:val="20"/>
              </w:rPr>
            </w:pPr>
          </w:p>
          <w:p>
            <w:pPr>
              <w:pStyle w:val="TableParagraph"/>
              <w:spacing w:before="228"/>
              <w:rPr>
                <w:b/>
                <w:sz w:val="20"/>
              </w:rPr>
            </w:pPr>
          </w:p>
          <w:p>
            <w:pPr>
              <w:pStyle w:val="TableParagraph"/>
              <w:ind w:right="59"/>
              <w:jc w:val="right"/>
              <w:rPr>
                <w:sz w:val="20"/>
              </w:rPr>
            </w:pPr>
            <w:r>
              <w:rPr>
                <w:sz w:val="20"/>
              </w:rPr>
              <w:t>₡</w:t>
            </w:r>
            <w:r>
              <w:rPr>
                <w:spacing w:val="-4"/>
                <w:sz w:val="20"/>
              </w:rPr>
              <w:t> </w:t>
            </w:r>
            <w:r>
              <w:rPr>
                <w:sz w:val="20"/>
              </w:rPr>
              <w:t>404</w:t>
            </w:r>
            <w:r>
              <w:rPr>
                <w:spacing w:val="-4"/>
                <w:sz w:val="20"/>
              </w:rPr>
              <w:t> </w:t>
            </w:r>
            <w:r>
              <w:rPr>
                <w:sz w:val="20"/>
              </w:rPr>
              <w:t>000</w:t>
            </w:r>
            <w:r>
              <w:rPr>
                <w:spacing w:val="-4"/>
                <w:sz w:val="20"/>
              </w:rPr>
              <w:t> </w:t>
            </w:r>
            <w:r>
              <w:rPr>
                <w:spacing w:val="-5"/>
                <w:sz w:val="20"/>
              </w:rPr>
              <w:t>000</w:t>
            </w:r>
          </w:p>
        </w:tc>
        <w:tc>
          <w:tcPr>
            <w:tcW w:w="2418" w:type="dxa"/>
            <w:vMerge/>
            <w:tcBorders>
              <w:top w:val="nil"/>
            </w:tcBorders>
          </w:tcPr>
          <w:p>
            <w:pPr>
              <w:rPr>
                <w:sz w:val="2"/>
                <w:szCs w:val="2"/>
              </w:rPr>
            </w:pPr>
          </w:p>
        </w:tc>
      </w:tr>
      <w:tr>
        <w:trPr>
          <w:trHeight w:val="2071" w:hRule="atLeast"/>
        </w:trPr>
        <w:tc>
          <w:tcPr>
            <w:tcW w:w="2835" w:type="dxa"/>
          </w:tcPr>
          <w:p>
            <w:pPr>
              <w:pStyle w:val="TableParagraph"/>
              <w:rPr>
                <w:b/>
                <w:sz w:val="20"/>
              </w:rPr>
            </w:pPr>
          </w:p>
          <w:p>
            <w:pPr>
              <w:pStyle w:val="TableParagraph"/>
              <w:spacing w:before="115"/>
              <w:rPr>
                <w:b/>
                <w:sz w:val="20"/>
              </w:rPr>
            </w:pPr>
          </w:p>
          <w:p>
            <w:pPr>
              <w:pStyle w:val="TableParagraph"/>
              <w:spacing w:before="1"/>
              <w:ind w:left="69" w:right="107"/>
              <w:rPr>
                <w:sz w:val="20"/>
              </w:rPr>
            </w:pPr>
            <w:r>
              <w:rPr>
                <w:b/>
                <w:sz w:val="20"/>
              </w:rPr>
              <w:t>Actividad PPPS 1.3.6: </w:t>
            </w:r>
            <w:r>
              <w:rPr>
                <w:sz w:val="20"/>
              </w:rPr>
              <w:t>Construcción de nuevo edificio</w:t>
            </w:r>
            <w:r>
              <w:rPr>
                <w:spacing w:val="-14"/>
                <w:sz w:val="20"/>
              </w:rPr>
              <w:t> </w:t>
            </w:r>
            <w:r>
              <w:rPr>
                <w:sz w:val="20"/>
              </w:rPr>
              <w:t>para</w:t>
            </w:r>
            <w:r>
              <w:rPr>
                <w:spacing w:val="-13"/>
                <w:sz w:val="20"/>
              </w:rPr>
              <w:t> </w:t>
            </w:r>
            <w:r>
              <w:rPr>
                <w:sz w:val="20"/>
              </w:rPr>
              <w:t>ARDS</w:t>
            </w:r>
            <w:r>
              <w:rPr>
                <w:spacing w:val="-14"/>
                <w:sz w:val="20"/>
              </w:rPr>
              <w:t> </w:t>
            </w:r>
            <w:r>
              <w:rPr>
                <w:sz w:val="20"/>
              </w:rPr>
              <w:t>Central </w:t>
            </w:r>
            <w:r>
              <w:rPr>
                <w:spacing w:val="-2"/>
                <w:sz w:val="20"/>
              </w:rPr>
              <w:t>Occidente</w:t>
            </w:r>
          </w:p>
        </w:tc>
        <w:tc>
          <w:tcPr>
            <w:tcW w:w="1133" w:type="dxa"/>
          </w:tcPr>
          <w:p>
            <w:pPr>
              <w:pStyle w:val="TableParagraph"/>
              <w:rPr>
                <w:b/>
                <w:sz w:val="20"/>
              </w:rPr>
            </w:pPr>
          </w:p>
          <w:p>
            <w:pPr>
              <w:pStyle w:val="TableParagraph"/>
              <w:rPr>
                <w:b/>
                <w:sz w:val="20"/>
              </w:rPr>
            </w:pPr>
          </w:p>
          <w:p>
            <w:pPr>
              <w:pStyle w:val="TableParagraph"/>
              <w:rPr>
                <w:b/>
                <w:sz w:val="20"/>
              </w:rPr>
            </w:pPr>
          </w:p>
          <w:p>
            <w:pPr>
              <w:pStyle w:val="TableParagraph"/>
              <w:spacing w:before="1"/>
              <w:rPr>
                <w:b/>
                <w:sz w:val="20"/>
              </w:rPr>
            </w:pPr>
          </w:p>
          <w:p>
            <w:pPr>
              <w:pStyle w:val="TableParagraph"/>
              <w:ind w:left="5"/>
              <w:jc w:val="center"/>
              <w:rPr>
                <w:sz w:val="20"/>
              </w:rPr>
            </w:pPr>
            <w:r>
              <w:rPr>
                <w:spacing w:val="-5"/>
                <w:sz w:val="20"/>
              </w:rPr>
              <w:t>N/A</w:t>
            </w:r>
          </w:p>
        </w:tc>
        <w:tc>
          <w:tcPr>
            <w:tcW w:w="1422" w:type="dxa"/>
          </w:tcPr>
          <w:p>
            <w:pPr>
              <w:pStyle w:val="TableParagraph"/>
              <w:rPr>
                <w:b/>
                <w:sz w:val="20"/>
              </w:rPr>
            </w:pPr>
          </w:p>
          <w:p>
            <w:pPr>
              <w:pStyle w:val="TableParagraph"/>
              <w:rPr>
                <w:b/>
                <w:sz w:val="20"/>
              </w:rPr>
            </w:pPr>
          </w:p>
          <w:p>
            <w:pPr>
              <w:pStyle w:val="TableParagraph"/>
              <w:rPr>
                <w:b/>
                <w:sz w:val="20"/>
              </w:rPr>
            </w:pPr>
          </w:p>
          <w:p>
            <w:pPr>
              <w:pStyle w:val="TableParagraph"/>
              <w:spacing w:before="1"/>
              <w:rPr>
                <w:b/>
                <w:sz w:val="20"/>
              </w:rPr>
            </w:pPr>
          </w:p>
          <w:p>
            <w:pPr>
              <w:pStyle w:val="TableParagraph"/>
              <w:ind w:left="8" w:right="5"/>
              <w:jc w:val="center"/>
              <w:rPr>
                <w:sz w:val="20"/>
              </w:rPr>
            </w:pPr>
            <w:r>
              <w:rPr>
                <w:spacing w:val="-4"/>
                <w:sz w:val="20"/>
              </w:rPr>
              <w:t>100%</w:t>
            </w:r>
          </w:p>
        </w:tc>
        <w:tc>
          <w:tcPr>
            <w:tcW w:w="1558" w:type="dxa"/>
          </w:tcPr>
          <w:p>
            <w:pPr>
              <w:pStyle w:val="TableParagraph"/>
              <w:ind w:left="68" w:right="161"/>
              <w:rPr>
                <w:sz w:val="20"/>
              </w:rPr>
            </w:pPr>
            <w:r>
              <w:rPr>
                <w:sz w:val="20"/>
              </w:rPr>
              <w:t>Porcentaje de </w:t>
            </w:r>
            <w:r>
              <w:rPr>
                <w:spacing w:val="-2"/>
                <w:sz w:val="20"/>
              </w:rPr>
              <w:t>presupuesto programado </w:t>
            </w:r>
            <w:r>
              <w:rPr>
                <w:sz w:val="20"/>
              </w:rPr>
              <w:t>que</w:t>
            </w:r>
            <w:r>
              <w:rPr>
                <w:spacing w:val="-14"/>
                <w:sz w:val="20"/>
              </w:rPr>
              <w:t> </w:t>
            </w:r>
            <w:r>
              <w:rPr>
                <w:sz w:val="20"/>
              </w:rPr>
              <w:t>se</w:t>
            </w:r>
            <w:r>
              <w:rPr>
                <w:spacing w:val="-14"/>
                <w:sz w:val="20"/>
              </w:rPr>
              <w:t> </w:t>
            </w:r>
            <w:r>
              <w:rPr>
                <w:sz w:val="20"/>
              </w:rPr>
              <w:t>invierte en la </w:t>
            </w:r>
            <w:r>
              <w:rPr>
                <w:spacing w:val="-2"/>
                <w:sz w:val="20"/>
              </w:rPr>
              <w:t>construcción </w:t>
            </w:r>
            <w:r>
              <w:rPr>
                <w:sz w:val="20"/>
              </w:rPr>
              <w:t>del</w:t>
            </w:r>
            <w:r>
              <w:rPr>
                <w:spacing w:val="-4"/>
                <w:sz w:val="20"/>
              </w:rPr>
              <w:t> </w:t>
            </w:r>
            <w:r>
              <w:rPr>
                <w:sz w:val="20"/>
              </w:rPr>
              <w:t>edificio</w:t>
            </w:r>
            <w:r>
              <w:rPr>
                <w:spacing w:val="-5"/>
                <w:sz w:val="20"/>
              </w:rPr>
              <w:t> </w:t>
            </w:r>
            <w:r>
              <w:rPr>
                <w:sz w:val="20"/>
              </w:rPr>
              <w:t>del ARDS Central</w:t>
            </w:r>
          </w:p>
          <w:p>
            <w:pPr>
              <w:pStyle w:val="TableParagraph"/>
              <w:spacing w:line="211" w:lineRule="exact"/>
              <w:ind w:left="68"/>
              <w:rPr>
                <w:sz w:val="20"/>
              </w:rPr>
            </w:pPr>
            <w:r>
              <w:rPr>
                <w:spacing w:val="-2"/>
                <w:sz w:val="20"/>
              </w:rPr>
              <w:t>Occidente</w:t>
            </w:r>
          </w:p>
        </w:tc>
        <w:tc>
          <w:tcPr>
            <w:tcW w:w="1419" w:type="dxa"/>
          </w:tcPr>
          <w:p>
            <w:pPr>
              <w:pStyle w:val="TableParagraph"/>
              <w:rPr>
                <w:b/>
                <w:sz w:val="20"/>
              </w:rPr>
            </w:pPr>
          </w:p>
          <w:p>
            <w:pPr>
              <w:pStyle w:val="TableParagraph"/>
              <w:spacing w:before="115"/>
              <w:rPr>
                <w:b/>
                <w:sz w:val="20"/>
              </w:rPr>
            </w:pPr>
          </w:p>
          <w:p>
            <w:pPr>
              <w:pStyle w:val="TableParagraph"/>
              <w:spacing w:before="1"/>
              <w:ind w:left="68" w:right="78"/>
              <w:rPr>
                <w:sz w:val="20"/>
              </w:rPr>
            </w:pPr>
            <w:r>
              <w:rPr>
                <w:spacing w:val="-2"/>
                <w:sz w:val="20"/>
              </w:rPr>
              <w:t>Registros </w:t>
            </w:r>
            <w:r>
              <w:rPr>
                <w:sz w:val="20"/>
              </w:rPr>
              <w:t>efectuados</w:t>
            </w:r>
            <w:r>
              <w:rPr>
                <w:spacing w:val="-14"/>
                <w:sz w:val="20"/>
              </w:rPr>
              <w:t> </w:t>
            </w:r>
            <w:r>
              <w:rPr>
                <w:sz w:val="20"/>
              </w:rPr>
              <w:t>en sistema de </w:t>
            </w:r>
            <w:r>
              <w:rPr>
                <w:spacing w:val="-2"/>
                <w:sz w:val="20"/>
              </w:rPr>
              <w:t>pagos</w:t>
            </w:r>
          </w:p>
        </w:tc>
        <w:tc>
          <w:tcPr>
            <w:tcW w:w="1416" w:type="dxa"/>
          </w:tcPr>
          <w:p>
            <w:pPr>
              <w:pStyle w:val="TableParagraph"/>
              <w:rPr>
                <w:b/>
                <w:sz w:val="20"/>
              </w:rPr>
            </w:pPr>
          </w:p>
          <w:p>
            <w:pPr>
              <w:pStyle w:val="TableParagraph"/>
              <w:spacing w:before="115"/>
              <w:rPr>
                <w:b/>
                <w:sz w:val="20"/>
              </w:rPr>
            </w:pPr>
          </w:p>
          <w:p>
            <w:pPr>
              <w:pStyle w:val="TableParagraph"/>
              <w:spacing w:before="1"/>
              <w:ind w:left="396" w:right="387" w:hanging="2"/>
              <w:jc w:val="center"/>
              <w:rPr>
                <w:sz w:val="20"/>
              </w:rPr>
            </w:pPr>
            <w:r>
              <w:rPr>
                <w:spacing w:val="-4"/>
                <w:sz w:val="20"/>
              </w:rPr>
              <w:t>DDS </w:t>
            </w:r>
            <w:r>
              <w:rPr>
                <w:spacing w:val="-2"/>
                <w:sz w:val="20"/>
              </w:rPr>
              <w:t>(ARDS</w:t>
            </w:r>
          </w:p>
          <w:p>
            <w:pPr>
              <w:pStyle w:val="TableParagraph"/>
              <w:ind w:left="221" w:right="219" w:firstLine="6"/>
              <w:jc w:val="center"/>
              <w:rPr>
                <w:sz w:val="20"/>
              </w:rPr>
            </w:pPr>
            <w:r>
              <w:rPr>
                <w:spacing w:val="-2"/>
                <w:sz w:val="20"/>
              </w:rPr>
              <w:t>Central Occidente)</w:t>
            </w:r>
          </w:p>
        </w:tc>
        <w:tc>
          <w:tcPr>
            <w:tcW w:w="1839" w:type="dxa"/>
          </w:tcPr>
          <w:p>
            <w:pPr>
              <w:pStyle w:val="TableParagraph"/>
              <w:rPr>
                <w:b/>
                <w:sz w:val="20"/>
              </w:rPr>
            </w:pPr>
          </w:p>
          <w:p>
            <w:pPr>
              <w:pStyle w:val="TableParagraph"/>
              <w:rPr>
                <w:b/>
                <w:sz w:val="20"/>
              </w:rPr>
            </w:pPr>
          </w:p>
          <w:p>
            <w:pPr>
              <w:pStyle w:val="TableParagraph"/>
              <w:rPr>
                <w:b/>
                <w:sz w:val="20"/>
              </w:rPr>
            </w:pPr>
          </w:p>
          <w:p>
            <w:pPr>
              <w:pStyle w:val="TableParagraph"/>
              <w:spacing w:before="1"/>
              <w:rPr>
                <w:b/>
                <w:sz w:val="20"/>
              </w:rPr>
            </w:pPr>
          </w:p>
          <w:p>
            <w:pPr>
              <w:pStyle w:val="TableParagraph"/>
              <w:ind w:right="60"/>
              <w:jc w:val="right"/>
              <w:rPr>
                <w:sz w:val="20"/>
              </w:rPr>
            </w:pPr>
            <w:r>
              <w:rPr>
                <w:sz w:val="20"/>
              </w:rPr>
              <w:t>₡1</w:t>
            </w:r>
            <w:r>
              <w:rPr>
                <w:spacing w:val="-5"/>
                <w:sz w:val="20"/>
              </w:rPr>
              <w:t> </w:t>
            </w:r>
            <w:r>
              <w:rPr>
                <w:sz w:val="20"/>
              </w:rPr>
              <w:t>050</w:t>
            </w:r>
            <w:r>
              <w:rPr>
                <w:spacing w:val="-5"/>
                <w:sz w:val="20"/>
              </w:rPr>
              <w:t> </w:t>
            </w:r>
            <w:r>
              <w:rPr>
                <w:sz w:val="20"/>
              </w:rPr>
              <w:t>000</w:t>
            </w:r>
            <w:r>
              <w:rPr>
                <w:spacing w:val="-4"/>
                <w:sz w:val="20"/>
              </w:rPr>
              <w:t> </w:t>
            </w:r>
            <w:r>
              <w:rPr>
                <w:spacing w:val="-5"/>
                <w:sz w:val="20"/>
              </w:rPr>
              <w:t>000</w:t>
            </w:r>
          </w:p>
        </w:tc>
        <w:tc>
          <w:tcPr>
            <w:tcW w:w="2418" w:type="dxa"/>
            <w:vMerge/>
            <w:tcBorders>
              <w:top w:val="nil"/>
            </w:tcBorders>
          </w:tcPr>
          <w:p>
            <w:pPr>
              <w:rPr>
                <w:sz w:val="2"/>
                <w:szCs w:val="2"/>
              </w:rPr>
            </w:pPr>
          </w:p>
        </w:tc>
      </w:tr>
      <w:tr>
        <w:trPr>
          <w:trHeight w:val="1610" w:hRule="atLeast"/>
        </w:trPr>
        <w:tc>
          <w:tcPr>
            <w:tcW w:w="2835" w:type="dxa"/>
          </w:tcPr>
          <w:p>
            <w:pPr>
              <w:pStyle w:val="TableParagraph"/>
              <w:rPr>
                <w:b/>
                <w:sz w:val="20"/>
              </w:rPr>
            </w:pPr>
          </w:p>
          <w:p>
            <w:pPr>
              <w:pStyle w:val="TableParagraph"/>
              <w:rPr>
                <w:b/>
                <w:sz w:val="20"/>
              </w:rPr>
            </w:pPr>
          </w:p>
          <w:p>
            <w:pPr>
              <w:pStyle w:val="TableParagraph"/>
              <w:ind w:left="69" w:right="107"/>
              <w:rPr>
                <w:sz w:val="20"/>
              </w:rPr>
            </w:pPr>
            <w:r>
              <w:rPr>
                <w:b/>
                <w:sz w:val="20"/>
              </w:rPr>
              <w:t>Actividad PPPS 1.3.7: </w:t>
            </w:r>
            <w:r>
              <w:rPr>
                <w:sz w:val="20"/>
              </w:rPr>
              <w:t>Construcción de nuevo edificio</w:t>
            </w:r>
            <w:r>
              <w:rPr>
                <w:spacing w:val="-10"/>
                <w:sz w:val="20"/>
              </w:rPr>
              <w:t> </w:t>
            </w:r>
            <w:r>
              <w:rPr>
                <w:sz w:val="20"/>
              </w:rPr>
              <w:t>para</w:t>
            </w:r>
            <w:r>
              <w:rPr>
                <w:spacing w:val="-10"/>
                <w:sz w:val="20"/>
              </w:rPr>
              <w:t> </w:t>
            </w:r>
            <w:r>
              <w:rPr>
                <w:sz w:val="20"/>
              </w:rPr>
              <w:t>la</w:t>
            </w:r>
            <w:r>
              <w:rPr>
                <w:spacing w:val="-10"/>
                <w:sz w:val="20"/>
              </w:rPr>
              <w:t> </w:t>
            </w:r>
            <w:r>
              <w:rPr>
                <w:sz w:val="20"/>
              </w:rPr>
              <w:t>ARDS</w:t>
            </w:r>
            <w:r>
              <w:rPr>
                <w:spacing w:val="-10"/>
                <w:sz w:val="20"/>
              </w:rPr>
              <w:t> </w:t>
            </w:r>
            <w:r>
              <w:rPr>
                <w:sz w:val="20"/>
              </w:rPr>
              <w:t>Brunca</w:t>
            </w:r>
          </w:p>
        </w:tc>
        <w:tc>
          <w:tcPr>
            <w:tcW w:w="1133" w:type="dxa"/>
          </w:tcPr>
          <w:p>
            <w:pPr>
              <w:pStyle w:val="TableParagraph"/>
              <w:rPr>
                <w:b/>
                <w:sz w:val="20"/>
              </w:rPr>
            </w:pPr>
          </w:p>
          <w:p>
            <w:pPr>
              <w:pStyle w:val="TableParagraph"/>
              <w:spacing w:before="228"/>
              <w:rPr>
                <w:b/>
                <w:sz w:val="20"/>
              </w:rPr>
            </w:pPr>
          </w:p>
          <w:p>
            <w:pPr>
              <w:pStyle w:val="TableParagraph"/>
              <w:ind w:left="5"/>
              <w:jc w:val="center"/>
              <w:rPr>
                <w:sz w:val="20"/>
              </w:rPr>
            </w:pPr>
            <w:r>
              <w:rPr>
                <w:spacing w:val="-5"/>
                <w:sz w:val="20"/>
              </w:rPr>
              <w:t>N/A</w:t>
            </w:r>
          </w:p>
        </w:tc>
        <w:tc>
          <w:tcPr>
            <w:tcW w:w="1422" w:type="dxa"/>
          </w:tcPr>
          <w:p>
            <w:pPr>
              <w:pStyle w:val="TableParagraph"/>
              <w:rPr>
                <w:b/>
                <w:sz w:val="20"/>
              </w:rPr>
            </w:pPr>
          </w:p>
          <w:p>
            <w:pPr>
              <w:pStyle w:val="TableParagraph"/>
              <w:spacing w:before="228"/>
              <w:rPr>
                <w:b/>
                <w:sz w:val="20"/>
              </w:rPr>
            </w:pPr>
          </w:p>
          <w:p>
            <w:pPr>
              <w:pStyle w:val="TableParagraph"/>
              <w:ind w:left="8" w:right="5"/>
              <w:jc w:val="center"/>
              <w:rPr>
                <w:sz w:val="20"/>
              </w:rPr>
            </w:pPr>
            <w:r>
              <w:rPr>
                <w:spacing w:val="-4"/>
                <w:sz w:val="20"/>
              </w:rPr>
              <w:t>100%</w:t>
            </w:r>
          </w:p>
        </w:tc>
        <w:tc>
          <w:tcPr>
            <w:tcW w:w="1558" w:type="dxa"/>
          </w:tcPr>
          <w:p>
            <w:pPr>
              <w:pStyle w:val="TableParagraph"/>
              <w:ind w:left="68" w:right="161"/>
              <w:rPr>
                <w:sz w:val="20"/>
              </w:rPr>
            </w:pPr>
            <w:r>
              <w:rPr>
                <w:sz w:val="20"/>
              </w:rPr>
              <w:t>Porcentaje de </w:t>
            </w:r>
            <w:r>
              <w:rPr>
                <w:spacing w:val="-2"/>
                <w:sz w:val="20"/>
              </w:rPr>
              <w:t>presupuesto programado </w:t>
            </w:r>
            <w:r>
              <w:rPr>
                <w:sz w:val="20"/>
              </w:rPr>
              <w:t>que</w:t>
            </w:r>
            <w:r>
              <w:rPr>
                <w:spacing w:val="-14"/>
                <w:sz w:val="20"/>
              </w:rPr>
              <w:t> </w:t>
            </w:r>
            <w:r>
              <w:rPr>
                <w:sz w:val="20"/>
              </w:rPr>
              <w:t>se</w:t>
            </w:r>
            <w:r>
              <w:rPr>
                <w:spacing w:val="-14"/>
                <w:sz w:val="20"/>
              </w:rPr>
              <w:t> </w:t>
            </w:r>
            <w:r>
              <w:rPr>
                <w:sz w:val="20"/>
              </w:rPr>
              <w:t>invierte en la </w:t>
            </w:r>
            <w:r>
              <w:rPr>
                <w:spacing w:val="-2"/>
                <w:sz w:val="20"/>
              </w:rPr>
              <w:t>construcción</w:t>
            </w:r>
          </w:p>
          <w:p>
            <w:pPr>
              <w:pStyle w:val="TableParagraph"/>
              <w:spacing w:line="211" w:lineRule="exact"/>
              <w:ind w:left="68"/>
              <w:rPr>
                <w:sz w:val="20"/>
              </w:rPr>
            </w:pPr>
            <w:r>
              <w:rPr>
                <w:sz w:val="20"/>
              </w:rPr>
              <w:t>del</w:t>
            </w:r>
            <w:r>
              <w:rPr>
                <w:spacing w:val="-8"/>
                <w:sz w:val="20"/>
              </w:rPr>
              <w:t> </w:t>
            </w:r>
            <w:r>
              <w:rPr>
                <w:sz w:val="20"/>
              </w:rPr>
              <w:t>edificio</w:t>
            </w:r>
            <w:r>
              <w:rPr>
                <w:spacing w:val="-7"/>
                <w:sz w:val="20"/>
              </w:rPr>
              <w:t> </w:t>
            </w:r>
            <w:r>
              <w:rPr>
                <w:spacing w:val="-5"/>
                <w:sz w:val="20"/>
              </w:rPr>
              <w:t>de</w:t>
            </w:r>
          </w:p>
        </w:tc>
        <w:tc>
          <w:tcPr>
            <w:tcW w:w="1419" w:type="dxa"/>
          </w:tcPr>
          <w:p>
            <w:pPr>
              <w:pStyle w:val="TableParagraph"/>
              <w:spacing w:before="115"/>
              <w:rPr>
                <w:b/>
                <w:sz w:val="20"/>
              </w:rPr>
            </w:pPr>
          </w:p>
          <w:p>
            <w:pPr>
              <w:pStyle w:val="TableParagraph"/>
              <w:ind w:left="68" w:right="78"/>
              <w:rPr>
                <w:sz w:val="20"/>
              </w:rPr>
            </w:pPr>
            <w:r>
              <w:rPr>
                <w:spacing w:val="-2"/>
                <w:sz w:val="20"/>
              </w:rPr>
              <w:t>Registros </w:t>
            </w:r>
            <w:r>
              <w:rPr>
                <w:sz w:val="20"/>
              </w:rPr>
              <w:t>efectuados</w:t>
            </w:r>
            <w:r>
              <w:rPr>
                <w:spacing w:val="-14"/>
                <w:sz w:val="20"/>
              </w:rPr>
              <w:t> </w:t>
            </w:r>
            <w:r>
              <w:rPr>
                <w:sz w:val="20"/>
              </w:rPr>
              <w:t>en sistema de </w:t>
            </w:r>
            <w:r>
              <w:rPr>
                <w:spacing w:val="-2"/>
                <w:sz w:val="20"/>
              </w:rPr>
              <w:t>pagos</w:t>
            </w:r>
          </w:p>
        </w:tc>
        <w:tc>
          <w:tcPr>
            <w:tcW w:w="1416" w:type="dxa"/>
          </w:tcPr>
          <w:p>
            <w:pPr>
              <w:pStyle w:val="TableParagraph"/>
              <w:rPr>
                <w:b/>
                <w:sz w:val="20"/>
              </w:rPr>
            </w:pPr>
          </w:p>
          <w:p>
            <w:pPr>
              <w:pStyle w:val="TableParagraph"/>
              <w:rPr>
                <w:b/>
                <w:sz w:val="20"/>
              </w:rPr>
            </w:pPr>
          </w:p>
          <w:p>
            <w:pPr>
              <w:pStyle w:val="TableParagraph"/>
              <w:ind w:left="396" w:right="387" w:hanging="2"/>
              <w:jc w:val="center"/>
              <w:rPr>
                <w:sz w:val="20"/>
              </w:rPr>
            </w:pPr>
            <w:r>
              <w:rPr>
                <w:spacing w:val="-4"/>
                <w:sz w:val="20"/>
              </w:rPr>
              <w:t>DDS </w:t>
            </w:r>
            <w:r>
              <w:rPr>
                <w:spacing w:val="-2"/>
                <w:sz w:val="20"/>
              </w:rPr>
              <w:t>(ARDS</w:t>
            </w:r>
          </w:p>
          <w:p>
            <w:pPr>
              <w:pStyle w:val="TableParagraph"/>
              <w:spacing w:line="229" w:lineRule="exact"/>
              <w:ind w:left="43" w:right="40"/>
              <w:jc w:val="center"/>
              <w:rPr>
                <w:sz w:val="20"/>
              </w:rPr>
            </w:pPr>
            <w:r>
              <w:rPr>
                <w:spacing w:val="-2"/>
                <w:sz w:val="20"/>
              </w:rPr>
              <w:t>Brunca)</w:t>
            </w:r>
          </w:p>
        </w:tc>
        <w:tc>
          <w:tcPr>
            <w:tcW w:w="1839" w:type="dxa"/>
          </w:tcPr>
          <w:p>
            <w:pPr>
              <w:pStyle w:val="TableParagraph"/>
              <w:rPr>
                <w:b/>
                <w:sz w:val="20"/>
              </w:rPr>
            </w:pPr>
          </w:p>
          <w:p>
            <w:pPr>
              <w:pStyle w:val="TableParagraph"/>
              <w:spacing w:before="228"/>
              <w:rPr>
                <w:b/>
                <w:sz w:val="20"/>
              </w:rPr>
            </w:pPr>
          </w:p>
          <w:p>
            <w:pPr>
              <w:pStyle w:val="TableParagraph"/>
              <w:ind w:right="59"/>
              <w:jc w:val="right"/>
              <w:rPr>
                <w:sz w:val="20"/>
              </w:rPr>
            </w:pPr>
            <w:r>
              <w:rPr>
                <w:sz w:val="20"/>
              </w:rPr>
              <w:t>₡</w:t>
            </w:r>
            <w:r>
              <w:rPr>
                <w:spacing w:val="-4"/>
                <w:sz w:val="20"/>
              </w:rPr>
              <w:t> </w:t>
            </w:r>
            <w:r>
              <w:rPr>
                <w:sz w:val="20"/>
              </w:rPr>
              <w:t>725</w:t>
            </w:r>
            <w:r>
              <w:rPr>
                <w:spacing w:val="-4"/>
                <w:sz w:val="20"/>
              </w:rPr>
              <w:t> </w:t>
            </w:r>
            <w:r>
              <w:rPr>
                <w:sz w:val="20"/>
              </w:rPr>
              <w:t>000</w:t>
            </w:r>
            <w:r>
              <w:rPr>
                <w:spacing w:val="-4"/>
                <w:sz w:val="20"/>
              </w:rPr>
              <w:t> </w:t>
            </w:r>
            <w:r>
              <w:rPr>
                <w:spacing w:val="-5"/>
                <w:sz w:val="20"/>
              </w:rPr>
              <w:t>000</w:t>
            </w:r>
          </w:p>
        </w:tc>
        <w:tc>
          <w:tcPr>
            <w:tcW w:w="2418"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1133"/>
        <w:gridCol w:w="1422"/>
        <w:gridCol w:w="1558"/>
        <w:gridCol w:w="1419"/>
        <w:gridCol w:w="1416"/>
        <w:gridCol w:w="1840"/>
        <w:gridCol w:w="2418"/>
      </w:tblGrid>
      <w:tr>
        <w:trPr>
          <w:trHeight w:val="962" w:hRule="atLeast"/>
        </w:trPr>
        <w:tc>
          <w:tcPr>
            <w:tcW w:w="2835" w:type="dxa"/>
            <w:shd w:val="clear" w:color="auto" w:fill="F1F1F1"/>
          </w:tcPr>
          <w:p>
            <w:pPr>
              <w:pStyle w:val="TableParagraph"/>
              <w:spacing w:before="134"/>
              <w:rPr>
                <w:b/>
                <w:sz w:val="20"/>
              </w:rPr>
            </w:pPr>
          </w:p>
          <w:p>
            <w:pPr>
              <w:pStyle w:val="TableParagraph"/>
              <w:ind w:left="338"/>
              <w:rPr>
                <w:b/>
                <w:sz w:val="20"/>
              </w:rPr>
            </w:pPr>
            <w:r>
              <w:rPr>
                <w:b/>
                <w:sz w:val="20"/>
              </w:rPr>
              <w:t>Objetivos</w:t>
            </w:r>
            <w:r>
              <w:rPr>
                <w:b/>
                <w:spacing w:val="-9"/>
                <w:sz w:val="20"/>
              </w:rPr>
              <w:t> </w:t>
            </w:r>
            <w:r>
              <w:rPr>
                <w:b/>
                <w:sz w:val="20"/>
              </w:rPr>
              <w:t>/</w:t>
            </w:r>
            <w:r>
              <w:rPr>
                <w:b/>
                <w:spacing w:val="-9"/>
                <w:sz w:val="20"/>
              </w:rPr>
              <w:t> </w:t>
            </w:r>
            <w:r>
              <w:rPr>
                <w:b/>
                <w:spacing w:val="-2"/>
                <w:sz w:val="20"/>
              </w:rPr>
              <w:t>Resultados</w:t>
            </w:r>
          </w:p>
        </w:tc>
        <w:tc>
          <w:tcPr>
            <w:tcW w:w="1133" w:type="dxa"/>
            <w:shd w:val="clear" w:color="auto" w:fill="F1F1F1"/>
          </w:tcPr>
          <w:p>
            <w:pPr>
              <w:pStyle w:val="TableParagraph"/>
              <w:ind w:left="275" w:right="270" w:firstLine="28"/>
              <w:jc w:val="both"/>
              <w:rPr>
                <w:b/>
                <w:sz w:val="20"/>
              </w:rPr>
            </w:pPr>
            <w:r>
              <w:rPr>
                <w:b/>
                <w:spacing w:val="-4"/>
                <w:sz w:val="20"/>
              </w:rPr>
              <w:t>Línea Base </w:t>
            </w:r>
            <w:r>
              <w:rPr>
                <w:b/>
                <w:spacing w:val="-2"/>
                <w:sz w:val="20"/>
              </w:rPr>
              <w:t>(2025)</w:t>
            </w:r>
          </w:p>
        </w:tc>
        <w:tc>
          <w:tcPr>
            <w:tcW w:w="1422" w:type="dxa"/>
            <w:shd w:val="clear" w:color="auto" w:fill="F1F1F1"/>
          </w:tcPr>
          <w:p>
            <w:pPr>
              <w:pStyle w:val="TableParagraph"/>
              <w:spacing w:before="134"/>
              <w:ind w:left="131" w:right="124" w:firstLine="1"/>
              <w:jc w:val="center"/>
              <w:rPr>
                <w:b/>
                <w:sz w:val="20"/>
              </w:rPr>
            </w:pPr>
            <w:r>
              <w:rPr>
                <w:b/>
                <w:spacing w:val="-4"/>
                <w:sz w:val="20"/>
              </w:rPr>
              <w:t>Meta </w:t>
            </w:r>
            <w:r>
              <w:rPr>
                <w:b/>
                <w:spacing w:val="-2"/>
                <w:sz w:val="20"/>
              </w:rPr>
              <w:t>programada </w:t>
            </w:r>
            <w:r>
              <w:rPr>
                <w:b/>
                <w:spacing w:val="-4"/>
                <w:sz w:val="20"/>
              </w:rPr>
              <w:t>2027</w:t>
            </w:r>
          </w:p>
        </w:tc>
        <w:tc>
          <w:tcPr>
            <w:tcW w:w="1558" w:type="dxa"/>
            <w:shd w:val="clear" w:color="auto" w:fill="F1F1F1"/>
          </w:tcPr>
          <w:p>
            <w:pPr>
              <w:pStyle w:val="TableParagraph"/>
              <w:spacing w:before="134"/>
              <w:rPr>
                <w:b/>
                <w:sz w:val="20"/>
              </w:rPr>
            </w:pPr>
          </w:p>
          <w:p>
            <w:pPr>
              <w:pStyle w:val="TableParagraph"/>
              <w:ind w:left="327"/>
              <w:rPr>
                <w:b/>
                <w:sz w:val="20"/>
              </w:rPr>
            </w:pPr>
            <w:r>
              <w:rPr>
                <w:b/>
                <w:spacing w:val="-2"/>
                <w:sz w:val="20"/>
              </w:rPr>
              <w:t>Indicador</w:t>
            </w:r>
          </w:p>
        </w:tc>
        <w:tc>
          <w:tcPr>
            <w:tcW w:w="1419" w:type="dxa"/>
            <w:shd w:val="clear" w:color="auto" w:fill="F1F1F1"/>
          </w:tcPr>
          <w:p>
            <w:pPr>
              <w:pStyle w:val="TableParagraph"/>
              <w:spacing w:before="19"/>
              <w:rPr>
                <w:b/>
                <w:sz w:val="20"/>
              </w:rPr>
            </w:pPr>
          </w:p>
          <w:p>
            <w:pPr>
              <w:pStyle w:val="TableParagraph"/>
              <w:ind w:left="149" w:right="102" w:firstLine="67"/>
              <w:rPr>
                <w:b/>
                <w:sz w:val="20"/>
              </w:rPr>
            </w:pPr>
            <w:r>
              <w:rPr>
                <w:b/>
                <w:sz w:val="20"/>
              </w:rPr>
              <w:t>Medios de </w:t>
            </w:r>
            <w:r>
              <w:rPr>
                <w:b/>
                <w:spacing w:val="-2"/>
                <w:sz w:val="20"/>
              </w:rPr>
              <w:t>verificación</w:t>
            </w:r>
          </w:p>
        </w:tc>
        <w:tc>
          <w:tcPr>
            <w:tcW w:w="1416" w:type="dxa"/>
            <w:shd w:val="clear" w:color="auto" w:fill="F1F1F1"/>
          </w:tcPr>
          <w:p>
            <w:pPr>
              <w:pStyle w:val="TableParagraph"/>
              <w:spacing w:before="134"/>
              <w:rPr>
                <w:b/>
                <w:sz w:val="20"/>
              </w:rPr>
            </w:pPr>
          </w:p>
          <w:p>
            <w:pPr>
              <w:pStyle w:val="TableParagraph"/>
              <w:ind w:left="43" w:right="42"/>
              <w:jc w:val="center"/>
              <w:rPr>
                <w:b/>
                <w:sz w:val="20"/>
              </w:rPr>
            </w:pPr>
            <w:r>
              <w:rPr>
                <w:b/>
                <w:spacing w:val="-2"/>
                <w:sz w:val="20"/>
              </w:rPr>
              <w:t>Responsable</w:t>
            </w:r>
          </w:p>
        </w:tc>
        <w:tc>
          <w:tcPr>
            <w:tcW w:w="1840" w:type="dxa"/>
            <w:shd w:val="clear" w:color="auto" w:fill="F1F1F1"/>
          </w:tcPr>
          <w:p>
            <w:pPr>
              <w:pStyle w:val="TableParagraph"/>
              <w:spacing w:before="19"/>
              <w:rPr>
                <w:b/>
                <w:sz w:val="20"/>
              </w:rPr>
            </w:pPr>
          </w:p>
          <w:p>
            <w:pPr>
              <w:pStyle w:val="TableParagraph"/>
              <w:ind w:left="480" w:hanging="140"/>
              <w:rPr>
                <w:b/>
                <w:sz w:val="20"/>
              </w:rPr>
            </w:pPr>
            <w:r>
              <w:rPr>
                <w:b/>
                <w:spacing w:val="-2"/>
                <w:sz w:val="20"/>
              </w:rPr>
              <w:t>Presupuesto asignado</w:t>
            </w:r>
          </w:p>
        </w:tc>
        <w:tc>
          <w:tcPr>
            <w:tcW w:w="2418" w:type="dxa"/>
            <w:tcBorders>
              <w:bottom w:val="nil"/>
            </w:tcBorders>
            <w:shd w:val="clear" w:color="auto" w:fill="F1F1F1"/>
          </w:tcPr>
          <w:p>
            <w:pPr>
              <w:pStyle w:val="TableParagraph"/>
              <w:spacing w:before="19"/>
              <w:rPr>
                <w:b/>
                <w:sz w:val="20"/>
              </w:rPr>
            </w:pPr>
          </w:p>
          <w:p>
            <w:pPr>
              <w:pStyle w:val="TableParagraph"/>
              <w:ind w:left="558" w:hanging="368"/>
              <w:rPr>
                <w:b/>
                <w:sz w:val="20"/>
              </w:rPr>
            </w:pPr>
            <w:r>
              <w:rPr>
                <w:b/>
                <w:sz w:val="20"/>
              </w:rPr>
              <w:t>Riesgos</w:t>
            </w:r>
            <w:r>
              <w:rPr>
                <w:b/>
                <w:spacing w:val="-14"/>
                <w:sz w:val="20"/>
              </w:rPr>
              <w:t> </w:t>
            </w:r>
            <w:r>
              <w:rPr>
                <w:b/>
                <w:sz w:val="20"/>
              </w:rPr>
              <w:t>asociados</w:t>
            </w:r>
            <w:r>
              <w:rPr>
                <w:b/>
                <w:spacing w:val="-14"/>
                <w:sz w:val="20"/>
              </w:rPr>
              <w:t> </w:t>
            </w:r>
            <w:r>
              <w:rPr>
                <w:b/>
                <w:sz w:val="20"/>
              </w:rPr>
              <w:t>al </w:t>
            </w:r>
            <w:r>
              <w:rPr>
                <w:b/>
                <w:spacing w:val="-2"/>
                <w:sz w:val="20"/>
              </w:rPr>
              <w:t>cumplimiento</w:t>
            </w:r>
          </w:p>
        </w:tc>
      </w:tr>
      <w:tr>
        <w:trPr>
          <w:trHeight w:val="1190" w:hRule="atLeast"/>
        </w:trPr>
        <w:tc>
          <w:tcPr>
            <w:tcW w:w="2835" w:type="dxa"/>
          </w:tcPr>
          <w:p>
            <w:pPr>
              <w:pStyle w:val="TableParagraph"/>
              <w:rPr>
                <w:rFonts w:ascii="Times New Roman"/>
                <w:sz w:val="20"/>
              </w:rPr>
            </w:pPr>
          </w:p>
        </w:tc>
        <w:tc>
          <w:tcPr>
            <w:tcW w:w="1133" w:type="dxa"/>
          </w:tcPr>
          <w:p>
            <w:pPr>
              <w:pStyle w:val="TableParagraph"/>
              <w:rPr>
                <w:rFonts w:ascii="Times New Roman"/>
                <w:sz w:val="20"/>
              </w:rPr>
            </w:pPr>
          </w:p>
        </w:tc>
        <w:tc>
          <w:tcPr>
            <w:tcW w:w="1422" w:type="dxa"/>
          </w:tcPr>
          <w:p>
            <w:pPr>
              <w:pStyle w:val="TableParagraph"/>
              <w:rPr>
                <w:rFonts w:ascii="Times New Roman"/>
                <w:sz w:val="20"/>
              </w:rPr>
            </w:pPr>
          </w:p>
        </w:tc>
        <w:tc>
          <w:tcPr>
            <w:tcW w:w="1558" w:type="dxa"/>
          </w:tcPr>
          <w:p>
            <w:pPr>
              <w:pStyle w:val="TableParagraph"/>
              <w:spacing w:line="217" w:lineRule="exact"/>
              <w:ind w:left="68"/>
              <w:rPr>
                <w:sz w:val="20"/>
              </w:rPr>
            </w:pPr>
            <w:r>
              <w:rPr>
                <w:sz w:val="20"/>
              </w:rPr>
              <w:t>la</w:t>
            </w:r>
            <w:r>
              <w:rPr>
                <w:spacing w:val="-3"/>
                <w:sz w:val="20"/>
              </w:rPr>
              <w:t> </w:t>
            </w:r>
            <w:r>
              <w:rPr>
                <w:spacing w:val="-4"/>
                <w:sz w:val="20"/>
              </w:rPr>
              <w:t>ARDS</w:t>
            </w:r>
          </w:p>
          <w:p>
            <w:pPr>
              <w:pStyle w:val="TableParagraph"/>
              <w:ind w:left="68"/>
              <w:rPr>
                <w:sz w:val="20"/>
              </w:rPr>
            </w:pPr>
            <w:r>
              <w:rPr>
                <w:spacing w:val="-2"/>
                <w:sz w:val="20"/>
              </w:rPr>
              <w:t>Brunca.</w:t>
            </w:r>
          </w:p>
        </w:tc>
        <w:tc>
          <w:tcPr>
            <w:tcW w:w="1419" w:type="dxa"/>
          </w:tcPr>
          <w:p>
            <w:pPr>
              <w:pStyle w:val="TableParagraph"/>
              <w:rPr>
                <w:rFonts w:ascii="Times New Roman"/>
                <w:sz w:val="20"/>
              </w:rPr>
            </w:pPr>
          </w:p>
        </w:tc>
        <w:tc>
          <w:tcPr>
            <w:tcW w:w="1416" w:type="dxa"/>
          </w:tcPr>
          <w:p>
            <w:pPr>
              <w:pStyle w:val="TableParagraph"/>
              <w:rPr>
                <w:rFonts w:ascii="Times New Roman"/>
                <w:sz w:val="20"/>
              </w:rPr>
            </w:pPr>
          </w:p>
        </w:tc>
        <w:tc>
          <w:tcPr>
            <w:tcW w:w="1840" w:type="dxa"/>
          </w:tcPr>
          <w:p>
            <w:pPr>
              <w:pStyle w:val="TableParagraph"/>
              <w:rPr>
                <w:rFonts w:ascii="Times New Roman"/>
                <w:sz w:val="20"/>
              </w:rPr>
            </w:pPr>
          </w:p>
        </w:tc>
        <w:tc>
          <w:tcPr>
            <w:tcW w:w="2418" w:type="dxa"/>
            <w:vMerge w:val="restart"/>
            <w:tcBorders>
              <w:top w:val="nil"/>
            </w:tcBorders>
          </w:tcPr>
          <w:p>
            <w:pPr>
              <w:pStyle w:val="TableParagraph"/>
              <w:rPr>
                <w:rFonts w:ascii="Times New Roman"/>
                <w:sz w:val="20"/>
              </w:rPr>
            </w:pPr>
          </w:p>
        </w:tc>
      </w:tr>
      <w:tr>
        <w:trPr>
          <w:trHeight w:val="1838" w:hRule="atLeast"/>
        </w:trPr>
        <w:tc>
          <w:tcPr>
            <w:tcW w:w="2835" w:type="dxa"/>
          </w:tcPr>
          <w:p>
            <w:pPr>
              <w:pStyle w:val="TableParagraph"/>
              <w:spacing w:before="113"/>
              <w:ind w:left="69" w:right="252"/>
              <w:rPr>
                <w:sz w:val="20"/>
              </w:rPr>
            </w:pPr>
            <w:r>
              <w:rPr>
                <w:b/>
                <w:sz w:val="20"/>
              </w:rPr>
              <w:t>Actividad PPPS 1.3.8: </w:t>
            </w:r>
            <w:r>
              <w:rPr>
                <w:sz w:val="20"/>
              </w:rPr>
              <w:t>Gestionar las compras de equipo del Programa de Protección y Promoción Social programadas en el Plan</w:t>
            </w:r>
            <w:r>
              <w:rPr>
                <w:spacing w:val="-11"/>
                <w:sz w:val="20"/>
              </w:rPr>
              <w:t> </w:t>
            </w:r>
            <w:r>
              <w:rPr>
                <w:sz w:val="20"/>
              </w:rPr>
              <w:t>de</w:t>
            </w:r>
            <w:r>
              <w:rPr>
                <w:spacing w:val="-11"/>
                <w:sz w:val="20"/>
              </w:rPr>
              <w:t> </w:t>
            </w:r>
            <w:r>
              <w:rPr>
                <w:sz w:val="20"/>
              </w:rPr>
              <w:t>Compras</w:t>
            </w:r>
            <w:r>
              <w:rPr>
                <w:spacing w:val="-10"/>
                <w:sz w:val="20"/>
              </w:rPr>
              <w:t> </w:t>
            </w:r>
            <w:r>
              <w:rPr>
                <w:sz w:val="20"/>
              </w:rPr>
              <w:t>por</w:t>
            </w:r>
            <w:r>
              <w:rPr>
                <w:spacing w:val="-11"/>
                <w:sz w:val="20"/>
              </w:rPr>
              <w:t> </w:t>
            </w:r>
            <w:r>
              <w:rPr>
                <w:sz w:val="20"/>
              </w:rPr>
              <w:t>parte del PPPS.</w:t>
            </w:r>
          </w:p>
        </w:tc>
        <w:tc>
          <w:tcPr>
            <w:tcW w:w="1133" w:type="dxa"/>
          </w:tcPr>
          <w:p>
            <w:pPr>
              <w:pStyle w:val="TableParagraph"/>
              <w:rPr>
                <w:b/>
                <w:sz w:val="20"/>
              </w:rPr>
            </w:pPr>
          </w:p>
          <w:p>
            <w:pPr>
              <w:pStyle w:val="TableParagraph"/>
              <w:rPr>
                <w:b/>
                <w:sz w:val="20"/>
              </w:rPr>
            </w:pPr>
          </w:p>
          <w:p>
            <w:pPr>
              <w:pStyle w:val="TableParagraph"/>
              <w:spacing w:before="114"/>
              <w:rPr>
                <w:b/>
                <w:sz w:val="20"/>
              </w:rPr>
            </w:pPr>
          </w:p>
          <w:p>
            <w:pPr>
              <w:pStyle w:val="TableParagraph"/>
              <w:ind w:left="5"/>
              <w:jc w:val="center"/>
              <w:rPr>
                <w:sz w:val="20"/>
              </w:rPr>
            </w:pPr>
            <w:r>
              <w:rPr>
                <w:spacing w:val="-5"/>
                <w:sz w:val="20"/>
              </w:rPr>
              <w:t>N/A</w:t>
            </w:r>
          </w:p>
        </w:tc>
        <w:tc>
          <w:tcPr>
            <w:tcW w:w="1422" w:type="dxa"/>
          </w:tcPr>
          <w:p>
            <w:pPr>
              <w:pStyle w:val="TableParagraph"/>
              <w:rPr>
                <w:b/>
                <w:sz w:val="20"/>
              </w:rPr>
            </w:pPr>
          </w:p>
          <w:p>
            <w:pPr>
              <w:pStyle w:val="TableParagraph"/>
              <w:rPr>
                <w:b/>
                <w:sz w:val="20"/>
              </w:rPr>
            </w:pPr>
          </w:p>
          <w:p>
            <w:pPr>
              <w:pStyle w:val="TableParagraph"/>
              <w:spacing w:before="114"/>
              <w:rPr>
                <w:b/>
                <w:sz w:val="20"/>
              </w:rPr>
            </w:pPr>
          </w:p>
          <w:p>
            <w:pPr>
              <w:pStyle w:val="TableParagraph"/>
              <w:ind w:left="8" w:right="5"/>
              <w:jc w:val="center"/>
              <w:rPr>
                <w:sz w:val="20"/>
              </w:rPr>
            </w:pPr>
            <w:r>
              <w:rPr>
                <w:spacing w:val="-4"/>
                <w:sz w:val="20"/>
              </w:rPr>
              <w:t>100%</w:t>
            </w:r>
          </w:p>
        </w:tc>
        <w:tc>
          <w:tcPr>
            <w:tcW w:w="1558" w:type="dxa"/>
          </w:tcPr>
          <w:p>
            <w:pPr>
              <w:pStyle w:val="TableParagraph"/>
              <w:ind w:left="68" w:right="112"/>
              <w:rPr>
                <w:sz w:val="20"/>
              </w:rPr>
            </w:pPr>
            <w:r>
              <w:rPr>
                <w:sz w:val="20"/>
              </w:rPr>
              <w:t>Porcentaje de ejecución de las</w:t>
            </w:r>
            <w:r>
              <w:rPr>
                <w:spacing w:val="-14"/>
                <w:sz w:val="20"/>
              </w:rPr>
              <w:t> </w:t>
            </w:r>
            <w:r>
              <w:rPr>
                <w:sz w:val="20"/>
              </w:rPr>
              <w:t>compras</w:t>
            </w:r>
            <w:r>
              <w:rPr>
                <w:spacing w:val="-14"/>
                <w:sz w:val="20"/>
              </w:rPr>
              <w:t> </w:t>
            </w:r>
            <w:r>
              <w:rPr>
                <w:sz w:val="20"/>
              </w:rPr>
              <w:t>de </w:t>
            </w:r>
            <w:r>
              <w:rPr>
                <w:spacing w:val="-2"/>
                <w:sz w:val="20"/>
              </w:rPr>
              <w:t>equipo programadas </w:t>
            </w:r>
            <w:r>
              <w:rPr>
                <w:sz w:val="20"/>
              </w:rPr>
              <w:t>en el Plan de Compras</w:t>
            </w:r>
            <w:r>
              <w:rPr>
                <w:spacing w:val="-14"/>
                <w:sz w:val="20"/>
              </w:rPr>
              <w:t> </w:t>
            </w:r>
            <w:r>
              <w:rPr>
                <w:sz w:val="20"/>
              </w:rPr>
              <w:t>por</w:t>
            </w:r>
            <w:r>
              <w:rPr>
                <w:spacing w:val="-14"/>
                <w:sz w:val="20"/>
              </w:rPr>
              <w:t> </w:t>
            </w:r>
            <w:r>
              <w:rPr>
                <w:sz w:val="20"/>
              </w:rPr>
              <w:t>el</w:t>
            </w:r>
          </w:p>
          <w:p>
            <w:pPr>
              <w:pStyle w:val="TableParagraph"/>
              <w:spacing w:line="209" w:lineRule="exact"/>
              <w:ind w:left="68"/>
              <w:rPr>
                <w:sz w:val="20"/>
              </w:rPr>
            </w:pPr>
            <w:r>
              <w:rPr>
                <w:spacing w:val="-2"/>
                <w:sz w:val="20"/>
              </w:rPr>
              <w:t>PPPS.</w:t>
            </w:r>
          </w:p>
        </w:tc>
        <w:tc>
          <w:tcPr>
            <w:tcW w:w="1419" w:type="dxa"/>
          </w:tcPr>
          <w:p>
            <w:pPr>
              <w:pStyle w:val="TableParagraph"/>
              <w:spacing w:before="228"/>
              <w:rPr>
                <w:b/>
                <w:sz w:val="20"/>
              </w:rPr>
            </w:pPr>
          </w:p>
          <w:p>
            <w:pPr>
              <w:pStyle w:val="TableParagraph"/>
              <w:ind w:left="68" w:right="78"/>
              <w:rPr>
                <w:sz w:val="20"/>
              </w:rPr>
            </w:pPr>
            <w:r>
              <w:rPr>
                <w:spacing w:val="-2"/>
                <w:sz w:val="20"/>
              </w:rPr>
              <w:t>Registros </w:t>
            </w:r>
            <w:r>
              <w:rPr>
                <w:sz w:val="20"/>
              </w:rPr>
              <w:t>efectuados</w:t>
            </w:r>
            <w:r>
              <w:rPr>
                <w:spacing w:val="-14"/>
                <w:sz w:val="20"/>
              </w:rPr>
              <w:t> </w:t>
            </w:r>
            <w:r>
              <w:rPr>
                <w:sz w:val="20"/>
              </w:rPr>
              <w:t>en sistema de </w:t>
            </w:r>
            <w:r>
              <w:rPr>
                <w:spacing w:val="-2"/>
                <w:sz w:val="20"/>
              </w:rPr>
              <w:t>pagos</w:t>
            </w:r>
          </w:p>
        </w:tc>
        <w:tc>
          <w:tcPr>
            <w:tcW w:w="1416" w:type="dxa"/>
          </w:tcPr>
          <w:p>
            <w:pPr>
              <w:pStyle w:val="TableParagraph"/>
              <w:rPr>
                <w:b/>
                <w:sz w:val="20"/>
              </w:rPr>
            </w:pPr>
          </w:p>
          <w:p>
            <w:pPr>
              <w:pStyle w:val="TableParagraph"/>
              <w:rPr>
                <w:b/>
                <w:sz w:val="20"/>
              </w:rPr>
            </w:pPr>
          </w:p>
          <w:p>
            <w:pPr>
              <w:pStyle w:val="TableParagraph"/>
              <w:spacing w:before="114"/>
              <w:rPr>
                <w:b/>
                <w:sz w:val="20"/>
              </w:rPr>
            </w:pPr>
          </w:p>
          <w:p>
            <w:pPr>
              <w:pStyle w:val="TableParagraph"/>
              <w:ind w:left="43" w:right="41"/>
              <w:jc w:val="center"/>
              <w:rPr>
                <w:sz w:val="20"/>
              </w:rPr>
            </w:pPr>
            <w:r>
              <w:rPr>
                <w:spacing w:val="-2"/>
                <w:sz w:val="20"/>
              </w:rPr>
              <w:t>DDS/ARDS</w:t>
            </w:r>
          </w:p>
        </w:tc>
        <w:tc>
          <w:tcPr>
            <w:tcW w:w="1840" w:type="dxa"/>
          </w:tcPr>
          <w:p>
            <w:pPr>
              <w:pStyle w:val="TableParagraph"/>
              <w:rPr>
                <w:b/>
                <w:sz w:val="20"/>
              </w:rPr>
            </w:pPr>
          </w:p>
          <w:p>
            <w:pPr>
              <w:pStyle w:val="TableParagraph"/>
              <w:rPr>
                <w:b/>
                <w:sz w:val="20"/>
              </w:rPr>
            </w:pPr>
          </w:p>
          <w:p>
            <w:pPr>
              <w:pStyle w:val="TableParagraph"/>
              <w:spacing w:before="114"/>
              <w:rPr>
                <w:b/>
                <w:sz w:val="20"/>
              </w:rPr>
            </w:pPr>
          </w:p>
          <w:p>
            <w:pPr>
              <w:pStyle w:val="TableParagraph"/>
              <w:ind w:right="61"/>
              <w:jc w:val="right"/>
              <w:rPr>
                <w:sz w:val="20"/>
              </w:rPr>
            </w:pPr>
            <w:r>
              <w:rPr>
                <w:sz w:val="20"/>
              </w:rPr>
              <w:t>₡</w:t>
            </w:r>
            <w:r>
              <w:rPr>
                <w:spacing w:val="-4"/>
                <w:sz w:val="20"/>
              </w:rPr>
              <w:t> </w:t>
            </w:r>
            <w:r>
              <w:rPr>
                <w:sz w:val="20"/>
              </w:rPr>
              <w:t>1</w:t>
            </w:r>
            <w:r>
              <w:rPr>
                <w:spacing w:val="-4"/>
                <w:sz w:val="20"/>
              </w:rPr>
              <w:t> </w:t>
            </w:r>
            <w:r>
              <w:rPr>
                <w:sz w:val="20"/>
              </w:rPr>
              <w:t>156</w:t>
            </w:r>
            <w:r>
              <w:rPr>
                <w:spacing w:val="-3"/>
                <w:sz w:val="20"/>
              </w:rPr>
              <w:t> </w:t>
            </w:r>
            <w:r>
              <w:rPr>
                <w:sz w:val="20"/>
              </w:rPr>
              <w:t>381</w:t>
            </w:r>
            <w:r>
              <w:rPr>
                <w:spacing w:val="-2"/>
                <w:sz w:val="20"/>
              </w:rPr>
              <w:t> </w:t>
            </w:r>
            <w:r>
              <w:rPr>
                <w:spacing w:val="-5"/>
                <w:sz w:val="20"/>
              </w:rPr>
              <w:t>556</w:t>
            </w:r>
          </w:p>
        </w:tc>
        <w:tc>
          <w:tcPr>
            <w:tcW w:w="2418" w:type="dxa"/>
            <w:vMerge/>
            <w:tcBorders>
              <w:top w:val="nil"/>
            </w:tcBorders>
          </w:tcPr>
          <w:p>
            <w:pPr>
              <w:rPr>
                <w:sz w:val="2"/>
                <w:szCs w:val="2"/>
              </w:rPr>
            </w:pPr>
          </w:p>
        </w:tc>
      </w:tr>
      <w:tr>
        <w:trPr>
          <w:trHeight w:val="4371" w:hRule="atLeast"/>
        </w:trPr>
        <w:tc>
          <w:tcPr>
            <w:tcW w:w="2835" w:type="dxa"/>
          </w:tcPr>
          <w:p>
            <w:pPr>
              <w:pStyle w:val="TableParagraph"/>
              <w:ind w:left="69" w:right="252"/>
              <w:rPr>
                <w:sz w:val="20"/>
              </w:rPr>
            </w:pPr>
            <w:r>
              <w:rPr>
                <w:b/>
                <w:sz w:val="20"/>
              </w:rPr>
              <w:t>Actividad PPPS 1.3.9: </w:t>
            </w:r>
            <w:r>
              <w:rPr>
                <w:sz w:val="20"/>
              </w:rPr>
              <w:t>Pago de servicios de mantenimiento requeridos para</w:t>
            </w:r>
            <w:r>
              <w:rPr>
                <w:spacing w:val="-14"/>
                <w:sz w:val="20"/>
              </w:rPr>
              <w:t> </w:t>
            </w:r>
            <w:r>
              <w:rPr>
                <w:sz w:val="20"/>
              </w:rPr>
              <w:t>solventar</w:t>
            </w:r>
            <w:r>
              <w:rPr>
                <w:spacing w:val="-14"/>
                <w:sz w:val="20"/>
              </w:rPr>
              <w:t> </w:t>
            </w:r>
            <w:r>
              <w:rPr>
                <w:sz w:val="20"/>
              </w:rPr>
              <w:t>necesidades </w:t>
            </w:r>
            <w:r>
              <w:rPr>
                <w:spacing w:val="-2"/>
                <w:sz w:val="20"/>
              </w:rPr>
              <w:t>institucionales</w:t>
            </w:r>
            <w:r>
              <w:rPr>
                <w:spacing w:val="12"/>
                <w:sz w:val="20"/>
              </w:rPr>
              <w:t> </w:t>
            </w:r>
            <w:r>
              <w:rPr>
                <w:spacing w:val="-2"/>
                <w:sz w:val="20"/>
              </w:rPr>
              <w:t>(subpartidas</w:t>
            </w:r>
          </w:p>
          <w:p>
            <w:pPr>
              <w:pStyle w:val="TableParagraph"/>
              <w:ind w:left="69" w:right="107"/>
              <w:rPr>
                <w:sz w:val="20"/>
              </w:rPr>
            </w:pPr>
            <w:r>
              <w:rPr>
                <w:sz w:val="20"/>
              </w:rPr>
              <w:t>1.08.01 Mantenimiento de edificios,</w:t>
            </w:r>
            <w:r>
              <w:rPr>
                <w:spacing w:val="-13"/>
                <w:sz w:val="20"/>
              </w:rPr>
              <w:t> </w:t>
            </w:r>
            <w:r>
              <w:rPr>
                <w:sz w:val="20"/>
              </w:rPr>
              <w:t>locales</w:t>
            </w:r>
            <w:r>
              <w:rPr>
                <w:spacing w:val="-14"/>
                <w:sz w:val="20"/>
              </w:rPr>
              <w:t> </w:t>
            </w:r>
            <w:r>
              <w:rPr>
                <w:sz w:val="20"/>
              </w:rPr>
              <w:t>y</w:t>
            </w:r>
            <w:r>
              <w:rPr>
                <w:spacing w:val="-14"/>
                <w:sz w:val="20"/>
              </w:rPr>
              <w:t> </w:t>
            </w:r>
            <w:r>
              <w:rPr>
                <w:sz w:val="20"/>
              </w:rPr>
              <w:t>terrenos, subpartida 1.08.03 Mantenimiento de Instalaciones</w:t>
            </w:r>
            <w:r>
              <w:rPr>
                <w:spacing w:val="-6"/>
                <w:sz w:val="20"/>
              </w:rPr>
              <w:t> </w:t>
            </w:r>
            <w:r>
              <w:rPr>
                <w:sz w:val="20"/>
              </w:rPr>
              <w:t>y</w:t>
            </w:r>
            <w:r>
              <w:rPr>
                <w:spacing w:val="-6"/>
                <w:sz w:val="20"/>
              </w:rPr>
              <w:t> </w:t>
            </w:r>
            <w:r>
              <w:rPr>
                <w:sz w:val="20"/>
              </w:rPr>
              <w:t>otras</w:t>
            </w:r>
            <w:r>
              <w:rPr>
                <w:spacing w:val="-6"/>
                <w:sz w:val="20"/>
              </w:rPr>
              <w:t> </w:t>
            </w:r>
            <w:r>
              <w:rPr>
                <w:sz w:val="20"/>
              </w:rPr>
              <w:t>obras,</w:t>
            </w:r>
          </w:p>
          <w:p>
            <w:pPr>
              <w:pStyle w:val="TableParagraph"/>
              <w:spacing w:before="1"/>
              <w:ind w:left="69" w:right="107"/>
              <w:rPr>
                <w:sz w:val="20"/>
              </w:rPr>
            </w:pPr>
            <w:r>
              <w:rPr>
                <w:sz w:val="20"/>
              </w:rPr>
              <w:t>1.08.04 Mantenimiento y reparación de maquinaria y equipo producción. 1.08.06 Mantenimiento</w:t>
            </w:r>
            <w:r>
              <w:rPr>
                <w:spacing w:val="-14"/>
                <w:sz w:val="20"/>
              </w:rPr>
              <w:t> </w:t>
            </w:r>
            <w:r>
              <w:rPr>
                <w:sz w:val="20"/>
              </w:rPr>
              <w:t>de</w:t>
            </w:r>
            <w:r>
              <w:rPr>
                <w:spacing w:val="-13"/>
                <w:sz w:val="20"/>
              </w:rPr>
              <w:t> </w:t>
            </w:r>
            <w:r>
              <w:rPr>
                <w:sz w:val="20"/>
              </w:rPr>
              <w:t>equipo</w:t>
            </w:r>
            <w:r>
              <w:rPr>
                <w:spacing w:val="-14"/>
                <w:sz w:val="20"/>
              </w:rPr>
              <w:t> </w:t>
            </w:r>
            <w:r>
              <w:rPr>
                <w:sz w:val="20"/>
              </w:rPr>
              <w:t>de comunicación. 1.08.07 Mantenimiento y reparación de equipo y mobiliario de oficina. 1.08.08</w:t>
            </w:r>
          </w:p>
          <w:p>
            <w:pPr>
              <w:pStyle w:val="TableParagraph"/>
              <w:spacing w:line="210" w:lineRule="exact"/>
              <w:ind w:left="69"/>
              <w:rPr>
                <w:sz w:val="20"/>
              </w:rPr>
            </w:pPr>
            <w:r>
              <w:rPr>
                <w:sz w:val="20"/>
              </w:rPr>
              <w:t>Mantenimiento</w:t>
            </w:r>
            <w:r>
              <w:rPr>
                <w:spacing w:val="-10"/>
                <w:sz w:val="20"/>
              </w:rPr>
              <w:t> </w:t>
            </w:r>
            <w:r>
              <w:rPr>
                <w:sz w:val="20"/>
              </w:rPr>
              <w:t>y</w:t>
            </w:r>
            <w:r>
              <w:rPr>
                <w:spacing w:val="-9"/>
                <w:sz w:val="20"/>
              </w:rPr>
              <w:t> </w:t>
            </w:r>
            <w:r>
              <w:rPr>
                <w:spacing w:val="-2"/>
                <w:sz w:val="20"/>
              </w:rPr>
              <w:t>reparación</w:t>
            </w:r>
          </w:p>
        </w:tc>
        <w:tc>
          <w:tcPr>
            <w:tcW w:w="1133"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
              <w:rPr>
                <w:b/>
                <w:sz w:val="20"/>
              </w:rPr>
            </w:pPr>
          </w:p>
          <w:p>
            <w:pPr>
              <w:pStyle w:val="TableParagraph"/>
              <w:ind w:left="5" w:right="2"/>
              <w:jc w:val="center"/>
              <w:rPr>
                <w:sz w:val="20"/>
              </w:rPr>
            </w:pPr>
            <w:r>
              <w:rPr>
                <w:spacing w:val="-2"/>
                <w:sz w:val="20"/>
              </w:rPr>
              <w:t>32,68%</w:t>
            </w:r>
          </w:p>
        </w:tc>
        <w:tc>
          <w:tcPr>
            <w:tcW w:w="1422"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
              <w:rPr>
                <w:b/>
                <w:sz w:val="20"/>
              </w:rPr>
            </w:pPr>
          </w:p>
          <w:p>
            <w:pPr>
              <w:pStyle w:val="TableParagraph"/>
              <w:ind w:left="8" w:right="5"/>
              <w:jc w:val="center"/>
              <w:rPr>
                <w:sz w:val="20"/>
              </w:rPr>
            </w:pPr>
            <w:r>
              <w:rPr>
                <w:spacing w:val="-4"/>
                <w:sz w:val="20"/>
              </w:rPr>
              <w:t>100%</w:t>
            </w:r>
          </w:p>
        </w:tc>
        <w:tc>
          <w:tcPr>
            <w:tcW w:w="1558"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p>
            <w:pPr>
              <w:pStyle w:val="TableParagraph"/>
              <w:spacing w:before="1"/>
              <w:ind w:left="68" w:right="112"/>
              <w:rPr>
                <w:sz w:val="20"/>
              </w:rPr>
            </w:pPr>
            <w:r>
              <w:rPr>
                <w:sz w:val="20"/>
              </w:rPr>
              <w:t>Porcentaje de </w:t>
            </w:r>
            <w:r>
              <w:rPr>
                <w:spacing w:val="-2"/>
                <w:sz w:val="20"/>
              </w:rPr>
              <w:t>presupuesto programado </w:t>
            </w:r>
            <w:r>
              <w:rPr>
                <w:sz w:val="20"/>
              </w:rPr>
              <w:t>que se invierte en el pago de servicios de </w:t>
            </w:r>
            <w:r>
              <w:rPr>
                <w:spacing w:val="-2"/>
                <w:sz w:val="20"/>
              </w:rPr>
              <w:t>mantenimiento.</w:t>
            </w:r>
          </w:p>
        </w:tc>
        <w:tc>
          <w:tcPr>
            <w:tcW w:w="1419"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5"/>
              <w:rPr>
                <w:b/>
                <w:sz w:val="20"/>
              </w:rPr>
            </w:pPr>
          </w:p>
          <w:p>
            <w:pPr>
              <w:pStyle w:val="TableParagraph"/>
              <w:ind w:left="68" w:right="78"/>
              <w:rPr>
                <w:sz w:val="20"/>
              </w:rPr>
            </w:pPr>
            <w:r>
              <w:rPr>
                <w:spacing w:val="-2"/>
                <w:sz w:val="20"/>
              </w:rPr>
              <w:t>Registros </w:t>
            </w:r>
            <w:r>
              <w:rPr>
                <w:sz w:val="20"/>
              </w:rPr>
              <w:t>efectuados</w:t>
            </w:r>
            <w:r>
              <w:rPr>
                <w:spacing w:val="-14"/>
                <w:sz w:val="20"/>
              </w:rPr>
              <w:t> </w:t>
            </w:r>
            <w:r>
              <w:rPr>
                <w:sz w:val="20"/>
              </w:rPr>
              <w:t>en sistema de </w:t>
            </w:r>
            <w:r>
              <w:rPr>
                <w:spacing w:val="-2"/>
                <w:sz w:val="20"/>
              </w:rPr>
              <w:t>pagos</w:t>
            </w:r>
          </w:p>
        </w:tc>
        <w:tc>
          <w:tcPr>
            <w:tcW w:w="1416"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
              <w:rPr>
                <w:b/>
                <w:sz w:val="20"/>
              </w:rPr>
            </w:pPr>
          </w:p>
          <w:p>
            <w:pPr>
              <w:pStyle w:val="TableParagraph"/>
              <w:ind w:left="43" w:right="41"/>
              <w:jc w:val="center"/>
              <w:rPr>
                <w:sz w:val="20"/>
              </w:rPr>
            </w:pPr>
            <w:r>
              <w:rPr>
                <w:spacing w:val="-2"/>
                <w:sz w:val="20"/>
              </w:rPr>
              <w:t>DDS/ARDS</w:t>
            </w:r>
          </w:p>
        </w:tc>
        <w:tc>
          <w:tcPr>
            <w:tcW w:w="1840"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
              <w:rPr>
                <w:b/>
                <w:sz w:val="20"/>
              </w:rPr>
            </w:pPr>
          </w:p>
          <w:p>
            <w:pPr>
              <w:pStyle w:val="TableParagraph"/>
              <w:ind w:right="61"/>
              <w:jc w:val="right"/>
              <w:rPr>
                <w:sz w:val="20"/>
              </w:rPr>
            </w:pPr>
            <w:r>
              <w:rPr>
                <w:sz w:val="20"/>
              </w:rPr>
              <w:t>₡</w:t>
            </w:r>
            <w:r>
              <w:rPr>
                <w:spacing w:val="-4"/>
                <w:sz w:val="20"/>
              </w:rPr>
              <w:t> </w:t>
            </w:r>
            <w:r>
              <w:rPr>
                <w:sz w:val="20"/>
              </w:rPr>
              <w:t>2</w:t>
            </w:r>
            <w:r>
              <w:rPr>
                <w:spacing w:val="-4"/>
                <w:sz w:val="20"/>
              </w:rPr>
              <w:t> </w:t>
            </w:r>
            <w:r>
              <w:rPr>
                <w:sz w:val="20"/>
              </w:rPr>
              <w:t>593</w:t>
            </w:r>
            <w:r>
              <w:rPr>
                <w:spacing w:val="-3"/>
                <w:sz w:val="20"/>
              </w:rPr>
              <w:t> </w:t>
            </w:r>
            <w:r>
              <w:rPr>
                <w:sz w:val="20"/>
              </w:rPr>
              <w:t>135</w:t>
            </w:r>
            <w:r>
              <w:rPr>
                <w:spacing w:val="-2"/>
                <w:sz w:val="20"/>
              </w:rPr>
              <w:t> </w:t>
            </w:r>
            <w:r>
              <w:rPr>
                <w:spacing w:val="-5"/>
                <w:sz w:val="20"/>
              </w:rPr>
              <w:t>402</w:t>
            </w:r>
          </w:p>
        </w:tc>
        <w:tc>
          <w:tcPr>
            <w:tcW w:w="2418"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1133"/>
        <w:gridCol w:w="1422"/>
        <w:gridCol w:w="1558"/>
        <w:gridCol w:w="1419"/>
        <w:gridCol w:w="1416"/>
        <w:gridCol w:w="1844"/>
        <w:gridCol w:w="2415"/>
      </w:tblGrid>
      <w:tr>
        <w:trPr>
          <w:trHeight w:val="962" w:hRule="atLeast"/>
        </w:trPr>
        <w:tc>
          <w:tcPr>
            <w:tcW w:w="2835" w:type="dxa"/>
            <w:shd w:val="clear" w:color="auto" w:fill="F1F1F1"/>
          </w:tcPr>
          <w:p>
            <w:pPr>
              <w:pStyle w:val="TableParagraph"/>
              <w:spacing w:before="134"/>
              <w:rPr>
                <w:b/>
                <w:sz w:val="20"/>
              </w:rPr>
            </w:pPr>
          </w:p>
          <w:p>
            <w:pPr>
              <w:pStyle w:val="TableParagraph"/>
              <w:ind w:left="338"/>
              <w:rPr>
                <w:b/>
                <w:sz w:val="20"/>
              </w:rPr>
            </w:pPr>
            <w:r>
              <w:rPr>
                <w:b/>
                <w:sz w:val="20"/>
              </w:rPr>
              <w:t>Objetivos</w:t>
            </w:r>
            <w:r>
              <w:rPr>
                <w:b/>
                <w:spacing w:val="-9"/>
                <w:sz w:val="20"/>
              </w:rPr>
              <w:t> </w:t>
            </w:r>
            <w:r>
              <w:rPr>
                <w:b/>
                <w:sz w:val="20"/>
              </w:rPr>
              <w:t>/</w:t>
            </w:r>
            <w:r>
              <w:rPr>
                <w:b/>
                <w:spacing w:val="-9"/>
                <w:sz w:val="20"/>
              </w:rPr>
              <w:t> </w:t>
            </w:r>
            <w:r>
              <w:rPr>
                <w:b/>
                <w:spacing w:val="-2"/>
                <w:sz w:val="20"/>
              </w:rPr>
              <w:t>Resultados</w:t>
            </w:r>
          </w:p>
        </w:tc>
        <w:tc>
          <w:tcPr>
            <w:tcW w:w="1133" w:type="dxa"/>
            <w:shd w:val="clear" w:color="auto" w:fill="F1F1F1"/>
          </w:tcPr>
          <w:p>
            <w:pPr>
              <w:pStyle w:val="TableParagraph"/>
              <w:ind w:left="275" w:right="270" w:firstLine="28"/>
              <w:jc w:val="both"/>
              <w:rPr>
                <w:b/>
                <w:sz w:val="20"/>
              </w:rPr>
            </w:pPr>
            <w:r>
              <w:rPr>
                <w:b/>
                <w:spacing w:val="-4"/>
                <w:sz w:val="20"/>
              </w:rPr>
              <w:t>Línea Base </w:t>
            </w:r>
            <w:r>
              <w:rPr>
                <w:b/>
                <w:spacing w:val="-2"/>
                <w:sz w:val="20"/>
              </w:rPr>
              <w:t>(2025)</w:t>
            </w:r>
          </w:p>
        </w:tc>
        <w:tc>
          <w:tcPr>
            <w:tcW w:w="1422" w:type="dxa"/>
            <w:shd w:val="clear" w:color="auto" w:fill="F1F1F1"/>
          </w:tcPr>
          <w:p>
            <w:pPr>
              <w:pStyle w:val="TableParagraph"/>
              <w:spacing w:before="134"/>
              <w:ind w:left="131" w:right="124" w:firstLine="1"/>
              <w:jc w:val="center"/>
              <w:rPr>
                <w:b/>
                <w:sz w:val="20"/>
              </w:rPr>
            </w:pPr>
            <w:r>
              <w:rPr>
                <w:b/>
                <w:spacing w:val="-4"/>
                <w:sz w:val="20"/>
              </w:rPr>
              <w:t>Meta </w:t>
            </w:r>
            <w:r>
              <w:rPr>
                <w:b/>
                <w:spacing w:val="-2"/>
                <w:sz w:val="20"/>
              </w:rPr>
              <w:t>programada </w:t>
            </w:r>
            <w:r>
              <w:rPr>
                <w:b/>
                <w:spacing w:val="-4"/>
                <w:sz w:val="20"/>
              </w:rPr>
              <w:t>2027</w:t>
            </w:r>
          </w:p>
        </w:tc>
        <w:tc>
          <w:tcPr>
            <w:tcW w:w="1558" w:type="dxa"/>
            <w:shd w:val="clear" w:color="auto" w:fill="F1F1F1"/>
          </w:tcPr>
          <w:p>
            <w:pPr>
              <w:pStyle w:val="TableParagraph"/>
              <w:spacing w:before="134"/>
              <w:rPr>
                <w:b/>
                <w:sz w:val="20"/>
              </w:rPr>
            </w:pPr>
          </w:p>
          <w:p>
            <w:pPr>
              <w:pStyle w:val="TableParagraph"/>
              <w:ind w:left="327"/>
              <w:rPr>
                <w:b/>
                <w:sz w:val="20"/>
              </w:rPr>
            </w:pPr>
            <w:r>
              <w:rPr>
                <w:b/>
                <w:spacing w:val="-2"/>
                <w:sz w:val="20"/>
              </w:rPr>
              <w:t>Indicador</w:t>
            </w:r>
          </w:p>
        </w:tc>
        <w:tc>
          <w:tcPr>
            <w:tcW w:w="1419" w:type="dxa"/>
            <w:shd w:val="clear" w:color="auto" w:fill="F1F1F1"/>
          </w:tcPr>
          <w:p>
            <w:pPr>
              <w:pStyle w:val="TableParagraph"/>
              <w:spacing w:before="19"/>
              <w:rPr>
                <w:b/>
                <w:sz w:val="20"/>
              </w:rPr>
            </w:pPr>
          </w:p>
          <w:p>
            <w:pPr>
              <w:pStyle w:val="TableParagraph"/>
              <w:ind w:left="149" w:right="102" w:firstLine="67"/>
              <w:rPr>
                <w:b/>
                <w:sz w:val="20"/>
              </w:rPr>
            </w:pPr>
            <w:r>
              <w:rPr>
                <w:b/>
                <w:sz w:val="20"/>
              </w:rPr>
              <w:t>Medios de </w:t>
            </w:r>
            <w:r>
              <w:rPr>
                <w:b/>
                <w:spacing w:val="-2"/>
                <w:sz w:val="20"/>
              </w:rPr>
              <w:t>verificación</w:t>
            </w:r>
          </w:p>
        </w:tc>
        <w:tc>
          <w:tcPr>
            <w:tcW w:w="1416" w:type="dxa"/>
            <w:shd w:val="clear" w:color="auto" w:fill="F1F1F1"/>
          </w:tcPr>
          <w:p>
            <w:pPr>
              <w:pStyle w:val="TableParagraph"/>
              <w:spacing w:before="134"/>
              <w:rPr>
                <w:b/>
                <w:sz w:val="20"/>
              </w:rPr>
            </w:pPr>
          </w:p>
          <w:p>
            <w:pPr>
              <w:pStyle w:val="TableParagraph"/>
              <w:ind w:left="82"/>
              <w:rPr>
                <w:b/>
                <w:sz w:val="20"/>
              </w:rPr>
            </w:pPr>
            <w:r>
              <w:rPr>
                <w:b/>
                <w:spacing w:val="-2"/>
                <w:sz w:val="20"/>
              </w:rPr>
              <w:t>Responsable</w:t>
            </w:r>
          </w:p>
        </w:tc>
        <w:tc>
          <w:tcPr>
            <w:tcW w:w="1844" w:type="dxa"/>
            <w:shd w:val="clear" w:color="auto" w:fill="F1F1F1"/>
          </w:tcPr>
          <w:p>
            <w:pPr>
              <w:pStyle w:val="TableParagraph"/>
              <w:spacing w:before="19"/>
              <w:rPr>
                <w:b/>
                <w:sz w:val="20"/>
              </w:rPr>
            </w:pPr>
          </w:p>
          <w:p>
            <w:pPr>
              <w:pStyle w:val="TableParagraph"/>
              <w:ind w:left="480" w:hanging="140"/>
              <w:rPr>
                <w:b/>
                <w:sz w:val="20"/>
              </w:rPr>
            </w:pPr>
            <w:r>
              <w:rPr>
                <w:b/>
                <w:spacing w:val="-2"/>
                <w:sz w:val="20"/>
              </w:rPr>
              <w:t>Presupuesto asignado</w:t>
            </w:r>
          </w:p>
        </w:tc>
        <w:tc>
          <w:tcPr>
            <w:tcW w:w="2415" w:type="dxa"/>
            <w:tcBorders>
              <w:bottom w:val="nil"/>
            </w:tcBorders>
            <w:shd w:val="clear" w:color="auto" w:fill="F1F1F1"/>
          </w:tcPr>
          <w:p>
            <w:pPr>
              <w:pStyle w:val="TableParagraph"/>
              <w:spacing w:before="19"/>
              <w:rPr>
                <w:b/>
                <w:sz w:val="20"/>
              </w:rPr>
            </w:pPr>
          </w:p>
          <w:p>
            <w:pPr>
              <w:pStyle w:val="TableParagraph"/>
              <w:ind w:left="554" w:hanging="368"/>
              <w:rPr>
                <w:b/>
                <w:sz w:val="20"/>
              </w:rPr>
            </w:pPr>
            <w:r>
              <w:rPr>
                <w:b/>
                <w:sz w:val="20"/>
              </w:rPr>
              <w:t>Riesgos</w:t>
            </w:r>
            <w:r>
              <w:rPr>
                <w:b/>
                <w:spacing w:val="-14"/>
                <w:sz w:val="20"/>
              </w:rPr>
              <w:t> </w:t>
            </w:r>
            <w:r>
              <w:rPr>
                <w:b/>
                <w:sz w:val="20"/>
              </w:rPr>
              <w:t>asociados</w:t>
            </w:r>
            <w:r>
              <w:rPr>
                <w:b/>
                <w:spacing w:val="-14"/>
                <w:sz w:val="20"/>
              </w:rPr>
              <w:t> </w:t>
            </w:r>
            <w:r>
              <w:rPr>
                <w:b/>
                <w:sz w:val="20"/>
              </w:rPr>
              <w:t>al </w:t>
            </w:r>
            <w:r>
              <w:rPr>
                <w:b/>
                <w:spacing w:val="-2"/>
                <w:sz w:val="20"/>
              </w:rPr>
              <w:t>cumplimiento</w:t>
            </w:r>
          </w:p>
        </w:tc>
      </w:tr>
      <w:tr>
        <w:trPr>
          <w:trHeight w:val="990" w:hRule="atLeast"/>
        </w:trPr>
        <w:tc>
          <w:tcPr>
            <w:tcW w:w="2835" w:type="dxa"/>
          </w:tcPr>
          <w:p>
            <w:pPr>
              <w:pStyle w:val="TableParagraph"/>
              <w:spacing w:line="217" w:lineRule="exact"/>
              <w:ind w:left="69"/>
              <w:rPr>
                <w:sz w:val="20"/>
              </w:rPr>
            </w:pPr>
            <w:r>
              <w:rPr>
                <w:sz w:val="20"/>
              </w:rPr>
              <w:t>de</w:t>
            </w:r>
            <w:r>
              <w:rPr>
                <w:spacing w:val="-8"/>
                <w:sz w:val="20"/>
              </w:rPr>
              <w:t> </w:t>
            </w:r>
            <w:r>
              <w:rPr>
                <w:sz w:val="20"/>
              </w:rPr>
              <w:t>equipo</w:t>
            </w:r>
            <w:r>
              <w:rPr>
                <w:spacing w:val="-5"/>
                <w:sz w:val="20"/>
              </w:rPr>
              <w:t> </w:t>
            </w:r>
            <w:r>
              <w:rPr>
                <w:sz w:val="20"/>
              </w:rPr>
              <w:t>de</w:t>
            </w:r>
            <w:r>
              <w:rPr>
                <w:spacing w:val="-7"/>
                <w:sz w:val="20"/>
              </w:rPr>
              <w:t> </w:t>
            </w:r>
            <w:r>
              <w:rPr>
                <w:sz w:val="20"/>
              </w:rPr>
              <w:t>cómputo</w:t>
            </w:r>
            <w:r>
              <w:rPr>
                <w:spacing w:val="-7"/>
                <w:sz w:val="20"/>
              </w:rPr>
              <w:t> </w:t>
            </w:r>
            <w:r>
              <w:rPr>
                <w:spacing w:val="-10"/>
                <w:sz w:val="20"/>
              </w:rPr>
              <w:t>y</w:t>
            </w:r>
          </w:p>
          <w:p>
            <w:pPr>
              <w:pStyle w:val="TableParagraph"/>
              <w:ind w:left="69"/>
              <w:rPr>
                <w:sz w:val="20"/>
              </w:rPr>
            </w:pPr>
            <w:r>
              <w:rPr>
                <w:sz w:val="20"/>
              </w:rPr>
              <w:t>sistemas</w:t>
            </w:r>
            <w:r>
              <w:rPr>
                <w:spacing w:val="-6"/>
                <w:sz w:val="20"/>
              </w:rPr>
              <w:t> </w:t>
            </w:r>
            <w:r>
              <w:rPr>
                <w:sz w:val="20"/>
              </w:rPr>
              <w:t>de</w:t>
            </w:r>
            <w:r>
              <w:rPr>
                <w:spacing w:val="-6"/>
                <w:sz w:val="20"/>
              </w:rPr>
              <w:t> </w:t>
            </w:r>
            <w:r>
              <w:rPr>
                <w:spacing w:val="-2"/>
                <w:sz w:val="20"/>
              </w:rPr>
              <w:t>Información.</w:t>
            </w:r>
          </w:p>
          <w:p>
            <w:pPr>
              <w:pStyle w:val="TableParagraph"/>
              <w:spacing w:before="1"/>
              <w:ind w:left="69"/>
              <w:rPr>
                <w:sz w:val="20"/>
              </w:rPr>
            </w:pPr>
            <w:r>
              <w:rPr>
                <w:sz w:val="20"/>
              </w:rPr>
              <w:t>1.08.99 Mantenimiento y reparación</w:t>
            </w:r>
            <w:r>
              <w:rPr>
                <w:spacing w:val="-14"/>
                <w:sz w:val="20"/>
              </w:rPr>
              <w:t> </w:t>
            </w:r>
            <w:r>
              <w:rPr>
                <w:sz w:val="20"/>
              </w:rPr>
              <w:t>de</w:t>
            </w:r>
            <w:r>
              <w:rPr>
                <w:spacing w:val="-14"/>
                <w:sz w:val="20"/>
              </w:rPr>
              <w:t> </w:t>
            </w:r>
            <w:r>
              <w:rPr>
                <w:sz w:val="20"/>
              </w:rPr>
              <w:t>otros</w:t>
            </w:r>
            <w:r>
              <w:rPr>
                <w:spacing w:val="-13"/>
                <w:sz w:val="20"/>
              </w:rPr>
              <w:t> </w:t>
            </w:r>
            <w:r>
              <w:rPr>
                <w:sz w:val="20"/>
              </w:rPr>
              <w:t>equipos.</w:t>
            </w:r>
          </w:p>
        </w:tc>
        <w:tc>
          <w:tcPr>
            <w:tcW w:w="1133" w:type="dxa"/>
          </w:tcPr>
          <w:p>
            <w:pPr>
              <w:pStyle w:val="TableParagraph"/>
              <w:rPr>
                <w:rFonts w:ascii="Times New Roman"/>
                <w:sz w:val="18"/>
              </w:rPr>
            </w:pPr>
          </w:p>
        </w:tc>
        <w:tc>
          <w:tcPr>
            <w:tcW w:w="1422" w:type="dxa"/>
          </w:tcPr>
          <w:p>
            <w:pPr>
              <w:pStyle w:val="TableParagraph"/>
              <w:rPr>
                <w:rFonts w:ascii="Times New Roman"/>
                <w:sz w:val="18"/>
              </w:rPr>
            </w:pPr>
          </w:p>
        </w:tc>
        <w:tc>
          <w:tcPr>
            <w:tcW w:w="1558" w:type="dxa"/>
          </w:tcPr>
          <w:p>
            <w:pPr>
              <w:pStyle w:val="TableParagraph"/>
              <w:rPr>
                <w:rFonts w:ascii="Times New Roman"/>
                <w:sz w:val="18"/>
              </w:rPr>
            </w:pPr>
          </w:p>
        </w:tc>
        <w:tc>
          <w:tcPr>
            <w:tcW w:w="1419" w:type="dxa"/>
          </w:tcPr>
          <w:p>
            <w:pPr>
              <w:pStyle w:val="TableParagraph"/>
              <w:rPr>
                <w:rFonts w:ascii="Times New Roman"/>
                <w:sz w:val="18"/>
              </w:rPr>
            </w:pPr>
          </w:p>
        </w:tc>
        <w:tc>
          <w:tcPr>
            <w:tcW w:w="1416" w:type="dxa"/>
          </w:tcPr>
          <w:p>
            <w:pPr>
              <w:pStyle w:val="TableParagraph"/>
              <w:rPr>
                <w:rFonts w:ascii="Times New Roman"/>
                <w:sz w:val="18"/>
              </w:rPr>
            </w:pPr>
          </w:p>
        </w:tc>
        <w:tc>
          <w:tcPr>
            <w:tcW w:w="1844" w:type="dxa"/>
          </w:tcPr>
          <w:p>
            <w:pPr>
              <w:pStyle w:val="TableParagraph"/>
              <w:rPr>
                <w:rFonts w:ascii="Times New Roman"/>
                <w:sz w:val="18"/>
              </w:rPr>
            </w:pPr>
          </w:p>
        </w:tc>
        <w:tc>
          <w:tcPr>
            <w:tcW w:w="2415" w:type="dxa"/>
            <w:tcBorders>
              <w:top w:val="nil"/>
            </w:tcBorders>
          </w:tcPr>
          <w:p>
            <w:pPr>
              <w:pStyle w:val="TableParagraph"/>
              <w:rPr>
                <w:rFonts w:ascii="Times New Roman"/>
                <w:sz w:val="18"/>
              </w:rPr>
            </w:pPr>
          </w:p>
        </w:tc>
      </w:tr>
    </w:tbl>
    <w:p>
      <w:pPr>
        <w:pStyle w:val="BodyText"/>
        <w:spacing w:before="1"/>
        <w:rPr>
          <w:b/>
          <w:sz w:val="24"/>
        </w:rPr>
      </w:pPr>
    </w:p>
    <w:p>
      <w:pPr>
        <w:pStyle w:val="Heading3"/>
        <w:numPr>
          <w:ilvl w:val="1"/>
          <w:numId w:val="5"/>
        </w:numPr>
        <w:tabs>
          <w:tab w:pos="2320" w:val="left" w:leader="none"/>
        </w:tabs>
        <w:spacing w:line="240" w:lineRule="auto" w:before="0" w:after="0"/>
        <w:ind w:left="2320" w:right="0" w:hanging="400"/>
        <w:jc w:val="left"/>
      </w:pPr>
      <w:bookmarkStart w:name="_bookmark72" w:id="73"/>
      <w:bookmarkEnd w:id="73"/>
      <w:r>
        <w:rPr>
          <w:b w:val="0"/>
        </w:rPr>
      </w:r>
      <w:r>
        <w:rPr/>
        <w:t>Matriz</w:t>
      </w:r>
      <w:r>
        <w:rPr>
          <w:spacing w:val="-7"/>
        </w:rPr>
        <w:t> </w:t>
      </w:r>
      <w:r>
        <w:rPr/>
        <w:t>de</w:t>
      </w:r>
      <w:r>
        <w:rPr>
          <w:spacing w:val="-6"/>
        </w:rPr>
        <w:t> </w:t>
      </w:r>
      <w:r>
        <w:rPr/>
        <w:t>Trimestralización</w:t>
      </w:r>
      <w:r>
        <w:rPr>
          <w:spacing w:val="-4"/>
        </w:rPr>
        <w:t> </w:t>
      </w:r>
      <w:r>
        <w:rPr/>
        <w:t>del</w:t>
      </w:r>
      <w:r>
        <w:rPr>
          <w:spacing w:val="-6"/>
        </w:rPr>
        <w:t> </w:t>
      </w:r>
      <w:r>
        <w:rPr/>
        <w:t>Programa</w:t>
      </w:r>
      <w:r>
        <w:rPr>
          <w:spacing w:val="-5"/>
        </w:rPr>
        <w:t> </w:t>
      </w:r>
      <w:r>
        <w:rPr/>
        <w:t>Protección</w:t>
      </w:r>
      <w:r>
        <w:rPr>
          <w:spacing w:val="-4"/>
        </w:rPr>
        <w:t> </w:t>
      </w:r>
      <w:r>
        <w:rPr/>
        <w:t>y</w:t>
      </w:r>
      <w:r>
        <w:rPr>
          <w:spacing w:val="-5"/>
        </w:rPr>
        <w:t> </w:t>
      </w:r>
      <w:r>
        <w:rPr/>
        <w:t>Promoción</w:t>
      </w:r>
      <w:r>
        <w:rPr>
          <w:spacing w:val="-4"/>
        </w:rPr>
        <w:t> </w:t>
      </w:r>
      <w:r>
        <w:rPr>
          <w:spacing w:val="-2"/>
        </w:rPr>
        <w:t>Social</w:t>
      </w:r>
    </w:p>
    <w:p>
      <w:pPr>
        <w:pStyle w:val="BodyText"/>
        <w:rPr>
          <w:b/>
          <w:sz w:val="20"/>
        </w:rPr>
      </w:pPr>
    </w:p>
    <w:p>
      <w:pPr>
        <w:pStyle w:val="BodyText"/>
        <w:spacing w:before="92"/>
        <w:rPr>
          <w:b/>
          <w:sz w:val="20"/>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3"/>
        <w:gridCol w:w="1277"/>
        <w:gridCol w:w="1278"/>
        <w:gridCol w:w="1561"/>
        <w:gridCol w:w="1275"/>
        <w:gridCol w:w="1561"/>
        <w:gridCol w:w="1277"/>
        <w:gridCol w:w="1558"/>
        <w:gridCol w:w="1277"/>
        <w:gridCol w:w="1702"/>
      </w:tblGrid>
      <w:tr>
        <w:trPr>
          <w:trHeight w:val="510" w:hRule="atLeast"/>
        </w:trPr>
        <w:tc>
          <w:tcPr>
            <w:tcW w:w="1983" w:type="dxa"/>
            <w:vMerge w:val="restart"/>
            <w:shd w:val="clear" w:color="auto" w:fill="F1F1F1"/>
          </w:tcPr>
          <w:p>
            <w:pPr>
              <w:pStyle w:val="TableParagraph"/>
              <w:spacing w:before="70"/>
              <w:rPr>
                <w:b/>
                <w:sz w:val="18"/>
              </w:rPr>
            </w:pPr>
          </w:p>
          <w:p>
            <w:pPr>
              <w:pStyle w:val="TableParagraph"/>
              <w:ind w:left="506" w:right="403" w:firstLine="24"/>
              <w:rPr>
                <w:b/>
                <w:sz w:val="18"/>
              </w:rPr>
            </w:pPr>
            <w:r>
              <w:rPr>
                <w:b/>
                <w:sz w:val="18"/>
              </w:rPr>
              <w:t>Objetivos</w:t>
            </w:r>
            <w:r>
              <w:rPr>
                <w:b/>
                <w:spacing w:val="-12"/>
                <w:sz w:val="18"/>
              </w:rPr>
              <w:t> </w:t>
            </w:r>
            <w:r>
              <w:rPr>
                <w:b/>
                <w:sz w:val="18"/>
              </w:rPr>
              <w:t>/ </w:t>
            </w:r>
            <w:r>
              <w:rPr>
                <w:b/>
                <w:spacing w:val="-2"/>
                <w:sz w:val="18"/>
              </w:rPr>
              <w:t>Resultados</w:t>
            </w:r>
          </w:p>
        </w:tc>
        <w:tc>
          <w:tcPr>
            <w:tcW w:w="1277" w:type="dxa"/>
            <w:vMerge w:val="restart"/>
            <w:shd w:val="clear" w:color="auto" w:fill="F1F1F1"/>
          </w:tcPr>
          <w:p>
            <w:pPr>
              <w:pStyle w:val="TableParagraph"/>
              <w:spacing w:before="173"/>
              <w:rPr>
                <w:b/>
                <w:sz w:val="18"/>
              </w:rPr>
            </w:pPr>
          </w:p>
          <w:p>
            <w:pPr>
              <w:pStyle w:val="TableParagraph"/>
              <w:ind w:left="232"/>
              <w:rPr>
                <w:b/>
                <w:sz w:val="18"/>
              </w:rPr>
            </w:pPr>
            <w:r>
              <w:rPr>
                <w:b/>
                <w:spacing w:val="-2"/>
                <w:sz w:val="18"/>
              </w:rPr>
              <w:t>Indicador</w:t>
            </w:r>
          </w:p>
        </w:tc>
        <w:tc>
          <w:tcPr>
            <w:tcW w:w="2839" w:type="dxa"/>
            <w:gridSpan w:val="2"/>
            <w:shd w:val="clear" w:color="auto" w:fill="F1F1F1"/>
          </w:tcPr>
          <w:p>
            <w:pPr>
              <w:pStyle w:val="TableParagraph"/>
              <w:spacing w:before="152"/>
              <w:ind w:left="7"/>
              <w:jc w:val="center"/>
              <w:rPr>
                <w:b/>
                <w:sz w:val="18"/>
              </w:rPr>
            </w:pPr>
            <w:r>
              <w:rPr>
                <w:b/>
                <w:sz w:val="18"/>
              </w:rPr>
              <w:t>I </w:t>
            </w:r>
            <w:r>
              <w:rPr>
                <w:b/>
                <w:spacing w:val="-2"/>
                <w:sz w:val="18"/>
              </w:rPr>
              <w:t>Trimestre</w:t>
            </w:r>
          </w:p>
        </w:tc>
        <w:tc>
          <w:tcPr>
            <w:tcW w:w="2836" w:type="dxa"/>
            <w:gridSpan w:val="2"/>
            <w:shd w:val="clear" w:color="auto" w:fill="F1F1F1"/>
          </w:tcPr>
          <w:p>
            <w:pPr>
              <w:pStyle w:val="TableParagraph"/>
              <w:spacing w:before="152"/>
              <w:ind w:left="928"/>
              <w:rPr>
                <w:b/>
                <w:sz w:val="18"/>
              </w:rPr>
            </w:pPr>
            <w:r>
              <w:rPr>
                <w:b/>
                <w:sz w:val="18"/>
              </w:rPr>
              <w:t>II </w:t>
            </w:r>
            <w:r>
              <w:rPr>
                <w:b/>
                <w:spacing w:val="-2"/>
                <w:sz w:val="18"/>
              </w:rPr>
              <w:t>Trimestre</w:t>
            </w:r>
          </w:p>
        </w:tc>
        <w:tc>
          <w:tcPr>
            <w:tcW w:w="2835" w:type="dxa"/>
            <w:gridSpan w:val="2"/>
            <w:shd w:val="clear" w:color="auto" w:fill="F1F1F1"/>
          </w:tcPr>
          <w:p>
            <w:pPr>
              <w:pStyle w:val="TableParagraph"/>
              <w:spacing w:before="152"/>
              <w:ind w:left="901"/>
              <w:rPr>
                <w:b/>
                <w:sz w:val="18"/>
              </w:rPr>
            </w:pPr>
            <w:r>
              <w:rPr>
                <w:b/>
                <w:sz w:val="18"/>
              </w:rPr>
              <w:t>III </w:t>
            </w:r>
            <w:r>
              <w:rPr>
                <w:b/>
                <w:spacing w:val="-2"/>
                <w:sz w:val="18"/>
              </w:rPr>
              <w:t>Trimestre</w:t>
            </w:r>
          </w:p>
        </w:tc>
        <w:tc>
          <w:tcPr>
            <w:tcW w:w="2979" w:type="dxa"/>
            <w:gridSpan w:val="2"/>
            <w:shd w:val="clear" w:color="auto" w:fill="F1F1F1"/>
          </w:tcPr>
          <w:p>
            <w:pPr>
              <w:pStyle w:val="TableParagraph"/>
              <w:spacing w:before="152"/>
              <w:ind w:left="963"/>
              <w:rPr>
                <w:b/>
                <w:sz w:val="18"/>
              </w:rPr>
            </w:pPr>
            <w:r>
              <w:rPr>
                <w:b/>
                <w:sz w:val="18"/>
              </w:rPr>
              <w:t>IV </w:t>
            </w:r>
            <w:r>
              <w:rPr>
                <w:b/>
                <w:spacing w:val="-2"/>
                <w:sz w:val="18"/>
              </w:rPr>
              <w:t>Trimestre</w:t>
            </w:r>
          </w:p>
        </w:tc>
      </w:tr>
      <w:tr>
        <w:trPr>
          <w:trHeight w:val="450" w:hRule="atLeast"/>
        </w:trPr>
        <w:tc>
          <w:tcPr>
            <w:tcW w:w="1983" w:type="dxa"/>
            <w:vMerge/>
            <w:tcBorders>
              <w:top w:val="nil"/>
            </w:tcBorders>
            <w:shd w:val="clear" w:color="auto" w:fill="F1F1F1"/>
          </w:tcPr>
          <w:p>
            <w:pPr>
              <w:rPr>
                <w:sz w:val="2"/>
                <w:szCs w:val="2"/>
              </w:rPr>
            </w:pPr>
          </w:p>
        </w:tc>
        <w:tc>
          <w:tcPr>
            <w:tcW w:w="1277" w:type="dxa"/>
            <w:vMerge/>
            <w:tcBorders>
              <w:top w:val="nil"/>
            </w:tcBorders>
            <w:shd w:val="clear" w:color="auto" w:fill="F1F1F1"/>
          </w:tcPr>
          <w:p>
            <w:pPr>
              <w:rPr>
                <w:sz w:val="2"/>
                <w:szCs w:val="2"/>
              </w:rPr>
            </w:pPr>
          </w:p>
        </w:tc>
        <w:tc>
          <w:tcPr>
            <w:tcW w:w="1278" w:type="dxa"/>
            <w:shd w:val="clear" w:color="auto" w:fill="F1F1F1"/>
          </w:tcPr>
          <w:p>
            <w:pPr>
              <w:pStyle w:val="TableParagraph"/>
              <w:spacing w:line="206" w:lineRule="exact" w:before="18"/>
              <w:ind w:left="116"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21"/>
              <w:ind w:left="45" w:right="40"/>
              <w:jc w:val="center"/>
              <w:rPr>
                <w:b/>
                <w:sz w:val="18"/>
              </w:rPr>
            </w:pPr>
            <w:r>
              <w:rPr>
                <w:b/>
                <w:spacing w:val="-10"/>
                <w:sz w:val="18"/>
              </w:rPr>
              <w:t>¢</w:t>
            </w:r>
          </w:p>
        </w:tc>
        <w:tc>
          <w:tcPr>
            <w:tcW w:w="1275" w:type="dxa"/>
            <w:shd w:val="clear" w:color="auto" w:fill="F1F1F1"/>
          </w:tcPr>
          <w:p>
            <w:pPr>
              <w:pStyle w:val="TableParagraph"/>
              <w:spacing w:line="206" w:lineRule="exact" w:before="18"/>
              <w:ind w:left="112"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21"/>
              <w:ind w:left="45" w:right="42"/>
              <w:jc w:val="center"/>
              <w:rPr>
                <w:b/>
                <w:sz w:val="18"/>
              </w:rPr>
            </w:pPr>
            <w:r>
              <w:rPr>
                <w:b/>
                <w:spacing w:val="-10"/>
                <w:sz w:val="18"/>
              </w:rPr>
              <w:t>¢</w:t>
            </w:r>
          </w:p>
        </w:tc>
        <w:tc>
          <w:tcPr>
            <w:tcW w:w="1277" w:type="dxa"/>
            <w:shd w:val="clear" w:color="auto" w:fill="F1F1F1"/>
          </w:tcPr>
          <w:p>
            <w:pPr>
              <w:pStyle w:val="TableParagraph"/>
              <w:spacing w:line="206" w:lineRule="exact" w:before="18"/>
              <w:ind w:left="114" w:firstLine="314"/>
              <w:rPr>
                <w:b/>
                <w:sz w:val="18"/>
              </w:rPr>
            </w:pPr>
            <w:r>
              <w:rPr>
                <w:b/>
                <w:spacing w:val="-4"/>
                <w:sz w:val="18"/>
              </w:rPr>
              <w:t>Meta </w:t>
            </w:r>
            <w:r>
              <w:rPr>
                <w:b/>
                <w:spacing w:val="-2"/>
                <w:sz w:val="18"/>
              </w:rPr>
              <w:t>programada</w:t>
            </w:r>
          </w:p>
        </w:tc>
        <w:tc>
          <w:tcPr>
            <w:tcW w:w="1558" w:type="dxa"/>
            <w:shd w:val="clear" w:color="auto" w:fill="F1F1F1"/>
          </w:tcPr>
          <w:p>
            <w:pPr>
              <w:pStyle w:val="TableParagraph"/>
              <w:spacing w:before="121"/>
              <w:ind w:left="34" w:right="34"/>
              <w:jc w:val="center"/>
              <w:rPr>
                <w:b/>
                <w:sz w:val="18"/>
              </w:rPr>
            </w:pPr>
            <w:r>
              <w:rPr>
                <w:b/>
                <w:spacing w:val="-10"/>
                <w:sz w:val="18"/>
              </w:rPr>
              <w:t>¢</w:t>
            </w:r>
          </w:p>
        </w:tc>
        <w:tc>
          <w:tcPr>
            <w:tcW w:w="1277" w:type="dxa"/>
            <w:shd w:val="clear" w:color="auto" w:fill="F1F1F1"/>
          </w:tcPr>
          <w:p>
            <w:pPr>
              <w:pStyle w:val="TableParagraph"/>
              <w:spacing w:line="206" w:lineRule="exact" w:before="18"/>
              <w:ind w:left="114" w:firstLine="314"/>
              <w:rPr>
                <w:b/>
                <w:sz w:val="18"/>
              </w:rPr>
            </w:pPr>
            <w:r>
              <w:rPr>
                <w:b/>
                <w:spacing w:val="-4"/>
                <w:sz w:val="18"/>
              </w:rPr>
              <w:t>Meta </w:t>
            </w:r>
            <w:r>
              <w:rPr>
                <w:b/>
                <w:spacing w:val="-2"/>
                <w:sz w:val="18"/>
              </w:rPr>
              <w:t>programada</w:t>
            </w:r>
          </w:p>
        </w:tc>
        <w:tc>
          <w:tcPr>
            <w:tcW w:w="1702" w:type="dxa"/>
            <w:shd w:val="clear" w:color="auto" w:fill="F1F1F1"/>
          </w:tcPr>
          <w:p>
            <w:pPr>
              <w:pStyle w:val="TableParagraph"/>
              <w:spacing w:before="121"/>
              <w:jc w:val="center"/>
              <w:rPr>
                <w:b/>
                <w:sz w:val="18"/>
              </w:rPr>
            </w:pPr>
            <w:r>
              <w:rPr>
                <w:b/>
                <w:spacing w:val="-10"/>
                <w:sz w:val="18"/>
              </w:rPr>
              <w:t>¢</w:t>
            </w:r>
          </w:p>
        </w:tc>
      </w:tr>
      <w:tr>
        <w:trPr>
          <w:trHeight w:val="628" w:hRule="atLeast"/>
        </w:trPr>
        <w:tc>
          <w:tcPr>
            <w:tcW w:w="14749" w:type="dxa"/>
            <w:gridSpan w:val="10"/>
            <w:shd w:val="clear" w:color="auto" w:fill="F1F1F1"/>
          </w:tcPr>
          <w:p>
            <w:pPr>
              <w:pStyle w:val="TableParagraph"/>
              <w:spacing w:before="107"/>
              <w:ind w:left="69" w:right="151"/>
              <w:rPr>
                <w:b/>
                <w:sz w:val="18"/>
              </w:rPr>
            </w:pPr>
            <w:r>
              <w:rPr>
                <w:b/>
                <w:sz w:val="18"/>
              </w:rPr>
              <w:t>Efecto:</w:t>
            </w:r>
            <w:r>
              <w:rPr>
                <w:b/>
                <w:spacing w:val="-1"/>
                <w:sz w:val="18"/>
              </w:rPr>
              <w:t> </w:t>
            </w:r>
            <w:r>
              <w:rPr>
                <w:b/>
                <w:sz w:val="18"/>
              </w:rPr>
              <w:t>Acciones</w:t>
            </w:r>
            <w:r>
              <w:rPr>
                <w:b/>
                <w:spacing w:val="-3"/>
                <w:sz w:val="18"/>
              </w:rPr>
              <w:t> </w:t>
            </w:r>
            <w:r>
              <w:rPr>
                <w:b/>
                <w:sz w:val="18"/>
              </w:rPr>
              <w:t>de</w:t>
            </w:r>
            <w:r>
              <w:rPr>
                <w:b/>
                <w:spacing w:val="-1"/>
                <w:sz w:val="18"/>
              </w:rPr>
              <w:t> </w:t>
            </w:r>
            <w:r>
              <w:rPr>
                <w:b/>
                <w:sz w:val="18"/>
              </w:rPr>
              <w:t>protección</w:t>
            </w:r>
            <w:r>
              <w:rPr>
                <w:b/>
                <w:spacing w:val="-1"/>
                <w:sz w:val="18"/>
              </w:rPr>
              <w:t> </w:t>
            </w:r>
            <w:r>
              <w:rPr>
                <w:b/>
                <w:sz w:val="18"/>
              </w:rPr>
              <w:t>y</w:t>
            </w:r>
            <w:r>
              <w:rPr>
                <w:b/>
                <w:spacing w:val="-1"/>
                <w:sz w:val="18"/>
              </w:rPr>
              <w:t> </w:t>
            </w:r>
            <w:r>
              <w:rPr>
                <w:b/>
                <w:sz w:val="18"/>
              </w:rPr>
              <w:t>promoción</w:t>
            </w:r>
            <w:r>
              <w:rPr>
                <w:b/>
                <w:spacing w:val="-1"/>
                <w:sz w:val="18"/>
              </w:rPr>
              <w:t> </w:t>
            </w:r>
            <w:r>
              <w:rPr>
                <w:b/>
                <w:sz w:val="18"/>
              </w:rPr>
              <w:t>social</w:t>
            </w:r>
            <w:r>
              <w:rPr>
                <w:b/>
                <w:spacing w:val="-1"/>
                <w:sz w:val="18"/>
              </w:rPr>
              <w:t> </w:t>
            </w:r>
            <w:r>
              <w:rPr>
                <w:b/>
                <w:sz w:val="18"/>
              </w:rPr>
              <w:t>implementadas,</w:t>
            </w:r>
            <w:r>
              <w:rPr>
                <w:b/>
                <w:spacing w:val="-3"/>
                <w:sz w:val="18"/>
              </w:rPr>
              <w:t> </w:t>
            </w:r>
            <w:r>
              <w:rPr>
                <w:b/>
                <w:sz w:val="18"/>
              </w:rPr>
              <w:t>dirigidas</w:t>
            </w:r>
            <w:r>
              <w:rPr>
                <w:b/>
                <w:spacing w:val="-1"/>
                <w:sz w:val="18"/>
              </w:rPr>
              <w:t> </w:t>
            </w:r>
            <w:r>
              <w:rPr>
                <w:b/>
                <w:sz w:val="18"/>
              </w:rPr>
              <w:t>a</w:t>
            </w:r>
            <w:r>
              <w:rPr>
                <w:b/>
                <w:spacing w:val="-3"/>
                <w:sz w:val="18"/>
              </w:rPr>
              <w:t> </w:t>
            </w:r>
            <w:r>
              <w:rPr>
                <w:b/>
                <w:sz w:val="18"/>
              </w:rPr>
              <w:t>personas,</w:t>
            </w:r>
            <w:r>
              <w:rPr>
                <w:b/>
                <w:spacing w:val="-1"/>
                <w:sz w:val="18"/>
              </w:rPr>
              <w:t> </w:t>
            </w:r>
            <w:r>
              <w:rPr>
                <w:b/>
                <w:sz w:val="18"/>
              </w:rPr>
              <w:t>hogares</w:t>
            </w:r>
            <w:r>
              <w:rPr>
                <w:b/>
                <w:spacing w:val="-3"/>
                <w:sz w:val="18"/>
              </w:rPr>
              <w:t> </w:t>
            </w:r>
            <w:r>
              <w:rPr>
                <w:b/>
                <w:sz w:val="18"/>
              </w:rPr>
              <w:t>y</w:t>
            </w:r>
            <w:r>
              <w:rPr>
                <w:b/>
                <w:spacing w:val="-1"/>
                <w:sz w:val="18"/>
              </w:rPr>
              <w:t> </w:t>
            </w:r>
            <w:r>
              <w:rPr>
                <w:b/>
                <w:sz w:val="18"/>
              </w:rPr>
              <w:t>organizaciones,</w:t>
            </w:r>
            <w:r>
              <w:rPr>
                <w:b/>
                <w:spacing w:val="-1"/>
                <w:sz w:val="18"/>
              </w:rPr>
              <w:t> </w:t>
            </w:r>
            <w:r>
              <w:rPr>
                <w:b/>
                <w:sz w:val="18"/>
              </w:rPr>
              <w:t>mediante</w:t>
            </w:r>
            <w:r>
              <w:rPr>
                <w:b/>
                <w:spacing w:val="-1"/>
                <w:sz w:val="18"/>
              </w:rPr>
              <w:t> </w:t>
            </w:r>
            <w:r>
              <w:rPr>
                <w:b/>
                <w:sz w:val="18"/>
              </w:rPr>
              <w:t>procesos</w:t>
            </w:r>
            <w:r>
              <w:rPr>
                <w:b/>
                <w:spacing w:val="-3"/>
                <w:sz w:val="18"/>
              </w:rPr>
              <w:t> </w:t>
            </w:r>
            <w:r>
              <w:rPr>
                <w:b/>
                <w:sz w:val="18"/>
              </w:rPr>
              <w:t>de</w:t>
            </w:r>
            <w:r>
              <w:rPr>
                <w:b/>
                <w:spacing w:val="-3"/>
                <w:sz w:val="18"/>
              </w:rPr>
              <w:t> </w:t>
            </w:r>
            <w:r>
              <w:rPr>
                <w:b/>
                <w:sz w:val="18"/>
              </w:rPr>
              <w:t>atención</w:t>
            </w:r>
            <w:r>
              <w:rPr>
                <w:b/>
                <w:spacing w:val="-1"/>
                <w:sz w:val="18"/>
              </w:rPr>
              <w:t> </w:t>
            </w:r>
            <w:r>
              <w:rPr>
                <w:b/>
                <w:sz w:val="18"/>
              </w:rPr>
              <w:t>integral,</w:t>
            </w:r>
            <w:r>
              <w:rPr>
                <w:b/>
                <w:spacing w:val="-1"/>
                <w:sz w:val="18"/>
              </w:rPr>
              <w:t> </w:t>
            </w:r>
            <w:r>
              <w:rPr>
                <w:b/>
                <w:sz w:val="18"/>
              </w:rPr>
              <w:t>gestión</w:t>
            </w:r>
            <w:r>
              <w:rPr>
                <w:b/>
                <w:spacing w:val="-3"/>
                <w:sz w:val="18"/>
              </w:rPr>
              <w:t> </w:t>
            </w:r>
            <w:r>
              <w:rPr>
                <w:b/>
                <w:sz w:val="18"/>
              </w:rPr>
              <w:t>de procesos y proyectos, y otorgamiento de recursos que contribuyan a la disminución de la pobreza en costa rica.</w:t>
            </w:r>
          </w:p>
        </w:tc>
      </w:tr>
      <w:tr>
        <w:trPr>
          <w:trHeight w:val="691" w:hRule="atLeast"/>
        </w:trPr>
        <w:tc>
          <w:tcPr>
            <w:tcW w:w="14749" w:type="dxa"/>
            <w:gridSpan w:val="10"/>
            <w:shd w:val="clear" w:color="auto" w:fill="DBE4F0"/>
          </w:tcPr>
          <w:p>
            <w:pPr>
              <w:pStyle w:val="TableParagraph"/>
              <w:spacing w:before="138"/>
              <w:ind w:left="69" w:right="151"/>
              <w:rPr>
                <w:b/>
                <w:sz w:val="18"/>
              </w:rPr>
            </w:pPr>
            <w:r>
              <w:rPr>
                <w:b/>
                <w:sz w:val="18"/>
              </w:rPr>
              <w:t>Producto</w:t>
            </w:r>
            <w:r>
              <w:rPr>
                <w:b/>
                <w:spacing w:val="-2"/>
                <w:sz w:val="18"/>
              </w:rPr>
              <w:t> </w:t>
            </w:r>
            <w:r>
              <w:rPr>
                <w:b/>
                <w:sz w:val="18"/>
              </w:rPr>
              <w:t>PPPS</w:t>
            </w:r>
            <w:r>
              <w:rPr>
                <w:b/>
                <w:spacing w:val="-2"/>
                <w:sz w:val="18"/>
              </w:rPr>
              <w:t> </w:t>
            </w:r>
            <w:r>
              <w:rPr>
                <w:b/>
                <w:sz w:val="18"/>
              </w:rPr>
              <w:t>1.1:</w:t>
            </w:r>
            <w:r>
              <w:rPr>
                <w:b/>
                <w:spacing w:val="-2"/>
                <w:sz w:val="18"/>
              </w:rPr>
              <w:t> </w:t>
            </w:r>
            <w:r>
              <w:rPr>
                <w:b/>
                <w:sz w:val="18"/>
              </w:rPr>
              <w:t>Oferta</w:t>
            </w:r>
            <w:r>
              <w:rPr>
                <w:b/>
                <w:spacing w:val="-2"/>
                <w:sz w:val="18"/>
              </w:rPr>
              <w:t> </w:t>
            </w:r>
            <w:r>
              <w:rPr>
                <w:b/>
                <w:sz w:val="18"/>
              </w:rPr>
              <w:t>programática</w:t>
            </w:r>
            <w:r>
              <w:rPr>
                <w:b/>
                <w:spacing w:val="-2"/>
                <w:sz w:val="18"/>
              </w:rPr>
              <w:t> </w:t>
            </w:r>
            <w:r>
              <w:rPr>
                <w:b/>
                <w:sz w:val="18"/>
              </w:rPr>
              <w:t>institucional</w:t>
            </w:r>
            <w:r>
              <w:rPr>
                <w:b/>
                <w:spacing w:val="-4"/>
                <w:sz w:val="18"/>
              </w:rPr>
              <w:t> </w:t>
            </w:r>
            <w:r>
              <w:rPr>
                <w:b/>
                <w:sz w:val="18"/>
              </w:rPr>
              <w:t>en</w:t>
            </w:r>
            <w:r>
              <w:rPr>
                <w:b/>
                <w:spacing w:val="-4"/>
                <w:sz w:val="18"/>
              </w:rPr>
              <w:t> </w:t>
            </w:r>
            <w:r>
              <w:rPr>
                <w:b/>
                <w:sz w:val="18"/>
              </w:rPr>
              <w:t>protección</w:t>
            </w:r>
            <w:r>
              <w:rPr>
                <w:b/>
                <w:spacing w:val="-2"/>
                <w:sz w:val="18"/>
              </w:rPr>
              <w:t> </w:t>
            </w:r>
            <w:r>
              <w:rPr>
                <w:b/>
                <w:sz w:val="18"/>
              </w:rPr>
              <w:t>social</w:t>
            </w:r>
            <w:r>
              <w:rPr>
                <w:b/>
                <w:spacing w:val="-2"/>
                <w:sz w:val="18"/>
              </w:rPr>
              <w:t> </w:t>
            </w:r>
            <w:r>
              <w:rPr>
                <w:b/>
                <w:sz w:val="18"/>
              </w:rPr>
              <w:t>que</w:t>
            </w:r>
            <w:r>
              <w:rPr>
                <w:b/>
                <w:spacing w:val="-2"/>
                <w:sz w:val="18"/>
              </w:rPr>
              <w:t> </w:t>
            </w:r>
            <w:r>
              <w:rPr>
                <w:b/>
                <w:sz w:val="18"/>
              </w:rPr>
              <w:t>contribuye</w:t>
            </w:r>
            <w:r>
              <w:rPr>
                <w:b/>
                <w:spacing w:val="-2"/>
                <w:sz w:val="18"/>
              </w:rPr>
              <w:t> </w:t>
            </w:r>
            <w:r>
              <w:rPr>
                <w:b/>
                <w:sz w:val="18"/>
              </w:rPr>
              <w:t>a</w:t>
            </w:r>
            <w:r>
              <w:rPr>
                <w:b/>
                <w:spacing w:val="-4"/>
                <w:sz w:val="18"/>
              </w:rPr>
              <w:t> </w:t>
            </w:r>
            <w:r>
              <w:rPr>
                <w:b/>
                <w:sz w:val="18"/>
              </w:rPr>
              <w:t>la</w:t>
            </w:r>
            <w:r>
              <w:rPr>
                <w:b/>
                <w:spacing w:val="-2"/>
                <w:sz w:val="18"/>
              </w:rPr>
              <w:t> </w:t>
            </w:r>
            <w:r>
              <w:rPr>
                <w:b/>
                <w:sz w:val="18"/>
              </w:rPr>
              <w:t>satisfacción</w:t>
            </w:r>
            <w:r>
              <w:rPr>
                <w:b/>
                <w:spacing w:val="-2"/>
                <w:sz w:val="18"/>
              </w:rPr>
              <w:t> </w:t>
            </w:r>
            <w:r>
              <w:rPr>
                <w:b/>
                <w:sz w:val="18"/>
              </w:rPr>
              <w:t>de</w:t>
            </w:r>
            <w:r>
              <w:rPr>
                <w:b/>
                <w:spacing w:val="-4"/>
                <w:sz w:val="18"/>
              </w:rPr>
              <w:t> </w:t>
            </w:r>
            <w:r>
              <w:rPr>
                <w:b/>
                <w:sz w:val="18"/>
              </w:rPr>
              <w:t>las</w:t>
            </w:r>
            <w:r>
              <w:rPr>
                <w:b/>
                <w:spacing w:val="-4"/>
                <w:sz w:val="18"/>
              </w:rPr>
              <w:t> </w:t>
            </w:r>
            <w:r>
              <w:rPr>
                <w:b/>
                <w:sz w:val="18"/>
              </w:rPr>
              <w:t>necesidades básicas</w:t>
            </w:r>
            <w:r>
              <w:rPr>
                <w:b/>
                <w:spacing w:val="-2"/>
                <w:sz w:val="18"/>
              </w:rPr>
              <w:t> </w:t>
            </w:r>
            <w:r>
              <w:rPr>
                <w:b/>
                <w:sz w:val="18"/>
              </w:rPr>
              <w:t>de</w:t>
            </w:r>
            <w:r>
              <w:rPr>
                <w:b/>
                <w:spacing w:val="-4"/>
                <w:sz w:val="18"/>
              </w:rPr>
              <w:t> </w:t>
            </w:r>
            <w:r>
              <w:rPr>
                <w:b/>
                <w:sz w:val="18"/>
              </w:rPr>
              <w:t>personas</w:t>
            </w:r>
            <w:r>
              <w:rPr>
                <w:b/>
                <w:spacing w:val="-4"/>
                <w:sz w:val="18"/>
              </w:rPr>
              <w:t> </w:t>
            </w:r>
            <w:r>
              <w:rPr>
                <w:b/>
                <w:sz w:val="18"/>
              </w:rPr>
              <w:t>y</w:t>
            </w:r>
            <w:r>
              <w:rPr>
                <w:b/>
                <w:spacing w:val="-2"/>
                <w:sz w:val="18"/>
              </w:rPr>
              <w:t> </w:t>
            </w:r>
            <w:r>
              <w:rPr>
                <w:b/>
                <w:sz w:val="18"/>
              </w:rPr>
              <w:t>hogares</w:t>
            </w:r>
            <w:r>
              <w:rPr>
                <w:b/>
                <w:spacing w:val="-2"/>
                <w:sz w:val="18"/>
              </w:rPr>
              <w:t> </w:t>
            </w:r>
            <w:r>
              <w:rPr>
                <w:b/>
                <w:sz w:val="18"/>
              </w:rPr>
              <w:t>en situación de pobreza, u organizaciones que atienden poblaciones en dicha situación.</w:t>
            </w:r>
          </w:p>
        </w:tc>
      </w:tr>
      <w:tr>
        <w:trPr>
          <w:trHeight w:val="2899" w:hRule="atLeast"/>
        </w:trPr>
        <w:tc>
          <w:tcPr>
            <w:tcW w:w="1983" w:type="dxa"/>
          </w:tcPr>
          <w:p>
            <w:pPr>
              <w:pStyle w:val="TableParagraph"/>
              <w:ind w:left="69" w:right="556"/>
              <w:rPr>
                <w:b/>
                <w:sz w:val="18"/>
              </w:rPr>
            </w:pPr>
            <w:r>
              <w:rPr>
                <w:b/>
                <w:sz w:val="18"/>
              </w:rPr>
              <w:t>Actividad</w:t>
            </w:r>
            <w:r>
              <w:rPr>
                <w:b/>
                <w:spacing w:val="-13"/>
                <w:sz w:val="18"/>
              </w:rPr>
              <w:t> </w:t>
            </w:r>
            <w:r>
              <w:rPr>
                <w:b/>
                <w:sz w:val="18"/>
              </w:rPr>
              <w:t>PPPS </w:t>
            </w:r>
            <w:r>
              <w:rPr>
                <w:b/>
                <w:spacing w:val="-2"/>
                <w:sz w:val="18"/>
              </w:rPr>
              <w:t>1.1.1:</w:t>
            </w:r>
          </w:p>
          <w:p>
            <w:pPr>
              <w:pStyle w:val="TableParagraph"/>
              <w:ind w:left="69" w:right="60"/>
              <w:rPr>
                <w:b/>
                <w:i/>
                <w:sz w:val="18"/>
              </w:rPr>
            </w:pPr>
            <w:r>
              <w:rPr>
                <w:sz w:val="18"/>
              </w:rPr>
              <w:t>Otorgamiento del subsidio Atención a Familias a hogares en situación de pobreza, como un aporte económico temporal para la satisfacción de sus necesidades básicas </w:t>
            </w:r>
            <w:r>
              <w:rPr>
                <w:b/>
                <w:i/>
                <w:sz w:val="18"/>
              </w:rPr>
              <w:t>(vinculación</w:t>
            </w:r>
            <w:r>
              <w:rPr>
                <w:b/>
                <w:i/>
                <w:sz w:val="18"/>
              </w:rPr>
              <w:t> con</w:t>
            </w:r>
            <w:r>
              <w:rPr>
                <w:b/>
                <w:i/>
                <w:spacing w:val="-12"/>
                <w:sz w:val="18"/>
              </w:rPr>
              <w:t> </w:t>
            </w:r>
            <w:r>
              <w:rPr>
                <w:b/>
                <w:i/>
                <w:sz w:val="18"/>
              </w:rPr>
              <w:t>vinculado</w:t>
            </w:r>
            <w:r>
              <w:rPr>
                <w:b/>
                <w:i/>
                <w:spacing w:val="-12"/>
                <w:sz w:val="18"/>
              </w:rPr>
              <w:t> </w:t>
            </w:r>
            <w:r>
              <w:rPr>
                <w:b/>
                <w:i/>
                <w:sz w:val="18"/>
              </w:rPr>
              <w:t>al</w:t>
            </w:r>
            <w:r>
              <w:rPr>
                <w:b/>
                <w:i/>
                <w:spacing w:val="-12"/>
                <w:sz w:val="18"/>
              </w:rPr>
              <w:t> </w:t>
            </w:r>
            <w:r>
              <w:rPr>
                <w:b/>
                <w:i/>
                <w:sz w:val="18"/>
              </w:rPr>
              <w:t>PEN y a los indicadores</w:t>
            </w:r>
          </w:p>
          <w:p>
            <w:pPr>
              <w:pStyle w:val="TableParagraph"/>
              <w:spacing w:line="188" w:lineRule="exact"/>
              <w:ind w:left="69"/>
              <w:rPr>
                <w:b/>
                <w:i/>
                <w:sz w:val="18"/>
              </w:rPr>
            </w:pPr>
            <w:r>
              <w:rPr>
                <w:b/>
                <w:i/>
                <w:sz w:val="18"/>
              </w:rPr>
              <w:t>2.3.2</w:t>
            </w:r>
            <w:r>
              <w:rPr>
                <w:b/>
                <w:i/>
                <w:spacing w:val="-4"/>
                <w:sz w:val="18"/>
              </w:rPr>
              <w:t> </w:t>
            </w:r>
            <w:r>
              <w:rPr>
                <w:b/>
                <w:i/>
                <w:sz w:val="18"/>
              </w:rPr>
              <w:t>y</w:t>
            </w:r>
            <w:r>
              <w:rPr>
                <w:b/>
                <w:i/>
                <w:spacing w:val="-2"/>
                <w:sz w:val="18"/>
              </w:rPr>
              <w:t> </w:t>
            </w:r>
            <w:r>
              <w:rPr>
                <w:b/>
                <w:i/>
                <w:sz w:val="18"/>
              </w:rPr>
              <w:t>2.6.1</w:t>
            </w:r>
            <w:r>
              <w:rPr>
                <w:b/>
                <w:i/>
                <w:spacing w:val="-2"/>
                <w:sz w:val="18"/>
              </w:rPr>
              <w:t> </w:t>
            </w:r>
            <w:r>
              <w:rPr>
                <w:b/>
                <w:i/>
                <w:sz w:val="18"/>
              </w:rPr>
              <w:t>de</w:t>
            </w:r>
            <w:r>
              <w:rPr>
                <w:b/>
                <w:i/>
                <w:spacing w:val="-1"/>
                <w:sz w:val="18"/>
              </w:rPr>
              <w:t> </w:t>
            </w:r>
            <w:r>
              <w:rPr>
                <w:b/>
                <w:i/>
                <w:spacing w:val="-5"/>
                <w:sz w:val="18"/>
              </w:rPr>
              <w:t>la</w:t>
            </w:r>
          </w:p>
        </w:tc>
        <w:tc>
          <w:tcPr>
            <w:tcW w:w="1277"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69" w:right="190"/>
              <w:rPr>
                <w:sz w:val="18"/>
              </w:rPr>
            </w:pPr>
            <w:r>
              <w:rPr>
                <w:sz w:val="18"/>
              </w:rPr>
              <w:t>Cantidad</w:t>
            </w:r>
            <w:r>
              <w:rPr>
                <w:spacing w:val="-7"/>
                <w:sz w:val="18"/>
              </w:rPr>
              <w:t> </w:t>
            </w:r>
            <w:r>
              <w:rPr>
                <w:sz w:val="18"/>
              </w:rPr>
              <w:t>de hogares</w:t>
            </w:r>
            <w:r>
              <w:rPr>
                <w:spacing w:val="-13"/>
                <w:sz w:val="18"/>
              </w:rPr>
              <w:t> </w:t>
            </w:r>
            <w:r>
              <w:rPr>
                <w:sz w:val="18"/>
              </w:rPr>
              <w:t>que reciben el subsidio de atención a </w:t>
            </w:r>
            <w:r>
              <w:rPr>
                <w:spacing w:val="-2"/>
                <w:sz w:val="18"/>
              </w:rPr>
              <w:t>familias.</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656"/>
              <w:rPr>
                <w:sz w:val="18"/>
              </w:rPr>
            </w:pPr>
            <w:r>
              <w:rPr>
                <w:sz w:val="18"/>
              </w:rPr>
              <w:t>43 </w:t>
            </w:r>
            <w:r>
              <w:rPr>
                <w:spacing w:val="-5"/>
                <w:sz w:val="18"/>
              </w:rPr>
              <w:t>500</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207"/>
              <w:rPr>
                <w:sz w:val="18"/>
              </w:rPr>
            </w:pPr>
            <w:r>
              <w:rPr>
                <w:sz w:val="18"/>
              </w:rPr>
              <w:t>₡7</w:t>
            </w:r>
            <w:r>
              <w:rPr>
                <w:spacing w:val="-1"/>
                <w:sz w:val="18"/>
              </w:rPr>
              <w:t> </w:t>
            </w:r>
            <w:r>
              <w:rPr>
                <w:sz w:val="18"/>
              </w:rPr>
              <w:t>770</w:t>
            </w:r>
            <w:r>
              <w:rPr>
                <w:spacing w:val="-2"/>
                <w:sz w:val="18"/>
              </w:rPr>
              <w:t> </w:t>
            </w:r>
            <w:r>
              <w:rPr>
                <w:sz w:val="18"/>
              </w:rPr>
              <w:t>000</w:t>
            </w:r>
            <w:r>
              <w:rPr>
                <w:spacing w:val="-2"/>
                <w:sz w:val="18"/>
              </w:rPr>
              <w:t> </w:t>
            </w:r>
            <w:r>
              <w:rPr>
                <w:spacing w:val="-5"/>
                <w:sz w:val="18"/>
              </w:rPr>
              <w:t>000</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650"/>
              <w:rPr>
                <w:sz w:val="18"/>
              </w:rPr>
            </w:pPr>
            <w:r>
              <w:rPr>
                <w:sz w:val="18"/>
              </w:rPr>
              <w:t>46 </w:t>
            </w:r>
            <w:r>
              <w:rPr>
                <w:spacing w:val="-5"/>
                <w:sz w:val="18"/>
              </w:rPr>
              <w:t>500</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45" w:right="3"/>
              <w:jc w:val="center"/>
              <w:rPr>
                <w:sz w:val="18"/>
              </w:rPr>
            </w:pPr>
            <w:r>
              <w:rPr>
                <w:sz w:val="18"/>
              </w:rPr>
              <w:t>₡11</w:t>
            </w:r>
            <w:r>
              <w:rPr>
                <w:spacing w:val="-3"/>
                <w:sz w:val="18"/>
              </w:rPr>
              <w:t> </w:t>
            </w:r>
            <w:r>
              <w:rPr>
                <w:sz w:val="18"/>
              </w:rPr>
              <w:t>570</w:t>
            </w:r>
            <w:r>
              <w:rPr>
                <w:spacing w:val="-3"/>
                <w:sz w:val="18"/>
              </w:rPr>
              <w:t> </w:t>
            </w:r>
            <w:r>
              <w:rPr>
                <w:sz w:val="18"/>
              </w:rPr>
              <w:t>000</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654"/>
              <w:rPr>
                <w:sz w:val="18"/>
              </w:rPr>
            </w:pPr>
            <w:r>
              <w:rPr>
                <w:sz w:val="18"/>
              </w:rPr>
              <w:t>46 </w:t>
            </w:r>
            <w:r>
              <w:rPr>
                <w:spacing w:val="-5"/>
                <w:sz w:val="18"/>
              </w:rPr>
              <w:t>500</w:t>
            </w: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36" w:right="2"/>
              <w:jc w:val="center"/>
              <w:rPr>
                <w:sz w:val="18"/>
              </w:rPr>
            </w:pPr>
            <w:r>
              <w:rPr>
                <w:sz w:val="18"/>
              </w:rPr>
              <w:t>₡14</w:t>
            </w:r>
            <w:r>
              <w:rPr>
                <w:spacing w:val="-3"/>
                <w:sz w:val="18"/>
              </w:rPr>
              <w:t> </w:t>
            </w:r>
            <w:r>
              <w:rPr>
                <w:sz w:val="18"/>
              </w:rPr>
              <w:t>270</w:t>
            </w:r>
            <w:r>
              <w:rPr>
                <w:spacing w:val="-3"/>
                <w:sz w:val="18"/>
              </w:rPr>
              <w:t> </w:t>
            </w:r>
            <w:r>
              <w:rPr>
                <w:sz w:val="18"/>
              </w:rPr>
              <w:t>000</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654"/>
              <w:rPr>
                <w:sz w:val="18"/>
              </w:rPr>
            </w:pPr>
            <w:r>
              <w:rPr>
                <w:sz w:val="18"/>
              </w:rPr>
              <w:t>46 </w:t>
            </w:r>
            <w:r>
              <w:rPr>
                <w:spacing w:val="-5"/>
                <w:sz w:val="18"/>
              </w:rPr>
              <w:t>500</w:t>
            </w:r>
          </w:p>
        </w:tc>
        <w:tc>
          <w:tcPr>
            <w:tcW w:w="17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243"/>
              <w:rPr>
                <w:sz w:val="18"/>
              </w:rPr>
            </w:pPr>
            <w:r>
              <w:rPr>
                <w:sz w:val="18"/>
              </w:rPr>
              <w:t>₡16 224</w:t>
            </w:r>
            <w:r>
              <w:rPr>
                <w:spacing w:val="-3"/>
                <w:sz w:val="18"/>
              </w:rPr>
              <w:t> </w:t>
            </w:r>
            <w:r>
              <w:rPr>
                <w:sz w:val="18"/>
              </w:rPr>
              <w:t>029</w:t>
            </w:r>
            <w:r>
              <w:rPr>
                <w:spacing w:val="-2"/>
                <w:sz w:val="18"/>
              </w:rPr>
              <w:t> </w:t>
            </w:r>
            <w:r>
              <w:rPr>
                <w:spacing w:val="-5"/>
                <w:sz w:val="18"/>
              </w:rPr>
              <w:t>867</w:t>
            </w:r>
          </w:p>
        </w:tc>
      </w:tr>
    </w:tbl>
    <w:p>
      <w:pPr>
        <w:pStyle w:val="TableParagraph"/>
        <w:spacing w:after="0"/>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3"/>
        <w:gridCol w:w="1277"/>
        <w:gridCol w:w="1278"/>
        <w:gridCol w:w="1561"/>
        <w:gridCol w:w="1275"/>
        <w:gridCol w:w="1561"/>
        <w:gridCol w:w="1277"/>
        <w:gridCol w:w="1558"/>
        <w:gridCol w:w="1277"/>
        <w:gridCol w:w="1702"/>
      </w:tblGrid>
      <w:tr>
        <w:trPr>
          <w:trHeight w:val="510" w:hRule="atLeast"/>
        </w:trPr>
        <w:tc>
          <w:tcPr>
            <w:tcW w:w="1983" w:type="dxa"/>
            <w:vMerge w:val="restart"/>
            <w:shd w:val="clear" w:color="auto" w:fill="F1F1F1"/>
          </w:tcPr>
          <w:p>
            <w:pPr>
              <w:pStyle w:val="TableParagraph"/>
              <w:spacing w:before="70"/>
              <w:rPr>
                <w:b/>
                <w:sz w:val="18"/>
              </w:rPr>
            </w:pPr>
          </w:p>
          <w:p>
            <w:pPr>
              <w:pStyle w:val="TableParagraph"/>
              <w:ind w:left="506" w:right="403" w:firstLine="24"/>
              <w:rPr>
                <w:b/>
                <w:sz w:val="18"/>
              </w:rPr>
            </w:pPr>
            <w:r>
              <w:rPr>
                <w:b/>
                <w:sz w:val="18"/>
              </w:rPr>
              <w:t>Objetivos</w:t>
            </w:r>
            <w:r>
              <w:rPr>
                <w:b/>
                <w:spacing w:val="-12"/>
                <w:sz w:val="18"/>
              </w:rPr>
              <w:t> </w:t>
            </w:r>
            <w:r>
              <w:rPr>
                <w:b/>
                <w:sz w:val="18"/>
              </w:rPr>
              <w:t>/ </w:t>
            </w:r>
            <w:r>
              <w:rPr>
                <w:b/>
                <w:spacing w:val="-2"/>
                <w:sz w:val="18"/>
              </w:rPr>
              <w:t>Resultados</w:t>
            </w:r>
          </w:p>
        </w:tc>
        <w:tc>
          <w:tcPr>
            <w:tcW w:w="1277" w:type="dxa"/>
            <w:vMerge w:val="restart"/>
            <w:shd w:val="clear" w:color="auto" w:fill="F1F1F1"/>
          </w:tcPr>
          <w:p>
            <w:pPr>
              <w:pStyle w:val="TableParagraph"/>
              <w:spacing w:before="173"/>
              <w:rPr>
                <w:b/>
                <w:sz w:val="18"/>
              </w:rPr>
            </w:pPr>
          </w:p>
          <w:p>
            <w:pPr>
              <w:pStyle w:val="TableParagraph"/>
              <w:ind w:left="232"/>
              <w:rPr>
                <w:b/>
                <w:sz w:val="18"/>
              </w:rPr>
            </w:pPr>
            <w:r>
              <w:rPr>
                <w:b/>
                <w:spacing w:val="-2"/>
                <w:sz w:val="18"/>
              </w:rPr>
              <w:t>Indicador</w:t>
            </w:r>
          </w:p>
        </w:tc>
        <w:tc>
          <w:tcPr>
            <w:tcW w:w="2839" w:type="dxa"/>
            <w:gridSpan w:val="2"/>
            <w:shd w:val="clear" w:color="auto" w:fill="F1F1F1"/>
          </w:tcPr>
          <w:p>
            <w:pPr>
              <w:pStyle w:val="TableParagraph"/>
              <w:spacing w:before="150"/>
              <w:ind w:left="7"/>
              <w:jc w:val="center"/>
              <w:rPr>
                <w:b/>
                <w:sz w:val="18"/>
              </w:rPr>
            </w:pPr>
            <w:r>
              <w:rPr>
                <w:b/>
                <w:sz w:val="18"/>
              </w:rPr>
              <w:t>I </w:t>
            </w:r>
            <w:r>
              <w:rPr>
                <w:b/>
                <w:spacing w:val="-2"/>
                <w:sz w:val="18"/>
              </w:rPr>
              <w:t>Trimestre</w:t>
            </w:r>
          </w:p>
        </w:tc>
        <w:tc>
          <w:tcPr>
            <w:tcW w:w="2836" w:type="dxa"/>
            <w:gridSpan w:val="2"/>
            <w:shd w:val="clear" w:color="auto" w:fill="F1F1F1"/>
          </w:tcPr>
          <w:p>
            <w:pPr>
              <w:pStyle w:val="TableParagraph"/>
              <w:spacing w:before="150"/>
              <w:ind w:left="928"/>
              <w:rPr>
                <w:b/>
                <w:sz w:val="18"/>
              </w:rPr>
            </w:pPr>
            <w:r>
              <w:rPr>
                <w:b/>
                <w:sz w:val="18"/>
              </w:rPr>
              <w:t>II </w:t>
            </w:r>
            <w:r>
              <w:rPr>
                <w:b/>
                <w:spacing w:val="-2"/>
                <w:sz w:val="18"/>
              </w:rPr>
              <w:t>Trimestre</w:t>
            </w:r>
          </w:p>
        </w:tc>
        <w:tc>
          <w:tcPr>
            <w:tcW w:w="2835" w:type="dxa"/>
            <w:gridSpan w:val="2"/>
            <w:shd w:val="clear" w:color="auto" w:fill="F1F1F1"/>
          </w:tcPr>
          <w:p>
            <w:pPr>
              <w:pStyle w:val="TableParagraph"/>
              <w:spacing w:before="150"/>
              <w:ind w:left="901"/>
              <w:rPr>
                <w:b/>
                <w:sz w:val="18"/>
              </w:rPr>
            </w:pPr>
            <w:r>
              <w:rPr>
                <w:b/>
                <w:sz w:val="18"/>
              </w:rPr>
              <w:t>III </w:t>
            </w:r>
            <w:r>
              <w:rPr>
                <w:b/>
                <w:spacing w:val="-2"/>
                <w:sz w:val="18"/>
              </w:rPr>
              <w:t>Trimestre</w:t>
            </w:r>
          </w:p>
        </w:tc>
        <w:tc>
          <w:tcPr>
            <w:tcW w:w="2979" w:type="dxa"/>
            <w:gridSpan w:val="2"/>
            <w:shd w:val="clear" w:color="auto" w:fill="F1F1F1"/>
          </w:tcPr>
          <w:p>
            <w:pPr>
              <w:pStyle w:val="TableParagraph"/>
              <w:spacing w:before="150"/>
              <w:ind w:left="963"/>
              <w:rPr>
                <w:b/>
                <w:sz w:val="18"/>
              </w:rPr>
            </w:pPr>
            <w:r>
              <w:rPr>
                <w:b/>
                <w:sz w:val="18"/>
              </w:rPr>
              <w:t>IV </w:t>
            </w:r>
            <w:r>
              <w:rPr>
                <w:b/>
                <w:spacing w:val="-2"/>
                <w:sz w:val="18"/>
              </w:rPr>
              <w:t>Trimestre</w:t>
            </w:r>
          </w:p>
        </w:tc>
      </w:tr>
      <w:tr>
        <w:trPr>
          <w:trHeight w:val="448" w:hRule="atLeast"/>
        </w:trPr>
        <w:tc>
          <w:tcPr>
            <w:tcW w:w="1983" w:type="dxa"/>
            <w:vMerge/>
            <w:tcBorders>
              <w:top w:val="nil"/>
            </w:tcBorders>
            <w:shd w:val="clear" w:color="auto" w:fill="F1F1F1"/>
          </w:tcPr>
          <w:p>
            <w:pPr>
              <w:rPr>
                <w:sz w:val="2"/>
                <w:szCs w:val="2"/>
              </w:rPr>
            </w:pPr>
          </w:p>
        </w:tc>
        <w:tc>
          <w:tcPr>
            <w:tcW w:w="1277" w:type="dxa"/>
            <w:vMerge/>
            <w:tcBorders>
              <w:top w:val="nil"/>
            </w:tcBorders>
            <w:shd w:val="clear" w:color="auto" w:fill="F1F1F1"/>
          </w:tcPr>
          <w:p>
            <w:pPr>
              <w:rPr>
                <w:sz w:val="2"/>
                <w:szCs w:val="2"/>
              </w:rPr>
            </w:pPr>
          </w:p>
        </w:tc>
        <w:tc>
          <w:tcPr>
            <w:tcW w:w="1278" w:type="dxa"/>
            <w:shd w:val="clear" w:color="auto" w:fill="F1F1F1"/>
          </w:tcPr>
          <w:p>
            <w:pPr>
              <w:pStyle w:val="TableParagraph"/>
              <w:spacing w:line="210" w:lineRule="atLeast" w:before="8"/>
              <w:ind w:left="116"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0"/>
              <w:jc w:val="center"/>
              <w:rPr>
                <w:b/>
                <w:sz w:val="18"/>
              </w:rPr>
            </w:pPr>
            <w:r>
              <w:rPr>
                <w:b/>
                <w:spacing w:val="-10"/>
                <w:sz w:val="18"/>
              </w:rPr>
              <w:t>¢</w:t>
            </w:r>
          </w:p>
        </w:tc>
        <w:tc>
          <w:tcPr>
            <w:tcW w:w="1275" w:type="dxa"/>
            <w:shd w:val="clear" w:color="auto" w:fill="F1F1F1"/>
          </w:tcPr>
          <w:p>
            <w:pPr>
              <w:pStyle w:val="TableParagraph"/>
              <w:spacing w:line="210" w:lineRule="atLeast" w:before="8"/>
              <w:ind w:left="112"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2"/>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558" w:type="dxa"/>
            <w:shd w:val="clear" w:color="auto" w:fill="F1F1F1"/>
          </w:tcPr>
          <w:p>
            <w:pPr>
              <w:pStyle w:val="TableParagraph"/>
              <w:spacing w:before="119"/>
              <w:ind w:left="34" w:right="34"/>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702" w:type="dxa"/>
            <w:shd w:val="clear" w:color="auto" w:fill="F1F1F1"/>
          </w:tcPr>
          <w:p>
            <w:pPr>
              <w:pStyle w:val="TableParagraph"/>
              <w:spacing w:before="119"/>
              <w:jc w:val="center"/>
              <w:rPr>
                <w:b/>
                <w:sz w:val="18"/>
              </w:rPr>
            </w:pPr>
            <w:r>
              <w:rPr>
                <w:b/>
                <w:spacing w:val="-10"/>
                <w:sz w:val="18"/>
              </w:rPr>
              <w:t>¢</w:t>
            </w:r>
          </w:p>
        </w:tc>
      </w:tr>
      <w:tr>
        <w:trPr>
          <w:trHeight w:val="2191" w:hRule="atLeast"/>
        </w:trPr>
        <w:tc>
          <w:tcPr>
            <w:tcW w:w="1983" w:type="dxa"/>
          </w:tcPr>
          <w:p>
            <w:pPr>
              <w:pStyle w:val="TableParagraph"/>
              <w:spacing w:before="1"/>
              <w:ind w:left="69" w:right="556"/>
              <w:rPr>
                <w:b/>
                <w:i/>
                <w:sz w:val="18"/>
              </w:rPr>
            </w:pPr>
            <w:r>
              <w:rPr>
                <w:b/>
                <w:i/>
                <w:sz w:val="18"/>
              </w:rPr>
              <w:t>PIEG;</w:t>
            </w:r>
            <w:r>
              <w:rPr>
                <w:b/>
                <w:i/>
                <w:spacing w:val="-13"/>
                <w:sz w:val="18"/>
              </w:rPr>
              <w:t> </w:t>
            </w:r>
            <w:r>
              <w:rPr>
                <w:b/>
                <w:i/>
                <w:sz w:val="18"/>
              </w:rPr>
              <w:t>PLANOVI</w:t>
            </w:r>
            <w:r>
              <w:rPr>
                <w:b/>
                <w:i/>
                <w:sz w:val="18"/>
              </w:rPr>
              <w:t> </w:t>
            </w:r>
            <w:r>
              <w:rPr>
                <w:b/>
                <w:i/>
                <w:spacing w:val="-2"/>
                <w:sz w:val="18"/>
              </w:rPr>
              <w:t>6.3.1)</w:t>
            </w:r>
          </w:p>
        </w:tc>
        <w:tc>
          <w:tcPr>
            <w:tcW w:w="1277" w:type="dxa"/>
          </w:tcPr>
          <w:p>
            <w:pPr>
              <w:pStyle w:val="TableParagraph"/>
              <w:rPr>
                <w:rFonts w:ascii="Times New Roman"/>
                <w:sz w:val="18"/>
              </w:rPr>
            </w:pPr>
          </w:p>
        </w:tc>
        <w:tc>
          <w:tcPr>
            <w:tcW w:w="1278" w:type="dxa"/>
          </w:tcPr>
          <w:p>
            <w:pPr>
              <w:pStyle w:val="TableParagraph"/>
              <w:rPr>
                <w:rFonts w:ascii="Times New Roman"/>
                <w:sz w:val="18"/>
              </w:rPr>
            </w:pPr>
          </w:p>
        </w:tc>
        <w:tc>
          <w:tcPr>
            <w:tcW w:w="1561" w:type="dxa"/>
          </w:tcPr>
          <w:p>
            <w:pPr>
              <w:pStyle w:val="TableParagraph"/>
              <w:rPr>
                <w:rFonts w:ascii="Times New Roman"/>
                <w:sz w:val="18"/>
              </w:rPr>
            </w:pPr>
          </w:p>
        </w:tc>
        <w:tc>
          <w:tcPr>
            <w:tcW w:w="1275" w:type="dxa"/>
          </w:tcPr>
          <w:p>
            <w:pPr>
              <w:pStyle w:val="TableParagraph"/>
              <w:rPr>
                <w:rFonts w:ascii="Times New Roman"/>
                <w:sz w:val="18"/>
              </w:rPr>
            </w:pPr>
          </w:p>
        </w:tc>
        <w:tc>
          <w:tcPr>
            <w:tcW w:w="1561" w:type="dxa"/>
          </w:tcPr>
          <w:p>
            <w:pPr>
              <w:pStyle w:val="TableParagraph"/>
              <w:rPr>
                <w:rFonts w:ascii="Times New Roman"/>
                <w:sz w:val="18"/>
              </w:rPr>
            </w:pPr>
          </w:p>
        </w:tc>
        <w:tc>
          <w:tcPr>
            <w:tcW w:w="1277" w:type="dxa"/>
          </w:tcPr>
          <w:p>
            <w:pPr>
              <w:pStyle w:val="TableParagraph"/>
              <w:rPr>
                <w:rFonts w:ascii="Times New Roman"/>
                <w:sz w:val="18"/>
              </w:rPr>
            </w:pPr>
          </w:p>
        </w:tc>
        <w:tc>
          <w:tcPr>
            <w:tcW w:w="1558" w:type="dxa"/>
          </w:tcPr>
          <w:p>
            <w:pPr>
              <w:pStyle w:val="TableParagraph"/>
              <w:rPr>
                <w:rFonts w:ascii="Times New Roman"/>
                <w:sz w:val="18"/>
              </w:rPr>
            </w:pPr>
          </w:p>
        </w:tc>
        <w:tc>
          <w:tcPr>
            <w:tcW w:w="1277" w:type="dxa"/>
          </w:tcPr>
          <w:p>
            <w:pPr>
              <w:pStyle w:val="TableParagraph"/>
              <w:rPr>
                <w:rFonts w:ascii="Times New Roman"/>
                <w:sz w:val="18"/>
              </w:rPr>
            </w:pPr>
          </w:p>
        </w:tc>
        <w:tc>
          <w:tcPr>
            <w:tcW w:w="1702" w:type="dxa"/>
          </w:tcPr>
          <w:p>
            <w:pPr>
              <w:pStyle w:val="TableParagraph"/>
              <w:rPr>
                <w:rFonts w:ascii="Times New Roman"/>
                <w:sz w:val="18"/>
              </w:rPr>
            </w:pPr>
          </w:p>
        </w:tc>
      </w:tr>
      <w:tr>
        <w:trPr>
          <w:trHeight w:val="2899" w:hRule="atLeast"/>
        </w:trPr>
        <w:tc>
          <w:tcPr>
            <w:tcW w:w="1983" w:type="dxa"/>
          </w:tcPr>
          <w:p>
            <w:pPr>
              <w:pStyle w:val="TableParagraph"/>
              <w:spacing w:before="103"/>
              <w:rPr>
                <w:b/>
                <w:sz w:val="18"/>
              </w:rPr>
            </w:pPr>
          </w:p>
          <w:p>
            <w:pPr>
              <w:pStyle w:val="TableParagraph"/>
              <w:spacing w:before="1"/>
              <w:ind w:left="69" w:right="556"/>
              <w:rPr>
                <w:b/>
                <w:sz w:val="18"/>
              </w:rPr>
            </w:pPr>
            <w:r>
              <w:rPr>
                <w:b/>
                <w:sz w:val="18"/>
              </w:rPr>
              <w:t>Actividad</w:t>
            </w:r>
            <w:r>
              <w:rPr>
                <w:b/>
                <w:spacing w:val="-13"/>
                <w:sz w:val="18"/>
              </w:rPr>
              <w:t> </w:t>
            </w:r>
            <w:r>
              <w:rPr>
                <w:b/>
                <w:sz w:val="18"/>
              </w:rPr>
              <w:t>PPPS </w:t>
            </w:r>
            <w:r>
              <w:rPr>
                <w:b/>
                <w:spacing w:val="-2"/>
                <w:sz w:val="18"/>
              </w:rPr>
              <w:t>1.1.2:</w:t>
            </w:r>
          </w:p>
          <w:p>
            <w:pPr>
              <w:pStyle w:val="TableParagraph"/>
              <w:ind w:left="69" w:right="105"/>
              <w:rPr>
                <w:sz w:val="18"/>
              </w:rPr>
            </w:pPr>
            <w:r>
              <w:rPr>
                <w:sz w:val="18"/>
              </w:rPr>
              <w:t>Otorgamiento de </w:t>
            </w:r>
            <w:r>
              <w:rPr>
                <w:spacing w:val="-2"/>
                <w:sz w:val="18"/>
              </w:rPr>
              <w:t>transferencias </w:t>
            </w:r>
            <w:r>
              <w:rPr>
                <w:sz w:val="18"/>
              </w:rPr>
              <w:t>económicas a personas</w:t>
            </w:r>
            <w:r>
              <w:rPr>
                <w:spacing w:val="-13"/>
                <w:sz w:val="18"/>
              </w:rPr>
              <w:t> </w:t>
            </w:r>
            <w:r>
              <w:rPr>
                <w:sz w:val="18"/>
              </w:rPr>
              <w:t>trabajadoras con bajos ingresos que</w:t>
            </w:r>
            <w:r>
              <w:rPr>
                <w:spacing w:val="-9"/>
                <w:sz w:val="18"/>
              </w:rPr>
              <w:t> </w:t>
            </w:r>
            <w:r>
              <w:rPr>
                <w:sz w:val="18"/>
              </w:rPr>
              <w:t>tengan</w:t>
            </w:r>
            <w:r>
              <w:rPr>
                <w:spacing w:val="-9"/>
                <w:sz w:val="18"/>
              </w:rPr>
              <w:t> </w:t>
            </w:r>
            <w:r>
              <w:rPr>
                <w:sz w:val="18"/>
              </w:rPr>
              <w:t>a</w:t>
            </w:r>
            <w:r>
              <w:rPr>
                <w:spacing w:val="-11"/>
                <w:sz w:val="18"/>
              </w:rPr>
              <w:t> </w:t>
            </w:r>
            <w:r>
              <w:rPr>
                <w:sz w:val="18"/>
              </w:rPr>
              <w:t>su</w:t>
            </w:r>
            <w:r>
              <w:rPr>
                <w:spacing w:val="-11"/>
                <w:sz w:val="18"/>
              </w:rPr>
              <w:t> </w:t>
            </w:r>
            <w:r>
              <w:rPr>
                <w:sz w:val="18"/>
              </w:rPr>
              <w:t>cargo personas con </w:t>
            </w:r>
            <w:r>
              <w:rPr>
                <w:spacing w:val="-2"/>
                <w:sz w:val="18"/>
              </w:rPr>
              <w:t>discapacidad permanente.</w:t>
            </w:r>
          </w:p>
        </w:tc>
        <w:tc>
          <w:tcPr>
            <w:tcW w:w="1277" w:type="dxa"/>
          </w:tcPr>
          <w:p>
            <w:pPr>
              <w:pStyle w:val="TableParagraph"/>
              <w:ind w:left="69" w:right="58"/>
              <w:rPr>
                <w:sz w:val="18"/>
              </w:rPr>
            </w:pPr>
            <w:r>
              <w:rPr>
                <w:sz w:val="18"/>
              </w:rPr>
              <w:t>Cantidad de </w:t>
            </w:r>
            <w:r>
              <w:rPr>
                <w:spacing w:val="-2"/>
                <w:sz w:val="18"/>
              </w:rPr>
              <w:t>personas trabajadoras </w:t>
            </w:r>
            <w:r>
              <w:rPr>
                <w:sz w:val="18"/>
              </w:rPr>
              <w:t>con bajos ingresos que tengan a su </w:t>
            </w:r>
            <w:r>
              <w:rPr>
                <w:spacing w:val="-2"/>
                <w:sz w:val="18"/>
              </w:rPr>
              <w:t>cargo </w:t>
            </w:r>
            <w:r>
              <w:rPr>
                <w:sz w:val="18"/>
              </w:rPr>
              <w:t>personas con </w:t>
            </w:r>
            <w:r>
              <w:rPr>
                <w:spacing w:val="-2"/>
                <w:sz w:val="18"/>
              </w:rPr>
              <w:t>discapacidad </w:t>
            </w:r>
            <w:r>
              <w:rPr>
                <w:sz w:val="18"/>
              </w:rPr>
              <w:t>permanente</w:t>
            </w:r>
            <w:r>
              <w:rPr>
                <w:spacing w:val="-7"/>
                <w:sz w:val="18"/>
              </w:rPr>
              <w:t> </w:t>
            </w:r>
            <w:r>
              <w:rPr>
                <w:sz w:val="18"/>
              </w:rPr>
              <w:t>y que</w:t>
            </w:r>
            <w:r>
              <w:rPr>
                <w:spacing w:val="-15"/>
                <w:sz w:val="18"/>
              </w:rPr>
              <w:t> </w:t>
            </w:r>
            <w:r>
              <w:rPr>
                <w:sz w:val="18"/>
              </w:rPr>
              <w:t>reciben</w:t>
            </w:r>
            <w:r>
              <w:rPr>
                <w:spacing w:val="-12"/>
                <w:sz w:val="18"/>
              </w:rPr>
              <w:t> </w:t>
            </w:r>
            <w:r>
              <w:rPr>
                <w:sz w:val="18"/>
              </w:rPr>
              <w:t>el subsidio de </w:t>
            </w:r>
            <w:r>
              <w:rPr>
                <w:spacing w:val="-2"/>
                <w:sz w:val="18"/>
              </w:rPr>
              <w:t>Asignación</w:t>
            </w:r>
          </w:p>
          <w:p>
            <w:pPr>
              <w:pStyle w:val="TableParagraph"/>
              <w:spacing w:line="189" w:lineRule="exact"/>
              <w:ind w:left="69"/>
              <w:rPr>
                <w:sz w:val="18"/>
              </w:rPr>
            </w:pPr>
            <w:r>
              <w:rPr>
                <w:spacing w:val="-2"/>
                <w:sz w:val="18"/>
              </w:rPr>
              <w:t>Familiar.</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58"/>
              <w:jc w:val="right"/>
              <w:rPr>
                <w:sz w:val="18"/>
              </w:rPr>
            </w:pPr>
            <w:r>
              <w:rPr>
                <w:sz w:val="18"/>
              </w:rPr>
              <w:t>2 </w:t>
            </w:r>
            <w:r>
              <w:rPr>
                <w:spacing w:val="-5"/>
                <w:sz w:val="18"/>
              </w:rPr>
              <w:t>600</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58"/>
              <w:jc w:val="right"/>
              <w:rPr>
                <w:sz w:val="18"/>
              </w:rPr>
            </w:pPr>
            <w:r>
              <w:rPr>
                <w:sz w:val="18"/>
              </w:rPr>
              <w:t>₡785</w:t>
            </w:r>
            <w:r>
              <w:rPr>
                <w:spacing w:val="-2"/>
                <w:sz w:val="18"/>
              </w:rPr>
              <w:t> </w:t>
            </w:r>
            <w:r>
              <w:rPr>
                <w:sz w:val="18"/>
              </w:rPr>
              <w:t>664</w:t>
            </w:r>
            <w:r>
              <w:rPr>
                <w:spacing w:val="-2"/>
                <w:sz w:val="18"/>
              </w:rPr>
              <w:t> </w:t>
            </w:r>
            <w:r>
              <w:rPr>
                <w:spacing w:val="-5"/>
                <w:sz w:val="18"/>
              </w:rPr>
              <w:t>000</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61"/>
              <w:jc w:val="right"/>
              <w:rPr>
                <w:sz w:val="18"/>
              </w:rPr>
            </w:pPr>
            <w:r>
              <w:rPr>
                <w:sz w:val="18"/>
              </w:rPr>
              <w:t>2 </w:t>
            </w:r>
            <w:r>
              <w:rPr>
                <w:spacing w:val="-5"/>
                <w:sz w:val="18"/>
              </w:rPr>
              <w:t>625</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61"/>
              <w:jc w:val="right"/>
              <w:rPr>
                <w:sz w:val="18"/>
              </w:rPr>
            </w:pPr>
            <w:r>
              <w:rPr>
                <w:sz w:val="18"/>
              </w:rPr>
              <w:t>₡1</w:t>
            </w:r>
            <w:r>
              <w:rPr>
                <w:spacing w:val="-1"/>
                <w:sz w:val="18"/>
              </w:rPr>
              <w:t> </w:t>
            </w:r>
            <w:r>
              <w:rPr>
                <w:sz w:val="18"/>
              </w:rPr>
              <w:t>570</w:t>
            </w:r>
            <w:r>
              <w:rPr>
                <w:spacing w:val="-2"/>
                <w:sz w:val="18"/>
              </w:rPr>
              <w:t> </w:t>
            </w:r>
            <w:r>
              <w:rPr>
                <w:sz w:val="18"/>
              </w:rPr>
              <w:t>285</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60"/>
              <w:jc w:val="right"/>
              <w:rPr>
                <w:sz w:val="18"/>
              </w:rPr>
            </w:pPr>
            <w:r>
              <w:rPr>
                <w:sz w:val="18"/>
              </w:rPr>
              <w:t>4 </w:t>
            </w:r>
            <w:r>
              <w:rPr>
                <w:spacing w:val="-5"/>
                <w:sz w:val="18"/>
              </w:rPr>
              <w:t>000</w:t>
            </w: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63"/>
              <w:jc w:val="right"/>
              <w:rPr>
                <w:sz w:val="18"/>
              </w:rPr>
            </w:pPr>
            <w:r>
              <w:rPr>
                <w:sz w:val="18"/>
              </w:rPr>
              <w:t>₡2</w:t>
            </w:r>
            <w:r>
              <w:rPr>
                <w:spacing w:val="-1"/>
                <w:sz w:val="18"/>
              </w:rPr>
              <w:t> </w:t>
            </w:r>
            <w:r>
              <w:rPr>
                <w:sz w:val="18"/>
              </w:rPr>
              <w:t>406</w:t>
            </w:r>
            <w:r>
              <w:rPr>
                <w:spacing w:val="-2"/>
                <w:sz w:val="18"/>
              </w:rPr>
              <w:t> </w:t>
            </w:r>
            <w:r>
              <w:rPr>
                <w:sz w:val="18"/>
              </w:rPr>
              <w:t>750</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60"/>
              <w:jc w:val="right"/>
              <w:rPr>
                <w:sz w:val="18"/>
              </w:rPr>
            </w:pPr>
            <w:r>
              <w:rPr>
                <w:sz w:val="18"/>
              </w:rPr>
              <w:t>4 </w:t>
            </w:r>
            <w:r>
              <w:rPr>
                <w:spacing w:val="-5"/>
                <w:sz w:val="18"/>
              </w:rPr>
              <w:t>000</w:t>
            </w:r>
          </w:p>
        </w:tc>
        <w:tc>
          <w:tcPr>
            <w:tcW w:w="17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61"/>
              <w:jc w:val="right"/>
              <w:rPr>
                <w:sz w:val="18"/>
              </w:rPr>
            </w:pPr>
            <w:r>
              <w:rPr>
                <w:sz w:val="18"/>
              </w:rPr>
              <w:t>₡3</w:t>
            </w:r>
            <w:r>
              <w:rPr>
                <w:spacing w:val="-1"/>
                <w:sz w:val="18"/>
              </w:rPr>
              <w:t> </w:t>
            </w:r>
            <w:r>
              <w:rPr>
                <w:sz w:val="18"/>
              </w:rPr>
              <w:t>211</w:t>
            </w:r>
            <w:r>
              <w:rPr>
                <w:spacing w:val="-2"/>
                <w:sz w:val="18"/>
              </w:rPr>
              <w:t> </w:t>
            </w:r>
            <w:r>
              <w:rPr>
                <w:sz w:val="18"/>
              </w:rPr>
              <w:t>457</w:t>
            </w:r>
            <w:r>
              <w:rPr>
                <w:spacing w:val="-2"/>
                <w:sz w:val="18"/>
              </w:rPr>
              <w:t> </w:t>
            </w:r>
            <w:r>
              <w:rPr>
                <w:spacing w:val="-5"/>
                <w:sz w:val="18"/>
              </w:rPr>
              <w:t>500</w:t>
            </w:r>
          </w:p>
        </w:tc>
      </w:tr>
      <w:tr>
        <w:trPr>
          <w:trHeight w:val="2277" w:hRule="atLeast"/>
        </w:trPr>
        <w:tc>
          <w:tcPr>
            <w:tcW w:w="1983" w:type="dxa"/>
          </w:tcPr>
          <w:p>
            <w:pPr>
              <w:pStyle w:val="TableParagraph"/>
              <w:ind w:left="69" w:right="556"/>
              <w:rPr>
                <w:b/>
                <w:sz w:val="18"/>
              </w:rPr>
            </w:pPr>
            <w:r>
              <w:rPr>
                <w:b/>
                <w:sz w:val="18"/>
              </w:rPr>
              <w:t>Actividad</w:t>
            </w:r>
            <w:r>
              <w:rPr>
                <w:b/>
                <w:spacing w:val="-13"/>
                <w:sz w:val="18"/>
              </w:rPr>
              <w:t> </w:t>
            </w:r>
            <w:r>
              <w:rPr>
                <w:b/>
                <w:sz w:val="18"/>
              </w:rPr>
              <w:t>PPPS </w:t>
            </w:r>
            <w:r>
              <w:rPr>
                <w:b/>
                <w:spacing w:val="-2"/>
                <w:sz w:val="18"/>
              </w:rPr>
              <w:t>1.1.3:</w:t>
            </w:r>
          </w:p>
          <w:p>
            <w:pPr>
              <w:pStyle w:val="TableParagraph"/>
              <w:ind w:left="69" w:right="105"/>
              <w:rPr>
                <w:sz w:val="18"/>
              </w:rPr>
            </w:pPr>
            <w:r>
              <w:rPr>
                <w:sz w:val="18"/>
              </w:rPr>
              <w:t>Otorgamiento de </w:t>
            </w:r>
            <w:r>
              <w:rPr>
                <w:spacing w:val="-2"/>
                <w:sz w:val="18"/>
              </w:rPr>
              <w:t>transferencias </w:t>
            </w:r>
            <w:r>
              <w:rPr>
                <w:sz w:val="18"/>
              </w:rPr>
              <w:t>económicas a personas</w:t>
            </w:r>
            <w:r>
              <w:rPr>
                <w:spacing w:val="-15"/>
                <w:sz w:val="18"/>
              </w:rPr>
              <w:t> </w:t>
            </w:r>
            <w:r>
              <w:rPr>
                <w:sz w:val="18"/>
              </w:rPr>
              <w:t>jóvenes</w:t>
            </w:r>
            <w:r>
              <w:rPr>
                <w:spacing w:val="-12"/>
                <w:sz w:val="18"/>
              </w:rPr>
              <w:t> </w:t>
            </w:r>
            <w:r>
              <w:rPr>
                <w:sz w:val="18"/>
              </w:rPr>
              <w:t>de 18 a 25 años que egresan</w:t>
            </w:r>
            <w:r>
              <w:rPr>
                <w:spacing w:val="-9"/>
                <w:sz w:val="18"/>
              </w:rPr>
              <w:t> </w:t>
            </w:r>
            <w:r>
              <w:rPr>
                <w:sz w:val="18"/>
              </w:rPr>
              <w:t>del</w:t>
            </w:r>
            <w:r>
              <w:rPr>
                <w:spacing w:val="-9"/>
                <w:sz w:val="18"/>
              </w:rPr>
              <w:t> </w:t>
            </w:r>
            <w:r>
              <w:rPr>
                <w:sz w:val="18"/>
              </w:rPr>
              <w:t>Sistema Nacional de</w:t>
            </w:r>
          </w:p>
          <w:p>
            <w:pPr>
              <w:pStyle w:val="TableParagraph"/>
              <w:spacing w:line="206" w:lineRule="exact"/>
              <w:ind w:left="69" w:right="105"/>
              <w:rPr>
                <w:sz w:val="18"/>
              </w:rPr>
            </w:pPr>
            <w:r>
              <w:rPr>
                <w:sz w:val="18"/>
              </w:rPr>
              <w:t>Protección Especial del</w:t>
            </w:r>
            <w:r>
              <w:rPr>
                <w:spacing w:val="-9"/>
                <w:sz w:val="18"/>
              </w:rPr>
              <w:t> </w:t>
            </w:r>
            <w:r>
              <w:rPr>
                <w:sz w:val="18"/>
              </w:rPr>
              <w:t>PANI,</w:t>
            </w:r>
            <w:r>
              <w:rPr>
                <w:spacing w:val="-10"/>
                <w:sz w:val="18"/>
              </w:rPr>
              <w:t> </w:t>
            </w:r>
            <w:r>
              <w:rPr>
                <w:sz w:val="18"/>
              </w:rPr>
              <w:t>así</w:t>
            </w:r>
            <w:r>
              <w:rPr>
                <w:spacing w:val="-10"/>
                <w:sz w:val="18"/>
              </w:rPr>
              <w:t> </w:t>
            </w:r>
            <w:r>
              <w:rPr>
                <w:sz w:val="18"/>
              </w:rPr>
              <w:t>como</w:t>
            </w:r>
            <w:r>
              <w:rPr>
                <w:spacing w:val="-9"/>
                <w:sz w:val="18"/>
              </w:rPr>
              <w:t> </w:t>
            </w:r>
            <w:r>
              <w:rPr>
                <w:sz w:val="18"/>
              </w:rPr>
              <w:t>a</w:t>
            </w:r>
          </w:p>
        </w:tc>
        <w:tc>
          <w:tcPr>
            <w:tcW w:w="1277" w:type="dxa"/>
          </w:tcPr>
          <w:p>
            <w:pPr>
              <w:pStyle w:val="TableParagraph"/>
              <w:rPr>
                <w:b/>
                <w:sz w:val="18"/>
              </w:rPr>
            </w:pPr>
          </w:p>
          <w:p>
            <w:pPr>
              <w:pStyle w:val="TableParagraph"/>
              <w:spacing w:before="101"/>
              <w:rPr>
                <w:b/>
                <w:sz w:val="18"/>
              </w:rPr>
            </w:pPr>
          </w:p>
          <w:p>
            <w:pPr>
              <w:pStyle w:val="TableParagraph"/>
              <w:ind w:left="69" w:right="100"/>
              <w:rPr>
                <w:sz w:val="18"/>
              </w:rPr>
            </w:pPr>
            <w:r>
              <w:rPr>
                <w:sz w:val="18"/>
              </w:rPr>
              <w:t>Cantidad de personas</w:t>
            </w:r>
            <w:r>
              <w:rPr>
                <w:spacing w:val="-13"/>
                <w:sz w:val="18"/>
              </w:rPr>
              <w:t> </w:t>
            </w:r>
            <w:r>
              <w:rPr>
                <w:sz w:val="18"/>
              </w:rPr>
              <w:t>que reciben el subsidio de </w:t>
            </w:r>
            <w:r>
              <w:rPr>
                <w:spacing w:val="-2"/>
                <w:sz w:val="18"/>
              </w:rPr>
              <w:t>Prestación Alimentaria.</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58"/>
              <w:jc w:val="right"/>
              <w:rPr>
                <w:sz w:val="18"/>
              </w:rPr>
            </w:pPr>
            <w:r>
              <w:rPr>
                <w:spacing w:val="-5"/>
                <w:sz w:val="18"/>
              </w:rPr>
              <w:t>310</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58"/>
              <w:jc w:val="right"/>
              <w:rPr>
                <w:sz w:val="18"/>
              </w:rPr>
            </w:pPr>
            <w:r>
              <w:rPr>
                <w:sz w:val="18"/>
              </w:rPr>
              <w:t>₡155</w:t>
            </w:r>
            <w:r>
              <w:rPr>
                <w:spacing w:val="-2"/>
                <w:sz w:val="18"/>
              </w:rPr>
              <w:t> </w:t>
            </w:r>
            <w:r>
              <w:rPr>
                <w:sz w:val="18"/>
              </w:rPr>
              <w:t>982</w:t>
            </w:r>
            <w:r>
              <w:rPr>
                <w:spacing w:val="-2"/>
                <w:sz w:val="18"/>
              </w:rPr>
              <w:t> </w:t>
            </w:r>
            <w:r>
              <w:rPr>
                <w:spacing w:val="-5"/>
                <w:sz w:val="18"/>
              </w:rPr>
              <w:t>000</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60"/>
              <w:jc w:val="right"/>
              <w:rPr>
                <w:sz w:val="18"/>
              </w:rPr>
            </w:pPr>
            <w:r>
              <w:rPr>
                <w:spacing w:val="-5"/>
                <w:sz w:val="18"/>
              </w:rPr>
              <w:t>480</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60"/>
              <w:jc w:val="right"/>
              <w:rPr>
                <w:sz w:val="18"/>
              </w:rPr>
            </w:pPr>
            <w:r>
              <w:rPr>
                <w:sz w:val="18"/>
              </w:rPr>
              <w:t>₡455</w:t>
            </w:r>
            <w:r>
              <w:rPr>
                <w:spacing w:val="-2"/>
                <w:sz w:val="18"/>
              </w:rPr>
              <w:t> </w:t>
            </w:r>
            <w:r>
              <w:rPr>
                <w:sz w:val="18"/>
              </w:rPr>
              <w:t>982</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58"/>
              <w:jc w:val="right"/>
              <w:rPr>
                <w:sz w:val="18"/>
              </w:rPr>
            </w:pPr>
            <w:r>
              <w:rPr>
                <w:spacing w:val="-5"/>
                <w:sz w:val="18"/>
              </w:rPr>
              <w:t>490</w:t>
            </w: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63"/>
              <w:jc w:val="right"/>
              <w:rPr>
                <w:sz w:val="18"/>
              </w:rPr>
            </w:pPr>
            <w:r>
              <w:rPr>
                <w:sz w:val="18"/>
              </w:rPr>
              <w:t>₡755</w:t>
            </w:r>
            <w:r>
              <w:rPr>
                <w:spacing w:val="-2"/>
                <w:sz w:val="18"/>
              </w:rPr>
              <w:t> </w:t>
            </w:r>
            <w:r>
              <w:rPr>
                <w:sz w:val="18"/>
              </w:rPr>
              <w:t>982</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58"/>
              <w:jc w:val="right"/>
              <w:rPr>
                <w:sz w:val="18"/>
              </w:rPr>
            </w:pPr>
            <w:r>
              <w:rPr>
                <w:spacing w:val="-5"/>
                <w:sz w:val="18"/>
              </w:rPr>
              <w:t>550</w:t>
            </w:r>
          </w:p>
        </w:tc>
        <w:tc>
          <w:tcPr>
            <w:tcW w:w="1702"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61"/>
              <w:jc w:val="right"/>
              <w:rPr>
                <w:sz w:val="18"/>
              </w:rPr>
            </w:pPr>
            <w:r>
              <w:rPr>
                <w:sz w:val="18"/>
              </w:rPr>
              <w:t>₡2</w:t>
            </w:r>
            <w:r>
              <w:rPr>
                <w:spacing w:val="-1"/>
                <w:sz w:val="18"/>
              </w:rPr>
              <w:t> </w:t>
            </w:r>
            <w:r>
              <w:rPr>
                <w:sz w:val="18"/>
              </w:rPr>
              <w:t>311</w:t>
            </w:r>
            <w:r>
              <w:rPr>
                <w:spacing w:val="-2"/>
                <w:sz w:val="18"/>
              </w:rPr>
              <w:t> </w:t>
            </w:r>
            <w:r>
              <w:rPr>
                <w:sz w:val="18"/>
              </w:rPr>
              <w:t>457</w:t>
            </w:r>
            <w:r>
              <w:rPr>
                <w:spacing w:val="-2"/>
                <w:sz w:val="18"/>
              </w:rPr>
              <w:t> </w:t>
            </w:r>
            <w:r>
              <w:rPr>
                <w:spacing w:val="-5"/>
                <w:sz w:val="18"/>
              </w:rPr>
              <w:t>500</w:t>
            </w:r>
          </w:p>
        </w:tc>
      </w:tr>
    </w:tbl>
    <w:p>
      <w:pPr>
        <w:pStyle w:val="TableParagraph"/>
        <w:spacing w:after="0"/>
        <w:jc w:val="right"/>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3"/>
        <w:gridCol w:w="1277"/>
        <w:gridCol w:w="1278"/>
        <w:gridCol w:w="1561"/>
        <w:gridCol w:w="1275"/>
        <w:gridCol w:w="1561"/>
        <w:gridCol w:w="1277"/>
        <w:gridCol w:w="1558"/>
        <w:gridCol w:w="1277"/>
        <w:gridCol w:w="1702"/>
      </w:tblGrid>
      <w:tr>
        <w:trPr>
          <w:trHeight w:val="510" w:hRule="atLeast"/>
        </w:trPr>
        <w:tc>
          <w:tcPr>
            <w:tcW w:w="1983" w:type="dxa"/>
            <w:vMerge w:val="restart"/>
            <w:shd w:val="clear" w:color="auto" w:fill="F1F1F1"/>
          </w:tcPr>
          <w:p>
            <w:pPr>
              <w:pStyle w:val="TableParagraph"/>
              <w:spacing w:before="70"/>
              <w:rPr>
                <w:b/>
                <w:sz w:val="18"/>
              </w:rPr>
            </w:pPr>
          </w:p>
          <w:p>
            <w:pPr>
              <w:pStyle w:val="TableParagraph"/>
              <w:ind w:left="506" w:right="403" w:firstLine="24"/>
              <w:rPr>
                <w:b/>
                <w:sz w:val="18"/>
              </w:rPr>
            </w:pPr>
            <w:r>
              <w:rPr>
                <w:b/>
                <w:sz w:val="18"/>
              </w:rPr>
              <w:t>Objetivos</w:t>
            </w:r>
            <w:r>
              <w:rPr>
                <w:b/>
                <w:spacing w:val="-12"/>
                <w:sz w:val="18"/>
              </w:rPr>
              <w:t> </w:t>
            </w:r>
            <w:r>
              <w:rPr>
                <w:b/>
                <w:sz w:val="18"/>
              </w:rPr>
              <w:t>/ </w:t>
            </w:r>
            <w:r>
              <w:rPr>
                <w:b/>
                <w:spacing w:val="-2"/>
                <w:sz w:val="18"/>
              </w:rPr>
              <w:t>Resultados</w:t>
            </w:r>
          </w:p>
        </w:tc>
        <w:tc>
          <w:tcPr>
            <w:tcW w:w="1277" w:type="dxa"/>
            <w:vMerge w:val="restart"/>
            <w:shd w:val="clear" w:color="auto" w:fill="F1F1F1"/>
          </w:tcPr>
          <w:p>
            <w:pPr>
              <w:pStyle w:val="TableParagraph"/>
              <w:spacing w:before="173"/>
              <w:rPr>
                <w:b/>
                <w:sz w:val="18"/>
              </w:rPr>
            </w:pPr>
          </w:p>
          <w:p>
            <w:pPr>
              <w:pStyle w:val="TableParagraph"/>
              <w:ind w:left="232"/>
              <w:rPr>
                <w:b/>
                <w:sz w:val="18"/>
              </w:rPr>
            </w:pPr>
            <w:r>
              <w:rPr>
                <w:b/>
                <w:spacing w:val="-2"/>
                <w:sz w:val="18"/>
              </w:rPr>
              <w:t>Indicador</w:t>
            </w:r>
          </w:p>
        </w:tc>
        <w:tc>
          <w:tcPr>
            <w:tcW w:w="2839" w:type="dxa"/>
            <w:gridSpan w:val="2"/>
            <w:shd w:val="clear" w:color="auto" w:fill="F1F1F1"/>
          </w:tcPr>
          <w:p>
            <w:pPr>
              <w:pStyle w:val="TableParagraph"/>
              <w:spacing w:before="150"/>
              <w:ind w:left="7"/>
              <w:jc w:val="center"/>
              <w:rPr>
                <w:b/>
                <w:sz w:val="18"/>
              </w:rPr>
            </w:pPr>
            <w:r>
              <w:rPr>
                <w:b/>
                <w:sz w:val="18"/>
              </w:rPr>
              <w:t>I </w:t>
            </w:r>
            <w:r>
              <w:rPr>
                <w:b/>
                <w:spacing w:val="-2"/>
                <w:sz w:val="18"/>
              </w:rPr>
              <w:t>Trimestre</w:t>
            </w:r>
          </w:p>
        </w:tc>
        <w:tc>
          <w:tcPr>
            <w:tcW w:w="2836" w:type="dxa"/>
            <w:gridSpan w:val="2"/>
            <w:shd w:val="clear" w:color="auto" w:fill="F1F1F1"/>
          </w:tcPr>
          <w:p>
            <w:pPr>
              <w:pStyle w:val="TableParagraph"/>
              <w:spacing w:before="150"/>
              <w:ind w:left="928"/>
              <w:rPr>
                <w:b/>
                <w:sz w:val="18"/>
              </w:rPr>
            </w:pPr>
            <w:r>
              <w:rPr>
                <w:b/>
                <w:sz w:val="18"/>
              </w:rPr>
              <w:t>II </w:t>
            </w:r>
            <w:r>
              <w:rPr>
                <w:b/>
                <w:spacing w:val="-2"/>
                <w:sz w:val="18"/>
              </w:rPr>
              <w:t>Trimestre</w:t>
            </w:r>
          </w:p>
        </w:tc>
        <w:tc>
          <w:tcPr>
            <w:tcW w:w="2835" w:type="dxa"/>
            <w:gridSpan w:val="2"/>
            <w:shd w:val="clear" w:color="auto" w:fill="F1F1F1"/>
          </w:tcPr>
          <w:p>
            <w:pPr>
              <w:pStyle w:val="TableParagraph"/>
              <w:spacing w:before="150"/>
              <w:ind w:left="901"/>
              <w:rPr>
                <w:b/>
                <w:sz w:val="18"/>
              </w:rPr>
            </w:pPr>
            <w:r>
              <w:rPr>
                <w:b/>
                <w:sz w:val="18"/>
              </w:rPr>
              <w:t>III </w:t>
            </w:r>
            <w:r>
              <w:rPr>
                <w:b/>
                <w:spacing w:val="-2"/>
                <w:sz w:val="18"/>
              </w:rPr>
              <w:t>Trimestre</w:t>
            </w:r>
          </w:p>
        </w:tc>
        <w:tc>
          <w:tcPr>
            <w:tcW w:w="2979" w:type="dxa"/>
            <w:gridSpan w:val="2"/>
            <w:shd w:val="clear" w:color="auto" w:fill="F1F1F1"/>
          </w:tcPr>
          <w:p>
            <w:pPr>
              <w:pStyle w:val="TableParagraph"/>
              <w:spacing w:before="150"/>
              <w:ind w:left="963"/>
              <w:rPr>
                <w:b/>
                <w:sz w:val="18"/>
              </w:rPr>
            </w:pPr>
            <w:r>
              <w:rPr>
                <w:b/>
                <w:sz w:val="18"/>
              </w:rPr>
              <w:t>IV </w:t>
            </w:r>
            <w:r>
              <w:rPr>
                <w:b/>
                <w:spacing w:val="-2"/>
                <w:sz w:val="18"/>
              </w:rPr>
              <w:t>Trimestre</w:t>
            </w:r>
          </w:p>
        </w:tc>
      </w:tr>
      <w:tr>
        <w:trPr>
          <w:trHeight w:val="448" w:hRule="atLeast"/>
        </w:trPr>
        <w:tc>
          <w:tcPr>
            <w:tcW w:w="1983" w:type="dxa"/>
            <w:vMerge/>
            <w:tcBorders>
              <w:top w:val="nil"/>
            </w:tcBorders>
            <w:shd w:val="clear" w:color="auto" w:fill="F1F1F1"/>
          </w:tcPr>
          <w:p>
            <w:pPr>
              <w:rPr>
                <w:sz w:val="2"/>
                <w:szCs w:val="2"/>
              </w:rPr>
            </w:pPr>
          </w:p>
        </w:tc>
        <w:tc>
          <w:tcPr>
            <w:tcW w:w="1277" w:type="dxa"/>
            <w:vMerge/>
            <w:tcBorders>
              <w:top w:val="nil"/>
            </w:tcBorders>
            <w:shd w:val="clear" w:color="auto" w:fill="F1F1F1"/>
          </w:tcPr>
          <w:p>
            <w:pPr>
              <w:rPr>
                <w:sz w:val="2"/>
                <w:szCs w:val="2"/>
              </w:rPr>
            </w:pPr>
          </w:p>
        </w:tc>
        <w:tc>
          <w:tcPr>
            <w:tcW w:w="1278" w:type="dxa"/>
            <w:shd w:val="clear" w:color="auto" w:fill="F1F1F1"/>
          </w:tcPr>
          <w:p>
            <w:pPr>
              <w:pStyle w:val="TableParagraph"/>
              <w:spacing w:line="210" w:lineRule="atLeast" w:before="8"/>
              <w:ind w:left="116"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0"/>
              <w:jc w:val="center"/>
              <w:rPr>
                <w:b/>
                <w:sz w:val="18"/>
              </w:rPr>
            </w:pPr>
            <w:r>
              <w:rPr>
                <w:b/>
                <w:spacing w:val="-10"/>
                <w:sz w:val="18"/>
              </w:rPr>
              <w:t>¢</w:t>
            </w:r>
          </w:p>
        </w:tc>
        <w:tc>
          <w:tcPr>
            <w:tcW w:w="1275" w:type="dxa"/>
            <w:shd w:val="clear" w:color="auto" w:fill="F1F1F1"/>
          </w:tcPr>
          <w:p>
            <w:pPr>
              <w:pStyle w:val="TableParagraph"/>
              <w:spacing w:line="210" w:lineRule="atLeast" w:before="8"/>
              <w:ind w:left="112"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2"/>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558" w:type="dxa"/>
            <w:shd w:val="clear" w:color="auto" w:fill="F1F1F1"/>
          </w:tcPr>
          <w:p>
            <w:pPr>
              <w:pStyle w:val="TableParagraph"/>
              <w:spacing w:before="119"/>
              <w:ind w:left="34" w:right="34"/>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702" w:type="dxa"/>
            <w:shd w:val="clear" w:color="auto" w:fill="F1F1F1"/>
          </w:tcPr>
          <w:p>
            <w:pPr>
              <w:pStyle w:val="TableParagraph"/>
              <w:spacing w:before="119"/>
              <w:jc w:val="center"/>
              <w:rPr>
                <w:b/>
                <w:sz w:val="18"/>
              </w:rPr>
            </w:pPr>
            <w:r>
              <w:rPr>
                <w:b/>
                <w:spacing w:val="-10"/>
                <w:sz w:val="18"/>
              </w:rPr>
              <w:t>¢</w:t>
            </w:r>
          </w:p>
        </w:tc>
      </w:tr>
      <w:tr>
        <w:trPr>
          <w:trHeight w:val="2025" w:hRule="atLeast"/>
        </w:trPr>
        <w:tc>
          <w:tcPr>
            <w:tcW w:w="1983" w:type="dxa"/>
          </w:tcPr>
          <w:p>
            <w:pPr>
              <w:pStyle w:val="TableParagraph"/>
              <w:spacing w:before="1"/>
              <w:ind w:left="69" w:right="105"/>
              <w:rPr>
                <w:sz w:val="18"/>
              </w:rPr>
            </w:pPr>
            <w:r>
              <w:rPr>
                <w:sz w:val="18"/>
              </w:rPr>
              <w:t>personas con condición de </w:t>
            </w:r>
            <w:r>
              <w:rPr>
                <w:spacing w:val="-2"/>
                <w:sz w:val="18"/>
              </w:rPr>
              <w:t>discapacidad </w:t>
            </w:r>
            <w:r>
              <w:rPr>
                <w:sz w:val="18"/>
              </w:rPr>
              <w:t>permanente</w:t>
            </w:r>
            <w:r>
              <w:rPr>
                <w:spacing w:val="-15"/>
                <w:sz w:val="18"/>
              </w:rPr>
              <w:t> </w:t>
            </w:r>
            <w:r>
              <w:rPr>
                <w:sz w:val="18"/>
              </w:rPr>
              <w:t>entre</w:t>
            </w:r>
            <w:r>
              <w:rPr>
                <w:spacing w:val="-12"/>
                <w:sz w:val="18"/>
              </w:rPr>
              <w:t> </w:t>
            </w:r>
            <w:r>
              <w:rPr>
                <w:sz w:val="18"/>
              </w:rPr>
              <w:t>los 18 y los 25 años.</w:t>
            </w:r>
          </w:p>
        </w:tc>
        <w:tc>
          <w:tcPr>
            <w:tcW w:w="1277" w:type="dxa"/>
          </w:tcPr>
          <w:p>
            <w:pPr>
              <w:pStyle w:val="TableParagraph"/>
              <w:rPr>
                <w:rFonts w:ascii="Times New Roman"/>
                <w:sz w:val="18"/>
              </w:rPr>
            </w:pPr>
          </w:p>
        </w:tc>
        <w:tc>
          <w:tcPr>
            <w:tcW w:w="1278" w:type="dxa"/>
          </w:tcPr>
          <w:p>
            <w:pPr>
              <w:pStyle w:val="TableParagraph"/>
              <w:rPr>
                <w:rFonts w:ascii="Times New Roman"/>
                <w:sz w:val="18"/>
              </w:rPr>
            </w:pPr>
          </w:p>
        </w:tc>
        <w:tc>
          <w:tcPr>
            <w:tcW w:w="1561" w:type="dxa"/>
          </w:tcPr>
          <w:p>
            <w:pPr>
              <w:pStyle w:val="TableParagraph"/>
              <w:rPr>
                <w:rFonts w:ascii="Times New Roman"/>
                <w:sz w:val="18"/>
              </w:rPr>
            </w:pPr>
          </w:p>
        </w:tc>
        <w:tc>
          <w:tcPr>
            <w:tcW w:w="1275" w:type="dxa"/>
          </w:tcPr>
          <w:p>
            <w:pPr>
              <w:pStyle w:val="TableParagraph"/>
              <w:rPr>
                <w:rFonts w:ascii="Times New Roman"/>
                <w:sz w:val="18"/>
              </w:rPr>
            </w:pPr>
          </w:p>
        </w:tc>
        <w:tc>
          <w:tcPr>
            <w:tcW w:w="1561" w:type="dxa"/>
          </w:tcPr>
          <w:p>
            <w:pPr>
              <w:pStyle w:val="TableParagraph"/>
              <w:rPr>
                <w:rFonts w:ascii="Times New Roman"/>
                <w:sz w:val="18"/>
              </w:rPr>
            </w:pPr>
          </w:p>
        </w:tc>
        <w:tc>
          <w:tcPr>
            <w:tcW w:w="1277" w:type="dxa"/>
          </w:tcPr>
          <w:p>
            <w:pPr>
              <w:pStyle w:val="TableParagraph"/>
              <w:rPr>
                <w:rFonts w:ascii="Times New Roman"/>
                <w:sz w:val="18"/>
              </w:rPr>
            </w:pPr>
          </w:p>
        </w:tc>
        <w:tc>
          <w:tcPr>
            <w:tcW w:w="1558" w:type="dxa"/>
          </w:tcPr>
          <w:p>
            <w:pPr>
              <w:pStyle w:val="TableParagraph"/>
              <w:rPr>
                <w:rFonts w:ascii="Times New Roman"/>
                <w:sz w:val="18"/>
              </w:rPr>
            </w:pPr>
          </w:p>
        </w:tc>
        <w:tc>
          <w:tcPr>
            <w:tcW w:w="1277" w:type="dxa"/>
          </w:tcPr>
          <w:p>
            <w:pPr>
              <w:pStyle w:val="TableParagraph"/>
              <w:rPr>
                <w:rFonts w:ascii="Times New Roman"/>
                <w:sz w:val="18"/>
              </w:rPr>
            </w:pPr>
          </w:p>
        </w:tc>
        <w:tc>
          <w:tcPr>
            <w:tcW w:w="1702" w:type="dxa"/>
          </w:tcPr>
          <w:p>
            <w:pPr>
              <w:pStyle w:val="TableParagraph"/>
              <w:rPr>
                <w:rFonts w:ascii="Times New Roman"/>
                <w:sz w:val="18"/>
              </w:rPr>
            </w:pPr>
          </w:p>
        </w:tc>
      </w:tr>
      <w:tr>
        <w:trPr>
          <w:trHeight w:val="2899" w:hRule="atLeast"/>
        </w:trPr>
        <w:tc>
          <w:tcPr>
            <w:tcW w:w="1983" w:type="dxa"/>
          </w:tcPr>
          <w:p>
            <w:pPr>
              <w:pStyle w:val="TableParagraph"/>
              <w:ind w:left="69" w:right="556"/>
              <w:rPr>
                <w:b/>
                <w:sz w:val="18"/>
              </w:rPr>
            </w:pPr>
            <w:r>
              <w:rPr>
                <w:b/>
                <w:sz w:val="18"/>
              </w:rPr>
              <w:t>Actividad</w:t>
            </w:r>
            <w:r>
              <w:rPr>
                <w:b/>
                <w:spacing w:val="-13"/>
                <w:sz w:val="18"/>
              </w:rPr>
              <w:t> </w:t>
            </w:r>
            <w:r>
              <w:rPr>
                <w:b/>
                <w:sz w:val="18"/>
              </w:rPr>
              <w:t>PPPS </w:t>
            </w:r>
            <w:r>
              <w:rPr>
                <w:b/>
                <w:spacing w:val="-2"/>
                <w:sz w:val="18"/>
              </w:rPr>
              <w:t>1.1.4:</w:t>
            </w:r>
          </w:p>
          <w:p>
            <w:pPr>
              <w:pStyle w:val="TableParagraph"/>
              <w:ind w:left="69" w:right="80"/>
              <w:rPr>
                <w:sz w:val="18"/>
              </w:rPr>
            </w:pPr>
            <w:r>
              <w:rPr>
                <w:sz w:val="18"/>
              </w:rPr>
              <w:t>Otorgamiento de </w:t>
            </w:r>
            <w:r>
              <w:rPr>
                <w:spacing w:val="-2"/>
                <w:sz w:val="18"/>
              </w:rPr>
              <w:t>transferencias </w:t>
            </w:r>
            <w:r>
              <w:rPr>
                <w:sz w:val="18"/>
              </w:rPr>
              <w:t>económicas</w:t>
            </w:r>
            <w:r>
              <w:rPr>
                <w:spacing w:val="-15"/>
                <w:sz w:val="18"/>
              </w:rPr>
              <w:t> </w:t>
            </w:r>
            <w:r>
              <w:rPr>
                <w:sz w:val="18"/>
              </w:rPr>
              <w:t>a</w:t>
            </w:r>
            <w:r>
              <w:rPr>
                <w:spacing w:val="-12"/>
                <w:sz w:val="18"/>
              </w:rPr>
              <w:t> </w:t>
            </w:r>
            <w:r>
              <w:rPr>
                <w:sz w:val="18"/>
              </w:rPr>
              <w:t>hogares que enfrentan situaciones de violencia</w:t>
            </w:r>
            <w:r>
              <w:rPr>
                <w:spacing w:val="-15"/>
                <w:sz w:val="18"/>
              </w:rPr>
              <w:t> </w:t>
            </w:r>
            <w:r>
              <w:rPr>
                <w:sz w:val="18"/>
              </w:rPr>
              <w:t>intrafamiliar</w:t>
            </w:r>
            <w:r>
              <w:rPr>
                <w:spacing w:val="-12"/>
                <w:sz w:val="18"/>
              </w:rPr>
              <w:t> </w:t>
            </w:r>
            <w:r>
              <w:rPr>
                <w:sz w:val="18"/>
              </w:rPr>
              <w:t>y violencia de</w:t>
            </w:r>
          </w:p>
          <w:p>
            <w:pPr>
              <w:pStyle w:val="TableParagraph"/>
              <w:spacing w:before="1"/>
              <w:ind w:left="69" w:right="236"/>
              <w:rPr>
                <w:b/>
                <w:i/>
                <w:sz w:val="18"/>
              </w:rPr>
            </w:pPr>
            <w:r>
              <w:rPr>
                <w:sz w:val="18"/>
              </w:rPr>
              <w:t>género</w:t>
            </w:r>
            <w:r>
              <w:rPr>
                <w:spacing w:val="-13"/>
                <w:sz w:val="18"/>
              </w:rPr>
              <w:t> </w:t>
            </w:r>
            <w:r>
              <w:rPr>
                <w:b/>
                <w:i/>
                <w:sz w:val="18"/>
              </w:rPr>
              <w:t>(vinculación</w:t>
            </w:r>
            <w:r>
              <w:rPr>
                <w:b/>
                <w:i/>
                <w:sz w:val="18"/>
              </w:rPr>
              <w:t> al PLANOVI,</w:t>
            </w:r>
          </w:p>
          <w:p>
            <w:pPr>
              <w:pStyle w:val="TableParagraph"/>
              <w:spacing w:line="206" w:lineRule="exact"/>
              <w:ind w:left="69"/>
              <w:rPr>
                <w:b/>
                <w:i/>
                <w:sz w:val="18"/>
              </w:rPr>
            </w:pPr>
            <w:r>
              <w:rPr>
                <w:b/>
                <w:i/>
                <w:sz w:val="18"/>
              </w:rPr>
              <w:t>indicadores</w:t>
            </w:r>
            <w:r>
              <w:rPr>
                <w:b/>
                <w:i/>
                <w:spacing w:val="-4"/>
                <w:sz w:val="18"/>
              </w:rPr>
              <w:t> </w:t>
            </w:r>
            <w:r>
              <w:rPr>
                <w:b/>
                <w:i/>
                <w:spacing w:val="-2"/>
                <w:sz w:val="18"/>
              </w:rPr>
              <w:t>4.2.1.1,</w:t>
            </w:r>
          </w:p>
          <w:p>
            <w:pPr>
              <w:pStyle w:val="TableParagraph"/>
              <w:spacing w:line="207" w:lineRule="exact"/>
              <w:ind w:left="69"/>
              <w:rPr>
                <w:b/>
                <w:i/>
                <w:sz w:val="18"/>
              </w:rPr>
            </w:pPr>
            <w:r>
              <w:rPr>
                <w:b/>
                <w:i/>
                <w:sz w:val="18"/>
              </w:rPr>
              <w:t>4.7.2,</w:t>
            </w:r>
            <w:r>
              <w:rPr>
                <w:b/>
                <w:i/>
                <w:spacing w:val="-6"/>
                <w:sz w:val="18"/>
              </w:rPr>
              <w:t> </w:t>
            </w:r>
            <w:r>
              <w:rPr>
                <w:b/>
                <w:i/>
                <w:sz w:val="18"/>
              </w:rPr>
              <w:t>5.1.2.1.1</w:t>
            </w:r>
            <w:r>
              <w:rPr>
                <w:b/>
                <w:i/>
                <w:spacing w:val="-4"/>
                <w:sz w:val="18"/>
              </w:rPr>
              <w:t> </w:t>
            </w:r>
            <w:r>
              <w:rPr>
                <w:b/>
                <w:i/>
                <w:spacing w:val="-10"/>
                <w:sz w:val="18"/>
              </w:rPr>
              <w:t>y</w:t>
            </w:r>
          </w:p>
          <w:p>
            <w:pPr>
              <w:pStyle w:val="TableParagraph"/>
              <w:spacing w:line="187" w:lineRule="exact" w:before="2"/>
              <w:ind w:left="69"/>
              <w:rPr>
                <w:b/>
                <w:i/>
                <w:sz w:val="18"/>
              </w:rPr>
            </w:pPr>
            <w:r>
              <w:rPr>
                <w:b/>
                <w:i/>
                <w:spacing w:val="-2"/>
                <w:sz w:val="18"/>
              </w:rPr>
              <w:t>5.1.1)</w:t>
            </w:r>
          </w:p>
        </w:tc>
        <w:tc>
          <w:tcPr>
            <w:tcW w:w="1277"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9" w:right="160"/>
              <w:rPr>
                <w:sz w:val="18"/>
              </w:rPr>
            </w:pPr>
            <w:r>
              <w:rPr>
                <w:sz w:val="18"/>
              </w:rPr>
              <w:t>Cantidad de hogares</w:t>
            </w:r>
            <w:r>
              <w:rPr>
                <w:spacing w:val="-9"/>
                <w:sz w:val="18"/>
              </w:rPr>
              <w:t> </w:t>
            </w:r>
            <w:r>
              <w:rPr>
                <w:sz w:val="18"/>
              </w:rPr>
              <w:t>que reciben el </w:t>
            </w:r>
            <w:r>
              <w:rPr>
                <w:spacing w:val="-2"/>
                <w:sz w:val="18"/>
              </w:rPr>
              <w:t>subsidio </w:t>
            </w:r>
            <w:r>
              <w:rPr>
                <w:sz w:val="18"/>
              </w:rPr>
              <w:t>Atención de </w:t>
            </w:r>
            <w:r>
              <w:rPr>
                <w:spacing w:val="-2"/>
                <w:sz w:val="18"/>
              </w:rPr>
              <w:t>Situaciones </w:t>
            </w:r>
            <w:r>
              <w:rPr>
                <w:sz w:val="18"/>
              </w:rPr>
              <w:t>de</w:t>
            </w:r>
            <w:r>
              <w:rPr>
                <w:spacing w:val="-13"/>
                <w:sz w:val="18"/>
              </w:rPr>
              <w:t> </w:t>
            </w:r>
            <w:r>
              <w:rPr>
                <w:sz w:val="18"/>
              </w:rPr>
              <w:t>Violencia.</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60"/>
              <w:jc w:val="right"/>
              <w:rPr>
                <w:sz w:val="18"/>
              </w:rPr>
            </w:pPr>
            <w:r>
              <w:rPr>
                <w:spacing w:val="-10"/>
                <w:sz w:val="18"/>
              </w:rPr>
              <w:t>_</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58"/>
              <w:jc w:val="right"/>
              <w:rPr>
                <w:sz w:val="18"/>
              </w:rPr>
            </w:pPr>
            <w:r>
              <w:rPr>
                <w:sz w:val="18"/>
              </w:rPr>
              <w:t>₡600</w:t>
            </w:r>
            <w:r>
              <w:rPr>
                <w:spacing w:val="-2"/>
                <w:sz w:val="18"/>
              </w:rPr>
              <w:t> </w:t>
            </w:r>
            <w:r>
              <w:rPr>
                <w:sz w:val="18"/>
              </w:rPr>
              <w:t>000</w:t>
            </w:r>
            <w:r>
              <w:rPr>
                <w:spacing w:val="-2"/>
                <w:sz w:val="18"/>
              </w:rPr>
              <w:t> </w:t>
            </w:r>
            <w:r>
              <w:rPr>
                <w:spacing w:val="-5"/>
                <w:sz w:val="18"/>
              </w:rPr>
              <w:t>000</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63"/>
              <w:jc w:val="right"/>
              <w:rPr>
                <w:sz w:val="18"/>
              </w:rPr>
            </w:pPr>
            <w:r>
              <w:rPr>
                <w:spacing w:val="-10"/>
                <w:sz w:val="18"/>
              </w:rPr>
              <w:t>_</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61"/>
              <w:jc w:val="right"/>
              <w:rPr>
                <w:sz w:val="18"/>
              </w:rPr>
            </w:pPr>
            <w:r>
              <w:rPr>
                <w:sz w:val="18"/>
              </w:rPr>
              <w:t>₡1</w:t>
            </w:r>
            <w:r>
              <w:rPr>
                <w:spacing w:val="-1"/>
                <w:sz w:val="18"/>
              </w:rPr>
              <w:t> </w:t>
            </w:r>
            <w:r>
              <w:rPr>
                <w:sz w:val="18"/>
              </w:rPr>
              <w:t>100</w:t>
            </w:r>
            <w:r>
              <w:rPr>
                <w:spacing w:val="-2"/>
                <w:sz w:val="18"/>
              </w:rPr>
              <w:t> </w:t>
            </w:r>
            <w:r>
              <w:rPr>
                <w:sz w:val="18"/>
              </w:rPr>
              <w:t>000</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61"/>
              <w:jc w:val="right"/>
              <w:rPr>
                <w:sz w:val="18"/>
              </w:rPr>
            </w:pPr>
            <w:r>
              <w:rPr>
                <w:spacing w:val="-10"/>
                <w:sz w:val="18"/>
              </w:rPr>
              <w:t>_</w:t>
            </w: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63"/>
              <w:jc w:val="right"/>
              <w:rPr>
                <w:sz w:val="18"/>
              </w:rPr>
            </w:pPr>
            <w:r>
              <w:rPr>
                <w:sz w:val="18"/>
              </w:rPr>
              <w:t>₡1</w:t>
            </w:r>
            <w:r>
              <w:rPr>
                <w:spacing w:val="-1"/>
                <w:sz w:val="18"/>
              </w:rPr>
              <w:t> </w:t>
            </w:r>
            <w:r>
              <w:rPr>
                <w:sz w:val="18"/>
              </w:rPr>
              <w:t>800</w:t>
            </w:r>
            <w:r>
              <w:rPr>
                <w:spacing w:val="-2"/>
                <w:sz w:val="18"/>
              </w:rPr>
              <w:t> </w:t>
            </w:r>
            <w:r>
              <w:rPr>
                <w:sz w:val="18"/>
              </w:rPr>
              <w:t>000</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61"/>
              <w:jc w:val="right"/>
              <w:rPr>
                <w:sz w:val="18"/>
              </w:rPr>
            </w:pPr>
            <w:r>
              <w:rPr>
                <w:spacing w:val="-10"/>
                <w:sz w:val="18"/>
              </w:rPr>
              <w:t>_</w:t>
            </w:r>
          </w:p>
        </w:tc>
        <w:tc>
          <w:tcPr>
            <w:tcW w:w="17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63"/>
              <w:jc w:val="right"/>
              <w:rPr>
                <w:sz w:val="18"/>
              </w:rPr>
            </w:pPr>
            <w:r>
              <w:rPr>
                <w:sz w:val="18"/>
              </w:rPr>
              <w:t>₡2</w:t>
            </w:r>
            <w:r>
              <w:rPr>
                <w:spacing w:val="-1"/>
                <w:sz w:val="18"/>
              </w:rPr>
              <w:t> </w:t>
            </w:r>
            <w:r>
              <w:rPr>
                <w:sz w:val="18"/>
              </w:rPr>
              <w:t>700</w:t>
            </w:r>
            <w:r>
              <w:rPr>
                <w:spacing w:val="-2"/>
                <w:sz w:val="18"/>
              </w:rPr>
              <w:t> </w:t>
            </w:r>
            <w:r>
              <w:rPr>
                <w:sz w:val="18"/>
              </w:rPr>
              <w:t>000</w:t>
            </w:r>
            <w:r>
              <w:rPr>
                <w:spacing w:val="-2"/>
                <w:sz w:val="18"/>
              </w:rPr>
              <w:t> </w:t>
            </w:r>
            <w:r>
              <w:rPr>
                <w:spacing w:val="-5"/>
                <w:sz w:val="18"/>
              </w:rPr>
              <w:t>000</w:t>
            </w:r>
          </w:p>
        </w:tc>
      </w:tr>
      <w:tr>
        <w:trPr>
          <w:trHeight w:val="2277" w:hRule="atLeast"/>
        </w:trPr>
        <w:tc>
          <w:tcPr>
            <w:tcW w:w="1983" w:type="dxa"/>
          </w:tcPr>
          <w:p>
            <w:pPr>
              <w:pStyle w:val="TableParagraph"/>
              <w:ind w:left="69" w:right="556"/>
              <w:rPr>
                <w:b/>
                <w:sz w:val="18"/>
              </w:rPr>
            </w:pPr>
            <w:r>
              <w:rPr>
                <w:b/>
                <w:sz w:val="18"/>
              </w:rPr>
              <w:t>Actividad</w:t>
            </w:r>
            <w:r>
              <w:rPr>
                <w:b/>
                <w:spacing w:val="-13"/>
                <w:sz w:val="18"/>
              </w:rPr>
              <w:t> </w:t>
            </w:r>
            <w:r>
              <w:rPr>
                <w:b/>
                <w:sz w:val="18"/>
              </w:rPr>
              <w:t>PPPS </w:t>
            </w:r>
            <w:r>
              <w:rPr>
                <w:b/>
                <w:spacing w:val="-2"/>
                <w:sz w:val="18"/>
              </w:rPr>
              <w:t>1.1.5:</w:t>
            </w:r>
          </w:p>
          <w:p>
            <w:pPr>
              <w:pStyle w:val="TableParagraph"/>
              <w:ind w:left="69" w:right="60"/>
              <w:rPr>
                <w:sz w:val="18"/>
              </w:rPr>
            </w:pPr>
            <w:r>
              <w:rPr>
                <w:sz w:val="18"/>
              </w:rPr>
              <w:t>Otorgamiento de las </w:t>
            </w:r>
            <w:r>
              <w:rPr>
                <w:spacing w:val="-2"/>
                <w:sz w:val="18"/>
              </w:rPr>
              <w:t>transferencias </w:t>
            </w:r>
            <w:r>
              <w:rPr>
                <w:sz w:val="18"/>
              </w:rPr>
              <w:t>económicas como aporte</w:t>
            </w:r>
            <w:r>
              <w:rPr>
                <w:spacing w:val="-13"/>
                <w:sz w:val="18"/>
              </w:rPr>
              <w:t> </w:t>
            </w:r>
            <w:r>
              <w:rPr>
                <w:sz w:val="18"/>
              </w:rPr>
              <w:t>a</w:t>
            </w:r>
            <w:r>
              <w:rPr>
                <w:spacing w:val="-12"/>
                <w:sz w:val="18"/>
              </w:rPr>
              <w:t> </w:t>
            </w:r>
            <w:r>
              <w:rPr>
                <w:sz w:val="18"/>
              </w:rPr>
              <w:t>la</w:t>
            </w:r>
            <w:r>
              <w:rPr>
                <w:spacing w:val="-13"/>
                <w:sz w:val="18"/>
              </w:rPr>
              <w:t> </w:t>
            </w:r>
            <w:r>
              <w:rPr>
                <w:sz w:val="18"/>
              </w:rPr>
              <w:t>satisfacción de necesidades básicas de personas pescadoras y sus</w:t>
            </w:r>
          </w:p>
          <w:p>
            <w:pPr>
              <w:pStyle w:val="TableParagraph"/>
              <w:spacing w:line="206" w:lineRule="exact"/>
              <w:ind w:left="69" w:right="60"/>
              <w:rPr>
                <w:sz w:val="18"/>
              </w:rPr>
            </w:pPr>
            <w:r>
              <w:rPr>
                <w:sz w:val="18"/>
              </w:rPr>
              <w:t>ayudantes afectados por</w:t>
            </w:r>
            <w:r>
              <w:rPr>
                <w:spacing w:val="-12"/>
                <w:sz w:val="18"/>
              </w:rPr>
              <w:t> </w:t>
            </w:r>
            <w:r>
              <w:rPr>
                <w:sz w:val="18"/>
              </w:rPr>
              <w:t>la</w:t>
            </w:r>
            <w:r>
              <w:rPr>
                <w:spacing w:val="-13"/>
                <w:sz w:val="18"/>
              </w:rPr>
              <w:t> </w:t>
            </w:r>
            <w:r>
              <w:rPr>
                <w:sz w:val="18"/>
              </w:rPr>
              <w:t>veda</w:t>
            </w:r>
            <w:r>
              <w:rPr>
                <w:spacing w:val="-11"/>
                <w:sz w:val="18"/>
              </w:rPr>
              <w:t> </w:t>
            </w:r>
            <w:r>
              <w:rPr>
                <w:sz w:val="18"/>
              </w:rPr>
              <w:t>pesquera.</w:t>
            </w:r>
          </w:p>
        </w:tc>
        <w:tc>
          <w:tcPr>
            <w:tcW w:w="1277" w:type="dxa"/>
          </w:tcPr>
          <w:p>
            <w:pPr>
              <w:pStyle w:val="TableParagraph"/>
              <w:rPr>
                <w:b/>
                <w:sz w:val="18"/>
              </w:rPr>
            </w:pPr>
          </w:p>
          <w:p>
            <w:pPr>
              <w:pStyle w:val="TableParagraph"/>
              <w:spacing w:before="206"/>
              <w:rPr>
                <w:b/>
                <w:sz w:val="18"/>
              </w:rPr>
            </w:pPr>
          </w:p>
          <w:p>
            <w:pPr>
              <w:pStyle w:val="TableParagraph"/>
              <w:ind w:left="69" w:right="100"/>
              <w:rPr>
                <w:sz w:val="18"/>
              </w:rPr>
            </w:pPr>
            <w:r>
              <w:rPr>
                <w:sz w:val="18"/>
              </w:rPr>
              <w:t>Cantidad de personas</w:t>
            </w:r>
            <w:r>
              <w:rPr>
                <w:spacing w:val="-13"/>
                <w:sz w:val="18"/>
              </w:rPr>
              <w:t> </w:t>
            </w:r>
            <w:r>
              <w:rPr>
                <w:sz w:val="18"/>
              </w:rPr>
              <w:t>que reciben el subsidio de </w:t>
            </w:r>
            <w:r>
              <w:rPr>
                <w:spacing w:val="-2"/>
                <w:sz w:val="18"/>
              </w:rPr>
              <w:t>Veda.</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60"/>
              <w:jc w:val="right"/>
              <w:rPr>
                <w:sz w:val="18"/>
              </w:rPr>
            </w:pPr>
            <w:r>
              <w:rPr>
                <w:spacing w:val="-10"/>
                <w:sz w:val="18"/>
              </w:rPr>
              <w:t>3</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58"/>
              <w:jc w:val="right"/>
              <w:rPr>
                <w:sz w:val="18"/>
              </w:rPr>
            </w:pPr>
            <w:r>
              <w:rPr>
                <w:sz w:val="18"/>
              </w:rPr>
              <w:t>₡580</w:t>
            </w:r>
            <w:r>
              <w:rPr>
                <w:spacing w:val="-2"/>
                <w:sz w:val="18"/>
              </w:rPr>
              <w:t> </w:t>
            </w:r>
            <w:r>
              <w:rPr>
                <w:sz w:val="18"/>
              </w:rPr>
              <w:t>000</w:t>
            </w:r>
            <w:r>
              <w:rPr>
                <w:spacing w:val="-2"/>
                <w:sz w:val="18"/>
              </w:rPr>
              <w:t> </w:t>
            </w:r>
            <w:r>
              <w:rPr>
                <w:spacing w:val="-5"/>
                <w:sz w:val="18"/>
              </w:rPr>
              <w:t>000</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61"/>
              <w:jc w:val="right"/>
              <w:rPr>
                <w:sz w:val="18"/>
              </w:rPr>
            </w:pPr>
            <w:r>
              <w:rPr>
                <w:sz w:val="18"/>
              </w:rPr>
              <w:t>1 </w:t>
            </w:r>
            <w:r>
              <w:rPr>
                <w:spacing w:val="-5"/>
                <w:sz w:val="18"/>
              </w:rPr>
              <w:t>424</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60"/>
              <w:jc w:val="right"/>
              <w:rPr>
                <w:sz w:val="18"/>
              </w:rPr>
            </w:pPr>
            <w:r>
              <w:rPr>
                <w:sz w:val="18"/>
              </w:rPr>
              <w:t>₡430</w:t>
            </w:r>
            <w:r>
              <w:rPr>
                <w:spacing w:val="-2"/>
                <w:sz w:val="18"/>
              </w:rPr>
              <w:t> </w:t>
            </w:r>
            <w:r>
              <w:rPr>
                <w:sz w:val="18"/>
              </w:rPr>
              <w:t>000</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60"/>
              <w:jc w:val="right"/>
              <w:rPr>
                <w:sz w:val="18"/>
              </w:rPr>
            </w:pPr>
            <w:r>
              <w:rPr>
                <w:sz w:val="18"/>
              </w:rPr>
              <w:t>1 </w:t>
            </w:r>
            <w:r>
              <w:rPr>
                <w:spacing w:val="-5"/>
                <w:sz w:val="18"/>
              </w:rPr>
              <w:t>500</w:t>
            </w: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63"/>
              <w:jc w:val="right"/>
              <w:rPr>
                <w:sz w:val="18"/>
              </w:rPr>
            </w:pPr>
            <w:r>
              <w:rPr>
                <w:sz w:val="18"/>
              </w:rPr>
              <w:t>₡650</w:t>
            </w:r>
            <w:r>
              <w:rPr>
                <w:spacing w:val="-2"/>
                <w:sz w:val="18"/>
              </w:rPr>
              <w:t> </w:t>
            </w:r>
            <w:r>
              <w:rPr>
                <w:sz w:val="18"/>
              </w:rPr>
              <w:t>000</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60"/>
              <w:jc w:val="right"/>
              <w:rPr>
                <w:sz w:val="18"/>
              </w:rPr>
            </w:pPr>
            <w:r>
              <w:rPr>
                <w:sz w:val="18"/>
              </w:rPr>
              <w:t>1 </w:t>
            </w:r>
            <w:r>
              <w:rPr>
                <w:spacing w:val="-5"/>
                <w:sz w:val="18"/>
              </w:rPr>
              <w:t>500</w:t>
            </w:r>
          </w:p>
        </w:tc>
        <w:tc>
          <w:tcPr>
            <w:tcW w:w="1702"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63"/>
              <w:jc w:val="right"/>
              <w:rPr>
                <w:sz w:val="18"/>
              </w:rPr>
            </w:pPr>
            <w:r>
              <w:rPr>
                <w:sz w:val="18"/>
              </w:rPr>
              <w:t>₡650</w:t>
            </w:r>
            <w:r>
              <w:rPr>
                <w:spacing w:val="-2"/>
                <w:sz w:val="18"/>
              </w:rPr>
              <w:t> </w:t>
            </w:r>
            <w:r>
              <w:rPr>
                <w:sz w:val="18"/>
              </w:rPr>
              <w:t>000</w:t>
            </w:r>
            <w:r>
              <w:rPr>
                <w:spacing w:val="-2"/>
                <w:sz w:val="18"/>
              </w:rPr>
              <w:t> </w:t>
            </w:r>
            <w:r>
              <w:rPr>
                <w:spacing w:val="-5"/>
                <w:sz w:val="18"/>
              </w:rPr>
              <w:t>000</w:t>
            </w:r>
          </w:p>
        </w:tc>
      </w:tr>
    </w:tbl>
    <w:p>
      <w:pPr>
        <w:pStyle w:val="TableParagraph"/>
        <w:spacing w:after="0"/>
        <w:jc w:val="right"/>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3"/>
        <w:gridCol w:w="1277"/>
        <w:gridCol w:w="1278"/>
        <w:gridCol w:w="1561"/>
        <w:gridCol w:w="1275"/>
        <w:gridCol w:w="1561"/>
        <w:gridCol w:w="1277"/>
        <w:gridCol w:w="1558"/>
        <w:gridCol w:w="1277"/>
        <w:gridCol w:w="1702"/>
      </w:tblGrid>
      <w:tr>
        <w:trPr>
          <w:trHeight w:val="510" w:hRule="atLeast"/>
        </w:trPr>
        <w:tc>
          <w:tcPr>
            <w:tcW w:w="1983" w:type="dxa"/>
            <w:vMerge w:val="restart"/>
            <w:shd w:val="clear" w:color="auto" w:fill="F1F1F1"/>
          </w:tcPr>
          <w:p>
            <w:pPr>
              <w:pStyle w:val="TableParagraph"/>
              <w:spacing w:before="70"/>
              <w:rPr>
                <w:b/>
                <w:sz w:val="18"/>
              </w:rPr>
            </w:pPr>
          </w:p>
          <w:p>
            <w:pPr>
              <w:pStyle w:val="TableParagraph"/>
              <w:ind w:left="506" w:right="403" w:firstLine="24"/>
              <w:rPr>
                <w:b/>
                <w:sz w:val="18"/>
              </w:rPr>
            </w:pPr>
            <w:r>
              <w:rPr>
                <w:b/>
                <w:sz w:val="18"/>
              </w:rPr>
              <w:t>Objetivos</w:t>
            </w:r>
            <w:r>
              <w:rPr>
                <w:b/>
                <w:spacing w:val="-12"/>
                <w:sz w:val="18"/>
              </w:rPr>
              <w:t> </w:t>
            </w:r>
            <w:r>
              <w:rPr>
                <w:b/>
                <w:sz w:val="18"/>
              </w:rPr>
              <w:t>/ </w:t>
            </w:r>
            <w:r>
              <w:rPr>
                <w:b/>
                <w:spacing w:val="-2"/>
                <w:sz w:val="18"/>
              </w:rPr>
              <w:t>Resultados</w:t>
            </w:r>
          </w:p>
        </w:tc>
        <w:tc>
          <w:tcPr>
            <w:tcW w:w="1277" w:type="dxa"/>
            <w:vMerge w:val="restart"/>
            <w:shd w:val="clear" w:color="auto" w:fill="F1F1F1"/>
          </w:tcPr>
          <w:p>
            <w:pPr>
              <w:pStyle w:val="TableParagraph"/>
              <w:spacing w:before="173"/>
              <w:rPr>
                <w:b/>
                <w:sz w:val="18"/>
              </w:rPr>
            </w:pPr>
          </w:p>
          <w:p>
            <w:pPr>
              <w:pStyle w:val="TableParagraph"/>
              <w:ind w:left="232"/>
              <w:rPr>
                <w:b/>
                <w:sz w:val="18"/>
              </w:rPr>
            </w:pPr>
            <w:r>
              <w:rPr>
                <w:b/>
                <w:spacing w:val="-2"/>
                <w:sz w:val="18"/>
              </w:rPr>
              <w:t>Indicador</w:t>
            </w:r>
          </w:p>
        </w:tc>
        <w:tc>
          <w:tcPr>
            <w:tcW w:w="2839" w:type="dxa"/>
            <w:gridSpan w:val="2"/>
            <w:shd w:val="clear" w:color="auto" w:fill="F1F1F1"/>
          </w:tcPr>
          <w:p>
            <w:pPr>
              <w:pStyle w:val="TableParagraph"/>
              <w:spacing w:before="150"/>
              <w:ind w:left="7"/>
              <w:jc w:val="center"/>
              <w:rPr>
                <w:b/>
                <w:sz w:val="18"/>
              </w:rPr>
            </w:pPr>
            <w:r>
              <w:rPr>
                <w:b/>
                <w:sz w:val="18"/>
              </w:rPr>
              <w:t>I </w:t>
            </w:r>
            <w:r>
              <w:rPr>
                <w:b/>
                <w:spacing w:val="-2"/>
                <w:sz w:val="18"/>
              </w:rPr>
              <w:t>Trimestre</w:t>
            </w:r>
          </w:p>
        </w:tc>
        <w:tc>
          <w:tcPr>
            <w:tcW w:w="2836" w:type="dxa"/>
            <w:gridSpan w:val="2"/>
            <w:shd w:val="clear" w:color="auto" w:fill="F1F1F1"/>
          </w:tcPr>
          <w:p>
            <w:pPr>
              <w:pStyle w:val="TableParagraph"/>
              <w:spacing w:before="150"/>
              <w:ind w:left="928"/>
              <w:rPr>
                <w:b/>
                <w:sz w:val="18"/>
              </w:rPr>
            </w:pPr>
            <w:r>
              <w:rPr>
                <w:b/>
                <w:sz w:val="18"/>
              </w:rPr>
              <w:t>II </w:t>
            </w:r>
            <w:r>
              <w:rPr>
                <w:b/>
                <w:spacing w:val="-2"/>
                <w:sz w:val="18"/>
              </w:rPr>
              <w:t>Trimestre</w:t>
            </w:r>
          </w:p>
        </w:tc>
        <w:tc>
          <w:tcPr>
            <w:tcW w:w="2835" w:type="dxa"/>
            <w:gridSpan w:val="2"/>
            <w:shd w:val="clear" w:color="auto" w:fill="F1F1F1"/>
          </w:tcPr>
          <w:p>
            <w:pPr>
              <w:pStyle w:val="TableParagraph"/>
              <w:spacing w:before="150"/>
              <w:ind w:left="901"/>
              <w:rPr>
                <w:b/>
                <w:sz w:val="18"/>
              </w:rPr>
            </w:pPr>
            <w:r>
              <w:rPr>
                <w:b/>
                <w:sz w:val="18"/>
              </w:rPr>
              <w:t>III </w:t>
            </w:r>
            <w:r>
              <w:rPr>
                <w:b/>
                <w:spacing w:val="-2"/>
                <w:sz w:val="18"/>
              </w:rPr>
              <w:t>Trimestre</w:t>
            </w:r>
          </w:p>
        </w:tc>
        <w:tc>
          <w:tcPr>
            <w:tcW w:w="2979" w:type="dxa"/>
            <w:gridSpan w:val="2"/>
            <w:shd w:val="clear" w:color="auto" w:fill="F1F1F1"/>
          </w:tcPr>
          <w:p>
            <w:pPr>
              <w:pStyle w:val="TableParagraph"/>
              <w:spacing w:before="150"/>
              <w:ind w:left="963"/>
              <w:rPr>
                <w:b/>
                <w:sz w:val="18"/>
              </w:rPr>
            </w:pPr>
            <w:r>
              <w:rPr>
                <w:b/>
                <w:sz w:val="18"/>
              </w:rPr>
              <w:t>IV </w:t>
            </w:r>
            <w:r>
              <w:rPr>
                <w:b/>
                <w:spacing w:val="-2"/>
                <w:sz w:val="18"/>
              </w:rPr>
              <w:t>Trimestre</w:t>
            </w:r>
          </w:p>
        </w:tc>
      </w:tr>
      <w:tr>
        <w:trPr>
          <w:trHeight w:val="448" w:hRule="atLeast"/>
        </w:trPr>
        <w:tc>
          <w:tcPr>
            <w:tcW w:w="1983" w:type="dxa"/>
            <w:vMerge/>
            <w:tcBorders>
              <w:top w:val="nil"/>
            </w:tcBorders>
            <w:shd w:val="clear" w:color="auto" w:fill="F1F1F1"/>
          </w:tcPr>
          <w:p>
            <w:pPr>
              <w:rPr>
                <w:sz w:val="2"/>
                <w:szCs w:val="2"/>
              </w:rPr>
            </w:pPr>
          </w:p>
        </w:tc>
        <w:tc>
          <w:tcPr>
            <w:tcW w:w="1277" w:type="dxa"/>
            <w:vMerge/>
            <w:tcBorders>
              <w:top w:val="nil"/>
            </w:tcBorders>
            <w:shd w:val="clear" w:color="auto" w:fill="F1F1F1"/>
          </w:tcPr>
          <w:p>
            <w:pPr>
              <w:rPr>
                <w:sz w:val="2"/>
                <w:szCs w:val="2"/>
              </w:rPr>
            </w:pPr>
          </w:p>
        </w:tc>
        <w:tc>
          <w:tcPr>
            <w:tcW w:w="1278" w:type="dxa"/>
            <w:shd w:val="clear" w:color="auto" w:fill="F1F1F1"/>
          </w:tcPr>
          <w:p>
            <w:pPr>
              <w:pStyle w:val="TableParagraph"/>
              <w:spacing w:line="210" w:lineRule="atLeast" w:before="8"/>
              <w:ind w:left="116"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0"/>
              <w:jc w:val="center"/>
              <w:rPr>
                <w:b/>
                <w:sz w:val="18"/>
              </w:rPr>
            </w:pPr>
            <w:r>
              <w:rPr>
                <w:b/>
                <w:spacing w:val="-10"/>
                <w:sz w:val="18"/>
              </w:rPr>
              <w:t>¢</w:t>
            </w:r>
          </w:p>
        </w:tc>
        <w:tc>
          <w:tcPr>
            <w:tcW w:w="1275" w:type="dxa"/>
            <w:shd w:val="clear" w:color="auto" w:fill="F1F1F1"/>
          </w:tcPr>
          <w:p>
            <w:pPr>
              <w:pStyle w:val="TableParagraph"/>
              <w:spacing w:line="210" w:lineRule="atLeast" w:before="8"/>
              <w:ind w:left="112"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2"/>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558" w:type="dxa"/>
            <w:shd w:val="clear" w:color="auto" w:fill="F1F1F1"/>
          </w:tcPr>
          <w:p>
            <w:pPr>
              <w:pStyle w:val="TableParagraph"/>
              <w:spacing w:before="119"/>
              <w:ind w:left="34" w:right="34"/>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702" w:type="dxa"/>
            <w:shd w:val="clear" w:color="auto" w:fill="F1F1F1"/>
          </w:tcPr>
          <w:p>
            <w:pPr>
              <w:pStyle w:val="TableParagraph"/>
              <w:spacing w:before="119"/>
              <w:jc w:val="center"/>
              <w:rPr>
                <w:b/>
                <w:sz w:val="18"/>
              </w:rPr>
            </w:pPr>
            <w:r>
              <w:rPr>
                <w:b/>
                <w:spacing w:val="-10"/>
                <w:sz w:val="18"/>
              </w:rPr>
              <w:t>¢</w:t>
            </w:r>
          </w:p>
        </w:tc>
      </w:tr>
      <w:tr>
        <w:trPr>
          <w:trHeight w:val="4140" w:hRule="atLeast"/>
        </w:trPr>
        <w:tc>
          <w:tcPr>
            <w:tcW w:w="1983" w:type="dxa"/>
          </w:tcPr>
          <w:p>
            <w:pPr>
              <w:pStyle w:val="TableParagraph"/>
              <w:spacing w:before="1"/>
              <w:ind w:left="69" w:right="556"/>
              <w:rPr>
                <w:b/>
                <w:sz w:val="18"/>
              </w:rPr>
            </w:pPr>
            <w:r>
              <w:rPr>
                <w:b/>
                <w:sz w:val="18"/>
              </w:rPr>
              <w:t>Actividad</w:t>
            </w:r>
            <w:r>
              <w:rPr>
                <w:b/>
                <w:spacing w:val="-13"/>
                <w:sz w:val="18"/>
              </w:rPr>
              <w:t> </w:t>
            </w:r>
            <w:r>
              <w:rPr>
                <w:b/>
                <w:sz w:val="18"/>
              </w:rPr>
              <w:t>PPPS </w:t>
            </w:r>
            <w:r>
              <w:rPr>
                <w:b/>
                <w:spacing w:val="-2"/>
                <w:sz w:val="18"/>
              </w:rPr>
              <w:t>1.1.6:</w:t>
            </w:r>
          </w:p>
          <w:p>
            <w:pPr>
              <w:pStyle w:val="TableParagraph"/>
              <w:ind w:left="69" w:right="60"/>
              <w:rPr>
                <w:b/>
                <w:sz w:val="18"/>
              </w:rPr>
            </w:pPr>
            <w:r>
              <w:rPr>
                <w:sz w:val="18"/>
              </w:rPr>
              <w:t>Otorgamiento de </w:t>
            </w:r>
            <w:r>
              <w:rPr>
                <w:spacing w:val="-2"/>
                <w:sz w:val="18"/>
              </w:rPr>
              <w:t>transferencias </w:t>
            </w:r>
            <w:r>
              <w:rPr>
                <w:sz w:val="18"/>
              </w:rPr>
              <w:t>económicas como aporte</w:t>
            </w:r>
            <w:r>
              <w:rPr>
                <w:spacing w:val="-13"/>
                <w:sz w:val="18"/>
              </w:rPr>
              <w:t> </w:t>
            </w:r>
            <w:r>
              <w:rPr>
                <w:sz w:val="18"/>
              </w:rPr>
              <w:t>a</w:t>
            </w:r>
            <w:r>
              <w:rPr>
                <w:spacing w:val="-12"/>
                <w:sz w:val="18"/>
              </w:rPr>
              <w:t> </w:t>
            </w:r>
            <w:r>
              <w:rPr>
                <w:sz w:val="18"/>
              </w:rPr>
              <w:t>la</w:t>
            </w:r>
            <w:r>
              <w:rPr>
                <w:spacing w:val="-13"/>
                <w:sz w:val="18"/>
              </w:rPr>
              <w:t> </w:t>
            </w:r>
            <w:r>
              <w:rPr>
                <w:sz w:val="18"/>
              </w:rPr>
              <w:t>satisfacción de necesidades básicas de hogares afectados por situaciones de </w:t>
            </w:r>
            <w:r>
              <w:rPr>
                <w:spacing w:val="-2"/>
                <w:sz w:val="18"/>
              </w:rPr>
              <w:t>emergencia </w:t>
            </w:r>
            <w:r>
              <w:rPr>
                <w:b/>
                <w:sz w:val="18"/>
              </w:rPr>
              <w:t>(vinculación a Estrategia de </w:t>
            </w:r>
            <w:r>
              <w:rPr>
                <w:b/>
                <w:spacing w:val="-2"/>
                <w:sz w:val="18"/>
              </w:rPr>
              <w:t>Transversalización</w:t>
            </w:r>
            <w:r>
              <w:rPr>
                <w:b/>
                <w:spacing w:val="40"/>
                <w:sz w:val="18"/>
              </w:rPr>
              <w:t> </w:t>
            </w:r>
            <w:r>
              <w:rPr>
                <w:b/>
                <w:sz w:val="18"/>
              </w:rPr>
              <w:t>de Equidad e Igualdad de Género del Sistema Nacional de</w:t>
            </w:r>
            <w:r>
              <w:rPr>
                <w:b/>
                <w:spacing w:val="-13"/>
                <w:sz w:val="18"/>
              </w:rPr>
              <w:t> </w:t>
            </w:r>
            <w:r>
              <w:rPr>
                <w:b/>
                <w:sz w:val="18"/>
              </w:rPr>
              <w:t>Gestión</w:t>
            </w:r>
            <w:r>
              <w:rPr>
                <w:b/>
                <w:spacing w:val="-12"/>
                <w:sz w:val="18"/>
              </w:rPr>
              <w:t> </w:t>
            </w:r>
            <w:r>
              <w:rPr>
                <w:b/>
                <w:sz w:val="18"/>
              </w:rPr>
              <w:t>de</w:t>
            </w:r>
            <w:r>
              <w:rPr>
                <w:b/>
                <w:spacing w:val="-12"/>
                <w:sz w:val="18"/>
              </w:rPr>
              <w:t> </w:t>
            </w:r>
            <w:r>
              <w:rPr>
                <w:b/>
                <w:sz w:val="18"/>
              </w:rPr>
              <w:t>Riesgo a Desastres Eje 2,</w:t>
            </w:r>
          </w:p>
          <w:p>
            <w:pPr>
              <w:pStyle w:val="TableParagraph"/>
              <w:spacing w:line="187" w:lineRule="exact"/>
              <w:ind w:left="69"/>
              <w:rPr>
                <w:b/>
                <w:sz w:val="18"/>
              </w:rPr>
            </w:pPr>
            <w:r>
              <w:rPr>
                <w:b/>
                <w:sz w:val="18"/>
              </w:rPr>
              <w:t>2023</w:t>
            </w:r>
            <w:r>
              <w:rPr>
                <w:b/>
                <w:spacing w:val="-4"/>
                <w:sz w:val="18"/>
              </w:rPr>
              <w:t> </w:t>
            </w:r>
            <w:r>
              <w:rPr>
                <w:b/>
                <w:sz w:val="18"/>
              </w:rPr>
              <w:t>–</w:t>
            </w:r>
            <w:r>
              <w:rPr>
                <w:b/>
                <w:spacing w:val="1"/>
                <w:sz w:val="18"/>
              </w:rPr>
              <w:t> </w:t>
            </w:r>
            <w:r>
              <w:rPr>
                <w:b/>
                <w:spacing w:val="-4"/>
                <w:sz w:val="18"/>
              </w:rPr>
              <w:t>2027</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69"/>
              <w:rPr>
                <w:sz w:val="18"/>
              </w:rPr>
            </w:pPr>
            <w:r>
              <w:rPr>
                <w:sz w:val="18"/>
              </w:rPr>
              <w:t>Cantidad de hogares que reciben el </w:t>
            </w:r>
            <w:r>
              <w:rPr>
                <w:spacing w:val="-2"/>
                <w:sz w:val="18"/>
              </w:rPr>
              <w:t>subsidio Emergencias.</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60"/>
              <w:jc w:val="right"/>
              <w:rPr>
                <w:sz w:val="18"/>
              </w:rPr>
            </w:pPr>
            <w:r>
              <w:rPr>
                <w:spacing w:val="-10"/>
                <w:sz w:val="18"/>
              </w:rPr>
              <w:t>_</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358"/>
              <w:rPr>
                <w:sz w:val="18"/>
              </w:rPr>
            </w:pPr>
            <w:r>
              <w:rPr>
                <w:sz w:val="18"/>
              </w:rPr>
              <w:t>₡200</w:t>
            </w:r>
            <w:r>
              <w:rPr>
                <w:spacing w:val="-2"/>
                <w:sz w:val="18"/>
              </w:rPr>
              <w:t> </w:t>
            </w:r>
            <w:r>
              <w:rPr>
                <w:sz w:val="18"/>
              </w:rPr>
              <w:t>000</w:t>
            </w:r>
            <w:r>
              <w:rPr>
                <w:spacing w:val="-2"/>
                <w:sz w:val="18"/>
              </w:rPr>
              <w:t> </w:t>
            </w:r>
            <w:r>
              <w:rPr>
                <w:spacing w:val="-5"/>
                <w:sz w:val="18"/>
              </w:rPr>
              <w:t>000</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63"/>
              <w:jc w:val="right"/>
              <w:rPr>
                <w:sz w:val="18"/>
              </w:rPr>
            </w:pPr>
            <w:r>
              <w:rPr>
                <w:spacing w:val="-10"/>
                <w:sz w:val="18"/>
              </w:rPr>
              <w:t>_</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357"/>
              <w:rPr>
                <w:sz w:val="18"/>
              </w:rPr>
            </w:pPr>
            <w:r>
              <w:rPr>
                <w:sz w:val="18"/>
              </w:rPr>
              <w:t>₡350</w:t>
            </w:r>
            <w:r>
              <w:rPr>
                <w:spacing w:val="-2"/>
                <w:sz w:val="18"/>
              </w:rPr>
              <w:t> </w:t>
            </w:r>
            <w:r>
              <w:rPr>
                <w:sz w:val="18"/>
              </w:rPr>
              <w:t>000</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61"/>
              <w:jc w:val="right"/>
              <w:rPr>
                <w:sz w:val="18"/>
              </w:rPr>
            </w:pPr>
            <w:r>
              <w:rPr>
                <w:spacing w:val="-10"/>
                <w:sz w:val="18"/>
              </w:rPr>
              <w:t>_</w:t>
            </w: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63"/>
              <w:jc w:val="right"/>
              <w:rPr>
                <w:sz w:val="18"/>
              </w:rPr>
            </w:pPr>
            <w:r>
              <w:rPr>
                <w:sz w:val="18"/>
              </w:rPr>
              <w:t>₡700</w:t>
            </w:r>
            <w:r>
              <w:rPr>
                <w:spacing w:val="-2"/>
                <w:sz w:val="18"/>
              </w:rPr>
              <w:t> </w:t>
            </w:r>
            <w:r>
              <w:rPr>
                <w:sz w:val="18"/>
              </w:rPr>
              <w:t>000</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61"/>
              <w:jc w:val="right"/>
              <w:rPr>
                <w:sz w:val="18"/>
              </w:rPr>
            </w:pPr>
            <w:r>
              <w:rPr>
                <w:spacing w:val="-10"/>
                <w:sz w:val="18"/>
              </w:rPr>
              <w:t>_</w:t>
            </w:r>
          </w:p>
        </w:tc>
        <w:tc>
          <w:tcPr>
            <w:tcW w:w="17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344"/>
              <w:rPr>
                <w:sz w:val="18"/>
              </w:rPr>
            </w:pPr>
            <w:r>
              <w:rPr>
                <w:sz w:val="18"/>
              </w:rPr>
              <w:t>₡1</w:t>
            </w:r>
            <w:r>
              <w:rPr>
                <w:spacing w:val="-1"/>
                <w:sz w:val="18"/>
              </w:rPr>
              <w:t> </w:t>
            </w:r>
            <w:r>
              <w:rPr>
                <w:sz w:val="18"/>
              </w:rPr>
              <w:t>900</w:t>
            </w:r>
            <w:r>
              <w:rPr>
                <w:spacing w:val="-2"/>
                <w:sz w:val="18"/>
              </w:rPr>
              <w:t> </w:t>
            </w:r>
            <w:r>
              <w:rPr>
                <w:sz w:val="18"/>
              </w:rPr>
              <w:t>000</w:t>
            </w:r>
            <w:r>
              <w:rPr>
                <w:spacing w:val="-2"/>
                <w:sz w:val="18"/>
              </w:rPr>
              <w:t> </w:t>
            </w:r>
            <w:r>
              <w:rPr>
                <w:spacing w:val="-5"/>
                <w:sz w:val="18"/>
              </w:rPr>
              <w:t>000</w:t>
            </w:r>
          </w:p>
        </w:tc>
      </w:tr>
      <w:tr>
        <w:trPr>
          <w:trHeight w:val="2070" w:hRule="atLeast"/>
        </w:trPr>
        <w:tc>
          <w:tcPr>
            <w:tcW w:w="1983" w:type="dxa"/>
          </w:tcPr>
          <w:p>
            <w:pPr>
              <w:pStyle w:val="TableParagraph"/>
              <w:spacing w:before="1"/>
              <w:ind w:left="69" w:right="556"/>
              <w:rPr>
                <w:b/>
                <w:sz w:val="18"/>
              </w:rPr>
            </w:pPr>
            <w:r>
              <w:rPr>
                <w:b/>
                <w:sz w:val="18"/>
              </w:rPr>
              <w:t>Actividad</w:t>
            </w:r>
            <w:r>
              <w:rPr>
                <w:b/>
                <w:spacing w:val="-13"/>
                <w:sz w:val="18"/>
              </w:rPr>
              <w:t> </w:t>
            </w:r>
            <w:r>
              <w:rPr>
                <w:b/>
                <w:sz w:val="18"/>
              </w:rPr>
              <w:t>PPPS </w:t>
            </w:r>
            <w:r>
              <w:rPr>
                <w:b/>
                <w:spacing w:val="-2"/>
                <w:sz w:val="18"/>
              </w:rPr>
              <w:t>1.1.7:</w:t>
            </w:r>
          </w:p>
          <w:p>
            <w:pPr>
              <w:pStyle w:val="TableParagraph"/>
              <w:ind w:left="69" w:right="122"/>
              <w:rPr>
                <w:sz w:val="18"/>
              </w:rPr>
            </w:pPr>
            <w:r>
              <w:rPr>
                <w:sz w:val="18"/>
              </w:rPr>
              <w:t>Otorgamiento del subsidio Costo de Atención a organizaciones de bienestar social para la atención de personas</w:t>
            </w:r>
            <w:r>
              <w:rPr>
                <w:spacing w:val="-15"/>
                <w:sz w:val="18"/>
              </w:rPr>
              <w:t> </w:t>
            </w:r>
            <w:r>
              <w:rPr>
                <w:sz w:val="18"/>
              </w:rPr>
              <w:t>en</w:t>
            </w:r>
            <w:r>
              <w:rPr>
                <w:spacing w:val="-12"/>
                <w:sz w:val="18"/>
              </w:rPr>
              <w:t> </w:t>
            </w:r>
            <w:r>
              <w:rPr>
                <w:sz w:val="18"/>
              </w:rPr>
              <w:t>situación</w:t>
            </w:r>
          </w:p>
          <w:p>
            <w:pPr>
              <w:pStyle w:val="TableParagraph"/>
              <w:spacing w:line="187" w:lineRule="exact"/>
              <w:ind w:left="69"/>
              <w:rPr>
                <w:sz w:val="18"/>
              </w:rPr>
            </w:pPr>
            <w:r>
              <w:rPr>
                <w:sz w:val="18"/>
              </w:rPr>
              <w:t>de</w:t>
            </w:r>
            <w:r>
              <w:rPr>
                <w:spacing w:val="-2"/>
                <w:sz w:val="18"/>
              </w:rPr>
              <w:t> pobreza.</w:t>
            </w:r>
          </w:p>
        </w:tc>
        <w:tc>
          <w:tcPr>
            <w:tcW w:w="1277" w:type="dxa"/>
          </w:tcPr>
          <w:p>
            <w:pPr>
              <w:pStyle w:val="TableParagraph"/>
              <w:rPr>
                <w:b/>
                <w:sz w:val="18"/>
              </w:rPr>
            </w:pPr>
          </w:p>
          <w:p>
            <w:pPr>
              <w:pStyle w:val="TableParagraph"/>
              <w:ind w:left="69" w:right="58"/>
              <w:rPr>
                <w:sz w:val="18"/>
              </w:rPr>
            </w:pPr>
            <w:r>
              <w:rPr>
                <w:sz w:val="18"/>
              </w:rPr>
              <w:t>Cantidad de subsidios de Costo de </w:t>
            </w:r>
            <w:r>
              <w:rPr>
                <w:spacing w:val="-2"/>
                <w:sz w:val="18"/>
              </w:rPr>
              <w:t>atención </w:t>
            </w:r>
            <w:r>
              <w:rPr>
                <w:sz w:val="18"/>
              </w:rPr>
              <w:t>otorgados a </w:t>
            </w:r>
            <w:r>
              <w:rPr>
                <w:spacing w:val="-2"/>
                <w:sz w:val="18"/>
              </w:rPr>
              <w:t>organizacione </w:t>
            </w:r>
            <w:r>
              <w:rPr>
                <w:sz w:val="18"/>
              </w:rPr>
              <w:t>s</w:t>
            </w:r>
            <w:r>
              <w:rPr>
                <w:spacing w:val="-15"/>
                <w:sz w:val="18"/>
              </w:rPr>
              <w:t> </w:t>
            </w:r>
            <w:r>
              <w:rPr>
                <w:sz w:val="18"/>
              </w:rPr>
              <w:t>de</w:t>
            </w:r>
            <w:r>
              <w:rPr>
                <w:spacing w:val="-12"/>
                <w:sz w:val="18"/>
              </w:rPr>
              <w:t> </w:t>
            </w:r>
            <w:r>
              <w:rPr>
                <w:sz w:val="18"/>
              </w:rPr>
              <w:t>bienestar </w:t>
            </w:r>
            <w:r>
              <w:rPr>
                <w:spacing w:val="-2"/>
                <w:sz w:val="18"/>
              </w:rPr>
              <w:t>social</w:t>
            </w:r>
          </w:p>
        </w:tc>
        <w:tc>
          <w:tcPr>
            <w:tcW w:w="1278" w:type="dxa"/>
          </w:tcPr>
          <w:p>
            <w:pPr>
              <w:pStyle w:val="TableParagraph"/>
              <w:rPr>
                <w:rFonts w:ascii="Times New Roman"/>
                <w:sz w:val="18"/>
              </w:rPr>
            </w:pPr>
          </w:p>
        </w:tc>
        <w:tc>
          <w:tcPr>
            <w:tcW w:w="1561" w:type="dxa"/>
          </w:tcPr>
          <w:p>
            <w:pPr>
              <w:pStyle w:val="TableParagraph"/>
              <w:rPr>
                <w:rFonts w:ascii="Times New Roman"/>
                <w:sz w:val="18"/>
              </w:rPr>
            </w:pPr>
          </w:p>
        </w:tc>
        <w:tc>
          <w:tcPr>
            <w:tcW w:w="1275" w:type="dxa"/>
          </w:tcPr>
          <w:p>
            <w:pPr>
              <w:pStyle w:val="TableParagraph"/>
              <w:rPr>
                <w:rFonts w:ascii="Times New Roman"/>
                <w:sz w:val="18"/>
              </w:rPr>
            </w:pPr>
          </w:p>
        </w:tc>
        <w:tc>
          <w:tcPr>
            <w:tcW w:w="1561"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8"/>
              <w:jc w:val="right"/>
              <w:rPr>
                <w:sz w:val="18"/>
              </w:rPr>
            </w:pPr>
            <w:r>
              <w:rPr>
                <w:spacing w:val="-5"/>
                <w:sz w:val="18"/>
              </w:rPr>
              <w:t>23</w:t>
            </w: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63"/>
              <w:jc w:val="right"/>
              <w:rPr>
                <w:sz w:val="18"/>
              </w:rPr>
            </w:pPr>
            <w:r>
              <w:rPr>
                <w:sz w:val="18"/>
              </w:rPr>
              <w:t>₡550</w:t>
            </w:r>
            <w:r>
              <w:rPr>
                <w:spacing w:val="-2"/>
                <w:sz w:val="18"/>
              </w:rPr>
              <w:t> </w:t>
            </w:r>
            <w:r>
              <w:rPr>
                <w:sz w:val="18"/>
              </w:rPr>
              <w:t>457</w:t>
            </w:r>
            <w:r>
              <w:rPr>
                <w:spacing w:val="-2"/>
                <w:sz w:val="18"/>
              </w:rPr>
              <w:t> </w:t>
            </w:r>
            <w:r>
              <w:rPr>
                <w:spacing w:val="-5"/>
                <w:sz w:val="18"/>
              </w:rPr>
              <w:t>416</w:t>
            </w:r>
          </w:p>
        </w:tc>
        <w:tc>
          <w:tcPr>
            <w:tcW w:w="1277" w:type="dxa"/>
          </w:tcPr>
          <w:p>
            <w:pPr>
              <w:pStyle w:val="TableParagraph"/>
              <w:rPr>
                <w:rFonts w:ascii="Times New Roman"/>
                <w:sz w:val="18"/>
              </w:rPr>
            </w:pPr>
          </w:p>
        </w:tc>
        <w:tc>
          <w:tcPr>
            <w:tcW w:w="1702"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3"/>
        <w:gridCol w:w="1277"/>
        <w:gridCol w:w="1278"/>
        <w:gridCol w:w="1561"/>
        <w:gridCol w:w="1275"/>
        <w:gridCol w:w="1561"/>
        <w:gridCol w:w="1277"/>
        <w:gridCol w:w="1558"/>
        <w:gridCol w:w="1277"/>
        <w:gridCol w:w="1702"/>
      </w:tblGrid>
      <w:tr>
        <w:trPr>
          <w:trHeight w:val="510" w:hRule="atLeast"/>
        </w:trPr>
        <w:tc>
          <w:tcPr>
            <w:tcW w:w="1983" w:type="dxa"/>
            <w:vMerge w:val="restart"/>
            <w:shd w:val="clear" w:color="auto" w:fill="F1F1F1"/>
          </w:tcPr>
          <w:p>
            <w:pPr>
              <w:pStyle w:val="TableParagraph"/>
              <w:spacing w:before="70"/>
              <w:rPr>
                <w:b/>
                <w:sz w:val="18"/>
              </w:rPr>
            </w:pPr>
          </w:p>
          <w:p>
            <w:pPr>
              <w:pStyle w:val="TableParagraph"/>
              <w:ind w:left="506" w:right="403" w:firstLine="24"/>
              <w:rPr>
                <w:b/>
                <w:sz w:val="18"/>
              </w:rPr>
            </w:pPr>
            <w:r>
              <w:rPr>
                <w:b/>
                <w:sz w:val="18"/>
              </w:rPr>
              <w:t>Objetivos</w:t>
            </w:r>
            <w:r>
              <w:rPr>
                <w:b/>
                <w:spacing w:val="-12"/>
                <w:sz w:val="18"/>
              </w:rPr>
              <w:t> </w:t>
            </w:r>
            <w:r>
              <w:rPr>
                <w:b/>
                <w:sz w:val="18"/>
              </w:rPr>
              <w:t>/ </w:t>
            </w:r>
            <w:r>
              <w:rPr>
                <w:b/>
                <w:spacing w:val="-2"/>
                <w:sz w:val="18"/>
              </w:rPr>
              <w:t>Resultados</w:t>
            </w:r>
          </w:p>
        </w:tc>
        <w:tc>
          <w:tcPr>
            <w:tcW w:w="1277" w:type="dxa"/>
            <w:vMerge w:val="restart"/>
            <w:shd w:val="clear" w:color="auto" w:fill="F1F1F1"/>
          </w:tcPr>
          <w:p>
            <w:pPr>
              <w:pStyle w:val="TableParagraph"/>
              <w:spacing w:before="173"/>
              <w:rPr>
                <w:b/>
                <w:sz w:val="18"/>
              </w:rPr>
            </w:pPr>
          </w:p>
          <w:p>
            <w:pPr>
              <w:pStyle w:val="TableParagraph"/>
              <w:ind w:left="232"/>
              <w:rPr>
                <w:b/>
                <w:sz w:val="18"/>
              </w:rPr>
            </w:pPr>
            <w:r>
              <w:rPr>
                <w:b/>
                <w:spacing w:val="-2"/>
                <w:sz w:val="18"/>
              </w:rPr>
              <w:t>Indicador</w:t>
            </w:r>
          </w:p>
        </w:tc>
        <w:tc>
          <w:tcPr>
            <w:tcW w:w="2839" w:type="dxa"/>
            <w:gridSpan w:val="2"/>
            <w:shd w:val="clear" w:color="auto" w:fill="F1F1F1"/>
          </w:tcPr>
          <w:p>
            <w:pPr>
              <w:pStyle w:val="TableParagraph"/>
              <w:spacing w:before="150"/>
              <w:ind w:left="7"/>
              <w:jc w:val="center"/>
              <w:rPr>
                <w:b/>
                <w:sz w:val="18"/>
              </w:rPr>
            </w:pPr>
            <w:r>
              <w:rPr>
                <w:b/>
                <w:sz w:val="18"/>
              </w:rPr>
              <w:t>I </w:t>
            </w:r>
            <w:r>
              <w:rPr>
                <w:b/>
                <w:spacing w:val="-2"/>
                <w:sz w:val="18"/>
              </w:rPr>
              <w:t>Trimestre</w:t>
            </w:r>
          </w:p>
        </w:tc>
        <w:tc>
          <w:tcPr>
            <w:tcW w:w="2836" w:type="dxa"/>
            <w:gridSpan w:val="2"/>
            <w:shd w:val="clear" w:color="auto" w:fill="F1F1F1"/>
          </w:tcPr>
          <w:p>
            <w:pPr>
              <w:pStyle w:val="TableParagraph"/>
              <w:spacing w:before="150"/>
              <w:ind w:left="928"/>
              <w:rPr>
                <w:b/>
                <w:sz w:val="18"/>
              </w:rPr>
            </w:pPr>
            <w:r>
              <w:rPr>
                <w:b/>
                <w:sz w:val="18"/>
              </w:rPr>
              <w:t>II </w:t>
            </w:r>
            <w:r>
              <w:rPr>
                <w:b/>
                <w:spacing w:val="-2"/>
                <w:sz w:val="18"/>
              </w:rPr>
              <w:t>Trimestre</w:t>
            </w:r>
          </w:p>
        </w:tc>
        <w:tc>
          <w:tcPr>
            <w:tcW w:w="2835" w:type="dxa"/>
            <w:gridSpan w:val="2"/>
            <w:shd w:val="clear" w:color="auto" w:fill="F1F1F1"/>
          </w:tcPr>
          <w:p>
            <w:pPr>
              <w:pStyle w:val="TableParagraph"/>
              <w:spacing w:before="150"/>
              <w:ind w:left="901"/>
              <w:rPr>
                <w:b/>
                <w:sz w:val="18"/>
              </w:rPr>
            </w:pPr>
            <w:r>
              <w:rPr>
                <w:b/>
                <w:sz w:val="18"/>
              </w:rPr>
              <w:t>III </w:t>
            </w:r>
            <w:r>
              <w:rPr>
                <w:b/>
                <w:spacing w:val="-2"/>
                <w:sz w:val="18"/>
              </w:rPr>
              <w:t>Trimestre</w:t>
            </w:r>
          </w:p>
        </w:tc>
        <w:tc>
          <w:tcPr>
            <w:tcW w:w="2979" w:type="dxa"/>
            <w:gridSpan w:val="2"/>
            <w:shd w:val="clear" w:color="auto" w:fill="F1F1F1"/>
          </w:tcPr>
          <w:p>
            <w:pPr>
              <w:pStyle w:val="TableParagraph"/>
              <w:spacing w:before="150"/>
              <w:ind w:left="963"/>
              <w:rPr>
                <w:b/>
                <w:sz w:val="18"/>
              </w:rPr>
            </w:pPr>
            <w:r>
              <w:rPr>
                <w:b/>
                <w:sz w:val="18"/>
              </w:rPr>
              <w:t>IV </w:t>
            </w:r>
            <w:r>
              <w:rPr>
                <w:b/>
                <w:spacing w:val="-2"/>
                <w:sz w:val="18"/>
              </w:rPr>
              <w:t>Trimestre</w:t>
            </w:r>
          </w:p>
        </w:tc>
      </w:tr>
      <w:tr>
        <w:trPr>
          <w:trHeight w:val="448" w:hRule="atLeast"/>
        </w:trPr>
        <w:tc>
          <w:tcPr>
            <w:tcW w:w="1983" w:type="dxa"/>
            <w:vMerge/>
            <w:tcBorders>
              <w:top w:val="nil"/>
            </w:tcBorders>
            <w:shd w:val="clear" w:color="auto" w:fill="F1F1F1"/>
          </w:tcPr>
          <w:p>
            <w:pPr>
              <w:rPr>
                <w:sz w:val="2"/>
                <w:szCs w:val="2"/>
              </w:rPr>
            </w:pPr>
          </w:p>
        </w:tc>
        <w:tc>
          <w:tcPr>
            <w:tcW w:w="1277" w:type="dxa"/>
            <w:vMerge/>
            <w:tcBorders>
              <w:top w:val="nil"/>
            </w:tcBorders>
            <w:shd w:val="clear" w:color="auto" w:fill="F1F1F1"/>
          </w:tcPr>
          <w:p>
            <w:pPr>
              <w:rPr>
                <w:sz w:val="2"/>
                <w:szCs w:val="2"/>
              </w:rPr>
            </w:pPr>
          </w:p>
        </w:tc>
        <w:tc>
          <w:tcPr>
            <w:tcW w:w="1278" w:type="dxa"/>
            <w:shd w:val="clear" w:color="auto" w:fill="F1F1F1"/>
          </w:tcPr>
          <w:p>
            <w:pPr>
              <w:pStyle w:val="TableParagraph"/>
              <w:spacing w:line="210" w:lineRule="atLeast" w:before="8"/>
              <w:ind w:left="116"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0"/>
              <w:jc w:val="center"/>
              <w:rPr>
                <w:b/>
                <w:sz w:val="18"/>
              </w:rPr>
            </w:pPr>
            <w:r>
              <w:rPr>
                <w:b/>
                <w:spacing w:val="-10"/>
                <w:sz w:val="18"/>
              </w:rPr>
              <w:t>¢</w:t>
            </w:r>
          </w:p>
        </w:tc>
        <w:tc>
          <w:tcPr>
            <w:tcW w:w="1275" w:type="dxa"/>
            <w:shd w:val="clear" w:color="auto" w:fill="F1F1F1"/>
          </w:tcPr>
          <w:p>
            <w:pPr>
              <w:pStyle w:val="TableParagraph"/>
              <w:spacing w:line="210" w:lineRule="atLeast" w:before="8"/>
              <w:ind w:left="112"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2"/>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558" w:type="dxa"/>
            <w:shd w:val="clear" w:color="auto" w:fill="F1F1F1"/>
          </w:tcPr>
          <w:p>
            <w:pPr>
              <w:pStyle w:val="TableParagraph"/>
              <w:spacing w:before="119"/>
              <w:ind w:left="34" w:right="34"/>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702" w:type="dxa"/>
            <w:shd w:val="clear" w:color="auto" w:fill="F1F1F1"/>
          </w:tcPr>
          <w:p>
            <w:pPr>
              <w:pStyle w:val="TableParagraph"/>
              <w:spacing w:before="119"/>
              <w:jc w:val="center"/>
              <w:rPr>
                <w:b/>
                <w:sz w:val="18"/>
              </w:rPr>
            </w:pPr>
            <w:r>
              <w:rPr>
                <w:b/>
                <w:spacing w:val="-10"/>
                <w:sz w:val="18"/>
              </w:rPr>
              <w:t>¢</w:t>
            </w:r>
          </w:p>
        </w:tc>
      </w:tr>
      <w:tr>
        <w:trPr>
          <w:trHeight w:val="3933" w:hRule="atLeast"/>
        </w:trPr>
        <w:tc>
          <w:tcPr>
            <w:tcW w:w="1983" w:type="dxa"/>
          </w:tcPr>
          <w:p>
            <w:pPr>
              <w:pStyle w:val="TableParagraph"/>
              <w:spacing w:before="1"/>
              <w:ind w:left="69" w:right="556"/>
              <w:rPr>
                <w:b/>
                <w:sz w:val="18"/>
              </w:rPr>
            </w:pPr>
            <w:r>
              <w:rPr>
                <w:b/>
                <w:sz w:val="18"/>
              </w:rPr>
              <w:t>Actividad</w:t>
            </w:r>
            <w:r>
              <w:rPr>
                <w:b/>
                <w:spacing w:val="-13"/>
                <w:sz w:val="18"/>
              </w:rPr>
              <w:t> </w:t>
            </w:r>
            <w:r>
              <w:rPr>
                <w:b/>
                <w:sz w:val="18"/>
              </w:rPr>
              <w:t>PPPS </w:t>
            </w:r>
            <w:r>
              <w:rPr>
                <w:b/>
                <w:spacing w:val="-2"/>
                <w:sz w:val="18"/>
              </w:rPr>
              <w:t>1.1.8:</w:t>
            </w:r>
          </w:p>
          <w:p>
            <w:pPr>
              <w:pStyle w:val="TableParagraph"/>
              <w:ind w:left="69" w:right="102"/>
              <w:rPr>
                <w:b/>
                <w:sz w:val="18"/>
              </w:rPr>
            </w:pPr>
            <w:r>
              <w:rPr>
                <w:sz w:val="18"/>
              </w:rPr>
              <w:t>Otorgamiento de subsidios a hogares en situación de pobreza, para el mejoramiento de las </w:t>
            </w:r>
            <w:r>
              <w:rPr>
                <w:spacing w:val="-2"/>
                <w:sz w:val="18"/>
              </w:rPr>
              <w:t>condiciones </w:t>
            </w:r>
            <w:r>
              <w:rPr>
                <w:sz w:val="18"/>
              </w:rPr>
              <w:t>habitacionales y de </w:t>
            </w:r>
            <w:r>
              <w:rPr>
                <w:spacing w:val="-2"/>
                <w:sz w:val="18"/>
              </w:rPr>
              <w:t>accesibilidad, </w:t>
            </w:r>
            <w:r>
              <w:rPr>
                <w:sz w:val="18"/>
              </w:rPr>
              <w:t>incluyendo hogares afectados por situaciones de emergencia,</w:t>
            </w:r>
            <w:r>
              <w:rPr>
                <w:spacing w:val="-5"/>
                <w:sz w:val="18"/>
              </w:rPr>
              <w:t> </w:t>
            </w:r>
            <w:r>
              <w:rPr>
                <w:sz w:val="18"/>
              </w:rPr>
              <w:t>así</w:t>
            </w:r>
            <w:r>
              <w:rPr>
                <w:spacing w:val="-5"/>
                <w:sz w:val="18"/>
              </w:rPr>
              <w:t> </w:t>
            </w:r>
            <w:r>
              <w:rPr>
                <w:sz w:val="18"/>
              </w:rPr>
              <w:t>como la construcción de viviendas</w:t>
            </w:r>
            <w:r>
              <w:rPr>
                <w:spacing w:val="-15"/>
                <w:sz w:val="18"/>
              </w:rPr>
              <w:t> </w:t>
            </w:r>
            <w:r>
              <w:rPr>
                <w:sz w:val="18"/>
              </w:rPr>
              <w:t>en</w:t>
            </w:r>
            <w:r>
              <w:rPr>
                <w:spacing w:val="-12"/>
                <w:sz w:val="18"/>
              </w:rPr>
              <w:t> </w:t>
            </w:r>
            <w:r>
              <w:rPr>
                <w:sz w:val="18"/>
              </w:rPr>
              <w:t>territorios </w:t>
            </w:r>
            <w:r>
              <w:rPr>
                <w:spacing w:val="-2"/>
                <w:sz w:val="18"/>
              </w:rPr>
              <w:t>indígenas </w:t>
            </w:r>
            <w:r>
              <w:rPr>
                <w:b/>
                <w:sz w:val="18"/>
              </w:rPr>
              <w:t>(vinculación con</w:t>
            </w:r>
          </w:p>
          <w:p>
            <w:pPr>
              <w:pStyle w:val="TableParagraph"/>
              <w:spacing w:line="187" w:lineRule="exact"/>
              <w:ind w:left="69"/>
              <w:rPr>
                <w:b/>
                <w:sz w:val="18"/>
              </w:rPr>
            </w:pPr>
            <w:r>
              <w:rPr>
                <w:b/>
                <w:sz w:val="18"/>
              </w:rPr>
              <w:t>PGCC</w:t>
            </w:r>
            <w:r>
              <w:rPr>
                <w:b/>
                <w:spacing w:val="-5"/>
                <w:sz w:val="18"/>
              </w:rPr>
              <w:t> </w:t>
            </w:r>
            <w:r>
              <w:rPr>
                <w:b/>
                <w:spacing w:val="-2"/>
                <w:sz w:val="18"/>
              </w:rPr>
              <w:t>4.3).</w:t>
            </w:r>
          </w:p>
        </w:tc>
        <w:tc>
          <w:tcPr>
            <w:tcW w:w="1277" w:type="dxa"/>
          </w:tcPr>
          <w:p>
            <w:pPr>
              <w:pStyle w:val="TableParagraph"/>
              <w:rPr>
                <w:b/>
                <w:sz w:val="18"/>
              </w:rPr>
            </w:pPr>
          </w:p>
          <w:p>
            <w:pPr>
              <w:pStyle w:val="TableParagraph"/>
              <w:spacing w:before="206"/>
              <w:rPr>
                <w:b/>
                <w:sz w:val="18"/>
              </w:rPr>
            </w:pPr>
          </w:p>
          <w:p>
            <w:pPr>
              <w:pStyle w:val="TableParagraph"/>
              <w:ind w:left="69" w:right="100"/>
              <w:rPr>
                <w:sz w:val="18"/>
              </w:rPr>
            </w:pPr>
            <w:r>
              <w:rPr>
                <w:sz w:val="18"/>
              </w:rPr>
              <w:t>Cantidad de hogares que reciben un subsidio</w:t>
            </w:r>
            <w:r>
              <w:rPr>
                <w:spacing w:val="-13"/>
                <w:sz w:val="18"/>
              </w:rPr>
              <w:t> </w:t>
            </w:r>
            <w:r>
              <w:rPr>
                <w:sz w:val="18"/>
              </w:rPr>
              <w:t>para </w:t>
            </w:r>
            <w:r>
              <w:rPr>
                <w:spacing w:val="-6"/>
                <w:sz w:val="18"/>
              </w:rPr>
              <w:t>el </w:t>
            </w:r>
            <w:r>
              <w:rPr>
                <w:spacing w:val="-2"/>
                <w:sz w:val="18"/>
              </w:rPr>
              <w:t>mejoramiento </w:t>
            </w:r>
            <w:r>
              <w:rPr>
                <w:sz w:val="18"/>
              </w:rPr>
              <w:t>de las </w:t>
            </w:r>
            <w:r>
              <w:rPr>
                <w:spacing w:val="-2"/>
                <w:sz w:val="18"/>
              </w:rPr>
              <w:t>condiciones habitacionale </w:t>
            </w:r>
            <w:r>
              <w:rPr>
                <w:sz w:val="18"/>
              </w:rPr>
              <w:t>s y de </w:t>
            </w:r>
            <w:r>
              <w:rPr>
                <w:spacing w:val="-2"/>
                <w:sz w:val="18"/>
              </w:rPr>
              <w:t>accesibilidad </w:t>
            </w:r>
            <w:r>
              <w:rPr>
                <w:sz w:val="18"/>
              </w:rPr>
              <w:t>de sus </w:t>
            </w:r>
            <w:r>
              <w:rPr>
                <w:spacing w:val="-2"/>
                <w:sz w:val="18"/>
              </w:rPr>
              <w:t>viviendas.</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60"/>
              <w:jc w:val="right"/>
              <w:rPr>
                <w:sz w:val="18"/>
              </w:rPr>
            </w:pPr>
            <w:r>
              <w:rPr>
                <w:spacing w:val="-10"/>
                <w:sz w:val="18"/>
              </w:rPr>
              <w:t>4</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457"/>
              <w:rPr>
                <w:sz w:val="18"/>
              </w:rPr>
            </w:pPr>
            <w:r>
              <w:rPr>
                <w:sz w:val="18"/>
              </w:rPr>
              <w:t>₡20</w:t>
            </w:r>
            <w:r>
              <w:rPr>
                <w:spacing w:val="-2"/>
                <w:sz w:val="18"/>
              </w:rPr>
              <w:t> </w:t>
            </w:r>
            <w:r>
              <w:rPr>
                <w:sz w:val="18"/>
              </w:rPr>
              <w:t>000</w:t>
            </w:r>
            <w:r>
              <w:rPr>
                <w:spacing w:val="-2"/>
                <w:sz w:val="18"/>
              </w:rPr>
              <w:t> </w:t>
            </w:r>
            <w:r>
              <w:rPr>
                <w:spacing w:val="-5"/>
                <w:sz w:val="18"/>
              </w:rPr>
              <w:t>000</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60"/>
              <w:jc w:val="right"/>
              <w:rPr>
                <w:sz w:val="18"/>
              </w:rPr>
            </w:pPr>
            <w:r>
              <w:rPr>
                <w:spacing w:val="-5"/>
                <w:sz w:val="18"/>
              </w:rPr>
              <w:t>27</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357"/>
              <w:rPr>
                <w:sz w:val="18"/>
              </w:rPr>
            </w:pPr>
            <w:r>
              <w:rPr>
                <w:sz w:val="18"/>
              </w:rPr>
              <w:t>₡135</w:t>
            </w:r>
            <w:r>
              <w:rPr>
                <w:spacing w:val="-2"/>
                <w:sz w:val="18"/>
              </w:rPr>
              <w:t> </w:t>
            </w:r>
            <w:r>
              <w:rPr>
                <w:sz w:val="18"/>
              </w:rPr>
              <w:t>000</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8"/>
              <w:jc w:val="right"/>
              <w:rPr>
                <w:sz w:val="18"/>
              </w:rPr>
            </w:pPr>
            <w:r>
              <w:rPr>
                <w:spacing w:val="-5"/>
                <w:sz w:val="18"/>
              </w:rPr>
              <w:t>83</w:t>
            </w: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351"/>
              <w:rPr>
                <w:sz w:val="18"/>
              </w:rPr>
            </w:pPr>
            <w:r>
              <w:rPr>
                <w:sz w:val="18"/>
              </w:rPr>
              <w:t>₡415</w:t>
            </w:r>
            <w:r>
              <w:rPr>
                <w:spacing w:val="-2"/>
                <w:sz w:val="18"/>
              </w:rPr>
              <w:t> </w:t>
            </w:r>
            <w:r>
              <w:rPr>
                <w:sz w:val="18"/>
              </w:rPr>
              <w:t>000</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8"/>
              <w:jc w:val="right"/>
              <w:rPr>
                <w:sz w:val="18"/>
              </w:rPr>
            </w:pPr>
            <w:r>
              <w:rPr>
                <w:spacing w:val="-5"/>
                <w:sz w:val="18"/>
              </w:rPr>
              <w:t>150</w:t>
            </w:r>
          </w:p>
        </w:tc>
        <w:tc>
          <w:tcPr>
            <w:tcW w:w="17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495"/>
              <w:rPr>
                <w:sz w:val="18"/>
              </w:rPr>
            </w:pPr>
            <w:r>
              <w:rPr>
                <w:sz w:val="18"/>
              </w:rPr>
              <w:t>₡756</w:t>
            </w:r>
            <w:r>
              <w:rPr>
                <w:spacing w:val="-3"/>
                <w:sz w:val="18"/>
              </w:rPr>
              <w:t> </w:t>
            </w:r>
            <w:r>
              <w:rPr>
                <w:sz w:val="18"/>
              </w:rPr>
              <w:t>749 </w:t>
            </w:r>
            <w:r>
              <w:rPr>
                <w:spacing w:val="-5"/>
                <w:sz w:val="18"/>
              </w:rPr>
              <w:t>800</w:t>
            </w:r>
          </w:p>
        </w:tc>
      </w:tr>
      <w:tr>
        <w:trPr>
          <w:trHeight w:val="3451" w:hRule="atLeast"/>
        </w:trPr>
        <w:tc>
          <w:tcPr>
            <w:tcW w:w="1983" w:type="dxa"/>
          </w:tcPr>
          <w:p>
            <w:pPr>
              <w:pStyle w:val="TableParagraph"/>
              <w:ind w:left="69"/>
              <w:rPr>
                <w:b/>
                <w:sz w:val="20"/>
              </w:rPr>
            </w:pPr>
            <w:r>
              <w:rPr>
                <w:b/>
                <w:sz w:val="20"/>
              </w:rPr>
              <w:t>Actividad</w:t>
            </w:r>
            <w:r>
              <w:rPr>
                <w:b/>
                <w:spacing w:val="-10"/>
                <w:sz w:val="20"/>
              </w:rPr>
              <w:t> </w:t>
            </w:r>
            <w:r>
              <w:rPr>
                <w:b/>
                <w:spacing w:val="-4"/>
                <w:sz w:val="20"/>
              </w:rPr>
              <w:t>PPPS</w:t>
            </w:r>
          </w:p>
          <w:p>
            <w:pPr>
              <w:pStyle w:val="TableParagraph"/>
              <w:ind w:left="69" w:right="105"/>
              <w:rPr>
                <w:sz w:val="20"/>
              </w:rPr>
            </w:pPr>
            <w:r>
              <w:rPr>
                <w:b/>
                <w:sz w:val="20"/>
              </w:rPr>
              <w:t>1.1.9: </w:t>
            </w:r>
            <w:r>
              <w:rPr>
                <w:sz w:val="20"/>
              </w:rPr>
              <w:t>Lograr la inscripción de escrituras de proyectos de Titulación</w:t>
            </w:r>
            <w:r>
              <w:rPr>
                <w:spacing w:val="-14"/>
                <w:sz w:val="20"/>
              </w:rPr>
              <w:t> </w:t>
            </w:r>
            <w:r>
              <w:rPr>
                <w:sz w:val="20"/>
              </w:rPr>
              <w:t>a</w:t>
            </w:r>
            <w:r>
              <w:rPr>
                <w:spacing w:val="-14"/>
                <w:sz w:val="20"/>
              </w:rPr>
              <w:t> </w:t>
            </w:r>
            <w:r>
              <w:rPr>
                <w:sz w:val="20"/>
              </w:rPr>
              <w:t>nombre de las personas beneficiarias o de los gobiernos locales, según corresponda en el Registro Nacional, mediante la</w:t>
            </w:r>
          </w:p>
          <w:p>
            <w:pPr>
              <w:pStyle w:val="TableParagraph"/>
              <w:spacing w:line="230" w:lineRule="atLeast"/>
              <w:ind w:left="69" w:right="730"/>
              <w:rPr>
                <w:sz w:val="20"/>
              </w:rPr>
            </w:pPr>
            <w:r>
              <w:rPr>
                <w:sz w:val="20"/>
              </w:rPr>
              <w:t>ejecución</w:t>
            </w:r>
            <w:r>
              <w:rPr>
                <w:spacing w:val="-14"/>
                <w:sz w:val="20"/>
              </w:rPr>
              <w:t> </w:t>
            </w:r>
            <w:r>
              <w:rPr>
                <w:sz w:val="20"/>
              </w:rPr>
              <w:t>del </w:t>
            </w:r>
            <w:r>
              <w:rPr>
                <w:spacing w:val="-2"/>
                <w:sz w:val="20"/>
              </w:rPr>
              <w:t>proyecto</w:t>
            </w:r>
          </w:p>
        </w:tc>
        <w:tc>
          <w:tcPr>
            <w:tcW w:w="1277" w:type="dxa"/>
          </w:tcPr>
          <w:p>
            <w:pPr>
              <w:pStyle w:val="TableParagraph"/>
              <w:rPr>
                <w:b/>
                <w:sz w:val="20"/>
              </w:rPr>
            </w:pPr>
          </w:p>
          <w:p>
            <w:pPr>
              <w:pStyle w:val="TableParagraph"/>
              <w:rPr>
                <w:b/>
                <w:sz w:val="20"/>
              </w:rPr>
            </w:pPr>
          </w:p>
          <w:p>
            <w:pPr>
              <w:pStyle w:val="TableParagraph"/>
              <w:spacing w:before="1"/>
              <w:rPr>
                <w:b/>
                <w:sz w:val="20"/>
              </w:rPr>
            </w:pPr>
          </w:p>
          <w:p>
            <w:pPr>
              <w:pStyle w:val="TableParagraph"/>
              <w:ind w:left="69" w:right="58"/>
              <w:rPr>
                <w:sz w:val="20"/>
              </w:rPr>
            </w:pPr>
            <w:r>
              <w:rPr>
                <w:sz w:val="20"/>
              </w:rPr>
              <w:t>Cantidad de </w:t>
            </w:r>
            <w:r>
              <w:rPr>
                <w:spacing w:val="-2"/>
                <w:sz w:val="20"/>
              </w:rPr>
              <w:t>escrituras </w:t>
            </w:r>
            <w:r>
              <w:rPr>
                <w:sz w:val="20"/>
              </w:rPr>
              <w:t>inscritas a nombre de las</w:t>
            </w:r>
            <w:r>
              <w:rPr>
                <w:spacing w:val="-14"/>
                <w:sz w:val="20"/>
              </w:rPr>
              <w:t> </w:t>
            </w:r>
            <w:r>
              <w:rPr>
                <w:sz w:val="20"/>
              </w:rPr>
              <w:t>personas </w:t>
            </w:r>
            <w:r>
              <w:rPr>
                <w:spacing w:val="-2"/>
                <w:sz w:val="20"/>
              </w:rPr>
              <w:t>beneficiarias </w:t>
            </w:r>
            <w:r>
              <w:rPr>
                <w:sz w:val="20"/>
              </w:rPr>
              <w:t>o de los </w:t>
            </w:r>
            <w:r>
              <w:rPr>
                <w:spacing w:val="-2"/>
                <w:sz w:val="20"/>
              </w:rPr>
              <w:t>gobiernos locales</w:t>
            </w:r>
          </w:p>
        </w:tc>
        <w:tc>
          <w:tcPr>
            <w:tcW w:w="1278" w:type="dxa"/>
          </w:tcPr>
          <w:p>
            <w:pPr>
              <w:pStyle w:val="TableParagraph"/>
              <w:rPr>
                <w:rFonts w:ascii="Times New Roman"/>
                <w:sz w:val="18"/>
              </w:rPr>
            </w:pPr>
          </w:p>
        </w:tc>
        <w:tc>
          <w:tcPr>
            <w:tcW w:w="1561" w:type="dxa"/>
          </w:tcPr>
          <w:p>
            <w:pPr>
              <w:pStyle w:val="TableParagraph"/>
              <w:rPr>
                <w:rFonts w:ascii="Times New Roman"/>
                <w:sz w:val="18"/>
              </w:rPr>
            </w:pPr>
          </w:p>
        </w:tc>
        <w:tc>
          <w:tcPr>
            <w:tcW w:w="1275" w:type="dxa"/>
          </w:tcPr>
          <w:p>
            <w:pPr>
              <w:pStyle w:val="TableParagraph"/>
              <w:rPr>
                <w:rFonts w:ascii="Times New Roman"/>
                <w:sz w:val="18"/>
              </w:rPr>
            </w:pPr>
          </w:p>
        </w:tc>
        <w:tc>
          <w:tcPr>
            <w:tcW w:w="1561" w:type="dxa"/>
          </w:tcPr>
          <w:p>
            <w:pPr>
              <w:pStyle w:val="TableParagraph"/>
              <w:rPr>
                <w:rFonts w:ascii="Times New Roman"/>
                <w:sz w:val="18"/>
              </w:rPr>
            </w:pPr>
          </w:p>
        </w:tc>
        <w:tc>
          <w:tcPr>
            <w:tcW w:w="1277" w:type="dxa"/>
          </w:tcPr>
          <w:p>
            <w:pPr>
              <w:pStyle w:val="TableParagraph"/>
              <w:rPr>
                <w:rFonts w:ascii="Times New Roman"/>
                <w:sz w:val="18"/>
              </w:rPr>
            </w:pPr>
          </w:p>
        </w:tc>
        <w:tc>
          <w:tcPr>
            <w:tcW w:w="1558"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2"/>
              <w:rPr>
                <w:b/>
                <w:sz w:val="18"/>
              </w:rPr>
            </w:pPr>
          </w:p>
          <w:p>
            <w:pPr>
              <w:pStyle w:val="TableParagraph"/>
              <w:spacing w:before="1"/>
              <w:ind w:right="58"/>
              <w:jc w:val="right"/>
              <w:rPr>
                <w:sz w:val="18"/>
              </w:rPr>
            </w:pPr>
            <w:r>
              <w:rPr>
                <w:spacing w:val="-5"/>
                <w:sz w:val="18"/>
              </w:rPr>
              <w:t>500</w:t>
            </w:r>
          </w:p>
        </w:tc>
        <w:tc>
          <w:tcPr>
            <w:tcW w:w="1702"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3"/>
        <w:gridCol w:w="1277"/>
        <w:gridCol w:w="1278"/>
        <w:gridCol w:w="1561"/>
        <w:gridCol w:w="1275"/>
        <w:gridCol w:w="1561"/>
        <w:gridCol w:w="1277"/>
        <w:gridCol w:w="1558"/>
        <w:gridCol w:w="1277"/>
        <w:gridCol w:w="1702"/>
      </w:tblGrid>
      <w:tr>
        <w:trPr>
          <w:trHeight w:val="510" w:hRule="atLeast"/>
        </w:trPr>
        <w:tc>
          <w:tcPr>
            <w:tcW w:w="1983" w:type="dxa"/>
            <w:vMerge w:val="restart"/>
            <w:shd w:val="clear" w:color="auto" w:fill="F1F1F1"/>
          </w:tcPr>
          <w:p>
            <w:pPr>
              <w:pStyle w:val="TableParagraph"/>
              <w:spacing w:before="70"/>
              <w:rPr>
                <w:b/>
                <w:sz w:val="18"/>
              </w:rPr>
            </w:pPr>
          </w:p>
          <w:p>
            <w:pPr>
              <w:pStyle w:val="TableParagraph"/>
              <w:ind w:left="506" w:right="403" w:firstLine="24"/>
              <w:rPr>
                <w:b/>
                <w:sz w:val="18"/>
              </w:rPr>
            </w:pPr>
            <w:r>
              <w:rPr>
                <w:b/>
                <w:sz w:val="18"/>
              </w:rPr>
              <w:t>Objetivos</w:t>
            </w:r>
            <w:r>
              <w:rPr>
                <w:b/>
                <w:spacing w:val="-12"/>
                <w:sz w:val="18"/>
              </w:rPr>
              <w:t> </w:t>
            </w:r>
            <w:r>
              <w:rPr>
                <w:b/>
                <w:sz w:val="18"/>
              </w:rPr>
              <w:t>/ </w:t>
            </w:r>
            <w:r>
              <w:rPr>
                <w:b/>
                <w:spacing w:val="-2"/>
                <w:sz w:val="18"/>
              </w:rPr>
              <w:t>Resultados</w:t>
            </w:r>
          </w:p>
        </w:tc>
        <w:tc>
          <w:tcPr>
            <w:tcW w:w="1277" w:type="dxa"/>
            <w:vMerge w:val="restart"/>
            <w:shd w:val="clear" w:color="auto" w:fill="F1F1F1"/>
          </w:tcPr>
          <w:p>
            <w:pPr>
              <w:pStyle w:val="TableParagraph"/>
              <w:spacing w:before="173"/>
              <w:rPr>
                <w:b/>
                <w:sz w:val="18"/>
              </w:rPr>
            </w:pPr>
          </w:p>
          <w:p>
            <w:pPr>
              <w:pStyle w:val="TableParagraph"/>
              <w:ind w:left="232"/>
              <w:rPr>
                <w:b/>
                <w:sz w:val="18"/>
              </w:rPr>
            </w:pPr>
            <w:r>
              <w:rPr>
                <w:b/>
                <w:spacing w:val="-2"/>
                <w:sz w:val="18"/>
              </w:rPr>
              <w:t>Indicador</w:t>
            </w:r>
          </w:p>
        </w:tc>
        <w:tc>
          <w:tcPr>
            <w:tcW w:w="2839" w:type="dxa"/>
            <w:gridSpan w:val="2"/>
            <w:shd w:val="clear" w:color="auto" w:fill="F1F1F1"/>
          </w:tcPr>
          <w:p>
            <w:pPr>
              <w:pStyle w:val="TableParagraph"/>
              <w:spacing w:before="150"/>
              <w:ind w:left="7"/>
              <w:jc w:val="center"/>
              <w:rPr>
                <w:b/>
                <w:sz w:val="18"/>
              </w:rPr>
            </w:pPr>
            <w:r>
              <w:rPr>
                <w:b/>
                <w:sz w:val="18"/>
              </w:rPr>
              <w:t>I </w:t>
            </w:r>
            <w:r>
              <w:rPr>
                <w:b/>
                <w:spacing w:val="-2"/>
                <w:sz w:val="18"/>
              </w:rPr>
              <w:t>Trimestre</w:t>
            </w:r>
          </w:p>
        </w:tc>
        <w:tc>
          <w:tcPr>
            <w:tcW w:w="2836" w:type="dxa"/>
            <w:gridSpan w:val="2"/>
            <w:shd w:val="clear" w:color="auto" w:fill="F1F1F1"/>
          </w:tcPr>
          <w:p>
            <w:pPr>
              <w:pStyle w:val="TableParagraph"/>
              <w:spacing w:before="150"/>
              <w:ind w:left="928"/>
              <w:rPr>
                <w:b/>
                <w:sz w:val="18"/>
              </w:rPr>
            </w:pPr>
            <w:r>
              <w:rPr>
                <w:b/>
                <w:sz w:val="18"/>
              </w:rPr>
              <w:t>II </w:t>
            </w:r>
            <w:r>
              <w:rPr>
                <w:b/>
                <w:spacing w:val="-2"/>
                <w:sz w:val="18"/>
              </w:rPr>
              <w:t>Trimestre</w:t>
            </w:r>
          </w:p>
        </w:tc>
        <w:tc>
          <w:tcPr>
            <w:tcW w:w="2835" w:type="dxa"/>
            <w:gridSpan w:val="2"/>
            <w:shd w:val="clear" w:color="auto" w:fill="F1F1F1"/>
          </w:tcPr>
          <w:p>
            <w:pPr>
              <w:pStyle w:val="TableParagraph"/>
              <w:spacing w:before="150"/>
              <w:ind w:left="901"/>
              <w:rPr>
                <w:b/>
                <w:sz w:val="18"/>
              </w:rPr>
            </w:pPr>
            <w:r>
              <w:rPr>
                <w:b/>
                <w:sz w:val="18"/>
              </w:rPr>
              <w:t>III </w:t>
            </w:r>
            <w:r>
              <w:rPr>
                <w:b/>
                <w:spacing w:val="-2"/>
                <w:sz w:val="18"/>
              </w:rPr>
              <w:t>Trimestre</w:t>
            </w:r>
          </w:p>
        </w:tc>
        <w:tc>
          <w:tcPr>
            <w:tcW w:w="2979" w:type="dxa"/>
            <w:gridSpan w:val="2"/>
            <w:shd w:val="clear" w:color="auto" w:fill="F1F1F1"/>
          </w:tcPr>
          <w:p>
            <w:pPr>
              <w:pStyle w:val="TableParagraph"/>
              <w:spacing w:before="150"/>
              <w:ind w:left="963"/>
              <w:rPr>
                <w:b/>
                <w:sz w:val="18"/>
              </w:rPr>
            </w:pPr>
            <w:r>
              <w:rPr>
                <w:b/>
                <w:sz w:val="18"/>
              </w:rPr>
              <w:t>IV </w:t>
            </w:r>
            <w:r>
              <w:rPr>
                <w:b/>
                <w:spacing w:val="-2"/>
                <w:sz w:val="18"/>
              </w:rPr>
              <w:t>Trimestre</w:t>
            </w:r>
          </w:p>
        </w:tc>
      </w:tr>
      <w:tr>
        <w:trPr>
          <w:trHeight w:val="448" w:hRule="atLeast"/>
        </w:trPr>
        <w:tc>
          <w:tcPr>
            <w:tcW w:w="1983" w:type="dxa"/>
            <w:vMerge/>
            <w:tcBorders>
              <w:top w:val="nil"/>
            </w:tcBorders>
            <w:shd w:val="clear" w:color="auto" w:fill="F1F1F1"/>
          </w:tcPr>
          <w:p>
            <w:pPr>
              <w:rPr>
                <w:sz w:val="2"/>
                <w:szCs w:val="2"/>
              </w:rPr>
            </w:pPr>
          </w:p>
        </w:tc>
        <w:tc>
          <w:tcPr>
            <w:tcW w:w="1277" w:type="dxa"/>
            <w:vMerge/>
            <w:tcBorders>
              <w:top w:val="nil"/>
            </w:tcBorders>
            <w:shd w:val="clear" w:color="auto" w:fill="F1F1F1"/>
          </w:tcPr>
          <w:p>
            <w:pPr>
              <w:rPr>
                <w:sz w:val="2"/>
                <w:szCs w:val="2"/>
              </w:rPr>
            </w:pPr>
          </w:p>
        </w:tc>
        <w:tc>
          <w:tcPr>
            <w:tcW w:w="1278" w:type="dxa"/>
            <w:shd w:val="clear" w:color="auto" w:fill="F1F1F1"/>
          </w:tcPr>
          <w:p>
            <w:pPr>
              <w:pStyle w:val="TableParagraph"/>
              <w:spacing w:line="210" w:lineRule="atLeast" w:before="8"/>
              <w:ind w:left="116"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0"/>
              <w:jc w:val="center"/>
              <w:rPr>
                <w:b/>
                <w:sz w:val="18"/>
              </w:rPr>
            </w:pPr>
            <w:r>
              <w:rPr>
                <w:b/>
                <w:spacing w:val="-10"/>
                <w:sz w:val="18"/>
              </w:rPr>
              <w:t>¢</w:t>
            </w:r>
          </w:p>
        </w:tc>
        <w:tc>
          <w:tcPr>
            <w:tcW w:w="1275" w:type="dxa"/>
            <w:shd w:val="clear" w:color="auto" w:fill="F1F1F1"/>
          </w:tcPr>
          <w:p>
            <w:pPr>
              <w:pStyle w:val="TableParagraph"/>
              <w:spacing w:line="210" w:lineRule="atLeast" w:before="8"/>
              <w:ind w:left="112"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2"/>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558" w:type="dxa"/>
            <w:shd w:val="clear" w:color="auto" w:fill="F1F1F1"/>
          </w:tcPr>
          <w:p>
            <w:pPr>
              <w:pStyle w:val="TableParagraph"/>
              <w:spacing w:before="119"/>
              <w:ind w:left="34" w:right="34"/>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702" w:type="dxa"/>
            <w:shd w:val="clear" w:color="auto" w:fill="F1F1F1"/>
          </w:tcPr>
          <w:p>
            <w:pPr>
              <w:pStyle w:val="TableParagraph"/>
              <w:spacing w:before="119"/>
              <w:jc w:val="center"/>
              <w:rPr>
                <w:b/>
                <w:sz w:val="18"/>
              </w:rPr>
            </w:pPr>
            <w:r>
              <w:rPr>
                <w:b/>
                <w:spacing w:val="-10"/>
                <w:sz w:val="18"/>
              </w:rPr>
              <w:t>¢</w:t>
            </w:r>
          </w:p>
        </w:tc>
      </w:tr>
      <w:tr>
        <w:trPr>
          <w:trHeight w:val="2462" w:hRule="atLeast"/>
        </w:trPr>
        <w:tc>
          <w:tcPr>
            <w:tcW w:w="1983" w:type="dxa"/>
          </w:tcPr>
          <w:p>
            <w:pPr>
              <w:pStyle w:val="TableParagraph"/>
              <w:ind w:left="69" w:right="60"/>
              <w:rPr>
                <w:sz w:val="20"/>
              </w:rPr>
            </w:pPr>
            <w:r>
              <w:rPr>
                <w:spacing w:val="-2"/>
                <w:sz w:val="20"/>
              </w:rPr>
              <w:t>denominado </w:t>
            </w:r>
            <w:r>
              <w:rPr>
                <w:sz w:val="20"/>
              </w:rPr>
              <w:t>“Consolidación del proceso</w:t>
            </w:r>
            <w:r>
              <w:rPr>
                <w:spacing w:val="-14"/>
                <w:sz w:val="20"/>
              </w:rPr>
              <w:t> </w:t>
            </w:r>
            <w:r>
              <w:rPr>
                <w:sz w:val="20"/>
              </w:rPr>
              <w:t>de</w:t>
            </w:r>
            <w:r>
              <w:rPr>
                <w:spacing w:val="-14"/>
                <w:sz w:val="20"/>
              </w:rPr>
              <w:t> </w:t>
            </w:r>
            <w:r>
              <w:rPr>
                <w:sz w:val="20"/>
              </w:rPr>
              <w:t>titulación de terrenos para la regularización de la </w:t>
            </w:r>
            <w:r>
              <w:rPr>
                <w:spacing w:val="-2"/>
                <w:sz w:val="20"/>
              </w:rPr>
              <w:t>tenencia</w:t>
            </w:r>
          </w:p>
          <w:p>
            <w:pPr>
              <w:pStyle w:val="TableParagraph"/>
              <w:ind w:left="69" w:right="80"/>
              <w:rPr>
                <w:sz w:val="20"/>
              </w:rPr>
            </w:pPr>
            <w:r>
              <w:rPr>
                <w:sz w:val="20"/>
              </w:rPr>
              <w:t>de la tierra de </w:t>
            </w:r>
            <w:r>
              <w:rPr>
                <w:spacing w:val="-2"/>
                <w:sz w:val="20"/>
              </w:rPr>
              <w:t>inmuebles</w:t>
            </w:r>
            <w:r>
              <w:rPr>
                <w:spacing w:val="40"/>
                <w:sz w:val="20"/>
              </w:rPr>
              <w:t> </w:t>
            </w:r>
            <w:r>
              <w:rPr>
                <w:sz w:val="20"/>
              </w:rPr>
              <w:t>propiedad</w:t>
            </w:r>
            <w:r>
              <w:rPr>
                <w:spacing w:val="-14"/>
                <w:sz w:val="20"/>
              </w:rPr>
              <w:t> </w:t>
            </w:r>
            <w:r>
              <w:rPr>
                <w:sz w:val="20"/>
              </w:rPr>
              <w:t>del</w:t>
            </w:r>
            <w:r>
              <w:rPr>
                <w:spacing w:val="-14"/>
                <w:sz w:val="20"/>
              </w:rPr>
              <w:t> </w:t>
            </w:r>
            <w:r>
              <w:rPr>
                <w:sz w:val="20"/>
              </w:rPr>
              <w:t>IMAS”</w:t>
            </w:r>
          </w:p>
        </w:tc>
        <w:tc>
          <w:tcPr>
            <w:tcW w:w="1277" w:type="dxa"/>
          </w:tcPr>
          <w:p>
            <w:pPr>
              <w:pStyle w:val="TableParagraph"/>
              <w:rPr>
                <w:rFonts w:ascii="Times New Roman"/>
                <w:sz w:val="18"/>
              </w:rPr>
            </w:pPr>
          </w:p>
        </w:tc>
        <w:tc>
          <w:tcPr>
            <w:tcW w:w="1278" w:type="dxa"/>
          </w:tcPr>
          <w:p>
            <w:pPr>
              <w:pStyle w:val="TableParagraph"/>
              <w:rPr>
                <w:rFonts w:ascii="Times New Roman"/>
                <w:sz w:val="18"/>
              </w:rPr>
            </w:pPr>
          </w:p>
        </w:tc>
        <w:tc>
          <w:tcPr>
            <w:tcW w:w="1561" w:type="dxa"/>
          </w:tcPr>
          <w:p>
            <w:pPr>
              <w:pStyle w:val="TableParagraph"/>
              <w:rPr>
                <w:rFonts w:ascii="Times New Roman"/>
                <w:sz w:val="18"/>
              </w:rPr>
            </w:pPr>
          </w:p>
        </w:tc>
        <w:tc>
          <w:tcPr>
            <w:tcW w:w="1275" w:type="dxa"/>
          </w:tcPr>
          <w:p>
            <w:pPr>
              <w:pStyle w:val="TableParagraph"/>
              <w:rPr>
                <w:rFonts w:ascii="Times New Roman"/>
                <w:sz w:val="18"/>
              </w:rPr>
            </w:pPr>
          </w:p>
        </w:tc>
        <w:tc>
          <w:tcPr>
            <w:tcW w:w="1561" w:type="dxa"/>
          </w:tcPr>
          <w:p>
            <w:pPr>
              <w:pStyle w:val="TableParagraph"/>
              <w:rPr>
                <w:rFonts w:ascii="Times New Roman"/>
                <w:sz w:val="18"/>
              </w:rPr>
            </w:pPr>
          </w:p>
        </w:tc>
        <w:tc>
          <w:tcPr>
            <w:tcW w:w="1277" w:type="dxa"/>
          </w:tcPr>
          <w:p>
            <w:pPr>
              <w:pStyle w:val="TableParagraph"/>
              <w:rPr>
                <w:rFonts w:ascii="Times New Roman"/>
                <w:sz w:val="18"/>
              </w:rPr>
            </w:pPr>
          </w:p>
        </w:tc>
        <w:tc>
          <w:tcPr>
            <w:tcW w:w="1558" w:type="dxa"/>
          </w:tcPr>
          <w:p>
            <w:pPr>
              <w:pStyle w:val="TableParagraph"/>
              <w:rPr>
                <w:rFonts w:ascii="Times New Roman"/>
                <w:sz w:val="18"/>
              </w:rPr>
            </w:pPr>
          </w:p>
        </w:tc>
        <w:tc>
          <w:tcPr>
            <w:tcW w:w="1277" w:type="dxa"/>
          </w:tcPr>
          <w:p>
            <w:pPr>
              <w:pStyle w:val="TableParagraph"/>
              <w:rPr>
                <w:rFonts w:ascii="Times New Roman"/>
                <w:sz w:val="18"/>
              </w:rPr>
            </w:pPr>
          </w:p>
        </w:tc>
        <w:tc>
          <w:tcPr>
            <w:tcW w:w="1702" w:type="dxa"/>
          </w:tcPr>
          <w:p>
            <w:pPr>
              <w:pStyle w:val="TableParagraph"/>
              <w:rPr>
                <w:rFonts w:ascii="Times New Roman"/>
                <w:sz w:val="18"/>
              </w:rPr>
            </w:pPr>
          </w:p>
        </w:tc>
      </w:tr>
      <w:tr>
        <w:trPr>
          <w:trHeight w:val="479" w:hRule="atLeast"/>
        </w:trPr>
        <w:tc>
          <w:tcPr>
            <w:tcW w:w="14749" w:type="dxa"/>
            <w:gridSpan w:val="10"/>
            <w:shd w:val="clear" w:color="auto" w:fill="DBE4F0"/>
          </w:tcPr>
          <w:p>
            <w:pPr>
              <w:pStyle w:val="TableParagraph"/>
              <w:ind w:left="69" w:right="151"/>
              <w:rPr>
                <w:b/>
                <w:sz w:val="18"/>
              </w:rPr>
            </w:pPr>
            <w:r>
              <w:rPr>
                <w:b/>
                <w:sz w:val="18"/>
              </w:rPr>
              <w:t>Producto</w:t>
            </w:r>
            <w:r>
              <w:rPr>
                <w:b/>
                <w:spacing w:val="-2"/>
                <w:sz w:val="18"/>
              </w:rPr>
              <w:t> </w:t>
            </w:r>
            <w:r>
              <w:rPr>
                <w:b/>
                <w:sz w:val="18"/>
              </w:rPr>
              <w:t>PPPS</w:t>
            </w:r>
            <w:r>
              <w:rPr>
                <w:b/>
                <w:spacing w:val="-2"/>
                <w:sz w:val="18"/>
              </w:rPr>
              <w:t> </w:t>
            </w:r>
            <w:r>
              <w:rPr>
                <w:b/>
                <w:sz w:val="18"/>
              </w:rPr>
              <w:t>1.2:</w:t>
            </w:r>
            <w:r>
              <w:rPr>
                <w:b/>
                <w:spacing w:val="-2"/>
                <w:sz w:val="18"/>
              </w:rPr>
              <w:t> </w:t>
            </w:r>
            <w:r>
              <w:rPr>
                <w:b/>
                <w:sz w:val="18"/>
              </w:rPr>
              <w:t>Oferta</w:t>
            </w:r>
            <w:r>
              <w:rPr>
                <w:b/>
                <w:spacing w:val="-2"/>
                <w:sz w:val="18"/>
              </w:rPr>
              <w:t> </w:t>
            </w:r>
            <w:r>
              <w:rPr>
                <w:b/>
                <w:sz w:val="18"/>
              </w:rPr>
              <w:t>programática</w:t>
            </w:r>
            <w:r>
              <w:rPr>
                <w:b/>
                <w:spacing w:val="-2"/>
                <w:sz w:val="18"/>
              </w:rPr>
              <w:t> </w:t>
            </w:r>
            <w:r>
              <w:rPr>
                <w:b/>
                <w:sz w:val="18"/>
              </w:rPr>
              <w:t>institucional</w:t>
            </w:r>
            <w:r>
              <w:rPr>
                <w:b/>
                <w:spacing w:val="-4"/>
                <w:sz w:val="18"/>
              </w:rPr>
              <w:t> </w:t>
            </w:r>
            <w:r>
              <w:rPr>
                <w:b/>
                <w:sz w:val="18"/>
              </w:rPr>
              <w:t>en</w:t>
            </w:r>
            <w:r>
              <w:rPr>
                <w:b/>
                <w:spacing w:val="-4"/>
                <w:sz w:val="18"/>
              </w:rPr>
              <w:t> </w:t>
            </w:r>
            <w:r>
              <w:rPr>
                <w:b/>
                <w:sz w:val="18"/>
              </w:rPr>
              <w:t>promoción</w:t>
            </w:r>
            <w:r>
              <w:rPr>
                <w:b/>
                <w:spacing w:val="-4"/>
                <w:sz w:val="18"/>
              </w:rPr>
              <w:t> </w:t>
            </w:r>
            <w:r>
              <w:rPr>
                <w:b/>
                <w:sz w:val="18"/>
              </w:rPr>
              <w:t>social</w:t>
            </w:r>
            <w:r>
              <w:rPr>
                <w:b/>
                <w:spacing w:val="-2"/>
                <w:sz w:val="18"/>
              </w:rPr>
              <w:t> </w:t>
            </w:r>
            <w:r>
              <w:rPr>
                <w:b/>
                <w:sz w:val="18"/>
              </w:rPr>
              <w:t>que</w:t>
            </w:r>
            <w:r>
              <w:rPr>
                <w:b/>
                <w:spacing w:val="-2"/>
                <w:sz w:val="18"/>
              </w:rPr>
              <w:t> </w:t>
            </w:r>
            <w:r>
              <w:rPr>
                <w:b/>
                <w:sz w:val="18"/>
              </w:rPr>
              <w:t>contribuye</w:t>
            </w:r>
            <w:r>
              <w:rPr>
                <w:b/>
                <w:spacing w:val="-2"/>
                <w:sz w:val="18"/>
              </w:rPr>
              <w:t> </w:t>
            </w:r>
            <w:r>
              <w:rPr>
                <w:b/>
                <w:sz w:val="18"/>
              </w:rPr>
              <w:t>a</w:t>
            </w:r>
            <w:r>
              <w:rPr>
                <w:b/>
                <w:spacing w:val="-4"/>
                <w:sz w:val="18"/>
              </w:rPr>
              <w:t> </w:t>
            </w:r>
            <w:r>
              <w:rPr>
                <w:b/>
                <w:sz w:val="18"/>
              </w:rPr>
              <w:t>la</w:t>
            </w:r>
            <w:r>
              <w:rPr>
                <w:b/>
                <w:spacing w:val="-2"/>
                <w:sz w:val="18"/>
              </w:rPr>
              <w:t> </w:t>
            </w:r>
            <w:r>
              <w:rPr>
                <w:b/>
                <w:sz w:val="18"/>
              </w:rPr>
              <w:t>movilidad</w:t>
            </w:r>
            <w:r>
              <w:rPr>
                <w:b/>
                <w:spacing w:val="-4"/>
                <w:sz w:val="18"/>
              </w:rPr>
              <w:t> </w:t>
            </w:r>
            <w:r>
              <w:rPr>
                <w:b/>
                <w:sz w:val="18"/>
              </w:rPr>
              <w:t>social</w:t>
            </w:r>
            <w:r>
              <w:rPr>
                <w:b/>
                <w:spacing w:val="-2"/>
                <w:sz w:val="18"/>
              </w:rPr>
              <w:t> </w:t>
            </w:r>
            <w:r>
              <w:rPr>
                <w:b/>
                <w:sz w:val="18"/>
              </w:rPr>
              <w:t>de</w:t>
            </w:r>
            <w:r>
              <w:rPr>
                <w:b/>
                <w:spacing w:val="-2"/>
                <w:sz w:val="18"/>
              </w:rPr>
              <w:t> </w:t>
            </w:r>
            <w:r>
              <w:rPr>
                <w:b/>
                <w:sz w:val="18"/>
              </w:rPr>
              <w:t>las</w:t>
            </w:r>
            <w:r>
              <w:rPr>
                <w:b/>
                <w:spacing w:val="-4"/>
                <w:sz w:val="18"/>
              </w:rPr>
              <w:t> </w:t>
            </w:r>
            <w:r>
              <w:rPr>
                <w:b/>
                <w:sz w:val="18"/>
              </w:rPr>
              <w:t>personas y</w:t>
            </w:r>
            <w:r>
              <w:rPr>
                <w:b/>
                <w:spacing w:val="-4"/>
                <w:sz w:val="18"/>
              </w:rPr>
              <w:t> </w:t>
            </w:r>
            <w:r>
              <w:rPr>
                <w:b/>
                <w:sz w:val="18"/>
              </w:rPr>
              <w:t>hogares</w:t>
            </w:r>
            <w:r>
              <w:rPr>
                <w:b/>
                <w:spacing w:val="-2"/>
                <w:sz w:val="18"/>
              </w:rPr>
              <w:t> </w:t>
            </w:r>
            <w:r>
              <w:rPr>
                <w:b/>
                <w:sz w:val="18"/>
              </w:rPr>
              <w:t>en</w:t>
            </w:r>
            <w:r>
              <w:rPr>
                <w:b/>
                <w:spacing w:val="-4"/>
                <w:sz w:val="18"/>
              </w:rPr>
              <w:t> </w:t>
            </w:r>
            <w:r>
              <w:rPr>
                <w:b/>
                <w:sz w:val="18"/>
              </w:rPr>
              <w:t>situación</w:t>
            </w:r>
            <w:r>
              <w:rPr>
                <w:b/>
                <w:spacing w:val="-2"/>
                <w:sz w:val="18"/>
              </w:rPr>
              <w:t> </w:t>
            </w:r>
            <w:r>
              <w:rPr>
                <w:b/>
                <w:sz w:val="18"/>
              </w:rPr>
              <w:t>de</w:t>
            </w:r>
            <w:r>
              <w:rPr>
                <w:b/>
                <w:spacing w:val="-2"/>
                <w:sz w:val="18"/>
              </w:rPr>
              <w:t> </w:t>
            </w:r>
            <w:r>
              <w:rPr>
                <w:b/>
                <w:sz w:val="18"/>
              </w:rPr>
              <w:t>pobreza,</w:t>
            </w:r>
            <w:r>
              <w:rPr>
                <w:b/>
                <w:spacing w:val="-4"/>
                <w:sz w:val="18"/>
              </w:rPr>
              <w:t> </w:t>
            </w:r>
            <w:r>
              <w:rPr>
                <w:b/>
                <w:sz w:val="18"/>
              </w:rPr>
              <w:t>u organizaciones que atienden poblaciones en dicha situación.</w:t>
            </w:r>
          </w:p>
        </w:tc>
      </w:tr>
      <w:tr>
        <w:trPr>
          <w:trHeight w:val="3725" w:hRule="atLeast"/>
        </w:trPr>
        <w:tc>
          <w:tcPr>
            <w:tcW w:w="1983" w:type="dxa"/>
          </w:tcPr>
          <w:p>
            <w:pPr>
              <w:pStyle w:val="TableParagraph"/>
              <w:ind w:left="69" w:right="556"/>
              <w:rPr>
                <w:b/>
                <w:sz w:val="18"/>
              </w:rPr>
            </w:pPr>
            <w:r>
              <w:rPr>
                <w:b/>
                <w:sz w:val="18"/>
              </w:rPr>
              <w:t>Actividad</w:t>
            </w:r>
            <w:r>
              <w:rPr>
                <w:b/>
                <w:spacing w:val="-13"/>
                <w:sz w:val="18"/>
              </w:rPr>
              <w:t> </w:t>
            </w:r>
            <w:r>
              <w:rPr>
                <w:b/>
                <w:sz w:val="18"/>
              </w:rPr>
              <w:t>PPPS </w:t>
            </w:r>
            <w:r>
              <w:rPr>
                <w:b/>
                <w:spacing w:val="-2"/>
                <w:sz w:val="18"/>
              </w:rPr>
              <w:t>1.2.1:</w:t>
            </w:r>
          </w:p>
          <w:p>
            <w:pPr>
              <w:pStyle w:val="TableParagraph"/>
              <w:ind w:left="69" w:right="105"/>
              <w:rPr>
                <w:sz w:val="18"/>
              </w:rPr>
            </w:pPr>
            <w:r>
              <w:rPr>
                <w:sz w:val="18"/>
              </w:rPr>
              <w:t>Otorgamiento de </w:t>
            </w:r>
            <w:r>
              <w:rPr>
                <w:spacing w:val="-2"/>
                <w:sz w:val="18"/>
              </w:rPr>
              <w:t>transferencias monetarias condicionadas </w:t>
            </w:r>
            <w:r>
              <w:rPr>
                <w:sz w:val="18"/>
              </w:rPr>
              <w:t>Avancemos a personas estudiantes de primaria y secundaria con el objetivo</w:t>
            </w:r>
            <w:r>
              <w:rPr>
                <w:spacing w:val="-15"/>
                <w:sz w:val="18"/>
              </w:rPr>
              <w:t> </w:t>
            </w:r>
            <w:r>
              <w:rPr>
                <w:sz w:val="18"/>
              </w:rPr>
              <w:t>de</w:t>
            </w:r>
            <w:r>
              <w:rPr>
                <w:spacing w:val="-12"/>
                <w:sz w:val="18"/>
              </w:rPr>
              <w:t> </w:t>
            </w:r>
            <w:r>
              <w:rPr>
                <w:sz w:val="18"/>
              </w:rPr>
              <w:t>coadyuvar con la inclusión, la permanencia, la asistencia y la reincorporación al sistema educativo</w:t>
            </w:r>
          </w:p>
          <w:p>
            <w:pPr>
              <w:pStyle w:val="TableParagraph"/>
              <w:spacing w:line="206" w:lineRule="exact"/>
              <w:ind w:left="69" w:right="326"/>
              <w:rPr>
                <w:b/>
                <w:i/>
                <w:sz w:val="18"/>
              </w:rPr>
            </w:pPr>
            <w:r>
              <w:rPr>
                <w:b/>
                <w:i/>
                <w:sz w:val="18"/>
              </w:rPr>
              <w:t>(vinculación con</w:t>
            </w:r>
            <w:r>
              <w:rPr>
                <w:b/>
                <w:i/>
                <w:sz w:val="18"/>
              </w:rPr>
              <w:t> PNDIP</w:t>
            </w:r>
            <w:r>
              <w:rPr>
                <w:b/>
                <w:i/>
                <w:spacing w:val="-13"/>
                <w:sz w:val="18"/>
              </w:rPr>
              <w:t> </w:t>
            </w:r>
            <w:r>
              <w:rPr>
                <w:b/>
                <w:i/>
                <w:sz w:val="18"/>
              </w:rPr>
              <w:t>2027-2030).</w:t>
            </w:r>
          </w:p>
        </w:tc>
        <w:tc>
          <w:tcPr>
            <w:tcW w:w="1277"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69" w:right="64"/>
              <w:rPr>
                <w:sz w:val="18"/>
              </w:rPr>
            </w:pPr>
            <w:r>
              <w:rPr>
                <w:sz w:val="18"/>
              </w:rPr>
              <w:t>Cantidad de </w:t>
            </w:r>
            <w:r>
              <w:rPr>
                <w:spacing w:val="-2"/>
                <w:sz w:val="18"/>
              </w:rPr>
              <w:t>personas estudiantes</w:t>
            </w:r>
            <w:r>
              <w:rPr>
                <w:spacing w:val="40"/>
                <w:sz w:val="18"/>
              </w:rPr>
              <w:t> </w:t>
            </w:r>
            <w:r>
              <w:rPr>
                <w:sz w:val="18"/>
              </w:rPr>
              <w:t>de primaria y </w:t>
            </w:r>
            <w:r>
              <w:rPr>
                <w:spacing w:val="-2"/>
                <w:sz w:val="18"/>
              </w:rPr>
              <w:t>secundaria </w:t>
            </w:r>
            <w:r>
              <w:rPr>
                <w:sz w:val="18"/>
              </w:rPr>
              <w:t>que</w:t>
            </w:r>
            <w:r>
              <w:rPr>
                <w:spacing w:val="-15"/>
                <w:sz w:val="18"/>
              </w:rPr>
              <w:t> </w:t>
            </w:r>
            <w:r>
              <w:rPr>
                <w:sz w:val="18"/>
              </w:rPr>
              <w:t>reciben</w:t>
            </w:r>
            <w:r>
              <w:rPr>
                <w:spacing w:val="-12"/>
                <w:sz w:val="18"/>
              </w:rPr>
              <w:t> </w:t>
            </w:r>
            <w:r>
              <w:rPr>
                <w:sz w:val="18"/>
              </w:rPr>
              <w:t>la </w:t>
            </w:r>
            <w:r>
              <w:rPr>
                <w:spacing w:val="-2"/>
                <w:sz w:val="18"/>
              </w:rPr>
              <w:t>transferencia monetaria condicionada Avancemos.</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311"/>
              <w:rPr>
                <w:sz w:val="18"/>
              </w:rPr>
            </w:pPr>
            <w:r>
              <w:rPr>
                <w:sz w:val="18"/>
              </w:rPr>
              <w:t>297</w:t>
            </w:r>
            <w:r>
              <w:rPr>
                <w:spacing w:val="1"/>
                <w:sz w:val="18"/>
              </w:rPr>
              <w:t> </w:t>
            </w:r>
            <w:r>
              <w:rPr>
                <w:spacing w:val="-5"/>
                <w:sz w:val="18"/>
              </w:rPr>
              <w:t>798</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45"/>
              <w:jc w:val="center"/>
              <w:rPr>
                <w:sz w:val="18"/>
              </w:rPr>
            </w:pPr>
            <w:r>
              <w:rPr>
                <w:sz w:val="18"/>
              </w:rPr>
              <w:t>₡15</w:t>
            </w:r>
            <w:r>
              <w:rPr>
                <w:spacing w:val="-3"/>
                <w:sz w:val="18"/>
              </w:rPr>
              <w:t> </w:t>
            </w:r>
            <w:r>
              <w:rPr>
                <w:sz w:val="18"/>
              </w:rPr>
              <w:t>240</w:t>
            </w:r>
            <w:r>
              <w:rPr>
                <w:spacing w:val="-3"/>
                <w:sz w:val="18"/>
              </w:rPr>
              <w:t> </w:t>
            </w:r>
            <w:r>
              <w:rPr>
                <w:sz w:val="18"/>
              </w:rPr>
              <w:t>000</w:t>
            </w:r>
            <w:r>
              <w:rPr>
                <w:spacing w:val="-2"/>
                <w:sz w:val="18"/>
              </w:rPr>
              <w:t> </w:t>
            </w:r>
            <w:r>
              <w:rPr>
                <w:spacing w:val="-5"/>
                <w:sz w:val="18"/>
              </w:rPr>
              <w:t>000</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307"/>
              <w:rPr>
                <w:sz w:val="18"/>
              </w:rPr>
            </w:pPr>
            <w:r>
              <w:rPr>
                <w:sz w:val="18"/>
              </w:rPr>
              <w:t>312</w:t>
            </w:r>
            <w:r>
              <w:rPr>
                <w:spacing w:val="1"/>
                <w:sz w:val="18"/>
              </w:rPr>
              <w:t> </w:t>
            </w:r>
            <w:r>
              <w:rPr>
                <w:spacing w:val="-5"/>
                <w:sz w:val="18"/>
              </w:rPr>
              <w:t>500</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45" w:right="3"/>
              <w:jc w:val="center"/>
              <w:rPr>
                <w:sz w:val="18"/>
              </w:rPr>
            </w:pPr>
            <w:r>
              <w:rPr>
                <w:sz w:val="18"/>
              </w:rPr>
              <w:t>₡40</w:t>
            </w:r>
            <w:r>
              <w:rPr>
                <w:spacing w:val="-3"/>
                <w:sz w:val="18"/>
              </w:rPr>
              <w:t> </w:t>
            </w:r>
            <w:r>
              <w:rPr>
                <w:sz w:val="18"/>
              </w:rPr>
              <w:t>100</w:t>
            </w:r>
            <w:r>
              <w:rPr>
                <w:spacing w:val="-3"/>
                <w:sz w:val="18"/>
              </w:rPr>
              <w:t> </w:t>
            </w:r>
            <w:r>
              <w:rPr>
                <w:sz w:val="18"/>
              </w:rPr>
              <w:t>000</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308"/>
              <w:rPr>
                <w:sz w:val="18"/>
              </w:rPr>
            </w:pPr>
            <w:r>
              <w:rPr>
                <w:sz w:val="18"/>
              </w:rPr>
              <w:t>320</w:t>
            </w:r>
            <w:r>
              <w:rPr>
                <w:spacing w:val="1"/>
                <w:sz w:val="18"/>
              </w:rPr>
              <w:t> </w:t>
            </w:r>
            <w:r>
              <w:rPr>
                <w:spacing w:val="-5"/>
                <w:sz w:val="18"/>
              </w:rPr>
              <w:t>000</w:t>
            </w: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34" w:right="34"/>
              <w:jc w:val="center"/>
              <w:rPr>
                <w:sz w:val="18"/>
              </w:rPr>
            </w:pPr>
            <w:r>
              <w:rPr>
                <w:sz w:val="18"/>
              </w:rPr>
              <w:t>₡61</w:t>
            </w:r>
            <w:r>
              <w:rPr>
                <w:spacing w:val="-3"/>
                <w:sz w:val="18"/>
              </w:rPr>
              <w:t> </w:t>
            </w:r>
            <w:r>
              <w:rPr>
                <w:sz w:val="18"/>
              </w:rPr>
              <w:t>560</w:t>
            </w:r>
            <w:r>
              <w:rPr>
                <w:spacing w:val="-3"/>
                <w:sz w:val="18"/>
              </w:rPr>
              <w:t> </w:t>
            </w:r>
            <w:r>
              <w:rPr>
                <w:sz w:val="18"/>
              </w:rPr>
              <w:t>000</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308"/>
              <w:rPr>
                <w:sz w:val="18"/>
              </w:rPr>
            </w:pPr>
            <w:r>
              <w:rPr>
                <w:sz w:val="18"/>
              </w:rPr>
              <w:t>320</w:t>
            </w:r>
            <w:r>
              <w:rPr>
                <w:spacing w:val="1"/>
                <w:sz w:val="18"/>
              </w:rPr>
              <w:t> </w:t>
            </w:r>
            <w:r>
              <w:rPr>
                <w:spacing w:val="-5"/>
                <w:sz w:val="18"/>
              </w:rPr>
              <w:t>000</w:t>
            </w:r>
          </w:p>
        </w:tc>
        <w:tc>
          <w:tcPr>
            <w:tcW w:w="17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43"/>
              <w:rPr>
                <w:sz w:val="18"/>
              </w:rPr>
            </w:pPr>
            <w:r>
              <w:rPr>
                <w:sz w:val="18"/>
              </w:rPr>
              <w:t>₡84 610</w:t>
            </w:r>
            <w:r>
              <w:rPr>
                <w:spacing w:val="-2"/>
                <w:sz w:val="18"/>
              </w:rPr>
              <w:t> </w:t>
            </w:r>
            <w:r>
              <w:rPr>
                <w:sz w:val="18"/>
              </w:rPr>
              <w:t>727</w:t>
            </w:r>
            <w:r>
              <w:rPr>
                <w:spacing w:val="-2"/>
                <w:sz w:val="18"/>
              </w:rPr>
              <w:t> </w:t>
            </w:r>
            <w:r>
              <w:rPr>
                <w:spacing w:val="-5"/>
                <w:sz w:val="18"/>
              </w:rPr>
              <w:t>755</w:t>
            </w:r>
          </w:p>
        </w:tc>
      </w:tr>
    </w:tbl>
    <w:p>
      <w:pPr>
        <w:pStyle w:val="TableParagraph"/>
        <w:spacing w:after="0"/>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3"/>
        <w:gridCol w:w="1277"/>
        <w:gridCol w:w="1278"/>
        <w:gridCol w:w="1561"/>
        <w:gridCol w:w="1275"/>
        <w:gridCol w:w="1561"/>
        <w:gridCol w:w="1277"/>
        <w:gridCol w:w="1558"/>
        <w:gridCol w:w="1277"/>
        <w:gridCol w:w="1702"/>
      </w:tblGrid>
      <w:tr>
        <w:trPr>
          <w:trHeight w:val="510" w:hRule="atLeast"/>
        </w:trPr>
        <w:tc>
          <w:tcPr>
            <w:tcW w:w="1983" w:type="dxa"/>
            <w:vMerge w:val="restart"/>
            <w:shd w:val="clear" w:color="auto" w:fill="F1F1F1"/>
          </w:tcPr>
          <w:p>
            <w:pPr>
              <w:pStyle w:val="TableParagraph"/>
              <w:spacing w:before="70"/>
              <w:rPr>
                <w:b/>
                <w:sz w:val="18"/>
              </w:rPr>
            </w:pPr>
          </w:p>
          <w:p>
            <w:pPr>
              <w:pStyle w:val="TableParagraph"/>
              <w:ind w:left="506" w:right="403" w:firstLine="24"/>
              <w:rPr>
                <w:b/>
                <w:sz w:val="18"/>
              </w:rPr>
            </w:pPr>
            <w:r>
              <w:rPr>
                <w:b/>
                <w:sz w:val="18"/>
              </w:rPr>
              <w:t>Objetivos</w:t>
            </w:r>
            <w:r>
              <w:rPr>
                <w:b/>
                <w:spacing w:val="-12"/>
                <w:sz w:val="18"/>
              </w:rPr>
              <w:t> </w:t>
            </w:r>
            <w:r>
              <w:rPr>
                <w:b/>
                <w:sz w:val="18"/>
              </w:rPr>
              <w:t>/ </w:t>
            </w:r>
            <w:r>
              <w:rPr>
                <w:b/>
                <w:spacing w:val="-2"/>
                <w:sz w:val="18"/>
              </w:rPr>
              <w:t>Resultados</w:t>
            </w:r>
          </w:p>
        </w:tc>
        <w:tc>
          <w:tcPr>
            <w:tcW w:w="1277" w:type="dxa"/>
            <w:vMerge w:val="restart"/>
            <w:shd w:val="clear" w:color="auto" w:fill="F1F1F1"/>
          </w:tcPr>
          <w:p>
            <w:pPr>
              <w:pStyle w:val="TableParagraph"/>
              <w:spacing w:before="173"/>
              <w:rPr>
                <w:b/>
                <w:sz w:val="18"/>
              </w:rPr>
            </w:pPr>
          </w:p>
          <w:p>
            <w:pPr>
              <w:pStyle w:val="TableParagraph"/>
              <w:ind w:left="232"/>
              <w:rPr>
                <w:b/>
                <w:sz w:val="18"/>
              </w:rPr>
            </w:pPr>
            <w:r>
              <w:rPr>
                <w:b/>
                <w:spacing w:val="-2"/>
                <w:sz w:val="18"/>
              </w:rPr>
              <w:t>Indicador</w:t>
            </w:r>
          </w:p>
        </w:tc>
        <w:tc>
          <w:tcPr>
            <w:tcW w:w="2839" w:type="dxa"/>
            <w:gridSpan w:val="2"/>
            <w:shd w:val="clear" w:color="auto" w:fill="F1F1F1"/>
          </w:tcPr>
          <w:p>
            <w:pPr>
              <w:pStyle w:val="TableParagraph"/>
              <w:spacing w:before="150"/>
              <w:ind w:left="7"/>
              <w:jc w:val="center"/>
              <w:rPr>
                <w:b/>
                <w:sz w:val="18"/>
              </w:rPr>
            </w:pPr>
            <w:r>
              <w:rPr>
                <w:b/>
                <w:sz w:val="18"/>
              </w:rPr>
              <w:t>I </w:t>
            </w:r>
            <w:r>
              <w:rPr>
                <w:b/>
                <w:spacing w:val="-2"/>
                <w:sz w:val="18"/>
              </w:rPr>
              <w:t>Trimestre</w:t>
            </w:r>
          </w:p>
        </w:tc>
        <w:tc>
          <w:tcPr>
            <w:tcW w:w="2836" w:type="dxa"/>
            <w:gridSpan w:val="2"/>
            <w:shd w:val="clear" w:color="auto" w:fill="F1F1F1"/>
          </w:tcPr>
          <w:p>
            <w:pPr>
              <w:pStyle w:val="TableParagraph"/>
              <w:spacing w:before="150"/>
              <w:ind w:left="928"/>
              <w:rPr>
                <w:b/>
                <w:sz w:val="18"/>
              </w:rPr>
            </w:pPr>
            <w:r>
              <w:rPr>
                <w:b/>
                <w:sz w:val="18"/>
              </w:rPr>
              <w:t>II </w:t>
            </w:r>
            <w:r>
              <w:rPr>
                <w:b/>
                <w:spacing w:val="-2"/>
                <w:sz w:val="18"/>
              </w:rPr>
              <w:t>Trimestre</w:t>
            </w:r>
          </w:p>
        </w:tc>
        <w:tc>
          <w:tcPr>
            <w:tcW w:w="2835" w:type="dxa"/>
            <w:gridSpan w:val="2"/>
            <w:shd w:val="clear" w:color="auto" w:fill="F1F1F1"/>
          </w:tcPr>
          <w:p>
            <w:pPr>
              <w:pStyle w:val="TableParagraph"/>
              <w:spacing w:before="150"/>
              <w:ind w:left="901"/>
              <w:rPr>
                <w:b/>
                <w:sz w:val="18"/>
              </w:rPr>
            </w:pPr>
            <w:r>
              <w:rPr>
                <w:b/>
                <w:sz w:val="18"/>
              </w:rPr>
              <w:t>III </w:t>
            </w:r>
            <w:r>
              <w:rPr>
                <w:b/>
                <w:spacing w:val="-2"/>
                <w:sz w:val="18"/>
              </w:rPr>
              <w:t>Trimestre</w:t>
            </w:r>
          </w:p>
        </w:tc>
        <w:tc>
          <w:tcPr>
            <w:tcW w:w="2979" w:type="dxa"/>
            <w:gridSpan w:val="2"/>
            <w:shd w:val="clear" w:color="auto" w:fill="F1F1F1"/>
          </w:tcPr>
          <w:p>
            <w:pPr>
              <w:pStyle w:val="TableParagraph"/>
              <w:spacing w:before="150"/>
              <w:ind w:left="963"/>
              <w:rPr>
                <w:b/>
                <w:sz w:val="18"/>
              </w:rPr>
            </w:pPr>
            <w:r>
              <w:rPr>
                <w:b/>
                <w:sz w:val="18"/>
              </w:rPr>
              <w:t>IV </w:t>
            </w:r>
            <w:r>
              <w:rPr>
                <w:b/>
                <w:spacing w:val="-2"/>
                <w:sz w:val="18"/>
              </w:rPr>
              <w:t>Trimestre</w:t>
            </w:r>
          </w:p>
        </w:tc>
      </w:tr>
      <w:tr>
        <w:trPr>
          <w:trHeight w:val="448" w:hRule="atLeast"/>
        </w:trPr>
        <w:tc>
          <w:tcPr>
            <w:tcW w:w="1983" w:type="dxa"/>
            <w:vMerge/>
            <w:tcBorders>
              <w:top w:val="nil"/>
            </w:tcBorders>
            <w:shd w:val="clear" w:color="auto" w:fill="F1F1F1"/>
          </w:tcPr>
          <w:p>
            <w:pPr>
              <w:rPr>
                <w:sz w:val="2"/>
                <w:szCs w:val="2"/>
              </w:rPr>
            </w:pPr>
          </w:p>
        </w:tc>
        <w:tc>
          <w:tcPr>
            <w:tcW w:w="1277" w:type="dxa"/>
            <w:vMerge/>
            <w:tcBorders>
              <w:top w:val="nil"/>
            </w:tcBorders>
            <w:shd w:val="clear" w:color="auto" w:fill="F1F1F1"/>
          </w:tcPr>
          <w:p>
            <w:pPr>
              <w:rPr>
                <w:sz w:val="2"/>
                <w:szCs w:val="2"/>
              </w:rPr>
            </w:pPr>
          </w:p>
        </w:tc>
        <w:tc>
          <w:tcPr>
            <w:tcW w:w="1278" w:type="dxa"/>
            <w:shd w:val="clear" w:color="auto" w:fill="F1F1F1"/>
          </w:tcPr>
          <w:p>
            <w:pPr>
              <w:pStyle w:val="TableParagraph"/>
              <w:spacing w:line="210" w:lineRule="atLeast" w:before="8"/>
              <w:ind w:left="116"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0"/>
              <w:jc w:val="center"/>
              <w:rPr>
                <w:b/>
                <w:sz w:val="18"/>
              </w:rPr>
            </w:pPr>
            <w:r>
              <w:rPr>
                <w:b/>
                <w:spacing w:val="-10"/>
                <w:sz w:val="18"/>
              </w:rPr>
              <w:t>¢</w:t>
            </w:r>
          </w:p>
        </w:tc>
        <w:tc>
          <w:tcPr>
            <w:tcW w:w="1275" w:type="dxa"/>
            <w:shd w:val="clear" w:color="auto" w:fill="F1F1F1"/>
          </w:tcPr>
          <w:p>
            <w:pPr>
              <w:pStyle w:val="TableParagraph"/>
              <w:spacing w:line="210" w:lineRule="atLeast" w:before="8"/>
              <w:ind w:left="112"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2"/>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558" w:type="dxa"/>
            <w:shd w:val="clear" w:color="auto" w:fill="F1F1F1"/>
          </w:tcPr>
          <w:p>
            <w:pPr>
              <w:pStyle w:val="TableParagraph"/>
              <w:spacing w:before="119"/>
              <w:ind w:left="34" w:right="34"/>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702" w:type="dxa"/>
            <w:shd w:val="clear" w:color="auto" w:fill="F1F1F1"/>
          </w:tcPr>
          <w:p>
            <w:pPr>
              <w:pStyle w:val="TableParagraph"/>
              <w:spacing w:before="119"/>
              <w:jc w:val="center"/>
              <w:rPr>
                <w:b/>
                <w:sz w:val="18"/>
              </w:rPr>
            </w:pPr>
            <w:r>
              <w:rPr>
                <w:b/>
                <w:spacing w:val="-10"/>
                <w:sz w:val="18"/>
              </w:rPr>
              <w:t>¢</w:t>
            </w:r>
          </w:p>
        </w:tc>
      </w:tr>
      <w:tr>
        <w:trPr>
          <w:trHeight w:val="3521" w:hRule="atLeast"/>
        </w:trPr>
        <w:tc>
          <w:tcPr>
            <w:tcW w:w="1983" w:type="dxa"/>
          </w:tcPr>
          <w:p>
            <w:pPr>
              <w:pStyle w:val="TableParagraph"/>
              <w:spacing w:before="1"/>
              <w:ind w:left="69" w:right="556"/>
              <w:rPr>
                <w:b/>
                <w:sz w:val="18"/>
              </w:rPr>
            </w:pPr>
            <w:r>
              <w:rPr>
                <w:b/>
                <w:sz w:val="18"/>
              </w:rPr>
              <w:t>Actividad</w:t>
            </w:r>
            <w:r>
              <w:rPr>
                <w:b/>
                <w:spacing w:val="-13"/>
                <w:sz w:val="18"/>
              </w:rPr>
              <w:t> </w:t>
            </w:r>
            <w:r>
              <w:rPr>
                <w:b/>
                <w:sz w:val="18"/>
              </w:rPr>
              <w:t>PPPS </w:t>
            </w:r>
            <w:r>
              <w:rPr>
                <w:b/>
                <w:spacing w:val="-2"/>
                <w:sz w:val="18"/>
              </w:rPr>
              <w:t>1.2.2:</w:t>
            </w:r>
          </w:p>
          <w:p>
            <w:pPr>
              <w:pStyle w:val="TableParagraph"/>
              <w:ind w:left="69" w:right="59"/>
              <w:rPr>
                <w:b/>
                <w:sz w:val="18"/>
              </w:rPr>
            </w:pPr>
            <w:r>
              <w:rPr>
                <w:sz w:val="18"/>
              </w:rPr>
              <w:t>Otorgamiento de subsidios para la inclusión de personas en procesos</w:t>
            </w:r>
            <w:r>
              <w:rPr>
                <w:spacing w:val="40"/>
                <w:sz w:val="18"/>
              </w:rPr>
              <w:t> </w:t>
            </w:r>
            <w:r>
              <w:rPr>
                <w:sz w:val="18"/>
              </w:rPr>
              <w:t>formativos para el fortalecimiento y desarrollo de capacidades de formación personal</w:t>
            </w:r>
            <w:r>
              <w:rPr>
                <w:spacing w:val="40"/>
                <w:sz w:val="18"/>
              </w:rPr>
              <w:t> </w:t>
            </w:r>
            <w:r>
              <w:rPr>
                <w:sz w:val="18"/>
              </w:rPr>
              <w:t>que contribuyan al desarrollo integral </w:t>
            </w:r>
            <w:r>
              <w:rPr>
                <w:b/>
                <w:sz w:val="18"/>
              </w:rPr>
              <w:t>(vinculación con PIEG-PLANOVI</w:t>
            </w:r>
            <w:r>
              <w:rPr>
                <w:b/>
                <w:spacing w:val="-15"/>
                <w:sz w:val="18"/>
              </w:rPr>
              <w:t> </w:t>
            </w:r>
            <w:r>
              <w:rPr>
                <w:b/>
                <w:sz w:val="18"/>
              </w:rPr>
              <w:t>1.1.3</w:t>
            </w:r>
            <w:r>
              <w:rPr>
                <w:b/>
                <w:spacing w:val="-12"/>
                <w:sz w:val="18"/>
              </w:rPr>
              <w:t> </w:t>
            </w:r>
            <w:r>
              <w:rPr>
                <w:b/>
                <w:sz w:val="18"/>
              </w:rPr>
              <w:t>/</w:t>
            </w:r>
          </w:p>
          <w:p>
            <w:pPr>
              <w:pStyle w:val="TableParagraph"/>
              <w:spacing w:line="206" w:lineRule="exact"/>
              <w:ind w:left="69" w:right="403"/>
              <w:rPr>
                <w:b/>
                <w:sz w:val="18"/>
              </w:rPr>
            </w:pPr>
            <w:r>
              <w:rPr>
                <w:b/>
                <w:spacing w:val="-2"/>
                <w:sz w:val="18"/>
              </w:rPr>
              <w:t>PIEG-</w:t>
            </w:r>
            <w:r>
              <w:rPr>
                <w:b/>
                <w:spacing w:val="-2"/>
                <w:sz w:val="18"/>
              </w:rPr>
              <w:t>PLANOVI 1.1.4).</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69" w:right="100"/>
              <w:rPr>
                <w:sz w:val="18"/>
              </w:rPr>
            </w:pPr>
            <w:r>
              <w:rPr>
                <w:sz w:val="18"/>
              </w:rPr>
              <w:t>Cantidad de personas</w:t>
            </w:r>
            <w:r>
              <w:rPr>
                <w:spacing w:val="-13"/>
                <w:sz w:val="18"/>
              </w:rPr>
              <w:t> </w:t>
            </w:r>
            <w:r>
              <w:rPr>
                <w:sz w:val="18"/>
              </w:rPr>
              <w:t>que reciben el subsidio de </w:t>
            </w:r>
            <w:r>
              <w:rPr>
                <w:spacing w:val="-2"/>
                <w:sz w:val="18"/>
              </w:rPr>
              <w:t>procesos formativos.</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9" w:right="1"/>
              <w:jc w:val="center"/>
              <w:rPr>
                <w:sz w:val="18"/>
              </w:rPr>
            </w:pPr>
            <w:r>
              <w:rPr>
                <w:sz w:val="18"/>
              </w:rPr>
              <w:t>5 </w:t>
            </w:r>
            <w:r>
              <w:rPr>
                <w:spacing w:val="-5"/>
                <w:sz w:val="18"/>
              </w:rPr>
              <w:t>687</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right="58"/>
              <w:jc w:val="right"/>
              <w:rPr>
                <w:sz w:val="18"/>
              </w:rPr>
            </w:pPr>
            <w:r>
              <w:rPr>
                <w:sz w:val="18"/>
              </w:rPr>
              <w:t>₡426</w:t>
            </w:r>
            <w:r>
              <w:rPr>
                <w:spacing w:val="-2"/>
                <w:sz w:val="18"/>
              </w:rPr>
              <w:t> </w:t>
            </w:r>
            <w:r>
              <w:rPr>
                <w:sz w:val="18"/>
              </w:rPr>
              <w:t>525</w:t>
            </w:r>
            <w:r>
              <w:rPr>
                <w:spacing w:val="-2"/>
                <w:sz w:val="18"/>
              </w:rPr>
              <w:t> </w:t>
            </w:r>
            <w:r>
              <w:rPr>
                <w:spacing w:val="-5"/>
                <w:sz w:val="18"/>
              </w:rPr>
              <w:t>000</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27" w:right="24"/>
              <w:jc w:val="center"/>
              <w:rPr>
                <w:sz w:val="18"/>
              </w:rPr>
            </w:pPr>
            <w:r>
              <w:rPr>
                <w:sz w:val="18"/>
              </w:rPr>
              <w:t>5 </w:t>
            </w:r>
            <w:r>
              <w:rPr>
                <w:spacing w:val="-5"/>
                <w:sz w:val="18"/>
              </w:rPr>
              <w:t>687</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right="61"/>
              <w:jc w:val="right"/>
              <w:rPr>
                <w:sz w:val="18"/>
              </w:rPr>
            </w:pPr>
            <w:r>
              <w:rPr>
                <w:sz w:val="18"/>
              </w:rPr>
              <w:t>₡1</w:t>
            </w:r>
            <w:r>
              <w:rPr>
                <w:spacing w:val="-1"/>
                <w:sz w:val="18"/>
              </w:rPr>
              <w:t> </w:t>
            </w:r>
            <w:r>
              <w:rPr>
                <w:sz w:val="18"/>
              </w:rPr>
              <w:t>706</w:t>
            </w:r>
            <w:r>
              <w:rPr>
                <w:spacing w:val="-2"/>
                <w:sz w:val="18"/>
              </w:rPr>
              <w:t> </w:t>
            </w:r>
            <w:r>
              <w:rPr>
                <w:sz w:val="18"/>
              </w:rPr>
              <w:t>100</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9" w:right="8"/>
              <w:jc w:val="center"/>
              <w:rPr>
                <w:sz w:val="18"/>
              </w:rPr>
            </w:pPr>
            <w:r>
              <w:rPr>
                <w:sz w:val="18"/>
              </w:rPr>
              <w:t>11 </w:t>
            </w:r>
            <w:r>
              <w:rPr>
                <w:spacing w:val="-5"/>
                <w:sz w:val="18"/>
              </w:rPr>
              <w:t>373</w:t>
            </w: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34" w:right="34"/>
              <w:jc w:val="center"/>
              <w:rPr>
                <w:sz w:val="18"/>
              </w:rPr>
            </w:pPr>
            <w:r>
              <w:rPr>
                <w:sz w:val="18"/>
              </w:rPr>
              <w:t>₡2</w:t>
            </w:r>
            <w:r>
              <w:rPr>
                <w:spacing w:val="-1"/>
                <w:sz w:val="18"/>
              </w:rPr>
              <w:t> </w:t>
            </w:r>
            <w:r>
              <w:rPr>
                <w:sz w:val="18"/>
              </w:rPr>
              <w:t>559</w:t>
            </w:r>
            <w:r>
              <w:rPr>
                <w:spacing w:val="-2"/>
                <w:sz w:val="18"/>
              </w:rPr>
              <w:t> </w:t>
            </w:r>
            <w:r>
              <w:rPr>
                <w:sz w:val="18"/>
              </w:rPr>
              <w:t>000</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9" w:right="8"/>
              <w:jc w:val="center"/>
              <w:rPr>
                <w:sz w:val="18"/>
              </w:rPr>
            </w:pPr>
            <w:r>
              <w:rPr>
                <w:sz w:val="18"/>
              </w:rPr>
              <w:t>11 </w:t>
            </w:r>
            <w:r>
              <w:rPr>
                <w:spacing w:val="-5"/>
                <w:sz w:val="18"/>
              </w:rPr>
              <w:t>373</w:t>
            </w:r>
          </w:p>
        </w:tc>
        <w:tc>
          <w:tcPr>
            <w:tcW w:w="17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right="63"/>
              <w:jc w:val="right"/>
              <w:rPr>
                <w:sz w:val="18"/>
              </w:rPr>
            </w:pPr>
            <w:r>
              <w:rPr>
                <w:sz w:val="18"/>
              </w:rPr>
              <w:t>₡3</w:t>
            </w:r>
            <w:r>
              <w:rPr>
                <w:spacing w:val="-1"/>
                <w:sz w:val="18"/>
              </w:rPr>
              <w:t> </w:t>
            </w:r>
            <w:r>
              <w:rPr>
                <w:sz w:val="18"/>
              </w:rPr>
              <w:t>412</w:t>
            </w:r>
            <w:r>
              <w:rPr>
                <w:spacing w:val="-2"/>
                <w:sz w:val="18"/>
              </w:rPr>
              <w:t> </w:t>
            </w:r>
            <w:r>
              <w:rPr>
                <w:sz w:val="18"/>
              </w:rPr>
              <w:t>000</w:t>
            </w:r>
            <w:r>
              <w:rPr>
                <w:spacing w:val="-2"/>
                <w:sz w:val="18"/>
              </w:rPr>
              <w:t> </w:t>
            </w:r>
            <w:r>
              <w:rPr>
                <w:spacing w:val="-5"/>
                <w:sz w:val="18"/>
              </w:rPr>
              <w:t>000</w:t>
            </w:r>
          </w:p>
        </w:tc>
      </w:tr>
      <w:tr>
        <w:trPr>
          <w:trHeight w:val="3312" w:hRule="atLeast"/>
        </w:trPr>
        <w:tc>
          <w:tcPr>
            <w:tcW w:w="1983" w:type="dxa"/>
          </w:tcPr>
          <w:p>
            <w:pPr>
              <w:pStyle w:val="TableParagraph"/>
              <w:ind w:left="69" w:right="556"/>
              <w:rPr>
                <w:b/>
                <w:sz w:val="18"/>
              </w:rPr>
            </w:pPr>
            <w:r>
              <w:rPr>
                <w:b/>
                <w:sz w:val="18"/>
              </w:rPr>
              <w:t>Actividad</w:t>
            </w:r>
            <w:r>
              <w:rPr>
                <w:b/>
                <w:spacing w:val="-13"/>
                <w:sz w:val="18"/>
              </w:rPr>
              <w:t> </w:t>
            </w:r>
            <w:r>
              <w:rPr>
                <w:b/>
                <w:sz w:val="18"/>
              </w:rPr>
              <w:t>PPPS </w:t>
            </w:r>
            <w:r>
              <w:rPr>
                <w:b/>
                <w:spacing w:val="-2"/>
                <w:sz w:val="18"/>
              </w:rPr>
              <w:t>1.2.3:</w:t>
            </w:r>
          </w:p>
          <w:p>
            <w:pPr>
              <w:pStyle w:val="TableParagraph"/>
              <w:ind w:left="69" w:right="82"/>
              <w:rPr>
                <w:sz w:val="18"/>
              </w:rPr>
            </w:pPr>
            <w:r>
              <w:rPr>
                <w:sz w:val="18"/>
              </w:rPr>
              <w:t>Otorgamiento del subsidio de capacitación que permita a personas acceder a procesos que mejoren sus capacidades para facilitar la búsqueda</w:t>
            </w:r>
            <w:r>
              <w:rPr>
                <w:spacing w:val="40"/>
                <w:sz w:val="18"/>
              </w:rPr>
              <w:t> </w:t>
            </w:r>
            <w:r>
              <w:rPr>
                <w:sz w:val="18"/>
              </w:rPr>
              <w:t>de</w:t>
            </w:r>
            <w:r>
              <w:rPr>
                <w:spacing w:val="-9"/>
                <w:sz w:val="18"/>
              </w:rPr>
              <w:t> </w:t>
            </w:r>
            <w:r>
              <w:rPr>
                <w:sz w:val="18"/>
              </w:rPr>
              <w:t>empleo</w:t>
            </w:r>
            <w:r>
              <w:rPr>
                <w:spacing w:val="-9"/>
                <w:sz w:val="18"/>
              </w:rPr>
              <w:t> </w:t>
            </w:r>
            <w:r>
              <w:rPr>
                <w:sz w:val="18"/>
              </w:rPr>
              <w:t>o</w:t>
            </w:r>
            <w:r>
              <w:rPr>
                <w:spacing w:val="-11"/>
                <w:sz w:val="18"/>
              </w:rPr>
              <w:t> </w:t>
            </w:r>
            <w:r>
              <w:rPr>
                <w:sz w:val="18"/>
              </w:rPr>
              <w:t>mejora</w:t>
            </w:r>
            <w:r>
              <w:rPr>
                <w:spacing w:val="-11"/>
                <w:sz w:val="18"/>
              </w:rPr>
              <w:t> </w:t>
            </w:r>
            <w:r>
              <w:rPr>
                <w:sz w:val="18"/>
              </w:rPr>
              <w:t>en la ejecución de </w:t>
            </w:r>
            <w:r>
              <w:rPr>
                <w:spacing w:val="-2"/>
                <w:sz w:val="18"/>
              </w:rPr>
              <w:t>emprendimientos productivos</w:t>
            </w:r>
          </w:p>
          <w:p>
            <w:pPr>
              <w:pStyle w:val="TableParagraph"/>
              <w:spacing w:line="200" w:lineRule="atLeast"/>
              <w:ind w:left="69" w:right="476"/>
              <w:rPr>
                <w:sz w:val="18"/>
              </w:rPr>
            </w:pPr>
            <w:r>
              <w:rPr>
                <w:b/>
                <w:i/>
                <w:sz w:val="18"/>
              </w:rPr>
              <w:t>(vinculación</w:t>
            </w:r>
            <w:r>
              <w:rPr>
                <w:b/>
                <w:i/>
                <w:spacing w:val="-13"/>
                <w:sz w:val="18"/>
              </w:rPr>
              <w:t> </w:t>
            </w:r>
            <w:r>
              <w:rPr>
                <w:b/>
                <w:i/>
                <w:sz w:val="18"/>
              </w:rPr>
              <w:t>con</w:t>
            </w:r>
            <w:r>
              <w:rPr>
                <w:b/>
                <w:i/>
                <w:sz w:val="18"/>
              </w:rPr>
              <w:t> </w:t>
            </w:r>
            <w:r>
              <w:rPr>
                <w:b/>
                <w:i/>
                <w:spacing w:val="-2"/>
                <w:sz w:val="18"/>
              </w:rPr>
              <w:t>PEN)</w:t>
            </w:r>
            <w:r>
              <w:rPr>
                <w:spacing w:val="-2"/>
                <w:sz w:val="18"/>
              </w:rPr>
              <w:t>.</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69" w:right="100"/>
              <w:rPr>
                <w:sz w:val="18"/>
              </w:rPr>
            </w:pPr>
            <w:r>
              <w:rPr>
                <w:sz w:val="18"/>
              </w:rPr>
              <w:t>Cantidad de personas</w:t>
            </w:r>
            <w:r>
              <w:rPr>
                <w:spacing w:val="-13"/>
                <w:sz w:val="18"/>
              </w:rPr>
              <w:t> </w:t>
            </w:r>
            <w:r>
              <w:rPr>
                <w:sz w:val="18"/>
              </w:rPr>
              <w:t>que </w:t>
            </w:r>
            <w:r>
              <w:rPr>
                <w:spacing w:val="-2"/>
                <w:sz w:val="18"/>
              </w:rPr>
              <w:t>reciben </w:t>
            </w:r>
            <w:r>
              <w:rPr>
                <w:sz w:val="18"/>
              </w:rPr>
              <w:t>subsidio de </w:t>
            </w:r>
            <w:r>
              <w:rPr>
                <w:spacing w:val="-2"/>
                <w:sz w:val="18"/>
              </w:rPr>
              <w:t>capacitación</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9" w:right="2"/>
              <w:jc w:val="center"/>
              <w:rPr>
                <w:sz w:val="18"/>
              </w:rPr>
            </w:pPr>
            <w:r>
              <w:rPr>
                <w:spacing w:val="-4"/>
                <w:sz w:val="18"/>
              </w:rPr>
              <w:t>3600</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58"/>
              <w:jc w:val="right"/>
              <w:rPr>
                <w:sz w:val="18"/>
              </w:rPr>
            </w:pPr>
            <w:r>
              <w:rPr>
                <w:sz w:val="18"/>
              </w:rPr>
              <w:t>₡270</w:t>
            </w:r>
            <w:r>
              <w:rPr>
                <w:spacing w:val="-2"/>
                <w:sz w:val="18"/>
              </w:rPr>
              <w:t> </w:t>
            </w:r>
            <w:r>
              <w:rPr>
                <w:sz w:val="18"/>
              </w:rPr>
              <w:t>000</w:t>
            </w:r>
            <w:r>
              <w:rPr>
                <w:spacing w:val="-2"/>
                <w:sz w:val="18"/>
              </w:rPr>
              <w:t> </w:t>
            </w:r>
            <w:r>
              <w:rPr>
                <w:spacing w:val="-5"/>
                <w:sz w:val="18"/>
              </w:rPr>
              <w:t>000</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27" w:right="24"/>
              <w:jc w:val="center"/>
              <w:rPr>
                <w:sz w:val="18"/>
              </w:rPr>
            </w:pPr>
            <w:r>
              <w:rPr>
                <w:sz w:val="18"/>
              </w:rPr>
              <w:t>7 </w:t>
            </w:r>
            <w:r>
              <w:rPr>
                <w:spacing w:val="-5"/>
                <w:sz w:val="18"/>
              </w:rPr>
              <w:t>200</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60"/>
              <w:jc w:val="right"/>
              <w:rPr>
                <w:sz w:val="18"/>
              </w:rPr>
            </w:pPr>
            <w:r>
              <w:rPr>
                <w:sz w:val="18"/>
              </w:rPr>
              <w:t>₡540</w:t>
            </w:r>
            <w:r>
              <w:rPr>
                <w:spacing w:val="-2"/>
                <w:sz w:val="18"/>
              </w:rPr>
              <w:t> </w:t>
            </w:r>
            <w:r>
              <w:rPr>
                <w:sz w:val="18"/>
              </w:rPr>
              <w:t>000</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9" w:right="8"/>
              <w:jc w:val="center"/>
              <w:rPr>
                <w:sz w:val="18"/>
              </w:rPr>
            </w:pPr>
            <w:r>
              <w:rPr>
                <w:sz w:val="18"/>
              </w:rPr>
              <w:t>10 </w:t>
            </w:r>
            <w:r>
              <w:rPr>
                <w:spacing w:val="-5"/>
                <w:sz w:val="18"/>
              </w:rPr>
              <w:t>800</w:t>
            </w: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34" w:right="35"/>
              <w:jc w:val="center"/>
              <w:rPr>
                <w:sz w:val="18"/>
              </w:rPr>
            </w:pPr>
            <w:r>
              <w:rPr>
                <w:sz w:val="18"/>
              </w:rPr>
              <w:t>₡810</w:t>
            </w:r>
            <w:r>
              <w:rPr>
                <w:spacing w:val="-2"/>
                <w:sz w:val="18"/>
              </w:rPr>
              <w:t> </w:t>
            </w:r>
            <w:r>
              <w:rPr>
                <w:sz w:val="18"/>
              </w:rPr>
              <w:t>000</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9" w:right="8"/>
              <w:jc w:val="center"/>
              <w:rPr>
                <w:sz w:val="18"/>
              </w:rPr>
            </w:pPr>
            <w:r>
              <w:rPr>
                <w:sz w:val="18"/>
              </w:rPr>
              <w:t>12 </w:t>
            </w:r>
            <w:r>
              <w:rPr>
                <w:spacing w:val="-5"/>
                <w:sz w:val="18"/>
              </w:rPr>
              <w:t>000</w:t>
            </w:r>
          </w:p>
        </w:tc>
        <w:tc>
          <w:tcPr>
            <w:tcW w:w="17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63"/>
              <w:jc w:val="right"/>
              <w:rPr>
                <w:sz w:val="18"/>
              </w:rPr>
            </w:pPr>
            <w:r>
              <w:rPr>
                <w:sz w:val="18"/>
              </w:rPr>
              <w:t>₡9</w:t>
            </w:r>
            <w:r>
              <w:rPr>
                <w:spacing w:val="-1"/>
                <w:sz w:val="18"/>
              </w:rPr>
              <w:t> </w:t>
            </w:r>
            <w:r>
              <w:rPr>
                <w:sz w:val="18"/>
              </w:rPr>
              <w:t>000</w:t>
            </w:r>
            <w:r>
              <w:rPr>
                <w:spacing w:val="-2"/>
                <w:sz w:val="18"/>
              </w:rPr>
              <w:t> </w:t>
            </w:r>
            <w:r>
              <w:rPr>
                <w:sz w:val="18"/>
              </w:rPr>
              <w:t>000</w:t>
            </w:r>
            <w:r>
              <w:rPr>
                <w:spacing w:val="-2"/>
                <w:sz w:val="18"/>
              </w:rPr>
              <w:t> </w:t>
            </w:r>
            <w:r>
              <w:rPr>
                <w:spacing w:val="-5"/>
                <w:sz w:val="18"/>
              </w:rPr>
              <w:t>000</w:t>
            </w:r>
          </w:p>
        </w:tc>
      </w:tr>
    </w:tbl>
    <w:p>
      <w:pPr>
        <w:pStyle w:val="TableParagraph"/>
        <w:spacing w:after="0"/>
        <w:jc w:val="right"/>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3"/>
        <w:gridCol w:w="1277"/>
        <w:gridCol w:w="1278"/>
        <w:gridCol w:w="1561"/>
        <w:gridCol w:w="1275"/>
        <w:gridCol w:w="1561"/>
        <w:gridCol w:w="1277"/>
        <w:gridCol w:w="1558"/>
        <w:gridCol w:w="1277"/>
        <w:gridCol w:w="1702"/>
      </w:tblGrid>
      <w:tr>
        <w:trPr>
          <w:trHeight w:val="510" w:hRule="atLeast"/>
        </w:trPr>
        <w:tc>
          <w:tcPr>
            <w:tcW w:w="1983" w:type="dxa"/>
            <w:vMerge w:val="restart"/>
            <w:shd w:val="clear" w:color="auto" w:fill="F1F1F1"/>
          </w:tcPr>
          <w:p>
            <w:pPr>
              <w:pStyle w:val="TableParagraph"/>
              <w:spacing w:before="70"/>
              <w:rPr>
                <w:b/>
                <w:sz w:val="18"/>
              </w:rPr>
            </w:pPr>
          </w:p>
          <w:p>
            <w:pPr>
              <w:pStyle w:val="TableParagraph"/>
              <w:ind w:left="506" w:right="403" w:firstLine="24"/>
              <w:rPr>
                <w:b/>
                <w:sz w:val="18"/>
              </w:rPr>
            </w:pPr>
            <w:r>
              <w:rPr>
                <w:b/>
                <w:sz w:val="18"/>
              </w:rPr>
              <w:t>Objetivos</w:t>
            </w:r>
            <w:r>
              <w:rPr>
                <w:b/>
                <w:spacing w:val="-12"/>
                <w:sz w:val="18"/>
              </w:rPr>
              <w:t> </w:t>
            </w:r>
            <w:r>
              <w:rPr>
                <w:b/>
                <w:sz w:val="18"/>
              </w:rPr>
              <w:t>/ </w:t>
            </w:r>
            <w:r>
              <w:rPr>
                <w:b/>
                <w:spacing w:val="-2"/>
                <w:sz w:val="18"/>
              </w:rPr>
              <w:t>Resultados</w:t>
            </w:r>
          </w:p>
        </w:tc>
        <w:tc>
          <w:tcPr>
            <w:tcW w:w="1277" w:type="dxa"/>
            <w:vMerge w:val="restart"/>
            <w:shd w:val="clear" w:color="auto" w:fill="F1F1F1"/>
          </w:tcPr>
          <w:p>
            <w:pPr>
              <w:pStyle w:val="TableParagraph"/>
              <w:spacing w:before="173"/>
              <w:rPr>
                <w:b/>
                <w:sz w:val="18"/>
              </w:rPr>
            </w:pPr>
          </w:p>
          <w:p>
            <w:pPr>
              <w:pStyle w:val="TableParagraph"/>
              <w:ind w:left="232"/>
              <w:rPr>
                <w:b/>
                <w:sz w:val="18"/>
              </w:rPr>
            </w:pPr>
            <w:r>
              <w:rPr>
                <w:b/>
                <w:spacing w:val="-2"/>
                <w:sz w:val="18"/>
              </w:rPr>
              <w:t>Indicador</w:t>
            </w:r>
          </w:p>
        </w:tc>
        <w:tc>
          <w:tcPr>
            <w:tcW w:w="2839" w:type="dxa"/>
            <w:gridSpan w:val="2"/>
            <w:shd w:val="clear" w:color="auto" w:fill="F1F1F1"/>
          </w:tcPr>
          <w:p>
            <w:pPr>
              <w:pStyle w:val="TableParagraph"/>
              <w:spacing w:before="150"/>
              <w:ind w:left="7"/>
              <w:jc w:val="center"/>
              <w:rPr>
                <w:b/>
                <w:sz w:val="18"/>
              </w:rPr>
            </w:pPr>
            <w:r>
              <w:rPr>
                <w:b/>
                <w:sz w:val="18"/>
              </w:rPr>
              <w:t>I </w:t>
            </w:r>
            <w:r>
              <w:rPr>
                <w:b/>
                <w:spacing w:val="-2"/>
                <w:sz w:val="18"/>
              </w:rPr>
              <w:t>Trimestre</w:t>
            </w:r>
          </w:p>
        </w:tc>
        <w:tc>
          <w:tcPr>
            <w:tcW w:w="2836" w:type="dxa"/>
            <w:gridSpan w:val="2"/>
            <w:shd w:val="clear" w:color="auto" w:fill="F1F1F1"/>
          </w:tcPr>
          <w:p>
            <w:pPr>
              <w:pStyle w:val="TableParagraph"/>
              <w:spacing w:before="150"/>
              <w:ind w:left="928"/>
              <w:rPr>
                <w:b/>
                <w:sz w:val="18"/>
              </w:rPr>
            </w:pPr>
            <w:r>
              <w:rPr>
                <w:b/>
                <w:sz w:val="18"/>
              </w:rPr>
              <w:t>II </w:t>
            </w:r>
            <w:r>
              <w:rPr>
                <w:b/>
                <w:spacing w:val="-2"/>
                <w:sz w:val="18"/>
              </w:rPr>
              <w:t>Trimestre</w:t>
            </w:r>
          </w:p>
        </w:tc>
        <w:tc>
          <w:tcPr>
            <w:tcW w:w="2835" w:type="dxa"/>
            <w:gridSpan w:val="2"/>
            <w:shd w:val="clear" w:color="auto" w:fill="F1F1F1"/>
          </w:tcPr>
          <w:p>
            <w:pPr>
              <w:pStyle w:val="TableParagraph"/>
              <w:spacing w:before="150"/>
              <w:ind w:left="901"/>
              <w:rPr>
                <w:b/>
                <w:sz w:val="18"/>
              </w:rPr>
            </w:pPr>
            <w:r>
              <w:rPr>
                <w:b/>
                <w:sz w:val="18"/>
              </w:rPr>
              <w:t>III </w:t>
            </w:r>
            <w:r>
              <w:rPr>
                <w:b/>
                <w:spacing w:val="-2"/>
                <w:sz w:val="18"/>
              </w:rPr>
              <w:t>Trimestre</w:t>
            </w:r>
          </w:p>
        </w:tc>
        <w:tc>
          <w:tcPr>
            <w:tcW w:w="2979" w:type="dxa"/>
            <w:gridSpan w:val="2"/>
            <w:shd w:val="clear" w:color="auto" w:fill="F1F1F1"/>
          </w:tcPr>
          <w:p>
            <w:pPr>
              <w:pStyle w:val="TableParagraph"/>
              <w:spacing w:before="150"/>
              <w:ind w:left="963"/>
              <w:rPr>
                <w:b/>
                <w:sz w:val="18"/>
              </w:rPr>
            </w:pPr>
            <w:r>
              <w:rPr>
                <w:b/>
                <w:sz w:val="18"/>
              </w:rPr>
              <w:t>IV </w:t>
            </w:r>
            <w:r>
              <w:rPr>
                <w:b/>
                <w:spacing w:val="-2"/>
                <w:sz w:val="18"/>
              </w:rPr>
              <w:t>Trimestre</w:t>
            </w:r>
          </w:p>
        </w:tc>
      </w:tr>
      <w:tr>
        <w:trPr>
          <w:trHeight w:val="448" w:hRule="atLeast"/>
        </w:trPr>
        <w:tc>
          <w:tcPr>
            <w:tcW w:w="1983" w:type="dxa"/>
            <w:vMerge/>
            <w:tcBorders>
              <w:top w:val="nil"/>
            </w:tcBorders>
            <w:shd w:val="clear" w:color="auto" w:fill="F1F1F1"/>
          </w:tcPr>
          <w:p>
            <w:pPr>
              <w:rPr>
                <w:sz w:val="2"/>
                <w:szCs w:val="2"/>
              </w:rPr>
            </w:pPr>
          </w:p>
        </w:tc>
        <w:tc>
          <w:tcPr>
            <w:tcW w:w="1277" w:type="dxa"/>
            <w:vMerge/>
            <w:tcBorders>
              <w:top w:val="nil"/>
            </w:tcBorders>
            <w:shd w:val="clear" w:color="auto" w:fill="F1F1F1"/>
          </w:tcPr>
          <w:p>
            <w:pPr>
              <w:rPr>
                <w:sz w:val="2"/>
                <w:szCs w:val="2"/>
              </w:rPr>
            </w:pPr>
          </w:p>
        </w:tc>
        <w:tc>
          <w:tcPr>
            <w:tcW w:w="1278" w:type="dxa"/>
            <w:shd w:val="clear" w:color="auto" w:fill="F1F1F1"/>
          </w:tcPr>
          <w:p>
            <w:pPr>
              <w:pStyle w:val="TableParagraph"/>
              <w:spacing w:line="210" w:lineRule="atLeast" w:before="8"/>
              <w:ind w:left="116"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0"/>
              <w:jc w:val="center"/>
              <w:rPr>
                <w:b/>
                <w:sz w:val="18"/>
              </w:rPr>
            </w:pPr>
            <w:r>
              <w:rPr>
                <w:b/>
                <w:spacing w:val="-10"/>
                <w:sz w:val="18"/>
              </w:rPr>
              <w:t>¢</w:t>
            </w:r>
          </w:p>
        </w:tc>
        <w:tc>
          <w:tcPr>
            <w:tcW w:w="1275" w:type="dxa"/>
            <w:shd w:val="clear" w:color="auto" w:fill="F1F1F1"/>
          </w:tcPr>
          <w:p>
            <w:pPr>
              <w:pStyle w:val="TableParagraph"/>
              <w:spacing w:line="210" w:lineRule="atLeast" w:before="8"/>
              <w:ind w:left="112"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2"/>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558" w:type="dxa"/>
            <w:shd w:val="clear" w:color="auto" w:fill="F1F1F1"/>
          </w:tcPr>
          <w:p>
            <w:pPr>
              <w:pStyle w:val="TableParagraph"/>
              <w:spacing w:before="119"/>
              <w:ind w:left="34" w:right="34"/>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702" w:type="dxa"/>
            <w:shd w:val="clear" w:color="auto" w:fill="F1F1F1"/>
          </w:tcPr>
          <w:p>
            <w:pPr>
              <w:pStyle w:val="TableParagraph"/>
              <w:spacing w:before="119"/>
              <w:jc w:val="center"/>
              <w:rPr>
                <w:b/>
                <w:sz w:val="18"/>
              </w:rPr>
            </w:pPr>
            <w:r>
              <w:rPr>
                <w:b/>
                <w:spacing w:val="-10"/>
                <w:sz w:val="18"/>
              </w:rPr>
              <w:t>¢</w:t>
            </w:r>
          </w:p>
        </w:tc>
      </w:tr>
      <w:tr>
        <w:trPr>
          <w:trHeight w:val="3933" w:hRule="atLeast"/>
        </w:trPr>
        <w:tc>
          <w:tcPr>
            <w:tcW w:w="1983" w:type="dxa"/>
          </w:tcPr>
          <w:p>
            <w:pPr>
              <w:pStyle w:val="TableParagraph"/>
              <w:spacing w:before="1"/>
              <w:ind w:left="69" w:right="556"/>
              <w:rPr>
                <w:b/>
                <w:sz w:val="18"/>
              </w:rPr>
            </w:pPr>
            <w:r>
              <w:rPr>
                <w:b/>
                <w:sz w:val="18"/>
              </w:rPr>
              <w:t>Actividad</w:t>
            </w:r>
            <w:r>
              <w:rPr>
                <w:b/>
                <w:spacing w:val="-13"/>
                <w:sz w:val="18"/>
              </w:rPr>
              <w:t> </w:t>
            </w:r>
            <w:r>
              <w:rPr>
                <w:b/>
                <w:sz w:val="18"/>
              </w:rPr>
              <w:t>PPPS </w:t>
            </w:r>
            <w:r>
              <w:rPr>
                <w:b/>
                <w:spacing w:val="-2"/>
                <w:sz w:val="18"/>
              </w:rPr>
              <w:t>1.2.4:</w:t>
            </w:r>
          </w:p>
          <w:p>
            <w:pPr>
              <w:pStyle w:val="TableParagraph"/>
              <w:ind w:left="69" w:right="105"/>
              <w:rPr>
                <w:b/>
                <w:i/>
                <w:sz w:val="18"/>
              </w:rPr>
            </w:pPr>
            <w:r>
              <w:rPr>
                <w:sz w:val="18"/>
              </w:rPr>
              <w:t>Otorgamiento del subsidio de </w:t>
            </w:r>
            <w:r>
              <w:rPr>
                <w:spacing w:val="-2"/>
                <w:sz w:val="18"/>
              </w:rPr>
              <w:t>emprendimiento </w:t>
            </w:r>
            <w:r>
              <w:rPr>
                <w:sz w:val="18"/>
              </w:rPr>
              <w:t>productivo</w:t>
            </w:r>
            <w:r>
              <w:rPr>
                <w:spacing w:val="-15"/>
                <w:sz w:val="18"/>
              </w:rPr>
              <w:t> </w:t>
            </w:r>
            <w:r>
              <w:rPr>
                <w:sz w:val="18"/>
              </w:rPr>
              <w:t>individual</w:t>
            </w:r>
            <w:r>
              <w:rPr>
                <w:spacing w:val="-12"/>
                <w:sz w:val="18"/>
              </w:rPr>
              <w:t> </w:t>
            </w:r>
            <w:r>
              <w:rPr>
                <w:sz w:val="18"/>
              </w:rPr>
              <w:t>a personas</w:t>
            </w:r>
            <w:r>
              <w:rPr>
                <w:spacing w:val="-5"/>
                <w:sz w:val="18"/>
              </w:rPr>
              <w:t> </w:t>
            </w:r>
            <w:r>
              <w:rPr>
                <w:sz w:val="18"/>
              </w:rPr>
              <w:t>en</w:t>
            </w:r>
            <w:r>
              <w:rPr>
                <w:spacing w:val="-5"/>
                <w:sz w:val="18"/>
              </w:rPr>
              <w:t> </w:t>
            </w:r>
            <w:r>
              <w:rPr>
                <w:sz w:val="18"/>
              </w:rPr>
              <w:t>situación de pobreza, para la creación y fortalecimiento de </w:t>
            </w:r>
            <w:r>
              <w:rPr>
                <w:spacing w:val="-2"/>
                <w:sz w:val="18"/>
              </w:rPr>
              <w:t>emprendimientos </w:t>
            </w:r>
            <w:r>
              <w:rPr>
                <w:sz w:val="18"/>
              </w:rPr>
              <w:t>productivos lícitos, para estimular e </w:t>
            </w:r>
            <w:r>
              <w:rPr>
                <w:spacing w:val="-2"/>
                <w:sz w:val="18"/>
              </w:rPr>
              <w:t>impulsar, </w:t>
            </w:r>
            <w:r>
              <w:rPr>
                <w:sz w:val="18"/>
              </w:rPr>
              <w:t>primeramente, la generación del autoempleo y el empleo </w:t>
            </w:r>
            <w:r>
              <w:rPr>
                <w:b/>
                <w:i/>
                <w:sz w:val="18"/>
              </w:rPr>
              <w:t>(vinculación</w:t>
            </w:r>
          </w:p>
          <w:p>
            <w:pPr>
              <w:pStyle w:val="TableParagraph"/>
              <w:spacing w:line="187" w:lineRule="exact"/>
              <w:ind w:left="69"/>
              <w:rPr>
                <w:b/>
                <w:i/>
                <w:sz w:val="18"/>
              </w:rPr>
            </w:pPr>
            <w:r>
              <w:rPr>
                <w:b/>
                <w:i/>
                <w:sz w:val="18"/>
              </w:rPr>
              <w:t>con </w:t>
            </w:r>
            <w:r>
              <w:rPr>
                <w:b/>
                <w:i/>
                <w:spacing w:val="-2"/>
                <w:sz w:val="18"/>
              </w:rPr>
              <w:t>PEN).</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69" w:right="110"/>
              <w:rPr>
                <w:sz w:val="18"/>
              </w:rPr>
            </w:pPr>
            <w:r>
              <w:rPr>
                <w:sz w:val="18"/>
              </w:rPr>
              <w:t>Cantidad de personas</w:t>
            </w:r>
            <w:r>
              <w:rPr>
                <w:spacing w:val="-13"/>
                <w:sz w:val="18"/>
              </w:rPr>
              <w:t> </w:t>
            </w:r>
            <w:r>
              <w:rPr>
                <w:sz w:val="18"/>
              </w:rPr>
              <w:t>con </w:t>
            </w:r>
            <w:r>
              <w:rPr>
                <w:spacing w:val="-2"/>
                <w:sz w:val="18"/>
              </w:rPr>
              <w:t>subsidio emprendimie </w:t>
            </w:r>
            <w:r>
              <w:rPr>
                <w:spacing w:val="-4"/>
                <w:sz w:val="18"/>
              </w:rPr>
              <w:t>ntos </w:t>
            </w:r>
            <w:r>
              <w:rPr>
                <w:spacing w:val="-2"/>
                <w:sz w:val="18"/>
              </w:rPr>
              <w:t>productivos individuales</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9" w:right="2"/>
              <w:jc w:val="center"/>
              <w:rPr>
                <w:sz w:val="18"/>
              </w:rPr>
            </w:pPr>
            <w:r>
              <w:rPr>
                <w:spacing w:val="-5"/>
                <w:sz w:val="18"/>
              </w:rPr>
              <w:t>481</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8"/>
              <w:jc w:val="right"/>
              <w:rPr>
                <w:sz w:val="18"/>
              </w:rPr>
            </w:pPr>
            <w:r>
              <w:rPr>
                <w:sz w:val="18"/>
              </w:rPr>
              <w:t>₡751</w:t>
            </w:r>
            <w:r>
              <w:rPr>
                <w:spacing w:val="-2"/>
                <w:sz w:val="18"/>
              </w:rPr>
              <w:t> </w:t>
            </w:r>
            <w:r>
              <w:rPr>
                <w:sz w:val="18"/>
              </w:rPr>
              <w:t>562</w:t>
            </w:r>
            <w:r>
              <w:rPr>
                <w:spacing w:val="-2"/>
                <w:sz w:val="18"/>
              </w:rPr>
              <w:t> </w:t>
            </w:r>
            <w:r>
              <w:rPr>
                <w:spacing w:val="-5"/>
                <w:sz w:val="18"/>
              </w:rPr>
              <w:t>500</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27" w:right="25"/>
              <w:jc w:val="center"/>
              <w:rPr>
                <w:sz w:val="18"/>
              </w:rPr>
            </w:pPr>
            <w:r>
              <w:rPr>
                <w:spacing w:val="-5"/>
                <w:sz w:val="18"/>
              </w:rPr>
              <w:t>962</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42"/>
              <w:jc w:val="center"/>
              <w:rPr>
                <w:sz w:val="18"/>
              </w:rPr>
            </w:pPr>
            <w:r>
              <w:rPr>
                <w:sz w:val="18"/>
              </w:rPr>
              <w:t>₡1</w:t>
            </w:r>
            <w:r>
              <w:rPr>
                <w:spacing w:val="-1"/>
                <w:sz w:val="18"/>
              </w:rPr>
              <w:t> </w:t>
            </w:r>
            <w:r>
              <w:rPr>
                <w:sz w:val="18"/>
              </w:rPr>
              <w:t>503</w:t>
            </w:r>
            <w:r>
              <w:rPr>
                <w:spacing w:val="-2"/>
                <w:sz w:val="18"/>
              </w:rPr>
              <w:t> </w:t>
            </w:r>
            <w:r>
              <w:rPr>
                <w:sz w:val="18"/>
              </w:rPr>
              <w:t>125</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9" w:right="6"/>
              <w:jc w:val="center"/>
              <w:rPr>
                <w:sz w:val="18"/>
              </w:rPr>
            </w:pPr>
            <w:r>
              <w:rPr>
                <w:spacing w:val="-4"/>
                <w:sz w:val="18"/>
              </w:rPr>
              <w:t>1443</w:t>
            </w: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63"/>
              <w:jc w:val="right"/>
              <w:rPr>
                <w:sz w:val="18"/>
              </w:rPr>
            </w:pPr>
            <w:r>
              <w:rPr>
                <w:sz w:val="18"/>
              </w:rPr>
              <w:t>₡2</w:t>
            </w:r>
            <w:r>
              <w:rPr>
                <w:spacing w:val="-1"/>
                <w:sz w:val="18"/>
              </w:rPr>
              <w:t> </w:t>
            </w:r>
            <w:r>
              <w:rPr>
                <w:sz w:val="18"/>
              </w:rPr>
              <w:t>254</w:t>
            </w:r>
            <w:r>
              <w:rPr>
                <w:spacing w:val="-2"/>
                <w:sz w:val="18"/>
              </w:rPr>
              <w:t> </w:t>
            </w:r>
            <w:r>
              <w:rPr>
                <w:sz w:val="18"/>
              </w:rPr>
              <w:t>687</w:t>
            </w:r>
            <w:r>
              <w:rPr>
                <w:spacing w:val="-2"/>
                <w:sz w:val="18"/>
              </w:rPr>
              <w:t> </w:t>
            </w:r>
            <w:r>
              <w:rPr>
                <w:spacing w:val="-5"/>
                <w:sz w:val="18"/>
              </w:rPr>
              <w:t>500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9" w:right="5"/>
              <w:jc w:val="center"/>
              <w:rPr>
                <w:sz w:val="18"/>
              </w:rPr>
            </w:pPr>
            <w:r>
              <w:rPr>
                <w:sz w:val="18"/>
              </w:rPr>
              <w:t>1 </w:t>
            </w:r>
            <w:r>
              <w:rPr>
                <w:spacing w:val="-5"/>
                <w:sz w:val="18"/>
              </w:rPr>
              <w:t>600</w:t>
            </w:r>
          </w:p>
        </w:tc>
        <w:tc>
          <w:tcPr>
            <w:tcW w:w="17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63"/>
              <w:jc w:val="right"/>
              <w:rPr>
                <w:sz w:val="18"/>
              </w:rPr>
            </w:pPr>
            <w:r>
              <w:rPr>
                <w:sz w:val="18"/>
              </w:rPr>
              <w:t>₡2</w:t>
            </w:r>
            <w:r>
              <w:rPr>
                <w:spacing w:val="-1"/>
                <w:sz w:val="18"/>
              </w:rPr>
              <w:t> </w:t>
            </w:r>
            <w:r>
              <w:rPr>
                <w:sz w:val="18"/>
              </w:rPr>
              <w:t>500</w:t>
            </w:r>
            <w:r>
              <w:rPr>
                <w:spacing w:val="-1"/>
                <w:sz w:val="18"/>
              </w:rPr>
              <w:t> </w:t>
            </w:r>
            <w:r>
              <w:rPr>
                <w:sz w:val="18"/>
              </w:rPr>
              <w:t>000</w:t>
            </w:r>
            <w:r>
              <w:rPr>
                <w:spacing w:val="-2"/>
                <w:sz w:val="18"/>
              </w:rPr>
              <w:t> </w:t>
            </w:r>
            <w:r>
              <w:rPr>
                <w:spacing w:val="-5"/>
                <w:sz w:val="18"/>
              </w:rPr>
              <w:t>000</w:t>
            </w:r>
          </w:p>
        </w:tc>
      </w:tr>
      <w:tr>
        <w:trPr>
          <w:trHeight w:val="3312" w:hRule="atLeast"/>
        </w:trPr>
        <w:tc>
          <w:tcPr>
            <w:tcW w:w="1983" w:type="dxa"/>
          </w:tcPr>
          <w:p>
            <w:pPr>
              <w:pStyle w:val="TableParagraph"/>
              <w:ind w:left="69" w:right="556"/>
              <w:rPr>
                <w:b/>
                <w:sz w:val="18"/>
              </w:rPr>
            </w:pPr>
            <w:r>
              <w:rPr>
                <w:b/>
                <w:sz w:val="18"/>
              </w:rPr>
              <w:t>Actividad</w:t>
            </w:r>
            <w:r>
              <w:rPr>
                <w:b/>
                <w:spacing w:val="-13"/>
                <w:sz w:val="18"/>
              </w:rPr>
              <w:t> </w:t>
            </w:r>
            <w:r>
              <w:rPr>
                <w:b/>
                <w:sz w:val="18"/>
              </w:rPr>
              <w:t>PPPS </w:t>
            </w:r>
            <w:r>
              <w:rPr>
                <w:b/>
                <w:spacing w:val="-2"/>
                <w:sz w:val="18"/>
              </w:rPr>
              <w:t>1.2.5:</w:t>
            </w:r>
          </w:p>
          <w:p>
            <w:pPr>
              <w:pStyle w:val="TableParagraph"/>
              <w:ind w:left="69" w:right="95"/>
              <w:rPr>
                <w:b/>
                <w:i/>
                <w:sz w:val="18"/>
              </w:rPr>
            </w:pPr>
            <w:r>
              <w:rPr>
                <w:sz w:val="18"/>
              </w:rPr>
              <w:t>Otorgamiento de </w:t>
            </w:r>
            <w:r>
              <w:rPr>
                <w:spacing w:val="-2"/>
                <w:sz w:val="18"/>
              </w:rPr>
              <w:t>transferencias </w:t>
            </w:r>
            <w:r>
              <w:rPr>
                <w:sz w:val="18"/>
              </w:rPr>
              <w:t>económicas como aporte al cuido de niños y niñas de 0 y hasta 12 años y 364 días cumplidos, y personas con condición de discapacidad</w:t>
            </w:r>
            <w:r>
              <w:rPr>
                <w:spacing w:val="-13"/>
                <w:sz w:val="18"/>
              </w:rPr>
              <w:t> </w:t>
            </w:r>
            <w:r>
              <w:rPr>
                <w:sz w:val="18"/>
              </w:rPr>
              <w:t>menores de 18 años </w:t>
            </w:r>
            <w:r>
              <w:rPr>
                <w:b/>
                <w:i/>
                <w:sz w:val="18"/>
              </w:rPr>
              <w:t>(vinculación con</w:t>
            </w:r>
          </w:p>
          <w:p>
            <w:pPr>
              <w:pStyle w:val="TableParagraph"/>
              <w:spacing w:line="206" w:lineRule="exact"/>
              <w:ind w:left="69" w:right="236"/>
              <w:rPr>
                <w:b/>
                <w:sz w:val="18"/>
              </w:rPr>
            </w:pPr>
            <w:r>
              <w:rPr>
                <w:b/>
                <w:i/>
                <w:sz w:val="18"/>
              </w:rPr>
              <w:t>PLANOVI</w:t>
            </w:r>
            <w:r>
              <w:rPr>
                <w:b/>
                <w:i/>
                <w:spacing w:val="-13"/>
                <w:sz w:val="18"/>
              </w:rPr>
              <w:t> </w:t>
            </w:r>
            <w:r>
              <w:rPr>
                <w:b/>
                <w:i/>
                <w:sz w:val="18"/>
              </w:rPr>
              <w:t>indicador</w:t>
            </w:r>
            <w:r>
              <w:rPr>
                <w:b/>
                <w:i/>
                <w:sz w:val="18"/>
              </w:rPr>
              <w:t> </w:t>
            </w:r>
            <w:r>
              <w:rPr>
                <w:b/>
                <w:i/>
                <w:spacing w:val="-2"/>
                <w:sz w:val="18"/>
              </w:rPr>
              <w:t>3.3.1.1)</w:t>
            </w:r>
            <w:r>
              <w:rPr>
                <w:b/>
                <w:spacing w:val="-2"/>
                <w:sz w:val="18"/>
              </w:rPr>
              <w:t>.</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ind w:left="69" w:right="90"/>
              <w:rPr>
                <w:sz w:val="18"/>
              </w:rPr>
            </w:pPr>
            <w:r>
              <w:rPr>
                <w:sz w:val="18"/>
              </w:rPr>
              <w:t>Cantidad de </w:t>
            </w:r>
            <w:r>
              <w:rPr>
                <w:spacing w:val="-2"/>
                <w:sz w:val="18"/>
              </w:rPr>
              <w:t>personas </w:t>
            </w:r>
            <w:r>
              <w:rPr>
                <w:sz w:val="18"/>
              </w:rPr>
              <w:t>receptoras</w:t>
            </w:r>
            <w:r>
              <w:rPr>
                <w:spacing w:val="-13"/>
                <w:sz w:val="18"/>
              </w:rPr>
              <w:t> </w:t>
            </w:r>
            <w:r>
              <w:rPr>
                <w:sz w:val="18"/>
              </w:rPr>
              <w:t>de </w:t>
            </w:r>
            <w:r>
              <w:rPr>
                <w:spacing w:val="-6"/>
                <w:sz w:val="18"/>
              </w:rPr>
              <w:t>la </w:t>
            </w:r>
            <w:r>
              <w:rPr>
                <w:spacing w:val="-2"/>
                <w:sz w:val="18"/>
              </w:rPr>
              <w:t>transferencia monetaria condicionada </w:t>
            </w:r>
            <w:r>
              <w:rPr>
                <w:sz w:val="18"/>
              </w:rPr>
              <w:t>Cuidado y </w:t>
            </w:r>
            <w:r>
              <w:rPr>
                <w:spacing w:val="-2"/>
                <w:sz w:val="18"/>
              </w:rPr>
              <w:t>Desarrollo Infantil.</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9" w:right="3"/>
              <w:jc w:val="center"/>
              <w:rPr>
                <w:sz w:val="18"/>
              </w:rPr>
            </w:pPr>
            <w:r>
              <w:rPr>
                <w:sz w:val="18"/>
              </w:rPr>
              <w:t>30 </w:t>
            </w:r>
            <w:r>
              <w:rPr>
                <w:spacing w:val="-5"/>
                <w:sz w:val="18"/>
              </w:rPr>
              <w:t>443</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59"/>
              <w:jc w:val="right"/>
              <w:rPr>
                <w:sz w:val="18"/>
              </w:rPr>
            </w:pPr>
            <w:r>
              <w:rPr>
                <w:sz w:val="18"/>
              </w:rPr>
              <w:t>₡11</w:t>
            </w:r>
            <w:r>
              <w:rPr>
                <w:spacing w:val="-3"/>
                <w:sz w:val="18"/>
              </w:rPr>
              <w:t> </w:t>
            </w:r>
            <w:r>
              <w:rPr>
                <w:sz w:val="18"/>
              </w:rPr>
              <w:t>015</w:t>
            </w:r>
            <w:r>
              <w:rPr>
                <w:spacing w:val="-3"/>
                <w:sz w:val="18"/>
              </w:rPr>
              <w:t> </w:t>
            </w:r>
            <w:r>
              <w:rPr>
                <w:sz w:val="18"/>
              </w:rPr>
              <w:t>945</w:t>
            </w:r>
            <w:r>
              <w:rPr>
                <w:spacing w:val="-2"/>
                <w:sz w:val="18"/>
              </w:rPr>
              <w:t> </w:t>
            </w:r>
            <w:r>
              <w:rPr>
                <w:spacing w:val="-5"/>
                <w:sz w:val="18"/>
              </w:rPr>
              <w:t>000</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27" w:right="26"/>
              <w:jc w:val="center"/>
              <w:rPr>
                <w:sz w:val="18"/>
              </w:rPr>
            </w:pPr>
            <w:r>
              <w:rPr>
                <w:sz w:val="18"/>
              </w:rPr>
              <w:t>30 </w:t>
            </w:r>
            <w:r>
              <w:rPr>
                <w:spacing w:val="-5"/>
                <w:sz w:val="18"/>
              </w:rPr>
              <w:t>443</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45" w:right="3"/>
              <w:jc w:val="center"/>
              <w:rPr>
                <w:sz w:val="18"/>
              </w:rPr>
            </w:pPr>
            <w:r>
              <w:rPr>
                <w:sz w:val="18"/>
              </w:rPr>
              <w:t>₡22</w:t>
            </w:r>
            <w:r>
              <w:rPr>
                <w:spacing w:val="-3"/>
                <w:sz w:val="18"/>
              </w:rPr>
              <w:t> </w:t>
            </w:r>
            <w:r>
              <w:rPr>
                <w:sz w:val="18"/>
              </w:rPr>
              <w:t>075</w:t>
            </w:r>
            <w:r>
              <w:rPr>
                <w:spacing w:val="-3"/>
                <w:sz w:val="18"/>
              </w:rPr>
              <w:t> </w:t>
            </w:r>
            <w:r>
              <w:rPr>
                <w:sz w:val="18"/>
              </w:rPr>
              <w:t>118</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9" w:right="8"/>
              <w:jc w:val="center"/>
              <w:rPr>
                <w:sz w:val="18"/>
              </w:rPr>
            </w:pPr>
            <w:r>
              <w:rPr>
                <w:sz w:val="18"/>
              </w:rPr>
              <w:t>32 </w:t>
            </w:r>
            <w:r>
              <w:rPr>
                <w:spacing w:val="-5"/>
                <w:sz w:val="18"/>
              </w:rPr>
              <w:t>000</w:t>
            </w: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63"/>
              <w:jc w:val="right"/>
              <w:rPr>
                <w:sz w:val="18"/>
              </w:rPr>
            </w:pPr>
            <w:r>
              <w:rPr>
                <w:sz w:val="18"/>
              </w:rPr>
              <w:t>₡33</w:t>
            </w:r>
            <w:r>
              <w:rPr>
                <w:spacing w:val="-3"/>
                <w:sz w:val="18"/>
              </w:rPr>
              <w:t> </w:t>
            </w:r>
            <w:r>
              <w:rPr>
                <w:sz w:val="18"/>
              </w:rPr>
              <w:t>091</w:t>
            </w:r>
            <w:r>
              <w:rPr>
                <w:spacing w:val="-3"/>
                <w:sz w:val="18"/>
              </w:rPr>
              <w:t> </w:t>
            </w:r>
            <w:r>
              <w:rPr>
                <w:sz w:val="18"/>
              </w:rPr>
              <w:t>060</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9" w:right="8"/>
              <w:jc w:val="center"/>
              <w:rPr>
                <w:sz w:val="18"/>
              </w:rPr>
            </w:pPr>
            <w:r>
              <w:rPr>
                <w:sz w:val="18"/>
              </w:rPr>
              <w:t>35 </w:t>
            </w:r>
            <w:r>
              <w:rPr>
                <w:spacing w:val="-5"/>
                <w:sz w:val="18"/>
              </w:rPr>
              <w:t>000</w:t>
            </w:r>
          </w:p>
        </w:tc>
        <w:tc>
          <w:tcPr>
            <w:tcW w:w="17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61"/>
              <w:jc w:val="right"/>
              <w:rPr>
                <w:sz w:val="18"/>
              </w:rPr>
            </w:pPr>
            <w:r>
              <w:rPr>
                <w:sz w:val="18"/>
              </w:rPr>
              <w:t>₡43 783</w:t>
            </w:r>
            <w:r>
              <w:rPr>
                <w:spacing w:val="-2"/>
                <w:sz w:val="18"/>
              </w:rPr>
              <w:t> </w:t>
            </w:r>
            <w:r>
              <w:rPr>
                <w:sz w:val="18"/>
              </w:rPr>
              <w:t>320</w:t>
            </w:r>
            <w:r>
              <w:rPr>
                <w:spacing w:val="-2"/>
                <w:sz w:val="18"/>
              </w:rPr>
              <w:t> </w:t>
            </w:r>
            <w:r>
              <w:rPr>
                <w:spacing w:val="-5"/>
                <w:sz w:val="18"/>
              </w:rPr>
              <w:t>000</w:t>
            </w:r>
          </w:p>
        </w:tc>
      </w:tr>
    </w:tbl>
    <w:p>
      <w:pPr>
        <w:pStyle w:val="TableParagraph"/>
        <w:spacing w:after="0"/>
        <w:jc w:val="right"/>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3"/>
        <w:gridCol w:w="1277"/>
        <w:gridCol w:w="1278"/>
        <w:gridCol w:w="1561"/>
        <w:gridCol w:w="1275"/>
        <w:gridCol w:w="1561"/>
        <w:gridCol w:w="1277"/>
        <w:gridCol w:w="1558"/>
        <w:gridCol w:w="1277"/>
        <w:gridCol w:w="1702"/>
      </w:tblGrid>
      <w:tr>
        <w:trPr>
          <w:trHeight w:val="510" w:hRule="atLeast"/>
        </w:trPr>
        <w:tc>
          <w:tcPr>
            <w:tcW w:w="1983" w:type="dxa"/>
            <w:vMerge w:val="restart"/>
            <w:shd w:val="clear" w:color="auto" w:fill="F1F1F1"/>
          </w:tcPr>
          <w:p>
            <w:pPr>
              <w:pStyle w:val="TableParagraph"/>
              <w:spacing w:before="70"/>
              <w:rPr>
                <w:b/>
                <w:sz w:val="18"/>
              </w:rPr>
            </w:pPr>
          </w:p>
          <w:p>
            <w:pPr>
              <w:pStyle w:val="TableParagraph"/>
              <w:ind w:left="506" w:right="403" w:firstLine="24"/>
              <w:rPr>
                <w:b/>
                <w:sz w:val="18"/>
              </w:rPr>
            </w:pPr>
            <w:r>
              <w:rPr>
                <w:b/>
                <w:sz w:val="18"/>
              </w:rPr>
              <w:t>Objetivos</w:t>
            </w:r>
            <w:r>
              <w:rPr>
                <w:b/>
                <w:spacing w:val="-12"/>
                <w:sz w:val="18"/>
              </w:rPr>
              <w:t> </w:t>
            </w:r>
            <w:r>
              <w:rPr>
                <w:b/>
                <w:sz w:val="18"/>
              </w:rPr>
              <w:t>/ </w:t>
            </w:r>
            <w:r>
              <w:rPr>
                <w:b/>
                <w:spacing w:val="-2"/>
                <w:sz w:val="18"/>
              </w:rPr>
              <w:t>Resultados</w:t>
            </w:r>
          </w:p>
        </w:tc>
        <w:tc>
          <w:tcPr>
            <w:tcW w:w="1277" w:type="dxa"/>
            <w:vMerge w:val="restart"/>
            <w:shd w:val="clear" w:color="auto" w:fill="F1F1F1"/>
          </w:tcPr>
          <w:p>
            <w:pPr>
              <w:pStyle w:val="TableParagraph"/>
              <w:spacing w:before="173"/>
              <w:rPr>
                <w:b/>
                <w:sz w:val="18"/>
              </w:rPr>
            </w:pPr>
          </w:p>
          <w:p>
            <w:pPr>
              <w:pStyle w:val="TableParagraph"/>
              <w:ind w:left="232"/>
              <w:rPr>
                <w:b/>
                <w:sz w:val="18"/>
              </w:rPr>
            </w:pPr>
            <w:r>
              <w:rPr>
                <w:b/>
                <w:spacing w:val="-2"/>
                <w:sz w:val="18"/>
              </w:rPr>
              <w:t>Indicador</w:t>
            </w:r>
          </w:p>
        </w:tc>
        <w:tc>
          <w:tcPr>
            <w:tcW w:w="2839" w:type="dxa"/>
            <w:gridSpan w:val="2"/>
            <w:shd w:val="clear" w:color="auto" w:fill="F1F1F1"/>
          </w:tcPr>
          <w:p>
            <w:pPr>
              <w:pStyle w:val="TableParagraph"/>
              <w:spacing w:before="150"/>
              <w:ind w:left="7"/>
              <w:jc w:val="center"/>
              <w:rPr>
                <w:b/>
                <w:sz w:val="18"/>
              </w:rPr>
            </w:pPr>
            <w:r>
              <w:rPr>
                <w:b/>
                <w:sz w:val="18"/>
              </w:rPr>
              <w:t>I </w:t>
            </w:r>
            <w:r>
              <w:rPr>
                <w:b/>
                <w:spacing w:val="-2"/>
                <w:sz w:val="18"/>
              </w:rPr>
              <w:t>Trimestre</w:t>
            </w:r>
          </w:p>
        </w:tc>
        <w:tc>
          <w:tcPr>
            <w:tcW w:w="2836" w:type="dxa"/>
            <w:gridSpan w:val="2"/>
            <w:shd w:val="clear" w:color="auto" w:fill="F1F1F1"/>
          </w:tcPr>
          <w:p>
            <w:pPr>
              <w:pStyle w:val="TableParagraph"/>
              <w:spacing w:before="150"/>
              <w:ind w:left="928"/>
              <w:rPr>
                <w:b/>
                <w:sz w:val="18"/>
              </w:rPr>
            </w:pPr>
            <w:r>
              <w:rPr>
                <w:b/>
                <w:sz w:val="18"/>
              </w:rPr>
              <w:t>II </w:t>
            </w:r>
            <w:r>
              <w:rPr>
                <w:b/>
                <w:spacing w:val="-2"/>
                <w:sz w:val="18"/>
              </w:rPr>
              <w:t>Trimestre</w:t>
            </w:r>
          </w:p>
        </w:tc>
        <w:tc>
          <w:tcPr>
            <w:tcW w:w="2835" w:type="dxa"/>
            <w:gridSpan w:val="2"/>
            <w:shd w:val="clear" w:color="auto" w:fill="F1F1F1"/>
          </w:tcPr>
          <w:p>
            <w:pPr>
              <w:pStyle w:val="TableParagraph"/>
              <w:spacing w:before="150"/>
              <w:ind w:left="901"/>
              <w:rPr>
                <w:b/>
                <w:sz w:val="18"/>
              </w:rPr>
            </w:pPr>
            <w:r>
              <w:rPr>
                <w:b/>
                <w:sz w:val="18"/>
              </w:rPr>
              <w:t>III </w:t>
            </w:r>
            <w:r>
              <w:rPr>
                <w:b/>
                <w:spacing w:val="-2"/>
                <w:sz w:val="18"/>
              </w:rPr>
              <w:t>Trimestre</w:t>
            </w:r>
          </w:p>
        </w:tc>
        <w:tc>
          <w:tcPr>
            <w:tcW w:w="2979" w:type="dxa"/>
            <w:gridSpan w:val="2"/>
            <w:shd w:val="clear" w:color="auto" w:fill="F1F1F1"/>
          </w:tcPr>
          <w:p>
            <w:pPr>
              <w:pStyle w:val="TableParagraph"/>
              <w:spacing w:before="150"/>
              <w:ind w:left="963"/>
              <w:rPr>
                <w:b/>
                <w:sz w:val="18"/>
              </w:rPr>
            </w:pPr>
            <w:r>
              <w:rPr>
                <w:b/>
                <w:sz w:val="18"/>
              </w:rPr>
              <w:t>IV </w:t>
            </w:r>
            <w:r>
              <w:rPr>
                <w:b/>
                <w:spacing w:val="-2"/>
                <w:sz w:val="18"/>
              </w:rPr>
              <w:t>Trimestre</w:t>
            </w:r>
          </w:p>
        </w:tc>
      </w:tr>
      <w:tr>
        <w:trPr>
          <w:trHeight w:val="448" w:hRule="atLeast"/>
        </w:trPr>
        <w:tc>
          <w:tcPr>
            <w:tcW w:w="1983" w:type="dxa"/>
            <w:vMerge/>
            <w:tcBorders>
              <w:top w:val="nil"/>
            </w:tcBorders>
            <w:shd w:val="clear" w:color="auto" w:fill="F1F1F1"/>
          </w:tcPr>
          <w:p>
            <w:pPr>
              <w:rPr>
                <w:sz w:val="2"/>
                <w:szCs w:val="2"/>
              </w:rPr>
            </w:pPr>
          </w:p>
        </w:tc>
        <w:tc>
          <w:tcPr>
            <w:tcW w:w="1277" w:type="dxa"/>
            <w:vMerge/>
            <w:tcBorders>
              <w:top w:val="nil"/>
            </w:tcBorders>
            <w:shd w:val="clear" w:color="auto" w:fill="F1F1F1"/>
          </w:tcPr>
          <w:p>
            <w:pPr>
              <w:rPr>
                <w:sz w:val="2"/>
                <w:szCs w:val="2"/>
              </w:rPr>
            </w:pPr>
          </w:p>
        </w:tc>
        <w:tc>
          <w:tcPr>
            <w:tcW w:w="1278" w:type="dxa"/>
            <w:shd w:val="clear" w:color="auto" w:fill="F1F1F1"/>
          </w:tcPr>
          <w:p>
            <w:pPr>
              <w:pStyle w:val="TableParagraph"/>
              <w:spacing w:line="210" w:lineRule="atLeast" w:before="8"/>
              <w:ind w:left="116"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0"/>
              <w:jc w:val="center"/>
              <w:rPr>
                <w:b/>
                <w:sz w:val="18"/>
              </w:rPr>
            </w:pPr>
            <w:r>
              <w:rPr>
                <w:b/>
                <w:spacing w:val="-10"/>
                <w:sz w:val="18"/>
              </w:rPr>
              <w:t>¢</w:t>
            </w:r>
          </w:p>
        </w:tc>
        <w:tc>
          <w:tcPr>
            <w:tcW w:w="1275" w:type="dxa"/>
            <w:shd w:val="clear" w:color="auto" w:fill="F1F1F1"/>
          </w:tcPr>
          <w:p>
            <w:pPr>
              <w:pStyle w:val="TableParagraph"/>
              <w:spacing w:line="210" w:lineRule="atLeast" w:before="8"/>
              <w:ind w:left="112"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2"/>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558" w:type="dxa"/>
            <w:shd w:val="clear" w:color="auto" w:fill="F1F1F1"/>
          </w:tcPr>
          <w:p>
            <w:pPr>
              <w:pStyle w:val="TableParagraph"/>
              <w:spacing w:before="119"/>
              <w:ind w:left="34" w:right="34"/>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702" w:type="dxa"/>
            <w:shd w:val="clear" w:color="auto" w:fill="F1F1F1"/>
          </w:tcPr>
          <w:p>
            <w:pPr>
              <w:pStyle w:val="TableParagraph"/>
              <w:spacing w:before="119"/>
              <w:jc w:val="center"/>
              <w:rPr>
                <w:b/>
                <w:sz w:val="18"/>
              </w:rPr>
            </w:pPr>
            <w:r>
              <w:rPr>
                <w:b/>
                <w:spacing w:val="-10"/>
                <w:sz w:val="18"/>
              </w:rPr>
              <w:t>¢</w:t>
            </w:r>
          </w:p>
        </w:tc>
      </w:tr>
      <w:tr>
        <w:trPr>
          <w:trHeight w:val="510" w:hRule="atLeast"/>
        </w:trPr>
        <w:tc>
          <w:tcPr>
            <w:tcW w:w="14749" w:type="dxa"/>
            <w:gridSpan w:val="10"/>
            <w:shd w:val="clear" w:color="auto" w:fill="DBE4F0"/>
          </w:tcPr>
          <w:p>
            <w:pPr>
              <w:pStyle w:val="TableParagraph"/>
              <w:spacing w:before="49"/>
              <w:ind w:left="69" w:right="151"/>
              <w:rPr>
                <w:b/>
                <w:sz w:val="18"/>
              </w:rPr>
            </w:pPr>
            <w:r>
              <w:rPr>
                <w:b/>
                <w:sz w:val="18"/>
              </w:rPr>
              <w:t>Producto</w:t>
            </w:r>
            <w:r>
              <w:rPr>
                <w:b/>
                <w:spacing w:val="-2"/>
                <w:sz w:val="18"/>
              </w:rPr>
              <w:t> </w:t>
            </w:r>
            <w:r>
              <w:rPr>
                <w:b/>
                <w:sz w:val="18"/>
              </w:rPr>
              <w:t>PPPS</w:t>
            </w:r>
            <w:r>
              <w:rPr>
                <w:b/>
                <w:spacing w:val="-2"/>
                <w:sz w:val="18"/>
              </w:rPr>
              <w:t> </w:t>
            </w:r>
            <w:r>
              <w:rPr>
                <w:b/>
                <w:sz w:val="18"/>
              </w:rPr>
              <w:t>1.3:</w:t>
            </w:r>
            <w:r>
              <w:rPr>
                <w:b/>
                <w:spacing w:val="-2"/>
                <w:sz w:val="18"/>
              </w:rPr>
              <w:t> </w:t>
            </w:r>
            <w:r>
              <w:rPr>
                <w:b/>
                <w:sz w:val="18"/>
              </w:rPr>
              <w:t>Eficiente</w:t>
            </w:r>
            <w:r>
              <w:rPr>
                <w:b/>
                <w:spacing w:val="-2"/>
                <w:sz w:val="18"/>
              </w:rPr>
              <w:t> </w:t>
            </w:r>
            <w:r>
              <w:rPr>
                <w:b/>
                <w:sz w:val="18"/>
              </w:rPr>
              <w:t>administración</w:t>
            </w:r>
            <w:r>
              <w:rPr>
                <w:b/>
                <w:spacing w:val="-2"/>
                <w:sz w:val="18"/>
              </w:rPr>
              <w:t> </w:t>
            </w:r>
            <w:r>
              <w:rPr>
                <w:b/>
                <w:sz w:val="18"/>
              </w:rPr>
              <w:t>de</w:t>
            </w:r>
            <w:r>
              <w:rPr>
                <w:b/>
                <w:spacing w:val="-2"/>
                <w:sz w:val="18"/>
              </w:rPr>
              <w:t> </w:t>
            </w:r>
            <w:r>
              <w:rPr>
                <w:b/>
                <w:sz w:val="18"/>
              </w:rPr>
              <w:t>los</w:t>
            </w:r>
            <w:r>
              <w:rPr>
                <w:b/>
                <w:spacing w:val="-4"/>
                <w:sz w:val="18"/>
              </w:rPr>
              <w:t> </w:t>
            </w:r>
            <w:r>
              <w:rPr>
                <w:b/>
                <w:sz w:val="18"/>
              </w:rPr>
              <w:t>recursos</w:t>
            </w:r>
            <w:r>
              <w:rPr>
                <w:b/>
                <w:spacing w:val="-2"/>
                <w:sz w:val="18"/>
              </w:rPr>
              <w:t> </w:t>
            </w:r>
            <w:r>
              <w:rPr>
                <w:b/>
                <w:sz w:val="18"/>
              </w:rPr>
              <w:t>del</w:t>
            </w:r>
            <w:r>
              <w:rPr>
                <w:b/>
                <w:spacing w:val="-4"/>
                <w:sz w:val="18"/>
              </w:rPr>
              <w:t> </w:t>
            </w:r>
            <w:r>
              <w:rPr>
                <w:b/>
                <w:sz w:val="18"/>
              </w:rPr>
              <w:t>gasto</w:t>
            </w:r>
            <w:r>
              <w:rPr>
                <w:b/>
                <w:spacing w:val="-4"/>
                <w:sz w:val="18"/>
              </w:rPr>
              <w:t> </w:t>
            </w:r>
            <w:r>
              <w:rPr>
                <w:b/>
                <w:sz w:val="18"/>
              </w:rPr>
              <w:t>administrativo</w:t>
            </w:r>
            <w:r>
              <w:rPr>
                <w:b/>
                <w:spacing w:val="-2"/>
                <w:sz w:val="18"/>
              </w:rPr>
              <w:t> </w:t>
            </w:r>
            <w:r>
              <w:rPr>
                <w:b/>
                <w:sz w:val="18"/>
              </w:rPr>
              <w:t>operativo</w:t>
            </w:r>
            <w:r>
              <w:rPr>
                <w:b/>
                <w:spacing w:val="-2"/>
                <w:sz w:val="18"/>
              </w:rPr>
              <w:t> </w:t>
            </w:r>
            <w:r>
              <w:rPr>
                <w:b/>
                <w:sz w:val="18"/>
              </w:rPr>
              <w:t>que</w:t>
            </w:r>
            <w:r>
              <w:rPr>
                <w:b/>
                <w:spacing w:val="-2"/>
                <w:sz w:val="18"/>
              </w:rPr>
              <w:t> </w:t>
            </w:r>
            <w:r>
              <w:rPr>
                <w:b/>
                <w:sz w:val="18"/>
              </w:rPr>
              <w:t>contribuya</w:t>
            </w:r>
            <w:r>
              <w:rPr>
                <w:b/>
                <w:spacing w:val="-4"/>
                <w:sz w:val="18"/>
              </w:rPr>
              <w:t> </w:t>
            </w:r>
            <w:r>
              <w:rPr>
                <w:b/>
                <w:sz w:val="18"/>
              </w:rPr>
              <w:t>a</w:t>
            </w:r>
            <w:r>
              <w:rPr>
                <w:b/>
                <w:spacing w:val="-2"/>
                <w:sz w:val="18"/>
              </w:rPr>
              <w:t> </w:t>
            </w:r>
            <w:r>
              <w:rPr>
                <w:b/>
                <w:sz w:val="18"/>
              </w:rPr>
              <w:t>solventar</w:t>
            </w:r>
            <w:r>
              <w:rPr>
                <w:b/>
                <w:spacing w:val="-2"/>
                <w:sz w:val="18"/>
              </w:rPr>
              <w:t> </w:t>
            </w:r>
            <w:r>
              <w:rPr>
                <w:b/>
                <w:sz w:val="18"/>
              </w:rPr>
              <w:t>necesidades</w:t>
            </w:r>
            <w:r>
              <w:rPr>
                <w:b/>
                <w:spacing w:val="-2"/>
                <w:sz w:val="18"/>
              </w:rPr>
              <w:t> </w:t>
            </w:r>
            <w:r>
              <w:rPr>
                <w:b/>
                <w:sz w:val="18"/>
              </w:rPr>
              <w:t>administrativas,</w:t>
            </w:r>
            <w:r>
              <w:rPr>
                <w:b/>
                <w:spacing w:val="-4"/>
                <w:sz w:val="18"/>
              </w:rPr>
              <w:t> </w:t>
            </w:r>
            <w:r>
              <w:rPr>
                <w:b/>
                <w:sz w:val="18"/>
              </w:rPr>
              <w:t>de</w:t>
            </w:r>
            <w:r>
              <w:rPr>
                <w:b/>
                <w:spacing w:val="-2"/>
                <w:sz w:val="18"/>
              </w:rPr>
              <w:t> </w:t>
            </w:r>
            <w:r>
              <w:rPr>
                <w:b/>
                <w:sz w:val="18"/>
              </w:rPr>
              <w:t>espacio</w:t>
            </w:r>
            <w:r>
              <w:rPr>
                <w:b/>
                <w:spacing w:val="-2"/>
                <w:sz w:val="18"/>
              </w:rPr>
              <w:t> </w:t>
            </w:r>
            <w:r>
              <w:rPr>
                <w:b/>
                <w:sz w:val="18"/>
              </w:rPr>
              <w:t>y otros requerimientos del programa Protección y Promoción Social.</w:t>
            </w:r>
          </w:p>
        </w:tc>
      </w:tr>
      <w:tr>
        <w:trPr>
          <w:trHeight w:val="2277" w:hRule="atLeast"/>
        </w:trPr>
        <w:tc>
          <w:tcPr>
            <w:tcW w:w="1983" w:type="dxa"/>
          </w:tcPr>
          <w:p>
            <w:pPr>
              <w:pStyle w:val="TableParagraph"/>
              <w:ind w:left="69" w:right="556"/>
              <w:rPr>
                <w:b/>
                <w:sz w:val="18"/>
              </w:rPr>
            </w:pPr>
            <w:r>
              <w:rPr>
                <w:b/>
                <w:sz w:val="18"/>
              </w:rPr>
              <w:t>Actividad</w:t>
            </w:r>
            <w:r>
              <w:rPr>
                <w:b/>
                <w:spacing w:val="-13"/>
                <w:sz w:val="18"/>
              </w:rPr>
              <w:t> </w:t>
            </w:r>
            <w:r>
              <w:rPr>
                <w:b/>
                <w:sz w:val="18"/>
              </w:rPr>
              <w:t>PPPS </w:t>
            </w:r>
            <w:r>
              <w:rPr>
                <w:b/>
                <w:spacing w:val="-2"/>
                <w:sz w:val="18"/>
              </w:rPr>
              <w:t>1.3.1:</w:t>
            </w:r>
          </w:p>
          <w:p>
            <w:pPr>
              <w:pStyle w:val="TableParagraph"/>
              <w:ind w:left="69" w:right="82"/>
              <w:rPr>
                <w:sz w:val="18"/>
              </w:rPr>
            </w:pPr>
            <w:r>
              <w:rPr>
                <w:sz w:val="18"/>
              </w:rPr>
              <w:t>Financiar</w:t>
            </w:r>
            <w:r>
              <w:rPr>
                <w:spacing w:val="-9"/>
                <w:sz w:val="18"/>
              </w:rPr>
              <w:t> </w:t>
            </w:r>
            <w:r>
              <w:rPr>
                <w:sz w:val="18"/>
              </w:rPr>
              <w:t>las</w:t>
            </w:r>
            <w:r>
              <w:rPr>
                <w:spacing w:val="-8"/>
                <w:sz w:val="18"/>
              </w:rPr>
              <w:t> </w:t>
            </w:r>
            <w:r>
              <w:rPr>
                <w:sz w:val="18"/>
              </w:rPr>
              <w:t>llamadas telefónicas que realizan las personas usuarias</w:t>
            </w:r>
            <w:r>
              <w:rPr>
                <w:spacing w:val="-11"/>
                <w:sz w:val="18"/>
              </w:rPr>
              <w:t> </w:t>
            </w:r>
            <w:r>
              <w:rPr>
                <w:sz w:val="18"/>
              </w:rPr>
              <w:t>a</w:t>
            </w:r>
            <w:r>
              <w:rPr>
                <w:spacing w:val="-9"/>
                <w:sz w:val="18"/>
              </w:rPr>
              <w:t> </w:t>
            </w:r>
            <w:r>
              <w:rPr>
                <w:sz w:val="18"/>
              </w:rPr>
              <w:t>través</w:t>
            </w:r>
            <w:r>
              <w:rPr>
                <w:spacing w:val="-9"/>
                <w:sz w:val="18"/>
              </w:rPr>
              <w:t> </w:t>
            </w:r>
            <w:r>
              <w:rPr>
                <w:sz w:val="18"/>
              </w:rPr>
              <w:t>de</w:t>
            </w:r>
            <w:r>
              <w:rPr>
                <w:spacing w:val="-9"/>
                <w:sz w:val="18"/>
              </w:rPr>
              <w:t> </w:t>
            </w:r>
            <w:r>
              <w:rPr>
                <w:sz w:val="18"/>
              </w:rPr>
              <w:t>la Mesa de Ayuda del SACI, en el marco del acceso gratuito de la plataforma virtual,</w:t>
            </w:r>
          </w:p>
          <w:p>
            <w:pPr>
              <w:pStyle w:val="TableParagraph"/>
              <w:spacing w:line="187" w:lineRule="exact" w:before="1"/>
              <w:ind w:left="69"/>
              <w:rPr>
                <w:sz w:val="18"/>
              </w:rPr>
            </w:pPr>
            <w:r>
              <w:rPr>
                <w:sz w:val="18"/>
              </w:rPr>
              <w:t>centralizada</w:t>
            </w:r>
            <w:r>
              <w:rPr>
                <w:spacing w:val="-2"/>
                <w:sz w:val="18"/>
              </w:rPr>
              <w:t> </w:t>
            </w:r>
            <w:r>
              <w:rPr>
                <w:sz w:val="18"/>
              </w:rPr>
              <w:t>y</w:t>
            </w:r>
            <w:r>
              <w:rPr>
                <w:spacing w:val="-1"/>
                <w:sz w:val="18"/>
              </w:rPr>
              <w:t> </w:t>
            </w:r>
            <w:r>
              <w:rPr>
                <w:spacing w:val="-2"/>
                <w:sz w:val="18"/>
              </w:rPr>
              <w:t>remota.</w:t>
            </w:r>
          </w:p>
        </w:tc>
        <w:tc>
          <w:tcPr>
            <w:tcW w:w="1277" w:type="dxa"/>
          </w:tcPr>
          <w:p>
            <w:pPr>
              <w:pStyle w:val="TableParagraph"/>
              <w:rPr>
                <w:b/>
                <w:sz w:val="18"/>
              </w:rPr>
            </w:pPr>
          </w:p>
          <w:p>
            <w:pPr>
              <w:pStyle w:val="TableParagraph"/>
              <w:spacing w:before="206"/>
              <w:rPr>
                <w:b/>
                <w:sz w:val="18"/>
              </w:rPr>
            </w:pPr>
          </w:p>
          <w:p>
            <w:pPr>
              <w:pStyle w:val="TableParagraph"/>
              <w:ind w:left="69" w:right="80"/>
              <w:rPr>
                <w:sz w:val="18"/>
              </w:rPr>
            </w:pPr>
            <w:r>
              <w:rPr>
                <w:sz w:val="18"/>
              </w:rPr>
              <w:t>Porcentaje</w:t>
            </w:r>
            <w:r>
              <w:rPr>
                <w:spacing w:val="-13"/>
                <w:sz w:val="18"/>
              </w:rPr>
              <w:t> </w:t>
            </w:r>
            <w:r>
              <w:rPr>
                <w:sz w:val="18"/>
              </w:rPr>
              <w:t>de </w:t>
            </w:r>
            <w:r>
              <w:rPr>
                <w:spacing w:val="-2"/>
                <w:sz w:val="18"/>
              </w:rPr>
              <w:t>llamadas telefónicas financiadas </w:t>
            </w:r>
            <w:r>
              <w:rPr>
                <w:sz w:val="18"/>
              </w:rPr>
              <w:t>por el IMAS.</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0" w:right="1"/>
              <w:jc w:val="center"/>
              <w:rPr>
                <w:sz w:val="18"/>
              </w:rPr>
            </w:pPr>
            <w:r>
              <w:rPr>
                <w:spacing w:val="-4"/>
                <w:sz w:val="18"/>
              </w:rPr>
              <w:t>100%</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right="58"/>
              <w:jc w:val="right"/>
              <w:rPr>
                <w:sz w:val="18"/>
              </w:rPr>
            </w:pPr>
            <w:r>
              <w:rPr>
                <w:sz w:val="18"/>
              </w:rPr>
              <w:t>₡3</w:t>
            </w:r>
            <w:r>
              <w:rPr>
                <w:spacing w:val="-1"/>
                <w:sz w:val="18"/>
              </w:rPr>
              <w:t> </w:t>
            </w:r>
            <w:r>
              <w:rPr>
                <w:sz w:val="18"/>
              </w:rPr>
              <w:t>500</w:t>
            </w:r>
            <w:r>
              <w:rPr>
                <w:spacing w:val="-2"/>
                <w:sz w:val="18"/>
              </w:rPr>
              <w:t> </w:t>
            </w:r>
            <w:r>
              <w:rPr>
                <w:spacing w:val="-5"/>
                <w:sz w:val="18"/>
              </w:rPr>
              <w:t>000</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27" w:right="23"/>
              <w:jc w:val="center"/>
              <w:rPr>
                <w:sz w:val="18"/>
              </w:rPr>
            </w:pPr>
            <w:r>
              <w:rPr>
                <w:spacing w:val="-4"/>
                <w:sz w:val="18"/>
              </w:rPr>
              <w:t>100%</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right="60"/>
              <w:jc w:val="right"/>
              <w:rPr>
                <w:sz w:val="18"/>
              </w:rPr>
            </w:pPr>
            <w:r>
              <w:rPr>
                <w:sz w:val="18"/>
              </w:rPr>
              <w:t>₡7 000</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9" w:right="4"/>
              <w:jc w:val="center"/>
              <w:rPr>
                <w:sz w:val="18"/>
              </w:rPr>
            </w:pPr>
            <w:r>
              <w:rPr>
                <w:spacing w:val="-4"/>
                <w:sz w:val="18"/>
              </w:rPr>
              <w:t>100%</w:t>
            </w: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right="62"/>
              <w:jc w:val="right"/>
              <w:rPr>
                <w:sz w:val="18"/>
              </w:rPr>
            </w:pPr>
            <w:r>
              <w:rPr>
                <w:sz w:val="18"/>
              </w:rPr>
              <w:t>₡10 500</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9" w:right="4"/>
              <w:jc w:val="center"/>
              <w:rPr>
                <w:sz w:val="18"/>
              </w:rPr>
            </w:pPr>
            <w:r>
              <w:rPr>
                <w:spacing w:val="-4"/>
                <w:sz w:val="18"/>
              </w:rPr>
              <w:t>100%</w:t>
            </w:r>
          </w:p>
        </w:tc>
        <w:tc>
          <w:tcPr>
            <w:tcW w:w="1702" w:type="dxa"/>
          </w:tcPr>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right="63"/>
              <w:jc w:val="right"/>
              <w:rPr>
                <w:sz w:val="18"/>
              </w:rPr>
            </w:pPr>
            <w:r>
              <w:rPr>
                <w:sz w:val="18"/>
              </w:rPr>
              <w:t>₡14</w:t>
            </w:r>
            <w:r>
              <w:rPr>
                <w:spacing w:val="-2"/>
                <w:sz w:val="18"/>
              </w:rPr>
              <w:t> </w:t>
            </w:r>
            <w:r>
              <w:rPr>
                <w:sz w:val="18"/>
              </w:rPr>
              <w:t>000</w:t>
            </w:r>
            <w:r>
              <w:rPr>
                <w:spacing w:val="-2"/>
                <w:sz w:val="18"/>
              </w:rPr>
              <w:t> </w:t>
            </w:r>
            <w:r>
              <w:rPr>
                <w:spacing w:val="-5"/>
                <w:sz w:val="18"/>
              </w:rPr>
              <w:t>000</w:t>
            </w:r>
          </w:p>
        </w:tc>
      </w:tr>
      <w:tr>
        <w:trPr>
          <w:trHeight w:val="1449" w:hRule="atLeast"/>
        </w:trPr>
        <w:tc>
          <w:tcPr>
            <w:tcW w:w="1983" w:type="dxa"/>
          </w:tcPr>
          <w:p>
            <w:pPr>
              <w:pStyle w:val="TableParagraph"/>
              <w:ind w:left="69" w:right="556"/>
              <w:rPr>
                <w:b/>
                <w:sz w:val="18"/>
              </w:rPr>
            </w:pPr>
            <w:r>
              <w:rPr>
                <w:b/>
                <w:sz w:val="18"/>
              </w:rPr>
              <w:t>Actividad</w:t>
            </w:r>
            <w:r>
              <w:rPr>
                <w:b/>
                <w:spacing w:val="-13"/>
                <w:sz w:val="18"/>
              </w:rPr>
              <w:t> </w:t>
            </w:r>
            <w:r>
              <w:rPr>
                <w:b/>
                <w:sz w:val="18"/>
              </w:rPr>
              <w:t>PPPS </w:t>
            </w:r>
            <w:r>
              <w:rPr>
                <w:b/>
                <w:spacing w:val="-2"/>
                <w:sz w:val="18"/>
              </w:rPr>
              <w:t>1.3.2:</w:t>
            </w:r>
          </w:p>
          <w:p>
            <w:pPr>
              <w:pStyle w:val="TableParagraph"/>
              <w:ind w:left="69" w:right="60"/>
              <w:rPr>
                <w:sz w:val="18"/>
              </w:rPr>
            </w:pPr>
            <w:r>
              <w:rPr>
                <w:sz w:val="18"/>
              </w:rPr>
              <w:t>Implementación</w:t>
            </w:r>
            <w:r>
              <w:rPr>
                <w:spacing w:val="-9"/>
                <w:sz w:val="18"/>
              </w:rPr>
              <w:t> </w:t>
            </w:r>
            <w:r>
              <w:rPr>
                <w:sz w:val="18"/>
              </w:rPr>
              <w:t>de</w:t>
            </w:r>
            <w:r>
              <w:rPr>
                <w:spacing w:val="-10"/>
                <w:sz w:val="18"/>
              </w:rPr>
              <w:t> </w:t>
            </w:r>
            <w:r>
              <w:rPr>
                <w:sz w:val="18"/>
              </w:rPr>
              <w:t>un sistema de citas integrado</w:t>
            </w:r>
            <w:r>
              <w:rPr>
                <w:spacing w:val="-6"/>
                <w:sz w:val="18"/>
              </w:rPr>
              <w:t> </w:t>
            </w:r>
            <w:r>
              <w:rPr>
                <w:sz w:val="18"/>
              </w:rPr>
              <w:t>mediante</w:t>
            </w:r>
            <w:r>
              <w:rPr>
                <w:spacing w:val="-4"/>
                <w:sz w:val="18"/>
              </w:rPr>
              <w:t> </w:t>
            </w:r>
            <w:r>
              <w:rPr>
                <w:spacing w:val="-5"/>
                <w:sz w:val="18"/>
              </w:rPr>
              <w:t>un</w:t>
            </w:r>
          </w:p>
          <w:p>
            <w:pPr>
              <w:pStyle w:val="TableParagraph"/>
              <w:spacing w:line="206" w:lineRule="exact"/>
              <w:ind w:left="69" w:right="60"/>
              <w:rPr>
                <w:b/>
                <w:sz w:val="18"/>
              </w:rPr>
            </w:pPr>
            <w:r>
              <w:rPr>
                <w:sz w:val="18"/>
              </w:rPr>
              <w:t>servicio</w:t>
            </w:r>
            <w:r>
              <w:rPr>
                <w:spacing w:val="-15"/>
                <w:sz w:val="18"/>
              </w:rPr>
              <w:t> </w:t>
            </w:r>
            <w:r>
              <w:rPr>
                <w:sz w:val="18"/>
              </w:rPr>
              <w:t>informático</w:t>
            </w:r>
            <w:r>
              <w:rPr>
                <w:spacing w:val="-12"/>
                <w:sz w:val="18"/>
              </w:rPr>
              <w:t> </w:t>
            </w:r>
            <w:r>
              <w:rPr>
                <w:sz w:val="18"/>
              </w:rPr>
              <w:t>en la nube</w:t>
            </w:r>
            <w:r>
              <w:rPr>
                <w:b/>
                <w:sz w:val="18"/>
              </w:rPr>
              <w:t>.</w:t>
            </w:r>
          </w:p>
        </w:tc>
        <w:tc>
          <w:tcPr>
            <w:tcW w:w="1277" w:type="dxa"/>
          </w:tcPr>
          <w:p>
            <w:pPr>
              <w:pStyle w:val="TableParagraph"/>
              <w:ind w:left="69" w:right="80"/>
              <w:rPr>
                <w:sz w:val="18"/>
              </w:rPr>
            </w:pPr>
            <w:r>
              <w:rPr>
                <w:sz w:val="18"/>
              </w:rPr>
              <w:t>Porcentaje</w:t>
            </w:r>
            <w:r>
              <w:rPr>
                <w:spacing w:val="-13"/>
                <w:sz w:val="18"/>
              </w:rPr>
              <w:t> </w:t>
            </w:r>
            <w:r>
              <w:rPr>
                <w:sz w:val="18"/>
              </w:rPr>
              <w:t>de </w:t>
            </w:r>
            <w:r>
              <w:rPr>
                <w:spacing w:val="-2"/>
                <w:sz w:val="18"/>
              </w:rPr>
              <w:t>citas asignadas </w:t>
            </w:r>
            <w:r>
              <w:rPr>
                <w:sz w:val="18"/>
              </w:rPr>
              <w:t>mediante el Sistema de </w:t>
            </w:r>
            <w:r>
              <w:rPr>
                <w:spacing w:val="-2"/>
                <w:sz w:val="18"/>
              </w:rPr>
              <w:t>Citas</w:t>
            </w:r>
          </w:p>
          <w:p>
            <w:pPr>
              <w:pStyle w:val="TableParagraph"/>
              <w:spacing w:line="189" w:lineRule="exact"/>
              <w:ind w:left="69"/>
              <w:rPr>
                <w:sz w:val="18"/>
              </w:rPr>
            </w:pPr>
            <w:r>
              <w:rPr>
                <w:spacing w:val="-2"/>
                <w:sz w:val="18"/>
              </w:rPr>
              <w:t>institucional.</w:t>
            </w:r>
          </w:p>
        </w:tc>
        <w:tc>
          <w:tcPr>
            <w:tcW w:w="1278" w:type="dxa"/>
          </w:tcPr>
          <w:p>
            <w:pPr>
              <w:pStyle w:val="TableParagraph"/>
              <w:rPr>
                <w:b/>
                <w:sz w:val="18"/>
              </w:rPr>
            </w:pPr>
          </w:p>
          <w:p>
            <w:pPr>
              <w:pStyle w:val="TableParagraph"/>
              <w:spacing w:before="206"/>
              <w:rPr>
                <w:b/>
                <w:sz w:val="18"/>
              </w:rPr>
            </w:pPr>
          </w:p>
          <w:p>
            <w:pPr>
              <w:pStyle w:val="TableParagraph"/>
              <w:ind w:left="10" w:right="1"/>
              <w:jc w:val="center"/>
              <w:rPr>
                <w:sz w:val="18"/>
              </w:rPr>
            </w:pPr>
            <w:r>
              <w:rPr>
                <w:spacing w:val="-4"/>
                <w:sz w:val="18"/>
              </w:rPr>
              <w:t>100%</w:t>
            </w:r>
          </w:p>
        </w:tc>
        <w:tc>
          <w:tcPr>
            <w:tcW w:w="1561" w:type="dxa"/>
          </w:tcPr>
          <w:p>
            <w:pPr>
              <w:pStyle w:val="TableParagraph"/>
              <w:rPr>
                <w:b/>
                <w:sz w:val="18"/>
              </w:rPr>
            </w:pPr>
          </w:p>
          <w:p>
            <w:pPr>
              <w:pStyle w:val="TableParagraph"/>
              <w:spacing w:before="206"/>
              <w:rPr>
                <w:b/>
                <w:sz w:val="18"/>
              </w:rPr>
            </w:pPr>
          </w:p>
          <w:p>
            <w:pPr>
              <w:pStyle w:val="TableParagraph"/>
              <w:ind w:right="58"/>
              <w:jc w:val="right"/>
              <w:rPr>
                <w:sz w:val="18"/>
              </w:rPr>
            </w:pPr>
            <w:r>
              <w:rPr>
                <w:sz w:val="18"/>
              </w:rPr>
              <w:t>₡10</w:t>
            </w:r>
            <w:r>
              <w:rPr>
                <w:spacing w:val="-2"/>
                <w:sz w:val="18"/>
              </w:rPr>
              <w:t> </w:t>
            </w:r>
            <w:r>
              <w:rPr>
                <w:sz w:val="18"/>
              </w:rPr>
              <w:t>000</w:t>
            </w:r>
            <w:r>
              <w:rPr>
                <w:spacing w:val="-2"/>
                <w:sz w:val="18"/>
              </w:rPr>
              <w:t> </w:t>
            </w:r>
            <w:r>
              <w:rPr>
                <w:spacing w:val="-5"/>
                <w:sz w:val="18"/>
              </w:rPr>
              <w:t>000</w:t>
            </w:r>
          </w:p>
        </w:tc>
        <w:tc>
          <w:tcPr>
            <w:tcW w:w="1275" w:type="dxa"/>
          </w:tcPr>
          <w:p>
            <w:pPr>
              <w:pStyle w:val="TableParagraph"/>
              <w:rPr>
                <w:b/>
                <w:sz w:val="18"/>
              </w:rPr>
            </w:pPr>
          </w:p>
          <w:p>
            <w:pPr>
              <w:pStyle w:val="TableParagraph"/>
              <w:spacing w:before="206"/>
              <w:rPr>
                <w:b/>
                <w:sz w:val="18"/>
              </w:rPr>
            </w:pPr>
          </w:p>
          <w:p>
            <w:pPr>
              <w:pStyle w:val="TableParagraph"/>
              <w:ind w:left="27" w:right="23"/>
              <w:jc w:val="center"/>
              <w:rPr>
                <w:sz w:val="18"/>
              </w:rPr>
            </w:pPr>
            <w:r>
              <w:rPr>
                <w:spacing w:val="-4"/>
                <w:sz w:val="18"/>
              </w:rPr>
              <w:t>100%</w:t>
            </w:r>
          </w:p>
        </w:tc>
        <w:tc>
          <w:tcPr>
            <w:tcW w:w="1561" w:type="dxa"/>
          </w:tcPr>
          <w:p>
            <w:pPr>
              <w:pStyle w:val="TableParagraph"/>
              <w:rPr>
                <w:b/>
                <w:sz w:val="18"/>
              </w:rPr>
            </w:pPr>
          </w:p>
          <w:p>
            <w:pPr>
              <w:pStyle w:val="TableParagraph"/>
              <w:spacing w:before="206"/>
              <w:rPr>
                <w:b/>
                <w:sz w:val="18"/>
              </w:rPr>
            </w:pPr>
          </w:p>
          <w:p>
            <w:pPr>
              <w:pStyle w:val="TableParagraph"/>
              <w:ind w:right="60"/>
              <w:jc w:val="right"/>
              <w:rPr>
                <w:sz w:val="18"/>
              </w:rPr>
            </w:pPr>
            <w:r>
              <w:rPr>
                <w:sz w:val="18"/>
              </w:rPr>
              <w:t>₡20</w:t>
            </w:r>
            <w:r>
              <w:rPr>
                <w:spacing w:val="-2"/>
                <w:sz w:val="18"/>
              </w:rPr>
              <w:t> </w:t>
            </w:r>
            <w:r>
              <w:rPr>
                <w:sz w:val="18"/>
              </w:rPr>
              <w:t>000</w:t>
            </w:r>
            <w:r>
              <w:rPr>
                <w:spacing w:val="-2"/>
                <w:sz w:val="18"/>
              </w:rPr>
              <w:t> </w:t>
            </w:r>
            <w:r>
              <w:rPr>
                <w:spacing w:val="-5"/>
                <w:sz w:val="18"/>
              </w:rPr>
              <w:t>000</w:t>
            </w:r>
          </w:p>
        </w:tc>
        <w:tc>
          <w:tcPr>
            <w:tcW w:w="1277" w:type="dxa"/>
          </w:tcPr>
          <w:p>
            <w:pPr>
              <w:pStyle w:val="TableParagraph"/>
              <w:rPr>
                <w:b/>
                <w:sz w:val="18"/>
              </w:rPr>
            </w:pPr>
          </w:p>
          <w:p>
            <w:pPr>
              <w:pStyle w:val="TableParagraph"/>
              <w:spacing w:before="206"/>
              <w:rPr>
                <w:b/>
                <w:sz w:val="18"/>
              </w:rPr>
            </w:pPr>
          </w:p>
          <w:p>
            <w:pPr>
              <w:pStyle w:val="TableParagraph"/>
              <w:ind w:left="9" w:right="4"/>
              <w:jc w:val="center"/>
              <w:rPr>
                <w:sz w:val="18"/>
              </w:rPr>
            </w:pPr>
            <w:r>
              <w:rPr>
                <w:spacing w:val="-4"/>
                <w:sz w:val="18"/>
              </w:rPr>
              <w:t>100%</w:t>
            </w:r>
          </w:p>
        </w:tc>
        <w:tc>
          <w:tcPr>
            <w:tcW w:w="1558" w:type="dxa"/>
          </w:tcPr>
          <w:p>
            <w:pPr>
              <w:pStyle w:val="TableParagraph"/>
              <w:rPr>
                <w:b/>
                <w:sz w:val="18"/>
              </w:rPr>
            </w:pPr>
          </w:p>
          <w:p>
            <w:pPr>
              <w:pStyle w:val="TableParagraph"/>
              <w:spacing w:before="206"/>
              <w:rPr>
                <w:b/>
                <w:sz w:val="18"/>
              </w:rPr>
            </w:pPr>
          </w:p>
          <w:p>
            <w:pPr>
              <w:pStyle w:val="TableParagraph"/>
              <w:ind w:right="63"/>
              <w:jc w:val="right"/>
              <w:rPr>
                <w:sz w:val="18"/>
              </w:rPr>
            </w:pPr>
            <w:r>
              <w:rPr>
                <w:sz w:val="18"/>
              </w:rPr>
              <w:t>₡30</w:t>
            </w:r>
            <w:r>
              <w:rPr>
                <w:spacing w:val="-2"/>
                <w:sz w:val="18"/>
              </w:rPr>
              <w:t> </w:t>
            </w:r>
            <w:r>
              <w:rPr>
                <w:sz w:val="18"/>
              </w:rPr>
              <w:t>000</w:t>
            </w:r>
            <w:r>
              <w:rPr>
                <w:spacing w:val="-2"/>
                <w:sz w:val="18"/>
              </w:rPr>
              <w:t> </w:t>
            </w:r>
            <w:r>
              <w:rPr>
                <w:spacing w:val="-5"/>
                <w:sz w:val="18"/>
              </w:rPr>
              <w:t>000</w:t>
            </w:r>
          </w:p>
        </w:tc>
        <w:tc>
          <w:tcPr>
            <w:tcW w:w="1277" w:type="dxa"/>
          </w:tcPr>
          <w:p>
            <w:pPr>
              <w:pStyle w:val="TableParagraph"/>
              <w:rPr>
                <w:b/>
                <w:sz w:val="18"/>
              </w:rPr>
            </w:pPr>
          </w:p>
          <w:p>
            <w:pPr>
              <w:pStyle w:val="TableParagraph"/>
              <w:spacing w:before="206"/>
              <w:rPr>
                <w:b/>
                <w:sz w:val="18"/>
              </w:rPr>
            </w:pPr>
          </w:p>
          <w:p>
            <w:pPr>
              <w:pStyle w:val="TableParagraph"/>
              <w:ind w:left="9" w:right="4"/>
              <w:jc w:val="center"/>
              <w:rPr>
                <w:sz w:val="18"/>
              </w:rPr>
            </w:pPr>
            <w:r>
              <w:rPr>
                <w:spacing w:val="-4"/>
                <w:sz w:val="18"/>
              </w:rPr>
              <w:t>100%</w:t>
            </w:r>
          </w:p>
        </w:tc>
        <w:tc>
          <w:tcPr>
            <w:tcW w:w="1702" w:type="dxa"/>
          </w:tcPr>
          <w:p>
            <w:pPr>
              <w:pStyle w:val="TableParagraph"/>
              <w:rPr>
                <w:b/>
                <w:sz w:val="18"/>
              </w:rPr>
            </w:pPr>
          </w:p>
          <w:p>
            <w:pPr>
              <w:pStyle w:val="TableParagraph"/>
              <w:spacing w:before="206"/>
              <w:rPr>
                <w:b/>
                <w:sz w:val="18"/>
              </w:rPr>
            </w:pPr>
          </w:p>
          <w:p>
            <w:pPr>
              <w:pStyle w:val="TableParagraph"/>
              <w:ind w:right="63"/>
              <w:jc w:val="right"/>
              <w:rPr>
                <w:sz w:val="18"/>
              </w:rPr>
            </w:pPr>
            <w:r>
              <w:rPr>
                <w:sz w:val="18"/>
              </w:rPr>
              <w:t>₡40</w:t>
            </w:r>
            <w:r>
              <w:rPr>
                <w:spacing w:val="-2"/>
                <w:sz w:val="18"/>
              </w:rPr>
              <w:t> </w:t>
            </w:r>
            <w:r>
              <w:rPr>
                <w:sz w:val="18"/>
              </w:rPr>
              <w:t>000</w:t>
            </w:r>
            <w:r>
              <w:rPr>
                <w:spacing w:val="-2"/>
                <w:sz w:val="18"/>
              </w:rPr>
              <w:t> </w:t>
            </w:r>
            <w:r>
              <w:rPr>
                <w:spacing w:val="-5"/>
                <w:sz w:val="18"/>
              </w:rPr>
              <w:t>000</w:t>
            </w:r>
          </w:p>
        </w:tc>
      </w:tr>
      <w:tr>
        <w:trPr>
          <w:trHeight w:val="1862" w:hRule="atLeast"/>
        </w:trPr>
        <w:tc>
          <w:tcPr>
            <w:tcW w:w="1983" w:type="dxa"/>
          </w:tcPr>
          <w:p>
            <w:pPr>
              <w:pStyle w:val="TableParagraph"/>
              <w:ind w:left="69" w:right="556"/>
              <w:rPr>
                <w:b/>
                <w:sz w:val="18"/>
              </w:rPr>
            </w:pPr>
            <w:r>
              <w:rPr>
                <w:b/>
                <w:sz w:val="18"/>
              </w:rPr>
              <w:t>Actividad</w:t>
            </w:r>
            <w:r>
              <w:rPr>
                <w:b/>
                <w:spacing w:val="-13"/>
                <w:sz w:val="18"/>
              </w:rPr>
              <w:t> </w:t>
            </w:r>
            <w:r>
              <w:rPr>
                <w:b/>
                <w:sz w:val="18"/>
              </w:rPr>
              <w:t>PPPS </w:t>
            </w:r>
            <w:r>
              <w:rPr>
                <w:b/>
                <w:spacing w:val="-2"/>
                <w:sz w:val="18"/>
              </w:rPr>
              <w:t>1.3.3:</w:t>
            </w:r>
          </w:p>
          <w:p>
            <w:pPr>
              <w:pStyle w:val="TableParagraph"/>
              <w:ind w:left="69" w:right="336"/>
              <w:rPr>
                <w:sz w:val="18"/>
              </w:rPr>
            </w:pPr>
            <w:r>
              <w:rPr>
                <w:sz w:val="18"/>
              </w:rPr>
              <w:t>Pago de servicios profesionales y técnicos</w:t>
            </w:r>
            <w:r>
              <w:rPr>
                <w:spacing w:val="-13"/>
                <w:sz w:val="18"/>
              </w:rPr>
              <w:t> </w:t>
            </w:r>
            <w:r>
              <w:rPr>
                <w:sz w:val="18"/>
              </w:rPr>
              <w:t>requeridos para solventar necesidades de</w:t>
            </w:r>
          </w:p>
          <w:p>
            <w:pPr>
              <w:pStyle w:val="TableParagraph"/>
              <w:spacing w:line="206" w:lineRule="exact"/>
              <w:ind w:left="69" w:right="403"/>
              <w:rPr>
                <w:sz w:val="18"/>
              </w:rPr>
            </w:pPr>
            <w:r>
              <w:rPr>
                <w:spacing w:val="-2"/>
                <w:sz w:val="18"/>
              </w:rPr>
              <w:t>infraestructura (1.04.03).</w:t>
            </w:r>
          </w:p>
        </w:tc>
        <w:tc>
          <w:tcPr>
            <w:tcW w:w="1277" w:type="dxa"/>
          </w:tcPr>
          <w:p>
            <w:pPr>
              <w:pStyle w:val="TableParagraph"/>
              <w:spacing w:before="102"/>
              <w:ind w:left="69" w:right="80"/>
              <w:rPr>
                <w:sz w:val="18"/>
              </w:rPr>
            </w:pPr>
            <w:r>
              <w:rPr>
                <w:sz w:val="18"/>
              </w:rPr>
              <w:t>Porcentaje</w:t>
            </w:r>
            <w:r>
              <w:rPr>
                <w:spacing w:val="-13"/>
                <w:sz w:val="18"/>
              </w:rPr>
              <w:t> </w:t>
            </w:r>
            <w:r>
              <w:rPr>
                <w:sz w:val="18"/>
              </w:rPr>
              <w:t>de </w:t>
            </w:r>
            <w:r>
              <w:rPr>
                <w:spacing w:val="-2"/>
                <w:sz w:val="18"/>
              </w:rPr>
              <w:t>presupuesto programado </w:t>
            </w:r>
            <w:r>
              <w:rPr>
                <w:sz w:val="18"/>
              </w:rPr>
              <w:t>que se invierte en el pago de servicios de </w:t>
            </w:r>
            <w:r>
              <w:rPr>
                <w:spacing w:val="-2"/>
                <w:sz w:val="18"/>
              </w:rPr>
              <w:t>ingeniería.</w:t>
            </w:r>
          </w:p>
        </w:tc>
        <w:tc>
          <w:tcPr>
            <w:tcW w:w="1278" w:type="dxa"/>
          </w:tcPr>
          <w:p>
            <w:pPr>
              <w:pStyle w:val="TableParagraph"/>
              <w:rPr>
                <w:rFonts w:ascii="Times New Roman"/>
                <w:sz w:val="18"/>
              </w:rPr>
            </w:pPr>
          </w:p>
        </w:tc>
        <w:tc>
          <w:tcPr>
            <w:tcW w:w="1561" w:type="dxa"/>
          </w:tcPr>
          <w:p>
            <w:pPr>
              <w:pStyle w:val="TableParagraph"/>
              <w:rPr>
                <w:rFonts w:ascii="Times New Roman"/>
                <w:sz w:val="18"/>
              </w:rPr>
            </w:pPr>
          </w:p>
        </w:tc>
        <w:tc>
          <w:tcPr>
            <w:tcW w:w="1275" w:type="dxa"/>
          </w:tcPr>
          <w:p>
            <w:pPr>
              <w:pStyle w:val="TableParagraph"/>
              <w:rPr>
                <w:rFonts w:ascii="Times New Roman"/>
                <w:sz w:val="18"/>
              </w:rPr>
            </w:pPr>
          </w:p>
        </w:tc>
        <w:tc>
          <w:tcPr>
            <w:tcW w:w="1561" w:type="dxa"/>
          </w:tcPr>
          <w:p>
            <w:pPr>
              <w:pStyle w:val="TableParagraph"/>
              <w:rPr>
                <w:rFonts w:ascii="Times New Roman"/>
                <w:sz w:val="18"/>
              </w:rPr>
            </w:pPr>
          </w:p>
        </w:tc>
        <w:tc>
          <w:tcPr>
            <w:tcW w:w="1277" w:type="dxa"/>
          </w:tcPr>
          <w:p>
            <w:pPr>
              <w:pStyle w:val="TableParagraph"/>
              <w:rPr>
                <w:rFonts w:ascii="Times New Roman"/>
                <w:sz w:val="18"/>
              </w:rPr>
            </w:pPr>
          </w:p>
        </w:tc>
        <w:tc>
          <w:tcPr>
            <w:tcW w:w="1558"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9" w:right="4"/>
              <w:jc w:val="center"/>
              <w:rPr>
                <w:sz w:val="18"/>
              </w:rPr>
            </w:pPr>
            <w:r>
              <w:rPr>
                <w:spacing w:val="-4"/>
                <w:sz w:val="18"/>
              </w:rPr>
              <w:t>100%</w:t>
            </w:r>
          </w:p>
        </w:tc>
        <w:tc>
          <w:tcPr>
            <w:tcW w:w="1702" w:type="dxa"/>
          </w:tcPr>
          <w:p>
            <w:pPr>
              <w:pStyle w:val="TableParagraph"/>
              <w:rPr>
                <w:b/>
                <w:sz w:val="18"/>
              </w:rPr>
            </w:pPr>
          </w:p>
          <w:p>
            <w:pPr>
              <w:pStyle w:val="TableParagraph"/>
              <w:rPr>
                <w:b/>
                <w:sz w:val="18"/>
              </w:rPr>
            </w:pPr>
          </w:p>
          <w:p>
            <w:pPr>
              <w:pStyle w:val="TableParagraph"/>
              <w:spacing w:before="206"/>
              <w:rPr>
                <w:b/>
                <w:sz w:val="18"/>
              </w:rPr>
            </w:pPr>
          </w:p>
          <w:p>
            <w:pPr>
              <w:pStyle w:val="TableParagraph"/>
              <w:ind w:right="63"/>
              <w:jc w:val="right"/>
              <w:rPr>
                <w:sz w:val="18"/>
              </w:rPr>
            </w:pPr>
            <w:r>
              <w:rPr>
                <w:sz w:val="18"/>
              </w:rPr>
              <w:t>₡383</w:t>
            </w:r>
            <w:r>
              <w:rPr>
                <w:spacing w:val="-2"/>
                <w:sz w:val="18"/>
              </w:rPr>
              <w:t> </w:t>
            </w:r>
            <w:r>
              <w:rPr>
                <w:sz w:val="18"/>
              </w:rPr>
              <w:t>352</w:t>
            </w:r>
            <w:r>
              <w:rPr>
                <w:spacing w:val="-2"/>
                <w:sz w:val="18"/>
              </w:rPr>
              <w:t> </w:t>
            </w:r>
            <w:r>
              <w:rPr>
                <w:spacing w:val="-5"/>
                <w:sz w:val="18"/>
              </w:rPr>
              <w:t>000</w:t>
            </w:r>
          </w:p>
        </w:tc>
      </w:tr>
    </w:tbl>
    <w:p>
      <w:pPr>
        <w:pStyle w:val="TableParagraph"/>
        <w:spacing w:after="0"/>
        <w:jc w:val="right"/>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3"/>
        <w:gridCol w:w="1277"/>
        <w:gridCol w:w="1278"/>
        <w:gridCol w:w="1561"/>
        <w:gridCol w:w="1275"/>
        <w:gridCol w:w="1561"/>
        <w:gridCol w:w="1277"/>
        <w:gridCol w:w="1558"/>
        <w:gridCol w:w="1277"/>
        <w:gridCol w:w="1702"/>
      </w:tblGrid>
      <w:tr>
        <w:trPr>
          <w:trHeight w:val="510" w:hRule="atLeast"/>
        </w:trPr>
        <w:tc>
          <w:tcPr>
            <w:tcW w:w="1983" w:type="dxa"/>
            <w:vMerge w:val="restart"/>
            <w:shd w:val="clear" w:color="auto" w:fill="F1F1F1"/>
          </w:tcPr>
          <w:p>
            <w:pPr>
              <w:pStyle w:val="TableParagraph"/>
              <w:spacing w:before="70"/>
              <w:rPr>
                <w:b/>
                <w:sz w:val="18"/>
              </w:rPr>
            </w:pPr>
          </w:p>
          <w:p>
            <w:pPr>
              <w:pStyle w:val="TableParagraph"/>
              <w:ind w:left="506" w:right="403" w:firstLine="24"/>
              <w:rPr>
                <w:b/>
                <w:sz w:val="18"/>
              </w:rPr>
            </w:pPr>
            <w:r>
              <w:rPr>
                <w:b/>
                <w:sz w:val="18"/>
              </w:rPr>
              <w:t>Objetivos</w:t>
            </w:r>
            <w:r>
              <w:rPr>
                <w:b/>
                <w:spacing w:val="-12"/>
                <w:sz w:val="18"/>
              </w:rPr>
              <w:t> </w:t>
            </w:r>
            <w:r>
              <w:rPr>
                <w:b/>
                <w:sz w:val="18"/>
              </w:rPr>
              <w:t>/ </w:t>
            </w:r>
            <w:r>
              <w:rPr>
                <w:b/>
                <w:spacing w:val="-2"/>
                <w:sz w:val="18"/>
              </w:rPr>
              <w:t>Resultados</w:t>
            </w:r>
          </w:p>
        </w:tc>
        <w:tc>
          <w:tcPr>
            <w:tcW w:w="1277" w:type="dxa"/>
            <w:vMerge w:val="restart"/>
            <w:shd w:val="clear" w:color="auto" w:fill="F1F1F1"/>
          </w:tcPr>
          <w:p>
            <w:pPr>
              <w:pStyle w:val="TableParagraph"/>
              <w:spacing w:before="173"/>
              <w:rPr>
                <w:b/>
                <w:sz w:val="18"/>
              </w:rPr>
            </w:pPr>
          </w:p>
          <w:p>
            <w:pPr>
              <w:pStyle w:val="TableParagraph"/>
              <w:ind w:left="232"/>
              <w:rPr>
                <w:b/>
                <w:sz w:val="18"/>
              </w:rPr>
            </w:pPr>
            <w:r>
              <w:rPr>
                <w:b/>
                <w:spacing w:val="-2"/>
                <w:sz w:val="18"/>
              </w:rPr>
              <w:t>Indicador</w:t>
            </w:r>
          </w:p>
        </w:tc>
        <w:tc>
          <w:tcPr>
            <w:tcW w:w="2839" w:type="dxa"/>
            <w:gridSpan w:val="2"/>
            <w:shd w:val="clear" w:color="auto" w:fill="F1F1F1"/>
          </w:tcPr>
          <w:p>
            <w:pPr>
              <w:pStyle w:val="TableParagraph"/>
              <w:spacing w:before="150"/>
              <w:ind w:left="7"/>
              <w:jc w:val="center"/>
              <w:rPr>
                <w:b/>
                <w:sz w:val="18"/>
              </w:rPr>
            </w:pPr>
            <w:r>
              <w:rPr>
                <w:b/>
                <w:sz w:val="18"/>
              </w:rPr>
              <w:t>I </w:t>
            </w:r>
            <w:r>
              <w:rPr>
                <w:b/>
                <w:spacing w:val="-2"/>
                <w:sz w:val="18"/>
              </w:rPr>
              <w:t>Trimestre</w:t>
            </w:r>
          </w:p>
        </w:tc>
        <w:tc>
          <w:tcPr>
            <w:tcW w:w="2836" w:type="dxa"/>
            <w:gridSpan w:val="2"/>
            <w:shd w:val="clear" w:color="auto" w:fill="F1F1F1"/>
          </w:tcPr>
          <w:p>
            <w:pPr>
              <w:pStyle w:val="TableParagraph"/>
              <w:spacing w:before="150"/>
              <w:ind w:left="928"/>
              <w:rPr>
                <w:b/>
                <w:sz w:val="18"/>
              </w:rPr>
            </w:pPr>
            <w:r>
              <w:rPr>
                <w:b/>
                <w:sz w:val="18"/>
              </w:rPr>
              <w:t>II </w:t>
            </w:r>
            <w:r>
              <w:rPr>
                <w:b/>
                <w:spacing w:val="-2"/>
                <w:sz w:val="18"/>
              </w:rPr>
              <w:t>Trimestre</w:t>
            </w:r>
          </w:p>
        </w:tc>
        <w:tc>
          <w:tcPr>
            <w:tcW w:w="2835" w:type="dxa"/>
            <w:gridSpan w:val="2"/>
            <w:shd w:val="clear" w:color="auto" w:fill="F1F1F1"/>
          </w:tcPr>
          <w:p>
            <w:pPr>
              <w:pStyle w:val="TableParagraph"/>
              <w:spacing w:before="150"/>
              <w:ind w:left="901"/>
              <w:rPr>
                <w:b/>
                <w:sz w:val="18"/>
              </w:rPr>
            </w:pPr>
            <w:r>
              <w:rPr>
                <w:b/>
                <w:sz w:val="18"/>
              </w:rPr>
              <w:t>III </w:t>
            </w:r>
            <w:r>
              <w:rPr>
                <w:b/>
                <w:spacing w:val="-2"/>
                <w:sz w:val="18"/>
              </w:rPr>
              <w:t>Trimestre</w:t>
            </w:r>
          </w:p>
        </w:tc>
        <w:tc>
          <w:tcPr>
            <w:tcW w:w="2979" w:type="dxa"/>
            <w:gridSpan w:val="2"/>
            <w:shd w:val="clear" w:color="auto" w:fill="F1F1F1"/>
          </w:tcPr>
          <w:p>
            <w:pPr>
              <w:pStyle w:val="TableParagraph"/>
              <w:spacing w:before="150"/>
              <w:ind w:left="963"/>
              <w:rPr>
                <w:b/>
                <w:sz w:val="18"/>
              </w:rPr>
            </w:pPr>
            <w:r>
              <w:rPr>
                <w:b/>
                <w:sz w:val="18"/>
              </w:rPr>
              <w:t>IV </w:t>
            </w:r>
            <w:r>
              <w:rPr>
                <w:b/>
                <w:spacing w:val="-2"/>
                <w:sz w:val="18"/>
              </w:rPr>
              <w:t>Trimestre</w:t>
            </w:r>
          </w:p>
        </w:tc>
      </w:tr>
      <w:tr>
        <w:trPr>
          <w:trHeight w:val="448" w:hRule="atLeast"/>
        </w:trPr>
        <w:tc>
          <w:tcPr>
            <w:tcW w:w="1983" w:type="dxa"/>
            <w:vMerge/>
            <w:tcBorders>
              <w:top w:val="nil"/>
            </w:tcBorders>
            <w:shd w:val="clear" w:color="auto" w:fill="F1F1F1"/>
          </w:tcPr>
          <w:p>
            <w:pPr>
              <w:rPr>
                <w:sz w:val="2"/>
                <w:szCs w:val="2"/>
              </w:rPr>
            </w:pPr>
          </w:p>
        </w:tc>
        <w:tc>
          <w:tcPr>
            <w:tcW w:w="1277" w:type="dxa"/>
            <w:vMerge/>
            <w:tcBorders>
              <w:top w:val="nil"/>
            </w:tcBorders>
            <w:shd w:val="clear" w:color="auto" w:fill="F1F1F1"/>
          </w:tcPr>
          <w:p>
            <w:pPr>
              <w:rPr>
                <w:sz w:val="2"/>
                <w:szCs w:val="2"/>
              </w:rPr>
            </w:pPr>
          </w:p>
        </w:tc>
        <w:tc>
          <w:tcPr>
            <w:tcW w:w="1278" w:type="dxa"/>
            <w:shd w:val="clear" w:color="auto" w:fill="F1F1F1"/>
          </w:tcPr>
          <w:p>
            <w:pPr>
              <w:pStyle w:val="TableParagraph"/>
              <w:spacing w:line="210" w:lineRule="atLeast" w:before="8"/>
              <w:ind w:left="116"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0"/>
              <w:jc w:val="center"/>
              <w:rPr>
                <w:b/>
                <w:sz w:val="18"/>
              </w:rPr>
            </w:pPr>
            <w:r>
              <w:rPr>
                <w:b/>
                <w:spacing w:val="-10"/>
                <w:sz w:val="18"/>
              </w:rPr>
              <w:t>¢</w:t>
            </w:r>
          </w:p>
        </w:tc>
        <w:tc>
          <w:tcPr>
            <w:tcW w:w="1275" w:type="dxa"/>
            <w:shd w:val="clear" w:color="auto" w:fill="F1F1F1"/>
          </w:tcPr>
          <w:p>
            <w:pPr>
              <w:pStyle w:val="TableParagraph"/>
              <w:spacing w:line="210" w:lineRule="atLeast" w:before="8"/>
              <w:ind w:left="112"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2"/>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558" w:type="dxa"/>
            <w:shd w:val="clear" w:color="auto" w:fill="F1F1F1"/>
          </w:tcPr>
          <w:p>
            <w:pPr>
              <w:pStyle w:val="TableParagraph"/>
              <w:spacing w:before="119"/>
              <w:ind w:left="34" w:right="34"/>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702" w:type="dxa"/>
            <w:shd w:val="clear" w:color="auto" w:fill="F1F1F1"/>
          </w:tcPr>
          <w:p>
            <w:pPr>
              <w:pStyle w:val="TableParagraph"/>
              <w:spacing w:before="119"/>
              <w:jc w:val="center"/>
              <w:rPr>
                <w:b/>
                <w:sz w:val="18"/>
              </w:rPr>
            </w:pPr>
            <w:r>
              <w:rPr>
                <w:b/>
                <w:spacing w:val="-10"/>
                <w:sz w:val="18"/>
              </w:rPr>
              <w:t>¢</w:t>
            </w:r>
          </w:p>
        </w:tc>
      </w:tr>
      <w:tr>
        <w:trPr>
          <w:trHeight w:val="1891" w:hRule="atLeast"/>
        </w:trPr>
        <w:tc>
          <w:tcPr>
            <w:tcW w:w="1983" w:type="dxa"/>
          </w:tcPr>
          <w:p>
            <w:pPr>
              <w:pStyle w:val="TableParagraph"/>
              <w:rPr>
                <w:b/>
                <w:sz w:val="18"/>
              </w:rPr>
            </w:pPr>
          </w:p>
          <w:p>
            <w:pPr>
              <w:pStyle w:val="TableParagraph"/>
              <w:spacing w:before="14"/>
              <w:rPr>
                <w:b/>
                <w:sz w:val="18"/>
              </w:rPr>
            </w:pPr>
          </w:p>
          <w:p>
            <w:pPr>
              <w:pStyle w:val="TableParagraph"/>
              <w:ind w:left="69" w:right="556"/>
              <w:rPr>
                <w:b/>
                <w:sz w:val="18"/>
              </w:rPr>
            </w:pPr>
            <w:r>
              <w:rPr>
                <w:b/>
                <w:sz w:val="18"/>
              </w:rPr>
              <w:t>Actividad</w:t>
            </w:r>
            <w:r>
              <w:rPr>
                <w:b/>
                <w:spacing w:val="-13"/>
                <w:sz w:val="18"/>
              </w:rPr>
              <w:t> </w:t>
            </w:r>
            <w:r>
              <w:rPr>
                <w:b/>
                <w:sz w:val="18"/>
              </w:rPr>
              <w:t>PPPS </w:t>
            </w:r>
            <w:r>
              <w:rPr>
                <w:b/>
                <w:spacing w:val="-2"/>
                <w:sz w:val="18"/>
              </w:rPr>
              <w:t>1.3.4:</w:t>
            </w:r>
          </w:p>
          <w:p>
            <w:pPr>
              <w:pStyle w:val="TableParagraph"/>
              <w:ind w:left="69" w:right="60"/>
              <w:rPr>
                <w:sz w:val="18"/>
              </w:rPr>
            </w:pPr>
            <w:r>
              <w:rPr>
                <w:sz w:val="18"/>
              </w:rPr>
              <w:t>Construcción</w:t>
            </w:r>
            <w:r>
              <w:rPr>
                <w:spacing w:val="-15"/>
                <w:sz w:val="18"/>
              </w:rPr>
              <w:t> </w:t>
            </w:r>
            <w:r>
              <w:rPr>
                <w:sz w:val="18"/>
              </w:rPr>
              <w:t>de</w:t>
            </w:r>
            <w:r>
              <w:rPr>
                <w:spacing w:val="-12"/>
                <w:sz w:val="18"/>
              </w:rPr>
              <w:t> </w:t>
            </w:r>
            <w:r>
              <w:rPr>
                <w:sz w:val="18"/>
              </w:rPr>
              <w:t>nuevo edificio para la ULDS Los Chiles.</w:t>
            </w:r>
          </w:p>
        </w:tc>
        <w:tc>
          <w:tcPr>
            <w:tcW w:w="1277" w:type="dxa"/>
          </w:tcPr>
          <w:p>
            <w:pPr>
              <w:pStyle w:val="TableParagraph"/>
              <w:spacing w:before="13"/>
              <w:ind w:left="69" w:right="80"/>
              <w:rPr>
                <w:sz w:val="18"/>
              </w:rPr>
            </w:pPr>
            <w:r>
              <w:rPr>
                <w:sz w:val="18"/>
              </w:rPr>
              <w:t>Porcentaje</w:t>
            </w:r>
            <w:r>
              <w:rPr>
                <w:spacing w:val="-13"/>
                <w:sz w:val="18"/>
              </w:rPr>
              <w:t> </w:t>
            </w:r>
            <w:r>
              <w:rPr>
                <w:sz w:val="18"/>
              </w:rPr>
              <w:t>de </w:t>
            </w:r>
            <w:r>
              <w:rPr>
                <w:spacing w:val="-2"/>
                <w:sz w:val="18"/>
              </w:rPr>
              <w:t>presupuesto programado </w:t>
            </w:r>
            <w:r>
              <w:rPr>
                <w:sz w:val="18"/>
              </w:rPr>
              <w:t>que se invierte en la </w:t>
            </w:r>
            <w:r>
              <w:rPr>
                <w:spacing w:val="-2"/>
                <w:sz w:val="18"/>
              </w:rPr>
              <w:t>construcción </w:t>
            </w:r>
            <w:r>
              <w:rPr>
                <w:sz w:val="18"/>
              </w:rPr>
              <w:t>del</w:t>
            </w:r>
            <w:r>
              <w:rPr>
                <w:spacing w:val="-15"/>
                <w:sz w:val="18"/>
              </w:rPr>
              <w:t> </w:t>
            </w:r>
            <w:r>
              <w:rPr>
                <w:sz w:val="18"/>
              </w:rPr>
              <w:t>edificio</w:t>
            </w:r>
            <w:r>
              <w:rPr>
                <w:spacing w:val="-12"/>
                <w:sz w:val="18"/>
              </w:rPr>
              <w:t> </w:t>
            </w:r>
            <w:r>
              <w:rPr>
                <w:sz w:val="18"/>
              </w:rPr>
              <w:t>de la ULDS Los</w:t>
            </w:r>
          </w:p>
          <w:p>
            <w:pPr>
              <w:pStyle w:val="TableParagraph"/>
              <w:spacing w:line="201" w:lineRule="exact" w:before="1"/>
              <w:ind w:left="69"/>
              <w:rPr>
                <w:sz w:val="18"/>
              </w:rPr>
            </w:pPr>
            <w:r>
              <w:rPr>
                <w:spacing w:val="-2"/>
                <w:sz w:val="18"/>
              </w:rPr>
              <w:t>Chiles.</w:t>
            </w:r>
          </w:p>
        </w:tc>
        <w:tc>
          <w:tcPr>
            <w:tcW w:w="1278" w:type="dxa"/>
          </w:tcPr>
          <w:p>
            <w:pPr>
              <w:pStyle w:val="TableParagraph"/>
              <w:rPr>
                <w:rFonts w:ascii="Times New Roman"/>
                <w:sz w:val="18"/>
              </w:rPr>
            </w:pPr>
          </w:p>
        </w:tc>
        <w:tc>
          <w:tcPr>
            <w:tcW w:w="1561" w:type="dxa"/>
          </w:tcPr>
          <w:p>
            <w:pPr>
              <w:pStyle w:val="TableParagraph"/>
              <w:rPr>
                <w:rFonts w:ascii="Times New Roman"/>
                <w:sz w:val="18"/>
              </w:rPr>
            </w:pPr>
          </w:p>
        </w:tc>
        <w:tc>
          <w:tcPr>
            <w:tcW w:w="1275" w:type="dxa"/>
          </w:tcPr>
          <w:p>
            <w:pPr>
              <w:pStyle w:val="TableParagraph"/>
              <w:rPr>
                <w:rFonts w:ascii="Times New Roman"/>
                <w:sz w:val="18"/>
              </w:rPr>
            </w:pPr>
          </w:p>
        </w:tc>
        <w:tc>
          <w:tcPr>
            <w:tcW w:w="1561" w:type="dxa"/>
          </w:tcPr>
          <w:p>
            <w:pPr>
              <w:pStyle w:val="TableParagraph"/>
              <w:rPr>
                <w:rFonts w:ascii="Times New Roman"/>
                <w:sz w:val="18"/>
              </w:rPr>
            </w:pPr>
          </w:p>
        </w:tc>
        <w:tc>
          <w:tcPr>
            <w:tcW w:w="1277" w:type="dxa"/>
          </w:tcPr>
          <w:p>
            <w:pPr>
              <w:pStyle w:val="TableParagraph"/>
              <w:rPr>
                <w:rFonts w:ascii="Times New Roman"/>
                <w:sz w:val="18"/>
              </w:rPr>
            </w:pPr>
          </w:p>
        </w:tc>
        <w:tc>
          <w:tcPr>
            <w:tcW w:w="1558"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3"/>
              <w:rPr>
                <w:b/>
                <w:sz w:val="18"/>
              </w:rPr>
            </w:pPr>
          </w:p>
          <w:p>
            <w:pPr>
              <w:pStyle w:val="TableParagraph"/>
              <w:ind w:left="9" w:right="4"/>
              <w:jc w:val="center"/>
              <w:rPr>
                <w:sz w:val="18"/>
              </w:rPr>
            </w:pPr>
            <w:r>
              <w:rPr>
                <w:spacing w:val="-4"/>
                <w:sz w:val="18"/>
              </w:rPr>
              <w:t>100%</w:t>
            </w:r>
          </w:p>
        </w:tc>
        <w:tc>
          <w:tcPr>
            <w:tcW w:w="1702" w:type="dxa"/>
          </w:tcPr>
          <w:p>
            <w:pPr>
              <w:pStyle w:val="TableParagraph"/>
              <w:rPr>
                <w:b/>
                <w:sz w:val="18"/>
              </w:rPr>
            </w:pPr>
          </w:p>
          <w:p>
            <w:pPr>
              <w:pStyle w:val="TableParagraph"/>
              <w:rPr>
                <w:b/>
                <w:sz w:val="18"/>
              </w:rPr>
            </w:pPr>
          </w:p>
          <w:p>
            <w:pPr>
              <w:pStyle w:val="TableParagraph"/>
              <w:rPr>
                <w:b/>
                <w:sz w:val="18"/>
              </w:rPr>
            </w:pPr>
          </w:p>
          <w:p>
            <w:pPr>
              <w:pStyle w:val="TableParagraph"/>
              <w:spacing w:before="13"/>
              <w:rPr>
                <w:b/>
                <w:sz w:val="18"/>
              </w:rPr>
            </w:pPr>
          </w:p>
          <w:p>
            <w:pPr>
              <w:pStyle w:val="TableParagraph"/>
              <w:ind w:right="63"/>
              <w:jc w:val="right"/>
              <w:rPr>
                <w:sz w:val="18"/>
              </w:rPr>
            </w:pPr>
            <w:r>
              <w:rPr>
                <w:sz w:val="18"/>
              </w:rPr>
              <w:t>₡570</w:t>
            </w:r>
            <w:r>
              <w:rPr>
                <w:spacing w:val="-2"/>
                <w:sz w:val="18"/>
              </w:rPr>
              <w:t> </w:t>
            </w:r>
            <w:r>
              <w:rPr>
                <w:sz w:val="18"/>
              </w:rPr>
              <w:t>000</w:t>
            </w:r>
            <w:r>
              <w:rPr>
                <w:spacing w:val="-2"/>
                <w:sz w:val="18"/>
              </w:rPr>
              <w:t> </w:t>
            </w:r>
            <w:r>
              <w:rPr>
                <w:spacing w:val="-5"/>
                <w:sz w:val="18"/>
              </w:rPr>
              <w:t>000</w:t>
            </w:r>
          </w:p>
        </w:tc>
      </w:tr>
      <w:tr>
        <w:trPr>
          <w:trHeight w:val="1905" w:hRule="atLeast"/>
        </w:trPr>
        <w:tc>
          <w:tcPr>
            <w:tcW w:w="1983" w:type="dxa"/>
          </w:tcPr>
          <w:p>
            <w:pPr>
              <w:pStyle w:val="TableParagraph"/>
              <w:rPr>
                <w:b/>
                <w:sz w:val="18"/>
              </w:rPr>
            </w:pPr>
          </w:p>
          <w:p>
            <w:pPr>
              <w:pStyle w:val="TableParagraph"/>
              <w:spacing w:before="19"/>
              <w:rPr>
                <w:b/>
                <w:sz w:val="18"/>
              </w:rPr>
            </w:pPr>
          </w:p>
          <w:p>
            <w:pPr>
              <w:pStyle w:val="TableParagraph"/>
              <w:ind w:left="69" w:right="556"/>
              <w:rPr>
                <w:b/>
                <w:sz w:val="18"/>
              </w:rPr>
            </w:pPr>
            <w:r>
              <w:rPr>
                <w:b/>
                <w:sz w:val="18"/>
              </w:rPr>
              <w:t>Actividad</w:t>
            </w:r>
            <w:r>
              <w:rPr>
                <w:b/>
                <w:spacing w:val="-13"/>
                <w:sz w:val="18"/>
              </w:rPr>
              <w:t> </w:t>
            </w:r>
            <w:r>
              <w:rPr>
                <w:b/>
                <w:sz w:val="18"/>
              </w:rPr>
              <w:t>PPPS </w:t>
            </w:r>
            <w:r>
              <w:rPr>
                <w:b/>
                <w:spacing w:val="-2"/>
                <w:sz w:val="18"/>
              </w:rPr>
              <w:t>1.3.5:</w:t>
            </w:r>
          </w:p>
          <w:p>
            <w:pPr>
              <w:pStyle w:val="TableParagraph"/>
              <w:spacing w:before="1"/>
              <w:ind w:left="69" w:right="60"/>
              <w:rPr>
                <w:sz w:val="18"/>
              </w:rPr>
            </w:pPr>
            <w:r>
              <w:rPr>
                <w:sz w:val="18"/>
              </w:rPr>
              <w:t>Construcción</w:t>
            </w:r>
            <w:r>
              <w:rPr>
                <w:spacing w:val="-15"/>
                <w:sz w:val="18"/>
              </w:rPr>
              <w:t> </w:t>
            </w:r>
            <w:r>
              <w:rPr>
                <w:sz w:val="18"/>
              </w:rPr>
              <w:t>de</w:t>
            </w:r>
            <w:r>
              <w:rPr>
                <w:spacing w:val="-12"/>
                <w:sz w:val="18"/>
              </w:rPr>
              <w:t> </w:t>
            </w:r>
            <w:r>
              <w:rPr>
                <w:sz w:val="18"/>
              </w:rPr>
              <w:t>nuevo edificio para ARDS Huetar Caribe</w:t>
            </w:r>
          </w:p>
        </w:tc>
        <w:tc>
          <w:tcPr>
            <w:tcW w:w="1277" w:type="dxa"/>
          </w:tcPr>
          <w:p>
            <w:pPr>
              <w:pStyle w:val="TableParagraph"/>
              <w:spacing w:before="20"/>
              <w:ind w:left="69" w:right="74"/>
              <w:rPr>
                <w:sz w:val="18"/>
              </w:rPr>
            </w:pPr>
            <w:r>
              <w:rPr>
                <w:sz w:val="18"/>
              </w:rPr>
              <w:t>Porcentaje</w:t>
            </w:r>
            <w:r>
              <w:rPr>
                <w:spacing w:val="-13"/>
                <w:sz w:val="18"/>
              </w:rPr>
              <w:t> </w:t>
            </w:r>
            <w:r>
              <w:rPr>
                <w:sz w:val="18"/>
              </w:rPr>
              <w:t>de </w:t>
            </w:r>
            <w:r>
              <w:rPr>
                <w:spacing w:val="-2"/>
                <w:sz w:val="18"/>
              </w:rPr>
              <w:t>presupuesto programado </w:t>
            </w:r>
            <w:r>
              <w:rPr>
                <w:sz w:val="18"/>
              </w:rPr>
              <w:t>que se invierte en la </w:t>
            </w:r>
            <w:r>
              <w:rPr>
                <w:spacing w:val="-2"/>
                <w:sz w:val="18"/>
              </w:rPr>
              <w:t>construcción </w:t>
            </w:r>
            <w:r>
              <w:rPr>
                <w:sz w:val="18"/>
              </w:rPr>
              <w:t>del edificio</w:t>
            </w:r>
            <w:r>
              <w:rPr>
                <w:spacing w:val="40"/>
                <w:sz w:val="18"/>
              </w:rPr>
              <w:t> </w:t>
            </w:r>
            <w:r>
              <w:rPr>
                <w:sz w:val="18"/>
              </w:rPr>
              <w:t>del ARDS Huetar</w:t>
            </w:r>
            <w:r>
              <w:rPr>
                <w:spacing w:val="-13"/>
                <w:sz w:val="18"/>
              </w:rPr>
              <w:t> </w:t>
            </w:r>
            <w:r>
              <w:rPr>
                <w:sz w:val="18"/>
              </w:rPr>
              <w:t>Caribe</w:t>
            </w:r>
          </w:p>
        </w:tc>
        <w:tc>
          <w:tcPr>
            <w:tcW w:w="1278" w:type="dxa"/>
          </w:tcPr>
          <w:p>
            <w:pPr>
              <w:pStyle w:val="TableParagraph"/>
              <w:rPr>
                <w:rFonts w:ascii="Times New Roman"/>
                <w:sz w:val="18"/>
              </w:rPr>
            </w:pPr>
          </w:p>
        </w:tc>
        <w:tc>
          <w:tcPr>
            <w:tcW w:w="1561" w:type="dxa"/>
          </w:tcPr>
          <w:p>
            <w:pPr>
              <w:pStyle w:val="TableParagraph"/>
              <w:rPr>
                <w:rFonts w:ascii="Times New Roman"/>
                <w:sz w:val="18"/>
              </w:rPr>
            </w:pPr>
          </w:p>
        </w:tc>
        <w:tc>
          <w:tcPr>
            <w:tcW w:w="1275" w:type="dxa"/>
          </w:tcPr>
          <w:p>
            <w:pPr>
              <w:pStyle w:val="TableParagraph"/>
              <w:rPr>
                <w:rFonts w:ascii="Times New Roman"/>
                <w:sz w:val="18"/>
              </w:rPr>
            </w:pPr>
          </w:p>
        </w:tc>
        <w:tc>
          <w:tcPr>
            <w:tcW w:w="1561" w:type="dxa"/>
          </w:tcPr>
          <w:p>
            <w:pPr>
              <w:pStyle w:val="TableParagraph"/>
              <w:rPr>
                <w:rFonts w:ascii="Times New Roman"/>
                <w:sz w:val="18"/>
              </w:rPr>
            </w:pPr>
          </w:p>
        </w:tc>
        <w:tc>
          <w:tcPr>
            <w:tcW w:w="1277" w:type="dxa"/>
          </w:tcPr>
          <w:p>
            <w:pPr>
              <w:pStyle w:val="TableParagraph"/>
              <w:rPr>
                <w:rFonts w:ascii="Times New Roman"/>
                <w:sz w:val="18"/>
              </w:rPr>
            </w:pPr>
          </w:p>
        </w:tc>
        <w:tc>
          <w:tcPr>
            <w:tcW w:w="1558"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20"/>
              <w:rPr>
                <w:b/>
                <w:sz w:val="18"/>
              </w:rPr>
            </w:pPr>
          </w:p>
          <w:p>
            <w:pPr>
              <w:pStyle w:val="TableParagraph"/>
              <w:ind w:left="9" w:right="4"/>
              <w:jc w:val="center"/>
              <w:rPr>
                <w:sz w:val="18"/>
              </w:rPr>
            </w:pPr>
            <w:r>
              <w:rPr>
                <w:spacing w:val="-4"/>
                <w:sz w:val="18"/>
              </w:rPr>
              <w:t>100%</w:t>
            </w:r>
          </w:p>
        </w:tc>
        <w:tc>
          <w:tcPr>
            <w:tcW w:w="1702" w:type="dxa"/>
          </w:tcPr>
          <w:p>
            <w:pPr>
              <w:pStyle w:val="TableParagraph"/>
              <w:rPr>
                <w:b/>
                <w:sz w:val="18"/>
              </w:rPr>
            </w:pPr>
          </w:p>
          <w:p>
            <w:pPr>
              <w:pStyle w:val="TableParagraph"/>
              <w:rPr>
                <w:b/>
                <w:sz w:val="18"/>
              </w:rPr>
            </w:pPr>
          </w:p>
          <w:p>
            <w:pPr>
              <w:pStyle w:val="TableParagraph"/>
              <w:rPr>
                <w:b/>
                <w:sz w:val="18"/>
              </w:rPr>
            </w:pPr>
          </w:p>
          <w:p>
            <w:pPr>
              <w:pStyle w:val="TableParagraph"/>
              <w:spacing w:before="20"/>
              <w:rPr>
                <w:b/>
                <w:sz w:val="18"/>
              </w:rPr>
            </w:pPr>
          </w:p>
          <w:p>
            <w:pPr>
              <w:pStyle w:val="TableParagraph"/>
              <w:ind w:right="63"/>
              <w:jc w:val="right"/>
              <w:rPr>
                <w:sz w:val="18"/>
              </w:rPr>
            </w:pPr>
            <w:r>
              <w:rPr>
                <w:sz w:val="18"/>
              </w:rPr>
              <w:t>₡404</w:t>
            </w:r>
            <w:r>
              <w:rPr>
                <w:spacing w:val="-2"/>
                <w:sz w:val="18"/>
              </w:rPr>
              <w:t> </w:t>
            </w:r>
            <w:r>
              <w:rPr>
                <w:sz w:val="18"/>
              </w:rPr>
              <w:t>000</w:t>
            </w:r>
            <w:r>
              <w:rPr>
                <w:spacing w:val="-2"/>
                <w:sz w:val="18"/>
              </w:rPr>
              <w:t> </w:t>
            </w:r>
            <w:r>
              <w:rPr>
                <w:spacing w:val="-5"/>
                <w:sz w:val="18"/>
              </w:rPr>
              <w:t>000</w:t>
            </w:r>
          </w:p>
        </w:tc>
      </w:tr>
      <w:tr>
        <w:trPr>
          <w:trHeight w:val="2236" w:hRule="atLeast"/>
        </w:trPr>
        <w:tc>
          <w:tcPr>
            <w:tcW w:w="1983" w:type="dxa"/>
          </w:tcPr>
          <w:p>
            <w:pPr>
              <w:pStyle w:val="TableParagraph"/>
              <w:rPr>
                <w:b/>
                <w:sz w:val="18"/>
              </w:rPr>
            </w:pPr>
          </w:p>
          <w:p>
            <w:pPr>
              <w:pStyle w:val="TableParagraph"/>
              <w:rPr>
                <w:b/>
                <w:sz w:val="18"/>
              </w:rPr>
            </w:pPr>
          </w:p>
          <w:p>
            <w:pPr>
              <w:pStyle w:val="TableParagraph"/>
              <w:spacing w:before="81"/>
              <w:rPr>
                <w:b/>
                <w:sz w:val="18"/>
              </w:rPr>
            </w:pPr>
          </w:p>
          <w:p>
            <w:pPr>
              <w:pStyle w:val="TableParagraph"/>
              <w:ind w:left="69" w:right="57"/>
              <w:jc w:val="both"/>
              <w:rPr>
                <w:sz w:val="18"/>
              </w:rPr>
            </w:pPr>
            <w:r>
              <w:rPr>
                <w:b/>
                <w:sz w:val="18"/>
              </w:rPr>
              <w:t>Actividad</w:t>
            </w:r>
            <w:r>
              <w:rPr>
                <w:b/>
                <w:spacing w:val="-15"/>
                <w:sz w:val="18"/>
              </w:rPr>
              <w:t> </w:t>
            </w:r>
            <w:r>
              <w:rPr>
                <w:b/>
                <w:sz w:val="18"/>
              </w:rPr>
              <w:t>PPPS</w:t>
            </w:r>
            <w:r>
              <w:rPr>
                <w:b/>
                <w:spacing w:val="-12"/>
                <w:sz w:val="18"/>
              </w:rPr>
              <w:t> </w:t>
            </w:r>
            <w:r>
              <w:rPr>
                <w:b/>
                <w:sz w:val="18"/>
              </w:rPr>
              <w:t>1.3.6: </w:t>
            </w:r>
            <w:r>
              <w:rPr>
                <w:sz w:val="18"/>
              </w:rPr>
              <w:t>Construcción</w:t>
            </w:r>
            <w:r>
              <w:rPr>
                <w:spacing w:val="-15"/>
                <w:sz w:val="18"/>
              </w:rPr>
              <w:t> </w:t>
            </w:r>
            <w:r>
              <w:rPr>
                <w:sz w:val="18"/>
              </w:rPr>
              <w:t>de</w:t>
            </w:r>
            <w:r>
              <w:rPr>
                <w:spacing w:val="-12"/>
                <w:sz w:val="18"/>
              </w:rPr>
              <w:t> </w:t>
            </w:r>
            <w:r>
              <w:rPr>
                <w:sz w:val="18"/>
              </w:rPr>
              <w:t>nuevo edificio para ARDS Central Occidente</w:t>
            </w:r>
          </w:p>
        </w:tc>
        <w:tc>
          <w:tcPr>
            <w:tcW w:w="1277" w:type="dxa"/>
          </w:tcPr>
          <w:p>
            <w:pPr>
              <w:pStyle w:val="TableParagraph"/>
              <w:spacing w:before="81"/>
              <w:ind w:left="69" w:right="83"/>
              <w:rPr>
                <w:sz w:val="18"/>
              </w:rPr>
            </w:pPr>
            <w:r>
              <w:rPr>
                <w:sz w:val="18"/>
              </w:rPr>
              <w:t>Porcentaje</w:t>
            </w:r>
            <w:r>
              <w:rPr>
                <w:spacing w:val="-13"/>
                <w:sz w:val="18"/>
              </w:rPr>
              <w:t> </w:t>
            </w:r>
            <w:r>
              <w:rPr>
                <w:sz w:val="18"/>
              </w:rPr>
              <w:t>de </w:t>
            </w:r>
            <w:r>
              <w:rPr>
                <w:spacing w:val="-2"/>
                <w:sz w:val="18"/>
              </w:rPr>
              <w:t>presupuesto programado </w:t>
            </w:r>
            <w:r>
              <w:rPr>
                <w:sz w:val="18"/>
              </w:rPr>
              <w:t>que se invierte en la </w:t>
            </w:r>
            <w:r>
              <w:rPr>
                <w:spacing w:val="-2"/>
                <w:sz w:val="18"/>
              </w:rPr>
              <w:t>construcción </w:t>
            </w:r>
            <w:r>
              <w:rPr>
                <w:sz w:val="18"/>
              </w:rPr>
              <w:t>del edificio</w:t>
            </w:r>
            <w:r>
              <w:rPr>
                <w:spacing w:val="40"/>
                <w:sz w:val="18"/>
              </w:rPr>
              <w:t> </w:t>
            </w:r>
            <w:r>
              <w:rPr>
                <w:sz w:val="18"/>
              </w:rPr>
              <w:t>del ARDS </w:t>
            </w:r>
            <w:r>
              <w:rPr>
                <w:spacing w:val="-2"/>
                <w:sz w:val="18"/>
              </w:rPr>
              <w:t>Central Occidente</w:t>
            </w:r>
          </w:p>
        </w:tc>
        <w:tc>
          <w:tcPr>
            <w:tcW w:w="1278" w:type="dxa"/>
          </w:tcPr>
          <w:p>
            <w:pPr>
              <w:pStyle w:val="TableParagraph"/>
              <w:rPr>
                <w:rFonts w:ascii="Times New Roman"/>
                <w:sz w:val="18"/>
              </w:rPr>
            </w:pPr>
          </w:p>
        </w:tc>
        <w:tc>
          <w:tcPr>
            <w:tcW w:w="1561" w:type="dxa"/>
          </w:tcPr>
          <w:p>
            <w:pPr>
              <w:pStyle w:val="TableParagraph"/>
              <w:rPr>
                <w:rFonts w:ascii="Times New Roman"/>
                <w:sz w:val="18"/>
              </w:rPr>
            </w:pPr>
          </w:p>
        </w:tc>
        <w:tc>
          <w:tcPr>
            <w:tcW w:w="1275" w:type="dxa"/>
          </w:tcPr>
          <w:p>
            <w:pPr>
              <w:pStyle w:val="TableParagraph"/>
              <w:rPr>
                <w:rFonts w:ascii="Times New Roman"/>
                <w:sz w:val="18"/>
              </w:rPr>
            </w:pPr>
          </w:p>
        </w:tc>
        <w:tc>
          <w:tcPr>
            <w:tcW w:w="1561" w:type="dxa"/>
          </w:tcPr>
          <w:p>
            <w:pPr>
              <w:pStyle w:val="TableParagraph"/>
              <w:rPr>
                <w:rFonts w:ascii="Times New Roman"/>
                <w:sz w:val="18"/>
              </w:rPr>
            </w:pPr>
          </w:p>
        </w:tc>
        <w:tc>
          <w:tcPr>
            <w:tcW w:w="1277" w:type="dxa"/>
          </w:tcPr>
          <w:p>
            <w:pPr>
              <w:pStyle w:val="TableParagraph"/>
              <w:rPr>
                <w:rFonts w:ascii="Times New Roman"/>
                <w:sz w:val="18"/>
              </w:rPr>
            </w:pPr>
          </w:p>
        </w:tc>
        <w:tc>
          <w:tcPr>
            <w:tcW w:w="1558"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86"/>
              <w:rPr>
                <w:b/>
                <w:sz w:val="18"/>
              </w:rPr>
            </w:pPr>
          </w:p>
          <w:p>
            <w:pPr>
              <w:pStyle w:val="TableParagraph"/>
              <w:ind w:left="9" w:right="4"/>
              <w:jc w:val="center"/>
              <w:rPr>
                <w:sz w:val="18"/>
              </w:rPr>
            </w:pPr>
            <w:r>
              <w:rPr>
                <w:spacing w:val="-4"/>
                <w:sz w:val="18"/>
              </w:rPr>
              <w:t>100%</w:t>
            </w:r>
          </w:p>
        </w:tc>
        <w:tc>
          <w:tcPr>
            <w:tcW w:w="1702" w:type="dxa"/>
          </w:tcPr>
          <w:p>
            <w:pPr>
              <w:pStyle w:val="TableParagraph"/>
              <w:rPr>
                <w:b/>
                <w:sz w:val="18"/>
              </w:rPr>
            </w:pPr>
          </w:p>
          <w:p>
            <w:pPr>
              <w:pStyle w:val="TableParagraph"/>
              <w:rPr>
                <w:b/>
                <w:sz w:val="18"/>
              </w:rPr>
            </w:pPr>
          </w:p>
          <w:p>
            <w:pPr>
              <w:pStyle w:val="TableParagraph"/>
              <w:rPr>
                <w:b/>
                <w:sz w:val="18"/>
              </w:rPr>
            </w:pPr>
          </w:p>
          <w:p>
            <w:pPr>
              <w:pStyle w:val="TableParagraph"/>
              <w:spacing w:before="186"/>
              <w:rPr>
                <w:b/>
                <w:sz w:val="18"/>
              </w:rPr>
            </w:pPr>
          </w:p>
          <w:p>
            <w:pPr>
              <w:pStyle w:val="TableParagraph"/>
              <w:ind w:right="63"/>
              <w:jc w:val="right"/>
              <w:rPr>
                <w:sz w:val="18"/>
              </w:rPr>
            </w:pPr>
            <w:r>
              <w:rPr>
                <w:sz w:val="18"/>
              </w:rPr>
              <w:t>₡1</w:t>
            </w:r>
            <w:r>
              <w:rPr>
                <w:spacing w:val="-1"/>
                <w:sz w:val="18"/>
              </w:rPr>
              <w:t> </w:t>
            </w:r>
            <w:r>
              <w:rPr>
                <w:sz w:val="18"/>
              </w:rPr>
              <w:t>050</w:t>
            </w:r>
            <w:r>
              <w:rPr>
                <w:spacing w:val="-2"/>
                <w:sz w:val="18"/>
              </w:rPr>
              <w:t> </w:t>
            </w:r>
            <w:r>
              <w:rPr>
                <w:sz w:val="18"/>
              </w:rPr>
              <w:t>000</w:t>
            </w:r>
            <w:r>
              <w:rPr>
                <w:spacing w:val="-2"/>
                <w:sz w:val="18"/>
              </w:rPr>
              <w:t> </w:t>
            </w:r>
            <w:r>
              <w:rPr>
                <w:spacing w:val="-5"/>
                <w:sz w:val="18"/>
              </w:rPr>
              <w:t>000</w:t>
            </w:r>
          </w:p>
        </w:tc>
      </w:tr>
    </w:tbl>
    <w:p>
      <w:pPr>
        <w:pStyle w:val="TableParagraph"/>
        <w:spacing w:after="0"/>
        <w:jc w:val="right"/>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3"/>
        <w:gridCol w:w="1277"/>
        <w:gridCol w:w="1278"/>
        <w:gridCol w:w="1561"/>
        <w:gridCol w:w="1275"/>
        <w:gridCol w:w="1561"/>
        <w:gridCol w:w="1277"/>
        <w:gridCol w:w="1558"/>
        <w:gridCol w:w="1277"/>
        <w:gridCol w:w="1702"/>
      </w:tblGrid>
      <w:tr>
        <w:trPr>
          <w:trHeight w:val="510" w:hRule="atLeast"/>
        </w:trPr>
        <w:tc>
          <w:tcPr>
            <w:tcW w:w="1983" w:type="dxa"/>
            <w:vMerge w:val="restart"/>
            <w:shd w:val="clear" w:color="auto" w:fill="F1F1F1"/>
          </w:tcPr>
          <w:p>
            <w:pPr>
              <w:pStyle w:val="TableParagraph"/>
              <w:spacing w:before="70"/>
              <w:rPr>
                <w:b/>
                <w:sz w:val="18"/>
              </w:rPr>
            </w:pPr>
          </w:p>
          <w:p>
            <w:pPr>
              <w:pStyle w:val="TableParagraph"/>
              <w:ind w:left="506" w:right="403" w:firstLine="24"/>
              <w:rPr>
                <w:b/>
                <w:sz w:val="18"/>
              </w:rPr>
            </w:pPr>
            <w:r>
              <w:rPr>
                <w:b/>
                <w:sz w:val="18"/>
              </w:rPr>
              <w:t>Objetivos</w:t>
            </w:r>
            <w:r>
              <w:rPr>
                <w:b/>
                <w:spacing w:val="-12"/>
                <w:sz w:val="18"/>
              </w:rPr>
              <w:t> </w:t>
            </w:r>
            <w:r>
              <w:rPr>
                <w:b/>
                <w:sz w:val="18"/>
              </w:rPr>
              <w:t>/ </w:t>
            </w:r>
            <w:r>
              <w:rPr>
                <w:b/>
                <w:spacing w:val="-2"/>
                <w:sz w:val="18"/>
              </w:rPr>
              <w:t>Resultados</w:t>
            </w:r>
          </w:p>
        </w:tc>
        <w:tc>
          <w:tcPr>
            <w:tcW w:w="1277" w:type="dxa"/>
            <w:vMerge w:val="restart"/>
            <w:shd w:val="clear" w:color="auto" w:fill="F1F1F1"/>
          </w:tcPr>
          <w:p>
            <w:pPr>
              <w:pStyle w:val="TableParagraph"/>
              <w:spacing w:before="173"/>
              <w:rPr>
                <w:b/>
                <w:sz w:val="18"/>
              </w:rPr>
            </w:pPr>
          </w:p>
          <w:p>
            <w:pPr>
              <w:pStyle w:val="TableParagraph"/>
              <w:ind w:left="232"/>
              <w:rPr>
                <w:b/>
                <w:sz w:val="18"/>
              </w:rPr>
            </w:pPr>
            <w:r>
              <w:rPr>
                <w:b/>
                <w:spacing w:val="-2"/>
                <w:sz w:val="18"/>
              </w:rPr>
              <w:t>Indicador</w:t>
            </w:r>
          </w:p>
        </w:tc>
        <w:tc>
          <w:tcPr>
            <w:tcW w:w="2839" w:type="dxa"/>
            <w:gridSpan w:val="2"/>
            <w:shd w:val="clear" w:color="auto" w:fill="F1F1F1"/>
          </w:tcPr>
          <w:p>
            <w:pPr>
              <w:pStyle w:val="TableParagraph"/>
              <w:spacing w:before="150"/>
              <w:ind w:left="7"/>
              <w:jc w:val="center"/>
              <w:rPr>
                <w:b/>
                <w:sz w:val="18"/>
              </w:rPr>
            </w:pPr>
            <w:r>
              <w:rPr>
                <w:b/>
                <w:sz w:val="18"/>
              </w:rPr>
              <w:t>I </w:t>
            </w:r>
            <w:r>
              <w:rPr>
                <w:b/>
                <w:spacing w:val="-2"/>
                <w:sz w:val="18"/>
              </w:rPr>
              <w:t>Trimestre</w:t>
            </w:r>
          </w:p>
        </w:tc>
        <w:tc>
          <w:tcPr>
            <w:tcW w:w="2836" w:type="dxa"/>
            <w:gridSpan w:val="2"/>
            <w:shd w:val="clear" w:color="auto" w:fill="F1F1F1"/>
          </w:tcPr>
          <w:p>
            <w:pPr>
              <w:pStyle w:val="TableParagraph"/>
              <w:spacing w:before="150"/>
              <w:ind w:left="928"/>
              <w:rPr>
                <w:b/>
                <w:sz w:val="18"/>
              </w:rPr>
            </w:pPr>
            <w:r>
              <w:rPr>
                <w:b/>
                <w:sz w:val="18"/>
              </w:rPr>
              <w:t>II </w:t>
            </w:r>
            <w:r>
              <w:rPr>
                <w:b/>
                <w:spacing w:val="-2"/>
                <w:sz w:val="18"/>
              </w:rPr>
              <w:t>Trimestre</w:t>
            </w:r>
          </w:p>
        </w:tc>
        <w:tc>
          <w:tcPr>
            <w:tcW w:w="2835" w:type="dxa"/>
            <w:gridSpan w:val="2"/>
            <w:shd w:val="clear" w:color="auto" w:fill="F1F1F1"/>
          </w:tcPr>
          <w:p>
            <w:pPr>
              <w:pStyle w:val="TableParagraph"/>
              <w:spacing w:before="150"/>
              <w:ind w:left="901"/>
              <w:rPr>
                <w:b/>
                <w:sz w:val="18"/>
              </w:rPr>
            </w:pPr>
            <w:r>
              <w:rPr>
                <w:b/>
                <w:sz w:val="18"/>
              </w:rPr>
              <w:t>III </w:t>
            </w:r>
            <w:r>
              <w:rPr>
                <w:b/>
                <w:spacing w:val="-2"/>
                <w:sz w:val="18"/>
              </w:rPr>
              <w:t>Trimestre</w:t>
            </w:r>
          </w:p>
        </w:tc>
        <w:tc>
          <w:tcPr>
            <w:tcW w:w="2979" w:type="dxa"/>
            <w:gridSpan w:val="2"/>
            <w:shd w:val="clear" w:color="auto" w:fill="F1F1F1"/>
          </w:tcPr>
          <w:p>
            <w:pPr>
              <w:pStyle w:val="TableParagraph"/>
              <w:spacing w:before="150"/>
              <w:ind w:left="963"/>
              <w:rPr>
                <w:b/>
                <w:sz w:val="18"/>
              </w:rPr>
            </w:pPr>
            <w:r>
              <w:rPr>
                <w:b/>
                <w:sz w:val="18"/>
              </w:rPr>
              <w:t>IV </w:t>
            </w:r>
            <w:r>
              <w:rPr>
                <w:b/>
                <w:spacing w:val="-2"/>
                <w:sz w:val="18"/>
              </w:rPr>
              <w:t>Trimestre</w:t>
            </w:r>
          </w:p>
        </w:tc>
      </w:tr>
      <w:tr>
        <w:trPr>
          <w:trHeight w:val="448" w:hRule="atLeast"/>
        </w:trPr>
        <w:tc>
          <w:tcPr>
            <w:tcW w:w="1983" w:type="dxa"/>
            <w:vMerge/>
            <w:tcBorders>
              <w:top w:val="nil"/>
            </w:tcBorders>
            <w:shd w:val="clear" w:color="auto" w:fill="F1F1F1"/>
          </w:tcPr>
          <w:p>
            <w:pPr>
              <w:rPr>
                <w:sz w:val="2"/>
                <w:szCs w:val="2"/>
              </w:rPr>
            </w:pPr>
          </w:p>
        </w:tc>
        <w:tc>
          <w:tcPr>
            <w:tcW w:w="1277" w:type="dxa"/>
            <w:vMerge/>
            <w:tcBorders>
              <w:top w:val="nil"/>
            </w:tcBorders>
            <w:shd w:val="clear" w:color="auto" w:fill="F1F1F1"/>
          </w:tcPr>
          <w:p>
            <w:pPr>
              <w:rPr>
                <w:sz w:val="2"/>
                <w:szCs w:val="2"/>
              </w:rPr>
            </w:pPr>
          </w:p>
        </w:tc>
        <w:tc>
          <w:tcPr>
            <w:tcW w:w="1278" w:type="dxa"/>
            <w:shd w:val="clear" w:color="auto" w:fill="F1F1F1"/>
          </w:tcPr>
          <w:p>
            <w:pPr>
              <w:pStyle w:val="TableParagraph"/>
              <w:spacing w:line="210" w:lineRule="atLeast" w:before="8"/>
              <w:ind w:left="116"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0"/>
              <w:jc w:val="center"/>
              <w:rPr>
                <w:b/>
                <w:sz w:val="18"/>
              </w:rPr>
            </w:pPr>
            <w:r>
              <w:rPr>
                <w:b/>
                <w:spacing w:val="-10"/>
                <w:sz w:val="18"/>
              </w:rPr>
              <w:t>¢</w:t>
            </w:r>
          </w:p>
        </w:tc>
        <w:tc>
          <w:tcPr>
            <w:tcW w:w="1275" w:type="dxa"/>
            <w:shd w:val="clear" w:color="auto" w:fill="F1F1F1"/>
          </w:tcPr>
          <w:p>
            <w:pPr>
              <w:pStyle w:val="TableParagraph"/>
              <w:spacing w:line="210" w:lineRule="atLeast" w:before="8"/>
              <w:ind w:left="112"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2"/>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558" w:type="dxa"/>
            <w:shd w:val="clear" w:color="auto" w:fill="F1F1F1"/>
          </w:tcPr>
          <w:p>
            <w:pPr>
              <w:pStyle w:val="TableParagraph"/>
              <w:spacing w:before="119"/>
              <w:ind w:left="34" w:right="34"/>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702" w:type="dxa"/>
            <w:shd w:val="clear" w:color="auto" w:fill="F1F1F1"/>
          </w:tcPr>
          <w:p>
            <w:pPr>
              <w:pStyle w:val="TableParagraph"/>
              <w:spacing w:before="119"/>
              <w:jc w:val="center"/>
              <w:rPr>
                <w:b/>
                <w:sz w:val="18"/>
              </w:rPr>
            </w:pPr>
            <w:r>
              <w:rPr>
                <w:b/>
                <w:spacing w:val="-10"/>
                <w:sz w:val="18"/>
              </w:rPr>
              <w:t>¢</w:t>
            </w:r>
          </w:p>
        </w:tc>
      </w:tr>
      <w:tr>
        <w:trPr>
          <w:trHeight w:val="1864" w:hRule="atLeast"/>
        </w:trPr>
        <w:tc>
          <w:tcPr>
            <w:tcW w:w="1983" w:type="dxa"/>
          </w:tcPr>
          <w:p>
            <w:pPr>
              <w:pStyle w:val="TableParagraph"/>
              <w:rPr>
                <w:b/>
                <w:sz w:val="18"/>
              </w:rPr>
            </w:pPr>
          </w:p>
          <w:p>
            <w:pPr>
              <w:pStyle w:val="TableParagraph"/>
              <w:spacing w:before="103"/>
              <w:rPr>
                <w:b/>
                <w:sz w:val="18"/>
              </w:rPr>
            </w:pPr>
          </w:p>
          <w:p>
            <w:pPr>
              <w:pStyle w:val="TableParagraph"/>
              <w:ind w:left="69" w:right="57"/>
              <w:jc w:val="both"/>
              <w:rPr>
                <w:sz w:val="18"/>
              </w:rPr>
            </w:pPr>
            <w:r>
              <w:rPr>
                <w:b/>
                <w:sz w:val="18"/>
              </w:rPr>
              <w:t>Actividad</w:t>
            </w:r>
            <w:r>
              <w:rPr>
                <w:b/>
                <w:spacing w:val="-15"/>
                <w:sz w:val="18"/>
              </w:rPr>
              <w:t> </w:t>
            </w:r>
            <w:r>
              <w:rPr>
                <w:b/>
                <w:sz w:val="18"/>
              </w:rPr>
              <w:t>PPPS</w:t>
            </w:r>
            <w:r>
              <w:rPr>
                <w:b/>
                <w:spacing w:val="-12"/>
                <w:sz w:val="18"/>
              </w:rPr>
              <w:t> </w:t>
            </w:r>
            <w:r>
              <w:rPr>
                <w:b/>
                <w:sz w:val="18"/>
              </w:rPr>
              <w:t>1.3.7: </w:t>
            </w:r>
            <w:r>
              <w:rPr>
                <w:sz w:val="18"/>
              </w:rPr>
              <w:t>Construcción</w:t>
            </w:r>
            <w:r>
              <w:rPr>
                <w:spacing w:val="-15"/>
                <w:sz w:val="18"/>
              </w:rPr>
              <w:t> </w:t>
            </w:r>
            <w:r>
              <w:rPr>
                <w:sz w:val="18"/>
              </w:rPr>
              <w:t>de</w:t>
            </w:r>
            <w:r>
              <w:rPr>
                <w:spacing w:val="-12"/>
                <w:sz w:val="18"/>
              </w:rPr>
              <w:t> </w:t>
            </w:r>
            <w:r>
              <w:rPr>
                <w:sz w:val="18"/>
              </w:rPr>
              <w:t>nuevo edificio para la ARDS </w:t>
            </w:r>
            <w:r>
              <w:rPr>
                <w:spacing w:val="-2"/>
                <w:sz w:val="18"/>
              </w:rPr>
              <w:t>Brunca</w:t>
            </w:r>
          </w:p>
        </w:tc>
        <w:tc>
          <w:tcPr>
            <w:tcW w:w="1277" w:type="dxa"/>
          </w:tcPr>
          <w:p>
            <w:pPr>
              <w:pStyle w:val="TableParagraph"/>
              <w:spacing w:before="1"/>
              <w:ind w:left="69" w:right="80"/>
              <w:rPr>
                <w:sz w:val="18"/>
              </w:rPr>
            </w:pPr>
            <w:r>
              <w:rPr>
                <w:sz w:val="18"/>
              </w:rPr>
              <w:t>Porcentaje</w:t>
            </w:r>
            <w:r>
              <w:rPr>
                <w:spacing w:val="-13"/>
                <w:sz w:val="18"/>
              </w:rPr>
              <w:t> </w:t>
            </w:r>
            <w:r>
              <w:rPr>
                <w:sz w:val="18"/>
              </w:rPr>
              <w:t>de </w:t>
            </w:r>
            <w:r>
              <w:rPr>
                <w:spacing w:val="-2"/>
                <w:sz w:val="18"/>
              </w:rPr>
              <w:t>presupuesto programado </w:t>
            </w:r>
            <w:r>
              <w:rPr>
                <w:sz w:val="18"/>
              </w:rPr>
              <w:t>que se invierte en la </w:t>
            </w:r>
            <w:r>
              <w:rPr>
                <w:spacing w:val="-2"/>
                <w:sz w:val="18"/>
              </w:rPr>
              <w:t>construcción </w:t>
            </w:r>
            <w:r>
              <w:rPr>
                <w:sz w:val="18"/>
              </w:rPr>
              <w:t>del</w:t>
            </w:r>
            <w:r>
              <w:rPr>
                <w:spacing w:val="-15"/>
                <w:sz w:val="18"/>
              </w:rPr>
              <w:t> </w:t>
            </w:r>
            <w:r>
              <w:rPr>
                <w:sz w:val="18"/>
              </w:rPr>
              <w:t>edificio</w:t>
            </w:r>
            <w:r>
              <w:rPr>
                <w:spacing w:val="-12"/>
                <w:sz w:val="18"/>
              </w:rPr>
              <w:t> </w:t>
            </w:r>
            <w:r>
              <w:rPr>
                <w:sz w:val="18"/>
              </w:rPr>
              <w:t>de la ARDS</w:t>
            </w:r>
          </w:p>
          <w:p>
            <w:pPr>
              <w:pStyle w:val="TableParagraph"/>
              <w:spacing w:line="188" w:lineRule="exact"/>
              <w:ind w:left="69"/>
              <w:rPr>
                <w:sz w:val="18"/>
              </w:rPr>
            </w:pPr>
            <w:r>
              <w:rPr>
                <w:spacing w:val="-2"/>
                <w:sz w:val="18"/>
              </w:rPr>
              <w:t>Brunca.</w:t>
            </w:r>
          </w:p>
        </w:tc>
        <w:tc>
          <w:tcPr>
            <w:tcW w:w="1278" w:type="dxa"/>
          </w:tcPr>
          <w:p>
            <w:pPr>
              <w:pStyle w:val="TableParagraph"/>
              <w:rPr>
                <w:rFonts w:ascii="Times New Roman"/>
                <w:sz w:val="18"/>
              </w:rPr>
            </w:pPr>
          </w:p>
        </w:tc>
        <w:tc>
          <w:tcPr>
            <w:tcW w:w="1561" w:type="dxa"/>
          </w:tcPr>
          <w:p>
            <w:pPr>
              <w:pStyle w:val="TableParagraph"/>
              <w:rPr>
                <w:rFonts w:ascii="Times New Roman"/>
                <w:sz w:val="18"/>
              </w:rPr>
            </w:pPr>
          </w:p>
        </w:tc>
        <w:tc>
          <w:tcPr>
            <w:tcW w:w="1275" w:type="dxa"/>
          </w:tcPr>
          <w:p>
            <w:pPr>
              <w:pStyle w:val="TableParagraph"/>
              <w:rPr>
                <w:rFonts w:ascii="Times New Roman"/>
                <w:sz w:val="18"/>
              </w:rPr>
            </w:pPr>
          </w:p>
        </w:tc>
        <w:tc>
          <w:tcPr>
            <w:tcW w:w="1561" w:type="dxa"/>
          </w:tcPr>
          <w:p>
            <w:pPr>
              <w:pStyle w:val="TableParagraph"/>
              <w:rPr>
                <w:rFonts w:ascii="Times New Roman"/>
                <w:sz w:val="18"/>
              </w:rPr>
            </w:pPr>
          </w:p>
        </w:tc>
        <w:tc>
          <w:tcPr>
            <w:tcW w:w="1277" w:type="dxa"/>
          </w:tcPr>
          <w:p>
            <w:pPr>
              <w:pStyle w:val="TableParagraph"/>
              <w:rPr>
                <w:rFonts w:ascii="Times New Roman"/>
                <w:sz w:val="18"/>
              </w:rPr>
            </w:pPr>
          </w:p>
        </w:tc>
        <w:tc>
          <w:tcPr>
            <w:tcW w:w="1558"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9" w:right="4"/>
              <w:jc w:val="center"/>
              <w:rPr>
                <w:sz w:val="18"/>
              </w:rPr>
            </w:pPr>
            <w:r>
              <w:rPr>
                <w:spacing w:val="-4"/>
                <w:sz w:val="18"/>
              </w:rPr>
              <w:t>100%</w:t>
            </w:r>
          </w:p>
        </w:tc>
        <w:tc>
          <w:tcPr>
            <w:tcW w:w="1702" w:type="dxa"/>
          </w:tcPr>
          <w:p>
            <w:pPr>
              <w:pStyle w:val="TableParagraph"/>
              <w:rPr>
                <w:b/>
                <w:sz w:val="18"/>
              </w:rPr>
            </w:pPr>
          </w:p>
          <w:p>
            <w:pPr>
              <w:pStyle w:val="TableParagraph"/>
              <w:rPr>
                <w:b/>
                <w:sz w:val="18"/>
              </w:rPr>
            </w:pPr>
          </w:p>
          <w:p>
            <w:pPr>
              <w:pStyle w:val="TableParagraph"/>
              <w:spacing w:before="206"/>
              <w:rPr>
                <w:b/>
                <w:sz w:val="18"/>
              </w:rPr>
            </w:pPr>
          </w:p>
          <w:p>
            <w:pPr>
              <w:pStyle w:val="TableParagraph"/>
              <w:ind w:right="63"/>
              <w:jc w:val="right"/>
              <w:rPr>
                <w:sz w:val="18"/>
              </w:rPr>
            </w:pPr>
            <w:r>
              <w:rPr>
                <w:sz w:val="18"/>
              </w:rPr>
              <w:t>₡725</w:t>
            </w:r>
            <w:r>
              <w:rPr>
                <w:spacing w:val="-2"/>
                <w:sz w:val="18"/>
              </w:rPr>
              <w:t> </w:t>
            </w:r>
            <w:r>
              <w:rPr>
                <w:sz w:val="18"/>
              </w:rPr>
              <w:t>000</w:t>
            </w:r>
            <w:r>
              <w:rPr>
                <w:spacing w:val="-2"/>
                <w:sz w:val="18"/>
              </w:rPr>
              <w:t> </w:t>
            </w:r>
            <w:r>
              <w:rPr>
                <w:spacing w:val="-5"/>
                <w:sz w:val="18"/>
              </w:rPr>
              <w:t>000</w:t>
            </w:r>
          </w:p>
        </w:tc>
      </w:tr>
      <w:tr>
        <w:trPr>
          <w:trHeight w:val="2265" w:hRule="atLeast"/>
        </w:trPr>
        <w:tc>
          <w:tcPr>
            <w:tcW w:w="1983" w:type="dxa"/>
          </w:tcPr>
          <w:p>
            <w:pPr>
              <w:pStyle w:val="TableParagraph"/>
              <w:spacing w:before="97"/>
              <w:ind w:left="69" w:right="556"/>
              <w:rPr>
                <w:b/>
                <w:sz w:val="18"/>
              </w:rPr>
            </w:pPr>
            <w:r>
              <w:rPr>
                <w:b/>
                <w:sz w:val="18"/>
              </w:rPr>
              <w:t>Actividad</w:t>
            </w:r>
            <w:r>
              <w:rPr>
                <w:b/>
                <w:spacing w:val="-13"/>
                <w:sz w:val="18"/>
              </w:rPr>
              <w:t> </w:t>
            </w:r>
            <w:r>
              <w:rPr>
                <w:b/>
                <w:sz w:val="18"/>
              </w:rPr>
              <w:t>PPPS </w:t>
            </w:r>
            <w:r>
              <w:rPr>
                <w:b/>
                <w:spacing w:val="-2"/>
                <w:sz w:val="18"/>
              </w:rPr>
              <w:t>1.3.8:</w:t>
            </w:r>
          </w:p>
          <w:p>
            <w:pPr>
              <w:pStyle w:val="TableParagraph"/>
              <w:ind w:left="69" w:right="80"/>
              <w:rPr>
                <w:sz w:val="18"/>
              </w:rPr>
            </w:pPr>
            <w:r>
              <w:rPr>
                <w:sz w:val="18"/>
              </w:rPr>
              <w:t>Gestionar</w:t>
            </w:r>
            <w:r>
              <w:rPr>
                <w:spacing w:val="-15"/>
                <w:sz w:val="18"/>
              </w:rPr>
              <w:t> </w:t>
            </w:r>
            <w:r>
              <w:rPr>
                <w:sz w:val="18"/>
              </w:rPr>
              <w:t>las</w:t>
            </w:r>
            <w:r>
              <w:rPr>
                <w:spacing w:val="-12"/>
                <w:sz w:val="18"/>
              </w:rPr>
              <w:t> </w:t>
            </w:r>
            <w:r>
              <w:rPr>
                <w:sz w:val="18"/>
              </w:rPr>
              <w:t>compras de equipo del Programa de Protección y Promoción Social programadas en el Plan de Compras por parte del PPPS.</w:t>
            </w:r>
          </w:p>
        </w:tc>
        <w:tc>
          <w:tcPr>
            <w:tcW w:w="1277" w:type="dxa"/>
          </w:tcPr>
          <w:p>
            <w:pPr>
              <w:pStyle w:val="TableParagraph"/>
              <w:spacing w:before="96"/>
              <w:rPr>
                <w:b/>
                <w:sz w:val="18"/>
              </w:rPr>
            </w:pPr>
          </w:p>
          <w:p>
            <w:pPr>
              <w:pStyle w:val="TableParagraph"/>
              <w:ind w:left="69" w:right="80"/>
              <w:rPr>
                <w:sz w:val="18"/>
              </w:rPr>
            </w:pPr>
            <w:r>
              <w:rPr>
                <w:sz w:val="18"/>
              </w:rPr>
              <w:t>Porcentaje</w:t>
            </w:r>
            <w:r>
              <w:rPr>
                <w:spacing w:val="-13"/>
                <w:sz w:val="18"/>
              </w:rPr>
              <w:t> </w:t>
            </w:r>
            <w:r>
              <w:rPr>
                <w:sz w:val="18"/>
              </w:rPr>
              <w:t>de ejecución de las compras de equipo </w:t>
            </w:r>
            <w:r>
              <w:rPr>
                <w:spacing w:val="-2"/>
                <w:sz w:val="18"/>
              </w:rPr>
              <w:t>programadas </w:t>
            </w:r>
            <w:r>
              <w:rPr>
                <w:sz w:val="18"/>
              </w:rPr>
              <w:t>en el Plan de Compras por el PPPS.</w:t>
            </w:r>
          </w:p>
        </w:tc>
        <w:tc>
          <w:tcPr>
            <w:tcW w:w="1278" w:type="dxa"/>
          </w:tcPr>
          <w:p>
            <w:pPr>
              <w:pStyle w:val="TableParagraph"/>
              <w:rPr>
                <w:rFonts w:ascii="Times New Roman"/>
                <w:sz w:val="18"/>
              </w:rPr>
            </w:pPr>
          </w:p>
        </w:tc>
        <w:tc>
          <w:tcPr>
            <w:tcW w:w="1561" w:type="dxa"/>
          </w:tcPr>
          <w:p>
            <w:pPr>
              <w:pStyle w:val="TableParagraph"/>
              <w:rPr>
                <w:rFonts w:ascii="Times New Roman"/>
                <w:sz w:val="18"/>
              </w:rPr>
            </w:pPr>
          </w:p>
        </w:tc>
        <w:tc>
          <w:tcPr>
            <w:tcW w:w="1275" w:type="dxa"/>
          </w:tcPr>
          <w:p>
            <w:pPr>
              <w:pStyle w:val="TableParagraph"/>
              <w:rPr>
                <w:rFonts w:ascii="Times New Roman"/>
                <w:sz w:val="18"/>
              </w:rPr>
            </w:pPr>
          </w:p>
        </w:tc>
        <w:tc>
          <w:tcPr>
            <w:tcW w:w="1561" w:type="dxa"/>
          </w:tcPr>
          <w:p>
            <w:pPr>
              <w:pStyle w:val="TableParagraph"/>
              <w:rPr>
                <w:rFonts w:ascii="Times New Roman"/>
                <w:sz w:val="18"/>
              </w:rPr>
            </w:pPr>
          </w:p>
        </w:tc>
        <w:tc>
          <w:tcPr>
            <w:tcW w:w="1277" w:type="dxa"/>
          </w:tcPr>
          <w:p>
            <w:pPr>
              <w:pStyle w:val="TableParagraph"/>
              <w:rPr>
                <w:rFonts w:ascii="Times New Roman"/>
                <w:sz w:val="18"/>
              </w:rPr>
            </w:pPr>
          </w:p>
        </w:tc>
        <w:tc>
          <w:tcPr>
            <w:tcW w:w="1558"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200"/>
              <w:rPr>
                <w:b/>
                <w:sz w:val="18"/>
              </w:rPr>
            </w:pPr>
          </w:p>
          <w:p>
            <w:pPr>
              <w:pStyle w:val="TableParagraph"/>
              <w:ind w:left="9" w:right="4"/>
              <w:jc w:val="center"/>
              <w:rPr>
                <w:sz w:val="18"/>
              </w:rPr>
            </w:pPr>
            <w:r>
              <w:rPr>
                <w:spacing w:val="-4"/>
                <w:sz w:val="18"/>
              </w:rPr>
              <w:t>100%</w:t>
            </w:r>
          </w:p>
        </w:tc>
        <w:tc>
          <w:tcPr>
            <w:tcW w:w="1702" w:type="dxa"/>
          </w:tcPr>
          <w:p>
            <w:pPr>
              <w:pStyle w:val="TableParagraph"/>
              <w:rPr>
                <w:b/>
                <w:sz w:val="18"/>
              </w:rPr>
            </w:pPr>
          </w:p>
          <w:p>
            <w:pPr>
              <w:pStyle w:val="TableParagraph"/>
              <w:rPr>
                <w:b/>
                <w:sz w:val="18"/>
              </w:rPr>
            </w:pPr>
          </w:p>
          <w:p>
            <w:pPr>
              <w:pStyle w:val="TableParagraph"/>
              <w:rPr>
                <w:b/>
                <w:sz w:val="18"/>
              </w:rPr>
            </w:pPr>
          </w:p>
          <w:p>
            <w:pPr>
              <w:pStyle w:val="TableParagraph"/>
              <w:spacing w:before="200"/>
              <w:rPr>
                <w:b/>
                <w:sz w:val="18"/>
              </w:rPr>
            </w:pPr>
          </w:p>
          <w:p>
            <w:pPr>
              <w:pStyle w:val="TableParagraph"/>
              <w:ind w:right="63"/>
              <w:jc w:val="right"/>
              <w:rPr>
                <w:sz w:val="18"/>
              </w:rPr>
            </w:pPr>
            <w:r>
              <w:rPr>
                <w:sz w:val="18"/>
              </w:rPr>
              <w:t>₡1</w:t>
            </w:r>
            <w:r>
              <w:rPr>
                <w:spacing w:val="-1"/>
                <w:sz w:val="18"/>
              </w:rPr>
              <w:t> </w:t>
            </w:r>
            <w:r>
              <w:rPr>
                <w:sz w:val="18"/>
              </w:rPr>
              <w:t>156</w:t>
            </w:r>
            <w:r>
              <w:rPr>
                <w:spacing w:val="-2"/>
                <w:sz w:val="18"/>
              </w:rPr>
              <w:t> </w:t>
            </w:r>
            <w:r>
              <w:rPr>
                <w:sz w:val="18"/>
              </w:rPr>
              <w:t>381</w:t>
            </w:r>
            <w:r>
              <w:rPr>
                <w:spacing w:val="-2"/>
                <w:sz w:val="18"/>
              </w:rPr>
              <w:t> </w:t>
            </w:r>
            <w:r>
              <w:rPr>
                <w:spacing w:val="-5"/>
                <w:sz w:val="18"/>
              </w:rPr>
              <w:t>556</w:t>
            </w:r>
          </w:p>
        </w:tc>
      </w:tr>
    </w:tbl>
    <w:p>
      <w:pPr>
        <w:pStyle w:val="TableParagraph"/>
        <w:spacing w:after="0"/>
        <w:jc w:val="right"/>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3"/>
        <w:gridCol w:w="1277"/>
        <w:gridCol w:w="1278"/>
        <w:gridCol w:w="1561"/>
        <w:gridCol w:w="1275"/>
        <w:gridCol w:w="1561"/>
        <w:gridCol w:w="1277"/>
        <w:gridCol w:w="1558"/>
        <w:gridCol w:w="1277"/>
        <w:gridCol w:w="1702"/>
      </w:tblGrid>
      <w:tr>
        <w:trPr>
          <w:trHeight w:val="510" w:hRule="atLeast"/>
        </w:trPr>
        <w:tc>
          <w:tcPr>
            <w:tcW w:w="1983" w:type="dxa"/>
            <w:vMerge w:val="restart"/>
            <w:shd w:val="clear" w:color="auto" w:fill="F1F1F1"/>
          </w:tcPr>
          <w:p>
            <w:pPr>
              <w:pStyle w:val="TableParagraph"/>
              <w:spacing w:before="70"/>
              <w:rPr>
                <w:b/>
                <w:sz w:val="18"/>
              </w:rPr>
            </w:pPr>
          </w:p>
          <w:p>
            <w:pPr>
              <w:pStyle w:val="TableParagraph"/>
              <w:ind w:left="506" w:right="403" w:firstLine="24"/>
              <w:rPr>
                <w:b/>
                <w:sz w:val="18"/>
              </w:rPr>
            </w:pPr>
            <w:r>
              <w:rPr>
                <w:b/>
                <w:sz w:val="18"/>
              </w:rPr>
              <w:t>Objetivos</w:t>
            </w:r>
            <w:r>
              <w:rPr>
                <w:b/>
                <w:spacing w:val="-12"/>
                <w:sz w:val="18"/>
              </w:rPr>
              <w:t> </w:t>
            </w:r>
            <w:r>
              <w:rPr>
                <w:b/>
                <w:sz w:val="18"/>
              </w:rPr>
              <w:t>/ </w:t>
            </w:r>
            <w:r>
              <w:rPr>
                <w:b/>
                <w:spacing w:val="-2"/>
                <w:sz w:val="18"/>
              </w:rPr>
              <w:t>Resultados</w:t>
            </w:r>
          </w:p>
        </w:tc>
        <w:tc>
          <w:tcPr>
            <w:tcW w:w="1277" w:type="dxa"/>
            <w:vMerge w:val="restart"/>
            <w:shd w:val="clear" w:color="auto" w:fill="F1F1F1"/>
          </w:tcPr>
          <w:p>
            <w:pPr>
              <w:pStyle w:val="TableParagraph"/>
              <w:spacing w:before="173"/>
              <w:rPr>
                <w:b/>
                <w:sz w:val="18"/>
              </w:rPr>
            </w:pPr>
          </w:p>
          <w:p>
            <w:pPr>
              <w:pStyle w:val="TableParagraph"/>
              <w:ind w:left="232"/>
              <w:rPr>
                <w:b/>
                <w:sz w:val="18"/>
              </w:rPr>
            </w:pPr>
            <w:r>
              <w:rPr>
                <w:b/>
                <w:spacing w:val="-2"/>
                <w:sz w:val="18"/>
              </w:rPr>
              <w:t>Indicador</w:t>
            </w:r>
          </w:p>
        </w:tc>
        <w:tc>
          <w:tcPr>
            <w:tcW w:w="2839" w:type="dxa"/>
            <w:gridSpan w:val="2"/>
            <w:shd w:val="clear" w:color="auto" w:fill="F1F1F1"/>
          </w:tcPr>
          <w:p>
            <w:pPr>
              <w:pStyle w:val="TableParagraph"/>
              <w:spacing w:before="150"/>
              <w:ind w:left="7"/>
              <w:jc w:val="center"/>
              <w:rPr>
                <w:b/>
                <w:sz w:val="18"/>
              </w:rPr>
            </w:pPr>
            <w:r>
              <w:rPr>
                <w:b/>
                <w:sz w:val="18"/>
              </w:rPr>
              <w:t>I </w:t>
            </w:r>
            <w:r>
              <w:rPr>
                <w:b/>
                <w:spacing w:val="-2"/>
                <w:sz w:val="18"/>
              </w:rPr>
              <w:t>Trimestre</w:t>
            </w:r>
          </w:p>
        </w:tc>
        <w:tc>
          <w:tcPr>
            <w:tcW w:w="2836" w:type="dxa"/>
            <w:gridSpan w:val="2"/>
            <w:shd w:val="clear" w:color="auto" w:fill="F1F1F1"/>
          </w:tcPr>
          <w:p>
            <w:pPr>
              <w:pStyle w:val="TableParagraph"/>
              <w:spacing w:before="150"/>
              <w:ind w:left="928"/>
              <w:rPr>
                <w:b/>
                <w:sz w:val="18"/>
              </w:rPr>
            </w:pPr>
            <w:r>
              <w:rPr>
                <w:b/>
                <w:sz w:val="18"/>
              </w:rPr>
              <w:t>II </w:t>
            </w:r>
            <w:r>
              <w:rPr>
                <w:b/>
                <w:spacing w:val="-2"/>
                <w:sz w:val="18"/>
              </w:rPr>
              <w:t>Trimestre</w:t>
            </w:r>
          </w:p>
        </w:tc>
        <w:tc>
          <w:tcPr>
            <w:tcW w:w="2835" w:type="dxa"/>
            <w:gridSpan w:val="2"/>
            <w:shd w:val="clear" w:color="auto" w:fill="F1F1F1"/>
          </w:tcPr>
          <w:p>
            <w:pPr>
              <w:pStyle w:val="TableParagraph"/>
              <w:spacing w:before="150"/>
              <w:ind w:left="901"/>
              <w:rPr>
                <w:b/>
                <w:sz w:val="18"/>
              </w:rPr>
            </w:pPr>
            <w:r>
              <w:rPr>
                <w:b/>
                <w:sz w:val="18"/>
              </w:rPr>
              <w:t>III </w:t>
            </w:r>
            <w:r>
              <w:rPr>
                <w:b/>
                <w:spacing w:val="-2"/>
                <w:sz w:val="18"/>
              </w:rPr>
              <w:t>Trimestre</w:t>
            </w:r>
          </w:p>
        </w:tc>
        <w:tc>
          <w:tcPr>
            <w:tcW w:w="2979" w:type="dxa"/>
            <w:gridSpan w:val="2"/>
            <w:shd w:val="clear" w:color="auto" w:fill="F1F1F1"/>
          </w:tcPr>
          <w:p>
            <w:pPr>
              <w:pStyle w:val="TableParagraph"/>
              <w:spacing w:before="150"/>
              <w:ind w:left="963"/>
              <w:rPr>
                <w:b/>
                <w:sz w:val="18"/>
              </w:rPr>
            </w:pPr>
            <w:r>
              <w:rPr>
                <w:b/>
                <w:sz w:val="18"/>
              </w:rPr>
              <w:t>IV </w:t>
            </w:r>
            <w:r>
              <w:rPr>
                <w:b/>
                <w:spacing w:val="-2"/>
                <w:sz w:val="18"/>
              </w:rPr>
              <w:t>Trimestre</w:t>
            </w:r>
          </w:p>
        </w:tc>
      </w:tr>
      <w:tr>
        <w:trPr>
          <w:trHeight w:val="448" w:hRule="atLeast"/>
        </w:trPr>
        <w:tc>
          <w:tcPr>
            <w:tcW w:w="1983" w:type="dxa"/>
            <w:vMerge/>
            <w:tcBorders>
              <w:top w:val="nil"/>
            </w:tcBorders>
            <w:shd w:val="clear" w:color="auto" w:fill="F1F1F1"/>
          </w:tcPr>
          <w:p>
            <w:pPr>
              <w:rPr>
                <w:sz w:val="2"/>
                <w:szCs w:val="2"/>
              </w:rPr>
            </w:pPr>
          </w:p>
        </w:tc>
        <w:tc>
          <w:tcPr>
            <w:tcW w:w="1277" w:type="dxa"/>
            <w:vMerge/>
            <w:tcBorders>
              <w:top w:val="nil"/>
            </w:tcBorders>
            <w:shd w:val="clear" w:color="auto" w:fill="F1F1F1"/>
          </w:tcPr>
          <w:p>
            <w:pPr>
              <w:rPr>
                <w:sz w:val="2"/>
                <w:szCs w:val="2"/>
              </w:rPr>
            </w:pPr>
          </w:p>
        </w:tc>
        <w:tc>
          <w:tcPr>
            <w:tcW w:w="1278" w:type="dxa"/>
            <w:shd w:val="clear" w:color="auto" w:fill="F1F1F1"/>
          </w:tcPr>
          <w:p>
            <w:pPr>
              <w:pStyle w:val="TableParagraph"/>
              <w:spacing w:line="210" w:lineRule="atLeast" w:before="8"/>
              <w:ind w:left="116"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0"/>
              <w:jc w:val="center"/>
              <w:rPr>
                <w:b/>
                <w:sz w:val="18"/>
              </w:rPr>
            </w:pPr>
            <w:r>
              <w:rPr>
                <w:b/>
                <w:spacing w:val="-10"/>
                <w:sz w:val="18"/>
              </w:rPr>
              <w:t>¢</w:t>
            </w:r>
          </w:p>
        </w:tc>
        <w:tc>
          <w:tcPr>
            <w:tcW w:w="1275" w:type="dxa"/>
            <w:shd w:val="clear" w:color="auto" w:fill="F1F1F1"/>
          </w:tcPr>
          <w:p>
            <w:pPr>
              <w:pStyle w:val="TableParagraph"/>
              <w:spacing w:line="210" w:lineRule="atLeast" w:before="8"/>
              <w:ind w:left="112"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119"/>
              <w:ind w:left="45" w:right="42"/>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558" w:type="dxa"/>
            <w:shd w:val="clear" w:color="auto" w:fill="F1F1F1"/>
          </w:tcPr>
          <w:p>
            <w:pPr>
              <w:pStyle w:val="TableParagraph"/>
              <w:spacing w:before="119"/>
              <w:ind w:left="34" w:right="34"/>
              <w:jc w:val="center"/>
              <w:rPr>
                <w:b/>
                <w:sz w:val="18"/>
              </w:rPr>
            </w:pPr>
            <w:r>
              <w:rPr>
                <w:b/>
                <w:spacing w:val="-10"/>
                <w:sz w:val="18"/>
              </w:rPr>
              <w:t>¢</w:t>
            </w:r>
          </w:p>
        </w:tc>
        <w:tc>
          <w:tcPr>
            <w:tcW w:w="1277"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702" w:type="dxa"/>
            <w:shd w:val="clear" w:color="auto" w:fill="F1F1F1"/>
          </w:tcPr>
          <w:p>
            <w:pPr>
              <w:pStyle w:val="TableParagraph"/>
              <w:spacing w:before="119"/>
              <w:jc w:val="center"/>
              <w:rPr>
                <w:b/>
                <w:sz w:val="18"/>
              </w:rPr>
            </w:pPr>
            <w:r>
              <w:rPr>
                <w:b/>
                <w:spacing w:val="-10"/>
                <w:sz w:val="18"/>
              </w:rPr>
              <w:t>¢</w:t>
            </w:r>
          </w:p>
        </w:tc>
      </w:tr>
      <w:tr>
        <w:trPr>
          <w:trHeight w:val="6418" w:hRule="atLeast"/>
        </w:trPr>
        <w:tc>
          <w:tcPr>
            <w:tcW w:w="1983" w:type="dxa"/>
          </w:tcPr>
          <w:p>
            <w:pPr>
              <w:pStyle w:val="TableParagraph"/>
              <w:spacing w:before="1"/>
              <w:ind w:left="69" w:right="556"/>
              <w:rPr>
                <w:b/>
                <w:sz w:val="18"/>
              </w:rPr>
            </w:pPr>
            <w:r>
              <w:rPr>
                <w:b/>
                <w:sz w:val="18"/>
              </w:rPr>
              <w:t>Actividad</w:t>
            </w:r>
            <w:r>
              <w:rPr>
                <w:b/>
                <w:spacing w:val="-13"/>
                <w:sz w:val="18"/>
              </w:rPr>
              <w:t> </w:t>
            </w:r>
            <w:r>
              <w:rPr>
                <w:b/>
                <w:sz w:val="18"/>
              </w:rPr>
              <w:t>PPPS </w:t>
            </w:r>
            <w:r>
              <w:rPr>
                <w:b/>
                <w:spacing w:val="-2"/>
                <w:sz w:val="18"/>
              </w:rPr>
              <w:t>1.3.9:</w:t>
            </w:r>
          </w:p>
          <w:p>
            <w:pPr>
              <w:pStyle w:val="TableParagraph"/>
              <w:ind w:left="69" w:right="105"/>
              <w:rPr>
                <w:sz w:val="18"/>
              </w:rPr>
            </w:pPr>
            <w:r>
              <w:rPr>
                <w:sz w:val="18"/>
              </w:rPr>
              <w:t>Pago de servicios de </w:t>
            </w:r>
            <w:r>
              <w:rPr>
                <w:spacing w:val="-2"/>
                <w:sz w:val="18"/>
              </w:rPr>
              <w:t>mantenimiento </w:t>
            </w:r>
            <w:r>
              <w:rPr>
                <w:sz w:val="18"/>
              </w:rPr>
              <w:t>requeridos para solventar</w:t>
            </w:r>
            <w:r>
              <w:rPr>
                <w:spacing w:val="-13"/>
                <w:sz w:val="18"/>
              </w:rPr>
              <w:t> </w:t>
            </w:r>
            <w:r>
              <w:rPr>
                <w:sz w:val="18"/>
              </w:rPr>
              <w:t>necesidades </w:t>
            </w:r>
            <w:r>
              <w:rPr>
                <w:spacing w:val="-2"/>
                <w:sz w:val="18"/>
              </w:rPr>
              <w:t>institucionales </w:t>
            </w:r>
            <w:r>
              <w:rPr>
                <w:sz w:val="18"/>
              </w:rPr>
              <w:t>(subpartidas 1.08.01 Mantenimiento de edificios, locales y terrenos, subpartida</w:t>
            </w:r>
          </w:p>
          <w:p>
            <w:pPr>
              <w:pStyle w:val="TableParagraph"/>
              <w:ind w:left="69" w:right="65"/>
              <w:rPr>
                <w:sz w:val="18"/>
              </w:rPr>
            </w:pPr>
            <w:r>
              <w:rPr>
                <w:sz w:val="18"/>
              </w:rPr>
              <w:t>1.08.03</w:t>
            </w:r>
            <w:r>
              <w:rPr>
                <w:spacing w:val="-13"/>
                <w:sz w:val="18"/>
              </w:rPr>
              <w:t> </w:t>
            </w:r>
            <w:r>
              <w:rPr>
                <w:sz w:val="18"/>
              </w:rPr>
              <w:t>Mantenimiento de Instalaciones y otras obras, 1.08.04 Mantenimiento y reparación de maquinaria y equipo producción. 1.08.06 Mantenimiento de equipo de comunicación.</w:t>
            </w:r>
            <w:r>
              <w:rPr>
                <w:spacing w:val="-8"/>
                <w:sz w:val="18"/>
              </w:rPr>
              <w:t> </w:t>
            </w:r>
            <w:r>
              <w:rPr>
                <w:sz w:val="18"/>
              </w:rPr>
              <w:t>1.08.07 Mantenimiento y reparación</w:t>
            </w:r>
            <w:r>
              <w:rPr>
                <w:spacing w:val="-13"/>
                <w:sz w:val="18"/>
              </w:rPr>
              <w:t> </w:t>
            </w:r>
            <w:r>
              <w:rPr>
                <w:sz w:val="18"/>
              </w:rPr>
              <w:t>de</w:t>
            </w:r>
            <w:r>
              <w:rPr>
                <w:spacing w:val="-12"/>
                <w:sz w:val="18"/>
              </w:rPr>
              <w:t> </w:t>
            </w:r>
            <w:r>
              <w:rPr>
                <w:sz w:val="18"/>
              </w:rPr>
              <w:t>equipo</w:t>
            </w:r>
            <w:r>
              <w:rPr>
                <w:spacing w:val="-13"/>
                <w:sz w:val="18"/>
              </w:rPr>
              <w:t> </w:t>
            </w:r>
            <w:r>
              <w:rPr>
                <w:sz w:val="18"/>
              </w:rPr>
              <w:t>y mobiliario de oficina.</w:t>
            </w:r>
          </w:p>
          <w:p>
            <w:pPr>
              <w:pStyle w:val="TableParagraph"/>
              <w:ind w:left="69" w:right="61"/>
              <w:jc w:val="both"/>
              <w:rPr>
                <w:sz w:val="18"/>
              </w:rPr>
            </w:pPr>
            <w:r>
              <w:rPr>
                <w:sz w:val="18"/>
              </w:rPr>
              <w:t>1.08.08</w:t>
            </w:r>
            <w:r>
              <w:rPr>
                <w:spacing w:val="-13"/>
                <w:sz w:val="18"/>
              </w:rPr>
              <w:t> </w:t>
            </w:r>
            <w:r>
              <w:rPr>
                <w:sz w:val="18"/>
              </w:rPr>
              <w:t>Mantenimiento y</w:t>
            </w:r>
            <w:r>
              <w:rPr>
                <w:spacing w:val="-9"/>
                <w:sz w:val="18"/>
              </w:rPr>
              <w:t> </w:t>
            </w:r>
            <w:r>
              <w:rPr>
                <w:sz w:val="18"/>
              </w:rPr>
              <w:t>reparación</w:t>
            </w:r>
            <w:r>
              <w:rPr>
                <w:spacing w:val="-11"/>
                <w:sz w:val="18"/>
              </w:rPr>
              <w:t> </w:t>
            </w:r>
            <w:r>
              <w:rPr>
                <w:sz w:val="18"/>
              </w:rPr>
              <w:t>de</w:t>
            </w:r>
            <w:r>
              <w:rPr>
                <w:spacing w:val="-10"/>
                <w:sz w:val="18"/>
              </w:rPr>
              <w:t> </w:t>
            </w:r>
            <w:r>
              <w:rPr>
                <w:sz w:val="18"/>
              </w:rPr>
              <w:t>equipo de</w:t>
            </w:r>
            <w:r>
              <w:rPr>
                <w:spacing w:val="-13"/>
                <w:sz w:val="18"/>
              </w:rPr>
              <w:t> </w:t>
            </w:r>
            <w:r>
              <w:rPr>
                <w:sz w:val="18"/>
              </w:rPr>
              <w:t>cómputo</w:t>
            </w:r>
            <w:r>
              <w:rPr>
                <w:spacing w:val="-12"/>
                <w:sz w:val="18"/>
              </w:rPr>
              <w:t> </w:t>
            </w:r>
            <w:r>
              <w:rPr>
                <w:sz w:val="18"/>
              </w:rPr>
              <w:t>y</w:t>
            </w:r>
            <w:r>
              <w:rPr>
                <w:spacing w:val="-13"/>
                <w:sz w:val="18"/>
              </w:rPr>
              <w:t> </w:t>
            </w:r>
            <w:r>
              <w:rPr>
                <w:sz w:val="18"/>
              </w:rPr>
              <w:t>sistema</w:t>
            </w:r>
            <w:r>
              <w:rPr>
                <w:sz w:val="18"/>
              </w:rPr>
              <w:t>s de Información.</w:t>
            </w:r>
          </w:p>
          <w:p>
            <w:pPr>
              <w:pStyle w:val="TableParagraph"/>
              <w:ind w:left="69"/>
              <w:jc w:val="both"/>
              <w:rPr>
                <w:sz w:val="18"/>
              </w:rPr>
            </w:pPr>
            <w:r>
              <w:rPr>
                <w:sz w:val="18"/>
              </w:rPr>
              <w:t>1.08.99</w:t>
            </w:r>
            <w:r>
              <w:rPr>
                <w:spacing w:val="-4"/>
                <w:sz w:val="18"/>
              </w:rPr>
              <w:t> </w:t>
            </w:r>
            <w:r>
              <w:rPr>
                <w:spacing w:val="-2"/>
                <w:sz w:val="18"/>
              </w:rPr>
              <w:t>Mantenimiento</w:t>
            </w:r>
          </w:p>
          <w:p>
            <w:pPr>
              <w:pStyle w:val="TableParagraph"/>
              <w:spacing w:line="206" w:lineRule="exact"/>
              <w:ind w:left="69" w:right="210"/>
              <w:jc w:val="both"/>
              <w:rPr>
                <w:sz w:val="18"/>
              </w:rPr>
            </w:pPr>
            <w:r>
              <w:rPr>
                <w:sz w:val="18"/>
              </w:rPr>
              <w:t>y</w:t>
            </w:r>
            <w:r>
              <w:rPr>
                <w:spacing w:val="-13"/>
                <w:sz w:val="18"/>
              </w:rPr>
              <w:t> </w:t>
            </w:r>
            <w:r>
              <w:rPr>
                <w:sz w:val="18"/>
              </w:rPr>
              <w:t>reparación</w:t>
            </w:r>
            <w:r>
              <w:rPr>
                <w:spacing w:val="-12"/>
                <w:sz w:val="18"/>
              </w:rPr>
              <w:t> </w:t>
            </w:r>
            <w:r>
              <w:rPr>
                <w:sz w:val="18"/>
              </w:rPr>
              <w:t>de</w:t>
            </w:r>
            <w:r>
              <w:rPr>
                <w:spacing w:val="-13"/>
                <w:sz w:val="18"/>
              </w:rPr>
              <w:t> </w:t>
            </w:r>
            <w:r>
              <w:rPr>
                <w:sz w:val="18"/>
              </w:rPr>
              <w:t>otros </w:t>
            </w:r>
            <w:r>
              <w:rPr>
                <w:spacing w:val="-2"/>
                <w:sz w:val="18"/>
              </w:rPr>
              <w:t>equipos.</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69" w:right="80"/>
              <w:rPr>
                <w:sz w:val="18"/>
              </w:rPr>
            </w:pPr>
            <w:r>
              <w:rPr>
                <w:sz w:val="18"/>
              </w:rPr>
              <w:t>Porcentaje</w:t>
            </w:r>
            <w:r>
              <w:rPr>
                <w:spacing w:val="-13"/>
                <w:sz w:val="18"/>
              </w:rPr>
              <w:t> </w:t>
            </w:r>
            <w:r>
              <w:rPr>
                <w:sz w:val="18"/>
              </w:rPr>
              <w:t>de </w:t>
            </w:r>
            <w:r>
              <w:rPr>
                <w:spacing w:val="-2"/>
                <w:sz w:val="18"/>
              </w:rPr>
              <w:t>presupuesto programado </w:t>
            </w:r>
            <w:r>
              <w:rPr>
                <w:sz w:val="18"/>
              </w:rPr>
              <w:t>que se invierte en el pago de servicios de </w:t>
            </w:r>
            <w:r>
              <w:rPr>
                <w:spacing w:val="-2"/>
                <w:sz w:val="18"/>
              </w:rPr>
              <w:t>mantenimient </w:t>
            </w:r>
            <w:r>
              <w:rPr>
                <w:spacing w:val="-6"/>
                <w:sz w:val="18"/>
              </w:rPr>
              <w:t>o.</w:t>
            </w:r>
          </w:p>
        </w:tc>
        <w:tc>
          <w:tcPr>
            <w:tcW w:w="1278" w:type="dxa"/>
          </w:tcPr>
          <w:p>
            <w:pPr>
              <w:pStyle w:val="TableParagraph"/>
              <w:rPr>
                <w:rFonts w:ascii="Times New Roman"/>
                <w:sz w:val="18"/>
              </w:rPr>
            </w:pPr>
          </w:p>
        </w:tc>
        <w:tc>
          <w:tcPr>
            <w:tcW w:w="1561" w:type="dxa"/>
          </w:tcPr>
          <w:p>
            <w:pPr>
              <w:pStyle w:val="TableParagraph"/>
              <w:rPr>
                <w:rFonts w:ascii="Times New Roman"/>
                <w:sz w:val="18"/>
              </w:rPr>
            </w:pPr>
          </w:p>
        </w:tc>
        <w:tc>
          <w:tcPr>
            <w:tcW w:w="1275" w:type="dxa"/>
          </w:tcPr>
          <w:p>
            <w:pPr>
              <w:pStyle w:val="TableParagraph"/>
              <w:rPr>
                <w:rFonts w:ascii="Times New Roman"/>
                <w:sz w:val="18"/>
              </w:rPr>
            </w:pPr>
          </w:p>
        </w:tc>
        <w:tc>
          <w:tcPr>
            <w:tcW w:w="1561" w:type="dxa"/>
          </w:tcPr>
          <w:p>
            <w:pPr>
              <w:pStyle w:val="TableParagraph"/>
              <w:rPr>
                <w:rFonts w:ascii="Times New Roman"/>
                <w:sz w:val="18"/>
              </w:rPr>
            </w:pPr>
          </w:p>
        </w:tc>
        <w:tc>
          <w:tcPr>
            <w:tcW w:w="1277" w:type="dxa"/>
          </w:tcPr>
          <w:p>
            <w:pPr>
              <w:pStyle w:val="TableParagraph"/>
              <w:rPr>
                <w:rFonts w:ascii="Times New Roman"/>
                <w:sz w:val="18"/>
              </w:rPr>
            </w:pPr>
          </w:p>
        </w:tc>
        <w:tc>
          <w:tcPr>
            <w:tcW w:w="1558"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404"/>
              <w:rPr>
                <w:sz w:val="18"/>
              </w:rPr>
            </w:pPr>
            <w:r>
              <w:rPr>
                <w:spacing w:val="-4"/>
                <w:sz w:val="18"/>
              </w:rPr>
              <w:t>100%</w:t>
            </w:r>
          </w:p>
        </w:tc>
        <w:tc>
          <w:tcPr>
            <w:tcW w:w="17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344"/>
              <w:rPr>
                <w:sz w:val="18"/>
              </w:rPr>
            </w:pPr>
            <w:r>
              <w:rPr>
                <w:sz w:val="18"/>
              </w:rPr>
              <w:t>₡2</w:t>
            </w:r>
            <w:r>
              <w:rPr>
                <w:spacing w:val="-1"/>
                <w:sz w:val="18"/>
              </w:rPr>
              <w:t> </w:t>
            </w:r>
            <w:r>
              <w:rPr>
                <w:sz w:val="18"/>
              </w:rPr>
              <w:t>593</w:t>
            </w:r>
            <w:r>
              <w:rPr>
                <w:spacing w:val="-2"/>
                <w:sz w:val="18"/>
              </w:rPr>
              <w:t> </w:t>
            </w:r>
            <w:r>
              <w:rPr>
                <w:sz w:val="18"/>
              </w:rPr>
              <w:t>135</w:t>
            </w:r>
            <w:r>
              <w:rPr>
                <w:spacing w:val="-2"/>
                <w:sz w:val="18"/>
              </w:rPr>
              <w:t> </w:t>
            </w:r>
            <w:r>
              <w:rPr>
                <w:spacing w:val="-5"/>
                <w:sz w:val="18"/>
              </w:rPr>
              <w:t>402</w:t>
            </w:r>
          </w:p>
        </w:tc>
      </w:tr>
    </w:tbl>
    <w:p>
      <w:pPr>
        <w:pStyle w:val="TableParagraph"/>
        <w:spacing w:after="0"/>
        <w:rPr>
          <w:sz w:val="18"/>
        </w:rPr>
        <w:sectPr>
          <w:pgSz w:w="15840" w:h="12240" w:orient="landscape"/>
          <w:pgMar w:header="0" w:footer="1530" w:top="1380" w:bottom="2040" w:left="360" w:right="360"/>
        </w:sectPr>
      </w:pPr>
    </w:p>
    <w:p>
      <w:pPr>
        <w:pStyle w:val="Heading3"/>
        <w:numPr>
          <w:ilvl w:val="1"/>
          <w:numId w:val="5"/>
        </w:numPr>
        <w:tabs>
          <w:tab w:pos="2320" w:val="left" w:leader="none"/>
        </w:tabs>
        <w:spacing w:line="240" w:lineRule="auto" w:before="181" w:after="0"/>
        <w:ind w:left="2320" w:right="0" w:hanging="400"/>
        <w:jc w:val="left"/>
      </w:pPr>
      <w:bookmarkStart w:name="_bookmark73" w:id="74"/>
      <w:bookmarkEnd w:id="74"/>
      <w:r>
        <w:rPr>
          <w:b w:val="0"/>
        </w:rPr>
      </w:r>
      <w:r>
        <w:rPr/>
        <w:t>Matriz</w:t>
      </w:r>
      <w:r>
        <w:rPr>
          <w:spacing w:val="-6"/>
        </w:rPr>
        <w:t> </w:t>
      </w:r>
      <w:r>
        <w:rPr/>
        <w:t>de</w:t>
      </w:r>
      <w:r>
        <w:rPr>
          <w:spacing w:val="-4"/>
        </w:rPr>
        <w:t> </w:t>
      </w:r>
      <w:r>
        <w:rPr/>
        <w:t>Gestión</w:t>
      </w:r>
      <w:r>
        <w:rPr>
          <w:spacing w:val="-8"/>
        </w:rPr>
        <w:t> </w:t>
      </w:r>
      <w:r>
        <w:rPr/>
        <w:t>para</w:t>
      </w:r>
      <w:r>
        <w:rPr>
          <w:spacing w:val="-4"/>
        </w:rPr>
        <w:t> </w:t>
      </w:r>
      <w:r>
        <w:rPr/>
        <w:t>Resultados</w:t>
      </w:r>
      <w:r>
        <w:rPr>
          <w:spacing w:val="-4"/>
        </w:rPr>
        <w:t> </w:t>
      </w:r>
      <w:r>
        <w:rPr/>
        <w:t>de</w:t>
      </w:r>
      <w:r>
        <w:rPr>
          <w:spacing w:val="-5"/>
        </w:rPr>
        <w:t> </w:t>
      </w:r>
      <w:r>
        <w:rPr/>
        <w:t>Desarrollo</w:t>
      </w:r>
      <w:r>
        <w:rPr>
          <w:spacing w:val="-7"/>
        </w:rPr>
        <w:t> </w:t>
      </w:r>
      <w:r>
        <w:rPr/>
        <w:t>(GpRD)</w:t>
      </w:r>
      <w:r>
        <w:rPr>
          <w:spacing w:val="-4"/>
        </w:rPr>
        <w:t> </w:t>
      </w:r>
      <w:r>
        <w:rPr/>
        <w:t>del</w:t>
      </w:r>
      <w:r>
        <w:rPr>
          <w:spacing w:val="-4"/>
        </w:rPr>
        <w:t> </w:t>
      </w:r>
      <w:r>
        <w:rPr/>
        <w:t>Programa</w:t>
      </w:r>
      <w:r>
        <w:rPr>
          <w:spacing w:val="-4"/>
        </w:rPr>
        <w:t> </w:t>
      </w:r>
      <w:r>
        <w:rPr/>
        <w:t>Actividades</w:t>
      </w:r>
      <w:r>
        <w:rPr>
          <w:spacing w:val="-3"/>
        </w:rPr>
        <w:t> </w:t>
      </w:r>
      <w:r>
        <w:rPr>
          <w:spacing w:val="-2"/>
        </w:rPr>
        <w:t>Centrales</w:t>
      </w:r>
    </w:p>
    <w:p>
      <w:pPr>
        <w:pStyle w:val="BodyText"/>
        <w:rPr>
          <w:b/>
          <w:sz w:val="20"/>
        </w:rPr>
      </w:pPr>
    </w:p>
    <w:p>
      <w:pPr>
        <w:pStyle w:val="BodyText"/>
        <w:spacing w:before="91"/>
        <w:rPr>
          <w:b/>
          <w:sz w:val="20"/>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18"/>
        <w:gridCol w:w="1265"/>
        <w:gridCol w:w="1183"/>
        <w:gridCol w:w="1430"/>
        <w:gridCol w:w="2107"/>
        <w:gridCol w:w="1262"/>
        <w:gridCol w:w="1683"/>
        <w:gridCol w:w="2551"/>
      </w:tblGrid>
      <w:tr>
        <w:trPr>
          <w:trHeight w:val="690" w:hRule="atLeast"/>
        </w:trPr>
        <w:tc>
          <w:tcPr>
            <w:tcW w:w="3118" w:type="dxa"/>
            <w:shd w:val="clear" w:color="auto" w:fill="F1F1F1"/>
          </w:tcPr>
          <w:p>
            <w:pPr>
              <w:pStyle w:val="TableParagraph"/>
              <w:spacing w:before="34"/>
              <w:rPr>
                <w:b/>
                <w:sz w:val="18"/>
              </w:rPr>
            </w:pPr>
          </w:p>
          <w:p>
            <w:pPr>
              <w:pStyle w:val="TableParagraph"/>
              <w:ind w:left="587"/>
              <w:rPr>
                <w:b/>
                <w:sz w:val="18"/>
              </w:rPr>
            </w:pPr>
            <w:r>
              <w:rPr>
                <w:b/>
                <w:sz w:val="18"/>
              </w:rPr>
              <w:t>Objetivos</w:t>
            </w:r>
            <w:r>
              <w:rPr>
                <w:b/>
                <w:spacing w:val="-4"/>
                <w:sz w:val="18"/>
              </w:rPr>
              <w:t> </w:t>
            </w:r>
            <w:r>
              <w:rPr>
                <w:b/>
                <w:sz w:val="18"/>
              </w:rPr>
              <w:t>/</w:t>
            </w:r>
            <w:r>
              <w:rPr>
                <w:b/>
                <w:spacing w:val="-2"/>
                <w:sz w:val="18"/>
              </w:rPr>
              <w:t> Resultados</w:t>
            </w:r>
          </w:p>
        </w:tc>
        <w:tc>
          <w:tcPr>
            <w:tcW w:w="1265" w:type="dxa"/>
            <w:shd w:val="clear" w:color="auto" w:fill="F1F1F1"/>
          </w:tcPr>
          <w:p>
            <w:pPr>
              <w:pStyle w:val="TableParagraph"/>
              <w:spacing w:before="138"/>
              <w:ind w:left="369" w:right="144" w:hanging="216"/>
              <w:rPr>
                <w:b/>
                <w:sz w:val="18"/>
              </w:rPr>
            </w:pPr>
            <w:r>
              <w:rPr>
                <w:b/>
                <w:sz w:val="18"/>
              </w:rPr>
              <w:t>Línea</w:t>
            </w:r>
            <w:r>
              <w:rPr>
                <w:b/>
                <w:spacing w:val="-13"/>
                <w:sz w:val="18"/>
              </w:rPr>
              <w:t> </w:t>
            </w:r>
            <w:r>
              <w:rPr>
                <w:b/>
                <w:sz w:val="18"/>
              </w:rPr>
              <w:t>Base </w:t>
            </w:r>
            <w:r>
              <w:rPr>
                <w:b/>
                <w:spacing w:val="-2"/>
                <w:sz w:val="18"/>
              </w:rPr>
              <w:t>(2025)</w:t>
            </w:r>
          </w:p>
        </w:tc>
        <w:tc>
          <w:tcPr>
            <w:tcW w:w="1183" w:type="dxa"/>
            <w:shd w:val="clear" w:color="auto" w:fill="F1F1F1"/>
          </w:tcPr>
          <w:p>
            <w:pPr>
              <w:pStyle w:val="TableParagraph"/>
              <w:spacing w:before="35"/>
              <w:ind w:left="69" w:right="60" w:hanging="1"/>
              <w:jc w:val="center"/>
              <w:rPr>
                <w:b/>
                <w:sz w:val="18"/>
              </w:rPr>
            </w:pPr>
            <w:r>
              <w:rPr>
                <w:b/>
                <w:spacing w:val="-4"/>
                <w:sz w:val="18"/>
              </w:rPr>
              <w:t>Meta </w:t>
            </w:r>
            <w:r>
              <w:rPr>
                <w:b/>
                <w:spacing w:val="-2"/>
                <w:sz w:val="18"/>
              </w:rPr>
              <w:t>programada </w:t>
            </w:r>
            <w:r>
              <w:rPr>
                <w:b/>
                <w:spacing w:val="-4"/>
                <w:sz w:val="18"/>
              </w:rPr>
              <w:t>2027</w:t>
            </w:r>
          </w:p>
        </w:tc>
        <w:tc>
          <w:tcPr>
            <w:tcW w:w="1430" w:type="dxa"/>
            <w:shd w:val="clear" w:color="auto" w:fill="F1F1F1"/>
          </w:tcPr>
          <w:p>
            <w:pPr>
              <w:pStyle w:val="TableParagraph"/>
              <w:spacing w:before="34"/>
              <w:rPr>
                <w:b/>
                <w:sz w:val="18"/>
              </w:rPr>
            </w:pPr>
          </w:p>
          <w:p>
            <w:pPr>
              <w:pStyle w:val="TableParagraph"/>
              <w:ind w:left="310"/>
              <w:rPr>
                <w:b/>
                <w:sz w:val="18"/>
              </w:rPr>
            </w:pPr>
            <w:r>
              <w:rPr>
                <w:b/>
                <w:spacing w:val="-2"/>
                <w:sz w:val="18"/>
              </w:rPr>
              <w:t>Indicador</w:t>
            </w:r>
          </w:p>
        </w:tc>
        <w:tc>
          <w:tcPr>
            <w:tcW w:w="2107" w:type="dxa"/>
            <w:shd w:val="clear" w:color="auto" w:fill="F1F1F1"/>
          </w:tcPr>
          <w:p>
            <w:pPr>
              <w:pStyle w:val="TableParagraph"/>
              <w:spacing w:before="34"/>
              <w:rPr>
                <w:b/>
                <w:sz w:val="18"/>
              </w:rPr>
            </w:pPr>
          </w:p>
          <w:p>
            <w:pPr>
              <w:pStyle w:val="TableParagraph"/>
              <w:ind w:left="89"/>
              <w:rPr>
                <w:b/>
                <w:sz w:val="18"/>
              </w:rPr>
            </w:pPr>
            <w:r>
              <w:rPr>
                <w:b/>
                <w:sz w:val="18"/>
              </w:rPr>
              <w:t>Medios</w:t>
            </w:r>
            <w:r>
              <w:rPr>
                <w:b/>
                <w:spacing w:val="-1"/>
                <w:sz w:val="18"/>
              </w:rPr>
              <w:t> </w:t>
            </w:r>
            <w:r>
              <w:rPr>
                <w:b/>
                <w:sz w:val="18"/>
              </w:rPr>
              <w:t>de</w:t>
            </w:r>
            <w:r>
              <w:rPr>
                <w:b/>
                <w:spacing w:val="-2"/>
                <w:sz w:val="18"/>
              </w:rPr>
              <w:t> verificación</w:t>
            </w:r>
          </w:p>
        </w:tc>
        <w:tc>
          <w:tcPr>
            <w:tcW w:w="1262" w:type="dxa"/>
            <w:shd w:val="clear" w:color="auto" w:fill="F1F1F1"/>
          </w:tcPr>
          <w:p>
            <w:pPr>
              <w:pStyle w:val="TableParagraph"/>
              <w:spacing w:before="34"/>
              <w:rPr>
                <w:b/>
                <w:sz w:val="18"/>
              </w:rPr>
            </w:pPr>
          </w:p>
          <w:p>
            <w:pPr>
              <w:pStyle w:val="TableParagraph"/>
              <w:ind w:left="11"/>
              <w:jc w:val="center"/>
              <w:rPr>
                <w:b/>
                <w:sz w:val="18"/>
              </w:rPr>
            </w:pPr>
            <w:r>
              <w:rPr>
                <w:b/>
                <w:spacing w:val="-2"/>
                <w:sz w:val="18"/>
              </w:rPr>
              <w:t>Responsable</w:t>
            </w:r>
          </w:p>
        </w:tc>
        <w:tc>
          <w:tcPr>
            <w:tcW w:w="1683" w:type="dxa"/>
            <w:shd w:val="clear" w:color="auto" w:fill="F1F1F1"/>
          </w:tcPr>
          <w:p>
            <w:pPr>
              <w:pStyle w:val="TableParagraph"/>
              <w:spacing w:before="138"/>
              <w:ind w:left="448" w:hanging="152"/>
              <w:rPr>
                <w:b/>
                <w:sz w:val="18"/>
              </w:rPr>
            </w:pPr>
            <w:r>
              <w:rPr>
                <w:b/>
                <w:spacing w:val="-2"/>
                <w:sz w:val="18"/>
              </w:rPr>
              <w:t>Presupuesto asignado</w:t>
            </w:r>
          </w:p>
        </w:tc>
        <w:tc>
          <w:tcPr>
            <w:tcW w:w="2551" w:type="dxa"/>
            <w:shd w:val="clear" w:color="auto" w:fill="F1F1F1"/>
          </w:tcPr>
          <w:p>
            <w:pPr>
              <w:pStyle w:val="TableParagraph"/>
              <w:spacing w:before="34"/>
              <w:rPr>
                <w:b/>
                <w:sz w:val="18"/>
              </w:rPr>
            </w:pPr>
          </w:p>
          <w:p>
            <w:pPr>
              <w:pStyle w:val="TableParagraph"/>
              <w:ind w:left="12"/>
              <w:jc w:val="center"/>
              <w:rPr>
                <w:b/>
                <w:sz w:val="18"/>
              </w:rPr>
            </w:pPr>
            <w:r>
              <w:rPr>
                <w:b/>
                <w:spacing w:val="-2"/>
                <w:sz w:val="18"/>
              </w:rPr>
              <w:t>Evento</w:t>
            </w:r>
          </w:p>
        </w:tc>
      </w:tr>
      <w:tr>
        <w:trPr>
          <w:trHeight w:val="765" w:hRule="atLeast"/>
        </w:trPr>
        <w:tc>
          <w:tcPr>
            <w:tcW w:w="14599" w:type="dxa"/>
            <w:gridSpan w:val="8"/>
            <w:shd w:val="clear" w:color="auto" w:fill="F1F1F1"/>
          </w:tcPr>
          <w:p>
            <w:pPr>
              <w:pStyle w:val="TableParagraph"/>
              <w:spacing w:before="174"/>
              <w:ind w:left="69"/>
              <w:rPr>
                <w:b/>
                <w:sz w:val="18"/>
              </w:rPr>
            </w:pPr>
            <w:r>
              <w:rPr>
                <w:b/>
                <w:sz w:val="18"/>
              </w:rPr>
              <w:t>Efecto:</w:t>
            </w:r>
            <w:r>
              <w:rPr>
                <w:b/>
                <w:spacing w:val="-1"/>
                <w:sz w:val="18"/>
              </w:rPr>
              <w:t> </w:t>
            </w:r>
            <w:r>
              <w:rPr>
                <w:b/>
                <w:sz w:val="18"/>
              </w:rPr>
              <w:t>Efectiva</w:t>
            </w:r>
            <w:r>
              <w:rPr>
                <w:b/>
                <w:spacing w:val="-3"/>
                <w:sz w:val="18"/>
              </w:rPr>
              <w:t> </w:t>
            </w:r>
            <w:r>
              <w:rPr>
                <w:b/>
                <w:sz w:val="18"/>
              </w:rPr>
              <w:t>gestión</w:t>
            </w:r>
            <w:r>
              <w:rPr>
                <w:b/>
                <w:spacing w:val="-1"/>
                <w:sz w:val="18"/>
              </w:rPr>
              <w:t> </w:t>
            </w:r>
            <w:r>
              <w:rPr>
                <w:b/>
                <w:sz w:val="18"/>
              </w:rPr>
              <w:t>de</w:t>
            </w:r>
            <w:r>
              <w:rPr>
                <w:b/>
                <w:spacing w:val="-3"/>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614" w:hRule="atLeast"/>
        </w:trPr>
        <w:tc>
          <w:tcPr>
            <w:tcW w:w="14599" w:type="dxa"/>
            <w:gridSpan w:val="8"/>
            <w:shd w:val="clear" w:color="auto" w:fill="DBE4F0"/>
          </w:tcPr>
          <w:p>
            <w:pPr>
              <w:pStyle w:val="TableParagraph"/>
              <w:spacing w:before="203"/>
              <w:ind w:left="69"/>
              <w:rPr>
                <w:b/>
                <w:sz w:val="18"/>
              </w:rPr>
            </w:pPr>
            <w:r>
              <w:rPr>
                <w:b/>
                <w:sz w:val="18"/>
              </w:rPr>
              <w:t>Producto</w:t>
            </w:r>
            <w:r>
              <w:rPr>
                <w:b/>
                <w:spacing w:val="-6"/>
                <w:sz w:val="18"/>
              </w:rPr>
              <w:t> </w:t>
            </w:r>
            <w:r>
              <w:rPr>
                <w:b/>
                <w:sz w:val="18"/>
              </w:rPr>
              <w:t>PAC</w:t>
            </w:r>
            <w:r>
              <w:rPr>
                <w:b/>
                <w:spacing w:val="-4"/>
                <w:sz w:val="18"/>
              </w:rPr>
              <w:t> </w:t>
            </w:r>
            <w:r>
              <w:rPr>
                <w:b/>
                <w:sz w:val="18"/>
              </w:rPr>
              <w:t>2.1:</w:t>
            </w:r>
            <w:r>
              <w:rPr>
                <w:b/>
                <w:spacing w:val="-3"/>
                <w:sz w:val="18"/>
              </w:rPr>
              <w:t> </w:t>
            </w:r>
            <w:r>
              <w:rPr>
                <w:b/>
                <w:sz w:val="18"/>
              </w:rPr>
              <w:t>Gestionar</w:t>
            </w:r>
            <w:r>
              <w:rPr>
                <w:b/>
                <w:spacing w:val="-3"/>
                <w:sz w:val="18"/>
              </w:rPr>
              <w:t> </w:t>
            </w:r>
            <w:r>
              <w:rPr>
                <w:b/>
                <w:sz w:val="18"/>
              </w:rPr>
              <w:t>el</w:t>
            </w:r>
            <w:r>
              <w:rPr>
                <w:b/>
                <w:spacing w:val="-3"/>
                <w:sz w:val="18"/>
              </w:rPr>
              <w:t> </w:t>
            </w:r>
            <w:r>
              <w:rPr>
                <w:b/>
                <w:sz w:val="18"/>
              </w:rPr>
              <w:t>cumplimiento</w:t>
            </w:r>
            <w:r>
              <w:rPr>
                <w:b/>
                <w:spacing w:val="-3"/>
                <w:sz w:val="18"/>
              </w:rPr>
              <w:t> </w:t>
            </w:r>
            <w:r>
              <w:rPr>
                <w:b/>
                <w:sz w:val="18"/>
              </w:rPr>
              <w:t>de</w:t>
            </w:r>
            <w:r>
              <w:rPr>
                <w:b/>
                <w:spacing w:val="-3"/>
                <w:sz w:val="18"/>
              </w:rPr>
              <w:t> </w:t>
            </w:r>
            <w:r>
              <w:rPr>
                <w:b/>
                <w:sz w:val="18"/>
              </w:rPr>
              <w:t>los</w:t>
            </w:r>
            <w:r>
              <w:rPr>
                <w:b/>
                <w:spacing w:val="-5"/>
                <w:sz w:val="18"/>
              </w:rPr>
              <w:t> </w:t>
            </w:r>
            <w:r>
              <w:rPr>
                <w:b/>
                <w:sz w:val="18"/>
              </w:rPr>
              <w:t>requerimientos</w:t>
            </w:r>
            <w:r>
              <w:rPr>
                <w:b/>
                <w:spacing w:val="-3"/>
                <w:sz w:val="18"/>
              </w:rPr>
              <w:t> </w:t>
            </w:r>
            <w:r>
              <w:rPr>
                <w:b/>
                <w:sz w:val="18"/>
              </w:rPr>
              <w:t>de</w:t>
            </w:r>
            <w:r>
              <w:rPr>
                <w:b/>
                <w:spacing w:val="-5"/>
                <w:sz w:val="18"/>
              </w:rPr>
              <w:t> </w:t>
            </w:r>
            <w:r>
              <w:rPr>
                <w:b/>
                <w:sz w:val="18"/>
              </w:rPr>
              <w:t>instancias</w:t>
            </w:r>
            <w:r>
              <w:rPr>
                <w:b/>
                <w:spacing w:val="-3"/>
                <w:sz w:val="18"/>
              </w:rPr>
              <w:t> </w:t>
            </w:r>
            <w:r>
              <w:rPr>
                <w:b/>
                <w:sz w:val="18"/>
              </w:rPr>
              <w:t>internas</w:t>
            </w:r>
            <w:r>
              <w:rPr>
                <w:b/>
                <w:spacing w:val="-3"/>
                <w:sz w:val="18"/>
              </w:rPr>
              <w:t> </w:t>
            </w:r>
            <w:r>
              <w:rPr>
                <w:b/>
                <w:sz w:val="18"/>
              </w:rPr>
              <w:t>y/o</w:t>
            </w:r>
            <w:r>
              <w:rPr>
                <w:b/>
                <w:spacing w:val="-3"/>
                <w:sz w:val="18"/>
              </w:rPr>
              <w:t> </w:t>
            </w:r>
            <w:r>
              <w:rPr>
                <w:b/>
                <w:sz w:val="18"/>
              </w:rPr>
              <w:t>externas</w:t>
            </w:r>
            <w:r>
              <w:rPr>
                <w:b/>
                <w:spacing w:val="-5"/>
                <w:sz w:val="18"/>
              </w:rPr>
              <w:t> </w:t>
            </w:r>
            <w:r>
              <w:rPr>
                <w:b/>
                <w:sz w:val="18"/>
              </w:rPr>
              <w:t>en</w:t>
            </w:r>
            <w:r>
              <w:rPr>
                <w:b/>
                <w:spacing w:val="-3"/>
                <w:sz w:val="18"/>
              </w:rPr>
              <w:t> </w:t>
            </w:r>
            <w:r>
              <w:rPr>
                <w:b/>
                <w:sz w:val="18"/>
              </w:rPr>
              <w:t>temas</w:t>
            </w:r>
            <w:r>
              <w:rPr>
                <w:b/>
                <w:spacing w:val="-3"/>
                <w:sz w:val="18"/>
              </w:rPr>
              <w:t> </w:t>
            </w:r>
            <w:r>
              <w:rPr>
                <w:b/>
                <w:sz w:val="18"/>
              </w:rPr>
              <w:t>de</w:t>
            </w:r>
            <w:r>
              <w:rPr>
                <w:b/>
                <w:spacing w:val="-3"/>
                <w:sz w:val="18"/>
              </w:rPr>
              <w:t> </w:t>
            </w:r>
            <w:r>
              <w:rPr>
                <w:b/>
                <w:sz w:val="18"/>
              </w:rPr>
              <w:t>control</w:t>
            </w:r>
            <w:r>
              <w:rPr>
                <w:b/>
                <w:spacing w:val="-3"/>
                <w:sz w:val="18"/>
              </w:rPr>
              <w:t> </w:t>
            </w:r>
            <w:r>
              <w:rPr>
                <w:b/>
                <w:spacing w:val="-2"/>
                <w:sz w:val="18"/>
              </w:rPr>
              <w:t>interno.</w:t>
            </w:r>
          </w:p>
        </w:tc>
      </w:tr>
      <w:tr>
        <w:trPr>
          <w:trHeight w:val="1514" w:hRule="atLeast"/>
        </w:trPr>
        <w:tc>
          <w:tcPr>
            <w:tcW w:w="3118" w:type="dxa"/>
          </w:tcPr>
          <w:p>
            <w:pPr>
              <w:pStyle w:val="TableParagraph"/>
              <w:rPr>
                <w:b/>
                <w:sz w:val="18"/>
              </w:rPr>
            </w:pPr>
          </w:p>
          <w:p>
            <w:pPr>
              <w:pStyle w:val="TableParagraph"/>
              <w:spacing w:before="31"/>
              <w:rPr>
                <w:b/>
                <w:sz w:val="18"/>
              </w:rPr>
            </w:pPr>
          </w:p>
          <w:p>
            <w:pPr>
              <w:pStyle w:val="TableParagraph"/>
              <w:ind w:left="69"/>
              <w:rPr>
                <w:sz w:val="18"/>
              </w:rPr>
            </w:pPr>
            <w:r>
              <w:rPr>
                <w:b/>
                <w:sz w:val="18"/>
              </w:rPr>
              <w:t>Actividad</w:t>
            </w:r>
            <w:r>
              <w:rPr>
                <w:b/>
                <w:spacing w:val="-11"/>
                <w:sz w:val="18"/>
              </w:rPr>
              <w:t> </w:t>
            </w:r>
            <w:r>
              <w:rPr>
                <w:b/>
                <w:sz w:val="18"/>
              </w:rPr>
              <w:t>PAC</w:t>
            </w:r>
            <w:r>
              <w:rPr>
                <w:b/>
                <w:spacing w:val="-9"/>
                <w:sz w:val="18"/>
              </w:rPr>
              <w:t> </w:t>
            </w:r>
            <w:r>
              <w:rPr>
                <w:b/>
                <w:sz w:val="18"/>
              </w:rPr>
              <w:t>2.1.1</w:t>
            </w:r>
            <w:r>
              <w:rPr>
                <w:sz w:val="18"/>
              </w:rPr>
              <w:t>:</w:t>
            </w:r>
            <w:r>
              <w:rPr>
                <w:spacing w:val="-9"/>
                <w:sz w:val="18"/>
              </w:rPr>
              <w:t> </w:t>
            </w:r>
            <w:r>
              <w:rPr>
                <w:sz w:val="18"/>
              </w:rPr>
              <w:t>Gestionar</w:t>
            </w:r>
            <w:r>
              <w:rPr>
                <w:spacing w:val="-9"/>
                <w:sz w:val="18"/>
              </w:rPr>
              <w:t> </w:t>
            </w:r>
            <w:r>
              <w:rPr>
                <w:sz w:val="18"/>
              </w:rPr>
              <w:t>la contratación de los servicios de auditoría externa.</w:t>
            </w:r>
          </w:p>
        </w:tc>
        <w:tc>
          <w:tcPr>
            <w:tcW w:w="1265" w:type="dxa"/>
          </w:tcPr>
          <w:p>
            <w:pPr>
              <w:pStyle w:val="TableParagraph"/>
              <w:rPr>
                <w:b/>
                <w:sz w:val="18"/>
              </w:rPr>
            </w:pPr>
          </w:p>
          <w:p>
            <w:pPr>
              <w:pStyle w:val="TableParagraph"/>
              <w:rPr>
                <w:b/>
                <w:sz w:val="18"/>
              </w:rPr>
            </w:pPr>
          </w:p>
          <w:p>
            <w:pPr>
              <w:pStyle w:val="TableParagraph"/>
              <w:spacing w:before="33"/>
              <w:rPr>
                <w:b/>
                <w:sz w:val="18"/>
              </w:rPr>
            </w:pPr>
          </w:p>
          <w:p>
            <w:pPr>
              <w:pStyle w:val="TableParagraph"/>
              <w:ind w:left="6"/>
              <w:jc w:val="center"/>
              <w:rPr>
                <w:sz w:val="18"/>
              </w:rPr>
            </w:pPr>
            <w:r>
              <w:rPr>
                <w:spacing w:val="-10"/>
                <w:sz w:val="18"/>
              </w:rPr>
              <w:t>1</w:t>
            </w:r>
          </w:p>
        </w:tc>
        <w:tc>
          <w:tcPr>
            <w:tcW w:w="1183" w:type="dxa"/>
          </w:tcPr>
          <w:p>
            <w:pPr>
              <w:pStyle w:val="TableParagraph"/>
              <w:rPr>
                <w:b/>
                <w:sz w:val="18"/>
              </w:rPr>
            </w:pPr>
          </w:p>
          <w:p>
            <w:pPr>
              <w:pStyle w:val="TableParagraph"/>
              <w:rPr>
                <w:b/>
                <w:sz w:val="18"/>
              </w:rPr>
            </w:pPr>
          </w:p>
          <w:p>
            <w:pPr>
              <w:pStyle w:val="TableParagraph"/>
              <w:spacing w:before="33"/>
              <w:rPr>
                <w:b/>
                <w:sz w:val="18"/>
              </w:rPr>
            </w:pPr>
          </w:p>
          <w:p>
            <w:pPr>
              <w:pStyle w:val="TableParagraph"/>
              <w:ind w:left="7"/>
              <w:jc w:val="center"/>
              <w:rPr>
                <w:sz w:val="18"/>
              </w:rPr>
            </w:pPr>
            <w:r>
              <w:rPr>
                <w:spacing w:val="-10"/>
                <w:sz w:val="18"/>
              </w:rPr>
              <w:t>1</w:t>
            </w:r>
          </w:p>
        </w:tc>
        <w:tc>
          <w:tcPr>
            <w:tcW w:w="1430" w:type="dxa"/>
          </w:tcPr>
          <w:p>
            <w:pPr>
              <w:pStyle w:val="TableParagraph"/>
              <w:rPr>
                <w:b/>
                <w:sz w:val="18"/>
              </w:rPr>
            </w:pPr>
          </w:p>
          <w:p>
            <w:pPr>
              <w:pStyle w:val="TableParagraph"/>
              <w:spacing w:before="31"/>
              <w:rPr>
                <w:b/>
                <w:sz w:val="18"/>
              </w:rPr>
            </w:pPr>
          </w:p>
          <w:p>
            <w:pPr>
              <w:pStyle w:val="TableParagraph"/>
              <w:ind w:left="70"/>
              <w:rPr>
                <w:sz w:val="18"/>
              </w:rPr>
            </w:pPr>
            <w:r>
              <w:rPr>
                <w:sz w:val="18"/>
              </w:rPr>
              <w:t>Cantidad de </w:t>
            </w:r>
            <w:r>
              <w:rPr>
                <w:spacing w:val="-2"/>
                <w:sz w:val="18"/>
              </w:rPr>
              <w:t>contrataciones gestionadas</w:t>
            </w:r>
          </w:p>
        </w:tc>
        <w:tc>
          <w:tcPr>
            <w:tcW w:w="2107" w:type="dxa"/>
          </w:tcPr>
          <w:p>
            <w:pPr>
              <w:pStyle w:val="TableParagraph"/>
              <w:rPr>
                <w:b/>
                <w:sz w:val="18"/>
              </w:rPr>
            </w:pPr>
          </w:p>
          <w:p>
            <w:pPr>
              <w:pStyle w:val="TableParagraph"/>
              <w:spacing w:before="31"/>
              <w:rPr>
                <w:b/>
                <w:sz w:val="18"/>
              </w:rPr>
            </w:pPr>
          </w:p>
          <w:p>
            <w:pPr>
              <w:pStyle w:val="TableParagraph"/>
              <w:numPr>
                <w:ilvl w:val="0"/>
                <w:numId w:val="34"/>
              </w:numPr>
              <w:tabs>
                <w:tab w:pos="270" w:val="left" w:leader="none"/>
              </w:tabs>
              <w:spacing w:line="240" w:lineRule="auto" w:before="0" w:after="0"/>
              <w:ind w:left="270" w:right="0" w:hanging="200"/>
              <w:jc w:val="left"/>
              <w:rPr>
                <w:sz w:val="18"/>
              </w:rPr>
            </w:pPr>
            <w:r>
              <w:rPr>
                <w:sz w:val="18"/>
              </w:rPr>
              <w:t>Contrato</w:t>
            </w:r>
            <w:r>
              <w:rPr>
                <w:spacing w:val="-7"/>
                <w:sz w:val="18"/>
              </w:rPr>
              <w:t> </w:t>
            </w:r>
            <w:r>
              <w:rPr>
                <w:sz w:val="18"/>
              </w:rPr>
              <w:t>de</w:t>
            </w:r>
            <w:r>
              <w:rPr>
                <w:spacing w:val="-4"/>
                <w:sz w:val="18"/>
              </w:rPr>
              <w:t> SICOP</w:t>
            </w:r>
          </w:p>
          <w:p>
            <w:pPr>
              <w:pStyle w:val="TableParagraph"/>
              <w:numPr>
                <w:ilvl w:val="0"/>
                <w:numId w:val="34"/>
              </w:numPr>
              <w:tabs>
                <w:tab w:pos="270" w:val="left" w:leader="none"/>
              </w:tabs>
              <w:spacing w:line="207" w:lineRule="exact" w:before="2" w:after="0"/>
              <w:ind w:left="270" w:right="0" w:hanging="200"/>
              <w:jc w:val="left"/>
              <w:rPr>
                <w:sz w:val="18"/>
              </w:rPr>
            </w:pPr>
            <w:r>
              <w:rPr>
                <w:sz w:val="18"/>
              </w:rPr>
              <w:t>Pedido</w:t>
            </w:r>
            <w:r>
              <w:rPr>
                <w:spacing w:val="-4"/>
                <w:sz w:val="18"/>
              </w:rPr>
              <w:t> </w:t>
            </w:r>
            <w:r>
              <w:rPr>
                <w:sz w:val="18"/>
              </w:rPr>
              <w:t>de</w:t>
            </w:r>
            <w:r>
              <w:rPr>
                <w:spacing w:val="-1"/>
                <w:sz w:val="18"/>
              </w:rPr>
              <w:t> </w:t>
            </w:r>
            <w:r>
              <w:rPr>
                <w:spacing w:val="-2"/>
                <w:sz w:val="18"/>
              </w:rPr>
              <w:t>compra.</w:t>
            </w:r>
          </w:p>
          <w:p>
            <w:pPr>
              <w:pStyle w:val="TableParagraph"/>
              <w:numPr>
                <w:ilvl w:val="0"/>
                <w:numId w:val="34"/>
              </w:numPr>
              <w:tabs>
                <w:tab w:pos="270" w:val="left" w:leader="none"/>
              </w:tabs>
              <w:spacing w:line="207" w:lineRule="exact" w:before="0" w:after="0"/>
              <w:ind w:left="270" w:right="0" w:hanging="200"/>
              <w:jc w:val="left"/>
              <w:rPr>
                <w:sz w:val="18"/>
              </w:rPr>
            </w:pPr>
            <w:r>
              <w:rPr>
                <w:sz w:val="18"/>
              </w:rPr>
              <w:t>Expediente</w:t>
            </w:r>
            <w:r>
              <w:rPr>
                <w:spacing w:val="-5"/>
                <w:sz w:val="18"/>
              </w:rPr>
              <w:t> </w:t>
            </w:r>
            <w:r>
              <w:rPr>
                <w:sz w:val="18"/>
              </w:rPr>
              <w:t>de</w:t>
            </w:r>
            <w:r>
              <w:rPr>
                <w:spacing w:val="-2"/>
                <w:sz w:val="18"/>
              </w:rPr>
              <w:t> SICOP</w:t>
            </w:r>
          </w:p>
        </w:tc>
        <w:tc>
          <w:tcPr>
            <w:tcW w:w="1262" w:type="dxa"/>
          </w:tcPr>
          <w:p>
            <w:pPr>
              <w:pStyle w:val="TableParagraph"/>
              <w:rPr>
                <w:b/>
                <w:sz w:val="18"/>
              </w:rPr>
            </w:pPr>
          </w:p>
          <w:p>
            <w:pPr>
              <w:pStyle w:val="TableParagraph"/>
              <w:rPr>
                <w:b/>
                <w:sz w:val="18"/>
              </w:rPr>
            </w:pPr>
          </w:p>
          <w:p>
            <w:pPr>
              <w:pStyle w:val="TableParagraph"/>
              <w:spacing w:before="33"/>
              <w:rPr>
                <w:b/>
                <w:sz w:val="18"/>
              </w:rPr>
            </w:pPr>
          </w:p>
          <w:p>
            <w:pPr>
              <w:pStyle w:val="TableParagraph"/>
              <w:ind w:left="11" w:right="3"/>
              <w:jc w:val="center"/>
              <w:rPr>
                <w:sz w:val="18"/>
              </w:rPr>
            </w:pPr>
            <w:r>
              <w:rPr>
                <w:spacing w:val="-5"/>
                <w:sz w:val="18"/>
              </w:rPr>
              <w:t>GG</w:t>
            </w:r>
          </w:p>
        </w:tc>
        <w:tc>
          <w:tcPr>
            <w:tcW w:w="1683" w:type="dxa"/>
          </w:tcPr>
          <w:p>
            <w:pPr>
              <w:pStyle w:val="TableParagraph"/>
              <w:rPr>
                <w:b/>
                <w:sz w:val="18"/>
              </w:rPr>
            </w:pPr>
          </w:p>
          <w:p>
            <w:pPr>
              <w:pStyle w:val="TableParagraph"/>
              <w:rPr>
                <w:b/>
                <w:sz w:val="18"/>
              </w:rPr>
            </w:pPr>
          </w:p>
          <w:p>
            <w:pPr>
              <w:pStyle w:val="TableParagraph"/>
              <w:spacing w:before="33"/>
              <w:rPr>
                <w:b/>
                <w:sz w:val="18"/>
              </w:rPr>
            </w:pPr>
          </w:p>
          <w:p>
            <w:pPr>
              <w:pStyle w:val="TableParagraph"/>
              <w:ind w:left="582"/>
              <w:rPr>
                <w:sz w:val="18"/>
              </w:rPr>
            </w:pPr>
            <w:r>
              <w:rPr>
                <w:sz w:val="18"/>
              </w:rPr>
              <w:t>₡45</w:t>
            </w:r>
            <w:r>
              <w:rPr>
                <w:spacing w:val="-2"/>
                <w:sz w:val="18"/>
              </w:rPr>
              <w:t> </w:t>
            </w:r>
            <w:r>
              <w:rPr>
                <w:sz w:val="18"/>
              </w:rPr>
              <w:t>000</w:t>
            </w:r>
            <w:r>
              <w:rPr>
                <w:spacing w:val="-2"/>
                <w:sz w:val="18"/>
              </w:rPr>
              <w:t> </w:t>
            </w:r>
            <w:r>
              <w:rPr>
                <w:spacing w:val="-5"/>
                <w:sz w:val="18"/>
              </w:rPr>
              <w:t>000</w:t>
            </w:r>
          </w:p>
        </w:tc>
        <w:tc>
          <w:tcPr>
            <w:tcW w:w="2551" w:type="dxa"/>
            <w:vMerge w:val="restart"/>
          </w:tcPr>
          <w:p>
            <w:pPr>
              <w:pStyle w:val="TableParagraph"/>
              <w:rPr>
                <w:b/>
                <w:sz w:val="18"/>
              </w:rPr>
            </w:pPr>
          </w:p>
          <w:p>
            <w:pPr>
              <w:pStyle w:val="TableParagraph"/>
              <w:rPr>
                <w:b/>
                <w:sz w:val="18"/>
              </w:rPr>
            </w:pPr>
          </w:p>
          <w:p>
            <w:pPr>
              <w:pStyle w:val="TableParagraph"/>
              <w:spacing w:before="141"/>
              <w:rPr>
                <w:b/>
                <w:sz w:val="18"/>
              </w:rPr>
            </w:pPr>
          </w:p>
          <w:p>
            <w:pPr>
              <w:pStyle w:val="TableParagraph"/>
              <w:ind w:left="71"/>
              <w:rPr>
                <w:sz w:val="18"/>
              </w:rPr>
            </w:pPr>
            <w:r>
              <w:rPr>
                <w:sz w:val="18"/>
              </w:rPr>
              <w:t>Posible no participación de oferentes en el proceso de contratación</w:t>
            </w:r>
            <w:r>
              <w:rPr>
                <w:spacing w:val="-13"/>
                <w:sz w:val="18"/>
              </w:rPr>
              <w:t> </w:t>
            </w:r>
            <w:r>
              <w:rPr>
                <w:sz w:val="18"/>
              </w:rPr>
              <w:t>por</w:t>
            </w:r>
            <w:r>
              <w:rPr>
                <w:spacing w:val="-12"/>
                <w:sz w:val="18"/>
              </w:rPr>
              <w:t> </w:t>
            </w:r>
            <w:r>
              <w:rPr>
                <w:sz w:val="18"/>
              </w:rPr>
              <w:t>servicios</w:t>
            </w:r>
            <w:r>
              <w:rPr>
                <w:spacing w:val="-13"/>
                <w:sz w:val="18"/>
              </w:rPr>
              <w:t> </w:t>
            </w:r>
            <w:r>
              <w:rPr>
                <w:sz w:val="18"/>
              </w:rPr>
              <w:t>de auditoría externa.</w:t>
            </w:r>
          </w:p>
          <w:p>
            <w:pPr>
              <w:pStyle w:val="TableParagraph"/>
              <w:spacing w:before="206"/>
              <w:ind w:left="71"/>
              <w:rPr>
                <w:sz w:val="18"/>
              </w:rPr>
            </w:pPr>
            <w:r>
              <w:rPr>
                <w:sz w:val="18"/>
              </w:rPr>
              <w:t>Responsables no</w:t>
            </w:r>
            <w:r>
              <w:rPr>
                <w:spacing w:val="-2"/>
                <w:sz w:val="18"/>
              </w:rPr>
              <w:t> </w:t>
            </w:r>
            <w:r>
              <w:rPr>
                <w:sz w:val="18"/>
              </w:rPr>
              <w:t>ejecutan en tiempo</w:t>
            </w:r>
            <w:r>
              <w:rPr>
                <w:spacing w:val="-11"/>
                <w:sz w:val="18"/>
              </w:rPr>
              <w:t> </w:t>
            </w:r>
            <w:r>
              <w:rPr>
                <w:sz w:val="18"/>
              </w:rPr>
              <w:t>y</w:t>
            </w:r>
            <w:r>
              <w:rPr>
                <w:spacing w:val="-9"/>
                <w:sz w:val="18"/>
              </w:rPr>
              <w:t> </w:t>
            </w:r>
            <w:r>
              <w:rPr>
                <w:sz w:val="18"/>
              </w:rPr>
              <w:t>forma</w:t>
            </w:r>
            <w:r>
              <w:rPr>
                <w:spacing w:val="-10"/>
                <w:sz w:val="18"/>
              </w:rPr>
              <w:t> </w:t>
            </w:r>
            <w:r>
              <w:rPr>
                <w:sz w:val="18"/>
              </w:rPr>
              <w:t>la</w:t>
            </w:r>
            <w:r>
              <w:rPr>
                <w:spacing w:val="-10"/>
                <w:sz w:val="18"/>
              </w:rPr>
              <w:t> </w:t>
            </w:r>
            <w:r>
              <w:rPr>
                <w:sz w:val="18"/>
              </w:rPr>
              <w:t>contratación por servicios de auditoría </w:t>
            </w:r>
            <w:r>
              <w:rPr>
                <w:spacing w:val="-2"/>
                <w:sz w:val="18"/>
              </w:rPr>
              <w:t>externa.</w:t>
            </w:r>
          </w:p>
        </w:tc>
      </w:tr>
      <w:tr>
        <w:trPr>
          <w:trHeight w:val="1864" w:hRule="atLeast"/>
        </w:trPr>
        <w:tc>
          <w:tcPr>
            <w:tcW w:w="3118" w:type="dxa"/>
          </w:tcPr>
          <w:p>
            <w:pPr>
              <w:pStyle w:val="TableParagraph"/>
              <w:rPr>
                <w:b/>
                <w:sz w:val="18"/>
              </w:rPr>
            </w:pPr>
          </w:p>
          <w:p>
            <w:pPr>
              <w:pStyle w:val="TableParagraph"/>
              <w:rPr>
                <w:b/>
                <w:sz w:val="18"/>
              </w:rPr>
            </w:pPr>
          </w:p>
          <w:p>
            <w:pPr>
              <w:pStyle w:val="TableParagraph"/>
              <w:ind w:left="69"/>
              <w:rPr>
                <w:sz w:val="18"/>
              </w:rPr>
            </w:pPr>
            <w:r>
              <w:rPr>
                <w:b/>
                <w:sz w:val="18"/>
              </w:rPr>
              <w:t>Actividad</w:t>
            </w:r>
            <w:r>
              <w:rPr>
                <w:b/>
                <w:spacing w:val="-11"/>
                <w:sz w:val="18"/>
              </w:rPr>
              <w:t> </w:t>
            </w:r>
            <w:r>
              <w:rPr>
                <w:b/>
                <w:sz w:val="18"/>
              </w:rPr>
              <w:t>PAC</w:t>
            </w:r>
            <w:r>
              <w:rPr>
                <w:b/>
                <w:spacing w:val="-9"/>
                <w:sz w:val="18"/>
              </w:rPr>
              <w:t> </w:t>
            </w:r>
            <w:r>
              <w:rPr>
                <w:b/>
                <w:sz w:val="18"/>
              </w:rPr>
              <w:t>2.1.2:</w:t>
            </w:r>
            <w:r>
              <w:rPr>
                <w:b/>
                <w:spacing w:val="-8"/>
                <w:sz w:val="18"/>
              </w:rPr>
              <w:t> </w:t>
            </w:r>
            <w:r>
              <w:rPr>
                <w:sz w:val="18"/>
              </w:rPr>
              <w:t>Gestionar</w:t>
            </w:r>
            <w:r>
              <w:rPr>
                <w:spacing w:val="-9"/>
                <w:sz w:val="18"/>
              </w:rPr>
              <w:t> </w:t>
            </w:r>
            <w:r>
              <w:rPr>
                <w:sz w:val="18"/>
              </w:rPr>
              <w:t>la oficialización de los resultados y productos</w:t>
            </w:r>
            <w:r>
              <w:rPr>
                <w:spacing w:val="-5"/>
                <w:sz w:val="18"/>
              </w:rPr>
              <w:t> </w:t>
            </w:r>
            <w:r>
              <w:rPr>
                <w:sz w:val="18"/>
              </w:rPr>
              <w:t>emitidos</w:t>
            </w:r>
            <w:r>
              <w:rPr>
                <w:spacing w:val="-8"/>
                <w:sz w:val="18"/>
              </w:rPr>
              <w:t> </w:t>
            </w:r>
            <w:r>
              <w:rPr>
                <w:sz w:val="18"/>
              </w:rPr>
              <w:t>por</w:t>
            </w:r>
            <w:r>
              <w:rPr>
                <w:spacing w:val="-8"/>
                <w:sz w:val="18"/>
              </w:rPr>
              <w:t> </w:t>
            </w:r>
            <w:r>
              <w:rPr>
                <w:sz w:val="18"/>
              </w:rPr>
              <w:t>la</w:t>
            </w:r>
            <w:r>
              <w:rPr>
                <w:spacing w:val="-6"/>
                <w:sz w:val="18"/>
              </w:rPr>
              <w:t> </w:t>
            </w:r>
            <w:r>
              <w:rPr>
                <w:sz w:val="18"/>
              </w:rPr>
              <w:t>auditoría externa producto de los servicios </w:t>
            </w:r>
            <w:r>
              <w:rPr>
                <w:spacing w:val="-2"/>
                <w:sz w:val="18"/>
              </w:rPr>
              <w:t>contratados.</w:t>
            </w:r>
          </w:p>
        </w:tc>
        <w:tc>
          <w:tcPr>
            <w:tcW w:w="1265"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6"/>
              <w:jc w:val="center"/>
              <w:rPr>
                <w:sz w:val="18"/>
              </w:rPr>
            </w:pPr>
            <w:r>
              <w:rPr>
                <w:spacing w:val="-10"/>
                <w:sz w:val="18"/>
              </w:rPr>
              <w:t>4</w:t>
            </w:r>
          </w:p>
        </w:tc>
        <w:tc>
          <w:tcPr>
            <w:tcW w:w="1183"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7"/>
              <w:jc w:val="center"/>
              <w:rPr>
                <w:sz w:val="18"/>
              </w:rPr>
            </w:pPr>
            <w:r>
              <w:rPr>
                <w:spacing w:val="-10"/>
                <w:sz w:val="18"/>
              </w:rPr>
              <w:t>4</w:t>
            </w:r>
          </w:p>
        </w:tc>
        <w:tc>
          <w:tcPr>
            <w:tcW w:w="1430" w:type="dxa"/>
          </w:tcPr>
          <w:p>
            <w:pPr>
              <w:pStyle w:val="TableParagraph"/>
              <w:spacing w:before="1"/>
              <w:ind w:left="70" w:right="182"/>
              <w:rPr>
                <w:sz w:val="18"/>
              </w:rPr>
            </w:pPr>
            <w:r>
              <w:rPr>
                <w:sz w:val="18"/>
              </w:rPr>
              <w:t>Cantidad de </w:t>
            </w:r>
            <w:r>
              <w:rPr>
                <w:spacing w:val="-2"/>
                <w:sz w:val="18"/>
              </w:rPr>
              <w:t>entregables </w:t>
            </w:r>
            <w:r>
              <w:rPr>
                <w:sz w:val="18"/>
              </w:rPr>
              <w:t>recibidos con los resultados de</w:t>
            </w:r>
            <w:r>
              <w:rPr>
                <w:spacing w:val="-15"/>
                <w:sz w:val="18"/>
              </w:rPr>
              <w:t> </w:t>
            </w:r>
            <w:r>
              <w:rPr>
                <w:sz w:val="18"/>
              </w:rPr>
              <w:t>la</w:t>
            </w:r>
            <w:r>
              <w:rPr>
                <w:spacing w:val="-12"/>
                <w:sz w:val="18"/>
              </w:rPr>
              <w:t> </w:t>
            </w:r>
            <w:r>
              <w:rPr>
                <w:sz w:val="18"/>
              </w:rPr>
              <w:t>Auditoría </w:t>
            </w:r>
            <w:r>
              <w:rPr>
                <w:spacing w:val="-2"/>
                <w:sz w:val="18"/>
              </w:rPr>
              <w:t>Externa, </w:t>
            </w:r>
            <w:r>
              <w:rPr>
                <w:sz w:val="18"/>
              </w:rPr>
              <w:t>aprobados</w:t>
            </w:r>
            <w:r>
              <w:rPr>
                <w:spacing w:val="-13"/>
                <w:sz w:val="18"/>
              </w:rPr>
              <w:t> </w:t>
            </w:r>
            <w:r>
              <w:rPr>
                <w:sz w:val="18"/>
              </w:rPr>
              <w:t>por </w:t>
            </w:r>
            <w:r>
              <w:rPr>
                <w:spacing w:val="-2"/>
                <w:sz w:val="18"/>
              </w:rPr>
              <w:t>Consejo</w:t>
            </w:r>
          </w:p>
          <w:p>
            <w:pPr>
              <w:pStyle w:val="TableParagraph"/>
              <w:spacing w:line="188" w:lineRule="exact"/>
              <w:ind w:left="70"/>
              <w:rPr>
                <w:sz w:val="18"/>
              </w:rPr>
            </w:pPr>
            <w:r>
              <w:rPr>
                <w:spacing w:val="-2"/>
                <w:sz w:val="18"/>
              </w:rPr>
              <w:t>Directivo</w:t>
            </w:r>
          </w:p>
        </w:tc>
        <w:tc>
          <w:tcPr>
            <w:tcW w:w="2107" w:type="dxa"/>
          </w:tcPr>
          <w:p>
            <w:pPr>
              <w:pStyle w:val="TableParagraph"/>
              <w:rPr>
                <w:b/>
                <w:sz w:val="18"/>
              </w:rPr>
            </w:pPr>
          </w:p>
          <w:p>
            <w:pPr>
              <w:pStyle w:val="TableParagraph"/>
              <w:spacing w:before="103"/>
              <w:rPr>
                <w:b/>
                <w:sz w:val="18"/>
              </w:rPr>
            </w:pPr>
          </w:p>
          <w:p>
            <w:pPr>
              <w:pStyle w:val="TableParagraph"/>
              <w:numPr>
                <w:ilvl w:val="0"/>
                <w:numId w:val="35"/>
              </w:numPr>
              <w:tabs>
                <w:tab w:pos="270" w:val="left" w:leader="none"/>
              </w:tabs>
              <w:spacing w:line="240" w:lineRule="auto" w:before="0" w:after="0"/>
              <w:ind w:left="70" w:right="174" w:firstLine="0"/>
              <w:jc w:val="left"/>
              <w:rPr>
                <w:sz w:val="18"/>
              </w:rPr>
            </w:pPr>
            <w:r>
              <w:rPr>
                <w:sz w:val="18"/>
              </w:rPr>
              <w:t>Informes</w:t>
            </w:r>
            <w:r>
              <w:rPr>
                <w:spacing w:val="-13"/>
                <w:sz w:val="18"/>
              </w:rPr>
              <w:t> </w:t>
            </w:r>
            <w:r>
              <w:rPr>
                <w:sz w:val="18"/>
              </w:rPr>
              <w:t>entregados al IMAS.</w:t>
            </w:r>
          </w:p>
          <w:p>
            <w:pPr>
              <w:pStyle w:val="TableParagraph"/>
              <w:numPr>
                <w:ilvl w:val="0"/>
                <w:numId w:val="35"/>
              </w:numPr>
              <w:tabs>
                <w:tab w:pos="270" w:val="left" w:leader="none"/>
              </w:tabs>
              <w:spacing w:line="240" w:lineRule="auto" w:before="2" w:after="0"/>
              <w:ind w:left="70" w:right="153" w:firstLine="0"/>
              <w:jc w:val="left"/>
              <w:rPr>
                <w:sz w:val="18"/>
              </w:rPr>
            </w:pPr>
            <w:r>
              <w:rPr>
                <w:sz w:val="18"/>
              </w:rPr>
              <w:t>Acuerdo</w:t>
            </w:r>
            <w:r>
              <w:rPr>
                <w:spacing w:val="-15"/>
                <w:sz w:val="18"/>
              </w:rPr>
              <w:t> </w:t>
            </w:r>
            <w:r>
              <w:rPr>
                <w:sz w:val="18"/>
              </w:rPr>
              <w:t>del</w:t>
            </w:r>
            <w:r>
              <w:rPr>
                <w:spacing w:val="-12"/>
                <w:sz w:val="18"/>
              </w:rPr>
              <w:t> </w:t>
            </w:r>
            <w:r>
              <w:rPr>
                <w:sz w:val="18"/>
              </w:rPr>
              <w:t>Consejo </w:t>
            </w:r>
            <w:r>
              <w:rPr>
                <w:spacing w:val="-2"/>
                <w:sz w:val="18"/>
              </w:rPr>
              <w:t>Directivo</w:t>
            </w:r>
          </w:p>
        </w:tc>
        <w:tc>
          <w:tcPr>
            <w:tcW w:w="1262"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11" w:right="3"/>
              <w:jc w:val="center"/>
              <w:rPr>
                <w:sz w:val="18"/>
              </w:rPr>
            </w:pPr>
            <w:r>
              <w:rPr>
                <w:spacing w:val="-5"/>
                <w:sz w:val="18"/>
              </w:rPr>
              <w:t>GG</w:t>
            </w:r>
          </w:p>
        </w:tc>
        <w:tc>
          <w:tcPr>
            <w:tcW w:w="1683" w:type="dxa"/>
          </w:tcPr>
          <w:p>
            <w:pPr>
              <w:pStyle w:val="TableParagraph"/>
              <w:rPr>
                <w:rFonts w:ascii="Times New Roman"/>
                <w:sz w:val="18"/>
              </w:rPr>
            </w:pPr>
          </w:p>
        </w:tc>
        <w:tc>
          <w:tcPr>
            <w:tcW w:w="2551"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36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18"/>
        <w:gridCol w:w="1306"/>
        <w:gridCol w:w="1202"/>
        <w:gridCol w:w="1408"/>
        <w:gridCol w:w="1413"/>
        <w:gridCol w:w="1384"/>
        <w:gridCol w:w="1934"/>
        <w:gridCol w:w="2550"/>
      </w:tblGrid>
      <w:tr>
        <w:trPr>
          <w:trHeight w:val="645" w:hRule="atLeast"/>
        </w:trPr>
        <w:tc>
          <w:tcPr>
            <w:tcW w:w="3118" w:type="dxa"/>
            <w:shd w:val="clear" w:color="auto" w:fill="E8E8E8"/>
          </w:tcPr>
          <w:p>
            <w:pPr>
              <w:pStyle w:val="TableParagraph"/>
              <w:spacing w:before="12"/>
              <w:rPr>
                <w:b/>
                <w:sz w:val="18"/>
              </w:rPr>
            </w:pPr>
          </w:p>
          <w:p>
            <w:pPr>
              <w:pStyle w:val="TableParagraph"/>
              <w:ind w:left="587"/>
              <w:rPr>
                <w:b/>
                <w:sz w:val="18"/>
              </w:rPr>
            </w:pPr>
            <w:r>
              <w:rPr>
                <w:b/>
                <w:sz w:val="18"/>
              </w:rPr>
              <w:t>Objetivos</w:t>
            </w:r>
            <w:r>
              <w:rPr>
                <w:b/>
                <w:spacing w:val="-4"/>
                <w:sz w:val="18"/>
              </w:rPr>
              <w:t> </w:t>
            </w:r>
            <w:r>
              <w:rPr>
                <w:b/>
                <w:sz w:val="18"/>
              </w:rPr>
              <w:t>/</w:t>
            </w:r>
            <w:r>
              <w:rPr>
                <w:b/>
                <w:spacing w:val="-2"/>
                <w:sz w:val="18"/>
              </w:rPr>
              <w:t> Resultados</w:t>
            </w:r>
          </w:p>
        </w:tc>
        <w:tc>
          <w:tcPr>
            <w:tcW w:w="1306" w:type="dxa"/>
            <w:shd w:val="clear" w:color="auto" w:fill="E8E8E8"/>
          </w:tcPr>
          <w:p>
            <w:pPr>
              <w:pStyle w:val="TableParagraph"/>
              <w:spacing w:before="116"/>
              <w:ind w:left="390" w:right="164" w:hanging="216"/>
              <w:rPr>
                <w:b/>
                <w:sz w:val="18"/>
              </w:rPr>
            </w:pPr>
            <w:r>
              <w:rPr>
                <w:b/>
                <w:sz w:val="18"/>
              </w:rPr>
              <w:t>Línea</w:t>
            </w:r>
            <w:r>
              <w:rPr>
                <w:b/>
                <w:spacing w:val="-13"/>
                <w:sz w:val="18"/>
              </w:rPr>
              <w:t> </w:t>
            </w:r>
            <w:r>
              <w:rPr>
                <w:b/>
                <w:sz w:val="18"/>
              </w:rPr>
              <w:t>Base </w:t>
            </w:r>
            <w:r>
              <w:rPr>
                <w:b/>
                <w:spacing w:val="-2"/>
                <w:sz w:val="18"/>
              </w:rPr>
              <w:t>(2025)</w:t>
            </w:r>
          </w:p>
        </w:tc>
        <w:tc>
          <w:tcPr>
            <w:tcW w:w="1202" w:type="dxa"/>
            <w:shd w:val="clear" w:color="auto" w:fill="E8E8E8"/>
          </w:tcPr>
          <w:p>
            <w:pPr>
              <w:pStyle w:val="TableParagraph"/>
              <w:spacing w:before="11"/>
              <w:ind w:left="12" w:right="6"/>
              <w:jc w:val="center"/>
              <w:rPr>
                <w:b/>
                <w:sz w:val="18"/>
              </w:rPr>
            </w:pPr>
            <w:r>
              <w:rPr>
                <w:b/>
                <w:spacing w:val="-4"/>
                <w:sz w:val="18"/>
              </w:rPr>
              <w:t>Meta</w:t>
            </w:r>
          </w:p>
          <w:p>
            <w:pPr>
              <w:pStyle w:val="TableParagraph"/>
              <w:spacing w:line="206" w:lineRule="exact"/>
              <w:ind w:left="12" w:right="3"/>
              <w:jc w:val="center"/>
              <w:rPr>
                <w:b/>
                <w:sz w:val="18"/>
              </w:rPr>
            </w:pPr>
            <w:r>
              <w:rPr>
                <w:b/>
                <w:spacing w:val="-2"/>
                <w:sz w:val="18"/>
              </w:rPr>
              <w:t>programada </w:t>
            </w:r>
            <w:r>
              <w:rPr>
                <w:b/>
                <w:spacing w:val="-4"/>
                <w:sz w:val="18"/>
              </w:rPr>
              <w:t>2027</w:t>
            </w:r>
          </w:p>
        </w:tc>
        <w:tc>
          <w:tcPr>
            <w:tcW w:w="1408" w:type="dxa"/>
            <w:shd w:val="clear" w:color="auto" w:fill="E8E8E8"/>
          </w:tcPr>
          <w:p>
            <w:pPr>
              <w:pStyle w:val="TableParagraph"/>
              <w:spacing w:before="12"/>
              <w:rPr>
                <w:b/>
                <w:sz w:val="18"/>
              </w:rPr>
            </w:pPr>
          </w:p>
          <w:p>
            <w:pPr>
              <w:pStyle w:val="TableParagraph"/>
              <w:ind w:left="297"/>
              <w:rPr>
                <w:b/>
                <w:sz w:val="18"/>
              </w:rPr>
            </w:pPr>
            <w:r>
              <w:rPr>
                <w:b/>
                <w:spacing w:val="-2"/>
                <w:sz w:val="18"/>
              </w:rPr>
              <w:t>Indicador</w:t>
            </w:r>
          </w:p>
        </w:tc>
        <w:tc>
          <w:tcPr>
            <w:tcW w:w="1413" w:type="dxa"/>
            <w:shd w:val="clear" w:color="auto" w:fill="E8E8E8"/>
          </w:tcPr>
          <w:p>
            <w:pPr>
              <w:pStyle w:val="TableParagraph"/>
              <w:spacing w:before="116"/>
              <w:ind w:left="205" w:right="75" w:firstLine="60"/>
              <w:rPr>
                <w:b/>
                <w:sz w:val="18"/>
              </w:rPr>
            </w:pPr>
            <w:r>
              <w:rPr>
                <w:b/>
                <w:sz w:val="18"/>
              </w:rPr>
              <w:t>Medios de </w:t>
            </w:r>
            <w:r>
              <w:rPr>
                <w:b/>
                <w:spacing w:val="-2"/>
                <w:sz w:val="18"/>
              </w:rPr>
              <w:t>verificación</w:t>
            </w:r>
          </w:p>
        </w:tc>
        <w:tc>
          <w:tcPr>
            <w:tcW w:w="1384" w:type="dxa"/>
            <w:shd w:val="clear" w:color="auto" w:fill="E8E8E8"/>
          </w:tcPr>
          <w:p>
            <w:pPr>
              <w:pStyle w:val="TableParagraph"/>
              <w:spacing w:before="12"/>
              <w:rPr>
                <w:b/>
                <w:sz w:val="18"/>
              </w:rPr>
            </w:pPr>
          </w:p>
          <w:p>
            <w:pPr>
              <w:pStyle w:val="TableParagraph"/>
              <w:ind w:left="134"/>
              <w:rPr>
                <w:b/>
                <w:sz w:val="18"/>
              </w:rPr>
            </w:pPr>
            <w:r>
              <w:rPr>
                <w:b/>
                <w:spacing w:val="-2"/>
                <w:sz w:val="18"/>
              </w:rPr>
              <w:t>Responsable</w:t>
            </w:r>
          </w:p>
        </w:tc>
        <w:tc>
          <w:tcPr>
            <w:tcW w:w="1934" w:type="dxa"/>
            <w:shd w:val="clear" w:color="auto" w:fill="E8E8E8"/>
          </w:tcPr>
          <w:p>
            <w:pPr>
              <w:pStyle w:val="TableParagraph"/>
              <w:spacing w:before="116"/>
              <w:ind w:left="574" w:hanging="152"/>
              <w:rPr>
                <w:b/>
                <w:sz w:val="18"/>
              </w:rPr>
            </w:pPr>
            <w:r>
              <w:rPr>
                <w:b/>
                <w:spacing w:val="-2"/>
                <w:sz w:val="18"/>
              </w:rPr>
              <w:t>Presupuesto asignado</w:t>
            </w:r>
          </w:p>
        </w:tc>
        <w:tc>
          <w:tcPr>
            <w:tcW w:w="2550" w:type="dxa"/>
            <w:shd w:val="clear" w:color="auto" w:fill="E8E8E8"/>
          </w:tcPr>
          <w:p>
            <w:pPr>
              <w:pStyle w:val="TableParagraph"/>
              <w:spacing w:before="116"/>
              <w:ind w:left="690" w:right="32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616" w:hRule="atLeast"/>
        </w:trPr>
        <w:tc>
          <w:tcPr>
            <w:tcW w:w="14315" w:type="dxa"/>
            <w:gridSpan w:val="8"/>
            <w:shd w:val="clear" w:color="auto" w:fill="F1F1F1"/>
          </w:tcPr>
          <w:p>
            <w:pPr>
              <w:pStyle w:val="TableParagraph"/>
              <w:spacing w:before="99"/>
              <w:ind w:left="69"/>
              <w:rPr>
                <w:b/>
                <w:sz w:val="18"/>
              </w:rPr>
            </w:pPr>
            <w:r>
              <w:rPr>
                <w:b/>
                <w:sz w:val="18"/>
              </w:rPr>
              <w:t>Efecto:</w:t>
            </w:r>
            <w:r>
              <w:rPr>
                <w:b/>
                <w:spacing w:val="40"/>
                <w:sz w:val="18"/>
              </w:rPr>
              <w:t> </w:t>
            </w:r>
            <w:r>
              <w:rPr>
                <w:b/>
                <w:sz w:val="18"/>
              </w:rPr>
              <w:t>Efectiva</w:t>
            </w:r>
            <w:r>
              <w:rPr>
                <w:b/>
                <w:spacing w:val="-3"/>
                <w:sz w:val="18"/>
              </w:rPr>
              <w:t> </w:t>
            </w:r>
            <w:r>
              <w:rPr>
                <w:b/>
                <w:sz w:val="18"/>
              </w:rPr>
              <w:t>gestión</w:t>
            </w:r>
            <w:r>
              <w:rPr>
                <w:b/>
                <w:spacing w:val="-1"/>
                <w:sz w:val="18"/>
              </w:rPr>
              <w:t> </w:t>
            </w:r>
            <w:r>
              <w:rPr>
                <w:b/>
                <w:sz w:val="18"/>
              </w:rPr>
              <w:t>de</w:t>
            </w:r>
            <w:r>
              <w:rPr>
                <w:b/>
                <w:spacing w:val="-1"/>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493" w:hRule="atLeast"/>
        </w:trPr>
        <w:tc>
          <w:tcPr>
            <w:tcW w:w="14315" w:type="dxa"/>
            <w:gridSpan w:val="8"/>
            <w:shd w:val="clear" w:color="auto" w:fill="DAE9F8"/>
          </w:tcPr>
          <w:p>
            <w:pPr>
              <w:pStyle w:val="TableParagraph"/>
              <w:spacing w:before="39"/>
              <w:ind w:left="69"/>
              <w:rPr>
                <w:b/>
                <w:sz w:val="18"/>
              </w:rPr>
            </w:pPr>
            <w:r>
              <w:rPr>
                <w:b/>
                <w:sz w:val="18"/>
              </w:rPr>
              <w:t>Producto</w:t>
            </w:r>
            <w:r>
              <w:rPr>
                <w:b/>
                <w:spacing w:val="-2"/>
                <w:sz w:val="18"/>
              </w:rPr>
              <w:t> </w:t>
            </w:r>
            <w:r>
              <w:rPr>
                <w:b/>
                <w:sz w:val="18"/>
              </w:rPr>
              <w:t>PAC</w:t>
            </w:r>
            <w:r>
              <w:rPr>
                <w:b/>
                <w:spacing w:val="-3"/>
                <w:sz w:val="18"/>
              </w:rPr>
              <w:t> </w:t>
            </w:r>
            <w:r>
              <w:rPr>
                <w:b/>
                <w:sz w:val="18"/>
              </w:rPr>
              <w:t>2.2:</w:t>
            </w:r>
            <w:r>
              <w:rPr>
                <w:b/>
                <w:spacing w:val="40"/>
                <w:sz w:val="18"/>
              </w:rPr>
              <w:t> </w:t>
            </w:r>
            <w:r>
              <w:rPr>
                <w:b/>
                <w:sz w:val="18"/>
              </w:rPr>
              <w:t>Implementar</w:t>
            </w:r>
            <w:r>
              <w:rPr>
                <w:b/>
                <w:spacing w:val="-2"/>
                <w:sz w:val="18"/>
              </w:rPr>
              <w:t> </w:t>
            </w:r>
            <w:r>
              <w:rPr>
                <w:b/>
                <w:sz w:val="18"/>
              </w:rPr>
              <w:t>un</w:t>
            </w:r>
            <w:r>
              <w:rPr>
                <w:b/>
                <w:spacing w:val="-2"/>
                <w:sz w:val="18"/>
              </w:rPr>
              <w:t> </w:t>
            </w:r>
            <w:r>
              <w:rPr>
                <w:b/>
                <w:sz w:val="18"/>
              </w:rPr>
              <w:t>plan</w:t>
            </w:r>
            <w:r>
              <w:rPr>
                <w:b/>
                <w:spacing w:val="-2"/>
                <w:sz w:val="18"/>
              </w:rPr>
              <w:t> </w:t>
            </w:r>
            <w:r>
              <w:rPr>
                <w:b/>
                <w:sz w:val="18"/>
              </w:rPr>
              <w:t>de</w:t>
            </w:r>
            <w:r>
              <w:rPr>
                <w:b/>
                <w:spacing w:val="-4"/>
                <w:sz w:val="18"/>
              </w:rPr>
              <w:t> </w:t>
            </w:r>
            <w:r>
              <w:rPr>
                <w:b/>
                <w:sz w:val="18"/>
              </w:rPr>
              <w:t>capacitación</w:t>
            </w:r>
            <w:r>
              <w:rPr>
                <w:b/>
                <w:spacing w:val="-4"/>
                <w:sz w:val="18"/>
              </w:rPr>
              <w:t> </w:t>
            </w:r>
            <w:r>
              <w:rPr>
                <w:b/>
                <w:sz w:val="18"/>
              </w:rPr>
              <w:t>para</w:t>
            </w:r>
            <w:r>
              <w:rPr>
                <w:b/>
                <w:spacing w:val="-2"/>
                <w:sz w:val="18"/>
              </w:rPr>
              <w:t> </w:t>
            </w:r>
            <w:r>
              <w:rPr>
                <w:b/>
                <w:sz w:val="18"/>
              </w:rPr>
              <w:t>fomentar</w:t>
            </w:r>
            <w:r>
              <w:rPr>
                <w:b/>
                <w:spacing w:val="-2"/>
                <w:sz w:val="18"/>
              </w:rPr>
              <w:t> </w:t>
            </w:r>
            <w:r>
              <w:rPr>
                <w:b/>
                <w:sz w:val="18"/>
              </w:rPr>
              <w:t>el</w:t>
            </w:r>
            <w:r>
              <w:rPr>
                <w:b/>
                <w:spacing w:val="-2"/>
                <w:sz w:val="18"/>
              </w:rPr>
              <w:t> </w:t>
            </w:r>
            <w:r>
              <w:rPr>
                <w:b/>
                <w:sz w:val="18"/>
              </w:rPr>
              <w:t>desarrollo</w:t>
            </w:r>
            <w:r>
              <w:rPr>
                <w:b/>
                <w:spacing w:val="-4"/>
                <w:sz w:val="18"/>
              </w:rPr>
              <w:t> </w:t>
            </w:r>
            <w:r>
              <w:rPr>
                <w:b/>
                <w:sz w:val="18"/>
              </w:rPr>
              <w:t>de</w:t>
            </w:r>
            <w:r>
              <w:rPr>
                <w:b/>
                <w:spacing w:val="-2"/>
                <w:sz w:val="18"/>
              </w:rPr>
              <w:t> </w:t>
            </w:r>
            <w:r>
              <w:rPr>
                <w:b/>
                <w:sz w:val="18"/>
              </w:rPr>
              <w:t>competencias</w:t>
            </w:r>
            <w:r>
              <w:rPr>
                <w:b/>
                <w:spacing w:val="-4"/>
                <w:sz w:val="18"/>
              </w:rPr>
              <w:t> </w:t>
            </w:r>
            <w:r>
              <w:rPr>
                <w:b/>
                <w:sz w:val="18"/>
              </w:rPr>
              <w:t>innovadoras</w:t>
            </w:r>
            <w:r>
              <w:rPr>
                <w:b/>
                <w:spacing w:val="-2"/>
                <w:sz w:val="18"/>
              </w:rPr>
              <w:t> </w:t>
            </w:r>
            <w:r>
              <w:rPr>
                <w:b/>
                <w:sz w:val="18"/>
              </w:rPr>
              <w:t>de</w:t>
            </w:r>
            <w:r>
              <w:rPr>
                <w:b/>
                <w:spacing w:val="-4"/>
                <w:sz w:val="18"/>
              </w:rPr>
              <w:t> </w:t>
            </w:r>
            <w:r>
              <w:rPr>
                <w:b/>
                <w:sz w:val="18"/>
              </w:rPr>
              <w:t>las</w:t>
            </w:r>
            <w:r>
              <w:rPr>
                <w:b/>
                <w:spacing w:val="-2"/>
                <w:sz w:val="18"/>
              </w:rPr>
              <w:t> </w:t>
            </w:r>
            <w:r>
              <w:rPr>
                <w:b/>
                <w:sz w:val="18"/>
              </w:rPr>
              <w:t>personas</w:t>
            </w:r>
            <w:r>
              <w:rPr>
                <w:b/>
                <w:spacing w:val="-2"/>
                <w:sz w:val="18"/>
              </w:rPr>
              <w:t> </w:t>
            </w:r>
            <w:r>
              <w:rPr>
                <w:b/>
                <w:sz w:val="18"/>
              </w:rPr>
              <w:t>trabajadoras</w:t>
            </w:r>
            <w:r>
              <w:rPr>
                <w:b/>
                <w:spacing w:val="-2"/>
                <w:sz w:val="18"/>
              </w:rPr>
              <w:t> </w:t>
            </w:r>
            <w:r>
              <w:rPr>
                <w:b/>
                <w:sz w:val="18"/>
              </w:rPr>
              <w:t>y</w:t>
            </w:r>
            <w:r>
              <w:rPr>
                <w:b/>
                <w:spacing w:val="-2"/>
                <w:sz w:val="18"/>
              </w:rPr>
              <w:t> </w:t>
            </w:r>
            <w:r>
              <w:rPr>
                <w:b/>
                <w:sz w:val="18"/>
              </w:rPr>
              <w:t>funcionarias, incluyendo componentes de integridad pública, ética y anticorrupción. E6 AE5 R1 (meta programada 80%)</w:t>
            </w:r>
          </w:p>
        </w:tc>
      </w:tr>
      <w:tr>
        <w:trPr>
          <w:trHeight w:val="1531" w:hRule="atLeast"/>
        </w:trPr>
        <w:tc>
          <w:tcPr>
            <w:tcW w:w="3118"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7"/>
              <w:rPr>
                <w:b/>
                <w:sz w:val="18"/>
              </w:rPr>
            </w:pPr>
          </w:p>
          <w:p>
            <w:pPr>
              <w:pStyle w:val="TableParagraph"/>
              <w:ind w:left="69" w:right="124"/>
              <w:rPr>
                <w:sz w:val="18"/>
              </w:rPr>
            </w:pPr>
            <w:r>
              <w:rPr>
                <w:b/>
                <w:sz w:val="18"/>
              </w:rPr>
              <w:t>Actividad PAC 2.2.1:</w:t>
            </w:r>
            <w:r>
              <w:rPr>
                <w:b/>
                <w:spacing w:val="40"/>
                <w:sz w:val="18"/>
              </w:rPr>
              <w:t> </w:t>
            </w:r>
            <w:r>
              <w:rPr>
                <w:sz w:val="18"/>
              </w:rPr>
              <w:t>Plan de capacitación</w:t>
            </w:r>
            <w:r>
              <w:rPr>
                <w:spacing w:val="-15"/>
                <w:sz w:val="18"/>
              </w:rPr>
              <w:t> </w:t>
            </w:r>
            <w:r>
              <w:rPr>
                <w:sz w:val="18"/>
              </w:rPr>
              <w:t>institucional</w:t>
            </w:r>
            <w:r>
              <w:rPr>
                <w:spacing w:val="-12"/>
                <w:sz w:val="18"/>
              </w:rPr>
              <w:t> </w:t>
            </w:r>
            <w:r>
              <w:rPr>
                <w:sz w:val="18"/>
              </w:rPr>
              <w:t>ejecutado al 2027</w:t>
            </w:r>
          </w:p>
        </w:tc>
        <w:tc>
          <w:tcPr>
            <w:tcW w:w="1306" w:type="dxa"/>
          </w:tcPr>
          <w:p>
            <w:pPr>
              <w:pStyle w:val="TableParagraph"/>
              <w:rPr>
                <w:b/>
                <w:sz w:val="18"/>
              </w:rPr>
            </w:pPr>
          </w:p>
          <w:p>
            <w:pPr>
              <w:pStyle w:val="TableParagraph"/>
              <w:rPr>
                <w:b/>
                <w:sz w:val="18"/>
              </w:rPr>
            </w:pPr>
          </w:p>
          <w:p>
            <w:pPr>
              <w:pStyle w:val="TableParagraph"/>
              <w:spacing w:before="41"/>
              <w:rPr>
                <w:b/>
                <w:sz w:val="18"/>
              </w:rPr>
            </w:pPr>
          </w:p>
          <w:p>
            <w:pPr>
              <w:pStyle w:val="TableParagraph"/>
              <w:ind w:left="11" w:right="1"/>
              <w:jc w:val="center"/>
              <w:rPr>
                <w:sz w:val="18"/>
              </w:rPr>
            </w:pPr>
            <w:r>
              <w:rPr>
                <w:spacing w:val="-2"/>
                <w:sz w:val="18"/>
              </w:rPr>
              <w:t>20,83%</w:t>
            </w:r>
          </w:p>
        </w:tc>
        <w:tc>
          <w:tcPr>
            <w:tcW w:w="1202" w:type="dxa"/>
          </w:tcPr>
          <w:p>
            <w:pPr>
              <w:pStyle w:val="TableParagraph"/>
              <w:rPr>
                <w:b/>
                <w:sz w:val="18"/>
              </w:rPr>
            </w:pPr>
          </w:p>
          <w:p>
            <w:pPr>
              <w:pStyle w:val="TableParagraph"/>
              <w:rPr>
                <w:b/>
                <w:sz w:val="18"/>
              </w:rPr>
            </w:pPr>
          </w:p>
          <w:p>
            <w:pPr>
              <w:pStyle w:val="TableParagraph"/>
              <w:spacing w:before="41"/>
              <w:rPr>
                <w:b/>
                <w:sz w:val="18"/>
              </w:rPr>
            </w:pPr>
          </w:p>
          <w:p>
            <w:pPr>
              <w:pStyle w:val="TableParagraph"/>
              <w:ind w:left="12" w:right="2"/>
              <w:jc w:val="center"/>
              <w:rPr>
                <w:sz w:val="18"/>
              </w:rPr>
            </w:pPr>
            <w:r>
              <w:rPr>
                <w:spacing w:val="-5"/>
                <w:sz w:val="18"/>
              </w:rPr>
              <w:t>90%</w:t>
            </w:r>
          </w:p>
        </w:tc>
        <w:tc>
          <w:tcPr>
            <w:tcW w:w="1408" w:type="dxa"/>
          </w:tcPr>
          <w:p>
            <w:pPr>
              <w:pStyle w:val="TableParagraph"/>
              <w:spacing w:before="39"/>
              <w:rPr>
                <w:b/>
                <w:sz w:val="18"/>
              </w:rPr>
            </w:pPr>
          </w:p>
          <w:p>
            <w:pPr>
              <w:pStyle w:val="TableParagraph"/>
              <w:ind w:left="69" w:right="131"/>
              <w:rPr>
                <w:sz w:val="18"/>
              </w:rPr>
            </w:pPr>
            <w:r>
              <w:rPr>
                <w:sz w:val="18"/>
              </w:rPr>
              <w:t>Porcentaje del </w:t>
            </w:r>
            <w:r>
              <w:rPr>
                <w:spacing w:val="-2"/>
                <w:sz w:val="18"/>
              </w:rPr>
              <w:t>presupuesto </w:t>
            </w:r>
            <w:r>
              <w:rPr>
                <w:sz w:val="18"/>
              </w:rPr>
              <w:t>ejecutado</w:t>
            </w:r>
            <w:r>
              <w:rPr>
                <w:spacing w:val="-13"/>
                <w:sz w:val="18"/>
              </w:rPr>
              <w:t> </w:t>
            </w:r>
            <w:r>
              <w:rPr>
                <w:sz w:val="18"/>
              </w:rPr>
              <w:t>para el plan de </w:t>
            </w:r>
            <w:r>
              <w:rPr>
                <w:spacing w:val="-2"/>
                <w:sz w:val="18"/>
              </w:rPr>
              <w:t>capacitación.</w:t>
            </w:r>
          </w:p>
        </w:tc>
        <w:tc>
          <w:tcPr>
            <w:tcW w:w="1413" w:type="dxa"/>
          </w:tcPr>
          <w:p>
            <w:pPr>
              <w:pStyle w:val="TableParagraph"/>
              <w:spacing w:before="143"/>
              <w:ind w:left="70" w:right="75"/>
              <w:rPr>
                <w:sz w:val="18"/>
              </w:rPr>
            </w:pPr>
            <w:r>
              <w:rPr>
                <w:spacing w:val="-2"/>
                <w:sz w:val="18"/>
              </w:rPr>
              <w:t>Convocatorias </w:t>
            </w:r>
            <w:r>
              <w:rPr>
                <w:sz w:val="18"/>
              </w:rPr>
              <w:t>Listas de </w:t>
            </w:r>
            <w:r>
              <w:rPr>
                <w:spacing w:val="-2"/>
                <w:sz w:val="18"/>
              </w:rPr>
              <w:t>asistencia </w:t>
            </w:r>
            <w:r>
              <w:rPr>
                <w:sz w:val="18"/>
              </w:rPr>
              <w:t>Oficios,</w:t>
            </w:r>
            <w:r>
              <w:rPr>
                <w:spacing w:val="-13"/>
                <w:sz w:val="18"/>
              </w:rPr>
              <w:t> </w:t>
            </w:r>
            <w:r>
              <w:rPr>
                <w:sz w:val="18"/>
              </w:rPr>
              <w:t>informe trimestral de </w:t>
            </w:r>
            <w:r>
              <w:rPr>
                <w:spacing w:val="-2"/>
                <w:sz w:val="18"/>
              </w:rPr>
              <w:t>capacitación</w:t>
            </w:r>
          </w:p>
        </w:tc>
        <w:tc>
          <w:tcPr>
            <w:tcW w:w="1384" w:type="dxa"/>
          </w:tcPr>
          <w:p>
            <w:pPr>
              <w:pStyle w:val="TableParagraph"/>
              <w:rPr>
                <w:b/>
                <w:sz w:val="18"/>
              </w:rPr>
            </w:pPr>
          </w:p>
          <w:p>
            <w:pPr>
              <w:pStyle w:val="TableParagraph"/>
              <w:spacing w:before="144"/>
              <w:rPr>
                <w:b/>
                <w:sz w:val="18"/>
              </w:rPr>
            </w:pPr>
          </w:p>
          <w:p>
            <w:pPr>
              <w:pStyle w:val="TableParagraph"/>
              <w:ind w:left="71"/>
              <w:rPr>
                <w:sz w:val="18"/>
              </w:rPr>
            </w:pPr>
            <w:r>
              <w:rPr>
                <w:spacing w:val="-2"/>
                <w:sz w:val="18"/>
              </w:rPr>
              <w:t>Desarrollo Humano</w:t>
            </w:r>
          </w:p>
        </w:tc>
        <w:tc>
          <w:tcPr>
            <w:tcW w:w="1934" w:type="dxa"/>
          </w:tcPr>
          <w:p>
            <w:pPr>
              <w:pStyle w:val="TableParagraph"/>
              <w:rPr>
                <w:b/>
                <w:sz w:val="18"/>
              </w:rPr>
            </w:pPr>
          </w:p>
          <w:p>
            <w:pPr>
              <w:pStyle w:val="TableParagraph"/>
              <w:rPr>
                <w:b/>
                <w:sz w:val="18"/>
              </w:rPr>
            </w:pPr>
          </w:p>
          <w:p>
            <w:pPr>
              <w:pStyle w:val="TableParagraph"/>
              <w:spacing w:before="41"/>
              <w:rPr>
                <w:b/>
                <w:sz w:val="18"/>
              </w:rPr>
            </w:pPr>
          </w:p>
          <w:p>
            <w:pPr>
              <w:pStyle w:val="TableParagraph"/>
              <w:ind w:left="735"/>
              <w:rPr>
                <w:sz w:val="18"/>
              </w:rPr>
            </w:pPr>
            <w:r>
              <w:rPr>
                <w:sz w:val="18"/>
              </w:rPr>
              <w:t>₡100</w:t>
            </w:r>
            <w:r>
              <w:rPr>
                <w:spacing w:val="-3"/>
                <w:sz w:val="18"/>
              </w:rPr>
              <w:t> </w:t>
            </w:r>
            <w:r>
              <w:rPr>
                <w:sz w:val="18"/>
              </w:rPr>
              <w:t>000</w:t>
            </w:r>
            <w:r>
              <w:rPr>
                <w:spacing w:val="-1"/>
                <w:sz w:val="18"/>
              </w:rPr>
              <w:t> </w:t>
            </w:r>
            <w:r>
              <w:rPr>
                <w:spacing w:val="-5"/>
                <w:sz w:val="18"/>
              </w:rPr>
              <w:t>000</w:t>
            </w:r>
          </w:p>
        </w:tc>
        <w:tc>
          <w:tcPr>
            <w:tcW w:w="2550" w:type="dxa"/>
            <w:vMerge w:val="restart"/>
          </w:tcPr>
          <w:p>
            <w:pPr>
              <w:pStyle w:val="TableParagraph"/>
              <w:rPr>
                <w:b/>
                <w:sz w:val="18"/>
              </w:rPr>
            </w:pPr>
          </w:p>
          <w:p>
            <w:pPr>
              <w:pStyle w:val="TableParagraph"/>
              <w:rPr>
                <w:b/>
                <w:sz w:val="18"/>
              </w:rPr>
            </w:pPr>
          </w:p>
          <w:p>
            <w:pPr>
              <w:pStyle w:val="TableParagraph"/>
              <w:rPr>
                <w:b/>
                <w:sz w:val="18"/>
              </w:rPr>
            </w:pPr>
          </w:p>
          <w:p>
            <w:pPr>
              <w:pStyle w:val="TableParagraph"/>
              <w:spacing w:before="148"/>
              <w:rPr>
                <w:b/>
                <w:sz w:val="18"/>
              </w:rPr>
            </w:pPr>
          </w:p>
          <w:p>
            <w:pPr>
              <w:pStyle w:val="TableParagraph"/>
              <w:ind w:left="71" w:right="320"/>
              <w:rPr>
                <w:sz w:val="18"/>
              </w:rPr>
            </w:pPr>
            <w:r>
              <w:rPr>
                <w:sz w:val="18"/>
              </w:rPr>
              <w:t>Personas funcionarias y trabajadoras sin las competencias</w:t>
            </w:r>
            <w:r>
              <w:rPr>
                <w:spacing w:val="-13"/>
                <w:sz w:val="18"/>
              </w:rPr>
              <w:t> </w:t>
            </w:r>
            <w:r>
              <w:rPr>
                <w:sz w:val="18"/>
              </w:rPr>
              <w:t>innovadoras </w:t>
            </w:r>
            <w:r>
              <w:rPr>
                <w:spacing w:val="-2"/>
                <w:sz w:val="18"/>
              </w:rPr>
              <w:t>necesarias.</w:t>
            </w:r>
          </w:p>
        </w:tc>
      </w:tr>
      <w:tr>
        <w:trPr>
          <w:trHeight w:val="1240" w:hRule="atLeast"/>
        </w:trPr>
        <w:tc>
          <w:tcPr>
            <w:tcW w:w="3118" w:type="dxa"/>
            <w:vMerge/>
            <w:tcBorders>
              <w:top w:val="nil"/>
            </w:tcBorders>
          </w:tcPr>
          <w:p>
            <w:pPr>
              <w:rPr>
                <w:sz w:val="2"/>
                <w:szCs w:val="2"/>
              </w:rPr>
            </w:pPr>
          </w:p>
        </w:tc>
        <w:tc>
          <w:tcPr>
            <w:tcW w:w="1306" w:type="dxa"/>
          </w:tcPr>
          <w:p>
            <w:pPr>
              <w:pStyle w:val="TableParagraph"/>
              <w:rPr>
                <w:b/>
                <w:sz w:val="18"/>
              </w:rPr>
            </w:pPr>
          </w:p>
          <w:p>
            <w:pPr>
              <w:pStyle w:val="TableParagraph"/>
              <w:spacing w:before="103"/>
              <w:rPr>
                <w:b/>
                <w:sz w:val="18"/>
              </w:rPr>
            </w:pPr>
          </w:p>
          <w:p>
            <w:pPr>
              <w:pStyle w:val="TableParagraph"/>
              <w:ind w:left="11"/>
              <w:jc w:val="center"/>
              <w:rPr>
                <w:sz w:val="18"/>
              </w:rPr>
            </w:pPr>
            <w:r>
              <w:rPr>
                <w:spacing w:val="-5"/>
                <w:sz w:val="18"/>
              </w:rPr>
              <w:t>40%</w:t>
            </w:r>
          </w:p>
        </w:tc>
        <w:tc>
          <w:tcPr>
            <w:tcW w:w="1202" w:type="dxa"/>
          </w:tcPr>
          <w:p>
            <w:pPr>
              <w:pStyle w:val="TableParagraph"/>
              <w:rPr>
                <w:b/>
                <w:sz w:val="18"/>
              </w:rPr>
            </w:pPr>
          </w:p>
          <w:p>
            <w:pPr>
              <w:pStyle w:val="TableParagraph"/>
              <w:spacing w:before="103"/>
              <w:rPr>
                <w:b/>
                <w:sz w:val="18"/>
              </w:rPr>
            </w:pPr>
          </w:p>
          <w:p>
            <w:pPr>
              <w:pStyle w:val="TableParagraph"/>
              <w:ind w:left="12"/>
              <w:jc w:val="center"/>
              <w:rPr>
                <w:sz w:val="18"/>
              </w:rPr>
            </w:pPr>
            <w:r>
              <w:rPr>
                <w:spacing w:val="-5"/>
                <w:sz w:val="18"/>
              </w:rPr>
              <w:t>45</w:t>
            </w:r>
          </w:p>
        </w:tc>
        <w:tc>
          <w:tcPr>
            <w:tcW w:w="1408" w:type="dxa"/>
          </w:tcPr>
          <w:p>
            <w:pPr>
              <w:pStyle w:val="TableParagraph"/>
              <w:spacing w:before="101"/>
              <w:rPr>
                <w:b/>
                <w:sz w:val="18"/>
              </w:rPr>
            </w:pPr>
          </w:p>
          <w:p>
            <w:pPr>
              <w:pStyle w:val="TableParagraph"/>
              <w:ind w:left="69" w:right="351"/>
              <w:rPr>
                <w:sz w:val="18"/>
              </w:rPr>
            </w:pPr>
            <w:r>
              <w:rPr>
                <w:sz w:val="18"/>
              </w:rPr>
              <w:t>Cantidad</w:t>
            </w:r>
            <w:r>
              <w:rPr>
                <w:spacing w:val="-13"/>
                <w:sz w:val="18"/>
              </w:rPr>
              <w:t> </w:t>
            </w:r>
            <w:r>
              <w:rPr>
                <w:sz w:val="18"/>
              </w:rPr>
              <w:t>de </w:t>
            </w:r>
            <w:r>
              <w:rPr>
                <w:spacing w:val="-2"/>
                <w:sz w:val="18"/>
              </w:rPr>
              <w:t>cursos impartidos</w:t>
            </w:r>
          </w:p>
        </w:tc>
        <w:tc>
          <w:tcPr>
            <w:tcW w:w="1413" w:type="dxa"/>
          </w:tcPr>
          <w:p>
            <w:pPr>
              <w:pStyle w:val="TableParagraph"/>
              <w:ind w:left="70" w:right="75"/>
              <w:rPr>
                <w:sz w:val="18"/>
              </w:rPr>
            </w:pPr>
            <w:r>
              <w:rPr>
                <w:spacing w:val="-2"/>
                <w:sz w:val="18"/>
              </w:rPr>
              <w:t>Convocatorias </w:t>
            </w:r>
            <w:r>
              <w:rPr>
                <w:sz w:val="18"/>
              </w:rPr>
              <w:t>Listas de </w:t>
            </w:r>
            <w:r>
              <w:rPr>
                <w:spacing w:val="-2"/>
                <w:sz w:val="18"/>
              </w:rPr>
              <w:t>asistencia </w:t>
            </w:r>
            <w:r>
              <w:rPr>
                <w:sz w:val="18"/>
              </w:rPr>
              <w:t>Oficios,</w:t>
            </w:r>
            <w:r>
              <w:rPr>
                <w:spacing w:val="-13"/>
                <w:sz w:val="18"/>
              </w:rPr>
              <w:t> </w:t>
            </w:r>
            <w:r>
              <w:rPr>
                <w:sz w:val="18"/>
              </w:rPr>
              <w:t>informe trimestral de</w:t>
            </w:r>
          </w:p>
          <w:p>
            <w:pPr>
              <w:pStyle w:val="TableParagraph"/>
              <w:spacing w:line="187" w:lineRule="exact"/>
              <w:ind w:left="70"/>
              <w:rPr>
                <w:sz w:val="18"/>
              </w:rPr>
            </w:pPr>
            <w:r>
              <w:rPr>
                <w:spacing w:val="-2"/>
                <w:sz w:val="18"/>
              </w:rPr>
              <w:t>capacitación</w:t>
            </w:r>
          </w:p>
        </w:tc>
        <w:tc>
          <w:tcPr>
            <w:tcW w:w="1384" w:type="dxa"/>
          </w:tcPr>
          <w:p>
            <w:pPr>
              <w:pStyle w:val="TableParagraph"/>
              <w:spacing w:before="204"/>
              <w:rPr>
                <w:b/>
                <w:sz w:val="18"/>
              </w:rPr>
            </w:pPr>
          </w:p>
          <w:p>
            <w:pPr>
              <w:pStyle w:val="TableParagraph"/>
              <w:ind w:left="71"/>
              <w:rPr>
                <w:sz w:val="18"/>
              </w:rPr>
            </w:pPr>
            <w:r>
              <w:rPr>
                <w:spacing w:val="-2"/>
                <w:sz w:val="18"/>
              </w:rPr>
              <w:t>Desarrollo Humano</w:t>
            </w:r>
          </w:p>
        </w:tc>
        <w:tc>
          <w:tcPr>
            <w:tcW w:w="1934" w:type="dxa"/>
          </w:tcPr>
          <w:p>
            <w:pPr>
              <w:pStyle w:val="TableParagraph"/>
              <w:rPr>
                <w:rFonts w:ascii="Times New Roman"/>
                <w:sz w:val="18"/>
              </w:rPr>
            </w:pPr>
          </w:p>
        </w:tc>
        <w:tc>
          <w:tcPr>
            <w:tcW w:w="2550" w:type="dxa"/>
            <w:vMerge/>
            <w:tcBorders>
              <w:top w:val="nil"/>
            </w:tcBorders>
          </w:tcPr>
          <w:p>
            <w:pPr>
              <w:rPr>
                <w:sz w:val="2"/>
                <w:szCs w:val="2"/>
              </w:rPr>
            </w:pPr>
          </w:p>
        </w:tc>
      </w:tr>
      <w:tr>
        <w:trPr>
          <w:trHeight w:val="511" w:hRule="atLeast"/>
        </w:trPr>
        <w:tc>
          <w:tcPr>
            <w:tcW w:w="14315" w:type="dxa"/>
            <w:gridSpan w:val="8"/>
            <w:shd w:val="clear" w:color="auto" w:fill="DBE4F0"/>
          </w:tcPr>
          <w:p>
            <w:pPr>
              <w:pStyle w:val="TableParagraph"/>
              <w:spacing w:before="152"/>
              <w:ind w:left="69"/>
              <w:rPr>
                <w:b/>
                <w:sz w:val="18"/>
              </w:rPr>
            </w:pPr>
            <w:r>
              <w:rPr>
                <w:b/>
                <w:sz w:val="18"/>
              </w:rPr>
              <w:t>Producto</w:t>
            </w:r>
            <w:r>
              <w:rPr>
                <w:b/>
                <w:spacing w:val="-6"/>
                <w:sz w:val="18"/>
              </w:rPr>
              <w:t> </w:t>
            </w:r>
            <w:r>
              <w:rPr>
                <w:b/>
                <w:sz w:val="18"/>
              </w:rPr>
              <w:t>PAC</w:t>
            </w:r>
            <w:r>
              <w:rPr>
                <w:b/>
                <w:spacing w:val="-5"/>
                <w:sz w:val="18"/>
              </w:rPr>
              <w:t> </w:t>
            </w:r>
            <w:r>
              <w:rPr>
                <w:b/>
                <w:sz w:val="18"/>
              </w:rPr>
              <w:t>2.3:</w:t>
            </w:r>
            <w:r>
              <w:rPr>
                <w:b/>
                <w:spacing w:val="-3"/>
                <w:sz w:val="18"/>
              </w:rPr>
              <w:t> </w:t>
            </w:r>
            <w:r>
              <w:rPr>
                <w:b/>
                <w:sz w:val="18"/>
              </w:rPr>
              <w:t>Estimación</w:t>
            </w:r>
            <w:r>
              <w:rPr>
                <w:b/>
                <w:spacing w:val="-4"/>
                <w:sz w:val="18"/>
              </w:rPr>
              <w:t> </w:t>
            </w:r>
            <w:r>
              <w:rPr>
                <w:b/>
                <w:sz w:val="18"/>
              </w:rPr>
              <w:t>presupuestaria</w:t>
            </w:r>
            <w:r>
              <w:rPr>
                <w:b/>
                <w:spacing w:val="-3"/>
                <w:sz w:val="18"/>
              </w:rPr>
              <w:t> </w:t>
            </w:r>
            <w:r>
              <w:rPr>
                <w:b/>
                <w:sz w:val="18"/>
              </w:rPr>
              <w:t>de</w:t>
            </w:r>
            <w:r>
              <w:rPr>
                <w:b/>
                <w:spacing w:val="-6"/>
                <w:sz w:val="18"/>
              </w:rPr>
              <w:t> </w:t>
            </w:r>
            <w:r>
              <w:rPr>
                <w:b/>
                <w:sz w:val="18"/>
              </w:rPr>
              <w:t>los</w:t>
            </w:r>
            <w:r>
              <w:rPr>
                <w:b/>
                <w:spacing w:val="-4"/>
                <w:sz w:val="18"/>
              </w:rPr>
              <w:t> </w:t>
            </w:r>
            <w:r>
              <w:rPr>
                <w:b/>
                <w:sz w:val="18"/>
              </w:rPr>
              <w:t>recursos</w:t>
            </w:r>
            <w:r>
              <w:rPr>
                <w:b/>
                <w:spacing w:val="-3"/>
                <w:sz w:val="18"/>
              </w:rPr>
              <w:t> </w:t>
            </w:r>
            <w:r>
              <w:rPr>
                <w:b/>
                <w:sz w:val="18"/>
              </w:rPr>
              <w:t>necesarios</w:t>
            </w:r>
            <w:r>
              <w:rPr>
                <w:b/>
                <w:spacing w:val="-4"/>
                <w:sz w:val="18"/>
              </w:rPr>
              <w:t> </w:t>
            </w:r>
            <w:r>
              <w:rPr>
                <w:b/>
                <w:sz w:val="18"/>
              </w:rPr>
              <w:t>para</w:t>
            </w:r>
            <w:r>
              <w:rPr>
                <w:b/>
                <w:spacing w:val="-3"/>
                <w:sz w:val="18"/>
              </w:rPr>
              <w:t> </w:t>
            </w:r>
            <w:r>
              <w:rPr>
                <w:b/>
                <w:sz w:val="18"/>
              </w:rPr>
              <w:t>la</w:t>
            </w:r>
            <w:r>
              <w:rPr>
                <w:b/>
                <w:spacing w:val="-6"/>
                <w:sz w:val="18"/>
              </w:rPr>
              <w:t> </w:t>
            </w:r>
            <w:r>
              <w:rPr>
                <w:b/>
                <w:sz w:val="18"/>
              </w:rPr>
              <w:t>implementación</w:t>
            </w:r>
            <w:r>
              <w:rPr>
                <w:b/>
                <w:spacing w:val="-3"/>
                <w:sz w:val="18"/>
              </w:rPr>
              <w:t> </w:t>
            </w:r>
            <w:r>
              <w:rPr>
                <w:b/>
                <w:sz w:val="18"/>
              </w:rPr>
              <w:t>del</w:t>
            </w:r>
            <w:r>
              <w:rPr>
                <w:b/>
                <w:spacing w:val="-4"/>
                <w:sz w:val="18"/>
              </w:rPr>
              <w:t> </w:t>
            </w:r>
            <w:r>
              <w:rPr>
                <w:b/>
                <w:sz w:val="18"/>
              </w:rPr>
              <w:t>Plan</w:t>
            </w:r>
            <w:r>
              <w:rPr>
                <w:b/>
                <w:spacing w:val="-4"/>
                <w:sz w:val="18"/>
              </w:rPr>
              <w:t> </w:t>
            </w:r>
            <w:r>
              <w:rPr>
                <w:b/>
                <w:sz w:val="18"/>
              </w:rPr>
              <w:t>de</w:t>
            </w:r>
            <w:r>
              <w:rPr>
                <w:b/>
                <w:spacing w:val="-3"/>
                <w:sz w:val="18"/>
              </w:rPr>
              <w:t> </w:t>
            </w:r>
            <w:r>
              <w:rPr>
                <w:b/>
                <w:sz w:val="18"/>
              </w:rPr>
              <w:t>Empleo</w:t>
            </w:r>
            <w:r>
              <w:rPr>
                <w:b/>
                <w:spacing w:val="-4"/>
                <w:sz w:val="18"/>
              </w:rPr>
              <w:t> </w:t>
            </w:r>
            <w:r>
              <w:rPr>
                <w:b/>
                <w:sz w:val="18"/>
              </w:rPr>
              <w:t>Público.</w:t>
            </w:r>
            <w:r>
              <w:rPr>
                <w:b/>
                <w:spacing w:val="-4"/>
                <w:sz w:val="18"/>
              </w:rPr>
              <w:t> </w:t>
            </w:r>
            <w:r>
              <w:rPr>
                <w:b/>
                <w:sz w:val="18"/>
              </w:rPr>
              <w:t>E6</w:t>
            </w:r>
            <w:r>
              <w:rPr>
                <w:b/>
                <w:spacing w:val="8"/>
                <w:sz w:val="18"/>
              </w:rPr>
              <w:t> </w:t>
            </w:r>
            <w:r>
              <w:rPr>
                <w:b/>
                <w:sz w:val="18"/>
              </w:rPr>
              <w:t>AE6</w:t>
            </w:r>
            <w:r>
              <w:rPr>
                <w:b/>
                <w:spacing w:val="-4"/>
                <w:sz w:val="18"/>
              </w:rPr>
              <w:t> </w:t>
            </w:r>
            <w:r>
              <w:rPr>
                <w:b/>
                <w:sz w:val="18"/>
              </w:rPr>
              <w:t>R1</w:t>
            </w:r>
            <w:r>
              <w:rPr>
                <w:b/>
                <w:spacing w:val="-3"/>
                <w:sz w:val="18"/>
              </w:rPr>
              <w:t> </w:t>
            </w:r>
            <w:r>
              <w:rPr>
                <w:b/>
                <w:sz w:val="18"/>
              </w:rPr>
              <w:t>(meta</w:t>
            </w:r>
            <w:r>
              <w:rPr>
                <w:b/>
                <w:spacing w:val="-4"/>
                <w:sz w:val="18"/>
              </w:rPr>
              <w:t> </w:t>
            </w:r>
            <w:r>
              <w:rPr>
                <w:b/>
                <w:sz w:val="18"/>
              </w:rPr>
              <w:t>programada</w:t>
            </w:r>
            <w:r>
              <w:rPr>
                <w:b/>
                <w:spacing w:val="-3"/>
                <w:sz w:val="18"/>
              </w:rPr>
              <w:t> </w:t>
            </w:r>
            <w:r>
              <w:rPr>
                <w:b/>
                <w:spacing w:val="-4"/>
                <w:sz w:val="18"/>
              </w:rPr>
              <w:t>75%)</w:t>
            </w:r>
          </w:p>
        </w:tc>
      </w:tr>
      <w:tr>
        <w:trPr>
          <w:trHeight w:val="2399" w:hRule="atLeast"/>
        </w:trPr>
        <w:tc>
          <w:tcPr>
            <w:tcW w:w="3118" w:type="dxa"/>
          </w:tcPr>
          <w:p>
            <w:pPr>
              <w:pStyle w:val="TableParagraph"/>
              <w:rPr>
                <w:b/>
                <w:sz w:val="18"/>
              </w:rPr>
            </w:pPr>
          </w:p>
          <w:p>
            <w:pPr>
              <w:pStyle w:val="TableParagraph"/>
              <w:rPr>
                <w:b/>
                <w:sz w:val="18"/>
              </w:rPr>
            </w:pPr>
          </w:p>
          <w:p>
            <w:pPr>
              <w:pStyle w:val="TableParagraph"/>
              <w:spacing w:before="165"/>
              <w:rPr>
                <w:b/>
                <w:sz w:val="18"/>
              </w:rPr>
            </w:pPr>
          </w:p>
          <w:p>
            <w:pPr>
              <w:pStyle w:val="TableParagraph"/>
              <w:ind w:left="69"/>
              <w:rPr>
                <w:sz w:val="18"/>
              </w:rPr>
            </w:pPr>
            <w:r>
              <w:rPr>
                <w:b/>
                <w:sz w:val="18"/>
              </w:rPr>
              <w:t>Actividad PAC 2.3.1:</w:t>
            </w:r>
            <w:r>
              <w:rPr>
                <w:b/>
                <w:spacing w:val="40"/>
                <w:sz w:val="18"/>
              </w:rPr>
              <w:t> </w:t>
            </w:r>
            <w:r>
              <w:rPr>
                <w:sz w:val="18"/>
              </w:rPr>
              <w:t>Formular el presupuesto acorde con la implementación</w:t>
            </w:r>
            <w:r>
              <w:rPr>
                <w:spacing w:val="-10"/>
                <w:sz w:val="18"/>
              </w:rPr>
              <w:t> </w:t>
            </w:r>
            <w:r>
              <w:rPr>
                <w:sz w:val="18"/>
              </w:rPr>
              <w:t>del</w:t>
            </w:r>
            <w:r>
              <w:rPr>
                <w:spacing w:val="-10"/>
                <w:sz w:val="18"/>
              </w:rPr>
              <w:t> </w:t>
            </w:r>
            <w:r>
              <w:rPr>
                <w:sz w:val="18"/>
              </w:rPr>
              <w:t>Plan</w:t>
            </w:r>
            <w:r>
              <w:rPr>
                <w:spacing w:val="-10"/>
                <w:sz w:val="18"/>
              </w:rPr>
              <w:t> </w:t>
            </w:r>
            <w:r>
              <w:rPr>
                <w:sz w:val="18"/>
              </w:rPr>
              <w:t>de</w:t>
            </w:r>
            <w:r>
              <w:rPr>
                <w:spacing w:val="-10"/>
                <w:sz w:val="18"/>
              </w:rPr>
              <w:t> </w:t>
            </w:r>
            <w:r>
              <w:rPr>
                <w:sz w:val="18"/>
              </w:rPr>
              <w:t>Empleo </w:t>
            </w:r>
            <w:r>
              <w:rPr>
                <w:spacing w:val="-2"/>
                <w:sz w:val="18"/>
              </w:rPr>
              <w:t>Público.</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0"/>
              <w:rPr>
                <w:b/>
                <w:sz w:val="18"/>
              </w:rPr>
            </w:pPr>
          </w:p>
          <w:p>
            <w:pPr>
              <w:pStyle w:val="TableParagraph"/>
              <w:spacing w:before="1"/>
              <w:ind w:left="11" w:right="3"/>
              <w:jc w:val="center"/>
              <w:rPr>
                <w:sz w:val="18"/>
              </w:rPr>
            </w:pPr>
            <w:r>
              <w:rPr>
                <w:spacing w:val="-10"/>
                <w:sz w:val="18"/>
              </w:rPr>
              <w:t>0</w:t>
            </w:r>
          </w:p>
        </w:tc>
        <w:tc>
          <w:tcPr>
            <w:tcW w:w="12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0"/>
              <w:rPr>
                <w:b/>
                <w:sz w:val="18"/>
              </w:rPr>
            </w:pPr>
          </w:p>
          <w:p>
            <w:pPr>
              <w:pStyle w:val="TableParagraph"/>
              <w:spacing w:before="1"/>
              <w:ind w:left="12" w:right="5"/>
              <w:jc w:val="center"/>
              <w:rPr>
                <w:sz w:val="18"/>
              </w:rPr>
            </w:pPr>
            <w:r>
              <w:rPr>
                <w:spacing w:val="-10"/>
                <w:sz w:val="18"/>
              </w:rPr>
              <w:t>1</w:t>
            </w:r>
          </w:p>
        </w:tc>
        <w:tc>
          <w:tcPr>
            <w:tcW w:w="1408" w:type="dxa"/>
          </w:tcPr>
          <w:p>
            <w:pPr>
              <w:pStyle w:val="TableParagraph"/>
              <w:rPr>
                <w:b/>
                <w:sz w:val="18"/>
              </w:rPr>
            </w:pPr>
          </w:p>
          <w:p>
            <w:pPr>
              <w:pStyle w:val="TableParagraph"/>
              <w:spacing w:before="60"/>
              <w:rPr>
                <w:b/>
                <w:sz w:val="18"/>
              </w:rPr>
            </w:pPr>
          </w:p>
          <w:p>
            <w:pPr>
              <w:pStyle w:val="TableParagraph"/>
              <w:ind w:left="69"/>
              <w:rPr>
                <w:sz w:val="18"/>
              </w:rPr>
            </w:pPr>
            <w:r>
              <w:rPr>
                <w:sz w:val="18"/>
              </w:rPr>
              <w:t>Cantidad de </w:t>
            </w:r>
            <w:r>
              <w:rPr>
                <w:spacing w:val="-2"/>
                <w:sz w:val="18"/>
              </w:rPr>
              <w:t>presupuestos formulados </w:t>
            </w:r>
            <w:r>
              <w:rPr>
                <w:sz w:val="18"/>
              </w:rPr>
              <w:t>acorde a la </w:t>
            </w:r>
            <w:r>
              <w:rPr>
                <w:spacing w:val="-2"/>
                <w:sz w:val="18"/>
              </w:rPr>
              <w:t>implementación </w:t>
            </w:r>
            <w:r>
              <w:rPr>
                <w:sz w:val="18"/>
              </w:rPr>
              <w:t>de Empleo </w:t>
            </w:r>
            <w:r>
              <w:rPr>
                <w:spacing w:val="-2"/>
                <w:sz w:val="18"/>
              </w:rPr>
              <w:t>Público</w:t>
            </w:r>
          </w:p>
        </w:tc>
        <w:tc>
          <w:tcPr>
            <w:tcW w:w="1413" w:type="dxa"/>
          </w:tcPr>
          <w:p>
            <w:pPr>
              <w:pStyle w:val="TableParagraph"/>
              <w:spacing w:before="164"/>
              <w:ind w:left="70" w:right="86"/>
              <w:rPr>
                <w:sz w:val="18"/>
              </w:rPr>
            </w:pPr>
            <w:r>
              <w:rPr>
                <w:spacing w:val="-2"/>
                <w:sz w:val="18"/>
              </w:rPr>
              <w:t>Resumen </w:t>
            </w:r>
            <w:r>
              <w:rPr>
                <w:sz w:val="18"/>
              </w:rPr>
              <w:t>General de Sueldos</w:t>
            </w:r>
            <w:r>
              <w:rPr>
                <w:spacing w:val="-15"/>
                <w:sz w:val="18"/>
              </w:rPr>
              <w:t> </w:t>
            </w:r>
            <w:r>
              <w:rPr>
                <w:sz w:val="18"/>
              </w:rPr>
              <w:t>para</w:t>
            </w:r>
            <w:r>
              <w:rPr>
                <w:spacing w:val="-12"/>
                <w:sz w:val="18"/>
              </w:rPr>
              <w:t> </w:t>
            </w:r>
            <w:r>
              <w:rPr>
                <w:sz w:val="18"/>
              </w:rPr>
              <w:t>el año 2027, </w:t>
            </w:r>
            <w:r>
              <w:rPr>
                <w:spacing w:val="-2"/>
                <w:sz w:val="18"/>
              </w:rPr>
              <w:t>oficios</w:t>
            </w:r>
            <w:r>
              <w:rPr>
                <w:spacing w:val="40"/>
                <w:sz w:val="18"/>
              </w:rPr>
              <w:t> </w:t>
            </w:r>
            <w:r>
              <w:rPr>
                <w:sz w:val="18"/>
              </w:rPr>
              <w:t>remitidos a </w:t>
            </w:r>
            <w:r>
              <w:rPr>
                <w:spacing w:val="-2"/>
                <w:sz w:val="18"/>
              </w:rPr>
              <w:t>diferentes dependencias </w:t>
            </w:r>
            <w:r>
              <w:rPr>
                <w:sz w:val="18"/>
              </w:rPr>
              <w:t>relacionados a la formulación</w:t>
            </w:r>
          </w:p>
        </w:tc>
        <w:tc>
          <w:tcPr>
            <w:tcW w:w="1384" w:type="dxa"/>
          </w:tcPr>
          <w:p>
            <w:pPr>
              <w:pStyle w:val="TableParagraph"/>
              <w:rPr>
                <w:b/>
                <w:sz w:val="18"/>
              </w:rPr>
            </w:pPr>
          </w:p>
          <w:p>
            <w:pPr>
              <w:pStyle w:val="TableParagraph"/>
              <w:rPr>
                <w:b/>
                <w:sz w:val="18"/>
              </w:rPr>
            </w:pPr>
          </w:p>
          <w:p>
            <w:pPr>
              <w:pStyle w:val="TableParagraph"/>
              <w:rPr>
                <w:b/>
                <w:sz w:val="18"/>
              </w:rPr>
            </w:pPr>
          </w:p>
          <w:p>
            <w:pPr>
              <w:pStyle w:val="TableParagraph"/>
              <w:spacing w:before="164"/>
              <w:rPr>
                <w:b/>
                <w:sz w:val="18"/>
              </w:rPr>
            </w:pPr>
          </w:p>
          <w:p>
            <w:pPr>
              <w:pStyle w:val="TableParagraph"/>
              <w:ind w:left="71"/>
              <w:rPr>
                <w:sz w:val="18"/>
              </w:rPr>
            </w:pPr>
            <w:r>
              <w:rPr>
                <w:spacing w:val="-2"/>
                <w:sz w:val="18"/>
              </w:rPr>
              <w:t>Desarrollo Humano</w:t>
            </w:r>
          </w:p>
        </w:tc>
        <w:tc>
          <w:tcPr>
            <w:tcW w:w="1934" w:type="dxa"/>
          </w:tcPr>
          <w:p>
            <w:pPr>
              <w:pStyle w:val="TableParagraph"/>
              <w:rPr>
                <w:rFonts w:ascii="Times New Roman"/>
                <w:sz w:val="18"/>
              </w:rPr>
            </w:pPr>
          </w:p>
        </w:tc>
        <w:tc>
          <w:tcPr>
            <w:tcW w:w="2550" w:type="dxa"/>
          </w:tcPr>
          <w:p>
            <w:pPr>
              <w:pStyle w:val="TableParagraph"/>
              <w:rPr>
                <w:b/>
                <w:sz w:val="18"/>
              </w:rPr>
            </w:pPr>
          </w:p>
          <w:p>
            <w:pPr>
              <w:pStyle w:val="TableParagraph"/>
              <w:rPr>
                <w:b/>
                <w:sz w:val="18"/>
              </w:rPr>
            </w:pPr>
          </w:p>
          <w:p>
            <w:pPr>
              <w:pStyle w:val="TableParagraph"/>
              <w:spacing w:before="165"/>
              <w:rPr>
                <w:b/>
                <w:sz w:val="18"/>
              </w:rPr>
            </w:pPr>
          </w:p>
          <w:p>
            <w:pPr>
              <w:pStyle w:val="TableParagraph"/>
              <w:ind w:left="71" w:right="33"/>
              <w:rPr>
                <w:sz w:val="18"/>
              </w:rPr>
            </w:pPr>
            <w:r>
              <w:rPr>
                <w:sz w:val="18"/>
              </w:rPr>
              <w:t>Planilla</w:t>
            </w:r>
            <w:r>
              <w:rPr>
                <w:spacing w:val="-13"/>
                <w:sz w:val="18"/>
              </w:rPr>
              <w:t> </w:t>
            </w:r>
            <w:r>
              <w:rPr>
                <w:sz w:val="18"/>
              </w:rPr>
              <w:t>institucional</w:t>
            </w:r>
            <w:r>
              <w:rPr>
                <w:spacing w:val="-12"/>
                <w:sz w:val="18"/>
              </w:rPr>
              <w:t> </w:t>
            </w:r>
            <w:r>
              <w:rPr>
                <w:sz w:val="18"/>
              </w:rPr>
              <w:t>no</w:t>
            </w:r>
            <w:r>
              <w:rPr>
                <w:spacing w:val="-13"/>
                <w:sz w:val="18"/>
              </w:rPr>
              <w:t> </w:t>
            </w:r>
            <w:r>
              <w:rPr>
                <w:sz w:val="18"/>
              </w:rPr>
              <w:t>cuente con los insumos necesarios para el pago de forma </w:t>
            </w:r>
            <w:r>
              <w:rPr>
                <w:spacing w:val="-2"/>
                <w:sz w:val="18"/>
              </w:rPr>
              <w:t>oportuna</w:t>
            </w:r>
          </w:p>
        </w:tc>
      </w:tr>
    </w:tbl>
    <w:p>
      <w:pPr>
        <w:pStyle w:val="TableParagraph"/>
        <w:spacing w:after="0"/>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18"/>
        <w:gridCol w:w="1306"/>
        <w:gridCol w:w="1202"/>
        <w:gridCol w:w="1408"/>
        <w:gridCol w:w="1413"/>
        <w:gridCol w:w="1384"/>
        <w:gridCol w:w="1934"/>
        <w:gridCol w:w="2550"/>
      </w:tblGrid>
      <w:tr>
        <w:trPr>
          <w:trHeight w:val="2640" w:hRule="atLeast"/>
        </w:trPr>
        <w:tc>
          <w:tcPr>
            <w:tcW w:w="3118" w:type="dxa"/>
          </w:tcPr>
          <w:p>
            <w:pPr>
              <w:pStyle w:val="TableParagraph"/>
              <w:rPr>
                <w:b/>
                <w:sz w:val="18"/>
              </w:rPr>
            </w:pPr>
          </w:p>
          <w:p>
            <w:pPr>
              <w:pStyle w:val="TableParagraph"/>
              <w:rPr>
                <w:b/>
                <w:sz w:val="18"/>
              </w:rPr>
            </w:pPr>
          </w:p>
          <w:p>
            <w:pPr>
              <w:pStyle w:val="TableParagraph"/>
              <w:spacing w:before="76"/>
              <w:rPr>
                <w:b/>
                <w:sz w:val="18"/>
              </w:rPr>
            </w:pPr>
          </w:p>
          <w:p>
            <w:pPr>
              <w:pStyle w:val="TableParagraph"/>
              <w:ind w:left="69" w:right="124"/>
              <w:rPr>
                <w:sz w:val="18"/>
              </w:rPr>
            </w:pPr>
            <w:r>
              <w:rPr>
                <w:b/>
                <w:sz w:val="18"/>
              </w:rPr>
              <w:t>Actividad PAC 2.3.2:</w:t>
            </w:r>
            <w:r>
              <w:rPr>
                <w:b/>
                <w:spacing w:val="40"/>
                <w:sz w:val="18"/>
              </w:rPr>
              <w:t> </w:t>
            </w:r>
            <w:r>
              <w:rPr>
                <w:sz w:val="18"/>
              </w:rPr>
              <w:t>Aplicar la Planilla institucional en forma oportuna</w:t>
            </w:r>
            <w:r>
              <w:rPr>
                <w:spacing w:val="-10"/>
                <w:sz w:val="18"/>
              </w:rPr>
              <w:t> </w:t>
            </w:r>
            <w:r>
              <w:rPr>
                <w:sz w:val="18"/>
              </w:rPr>
              <w:t>para</w:t>
            </w:r>
            <w:r>
              <w:rPr>
                <w:spacing w:val="-10"/>
                <w:sz w:val="18"/>
              </w:rPr>
              <w:t> </w:t>
            </w:r>
            <w:r>
              <w:rPr>
                <w:sz w:val="18"/>
              </w:rPr>
              <w:t>la</w:t>
            </w:r>
            <w:r>
              <w:rPr>
                <w:spacing w:val="-11"/>
                <w:sz w:val="18"/>
              </w:rPr>
              <w:t> </w:t>
            </w:r>
            <w:r>
              <w:rPr>
                <w:sz w:val="18"/>
              </w:rPr>
              <w:t>implementación</w:t>
            </w:r>
            <w:r>
              <w:rPr>
                <w:spacing w:val="-10"/>
                <w:sz w:val="18"/>
              </w:rPr>
              <w:t> </w:t>
            </w:r>
            <w:r>
              <w:rPr>
                <w:sz w:val="18"/>
              </w:rPr>
              <w:t>del Plan de Empleo Pública. (Remuneraciones, todas las </w:t>
            </w:r>
            <w:r>
              <w:rPr>
                <w:spacing w:val="-2"/>
                <w:sz w:val="18"/>
              </w:rPr>
              <w:t>subpartidas)</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80"/>
              <w:rPr>
                <w:b/>
                <w:sz w:val="18"/>
              </w:rPr>
            </w:pPr>
          </w:p>
          <w:p>
            <w:pPr>
              <w:pStyle w:val="TableParagraph"/>
              <w:spacing w:before="1"/>
              <w:ind w:left="11" w:right="2"/>
              <w:jc w:val="center"/>
              <w:rPr>
                <w:sz w:val="18"/>
              </w:rPr>
            </w:pPr>
            <w:r>
              <w:rPr>
                <w:spacing w:val="-5"/>
                <w:sz w:val="18"/>
              </w:rPr>
              <w:t>26</w:t>
            </w:r>
          </w:p>
        </w:tc>
        <w:tc>
          <w:tcPr>
            <w:tcW w:w="12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80"/>
              <w:rPr>
                <w:b/>
                <w:sz w:val="18"/>
              </w:rPr>
            </w:pPr>
          </w:p>
          <w:p>
            <w:pPr>
              <w:pStyle w:val="TableParagraph"/>
              <w:spacing w:before="1"/>
              <w:ind w:left="12"/>
              <w:jc w:val="center"/>
              <w:rPr>
                <w:sz w:val="18"/>
              </w:rPr>
            </w:pPr>
            <w:r>
              <w:rPr>
                <w:spacing w:val="-5"/>
                <w:sz w:val="18"/>
              </w:rPr>
              <w:t>26</w:t>
            </w:r>
          </w:p>
        </w:tc>
        <w:tc>
          <w:tcPr>
            <w:tcW w:w="1408" w:type="dxa"/>
          </w:tcPr>
          <w:p>
            <w:pPr>
              <w:pStyle w:val="TableParagraph"/>
              <w:rPr>
                <w:b/>
                <w:sz w:val="18"/>
              </w:rPr>
            </w:pPr>
          </w:p>
          <w:p>
            <w:pPr>
              <w:pStyle w:val="TableParagraph"/>
              <w:rPr>
                <w:b/>
                <w:sz w:val="18"/>
              </w:rPr>
            </w:pPr>
          </w:p>
          <w:p>
            <w:pPr>
              <w:pStyle w:val="TableParagraph"/>
              <w:rPr>
                <w:b/>
                <w:sz w:val="18"/>
              </w:rPr>
            </w:pPr>
          </w:p>
          <w:p>
            <w:pPr>
              <w:pStyle w:val="TableParagraph"/>
              <w:spacing w:before="78"/>
              <w:rPr>
                <w:b/>
                <w:sz w:val="18"/>
              </w:rPr>
            </w:pPr>
          </w:p>
          <w:p>
            <w:pPr>
              <w:pStyle w:val="TableParagraph"/>
              <w:ind w:left="69"/>
              <w:rPr>
                <w:sz w:val="18"/>
              </w:rPr>
            </w:pPr>
            <w:r>
              <w:rPr>
                <w:sz w:val="18"/>
              </w:rPr>
              <w:t>Cantidad</w:t>
            </w:r>
            <w:r>
              <w:rPr>
                <w:spacing w:val="-15"/>
                <w:sz w:val="18"/>
              </w:rPr>
              <w:t> </w:t>
            </w:r>
            <w:r>
              <w:rPr>
                <w:sz w:val="18"/>
              </w:rPr>
              <w:t>de</w:t>
            </w:r>
            <w:r>
              <w:rPr>
                <w:spacing w:val="-12"/>
                <w:sz w:val="18"/>
              </w:rPr>
              <w:t> </w:t>
            </w:r>
            <w:r>
              <w:rPr>
                <w:sz w:val="18"/>
              </w:rPr>
              <w:t>la </w:t>
            </w:r>
            <w:r>
              <w:rPr>
                <w:spacing w:val="-2"/>
                <w:sz w:val="18"/>
              </w:rPr>
              <w:t>planilla institucional aplicada</w:t>
            </w:r>
          </w:p>
        </w:tc>
        <w:tc>
          <w:tcPr>
            <w:tcW w:w="1413" w:type="dxa"/>
          </w:tcPr>
          <w:p>
            <w:pPr>
              <w:pStyle w:val="TableParagraph"/>
              <w:spacing w:before="78"/>
              <w:ind w:left="70" w:right="68"/>
              <w:rPr>
                <w:sz w:val="18"/>
              </w:rPr>
            </w:pPr>
            <w:r>
              <w:rPr>
                <w:sz w:val="18"/>
              </w:rPr>
              <w:t>Resumen de salarios y </w:t>
            </w:r>
            <w:r>
              <w:rPr>
                <w:spacing w:val="-2"/>
                <w:sz w:val="18"/>
              </w:rPr>
              <w:t>devengados </w:t>
            </w:r>
            <w:r>
              <w:rPr>
                <w:sz w:val="18"/>
              </w:rPr>
              <w:t>mensuales que se generan del Sistema</w:t>
            </w:r>
            <w:r>
              <w:rPr>
                <w:spacing w:val="-15"/>
                <w:sz w:val="18"/>
              </w:rPr>
              <w:t> </w:t>
            </w:r>
            <w:r>
              <w:rPr>
                <w:sz w:val="18"/>
              </w:rPr>
              <w:t>de</w:t>
            </w:r>
            <w:r>
              <w:rPr>
                <w:spacing w:val="-12"/>
                <w:sz w:val="18"/>
              </w:rPr>
              <w:t> </w:t>
            </w:r>
            <w:r>
              <w:rPr>
                <w:sz w:val="18"/>
              </w:rPr>
              <w:t>DH, Del sistema SAP se</w:t>
            </w:r>
            <w:r>
              <w:rPr>
                <w:spacing w:val="40"/>
                <w:sz w:val="18"/>
              </w:rPr>
              <w:t> </w:t>
            </w:r>
            <w:r>
              <w:rPr>
                <w:spacing w:val="-2"/>
                <w:sz w:val="18"/>
              </w:rPr>
              <w:t>generan </w:t>
            </w:r>
            <w:r>
              <w:rPr>
                <w:sz w:val="18"/>
              </w:rPr>
              <w:t>reportes del </w:t>
            </w:r>
            <w:r>
              <w:rPr>
                <w:spacing w:val="-2"/>
                <w:sz w:val="18"/>
              </w:rPr>
              <w:t>presupuesto anual</w:t>
            </w:r>
          </w:p>
        </w:tc>
        <w:tc>
          <w:tcPr>
            <w:tcW w:w="138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7"/>
              <w:rPr>
                <w:b/>
                <w:sz w:val="18"/>
              </w:rPr>
            </w:pPr>
          </w:p>
          <w:p>
            <w:pPr>
              <w:pStyle w:val="TableParagraph"/>
              <w:ind w:left="71"/>
              <w:rPr>
                <w:sz w:val="18"/>
              </w:rPr>
            </w:pPr>
            <w:r>
              <w:rPr>
                <w:spacing w:val="-2"/>
                <w:sz w:val="18"/>
              </w:rPr>
              <w:t>Desarrollo Humano</w:t>
            </w:r>
          </w:p>
        </w:tc>
        <w:tc>
          <w:tcPr>
            <w:tcW w:w="193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80"/>
              <w:rPr>
                <w:b/>
                <w:sz w:val="18"/>
              </w:rPr>
            </w:pPr>
          </w:p>
          <w:p>
            <w:pPr>
              <w:pStyle w:val="TableParagraph"/>
              <w:spacing w:before="1"/>
              <w:ind w:left="482"/>
              <w:rPr>
                <w:sz w:val="18"/>
              </w:rPr>
            </w:pPr>
            <w:r>
              <w:rPr>
                <w:sz w:val="18"/>
              </w:rPr>
              <w:t>₡25 380</w:t>
            </w:r>
            <w:r>
              <w:rPr>
                <w:spacing w:val="-3"/>
                <w:sz w:val="18"/>
              </w:rPr>
              <w:t> </w:t>
            </w:r>
            <w:r>
              <w:rPr>
                <w:sz w:val="18"/>
              </w:rPr>
              <w:t>773</w:t>
            </w:r>
            <w:r>
              <w:rPr>
                <w:spacing w:val="-1"/>
                <w:sz w:val="18"/>
              </w:rPr>
              <w:t> </w:t>
            </w:r>
            <w:r>
              <w:rPr>
                <w:spacing w:val="-5"/>
                <w:sz w:val="18"/>
              </w:rPr>
              <w:t>111</w:t>
            </w:r>
          </w:p>
        </w:tc>
        <w:tc>
          <w:tcPr>
            <w:tcW w:w="2550" w:type="dxa"/>
          </w:tcPr>
          <w:p>
            <w:pPr>
              <w:pStyle w:val="TableParagraph"/>
              <w:rPr>
                <w:rFonts w:ascii="Times New Roman"/>
                <w:sz w:val="16"/>
              </w:rPr>
            </w:pPr>
          </w:p>
        </w:tc>
      </w:tr>
    </w:tbl>
    <w:p>
      <w:pPr>
        <w:pStyle w:val="BodyText"/>
        <w:rPr>
          <w:b/>
          <w:sz w:val="20"/>
        </w:rPr>
      </w:pPr>
    </w:p>
    <w:p>
      <w:pPr>
        <w:pStyle w:val="BodyText"/>
        <w:spacing w:before="91" w:after="1"/>
        <w:rPr>
          <w:b/>
          <w:sz w:val="20"/>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18"/>
        <w:gridCol w:w="1297"/>
        <w:gridCol w:w="1066"/>
        <w:gridCol w:w="1944"/>
        <w:gridCol w:w="1253"/>
        <w:gridCol w:w="1245"/>
        <w:gridCol w:w="1843"/>
        <w:gridCol w:w="2551"/>
      </w:tblGrid>
      <w:tr>
        <w:trPr>
          <w:trHeight w:val="1094" w:hRule="atLeast"/>
        </w:trPr>
        <w:tc>
          <w:tcPr>
            <w:tcW w:w="3118" w:type="dxa"/>
            <w:shd w:val="clear" w:color="auto" w:fill="F1F1F1"/>
          </w:tcPr>
          <w:p>
            <w:pPr>
              <w:pStyle w:val="TableParagraph"/>
              <w:rPr>
                <w:b/>
                <w:sz w:val="16"/>
              </w:rPr>
            </w:pPr>
          </w:p>
          <w:p>
            <w:pPr>
              <w:pStyle w:val="TableParagraph"/>
              <w:spacing w:before="88"/>
              <w:rPr>
                <w:b/>
                <w:sz w:val="16"/>
              </w:rPr>
            </w:pPr>
          </w:p>
          <w:p>
            <w:pPr>
              <w:pStyle w:val="TableParagraph"/>
              <w:spacing w:before="1"/>
              <w:ind w:left="695"/>
              <w:rPr>
                <w:b/>
                <w:sz w:val="16"/>
              </w:rPr>
            </w:pPr>
            <w:r>
              <w:rPr>
                <w:b/>
                <w:sz w:val="16"/>
              </w:rPr>
              <w:t>Objetivos</w:t>
            </w:r>
            <w:r>
              <w:rPr>
                <w:b/>
                <w:spacing w:val="-4"/>
                <w:sz w:val="16"/>
              </w:rPr>
              <w:t> </w:t>
            </w:r>
            <w:r>
              <w:rPr>
                <w:b/>
                <w:sz w:val="16"/>
              </w:rPr>
              <w:t>/</w:t>
            </w:r>
            <w:r>
              <w:rPr>
                <w:b/>
                <w:spacing w:val="-3"/>
                <w:sz w:val="16"/>
              </w:rPr>
              <w:t> </w:t>
            </w:r>
            <w:r>
              <w:rPr>
                <w:b/>
                <w:spacing w:val="-2"/>
                <w:sz w:val="16"/>
              </w:rPr>
              <w:t>Resultados</w:t>
            </w:r>
          </w:p>
        </w:tc>
        <w:tc>
          <w:tcPr>
            <w:tcW w:w="1297" w:type="dxa"/>
            <w:shd w:val="clear" w:color="auto" w:fill="F1F1F1"/>
          </w:tcPr>
          <w:p>
            <w:pPr>
              <w:pStyle w:val="TableParagraph"/>
              <w:spacing w:before="179"/>
              <w:rPr>
                <w:b/>
                <w:sz w:val="16"/>
              </w:rPr>
            </w:pPr>
          </w:p>
          <w:p>
            <w:pPr>
              <w:pStyle w:val="TableParagraph"/>
              <w:ind w:left="415" w:right="211" w:hanging="192"/>
              <w:rPr>
                <w:b/>
                <w:sz w:val="16"/>
              </w:rPr>
            </w:pPr>
            <w:r>
              <w:rPr>
                <w:b/>
                <w:sz w:val="16"/>
              </w:rPr>
              <w:t>Línea</w:t>
            </w:r>
            <w:r>
              <w:rPr>
                <w:b/>
                <w:spacing w:val="-12"/>
                <w:sz w:val="16"/>
              </w:rPr>
              <w:t> </w:t>
            </w:r>
            <w:r>
              <w:rPr>
                <w:b/>
                <w:sz w:val="16"/>
              </w:rPr>
              <w:t>Base </w:t>
            </w:r>
            <w:r>
              <w:rPr>
                <w:b/>
                <w:spacing w:val="-2"/>
                <w:sz w:val="16"/>
              </w:rPr>
              <w:t>(2025)</w:t>
            </w:r>
          </w:p>
        </w:tc>
        <w:tc>
          <w:tcPr>
            <w:tcW w:w="1066" w:type="dxa"/>
            <w:shd w:val="clear" w:color="auto" w:fill="F1F1F1"/>
          </w:tcPr>
          <w:p>
            <w:pPr>
              <w:pStyle w:val="TableParagraph"/>
              <w:spacing w:before="88"/>
              <w:rPr>
                <w:b/>
                <w:sz w:val="16"/>
              </w:rPr>
            </w:pPr>
          </w:p>
          <w:p>
            <w:pPr>
              <w:pStyle w:val="TableParagraph"/>
              <w:ind w:left="10"/>
              <w:jc w:val="center"/>
              <w:rPr>
                <w:b/>
                <w:sz w:val="16"/>
              </w:rPr>
            </w:pPr>
            <w:r>
              <w:rPr>
                <w:b/>
                <w:spacing w:val="-4"/>
                <w:sz w:val="16"/>
              </w:rPr>
              <w:t>Meta </w:t>
            </w:r>
            <w:r>
              <w:rPr>
                <w:b/>
                <w:spacing w:val="-2"/>
                <w:sz w:val="16"/>
              </w:rPr>
              <w:t>programada </w:t>
            </w:r>
            <w:r>
              <w:rPr>
                <w:b/>
                <w:spacing w:val="-4"/>
                <w:sz w:val="16"/>
              </w:rPr>
              <w:t>2027</w:t>
            </w:r>
          </w:p>
        </w:tc>
        <w:tc>
          <w:tcPr>
            <w:tcW w:w="1944" w:type="dxa"/>
            <w:shd w:val="clear" w:color="auto" w:fill="F1F1F1"/>
          </w:tcPr>
          <w:p>
            <w:pPr>
              <w:pStyle w:val="TableParagraph"/>
              <w:rPr>
                <w:b/>
                <w:sz w:val="16"/>
              </w:rPr>
            </w:pPr>
          </w:p>
          <w:p>
            <w:pPr>
              <w:pStyle w:val="TableParagraph"/>
              <w:spacing w:before="88"/>
              <w:rPr>
                <w:b/>
                <w:sz w:val="16"/>
              </w:rPr>
            </w:pPr>
          </w:p>
          <w:p>
            <w:pPr>
              <w:pStyle w:val="TableParagraph"/>
              <w:spacing w:before="1"/>
              <w:ind w:left="608"/>
              <w:rPr>
                <w:b/>
                <w:sz w:val="16"/>
              </w:rPr>
            </w:pPr>
            <w:r>
              <w:rPr>
                <w:b/>
                <w:spacing w:val="-2"/>
                <w:sz w:val="16"/>
              </w:rPr>
              <w:t>Indicador</w:t>
            </w:r>
          </w:p>
        </w:tc>
        <w:tc>
          <w:tcPr>
            <w:tcW w:w="1253" w:type="dxa"/>
            <w:shd w:val="clear" w:color="auto" w:fill="F1F1F1"/>
          </w:tcPr>
          <w:p>
            <w:pPr>
              <w:pStyle w:val="TableParagraph"/>
              <w:spacing w:before="179"/>
              <w:rPr>
                <w:b/>
                <w:sz w:val="16"/>
              </w:rPr>
            </w:pPr>
          </w:p>
          <w:p>
            <w:pPr>
              <w:pStyle w:val="TableParagraph"/>
              <w:ind w:left="179" w:firstLine="52"/>
              <w:rPr>
                <w:b/>
                <w:sz w:val="16"/>
              </w:rPr>
            </w:pPr>
            <w:r>
              <w:rPr>
                <w:b/>
                <w:sz w:val="16"/>
              </w:rPr>
              <w:t>Medios de </w:t>
            </w:r>
            <w:r>
              <w:rPr>
                <w:b/>
                <w:spacing w:val="-2"/>
                <w:sz w:val="16"/>
              </w:rPr>
              <w:t>verificación</w:t>
            </w:r>
          </w:p>
        </w:tc>
        <w:tc>
          <w:tcPr>
            <w:tcW w:w="1245" w:type="dxa"/>
            <w:shd w:val="clear" w:color="auto" w:fill="F1F1F1"/>
          </w:tcPr>
          <w:p>
            <w:pPr>
              <w:pStyle w:val="TableParagraph"/>
              <w:rPr>
                <w:b/>
                <w:sz w:val="16"/>
              </w:rPr>
            </w:pPr>
          </w:p>
          <w:p>
            <w:pPr>
              <w:pStyle w:val="TableParagraph"/>
              <w:spacing w:before="88"/>
              <w:rPr>
                <w:b/>
                <w:sz w:val="16"/>
              </w:rPr>
            </w:pPr>
          </w:p>
          <w:p>
            <w:pPr>
              <w:pStyle w:val="TableParagraph"/>
              <w:spacing w:before="1"/>
              <w:ind w:left="6"/>
              <w:jc w:val="center"/>
              <w:rPr>
                <w:b/>
                <w:sz w:val="16"/>
              </w:rPr>
            </w:pPr>
            <w:r>
              <w:rPr>
                <w:b/>
                <w:spacing w:val="-2"/>
                <w:sz w:val="16"/>
              </w:rPr>
              <w:t>Responsable</w:t>
            </w:r>
          </w:p>
        </w:tc>
        <w:tc>
          <w:tcPr>
            <w:tcW w:w="1843" w:type="dxa"/>
            <w:shd w:val="clear" w:color="auto" w:fill="F1F1F1"/>
          </w:tcPr>
          <w:p>
            <w:pPr>
              <w:pStyle w:val="TableParagraph"/>
              <w:spacing w:before="179"/>
              <w:rPr>
                <w:b/>
                <w:sz w:val="16"/>
              </w:rPr>
            </w:pPr>
          </w:p>
          <w:p>
            <w:pPr>
              <w:pStyle w:val="TableParagraph"/>
              <w:ind w:left="568" w:right="210" w:hanging="132"/>
              <w:rPr>
                <w:b/>
                <w:sz w:val="16"/>
              </w:rPr>
            </w:pPr>
            <w:r>
              <w:rPr>
                <w:b/>
                <w:spacing w:val="-2"/>
                <w:sz w:val="16"/>
              </w:rPr>
              <w:t>Presupuesto asignado</w:t>
            </w:r>
          </w:p>
        </w:tc>
        <w:tc>
          <w:tcPr>
            <w:tcW w:w="2551" w:type="dxa"/>
            <w:shd w:val="clear" w:color="auto" w:fill="F1F1F1"/>
          </w:tcPr>
          <w:p>
            <w:pPr>
              <w:pStyle w:val="TableParagraph"/>
              <w:spacing w:before="179"/>
              <w:rPr>
                <w:b/>
                <w:sz w:val="16"/>
              </w:rPr>
            </w:pPr>
          </w:p>
          <w:p>
            <w:pPr>
              <w:pStyle w:val="TableParagraph"/>
              <w:ind w:left="754" w:hanging="293"/>
              <w:rPr>
                <w:b/>
                <w:sz w:val="16"/>
              </w:rPr>
            </w:pPr>
            <w:r>
              <w:rPr>
                <w:b/>
                <w:sz w:val="16"/>
              </w:rPr>
              <w:t>Riesgos</w:t>
            </w:r>
            <w:r>
              <w:rPr>
                <w:b/>
                <w:spacing w:val="-12"/>
                <w:sz w:val="16"/>
              </w:rPr>
              <w:t> </w:t>
            </w:r>
            <w:r>
              <w:rPr>
                <w:b/>
                <w:sz w:val="16"/>
              </w:rPr>
              <w:t>asociados</w:t>
            </w:r>
            <w:r>
              <w:rPr>
                <w:b/>
                <w:spacing w:val="-11"/>
                <w:sz w:val="16"/>
              </w:rPr>
              <w:t> </w:t>
            </w:r>
            <w:r>
              <w:rPr>
                <w:b/>
                <w:sz w:val="16"/>
              </w:rPr>
              <w:t>al </w:t>
            </w:r>
            <w:r>
              <w:rPr>
                <w:b/>
                <w:spacing w:val="-2"/>
                <w:sz w:val="16"/>
              </w:rPr>
              <w:t>cumplimiento</w:t>
            </w:r>
          </w:p>
        </w:tc>
      </w:tr>
      <w:tr>
        <w:trPr>
          <w:trHeight w:val="736" w:hRule="atLeast"/>
        </w:trPr>
        <w:tc>
          <w:tcPr>
            <w:tcW w:w="14317" w:type="dxa"/>
            <w:gridSpan w:val="8"/>
            <w:shd w:val="clear" w:color="auto" w:fill="EDEBE0"/>
          </w:tcPr>
          <w:p>
            <w:pPr>
              <w:pStyle w:val="TableParagraph"/>
              <w:spacing w:before="1"/>
              <w:rPr>
                <w:b/>
                <w:sz w:val="16"/>
              </w:rPr>
            </w:pPr>
          </w:p>
          <w:p>
            <w:pPr>
              <w:pStyle w:val="TableParagraph"/>
              <w:ind w:left="69" w:right="34"/>
              <w:rPr>
                <w:b/>
                <w:sz w:val="16"/>
              </w:rPr>
            </w:pPr>
            <w:r>
              <w:rPr>
                <w:b/>
                <w:sz w:val="16"/>
              </w:rPr>
              <w:t>Efecto:</w:t>
            </w:r>
            <w:r>
              <w:rPr>
                <w:b/>
                <w:spacing w:val="40"/>
                <w:sz w:val="16"/>
              </w:rPr>
              <w:t> </w:t>
            </w:r>
            <w:r>
              <w:rPr>
                <w:b/>
                <w:sz w:val="16"/>
              </w:rPr>
              <w:t>Efectiva</w:t>
            </w:r>
            <w:r>
              <w:rPr>
                <w:b/>
                <w:spacing w:val="-1"/>
                <w:sz w:val="16"/>
              </w:rPr>
              <w:t> </w:t>
            </w:r>
            <w:r>
              <w:rPr>
                <w:b/>
                <w:sz w:val="16"/>
              </w:rPr>
              <w:t>gestión de</w:t>
            </w:r>
            <w:r>
              <w:rPr>
                <w:b/>
                <w:spacing w:val="-3"/>
                <w:sz w:val="16"/>
              </w:rPr>
              <w:t> </w:t>
            </w:r>
            <w:r>
              <w:rPr>
                <w:b/>
                <w:sz w:val="16"/>
              </w:rPr>
              <w:t>los</w:t>
            </w:r>
            <w:r>
              <w:rPr>
                <w:b/>
                <w:spacing w:val="-3"/>
                <w:sz w:val="16"/>
              </w:rPr>
              <w:t> </w:t>
            </w:r>
            <w:r>
              <w:rPr>
                <w:b/>
                <w:sz w:val="16"/>
              </w:rPr>
              <w:t>recursos</w:t>
            </w:r>
            <w:r>
              <w:rPr>
                <w:b/>
                <w:spacing w:val="-1"/>
                <w:sz w:val="16"/>
              </w:rPr>
              <w:t> </w:t>
            </w:r>
            <w:r>
              <w:rPr>
                <w:b/>
                <w:sz w:val="16"/>
              </w:rPr>
              <w:t>humanos, financieros,</w:t>
            </w:r>
            <w:r>
              <w:rPr>
                <w:b/>
                <w:spacing w:val="-2"/>
                <w:sz w:val="16"/>
              </w:rPr>
              <w:t> </w:t>
            </w:r>
            <w:r>
              <w:rPr>
                <w:b/>
                <w:sz w:val="16"/>
              </w:rPr>
              <w:t>materiales</w:t>
            </w:r>
            <w:r>
              <w:rPr>
                <w:b/>
                <w:spacing w:val="-1"/>
                <w:sz w:val="16"/>
              </w:rPr>
              <w:t> </w:t>
            </w:r>
            <w:r>
              <w:rPr>
                <w:b/>
                <w:sz w:val="16"/>
              </w:rPr>
              <w:t>y</w:t>
            </w:r>
            <w:r>
              <w:rPr>
                <w:b/>
                <w:spacing w:val="-1"/>
                <w:sz w:val="16"/>
              </w:rPr>
              <w:t> </w:t>
            </w:r>
            <w:r>
              <w:rPr>
                <w:b/>
                <w:sz w:val="16"/>
              </w:rPr>
              <w:t>tecnológicos, con</w:t>
            </w:r>
            <w:r>
              <w:rPr>
                <w:b/>
                <w:spacing w:val="-3"/>
                <w:sz w:val="16"/>
              </w:rPr>
              <w:t> </w:t>
            </w:r>
            <w:r>
              <w:rPr>
                <w:b/>
                <w:sz w:val="16"/>
              </w:rPr>
              <w:t>el fin</w:t>
            </w:r>
            <w:r>
              <w:rPr>
                <w:b/>
                <w:spacing w:val="-3"/>
                <w:sz w:val="16"/>
              </w:rPr>
              <w:t> </w:t>
            </w:r>
            <w:r>
              <w:rPr>
                <w:b/>
                <w:sz w:val="16"/>
              </w:rPr>
              <w:t>de</w:t>
            </w:r>
            <w:r>
              <w:rPr>
                <w:b/>
                <w:spacing w:val="-3"/>
                <w:sz w:val="16"/>
              </w:rPr>
              <w:t> </w:t>
            </w:r>
            <w:r>
              <w:rPr>
                <w:b/>
                <w:sz w:val="16"/>
              </w:rPr>
              <w:t>contribuir</w:t>
            </w:r>
            <w:r>
              <w:rPr>
                <w:b/>
                <w:spacing w:val="-3"/>
                <w:sz w:val="16"/>
              </w:rPr>
              <w:t> </w:t>
            </w:r>
            <w:r>
              <w:rPr>
                <w:b/>
                <w:sz w:val="16"/>
              </w:rPr>
              <w:t>con</w:t>
            </w:r>
            <w:r>
              <w:rPr>
                <w:b/>
                <w:spacing w:val="-3"/>
                <w:sz w:val="16"/>
              </w:rPr>
              <w:t> </w:t>
            </w:r>
            <w:r>
              <w:rPr>
                <w:b/>
                <w:sz w:val="16"/>
              </w:rPr>
              <w:t>la</w:t>
            </w:r>
            <w:r>
              <w:rPr>
                <w:b/>
                <w:spacing w:val="-4"/>
                <w:sz w:val="16"/>
              </w:rPr>
              <w:t> </w:t>
            </w:r>
            <w:r>
              <w:rPr>
                <w:b/>
                <w:sz w:val="16"/>
              </w:rPr>
              <w:t>institucionalización</w:t>
            </w:r>
            <w:r>
              <w:rPr>
                <w:b/>
                <w:spacing w:val="-3"/>
                <w:sz w:val="16"/>
              </w:rPr>
              <w:t> </w:t>
            </w:r>
            <w:r>
              <w:rPr>
                <w:b/>
                <w:sz w:val="16"/>
              </w:rPr>
              <w:t>de</w:t>
            </w:r>
            <w:r>
              <w:rPr>
                <w:b/>
                <w:spacing w:val="-3"/>
                <w:sz w:val="16"/>
              </w:rPr>
              <w:t> </w:t>
            </w:r>
            <w:r>
              <w:rPr>
                <w:b/>
                <w:sz w:val="16"/>
              </w:rPr>
              <w:t>la</w:t>
            </w:r>
            <w:r>
              <w:rPr>
                <w:b/>
                <w:spacing w:val="-1"/>
                <w:sz w:val="16"/>
              </w:rPr>
              <w:t> </w:t>
            </w:r>
            <w:r>
              <w:rPr>
                <w:b/>
                <w:sz w:val="16"/>
              </w:rPr>
              <w:t>estrategia</w:t>
            </w:r>
            <w:r>
              <w:rPr>
                <w:b/>
                <w:spacing w:val="-4"/>
                <w:sz w:val="16"/>
              </w:rPr>
              <w:t> </w:t>
            </w:r>
            <w:r>
              <w:rPr>
                <w:b/>
                <w:sz w:val="16"/>
              </w:rPr>
              <w:t>de</w:t>
            </w:r>
            <w:r>
              <w:rPr>
                <w:b/>
                <w:spacing w:val="-3"/>
                <w:sz w:val="16"/>
              </w:rPr>
              <w:t> </w:t>
            </w:r>
            <w:r>
              <w:rPr>
                <w:b/>
                <w:sz w:val="16"/>
              </w:rPr>
              <w:t>intervención</w:t>
            </w:r>
            <w:r>
              <w:rPr>
                <w:b/>
                <w:spacing w:val="-3"/>
                <w:sz w:val="16"/>
              </w:rPr>
              <w:t> </w:t>
            </w:r>
            <w:r>
              <w:rPr>
                <w:b/>
                <w:sz w:val="16"/>
              </w:rPr>
              <w:t>de</w:t>
            </w:r>
            <w:r>
              <w:rPr>
                <w:b/>
                <w:spacing w:val="-3"/>
                <w:sz w:val="16"/>
              </w:rPr>
              <w:t> </w:t>
            </w:r>
            <w:r>
              <w:rPr>
                <w:b/>
                <w:sz w:val="16"/>
              </w:rPr>
              <w:t>la población en situación de pobreza y pobreza extrema.</w:t>
            </w:r>
          </w:p>
        </w:tc>
      </w:tr>
      <w:tr>
        <w:trPr>
          <w:trHeight w:val="465" w:hRule="atLeast"/>
        </w:trPr>
        <w:tc>
          <w:tcPr>
            <w:tcW w:w="14317" w:type="dxa"/>
            <w:gridSpan w:val="8"/>
            <w:shd w:val="clear" w:color="auto" w:fill="DBE4F0"/>
          </w:tcPr>
          <w:p>
            <w:pPr>
              <w:pStyle w:val="TableParagraph"/>
              <w:spacing w:before="25"/>
              <w:ind w:left="69"/>
              <w:rPr>
                <w:b/>
                <w:sz w:val="18"/>
              </w:rPr>
            </w:pPr>
            <w:r>
              <w:rPr>
                <w:b/>
                <w:sz w:val="18"/>
              </w:rPr>
              <w:t>Producto</w:t>
            </w:r>
            <w:r>
              <w:rPr>
                <w:b/>
                <w:spacing w:val="-6"/>
                <w:sz w:val="18"/>
              </w:rPr>
              <w:t> </w:t>
            </w:r>
            <w:r>
              <w:rPr>
                <w:b/>
                <w:sz w:val="18"/>
              </w:rPr>
              <w:t>2.4:</w:t>
            </w:r>
            <w:r>
              <w:rPr>
                <w:b/>
                <w:spacing w:val="-3"/>
                <w:sz w:val="18"/>
              </w:rPr>
              <w:t> </w:t>
            </w:r>
            <w:r>
              <w:rPr>
                <w:b/>
                <w:sz w:val="18"/>
              </w:rPr>
              <w:t>Infraestructura</w:t>
            </w:r>
            <w:r>
              <w:rPr>
                <w:b/>
                <w:spacing w:val="-3"/>
                <w:sz w:val="18"/>
              </w:rPr>
              <w:t> </w:t>
            </w:r>
            <w:r>
              <w:rPr>
                <w:b/>
                <w:sz w:val="18"/>
              </w:rPr>
              <w:t>tecnológica</w:t>
            </w:r>
            <w:r>
              <w:rPr>
                <w:b/>
                <w:spacing w:val="-3"/>
                <w:sz w:val="18"/>
              </w:rPr>
              <w:t> </w:t>
            </w:r>
            <w:r>
              <w:rPr>
                <w:b/>
                <w:sz w:val="18"/>
              </w:rPr>
              <w:t>brindando</w:t>
            </w:r>
            <w:r>
              <w:rPr>
                <w:b/>
                <w:spacing w:val="-5"/>
                <w:sz w:val="18"/>
              </w:rPr>
              <w:t> </w:t>
            </w:r>
            <w:r>
              <w:rPr>
                <w:b/>
                <w:sz w:val="18"/>
              </w:rPr>
              <w:t>servicios</w:t>
            </w:r>
            <w:r>
              <w:rPr>
                <w:b/>
                <w:spacing w:val="-5"/>
                <w:sz w:val="18"/>
              </w:rPr>
              <w:t> </w:t>
            </w:r>
            <w:r>
              <w:rPr>
                <w:b/>
                <w:sz w:val="18"/>
              </w:rPr>
              <w:t>a</w:t>
            </w:r>
            <w:r>
              <w:rPr>
                <w:b/>
                <w:spacing w:val="-3"/>
                <w:sz w:val="18"/>
              </w:rPr>
              <w:t> </w:t>
            </w:r>
            <w:r>
              <w:rPr>
                <w:b/>
                <w:sz w:val="18"/>
              </w:rPr>
              <w:t>todas</w:t>
            </w:r>
            <w:r>
              <w:rPr>
                <w:b/>
                <w:spacing w:val="-3"/>
                <w:sz w:val="18"/>
              </w:rPr>
              <w:t> </w:t>
            </w:r>
            <w:r>
              <w:rPr>
                <w:b/>
                <w:sz w:val="18"/>
              </w:rPr>
              <w:t>las</w:t>
            </w:r>
            <w:r>
              <w:rPr>
                <w:b/>
                <w:spacing w:val="-3"/>
                <w:sz w:val="18"/>
              </w:rPr>
              <w:t> </w:t>
            </w:r>
            <w:r>
              <w:rPr>
                <w:b/>
                <w:sz w:val="18"/>
              </w:rPr>
              <w:t>personas</w:t>
            </w:r>
            <w:r>
              <w:rPr>
                <w:b/>
                <w:spacing w:val="-7"/>
                <w:sz w:val="18"/>
              </w:rPr>
              <w:t> </w:t>
            </w:r>
            <w:r>
              <w:rPr>
                <w:b/>
                <w:sz w:val="18"/>
              </w:rPr>
              <w:t>usuarios</w:t>
            </w:r>
            <w:r>
              <w:rPr>
                <w:b/>
                <w:spacing w:val="-5"/>
                <w:sz w:val="18"/>
              </w:rPr>
              <w:t> </w:t>
            </w:r>
            <w:r>
              <w:rPr>
                <w:b/>
                <w:sz w:val="18"/>
              </w:rPr>
              <w:t>de</w:t>
            </w:r>
            <w:r>
              <w:rPr>
                <w:b/>
                <w:spacing w:val="-3"/>
                <w:sz w:val="18"/>
              </w:rPr>
              <w:t> </w:t>
            </w:r>
            <w:r>
              <w:rPr>
                <w:b/>
                <w:sz w:val="18"/>
              </w:rPr>
              <w:t>la</w:t>
            </w:r>
            <w:r>
              <w:rPr>
                <w:b/>
                <w:spacing w:val="-3"/>
                <w:sz w:val="18"/>
              </w:rPr>
              <w:t> </w:t>
            </w:r>
            <w:r>
              <w:rPr>
                <w:b/>
                <w:spacing w:val="-2"/>
                <w:sz w:val="18"/>
              </w:rPr>
              <w:t>institución.</w:t>
            </w:r>
          </w:p>
        </w:tc>
      </w:tr>
      <w:tr>
        <w:trPr>
          <w:trHeight w:val="1470" w:hRule="atLeast"/>
        </w:trPr>
        <w:tc>
          <w:tcPr>
            <w:tcW w:w="3118" w:type="dxa"/>
          </w:tcPr>
          <w:p>
            <w:pPr>
              <w:pStyle w:val="TableParagraph"/>
              <w:rPr>
                <w:b/>
                <w:sz w:val="16"/>
              </w:rPr>
            </w:pPr>
          </w:p>
          <w:p>
            <w:pPr>
              <w:pStyle w:val="TableParagraph"/>
              <w:rPr>
                <w:b/>
                <w:sz w:val="16"/>
              </w:rPr>
            </w:pPr>
          </w:p>
          <w:p>
            <w:pPr>
              <w:pStyle w:val="TableParagraph"/>
              <w:ind w:left="69" w:right="79"/>
              <w:rPr>
                <w:sz w:val="16"/>
              </w:rPr>
            </w:pPr>
            <w:r>
              <w:rPr>
                <w:b/>
                <w:sz w:val="16"/>
              </w:rPr>
              <w:t>Actividad PAC 2.4.1: </w:t>
            </w:r>
            <w:r>
              <w:rPr>
                <w:sz w:val="16"/>
              </w:rPr>
              <w:t>Gestionar el mantenimiento</w:t>
            </w:r>
            <w:r>
              <w:rPr>
                <w:spacing w:val="-9"/>
                <w:sz w:val="16"/>
              </w:rPr>
              <w:t> </w:t>
            </w:r>
            <w:r>
              <w:rPr>
                <w:sz w:val="16"/>
              </w:rPr>
              <w:t>y</w:t>
            </w:r>
            <w:r>
              <w:rPr>
                <w:spacing w:val="-6"/>
                <w:sz w:val="16"/>
              </w:rPr>
              <w:t> </w:t>
            </w:r>
            <w:r>
              <w:rPr>
                <w:sz w:val="16"/>
              </w:rPr>
              <w:t>reparación</w:t>
            </w:r>
            <w:r>
              <w:rPr>
                <w:spacing w:val="-10"/>
                <w:sz w:val="16"/>
              </w:rPr>
              <w:t> </w:t>
            </w:r>
            <w:r>
              <w:rPr>
                <w:sz w:val="16"/>
              </w:rPr>
              <w:t>de</w:t>
            </w:r>
            <w:r>
              <w:rPr>
                <w:spacing w:val="-8"/>
                <w:sz w:val="16"/>
              </w:rPr>
              <w:t> </w:t>
            </w:r>
            <w:r>
              <w:rPr>
                <w:sz w:val="16"/>
              </w:rPr>
              <w:t>equipo</w:t>
            </w:r>
            <w:r>
              <w:rPr>
                <w:spacing w:val="-8"/>
                <w:sz w:val="16"/>
              </w:rPr>
              <w:t> </w:t>
            </w:r>
            <w:r>
              <w:rPr>
                <w:sz w:val="16"/>
              </w:rPr>
              <w:t>de cómputo, sistemas de Información (partida 1.08.08) AC</w:t>
            </w:r>
          </w:p>
        </w:tc>
        <w:tc>
          <w:tcPr>
            <w:tcW w:w="1297" w:type="dxa"/>
          </w:tcPr>
          <w:p>
            <w:pPr>
              <w:pStyle w:val="TableParagraph"/>
              <w:rPr>
                <w:b/>
                <w:sz w:val="16"/>
              </w:rPr>
            </w:pPr>
          </w:p>
          <w:p>
            <w:pPr>
              <w:pStyle w:val="TableParagraph"/>
              <w:rPr>
                <w:b/>
                <w:sz w:val="16"/>
              </w:rPr>
            </w:pPr>
          </w:p>
          <w:p>
            <w:pPr>
              <w:pStyle w:val="TableParagraph"/>
              <w:spacing w:before="92"/>
              <w:rPr>
                <w:b/>
                <w:sz w:val="16"/>
              </w:rPr>
            </w:pPr>
          </w:p>
          <w:p>
            <w:pPr>
              <w:pStyle w:val="TableParagraph"/>
              <w:ind w:left="4"/>
              <w:jc w:val="center"/>
              <w:rPr>
                <w:sz w:val="16"/>
              </w:rPr>
            </w:pPr>
            <w:r>
              <w:rPr>
                <w:spacing w:val="-4"/>
                <w:sz w:val="16"/>
              </w:rPr>
              <w:t>100%</w:t>
            </w:r>
          </w:p>
        </w:tc>
        <w:tc>
          <w:tcPr>
            <w:tcW w:w="1066" w:type="dxa"/>
          </w:tcPr>
          <w:p>
            <w:pPr>
              <w:pStyle w:val="TableParagraph"/>
              <w:rPr>
                <w:b/>
                <w:sz w:val="16"/>
              </w:rPr>
            </w:pPr>
          </w:p>
          <w:p>
            <w:pPr>
              <w:pStyle w:val="TableParagraph"/>
              <w:rPr>
                <w:b/>
                <w:sz w:val="16"/>
              </w:rPr>
            </w:pPr>
          </w:p>
          <w:p>
            <w:pPr>
              <w:pStyle w:val="TableParagraph"/>
              <w:spacing w:before="92"/>
              <w:rPr>
                <w:b/>
                <w:sz w:val="16"/>
              </w:rPr>
            </w:pPr>
          </w:p>
          <w:p>
            <w:pPr>
              <w:pStyle w:val="TableParagraph"/>
              <w:ind w:left="10" w:right="6"/>
              <w:jc w:val="center"/>
              <w:rPr>
                <w:sz w:val="16"/>
              </w:rPr>
            </w:pPr>
            <w:r>
              <w:rPr>
                <w:spacing w:val="-4"/>
                <w:sz w:val="16"/>
              </w:rPr>
              <w:t>100%</w:t>
            </w:r>
          </w:p>
        </w:tc>
        <w:tc>
          <w:tcPr>
            <w:tcW w:w="1944" w:type="dxa"/>
          </w:tcPr>
          <w:p>
            <w:pPr>
              <w:pStyle w:val="TableParagraph"/>
              <w:ind w:left="68" w:right="23"/>
              <w:rPr>
                <w:sz w:val="16"/>
              </w:rPr>
            </w:pPr>
            <w:r>
              <w:rPr>
                <w:sz w:val="16"/>
              </w:rPr>
              <w:t>Porcentaje</w:t>
            </w:r>
            <w:r>
              <w:rPr>
                <w:spacing w:val="-12"/>
                <w:sz w:val="16"/>
              </w:rPr>
              <w:t> </w:t>
            </w:r>
            <w:r>
              <w:rPr>
                <w:sz w:val="16"/>
              </w:rPr>
              <w:t>de</w:t>
            </w:r>
            <w:r>
              <w:rPr>
                <w:spacing w:val="-11"/>
                <w:sz w:val="16"/>
              </w:rPr>
              <w:t> </w:t>
            </w:r>
            <w:r>
              <w:rPr>
                <w:sz w:val="16"/>
              </w:rPr>
              <w:t>gestiones de las solicitudes efectuadas por las dependencias para el mantenimiento y reparación</w:t>
            </w:r>
            <w:r>
              <w:rPr>
                <w:spacing w:val="-12"/>
                <w:sz w:val="16"/>
              </w:rPr>
              <w:t> </w:t>
            </w:r>
            <w:r>
              <w:rPr>
                <w:sz w:val="16"/>
              </w:rPr>
              <w:t>de</w:t>
            </w:r>
            <w:r>
              <w:rPr>
                <w:spacing w:val="-11"/>
                <w:sz w:val="16"/>
              </w:rPr>
              <w:t> </w:t>
            </w:r>
            <w:r>
              <w:rPr>
                <w:sz w:val="16"/>
              </w:rPr>
              <w:t>equipo</w:t>
            </w:r>
            <w:r>
              <w:rPr>
                <w:spacing w:val="-11"/>
                <w:sz w:val="16"/>
              </w:rPr>
              <w:t> </w:t>
            </w:r>
            <w:r>
              <w:rPr>
                <w:sz w:val="16"/>
              </w:rPr>
              <w:t>de cómputo, sistemas de</w:t>
            </w:r>
          </w:p>
          <w:p>
            <w:pPr>
              <w:pStyle w:val="TableParagraph"/>
              <w:spacing w:line="163" w:lineRule="exact"/>
              <w:ind w:left="68"/>
              <w:rPr>
                <w:sz w:val="16"/>
              </w:rPr>
            </w:pPr>
            <w:r>
              <w:rPr>
                <w:spacing w:val="-2"/>
                <w:sz w:val="16"/>
              </w:rPr>
              <w:t>información.</w:t>
            </w:r>
          </w:p>
        </w:tc>
        <w:tc>
          <w:tcPr>
            <w:tcW w:w="1253" w:type="dxa"/>
          </w:tcPr>
          <w:p>
            <w:pPr>
              <w:pStyle w:val="TableParagraph"/>
              <w:rPr>
                <w:b/>
                <w:sz w:val="16"/>
              </w:rPr>
            </w:pPr>
          </w:p>
          <w:p>
            <w:pPr>
              <w:pStyle w:val="TableParagraph"/>
              <w:rPr>
                <w:b/>
                <w:sz w:val="16"/>
              </w:rPr>
            </w:pPr>
          </w:p>
          <w:p>
            <w:pPr>
              <w:pStyle w:val="TableParagraph"/>
              <w:spacing w:line="183" w:lineRule="exact"/>
              <w:ind w:left="86" w:right="79"/>
              <w:jc w:val="center"/>
              <w:rPr>
                <w:sz w:val="16"/>
              </w:rPr>
            </w:pPr>
            <w:r>
              <w:rPr>
                <w:spacing w:val="-5"/>
                <w:sz w:val="16"/>
              </w:rPr>
              <w:t>SAP</w:t>
            </w:r>
          </w:p>
          <w:p>
            <w:pPr>
              <w:pStyle w:val="TableParagraph"/>
              <w:ind w:left="86" w:right="76"/>
              <w:jc w:val="center"/>
              <w:rPr>
                <w:sz w:val="16"/>
              </w:rPr>
            </w:pPr>
            <w:r>
              <w:rPr>
                <w:spacing w:val="-2"/>
                <w:sz w:val="16"/>
              </w:rPr>
              <w:t>Transacciones </w:t>
            </w:r>
            <w:r>
              <w:rPr>
                <w:sz w:val="16"/>
              </w:rPr>
              <w:t>ejecutadas de la partida.</w:t>
            </w:r>
          </w:p>
        </w:tc>
        <w:tc>
          <w:tcPr>
            <w:tcW w:w="1245" w:type="dxa"/>
          </w:tcPr>
          <w:p>
            <w:pPr>
              <w:pStyle w:val="TableParagraph"/>
              <w:rPr>
                <w:b/>
                <w:sz w:val="16"/>
              </w:rPr>
            </w:pPr>
          </w:p>
          <w:p>
            <w:pPr>
              <w:pStyle w:val="TableParagraph"/>
              <w:rPr>
                <w:b/>
                <w:sz w:val="16"/>
              </w:rPr>
            </w:pPr>
          </w:p>
          <w:p>
            <w:pPr>
              <w:pStyle w:val="TableParagraph"/>
              <w:spacing w:before="92"/>
              <w:rPr>
                <w:b/>
                <w:sz w:val="16"/>
              </w:rPr>
            </w:pPr>
          </w:p>
          <w:p>
            <w:pPr>
              <w:pStyle w:val="TableParagraph"/>
              <w:ind w:left="6" w:right="1"/>
              <w:jc w:val="center"/>
              <w:rPr>
                <w:sz w:val="16"/>
              </w:rPr>
            </w:pPr>
            <w:r>
              <w:rPr>
                <w:spacing w:val="-5"/>
                <w:sz w:val="16"/>
              </w:rPr>
              <w:t>TI</w:t>
            </w:r>
          </w:p>
        </w:tc>
        <w:tc>
          <w:tcPr>
            <w:tcW w:w="1843" w:type="dxa"/>
          </w:tcPr>
          <w:p>
            <w:pPr>
              <w:pStyle w:val="TableParagraph"/>
              <w:rPr>
                <w:b/>
                <w:sz w:val="16"/>
              </w:rPr>
            </w:pPr>
          </w:p>
          <w:p>
            <w:pPr>
              <w:pStyle w:val="TableParagraph"/>
              <w:rPr>
                <w:b/>
                <w:sz w:val="16"/>
              </w:rPr>
            </w:pPr>
          </w:p>
          <w:p>
            <w:pPr>
              <w:pStyle w:val="TableParagraph"/>
              <w:spacing w:before="92"/>
              <w:rPr>
                <w:b/>
                <w:sz w:val="16"/>
              </w:rPr>
            </w:pPr>
          </w:p>
          <w:p>
            <w:pPr>
              <w:pStyle w:val="TableParagraph"/>
              <w:ind w:right="57"/>
              <w:jc w:val="right"/>
              <w:rPr>
                <w:sz w:val="16"/>
              </w:rPr>
            </w:pPr>
            <w:r>
              <w:rPr>
                <w:sz w:val="16"/>
              </w:rPr>
              <w:t>₡586</w:t>
            </w:r>
            <w:r>
              <w:rPr>
                <w:spacing w:val="-3"/>
                <w:sz w:val="16"/>
              </w:rPr>
              <w:t> </w:t>
            </w:r>
            <w:r>
              <w:rPr>
                <w:sz w:val="16"/>
              </w:rPr>
              <w:t>510</w:t>
            </w:r>
            <w:r>
              <w:rPr>
                <w:spacing w:val="-2"/>
                <w:sz w:val="16"/>
              </w:rPr>
              <w:t> </w:t>
            </w:r>
            <w:r>
              <w:rPr>
                <w:spacing w:val="-5"/>
                <w:sz w:val="16"/>
              </w:rPr>
              <w:t>000</w:t>
            </w:r>
          </w:p>
        </w:tc>
        <w:tc>
          <w:tcPr>
            <w:tcW w:w="2551"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9"/>
              <w:rPr>
                <w:b/>
                <w:sz w:val="16"/>
              </w:rPr>
            </w:pPr>
          </w:p>
          <w:p>
            <w:pPr>
              <w:pStyle w:val="TableParagraph"/>
              <w:ind w:left="68" w:right="57"/>
              <w:jc w:val="center"/>
              <w:rPr>
                <w:sz w:val="16"/>
              </w:rPr>
            </w:pPr>
            <w:r>
              <w:rPr>
                <w:sz w:val="16"/>
              </w:rPr>
              <w:t>Evento:</w:t>
            </w:r>
            <w:r>
              <w:rPr>
                <w:spacing w:val="-12"/>
                <w:sz w:val="16"/>
              </w:rPr>
              <w:t> </w:t>
            </w:r>
            <w:r>
              <w:rPr>
                <w:sz w:val="16"/>
              </w:rPr>
              <w:t>Plataformas</w:t>
            </w:r>
            <w:r>
              <w:rPr>
                <w:spacing w:val="-11"/>
                <w:sz w:val="16"/>
              </w:rPr>
              <w:t> </w:t>
            </w:r>
            <w:r>
              <w:rPr>
                <w:sz w:val="16"/>
              </w:rPr>
              <w:t>y</w:t>
            </w:r>
            <w:r>
              <w:rPr>
                <w:spacing w:val="-11"/>
                <w:sz w:val="16"/>
              </w:rPr>
              <w:t> </w:t>
            </w:r>
            <w:r>
              <w:rPr>
                <w:sz w:val="16"/>
              </w:rPr>
              <w:t>sistemas tecnológicos, obsoletos, rezagados y con problemas de operación tecnológica.</w:t>
            </w:r>
          </w:p>
        </w:tc>
      </w:tr>
      <w:tr>
        <w:trPr>
          <w:trHeight w:val="1152" w:hRule="atLeast"/>
        </w:trPr>
        <w:tc>
          <w:tcPr>
            <w:tcW w:w="3118" w:type="dxa"/>
          </w:tcPr>
          <w:p>
            <w:pPr>
              <w:pStyle w:val="TableParagraph"/>
              <w:spacing w:before="116"/>
              <w:rPr>
                <w:b/>
                <w:sz w:val="16"/>
              </w:rPr>
            </w:pPr>
          </w:p>
          <w:p>
            <w:pPr>
              <w:pStyle w:val="TableParagraph"/>
              <w:spacing w:before="1"/>
              <w:ind w:left="69"/>
              <w:rPr>
                <w:sz w:val="16"/>
              </w:rPr>
            </w:pPr>
            <w:r>
              <w:rPr>
                <w:b/>
                <w:sz w:val="16"/>
              </w:rPr>
              <w:t>Actividad PAC 2.4.2: </w:t>
            </w:r>
            <w:r>
              <w:rPr>
                <w:sz w:val="16"/>
              </w:rPr>
              <w:t>Gestionar adquisición</w:t>
            </w:r>
            <w:r>
              <w:rPr>
                <w:spacing w:val="-7"/>
                <w:sz w:val="16"/>
              </w:rPr>
              <w:t> </w:t>
            </w:r>
            <w:r>
              <w:rPr>
                <w:sz w:val="16"/>
              </w:rPr>
              <w:t>de</w:t>
            </w:r>
            <w:r>
              <w:rPr>
                <w:spacing w:val="-7"/>
                <w:sz w:val="16"/>
              </w:rPr>
              <w:t> </w:t>
            </w:r>
            <w:r>
              <w:rPr>
                <w:sz w:val="16"/>
              </w:rPr>
              <w:t>equipo</w:t>
            </w:r>
            <w:r>
              <w:rPr>
                <w:spacing w:val="-10"/>
                <w:sz w:val="16"/>
              </w:rPr>
              <w:t> </w:t>
            </w:r>
            <w:r>
              <w:rPr>
                <w:sz w:val="16"/>
              </w:rPr>
              <w:t>y</w:t>
            </w:r>
            <w:r>
              <w:rPr>
                <w:spacing w:val="-8"/>
                <w:sz w:val="16"/>
              </w:rPr>
              <w:t> </w:t>
            </w:r>
            <w:r>
              <w:rPr>
                <w:sz w:val="16"/>
              </w:rPr>
              <w:t>programas</w:t>
            </w:r>
            <w:r>
              <w:rPr>
                <w:spacing w:val="-5"/>
                <w:sz w:val="16"/>
              </w:rPr>
              <w:t> </w:t>
            </w:r>
            <w:r>
              <w:rPr>
                <w:sz w:val="16"/>
              </w:rPr>
              <w:t>de cómputo (partida 5.01.05) (AC)</w:t>
            </w:r>
          </w:p>
        </w:tc>
        <w:tc>
          <w:tcPr>
            <w:tcW w:w="1297" w:type="dxa"/>
          </w:tcPr>
          <w:p>
            <w:pPr>
              <w:pStyle w:val="TableParagraph"/>
              <w:rPr>
                <w:b/>
                <w:sz w:val="16"/>
              </w:rPr>
            </w:pPr>
          </w:p>
          <w:p>
            <w:pPr>
              <w:pStyle w:val="TableParagraph"/>
              <w:spacing w:before="118"/>
              <w:rPr>
                <w:b/>
                <w:sz w:val="16"/>
              </w:rPr>
            </w:pPr>
          </w:p>
          <w:p>
            <w:pPr>
              <w:pStyle w:val="TableParagraph"/>
              <w:ind w:left="4"/>
              <w:jc w:val="center"/>
              <w:rPr>
                <w:sz w:val="16"/>
              </w:rPr>
            </w:pPr>
            <w:r>
              <w:rPr>
                <w:spacing w:val="-4"/>
                <w:sz w:val="16"/>
              </w:rPr>
              <w:t>100%</w:t>
            </w:r>
          </w:p>
        </w:tc>
        <w:tc>
          <w:tcPr>
            <w:tcW w:w="1066" w:type="dxa"/>
          </w:tcPr>
          <w:p>
            <w:pPr>
              <w:pStyle w:val="TableParagraph"/>
              <w:rPr>
                <w:b/>
                <w:sz w:val="16"/>
              </w:rPr>
            </w:pPr>
          </w:p>
          <w:p>
            <w:pPr>
              <w:pStyle w:val="TableParagraph"/>
              <w:spacing w:before="118"/>
              <w:rPr>
                <w:b/>
                <w:sz w:val="16"/>
              </w:rPr>
            </w:pPr>
          </w:p>
          <w:p>
            <w:pPr>
              <w:pStyle w:val="TableParagraph"/>
              <w:ind w:left="10" w:right="6"/>
              <w:jc w:val="center"/>
              <w:rPr>
                <w:sz w:val="16"/>
              </w:rPr>
            </w:pPr>
            <w:r>
              <w:rPr>
                <w:spacing w:val="-4"/>
                <w:sz w:val="16"/>
              </w:rPr>
              <w:t>100%</w:t>
            </w:r>
          </w:p>
        </w:tc>
        <w:tc>
          <w:tcPr>
            <w:tcW w:w="1944" w:type="dxa"/>
          </w:tcPr>
          <w:p>
            <w:pPr>
              <w:pStyle w:val="TableParagraph"/>
              <w:spacing w:before="25"/>
              <w:ind w:left="68" w:right="23"/>
              <w:rPr>
                <w:sz w:val="16"/>
              </w:rPr>
            </w:pPr>
            <w:r>
              <w:rPr>
                <w:sz w:val="16"/>
              </w:rPr>
              <w:t>Porcentaje</w:t>
            </w:r>
            <w:r>
              <w:rPr>
                <w:spacing w:val="-12"/>
                <w:sz w:val="16"/>
              </w:rPr>
              <w:t> </w:t>
            </w:r>
            <w:r>
              <w:rPr>
                <w:sz w:val="16"/>
              </w:rPr>
              <w:t>de</w:t>
            </w:r>
            <w:r>
              <w:rPr>
                <w:spacing w:val="-11"/>
                <w:sz w:val="16"/>
              </w:rPr>
              <w:t> </w:t>
            </w:r>
            <w:r>
              <w:rPr>
                <w:sz w:val="16"/>
              </w:rPr>
              <w:t>gestiones de las solicitudes efectuadas por las dependencias para la adquisición de equipo y programas de cómputo</w:t>
            </w:r>
          </w:p>
        </w:tc>
        <w:tc>
          <w:tcPr>
            <w:tcW w:w="1253" w:type="dxa"/>
          </w:tcPr>
          <w:p>
            <w:pPr>
              <w:pStyle w:val="TableParagraph"/>
              <w:spacing w:before="25"/>
              <w:rPr>
                <w:b/>
                <w:sz w:val="16"/>
              </w:rPr>
            </w:pPr>
          </w:p>
          <w:p>
            <w:pPr>
              <w:pStyle w:val="TableParagraph"/>
              <w:spacing w:line="183" w:lineRule="exact"/>
              <w:ind w:left="86" w:right="79"/>
              <w:jc w:val="center"/>
              <w:rPr>
                <w:sz w:val="16"/>
              </w:rPr>
            </w:pPr>
            <w:r>
              <w:rPr>
                <w:spacing w:val="-5"/>
                <w:sz w:val="16"/>
              </w:rPr>
              <w:t>SAP</w:t>
            </w:r>
          </w:p>
          <w:p>
            <w:pPr>
              <w:pStyle w:val="TableParagraph"/>
              <w:ind w:left="86" w:right="76"/>
              <w:jc w:val="center"/>
              <w:rPr>
                <w:sz w:val="16"/>
              </w:rPr>
            </w:pPr>
            <w:r>
              <w:rPr>
                <w:spacing w:val="-2"/>
                <w:sz w:val="16"/>
              </w:rPr>
              <w:t>Transacciones </w:t>
            </w:r>
            <w:r>
              <w:rPr>
                <w:sz w:val="16"/>
              </w:rPr>
              <w:t>ejecutadas de la partida.</w:t>
            </w:r>
          </w:p>
        </w:tc>
        <w:tc>
          <w:tcPr>
            <w:tcW w:w="1245" w:type="dxa"/>
          </w:tcPr>
          <w:p>
            <w:pPr>
              <w:pStyle w:val="TableParagraph"/>
              <w:rPr>
                <w:b/>
                <w:sz w:val="16"/>
              </w:rPr>
            </w:pPr>
          </w:p>
          <w:p>
            <w:pPr>
              <w:pStyle w:val="TableParagraph"/>
              <w:spacing w:before="118"/>
              <w:rPr>
                <w:b/>
                <w:sz w:val="16"/>
              </w:rPr>
            </w:pPr>
          </w:p>
          <w:p>
            <w:pPr>
              <w:pStyle w:val="TableParagraph"/>
              <w:ind w:left="6" w:right="1"/>
              <w:jc w:val="center"/>
              <w:rPr>
                <w:sz w:val="16"/>
              </w:rPr>
            </w:pPr>
            <w:r>
              <w:rPr>
                <w:spacing w:val="-5"/>
                <w:sz w:val="16"/>
              </w:rPr>
              <w:t>TI</w:t>
            </w:r>
          </w:p>
        </w:tc>
        <w:tc>
          <w:tcPr>
            <w:tcW w:w="1843" w:type="dxa"/>
          </w:tcPr>
          <w:p>
            <w:pPr>
              <w:pStyle w:val="TableParagraph"/>
              <w:rPr>
                <w:b/>
                <w:sz w:val="16"/>
              </w:rPr>
            </w:pPr>
          </w:p>
          <w:p>
            <w:pPr>
              <w:pStyle w:val="TableParagraph"/>
              <w:spacing w:before="118"/>
              <w:rPr>
                <w:b/>
                <w:sz w:val="16"/>
              </w:rPr>
            </w:pPr>
          </w:p>
          <w:p>
            <w:pPr>
              <w:pStyle w:val="TableParagraph"/>
              <w:ind w:right="57"/>
              <w:jc w:val="right"/>
              <w:rPr>
                <w:sz w:val="16"/>
              </w:rPr>
            </w:pPr>
            <w:r>
              <w:rPr>
                <w:sz w:val="16"/>
              </w:rPr>
              <w:t>₡93</w:t>
            </w:r>
            <w:r>
              <w:rPr>
                <w:spacing w:val="-2"/>
                <w:sz w:val="16"/>
              </w:rPr>
              <w:t> </w:t>
            </w:r>
            <w:r>
              <w:rPr>
                <w:sz w:val="16"/>
              </w:rPr>
              <w:t>540</w:t>
            </w:r>
            <w:r>
              <w:rPr>
                <w:spacing w:val="-2"/>
                <w:sz w:val="16"/>
              </w:rPr>
              <w:t> </w:t>
            </w:r>
            <w:r>
              <w:rPr>
                <w:spacing w:val="-5"/>
                <w:sz w:val="16"/>
              </w:rPr>
              <w:t>000</w:t>
            </w:r>
          </w:p>
        </w:tc>
        <w:tc>
          <w:tcPr>
            <w:tcW w:w="2551"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36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18"/>
        <w:gridCol w:w="1297"/>
        <w:gridCol w:w="1066"/>
        <w:gridCol w:w="1944"/>
        <w:gridCol w:w="1253"/>
        <w:gridCol w:w="1245"/>
        <w:gridCol w:w="1841"/>
        <w:gridCol w:w="2553"/>
      </w:tblGrid>
      <w:tr>
        <w:trPr>
          <w:trHeight w:val="1173" w:hRule="atLeast"/>
        </w:trPr>
        <w:tc>
          <w:tcPr>
            <w:tcW w:w="3118" w:type="dxa"/>
          </w:tcPr>
          <w:p>
            <w:pPr>
              <w:pStyle w:val="TableParagraph"/>
              <w:spacing w:before="126"/>
              <w:rPr>
                <w:b/>
                <w:sz w:val="16"/>
              </w:rPr>
            </w:pPr>
          </w:p>
          <w:p>
            <w:pPr>
              <w:pStyle w:val="TableParagraph"/>
              <w:ind w:left="69"/>
              <w:rPr>
                <w:sz w:val="16"/>
              </w:rPr>
            </w:pPr>
            <w:r>
              <w:rPr>
                <w:b/>
                <w:sz w:val="16"/>
              </w:rPr>
              <w:t>Actividad PAC 2.4.3: </w:t>
            </w:r>
            <w:r>
              <w:rPr>
                <w:sz w:val="16"/>
              </w:rPr>
              <w:t>Gestionar adquisición</w:t>
            </w:r>
            <w:r>
              <w:rPr>
                <w:spacing w:val="-9"/>
                <w:sz w:val="16"/>
              </w:rPr>
              <w:t> </w:t>
            </w:r>
            <w:r>
              <w:rPr>
                <w:sz w:val="16"/>
              </w:rPr>
              <w:t>de</w:t>
            </w:r>
            <w:r>
              <w:rPr>
                <w:spacing w:val="-9"/>
                <w:sz w:val="16"/>
              </w:rPr>
              <w:t> </w:t>
            </w:r>
            <w:r>
              <w:rPr>
                <w:sz w:val="16"/>
              </w:rPr>
              <w:t>equipo</w:t>
            </w:r>
            <w:r>
              <w:rPr>
                <w:spacing w:val="-9"/>
                <w:sz w:val="16"/>
              </w:rPr>
              <w:t> </w:t>
            </w:r>
            <w:r>
              <w:rPr>
                <w:sz w:val="16"/>
              </w:rPr>
              <w:t>de</w:t>
            </w:r>
            <w:r>
              <w:rPr>
                <w:spacing w:val="-12"/>
                <w:sz w:val="16"/>
              </w:rPr>
              <w:t> </w:t>
            </w:r>
            <w:r>
              <w:rPr>
                <w:sz w:val="16"/>
              </w:rPr>
              <w:t>comunicación (partida 5.01.03) (AC)</w:t>
            </w:r>
          </w:p>
        </w:tc>
        <w:tc>
          <w:tcPr>
            <w:tcW w:w="1297" w:type="dxa"/>
          </w:tcPr>
          <w:p>
            <w:pPr>
              <w:pStyle w:val="TableParagraph"/>
              <w:rPr>
                <w:b/>
                <w:sz w:val="16"/>
              </w:rPr>
            </w:pPr>
          </w:p>
          <w:p>
            <w:pPr>
              <w:pStyle w:val="TableParagraph"/>
              <w:spacing w:before="127"/>
              <w:rPr>
                <w:b/>
                <w:sz w:val="16"/>
              </w:rPr>
            </w:pPr>
          </w:p>
          <w:p>
            <w:pPr>
              <w:pStyle w:val="TableParagraph"/>
              <w:ind w:left="4"/>
              <w:jc w:val="center"/>
              <w:rPr>
                <w:sz w:val="16"/>
              </w:rPr>
            </w:pPr>
            <w:r>
              <w:rPr>
                <w:spacing w:val="-4"/>
                <w:sz w:val="16"/>
              </w:rPr>
              <w:t>100%</w:t>
            </w:r>
          </w:p>
        </w:tc>
        <w:tc>
          <w:tcPr>
            <w:tcW w:w="1066" w:type="dxa"/>
          </w:tcPr>
          <w:p>
            <w:pPr>
              <w:pStyle w:val="TableParagraph"/>
              <w:rPr>
                <w:b/>
                <w:sz w:val="16"/>
              </w:rPr>
            </w:pPr>
          </w:p>
          <w:p>
            <w:pPr>
              <w:pStyle w:val="TableParagraph"/>
              <w:spacing w:before="127"/>
              <w:rPr>
                <w:b/>
                <w:sz w:val="16"/>
              </w:rPr>
            </w:pPr>
          </w:p>
          <w:p>
            <w:pPr>
              <w:pStyle w:val="TableParagraph"/>
              <w:ind w:left="10" w:right="6"/>
              <w:jc w:val="center"/>
              <w:rPr>
                <w:sz w:val="16"/>
              </w:rPr>
            </w:pPr>
            <w:r>
              <w:rPr>
                <w:spacing w:val="-4"/>
                <w:sz w:val="16"/>
              </w:rPr>
              <w:t>100%</w:t>
            </w:r>
          </w:p>
        </w:tc>
        <w:tc>
          <w:tcPr>
            <w:tcW w:w="1944" w:type="dxa"/>
          </w:tcPr>
          <w:p>
            <w:pPr>
              <w:pStyle w:val="TableParagraph"/>
              <w:spacing w:before="34"/>
              <w:ind w:left="68"/>
              <w:rPr>
                <w:sz w:val="16"/>
              </w:rPr>
            </w:pPr>
            <w:r>
              <w:rPr>
                <w:sz w:val="16"/>
              </w:rPr>
              <w:t>Porcentaje de gestiones de las solicitudes efectuadas por las dependencias para la adquisición</w:t>
            </w:r>
            <w:r>
              <w:rPr>
                <w:spacing w:val="-12"/>
                <w:sz w:val="16"/>
              </w:rPr>
              <w:t> </w:t>
            </w:r>
            <w:r>
              <w:rPr>
                <w:sz w:val="16"/>
              </w:rPr>
              <w:t>de</w:t>
            </w:r>
            <w:r>
              <w:rPr>
                <w:spacing w:val="-11"/>
                <w:sz w:val="16"/>
              </w:rPr>
              <w:t> </w:t>
            </w:r>
            <w:r>
              <w:rPr>
                <w:sz w:val="16"/>
              </w:rPr>
              <w:t>equipo</w:t>
            </w:r>
            <w:r>
              <w:rPr>
                <w:spacing w:val="-11"/>
                <w:sz w:val="16"/>
              </w:rPr>
              <w:t> </w:t>
            </w:r>
            <w:r>
              <w:rPr>
                <w:sz w:val="16"/>
              </w:rPr>
              <w:t>de </w:t>
            </w:r>
            <w:r>
              <w:rPr>
                <w:spacing w:val="-2"/>
                <w:sz w:val="16"/>
              </w:rPr>
              <w:t>comunicación</w:t>
            </w:r>
          </w:p>
        </w:tc>
        <w:tc>
          <w:tcPr>
            <w:tcW w:w="1253" w:type="dxa"/>
          </w:tcPr>
          <w:p>
            <w:pPr>
              <w:pStyle w:val="TableParagraph"/>
              <w:spacing w:before="35"/>
              <w:rPr>
                <w:b/>
                <w:sz w:val="16"/>
              </w:rPr>
            </w:pPr>
          </w:p>
          <w:p>
            <w:pPr>
              <w:pStyle w:val="TableParagraph"/>
              <w:ind w:left="86" w:right="79"/>
              <w:jc w:val="center"/>
              <w:rPr>
                <w:sz w:val="16"/>
              </w:rPr>
            </w:pPr>
            <w:r>
              <w:rPr>
                <w:spacing w:val="-5"/>
                <w:sz w:val="16"/>
              </w:rPr>
              <w:t>SAP</w:t>
            </w:r>
          </w:p>
          <w:p>
            <w:pPr>
              <w:pStyle w:val="TableParagraph"/>
              <w:spacing w:before="1"/>
              <w:ind w:left="86" w:right="76"/>
              <w:jc w:val="center"/>
              <w:rPr>
                <w:sz w:val="16"/>
              </w:rPr>
            </w:pPr>
            <w:r>
              <w:rPr>
                <w:spacing w:val="-2"/>
                <w:sz w:val="16"/>
              </w:rPr>
              <w:t>Transacciones </w:t>
            </w:r>
            <w:r>
              <w:rPr>
                <w:sz w:val="16"/>
              </w:rPr>
              <w:t>ejecutadas de la partida.</w:t>
            </w:r>
          </w:p>
        </w:tc>
        <w:tc>
          <w:tcPr>
            <w:tcW w:w="1245" w:type="dxa"/>
          </w:tcPr>
          <w:p>
            <w:pPr>
              <w:pStyle w:val="TableParagraph"/>
              <w:rPr>
                <w:b/>
                <w:sz w:val="16"/>
              </w:rPr>
            </w:pPr>
          </w:p>
          <w:p>
            <w:pPr>
              <w:pStyle w:val="TableParagraph"/>
              <w:spacing w:before="127"/>
              <w:rPr>
                <w:b/>
                <w:sz w:val="16"/>
              </w:rPr>
            </w:pPr>
          </w:p>
          <w:p>
            <w:pPr>
              <w:pStyle w:val="TableParagraph"/>
              <w:ind w:left="6" w:right="1"/>
              <w:jc w:val="center"/>
              <w:rPr>
                <w:sz w:val="16"/>
              </w:rPr>
            </w:pPr>
            <w:r>
              <w:rPr>
                <w:spacing w:val="-5"/>
                <w:sz w:val="16"/>
              </w:rPr>
              <w:t>TI</w:t>
            </w:r>
          </w:p>
        </w:tc>
        <w:tc>
          <w:tcPr>
            <w:tcW w:w="1841" w:type="dxa"/>
          </w:tcPr>
          <w:p>
            <w:pPr>
              <w:pStyle w:val="TableParagraph"/>
              <w:rPr>
                <w:b/>
                <w:sz w:val="16"/>
              </w:rPr>
            </w:pPr>
          </w:p>
          <w:p>
            <w:pPr>
              <w:pStyle w:val="TableParagraph"/>
              <w:spacing w:before="127"/>
              <w:rPr>
                <w:b/>
                <w:sz w:val="16"/>
              </w:rPr>
            </w:pPr>
          </w:p>
          <w:p>
            <w:pPr>
              <w:pStyle w:val="TableParagraph"/>
              <w:ind w:right="55"/>
              <w:jc w:val="right"/>
              <w:rPr>
                <w:sz w:val="16"/>
              </w:rPr>
            </w:pPr>
            <w:r>
              <w:rPr>
                <w:sz w:val="16"/>
              </w:rPr>
              <w:t>₡83</w:t>
            </w:r>
            <w:r>
              <w:rPr>
                <w:spacing w:val="-2"/>
                <w:sz w:val="16"/>
              </w:rPr>
              <w:t> </w:t>
            </w:r>
            <w:r>
              <w:rPr>
                <w:sz w:val="16"/>
              </w:rPr>
              <w:t>890</w:t>
            </w:r>
            <w:r>
              <w:rPr>
                <w:spacing w:val="-2"/>
                <w:sz w:val="16"/>
              </w:rPr>
              <w:t> </w:t>
            </w:r>
            <w:r>
              <w:rPr>
                <w:spacing w:val="-5"/>
                <w:sz w:val="16"/>
              </w:rPr>
              <w:t>000</w:t>
            </w:r>
          </w:p>
        </w:tc>
        <w:tc>
          <w:tcPr>
            <w:tcW w:w="2553" w:type="dxa"/>
            <w:vMerge w:val="restart"/>
            <w:tcBorders>
              <w:top w:val="nil"/>
            </w:tcBorders>
          </w:tcPr>
          <w:p>
            <w:pPr>
              <w:pStyle w:val="TableParagraph"/>
              <w:rPr>
                <w:rFonts w:ascii="Times New Roman"/>
                <w:sz w:val="16"/>
              </w:rPr>
            </w:pPr>
          </w:p>
        </w:tc>
      </w:tr>
      <w:tr>
        <w:trPr>
          <w:trHeight w:val="1145" w:hRule="atLeast"/>
        </w:trPr>
        <w:tc>
          <w:tcPr>
            <w:tcW w:w="3118" w:type="dxa"/>
          </w:tcPr>
          <w:p>
            <w:pPr>
              <w:pStyle w:val="TableParagraph"/>
              <w:spacing w:before="114"/>
              <w:rPr>
                <w:b/>
                <w:sz w:val="16"/>
              </w:rPr>
            </w:pPr>
          </w:p>
          <w:p>
            <w:pPr>
              <w:pStyle w:val="TableParagraph"/>
              <w:ind w:left="69"/>
              <w:rPr>
                <w:sz w:val="16"/>
              </w:rPr>
            </w:pPr>
            <w:r>
              <w:rPr>
                <w:b/>
                <w:sz w:val="16"/>
              </w:rPr>
              <w:t>Actividad PAC 2.4.4: </w:t>
            </w:r>
            <w:r>
              <w:rPr>
                <w:sz w:val="16"/>
              </w:rPr>
              <w:t>Gestionar la adquisición</w:t>
            </w:r>
            <w:r>
              <w:rPr>
                <w:spacing w:val="-10"/>
                <w:sz w:val="16"/>
              </w:rPr>
              <w:t> </w:t>
            </w:r>
            <w:r>
              <w:rPr>
                <w:sz w:val="16"/>
              </w:rPr>
              <w:t>de</w:t>
            </w:r>
            <w:r>
              <w:rPr>
                <w:spacing w:val="-10"/>
                <w:sz w:val="16"/>
              </w:rPr>
              <w:t> </w:t>
            </w:r>
            <w:r>
              <w:rPr>
                <w:sz w:val="16"/>
              </w:rPr>
              <w:t>bienes</w:t>
            </w:r>
            <w:r>
              <w:rPr>
                <w:spacing w:val="-9"/>
                <w:sz w:val="16"/>
              </w:rPr>
              <w:t> </w:t>
            </w:r>
            <w:r>
              <w:rPr>
                <w:sz w:val="16"/>
              </w:rPr>
              <w:t>intangibles</w:t>
            </w:r>
            <w:r>
              <w:rPr>
                <w:spacing w:val="-11"/>
                <w:sz w:val="16"/>
              </w:rPr>
              <w:t> </w:t>
            </w:r>
            <w:r>
              <w:rPr>
                <w:sz w:val="16"/>
              </w:rPr>
              <w:t>(partida 5.99.03) AC</w:t>
            </w:r>
          </w:p>
        </w:tc>
        <w:tc>
          <w:tcPr>
            <w:tcW w:w="1297" w:type="dxa"/>
          </w:tcPr>
          <w:p>
            <w:pPr>
              <w:pStyle w:val="TableParagraph"/>
              <w:rPr>
                <w:b/>
                <w:sz w:val="16"/>
              </w:rPr>
            </w:pPr>
          </w:p>
          <w:p>
            <w:pPr>
              <w:pStyle w:val="TableParagraph"/>
              <w:spacing w:before="112"/>
              <w:rPr>
                <w:b/>
                <w:sz w:val="16"/>
              </w:rPr>
            </w:pPr>
          </w:p>
          <w:p>
            <w:pPr>
              <w:pStyle w:val="TableParagraph"/>
              <w:spacing w:before="1"/>
              <w:ind w:left="4"/>
              <w:jc w:val="center"/>
              <w:rPr>
                <w:sz w:val="16"/>
              </w:rPr>
            </w:pPr>
            <w:r>
              <w:rPr>
                <w:spacing w:val="-4"/>
                <w:sz w:val="16"/>
              </w:rPr>
              <w:t>100%</w:t>
            </w:r>
          </w:p>
        </w:tc>
        <w:tc>
          <w:tcPr>
            <w:tcW w:w="1066" w:type="dxa"/>
          </w:tcPr>
          <w:p>
            <w:pPr>
              <w:pStyle w:val="TableParagraph"/>
              <w:rPr>
                <w:b/>
                <w:sz w:val="16"/>
              </w:rPr>
            </w:pPr>
          </w:p>
          <w:p>
            <w:pPr>
              <w:pStyle w:val="TableParagraph"/>
              <w:spacing w:before="112"/>
              <w:rPr>
                <w:b/>
                <w:sz w:val="16"/>
              </w:rPr>
            </w:pPr>
          </w:p>
          <w:p>
            <w:pPr>
              <w:pStyle w:val="TableParagraph"/>
              <w:spacing w:before="1"/>
              <w:ind w:left="10" w:right="6"/>
              <w:jc w:val="center"/>
              <w:rPr>
                <w:sz w:val="16"/>
              </w:rPr>
            </w:pPr>
            <w:r>
              <w:rPr>
                <w:spacing w:val="-4"/>
                <w:sz w:val="16"/>
              </w:rPr>
              <w:t>100%</w:t>
            </w:r>
          </w:p>
        </w:tc>
        <w:tc>
          <w:tcPr>
            <w:tcW w:w="1944" w:type="dxa"/>
          </w:tcPr>
          <w:p>
            <w:pPr>
              <w:pStyle w:val="TableParagraph"/>
              <w:spacing w:before="22"/>
              <w:ind w:left="68" w:right="23"/>
              <w:rPr>
                <w:sz w:val="16"/>
              </w:rPr>
            </w:pPr>
            <w:r>
              <w:rPr>
                <w:sz w:val="16"/>
              </w:rPr>
              <w:t>Porcentaje</w:t>
            </w:r>
            <w:r>
              <w:rPr>
                <w:spacing w:val="-12"/>
                <w:sz w:val="16"/>
              </w:rPr>
              <w:t> </w:t>
            </w:r>
            <w:r>
              <w:rPr>
                <w:sz w:val="16"/>
              </w:rPr>
              <w:t>de</w:t>
            </w:r>
            <w:r>
              <w:rPr>
                <w:spacing w:val="-11"/>
                <w:sz w:val="16"/>
              </w:rPr>
              <w:t> </w:t>
            </w:r>
            <w:r>
              <w:rPr>
                <w:sz w:val="16"/>
              </w:rPr>
              <w:t>gestiones de las solicitudes efectuadas por las dependencias para la adquisición de bienes</w:t>
            </w:r>
          </w:p>
          <w:p>
            <w:pPr>
              <w:pStyle w:val="TableParagraph"/>
              <w:spacing w:line="183" w:lineRule="exact"/>
              <w:ind w:left="68"/>
              <w:rPr>
                <w:sz w:val="16"/>
              </w:rPr>
            </w:pPr>
            <w:r>
              <w:rPr>
                <w:spacing w:val="-2"/>
                <w:sz w:val="16"/>
              </w:rPr>
              <w:t>intangibles.</w:t>
            </w:r>
          </w:p>
        </w:tc>
        <w:tc>
          <w:tcPr>
            <w:tcW w:w="1253" w:type="dxa"/>
          </w:tcPr>
          <w:p>
            <w:pPr>
              <w:pStyle w:val="TableParagraph"/>
              <w:spacing w:before="20"/>
              <w:rPr>
                <w:b/>
                <w:sz w:val="16"/>
              </w:rPr>
            </w:pPr>
          </w:p>
          <w:p>
            <w:pPr>
              <w:pStyle w:val="TableParagraph"/>
              <w:spacing w:before="1"/>
              <w:ind w:left="86" w:right="79"/>
              <w:jc w:val="center"/>
              <w:rPr>
                <w:sz w:val="16"/>
              </w:rPr>
            </w:pPr>
            <w:r>
              <w:rPr>
                <w:spacing w:val="-5"/>
                <w:sz w:val="16"/>
              </w:rPr>
              <w:t>SAP</w:t>
            </w:r>
          </w:p>
          <w:p>
            <w:pPr>
              <w:pStyle w:val="TableParagraph"/>
              <w:ind w:left="86" w:right="76"/>
              <w:jc w:val="center"/>
              <w:rPr>
                <w:sz w:val="16"/>
              </w:rPr>
            </w:pPr>
            <w:r>
              <w:rPr>
                <w:spacing w:val="-2"/>
                <w:sz w:val="16"/>
              </w:rPr>
              <w:t>Transacciones </w:t>
            </w:r>
            <w:r>
              <w:rPr>
                <w:sz w:val="16"/>
              </w:rPr>
              <w:t>ejecutadas de la partida.</w:t>
            </w:r>
          </w:p>
        </w:tc>
        <w:tc>
          <w:tcPr>
            <w:tcW w:w="1245" w:type="dxa"/>
          </w:tcPr>
          <w:p>
            <w:pPr>
              <w:pStyle w:val="TableParagraph"/>
              <w:rPr>
                <w:b/>
                <w:sz w:val="16"/>
              </w:rPr>
            </w:pPr>
          </w:p>
          <w:p>
            <w:pPr>
              <w:pStyle w:val="TableParagraph"/>
              <w:spacing w:before="112"/>
              <w:rPr>
                <w:b/>
                <w:sz w:val="16"/>
              </w:rPr>
            </w:pPr>
          </w:p>
          <w:p>
            <w:pPr>
              <w:pStyle w:val="TableParagraph"/>
              <w:spacing w:before="1"/>
              <w:ind w:left="6" w:right="1"/>
              <w:jc w:val="center"/>
              <w:rPr>
                <w:sz w:val="16"/>
              </w:rPr>
            </w:pPr>
            <w:r>
              <w:rPr>
                <w:spacing w:val="-5"/>
                <w:sz w:val="16"/>
              </w:rPr>
              <w:t>TI</w:t>
            </w:r>
          </w:p>
        </w:tc>
        <w:tc>
          <w:tcPr>
            <w:tcW w:w="1841" w:type="dxa"/>
          </w:tcPr>
          <w:p>
            <w:pPr>
              <w:pStyle w:val="TableParagraph"/>
              <w:rPr>
                <w:b/>
                <w:sz w:val="16"/>
              </w:rPr>
            </w:pPr>
          </w:p>
          <w:p>
            <w:pPr>
              <w:pStyle w:val="TableParagraph"/>
              <w:spacing w:before="112"/>
              <w:rPr>
                <w:b/>
                <w:sz w:val="16"/>
              </w:rPr>
            </w:pPr>
          </w:p>
          <w:p>
            <w:pPr>
              <w:pStyle w:val="TableParagraph"/>
              <w:spacing w:before="1"/>
              <w:ind w:right="55"/>
              <w:jc w:val="right"/>
              <w:rPr>
                <w:sz w:val="16"/>
              </w:rPr>
            </w:pPr>
            <w:r>
              <w:rPr>
                <w:sz w:val="16"/>
              </w:rPr>
              <w:t>₡11</w:t>
            </w:r>
            <w:r>
              <w:rPr>
                <w:spacing w:val="-2"/>
                <w:sz w:val="16"/>
              </w:rPr>
              <w:t> </w:t>
            </w:r>
            <w:r>
              <w:rPr>
                <w:sz w:val="16"/>
              </w:rPr>
              <w:t>000</w:t>
            </w:r>
            <w:r>
              <w:rPr>
                <w:spacing w:val="-2"/>
                <w:sz w:val="16"/>
              </w:rPr>
              <w:t> </w:t>
            </w:r>
            <w:r>
              <w:rPr>
                <w:spacing w:val="-5"/>
                <w:sz w:val="16"/>
              </w:rPr>
              <w:t>000</w:t>
            </w:r>
          </w:p>
        </w:tc>
        <w:tc>
          <w:tcPr>
            <w:tcW w:w="2553" w:type="dxa"/>
            <w:vMerge/>
            <w:tcBorders>
              <w:top w:val="nil"/>
            </w:tcBorders>
          </w:tcPr>
          <w:p>
            <w:pPr>
              <w:rPr>
                <w:sz w:val="2"/>
                <w:szCs w:val="2"/>
              </w:rPr>
            </w:pPr>
          </w:p>
        </w:tc>
      </w:tr>
      <w:tr>
        <w:trPr>
          <w:trHeight w:val="1288" w:hRule="atLeast"/>
        </w:trPr>
        <w:tc>
          <w:tcPr>
            <w:tcW w:w="3118" w:type="dxa"/>
          </w:tcPr>
          <w:p>
            <w:pPr>
              <w:pStyle w:val="TableParagraph"/>
              <w:rPr>
                <w:b/>
                <w:sz w:val="16"/>
              </w:rPr>
            </w:pPr>
          </w:p>
          <w:p>
            <w:pPr>
              <w:pStyle w:val="TableParagraph"/>
              <w:rPr>
                <w:b/>
                <w:sz w:val="16"/>
              </w:rPr>
            </w:pPr>
          </w:p>
          <w:p>
            <w:pPr>
              <w:pStyle w:val="TableParagraph"/>
              <w:ind w:left="69"/>
              <w:rPr>
                <w:sz w:val="16"/>
              </w:rPr>
            </w:pPr>
            <w:r>
              <w:rPr>
                <w:b/>
                <w:sz w:val="16"/>
              </w:rPr>
              <w:t>Actividad PAC 2.4.5: </w:t>
            </w:r>
            <w:r>
              <w:rPr>
                <w:sz w:val="16"/>
              </w:rPr>
              <w:t>Gestionar el mantenimiento</w:t>
            </w:r>
            <w:r>
              <w:rPr>
                <w:spacing w:val="-12"/>
                <w:sz w:val="16"/>
              </w:rPr>
              <w:t> </w:t>
            </w:r>
            <w:r>
              <w:rPr>
                <w:sz w:val="16"/>
              </w:rPr>
              <w:t>equipo</w:t>
            </w:r>
            <w:r>
              <w:rPr>
                <w:spacing w:val="-11"/>
                <w:sz w:val="16"/>
              </w:rPr>
              <w:t> </w:t>
            </w:r>
            <w:r>
              <w:rPr>
                <w:sz w:val="16"/>
              </w:rPr>
              <w:t>de</w:t>
            </w:r>
            <w:r>
              <w:rPr>
                <w:spacing w:val="-11"/>
                <w:sz w:val="16"/>
              </w:rPr>
              <w:t> </w:t>
            </w:r>
            <w:r>
              <w:rPr>
                <w:sz w:val="16"/>
              </w:rPr>
              <w:t>comunicación (partida 1.08.06) AC</w:t>
            </w:r>
          </w:p>
        </w:tc>
        <w:tc>
          <w:tcPr>
            <w:tcW w:w="1297" w:type="dxa"/>
          </w:tcPr>
          <w:p>
            <w:pPr>
              <w:pStyle w:val="TableParagraph"/>
              <w:rPr>
                <w:b/>
                <w:sz w:val="16"/>
              </w:rPr>
            </w:pPr>
          </w:p>
          <w:p>
            <w:pPr>
              <w:pStyle w:val="TableParagraph"/>
              <w:rPr>
                <w:b/>
                <w:sz w:val="16"/>
              </w:rPr>
            </w:pPr>
          </w:p>
          <w:p>
            <w:pPr>
              <w:pStyle w:val="TableParagraph"/>
              <w:rPr>
                <w:b/>
                <w:sz w:val="16"/>
              </w:rPr>
            </w:pPr>
          </w:p>
          <w:p>
            <w:pPr>
              <w:pStyle w:val="TableParagraph"/>
              <w:spacing w:before="1"/>
              <w:ind w:left="4"/>
              <w:jc w:val="center"/>
              <w:rPr>
                <w:sz w:val="16"/>
              </w:rPr>
            </w:pPr>
            <w:r>
              <w:rPr>
                <w:spacing w:val="-4"/>
                <w:sz w:val="16"/>
              </w:rPr>
              <w:t>100%</w:t>
            </w:r>
          </w:p>
        </w:tc>
        <w:tc>
          <w:tcPr>
            <w:tcW w:w="1066" w:type="dxa"/>
          </w:tcPr>
          <w:p>
            <w:pPr>
              <w:pStyle w:val="TableParagraph"/>
              <w:rPr>
                <w:b/>
                <w:sz w:val="16"/>
              </w:rPr>
            </w:pPr>
          </w:p>
          <w:p>
            <w:pPr>
              <w:pStyle w:val="TableParagraph"/>
              <w:rPr>
                <w:b/>
                <w:sz w:val="16"/>
              </w:rPr>
            </w:pPr>
          </w:p>
          <w:p>
            <w:pPr>
              <w:pStyle w:val="TableParagraph"/>
              <w:rPr>
                <w:b/>
                <w:sz w:val="16"/>
              </w:rPr>
            </w:pPr>
          </w:p>
          <w:p>
            <w:pPr>
              <w:pStyle w:val="TableParagraph"/>
              <w:spacing w:before="1"/>
              <w:ind w:left="10" w:right="6"/>
              <w:jc w:val="center"/>
              <w:rPr>
                <w:sz w:val="16"/>
              </w:rPr>
            </w:pPr>
            <w:r>
              <w:rPr>
                <w:spacing w:val="-4"/>
                <w:sz w:val="16"/>
              </w:rPr>
              <w:t>100%</w:t>
            </w:r>
          </w:p>
        </w:tc>
        <w:tc>
          <w:tcPr>
            <w:tcW w:w="1944" w:type="dxa"/>
          </w:tcPr>
          <w:p>
            <w:pPr>
              <w:pStyle w:val="TableParagraph"/>
              <w:spacing w:before="1"/>
              <w:ind w:left="68" w:right="23"/>
              <w:rPr>
                <w:sz w:val="16"/>
              </w:rPr>
            </w:pPr>
            <w:r>
              <w:rPr>
                <w:sz w:val="16"/>
              </w:rPr>
              <w:t>Porcentaje</w:t>
            </w:r>
            <w:r>
              <w:rPr>
                <w:spacing w:val="-12"/>
                <w:sz w:val="16"/>
              </w:rPr>
              <w:t> </w:t>
            </w:r>
            <w:r>
              <w:rPr>
                <w:sz w:val="16"/>
              </w:rPr>
              <w:t>de</w:t>
            </w:r>
            <w:r>
              <w:rPr>
                <w:spacing w:val="-11"/>
                <w:sz w:val="16"/>
              </w:rPr>
              <w:t> </w:t>
            </w:r>
            <w:r>
              <w:rPr>
                <w:sz w:val="16"/>
              </w:rPr>
              <w:t>gestiones de las solicitudes efectuadas por las dependencias para el mantenimiento y reparación</w:t>
            </w:r>
            <w:r>
              <w:rPr>
                <w:spacing w:val="-12"/>
                <w:sz w:val="16"/>
              </w:rPr>
              <w:t> </w:t>
            </w:r>
            <w:r>
              <w:rPr>
                <w:sz w:val="16"/>
              </w:rPr>
              <w:t>de</w:t>
            </w:r>
            <w:r>
              <w:rPr>
                <w:spacing w:val="-11"/>
                <w:sz w:val="16"/>
              </w:rPr>
              <w:t> </w:t>
            </w:r>
            <w:r>
              <w:rPr>
                <w:sz w:val="16"/>
              </w:rPr>
              <w:t>equipo</w:t>
            </w:r>
            <w:r>
              <w:rPr>
                <w:spacing w:val="-11"/>
                <w:sz w:val="16"/>
              </w:rPr>
              <w:t> </w:t>
            </w:r>
            <w:r>
              <w:rPr>
                <w:sz w:val="16"/>
              </w:rPr>
              <w:t>de</w:t>
            </w:r>
          </w:p>
          <w:p>
            <w:pPr>
              <w:pStyle w:val="TableParagraph"/>
              <w:spacing w:line="163" w:lineRule="exact"/>
              <w:ind w:left="68"/>
              <w:rPr>
                <w:sz w:val="16"/>
              </w:rPr>
            </w:pPr>
            <w:r>
              <w:rPr>
                <w:spacing w:val="-2"/>
                <w:sz w:val="16"/>
              </w:rPr>
              <w:t>comunicación.</w:t>
            </w:r>
          </w:p>
        </w:tc>
        <w:tc>
          <w:tcPr>
            <w:tcW w:w="1253" w:type="dxa"/>
          </w:tcPr>
          <w:p>
            <w:pPr>
              <w:pStyle w:val="TableParagraph"/>
              <w:spacing w:before="92"/>
              <w:rPr>
                <w:b/>
                <w:sz w:val="16"/>
              </w:rPr>
            </w:pPr>
          </w:p>
          <w:p>
            <w:pPr>
              <w:pStyle w:val="TableParagraph"/>
              <w:spacing w:before="1"/>
              <w:ind w:left="86" w:right="79"/>
              <w:jc w:val="center"/>
              <w:rPr>
                <w:sz w:val="16"/>
              </w:rPr>
            </w:pPr>
            <w:r>
              <w:rPr>
                <w:spacing w:val="-5"/>
                <w:sz w:val="16"/>
              </w:rPr>
              <w:t>SAP</w:t>
            </w:r>
          </w:p>
          <w:p>
            <w:pPr>
              <w:pStyle w:val="TableParagraph"/>
              <w:ind w:left="86" w:right="76"/>
              <w:jc w:val="center"/>
              <w:rPr>
                <w:sz w:val="16"/>
              </w:rPr>
            </w:pPr>
            <w:r>
              <w:rPr>
                <w:spacing w:val="-2"/>
                <w:sz w:val="16"/>
              </w:rPr>
              <w:t>Transacciones </w:t>
            </w:r>
            <w:r>
              <w:rPr>
                <w:sz w:val="16"/>
              </w:rPr>
              <w:t>ejecutadas de la partida.</w:t>
            </w:r>
          </w:p>
        </w:tc>
        <w:tc>
          <w:tcPr>
            <w:tcW w:w="1245" w:type="dxa"/>
          </w:tcPr>
          <w:p>
            <w:pPr>
              <w:pStyle w:val="TableParagraph"/>
              <w:rPr>
                <w:b/>
                <w:sz w:val="16"/>
              </w:rPr>
            </w:pPr>
          </w:p>
          <w:p>
            <w:pPr>
              <w:pStyle w:val="TableParagraph"/>
              <w:rPr>
                <w:b/>
                <w:sz w:val="16"/>
              </w:rPr>
            </w:pPr>
          </w:p>
          <w:p>
            <w:pPr>
              <w:pStyle w:val="TableParagraph"/>
              <w:rPr>
                <w:b/>
                <w:sz w:val="16"/>
              </w:rPr>
            </w:pPr>
          </w:p>
          <w:p>
            <w:pPr>
              <w:pStyle w:val="TableParagraph"/>
              <w:spacing w:before="1"/>
              <w:ind w:left="6" w:right="1"/>
              <w:jc w:val="center"/>
              <w:rPr>
                <w:sz w:val="16"/>
              </w:rPr>
            </w:pPr>
            <w:r>
              <w:rPr>
                <w:spacing w:val="-5"/>
                <w:sz w:val="16"/>
              </w:rPr>
              <w:t>TI</w:t>
            </w:r>
          </w:p>
        </w:tc>
        <w:tc>
          <w:tcPr>
            <w:tcW w:w="1841" w:type="dxa"/>
          </w:tcPr>
          <w:p>
            <w:pPr>
              <w:pStyle w:val="TableParagraph"/>
              <w:rPr>
                <w:b/>
                <w:sz w:val="16"/>
              </w:rPr>
            </w:pPr>
          </w:p>
          <w:p>
            <w:pPr>
              <w:pStyle w:val="TableParagraph"/>
              <w:rPr>
                <w:b/>
                <w:sz w:val="16"/>
              </w:rPr>
            </w:pPr>
          </w:p>
          <w:p>
            <w:pPr>
              <w:pStyle w:val="TableParagraph"/>
              <w:rPr>
                <w:b/>
                <w:sz w:val="16"/>
              </w:rPr>
            </w:pPr>
          </w:p>
          <w:p>
            <w:pPr>
              <w:pStyle w:val="TableParagraph"/>
              <w:spacing w:before="1"/>
              <w:ind w:right="52"/>
              <w:jc w:val="right"/>
              <w:rPr>
                <w:sz w:val="16"/>
              </w:rPr>
            </w:pPr>
            <w:r>
              <w:rPr>
                <w:sz w:val="16"/>
              </w:rPr>
              <w:t>₡</w:t>
            </w:r>
            <w:r>
              <w:rPr>
                <w:spacing w:val="-1"/>
                <w:sz w:val="16"/>
              </w:rPr>
              <w:t> </w:t>
            </w:r>
            <w:r>
              <w:rPr>
                <w:sz w:val="16"/>
              </w:rPr>
              <w:t>76</w:t>
            </w:r>
            <w:r>
              <w:rPr>
                <w:spacing w:val="-1"/>
                <w:sz w:val="16"/>
              </w:rPr>
              <w:t> </w:t>
            </w:r>
            <w:r>
              <w:rPr>
                <w:sz w:val="16"/>
              </w:rPr>
              <w:t>501</w:t>
            </w:r>
            <w:r>
              <w:rPr>
                <w:spacing w:val="-1"/>
                <w:sz w:val="16"/>
              </w:rPr>
              <w:t> </w:t>
            </w:r>
            <w:r>
              <w:rPr>
                <w:spacing w:val="-5"/>
                <w:sz w:val="16"/>
              </w:rPr>
              <w:t>000</w:t>
            </w:r>
          </w:p>
        </w:tc>
        <w:tc>
          <w:tcPr>
            <w:tcW w:w="2553" w:type="dxa"/>
            <w:vMerge/>
            <w:tcBorders>
              <w:top w:val="nil"/>
            </w:tcBorders>
          </w:tcPr>
          <w:p>
            <w:pPr>
              <w:rPr>
                <w:sz w:val="2"/>
                <w:szCs w:val="2"/>
              </w:rPr>
            </w:pPr>
          </w:p>
        </w:tc>
      </w:tr>
      <w:tr>
        <w:trPr>
          <w:trHeight w:val="1130" w:hRule="atLeast"/>
        </w:trPr>
        <w:tc>
          <w:tcPr>
            <w:tcW w:w="3118" w:type="dxa"/>
          </w:tcPr>
          <w:p>
            <w:pPr>
              <w:pStyle w:val="TableParagraph"/>
              <w:spacing w:before="104"/>
              <w:rPr>
                <w:b/>
                <w:sz w:val="16"/>
              </w:rPr>
            </w:pPr>
          </w:p>
          <w:p>
            <w:pPr>
              <w:pStyle w:val="TableParagraph"/>
              <w:spacing w:before="1"/>
              <w:ind w:left="69"/>
              <w:rPr>
                <w:sz w:val="16"/>
              </w:rPr>
            </w:pPr>
            <w:r>
              <w:rPr>
                <w:b/>
                <w:sz w:val="16"/>
              </w:rPr>
              <w:t>Actividad PAC 2.4.6: </w:t>
            </w:r>
            <w:r>
              <w:rPr>
                <w:sz w:val="16"/>
              </w:rPr>
              <w:t>Gestionar los servicios</w:t>
            </w:r>
            <w:r>
              <w:rPr>
                <w:spacing w:val="-8"/>
                <w:sz w:val="16"/>
              </w:rPr>
              <w:t> </w:t>
            </w:r>
            <w:r>
              <w:rPr>
                <w:sz w:val="16"/>
              </w:rPr>
              <w:t>de</w:t>
            </w:r>
            <w:r>
              <w:rPr>
                <w:spacing w:val="-11"/>
                <w:sz w:val="16"/>
              </w:rPr>
              <w:t> </w:t>
            </w:r>
            <w:r>
              <w:rPr>
                <w:sz w:val="16"/>
              </w:rPr>
              <w:t>tecnologías</w:t>
            </w:r>
            <w:r>
              <w:rPr>
                <w:spacing w:val="-10"/>
                <w:sz w:val="16"/>
              </w:rPr>
              <w:t> </w:t>
            </w:r>
            <w:r>
              <w:rPr>
                <w:sz w:val="16"/>
              </w:rPr>
              <w:t>de</w:t>
            </w:r>
            <w:r>
              <w:rPr>
                <w:spacing w:val="-9"/>
                <w:sz w:val="16"/>
              </w:rPr>
              <w:t> </w:t>
            </w:r>
            <w:r>
              <w:rPr>
                <w:sz w:val="16"/>
              </w:rPr>
              <w:t>información (partida 1.03.07) AC</w:t>
            </w:r>
          </w:p>
        </w:tc>
        <w:tc>
          <w:tcPr>
            <w:tcW w:w="1297" w:type="dxa"/>
          </w:tcPr>
          <w:p>
            <w:pPr>
              <w:pStyle w:val="TableParagraph"/>
              <w:rPr>
                <w:b/>
                <w:sz w:val="16"/>
              </w:rPr>
            </w:pPr>
          </w:p>
          <w:p>
            <w:pPr>
              <w:pStyle w:val="TableParagraph"/>
              <w:spacing w:before="105"/>
              <w:rPr>
                <w:b/>
                <w:sz w:val="16"/>
              </w:rPr>
            </w:pPr>
          </w:p>
          <w:p>
            <w:pPr>
              <w:pStyle w:val="TableParagraph"/>
              <w:ind w:left="4"/>
              <w:jc w:val="center"/>
              <w:rPr>
                <w:sz w:val="16"/>
              </w:rPr>
            </w:pPr>
            <w:r>
              <w:rPr>
                <w:spacing w:val="-4"/>
                <w:sz w:val="16"/>
              </w:rPr>
              <w:t>100%</w:t>
            </w:r>
          </w:p>
        </w:tc>
        <w:tc>
          <w:tcPr>
            <w:tcW w:w="1066" w:type="dxa"/>
          </w:tcPr>
          <w:p>
            <w:pPr>
              <w:pStyle w:val="TableParagraph"/>
              <w:rPr>
                <w:b/>
                <w:sz w:val="16"/>
              </w:rPr>
            </w:pPr>
          </w:p>
          <w:p>
            <w:pPr>
              <w:pStyle w:val="TableParagraph"/>
              <w:spacing w:before="105"/>
              <w:rPr>
                <w:b/>
                <w:sz w:val="16"/>
              </w:rPr>
            </w:pPr>
          </w:p>
          <w:p>
            <w:pPr>
              <w:pStyle w:val="TableParagraph"/>
              <w:ind w:left="10" w:right="6"/>
              <w:jc w:val="center"/>
              <w:rPr>
                <w:sz w:val="16"/>
              </w:rPr>
            </w:pPr>
            <w:r>
              <w:rPr>
                <w:spacing w:val="-4"/>
                <w:sz w:val="16"/>
              </w:rPr>
              <w:t>100%</w:t>
            </w:r>
          </w:p>
        </w:tc>
        <w:tc>
          <w:tcPr>
            <w:tcW w:w="1944" w:type="dxa"/>
          </w:tcPr>
          <w:p>
            <w:pPr>
              <w:pStyle w:val="TableParagraph"/>
              <w:spacing w:before="13"/>
              <w:ind w:left="68" w:right="23"/>
              <w:rPr>
                <w:sz w:val="16"/>
              </w:rPr>
            </w:pPr>
            <w:r>
              <w:rPr>
                <w:sz w:val="16"/>
              </w:rPr>
              <w:t>Porcentaje</w:t>
            </w:r>
            <w:r>
              <w:rPr>
                <w:spacing w:val="-12"/>
                <w:sz w:val="16"/>
              </w:rPr>
              <w:t> </w:t>
            </w:r>
            <w:r>
              <w:rPr>
                <w:sz w:val="16"/>
              </w:rPr>
              <w:t>de</w:t>
            </w:r>
            <w:r>
              <w:rPr>
                <w:spacing w:val="-11"/>
                <w:sz w:val="16"/>
              </w:rPr>
              <w:t> </w:t>
            </w:r>
            <w:r>
              <w:rPr>
                <w:sz w:val="16"/>
              </w:rPr>
              <w:t>gestiones de las solicitudes efectuadas por las dependencias para los</w:t>
            </w:r>
          </w:p>
          <w:p>
            <w:pPr>
              <w:pStyle w:val="TableParagraph"/>
              <w:spacing w:line="182" w:lineRule="exact"/>
              <w:ind w:left="68" w:right="23"/>
              <w:rPr>
                <w:sz w:val="16"/>
              </w:rPr>
            </w:pPr>
            <w:r>
              <w:rPr>
                <w:sz w:val="16"/>
              </w:rPr>
              <w:t>servicios</w:t>
            </w:r>
            <w:r>
              <w:rPr>
                <w:spacing w:val="-12"/>
                <w:sz w:val="16"/>
              </w:rPr>
              <w:t> </w:t>
            </w:r>
            <w:r>
              <w:rPr>
                <w:sz w:val="16"/>
              </w:rPr>
              <w:t>de</w:t>
            </w:r>
            <w:r>
              <w:rPr>
                <w:spacing w:val="-11"/>
                <w:sz w:val="16"/>
              </w:rPr>
              <w:t> </w:t>
            </w:r>
            <w:r>
              <w:rPr>
                <w:sz w:val="16"/>
              </w:rPr>
              <w:t>tecnologías de información.</w:t>
            </w:r>
          </w:p>
        </w:tc>
        <w:tc>
          <w:tcPr>
            <w:tcW w:w="1253" w:type="dxa"/>
          </w:tcPr>
          <w:p>
            <w:pPr>
              <w:pStyle w:val="TableParagraph"/>
              <w:spacing w:before="13"/>
              <w:rPr>
                <w:b/>
                <w:sz w:val="16"/>
              </w:rPr>
            </w:pPr>
          </w:p>
          <w:p>
            <w:pPr>
              <w:pStyle w:val="TableParagraph"/>
              <w:spacing w:line="183" w:lineRule="exact"/>
              <w:ind w:left="86" w:right="79"/>
              <w:jc w:val="center"/>
              <w:rPr>
                <w:sz w:val="16"/>
              </w:rPr>
            </w:pPr>
            <w:r>
              <w:rPr>
                <w:spacing w:val="-5"/>
                <w:sz w:val="16"/>
              </w:rPr>
              <w:t>SAP</w:t>
            </w:r>
          </w:p>
          <w:p>
            <w:pPr>
              <w:pStyle w:val="TableParagraph"/>
              <w:ind w:left="86" w:right="76"/>
              <w:jc w:val="center"/>
              <w:rPr>
                <w:sz w:val="16"/>
              </w:rPr>
            </w:pPr>
            <w:r>
              <w:rPr>
                <w:spacing w:val="-2"/>
                <w:sz w:val="16"/>
              </w:rPr>
              <w:t>Transacciones </w:t>
            </w:r>
            <w:r>
              <w:rPr>
                <w:sz w:val="16"/>
              </w:rPr>
              <w:t>ejecutadas de la partida.</w:t>
            </w:r>
          </w:p>
        </w:tc>
        <w:tc>
          <w:tcPr>
            <w:tcW w:w="1245" w:type="dxa"/>
          </w:tcPr>
          <w:p>
            <w:pPr>
              <w:pStyle w:val="TableParagraph"/>
              <w:rPr>
                <w:b/>
                <w:sz w:val="16"/>
              </w:rPr>
            </w:pPr>
          </w:p>
          <w:p>
            <w:pPr>
              <w:pStyle w:val="TableParagraph"/>
              <w:spacing w:before="105"/>
              <w:rPr>
                <w:b/>
                <w:sz w:val="16"/>
              </w:rPr>
            </w:pPr>
          </w:p>
          <w:p>
            <w:pPr>
              <w:pStyle w:val="TableParagraph"/>
              <w:ind w:left="6" w:right="1"/>
              <w:jc w:val="center"/>
              <w:rPr>
                <w:sz w:val="16"/>
              </w:rPr>
            </w:pPr>
            <w:r>
              <w:rPr>
                <w:spacing w:val="-5"/>
                <w:sz w:val="16"/>
              </w:rPr>
              <w:t>TI</w:t>
            </w:r>
          </w:p>
        </w:tc>
        <w:tc>
          <w:tcPr>
            <w:tcW w:w="1841" w:type="dxa"/>
          </w:tcPr>
          <w:p>
            <w:pPr>
              <w:pStyle w:val="TableParagraph"/>
              <w:rPr>
                <w:b/>
                <w:sz w:val="16"/>
              </w:rPr>
            </w:pPr>
          </w:p>
          <w:p>
            <w:pPr>
              <w:pStyle w:val="TableParagraph"/>
              <w:spacing w:before="105"/>
              <w:rPr>
                <w:b/>
                <w:sz w:val="16"/>
              </w:rPr>
            </w:pPr>
          </w:p>
          <w:p>
            <w:pPr>
              <w:pStyle w:val="TableParagraph"/>
              <w:ind w:right="52"/>
              <w:jc w:val="right"/>
              <w:rPr>
                <w:sz w:val="16"/>
              </w:rPr>
            </w:pPr>
            <w:r>
              <w:rPr>
                <w:sz w:val="16"/>
              </w:rPr>
              <w:t>₡</w:t>
            </w:r>
            <w:r>
              <w:rPr>
                <w:spacing w:val="-1"/>
                <w:sz w:val="16"/>
              </w:rPr>
              <w:t> </w:t>
            </w:r>
            <w:r>
              <w:rPr>
                <w:sz w:val="16"/>
              </w:rPr>
              <w:t>1</w:t>
            </w:r>
            <w:r>
              <w:rPr>
                <w:spacing w:val="-1"/>
                <w:sz w:val="16"/>
              </w:rPr>
              <w:t> </w:t>
            </w:r>
            <w:r>
              <w:rPr>
                <w:sz w:val="16"/>
              </w:rPr>
              <w:t>320</w:t>
            </w:r>
            <w:r>
              <w:rPr>
                <w:spacing w:val="-1"/>
                <w:sz w:val="16"/>
              </w:rPr>
              <w:t> </w:t>
            </w:r>
            <w:r>
              <w:rPr>
                <w:sz w:val="16"/>
              </w:rPr>
              <w:t>678</w:t>
            </w:r>
            <w:r>
              <w:rPr>
                <w:spacing w:val="-1"/>
                <w:sz w:val="16"/>
              </w:rPr>
              <w:t> </w:t>
            </w:r>
            <w:r>
              <w:rPr>
                <w:spacing w:val="-5"/>
                <w:sz w:val="16"/>
              </w:rPr>
              <w:t>000</w:t>
            </w:r>
          </w:p>
        </w:tc>
        <w:tc>
          <w:tcPr>
            <w:tcW w:w="2553" w:type="dxa"/>
            <w:vMerge/>
            <w:tcBorders>
              <w:top w:val="nil"/>
            </w:tcBorders>
          </w:tcPr>
          <w:p>
            <w:pPr>
              <w:rPr>
                <w:sz w:val="2"/>
                <w:szCs w:val="2"/>
              </w:rPr>
            </w:pPr>
          </w:p>
        </w:tc>
      </w:tr>
      <w:tr>
        <w:trPr>
          <w:trHeight w:val="1128" w:hRule="atLeast"/>
        </w:trPr>
        <w:tc>
          <w:tcPr>
            <w:tcW w:w="3118" w:type="dxa"/>
          </w:tcPr>
          <w:p>
            <w:pPr>
              <w:pStyle w:val="TableParagraph"/>
              <w:spacing w:before="105"/>
              <w:rPr>
                <w:b/>
                <w:sz w:val="16"/>
              </w:rPr>
            </w:pPr>
          </w:p>
          <w:p>
            <w:pPr>
              <w:pStyle w:val="TableParagraph"/>
              <w:ind w:left="69" w:right="134"/>
              <w:rPr>
                <w:sz w:val="16"/>
              </w:rPr>
            </w:pPr>
            <w:r>
              <w:rPr>
                <w:b/>
                <w:sz w:val="16"/>
              </w:rPr>
              <w:t>Actividad PAC 2.4.7:</w:t>
            </w:r>
            <w:r>
              <w:rPr>
                <w:b/>
                <w:spacing w:val="40"/>
                <w:sz w:val="16"/>
              </w:rPr>
              <w:t> </w:t>
            </w:r>
            <w:r>
              <w:rPr>
                <w:sz w:val="16"/>
              </w:rPr>
              <w:t>Gestionar los servicios</w:t>
            </w:r>
            <w:r>
              <w:rPr>
                <w:spacing w:val="-12"/>
                <w:sz w:val="16"/>
              </w:rPr>
              <w:t> </w:t>
            </w:r>
            <w:r>
              <w:rPr>
                <w:sz w:val="16"/>
              </w:rPr>
              <w:t>informáticos</w:t>
            </w:r>
            <w:r>
              <w:rPr>
                <w:spacing w:val="-11"/>
                <w:sz w:val="16"/>
              </w:rPr>
              <w:t> </w:t>
            </w:r>
            <w:r>
              <w:rPr>
                <w:sz w:val="16"/>
              </w:rPr>
              <w:t>(partida</w:t>
            </w:r>
            <w:r>
              <w:rPr>
                <w:spacing w:val="-11"/>
                <w:sz w:val="16"/>
              </w:rPr>
              <w:t> </w:t>
            </w:r>
            <w:r>
              <w:rPr>
                <w:sz w:val="16"/>
              </w:rPr>
              <w:t>1.04.05) </w:t>
            </w:r>
            <w:r>
              <w:rPr>
                <w:spacing w:val="-6"/>
                <w:sz w:val="16"/>
              </w:rPr>
              <w:t>AC</w:t>
            </w:r>
          </w:p>
        </w:tc>
        <w:tc>
          <w:tcPr>
            <w:tcW w:w="1297" w:type="dxa"/>
          </w:tcPr>
          <w:p>
            <w:pPr>
              <w:pStyle w:val="TableParagraph"/>
              <w:rPr>
                <w:b/>
                <w:sz w:val="16"/>
              </w:rPr>
            </w:pPr>
          </w:p>
          <w:p>
            <w:pPr>
              <w:pStyle w:val="TableParagraph"/>
              <w:spacing w:before="103"/>
              <w:rPr>
                <w:b/>
                <w:sz w:val="16"/>
              </w:rPr>
            </w:pPr>
          </w:p>
          <w:p>
            <w:pPr>
              <w:pStyle w:val="TableParagraph"/>
              <w:ind w:left="4"/>
              <w:jc w:val="center"/>
              <w:rPr>
                <w:sz w:val="16"/>
              </w:rPr>
            </w:pPr>
            <w:r>
              <w:rPr>
                <w:spacing w:val="-4"/>
                <w:sz w:val="16"/>
              </w:rPr>
              <w:t>100%</w:t>
            </w:r>
          </w:p>
        </w:tc>
        <w:tc>
          <w:tcPr>
            <w:tcW w:w="1066" w:type="dxa"/>
          </w:tcPr>
          <w:p>
            <w:pPr>
              <w:pStyle w:val="TableParagraph"/>
              <w:rPr>
                <w:b/>
                <w:sz w:val="16"/>
              </w:rPr>
            </w:pPr>
          </w:p>
          <w:p>
            <w:pPr>
              <w:pStyle w:val="TableParagraph"/>
              <w:spacing w:before="103"/>
              <w:rPr>
                <w:b/>
                <w:sz w:val="16"/>
              </w:rPr>
            </w:pPr>
          </w:p>
          <w:p>
            <w:pPr>
              <w:pStyle w:val="TableParagraph"/>
              <w:ind w:left="10" w:right="6"/>
              <w:jc w:val="center"/>
              <w:rPr>
                <w:sz w:val="16"/>
              </w:rPr>
            </w:pPr>
            <w:r>
              <w:rPr>
                <w:spacing w:val="-4"/>
                <w:sz w:val="16"/>
              </w:rPr>
              <w:t>100%</w:t>
            </w:r>
          </w:p>
        </w:tc>
        <w:tc>
          <w:tcPr>
            <w:tcW w:w="1944" w:type="dxa"/>
          </w:tcPr>
          <w:p>
            <w:pPr>
              <w:pStyle w:val="TableParagraph"/>
              <w:spacing w:before="104"/>
              <w:ind w:left="68" w:right="23"/>
              <w:rPr>
                <w:sz w:val="16"/>
              </w:rPr>
            </w:pPr>
            <w:r>
              <w:rPr>
                <w:sz w:val="16"/>
              </w:rPr>
              <w:t>Porcentaje</w:t>
            </w:r>
            <w:r>
              <w:rPr>
                <w:spacing w:val="-12"/>
                <w:sz w:val="16"/>
              </w:rPr>
              <w:t> </w:t>
            </w:r>
            <w:r>
              <w:rPr>
                <w:sz w:val="16"/>
              </w:rPr>
              <w:t>de</w:t>
            </w:r>
            <w:r>
              <w:rPr>
                <w:spacing w:val="-11"/>
                <w:sz w:val="16"/>
              </w:rPr>
              <w:t> </w:t>
            </w:r>
            <w:r>
              <w:rPr>
                <w:sz w:val="16"/>
              </w:rPr>
              <w:t>gestiones de las solicitudes efectuadas por las dependencias para los servicios informáticos.</w:t>
            </w:r>
          </w:p>
        </w:tc>
        <w:tc>
          <w:tcPr>
            <w:tcW w:w="1253" w:type="dxa"/>
          </w:tcPr>
          <w:p>
            <w:pPr>
              <w:pStyle w:val="TableParagraph"/>
              <w:spacing w:before="11"/>
              <w:rPr>
                <w:b/>
                <w:sz w:val="16"/>
              </w:rPr>
            </w:pPr>
          </w:p>
          <w:p>
            <w:pPr>
              <w:pStyle w:val="TableParagraph"/>
              <w:ind w:left="86" w:right="79"/>
              <w:jc w:val="center"/>
              <w:rPr>
                <w:sz w:val="16"/>
              </w:rPr>
            </w:pPr>
            <w:r>
              <w:rPr>
                <w:spacing w:val="-5"/>
                <w:sz w:val="16"/>
              </w:rPr>
              <w:t>SAP</w:t>
            </w:r>
          </w:p>
          <w:p>
            <w:pPr>
              <w:pStyle w:val="TableParagraph"/>
              <w:spacing w:before="1"/>
              <w:ind w:left="86" w:right="76"/>
              <w:jc w:val="center"/>
              <w:rPr>
                <w:sz w:val="16"/>
              </w:rPr>
            </w:pPr>
            <w:r>
              <w:rPr>
                <w:spacing w:val="-2"/>
                <w:sz w:val="16"/>
              </w:rPr>
              <w:t>Transacciones </w:t>
            </w:r>
            <w:r>
              <w:rPr>
                <w:sz w:val="16"/>
              </w:rPr>
              <w:t>ejecutadas de la partida.</w:t>
            </w:r>
          </w:p>
        </w:tc>
        <w:tc>
          <w:tcPr>
            <w:tcW w:w="1245" w:type="dxa"/>
          </w:tcPr>
          <w:p>
            <w:pPr>
              <w:pStyle w:val="TableParagraph"/>
              <w:rPr>
                <w:b/>
                <w:sz w:val="16"/>
              </w:rPr>
            </w:pPr>
          </w:p>
          <w:p>
            <w:pPr>
              <w:pStyle w:val="TableParagraph"/>
              <w:spacing w:before="103"/>
              <w:rPr>
                <w:b/>
                <w:sz w:val="16"/>
              </w:rPr>
            </w:pPr>
          </w:p>
          <w:p>
            <w:pPr>
              <w:pStyle w:val="TableParagraph"/>
              <w:ind w:left="6" w:right="1"/>
              <w:jc w:val="center"/>
              <w:rPr>
                <w:sz w:val="16"/>
              </w:rPr>
            </w:pPr>
            <w:r>
              <w:rPr>
                <w:spacing w:val="-5"/>
                <w:sz w:val="16"/>
              </w:rPr>
              <w:t>TI</w:t>
            </w:r>
          </w:p>
        </w:tc>
        <w:tc>
          <w:tcPr>
            <w:tcW w:w="1841" w:type="dxa"/>
          </w:tcPr>
          <w:p>
            <w:pPr>
              <w:pStyle w:val="TableParagraph"/>
              <w:rPr>
                <w:b/>
                <w:sz w:val="16"/>
              </w:rPr>
            </w:pPr>
          </w:p>
          <w:p>
            <w:pPr>
              <w:pStyle w:val="TableParagraph"/>
              <w:spacing w:before="103"/>
              <w:rPr>
                <w:b/>
                <w:sz w:val="16"/>
              </w:rPr>
            </w:pPr>
          </w:p>
          <w:p>
            <w:pPr>
              <w:pStyle w:val="TableParagraph"/>
              <w:ind w:right="52"/>
              <w:jc w:val="right"/>
              <w:rPr>
                <w:sz w:val="16"/>
              </w:rPr>
            </w:pPr>
            <w:r>
              <w:rPr>
                <w:sz w:val="16"/>
              </w:rPr>
              <w:t>₡</w:t>
            </w:r>
            <w:r>
              <w:rPr>
                <w:spacing w:val="-2"/>
                <w:sz w:val="16"/>
              </w:rPr>
              <w:t> </w:t>
            </w:r>
            <w:r>
              <w:rPr>
                <w:sz w:val="16"/>
              </w:rPr>
              <w:t>363</w:t>
            </w:r>
            <w:r>
              <w:rPr>
                <w:spacing w:val="-1"/>
                <w:sz w:val="16"/>
              </w:rPr>
              <w:t> </w:t>
            </w:r>
            <w:r>
              <w:rPr>
                <w:sz w:val="16"/>
              </w:rPr>
              <w:t>000</w:t>
            </w:r>
            <w:r>
              <w:rPr>
                <w:spacing w:val="-1"/>
                <w:sz w:val="16"/>
              </w:rPr>
              <w:t> </w:t>
            </w:r>
            <w:r>
              <w:rPr>
                <w:spacing w:val="-5"/>
                <w:sz w:val="16"/>
              </w:rPr>
              <w:t>000</w:t>
            </w:r>
          </w:p>
        </w:tc>
        <w:tc>
          <w:tcPr>
            <w:tcW w:w="2553"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360"/>
        </w:sectPr>
      </w:pPr>
    </w:p>
    <w:p>
      <w:pPr>
        <w:pStyle w:val="BodyText"/>
        <w:spacing w:before="226"/>
        <w:rPr>
          <w:b/>
          <w:sz w:val="20"/>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08"/>
        <w:gridCol w:w="1587"/>
        <w:gridCol w:w="1135"/>
        <w:gridCol w:w="1841"/>
        <w:gridCol w:w="1275"/>
        <w:gridCol w:w="1277"/>
        <w:gridCol w:w="1844"/>
        <w:gridCol w:w="2552"/>
      </w:tblGrid>
      <w:tr>
        <w:trPr>
          <w:trHeight w:val="669" w:hRule="atLeast"/>
        </w:trPr>
        <w:tc>
          <w:tcPr>
            <w:tcW w:w="2808" w:type="dxa"/>
            <w:shd w:val="clear" w:color="auto" w:fill="F1F1F1"/>
          </w:tcPr>
          <w:p>
            <w:pPr>
              <w:pStyle w:val="TableParagraph"/>
              <w:spacing w:before="24"/>
              <w:rPr>
                <w:b/>
                <w:sz w:val="18"/>
              </w:rPr>
            </w:pPr>
          </w:p>
          <w:p>
            <w:pPr>
              <w:pStyle w:val="TableParagraph"/>
              <w:ind w:left="431"/>
              <w:rPr>
                <w:b/>
                <w:sz w:val="18"/>
              </w:rPr>
            </w:pPr>
            <w:r>
              <w:rPr>
                <w:b/>
                <w:sz w:val="18"/>
              </w:rPr>
              <w:t>Objetivos</w:t>
            </w:r>
            <w:r>
              <w:rPr>
                <w:b/>
                <w:spacing w:val="-4"/>
                <w:sz w:val="18"/>
              </w:rPr>
              <w:t> </w:t>
            </w:r>
            <w:r>
              <w:rPr>
                <w:b/>
                <w:sz w:val="18"/>
              </w:rPr>
              <w:t>/</w:t>
            </w:r>
            <w:r>
              <w:rPr>
                <w:b/>
                <w:spacing w:val="-2"/>
                <w:sz w:val="18"/>
              </w:rPr>
              <w:t> Resultados</w:t>
            </w:r>
          </w:p>
        </w:tc>
        <w:tc>
          <w:tcPr>
            <w:tcW w:w="1587" w:type="dxa"/>
            <w:shd w:val="clear" w:color="auto" w:fill="F1F1F1"/>
          </w:tcPr>
          <w:p>
            <w:pPr>
              <w:pStyle w:val="TableParagraph"/>
              <w:spacing w:before="126"/>
              <w:ind w:left="533" w:right="302" w:hanging="216"/>
              <w:rPr>
                <w:b/>
                <w:sz w:val="18"/>
              </w:rPr>
            </w:pPr>
            <w:r>
              <w:rPr>
                <w:b/>
                <w:sz w:val="18"/>
              </w:rPr>
              <w:t>Línea</w:t>
            </w:r>
            <w:r>
              <w:rPr>
                <w:b/>
                <w:spacing w:val="-13"/>
                <w:sz w:val="18"/>
              </w:rPr>
              <w:t> </w:t>
            </w:r>
            <w:r>
              <w:rPr>
                <w:b/>
                <w:sz w:val="18"/>
              </w:rPr>
              <w:t>Base </w:t>
            </w:r>
            <w:r>
              <w:rPr>
                <w:b/>
                <w:spacing w:val="-2"/>
                <w:sz w:val="18"/>
              </w:rPr>
              <w:t>(2025)</w:t>
            </w:r>
          </w:p>
        </w:tc>
        <w:tc>
          <w:tcPr>
            <w:tcW w:w="1135" w:type="dxa"/>
            <w:shd w:val="clear" w:color="auto" w:fill="F1F1F1"/>
          </w:tcPr>
          <w:p>
            <w:pPr>
              <w:pStyle w:val="TableParagraph"/>
              <w:spacing w:before="23"/>
              <w:ind w:left="96" w:right="84" w:hanging="3"/>
              <w:jc w:val="center"/>
              <w:rPr>
                <w:b/>
                <w:sz w:val="18"/>
              </w:rPr>
            </w:pPr>
            <w:r>
              <w:rPr>
                <w:b/>
                <w:spacing w:val="-4"/>
                <w:sz w:val="18"/>
              </w:rPr>
              <w:t>Meta </w:t>
            </w:r>
            <w:r>
              <w:rPr>
                <w:b/>
                <w:spacing w:val="-2"/>
                <w:sz w:val="18"/>
              </w:rPr>
              <w:t>programad </w:t>
            </w:r>
            <w:r>
              <w:rPr>
                <w:b/>
                <w:sz w:val="18"/>
              </w:rPr>
              <w:t>a 2027</w:t>
            </w:r>
          </w:p>
        </w:tc>
        <w:tc>
          <w:tcPr>
            <w:tcW w:w="1841" w:type="dxa"/>
            <w:shd w:val="clear" w:color="auto" w:fill="F1F1F1"/>
          </w:tcPr>
          <w:p>
            <w:pPr>
              <w:pStyle w:val="TableParagraph"/>
              <w:spacing w:before="24"/>
              <w:rPr>
                <w:b/>
                <w:sz w:val="18"/>
              </w:rPr>
            </w:pPr>
          </w:p>
          <w:p>
            <w:pPr>
              <w:pStyle w:val="TableParagraph"/>
              <w:ind w:left="514"/>
              <w:rPr>
                <w:b/>
                <w:sz w:val="18"/>
              </w:rPr>
            </w:pPr>
            <w:r>
              <w:rPr>
                <w:b/>
                <w:spacing w:val="-2"/>
                <w:sz w:val="18"/>
              </w:rPr>
              <w:t>Indicador</w:t>
            </w:r>
          </w:p>
        </w:tc>
        <w:tc>
          <w:tcPr>
            <w:tcW w:w="1275" w:type="dxa"/>
            <w:shd w:val="clear" w:color="auto" w:fill="F1F1F1"/>
          </w:tcPr>
          <w:p>
            <w:pPr>
              <w:pStyle w:val="TableParagraph"/>
              <w:spacing w:before="126"/>
              <w:ind w:left="134" w:firstLine="60"/>
              <w:rPr>
                <w:b/>
                <w:sz w:val="18"/>
              </w:rPr>
            </w:pPr>
            <w:r>
              <w:rPr>
                <w:b/>
                <w:sz w:val="18"/>
              </w:rPr>
              <w:t>Medios de </w:t>
            </w:r>
            <w:r>
              <w:rPr>
                <w:b/>
                <w:spacing w:val="-2"/>
                <w:sz w:val="18"/>
              </w:rPr>
              <w:t>verificación</w:t>
            </w:r>
          </w:p>
        </w:tc>
        <w:tc>
          <w:tcPr>
            <w:tcW w:w="1277" w:type="dxa"/>
            <w:shd w:val="clear" w:color="auto" w:fill="F1F1F1"/>
          </w:tcPr>
          <w:p>
            <w:pPr>
              <w:pStyle w:val="TableParagraph"/>
              <w:spacing w:before="24"/>
              <w:rPr>
                <w:b/>
                <w:sz w:val="18"/>
              </w:rPr>
            </w:pPr>
          </w:p>
          <w:p>
            <w:pPr>
              <w:pStyle w:val="TableParagraph"/>
              <w:ind w:left="9" w:right="1"/>
              <w:jc w:val="center"/>
              <w:rPr>
                <w:b/>
                <w:sz w:val="18"/>
              </w:rPr>
            </w:pPr>
            <w:r>
              <w:rPr>
                <w:b/>
                <w:spacing w:val="-2"/>
                <w:sz w:val="18"/>
              </w:rPr>
              <w:t>Responsable</w:t>
            </w:r>
          </w:p>
        </w:tc>
        <w:tc>
          <w:tcPr>
            <w:tcW w:w="1844" w:type="dxa"/>
            <w:shd w:val="clear" w:color="auto" w:fill="F1F1F1"/>
          </w:tcPr>
          <w:p>
            <w:pPr>
              <w:pStyle w:val="TableParagraph"/>
              <w:spacing w:before="126"/>
              <w:ind w:left="525" w:right="367" w:hanging="152"/>
              <w:rPr>
                <w:b/>
                <w:sz w:val="18"/>
              </w:rPr>
            </w:pPr>
            <w:r>
              <w:rPr>
                <w:b/>
                <w:spacing w:val="-2"/>
                <w:sz w:val="18"/>
              </w:rPr>
              <w:t>Presupuesto asignado</w:t>
            </w:r>
          </w:p>
        </w:tc>
        <w:tc>
          <w:tcPr>
            <w:tcW w:w="2552" w:type="dxa"/>
            <w:shd w:val="clear" w:color="auto" w:fill="F1F1F1"/>
          </w:tcPr>
          <w:p>
            <w:pPr>
              <w:pStyle w:val="TableParagraph"/>
              <w:spacing w:before="24"/>
              <w:rPr>
                <w:b/>
                <w:sz w:val="18"/>
              </w:rPr>
            </w:pPr>
          </w:p>
          <w:p>
            <w:pPr>
              <w:pStyle w:val="TableParagraph"/>
              <w:ind w:left="69"/>
              <w:rPr>
                <w:b/>
                <w:sz w:val="18"/>
              </w:rPr>
            </w:pPr>
            <w:r>
              <w:rPr>
                <w:b/>
                <w:spacing w:val="-2"/>
                <w:sz w:val="18"/>
              </w:rPr>
              <w:t>Riesgos</w:t>
            </w:r>
          </w:p>
        </w:tc>
      </w:tr>
      <w:tr>
        <w:trPr>
          <w:trHeight w:val="719" w:hRule="atLeast"/>
        </w:trPr>
        <w:tc>
          <w:tcPr>
            <w:tcW w:w="14319" w:type="dxa"/>
            <w:gridSpan w:val="8"/>
            <w:shd w:val="clear" w:color="auto" w:fill="F1F1F1"/>
          </w:tcPr>
          <w:p>
            <w:pPr>
              <w:pStyle w:val="TableParagraph"/>
              <w:spacing w:before="152"/>
              <w:ind w:left="69"/>
              <w:rPr>
                <w:b/>
                <w:sz w:val="18"/>
              </w:rPr>
            </w:pPr>
            <w:r>
              <w:rPr>
                <w:b/>
                <w:sz w:val="18"/>
              </w:rPr>
              <w:t>Efecto:</w:t>
            </w:r>
            <w:r>
              <w:rPr>
                <w:b/>
                <w:spacing w:val="40"/>
                <w:sz w:val="18"/>
              </w:rPr>
              <w:t> </w:t>
            </w:r>
            <w:r>
              <w:rPr>
                <w:b/>
                <w:sz w:val="18"/>
              </w:rPr>
              <w:t>Efectiva</w:t>
            </w:r>
            <w:r>
              <w:rPr>
                <w:b/>
                <w:spacing w:val="-3"/>
                <w:sz w:val="18"/>
              </w:rPr>
              <w:t> </w:t>
            </w:r>
            <w:r>
              <w:rPr>
                <w:b/>
                <w:sz w:val="18"/>
              </w:rPr>
              <w:t>gestión</w:t>
            </w:r>
            <w:r>
              <w:rPr>
                <w:b/>
                <w:spacing w:val="-1"/>
                <w:sz w:val="18"/>
              </w:rPr>
              <w:t> </w:t>
            </w:r>
            <w:r>
              <w:rPr>
                <w:b/>
                <w:sz w:val="18"/>
              </w:rPr>
              <w:t>de</w:t>
            </w:r>
            <w:r>
              <w:rPr>
                <w:b/>
                <w:spacing w:val="-1"/>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669" w:hRule="atLeast"/>
        </w:trPr>
        <w:tc>
          <w:tcPr>
            <w:tcW w:w="14319" w:type="dxa"/>
            <w:gridSpan w:val="8"/>
            <w:shd w:val="clear" w:color="auto" w:fill="DAE9F8"/>
          </w:tcPr>
          <w:p>
            <w:pPr>
              <w:pStyle w:val="TableParagraph"/>
              <w:spacing w:before="128"/>
              <w:ind w:left="69"/>
              <w:rPr>
                <w:b/>
                <w:sz w:val="18"/>
              </w:rPr>
            </w:pPr>
            <w:r>
              <w:rPr>
                <w:b/>
                <w:sz w:val="18"/>
              </w:rPr>
              <w:t>Producto</w:t>
            </w:r>
            <w:r>
              <w:rPr>
                <w:b/>
                <w:spacing w:val="-2"/>
                <w:sz w:val="18"/>
              </w:rPr>
              <w:t> </w:t>
            </w:r>
            <w:r>
              <w:rPr>
                <w:b/>
                <w:sz w:val="18"/>
              </w:rPr>
              <w:t>2.5:</w:t>
            </w:r>
            <w:r>
              <w:rPr>
                <w:b/>
                <w:spacing w:val="-2"/>
                <w:sz w:val="18"/>
              </w:rPr>
              <w:t> </w:t>
            </w:r>
            <w:r>
              <w:rPr>
                <w:b/>
                <w:sz w:val="18"/>
              </w:rPr>
              <w:t>Contar</w:t>
            </w:r>
            <w:r>
              <w:rPr>
                <w:b/>
                <w:spacing w:val="-5"/>
                <w:sz w:val="18"/>
              </w:rPr>
              <w:t> </w:t>
            </w:r>
            <w:r>
              <w:rPr>
                <w:b/>
                <w:sz w:val="18"/>
              </w:rPr>
              <w:t>con</w:t>
            </w:r>
            <w:r>
              <w:rPr>
                <w:b/>
                <w:spacing w:val="-2"/>
                <w:sz w:val="18"/>
              </w:rPr>
              <w:t> </w:t>
            </w:r>
            <w:r>
              <w:rPr>
                <w:b/>
                <w:sz w:val="18"/>
              </w:rPr>
              <w:t>un</w:t>
            </w:r>
            <w:r>
              <w:rPr>
                <w:b/>
                <w:spacing w:val="-4"/>
                <w:sz w:val="18"/>
              </w:rPr>
              <w:t> </w:t>
            </w:r>
            <w:r>
              <w:rPr>
                <w:b/>
                <w:sz w:val="18"/>
              </w:rPr>
              <w:t>espacio</w:t>
            </w:r>
            <w:r>
              <w:rPr>
                <w:b/>
                <w:spacing w:val="-2"/>
                <w:sz w:val="18"/>
              </w:rPr>
              <w:t> </w:t>
            </w:r>
            <w:r>
              <w:rPr>
                <w:b/>
                <w:sz w:val="18"/>
              </w:rPr>
              <w:t>físico</w:t>
            </w:r>
            <w:r>
              <w:rPr>
                <w:b/>
                <w:spacing w:val="-2"/>
                <w:sz w:val="18"/>
              </w:rPr>
              <w:t> </w:t>
            </w:r>
            <w:r>
              <w:rPr>
                <w:b/>
                <w:sz w:val="18"/>
              </w:rPr>
              <w:t>que</w:t>
            </w:r>
            <w:r>
              <w:rPr>
                <w:b/>
                <w:spacing w:val="-2"/>
                <w:sz w:val="18"/>
              </w:rPr>
              <w:t> </w:t>
            </w:r>
            <w:r>
              <w:rPr>
                <w:b/>
                <w:sz w:val="18"/>
              </w:rPr>
              <w:t>cumpla</w:t>
            </w:r>
            <w:r>
              <w:rPr>
                <w:b/>
                <w:spacing w:val="-4"/>
                <w:sz w:val="18"/>
              </w:rPr>
              <w:t> </w:t>
            </w:r>
            <w:r>
              <w:rPr>
                <w:b/>
                <w:sz w:val="18"/>
              </w:rPr>
              <w:t>con</w:t>
            </w:r>
            <w:r>
              <w:rPr>
                <w:b/>
                <w:spacing w:val="-2"/>
                <w:sz w:val="18"/>
              </w:rPr>
              <w:t> </w:t>
            </w:r>
            <w:r>
              <w:rPr>
                <w:b/>
                <w:sz w:val="18"/>
              </w:rPr>
              <w:t>las</w:t>
            </w:r>
            <w:r>
              <w:rPr>
                <w:b/>
                <w:spacing w:val="-4"/>
                <w:sz w:val="18"/>
              </w:rPr>
              <w:t> </w:t>
            </w:r>
            <w:r>
              <w:rPr>
                <w:b/>
                <w:sz w:val="18"/>
              </w:rPr>
              <w:t>condiciones</w:t>
            </w:r>
            <w:r>
              <w:rPr>
                <w:b/>
                <w:spacing w:val="-2"/>
                <w:sz w:val="18"/>
              </w:rPr>
              <w:t> </w:t>
            </w:r>
            <w:r>
              <w:rPr>
                <w:b/>
                <w:sz w:val="18"/>
              </w:rPr>
              <w:t>adecuadas</w:t>
            </w:r>
            <w:r>
              <w:rPr>
                <w:b/>
                <w:spacing w:val="-2"/>
                <w:sz w:val="18"/>
              </w:rPr>
              <w:t> </w:t>
            </w:r>
            <w:r>
              <w:rPr>
                <w:b/>
                <w:sz w:val="18"/>
              </w:rPr>
              <w:t>para</w:t>
            </w:r>
            <w:r>
              <w:rPr>
                <w:b/>
                <w:spacing w:val="-4"/>
                <w:sz w:val="18"/>
              </w:rPr>
              <w:t> </w:t>
            </w:r>
            <w:r>
              <w:rPr>
                <w:b/>
                <w:sz w:val="18"/>
              </w:rPr>
              <w:t>las</w:t>
            </w:r>
            <w:r>
              <w:rPr>
                <w:b/>
                <w:spacing w:val="-2"/>
                <w:sz w:val="18"/>
              </w:rPr>
              <w:t> </w:t>
            </w:r>
            <w:r>
              <w:rPr>
                <w:b/>
                <w:sz w:val="18"/>
              </w:rPr>
              <w:t>funciones</w:t>
            </w:r>
            <w:r>
              <w:rPr>
                <w:b/>
                <w:spacing w:val="-2"/>
                <w:sz w:val="18"/>
              </w:rPr>
              <w:t> </w:t>
            </w:r>
            <w:r>
              <w:rPr>
                <w:b/>
                <w:sz w:val="18"/>
              </w:rPr>
              <w:t>propias</w:t>
            </w:r>
            <w:r>
              <w:rPr>
                <w:b/>
                <w:spacing w:val="-2"/>
                <w:sz w:val="18"/>
              </w:rPr>
              <w:t> </w:t>
            </w:r>
            <w:r>
              <w:rPr>
                <w:b/>
                <w:sz w:val="18"/>
              </w:rPr>
              <w:t>del</w:t>
            </w:r>
            <w:r>
              <w:rPr>
                <w:b/>
                <w:spacing w:val="-2"/>
                <w:sz w:val="18"/>
              </w:rPr>
              <w:t> </w:t>
            </w:r>
            <w:r>
              <w:rPr>
                <w:b/>
                <w:sz w:val="18"/>
              </w:rPr>
              <w:t>Departamento</w:t>
            </w:r>
            <w:r>
              <w:rPr>
                <w:b/>
                <w:spacing w:val="-2"/>
                <w:sz w:val="18"/>
              </w:rPr>
              <w:t> </w:t>
            </w:r>
            <w:r>
              <w:rPr>
                <w:b/>
                <w:sz w:val="18"/>
              </w:rPr>
              <w:t>de</w:t>
            </w:r>
            <w:r>
              <w:rPr>
                <w:b/>
                <w:spacing w:val="-2"/>
                <w:sz w:val="18"/>
              </w:rPr>
              <w:t> </w:t>
            </w:r>
            <w:r>
              <w:rPr>
                <w:b/>
                <w:sz w:val="18"/>
              </w:rPr>
              <w:t>Administración</w:t>
            </w:r>
            <w:r>
              <w:rPr>
                <w:b/>
                <w:spacing w:val="-2"/>
                <w:sz w:val="18"/>
              </w:rPr>
              <w:t> </w:t>
            </w:r>
            <w:r>
              <w:rPr>
                <w:b/>
                <w:sz w:val="18"/>
              </w:rPr>
              <w:t>Financiera, Unidad Contabilidad y Unidad de Presupuesto.</w:t>
            </w:r>
          </w:p>
        </w:tc>
      </w:tr>
      <w:tr>
        <w:trPr>
          <w:trHeight w:val="1365" w:hRule="atLeast"/>
        </w:trPr>
        <w:tc>
          <w:tcPr>
            <w:tcW w:w="2808" w:type="dxa"/>
          </w:tcPr>
          <w:p>
            <w:pPr>
              <w:pStyle w:val="TableParagraph"/>
              <w:spacing w:before="61"/>
              <w:ind w:left="69"/>
              <w:rPr>
                <w:sz w:val="18"/>
              </w:rPr>
            </w:pPr>
            <w:r>
              <w:rPr>
                <w:b/>
                <w:sz w:val="18"/>
              </w:rPr>
              <w:t>Actividad PAC 2.5.1: </w:t>
            </w:r>
            <w:r>
              <w:rPr>
                <w:sz w:val="18"/>
              </w:rPr>
              <w:t>Seguimiento al proyecto inscrito en</w:t>
            </w:r>
            <w:r>
              <w:rPr>
                <w:spacing w:val="-9"/>
                <w:sz w:val="18"/>
              </w:rPr>
              <w:t> </w:t>
            </w:r>
            <w:r>
              <w:rPr>
                <w:sz w:val="18"/>
              </w:rPr>
              <w:t>BPIP,</w:t>
            </w:r>
            <w:r>
              <w:rPr>
                <w:spacing w:val="-11"/>
                <w:sz w:val="18"/>
              </w:rPr>
              <w:t> </w:t>
            </w:r>
            <w:r>
              <w:rPr>
                <w:sz w:val="18"/>
              </w:rPr>
              <w:t>sobre</w:t>
            </w:r>
            <w:r>
              <w:rPr>
                <w:spacing w:val="-9"/>
                <w:sz w:val="18"/>
              </w:rPr>
              <w:t> </w:t>
            </w:r>
            <w:r>
              <w:rPr>
                <w:sz w:val="18"/>
              </w:rPr>
              <w:t>remodelación</w:t>
            </w:r>
            <w:r>
              <w:rPr>
                <w:spacing w:val="-12"/>
                <w:sz w:val="18"/>
              </w:rPr>
              <w:t> </w:t>
            </w:r>
            <w:r>
              <w:rPr>
                <w:sz w:val="18"/>
              </w:rPr>
              <w:t>del espacio físico donde se ubica el DAF, Unidad de Presupuesto, </w:t>
            </w:r>
            <w:r>
              <w:rPr>
                <w:spacing w:val="-2"/>
                <w:sz w:val="18"/>
              </w:rPr>
              <w:t>Contabilidad.</w:t>
            </w:r>
          </w:p>
        </w:tc>
        <w:tc>
          <w:tcPr>
            <w:tcW w:w="1587" w:type="dxa"/>
          </w:tcPr>
          <w:p>
            <w:pPr>
              <w:pStyle w:val="TableParagraph"/>
              <w:rPr>
                <w:b/>
                <w:sz w:val="18"/>
              </w:rPr>
            </w:pPr>
          </w:p>
          <w:p>
            <w:pPr>
              <w:pStyle w:val="TableParagraph"/>
              <w:spacing w:before="163"/>
              <w:rPr>
                <w:b/>
                <w:sz w:val="18"/>
              </w:rPr>
            </w:pPr>
          </w:p>
          <w:p>
            <w:pPr>
              <w:pStyle w:val="TableParagraph"/>
              <w:ind w:left="9" w:right="3"/>
              <w:jc w:val="center"/>
              <w:rPr>
                <w:sz w:val="18"/>
              </w:rPr>
            </w:pPr>
            <w:r>
              <w:rPr>
                <w:spacing w:val="-10"/>
                <w:sz w:val="18"/>
              </w:rPr>
              <w:t>0</w:t>
            </w:r>
          </w:p>
        </w:tc>
        <w:tc>
          <w:tcPr>
            <w:tcW w:w="1135" w:type="dxa"/>
          </w:tcPr>
          <w:p>
            <w:pPr>
              <w:pStyle w:val="TableParagraph"/>
              <w:rPr>
                <w:b/>
                <w:sz w:val="18"/>
              </w:rPr>
            </w:pPr>
          </w:p>
          <w:p>
            <w:pPr>
              <w:pStyle w:val="TableParagraph"/>
              <w:spacing w:before="163"/>
              <w:rPr>
                <w:b/>
                <w:sz w:val="18"/>
              </w:rPr>
            </w:pPr>
          </w:p>
          <w:p>
            <w:pPr>
              <w:pStyle w:val="TableParagraph"/>
              <w:ind w:left="81" w:right="74"/>
              <w:jc w:val="center"/>
              <w:rPr>
                <w:sz w:val="18"/>
              </w:rPr>
            </w:pPr>
            <w:r>
              <w:rPr>
                <w:spacing w:val="-10"/>
                <w:sz w:val="18"/>
              </w:rPr>
              <w:t>4</w:t>
            </w:r>
          </w:p>
        </w:tc>
        <w:tc>
          <w:tcPr>
            <w:tcW w:w="1841" w:type="dxa"/>
          </w:tcPr>
          <w:p>
            <w:pPr>
              <w:pStyle w:val="TableParagraph"/>
              <w:spacing w:before="60"/>
              <w:rPr>
                <w:b/>
                <w:sz w:val="18"/>
              </w:rPr>
            </w:pPr>
          </w:p>
          <w:p>
            <w:pPr>
              <w:pStyle w:val="TableParagraph"/>
              <w:ind w:left="245" w:right="231" w:hanging="1"/>
              <w:jc w:val="center"/>
              <w:rPr>
                <w:sz w:val="18"/>
              </w:rPr>
            </w:pPr>
            <w:r>
              <w:rPr>
                <w:sz w:val="18"/>
              </w:rPr>
              <w:t>Cantidad de </w:t>
            </w:r>
            <w:r>
              <w:rPr>
                <w:spacing w:val="-2"/>
                <w:sz w:val="18"/>
              </w:rPr>
              <w:t>seguimiento </w:t>
            </w:r>
            <w:r>
              <w:rPr>
                <w:sz w:val="18"/>
              </w:rPr>
              <w:t>trimestral en el módulo</w:t>
            </w:r>
            <w:r>
              <w:rPr>
                <w:spacing w:val="-2"/>
                <w:sz w:val="18"/>
              </w:rPr>
              <w:t> </w:t>
            </w:r>
            <w:r>
              <w:rPr>
                <w:sz w:val="18"/>
              </w:rPr>
              <w:t>de</w:t>
            </w:r>
            <w:r>
              <w:rPr>
                <w:spacing w:val="-1"/>
                <w:sz w:val="18"/>
              </w:rPr>
              <w:t> </w:t>
            </w:r>
            <w:r>
              <w:rPr>
                <w:spacing w:val="-2"/>
                <w:sz w:val="18"/>
              </w:rPr>
              <w:t>BPIP.</w:t>
            </w:r>
          </w:p>
        </w:tc>
        <w:tc>
          <w:tcPr>
            <w:tcW w:w="1275" w:type="dxa"/>
          </w:tcPr>
          <w:p>
            <w:pPr>
              <w:pStyle w:val="TableParagraph"/>
              <w:spacing w:before="163"/>
              <w:rPr>
                <w:b/>
                <w:sz w:val="18"/>
              </w:rPr>
            </w:pPr>
          </w:p>
          <w:p>
            <w:pPr>
              <w:pStyle w:val="TableParagraph"/>
              <w:spacing w:before="1"/>
              <w:ind w:left="27" w:right="20"/>
              <w:jc w:val="center"/>
              <w:rPr>
                <w:sz w:val="18"/>
              </w:rPr>
            </w:pPr>
            <w:r>
              <w:rPr>
                <w:sz w:val="18"/>
              </w:rPr>
              <w:t>Capturas de pantalla</w:t>
            </w:r>
            <w:r>
              <w:rPr>
                <w:spacing w:val="-13"/>
                <w:sz w:val="18"/>
              </w:rPr>
              <w:t> </w:t>
            </w:r>
            <w:r>
              <w:rPr>
                <w:sz w:val="18"/>
              </w:rPr>
              <w:t>sobre el proceso</w:t>
            </w:r>
          </w:p>
        </w:tc>
        <w:tc>
          <w:tcPr>
            <w:tcW w:w="1277" w:type="dxa"/>
          </w:tcPr>
          <w:p>
            <w:pPr>
              <w:pStyle w:val="TableParagraph"/>
              <w:rPr>
                <w:b/>
                <w:sz w:val="18"/>
              </w:rPr>
            </w:pPr>
          </w:p>
          <w:p>
            <w:pPr>
              <w:pStyle w:val="TableParagraph"/>
              <w:spacing w:before="163"/>
              <w:rPr>
                <w:b/>
                <w:sz w:val="18"/>
              </w:rPr>
            </w:pPr>
          </w:p>
          <w:p>
            <w:pPr>
              <w:pStyle w:val="TableParagraph"/>
              <w:ind w:left="9"/>
              <w:jc w:val="center"/>
              <w:rPr>
                <w:sz w:val="18"/>
              </w:rPr>
            </w:pPr>
            <w:r>
              <w:rPr>
                <w:spacing w:val="-5"/>
                <w:sz w:val="18"/>
              </w:rPr>
              <w:t>DAF</w:t>
            </w:r>
          </w:p>
        </w:tc>
        <w:tc>
          <w:tcPr>
            <w:tcW w:w="1844" w:type="dxa"/>
          </w:tcPr>
          <w:p>
            <w:pPr>
              <w:pStyle w:val="TableParagraph"/>
              <w:rPr>
                <w:rFonts w:ascii="Times New Roman"/>
                <w:sz w:val="18"/>
              </w:rPr>
            </w:pPr>
          </w:p>
        </w:tc>
        <w:tc>
          <w:tcPr>
            <w:tcW w:w="2552" w:type="dxa"/>
            <w:vMerge w:val="restart"/>
          </w:tcPr>
          <w:p>
            <w:pPr>
              <w:pStyle w:val="TableParagraph"/>
              <w:rPr>
                <w:b/>
                <w:sz w:val="18"/>
              </w:rPr>
            </w:pPr>
          </w:p>
          <w:p>
            <w:pPr>
              <w:pStyle w:val="TableParagraph"/>
              <w:rPr>
                <w:b/>
                <w:sz w:val="18"/>
              </w:rPr>
            </w:pPr>
          </w:p>
          <w:p>
            <w:pPr>
              <w:pStyle w:val="TableParagraph"/>
              <w:rPr>
                <w:b/>
                <w:sz w:val="18"/>
              </w:rPr>
            </w:pPr>
          </w:p>
          <w:p>
            <w:pPr>
              <w:pStyle w:val="TableParagraph"/>
              <w:spacing w:before="169"/>
              <w:rPr>
                <w:b/>
                <w:sz w:val="18"/>
              </w:rPr>
            </w:pPr>
          </w:p>
          <w:p>
            <w:pPr>
              <w:pStyle w:val="TableParagraph"/>
              <w:ind w:left="69" w:right="121" w:firstLine="50"/>
              <w:rPr>
                <w:sz w:val="18"/>
              </w:rPr>
            </w:pPr>
            <w:r>
              <w:rPr>
                <w:sz w:val="18"/>
              </w:rPr>
              <w:t>Evento:</w:t>
            </w:r>
            <w:r>
              <w:rPr>
                <w:spacing w:val="-7"/>
                <w:sz w:val="18"/>
              </w:rPr>
              <w:t> </w:t>
            </w:r>
            <w:r>
              <w:rPr>
                <w:sz w:val="18"/>
              </w:rPr>
              <w:t>No</w:t>
            </w:r>
            <w:r>
              <w:rPr>
                <w:spacing w:val="-8"/>
                <w:sz w:val="18"/>
              </w:rPr>
              <w:t> </w:t>
            </w:r>
            <w:r>
              <w:rPr>
                <w:sz w:val="18"/>
              </w:rPr>
              <w:t>se</w:t>
            </w:r>
            <w:r>
              <w:rPr>
                <w:spacing w:val="-8"/>
                <w:sz w:val="18"/>
              </w:rPr>
              <w:t> </w:t>
            </w:r>
            <w:r>
              <w:rPr>
                <w:sz w:val="18"/>
              </w:rPr>
              <w:t>cuente</w:t>
            </w:r>
            <w:r>
              <w:rPr>
                <w:spacing w:val="-8"/>
                <w:sz w:val="18"/>
              </w:rPr>
              <w:t> </w:t>
            </w:r>
            <w:r>
              <w:rPr>
                <w:sz w:val="18"/>
              </w:rPr>
              <w:t>con</w:t>
            </w:r>
            <w:r>
              <w:rPr>
                <w:spacing w:val="-8"/>
                <w:sz w:val="18"/>
              </w:rPr>
              <w:t> </w:t>
            </w:r>
            <w:r>
              <w:rPr>
                <w:sz w:val="18"/>
              </w:rPr>
              <w:t>el presupuesto necesario para la remodelación en las instancias del DAF, Unidad Contabilidad y Unidad </w:t>
            </w:r>
            <w:r>
              <w:rPr>
                <w:spacing w:val="-2"/>
                <w:sz w:val="18"/>
              </w:rPr>
              <w:t>Presupuesto.</w:t>
            </w:r>
          </w:p>
        </w:tc>
      </w:tr>
      <w:tr>
        <w:trPr>
          <w:trHeight w:val="1862" w:hRule="atLeast"/>
        </w:trPr>
        <w:tc>
          <w:tcPr>
            <w:tcW w:w="2808" w:type="dxa"/>
          </w:tcPr>
          <w:p>
            <w:pPr>
              <w:pStyle w:val="TableParagraph"/>
              <w:rPr>
                <w:b/>
                <w:sz w:val="18"/>
              </w:rPr>
            </w:pPr>
          </w:p>
          <w:p>
            <w:pPr>
              <w:pStyle w:val="TableParagraph"/>
              <w:rPr>
                <w:b/>
                <w:sz w:val="18"/>
              </w:rPr>
            </w:pPr>
          </w:p>
          <w:p>
            <w:pPr>
              <w:pStyle w:val="TableParagraph"/>
              <w:ind w:left="69" w:right="78"/>
              <w:rPr>
                <w:sz w:val="18"/>
              </w:rPr>
            </w:pPr>
            <w:r>
              <w:rPr>
                <w:b/>
                <w:sz w:val="18"/>
              </w:rPr>
              <w:t>Actividad</w:t>
            </w:r>
            <w:r>
              <w:rPr>
                <w:b/>
                <w:spacing w:val="-12"/>
                <w:sz w:val="18"/>
              </w:rPr>
              <w:t> </w:t>
            </w:r>
            <w:r>
              <w:rPr>
                <w:b/>
                <w:sz w:val="18"/>
              </w:rPr>
              <w:t>PAC</w:t>
            </w:r>
            <w:r>
              <w:rPr>
                <w:b/>
                <w:spacing w:val="-10"/>
                <w:sz w:val="18"/>
              </w:rPr>
              <w:t> </w:t>
            </w:r>
            <w:r>
              <w:rPr>
                <w:b/>
                <w:sz w:val="18"/>
              </w:rPr>
              <w:t>2.5.2:</w:t>
            </w:r>
            <w:r>
              <w:rPr>
                <w:b/>
                <w:spacing w:val="-8"/>
                <w:sz w:val="18"/>
              </w:rPr>
              <w:t> </w:t>
            </w:r>
            <w:r>
              <w:rPr>
                <w:sz w:val="18"/>
              </w:rPr>
              <w:t>Fiscalizar la</w:t>
            </w:r>
            <w:r>
              <w:rPr>
                <w:spacing w:val="-9"/>
                <w:sz w:val="18"/>
              </w:rPr>
              <w:t> </w:t>
            </w:r>
            <w:r>
              <w:rPr>
                <w:sz w:val="18"/>
              </w:rPr>
              <w:t>ejecución</w:t>
            </w:r>
            <w:r>
              <w:rPr>
                <w:spacing w:val="-11"/>
                <w:sz w:val="18"/>
              </w:rPr>
              <w:t> </w:t>
            </w:r>
            <w:r>
              <w:rPr>
                <w:sz w:val="18"/>
              </w:rPr>
              <w:t>contractual</w:t>
            </w:r>
            <w:r>
              <w:rPr>
                <w:spacing w:val="-11"/>
                <w:sz w:val="18"/>
              </w:rPr>
              <w:t> </w:t>
            </w:r>
            <w:r>
              <w:rPr>
                <w:sz w:val="18"/>
              </w:rPr>
              <w:t>sobre</w:t>
            </w:r>
            <w:r>
              <w:rPr>
                <w:spacing w:val="-11"/>
                <w:sz w:val="18"/>
              </w:rPr>
              <w:t> </w:t>
            </w:r>
            <w:r>
              <w:rPr>
                <w:sz w:val="18"/>
              </w:rPr>
              <w:t>la remodelación del espacio físico donde se ubica el DAF, Unidad de Presupuesto, Contabilidad.</w:t>
            </w:r>
          </w:p>
        </w:tc>
        <w:tc>
          <w:tcPr>
            <w:tcW w:w="1587"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9"/>
              <w:jc w:val="center"/>
              <w:rPr>
                <w:sz w:val="18"/>
              </w:rPr>
            </w:pPr>
            <w:r>
              <w:rPr>
                <w:spacing w:val="-5"/>
                <w:sz w:val="18"/>
              </w:rPr>
              <w:t>0%</w:t>
            </w:r>
          </w:p>
        </w:tc>
        <w:tc>
          <w:tcPr>
            <w:tcW w:w="1135"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81" w:right="71"/>
              <w:jc w:val="center"/>
              <w:rPr>
                <w:sz w:val="18"/>
              </w:rPr>
            </w:pPr>
            <w:r>
              <w:rPr>
                <w:spacing w:val="-4"/>
                <w:sz w:val="18"/>
              </w:rPr>
              <w:t>100%</w:t>
            </w:r>
          </w:p>
        </w:tc>
        <w:tc>
          <w:tcPr>
            <w:tcW w:w="1841" w:type="dxa"/>
          </w:tcPr>
          <w:p>
            <w:pPr>
              <w:pStyle w:val="TableParagraph"/>
              <w:rPr>
                <w:b/>
                <w:sz w:val="18"/>
              </w:rPr>
            </w:pPr>
          </w:p>
          <w:p>
            <w:pPr>
              <w:pStyle w:val="TableParagraph"/>
              <w:spacing w:before="103"/>
              <w:rPr>
                <w:b/>
                <w:sz w:val="18"/>
              </w:rPr>
            </w:pPr>
          </w:p>
          <w:p>
            <w:pPr>
              <w:pStyle w:val="TableParagraph"/>
              <w:ind w:left="118" w:right="110" w:firstLine="1"/>
              <w:jc w:val="center"/>
              <w:rPr>
                <w:sz w:val="18"/>
              </w:rPr>
            </w:pPr>
            <w:r>
              <w:rPr>
                <w:sz w:val="18"/>
              </w:rPr>
              <w:t>Porcentaje de ejecución</w:t>
            </w:r>
            <w:r>
              <w:rPr>
                <w:spacing w:val="-15"/>
                <w:sz w:val="18"/>
              </w:rPr>
              <w:t> </w:t>
            </w:r>
            <w:r>
              <w:rPr>
                <w:sz w:val="18"/>
              </w:rPr>
              <w:t>del</w:t>
            </w:r>
            <w:r>
              <w:rPr>
                <w:spacing w:val="-12"/>
                <w:sz w:val="18"/>
              </w:rPr>
              <w:t> </w:t>
            </w:r>
            <w:r>
              <w:rPr>
                <w:sz w:val="18"/>
              </w:rPr>
              <w:t>monto adjudicado</w:t>
            </w:r>
            <w:r>
              <w:rPr>
                <w:spacing w:val="-15"/>
                <w:sz w:val="18"/>
              </w:rPr>
              <w:t> </w:t>
            </w:r>
            <w:r>
              <w:rPr>
                <w:sz w:val="18"/>
              </w:rPr>
              <w:t>según</w:t>
            </w:r>
            <w:r>
              <w:rPr>
                <w:spacing w:val="-12"/>
                <w:sz w:val="18"/>
              </w:rPr>
              <w:t> </w:t>
            </w:r>
            <w:r>
              <w:rPr>
                <w:sz w:val="18"/>
              </w:rPr>
              <w:t>la </w:t>
            </w:r>
            <w:r>
              <w:rPr>
                <w:spacing w:val="-2"/>
                <w:sz w:val="18"/>
              </w:rPr>
              <w:t>contratación.</w:t>
            </w:r>
          </w:p>
        </w:tc>
        <w:tc>
          <w:tcPr>
            <w:tcW w:w="1275" w:type="dxa"/>
          </w:tcPr>
          <w:p>
            <w:pPr>
              <w:pStyle w:val="TableParagraph"/>
              <w:ind w:left="125" w:right="117" w:hanging="1"/>
              <w:jc w:val="center"/>
              <w:rPr>
                <w:sz w:val="18"/>
              </w:rPr>
            </w:pPr>
            <w:r>
              <w:rPr>
                <w:spacing w:val="-2"/>
                <w:sz w:val="18"/>
              </w:rPr>
              <w:t>Documentos </w:t>
            </w:r>
            <w:r>
              <w:rPr>
                <w:spacing w:val="-6"/>
                <w:sz w:val="18"/>
              </w:rPr>
              <w:t>de </w:t>
            </w:r>
            <w:r>
              <w:rPr>
                <w:spacing w:val="-2"/>
                <w:sz w:val="18"/>
              </w:rPr>
              <w:t>fiscalización, </w:t>
            </w:r>
            <w:r>
              <w:rPr>
                <w:sz w:val="18"/>
              </w:rPr>
              <w:t>ordenes de servicio de </w:t>
            </w:r>
            <w:r>
              <w:rPr>
                <w:spacing w:val="-2"/>
                <w:sz w:val="18"/>
              </w:rPr>
              <w:t>pago, recepción </w:t>
            </w:r>
            <w:r>
              <w:rPr>
                <w:sz w:val="18"/>
              </w:rPr>
              <w:t>final de la</w:t>
            </w:r>
          </w:p>
          <w:p>
            <w:pPr>
              <w:pStyle w:val="TableParagraph"/>
              <w:spacing w:line="187" w:lineRule="exact"/>
              <w:ind w:left="27" w:right="20"/>
              <w:jc w:val="center"/>
              <w:rPr>
                <w:sz w:val="18"/>
              </w:rPr>
            </w:pPr>
            <w:r>
              <w:rPr>
                <w:spacing w:val="-2"/>
                <w:sz w:val="18"/>
              </w:rPr>
              <w:t>obra.</w:t>
            </w:r>
          </w:p>
        </w:tc>
        <w:tc>
          <w:tcPr>
            <w:tcW w:w="1277"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9"/>
              <w:jc w:val="center"/>
              <w:rPr>
                <w:sz w:val="18"/>
              </w:rPr>
            </w:pPr>
            <w:r>
              <w:rPr>
                <w:spacing w:val="-5"/>
                <w:sz w:val="18"/>
              </w:rPr>
              <w:t>DAF</w:t>
            </w:r>
          </w:p>
        </w:tc>
        <w:tc>
          <w:tcPr>
            <w:tcW w:w="1844"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391"/>
              <w:rPr>
                <w:sz w:val="18"/>
              </w:rPr>
            </w:pPr>
            <w:r>
              <w:rPr>
                <w:sz w:val="18"/>
              </w:rPr>
              <w:t>₡319</w:t>
            </w:r>
            <w:r>
              <w:rPr>
                <w:spacing w:val="-4"/>
                <w:sz w:val="18"/>
              </w:rPr>
              <w:t> </w:t>
            </w:r>
            <w:r>
              <w:rPr>
                <w:sz w:val="18"/>
              </w:rPr>
              <w:t>778</w:t>
            </w:r>
            <w:r>
              <w:rPr>
                <w:spacing w:val="-2"/>
                <w:sz w:val="18"/>
              </w:rPr>
              <w:t> 561,73</w:t>
            </w:r>
          </w:p>
        </w:tc>
        <w:tc>
          <w:tcPr>
            <w:tcW w:w="2552"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36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2"/>
        <w:gridCol w:w="1563"/>
        <w:gridCol w:w="1414"/>
        <w:gridCol w:w="1563"/>
        <w:gridCol w:w="1422"/>
        <w:gridCol w:w="1782"/>
        <w:gridCol w:w="1339"/>
        <w:gridCol w:w="2409"/>
      </w:tblGrid>
      <w:tr>
        <w:trPr>
          <w:trHeight w:val="669" w:hRule="atLeast"/>
        </w:trPr>
        <w:tc>
          <w:tcPr>
            <w:tcW w:w="2832" w:type="dxa"/>
            <w:shd w:val="clear" w:color="auto" w:fill="F1F1F1"/>
          </w:tcPr>
          <w:p>
            <w:pPr>
              <w:pStyle w:val="TableParagraph"/>
              <w:spacing w:before="24"/>
              <w:rPr>
                <w:b/>
                <w:sz w:val="18"/>
              </w:rPr>
            </w:pPr>
          </w:p>
          <w:p>
            <w:pPr>
              <w:pStyle w:val="TableParagraph"/>
              <w:ind w:left="443"/>
              <w:rPr>
                <w:b/>
                <w:sz w:val="18"/>
              </w:rPr>
            </w:pPr>
            <w:r>
              <w:rPr>
                <w:b/>
                <w:sz w:val="18"/>
              </w:rPr>
              <w:t>Objetivos</w:t>
            </w:r>
            <w:r>
              <w:rPr>
                <w:b/>
                <w:spacing w:val="-4"/>
                <w:sz w:val="18"/>
              </w:rPr>
              <w:t> </w:t>
            </w:r>
            <w:r>
              <w:rPr>
                <w:b/>
                <w:sz w:val="18"/>
              </w:rPr>
              <w:t>/</w:t>
            </w:r>
            <w:r>
              <w:rPr>
                <w:b/>
                <w:spacing w:val="-2"/>
                <w:sz w:val="18"/>
              </w:rPr>
              <w:t> Resultados</w:t>
            </w:r>
          </w:p>
        </w:tc>
        <w:tc>
          <w:tcPr>
            <w:tcW w:w="1563" w:type="dxa"/>
            <w:shd w:val="clear" w:color="auto" w:fill="F1F1F1"/>
          </w:tcPr>
          <w:p>
            <w:pPr>
              <w:pStyle w:val="TableParagraph"/>
              <w:spacing w:before="128"/>
              <w:ind w:left="518" w:right="297" w:hanging="216"/>
              <w:rPr>
                <w:b/>
                <w:sz w:val="18"/>
              </w:rPr>
            </w:pPr>
            <w:r>
              <w:rPr>
                <w:b/>
                <w:sz w:val="18"/>
              </w:rPr>
              <w:t>Línea</w:t>
            </w:r>
            <w:r>
              <w:rPr>
                <w:b/>
                <w:spacing w:val="-13"/>
                <w:sz w:val="18"/>
              </w:rPr>
              <w:t> </w:t>
            </w:r>
            <w:r>
              <w:rPr>
                <w:b/>
                <w:sz w:val="18"/>
              </w:rPr>
              <w:t>Base </w:t>
            </w:r>
            <w:r>
              <w:rPr>
                <w:b/>
                <w:spacing w:val="-2"/>
                <w:sz w:val="18"/>
              </w:rPr>
              <w:t>(2025)</w:t>
            </w:r>
          </w:p>
        </w:tc>
        <w:tc>
          <w:tcPr>
            <w:tcW w:w="1414" w:type="dxa"/>
            <w:shd w:val="clear" w:color="auto" w:fill="F1F1F1"/>
          </w:tcPr>
          <w:p>
            <w:pPr>
              <w:pStyle w:val="TableParagraph"/>
              <w:spacing w:before="23"/>
              <w:ind w:left="184" w:right="176" w:hanging="1"/>
              <w:jc w:val="center"/>
              <w:rPr>
                <w:b/>
                <w:sz w:val="18"/>
              </w:rPr>
            </w:pPr>
            <w:r>
              <w:rPr>
                <w:b/>
                <w:spacing w:val="-4"/>
                <w:sz w:val="18"/>
              </w:rPr>
              <w:t>Meta </w:t>
            </w:r>
            <w:r>
              <w:rPr>
                <w:b/>
                <w:spacing w:val="-2"/>
                <w:sz w:val="18"/>
              </w:rPr>
              <w:t>programada </w:t>
            </w:r>
            <w:r>
              <w:rPr>
                <w:b/>
                <w:spacing w:val="-4"/>
                <w:sz w:val="18"/>
              </w:rPr>
              <w:t>2027</w:t>
            </w:r>
          </w:p>
        </w:tc>
        <w:tc>
          <w:tcPr>
            <w:tcW w:w="1563" w:type="dxa"/>
            <w:shd w:val="clear" w:color="auto" w:fill="F1F1F1"/>
          </w:tcPr>
          <w:p>
            <w:pPr>
              <w:pStyle w:val="TableParagraph"/>
              <w:spacing w:before="24"/>
              <w:rPr>
                <w:b/>
                <w:sz w:val="18"/>
              </w:rPr>
            </w:pPr>
          </w:p>
          <w:p>
            <w:pPr>
              <w:pStyle w:val="TableParagraph"/>
              <w:ind w:left="374"/>
              <w:rPr>
                <w:b/>
                <w:sz w:val="18"/>
              </w:rPr>
            </w:pPr>
            <w:r>
              <w:rPr>
                <w:b/>
                <w:spacing w:val="-2"/>
                <w:sz w:val="18"/>
              </w:rPr>
              <w:t>Indicador</w:t>
            </w:r>
          </w:p>
        </w:tc>
        <w:tc>
          <w:tcPr>
            <w:tcW w:w="1422" w:type="dxa"/>
            <w:shd w:val="clear" w:color="auto" w:fill="F1F1F1"/>
          </w:tcPr>
          <w:p>
            <w:pPr>
              <w:pStyle w:val="TableParagraph"/>
              <w:spacing w:before="128"/>
              <w:ind w:left="207" w:right="13" w:firstLine="57"/>
              <w:rPr>
                <w:b/>
                <w:sz w:val="18"/>
              </w:rPr>
            </w:pPr>
            <w:r>
              <w:rPr>
                <w:b/>
                <w:sz w:val="18"/>
              </w:rPr>
              <w:t>Medios de </w:t>
            </w:r>
            <w:r>
              <w:rPr>
                <w:b/>
                <w:spacing w:val="-2"/>
                <w:sz w:val="18"/>
              </w:rPr>
              <w:t>verificación</w:t>
            </w:r>
          </w:p>
        </w:tc>
        <w:tc>
          <w:tcPr>
            <w:tcW w:w="1782" w:type="dxa"/>
            <w:shd w:val="clear" w:color="auto" w:fill="F1F1F1"/>
          </w:tcPr>
          <w:p>
            <w:pPr>
              <w:pStyle w:val="TableParagraph"/>
              <w:spacing w:before="24"/>
              <w:rPr>
                <w:b/>
                <w:sz w:val="18"/>
              </w:rPr>
            </w:pPr>
          </w:p>
          <w:p>
            <w:pPr>
              <w:pStyle w:val="TableParagraph"/>
              <w:ind w:left="327"/>
              <w:rPr>
                <w:b/>
                <w:sz w:val="18"/>
              </w:rPr>
            </w:pPr>
            <w:r>
              <w:rPr>
                <w:b/>
                <w:spacing w:val="-2"/>
                <w:sz w:val="18"/>
              </w:rPr>
              <w:t>Responsable</w:t>
            </w:r>
          </w:p>
        </w:tc>
        <w:tc>
          <w:tcPr>
            <w:tcW w:w="1339" w:type="dxa"/>
            <w:shd w:val="clear" w:color="auto" w:fill="F1F1F1"/>
          </w:tcPr>
          <w:p>
            <w:pPr>
              <w:pStyle w:val="TableParagraph"/>
              <w:spacing w:before="128"/>
              <w:ind w:left="270" w:hanging="152"/>
              <w:rPr>
                <w:b/>
                <w:sz w:val="18"/>
              </w:rPr>
            </w:pPr>
            <w:r>
              <w:rPr>
                <w:b/>
                <w:spacing w:val="-2"/>
                <w:sz w:val="18"/>
              </w:rPr>
              <w:t>Presupuesto asignado</w:t>
            </w:r>
          </w:p>
        </w:tc>
        <w:tc>
          <w:tcPr>
            <w:tcW w:w="2409" w:type="dxa"/>
            <w:shd w:val="clear" w:color="auto" w:fill="F1F1F1"/>
          </w:tcPr>
          <w:p>
            <w:pPr>
              <w:pStyle w:val="TableParagraph"/>
              <w:spacing w:before="24"/>
              <w:rPr>
                <w:b/>
                <w:sz w:val="18"/>
              </w:rPr>
            </w:pPr>
          </w:p>
          <w:p>
            <w:pPr>
              <w:pStyle w:val="TableParagraph"/>
              <w:ind w:left="384"/>
              <w:rPr>
                <w:b/>
                <w:sz w:val="18"/>
              </w:rPr>
            </w:pPr>
            <w:r>
              <w:rPr>
                <w:b/>
                <w:sz w:val="18"/>
              </w:rPr>
              <w:t>Riesgos</w:t>
            </w:r>
            <w:r>
              <w:rPr>
                <w:b/>
                <w:spacing w:val="-4"/>
                <w:sz w:val="18"/>
              </w:rPr>
              <w:t> </w:t>
            </w:r>
            <w:r>
              <w:rPr>
                <w:b/>
                <w:spacing w:val="-2"/>
                <w:sz w:val="18"/>
              </w:rPr>
              <w:t>asociados</w:t>
            </w:r>
          </w:p>
        </w:tc>
      </w:tr>
      <w:tr>
        <w:trPr>
          <w:trHeight w:val="525" w:hRule="atLeast"/>
        </w:trPr>
        <w:tc>
          <w:tcPr>
            <w:tcW w:w="14324" w:type="dxa"/>
            <w:gridSpan w:val="8"/>
            <w:shd w:val="clear" w:color="auto" w:fill="F1F1F1"/>
          </w:tcPr>
          <w:p>
            <w:pPr>
              <w:pStyle w:val="TableParagraph"/>
              <w:spacing w:before="56"/>
              <w:ind w:left="69"/>
              <w:rPr>
                <w:b/>
                <w:sz w:val="18"/>
              </w:rPr>
            </w:pPr>
            <w:r>
              <w:rPr>
                <w:b/>
                <w:sz w:val="18"/>
              </w:rPr>
              <w:t>Efecto:</w:t>
            </w:r>
            <w:r>
              <w:rPr>
                <w:b/>
                <w:spacing w:val="40"/>
                <w:sz w:val="18"/>
              </w:rPr>
              <w:t> </w:t>
            </w:r>
            <w:r>
              <w:rPr>
                <w:b/>
                <w:sz w:val="18"/>
              </w:rPr>
              <w:t>Efectiva</w:t>
            </w:r>
            <w:r>
              <w:rPr>
                <w:b/>
                <w:spacing w:val="-3"/>
                <w:sz w:val="18"/>
              </w:rPr>
              <w:t> </w:t>
            </w:r>
            <w:r>
              <w:rPr>
                <w:b/>
                <w:sz w:val="18"/>
              </w:rPr>
              <w:t>gestión</w:t>
            </w:r>
            <w:r>
              <w:rPr>
                <w:b/>
                <w:spacing w:val="-1"/>
                <w:sz w:val="18"/>
              </w:rPr>
              <w:t> </w:t>
            </w:r>
            <w:r>
              <w:rPr>
                <w:b/>
                <w:sz w:val="18"/>
              </w:rPr>
              <w:t>de</w:t>
            </w:r>
            <w:r>
              <w:rPr>
                <w:b/>
                <w:spacing w:val="-1"/>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609" w:hRule="atLeast"/>
        </w:trPr>
        <w:tc>
          <w:tcPr>
            <w:tcW w:w="14324" w:type="dxa"/>
            <w:gridSpan w:val="8"/>
            <w:shd w:val="clear" w:color="auto" w:fill="DAE9F8"/>
          </w:tcPr>
          <w:p>
            <w:pPr>
              <w:pStyle w:val="TableParagraph"/>
              <w:spacing w:before="200"/>
              <w:ind w:left="69"/>
              <w:rPr>
                <w:b/>
                <w:sz w:val="18"/>
              </w:rPr>
            </w:pPr>
            <w:r>
              <w:rPr>
                <w:b/>
                <w:sz w:val="18"/>
              </w:rPr>
              <w:t>Producto</w:t>
            </w:r>
            <w:r>
              <w:rPr>
                <w:b/>
                <w:spacing w:val="-4"/>
                <w:sz w:val="18"/>
              </w:rPr>
              <w:t> </w:t>
            </w:r>
            <w:r>
              <w:rPr>
                <w:b/>
                <w:sz w:val="18"/>
              </w:rPr>
              <w:t>PAC</w:t>
            </w:r>
            <w:r>
              <w:rPr>
                <w:b/>
                <w:spacing w:val="-3"/>
                <w:sz w:val="18"/>
              </w:rPr>
              <w:t> </w:t>
            </w:r>
            <w:r>
              <w:rPr>
                <w:b/>
                <w:sz w:val="18"/>
              </w:rPr>
              <w:t>2.6:</w:t>
            </w:r>
            <w:r>
              <w:rPr>
                <w:b/>
                <w:spacing w:val="-2"/>
                <w:sz w:val="18"/>
              </w:rPr>
              <w:t> </w:t>
            </w:r>
            <w:r>
              <w:rPr>
                <w:b/>
                <w:sz w:val="18"/>
              </w:rPr>
              <w:t>Gestión</w:t>
            </w:r>
            <w:r>
              <w:rPr>
                <w:b/>
                <w:spacing w:val="-5"/>
                <w:sz w:val="18"/>
              </w:rPr>
              <w:t> </w:t>
            </w:r>
            <w:r>
              <w:rPr>
                <w:b/>
                <w:sz w:val="18"/>
              </w:rPr>
              <w:t>oportuna</w:t>
            </w:r>
            <w:r>
              <w:rPr>
                <w:b/>
                <w:spacing w:val="-2"/>
                <w:sz w:val="18"/>
              </w:rPr>
              <w:t> </w:t>
            </w:r>
            <w:r>
              <w:rPr>
                <w:b/>
                <w:sz w:val="18"/>
              </w:rPr>
              <w:t>de</w:t>
            </w:r>
            <w:r>
              <w:rPr>
                <w:b/>
                <w:spacing w:val="-2"/>
                <w:sz w:val="18"/>
              </w:rPr>
              <w:t> </w:t>
            </w:r>
            <w:r>
              <w:rPr>
                <w:b/>
                <w:sz w:val="18"/>
              </w:rPr>
              <w:t>la</w:t>
            </w:r>
            <w:r>
              <w:rPr>
                <w:b/>
                <w:spacing w:val="-3"/>
                <w:sz w:val="18"/>
              </w:rPr>
              <w:t> </w:t>
            </w:r>
            <w:r>
              <w:rPr>
                <w:b/>
                <w:sz w:val="18"/>
              </w:rPr>
              <w:t>demanda</w:t>
            </w:r>
            <w:r>
              <w:rPr>
                <w:b/>
                <w:spacing w:val="-2"/>
                <w:sz w:val="18"/>
              </w:rPr>
              <w:t> </w:t>
            </w:r>
            <w:r>
              <w:rPr>
                <w:b/>
                <w:sz w:val="18"/>
              </w:rPr>
              <w:t>de</w:t>
            </w:r>
            <w:r>
              <w:rPr>
                <w:b/>
                <w:spacing w:val="-4"/>
                <w:sz w:val="18"/>
              </w:rPr>
              <w:t> </w:t>
            </w:r>
            <w:r>
              <w:rPr>
                <w:b/>
                <w:sz w:val="18"/>
              </w:rPr>
              <w:t>bienes,</w:t>
            </w:r>
            <w:r>
              <w:rPr>
                <w:b/>
                <w:spacing w:val="-2"/>
                <w:sz w:val="18"/>
              </w:rPr>
              <w:t> </w:t>
            </w:r>
            <w:r>
              <w:rPr>
                <w:b/>
                <w:sz w:val="18"/>
              </w:rPr>
              <w:t>obras</w:t>
            </w:r>
            <w:r>
              <w:rPr>
                <w:b/>
                <w:spacing w:val="-3"/>
                <w:sz w:val="18"/>
              </w:rPr>
              <w:t> </w:t>
            </w:r>
            <w:r>
              <w:rPr>
                <w:b/>
                <w:sz w:val="18"/>
              </w:rPr>
              <w:t>y</w:t>
            </w:r>
            <w:r>
              <w:rPr>
                <w:b/>
                <w:spacing w:val="-2"/>
                <w:sz w:val="18"/>
              </w:rPr>
              <w:t> </w:t>
            </w:r>
            <w:r>
              <w:rPr>
                <w:b/>
                <w:sz w:val="18"/>
              </w:rPr>
              <w:t>servicios,</w:t>
            </w:r>
            <w:r>
              <w:rPr>
                <w:b/>
                <w:spacing w:val="-2"/>
                <w:sz w:val="18"/>
              </w:rPr>
              <w:t> </w:t>
            </w:r>
            <w:r>
              <w:rPr>
                <w:b/>
                <w:sz w:val="18"/>
              </w:rPr>
              <w:t>así</w:t>
            </w:r>
            <w:r>
              <w:rPr>
                <w:b/>
                <w:spacing w:val="-2"/>
                <w:sz w:val="18"/>
              </w:rPr>
              <w:t> </w:t>
            </w:r>
            <w:r>
              <w:rPr>
                <w:b/>
                <w:sz w:val="18"/>
              </w:rPr>
              <w:t>como</w:t>
            </w:r>
            <w:r>
              <w:rPr>
                <w:b/>
                <w:spacing w:val="-3"/>
                <w:sz w:val="18"/>
              </w:rPr>
              <w:t> </w:t>
            </w:r>
            <w:r>
              <w:rPr>
                <w:b/>
                <w:sz w:val="18"/>
              </w:rPr>
              <w:t>el</w:t>
            </w:r>
            <w:r>
              <w:rPr>
                <w:b/>
                <w:spacing w:val="-2"/>
                <w:sz w:val="18"/>
              </w:rPr>
              <w:t> </w:t>
            </w:r>
            <w:r>
              <w:rPr>
                <w:b/>
                <w:sz w:val="18"/>
              </w:rPr>
              <w:t>uso</w:t>
            </w:r>
            <w:r>
              <w:rPr>
                <w:b/>
                <w:spacing w:val="-2"/>
                <w:sz w:val="18"/>
              </w:rPr>
              <w:t> </w:t>
            </w:r>
            <w:r>
              <w:rPr>
                <w:b/>
                <w:sz w:val="18"/>
              </w:rPr>
              <w:t>y</w:t>
            </w:r>
            <w:r>
              <w:rPr>
                <w:b/>
                <w:spacing w:val="-3"/>
                <w:sz w:val="18"/>
              </w:rPr>
              <w:t> </w:t>
            </w:r>
            <w:r>
              <w:rPr>
                <w:b/>
                <w:sz w:val="18"/>
              </w:rPr>
              <w:t>custodia</w:t>
            </w:r>
            <w:r>
              <w:rPr>
                <w:b/>
                <w:spacing w:val="-2"/>
                <w:sz w:val="18"/>
              </w:rPr>
              <w:t> </w:t>
            </w:r>
            <w:r>
              <w:rPr>
                <w:b/>
                <w:sz w:val="18"/>
              </w:rPr>
              <w:t>de</w:t>
            </w:r>
            <w:r>
              <w:rPr>
                <w:b/>
                <w:spacing w:val="-4"/>
                <w:sz w:val="18"/>
              </w:rPr>
              <w:t> </w:t>
            </w:r>
            <w:r>
              <w:rPr>
                <w:b/>
                <w:sz w:val="18"/>
              </w:rPr>
              <w:t>bienes</w:t>
            </w:r>
            <w:r>
              <w:rPr>
                <w:b/>
                <w:spacing w:val="-3"/>
                <w:sz w:val="18"/>
              </w:rPr>
              <w:t> </w:t>
            </w:r>
            <w:r>
              <w:rPr>
                <w:b/>
                <w:spacing w:val="-2"/>
                <w:sz w:val="18"/>
              </w:rPr>
              <w:t>institucionales.</w:t>
            </w:r>
          </w:p>
        </w:tc>
      </w:tr>
      <w:tr>
        <w:trPr>
          <w:trHeight w:val="3105" w:hRule="atLeast"/>
        </w:trPr>
        <w:tc>
          <w:tcPr>
            <w:tcW w:w="2832"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69"/>
              <w:rPr>
                <w:sz w:val="18"/>
              </w:rPr>
            </w:pPr>
            <w:r>
              <w:rPr>
                <w:b/>
                <w:sz w:val="18"/>
              </w:rPr>
              <w:t>Actividad PAC 2.6.1: </w:t>
            </w:r>
            <w:r>
              <w:rPr>
                <w:sz w:val="18"/>
              </w:rPr>
              <w:t>Salvaguardar recursos institucionales</w:t>
            </w:r>
            <w:r>
              <w:rPr>
                <w:spacing w:val="-8"/>
                <w:sz w:val="18"/>
              </w:rPr>
              <w:t> </w:t>
            </w:r>
            <w:r>
              <w:rPr>
                <w:sz w:val="18"/>
              </w:rPr>
              <w:t>por</w:t>
            </w:r>
            <w:r>
              <w:rPr>
                <w:spacing w:val="-9"/>
                <w:sz w:val="18"/>
              </w:rPr>
              <w:t> </w:t>
            </w:r>
            <w:r>
              <w:rPr>
                <w:sz w:val="18"/>
              </w:rPr>
              <w:t>medio</w:t>
            </w:r>
            <w:r>
              <w:rPr>
                <w:spacing w:val="-11"/>
                <w:sz w:val="18"/>
              </w:rPr>
              <w:t> </w:t>
            </w:r>
            <w:r>
              <w:rPr>
                <w:sz w:val="18"/>
              </w:rPr>
              <w:t>de</w:t>
            </w:r>
            <w:r>
              <w:rPr>
                <w:spacing w:val="-11"/>
                <w:sz w:val="18"/>
              </w:rPr>
              <w:t> </w:t>
            </w:r>
            <w:r>
              <w:rPr>
                <w:sz w:val="18"/>
              </w:rPr>
              <w:t>la gestión del proceso de aseguramiento del recurso humano y de los activos fijos </w:t>
            </w:r>
            <w:r>
              <w:rPr>
                <w:spacing w:val="-2"/>
                <w:sz w:val="18"/>
              </w:rPr>
              <w:t>institucionales.</w:t>
            </w:r>
          </w:p>
        </w:tc>
        <w:tc>
          <w:tcPr>
            <w:tcW w:w="156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9"/>
              <w:jc w:val="center"/>
              <w:rPr>
                <w:sz w:val="18"/>
              </w:rPr>
            </w:pPr>
            <w:r>
              <w:rPr>
                <w:spacing w:val="-4"/>
                <w:sz w:val="18"/>
              </w:rPr>
              <w:t>100%</w:t>
            </w:r>
          </w:p>
        </w:tc>
        <w:tc>
          <w:tcPr>
            <w:tcW w:w="141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9"/>
              <w:jc w:val="center"/>
              <w:rPr>
                <w:sz w:val="18"/>
              </w:rPr>
            </w:pPr>
            <w:r>
              <w:rPr>
                <w:spacing w:val="-4"/>
                <w:sz w:val="18"/>
              </w:rPr>
              <w:t>100%</w:t>
            </w:r>
          </w:p>
        </w:tc>
        <w:tc>
          <w:tcPr>
            <w:tcW w:w="156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69" w:right="366"/>
              <w:rPr>
                <w:sz w:val="18"/>
              </w:rPr>
            </w:pPr>
            <w:r>
              <w:rPr>
                <w:sz w:val="18"/>
              </w:rPr>
              <w:t>Porcentaje</w:t>
            </w:r>
            <w:r>
              <w:rPr>
                <w:spacing w:val="-13"/>
                <w:sz w:val="18"/>
              </w:rPr>
              <w:t> </w:t>
            </w:r>
            <w:r>
              <w:rPr>
                <w:sz w:val="18"/>
              </w:rPr>
              <w:t>de </w:t>
            </w:r>
            <w:r>
              <w:rPr>
                <w:spacing w:val="-2"/>
                <w:sz w:val="18"/>
              </w:rPr>
              <w:t>activos asegurados</w:t>
            </w:r>
          </w:p>
        </w:tc>
        <w:tc>
          <w:tcPr>
            <w:tcW w:w="1422" w:type="dxa"/>
          </w:tcPr>
          <w:p>
            <w:pPr>
              <w:pStyle w:val="TableParagraph"/>
              <w:ind w:left="68" w:right="13"/>
              <w:rPr>
                <w:sz w:val="18"/>
              </w:rPr>
            </w:pPr>
            <w:r>
              <w:rPr>
                <w:sz w:val="18"/>
              </w:rPr>
              <w:t>1. Informes de </w:t>
            </w:r>
            <w:r>
              <w:rPr>
                <w:spacing w:val="-2"/>
                <w:sz w:val="18"/>
              </w:rPr>
              <w:t>aseguramiento. </w:t>
            </w:r>
            <w:r>
              <w:rPr>
                <w:spacing w:val="-6"/>
                <w:sz w:val="18"/>
              </w:rPr>
              <w:t>2.</w:t>
            </w:r>
          </w:p>
          <w:p>
            <w:pPr>
              <w:pStyle w:val="TableParagraph"/>
              <w:ind w:left="68" w:right="160"/>
              <w:jc w:val="both"/>
              <w:rPr>
                <w:sz w:val="18"/>
              </w:rPr>
            </w:pPr>
            <w:r>
              <w:rPr>
                <w:spacing w:val="-2"/>
                <w:sz w:val="18"/>
              </w:rPr>
              <w:t>Comprobantes </w:t>
            </w:r>
            <w:r>
              <w:rPr>
                <w:sz w:val="18"/>
              </w:rPr>
              <w:t>de</w:t>
            </w:r>
            <w:r>
              <w:rPr>
                <w:spacing w:val="-13"/>
                <w:sz w:val="18"/>
              </w:rPr>
              <w:t> </w:t>
            </w:r>
            <w:r>
              <w:rPr>
                <w:sz w:val="18"/>
              </w:rPr>
              <w:t>pago</w:t>
            </w:r>
            <w:r>
              <w:rPr>
                <w:spacing w:val="-12"/>
                <w:sz w:val="18"/>
              </w:rPr>
              <w:t> </w:t>
            </w:r>
            <w:r>
              <w:rPr>
                <w:sz w:val="18"/>
              </w:rPr>
              <w:t>de</w:t>
            </w:r>
            <w:r>
              <w:rPr>
                <w:spacing w:val="-13"/>
                <w:sz w:val="18"/>
              </w:rPr>
              <w:t> </w:t>
            </w:r>
            <w:r>
              <w:rPr>
                <w:sz w:val="18"/>
              </w:rPr>
              <w:t>las </w:t>
            </w:r>
            <w:r>
              <w:rPr>
                <w:spacing w:val="-2"/>
                <w:sz w:val="18"/>
              </w:rPr>
              <w:t>pólizas.</w:t>
            </w:r>
          </w:p>
          <w:p>
            <w:pPr>
              <w:pStyle w:val="TableParagraph"/>
              <w:spacing w:before="1"/>
              <w:ind w:left="68" w:right="266"/>
              <w:rPr>
                <w:sz w:val="18"/>
              </w:rPr>
            </w:pPr>
            <w:r>
              <w:rPr>
                <w:sz w:val="18"/>
              </w:rPr>
              <w:t>3. Detalle de los pagos realizados</w:t>
            </w:r>
            <w:r>
              <w:rPr>
                <w:spacing w:val="-13"/>
                <w:sz w:val="18"/>
              </w:rPr>
              <w:t> </w:t>
            </w:r>
            <w:r>
              <w:rPr>
                <w:sz w:val="18"/>
              </w:rPr>
              <w:t>de primas de </w:t>
            </w:r>
            <w:r>
              <w:rPr>
                <w:spacing w:val="-2"/>
                <w:sz w:val="18"/>
              </w:rPr>
              <w:t>pólizas</w:t>
            </w:r>
          </w:p>
          <w:p>
            <w:pPr>
              <w:pStyle w:val="TableParagraph"/>
              <w:ind w:left="68" w:right="308"/>
              <w:jc w:val="both"/>
              <w:rPr>
                <w:sz w:val="18"/>
              </w:rPr>
            </w:pPr>
            <w:r>
              <w:rPr>
                <w:sz w:val="18"/>
              </w:rPr>
              <w:t>4.</w:t>
            </w:r>
            <w:r>
              <w:rPr>
                <w:spacing w:val="-15"/>
                <w:sz w:val="18"/>
              </w:rPr>
              <w:t> </w:t>
            </w:r>
            <w:r>
              <w:rPr>
                <w:sz w:val="18"/>
              </w:rPr>
              <w:t>Listado</w:t>
            </w:r>
            <w:r>
              <w:rPr>
                <w:spacing w:val="-12"/>
                <w:sz w:val="18"/>
              </w:rPr>
              <w:t> </w:t>
            </w:r>
            <w:r>
              <w:rPr>
                <w:sz w:val="18"/>
              </w:rPr>
              <w:t>de contratos de </w:t>
            </w:r>
            <w:r>
              <w:rPr>
                <w:spacing w:val="-2"/>
                <w:sz w:val="18"/>
              </w:rPr>
              <w:t>pólizas</w:t>
            </w:r>
          </w:p>
          <w:p>
            <w:pPr>
              <w:pStyle w:val="TableParagraph"/>
              <w:spacing w:line="187" w:lineRule="exact"/>
              <w:ind w:left="68"/>
              <w:rPr>
                <w:sz w:val="18"/>
              </w:rPr>
            </w:pPr>
            <w:r>
              <w:rPr>
                <w:spacing w:val="-2"/>
                <w:sz w:val="18"/>
              </w:rPr>
              <w:t>suscritas.</w:t>
            </w:r>
          </w:p>
        </w:tc>
        <w:tc>
          <w:tcPr>
            <w:tcW w:w="17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67"/>
              <w:rPr>
                <w:sz w:val="18"/>
              </w:rPr>
            </w:pPr>
            <w:r>
              <w:rPr>
                <w:spacing w:val="-2"/>
                <w:sz w:val="18"/>
              </w:rPr>
              <w:t>Proveeduría Institucional</w:t>
            </w:r>
          </w:p>
        </w:tc>
        <w:tc>
          <w:tcPr>
            <w:tcW w:w="133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82" w:right="11"/>
              <w:jc w:val="center"/>
              <w:rPr>
                <w:sz w:val="18"/>
              </w:rPr>
            </w:pPr>
            <w:r>
              <w:rPr>
                <w:sz w:val="18"/>
              </w:rPr>
              <w:t>₡246</w:t>
            </w:r>
            <w:r>
              <w:rPr>
                <w:spacing w:val="-3"/>
                <w:sz w:val="18"/>
              </w:rPr>
              <w:t> </w:t>
            </w:r>
            <w:r>
              <w:rPr>
                <w:sz w:val="18"/>
              </w:rPr>
              <w:t>794 </w:t>
            </w:r>
            <w:r>
              <w:rPr>
                <w:spacing w:val="-5"/>
                <w:sz w:val="18"/>
              </w:rPr>
              <w:t>000</w:t>
            </w:r>
          </w:p>
        </w:tc>
        <w:tc>
          <w:tcPr>
            <w:tcW w:w="240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65" w:right="122"/>
              <w:rPr>
                <w:sz w:val="18"/>
              </w:rPr>
            </w:pPr>
            <w:r>
              <w:rPr>
                <w:sz w:val="18"/>
              </w:rPr>
              <w:t>No</w:t>
            </w:r>
            <w:r>
              <w:rPr>
                <w:spacing w:val="-13"/>
                <w:sz w:val="18"/>
              </w:rPr>
              <w:t> </w:t>
            </w:r>
            <w:r>
              <w:rPr>
                <w:sz w:val="18"/>
              </w:rPr>
              <w:t>tener</w:t>
            </w:r>
            <w:r>
              <w:rPr>
                <w:spacing w:val="-12"/>
                <w:sz w:val="18"/>
              </w:rPr>
              <w:t> </w:t>
            </w:r>
            <w:r>
              <w:rPr>
                <w:sz w:val="18"/>
              </w:rPr>
              <w:t>reportados</w:t>
            </w:r>
            <w:r>
              <w:rPr>
                <w:spacing w:val="-13"/>
                <w:sz w:val="18"/>
              </w:rPr>
              <w:t> </w:t>
            </w:r>
            <w:r>
              <w:rPr>
                <w:sz w:val="18"/>
              </w:rPr>
              <w:t>dentro de las pólizas los bienes o recursos humano ante cualquier eventualidad</w:t>
            </w:r>
          </w:p>
        </w:tc>
      </w:tr>
      <w:tr>
        <w:trPr>
          <w:trHeight w:val="2356" w:hRule="atLeast"/>
        </w:trPr>
        <w:tc>
          <w:tcPr>
            <w:tcW w:w="2832" w:type="dxa"/>
          </w:tcPr>
          <w:p>
            <w:pPr>
              <w:pStyle w:val="TableParagraph"/>
              <w:spacing w:before="143"/>
              <w:ind w:left="69" w:right="77"/>
              <w:rPr>
                <w:sz w:val="18"/>
              </w:rPr>
            </w:pPr>
            <w:r>
              <w:rPr>
                <w:b/>
                <w:sz w:val="18"/>
              </w:rPr>
              <w:t>Actividad PAC 2.6.2: </w:t>
            </w:r>
            <w:r>
              <w:rPr>
                <w:sz w:val="18"/>
              </w:rPr>
              <w:t>Gestionar las solicitudes de contratación pública cargadas por las unidades administrativas en los sistemas</w:t>
            </w:r>
            <w:r>
              <w:rPr>
                <w:spacing w:val="-12"/>
                <w:sz w:val="18"/>
              </w:rPr>
              <w:t> </w:t>
            </w:r>
            <w:r>
              <w:rPr>
                <w:sz w:val="18"/>
              </w:rPr>
              <w:t>SAP-SICOP,</w:t>
            </w:r>
            <w:r>
              <w:rPr>
                <w:spacing w:val="-13"/>
                <w:sz w:val="18"/>
              </w:rPr>
              <w:t> </w:t>
            </w:r>
            <w:r>
              <w:rPr>
                <w:sz w:val="18"/>
              </w:rPr>
              <w:t>del</w:t>
            </w:r>
            <w:r>
              <w:rPr>
                <w:spacing w:val="-12"/>
                <w:sz w:val="18"/>
              </w:rPr>
              <w:t> </w:t>
            </w:r>
            <w:r>
              <w:rPr>
                <w:sz w:val="18"/>
              </w:rPr>
              <w:t>equipo y mobiliario incluido en la partida presupuestaria 5.01.04, hasta etapa la de notificación de contrato o declaratoria de infructuosidad o desierta</w:t>
            </w:r>
          </w:p>
        </w:tc>
        <w:tc>
          <w:tcPr>
            <w:tcW w:w="156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9"/>
              <w:rPr>
                <w:b/>
                <w:sz w:val="18"/>
              </w:rPr>
            </w:pPr>
          </w:p>
          <w:p>
            <w:pPr>
              <w:pStyle w:val="TableParagraph"/>
              <w:ind w:left="9" w:right="4"/>
              <w:jc w:val="center"/>
              <w:rPr>
                <w:sz w:val="18"/>
              </w:rPr>
            </w:pPr>
            <w:r>
              <w:rPr>
                <w:spacing w:val="-5"/>
                <w:sz w:val="18"/>
              </w:rPr>
              <w:t>N/A</w:t>
            </w:r>
          </w:p>
        </w:tc>
        <w:tc>
          <w:tcPr>
            <w:tcW w:w="141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9"/>
              <w:rPr>
                <w:b/>
                <w:sz w:val="18"/>
              </w:rPr>
            </w:pPr>
          </w:p>
          <w:p>
            <w:pPr>
              <w:pStyle w:val="TableParagraph"/>
              <w:ind w:left="9"/>
              <w:jc w:val="center"/>
              <w:rPr>
                <w:sz w:val="18"/>
              </w:rPr>
            </w:pPr>
            <w:r>
              <w:rPr>
                <w:spacing w:val="-4"/>
                <w:sz w:val="18"/>
              </w:rPr>
              <w:t>100%</w:t>
            </w:r>
          </w:p>
        </w:tc>
        <w:tc>
          <w:tcPr>
            <w:tcW w:w="1563" w:type="dxa"/>
          </w:tcPr>
          <w:p>
            <w:pPr>
              <w:pStyle w:val="TableParagraph"/>
              <w:rPr>
                <w:b/>
                <w:sz w:val="18"/>
              </w:rPr>
            </w:pPr>
          </w:p>
          <w:p>
            <w:pPr>
              <w:pStyle w:val="TableParagraph"/>
              <w:spacing w:before="142"/>
              <w:rPr>
                <w:b/>
                <w:sz w:val="18"/>
              </w:rPr>
            </w:pPr>
          </w:p>
          <w:p>
            <w:pPr>
              <w:pStyle w:val="TableParagraph"/>
              <w:ind w:left="69" w:right="96"/>
              <w:rPr>
                <w:sz w:val="18"/>
              </w:rPr>
            </w:pPr>
            <w:r>
              <w:rPr>
                <w:sz w:val="18"/>
              </w:rPr>
              <w:t>Porcentaje de </w:t>
            </w:r>
            <w:r>
              <w:rPr>
                <w:spacing w:val="-2"/>
                <w:sz w:val="18"/>
              </w:rPr>
              <w:t>solicitudes </w:t>
            </w:r>
            <w:r>
              <w:rPr>
                <w:sz w:val="18"/>
              </w:rPr>
              <w:t>asignadas para realizar el procedimiento</w:t>
            </w:r>
            <w:r>
              <w:rPr>
                <w:spacing w:val="-13"/>
                <w:sz w:val="18"/>
              </w:rPr>
              <w:t> </w:t>
            </w:r>
            <w:r>
              <w:rPr>
                <w:sz w:val="18"/>
              </w:rPr>
              <w:t>de </w:t>
            </w:r>
            <w:r>
              <w:rPr>
                <w:spacing w:val="-2"/>
                <w:sz w:val="18"/>
              </w:rPr>
              <w:t>adquisición.</w:t>
            </w:r>
          </w:p>
        </w:tc>
        <w:tc>
          <w:tcPr>
            <w:tcW w:w="1422" w:type="dxa"/>
          </w:tcPr>
          <w:p>
            <w:pPr>
              <w:pStyle w:val="TableParagraph"/>
              <w:rPr>
                <w:b/>
                <w:sz w:val="18"/>
              </w:rPr>
            </w:pPr>
          </w:p>
          <w:p>
            <w:pPr>
              <w:pStyle w:val="TableParagraph"/>
              <w:rPr>
                <w:b/>
                <w:sz w:val="18"/>
              </w:rPr>
            </w:pPr>
          </w:p>
          <w:p>
            <w:pPr>
              <w:pStyle w:val="TableParagraph"/>
              <w:rPr>
                <w:b/>
                <w:sz w:val="18"/>
              </w:rPr>
            </w:pPr>
          </w:p>
          <w:p>
            <w:pPr>
              <w:pStyle w:val="TableParagraph"/>
              <w:spacing w:before="37"/>
              <w:rPr>
                <w:b/>
                <w:sz w:val="18"/>
              </w:rPr>
            </w:pPr>
          </w:p>
          <w:p>
            <w:pPr>
              <w:pStyle w:val="TableParagraph"/>
              <w:numPr>
                <w:ilvl w:val="0"/>
                <w:numId w:val="36"/>
              </w:numPr>
              <w:tabs>
                <w:tab w:pos="268" w:val="left" w:leader="none"/>
              </w:tabs>
              <w:spacing w:line="240" w:lineRule="auto" w:before="1" w:after="0"/>
              <w:ind w:left="268" w:right="0" w:hanging="200"/>
              <w:jc w:val="left"/>
              <w:rPr>
                <w:sz w:val="18"/>
              </w:rPr>
            </w:pPr>
            <w:r>
              <w:rPr>
                <w:sz w:val="18"/>
              </w:rPr>
              <w:t>Reporte</w:t>
            </w:r>
            <w:r>
              <w:rPr>
                <w:spacing w:val="-4"/>
                <w:sz w:val="18"/>
              </w:rPr>
              <w:t> </w:t>
            </w:r>
            <w:r>
              <w:rPr>
                <w:spacing w:val="-5"/>
                <w:sz w:val="18"/>
              </w:rPr>
              <w:t>SAP</w:t>
            </w:r>
          </w:p>
          <w:p>
            <w:pPr>
              <w:pStyle w:val="TableParagraph"/>
              <w:numPr>
                <w:ilvl w:val="0"/>
                <w:numId w:val="36"/>
              </w:numPr>
              <w:tabs>
                <w:tab w:pos="268" w:val="left" w:leader="none"/>
              </w:tabs>
              <w:spacing w:line="240" w:lineRule="auto" w:before="1" w:after="0"/>
              <w:ind w:left="68" w:right="500" w:firstLine="0"/>
              <w:jc w:val="left"/>
              <w:rPr>
                <w:sz w:val="18"/>
              </w:rPr>
            </w:pPr>
            <w:r>
              <w:rPr>
                <w:spacing w:val="-2"/>
                <w:sz w:val="18"/>
              </w:rPr>
              <w:t>Reporte SICOP</w:t>
            </w:r>
          </w:p>
        </w:tc>
        <w:tc>
          <w:tcPr>
            <w:tcW w:w="1782" w:type="dxa"/>
          </w:tcPr>
          <w:p>
            <w:pPr>
              <w:pStyle w:val="TableParagraph"/>
              <w:rPr>
                <w:b/>
                <w:sz w:val="18"/>
              </w:rPr>
            </w:pPr>
          </w:p>
          <w:p>
            <w:pPr>
              <w:pStyle w:val="TableParagraph"/>
              <w:rPr>
                <w:b/>
                <w:sz w:val="18"/>
              </w:rPr>
            </w:pPr>
          </w:p>
          <w:p>
            <w:pPr>
              <w:pStyle w:val="TableParagraph"/>
              <w:rPr>
                <w:b/>
                <w:sz w:val="18"/>
              </w:rPr>
            </w:pPr>
          </w:p>
          <w:p>
            <w:pPr>
              <w:pStyle w:val="TableParagraph"/>
              <w:spacing w:before="143"/>
              <w:rPr>
                <w:b/>
                <w:sz w:val="18"/>
              </w:rPr>
            </w:pPr>
          </w:p>
          <w:p>
            <w:pPr>
              <w:pStyle w:val="TableParagraph"/>
              <w:ind w:left="67"/>
              <w:rPr>
                <w:sz w:val="18"/>
              </w:rPr>
            </w:pPr>
            <w:r>
              <w:rPr>
                <w:spacing w:val="-2"/>
                <w:sz w:val="18"/>
              </w:rPr>
              <w:t>Proveeduría Institucional</w:t>
            </w:r>
          </w:p>
        </w:tc>
        <w:tc>
          <w:tcPr>
            <w:tcW w:w="133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9"/>
              <w:rPr>
                <w:b/>
                <w:sz w:val="18"/>
              </w:rPr>
            </w:pPr>
          </w:p>
          <w:p>
            <w:pPr>
              <w:pStyle w:val="TableParagraph"/>
              <w:ind w:right="11"/>
              <w:jc w:val="center"/>
              <w:rPr>
                <w:sz w:val="18"/>
              </w:rPr>
            </w:pPr>
            <w:r>
              <w:rPr>
                <w:sz w:val="18"/>
              </w:rPr>
              <w:t>₡</w:t>
            </w:r>
            <w:r>
              <w:rPr>
                <w:spacing w:val="-1"/>
                <w:sz w:val="18"/>
              </w:rPr>
              <w:t> </w:t>
            </w:r>
            <w:r>
              <w:rPr>
                <w:sz w:val="18"/>
              </w:rPr>
              <w:t>203 884 </w:t>
            </w:r>
            <w:r>
              <w:rPr>
                <w:spacing w:val="-5"/>
                <w:sz w:val="18"/>
              </w:rPr>
              <w:t>233</w:t>
            </w:r>
          </w:p>
        </w:tc>
        <w:tc>
          <w:tcPr>
            <w:tcW w:w="2409" w:type="dxa"/>
          </w:tcPr>
          <w:p>
            <w:pPr>
              <w:pStyle w:val="TableParagraph"/>
              <w:spacing w:before="37"/>
              <w:ind w:left="65" w:right="122"/>
              <w:rPr>
                <w:sz w:val="18"/>
              </w:rPr>
            </w:pPr>
            <w:r>
              <w:rPr>
                <w:sz w:val="18"/>
              </w:rPr>
              <w:t>Las solicitudes de contratación de bienes obras y servicios remitidas al Departamento de Proveeduría no cumplan con los requisitos previos establecidos en la normativa aplicable ni con los elementos requeridos para la decisión inicial, conforme</w:t>
            </w:r>
            <w:r>
              <w:rPr>
                <w:spacing w:val="-11"/>
                <w:sz w:val="18"/>
              </w:rPr>
              <w:t> </w:t>
            </w:r>
            <w:r>
              <w:rPr>
                <w:sz w:val="18"/>
              </w:rPr>
              <w:t>a</w:t>
            </w:r>
            <w:r>
              <w:rPr>
                <w:spacing w:val="-9"/>
                <w:sz w:val="18"/>
              </w:rPr>
              <w:t> </w:t>
            </w:r>
            <w:r>
              <w:rPr>
                <w:sz w:val="18"/>
              </w:rPr>
              <w:t>los</w:t>
            </w:r>
            <w:r>
              <w:rPr>
                <w:spacing w:val="-10"/>
                <w:sz w:val="18"/>
              </w:rPr>
              <w:t> </w:t>
            </w:r>
            <w:r>
              <w:rPr>
                <w:sz w:val="18"/>
              </w:rPr>
              <w:t>artículos</w:t>
            </w:r>
            <w:r>
              <w:rPr>
                <w:spacing w:val="-8"/>
                <w:sz w:val="18"/>
              </w:rPr>
              <w:t> </w:t>
            </w:r>
            <w:r>
              <w:rPr>
                <w:sz w:val="18"/>
              </w:rPr>
              <w:t>86</w:t>
            </w:r>
          </w:p>
        </w:tc>
      </w:tr>
    </w:tbl>
    <w:p>
      <w:pPr>
        <w:pStyle w:val="TableParagraph"/>
        <w:spacing w:after="0"/>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2"/>
        <w:gridCol w:w="1563"/>
        <w:gridCol w:w="1414"/>
        <w:gridCol w:w="1563"/>
        <w:gridCol w:w="1422"/>
        <w:gridCol w:w="1782"/>
        <w:gridCol w:w="1339"/>
        <w:gridCol w:w="2409"/>
      </w:tblGrid>
      <w:tr>
        <w:trPr>
          <w:trHeight w:val="2219" w:hRule="atLeast"/>
        </w:trPr>
        <w:tc>
          <w:tcPr>
            <w:tcW w:w="2832" w:type="dxa"/>
          </w:tcPr>
          <w:p>
            <w:pPr>
              <w:pStyle w:val="TableParagraph"/>
              <w:spacing w:before="73"/>
              <w:ind w:left="69" w:right="77"/>
              <w:rPr>
                <w:sz w:val="18"/>
              </w:rPr>
            </w:pPr>
            <w:r>
              <w:rPr>
                <w:b/>
                <w:sz w:val="18"/>
              </w:rPr>
              <w:t>Actividad PAC 2.6.3: </w:t>
            </w:r>
            <w:r>
              <w:rPr>
                <w:sz w:val="18"/>
              </w:rPr>
              <w:t>Gestionar las solicitudes de contratación público cargadas por las unidades administrativas en los sistemas</w:t>
            </w:r>
            <w:r>
              <w:rPr>
                <w:spacing w:val="-12"/>
                <w:sz w:val="18"/>
              </w:rPr>
              <w:t> </w:t>
            </w:r>
            <w:r>
              <w:rPr>
                <w:sz w:val="18"/>
              </w:rPr>
              <w:t>SAP-SICOP,</w:t>
            </w:r>
            <w:r>
              <w:rPr>
                <w:spacing w:val="-13"/>
                <w:sz w:val="18"/>
              </w:rPr>
              <w:t> </w:t>
            </w:r>
            <w:r>
              <w:rPr>
                <w:sz w:val="18"/>
              </w:rPr>
              <w:t>del</w:t>
            </w:r>
            <w:r>
              <w:rPr>
                <w:spacing w:val="-12"/>
                <w:sz w:val="18"/>
              </w:rPr>
              <w:t> </w:t>
            </w:r>
            <w:r>
              <w:rPr>
                <w:sz w:val="18"/>
              </w:rPr>
              <w:t>equipo y mobiliario incluido en la partida presupuestaria 5.01.99, hasta la etapa de notificación de contrato o</w:t>
            </w:r>
            <w:r>
              <w:rPr>
                <w:spacing w:val="-7"/>
                <w:sz w:val="18"/>
              </w:rPr>
              <w:t> </w:t>
            </w:r>
            <w:r>
              <w:rPr>
                <w:sz w:val="18"/>
              </w:rPr>
              <w:t>declaratoria</w:t>
            </w:r>
            <w:r>
              <w:rPr>
                <w:spacing w:val="-7"/>
                <w:sz w:val="18"/>
              </w:rPr>
              <w:t> </w:t>
            </w:r>
            <w:r>
              <w:rPr>
                <w:sz w:val="18"/>
              </w:rPr>
              <w:t>de</w:t>
            </w:r>
            <w:r>
              <w:rPr>
                <w:spacing w:val="-8"/>
                <w:sz w:val="18"/>
              </w:rPr>
              <w:t> </w:t>
            </w:r>
            <w:r>
              <w:rPr>
                <w:sz w:val="18"/>
              </w:rPr>
              <w:t>infructuosidad</w:t>
            </w:r>
            <w:r>
              <w:rPr>
                <w:spacing w:val="-7"/>
                <w:sz w:val="18"/>
              </w:rPr>
              <w:t> </w:t>
            </w:r>
            <w:r>
              <w:rPr>
                <w:sz w:val="18"/>
              </w:rPr>
              <w:t>o </w:t>
            </w:r>
            <w:r>
              <w:rPr>
                <w:spacing w:val="-2"/>
                <w:sz w:val="18"/>
              </w:rPr>
              <w:t>desierta</w:t>
            </w:r>
          </w:p>
        </w:tc>
        <w:tc>
          <w:tcPr>
            <w:tcW w:w="1563" w:type="dxa"/>
          </w:tcPr>
          <w:p>
            <w:pPr>
              <w:pStyle w:val="TableParagraph"/>
              <w:rPr>
                <w:b/>
                <w:sz w:val="18"/>
              </w:rPr>
            </w:pPr>
          </w:p>
          <w:p>
            <w:pPr>
              <w:pStyle w:val="TableParagraph"/>
              <w:rPr>
                <w:b/>
                <w:sz w:val="18"/>
              </w:rPr>
            </w:pPr>
          </w:p>
          <w:p>
            <w:pPr>
              <w:pStyle w:val="TableParagraph"/>
              <w:rPr>
                <w:b/>
                <w:sz w:val="18"/>
              </w:rPr>
            </w:pPr>
          </w:p>
          <w:p>
            <w:pPr>
              <w:pStyle w:val="TableParagraph"/>
              <w:spacing w:before="179"/>
              <w:rPr>
                <w:b/>
                <w:sz w:val="18"/>
              </w:rPr>
            </w:pPr>
          </w:p>
          <w:p>
            <w:pPr>
              <w:pStyle w:val="TableParagraph"/>
              <w:ind w:left="9" w:right="4"/>
              <w:jc w:val="center"/>
              <w:rPr>
                <w:sz w:val="18"/>
              </w:rPr>
            </w:pPr>
            <w:r>
              <w:rPr>
                <w:spacing w:val="-5"/>
                <w:sz w:val="18"/>
              </w:rPr>
              <w:t>N/A</w:t>
            </w:r>
          </w:p>
        </w:tc>
        <w:tc>
          <w:tcPr>
            <w:tcW w:w="1414" w:type="dxa"/>
          </w:tcPr>
          <w:p>
            <w:pPr>
              <w:pStyle w:val="TableParagraph"/>
              <w:rPr>
                <w:b/>
                <w:sz w:val="18"/>
              </w:rPr>
            </w:pPr>
          </w:p>
          <w:p>
            <w:pPr>
              <w:pStyle w:val="TableParagraph"/>
              <w:rPr>
                <w:b/>
                <w:sz w:val="18"/>
              </w:rPr>
            </w:pPr>
          </w:p>
          <w:p>
            <w:pPr>
              <w:pStyle w:val="TableParagraph"/>
              <w:rPr>
                <w:b/>
                <w:sz w:val="18"/>
              </w:rPr>
            </w:pPr>
          </w:p>
          <w:p>
            <w:pPr>
              <w:pStyle w:val="TableParagraph"/>
              <w:spacing w:before="179"/>
              <w:rPr>
                <w:b/>
                <w:sz w:val="18"/>
              </w:rPr>
            </w:pPr>
          </w:p>
          <w:p>
            <w:pPr>
              <w:pStyle w:val="TableParagraph"/>
              <w:ind w:left="475"/>
              <w:rPr>
                <w:sz w:val="18"/>
              </w:rPr>
            </w:pPr>
            <w:r>
              <w:rPr>
                <w:spacing w:val="-4"/>
                <w:sz w:val="18"/>
              </w:rPr>
              <w:t>100%</w:t>
            </w:r>
          </w:p>
        </w:tc>
        <w:tc>
          <w:tcPr>
            <w:tcW w:w="1563" w:type="dxa"/>
          </w:tcPr>
          <w:p>
            <w:pPr>
              <w:pStyle w:val="TableParagraph"/>
              <w:rPr>
                <w:b/>
                <w:sz w:val="18"/>
              </w:rPr>
            </w:pPr>
          </w:p>
          <w:p>
            <w:pPr>
              <w:pStyle w:val="TableParagraph"/>
              <w:spacing w:before="74"/>
              <w:rPr>
                <w:b/>
                <w:sz w:val="18"/>
              </w:rPr>
            </w:pPr>
          </w:p>
          <w:p>
            <w:pPr>
              <w:pStyle w:val="TableParagraph"/>
              <w:ind w:left="69" w:right="96"/>
              <w:rPr>
                <w:sz w:val="18"/>
              </w:rPr>
            </w:pPr>
            <w:r>
              <w:rPr>
                <w:sz w:val="18"/>
              </w:rPr>
              <w:t>Porcentaje de </w:t>
            </w:r>
            <w:r>
              <w:rPr>
                <w:spacing w:val="-2"/>
                <w:sz w:val="18"/>
              </w:rPr>
              <w:t>solicitudes </w:t>
            </w:r>
            <w:r>
              <w:rPr>
                <w:sz w:val="18"/>
              </w:rPr>
              <w:t>asignadas para realizar el procedimiento</w:t>
            </w:r>
            <w:r>
              <w:rPr>
                <w:spacing w:val="-13"/>
                <w:sz w:val="18"/>
              </w:rPr>
              <w:t> </w:t>
            </w:r>
            <w:r>
              <w:rPr>
                <w:sz w:val="18"/>
              </w:rPr>
              <w:t>de </w:t>
            </w:r>
            <w:r>
              <w:rPr>
                <w:spacing w:val="-2"/>
                <w:sz w:val="18"/>
              </w:rPr>
              <w:t>adquisición.</w:t>
            </w:r>
          </w:p>
        </w:tc>
        <w:tc>
          <w:tcPr>
            <w:tcW w:w="1422" w:type="dxa"/>
          </w:tcPr>
          <w:p>
            <w:pPr>
              <w:pStyle w:val="TableParagraph"/>
              <w:rPr>
                <w:b/>
                <w:sz w:val="18"/>
              </w:rPr>
            </w:pPr>
          </w:p>
          <w:p>
            <w:pPr>
              <w:pStyle w:val="TableParagraph"/>
              <w:rPr>
                <w:b/>
                <w:sz w:val="18"/>
              </w:rPr>
            </w:pPr>
          </w:p>
          <w:p>
            <w:pPr>
              <w:pStyle w:val="TableParagraph"/>
              <w:spacing w:before="177"/>
              <w:rPr>
                <w:b/>
                <w:sz w:val="18"/>
              </w:rPr>
            </w:pPr>
          </w:p>
          <w:p>
            <w:pPr>
              <w:pStyle w:val="TableParagraph"/>
              <w:numPr>
                <w:ilvl w:val="0"/>
                <w:numId w:val="37"/>
              </w:numPr>
              <w:tabs>
                <w:tab w:pos="268" w:val="left" w:leader="none"/>
              </w:tabs>
              <w:spacing w:line="240" w:lineRule="auto" w:before="0" w:after="0"/>
              <w:ind w:left="268" w:right="0" w:hanging="200"/>
              <w:jc w:val="left"/>
              <w:rPr>
                <w:sz w:val="18"/>
              </w:rPr>
            </w:pPr>
            <w:r>
              <w:rPr>
                <w:sz w:val="18"/>
              </w:rPr>
              <w:t>Reporte</w:t>
            </w:r>
            <w:r>
              <w:rPr>
                <w:spacing w:val="-4"/>
                <w:sz w:val="18"/>
              </w:rPr>
              <w:t> </w:t>
            </w:r>
            <w:r>
              <w:rPr>
                <w:spacing w:val="-5"/>
                <w:sz w:val="18"/>
              </w:rPr>
              <w:t>SAP</w:t>
            </w:r>
          </w:p>
          <w:p>
            <w:pPr>
              <w:pStyle w:val="TableParagraph"/>
              <w:numPr>
                <w:ilvl w:val="0"/>
                <w:numId w:val="37"/>
              </w:numPr>
              <w:tabs>
                <w:tab w:pos="268" w:val="left" w:leader="none"/>
              </w:tabs>
              <w:spacing w:line="240" w:lineRule="auto" w:before="2" w:after="0"/>
              <w:ind w:left="68" w:right="500" w:firstLine="0"/>
              <w:jc w:val="left"/>
              <w:rPr>
                <w:sz w:val="18"/>
              </w:rPr>
            </w:pPr>
            <w:r>
              <w:rPr>
                <w:spacing w:val="-2"/>
                <w:sz w:val="18"/>
              </w:rPr>
              <w:t>Reporte SICOP</w:t>
            </w:r>
          </w:p>
        </w:tc>
        <w:tc>
          <w:tcPr>
            <w:tcW w:w="1782" w:type="dxa"/>
          </w:tcPr>
          <w:p>
            <w:pPr>
              <w:pStyle w:val="TableParagraph"/>
              <w:rPr>
                <w:b/>
                <w:sz w:val="18"/>
              </w:rPr>
            </w:pPr>
          </w:p>
          <w:p>
            <w:pPr>
              <w:pStyle w:val="TableParagraph"/>
              <w:rPr>
                <w:b/>
                <w:sz w:val="18"/>
              </w:rPr>
            </w:pPr>
          </w:p>
          <w:p>
            <w:pPr>
              <w:pStyle w:val="TableParagraph"/>
              <w:rPr>
                <w:b/>
                <w:sz w:val="18"/>
              </w:rPr>
            </w:pPr>
          </w:p>
          <w:p>
            <w:pPr>
              <w:pStyle w:val="TableParagraph"/>
              <w:spacing w:before="73"/>
              <w:rPr>
                <w:b/>
                <w:sz w:val="18"/>
              </w:rPr>
            </w:pPr>
          </w:p>
          <w:p>
            <w:pPr>
              <w:pStyle w:val="TableParagraph"/>
              <w:ind w:left="67"/>
              <w:rPr>
                <w:sz w:val="18"/>
              </w:rPr>
            </w:pPr>
            <w:r>
              <w:rPr>
                <w:spacing w:val="-2"/>
                <w:sz w:val="18"/>
              </w:rPr>
              <w:t>Proveeduría Institucional</w:t>
            </w:r>
          </w:p>
        </w:tc>
        <w:tc>
          <w:tcPr>
            <w:tcW w:w="1339" w:type="dxa"/>
          </w:tcPr>
          <w:p>
            <w:pPr>
              <w:pStyle w:val="TableParagraph"/>
              <w:rPr>
                <w:b/>
                <w:sz w:val="18"/>
              </w:rPr>
            </w:pPr>
          </w:p>
          <w:p>
            <w:pPr>
              <w:pStyle w:val="TableParagraph"/>
              <w:rPr>
                <w:b/>
                <w:sz w:val="18"/>
              </w:rPr>
            </w:pPr>
          </w:p>
          <w:p>
            <w:pPr>
              <w:pStyle w:val="TableParagraph"/>
              <w:rPr>
                <w:b/>
                <w:sz w:val="18"/>
              </w:rPr>
            </w:pPr>
          </w:p>
          <w:p>
            <w:pPr>
              <w:pStyle w:val="TableParagraph"/>
              <w:spacing w:before="179"/>
              <w:rPr>
                <w:b/>
                <w:sz w:val="18"/>
              </w:rPr>
            </w:pPr>
          </w:p>
          <w:p>
            <w:pPr>
              <w:pStyle w:val="TableParagraph"/>
              <w:ind w:left="184"/>
              <w:rPr>
                <w:sz w:val="18"/>
              </w:rPr>
            </w:pPr>
            <w:r>
              <w:rPr>
                <w:sz w:val="18"/>
              </w:rPr>
              <w:t>₡</w:t>
            </w:r>
            <w:r>
              <w:rPr>
                <w:spacing w:val="-1"/>
                <w:sz w:val="18"/>
              </w:rPr>
              <w:t> </w:t>
            </w:r>
            <w:r>
              <w:rPr>
                <w:sz w:val="18"/>
              </w:rPr>
              <w:t>75 305 </w:t>
            </w:r>
            <w:r>
              <w:rPr>
                <w:spacing w:val="-5"/>
                <w:sz w:val="18"/>
              </w:rPr>
              <w:t>527</w:t>
            </w:r>
          </w:p>
        </w:tc>
        <w:tc>
          <w:tcPr>
            <w:tcW w:w="2409" w:type="dxa"/>
          </w:tcPr>
          <w:p>
            <w:pPr>
              <w:pStyle w:val="TableParagraph"/>
              <w:ind w:left="65" w:right="122"/>
              <w:rPr>
                <w:sz w:val="18"/>
              </w:rPr>
            </w:pPr>
            <w:r>
              <w:rPr>
                <w:sz w:val="18"/>
              </w:rPr>
              <w:t>y</w:t>
            </w:r>
            <w:r>
              <w:rPr>
                <w:spacing w:val="-7"/>
                <w:sz w:val="18"/>
              </w:rPr>
              <w:t> </w:t>
            </w:r>
            <w:r>
              <w:rPr>
                <w:sz w:val="18"/>
              </w:rPr>
              <w:t>172</w:t>
            </w:r>
            <w:r>
              <w:rPr>
                <w:spacing w:val="-8"/>
                <w:sz w:val="18"/>
              </w:rPr>
              <w:t> </w:t>
            </w:r>
            <w:r>
              <w:rPr>
                <w:sz w:val="18"/>
              </w:rPr>
              <w:t>del</w:t>
            </w:r>
            <w:r>
              <w:rPr>
                <w:spacing w:val="-8"/>
                <w:sz w:val="18"/>
              </w:rPr>
              <w:t> </w:t>
            </w:r>
            <w:r>
              <w:rPr>
                <w:sz w:val="18"/>
              </w:rPr>
              <w:t>Reglamento</w:t>
            </w:r>
            <w:r>
              <w:rPr>
                <w:spacing w:val="-10"/>
                <w:sz w:val="18"/>
              </w:rPr>
              <w:t> </w:t>
            </w:r>
            <w:r>
              <w:rPr>
                <w:sz w:val="18"/>
              </w:rPr>
              <w:t>a</w:t>
            </w:r>
            <w:r>
              <w:rPr>
                <w:spacing w:val="-8"/>
                <w:sz w:val="18"/>
              </w:rPr>
              <w:t> </w:t>
            </w:r>
            <w:r>
              <w:rPr>
                <w:sz w:val="18"/>
              </w:rPr>
              <w:t>la Ley General de Contratación Pública.</w:t>
            </w:r>
          </w:p>
        </w:tc>
      </w:tr>
    </w:tbl>
    <w:p>
      <w:pPr>
        <w:pStyle w:val="TableParagraph"/>
        <w:spacing w:after="0"/>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03"/>
        <w:gridCol w:w="1254"/>
        <w:gridCol w:w="1417"/>
        <w:gridCol w:w="1472"/>
        <w:gridCol w:w="1573"/>
        <w:gridCol w:w="1678"/>
        <w:gridCol w:w="1398"/>
        <w:gridCol w:w="2386"/>
      </w:tblGrid>
      <w:tr>
        <w:trPr>
          <w:trHeight w:val="719" w:hRule="atLeast"/>
        </w:trPr>
        <w:tc>
          <w:tcPr>
            <w:tcW w:w="3003" w:type="dxa"/>
            <w:shd w:val="clear" w:color="auto" w:fill="F1F1F1"/>
          </w:tcPr>
          <w:p>
            <w:pPr>
              <w:pStyle w:val="TableParagraph"/>
              <w:spacing w:before="48"/>
              <w:rPr>
                <w:b/>
                <w:sz w:val="18"/>
              </w:rPr>
            </w:pPr>
          </w:p>
          <w:p>
            <w:pPr>
              <w:pStyle w:val="TableParagraph"/>
              <w:ind w:left="530"/>
              <w:rPr>
                <w:b/>
                <w:sz w:val="18"/>
              </w:rPr>
            </w:pPr>
            <w:r>
              <w:rPr>
                <w:b/>
                <w:sz w:val="18"/>
              </w:rPr>
              <w:t>Objetivos</w:t>
            </w:r>
            <w:r>
              <w:rPr>
                <w:b/>
                <w:spacing w:val="-4"/>
                <w:sz w:val="18"/>
              </w:rPr>
              <w:t> </w:t>
            </w:r>
            <w:r>
              <w:rPr>
                <w:b/>
                <w:sz w:val="18"/>
              </w:rPr>
              <w:t>/</w:t>
            </w:r>
            <w:r>
              <w:rPr>
                <w:b/>
                <w:spacing w:val="-2"/>
                <w:sz w:val="18"/>
              </w:rPr>
              <w:t> Resultados</w:t>
            </w:r>
          </w:p>
        </w:tc>
        <w:tc>
          <w:tcPr>
            <w:tcW w:w="1254" w:type="dxa"/>
            <w:shd w:val="clear" w:color="auto" w:fill="F1F1F1"/>
          </w:tcPr>
          <w:p>
            <w:pPr>
              <w:pStyle w:val="TableParagraph"/>
              <w:spacing w:before="152"/>
              <w:ind w:left="364" w:right="138" w:hanging="216"/>
              <w:rPr>
                <w:b/>
                <w:sz w:val="18"/>
              </w:rPr>
            </w:pPr>
            <w:r>
              <w:rPr>
                <w:b/>
                <w:sz w:val="18"/>
              </w:rPr>
              <w:t>Línea</w:t>
            </w:r>
            <w:r>
              <w:rPr>
                <w:b/>
                <w:spacing w:val="-13"/>
                <w:sz w:val="18"/>
              </w:rPr>
              <w:t> </w:t>
            </w:r>
            <w:r>
              <w:rPr>
                <w:b/>
                <w:sz w:val="18"/>
              </w:rPr>
              <w:t>Base </w:t>
            </w:r>
            <w:r>
              <w:rPr>
                <w:b/>
                <w:spacing w:val="-2"/>
                <w:sz w:val="18"/>
              </w:rPr>
              <w:t>(2025)</w:t>
            </w:r>
          </w:p>
        </w:tc>
        <w:tc>
          <w:tcPr>
            <w:tcW w:w="1417" w:type="dxa"/>
            <w:shd w:val="clear" w:color="auto" w:fill="F1F1F1"/>
          </w:tcPr>
          <w:p>
            <w:pPr>
              <w:pStyle w:val="TableParagraph"/>
              <w:spacing w:before="49"/>
              <w:ind w:left="186" w:right="178" w:hanging="1"/>
              <w:jc w:val="center"/>
              <w:rPr>
                <w:b/>
                <w:sz w:val="18"/>
              </w:rPr>
            </w:pPr>
            <w:r>
              <w:rPr>
                <w:b/>
                <w:spacing w:val="-4"/>
                <w:sz w:val="18"/>
              </w:rPr>
              <w:t>Meta </w:t>
            </w:r>
            <w:r>
              <w:rPr>
                <w:b/>
                <w:spacing w:val="-2"/>
                <w:sz w:val="18"/>
              </w:rPr>
              <w:t>programada </w:t>
            </w:r>
            <w:r>
              <w:rPr>
                <w:b/>
                <w:spacing w:val="-4"/>
                <w:sz w:val="18"/>
              </w:rPr>
              <w:t>2027</w:t>
            </w:r>
          </w:p>
        </w:tc>
        <w:tc>
          <w:tcPr>
            <w:tcW w:w="1472" w:type="dxa"/>
            <w:shd w:val="clear" w:color="auto" w:fill="F1F1F1"/>
          </w:tcPr>
          <w:p>
            <w:pPr>
              <w:pStyle w:val="TableParagraph"/>
              <w:spacing w:before="48"/>
              <w:rPr>
                <w:b/>
                <w:sz w:val="18"/>
              </w:rPr>
            </w:pPr>
          </w:p>
          <w:p>
            <w:pPr>
              <w:pStyle w:val="TableParagraph"/>
              <w:ind w:left="326"/>
              <w:rPr>
                <w:b/>
                <w:sz w:val="18"/>
              </w:rPr>
            </w:pPr>
            <w:r>
              <w:rPr>
                <w:b/>
                <w:spacing w:val="-2"/>
                <w:sz w:val="18"/>
              </w:rPr>
              <w:t>Indicador</w:t>
            </w:r>
          </w:p>
        </w:tc>
        <w:tc>
          <w:tcPr>
            <w:tcW w:w="1573" w:type="dxa"/>
            <w:shd w:val="clear" w:color="auto" w:fill="F1F1F1"/>
          </w:tcPr>
          <w:p>
            <w:pPr>
              <w:pStyle w:val="TableParagraph"/>
              <w:spacing w:before="152"/>
              <w:ind w:left="280" w:right="129" w:firstLine="60"/>
              <w:rPr>
                <w:b/>
                <w:sz w:val="18"/>
              </w:rPr>
            </w:pPr>
            <w:r>
              <w:rPr>
                <w:b/>
                <w:sz w:val="18"/>
              </w:rPr>
              <w:t>Medios de </w:t>
            </w:r>
            <w:r>
              <w:rPr>
                <w:b/>
                <w:spacing w:val="-2"/>
                <w:sz w:val="18"/>
              </w:rPr>
              <w:t>verificación</w:t>
            </w:r>
          </w:p>
        </w:tc>
        <w:tc>
          <w:tcPr>
            <w:tcW w:w="1678" w:type="dxa"/>
            <w:shd w:val="clear" w:color="auto" w:fill="F1F1F1"/>
          </w:tcPr>
          <w:p>
            <w:pPr>
              <w:pStyle w:val="TableParagraph"/>
              <w:spacing w:before="48"/>
              <w:rPr>
                <w:b/>
                <w:sz w:val="18"/>
              </w:rPr>
            </w:pPr>
          </w:p>
          <w:p>
            <w:pPr>
              <w:pStyle w:val="TableParagraph"/>
              <w:ind w:left="275"/>
              <w:rPr>
                <w:b/>
                <w:sz w:val="18"/>
              </w:rPr>
            </w:pPr>
            <w:r>
              <w:rPr>
                <w:b/>
                <w:spacing w:val="-2"/>
                <w:sz w:val="18"/>
              </w:rPr>
              <w:t>Responsable</w:t>
            </w:r>
          </w:p>
        </w:tc>
        <w:tc>
          <w:tcPr>
            <w:tcW w:w="1398" w:type="dxa"/>
            <w:shd w:val="clear" w:color="auto" w:fill="F1F1F1"/>
          </w:tcPr>
          <w:p>
            <w:pPr>
              <w:pStyle w:val="TableParagraph"/>
              <w:spacing w:before="152"/>
              <w:ind w:left="298" w:hanging="152"/>
              <w:rPr>
                <w:b/>
                <w:sz w:val="18"/>
              </w:rPr>
            </w:pPr>
            <w:r>
              <w:rPr>
                <w:b/>
                <w:spacing w:val="-2"/>
                <w:sz w:val="18"/>
              </w:rPr>
              <w:t>Presupuesto asignado</w:t>
            </w:r>
          </w:p>
        </w:tc>
        <w:tc>
          <w:tcPr>
            <w:tcW w:w="2386" w:type="dxa"/>
            <w:shd w:val="clear" w:color="auto" w:fill="F1F1F1"/>
          </w:tcPr>
          <w:p>
            <w:pPr>
              <w:pStyle w:val="TableParagraph"/>
              <w:spacing w:before="48"/>
              <w:rPr>
                <w:b/>
                <w:sz w:val="18"/>
              </w:rPr>
            </w:pPr>
          </w:p>
          <w:p>
            <w:pPr>
              <w:pStyle w:val="TableParagraph"/>
              <w:jc w:val="center"/>
              <w:rPr>
                <w:b/>
                <w:sz w:val="18"/>
              </w:rPr>
            </w:pPr>
            <w:r>
              <w:rPr>
                <w:b/>
                <w:spacing w:val="-2"/>
                <w:sz w:val="18"/>
              </w:rPr>
              <w:t>Riesgos</w:t>
            </w:r>
          </w:p>
        </w:tc>
      </w:tr>
      <w:tr>
        <w:trPr>
          <w:trHeight w:val="510" w:hRule="atLeast"/>
        </w:trPr>
        <w:tc>
          <w:tcPr>
            <w:tcW w:w="14181" w:type="dxa"/>
            <w:gridSpan w:val="8"/>
            <w:shd w:val="clear" w:color="auto" w:fill="F1F1F1"/>
          </w:tcPr>
          <w:p>
            <w:pPr>
              <w:pStyle w:val="TableParagraph"/>
              <w:spacing w:before="47"/>
              <w:ind w:left="69"/>
              <w:rPr>
                <w:b/>
                <w:sz w:val="18"/>
              </w:rPr>
            </w:pPr>
            <w:r>
              <w:rPr>
                <w:b/>
                <w:sz w:val="18"/>
              </w:rPr>
              <w:t>Efecto:</w:t>
            </w:r>
            <w:r>
              <w:rPr>
                <w:b/>
                <w:spacing w:val="40"/>
                <w:sz w:val="18"/>
              </w:rPr>
              <w:t> </w:t>
            </w:r>
            <w:r>
              <w:rPr>
                <w:b/>
                <w:sz w:val="18"/>
              </w:rPr>
              <w:t>Efectiva</w:t>
            </w:r>
            <w:r>
              <w:rPr>
                <w:b/>
                <w:spacing w:val="-3"/>
                <w:sz w:val="18"/>
              </w:rPr>
              <w:t> </w:t>
            </w:r>
            <w:r>
              <w:rPr>
                <w:b/>
                <w:sz w:val="18"/>
              </w:rPr>
              <w:t>gestión</w:t>
            </w:r>
            <w:r>
              <w:rPr>
                <w:b/>
                <w:spacing w:val="-1"/>
                <w:sz w:val="18"/>
              </w:rPr>
              <w:t> </w:t>
            </w:r>
            <w:r>
              <w:rPr>
                <w:b/>
                <w:sz w:val="18"/>
              </w:rPr>
              <w:t>de</w:t>
            </w:r>
            <w:r>
              <w:rPr>
                <w:b/>
                <w:spacing w:val="-1"/>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405" w:hRule="atLeast"/>
        </w:trPr>
        <w:tc>
          <w:tcPr>
            <w:tcW w:w="14181" w:type="dxa"/>
            <w:gridSpan w:val="8"/>
            <w:shd w:val="clear" w:color="auto" w:fill="D9E0F1"/>
          </w:tcPr>
          <w:p>
            <w:pPr>
              <w:pStyle w:val="TableParagraph"/>
              <w:spacing w:before="97"/>
              <w:ind w:left="69"/>
              <w:rPr>
                <w:b/>
                <w:sz w:val="18"/>
              </w:rPr>
            </w:pPr>
            <w:r>
              <w:rPr>
                <w:b/>
                <w:sz w:val="18"/>
              </w:rPr>
              <w:t>Producto</w:t>
            </w:r>
            <w:r>
              <w:rPr>
                <w:b/>
                <w:spacing w:val="-3"/>
                <w:sz w:val="18"/>
              </w:rPr>
              <w:t> </w:t>
            </w:r>
            <w:r>
              <w:rPr>
                <w:b/>
                <w:sz w:val="18"/>
              </w:rPr>
              <w:t>PAC</w:t>
            </w:r>
            <w:r>
              <w:rPr>
                <w:b/>
                <w:spacing w:val="-4"/>
                <w:sz w:val="18"/>
              </w:rPr>
              <w:t> </w:t>
            </w:r>
            <w:r>
              <w:rPr>
                <w:b/>
                <w:sz w:val="18"/>
              </w:rPr>
              <w:t>2.7:</w:t>
            </w:r>
            <w:r>
              <w:rPr>
                <w:b/>
                <w:spacing w:val="44"/>
                <w:sz w:val="18"/>
              </w:rPr>
              <w:t> </w:t>
            </w:r>
            <w:r>
              <w:rPr>
                <w:b/>
                <w:sz w:val="18"/>
              </w:rPr>
              <w:t>Eficiente</w:t>
            </w:r>
            <w:r>
              <w:rPr>
                <w:b/>
                <w:spacing w:val="-5"/>
                <w:sz w:val="18"/>
              </w:rPr>
              <w:t> </w:t>
            </w:r>
            <w:r>
              <w:rPr>
                <w:b/>
                <w:sz w:val="18"/>
              </w:rPr>
              <w:t>desarrollo</w:t>
            </w:r>
            <w:r>
              <w:rPr>
                <w:b/>
                <w:spacing w:val="-3"/>
                <w:sz w:val="18"/>
              </w:rPr>
              <w:t> </w:t>
            </w:r>
            <w:r>
              <w:rPr>
                <w:b/>
                <w:sz w:val="18"/>
              </w:rPr>
              <w:t>de</w:t>
            </w:r>
            <w:r>
              <w:rPr>
                <w:b/>
                <w:spacing w:val="-3"/>
                <w:sz w:val="18"/>
              </w:rPr>
              <w:t> </w:t>
            </w:r>
            <w:r>
              <w:rPr>
                <w:b/>
                <w:sz w:val="18"/>
              </w:rPr>
              <w:t>los</w:t>
            </w:r>
            <w:r>
              <w:rPr>
                <w:b/>
                <w:spacing w:val="-3"/>
                <w:sz w:val="18"/>
              </w:rPr>
              <w:t> </w:t>
            </w:r>
            <w:r>
              <w:rPr>
                <w:b/>
                <w:sz w:val="18"/>
              </w:rPr>
              <w:t>proyectos</w:t>
            </w:r>
            <w:r>
              <w:rPr>
                <w:b/>
                <w:spacing w:val="-5"/>
                <w:sz w:val="18"/>
              </w:rPr>
              <w:t> </w:t>
            </w:r>
            <w:r>
              <w:rPr>
                <w:b/>
                <w:sz w:val="18"/>
              </w:rPr>
              <w:t>de</w:t>
            </w:r>
            <w:r>
              <w:rPr>
                <w:b/>
                <w:spacing w:val="-3"/>
                <w:sz w:val="18"/>
              </w:rPr>
              <w:t> </w:t>
            </w:r>
            <w:r>
              <w:rPr>
                <w:b/>
                <w:sz w:val="18"/>
              </w:rPr>
              <w:t>infraestructura</w:t>
            </w:r>
            <w:r>
              <w:rPr>
                <w:b/>
                <w:spacing w:val="-5"/>
                <w:sz w:val="18"/>
              </w:rPr>
              <w:t> </w:t>
            </w:r>
            <w:r>
              <w:rPr>
                <w:b/>
                <w:sz w:val="18"/>
              </w:rPr>
              <w:t>del</w:t>
            </w:r>
            <w:r>
              <w:rPr>
                <w:b/>
                <w:spacing w:val="-3"/>
                <w:sz w:val="18"/>
              </w:rPr>
              <w:t> </w:t>
            </w:r>
            <w:r>
              <w:rPr>
                <w:b/>
                <w:sz w:val="18"/>
              </w:rPr>
              <w:t>Nivel</w:t>
            </w:r>
            <w:r>
              <w:rPr>
                <w:b/>
                <w:spacing w:val="-5"/>
                <w:sz w:val="18"/>
              </w:rPr>
              <w:t> </w:t>
            </w:r>
            <w:r>
              <w:rPr>
                <w:b/>
                <w:sz w:val="18"/>
              </w:rPr>
              <w:t>Central</w:t>
            </w:r>
            <w:r>
              <w:rPr>
                <w:b/>
                <w:spacing w:val="-2"/>
                <w:sz w:val="18"/>
              </w:rPr>
              <w:t> (Proceso)</w:t>
            </w:r>
          </w:p>
        </w:tc>
      </w:tr>
      <w:tr>
        <w:trPr>
          <w:trHeight w:val="1545" w:hRule="atLeast"/>
        </w:trPr>
        <w:tc>
          <w:tcPr>
            <w:tcW w:w="3003" w:type="dxa"/>
          </w:tcPr>
          <w:p>
            <w:pPr>
              <w:pStyle w:val="TableParagraph"/>
              <w:spacing w:before="46"/>
              <w:rPr>
                <w:b/>
                <w:sz w:val="18"/>
              </w:rPr>
            </w:pPr>
          </w:p>
          <w:p>
            <w:pPr>
              <w:pStyle w:val="TableParagraph"/>
              <w:ind w:left="69" w:right="113"/>
              <w:rPr>
                <w:sz w:val="18"/>
              </w:rPr>
            </w:pPr>
            <w:r>
              <w:rPr>
                <w:b/>
                <w:sz w:val="18"/>
              </w:rPr>
              <w:t>Actividad PAC 2.7.1: </w:t>
            </w:r>
            <w:r>
              <w:rPr>
                <w:sz w:val="18"/>
              </w:rPr>
              <w:t>Ejecutar etapas programadas de la consultoría y construcción de la Escalera</w:t>
            </w:r>
            <w:r>
              <w:rPr>
                <w:spacing w:val="-11"/>
                <w:sz w:val="18"/>
              </w:rPr>
              <w:t> </w:t>
            </w:r>
            <w:r>
              <w:rPr>
                <w:sz w:val="18"/>
              </w:rPr>
              <w:t>de</w:t>
            </w:r>
            <w:r>
              <w:rPr>
                <w:spacing w:val="-10"/>
                <w:sz w:val="18"/>
              </w:rPr>
              <w:t> </w:t>
            </w:r>
            <w:r>
              <w:rPr>
                <w:sz w:val="18"/>
              </w:rPr>
              <w:t>emergencias</w:t>
            </w:r>
            <w:r>
              <w:rPr>
                <w:spacing w:val="-9"/>
                <w:sz w:val="18"/>
              </w:rPr>
              <w:t> </w:t>
            </w:r>
            <w:r>
              <w:rPr>
                <w:sz w:val="18"/>
              </w:rPr>
              <w:t>para</w:t>
            </w:r>
            <w:r>
              <w:rPr>
                <w:spacing w:val="-11"/>
                <w:sz w:val="18"/>
              </w:rPr>
              <w:t> </w:t>
            </w:r>
            <w:r>
              <w:rPr>
                <w:sz w:val="18"/>
              </w:rPr>
              <w:t>el ala suroeste del Edificio Central.</w:t>
            </w:r>
          </w:p>
        </w:tc>
        <w:tc>
          <w:tcPr>
            <w:tcW w:w="1254" w:type="dxa"/>
          </w:tcPr>
          <w:p>
            <w:pPr>
              <w:pStyle w:val="TableParagraph"/>
              <w:rPr>
                <w:b/>
                <w:sz w:val="18"/>
              </w:rPr>
            </w:pPr>
          </w:p>
          <w:p>
            <w:pPr>
              <w:pStyle w:val="TableParagraph"/>
              <w:rPr>
                <w:b/>
                <w:sz w:val="18"/>
              </w:rPr>
            </w:pPr>
          </w:p>
          <w:p>
            <w:pPr>
              <w:pStyle w:val="TableParagraph"/>
              <w:spacing w:before="48"/>
              <w:rPr>
                <w:b/>
                <w:sz w:val="18"/>
              </w:rPr>
            </w:pPr>
          </w:p>
          <w:p>
            <w:pPr>
              <w:pStyle w:val="TableParagraph"/>
              <w:ind w:right="56"/>
              <w:jc w:val="right"/>
              <w:rPr>
                <w:sz w:val="18"/>
              </w:rPr>
            </w:pPr>
            <w:r>
              <w:rPr>
                <w:spacing w:val="-5"/>
                <w:sz w:val="18"/>
              </w:rPr>
              <w:t>0%</w:t>
            </w:r>
          </w:p>
        </w:tc>
        <w:tc>
          <w:tcPr>
            <w:tcW w:w="1417" w:type="dxa"/>
          </w:tcPr>
          <w:p>
            <w:pPr>
              <w:pStyle w:val="TableParagraph"/>
              <w:rPr>
                <w:b/>
                <w:sz w:val="18"/>
              </w:rPr>
            </w:pPr>
          </w:p>
          <w:p>
            <w:pPr>
              <w:pStyle w:val="TableParagraph"/>
              <w:rPr>
                <w:b/>
                <w:sz w:val="18"/>
              </w:rPr>
            </w:pPr>
          </w:p>
          <w:p>
            <w:pPr>
              <w:pStyle w:val="TableParagraph"/>
              <w:spacing w:before="48"/>
              <w:rPr>
                <w:b/>
                <w:sz w:val="18"/>
              </w:rPr>
            </w:pPr>
          </w:p>
          <w:p>
            <w:pPr>
              <w:pStyle w:val="TableParagraph"/>
              <w:ind w:right="57"/>
              <w:jc w:val="right"/>
              <w:rPr>
                <w:sz w:val="18"/>
              </w:rPr>
            </w:pPr>
            <w:r>
              <w:rPr>
                <w:spacing w:val="-4"/>
                <w:sz w:val="18"/>
              </w:rPr>
              <w:t>100%</w:t>
            </w:r>
          </w:p>
        </w:tc>
        <w:tc>
          <w:tcPr>
            <w:tcW w:w="1472" w:type="dxa"/>
          </w:tcPr>
          <w:p>
            <w:pPr>
              <w:pStyle w:val="TableParagraph"/>
              <w:spacing w:before="46"/>
              <w:rPr>
                <w:b/>
                <w:sz w:val="18"/>
              </w:rPr>
            </w:pPr>
          </w:p>
          <w:p>
            <w:pPr>
              <w:pStyle w:val="TableParagraph"/>
              <w:ind w:left="67" w:right="277"/>
              <w:rPr>
                <w:sz w:val="18"/>
              </w:rPr>
            </w:pPr>
            <w:r>
              <w:rPr>
                <w:sz w:val="18"/>
              </w:rPr>
              <w:t>Porcentaje</w:t>
            </w:r>
            <w:r>
              <w:rPr>
                <w:spacing w:val="-13"/>
                <w:sz w:val="18"/>
              </w:rPr>
              <w:t> </w:t>
            </w:r>
            <w:r>
              <w:rPr>
                <w:sz w:val="18"/>
              </w:rPr>
              <w:t>de ejecución del </w:t>
            </w:r>
            <w:r>
              <w:rPr>
                <w:spacing w:val="-2"/>
                <w:sz w:val="18"/>
              </w:rPr>
              <w:t>proyecto programado </w:t>
            </w:r>
            <w:r>
              <w:rPr>
                <w:sz w:val="18"/>
              </w:rPr>
              <w:t>para el 2027</w:t>
            </w:r>
          </w:p>
        </w:tc>
        <w:tc>
          <w:tcPr>
            <w:tcW w:w="1573" w:type="dxa"/>
          </w:tcPr>
          <w:p>
            <w:pPr>
              <w:pStyle w:val="TableParagraph"/>
              <w:spacing w:before="149"/>
              <w:rPr>
                <w:b/>
                <w:sz w:val="18"/>
              </w:rPr>
            </w:pPr>
          </w:p>
          <w:p>
            <w:pPr>
              <w:pStyle w:val="TableParagraph"/>
              <w:ind w:left="66" w:right="129"/>
              <w:rPr>
                <w:sz w:val="18"/>
              </w:rPr>
            </w:pPr>
            <w:r>
              <w:rPr>
                <w:sz w:val="18"/>
              </w:rPr>
              <w:t>Cronograma del Proyecto</w:t>
            </w:r>
            <w:r>
              <w:rPr>
                <w:spacing w:val="-15"/>
                <w:sz w:val="18"/>
              </w:rPr>
              <w:t> </w:t>
            </w:r>
            <w:r>
              <w:rPr>
                <w:sz w:val="18"/>
              </w:rPr>
              <w:t>y</w:t>
            </w:r>
            <w:r>
              <w:rPr>
                <w:spacing w:val="-12"/>
                <w:sz w:val="18"/>
              </w:rPr>
              <w:t> </w:t>
            </w:r>
            <w:r>
              <w:rPr>
                <w:sz w:val="18"/>
              </w:rPr>
              <w:t>Oficio de</w:t>
            </w:r>
            <w:r>
              <w:rPr>
                <w:spacing w:val="-15"/>
                <w:sz w:val="18"/>
              </w:rPr>
              <w:t> </w:t>
            </w:r>
            <w:r>
              <w:rPr>
                <w:sz w:val="18"/>
              </w:rPr>
              <w:t>Recepción</w:t>
            </w:r>
            <w:r>
              <w:rPr>
                <w:spacing w:val="-12"/>
                <w:sz w:val="18"/>
              </w:rPr>
              <w:t> </w:t>
            </w:r>
            <w:r>
              <w:rPr>
                <w:sz w:val="18"/>
              </w:rPr>
              <w:t>de </w:t>
            </w:r>
            <w:r>
              <w:rPr>
                <w:spacing w:val="-2"/>
                <w:sz w:val="18"/>
              </w:rPr>
              <w:t>etapas</w:t>
            </w:r>
          </w:p>
        </w:tc>
        <w:tc>
          <w:tcPr>
            <w:tcW w:w="1678" w:type="dxa"/>
          </w:tcPr>
          <w:p>
            <w:pPr>
              <w:pStyle w:val="TableParagraph"/>
              <w:spacing w:before="149"/>
              <w:rPr>
                <w:b/>
                <w:sz w:val="18"/>
              </w:rPr>
            </w:pPr>
          </w:p>
          <w:p>
            <w:pPr>
              <w:pStyle w:val="TableParagraph"/>
              <w:ind w:left="66" w:right="204"/>
              <w:rPr>
                <w:sz w:val="18"/>
              </w:rPr>
            </w:pPr>
            <w:r>
              <w:rPr>
                <w:sz w:val="18"/>
              </w:rPr>
              <w:t>Departamento</w:t>
            </w:r>
            <w:r>
              <w:rPr>
                <w:spacing w:val="-13"/>
                <w:sz w:val="18"/>
              </w:rPr>
              <w:t> </w:t>
            </w:r>
            <w:r>
              <w:rPr>
                <w:sz w:val="18"/>
              </w:rPr>
              <w:t>de </w:t>
            </w:r>
            <w:r>
              <w:rPr>
                <w:spacing w:val="-2"/>
                <w:sz w:val="18"/>
              </w:rPr>
              <w:t>Servicios </w:t>
            </w:r>
            <w:r>
              <w:rPr>
                <w:sz w:val="18"/>
              </w:rPr>
              <w:t>Generales - </w:t>
            </w:r>
            <w:r>
              <w:rPr>
                <w:spacing w:val="-2"/>
                <w:sz w:val="18"/>
              </w:rPr>
              <w:t>Infraestructura</w:t>
            </w:r>
          </w:p>
        </w:tc>
        <w:tc>
          <w:tcPr>
            <w:tcW w:w="1398" w:type="dxa"/>
          </w:tcPr>
          <w:p>
            <w:pPr>
              <w:pStyle w:val="TableParagraph"/>
              <w:rPr>
                <w:b/>
                <w:sz w:val="18"/>
              </w:rPr>
            </w:pPr>
          </w:p>
          <w:p>
            <w:pPr>
              <w:pStyle w:val="TableParagraph"/>
              <w:rPr>
                <w:b/>
                <w:sz w:val="18"/>
              </w:rPr>
            </w:pPr>
          </w:p>
          <w:p>
            <w:pPr>
              <w:pStyle w:val="TableParagraph"/>
              <w:spacing w:before="48"/>
              <w:rPr>
                <w:b/>
                <w:sz w:val="18"/>
              </w:rPr>
            </w:pPr>
          </w:p>
          <w:p>
            <w:pPr>
              <w:pStyle w:val="TableParagraph"/>
              <w:ind w:right="61"/>
              <w:jc w:val="right"/>
              <w:rPr>
                <w:sz w:val="18"/>
              </w:rPr>
            </w:pPr>
            <w:r>
              <w:rPr>
                <w:sz w:val="18"/>
              </w:rPr>
              <w:t>₡167</w:t>
            </w:r>
            <w:r>
              <w:rPr>
                <w:spacing w:val="-2"/>
                <w:sz w:val="18"/>
              </w:rPr>
              <w:t> </w:t>
            </w:r>
            <w:r>
              <w:rPr>
                <w:sz w:val="18"/>
              </w:rPr>
              <w:t>960</w:t>
            </w:r>
            <w:r>
              <w:rPr>
                <w:spacing w:val="-2"/>
                <w:sz w:val="18"/>
              </w:rPr>
              <w:t> </w:t>
            </w:r>
            <w:r>
              <w:rPr>
                <w:spacing w:val="-5"/>
                <w:sz w:val="18"/>
              </w:rPr>
              <w:t>000</w:t>
            </w:r>
          </w:p>
        </w:tc>
        <w:tc>
          <w:tcPr>
            <w:tcW w:w="2386" w:type="dxa"/>
          </w:tcPr>
          <w:p>
            <w:pPr>
              <w:pStyle w:val="TableParagraph"/>
              <w:spacing w:before="149"/>
              <w:rPr>
                <w:b/>
                <w:sz w:val="18"/>
              </w:rPr>
            </w:pPr>
          </w:p>
          <w:p>
            <w:pPr>
              <w:pStyle w:val="TableParagraph"/>
              <w:ind w:left="65" w:right="120"/>
              <w:rPr>
                <w:sz w:val="18"/>
              </w:rPr>
            </w:pPr>
            <w:r>
              <w:rPr>
                <w:sz w:val="18"/>
              </w:rPr>
              <w:t>No cumplir con las etapas programadas en la construcción</w:t>
            </w:r>
            <w:r>
              <w:rPr>
                <w:spacing w:val="-13"/>
                <w:sz w:val="18"/>
              </w:rPr>
              <w:t> </w:t>
            </w:r>
            <w:r>
              <w:rPr>
                <w:sz w:val="18"/>
              </w:rPr>
              <w:t>de</w:t>
            </w:r>
            <w:r>
              <w:rPr>
                <w:spacing w:val="-12"/>
                <w:sz w:val="18"/>
              </w:rPr>
              <w:t> </w:t>
            </w:r>
            <w:r>
              <w:rPr>
                <w:sz w:val="18"/>
              </w:rPr>
              <w:t>la</w:t>
            </w:r>
            <w:r>
              <w:rPr>
                <w:spacing w:val="-13"/>
                <w:sz w:val="18"/>
              </w:rPr>
              <w:t> </w:t>
            </w:r>
            <w:r>
              <w:rPr>
                <w:sz w:val="18"/>
              </w:rPr>
              <w:t>escalera de emergencias</w:t>
            </w:r>
          </w:p>
        </w:tc>
      </w:tr>
      <w:tr>
        <w:trPr>
          <w:trHeight w:val="2277" w:hRule="atLeast"/>
        </w:trPr>
        <w:tc>
          <w:tcPr>
            <w:tcW w:w="3003" w:type="dxa"/>
          </w:tcPr>
          <w:p>
            <w:pPr>
              <w:pStyle w:val="TableParagraph"/>
              <w:rPr>
                <w:b/>
                <w:sz w:val="18"/>
              </w:rPr>
            </w:pPr>
          </w:p>
          <w:p>
            <w:pPr>
              <w:pStyle w:val="TableParagraph"/>
              <w:spacing w:before="101"/>
              <w:rPr>
                <w:b/>
                <w:sz w:val="18"/>
              </w:rPr>
            </w:pPr>
          </w:p>
          <w:p>
            <w:pPr>
              <w:pStyle w:val="TableParagraph"/>
              <w:ind w:left="69"/>
              <w:rPr>
                <w:sz w:val="18"/>
              </w:rPr>
            </w:pPr>
            <w:r>
              <w:rPr>
                <w:b/>
                <w:sz w:val="18"/>
              </w:rPr>
              <w:t>Actividad PAC 2.7.2: </w:t>
            </w:r>
            <w:r>
              <w:rPr>
                <w:sz w:val="18"/>
              </w:rPr>
              <w:t>Asesoramiento en temas de ingeniería</w:t>
            </w:r>
            <w:r>
              <w:rPr>
                <w:spacing w:val="-2"/>
                <w:sz w:val="18"/>
              </w:rPr>
              <w:t> </w:t>
            </w:r>
            <w:r>
              <w:rPr>
                <w:sz w:val="18"/>
              </w:rPr>
              <w:t>y</w:t>
            </w:r>
            <w:r>
              <w:rPr>
                <w:spacing w:val="-3"/>
                <w:sz w:val="18"/>
              </w:rPr>
              <w:t> </w:t>
            </w:r>
            <w:r>
              <w:rPr>
                <w:sz w:val="18"/>
              </w:rPr>
              <w:t>arquitectura</w:t>
            </w:r>
            <w:r>
              <w:rPr>
                <w:spacing w:val="-2"/>
                <w:sz w:val="18"/>
              </w:rPr>
              <w:t> </w:t>
            </w:r>
            <w:r>
              <w:rPr>
                <w:sz w:val="18"/>
              </w:rPr>
              <w:t>requeridos para</w:t>
            </w:r>
            <w:r>
              <w:rPr>
                <w:spacing w:val="-7"/>
                <w:sz w:val="18"/>
              </w:rPr>
              <w:t> </w:t>
            </w:r>
            <w:r>
              <w:rPr>
                <w:sz w:val="18"/>
              </w:rPr>
              <w:t>la</w:t>
            </w:r>
            <w:r>
              <w:rPr>
                <w:spacing w:val="-7"/>
                <w:sz w:val="18"/>
              </w:rPr>
              <w:t> </w:t>
            </w:r>
            <w:r>
              <w:rPr>
                <w:sz w:val="18"/>
              </w:rPr>
              <w:t>inscripción</w:t>
            </w:r>
            <w:r>
              <w:rPr>
                <w:spacing w:val="-9"/>
                <w:sz w:val="18"/>
              </w:rPr>
              <w:t> </w:t>
            </w:r>
            <w:r>
              <w:rPr>
                <w:sz w:val="18"/>
              </w:rPr>
              <w:t>y</w:t>
            </w:r>
            <w:r>
              <w:rPr>
                <w:spacing w:val="-8"/>
                <w:sz w:val="18"/>
              </w:rPr>
              <w:t> </w:t>
            </w:r>
            <w:r>
              <w:rPr>
                <w:sz w:val="18"/>
              </w:rPr>
              <w:t>seguimiento</w:t>
            </w:r>
            <w:r>
              <w:rPr>
                <w:spacing w:val="-7"/>
                <w:sz w:val="18"/>
              </w:rPr>
              <w:t> </w:t>
            </w:r>
            <w:r>
              <w:rPr>
                <w:sz w:val="18"/>
              </w:rPr>
              <w:t>de los proyectos de infraestructura institucional en el BPIP</w:t>
            </w:r>
          </w:p>
        </w:tc>
        <w:tc>
          <w:tcPr>
            <w:tcW w:w="1254"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56"/>
              <w:jc w:val="right"/>
              <w:rPr>
                <w:sz w:val="18"/>
              </w:rPr>
            </w:pPr>
            <w:r>
              <w:rPr>
                <w:spacing w:val="-5"/>
                <w:sz w:val="18"/>
              </w:rPr>
              <w:t>0%</w:t>
            </w: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57"/>
              <w:jc w:val="right"/>
              <w:rPr>
                <w:sz w:val="18"/>
              </w:rPr>
            </w:pPr>
            <w:r>
              <w:rPr>
                <w:spacing w:val="-4"/>
                <w:sz w:val="18"/>
              </w:rPr>
              <w:t>100%</w:t>
            </w:r>
          </w:p>
        </w:tc>
        <w:tc>
          <w:tcPr>
            <w:tcW w:w="1472" w:type="dxa"/>
          </w:tcPr>
          <w:p>
            <w:pPr>
              <w:pStyle w:val="TableParagraph"/>
              <w:ind w:left="67" w:right="81"/>
              <w:rPr>
                <w:sz w:val="18"/>
              </w:rPr>
            </w:pPr>
            <w:r>
              <w:rPr>
                <w:sz w:val="18"/>
              </w:rPr>
              <w:t>Porcentaje de </w:t>
            </w:r>
            <w:r>
              <w:rPr>
                <w:spacing w:val="-2"/>
                <w:sz w:val="18"/>
              </w:rPr>
              <w:t>asesorías brindadas</w:t>
            </w:r>
            <w:r>
              <w:rPr>
                <w:spacing w:val="80"/>
                <w:sz w:val="18"/>
              </w:rPr>
              <w:t> </w:t>
            </w:r>
            <w:r>
              <w:rPr>
                <w:spacing w:val="-2"/>
                <w:sz w:val="18"/>
              </w:rPr>
              <w:t>según</w:t>
            </w:r>
            <w:r>
              <w:rPr>
                <w:spacing w:val="40"/>
                <w:sz w:val="18"/>
              </w:rPr>
              <w:t> </w:t>
            </w:r>
            <w:r>
              <w:rPr>
                <w:spacing w:val="-2"/>
                <w:sz w:val="18"/>
              </w:rPr>
              <w:t>solicitudes recibidas </w:t>
            </w:r>
            <w:r>
              <w:rPr>
                <w:sz w:val="18"/>
              </w:rPr>
              <w:t>relacionadas a los</w:t>
            </w:r>
            <w:r>
              <w:rPr>
                <w:spacing w:val="-15"/>
                <w:sz w:val="18"/>
              </w:rPr>
              <w:t> </w:t>
            </w:r>
            <w:r>
              <w:rPr>
                <w:sz w:val="18"/>
              </w:rPr>
              <w:t>proyectos</w:t>
            </w:r>
            <w:r>
              <w:rPr>
                <w:spacing w:val="-12"/>
                <w:sz w:val="18"/>
              </w:rPr>
              <w:t> </w:t>
            </w:r>
            <w:r>
              <w:rPr>
                <w:sz w:val="18"/>
              </w:rPr>
              <w:t>de infraestructura</w:t>
            </w:r>
            <w:r>
              <w:rPr>
                <w:spacing w:val="-13"/>
                <w:sz w:val="18"/>
              </w:rPr>
              <w:t> </w:t>
            </w:r>
            <w:r>
              <w:rPr>
                <w:sz w:val="18"/>
              </w:rPr>
              <w:t>y su inclusión en</w:t>
            </w:r>
          </w:p>
          <w:p>
            <w:pPr>
              <w:pStyle w:val="TableParagraph"/>
              <w:spacing w:line="189" w:lineRule="exact"/>
              <w:ind w:left="67"/>
              <w:rPr>
                <w:sz w:val="18"/>
              </w:rPr>
            </w:pPr>
            <w:r>
              <w:rPr>
                <w:sz w:val="18"/>
              </w:rPr>
              <w:t>el </w:t>
            </w:r>
            <w:r>
              <w:rPr>
                <w:spacing w:val="-4"/>
                <w:sz w:val="18"/>
              </w:rPr>
              <w:t>BPIP</w:t>
            </w:r>
          </w:p>
        </w:tc>
        <w:tc>
          <w:tcPr>
            <w:tcW w:w="1573" w:type="dxa"/>
          </w:tcPr>
          <w:p>
            <w:pPr>
              <w:pStyle w:val="TableParagraph"/>
              <w:numPr>
                <w:ilvl w:val="0"/>
                <w:numId w:val="38"/>
              </w:numPr>
              <w:tabs>
                <w:tab w:pos="226" w:val="left" w:leader="none"/>
              </w:tabs>
              <w:spacing w:line="240" w:lineRule="auto" w:before="205" w:after="0"/>
              <w:ind w:left="66" w:right="72" w:firstLine="0"/>
              <w:jc w:val="left"/>
              <w:rPr>
                <w:sz w:val="18"/>
              </w:rPr>
            </w:pPr>
            <w:r>
              <w:rPr>
                <w:sz w:val="18"/>
              </w:rPr>
              <w:t>Documentos</w:t>
            </w:r>
            <w:r>
              <w:rPr>
                <w:spacing w:val="-13"/>
                <w:sz w:val="18"/>
              </w:rPr>
              <w:t> </w:t>
            </w:r>
            <w:r>
              <w:rPr>
                <w:sz w:val="18"/>
              </w:rPr>
              <w:t>de criterios</w:t>
            </w:r>
            <w:r>
              <w:rPr>
                <w:spacing w:val="-15"/>
                <w:sz w:val="18"/>
              </w:rPr>
              <w:t> </w:t>
            </w:r>
            <w:r>
              <w:rPr>
                <w:sz w:val="18"/>
              </w:rPr>
              <w:t>en</w:t>
            </w:r>
            <w:r>
              <w:rPr>
                <w:spacing w:val="-12"/>
                <w:sz w:val="18"/>
              </w:rPr>
              <w:t> </w:t>
            </w:r>
            <w:r>
              <w:rPr>
                <w:sz w:val="18"/>
              </w:rPr>
              <w:t>temas de proyectos de </w:t>
            </w:r>
            <w:r>
              <w:rPr>
                <w:spacing w:val="-2"/>
                <w:sz w:val="18"/>
              </w:rPr>
              <w:t>infraestructura.</w:t>
            </w:r>
          </w:p>
          <w:p>
            <w:pPr>
              <w:pStyle w:val="TableParagraph"/>
              <w:numPr>
                <w:ilvl w:val="0"/>
                <w:numId w:val="38"/>
              </w:numPr>
              <w:tabs>
                <w:tab w:pos="226" w:val="left" w:leader="none"/>
              </w:tabs>
              <w:spacing w:line="240" w:lineRule="auto" w:before="0" w:after="0"/>
              <w:ind w:left="66" w:right="193" w:firstLine="0"/>
              <w:jc w:val="left"/>
              <w:rPr>
                <w:sz w:val="18"/>
              </w:rPr>
            </w:pPr>
            <w:r>
              <w:rPr>
                <w:sz w:val="18"/>
              </w:rPr>
              <w:t>Correos o </w:t>
            </w:r>
            <w:r>
              <w:rPr>
                <w:spacing w:val="-2"/>
                <w:sz w:val="18"/>
              </w:rPr>
              <w:t>documentos </w:t>
            </w:r>
            <w:r>
              <w:rPr>
                <w:sz w:val="18"/>
              </w:rPr>
              <w:t>electrónicos</w:t>
            </w:r>
            <w:r>
              <w:rPr>
                <w:spacing w:val="-13"/>
                <w:sz w:val="18"/>
              </w:rPr>
              <w:t> </w:t>
            </w:r>
            <w:r>
              <w:rPr>
                <w:sz w:val="18"/>
              </w:rPr>
              <w:t>con </w:t>
            </w:r>
            <w:r>
              <w:rPr>
                <w:spacing w:val="-2"/>
                <w:sz w:val="18"/>
              </w:rPr>
              <w:t>asesorías brindadas</w:t>
            </w:r>
          </w:p>
        </w:tc>
        <w:tc>
          <w:tcPr>
            <w:tcW w:w="1678"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6" w:right="204"/>
              <w:rPr>
                <w:sz w:val="18"/>
              </w:rPr>
            </w:pPr>
            <w:r>
              <w:rPr>
                <w:sz w:val="18"/>
              </w:rPr>
              <w:t>Departamento</w:t>
            </w:r>
            <w:r>
              <w:rPr>
                <w:spacing w:val="-13"/>
                <w:sz w:val="18"/>
              </w:rPr>
              <w:t> </w:t>
            </w:r>
            <w:r>
              <w:rPr>
                <w:sz w:val="18"/>
              </w:rPr>
              <w:t>de </w:t>
            </w:r>
            <w:r>
              <w:rPr>
                <w:spacing w:val="-2"/>
                <w:sz w:val="18"/>
              </w:rPr>
              <w:t>Servicios </w:t>
            </w:r>
            <w:r>
              <w:rPr>
                <w:sz w:val="18"/>
              </w:rPr>
              <w:t>Generales - </w:t>
            </w:r>
            <w:r>
              <w:rPr>
                <w:spacing w:val="-2"/>
                <w:sz w:val="18"/>
              </w:rPr>
              <w:t>Infraestructura</w:t>
            </w:r>
          </w:p>
        </w:tc>
        <w:tc>
          <w:tcPr>
            <w:tcW w:w="1398" w:type="dxa"/>
          </w:tcPr>
          <w:p>
            <w:pPr>
              <w:pStyle w:val="TableParagraph"/>
              <w:rPr>
                <w:rFonts w:ascii="Times New Roman"/>
                <w:sz w:val="18"/>
              </w:rPr>
            </w:pPr>
          </w:p>
        </w:tc>
        <w:tc>
          <w:tcPr>
            <w:tcW w:w="238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5" w:right="120"/>
              <w:rPr>
                <w:sz w:val="18"/>
              </w:rPr>
            </w:pPr>
            <w:r>
              <w:rPr>
                <w:sz w:val="18"/>
              </w:rPr>
              <w:t>Falta de formulación de proyectos para su inscripción en el BPIP (Fase</w:t>
            </w:r>
            <w:r>
              <w:rPr>
                <w:spacing w:val="-15"/>
                <w:sz w:val="18"/>
              </w:rPr>
              <w:t> </w:t>
            </w:r>
            <w:r>
              <w:rPr>
                <w:sz w:val="18"/>
              </w:rPr>
              <w:t>de</w:t>
            </w:r>
            <w:r>
              <w:rPr>
                <w:spacing w:val="-12"/>
                <w:sz w:val="18"/>
              </w:rPr>
              <w:t> </w:t>
            </w:r>
            <w:r>
              <w:rPr>
                <w:sz w:val="18"/>
              </w:rPr>
              <w:t>asesoramiento)</w:t>
            </w:r>
          </w:p>
        </w:tc>
      </w:tr>
      <w:tr>
        <w:trPr>
          <w:trHeight w:val="462" w:hRule="atLeast"/>
        </w:trPr>
        <w:tc>
          <w:tcPr>
            <w:tcW w:w="14181" w:type="dxa"/>
            <w:gridSpan w:val="8"/>
            <w:shd w:val="clear" w:color="auto" w:fill="D9E0F1"/>
          </w:tcPr>
          <w:p>
            <w:pPr>
              <w:pStyle w:val="TableParagraph"/>
              <w:spacing w:before="126"/>
              <w:ind w:left="69"/>
              <w:rPr>
                <w:b/>
                <w:sz w:val="18"/>
              </w:rPr>
            </w:pPr>
            <w:r>
              <w:rPr>
                <w:b/>
                <w:sz w:val="18"/>
              </w:rPr>
              <w:t>Producto</w:t>
            </w:r>
            <w:r>
              <w:rPr>
                <w:b/>
                <w:spacing w:val="-4"/>
                <w:sz w:val="18"/>
              </w:rPr>
              <w:t> </w:t>
            </w:r>
            <w:r>
              <w:rPr>
                <w:b/>
                <w:sz w:val="18"/>
              </w:rPr>
              <w:t>PAC</w:t>
            </w:r>
            <w:r>
              <w:rPr>
                <w:b/>
                <w:spacing w:val="-4"/>
                <w:sz w:val="18"/>
              </w:rPr>
              <w:t> </w:t>
            </w:r>
            <w:r>
              <w:rPr>
                <w:b/>
                <w:sz w:val="18"/>
              </w:rPr>
              <w:t>2.8:</w:t>
            </w:r>
            <w:r>
              <w:rPr>
                <w:b/>
                <w:spacing w:val="44"/>
                <w:sz w:val="18"/>
              </w:rPr>
              <w:t> </w:t>
            </w:r>
            <w:r>
              <w:rPr>
                <w:b/>
                <w:sz w:val="18"/>
              </w:rPr>
              <w:t>Servicios</w:t>
            </w:r>
            <w:r>
              <w:rPr>
                <w:b/>
                <w:spacing w:val="-3"/>
                <w:sz w:val="18"/>
              </w:rPr>
              <w:t> </w:t>
            </w:r>
            <w:r>
              <w:rPr>
                <w:b/>
                <w:sz w:val="18"/>
              </w:rPr>
              <w:t>administrativos</w:t>
            </w:r>
            <w:r>
              <w:rPr>
                <w:b/>
                <w:spacing w:val="-3"/>
                <w:sz w:val="18"/>
              </w:rPr>
              <w:t> </w:t>
            </w:r>
            <w:r>
              <w:rPr>
                <w:b/>
                <w:sz w:val="18"/>
              </w:rPr>
              <w:t>brindados</w:t>
            </w:r>
            <w:r>
              <w:rPr>
                <w:b/>
                <w:spacing w:val="-5"/>
                <w:sz w:val="18"/>
              </w:rPr>
              <w:t> </w:t>
            </w:r>
            <w:r>
              <w:rPr>
                <w:b/>
                <w:sz w:val="18"/>
              </w:rPr>
              <w:t>oportunamente</w:t>
            </w:r>
            <w:r>
              <w:rPr>
                <w:b/>
                <w:spacing w:val="-2"/>
                <w:sz w:val="18"/>
              </w:rPr>
              <w:t> </w:t>
            </w:r>
            <w:r>
              <w:rPr>
                <w:b/>
                <w:sz w:val="18"/>
              </w:rPr>
              <w:t>que</w:t>
            </w:r>
            <w:r>
              <w:rPr>
                <w:b/>
                <w:spacing w:val="-3"/>
                <w:sz w:val="18"/>
              </w:rPr>
              <w:t> </w:t>
            </w:r>
            <w:r>
              <w:rPr>
                <w:b/>
                <w:sz w:val="18"/>
              </w:rPr>
              <w:t>contribuyen</w:t>
            </w:r>
            <w:r>
              <w:rPr>
                <w:b/>
                <w:spacing w:val="-3"/>
                <w:sz w:val="18"/>
              </w:rPr>
              <w:t> </w:t>
            </w:r>
            <w:r>
              <w:rPr>
                <w:b/>
                <w:sz w:val="18"/>
              </w:rPr>
              <w:t>a</w:t>
            </w:r>
            <w:r>
              <w:rPr>
                <w:b/>
                <w:spacing w:val="-5"/>
                <w:sz w:val="18"/>
              </w:rPr>
              <w:t> </w:t>
            </w:r>
            <w:r>
              <w:rPr>
                <w:b/>
                <w:sz w:val="18"/>
              </w:rPr>
              <w:t>la</w:t>
            </w:r>
            <w:r>
              <w:rPr>
                <w:b/>
                <w:spacing w:val="-3"/>
                <w:sz w:val="18"/>
              </w:rPr>
              <w:t> </w:t>
            </w:r>
            <w:r>
              <w:rPr>
                <w:b/>
                <w:sz w:val="18"/>
              </w:rPr>
              <w:t>operación</w:t>
            </w:r>
            <w:r>
              <w:rPr>
                <w:b/>
                <w:spacing w:val="-3"/>
                <w:sz w:val="18"/>
              </w:rPr>
              <w:t> </w:t>
            </w:r>
            <w:r>
              <w:rPr>
                <w:b/>
                <w:sz w:val="18"/>
              </w:rPr>
              <w:t>institucional</w:t>
            </w:r>
            <w:r>
              <w:rPr>
                <w:b/>
                <w:spacing w:val="-3"/>
                <w:sz w:val="18"/>
              </w:rPr>
              <w:t> </w:t>
            </w:r>
            <w:r>
              <w:rPr>
                <w:b/>
                <w:spacing w:val="-2"/>
                <w:sz w:val="18"/>
              </w:rPr>
              <w:t>(Proceso)</w:t>
            </w:r>
          </w:p>
        </w:tc>
      </w:tr>
      <w:tr>
        <w:trPr>
          <w:trHeight w:val="1449" w:hRule="atLeast"/>
        </w:trPr>
        <w:tc>
          <w:tcPr>
            <w:tcW w:w="3003" w:type="dxa"/>
          </w:tcPr>
          <w:p>
            <w:pPr>
              <w:pStyle w:val="TableParagraph"/>
              <w:rPr>
                <w:b/>
                <w:sz w:val="18"/>
              </w:rPr>
            </w:pPr>
          </w:p>
          <w:p>
            <w:pPr>
              <w:pStyle w:val="TableParagraph"/>
              <w:ind w:left="69" w:right="72"/>
              <w:rPr>
                <w:sz w:val="18"/>
              </w:rPr>
            </w:pPr>
            <w:r>
              <w:rPr>
                <w:b/>
                <w:sz w:val="18"/>
              </w:rPr>
              <w:t>Actividad PAC 2.8.1: </w:t>
            </w:r>
            <w:r>
              <w:rPr>
                <w:sz w:val="18"/>
              </w:rPr>
              <w:t>Mantener la cobertura de puestos de servicios de</w:t>
            </w:r>
            <w:r>
              <w:rPr>
                <w:spacing w:val="-8"/>
                <w:sz w:val="18"/>
              </w:rPr>
              <w:t> </w:t>
            </w:r>
            <w:r>
              <w:rPr>
                <w:sz w:val="18"/>
              </w:rPr>
              <w:t>Seguridad</w:t>
            </w:r>
            <w:r>
              <w:rPr>
                <w:spacing w:val="-8"/>
                <w:sz w:val="18"/>
              </w:rPr>
              <w:t> </w:t>
            </w:r>
            <w:r>
              <w:rPr>
                <w:sz w:val="18"/>
              </w:rPr>
              <w:t>y</w:t>
            </w:r>
            <w:r>
              <w:rPr>
                <w:spacing w:val="-9"/>
                <w:sz w:val="18"/>
              </w:rPr>
              <w:t> </w:t>
            </w:r>
            <w:r>
              <w:rPr>
                <w:sz w:val="18"/>
              </w:rPr>
              <w:t>Vigilancia</w:t>
            </w:r>
            <w:r>
              <w:rPr>
                <w:spacing w:val="-8"/>
                <w:sz w:val="18"/>
              </w:rPr>
              <w:t> </w:t>
            </w:r>
            <w:r>
              <w:rPr>
                <w:sz w:val="18"/>
              </w:rPr>
              <w:t>según</w:t>
            </w:r>
            <w:r>
              <w:rPr>
                <w:spacing w:val="-8"/>
                <w:sz w:val="18"/>
              </w:rPr>
              <w:t> </w:t>
            </w:r>
            <w:r>
              <w:rPr>
                <w:sz w:val="18"/>
              </w:rPr>
              <w:t>los requerimientos institucionales. (PAC PPP)</w:t>
            </w:r>
          </w:p>
        </w:tc>
        <w:tc>
          <w:tcPr>
            <w:tcW w:w="1254" w:type="dxa"/>
          </w:tcPr>
          <w:p>
            <w:pPr>
              <w:pStyle w:val="TableParagraph"/>
              <w:rPr>
                <w:b/>
                <w:sz w:val="18"/>
              </w:rPr>
            </w:pPr>
          </w:p>
          <w:p>
            <w:pPr>
              <w:pStyle w:val="TableParagraph"/>
              <w:spacing w:before="206"/>
              <w:rPr>
                <w:b/>
                <w:sz w:val="18"/>
              </w:rPr>
            </w:pPr>
          </w:p>
          <w:p>
            <w:pPr>
              <w:pStyle w:val="TableParagraph"/>
              <w:ind w:right="56"/>
              <w:jc w:val="right"/>
              <w:rPr>
                <w:sz w:val="18"/>
              </w:rPr>
            </w:pPr>
            <w:r>
              <w:rPr>
                <w:spacing w:val="-4"/>
                <w:sz w:val="18"/>
              </w:rPr>
              <w:t>100%</w:t>
            </w:r>
          </w:p>
        </w:tc>
        <w:tc>
          <w:tcPr>
            <w:tcW w:w="1417" w:type="dxa"/>
          </w:tcPr>
          <w:p>
            <w:pPr>
              <w:pStyle w:val="TableParagraph"/>
              <w:rPr>
                <w:b/>
                <w:sz w:val="18"/>
              </w:rPr>
            </w:pPr>
          </w:p>
          <w:p>
            <w:pPr>
              <w:pStyle w:val="TableParagraph"/>
              <w:spacing w:before="206"/>
              <w:rPr>
                <w:b/>
                <w:sz w:val="18"/>
              </w:rPr>
            </w:pPr>
          </w:p>
          <w:p>
            <w:pPr>
              <w:pStyle w:val="TableParagraph"/>
              <w:ind w:right="57"/>
              <w:jc w:val="right"/>
              <w:rPr>
                <w:sz w:val="18"/>
              </w:rPr>
            </w:pPr>
            <w:r>
              <w:rPr>
                <w:spacing w:val="-4"/>
                <w:sz w:val="18"/>
              </w:rPr>
              <w:t>100%</w:t>
            </w:r>
          </w:p>
        </w:tc>
        <w:tc>
          <w:tcPr>
            <w:tcW w:w="1472" w:type="dxa"/>
          </w:tcPr>
          <w:p>
            <w:pPr>
              <w:pStyle w:val="TableParagraph"/>
              <w:spacing w:before="1"/>
              <w:ind w:left="67" w:right="270"/>
              <w:rPr>
                <w:sz w:val="18"/>
              </w:rPr>
            </w:pPr>
            <w:r>
              <w:rPr>
                <w:sz w:val="18"/>
              </w:rPr>
              <w:t>Porcentaje</w:t>
            </w:r>
            <w:r>
              <w:rPr>
                <w:spacing w:val="-13"/>
                <w:sz w:val="18"/>
              </w:rPr>
              <w:t> </w:t>
            </w:r>
            <w:r>
              <w:rPr>
                <w:sz w:val="18"/>
              </w:rPr>
              <w:t>de puestos con servicios de Seguridad y </w:t>
            </w:r>
            <w:r>
              <w:rPr>
                <w:spacing w:val="-2"/>
                <w:sz w:val="18"/>
              </w:rPr>
              <w:t>Vigilancia </w:t>
            </w:r>
            <w:r>
              <w:rPr>
                <w:sz w:val="18"/>
              </w:rPr>
              <w:t>ejecutados</w:t>
            </w:r>
            <w:r>
              <w:rPr>
                <w:spacing w:val="-6"/>
                <w:sz w:val="18"/>
              </w:rPr>
              <w:t> </w:t>
            </w:r>
            <w:r>
              <w:rPr>
                <w:spacing w:val="-5"/>
                <w:sz w:val="18"/>
              </w:rPr>
              <w:t>de</w:t>
            </w:r>
          </w:p>
          <w:p>
            <w:pPr>
              <w:pStyle w:val="TableParagraph"/>
              <w:spacing w:line="186" w:lineRule="exact"/>
              <w:ind w:left="67"/>
              <w:rPr>
                <w:sz w:val="18"/>
              </w:rPr>
            </w:pPr>
            <w:r>
              <w:rPr>
                <w:sz w:val="18"/>
              </w:rPr>
              <w:t>forma</w:t>
            </w:r>
            <w:r>
              <w:rPr>
                <w:spacing w:val="-4"/>
                <w:sz w:val="18"/>
              </w:rPr>
              <w:t> </w:t>
            </w:r>
            <w:r>
              <w:rPr>
                <w:spacing w:val="-2"/>
                <w:sz w:val="18"/>
              </w:rPr>
              <w:t>continua</w:t>
            </w:r>
          </w:p>
        </w:tc>
        <w:tc>
          <w:tcPr>
            <w:tcW w:w="1573" w:type="dxa"/>
          </w:tcPr>
          <w:p>
            <w:pPr>
              <w:pStyle w:val="TableParagraph"/>
              <w:spacing w:before="103"/>
              <w:rPr>
                <w:b/>
                <w:sz w:val="18"/>
              </w:rPr>
            </w:pPr>
          </w:p>
          <w:p>
            <w:pPr>
              <w:pStyle w:val="TableParagraph"/>
              <w:spacing w:before="1"/>
              <w:ind w:left="66" w:right="129"/>
              <w:rPr>
                <w:sz w:val="18"/>
              </w:rPr>
            </w:pPr>
            <w:r>
              <w:rPr>
                <w:sz w:val="18"/>
              </w:rPr>
              <w:t>No.</w:t>
            </w:r>
            <w:r>
              <w:rPr>
                <w:spacing w:val="-15"/>
                <w:sz w:val="18"/>
              </w:rPr>
              <w:t> </w:t>
            </w:r>
            <w:r>
              <w:rPr>
                <w:sz w:val="18"/>
              </w:rPr>
              <w:t>de</w:t>
            </w:r>
            <w:r>
              <w:rPr>
                <w:spacing w:val="-12"/>
                <w:sz w:val="18"/>
              </w:rPr>
              <w:t> </w:t>
            </w:r>
            <w:r>
              <w:rPr>
                <w:sz w:val="18"/>
              </w:rPr>
              <w:t>puestos </w:t>
            </w:r>
            <w:r>
              <w:rPr>
                <w:spacing w:val="-2"/>
                <w:sz w:val="18"/>
              </w:rPr>
              <w:t>institucionales </w:t>
            </w:r>
            <w:r>
              <w:rPr>
                <w:sz w:val="18"/>
              </w:rPr>
              <w:t>con servicios </w:t>
            </w:r>
            <w:r>
              <w:rPr>
                <w:spacing w:val="-2"/>
                <w:sz w:val="18"/>
              </w:rPr>
              <w:t>continuos</w:t>
            </w:r>
          </w:p>
        </w:tc>
        <w:tc>
          <w:tcPr>
            <w:tcW w:w="1678" w:type="dxa"/>
          </w:tcPr>
          <w:p>
            <w:pPr>
              <w:pStyle w:val="TableParagraph"/>
              <w:rPr>
                <w:b/>
                <w:sz w:val="18"/>
              </w:rPr>
            </w:pPr>
          </w:p>
          <w:p>
            <w:pPr>
              <w:pStyle w:val="TableParagraph"/>
              <w:ind w:left="66" w:right="378"/>
              <w:rPr>
                <w:sz w:val="18"/>
              </w:rPr>
            </w:pPr>
            <w:r>
              <w:rPr>
                <w:spacing w:val="-2"/>
                <w:sz w:val="18"/>
              </w:rPr>
              <w:t>Departamento Servicios Generales-Servicios Administrativos</w:t>
            </w:r>
          </w:p>
        </w:tc>
        <w:tc>
          <w:tcPr>
            <w:tcW w:w="1398" w:type="dxa"/>
          </w:tcPr>
          <w:p>
            <w:pPr>
              <w:pStyle w:val="TableParagraph"/>
              <w:rPr>
                <w:b/>
                <w:sz w:val="18"/>
              </w:rPr>
            </w:pPr>
          </w:p>
          <w:p>
            <w:pPr>
              <w:pStyle w:val="TableParagraph"/>
              <w:spacing w:before="206"/>
              <w:rPr>
                <w:b/>
                <w:sz w:val="18"/>
              </w:rPr>
            </w:pPr>
          </w:p>
          <w:p>
            <w:pPr>
              <w:pStyle w:val="TableParagraph"/>
              <w:ind w:right="61"/>
              <w:jc w:val="right"/>
              <w:rPr>
                <w:sz w:val="18"/>
              </w:rPr>
            </w:pPr>
            <w:r>
              <w:rPr>
                <w:sz w:val="18"/>
              </w:rPr>
              <w:t>₡1</w:t>
            </w:r>
            <w:r>
              <w:rPr>
                <w:spacing w:val="-9"/>
                <w:sz w:val="18"/>
              </w:rPr>
              <w:t> </w:t>
            </w:r>
            <w:r>
              <w:rPr>
                <w:sz w:val="18"/>
              </w:rPr>
              <w:t>967</w:t>
            </w:r>
            <w:r>
              <w:rPr>
                <w:spacing w:val="-9"/>
                <w:sz w:val="18"/>
              </w:rPr>
              <w:t> </w:t>
            </w:r>
            <w:r>
              <w:rPr>
                <w:sz w:val="18"/>
              </w:rPr>
              <w:t>863</w:t>
            </w:r>
            <w:r>
              <w:rPr>
                <w:spacing w:val="-8"/>
                <w:sz w:val="18"/>
              </w:rPr>
              <w:t> </w:t>
            </w:r>
            <w:r>
              <w:rPr>
                <w:spacing w:val="-5"/>
                <w:sz w:val="18"/>
              </w:rPr>
              <w:t>230</w:t>
            </w:r>
          </w:p>
        </w:tc>
        <w:tc>
          <w:tcPr>
            <w:tcW w:w="2386" w:type="dxa"/>
          </w:tcPr>
          <w:p>
            <w:pPr>
              <w:pStyle w:val="TableParagraph"/>
              <w:spacing w:before="103"/>
              <w:rPr>
                <w:b/>
                <w:sz w:val="18"/>
              </w:rPr>
            </w:pPr>
          </w:p>
          <w:p>
            <w:pPr>
              <w:pStyle w:val="TableParagraph"/>
              <w:spacing w:before="1"/>
              <w:ind w:left="65" w:right="118"/>
              <w:rPr>
                <w:sz w:val="18"/>
              </w:rPr>
            </w:pPr>
            <w:r>
              <w:rPr>
                <w:sz w:val="18"/>
              </w:rPr>
              <w:t>No poder satisfacer la cobertura de los puestos del</w:t>
            </w:r>
            <w:r>
              <w:rPr>
                <w:spacing w:val="-9"/>
                <w:sz w:val="18"/>
              </w:rPr>
              <w:t> </w:t>
            </w:r>
            <w:r>
              <w:rPr>
                <w:sz w:val="18"/>
              </w:rPr>
              <w:t>Servicio</w:t>
            </w:r>
            <w:r>
              <w:rPr>
                <w:spacing w:val="-11"/>
                <w:sz w:val="18"/>
              </w:rPr>
              <w:t> </w:t>
            </w:r>
            <w:r>
              <w:rPr>
                <w:sz w:val="18"/>
              </w:rPr>
              <w:t>de</w:t>
            </w:r>
            <w:r>
              <w:rPr>
                <w:spacing w:val="-9"/>
                <w:sz w:val="18"/>
              </w:rPr>
              <w:t> </w:t>
            </w:r>
            <w:r>
              <w:rPr>
                <w:sz w:val="18"/>
              </w:rPr>
              <w:t>Seguridad</w:t>
            </w:r>
            <w:r>
              <w:rPr>
                <w:spacing w:val="-11"/>
                <w:sz w:val="18"/>
              </w:rPr>
              <w:t> </w:t>
            </w:r>
            <w:r>
              <w:rPr>
                <w:sz w:val="18"/>
              </w:rPr>
              <w:t>y </w:t>
            </w:r>
            <w:r>
              <w:rPr>
                <w:spacing w:val="-2"/>
                <w:sz w:val="18"/>
              </w:rPr>
              <w:t>Vigilancia.</w:t>
            </w:r>
          </w:p>
        </w:tc>
      </w:tr>
      <w:tr>
        <w:trPr>
          <w:trHeight w:val="1037" w:hRule="atLeast"/>
        </w:trPr>
        <w:tc>
          <w:tcPr>
            <w:tcW w:w="3003" w:type="dxa"/>
          </w:tcPr>
          <w:p>
            <w:pPr>
              <w:pStyle w:val="TableParagraph"/>
              <w:ind w:left="69" w:right="113"/>
              <w:rPr>
                <w:sz w:val="18"/>
              </w:rPr>
            </w:pPr>
            <w:r>
              <w:rPr>
                <w:b/>
                <w:sz w:val="18"/>
              </w:rPr>
              <w:t>Actividad</w:t>
            </w:r>
            <w:r>
              <w:rPr>
                <w:b/>
                <w:spacing w:val="-11"/>
                <w:sz w:val="18"/>
              </w:rPr>
              <w:t> </w:t>
            </w:r>
            <w:r>
              <w:rPr>
                <w:b/>
                <w:sz w:val="18"/>
              </w:rPr>
              <w:t>PAC</w:t>
            </w:r>
            <w:r>
              <w:rPr>
                <w:b/>
                <w:spacing w:val="-10"/>
                <w:sz w:val="18"/>
              </w:rPr>
              <w:t> </w:t>
            </w:r>
            <w:r>
              <w:rPr>
                <w:b/>
                <w:sz w:val="18"/>
              </w:rPr>
              <w:t>2.8.2:</w:t>
            </w:r>
            <w:r>
              <w:rPr>
                <w:b/>
                <w:spacing w:val="-8"/>
                <w:sz w:val="18"/>
              </w:rPr>
              <w:t> </w:t>
            </w:r>
            <w:r>
              <w:rPr>
                <w:sz w:val="18"/>
              </w:rPr>
              <w:t>Mantener</w:t>
            </w:r>
            <w:r>
              <w:rPr>
                <w:spacing w:val="-10"/>
                <w:sz w:val="18"/>
              </w:rPr>
              <w:t> </w:t>
            </w:r>
            <w:r>
              <w:rPr>
                <w:sz w:val="18"/>
              </w:rPr>
              <w:t>la cobertura de puestos de servicios de Aseo y Limpieza según los</w:t>
            </w:r>
          </w:p>
          <w:p>
            <w:pPr>
              <w:pStyle w:val="TableParagraph"/>
              <w:spacing w:line="206" w:lineRule="exact"/>
              <w:ind w:left="69" w:right="495"/>
              <w:rPr>
                <w:sz w:val="18"/>
              </w:rPr>
            </w:pPr>
            <w:r>
              <w:rPr>
                <w:sz w:val="18"/>
              </w:rPr>
              <w:t>requerimientos</w:t>
            </w:r>
            <w:r>
              <w:rPr>
                <w:spacing w:val="-13"/>
                <w:sz w:val="18"/>
              </w:rPr>
              <w:t> </w:t>
            </w:r>
            <w:r>
              <w:rPr>
                <w:sz w:val="18"/>
              </w:rPr>
              <w:t>institucionales. (PAC PPP)</w:t>
            </w:r>
          </w:p>
        </w:tc>
        <w:tc>
          <w:tcPr>
            <w:tcW w:w="1254" w:type="dxa"/>
          </w:tcPr>
          <w:p>
            <w:pPr>
              <w:pStyle w:val="TableParagraph"/>
              <w:rPr>
                <w:b/>
                <w:sz w:val="18"/>
              </w:rPr>
            </w:pPr>
          </w:p>
          <w:p>
            <w:pPr>
              <w:pStyle w:val="TableParagraph"/>
              <w:rPr>
                <w:b/>
                <w:sz w:val="18"/>
              </w:rPr>
            </w:pPr>
          </w:p>
          <w:p>
            <w:pPr>
              <w:pStyle w:val="TableParagraph"/>
              <w:ind w:right="56"/>
              <w:jc w:val="right"/>
              <w:rPr>
                <w:sz w:val="18"/>
              </w:rPr>
            </w:pPr>
            <w:r>
              <w:rPr>
                <w:spacing w:val="-4"/>
                <w:sz w:val="18"/>
              </w:rPr>
              <w:t>100%</w:t>
            </w:r>
          </w:p>
        </w:tc>
        <w:tc>
          <w:tcPr>
            <w:tcW w:w="1417" w:type="dxa"/>
          </w:tcPr>
          <w:p>
            <w:pPr>
              <w:pStyle w:val="TableParagraph"/>
              <w:rPr>
                <w:b/>
                <w:sz w:val="18"/>
              </w:rPr>
            </w:pPr>
          </w:p>
          <w:p>
            <w:pPr>
              <w:pStyle w:val="TableParagraph"/>
              <w:rPr>
                <w:b/>
                <w:sz w:val="18"/>
              </w:rPr>
            </w:pPr>
          </w:p>
          <w:p>
            <w:pPr>
              <w:pStyle w:val="TableParagraph"/>
              <w:ind w:right="57"/>
              <w:jc w:val="right"/>
              <w:rPr>
                <w:sz w:val="18"/>
              </w:rPr>
            </w:pPr>
            <w:r>
              <w:rPr>
                <w:spacing w:val="-4"/>
                <w:sz w:val="18"/>
              </w:rPr>
              <w:t>100%</w:t>
            </w:r>
          </w:p>
        </w:tc>
        <w:tc>
          <w:tcPr>
            <w:tcW w:w="1472" w:type="dxa"/>
          </w:tcPr>
          <w:p>
            <w:pPr>
              <w:pStyle w:val="TableParagraph"/>
              <w:ind w:left="67"/>
              <w:rPr>
                <w:sz w:val="18"/>
              </w:rPr>
            </w:pPr>
            <w:r>
              <w:rPr>
                <w:sz w:val="18"/>
              </w:rPr>
              <w:t>Porcentaje de puestos de Limpieza</w:t>
            </w:r>
            <w:r>
              <w:rPr>
                <w:spacing w:val="-15"/>
                <w:sz w:val="18"/>
              </w:rPr>
              <w:t> </w:t>
            </w:r>
            <w:r>
              <w:rPr>
                <w:sz w:val="18"/>
              </w:rPr>
              <w:t>y</w:t>
            </w:r>
            <w:r>
              <w:rPr>
                <w:spacing w:val="-12"/>
                <w:sz w:val="18"/>
              </w:rPr>
              <w:t> </w:t>
            </w:r>
            <w:r>
              <w:rPr>
                <w:sz w:val="18"/>
              </w:rPr>
              <w:t>Aseo</w:t>
            </w:r>
          </w:p>
          <w:p>
            <w:pPr>
              <w:pStyle w:val="TableParagraph"/>
              <w:spacing w:line="206" w:lineRule="exact"/>
              <w:ind w:left="67"/>
              <w:rPr>
                <w:sz w:val="18"/>
              </w:rPr>
            </w:pPr>
            <w:r>
              <w:rPr>
                <w:sz w:val="18"/>
              </w:rPr>
              <w:t>ejecutados de forma</w:t>
            </w:r>
            <w:r>
              <w:rPr>
                <w:spacing w:val="-4"/>
                <w:sz w:val="18"/>
              </w:rPr>
              <w:t> </w:t>
            </w:r>
            <w:r>
              <w:rPr>
                <w:spacing w:val="-2"/>
                <w:sz w:val="18"/>
              </w:rPr>
              <w:t>continua</w:t>
            </w:r>
          </w:p>
        </w:tc>
        <w:tc>
          <w:tcPr>
            <w:tcW w:w="1573" w:type="dxa"/>
          </w:tcPr>
          <w:p>
            <w:pPr>
              <w:pStyle w:val="TableParagraph"/>
              <w:spacing w:before="105"/>
              <w:ind w:left="66" w:right="129"/>
              <w:rPr>
                <w:sz w:val="18"/>
              </w:rPr>
            </w:pPr>
            <w:r>
              <w:rPr>
                <w:sz w:val="18"/>
              </w:rPr>
              <w:t>No.</w:t>
            </w:r>
            <w:r>
              <w:rPr>
                <w:spacing w:val="-15"/>
                <w:sz w:val="18"/>
              </w:rPr>
              <w:t> </w:t>
            </w:r>
            <w:r>
              <w:rPr>
                <w:sz w:val="18"/>
              </w:rPr>
              <w:t>de</w:t>
            </w:r>
            <w:r>
              <w:rPr>
                <w:spacing w:val="-12"/>
                <w:sz w:val="18"/>
              </w:rPr>
              <w:t> </w:t>
            </w:r>
            <w:r>
              <w:rPr>
                <w:sz w:val="18"/>
              </w:rPr>
              <w:t>puestos </w:t>
            </w:r>
            <w:r>
              <w:rPr>
                <w:spacing w:val="-2"/>
                <w:sz w:val="18"/>
              </w:rPr>
              <w:t>institucionales </w:t>
            </w:r>
            <w:r>
              <w:rPr>
                <w:sz w:val="18"/>
              </w:rPr>
              <w:t>con servicios </w:t>
            </w:r>
            <w:r>
              <w:rPr>
                <w:spacing w:val="-2"/>
                <w:sz w:val="18"/>
              </w:rPr>
              <w:t>continuos</w:t>
            </w:r>
          </w:p>
        </w:tc>
        <w:tc>
          <w:tcPr>
            <w:tcW w:w="1678" w:type="dxa"/>
          </w:tcPr>
          <w:p>
            <w:pPr>
              <w:pStyle w:val="TableParagraph"/>
              <w:ind w:left="66" w:right="459"/>
              <w:rPr>
                <w:sz w:val="18"/>
              </w:rPr>
            </w:pPr>
            <w:r>
              <w:rPr>
                <w:spacing w:val="-2"/>
                <w:sz w:val="18"/>
              </w:rPr>
              <w:t>Departamento Servicios Generales-</w:t>
            </w:r>
          </w:p>
          <w:p>
            <w:pPr>
              <w:pStyle w:val="TableParagraph"/>
              <w:spacing w:line="206" w:lineRule="exact"/>
              <w:ind w:left="66"/>
              <w:rPr>
                <w:sz w:val="18"/>
              </w:rPr>
            </w:pPr>
            <w:r>
              <w:rPr>
                <w:spacing w:val="-2"/>
                <w:sz w:val="18"/>
              </w:rPr>
              <w:t>Servicios Administrativos</w:t>
            </w:r>
          </w:p>
        </w:tc>
        <w:tc>
          <w:tcPr>
            <w:tcW w:w="1398" w:type="dxa"/>
          </w:tcPr>
          <w:p>
            <w:pPr>
              <w:pStyle w:val="TableParagraph"/>
              <w:rPr>
                <w:b/>
                <w:sz w:val="18"/>
              </w:rPr>
            </w:pPr>
          </w:p>
          <w:p>
            <w:pPr>
              <w:pStyle w:val="TableParagraph"/>
              <w:rPr>
                <w:b/>
                <w:sz w:val="18"/>
              </w:rPr>
            </w:pPr>
          </w:p>
          <w:p>
            <w:pPr>
              <w:pStyle w:val="TableParagraph"/>
              <w:ind w:right="61"/>
              <w:jc w:val="right"/>
              <w:rPr>
                <w:sz w:val="18"/>
              </w:rPr>
            </w:pPr>
            <w:r>
              <w:rPr>
                <w:sz w:val="18"/>
              </w:rPr>
              <w:t>₡514</w:t>
            </w:r>
            <w:r>
              <w:rPr>
                <w:spacing w:val="-2"/>
                <w:sz w:val="18"/>
              </w:rPr>
              <w:t> </w:t>
            </w:r>
            <w:r>
              <w:rPr>
                <w:sz w:val="18"/>
              </w:rPr>
              <w:t>104</w:t>
            </w:r>
            <w:r>
              <w:rPr>
                <w:spacing w:val="-2"/>
                <w:sz w:val="18"/>
              </w:rPr>
              <w:t> </w:t>
            </w:r>
            <w:r>
              <w:rPr>
                <w:spacing w:val="-5"/>
                <w:sz w:val="18"/>
              </w:rPr>
              <w:t>060</w:t>
            </w:r>
          </w:p>
        </w:tc>
        <w:tc>
          <w:tcPr>
            <w:tcW w:w="2386" w:type="dxa"/>
          </w:tcPr>
          <w:p>
            <w:pPr>
              <w:pStyle w:val="TableParagraph"/>
              <w:spacing w:before="105"/>
              <w:ind w:left="65"/>
              <w:rPr>
                <w:sz w:val="18"/>
              </w:rPr>
            </w:pPr>
            <w:r>
              <w:rPr>
                <w:sz w:val="18"/>
              </w:rPr>
              <w:t>No poder satisfacer la cobertura</w:t>
            </w:r>
            <w:r>
              <w:rPr>
                <w:spacing w:val="-11"/>
                <w:sz w:val="18"/>
              </w:rPr>
              <w:t> </w:t>
            </w:r>
            <w:r>
              <w:rPr>
                <w:sz w:val="18"/>
              </w:rPr>
              <w:t>de</w:t>
            </w:r>
            <w:r>
              <w:rPr>
                <w:spacing w:val="-9"/>
                <w:sz w:val="18"/>
              </w:rPr>
              <w:t> </w:t>
            </w:r>
            <w:r>
              <w:rPr>
                <w:sz w:val="18"/>
              </w:rPr>
              <w:t>los</w:t>
            </w:r>
            <w:r>
              <w:rPr>
                <w:spacing w:val="-10"/>
                <w:sz w:val="18"/>
              </w:rPr>
              <w:t> </w:t>
            </w:r>
            <w:r>
              <w:rPr>
                <w:sz w:val="18"/>
              </w:rPr>
              <w:t>puestos</w:t>
            </w:r>
            <w:r>
              <w:rPr>
                <w:spacing w:val="-9"/>
                <w:sz w:val="18"/>
              </w:rPr>
              <w:t> </w:t>
            </w:r>
            <w:r>
              <w:rPr>
                <w:sz w:val="18"/>
              </w:rPr>
              <w:t>de Servicios de Aseo y </w:t>
            </w:r>
            <w:r>
              <w:rPr>
                <w:spacing w:val="-2"/>
                <w:sz w:val="18"/>
              </w:rPr>
              <w:t>Limpieza.</w:t>
            </w:r>
          </w:p>
        </w:tc>
      </w:tr>
    </w:tbl>
    <w:p>
      <w:pPr>
        <w:pStyle w:val="TableParagraph"/>
        <w:spacing w:after="0"/>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03"/>
        <w:gridCol w:w="1254"/>
        <w:gridCol w:w="1417"/>
        <w:gridCol w:w="1472"/>
        <w:gridCol w:w="1573"/>
        <w:gridCol w:w="1678"/>
        <w:gridCol w:w="1398"/>
        <w:gridCol w:w="2386"/>
      </w:tblGrid>
      <w:tr>
        <w:trPr>
          <w:trHeight w:val="1813" w:hRule="atLeast"/>
        </w:trPr>
        <w:tc>
          <w:tcPr>
            <w:tcW w:w="3003" w:type="dxa"/>
          </w:tcPr>
          <w:p>
            <w:pPr>
              <w:pStyle w:val="TableParagraph"/>
              <w:spacing w:before="78"/>
              <w:ind w:left="69" w:right="113"/>
              <w:rPr>
                <w:sz w:val="18"/>
              </w:rPr>
            </w:pPr>
            <w:r>
              <w:rPr>
                <w:b/>
                <w:sz w:val="18"/>
              </w:rPr>
              <w:t>Actividad</w:t>
            </w:r>
            <w:r>
              <w:rPr>
                <w:b/>
                <w:spacing w:val="-11"/>
                <w:sz w:val="18"/>
              </w:rPr>
              <w:t> </w:t>
            </w:r>
            <w:r>
              <w:rPr>
                <w:b/>
                <w:sz w:val="18"/>
              </w:rPr>
              <w:t>PAC</w:t>
            </w:r>
            <w:r>
              <w:rPr>
                <w:b/>
                <w:spacing w:val="-10"/>
                <w:sz w:val="18"/>
              </w:rPr>
              <w:t> </w:t>
            </w:r>
            <w:r>
              <w:rPr>
                <w:b/>
                <w:sz w:val="18"/>
              </w:rPr>
              <w:t>2.8.3:</w:t>
            </w:r>
            <w:r>
              <w:rPr>
                <w:b/>
                <w:spacing w:val="-8"/>
                <w:sz w:val="18"/>
              </w:rPr>
              <w:t> </w:t>
            </w:r>
            <w:r>
              <w:rPr>
                <w:sz w:val="18"/>
              </w:rPr>
              <w:t>Mantener</w:t>
            </w:r>
            <w:r>
              <w:rPr>
                <w:spacing w:val="-10"/>
                <w:sz w:val="18"/>
              </w:rPr>
              <w:t> </w:t>
            </w:r>
            <w:r>
              <w:rPr>
                <w:sz w:val="18"/>
              </w:rPr>
              <w:t>la cobertura de servicios de mantenimiento de los equipos electromecánicos</w:t>
            </w:r>
            <w:r>
              <w:rPr>
                <w:spacing w:val="-9"/>
                <w:sz w:val="18"/>
              </w:rPr>
              <w:t> </w:t>
            </w:r>
            <w:r>
              <w:rPr>
                <w:sz w:val="18"/>
              </w:rPr>
              <w:t>necesarios</w:t>
            </w:r>
            <w:r>
              <w:rPr>
                <w:spacing w:val="-8"/>
                <w:sz w:val="18"/>
              </w:rPr>
              <w:t> </w:t>
            </w:r>
            <w:r>
              <w:rPr>
                <w:sz w:val="18"/>
              </w:rPr>
              <w:t>para la operatividad de los edificios propios</w:t>
            </w:r>
            <w:r>
              <w:rPr>
                <w:spacing w:val="-6"/>
                <w:sz w:val="18"/>
              </w:rPr>
              <w:t> </w:t>
            </w:r>
            <w:r>
              <w:rPr>
                <w:sz w:val="18"/>
              </w:rPr>
              <w:t>de</w:t>
            </w:r>
            <w:r>
              <w:rPr>
                <w:spacing w:val="-7"/>
                <w:sz w:val="18"/>
              </w:rPr>
              <w:t> </w:t>
            </w:r>
            <w:r>
              <w:rPr>
                <w:sz w:val="18"/>
              </w:rPr>
              <w:t>Nivel</w:t>
            </w:r>
            <w:r>
              <w:rPr>
                <w:spacing w:val="-7"/>
                <w:sz w:val="18"/>
              </w:rPr>
              <w:t> </w:t>
            </w:r>
            <w:r>
              <w:rPr>
                <w:sz w:val="18"/>
              </w:rPr>
              <w:t>Central.</w:t>
            </w:r>
            <w:r>
              <w:rPr>
                <w:spacing w:val="-7"/>
                <w:sz w:val="18"/>
              </w:rPr>
              <w:t> </w:t>
            </w:r>
            <w:r>
              <w:rPr>
                <w:sz w:val="18"/>
              </w:rPr>
              <w:t>(1.08.01) (1.08.04) (1.08.06) (1.08.07)</w:t>
            </w:r>
          </w:p>
          <w:p>
            <w:pPr>
              <w:pStyle w:val="TableParagraph"/>
              <w:spacing w:before="1"/>
              <w:ind w:left="69"/>
              <w:rPr>
                <w:sz w:val="18"/>
              </w:rPr>
            </w:pPr>
            <w:r>
              <w:rPr>
                <w:sz w:val="18"/>
              </w:rPr>
              <w:t>(1.08.99)</w:t>
            </w:r>
            <w:r>
              <w:rPr>
                <w:spacing w:val="-5"/>
                <w:sz w:val="18"/>
              </w:rPr>
              <w:t> </w:t>
            </w:r>
            <w:r>
              <w:rPr>
                <w:spacing w:val="-2"/>
                <w:sz w:val="18"/>
              </w:rPr>
              <w:t>(1.08.08)</w:t>
            </w:r>
          </w:p>
        </w:tc>
        <w:tc>
          <w:tcPr>
            <w:tcW w:w="1254" w:type="dxa"/>
          </w:tcPr>
          <w:p>
            <w:pPr>
              <w:pStyle w:val="TableParagraph"/>
              <w:rPr>
                <w:b/>
                <w:sz w:val="18"/>
              </w:rPr>
            </w:pPr>
          </w:p>
          <w:p>
            <w:pPr>
              <w:pStyle w:val="TableParagraph"/>
              <w:rPr>
                <w:b/>
                <w:sz w:val="18"/>
              </w:rPr>
            </w:pPr>
          </w:p>
          <w:p>
            <w:pPr>
              <w:pStyle w:val="TableParagraph"/>
              <w:spacing w:before="182"/>
              <w:rPr>
                <w:b/>
                <w:sz w:val="18"/>
              </w:rPr>
            </w:pPr>
          </w:p>
          <w:p>
            <w:pPr>
              <w:pStyle w:val="TableParagraph"/>
              <w:ind w:right="56"/>
              <w:jc w:val="right"/>
              <w:rPr>
                <w:sz w:val="18"/>
              </w:rPr>
            </w:pPr>
            <w:r>
              <w:rPr>
                <w:spacing w:val="-4"/>
                <w:sz w:val="18"/>
              </w:rPr>
              <w:t>100%</w:t>
            </w:r>
          </w:p>
        </w:tc>
        <w:tc>
          <w:tcPr>
            <w:tcW w:w="1417" w:type="dxa"/>
          </w:tcPr>
          <w:p>
            <w:pPr>
              <w:pStyle w:val="TableParagraph"/>
              <w:rPr>
                <w:b/>
                <w:sz w:val="18"/>
              </w:rPr>
            </w:pPr>
          </w:p>
          <w:p>
            <w:pPr>
              <w:pStyle w:val="TableParagraph"/>
              <w:rPr>
                <w:b/>
                <w:sz w:val="18"/>
              </w:rPr>
            </w:pPr>
          </w:p>
          <w:p>
            <w:pPr>
              <w:pStyle w:val="TableParagraph"/>
              <w:spacing w:before="182"/>
              <w:rPr>
                <w:b/>
                <w:sz w:val="18"/>
              </w:rPr>
            </w:pPr>
          </w:p>
          <w:p>
            <w:pPr>
              <w:pStyle w:val="TableParagraph"/>
              <w:ind w:right="57"/>
              <w:jc w:val="right"/>
              <w:rPr>
                <w:sz w:val="18"/>
              </w:rPr>
            </w:pPr>
            <w:r>
              <w:rPr>
                <w:spacing w:val="-4"/>
                <w:sz w:val="18"/>
              </w:rPr>
              <w:t>100%</w:t>
            </w:r>
          </w:p>
        </w:tc>
        <w:tc>
          <w:tcPr>
            <w:tcW w:w="1472" w:type="dxa"/>
          </w:tcPr>
          <w:p>
            <w:pPr>
              <w:pStyle w:val="TableParagraph"/>
              <w:spacing w:before="183"/>
              <w:rPr>
                <w:b/>
                <w:sz w:val="18"/>
              </w:rPr>
            </w:pPr>
          </w:p>
          <w:p>
            <w:pPr>
              <w:pStyle w:val="TableParagraph"/>
              <w:ind w:left="67"/>
              <w:rPr>
                <w:sz w:val="18"/>
              </w:rPr>
            </w:pPr>
            <w:r>
              <w:rPr>
                <w:sz w:val="18"/>
              </w:rPr>
              <w:t>Porcentaje de equipos que cuentan con servicios de </w:t>
            </w:r>
            <w:r>
              <w:rPr>
                <w:spacing w:val="-2"/>
                <w:sz w:val="18"/>
              </w:rPr>
              <w:t>mantenimiento.</w:t>
            </w:r>
          </w:p>
        </w:tc>
        <w:tc>
          <w:tcPr>
            <w:tcW w:w="1573" w:type="dxa"/>
          </w:tcPr>
          <w:p>
            <w:pPr>
              <w:pStyle w:val="TableParagraph"/>
              <w:rPr>
                <w:b/>
                <w:sz w:val="18"/>
              </w:rPr>
            </w:pPr>
          </w:p>
          <w:p>
            <w:pPr>
              <w:pStyle w:val="TableParagraph"/>
              <w:spacing w:before="182"/>
              <w:rPr>
                <w:b/>
                <w:sz w:val="18"/>
              </w:rPr>
            </w:pPr>
          </w:p>
          <w:p>
            <w:pPr>
              <w:pStyle w:val="TableParagraph"/>
              <w:ind w:left="66" w:right="129"/>
              <w:rPr>
                <w:sz w:val="18"/>
              </w:rPr>
            </w:pPr>
            <w:r>
              <w:rPr>
                <w:sz w:val="18"/>
              </w:rPr>
              <w:t>No. de equipos </w:t>
            </w:r>
            <w:r>
              <w:rPr>
                <w:spacing w:val="-6"/>
                <w:sz w:val="18"/>
              </w:rPr>
              <w:t>en </w:t>
            </w:r>
            <w:r>
              <w:rPr>
                <w:spacing w:val="-2"/>
                <w:sz w:val="18"/>
              </w:rPr>
              <w:t>funcionamiento.</w:t>
            </w:r>
          </w:p>
        </w:tc>
        <w:tc>
          <w:tcPr>
            <w:tcW w:w="1678" w:type="dxa"/>
          </w:tcPr>
          <w:p>
            <w:pPr>
              <w:pStyle w:val="TableParagraph"/>
              <w:spacing w:before="183"/>
              <w:rPr>
                <w:b/>
                <w:sz w:val="18"/>
              </w:rPr>
            </w:pPr>
          </w:p>
          <w:p>
            <w:pPr>
              <w:pStyle w:val="TableParagraph"/>
              <w:ind w:left="66" w:right="378"/>
              <w:rPr>
                <w:sz w:val="18"/>
              </w:rPr>
            </w:pPr>
            <w:r>
              <w:rPr>
                <w:spacing w:val="-2"/>
                <w:sz w:val="18"/>
              </w:rPr>
              <w:t>Departamento Servicios Generales-Servicios Administrativos</w:t>
            </w:r>
          </w:p>
        </w:tc>
        <w:tc>
          <w:tcPr>
            <w:tcW w:w="1398" w:type="dxa"/>
          </w:tcPr>
          <w:p>
            <w:pPr>
              <w:pStyle w:val="TableParagraph"/>
              <w:rPr>
                <w:b/>
                <w:sz w:val="18"/>
              </w:rPr>
            </w:pPr>
          </w:p>
          <w:p>
            <w:pPr>
              <w:pStyle w:val="TableParagraph"/>
              <w:rPr>
                <w:b/>
                <w:sz w:val="18"/>
              </w:rPr>
            </w:pPr>
          </w:p>
          <w:p>
            <w:pPr>
              <w:pStyle w:val="TableParagraph"/>
              <w:spacing w:before="182"/>
              <w:rPr>
                <w:b/>
                <w:sz w:val="18"/>
              </w:rPr>
            </w:pPr>
          </w:p>
          <w:p>
            <w:pPr>
              <w:pStyle w:val="TableParagraph"/>
              <w:ind w:right="61"/>
              <w:jc w:val="right"/>
              <w:rPr>
                <w:sz w:val="18"/>
              </w:rPr>
            </w:pPr>
            <w:r>
              <w:rPr>
                <w:sz w:val="18"/>
              </w:rPr>
              <w:t>₡38</w:t>
            </w:r>
            <w:r>
              <w:rPr>
                <w:spacing w:val="-2"/>
                <w:sz w:val="18"/>
              </w:rPr>
              <w:t> </w:t>
            </w:r>
            <w:r>
              <w:rPr>
                <w:sz w:val="18"/>
              </w:rPr>
              <w:t>190</w:t>
            </w:r>
            <w:r>
              <w:rPr>
                <w:spacing w:val="-2"/>
                <w:sz w:val="18"/>
              </w:rPr>
              <w:t> </w:t>
            </w:r>
            <w:r>
              <w:rPr>
                <w:spacing w:val="-5"/>
                <w:sz w:val="18"/>
              </w:rPr>
              <w:t>000</w:t>
            </w:r>
          </w:p>
        </w:tc>
        <w:tc>
          <w:tcPr>
            <w:tcW w:w="2386" w:type="dxa"/>
          </w:tcPr>
          <w:p>
            <w:pPr>
              <w:pStyle w:val="TableParagraph"/>
              <w:rPr>
                <w:b/>
                <w:sz w:val="18"/>
              </w:rPr>
            </w:pPr>
          </w:p>
          <w:p>
            <w:pPr>
              <w:pStyle w:val="TableParagraph"/>
              <w:spacing w:before="182"/>
              <w:rPr>
                <w:b/>
                <w:sz w:val="18"/>
              </w:rPr>
            </w:pPr>
          </w:p>
          <w:p>
            <w:pPr>
              <w:pStyle w:val="TableParagraph"/>
              <w:ind w:left="65"/>
              <w:rPr>
                <w:sz w:val="18"/>
              </w:rPr>
            </w:pPr>
            <w:r>
              <w:rPr>
                <w:sz w:val="18"/>
              </w:rPr>
              <w:t>Equipos electromecánicos sin</w:t>
            </w:r>
            <w:r>
              <w:rPr>
                <w:spacing w:val="-13"/>
                <w:sz w:val="18"/>
              </w:rPr>
              <w:t> </w:t>
            </w:r>
            <w:r>
              <w:rPr>
                <w:sz w:val="18"/>
              </w:rPr>
              <w:t>el</w:t>
            </w:r>
            <w:r>
              <w:rPr>
                <w:spacing w:val="-12"/>
                <w:sz w:val="18"/>
              </w:rPr>
              <w:t> </w:t>
            </w:r>
            <w:r>
              <w:rPr>
                <w:sz w:val="18"/>
              </w:rPr>
              <w:t>debido</w:t>
            </w:r>
            <w:r>
              <w:rPr>
                <w:spacing w:val="-13"/>
                <w:sz w:val="18"/>
              </w:rPr>
              <w:t> </w:t>
            </w:r>
            <w:r>
              <w:rPr>
                <w:sz w:val="18"/>
              </w:rPr>
              <w:t>mantenimiento en el Edificio Central</w:t>
            </w:r>
          </w:p>
        </w:tc>
      </w:tr>
      <w:tr>
        <w:trPr>
          <w:trHeight w:val="1449" w:hRule="atLeast"/>
        </w:trPr>
        <w:tc>
          <w:tcPr>
            <w:tcW w:w="3003" w:type="dxa"/>
          </w:tcPr>
          <w:p>
            <w:pPr>
              <w:pStyle w:val="TableParagraph"/>
              <w:spacing w:before="1"/>
              <w:ind w:left="69"/>
              <w:rPr>
                <w:sz w:val="18"/>
              </w:rPr>
            </w:pPr>
            <w:r>
              <w:rPr>
                <w:b/>
                <w:sz w:val="18"/>
              </w:rPr>
              <w:t>Actividad</w:t>
            </w:r>
            <w:r>
              <w:rPr>
                <w:b/>
                <w:spacing w:val="-11"/>
                <w:sz w:val="18"/>
              </w:rPr>
              <w:t> </w:t>
            </w:r>
            <w:r>
              <w:rPr>
                <w:b/>
                <w:sz w:val="18"/>
              </w:rPr>
              <w:t>PAC</w:t>
            </w:r>
            <w:r>
              <w:rPr>
                <w:b/>
                <w:spacing w:val="-10"/>
                <w:sz w:val="18"/>
              </w:rPr>
              <w:t> </w:t>
            </w:r>
            <w:r>
              <w:rPr>
                <w:b/>
                <w:sz w:val="18"/>
              </w:rPr>
              <w:t>2.8.4:</w:t>
            </w:r>
            <w:r>
              <w:rPr>
                <w:b/>
                <w:spacing w:val="-8"/>
                <w:sz w:val="18"/>
              </w:rPr>
              <w:t> </w:t>
            </w:r>
            <w:r>
              <w:rPr>
                <w:sz w:val="18"/>
              </w:rPr>
              <w:t>Mantener</w:t>
            </w:r>
            <w:r>
              <w:rPr>
                <w:spacing w:val="-10"/>
                <w:sz w:val="18"/>
              </w:rPr>
              <w:t> </w:t>
            </w:r>
            <w:r>
              <w:rPr>
                <w:sz w:val="18"/>
              </w:rPr>
              <w:t>la cobertura del servicio de mantenimiento de los edificios propios del IMAS, que son necesarios para la adecuada operatividad de la Institución de</w:t>
            </w:r>
          </w:p>
          <w:p>
            <w:pPr>
              <w:pStyle w:val="TableParagraph"/>
              <w:spacing w:line="187" w:lineRule="exact"/>
              <w:ind w:left="69"/>
              <w:rPr>
                <w:sz w:val="18"/>
              </w:rPr>
            </w:pPr>
            <w:r>
              <w:rPr>
                <w:sz w:val="18"/>
              </w:rPr>
              <w:t>Nivel</w:t>
            </w:r>
            <w:r>
              <w:rPr>
                <w:spacing w:val="-3"/>
                <w:sz w:val="18"/>
              </w:rPr>
              <w:t> </w:t>
            </w:r>
            <w:r>
              <w:rPr>
                <w:sz w:val="18"/>
              </w:rPr>
              <w:t>Central.</w:t>
            </w:r>
            <w:r>
              <w:rPr>
                <w:spacing w:val="-3"/>
                <w:sz w:val="18"/>
              </w:rPr>
              <w:t> </w:t>
            </w:r>
            <w:r>
              <w:rPr>
                <w:spacing w:val="-2"/>
                <w:sz w:val="18"/>
              </w:rPr>
              <w:t>(1.08.01)</w:t>
            </w:r>
          </w:p>
        </w:tc>
        <w:tc>
          <w:tcPr>
            <w:tcW w:w="1254" w:type="dxa"/>
          </w:tcPr>
          <w:p>
            <w:pPr>
              <w:pStyle w:val="TableParagraph"/>
              <w:rPr>
                <w:b/>
                <w:sz w:val="18"/>
              </w:rPr>
            </w:pPr>
          </w:p>
          <w:p>
            <w:pPr>
              <w:pStyle w:val="TableParagraph"/>
              <w:rPr>
                <w:b/>
                <w:sz w:val="18"/>
              </w:rPr>
            </w:pPr>
          </w:p>
          <w:p>
            <w:pPr>
              <w:pStyle w:val="TableParagraph"/>
              <w:rPr>
                <w:b/>
                <w:sz w:val="18"/>
              </w:rPr>
            </w:pPr>
          </w:p>
          <w:p>
            <w:pPr>
              <w:pStyle w:val="TableParagraph"/>
              <w:ind w:right="56"/>
              <w:jc w:val="right"/>
              <w:rPr>
                <w:sz w:val="18"/>
              </w:rPr>
            </w:pPr>
            <w:r>
              <w:rPr>
                <w:spacing w:val="-4"/>
                <w:sz w:val="18"/>
              </w:rPr>
              <w:t>100%</w:t>
            </w: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ind w:right="57"/>
              <w:jc w:val="right"/>
              <w:rPr>
                <w:sz w:val="18"/>
              </w:rPr>
            </w:pPr>
            <w:r>
              <w:rPr>
                <w:spacing w:val="-4"/>
                <w:sz w:val="18"/>
              </w:rPr>
              <w:t>100%</w:t>
            </w:r>
          </w:p>
        </w:tc>
        <w:tc>
          <w:tcPr>
            <w:tcW w:w="1472" w:type="dxa"/>
          </w:tcPr>
          <w:p>
            <w:pPr>
              <w:pStyle w:val="TableParagraph"/>
              <w:spacing w:before="1"/>
              <w:ind w:left="67" w:right="157"/>
              <w:rPr>
                <w:sz w:val="18"/>
              </w:rPr>
            </w:pPr>
            <w:r>
              <w:rPr>
                <w:sz w:val="18"/>
              </w:rPr>
              <w:t>Porcentaje de </w:t>
            </w:r>
            <w:r>
              <w:rPr>
                <w:spacing w:val="-2"/>
                <w:sz w:val="18"/>
              </w:rPr>
              <w:t>contrataciones </w:t>
            </w:r>
            <w:r>
              <w:rPr>
                <w:sz w:val="18"/>
              </w:rPr>
              <w:t>realizadas</w:t>
            </w:r>
            <w:r>
              <w:rPr>
                <w:spacing w:val="-13"/>
                <w:sz w:val="18"/>
              </w:rPr>
              <w:t> </w:t>
            </w:r>
            <w:r>
              <w:rPr>
                <w:sz w:val="18"/>
              </w:rPr>
              <w:t>para velar por el </w:t>
            </w:r>
            <w:r>
              <w:rPr>
                <w:spacing w:val="-2"/>
                <w:sz w:val="18"/>
              </w:rPr>
              <w:t>adecuado mantenimiento</w:t>
            </w:r>
          </w:p>
          <w:p>
            <w:pPr>
              <w:pStyle w:val="TableParagraph"/>
              <w:spacing w:line="187" w:lineRule="exact"/>
              <w:ind w:left="67"/>
              <w:rPr>
                <w:sz w:val="18"/>
              </w:rPr>
            </w:pPr>
            <w:r>
              <w:rPr>
                <w:sz w:val="18"/>
              </w:rPr>
              <w:t>de</w:t>
            </w:r>
            <w:r>
              <w:rPr>
                <w:spacing w:val="-1"/>
                <w:sz w:val="18"/>
              </w:rPr>
              <w:t> </w:t>
            </w:r>
            <w:r>
              <w:rPr>
                <w:sz w:val="18"/>
              </w:rPr>
              <w:t>los</w:t>
            </w:r>
            <w:r>
              <w:rPr>
                <w:spacing w:val="1"/>
                <w:sz w:val="18"/>
              </w:rPr>
              <w:t> </w:t>
            </w:r>
            <w:r>
              <w:rPr>
                <w:spacing w:val="-2"/>
                <w:sz w:val="18"/>
              </w:rPr>
              <w:t>edificios.</w:t>
            </w:r>
          </w:p>
        </w:tc>
        <w:tc>
          <w:tcPr>
            <w:tcW w:w="1573" w:type="dxa"/>
          </w:tcPr>
          <w:p>
            <w:pPr>
              <w:pStyle w:val="TableParagraph"/>
              <w:rPr>
                <w:b/>
                <w:sz w:val="18"/>
              </w:rPr>
            </w:pPr>
          </w:p>
          <w:p>
            <w:pPr>
              <w:pStyle w:val="TableParagraph"/>
              <w:rPr>
                <w:b/>
                <w:sz w:val="18"/>
              </w:rPr>
            </w:pPr>
          </w:p>
          <w:p>
            <w:pPr>
              <w:pStyle w:val="TableParagraph"/>
              <w:ind w:left="66"/>
              <w:rPr>
                <w:sz w:val="18"/>
              </w:rPr>
            </w:pPr>
            <w:r>
              <w:rPr>
                <w:sz w:val="18"/>
              </w:rPr>
              <w:t>No. de </w:t>
            </w:r>
            <w:r>
              <w:rPr>
                <w:spacing w:val="-2"/>
                <w:sz w:val="18"/>
              </w:rPr>
              <w:t>trabajos/contratos ejecutados.</w:t>
            </w:r>
          </w:p>
        </w:tc>
        <w:tc>
          <w:tcPr>
            <w:tcW w:w="1678" w:type="dxa"/>
          </w:tcPr>
          <w:p>
            <w:pPr>
              <w:pStyle w:val="TableParagraph"/>
              <w:rPr>
                <w:b/>
                <w:sz w:val="18"/>
              </w:rPr>
            </w:pPr>
          </w:p>
          <w:p>
            <w:pPr>
              <w:pStyle w:val="TableParagraph"/>
              <w:ind w:left="66" w:right="378"/>
              <w:rPr>
                <w:sz w:val="18"/>
              </w:rPr>
            </w:pPr>
            <w:r>
              <w:rPr>
                <w:spacing w:val="-2"/>
                <w:sz w:val="18"/>
              </w:rPr>
              <w:t>Departamento Servicios Generales-Servicios Administrativos</w:t>
            </w:r>
          </w:p>
        </w:tc>
        <w:tc>
          <w:tcPr>
            <w:tcW w:w="1398" w:type="dxa"/>
          </w:tcPr>
          <w:p>
            <w:pPr>
              <w:pStyle w:val="TableParagraph"/>
              <w:rPr>
                <w:b/>
                <w:sz w:val="18"/>
              </w:rPr>
            </w:pPr>
          </w:p>
          <w:p>
            <w:pPr>
              <w:pStyle w:val="TableParagraph"/>
              <w:rPr>
                <w:b/>
                <w:sz w:val="18"/>
              </w:rPr>
            </w:pPr>
          </w:p>
          <w:p>
            <w:pPr>
              <w:pStyle w:val="TableParagraph"/>
              <w:rPr>
                <w:b/>
                <w:sz w:val="18"/>
              </w:rPr>
            </w:pPr>
          </w:p>
          <w:p>
            <w:pPr>
              <w:pStyle w:val="TableParagraph"/>
              <w:ind w:right="61"/>
              <w:jc w:val="right"/>
              <w:rPr>
                <w:sz w:val="18"/>
              </w:rPr>
            </w:pPr>
            <w:r>
              <w:rPr>
                <w:sz w:val="18"/>
              </w:rPr>
              <w:t>₡120</w:t>
            </w:r>
            <w:r>
              <w:rPr>
                <w:spacing w:val="-2"/>
                <w:sz w:val="18"/>
              </w:rPr>
              <w:t> </w:t>
            </w:r>
            <w:r>
              <w:rPr>
                <w:sz w:val="18"/>
              </w:rPr>
              <w:t>000</w:t>
            </w:r>
            <w:r>
              <w:rPr>
                <w:spacing w:val="-2"/>
                <w:sz w:val="18"/>
              </w:rPr>
              <w:t> </w:t>
            </w:r>
            <w:r>
              <w:rPr>
                <w:spacing w:val="-5"/>
                <w:sz w:val="18"/>
              </w:rPr>
              <w:t>000</w:t>
            </w:r>
          </w:p>
        </w:tc>
        <w:tc>
          <w:tcPr>
            <w:tcW w:w="2386" w:type="dxa"/>
          </w:tcPr>
          <w:p>
            <w:pPr>
              <w:pStyle w:val="TableParagraph"/>
              <w:spacing w:before="103"/>
              <w:rPr>
                <w:b/>
                <w:sz w:val="18"/>
              </w:rPr>
            </w:pPr>
          </w:p>
          <w:p>
            <w:pPr>
              <w:pStyle w:val="TableParagraph"/>
              <w:spacing w:before="1"/>
              <w:ind w:left="65" w:right="120"/>
              <w:rPr>
                <w:sz w:val="18"/>
              </w:rPr>
            </w:pPr>
            <w:r>
              <w:rPr>
                <w:sz w:val="18"/>
              </w:rPr>
              <w:t>Atrasos en el mantenimiento</w:t>
            </w:r>
            <w:r>
              <w:rPr>
                <w:spacing w:val="-15"/>
                <w:sz w:val="18"/>
              </w:rPr>
              <w:t> </w:t>
            </w:r>
            <w:r>
              <w:rPr>
                <w:sz w:val="18"/>
              </w:rPr>
              <w:t>del</w:t>
            </w:r>
            <w:r>
              <w:rPr>
                <w:spacing w:val="-12"/>
                <w:sz w:val="18"/>
              </w:rPr>
              <w:t> </w:t>
            </w:r>
            <w:r>
              <w:rPr>
                <w:sz w:val="18"/>
              </w:rPr>
              <w:t>Edificio Central, Anexos y otras </w:t>
            </w:r>
            <w:r>
              <w:rPr>
                <w:spacing w:val="-2"/>
                <w:sz w:val="18"/>
              </w:rPr>
              <w:t>oficinas.</w:t>
            </w:r>
          </w:p>
        </w:tc>
      </w:tr>
      <w:tr>
        <w:trPr>
          <w:trHeight w:val="1319" w:hRule="atLeast"/>
        </w:trPr>
        <w:tc>
          <w:tcPr>
            <w:tcW w:w="3003" w:type="dxa"/>
          </w:tcPr>
          <w:p>
            <w:pPr>
              <w:pStyle w:val="TableParagraph"/>
              <w:spacing w:before="143"/>
              <w:ind w:left="69"/>
              <w:rPr>
                <w:sz w:val="18"/>
              </w:rPr>
            </w:pPr>
            <w:r>
              <w:rPr>
                <w:b/>
                <w:sz w:val="18"/>
              </w:rPr>
              <w:t>Actividad</w:t>
            </w:r>
            <w:r>
              <w:rPr>
                <w:b/>
                <w:spacing w:val="-13"/>
                <w:sz w:val="18"/>
              </w:rPr>
              <w:t> </w:t>
            </w:r>
            <w:r>
              <w:rPr>
                <w:b/>
                <w:sz w:val="18"/>
              </w:rPr>
              <w:t>PAC</w:t>
            </w:r>
            <w:r>
              <w:rPr>
                <w:b/>
                <w:spacing w:val="-12"/>
                <w:sz w:val="18"/>
              </w:rPr>
              <w:t> </w:t>
            </w:r>
            <w:r>
              <w:rPr>
                <w:b/>
                <w:sz w:val="18"/>
              </w:rPr>
              <w:t>2.8.5:</w:t>
            </w:r>
            <w:r>
              <w:rPr>
                <w:b/>
                <w:spacing w:val="-12"/>
                <w:sz w:val="18"/>
              </w:rPr>
              <w:t> </w:t>
            </w:r>
            <w:r>
              <w:rPr>
                <w:sz w:val="18"/>
              </w:rPr>
              <w:t>Seguimiento de</w:t>
            </w:r>
            <w:r>
              <w:rPr>
                <w:spacing w:val="-3"/>
                <w:sz w:val="18"/>
              </w:rPr>
              <w:t> </w:t>
            </w:r>
            <w:r>
              <w:rPr>
                <w:sz w:val="18"/>
              </w:rPr>
              <w:t>los</w:t>
            </w:r>
            <w:r>
              <w:rPr>
                <w:spacing w:val="-2"/>
                <w:sz w:val="18"/>
              </w:rPr>
              <w:t> </w:t>
            </w:r>
            <w:r>
              <w:rPr>
                <w:sz w:val="18"/>
              </w:rPr>
              <w:t>proyectos</w:t>
            </w:r>
            <w:r>
              <w:rPr>
                <w:spacing w:val="-2"/>
                <w:sz w:val="18"/>
              </w:rPr>
              <w:t> </w:t>
            </w:r>
            <w:r>
              <w:rPr>
                <w:sz w:val="18"/>
              </w:rPr>
              <w:t>inscritos</w:t>
            </w:r>
            <w:r>
              <w:rPr>
                <w:spacing w:val="-2"/>
                <w:sz w:val="18"/>
              </w:rPr>
              <w:t> </w:t>
            </w:r>
            <w:r>
              <w:rPr>
                <w:sz w:val="18"/>
              </w:rPr>
              <w:t>incluidos dentro del BPIP que tengan competencia con el Proceso de Servicios Administrativos.</w:t>
            </w:r>
          </w:p>
        </w:tc>
        <w:tc>
          <w:tcPr>
            <w:tcW w:w="1254" w:type="dxa"/>
          </w:tcPr>
          <w:p>
            <w:pPr>
              <w:pStyle w:val="TableParagraph"/>
              <w:rPr>
                <w:b/>
                <w:sz w:val="18"/>
              </w:rPr>
            </w:pPr>
          </w:p>
          <w:p>
            <w:pPr>
              <w:pStyle w:val="TableParagraph"/>
              <w:spacing w:before="141"/>
              <w:rPr>
                <w:b/>
                <w:sz w:val="18"/>
              </w:rPr>
            </w:pPr>
          </w:p>
          <w:p>
            <w:pPr>
              <w:pStyle w:val="TableParagraph"/>
              <w:ind w:right="59"/>
              <w:jc w:val="right"/>
              <w:rPr>
                <w:sz w:val="18"/>
              </w:rPr>
            </w:pPr>
            <w:r>
              <w:rPr>
                <w:spacing w:val="-10"/>
                <w:sz w:val="18"/>
              </w:rPr>
              <w:t>0</w:t>
            </w:r>
          </w:p>
        </w:tc>
        <w:tc>
          <w:tcPr>
            <w:tcW w:w="1417" w:type="dxa"/>
          </w:tcPr>
          <w:p>
            <w:pPr>
              <w:pStyle w:val="TableParagraph"/>
              <w:rPr>
                <w:b/>
                <w:sz w:val="18"/>
              </w:rPr>
            </w:pPr>
          </w:p>
          <w:p>
            <w:pPr>
              <w:pStyle w:val="TableParagraph"/>
              <w:spacing w:before="141"/>
              <w:rPr>
                <w:b/>
                <w:sz w:val="18"/>
              </w:rPr>
            </w:pPr>
          </w:p>
          <w:p>
            <w:pPr>
              <w:pStyle w:val="TableParagraph"/>
              <w:ind w:right="60"/>
              <w:jc w:val="right"/>
              <w:rPr>
                <w:sz w:val="18"/>
              </w:rPr>
            </w:pPr>
            <w:r>
              <w:rPr>
                <w:spacing w:val="-10"/>
                <w:sz w:val="18"/>
              </w:rPr>
              <w:t>2</w:t>
            </w:r>
          </w:p>
        </w:tc>
        <w:tc>
          <w:tcPr>
            <w:tcW w:w="1472" w:type="dxa"/>
          </w:tcPr>
          <w:p>
            <w:pPr>
              <w:pStyle w:val="TableParagraph"/>
              <w:spacing w:before="39"/>
              <w:rPr>
                <w:b/>
                <w:sz w:val="18"/>
              </w:rPr>
            </w:pPr>
          </w:p>
          <w:p>
            <w:pPr>
              <w:pStyle w:val="TableParagraph"/>
              <w:ind w:left="67"/>
              <w:rPr>
                <w:sz w:val="18"/>
              </w:rPr>
            </w:pPr>
            <w:r>
              <w:rPr>
                <w:sz w:val="18"/>
              </w:rPr>
              <w:t>Cantidad de </w:t>
            </w:r>
            <w:r>
              <w:rPr>
                <w:spacing w:val="-2"/>
                <w:sz w:val="18"/>
              </w:rPr>
              <w:t>seguimientos </w:t>
            </w:r>
            <w:r>
              <w:rPr>
                <w:sz w:val="18"/>
              </w:rPr>
              <w:t>realizados</w:t>
            </w:r>
            <w:r>
              <w:rPr>
                <w:spacing w:val="-15"/>
                <w:sz w:val="18"/>
              </w:rPr>
              <w:t> </w:t>
            </w:r>
            <w:r>
              <w:rPr>
                <w:sz w:val="18"/>
              </w:rPr>
              <w:t>en</w:t>
            </w:r>
            <w:r>
              <w:rPr>
                <w:spacing w:val="-12"/>
                <w:sz w:val="18"/>
              </w:rPr>
              <w:t> </w:t>
            </w:r>
            <w:r>
              <w:rPr>
                <w:sz w:val="18"/>
              </w:rPr>
              <w:t>el </w:t>
            </w:r>
            <w:r>
              <w:rPr>
                <w:spacing w:val="-4"/>
                <w:sz w:val="18"/>
              </w:rPr>
              <w:t>BPIP</w:t>
            </w:r>
          </w:p>
        </w:tc>
        <w:tc>
          <w:tcPr>
            <w:tcW w:w="1573" w:type="dxa"/>
          </w:tcPr>
          <w:p>
            <w:pPr>
              <w:pStyle w:val="TableParagraph"/>
              <w:spacing w:before="142"/>
              <w:rPr>
                <w:b/>
                <w:sz w:val="18"/>
              </w:rPr>
            </w:pPr>
          </w:p>
          <w:p>
            <w:pPr>
              <w:pStyle w:val="TableParagraph"/>
              <w:ind w:left="66" w:right="129"/>
              <w:rPr>
                <w:sz w:val="18"/>
              </w:rPr>
            </w:pPr>
            <w:r>
              <w:rPr>
                <w:spacing w:val="-2"/>
                <w:sz w:val="18"/>
              </w:rPr>
              <w:t>Seguimientos </w:t>
            </w:r>
            <w:r>
              <w:rPr>
                <w:sz w:val="18"/>
              </w:rPr>
              <w:t>realizados al </w:t>
            </w:r>
            <w:r>
              <w:rPr>
                <w:spacing w:val="-4"/>
                <w:sz w:val="18"/>
              </w:rPr>
              <w:t>BPIP</w:t>
            </w:r>
          </w:p>
        </w:tc>
        <w:tc>
          <w:tcPr>
            <w:tcW w:w="1678" w:type="dxa"/>
          </w:tcPr>
          <w:p>
            <w:pPr>
              <w:pStyle w:val="TableParagraph"/>
              <w:spacing w:before="143"/>
              <w:ind w:left="66" w:right="378"/>
              <w:rPr>
                <w:sz w:val="18"/>
              </w:rPr>
            </w:pPr>
            <w:r>
              <w:rPr>
                <w:spacing w:val="-2"/>
                <w:sz w:val="18"/>
              </w:rPr>
              <w:t>Departamento Servicios Generales-Servicios Administrativos</w:t>
            </w:r>
          </w:p>
        </w:tc>
        <w:tc>
          <w:tcPr>
            <w:tcW w:w="1398" w:type="dxa"/>
          </w:tcPr>
          <w:p>
            <w:pPr>
              <w:pStyle w:val="TableParagraph"/>
              <w:rPr>
                <w:rFonts w:ascii="Times New Roman"/>
                <w:sz w:val="18"/>
              </w:rPr>
            </w:pPr>
          </w:p>
        </w:tc>
        <w:tc>
          <w:tcPr>
            <w:tcW w:w="2386" w:type="dxa"/>
          </w:tcPr>
          <w:p>
            <w:pPr>
              <w:pStyle w:val="TableParagraph"/>
              <w:spacing w:before="39"/>
              <w:rPr>
                <w:b/>
                <w:sz w:val="18"/>
              </w:rPr>
            </w:pPr>
          </w:p>
          <w:p>
            <w:pPr>
              <w:pStyle w:val="TableParagraph"/>
              <w:ind w:left="65" w:right="427"/>
              <w:rPr>
                <w:sz w:val="18"/>
              </w:rPr>
            </w:pPr>
            <w:r>
              <w:rPr>
                <w:sz w:val="18"/>
              </w:rPr>
              <w:t>Falta</w:t>
            </w:r>
            <w:r>
              <w:rPr>
                <w:spacing w:val="-13"/>
                <w:sz w:val="18"/>
              </w:rPr>
              <w:t> </w:t>
            </w:r>
            <w:r>
              <w:rPr>
                <w:sz w:val="18"/>
              </w:rPr>
              <w:t>de</w:t>
            </w:r>
            <w:r>
              <w:rPr>
                <w:spacing w:val="-12"/>
                <w:sz w:val="18"/>
              </w:rPr>
              <w:t> </w:t>
            </w:r>
            <w:r>
              <w:rPr>
                <w:sz w:val="18"/>
              </w:rPr>
              <w:t>formulación</w:t>
            </w:r>
            <w:r>
              <w:rPr>
                <w:spacing w:val="-13"/>
                <w:sz w:val="18"/>
              </w:rPr>
              <w:t> </w:t>
            </w:r>
            <w:r>
              <w:rPr>
                <w:sz w:val="18"/>
              </w:rPr>
              <w:t>de proyectos para su inscripción en el BPIP (Fase de inscripción)</w:t>
            </w:r>
          </w:p>
        </w:tc>
      </w:tr>
      <w:tr>
        <w:trPr>
          <w:trHeight w:val="451" w:hRule="atLeast"/>
        </w:trPr>
        <w:tc>
          <w:tcPr>
            <w:tcW w:w="14181" w:type="dxa"/>
            <w:gridSpan w:val="8"/>
            <w:shd w:val="clear" w:color="auto" w:fill="D9E0F1"/>
          </w:tcPr>
          <w:p>
            <w:pPr>
              <w:pStyle w:val="TableParagraph"/>
              <w:spacing w:before="121"/>
              <w:ind w:left="69"/>
              <w:rPr>
                <w:b/>
                <w:sz w:val="18"/>
              </w:rPr>
            </w:pPr>
            <w:r>
              <w:rPr>
                <w:b/>
                <w:sz w:val="18"/>
              </w:rPr>
              <w:t>Producto</w:t>
            </w:r>
            <w:r>
              <w:rPr>
                <w:b/>
                <w:spacing w:val="-2"/>
                <w:sz w:val="18"/>
              </w:rPr>
              <w:t> </w:t>
            </w:r>
            <w:r>
              <w:rPr>
                <w:b/>
                <w:sz w:val="18"/>
              </w:rPr>
              <w:t>PAC</w:t>
            </w:r>
            <w:r>
              <w:rPr>
                <w:b/>
                <w:spacing w:val="-3"/>
                <w:sz w:val="18"/>
              </w:rPr>
              <w:t> </w:t>
            </w:r>
            <w:r>
              <w:rPr>
                <w:b/>
                <w:sz w:val="18"/>
              </w:rPr>
              <w:t>2.9:</w:t>
            </w:r>
            <w:r>
              <w:rPr>
                <w:b/>
                <w:spacing w:val="46"/>
                <w:sz w:val="18"/>
              </w:rPr>
              <w:t> </w:t>
            </w:r>
            <w:r>
              <w:rPr>
                <w:b/>
                <w:sz w:val="18"/>
              </w:rPr>
              <w:t>Administración</w:t>
            </w:r>
            <w:r>
              <w:rPr>
                <w:b/>
                <w:spacing w:val="-2"/>
                <w:sz w:val="18"/>
              </w:rPr>
              <w:t> </w:t>
            </w:r>
            <w:r>
              <w:rPr>
                <w:b/>
                <w:sz w:val="18"/>
              </w:rPr>
              <w:t>efectiva</w:t>
            </w:r>
            <w:r>
              <w:rPr>
                <w:b/>
                <w:spacing w:val="-2"/>
                <w:sz w:val="18"/>
              </w:rPr>
              <w:t> </w:t>
            </w:r>
            <w:r>
              <w:rPr>
                <w:b/>
                <w:sz w:val="18"/>
              </w:rPr>
              <w:t>del</w:t>
            </w:r>
            <w:r>
              <w:rPr>
                <w:b/>
                <w:spacing w:val="-4"/>
                <w:sz w:val="18"/>
              </w:rPr>
              <w:t> </w:t>
            </w:r>
            <w:r>
              <w:rPr>
                <w:b/>
                <w:sz w:val="18"/>
              </w:rPr>
              <w:t>producto</w:t>
            </w:r>
            <w:r>
              <w:rPr>
                <w:b/>
                <w:spacing w:val="-4"/>
                <w:sz w:val="18"/>
              </w:rPr>
              <w:t> </w:t>
            </w:r>
            <w:r>
              <w:rPr>
                <w:b/>
                <w:sz w:val="18"/>
              </w:rPr>
              <w:t>transportes,</w:t>
            </w:r>
            <w:r>
              <w:rPr>
                <w:b/>
                <w:spacing w:val="-2"/>
                <w:sz w:val="18"/>
              </w:rPr>
              <w:t> </w:t>
            </w:r>
            <w:r>
              <w:rPr>
                <w:b/>
                <w:sz w:val="18"/>
              </w:rPr>
              <w:t>el</w:t>
            </w:r>
            <w:r>
              <w:rPr>
                <w:b/>
                <w:spacing w:val="-4"/>
                <w:sz w:val="18"/>
              </w:rPr>
              <w:t> </w:t>
            </w:r>
            <w:r>
              <w:rPr>
                <w:b/>
                <w:sz w:val="18"/>
              </w:rPr>
              <w:t>cual</w:t>
            </w:r>
            <w:r>
              <w:rPr>
                <w:b/>
                <w:spacing w:val="-4"/>
                <w:sz w:val="18"/>
              </w:rPr>
              <w:t> </w:t>
            </w:r>
            <w:r>
              <w:rPr>
                <w:b/>
                <w:sz w:val="18"/>
              </w:rPr>
              <w:t>contribuye</w:t>
            </w:r>
            <w:r>
              <w:rPr>
                <w:b/>
                <w:spacing w:val="-2"/>
                <w:sz w:val="18"/>
              </w:rPr>
              <w:t> </w:t>
            </w:r>
            <w:r>
              <w:rPr>
                <w:b/>
                <w:sz w:val="18"/>
              </w:rPr>
              <w:t>con</w:t>
            </w:r>
            <w:r>
              <w:rPr>
                <w:b/>
                <w:spacing w:val="-4"/>
                <w:sz w:val="18"/>
              </w:rPr>
              <w:t> </w:t>
            </w:r>
            <w:r>
              <w:rPr>
                <w:b/>
                <w:sz w:val="18"/>
              </w:rPr>
              <w:t>la</w:t>
            </w:r>
            <w:r>
              <w:rPr>
                <w:b/>
                <w:spacing w:val="-2"/>
                <w:sz w:val="18"/>
              </w:rPr>
              <w:t> </w:t>
            </w:r>
            <w:r>
              <w:rPr>
                <w:b/>
                <w:sz w:val="18"/>
              </w:rPr>
              <w:t>prestación</w:t>
            </w:r>
            <w:r>
              <w:rPr>
                <w:b/>
                <w:spacing w:val="-2"/>
                <w:sz w:val="18"/>
              </w:rPr>
              <w:t> </w:t>
            </w:r>
            <w:r>
              <w:rPr>
                <w:b/>
                <w:sz w:val="18"/>
              </w:rPr>
              <w:t>de</w:t>
            </w:r>
            <w:r>
              <w:rPr>
                <w:b/>
                <w:spacing w:val="-4"/>
                <w:sz w:val="18"/>
              </w:rPr>
              <w:t> </w:t>
            </w:r>
            <w:r>
              <w:rPr>
                <w:b/>
                <w:sz w:val="18"/>
              </w:rPr>
              <w:t>los</w:t>
            </w:r>
            <w:r>
              <w:rPr>
                <w:b/>
                <w:spacing w:val="-4"/>
                <w:sz w:val="18"/>
              </w:rPr>
              <w:t> </w:t>
            </w:r>
            <w:r>
              <w:rPr>
                <w:b/>
                <w:sz w:val="18"/>
              </w:rPr>
              <w:t>servicios</w:t>
            </w:r>
            <w:r>
              <w:rPr>
                <w:b/>
                <w:spacing w:val="-4"/>
                <w:sz w:val="18"/>
              </w:rPr>
              <w:t> </w:t>
            </w:r>
            <w:r>
              <w:rPr>
                <w:b/>
                <w:sz w:val="18"/>
              </w:rPr>
              <w:t>institucionales</w:t>
            </w:r>
            <w:r>
              <w:rPr>
                <w:b/>
                <w:spacing w:val="-3"/>
                <w:sz w:val="18"/>
              </w:rPr>
              <w:t> </w:t>
            </w:r>
            <w:r>
              <w:rPr>
                <w:b/>
                <w:spacing w:val="-2"/>
                <w:sz w:val="18"/>
              </w:rPr>
              <w:t>(Proceso)</w:t>
            </w:r>
          </w:p>
        </w:tc>
      </w:tr>
      <w:tr>
        <w:trPr>
          <w:trHeight w:val="1655" w:hRule="atLeast"/>
        </w:trPr>
        <w:tc>
          <w:tcPr>
            <w:tcW w:w="3003" w:type="dxa"/>
          </w:tcPr>
          <w:p>
            <w:pPr>
              <w:pStyle w:val="TableParagraph"/>
              <w:rPr>
                <w:b/>
                <w:sz w:val="18"/>
              </w:rPr>
            </w:pPr>
          </w:p>
          <w:p>
            <w:pPr>
              <w:pStyle w:val="TableParagraph"/>
              <w:ind w:left="69" w:right="113"/>
              <w:rPr>
                <w:sz w:val="18"/>
              </w:rPr>
            </w:pPr>
            <w:r>
              <w:rPr>
                <w:b/>
                <w:sz w:val="18"/>
              </w:rPr>
              <w:t>Actividad</w:t>
            </w:r>
            <w:r>
              <w:rPr>
                <w:b/>
                <w:spacing w:val="-11"/>
                <w:sz w:val="18"/>
              </w:rPr>
              <w:t> </w:t>
            </w:r>
            <w:r>
              <w:rPr>
                <w:b/>
                <w:sz w:val="18"/>
              </w:rPr>
              <w:t>PAC</w:t>
            </w:r>
            <w:r>
              <w:rPr>
                <w:b/>
                <w:spacing w:val="-9"/>
                <w:sz w:val="18"/>
              </w:rPr>
              <w:t> </w:t>
            </w:r>
            <w:r>
              <w:rPr>
                <w:b/>
                <w:sz w:val="18"/>
              </w:rPr>
              <w:t>2.9.1:</w:t>
            </w:r>
            <w:r>
              <w:rPr>
                <w:b/>
                <w:spacing w:val="-8"/>
                <w:sz w:val="18"/>
              </w:rPr>
              <w:t> </w:t>
            </w:r>
            <w:r>
              <w:rPr>
                <w:sz w:val="18"/>
              </w:rPr>
              <w:t>Gestionar</w:t>
            </w:r>
            <w:r>
              <w:rPr>
                <w:spacing w:val="-9"/>
                <w:sz w:val="18"/>
              </w:rPr>
              <w:t> </w:t>
            </w:r>
            <w:r>
              <w:rPr>
                <w:sz w:val="18"/>
              </w:rPr>
              <w:t>la adquisición de una plataforma hidráulica para uno de los camiones del IMAS para el Programa Actividades Centrales (5.01.02 Equipo de Transporte).</w:t>
            </w:r>
          </w:p>
        </w:tc>
        <w:tc>
          <w:tcPr>
            <w:tcW w:w="1254"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9"/>
              <w:jc w:val="right"/>
              <w:rPr>
                <w:sz w:val="18"/>
              </w:rPr>
            </w:pPr>
            <w:r>
              <w:rPr>
                <w:spacing w:val="-10"/>
                <w:sz w:val="18"/>
              </w:rPr>
              <w:t>0</w:t>
            </w:r>
          </w:p>
        </w:tc>
        <w:tc>
          <w:tcPr>
            <w:tcW w:w="1417"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60"/>
              <w:jc w:val="right"/>
              <w:rPr>
                <w:sz w:val="18"/>
              </w:rPr>
            </w:pPr>
            <w:r>
              <w:rPr>
                <w:spacing w:val="-10"/>
                <w:sz w:val="18"/>
              </w:rPr>
              <w:t>1</w:t>
            </w:r>
          </w:p>
        </w:tc>
        <w:tc>
          <w:tcPr>
            <w:tcW w:w="1472" w:type="dxa"/>
          </w:tcPr>
          <w:p>
            <w:pPr>
              <w:pStyle w:val="TableParagraph"/>
              <w:rPr>
                <w:b/>
                <w:sz w:val="18"/>
              </w:rPr>
            </w:pPr>
          </w:p>
          <w:p>
            <w:pPr>
              <w:pStyle w:val="TableParagraph"/>
              <w:rPr>
                <w:b/>
                <w:sz w:val="18"/>
              </w:rPr>
            </w:pPr>
          </w:p>
          <w:p>
            <w:pPr>
              <w:pStyle w:val="TableParagraph"/>
              <w:ind w:left="67" w:right="417"/>
              <w:rPr>
                <w:sz w:val="18"/>
              </w:rPr>
            </w:pPr>
            <w:r>
              <w:rPr>
                <w:sz w:val="18"/>
              </w:rPr>
              <w:t>Cantidad</w:t>
            </w:r>
            <w:r>
              <w:rPr>
                <w:spacing w:val="-13"/>
                <w:sz w:val="18"/>
              </w:rPr>
              <w:t> </w:t>
            </w:r>
            <w:r>
              <w:rPr>
                <w:sz w:val="18"/>
              </w:rPr>
              <w:t>de </w:t>
            </w:r>
            <w:r>
              <w:rPr>
                <w:spacing w:val="-2"/>
                <w:sz w:val="18"/>
              </w:rPr>
              <w:t>plataforma hidráulica adquirida</w:t>
            </w:r>
          </w:p>
        </w:tc>
        <w:tc>
          <w:tcPr>
            <w:tcW w:w="1573" w:type="dxa"/>
          </w:tcPr>
          <w:p>
            <w:pPr>
              <w:pStyle w:val="TableParagraph"/>
              <w:spacing w:before="103"/>
              <w:rPr>
                <w:b/>
                <w:sz w:val="18"/>
              </w:rPr>
            </w:pPr>
          </w:p>
          <w:p>
            <w:pPr>
              <w:pStyle w:val="TableParagraph"/>
              <w:spacing w:before="1"/>
              <w:ind w:left="66" w:right="129"/>
              <w:rPr>
                <w:sz w:val="18"/>
              </w:rPr>
            </w:pPr>
            <w:r>
              <w:rPr>
                <w:sz w:val="18"/>
              </w:rPr>
              <w:t>Solicitud de pedido en SICOP,</w:t>
            </w:r>
            <w:r>
              <w:rPr>
                <w:spacing w:val="-13"/>
                <w:sz w:val="18"/>
              </w:rPr>
              <w:t> </w:t>
            </w:r>
            <w:r>
              <w:rPr>
                <w:sz w:val="18"/>
              </w:rPr>
              <w:t>contrato, factura, acta de </w:t>
            </w:r>
            <w:r>
              <w:rPr>
                <w:spacing w:val="-2"/>
                <w:sz w:val="18"/>
              </w:rPr>
              <w:t>recepción</w:t>
            </w:r>
          </w:p>
        </w:tc>
        <w:tc>
          <w:tcPr>
            <w:tcW w:w="1678" w:type="dxa"/>
          </w:tcPr>
          <w:p>
            <w:pPr>
              <w:pStyle w:val="TableParagraph"/>
              <w:rPr>
                <w:b/>
                <w:sz w:val="18"/>
              </w:rPr>
            </w:pPr>
          </w:p>
          <w:p>
            <w:pPr>
              <w:pStyle w:val="TableParagraph"/>
              <w:rPr>
                <w:b/>
                <w:sz w:val="18"/>
              </w:rPr>
            </w:pPr>
          </w:p>
          <w:p>
            <w:pPr>
              <w:pStyle w:val="TableParagraph"/>
              <w:ind w:left="66" w:right="204"/>
              <w:rPr>
                <w:sz w:val="18"/>
              </w:rPr>
            </w:pPr>
            <w:r>
              <w:rPr>
                <w:sz w:val="18"/>
              </w:rPr>
              <w:t>Departamento</w:t>
            </w:r>
            <w:r>
              <w:rPr>
                <w:spacing w:val="-13"/>
                <w:sz w:val="18"/>
              </w:rPr>
              <w:t> </w:t>
            </w:r>
            <w:r>
              <w:rPr>
                <w:sz w:val="18"/>
              </w:rPr>
              <w:t>de </w:t>
            </w:r>
            <w:r>
              <w:rPr>
                <w:spacing w:val="-2"/>
                <w:sz w:val="18"/>
              </w:rPr>
              <w:t>Servicios </w:t>
            </w:r>
            <w:r>
              <w:rPr>
                <w:sz w:val="18"/>
              </w:rPr>
              <w:t>Generales - </w:t>
            </w:r>
            <w:r>
              <w:rPr>
                <w:spacing w:val="-2"/>
                <w:sz w:val="18"/>
              </w:rPr>
              <w:t>Transportes</w:t>
            </w:r>
          </w:p>
        </w:tc>
        <w:tc>
          <w:tcPr>
            <w:tcW w:w="1398"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61"/>
              <w:jc w:val="right"/>
              <w:rPr>
                <w:sz w:val="18"/>
              </w:rPr>
            </w:pPr>
            <w:r>
              <w:rPr>
                <w:sz w:val="18"/>
              </w:rPr>
              <w:t>₡5</w:t>
            </w:r>
            <w:r>
              <w:rPr>
                <w:spacing w:val="-1"/>
                <w:sz w:val="18"/>
              </w:rPr>
              <w:t> </w:t>
            </w:r>
            <w:r>
              <w:rPr>
                <w:sz w:val="18"/>
              </w:rPr>
              <w:t>000</w:t>
            </w:r>
            <w:r>
              <w:rPr>
                <w:spacing w:val="-2"/>
                <w:sz w:val="18"/>
              </w:rPr>
              <w:t> </w:t>
            </w:r>
            <w:r>
              <w:rPr>
                <w:spacing w:val="-5"/>
                <w:sz w:val="18"/>
              </w:rPr>
              <w:t>000</w:t>
            </w:r>
          </w:p>
        </w:tc>
        <w:tc>
          <w:tcPr>
            <w:tcW w:w="2386" w:type="dxa"/>
          </w:tcPr>
          <w:p>
            <w:pPr>
              <w:pStyle w:val="TableParagraph"/>
              <w:ind w:left="65" w:right="118"/>
              <w:rPr>
                <w:sz w:val="18"/>
              </w:rPr>
            </w:pPr>
            <w:r>
              <w:rPr>
                <w:sz w:val="18"/>
              </w:rPr>
              <w:t>Que la adquisición e instalación</w:t>
            </w:r>
            <w:r>
              <w:rPr>
                <w:spacing w:val="-13"/>
                <w:sz w:val="18"/>
              </w:rPr>
              <w:t> </w:t>
            </w:r>
            <w:r>
              <w:rPr>
                <w:sz w:val="18"/>
              </w:rPr>
              <w:t>de</w:t>
            </w:r>
            <w:r>
              <w:rPr>
                <w:spacing w:val="-12"/>
                <w:sz w:val="18"/>
              </w:rPr>
              <w:t> </w:t>
            </w:r>
            <w:r>
              <w:rPr>
                <w:sz w:val="18"/>
              </w:rPr>
              <w:t>la</w:t>
            </w:r>
            <w:r>
              <w:rPr>
                <w:spacing w:val="-13"/>
                <w:sz w:val="18"/>
              </w:rPr>
              <w:t> </w:t>
            </w:r>
            <w:r>
              <w:rPr>
                <w:sz w:val="18"/>
              </w:rPr>
              <w:t>plataforma hidráulica no se concrete dentro</w:t>
            </w:r>
            <w:r>
              <w:rPr>
                <w:spacing w:val="-3"/>
                <w:sz w:val="18"/>
              </w:rPr>
              <w:t> </w:t>
            </w:r>
            <w:r>
              <w:rPr>
                <w:sz w:val="18"/>
              </w:rPr>
              <w:t>del</w:t>
            </w:r>
            <w:r>
              <w:rPr>
                <w:spacing w:val="-3"/>
                <w:sz w:val="18"/>
              </w:rPr>
              <w:t> </w:t>
            </w:r>
            <w:r>
              <w:rPr>
                <w:sz w:val="18"/>
              </w:rPr>
              <w:t>plazo</w:t>
            </w:r>
            <w:r>
              <w:rPr>
                <w:spacing w:val="-3"/>
                <w:sz w:val="18"/>
              </w:rPr>
              <w:t> </w:t>
            </w:r>
            <w:r>
              <w:rPr>
                <w:sz w:val="18"/>
              </w:rPr>
              <w:t>previsto,</w:t>
            </w:r>
            <w:r>
              <w:rPr>
                <w:spacing w:val="-1"/>
                <w:sz w:val="18"/>
              </w:rPr>
              <w:t> </w:t>
            </w:r>
            <w:r>
              <w:rPr>
                <w:sz w:val="18"/>
              </w:rPr>
              <w:t>o que el bien entregado no cumpla con las</w:t>
            </w:r>
          </w:p>
          <w:p>
            <w:pPr>
              <w:pStyle w:val="TableParagraph"/>
              <w:spacing w:line="206" w:lineRule="exact"/>
              <w:ind w:left="65" w:right="272"/>
              <w:rPr>
                <w:sz w:val="18"/>
              </w:rPr>
            </w:pPr>
            <w:r>
              <w:rPr>
                <w:sz w:val="18"/>
              </w:rPr>
              <w:t>especificaciones</w:t>
            </w:r>
            <w:r>
              <w:rPr>
                <w:spacing w:val="-13"/>
                <w:sz w:val="18"/>
              </w:rPr>
              <w:t> </w:t>
            </w:r>
            <w:r>
              <w:rPr>
                <w:sz w:val="18"/>
              </w:rPr>
              <w:t>técnicas requeridas por el IMAS.</w:t>
            </w:r>
          </w:p>
        </w:tc>
      </w:tr>
      <w:tr>
        <w:trPr>
          <w:trHeight w:val="1243" w:hRule="atLeast"/>
        </w:trPr>
        <w:tc>
          <w:tcPr>
            <w:tcW w:w="3003" w:type="dxa"/>
          </w:tcPr>
          <w:p>
            <w:pPr>
              <w:pStyle w:val="TableParagraph"/>
              <w:rPr>
                <w:b/>
                <w:sz w:val="18"/>
              </w:rPr>
            </w:pPr>
          </w:p>
          <w:p>
            <w:pPr>
              <w:pStyle w:val="TableParagraph"/>
              <w:ind w:left="69"/>
              <w:rPr>
                <w:sz w:val="18"/>
              </w:rPr>
            </w:pPr>
            <w:r>
              <w:rPr>
                <w:b/>
                <w:sz w:val="18"/>
              </w:rPr>
              <w:t>Actividad</w:t>
            </w:r>
            <w:r>
              <w:rPr>
                <w:b/>
                <w:spacing w:val="-11"/>
                <w:sz w:val="18"/>
              </w:rPr>
              <w:t> </w:t>
            </w:r>
            <w:r>
              <w:rPr>
                <w:b/>
                <w:sz w:val="18"/>
              </w:rPr>
              <w:t>PAC</w:t>
            </w:r>
            <w:r>
              <w:rPr>
                <w:b/>
                <w:spacing w:val="-10"/>
                <w:sz w:val="18"/>
              </w:rPr>
              <w:t> </w:t>
            </w:r>
            <w:r>
              <w:rPr>
                <w:b/>
                <w:sz w:val="18"/>
              </w:rPr>
              <w:t>2.9.2:</w:t>
            </w:r>
            <w:r>
              <w:rPr>
                <w:b/>
                <w:spacing w:val="-8"/>
                <w:sz w:val="18"/>
              </w:rPr>
              <w:t> </w:t>
            </w:r>
            <w:r>
              <w:rPr>
                <w:sz w:val="18"/>
              </w:rPr>
              <w:t>Supervisión técnica en mecánica automotriz y seguimiento del estado de los vehículos</w:t>
            </w:r>
            <w:r>
              <w:rPr>
                <w:spacing w:val="-10"/>
                <w:sz w:val="18"/>
              </w:rPr>
              <w:t> </w:t>
            </w:r>
            <w:r>
              <w:rPr>
                <w:sz w:val="18"/>
              </w:rPr>
              <w:t>de</w:t>
            </w:r>
            <w:r>
              <w:rPr>
                <w:spacing w:val="-9"/>
                <w:sz w:val="18"/>
              </w:rPr>
              <w:t> </w:t>
            </w:r>
            <w:r>
              <w:rPr>
                <w:sz w:val="18"/>
              </w:rPr>
              <w:t>la</w:t>
            </w:r>
            <w:r>
              <w:rPr>
                <w:spacing w:val="-9"/>
                <w:sz w:val="18"/>
              </w:rPr>
              <w:t> </w:t>
            </w:r>
            <w:r>
              <w:rPr>
                <w:sz w:val="18"/>
              </w:rPr>
              <w:t>flotilla</w:t>
            </w:r>
            <w:r>
              <w:rPr>
                <w:spacing w:val="-11"/>
                <w:sz w:val="18"/>
              </w:rPr>
              <w:t> </w:t>
            </w:r>
            <w:r>
              <w:rPr>
                <w:sz w:val="18"/>
              </w:rPr>
              <w:t>institucional.</w:t>
            </w:r>
          </w:p>
        </w:tc>
        <w:tc>
          <w:tcPr>
            <w:tcW w:w="1254" w:type="dxa"/>
          </w:tcPr>
          <w:p>
            <w:pPr>
              <w:pStyle w:val="TableParagraph"/>
              <w:rPr>
                <w:b/>
                <w:sz w:val="18"/>
              </w:rPr>
            </w:pPr>
          </w:p>
          <w:p>
            <w:pPr>
              <w:pStyle w:val="TableParagraph"/>
              <w:spacing w:before="103"/>
              <w:rPr>
                <w:b/>
                <w:sz w:val="18"/>
              </w:rPr>
            </w:pPr>
          </w:p>
          <w:p>
            <w:pPr>
              <w:pStyle w:val="TableParagraph"/>
              <w:ind w:right="56"/>
              <w:jc w:val="right"/>
              <w:rPr>
                <w:sz w:val="18"/>
              </w:rPr>
            </w:pPr>
            <w:r>
              <w:rPr>
                <w:spacing w:val="-4"/>
                <w:sz w:val="18"/>
              </w:rPr>
              <w:t>100%</w:t>
            </w:r>
          </w:p>
        </w:tc>
        <w:tc>
          <w:tcPr>
            <w:tcW w:w="1417" w:type="dxa"/>
          </w:tcPr>
          <w:p>
            <w:pPr>
              <w:pStyle w:val="TableParagraph"/>
              <w:rPr>
                <w:b/>
                <w:sz w:val="18"/>
              </w:rPr>
            </w:pPr>
          </w:p>
          <w:p>
            <w:pPr>
              <w:pStyle w:val="TableParagraph"/>
              <w:spacing w:before="103"/>
              <w:rPr>
                <w:b/>
                <w:sz w:val="18"/>
              </w:rPr>
            </w:pPr>
          </w:p>
          <w:p>
            <w:pPr>
              <w:pStyle w:val="TableParagraph"/>
              <w:ind w:right="57"/>
              <w:jc w:val="right"/>
              <w:rPr>
                <w:sz w:val="18"/>
              </w:rPr>
            </w:pPr>
            <w:r>
              <w:rPr>
                <w:spacing w:val="-4"/>
                <w:sz w:val="18"/>
              </w:rPr>
              <w:t>100%</w:t>
            </w:r>
          </w:p>
        </w:tc>
        <w:tc>
          <w:tcPr>
            <w:tcW w:w="1472" w:type="dxa"/>
          </w:tcPr>
          <w:p>
            <w:pPr>
              <w:pStyle w:val="TableParagraph"/>
              <w:ind w:left="67"/>
              <w:rPr>
                <w:sz w:val="18"/>
              </w:rPr>
            </w:pPr>
            <w:r>
              <w:rPr>
                <w:sz w:val="18"/>
              </w:rPr>
              <w:t>Porcentaje de </w:t>
            </w:r>
            <w:r>
              <w:rPr>
                <w:spacing w:val="-2"/>
                <w:sz w:val="18"/>
              </w:rPr>
              <w:t>supervisiones técnicas ejecutadas </w:t>
            </w:r>
            <w:r>
              <w:rPr>
                <w:sz w:val="18"/>
              </w:rPr>
              <w:t>respecto</w:t>
            </w:r>
            <w:r>
              <w:rPr>
                <w:spacing w:val="-15"/>
                <w:sz w:val="18"/>
              </w:rPr>
              <w:t> </w:t>
            </w:r>
            <w:r>
              <w:rPr>
                <w:sz w:val="18"/>
              </w:rPr>
              <w:t>de</w:t>
            </w:r>
            <w:r>
              <w:rPr>
                <w:spacing w:val="-12"/>
                <w:sz w:val="18"/>
              </w:rPr>
              <w:t> </w:t>
            </w:r>
            <w:r>
              <w:rPr>
                <w:sz w:val="18"/>
              </w:rPr>
              <w:t>las</w:t>
            </w:r>
          </w:p>
          <w:p>
            <w:pPr>
              <w:pStyle w:val="TableParagraph"/>
              <w:spacing w:line="187" w:lineRule="exact" w:before="1"/>
              <w:ind w:left="67"/>
              <w:rPr>
                <w:sz w:val="18"/>
              </w:rPr>
            </w:pPr>
            <w:r>
              <w:rPr>
                <w:spacing w:val="-2"/>
                <w:sz w:val="18"/>
              </w:rPr>
              <w:t>programadas.</w:t>
            </w:r>
          </w:p>
        </w:tc>
        <w:tc>
          <w:tcPr>
            <w:tcW w:w="1573" w:type="dxa"/>
          </w:tcPr>
          <w:p>
            <w:pPr>
              <w:pStyle w:val="TableParagraph"/>
              <w:spacing w:before="104"/>
              <w:ind w:left="66" w:right="92"/>
              <w:rPr>
                <w:sz w:val="18"/>
              </w:rPr>
            </w:pPr>
            <w:r>
              <w:rPr>
                <w:spacing w:val="-2"/>
                <w:sz w:val="18"/>
              </w:rPr>
              <w:t>Informes</w:t>
            </w:r>
            <w:r>
              <w:rPr>
                <w:spacing w:val="40"/>
                <w:sz w:val="18"/>
              </w:rPr>
              <w:t> </w:t>
            </w:r>
            <w:r>
              <w:rPr>
                <w:sz w:val="18"/>
              </w:rPr>
              <w:t>técnicos,</w:t>
            </w:r>
            <w:r>
              <w:rPr>
                <w:spacing w:val="-15"/>
                <w:sz w:val="18"/>
              </w:rPr>
              <w:t> </w:t>
            </w:r>
            <w:r>
              <w:rPr>
                <w:sz w:val="18"/>
              </w:rPr>
              <w:t>giras</w:t>
            </w:r>
            <w:r>
              <w:rPr>
                <w:spacing w:val="-12"/>
                <w:sz w:val="18"/>
              </w:rPr>
              <w:t> </w:t>
            </w:r>
            <w:r>
              <w:rPr>
                <w:sz w:val="18"/>
              </w:rPr>
              <w:t>de supervisión, y reportes de </w:t>
            </w:r>
            <w:r>
              <w:rPr>
                <w:spacing w:val="-2"/>
                <w:sz w:val="18"/>
              </w:rPr>
              <w:t>inspección.</w:t>
            </w:r>
          </w:p>
        </w:tc>
        <w:tc>
          <w:tcPr>
            <w:tcW w:w="1678" w:type="dxa"/>
          </w:tcPr>
          <w:p>
            <w:pPr>
              <w:pStyle w:val="TableParagraph"/>
              <w:rPr>
                <w:b/>
                <w:sz w:val="18"/>
              </w:rPr>
            </w:pPr>
          </w:p>
          <w:p>
            <w:pPr>
              <w:pStyle w:val="TableParagraph"/>
              <w:ind w:left="66" w:right="204"/>
              <w:rPr>
                <w:sz w:val="18"/>
              </w:rPr>
            </w:pPr>
            <w:r>
              <w:rPr>
                <w:sz w:val="18"/>
              </w:rPr>
              <w:t>Departamento</w:t>
            </w:r>
            <w:r>
              <w:rPr>
                <w:spacing w:val="-13"/>
                <w:sz w:val="18"/>
              </w:rPr>
              <w:t> </w:t>
            </w:r>
            <w:r>
              <w:rPr>
                <w:sz w:val="18"/>
              </w:rPr>
              <w:t>de </w:t>
            </w:r>
            <w:r>
              <w:rPr>
                <w:spacing w:val="-2"/>
                <w:sz w:val="18"/>
              </w:rPr>
              <w:t>Servicios </w:t>
            </w:r>
            <w:r>
              <w:rPr>
                <w:sz w:val="18"/>
              </w:rPr>
              <w:t>Generales - </w:t>
            </w:r>
            <w:r>
              <w:rPr>
                <w:spacing w:val="-2"/>
                <w:sz w:val="18"/>
              </w:rPr>
              <w:t>Transportes</w:t>
            </w:r>
          </w:p>
        </w:tc>
        <w:tc>
          <w:tcPr>
            <w:tcW w:w="1398" w:type="dxa"/>
          </w:tcPr>
          <w:p>
            <w:pPr>
              <w:pStyle w:val="TableParagraph"/>
              <w:rPr>
                <w:rFonts w:ascii="Times New Roman"/>
                <w:sz w:val="18"/>
              </w:rPr>
            </w:pPr>
          </w:p>
        </w:tc>
        <w:tc>
          <w:tcPr>
            <w:tcW w:w="2386" w:type="dxa"/>
          </w:tcPr>
          <w:p>
            <w:pPr>
              <w:pStyle w:val="TableParagraph"/>
              <w:rPr>
                <w:b/>
                <w:sz w:val="18"/>
              </w:rPr>
            </w:pPr>
          </w:p>
          <w:p>
            <w:pPr>
              <w:pStyle w:val="TableParagraph"/>
              <w:ind w:left="65" w:right="69"/>
              <w:rPr>
                <w:sz w:val="18"/>
              </w:rPr>
            </w:pPr>
            <w:r>
              <w:rPr>
                <w:sz w:val="18"/>
              </w:rPr>
              <w:t>Incapacidad para cumplir con la supervisión técnica en mecánica automotriz de los</w:t>
            </w:r>
            <w:r>
              <w:rPr>
                <w:spacing w:val="-15"/>
                <w:sz w:val="18"/>
              </w:rPr>
              <w:t> </w:t>
            </w:r>
            <w:r>
              <w:rPr>
                <w:sz w:val="18"/>
              </w:rPr>
              <w:t>vehículos</w:t>
            </w:r>
            <w:r>
              <w:rPr>
                <w:spacing w:val="-12"/>
                <w:sz w:val="18"/>
              </w:rPr>
              <w:t> </w:t>
            </w:r>
            <w:r>
              <w:rPr>
                <w:sz w:val="18"/>
              </w:rPr>
              <w:t>institucionales</w:t>
            </w:r>
          </w:p>
        </w:tc>
      </w:tr>
    </w:tbl>
    <w:p>
      <w:pPr>
        <w:pStyle w:val="TableParagraph"/>
        <w:spacing w:after="0"/>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03"/>
        <w:gridCol w:w="1254"/>
        <w:gridCol w:w="1417"/>
        <w:gridCol w:w="1472"/>
        <w:gridCol w:w="1573"/>
        <w:gridCol w:w="1678"/>
        <w:gridCol w:w="1398"/>
        <w:gridCol w:w="2386"/>
      </w:tblGrid>
      <w:tr>
        <w:trPr>
          <w:trHeight w:val="2070" w:hRule="atLeast"/>
        </w:trPr>
        <w:tc>
          <w:tcPr>
            <w:tcW w:w="3003" w:type="dxa"/>
          </w:tcPr>
          <w:p>
            <w:pPr>
              <w:pStyle w:val="TableParagraph"/>
              <w:spacing w:before="103"/>
              <w:rPr>
                <w:b/>
                <w:sz w:val="18"/>
              </w:rPr>
            </w:pPr>
          </w:p>
          <w:p>
            <w:pPr>
              <w:pStyle w:val="TableParagraph"/>
              <w:spacing w:before="1"/>
              <w:ind w:left="69" w:right="66"/>
              <w:rPr>
                <w:sz w:val="18"/>
              </w:rPr>
            </w:pPr>
            <w:r>
              <w:rPr>
                <w:b/>
                <w:sz w:val="18"/>
              </w:rPr>
              <w:t>Actividad</w:t>
            </w:r>
            <w:r>
              <w:rPr>
                <w:b/>
                <w:spacing w:val="-11"/>
                <w:sz w:val="18"/>
              </w:rPr>
              <w:t> </w:t>
            </w:r>
            <w:r>
              <w:rPr>
                <w:b/>
                <w:sz w:val="18"/>
              </w:rPr>
              <w:t>PAC</w:t>
            </w:r>
            <w:r>
              <w:rPr>
                <w:b/>
                <w:spacing w:val="-10"/>
                <w:sz w:val="18"/>
              </w:rPr>
              <w:t> </w:t>
            </w:r>
            <w:r>
              <w:rPr>
                <w:b/>
                <w:sz w:val="18"/>
              </w:rPr>
              <w:t>2.9.3:</w:t>
            </w:r>
            <w:r>
              <w:rPr>
                <w:b/>
                <w:spacing w:val="-8"/>
                <w:sz w:val="18"/>
              </w:rPr>
              <w:t> </w:t>
            </w:r>
            <w:r>
              <w:rPr>
                <w:sz w:val="18"/>
              </w:rPr>
              <w:t>Gestionar</w:t>
            </w:r>
            <w:r>
              <w:rPr>
                <w:spacing w:val="-10"/>
                <w:sz w:val="18"/>
              </w:rPr>
              <w:t> </w:t>
            </w:r>
            <w:r>
              <w:rPr>
                <w:sz w:val="18"/>
              </w:rPr>
              <w:t>los mantenimientos preventivos y correctivos para la totalidad de la flotilla vehicular de Actividades Centrales</w:t>
            </w:r>
            <w:r>
              <w:rPr>
                <w:spacing w:val="-8"/>
                <w:sz w:val="18"/>
              </w:rPr>
              <w:t> </w:t>
            </w:r>
            <w:r>
              <w:rPr>
                <w:sz w:val="18"/>
              </w:rPr>
              <w:t>(1.08.05</w:t>
            </w:r>
            <w:r>
              <w:rPr>
                <w:spacing w:val="-11"/>
                <w:sz w:val="18"/>
              </w:rPr>
              <w:t> </w:t>
            </w:r>
            <w:r>
              <w:rPr>
                <w:sz w:val="18"/>
              </w:rPr>
              <w:t>Mantenimiento</w:t>
            </w:r>
            <w:r>
              <w:rPr>
                <w:spacing w:val="-11"/>
                <w:sz w:val="18"/>
              </w:rPr>
              <w:t> </w:t>
            </w:r>
            <w:r>
              <w:rPr>
                <w:sz w:val="18"/>
              </w:rPr>
              <w:t>y reparación de equipo de</w:t>
            </w:r>
            <w:r>
              <w:rPr>
                <w:spacing w:val="40"/>
                <w:sz w:val="18"/>
              </w:rPr>
              <w:t> </w:t>
            </w:r>
            <w:r>
              <w:rPr>
                <w:spacing w:val="-2"/>
                <w:sz w:val="18"/>
              </w:rPr>
              <w:t>transporte).</w:t>
            </w:r>
          </w:p>
        </w:tc>
        <w:tc>
          <w:tcPr>
            <w:tcW w:w="125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6"/>
              <w:jc w:val="right"/>
              <w:rPr>
                <w:sz w:val="18"/>
              </w:rPr>
            </w:pPr>
            <w:r>
              <w:rPr>
                <w:spacing w:val="-4"/>
                <w:sz w:val="18"/>
              </w:rPr>
              <w:t>100%</w:t>
            </w: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7"/>
              <w:jc w:val="right"/>
              <w:rPr>
                <w:sz w:val="18"/>
              </w:rPr>
            </w:pPr>
            <w:r>
              <w:rPr>
                <w:spacing w:val="-4"/>
                <w:sz w:val="18"/>
              </w:rPr>
              <w:t>100%</w:t>
            </w:r>
          </w:p>
        </w:tc>
        <w:tc>
          <w:tcPr>
            <w:tcW w:w="1472" w:type="dxa"/>
          </w:tcPr>
          <w:p>
            <w:pPr>
              <w:pStyle w:val="TableParagraph"/>
              <w:spacing w:before="103"/>
              <w:rPr>
                <w:b/>
                <w:sz w:val="18"/>
              </w:rPr>
            </w:pPr>
          </w:p>
          <w:p>
            <w:pPr>
              <w:pStyle w:val="TableParagraph"/>
              <w:spacing w:before="1"/>
              <w:ind w:left="67" w:right="94"/>
              <w:rPr>
                <w:sz w:val="18"/>
              </w:rPr>
            </w:pPr>
            <w:r>
              <w:rPr>
                <w:sz w:val="18"/>
              </w:rPr>
              <w:t>Porcentaje de </w:t>
            </w:r>
            <w:r>
              <w:rPr>
                <w:spacing w:val="-2"/>
                <w:sz w:val="18"/>
              </w:rPr>
              <w:t>vehículos atendidos </w:t>
            </w:r>
            <w:r>
              <w:rPr>
                <w:sz w:val="18"/>
              </w:rPr>
              <w:t>respecto del total</w:t>
            </w:r>
            <w:r>
              <w:rPr>
                <w:spacing w:val="-13"/>
                <w:sz w:val="18"/>
              </w:rPr>
              <w:t> </w:t>
            </w:r>
            <w:r>
              <w:rPr>
                <w:sz w:val="18"/>
              </w:rPr>
              <w:t>de</w:t>
            </w:r>
            <w:r>
              <w:rPr>
                <w:spacing w:val="-12"/>
                <w:sz w:val="18"/>
              </w:rPr>
              <w:t> </w:t>
            </w:r>
            <w:r>
              <w:rPr>
                <w:sz w:val="18"/>
              </w:rPr>
              <w:t>la</w:t>
            </w:r>
            <w:r>
              <w:rPr>
                <w:spacing w:val="-12"/>
                <w:sz w:val="18"/>
              </w:rPr>
              <w:t> </w:t>
            </w:r>
            <w:r>
              <w:rPr>
                <w:sz w:val="18"/>
              </w:rPr>
              <w:t>flotilla de Actividades </w:t>
            </w:r>
            <w:r>
              <w:rPr>
                <w:spacing w:val="-2"/>
                <w:sz w:val="18"/>
              </w:rPr>
              <w:t>Centrales.</w:t>
            </w:r>
          </w:p>
        </w:tc>
        <w:tc>
          <w:tcPr>
            <w:tcW w:w="1573" w:type="dxa"/>
          </w:tcPr>
          <w:p>
            <w:pPr>
              <w:pStyle w:val="TableParagraph"/>
              <w:ind w:left="66" w:right="139"/>
              <w:rPr>
                <w:sz w:val="18"/>
              </w:rPr>
            </w:pPr>
            <w:r>
              <w:rPr>
                <w:sz w:val="18"/>
              </w:rPr>
              <w:t>Solicitudes de pedido en SICOP,</w:t>
            </w:r>
            <w:r>
              <w:rPr>
                <w:spacing w:val="-13"/>
                <w:sz w:val="18"/>
              </w:rPr>
              <w:t> </w:t>
            </w:r>
            <w:r>
              <w:rPr>
                <w:sz w:val="18"/>
              </w:rPr>
              <w:t>facturas, registros de mantenimiento</w:t>
            </w:r>
            <w:r>
              <w:rPr>
                <w:spacing w:val="-5"/>
                <w:sz w:val="18"/>
              </w:rPr>
              <w:t> </w:t>
            </w:r>
            <w:r>
              <w:rPr>
                <w:sz w:val="18"/>
              </w:rPr>
              <w:t>y reportes de daños del </w:t>
            </w:r>
            <w:r>
              <w:rPr>
                <w:spacing w:val="-2"/>
                <w:sz w:val="18"/>
              </w:rPr>
              <w:t>sistema institucional</w:t>
            </w:r>
          </w:p>
          <w:p>
            <w:pPr>
              <w:pStyle w:val="TableParagraph"/>
              <w:spacing w:line="189" w:lineRule="exact"/>
              <w:ind w:left="66"/>
              <w:rPr>
                <w:sz w:val="18"/>
              </w:rPr>
            </w:pPr>
            <w:r>
              <w:rPr>
                <w:spacing w:val="-2"/>
                <w:sz w:val="18"/>
              </w:rPr>
              <w:t>(SITRA).</w:t>
            </w:r>
          </w:p>
        </w:tc>
        <w:tc>
          <w:tcPr>
            <w:tcW w:w="1678" w:type="dxa"/>
          </w:tcPr>
          <w:p>
            <w:pPr>
              <w:pStyle w:val="TableParagraph"/>
              <w:rPr>
                <w:b/>
                <w:sz w:val="18"/>
              </w:rPr>
            </w:pPr>
          </w:p>
          <w:p>
            <w:pPr>
              <w:pStyle w:val="TableParagraph"/>
              <w:spacing w:before="206"/>
              <w:rPr>
                <w:b/>
                <w:sz w:val="18"/>
              </w:rPr>
            </w:pPr>
          </w:p>
          <w:p>
            <w:pPr>
              <w:pStyle w:val="TableParagraph"/>
              <w:ind w:left="66" w:right="204"/>
              <w:rPr>
                <w:sz w:val="18"/>
              </w:rPr>
            </w:pPr>
            <w:r>
              <w:rPr>
                <w:sz w:val="18"/>
              </w:rPr>
              <w:t>Departamento</w:t>
            </w:r>
            <w:r>
              <w:rPr>
                <w:spacing w:val="-13"/>
                <w:sz w:val="18"/>
              </w:rPr>
              <w:t> </w:t>
            </w:r>
            <w:r>
              <w:rPr>
                <w:sz w:val="18"/>
              </w:rPr>
              <w:t>de </w:t>
            </w:r>
            <w:r>
              <w:rPr>
                <w:spacing w:val="-2"/>
                <w:sz w:val="18"/>
              </w:rPr>
              <w:t>Servicios </w:t>
            </w:r>
            <w:r>
              <w:rPr>
                <w:sz w:val="18"/>
              </w:rPr>
              <w:t>Generales - </w:t>
            </w:r>
            <w:r>
              <w:rPr>
                <w:spacing w:val="-2"/>
                <w:sz w:val="18"/>
              </w:rPr>
              <w:t>Transportes</w:t>
            </w:r>
          </w:p>
        </w:tc>
        <w:tc>
          <w:tcPr>
            <w:tcW w:w="1398"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61"/>
              <w:jc w:val="right"/>
              <w:rPr>
                <w:sz w:val="18"/>
              </w:rPr>
            </w:pPr>
            <w:r>
              <w:rPr>
                <w:sz w:val="18"/>
              </w:rPr>
              <w:t>₡48</w:t>
            </w:r>
            <w:r>
              <w:rPr>
                <w:spacing w:val="-2"/>
                <w:sz w:val="18"/>
              </w:rPr>
              <w:t> </w:t>
            </w:r>
            <w:r>
              <w:rPr>
                <w:sz w:val="18"/>
              </w:rPr>
              <w:t>000</w:t>
            </w:r>
            <w:r>
              <w:rPr>
                <w:spacing w:val="-2"/>
                <w:sz w:val="18"/>
              </w:rPr>
              <w:t> </w:t>
            </w:r>
            <w:r>
              <w:rPr>
                <w:spacing w:val="-5"/>
                <w:sz w:val="18"/>
              </w:rPr>
              <w:t>000</w:t>
            </w:r>
          </w:p>
        </w:tc>
        <w:tc>
          <w:tcPr>
            <w:tcW w:w="2386" w:type="dxa"/>
          </w:tcPr>
          <w:p>
            <w:pPr>
              <w:pStyle w:val="TableParagraph"/>
              <w:rPr>
                <w:b/>
                <w:sz w:val="18"/>
              </w:rPr>
            </w:pPr>
          </w:p>
          <w:p>
            <w:pPr>
              <w:pStyle w:val="TableParagraph"/>
              <w:rPr>
                <w:b/>
                <w:sz w:val="18"/>
              </w:rPr>
            </w:pPr>
          </w:p>
          <w:p>
            <w:pPr>
              <w:pStyle w:val="TableParagraph"/>
              <w:ind w:left="65" w:right="69"/>
              <w:rPr>
                <w:sz w:val="18"/>
              </w:rPr>
            </w:pPr>
            <w:r>
              <w:rPr>
                <w:sz w:val="18"/>
              </w:rPr>
              <w:t>No contar con una guía institucional para la precalificación de talleres</w:t>
            </w:r>
            <w:r>
              <w:rPr>
                <w:spacing w:val="40"/>
                <w:sz w:val="18"/>
              </w:rPr>
              <w:t> </w:t>
            </w:r>
            <w:r>
              <w:rPr>
                <w:sz w:val="18"/>
              </w:rPr>
              <w:t>de mantenimiento preventivo</w:t>
            </w:r>
            <w:r>
              <w:rPr>
                <w:spacing w:val="-11"/>
                <w:sz w:val="18"/>
              </w:rPr>
              <w:t> </w:t>
            </w:r>
            <w:r>
              <w:rPr>
                <w:sz w:val="18"/>
              </w:rPr>
              <w:t>y</w:t>
            </w:r>
            <w:r>
              <w:rPr>
                <w:spacing w:val="-8"/>
                <w:sz w:val="18"/>
              </w:rPr>
              <w:t> </w:t>
            </w:r>
            <w:r>
              <w:rPr>
                <w:sz w:val="18"/>
              </w:rPr>
              <w:t>correctivo</w:t>
            </w:r>
            <w:r>
              <w:rPr>
                <w:spacing w:val="-9"/>
                <w:sz w:val="18"/>
              </w:rPr>
              <w:t> </w:t>
            </w:r>
            <w:r>
              <w:rPr>
                <w:sz w:val="18"/>
              </w:rPr>
              <w:t>de</w:t>
            </w:r>
            <w:r>
              <w:rPr>
                <w:spacing w:val="-11"/>
                <w:sz w:val="18"/>
              </w:rPr>
              <w:t> </w:t>
            </w:r>
            <w:r>
              <w:rPr>
                <w:sz w:val="18"/>
              </w:rPr>
              <w:t>la </w:t>
            </w:r>
            <w:r>
              <w:rPr>
                <w:spacing w:val="-2"/>
                <w:sz w:val="18"/>
              </w:rPr>
              <w:t>flotilla</w:t>
            </w:r>
          </w:p>
        </w:tc>
      </w:tr>
      <w:tr>
        <w:trPr>
          <w:trHeight w:val="1274" w:hRule="atLeast"/>
        </w:trPr>
        <w:tc>
          <w:tcPr>
            <w:tcW w:w="3003" w:type="dxa"/>
          </w:tcPr>
          <w:p>
            <w:pPr>
              <w:pStyle w:val="TableParagraph"/>
              <w:spacing w:before="15"/>
              <w:rPr>
                <w:b/>
                <w:sz w:val="18"/>
              </w:rPr>
            </w:pPr>
          </w:p>
          <w:p>
            <w:pPr>
              <w:pStyle w:val="TableParagraph"/>
              <w:ind w:left="69"/>
              <w:rPr>
                <w:sz w:val="18"/>
              </w:rPr>
            </w:pPr>
            <w:r>
              <w:rPr>
                <w:b/>
                <w:sz w:val="18"/>
              </w:rPr>
              <w:t>Actividad</w:t>
            </w:r>
            <w:r>
              <w:rPr>
                <w:b/>
                <w:spacing w:val="-11"/>
                <w:sz w:val="18"/>
              </w:rPr>
              <w:t> </w:t>
            </w:r>
            <w:r>
              <w:rPr>
                <w:b/>
                <w:sz w:val="18"/>
              </w:rPr>
              <w:t>PAC</w:t>
            </w:r>
            <w:r>
              <w:rPr>
                <w:b/>
                <w:spacing w:val="-9"/>
                <w:sz w:val="18"/>
              </w:rPr>
              <w:t> </w:t>
            </w:r>
            <w:r>
              <w:rPr>
                <w:b/>
                <w:sz w:val="18"/>
              </w:rPr>
              <w:t>2.9.4:</w:t>
            </w:r>
            <w:r>
              <w:rPr>
                <w:b/>
                <w:spacing w:val="-8"/>
                <w:sz w:val="18"/>
              </w:rPr>
              <w:t> </w:t>
            </w:r>
            <w:r>
              <w:rPr>
                <w:sz w:val="18"/>
              </w:rPr>
              <w:t>Gestionar</w:t>
            </w:r>
            <w:r>
              <w:rPr>
                <w:spacing w:val="-9"/>
                <w:sz w:val="18"/>
              </w:rPr>
              <w:t> </w:t>
            </w:r>
            <w:r>
              <w:rPr>
                <w:sz w:val="18"/>
              </w:rPr>
              <w:t>la adquisición de tres vehículos para Promoción y Protección Social (5.01.02 Equipo de Transporte).</w:t>
            </w:r>
          </w:p>
        </w:tc>
        <w:tc>
          <w:tcPr>
            <w:tcW w:w="1254" w:type="dxa"/>
          </w:tcPr>
          <w:p>
            <w:pPr>
              <w:pStyle w:val="TableParagraph"/>
              <w:rPr>
                <w:b/>
                <w:sz w:val="18"/>
              </w:rPr>
            </w:pPr>
          </w:p>
          <w:p>
            <w:pPr>
              <w:pStyle w:val="TableParagraph"/>
              <w:spacing w:before="118"/>
              <w:rPr>
                <w:b/>
                <w:sz w:val="18"/>
              </w:rPr>
            </w:pPr>
          </w:p>
          <w:p>
            <w:pPr>
              <w:pStyle w:val="TableParagraph"/>
              <w:ind w:right="59"/>
              <w:jc w:val="right"/>
              <w:rPr>
                <w:sz w:val="18"/>
              </w:rPr>
            </w:pPr>
            <w:r>
              <w:rPr>
                <w:spacing w:val="-10"/>
                <w:sz w:val="18"/>
              </w:rPr>
              <w:t>0</w:t>
            </w:r>
          </w:p>
        </w:tc>
        <w:tc>
          <w:tcPr>
            <w:tcW w:w="1417" w:type="dxa"/>
          </w:tcPr>
          <w:p>
            <w:pPr>
              <w:pStyle w:val="TableParagraph"/>
              <w:rPr>
                <w:b/>
                <w:sz w:val="18"/>
              </w:rPr>
            </w:pPr>
          </w:p>
          <w:p>
            <w:pPr>
              <w:pStyle w:val="TableParagraph"/>
              <w:spacing w:before="118"/>
              <w:rPr>
                <w:b/>
                <w:sz w:val="18"/>
              </w:rPr>
            </w:pPr>
          </w:p>
          <w:p>
            <w:pPr>
              <w:pStyle w:val="TableParagraph"/>
              <w:ind w:right="60"/>
              <w:jc w:val="right"/>
              <w:rPr>
                <w:sz w:val="18"/>
              </w:rPr>
            </w:pPr>
            <w:r>
              <w:rPr>
                <w:spacing w:val="-10"/>
                <w:sz w:val="18"/>
              </w:rPr>
              <w:t>3</w:t>
            </w:r>
          </w:p>
        </w:tc>
        <w:tc>
          <w:tcPr>
            <w:tcW w:w="1472" w:type="dxa"/>
          </w:tcPr>
          <w:p>
            <w:pPr>
              <w:pStyle w:val="TableParagraph"/>
              <w:spacing w:before="118"/>
              <w:rPr>
                <w:b/>
                <w:sz w:val="18"/>
              </w:rPr>
            </w:pPr>
          </w:p>
          <w:p>
            <w:pPr>
              <w:pStyle w:val="TableParagraph"/>
              <w:spacing w:before="1"/>
              <w:ind w:left="67" w:right="417"/>
              <w:rPr>
                <w:sz w:val="18"/>
              </w:rPr>
            </w:pPr>
            <w:r>
              <w:rPr>
                <w:sz w:val="18"/>
              </w:rPr>
              <w:t>Cantidad</w:t>
            </w:r>
            <w:r>
              <w:rPr>
                <w:spacing w:val="-13"/>
                <w:sz w:val="18"/>
              </w:rPr>
              <w:t> </w:t>
            </w:r>
            <w:r>
              <w:rPr>
                <w:sz w:val="18"/>
              </w:rPr>
              <w:t>de </w:t>
            </w:r>
            <w:r>
              <w:rPr>
                <w:spacing w:val="-2"/>
                <w:sz w:val="18"/>
              </w:rPr>
              <w:t>vehículos adquiridos.</w:t>
            </w:r>
          </w:p>
        </w:tc>
        <w:tc>
          <w:tcPr>
            <w:tcW w:w="1573" w:type="dxa"/>
          </w:tcPr>
          <w:p>
            <w:pPr>
              <w:pStyle w:val="TableParagraph"/>
              <w:spacing w:before="119"/>
              <w:ind w:left="66" w:right="179" w:firstLine="50"/>
              <w:rPr>
                <w:sz w:val="18"/>
              </w:rPr>
            </w:pPr>
            <w:r>
              <w:rPr>
                <w:sz w:val="18"/>
              </w:rPr>
              <w:t>Solicitudes de pedido en SICOP,</w:t>
            </w:r>
            <w:r>
              <w:rPr>
                <w:spacing w:val="-13"/>
                <w:sz w:val="18"/>
              </w:rPr>
              <w:t> </w:t>
            </w:r>
            <w:r>
              <w:rPr>
                <w:sz w:val="18"/>
              </w:rPr>
              <w:t>contrato facturas y actas de recepción.</w:t>
            </w:r>
          </w:p>
        </w:tc>
        <w:tc>
          <w:tcPr>
            <w:tcW w:w="1678" w:type="dxa"/>
          </w:tcPr>
          <w:p>
            <w:pPr>
              <w:pStyle w:val="TableParagraph"/>
              <w:spacing w:before="15"/>
              <w:rPr>
                <w:b/>
                <w:sz w:val="18"/>
              </w:rPr>
            </w:pPr>
          </w:p>
          <w:p>
            <w:pPr>
              <w:pStyle w:val="TableParagraph"/>
              <w:ind w:left="66" w:right="204"/>
              <w:rPr>
                <w:sz w:val="18"/>
              </w:rPr>
            </w:pPr>
            <w:r>
              <w:rPr>
                <w:sz w:val="18"/>
              </w:rPr>
              <w:t>Departamento</w:t>
            </w:r>
            <w:r>
              <w:rPr>
                <w:spacing w:val="-13"/>
                <w:sz w:val="18"/>
              </w:rPr>
              <w:t> </w:t>
            </w:r>
            <w:r>
              <w:rPr>
                <w:sz w:val="18"/>
              </w:rPr>
              <w:t>de </w:t>
            </w:r>
            <w:r>
              <w:rPr>
                <w:spacing w:val="-2"/>
                <w:sz w:val="18"/>
              </w:rPr>
              <w:t>Servicios </w:t>
            </w:r>
            <w:r>
              <w:rPr>
                <w:sz w:val="18"/>
              </w:rPr>
              <w:t>Generales - </w:t>
            </w:r>
            <w:r>
              <w:rPr>
                <w:spacing w:val="-2"/>
                <w:sz w:val="18"/>
              </w:rPr>
              <w:t>Transportes</w:t>
            </w:r>
          </w:p>
        </w:tc>
        <w:tc>
          <w:tcPr>
            <w:tcW w:w="1398" w:type="dxa"/>
          </w:tcPr>
          <w:p>
            <w:pPr>
              <w:pStyle w:val="TableParagraph"/>
              <w:rPr>
                <w:b/>
                <w:sz w:val="18"/>
              </w:rPr>
            </w:pPr>
          </w:p>
          <w:p>
            <w:pPr>
              <w:pStyle w:val="TableParagraph"/>
              <w:spacing w:before="118"/>
              <w:rPr>
                <w:b/>
                <w:sz w:val="18"/>
              </w:rPr>
            </w:pPr>
          </w:p>
          <w:p>
            <w:pPr>
              <w:pStyle w:val="TableParagraph"/>
              <w:ind w:right="61"/>
              <w:jc w:val="right"/>
              <w:rPr>
                <w:sz w:val="18"/>
              </w:rPr>
            </w:pPr>
            <w:r>
              <w:rPr>
                <w:sz w:val="18"/>
              </w:rPr>
              <w:t>₡84</w:t>
            </w:r>
            <w:r>
              <w:rPr>
                <w:spacing w:val="-2"/>
                <w:sz w:val="18"/>
              </w:rPr>
              <w:t> </w:t>
            </w:r>
            <w:r>
              <w:rPr>
                <w:sz w:val="18"/>
              </w:rPr>
              <w:t>000</w:t>
            </w:r>
            <w:r>
              <w:rPr>
                <w:spacing w:val="-2"/>
                <w:sz w:val="18"/>
              </w:rPr>
              <w:t> </w:t>
            </w:r>
            <w:r>
              <w:rPr>
                <w:spacing w:val="-5"/>
                <w:sz w:val="18"/>
              </w:rPr>
              <w:t>000</w:t>
            </w:r>
          </w:p>
        </w:tc>
        <w:tc>
          <w:tcPr>
            <w:tcW w:w="2386" w:type="dxa"/>
          </w:tcPr>
          <w:p>
            <w:pPr>
              <w:pStyle w:val="TableParagraph"/>
              <w:spacing w:before="15"/>
              <w:rPr>
                <w:b/>
                <w:sz w:val="18"/>
              </w:rPr>
            </w:pPr>
          </w:p>
          <w:p>
            <w:pPr>
              <w:pStyle w:val="TableParagraph"/>
              <w:ind w:left="65" w:right="120"/>
              <w:rPr>
                <w:sz w:val="18"/>
              </w:rPr>
            </w:pPr>
            <w:r>
              <w:rPr>
                <w:sz w:val="18"/>
              </w:rPr>
              <w:t>Que la contratación sea declarada</w:t>
            </w:r>
            <w:r>
              <w:rPr>
                <w:spacing w:val="-10"/>
                <w:sz w:val="18"/>
              </w:rPr>
              <w:t> </w:t>
            </w:r>
            <w:r>
              <w:rPr>
                <w:sz w:val="18"/>
              </w:rPr>
              <w:t>infructuosa</w:t>
            </w:r>
            <w:r>
              <w:rPr>
                <w:spacing w:val="-10"/>
                <w:sz w:val="18"/>
              </w:rPr>
              <w:t> </w:t>
            </w:r>
            <w:r>
              <w:rPr>
                <w:sz w:val="18"/>
              </w:rPr>
              <w:t>para la</w:t>
            </w:r>
            <w:r>
              <w:rPr>
                <w:spacing w:val="-13"/>
                <w:sz w:val="18"/>
              </w:rPr>
              <w:t> </w:t>
            </w:r>
            <w:r>
              <w:rPr>
                <w:sz w:val="18"/>
              </w:rPr>
              <w:t>adquisición</w:t>
            </w:r>
            <w:r>
              <w:rPr>
                <w:spacing w:val="-12"/>
                <w:sz w:val="18"/>
              </w:rPr>
              <w:t> </w:t>
            </w:r>
            <w:r>
              <w:rPr>
                <w:sz w:val="18"/>
              </w:rPr>
              <w:t>de</w:t>
            </w:r>
            <w:r>
              <w:rPr>
                <w:spacing w:val="-13"/>
                <w:sz w:val="18"/>
              </w:rPr>
              <w:t> </w:t>
            </w:r>
            <w:r>
              <w:rPr>
                <w:sz w:val="18"/>
              </w:rPr>
              <w:t>vehículos destinados al IMAS</w:t>
            </w:r>
          </w:p>
        </w:tc>
      </w:tr>
    </w:tbl>
    <w:p>
      <w:pPr>
        <w:pStyle w:val="TableParagraph"/>
        <w:spacing w:after="0"/>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1558"/>
        <w:gridCol w:w="1560"/>
        <w:gridCol w:w="1274"/>
        <w:gridCol w:w="1704"/>
        <w:gridCol w:w="1416"/>
        <w:gridCol w:w="1412"/>
        <w:gridCol w:w="2395"/>
      </w:tblGrid>
      <w:tr>
        <w:trPr>
          <w:trHeight w:val="774" w:hRule="atLeast"/>
        </w:trPr>
        <w:tc>
          <w:tcPr>
            <w:tcW w:w="2835" w:type="dxa"/>
            <w:shd w:val="clear" w:color="auto" w:fill="F1F1F1"/>
          </w:tcPr>
          <w:p>
            <w:pPr>
              <w:pStyle w:val="TableParagraph"/>
              <w:spacing w:before="77"/>
              <w:rPr>
                <w:b/>
                <w:sz w:val="18"/>
              </w:rPr>
            </w:pPr>
          </w:p>
          <w:p>
            <w:pPr>
              <w:pStyle w:val="TableParagraph"/>
              <w:ind w:left="443"/>
              <w:rPr>
                <w:b/>
                <w:sz w:val="18"/>
              </w:rPr>
            </w:pPr>
            <w:r>
              <w:rPr>
                <w:b/>
                <w:sz w:val="18"/>
              </w:rPr>
              <w:t>Objetivos</w:t>
            </w:r>
            <w:r>
              <w:rPr>
                <w:b/>
                <w:spacing w:val="-4"/>
                <w:sz w:val="18"/>
              </w:rPr>
              <w:t> </w:t>
            </w:r>
            <w:r>
              <w:rPr>
                <w:b/>
                <w:sz w:val="18"/>
              </w:rPr>
              <w:t>/</w:t>
            </w:r>
            <w:r>
              <w:rPr>
                <w:b/>
                <w:spacing w:val="-2"/>
                <w:sz w:val="18"/>
              </w:rPr>
              <w:t> Resultados</w:t>
            </w:r>
          </w:p>
        </w:tc>
        <w:tc>
          <w:tcPr>
            <w:tcW w:w="1558" w:type="dxa"/>
            <w:shd w:val="clear" w:color="auto" w:fill="F1F1F1"/>
          </w:tcPr>
          <w:p>
            <w:pPr>
              <w:pStyle w:val="TableParagraph"/>
              <w:spacing w:before="179"/>
              <w:ind w:left="517" w:right="292" w:hanging="216"/>
              <w:rPr>
                <w:b/>
                <w:sz w:val="18"/>
              </w:rPr>
            </w:pPr>
            <w:r>
              <w:rPr>
                <w:b/>
                <w:sz w:val="18"/>
              </w:rPr>
              <w:t>Línea</w:t>
            </w:r>
            <w:r>
              <w:rPr>
                <w:b/>
                <w:spacing w:val="-13"/>
                <w:sz w:val="18"/>
              </w:rPr>
              <w:t> </w:t>
            </w:r>
            <w:r>
              <w:rPr>
                <w:b/>
                <w:sz w:val="18"/>
              </w:rPr>
              <w:t>Base </w:t>
            </w:r>
            <w:r>
              <w:rPr>
                <w:b/>
                <w:spacing w:val="-2"/>
                <w:sz w:val="18"/>
              </w:rPr>
              <w:t>(2025)</w:t>
            </w:r>
          </w:p>
        </w:tc>
        <w:tc>
          <w:tcPr>
            <w:tcW w:w="1560" w:type="dxa"/>
            <w:shd w:val="clear" w:color="auto" w:fill="F1F1F1"/>
          </w:tcPr>
          <w:p>
            <w:pPr>
              <w:pStyle w:val="TableParagraph"/>
              <w:spacing w:before="75"/>
              <w:ind w:left="258" w:right="248" w:hanging="1"/>
              <w:jc w:val="center"/>
              <w:rPr>
                <w:b/>
                <w:sz w:val="18"/>
              </w:rPr>
            </w:pPr>
            <w:r>
              <w:rPr>
                <w:b/>
                <w:spacing w:val="-4"/>
                <w:sz w:val="18"/>
              </w:rPr>
              <w:t>Meta </w:t>
            </w:r>
            <w:r>
              <w:rPr>
                <w:b/>
                <w:spacing w:val="-2"/>
                <w:sz w:val="18"/>
              </w:rPr>
              <w:t>programada </w:t>
            </w:r>
            <w:r>
              <w:rPr>
                <w:b/>
                <w:spacing w:val="-4"/>
                <w:sz w:val="18"/>
              </w:rPr>
              <w:t>2027</w:t>
            </w:r>
          </w:p>
        </w:tc>
        <w:tc>
          <w:tcPr>
            <w:tcW w:w="1274" w:type="dxa"/>
            <w:shd w:val="clear" w:color="auto" w:fill="F1F1F1"/>
          </w:tcPr>
          <w:p>
            <w:pPr>
              <w:pStyle w:val="TableParagraph"/>
              <w:spacing w:before="77"/>
              <w:rPr>
                <w:b/>
                <w:sz w:val="18"/>
              </w:rPr>
            </w:pPr>
          </w:p>
          <w:p>
            <w:pPr>
              <w:pStyle w:val="TableParagraph"/>
              <w:ind w:left="230"/>
              <w:rPr>
                <w:b/>
                <w:sz w:val="18"/>
              </w:rPr>
            </w:pPr>
            <w:r>
              <w:rPr>
                <w:b/>
                <w:spacing w:val="-2"/>
                <w:sz w:val="18"/>
              </w:rPr>
              <w:t>Indicador</w:t>
            </w:r>
          </w:p>
        </w:tc>
        <w:tc>
          <w:tcPr>
            <w:tcW w:w="1704" w:type="dxa"/>
            <w:shd w:val="clear" w:color="auto" w:fill="F1F1F1"/>
          </w:tcPr>
          <w:p>
            <w:pPr>
              <w:pStyle w:val="TableParagraph"/>
              <w:spacing w:before="179"/>
              <w:ind w:left="350" w:right="90" w:firstLine="60"/>
              <w:rPr>
                <w:b/>
                <w:sz w:val="18"/>
              </w:rPr>
            </w:pPr>
            <w:r>
              <w:rPr>
                <w:b/>
                <w:sz w:val="18"/>
              </w:rPr>
              <w:t>Medios de </w:t>
            </w:r>
            <w:r>
              <w:rPr>
                <w:b/>
                <w:spacing w:val="-2"/>
                <w:sz w:val="18"/>
              </w:rPr>
              <w:t>verificación</w:t>
            </w:r>
          </w:p>
        </w:tc>
        <w:tc>
          <w:tcPr>
            <w:tcW w:w="1416" w:type="dxa"/>
            <w:shd w:val="clear" w:color="auto" w:fill="F1F1F1"/>
          </w:tcPr>
          <w:p>
            <w:pPr>
              <w:pStyle w:val="TableParagraph"/>
              <w:spacing w:before="77"/>
              <w:rPr>
                <w:b/>
                <w:sz w:val="18"/>
              </w:rPr>
            </w:pPr>
          </w:p>
          <w:p>
            <w:pPr>
              <w:pStyle w:val="TableParagraph"/>
              <w:ind w:left="147"/>
              <w:rPr>
                <w:b/>
                <w:sz w:val="18"/>
              </w:rPr>
            </w:pPr>
            <w:r>
              <w:rPr>
                <w:b/>
                <w:spacing w:val="-2"/>
                <w:sz w:val="18"/>
              </w:rPr>
              <w:t>Responsable</w:t>
            </w:r>
          </w:p>
        </w:tc>
        <w:tc>
          <w:tcPr>
            <w:tcW w:w="1412" w:type="dxa"/>
            <w:shd w:val="clear" w:color="auto" w:fill="F1F1F1"/>
          </w:tcPr>
          <w:p>
            <w:pPr>
              <w:pStyle w:val="TableParagraph"/>
              <w:spacing w:before="179"/>
              <w:ind w:left="312" w:hanging="152"/>
              <w:rPr>
                <w:b/>
                <w:sz w:val="18"/>
              </w:rPr>
            </w:pPr>
            <w:r>
              <w:rPr>
                <w:b/>
                <w:spacing w:val="-2"/>
                <w:sz w:val="18"/>
              </w:rPr>
              <w:t>Presupuesto asignado</w:t>
            </w:r>
          </w:p>
        </w:tc>
        <w:tc>
          <w:tcPr>
            <w:tcW w:w="2395" w:type="dxa"/>
            <w:shd w:val="clear" w:color="auto" w:fill="F1F1F1"/>
          </w:tcPr>
          <w:p>
            <w:pPr>
              <w:pStyle w:val="TableParagraph"/>
              <w:spacing w:before="77"/>
              <w:rPr>
                <w:b/>
                <w:sz w:val="18"/>
              </w:rPr>
            </w:pPr>
          </w:p>
          <w:p>
            <w:pPr>
              <w:pStyle w:val="TableParagraph"/>
              <w:ind w:left="16"/>
              <w:jc w:val="center"/>
              <w:rPr>
                <w:b/>
                <w:sz w:val="18"/>
              </w:rPr>
            </w:pPr>
            <w:r>
              <w:rPr>
                <w:b/>
                <w:spacing w:val="-2"/>
                <w:sz w:val="18"/>
              </w:rPr>
              <w:t>Riesgo</w:t>
            </w:r>
          </w:p>
        </w:tc>
      </w:tr>
      <w:tr>
        <w:trPr>
          <w:trHeight w:val="585" w:hRule="atLeast"/>
        </w:trPr>
        <w:tc>
          <w:tcPr>
            <w:tcW w:w="14154" w:type="dxa"/>
            <w:gridSpan w:val="8"/>
            <w:shd w:val="clear" w:color="auto" w:fill="F1F1F1"/>
          </w:tcPr>
          <w:p>
            <w:pPr>
              <w:pStyle w:val="TableParagraph"/>
              <w:spacing w:before="85"/>
              <w:ind w:left="69"/>
              <w:rPr>
                <w:b/>
                <w:sz w:val="18"/>
              </w:rPr>
            </w:pPr>
            <w:r>
              <w:rPr>
                <w:b/>
                <w:sz w:val="18"/>
              </w:rPr>
              <w:t>Efecto:</w:t>
            </w:r>
            <w:r>
              <w:rPr>
                <w:b/>
                <w:spacing w:val="-1"/>
                <w:sz w:val="18"/>
              </w:rPr>
              <w:t> </w:t>
            </w:r>
            <w:r>
              <w:rPr>
                <w:b/>
                <w:sz w:val="18"/>
              </w:rPr>
              <w:t>Efectiva</w:t>
            </w:r>
            <w:r>
              <w:rPr>
                <w:b/>
                <w:spacing w:val="-3"/>
                <w:sz w:val="18"/>
              </w:rPr>
              <w:t> </w:t>
            </w:r>
            <w:r>
              <w:rPr>
                <w:b/>
                <w:sz w:val="18"/>
              </w:rPr>
              <w:t>gestión</w:t>
            </w:r>
            <w:r>
              <w:rPr>
                <w:b/>
                <w:spacing w:val="-1"/>
                <w:sz w:val="18"/>
              </w:rPr>
              <w:t> </w:t>
            </w:r>
            <w:r>
              <w:rPr>
                <w:b/>
                <w:sz w:val="18"/>
              </w:rPr>
              <w:t>de</w:t>
            </w:r>
            <w:r>
              <w:rPr>
                <w:b/>
                <w:spacing w:val="-3"/>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465" w:hRule="atLeast"/>
        </w:trPr>
        <w:tc>
          <w:tcPr>
            <w:tcW w:w="14154" w:type="dxa"/>
            <w:gridSpan w:val="8"/>
            <w:shd w:val="clear" w:color="auto" w:fill="DBE4F0"/>
          </w:tcPr>
          <w:p>
            <w:pPr>
              <w:pStyle w:val="TableParagraph"/>
              <w:spacing w:before="128"/>
              <w:ind w:left="69"/>
              <w:rPr>
                <w:b/>
                <w:sz w:val="18"/>
              </w:rPr>
            </w:pPr>
            <w:r>
              <w:rPr>
                <w:b/>
                <w:sz w:val="18"/>
              </w:rPr>
              <w:t>Producto</w:t>
            </w:r>
            <w:r>
              <w:rPr>
                <w:b/>
                <w:spacing w:val="-6"/>
                <w:sz w:val="18"/>
              </w:rPr>
              <w:t> </w:t>
            </w:r>
            <w:r>
              <w:rPr>
                <w:b/>
                <w:sz w:val="18"/>
              </w:rPr>
              <w:t>PAC</w:t>
            </w:r>
            <w:r>
              <w:rPr>
                <w:b/>
                <w:spacing w:val="-4"/>
                <w:sz w:val="18"/>
              </w:rPr>
              <w:t> </w:t>
            </w:r>
            <w:r>
              <w:rPr>
                <w:b/>
                <w:sz w:val="18"/>
              </w:rPr>
              <w:t>2.10:</w:t>
            </w:r>
            <w:r>
              <w:rPr>
                <w:b/>
                <w:spacing w:val="-3"/>
                <w:sz w:val="18"/>
              </w:rPr>
              <w:t> </w:t>
            </w:r>
            <w:r>
              <w:rPr>
                <w:b/>
                <w:sz w:val="18"/>
              </w:rPr>
              <w:t>Estrategia</w:t>
            </w:r>
            <w:r>
              <w:rPr>
                <w:b/>
                <w:spacing w:val="-3"/>
                <w:sz w:val="18"/>
              </w:rPr>
              <w:t> </w:t>
            </w:r>
            <w:r>
              <w:rPr>
                <w:b/>
                <w:sz w:val="18"/>
              </w:rPr>
              <w:t>cobratoria</w:t>
            </w:r>
            <w:r>
              <w:rPr>
                <w:b/>
                <w:spacing w:val="-4"/>
                <w:sz w:val="18"/>
              </w:rPr>
              <w:t> </w:t>
            </w:r>
            <w:r>
              <w:rPr>
                <w:b/>
                <w:sz w:val="18"/>
              </w:rPr>
              <w:t>diseñada</w:t>
            </w:r>
            <w:r>
              <w:rPr>
                <w:b/>
                <w:spacing w:val="-3"/>
                <w:sz w:val="18"/>
              </w:rPr>
              <w:t> </w:t>
            </w:r>
            <w:r>
              <w:rPr>
                <w:b/>
                <w:sz w:val="18"/>
              </w:rPr>
              <w:t>y</w:t>
            </w:r>
            <w:r>
              <w:rPr>
                <w:b/>
                <w:spacing w:val="-5"/>
                <w:sz w:val="18"/>
              </w:rPr>
              <w:t> </w:t>
            </w:r>
            <w:r>
              <w:rPr>
                <w:b/>
                <w:sz w:val="18"/>
              </w:rPr>
              <w:t>ejecutada</w:t>
            </w:r>
            <w:r>
              <w:rPr>
                <w:b/>
                <w:spacing w:val="-5"/>
                <w:sz w:val="18"/>
              </w:rPr>
              <w:t> </w:t>
            </w:r>
            <w:r>
              <w:rPr>
                <w:b/>
                <w:sz w:val="18"/>
              </w:rPr>
              <w:t>para</w:t>
            </w:r>
            <w:r>
              <w:rPr>
                <w:b/>
                <w:spacing w:val="-3"/>
                <w:sz w:val="18"/>
              </w:rPr>
              <w:t> </w:t>
            </w:r>
            <w:r>
              <w:rPr>
                <w:b/>
                <w:sz w:val="18"/>
              </w:rPr>
              <w:t>incrementar</w:t>
            </w:r>
            <w:r>
              <w:rPr>
                <w:b/>
                <w:spacing w:val="-4"/>
                <w:sz w:val="18"/>
              </w:rPr>
              <w:t> </w:t>
            </w:r>
            <w:r>
              <w:rPr>
                <w:b/>
                <w:sz w:val="18"/>
              </w:rPr>
              <w:t>los</w:t>
            </w:r>
            <w:r>
              <w:rPr>
                <w:b/>
                <w:spacing w:val="-5"/>
                <w:sz w:val="18"/>
              </w:rPr>
              <w:t> </w:t>
            </w:r>
            <w:r>
              <w:rPr>
                <w:b/>
                <w:sz w:val="18"/>
              </w:rPr>
              <w:t>ingresos</w:t>
            </w:r>
            <w:r>
              <w:rPr>
                <w:b/>
                <w:spacing w:val="-5"/>
                <w:sz w:val="18"/>
              </w:rPr>
              <w:t> </w:t>
            </w:r>
            <w:r>
              <w:rPr>
                <w:b/>
                <w:sz w:val="18"/>
              </w:rPr>
              <w:t>tributarios.</w:t>
            </w:r>
            <w:r>
              <w:rPr>
                <w:b/>
                <w:spacing w:val="-3"/>
                <w:sz w:val="18"/>
              </w:rPr>
              <w:t> </w:t>
            </w:r>
            <w:r>
              <w:rPr>
                <w:b/>
                <w:sz w:val="18"/>
              </w:rPr>
              <w:t>(E5</w:t>
            </w:r>
            <w:r>
              <w:rPr>
                <w:b/>
                <w:spacing w:val="-3"/>
                <w:sz w:val="18"/>
              </w:rPr>
              <w:t> </w:t>
            </w:r>
            <w:r>
              <w:rPr>
                <w:b/>
                <w:sz w:val="18"/>
              </w:rPr>
              <w:t>AE6</w:t>
            </w:r>
            <w:r>
              <w:rPr>
                <w:b/>
                <w:spacing w:val="-3"/>
                <w:sz w:val="18"/>
              </w:rPr>
              <w:t> </w:t>
            </w:r>
            <w:r>
              <w:rPr>
                <w:b/>
                <w:spacing w:val="-5"/>
                <w:sz w:val="18"/>
              </w:rPr>
              <w:t>R1)</w:t>
            </w:r>
          </w:p>
        </w:tc>
      </w:tr>
      <w:tr>
        <w:trPr>
          <w:trHeight w:val="1034" w:hRule="atLeast"/>
        </w:trPr>
        <w:tc>
          <w:tcPr>
            <w:tcW w:w="2835" w:type="dxa"/>
          </w:tcPr>
          <w:p>
            <w:pPr>
              <w:pStyle w:val="TableParagraph"/>
              <w:ind w:left="69"/>
              <w:rPr>
                <w:b/>
                <w:sz w:val="18"/>
              </w:rPr>
            </w:pPr>
            <w:r>
              <w:rPr>
                <w:b/>
                <w:sz w:val="18"/>
              </w:rPr>
              <w:t>Actividad</w:t>
            </w:r>
            <w:r>
              <w:rPr>
                <w:b/>
                <w:spacing w:val="-11"/>
                <w:sz w:val="18"/>
              </w:rPr>
              <w:t> </w:t>
            </w:r>
            <w:r>
              <w:rPr>
                <w:b/>
                <w:sz w:val="18"/>
              </w:rPr>
              <w:t>PAC</w:t>
            </w:r>
            <w:r>
              <w:rPr>
                <w:b/>
                <w:spacing w:val="-10"/>
                <w:sz w:val="18"/>
              </w:rPr>
              <w:t> </w:t>
            </w:r>
            <w:r>
              <w:rPr>
                <w:b/>
                <w:sz w:val="18"/>
              </w:rPr>
              <w:t>2.10.1:</w:t>
            </w:r>
            <w:r>
              <w:rPr>
                <w:b/>
                <w:spacing w:val="-8"/>
                <w:sz w:val="18"/>
              </w:rPr>
              <w:t> </w:t>
            </w:r>
            <w:r>
              <w:rPr>
                <w:sz w:val="18"/>
              </w:rPr>
              <w:t>Diseñar</w:t>
            </w:r>
            <w:r>
              <w:rPr>
                <w:spacing w:val="-10"/>
                <w:sz w:val="18"/>
              </w:rPr>
              <w:t> </w:t>
            </w:r>
            <w:r>
              <w:rPr>
                <w:sz w:val="18"/>
              </w:rPr>
              <w:t>y ejecutar de estrategia cobratoria mensual. </w:t>
            </w:r>
            <w:r>
              <w:rPr>
                <w:b/>
                <w:sz w:val="18"/>
              </w:rPr>
              <w:t>(Subpartidas </w:t>
            </w:r>
            <w:r>
              <w:rPr>
                <w:b/>
                <w:spacing w:val="-2"/>
                <w:sz w:val="18"/>
              </w:rPr>
              <w:t>Presupuestarias</w:t>
            </w:r>
          </w:p>
          <w:p>
            <w:pPr>
              <w:pStyle w:val="TableParagraph"/>
              <w:spacing w:line="187" w:lineRule="exact"/>
              <w:ind w:left="69"/>
              <w:rPr>
                <w:b/>
                <w:sz w:val="18"/>
              </w:rPr>
            </w:pPr>
            <w:r>
              <w:rPr>
                <w:b/>
                <w:sz w:val="18"/>
              </w:rPr>
              <w:t>1.04.02(12</w:t>
            </w:r>
            <w:r>
              <w:rPr>
                <w:b/>
                <w:spacing w:val="-3"/>
                <w:sz w:val="18"/>
              </w:rPr>
              <w:t> </w:t>
            </w:r>
            <w:r>
              <w:rPr>
                <w:b/>
                <w:sz w:val="18"/>
              </w:rPr>
              <w:t>200</w:t>
            </w:r>
            <w:r>
              <w:rPr>
                <w:b/>
                <w:spacing w:val="-2"/>
                <w:sz w:val="18"/>
              </w:rPr>
              <w:t> </w:t>
            </w:r>
            <w:r>
              <w:rPr>
                <w:b/>
                <w:sz w:val="18"/>
              </w:rPr>
              <w:t>000)</w:t>
            </w:r>
            <w:r>
              <w:rPr>
                <w:b/>
                <w:spacing w:val="-4"/>
                <w:sz w:val="18"/>
              </w:rPr>
              <w:t> </w:t>
            </w:r>
            <w:r>
              <w:rPr>
                <w:b/>
                <w:sz w:val="18"/>
              </w:rPr>
              <w:t>y</w:t>
            </w:r>
            <w:r>
              <w:rPr>
                <w:b/>
                <w:spacing w:val="-1"/>
                <w:sz w:val="18"/>
              </w:rPr>
              <w:t> </w:t>
            </w:r>
            <w:r>
              <w:rPr>
                <w:b/>
                <w:spacing w:val="-2"/>
                <w:sz w:val="18"/>
              </w:rPr>
              <w:t>1.04.99)</w:t>
            </w:r>
          </w:p>
        </w:tc>
        <w:tc>
          <w:tcPr>
            <w:tcW w:w="1558" w:type="dxa"/>
          </w:tcPr>
          <w:p>
            <w:pPr>
              <w:pStyle w:val="TableParagraph"/>
              <w:rPr>
                <w:b/>
                <w:sz w:val="18"/>
              </w:rPr>
            </w:pPr>
          </w:p>
          <w:p>
            <w:pPr>
              <w:pStyle w:val="TableParagraph"/>
              <w:rPr>
                <w:b/>
                <w:sz w:val="18"/>
              </w:rPr>
            </w:pPr>
          </w:p>
          <w:p>
            <w:pPr>
              <w:pStyle w:val="TableParagraph"/>
              <w:ind w:left="34" w:right="23"/>
              <w:jc w:val="center"/>
              <w:rPr>
                <w:sz w:val="18"/>
              </w:rPr>
            </w:pPr>
            <w:r>
              <w:rPr>
                <w:spacing w:val="-5"/>
                <w:sz w:val="18"/>
              </w:rPr>
              <w:t>12</w:t>
            </w:r>
          </w:p>
        </w:tc>
        <w:tc>
          <w:tcPr>
            <w:tcW w:w="1560" w:type="dxa"/>
          </w:tcPr>
          <w:p>
            <w:pPr>
              <w:pStyle w:val="TableParagraph"/>
              <w:rPr>
                <w:b/>
                <w:sz w:val="18"/>
              </w:rPr>
            </w:pPr>
          </w:p>
          <w:p>
            <w:pPr>
              <w:pStyle w:val="TableParagraph"/>
              <w:rPr>
                <w:b/>
                <w:sz w:val="18"/>
              </w:rPr>
            </w:pPr>
          </w:p>
          <w:p>
            <w:pPr>
              <w:pStyle w:val="TableParagraph"/>
              <w:ind w:left="9"/>
              <w:jc w:val="center"/>
              <w:rPr>
                <w:sz w:val="18"/>
              </w:rPr>
            </w:pPr>
            <w:r>
              <w:rPr>
                <w:spacing w:val="-5"/>
                <w:sz w:val="18"/>
              </w:rPr>
              <w:t>12</w:t>
            </w:r>
          </w:p>
        </w:tc>
        <w:tc>
          <w:tcPr>
            <w:tcW w:w="1274" w:type="dxa"/>
          </w:tcPr>
          <w:p>
            <w:pPr>
              <w:pStyle w:val="TableParagraph"/>
              <w:ind w:left="69" w:right="217"/>
              <w:rPr>
                <w:sz w:val="18"/>
              </w:rPr>
            </w:pPr>
            <w:r>
              <w:rPr>
                <w:sz w:val="18"/>
              </w:rPr>
              <w:t>Cantidad</w:t>
            </w:r>
            <w:r>
              <w:rPr>
                <w:spacing w:val="-13"/>
                <w:sz w:val="18"/>
              </w:rPr>
              <w:t> </w:t>
            </w:r>
            <w:r>
              <w:rPr>
                <w:sz w:val="18"/>
              </w:rPr>
              <w:t>de </w:t>
            </w:r>
            <w:r>
              <w:rPr>
                <w:spacing w:val="-2"/>
                <w:sz w:val="18"/>
              </w:rPr>
              <w:t>estrategias cobratoria </w:t>
            </w:r>
            <w:r>
              <w:rPr>
                <w:sz w:val="18"/>
              </w:rPr>
              <w:t>diseñadas</w:t>
            </w:r>
            <w:r>
              <w:rPr>
                <w:spacing w:val="-13"/>
                <w:sz w:val="18"/>
              </w:rPr>
              <w:t> </w:t>
            </w:r>
            <w:r>
              <w:rPr>
                <w:sz w:val="18"/>
              </w:rPr>
              <w:t>y</w:t>
            </w:r>
          </w:p>
          <w:p>
            <w:pPr>
              <w:pStyle w:val="TableParagraph"/>
              <w:spacing w:line="187" w:lineRule="exact"/>
              <w:ind w:left="69"/>
              <w:rPr>
                <w:sz w:val="18"/>
              </w:rPr>
            </w:pPr>
            <w:r>
              <w:rPr>
                <w:spacing w:val="-2"/>
                <w:sz w:val="18"/>
              </w:rPr>
              <w:t>ejecutadas</w:t>
            </w:r>
          </w:p>
        </w:tc>
        <w:tc>
          <w:tcPr>
            <w:tcW w:w="1704" w:type="dxa"/>
          </w:tcPr>
          <w:p>
            <w:pPr>
              <w:pStyle w:val="TableParagraph"/>
              <w:spacing w:before="102"/>
              <w:ind w:left="69" w:right="447"/>
              <w:rPr>
                <w:sz w:val="18"/>
              </w:rPr>
            </w:pPr>
            <w:r>
              <w:rPr>
                <w:sz w:val="18"/>
              </w:rPr>
              <w:t>Documento</w:t>
            </w:r>
            <w:r>
              <w:rPr>
                <w:spacing w:val="-13"/>
                <w:sz w:val="18"/>
              </w:rPr>
              <w:t> </w:t>
            </w:r>
            <w:r>
              <w:rPr>
                <w:sz w:val="18"/>
              </w:rPr>
              <w:t>de </w:t>
            </w:r>
            <w:r>
              <w:rPr>
                <w:spacing w:val="-2"/>
                <w:sz w:val="18"/>
              </w:rPr>
              <w:t>estrategias elaborados (Minutas)</w:t>
            </w:r>
          </w:p>
        </w:tc>
        <w:tc>
          <w:tcPr>
            <w:tcW w:w="1416" w:type="dxa"/>
          </w:tcPr>
          <w:p>
            <w:pPr>
              <w:pStyle w:val="TableParagraph"/>
              <w:spacing w:before="102"/>
              <w:rPr>
                <w:b/>
                <w:sz w:val="18"/>
              </w:rPr>
            </w:pPr>
          </w:p>
          <w:p>
            <w:pPr>
              <w:pStyle w:val="TableParagraph"/>
              <w:ind w:left="70"/>
              <w:rPr>
                <w:sz w:val="18"/>
              </w:rPr>
            </w:pPr>
            <w:r>
              <w:rPr>
                <w:spacing w:val="-2"/>
                <w:sz w:val="18"/>
              </w:rPr>
              <w:t>Administración Tributaria</w:t>
            </w:r>
          </w:p>
        </w:tc>
        <w:tc>
          <w:tcPr>
            <w:tcW w:w="1412" w:type="dxa"/>
          </w:tcPr>
          <w:p>
            <w:pPr>
              <w:pStyle w:val="TableParagraph"/>
              <w:rPr>
                <w:b/>
                <w:sz w:val="18"/>
              </w:rPr>
            </w:pPr>
          </w:p>
          <w:p>
            <w:pPr>
              <w:pStyle w:val="TableParagraph"/>
              <w:rPr>
                <w:b/>
                <w:sz w:val="18"/>
              </w:rPr>
            </w:pPr>
          </w:p>
          <w:p>
            <w:pPr>
              <w:pStyle w:val="TableParagraph"/>
              <w:ind w:left="315"/>
              <w:rPr>
                <w:sz w:val="18"/>
              </w:rPr>
            </w:pPr>
            <w:r>
              <w:rPr>
                <w:sz w:val="18"/>
              </w:rPr>
              <w:t>₡40</w:t>
            </w:r>
            <w:r>
              <w:rPr>
                <w:spacing w:val="-1"/>
                <w:sz w:val="18"/>
              </w:rPr>
              <w:t> </w:t>
            </w:r>
            <w:r>
              <w:rPr>
                <w:sz w:val="18"/>
              </w:rPr>
              <w:t>000</w:t>
            </w:r>
            <w:r>
              <w:rPr>
                <w:spacing w:val="-2"/>
                <w:sz w:val="18"/>
              </w:rPr>
              <w:t> </w:t>
            </w:r>
            <w:r>
              <w:rPr>
                <w:spacing w:val="-5"/>
                <w:sz w:val="18"/>
              </w:rPr>
              <w:t>000</w:t>
            </w:r>
          </w:p>
        </w:tc>
        <w:tc>
          <w:tcPr>
            <w:tcW w:w="2395"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23"/>
              <w:rPr>
                <w:b/>
                <w:sz w:val="18"/>
              </w:rPr>
            </w:pPr>
          </w:p>
          <w:p>
            <w:pPr>
              <w:pStyle w:val="TableParagraph"/>
              <w:spacing w:before="1"/>
              <w:ind w:left="74"/>
              <w:rPr>
                <w:sz w:val="18"/>
              </w:rPr>
            </w:pPr>
            <w:r>
              <w:rPr>
                <w:sz w:val="18"/>
              </w:rPr>
              <w:t>Evento: Posible no localización</w:t>
            </w:r>
            <w:r>
              <w:rPr>
                <w:spacing w:val="-13"/>
                <w:sz w:val="18"/>
              </w:rPr>
              <w:t> </w:t>
            </w:r>
            <w:r>
              <w:rPr>
                <w:sz w:val="18"/>
              </w:rPr>
              <w:t>oportuna</w:t>
            </w:r>
            <w:r>
              <w:rPr>
                <w:spacing w:val="-12"/>
                <w:sz w:val="18"/>
              </w:rPr>
              <w:t> </w:t>
            </w:r>
            <w:r>
              <w:rPr>
                <w:sz w:val="18"/>
              </w:rPr>
              <w:t>de</w:t>
            </w:r>
            <w:r>
              <w:rPr>
                <w:spacing w:val="-13"/>
                <w:sz w:val="18"/>
              </w:rPr>
              <w:t> </w:t>
            </w:r>
            <w:r>
              <w:rPr>
                <w:sz w:val="18"/>
              </w:rPr>
              <w:t>los patronos o no existe disposición a negociar el pago o no pagan </w:t>
            </w:r>
            <w:r>
              <w:rPr>
                <w:spacing w:val="-2"/>
                <w:sz w:val="18"/>
              </w:rPr>
              <w:t>definitivamente.</w:t>
            </w:r>
          </w:p>
        </w:tc>
      </w:tr>
      <w:tr>
        <w:trPr>
          <w:trHeight w:val="1036" w:hRule="atLeast"/>
        </w:trPr>
        <w:tc>
          <w:tcPr>
            <w:tcW w:w="2835" w:type="dxa"/>
          </w:tcPr>
          <w:p>
            <w:pPr>
              <w:pStyle w:val="TableParagraph"/>
              <w:spacing w:before="104"/>
              <w:ind w:left="69" w:right="107"/>
              <w:rPr>
                <w:sz w:val="18"/>
              </w:rPr>
            </w:pPr>
            <w:r>
              <w:rPr>
                <w:b/>
                <w:sz w:val="18"/>
              </w:rPr>
              <w:t>Actividad</w:t>
            </w:r>
            <w:r>
              <w:rPr>
                <w:b/>
                <w:spacing w:val="-11"/>
                <w:sz w:val="18"/>
              </w:rPr>
              <w:t> </w:t>
            </w:r>
            <w:r>
              <w:rPr>
                <w:b/>
                <w:sz w:val="18"/>
              </w:rPr>
              <w:t>PAC</w:t>
            </w:r>
            <w:r>
              <w:rPr>
                <w:b/>
                <w:spacing w:val="-10"/>
                <w:sz w:val="18"/>
              </w:rPr>
              <w:t> </w:t>
            </w:r>
            <w:r>
              <w:rPr>
                <w:b/>
                <w:sz w:val="18"/>
              </w:rPr>
              <w:t>2.10.2:</w:t>
            </w:r>
            <w:r>
              <w:rPr>
                <w:b/>
                <w:spacing w:val="33"/>
                <w:sz w:val="18"/>
              </w:rPr>
              <w:t> </w:t>
            </w:r>
            <w:r>
              <w:rPr>
                <w:sz w:val="18"/>
              </w:rPr>
              <w:t>Generar ingresos por gestión cobratoria de aportes Patronos Privados. </w:t>
            </w:r>
            <w:r>
              <w:rPr>
                <w:spacing w:val="-4"/>
                <w:sz w:val="18"/>
              </w:rPr>
              <w:t>(AT)</w:t>
            </w:r>
          </w:p>
        </w:tc>
        <w:tc>
          <w:tcPr>
            <w:tcW w:w="1558" w:type="dxa"/>
          </w:tcPr>
          <w:p>
            <w:pPr>
              <w:pStyle w:val="TableParagraph"/>
              <w:rPr>
                <w:b/>
                <w:sz w:val="18"/>
              </w:rPr>
            </w:pPr>
          </w:p>
          <w:p>
            <w:pPr>
              <w:pStyle w:val="TableParagraph"/>
              <w:rPr>
                <w:b/>
                <w:sz w:val="18"/>
              </w:rPr>
            </w:pPr>
          </w:p>
          <w:p>
            <w:pPr>
              <w:pStyle w:val="TableParagraph"/>
              <w:ind w:left="34" w:right="28"/>
              <w:jc w:val="center"/>
              <w:rPr>
                <w:sz w:val="18"/>
              </w:rPr>
            </w:pPr>
            <w:r>
              <w:rPr>
                <w:sz w:val="18"/>
              </w:rPr>
              <w:t>₡49</w:t>
            </w:r>
            <w:r>
              <w:rPr>
                <w:spacing w:val="-1"/>
                <w:sz w:val="18"/>
              </w:rPr>
              <w:t> </w:t>
            </w:r>
            <w:r>
              <w:rPr>
                <w:sz w:val="18"/>
              </w:rPr>
              <w:t>468</w:t>
            </w:r>
            <w:r>
              <w:rPr>
                <w:spacing w:val="-2"/>
                <w:sz w:val="18"/>
              </w:rPr>
              <w:t> </w:t>
            </w:r>
            <w:r>
              <w:rPr>
                <w:sz w:val="18"/>
              </w:rPr>
              <w:t>536</w:t>
            </w:r>
            <w:r>
              <w:rPr>
                <w:spacing w:val="-2"/>
                <w:sz w:val="18"/>
              </w:rPr>
              <w:t> </w:t>
            </w:r>
            <w:r>
              <w:rPr>
                <w:spacing w:val="-5"/>
                <w:sz w:val="18"/>
              </w:rPr>
              <w:t>289</w:t>
            </w:r>
          </w:p>
        </w:tc>
        <w:tc>
          <w:tcPr>
            <w:tcW w:w="1560" w:type="dxa"/>
          </w:tcPr>
          <w:p>
            <w:pPr>
              <w:pStyle w:val="TableParagraph"/>
              <w:rPr>
                <w:b/>
                <w:sz w:val="18"/>
              </w:rPr>
            </w:pPr>
          </w:p>
          <w:p>
            <w:pPr>
              <w:pStyle w:val="TableParagraph"/>
              <w:rPr>
                <w:b/>
                <w:sz w:val="18"/>
              </w:rPr>
            </w:pPr>
          </w:p>
          <w:p>
            <w:pPr>
              <w:pStyle w:val="TableParagraph"/>
              <w:ind w:left="9"/>
              <w:jc w:val="center"/>
              <w:rPr>
                <w:sz w:val="18"/>
              </w:rPr>
            </w:pPr>
            <w:r>
              <w:rPr>
                <w:sz w:val="18"/>
              </w:rPr>
              <w:t>₡53</w:t>
            </w:r>
            <w:r>
              <w:rPr>
                <w:spacing w:val="-1"/>
                <w:sz w:val="18"/>
              </w:rPr>
              <w:t> </w:t>
            </w:r>
            <w:r>
              <w:rPr>
                <w:sz w:val="18"/>
              </w:rPr>
              <w:t>990</w:t>
            </w:r>
            <w:r>
              <w:rPr>
                <w:spacing w:val="-2"/>
                <w:sz w:val="18"/>
              </w:rPr>
              <w:t> </w:t>
            </w:r>
            <w:r>
              <w:rPr>
                <w:sz w:val="18"/>
              </w:rPr>
              <w:t>146</w:t>
            </w:r>
            <w:r>
              <w:rPr>
                <w:spacing w:val="-2"/>
                <w:sz w:val="18"/>
              </w:rPr>
              <w:t> </w:t>
            </w:r>
            <w:r>
              <w:rPr>
                <w:spacing w:val="-5"/>
                <w:sz w:val="18"/>
              </w:rPr>
              <w:t>862</w:t>
            </w:r>
          </w:p>
        </w:tc>
        <w:tc>
          <w:tcPr>
            <w:tcW w:w="1274" w:type="dxa"/>
          </w:tcPr>
          <w:p>
            <w:pPr>
              <w:pStyle w:val="TableParagraph"/>
              <w:ind w:left="69" w:right="207"/>
              <w:rPr>
                <w:sz w:val="18"/>
              </w:rPr>
            </w:pPr>
            <w:r>
              <w:rPr>
                <w:sz w:val="18"/>
              </w:rPr>
              <w:t>Monto en </w:t>
            </w:r>
            <w:r>
              <w:rPr>
                <w:spacing w:val="-2"/>
                <w:sz w:val="18"/>
              </w:rPr>
              <w:t>colones </w:t>
            </w:r>
            <w:r>
              <w:rPr>
                <w:sz w:val="18"/>
              </w:rPr>
              <w:t>estimado</w:t>
            </w:r>
            <w:r>
              <w:rPr>
                <w:spacing w:val="-3"/>
                <w:sz w:val="18"/>
              </w:rPr>
              <w:t> </w:t>
            </w:r>
            <w:r>
              <w:rPr>
                <w:spacing w:val="-5"/>
                <w:sz w:val="18"/>
              </w:rPr>
              <w:t>de</w:t>
            </w:r>
          </w:p>
          <w:p>
            <w:pPr>
              <w:pStyle w:val="TableParagraph"/>
              <w:spacing w:line="206" w:lineRule="exact"/>
              <w:ind w:left="69" w:right="227"/>
              <w:rPr>
                <w:sz w:val="18"/>
              </w:rPr>
            </w:pPr>
            <w:r>
              <w:rPr>
                <w:sz w:val="18"/>
              </w:rPr>
              <w:t>los</w:t>
            </w:r>
            <w:r>
              <w:rPr>
                <w:spacing w:val="-13"/>
                <w:sz w:val="18"/>
              </w:rPr>
              <w:t> </w:t>
            </w:r>
            <w:r>
              <w:rPr>
                <w:sz w:val="18"/>
              </w:rPr>
              <w:t>ingresos </w:t>
            </w:r>
            <w:r>
              <w:rPr>
                <w:spacing w:val="-2"/>
                <w:sz w:val="18"/>
              </w:rPr>
              <w:t>tributarios</w:t>
            </w:r>
          </w:p>
        </w:tc>
        <w:tc>
          <w:tcPr>
            <w:tcW w:w="1704" w:type="dxa"/>
          </w:tcPr>
          <w:p>
            <w:pPr>
              <w:pStyle w:val="TableParagraph"/>
              <w:ind w:left="69" w:right="90"/>
              <w:rPr>
                <w:sz w:val="18"/>
              </w:rPr>
            </w:pPr>
            <w:r>
              <w:rPr>
                <w:sz w:val="18"/>
              </w:rPr>
              <w:t>Reporte de </w:t>
            </w:r>
            <w:r>
              <w:rPr>
                <w:spacing w:val="-2"/>
                <w:sz w:val="18"/>
              </w:rPr>
              <w:t>ingresos presupuestarios</w:t>
            </w:r>
          </w:p>
          <w:p>
            <w:pPr>
              <w:pStyle w:val="TableParagraph"/>
              <w:spacing w:line="206" w:lineRule="exact"/>
              <w:ind w:left="69" w:right="427"/>
              <w:rPr>
                <w:sz w:val="18"/>
              </w:rPr>
            </w:pPr>
            <w:r>
              <w:rPr>
                <w:sz w:val="18"/>
              </w:rPr>
              <w:t>proveniente</w:t>
            </w:r>
            <w:r>
              <w:rPr>
                <w:spacing w:val="-13"/>
                <w:sz w:val="18"/>
              </w:rPr>
              <w:t> </w:t>
            </w:r>
            <w:r>
              <w:rPr>
                <w:sz w:val="18"/>
              </w:rPr>
              <w:t>de </w:t>
            </w:r>
            <w:r>
              <w:rPr>
                <w:spacing w:val="-4"/>
                <w:sz w:val="18"/>
              </w:rPr>
              <w:t>SAP</w:t>
            </w:r>
          </w:p>
        </w:tc>
        <w:tc>
          <w:tcPr>
            <w:tcW w:w="1416" w:type="dxa"/>
          </w:tcPr>
          <w:p>
            <w:pPr>
              <w:pStyle w:val="TableParagraph"/>
              <w:spacing w:before="103"/>
              <w:rPr>
                <w:b/>
                <w:sz w:val="18"/>
              </w:rPr>
            </w:pPr>
          </w:p>
          <w:p>
            <w:pPr>
              <w:pStyle w:val="TableParagraph"/>
              <w:spacing w:before="1"/>
              <w:ind w:left="70"/>
              <w:rPr>
                <w:sz w:val="18"/>
              </w:rPr>
            </w:pPr>
            <w:r>
              <w:rPr>
                <w:spacing w:val="-2"/>
                <w:sz w:val="18"/>
              </w:rPr>
              <w:t>Administración Tributaria</w:t>
            </w:r>
          </w:p>
        </w:tc>
        <w:tc>
          <w:tcPr>
            <w:tcW w:w="1412" w:type="dxa"/>
          </w:tcPr>
          <w:p>
            <w:pPr>
              <w:pStyle w:val="TableParagraph"/>
              <w:rPr>
                <w:rFonts w:ascii="Times New Roman"/>
                <w:sz w:val="18"/>
              </w:rPr>
            </w:pPr>
          </w:p>
        </w:tc>
        <w:tc>
          <w:tcPr>
            <w:tcW w:w="2395" w:type="dxa"/>
            <w:vMerge/>
            <w:tcBorders>
              <w:top w:val="nil"/>
            </w:tcBorders>
          </w:tcPr>
          <w:p>
            <w:pPr>
              <w:rPr>
                <w:sz w:val="2"/>
                <w:szCs w:val="2"/>
              </w:rPr>
            </w:pPr>
          </w:p>
        </w:tc>
      </w:tr>
      <w:tr>
        <w:trPr>
          <w:trHeight w:val="1034" w:hRule="atLeast"/>
        </w:trPr>
        <w:tc>
          <w:tcPr>
            <w:tcW w:w="2835" w:type="dxa"/>
          </w:tcPr>
          <w:p>
            <w:pPr>
              <w:pStyle w:val="TableParagraph"/>
              <w:spacing w:before="102"/>
              <w:ind w:left="69" w:right="137"/>
              <w:rPr>
                <w:sz w:val="18"/>
              </w:rPr>
            </w:pPr>
            <w:r>
              <w:rPr>
                <w:b/>
                <w:sz w:val="18"/>
              </w:rPr>
              <w:t>Actividad</w:t>
            </w:r>
            <w:r>
              <w:rPr>
                <w:b/>
                <w:spacing w:val="-11"/>
                <w:sz w:val="18"/>
              </w:rPr>
              <w:t> </w:t>
            </w:r>
            <w:r>
              <w:rPr>
                <w:b/>
                <w:sz w:val="18"/>
              </w:rPr>
              <w:t>PAC</w:t>
            </w:r>
            <w:r>
              <w:rPr>
                <w:b/>
                <w:spacing w:val="-10"/>
                <w:sz w:val="18"/>
              </w:rPr>
              <w:t> </w:t>
            </w:r>
            <w:r>
              <w:rPr>
                <w:b/>
                <w:sz w:val="18"/>
              </w:rPr>
              <w:t>2.10.3:</w:t>
            </w:r>
            <w:r>
              <w:rPr>
                <w:b/>
                <w:spacing w:val="33"/>
                <w:sz w:val="18"/>
              </w:rPr>
              <w:t> </w:t>
            </w:r>
            <w:r>
              <w:rPr>
                <w:sz w:val="18"/>
              </w:rPr>
              <w:t>Generar ingresos por gestión cobratoria de aportes Patronos Público. </w:t>
            </w:r>
            <w:r>
              <w:rPr>
                <w:spacing w:val="-4"/>
                <w:sz w:val="18"/>
              </w:rPr>
              <w:t>(AT)</w:t>
            </w:r>
          </w:p>
        </w:tc>
        <w:tc>
          <w:tcPr>
            <w:tcW w:w="1558" w:type="dxa"/>
          </w:tcPr>
          <w:p>
            <w:pPr>
              <w:pStyle w:val="TableParagraph"/>
              <w:spacing w:before="204"/>
              <w:rPr>
                <w:b/>
                <w:sz w:val="18"/>
              </w:rPr>
            </w:pPr>
          </w:p>
          <w:p>
            <w:pPr>
              <w:pStyle w:val="TableParagraph"/>
              <w:ind w:left="34" w:right="28"/>
              <w:jc w:val="center"/>
              <w:rPr>
                <w:sz w:val="18"/>
              </w:rPr>
            </w:pPr>
            <w:r>
              <w:rPr>
                <w:sz w:val="18"/>
              </w:rPr>
              <w:t>₡4</w:t>
            </w:r>
            <w:r>
              <w:rPr>
                <w:spacing w:val="-1"/>
                <w:sz w:val="18"/>
              </w:rPr>
              <w:t> </w:t>
            </w:r>
            <w:r>
              <w:rPr>
                <w:sz w:val="18"/>
              </w:rPr>
              <w:t>720</w:t>
            </w:r>
            <w:r>
              <w:rPr>
                <w:spacing w:val="-2"/>
                <w:sz w:val="18"/>
              </w:rPr>
              <w:t> </w:t>
            </w:r>
            <w:r>
              <w:rPr>
                <w:sz w:val="18"/>
              </w:rPr>
              <w:t>378</w:t>
            </w:r>
            <w:r>
              <w:rPr>
                <w:spacing w:val="-2"/>
                <w:sz w:val="18"/>
              </w:rPr>
              <w:t> </w:t>
            </w:r>
            <w:r>
              <w:rPr>
                <w:spacing w:val="-5"/>
                <w:sz w:val="18"/>
              </w:rPr>
              <w:t>906</w:t>
            </w:r>
          </w:p>
        </w:tc>
        <w:tc>
          <w:tcPr>
            <w:tcW w:w="1560" w:type="dxa"/>
          </w:tcPr>
          <w:p>
            <w:pPr>
              <w:pStyle w:val="TableParagraph"/>
              <w:spacing w:before="204"/>
              <w:rPr>
                <w:b/>
                <w:sz w:val="18"/>
              </w:rPr>
            </w:pPr>
          </w:p>
          <w:p>
            <w:pPr>
              <w:pStyle w:val="TableParagraph"/>
              <w:ind w:left="9"/>
              <w:jc w:val="center"/>
              <w:rPr>
                <w:sz w:val="18"/>
              </w:rPr>
            </w:pPr>
            <w:r>
              <w:rPr>
                <w:sz w:val="18"/>
              </w:rPr>
              <w:t>₡4</w:t>
            </w:r>
            <w:r>
              <w:rPr>
                <w:spacing w:val="-1"/>
                <w:sz w:val="18"/>
              </w:rPr>
              <w:t> </w:t>
            </w:r>
            <w:r>
              <w:rPr>
                <w:sz w:val="18"/>
              </w:rPr>
              <w:t>867</w:t>
            </w:r>
            <w:r>
              <w:rPr>
                <w:spacing w:val="-2"/>
                <w:sz w:val="18"/>
              </w:rPr>
              <w:t> </w:t>
            </w:r>
            <w:r>
              <w:rPr>
                <w:sz w:val="18"/>
              </w:rPr>
              <w:t>487</w:t>
            </w:r>
            <w:r>
              <w:rPr>
                <w:spacing w:val="-2"/>
                <w:sz w:val="18"/>
              </w:rPr>
              <w:t> </w:t>
            </w:r>
            <w:r>
              <w:rPr>
                <w:spacing w:val="-5"/>
                <w:sz w:val="18"/>
              </w:rPr>
              <w:t>231</w:t>
            </w:r>
          </w:p>
        </w:tc>
        <w:tc>
          <w:tcPr>
            <w:tcW w:w="1274" w:type="dxa"/>
          </w:tcPr>
          <w:p>
            <w:pPr>
              <w:pStyle w:val="TableParagraph"/>
              <w:ind w:left="69" w:right="207"/>
              <w:rPr>
                <w:sz w:val="18"/>
              </w:rPr>
            </w:pPr>
            <w:r>
              <w:rPr>
                <w:sz w:val="18"/>
              </w:rPr>
              <w:t>Monto en </w:t>
            </w:r>
            <w:r>
              <w:rPr>
                <w:spacing w:val="-2"/>
                <w:sz w:val="18"/>
              </w:rPr>
              <w:t>colones </w:t>
            </w:r>
            <w:r>
              <w:rPr>
                <w:sz w:val="18"/>
              </w:rPr>
              <w:t>estimado</w:t>
            </w:r>
            <w:r>
              <w:rPr>
                <w:spacing w:val="-3"/>
                <w:sz w:val="18"/>
              </w:rPr>
              <w:t> </w:t>
            </w:r>
            <w:r>
              <w:rPr>
                <w:spacing w:val="-5"/>
                <w:sz w:val="18"/>
              </w:rPr>
              <w:t>de</w:t>
            </w:r>
          </w:p>
          <w:p>
            <w:pPr>
              <w:pStyle w:val="TableParagraph"/>
              <w:spacing w:line="206" w:lineRule="exact"/>
              <w:ind w:left="69" w:right="227"/>
              <w:rPr>
                <w:sz w:val="18"/>
              </w:rPr>
            </w:pPr>
            <w:r>
              <w:rPr>
                <w:sz w:val="18"/>
              </w:rPr>
              <w:t>los</w:t>
            </w:r>
            <w:r>
              <w:rPr>
                <w:spacing w:val="-13"/>
                <w:sz w:val="18"/>
              </w:rPr>
              <w:t> </w:t>
            </w:r>
            <w:r>
              <w:rPr>
                <w:sz w:val="18"/>
              </w:rPr>
              <w:t>ingresos </w:t>
            </w:r>
            <w:r>
              <w:rPr>
                <w:spacing w:val="-2"/>
                <w:sz w:val="18"/>
              </w:rPr>
              <w:t>tributarios</w:t>
            </w:r>
          </w:p>
        </w:tc>
        <w:tc>
          <w:tcPr>
            <w:tcW w:w="1704" w:type="dxa"/>
          </w:tcPr>
          <w:p>
            <w:pPr>
              <w:pStyle w:val="TableParagraph"/>
              <w:ind w:left="69" w:right="90"/>
              <w:rPr>
                <w:sz w:val="18"/>
              </w:rPr>
            </w:pPr>
            <w:r>
              <w:rPr>
                <w:sz w:val="18"/>
              </w:rPr>
              <w:t>Reporte de </w:t>
            </w:r>
            <w:r>
              <w:rPr>
                <w:spacing w:val="-2"/>
                <w:sz w:val="18"/>
              </w:rPr>
              <w:t>ingresos presupuestarios</w:t>
            </w:r>
          </w:p>
          <w:p>
            <w:pPr>
              <w:pStyle w:val="TableParagraph"/>
              <w:spacing w:line="206" w:lineRule="exact"/>
              <w:ind w:left="69" w:right="427"/>
              <w:rPr>
                <w:sz w:val="18"/>
              </w:rPr>
            </w:pPr>
            <w:r>
              <w:rPr>
                <w:sz w:val="18"/>
              </w:rPr>
              <w:t>proveniente</w:t>
            </w:r>
            <w:r>
              <w:rPr>
                <w:spacing w:val="-13"/>
                <w:sz w:val="18"/>
              </w:rPr>
              <w:t> </w:t>
            </w:r>
            <w:r>
              <w:rPr>
                <w:sz w:val="18"/>
              </w:rPr>
              <w:t>de </w:t>
            </w:r>
            <w:r>
              <w:rPr>
                <w:spacing w:val="-4"/>
                <w:sz w:val="18"/>
              </w:rPr>
              <w:t>SAP</w:t>
            </w:r>
          </w:p>
        </w:tc>
        <w:tc>
          <w:tcPr>
            <w:tcW w:w="1416" w:type="dxa"/>
          </w:tcPr>
          <w:p>
            <w:pPr>
              <w:pStyle w:val="TableParagraph"/>
              <w:spacing w:before="101"/>
              <w:rPr>
                <w:b/>
                <w:sz w:val="18"/>
              </w:rPr>
            </w:pPr>
          </w:p>
          <w:p>
            <w:pPr>
              <w:pStyle w:val="TableParagraph"/>
              <w:ind w:left="70"/>
              <w:rPr>
                <w:sz w:val="18"/>
              </w:rPr>
            </w:pPr>
            <w:r>
              <w:rPr>
                <w:spacing w:val="-2"/>
                <w:sz w:val="18"/>
              </w:rPr>
              <w:t>Administración Tributaria</w:t>
            </w:r>
          </w:p>
        </w:tc>
        <w:tc>
          <w:tcPr>
            <w:tcW w:w="1412" w:type="dxa"/>
          </w:tcPr>
          <w:p>
            <w:pPr>
              <w:pStyle w:val="TableParagraph"/>
              <w:rPr>
                <w:rFonts w:ascii="Times New Roman"/>
                <w:sz w:val="18"/>
              </w:rPr>
            </w:pPr>
          </w:p>
        </w:tc>
        <w:tc>
          <w:tcPr>
            <w:tcW w:w="2395" w:type="dxa"/>
            <w:vMerge/>
            <w:tcBorders>
              <w:top w:val="nil"/>
            </w:tcBorders>
          </w:tcPr>
          <w:p>
            <w:pPr>
              <w:rPr>
                <w:sz w:val="2"/>
                <w:szCs w:val="2"/>
              </w:rPr>
            </w:pPr>
          </w:p>
        </w:tc>
      </w:tr>
      <w:tr>
        <w:trPr>
          <w:trHeight w:val="1034" w:hRule="atLeast"/>
        </w:trPr>
        <w:tc>
          <w:tcPr>
            <w:tcW w:w="2835" w:type="dxa"/>
          </w:tcPr>
          <w:p>
            <w:pPr>
              <w:pStyle w:val="TableParagraph"/>
              <w:spacing w:before="102"/>
              <w:ind w:left="69" w:right="107"/>
              <w:rPr>
                <w:sz w:val="18"/>
              </w:rPr>
            </w:pPr>
            <w:r>
              <w:rPr>
                <w:b/>
                <w:sz w:val="18"/>
              </w:rPr>
              <w:t>Actividad</w:t>
            </w:r>
            <w:r>
              <w:rPr>
                <w:b/>
                <w:spacing w:val="-2"/>
                <w:sz w:val="18"/>
              </w:rPr>
              <w:t> </w:t>
            </w:r>
            <w:r>
              <w:rPr>
                <w:b/>
                <w:sz w:val="18"/>
              </w:rPr>
              <w:t>PAC 2.10.4: </w:t>
            </w:r>
            <w:r>
              <w:rPr>
                <w:sz w:val="18"/>
              </w:rPr>
              <w:t>Generar ingresos por gestión cobratoria del</w:t>
            </w:r>
            <w:r>
              <w:rPr>
                <w:spacing w:val="-8"/>
                <w:sz w:val="18"/>
              </w:rPr>
              <w:t> </w:t>
            </w:r>
            <w:r>
              <w:rPr>
                <w:sz w:val="18"/>
              </w:rPr>
              <w:t>Impuesto</w:t>
            </w:r>
            <w:r>
              <w:rPr>
                <w:spacing w:val="-8"/>
                <w:sz w:val="18"/>
              </w:rPr>
              <w:t> </w:t>
            </w:r>
            <w:r>
              <w:rPr>
                <w:sz w:val="18"/>
              </w:rPr>
              <w:t>a</w:t>
            </w:r>
            <w:r>
              <w:rPr>
                <w:spacing w:val="-10"/>
                <w:sz w:val="18"/>
              </w:rPr>
              <w:t> </w:t>
            </w:r>
            <w:r>
              <w:rPr>
                <w:sz w:val="18"/>
              </w:rPr>
              <w:t>Moteles</w:t>
            </w:r>
            <w:r>
              <w:rPr>
                <w:spacing w:val="-7"/>
                <w:sz w:val="18"/>
              </w:rPr>
              <w:t> </w:t>
            </w:r>
            <w:r>
              <w:rPr>
                <w:sz w:val="18"/>
              </w:rPr>
              <w:t>y</w:t>
            </w:r>
            <w:r>
              <w:rPr>
                <w:spacing w:val="-7"/>
                <w:sz w:val="18"/>
              </w:rPr>
              <w:t> </w:t>
            </w:r>
            <w:r>
              <w:rPr>
                <w:sz w:val="18"/>
              </w:rPr>
              <w:t>Afines. </w:t>
            </w:r>
            <w:r>
              <w:rPr>
                <w:spacing w:val="-4"/>
                <w:sz w:val="18"/>
              </w:rPr>
              <w:t>(AT)</w:t>
            </w:r>
          </w:p>
        </w:tc>
        <w:tc>
          <w:tcPr>
            <w:tcW w:w="1558" w:type="dxa"/>
          </w:tcPr>
          <w:p>
            <w:pPr>
              <w:pStyle w:val="TableParagraph"/>
              <w:rPr>
                <w:b/>
                <w:sz w:val="18"/>
              </w:rPr>
            </w:pPr>
          </w:p>
          <w:p>
            <w:pPr>
              <w:pStyle w:val="TableParagraph"/>
              <w:rPr>
                <w:b/>
                <w:sz w:val="18"/>
              </w:rPr>
            </w:pPr>
          </w:p>
          <w:p>
            <w:pPr>
              <w:pStyle w:val="TableParagraph"/>
              <w:ind w:left="34" w:right="28"/>
              <w:jc w:val="center"/>
              <w:rPr>
                <w:sz w:val="18"/>
              </w:rPr>
            </w:pPr>
            <w:r>
              <w:rPr>
                <w:sz w:val="18"/>
              </w:rPr>
              <w:t>₡1</w:t>
            </w:r>
            <w:r>
              <w:rPr>
                <w:spacing w:val="-1"/>
                <w:sz w:val="18"/>
              </w:rPr>
              <w:t> </w:t>
            </w:r>
            <w:r>
              <w:rPr>
                <w:sz w:val="18"/>
              </w:rPr>
              <w:t>175</w:t>
            </w:r>
            <w:r>
              <w:rPr>
                <w:spacing w:val="-2"/>
                <w:sz w:val="18"/>
              </w:rPr>
              <w:t> </w:t>
            </w:r>
            <w:r>
              <w:rPr>
                <w:sz w:val="18"/>
              </w:rPr>
              <w:t>511</w:t>
            </w:r>
            <w:r>
              <w:rPr>
                <w:spacing w:val="-2"/>
                <w:sz w:val="18"/>
              </w:rPr>
              <w:t> </w:t>
            </w:r>
            <w:r>
              <w:rPr>
                <w:spacing w:val="-5"/>
                <w:sz w:val="18"/>
              </w:rPr>
              <w:t>207</w:t>
            </w:r>
          </w:p>
        </w:tc>
        <w:tc>
          <w:tcPr>
            <w:tcW w:w="1560" w:type="dxa"/>
          </w:tcPr>
          <w:p>
            <w:pPr>
              <w:pStyle w:val="TableParagraph"/>
              <w:rPr>
                <w:b/>
                <w:sz w:val="18"/>
              </w:rPr>
            </w:pPr>
          </w:p>
          <w:p>
            <w:pPr>
              <w:pStyle w:val="TableParagraph"/>
              <w:rPr>
                <w:b/>
                <w:sz w:val="18"/>
              </w:rPr>
            </w:pPr>
          </w:p>
          <w:p>
            <w:pPr>
              <w:pStyle w:val="TableParagraph"/>
              <w:ind w:left="9"/>
              <w:jc w:val="center"/>
              <w:rPr>
                <w:sz w:val="18"/>
              </w:rPr>
            </w:pPr>
            <w:r>
              <w:rPr>
                <w:sz w:val="18"/>
              </w:rPr>
              <w:t>₡1</w:t>
            </w:r>
            <w:r>
              <w:rPr>
                <w:spacing w:val="-1"/>
                <w:sz w:val="18"/>
              </w:rPr>
              <w:t> </w:t>
            </w:r>
            <w:r>
              <w:rPr>
                <w:sz w:val="18"/>
              </w:rPr>
              <w:t>255</w:t>
            </w:r>
            <w:r>
              <w:rPr>
                <w:spacing w:val="-2"/>
                <w:sz w:val="18"/>
              </w:rPr>
              <w:t> </w:t>
            </w:r>
            <w:r>
              <w:rPr>
                <w:sz w:val="18"/>
              </w:rPr>
              <w:t>217</w:t>
            </w:r>
            <w:r>
              <w:rPr>
                <w:spacing w:val="-2"/>
                <w:sz w:val="18"/>
              </w:rPr>
              <w:t> </w:t>
            </w:r>
            <w:r>
              <w:rPr>
                <w:spacing w:val="-5"/>
                <w:sz w:val="18"/>
              </w:rPr>
              <w:t>132</w:t>
            </w:r>
          </w:p>
        </w:tc>
        <w:tc>
          <w:tcPr>
            <w:tcW w:w="1274" w:type="dxa"/>
          </w:tcPr>
          <w:p>
            <w:pPr>
              <w:pStyle w:val="TableParagraph"/>
              <w:ind w:left="69" w:right="207"/>
              <w:rPr>
                <w:sz w:val="18"/>
              </w:rPr>
            </w:pPr>
            <w:r>
              <w:rPr>
                <w:sz w:val="18"/>
              </w:rPr>
              <w:t>Monto en </w:t>
            </w:r>
            <w:r>
              <w:rPr>
                <w:spacing w:val="-2"/>
                <w:sz w:val="18"/>
              </w:rPr>
              <w:t>colones </w:t>
            </w:r>
            <w:r>
              <w:rPr>
                <w:sz w:val="18"/>
              </w:rPr>
              <w:t>estimado</w:t>
            </w:r>
            <w:r>
              <w:rPr>
                <w:spacing w:val="-13"/>
                <w:sz w:val="18"/>
              </w:rPr>
              <w:t> </w:t>
            </w:r>
            <w:r>
              <w:rPr>
                <w:sz w:val="18"/>
              </w:rPr>
              <w:t>de los</w:t>
            </w:r>
            <w:r>
              <w:rPr>
                <w:spacing w:val="-1"/>
                <w:sz w:val="18"/>
              </w:rPr>
              <w:t> </w:t>
            </w:r>
            <w:r>
              <w:rPr>
                <w:spacing w:val="-2"/>
                <w:sz w:val="18"/>
              </w:rPr>
              <w:t>ingresos</w:t>
            </w:r>
          </w:p>
          <w:p>
            <w:pPr>
              <w:pStyle w:val="TableParagraph"/>
              <w:spacing w:line="187" w:lineRule="exact"/>
              <w:ind w:left="69"/>
              <w:rPr>
                <w:sz w:val="18"/>
              </w:rPr>
            </w:pPr>
            <w:r>
              <w:rPr>
                <w:spacing w:val="-2"/>
                <w:sz w:val="18"/>
              </w:rPr>
              <w:t>tributarios</w:t>
            </w:r>
          </w:p>
        </w:tc>
        <w:tc>
          <w:tcPr>
            <w:tcW w:w="1704" w:type="dxa"/>
          </w:tcPr>
          <w:p>
            <w:pPr>
              <w:pStyle w:val="TableParagraph"/>
              <w:ind w:left="69" w:right="90"/>
              <w:rPr>
                <w:sz w:val="18"/>
              </w:rPr>
            </w:pPr>
            <w:r>
              <w:rPr>
                <w:sz w:val="18"/>
              </w:rPr>
              <w:t>Reporte de </w:t>
            </w:r>
            <w:r>
              <w:rPr>
                <w:spacing w:val="-2"/>
                <w:sz w:val="18"/>
              </w:rPr>
              <w:t>ingresos presupuestarios </w:t>
            </w:r>
            <w:r>
              <w:rPr>
                <w:sz w:val="18"/>
              </w:rPr>
              <w:t>proveniente de</w:t>
            </w:r>
          </w:p>
          <w:p>
            <w:pPr>
              <w:pStyle w:val="TableParagraph"/>
              <w:spacing w:line="187" w:lineRule="exact"/>
              <w:ind w:left="69"/>
              <w:rPr>
                <w:sz w:val="18"/>
              </w:rPr>
            </w:pPr>
            <w:r>
              <w:rPr>
                <w:spacing w:val="-5"/>
                <w:sz w:val="18"/>
              </w:rPr>
              <w:t>SAP</w:t>
            </w:r>
          </w:p>
        </w:tc>
        <w:tc>
          <w:tcPr>
            <w:tcW w:w="1416" w:type="dxa"/>
          </w:tcPr>
          <w:p>
            <w:pPr>
              <w:pStyle w:val="TableParagraph"/>
              <w:spacing w:before="103"/>
              <w:rPr>
                <w:b/>
                <w:sz w:val="18"/>
              </w:rPr>
            </w:pPr>
          </w:p>
          <w:p>
            <w:pPr>
              <w:pStyle w:val="TableParagraph"/>
              <w:spacing w:before="1"/>
              <w:ind w:left="70"/>
              <w:rPr>
                <w:sz w:val="18"/>
              </w:rPr>
            </w:pPr>
            <w:r>
              <w:rPr>
                <w:spacing w:val="-2"/>
                <w:sz w:val="18"/>
              </w:rPr>
              <w:t>Administración Tributaria</w:t>
            </w:r>
          </w:p>
        </w:tc>
        <w:tc>
          <w:tcPr>
            <w:tcW w:w="1412" w:type="dxa"/>
          </w:tcPr>
          <w:p>
            <w:pPr>
              <w:pStyle w:val="TableParagraph"/>
              <w:rPr>
                <w:rFonts w:ascii="Times New Roman"/>
                <w:sz w:val="18"/>
              </w:rPr>
            </w:pPr>
          </w:p>
        </w:tc>
        <w:tc>
          <w:tcPr>
            <w:tcW w:w="2395" w:type="dxa"/>
            <w:vMerge/>
            <w:tcBorders>
              <w:top w:val="nil"/>
            </w:tcBorders>
          </w:tcPr>
          <w:p>
            <w:pPr>
              <w:rPr>
                <w:sz w:val="2"/>
                <w:szCs w:val="2"/>
              </w:rPr>
            </w:pPr>
          </w:p>
        </w:tc>
      </w:tr>
      <w:tr>
        <w:trPr>
          <w:trHeight w:val="1036" w:hRule="atLeast"/>
        </w:trPr>
        <w:tc>
          <w:tcPr>
            <w:tcW w:w="2835" w:type="dxa"/>
          </w:tcPr>
          <w:p>
            <w:pPr>
              <w:pStyle w:val="TableParagraph"/>
              <w:rPr>
                <w:b/>
                <w:sz w:val="18"/>
              </w:rPr>
            </w:pPr>
          </w:p>
          <w:p>
            <w:pPr>
              <w:pStyle w:val="TableParagraph"/>
              <w:ind w:left="69" w:right="107"/>
              <w:rPr>
                <w:sz w:val="18"/>
              </w:rPr>
            </w:pPr>
            <w:r>
              <w:rPr>
                <w:b/>
                <w:sz w:val="18"/>
              </w:rPr>
              <w:t>Actividad</w:t>
            </w:r>
            <w:r>
              <w:rPr>
                <w:b/>
                <w:spacing w:val="-11"/>
                <w:sz w:val="18"/>
              </w:rPr>
              <w:t> </w:t>
            </w:r>
            <w:r>
              <w:rPr>
                <w:b/>
                <w:sz w:val="18"/>
              </w:rPr>
              <w:t>PAC</w:t>
            </w:r>
            <w:r>
              <w:rPr>
                <w:b/>
                <w:spacing w:val="-10"/>
                <w:sz w:val="18"/>
              </w:rPr>
              <w:t> </w:t>
            </w:r>
            <w:r>
              <w:rPr>
                <w:b/>
                <w:sz w:val="18"/>
              </w:rPr>
              <w:t>2.10.5:</w:t>
            </w:r>
            <w:r>
              <w:rPr>
                <w:b/>
                <w:spacing w:val="33"/>
                <w:sz w:val="18"/>
              </w:rPr>
              <w:t> </w:t>
            </w:r>
            <w:r>
              <w:rPr>
                <w:sz w:val="18"/>
              </w:rPr>
              <w:t>Generar ingresos por gestión cobratoria de recargos e intereses. (AT)</w:t>
            </w:r>
          </w:p>
        </w:tc>
        <w:tc>
          <w:tcPr>
            <w:tcW w:w="1558" w:type="dxa"/>
          </w:tcPr>
          <w:p>
            <w:pPr>
              <w:pStyle w:val="TableParagraph"/>
              <w:rPr>
                <w:b/>
                <w:sz w:val="18"/>
              </w:rPr>
            </w:pPr>
          </w:p>
          <w:p>
            <w:pPr>
              <w:pStyle w:val="TableParagraph"/>
              <w:rPr>
                <w:b/>
                <w:sz w:val="18"/>
              </w:rPr>
            </w:pPr>
          </w:p>
          <w:p>
            <w:pPr>
              <w:pStyle w:val="TableParagraph"/>
              <w:ind w:left="34" w:right="25"/>
              <w:jc w:val="center"/>
              <w:rPr>
                <w:sz w:val="18"/>
              </w:rPr>
            </w:pPr>
            <w:r>
              <w:rPr>
                <w:sz w:val="18"/>
              </w:rPr>
              <w:t>₡259</w:t>
            </w:r>
            <w:r>
              <w:rPr>
                <w:spacing w:val="-2"/>
                <w:sz w:val="18"/>
              </w:rPr>
              <w:t> </w:t>
            </w:r>
            <w:r>
              <w:rPr>
                <w:sz w:val="18"/>
              </w:rPr>
              <w:t>467</w:t>
            </w:r>
            <w:r>
              <w:rPr>
                <w:spacing w:val="-1"/>
                <w:sz w:val="18"/>
              </w:rPr>
              <w:t> </w:t>
            </w:r>
            <w:r>
              <w:rPr>
                <w:spacing w:val="-5"/>
                <w:sz w:val="18"/>
              </w:rPr>
              <w:t>909</w:t>
            </w:r>
          </w:p>
        </w:tc>
        <w:tc>
          <w:tcPr>
            <w:tcW w:w="1560" w:type="dxa"/>
          </w:tcPr>
          <w:p>
            <w:pPr>
              <w:pStyle w:val="TableParagraph"/>
              <w:rPr>
                <w:b/>
                <w:sz w:val="18"/>
              </w:rPr>
            </w:pPr>
          </w:p>
          <w:p>
            <w:pPr>
              <w:pStyle w:val="TableParagraph"/>
              <w:rPr>
                <w:b/>
                <w:sz w:val="18"/>
              </w:rPr>
            </w:pPr>
          </w:p>
          <w:p>
            <w:pPr>
              <w:pStyle w:val="TableParagraph"/>
              <w:ind w:left="9" w:right="2"/>
              <w:jc w:val="center"/>
              <w:rPr>
                <w:sz w:val="18"/>
              </w:rPr>
            </w:pPr>
            <w:r>
              <w:rPr>
                <w:sz w:val="18"/>
              </w:rPr>
              <w:t>₡259</w:t>
            </w:r>
            <w:r>
              <w:rPr>
                <w:spacing w:val="-2"/>
                <w:sz w:val="18"/>
              </w:rPr>
              <w:t> </w:t>
            </w:r>
            <w:r>
              <w:rPr>
                <w:sz w:val="18"/>
              </w:rPr>
              <w:t>648</w:t>
            </w:r>
            <w:r>
              <w:rPr>
                <w:spacing w:val="-1"/>
                <w:sz w:val="18"/>
              </w:rPr>
              <w:t> </w:t>
            </w:r>
            <w:r>
              <w:rPr>
                <w:spacing w:val="-5"/>
                <w:sz w:val="18"/>
              </w:rPr>
              <w:t>775</w:t>
            </w:r>
          </w:p>
        </w:tc>
        <w:tc>
          <w:tcPr>
            <w:tcW w:w="1274" w:type="dxa"/>
          </w:tcPr>
          <w:p>
            <w:pPr>
              <w:pStyle w:val="TableParagraph"/>
              <w:spacing w:before="1"/>
              <w:ind w:left="69" w:right="207"/>
              <w:rPr>
                <w:sz w:val="18"/>
              </w:rPr>
            </w:pPr>
            <w:r>
              <w:rPr>
                <w:sz w:val="18"/>
              </w:rPr>
              <w:t>Monto en </w:t>
            </w:r>
            <w:r>
              <w:rPr>
                <w:spacing w:val="-2"/>
                <w:sz w:val="18"/>
              </w:rPr>
              <w:t>colones </w:t>
            </w:r>
            <w:r>
              <w:rPr>
                <w:sz w:val="18"/>
              </w:rPr>
              <w:t>estimado</w:t>
            </w:r>
            <w:r>
              <w:rPr>
                <w:spacing w:val="-13"/>
                <w:sz w:val="18"/>
              </w:rPr>
              <w:t> </w:t>
            </w:r>
            <w:r>
              <w:rPr>
                <w:sz w:val="18"/>
              </w:rPr>
              <w:t>de los</w:t>
            </w:r>
            <w:r>
              <w:rPr>
                <w:spacing w:val="-1"/>
                <w:sz w:val="18"/>
              </w:rPr>
              <w:t> </w:t>
            </w:r>
            <w:r>
              <w:rPr>
                <w:spacing w:val="-2"/>
                <w:sz w:val="18"/>
              </w:rPr>
              <w:t>ingresos</w:t>
            </w:r>
          </w:p>
          <w:p>
            <w:pPr>
              <w:pStyle w:val="TableParagraph"/>
              <w:spacing w:line="187" w:lineRule="exact"/>
              <w:ind w:left="69"/>
              <w:rPr>
                <w:sz w:val="18"/>
              </w:rPr>
            </w:pPr>
            <w:r>
              <w:rPr>
                <w:spacing w:val="-2"/>
                <w:sz w:val="18"/>
              </w:rPr>
              <w:t>tributarios</w:t>
            </w:r>
          </w:p>
        </w:tc>
        <w:tc>
          <w:tcPr>
            <w:tcW w:w="1704" w:type="dxa"/>
          </w:tcPr>
          <w:p>
            <w:pPr>
              <w:pStyle w:val="TableParagraph"/>
              <w:spacing w:before="1"/>
              <w:ind w:left="69" w:right="90"/>
              <w:rPr>
                <w:sz w:val="18"/>
              </w:rPr>
            </w:pPr>
            <w:r>
              <w:rPr>
                <w:sz w:val="18"/>
              </w:rPr>
              <w:t>Reporte de </w:t>
            </w:r>
            <w:r>
              <w:rPr>
                <w:spacing w:val="-2"/>
                <w:sz w:val="18"/>
              </w:rPr>
              <w:t>ingresos presupuestarios </w:t>
            </w:r>
            <w:r>
              <w:rPr>
                <w:sz w:val="18"/>
              </w:rPr>
              <w:t>proveniente de</w:t>
            </w:r>
          </w:p>
          <w:p>
            <w:pPr>
              <w:pStyle w:val="TableParagraph"/>
              <w:spacing w:line="187" w:lineRule="exact"/>
              <w:ind w:left="69"/>
              <w:rPr>
                <w:sz w:val="18"/>
              </w:rPr>
            </w:pPr>
            <w:r>
              <w:rPr>
                <w:spacing w:val="-5"/>
                <w:sz w:val="18"/>
              </w:rPr>
              <w:t>SAP</w:t>
            </w:r>
          </w:p>
        </w:tc>
        <w:tc>
          <w:tcPr>
            <w:tcW w:w="1416" w:type="dxa"/>
          </w:tcPr>
          <w:p>
            <w:pPr>
              <w:pStyle w:val="TableParagraph"/>
              <w:spacing w:before="103"/>
              <w:rPr>
                <w:b/>
                <w:sz w:val="18"/>
              </w:rPr>
            </w:pPr>
          </w:p>
          <w:p>
            <w:pPr>
              <w:pStyle w:val="TableParagraph"/>
              <w:spacing w:before="1"/>
              <w:ind w:left="70"/>
              <w:rPr>
                <w:sz w:val="18"/>
              </w:rPr>
            </w:pPr>
            <w:r>
              <w:rPr>
                <w:spacing w:val="-2"/>
                <w:sz w:val="18"/>
              </w:rPr>
              <w:t>Administración Tributaria</w:t>
            </w:r>
          </w:p>
        </w:tc>
        <w:tc>
          <w:tcPr>
            <w:tcW w:w="1412" w:type="dxa"/>
          </w:tcPr>
          <w:p>
            <w:pPr>
              <w:pStyle w:val="TableParagraph"/>
              <w:rPr>
                <w:rFonts w:ascii="Times New Roman"/>
                <w:sz w:val="18"/>
              </w:rPr>
            </w:pPr>
          </w:p>
        </w:tc>
        <w:tc>
          <w:tcPr>
            <w:tcW w:w="2395"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360"/>
        </w:sectPr>
      </w:pPr>
    </w:p>
    <w:p>
      <w:pPr>
        <w:pStyle w:val="BodyText"/>
        <w:spacing w:before="7" w:after="1"/>
        <w:rPr>
          <w:b/>
          <w:sz w:val="15"/>
        </w:rPr>
      </w:pPr>
    </w:p>
    <w:tbl>
      <w:tblPr>
        <w:tblW w:w="0" w:type="auto"/>
        <w:jc w:val="left"/>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962"/>
        <w:gridCol w:w="1544"/>
        <w:gridCol w:w="1546"/>
        <w:gridCol w:w="1265"/>
        <w:gridCol w:w="1637"/>
        <w:gridCol w:w="1591"/>
        <w:gridCol w:w="1505"/>
        <w:gridCol w:w="2268"/>
      </w:tblGrid>
      <w:tr>
        <w:trPr>
          <w:trHeight w:val="1184" w:hRule="atLeast"/>
        </w:trPr>
        <w:tc>
          <w:tcPr>
            <w:tcW w:w="2962" w:type="dxa"/>
            <w:tcBorders>
              <w:right w:val="single" w:sz="4" w:space="0" w:color="000000"/>
            </w:tcBorders>
            <w:shd w:val="clear" w:color="auto" w:fill="EDEBE0"/>
          </w:tcPr>
          <w:p>
            <w:pPr>
              <w:pStyle w:val="TableParagraph"/>
              <w:rPr>
                <w:b/>
                <w:sz w:val="18"/>
              </w:rPr>
            </w:pPr>
          </w:p>
          <w:p>
            <w:pPr>
              <w:pStyle w:val="TableParagraph"/>
              <w:spacing w:before="74"/>
              <w:rPr>
                <w:b/>
                <w:sz w:val="18"/>
              </w:rPr>
            </w:pPr>
          </w:p>
          <w:p>
            <w:pPr>
              <w:pStyle w:val="TableParagraph"/>
              <w:ind w:left="69"/>
              <w:rPr>
                <w:b/>
                <w:sz w:val="18"/>
              </w:rPr>
            </w:pPr>
            <w:r>
              <w:rPr>
                <w:b/>
                <w:sz w:val="18"/>
              </w:rPr>
              <w:t>Objetivos</w:t>
            </w:r>
            <w:r>
              <w:rPr>
                <w:b/>
                <w:spacing w:val="-4"/>
                <w:sz w:val="18"/>
              </w:rPr>
              <w:t> </w:t>
            </w:r>
            <w:r>
              <w:rPr>
                <w:b/>
                <w:sz w:val="18"/>
              </w:rPr>
              <w:t>/</w:t>
            </w:r>
            <w:r>
              <w:rPr>
                <w:b/>
                <w:spacing w:val="-2"/>
                <w:sz w:val="18"/>
              </w:rPr>
              <w:t> Resultados</w:t>
            </w:r>
          </w:p>
        </w:tc>
        <w:tc>
          <w:tcPr>
            <w:tcW w:w="1544" w:type="dxa"/>
            <w:tcBorders>
              <w:left w:val="single" w:sz="4" w:space="0" w:color="000000"/>
              <w:right w:val="single" w:sz="4" w:space="0" w:color="000000"/>
            </w:tcBorders>
            <w:shd w:val="clear" w:color="auto" w:fill="EDEBE0"/>
          </w:tcPr>
          <w:p>
            <w:pPr>
              <w:pStyle w:val="TableParagraph"/>
              <w:spacing w:before="178"/>
              <w:rPr>
                <w:b/>
                <w:sz w:val="18"/>
              </w:rPr>
            </w:pPr>
          </w:p>
          <w:p>
            <w:pPr>
              <w:pStyle w:val="TableParagraph"/>
              <w:ind w:left="515" w:right="277" w:hanging="216"/>
              <w:rPr>
                <w:b/>
                <w:sz w:val="18"/>
              </w:rPr>
            </w:pPr>
            <w:r>
              <w:rPr>
                <w:b/>
                <w:sz w:val="18"/>
              </w:rPr>
              <w:t>Línea</w:t>
            </w:r>
            <w:r>
              <w:rPr>
                <w:b/>
                <w:spacing w:val="-13"/>
                <w:sz w:val="18"/>
              </w:rPr>
              <w:t> </w:t>
            </w:r>
            <w:r>
              <w:rPr>
                <w:b/>
                <w:sz w:val="18"/>
              </w:rPr>
              <w:t>Base </w:t>
            </w:r>
            <w:r>
              <w:rPr>
                <w:b/>
                <w:spacing w:val="-2"/>
                <w:sz w:val="18"/>
              </w:rPr>
              <w:t>(2025)</w:t>
            </w:r>
          </w:p>
        </w:tc>
        <w:tc>
          <w:tcPr>
            <w:tcW w:w="1546" w:type="dxa"/>
            <w:tcBorders>
              <w:left w:val="single" w:sz="4" w:space="0" w:color="000000"/>
              <w:right w:val="single" w:sz="4" w:space="0" w:color="000000"/>
            </w:tcBorders>
            <w:shd w:val="clear" w:color="auto" w:fill="EDEBE0"/>
          </w:tcPr>
          <w:p>
            <w:pPr>
              <w:pStyle w:val="TableParagraph"/>
              <w:spacing w:before="74"/>
              <w:rPr>
                <w:b/>
                <w:sz w:val="18"/>
              </w:rPr>
            </w:pPr>
          </w:p>
          <w:p>
            <w:pPr>
              <w:pStyle w:val="TableParagraph"/>
              <w:spacing w:before="1"/>
              <w:ind w:left="256" w:right="237" w:hanging="1"/>
              <w:jc w:val="center"/>
              <w:rPr>
                <w:b/>
                <w:sz w:val="18"/>
              </w:rPr>
            </w:pPr>
            <w:r>
              <w:rPr>
                <w:b/>
                <w:spacing w:val="-4"/>
                <w:sz w:val="18"/>
              </w:rPr>
              <w:t>Meta </w:t>
            </w:r>
            <w:r>
              <w:rPr>
                <w:b/>
                <w:spacing w:val="-2"/>
                <w:sz w:val="18"/>
              </w:rPr>
              <w:t>programada </w:t>
            </w:r>
            <w:r>
              <w:rPr>
                <w:b/>
                <w:spacing w:val="-4"/>
                <w:sz w:val="18"/>
              </w:rPr>
              <w:t>2027</w:t>
            </w:r>
          </w:p>
        </w:tc>
        <w:tc>
          <w:tcPr>
            <w:tcW w:w="1265" w:type="dxa"/>
            <w:tcBorders>
              <w:left w:val="single" w:sz="4" w:space="0" w:color="000000"/>
              <w:right w:val="single" w:sz="4" w:space="0" w:color="000000"/>
            </w:tcBorders>
            <w:shd w:val="clear" w:color="auto" w:fill="EDEBE0"/>
          </w:tcPr>
          <w:p>
            <w:pPr>
              <w:pStyle w:val="TableParagraph"/>
              <w:rPr>
                <w:b/>
                <w:sz w:val="18"/>
              </w:rPr>
            </w:pPr>
          </w:p>
          <w:p>
            <w:pPr>
              <w:pStyle w:val="TableParagraph"/>
              <w:spacing w:before="74"/>
              <w:rPr>
                <w:b/>
                <w:sz w:val="18"/>
              </w:rPr>
            </w:pPr>
          </w:p>
          <w:p>
            <w:pPr>
              <w:pStyle w:val="TableParagraph"/>
              <w:ind w:left="229"/>
              <w:rPr>
                <w:b/>
                <w:sz w:val="18"/>
              </w:rPr>
            </w:pPr>
            <w:r>
              <w:rPr>
                <w:b/>
                <w:spacing w:val="-2"/>
                <w:sz w:val="18"/>
              </w:rPr>
              <w:t>Indicador</w:t>
            </w:r>
          </w:p>
        </w:tc>
        <w:tc>
          <w:tcPr>
            <w:tcW w:w="1637" w:type="dxa"/>
            <w:tcBorders>
              <w:left w:val="single" w:sz="4" w:space="0" w:color="000000"/>
              <w:right w:val="single" w:sz="4" w:space="0" w:color="000000"/>
            </w:tcBorders>
            <w:shd w:val="clear" w:color="auto" w:fill="EDEBE0"/>
          </w:tcPr>
          <w:p>
            <w:pPr>
              <w:pStyle w:val="TableParagraph"/>
              <w:spacing w:before="178"/>
              <w:rPr>
                <w:b/>
                <w:sz w:val="18"/>
              </w:rPr>
            </w:pPr>
          </w:p>
          <w:p>
            <w:pPr>
              <w:pStyle w:val="TableParagraph"/>
              <w:ind w:left="318" w:right="79" w:firstLine="60"/>
              <w:rPr>
                <w:b/>
                <w:sz w:val="18"/>
              </w:rPr>
            </w:pPr>
            <w:r>
              <w:rPr>
                <w:b/>
                <w:sz w:val="18"/>
              </w:rPr>
              <w:t>Medios de </w:t>
            </w:r>
            <w:r>
              <w:rPr>
                <w:b/>
                <w:spacing w:val="-2"/>
                <w:sz w:val="18"/>
              </w:rPr>
              <w:t>verificación</w:t>
            </w:r>
          </w:p>
        </w:tc>
        <w:tc>
          <w:tcPr>
            <w:tcW w:w="1591" w:type="dxa"/>
            <w:tcBorders>
              <w:left w:val="single" w:sz="4" w:space="0" w:color="000000"/>
              <w:right w:val="single" w:sz="4" w:space="0" w:color="000000"/>
            </w:tcBorders>
            <w:shd w:val="clear" w:color="auto" w:fill="EDEBE0"/>
          </w:tcPr>
          <w:p>
            <w:pPr>
              <w:pStyle w:val="TableParagraph"/>
              <w:rPr>
                <w:b/>
                <w:sz w:val="18"/>
              </w:rPr>
            </w:pPr>
          </w:p>
          <w:p>
            <w:pPr>
              <w:pStyle w:val="TableParagraph"/>
              <w:spacing w:before="74"/>
              <w:rPr>
                <w:b/>
                <w:sz w:val="18"/>
              </w:rPr>
            </w:pPr>
          </w:p>
          <w:p>
            <w:pPr>
              <w:pStyle w:val="TableParagraph"/>
              <w:ind w:left="19"/>
              <w:jc w:val="center"/>
              <w:rPr>
                <w:b/>
                <w:sz w:val="18"/>
              </w:rPr>
            </w:pPr>
            <w:r>
              <w:rPr>
                <w:b/>
                <w:spacing w:val="-2"/>
                <w:sz w:val="18"/>
              </w:rPr>
              <w:t>Responsable</w:t>
            </w:r>
          </w:p>
        </w:tc>
        <w:tc>
          <w:tcPr>
            <w:tcW w:w="1505" w:type="dxa"/>
            <w:tcBorders>
              <w:left w:val="single" w:sz="4" w:space="0" w:color="000000"/>
              <w:right w:val="single" w:sz="4" w:space="0" w:color="000000"/>
            </w:tcBorders>
            <w:shd w:val="clear" w:color="auto" w:fill="EDEBE0"/>
          </w:tcPr>
          <w:p>
            <w:pPr>
              <w:pStyle w:val="TableParagraph"/>
              <w:spacing w:before="178"/>
              <w:rPr>
                <w:b/>
                <w:sz w:val="18"/>
              </w:rPr>
            </w:pPr>
          </w:p>
          <w:p>
            <w:pPr>
              <w:pStyle w:val="TableParagraph"/>
              <w:ind w:left="359" w:hanging="152"/>
              <w:rPr>
                <w:b/>
                <w:sz w:val="18"/>
              </w:rPr>
            </w:pPr>
            <w:r>
              <w:rPr>
                <w:b/>
                <w:spacing w:val="-2"/>
                <w:sz w:val="18"/>
              </w:rPr>
              <w:t>Presupuesto asignado</w:t>
            </w:r>
          </w:p>
        </w:tc>
        <w:tc>
          <w:tcPr>
            <w:tcW w:w="2268" w:type="dxa"/>
            <w:tcBorders>
              <w:left w:val="single" w:sz="4" w:space="0" w:color="000000"/>
            </w:tcBorders>
            <w:shd w:val="clear" w:color="auto" w:fill="EDEBE0"/>
          </w:tcPr>
          <w:p>
            <w:pPr>
              <w:pStyle w:val="TableParagraph"/>
              <w:spacing w:before="178"/>
              <w:rPr>
                <w:b/>
                <w:sz w:val="18"/>
              </w:rPr>
            </w:pPr>
          </w:p>
          <w:p>
            <w:pPr>
              <w:pStyle w:val="TableParagraph"/>
              <w:ind w:left="551" w:right="198"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964" w:hRule="atLeast"/>
        </w:trPr>
        <w:tc>
          <w:tcPr>
            <w:tcW w:w="14318" w:type="dxa"/>
            <w:gridSpan w:val="8"/>
            <w:shd w:val="clear" w:color="auto" w:fill="EDEBE0"/>
          </w:tcPr>
          <w:p>
            <w:pPr>
              <w:pStyle w:val="TableParagraph"/>
              <w:spacing w:before="67"/>
              <w:rPr>
                <w:b/>
                <w:sz w:val="18"/>
              </w:rPr>
            </w:pPr>
          </w:p>
          <w:p>
            <w:pPr>
              <w:pStyle w:val="TableParagraph"/>
              <w:ind w:left="69"/>
              <w:rPr>
                <w:b/>
                <w:sz w:val="18"/>
              </w:rPr>
            </w:pPr>
            <w:r>
              <w:rPr>
                <w:b/>
                <w:sz w:val="18"/>
              </w:rPr>
              <w:t>Efecto:</w:t>
            </w:r>
            <w:r>
              <w:rPr>
                <w:b/>
                <w:spacing w:val="40"/>
                <w:sz w:val="18"/>
              </w:rPr>
              <w:t> </w:t>
            </w:r>
            <w:r>
              <w:rPr>
                <w:b/>
                <w:sz w:val="18"/>
              </w:rPr>
              <w:t>Efectiva</w:t>
            </w:r>
            <w:r>
              <w:rPr>
                <w:b/>
                <w:spacing w:val="-3"/>
                <w:sz w:val="18"/>
              </w:rPr>
              <w:t> </w:t>
            </w:r>
            <w:r>
              <w:rPr>
                <w:b/>
                <w:sz w:val="18"/>
              </w:rPr>
              <w:t>gestión</w:t>
            </w:r>
            <w:r>
              <w:rPr>
                <w:b/>
                <w:spacing w:val="-1"/>
                <w:sz w:val="18"/>
              </w:rPr>
              <w:t> </w:t>
            </w:r>
            <w:r>
              <w:rPr>
                <w:b/>
                <w:sz w:val="18"/>
              </w:rPr>
              <w:t>de</w:t>
            </w:r>
            <w:r>
              <w:rPr>
                <w:b/>
                <w:spacing w:val="-1"/>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484" w:hRule="atLeast"/>
        </w:trPr>
        <w:tc>
          <w:tcPr>
            <w:tcW w:w="14318" w:type="dxa"/>
            <w:gridSpan w:val="8"/>
            <w:tcBorders>
              <w:bottom w:val="single" w:sz="4" w:space="0" w:color="000000"/>
            </w:tcBorders>
            <w:shd w:val="clear" w:color="auto" w:fill="DCE6F0"/>
          </w:tcPr>
          <w:p>
            <w:pPr>
              <w:pStyle w:val="TableParagraph"/>
              <w:spacing w:before="138"/>
              <w:ind w:left="69"/>
              <w:rPr>
                <w:b/>
                <w:sz w:val="18"/>
              </w:rPr>
            </w:pPr>
            <w:r>
              <w:rPr>
                <w:b/>
                <w:sz w:val="18"/>
              </w:rPr>
              <w:t>Producto</w:t>
            </w:r>
            <w:r>
              <w:rPr>
                <w:b/>
                <w:spacing w:val="-3"/>
                <w:sz w:val="18"/>
              </w:rPr>
              <w:t> </w:t>
            </w:r>
            <w:r>
              <w:rPr>
                <w:b/>
                <w:sz w:val="18"/>
              </w:rPr>
              <w:t>PAC</w:t>
            </w:r>
            <w:r>
              <w:rPr>
                <w:b/>
                <w:spacing w:val="-4"/>
                <w:sz w:val="18"/>
              </w:rPr>
              <w:t> </w:t>
            </w:r>
            <w:r>
              <w:rPr>
                <w:b/>
                <w:sz w:val="18"/>
              </w:rPr>
              <w:t>2.11:</w:t>
            </w:r>
            <w:r>
              <w:rPr>
                <w:b/>
                <w:spacing w:val="-2"/>
                <w:sz w:val="18"/>
              </w:rPr>
              <w:t> </w:t>
            </w:r>
            <w:r>
              <w:rPr>
                <w:b/>
                <w:sz w:val="18"/>
              </w:rPr>
              <w:t>Servicios</w:t>
            </w:r>
            <w:r>
              <w:rPr>
                <w:b/>
                <w:spacing w:val="-3"/>
                <w:sz w:val="18"/>
              </w:rPr>
              <w:t> </w:t>
            </w:r>
            <w:r>
              <w:rPr>
                <w:b/>
                <w:sz w:val="18"/>
              </w:rPr>
              <w:t>Jurídicos</w:t>
            </w:r>
            <w:r>
              <w:rPr>
                <w:b/>
                <w:spacing w:val="1"/>
                <w:sz w:val="18"/>
              </w:rPr>
              <w:t> </w:t>
            </w:r>
            <w:r>
              <w:rPr>
                <w:b/>
                <w:sz w:val="18"/>
              </w:rPr>
              <w:t>-</w:t>
            </w:r>
            <w:r>
              <w:rPr>
                <w:b/>
                <w:spacing w:val="-3"/>
                <w:sz w:val="18"/>
              </w:rPr>
              <w:t> </w:t>
            </w:r>
            <w:r>
              <w:rPr>
                <w:b/>
                <w:sz w:val="18"/>
              </w:rPr>
              <w:t>Notarios</w:t>
            </w:r>
            <w:r>
              <w:rPr>
                <w:b/>
                <w:spacing w:val="-4"/>
                <w:sz w:val="18"/>
              </w:rPr>
              <w:t> </w:t>
            </w:r>
            <w:r>
              <w:rPr>
                <w:b/>
                <w:spacing w:val="-2"/>
                <w:sz w:val="18"/>
              </w:rPr>
              <w:t>externos</w:t>
            </w:r>
          </w:p>
        </w:tc>
      </w:tr>
      <w:tr>
        <w:trPr>
          <w:trHeight w:val="2087" w:hRule="atLeast"/>
        </w:trPr>
        <w:tc>
          <w:tcPr>
            <w:tcW w:w="2962"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spacing w:before="9"/>
              <w:rPr>
                <w:b/>
                <w:sz w:val="18"/>
              </w:rPr>
            </w:pPr>
          </w:p>
          <w:p>
            <w:pPr>
              <w:pStyle w:val="TableParagraph"/>
              <w:ind w:left="74" w:right="92"/>
              <w:rPr>
                <w:sz w:val="18"/>
              </w:rPr>
            </w:pPr>
            <w:r>
              <w:rPr>
                <w:b/>
                <w:sz w:val="18"/>
              </w:rPr>
              <w:t>Actividad</w:t>
            </w:r>
            <w:r>
              <w:rPr>
                <w:b/>
                <w:spacing w:val="-13"/>
                <w:sz w:val="18"/>
              </w:rPr>
              <w:t> </w:t>
            </w:r>
            <w:r>
              <w:rPr>
                <w:b/>
                <w:sz w:val="18"/>
              </w:rPr>
              <w:t>PAC</w:t>
            </w:r>
            <w:r>
              <w:rPr>
                <w:b/>
                <w:spacing w:val="-12"/>
                <w:sz w:val="18"/>
              </w:rPr>
              <w:t> </w:t>
            </w:r>
            <w:r>
              <w:rPr>
                <w:b/>
                <w:sz w:val="18"/>
              </w:rPr>
              <w:t>2.11.1:</w:t>
            </w:r>
            <w:r>
              <w:rPr>
                <w:b/>
                <w:spacing w:val="-11"/>
                <w:sz w:val="18"/>
              </w:rPr>
              <w:t> </w:t>
            </w:r>
            <w:r>
              <w:rPr>
                <w:sz w:val="18"/>
              </w:rPr>
              <w:t>Asignación de gestiones notariales realizadas según requerimientos de otras instancias institucionales.</w:t>
            </w:r>
          </w:p>
        </w:tc>
        <w:tc>
          <w:tcPr>
            <w:tcW w:w="1544"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spacing w:before="1"/>
              <w:ind w:left="19" w:right="1"/>
              <w:jc w:val="center"/>
              <w:rPr>
                <w:sz w:val="18"/>
              </w:rPr>
            </w:pPr>
            <w:r>
              <w:rPr>
                <w:spacing w:val="-4"/>
                <w:sz w:val="18"/>
              </w:rPr>
              <w:t>100%</w:t>
            </w:r>
          </w:p>
        </w:tc>
        <w:tc>
          <w:tcPr>
            <w:tcW w:w="1546"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spacing w:before="1"/>
              <w:ind w:left="20"/>
              <w:jc w:val="center"/>
              <w:rPr>
                <w:sz w:val="18"/>
              </w:rPr>
            </w:pPr>
            <w:r>
              <w:rPr>
                <w:spacing w:val="-4"/>
                <w:sz w:val="18"/>
              </w:rPr>
              <w:t>100%</w:t>
            </w:r>
          </w:p>
        </w:tc>
        <w:tc>
          <w:tcPr>
            <w:tcW w:w="1265"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spacing w:before="112"/>
              <w:rPr>
                <w:b/>
                <w:sz w:val="18"/>
              </w:rPr>
            </w:pPr>
          </w:p>
          <w:p>
            <w:pPr>
              <w:pStyle w:val="TableParagraph"/>
              <w:ind w:left="73" w:right="64"/>
              <w:rPr>
                <w:sz w:val="18"/>
              </w:rPr>
            </w:pPr>
            <w:r>
              <w:rPr>
                <w:sz w:val="18"/>
              </w:rPr>
              <w:t>Porcentaje</w:t>
            </w:r>
            <w:r>
              <w:rPr>
                <w:spacing w:val="-13"/>
                <w:sz w:val="18"/>
              </w:rPr>
              <w:t> </w:t>
            </w:r>
            <w:r>
              <w:rPr>
                <w:sz w:val="18"/>
              </w:rPr>
              <w:t>de </w:t>
            </w:r>
            <w:r>
              <w:rPr>
                <w:spacing w:val="-2"/>
                <w:sz w:val="18"/>
              </w:rPr>
              <w:t>asignaciones realizadas</w:t>
            </w:r>
          </w:p>
        </w:tc>
        <w:tc>
          <w:tcPr>
            <w:tcW w:w="1637" w:type="dxa"/>
            <w:tcBorders>
              <w:top w:val="single" w:sz="4" w:space="0" w:color="000000"/>
              <w:left w:val="single" w:sz="4" w:space="0" w:color="000000"/>
              <w:bottom w:val="single" w:sz="4" w:space="0" w:color="000000"/>
              <w:right w:val="single" w:sz="4" w:space="0" w:color="000000"/>
            </w:tcBorders>
          </w:tcPr>
          <w:p>
            <w:pPr>
              <w:pStyle w:val="TableParagraph"/>
              <w:spacing w:before="7"/>
              <w:rPr>
                <w:b/>
                <w:sz w:val="18"/>
              </w:rPr>
            </w:pPr>
          </w:p>
          <w:p>
            <w:pPr>
              <w:pStyle w:val="TableParagraph"/>
              <w:spacing w:before="1"/>
              <w:ind w:left="71" w:right="79"/>
              <w:rPr>
                <w:sz w:val="18"/>
              </w:rPr>
            </w:pPr>
            <w:r>
              <w:rPr>
                <w:spacing w:val="-2"/>
                <w:sz w:val="18"/>
              </w:rPr>
              <w:t>Informe </w:t>
            </w:r>
            <w:r>
              <w:rPr>
                <w:sz w:val="18"/>
              </w:rPr>
              <w:t>presentado</w:t>
            </w:r>
            <w:r>
              <w:rPr>
                <w:spacing w:val="-15"/>
                <w:sz w:val="18"/>
              </w:rPr>
              <w:t> </w:t>
            </w:r>
            <w:r>
              <w:rPr>
                <w:sz w:val="18"/>
              </w:rPr>
              <w:t>por</w:t>
            </w:r>
            <w:r>
              <w:rPr>
                <w:spacing w:val="-12"/>
                <w:sz w:val="18"/>
              </w:rPr>
              <w:t> </w:t>
            </w:r>
            <w:r>
              <w:rPr>
                <w:sz w:val="18"/>
              </w:rPr>
              <w:t>la </w:t>
            </w:r>
            <w:r>
              <w:rPr>
                <w:spacing w:val="-2"/>
                <w:sz w:val="18"/>
              </w:rPr>
              <w:t>persona </w:t>
            </w:r>
            <w:r>
              <w:rPr>
                <w:sz w:val="18"/>
              </w:rPr>
              <w:t>fiscalizadora de Contrato y/o control</w:t>
            </w:r>
            <w:r>
              <w:rPr>
                <w:spacing w:val="-15"/>
                <w:sz w:val="18"/>
              </w:rPr>
              <w:t> </w:t>
            </w:r>
            <w:r>
              <w:rPr>
                <w:sz w:val="18"/>
              </w:rPr>
              <w:t>interno</w:t>
            </w:r>
            <w:r>
              <w:rPr>
                <w:spacing w:val="-12"/>
                <w:sz w:val="18"/>
              </w:rPr>
              <w:t> </w:t>
            </w:r>
            <w:r>
              <w:rPr>
                <w:sz w:val="18"/>
              </w:rPr>
              <w:t>de asignaciones a </w:t>
            </w:r>
            <w:r>
              <w:rPr>
                <w:spacing w:val="-2"/>
                <w:sz w:val="18"/>
              </w:rPr>
              <w:t>notarios</w:t>
            </w:r>
          </w:p>
        </w:tc>
        <w:tc>
          <w:tcPr>
            <w:tcW w:w="1591"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spacing w:before="1"/>
              <w:ind w:left="19" w:right="5"/>
              <w:jc w:val="center"/>
              <w:rPr>
                <w:sz w:val="18"/>
              </w:rPr>
            </w:pPr>
            <w:r>
              <w:rPr>
                <w:spacing w:val="-5"/>
                <w:sz w:val="18"/>
              </w:rPr>
              <w:t>AJ</w:t>
            </w:r>
          </w:p>
        </w:tc>
        <w:tc>
          <w:tcPr>
            <w:tcW w:w="1505"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spacing w:before="1"/>
              <w:ind w:left="306"/>
              <w:rPr>
                <w:sz w:val="18"/>
              </w:rPr>
            </w:pPr>
            <w:r>
              <w:rPr>
                <w:sz w:val="18"/>
              </w:rPr>
              <w:t>₡101</w:t>
            </w:r>
            <w:r>
              <w:rPr>
                <w:spacing w:val="-3"/>
                <w:sz w:val="18"/>
              </w:rPr>
              <w:t> </w:t>
            </w:r>
            <w:r>
              <w:rPr>
                <w:sz w:val="18"/>
              </w:rPr>
              <w:t>000</w:t>
            </w:r>
            <w:r>
              <w:rPr>
                <w:spacing w:val="-1"/>
                <w:sz w:val="18"/>
              </w:rPr>
              <w:t> </w:t>
            </w:r>
            <w:r>
              <w:rPr>
                <w:spacing w:val="-5"/>
                <w:sz w:val="18"/>
              </w:rPr>
              <w:t>000</w:t>
            </w:r>
          </w:p>
        </w:tc>
        <w:tc>
          <w:tcPr>
            <w:tcW w:w="2268"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spacing w:before="110"/>
              <w:rPr>
                <w:b/>
                <w:sz w:val="18"/>
              </w:rPr>
            </w:pPr>
          </w:p>
          <w:p>
            <w:pPr>
              <w:pStyle w:val="TableParagraph"/>
              <w:ind w:left="74" w:right="240"/>
              <w:rPr>
                <w:sz w:val="18"/>
              </w:rPr>
            </w:pPr>
            <w:r>
              <w:rPr>
                <w:sz w:val="18"/>
              </w:rPr>
              <w:t>Evento: Las instancias solicitantes no podría cumplir sus objetivos respecto</w:t>
            </w:r>
            <w:r>
              <w:rPr>
                <w:spacing w:val="-13"/>
                <w:sz w:val="18"/>
              </w:rPr>
              <w:t> </w:t>
            </w:r>
            <w:r>
              <w:rPr>
                <w:sz w:val="18"/>
              </w:rPr>
              <w:t>a</w:t>
            </w:r>
            <w:r>
              <w:rPr>
                <w:spacing w:val="-12"/>
                <w:sz w:val="18"/>
              </w:rPr>
              <w:t> </w:t>
            </w:r>
            <w:r>
              <w:rPr>
                <w:sz w:val="18"/>
              </w:rPr>
              <w:t>las</w:t>
            </w:r>
            <w:r>
              <w:rPr>
                <w:spacing w:val="-13"/>
                <w:sz w:val="18"/>
              </w:rPr>
              <w:t> </w:t>
            </w:r>
            <w:r>
              <w:rPr>
                <w:sz w:val="18"/>
              </w:rPr>
              <w:t>gestiones </w:t>
            </w:r>
            <w:r>
              <w:rPr>
                <w:spacing w:val="-2"/>
                <w:sz w:val="18"/>
              </w:rPr>
              <w:t>notariales</w:t>
            </w:r>
          </w:p>
        </w:tc>
      </w:tr>
    </w:tbl>
    <w:p>
      <w:pPr>
        <w:pStyle w:val="TableParagraph"/>
        <w:spacing w:after="0"/>
        <w:rPr>
          <w:sz w:val="18"/>
        </w:rPr>
        <w:sectPr>
          <w:pgSz w:w="15840" w:h="12240" w:orient="landscape"/>
          <w:pgMar w:header="0" w:footer="1530" w:top="1380" w:bottom="2040" w:left="360" w:right="360"/>
        </w:sectPr>
      </w:pPr>
    </w:p>
    <w:p>
      <w:pPr>
        <w:pStyle w:val="BodyText"/>
        <w:spacing w:before="226"/>
        <w:rPr>
          <w:b/>
          <w:sz w:val="20"/>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93"/>
        <w:gridCol w:w="1380"/>
        <w:gridCol w:w="1379"/>
        <w:gridCol w:w="1542"/>
        <w:gridCol w:w="1521"/>
        <w:gridCol w:w="1384"/>
        <w:gridCol w:w="1973"/>
        <w:gridCol w:w="1840"/>
      </w:tblGrid>
      <w:tr>
        <w:trPr>
          <w:trHeight w:val="690" w:hRule="atLeast"/>
        </w:trPr>
        <w:tc>
          <w:tcPr>
            <w:tcW w:w="3293" w:type="dxa"/>
            <w:shd w:val="clear" w:color="auto" w:fill="E8E8E8"/>
          </w:tcPr>
          <w:p>
            <w:pPr>
              <w:pStyle w:val="TableParagraph"/>
              <w:spacing w:before="230"/>
              <w:ind w:left="568"/>
              <w:rPr>
                <w:b/>
                <w:sz w:val="20"/>
              </w:rPr>
            </w:pPr>
            <w:r>
              <w:rPr>
                <w:b/>
                <w:sz w:val="20"/>
              </w:rPr>
              <w:t>Objetivos</w:t>
            </w:r>
            <w:r>
              <w:rPr>
                <w:b/>
                <w:spacing w:val="-9"/>
                <w:sz w:val="20"/>
              </w:rPr>
              <w:t> </w:t>
            </w:r>
            <w:r>
              <w:rPr>
                <w:b/>
                <w:sz w:val="20"/>
              </w:rPr>
              <w:t>/</w:t>
            </w:r>
            <w:r>
              <w:rPr>
                <w:b/>
                <w:spacing w:val="-9"/>
                <w:sz w:val="20"/>
              </w:rPr>
              <w:t> </w:t>
            </w:r>
            <w:r>
              <w:rPr>
                <w:b/>
                <w:spacing w:val="-2"/>
                <w:sz w:val="20"/>
              </w:rPr>
              <w:t>Resultados</w:t>
            </w:r>
          </w:p>
        </w:tc>
        <w:tc>
          <w:tcPr>
            <w:tcW w:w="1380" w:type="dxa"/>
            <w:shd w:val="clear" w:color="auto" w:fill="E8E8E8"/>
          </w:tcPr>
          <w:p>
            <w:pPr>
              <w:pStyle w:val="TableParagraph"/>
              <w:spacing w:before="114"/>
              <w:ind w:left="400" w:right="151" w:hanging="238"/>
              <w:rPr>
                <w:b/>
                <w:sz w:val="20"/>
              </w:rPr>
            </w:pPr>
            <w:r>
              <w:rPr>
                <w:b/>
                <w:sz w:val="20"/>
              </w:rPr>
              <w:t>Línea</w:t>
            </w:r>
            <w:r>
              <w:rPr>
                <w:b/>
                <w:spacing w:val="-14"/>
                <w:sz w:val="20"/>
              </w:rPr>
              <w:t> </w:t>
            </w:r>
            <w:r>
              <w:rPr>
                <w:b/>
                <w:sz w:val="20"/>
              </w:rPr>
              <w:t>Base </w:t>
            </w:r>
            <w:r>
              <w:rPr>
                <w:b/>
                <w:spacing w:val="-2"/>
                <w:sz w:val="20"/>
              </w:rPr>
              <w:t>(2025)</w:t>
            </w:r>
          </w:p>
        </w:tc>
        <w:tc>
          <w:tcPr>
            <w:tcW w:w="1379" w:type="dxa"/>
            <w:shd w:val="clear" w:color="auto" w:fill="E8E8E8"/>
          </w:tcPr>
          <w:p>
            <w:pPr>
              <w:pStyle w:val="TableParagraph"/>
              <w:spacing w:line="230" w:lineRule="exact"/>
              <w:ind w:left="75" w:right="61"/>
              <w:jc w:val="center"/>
              <w:rPr>
                <w:b/>
                <w:sz w:val="20"/>
              </w:rPr>
            </w:pPr>
            <w:r>
              <w:rPr>
                <w:b/>
                <w:spacing w:val="-4"/>
                <w:sz w:val="20"/>
              </w:rPr>
              <w:t>Meta </w:t>
            </w:r>
            <w:r>
              <w:rPr>
                <w:b/>
                <w:spacing w:val="-2"/>
                <w:sz w:val="20"/>
              </w:rPr>
              <w:t>programada </w:t>
            </w:r>
            <w:r>
              <w:rPr>
                <w:b/>
                <w:spacing w:val="-4"/>
                <w:sz w:val="20"/>
              </w:rPr>
              <w:t>2027</w:t>
            </w:r>
          </w:p>
        </w:tc>
        <w:tc>
          <w:tcPr>
            <w:tcW w:w="1542" w:type="dxa"/>
            <w:shd w:val="clear" w:color="auto" w:fill="E8E8E8"/>
          </w:tcPr>
          <w:p>
            <w:pPr>
              <w:pStyle w:val="TableParagraph"/>
              <w:spacing w:before="230"/>
              <w:ind w:left="323"/>
              <w:rPr>
                <w:b/>
                <w:sz w:val="20"/>
              </w:rPr>
            </w:pPr>
            <w:r>
              <w:rPr>
                <w:b/>
                <w:spacing w:val="-2"/>
                <w:sz w:val="20"/>
              </w:rPr>
              <w:t>Indicador</w:t>
            </w:r>
          </w:p>
        </w:tc>
        <w:tc>
          <w:tcPr>
            <w:tcW w:w="1521" w:type="dxa"/>
            <w:shd w:val="clear" w:color="auto" w:fill="E8E8E8"/>
          </w:tcPr>
          <w:p>
            <w:pPr>
              <w:pStyle w:val="TableParagraph"/>
              <w:spacing w:before="114"/>
              <w:ind w:left="207" w:right="2" w:firstLine="67"/>
              <w:rPr>
                <w:b/>
                <w:sz w:val="20"/>
              </w:rPr>
            </w:pPr>
            <w:r>
              <w:rPr>
                <w:b/>
                <w:sz w:val="20"/>
              </w:rPr>
              <w:t>Medios de </w:t>
            </w:r>
            <w:r>
              <w:rPr>
                <w:b/>
                <w:spacing w:val="-2"/>
                <w:sz w:val="20"/>
              </w:rPr>
              <w:t>verificación</w:t>
            </w:r>
          </w:p>
        </w:tc>
        <w:tc>
          <w:tcPr>
            <w:tcW w:w="1384" w:type="dxa"/>
            <w:shd w:val="clear" w:color="auto" w:fill="E8E8E8"/>
          </w:tcPr>
          <w:p>
            <w:pPr>
              <w:pStyle w:val="TableParagraph"/>
              <w:spacing w:before="230"/>
              <w:ind w:left="71"/>
              <w:rPr>
                <w:b/>
                <w:sz w:val="20"/>
              </w:rPr>
            </w:pPr>
            <w:r>
              <w:rPr>
                <w:b/>
                <w:spacing w:val="-2"/>
                <w:sz w:val="20"/>
              </w:rPr>
              <w:t>Responsable</w:t>
            </w:r>
          </w:p>
        </w:tc>
        <w:tc>
          <w:tcPr>
            <w:tcW w:w="1973" w:type="dxa"/>
            <w:shd w:val="clear" w:color="auto" w:fill="E8E8E8"/>
          </w:tcPr>
          <w:p>
            <w:pPr>
              <w:pStyle w:val="TableParagraph"/>
              <w:spacing w:before="114"/>
              <w:ind w:left="551" w:hanging="166"/>
              <w:rPr>
                <w:b/>
                <w:sz w:val="20"/>
              </w:rPr>
            </w:pPr>
            <w:r>
              <w:rPr>
                <w:b/>
                <w:spacing w:val="-2"/>
                <w:sz w:val="20"/>
              </w:rPr>
              <w:t>Presupuesto asignado</w:t>
            </w:r>
          </w:p>
        </w:tc>
        <w:tc>
          <w:tcPr>
            <w:tcW w:w="1840" w:type="dxa"/>
            <w:shd w:val="clear" w:color="auto" w:fill="E8E8E8"/>
          </w:tcPr>
          <w:p>
            <w:pPr>
              <w:pStyle w:val="TableParagraph"/>
              <w:spacing w:before="230"/>
              <w:ind w:left="535"/>
              <w:rPr>
                <w:b/>
                <w:sz w:val="20"/>
              </w:rPr>
            </w:pPr>
            <w:r>
              <w:rPr>
                <w:b/>
                <w:spacing w:val="-2"/>
                <w:sz w:val="20"/>
              </w:rPr>
              <w:t>Riesgos</w:t>
            </w:r>
          </w:p>
        </w:tc>
      </w:tr>
      <w:tr>
        <w:trPr>
          <w:trHeight w:val="659" w:hRule="atLeast"/>
        </w:trPr>
        <w:tc>
          <w:tcPr>
            <w:tcW w:w="14312" w:type="dxa"/>
            <w:gridSpan w:val="8"/>
            <w:shd w:val="clear" w:color="auto" w:fill="E8E8E8"/>
          </w:tcPr>
          <w:p>
            <w:pPr>
              <w:pStyle w:val="TableParagraph"/>
              <w:spacing w:before="98"/>
              <w:ind w:left="69"/>
              <w:rPr>
                <w:b/>
                <w:sz w:val="20"/>
              </w:rPr>
            </w:pPr>
            <w:r>
              <w:rPr>
                <w:b/>
                <w:sz w:val="20"/>
              </w:rPr>
              <w:t>Efecto:</w:t>
            </w:r>
            <w:r>
              <w:rPr>
                <w:b/>
                <w:spacing w:val="-2"/>
                <w:sz w:val="20"/>
              </w:rPr>
              <w:t> </w:t>
            </w:r>
            <w:r>
              <w:rPr>
                <w:b/>
                <w:sz w:val="20"/>
              </w:rPr>
              <w:t>Efectiva</w:t>
            </w:r>
            <w:r>
              <w:rPr>
                <w:b/>
                <w:spacing w:val="-3"/>
                <w:sz w:val="20"/>
              </w:rPr>
              <w:t> </w:t>
            </w:r>
            <w:r>
              <w:rPr>
                <w:b/>
                <w:sz w:val="20"/>
              </w:rPr>
              <w:t>gestión</w:t>
            </w:r>
            <w:r>
              <w:rPr>
                <w:b/>
                <w:spacing w:val="-2"/>
                <w:sz w:val="20"/>
              </w:rPr>
              <w:t> </w:t>
            </w:r>
            <w:r>
              <w:rPr>
                <w:b/>
                <w:sz w:val="20"/>
              </w:rPr>
              <w:t>de</w:t>
            </w:r>
            <w:r>
              <w:rPr>
                <w:b/>
                <w:spacing w:val="-3"/>
                <w:sz w:val="20"/>
              </w:rPr>
              <w:t> </w:t>
            </w:r>
            <w:r>
              <w:rPr>
                <w:b/>
                <w:sz w:val="20"/>
              </w:rPr>
              <w:t>los</w:t>
            </w:r>
            <w:r>
              <w:rPr>
                <w:b/>
                <w:spacing w:val="-1"/>
                <w:sz w:val="20"/>
              </w:rPr>
              <w:t> </w:t>
            </w:r>
            <w:r>
              <w:rPr>
                <w:b/>
                <w:sz w:val="20"/>
              </w:rPr>
              <w:t>recursos</w:t>
            </w:r>
            <w:r>
              <w:rPr>
                <w:b/>
                <w:spacing w:val="-3"/>
                <w:sz w:val="20"/>
              </w:rPr>
              <w:t> </w:t>
            </w:r>
            <w:r>
              <w:rPr>
                <w:b/>
                <w:sz w:val="20"/>
              </w:rPr>
              <w:t>humanos,</w:t>
            </w:r>
            <w:r>
              <w:rPr>
                <w:b/>
                <w:spacing w:val="-1"/>
                <w:sz w:val="20"/>
              </w:rPr>
              <w:t> </w:t>
            </w:r>
            <w:r>
              <w:rPr>
                <w:b/>
                <w:sz w:val="20"/>
              </w:rPr>
              <w:t>financieros,</w:t>
            </w:r>
            <w:r>
              <w:rPr>
                <w:b/>
                <w:spacing w:val="-3"/>
                <w:sz w:val="20"/>
              </w:rPr>
              <w:t> </w:t>
            </w:r>
            <w:r>
              <w:rPr>
                <w:b/>
                <w:sz w:val="20"/>
              </w:rPr>
              <w:t>materiales</w:t>
            </w:r>
            <w:r>
              <w:rPr>
                <w:b/>
                <w:spacing w:val="-2"/>
                <w:sz w:val="20"/>
              </w:rPr>
              <w:t> </w:t>
            </w:r>
            <w:r>
              <w:rPr>
                <w:b/>
                <w:sz w:val="20"/>
              </w:rPr>
              <w:t>y</w:t>
            </w:r>
            <w:r>
              <w:rPr>
                <w:b/>
                <w:spacing w:val="-1"/>
                <w:sz w:val="20"/>
              </w:rPr>
              <w:t> </w:t>
            </w:r>
            <w:r>
              <w:rPr>
                <w:b/>
                <w:sz w:val="20"/>
              </w:rPr>
              <w:t>tecnológicos,</w:t>
            </w:r>
            <w:r>
              <w:rPr>
                <w:b/>
                <w:spacing w:val="-1"/>
                <w:sz w:val="20"/>
              </w:rPr>
              <w:t> </w:t>
            </w:r>
            <w:r>
              <w:rPr>
                <w:b/>
                <w:sz w:val="20"/>
              </w:rPr>
              <w:t>con</w:t>
            </w:r>
            <w:r>
              <w:rPr>
                <w:b/>
                <w:spacing w:val="-2"/>
                <w:sz w:val="20"/>
              </w:rPr>
              <w:t> </w:t>
            </w:r>
            <w:r>
              <w:rPr>
                <w:b/>
                <w:sz w:val="20"/>
              </w:rPr>
              <w:t>el</w:t>
            </w:r>
            <w:r>
              <w:rPr>
                <w:b/>
                <w:spacing w:val="-3"/>
                <w:sz w:val="20"/>
              </w:rPr>
              <w:t> </w:t>
            </w:r>
            <w:r>
              <w:rPr>
                <w:b/>
                <w:sz w:val="20"/>
              </w:rPr>
              <w:t>fin</w:t>
            </w:r>
            <w:r>
              <w:rPr>
                <w:b/>
                <w:spacing w:val="-3"/>
                <w:sz w:val="20"/>
              </w:rPr>
              <w:t> </w:t>
            </w:r>
            <w:r>
              <w:rPr>
                <w:b/>
                <w:sz w:val="20"/>
              </w:rPr>
              <w:t>de</w:t>
            </w:r>
            <w:r>
              <w:rPr>
                <w:b/>
                <w:spacing w:val="-3"/>
                <w:sz w:val="20"/>
              </w:rPr>
              <w:t> </w:t>
            </w:r>
            <w:r>
              <w:rPr>
                <w:b/>
                <w:sz w:val="20"/>
              </w:rPr>
              <w:t>contribuir</w:t>
            </w:r>
            <w:r>
              <w:rPr>
                <w:b/>
                <w:spacing w:val="-1"/>
                <w:sz w:val="20"/>
              </w:rPr>
              <w:t> </w:t>
            </w:r>
            <w:r>
              <w:rPr>
                <w:b/>
                <w:sz w:val="20"/>
              </w:rPr>
              <w:t>con</w:t>
            </w:r>
            <w:r>
              <w:rPr>
                <w:b/>
                <w:spacing w:val="-2"/>
                <w:sz w:val="20"/>
              </w:rPr>
              <w:t> </w:t>
            </w:r>
            <w:r>
              <w:rPr>
                <w:b/>
                <w:sz w:val="20"/>
              </w:rPr>
              <w:t>la</w:t>
            </w:r>
            <w:r>
              <w:rPr>
                <w:b/>
                <w:spacing w:val="-1"/>
                <w:sz w:val="20"/>
              </w:rPr>
              <w:t> </w:t>
            </w:r>
            <w:r>
              <w:rPr>
                <w:b/>
                <w:sz w:val="20"/>
              </w:rPr>
              <w:t>institucionalización</w:t>
            </w:r>
            <w:r>
              <w:rPr>
                <w:b/>
                <w:spacing w:val="-2"/>
                <w:sz w:val="20"/>
              </w:rPr>
              <w:t> </w:t>
            </w:r>
            <w:r>
              <w:rPr>
                <w:b/>
                <w:sz w:val="20"/>
              </w:rPr>
              <w:t>de</w:t>
            </w:r>
            <w:r>
              <w:rPr>
                <w:b/>
                <w:spacing w:val="-3"/>
                <w:sz w:val="20"/>
              </w:rPr>
              <w:t> </w:t>
            </w:r>
            <w:r>
              <w:rPr>
                <w:b/>
                <w:sz w:val="20"/>
              </w:rPr>
              <w:t>la estrategia de intervención de la población en situación de pobreza y pobreza extrema.</w:t>
            </w:r>
          </w:p>
        </w:tc>
      </w:tr>
      <w:tr>
        <w:trPr>
          <w:trHeight w:val="659" w:hRule="atLeast"/>
        </w:trPr>
        <w:tc>
          <w:tcPr>
            <w:tcW w:w="14312" w:type="dxa"/>
            <w:gridSpan w:val="8"/>
            <w:shd w:val="clear" w:color="auto" w:fill="DAE9F8"/>
          </w:tcPr>
          <w:p>
            <w:pPr>
              <w:pStyle w:val="TableParagraph"/>
              <w:spacing w:before="213"/>
              <w:ind w:left="69"/>
              <w:rPr>
                <w:b/>
                <w:sz w:val="20"/>
              </w:rPr>
            </w:pPr>
            <w:r>
              <w:rPr>
                <w:b/>
                <w:sz w:val="20"/>
              </w:rPr>
              <w:t>Producto</w:t>
            </w:r>
            <w:r>
              <w:rPr>
                <w:b/>
                <w:spacing w:val="-5"/>
                <w:sz w:val="20"/>
              </w:rPr>
              <w:t> </w:t>
            </w:r>
            <w:r>
              <w:rPr>
                <w:b/>
                <w:sz w:val="20"/>
              </w:rPr>
              <w:t>PAC</w:t>
            </w:r>
            <w:r>
              <w:rPr>
                <w:b/>
                <w:spacing w:val="-6"/>
                <w:sz w:val="20"/>
              </w:rPr>
              <w:t> </w:t>
            </w:r>
            <w:r>
              <w:rPr>
                <w:b/>
                <w:sz w:val="20"/>
              </w:rPr>
              <w:t>2.12:</w:t>
            </w:r>
            <w:r>
              <w:rPr>
                <w:b/>
                <w:spacing w:val="47"/>
                <w:sz w:val="20"/>
              </w:rPr>
              <w:t> </w:t>
            </w:r>
            <w:r>
              <w:rPr>
                <w:b/>
                <w:sz w:val="20"/>
              </w:rPr>
              <w:t>Políticas,</w:t>
            </w:r>
            <w:r>
              <w:rPr>
                <w:b/>
                <w:spacing w:val="-5"/>
                <w:sz w:val="20"/>
              </w:rPr>
              <w:t> </w:t>
            </w:r>
            <w:r>
              <w:rPr>
                <w:b/>
                <w:sz w:val="20"/>
              </w:rPr>
              <w:t>programas,</w:t>
            </w:r>
            <w:r>
              <w:rPr>
                <w:b/>
                <w:spacing w:val="-4"/>
                <w:sz w:val="20"/>
              </w:rPr>
              <w:t> </w:t>
            </w:r>
            <w:r>
              <w:rPr>
                <w:b/>
                <w:sz w:val="20"/>
              </w:rPr>
              <w:t>proyectos,</w:t>
            </w:r>
            <w:r>
              <w:rPr>
                <w:b/>
                <w:spacing w:val="-6"/>
                <w:sz w:val="20"/>
              </w:rPr>
              <w:t> </w:t>
            </w:r>
            <w:r>
              <w:rPr>
                <w:b/>
                <w:sz w:val="20"/>
              </w:rPr>
              <w:t>beneficios</w:t>
            </w:r>
            <w:r>
              <w:rPr>
                <w:b/>
                <w:spacing w:val="-5"/>
                <w:sz w:val="20"/>
              </w:rPr>
              <w:t> </w:t>
            </w:r>
            <w:r>
              <w:rPr>
                <w:b/>
                <w:sz w:val="20"/>
              </w:rPr>
              <w:t>y</w:t>
            </w:r>
            <w:r>
              <w:rPr>
                <w:b/>
                <w:spacing w:val="-5"/>
                <w:sz w:val="20"/>
              </w:rPr>
              <w:t> </w:t>
            </w:r>
            <w:r>
              <w:rPr>
                <w:b/>
                <w:sz w:val="20"/>
              </w:rPr>
              <w:t>servicios</w:t>
            </w:r>
            <w:r>
              <w:rPr>
                <w:b/>
                <w:spacing w:val="-4"/>
                <w:sz w:val="20"/>
              </w:rPr>
              <w:t> </w:t>
            </w:r>
            <w:r>
              <w:rPr>
                <w:b/>
                <w:sz w:val="20"/>
              </w:rPr>
              <w:t>evaluados</w:t>
            </w:r>
            <w:r>
              <w:rPr>
                <w:b/>
                <w:spacing w:val="-6"/>
                <w:sz w:val="20"/>
              </w:rPr>
              <w:t> </w:t>
            </w:r>
            <w:r>
              <w:rPr>
                <w:b/>
                <w:sz w:val="20"/>
              </w:rPr>
              <w:t>y</w:t>
            </w:r>
            <w:r>
              <w:rPr>
                <w:b/>
                <w:spacing w:val="-5"/>
                <w:sz w:val="20"/>
              </w:rPr>
              <w:t> </w:t>
            </w:r>
            <w:r>
              <w:rPr>
                <w:b/>
                <w:sz w:val="20"/>
              </w:rPr>
              <w:t>con</w:t>
            </w:r>
            <w:r>
              <w:rPr>
                <w:b/>
                <w:spacing w:val="-5"/>
                <w:sz w:val="20"/>
              </w:rPr>
              <w:t> </w:t>
            </w:r>
            <w:r>
              <w:rPr>
                <w:b/>
                <w:sz w:val="20"/>
              </w:rPr>
              <w:t>el</w:t>
            </w:r>
            <w:r>
              <w:rPr>
                <w:b/>
                <w:spacing w:val="-5"/>
                <w:sz w:val="20"/>
              </w:rPr>
              <w:t> </w:t>
            </w:r>
            <w:r>
              <w:rPr>
                <w:b/>
                <w:sz w:val="20"/>
              </w:rPr>
              <w:t>desarrollo</w:t>
            </w:r>
            <w:r>
              <w:rPr>
                <w:b/>
                <w:spacing w:val="-6"/>
                <w:sz w:val="20"/>
              </w:rPr>
              <w:t> </w:t>
            </w:r>
            <w:r>
              <w:rPr>
                <w:b/>
                <w:sz w:val="20"/>
              </w:rPr>
              <w:t>de</w:t>
            </w:r>
            <w:r>
              <w:rPr>
                <w:b/>
                <w:spacing w:val="-6"/>
                <w:sz w:val="20"/>
              </w:rPr>
              <w:t> </w:t>
            </w:r>
            <w:r>
              <w:rPr>
                <w:b/>
                <w:sz w:val="20"/>
              </w:rPr>
              <w:t>la</w:t>
            </w:r>
            <w:r>
              <w:rPr>
                <w:b/>
                <w:spacing w:val="-6"/>
                <w:sz w:val="20"/>
              </w:rPr>
              <w:t> </w:t>
            </w:r>
            <w:r>
              <w:rPr>
                <w:b/>
                <w:sz w:val="20"/>
              </w:rPr>
              <w:t>mejora</w:t>
            </w:r>
            <w:r>
              <w:rPr>
                <w:b/>
                <w:spacing w:val="-4"/>
                <w:sz w:val="20"/>
              </w:rPr>
              <w:t> </w:t>
            </w:r>
            <w:r>
              <w:rPr>
                <w:b/>
                <w:sz w:val="20"/>
              </w:rPr>
              <w:t>continua.</w:t>
            </w:r>
            <w:r>
              <w:rPr>
                <w:b/>
                <w:spacing w:val="43"/>
                <w:sz w:val="20"/>
              </w:rPr>
              <w:t> </w:t>
            </w:r>
            <w:r>
              <w:rPr>
                <w:b/>
                <w:sz w:val="20"/>
              </w:rPr>
              <w:t>E1</w:t>
            </w:r>
            <w:r>
              <w:rPr>
                <w:b/>
                <w:spacing w:val="-6"/>
                <w:sz w:val="20"/>
              </w:rPr>
              <w:t> </w:t>
            </w:r>
            <w:r>
              <w:rPr>
                <w:b/>
                <w:sz w:val="20"/>
              </w:rPr>
              <w:t>AE2</w:t>
            </w:r>
            <w:r>
              <w:rPr>
                <w:b/>
                <w:spacing w:val="-6"/>
                <w:sz w:val="20"/>
              </w:rPr>
              <w:t> </w:t>
            </w:r>
            <w:r>
              <w:rPr>
                <w:b/>
                <w:sz w:val="20"/>
              </w:rPr>
              <w:t>R3</w:t>
            </w:r>
            <w:r>
              <w:rPr>
                <w:b/>
                <w:spacing w:val="-6"/>
                <w:sz w:val="20"/>
              </w:rPr>
              <w:t> </w:t>
            </w:r>
            <w:r>
              <w:rPr>
                <w:b/>
                <w:spacing w:val="-2"/>
                <w:sz w:val="20"/>
              </w:rPr>
              <w:t>(60%)</w:t>
            </w:r>
          </w:p>
        </w:tc>
      </w:tr>
      <w:tr>
        <w:trPr>
          <w:trHeight w:val="1291" w:hRule="atLeast"/>
        </w:trPr>
        <w:tc>
          <w:tcPr>
            <w:tcW w:w="3293" w:type="dxa"/>
          </w:tcPr>
          <w:p>
            <w:pPr>
              <w:pStyle w:val="TableParagraph"/>
              <w:spacing w:before="70"/>
              <w:rPr>
                <w:b/>
                <w:sz w:val="20"/>
              </w:rPr>
            </w:pPr>
          </w:p>
          <w:p>
            <w:pPr>
              <w:pStyle w:val="TableParagraph"/>
              <w:ind w:left="69"/>
              <w:rPr>
                <w:sz w:val="20"/>
              </w:rPr>
            </w:pPr>
            <w:r>
              <w:rPr>
                <w:b/>
                <w:sz w:val="20"/>
              </w:rPr>
              <w:t>Actividad</w:t>
            </w:r>
            <w:r>
              <w:rPr>
                <w:b/>
                <w:spacing w:val="-8"/>
                <w:sz w:val="20"/>
              </w:rPr>
              <w:t> </w:t>
            </w:r>
            <w:r>
              <w:rPr>
                <w:b/>
                <w:sz w:val="20"/>
              </w:rPr>
              <w:t>PAC</w:t>
            </w:r>
            <w:r>
              <w:rPr>
                <w:b/>
                <w:spacing w:val="-8"/>
                <w:sz w:val="20"/>
              </w:rPr>
              <w:t> </w:t>
            </w:r>
            <w:r>
              <w:rPr>
                <w:b/>
                <w:sz w:val="20"/>
              </w:rPr>
              <w:t>2.12.1:</w:t>
            </w:r>
            <w:r>
              <w:rPr>
                <w:b/>
                <w:spacing w:val="80"/>
                <w:sz w:val="20"/>
              </w:rPr>
              <w:t> </w:t>
            </w:r>
            <w:r>
              <w:rPr>
                <w:sz w:val="20"/>
              </w:rPr>
              <w:t>Coordinar con los departamentos a cargo de los servicios a evaluar en el 2027</w:t>
            </w:r>
          </w:p>
        </w:tc>
        <w:tc>
          <w:tcPr>
            <w:tcW w:w="1380" w:type="dxa"/>
          </w:tcPr>
          <w:p>
            <w:pPr>
              <w:pStyle w:val="TableParagraph"/>
              <w:rPr>
                <w:b/>
                <w:sz w:val="20"/>
              </w:rPr>
            </w:pPr>
          </w:p>
          <w:p>
            <w:pPr>
              <w:pStyle w:val="TableParagraph"/>
              <w:spacing w:before="70"/>
              <w:rPr>
                <w:b/>
                <w:sz w:val="20"/>
              </w:rPr>
            </w:pPr>
          </w:p>
          <w:p>
            <w:pPr>
              <w:pStyle w:val="TableParagraph"/>
              <w:ind w:left="7"/>
              <w:jc w:val="center"/>
              <w:rPr>
                <w:sz w:val="20"/>
              </w:rPr>
            </w:pPr>
            <w:r>
              <w:rPr>
                <w:spacing w:val="-10"/>
                <w:sz w:val="20"/>
              </w:rPr>
              <w:t>5</w:t>
            </w:r>
          </w:p>
        </w:tc>
        <w:tc>
          <w:tcPr>
            <w:tcW w:w="1379" w:type="dxa"/>
          </w:tcPr>
          <w:p>
            <w:pPr>
              <w:pStyle w:val="TableParagraph"/>
              <w:rPr>
                <w:b/>
                <w:sz w:val="20"/>
              </w:rPr>
            </w:pPr>
          </w:p>
          <w:p>
            <w:pPr>
              <w:pStyle w:val="TableParagraph"/>
              <w:spacing w:before="70"/>
              <w:rPr>
                <w:b/>
                <w:sz w:val="20"/>
              </w:rPr>
            </w:pPr>
          </w:p>
          <w:p>
            <w:pPr>
              <w:pStyle w:val="TableParagraph"/>
              <w:ind w:left="71" w:right="61"/>
              <w:jc w:val="center"/>
              <w:rPr>
                <w:sz w:val="20"/>
              </w:rPr>
            </w:pPr>
            <w:r>
              <w:rPr>
                <w:spacing w:val="-10"/>
                <w:sz w:val="20"/>
              </w:rPr>
              <w:t>5</w:t>
            </w:r>
          </w:p>
        </w:tc>
        <w:tc>
          <w:tcPr>
            <w:tcW w:w="1542" w:type="dxa"/>
          </w:tcPr>
          <w:p>
            <w:pPr>
              <w:pStyle w:val="TableParagraph"/>
              <w:spacing w:before="70"/>
              <w:rPr>
                <w:b/>
                <w:sz w:val="20"/>
              </w:rPr>
            </w:pPr>
          </w:p>
          <w:p>
            <w:pPr>
              <w:pStyle w:val="TableParagraph"/>
              <w:ind w:left="205" w:right="192" w:firstLine="28"/>
              <w:jc w:val="both"/>
              <w:rPr>
                <w:sz w:val="20"/>
              </w:rPr>
            </w:pPr>
            <w:r>
              <w:rPr>
                <w:sz w:val="20"/>
              </w:rPr>
              <w:t>Cantidad</w:t>
            </w:r>
            <w:r>
              <w:rPr>
                <w:spacing w:val="-12"/>
                <w:sz w:val="20"/>
              </w:rPr>
              <w:t> </w:t>
            </w:r>
            <w:r>
              <w:rPr>
                <w:sz w:val="20"/>
              </w:rPr>
              <w:t>de sesiones de </w:t>
            </w:r>
            <w:r>
              <w:rPr>
                <w:spacing w:val="-2"/>
                <w:sz w:val="20"/>
              </w:rPr>
              <w:t>coordinación</w:t>
            </w:r>
          </w:p>
        </w:tc>
        <w:tc>
          <w:tcPr>
            <w:tcW w:w="1521" w:type="dxa"/>
          </w:tcPr>
          <w:p>
            <w:pPr>
              <w:pStyle w:val="TableParagraph"/>
              <w:spacing w:before="70"/>
              <w:rPr>
                <w:b/>
                <w:sz w:val="20"/>
              </w:rPr>
            </w:pPr>
          </w:p>
          <w:p>
            <w:pPr>
              <w:pStyle w:val="TableParagraph"/>
              <w:ind w:left="195" w:right="181" w:firstLine="79"/>
              <w:jc w:val="both"/>
              <w:rPr>
                <w:sz w:val="20"/>
              </w:rPr>
            </w:pPr>
            <w:r>
              <w:rPr>
                <w:sz w:val="20"/>
              </w:rPr>
              <w:t>Minutas de sesiones de </w:t>
            </w:r>
            <w:r>
              <w:rPr>
                <w:spacing w:val="-2"/>
                <w:sz w:val="20"/>
              </w:rPr>
              <w:t>coordinación</w:t>
            </w:r>
          </w:p>
        </w:tc>
        <w:tc>
          <w:tcPr>
            <w:tcW w:w="1384" w:type="dxa"/>
          </w:tcPr>
          <w:p>
            <w:pPr>
              <w:pStyle w:val="TableParagraph"/>
              <w:spacing w:before="185"/>
              <w:rPr>
                <w:b/>
                <w:sz w:val="20"/>
              </w:rPr>
            </w:pPr>
          </w:p>
          <w:p>
            <w:pPr>
              <w:pStyle w:val="TableParagraph"/>
              <w:ind w:left="164" w:hanging="32"/>
              <w:rPr>
                <w:sz w:val="20"/>
              </w:rPr>
            </w:pPr>
            <w:r>
              <w:rPr>
                <w:spacing w:val="-2"/>
                <w:sz w:val="20"/>
              </w:rPr>
              <w:t>Planificación Institucional</w:t>
            </w:r>
          </w:p>
        </w:tc>
        <w:tc>
          <w:tcPr>
            <w:tcW w:w="1973" w:type="dxa"/>
          </w:tcPr>
          <w:p>
            <w:pPr>
              <w:pStyle w:val="TableParagraph"/>
              <w:rPr>
                <w:rFonts w:ascii="Times New Roman"/>
                <w:sz w:val="20"/>
              </w:rPr>
            </w:pPr>
          </w:p>
        </w:tc>
        <w:tc>
          <w:tcPr>
            <w:tcW w:w="1840" w:type="dxa"/>
            <w:vMerge w:val="restart"/>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201"/>
              <w:rPr>
                <w:b/>
                <w:sz w:val="20"/>
              </w:rPr>
            </w:pPr>
          </w:p>
          <w:p>
            <w:pPr>
              <w:pStyle w:val="TableParagraph"/>
              <w:ind w:left="74" w:right="52"/>
              <w:rPr>
                <w:sz w:val="20"/>
              </w:rPr>
            </w:pPr>
            <w:r>
              <w:rPr>
                <w:sz w:val="20"/>
              </w:rPr>
              <w:t>Evento:</w:t>
            </w:r>
            <w:r>
              <w:rPr>
                <w:spacing w:val="-10"/>
                <w:sz w:val="20"/>
              </w:rPr>
              <w:t> </w:t>
            </w:r>
            <w:r>
              <w:rPr>
                <w:sz w:val="20"/>
              </w:rPr>
              <w:t>Oferta</w:t>
            </w:r>
            <w:r>
              <w:rPr>
                <w:spacing w:val="-8"/>
                <w:sz w:val="20"/>
              </w:rPr>
              <w:t> </w:t>
            </w:r>
            <w:r>
              <w:rPr>
                <w:sz w:val="20"/>
              </w:rPr>
              <w:t>de servicios</w:t>
            </w:r>
            <w:r>
              <w:rPr>
                <w:spacing w:val="-14"/>
                <w:sz w:val="20"/>
              </w:rPr>
              <w:t> </w:t>
            </w:r>
            <w:r>
              <w:rPr>
                <w:sz w:val="20"/>
              </w:rPr>
              <w:t>con</w:t>
            </w:r>
            <w:r>
              <w:rPr>
                <w:spacing w:val="-14"/>
                <w:sz w:val="20"/>
              </w:rPr>
              <w:t> </w:t>
            </w:r>
            <w:r>
              <w:rPr>
                <w:sz w:val="20"/>
              </w:rPr>
              <w:t>baja contribución al valor público.</w:t>
            </w:r>
          </w:p>
        </w:tc>
      </w:tr>
      <w:tr>
        <w:trPr>
          <w:trHeight w:val="1620" w:hRule="atLeast"/>
        </w:trPr>
        <w:tc>
          <w:tcPr>
            <w:tcW w:w="3293" w:type="dxa"/>
          </w:tcPr>
          <w:p>
            <w:pPr>
              <w:pStyle w:val="TableParagraph"/>
              <w:spacing w:before="117"/>
              <w:rPr>
                <w:b/>
                <w:sz w:val="20"/>
              </w:rPr>
            </w:pPr>
          </w:p>
          <w:p>
            <w:pPr>
              <w:pStyle w:val="TableParagraph"/>
              <w:ind w:left="69" w:right="88"/>
              <w:rPr>
                <w:sz w:val="20"/>
              </w:rPr>
            </w:pPr>
            <w:r>
              <w:rPr>
                <w:b/>
                <w:sz w:val="20"/>
              </w:rPr>
              <w:t>Actividad PAC 2.12.2: </w:t>
            </w:r>
            <w:r>
              <w:rPr>
                <w:sz w:val="20"/>
              </w:rPr>
              <w:t>Coordinar la contratación de u</w:t>
            </w:r>
            <w:r>
              <w:rPr>
                <w:b/>
                <w:sz w:val="20"/>
              </w:rPr>
              <w:t>na enti</w:t>
            </w:r>
            <w:r>
              <w:rPr>
                <w:sz w:val="20"/>
              </w:rPr>
              <w:t>dad de apoyo</w:t>
            </w:r>
            <w:r>
              <w:rPr>
                <w:spacing w:val="-7"/>
                <w:sz w:val="20"/>
              </w:rPr>
              <w:t> </w:t>
            </w:r>
            <w:r>
              <w:rPr>
                <w:sz w:val="20"/>
              </w:rPr>
              <w:t>al</w:t>
            </w:r>
            <w:r>
              <w:rPr>
                <w:spacing w:val="-8"/>
                <w:sz w:val="20"/>
              </w:rPr>
              <w:t> </w:t>
            </w:r>
            <w:r>
              <w:rPr>
                <w:sz w:val="20"/>
              </w:rPr>
              <w:t>proceso</w:t>
            </w:r>
            <w:r>
              <w:rPr>
                <w:spacing w:val="-9"/>
                <w:sz w:val="20"/>
              </w:rPr>
              <w:t> </w:t>
            </w:r>
            <w:r>
              <w:rPr>
                <w:sz w:val="20"/>
              </w:rPr>
              <w:t>de</w:t>
            </w:r>
            <w:r>
              <w:rPr>
                <w:spacing w:val="-9"/>
                <w:sz w:val="20"/>
              </w:rPr>
              <w:t> </w:t>
            </w:r>
            <w:r>
              <w:rPr>
                <w:sz w:val="20"/>
              </w:rPr>
              <w:t>evaluación</w:t>
            </w:r>
            <w:r>
              <w:rPr>
                <w:spacing w:val="-10"/>
                <w:sz w:val="20"/>
              </w:rPr>
              <w:t> </w:t>
            </w:r>
            <w:r>
              <w:rPr>
                <w:sz w:val="20"/>
              </w:rPr>
              <w:t>de los servicios seleccionados</w:t>
            </w:r>
          </w:p>
        </w:tc>
        <w:tc>
          <w:tcPr>
            <w:tcW w:w="1380" w:type="dxa"/>
          </w:tcPr>
          <w:p>
            <w:pPr>
              <w:pStyle w:val="TableParagraph"/>
              <w:rPr>
                <w:b/>
                <w:sz w:val="20"/>
              </w:rPr>
            </w:pPr>
          </w:p>
          <w:p>
            <w:pPr>
              <w:pStyle w:val="TableParagraph"/>
              <w:rPr>
                <w:b/>
                <w:sz w:val="20"/>
              </w:rPr>
            </w:pPr>
          </w:p>
          <w:p>
            <w:pPr>
              <w:pStyle w:val="TableParagraph"/>
              <w:spacing w:before="3"/>
              <w:rPr>
                <w:b/>
                <w:sz w:val="20"/>
              </w:rPr>
            </w:pPr>
          </w:p>
          <w:p>
            <w:pPr>
              <w:pStyle w:val="TableParagraph"/>
              <w:ind w:left="7"/>
              <w:jc w:val="center"/>
              <w:rPr>
                <w:sz w:val="20"/>
              </w:rPr>
            </w:pPr>
            <w:r>
              <w:rPr>
                <w:spacing w:val="-10"/>
                <w:sz w:val="20"/>
              </w:rPr>
              <w:t>1</w:t>
            </w:r>
          </w:p>
        </w:tc>
        <w:tc>
          <w:tcPr>
            <w:tcW w:w="1379" w:type="dxa"/>
          </w:tcPr>
          <w:p>
            <w:pPr>
              <w:pStyle w:val="TableParagraph"/>
              <w:rPr>
                <w:b/>
                <w:sz w:val="20"/>
              </w:rPr>
            </w:pPr>
          </w:p>
          <w:p>
            <w:pPr>
              <w:pStyle w:val="TableParagraph"/>
              <w:rPr>
                <w:b/>
                <w:sz w:val="20"/>
              </w:rPr>
            </w:pPr>
          </w:p>
          <w:p>
            <w:pPr>
              <w:pStyle w:val="TableParagraph"/>
              <w:spacing w:before="3"/>
              <w:rPr>
                <w:b/>
                <w:sz w:val="20"/>
              </w:rPr>
            </w:pPr>
          </w:p>
          <w:p>
            <w:pPr>
              <w:pStyle w:val="TableParagraph"/>
              <w:ind w:left="71" w:right="61"/>
              <w:jc w:val="center"/>
              <w:rPr>
                <w:sz w:val="20"/>
              </w:rPr>
            </w:pPr>
            <w:r>
              <w:rPr>
                <w:spacing w:val="-10"/>
                <w:sz w:val="20"/>
              </w:rPr>
              <w:t>1</w:t>
            </w:r>
          </w:p>
        </w:tc>
        <w:tc>
          <w:tcPr>
            <w:tcW w:w="1542" w:type="dxa"/>
          </w:tcPr>
          <w:p>
            <w:pPr>
              <w:pStyle w:val="TableParagraph"/>
              <w:rPr>
                <w:b/>
                <w:sz w:val="20"/>
              </w:rPr>
            </w:pPr>
          </w:p>
          <w:p>
            <w:pPr>
              <w:pStyle w:val="TableParagraph"/>
              <w:spacing w:before="2"/>
              <w:rPr>
                <w:b/>
                <w:sz w:val="20"/>
              </w:rPr>
            </w:pPr>
          </w:p>
          <w:p>
            <w:pPr>
              <w:pStyle w:val="TableParagraph"/>
              <w:ind w:left="124" w:right="109" w:hanging="1"/>
              <w:jc w:val="center"/>
              <w:rPr>
                <w:sz w:val="20"/>
              </w:rPr>
            </w:pPr>
            <w:r>
              <w:rPr>
                <w:sz w:val="20"/>
              </w:rPr>
              <w:t>Cantidad de </w:t>
            </w:r>
            <w:r>
              <w:rPr>
                <w:spacing w:val="-2"/>
                <w:sz w:val="20"/>
              </w:rPr>
              <w:t>contrataciones realizadas</w:t>
            </w:r>
          </w:p>
        </w:tc>
        <w:tc>
          <w:tcPr>
            <w:tcW w:w="1521" w:type="dxa"/>
          </w:tcPr>
          <w:p>
            <w:pPr>
              <w:pStyle w:val="TableParagraph"/>
              <w:spacing w:before="117"/>
              <w:rPr>
                <w:b/>
                <w:sz w:val="20"/>
              </w:rPr>
            </w:pPr>
          </w:p>
          <w:p>
            <w:pPr>
              <w:pStyle w:val="TableParagraph"/>
              <w:ind w:left="140" w:right="127" w:firstLine="4"/>
              <w:jc w:val="center"/>
              <w:rPr>
                <w:sz w:val="20"/>
              </w:rPr>
            </w:pPr>
            <w:r>
              <w:rPr>
                <w:sz w:val="20"/>
              </w:rPr>
              <w:t>Cartel de contratación</w:t>
            </w:r>
            <w:r>
              <w:rPr>
                <w:spacing w:val="-14"/>
                <w:sz w:val="20"/>
              </w:rPr>
              <w:t> </w:t>
            </w:r>
            <w:r>
              <w:rPr>
                <w:sz w:val="20"/>
              </w:rPr>
              <w:t>y </w:t>
            </w:r>
            <w:r>
              <w:rPr>
                <w:spacing w:val="-2"/>
                <w:sz w:val="20"/>
              </w:rPr>
              <w:t>ofertas recibidas</w:t>
            </w:r>
          </w:p>
        </w:tc>
        <w:tc>
          <w:tcPr>
            <w:tcW w:w="1384" w:type="dxa"/>
          </w:tcPr>
          <w:p>
            <w:pPr>
              <w:pStyle w:val="TableParagraph"/>
              <w:rPr>
                <w:b/>
                <w:sz w:val="20"/>
              </w:rPr>
            </w:pPr>
          </w:p>
          <w:p>
            <w:pPr>
              <w:pStyle w:val="TableParagraph"/>
              <w:spacing w:before="117"/>
              <w:rPr>
                <w:b/>
                <w:sz w:val="20"/>
              </w:rPr>
            </w:pPr>
          </w:p>
          <w:p>
            <w:pPr>
              <w:pStyle w:val="TableParagraph"/>
              <w:spacing w:before="1"/>
              <w:ind w:left="164" w:hanging="32"/>
              <w:rPr>
                <w:sz w:val="20"/>
              </w:rPr>
            </w:pPr>
            <w:r>
              <w:rPr>
                <w:spacing w:val="-2"/>
                <w:sz w:val="20"/>
              </w:rPr>
              <w:t>Planificación Institucional</w:t>
            </w:r>
          </w:p>
        </w:tc>
        <w:tc>
          <w:tcPr>
            <w:tcW w:w="1973" w:type="dxa"/>
          </w:tcPr>
          <w:p>
            <w:pPr>
              <w:pStyle w:val="TableParagraph"/>
              <w:rPr>
                <w:rFonts w:ascii="Times New Roman"/>
                <w:sz w:val="20"/>
              </w:rPr>
            </w:pPr>
          </w:p>
        </w:tc>
        <w:tc>
          <w:tcPr>
            <w:tcW w:w="1840" w:type="dxa"/>
            <w:vMerge/>
            <w:tcBorders>
              <w:top w:val="nil"/>
            </w:tcBorders>
          </w:tcPr>
          <w:p>
            <w:pPr>
              <w:rPr>
                <w:sz w:val="2"/>
                <w:szCs w:val="2"/>
              </w:rPr>
            </w:pPr>
          </w:p>
        </w:tc>
      </w:tr>
      <w:tr>
        <w:trPr>
          <w:trHeight w:val="1154" w:hRule="atLeast"/>
        </w:trPr>
        <w:tc>
          <w:tcPr>
            <w:tcW w:w="3293" w:type="dxa"/>
          </w:tcPr>
          <w:p>
            <w:pPr>
              <w:pStyle w:val="TableParagraph"/>
              <w:spacing w:before="2"/>
              <w:rPr>
                <w:b/>
                <w:sz w:val="20"/>
              </w:rPr>
            </w:pPr>
          </w:p>
          <w:p>
            <w:pPr>
              <w:pStyle w:val="TableParagraph"/>
              <w:ind w:left="69"/>
              <w:rPr>
                <w:sz w:val="20"/>
              </w:rPr>
            </w:pPr>
            <w:r>
              <w:rPr>
                <w:b/>
                <w:sz w:val="20"/>
              </w:rPr>
              <w:t>Actividad</w:t>
            </w:r>
            <w:r>
              <w:rPr>
                <w:b/>
                <w:spacing w:val="-8"/>
                <w:sz w:val="20"/>
              </w:rPr>
              <w:t> </w:t>
            </w:r>
            <w:r>
              <w:rPr>
                <w:b/>
                <w:sz w:val="20"/>
              </w:rPr>
              <w:t>PAC</w:t>
            </w:r>
            <w:r>
              <w:rPr>
                <w:b/>
                <w:spacing w:val="-8"/>
                <w:sz w:val="20"/>
              </w:rPr>
              <w:t> </w:t>
            </w:r>
            <w:r>
              <w:rPr>
                <w:b/>
                <w:sz w:val="20"/>
              </w:rPr>
              <w:t>2.12.3:</w:t>
            </w:r>
            <w:r>
              <w:rPr>
                <w:b/>
                <w:spacing w:val="40"/>
                <w:sz w:val="20"/>
              </w:rPr>
              <w:t> </w:t>
            </w:r>
            <w:r>
              <w:rPr>
                <w:sz w:val="20"/>
              </w:rPr>
              <w:t>Ejecutar</w:t>
            </w:r>
            <w:r>
              <w:rPr>
                <w:spacing w:val="-9"/>
                <w:sz w:val="20"/>
              </w:rPr>
              <w:t> </w:t>
            </w:r>
            <w:r>
              <w:rPr>
                <w:sz w:val="20"/>
              </w:rPr>
              <w:t>el proceso de evaluación de los servicios seleccionados</w:t>
            </w:r>
          </w:p>
        </w:tc>
        <w:tc>
          <w:tcPr>
            <w:tcW w:w="1380" w:type="dxa"/>
          </w:tcPr>
          <w:p>
            <w:pPr>
              <w:pStyle w:val="TableParagraph"/>
              <w:rPr>
                <w:b/>
                <w:sz w:val="20"/>
              </w:rPr>
            </w:pPr>
          </w:p>
          <w:p>
            <w:pPr>
              <w:pStyle w:val="TableParagraph"/>
              <w:spacing w:before="2"/>
              <w:rPr>
                <w:b/>
                <w:sz w:val="20"/>
              </w:rPr>
            </w:pPr>
          </w:p>
          <w:p>
            <w:pPr>
              <w:pStyle w:val="TableParagraph"/>
              <w:ind w:left="7"/>
              <w:jc w:val="center"/>
              <w:rPr>
                <w:sz w:val="20"/>
              </w:rPr>
            </w:pPr>
            <w:r>
              <w:rPr>
                <w:spacing w:val="-10"/>
                <w:sz w:val="20"/>
              </w:rPr>
              <w:t>1</w:t>
            </w:r>
          </w:p>
        </w:tc>
        <w:tc>
          <w:tcPr>
            <w:tcW w:w="1379" w:type="dxa"/>
          </w:tcPr>
          <w:p>
            <w:pPr>
              <w:pStyle w:val="TableParagraph"/>
              <w:rPr>
                <w:b/>
                <w:sz w:val="20"/>
              </w:rPr>
            </w:pPr>
          </w:p>
          <w:p>
            <w:pPr>
              <w:pStyle w:val="TableParagraph"/>
              <w:spacing w:before="2"/>
              <w:rPr>
                <w:b/>
                <w:sz w:val="20"/>
              </w:rPr>
            </w:pPr>
          </w:p>
          <w:p>
            <w:pPr>
              <w:pStyle w:val="TableParagraph"/>
              <w:ind w:left="71" w:right="61"/>
              <w:jc w:val="center"/>
              <w:rPr>
                <w:sz w:val="20"/>
              </w:rPr>
            </w:pPr>
            <w:r>
              <w:rPr>
                <w:spacing w:val="-10"/>
                <w:sz w:val="20"/>
              </w:rPr>
              <w:t>1</w:t>
            </w:r>
          </w:p>
        </w:tc>
        <w:tc>
          <w:tcPr>
            <w:tcW w:w="1542" w:type="dxa"/>
          </w:tcPr>
          <w:p>
            <w:pPr>
              <w:pStyle w:val="TableParagraph"/>
              <w:spacing w:before="2"/>
              <w:rPr>
                <w:b/>
                <w:sz w:val="20"/>
              </w:rPr>
            </w:pPr>
          </w:p>
          <w:p>
            <w:pPr>
              <w:pStyle w:val="TableParagraph"/>
              <w:ind w:left="14"/>
              <w:jc w:val="center"/>
              <w:rPr>
                <w:sz w:val="20"/>
              </w:rPr>
            </w:pPr>
            <w:r>
              <w:rPr>
                <w:sz w:val="20"/>
              </w:rPr>
              <w:t>Cantidad</w:t>
            </w:r>
            <w:r>
              <w:rPr>
                <w:spacing w:val="-14"/>
                <w:sz w:val="20"/>
              </w:rPr>
              <w:t> </w:t>
            </w:r>
            <w:r>
              <w:rPr>
                <w:sz w:val="20"/>
              </w:rPr>
              <w:t>de </w:t>
            </w:r>
            <w:r>
              <w:rPr>
                <w:spacing w:val="-2"/>
                <w:sz w:val="20"/>
              </w:rPr>
              <w:t>servicios evaluados</w:t>
            </w:r>
          </w:p>
        </w:tc>
        <w:tc>
          <w:tcPr>
            <w:tcW w:w="1521" w:type="dxa"/>
          </w:tcPr>
          <w:p>
            <w:pPr>
              <w:pStyle w:val="TableParagraph"/>
              <w:spacing w:before="117"/>
              <w:rPr>
                <w:b/>
                <w:sz w:val="20"/>
              </w:rPr>
            </w:pPr>
          </w:p>
          <w:p>
            <w:pPr>
              <w:pStyle w:val="TableParagraph"/>
              <w:ind w:left="284" w:right="2" w:hanging="212"/>
              <w:rPr>
                <w:sz w:val="20"/>
              </w:rPr>
            </w:pPr>
            <w:r>
              <w:rPr>
                <w:sz w:val="20"/>
              </w:rPr>
              <w:t>Informe</w:t>
            </w:r>
            <w:r>
              <w:rPr>
                <w:spacing w:val="-14"/>
                <w:sz w:val="20"/>
              </w:rPr>
              <w:t> </w:t>
            </w:r>
            <w:r>
              <w:rPr>
                <w:sz w:val="20"/>
              </w:rPr>
              <w:t>final</w:t>
            </w:r>
            <w:r>
              <w:rPr>
                <w:spacing w:val="-14"/>
                <w:sz w:val="20"/>
              </w:rPr>
              <w:t> </w:t>
            </w:r>
            <w:r>
              <w:rPr>
                <w:sz w:val="20"/>
              </w:rPr>
              <w:t>de </w:t>
            </w:r>
            <w:r>
              <w:rPr>
                <w:spacing w:val="-2"/>
                <w:sz w:val="20"/>
              </w:rPr>
              <w:t>evaluación</w:t>
            </w:r>
          </w:p>
        </w:tc>
        <w:tc>
          <w:tcPr>
            <w:tcW w:w="1384" w:type="dxa"/>
          </w:tcPr>
          <w:p>
            <w:pPr>
              <w:pStyle w:val="TableParagraph"/>
              <w:spacing w:before="117"/>
              <w:rPr>
                <w:b/>
                <w:sz w:val="20"/>
              </w:rPr>
            </w:pPr>
          </w:p>
          <w:p>
            <w:pPr>
              <w:pStyle w:val="TableParagraph"/>
              <w:ind w:left="164" w:hanging="32"/>
              <w:rPr>
                <w:sz w:val="20"/>
              </w:rPr>
            </w:pPr>
            <w:r>
              <w:rPr>
                <w:spacing w:val="-2"/>
                <w:sz w:val="20"/>
              </w:rPr>
              <w:t>Planificación Institucional</w:t>
            </w:r>
          </w:p>
        </w:tc>
        <w:tc>
          <w:tcPr>
            <w:tcW w:w="1973" w:type="dxa"/>
          </w:tcPr>
          <w:p>
            <w:pPr>
              <w:pStyle w:val="TableParagraph"/>
              <w:rPr>
                <w:b/>
                <w:sz w:val="20"/>
              </w:rPr>
            </w:pPr>
          </w:p>
          <w:p>
            <w:pPr>
              <w:pStyle w:val="TableParagraph"/>
              <w:spacing w:before="2"/>
              <w:rPr>
                <w:b/>
                <w:sz w:val="20"/>
              </w:rPr>
            </w:pPr>
          </w:p>
          <w:p>
            <w:pPr>
              <w:pStyle w:val="TableParagraph"/>
              <w:ind w:left="763"/>
              <w:rPr>
                <w:sz w:val="20"/>
              </w:rPr>
            </w:pPr>
            <w:r>
              <w:rPr>
                <w:sz w:val="20"/>
              </w:rPr>
              <w:t>₡12</w:t>
            </w:r>
            <w:r>
              <w:rPr>
                <w:spacing w:val="-9"/>
                <w:sz w:val="20"/>
              </w:rPr>
              <w:t> </w:t>
            </w:r>
            <w:r>
              <w:rPr>
                <w:sz w:val="20"/>
              </w:rPr>
              <w:t>500</w:t>
            </w:r>
            <w:r>
              <w:rPr>
                <w:spacing w:val="-4"/>
                <w:sz w:val="20"/>
              </w:rPr>
              <w:t> </w:t>
            </w:r>
            <w:r>
              <w:rPr>
                <w:spacing w:val="-5"/>
                <w:sz w:val="20"/>
              </w:rPr>
              <w:t>000</w:t>
            </w:r>
          </w:p>
        </w:tc>
        <w:tc>
          <w:tcPr>
            <w:tcW w:w="1840" w:type="dxa"/>
            <w:vMerge/>
            <w:tcBorders>
              <w:top w:val="nil"/>
            </w:tcBorders>
          </w:tcPr>
          <w:p>
            <w:pPr>
              <w:rPr>
                <w:sz w:val="2"/>
                <w:szCs w:val="2"/>
              </w:rPr>
            </w:pPr>
          </w:p>
        </w:tc>
      </w:tr>
      <w:tr>
        <w:trPr>
          <w:trHeight w:val="556" w:hRule="atLeast"/>
        </w:trPr>
        <w:tc>
          <w:tcPr>
            <w:tcW w:w="14312" w:type="dxa"/>
            <w:gridSpan w:val="8"/>
            <w:shd w:val="clear" w:color="auto" w:fill="DAE9F8"/>
          </w:tcPr>
          <w:p>
            <w:pPr>
              <w:pStyle w:val="TableParagraph"/>
              <w:spacing w:before="162"/>
              <w:ind w:left="69"/>
              <w:rPr>
                <w:b/>
                <w:sz w:val="20"/>
              </w:rPr>
            </w:pPr>
            <w:r>
              <w:rPr>
                <w:b/>
                <w:sz w:val="20"/>
              </w:rPr>
              <w:t>Producto</w:t>
            </w:r>
            <w:r>
              <w:rPr>
                <w:b/>
                <w:spacing w:val="-7"/>
                <w:sz w:val="20"/>
              </w:rPr>
              <w:t> </w:t>
            </w:r>
            <w:r>
              <w:rPr>
                <w:b/>
                <w:sz w:val="20"/>
              </w:rPr>
              <w:t>PAC</w:t>
            </w:r>
            <w:r>
              <w:rPr>
                <w:b/>
                <w:spacing w:val="-7"/>
                <w:sz w:val="20"/>
              </w:rPr>
              <w:t> </w:t>
            </w:r>
            <w:r>
              <w:rPr>
                <w:b/>
                <w:sz w:val="20"/>
              </w:rPr>
              <w:t>2.13:</w:t>
            </w:r>
            <w:r>
              <w:rPr>
                <w:b/>
                <w:spacing w:val="-4"/>
                <w:sz w:val="20"/>
              </w:rPr>
              <w:t> </w:t>
            </w:r>
            <w:r>
              <w:rPr>
                <w:b/>
                <w:sz w:val="20"/>
              </w:rPr>
              <w:t>Planes,</w:t>
            </w:r>
            <w:r>
              <w:rPr>
                <w:b/>
                <w:spacing w:val="-7"/>
                <w:sz w:val="20"/>
              </w:rPr>
              <w:t> </w:t>
            </w:r>
            <w:r>
              <w:rPr>
                <w:b/>
                <w:sz w:val="20"/>
              </w:rPr>
              <w:t>programas</w:t>
            </w:r>
            <w:r>
              <w:rPr>
                <w:b/>
                <w:spacing w:val="-5"/>
                <w:sz w:val="20"/>
              </w:rPr>
              <w:t> </w:t>
            </w:r>
            <w:r>
              <w:rPr>
                <w:b/>
                <w:sz w:val="20"/>
              </w:rPr>
              <w:t>y</w:t>
            </w:r>
            <w:r>
              <w:rPr>
                <w:b/>
                <w:spacing w:val="-8"/>
                <w:sz w:val="20"/>
              </w:rPr>
              <w:t> </w:t>
            </w:r>
            <w:r>
              <w:rPr>
                <w:b/>
                <w:sz w:val="20"/>
              </w:rPr>
              <w:t>proyectos</w:t>
            </w:r>
            <w:r>
              <w:rPr>
                <w:b/>
                <w:spacing w:val="-6"/>
                <w:sz w:val="20"/>
              </w:rPr>
              <w:t> </w:t>
            </w:r>
            <w:r>
              <w:rPr>
                <w:b/>
                <w:sz w:val="20"/>
              </w:rPr>
              <w:t>formulados</w:t>
            </w:r>
            <w:r>
              <w:rPr>
                <w:b/>
                <w:spacing w:val="-7"/>
                <w:sz w:val="20"/>
              </w:rPr>
              <w:t> </w:t>
            </w:r>
            <w:r>
              <w:rPr>
                <w:b/>
                <w:sz w:val="20"/>
              </w:rPr>
              <w:t>y</w:t>
            </w:r>
            <w:r>
              <w:rPr>
                <w:b/>
                <w:spacing w:val="-5"/>
                <w:sz w:val="20"/>
              </w:rPr>
              <w:t> </w:t>
            </w:r>
            <w:r>
              <w:rPr>
                <w:b/>
                <w:sz w:val="20"/>
              </w:rPr>
              <w:t>operando</w:t>
            </w:r>
            <w:r>
              <w:rPr>
                <w:b/>
                <w:spacing w:val="-6"/>
                <w:sz w:val="20"/>
              </w:rPr>
              <w:t> </w:t>
            </w:r>
            <w:r>
              <w:rPr>
                <w:b/>
                <w:sz w:val="20"/>
              </w:rPr>
              <w:t>como</w:t>
            </w:r>
            <w:r>
              <w:rPr>
                <w:b/>
                <w:spacing w:val="-6"/>
                <w:sz w:val="20"/>
              </w:rPr>
              <w:t> </w:t>
            </w:r>
            <w:r>
              <w:rPr>
                <w:b/>
                <w:sz w:val="20"/>
              </w:rPr>
              <w:t>insumos</w:t>
            </w:r>
            <w:r>
              <w:rPr>
                <w:b/>
                <w:spacing w:val="-7"/>
                <w:sz w:val="20"/>
              </w:rPr>
              <w:t> </w:t>
            </w:r>
            <w:r>
              <w:rPr>
                <w:b/>
                <w:sz w:val="20"/>
              </w:rPr>
              <w:t>para</w:t>
            </w:r>
            <w:r>
              <w:rPr>
                <w:b/>
                <w:spacing w:val="-8"/>
                <w:sz w:val="20"/>
              </w:rPr>
              <w:t> </w:t>
            </w:r>
            <w:r>
              <w:rPr>
                <w:b/>
                <w:sz w:val="20"/>
              </w:rPr>
              <w:t>la</w:t>
            </w:r>
            <w:r>
              <w:rPr>
                <w:b/>
                <w:spacing w:val="-7"/>
                <w:sz w:val="20"/>
              </w:rPr>
              <w:t> </w:t>
            </w:r>
            <w:r>
              <w:rPr>
                <w:b/>
                <w:sz w:val="20"/>
              </w:rPr>
              <w:t>toma</w:t>
            </w:r>
            <w:r>
              <w:rPr>
                <w:b/>
                <w:spacing w:val="-7"/>
                <w:sz w:val="20"/>
              </w:rPr>
              <w:t> </w:t>
            </w:r>
            <w:r>
              <w:rPr>
                <w:b/>
                <w:sz w:val="20"/>
              </w:rPr>
              <w:t>de</w:t>
            </w:r>
            <w:r>
              <w:rPr>
                <w:b/>
                <w:spacing w:val="-7"/>
                <w:sz w:val="20"/>
              </w:rPr>
              <w:t> </w:t>
            </w:r>
            <w:r>
              <w:rPr>
                <w:b/>
                <w:spacing w:val="-2"/>
                <w:sz w:val="20"/>
              </w:rPr>
              <w:t>decisiones</w:t>
            </w:r>
          </w:p>
        </w:tc>
      </w:tr>
    </w:tbl>
    <w:p>
      <w:pPr>
        <w:pStyle w:val="TableParagraph"/>
        <w:spacing w:after="0"/>
        <w:rPr>
          <w:b/>
          <w:sz w:val="20"/>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93"/>
        <w:gridCol w:w="1380"/>
        <w:gridCol w:w="1379"/>
        <w:gridCol w:w="1542"/>
        <w:gridCol w:w="1521"/>
        <w:gridCol w:w="1384"/>
        <w:gridCol w:w="1973"/>
        <w:gridCol w:w="1840"/>
      </w:tblGrid>
      <w:tr>
        <w:trPr>
          <w:trHeight w:val="4831" w:hRule="atLeast"/>
        </w:trPr>
        <w:tc>
          <w:tcPr>
            <w:tcW w:w="3293"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ind w:left="69" w:right="82"/>
              <w:rPr>
                <w:sz w:val="20"/>
              </w:rPr>
            </w:pPr>
            <w:r>
              <w:rPr>
                <w:b/>
                <w:sz w:val="20"/>
              </w:rPr>
              <w:t>Actividad PAC 2.13.1: </w:t>
            </w:r>
            <w:r>
              <w:rPr>
                <w:sz w:val="20"/>
              </w:rPr>
              <w:t>Implementar a nivel institucional la herramienta DELPHOS, en los módulos DELPHOS Net para el seguimiento y control de los instrumentos de planificación institucional (PEI, POI y POGE), así</w:t>
            </w:r>
            <w:r>
              <w:rPr>
                <w:spacing w:val="-11"/>
                <w:sz w:val="20"/>
              </w:rPr>
              <w:t> </w:t>
            </w:r>
            <w:r>
              <w:rPr>
                <w:sz w:val="20"/>
              </w:rPr>
              <w:t>como</w:t>
            </w:r>
            <w:r>
              <w:rPr>
                <w:spacing w:val="-11"/>
                <w:sz w:val="20"/>
              </w:rPr>
              <w:t> </w:t>
            </w:r>
            <w:r>
              <w:rPr>
                <w:sz w:val="20"/>
              </w:rPr>
              <w:t>Delphos</w:t>
            </w:r>
            <w:r>
              <w:rPr>
                <w:spacing w:val="-10"/>
                <w:sz w:val="20"/>
              </w:rPr>
              <w:t> </w:t>
            </w:r>
            <w:r>
              <w:rPr>
                <w:sz w:val="20"/>
              </w:rPr>
              <w:t>Continuum,</w:t>
            </w:r>
            <w:r>
              <w:rPr>
                <w:spacing w:val="-11"/>
                <w:sz w:val="20"/>
              </w:rPr>
              <w:t> </w:t>
            </w:r>
            <w:r>
              <w:rPr>
                <w:sz w:val="20"/>
              </w:rPr>
              <w:t>para el seguimiento y monitoreo de riesgos institucionales.</w:t>
            </w:r>
          </w:p>
        </w:tc>
        <w:tc>
          <w:tcPr>
            <w:tcW w:w="1380"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p>
            <w:pPr>
              <w:pStyle w:val="TableParagraph"/>
              <w:ind w:left="434"/>
              <w:rPr>
                <w:b/>
                <w:sz w:val="20"/>
              </w:rPr>
            </w:pPr>
            <w:r>
              <w:rPr>
                <w:b/>
                <w:spacing w:val="-4"/>
                <w:sz w:val="20"/>
              </w:rPr>
              <w:t>100%</w:t>
            </w:r>
          </w:p>
        </w:tc>
        <w:tc>
          <w:tcPr>
            <w:tcW w:w="1379"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p>
            <w:pPr>
              <w:pStyle w:val="TableParagraph"/>
              <w:ind w:left="435"/>
              <w:rPr>
                <w:sz w:val="20"/>
              </w:rPr>
            </w:pPr>
            <w:r>
              <w:rPr>
                <w:spacing w:val="-4"/>
                <w:sz w:val="20"/>
              </w:rPr>
              <w:t>100%</w:t>
            </w:r>
          </w:p>
        </w:tc>
        <w:tc>
          <w:tcPr>
            <w:tcW w:w="1542"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ind w:left="71"/>
              <w:rPr>
                <w:sz w:val="20"/>
              </w:rPr>
            </w:pPr>
            <w:r>
              <w:rPr>
                <w:sz w:val="20"/>
              </w:rPr>
              <w:t>Porcentaje de </w:t>
            </w:r>
            <w:r>
              <w:rPr>
                <w:spacing w:val="-2"/>
                <w:sz w:val="20"/>
              </w:rPr>
              <w:t>implementación </w:t>
            </w:r>
            <w:r>
              <w:rPr>
                <w:sz w:val="20"/>
              </w:rPr>
              <w:t>de la </w:t>
            </w:r>
            <w:r>
              <w:rPr>
                <w:spacing w:val="-2"/>
                <w:sz w:val="20"/>
              </w:rPr>
              <w:t>Herramienta DELPHOS,</w:t>
            </w:r>
          </w:p>
          <w:p>
            <w:pPr>
              <w:pStyle w:val="TableParagraph"/>
              <w:spacing w:before="1"/>
              <w:ind w:left="71" w:right="103"/>
              <w:rPr>
                <w:sz w:val="20"/>
              </w:rPr>
            </w:pPr>
            <w:r>
              <w:rPr>
                <w:spacing w:val="-2"/>
                <w:sz w:val="20"/>
              </w:rPr>
              <w:t>módulo </w:t>
            </w:r>
            <w:r>
              <w:rPr>
                <w:sz w:val="20"/>
              </w:rPr>
              <w:t>Delphos</w:t>
            </w:r>
            <w:r>
              <w:rPr>
                <w:spacing w:val="-14"/>
                <w:sz w:val="20"/>
              </w:rPr>
              <w:t> </w:t>
            </w:r>
            <w:r>
              <w:rPr>
                <w:sz w:val="20"/>
              </w:rPr>
              <w:t>Net</w:t>
            </w:r>
            <w:r>
              <w:rPr>
                <w:spacing w:val="-14"/>
                <w:sz w:val="20"/>
              </w:rPr>
              <w:t> </w:t>
            </w:r>
            <w:r>
              <w:rPr>
                <w:sz w:val="20"/>
              </w:rPr>
              <w:t>y </w:t>
            </w:r>
            <w:r>
              <w:rPr>
                <w:spacing w:val="-2"/>
                <w:sz w:val="20"/>
              </w:rPr>
              <w:t>Continuum.</w:t>
            </w:r>
          </w:p>
        </w:tc>
        <w:tc>
          <w:tcPr>
            <w:tcW w:w="1521" w:type="dxa"/>
          </w:tcPr>
          <w:p>
            <w:pPr>
              <w:pStyle w:val="TableParagraph"/>
              <w:ind w:left="72" w:right="116"/>
              <w:rPr>
                <w:sz w:val="20"/>
              </w:rPr>
            </w:pPr>
            <w:r>
              <w:rPr>
                <w:sz w:val="20"/>
              </w:rPr>
              <w:t>Informe de seguimiento a </w:t>
            </w:r>
            <w:r>
              <w:rPr>
                <w:spacing w:val="-4"/>
                <w:sz w:val="20"/>
              </w:rPr>
              <w:t>los </w:t>
            </w:r>
            <w:r>
              <w:rPr>
                <w:spacing w:val="-2"/>
                <w:sz w:val="20"/>
              </w:rPr>
              <w:t>instrumentos institucionales </w:t>
            </w:r>
            <w:r>
              <w:rPr>
                <w:spacing w:val="-6"/>
                <w:sz w:val="20"/>
              </w:rPr>
              <w:t>de</w:t>
            </w:r>
            <w:r>
              <w:rPr>
                <w:spacing w:val="40"/>
                <w:sz w:val="20"/>
              </w:rPr>
              <w:t> </w:t>
            </w:r>
            <w:r>
              <w:rPr>
                <w:spacing w:val="-2"/>
                <w:sz w:val="20"/>
              </w:rPr>
              <w:t>Planificación </w:t>
            </w:r>
            <w:r>
              <w:rPr>
                <w:sz w:val="20"/>
              </w:rPr>
              <w:t>realizado por medio de la </w:t>
            </w:r>
            <w:r>
              <w:rPr>
                <w:spacing w:val="-2"/>
                <w:sz w:val="20"/>
              </w:rPr>
              <w:t>herramienta Delphos </w:t>
            </w:r>
            <w:r>
              <w:rPr>
                <w:sz w:val="20"/>
              </w:rPr>
              <w:t>mediante el módulo de </w:t>
            </w:r>
            <w:r>
              <w:rPr>
                <w:spacing w:val="-2"/>
                <w:sz w:val="20"/>
              </w:rPr>
              <w:t>DELPHOS.Net</w:t>
            </w:r>
          </w:p>
          <w:p>
            <w:pPr>
              <w:pStyle w:val="TableParagraph"/>
              <w:spacing w:before="1"/>
              <w:ind w:left="72" w:right="2"/>
              <w:rPr>
                <w:sz w:val="20"/>
              </w:rPr>
            </w:pPr>
            <w:r>
              <w:rPr>
                <w:sz w:val="20"/>
              </w:rPr>
              <w:t>e Informe de </w:t>
            </w:r>
            <w:r>
              <w:rPr>
                <w:spacing w:val="-2"/>
                <w:sz w:val="20"/>
              </w:rPr>
              <w:t>seguimiento </w:t>
            </w:r>
            <w:r>
              <w:rPr>
                <w:sz w:val="20"/>
              </w:rPr>
              <w:t>para los procesos</w:t>
            </w:r>
            <w:r>
              <w:rPr>
                <w:spacing w:val="-14"/>
                <w:sz w:val="20"/>
              </w:rPr>
              <w:t> </w:t>
            </w:r>
            <w:r>
              <w:rPr>
                <w:sz w:val="20"/>
              </w:rPr>
              <w:t>de</w:t>
            </w:r>
            <w:r>
              <w:rPr>
                <w:spacing w:val="-14"/>
                <w:sz w:val="20"/>
              </w:rPr>
              <w:t> </w:t>
            </w:r>
            <w:r>
              <w:rPr>
                <w:sz w:val="20"/>
              </w:rPr>
              <w:t>CI mediante el </w:t>
            </w:r>
            <w:r>
              <w:rPr>
                <w:spacing w:val="-2"/>
                <w:sz w:val="20"/>
              </w:rPr>
              <w:t>módulo</w:t>
            </w:r>
          </w:p>
          <w:p>
            <w:pPr>
              <w:pStyle w:val="TableParagraph"/>
              <w:spacing w:line="211" w:lineRule="exact"/>
              <w:ind w:left="72"/>
              <w:rPr>
                <w:sz w:val="20"/>
              </w:rPr>
            </w:pPr>
            <w:r>
              <w:rPr>
                <w:spacing w:val="-2"/>
                <w:sz w:val="20"/>
              </w:rPr>
              <w:t>continuum.</w:t>
            </w:r>
          </w:p>
        </w:tc>
        <w:tc>
          <w:tcPr>
            <w:tcW w:w="1384"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ind w:left="71"/>
              <w:rPr>
                <w:sz w:val="20"/>
              </w:rPr>
            </w:pPr>
            <w:r>
              <w:rPr>
                <w:spacing w:val="-2"/>
                <w:sz w:val="20"/>
              </w:rPr>
              <w:t>Planificación Institucional</w:t>
            </w:r>
          </w:p>
        </w:tc>
        <w:tc>
          <w:tcPr>
            <w:tcW w:w="1973"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p>
            <w:pPr>
              <w:pStyle w:val="TableParagraph"/>
              <w:ind w:left="763"/>
              <w:rPr>
                <w:sz w:val="20"/>
              </w:rPr>
            </w:pPr>
            <w:r>
              <w:rPr>
                <w:sz w:val="20"/>
              </w:rPr>
              <w:t>₡20</w:t>
            </w:r>
            <w:r>
              <w:rPr>
                <w:spacing w:val="-9"/>
                <w:sz w:val="20"/>
              </w:rPr>
              <w:t> </w:t>
            </w:r>
            <w:r>
              <w:rPr>
                <w:sz w:val="20"/>
              </w:rPr>
              <w:t>000</w:t>
            </w:r>
            <w:r>
              <w:rPr>
                <w:spacing w:val="-4"/>
                <w:sz w:val="20"/>
              </w:rPr>
              <w:t> </w:t>
            </w:r>
            <w:r>
              <w:rPr>
                <w:spacing w:val="-5"/>
                <w:sz w:val="20"/>
              </w:rPr>
              <w:t>000</w:t>
            </w:r>
          </w:p>
        </w:tc>
        <w:tc>
          <w:tcPr>
            <w:tcW w:w="1840"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p>
            <w:pPr>
              <w:pStyle w:val="TableParagraph"/>
              <w:ind w:left="74"/>
              <w:rPr>
                <w:sz w:val="20"/>
              </w:rPr>
            </w:pPr>
            <w:r>
              <w:rPr>
                <w:sz w:val="20"/>
              </w:rPr>
              <w:t>Evento: Puede darse</w:t>
            </w:r>
            <w:r>
              <w:rPr>
                <w:spacing w:val="-14"/>
                <w:sz w:val="20"/>
              </w:rPr>
              <w:t> </w:t>
            </w:r>
            <w:r>
              <w:rPr>
                <w:sz w:val="20"/>
              </w:rPr>
              <w:t>un</w:t>
            </w:r>
            <w:r>
              <w:rPr>
                <w:spacing w:val="-14"/>
                <w:sz w:val="20"/>
              </w:rPr>
              <w:t> </w:t>
            </w:r>
            <w:r>
              <w:rPr>
                <w:sz w:val="20"/>
              </w:rPr>
              <w:t>atraso</w:t>
            </w:r>
            <w:r>
              <w:rPr>
                <w:spacing w:val="-13"/>
                <w:sz w:val="20"/>
              </w:rPr>
              <w:t> </w:t>
            </w:r>
            <w:r>
              <w:rPr>
                <w:sz w:val="20"/>
              </w:rPr>
              <w:t>en la implementación de Delphos continuum por temas de capacitación de enlaces de control </w:t>
            </w:r>
            <w:r>
              <w:rPr>
                <w:spacing w:val="-2"/>
                <w:sz w:val="20"/>
              </w:rPr>
              <w:t>interno</w:t>
            </w:r>
          </w:p>
        </w:tc>
      </w:tr>
    </w:tbl>
    <w:p>
      <w:pPr>
        <w:pStyle w:val="TableParagraph"/>
        <w:spacing w:after="0"/>
        <w:rPr>
          <w:sz w:val="20"/>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62"/>
        <w:gridCol w:w="1417"/>
        <w:gridCol w:w="1419"/>
        <w:gridCol w:w="1558"/>
        <w:gridCol w:w="1417"/>
        <w:gridCol w:w="1702"/>
        <w:gridCol w:w="1957"/>
        <w:gridCol w:w="1589"/>
      </w:tblGrid>
      <w:tr>
        <w:trPr>
          <w:trHeight w:val="690" w:hRule="atLeast"/>
        </w:trPr>
        <w:tc>
          <w:tcPr>
            <w:tcW w:w="3262" w:type="dxa"/>
            <w:shd w:val="clear" w:color="auto" w:fill="F1F1F1"/>
          </w:tcPr>
          <w:p>
            <w:pPr>
              <w:pStyle w:val="TableParagraph"/>
              <w:spacing w:before="230"/>
              <w:ind w:left="551"/>
              <w:rPr>
                <w:b/>
                <w:sz w:val="20"/>
              </w:rPr>
            </w:pPr>
            <w:r>
              <w:rPr>
                <w:b/>
                <w:sz w:val="20"/>
              </w:rPr>
              <w:t>Objetivos</w:t>
            </w:r>
            <w:r>
              <w:rPr>
                <w:b/>
                <w:spacing w:val="-9"/>
                <w:sz w:val="20"/>
              </w:rPr>
              <w:t> </w:t>
            </w:r>
            <w:r>
              <w:rPr>
                <w:b/>
                <w:sz w:val="20"/>
              </w:rPr>
              <w:t>/</w:t>
            </w:r>
            <w:r>
              <w:rPr>
                <w:b/>
                <w:spacing w:val="-9"/>
                <w:sz w:val="20"/>
              </w:rPr>
              <w:t> </w:t>
            </w:r>
            <w:r>
              <w:rPr>
                <w:b/>
                <w:spacing w:val="-2"/>
                <w:sz w:val="20"/>
              </w:rPr>
              <w:t>Resultados</w:t>
            </w:r>
          </w:p>
        </w:tc>
        <w:tc>
          <w:tcPr>
            <w:tcW w:w="1417" w:type="dxa"/>
            <w:shd w:val="clear" w:color="auto" w:fill="F1F1F1"/>
          </w:tcPr>
          <w:p>
            <w:pPr>
              <w:pStyle w:val="TableParagraph"/>
              <w:spacing w:before="114"/>
              <w:ind w:left="417" w:right="171" w:hanging="238"/>
              <w:rPr>
                <w:b/>
                <w:sz w:val="20"/>
              </w:rPr>
            </w:pPr>
            <w:r>
              <w:rPr>
                <w:b/>
                <w:sz w:val="20"/>
              </w:rPr>
              <w:t>Línea</w:t>
            </w:r>
            <w:r>
              <w:rPr>
                <w:b/>
                <w:spacing w:val="-14"/>
                <w:sz w:val="20"/>
              </w:rPr>
              <w:t> </w:t>
            </w:r>
            <w:r>
              <w:rPr>
                <w:b/>
                <w:sz w:val="20"/>
              </w:rPr>
              <w:t>Base </w:t>
            </w:r>
            <w:r>
              <w:rPr>
                <w:b/>
                <w:spacing w:val="-2"/>
                <w:sz w:val="20"/>
              </w:rPr>
              <w:t>(2025)</w:t>
            </w:r>
          </w:p>
        </w:tc>
        <w:tc>
          <w:tcPr>
            <w:tcW w:w="1419" w:type="dxa"/>
            <w:shd w:val="clear" w:color="auto" w:fill="F1F1F1"/>
          </w:tcPr>
          <w:p>
            <w:pPr>
              <w:pStyle w:val="TableParagraph"/>
              <w:spacing w:line="230" w:lineRule="exact"/>
              <w:ind w:left="6"/>
              <w:jc w:val="center"/>
              <w:rPr>
                <w:b/>
                <w:sz w:val="20"/>
              </w:rPr>
            </w:pPr>
            <w:r>
              <w:rPr>
                <w:b/>
                <w:spacing w:val="-4"/>
                <w:sz w:val="20"/>
              </w:rPr>
              <w:t>Meta </w:t>
            </w:r>
            <w:r>
              <w:rPr>
                <w:b/>
                <w:spacing w:val="-2"/>
                <w:sz w:val="20"/>
              </w:rPr>
              <w:t>programada </w:t>
            </w:r>
            <w:r>
              <w:rPr>
                <w:b/>
                <w:spacing w:val="-4"/>
                <w:sz w:val="20"/>
              </w:rPr>
              <w:t>2027</w:t>
            </w:r>
          </w:p>
        </w:tc>
        <w:tc>
          <w:tcPr>
            <w:tcW w:w="1558" w:type="dxa"/>
            <w:shd w:val="clear" w:color="auto" w:fill="F1F1F1"/>
          </w:tcPr>
          <w:p>
            <w:pPr>
              <w:pStyle w:val="TableParagraph"/>
              <w:spacing w:before="230"/>
              <w:ind w:left="327"/>
              <w:rPr>
                <w:b/>
                <w:sz w:val="20"/>
              </w:rPr>
            </w:pPr>
            <w:r>
              <w:rPr>
                <w:b/>
                <w:spacing w:val="-2"/>
                <w:sz w:val="20"/>
              </w:rPr>
              <w:t>Indicador</w:t>
            </w:r>
          </w:p>
        </w:tc>
        <w:tc>
          <w:tcPr>
            <w:tcW w:w="1417" w:type="dxa"/>
            <w:shd w:val="clear" w:color="auto" w:fill="F1F1F1"/>
          </w:tcPr>
          <w:p>
            <w:pPr>
              <w:pStyle w:val="TableParagraph"/>
              <w:spacing w:before="114"/>
              <w:ind w:left="150" w:right="71" w:firstLine="67"/>
              <w:rPr>
                <w:b/>
                <w:sz w:val="20"/>
              </w:rPr>
            </w:pPr>
            <w:r>
              <w:rPr>
                <w:b/>
                <w:sz w:val="20"/>
              </w:rPr>
              <w:t>Medios de </w:t>
            </w:r>
            <w:r>
              <w:rPr>
                <w:b/>
                <w:spacing w:val="-2"/>
                <w:sz w:val="20"/>
              </w:rPr>
              <w:t>verificación</w:t>
            </w:r>
          </w:p>
        </w:tc>
        <w:tc>
          <w:tcPr>
            <w:tcW w:w="1702" w:type="dxa"/>
            <w:shd w:val="clear" w:color="auto" w:fill="F1F1F1"/>
          </w:tcPr>
          <w:p>
            <w:pPr>
              <w:pStyle w:val="TableParagraph"/>
              <w:spacing w:before="230"/>
              <w:jc w:val="center"/>
              <w:rPr>
                <w:b/>
                <w:sz w:val="20"/>
              </w:rPr>
            </w:pPr>
            <w:r>
              <w:rPr>
                <w:b/>
                <w:spacing w:val="-2"/>
                <w:sz w:val="20"/>
              </w:rPr>
              <w:t>Responsable</w:t>
            </w:r>
          </w:p>
        </w:tc>
        <w:tc>
          <w:tcPr>
            <w:tcW w:w="1957" w:type="dxa"/>
            <w:shd w:val="clear" w:color="auto" w:fill="F1F1F1"/>
          </w:tcPr>
          <w:p>
            <w:pPr>
              <w:pStyle w:val="TableParagraph"/>
              <w:spacing w:before="114"/>
              <w:ind w:left="538" w:right="367" w:hanging="169"/>
              <w:rPr>
                <w:b/>
                <w:sz w:val="20"/>
              </w:rPr>
            </w:pPr>
            <w:r>
              <w:rPr>
                <w:b/>
                <w:spacing w:val="-2"/>
                <w:sz w:val="20"/>
              </w:rPr>
              <w:t>Presupuesto asignado</w:t>
            </w:r>
          </w:p>
        </w:tc>
        <w:tc>
          <w:tcPr>
            <w:tcW w:w="1589" w:type="dxa"/>
            <w:shd w:val="clear" w:color="auto" w:fill="F1F1F1"/>
          </w:tcPr>
          <w:p>
            <w:pPr>
              <w:pStyle w:val="TableParagraph"/>
              <w:spacing w:line="230" w:lineRule="exact"/>
              <w:ind w:left="141" w:right="139" w:firstLine="1"/>
              <w:jc w:val="center"/>
              <w:rPr>
                <w:b/>
                <w:sz w:val="20"/>
              </w:rPr>
            </w:pPr>
            <w:r>
              <w:rPr>
                <w:b/>
                <w:spacing w:val="-2"/>
                <w:sz w:val="20"/>
              </w:rPr>
              <w:t>Riesgos </w:t>
            </w:r>
            <w:r>
              <w:rPr>
                <w:b/>
                <w:sz w:val="20"/>
              </w:rPr>
              <w:t>asociados al </w:t>
            </w:r>
            <w:r>
              <w:rPr>
                <w:b/>
                <w:spacing w:val="-2"/>
                <w:sz w:val="20"/>
              </w:rPr>
              <w:t>cumplimiento</w:t>
            </w:r>
          </w:p>
        </w:tc>
      </w:tr>
      <w:tr>
        <w:trPr>
          <w:trHeight w:val="793" w:hRule="atLeast"/>
        </w:trPr>
        <w:tc>
          <w:tcPr>
            <w:tcW w:w="14321" w:type="dxa"/>
            <w:gridSpan w:val="8"/>
            <w:shd w:val="clear" w:color="auto" w:fill="F1F1F1"/>
          </w:tcPr>
          <w:p>
            <w:pPr>
              <w:pStyle w:val="TableParagraph"/>
              <w:spacing w:before="165"/>
              <w:ind w:left="69"/>
              <w:rPr>
                <w:b/>
                <w:sz w:val="20"/>
              </w:rPr>
            </w:pPr>
            <w:r>
              <w:rPr>
                <w:b/>
                <w:sz w:val="20"/>
              </w:rPr>
              <w:t>Efecto:</w:t>
            </w:r>
            <w:r>
              <w:rPr>
                <w:b/>
                <w:spacing w:val="-2"/>
                <w:sz w:val="20"/>
              </w:rPr>
              <w:t> </w:t>
            </w:r>
            <w:r>
              <w:rPr>
                <w:b/>
                <w:sz w:val="20"/>
              </w:rPr>
              <w:t>Efectiva</w:t>
            </w:r>
            <w:r>
              <w:rPr>
                <w:b/>
                <w:spacing w:val="-3"/>
                <w:sz w:val="20"/>
              </w:rPr>
              <w:t> </w:t>
            </w:r>
            <w:r>
              <w:rPr>
                <w:b/>
                <w:sz w:val="20"/>
              </w:rPr>
              <w:t>gestión</w:t>
            </w:r>
            <w:r>
              <w:rPr>
                <w:b/>
                <w:spacing w:val="-2"/>
                <w:sz w:val="20"/>
              </w:rPr>
              <w:t> </w:t>
            </w:r>
            <w:r>
              <w:rPr>
                <w:b/>
                <w:sz w:val="20"/>
              </w:rPr>
              <w:t>de</w:t>
            </w:r>
            <w:r>
              <w:rPr>
                <w:b/>
                <w:spacing w:val="-3"/>
                <w:sz w:val="20"/>
              </w:rPr>
              <w:t> </w:t>
            </w:r>
            <w:r>
              <w:rPr>
                <w:b/>
                <w:sz w:val="20"/>
              </w:rPr>
              <w:t>los</w:t>
            </w:r>
            <w:r>
              <w:rPr>
                <w:b/>
                <w:spacing w:val="-1"/>
                <w:sz w:val="20"/>
              </w:rPr>
              <w:t> </w:t>
            </w:r>
            <w:r>
              <w:rPr>
                <w:b/>
                <w:sz w:val="20"/>
              </w:rPr>
              <w:t>recursos</w:t>
            </w:r>
            <w:r>
              <w:rPr>
                <w:b/>
                <w:spacing w:val="-3"/>
                <w:sz w:val="20"/>
              </w:rPr>
              <w:t> </w:t>
            </w:r>
            <w:r>
              <w:rPr>
                <w:b/>
                <w:sz w:val="20"/>
              </w:rPr>
              <w:t>humanos,</w:t>
            </w:r>
            <w:r>
              <w:rPr>
                <w:b/>
                <w:spacing w:val="-1"/>
                <w:sz w:val="20"/>
              </w:rPr>
              <w:t> </w:t>
            </w:r>
            <w:r>
              <w:rPr>
                <w:b/>
                <w:sz w:val="20"/>
              </w:rPr>
              <w:t>financieros,</w:t>
            </w:r>
            <w:r>
              <w:rPr>
                <w:b/>
                <w:spacing w:val="-3"/>
                <w:sz w:val="20"/>
              </w:rPr>
              <w:t> </w:t>
            </w:r>
            <w:r>
              <w:rPr>
                <w:b/>
                <w:sz w:val="20"/>
              </w:rPr>
              <w:t>materiales</w:t>
            </w:r>
            <w:r>
              <w:rPr>
                <w:b/>
                <w:spacing w:val="-2"/>
                <w:sz w:val="20"/>
              </w:rPr>
              <w:t> </w:t>
            </w:r>
            <w:r>
              <w:rPr>
                <w:b/>
                <w:sz w:val="20"/>
              </w:rPr>
              <w:t>y</w:t>
            </w:r>
            <w:r>
              <w:rPr>
                <w:b/>
                <w:spacing w:val="-1"/>
                <w:sz w:val="20"/>
              </w:rPr>
              <w:t> </w:t>
            </w:r>
            <w:r>
              <w:rPr>
                <w:b/>
                <w:sz w:val="20"/>
              </w:rPr>
              <w:t>tecnológicos,</w:t>
            </w:r>
            <w:r>
              <w:rPr>
                <w:b/>
                <w:spacing w:val="-1"/>
                <w:sz w:val="20"/>
              </w:rPr>
              <w:t> </w:t>
            </w:r>
            <w:r>
              <w:rPr>
                <w:b/>
                <w:sz w:val="20"/>
              </w:rPr>
              <w:t>con</w:t>
            </w:r>
            <w:r>
              <w:rPr>
                <w:b/>
                <w:spacing w:val="-2"/>
                <w:sz w:val="20"/>
              </w:rPr>
              <w:t> </w:t>
            </w:r>
            <w:r>
              <w:rPr>
                <w:b/>
                <w:sz w:val="20"/>
              </w:rPr>
              <w:t>el</w:t>
            </w:r>
            <w:r>
              <w:rPr>
                <w:b/>
                <w:spacing w:val="-3"/>
                <w:sz w:val="20"/>
              </w:rPr>
              <w:t> </w:t>
            </w:r>
            <w:r>
              <w:rPr>
                <w:b/>
                <w:sz w:val="20"/>
              </w:rPr>
              <w:t>fin</w:t>
            </w:r>
            <w:r>
              <w:rPr>
                <w:b/>
                <w:spacing w:val="-3"/>
                <w:sz w:val="20"/>
              </w:rPr>
              <w:t> </w:t>
            </w:r>
            <w:r>
              <w:rPr>
                <w:b/>
                <w:sz w:val="20"/>
              </w:rPr>
              <w:t>de</w:t>
            </w:r>
            <w:r>
              <w:rPr>
                <w:b/>
                <w:spacing w:val="-3"/>
                <w:sz w:val="20"/>
              </w:rPr>
              <w:t> </w:t>
            </w:r>
            <w:r>
              <w:rPr>
                <w:b/>
                <w:sz w:val="20"/>
              </w:rPr>
              <w:t>contribuir</w:t>
            </w:r>
            <w:r>
              <w:rPr>
                <w:b/>
                <w:spacing w:val="-1"/>
                <w:sz w:val="20"/>
              </w:rPr>
              <w:t> </w:t>
            </w:r>
            <w:r>
              <w:rPr>
                <w:b/>
                <w:sz w:val="20"/>
              </w:rPr>
              <w:t>con</w:t>
            </w:r>
            <w:r>
              <w:rPr>
                <w:b/>
                <w:spacing w:val="-2"/>
                <w:sz w:val="20"/>
              </w:rPr>
              <w:t> </w:t>
            </w:r>
            <w:r>
              <w:rPr>
                <w:b/>
                <w:sz w:val="20"/>
              </w:rPr>
              <w:t>la</w:t>
            </w:r>
            <w:r>
              <w:rPr>
                <w:b/>
                <w:spacing w:val="-1"/>
                <w:sz w:val="20"/>
              </w:rPr>
              <w:t> </w:t>
            </w:r>
            <w:r>
              <w:rPr>
                <w:b/>
                <w:sz w:val="20"/>
              </w:rPr>
              <w:t>institucionalización</w:t>
            </w:r>
            <w:r>
              <w:rPr>
                <w:b/>
                <w:spacing w:val="-2"/>
                <w:sz w:val="20"/>
              </w:rPr>
              <w:t> </w:t>
            </w:r>
            <w:r>
              <w:rPr>
                <w:b/>
                <w:sz w:val="20"/>
              </w:rPr>
              <w:t>de</w:t>
            </w:r>
            <w:r>
              <w:rPr>
                <w:b/>
                <w:spacing w:val="-3"/>
                <w:sz w:val="20"/>
              </w:rPr>
              <w:t> </w:t>
            </w:r>
            <w:r>
              <w:rPr>
                <w:b/>
                <w:sz w:val="20"/>
              </w:rPr>
              <w:t>la estrategia de intervención de la población en situación de pobreza y pobreza extrema.</w:t>
            </w:r>
          </w:p>
        </w:tc>
      </w:tr>
      <w:tr>
        <w:trPr>
          <w:trHeight w:val="854" w:hRule="atLeast"/>
        </w:trPr>
        <w:tc>
          <w:tcPr>
            <w:tcW w:w="14321" w:type="dxa"/>
            <w:gridSpan w:val="8"/>
            <w:shd w:val="clear" w:color="auto" w:fill="D5DCE3"/>
          </w:tcPr>
          <w:p>
            <w:pPr>
              <w:pStyle w:val="TableParagraph"/>
              <w:spacing w:before="196"/>
              <w:ind w:left="69"/>
              <w:rPr>
                <w:b/>
                <w:sz w:val="20"/>
              </w:rPr>
            </w:pPr>
            <w:r>
              <w:rPr>
                <w:b/>
                <w:sz w:val="20"/>
              </w:rPr>
              <w:t>Producto</w:t>
            </w:r>
            <w:r>
              <w:rPr>
                <w:b/>
                <w:spacing w:val="-2"/>
                <w:sz w:val="20"/>
              </w:rPr>
              <w:t> </w:t>
            </w:r>
            <w:r>
              <w:rPr>
                <w:b/>
                <w:sz w:val="20"/>
              </w:rPr>
              <w:t>PAC</w:t>
            </w:r>
            <w:r>
              <w:rPr>
                <w:b/>
                <w:spacing w:val="-3"/>
                <w:sz w:val="20"/>
              </w:rPr>
              <w:t> </w:t>
            </w:r>
            <w:r>
              <w:rPr>
                <w:b/>
                <w:sz w:val="20"/>
              </w:rPr>
              <w:t>2.14:</w:t>
            </w:r>
            <w:r>
              <w:rPr>
                <w:b/>
                <w:spacing w:val="40"/>
                <w:sz w:val="20"/>
              </w:rPr>
              <w:t> </w:t>
            </w:r>
            <w:r>
              <w:rPr>
                <w:b/>
                <w:sz w:val="20"/>
              </w:rPr>
              <w:t>Normativa</w:t>
            </w:r>
            <w:r>
              <w:rPr>
                <w:b/>
                <w:spacing w:val="-4"/>
                <w:sz w:val="20"/>
              </w:rPr>
              <w:t> </w:t>
            </w:r>
            <w:r>
              <w:rPr>
                <w:b/>
                <w:sz w:val="20"/>
              </w:rPr>
              <w:t>nacional</w:t>
            </w:r>
            <w:r>
              <w:rPr>
                <w:b/>
                <w:spacing w:val="-1"/>
                <w:sz w:val="20"/>
              </w:rPr>
              <w:t> </w:t>
            </w:r>
            <w:r>
              <w:rPr>
                <w:b/>
                <w:sz w:val="20"/>
              </w:rPr>
              <w:t>e</w:t>
            </w:r>
            <w:r>
              <w:rPr>
                <w:b/>
                <w:spacing w:val="-3"/>
                <w:sz w:val="20"/>
              </w:rPr>
              <w:t> </w:t>
            </w:r>
            <w:r>
              <w:rPr>
                <w:b/>
                <w:sz w:val="20"/>
              </w:rPr>
              <w:t>internacional</w:t>
            </w:r>
            <w:r>
              <w:rPr>
                <w:b/>
                <w:spacing w:val="-3"/>
                <w:sz w:val="20"/>
              </w:rPr>
              <w:t> </w:t>
            </w:r>
            <w:r>
              <w:rPr>
                <w:b/>
                <w:sz w:val="20"/>
              </w:rPr>
              <w:t>en</w:t>
            </w:r>
            <w:r>
              <w:rPr>
                <w:b/>
                <w:spacing w:val="-3"/>
                <w:sz w:val="20"/>
              </w:rPr>
              <w:t> </w:t>
            </w:r>
            <w:r>
              <w:rPr>
                <w:b/>
                <w:sz w:val="20"/>
              </w:rPr>
              <w:t>materia</w:t>
            </w:r>
            <w:r>
              <w:rPr>
                <w:b/>
                <w:spacing w:val="-4"/>
                <w:sz w:val="20"/>
              </w:rPr>
              <w:t> </w:t>
            </w:r>
            <w:r>
              <w:rPr>
                <w:b/>
                <w:sz w:val="20"/>
              </w:rPr>
              <w:t>de</w:t>
            </w:r>
            <w:r>
              <w:rPr>
                <w:b/>
                <w:spacing w:val="-3"/>
                <w:sz w:val="20"/>
              </w:rPr>
              <w:t> </w:t>
            </w:r>
            <w:r>
              <w:rPr>
                <w:b/>
                <w:sz w:val="20"/>
              </w:rPr>
              <w:t>derechos</w:t>
            </w:r>
            <w:r>
              <w:rPr>
                <w:b/>
                <w:spacing w:val="-3"/>
                <w:sz w:val="20"/>
              </w:rPr>
              <w:t> </w:t>
            </w:r>
            <w:r>
              <w:rPr>
                <w:b/>
                <w:sz w:val="20"/>
              </w:rPr>
              <w:t>humanos</w:t>
            </w:r>
            <w:r>
              <w:rPr>
                <w:b/>
                <w:spacing w:val="-1"/>
                <w:sz w:val="20"/>
              </w:rPr>
              <w:t> </w:t>
            </w:r>
            <w:r>
              <w:rPr>
                <w:b/>
                <w:sz w:val="20"/>
              </w:rPr>
              <w:t>e</w:t>
            </w:r>
            <w:r>
              <w:rPr>
                <w:b/>
                <w:spacing w:val="-3"/>
                <w:sz w:val="20"/>
              </w:rPr>
              <w:t> </w:t>
            </w:r>
            <w:r>
              <w:rPr>
                <w:b/>
                <w:sz w:val="20"/>
              </w:rPr>
              <w:t>igualdad y</w:t>
            </w:r>
            <w:r>
              <w:rPr>
                <w:b/>
                <w:spacing w:val="-4"/>
                <w:sz w:val="20"/>
              </w:rPr>
              <w:t> </w:t>
            </w:r>
            <w:r>
              <w:rPr>
                <w:b/>
                <w:sz w:val="20"/>
              </w:rPr>
              <w:t>equidad</w:t>
            </w:r>
            <w:r>
              <w:rPr>
                <w:b/>
                <w:spacing w:val="-2"/>
                <w:sz w:val="20"/>
              </w:rPr>
              <w:t> </w:t>
            </w:r>
            <w:r>
              <w:rPr>
                <w:b/>
                <w:sz w:val="20"/>
              </w:rPr>
              <w:t>de</w:t>
            </w:r>
            <w:r>
              <w:rPr>
                <w:b/>
                <w:spacing w:val="-3"/>
                <w:sz w:val="20"/>
              </w:rPr>
              <w:t> </w:t>
            </w:r>
            <w:r>
              <w:rPr>
                <w:b/>
                <w:sz w:val="20"/>
              </w:rPr>
              <w:t>género</w:t>
            </w:r>
            <w:r>
              <w:rPr>
                <w:b/>
                <w:spacing w:val="-2"/>
                <w:sz w:val="20"/>
              </w:rPr>
              <w:t> </w:t>
            </w:r>
            <w:r>
              <w:rPr>
                <w:b/>
                <w:sz w:val="20"/>
              </w:rPr>
              <w:t>implementada eficientemente con una asesoría oportuna.</w:t>
            </w:r>
          </w:p>
        </w:tc>
      </w:tr>
      <w:tr>
        <w:trPr>
          <w:trHeight w:val="2070" w:hRule="atLeast"/>
        </w:trPr>
        <w:tc>
          <w:tcPr>
            <w:tcW w:w="3262" w:type="dxa"/>
          </w:tcPr>
          <w:p>
            <w:pPr>
              <w:pStyle w:val="TableParagraph"/>
              <w:rPr>
                <w:b/>
                <w:sz w:val="20"/>
              </w:rPr>
            </w:pPr>
          </w:p>
          <w:p>
            <w:pPr>
              <w:pStyle w:val="TableParagraph"/>
              <w:spacing w:before="115"/>
              <w:rPr>
                <w:b/>
                <w:sz w:val="20"/>
              </w:rPr>
            </w:pPr>
          </w:p>
          <w:p>
            <w:pPr>
              <w:pStyle w:val="TableParagraph"/>
              <w:ind w:left="69" w:right="135"/>
              <w:rPr>
                <w:sz w:val="20"/>
              </w:rPr>
            </w:pPr>
            <w:r>
              <w:rPr>
                <w:b/>
                <w:sz w:val="20"/>
              </w:rPr>
              <w:t>Actividad PAC 2.14.1: </w:t>
            </w:r>
            <w:r>
              <w:rPr>
                <w:sz w:val="20"/>
              </w:rPr>
              <w:t>Dar seguimiento a los compromisos del</w:t>
            </w:r>
            <w:r>
              <w:rPr>
                <w:spacing w:val="-9"/>
                <w:sz w:val="20"/>
              </w:rPr>
              <w:t> </w:t>
            </w:r>
            <w:r>
              <w:rPr>
                <w:sz w:val="20"/>
              </w:rPr>
              <w:t>IMAS</w:t>
            </w:r>
            <w:r>
              <w:rPr>
                <w:spacing w:val="-8"/>
                <w:sz w:val="20"/>
              </w:rPr>
              <w:t> </w:t>
            </w:r>
            <w:r>
              <w:rPr>
                <w:sz w:val="20"/>
              </w:rPr>
              <w:t>en</w:t>
            </w:r>
            <w:r>
              <w:rPr>
                <w:spacing w:val="-9"/>
                <w:sz w:val="20"/>
              </w:rPr>
              <w:t> </w:t>
            </w:r>
            <w:r>
              <w:rPr>
                <w:sz w:val="20"/>
              </w:rPr>
              <w:t>los</w:t>
            </w:r>
            <w:r>
              <w:rPr>
                <w:spacing w:val="-9"/>
                <w:sz w:val="20"/>
              </w:rPr>
              <w:t> </w:t>
            </w:r>
            <w:r>
              <w:rPr>
                <w:sz w:val="20"/>
              </w:rPr>
              <w:t>Ejes</w:t>
            </w:r>
            <w:r>
              <w:rPr>
                <w:spacing w:val="-9"/>
                <w:sz w:val="20"/>
              </w:rPr>
              <w:t> </w:t>
            </w:r>
            <w:r>
              <w:rPr>
                <w:sz w:val="20"/>
              </w:rPr>
              <w:t>estructurales de PIEG y PLANOVI.</w:t>
            </w:r>
          </w:p>
        </w:tc>
        <w:tc>
          <w:tcPr>
            <w:tcW w:w="1417" w:type="dxa"/>
          </w:tcPr>
          <w:p>
            <w:pPr>
              <w:pStyle w:val="TableParagraph"/>
              <w:rPr>
                <w:b/>
                <w:sz w:val="20"/>
              </w:rPr>
            </w:pPr>
          </w:p>
          <w:p>
            <w:pPr>
              <w:pStyle w:val="TableParagraph"/>
              <w:rPr>
                <w:b/>
                <w:sz w:val="20"/>
              </w:rPr>
            </w:pPr>
          </w:p>
          <w:p>
            <w:pPr>
              <w:pStyle w:val="TableParagraph"/>
              <w:rPr>
                <w:b/>
                <w:sz w:val="20"/>
              </w:rPr>
            </w:pPr>
          </w:p>
          <w:p>
            <w:pPr>
              <w:pStyle w:val="TableParagraph"/>
              <w:spacing w:before="1"/>
              <w:rPr>
                <w:b/>
                <w:sz w:val="20"/>
              </w:rPr>
            </w:pPr>
          </w:p>
          <w:p>
            <w:pPr>
              <w:pStyle w:val="TableParagraph"/>
              <w:ind w:left="8" w:right="5"/>
              <w:jc w:val="center"/>
              <w:rPr>
                <w:sz w:val="20"/>
              </w:rPr>
            </w:pPr>
            <w:r>
              <w:rPr>
                <w:spacing w:val="-5"/>
                <w:sz w:val="20"/>
              </w:rPr>
              <w:t>16</w:t>
            </w:r>
          </w:p>
        </w:tc>
        <w:tc>
          <w:tcPr>
            <w:tcW w:w="1419" w:type="dxa"/>
          </w:tcPr>
          <w:p>
            <w:pPr>
              <w:pStyle w:val="TableParagraph"/>
              <w:rPr>
                <w:b/>
                <w:sz w:val="20"/>
              </w:rPr>
            </w:pPr>
          </w:p>
          <w:p>
            <w:pPr>
              <w:pStyle w:val="TableParagraph"/>
              <w:rPr>
                <w:b/>
                <w:sz w:val="20"/>
              </w:rPr>
            </w:pPr>
          </w:p>
          <w:p>
            <w:pPr>
              <w:pStyle w:val="TableParagraph"/>
              <w:rPr>
                <w:b/>
                <w:sz w:val="20"/>
              </w:rPr>
            </w:pPr>
          </w:p>
          <w:p>
            <w:pPr>
              <w:pStyle w:val="TableParagraph"/>
              <w:spacing w:before="1"/>
              <w:rPr>
                <w:b/>
                <w:sz w:val="20"/>
              </w:rPr>
            </w:pPr>
          </w:p>
          <w:p>
            <w:pPr>
              <w:pStyle w:val="TableParagraph"/>
              <w:ind w:left="6" w:right="6"/>
              <w:jc w:val="center"/>
              <w:rPr>
                <w:sz w:val="20"/>
              </w:rPr>
            </w:pPr>
            <w:r>
              <w:rPr>
                <w:spacing w:val="-5"/>
                <w:sz w:val="20"/>
              </w:rPr>
              <w:t>16</w:t>
            </w:r>
          </w:p>
        </w:tc>
        <w:tc>
          <w:tcPr>
            <w:tcW w:w="1558" w:type="dxa"/>
          </w:tcPr>
          <w:p>
            <w:pPr>
              <w:pStyle w:val="TableParagraph"/>
              <w:rPr>
                <w:b/>
                <w:sz w:val="20"/>
              </w:rPr>
            </w:pPr>
          </w:p>
          <w:p>
            <w:pPr>
              <w:pStyle w:val="TableParagraph"/>
              <w:spacing w:before="115"/>
              <w:rPr>
                <w:b/>
                <w:sz w:val="20"/>
              </w:rPr>
            </w:pPr>
          </w:p>
          <w:p>
            <w:pPr>
              <w:pStyle w:val="TableParagraph"/>
              <w:ind w:left="68" w:right="402"/>
              <w:jc w:val="both"/>
              <w:rPr>
                <w:sz w:val="20"/>
              </w:rPr>
            </w:pPr>
            <w:r>
              <w:rPr>
                <w:sz w:val="20"/>
              </w:rPr>
              <w:t>Cantidad</w:t>
            </w:r>
            <w:r>
              <w:rPr>
                <w:spacing w:val="-14"/>
                <w:sz w:val="20"/>
              </w:rPr>
              <w:t> </w:t>
            </w:r>
            <w:r>
              <w:rPr>
                <w:sz w:val="20"/>
              </w:rPr>
              <w:t>de acciones</w:t>
            </w:r>
            <w:r>
              <w:rPr>
                <w:spacing w:val="-14"/>
                <w:sz w:val="20"/>
              </w:rPr>
              <w:t> </w:t>
            </w:r>
            <w:r>
              <w:rPr>
                <w:sz w:val="20"/>
              </w:rPr>
              <w:t>de </w:t>
            </w:r>
            <w:r>
              <w:rPr>
                <w:spacing w:val="-2"/>
                <w:sz w:val="20"/>
              </w:rPr>
              <w:t>seguimiento ejecutadas</w:t>
            </w:r>
          </w:p>
        </w:tc>
        <w:tc>
          <w:tcPr>
            <w:tcW w:w="1417" w:type="dxa"/>
          </w:tcPr>
          <w:p>
            <w:pPr>
              <w:pStyle w:val="TableParagraph"/>
              <w:ind w:left="68" w:right="71"/>
              <w:rPr>
                <w:sz w:val="20"/>
              </w:rPr>
            </w:pPr>
            <w:r>
              <w:rPr>
                <w:spacing w:val="-2"/>
                <w:sz w:val="20"/>
              </w:rPr>
              <w:t>Oficios, correos, agendas, actas, </w:t>
            </w:r>
            <w:r>
              <w:rPr>
                <w:sz w:val="20"/>
              </w:rPr>
              <w:t>minutas,</w:t>
            </w:r>
            <w:r>
              <w:rPr>
                <w:spacing w:val="-14"/>
                <w:sz w:val="20"/>
              </w:rPr>
              <w:t> </w:t>
            </w:r>
            <w:r>
              <w:rPr>
                <w:sz w:val="20"/>
              </w:rPr>
              <w:t>listas de asistencia y otros</w:t>
            </w:r>
          </w:p>
          <w:p>
            <w:pPr>
              <w:pStyle w:val="TableParagraph"/>
              <w:spacing w:line="230" w:lineRule="atLeast"/>
              <w:ind w:left="68" w:right="249"/>
              <w:rPr>
                <w:sz w:val="20"/>
              </w:rPr>
            </w:pPr>
            <w:r>
              <w:rPr>
                <w:spacing w:val="-2"/>
                <w:sz w:val="20"/>
              </w:rPr>
              <w:t>documentos pertinentes.</w:t>
            </w:r>
          </w:p>
        </w:tc>
        <w:tc>
          <w:tcPr>
            <w:tcW w:w="1702" w:type="dxa"/>
          </w:tcPr>
          <w:p>
            <w:pPr>
              <w:pStyle w:val="TableParagraph"/>
              <w:rPr>
                <w:b/>
                <w:sz w:val="20"/>
              </w:rPr>
            </w:pPr>
          </w:p>
          <w:p>
            <w:pPr>
              <w:pStyle w:val="TableParagraph"/>
              <w:rPr>
                <w:b/>
                <w:sz w:val="20"/>
              </w:rPr>
            </w:pPr>
          </w:p>
          <w:p>
            <w:pPr>
              <w:pStyle w:val="TableParagraph"/>
              <w:rPr>
                <w:b/>
                <w:sz w:val="20"/>
              </w:rPr>
            </w:pPr>
          </w:p>
          <w:p>
            <w:pPr>
              <w:pStyle w:val="TableParagraph"/>
              <w:spacing w:before="1"/>
              <w:rPr>
                <w:b/>
                <w:sz w:val="20"/>
              </w:rPr>
            </w:pPr>
          </w:p>
          <w:p>
            <w:pPr>
              <w:pStyle w:val="TableParagraph"/>
              <w:jc w:val="center"/>
              <w:rPr>
                <w:sz w:val="20"/>
              </w:rPr>
            </w:pPr>
            <w:r>
              <w:rPr>
                <w:spacing w:val="-4"/>
                <w:sz w:val="20"/>
              </w:rPr>
              <w:t>UEIG</w:t>
            </w:r>
          </w:p>
        </w:tc>
        <w:tc>
          <w:tcPr>
            <w:tcW w:w="1957" w:type="dxa"/>
          </w:tcPr>
          <w:p>
            <w:pPr>
              <w:pStyle w:val="TableParagraph"/>
              <w:rPr>
                <w:b/>
                <w:sz w:val="20"/>
              </w:rPr>
            </w:pPr>
          </w:p>
          <w:p>
            <w:pPr>
              <w:pStyle w:val="TableParagraph"/>
              <w:rPr>
                <w:b/>
                <w:sz w:val="20"/>
              </w:rPr>
            </w:pPr>
          </w:p>
          <w:p>
            <w:pPr>
              <w:pStyle w:val="TableParagraph"/>
              <w:rPr>
                <w:b/>
                <w:sz w:val="20"/>
              </w:rPr>
            </w:pPr>
          </w:p>
          <w:p>
            <w:pPr>
              <w:pStyle w:val="TableParagraph"/>
              <w:spacing w:before="1"/>
              <w:rPr>
                <w:b/>
                <w:sz w:val="20"/>
              </w:rPr>
            </w:pPr>
          </w:p>
          <w:p>
            <w:pPr>
              <w:pStyle w:val="TableParagraph"/>
              <w:ind w:right="63"/>
              <w:jc w:val="right"/>
              <w:rPr>
                <w:sz w:val="20"/>
              </w:rPr>
            </w:pPr>
            <w:r>
              <w:rPr>
                <w:sz w:val="20"/>
              </w:rPr>
              <w:t>₡1</w:t>
            </w:r>
            <w:r>
              <w:rPr>
                <w:spacing w:val="-5"/>
                <w:sz w:val="20"/>
              </w:rPr>
              <w:t> </w:t>
            </w:r>
            <w:r>
              <w:rPr>
                <w:sz w:val="20"/>
              </w:rPr>
              <w:t>000</w:t>
            </w:r>
            <w:r>
              <w:rPr>
                <w:spacing w:val="-4"/>
                <w:sz w:val="20"/>
              </w:rPr>
              <w:t> </w:t>
            </w:r>
            <w:r>
              <w:rPr>
                <w:spacing w:val="-2"/>
                <w:sz w:val="20"/>
              </w:rPr>
              <w:t>000,00</w:t>
            </w:r>
          </w:p>
        </w:tc>
        <w:tc>
          <w:tcPr>
            <w:tcW w:w="1589" w:type="dxa"/>
          </w:tcPr>
          <w:p>
            <w:pPr>
              <w:pStyle w:val="TableParagraph"/>
              <w:spacing w:before="230"/>
              <w:ind w:left="66" w:right="150"/>
              <w:rPr>
                <w:sz w:val="20"/>
              </w:rPr>
            </w:pPr>
            <w:r>
              <w:rPr>
                <w:spacing w:val="-2"/>
                <w:sz w:val="20"/>
              </w:rPr>
              <w:t>Limitado </w:t>
            </w:r>
            <w:r>
              <w:rPr>
                <w:sz w:val="20"/>
              </w:rPr>
              <w:t>seguimiento</w:t>
            </w:r>
            <w:r>
              <w:rPr>
                <w:spacing w:val="-14"/>
                <w:sz w:val="20"/>
              </w:rPr>
              <w:t> </w:t>
            </w:r>
            <w:r>
              <w:rPr>
                <w:sz w:val="20"/>
              </w:rPr>
              <w:t>de la</w:t>
            </w:r>
            <w:r>
              <w:rPr>
                <w:spacing w:val="-10"/>
                <w:sz w:val="20"/>
              </w:rPr>
              <w:t> </w:t>
            </w:r>
            <w:r>
              <w:rPr>
                <w:sz w:val="20"/>
              </w:rPr>
              <w:t>ejecución</w:t>
            </w:r>
            <w:r>
              <w:rPr>
                <w:spacing w:val="-9"/>
                <w:sz w:val="20"/>
              </w:rPr>
              <w:t> </w:t>
            </w:r>
            <w:r>
              <w:rPr>
                <w:sz w:val="20"/>
              </w:rPr>
              <w:t>de las acciones vinculadas a PIEG y </w:t>
            </w:r>
            <w:r>
              <w:rPr>
                <w:spacing w:val="-2"/>
                <w:sz w:val="20"/>
              </w:rPr>
              <w:t>PLANOVI.</w:t>
            </w:r>
          </w:p>
        </w:tc>
      </w:tr>
      <w:tr>
        <w:trPr>
          <w:trHeight w:val="1610" w:hRule="atLeast"/>
        </w:trPr>
        <w:tc>
          <w:tcPr>
            <w:tcW w:w="3262" w:type="dxa"/>
          </w:tcPr>
          <w:p>
            <w:pPr>
              <w:pStyle w:val="TableParagraph"/>
              <w:ind w:left="69" w:right="135"/>
              <w:rPr>
                <w:sz w:val="20"/>
              </w:rPr>
            </w:pPr>
            <w:r>
              <w:rPr>
                <w:b/>
                <w:sz w:val="20"/>
              </w:rPr>
              <w:t>Actividad PAC 2.14.2</w:t>
            </w:r>
            <w:r>
              <w:rPr>
                <w:sz w:val="20"/>
              </w:rPr>
              <w:t>: Sensibilizar a las personas funcionarias y trabajadoras del IMAS sobre temas de derechos humanos</w:t>
            </w:r>
            <w:r>
              <w:rPr>
                <w:spacing w:val="-9"/>
                <w:sz w:val="20"/>
              </w:rPr>
              <w:t> </w:t>
            </w:r>
            <w:r>
              <w:rPr>
                <w:sz w:val="20"/>
              </w:rPr>
              <w:t>e</w:t>
            </w:r>
            <w:r>
              <w:rPr>
                <w:spacing w:val="-8"/>
                <w:sz w:val="20"/>
              </w:rPr>
              <w:t> </w:t>
            </w:r>
            <w:r>
              <w:rPr>
                <w:sz w:val="20"/>
              </w:rPr>
              <w:t>igualdad</w:t>
            </w:r>
            <w:r>
              <w:rPr>
                <w:spacing w:val="-10"/>
                <w:sz w:val="20"/>
              </w:rPr>
              <w:t> </w:t>
            </w:r>
            <w:r>
              <w:rPr>
                <w:sz w:val="20"/>
              </w:rPr>
              <w:t>y</w:t>
            </w:r>
            <w:r>
              <w:rPr>
                <w:spacing w:val="-9"/>
                <w:sz w:val="20"/>
              </w:rPr>
              <w:t> </w:t>
            </w:r>
            <w:r>
              <w:rPr>
                <w:sz w:val="20"/>
              </w:rPr>
              <w:t>equidad</w:t>
            </w:r>
            <w:r>
              <w:rPr>
                <w:spacing w:val="-8"/>
                <w:sz w:val="20"/>
              </w:rPr>
              <w:t> </w:t>
            </w:r>
            <w:r>
              <w:rPr>
                <w:sz w:val="20"/>
              </w:rPr>
              <w:t>de</w:t>
            </w:r>
          </w:p>
          <w:p>
            <w:pPr>
              <w:pStyle w:val="TableParagraph"/>
              <w:spacing w:line="230" w:lineRule="exact"/>
              <w:ind w:left="69"/>
              <w:rPr>
                <w:sz w:val="20"/>
              </w:rPr>
            </w:pPr>
            <w:r>
              <w:rPr>
                <w:sz w:val="20"/>
              </w:rPr>
              <w:t>género</w:t>
            </w:r>
            <w:r>
              <w:rPr>
                <w:spacing w:val="-14"/>
                <w:sz w:val="20"/>
              </w:rPr>
              <w:t> </w:t>
            </w:r>
            <w:r>
              <w:rPr>
                <w:sz w:val="20"/>
              </w:rPr>
              <w:t>contemplando</w:t>
            </w:r>
            <w:r>
              <w:rPr>
                <w:spacing w:val="-14"/>
                <w:sz w:val="20"/>
              </w:rPr>
              <w:t> </w:t>
            </w:r>
            <w:r>
              <w:rPr>
                <w:sz w:val="20"/>
              </w:rPr>
              <w:t>los</w:t>
            </w:r>
            <w:r>
              <w:rPr>
                <w:spacing w:val="-14"/>
                <w:sz w:val="20"/>
              </w:rPr>
              <w:t> </w:t>
            </w:r>
            <w:r>
              <w:rPr>
                <w:sz w:val="20"/>
              </w:rPr>
              <w:t>temas </w:t>
            </w:r>
            <w:r>
              <w:rPr>
                <w:spacing w:val="-2"/>
                <w:sz w:val="20"/>
              </w:rPr>
              <w:t>relacionados.</w:t>
            </w:r>
          </w:p>
        </w:tc>
        <w:tc>
          <w:tcPr>
            <w:tcW w:w="1417" w:type="dxa"/>
          </w:tcPr>
          <w:p>
            <w:pPr>
              <w:pStyle w:val="TableParagraph"/>
              <w:rPr>
                <w:b/>
                <w:sz w:val="20"/>
              </w:rPr>
            </w:pPr>
          </w:p>
          <w:p>
            <w:pPr>
              <w:pStyle w:val="TableParagraph"/>
              <w:rPr>
                <w:b/>
                <w:sz w:val="20"/>
              </w:rPr>
            </w:pPr>
          </w:p>
          <w:p>
            <w:pPr>
              <w:pStyle w:val="TableParagraph"/>
              <w:spacing w:before="1"/>
              <w:rPr>
                <w:b/>
                <w:sz w:val="20"/>
              </w:rPr>
            </w:pPr>
          </w:p>
          <w:p>
            <w:pPr>
              <w:pStyle w:val="TableParagraph"/>
              <w:ind w:left="8" w:right="5"/>
              <w:jc w:val="center"/>
              <w:rPr>
                <w:sz w:val="20"/>
              </w:rPr>
            </w:pPr>
            <w:r>
              <w:rPr>
                <w:spacing w:val="-5"/>
                <w:sz w:val="20"/>
              </w:rPr>
              <w:t>500</w:t>
            </w:r>
          </w:p>
        </w:tc>
        <w:tc>
          <w:tcPr>
            <w:tcW w:w="1419" w:type="dxa"/>
          </w:tcPr>
          <w:p>
            <w:pPr>
              <w:pStyle w:val="TableParagraph"/>
              <w:rPr>
                <w:b/>
                <w:sz w:val="20"/>
              </w:rPr>
            </w:pPr>
          </w:p>
          <w:p>
            <w:pPr>
              <w:pStyle w:val="TableParagraph"/>
              <w:rPr>
                <w:b/>
                <w:sz w:val="20"/>
              </w:rPr>
            </w:pPr>
          </w:p>
          <w:p>
            <w:pPr>
              <w:pStyle w:val="TableParagraph"/>
              <w:spacing w:before="1"/>
              <w:rPr>
                <w:b/>
                <w:sz w:val="20"/>
              </w:rPr>
            </w:pPr>
          </w:p>
          <w:p>
            <w:pPr>
              <w:pStyle w:val="TableParagraph"/>
              <w:ind w:left="6" w:right="6"/>
              <w:jc w:val="center"/>
              <w:rPr>
                <w:sz w:val="20"/>
              </w:rPr>
            </w:pPr>
            <w:r>
              <w:rPr>
                <w:spacing w:val="-5"/>
                <w:sz w:val="20"/>
              </w:rPr>
              <w:t>300</w:t>
            </w:r>
          </w:p>
        </w:tc>
        <w:tc>
          <w:tcPr>
            <w:tcW w:w="1558" w:type="dxa"/>
          </w:tcPr>
          <w:p>
            <w:pPr>
              <w:pStyle w:val="TableParagraph"/>
              <w:spacing w:before="230"/>
              <w:ind w:left="68"/>
              <w:rPr>
                <w:sz w:val="20"/>
              </w:rPr>
            </w:pPr>
            <w:r>
              <w:rPr>
                <w:sz w:val="20"/>
              </w:rPr>
              <w:t>Cantidad de </w:t>
            </w:r>
            <w:r>
              <w:rPr>
                <w:spacing w:val="-2"/>
                <w:sz w:val="20"/>
              </w:rPr>
              <w:t>personas </w:t>
            </w:r>
            <w:r>
              <w:rPr>
                <w:sz w:val="20"/>
              </w:rPr>
              <w:t>funcionarias</w:t>
            </w:r>
            <w:r>
              <w:rPr>
                <w:spacing w:val="-14"/>
                <w:sz w:val="20"/>
              </w:rPr>
              <w:t> </w:t>
            </w:r>
            <w:r>
              <w:rPr>
                <w:sz w:val="20"/>
              </w:rPr>
              <w:t>y </w:t>
            </w:r>
            <w:r>
              <w:rPr>
                <w:spacing w:val="-2"/>
                <w:sz w:val="20"/>
              </w:rPr>
              <w:t>trabajadoras sensibilizadas</w:t>
            </w:r>
          </w:p>
        </w:tc>
        <w:tc>
          <w:tcPr>
            <w:tcW w:w="1417" w:type="dxa"/>
          </w:tcPr>
          <w:p>
            <w:pPr>
              <w:pStyle w:val="TableParagraph"/>
              <w:spacing w:before="114"/>
              <w:ind w:left="68" w:right="99"/>
              <w:rPr>
                <w:sz w:val="20"/>
              </w:rPr>
            </w:pPr>
            <w:r>
              <w:rPr>
                <w:spacing w:val="-2"/>
                <w:sz w:val="20"/>
              </w:rPr>
              <w:t>Oficios, </w:t>
            </w:r>
            <w:r>
              <w:rPr>
                <w:sz w:val="20"/>
              </w:rPr>
              <w:t>correos,</w:t>
            </w:r>
            <w:r>
              <w:rPr>
                <w:spacing w:val="-14"/>
                <w:sz w:val="20"/>
              </w:rPr>
              <w:t> </w:t>
            </w:r>
            <w:r>
              <w:rPr>
                <w:sz w:val="20"/>
              </w:rPr>
              <w:t>listas de asistencia y otros </w:t>
            </w:r>
            <w:r>
              <w:rPr>
                <w:spacing w:val="-2"/>
                <w:sz w:val="20"/>
              </w:rPr>
              <w:t>documentos pertinentes.</w:t>
            </w:r>
          </w:p>
        </w:tc>
        <w:tc>
          <w:tcPr>
            <w:tcW w:w="1702" w:type="dxa"/>
          </w:tcPr>
          <w:p>
            <w:pPr>
              <w:pStyle w:val="TableParagraph"/>
              <w:rPr>
                <w:b/>
                <w:sz w:val="20"/>
              </w:rPr>
            </w:pPr>
          </w:p>
          <w:p>
            <w:pPr>
              <w:pStyle w:val="TableParagraph"/>
              <w:rPr>
                <w:b/>
                <w:sz w:val="20"/>
              </w:rPr>
            </w:pPr>
          </w:p>
          <w:p>
            <w:pPr>
              <w:pStyle w:val="TableParagraph"/>
              <w:spacing w:before="1"/>
              <w:rPr>
                <w:b/>
                <w:sz w:val="20"/>
              </w:rPr>
            </w:pPr>
          </w:p>
          <w:p>
            <w:pPr>
              <w:pStyle w:val="TableParagraph"/>
              <w:jc w:val="center"/>
              <w:rPr>
                <w:sz w:val="20"/>
              </w:rPr>
            </w:pPr>
            <w:r>
              <w:rPr>
                <w:spacing w:val="-4"/>
                <w:sz w:val="20"/>
              </w:rPr>
              <w:t>UEIG</w:t>
            </w:r>
          </w:p>
        </w:tc>
        <w:tc>
          <w:tcPr>
            <w:tcW w:w="1957" w:type="dxa"/>
          </w:tcPr>
          <w:p>
            <w:pPr>
              <w:pStyle w:val="TableParagraph"/>
              <w:rPr>
                <w:b/>
                <w:sz w:val="20"/>
              </w:rPr>
            </w:pPr>
          </w:p>
          <w:p>
            <w:pPr>
              <w:pStyle w:val="TableParagraph"/>
              <w:rPr>
                <w:b/>
                <w:sz w:val="20"/>
              </w:rPr>
            </w:pPr>
          </w:p>
          <w:p>
            <w:pPr>
              <w:pStyle w:val="TableParagraph"/>
              <w:spacing w:before="1"/>
              <w:rPr>
                <w:b/>
                <w:sz w:val="20"/>
              </w:rPr>
            </w:pPr>
          </w:p>
          <w:p>
            <w:pPr>
              <w:pStyle w:val="TableParagraph"/>
              <w:ind w:right="63"/>
              <w:jc w:val="right"/>
              <w:rPr>
                <w:sz w:val="20"/>
              </w:rPr>
            </w:pPr>
            <w:r>
              <w:rPr>
                <w:sz w:val="20"/>
              </w:rPr>
              <w:t>₡2</w:t>
            </w:r>
            <w:r>
              <w:rPr>
                <w:spacing w:val="-5"/>
                <w:sz w:val="20"/>
              </w:rPr>
              <w:t> </w:t>
            </w:r>
            <w:r>
              <w:rPr>
                <w:sz w:val="20"/>
              </w:rPr>
              <w:t>500</w:t>
            </w:r>
            <w:r>
              <w:rPr>
                <w:spacing w:val="-4"/>
                <w:sz w:val="20"/>
              </w:rPr>
              <w:t> </w:t>
            </w:r>
            <w:r>
              <w:rPr>
                <w:spacing w:val="-2"/>
                <w:sz w:val="20"/>
              </w:rPr>
              <w:t>000,00</w:t>
            </w:r>
          </w:p>
        </w:tc>
        <w:tc>
          <w:tcPr>
            <w:tcW w:w="1589" w:type="dxa"/>
          </w:tcPr>
          <w:p>
            <w:pPr>
              <w:pStyle w:val="TableParagraph"/>
              <w:ind w:left="66" w:right="150"/>
              <w:rPr>
                <w:sz w:val="20"/>
              </w:rPr>
            </w:pPr>
            <w:r>
              <w:rPr>
                <w:sz w:val="20"/>
              </w:rPr>
              <w:t>Falta</w:t>
            </w:r>
            <w:r>
              <w:rPr>
                <w:spacing w:val="-3"/>
                <w:sz w:val="20"/>
              </w:rPr>
              <w:t> </w:t>
            </w:r>
            <w:r>
              <w:rPr>
                <w:sz w:val="20"/>
              </w:rPr>
              <w:t>de</w:t>
            </w:r>
            <w:r>
              <w:rPr>
                <w:spacing w:val="-4"/>
                <w:sz w:val="20"/>
              </w:rPr>
              <w:t> </w:t>
            </w:r>
            <w:r>
              <w:rPr>
                <w:sz w:val="20"/>
              </w:rPr>
              <w:t>apoyo de</w:t>
            </w:r>
            <w:r>
              <w:rPr>
                <w:spacing w:val="-14"/>
                <w:sz w:val="20"/>
              </w:rPr>
              <w:t> </w:t>
            </w:r>
            <w:r>
              <w:rPr>
                <w:sz w:val="20"/>
              </w:rPr>
              <w:t>las</w:t>
            </w:r>
            <w:r>
              <w:rPr>
                <w:spacing w:val="-14"/>
                <w:sz w:val="20"/>
              </w:rPr>
              <w:t> </w:t>
            </w:r>
            <w:r>
              <w:rPr>
                <w:sz w:val="20"/>
              </w:rPr>
              <w:t>jefaturas para la asistencia del personal a las</w:t>
            </w:r>
          </w:p>
          <w:p>
            <w:pPr>
              <w:pStyle w:val="TableParagraph"/>
              <w:spacing w:line="230" w:lineRule="exact"/>
              <w:ind w:left="66" w:right="150"/>
              <w:rPr>
                <w:sz w:val="20"/>
              </w:rPr>
            </w:pPr>
            <w:r>
              <w:rPr>
                <w:sz w:val="20"/>
              </w:rPr>
              <w:t>actividades de </w:t>
            </w:r>
            <w:r>
              <w:rPr>
                <w:spacing w:val="-2"/>
                <w:sz w:val="20"/>
              </w:rPr>
              <w:t>sensibilización.</w:t>
            </w:r>
          </w:p>
        </w:tc>
      </w:tr>
      <w:tr>
        <w:trPr>
          <w:trHeight w:val="750" w:hRule="atLeast"/>
        </w:trPr>
        <w:tc>
          <w:tcPr>
            <w:tcW w:w="14321" w:type="dxa"/>
            <w:gridSpan w:val="8"/>
            <w:shd w:val="clear" w:color="auto" w:fill="D5DCE3"/>
          </w:tcPr>
          <w:p>
            <w:pPr>
              <w:pStyle w:val="TableParagraph"/>
              <w:spacing w:before="28"/>
              <w:rPr>
                <w:b/>
                <w:sz w:val="20"/>
              </w:rPr>
            </w:pPr>
          </w:p>
          <w:p>
            <w:pPr>
              <w:pStyle w:val="TableParagraph"/>
              <w:ind w:left="69"/>
              <w:rPr>
                <w:b/>
                <w:sz w:val="20"/>
              </w:rPr>
            </w:pPr>
            <w:r>
              <w:rPr>
                <w:b/>
                <w:sz w:val="20"/>
              </w:rPr>
              <w:t>Producto</w:t>
            </w:r>
            <w:r>
              <w:rPr>
                <w:b/>
                <w:spacing w:val="-7"/>
                <w:sz w:val="20"/>
              </w:rPr>
              <w:t> </w:t>
            </w:r>
            <w:r>
              <w:rPr>
                <w:b/>
                <w:sz w:val="20"/>
              </w:rPr>
              <w:t>PAC</w:t>
            </w:r>
            <w:r>
              <w:rPr>
                <w:b/>
                <w:spacing w:val="-7"/>
                <w:sz w:val="20"/>
              </w:rPr>
              <w:t> </w:t>
            </w:r>
            <w:r>
              <w:rPr>
                <w:b/>
                <w:sz w:val="20"/>
              </w:rPr>
              <w:t>2.15:</w:t>
            </w:r>
            <w:r>
              <w:rPr>
                <w:b/>
                <w:spacing w:val="45"/>
                <w:sz w:val="20"/>
              </w:rPr>
              <w:t> </w:t>
            </w:r>
            <w:r>
              <w:rPr>
                <w:b/>
                <w:sz w:val="20"/>
              </w:rPr>
              <w:t>Política</w:t>
            </w:r>
            <w:r>
              <w:rPr>
                <w:b/>
                <w:spacing w:val="-8"/>
                <w:sz w:val="20"/>
              </w:rPr>
              <w:t> </w:t>
            </w:r>
            <w:r>
              <w:rPr>
                <w:b/>
                <w:sz w:val="20"/>
              </w:rPr>
              <w:t>Igualdad</w:t>
            </w:r>
            <w:r>
              <w:rPr>
                <w:b/>
                <w:spacing w:val="-7"/>
                <w:sz w:val="20"/>
              </w:rPr>
              <w:t> </w:t>
            </w:r>
            <w:r>
              <w:rPr>
                <w:b/>
                <w:sz w:val="20"/>
              </w:rPr>
              <w:t>de</w:t>
            </w:r>
            <w:r>
              <w:rPr>
                <w:b/>
                <w:spacing w:val="-7"/>
                <w:sz w:val="20"/>
              </w:rPr>
              <w:t> </w:t>
            </w:r>
            <w:r>
              <w:rPr>
                <w:b/>
                <w:sz w:val="20"/>
              </w:rPr>
              <w:t>Género</w:t>
            </w:r>
            <w:r>
              <w:rPr>
                <w:b/>
                <w:spacing w:val="-6"/>
                <w:sz w:val="20"/>
              </w:rPr>
              <w:t> </w:t>
            </w:r>
            <w:r>
              <w:rPr>
                <w:b/>
                <w:sz w:val="20"/>
              </w:rPr>
              <w:t>con</w:t>
            </w:r>
            <w:r>
              <w:rPr>
                <w:b/>
                <w:spacing w:val="-6"/>
                <w:sz w:val="20"/>
              </w:rPr>
              <w:t> </w:t>
            </w:r>
            <w:r>
              <w:rPr>
                <w:b/>
                <w:sz w:val="20"/>
              </w:rPr>
              <w:t>Enfoque</w:t>
            </w:r>
            <w:r>
              <w:rPr>
                <w:b/>
                <w:spacing w:val="-7"/>
                <w:sz w:val="20"/>
              </w:rPr>
              <w:t> </w:t>
            </w:r>
            <w:r>
              <w:rPr>
                <w:b/>
                <w:sz w:val="20"/>
              </w:rPr>
              <w:t>Interseccional</w:t>
            </w:r>
            <w:r>
              <w:rPr>
                <w:b/>
                <w:spacing w:val="-7"/>
                <w:sz w:val="20"/>
              </w:rPr>
              <w:t> </w:t>
            </w:r>
            <w:r>
              <w:rPr>
                <w:b/>
                <w:sz w:val="20"/>
              </w:rPr>
              <w:t>del</w:t>
            </w:r>
            <w:r>
              <w:rPr>
                <w:b/>
                <w:spacing w:val="-7"/>
                <w:sz w:val="20"/>
              </w:rPr>
              <w:t> </w:t>
            </w:r>
            <w:r>
              <w:rPr>
                <w:b/>
                <w:sz w:val="20"/>
              </w:rPr>
              <w:t>IMAS</w:t>
            </w:r>
            <w:r>
              <w:rPr>
                <w:b/>
                <w:spacing w:val="-5"/>
                <w:sz w:val="20"/>
              </w:rPr>
              <w:t> </w:t>
            </w:r>
            <w:r>
              <w:rPr>
                <w:b/>
                <w:sz w:val="20"/>
              </w:rPr>
              <w:t>implementada</w:t>
            </w:r>
            <w:r>
              <w:rPr>
                <w:b/>
                <w:spacing w:val="-5"/>
                <w:sz w:val="20"/>
              </w:rPr>
              <w:t> </w:t>
            </w:r>
            <w:r>
              <w:rPr>
                <w:b/>
                <w:sz w:val="20"/>
              </w:rPr>
              <w:t>eficientemente</w:t>
            </w:r>
            <w:r>
              <w:rPr>
                <w:b/>
                <w:spacing w:val="-7"/>
                <w:sz w:val="20"/>
              </w:rPr>
              <w:t> </w:t>
            </w:r>
            <w:r>
              <w:rPr>
                <w:b/>
                <w:sz w:val="20"/>
              </w:rPr>
              <w:t>con</w:t>
            </w:r>
            <w:r>
              <w:rPr>
                <w:b/>
                <w:spacing w:val="-6"/>
                <w:sz w:val="20"/>
              </w:rPr>
              <w:t> </w:t>
            </w:r>
            <w:r>
              <w:rPr>
                <w:b/>
                <w:sz w:val="20"/>
              </w:rPr>
              <w:t>una</w:t>
            </w:r>
            <w:r>
              <w:rPr>
                <w:b/>
                <w:spacing w:val="-5"/>
                <w:sz w:val="20"/>
              </w:rPr>
              <w:t> </w:t>
            </w:r>
            <w:r>
              <w:rPr>
                <w:b/>
                <w:sz w:val="20"/>
              </w:rPr>
              <w:t>asesoría</w:t>
            </w:r>
            <w:r>
              <w:rPr>
                <w:b/>
                <w:spacing w:val="-8"/>
                <w:sz w:val="20"/>
              </w:rPr>
              <w:t> </w:t>
            </w:r>
            <w:r>
              <w:rPr>
                <w:b/>
                <w:spacing w:val="-2"/>
                <w:sz w:val="20"/>
              </w:rPr>
              <w:t>oportuna.</w:t>
            </w:r>
          </w:p>
        </w:tc>
      </w:tr>
    </w:tbl>
    <w:p>
      <w:pPr>
        <w:pStyle w:val="TableParagraph"/>
        <w:spacing w:after="0"/>
        <w:rPr>
          <w:b/>
          <w:sz w:val="20"/>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62"/>
        <w:gridCol w:w="1417"/>
        <w:gridCol w:w="1419"/>
        <w:gridCol w:w="1558"/>
        <w:gridCol w:w="1417"/>
        <w:gridCol w:w="1702"/>
        <w:gridCol w:w="1957"/>
        <w:gridCol w:w="1589"/>
      </w:tblGrid>
      <w:tr>
        <w:trPr>
          <w:trHeight w:val="3221" w:hRule="atLeast"/>
        </w:trPr>
        <w:tc>
          <w:tcPr>
            <w:tcW w:w="3262" w:type="dxa"/>
          </w:tcPr>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p>
            <w:pPr>
              <w:pStyle w:val="TableParagraph"/>
              <w:ind w:left="69"/>
              <w:rPr>
                <w:sz w:val="20"/>
              </w:rPr>
            </w:pPr>
            <w:r>
              <w:rPr>
                <w:b/>
                <w:sz w:val="20"/>
              </w:rPr>
              <w:t>Actividad PAC 2.15.1:</w:t>
            </w:r>
            <w:r>
              <w:rPr>
                <w:b/>
                <w:spacing w:val="40"/>
                <w:sz w:val="20"/>
              </w:rPr>
              <w:t> </w:t>
            </w:r>
            <w:r>
              <w:rPr>
                <w:sz w:val="20"/>
              </w:rPr>
              <w:t>Dar cumplimiento a las metas de la UEIG</w:t>
            </w:r>
            <w:r>
              <w:rPr>
                <w:spacing w:val="-7"/>
                <w:sz w:val="20"/>
              </w:rPr>
              <w:t> </w:t>
            </w:r>
            <w:r>
              <w:rPr>
                <w:sz w:val="20"/>
              </w:rPr>
              <w:t>en</w:t>
            </w:r>
            <w:r>
              <w:rPr>
                <w:spacing w:val="-8"/>
                <w:sz w:val="20"/>
              </w:rPr>
              <w:t> </w:t>
            </w:r>
            <w:r>
              <w:rPr>
                <w:sz w:val="20"/>
              </w:rPr>
              <w:t>el</w:t>
            </w:r>
            <w:r>
              <w:rPr>
                <w:spacing w:val="-9"/>
                <w:sz w:val="20"/>
              </w:rPr>
              <w:t> </w:t>
            </w:r>
            <w:r>
              <w:rPr>
                <w:sz w:val="20"/>
              </w:rPr>
              <w:t>plan</w:t>
            </w:r>
            <w:r>
              <w:rPr>
                <w:spacing w:val="-7"/>
                <w:sz w:val="20"/>
              </w:rPr>
              <w:t> </w:t>
            </w:r>
            <w:r>
              <w:rPr>
                <w:sz w:val="20"/>
              </w:rPr>
              <w:t>quinquenal</w:t>
            </w:r>
            <w:r>
              <w:rPr>
                <w:spacing w:val="-7"/>
                <w:sz w:val="20"/>
              </w:rPr>
              <w:t> </w:t>
            </w:r>
            <w:r>
              <w:rPr>
                <w:sz w:val="20"/>
              </w:rPr>
              <w:t>de</w:t>
            </w:r>
            <w:r>
              <w:rPr>
                <w:spacing w:val="-7"/>
                <w:sz w:val="20"/>
              </w:rPr>
              <w:t> </w:t>
            </w:r>
            <w:r>
              <w:rPr>
                <w:sz w:val="20"/>
              </w:rPr>
              <w:t>la PIGI IMAS.</w:t>
            </w:r>
          </w:p>
        </w:tc>
        <w:tc>
          <w:tcPr>
            <w:tcW w:w="1417"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ind w:left="8"/>
              <w:jc w:val="center"/>
              <w:rPr>
                <w:sz w:val="20"/>
              </w:rPr>
            </w:pPr>
            <w:r>
              <w:rPr>
                <w:spacing w:val="-10"/>
                <w:sz w:val="20"/>
              </w:rPr>
              <w:t>1</w:t>
            </w:r>
          </w:p>
        </w:tc>
        <w:tc>
          <w:tcPr>
            <w:tcW w:w="1419"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ind w:left="6"/>
              <w:jc w:val="center"/>
              <w:rPr>
                <w:sz w:val="20"/>
              </w:rPr>
            </w:pPr>
            <w:r>
              <w:rPr>
                <w:spacing w:val="-10"/>
                <w:sz w:val="20"/>
              </w:rPr>
              <w:t>1</w:t>
            </w:r>
          </w:p>
        </w:tc>
        <w:tc>
          <w:tcPr>
            <w:tcW w:w="1558" w:type="dxa"/>
          </w:tcPr>
          <w:p>
            <w:pPr>
              <w:pStyle w:val="TableParagraph"/>
              <w:rPr>
                <w:b/>
                <w:sz w:val="20"/>
              </w:rPr>
            </w:pPr>
          </w:p>
          <w:p>
            <w:pPr>
              <w:pStyle w:val="TableParagraph"/>
              <w:rPr>
                <w:b/>
                <w:sz w:val="20"/>
              </w:rPr>
            </w:pPr>
          </w:p>
          <w:p>
            <w:pPr>
              <w:pStyle w:val="TableParagraph"/>
              <w:rPr>
                <w:b/>
                <w:sz w:val="20"/>
              </w:rPr>
            </w:pPr>
          </w:p>
          <w:p>
            <w:pPr>
              <w:pStyle w:val="TableParagraph"/>
              <w:spacing w:before="113"/>
              <w:rPr>
                <w:b/>
                <w:sz w:val="20"/>
              </w:rPr>
            </w:pPr>
          </w:p>
          <w:p>
            <w:pPr>
              <w:pStyle w:val="TableParagraph"/>
              <w:spacing w:before="1"/>
              <w:ind w:left="68" w:right="261"/>
              <w:rPr>
                <w:sz w:val="20"/>
              </w:rPr>
            </w:pPr>
            <w:r>
              <w:rPr>
                <w:sz w:val="20"/>
              </w:rPr>
              <w:t>Cantidad de acciones de </w:t>
            </w:r>
            <w:r>
              <w:rPr>
                <w:spacing w:val="-2"/>
                <w:sz w:val="20"/>
              </w:rPr>
              <w:t>cumplimiento </w:t>
            </w:r>
            <w:r>
              <w:rPr>
                <w:sz w:val="20"/>
              </w:rPr>
              <w:t>de metas </w:t>
            </w:r>
            <w:r>
              <w:rPr>
                <w:spacing w:val="-2"/>
                <w:sz w:val="20"/>
              </w:rPr>
              <w:t>realizadas.</w:t>
            </w:r>
          </w:p>
        </w:tc>
        <w:tc>
          <w:tcPr>
            <w:tcW w:w="1417" w:type="dxa"/>
          </w:tcPr>
          <w:p>
            <w:pPr>
              <w:pStyle w:val="TableParagraph"/>
              <w:rPr>
                <w:b/>
                <w:sz w:val="20"/>
              </w:rPr>
            </w:pPr>
          </w:p>
          <w:p>
            <w:pPr>
              <w:pStyle w:val="TableParagraph"/>
              <w:rPr>
                <w:b/>
                <w:sz w:val="20"/>
              </w:rPr>
            </w:pPr>
          </w:p>
          <w:p>
            <w:pPr>
              <w:pStyle w:val="TableParagraph"/>
              <w:spacing w:before="228"/>
              <w:rPr>
                <w:b/>
                <w:sz w:val="20"/>
              </w:rPr>
            </w:pPr>
          </w:p>
          <w:p>
            <w:pPr>
              <w:pStyle w:val="TableParagraph"/>
              <w:ind w:left="68" w:right="249"/>
              <w:rPr>
                <w:sz w:val="20"/>
              </w:rPr>
            </w:pPr>
            <w:r>
              <w:rPr>
                <w:spacing w:val="-2"/>
                <w:sz w:val="20"/>
              </w:rPr>
              <w:t>Oficios, correos, </w:t>
            </w:r>
            <w:r>
              <w:rPr>
                <w:sz w:val="20"/>
              </w:rPr>
              <w:t>informes y </w:t>
            </w:r>
            <w:r>
              <w:rPr>
                <w:spacing w:val="-2"/>
                <w:sz w:val="20"/>
              </w:rPr>
              <w:t>otros documentos pertinentes.</w:t>
            </w:r>
          </w:p>
        </w:tc>
        <w:tc>
          <w:tcPr>
            <w:tcW w:w="1702"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jc w:val="center"/>
              <w:rPr>
                <w:sz w:val="20"/>
              </w:rPr>
            </w:pPr>
            <w:r>
              <w:rPr>
                <w:spacing w:val="-4"/>
                <w:sz w:val="20"/>
              </w:rPr>
              <w:t>UEIG</w:t>
            </w:r>
          </w:p>
        </w:tc>
        <w:tc>
          <w:tcPr>
            <w:tcW w:w="1957"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ind w:left="571"/>
              <w:rPr>
                <w:sz w:val="20"/>
              </w:rPr>
            </w:pPr>
            <w:r>
              <w:rPr>
                <w:sz w:val="20"/>
              </w:rPr>
              <w:t>₡2</w:t>
            </w:r>
            <w:r>
              <w:rPr>
                <w:spacing w:val="-5"/>
                <w:sz w:val="20"/>
              </w:rPr>
              <w:t> </w:t>
            </w:r>
            <w:r>
              <w:rPr>
                <w:sz w:val="20"/>
              </w:rPr>
              <w:t>000</w:t>
            </w:r>
            <w:r>
              <w:rPr>
                <w:spacing w:val="-4"/>
                <w:sz w:val="20"/>
              </w:rPr>
              <w:t> </w:t>
            </w:r>
            <w:r>
              <w:rPr>
                <w:spacing w:val="-2"/>
                <w:sz w:val="20"/>
              </w:rPr>
              <w:t>000,00</w:t>
            </w:r>
          </w:p>
        </w:tc>
        <w:tc>
          <w:tcPr>
            <w:tcW w:w="1589" w:type="dxa"/>
          </w:tcPr>
          <w:p>
            <w:pPr>
              <w:pStyle w:val="TableParagraph"/>
              <w:ind w:left="66" w:right="77"/>
              <w:rPr>
                <w:sz w:val="20"/>
              </w:rPr>
            </w:pPr>
            <w:r>
              <w:rPr>
                <w:sz w:val="20"/>
              </w:rPr>
              <w:t>No contar con </w:t>
            </w:r>
            <w:r>
              <w:rPr>
                <w:spacing w:val="-2"/>
                <w:sz w:val="20"/>
              </w:rPr>
              <w:t>suficiente presupuesto </w:t>
            </w:r>
            <w:r>
              <w:rPr>
                <w:sz w:val="20"/>
              </w:rPr>
              <w:t>para hacer la contratación de los servicios </w:t>
            </w:r>
            <w:r>
              <w:rPr>
                <w:spacing w:val="-2"/>
                <w:sz w:val="20"/>
              </w:rPr>
              <w:t>profesionales </w:t>
            </w:r>
            <w:r>
              <w:rPr>
                <w:sz w:val="20"/>
              </w:rPr>
              <w:t>requeridos</w:t>
            </w:r>
            <w:r>
              <w:rPr>
                <w:spacing w:val="-14"/>
                <w:sz w:val="20"/>
              </w:rPr>
              <w:t> </w:t>
            </w:r>
            <w:r>
              <w:rPr>
                <w:sz w:val="20"/>
              </w:rPr>
              <w:t>para </w:t>
            </w:r>
            <w:r>
              <w:rPr>
                <w:spacing w:val="-4"/>
                <w:sz w:val="20"/>
              </w:rPr>
              <w:t>dar </w:t>
            </w:r>
            <w:r>
              <w:rPr>
                <w:sz w:val="20"/>
              </w:rPr>
              <w:t>cumplimiento a las metas de la UEIG</w:t>
            </w:r>
            <w:r>
              <w:rPr>
                <w:spacing w:val="-13"/>
                <w:sz w:val="20"/>
              </w:rPr>
              <w:t> </w:t>
            </w:r>
            <w:r>
              <w:rPr>
                <w:sz w:val="20"/>
              </w:rPr>
              <w:t>en</w:t>
            </w:r>
            <w:r>
              <w:rPr>
                <w:spacing w:val="-14"/>
                <w:sz w:val="20"/>
              </w:rPr>
              <w:t> </w:t>
            </w:r>
            <w:r>
              <w:rPr>
                <w:sz w:val="20"/>
              </w:rPr>
              <w:t>el</w:t>
            </w:r>
            <w:r>
              <w:rPr>
                <w:spacing w:val="-14"/>
                <w:sz w:val="20"/>
              </w:rPr>
              <w:t> </w:t>
            </w:r>
            <w:r>
              <w:rPr>
                <w:sz w:val="20"/>
              </w:rPr>
              <w:t>plan</w:t>
            </w:r>
          </w:p>
          <w:p>
            <w:pPr>
              <w:pStyle w:val="TableParagraph"/>
              <w:spacing w:line="230" w:lineRule="atLeast"/>
              <w:ind w:left="66" w:right="250"/>
              <w:rPr>
                <w:sz w:val="20"/>
              </w:rPr>
            </w:pPr>
            <w:r>
              <w:rPr>
                <w:sz w:val="20"/>
              </w:rPr>
              <w:t>quinquenal</w:t>
            </w:r>
            <w:r>
              <w:rPr>
                <w:spacing w:val="-14"/>
                <w:sz w:val="20"/>
              </w:rPr>
              <w:t> </w:t>
            </w:r>
            <w:r>
              <w:rPr>
                <w:sz w:val="20"/>
              </w:rPr>
              <w:t>de la</w:t>
            </w:r>
            <w:r>
              <w:rPr>
                <w:spacing w:val="-4"/>
                <w:sz w:val="20"/>
              </w:rPr>
              <w:t> </w:t>
            </w:r>
            <w:r>
              <w:rPr>
                <w:sz w:val="20"/>
              </w:rPr>
              <w:t>PIGI</w:t>
            </w:r>
            <w:r>
              <w:rPr>
                <w:spacing w:val="-5"/>
                <w:sz w:val="20"/>
              </w:rPr>
              <w:t> </w:t>
            </w:r>
            <w:r>
              <w:rPr>
                <w:spacing w:val="-2"/>
                <w:sz w:val="20"/>
              </w:rPr>
              <w:t>IMAS.</w:t>
            </w:r>
          </w:p>
        </w:tc>
      </w:tr>
    </w:tbl>
    <w:p>
      <w:pPr>
        <w:pStyle w:val="TableParagraph"/>
        <w:spacing w:after="0" w:line="230" w:lineRule="atLeast"/>
        <w:rPr>
          <w:sz w:val="20"/>
        </w:rPr>
        <w:sectPr>
          <w:pgSz w:w="15840" w:h="12240" w:orient="landscape"/>
          <w:pgMar w:header="0" w:footer="1530" w:top="1380" w:bottom="2040" w:left="360" w:right="360"/>
        </w:sectPr>
      </w:pPr>
    </w:p>
    <w:p>
      <w:pPr>
        <w:pStyle w:val="Heading3"/>
        <w:numPr>
          <w:ilvl w:val="1"/>
          <w:numId w:val="5"/>
        </w:numPr>
        <w:tabs>
          <w:tab w:pos="2320" w:val="left" w:leader="none"/>
        </w:tabs>
        <w:spacing w:line="240" w:lineRule="auto" w:before="181" w:after="0"/>
        <w:ind w:left="2320" w:right="0" w:hanging="400"/>
        <w:jc w:val="left"/>
      </w:pPr>
      <w:bookmarkStart w:name="_bookmark74" w:id="75"/>
      <w:bookmarkEnd w:id="75"/>
      <w:r>
        <w:rPr>
          <w:b w:val="0"/>
        </w:rPr>
      </w:r>
      <w:r>
        <w:rPr/>
        <w:t>Matriz</w:t>
      </w:r>
      <w:r>
        <w:rPr>
          <w:spacing w:val="-8"/>
        </w:rPr>
        <w:t> </w:t>
      </w:r>
      <w:r>
        <w:rPr/>
        <w:t>de</w:t>
      </w:r>
      <w:r>
        <w:rPr>
          <w:spacing w:val="-6"/>
        </w:rPr>
        <w:t> </w:t>
      </w:r>
      <w:r>
        <w:rPr/>
        <w:t>Trimestralización</w:t>
      </w:r>
      <w:r>
        <w:rPr>
          <w:spacing w:val="-6"/>
        </w:rPr>
        <w:t> </w:t>
      </w:r>
      <w:r>
        <w:rPr/>
        <w:t>del</w:t>
      </w:r>
      <w:r>
        <w:rPr>
          <w:spacing w:val="-6"/>
        </w:rPr>
        <w:t> </w:t>
      </w:r>
      <w:r>
        <w:rPr/>
        <w:t>Programa</w:t>
      </w:r>
      <w:r>
        <w:rPr>
          <w:spacing w:val="-6"/>
        </w:rPr>
        <w:t> </w:t>
      </w:r>
      <w:r>
        <w:rPr/>
        <w:t>Actividades</w:t>
      </w:r>
      <w:r>
        <w:rPr>
          <w:spacing w:val="-6"/>
        </w:rPr>
        <w:t> </w:t>
      </w:r>
      <w:r>
        <w:rPr>
          <w:spacing w:val="-2"/>
        </w:rPr>
        <w:t>Centrales</w:t>
      </w:r>
    </w:p>
    <w:p>
      <w:pPr>
        <w:pStyle w:val="BodyText"/>
        <w:spacing w:before="45"/>
        <w:rPr>
          <w:b/>
          <w:sz w:val="20"/>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1741"/>
        <w:gridCol w:w="1191"/>
        <w:gridCol w:w="1181"/>
        <w:gridCol w:w="1210"/>
        <w:gridCol w:w="1193"/>
        <w:gridCol w:w="1195"/>
        <w:gridCol w:w="1083"/>
        <w:gridCol w:w="1277"/>
        <w:gridCol w:w="1219"/>
      </w:tblGrid>
      <w:tr>
        <w:trPr>
          <w:trHeight w:val="510" w:hRule="atLeast"/>
        </w:trPr>
        <w:tc>
          <w:tcPr>
            <w:tcW w:w="2835" w:type="dxa"/>
            <w:vMerge w:val="restart"/>
            <w:shd w:val="clear" w:color="auto" w:fill="F1F1F1"/>
          </w:tcPr>
          <w:p>
            <w:pPr>
              <w:pStyle w:val="TableParagraph"/>
              <w:rPr>
                <w:b/>
                <w:sz w:val="18"/>
              </w:rPr>
            </w:pPr>
          </w:p>
          <w:p>
            <w:pPr>
              <w:pStyle w:val="TableParagraph"/>
              <w:rPr>
                <w:b/>
                <w:sz w:val="18"/>
              </w:rPr>
            </w:pPr>
          </w:p>
          <w:p>
            <w:pPr>
              <w:pStyle w:val="TableParagraph"/>
              <w:ind w:left="446"/>
              <w:rPr>
                <w:b/>
                <w:sz w:val="18"/>
              </w:rPr>
            </w:pPr>
            <w:r>
              <w:rPr>
                <w:b/>
                <w:sz w:val="18"/>
              </w:rPr>
              <w:t>Objetivos</w:t>
            </w:r>
            <w:r>
              <w:rPr>
                <w:b/>
                <w:spacing w:val="-4"/>
                <w:sz w:val="18"/>
              </w:rPr>
              <w:t> </w:t>
            </w:r>
            <w:r>
              <w:rPr>
                <w:b/>
                <w:sz w:val="18"/>
              </w:rPr>
              <w:t>/</w:t>
            </w:r>
            <w:r>
              <w:rPr>
                <w:b/>
                <w:spacing w:val="-2"/>
                <w:sz w:val="18"/>
              </w:rPr>
              <w:t> Resultados</w:t>
            </w:r>
          </w:p>
        </w:tc>
        <w:tc>
          <w:tcPr>
            <w:tcW w:w="1741" w:type="dxa"/>
            <w:vMerge w:val="restart"/>
            <w:shd w:val="clear" w:color="auto" w:fill="F1F1F1"/>
          </w:tcPr>
          <w:p>
            <w:pPr>
              <w:pStyle w:val="TableParagraph"/>
              <w:rPr>
                <w:b/>
                <w:sz w:val="18"/>
              </w:rPr>
            </w:pPr>
          </w:p>
          <w:p>
            <w:pPr>
              <w:pStyle w:val="TableParagraph"/>
              <w:rPr>
                <w:b/>
                <w:sz w:val="18"/>
              </w:rPr>
            </w:pPr>
          </w:p>
          <w:p>
            <w:pPr>
              <w:pStyle w:val="TableParagraph"/>
              <w:ind w:left="460"/>
              <w:rPr>
                <w:b/>
                <w:sz w:val="18"/>
              </w:rPr>
            </w:pPr>
            <w:r>
              <w:rPr>
                <w:b/>
                <w:spacing w:val="-2"/>
                <w:sz w:val="18"/>
              </w:rPr>
              <w:t>Indicador</w:t>
            </w:r>
          </w:p>
        </w:tc>
        <w:tc>
          <w:tcPr>
            <w:tcW w:w="2372" w:type="dxa"/>
            <w:gridSpan w:val="2"/>
            <w:shd w:val="clear" w:color="auto" w:fill="F1F1F1"/>
          </w:tcPr>
          <w:p>
            <w:pPr>
              <w:pStyle w:val="TableParagraph"/>
              <w:spacing w:before="150"/>
              <w:ind w:left="721"/>
              <w:rPr>
                <w:b/>
                <w:sz w:val="18"/>
              </w:rPr>
            </w:pPr>
            <w:r>
              <w:rPr>
                <w:b/>
                <w:sz w:val="18"/>
              </w:rPr>
              <w:t>I </w:t>
            </w:r>
            <w:r>
              <w:rPr>
                <w:b/>
                <w:spacing w:val="-2"/>
                <w:sz w:val="18"/>
              </w:rPr>
              <w:t>Trimestre</w:t>
            </w:r>
          </w:p>
        </w:tc>
        <w:tc>
          <w:tcPr>
            <w:tcW w:w="2403" w:type="dxa"/>
            <w:gridSpan w:val="2"/>
            <w:shd w:val="clear" w:color="auto" w:fill="F1F1F1"/>
          </w:tcPr>
          <w:p>
            <w:pPr>
              <w:pStyle w:val="TableParagraph"/>
              <w:spacing w:before="150"/>
              <w:ind w:left="713"/>
              <w:rPr>
                <w:b/>
                <w:sz w:val="18"/>
              </w:rPr>
            </w:pPr>
            <w:r>
              <w:rPr>
                <w:b/>
                <w:sz w:val="18"/>
              </w:rPr>
              <w:t>II </w:t>
            </w:r>
            <w:r>
              <w:rPr>
                <w:b/>
                <w:spacing w:val="-2"/>
                <w:sz w:val="18"/>
              </w:rPr>
              <w:t>Trimestre</w:t>
            </w:r>
          </w:p>
        </w:tc>
        <w:tc>
          <w:tcPr>
            <w:tcW w:w="2278" w:type="dxa"/>
            <w:gridSpan w:val="2"/>
            <w:shd w:val="clear" w:color="auto" w:fill="F1F1F1"/>
          </w:tcPr>
          <w:p>
            <w:pPr>
              <w:pStyle w:val="TableParagraph"/>
              <w:spacing w:before="150"/>
              <w:ind w:left="624"/>
              <w:rPr>
                <w:b/>
                <w:sz w:val="18"/>
              </w:rPr>
            </w:pPr>
            <w:r>
              <w:rPr>
                <w:b/>
                <w:sz w:val="18"/>
              </w:rPr>
              <w:t>III </w:t>
            </w:r>
            <w:r>
              <w:rPr>
                <w:b/>
                <w:spacing w:val="-2"/>
                <w:sz w:val="18"/>
              </w:rPr>
              <w:t>Trimestre</w:t>
            </w:r>
          </w:p>
        </w:tc>
        <w:tc>
          <w:tcPr>
            <w:tcW w:w="2496" w:type="dxa"/>
            <w:gridSpan w:val="2"/>
            <w:shd w:val="clear" w:color="auto" w:fill="F1F1F1"/>
          </w:tcPr>
          <w:p>
            <w:pPr>
              <w:pStyle w:val="TableParagraph"/>
              <w:spacing w:before="150"/>
              <w:ind w:left="725"/>
              <w:rPr>
                <w:b/>
                <w:sz w:val="18"/>
              </w:rPr>
            </w:pPr>
            <w:r>
              <w:rPr>
                <w:b/>
                <w:sz w:val="18"/>
              </w:rPr>
              <w:t>IV </w:t>
            </w:r>
            <w:r>
              <w:rPr>
                <w:b/>
                <w:spacing w:val="-2"/>
                <w:sz w:val="18"/>
              </w:rPr>
              <w:t>Trimestre</w:t>
            </w:r>
          </w:p>
        </w:tc>
      </w:tr>
      <w:tr>
        <w:trPr>
          <w:trHeight w:val="515" w:hRule="atLeast"/>
        </w:trPr>
        <w:tc>
          <w:tcPr>
            <w:tcW w:w="2835" w:type="dxa"/>
            <w:vMerge/>
            <w:tcBorders>
              <w:top w:val="nil"/>
            </w:tcBorders>
            <w:shd w:val="clear" w:color="auto" w:fill="F1F1F1"/>
          </w:tcPr>
          <w:p>
            <w:pPr>
              <w:rPr>
                <w:sz w:val="2"/>
                <w:szCs w:val="2"/>
              </w:rPr>
            </w:pPr>
          </w:p>
        </w:tc>
        <w:tc>
          <w:tcPr>
            <w:tcW w:w="1741" w:type="dxa"/>
            <w:vMerge/>
            <w:tcBorders>
              <w:top w:val="nil"/>
            </w:tcBorders>
            <w:shd w:val="clear" w:color="auto" w:fill="F1F1F1"/>
          </w:tcPr>
          <w:p>
            <w:pPr>
              <w:rPr>
                <w:sz w:val="2"/>
                <w:szCs w:val="2"/>
              </w:rPr>
            </w:pPr>
          </w:p>
        </w:tc>
        <w:tc>
          <w:tcPr>
            <w:tcW w:w="1191" w:type="dxa"/>
            <w:shd w:val="clear" w:color="auto" w:fill="F1F1F1"/>
          </w:tcPr>
          <w:p>
            <w:pPr>
              <w:pStyle w:val="TableParagraph"/>
              <w:spacing w:before="49"/>
              <w:ind w:left="71" w:right="67" w:firstLine="314"/>
              <w:rPr>
                <w:b/>
                <w:sz w:val="18"/>
              </w:rPr>
            </w:pPr>
            <w:r>
              <w:rPr>
                <w:b/>
                <w:spacing w:val="-4"/>
                <w:sz w:val="18"/>
              </w:rPr>
              <w:t>Meta </w:t>
            </w:r>
            <w:r>
              <w:rPr>
                <w:b/>
                <w:spacing w:val="-2"/>
                <w:sz w:val="18"/>
              </w:rPr>
              <w:t>programada</w:t>
            </w:r>
          </w:p>
        </w:tc>
        <w:tc>
          <w:tcPr>
            <w:tcW w:w="1181" w:type="dxa"/>
            <w:shd w:val="clear" w:color="auto" w:fill="F1F1F1"/>
          </w:tcPr>
          <w:p>
            <w:pPr>
              <w:pStyle w:val="TableParagraph"/>
              <w:spacing w:before="152"/>
              <w:ind w:left="5" w:right="4"/>
              <w:jc w:val="center"/>
              <w:rPr>
                <w:b/>
                <w:sz w:val="18"/>
              </w:rPr>
            </w:pPr>
            <w:r>
              <w:rPr>
                <w:b/>
                <w:spacing w:val="-10"/>
                <w:sz w:val="18"/>
              </w:rPr>
              <w:t>¢</w:t>
            </w:r>
          </w:p>
        </w:tc>
        <w:tc>
          <w:tcPr>
            <w:tcW w:w="1210" w:type="dxa"/>
            <w:shd w:val="clear" w:color="auto" w:fill="F1F1F1"/>
          </w:tcPr>
          <w:p>
            <w:pPr>
              <w:pStyle w:val="TableParagraph"/>
              <w:spacing w:before="49"/>
              <w:ind w:left="82" w:right="75" w:firstLine="312"/>
              <w:rPr>
                <w:b/>
                <w:sz w:val="18"/>
              </w:rPr>
            </w:pPr>
            <w:r>
              <w:rPr>
                <w:b/>
                <w:spacing w:val="-4"/>
                <w:sz w:val="18"/>
              </w:rPr>
              <w:t>Meta </w:t>
            </w:r>
            <w:r>
              <w:rPr>
                <w:b/>
                <w:spacing w:val="-2"/>
                <w:sz w:val="18"/>
              </w:rPr>
              <w:t>programada</w:t>
            </w:r>
          </w:p>
        </w:tc>
        <w:tc>
          <w:tcPr>
            <w:tcW w:w="1193" w:type="dxa"/>
            <w:shd w:val="clear" w:color="auto" w:fill="F1F1F1"/>
          </w:tcPr>
          <w:p>
            <w:pPr>
              <w:pStyle w:val="TableParagraph"/>
              <w:spacing w:before="152"/>
              <w:ind w:left="3"/>
              <w:jc w:val="center"/>
              <w:rPr>
                <w:b/>
                <w:sz w:val="18"/>
              </w:rPr>
            </w:pPr>
            <w:r>
              <w:rPr>
                <w:b/>
                <w:spacing w:val="-10"/>
                <w:sz w:val="18"/>
              </w:rPr>
              <w:t>¢</w:t>
            </w:r>
          </w:p>
        </w:tc>
        <w:tc>
          <w:tcPr>
            <w:tcW w:w="1195" w:type="dxa"/>
            <w:shd w:val="clear" w:color="auto" w:fill="F1F1F1"/>
          </w:tcPr>
          <w:p>
            <w:pPr>
              <w:pStyle w:val="TableParagraph"/>
              <w:spacing w:before="49"/>
              <w:ind w:left="72" w:right="69" w:firstLine="314"/>
              <w:rPr>
                <w:b/>
                <w:sz w:val="18"/>
              </w:rPr>
            </w:pPr>
            <w:r>
              <w:rPr>
                <w:b/>
                <w:spacing w:val="-4"/>
                <w:sz w:val="18"/>
              </w:rPr>
              <w:t>Meta </w:t>
            </w:r>
            <w:r>
              <w:rPr>
                <w:b/>
                <w:spacing w:val="-2"/>
                <w:sz w:val="18"/>
              </w:rPr>
              <w:t>programada</w:t>
            </w:r>
          </w:p>
        </w:tc>
        <w:tc>
          <w:tcPr>
            <w:tcW w:w="1083" w:type="dxa"/>
            <w:shd w:val="clear" w:color="auto" w:fill="F1F1F1"/>
          </w:tcPr>
          <w:p>
            <w:pPr>
              <w:pStyle w:val="TableParagraph"/>
              <w:spacing w:before="152"/>
              <w:ind w:left="3"/>
              <w:jc w:val="center"/>
              <w:rPr>
                <w:b/>
                <w:sz w:val="18"/>
              </w:rPr>
            </w:pPr>
            <w:r>
              <w:rPr>
                <w:b/>
                <w:spacing w:val="-10"/>
                <w:sz w:val="18"/>
              </w:rPr>
              <w:t>¢</w:t>
            </w:r>
          </w:p>
        </w:tc>
        <w:tc>
          <w:tcPr>
            <w:tcW w:w="1277" w:type="dxa"/>
            <w:shd w:val="clear" w:color="auto" w:fill="F1F1F1"/>
          </w:tcPr>
          <w:p>
            <w:pPr>
              <w:pStyle w:val="TableParagraph"/>
              <w:spacing w:before="49"/>
              <w:ind w:left="115" w:firstLine="314"/>
              <w:rPr>
                <w:b/>
                <w:sz w:val="18"/>
              </w:rPr>
            </w:pPr>
            <w:r>
              <w:rPr>
                <w:b/>
                <w:spacing w:val="-4"/>
                <w:sz w:val="18"/>
              </w:rPr>
              <w:t>Meta </w:t>
            </w:r>
            <w:r>
              <w:rPr>
                <w:b/>
                <w:spacing w:val="-2"/>
                <w:sz w:val="18"/>
              </w:rPr>
              <w:t>programada</w:t>
            </w:r>
          </w:p>
        </w:tc>
        <w:tc>
          <w:tcPr>
            <w:tcW w:w="1219" w:type="dxa"/>
            <w:shd w:val="clear" w:color="auto" w:fill="F1F1F1"/>
          </w:tcPr>
          <w:p>
            <w:pPr>
              <w:pStyle w:val="TableParagraph"/>
              <w:spacing w:before="152"/>
              <w:ind w:left="7" w:right="2"/>
              <w:jc w:val="center"/>
              <w:rPr>
                <w:b/>
                <w:sz w:val="18"/>
              </w:rPr>
            </w:pPr>
            <w:r>
              <w:rPr>
                <w:b/>
                <w:spacing w:val="-10"/>
                <w:sz w:val="18"/>
              </w:rPr>
              <w:t>¢</w:t>
            </w:r>
          </w:p>
        </w:tc>
      </w:tr>
      <w:tr>
        <w:trPr>
          <w:trHeight w:val="551" w:hRule="atLeast"/>
        </w:trPr>
        <w:tc>
          <w:tcPr>
            <w:tcW w:w="14125" w:type="dxa"/>
            <w:gridSpan w:val="10"/>
            <w:shd w:val="clear" w:color="auto" w:fill="F1F1F1"/>
          </w:tcPr>
          <w:p>
            <w:pPr>
              <w:pStyle w:val="TableParagraph"/>
              <w:spacing w:before="68"/>
              <w:ind w:left="69"/>
              <w:rPr>
                <w:b/>
                <w:sz w:val="18"/>
              </w:rPr>
            </w:pPr>
            <w:r>
              <w:rPr>
                <w:b/>
                <w:sz w:val="18"/>
              </w:rPr>
              <w:t>Efecto:</w:t>
            </w:r>
            <w:r>
              <w:rPr>
                <w:b/>
                <w:spacing w:val="-1"/>
                <w:sz w:val="18"/>
              </w:rPr>
              <w:t> </w:t>
            </w:r>
            <w:r>
              <w:rPr>
                <w:b/>
                <w:sz w:val="18"/>
              </w:rPr>
              <w:t>Efectiva</w:t>
            </w:r>
            <w:r>
              <w:rPr>
                <w:b/>
                <w:spacing w:val="-3"/>
                <w:sz w:val="18"/>
              </w:rPr>
              <w:t> </w:t>
            </w:r>
            <w:r>
              <w:rPr>
                <w:b/>
                <w:sz w:val="18"/>
              </w:rPr>
              <w:t>gestión</w:t>
            </w:r>
            <w:r>
              <w:rPr>
                <w:b/>
                <w:spacing w:val="-1"/>
                <w:sz w:val="18"/>
              </w:rPr>
              <w:t> </w:t>
            </w:r>
            <w:r>
              <w:rPr>
                <w:b/>
                <w:sz w:val="18"/>
              </w:rPr>
              <w:t>de</w:t>
            </w:r>
            <w:r>
              <w:rPr>
                <w:b/>
                <w:spacing w:val="-3"/>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583" w:hRule="atLeast"/>
        </w:trPr>
        <w:tc>
          <w:tcPr>
            <w:tcW w:w="14125" w:type="dxa"/>
            <w:gridSpan w:val="10"/>
            <w:shd w:val="clear" w:color="auto" w:fill="DBE4F0"/>
          </w:tcPr>
          <w:p>
            <w:pPr>
              <w:pStyle w:val="TableParagraph"/>
              <w:spacing w:before="186"/>
              <w:ind w:left="69"/>
              <w:rPr>
                <w:b/>
                <w:sz w:val="18"/>
              </w:rPr>
            </w:pPr>
            <w:r>
              <w:rPr>
                <w:b/>
                <w:sz w:val="18"/>
              </w:rPr>
              <w:t>Producto</w:t>
            </w:r>
            <w:r>
              <w:rPr>
                <w:b/>
                <w:spacing w:val="-6"/>
                <w:sz w:val="18"/>
              </w:rPr>
              <w:t> </w:t>
            </w:r>
            <w:r>
              <w:rPr>
                <w:b/>
                <w:sz w:val="18"/>
              </w:rPr>
              <w:t>PAC</w:t>
            </w:r>
            <w:r>
              <w:rPr>
                <w:b/>
                <w:spacing w:val="-4"/>
                <w:sz w:val="18"/>
              </w:rPr>
              <w:t> </w:t>
            </w:r>
            <w:r>
              <w:rPr>
                <w:b/>
                <w:sz w:val="18"/>
              </w:rPr>
              <w:t>2.1:</w:t>
            </w:r>
            <w:r>
              <w:rPr>
                <w:b/>
                <w:spacing w:val="-3"/>
                <w:sz w:val="18"/>
              </w:rPr>
              <w:t> </w:t>
            </w:r>
            <w:r>
              <w:rPr>
                <w:b/>
                <w:sz w:val="18"/>
              </w:rPr>
              <w:t>Gestionar</w:t>
            </w:r>
            <w:r>
              <w:rPr>
                <w:b/>
                <w:spacing w:val="-3"/>
                <w:sz w:val="18"/>
              </w:rPr>
              <w:t> </w:t>
            </w:r>
            <w:r>
              <w:rPr>
                <w:b/>
                <w:sz w:val="18"/>
              </w:rPr>
              <w:t>el</w:t>
            </w:r>
            <w:r>
              <w:rPr>
                <w:b/>
                <w:spacing w:val="-3"/>
                <w:sz w:val="18"/>
              </w:rPr>
              <w:t> </w:t>
            </w:r>
            <w:r>
              <w:rPr>
                <w:b/>
                <w:sz w:val="18"/>
              </w:rPr>
              <w:t>cumplimiento</w:t>
            </w:r>
            <w:r>
              <w:rPr>
                <w:b/>
                <w:spacing w:val="-3"/>
                <w:sz w:val="18"/>
              </w:rPr>
              <w:t> </w:t>
            </w:r>
            <w:r>
              <w:rPr>
                <w:b/>
                <w:sz w:val="18"/>
              </w:rPr>
              <w:t>de</w:t>
            </w:r>
            <w:r>
              <w:rPr>
                <w:b/>
                <w:spacing w:val="-3"/>
                <w:sz w:val="18"/>
              </w:rPr>
              <w:t> </w:t>
            </w:r>
            <w:r>
              <w:rPr>
                <w:b/>
                <w:sz w:val="18"/>
              </w:rPr>
              <w:t>los</w:t>
            </w:r>
            <w:r>
              <w:rPr>
                <w:b/>
                <w:spacing w:val="-5"/>
                <w:sz w:val="18"/>
              </w:rPr>
              <w:t> </w:t>
            </w:r>
            <w:r>
              <w:rPr>
                <w:b/>
                <w:sz w:val="18"/>
              </w:rPr>
              <w:t>requerimientos</w:t>
            </w:r>
            <w:r>
              <w:rPr>
                <w:b/>
                <w:spacing w:val="-3"/>
                <w:sz w:val="18"/>
              </w:rPr>
              <w:t> </w:t>
            </w:r>
            <w:r>
              <w:rPr>
                <w:b/>
                <w:sz w:val="18"/>
              </w:rPr>
              <w:t>de</w:t>
            </w:r>
            <w:r>
              <w:rPr>
                <w:b/>
                <w:spacing w:val="-5"/>
                <w:sz w:val="18"/>
              </w:rPr>
              <w:t> </w:t>
            </w:r>
            <w:r>
              <w:rPr>
                <w:b/>
                <w:sz w:val="18"/>
              </w:rPr>
              <w:t>instancias</w:t>
            </w:r>
            <w:r>
              <w:rPr>
                <w:b/>
                <w:spacing w:val="-3"/>
                <w:sz w:val="18"/>
              </w:rPr>
              <w:t> </w:t>
            </w:r>
            <w:r>
              <w:rPr>
                <w:b/>
                <w:sz w:val="18"/>
              </w:rPr>
              <w:t>internas</w:t>
            </w:r>
            <w:r>
              <w:rPr>
                <w:b/>
                <w:spacing w:val="-3"/>
                <w:sz w:val="18"/>
              </w:rPr>
              <w:t> </w:t>
            </w:r>
            <w:r>
              <w:rPr>
                <w:b/>
                <w:sz w:val="18"/>
              </w:rPr>
              <w:t>y/o</w:t>
            </w:r>
            <w:r>
              <w:rPr>
                <w:b/>
                <w:spacing w:val="-3"/>
                <w:sz w:val="18"/>
              </w:rPr>
              <w:t> </w:t>
            </w:r>
            <w:r>
              <w:rPr>
                <w:b/>
                <w:sz w:val="18"/>
              </w:rPr>
              <w:t>externas</w:t>
            </w:r>
            <w:r>
              <w:rPr>
                <w:b/>
                <w:spacing w:val="-5"/>
                <w:sz w:val="18"/>
              </w:rPr>
              <w:t> </w:t>
            </w:r>
            <w:r>
              <w:rPr>
                <w:b/>
                <w:sz w:val="18"/>
              </w:rPr>
              <w:t>en</w:t>
            </w:r>
            <w:r>
              <w:rPr>
                <w:b/>
                <w:spacing w:val="-3"/>
                <w:sz w:val="18"/>
              </w:rPr>
              <w:t> </w:t>
            </w:r>
            <w:r>
              <w:rPr>
                <w:b/>
                <w:sz w:val="18"/>
              </w:rPr>
              <w:t>temas</w:t>
            </w:r>
            <w:r>
              <w:rPr>
                <w:b/>
                <w:spacing w:val="-3"/>
                <w:sz w:val="18"/>
              </w:rPr>
              <w:t> </w:t>
            </w:r>
            <w:r>
              <w:rPr>
                <w:b/>
                <w:sz w:val="18"/>
              </w:rPr>
              <w:t>de</w:t>
            </w:r>
            <w:r>
              <w:rPr>
                <w:b/>
                <w:spacing w:val="-3"/>
                <w:sz w:val="18"/>
              </w:rPr>
              <w:t> </w:t>
            </w:r>
            <w:r>
              <w:rPr>
                <w:b/>
                <w:sz w:val="18"/>
              </w:rPr>
              <w:t>control</w:t>
            </w:r>
            <w:r>
              <w:rPr>
                <w:b/>
                <w:spacing w:val="-3"/>
                <w:sz w:val="18"/>
              </w:rPr>
              <w:t> </w:t>
            </w:r>
            <w:r>
              <w:rPr>
                <w:b/>
                <w:spacing w:val="-2"/>
                <w:sz w:val="18"/>
              </w:rPr>
              <w:t>interno</w:t>
            </w:r>
          </w:p>
        </w:tc>
      </w:tr>
      <w:tr>
        <w:trPr>
          <w:trHeight w:val="772" w:hRule="atLeast"/>
        </w:trPr>
        <w:tc>
          <w:tcPr>
            <w:tcW w:w="2835" w:type="dxa"/>
          </w:tcPr>
          <w:p>
            <w:pPr>
              <w:pStyle w:val="TableParagraph"/>
              <w:spacing w:before="75"/>
              <w:ind w:left="69" w:right="137"/>
              <w:rPr>
                <w:sz w:val="18"/>
              </w:rPr>
            </w:pPr>
            <w:r>
              <w:rPr>
                <w:b/>
                <w:sz w:val="18"/>
              </w:rPr>
              <w:t>Actividad</w:t>
            </w:r>
            <w:r>
              <w:rPr>
                <w:b/>
                <w:spacing w:val="-13"/>
                <w:sz w:val="18"/>
              </w:rPr>
              <w:t> </w:t>
            </w:r>
            <w:r>
              <w:rPr>
                <w:b/>
                <w:sz w:val="18"/>
              </w:rPr>
              <w:t>PAC</w:t>
            </w:r>
            <w:r>
              <w:rPr>
                <w:b/>
                <w:spacing w:val="-12"/>
                <w:sz w:val="18"/>
              </w:rPr>
              <w:t> </w:t>
            </w:r>
            <w:r>
              <w:rPr>
                <w:b/>
                <w:sz w:val="18"/>
              </w:rPr>
              <w:t>2.1.1:</w:t>
            </w:r>
            <w:r>
              <w:rPr>
                <w:b/>
                <w:spacing w:val="-12"/>
                <w:sz w:val="18"/>
              </w:rPr>
              <w:t> </w:t>
            </w:r>
            <w:r>
              <w:rPr>
                <w:sz w:val="18"/>
              </w:rPr>
              <w:t>Gestionar la contratación de los servicios de auditoría externa.</w:t>
            </w:r>
          </w:p>
        </w:tc>
        <w:tc>
          <w:tcPr>
            <w:tcW w:w="1741" w:type="dxa"/>
          </w:tcPr>
          <w:p>
            <w:pPr>
              <w:pStyle w:val="TableParagraph"/>
              <w:spacing w:before="75"/>
              <w:ind w:left="69"/>
              <w:rPr>
                <w:sz w:val="18"/>
              </w:rPr>
            </w:pPr>
            <w:r>
              <w:rPr>
                <w:sz w:val="18"/>
              </w:rPr>
              <w:t>Cantidad de </w:t>
            </w:r>
            <w:r>
              <w:rPr>
                <w:spacing w:val="-2"/>
                <w:sz w:val="18"/>
              </w:rPr>
              <w:t>contrataciones gestionadas</w:t>
            </w:r>
          </w:p>
        </w:tc>
        <w:tc>
          <w:tcPr>
            <w:tcW w:w="1191" w:type="dxa"/>
          </w:tcPr>
          <w:p>
            <w:pPr>
              <w:pStyle w:val="TableParagraph"/>
              <w:rPr>
                <w:rFonts w:ascii="Times New Roman"/>
                <w:sz w:val="18"/>
              </w:rPr>
            </w:pPr>
          </w:p>
        </w:tc>
        <w:tc>
          <w:tcPr>
            <w:tcW w:w="1181" w:type="dxa"/>
          </w:tcPr>
          <w:p>
            <w:pPr>
              <w:pStyle w:val="TableParagraph"/>
              <w:rPr>
                <w:rFonts w:ascii="Times New Roman"/>
                <w:sz w:val="18"/>
              </w:rPr>
            </w:pPr>
          </w:p>
        </w:tc>
        <w:tc>
          <w:tcPr>
            <w:tcW w:w="1210" w:type="dxa"/>
          </w:tcPr>
          <w:p>
            <w:pPr>
              <w:pStyle w:val="TableParagraph"/>
              <w:rPr>
                <w:rFonts w:ascii="Times New Roman"/>
                <w:sz w:val="18"/>
              </w:rPr>
            </w:pPr>
          </w:p>
        </w:tc>
        <w:tc>
          <w:tcPr>
            <w:tcW w:w="1193" w:type="dxa"/>
          </w:tcPr>
          <w:p>
            <w:pPr>
              <w:pStyle w:val="TableParagraph"/>
              <w:rPr>
                <w:rFonts w:ascii="Times New Roman"/>
                <w:sz w:val="18"/>
              </w:rPr>
            </w:pPr>
          </w:p>
        </w:tc>
        <w:tc>
          <w:tcPr>
            <w:tcW w:w="1195" w:type="dxa"/>
          </w:tcPr>
          <w:p>
            <w:pPr>
              <w:pStyle w:val="TableParagraph"/>
              <w:rPr>
                <w:rFonts w:ascii="Times New Roman"/>
                <w:sz w:val="18"/>
              </w:rPr>
            </w:pPr>
          </w:p>
        </w:tc>
        <w:tc>
          <w:tcPr>
            <w:tcW w:w="1083" w:type="dxa"/>
          </w:tcPr>
          <w:p>
            <w:pPr>
              <w:pStyle w:val="TableParagraph"/>
              <w:rPr>
                <w:rFonts w:ascii="Times New Roman"/>
                <w:sz w:val="18"/>
              </w:rPr>
            </w:pPr>
          </w:p>
        </w:tc>
        <w:tc>
          <w:tcPr>
            <w:tcW w:w="1277" w:type="dxa"/>
          </w:tcPr>
          <w:p>
            <w:pPr>
              <w:pStyle w:val="TableParagraph"/>
              <w:spacing w:before="75"/>
              <w:rPr>
                <w:b/>
                <w:sz w:val="18"/>
              </w:rPr>
            </w:pPr>
          </w:p>
          <w:p>
            <w:pPr>
              <w:pStyle w:val="TableParagraph"/>
              <w:ind w:left="9" w:right="4"/>
              <w:jc w:val="center"/>
              <w:rPr>
                <w:sz w:val="18"/>
              </w:rPr>
            </w:pPr>
            <w:r>
              <w:rPr>
                <w:spacing w:val="-10"/>
                <w:sz w:val="18"/>
              </w:rPr>
              <w:t>1</w:t>
            </w:r>
          </w:p>
        </w:tc>
        <w:tc>
          <w:tcPr>
            <w:tcW w:w="1219" w:type="dxa"/>
          </w:tcPr>
          <w:p>
            <w:pPr>
              <w:pStyle w:val="TableParagraph"/>
              <w:spacing w:before="75"/>
              <w:rPr>
                <w:b/>
                <w:sz w:val="18"/>
              </w:rPr>
            </w:pPr>
          </w:p>
          <w:p>
            <w:pPr>
              <w:pStyle w:val="TableParagraph"/>
              <w:ind w:left="7"/>
              <w:jc w:val="center"/>
              <w:rPr>
                <w:sz w:val="18"/>
              </w:rPr>
            </w:pPr>
            <w:r>
              <w:rPr>
                <w:sz w:val="18"/>
              </w:rPr>
              <w:t>₡45</w:t>
            </w:r>
            <w:r>
              <w:rPr>
                <w:spacing w:val="-2"/>
                <w:sz w:val="18"/>
              </w:rPr>
              <w:t> </w:t>
            </w:r>
            <w:r>
              <w:rPr>
                <w:sz w:val="18"/>
              </w:rPr>
              <w:t>000</w:t>
            </w:r>
            <w:r>
              <w:rPr>
                <w:spacing w:val="-2"/>
                <w:sz w:val="18"/>
              </w:rPr>
              <w:t> </w:t>
            </w:r>
            <w:r>
              <w:rPr>
                <w:spacing w:val="-5"/>
                <w:sz w:val="18"/>
              </w:rPr>
              <w:t>000</w:t>
            </w:r>
          </w:p>
        </w:tc>
      </w:tr>
      <w:tr>
        <w:trPr>
          <w:trHeight w:val="1531" w:hRule="atLeast"/>
        </w:trPr>
        <w:tc>
          <w:tcPr>
            <w:tcW w:w="2835" w:type="dxa"/>
          </w:tcPr>
          <w:p>
            <w:pPr>
              <w:pStyle w:val="TableParagraph"/>
              <w:spacing w:before="41"/>
              <w:rPr>
                <w:b/>
                <w:sz w:val="18"/>
              </w:rPr>
            </w:pPr>
          </w:p>
          <w:p>
            <w:pPr>
              <w:pStyle w:val="TableParagraph"/>
              <w:ind w:left="69" w:right="107"/>
              <w:rPr>
                <w:sz w:val="18"/>
              </w:rPr>
            </w:pPr>
            <w:r>
              <w:rPr>
                <w:b/>
                <w:sz w:val="18"/>
              </w:rPr>
              <w:t>Actividad PAC 2.1.2: </w:t>
            </w:r>
            <w:r>
              <w:rPr>
                <w:sz w:val="18"/>
              </w:rPr>
              <w:t>Gestionar la</w:t>
            </w:r>
            <w:r>
              <w:rPr>
                <w:spacing w:val="-8"/>
                <w:sz w:val="18"/>
              </w:rPr>
              <w:t> </w:t>
            </w:r>
            <w:r>
              <w:rPr>
                <w:sz w:val="18"/>
              </w:rPr>
              <w:t>oficialización</w:t>
            </w:r>
            <w:r>
              <w:rPr>
                <w:spacing w:val="-8"/>
                <w:sz w:val="18"/>
              </w:rPr>
              <w:t> </w:t>
            </w:r>
            <w:r>
              <w:rPr>
                <w:sz w:val="18"/>
              </w:rPr>
              <w:t>de</w:t>
            </w:r>
            <w:r>
              <w:rPr>
                <w:spacing w:val="-9"/>
                <w:sz w:val="18"/>
              </w:rPr>
              <w:t> </w:t>
            </w:r>
            <w:r>
              <w:rPr>
                <w:sz w:val="18"/>
              </w:rPr>
              <w:t>los</w:t>
            </w:r>
            <w:r>
              <w:rPr>
                <w:spacing w:val="-7"/>
                <w:sz w:val="18"/>
              </w:rPr>
              <w:t> </w:t>
            </w:r>
            <w:r>
              <w:rPr>
                <w:sz w:val="18"/>
              </w:rPr>
              <w:t>resultados y productos emitidos por la auditoría</w:t>
            </w:r>
            <w:r>
              <w:rPr>
                <w:spacing w:val="-10"/>
                <w:sz w:val="18"/>
              </w:rPr>
              <w:t> </w:t>
            </w:r>
            <w:r>
              <w:rPr>
                <w:sz w:val="18"/>
              </w:rPr>
              <w:t>externa</w:t>
            </w:r>
            <w:r>
              <w:rPr>
                <w:spacing w:val="-10"/>
                <w:sz w:val="18"/>
              </w:rPr>
              <w:t> </w:t>
            </w:r>
            <w:r>
              <w:rPr>
                <w:sz w:val="18"/>
              </w:rPr>
              <w:t>producto</w:t>
            </w:r>
            <w:r>
              <w:rPr>
                <w:spacing w:val="-10"/>
                <w:sz w:val="18"/>
              </w:rPr>
              <w:t> </w:t>
            </w:r>
            <w:r>
              <w:rPr>
                <w:sz w:val="18"/>
              </w:rPr>
              <w:t>de</w:t>
            </w:r>
            <w:r>
              <w:rPr>
                <w:spacing w:val="-10"/>
                <w:sz w:val="18"/>
              </w:rPr>
              <w:t> </w:t>
            </w:r>
            <w:r>
              <w:rPr>
                <w:sz w:val="18"/>
              </w:rPr>
              <w:t>los servicios contratados.</w:t>
            </w:r>
          </w:p>
        </w:tc>
        <w:tc>
          <w:tcPr>
            <w:tcW w:w="1741" w:type="dxa"/>
          </w:tcPr>
          <w:p>
            <w:pPr>
              <w:pStyle w:val="TableParagraph"/>
              <w:spacing w:before="39"/>
              <w:ind w:left="69" w:right="214"/>
              <w:rPr>
                <w:sz w:val="18"/>
              </w:rPr>
            </w:pPr>
            <w:r>
              <w:rPr>
                <w:sz w:val="18"/>
              </w:rPr>
              <w:t>Cantidad de </w:t>
            </w:r>
            <w:r>
              <w:rPr>
                <w:spacing w:val="-2"/>
                <w:sz w:val="18"/>
              </w:rPr>
              <w:t>entregables </w:t>
            </w:r>
            <w:r>
              <w:rPr>
                <w:sz w:val="18"/>
              </w:rPr>
              <w:t>recibidos con los resultados de la Auditoría</w:t>
            </w:r>
            <w:r>
              <w:rPr>
                <w:spacing w:val="-13"/>
                <w:sz w:val="18"/>
              </w:rPr>
              <w:t> </w:t>
            </w:r>
            <w:r>
              <w:rPr>
                <w:sz w:val="18"/>
              </w:rPr>
              <w:t>Externa, aprobados por Consejo</w:t>
            </w:r>
            <w:r>
              <w:rPr>
                <w:spacing w:val="-8"/>
                <w:sz w:val="18"/>
              </w:rPr>
              <w:t> </w:t>
            </w:r>
            <w:r>
              <w:rPr>
                <w:sz w:val="18"/>
              </w:rPr>
              <w:t>Directivo</w:t>
            </w:r>
          </w:p>
        </w:tc>
        <w:tc>
          <w:tcPr>
            <w:tcW w:w="1191" w:type="dxa"/>
          </w:tcPr>
          <w:p>
            <w:pPr>
              <w:pStyle w:val="TableParagraph"/>
              <w:rPr>
                <w:rFonts w:ascii="Times New Roman"/>
                <w:sz w:val="18"/>
              </w:rPr>
            </w:pPr>
          </w:p>
        </w:tc>
        <w:tc>
          <w:tcPr>
            <w:tcW w:w="1181" w:type="dxa"/>
          </w:tcPr>
          <w:p>
            <w:pPr>
              <w:pStyle w:val="TableParagraph"/>
              <w:rPr>
                <w:rFonts w:ascii="Times New Roman"/>
                <w:sz w:val="18"/>
              </w:rPr>
            </w:pPr>
          </w:p>
        </w:tc>
        <w:tc>
          <w:tcPr>
            <w:tcW w:w="1210" w:type="dxa"/>
          </w:tcPr>
          <w:p>
            <w:pPr>
              <w:pStyle w:val="TableParagraph"/>
              <w:rPr>
                <w:rFonts w:ascii="Times New Roman"/>
                <w:sz w:val="18"/>
              </w:rPr>
            </w:pPr>
          </w:p>
        </w:tc>
        <w:tc>
          <w:tcPr>
            <w:tcW w:w="1193" w:type="dxa"/>
          </w:tcPr>
          <w:p>
            <w:pPr>
              <w:pStyle w:val="TableParagraph"/>
              <w:rPr>
                <w:rFonts w:ascii="Times New Roman"/>
                <w:sz w:val="18"/>
              </w:rPr>
            </w:pPr>
          </w:p>
        </w:tc>
        <w:tc>
          <w:tcPr>
            <w:tcW w:w="1195" w:type="dxa"/>
          </w:tcPr>
          <w:p>
            <w:pPr>
              <w:pStyle w:val="TableParagraph"/>
              <w:rPr>
                <w:rFonts w:ascii="Times New Roman"/>
                <w:sz w:val="18"/>
              </w:rPr>
            </w:pPr>
          </w:p>
        </w:tc>
        <w:tc>
          <w:tcPr>
            <w:tcW w:w="1083"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spacing w:before="40"/>
              <w:rPr>
                <w:b/>
                <w:sz w:val="18"/>
              </w:rPr>
            </w:pPr>
          </w:p>
          <w:p>
            <w:pPr>
              <w:pStyle w:val="TableParagraph"/>
              <w:ind w:left="9" w:right="4"/>
              <w:jc w:val="center"/>
              <w:rPr>
                <w:sz w:val="18"/>
              </w:rPr>
            </w:pPr>
            <w:r>
              <w:rPr>
                <w:spacing w:val="-10"/>
                <w:sz w:val="18"/>
              </w:rPr>
              <w:t>4</w:t>
            </w:r>
          </w:p>
        </w:tc>
        <w:tc>
          <w:tcPr>
            <w:tcW w:w="1219"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7"/>
        <w:gridCol w:w="1416"/>
        <w:gridCol w:w="1136"/>
        <w:gridCol w:w="1416"/>
        <w:gridCol w:w="1135"/>
        <w:gridCol w:w="1421"/>
        <w:gridCol w:w="1272"/>
        <w:gridCol w:w="1421"/>
        <w:gridCol w:w="1416"/>
        <w:gridCol w:w="1416"/>
      </w:tblGrid>
      <w:tr>
        <w:trPr>
          <w:trHeight w:val="239" w:hRule="atLeast"/>
        </w:trPr>
        <w:tc>
          <w:tcPr>
            <w:tcW w:w="2127" w:type="dxa"/>
            <w:vMerge w:val="restart"/>
            <w:shd w:val="clear" w:color="auto" w:fill="EDEBE0"/>
          </w:tcPr>
          <w:p>
            <w:pPr>
              <w:pStyle w:val="TableParagraph"/>
              <w:spacing w:before="123"/>
              <w:rPr>
                <w:b/>
                <w:sz w:val="18"/>
              </w:rPr>
            </w:pPr>
          </w:p>
          <w:p>
            <w:pPr>
              <w:pStyle w:val="TableParagraph"/>
              <w:ind w:left="90"/>
              <w:rPr>
                <w:b/>
                <w:sz w:val="18"/>
              </w:rPr>
            </w:pPr>
            <w:r>
              <w:rPr>
                <w:b/>
                <w:sz w:val="18"/>
              </w:rPr>
              <w:t>Objetivos</w:t>
            </w:r>
            <w:r>
              <w:rPr>
                <w:b/>
                <w:spacing w:val="-4"/>
                <w:sz w:val="18"/>
              </w:rPr>
              <w:t> </w:t>
            </w:r>
            <w:r>
              <w:rPr>
                <w:b/>
                <w:sz w:val="18"/>
              </w:rPr>
              <w:t>/</w:t>
            </w:r>
            <w:r>
              <w:rPr>
                <w:b/>
                <w:spacing w:val="-2"/>
                <w:sz w:val="18"/>
              </w:rPr>
              <w:t> Resultados</w:t>
            </w:r>
          </w:p>
        </w:tc>
        <w:tc>
          <w:tcPr>
            <w:tcW w:w="1416" w:type="dxa"/>
            <w:vMerge w:val="restart"/>
            <w:shd w:val="clear" w:color="auto" w:fill="EDEBE0"/>
          </w:tcPr>
          <w:p>
            <w:pPr>
              <w:pStyle w:val="TableParagraph"/>
              <w:spacing w:before="123"/>
              <w:rPr>
                <w:b/>
                <w:sz w:val="18"/>
              </w:rPr>
            </w:pPr>
          </w:p>
          <w:p>
            <w:pPr>
              <w:pStyle w:val="TableParagraph"/>
              <w:ind w:left="302"/>
              <w:rPr>
                <w:b/>
                <w:sz w:val="18"/>
              </w:rPr>
            </w:pPr>
            <w:r>
              <w:rPr>
                <w:b/>
                <w:spacing w:val="-2"/>
                <w:sz w:val="18"/>
              </w:rPr>
              <w:t>Indicador</w:t>
            </w:r>
          </w:p>
        </w:tc>
        <w:tc>
          <w:tcPr>
            <w:tcW w:w="2552" w:type="dxa"/>
            <w:gridSpan w:val="2"/>
            <w:shd w:val="clear" w:color="auto" w:fill="EDEBE0"/>
          </w:tcPr>
          <w:p>
            <w:pPr>
              <w:pStyle w:val="TableParagraph"/>
              <w:spacing w:line="204" w:lineRule="exact" w:before="15"/>
              <w:ind w:left="813"/>
              <w:rPr>
                <w:b/>
                <w:sz w:val="18"/>
              </w:rPr>
            </w:pPr>
            <w:r>
              <w:rPr>
                <w:b/>
                <w:sz w:val="18"/>
              </w:rPr>
              <w:t>I </w:t>
            </w:r>
            <w:r>
              <w:rPr>
                <w:b/>
                <w:spacing w:val="-2"/>
                <w:sz w:val="18"/>
              </w:rPr>
              <w:t>Trimestre</w:t>
            </w:r>
          </w:p>
        </w:tc>
        <w:tc>
          <w:tcPr>
            <w:tcW w:w="2556" w:type="dxa"/>
            <w:gridSpan w:val="2"/>
            <w:shd w:val="clear" w:color="auto" w:fill="EDEBE0"/>
          </w:tcPr>
          <w:p>
            <w:pPr>
              <w:pStyle w:val="TableParagraph"/>
              <w:spacing w:line="204" w:lineRule="exact" w:before="15"/>
              <w:ind w:left="791"/>
              <w:rPr>
                <w:b/>
                <w:sz w:val="18"/>
              </w:rPr>
            </w:pPr>
            <w:r>
              <w:rPr>
                <w:b/>
                <w:sz w:val="18"/>
              </w:rPr>
              <w:t>II </w:t>
            </w:r>
            <w:r>
              <w:rPr>
                <w:b/>
                <w:spacing w:val="-2"/>
                <w:sz w:val="18"/>
              </w:rPr>
              <w:t>Trimestre</w:t>
            </w:r>
          </w:p>
        </w:tc>
        <w:tc>
          <w:tcPr>
            <w:tcW w:w="2693" w:type="dxa"/>
            <w:gridSpan w:val="2"/>
            <w:shd w:val="clear" w:color="auto" w:fill="EDEBE0"/>
          </w:tcPr>
          <w:p>
            <w:pPr>
              <w:pStyle w:val="TableParagraph"/>
              <w:spacing w:line="204" w:lineRule="exact" w:before="15"/>
              <w:ind w:left="834"/>
              <w:rPr>
                <w:b/>
                <w:sz w:val="18"/>
              </w:rPr>
            </w:pPr>
            <w:r>
              <w:rPr>
                <w:b/>
                <w:sz w:val="18"/>
              </w:rPr>
              <w:t>III </w:t>
            </w:r>
            <w:r>
              <w:rPr>
                <w:b/>
                <w:spacing w:val="-2"/>
                <w:sz w:val="18"/>
              </w:rPr>
              <w:t>Trimestre</w:t>
            </w:r>
          </w:p>
        </w:tc>
        <w:tc>
          <w:tcPr>
            <w:tcW w:w="2832" w:type="dxa"/>
            <w:gridSpan w:val="2"/>
            <w:shd w:val="clear" w:color="auto" w:fill="EDEBE0"/>
          </w:tcPr>
          <w:p>
            <w:pPr>
              <w:pStyle w:val="TableParagraph"/>
              <w:spacing w:line="204" w:lineRule="exact" w:before="15"/>
              <w:ind w:left="895"/>
              <w:rPr>
                <w:b/>
                <w:sz w:val="18"/>
              </w:rPr>
            </w:pPr>
            <w:r>
              <w:rPr>
                <w:b/>
                <w:sz w:val="18"/>
              </w:rPr>
              <w:t>IV </w:t>
            </w:r>
            <w:r>
              <w:rPr>
                <w:b/>
                <w:spacing w:val="-2"/>
                <w:sz w:val="18"/>
              </w:rPr>
              <w:t>Trimestre</w:t>
            </w:r>
          </w:p>
        </w:tc>
      </w:tr>
      <w:tr>
        <w:trPr>
          <w:trHeight w:val="621" w:hRule="atLeast"/>
        </w:trPr>
        <w:tc>
          <w:tcPr>
            <w:tcW w:w="2127" w:type="dxa"/>
            <w:vMerge/>
            <w:tcBorders>
              <w:top w:val="nil"/>
            </w:tcBorders>
            <w:shd w:val="clear" w:color="auto" w:fill="EDEBE0"/>
          </w:tcPr>
          <w:p>
            <w:pPr>
              <w:rPr>
                <w:sz w:val="2"/>
                <w:szCs w:val="2"/>
              </w:rPr>
            </w:pPr>
          </w:p>
        </w:tc>
        <w:tc>
          <w:tcPr>
            <w:tcW w:w="1416" w:type="dxa"/>
            <w:vMerge/>
            <w:tcBorders>
              <w:top w:val="nil"/>
            </w:tcBorders>
            <w:shd w:val="clear" w:color="auto" w:fill="EDEBE0"/>
          </w:tcPr>
          <w:p>
            <w:pPr>
              <w:rPr>
                <w:sz w:val="2"/>
                <w:szCs w:val="2"/>
              </w:rPr>
            </w:pPr>
          </w:p>
        </w:tc>
        <w:tc>
          <w:tcPr>
            <w:tcW w:w="1136" w:type="dxa"/>
            <w:shd w:val="clear" w:color="auto" w:fill="EDEBE0"/>
          </w:tcPr>
          <w:p>
            <w:pPr>
              <w:pStyle w:val="TableParagraph"/>
              <w:spacing w:line="206" w:lineRule="exact"/>
              <w:ind w:left="81" w:right="77"/>
              <w:jc w:val="center"/>
              <w:rPr>
                <w:b/>
                <w:sz w:val="18"/>
              </w:rPr>
            </w:pPr>
            <w:r>
              <w:rPr>
                <w:b/>
                <w:spacing w:val="-4"/>
                <w:sz w:val="18"/>
              </w:rPr>
              <w:t>Meta</w:t>
            </w:r>
          </w:p>
          <w:p>
            <w:pPr>
              <w:pStyle w:val="TableParagraph"/>
              <w:spacing w:line="206" w:lineRule="exact"/>
              <w:ind w:left="81" w:right="72"/>
              <w:jc w:val="center"/>
              <w:rPr>
                <w:b/>
                <w:sz w:val="18"/>
              </w:rPr>
            </w:pPr>
            <w:r>
              <w:rPr>
                <w:b/>
                <w:spacing w:val="-2"/>
                <w:sz w:val="18"/>
              </w:rPr>
              <w:t>programad </w:t>
            </w:r>
            <w:r>
              <w:rPr>
                <w:b/>
                <w:spacing w:val="-10"/>
                <w:sz w:val="18"/>
              </w:rPr>
              <w:t>a</w:t>
            </w:r>
          </w:p>
        </w:tc>
        <w:tc>
          <w:tcPr>
            <w:tcW w:w="1416" w:type="dxa"/>
            <w:shd w:val="clear" w:color="auto" w:fill="EDEBE0"/>
          </w:tcPr>
          <w:p>
            <w:pPr>
              <w:pStyle w:val="TableParagraph"/>
              <w:rPr>
                <w:b/>
                <w:sz w:val="18"/>
              </w:rPr>
            </w:pPr>
          </w:p>
          <w:p>
            <w:pPr>
              <w:pStyle w:val="TableParagraph"/>
              <w:ind w:left="43" w:right="35"/>
              <w:jc w:val="center"/>
              <w:rPr>
                <w:b/>
                <w:sz w:val="18"/>
              </w:rPr>
            </w:pPr>
            <w:r>
              <w:rPr>
                <w:b/>
                <w:spacing w:val="-10"/>
                <w:sz w:val="18"/>
              </w:rPr>
              <w:t>¢</w:t>
            </w:r>
          </w:p>
        </w:tc>
        <w:tc>
          <w:tcPr>
            <w:tcW w:w="1135" w:type="dxa"/>
            <w:shd w:val="clear" w:color="auto" w:fill="EDEBE0"/>
          </w:tcPr>
          <w:p>
            <w:pPr>
              <w:pStyle w:val="TableParagraph"/>
              <w:spacing w:line="206" w:lineRule="exact"/>
              <w:ind w:left="81" w:right="76"/>
              <w:jc w:val="center"/>
              <w:rPr>
                <w:b/>
                <w:sz w:val="18"/>
              </w:rPr>
            </w:pPr>
            <w:r>
              <w:rPr>
                <w:b/>
                <w:spacing w:val="-4"/>
                <w:sz w:val="18"/>
              </w:rPr>
              <w:t>Meta</w:t>
            </w:r>
          </w:p>
          <w:p>
            <w:pPr>
              <w:pStyle w:val="TableParagraph"/>
              <w:spacing w:line="206" w:lineRule="exact"/>
              <w:ind w:left="81" w:right="71"/>
              <w:jc w:val="center"/>
              <w:rPr>
                <w:b/>
                <w:sz w:val="18"/>
              </w:rPr>
            </w:pPr>
            <w:r>
              <w:rPr>
                <w:b/>
                <w:spacing w:val="-2"/>
                <w:sz w:val="18"/>
              </w:rPr>
              <w:t>programad </w:t>
            </w:r>
            <w:r>
              <w:rPr>
                <w:b/>
                <w:spacing w:val="-10"/>
                <w:sz w:val="18"/>
              </w:rPr>
              <w:t>a</w:t>
            </w:r>
          </w:p>
        </w:tc>
        <w:tc>
          <w:tcPr>
            <w:tcW w:w="1421" w:type="dxa"/>
            <w:shd w:val="clear" w:color="auto" w:fill="EDEBE0"/>
          </w:tcPr>
          <w:p>
            <w:pPr>
              <w:pStyle w:val="TableParagraph"/>
              <w:rPr>
                <w:b/>
                <w:sz w:val="18"/>
              </w:rPr>
            </w:pPr>
          </w:p>
          <w:p>
            <w:pPr>
              <w:pStyle w:val="TableParagraph"/>
              <w:ind w:left="9" w:right="5"/>
              <w:jc w:val="center"/>
              <w:rPr>
                <w:b/>
                <w:sz w:val="18"/>
              </w:rPr>
            </w:pPr>
            <w:r>
              <w:rPr>
                <w:b/>
                <w:spacing w:val="-10"/>
                <w:sz w:val="18"/>
              </w:rPr>
              <w:t>¢</w:t>
            </w:r>
          </w:p>
        </w:tc>
        <w:tc>
          <w:tcPr>
            <w:tcW w:w="1272" w:type="dxa"/>
            <w:shd w:val="clear" w:color="auto" w:fill="EDEBE0"/>
          </w:tcPr>
          <w:p>
            <w:pPr>
              <w:pStyle w:val="TableParagraph"/>
              <w:spacing w:before="102"/>
              <w:ind w:left="115" w:firstLine="314"/>
              <w:rPr>
                <w:b/>
                <w:sz w:val="18"/>
              </w:rPr>
            </w:pPr>
            <w:r>
              <w:rPr>
                <w:b/>
                <w:spacing w:val="-4"/>
                <w:sz w:val="18"/>
              </w:rPr>
              <w:t>Meta </w:t>
            </w:r>
            <w:r>
              <w:rPr>
                <w:b/>
                <w:spacing w:val="-2"/>
                <w:sz w:val="18"/>
              </w:rPr>
              <w:t>programada</w:t>
            </w:r>
          </w:p>
        </w:tc>
        <w:tc>
          <w:tcPr>
            <w:tcW w:w="1421" w:type="dxa"/>
            <w:shd w:val="clear" w:color="auto" w:fill="EDEBE0"/>
          </w:tcPr>
          <w:p>
            <w:pPr>
              <w:pStyle w:val="TableParagraph"/>
              <w:rPr>
                <w:b/>
                <w:sz w:val="18"/>
              </w:rPr>
            </w:pPr>
          </w:p>
          <w:p>
            <w:pPr>
              <w:pStyle w:val="TableParagraph"/>
              <w:ind w:left="8" w:right="5"/>
              <w:jc w:val="center"/>
              <w:rPr>
                <w:b/>
                <w:sz w:val="18"/>
              </w:rPr>
            </w:pPr>
            <w:r>
              <w:rPr>
                <w:b/>
                <w:spacing w:val="-10"/>
                <w:sz w:val="18"/>
              </w:rPr>
              <w:t>¢</w:t>
            </w:r>
          </w:p>
        </w:tc>
        <w:tc>
          <w:tcPr>
            <w:tcW w:w="1416" w:type="dxa"/>
            <w:shd w:val="clear" w:color="auto" w:fill="EDEBE0"/>
          </w:tcPr>
          <w:p>
            <w:pPr>
              <w:pStyle w:val="TableParagraph"/>
              <w:spacing w:before="102"/>
              <w:ind w:left="187" w:firstLine="314"/>
              <w:rPr>
                <w:b/>
                <w:sz w:val="18"/>
              </w:rPr>
            </w:pPr>
            <w:r>
              <w:rPr>
                <w:b/>
                <w:spacing w:val="-4"/>
                <w:sz w:val="18"/>
              </w:rPr>
              <w:t>Meta </w:t>
            </w:r>
            <w:r>
              <w:rPr>
                <w:b/>
                <w:spacing w:val="-2"/>
                <w:sz w:val="18"/>
              </w:rPr>
              <w:t>programada</w:t>
            </w:r>
          </w:p>
        </w:tc>
        <w:tc>
          <w:tcPr>
            <w:tcW w:w="1416" w:type="dxa"/>
            <w:shd w:val="clear" w:color="auto" w:fill="EDEBE0"/>
          </w:tcPr>
          <w:p>
            <w:pPr>
              <w:pStyle w:val="TableParagraph"/>
              <w:rPr>
                <w:b/>
                <w:sz w:val="18"/>
              </w:rPr>
            </w:pPr>
          </w:p>
          <w:p>
            <w:pPr>
              <w:pStyle w:val="TableParagraph"/>
              <w:ind w:left="43" w:right="39"/>
              <w:jc w:val="center"/>
              <w:rPr>
                <w:b/>
                <w:sz w:val="18"/>
              </w:rPr>
            </w:pPr>
            <w:r>
              <w:rPr>
                <w:b/>
                <w:spacing w:val="-10"/>
                <w:sz w:val="18"/>
              </w:rPr>
              <w:t>¢</w:t>
            </w:r>
          </w:p>
        </w:tc>
      </w:tr>
      <w:tr>
        <w:trPr>
          <w:trHeight w:val="630" w:hRule="atLeast"/>
        </w:trPr>
        <w:tc>
          <w:tcPr>
            <w:tcW w:w="14176" w:type="dxa"/>
            <w:gridSpan w:val="10"/>
            <w:shd w:val="clear" w:color="auto" w:fill="EDEBE0"/>
          </w:tcPr>
          <w:p>
            <w:pPr>
              <w:pStyle w:val="TableParagraph"/>
              <w:spacing w:before="107"/>
              <w:ind w:left="69"/>
              <w:rPr>
                <w:b/>
                <w:sz w:val="18"/>
              </w:rPr>
            </w:pPr>
            <w:r>
              <w:rPr>
                <w:b/>
                <w:sz w:val="18"/>
              </w:rPr>
              <w:t>Efecto:</w:t>
            </w:r>
            <w:r>
              <w:rPr>
                <w:b/>
                <w:spacing w:val="40"/>
                <w:sz w:val="18"/>
              </w:rPr>
              <w:t> </w:t>
            </w:r>
            <w:r>
              <w:rPr>
                <w:b/>
                <w:sz w:val="18"/>
              </w:rPr>
              <w:t>Efectiva</w:t>
            </w:r>
            <w:r>
              <w:rPr>
                <w:b/>
                <w:spacing w:val="-3"/>
                <w:sz w:val="18"/>
              </w:rPr>
              <w:t> </w:t>
            </w:r>
            <w:r>
              <w:rPr>
                <w:b/>
                <w:sz w:val="18"/>
              </w:rPr>
              <w:t>gestión</w:t>
            </w:r>
            <w:r>
              <w:rPr>
                <w:b/>
                <w:spacing w:val="-1"/>
                <w:sz w:val="18"/>
              </w:rPr>
              <w:t> </w:t>
            </w:r>
            <w:r>
              <w:rPr>
                <w:b/>
                <w:sz w:val="18"/>
              </w:rPr>
              <w:t>de</w:t>
            </w:r>
            <w:r>
              <w:rPr>
                <w:b/>
                <w:spacing w:val="-1"/>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498" w:hRule="atLeast"/>
        </w:trPr>
        <w:tc>
          <w:tcPr>
            <w:tcW w:w="14176" w:type="dxa"/>
            <w:gridSpan w:val="10"/>
            <w:shd w:val="clear" w:color="auto" w:fill="DBE4F0"/>
          </w:tcPr>
          <w:p>
            <w:pPr>
              <w:pStyle w:val="TableParagraph"/>
              <w:spacing w:before="42"/>
              <w:ind w:left="69"/>
              <w:rPr>
                <w:b/>
                <w:sz w:val="18"/>
              </w:rPr>
            </w:pPr>
            <w:r>
              <w:rPr>
                <w:b/>
                <w:sz w:val="18"/>
              </w:rPr>
              <w:t>Producto</w:t>
            </w:r>
            <w:r>
              <w:rPr>
                <w:b/>
                <w:spacing w:val="-2"/>
                <w:sz w:val="18"/>
              </w:rPr>
              <w:t> </w:t>
            </w:r>
            <w:r>
              <w:rPr>
                <w:b/>
                <w:sz w:val="18"/>
              </w:rPr>
              <w:t>PAC</w:t>
            </w:r>
            <w:r>
              <w:rPr>
                <w:b/>
                <w:spacing w:val="-3"/>
                <w:sz w:val="18"/>
              </w:rPr>
              <w:t> </w:t>
            </w:r>
            <w:r>
              <w:rPr>
                <w:b/>
                <w:sz w:val="18"/>
              </w:rPr>
              <w:t>2.2:</w:t>
            </w:r>
            <w:r>
              <w:rPr>
                <w:b/>
                <w:spacing w:val="40"/>
                <w:sz w:val="18"/>
              </w:rPr>
              <w:t> </w:t>
            </w:r>
            <w:r>
              <w:rPr>
                <w:b/>
                <w:sz w:val="18"/>
              </w:rPr>
              <w:t>Implementar</w:t>
            </w:r>
            <w:r>
              <w:rPr>
                <w:b/>
                <w:spacing w:val="-2"/>
                <w:sz w:val="18"/>
              </w:rPr>
              <w:t> </w:t>
            </w:r>
            <w:r>
              <w:rPr>
                <w:b/>
                <w:sz w:val="18"/>
              </w:rPr>
              <w:t>un</w:t>
            </w:r>
            <w:r>
              <w:rPr>
                <w:b/>
                <w:spacing w:val="-2"/>
                <w:sz w:val="18"/>
              </w:rPr>
              <w:t> </w:t>
            </w:r>
            <w:r>
              <w:rPr>
                <w:b/>
                <w:sz w:val="18"/>
              </w:rPr>
              <w:t>plan</w:t>
            </w:r>
            <w:r>
              <w:rPr>
                <w:b/>
                <w:spacing w:val="-2"/>
                <w:sz w:val="18"/>
              </w:rPr>
              <w:t> </w:t>
            </w:r>
            <w:r>
              <w:rPr>
                <w:b/>
                <w:sz w:val="18"/>
              </w:rPr>
              <w:t>de</w:t>
            </w:r>
            <w:r>
              <w:rPr>
                <w:b/>
                <w:spacing w:val="-4"/>
                <w:sz w:val="18"/>
              </w:rPr>
              <w:t> </w:t>
            </w:r>
            <w:r>
              <w:rPr>
                <w:b/>
                <w:sz w:val="18"/>
              </w:rPr>
              <w:t>capacitación</w:t>
            </w:r>
            <w:r>
              <w:rPr>
                <w:b/>
                <w:spacing w:val="-4"/>
                <w:sz w:val="18"/>
              </w:rPr>
              <w:t> </w:t>
            </w:r>
            <w:r>
              <w:rPr>
                <w:b/>
                <w:sz w:val="18"/>
              </w:rPr>
              <w:t>para</w:t>
            </w:r>
            <w:r>
              <w:rPr>
                <w:b/>
                <w:spacing w:val="-2"/>
                <w:sz w:val="18"/>
              </w:rPr>
              <w:t> </w:t>
            </w:r>
            <w:r>
              <w:rPr>
                <w:b/>
                <w:sz w:val="18"/>
              </w:rPr>
              <w:t>fomentar</w:t>
            </w:r>
            <w:r>
              <w:rPr>
                <w:b/>
                <w:spacing w:val="-2"/>
                <w:sz w:val="18"/>
              </w:rPr>
              <w:t> </w:t>
            </w:r>
            <w:r>
              <w:rPr>
                <w:b/>
                <w:sz w:val="18"/>
              </w:rPr>
              <w:t>el</w:t>
            </w:r>
            <w:r>
              <w:rPr>
                <w:b/>
                <w:spacing w:val="-2"/>
                <w:sz w:val="18"/>
              </w:rPr>
              <w:t> </w:t>
            </w:r>
            <w:r>
              <w:rPr>
                <w:b/>
                <w:sz w:val="18"/>
              </w:rPr>
              <w:t>desarrollo</w:t>
            </w:r>
            <w:r>
              <w:rPr>
                <w:b/>
                <w:spacing w:val="-4"/>
                <w:sz w:val="18"/>
              </w:rPr>
              <w:t> </w:t>
            </w:r>
            <w:r>
              <w:rPr>
                <w:b/>
                <w:sz w:val="18"/>
              </w:rPr>
              <w:t>de</w:t>
            </w:r>
            <w:r>
              <w:rPr>
                <w:b/>
                <w:spacing w:val="-2"/>
                <w:sz w:val="18"/>
              </w:rPr>
              <w:t> </w:t>
            </w:r>
            <w:r>
              <w:rPr>
                <w:b/>
                <w:sz w:val="18"/>
              </w:rPr>
              <w:t>competencias</w:t>
            </w:r>
            <w:r>
              <w:rPr>
                <w:b/>
                <w:spacing w:val="-4"/>
                <w:sz w:val="18"/>
              </w:rPr>
              <w:t> </w:t>
            </w:r>
            <w:r>
              <w:rPr>
                <w:b/>
                <w:sz w:val="18"/>
              </w:rPr>
              <w:t>innovadoras</w:t>
            </w:r>
            <w:r>
              <w:rPr>
                <w:b/>
                <w:spacing w:val="-2"/>
                <w:sz w:val="18"/>
              </w:rPr>
              <w:t> </w:t>
            </w:r>
            <w:r>
              <w:rPr>
                <w:b/>
                <w:sz w:val="18"/>
              </w:rPr>
              <w:t>de</w:t>
            </w:r>
            <w:r>
              <w:rPr>
                <w:b/>
                <w:spacing w:val="-4"/>
                <w:sz w:val="18"/>
              </w:rPr>
              <w:t> </w:t>
            </w:r>
            <w:r>
              <w:rPr>
                <w:b/>
                <w:sz w:val="18"/>
              </w:rPr>
              <w:t>las</w:t>
            </w:r>
            <w:r>
              <w:rPr>
                <w:b/>
                <w:spacing w:val="-2"/>
                <w:sz w:val="18"/>
              </w:rPr>
              <w:t> </w:t>
            </w:r>
            <w:r>
              <w:rPr>
                <w:b/>
                <w:sz w:val="18"/>
              </w:rPr>
              <w:t>personas</w:t>
            </w:r>
            <w:r>
              <w:rPr>
                <w:b/>
                <w:spacing w:val="-2"/>
                <w:sz w:val="18"/>
              </w:rPr>
              <w:t> </w:t>
            </w:r>
            <w:r>
              <w:rPr>
                <w:b/>
                <w:sz w:val="18"/>
              </w:rPr>
              <w:t>trabajadoras</w:t>
            </w:r>
            <w:r>
              <w:rPr>
                <w:b/>
                <w:spacing w:val="-2"/>
                <w:sz w:val="18"/>
              </w:rPr>
              <w:t> </w:t>
            </w:r>
            <w:r>
              <w:rPr>
                <w:b/>
                <w:sz w:val="18"/>
              </w:rPr>
              <w:t>y</w:t>
            </w:r>
            <w:r>
              <w:rPr>
                <w:b/>
                <w:spacing w:val="-2"/>
                <w:sz w:val="18"/>
              </w:rPr>
              <w:t> </w:t>
            </w:r>
            <w:r>
              <w:rPr>
                <w:b/>
                <w:sz w:val="18"/>
              </w:rPr>
              <w:t>funcionarias, incluyendo componentes de integridad pública, ética y anticorrupción. E6 AE5 R1 (meta programada 80%)</w:t>
            </w:r>
          </w:p>
        </w:tc>
      </w:tr>
      <w:tr>
        <w:trPr>
          <w:trHeight w:val="1065" w:hRule="atLeast"/>
        </w:trPr>
        <w:tc>
          <w:tcPr>
            <w:tcW w:w="2127" w:type="dxa"/>
            <w:vMerge w:val="restart"/>
          </w:tcPr>
          <w:p>
            <w:pPr>
              <w:pStyle w:val="TableParagraph"/>
              <w:rPr>
                <w:b/>
                <w:sz w:val="18"/>
              </w:rPr>
            </w:pPr>
          </w:p>
          <w:p>
            <w:pPr>
              <w:pStyle w:val="TableParagraph"/>
              <w:spacing w:before="156"/>
              <w:rPr>
                <w:b/>
                <w:sz w:val="18"/>
              </w:rPr>
            </w:pPr>
          </w:p>
          <w:p>
            <w:pPr>
              <w:pStyle w:val="TableParagraph"/>
              <w:ind w:left="69"/>
              <w:rPr>
                <w:sz w:val="18"/>
              </w:rPr>
            </w:pPr>
            <w:r>
              <w:rPr>
                <w:b/>
                <w:sz w:val="18"/>
              </w:rPr>
              <w:t>Actividad PAC 2.2.1: </w:t>
            </w:r>
            <w:r>
              <w:rPr>
                <w:sz w:val="18"/>
              </w:rPr>
              <w:t>Plan de capacitación institucional</w:t>
            </w:r>
            <w:r>
              <w:rPr>
                <w:spacing w:val="-15"/>
                <w:sz w:val="18"/>
              </w:rPr>
              <w:t> </w:t>
            </w:r>
            <w:r>
              <w:rPr>
                <w:sz w:val="18"/>
              </w:rPr>
              <w:t>ejecutado</w:t>
            </w:r>
            <w:r>
              <w:rPr>
                <w:spacing w:val="-12"/>
                <w:sz w:val="18"/>
              </w:rPr>
              <w:t> </w:t>
            </w:r>
            <w:r>
              <w:rPr>
                <w:sz w:val="18"/>
              </w:rPr>
              <w:t>al </w:t>
            </w:r>
            <w:r>
              <w:rPr>
                <w:spacing w:val="-4"/>
                <w:sz w:val="18"/>
              </w:rPr>
              <w:t>2027</w:t>
            </w:r>
          </w:p>
        </w:tc>
        <w:tc>
          <w:tcPr>
            <w:tcW w:w="1416" w:type="dxa"/>
          </w:tcPr>
          <w:p>
            <w:pPr>
              <w:pStyle w:val="TableParagraph"/>
              <w:spacing w:before="13"/>
              <w:ind w:left="69" w:right="139"/>
              <w:rPr>
                <w:sz w:val="18"/>
              </w:rPr>
            </w:pPr>
            <w:r>
              <w:rPr>
                <w:sz w:val="18"/>
              </w:rPr>
              <w:t>Porcentaje del </w:t>
            </w:r>
            <w:r>
              <w:rPr>
                <w:spacing w:val="-2"/>
                <w:sz w:val="18"/>
              </w:rPr>
              <w:t>presupuesto </w:t>
            </w:r>
            <w:r>
              <w:rPr>
                <w:sz w:val="18"/>
              </w:rPr>
              <w:t>ejecutado</w:t>
            </w:r>
            <w:r>
              <w:rPr>
                <w:spacing w:val="-13"/>
                <w:sz w:val="18"/>
              </w:rPr>
              <w:t> </w:t>
            </w:r>
            <w:r>
              <w:rPr>
                <w:sz w:val="18"/>
              </w:rPr>
              <w:t>para</w:t>
            </w:r>
          </w:p>
          <w:p>
            <w:pPr>
              <w:pStyle w:val="TableParagraph"/>
              <w:spacing w:line="206" w:lineRule="exact"/>
              <w:ind w:left="69"/>
              <w:rPr>
                <w:sz w:val="18"/>
              </w:rPr>
            </w:pPr>
            <w:r>
              <w:rPr>
                <w:sz w:val="18"/>
              </w:rPr>
              <w:t>el plan de </w:t>
            </w:r>
            <w:r>
              <w:rPr>
                <w:spacing w:val="-2"/>
                <w:sz w:val="18"/>
              </w:rPr>
              <w:t>capacitación.</w:t>
            </w:r>
          </w:p>
        </w:tc>
        <w:tc>
          <w:tcPr>
            <w:tcW w:w="1136" w:type="dxa"/>
          </w:tcPr>
          <w:p>
            <w:pPr>
              <w:pStyle w:val="TableParagraph"/>
              <w:rPr>
                <w:rFonts w:ascii="Times New Roman"/>
                <w:sz w:val="18"/>
              </w:rPr>
            </w:pPr>
          </w:p>
        </w:tc>
        <w:tc>
          <w:tcPr>
            <w:tcW w:w="1416" w:type="dxa"/>
          </w:tcPr>
          <w:p>
            <w:pPr>
              <w:pStyle w:val="TableParagraph"/>
              <w:rPr>
                <w:rFonts w:ascii="Times New Roman"/>
                <w:sz w:val="18"/>
              </w:rPr>
            </w:pPr>
          </w:p>
        </w:tc>
        <w:tc>
          <w:tcPr>
            <w:tcW w:w="1135" w:type="dxa"/>
          </w:tcPr>
          <w:p>
            <w:pPr>
              <w:pStyle w:val="TableParagraph"/>
              <w:rPr>
                <w:b/>
                <w:sz w:val="18"/>
              </w:rPr>
            </w:pPr>
          </w:p>
          <w:p>
            <w:pPr>
              <w:pStyle w:val="TableParagraph"/>
              <w:spacing w:before="15"/>
              <w:rPr>
                <w:b/>
                <w:sz w:val="18"/>
              </w:rPr>
            </w:pPr>
          </w:p>
          <w:p>
            <w:pPr>
              <w:pStyle w:val="TableParagraph"/>
              <w:ind w:left="81" w:right="73"/>
              <w:jc w:val="center"/>
              <w:rPr>
                <w:sz w:val="18"/>
              </w:rPr>
            </w:pPr>
            <w:r>
              <w:rPr>
                <w:spacing w:val="-5"/>
                <w:sz w:val="18"/>
              </w:rPr>
              <w:t>45%</w:t>
            </w:r>
          </w:p>
        </w:tc>
        <w:tc>
          <w:tcPr>
            <w:tcW w:w="1421" w:type="dxa"/>
          </w:tcPr>
          <w:p>
            <w:pPr>
              <w:pStyle w:val="TableParagraph"/>
              <w:rPr>
                <w:b/>
                <w:sz w:val="18"/>
              </w:rPr>
            </w:pPr>
          </w:p>
          <w:p>
            <w:pPr>
              <w:pStyle w:val="TableParagraph"/>
              <w:spacing w:before="15"/>
              <w:rPr>
                <w:b/>
                <w:sz w:val="18"/>
              </w:rPr>
            </w:pPr>
          </w:p>
          <w:p>
            <w:pPr>
              <w:pStyle w:val="TableParagraph"/>
              <w:ind w:left="316"/>
              <w:rPr>
                <w:sz w:val="18"/>
              </w:rPr>
            </w:pPr>
            <w:r>
              <w:rPr>
                <w:sz w:val="18"/>
              </w:rPr>
              <w:t>₡45</w:t>
            </w:r>
            <w:r>
              <w:rPr>
                <w:spacing w:val="-2"/>
                <w:sz w:val="18"/>
              </w:rPr>
              <w:t> </w:t>
            </w:r>
            <w:r>
              <w:rPr>
                <w:sz w:val="18"/>
              </w:rPr>
              <w:t>000</w:t>
            </w:r>
            <w:r>
              <w:rPr>
                <w:spacing w:val="-2"/>
                <w:sz w:val="18"/>
              </w:rPr>
              <w:t> </w:t>
            </w:r>
            <w:r>
              <w:rPr>
                <w:spacing w:val="-5"/>
                <w:sz w:val="18"/>
              </w:rPr>
              <w:t>000</w:t>
            </w:r>
          </w:p>
        </w:tc>
        <w:tc>
          <w:tcPr>
            <w:tcW w:w="1272" w:type="dxa"/>
          </w:tcPr>
          <w:p>
            <w:pPr>
              <w:pStyle w:val="TableParagraph"/>
              <w:rPr>
                <w:rFonts w:ascii="Times New Roman"/>
                <w:sz w:val="18"/>
              </w:rPr>
            </w:pPr>
          </w:p>
        </w:tc>
        <w:tc>
          <w:tcPr>
            <w:tcW w:w="1421" w:type="dxa"/>
          </w:tcPr>
          <w:p>
            <w:pPr>
              <w:pStyle w:val="TableParagraph"/>
              <w:rPr>
                <w:rFonts w:ascii="Times New Roman"/>
                <w:sz w:val="18"/>
              </w:rPr>
            </w:pPr>
          </w:p>
        </w:tc>
        <w:tc>
          <w:tcPr>
            <w:tcW w:w="1416" w:type="dxa"/>
          </w:tcPr>
          <w:p>
            <w:pPr>
              <w:pStyle w:val="TableParagraph"/>
              <w:rPr>
                <w:b/>
                <w:sz w:val="18"/>
              </w:rPr>
            </w:pPr>
          </w:p>
          <w:p>
            <w:pPr>
              <w:pStyle w:val="TableParagraph"/>
              <w:spacing w:before="15"/>
              <w:rPr>
                <w:b/>
                <w:sz w:val="18"/>
              </w:rPr>
            </w:pPr>
          </w:p>
          <w:p>
            <w:pPr>
              <w:pStyle w:val="TableParagraph"/>
              <w:ind w:left="46" w:right="34"/>
              <w:jc w:val="center"/>
              <w:rPr>
                <w:sz w:val="18"/>
              </w:rPr>
            </w:pPr>
            <w:r>
              <w:rPr>
                <w:spacing w:val="-5"/>
                <w:sz w:val="18"/>
              </w:rPr>
              <w:t>90%</w:t>
            </w:r>
          </w:p>
        </w:tc>
        <w:tc>
          <w:tcPr>
            <w:tcW w:w="1416" w:type="dxa"/>
          </w:tcPr>
          <w:p>
            <w:pPr>
              <w:pStyle w:val="TableParagraph"/>
              <w:rPr>
                <w:b/>
                <w:sz w:val="18"/>
              </w:rPr>
            </w:pPr>
          </w:p>
          <w:p>
            <w:pPr>
              <w:pStyle w:val="TableParagraph"/>
              <w:spacing w:before="15"/>
              <w:rPr>
                <w:b/>
                <w:sz w:val="18"/>
              </w:rPr>
            </w:pPr>
          </w:p>
          <w:p>
            <w:pPr>
              <w:pStyle w:val="TableParagraph"/>
              <w:ind w:right="58"/>
              <w:jc w:val="right"/>
              <w:rPr>
                <w:sz w:val="18"/>
              </w:rPr>
            </w:pPr>
            <w:r>
              <w:rPr>
                <w:sz w:val="18"/>
              </w:rPr>
              <w:t>₡100</w:t>
            </w:r>
            <w:r>
              <w:rPr>
                <w:spacing w:val="-2"/>
                <w:sz w:val="18"/>
              </w:rPr>
              <w:t> </w:t>
            </w:r>
            <w:r>
              <w:rPr>
                <w:sz w:val="18"/>
              </w:rPr>
              <w:t>000</w:t>
            </w:r>
            <w:r>
              <w:rPr>
                <w:spacing w:val="-1"/>
                <w:sz w:val="18"/>
              </w:rPr>
              <w:t> </w:t>
            </w:r>
            <w:r>
              <w:rPr>
                <w:spacing w:val="-5"/>
                <w:sz w:val="18"/>
              </w:rPr>
              <w:t>000</w:t>
            </w:r>
          </w:p>
        </w:tc>
      </w:tr>
      <w:tr>
        <w:trPr>
          <w:trHeight w:val="894" w:hRule="atLeast"/>
        </w:trPr>
        <w:tc>
          <w:tcPr>
            <w:tcW w:w="2127" w:type="dxa"/>
            <w:vMerge/>
            <w:tcBorders>
              <w:top w:val="nil"/>
            </w:tcBorders>
          </w:tcPr>
          <w:p>
            <w:pPr>
              <w:rPr>
                <w:sz w:val="2"/>
                <w:szCs w:val="2"/>
              </w:rPr>
            </w:pPr>
          </w:p>
        </w:tc>
        <w:tc>
          <w:tcPr>
            <w:tcW w:w="1416" w:type="dxa"/>
          </w:tcPr>
          <w:p>
            <w:pPr>
              <w:pStyle w:val="TableParagraph"/>
              <w:spacing w:before="135"/>
              <w:ind w:left="69" w:right="359"/>
              <w:rPr>
                <w:sz w:val="18"/>
              </w:rPr>
            </w:pPr>
            <w:r>
              <w:rPr>
                <w:sz w:val="18"/>
              </w:rPr>
              <w:t>Cantidad</w:t>
            </w:r>
            <w:r>
              <w:rPr>
                <w:spacing w:val="-13"/>
                <w:sz w:val="18"/>
              </w:rPr>
              <w:t> </w:t>
            </w:r>
            <w:r>
              <w:rPr>
                <w:sz w:val="18"/>
              </w:rPr>
              <w:t>de </w:t>
            </w:r>
            <w:r>
              <w:rPr>
                <w:spacing w:val="-2"/>
                <w:sz w:val="18"/>
              </w:rPr>
              <w:t>cursos impartidos</w:t>
            </w:r>
          </w:p>
        </w:tc>
        <w:tc>
          <w:tcPr>
            <w:tcW w:w="1136" w:type="dxa"/>
          </w:tcPr>
          <w:p>
            <w:pPr>
              <w:pStyle w:val="TableParagraph"/>
              <w:rPr>
                <w:rFonts w:ascii="Times New Roman"/>
                <w:sz w:val="18"/>
              </w:rPr>
            </w:pPr>
          </w:p>
        </w:tc>
        <w:tc>
          <w:tcPr>
            <w:tcW w:w="1416" w:type="dxa"/>
          </w:tcPr>
          <w:p>
            <w:pPr>
              <w:pStyle w:val="TableParagraph"/>
              <w:rPr>
                <w:rFonts w:ascii="Times New Roman"/>
                <w:sz w:val="18"/>
              </w:rPr>
            </w:pPr>
          </w:p>
        </w:tc>
        <w:tc>
          <w:tcPr>
            <w:tcW w:w="1135" w:type="dxa"/>
          </w:tcPr>
          <w:p>
            <w:pPr>
              <w:pStyle w:val="TableParagraph"/>
              <w:spacing w:before="135"/>
              <w:rPr>
                <w:b/>
                <w:sz w:val="18"/>
              </w:rPr>
            </w:pPr>
          </w:p>
          <w:p>
            <w:pPr>
              <w:pStyle w:val="TableParagraph"/>
              <w:ind w:left="81" w:right="75"/>
              <w:jc w:val="center"/>
              <w:rPr>
                <w:sz w:val="18"/>
              </w:rPr>
            </w:pPr>
            <w:r>
              <w:rPr>
                <w:spacing w:val="-5"/>
                <w:sz w:val="18"/>
              </w:rPr>
              <w:t>20</w:t>
            </w:r>
          </w:p>
        </w:tc>
        <w:tc>
          <w:tcPr>
            <w:tcW w:w="1421" w:type="dxa"/>
          </w:tcPr>
          <w:p>
            <w:pPr>
              <w:pStyle w:val="TableParagraph"/>
              <w:rPr>
                <w:rFonts w:ascii="Times New Roman"/>
                <w:sz w:val="18"/>
              </w:rPr>
            </w:pPr>
          </w:p>
        </w:tc>
        <w:tc>
          <w:tcPr>
            <w:tcW w:w="1272" w:type="dxa"/>
          </w:tcPr>
          <w:p>
            <w:pPr>
              <w:pStyle w:val="TableParagraph"/>
              <w:rPr>
                <w:rFonts w:ascii="Times New Roman"/>
                <w:sz w:val="18"/>
              </w:rPr>
            </w:pPr>
          </w:p>
        </w:tc>
        <w:tc>
          <w:tcPr>
            <w:tcW w:w="1421" w:type="dxa"/>
          </w:tcPr>
          <w:p>
            <w:pPr>
              <w:pStyle w:val="TableParagraph"/>
              <w:rPr>
                <w:rFonts w:ascii="Times New Roman"/>
                <w:sz w:val="18"/>
              </w:rPr>
            </w:pPr>
          </w:p>
        </w:tc>
        <w:tc>
          <w:tcPr>
            <w:tcW w:w="1416" w:type="dxa"/>
          </w:tcPr>
          <w:p>
            <w:pPr>
              <w:pStyle w:val="TableParagraph"/>
              <w:spacing w:before="135"/>
              <w:rPr>
                <w:b/>
                <w:sz w:val="18"/>
              </w:rPr>
            </w:pPr>
          </w:p>
          <w:p>
            <w:pPr>
              <w:pStyle w:val="TableParagraph"/>
              <w:ind w:left="44" w:right="34"/>
              <w:jc w:val="center"/>
              <w:rPr>
                <w:sz w:val="18"/>
              </w:rPr>
            </w:pPr>
            <w:r>
              <w:rPr>
                <w:spacing w:val="-5"/>
                <w:sz w:val="18"/>
              </w:rPr>
              <w:t>45</w:t>
            </w:r>
          </w:p>
        </w:tc>
        <w:tc>
          <w:tcPr>
            <w:tcW w:w="1416" w:type="dxa"/>
          </w:tcPr>
          <w:p>
            <w:pPr>
              <w:pStyle w:val="TableParagraph"/>
              <w:rPr>
                <w:rFonts w:ascii="Times New Roman"/>
                <w:sz w:val="18"/>
              </w:rPr>
            </w:pPr>
          </w:p>
        </w:tc>
      </w:tr>
      <w:tr>
        <w:trPr>
          <w:trHeight w:val="585" w:hRule="atLeast"/>
        </w:trPr>
        <w:tc>
          <w:tcPr>
            <w:tcW w:w="14176" w:type="dxa"/>
            <w:gridSpan w:val="10"/>
            <w:shd w:val="clear" w:color="auto" w:fill="DBE4F0"/>
          </w:tcPr>
          <w:p>
            <w:pPr>
              <w:pStyle w:val="TableParagraph"/>
              <w:spacing w:before="188"/>
              <w:ind w:left="69"/>
              <w:rPr>
                <w:b/>
                <w:sz w:val="18"/>
              </w:rPr>
            </w:pPr>
            <w:r>
              <w:rPr>
                <w:b/>
                <w:sz w:val="18"/>
              </w:rPr>
              <w:t>Producto</w:t>
            </w:r>
            <w:r>
              <w:rPr>
                <w:b/>
                <w:spacing w:val="-6"/>
                <w:sz w:val="18"/>
              </w:rPr>
              <w:t> </w:t>
            </w:r>
            <w:r>
              <w:rPr>
                <w:b/>
                <w:sz w:val="18"/>
              </w:rPr>
              <w:t>PAC</w:t>
            </w:r>
            <w:r>
              <w:rPr>
                <w:b/>
                <w:spacing w:val="-5"/>
                <w:sz w:val="18"/>
              </w:rPr>
              <w:t> </w:t>
            </w:r>
            <w:r>
              <w:rPr>
                <w:b/>
                <w:sz w:val="18"/>
              </w:rPr>
              <w:t>2.3:</w:t>
            </w:r>
            <w:r>
              <w:rPr>
                <w:b/>
                <w:spacing w:val="-3"/>
                <w:sz w:val="18"/>
              </w:rPr>
              <w:t> </w:t>
            </w:r>
            <w:r>
              <w:rPr>
                <w:b/>
                <w:sz w:val="18"/>
              </w:rPr>
              <w:t>Estimación</w:t>
            </w:r>
            <w:r>
              <w:rPr>
                <w:b/>
                <w:spacing w:val="-4"/>
                <w:sz w:val="18"/>
              </w:rPr>
              <w:t> </w:t>
            </w:r>
            <w:r>
              <w:rPr>
                <w:b/>
                <w:sz w:val="18"/>
              </w:rPr>
              <w:t>presupuestaria</w:t>
            </w:r>
            <w:r>
              <w:rPr>
                <w:b/>
                <w:spacing w:val="-3"/>
                <w:sz w:val="18"/>
              </w:rPr>
              <w:t> </w:t>
            </w:r>
            <w:r>
              <w:rPr>
                <w:b/>
                <w:sz w:val="18"/>
              </w:rPr>
              <w:t>de</w:t>
            </w:r>
            <w:r>
              <w:rPr>
                <w:b/>
                <w:spacing w:val="-6"/>
                <w:sz w:val="18"/>
              </w:rPr>
              <w:t> </w:t>
            </w:r>
            <w:r>
              <w:rPr>
                <w:b/>
                <w:sz w:val="18"/>
              </w:rPr>
              <w:t>los</w:t>
            </w:r>
            <w:r>
              <w:rPr>
                <w:b/>
                <w:spacing w:val="-4"/>
                <w:sz w:val="18"/>
              </w:rPr>
              <w:t> </w:t>
            </w:r>
            <w:r>
              <w:rPr>
                <w:b/>
                <w:sz w:val="18"/>
              </w:rPr>
              <w:t>recursos</w:t>
            </w:r>
            <w:r>
              <w:rPr>
                <w:b/>
                <w:spacing w:val="-3"/>
                <w:sz w:val="18"/>
              </w:rPr>
              <w:t> </w:t>
            </w:r>
            <w:r>
              <w:rPr>
                <w:b/>
                <w:sz w:val="18"/>
              </w:rPr>
              <w:t>necesarios</w:t>
            </w:r>
            <w:r>
              <w:rPr>
                <w:b/>
                <w:spacing w:val="-4"/>
                <w:sz w:val="18"/>
              </w:rPr>
              <w:t> </w:t>
            </w:r>
            <w:r>
              <w:rPr>
                <w:b/>
                <w:sz w:val="18"/>
              </w:rPr>
              <w:t>para</w:t>
            </w:r>
            <w:r>
              <w:rPr>
                <w:b/>
                <w:spacing w:val="-3"/>
                <w:sz w:val="18"/>
              </w:rPr>
              <w:t> </w:t>
            </w:r>
            <w:r>
              <w:rPr>
                <w:b/>
                <w:sz w:val="18"/>
              </w:rPr>
              <w:t>la</w:t>
            </w:r>
            <w:r>
              <w:rPr>
                <w:b/>
                <w:spacing w:val="-6"/>
                <w:sz w:val="18"/>
              </w:rPr>
              <w:t> </w:t>
            </w:r>
            <w:r>
              <w:rPr>
                <w:b/>
                <w:sz w:val="18"/>
              </w:rPr>
              <w:t>implementación</w:t>
            </w:r>
            <w:r>
              <w:rPr>
                <w:b/>
                <w:spacing w:val="-3"/>
                <w:sz w:val="18"/>
              </w:rPr>
              <w:t> </w:t>
            </w:r>
            <w:r>
              <w:rPr>
                <w:b/>
                <w:sz w:val="18"/>
              </w:rPr>
              <w:t>del</w:t>
            </w:r>
            <w:r>
              <w:rPr>
                <w:b/>
                <w:spacing w:val="-4"/>
                <w:sz w:val="18"/>
              </w:rPr>
              <w:t> </w:t>
            </w:r>
            <w:r>
              <w:rPr>
                <w:b/>
                <w:sz w:val="18"/>
              </w:rPr>
              <w:t>Plan</w:t>
            </w:r>
            <w:r>
              <w:rPr>
                <w:b/>
                <w:spacing w:val="-4"/>
                <w:sz w:val="18"/>
              </w:rPr>
              <w:t> </w:t>
            </w:r>
            <w:r>
              <w:rPr>
                <w:b/>
                <w:sz w:val="18"/>
              </w:rPr>
              <w:t>de</w:t>
            </w:r>
            <w:r>
              <w:rPr>
                <w:b/>
                <w:spacing w:val="-3"/>
                <w:sz w:val="18"/>
              </w:rPr>
              <w:t> </w:t>
            </w:r>
            <w:r>
              <w:rPr>
                <w:b/>
                <w:sz w:val="18"/>
              </w:rPr>
              <w:t>Empleo</w:t>
            </w:r>
            <w:r>
              <w:rPr>
                <w:b/>
                <w:spacing w:val="-4"/>
                <w:sz w:val="18"/>
              </w:rPr>
              <w:t> </w:t>
            </w:r>
            <w:r>
              <w:rPr>
                <w:b/>
                <w:sz w:val="18"/>
              </w:rPr>
              <w:t>Público.</w:t>
            </w:r>
            <w:r>
              <w:rPr>
                <w:b/>
                <w:spacing w:val="-4"/>
                <w:sz w:val="18"/>
              </w:rPr>
              <w:t> </w:t>
            </w:r>
            <w:r>
              <w:rPr>
                <w:b/>
                <w:sz w:val="18"/>
              </w:rPr>
              <w:t>E6</w:t>
            </w:r>
            <w:r>
              <w:rPr>
                <w:b/>
                <w:spacing w:val="8"/>
                <w:sz w:val="18"/>
              </w:rPr>
              <w:t> </w:t>
            </w:r>
            <w:r>
              <w:rPr>
                <w:b/>
                <w:sz w:val="18"/>
              </w:rPr>
              <w:t>AE6</w:t>
            </w:r>
            <w:r>
              <w:rPr>
                <w:b/>
                <w:spacing w:val="-4"/>
                <w:sz w:val="18"/>
              </w:rPr>
              <w:t> </w:t>
            </w:r>
            <w:r>
              <w:rPr>
                <w:b/>
                <w:sz w:val="18"/>
              </w:rPr>
              <w:t>R1</w:t>
            </w:r>
            <w:r>
              <w:rPr>
                <w:b/>
                <w:spacing w:val="-3"/>
                <w:sz w:val="18"/>
              </w:rPr>
              <w:t> </w:t>
            </w:r>
            <w:r>
              <w:rPr>
                <w:b/>
                <w:sz w:val="18"/>
              </w:rPr>
              <w:t>(meta</w:t>
            </w:r>
            <w:r>
              <w:rPr>
                <w:b/>
                <w:spacing w:val="-4"/>
                <w:sz w:val="18"/>
              </w:rPr>
              <w:t> </w:t>
            </w:r>
            <w:r>
              <w:rPr>
                <w:b/>
                <w:sz w:val="18"/>
              </w:rPr>
              <w:t>programada</w:t>
            </w:r>
            <w:r>
              <w:rPr>
                <w:b/>
                <w:spacing w:val="-3"/>
                <w:sz w:val="18"/>
              </w:rPr>
              <w:t> </w:t>
            </w:r>
            <w:r>
              <w:rPr>
                <w:b/>
                <w:spacing w:val="-4"/>
                <w:sz w:val="18"/>
              </w:rPr>
              <w:t>75%)</w:t>
            </w:r>
          </w:p>
        </w:tc>
      </w:tr>
      <w:tr>
        <w:trPr>
          <w:trHeight w:val="1860" w:hRule="atLeast"/>
        </w:trPr>
        <w:tc>
          <w:tcPr>
            <w:tcW w:w="2127" w:type="dxa"/>
          </w:tcPr>
          <w:p>
            <w:pPr>
              <w:pStyle w:val="TableParagraph"/>
              <w:spacing w:before="205"/>
              <w:rPr>
                <w:b/>
                <w:sz w:val="18"/>
              </w:rPr>
            </w:pPr>
          </w:p>
          <w:p>
            <w:pPr>
              <w:pStyle w:val="TableParagraph"/>
              <w:ind w:left="69"/>
              <w:rPr>
                <w:sz w:val="18"/>
              </w:rPr>
            </w:pPr>
            <w:r>
              <w:rPr>
                <w:b/>
                <w:sz w:val="18"/>
              </w:rPr>
              <w:t>Actividad PAC 2.3.1: </w:t>
            </w:r>
            <w:r>
              <w:rPr>
                <w:sz w:val="18"/>
              </w:rPr>
              <w:t>Formular</w:t>
            </w:r>
            <w:r>
              <w:rPr>
                <w:spacing w:val="-15"/>
                <w:sz w:val="18"/>
              </w:rPr>
              <w:t> </w:t>
            </w:r>
            <w:r>
              <w:rPr>
                <w:sz w:val="18"/>
              </w:rPr>
              <w:t>el</w:t>
            </w:r>
            <w:r>
              <w:rPr>
                <w:spacing w:val="-12"/>
                <w:sz w:val="18"/>
              </w:rPr>
              <w:t> </w:t>
            </w:r>
            <w:r>
              <w:rPr>
                <w:sz w:val="18"/>
              </w:rPr>
              <w:t>presupuesto acorde con la implementación</w:t>
            </w:r>
            <w:r>
              <w:rPr>
                <w:spacing w:val="-15"/>
                <w:sz w:val="18"/>
              </w:rPr>
              <w:t> </w:t>
            </w:r>
            <w:r>
              <w:rPr>
                <w:sz w:val="18"/>
              </w:rPr>
              <w:t>del</w:t>
            </w:r>
            <w:r>
              <w:rPr>
                <w:spacing w:val="-12"/>
                <w:sz w:val="18"/>
              </w:rPr>
              <w:t> </w:t>
            </w:r>
            <w:r>
              <w:rPr>
                <w:sz w:val="18"/>
              </w:rPr>
              <w:t>Plan de Empleo Público.</w:t>
            </w:r>
          </w:p>
        </w:tc>
        <w:tc>
          <w:tcPr>
            <w:tcW w:w="1416" w:type="dxa"/>
          </w:tcPr>
          <w:p>
            <w:pPr>
              <w:pStyle w:val="TableParagraph"/>
              <w:spacing w:before="102"/>
              <w:ind w:left="69" w:right="84"/>
              <w:rPr>
                <w:sz w:val="18"/>
              </w:rPr>
            </w:pPr>
            <w:r>
              <w:rPr>
                <w:sz w:val="18"/>
              </w:rPr>
              <w:t>Cantidad de </w:t>
            </w:r>
            <w:r>
              <w:rPr>
                <w:spacing w:val="-2"/>
                <w:sz w:val="18"/>
              </w:rPr>
              <w:t>presupuestos formulados </w:t>
            </w:r>
            <w:r>
              <w:rPr>
                <w:sz w:val="18"/>
              </w:rPr>
              <w:t>acorde con la </w:t>
            </w:r>
            <w:r>
              <w:rPr>
                <w:spacing w:val="-2"/>
                <w:sz w:val="18"/>
              </w:rPr>
              <w:t>implementación </w:t>
            </w:r>
            <w:r>
              <w:rPr>
                <w:sz w:val="18"/>
              </w:rPr>
              <w:t>del Plan de </w:t>
            </w:r>
            <w:r>
              <w:rPr>
                <w:spacing w:val="-2"/>
                <w:sz w:val="18"/>
              </w:rPr>
              <w:t>Empleo</w:t>
            </w:r>
            <w:r>
              <w:rPr>
                <w:spacing w:val="40"/>
                <w:sz w:val="18"/>
              </w:rPr>
              <w:t> </w:t>
            </w:r>
            <w:r>
              <w:rPr>
                <w:spacing w:val="-2"/>
                <w:sz w:val="18"/>
              </w:rPr>
              <w:t>Público.</w:t>
            </w:r>
          </w:p>
        </w:tc>
        <w:tc>
          <w:tcPr>
            <w:tcW w:w="1136" w:type="dxa"/>
          </w:tcPr>
          <w:p>
            <w:pPr>
              <w:pStyle w:val="TableParagraph"/>
              <w:rPr>
                <w:rFonts w:ascii="Times New Roman"/>
                <w:sz w:val="18"/>
              </w:rPr>
            </w:pPr>
          </w:p>
        </w:tc>
        <w:tc>
          <w:tcPr>
            <w:tcW w:w="1416" w:type="dxa"/>
          </w:tcPr>
          <w:p>
            <w:pPr>
              <w:pStyle w:val="TableParagraph"/>
              <w:rPr>
                <w:rFonts w:ascii="Times New Roman"/>
                <w:sz w:val="18"/>
              </w:rPr>
            </w:pPr>
          </w:p>
        </w:tc>
        <w:tc>
          <w:tcPr>
            <w:tcW w:w="1135" w:type="dxa"/>
          </w:tcPr>
          <w:p>
            <w:pPr>
              <w:pStyle w:val="TableParagraph"/>
              <w:rPr>
                <w:rFonts w:ascii="Times New Roman"/>
                <w:sz w:val="18"/>
              </w:rPr>
            </w:pPr>
          </w:p>
        </w:tc>
        <w:tc>
          <w:tcPr>
            <w:tcW w:w="1421" w:type="dxa"/>
          </w:tcPr>
          <w:p>
            <w:pPr>
              <w:pStyle w:val="TableParagraph"/>
              <w:rPr>
                <w:rFonts w:ascii="Times New Roman"/>
                <w:sz w:val="18"/>
              </w:rPr>
            </w:pPr>
          </w:p>
        </w:tc>
        <w:tc>
          <w:tcPr>
            <w:tcW w:w="1272" w:type="dxa"/>
          </w:tcPr>
          <w:p>
            <w:pPr>
              <w:pStyle w:val="TableParagraph"/>
              <w:rPr>
                <w:b/>
                <w:sz w:val="18"/>
              </w:rPr>
            </w:pPr>
          </w:p>
          <w:p>
            <w:pPr>
              <w:pStyle w:val="TableParagraph"/>
              <w:rPr>
                <w:b/>
                <w:sz w:val="18"/>
              </w:rPr>
            </w:pPr>
          </w:p>
          <w:p>
            <w:pPr>
              <w:pStyle w:val="TableParagraph"/>
              <w:spacing w:before="206"/>
              <w:rPr>
                <w:b/>
                <w:sz w:val="18"/>
              </w:rPr>
            </w:pPr>
          </w:p>
          <w:p>
            <w:pPr>
              <w:pStyle w:val="TableParagraph"/>
              <w:ind w:right="574"/>
              <w:jc w:val="right"/>
              <w:rPr>
                <w:sz w:val="18"/>
              </w:rPr>
            </w:pPr>
            <w:r>
              <w:rPr>
                <w:spacing w:val="-10"/>
                <w:sz w:val="18"/>
              </w:rPr>
              <w:t>1</w:t>
            </w:r>
          </w:p>
        </w:tc>
        <w:tc>
          <w:tcPr>
            <w:tcW w:w="1421" w:type="dxa"/>
          </w:tcPr>
          <w:p>
            <w:pPr>
              <w:pStyle w:val="TableParagraph"/>
              <w:rPr>
                <w:rFonts w:ascii="Times New Roman"/>
                <w:sz w:val="18"/>
              </w:rPr>
            </w:pPr>
          </w:p>
        </w:tc>
        <w:tc>
          <w:tcPr>
            <w:tcW w:w="1416" w:type="dxa"/>
          </w:tcPr>
          <w:p>
            <w:pPr>
              <w:pStyle w:val="TableParagraph"/>
              <w:rPr>
                <w:rFonts w:ascii="Times New Roman"/>
                <w:sz w:val="18"/>
              </w:rPr>
            </w:pPr>
          </w:p>
        </w:tc>
        <w:tc>
          <w:tcPr>
            <w:tcW w:w="1416" w:type="dxa"/>
          </w:tcPr>
          <w:p>
            <w:pPr>
              <w:pStyle w:val="TableParagraph"/>
              <w:rPr>
                <w:rFonts w:ascii="Times New Roman"/>
                <w:sz w:val="18"/>
              </w:rPr>
            </w:pPr>
          </w:p>
        </w:tc>
      </w:tr>
      <w:tr>
        <w:trPr>
          <w:trHeight w:val="1658" w:hRule="atLeast"/>
        </w:trPr>
        <w:tc>
          <w:tcPr>
            <w:tcW w:w="2127" w:type="dxa"/>
          </w:tcPr>
          <w:p>
            <w:pPr>
              <w:pStyle w:val="TableParagraph"/>
              <w:ind w:left="69"/>
              <w:rPr>
                <w:sz w:val="18"/>
              </w:rPr>
            </w:pPr>
            <w:r>
              <w:rPr>
                <w:b/>
                <w:sz w:val="18"/>
              </w:rPr>
              <w:t>Actividad PAC 2.3.2: </w:t>
            </w:r>
            <w:r>
              <w:rPr>
                <w:sz w:val="18"/>
              </w:rPr>
              <w:t>Aplicar la Planilla institucional en forma oportuna para la implementación</w:t>
            </w:r>
            <w:r>
              <w:rPr>
                <w:spacing w:val="-15"/>
                <w:sz w:val="18"/>
              </w:rPr>
              <w:t> </w:t>
            </w:r>
            <w:r>
              <w:rPr>
                <w:sz w:val="18"/>
              </w:rPr>
              <w:t>del</w:t>
            </w:r>
            <w:r>
              <w:rPr>
                <w:spacing w:val="-12"/>
                <w:sz w:val="18"/>
              </w:rPr>
              <w:t> </w:t>
            </w:r>
            <w:r>
              <w:rPr>
                <w:sz w:val="18"/>
              </w:rPr>
              <w:t>Plan de Empleo Pública.</w:t>
            </w:r>
          </w:p>
          <w:p>
            <w:pPr>
              <w:pStyle w:val="TableParagraph"/>
              <w:spacing w:line="206" w:lineRule="exact"/>
              <w:ind w:left="69" w:right="79"/>
              <w:rPr>
                <w:sz w:val="18"/>
              </w:rPr>
            </w:pPr>
            <w:r>
              <w:rPr>
                <w:sz w:val="18"/>
              </w:rPr>
              <w:t>(Remuneraciones,</w:t>
            </w:r>
            <w:r>
              <w:rPr>
                <w:spacing w:val="-13"/>
                <w:sz w:val="18"/>
              </w:rPr>
              <w:t> </w:t>
            </w:r>
            <w:r>
              <w:rPr>
                <w:sz w:val="18"/>
              </w:rPr>
              <w:t>todas las subpartidas)</w:t>
            </w:r>
          </w:p>
        </w:tc>
        <w:tc>
          <w:tcPr>
            <w:tcW w:w="1416" w:type="dxa"/>
          </w:tcPr>
          <w:p>
            <w:pPr>
              <w:pStyle w:val="TableParagraph"/>
              <w:rPr>
                <w:b/>
                <w:sz w:val="18"/>
              </w:rPr>
            </w:pPr>
          </w:p>
          <w:p>
            <w:pPr>
              <w:pStyle w:val="TableParagraph"/>
              <w:rPr>
                <w:b/>
                <w:sz w:val="18"/>
              </w:rPr>
            </w:pPr>
          </w:p>
          <w:p>
            <w:pPr>
              <w:pStyle w:val="TableParagraph"/>
              <w:ind w:left="69"/>
              <w:rPr>
                <w:sz w:val="18"/>
              </w:rPr>
            </w:pPr>
            <w:r>
              <w:rPr>
                <w:sz w:val="18"/>
              </w:rPr>
              <w:t>Cantidad</w:t>
            </w:r>
            <w:r>
              <w:rPr>
                <w:spacing w:val="-15"/>
                <w:sz w:val="18"/>
              </w:rPr>
              <w:t> </w:t>
            </w:r>
            <w:r>
              <w:rPr>
                <w:sz w:val="18"/>
              </w:rPr>
              <w:t>de</w:t>
            </w:r>
            <w:r>
              <w:rPr>
                <w:spacing w:val="-12"/>
                <w:sz w:val="18"/>
              </w:rPr>
              <w:t> </w:t>
            </w:r>
            <w:r>
              <w:rPr>
                <w:sz w:val="18"/>
              </w:rPr>
              <w:t>la </w:t>
            </w:r>
            <w:r>
              <w:rPr>
                <w:spacing w:val="-2"/>
                <w:sz w:val="18"/>
              </w:rPr>
              <w:t>planilla institucional aplicada.</w:t>
            </w:r>
          </w:p>
        </w:tc>
        <w:tc>
          <w:tcPr>
            <w:tcW w:w="113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81" w:right="76"/>
              <w:jc w:val="center"/>
              <w:rPr>
                <w:sz w:val="18"/>
              </w:rPr>
            </w:pPr>
            <w:r>
              <w:rPr>
                <w:spacing w:val="-10"/>
                <w:sz w:val="18"/>
              </w:rPr>
              <w:t>7</w:t>
            </w:r>
          </w:p>
        </w:tc>
        <w:tc>
          <w:tcPr>
            <w:tcW w:w="1416" w:type="dxa"/>
          </w:tcPr>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right="34"/>
              <w:jc w:val="center"/>
              <w:rPr>
                <w:sz w:val="16"/>
              </w:rPr>
            </w:pPr>
            <w:r>
              <w:rPr>
                <w:sz w:val="16"/>
              </w:rPr>
              <w:t>₡6</w:t>
            </w:r>
            <w:r>
              <w:rPr>
                <w:spacing w:val="-2"/>
                <w:sz w:val="16"/>
              </w:rPr>
              <w:t> </w:t>
            </w:r>
            <w:r>
              <w:rPr>
                <w:sz w:val="16"/>
              </w:rPr>
              <w:t>956</w:t>
            </w:r>
            <w:r>
              <w:rPr>
                <w:spacing w:val="-2"/>
                <w:sz w:val="16"/>
              </w:rPr>
              <w:t> </w:t>
            </w:r>
            <w:r>
              <w:rPr>
                <w:sz w:val="16"/>
              </w:rPr>
              <w:t>635</w:t>
            </w:r>
            <w:r>
              <w:rPr>
                <w:spacing w:val="-1"/>
                <w:sz w:val="16"/>
              </w:rPr>
              <w:t> </w:t>
            </w:r>
            <w:r>
              <w:rPr>
                <w:spacing w:val="-5"/>
                <w:sz w:val="16"/>
              </w:rPr>
              <w:t>390</w:t>
            </w:r>
          </w:p>
        </w:tc>
        <w:tc>
          <w:tcPr>
            <w:tcW w:w="1135"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81" w:right="75"/>
              <w:jc w:val="center"/>
              <w:rPr>
                <w:sz w:val="18"/>
              </w:rPr>
            </w:pPr>
            <w:r>
              <w:rPr>
                <w:spacing w:val="-5"/>
                <w:sz w:val="18"/>
              </w:rPr>
              <w:t>13</w:t>
            </w:r>
          </w:p>
        </w:tc>
        <w:tc>
          <w:tcPr>
            <w:tcW w:w="1421" w:type="dxa"/>
          </w:tcPr>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69"/>
              <w:rPr>
                <w:sz w:val="16"/>
              </w:rPr>
            </w:pPr>
            <w:r>
              <w:rPr>
                <w:sz w:val="16"/>
              </w:rPr>
              <w:t>₡5</w:t>
            </w:r>
            <w:r>
              <w:rPr>
                <w:spacing w:val="-2"/>
                <w:sz w:val="16"/>
              </w:rPr>
              <w:t> </w:t>
            </w:r>
            <w:r>
              <w:rPr>
                <w:sz w:val="16"/>
              </w:rPr>
              <w:t>675</w:t>
            </w:r>
            <w:r>
              <w:rPr>
                <w:spacing w:val="-2"/>
                <w:sz w:val="16"/>
              </w:rPr>
              <w:t> </w:t>
            </w:r>
            <w:r>
              <w:rPr>
                <w:sz w:val="16"/>
              </w:rPr>
              <w:t>829</w:t>
            </w:r>
            <w:r>
              <w:rPr>
                <w:spacing w:val="-1"/>
                <w:sz w:val="16"/>
              </w:rPr>
              <w:t> </w:t>
            </w:r>
            <w:r>
              <w:rPr>
                <w:spacing w:val="-5"/>
                <w:sz w:val="16"/>
              </w:rPr>
              <w:t>479</w:t>
            </w:r>
          </w:p>
        </w:tc>
        <w:tc>
          <w:tcPr>
            <w:tcW w:w="1272"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23"/>
              <w:jc w:val="right"/>
              <w:rPr>
                <w:sz w:val="18"/>
              </w:rPr>
            </w:pPr>
            <w:r>
              <w:rPr>
                <w:spacing w:val="-5"/>
                <w:sz w:val="18"/>
              </w:rPr>
              <w:t>19</w:t>
            </w:r>
          </w:p>
        </w:tc>
        <w:tc>
          <w:tcPr>
            <w:tcW w:w="142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3" w:right="5"/>
              <w:jc w:val="center"/>
              <w:rPr>
                <w:sz w:val="18"/>
              </w:rPr>
            </w:pPr>
            <w:r>
              <w:rPr>
                <w:sz w:val="18"/>
              </w:rPr>
              <w:t>₡5 675</w:t>
            </w:r>
            <w:r>
              <w:rPr>
                <w:spacing w:val="-2"/>
                <w:sz w:val="18"/>
              </w:rPr>
              <w:t> </w:t>
            </w:r>
            <w:r>
              <w:rPr>
                <w:sz w:val="18"/>
              </w:rPr>
              <w:t>829</w:t>
            </w:r>
            <w:r>
              <w:rPr>
                <w:spacing w:val="-2"/>
                <w:sz w:val="18"/>
              </w:rPr>
              <w:t> </w:t>
            </w:r>
            <w:r>
              <w:rPr>
                <w:spacing w:val="-5"/>
                <w:sz w:val="18"/>
              </w:rPr>
              <w:t>479</w:t>
            </w:r>
          </w:p>
        </w:tc>
        <w:tc>
          <w:tcPr>
            <w:tcW w:w="141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44" w:right="34"/>
              <w:jc w:val="center"/>
              <w:rPr>
                <w:sz w:val="18"/>
              </w:rPr>
            </w:pPr>
            <w:r>
              <w:rPr>
                <w:spacing w:val="-5"/>
                <w:sz w:val="18"/>
              </w:rPr>
              <w:t>26</w:t>
            </w:r>
          </w:p>
        </w:tc>
        <w:tc>
          <w:tcPr>
            <w:tcW w:w="1416" w:type="dxa"/>
          </w:tcPr>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right="105"/>
              <w:jc w:val="right"/>
              <w:rPr>
                <w:sz w:val="16"/>
              </w:rPr>
            </w:pPr>
            <w:r>
              <w:rPr>
                <w:sz w:val="16"/>
              </w:rPr>
              <w:t>₡</w:t>
            </w:r>
            <w:r>
              <w:rPr>
                <w:spacing w:val="-2"/>
                <w:sz w:val="16"/>
              </w:rPr>
              <w:t> </w:t>
            </w:r>
            <w:r>
              <w:rPr>
                <w:sz w:val="16"/>
              </w:rPr>
              <w:t>7</w:t>
            </w:r>
            <w:r>
              <w:rPr>
                <w:spacing w:val="-1"/>
                <w:sz w:val="16"/>
              </w:rPr>
              <w:t> </w:t>
            </w:r>
            <w:r>
              <w:rPr>
                <w:sz w:val="16"/>
              </w:rPr>
              <w:t>072</w:t>
            </w:r>
            <w:r>
              <w:rPr>
                <w:spacing w:val="-1"/>
                <w:sz w:val="16"/>
              </w:rPr>
              <w:t> </w:t>
            </w:r>
            <w:r>
              <w:rPr>
                <w:sz w:val="16"/>
              </w:rPr>
              <w:t>478</w:t>
            </w:r>
            <w:r>
              <w:rPr>
                <w:spacing w:val="-2"/>
                <w:sz w:val="16"/>
              </w:rPr>
              <w:t> </w:t>
            </w:r>
            <w:r>
              <w:rPr>
                <w:spacing w:val="-5"/>
                <w:sz w:val="16"/>
              </w:rPr>
              <w:t>763</w:t>
            </w:r>
          </w:p>
        </w:tc>
      </w:tr>
    </w:tbl>
    <w:p>
      <w:pPr>
        <w:pStyle w:val="TableParagraph"/>
        <w:spacing w:after="0"/>
        <w:jc w:val="right"/>
        <w:rPr>
          <w:sz w:val="16"/>
        </w:rPr>
        <w:sectPr>
          <w:pgSz w:w="15840" w:h="12240" w:orient="landscape"/>
          <w:pgMar w:header="0" w:footer="1530" w:top="1380" w:bottom="2040" w:left="360" w:right="360"/>
        </w:sectPr>
      </w:pPr>
    </w:p>
    <w:p>
      <w:pPr>
        <w:pStyle w:val="BodyText"/>
        <w:rPr>
          <w:b/>
          <w:sz w:val="20"/>
        </w:rPr>
      </w:pPr>
    </w:p>
    <w:p>
      <w:pPr>
        <w:pStyle w:val="BodyText"/>
        <w:rPr>
          <w:b/>
          <w:sz w:val="20"/>
        </w:rPr>
      </w:pPr>
    </w:p>
    <w:p>
      <w:pPr>
        <w:pStyle w:val="BodyText"/>
        <w:spacing w:before="42"/>
        <w:rPr>
          <w:b/>
          <w:sz w:val="20"/>
        </w:rPr>
      </w:pPr>
    </w:p>
    <w:tbl>
      <w:tblPr>
        <w:tblW w:w="0" w:type="auto"/>
        <w:jc w:val="left"/>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16"/>
        <w:gridCol w:w="344"/>
        <w:gridCol w:w="1340"/>
        <w:gridCol w:w="1221"/>
        <w:gridCol w:w="1278"/>
        <w:gridCol w:w="1278"/>
        <w:gridCol w:w="1276"/>
        <w:gridCol w:w="1278"/>
        <w:gridCol w:w="1430"/>
        <w:gridCol w:w="1391"/>
        <w:gridCol w:w="1437"/>
      </w:tblGrid>
      <w:tr>
        <w:trPr>
          <w:trHeight w:val="285" w:hRule="atLeast"/>
        </w:trPr>
        <w:tc>
          <w:tcPr>
            <w:tcW w:w="2260" w:type="dxa"/>
            <w:gridSpan w:val="2"/>
            <w:vMerge w:val="restart"/>
            <w:shd w:val="clear" w:color="auto" w:fill="F1F1F1"/>
          </w:tcPr>
          <w:p>
            <w:pPr>
              <w:pStyle w:val="TableParagraph"/>
              <w:spacing w:before="67"/>
              <w:rPr>
                <w:b/>
                <w:sz w:val="18"/>
              </w:rPr>
            </w:pPr>
          </w:p>
          <w:p>
            <w:pPr>
              <w:pStyle w:val="TableParagraph"/>
              <w:spacing w:before="1"/>
              <w:ind w:left="155"/>
              <w:rPr>
                <w:b/>
                <w:sz w:val="18"/>
              </w:rPr>
            </w:pPr>
            <w:r>
              <w:rPr>
                <w:b/>
                <w:sz w:val="18"/>
              </w:rPr>
              <w:t>Objetivos</w:t>
            </w:r>
            <w:r>
              <w:rPr>
                <w:b/>
                <w:spacing w:val="-4"/>
                <w:sz w:val="18"/>
              </w:rPr>
              <w:t> </w:t>
            </w:r>
            <w:r>
              <w:rPr>
                <w:b/>
                <w:sz w:val="18"/>
              </w:rPr>
              <w:t>/</w:t>
            </w:r>
            <w:r>
              <w:rPr>
                <w:b/>
                <w:spacing w:val="-2"/>
                <w:sz w:val="18"/>
              </w:rPr>
              <w:t> Resultados</w:t>
            </w:r>
          </w:p>
        </w:tc>
        <w:tc>
          <w:tcPr>
            <w:tcW w:w="1340" w:type="dxa"/>
            <w:vMerge w:val="restart"/>
            <w:shd w:val="clear" w:color="auto" w:fill="F1F1F1"/>
          </w:tcPr>
          <w:p>
            <w:pPr>
              <w:pStyle w:val="TableParagraph"/>
              <w:spacing w:before="67"/>
              <w:rPr>
                <w:b/>
                <w:sz w:val="18"/>
              </w:rPr>
            </w:pPr>
          </w:p>
          <w:p>
            <w:pPr>
              <w:pStyle w:val="TableParagraph"/>
              <w:spacing w:before="1"/>
              <w:ind w:left="262"/>
              <w:rPr>
                <w:b/>
                <w:sz w:val="18"/>
              </w:rPr>
            </w:pPr>
            <w:r>
              <w:rPr>
                <w:b/>
                <w:spacing w:val="-2"/>
                <w:sz w:val="18"/>
              </w:rPr>
              <w:t>Indicador</w:t>
            </w:r>
          </w:p>
        </w:tc>
        <w:tc>
          <w:tcPr>
            <w:tcW w:w="2499" w:type="dxa"/>
            <w:gridSpan w:val="2"/>
            <w:shd w:val="clear" w:color="auto" w:fill="F1F1F1"/>
          </w:tcPr>
          <w:p>
            <w:pPr>
              <w:pStyle w:val="TableParagraph"/>
              <w:spacing w:before="37"/>
              <w:ind w:left="783"/>
              <w:rPr>
                <w:b/>
                <w:sz w:val="18"/>
              </w:rPr>
            </w:pPr>
            <w:r>
              <w:rPr>
                <w:b/>
                <w:sz w:val="18"/>
              </w:rPr>
              <w:t>I </w:t>
            </w:r>
            <w:r>
              <w:rPr>
                <w:b/>
                <w:spacing w:val="-2"/>
                <w:sz w:val="18"/>
              </w:rPr>
              <w:t>Trimestre</w:t>
            </w:r>
          </w:p>
        </w:tc>
        <w:tc>
          <w:tcPr>
            <w:tcW w:w="2554" w:type="dxa"/>
            <w:gridSpan w:val="2"/>
            <w:shd w:val="clear" w:color="auto" w:fill="F1F1F1"/>
          </w:tcPr>
          <w:p>
            <w:pPr>
              <w:pStyle w:val="TableParagraph"/>
              <w:spacing w:before="37"/>
              <w:ind w:left="785"/>
              <w:rPr>
                <w:b/>
                <w:sz w:val="18"/>
              </w:rPr>
            </w:pPr>
            <w:r>
              <w:rPr>
                <w:b/>
                <w:sz w:val="18"/>
              </w:rPr>
              <w:t>II </w:t>
            </w:r>
            <w:r>
              <w:rPr>
                <w:b/>
                <w:spacing w:val="-2"/>
                <w:sz w:val="18"/>
              </w:rPr>
              <w:t>Trimestre</w:t>
            </w:r>
          </w:p>
        </w:tc>
        <w:tc>
          <w:tcPr>
            <w:tcW w:w="2708" w:type="dxa"/>
            <w:gridSpan w:val="2"/>
            <w:shd w:val="clear" w:color="auto" w:fill="F1F1F1"/>
          </w:tcPr>
          <w:p>
            <w:pPr>
              <w:pStyle w:val="TableParagraph"/>
              <w:spacing w:before="37"/>
              <w:ind w:left="835"/>
              <w:rPr>
                <w:b/>
                <w:sz w:val="18"/>
              </w:rPr>
            </w:pPr>
            <w:r>
              <w:rPr>
                <w:b/>
                <w:sz w:val="18"/>
              </w:rPr>
              <w:t>III </w:t>
            </w:r>
            <w:r>
              <w:rPr>
                <w:b/>
                <w:spacing w:val="-2"/>
                <w:sz w:val="18"/>
              </w:rPr>
              <w:t>Trimestre</w:t>
            </w:r>
          </w:p>
        </w:tc>
        <w:tc>
          <w:tcPr>
            <w:tcW w:w="2828" w:type="dxa"/>
            <w:gridSpan w:val="2"/>
            <w:shd w:val="clear" w:color="auto" w:fill="F1F1F1"/>
          </w:tcPr>
          <w:p>
            <w:pPr>
              <w:pStyle w:val="TableParagraph"/>
              <w:spacing w:before="37"/>
              <w:ind w:left="880"/>
              <w:rPr>
                <w:b/>
                <w:sz w:val="18"/>
              </w:rPr>
            </w:pPr>
            <w:r>
              <w:rPr>
                <w:b/>
                <w:sz w:val="18"/>
              </w:rPr>
              <w:t>IV </w:t>
            </w:r>
            <w:r>
              <w:rPr>
                <w:b/>
                <w:spacing w:val="-2"/>
                <w:sz w:val="18"/>
              </w:rPr>
              <w:t>Trimestre</w:t>
            </w:r>
          </w:p>
        </w:tc>
      </w:tr>
      <w:tr>
        <w:trPr>
          <w:trHeight w:val="465" w:hRule="atLeast"/>
        </w:trPr>
        <w:tc>
          <w:tcPr>
            <w:tcW w:w="2260" w:type="dxa"/>
            <w:gridSpan w:val="2"/>
            <w:vMerge/>
            <w:tcBorders>
              <w:top w:val="nil"/>
            </w:tcBorders>
            <w:shd w:val="clear" w:color="auto" w:fill="F1F1F1"/>
          </w:tcPr>
          <w:p>
            <w:pPr>
              <w:rPr>
                <w:sz w:val="2"/>
                <w:szCs w:val="2"/>
              </w:rPr>
            </w:pPr>
          </w:p>
        </w:tc>
        <w:tc>
          <w:tcPr>
            <w:tcW w:w="1340" w:type="dxa"/>
            <w:vMerge/>
            <w:tcBorders>
              <w:top w:val="nil"/>
            </w:tcBorders>
            <w:shd w:val="clear" w:color="auto" w:fill="F1F1F1"/>
          </w:tcPr>
          <w:p>
            <w:pPr>
              <w:rPr>
                <w:sz w:val="2"/>
                <w:szCs w:val="2"/>
              </w:rPr>
            </w:pPr>
          </w:p>
        </w:tc>
        <w:tc>
          <w:tcPr>
            <w:tcW w:w="1221" w:type="dxa"/>
            <w:shd w:val="clear" w:color="auto" w:fill="F1F1F1"/>
          </w:tcPr>
          <w:p>
            <w:pPr>
              <w:pStyle w:val="TableParagraph"/>
              <w:spacing w:before="25"/>
              <w:ind w:left="86" w:right="81" w:firstLine="314"/>
              <w:rPr>
                <w:b/>
                <w:sz w:val="18"/>
              </w:rPr>
            </w:pPr>
            <w:r>
              <w:rPr>
                <w:b/>
                <w:spacing w:val="-4"/>
                <w:sz w:val="18"/>
              </w:rPr>
              <w:t>Meta </w:t>
            </w:r>
            <w:r>
              <w:rPr>
                <w:b/>
                <w:spacing w:val="-2"/>
                <w:sz w:val="18"/>
              </w:rPr>
              <w:t>programada</w:t>
            </w:r>
          </w:p>
        </w:tc>
        <w:tc>
          <w:tcPr>
            <w:tcW w:w="1278" w:type="dxa"/>
            <w:shd w:val="clear" w:color="auto" w:fill="F1F1F1"/>
          </w:tcPr>
          <w:p>
            <w:pPr>
              <w:pStyle w:val="TableParagraph"/>
              <w:spacing w:before="128"/>
              <w:ind w:left="9" w:right="10"/>
              <w:jc w:val="center"/>
              <w:rPr>
                <w:b/>
                <w:sz w:val="18"/>
              </w:rPr>
            </w:pPr>
            <w:r>
              <w:rPr>
                <w:b/>
                <w:spacing w:val="-10"/>
                <w:sz w:val="18"/>
              </w:rPr>
              <w:t>¢</w:t>
            </w:r>
          </w:p>
        </w:tc>
        <w:tc>
          <w:tcPr>
            <w:tcW w:w="1278" w:type="dxa"/>
            <w:shd w:val="clear" w:color="auto" w:fill="F1F1F1"/>
          </w:tcPr>
          <w:p>
            <w:pPr>
              <w:pStyle w:val="TableParagraph"/>
              <w:spacing w:before="25"/>
              <w:ind w:left="110" w:firstLine="314"/>
              <w:rPr>
                <w:b/>
                <w:sz w:val="18"/>
              </w:rPr>
            </w:pPr>
            <w:r>
              <w:rPr>
                <w:b/>
                <w:spacing w:val="-4"/>
                <w:sz w:val="18"/>
              </w:rPr>
              <w:t>Meta </w:t>
            </w:r>
            <w:r>
              <w:rPr>
                <w:b/>
                <w:spacing w:val="-2"/>
                <w:sz w:val="18"/>
              </w:rPr>
              <w:t>programada</w:t>
            </w:r>
          </w:p>
        </w:tc>
        <w:tc>
          <w:tcPr>
            <w:tcW w:w="1276" w:type="dxa"/>
            <w:shd w:val="clear" w:color="auto" w:fill="F1F1F1"/>
          </w:tcPr>
          <w:p>
            <w:pPr>
              <w:pStyle w:val="TableParagraph"/>
              <w:spacing w:before="128"/>
              <w:ind w:right="3"/>
              <w:jc w:val="center"/>
              <w:rPr>
                <w:b/>
                <w:sz w:val="18"/>
              </w:rPr>
            </w:pPr>
            <w:r>
              <w:rPr>
                <w:b/>
                <w:spacing w:val="-10"/>
                <w:sz w:val="18"/>
              </w:rPr>
              <w:t>¢</w:t>
            </w:r>
          </w:p>
        </w:tc>
        <w:tc>
          <w:tcPr>
            <w:tcW w:w="1278" w:type="dxa"/>
            <w:shd w:val="clear" w:color="auto" w:fill="F1F1F1"/>
          </w:tcPr>
          <w:p>
            <w:pPr>
              <w:pStyle w:val="TableParagraph"/>
              <w:spacing w:before="25"/>
              <w:ind w:left="108" w:firstLine="314"/>
              <w:rPr>
                <w:b/>
                <w:sz w:val="18"/>
              </w:rPr>
            </w:pPr>
            <w:r>
              <w:rPr>
                <w:b/>
                <w:spacing w:val="-4"/>
                <w:sz w:val="18"/>
              </w:rPr>
              <w:t>Meta </w:t>
            </w:r>
            <w:r>
              <w:rPr>
                <w:b/>
                <w:spacing w:val="-2"/>
                <w:sz w:val="18"/>
              </w:rPr>
              <w:t>programada</w:t>
            </w:r>
          </w:p>
        </w:tc>
        <w:tc>
          <w:tcPr>
            <w:tcW w:w="1430" w:type="dxa"/>
            <w:shd w:val="clear" w:color="auto" w:fill="F1F1F1"/>
          </w:tcPr>
          <w:p>
            <w:pPr>
              <w:pStyle w:val="TableParagraph"/>
              <w:spacing w:before="128"/>
              <w:ind w:right="9"/>
              <w:jc w:val="center"/>
              <w:rPr>
                <w:b/>
                <w:sz w:val="18"/>
              </w:rPr>
            </w:pPr>
            <w:r>
              <w:rPr>
                <w:b/>
                <w:spacing w:val="-10"/>
                <w:sz w:val="18"/>
              </w:rPr>
              <w:t>¢</w:t>
            </w:r>
          </w:p>
        </w:tc>
        <w:tc>
          <w:tcPr>
            <w:tcW w:w="1391" w:type="dxa"/>
            <w:shd w:val="clear" w:color="auto" w:fill="F1F1F1"/>
          </w:tcPr>
          <w:p>
            <w:pPr>
              <w:pStyle w:val="TableParagraph"/>
              <w:spacing w:before="25"/>
              <w:ind w:left="163" w:firstLine="314"/>
              <w:rPr>
                <w:b/>
                <w:sz w:val="18"/>
              </w:rPr>
            </w:pPr>
            <w:r>
              <w:rPr>
                <w:b/>
                <w:spacing w:val="-4"/>
                <w:sz w:val="18"/>
              </w:rPr>
              <w:t>Meta </w:t>
            </w:r>
            <w:r>
              <w:rPr>
                <w:b/>
                <w:spacing w:val="-2"/>
                <w:sz w:val="18"/>
              </w:rPr>
              <w:t>programada</w:t>
            </w:r>
          </w:p>
        </w:tc>
        <w:tc>
          <w:tcPr>
            <w:tcW w:w="1437" w:type="dxa"/>
            <w:shd w:val="clear" w:color="auto" w:fill="F1F1F1"/>
          </w:tcPr>
          <w:p>
            <w:pPr>
              <w:pStyle w:val="TableParagraph"/>
              <w:spacing w:before="128"/>
              <w:ind w:right="17"/>
              <w:jc w:val="center"/>
              <w:rPr>
                <w:b/>
                <w:sz w:val="18"/>
              </w:rPr>
            </w:pPr>
            <w:r>
              <w:rPr>
                <w:b/>
                <w:spacing w:val="-10"/>
                <w:sz w:val="18"/>
              </w:rPr>
              <w:t>¢</w:t>
            </w:r>
          </w:p>
        </w:tc>
      </w:tr>
      <w:tr>
        <w:trPr>
          <w:trHeight w:val="438" w:hRule="atLeast"/>
        </w:trPr>
        <w:tc>
          <w:tcPr>
            <w:tcW w:w="14189" w:type="dxa"/>
            <w:gridSpan w:val="11"/>
            <w:shd w:val="clear" w:color="auto" w:fill="F1F1F1"/>
          </w:tcPr>
          <w:p>
            <w:pPr>
              <w:pStyle w:val="TableParagraph"/>
              <w:spacing w:line="206" w:lineRule="exact" w:before="7"/>
              <w:ind w:left="69"/>
              <w:rPr>
                <w:b/>
                <w:sz w:val="18"/>
              </w:rPr>
            </w:pPr>
            <w:r>
              <w:rPr>
                <w:b/>
                <w:sz w:val="18"/>
              </w:rPr>
              <w:t>Efecto:</w:t>
            </w:r>
            <w:r>
              <w:rPr>
                <w:b/>
                <w:spacing w:val="40"/>
                <w:sz w:val="18"/>
              </w:rPr>
              <w:t> </w:t>
            </w:r>
            <w:r>
              <w:rPr>
                <w:b/>
                <w:sz w:val="18"/>
              </w:rPr>
              <w:t>Efectiva</w:t>
            </w:r>
            <w:r>
              <w:rPr>
                <w:b/>
                <w:spacing w:val="-3"/>
                <w:sz w:val="18"/>
              </w:rPr>
              <w:t> </w:t>
            </w:r>
            <w:r>
              <w:rPr>
                <w:b/>
                <w:sz w:val="18"/>
              </w:rPr>
              <w:t>gestión</w:t>
            </w:r>
            <w:r>
              <w:rPr>
                <w:b/>
                <w:spacing w:val="-1"/>
                <w:sz w:val="18"/>
              </w:rPr>
              <w:t> </w:t>
            </w:r>
            <w:r>
              <w:rPr>
                <w:b/>
                <w:sz w:val="18"/>
              </w:rPr>
              <w:t>de</w:t>
            </w:r>
            <w:r>
              <w:rPr>
                <w:b/>
                <w:spacing w:val="-1"/>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522" w:hRule="atLeast"/>
        </w:trPr>
        <w:tc>
          <w:tcPr>
            <w:tcW w:w="14189" w:type="dxa"/>
            <w:gridSpan w:val="11"/>
            <w:shd w:val="clear" w:color="auto" w:fill="DCE6F0"/>
          </w:tcPr>
          <w:p>
            <w:pPr>
              <w:pStyle w:val="TableParagraph"/>
              <w:spacing w:before="157"/>
              <w:ind w:left="69"/>
              <w:rPr>
                <w:b/>
                <w:sz w:val="18"/>
              </w:rPr>
            </w:pPr>
            <w:r>
              <w:rPr>
                <w:b/>
                <w:sz w:val="18"/>
              </w:rPr>
              <w:t>Producto</w:t>
            </w:r>
            <w:r>
              <w:rPr>
                <w:b/>
                <w:spacing w:val="-6"/>
                <w:sz w:val="18"/>
              </w:rPr>
              <w:t> </w:t>
            </w:r>
            <w:r>
              <w:rPr>
                <w:b/>
                <w:sz w:val="18"/>
              </w:rPr>
              <w:t>2.4:</w:t>
            </w:r>
            <w:r>
              <w:rPr>
                <w:b/>
                <w:spacing w:val="-3"/>
                <w:sz w:val="18"/>
              </w:rPr>
              <w:t> </w:t>
            </w:r>
            <w:r>
              <w:rPr>
                <w:b/>
                <w:sz w:val="18"/>
              </w:rPr>
              <w:t>Infraestructura</w:t>
            </w:r>
            <w:r>
              <w:rPr>
                <w:b/>
                <w:spacing w:val="-3"/>
                <w:sz w:val="18"/>
              </w:rPr>
              <w:t> </w:t>
            </w:r>
            <w:r>
              <w:rPr>
                <w:b/>
                <w:sz w:val="18"/>
              </w:rPr>
              <w:t>tecnológica</w:t>
            </w:r>
            <w:r>
              <w:rPr>
                <w:b/>
                <w:spacing w:val="-3"/>
                <w:sz w:val="18"/>
              </w:rPr>
              <w:t> </w:t>
            </w:r>
            <w:r>
              <w:rPr>
                <w:b/>
                <w:sz w:val="18"/>
              </w:rPr>
              <w:t>brindando</w:t>
            </w:r>
            <w:r>
              <w:rPr>
                <w:b/>
                <w:spacing w:val="-5"/>
                <w:sz w:val="18"/>
              </w:rPr>
              <w:t> </w:t>
            </w:r>
            <w:r>
              <w:rPr>
                <w:b/>
                <w:sz w:val="18"/>
              </w:rPr>
              <w:t>servicios</w:t>
            </w:r>
            <w:r>
              <w:rPr>
                <w:b/>
                <w:spacing w:val="-5"/>
                <w:sz w:val="18"/>
              </w:rPr>
              <w:t> </w:t>
            </w:r>
            <w:r>
              <w:rPr>
                <w:b/>
                <w:sz w:val="18"/>
              </w:rPr>
              <w:t>a</w:t>
            </w:r>
            <w:r>
              <w:rPr>
                <w:b/>
                <w:spacing w:val="-3"/>
                <w:sz w:val="18"/>
              </w:rPr>
              <w:t> </w:t>
            </w:r>
            <w:r>
              <w:rPr>
                <w:b/>
                <w:sz w:val="18"/>
              </w:rPr>
              <w:t>todas</w:t>
            </w:r>
            <w:r>
              <w:rPr>
                <w:b/>
                <w:spacing w:val="-3"/>
                <w:sz w:val="18"/>
              </w:rPr>
              <w:t> </w:t>
            </w:r>
            <w:r>
              <w:rPr>
                <w:b/>
                <w:sz w:val="18"/>
              </w:rPr>
              <w:t>las</w:t>
            </w:r>
            <w:r>
              <w:rPr>
                <w:b/>
                <w:spacing w:val="-3"/>
                <w:sz w:val="18"/>
              </w:rPr>
              <w:t> </w:t>
            </w:r>
            <w:r>
              <w:rPr>
                <w:b/>
                <w:sz w:val="18"/>
              </w:rPr>
              <w:t>personas</w:t>
            </w:r>
            <w:r>
              <w:rPr>
                <w:b/>
                <w:spacing w:val="-7"/>
                <w:sz w:val="18"/>
              </w:rPr>
              <w:t> </w:t>
            </w:r>
            <w:r>
              <w:rPr>
                <w:b/>
                <w:sz w:val="18"/>
              </w:rPr>
              <w:t>usuarios</w:t>
            </w:r>
            <w:r>
              <w:rPr>
                <w:b/>
                <w:spacing w:val="-5"/>
                <w:sz w:val="18"/>
              </w:rPr>
              <w:t> </w:t>
            </w:r>
            <w:r>
              <w:rPr>
                <w:b/>
                <w:sz w:val="18"/>
              </w:rPr>
              <w:t>de</w:t>
            </w:r>
            <w:r>
              <w:rPr>
                <w:b/>
                <w:spacing w:val="-3"/>
                <w:sz w:val="18"/>
              </w:rPr>
              <w:t> </w:t>
            </w:r>
            <w:r>
              <w:rPr>
                <w:b/>
                <w:sz w:val="18"/>
              </w:rPr>
              <w:t>la</w:t>
            </w:r>
            <w:r>
              <w:rPr>
                <w:b/>
                <w:spacing w:val="-3"/>
                <w:sz w:val="18"/>
              </w:rPr>
              <w:t> </w:t>
            </w:r>
            <w:r>
              <w:rPr>
                <w:b/>
                <w:spacing w:val="-2"/>
                <w:sz w:val="18"/>
              </w:rPr>
              <w:t>institución.</w:t>
            </w:r>
          </w:p>
        </w:tc>
      </w:tr>
      <w:tr>
        <w:trPr>
          <w:trHeight w:val="2690" w:hRule="atLeast"/>
        </w:trPr>
        <w:tc>
          <w:tcPr>
            <w:tcW w:w="2260" w:type="dxa"/>
            <w:gridSpan w:val="2"/>
          </w:tcPr>
          <w:p>
            <w:pPr>
              <w:pStyle w:val="TableParagraph"/>
              <w:rPr>
                <w:b/>
                <w:sz w:val="18"/>
              </w:rPr>
            </w:pPr>
          </w:p>
          <w:p>
            <w:pPr>
              <w:pStyle w:val="TableParagraph"/>
              <w:spacing w:before="204"/>
              <w:rPr>
                <w:b/>
                <w:sz w:val="18"/>
              </w:rPr>
            </w:pPr>
          </w:p>
          <w:p>
            <w:pPr>
              <w:pStyle w:val="TableParagraph"/>
              <w:ind w:left="69" w:right="49"/>
              <w:rPr>
                <w:sz w:val="18"/>
              </w:rPr>
            </w:pPr>
            <w:r>
              <w:rPr>
                <w:b/>
                <w:sz w:val="18"/>
              </w:rPr>
              <w:t>Actividad PAC 2.4.1: </w:t>
            </w:r>
            <w:r>
              <w:rPr>
                <w:sz w:val="18"/>
              </w:rPr>
              <w:t>Gestionar el mantenimiento y reparación</w:t>
            </w:r>
            <w:r>
              <w:rPr>
                <w:spacing w:val="-13"/>
                <w:sz w:val="18"/>
              </w:rPr>
              <w:t> </w:t>
            </w:r>
            <w:r>
              <w:rPr>
                <w:sz w:val="18"/>
              </w:rPr>
              <w:t>de</w:t>
            </w:r>
            <w:r>
              <w:rPr>
                <w:spacing w:val="-12"/>
                <w:sz w:val="18"/>
              </w:rPr>
              <w:t> </w:t>
            </w:r>
            <w:r>
              <w:rPr>
                <w:sz w:val="18"/>
              </w:rPr>
              <w:t>equipo</w:t>
            </w:r>
            <w:r>
              <w:rPr>
                <w:spacing w:val="-13"/>
                <w:sz w:val="18"/>
              </w:rPr>
              <w:t> </w:t>
            </w:r>
            <w:r>
              <w:rPr>
                <w:sz w:val="18"/>
              </w:rPr>
              <w:t>de cómputo, sistemas de Información (partida 1.08.08) AC</w:t>
            </w:r>
          </w:p>
        </w:tc>
        <w:tc>
          <w:tcPr>
            <w:tcW w:w="1340" w:type="dxa"/>
          </w:tcPr>
          <w:p>
            <w:pPr>
              <w:pStyle w:val="TableParagraph"/>
              <w:ind w:left="68" w:right="68"/>
              <w:rPr>
                <w:sz w:val="18"/>
              </w:rPr>
            </w:pPr>
            <w:r>
              <w:rPr>
                <w:sz w:val="18"/>
              </w:rPr>
              <w:t>Porcentaje de gestiones de las solicitudes efectuadas</w:t>
            </w:r>
            <w:r>
              <w:rPr>
                <w:spacing w:val="-13"/>
                <w:sz w:val="18"/>
              </w:rPr>
              <w:t> </w:t>
            </w:r>
            <w:r>
              <w:rPr>
                <w:sz w:val="18"/>
              </w:rPr>
              <w:t>por </w:t>
            </w:r>
            <w:r>
              <w:rPr>
                <w:spacing w:val="-4"/>
                <w:sz w:val="18"/>
              </w:rPr>
              <w:t>las </w:t>
            </w:r>
            <w:r>
              <w:rPr>
                <w:spacing w:val="-2"/>
                <w:sz w:val="18"/>
              </w:rPr>
              <w:t>dependencias </w:t>
            </w:r>
            <w:r>
              <w:rPr>
                <w:sz w:val="18"/>
              </w:rPr>
              <w:t>para el </w:t>
            </w:r>
            <w:r>
              <w:rPr>
                <w:spacing w:val="-2"/>
                <w:sz w:val="18"/>
              </w:rPr>
              <w:t>mantenimiento </w:t>
            </w:r>
            <w:r>
              <w:rPr>
                <w:sz w:val="18"/>
              </w:rPr>
              <w:t>y reparación de equipo de </w:t>
            </w:r>
            <w:r>
              <w:rPr>
                <w:spacing w:val="-2"/>
                <w:sz w:val="18"/>
              </w:rPr>
              <w:t>cómputo, </w:t>
            </w:r>
            <w:r>
              <w:rPr>
                <w:sz w:val="18"/>
              </w:rPr>
              <w:t>sistemas de</w:t>
            </w:r>
          </w:p>
          <w:p>
            <w:pPr>
              <w:pStyle w:val="TableParagraph"/>
              <w:spacing w:line="187" w:lineRule="exact"/>
              <w:ind w:left="68"/>
              <w:rPr>
                <w:sz w:val="18"/>
              </w:rPr>
            </w:pPr>
            <w:r>
              <w:rPr>
                <w:spacing w:val="-2"/>
                <w:sz w:val="18"/>
              </w:rPr>
              <w:t>información.</w:t>
            </w:r>
          </w:p>
        </w:tc>
        <w:tc>
          <w:tcPr>
            <w:tcW w:w="1221" w:type="dxa"/>
          </w:tcPr>
          <w:p>
            <w:pPr>
              <w:pStyle w:val="TableParagraph"/>
              <w:rPr>
                <w:rFonts w:ascii="Times New Roman"/>
                <w:sz w:val="18"/>
              </w:rPr>
            </w:pPr>
          </w:p>
        </w:tc>
        <w:tc>
          <w:tcPr>
            <w:tcW w:w="1278" w:type="dxa"/>
          </w:tcPr>
          <w:p>
            <w:pPr>
              <w:pStyle w:val="TableParagraph"/>
              <w:rPr>
                <w:rFonts w:ascii="Times New Roman"/>
                <w:sz w:val="18"/>
              </w:rPr>
            </w:pPr>
          </w:p>
        </w:tc>
        <w:tc>
          <w:tcPr>
            <w:tcW w:w="1278" w:type="dxa"/>
          </w:tcPr>
          <w:p>
            <w:pPr>
              <w:pStyle w:val="TableParagraph"/>
              <w:rPr>
                <w:rFonts w:ascii="Times New Roman"/>
                <w:sz w:val="18"/>
              </w:rPr>
            </w:pPr>
          </w:p>
        </w:tc>
        <w:tc>
          <w:tcPr>
            <w:tcW w:w="1276" w:type="dxa"/>
          </w:tcPr>
          <w:p>
            <w:pPr>
              <w:pStyle w:val="TableParagraph"/>
              <w:rPr>
                <w:rFonts w:ascii="Times New Roman"/>
                <w:sz w:val="18"/>
              </w:rPr>
            </w:pPr>
          </w:p>
        </w:tc>
        <w:tc>
          <w:tcPr>
            <w:tcW w:w="1278" w:type="dxa"/>
          </w:tcPr>
          <w:p>
            <w:pPr>
              <w:pStyle w:val="TableParagraph"/>
              <w:rPr>
                <w:rFonts w:ascii="Times New Roman"/>
                <w:sz w:val="18"/>
              </w:rPr>
            </w:pPr>
          </w:p>
        </w:tc>
        <w:tc>
          <w:tcPr>
            <w:tcW w:w="1430" w:type="dxa"/>
          </w:tcPr>
          <w:p>
            <w:pPr>
              <w:pStyle w:val="TableParagraph"/>
              <w:rPr>
                <w:rFonts w:ascii="Times New Roman"/>
                <w:sz w:val="18"/>
              </w:rPr>
            </w:pPr>
          </w:p>
        </w:tc>
        <w:tc>
          <w:tcPr>
            <w:tcW w:w="13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8"/>
              <w:jc w:val="center"/>
              <w:rPr>
                <w:sz w:val="18"/>
              </w:rPr>
            </w:pPr>
            <w:r>
              <w:rPr>
                <w:spacing w:val="-4"/>
                <w:sz w:val="18"/>
              </w:rPr>
              <w:t>100%</w:t>
            </w:r>
          </w:p>
        </w:tc>
        <w:tc>
          <w:tcPr>
            <w:tcW w:w="143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122"/>
              <w:jc w:val="right"/>
              <w:rPr>
                <w:sz w:val="18"/>
              </w:rPr>
            </w:pPr>
            <w:r>
              <w:rPr>
                <w:sz w:val="16"/>
              </w:rPr>
              <w:t>₡ </w:t>
            </w:r>
            <w:r>
              <w:rPr>
                <w:sz w:val="18"/>
              </w:rPr>
              <w:t>586</w:t>
            </w:r>
            <w:r>
              <w:rPr>
                <w:spacing w:val="-2"/>
                <w:sz w:val="18"/>
              </w:rPr>
              <w:t> </w:t>
            </w:r>
            <w:r>
              <w:rPr>
                <w:sz w:val="18"/>
              </w:rPr>
              <w:t>510</w:t>
            </w:r>
            <w:r>
              <w:rPr>
                <w:spacing w:val="-2"/>
                <w:sz w:val="18"/>
              </w:rPr>
              <w:t> </w:t>
            </w:r>
            <w:r>
              <w:rPr>
                <w:spacing w:val="-5"/>
                <w:sz w:val="18"/>
              </w:rPr>
              <w:t>000</w:t>
            </w:r>
          </w:p>
        </w:tc>
      </w:tr>
      <w:tr>
        <w:trPr>
          <w:trHeight w:val="2277" w:hRule="atLeast"/>
        </w:trPr>
        <w:tc>
          <w:tcPr>
            <w:tcW w:w="2260" w:type="dxa"/>
            <w:gridSpan w:val="2"/>
          </w:tcPr>
          <w:p>
            <w:pPr>
              <w:pStyle w:val="TableParagraph"/>
              <w:rPr>
                <w:b/>
                <w:sz w:val="18"/>
              </w:rPr>
            </w:pPr>
          </w:p>
          <w:p>
            <w:pPr>
              <w:pStyle w:val="TableParagraph"/>
              <w:spacing w:before="206"/>
              <w:rPr>
                <w:b/>
                <w:sz w:val="18"/>
              </w:rPr>
            </w:pPr>
          </w:p>
          <w:p>
            <w:pPr>
              <w:pStyle w:val="TableParagraph"/>
              <w:ind w:left="69"/>
              <w:rPr>
                <w:sz w:val="18"/>
              </w:rPr>
            </w:pPr>
            <w:r>
              <w:rPr>
                <w:b/>
                <w:sz w:val="18"/>
              </w:rPr>
              <w:t>Actividad PAC 2.4.2: </w:t>
            </w:r>
            <w:r>
              <w:rPr>
                <w:sz w:val="18"/>
              </w:rPr>
              <w:t>Gestionar adquisición de equipo y programas de cómputo</w:t>
            </w:r>
            <w:r>
              <w:rPr>
                <w:spacing w:val="-15"/>
                <w:sz w:val="18"/>
              </w:rPr>
              <w:t> </w:t>
            </w:r>
            <w:r>
              <w:rPr>
                <w:sz w:val="18"/>
              </w:rPr>
              <w:t>(partida</w:t>
            </w:r>
            <w:r>
              <w:rPr>
                <w:spacing w:val="-12"/>
                <w:sz w:val="18"/>
              </w:rPr>
              <w:t> </w:t>
            </w:r>
            <w:r>
              <w:rPr>
                <w:sz w:val="18"/>
              </w:rPr>
              <w:t>5.01.05) </w:t>
            </w:r>
            <w:r>
              <w:rPr>
                <w:spacing w:val="-4"/>
                <w:sz w:val="18"/>
              </w:rPr>
              <w:t>(AC)</w:t>
            </w:r>
          </w:p>
        </w:tc>
        <w:tc>
          <w:tcPr>
            <w:tcW w:w="1340" w:type="dxa"/>
          </w:tcPr>
          <w:p>
            <w:pPr>
              <w:pStyle w:val="TableParagraph"/>
              <w:ind w:left="68" w:right="64"/>
              <w:rPr>
                <w:sz w:val="18"/>
              </w:rPr>
            </w:pPr>
            <w:r>
              <w:rPr>
                <w:sz w:val="18"/>
              </w:rPr>
              <w:t>Porcentaje de gestiones de las solicitudes efectuadas</w:t>
            </w:r>
            <w:r>
              <w:rPr>
                <w:spacing w:val="-13"/>
                <w:sz w:val="18"/>
              </w:rPr>
              <w:t> </w:t>
            </w:r>
            <w:r>
              <w:rPr>
                <w:sz w:val="18"/>
              </w:rPr>
              <w:t>por </w:t>
            </w:r>
            <w:r>
              <w:rPr>
                <w:spacing w:val="-4"/>
                <w:sz w:val="18"/>
              </w:rPr>
              <w:t>las </w:t>
            </w:r>
            <w:r>
              <w:rPr>
                <w:spacing w:val="-2"/>
                <w:sz w:val="18"/>
              </w:rPr>
              <w:t>dependencias </w:t>
            </w:r>
            <w:r>
              <w:rPr>
                <w:sz w:val="18"/>
              </w:rPr>
              <w:t>para la adquisición de equipo y</w:t>
            </w:r>
          </w:p>
          <w:p>
            <w:pPr>
              <w:pStyle w:val="TableParagraph"/>
              <w:spacing w:line="206" w:lineRule="exact"/>
              <w:ind w:left="68" w:right="144"/>
              <w:rPr>
                <w:sz w:val="18"/>
              </w:rPr>
            </w:pPr>
            <w:r>
              <w:rPr>
                <w:sz w:val="18"/>
              </w:rPr>
              <w:t>programas</w:t>
            </w:r>
            <w:r>
              <w:rPr>
                <w:spacing w:val="-13"/>
                <w:sz w:val="18"/>
              </w:rPr>
              <w:t> </w:t>
            </w:r>
            <w:r>
              <w:rPr>
                <w:sz w:val="18"/>
              </w:rPr>
              <w:t>de </w:t>
            </w:r>
            <w:r>
              <w:rPr>
                <w:spacing w:val="-2"/>
                <w:sz w:val="18"/>
              </w:rPr>
              <w:t>cómputo</w:t>
            </w:r>
          </w:p>
        </w:tc>
        <w:tc>
          <w:tcPr>
            <w:tcW w:w="1221" w:type="dxa"/>
          </w:tcPr>
          <w:p>
            <w:pPr>
              <w:pStyle w:val="TableParagraph"/>
              <w:rPr>
                <w:rFonts w:ascii="Times New Roman"/>
                <w:sz w:val="18"/>
              </w:rPr>
            </w:pPr>
          </w:p>
        </w:tc>
        <w:tc>
          <w:tcPr>
            <w:tcW w:w="1278" w:type="dxa"/>
          </w:tcPr>
          <w:p>
            <w:pPr>
              <w:pStyle w:val="TableParagraph"/>
              <w:rPr>
                <w:rFonts w:ascii="Times New Roman"/>
                <w:sz w:val="18"/>
              </w:rPr>
            </w:pPr>
          </w:p>
        </w:tc>
        <w:tc>
          <w:tcPr>
            <w:tcW w:w="1278" w:type="dxa"/>
          </w:tcPr>
          <w:p>
            <w:pPr>
              <w:pStyle w:val="TableParagraph"/>
              <w:rPr>
                <w:rFonts w:ascii="Times New Roman"/>
                <w:sz w:val="18"/>
              </w:rPr>
            </w:pPr>
          </w:p>
        </w:tc>
        <w:tc>
          <w:tcPr>
            <w:tcW w:w="1276" w:type="dxa"/>
          </w:tcPr>
          <w:p>
            <w:pPr>
              <w:pStyle w:val="TableParagraph"/>
              <w:rPr>
                <w:rFonts w:ascii="Times New Roman"/>
                <w:sz w:val="18"/>
              </w:rPr>
            </w:pPr>
          </w:p>
        </w:tc>
        <w:tc>
          <w:tcPr>
            <w:tcW w:w="1278" w:type="dxa"/>
          </w:tcPr>
          <w:p>
            <w:pPr>
              <w:pStyle w:val="TableParagraph"/>
              <w:rPr>
                <w:rFonts w:ascii="Times New Roman"/>
                <w:sz w:val="18"/>
              </w:rPr>
            </w:pPr>
          </w:p>
        </w:tc>
        <w:tc>
          <w:tcPr>
            <w:tcW w:w="1430" w:type="dxa"/>
          </w:tcPr>
          <w:p>
            <w:pPr>
              <w:pStyle w:val="TableParagraph"/>
              <w:rPr>
                <w:rFonts w:ascii="Times New Roman"/>
                <w:sz w:val="18"/>
              </w:rPr>
            </w:pPr>
          </w:p>
        </w:tc>
        <w:tc>
          <w:tcPr>
            <w:tcW w:w="1391"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8"/>
              <w:jc w:val="center"/>
              <w:rPr>
                <w:sz w:val="18"/>
              </w:rPr>
            </w:pPr>
            <w:r>
              <w:rPr>
                <w:spacing w:val="-4"/>
                <w:sz w:val="18"/>
              </w:rPr>
              <w:t>100%</w:t>
            </w:r>
          </w:p>
        </w:tc>
        <w:tc>
          <w:tcPr>
            <w:tcW w:w="1437"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121"/>
              <w:jc w:val="right"/>
              <w:rPr>
                <w:sz w:val="18"/>
              </w:rPr>
            </w:pPr>
            <w:r>
              <w:rPr>
                <w:sz w:val="18"/>
              </w:rPr>
              <w:t>₡</w:t>
            </w:r>
            <w:r>
              <w:rPr>
                <w:spacing w:val="-1"/>
                <w:sz w:val="18"/>
              </w:rPr>
              <w:t> </w:t>
            </w:r>
            <w:r>
              <w:rPr>
                <w:sz w:val="18"/>
              </w:rPr>
              <w:t>93 540 </w:t>
            </w:r>
            <w:r>
              <w:rPr>
                <w:spacing w:val="-5"/>
                <w:sz w:val="18"/>
              </w:rPr>
              <w:t>000</w:t>
            </w:r>
          </w:p>
        </w:tc>
      </w:tr>
      <w:tr>
        <w:trPr>
          <w:trHeight w:val="1214" w:hRule="atLeast"/>
        </w:trPr>
        <w:tc>
          <w:tcPr>
            <w:tcW w:w="2260" w:type="dxa"/>
            <w:gridSpan w:val="2"/>
            <w:tcBorders>
              <w:bottom w:val="nil"/>
            </w:tcBorders>
          </w:tcPr>
          <w:p>
            <w:pPr>
              <w:pStyle w:val="TableParagraph"/>
              <w:spacing w:before="194"/>
              <w:ind w:left="69"/>
              <w:rPr>
                <w:sz w:val="18"/>
              </w:rPr>
            </w:pPr>
            <w:r>
              <w:rPr>
                <w:b/>
                <w:sz w:val="18"/>
              </w:rPr>
              <w:t>Actividad PAC 2.4.3: </w:t>
            </w:r>
            <w:r>
              <w:rPr>
                <w:sz w:val="18"/>
              </w:rPr>
              <w:t>Gestionar</w:t>
            </w:r>
            <w:r>
              <w:rPr>
                <w:spacing w:val="-15"/>
                <w:sz w:val="18"/>
              </w:rPr>
              <w:t> </w:t>
            </w:r>
            <w:r>
              <w:rPr>
                <w:sz w:val="18"/>
              </w:rPr>
              <w:t>adquisición</w:t>
            </w:r>
            <w:r>
              <w:rPr>
                <w:spacing w:val="-12"/>
                <w:sz w:val="18"/>
              </w:rPr>
              <w:t> </w:t>
            </w:r>
            <w:r>
              <w:rPr>
                <w:sz w:val="18"/>
              </w:rPr>
              <w:t>de equipo de comunicación (partida 5.01.03) (AC)</w:t>
            </w:r>
          </w:p>
        </w:tc>
        <w:tc>
          <w:tcPr>
            <w:tcW w:w="1340" w:type="dxa"/>
            <w:tcBorders>
              <w:bottom w:val="thickThinMediumGap" w:sz="9" w:space="0" w:color="808080"/>
            </w:tcBorders>
          </w:tcPr>
          <w:p>
            <w:pPr>
              <w:pStyle w:val="TableParagraph"/>
              <w:spacing w:before="87"/>
              <w:ind w:left="68" w:right="64"/>
              <w:rPr>
                <w:sz w:val="18"/>
              </w:rPr>
            </w:pPr>
            <w:r>
              <w:rPr>
                <w:sz w:val="18"/>
              </w:rPr>
              <w:t>Porcentaje de gestiones de las solicitudes efectuadas</w:t>
            </w:r>
            <w:r>
              <w:rPr>
                <w:spacing w:val="-13"/>
                <w:sz w:val="18"/>
              </w:rPr>
              <w:t> </w:t>
            </w:r>
            <w:r>
              <w:rPr>
                <w:sz w:val="18"/>
              </w:rPr>
              <w:t>por </w:t>
            </w:r>
            <w:r>
              <w:rPr>
                <w:spacing w:val="-4"/>
                <w:sz w:val="18"/>
              </w:rPr>
              <w:t>las</w:t>
            </w:r>
          </w:p>
        </w:tc>
        <w:tc>
          <w:tcPr>
            <w:tcW w:w="1221" w:type="dxa"/>
            <w:tcBorders>
              <w:bottom w:val="thickThinMediumGap" w:sz="9" w:space="0" w:color="808080"/>
            </w:tcBorders>
          </w:tcPr>
          <w:p>
            <w:pPr>
              <w:pStyle w:val="TableParagraph"/>
              <w:rPr>
                <w:rFonts w:ascii="Times New Roman"/>
                <w:sz w:val="18"/>
              </w:rPr>
            </w:pPr>
          </w:p>
        </w:tc>
        <w:tc>
          <w:tcPr>
            <w:tcW w:w="1278" w:type="dxa"/>
            <w:tcBorders>
              <w:bottom w:val="thickThinMediumGap" w:sz="9" w:space="0" w:color="808080"/>
            </w:tcBorders>
          </w:tcPr>
          <w:p>
            <w:pPr>
              <w:pStyle w:val="TableParagraph"/>
              <w:rPr>
                <w:rFonts w:ascii="Times New Roman"/>
                <w:sz w:val="18"/>
              </w:rPr>
            </w:pPr>
          </w:p>
        </w:tc>
        <w:tc>
          <w:tcPr>
            <w:tcW w:w="1278" w:type="dxa"/>
            <w:tcBorders>
              <w:bottom w:val="thickThinMediumGap" w:sz="9" w:space="0" w:color="808080"/>
            </w:tcBorders>
          </w:tcPr>
          <w:p>
            <w:pPr>
              <w:pStyle w:val="TableParagraph"/>
              <w:rPr>
                <w:rFonts w:ascii="Times New Roman"/>
                <w:sz w:val="18"/>
              </w:rPr>
            </w:pPr>
          </w:p>
        </w:tc>
        <w:tc>
          <w:tcPr>
            <w:tcW w:w="1276" w:type="dxa"/>
            <w:tcBorders>
              <w:bottom w:val="thickThinMediumGap" w:sz="9" w:space="0" w:color="808080"/>
            </w:tcBorders>
          </w:tcPr>
          <w:p>
            <w:pPr>
              <w:pStyle w:val="TableParagraph"/>
              <w:rPr>
                <w:rFonts w:ascii="Times New Roman"/>
                <w:sz w:val="18"/>
              </w:rPr>
            </w:pPr>
          </w:p>
        </w:tc>
        <w:tc>
          <w:tcPr>
            <w:tcW w:w="1278" w:type="dxa"/>
            <w:tcBorders>
              <w:bottom w:val="thickThinMediumGap" w:sz="9" w:space="0" w:color="808080"/>
            </w:tcBorders>
          </w:tcPr>
          <w:p>
            <w:pPr>
              <w:pStyle w:val="TableParagraph"/>
              <w:rPr>
                <w:rFonts w:ascii="Times New Roman"/>
                <w:sz w:val="18"/>
              </w:rPr>
            </w:pPr>
          </w:p>
        </w:tc>
        <w:tc>
          <w:tcPr>
            <w:tcW w:w="1430" w:type="dxa"/>
            <w:tcBorders>
              <w:bottom w:val="thickThinMediumGap" w:sz="9" w:space="0" w:color="808080"/>
            </w:tcBorders>
          </w:tcPr>
          <w:p>
            <w:pPr>
              <w:pStyle w:val="TableParagraph"/>
              <w:rPr>
                <w:rFonts w:ascii="Times New Roman"/>
                <w:sz w:val="18"/>
              </w:rPr>
            </w:pPr>
          </w:p>
        </w:tc>
        <w:tc>
          <w:tcPr>
            <w:tcW w:w="1391" w:type="dxa"/>
            <w:tcBorders>
              <w:bottom w:val="thickThinMediumGap" w:sz="9" w:space="0" w:color="808080"/>
            </w:tcBorders>
          </w:tcPr>
          <w:p>
            <w:pPr>
              <w:pStyle w:val="TableParagraph"/>
              <w:rPr>
                <w:b/>
                <w:sz w:val="18"/>
              </w:rPr>
            </w:pPr>
          </w:p>
          <w:p>
            <w:pPr>
              <w:pStyle w:val="TableParagraph"/>
              <w:spacing w:before="89"/>
              <w:rPr>
                <w:b/>
                <w:sz w:val="18"/>
              </w:rPr>
            </w:pPr>
          </w:p>
          <w:p>
            <w:pPr>
              <w:pStyle w:val="TableParagraph"/>
              <w:ind w:right="8"/>
              <w:jc w:val="center"/>
              <w:rPr>
                <w:sz w:val="18"/>
              </w:rPr>
            </w:pPr>
            <w:r>
              <w:rPr>
                <w:spacing w:val="-4"/>
                <w:sz w:val="18"/>
              </w:rPr>
              <w:t>100%</w:t>
            </w:r>
          </w:p>
        </w:tc>
        <w:tc>
          <w:tcPr>
            <w:tcW w:w="1437" w:type="dxa"/>
            <w:tcBorders>
              <w:bottom w:val="thickThinMediumGap" w:sz="9" w:space="0" w:color="808080"/>
            </w:tcBorders>
          </w:tcPr>
          <w:p>
            <w:pPr>
              <w:pStyle w:val="TableParagraph"/>
              <w:rPr>
                <w:b/>
                <w:sz w:val="18"/>
              </w:rPr>
            </w:pPr>
          </w:p>
          <w:p>
            <w:pPr>
              <w:pStyle w:val="TableParagraph"/>
              <w:spacing w:before="89"/>
              <w:rPr>
                <w:b/>
                <w:sz w:val="18"/>
              </w:rPr>
            </w:pPr>
          </w:p>
          <w:p>
            <w:pPr>
              <w:pStyle w:val="TableParagraph"/>
              <w:ind w:right="119"/>
              <w:jc w:val="right"/>
              <w:rPr>
                <w:sz w:val="18"/>
              </w:rPr>
            </w:pPr>
            <w:r>
              <w:rPr>
                <w:sz w:val="16"/>
              </w:rPr>
              <w:t>₡</w:t>
            </w:r>
            <w:r>
              <w:rPr>
                <w:sz w:val="18"/>
              </w:rPr>
              <w:t>83 890</w:t>
            </w:r>
            <w:r>
              <w:rPr>
                <w:spacing w:val="-2"/>
                <w:sz w:val="18"/>
              </w:rPr>
              <w:t> </w:t>
            </w:r>
            <w:r>
              <w:rPr>
                <w:spacing w:val="-5"/>
                <w:sz w:val="18"/>
              </w:rPr>
              <w:t>000</w:t>
            </w:r>
          </w:p>
        </w:tc>
      </w:tr>
      <w:tr>
        <w:trPr>
          <w:trHeight w:val="1106" w:hRule="atLeast"/>
        </w:trPr>
        <w:tc>
          <w:tcPr>
            <w:tcW w:w="1916" w:type="dxa"/>
            <w:tcBorders>
              <w:top w:val="thinThickMediumGap" w:sz="9" w:space="0" w:color="808080"/>
              <w:left w:val="nil"/>
              <w:bottom w:val="nil"/>
              <w:right w:val="single" w:sz="18" w:space="0" w:color="808080"/>
            </w:tcBorders>
          </w:tcPr>
          <w:p>
            <w:pPr>
              <w:pStyle w:val="TableParagraph"/>
              <w:spacing w:before="2"/>
              <w:ind w:right="129"/>
              <w:jc w:val="center"/>
              <w:rPr>
                <w:b/>
                <w:sz w:val="24"/>
              </w:rPr>
            </w:pPr>
            <w:r>
              <w:rPr>
                <w:b/>
                <w:spacing w:val="-5"/>
                <w:sz w:val="24"/>
              </w:rPr>
              <w:t>144</w:t>
            </w:r>
          </w:p>
        </w:tc>
        <w:tc>
          <w:tcPr>
            <w:tcW w:w="12273" w:type="dxa"/>
            <w:gridSpan w:val="10"/>
            <w:tcBorders>
              <w:top w:val="nil"/>
              <w:left w:val="single" w:sz="18" w:space="0" w:color="808080"/>
              <w:bottom w:val="nil"/>
              <w:right w:val="nil"/>
            </w:tcBorders>
          </w:tcPr>
          <w:p>
            <w:pPr>
              <w:pStyle w:val="TableParagraph"/>
              <w:spacing w:before="2"/>
              <w:ind w:left="87"/>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c>
      </w:tr>
    </w:tbl>
    <w:p>
      <w:pPr>
        <w:pStyle w:val="TableParagraph"/>
        <w:spacing w:after="0"/>
        <w:rPr>
          <w:b/>
          <w:i/>
          <w:sz w:val="24"/>
        </w:rPr>
        <w:sectPr>
          <w:footerReference w:type="default" r:id="rId52"/>
          <w:pgSz w:w="15840" w:h="12240" w:orient="landscape"/>
          <w:pgMar w:header="0" w:footer="0" w:top="1380" w:bottom="28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59"/>
        <w:gridCol w:w="1339"/>
        <w:gridCol w:w="1220"/>
        <w:gridCol w:w="1277"/>
        <w:gridCol w:w="1277"/>
        <w:gridCol w:w="1275"/>
        <w:gridCol w:w="1277"/>
        <w:gridCol w:w="1429"/>
        <w:gridCol w:w="1390"/>
        <w:gridCol w:w="1436"/>
      </w:tblGrid>
      <w:tr>
        <w:trPr>
          <w:trHeight w:val="1213" w:hRule="atLeast"/>
        </w:trPr>
        <w:tc>
          <w:tcPr>
            <w:tcW w:w="2259" w:type="dxa"/>
          </w:tcPr>
          <w:p>
            <w:pPr>
              <w:pStyle w:val="TableParagraph"/>
              <w:rPr>
                <w:rFonts w:ascii="Times New Roman"/>
                <w:sz w:val="18"/>
              </w:rPr>
            </w:pPr>
          </w:p>
        </w:tc>
        <w:tc>
          <w:tcPr>
            <w:tcW w:w="1339" w:type="dxa"/>
          </w:tcPr>
          <w:p>
            <w:pPr>
              <w:pStyle w:val="TableParagraph"/>
              <w:ind w:left="69" w:right="102"/>
              <w:rPr>
                <w:sz w:val="18"/>
              </w:rPr>
            </w:pPr>
            <w:r>
              <w:rPr>
                <w:spacing w:val="-2"/>
                <w:sz w:val="18"/>
              </w:rPr>
              <w:t>dependencias </w:t>
            </w:r>
            <w:r>
              <w:rPr>
                <w:sz w:val="18"/>
              </w:rPr>
              <w:t>para la adquisición</w:t>
            </w:r>
            <w:r>
              <w:rPr>
                <w:spacing w:val="-13"/>
                <w:sz w:val="18"/>
              </w:rPr>
              <w:t> </w:t>
            </w:r>
            <w:r>
              <w:rPr>
                <w:sz w:val="18"/>
              </w:rPr>
              <w:t>de equipo de </w:t>
            </w:r>
            <w:r>
              <w:rPr>
                <w:spacing w:val="-2"/>
                <w:sz w:val="18"/>
              </w:rPr>
              <w:t>comunicación</w:t>
            </w:r>
          </w:p>
        </w:tc>
        <w:tc>
          <w:tcPr>
            <w:tcW w:w="1220" w:type="dxa"/>
          </w:tcPr>
          <w:p>
            <w:pPr>
              <w:pStyle w:val="TableParagraph"/>
              <w:rPr>
                <w:rFonts w:ascii="Times New Roman"/>
                <w:sz w:val="18"/>
              </w:rPr>
            </w:pPr>
          </w:p>
        </w:tc>
        <w:tc>
          <w:tcPr>
            <w:tcW w:w="1277" w:type="dxa"/>
          </w:tcPr>
          <w:p>
            <w:pPr>
              <w:pStyle w:val="TableParagraph"/>
              <w:rPr>
                <w:rFonts w:ascii="Times New Roman"/>
                <w:sz w:val="18"/>
              </w:rPr>
            </w:pPr>
          </w:p>
        </w:tc>
        <w:tc>
          <w:tcPr>
            <w:tcW w:w="1277" w:type="dxa"/>
          </w:tcPr>
          <w:p>
            <w:pPr>
              <w:pStyle w:val="TableParagraph"/>
              <w:rPr>
                <w:rFonts w:ascii="Times New Roman"/>
                <w:sz w:val="18"/>
              </w:rPr>
            </w:pPr>
          </w:p>
        </w:tc>
        <w:tc>
          <w:tcPr>
            <w:tcW w:w="1275" w:type="dxa"/>
          </w:tcPr>
          <w:p>
            <w:pPr>
              <w:pStyle w:val="TableParagraph"/>
              <w:rPr>
                <w:rFonts w:ascii="Times New Roman"/>
                <w:sz w:val="18"/>
              </w:rPr>
            </w:pPr>
          </w:p>
        </w:tc>
        <w:tc>
          <w:tcPr>
            <w:tcW w:w="1277" w:type="dxa"/>
          </w:tcPr>
          <w:p>
            <w:pPr>
              <w:pStyle w:val="TableParagraph"/>
              <w:rPr>
                <w:rFonts w:ascii="Times New Roman"/>
                <w:sz w:val="18"/>
              </w:rPr>
            </w:pPr>
          </w:p>
        </w:tc>
        <w:tc>
          <w:tcPr>
            <w:tcW w:w="1429" w:type="dxa"/>
          </w:tcPr>
          <w:p>
            <w:pPr>
              <w:pStyle w:val="TableParagraph"/>
              <w:rPr>
                <w:rFonts w:ascii="Times New Roman"/>
                <w:sz w:val="18"/>
              </w:rPr>
            </w:pPr>
          </w:p>
        </w:tc>
        <w:tc>
          <w:tcPr>
            <w:tcW w:w="1390" w:type="dxa"/>
          </w:tcPr>
          <w:p>
            <w:pPr>
              <w:pStyle w:val="TableParagraph"/>
              <w:rPr>
                <w:rFonts w:ascii="Times New Roman"/>
                <w:sz w:val="18"/>
              </w:rPr>
            </w:pPr>
          </w:p>
        </w:tc>
        <w:tc>
          <w:tcPr>
            <w:tcW w:w="1436" w:type="dxa"/>
          </w:tcPr>
          <w:p>
            <w:pPr>
              <w:pStyle w:val="TableParagraph"/>
              <w:rPr>
                <w:rFonts w:ascii="Times New Roman"/>
                <w:sz w:val="18"/>
              </w:rPr>
            </w:pPr>
          </w:p>
        </w:tc>
      </w:tr>
      <w:tr>
        <w:trPr>
          <w:trHeight w:val="2071" w:hRule="atLeast"/>
        </w:trPr>
        <w:tc>
          <w:tcPr>
            <w:tcW w:w="2259" w:type="dxa"/>
          </w:tcPr>
          <w:p>
            <w:pPr>
              <w:pStyle w:val="TableParagraph"/>
              <w:rPr>
                <w:b/>
                <w:sz w:val="18"/>
              </w:rPr>
            </w:pPr>
          </w:p>
          <w:p>
            <w:pPr>
              <w:pStyle w:val="TableParagraph"/>
              <w:spacing w:before="206"/>
              <w:rPr>
                <w:b/>
                <w:sz w:val="18"/>
              </w:rPr>
            </w:pPr>
          </w:p>
          <w:p>
            <w:pPr>
              <w:pStyle w:val="TableParagraph"/>
              <w:ind w:left="69" w:right="105"/>
              <w:rPr>
                <w:sz w:val="18"/>
              </w:rPr>
            </w:pPr>
            <w:r>
              <w:rPr>
                <w:b/>
                <w:sz w:val="18"/>
              </w:rPr>
              <w:t>Actividad PAC 2.4.4: </w:t>
            </w:r>
            <w:r>
              <w:rPr>
                <w:sz w:val="18"/>
              </w:rPr>
              <w:t>Gestionar</w:t>
            </w:r>
            <w:r>
              <w:rPr>
                <w:spacing w:val="-15"/>
                <w:sz w:val="18"/>
              </w:rPr>
              <w:t> </w:t>
            </w:r>
            <w:r>
              <w:rPr>
                <w:sz w:val="18"/>
              </w:rPr>
              <w:t>la</w:t>
            </w:r>
            <w:r>
              <w:rPr>
                <w:spacing w:val="-12"/>
                <w:sz w:val="18"/>
              </w:rPr>
              <w:t> </w:t>
            </w:r>
            <w:r>
              <w:rPr>
                <w:sz w:val="18"/>
              </w:rPr>
              <w:t>adquisición de bienes intangibles (partida 5.99.03) AC</w:t>
            </w:r>
          </w:p>
        </w:tc>
        <w:tc>
          <w:tcPr>
            <w:tcW w:w="1339" w:type="dxa"/>
          </w:tcPr>
          <w:p>
            <w:pPr>
              <w:pStyle w:val="TableParagraph"/>
              <w:spacing w:before="1"/>
              <w:ind w:left="69" w:right="62"/>
              <w:rPr>
                <w:sz w:val="18"/>
              </w:rPr>
            </w:pPr>
            <w:r>
              <w:rPr>
                <w:sz w:val="18"/>
              </w:rPr>
              <w:t>Porcentaje de gestiones de las solicitudes efectuadas</w:t>
            </w:r>
            <w:r>
              <w:rPr>
                <w:spacing w:val="-13"/>
                <w:sz w:val="18"/>
              </w:rPr>
              <w:t> </w:t>
            </w:r>
            <w:r>
              <w:rPr>
                <w:sz w:val="18"/>
              </w:rPr>
              <w:t>por </w:t>
            </w:r>
            <w:r>
              <w:rPr>
                <w:spacing w:val="-4"/>
                <w:sz w:val="18"/>
              </w:rPr>
              <w:t>las </w:t>
            </w:r>
            <w:r>
              <w:rPr>
                <w:spacing w:val="-2"/>
                <w:sz w:val="18"/>
              </w:rPr>
              <w:t>dependencias </w:t>
            </w:r>
            <w:r>
              <w:rPr>
                <w:sz w:val="18"/>
              </w:rPr>
              <w:t>para la adquisición de </w:t>
            </w:r>
            <w:r>
              <w:rPr>
                <w:spacing w:val="-2"/>
                <w:sz w:val="18"/>
              </w:rPr>
              <w:t>bienes</w:t>
            </w:r>
          </w:p>
          <w:p>
            <w:pPr>
              <w:pStyle w:val="TableParagraph"/>
              <w:spacing w:line="187" w:lineRule="exact"/>
              <w:ind w:left="69"/>
              <w:rPr>
                <w:sz w:val="18"/>
              </w:rPr>
            </w:pPr>
            <w:r>
              <w:rPr>
                <w:spacing w:val="-2"/>
                <w:sz w:val="18"/>
              </w:rPr>
              <w:t>intangibles.</w:t>
            </w:r>
          </w:p>
        </w:tc>
        <w:tc>
          <w:tcPr>
            <w:tcW w:w="1220" w:type="dxa"/>
          </w:tcPr>
          <w:p>
            <w:pPr>
              <w:pStyle w:val="TableParagraph"/>
              <w:rPr>
                <w:rFonts w:ascii="Times New Roman"/>
                <w:sz w:val="18"/>
              </w:rPr>
            </w:pPr>
          </w:p>
        </w:tc>
        <w:tc>
          <w:tcPr>
            <w:tcW w:w="1277" w:type="dxa"/>
          </w:tcPr>
          <w:p>
            <w:pPr>
              <w:pStyle w:val="TableParagraph"/>
              <w:rPr>
                <w:rFonts w:ascii="Times New Roman"/>
                <w:sz w:val="18"/>
              </w:rPr>
            </w:pPr>
          </w:p>
        </w:tc>
        <w:tc>
          <w:tcPr>
            <w:tcW w:w="1277" w:type="dxa"/>
          </w:tcPr>
          <w:p>
            <w:pPr>
              <w:pStyle w:val="TableParagraph"/>
              <w:rPr>
                <w:rFonts w:ascii="Times New Roman"/>
                <w:sz w:val="18"/>
              </w:rPr>
            </w:pPr>
          </w:p>
        </w:tc>
        <w:tc>
          <w:tcPr>
            <w:tcW w:w="1275" w:type="dxa"/>
          </w:tcPr>
          <w:p>
            <w:pPr>
              <w:pStyle w:val="TableParagraph"/>
              <w:rPr>
                <w:rFonts w:ascii="Times New Roman"/>
                <w:sz w:val="18"/>
              </w:rPr>
            </w:pPr>
          </w:p>
        </w:tc>
        <w:tc>
          <w:tcPr>
            <w:tcW w:w="1277" w:type="dxa"/>
          </w:tcPr>
          <w:p>
            <w:pPr>
              <w:pStyle w:val="TableParagraph"/>
              <w:rPr>
                <w:rFonts w:ascii="Times New Roman"/>
                <w:sz w:val="18"/>
              </w:rPr>
            </w:pPr>
          </w:p>
        </w:tc>
        <w:tc>
          <w:tcPr>
            <w:tcW w:w="1429" w:type="dxa"/>
          </w:tcPr>
          <w:p>
            <w:pPr>
              <w:pStyle w:val="TableParagraph"/>
              <w:rPr>
                <w:rFonts w:ascii="Times New Roman"/>
                <w:sz w:val="18"/>
              </w:rPr>
            </w:pPr>
          </w:p>
        </w:tc>
        <w:tc>
          <w:tcPr>
            <w:tcW w:w="1390" w:type="dxa"/>
          </w:tcPr>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6"/>
              <w:jc w:val="center"/>
              <w:rPr>
                <w:sz w:val="18"/>
              </w:rPr>
            </w:pPr>
            <w:r>
              <w:rPr>
                <w:spacing w:val="-4"/>
                <w:sz w:val="18"/>
              </w:rPr>
              <w:t>100%</w:t>
            </w:r>
          </w:p>
        </w:tc>
        <w:tc>
          <w:tcPr>
            <w:tcW w:w="1436" w:type="dxa"/>
          </w:tcPr>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126"/>
              <w:jc w:val="right"/>
              <w:rPr>
                <w:sz w:val="18"/>
              </w:rPr>
            </w:pPr>
            <w:r>
              <w:rPr>
                <w:sz w:val="16"/>
              </w:rPr>
              <w:t>₡</w:t>
            </w:r>
            <w:r>
              <w:rPr>
                <w:sz w:val="18"/>
              </w:rPr>
              <w:t>11</w:t>
            </w:r>
            <w:r>
              <w:rPr>
                <w:spacing w:val="-5"/>
                <w:sz w:val="18"/>
              </w:rPr>
              <w:t> </w:t>
            </w:r>
            <w:r>
              <w:rPr>
                <w:sz w:val="18"/>
              </w:rPr>
              <w:t>000</w:t>
            </w:r>
            <w:r>
              <w:rPr>
                <w:spacing w:val="-2"/>
                <w:sz w:val="18"/>
              </w:rPr>
              <w:t> </w:t>
            </w:r>
            <w:r>
              <w:rPr>
                <w:spacing w:val="-5"/>
                <w:sz w:val="18"/>
              </w:rPr>
              <w:t>000</w:t>
            </w:r>
          </w:p>
        </w:tc>
      </w:tr>
      <w:tr>
        <w:trPr>
          <w:trHeight w:val="2277" w:hRule="atLeast"/>
        </w:trPr>
        <w:tc>
          <w:tcPr>
            <w:tcW w:w="2259" w:type="dxa"/>
          </w:tcPr>
          <w:p>
            <w:pPr>
              <w:pStyle w:val="TableParagraph"/>
              <w:rPr>
                <w:b/>
                <w:sz w:val="18"/>
              </w:rPr>
            </w:pPr>
          </w:p>
          <w:p>
            <w:pPr>
              <w:pStyle w:val="TableParagraph"/>
              <w:spacing w:before="206"/>
              <w:rPr>
                <w:b/>
                <w:sz w:val="18"/>
              </w:rPr>
            </w:pPr>
          </w:p>
          <w:p>
            <w:pPr>
              <w:pStyle w:val="TableParagraph"/>
              <w:ind w:left="69" w:right="105"/>
              <w:rPr>
                <w:sz w:val="18"/>
              </w:rPr>
            </w:pPr>
            <w:r>
              <w:rPr>
                <w:b/>
                <w:sz w:val="18"/>
              </w:rPr>
              <w:t>Actividad PAC 2.4.5: </w:t>
            </w:r>
            <w:r>
              <w:rPr>
                <w:sz w:val="18"/>
              </w:rPr>
              <w:t>Gestionar el mantenimiento</w:t>
            </w:r>
            <w:r>
              <w:rPr>
                <w:spacing w:val="-15"/>
                <w:sz w:val="18"/>
              </w:rPr>
              <w:t> </w:t>
            </w:r>
            <w:r>
              <w:rPr>
                <w:sz w:val="18"/>
              </w:rPr>
              <w:t>equipo</w:t>
            </w:r>
            <w:r>
              <w:rPr>
                <w:spacing w:val="-12"/>
                <w:sz w:val="18"/>
              </w:rPr>
              <w:t> </w:t>
            </w:r>
            <w:r>
              <w:rPr>
                <w:sz w:val="18"/>
              </w:rPr>
              <w:t>de comunicación (partida 1.08.06) AC</w:t>
            </w:r>
          </w:p>
        </w:tc>
        <w:tc>
          <w:tcPr>
            <w:tcW w:w="1339" w:type="dxa"/>
          </w:tcPr>
          <w:p>
            <w:pPr>
              <w:pStyle w:val="TableParagraph"/>
              <w:ind w:left="69" w:right="66"/>
              <w:rPr>
                <w:sz w:val="18"/>
              </w:rPr>
            </w:pPr>
            <w:r>
              <w:rPr>
                <w:sz w:val="18"/>
              </w:rPr>
              <w:t>Porcentaje de gestiones de las solicitudes efectuadas</w:t>
            </w:r>
            <w:r>
              <w:rPr>
                <w:spacing w:val="-13"/>
                <w:sz w:val="18"/>
              </w:rPr>
              <w:t> </w:t>
            </w:r>
            <w:r>
              <w:rPr>
                <w:sz w:val="18"/>
              </w:rPr>
              <w:t>por </w:t>
            </w:r>
            <w:r>
              <w:rPr>
                <w:spacing w:val="-4"/>
                <w:sz w:val="18"/>
              </w:rPr>
              <w:t>las </w:t>
            </w:r>
            <w:r>
              <w:rPr>
                <w:spacing w:val="-2"/>
                <w:sz w:val="18"/>
              </w:rPr>
              <w:t>dependencias </w:t>
            </w:r>
            <w:r>
              <w:rPr>
                <w:sz w:val="18"/>
              </w:rPr>
              <w:t>para el </w:t>
            </w:r>
            <w:r>
              <w:rPr>
                <w:spacing w:val="-2"/>
                <w:sz w:val="18"/>
              </w:rPr>
              <w:t>mantenimiento </w:t>
            </w:r>
            <w:r>
              <w:rPr>
                <w:sz w:val="18"/>
              </w:rPr>
              <w:t>y reparación de equipo de</w:t>
            </w:r>
          </w:p>
          <w:p>
            <w:pPr>
              <w:pStyle w:val="TableParagraph"/>
              <w:spacing w:line="187" w:lineRule="exact"/>
              <w:ind w:left="69"/>
              <w:rPr>
                <w:sz w:val="18"/>
              </w:rPr>
            </w:pPr>
            <w:r>
              <w:rPr>
                <w:spacing w:val="-2"/>
                <w:sz w:val="18"/>
              </w:rPr>
              <w:t>comunicación.</w:t>
            </w:r>
          </w:p>
        </w:tc>
        <w:tc>
          <w:tcPr>
            <w:tcW w:w="1220" w:type="dxa"/>
          </w:tcPr>
          <w:p>
            <w:pPr>
              <w:pStyle w:val="TableParagraph"/>
              <w:rPr>
                <w:rFonts w:ascii="Times New Roman"/>
                <w:sz w:val="18"/>
              </w:rPr>
            </w:pPr>
          </w:p>
        </w:tc>
        <w:tc>
          <w:tcPr>
            <w:tcW w:w="1277" w:type="dxa"/>
          </w:tcPr>
          <w:p>
            <w:pPr>
              <w:pStyle w:val="TableParagraph"/>
              <w:rPr>
                <w:rFonts w:ascii="Times New Roman"/>
                <w:sz w:val="18"/>
              </w:rPr>
            </w:pPr>
          </w:p>
        </w:tc>
        <w:tc>
          <w:tcPr>
            <w:tcW w:w="1277" w:type="dxa"/>
          </w:tcPr>
          <w:p>
            <w:pPr>
              <w:pStyle w:val="TableParagraph"/>
              <w:rPr>
                <w:rFonts w:ascii="Times New Roman"/>
                <w:sz w:val="18"/>
              </w:rPr>
            </w:pPr>
          </w:p>
        </w:tc>
        <w:tc>
          <w:tcPr>
            <w:tcW w:w="1275" w:type="dxa"/>
          </w:tcPr>
          <w:p>
            <w:pPr>
              <w:pStyle w:val="TableParagraph"/>
              <w:rPr>
                <w:rFonts w:ascii="Times New Roman"/>
                <w:sz w:val="18"/>
              </w:rPr>
            </w:pPr>
          </w:p>
        </w:tc>
        <w:tc>
          <w:tcPr>
            <w:tcW w:w="1277" w:type="dxa"/>
          </w:tcPr>
          <w:p>
            <w:pPr>
              <w:pStyle w:val="TableParagraph"/>
              <w:rPr>
                <w:rFonts w:ascii="Times New Roman"/>
                <w:sz w:val="18"/>
              </w:rPr>
            </w:pPr>
          </w:p>
        </w:tc>
        <w:tc>
          <w:tcPr>
            <w:tcW w:w="1429" w:type="dxa"/>
          </w:tcPr>
          <w:p>
            <w:pPr>
              <w:pStyle w:val="TableParagraph"/>
              <w:rPr>
                <w:rFonts w:ascii="Times New Roman"/>
                <w:sz w:val="18"/>
              </w:rPr>
            </w:pPr>
          </w:p>
        </w:tc>
        <w:tc>
          <w:tcPr>
            <w:tcW w:w="1390"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6"/>
              <w:jc w:val="center"/>
              <w:rPr>
                <w:sz w:val="18"/>
              </w:rPr>
            </w:pPr>
            <w:r>
              <w:rPr>
                <w:spacing w:val="-4"/>
                <w:sz w:val="18"/>
              </w:rPr>
              <w:t>100%</w:t>
            </w:r>
          </w:p>
        </w:tc>
        <w:tc>
          <w:tcPr>
            <w:tcW w:w="143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32"/>
              <w:rPr>
                <w:b/>
                <w:sz w:val="16"/>
              </w:rPr>
            </w:pPr>
          </w:p>
          <w:p>
            <w:pPr>
              <w:pStyle w:val="TableParagraph"/>
              <w:ind w:right="112"/>
              <w:jc w:val="right"/>
              <w:rPr>
                <w:sz w:val="16"/>
              </w:rPr>
            </w:pPr>
            <w:r>
              <w:rPr>
                <w:sz w:val="16"/>
              </w:rPr>
              <w:t>₡76</w:t>
            </w:r>
            <w:r>
              <w:rPr>
                <w:spacing w:val="-2"/>
                <w:sz w:val="16"/>
              </w:rPr>
              <w:t> </w:t>
            </w:r>
            <w:r>
              <w:rPr>
                <w:sz w:val="16"/>
              </w:rPr>
              <w:t>501</w:t>
            </w:r>
            <w:r>
              <w:rPr>
                <w:spacing w:val="-2"/>
                <w:sz w:val="16"/>
              </w:rPr>
              <w:t> </w:t>
            </w:r>
            <w:r>
              <w:rPr>
                <w:spacing w:val="-5"/>
                <w:sz w:val="16"/>
              </w:rPr>
              <w:t>000</w:t>
            </w:r>
          </w:p>
        </w:tc>
      </w:tr>
      <w:tr>
        <w:trPr>
          <w:trHeight w:val="2071" w:hRule="atLeast"/>
        </w:trPr>
        <w:tc>
          <w:tcPr>
            <w:tcW w:w="2259" w:type="dxa"/>
          </w:tcPr>
          <w:p>
            <w:pPr>
              <w:pStyle w:val="TableParagraph"/>
              <w:rPr>
                <w:b/>
                <w:sz w:val="18"/>
              </w:rPr>
            </w:pPr>
          </w:p>
          <w:p>
            <w:pPr>
              <w:pStyle w:val="TableParagraph"/>
              <w:spacing w:before="103"/>
              <w:rPr>
                <w:b/>
                <w:sz w:val="18"/>
              </w:rPr>
            </w:pPr>
          </w:p>
          <w:p>
            <w:pPr>
              <w:pStyle w:val="TableParagraph"/>
              <w:ind w:left="69" w:right="105"/>
              <w:rPr>
                <w:sz w:val="18"/>
              </w:rPr>
            </w:pPr>
            <w:r>
              <w:rPr>
                <w:b/>
                <w:sz w:val="18"/>
              </w:rPr>
              <w:t>Actividad PAC 2.4.6: </w:t>
            </w:r>
            <w:r>
              <w:rPr>
                <w:sz w:val="18"/>
              </w:rPr>
              <w:t>Gestionar</w:t>
            </w:r>
            <w:r>
              <w:rPr>
                <w:spacing w:val="-13"/>
                <w:sz w:val="18"/>
              </w:rPr>
              <w:t> </w:t>
            </w:r>
            <w:r>
              <w:rPr>
                <w:sz w:val="18"/>
              </w:rPr>
              <w:t>los</w:t>
            </w:r>
            <w:r>
              <w:rPr>
                <w:spacing w:val="-12"/>
                <w:sz w:val="18"/>
              </w:rPr>
              <w:t> </w:t>
            </w:r>
            <w:r>
              <w:rPr>
                <w:sz w:val="18"/>
              </w:rPr>
              <w:t>servicios</w:t>
            </w:r>
            <w:r>
              <w:rPr>
                <w:spacing w:val="-13"/>
                <w:sz w:val="18"/>
              </w:rPr>
              <w:t> </w:t>
            </w:r>
            <w:r>
              <w:rPr>
                <w:sz w:val="18"/>
              </w:rPr>
              <w:t>de tecnologías de información (partida 1.03.07) AC</w:t>
            </w:r>
          </w:p>
        </w:tc>
        <w:tc>
          <w:tcPr>
            <w:tcW w:w="1339" w:type="dxa"/>
          </w:tcPr>
          <w:p>
            <w:pPr>
              <w:pStyle w:val="TableParagraph"/>
              <w:ind w:left="69" w:right="62"/>
              <w:rPr>
                <w:sz w:val="18"/>
              </w:rPr>
            </w:pPr>
            <w:r>
              <w:rPr>
                <w:sz w:val="18"/>
              </w:rPr>
              <w:t>Porcentaje de gestiones de las solicitudes efectuadas</w:t>
            </w:r>
            <w:r>
              <w:rPr>
                <w:spacing w:val="-13"/>
                <w:sz w:val="18"/>
              </w:rPr>
              <w:t> </w:t>
            </w:r>
            <w:r>
              <w:rPr>
                <w:sz w:val="18"/>
              </w:rPr>
              <w:t>por </w:t>
            </w:r>
            <w:r>
              <w:rPr>
                <w:spacing w:val="-4"/>
                <w:sz w:val="18"/>
              </w:rPr>
              <w:t>las </w:t>
            </w:r>
            <w:r>
              <w:rPr>
                <w:spacing w:val="-2"/>
                <w:sz w:val="18"/>
              </w:rPr>
              <w:t>dependencias </w:t>
            </w:r>
            <w:r>
              <w:rPr>
                <w:sz w:val="18"/>
              </w:rPr>
              <w:t>para los servicios de tecnologías</w:t>
            </w:r>
            <w:r>
              <w:rPr>
                <w:spacing w:val="-13"/>
                <w:sz w:val="18"/>
              </w:rPr>
              <w:t> </w:t>
            </w:r>
            <w:r>
              <w:rPr>
                <w:sz w:val="18"/>
              </w:rPr>
              <w:t>de</w:t>
            </w:r>
          </w:p>
          <w:p>
            <w:pPr>
              <w:pStyle w:val="TableParagraph"/>
              <w:spacing w:line="190" w:lineRule="exact"/>
              <w:ind w:left="69"/>
              <w:rPr>
                <w:sz w:val="18"/>
              </w:rPr>
            </w:pPr>
            <w:r>
              <w:rPr>
                <w:spacing w:val="-2"/>
                <w:sz w:val="18"/>
              </w:rPr>
              <w:t>información.</w:t>
            </w:r>
          </w:p>
        </w:tc>
        <w:tc>
          <w:tcPr>
            <w:tcW w:w="1220" w:type="dxa"/>
          </w:tcPr>
          <w:p>
            <w:pPr>
              <w:pStyle w:val="TableParagraph"/>
              <w:rPr>
                <w:rFonts w:ascii="Times New Roman"/>
                <w:sz w:val="18"/>
              </w:rPr>
            </w:pPr>
          </w:p>
        </w:tc>
        <w:tc>
          <w:tcPr>
            <w:tcW w:w="1277" w:type="dxa"/>
          </w:tcPr>
          <w:p>
            <w:pPr>
              <w:pStyle w:val="TableParagraph"/>
              <w:rPr>
                <w:rFonts w:ascii="Times New Roman"/>
                <w:sz w:val="18"/>
              </w:rPr>
            </w:pPr>
          </w:p>
        </w:tc>
        <w:tc>
          <w:tcPr>
            <w:tcW w:w="1277" w:type="dxa"/>
          </w:tcPr>
          <w:p>
            <w:pPr>
              <w:pStyle w:val="TableParagraph"/>
              <w:rPr>
                <w:rFonts w:ascii="Times New Roman"/>
                <w:sz w:val="18"/>
              </w:rPr>
            </w:pPr>
          </w:p>
        </w:tc>
        <w:tc>
          <w:tcPr>
            <w:tcW w:w="1275" w:type="dxa"/>
          </w:tcPr>
          <w:p>
            <w:pPr>
              <w:pStyle w:val="TableParagraph"/>
              <w:rPr>
                <w:rFonts w:ascii="Times New Roman"/>
                <w:sz w:val="18"/>
              </w:rPr>
            </w:pPr>
          </w:p>
        </w:tc>
        <w:tc>
          <w:tcPr>
            <w:tcW w:w="1277" w:type="dxa"/>
          </w:tcPr>
          <w:p>
            <w:pPr>
              <w:pStyle w:val="TableParagraph"/>
              <w:rPr>
                <w:rFonts w:ascii="Times New Roman"/>
                <w:sz w:val="18"/>
              </w:rPr>
            </w:pPr>
          </w:p>
        </w:tc>
        <w:tc>
          <w:tcPr>
            <w:tcW w:w="1429" w:type="dxa"/>
          </w:tcPr>
          <w:p>
            <w:pPr>
              <w:pStyle w:val="TableParagraph"/>
              <w:rPr>
                <w:rFonts w:ascii="Times New Roman"/>
                <w:sz w:val="18"/>
              </w:rPr>
            </w:pPr>
          </w:p>
        </w:tc>
        <w:tc>
          <w:tcPr>
            <w:tcW w:w="139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6" w:right="5"/>
              <w:jc w:val="center"/>
              <w:rPr>
                <w:sz w:val="18"/>
              </w:rPr>
            </w:pPr>
            <w:r>
              <w:rPr>
                <w:spacing w:val="-10"/>
                <w:sz w:val="18"/>
              </w:rPr>
              <w:t>-</w:t>
            </w:r>
          </w:p>
        </w:tc>
        <w:tc>
          <w:tcPr>
            <w:tcW w:w="143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9"/>
              <w:rPr>
                <w:b/>
                <w:sz w:val="16"/>
              </w:rPr>
            </w:pPr>
          </w:p>
          <w:p>
            <w:pPr>
              <w:pStyle w:val="TableParagraph"/>
              <w:ind w:right="110"/>
              <w:jc w:val="right"/>
              <w:rPr>
                <w:sz w:val="16"/>
              </w:rPr>
            </w:pPr>
            <w:r>
              <w:rPr>
                <w:sz w:val="16"/>
              </w:rPr>
              <w:t>₡</w:t>
            </w:r>
            <w:r>
              <w:rPr>
                <w:spacing w:val="-1"/>
                <w:sz w:val="16"/>
              </w:rPr>
              <w:t> </w:t>
            </w:r>
            <w:r>
              <w:rPr>
                <w:sz w:val="16"/>
              </w:rPr>
              <w:t>1</w:t>
            </w:r>
            <w:r>
              <w:rPr>
                <w:spacing w:val="-1"/>
                <w:sz w:val="16"/>
              </w:rPr>
              <w:t> </w:t>
            </w:r>
            <w:r>
              <w:rPr>
                <w:sz w:val="16"/>
              </w:rPr>
              <w:t>320</w:t>
            </w:r>
            <w:r>
              <w:rPr>
                <w:spacing w:val="-1"/>
                <w:sz w:val="16"/>
              </w:rPr>
              <w:t> </w:t>
            </w:r>
            <w:r>
              <w:rPr>
                <w:sz w:val="16"/>
              </w:rPr>
              <w:t>678</w:t>
            </w:r>
            <w:r>
              <w:rPr>
                <w:spacing w:val="-1"/>
                <w:sz w:val="16"/>
              </w:rPr>
              <w:t> </w:t>
            </w:r>
            <w:r>
              <w:rPr>
                <w:spacing w:val="-5"/>
                <w:sz w:val="16"/>
              </w:rPr>
              <w:t>000</w:t>
            </w:r>
          </w:p>
        </w:tc>
      </w:tr>
    </w:tbl>
    <w:p>
      <w:pPr>
        <w:pStyle w:val="TableParagraph"/>
        <w:spacing w:after="0"/>
        <w:jc w:val="right"/>
        <w:rPr>
          <w:sz w:val="16"/>
        </w:rPr>
        <w:sectPr>
          <w:footerReference w:type="default" r:id="rId53"/>
          <w:pgSz w:w="15840" w:h="12240" w:orient="landscape"/>
          <w:pgMar w:header="0" w:footer="1530" w:top="1380" w:bottom="1720" w:left="360" w:right="360"/>
          <w:pgNumType w:start="145"/>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59"/>
        <w:gridCol w:w="1339"/>
        <w:gridCol w:w="1220"/>
        <w:gridCol w:w="1277"/>
        <w:gridCol w:w="1277"/>
        <w:gridCol w:w="1275"/>
        <w:gridCol w:w="1277"/>
        <w:gridCol w:w="1429"/>
        <w:gridCol w:w="1390"/>
        <w:gridCol w:w="1436"/>
      </w:tblGrid>
      <w:tr>
        <w:trPr>
          <w:trHeight w:val="1864" w:hRule="atLeast"/>
        </w:trPr>
        <w:tc>
          <w:tcPr>
            <w:tcW w:w="2259" w:type="dxa"/>
          </w:tcPr>
          <w:p>
            <w:pPr>
              <w:pStyle w:val="TableParagraph"/>
              <w:rPr>
                <w:b/>
                <w:sz w:val="18"/>
              </w:rPr>
            </w:pPr>
          </w:p>
          <w:p>
            <w:pPr>
              <w:pStyle w:val="TableParagraph"/>
              <w:spacing w:before="103"/>
              <w:rPr>
                <w:b/>
                <w:sz w:val="18"/>
              </w:rPr>
            </w:pPr>
          </w:p>
          <w:p>
            <w:pPr>
              <w:pStyle w:val="TableParagraph"/>
              <w:ind w:left="69" w:right="105"/>
              <w:rPr>
                <w:sz w:val="18"/>
              </w:rPr>
            </w:pPr>
            <w:r>
              <w:rPr>
                <w:b/>
                <w:sz w:val="18"/>
              </w:rPr>
              <w:t>Actividad PAC 2.4.7: </w:t>
            </w:r>
            <w:r>
              <w:rPr>
                <w:sz w:val="18"/>
              </w:rPr>
              <w:t>Gestionar</w:t>
            </w:r>
            <w:r>
              <w:rPr>
                <w:spacing w:val="-15"/>
                <w:sz w:val="18"/>
              </w:rPr>
              <w:t> </w:t>
            </w:r>
            <w:r>
              <w:rPr>
                <w:sz w:val="18"/>
              </w:rPr>
              <w:t>los</w:t>
            </w:r>
            <w:r>
              <w:rPr>
                <w:spacing w:val="-12"/>
                <w:sz w:val="18"/>
              </w:rPr>
              <w:t> </w:t>
            </w:r>
            <w:r>
              <w:rPr>
                <w:sz w:val="18"/>
              </w:rPr>
              <w:t>servicios informáticos (partida 1.04.05) AC</w:t>
            </w:r>
          </w:p>
        </w:tc>
        <w:tc>
          <w:tcPr>
            <w:tcW w:w="1339" w:type="dxa"/>
          </w:tcPr>
          <w:p>
            <w:pPr>
              <w:pStyle w:val="TableParagraph"/>
              <w:ind w:left="69" w:right="62"/>
              <w:rPr>
                <w:sz w:val="18"/>
              </w:rPr>
            </w:pPr>
            <w:r>
              <w:rPr>
                <w:sz w:val="18"/>
              </w:rPr>
              <w:t>Porcentaje de gestiones de las solicitudes efectuadas</w:t>
            </w:r>
            <w:r>
              <w:rPr>
                <w:spacing w:val="-13"/>
                <w:sz w:val="18"/>
              </w:rPr>
              <w:t> </w:t>
            </w:r>
            <w:r>
              <w:rPr>
                <w:sz w:val="18"/>
              </w:rPr>
              <w:t>por </w:t>
            </w:r>
            <w:r>
              <w:rPr>
                <w:spacing w:val="-4"/>
                <w:sz w:val="18"/>
              </w:rPr>
              <w:t>las </w:t>
            </w:r>
            <w:r>
              <w:rPr>
                <w:spacing w:val="-2"/>
                <w:sz w:val="18"/>
              </w:rPr>
              <w:t>dependencias </w:t>
            </w:r>
            <w:r>
              <w:rPr>
                <w:sz w:val="18"/>
              </w:rPr>
              <w:t>para los </w:t>
            </w:r>
            <w:r>
              <w:rPr>
                <w:spacing w:val="-2"/>
                <w:sz w:val="18"/>
              </w:rPr>
              <w:t>servicios</w:t>
            </w:r>
          </w:p>
          <w:p>
            <w:pPr>
              <w:pStyle w:val="TableParagraph"/>
              <w:spacing w:line="189" w:lineRule="exact"/>
              <w:ind w:left="69"/>
              <w:rPr>
                <w:sz w:val="18"/>
              </w:rPr>
            </w:pPr>
            <w:r>
              <w:rPr>
                <w:spacing w:val="-2"/>
                <w:sz w:val="18"/>
              </w:rPr>
              <w:t>informáticos.</w:t>
            </w:r>
          </w:p>
        </w:tc>
        <w:tc>
          <w:tcPr>
            <w:tcW w:w="1220" w:type="dxa"/>
          </w:tcPr>
          <w:p>
            <w:pPr>
              <w:pStyle w:val="TableParagraph"/>
              <w:rPr>
                <w:rFonts w:ascii="Times New Roman"/>
                <w:sz w:val="18"/>
              </w:rPr>
            </w:pPr>
          </w:p>
        </w:tc>
        <w:tc>
          <w:tcPr>
            <w:tcW w:w="1277" w:type="dxa"/>
          </w:tcPr>
          <w:p>
            <w:pPr>
              <w:pStyle w:val="TableParagraph"/>
              <w:rPr>
                <w:rFonts w:ascii="Times New Roman"/>
                <w:sz w:val="18"/>
              </w:rPr>
            </w:pPr>
          </w:p>
        </w:tc>
        <w:tc>
          <w:tcPr>
            <w:tcW w:w="1277" w:type="dxa"/>
          </w:tcPr>
          <w:p>
            <w:pPr>
              <w:pStyle w:val="TableParagraph"/>
              <w:rPr>
                <w:rFonts w:ascii="Times New Roman"/>
                <w:sz w:val="18"/>
              </w:rPr>
            </w:pPr>
          </w:p>
        </w:tc>
        <w:tc>
          <w:tcPr>
            <w:tcW w:w="1275" w:type="dxa"/>
          </w:tcPr>
          <w:p>
            <w:pPr>
              <w:pStyle w:val="TableParagraph"/>
              <w:rPr>
                <w:rFonts w:ascii="Times New Roman"/>
                <w:sz w:val="18"/>
              </w:rPr>
            </w:pPr>
          </w:p>
        </w:tc>
        <w:tc>
          <w:tcPr>
            <w:tcW w:w="1277" w:type="dxa"/>
          </w:tcPr>
          <w:p>
            <w:pPr>
              <w:pStyle w:val="TableParagraph"/>
              <w:rPr>
                <w:rFonts w:ascii="Times New Roman"/>
                <w:sz w:val="18"/>
              </w:rPr>
            </w:pPr>
          </w:p>
        </w:tc>
        <w:tc>
          <w:tcPr>
            <w:tcW w:w="1429" w:type="dxa"/>
          </w:tcPr>
          <w:p>
            <w:pPr>
              <w:pStyle w:val="TableParagraph"/>
              <w:rPr>
                <w:rFonts w:ascii="Times New Roman"/>
                <w:sz w:val="18"/>
              </w:rPr>
            </w:pPr>
          </w:p>
        </w:tc>
        <w:tc>
          <w:tcPr>
            <w:tcW w:w="1390"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6" w:right="5"/>
              <w:jc w:val="center"/>
              <w:rPr>
                <w:sz w:val="18"/>
              </w:rPr>
            </w:pPr>
            <w:r>
              <w:rPr>
                <w:spacing w:val="-10"/>
                <w:sz w:val="18"/>
              </w:rPr>
              <w:t>-</w:t>
            </w:r>
          </w:p>
        </w:tc>
        <w:tc>
          <w:tcPr>
            <w:tcW w:w="1436" w:type="dxa"/>
          </w:tcPr>
          <w:p>
            <w:pPr>
              <w:pStyle w:val="TableParagraph"/>
              <w:rPr>
                <w:b/>
                <w:sz w:val="16"/>
              </w:rPr>
            </w:pPr>
          </w:p>
          <w:p>
            <w:pPr>
              <w:pStyle w:val="TableParagraph"/>
              <w:rPr>
                <w:b/>
                <w:sz w:val="16"/>
              </w:rPr>
            </w:pPr>
          </w:p>
          <w:p>
            <w:pPr>
              <w:pStyle w:val="TableParagraph"/>
              <w:rPr>
                <w:b/>
                <w:sz w:val="16"/>
              </w:rPr>
            </w:pPr>
          </w:p>
          <w:p>
            <w:pPr>
              <w:pStyle w:val="TableParagraph"/>
              <w:spacing w:before="109"/>
              <w:rPr>
                <w:b/>
                <w:sz w:val="16"/>
              </w:rPr>
            </w:pPr>
          </w:p>
          <w:p>
            <w:pPr>
              <w:pStyle w:val="TableParagraph"/>
              <w:ind w:left="213"/>
              <w:rPr>
                <w:sz w:val="16"/>
              </w:rPr>
            </w:pPr>
            <w:r>
              <w:rPr>
                <w:sz w:val="16"/>
              </w:rPr>
              <w:t>₡</w:t>
            </w:r>
            <w:r>
              <w:rPr>
                <w:spacing w:val="-2"/>
                <w:sz w:val="16"/>
              </w:rPr>
              <w:t> </w:t>
            </w:r>
            <w:r>
              <w:rPr>
                <w:sz w:val="16"/>
              </w:rPr>
              <w:t>363</w:t>
            </w:r>
            <w:r>
              <w:rPr>
                <w:spacing w:val="-1"/>
                <w:sz w:val="16"/>
              </w:rPr>
              <w:t> </w:t>
            </w:r>
            <w:r>
              <w:rPr>
                <w:sz w:val="16"/>
              </w:rPr>
              <w:t>000</w:t>
            </w:r>
            <w:r>
              <w:rPr>
                <w:spacing w:val="-1"/>
                <w:sz w:val="16"/>
              </w:rPr>
              <w:t> </w:t>
            </w:r>
            <w:r>
              <w:rPr>
                <w:spacing w:val="-5"/>
                <w:sz w:val="16"/>
              </w:rPr>
              <w:t>000</w:t>
            </w:r>
          </w:p>
        </w:tc>
      </w:tr>
    </w:tbl>
    <w:p>
      <w:pPr>
        <w:pStyle w:val="BodyText"/>
        <w:rPr>
          <w:b/>
          <w:sz w:val="20"/>
        </w:rPr>
      </w:pPr>
    </w:p>
    <w:p>
      <w:pPr>
        <w:pStyle w:val="BodyText"/>
        <w:spacing w:before="90"/>
        <w:rPr>
          <w:b/>
          <w:sz w:val="20"/>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7"/>
        <w:gridCol w:w="1558"/>
        <w:gridCol w:w="1278"/>
        <w:gridCol w:w="1253"/>
        <w:gridCol w:w="1411"/>
        <w:gridCol w:w="1275"/>
        <w:gridCol w:w="1181"/>
        <w:gridCol w:w="1110"/>
        <w:gridCol w:w="1433"/>
        <w:gridCol w:w="1553"/>
      </w:tblGrid>
      <w:tr>
        <w:trPr>
          <w:trHeight w:val="302" w:hRule="atLeast"/>
        </w:trPr>
        <w:tc>
          <w:tcPr>
            <w:tcW w:w="2127" w:type="dxa"/>
            <w:vMerge w:val="restart"/>
            <w:shd w:val="clear" w:color="auto" w:fill="F1F1F1"/>
          </w:tcPr>
          <w:p>
            <w:pPr>
              <w:pStyle w:val="TableParagraph"/>
              <w:spacing w:before="70"/>
              <w:rPr>
                <w:b/>
                <w:sz w:val="18"/>
              </w:rPr>
            </w:pPr>
          </w:p>
          <w:p>
            <w:pPr>
              <w:pStyle w:val="TableParagraph"/>
              <w:ind w:left="90"/>
              <w:rPr>
                <w:b/>
                <w:sz w:val="18"/>
              </w:rPr>
            </w:pPr>
            <w:r>
              <w:rPr>
                <w:b/>
                <w:sz w:val="18"/>
              </w:rPr>
              <w:t>Objetivos</w:t>
            </w:r>
            <w:r>
              <w:rPr>
                <w:b/>
                <w:spacing w:val="-4"/>
                <w:sz w:val="18"/>
              </w:rPr>
              <w:t> </w:t>
            </w:r>
            <w:r>
              <w:rPr>
                <w:b/>
                <w:sz w:val="18"/>
              </w:rPr>
              <w:t>/</w:t>
            </w:r>
            <w:r>
              <w:rPr>
                <w:b/>
                <w:spacing w:val="-2"/>
                <w:sz w:val="18"/>
              </w:rPr>
              <w:t> Resultados</w:t>
            </w:r>
          </w:p>
        </w:tc>
        <w:tc>
          <w:tcPr>
            <w:tcW w:w="1558" w:type="dxa"/>
            <w:vMerge w:val="restart"/>
            <w:shd w:val="clear" w:color="auto" w:fill="F1F1F1"/>
          </w:tcPr>
          <w:p>
            <w:pPr>
              <w:pStyle w:val="TableParagraph"/>
              <w:spacing w:before="70"/>
              <w:rPr>
                <w:b/>
                <w:sz w:val="18"/>
              </w:rPr>
            </w:pPr>
          </w:p>
          <w:p>
            <w:pPr>
              <w:pStyle w:val="TableParagraph"/>
              <w:ind w:left="371"/>
              <w:rPr>
                <w:b/>
                <w:sz w:val="18"/>
              </w:rPr>
            </w:pPr>
            <w:r>
              <w:rPr>
                <w:b/>
                <w:spacing w:val="-2"/>
                <w:sz w:val="18"/>
              </w:rPr>
              <w:t>Indicador</w:t>
            </w:r>
          </w:p>
        </w:tc>
        <w:tc>
          <w:tcPr>
            <w:tcW w:w="2531" w:type="dxa"/>
            <w:gridSpan w:val="2"/>
            <w:shd w:val="clear" w:color="auto" w:fill="F1F1F1"/>
          </w:tcPr>
          <w:p>
            <w:pPr>
              <w:pStyle w:val="TableParagraph"/>
              <w:spacing w:before="47"/>
              <w:ind w:left="801"/>
              <w:rPr>
                <w:b/>
                <w:sz w:val="18"/>
              </w:rPr>
            </w:pPr>
            <w:r>
              <w:rPr>
                <w:b/>
                <w:sz w:val="18"/>
              </w:rPr>
              <w:t>I </w:t>
            </w:r>
            <w:r>
              <w:rPr>
                <w:b/>
                <w:spacing w:val="-2"/>
                <w:sz w:val="18"/>
              </w:rPr>
              <w:t>Trimestre</w:t>
            </w:r>
          </w:p>
        </w:tc>
        <w:tc>
          <w:tcPr>
            <w:tcW w:w="2686" w:type="dxa"/>
            <w:gridSpan w:val="2"/>
            <w:shd w:val="clear" w:color="auto" w:fill="F1F1F1"/>
          </w:tcPr>
          <w:p>
            <w:pPr>
              <w:pStyle w:val="TableParagraph"/>
              <w:spacing w:before="47"/>
              <w:ind w:left="855"/>
              <w:rPr>
                <w:b/>
                <w:sz w:val="18"/>
              </w:rPr>
            </w:pPr>
            <w:r>
              <w:rPr>
                <w:b/>
                <w:sz w:val="18"/>
              </w:rPr>
              <w:t>II </w:t>
            </w:r>
            <w:r>
              <w:rPr>
                <w:b/>
                <w:spacing w:val="-2"/>
                <w:sz w:val="18"/>
              </w:rPr>
              <w:t>Trimestre</w:t>
            </w:r>
          </w:p>
        </w:tc>
        <w:tc>
          <w:tcPr>
            <w:tcW w:w="2291" w:type="dxa"/>
            <w:gridSpan w:val="2"/>
            <w:shd w:val="clear" w:color="auto" w:fill="F1F1F1"/>
          </w:tcPr>
          <w:p>
            <w:pPr>
              <w:pStyle w:val="TableParagraph"/>
              <w:spacing w:before="47"/>
              <w:ind w:left="631"/>
              <w:rPr>
                <w:b/>
                <w:sz w:val="18"/>
              </w:rPr>
            </w:pPr>
            <w:r>
              <w:rPr>
                <w:b/>
                <w:sz w:val="18"/>
              </w:rPr>
              <w:t>III </w:t>
            </w:r>
            <w:r>
              <w:rPr>
                <w:b/>
                <w:spacing w:val="-2"/>
                <w:sz w:val="18"/>
              </w:rPr>
              <w:t>Trimestre</w:t>
            </w:r>
          </w:p>
        </w:tc>
        <w:tc>
          <w:tcPr>
            <w:tcW w:w="2986" w:type="dxa"/>
            <w:gridSpan w:val="2"/>
            <w:shd w:val="clear" w:color="auto" w:fill="F1F1F1"/>
          </w:tcPr>
          <w:p>
            <w:pPr>
              <w:pStyle w:val="TableParagraph"/>
              <w:spacing w:before="47"/>
              <w:ind w:left="967"/>
              <w:rPr>
                <w:b/>
                <w:sz w:val="18"/>
              </w:rPr>
            </w:pPr>
            <w:r>
              <w:rPr>
                <w:b/>
                <w:sz w:val="18"/>
              </w:rPr>
              <w:t>IV </w:t>
            </w:r>
            <w:r>
              <w:rPr>
                <w:b/>
                <w:spacing w:val="-2"/>
                <w:sz w:val="18"/>
              </w:rPr>
              <w:t>Trimestre</w:t>
            </w:r>
          </w:p>
        </w:tc>
      </w:tr>
      <w:tr>
        <w:trPr>
          <w:trHeight w:val="448" w:hRule="atLeast"/>
        </w:trPr>
        <w:tc>
          <w:tcPr>
            <w:tcW w:w="2127" w:type="dxa"/>
            <w:vMerge/>
            <w:tcBorders>
              <w:top w:val="nil"/>
            </w:tcBorders>
            <w:shd w:val="clear" w:color="auto" w:fill="F1F1F1"/>
          </w:tcPr>
          <w:p>
            <w:pPr>
              <w:rPr>
                <w:sz w:val="2"/>
                <w:szCs w:val="2"/>
              </w:rPr>
            </w:pPr>
          </w:p>
        </w:tc>
        <w:tc>
          <w:tcPr>
            <w:tcW w:w="1558" w:type="dxa"/>
            <w:vMerge/>
            <w:tcBorders>
              <w:top w:val="nil"/>
            </w:tcBorders>
            <w:shd w:val="clear" w:color="auto" w:fill="F1F1F1"/>
          </w:tcPr>
          <w:p>
            <w:pPr>
              <w:rPr>
                <w:sz w:val="2"/>
                <w:szCs w:val="2"/>
              </w:rPr>
            </w:pPr>
          </w:p>
        </w:tc>
        <w:tc>
          <w:tcPr>
            <w:tcW w:w="1278" w:type="dxa"/>
            <w:shd w:val="clear" w:color="auto" w:fill="F1F1F1"/>
          </w:tcPr>
          <w:p>
            <w:pPr>
              <w:pStyle w:val="TableParagraph"/>
              <w:spacing w:line="210" w:lineRule="atLeast" w:before="8"/>
              <w:ind w:left="114" w:firstLine="314"/>
              <w:rPr>
                <w:b/>
                <w:sz w:val="18"/>
              </w:rPr>
            </w:pPr>
            <w:r>
              <w:rPr>
                <w:b/>
                <w:spacing w:val="-4"/>
                <w:sz w:val="18"/>
              </w:rPr>
              <w:t>Meta </w:t>
            </w:r>
            <w:r>
              <w:rPr>
                <w:b/>
                <w:spacing w:val="-2"/>
                <w:sz w:val="18"/>
              </w:rPr>
              <w:t>programada</w:t>
            </w:r>
          </w:p>
        </w:tc>
        <w:tc>
          <w:tcPr>
            <w:tcW w:w="1253" w:type="dxa"/>
            <w:shd w:val="clear" w:color="auto" w:fill="F1F1F1"/>
          </w:tcPr>
          <w:p>
            <w:pPr>
              <w:pStyle w:val="TableParagraph"/>
              <w:spacing w:before="119"/>
              <w:ind w:left="86" w:right="80"/>
              <w:jc w:val="center"/>
              <w:rPr>
                <w:b/>
                <w:sz w:val="18"/>
              </w:rPr>
            </w:pPr>
            <w:r>
              <w:rPr>
                <w:b/>
                <w:spacing w:val="-10"/>
                <w:sz w:val="18"/>
              </w:rPr>
              <w:t>¢</w:t>
            </w:r>
          </w:p>
        </w:tc>
        <w:tc>
          <w:tcPr>
            <w:tcW w:w="1411" w:type="dxa"/>
            <w:shd w:val="clear" w:color="auto" w:fill="F1F1F1"/>
          </w:tcPr>
          <w:p>
            <w:pPr>
              <w:pStyle w:val="TableParagraph"/>
              <w:spacing w:line="210" w:lineRule="atLeast" w:before="8"/>
              <w:ind w:left="183" w:firstLine="314"/>
              <w:rPr>
                <w:b/>
                <w:sz w:val="18"/>
              </w:rPr>
            </w:pPr>
            <w:r>
              <w:rPr>
                <w:b/>
                <w:spacing w:val="-4"/>
                <w:sz w:val="18"/>
              </w:rPr>
              <w:t>Meta </w:t>
            </w:r>
            <w:r>
              <w:rPr>
                <w:b/>
                <w:spacing w:val="-2"/>
                <w:sz w:val="18"/>
              </w:rPr>
              <w:t>programada</w:t>
            </w:r>
          </w:p>
        </w:tc>
        <w:tc>
          <w:tcPr>
            <w:tcW w:w="1275" w:type="dxa"/>
            <w:shd w:val="clear" w:color="auto" w:fill="F1F1F1"/>
          </w:tcPr>
          <w:p>
            <w:pPr>
              <w:pStyle w:val="TableParagraph"/>
              <w:spacing w:before="119"/>
              <w:ind w:left="27" w:right="23"/>
              <w:jc w:val="center"/>
              <w:rPr>
                <w:b/>
                <w:sz w:val="18"/>
              </w:rPr>
            </w:pPr>
            <w:r>
              <w:rPr>
                <w:b/>
                <w:spacing w:val="-10"/>
                <w:sz w:val="18"/>
              </w:rPr>
              <w:t>¢</w:t>
            </w:r>
          </w:p>
        </w:tc>
        <w:tc>
          <w:tcPr>
            <w:tcW w:w="1181" w:type="dxa"/>
            <w:shd w:val="clear" w:color="auto" w:fill="F1F1F1"/>
          </w:tcPr>
          <w:p>
            <w:pPr>
              <w:pStyle w:val="TableParagraph"/>
              <w:spacing w:line="210" w:lineRule="atLeast" w:before="8"/>
              <w:ind w:left="68" w:firstLine="314"/>
              <w:rPr>
                <w:b/>
                <w:sz w:val="18"/>
              </w:rPr>
            </w:pPr>
            <w:r>
              <w:rPr>
                <w:b/>
                <w:spacing w:val="-4"/>
                <w:sz w:val="18"/>
              </w:rPr>
              <w:t>Meta </w:t>
            </w:r>
            <w:r>
              <w:rPr>
                <w:b/>
                <w:spacing w:val="-2"/>
                <w:sz w:val="18"/>
              </w:rPr>
              <w:t>programada</w:t>
            </w:r>
          </w:p>
        </w:tc>
        <w:tc>
          <w:tcPr>
            <w:tcW w:w="1110" w:type="dxa"/>
            <w:shd w:val="clear" w:color="auto" w:fill="F1F1F1"/>
          </w:tcPr>
          <w:p>
            <w:pPr>
              <w:pStyle w:val="TableParagraph"/>
              <w:spacing w:before="119"/>
              <w:jc w:val="center"/>
              <w:rPr>
                <w:b/>
                <w:sz w:val="18"/>
              </w:rPr>
            </w:pPr>
            <w:r>
              <w:rPr>
                <w:b/>
                <w:spacing w:val="-10"/>
                <w:sz w:val="18"/>
              </w:rPr>
              <w:t>¢</w:t>
            </w:r>
          </w:p>
        </w:tc>
        <w:tc>
          <w:tcPr>
            <w:tcW w:w="1433" w:type="dxa"/>
            <w:shd w:val="clear" w:color="auto" w:fill="F1F1F1"/>
          </w:tcPr>
          <w:p>
            <w:pPr>
              <w:pStyle w:val="TableParagraph"/>
              <w:spacing w:line="210" w:lineRule="atLeast" w:before="8"/>
              <w:ind w:left="192" w:firstLine="314"/>
              <w:rPr>
                <w:b/>
                <w:sz w:val="18"/>
              </w:rPr>
            </w:pPr>
            <w:r>
              <w:rPr>
                <w:b/>
                <w:spacing w:val="-4"/>
                <w:sz w:val="18"/>
              </w:rPr>
              <w:t>Meta </w:t>
            </w:r>
            <w:r>
              <w:rPr>
                <w:b/>
                <w:spacing w:val="-2"/>
                <w:sz w:val="18"/>
              </w:rPr>
              <w:t>programada</w:t>
            </w:r>
          </w:p>
        </w:tc>
        <w:tc>
          <w:tcPr>
            <w:tcW w:w="1553" w:type="dxa"/>
            <w:shd w:val="clear" w:color="auto" w:fill="F1F1F1"/>
          </w:tcPr>
          <w:p>
            <w:pPr>
              <w:pStyle w:val="TableParagraph"/>
              <w:spacing w:before="119"/>
              <w:ind w:right="1"/>
              <w:jc w:val="center"/>
              <w:rPr>
                <w:b/>
                <w:sz w:val="18"/>
              </w:rPr>
            </w:pPr>
            <w:r>
              <w:rPr>
                <w:b/>
                <w:spacing w:val="-10"/>
                <w:sz w:val="18"/>
              </w:rPr>
              <w:t>¢</w:t>
            </w:r>
          </w:p>
        </w:tc>
      </w:tr>
      <w:tr>
        <w:trPr>
          <w:trHeight w:val="585" w:hRule="atLeast"/>
        </w:trPr>
        <w:tc>
          <w:tcPr>
            <w:tcW w:w="14179" w:type="dxa"/>
            <w:gridSpan w:val="10"/>
            <w:shd w:val="clear" w:color="auto" w:fill="F1F1F1"/>
          </w:tcPr>
          <w:p>
            <w:pPr>
              <w:pStyle w:val="TableParagraph"/>
              <w:spacing w:before="85"/>
              <w:ind w:left="69"/>
              <w:rPr>
                <w:b/>
                <w:sz w:val="18"/>
              </w:rPr>
            </w:pPr>
            <w:r>
              <w:rPr>
                <w:b/>
                <w:sz w:val="18"/>
              </w:rPr>
              <w:t>Efecto:</w:t>
            </w:r>
            <w:r>
              <w:rPr>
                <w:b/>
                <w:spacing w:val="40"/>
                <w:sz w:val="18"/>
              </w:rPr>
              <w:t> </w:t>
            </w:r>
            <w:r>
              <w:rPr>
                <w:b/>
                <w:sz w:val="18"/>
              </w:rPr>
              <w:t>Efectiva</w:t>
            </w:r>
            <w:r>
              <w:rPr>
                <w:b/>
                <w:spacing w:val="-3"/>
                <w:sz w:val="18"/>
              </w:rPr>
              <w:t> </w:t>
            </w:r>
            <w:r>
              <w:rPr>
                <w:b/>
                <w:sz w:val="18"/>
              </w:rPr>
              <w:t>gestión</w:t>
            </w:r>
            <w:r>
              <w:rPr>
                <w:b/>
                <w:spacing w:val="-1"/>
                <w:sz w:val="18"/>
              </w:rPr>
              <w:t> </w:t>
            </w:r>
            <w:r>
              <w:rPr>
                <w:b/>
                <w:sz w:val="18"/>
              </w:rPr>
              <w:t>de</w:t>
            </w:r>
            <w:r>
              <w:rPr>
                <w:b/>
                <w:spacing w:val="-1"/>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570" w:hRule="atLeast"/>
        </w:trPr>
        <w:tc>
          <w:tcPr>
            <w:tcW w:w="14179" w:type="dxa"/>
            <w:gridSpan w:val="10"/>
            <w:shd w:val="clear" w:color="auto" w:fill="DBE4F0"/>
          </w:tcPr>
          <w:p>
            <w:pPr>
              <w:pStyle w:val="TableParagraph"/>
              <w:spacing w:before="78"/>
              <w:ind w:left="69"/>
              <w:rPr>
                <w:b/>
                <w:sz w:val="18"/>
              </w:rPr>
            </w:pPr>
            <w:r>
              <w:rPr>
                <w:b/>
                <w:sz w:val="18"/>
              </w:rPr>
              <w:t>Producto</w:t>
            </w:r>
            <w:r>
              <w:rPr>
                <w:b/>
                <w:spacing w:val="-2"/>
                <w:sz w:val="18"/>
              </w:rPr>
              <w:t> </w:t>
            </w:r>
            <w:r>
              <w:rPr>
                <w:b/>
                <w:sz w:val="18"/>
              </w:rPr>
              <w:t>2.5:</w:t>
            </w:r>
            <w:r>
              <w:rPr>
                <w:b/>
                <w:spacing w:val="-2"/>
                <w:sz w:val="18"/>
              </w:rPr>
              <w:t> </w:t>
            </w:r>
            <w:r>
              <w:rPr>
                <w:b/>
                <w:sz w:val="18"/>
              </w:rPr>
              <w:t>Contar</w:t>
            </w:r>
            <w:r>
              <w:rPr>
                <w:b/>
                <w:spacing w:val="-5"/>
                <w:sz w:val="18"/>
              </w:rPr>
              <w:t> </w:t>
            </w:r>
            <w:r>
              <w:rPr>
                <w:b/>
                <w:sz w:val="18"/>
              </w:rPr>
              <w:t>con</w:t>
            </w:r>
            <w:r>
              <w:rPr>
                <w:b/>
                <w:spacing w:val="-2"/>
                <w:sz w:val="18"/>
              </w:rPr>
              <w:t> </w:t>
            </w:r>
            <w:r>
              <w:rPr>
                <w:b/>
                <w:sz w:val="18"/>
              </w:rPr>
              <w:t>un</w:t>
            </w:r>
            <w:r>
              <w:rPr>
                <w:b/>
                <w:spacing w:val="-4"/>
                <w:sz w:val="18"/>
              </w:rPr>
              <w:t> </w:t>
            </w:r>
            <w:r>
              <w:rPr>
                <w:b/>
                <w:sz w:val="18"/>
              </w:rPr>
              <w:t>espacio</w:t>
            </w:r>
            <w:r>
              <w:rPr>
                <w:b/>
                <w:spacing w:val="-2"/>
                <w:sz w:val="18"/>
              </w:rPr>
              <w:t> </w:t>
            </w:r>
            <w:r>
              <w:rPr>
                <w:b/>
                <w:sz w:val="18"/>
              </w:rPr>
              <w:t>físico</w:t>
            </w:r>
            <w:r>
              <w:rPr>
                <w:b/>
                <w:spacing w:val="-2"/>
                <w:sz w:val="18"/>
              </w:rPr>
              <w:t> </w:t>
            </w:r>
            <w:r>
              <w:rPr>
                <w:b/>
                <w:sz w:val="18"/>
              </w:rPr>
              <w:t>que</w:t>
            </w:r>
            <w:r>
              <w:rPr>
                <w:b/>
                <w:spacing w:val="-2"/>
                <w:sz w:val="18"/>
              </w:rPr>
              <w:t> </w:t>
            </w:r>
            <w:r>
              <w:rPr>
                <w:b/>
                <w:sz w:val="18"/>
              </w:rPr>
              <w:t>cumpla</w:t>
            </w:r>
            <w:r>
              <w:rPr>
                <w:b/>
                <w:spacing w:val="-4"/>
                <w:sz w:val="18"/>
              </w:rPr>
              <w:t> </w:t>
            </w:r>
            <w:r>
              <w:rPr>
                <w:b/>
                <w:sz w:val="18"/>
              </w:rPr>
              <w:t>con</w:t>
            </w:r>
            <w:r>
              <w:rPr>
                <w:b/>
                <w:spacing w:val="-2"/>
                <w:sz w:val="18"/>
              </w:rPr>
              <w:t> </w:t>
            </w:r>
            <w:r>
              <w:rPr>
                <w:b/>
                <w:sz w:val="18"/>
              </w:rPr>
              <w:t>las</w:t>
            </w:r>
            <w:r>
              <w:rPr>
                <w:b/>
                <w:spacing w:val="-4"/>
                <w:sz w:val="18"/>
              </w:rPr>
              <w:t> </w:t>
            </w:r>
            <w:r>
              <w:rPr>
                <w:b/>
                <w:sz w:val="18"/>
              </w:rPr>
              <w:t>condiciones</w:t>
            </w:r>
            <w:r>
              <w:rPr>
                <w:b/>
                <w:spacing w:val="-2"/>
                <w:sz w:val="18"/>
              </w:rPr>
              <w:t> </w:t>
            </w:r>
            <w:r>
              <w:rPr>
                <w:b/>
                <w:sz w:val="18"/>
              </w:rPr>
              <w:t>adecuadas</w:t>
            </w:r>
            <w:r>
              <w:rPr>
                <w:b/>
                <w:spacing w:val="-2"/>
                <w:sz w:val="18"/>
              </w:rPr>
              <w:t> </w:t>
            </w:r>
            <w:r>
              <w:rPr>
                <w:b/>
                <w:sz w:val="18"/>
              </w:rPr>
              <w:t>para</w:t>
            </w:r>
            <w:r>
              <w:rPr>
                <w:b/>
                <w:spacing w:val="-4"/>
                <w:sz w:val="18"/>
              </w:rPr>
              <w:t> </w:t>
            </w:r>
            <w:r>
              <w:rPr>
                <w:b/>
                <w:sz w:val="18"/>
              </w:rPr>
              <w:t>las</w:t>
            </w:r>
            <w:r>
              <w:rPr>
                <w:b/>
                <w:spacing w:val="-2"/>
                <w:sz w:val="18"/>
              </w:rPr>
              <w:t> </w:t>
            </w:r>
            <w:r>
              <w:rPr>
                <w:b/>
                <w:sz w:val="18"/>
              </w:rPr>
              <w:t>funciones</w:t>
            </w:r>
            <w:r>
              <w:rPr>
                <w:b/>
                <w:spacing w:val="-2"/>
                <w:sz w:val="18"/>
              </w:rPr>
              <w:t> </w:t>
            </w:r>
            <w:r>
              <w:rPr>
                <w:b/>
                <w:sz w:val="18"/>
              </w:rPr>
              <w:t>propias</w:t>
            </w:r>
            <w:r>
              <w:rPr>
                <w:b/>
                <w:spacing w:val="-2"/>
                <w:sz w:val="18"/>
              </w:rPr>
              <w:t> </w:t>
            </w:r>
            <w:r>
              <w:rPr>
                <w:b/>
                <w:sz w:val="18"/>
              </w:rPr>
              <w:t>del</w:t>
            </w:r>
            <w:r>
              <w:rPr>
                <w:b/>
                <w:spacing w:val="-2"/>
                <w:sz w:val="18"/>
              </w:rPr>
              <w:t> </w:t>
            </w:r>
            <w:r>
              <w:rPr>
                <w:b/>
                <w:sz w:val="18"/>
              </w:rPr>
              <w:t>Departamento</w:t>
            </w:r>
            <w:r>
              <w:rPr>
                <w:b/>
                <w:spacing w:val="-2"/>
                <w:sz w:val="18"/>
              </w:rPr>
              <w:t> </w:t>
            </w:r>
            <w:r>
              <w:rPr>
                <w:b/>
                <w:sz w:val="18"/>
              </w:rPr>
              <w:t>de</w:t>
            </w:r>
            <w:r>
              <w:rPr>
                <w:b/>
                <w:spacing w:val="-2"/>
                <w:sz w:val="18"/>
              </w:rPr>
              <w:t> </w:t>
            </w:r>
            <w:r>
              <w:rPr>
                <w:b/>
                <w:sz w:val="18"/>
              </w:rPr>
              <w:t>Administración</w:t>
            </w:r>
            <w:r>
              <w:rPr>
                <w:b/>
                <w:spacing w:val="-2"/>
                <w:sz w:val="18"/>
              </w:rPr>
              <w:t> </w:t>
            </w:r>
            <w:r>
              <w:rPr>
                <w:b/>
                <w:sz w:val="18"/>
              </w:rPr>
              <w:t>Financiera, Unidad Contabilidad y Unidad de Presupuesto.</w:t>
            </w:r>
          </w:p>
        </w:tc>
      </w:tr>
      <w:tr>
        <w:trPr>
          <w:trHeight w:val="1711" w:hRule="atLeast"/>
        </w:trPr>
        <w:tc>
          <w:tcPr>
            <w:tcW w:w="2127" w:type="dxa"/>
          </w:tcPr>
          <w:p>
            <w:pPr>
              <w:pStyle w:val="TableParagraph"/>
              <w:spacing w:before="25"/>
              <w:ind w:left="69" w:right="79"/>
              <w:rPr>
                <w:sz w:val="18"/>
              </w:rPr>
            </w:pPr>
            <w:r>
              <w:rPr>
                <w:b/>
                <w:sz w:val="18"/>
              </w:rPr>
              <w:t>Actividad PAC 2.5.1: </w:t>
            </w:r>
            <w:r>
              <w:rPr>
                <w:sz w:val="18"/>
              </w:rPr>
              <w:t>Seguimiento</w:t>
            </w:r>
            <w:r>
              <w:rPr>
                <w:spacing w:val="-9"/>
                <w:sz w:val="18"/>
              </w:rPr>
              <w:t> </w:t>
            </w:r>
            <w:r>
              <w:rPr>
                <w:sz w:val="18"/>
              </w:rPr>
              <w:t>al</w:t>
            </w:r>
            <w:r>
              <w:rPr>
                <w:spacing w:val="-9"/>
                <w:sz w:val="18"/>
              </w:rPr>
              <w:t> </w:t>
            </w:r>
            <w:r>
              <w:rPr>
                <w:sz w:val="18"/>
              </w:rPr>
              <w:t>proyecto inscrito en BPIP, sobre remodelación del espacio físico donde se ubica</w:t>
            </w:r>
            <w:r>
              <w:rPr>
                <w:spacing w:val="-9"/>
                <w:sz w:val="18"/>
              </w:rPr>
              <w:t> </w:t>
            </w:r>
            <w:r>
              <w:rPr>
                <w:sz w:val="18"/>
              </w:rPr>
              <w:t>el</w:t>
            </w:r>
            <w:r>
              <w:rPr>
                <w:spacing w:val="-11"/>
                <w:sz w:val="18"/>
              </w:rPr>
              <w:t> </w:t>
            </w:r>
            <w:r>
              <w:rPr>
                <w:sz w:val="18"/>
              </w:rPr>
              <w:t>DAF,</w:t>
            </w:r>
            <w:r>
              <w:rPr>
                <w:spacing w:val="-9"/>
                <w:sz w:val="18"/>
              </w:rPr>
              <w:t> </w:t>
            </w:r>
            <w:r>
              <w:rPr>
                <w:sz w:val="18"/>
              </w:rPr>
              <w:t>Unidad</w:t>
            </w:r>
            <w:r>
              <w:rPr>
                <w:spacing w:val="-11"/>
                <w:sz w:val="18"/>
              </w:rPr>
              <w:t> </w:t>
            </w:r>
            <w:r>
              <w:rPr>
                <w:sz w:val="18"/>
              </w:rPr>
              <w:t>de </w:t>
            </w:r>
            <w:r>
              <w:rPr>
                <w:spacing w:val="-2"/>
                <w:sz w:val="18"/>
              </w:rPr>
              <w:t>Presupuesto, Contabilidad.</w:t>
            </w:r>
          </w:p>
        </w:tc>
        <w:tc>
          <w:tcPr>
            <w:tcW w:w="1558" w:type="dxa"/>
          </w:tcPr>
          <w:p>
            <w:pPr>
              <w:pStyle w:val="TableParagraph"/>
              <w:rPr>
                <w:b/>
                <w:sz w:val="18"/>
              </w:rPr>
            </w:pPr>
          </w:p>
          <w:p>
            <w:pPr>
              <w:pStyle w:val="TableParagraph"/>
              <w:spacing w:before="27"/>
              <w:rPr>
                <w:b/>
                <w:sz w:val="18"/>
              </w:rPr>
            </w:pPr>
          </w:p>
          <w:p>
            <w:pPr>
              <w:pStyle w:val="TableParagraph"/>
              <w:ind w:left="69"/>
              <w:rPr>
                <w:sz w:val="18"/>
              </w:rPr>
            </w:pPr>
            <w:r>
              <w:rPr>
                <w:sz w:val="18"/>
              </w:rPr>
              <w:t>Cantidad de </w:t>
            </w:r>
            <w:r>
              <w:rPr>
                <w:spacing w:val="-2"/>
                <w:sz w:val="18"/>
              </w:rPr>
              <w:t>seguimiento </w:t>
            </w:r>
            <w:r>
              <w:rPr>
                <w:sz w:val="18"/>
              </w:rPr>
              <w:t>trimestral en el módulo</w:t>
            </w:r>
            <w:r>
              <w:rPr>
                <w:spacing w:val="-15"/>
                <w:sz w:val="18"/>
              </w:rPr>
              <w:t> </w:t>
            </w:r>
            <w:r>
              <w:rPr>
                <w:sz w:val="18"/>
              </w:rPr>
              <w:t>de</w:t>
            </w:r>
            <w:r>
              <w:rPr>
                <w:spacing w:val="-12"/>
                <w:sz w:val="18"/>
              </w:rPr>
              <w:t> </w:t>
            </w:r>
            <w:r>
              <w:rPr>
                <w:sz w:val="18"/>
              </w:rPr>
              <w:t>BPIP.</w:t>
            </w:r>
          </w:p>
        </w:tc>
        <w:tc>
          <w:tcPr>
            <w:tcW w:w="1278" w:type="dxa"/>
          </w:tcPr>
          <w:p>
            <w:pPr>
              <w:pStyle w:val="TableParagraph"/>
              <w:rPr>
                <w:b/>
                <w:sz w:val="18"/>
              </w:rPr>
            </w:pPr>
          </w:p>
          <w:p>
            <w:pPr>
              <w:pStyle w:val="TableParagraph"/>
              <w:rPr>
                <w:b/>
                <w:sz w:val="18"/>
              </w:rPr>
            </w:pPr>
          </w:p>
          <w:p>
            <w:pPr>
              <w:pStyle w:val="TableParagraph"/>
              <w:spacing w:before="129"/>
              <w:rPr>
                <w:b/>
                <w:sz w:val="18"/>
              </w:rPr>
            </w:pPr>
          </w:p>
          <w:p>
            <w:pPr>
              <w:pStyle w:val="TableParagraph"/>
              <w:ind w:left="9" w:right="7"/>
              <w:jc w:val="center"/>
              <w:rPr>
                <w:sz w:val="18"/>
              </w:rPr>
            </w:pPr>
            <w:r>
              <w:rPr>
                <w:spacing w:val="-10"/>
                <w:sz w:val="18"/>
              </w:rPr>
              <w:t>1</w:t>
            </w:r>
          </w:p>
        </w:tc>
        <w:tc>
          <w:tcPr>
            <w:tcW w:w="1253" w:type="dxa"/>
          </w:tcPr>
          <w:p>
            <w:pPr>
              <w:pStyle w:val="TableParagraph"/>
              <w:rPr>
                <w:rFonts w:ascii="Times New Roman"/>
                <w:sz w:val="18"/>
              </w:rPr>
            </w:pPr>
          </w:p>
        </w:tc>
        <w:tc>
          <w:tcPr>
            <w:tcW w:w="1411" w:type="dxa"/>
          </w:tcPr>
          <w:p>
            <w:pPr>
              <w:pStyle w:val="TableParagraph"/>
              <w:rPr>
                <w:b/>
                <w:sz w:val="18"/>
              </w:rPr>
            </w:pPr>
          </w:p>
          <w:p>
            <w:pPr>
              <w:pStyle w:val="TableParagraph"/>
              <w:rPr>
                <w:b/>
                <w:sz w:val="18"/>
              </w:rPr>
            </w:pPr>
          </w:p>
          <w:p>
            <w:pPr>
              <w:pStyle w:val="TableParagraph"/>
              <w:spacing w:before="129"/>
              <w:rPr>
                <w:b/>
                <w:sz w:val="18"/>
              </w:rPr>
            </w:pPr>
          </w:p>
          <w:p>
            <w:pPr>
              <w:pStyle w:val="TableParagraph"/>
              <w:ind w:left="6"/>
              <w:jc w:val="center"/>
              <w:rPr>
                <w:sz w:val="18"/>
              </w:rPr>
            </w:pPr>
            <w:r>
              <w:rPr>
                <w:spacing w:val="-10"/>
                <w:sz w:val="18"/>
              </w:rPr>
              <w:t>1</w:t>
            </w:r>
          </w:p>
        </w:tc>
        <w:tc>
          <w:tcPr>
            <w:tcW w:w="1275"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29"/>
              <w:rPr>
                <w:b/>
                <w:sz w:val="18"/>
              </w:rPr>
            </w:pPr>
          </w:p>
          <w:p>
            <w:pPr>
              <w:pStyle w:val="TableParagraph"/>
              <w:ind w:left="5"/>
              <w:jc w:val="center"/>
              <w:rPr>
                <w:sz w:val="18"/>
              </w:rPr>
            </w:pPr>
            <w:r>
              <w:rPr>
                <w:spacing w:val="-10"/>
                <w:sz w:val="18"/>
              </w:rPr>
              <w:t>1</w:t>
            </w:r>
          </w:p>
        </w:tc>
        <w:tc>
          <w:tcPr>
            <w:tcW w:w="1110" w:type="dxa"/>
          </w:tcPr>
          <w:p>
            <w:pPr>
              <w:pStyle w:val="TableParagraph"/>
              <w:rPr>
                <w:rFonts w:ascii="Times New Roman"/>
                <w:sz w:val="18"/>
              </w:rPr>
            </w:pPr>
          </w:p>
        </w:tc>
        <w:tc>
          <w:tcPr>
            <w:tcW w:w="1433" w:type="dxa"/>
          </w:tcPr>
          <w:p>
            <w:pPr>
              <w:pStyle w:val="TableParagraph"/>
              <w:rPr>
                <w:b/>
                <w:sz w:val="18"/>
              </w:rPr>
            </w:pPr>
          </w:p>
          <w:p>
            <w:pPr>
              <w:pStyle w:val="TableParagraph"/>
              <w:rPr>
                <w:b/>
                <w:sz w:val="18"/>
              </w:rPr>
            </w:pPr>
          </w:p>
          <w:p>
            <w:pPr>
              <w:pStyle w:val="TableParagraph"/>
              <w:spacing w:before="129"/>
              <w:rPr>
                <w:b/>
                <w:sz w:val="18"/>
              </w:rPr>
            </w:pPr>
          </w:p>
          <w:p>
            <w:pPr>
              <w:pStyle w:val="TableParagraph"/>
              <w:ind w:left="4" w:right="3"/>
              <w:jc w:val="center"/>
              <w:rPr>
                <w:sz w:val="18"/>
              </w:rPr>
            </w:pPr>
            <w:r>
              <w:rPr>
                <w:spacing w:val="-10"/>
                <w:sz w:val="18"/>
              </w:rPr>
              <w:t>1</w:t>
            </w:r>
          </w:p>
        </w:tc>
        <w:tc>
          <w:tcPr>
            <w:tcW w:w="1553" w:type="dxa"/>
          </w:tcPr>
          <w:p>
            <w:pPr>
              <w:pStyle w:val="TableParagraph"/>
              <w:rPr>
                <w:rFonts w:ascii="Times New Roman"/>
                <w:sz w:val="18"/>
              </w:rPr>
            </w:pPr>
          </w:p>
        </w:tc>
      </w:tr>
      <w:tr>
        <w:trPr>
          <w:trHeight w:val="1948" w:hRule="atLeast"/>
        </w:trPr>
        <w:tc>
          <w:tcPr>
            <w:tcW w:w="2127" w:type="dxa"/>
          </w:tcPr>
          <w:p>
            <w:pPr>
              <w:pStyle w:val="TableParagraph"/>
              <w:spacing w:before="145"/>
              <w:ind w:left="69" w:right="79"/>
              <w:rPr>
                <w:sz w:val="18"/>
              </w:rPr>
            </w:pPr>
            <w:r>
              <w:rPr>
                <w:b/>
                <w:sz w:val="18"/>
              </w:rPr>
              <w:t>Actividad PAC 2.5.2: </w:t>
            </w:r>
            <w:r>
              <w:rPr>
                <w:sz w:val="18"/>
              </w:rPr>
              <w:t>Fiscalizar la ejecución contractual sobre la remodelación del espacio físico donde se ubica</w:t>
            </w:r>
            <w:r>
              <w:rPr>
                <w:spacing w:val="-9"/>
                <w:sz w:val="18"/>
              </w:rPr>
              <w:t> </w:t>
            </w:r>
            <w:r>
              <w:rPr>
                <w:sz w:val="18"/>
              </w:rPr>
              <w:t>el</w:t>
            </w:r>
            <w:r>
              <w:rPr>
                <w:spacing w:val="-11"/>
                <w:sz w:val="18"/>
              </w:rPr>
              <w:t> </w:t>
            </w:r>
            <w:r>
              <w:rPr>
                <w:sz w:val="18"/>
              </w:rPr>
              <w:t>DAF,</w:t>
            </w:r>
            <w:r>
              <w:rPr>
                <w:spacing w:val="-9"/>
                <w:sz w:val="18"/>
              </w:rPr>
              <w:t> </w:t>
            </w:r>
            <w:r>
              <w:rPr>
                <w:sz w:val="18"/>
              </w:rPr>
              <w:t>Unidad</w:t>
            </w:r>
            <w:r>
              <w:rPr>
                <w:spacing w:val="-11"/>
                <w:sz w:val="18"/>
              </w:rPr>
              <w:t> </w:t>
            </w:r>
            <w:r>
              <w:rPr>
                <w:sz w:val="18"/>
              </w:rPr>
              <w:t>de </w:t>
            </w:r>
            <w:r>
              <w:rPr>
                <w:spacing w:val="-2"/>
                <w:sz w:val="18"/>
              </w:rPr>
              <w:t>Presupuesto, Contabilidad.</w:t>
            </w:r>
          </w:p>
        </w:tc>
        <w:tc>
          <w:tcPr>
            <w:tcW w:w="1558" w:type="dxa"/>
          </w:tcPr>
          <w:p>
            <w:pPr>
              <w:pStyle w:val="TableParagraph"/>
              <w:rPr>
                <w:b/>
                <w:sz w:val="18"/>
              </w:rPr>
            </w:pPr>
          </w:p>
          <w:p>
            <w:pPr>
              <w:pStyle w:val="TableParagraph"/>
              <w:spacing w:before="41"/>
              <w:rPr>
                <w:b/>
                <w:sz w:val="18"/>
              </w:rPr>
            </w:pPr>
          </w:p>
          <w:p>
            <w:pPr>
              <w:pStyle w:val="TableParagraph"/>
              <w:ind w:left="69" w:right="65"/>
              <w:rPr>
                <w:sz w:val="18"/>
              </w:rPr>
            </w:pPr>
            <w:r>
              <w:rPr>
                <w:sz w:val="18"/>
              </w:rPr>
              <w:t>Porcentaje de ejecución del </w:t>
            </w:r>
            <w:r>
              <w:rPr>
                <w:spacing w:val="-2"/>
                <w:sz w:val="18"/>
              </w:rPr>
              <w:t>monto</w:t>
            </w:r>
            <w:r>
              <w:rPr>
                <w:spacing w:val="80"/>
                <w:sz w:val="18"/>
              </w:rPr>
              <w:t> </w:t>
            </w:r>
            <w:r>
              <w:rPr>
                <w:sz w:val="18"/>
              </w:rPr>
              <w:t>adjudicado</w:t>
            </w:r>
            <w:r>
              <w:rPr>
                <w:spacing w:val="-13"/>
                <w:sz w:val="18"/>
              </w:rPr>
              <w:t> </w:t>
            </w:r>
            <w:r>
              <w:rPr>
                <w:sz w:val="18"/>
              </w:rPr>
              <w:t>según la contratación.</w:t>
            </w:r>
          </w:p>
        </w:tc>
        <w:tc>
          <w:tcPr>
            <w:tcW w:w="1278" w:type="dxa"/>
          </w:tcPr>
          <w:p>
            <w:pPr>
              <w:pStyle w:val="TableParagraph"/>
              <w:rPr>
                <w:rFonts w:ascii="Times New Roman"/>
                <w:sz w:val="18"/>
              </w:rPr>
            </w:pPr>
          </w:p>
        </w:tc>
        <w:tc>
          <w:tcPr>
            <w:tcW w:w="1253" w:type="dxa"/>
          </w:tcPr>
          <w:p>
            <w:pPr>
              <w:pStyle w:val="TableParagraph"/>
              <w:rPr>
                <w:rFonts w:ascii="Times New Roman"/>
                <w:sz w:val="18"/>
              </w:rPr>
            </w:pPr>
          </w:p>
        </w:tc>
        <w:tc>
          <w:tcPr>
            <w:tcW w:w="1411" w:type="dxa"/>
          </w:tcPr>
          <w:p>
            <w:pPr>
              <w:pStyle w:val="TableParagraph"/>
              <w:rPr>
                <w:rFonts w:ascii="Times New Roman"/>
                <w:sz w:val="18"/>
              </w:rPr>
            </w:pPr>
          </w:p>
        </w:tc>
        <w:tc>
          <w:tcPr>
            <w:tcW w:w="1275" w:type="dxa"/>
          </w:tcPr>
          <w:p>
            <w:pPr>
              <w:pStyle w:val="TableParagraph"/>
              <w:rPr>
                <w:rFonts w:ascii="Times New Roman"/>
                <w:sz w:val="18"/>
              </w:rPr>
            </w:pPr>
          </w:p>
        </w:tc>
        <w:tc>
          <w:tcPr>
            <w:tcW w:w="1181" w:type="dxa"/>
          </w:tcPr>
          <w:p>
            <w:pPr>
              <w:pStyle w:val="TableParagraph"/>
              <w:rPr>
                <w:rFonts w:ascii="Times New Roman"/>
                <w:sz w:val="18"/>
              </w:rPr>
            </w:pPr>
          </w:p>
        </w:tc>
        <w:tc>
          <w:tcPr>
            <w:tcW w:w="1110" w:type="dxa"/>
          </w:tcPr>
          <w:p>
            <w:pPr>
              <w:pStyle w:val="TableParagraph"/>
              <w:rPr>
                <w:rFonts w:ascii="Times New Roman"/>
                <w:sz w:val="18"/>
              </w:rPr>
            </w:pPr>
          </w:p>
        </w:tc>
        <w:tc>
          <w:tcPr>
            <w:tcW w:w="1433" w:type="dxa"/>
          </w:tcPr>
          <w:p>
            <w:pPr>
              <w:pStyle w:val="TableParagraph"/>
              <w:rPr>
                <w:b/>
                <w:sz w:val="18"/>
              </w:rPr>
            </w:pPr>
          </w:p>
          <w:p>
            <w:pPr>
              <w:pStyle w:val="TableParagraph"/>
              <w:rPr>
                <w:b/>
                <w:sz w:val="18"/>
              </w:rPr>
            </w:pPr>
          </w:p>
          <w:p>
            <w:pPr>
              <w:pStyle w:val="TableParagraph"/>
              <w:rPr>
                <w:b/>
                <w:sz w:val="18"/>
              </w:rPr>
            </w:pPr>
          </w:p>
          <w:p>
            <w:pPr>
              <w:pStyle w:val="TableParagraph"/>
              <w:spacing w:before="42"/>
              <w:rPr>
                <w:b/>
                <w:sz w:val="18"/>
              </w:rPr>
            </w:pPr>
          </w:p>
          <w:p>
            <w:pPr>
              <w:pStyle w:val="TableParagraph"/>
              <w:ind w:left="4"/>
              <w:jc w:val="center"/>
              <w:rPr>
                <w:sz w:val="18"/>
              </w:rPr>
            </w:pPr>
            <w:r>
              <w:rPr>
                <w:spacing w:val="-4"/>
                <w:sz w:val="18"/>
              </w:rPr>
              <w:t>100%</w:t>
            </w:r>
          </w:p>
        </w:tc>
        <w:tc>
          <w:tcPr>
            <w:tcW w:w="1553" w:type="dxa"/>
          </w:tcPr>
          <w:p>
            <w:pPr>
              <w:pStyle w:val="TableParagraph"/>
              <w:rPr>
                <w:b/>
                <w:sz w:val="18"/>
              </w:rPr>
            </w:pPr>
          </w:p>
          <w:p>
            <w:pPr>
              <w:pStyle w:val="TableParagraph"/>
              <w:rPr>
                <w:b/>
                <w:sz w:val="18"/>
              </w:rPr>
            </w:pPr>
          </w:p>
          <w:p>
            <w:pPr>
              <w:pStyle w:val="TableParagraph"/>
              <w:rPr>
                <w:b/>
                <w:sz w:val="18"/>
              </w:rPr>
            </w:pPr>
          </w:p>
          <w:p>
            <w:pPr>
              <w:pStyle w:val="TableParagraph"/>
              <w:spacing w:before="42"/>
              <w:rPr>
                <w:b/>
                <w:sz w:val="18"/>
              </w:rPr>
            </w:pPr>
          </w:p>
          <w:p>
            <w:pPr>
              <w:pStyle w:val="TableParagraph"/>
              <w:ind w:left="347"/>
              <w:rPr>
                <w:sz w:val="18"/>
              </w:rPr>
            </w:pPr>
            <w:r>
              <w:rPr>
                <w:sz w:val="18"/>
              </w:rPr>
              <w:t>₡319</w:t>
            </w:r>
            <w:r>
              <w:rPr>
                <w:spacing w:val="-2"/>
                <w:sz w:val="18"/>
              </w:rPr>
              <w:t> </w:t>
            </w:r>
            <w:r>
              <w:rPr>
                <w:sz w:val="18"/>
              </w:rPr>
              <w:t>778</w:t>
            </w:r>
            <w:r>
              <w:rPr>
                <w:spacing w:val="-2"/>
                <w:sz w:val="18"/>
              </w:rPr>
              <w:t> </w:t>
            </w:r>
            <w:r>
              <w:rPr>
                <w:spacing w:val="-5"/>
                <w:sz w:val="18"/>
              </w:rPr>
              <w:t>561</w:t>
            </w:r>
          </w:p>
        </w:tc>
      </w:tr>
    </w:tbl>
    <w:p>
      <w:pPr>
        <w:pStyle w:val="TableParagraph"/>
        <w:spacing w:after="0"/>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60"/>
        <w:gridCol w:w="1431"/>
        <w:gridCol w:w="1182"/>
        <w:gridCol w:w="1505"/>
        <w:gridCol w:w="1181"/>
        <w:gridCol w:w="1388"/>
        <w:gridCol w:w="1181"/>
        <w:gridCol w:w="1390"/>
        <w:gridCol w:w="1183"/>
        <w:gridCol w:w="1377"/>
      </w:tblGrid>
      <w:tr>
        <w:trPr>
          <w:trHeight w:val="433" w:hRule="atLeast"/>
        </w:trPr>
        <w:tc>
          <w:tcPr>
            <w:tcW w:w="2360" w:type="dxa"/>
            <w:vMerge w:val="restart"/>
            <w:shd w:val="clear" w:color="auto" w:fill="F1F1F1"/>
          </w:tcPr>
          <w:p>
            <w:pPr>
              <w:pStyle w:val="TableParagraph"/>
              <w:spacing w:before="137"/>
              <w:rPr>
                <w:b/>
                <w:sz w:val="18"/>
              </w:rPr>
            </w:pPr>
          </w:p>
          <w:p>
            <w:pPr>
              <w:pStyle w:val="TableParagraph"/>
              <w:ind w:left="208"/>
              <w:rPr>
                <w:b/>
                <w:sz w:val="18"/>
              </w:rPr>
            </w:pPr>
            <w:r>
              <w:rPr>
                <w:b/>
                <w:sz w:val="18"/>
              </w:rPr>
              <w:t>Objetivos</w:t>
            </w:r>
            <w:r>
              <w:rPr>
                <w:b/>
                <w:spacing w:val="-4"/>
                <w:sz w:val="18"/>
              </w:rPr>
              <w:t> </w:t>
            </w:r>
            <w:r>
              <w:rPr>
                <w:b/>
                <w:sz w:val="18"/>
              </w:rPr>
              <w:t>/</w:t>
            </w:r>
            <w:r>
              <w:rPr>
                <w:b/>
                <w:spacing w:val="-2"/>
                <w:sz w:val="18"/>
              </w:rPr>
              <w:t> Resultados</w:t>
            </w:r>
          </w:p>
        </w:tc>
        <w:tc>
          <w:tcPr>
            <w:tcW w:w="1431" w:type="dxa"/>
            <w:vMerge w:val="restart"/>
            <w:shd w:val="clear" w:color="auto" w:fill="F1F1F1"/>
          </w:tcPr>
          <w:p>
            <w:pPr>
              <w:pStyle w:val="TableParagraph"/>
              <w:spacing w:before="137"/>
              <w:rPr>
                <w:b/>
                <w:sz w:val="18"/>
              </w:rPr>
            </w:pPr>
          </w:p>
          <w:p>
            <w:pPr>
              <w:pStyle w:val="TableParagraph"/>
              <w:ind w:left="308"/>
              <w:rPr>
                <w:b/>
                <w:sz w:val="18"/>
              </w:rPr>
            </w:pPr>
            <w:r>
              <w:rPr>
                <w:b/>
                <w:spacing w:val="-2"/>
                <w:sz w:val="18"/>
              </w:rPr>
              <w:t>Indicador</w:t>
            </w:r>
          </w:p>
        </w:tc>
        <w:tc>
          <w:tcPr>
            <w:tcW w:w="2687" w:type="dxa"/>
            <w:gridSpan w:val="2"/>
            <w:shd w:val="clear" w:color="auto" w:fill="F1F1F1"/>
          </w:tcPr>
          <w:p>
            <w:pPr>
              <w:pStyle w:val="TableParagraph"/>
              <w:spacing w:before="114"/>
              <w:ind w:left="880"/>
              <w:rPr>
                <w:b/>
                <w:sz w:val="18"/>
              </w:rPr>
            </w:pPr>
            <w:r>
              <w:rPr>
                <w:b/>
                <w:sz w:val="18"/>
              </w:rPr>
              <w:t>I </w:t>
            </w:r>
            <w:r>
              <w:rPr>
                <w:b/>
                <w:spacing w:val="-2"/>
                <w:sz w:val="18"/>
              </w:rPr>
              <w:t>Trimestre</w:t>
            </w:r>
          </w:p>
        </w:tc>
        <w:tc>
          <w:tcPr>
            <w:tcW w:w="2569" w:type="dxa"/>
            <w:gridSpan w:val="2"/>
            <w:shd w:val="clear" w:color="auto" w:fill="F1F1F1"/>
          </w:tcPr>
          <w:p>
            <w:pPr>
              <w:pStyle w:val="TableParagraph"/>
              <w:spacing w:before="114"/>
              <w:ind w:left="797"/>
              <w:rPr>
                <w:b/>
                <w:sz w:val="18"/>
              </w:rPr>
            </w:pPr>
            <w:r>
              <w:rPr>
                <w:b/>
                <w:sz w:val="18"/>
              </w:rPr>
              <w:t>II </w:t>
            </w:r>
            <w:r>
              <w:rPr>
                <w:b/>
                <w:spacing w:val="-2"/>
                <w:sz w:val="18"/>
              </w:rPr>
              <w:t>Trimestre</w:t>
            </w:r>
          </w:p>
        </w:tc>
        <w:tc>
          <w:tcPr>
            <w:tcW w:w="2571" w:type="dxa"/>
            <w:gridSpan w:val="2"/>
            <w:shd w:val="clear" w:color="auto" w:fill="F1F1F1"/>
          </w:tcPr>
          <w:p>
            <w:pPr>
              <w:pStyle w:val="TableParagraph"/>
              <w:spacing w:before="114"/>
              <w:ind w:left="770"/>
              <w:rPr>
                <w:b/>
                <w:sz w:val="18"/>
              </w:rPr>
            </w:pPr>
            <w:r>
              <w:rPr>
                <w:b/>
                <w:sz w:val="18"/>
              </w:rPr>
              <w:t>III </w:t>
            </w:r>
            <w:r>
              <w:rPr>
                <w:b/>
                <w:spacing w:val="-2"/>
                <w:sz w:val="18"/>
              </w:rPr>
              <w:t>Trimestre</w:t>
            </w:r>
          </w:p>
        </w:tc>
        <w:tc>
          <w:tcPr>
            <w:tcW w:w="2560" w:type="dxa"/>
            <w:gridSpan w:val="2"/>
            <w:shd w:val="clear" w:color="auto" w:fill="F1F1F1"/>
          </w:tcPr>
          <w:p>
            <w:pPr>
              <w:pStyle w:val="TableParagraph"/>
              <w:spacing w:before="114"/>
              <w:ind w:left="753"/>
              <w:rPr>
                <w:b/>
                <w:sz w:val="18"/>
              </w:rPr>
            </w:pPr>
            <w:r>
              <w:rPr>
                <w:b/>
                <w:sz w:val="18"/>
              </w:rPr>
              <w:t>IV </w:t>
            </w:r>
            <w:r>
              <w:rPr>
                <w:b/>
                <w:spacing w:val="-2"/>
                <w:sz w:val="18"/>
              </w:rPr>
              <w:t>Trimestre</w:t>
            </w:r>
          </w:p>
        </w:tc>
      </w:tr>
      <w:tr>
        <w:trPr>
          <w:trHeight w:val="450" w:hRule="atLeast"/>
        </w:trPr>
        <w:tc>
          <w:tcPr>
            <w:tcW w:w="2360" w:type="dxa"/>
            <w:vMerge/>
            <w:tcBorders>
              <w:top w:val="nil"/>
            </w:tcBorders>
            <w:shd w:val="clear" w:color="auto" w:fill="F1F1F1"/>
          </w:tcPr>
          <w:p>
            <w:pPr>
              <w:rPr>
                <w:sz w:val="2"/>
                <w:szCs w:val="2"/>
              </w:rPr>
            </w:pPr>
          </w:p>
        </w:tc>
        <w:tc>
          <w:tcPr>
            <w:tcW w:w="1431" w:type="dxa"/>
            <w:vMerge/>
            <w:tcBorders>
              <w:top w:val="nil"/>
            </w:tcBorders>
            <w:shd w:val="clear" w:color="auto" w:fill="F1F1F1"/>
          </w:tcPr>
          <w:p>
            <w:pPr>
              <w:rPr>
                <w:sz w:val="2"/>
                <w:szCs w:val="2"/>
              </w:rPr>
            </w:pPr>
          </w:p>
        </w:tc>
        <w:tc>
          <w:tcPr>
            <w:tcW w:w="1182" w:type="dxa"/>
            <w:shd w:val="clear" w:color="auto" w:fill="F1F1F1"/>
          </w:tcPr>
          <w:p>
            <w:pPr>
              <w:pStyle w:val="TableParagraph"/>
              <w:spacing w:line="206" w:lineRule="exact" w:before="18"/>
              <w:ind w:left="68" w:firstLine="314"/>
              <w:rPr>
                <w:b/>
                <w:sz w:val="18"/>
              </w:rPr>
            </w:pPr>
            <w:r>
              <w:rPr>
                <w:b/>
                <w:spacing w:val="-4"/>
                <w:sz w:val="18"/>
              </w:rPr>
              <w:t>Meta </w:t>
            </w:r>
            <w:r>
              <w:rPr>
                <w:b/>
                <w:spacing w:val="-2"/>
                <w:sz w:val="18"/>
              </w:rPr>
              <w:t>programada</w:t>
            </w:r>
          </w:p>
        </w:tc>
        <w:tc>
          <w:tcPr>
            <w:tcW w:w="1505" w:type="dxa"/>
            <w:shd w:val="clear" w:color="auto" w:fill="F1F1F1"/>
          </w:tcPr>
          <w:p>
            <w:pPr>
              <w:pStyle w:val="TableParagraph"/>
              <w:spacing w:before="121"/>
              <w:ind w:left="3"/>
              <w:jc w:val="center"/>
              <w:rPr>
                <w:b/>
                <w:sz w:val="18"/>
              </w:rPr>
            </w:pPr>
            <w:r>
              <w:rPr>
                <w:b/>
                <w:spacing w:val="-10"/>
                <w:sz w:val="18"/>
              </w:rPr>
              <w:t>¢</w:t>
            </w:r>
          </w:p>
        </w:tc>
        <w:tc>
          <w:tcPr>
            <w:tcW w:w="1181" w:type="dxa"/>
            <w:shd w:val="clear" w:color="auto" w:fill="F1F1F1"/>
          </w:tcPr>
          <w:p>
            <w:pPr>
              <w:pStyle w:val="TableParagraph"/>
              <w:spacing w:line="206" w:lineRule="exact" w:before="18"/>
              <w:ind w:left="67" w:firstLine="314"/>
              <w:rPr>
                <w:b/>
                <w:sz w:val="18"/>
              </w:rPr>
            </w:pPr>
            <w:r>
              <w:rPr>
                <w:b/>
                <w:spacing w:val="-4"/>
                <w:sz w:val="18"/>
              </w:rPr>
              <w:t>Meta </w:t>
            </w:r>
            <w:r>
              <w:rPr>
                <w:b/>
                <w:spacing w:val="-2"/>
                <w:sz w:val="18"/>
              </w:rPr>
              <w:t>programada</w:t>
            </w:r>
          </w:p>
        </w:tc>
        <w:tc>
          <w:tcPr>
            <w:tcW w:w="1388" w:type="dxa"/>
            <w:shd w:val="clear" w:color="auto" w:fill="F1F1F1"/>
          </w:tcPr>
          <w:p>
            <w:pPr>
              <w:pStyle w:val="TableParagraph"/>
              <w:spacing w:before="121"/>
              <w:ind w:left="6" w:right="2"/>
              <w:jc w:val="center"/>
              <w:rPr>
                <w:b/>
                <w:sz w:val="18"/>
              </w:rPr>
            </w:pPr>
            <w:r>
              <w:rPr>
                <w:b/>
                <w:spacing w:val="-10"/>
                <w:sz w:val="18"/>
              </w:rPr>
              <w:t>¢</w:t>
            </w:r>
          </w:p>
        </w:tc>
        <w:tc>
          <w:tcPr>
            <w:tcW w:w="1181" w:type="dxa"/>
            <w:shd w:val="clear" w:color="auto" w:fill="F1F1F1"/>
          </w:tcPr>
          <w:p>
            <w:pPr>
              <w:pStyle w:val="TableParagraph"/>
              <w:spacing w:line="206" w:lineRule="exact" w:before="18"/>
              <w:ind w:left="66" w:firstLine="314"/>
              <w:rPr>
                <w:b/>
                <w:sz w:val="18"/>
              </w:rPr>
            </w:pPr>
            <w:r>
              <w:rPr>
                <w:b/>
                <w:spacing w:val="-4"/>
                <w:sz w:val="18"/>
              </w:rPr>
              <w:t>Meta </w:t>
            </w:r>
            <w:r>
              <w:rPr>
                <w:b/>
                <w:spacing w:val="-2"/>
                <w:sz w:val="18"/>
              </w:rPr>
              <w:t>programada</w:t>
            </w:r>
          </w:p>
        </w:tc>
        <w:tc>
          <w:tcPr>
            <w:tcW w:w="1390" w:type="dxa"/>
            <w:shd w:val="clear" w:color="auto" w:fill="F1F1F1"/>
          </w:tcPr>
          <w:p>
            <w:pPr>
              <w:pStyle w:val="TableParagraph"/>
              <w:spacing w:before="121"/>
              <w:ind w:left="6" w:right="6"/>
              <w:jc w:val="center"/>
              <w:rPr>
                <w:b/>
                <w:sz w:val="18"/>
              </w:rPr>
            </w:pPr>
            <w:r>
              <w:rPr>
                <w:b/>
                <w:spacing w:val="-10"/>
                <w:sz w:val="18"/>
              </w:rPr>
              <w:t>¢</w:t>
            </w:r>
          </w:p>
        </w:tc>
        <w:tc>
          <w:tcPr>
            <w:tcW w:w="1183" w:type="dxa"/>
            <w:shd w:val="clear" w:color="auto" w:fill="F1F1F1"/>
          </w:tcPr>
          <w:p>
            <w:pPr>
              <w:pStyle w:val="TableParagraph"/>
              <w:spacing w:line="206" w:lineRule="exact" w:before="18"/>
              <w:ind w:left="64" w:firstLine="314"/>
              <w:rPr>
                <w:b/>
                <w:sz w:val="18"/>
              </w:rPr>
            </w:pPr>
            <w:r>
              <w:rPr>
                <w:b/>
                <w:spacing w:val="-4"/>
                <w:sz w:val="18"/>
              </w:rPr>
              <w:t>Meta </w:t>
            </w:r>
            <w:r>
              <w:rPr>
                <w:b/>
                <w:spacing w:val="-2"/>
                <w:sz w:val="18"/>
              </w:rPr>
              <w:t>programada</w:t>
            </w:r>
          </w:p>
        </w:tc>
        <w:tc>
          <w:tcPr>
            <w:tcW w:w="1377" w:type="dxa"/>
            <w:shd w:val="clear" w:color="auto" w:fill="F1F1F1"/>
          </w:tcPr>
          <w:p>
            <w:pPr>
              <w:pStyle w:val="TableParagraph"/>
              <w:spacing w:before="121"/>
              <w:ind w:left="50" w:right="50"/>
              <w:jc w:val="center"/>
              <w:rPr>
                <w:b/>
                <w:sz w:val="18"/>
              </w:rPr>
            </w:pPr>
            <w:r>
              <w:rPr>
                <w:b/>
                <w:spacing w:val="-10"/>
                <w:sz w:val="18"/>
              </w:rPr>
              <w:t>¢</w:t>
            </w:r>
          </w:p>
        </w:tc>
      </w:tr>
      <w:tr>
        <w:trPr>
          <w:trHeight w:val="505" w:hRule="atLeast"/>
        </w:trPr>
        <w:tc>
          <w:tcPr>
            <w:tcW w:w="14178" w:type="dxa"/>
            <w:gridSpan w:val="10"/>
            <w:shd w:val="clear" w:color="auto" w:fill="F1F1F1"/>
          </w:tcPr>
          <w:p>
            <w:pPr>
              <w:pStyle w:val="TableParagraph"/>
              <w:spacing w:before="44"/>
              <w:ind w:left="69"/>
              <w:rPr>
                <w:b/>
                <w:sz w:val="18"/>
              </w:rPr>
            </w:pPr>
            <w:r>
              <w:rPr>
                <w:b/>
                <w:sz w:val="18"/>
              </w:rPr>
              <w:t>Efecto:</w:t>
            </w:r>
            <w:r>
              <w:rPr>
                <w:b/>
                <w:spacing w:val="40"/>
                <w:sz w:val="18"/>
              </w:rPr>
              <w:t> </w:t>
            </w:r>
            <w:r>
              <w:rPr>
                <w:b/>
                <w:sz w:val="18"/>
              </w:rPr>
              <w:t>Efectiva</w:t>
            </w:r>
            <w:r>
              <w:rPr>
                <w:b/>
                <w:spacing w:val="-3"/>
                <w:sz w:val="18"/>
              </w:rPr>
              <w:t> </w:t>
            </w:r>
            <w:r>
              <w:rPr>
                <w:b/>
                <w:sz w:val="18"/>
              </w:rPr>
              <w:t>gestión</w:t>
            </w:r>
            <w:r>
              <w:rPr>
                <w:b/>
                <w:spacing w:val="-1"/>
                <w:sz w:val="18"/>
              </w:rPr>
              <w:t> </w:t>
            </w:r>
            <w:r>
              <w:rPr>
                <w:b/>
                <w:sz w:val="18"/>
              </w:rPr>
              <w:t>de</w:t>
            </w:r>
            <w:r>
              <w:rPr>
                <w:b/>
                <w:spacing w:val="-1"/>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494" w:hRule="atLeast"/>
        </w:trPr>
        <w:tc>
          <w:tcPr>
            <w:tcW w:w="14178" w:type="dxa"/>
            <w:gridSpan w:val="10"/>
            <w:shd w:val="clear" w:color="auto" w:fill="DBE4F0"/>
          </w:tcPr>
          <w:p>
            <w:pPr>
              <w:pStyle w:val="TableParagraph"/>
              <w:spacing w:before="143"/>
              <w:ind w:left="69"/>
              <w:rPr>
                <w:b/>
                <w:sz w:val="18"/>
              </w:rPr>
            </w:pPr>
            <w:r>
              <w:rPr>
                <w:b/>
                <w:sz w:val="18"/>
              </w:rPr>
              <w:t>Producto</w:t>
            </w:r>
            <w:r>
              <w:rPr>
                <w:b/>
                <w:spacing w:val="-4"/>
                <w:sz w:val="18"/>
              </w:rPr>
              <w:t> </w:t>
            </w:r>
            <w:r>
              <w:rPr>
                <w:b/>
                <w:sz w:val="18"/>
              </w:rPr>
              <w:t>PAC</w:t>
            </w:r>
            <w:r>
              <w:rPr>
                <w:b/>
                <w:spacing w:val="-3"/>
                <w:sz w:val="18"/>
              </w:rPr>
              <w:t> </w:t>
            </w:r>
            <w:r>
              <w:rPr>
                <w:b/>
                <w:sz w:val="18"/>
              </w:rPr>
              <w:t>2.6:</w:t>
            </w:r>
            <w:r>
              <w:rPr>
                <w:b/>
                <w:spacing w:val="-2"/>
                <w:sz w:val="18"/>
              </w:rPr>
              <w:t> </w:t>
            </w:r>
            <w:r>
              <w:rPr>
                <w:b/>
                <w:sz w:val="18"/>
              </w:rPr>
              <w:t>Gestión</w:t>
            </w:r>
            <w:r>
              <w:rPr>
                <w:b/>
                <w:spacing w:val="-5"/>
                <w:sz w:val="18"/>
              </w:rPr>
              <w:t> </w:t>
            </w:r>
            <w:r>
              <w:rPr>
                <w:b/>
                <w:sz w:val="18"/>
              </w:rPr>
              <w:t>oportuna</w:t>
            </w:r>
            <w:r>
              <w:rPr>
                <w:b/>
                <w:spacing w:val="-2"/>
                <w:sz w:val="18"/>
              </w:rPr>
              <w:t> </w:t>
            </w:r>
            <w:r>
              <w:rPr>
                <w:b/>
                <w:sz w:val="18"/>
              </w:rPr>
              <w:t>de</w:t>
            </w:r>
            <w:r>
              <w:rPr>
                <w:b/>
                <w:spacing w:val="-2"/>
                <w:sz w:val="18"/>
              </w:rPr>
              <w:t> </w:t>
            </w:r>
            <w:r>
              <w:rPr>
                <w:b/>
                <w:sz w:val="18"/>
              </w:rPr>
              <w:t>la</w:t>
            </w:r>
            <w:r>
              <w:rPr>
                <w:b/>
                <w:spacing w:val="-3"/>
                <w:sz w:val="18"/>
              </w:rPr>
              <w:t> </w:t>
            </w:r>
            <w:r>
              <w:rPr>
                <w:b/>
                <w:sz w:val="18"/>
              </w:rPr>
              <w:t>demanda</w:t>
            </w:r>
            <w:r>
              <w:rPr>
                <w:b/>
                <w:spacing w:val="-2"/>
                <w:sz w:val="18"/>
              </w:rPr>
              <w:t> </w:t>
            </w:r>
            <w:r>
              <w:rPr>
                <w:b/>
                <w:sz w:val="18"/>
              </w:rPr>
              <w:t>de</w:t>
            </w:r>
            <w:r>
              <w:rPr>
                <w:b/>
                <w:spacing w:val="-4"/>
                <w:sz w:val="18"/>
              </w:rPr>
              <w:t> </w:t>
            </w:r>
            <w:r>
              <w:rPr>
                <w:b/>
                <w:sz w:val="18"/>
              </w:rPr>
              <w:t>bienes,</w:t>
            </w:r>
            <w:r>
              <w:rPr>
                <w:b/>
                <w:spacing w:val="-2"/>
                <w:sz w:val="18"/>
              </w:rPr>
              <w:t> </w:t>
            </w:r>
            <w:r>
              <w:rPr>
                <w:b/>
                <w:sz w:val="18"/>
              </w:rPr>
              <w:t>obras</w:t>
            </w:r>
            <w:r>
              <w:rPr>
                <w:b/>
                <w:spacing w:val="-3"/>
                <w:sz w:val="18"/>
              </w:rPr>
              <w:t> </w:t>
            </w:r>
            <w:r>
              <w:rPr>
                <w:b/>
                <w:sz w:val="18"/>
              </w:rPr>
              <w:t>y</w:t>
            </w:r>
            <w:r>
              <w:rPr>
                <w:b/>
                <w:spacing w:val="-2"/>
                <w:sz w:val="18"/>
              </w:rPr>
              <w:t> </w:t>
            </w:r>
            <w:r>
              <w:rPr>
                <w:b/>
                <w:sz w:val="18"/>
              </w:rPr>
              <w:t>servicios,</w:t>
            </w:r>
            <w:r>
              <w:rPr>
                <w:b/>
                <w:spacing w:val="-2"/>
                <w:sz w:val="18"/>
              </w:rPr>
              <w:t> </w:t>
            </w:r>
            <w:r>
              <w:rPr>
                <w:b/>
                <w:sz w:val="18"/>
              </w:rPr>
              <w:t>así</w:t>
            </w:r>
            <w:r>
              <w:rPr>
                <w:b/>
                <w:spacing w:val="-2"/>
                <w:sz w:val="18"/>
              </w:rPr>
              <w:t> </w:t>
            </w:r>
            <w:r>
              <w:rPr>
                <w:b/>
                <w:sz w:val="18"/>
              </w:rPr>
              <w:t>como</w:t>
            </w:r>
            <w:r>
              <w:rPr>
                <w:b/>
                <w:spacing w:val="-3"/>
                <w:sz w:val="18"/>
              </w:rPr>
              <w:t> </w:t>
            </w:r>
            <w:r>
              <w:rPr>
                <w:b/>
                <w:sz w:val="18"/>
              </w:rPr>
              <w:t>el</w:t>
            </w:r>
            <w:r>
              <w:rPr>
                <w:b/>
                <w:spacing w:val="-2"/>
                <w:sz w:val="18"/>
              </w:rPr>
              <w:t> </w:t>
            </w:r>
            <w:r>
              <w:rPr>
                <w:b/>
                <w:sz w:val="18"/>
              </w:rPr>
              <w:t>uso</w:t>
            </w:r>
            <w:r>
              <w:rPr>
                <w:b/>
                <w:spacing w:val="-2"/>
                <w:sz w:val="18"/>
              </w:rPr>
              <w:t> </w:t>
            </w:r>
            <w:r>
              <w:rPr>
                <w:b/>
                <w:sz w:val="18"/>
              </w:rPr>
              <w:t>y</w:t>
            </w:r>
            <w:r>
              <w:rPr>
                <w:b/>
                <w:spacing w:val="-3"/>
                <w:sz w:val="18"/>
              </w:rPr>
              <w:t> </w:t>
            </w:r>
            <w:r>
              <w:rPr>
                <w:b/>
                <w:sz w:val="18"/>
              </w:rPr>
              <w:t>custodia</w:t>
            </w:r>
            <w:r>
              <w:rPr>
                <w:b/>
                <w:spacing w:val="-2"/>
                <w:sz w:val="18"/>
              </w:rPr>
              <w:t> </w:t>
            </w:r>
            <w:r>
              <w:rPr>
                <w:b/>
                <w:sz w:val="18"/>
              </w:rPr>
              <w:t>de</w:t>
            </w:r>
            <w:r>
              <w:rPr>
                <w:b/>
                <w:spacing w:val="-4"/>
                <w:sz w:val="18"/>
              </w:rPr>
              <w:t> </w:t>
            </w:r>
            <w:r>
              <w:rPr>
                <w:b/>
                <w:sz w:val="18"/>
              </w:rPr>
              <w:t>bienes</w:t>
            </w:r>
            <w:r>
              <w:rPr>
                <w:b/>
                <w:spacing w:val="-3"/>
                <w:sz w:val="18"/>
              </w:rPr>
              <w:t> </w:t>
            </w:r>
            <w:r>
              <w:rPr>
                <w:b/>
                <w:spacing w:val="-2"/>
                <w:sz w:val="18"/>
              </w:rPr>
              <w:t>institucionales.</w:t>
            </w:r>
          </w:p>
        </w:tc>
      </w:tr>
      <w:tr>
        <w:trPr>
          <w:trHeight w:val="1540" w:hRule="atLeast"/>
        </w:trPr>
        <w:tc>
          <w:tcPr>
            <w:tcW w:w="2360" w:type="dxa"/>
          </w:tcPr>
          <w:p>
            <w:pPr>
              <w:pStyle w:val="TableParagraph"/>
              <w:spacing w:before="44"/>
              <w:ind w:left="69" w:right="119"/>
              <w:rPr>
                <w:sz w:val="18"/>
              </w:rPr>
            </w:pPr>
            <w:r>
              <w:rPr>
                <w:b/>
                <w:sz w:val="18"/>
              </w:rPr>
              <w:t>Actividad PAC 2.6.1: </w:t>
            </w:r>
            <w:r>
              <w:rPr>
                <w:sz w:val="18"/>
              </w:rPr>
              <w:t>Salvaguardar recursos institucionales por medio de la gestión del proceso de aseguramiento del recurso humano y de los activos</w:t>
            </w:r>
            <w:r>
              <w:rPr>
                <w:spacing w:val="-15"/>
                <w:sz w:val="18"/>
              </w:rPr>
              <w:t> </w:t>
            </w:r>
            <w:r>
              <w:rPr>
                <w:sz w:val="18"/>
              </w:rPr>
              <w:t>fijos</w:t>
            </w:r>
            <w:r>
              <w:rPr>
                <w:spacing w:val="-12"/>
                <w:sz w:val="18"/>
              </w:rPr>
              <w:t> </w:t>
            </w:r>
            <w:r>
              <w:rPr>
                <w:sz w:val="18"/>
              </w:rPr>
              <w:t>institucionales.</w:t>
            </w:r>
          </w:p>
        </w:tc>
        <w:tc>
          <w:tcPr>
            <w:tcW w:w="1431" w:type="dxa"/>
          </w:tcPr>
          <w:p>
            <w:pPr>
              <w:pStyle w:val="TableParagraph"/>
              <w:rPr>
                <w:b/>
                <w:sz w:val="18"/>
              </w:rPr>
            </w:pPr>
          </w:p>
          <w:p>
            <w:pPr>
              <w:pStyle w:val="TableParagraph"/>
              <w:spacing w:before="46"/>
              <w:rPr>
                <w:b/>
                <w:sz w:val="18"/>
              </w:rPr>
            </w:pPr>
          </w:p>
          <w:p>
            <w:pPr>
              <w:pStyle w:val="TableParagraph"/>
              <w:ind w:left="68" w:right="235"/>
              <w:rPr>
                <w:sz w:val="18"/>
              </w:rPr>
            </w:pPr>
            <w:r>
              <w:rPr>
                <w:sz w:val="18"/>
              </w:rPr>
              <w:t>Porcentaje</w:t>
            </w:r>
            <w:r>
              <w:rPr>
                <w:spacing w:val="-13"/>
                <w:sz w:val="18"/>
              </w:rPr>
              <w:t> </w:t>
            </w:r>
            <w:r>
              <w:rPr>
                <w:sz w:val="18"/>
              </w:rPr>
              <w:t>de </w:t>
            </w:r>
            <w:r>
              <w:rPr>
                <w:spacing w:val="-2"/>
                <w:sz w:val="18"/>
              </w:rPr>
              <w:t>activos asegurados</w:t>
            </w:r>
          </w:p>
        </w:tc>
        <w:tc>
          <w:tcPr>
            <w:tcW w:w="1182" w:type="dxa"/>
          </w:tcPr>
          <w:p>
            <w:pPr>
              <w:pStyle w:val="TableParagraph"/>
              <w:rPr>
                <w:b/>
                <w:sz w:val="18"/>
              </w:rPr>
            </w:pPr>
          </w:p>
          <w:p>
            <w:pPr>
              <w:pStyle w:val="TableParagraph"/>
              <w:rPr>
                <w:b/>
                <w:sz w:val="18"/>
              </w:rPr>
            </w:pPr>
          </w:p>
          <w:p>
            <w:pPr>
              <w:pStyle w:val="TableParagraph"/>
              <w:spacing w:before="45"/>
              <w:rPr>
                <w:b/>
                <w:sz w:val="18"/>
              </w:rPr>
            </w:pPr>
          </w:p>
          <w:p>
            <w:pPr>
              <w:pStyle w:val="TableParagraph"/>
              <w:spacing w:before="1"/>
              <w:ind w:left="358"/>
              <w:rPr>
                <w:sz w:val="18"/>
              </w:rPr>
            </w:pPr>
            <w:r>
              <w:rPr>
                <w:spacing w:val="-4"/>
                <w:sz w:val="18"/>
              </w:rPr>
              <w:t>100%</w:t>
            </w:r>
          </w:p>
        </w:tc>
        <w:tc>
          <w:tcPr>
            <w:tcW w:w="1505" w:type="dxa"/>
          </w:tcPr>
          <w:p>
            <w:pPr>
              <w:pStyle w:val="TableParagraph"/>
              <w:rPr>
                <w:b/>
                <w:sz w:val="18"/>
              </w:rPr>
            </w:pPr>
          </w:p>
          <w:p>
            <w:pPr>
              <w:pStyle w:val="TableParagraph"/>
              <w:rPr>
                <w:b/>
                <w:sz w:val="18"/>
              </w:rPr>
            </w:pPr>
          </w:p>
          <w:p>
            <w:pPr>
              <w:pStyle w:val="TableParagraph"/>
              <w:spacing w:before="45"/>
              <w:rPr>
                <w:b/>
                <w:sz w:val="18"/>
              </w:rPr>
            </w:pPr>
          </w:p>
          <w:p>
            <w:pPr>
              <w:pStyle w:val="TableParagraph"/>
              <w:spacing w:before="1"/>
              <w:ind w:left="3" w:right="1"/>
              <w:jc w:val="center"/>
              <w:rPr>
                <w:sz w:val="18"/>
              </w:rPr>
            </w:pPr>
            <w:r>
              <w:rPr>
                <w:sz w:val="18"/>
              </w:rPr>
              <w:t>₡142</w:t>
            </w:r>
            <w:r>
              <w:rPr>
                <w:spacing w:val="-2"/>
                <w:sz w:val="18"/>
              </w:rPr>
              <w:t> </w:t>
            </w:r>
            <w:r>
              <w:rPr>
                <w:sz w:val="18"/>
              </w:rPr>
              <w:t>776</w:t>
            </w:r>
            <w:r>
              <w:rPr>
                <w:spacing w:val="-2"/>
                <w:sz w:val="18"/>
              </w:rPr>
              <w:t> </w:t>
            </w:r>
            <w:r>
              <w:rPr>
                <w:spacing w:val="-5"/>
                <w:sz w:val="18"/>
              </w:rPr>
              <w:t>757</w:t>
            </w:r>
          </w:p>
        </w:tc>
        <w:tc>
          <w:tcPr>
            <w:tcW w:w="1181" w:type="dxa"/>
          </w:tcPr>
          <w:p>
            <w:pPr>
              <w:pStyle w:val="TableParagraph"/>
              <w:rPr>
                <w:b/>
                <w:sz w:val="18"/>
              </w:rPr>
            </w:pPr>
          </w:p>
          <w:p>
            <w:pPr>
              <w:pStyle w:val="TableParagraph"/>
              <w:rPr>
                <w:b/>
                <w:sz w:val="18"/>
              </w:rPr>
            </w:pPr>
          </w:p>
          <w:p>
            <w:pPr>
              <w:pStyle w:val="TableParagraph"/>
              <w:spacing w:before="45"/>
              <w:rPr>
                <w:b/>
                <w:sz w:val="18"/>
              </w:rPr>
            </w:pPr>
          </w:p>
          <w:p>
            <w:pPr>
              <w:pStyle w:val="TableParagraph"/>
              <w:spacing w:before="1"/>
              <w:ind w:left="357"/>
              <w:rPr>
                <w:sz w:val="18"/>
              </w:rPr>
            </w:pPr>
            <w:r>
              <w:rPr>
                <w:spacing w:val="-4"/>
                <w:sz w:val="18"/>
              </w:rPr>
              <w:t>100%</w:t>
            </w:r>
          </w:p>
        </w:tc>
        <w:tc>
          <w:tcPr>
            <w:tcW w:w="1388" w:type="dxa"/>
          </w:tcPr>
          <w:p>
            <w:pPr>
              <w:pStyle w:val="TableParagraph"/>
              <w:rPr>
                <w:b/>
                <w:sz w:val="18"/>
              </w:rPr>
            </w:pPr>
          </w:p>
          <w:p>
            <w:pPr>
              <w:pStyle w:val="TableParagraph"/>
              <w:rPr>
                <w:b/>
                <w:sz w:val="18"/>
              </w:rPr>
            </w:pPr>
          </w:p>
          <w:p>
            <w:pPr>
              <w:pStyle w:val="TableParagraph"/>
              <w:spacing w:before="45"/>
              <w:rPr>
                <w:b/>
                <w:sz w:val="18"/>
              </w:rPr>
            </w:pPr>
          </w:p>
          <w:p>
            <w:pPr>
              <w:pStyle w:val="TableParagraph"/>
              <w:spacing w:before="1"/>
              <w:ind w:left="6"/>
              <w:jc w:val="center"/>
              <w:rPr>
                <w:sz w:val="18"/>
              </w:rPr>
            </w:pPr>
            <w:r>
              <w:rPr>
                <w:sz w:val="18"/>
              </w:rPr>
              <w:t>₡11</w:t>
            </w:r>
            <w:r>
              <w:rPr>
                <w:spacing w:val="-2"/>
                <w:sz w:val="18"/>
              </w:rPr>
              <w:t> </w:t>
            </w:r>
            <w:r>
              <w:rPr>
                <w:sz w:val="18"/>
              </w:rPr>
              <w:t>640</w:t>
            </w:r>
            <w:r>
              <w:rPr>
                <w:spacing w:val="-2"/>
                <w:sz w:val="18"/>
              </w:rPr>
              <w:t> </w:t>
            </w:r>
            <w:r>
              <w:rPr>
                <w:spacing w:val="-5"/>
                <w:sz w:val="18"/>
              </w:rPr>
              <w:t>061</w:t>
            </w:r>
          </w:p>
        </w:tc>
        <w:tc>
          <w:tcPr>
            <w:tcW w:w="1181" w:type="dxa"/>
          </w:tcPr>
          <w:p>
            <w:pPr>
              <w:pStyle w:val="TableParagraph"/>
              <w:rPr>
                <w:b/>
                <w:sz w:val="18"/>
              </w:rPr>
            </w:pPr>
          </w:p>
          <w:p>
            <w:pPr>
              <w:pStyle w:val="TableParagraph"/>
              <w:rPr>
                <w:b/>
                <w:sz w:val="18"/>
              </w:rPr>
            </w:pPr>
          </w:p>
          <w:p>
            <w:pPr>
              <w:pStyle w:val="TableParagraph"/>
              <w:spacing w:before="45"/>
              <w:rPr>
                <w:b/>
                <w:sz w:val="18"/>
              </w:rPr>
            </w:pPr>
          </w:p>
          <w:p>
            <w:pPr>
              <w:pStyle w:val="TableParagraph"/>
              <w:spacing w:before="1"/>
              <w:ind w:left="357"/>
              <w:rPr>
                <w:sz w:val="18"/>
              </w:rPr>
            </w:pPr>
            <w:r>
              <w:rPr>
                <w:spacing w:val="-4"/>
                <w:sz w:val="18"/>
              </w:rPr>
              <w:t>100%</w:t>
            </w:r>
          </w:p>
        </w:tc>
        <w:tc>
          <w:tcPr>
            <w:tcW w:w="1390" w:type="dxa"/>
          </w:tcPr>
          <w:p>
            <w:pPr>
              <w:pStyle w:val="TableParagraph"/>
              <w:rPr>
                <w:b/>
                <w:sz w:val="18"/>
              </w:rPr>
            </w:pPr>
          </w:p>
          <w:p>
            <w:pPr>
              <w:pStyle w:val="TableParagraph"/>
              <w:rPr>
                <w:b/>
                <w:sz w:val="18"/>
              </w:rPr>
            </w:pPr>
          </w:p>
          <w:p>
            <w:pPr>
              <w:pStyle w:val="TableParagraph"/>
              <w:spacing w:before="45"/>
              <w:rPr>
                <w:b/>
                <w:sz w:val="18"/>
              </w:rPr>
            </w:pPr>
          </w:p>
          <w:p>
            <w:pPr>
              <w:pStyle w:val="TableParagraph"/>
              <w:spacing w:before="1"/>
              <w:ind w:left="6" w:right="2"/>
              <w:jc w:val="center"/>
              <w:rPr>
                <w:sz w:val="18"/>
              </w:rPr>
            </w:pPr>
            <w:r>
              <w:rPr>
                <w:sz w:val="18"/>
              </w:rPr>
              <w:t>₡92 377</w:t>
            </w:r>
            <w:r>
              <w:rPr>
                <w:spacing w:val="-2"/>
                <w:sz w:val="18"/>
              </w:rPr>
              <w:t> </w:t>
            </w:r>
            <w:r>
              <w:rPr>
                <w:spacing w:val="-5"/>
                <w:sz w:val="18"/>
              </w:rPr>
              <w:t>182</w:t>
            </w:r>
          </w:p>
        </w:tc>
        <w:tc>
          <w:tcPr>
            <w:tcW w:w="1183" w:type="dxa"/>
          </w:tcPr>
          <w:p>
            <w:pPr>
              <w:pStyle w:val="TableParagraph"/>
              <w:rPr>
                <w:rFonts w:ascii="Times New Roman"/>
                <w:sz w:val="18"/>
              </w:rPr>
            </w:pPr>
          </w:p>
        </w:tc>
        <w:tc>
          <w:tcPr>
            <w:tcW w:w="1377" w:type="dxa"/>
          </w:tcPr>
          <w:p>
            <w:pPr>
              <w:pStyle w:val="TableParagraph"/>
              <w:rPr>
                <w:rFonts w:ascii="Times New Roman"/>
                <w:sz w:val="18"/>
              </w:rPr>
            </w:pPr>
          </w:p>
        </w:tc>
      </w:tr>
      <w:tr>
        <w:trPr>
          <w:trHeight w:val="2690" w:hRule="atLeast"/>
        </w:trPr>
        <w:tc>
          <w:tcPr>
            <w:tcW w:w="2360" w:type="dxa"/>
          </w:tcPr>
          <w:p>
            <w:pPr>
              <w:pStyle w:val="TableParagraph"/>
              <w:ind w:left="69" w:right="79"/>
              <w:rPr>
                <w:sz w:val="18"/>
              </w:rPr>
            </w:pPr>
            <w:r>
              <w:rPr>
                <w:b/>
                <w:sz w:val="18"/>
              </w:rPr>
              <w:t>Actividad PAC 2.6.2: </w:t>
            </w:r>
            <w:r>
              <w:rPr>
                <w:sz w:val="18"/>
              </w:rPr>
              <w:t>Gestionar</w:t>
            </w:r>
            <w:r>
              <w:rPr>
                <w:spacing w:val="-13"/>
                <w:sz w:val="18"/>
              </w:rPr>
              <w:t> </w:t>
            </w:r>
            <w:r>
              <w:rPr>
                <w:sz w:val="18"/>
              </w:rPr>
              <w:t>las</w:t>
            </w:r>
            <w:r>
              <w:rPr>
                <w:spacing w:val="-12"/>
                <w:sz w:val="18"/>
              </w:rPr>
              <w:t> </w:t>
            </w:r>
            <w:r>
              <w:rPr>
                <w:sz w:val="18"/>
              </w:rPr>
              <w:t>solicitudes</w:t>
            </w:r>
            <w:r>
              <w:rPr>
                <w:spacing w:val="-13"/>
                <w:sz w:val="18"/>
              </w:rPr>
              <w:t> </w:t>
            </w:r>
            <w:r>
              <w:rPr>
                <w:sz w:val="18"/>
              </w:rPr>
              <w:t>de contratación pública cargadas por las unidades administrativas en los sistemas SAP-SICOP, del equipo y</w:t>
            </w:r>
            <w:r>
              <w:rPr>
                <w:spacing w:val="-1"/>
                <w:sz w:val="18"/>
              </w:rPr>
              <w:t> </w:t>
            </w:r>
            <w:r>
              <w:rPr>
                <w:sz w:val="18"/>
              </w:rPr>
              <w:t>mobiliario incluido en la partida</w:t>
            </w:r>
            <w:r>
              <w:rPr>
                <w:spacing w:val="40"/>
                <w:sz w:val="18"/>
              </w:rPr>
              <w:t> </w:t>
            </w:r>
            <w:r>
              <w:rPr>
                <w:sz w:val="18"/>
              </w:rPr>
              <w:t>presupuestaria 5.01.04, hasta etapa la de notificación de contrato o declaratoria de</w:t>
            </w:r>
          </w:p>
          <w:p>
            <w:pPr>
              <w:pStyle w:val="TableParagraph"/>
              <w:spacing w:line="187" w:lineRule="exact"/>
              <w:ind w:left="69"/>
              <w:rPr>
                <w:sz w:val="18"/>
              </w:rPr>
            </w:pPr>
            <w:r>
              <w:rPr>
                <w:sz w:val="18"/>
              </w:rPr>
              <w:t>infructuosidad</w:t>
            </w:r>
            <w:r>
              <w:rPr>
                <w:spacing w:val="-4"/>
                <w:sz w:val="18"/>
              </w:rPr>
              <w:t> </w:t>
            </w:r>
            <w:r>
              <w:rPr>
                <w:sz w:val="18"/>
              </w:rPr>
              <w:t>o</w:t>
            </w:r>
            <w:r>
              <w:rPr>
                <w:spacing w:val="-5"/>
                <w:sz w:val="18"/>
              </w:rPr>
              <w:t> </w:t>
            </w:r>
            <w:r>
              <w:rPr>
                <w:spacing w:val="-2"/>
                <w:sz w:val="18"/>
              </w:rPr>
              <w:t>desierta</w:t>
            </w:r>
          </w:p>
        </w:tc>
        <w:tc>
          <w:tcPr>
            <w:tcW w:w="143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8" w:right="115"/>
              <w:rPr>
                <w:sz w:val="18"/>
              </w:rPr>
            </w:pPr>
            <w:r>
              <w:rPr>
                <w:sz w:val="18"/>
              </w:rPr>
              <w:t>Porcentaje de </w:t>
            </w:r>
            <w:r>
              <w:rPr>
                <w:spacing w:val="-2"/>
                <w:sz w:val="18"/>
              </w:rPr>
              <w:t>solicitudes </w:t>
            </w:r>
            <w:r>
              <w:rPr>
                <w:sz w:val="18"/>
              </w:rPr>
              <w:t>asignadas</w:t>
            </w:r>
            <w:r>
              <w:rPr>
                <w:spacing w:val="-13"/>
                <w:sz w:val="18"/>
              </w:rPr>
              <w:t> </w:t>
            </w:r>
            <w:r>
              <w:rPr>
                <w:sz w:val="18"/>
              </w:rPr>
              <w:t>para realizar el </w:t>
            </w:r>
            <w:r>
              <w:rPr>
                <w:spacing w:val="-2"/>
                <w:sz w:val="18"/>
              </w:rPr>
              <w:t>procedimiento </w:t>
            </w:r>
            <w:r>
              <w:rPr>
                <w:sz w:val="18"/>
              </w:rPr>
              <w:t>de</w:t>
            </w:r>
            <w:r>
              <w:rPr>
                <w:spacing w:val="-7"/>
                <w:sz w:val="18"/>
              </w:rPr>
              <w:t> </w:t>
            </w:r>
            <w:r>
              <w:rPr>
                <w:sz w:val="18"/>
              </w:rPr>
              <w:t>adquisición.</w:t>
            </w:r>
          </w:p>
        </w:tc>
        <w:tc>
          <w:tcPr>
            <w:tcW w:w="1182" w:type="dxa"/>
          </w:tcPr>
          <w:p>
            <w:pPr>
              <w:pStyle w:val="TableParagraph"/>
              <w:rPr>
                <w:rFonts w:ascii="Times New Roman"/>
                <w:sz w:val="18"/>
              </w:rPr>
            </w:pPr>
          </w:p>
        </w:tc>
        <w:tc>
          <w:tcPr>
            <w:tcW w:w="1505" w:type="dxa"/>
          </w:tcPr>
          <w:p>
            <w:pPr>
              <w:pStyle w:val="TableParagraph"/>
              <w:rPr>
                <w:rFonts w:ascii="Times New Roman"/>
                <w:sz w:val="18"/>
              </w:rPr>
            </w:pPr>
          </w:p>
        </w:tc>
        <w:tc>
          <w:tcPr>
            <w:tcW w:w="1181" w:type="dxa"/>
          </w:tcPr>
          <w:p>
            <w:pPr>
              <w:pStyle w:val="TableParagraph"/>
              <w:rPr>
                <w:rFonts w:ascii="Times New Roman"/>
                <w:sz w:val="18"/>
              </w:rPr>
            </w:pPr>
          </w:p>
        </w:tc>
        <w:tc>
          <w:tcPr>
            <w:tcW w:w="1388" w:type="dxa"/>
          </w:tcPr>
          <w:p>
            <w:pPr>
              <w:pStyle w:val="TableParagraph"/>
              <w:rPr>
                <w:rFonts w:ascii="Times New Roman"/>
                <w:sz w:val="18"/>
              </w:rPr>
            </w:pPr>
          </w:p>
        </w:tc>
        <w:tc>
          <w:tcPr>
            <w:tcW w:w="1181" w:type="dxa"/>
          </w:tcPr>
          <w:p>
            <w:pPr>
              <w:pStyle w:val="TableParagraph"/>
              <w:rPr>
                <w:rFonts w:ascii="Times New Roman"/>
                <w:sz w:val="18"/>
              </w:rPr>
            </w:pPr>
          </w:p>
        </w:tc>
        <w:tc>
          <w:tcPr>
            <w:tcW w:w="1390" w:type="dxa"/>
          </w:tcPr>
          <w:p>
            <w:pPr>
              <w:pStyle w:val="TableParagraph"/>
              <w:rPr>
                <w:rFonts w:ascii="Times New Roman"/>
                <w:sz w:val="18"/>
              </w:rPr>
            </w:pPr>
          </w:p>
        </w:tc>
        <w:tc>
          <w:tcPr>
            <w:tcW w:w="118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7" w:right="7"/>
              <w:jc w:val="center"/>
              <w:rPr>
                <w:sz w:val="18"/>
              </w:rPr>
            </w:pPr>
            <w:r>
              <w:rPr>
                <w:spacing w:val="-4"/>
                <w:sz w:val="18"/>
              </w:rPr>
              <w:t>100%</w:t>
            </w:r>
          </w:p>
        </w:tc>
        <w:tc>
          <w:tcPr>
            <w:tcW w:w="13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98" w:right="48"/>
              <w:jc w:val="center"/>
              <w:rPr>
                <w:sz w:val="18"/>
              </w:rPr>
            </w:pPr>
            <w:r>
              <w:rPr>
                <w:sz w:val="18"/>
              </w:rPr>
              <w:t>₡</w:t>
            </w:r>
            <w:r>
              <w:rPr>
                <w:spacing w:val="-1"/>
                <w:sz w:val="18"/>
              </w:rPr>
              <w:t> </w:t>
            </w:r>
            <w:r>
              <w:rPr>
                <w:sz w:val="18"/>
              </w:rPr>
              <w:t>203 884 </w:t>
            </w:r>
            <w:r>
              <w:rPr>
                <w:spacing w:val="-5"/>
                <w:sz w:val="18"/>
              </w:rPr>
              <w:t>233</w:t>
            </w:r>
          </w:p>
        </w:tc>
      </w:tr>
      <w:tr>
        <w:trPr>
          <w:trHeight w:val="2277" w:hRule="atLeast"/>
        </w:trPr>
        <w:tc>
          <w:tcPr>
            <w:tcW w:w="2360" w:type="dxa"/>
          </w:tcPr>
          <w:p>
            <w:pPr>
              <w:pStyle w:val="TableParagraph"/>
              <w:ind w:left="69" w:right="79"/>
              <w:rPr>
                <w:sz w:val="18"/>
              </w:rPr>
            </w:pPr>
            <w:r>
              <w:rPr>
                <w:b/>
                <w:sz w:val="18"/>
              </w:rPr>
              <w:t>Actividad PAC 2.6.3: </w:t>
            </w:r>
            <w:r>
              <w:rPr>
                <w:sz w:val="18"/>
              </w:rPr>
              <w:t>Gestionar</w:t>
            </w:r>
            <w:r>
              <w:rPr>
                <w:spacing w:val="-13"/>
                <w:sz w:val="18"/>
              </w:rPr>
              <w:t> </w:t>
            </w:r>
            <w:r>
              <w:rPr>
                <w:sz w:val="18"/>
              </w:rPr>
              <w:t>las</w:t>
            </w:r>
            <w:r>
              <w:rPr>
                <w:spacing w:val="-12"/>
                <w:sz w:val="18"/>
              </w:rPr>
              <w:t> </w:t>
            </w:r>
            <w:r>
              <w:rPr>
                <w:sz w:val="18"/>
              </w:rPr>
              <w:t>solicitudes</w:t>
            </w:r>
            <w:r>
              <w:rPr>
                <w:spacing w:val="-13"/>
                <w:sz w:val="18"/>
              </w:rPr>
              <w:t> </w:t>
            </w:r>
            <w:r>
              <w:rPr>
                <w:sz w:val="18"/>
              </w:rPr>
              <w:t>de contratación público cargadas por las unidades administrativas en los sistemas SAP-SICOP, del equipo y</w:t>
            </w:r>
            <w:r>
              <w:rPr>
                <w:spacing w:val="-1"/>
                <w:sz w:val="18"/>
              </w:rPr>
              <w:t> </w:t>
            </w:r>
            <w:r>
              <w:rPr>
                <w:sz w:val="18"/>
              </w:rPr>
              <w:t>mobiliario incluido en la partida</w:t>
            </w:r>
            <w:r>
              <w:rPr>
                <w:spacing w:val="40"/>
                <w:sz w:val="18"/>
              </w:rPr>
              <w:t> </w:t>
            </w:r>
            <w:r>
              <w:rPr>
                <w:sz w:val="18"/>
              </w:rPr>
              <w:t>presupuestaria 5.01.99,</w:t>
            </w:r>
          </w:p>
          <w:p>
            <w:pPr>
              <w:pStyle w:val="TableParagraph"/>
              <w:spacing w:line="206" w:lineRule="exact"/>
              <w:ind w:left="69" w:right="119"/>
              <w:rPr>
                <w:sz w:val="18"/>
              </w:rPr>
            </w:pPr>
            <w:r>
              <w:rPr>
                <w:sz w:val="18"/>
              </w:rPr>
              <w:t>hasta la etapa de notificación</w:t>
            </w:r>
            <w:r>
              <w:rPr>
                <w:spacing w:val="-13"/>
                <w:sz w:val="18"/>
              </w:rPr>
              <w:t> </w:t>
            </w:r>
            <w:r>
              <w:rPr>
                <w:sz w:val="18"/>
              </w:rPr>
              <w:t>de</w:t>
            </w:r>
            <w:r>
              <w:rPr>
                <w:spacing w:val="-12"/>
                <w:sz w:val="18"/>
              </w:rPr>
              <w:t> </w:t>
            </w:r>
            <w:r>
              <w:rPr>
                <w:sz w:val="18"/>
              </w:rPr>
              <w:t>contrato</w:t>
            </w:r>
            <w:r>
              <w:rPr>
                <w:spacing w:val="-13"/>
                <w:sz w:val="18"/>
              </w:rPr>
              <w:t> </w:t>
            </w:r>
            <w:r>
              <w:rPr>
                <w:sz w:val="18"/>
              </w:rPr>
              <w:t>o</w:t>
            </w:r>
          </w:p>
        </w:tc>
        <w:tc>
          <w:tcPr>
            <w:tcW w:w="1431" w:type="dxa"/>
          </w:tcPr>
          <w:p>
            <w:pPr>
              <w:pStyle w:val="TableParagraph"/>
              <w:rPr>
                <w:b/>
                <w:sz w:val="18"/>
              </w:rPr>
            </w:pPr>
          </w:p>
          <w:p>
            <w:pPr>
              <w:pStyle w:val="TableParagraph"/>
              <w:spacing w:before="103"/>
              <w:rPr>
                <w:b/>
                <w:sz w:val="18"/>
              </w:rPr>
            </w:pPr>
          </w:p>
          <w:p>
            <w:pPr>
              <w:pStyle w:val="TableParagraph"/>
              <w:ind w:left="68" w:right="115"/>
              <w:rPr>
                <w:sz w:val="18"/>
              </w:rPr>
            </w:pPr>
            <w:r>
              <w:rPr>
                <w:sz w:val="18"/>
              </w:rPr>
              <w:t>Porcentaje de </w:t>
            </w:r>
            <w:r>
              <w:rPr>
                <w:spacing w:val="-2"/>
                <w:sz w:val="18"/>
              </w:rPr>
              <w:t>solicitudes </w:t>
            </w:r>
            <w:r>
              <w:rPr>
                <w:sz w:val="18"/>
              </w:rPr>
              <w:t>asignadas</w:t>
            </w:r>
            <w:r>
              <w:rPr>
                <w:spacing w:val="-13"/>
                <w:sz w:val="18"/>
              </w:rPr>
              <w:t> </w:t>
            </w:r>
            <w:r>
              <w:rPr>
                <w:sz w:val="18"/>
              </w:rPr>
              <w:t>para realizar el </w:t>
            </w:r>
            <w:r>
              <w:rPr>
                <w:spacing w:val="-2"/>
                <w:sz w:val="18"/>
              </w:rPr>
              <w:t>procedimiento </w:t>
            </w:r>
            <w:r>
              <w:rPr>
                <w:sz w:val="18"/>
              </w:rPr>
              <w:t>de</w:t>
            </w:r>
            <w:r>
              <w:rPr>
                <w:spacing w:val="-7"/>
                <w:sz w:val="18"/>
              </w:rPr>
              <w:t> </w:t>
            </w:r>
            <w:r>
              <w:rPr>
                <w:sz w:val="18"/>
              </w:rPr>
              <w:t>adquisición.</w:t>
            </w:r>
          </w:p>
        </w:tc>
        <w:tc>
          <w:tcPr>
            <w:tcW w:w="1182" w:type="dxa"/>
          </w:tcPr>
          <w:p>
            <w:pPr>
              <w:pStyle w:val="TableParagraph"/>
              <w:rPr>
                <w:rFonts w:ascii="Times New Roman"/>
                <w:sz w:val="18"/>
              </w:rPr>
            </w:pPr>
          </w:p>
        </w:tc>
        <w:tc>
          <w:tcPr>
            <w:tcW w:w="1505" w:type="dxa"/>
          </w:tcPr>
          <w:p>
            <w:pPr>
              <w:pStyle w:val="TableParagraph"/>
              <w:rPr>
                <w:rFonts w:ascii="Times New Roman"/>
                <w:sz w:val="18"/>
              </w:rPr>
            </w:pPr>
          </w:p>
        </w:tc>
        <w:tc>
          <w:tcPr>
            <w:tcW w:w="1181" w:type="dxa"/>
          </w:tcPr>
          <w:p>
            <w:pPr>
              <w:pStyle w:val="TableParagraph"/>
              <w:rPr>
                <w:rFonts w:ascii="Times New Roman"/>
                <w:sz w:val="18"/>
              </w:rPr>
            </w:pPr>
          </w:p>
        </w:tc>
        <w:tc>
          <w:tcPr>
            <w:tcW w:w="1388" w:type="dxa"/>
          </w:tcPr>
          <w:p>
            <w:pPr>
              <w:pStyle w:val="TableParagraph"/>
              <w:rPr>
                <w:rFonts w:ascii="Times New Roman"/>
                <w:sz w:val="18"/>
              </w:rPr>
            </w:pPr>
          </w:p>
        </w:tc>
        <w:tc>
          <w:tcPr>
            <w:tcW w:w="1181" w:type="dxa"/>
          </w:tcPr>
          <w:p>
            <w:pPr>
              <w:pStyle w:val="TableParagraph"/>
              <w:rPr>
                <w:rFonts w:ascii="Times New Roman"/>
                <w:sz w:val="18"/>
              </w:rPr>
            </w:pPr>
          </w:p>
        </w:tc>
        <w:tc>
          <w:tcPr>
            <w:tcW w:w="1390" w:type="dxa"/>
          </w:tcPr>
          <w:p>
            <w:pPr>
              <w:pStyle w:val="TableParagraph"/>
              <w:rPr>
                <w:rFonts w:ascii="Times New Roman"/>
                <w:sz w:val="18"/>
              </w:rPr>
            </w:pPr>
          </w:p>
        </w:tc>
        <w:tc>
          <w:tcPr>
            <w:tcW w:w="118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7" w:right="7"/>
              <w:jc w:val="center"/>
              <w:rPr>
                <w:sz w:val="18"/>
              </w:rPr>
            </w:pPr>
            <w:r>
              <w:rPr>
                <w:spacing w:val="-4"/>
                <w:sz w:val="18"/>
              </w:rPr>
              <w:t>100%</w:t>
            </w:r>
          </w:p>
        </w:tc>
        <w:tc>
          <w:tcPr>
            <w:tcW w:w="13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right="48"/>
              <w:jc w:val="center"/>
              <w:rPr>
                <w:sz w:val="18"/>
              </w:rPr>
            </w:pPr>
            <w:r>
              <w:rPr>
                <w:sz w:val="18"/>
              </w:rPr>
              <w:t>₡</w:t>
            </w:r>
            <w:r>
              <w:rPr>
                <w:spacing w:val="-1"/>
                <w:sz w:val="18"/>
              </w:rPr>
              <w:t> </w:t>
            </w:r>
            <w:r>
              <w:rPr>
                <w:sz w:val="18"/>
              </w:rPr>
              <w:t>75 305 </w:t>
            </w:r>
            <w:r>
              <w:rPr>
                <w:spacing w:val="-5"/>
                <w:sz w:val="18"/>
              </w:rPr>
              <w:t>527</w:t>
            </w:r>
          </w:p>
        </w:tc>
      </w:tr>
    </w:tbl>
    <w:p>
      <w:pPr>
        <w:pStyle w:val="TableParagraph"/>
        <w:spacing w:after="0"/>
        <w:jc w:val="center"/>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60"/>
        <w:gridCol w:w="1431"/>
        <w:gridCol w:w="1182"/>
        <w:gridCol w:w="1505"/>
        <w:gridCol w:w="1181"/>
        <w:gridCol w:w="1388"/>
        <w:gridCol w:w="1181"/>
        <w:gridCol w:w="1390"/>
        <w:gridCol w:w="1183"/>
        <w:gridCol w:w="1377"/>
      </w:tblGrid>
      <w:tr>
        <w:trPr>
          <w:trHeight w:val="422" w:hRule="atLeast"/>
        </w:trPr>
        <w:tc>
          <w:tcPr>
            <w:tcW w:w="2360" w:type="dxa"/>
          </w:tcPr>
          <w:p>
            <w:pPr>
              <w:pStyle w:val="TableParagraph"/>
              <w:spacing w:line="206" w:lineRule="exact"/>
              <w:ind w:left="69"/>
              <w:rPr>
                <w:sz w:val="18"/>
              </w:rPr>
            </w:pPr>
            <w:r>
              <w:rPr>
                <w:sz w:val="18"/>
              </w:rPr>
              <w:t>declaratoria de infructuosidad</w:t>
            </w:r>
            <w:r>
              <w:rPr>
                <w:spacing w:val="-15"/>
                <w:sz w:val="18"/>
              </w:rPr>
              <w:t> </w:t>
            </w:r>
            <w:r>
              <w:rPr>
                <w:sz w:val="18"/>
              </w:rPr>
              <w:t>o</w:t>
            </w:r>
            <w:r>
              <w:rPr>
                <w:spacing w:val="-12"/>
                <w:sz w:val="18"/>
              </w:rPr>
              <w:t> </w:t>
            </w:r>
            <w:r>
              <w:rPr>
                <w:sz w:val="18"/>
              </w:rPr>
              <w:t>desierta</w:t>
            </w:r>
          </w:p>
        </w:tc>
        <w:tc>
          <w:tcPr>
            <w:tcW w:w="1431" w:type="dxa"/>
          </w:tcPr>
          <w:p>
            <w:pPr>
              <w:pStyle w:val="TableParagraph"/>
              <w:rPr>
                <w:rFonts w:ascii="Times New Roman"/>
                <w:sz w:val="18"/>
              </w:rPr>
            </w:pPr>
          </w:p>
        </w:tc>
        <w:tc>
          <w:tcPr>
            <w:tcW w:w="1182" w:type="dxa"/>
          </w:tcPr>
          <w:p>
            <w:pPr>
              <w:pStyle w:val="TableParagraph"/>
              <w:rPr>
                <w:rFonts w:ascii="Times New Roman"/>
                <w:sz w:val="18"/>
              </w:rPr>
            </w:pPr>
          </w:p>
        </w:tc>
        <w:tc>
          <w:tcPr>
            <w:tcW w:w="1505" w:type="dxa"/>
          </w:tcPr>
          <w:p>
            <w:pPr>
              <w:pStyle w:val="TableParagraph"/>
              <w:rPr>
                <w:rFonts w:ascii="Times New Roman"/>
                <w:sz w:val="18"/>
              </w:rPr>
            </w:pPr>
          </w:p>
        </w:tc>
        <w:tc>
          <w:tcPr>
            <w:tcW w:w="1181" w:type="dxa"/>
          </w:tcPr>
          <w:p>
            <w:pPr>
              <w:pStyle w:val="TableParagraph"/>
              <w:rPr>
                <w:rFonts w:ascii="Times New Roman"/>
                <w:sz w:val="18"/>
              </w:rPr>
            </w:pPr>
          </w:p>
        </w:tc>
        <w:tc>
          <w:tcPr>
            <w:tcW w:w="1388" w:type="dxa"/>
          </w:tcPr>
          <w:p>
            <w:pPr>
              <w:pStyle w:val="TableParagraph"/>
              <w:rPr>
                <w:rFonts w:ascii="Times New Roman"/>
                <w:sz w:val="18"/>
              </w:rPr>
            </w:pPr>
          </w:p>
        </w:tc>
        <w:tc>
          <w:tcPr>
            <w:tcW w:w="1181" w:type="dxa"/>
          </w:tcPr>
          <w:p>
            <w:pPr>
              <w:pStyle w:val="TableParagraph"/>
              <w:rPr>
                <w:rFonts w:ascii="Times New Roman"/>
                <w:sz w:val="18"/>
              </w:rPr>
            </w:pPr>
          </w:p>
        </w:tc>
        <w:tc>
          <w:tcPr>
            <w:tcW w:w="1390" w:type="dxa"/>
          </w:tcPr>
          <w:p>
            <w:pPr>
              <w:pStyle w:val="TableParagraph"/>
              <w:rPr>
                <w:rFonts w:ascii="Times New Roman"/>
                <w:sz w:val="18"/>
              </w:rPr>
            </w:pPr>
          </w:p>
        </w:tc>
        <w:tc>
          <w:tcPr>
            <w:tcW w:w="1183" w:type="dxa"/>
          </w:tcPr>
          <w:p>
            <w:pPr>
              <w:pStyle w:val="TableParagraph"/>
              <w:rPr>
                <w:rFonts w:ascii="Times New Roman"/>
                <w:sz w:val="18"/>
              </w:rPr>
            </w:pPr>
          </w:p>
        </w:tc>
        <w:tc>
          <w:tcPr>
            <w:tcW w:w="1377" w:type="dxa"/>
          </w:tcPr>
          <w:p>
            <w:pPr>
              <w:pStyle w:val="TableParagraph"/>
              <w:rPr>
                <w:rFonts w:ascii="Times New Roman"/>
                <w:sz w:val="18"/>
              </w:rPr>
            </w:pPr>
          </w:p>
        </w:tc>
      </w:tr>
    </w:tbl>
    <w:p>
      <w:pPr>
        <w:pStyle w:val="BodyText"/>
        <w:spacing w:before="184" w:after="1"/>
        <w:rPr>
          <w:b/>
          <w:sz w:val="20"/>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47"/>
        <w:gridCol w:w="1419"/>
        <w:gridCol w:w="1163"/>
        <w:gridCol w:w="1398"/>
        <w:gridCol w:w="1316"/>
        <w:gridCol w:w="1376"/>
        <w:gridCol w:w="1265"/>
        <w:gridCol w:w="1304"/>
        <w:gridCol w:w="1150"/>
        <w:gridCol w:w="1544"/>
      </w:tblGrid>
      <w:tr>
        <w:trPr>
          <w:trHeight w:val="546" w:hRule="atLeast"/>
        </w:trPr>
        <w:tc>
          <w:tcPr>
            <w:tcW w:w="14182" w:type="dxa"/>
            <w:gridSpan w:val="10"/>
            <w:shd w:val="clear" w:color="auto" w:fill="F1F1F1"/>
          </w:tcPr>
          <w:p>
            <w:pPr>
              <w:pStyle w:val="TableParagraph"/>
              <w:spacing w:before="66"/>
              <w:ind w:left="69"/>
              <w:rPr>
                <w:b/>
                <w:sz w:val="18"/>
              </w:rPr>
            </w:pPr>
            <w:r>
              <w:rPr>
                <w:b/>
                <w:sz w:val="18"/>
              </w:rPr>
              <w:t>Efecto:</w:t>
            </w:r>
            <w:r>
              <w:rPr>
                <w:b/>
                <w:spacing w:val="40"/>
                <w:sz w:val="18"/>
              </w:rPr>
              <w:t> </w:t>
            </w:r>
            <w:r>
              <w:rPr>
                <w:b/>
                <w:sz w:val="18"/>
              </w:rPr>
              <w:t>Efectiva</w:t>
            </w:r>
            <w:r>
              <w:rPr>
                <w:b/>
                <w:spacing w:val="-3"/>
                <w:sz w:val="18"/>
              </w:rPr>
              <w:t> </w:t>
            </w:r>
            <w:r>
              <w:rPr>
                <w:b/>
                <w:sz w:val="18"/>
              </w:rPr>
              <w:t>gestión</w:t>
            </w:r>
            <w:r>
              <w:rPr>
                <w:b/>
                <w:spacing w:val="-1"/>
                <w:sz w:val="18"/>
              </w:rPr>
              <w:t> </w:t>
            </w:r>
            <w:r>
              <w:rPr>
                <w:b/>
                <w:sz w:val="18"/>
              </w:rPr>
              <w:t>de</w:t>
            </w:r>
            <w:r>
              <w:rPr>
                <w:b/>
                <w:spacing w:val="-1"/>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299" w:hRule="atLeast"/>
        </w:trPr>
        <w:tc>
          <w:tcPr>
            <w:tcW w:w="2247" w:type="dxa"/>
            <w:vMerge w:val="restart"/>
            <w:shd w:val="clear" w:color="auto" w:fill="F1F1F1"/>
          </w:tcPr>
          <w:p>
            <w:pPr>
              <w:pStyle w:val="TableParagraph"/>
              <w:spacing w:before="154"/>
              <w:rPr>
                <w:b/>
                <w:sz w:val="18"/>
              </w:rPr>
            </w:pPr>
          </w:p>
          <w:p>
            <w:pPr>
              <w:pStyle w:val="TableParagraph"/>
              <w:ind w:left="150"/>
              <w:rPr>
                <w:b/>
                <w:sz w:val="18"/>
              </w:rPr>
            </w:pPr>
            <w:r>
              <w:rPr>
                <w:b/>
                <w:sz w:val="18"/>
              </w:rPr>
              <w:t>Objetivos</w:t>
            </w:r>
            <w:r>
              <w:rPr>
                <w:b/>
                <w:spacing w:val="-4"/>
                <w:sz w:val="18"/>
              </w:rPr>
              <w:t> </w:t>
            </w:r>
            <w:r>
              <w:rPr>
                <w:b/>
                <w:sz w:val="18"/>
              </w:rPr>
              <w:t>/</w:t>
            </w:r>
            <w:r>
              <w:rPr>
                <w:b/>
                <w:spacing w:val="-2"/>
                <w:sz w:val="18"/>
              </w:rPr>
              <w:t> Resultados</w:t>
            </w:r>
          </w:p>
        </w:tc>
        <w:tc>
          <w:tcPr>
            <w:tcW w:w="1419" w:type="dxa"/>
            <w:vMerge w:val="restart"/>
            <w:shd w:val="clear" w:color="auto" w:fill="F1F1F1"/>
          </w:tcPr>
          <w:p>
            <w:pPr>
              <w:pStyle w:val="TableParagraph"/>
              <w:spacing w:before="154"/>
              <w:rPr>
                <w:b/>
                <w:sz w:val="18"/>
              </w:rPr>
            </w:pPr>
          </w:p>
          <w:p>
            <w:pPr>
              <w:pStyle w:val="TableParagraph"/>
              <w:ind w:left="290"/>
              <w:rPr>
                <w:b/>
                <w:sz w:val="18"/>
              </w:rPr>
            </w:pPr>
            <w:r>
              <w:rPr>
                <w:b/>
                <w:spacing w:val="-2"/>
                <w:sz w:val="18"/>
              </w:rPr>
              <w:t>Indicador</w:t>
            </w:r>
          </w:p>
        </w:tc>
        <w:tc>
          <w:tcPr>
            <w:tcW w:w="2561" w:type="dxa"/>
            <w:gridSpan w:val="2"/>
            <w:shd w:val="clear" w:color="auto" w:fill="F1F1F1"/>
          </w:tcPr>
          <w:p>
            <w:pPr>
              <w:pStyle w:val="TableParagraph"/>
              <w:spacing w:line="187" w:lineRule="exact" w:before="92"/>
              <w:ind w:left="806"/>
              <w:rPr>
                <w:b/>
                <w:sz w:val="18"/>
              </w:rPr>
            </w:pPr>
            <w:r>
              <w:rPr>
                <w:b/>
                <w:sz w:val="18"/>
              </w:rPr>
              <w:t>I </w:t>
            </w:r>
            <w:r>
              <w:rPr>
                <w:b/>
                <w:spacing w:val="-2"/>
                <w:sz w:val="18"/>
              </w:rPr>
              <w:t>Trimestre</w:t>
            </w:r>
          </w:p>
        </w:tc>
        <w:tc>
          <w:tcPr>
            <w:tcW w:w="2692" w:type="dxa"/>
            <w:gridSpan w:val="2"/>
            <w:shd w:val="clear" w:color="auto" w:fill="F1F1F1"/>
          </w:tcPr>
          <w:p>
            <w:pPr>
              <w:pStyle w:val="TableParagraph"/>
              <w:spacing w:line="187" w:lineRule="exact" w:before="92"/>
              <w:ind w:left="856"/>
              <w:rPr>
                <w:b/>
                <w:sz w:val="18"/>
              </w:rPr>
            </w:pPr>
            <w:r>
              <w:rPr>
                <w:b/>
                <w:sz w:val="18"/>
              </w:rPr>
              <w:t>II </w:t>
            </w:r>
            <w:r>
              <w:rPr>
                <w:b/>
                <w:spacing w:val="-2"/>
                <w:sz w:val="18"/>
              </w:rPr>
              <w:t>Trimestre</w:t>
            </w:r>
          </w:p>
        </w:tc>
        <w:tc>
          <w:tcPr>
            <w:tcW w:w="2569" w:type="dxa"/>
            <w:gridSpan w:val="2"/>
            <w:shd w:val="clear" w:color="auto" w:fill="F1F1F1"/>
          </w:tcPr>
          <w:p>
            <w:pPr>
              <w:pStyle w:val="TableParagraph"/>
              <w:spacing w:line="187" w:lineRule="exact" w:before="92"/>
              <w:ind w:left="766"/>
              <w:rPr>
                <w:b/>
                <w:sz w:val="18"/>
              </w:rPr>
            </w:pPr>
            <w:r>
              <w:rPr>
                <w:b/>
                <w:sz w:val="18"/>
              </w:rPr>
              <w:t>III </w:t>
            </w:r>
            <w:r>
              <w:rPr>
                <w:b/>
                <w:spacing w:val="-2"/>
                <w:sz w:val="18"/>
              </w:rPr>
              <w:t>Trimestre</w:t>
            </w:r>
          </w:p>
        </w:tc>
        <w:tc>
          <w:tcPr>
            <w:tcW w:w="2694" w:type="dxa"/>
            <w:gridSpan w:val="2"/>
            <w:shd w:val="clear" w:color="auto" w:fill="F1F1F1"/>
          </w:tcPr>
          <w:p>
            <w:pPr>
              <w:pStyle w:val="TableParagraph"/>
              <w:spacing w:line="187" w:lineRule="exact" w:before="92"/>
              <w:ind w:left="818"/>
              <w:rPr>
                <w:b/>
                <w:sz w:val="18"/>
              </w:rPr>
            </w:pPr>
            <w:r>
              <w:rPr>
                <w:b/>
                <w:sz w:val="18"/>
              </w:rPr>
              <w:t>IV </w:t>
            </w:r>
            <w:r>
              <w:rPr>
                <w:b/>
                <w:spacing w:val="-2"/>
                <w:sz w:val="18"/>
              </w:rPr>
              <w:t>Trimestre</w:t>
            </w:r>
          </w:p>
        </w:tc>
      </w:tr>
      <w:tr>
        <w:trPr>
          <w:trHeight w:val="621" w:hRule="atLeast"/>
        </w:trPr>
        <w:tc>
          <w:tcPr>
            <w:tcW w:w="2247" w:type="dxa"/>
            <w:vMerge/>
            <w:tcBorders>
              <w:top w:val="nil"/>
            </w:tcBorders>
            <w:shd w:val="clear" w:color="auto" w:fill="F1F1F1"/>
          </w:tcPr>
          <w:p>
            <w:pPr>
              <w:rPr>
                <w:sz w:val="2"/>
                <w:szCs w:val="2"/>
              </w:rPr>
            </w:pPr>
          </w:p>
        </w:tc>
        <w:tc>
          <w:tcPr>
            <w:tcW w:w="1419" w:type="dxa"/>
            <w:vMerge/>
            <w:tcBorders>
              <w:top w:val="nil"/>
            </w:tcBorders>
            <w:shd w:val="clear" w:color="auto" w:fill="F1F1F1"/>
          </w:tcPr>
          <w:p>
            <w:pPr>
              <w:rPr>
                <w:sz w:val="2"/>
                <w:szCs w:val="2"/>
              </w:rPr>
            </w:pPr>
          </w:p>
        </w:tc>
        <w:tc>
          <w:tcPr>
            <w:tcW w:w="1163" w:type="dxa"/>
            <w:shd w:val="clear" w:color="auto" w:fill="F1F1F1"/>
          </w:tcPr>
          <w:p>
            <w:pPr>
              <w:pStyle w:val="TableParagraph"/>
              <w:spacing w:before="102"/>
              <w:ind w:left="56" w:firstLine="314"/>
              <w:rPr>
                <w:b/>
                <w:sz w:val="18"/>
              </w:rPr>
            </w:pPr>
            <w:r>
              <w:rPr>
                <w:b/>
                <w:spacing w:val="-4"/>
                <w:sz w:val="18"/>
              </w:rPr>
              <w:t>Meta </w:t>
            </w:r>
            <w:r>
              <w:rPr>
                <w:b/>
                <w:spacing w:val="-2"/>
                <w:sz w:val="18"/>
              </w:rPr>
              <w:t>programada</w:t>
            </w:r>
          </w:p>
        </w:tc>
        <w:tc>
          <w:tcPr>
            <w:tcW w:w="1398" w:type="dxa"/>
            <w:shd w:val="clear" w:color="auto" w:fill="F1F1F1"/>
          </w:tcPr>
          <w:p>
            <w:pPr>
              <w:pStyle w:val="TableParagraph"/>
              <w:spacing w:before="205"/>
              <w:ind w:left="18"/>
              <w:jc w:val="center"/>
              <w:rPr>
                <w:b/>
                <w:sz w:val="18"/>
              </w:rPr>
            </w:pPr>
            <w:r>
              <w:rPr>
                <w:b/>
                <w:spacing w:val="-10"/>
                <w:sz w:val="18"/>
              </w:rPr>
              <w:t>¢</w:t>
            </w:r>
          </w:p>
        </w:tc>
        <w:tc>
          <w:tcPr>
            <w:tcW w:w="1316" w:type="dxa"/>
            <w:shd w:val="clear" w:color="auto" w:fill="F1F1F1"/>
          </w:tcPr>
          <w:p>
            <w:pPr>
              <w:pStyle w:val="TableParagraph"/>
              <w:spacing w:before="102"/>
              <w:ind w:left="133" w:firstLine="314"/>
              <w:rPr>
                <w:b/>
                <w:sz w:val="18"/>
              </w:rPr>
            </w:pPr>
            <w:r>
              <w:rPr>
                <w:b/>
                <w:spacing w:val="-4"/>
                <w:sz w:val="18"/>
              </w:rPr>
              <w:t>Meta </w:t>
            </w:r>
            <w:r>
              <w:rPr>
                <w:b/>
                <w:spacing w:val="-2"/>
                <w:sz w:val="18"/>
              </w:rPr>
              <w:t>programada</w:t>
            </w:r>
          </w:p>
        </w:tc>
        <w:tc>
          <w:tcPr>
            <w:tcW w:w="1376" w:type="dxa"/>
            <w:shd w:val="clear" w:color="auto" w:fill="F1F1F1"/>
          </w:tcPr>
          <w:p>
            <w:pPr>
              <w:pStyle w:val="TableParagraph"/>
              <w:spacing w:before="205"/>
              <w:jc w:val="center"/>
              <w:rPr>
                <w:b/>
                <w:sz w:val="18"/>
              </w:rPr>
            </w:pPr>
            <w:r>
              <w:rPr>
                <w:b/>
                <w:spacing w:val="-10"/>
                <w:sz w:val="18"/>
              </w:rPr>
              <w:t>¢</w:t>
            </w:r>
          </w:p>
        </w:tc>
        <w:tc>
          <w:tcPr>
            <w:tcW w:w="1265" w:type="dxa"/>
            <w:shd w:val="clear" w:color="auto" w:fill="F1F1F1"/>
          </w:tcPr>
          <w:p>
            <w:pPr>
              <w:pStyle w:val="TableParagraph"/>
              <w:spacing w:before="102"/>
              <w:ind w:left="106" w:firstLine="314"/>
              <w:rPr>
                <w:b/>
                <w:sz w:val="18"/>
              </w:rPr>
            </w:pPr>
            <w:r>
              <w:rPr>
                <w:b/>
                <w:spacing w:val="-4"/>
                <w:sz w:val="18"/>
              </w:rPr>
              <w:t>Meta </w:t>
            </w:r>
            <w:r>
              <w:rPr>
                <w:b/>
                <w:spacing w:val="-2"/>
                <w:sz w:val="18"/>
              </w:rPr>
              <w:t>programada</w:t>
            </w:r>
          </w:p>
        </w:tc>
        <w:tc>
          <w:tcPr>
            <w:tcW w:w="1304" w:type="dxa"/>
            <w:shd w:val="clear" w:color="auto" w:fill="F1F1F1"/>
          </w:tcPr>
          <w:p>
            <w:pPr>
              <w:pStyle w:val="TableParagraph"/>
              <w:spacing w:before="205"/>
              <w:jc w:val="center"/>
              <w:rPr>
                <w:b/>
                <w:sz w:val="18"/>
              </w:rPr>
            </w:pPr>
            <w:r>
              <w:rPr>
                <w:b/>
                <w:spacing w:val="-10"/>
                <w:sz w:val="18"/>
              </w:rPr>
              <w:t>¢</w:t>
            </w:r>
          </w:p>
        </w:tc>
        <w:tc>
          <w:tcPr>
            <w:tcW w:w="1150" w:type="dxa"/>
            <w:shd w:val="clear" w:color="auto" w:fill="F1F1F1"/>
          </w:tcPr>
          <w:p>
            <w:pPr>
              <w:pStyle w:val="TableParagraph"/>
              <w:ind w:left="96" w:right="99" w:hanging="3"/>
              <w:jc w:val="center"/>
              <w:rPr>
                <w:b/>
                <w:sz w:val="18"/>
              </w:rPr>
            </w:pPr>
            <w:r>
              <w:rPr>
                <w:b/>
                <w:spacing w:val="-4"/>
                <w:sz w:val="18"/>
              </w:rPr>
              <w:t>Meta </w:t>
            </w:r>
            <w:r>
              <w:rPr>
                <w:b/>
                <w:spacing w:val="-2"/>
                <w:sz w:val="18"/>
              </w:rPr>
              <w:t>programad</w:t>
            </w:r>
          </w:p>
          <w:p>
            <w:pPr>
              <w:pStyle w:val="TableParagraph"/>
              <w:spacing w:line="188" w:lineRule="exact"/>
              <w:ind w:right="5"/>
              <w:jc w:val="center"/>
              <w:rPr>
                <w:b/>
                <w:sz w:val="18"/>
              </w:rPr>
            </w:pPr>
            <w:r>
              <w:rPr>
                <w:b/>
                <w:spacing w:val="-10"/>
                <w:sz w:val="18"/>
              </w:rPr>
              <w:t>a</w:t>
            </w:r>
          </w:p>
        </w:tc>
        <w:tc>
          <w:tcPr>
            <w:tcW w:w="1544" w:type="dxa"/>
            <w:shd w:val="clear" w:color="auto" w:fill="F1F1F1"/>
          </w:tcPr>
          <w:p>
            <w:pPr>
              <w:pStyle w:val="TableParagraph"/>
              <w:spacing w:before="205"/>
              <w:ind w:left="18" w:right="19"/>
              <w:jc w:val="center"/>
              <w:rPr>
                <w:b/>
                <w:sz w:val="18"/>
              </w:rPr>
            </w:pPr>
            <w:r>
              <w:rPr>
                <w:b/>
                <w:spacing w:val="-10"/>
                <w:sz w:val="18"/>
              </w:rPr>
              <w:t>¢</w:t>
            </w:r>
          </w:p>
        </w:tc>
      </w:tr>
      <w:tr>
        <w:trPr>
          <w:trHeight w:val="405" w:hRule="atLeast"/>
        </w:trPr>
        <w:tc>
          <w:tcPr>
            <w:tcW w:w="14182" w:type="dxa"/>
            <w:gridSpan w:val="10"/>
            <w:shd w:val="clear" w:color="auto" w:fill="D9E0F1"/>
          </w:tcPr>
          <w:p>
            <w:pPr>
              <w:pStyle w:val="TableParagraph"/>
              <w:spacing w:before="97"/>
              <w:ind w:left="69"/>
              <w:rPr>
                <w:b/>
                <w:sz w:val="18"/>
              </w:rPr>
            </w:pPr>
            <w:r>
              <w:rPr>
                <w:b/>
                <w:sz w:val="18"/>
              </w:rPr>
              <w:t>Producto</w:t>
            </w:r>
            <w:r>
              <w:rPr>
                <w:b/>
                <w:spacing w:val="-3"/>
                <w:sz w:val="18"/>
              </w:rPr>
              <w:t> </w:t>
            </w:r>
            <w:r>
              <w:rPr>
                <w:b/>
                <w:sz w:val="18"/>
              </w:rPr>
              <w:t>PAC</w:t>
            </w:r>
            <w:r>
              <w:rPr>
                <w:b/>
                <w:spacing w:val="-4"/>
                <w:sz w:val="18"/>
              </w:rPr>
              <w:t> </w:t>
            </w:r>
            <w:r>
              <w:rPr>
                <w:b/>
                <w:sz w:val="18"/>
              </w:rPr>
              <w:t>2.7:</w:t>
            </w:r>
            <w:r>
              <w:rPr>
                <w:b/>
                <w:spacing w:val="44"/>
                <w:sz w:val="18"/>
              </w:rPr>
              <w:t> </w:t>
            </w:r>
            <w:r>
              <w:rPr>
                <w:b/>
                <w:sz w:val="18"/>
              </w:rPr>
              <w:t>Eficiente</w:t>
            </w:r>
            <w:r>
              <w:rPr>
                <w:b/>
                <w:spacing w:val="-5"/>
                <w:sz w:val="18"/>
              </w:rPr>
              <w:t> </w:t>
            </w:r>
            <w:r>
              <w:rPr>
                <w:b/>
                <w:sz w:val="18"/>
              </w:rPr>
              <w:t>desarrollo</w:t>
            </w:r>
            <w:r>
              <w:rPr>
                <w:b/>
                <w:spacing w:val="-3"/>
                <w:sz w:val="18"/>
              </w:rPr>
              <w:t> </w:t>
            </w:r>
            <w:r>
              <w:rPr>
                <w:b/>
                <w:sz w:val="18"/>
              </w:rPr>
              <w:t>de</w:t>
            </w:r>
            <w:r>
              <w:rPr>
                <w:b/>
                <w:spacing w:val="-3"/>
                <w:sz w:val="18"/>
              </w:rPr>
              <w:t> </w:t>
            </w:r>
            <w:r>
              <w:rPr>
                <w:b/>
                <w:sz w:val="18"/>
              </w:rPr>
              <w:t>los</w:t>
            </w:r>
            <w:r>
              <w:rPr>
                <w:b/>
                <w:spacing w:val="-3"/>
                <w:sz w:val="18"/>
              </w:rPr>
              <w:t> </w:t>
            </w:r>
            <w:r>
              <w:rPr>
                <w:b/>
                <w:sz w:val="18"/>
              </w:rPr>
              <w:t>proyectos</w:t>
            </w:r>
            <w:r>
              <w:rPr>
                <w:b/>
                <w:spacing w:val="-5"/>
                <w:sz w:val="18"/>
              </w:rPr>
              <w:t> </w:t>
            </w:r>
            <w:r>
              <w:rPr>
                <w:b/>
                <w:sz w:val="18"/>
              </w:rPr>
              <w:t>de</w:t>
            </w:r>
            <w:r>
              <w:rPr>
                <w:b/>
                <w:spacing w:val="-3"/>
                <w:sz w:val="18"/>
              </w:rPr>
              <w:t> </w:t>
            </w:r>
            <w:r>
              <w:rPr>
                <w:b/>
                <w:sz w:val="18"/>
              </w:rPr>
              <w:t>infraestructura</w:t>
            </w:r>
            <w:r>
              <w:rPr>
                <w:b/>
                <w:spacing w:val="-5"/>
                <w:sz w:val="18"/>
              </w:rPr>
              <w:t> </w:t>
            </w:r>
            <w:r>
              <w:rPr>
                <w:b/>
                <w:sz w:val="18"/>
              </w:rPr>
              <w:t>del</w:t>
            </w:r>
            <w:r>
              <w:rPr>
                <w:b/>
                <w:spacing w:val="-3"/>
                <w:sz w:val="18"/>
              </w:rPr>
              <w:t> </w:t>
            </w:r>
            <w:r>
              <w:rPr>
                <w:b/>
                <w:sz w:val="18"/>
              </w:rPr>
              <w:t>Nivel</w:t>
            </w:r>
            <w:r>
              <w:rPr>
                <w:b/>
                <w:spacing w:val="-5"/>
                <w:sz w:val="18"/>
              </w:rPr>
              <w:t> </w:t>
            </w:r>
            <w:r>
              <w:rPr>
                <w:b/>
                <w:sz w:val="18"/>
              </w:rPr>
              <w:t>Central</w:t>
            </w:r>
            <w:r>
              <w:rPr>
                <w:b/>
                <w:spacing w:val="-2"/>
                <w:sz w:val="18"/>
              </w:rPr>
              <w:t> (Proceso)</w:t>
            </w:r>
          </w:p>
        </w:tc>
      </w:tr>
      <w:tr>
        <w:trPr>
          <w:trHeight w:val="1665" w:hRule="atLeast"/>
        </w:trPr>
        <w:tc>
          <w:tcPr>
            <w:tcW w:w="2247" w:type="dxa"/>
          </w:tcPr>
          <w:p>
            <w:pPr>
              <w:pStyle w:val="TableParagraph"/>
              <w:spacing w:before="3"/>
              <w:ind w:left="69"/>
              <w:rPr>
                <w:sz w:val="18"/>
              </w:rPr>
            </w:pPr>
            <w:r>
              <w:rPr>
                <w:b/>
                <w:sz w:val="18"/>
              </w:rPr>
              <w:t>Actividad PAC 2.7.1: </w:t>
            </w:r>
            <w:r>
              <w:rPr>
                <w:sz w:val="18"/>
              </w:rPr>
              <w:t>Ejecutar etapas programadas de la consultoría</w:t>
            </w:r>
            <w:r>
              <w:rPr>
                <w:spacing w:val="-15"/>
                <w:sz w:val="18"/>
              </w:rPr>
              <w:t> </w:t>
            </w:r>
            <w:r>
              <w:rPr>
                <w:sz w:val="18"/>
              </w:rPr>
              <w:t>y</w:t>
            </w:r>
            <w:r>
              <w:rPr>
                <w:spacing w:val="-12"/>
                <w:sz w:val="18"/>
              </w:rPr>
              <w:t> </w:t>
            </w:r>
            <w:r>
              <w:rPr>
                <w:sz w:val="18"/>
              </w:rPr>
              <w:t>construcción de la Escalera de emergencias para el ala suroeste del Edificio</w:t>
            </w:r>
          </w:p>
          <w:p>
            <w:pPr>
              <w:pStyle w:val="TableParagraph"/>
              <w:spacing w:line="193" w:lineRule="exact"/>
              <w:ind w:left="69"/>
              <w:rPr>
                <w:sz w:val="18"/>
              </w:rPr>
            </w:pPr>
            <w:r>
              <w:rPr>
                <w:spacing w:val="-2"/>
                <w:sz w:val="18"/>
              </w:rPr>
              <w:t>Central.</w:t>
            </w:r>
          </w:p>
        </w:tc>
        <w:tc>
          <w:tcPr>
            <w:tcW w:w="1419" w:type="dxa"/>
          </w:tcPr>
          <w:p>
            <w:pPr>
              <w:pStyle w:val="TableParagraph"/>
              <w:spacing w:before="106"/>
              <w:rPr>
                <w:b/>
                <w:sz w:val="18"/>
              </w:rPr>
            </w:pPr>
          </w:p>
          <w:p>
            <w:pPr>
              <w:pStyle w:val="TableParagraph"/>
              <w:ind w:left="69" w:right="222"/>
              <w:rPr>
                <w:sz w:val="18"/>
              </w:rPr>
            </w:pPr>
            <w:r>
              <w:rPr>
                <w:sz w:val="18"/>
              </w:rPr>
              <w:t>Porcentaje</w:t>
            </w:r>
            <w:r>
              <w:rPr>
                <w:spacing w:val="-13"/>
                <w:sz w:val="18"/>
              </w:rPr>
              <w:t> </w:t>
            </w:r>
            <w:r>
              <w:rPr>
                <w:sz w:val="18"/>
              </w:rPr>
              <w:t>de ejecución del </w:t>
            </w:r>
            <w:r>
              <w:rPr>
                <w:spacing w:val="-2"/>
                <w:sz w:val="18"/>
              </w:rPr>
              <w:t>proyecto programado </w:t>
            </w:r>
            <w:r>
              <w:rPr>
                <w:sz w:val="18"/>
              </w:rPr>
              <w:t>para el 2027</w:t>
            </w:r>
          </w:p>
        </w:tc>
        <w:tc>
          <w:tcPr>
            <w:tcW w:w="1163" w:type="dxa"/>
          </w:tcPr>
          <w:p>
            <w:pPr>
              <w:pStyle w:val="TableParagraph"/>
              <w:rPr>
                <w:rFonts w:ascii="Times New Roman"/>
                <w:sz w:val="18"/>
              </w:rPr>
            </w:pPr>
          </w:p>
        </w:tc>
        <w:tc>
          <w:tcPr>
            <w:tcW w:w="1398" w:type="dxa"/>
          </w:tcPr>
          <w:p>
            <w:pPr>
              <w:pStyle w:val="TableParagraph"/>
              <w:rPr>
                <w:rFonts w:ascii="Times New Roman"/>
                <w:sz w:val="18"/>
              </w:rPr>
            </w:pPr>
          </w:p>
        </w:tc>
        <w:tc>
          <w:tcPr>
            <w:tcW w:w="1316" w:type="dxa"/>
          </w:tcPr>
          <w:p>
            <w:pPr>
              <w:pStyle w:val="TableParagraph"/>
              <w:rPr>
                <w:rFonts w:ascii="Times New Roman"/>
                <w:sz w:val="18"/>
              </w:rPr>
            </w:pPr>
          </w:p>
        </w:tc>
        <w:tc>
          <w:tcPr>
            <w:tcW w:w="1376" w:type="dxa"/>
          </w:tcPr>
          <w:p>
            <w:pPr>
              <w:pStyle w:val="TableParagraph"/>
              <w:rPr>
                <w:rFonts w:ascii="Times New Roman"/>
                <w:sz w:val="18"/>
              </w:rPr>
            </w:pPr>
          </w:p>
        </w:tc>
        <w:tc>
          <w:tcPr>
            <w:tcW w:w="1265" w:type="dxa"/>
          </w:tcPr>
          <w:p>
            <w:pPr>
              <w:pStyle w:val="TableParagraph"/>
              <w:rPr>
                <w:b/>
                <w:sz w:val="18"/>
              </w:rPr>
            </w:pPr>
          </w:p>
          <w:p>
            <w:pPr>
              <w:pStyle w:val="TableParagraph"/>
              <w:rPr>
                <w:b/>
                <w:sz w:val="18"/>
              </w:rPr>
            </w:pPr>
          </w:p>
          <w:p>
            <w:pPr>
              <w:pStyle w:val="TableParagraph"/>
              <w:spacing w:before="107"/>
              <w:rPr>
                <w:b/>
                <w:sz w:val="18"/>
              </w:rPr>
            </w:pPr>
          </w:p>
          <w:p>
            <w:pPr>
              <w:pStyle w:val="TableParagraph"/>
              <w:ind w:right="59"/>
              <w:jc w:val="right"/>
              <w:rPr>
                <w:sz w:val="18"/>
              </w:rPr>
            </w:pPr>
            <w:r>
              <w:rPr>
                <w:spacing w:val="-5"/>
                <w:sz w:val="18"/>
              </w:rPr>
              <w:t>15%</w:t>
            </w:r>
          </w:p>
        </w:tc>
        <w:tc>
          <w:tcPr>
            <w:tcW w:w="1304" w:type="dxa"/>
          </w:tcPr>
          <w:p>
            <w:pPr>
              <w:pStyle w:val="TableParagraph"/>
              <w:rPr>
                <w:b/>
                <w:sz w:val="18"/>
              </w:rPr>
            </w:pPr>
          </w:p>
          <w:p>
            <w:pPr>
              <w:pStyle w:val="TableParagraph"/>
              <w:rPr>
                <w:b/>
                <w:sz w:val="18"/>
              </w:rPr>
            </w:pPr>
          </w:p>
          <w:p>
            <w:pPr>
              <w:pStyle w:val="TableParagraph"/>
              <w:spacing w:before="107"/>
              <w:rPr>
                <w:b/>
                <w:sz w:val="18"/>
              </w:rPr>
            </w:pPr>
          </w:p>
          <w:p>
            <w:pPr>
              <w:pStyle w:val="TableParagraph"/>
              <w:ind w:left="128"/>
              <w:jc w:val="center"/>
              <w:rPr>
                <w:sz w:val="18"/>
              </w:rPr>
            </w:pPr>
            <w:r>
              <w:rPr>
                <w:sz w:val="18"/>
              </w:rPr>
              <w:t>₡25</w:t>
            </w:r>
            <w:r>
              <w:rPr>
                <w:spacing w:val="-2"/>
                <w:sz w:val="18"/>
              </w:rPr>
              <w:t> </w:t>
            </w:r>
            <w:r>
              <w:rPr>
                <w:sz w:val="18"/>
              </w:rPr>
              <w:t>194</w:t>
            </w:r>
            <w:r>
              <w:rPr>
                <w:spacing w:val="-2"/>
                <w:sz w:val="18"/>
              </w:rPr>
              <w:t> </w:t>
            </w:r>
            <w:r>
              <w:rPr>
                <w:spacing w:val="-5"/>
                <w:sz w:val="18"/>
              </w:rPr>
              <w:t>000</w:t>
            </w:r>
          </w:p>
        </w:tc>
        <w:tc>
          <w:tcPr>
            <w:tcW w:w="1150" w:type="dxa"/>
          </w:tcPr>
          <w:p>
            <w:pPr>
              <w:pStyle w:val="TableParagraph"/>
              <w:rPr>
                <w:b/>
                <w:sz w:val="18"/>
              </w:rPr>
            </w:pPr>
          </w:p>
          <w:p>
            <w:pPr>
              <w:pStyle w:val="TableParagraph"/>
              <w:rPr>
                <w:b/>
                <w:sz w:val="18"/>
              </w:rPr>
            </w:pPr>
          </w:p>
          <w:p>
            <w:pPr>
              <w:pStyle w:val="TableParagraph"/>
              <w:spacing w:before="107"/>
              <w:rPr>
                <w:b/>
                <w:sz w:val="18"/>
              </w:rPr>
            </w:pPr>
          </w:p>
          <w:p>
            <w:pPr>
              <w:pStyle w:val="TableParagraph"/>
              <w:ind w:right="62"/>
              <w:jc w:val="right"/>
              <w:rPr>
                <w:sz w:val="18"/>
              </w:rPr>
            </w:pPr>
            <w:r>
              <w:rPr>
                <w:spacing w:val="-5"/>
                <w:sz w:val="18"/>
              </w:rPr>
              <w:t>85%</w:t>
            </w:r>
          </w:p>
        </w:tc>
        <w:tc>
          <w:tcPr>
            <w:tcW w:w="1544" w:type="dxa"/>
          </w:tcPr>
          <w:p>
            <w:pPr>
              <w:pStyle w:val="TableParagraph"/>
              <w:rPr>
                <w:b/>
                <w:sz w:val="18"/>
              </w:rPr>
            </w:pPr>
          </w:p>
          <w:p>
            <w:pPr>
              <w:pStyle w:val="TableParagraph"/>
              <w:rPr>
                <w:b/>
                <w:sz w:val="18"/>
              </w:rPr>
            </w:pPr>
          </w:p>
          <w:p>
            <w:pPr>
              <w:pStyle w:val="TableParagraph"/>
              <w:spacing w:before="107"/>
              <w:rPr>
                <w:b/>
                <w:sz w:val="18"/>
              </w:rPr>
            </w:pPr>
          </w:p>
          <w:p>
            <w:pPr>
              <w:pStyle w:val="TableParagraph"/>
              <w:ind w:left="335"/>
              <w:rPr>
                <w:sz w:val="18"/>
              </w:rPr>
            </w:pPr>
            <w:r>
              <w:rPr>
                <w:sz w:val="18"/>
              </w:rPr>
              <w:t>₡142</w:t>
            </w:r>
            <w:r>
              <w:rPr>
                <w:spacing w:val="-2"/>
                <w:sz w:val="18"/>
              </w:rPr>
              <w:t> </w:t>
            </w:r>
            <w:r>
              <w:rPr>
                <w:sz w:val="18"/>
              </w:rPr>
              <w:t>766</w:t>
            </w:r>
            <w:r>
              <w:rPr>
                <w:spacing w:val="-2"/>
                <w:sz w:val="18"/>
              </w:rPr>
              <w:t> </w:t>
            </w:r>
            <w:r>
              <w:rPr>
                <w:spacing w:val="-5"/>
                <w:sz w:val="18"/>
              </w:rPr>
              <w:t>000</w:t>
            </w:r>
          </w:p>
        </w:tc>
      </w:tr>
      <w:tr>
        <w:trPr>
          <w:trHeight w:val="2484" w:hRule="atLeast"/>
        </w:trPr>
        <w:tc>
          <w:tcPr>
            <w:tcW w:w="2247" w:type="dxa"/>
          </w:tcPr>
          <w:p>
            <w:pPr>
              <w:pStyle w:val="TableParagraph"/>
              <w:spacing w:before="101"/>
              <w:rPr>
                <w:b/>
                <w:sz w:val="18"/>
              </w:rPr>
            </w:pPr>
          </w:p>
          <w:p>
            <w:pPr>
              <w:pStyle w:val="TableParagraph"/>
              <w:ind w:left="69" w:right="127"/>
              <w:rPr>
                <w:sz w:val="18"/>
              </w:rPr>
            </w:pPr>
            <w:r>
              <w:rPr>
                <w:b/>
                <w:sz w:val="18"/>
              </w:rPr>
              <w:t>Actividad PAC 2.7.2: </w:t>
            </w:r>
            <w:r>
              <w:rPr>
                <w:sz w:val="18"/>
              </w:rPr>
              <w:t>Asesoramiento</w:t>
            </w:r>
            <w:r>
              <w:rPr>
                <w:spacing w:val="-15"/>
                <w:sz w:val="18"/>
              </w:rPr>
              <w:t> </w:t>
            </w:r>
            <w:r>
              <w:rPr>
                <w:sz w:val="18"/>
              </w:rPr>
              <w:t>en</w:t>
            </w:r>
            <w:r>
              <w:rPr>
                <w:spacing w:val="-12"/>
                <w:sz w:val="18"/>
              </w:rPr>
              <w:t> </w:t>
            </w:r>
            <w:r>
              <w:rPr>
                <w:sz w:val="18"/>
              </w:rPr>
              <w:t>temas de ingeniería y arquitectura requeridos para la inscripción y seguimiento de los proyectos de </w:t>
            </w:r>
            <w:r>
              <w:rPr>
                <w:spacing w:val="-2"/>
                <w:sz w:val="18"/>
              </w:rPr>
              <w:t>infraestructura </w:t>
            </w:r>
            <w:r>
              <w:rPr>
                <w:sz w:val="18"/>
              </w:rPr>
              <w:t>institucional en el BPIP</w:t>
            </w:r>
          </w:p>
        </w:tc>
        <w:tc>
          <w:tcPr>
            <w:tcW w:w="1419" w:type="dxa"/>
          </w:tcPr>
          <w:p>
            <w:pPr>
              <w:pStyle w:val="TableParagraph"/>
              <w:ind w:left="69" w:right="47"/>
              <w:rPr>
                <w:sz w:val="18"/>
              </w:rPr>
            </w:pPr>
            <w:r>
              <w:rPr>
                <w:sz w:val="18"/>
              </w:rPr>
              <w:t>Porcentaje de </w:t>
            </w:r>
            <w:r>
              <w:rPr>
                <w:spacing w:val="-2"/>
                <w:sz w:val="18"/>
              </w:rPr>
              <w:t>asesorías brindadas</w:t>
            </w:r>
            <w:r>
              <w:rPr>
                <w:spacing w:val="40"/>
                <w:sz w:val="18"/>
              </w:rPr>
              <w:t> </w:t>
            </w:r>
            <w:r>
              <w:rPr>
                <w:spacing w:val="-2"/>
                <w:sz w:val="18"/>
              </w:rPr>
              <w:t>según solicitudes recibidas </w:t>
            </w:r>
            <w:r>
              <w:rPr>
                <w:sz w:val="18"/>
              </w:rPr>
              <w:t>relacionadas a los proyectos</w:t>
            </w:r>
            <w:r>
              <w:rPr>
                <w:spacing w:val="40"/>
                <w:sz w:val="18"/>
              </w:rPr>
              <w:t> </w:t>
            </w:r>
            <w:r>
              <w:rPr>
                <w:spacing w:val="-6"/>
                <w:sz w:val="18"/>
              </w:rPr>
              <w:t>de </w:t>
            </w:r>
            <w:r>
              <w:rPr>
                <w:sz w:val="18"/>
              </w:rPr>
              <w:t>infraestructura</w:t>
            </w:r>
            <w:r>
              <w:rPr>
                <w:spacing w:val="-13"/>
                <w:sz w:val="18"/>
              </w:rPr>
              <w:t> </w:t>
            </w:r>
            <w:r>
              <w:rPr>
                <w:sz w:val="18"/>
              </w:rPr>
              <w:t>y su inclusión en</w:t>
            </w:r>
          </w:p>
          <w:p>
            <w:pPr>
              <w:pStyle w:val="TableParagraph"/>
              <w:spacing w:line="188" w:lineRule="exact"/>
              <w:ind w:left="69"/>
              <w:rPr>
                <w:sz w:val="18"/>
              </w:rPr>
            </w:pPr>
            <w:r>
              <w:rPr>
                <w:sz w:val="18"/>
              </w:rPr>
              <w:t>el </w:t>
            </w:r>
            <w:r>
              <w:rPr>
                <w:spacing w:val="-4"/>
                <w:sz w:val="18"/>
              </w:rPr>
              <w:t>BPIP</w:t>
            </w:r>
          </w:p>
        </w:tc>
        <w:tc>
          <w:tcPr>
            <w:tcW w:w="116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10"/>
              <w:rPr>
                <w:sz w:val="18"/>
              </w:rPr>
            </w:pPr>
            <w:r>
              <w:rPr>
                <w:spacing w:val="-5"/>
                <w:sz w:val="18"/>
              </w:rPr>
              <w:t>25%</w:t>
            </w:r>
          </w:p>
        </w:tc>
        <w:tc>
          <w:tcPr>
            <w:tcW w:w="1398" w:type="dxa"/>
          </w:tcPr>
          <w:p>
            <w:pPr>
              <w:pStyle w:val="TableParagraph"/>
              <w:rPr>
                <w:rFonts w:ascii="Times New Roman"/>
                <w:sz w:val="18"/>
              </w:rPr>
            </w:pPr>
          </w:p>
        </w:tc>
        <w:tc>
          <w:tcPr>
            <w:tcW w:w="13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9"/>
              <w:jc w:val="right"/>
              <w:rPr>
                <w:sz w:val="18"/>
              </w:rPr>
            </w:pPr>
            <w:r>
              <w:rPr>
                <w:spacing w:val="-5"/>
                <w:sz w:val="18"/>
              </w:rPr>
              <w:t>25%</w:t>
            </w:r>
          </w:p>
        </w:tc>
        <w:tc>
          <w:tcPr>
            <w:tcW w:w="1376" w:type="dxa"/>
          </w:tcPr>
          <w:p>
            <w:pPr>
              <w:pStyle w:val="TableParagraph"/>
              <w:rPr>
                <w:rFonts w:ascii="Times New Roman"/>
                <w:sz w:val="18"/>
              </w:rPr>
            </w:pPr>
          </w:p>
        </w:tc>
        <w:tc>
          <w:tcPr>
            <w:tcW w:w="126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9"/>
              <w:jc w:val="right"/>
              <w:rPr>
                <w:sz w:val="18"/>
              </w:rPr>
            </w:pPr>
            <w:r>
              <w:rPr>
                <w:spacing w:val="-5"/>
                <w:sz w:val="18"/>
              </w:rPr>
              <w:t>25%</w:t>
            </w:r>
          </w:p>
        </w:tc>
        <w:tc>
          <w:tcPr>
            <w:tcW w:w="1304" w:type="dxa"/>
          </w:tcPr>
          <w:p>
            <w:pPr>
              <w:pStyle w:val="TableParagraph"/>
              <w:rPr>
                <w:rFonts w:ascii="Times New Roman"/>
                <w:sz w:val="18"/>
              </w:rPr>
            </w:pPr>
          </w:p>
        </w:tc>
        <w:tc>
          <w:tcPr>
            <w:tcW w:w="115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62"/>
              <w:jc w:val="right"/>
              <w:rPr>
                <w:sz w:val="18"/>
              </w:rPr>
            </w:pPr>
            <w:r>
              <w:rPr>
                <w:spacing w:val="-5"/>
                <w:sz w:val="18"/>
              </w:rPr>
              <w:t>25%</w:t>
            </w:r>
          </w:p>
        </w:tc>
        <w:tc>
          <w:tcPr>
            <w:tcW w:w="1544" w:type="dxa"/>
          </w:tcPr>
          <w:p>
            <w:pPr>
              <w:pStyle w:val="TableParagraph"/>
              <w:rPr>
                <w:rFonts w:ascii="Times New Roman"/>
                <w:sz w:val="18"/>
              </w:rPr>
            </w:pPr>
          </w:p>
        </w:tc>
      </w:tr>
      <w:tr>
        <w:trPr>
          <w:trHeight w:val="450" w:hRule="atLeast"/>
        </w:trPr>
        <w:tc>
          <w:tcPr>
            <w:tcW w:w="14182" w:type="dxa"/>
            <w:gridSpan w:val="10"/>
            <w:shd w:val="clear" w:color="auto" w:fill="D9E0F1"/>
          </w:tcPr>
          <w:p>
            <w:pPr>
              <w:pStyle w:val="TableParagraph"/>
              <w:spacing w:before="121"/>
              <w:ind w:left="69"/>
              <w:rPr>
                <w:b/>
                <w:sz w:val="18"/>
              </w:rPr>
            </w:pPr>
            <w:r>
              <w:rPr>
                <w:b/>
                <w:sz w:val="18"/>
              </w:rPr>
              <w:t>Producto</w:t>
            </w:r>
            <w:r>
              <w:rPr>
                <w:b/>
                <w:spacing w:val="-4"/>
                <w:sz w:val="18"/>
              </w:rPr>
              <w:t> </w:t>
            </w:r>
            <w:r>
              <w:rPr>
                <w:b/>
                <w:sz w:val="18"/>
              </w:rPr>
              <w:t>PAC</w:t>
            </w:r>
            <w:r>
              <w:rPr>
                <w:b/>
                <w:spacing w:val="-4"/>
                <w:sz w:val="18"/>
              </w:rPr>
              <w:t> </w:t>
            </w:r>
            <w:r>
              <w:rPr>
                <w:b/>
                <w:sz w:val="18"/>
              </w:rPr>
              <w:t>2.8:</w:t>
            </w:r>
            <w:r>
              <w:rPr>
                <w:b/>
                <w:spacing w:val="44"/>
                <w:sz w:val="18"/>
              </w:rPr>
              <w:t> </w:t>
            </w:r>
            <w:r>
              <w:rPr>
                <w:b/>
                <w:sz w:val="18"/>
              </w:rPr>
              <w:t>Servicios</w:t>
            </w:r>
            <w:r>
              <w:rPr>
                <w:b/>
                <w:spacing w:val="-3"/>
                <w:sz w:val="18"/>
              </w:rPr>
              <w:t> </w:t>
            </w:r>
            <w:r>
              <w:rPr>
                <w:b/>
                <w:sz w:val="18"/>
              </w:rPr>
              <w:t>administrativos</w:t>
            </w:r>
            <w:r>
              <w:rPr>
                <w:b/>
                <w:spacing w:val="-3"/>
                <w:sz w:val="18"/>
              </w:rPr>
              <w:t> </w:t>
            </w:r>
            <w:r>
              <w:rPr>
                <w:b/>
                <w:sz w:val="18"/>
              </w:rPr>
              <w:t>brindados</w:t>
            </w:r>
            <w:r>
              <w:rPr>
                <w:b/>
                <w:spacing w:val="-5"/>
                <w:sz w:val="18"/>
              </w:rPr>
              <w:t> </w:t>
            </w:r>
            <w:r>
              <w:rPr>
                <w:b/>
                <w:sz w:val="18"/>
              </w:rPr>
              <w:t>oportunamente</w:t>
            </w:r>
            <w:r>
              <w:rPr>
                <w:b/>
                <w:spacing w:val="-2"/>
                <w:sz w:val="18"/>
              </w:rPr>
              <w:t> </w:t>
            </w:r>
            <w:r>
              <w:rPr>
                <w:b/>
                <w:sz w:val="18"/>
              </w:rPr>
              <w:t>que</w:t>
            </w:r>
            <w:r>
              <w:rPr>
                <w:b/>
                <w:spacing w:val="-3"/>
                <w:sz w:val="18"/>
              </w:rPr>
              <w:t> </w:t>
            </w:r>
            <w:r>
              <w:rPr>
                <w:b/>
                <w:sz w:val="18"/>
              </w:rPr>
              <w:t>contribuyen</w:t>
            </w:r>
            <w:r>
              <w:rPr>
                <w:b/>
                <w:spacing w:val="-3"/>
                <w:sz w:val="18"/>
              </w:rPr>
              <w:t> </w:t>
            </w:r>
            <w:r>
              <w:rPr>
                <w:b/>
                <w:sz w:val="18"/>
              </w:rPr>
              <w:t>a</w:t>
            </w:r>
            <w:r>
              <w:rPr>
                <w:b/>
                <w:spacing w:val="-5"/>
                <w:sz w:val="18"/>
              </w:rPr>
              <w:t> </w:t>
            </w:r>
            <w:r>
              <w:rPr>
                <w:b/>
                <w:sz w:val="18"/>
              </w:rPr>
              <w:t>la</w:t>
            </w:r>
            <w:r>
              <w:rPr>
                <w:b/>
                <w:spacing w:val="-3"/>
                <w:sz w:val="18"/>
              </w:rPr>
              <w:t> </w:t>
            </w:r>
            <w:r>
              <w:rPr>
                <w:b/>
                <w:sz w:val="18"/>
              </w:rPr>
              <w:t>operación</w:t>
            </w:r>
            <w:r>
              <w:rPr>
                <w:b/>
                <w:spacing w:val="-3"/>
                <w:sz w:val="18"/>
              </w:rPr>
              <w:t> </w:t>
            </w:r>
            <w:r>
              <w:rPr>
                <w:b/>
                <w:sz w:val="18"/>
              </w:rPr>
              <w:t>institucional</w:t>
            </w:r>
            <w:r>
              <w:rPr>
                <w:b/>
                <w:spacing w:val="-3"/>
                <w:sz w:val="18"/>
              </w:rPr>
              <w:t> </w:t>
            </w:r>
            <w:r>
              <w:rPr>
                <w:b/>
                <w:spacing w:val="-2"/>
                <w:sz w:val="18"/>
              </w:rPr>
              <w:t>(Proceso)</w:t>
            </w:r>
          </w:p>
        </w:tc>
      </w:tr>
    </w:tbl>
    <w:p>
      <w:pPr>
        <w:pStyle w:val="TableParagraph"/>
        <w:spacing w:after="0"/>
        <w:rPr>
          <w:b/>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47"/>
        <w:gridCol w:w="1440"/>
        <w:gridCol w:w="1121"/>
        <w:gridCol w:w="1416"/>
        <w:gridCol w:w="1315"/>
        <w:gridCol w:w="1375"/>
        <w:gridCol w:w="1264"/>
        <w:gridCol w:w="1303"/>
        <w:gridCol w:w="1149"/>
        <w:gridCol w:w="1543"/>
      </w:tblGrid>
      <w:tr>
        <w:trPr>
          <w:trHeight w:val="1590" w:hRule="atLeast"/>
        </w:trPr>
        <w:tc>
          <w:tcPr>
            <w:tcW w:w="2247" w:type="dxa"/>
          </w:tcPr>
          <w:p>
            <w:pPr>
              <w:pStyle w:val="TableParagraph"/>
              <w:spacing w:before="71"/>
              <w:ind w:left="69" w:right="127"/>
              <w:rPr>
                <w:sz w:val="18"/>
              </w:rPr>
            </w:pPr>
            <w:r>
              <w:rPr>
                <w:b/>
                <w:sz w:val="18"/>
              </w:rPr>
              <w:t>Actividad PAC 2.8.1: </w:t>
            </w:r>
            <w:r>
              <w:rPr>
                <w:sz w:val="18"/>
              </w:rPr>
              <w:t>Mantener</w:t>
            </w:r>
            <w:r>
              <w:rPr>
                <w:spacing w:val="-13"/>
                <w:sz w:val="18"/>
              </w:rPr>
              <w:t> </w:t>
            </w:r>
            <w:r>
              <w:rPr>
                <w:sz w:val="18"/>
              </w:rPr>
              <w:t>la</w:t>
            </w:r>
            <w:r>
              <w:rPr>
                <w:spacing w:val="-12"/>
                <w:sz w:val="18"/>
              </w:rPr>
              <w:t> </w:t>
            </w:r>
            <w:r>
              <w:rPr>
                <w:sz w:val="18"/>
              </w:rPr>
              <w:t>cobertura</w:t>
            </w:r>
            <w:r>
              <w:rPr>
                <w:spacing w:val="-13"/>
                <w:sz w:val="18"/>
              </w:rPr>
              <w:t> </w:t>
            </w:r>
            <w:r>
              <w:rPr>
                <w:sz w:val="18"/>
              </w:rPr>
              <w:t>de puestos de servicios de Seguridad y Vigilancia según</w:t>
            </w:r>
            <w:r>
              <w:rPr>
                <w:spacing w:val="-15"/>
                <w:sz w:val="18"/>
              </w:rPr>
              <w:t> </w:t>
            </w:r>
            <w:r>
              <w:rPr>
                <w:sz w:val="18"/>
              </w:rPr>
              <w:t>los</w:t>
            </w:r>
            <w:r>
              <w:rPr>
                <w:spacing w:val="-12"/>
                <w:sz w:val="18"/>
              </w:rPr>
              <w:t> </w:t>
            </w:r>
            <w:r>
              <w:rPr>
                <w:sz w:val="18"/>
              </w:rPr>
              <w:t>requerimientos institucionales. (PAC </w:t>
            </w:r>
            <w:r>
              <w:rPr>
                <w:spacing w:val="-4"/>
                <w:sz w:val="18"/>
              </w:rPr>
              <w:t>PPP)</w:t>
            </w:r>
          </w:p>
        </w:tc>
        <w:tc>
          <w:tcPr>
            <w:tcW w:w="1440" w:type="dxa"/>
          </w:tcPr>
          <w:p>
            <w:pPr>
              <w:pStyle w:val="TableParagraph"/>
              <w:spacing w:before="71"/>
              <w:ind w:left="69" w:right="126"/>
              <w:rPr>
                <w:sz w:val="18"/>
              </w:rPr>
            </w:pPr>
            <w:r>
              <w:rPr>
                <w:sz w:val="18"/>
              </w:rPr>
              <w:t>Porcentaje de puestos con servicios de Seguridad y </w:t>
            </w:r>
            <w:r>
              <w:rPr>
                <w:spacing w:val="-2"/>
                <w:sz w:val="18"/>
              </w:rPr>
              <w:t>Vigilancia </w:t>
            </w:r>
            <w:r>
              <w:rPr>
                <w:sz w:val="18"/>
              </w:rPr>
              <w:t>ejecutados de forma</w:t>
            </w:r>
            <w:r>
              <w:rPr>
                <w:spacing w:val="-4"/>
                <w:sz w:val="18"/>
              </w:rPr>
              <w:t> </w:t>
            </w:r>
            <w:r>
              <w:rPr>
                <w:spacing w:val="-2"/>
                <w:sz w:val="18"/>
              </w:rPr>
              <w:t>continua</w:t>
            </w:r>
          </w:p>
        </w:tc>
        <w:tc>
          <w:tcPr>
            <w:tcW w:w="1121" w:type="dxa"/>
          </w:tcPr>
          <w:p>
            <w:pPr>
              <w:pStyle w:val="TableParagraph"/>
              <w:rPr>
                <w:b/>
                <w:sz w:val="18"/>
              </w:rPr>
            </w:pPr>
          </w:p>
          <w:p>
            <w:pPr>
              <w:pStyle w:val="TableParagraph"/>
              <w:rPr>
                <w:b/>
                <w:sz w:val="18"/>
              </w:rPr>
            </w:pPr>
          </w:p>
          <w:p>
            <w:pPr>
              <w:pStyle w:val="TableParagraph"/>
              <w:spacing w:before="69"/>
              <w:rPr>
                <w:b/>
                <w:sz w:val="18"/>
              </w:rPr>
            </w:pPr>
          </w:p>
          <w:p>
            <w:pPr>
              <w:pStyle w:val="TableParagraph"/>
              <w:ind w:right="57"/>
              <w:jc w:val="right"/>
              <w:rPr>
                <w:sz w:val="18"/>
              </w:rPr>
            </w:pPr>
            <w:r>
              <w:rPr>
                <w:spacing w:val="-5"/>
                <w:sz w:val="18"/>
              </w:rPr>
              <w:t>25%</w:t>
            </w:r>
          </w:p>
        </w:tc>
        <w:tc>
          <w:tcPr>
            <w:tcW w:w="1416" w:type="dxa"/>
          </w:tcPr>
          <w:p>
            <w:pPr>
              <w:pStyle w:val="TableParagraph"/>
              <w:rPr>
                <w:b/>
                <w:sz w:val="18"/>
              </w:rPr>
            </w:pPr>
          </w:p>
          <w:p>
            <w:pPr>
              <w:pStyle w:val="TableParagraph"/>
              <w:rPr>
                <w:b/>
                <w:sz w:val="18"/>
              </w:rPr>
            </w:pPr>
          </w:p>
          <w:p>
            <w:pPr>
              <w:pStyle w:val="TableParagraph"/>
              <w:spacing w:before="69"/>
              <w:rPr>
                <w:b/>
                <w:sz w:val="18"/>
              </w:rPr>
            </w:pPr>
          </w:p>
          <w:p>
            <w:pPr>
              <w:pStyle w:val="TableParagraph"/>
              <w:ind w:right="59"/>
              <w:jc w:val="right"/>
              <w:rPr>
                <w:sz w:val="18"/>
              </w:rPr>
            </w:pPr>
            <w:r>
              <w:rPr>
                <w:sz w:val="18"/>
              </w:rPr>
              <w:t>₡491</w:t>
            </w:r>
            <w:r>
              <w:rPr>
                <w:spacing w:val="-2"/>
                <w:sz w:val="18"/>
              </w:rPr>
              <w:t> </w:t>
            </w:r>
            <w:r>
              <w:rPr>
                <w:sz w:val="18"/>
              </w:rPr>
              <w:t>965</w:t>
            </w:r>
            <w:r>
              <w:rPr>
                <w:spacing w:val="-2"/>
                <w:sz w:val="18"/>
              </w:rPr>
              <w:t> </w:t>
            </w:r>
            <w:r>
              <w:rPr>
                <w:spacing w:val="-5"/>
                <w:sz w:val="18"/>
              </w:rPr>
              <w:t>808</w:t>
            </w:r>
          </w:p>
        </w:tc>
        <w:tc>
          <w:tcPr>
            <w:tcW w:w="1315" w:type="dxa"/>
          </w:tcPr>
          <w:p>
            <w:pPr>
              <w:pStyle w:val="TableParagraph"/>
              <w:rPr>
                <w:b/>
                <w:sz w:val="18"/>
              </w:rPr>
            </w:pPr>
          </w:p>
          <w:p>
            <w:pPr>
              <w:pStyle w:val="TableParagraph"/>
              <w:rPr>
                <w:b/>
                <w:sz w:val="18"/>
              </w:rPr>
            </w:pPr>
          </w:p>
          <w:p>
            <w:pPr>
              <w:pStyle w:val="TableParagraph"/>
              <w:spacing w:before="69"/>
              <w:rPr>
                <w:b/>
                <w:sz w:val="18"/>
              </w:rPr>
            </w:pPr>
          </w:p>
          <w:p>
            <w:pPr>
              <w:pStyle w:val="TableParagraph"/>
              <w:ind w:right="55"/>
              <w:jc w:val="right"/>
              <w:rPr>
                <w:sz w:val="18"/>
              </w:rPr>
            </w:pPr>
            <w:r>
              <w:rPr>
                <w:spacing w:val="-5"/>
                <w:sz w:val="18"/>
              </w:rPr>
              <w:t>25%</w:t>
            </w:r>
          </w:p>
        </w:tc>
        <w:tc>
          <w:tcPr>
            <w:tcW w:w="1375" w:type="dxa"/>
          </w:tcPr>
          <w:p>
            <w:pPr>
              <w:pStyle w:val="TableParagraph"/>
              <w:rPr>
                <w:b/>
                <w:sz w:val="18"/>
              </w:rPr>
            </w:pPr>
          </w:p>
          <w:p>
            <w:pPr>
              <w:pStyle w:val="TableParagraph"/>
              <w:rPr>
                <w:b/>
                <w:sz w:val="18"/>
              </w:rPr>
            </w:pPr>
          </w:p>
          <w:p>
            <w:pPr>
              <w:pStyle w:val="TableParagraph"/>
              <w:spacing w:before="69"/>
              <w:rPr>
                <w:b/>
                <w:sz w:val="18"/>
              </w:rPr>
            </w:pPr>
          </w:p>
          <w:p>
            <w:pPr>
              <w:pStyle w:val="TableParagraph"/>
              <w:ind w:right="55"/>
              <w:jc w:val="right"/>
              <w:rPr>
                <w:sz w:val="18"/>
              </w:rPr>
            </w:pPr>
            <w:r>
              <w:rPr>
                <w:sz w:val="18"/>
              </w:rPr>
              <w:t>₡491</w:t>
            </w:r>
            <w:r>
              <w:rPr>
                <w:spacing w:val="-2"/>
                <w:sz w:val="18"/>
              </w:rPr>
              <w:t> </w:t>
            </w:r>
            <w:r>
              <w:rPr>
                <w:sz w:val="18"/>
              </w:rPr>
              <w:t>965</w:t>
            </w:r>
            <w:r>
              <w:rPr>
                <w:spacing w:val="-2"/>
                <w:sz w:val="18"/>
              </w:rPr>
              <w:t> </w:t>
            </w:r>
            <w:r>
              <w:rPr>
                <w:spacing w:val="-5"/>
                <w:sz w:val="18"/>
              </w:rPr>
              <w:t>808</w:t>
            </w:r>
          </w:p>
        </w:tc>
        <w:tc>
          <w:tcPr>
            <w:tcW w:w="1264" w:type="dxa"/>
          </w:tcPr>
          <w:p>
            <w:pPr>
              <w:pStyle w:val="TableParagraph"/>
              <w:rPr>
                <w:b/>
                <w:sz w:val="18"/>
              </w:rPr>
            </w:pPr>
          </w:p>
          <w:p>
            <w:pPr>
              <w:pStyle w:val="TableParagraph"/>
              <w:rPr>
                <w:b/>
                <w:sz w:val="18"/>
              </w:rPr>
            </w:pPr>
          </w:p>
          <w:p>
            <w:pPr>
              <w:pStyle w:val="TableParagraph"/>
              <w:spacing w:before="69"/>
              <w:rPr>
                <w:b/>
                <w:sz w:val="18"/>
              </w:rPr>
            </w:pPr>
          </w:p>
          <w:p>
            <w:pPr>
              <w:pStyle w:val="TableParagraph"/>
              <w:ind w:right="53"/>
              <w:jc w:val="right"/>
              <w:rPr>
                <w:sz w:val="18"/>
              </w:rPr>
            </w:pPr>
            <w:r>
              <w:rPr>
                <w:spacing w:val="-5"/>
                <w:sz w:val="18"/>
              </w:rPr>
              <w:t>25%</w:t>
            </w:r>
          </w:p>
        </w:tc>
        <w:tc>
          <w:tcPr>
            <w:tcW w:w="1303" w:type="dxa"/>
          </w:tcPr>
          <w:p>
            <w:pPr>
              <w:pStyle w:val="TableParagraph"/>
              <w:rPr>
                <w:b/>
                <w:sz w:val="18"/>
              </w:rPr>
            </w:pPr>
          </w:p>
          <w:p>
            <w:pPr>
              <w:pStyle w:val="TableParagraph"/>
              <w:rPr>
                <w:b/>
                <w:sz w:val="18"/>
              </w:rPr>
            </w:pPr>
          </w:p>
          <w:p>
            <w:pPr>
              <w:pStyle w:val="TableParagraph"/>
              <w:spacing w:before="69"/>
              <w:rPr>
                <w:b/>
                <w:sz w:val="18"/>
              </w:rPr>
            </w:pPr>
          </w:p>
          <w:p>
            <w:pPr>
              <w:pStyle w:val="TableParagraph"/>
              <w:ind w:right="57"/>
              <w:jc w:val="right"/>
              <w:rPr>
                <w:sz w:val="18"/>
              </w:rPr>
            </w:pPr>
            <w:r>
              <w:rPr>
                <w:sz w:val="18"/>
              </w:rPr>
              <w:t>₡491</w:t>
            </w:r>
            <w:r>
              <w:rPr>
                <w:spacing w:val="-2"/>
                <w:sz w:val="18"/>
              </w:rPr>
              <w:t> </w:t>
            </w:r>
            <w:r>
              <w:rPr>
                <w:sz w:val="18"/>
              </w:rPr>
              <w:t>965</w:t>
            </w:r>
            <w:r>
              <w:rPr>
                <w:spacing w:val="-2"/>
                <w:sz w:val="18"/>
              </w:rPr>
              <w:t> </w:t>
            </w:r>
            <w:r>
              <w:rPr>
                <w:spacing w:val="-5"/>
                <w:sz w:val="18"/>
              </w:rPr>
              <w:t>808</w:t>
            </w:r>
          </w:p>
        </w:tc>
        <w:tc>
          <w:tcPr>
            <w:tcW w:w="1149" w:type="dxa"/>
          </w:tcPr>
          <w:p>
            <w:pPr>
              <w:pStyle w:val="TableParagraph"/>
              <w:rPr>
                <w:b/>
                <w:sz w:val="18"/>
              </w:rPr>
            </w:pPr>
          </w:p>
          <w:p>
            <w:pPr>
              <w:pStyle w:val="TableParagraph"/>
              <w:rPr>
                <w:b/>
                <w:sz w:val="18"/>
              </w:rPr>
            </w:pPr>
          </w:p>
          <w:p>
            <w:pPr>
              <w:pStyle w:val="TableParagraph"/>
              <w:spacing w:before="69"/>
              <w:rPr>
                <w:b/>
                <w:sz w:val="18"/>
              </w:rPr>
            </w:pPr>
          </w:p>
          <w:p>
            <w:pPr>
              <w:pStyle w:val="TableParagraph"/>
              <w:ind w:right="54"/>
              <w:jc w:val="right"/>
              <w:rPr>
                <w:sz w:val="18"/>
              </w:rPr>
            </w:pPr>
            <w:r>
              <w:rPr>
                <w:spacing w:val="-5"/>
                <w:sz w:val="18"/>
              </w:rPr>
              <w:t>25%</w:t>
            </w:r>
          </w:p>
        </w:tc>
        <w:tc>
          <w:tcPr>
            <w:tcW w:w="1543" w:type="dxa"/>
          </w:tcPr>
          <w:p>
            <w:pPr>
              <w:pStyle w:val="TableParagraph"/>
              <w:rPr>
                <w:b/>
                <w:sz w:val="18"/>
              </w:rPr>
            </w:pPr>
          </w:p>
          <w:p>
            <w:pPr>
              <w:pStyle w:val="TableParagraph"/>
              <w:rPr>
                <w:b/>
                <w:sz w:val="18"/>
              </w:rPr>
            </w:pPr>
          </w:p>
          <w:p>
            <w:pPr>
              <w:pStyle w:val="TableParagraph"/>
              <w:spacing w:before="69"/>
              <w:rPr>
                <w:b/>
                <w:sz w:val="18"/>
              </w:rPr>
            </w:pPr>
          </w:p>
          <w:p>
            <w:pPr>
              <w:pStyle w:val="TableParagraph"/>
              <w:ind w:right="55"/>
              <w:jc w:val="right"/>
              <w:rPr>
                <w:sz w:val="18"/>
              </w:rPr>
            </w:pPr>
            <w:r>
              <w:rPr>
                <w:sz w:val="18"/>
              </w:rPr>
              <w:t>₡491</w:t>
            </w:r>
            <w:r>
              <w:rPr>
                <w:spacing w:val="-2"/>
                <w:sz w:val="18"/>
              </w:rPr>
              <w:t> </w:t>
            </w:r>
            <w:r>
              <w:rPr>
                <w:sz w:val="18"/>
              </w:rPr>
              <w:t>965</w:t>
            </w:r>
            <w:r>
              <w:rPr>
                <w:spacing w:val="-2"/>
                <w:sz w:val="18"/>
              </w:rPr>
              <w:t> </w:t>
            </w:r>
            <w:r>
              <w:rPr>
                <w:spacing w:val="-5"/>
                <w:sz w:val="18"/>
              </w:rPr>
              <w:t>808</w:t>
            </w:r>
          </w:p>
        </w:tc>
      </w:tr>
      <w:tr>
        <w:trPr>
          <w:trHeight w:val="1634" w:hRule="atLeast"/>
        </w:trPr>
        <w:tc>
          <w:tcPr>
            <w:tcW w:w="2247" w:type="dxa"/>
          </w:tcPr>
          <w:p>
            <w:pPr>
              <w:pStyle w:val="TableParagraph"/>
              <w:spacing w:before="92"/>
              <w:ind w:left="69" w:right="127"/>
              <w:rPr>
                <w:sz w:val="18"/>
              </w:rPr>
            </w:pPr>
            <w:r>
              <w:rPr>
                <w:b/>
                <w:sz w:val="18"/>
              </w:rPr>
              <w:t>Actividad PAC 2.8.2: </w:t>
            </w:r>
            <w:r>
              <w:rPr>
                <w:sz w:val="18"/>
              </w:rPr>
              <w:t>Mantener</w:t>
            </w:r>
            <w:r>
              <w:rPr>
                <w:spacing w:val="-13"/>
                <w:sz w:val="18"/>
              </w:rPr>
              <w:t> </w:t>
            </w:r>
            <w:r>
              <w:rPr>
                <w:sz w:val="18"/>
              </w:rPr>
              <w:t>la</w:t>
            </w:r>
            <w:r>
              <w:rPr>
                <w:spacing w:val="-12"/>
                <w:sz w:val="18"/>
              </w:rPr>
              <w:t> </w:t>
            </w:r>
            <w:r>
              <w:rPr>
                <w:sz w:val="18"/>
              </w:rPr>
              <w:t>cobertura</w:t>
            </w:r>
            <w:r>
              <w:rPr>
                <w:spacing w:val="-13"/>
                <w:sz w:val="18"/>
              </w:rPr>
              <w:t> </w:t>
            </w:r>
            <w:r>
              <w:rPr>
                <w:sz w:val="18"/>
              </w:rPr>
              <w:t>de puestos de servicios de Aseo y Limpieza según los requerimientos institucionales. (PAC </w:t>
            </w:r>
            <w:r>
              <w:rPr>
                <w:spacing w:val="-4"/>
                <w:sz w:val="18"/>
              </w:rPr>
              <w:t>PPP)</w:t>
            </w:r>
          </w:p>
        </w:tc>
        <w:tc>
          <w:tcPr>
            <w:tcW w:w="1440" w:type="dxa"/>
          </w:tcPr>
          <w:p>
            <w:pPr>
              <w:pStyle w:val="TableParagraph"/>
              <w:spacing w:before="195"/>
              <w:ind w:left="69" w:right="126"/>
              <w:rPr>
                <w:sz w:val="18"/>
              </w:rPr>
            </w:pPr>
            <w:r>
              <w:rPr>
                <w:sz w:val="18"/>
              </w:rPr>
              <w:t>Porcentaje de puestos de Limpieza y </w:t>
            </w:r>
            <w:r>
              <w:rPr>
                <w:spacing w:val="-4"/>
                <w:sz w:val="18"/>
              </w:rPr>
              <w:t>Aseo </w:t>
            </w:r>
            <w:r>
              <w:rPr>
                <w:sz w:val="18"/>
              </w:rPr>
              <w:t>ejecutados de forma</w:t>
            </w:r>
            <w:r>
              <w:rPr>
                <w:spacing w:val="-4"/>
                <w:sz w:val="18"/>
              </w:rPr>
              <w:t> </w:t>
            </w:r>
            <w:r>
              <w:rPr>
                <w:spacing w:val="-2"/>
                <w:sz w:val="18"/>
              </w:rPr>
              <w:t>continua</w:t>
            </w:r>
          </w:p>
        </w:tc>
        <w:tc>
          <w:tcPr>
            <w:tcW w:w="1121" w:type="dxa"/>
          </w:tcPr>
          <w:p>
            <w:pPr>
              <w:pStyle w:val="TableParagraph"/>
              <w:rPr>
                <w:b/>
                <w:sz w:val="18"/>
              </w:rPr>
            </w:pPr>
          </w:p>
          <w:p>
            <w:pPr>
              <w:pStyle w:val="TableParagraph"/>
              <w:rPr>
                <w:b/>
                <w:sz w:val="18"/>
              </w:rPr>
            </w:pPr>
          </w:p>
          <w:p>
            <w:pPr>
              <w:pStyle w:val="TableParagraph"/>
              <w:spacing w:before="91"/>
              <w:rPr>
                <w:b/>
                <w:sz w:val="18"/>
              </w:rPr>
            </w:pPr>
          </w:p>
          <w:p>
            <w:pPr>
              <w:pStyle w:val="TableParagraph"/>
              <w:ind w:right="57"/>
              <w:jc w:val="right"/>
              <w:rPr>
                <w:sz w:val="18"/>
              </w:rPr>
            </w:pPr>
            <w:r>
              <w:rPr>
                <w:spacing w:val="-5"/>
                <w:sz w:val="18"/>
              </w:rPr>
              <w:t>25%</w:t>
            </w:r>
          </w:p>
        </w:tc>
        <w:tc>
          <w:tcPr>
            <w:tcW w:w="1416" w:type="dxa"/>
          </w:tcPr>
          <w:p>
            <w:pPr>
              <w:pStyle w:val="TableParagraph"/>
              <w:rPr>
                <w:b/>
                <w:sz w:val="18"/>
              </w:rPr>
            </w:pPr>
          </w:p>
          <w:p>
            <w:pPr>
              <w:pStyle w:val="TableParagraph"/>
              <w:rPr>
                <w:b/>
                <w:sz w:val="18"/>
              </w:rPr>
            </w:pPr>
          </w:p>
          <w:p>
            <w:pPr>
              <w:pStyle w:val="TableParagraph"/>
              <w:spacing w:before="91"/>
              <w:rPr>
                <w:b/>
                <w:sz w:val="18"/>
              </w:rPr>
            </w:pPr>
          </w:p>
          <w:p>
            <w:pPr>
              <w:pStyle w:val="TableParagraph"/>
              <w:ind w:right="59"/>
              <w:jc w:val="right"/>
              <w:rPr>
                <w:sz w:val="18"/>
              </w:rPr>
            </w:pPr>
            <w:r>
              <w:rPr>
                <w:sz w:val="18"/>
              </w:rPr>
              <w:t>₡128</w:t>
            </w:r>
            <w:r>
              <w:rPr>
                <w:spacing w:val="-2"/>
                <w:sz w:val="18"/>
              </w:rPr>
              <w:t> </w:t>
            </w:r>
            <w:r>
              <w:rPr>
                <w:sz w:val="18"/>
              </w:rPr>
              <w:t>526</w:t>
            </w:r>
            <w:r>
              <w:rPr>
                <w:spacing w:val="-2"/>
                <w:sz w:val="18"/>
              </w:rPr>
              <w:t> </w:t>
            </w:r>
            <w:r>
              <w:rPr>
                <w:spacing w:val="-5"/>
                <w:sz w:val="18"/>
              </w:rPr>
              <w:t>015</w:t>
            </w:r>
          </w:p>
        </w:tc>
        <w:tc>
          <w:tcPr>
            <w:tcW w:w="1315" w:type="dxa"/>
          </w:tcPr>
          <w:p>
            <w:pPr>
              <w:pStyle w:val="TableParagraph"/>
              <w:rPr>
                <w:b/>
                <w:sz w:val="18"/>
              </w:rPr>
            </w:pPr>
          </w:p>
          <w:p>
            <w:pPr>
              <w:pStyle w:val="TableParagraph"/>
              <w:rPr>
                <w:b/>
                <w:sz w:val="18"/>
              </w:rPr>
            </w:pPr>
          </w:p>
          <w:p>
            <w:pPr>
              <w:pStyle w:val="TableParagraph"/>
              <w:spacing w:before="91"/>
              <w:rPr>
                <w:b/>
                <w:sz w:val="18"/>
              </w:rPr>
            </w:pPr>
          </w:p>
          <w:p>
            <w:pPr>
              <w:pStyle w:val="TableParagraph"/>
              <w:ind w:right="55"/>
              <w:jc w:val="right"/>
              <w:rPr>
                <w:sz w:val="18"/>
              </w:rPr>
            </w:pPr>
            <w:r>
              <w:rPr>
                <w:spacing w:val="-5"/>
                <w:sz w:val="18"/>
              </w:rPr>
              <w:t>25%</w:t>
            </w:r>
          </w:p>
        </w:tc>
        <w:tc>
          <w:tcPr>
            <w:tcW w:w="1375" w:type="dxa"/>
          </w:tcPr>
          <w:p>
            <w:pPr>
              <w:pStyle w:val="TableParagraph"/>
              <w:rPr>
                <w:b/>
                <w:sz w:val="18"/>
              </w:rPr>
            </w:pPr>
          </w:p>
          <w:p>
            <w:pPr>
              <w:pStyle w:val="TableParagraph"/>
              <w:rPr>
                <w:b/>
                <w:sz w:val="18"/>
              </w:rPr>
            </w:pPr>
          </w:p>
          <w:p>
            <w:pPr>
              <w:pStyle w:val="TableParagraph"/>
              <w:spacing w:before="91"/>
              <w:rPr>
                <w:b/>
                <w:sz w:val="18"/>
              </w:rPr>
            </w:pPr>
          </w:p>
          <w:p>
            <w:pPr>
              <w:pStyle w:val="TableParagraph"/>
              <w:ind w:right="55"/>
              <w:jc w:val="right"/>
              <w:rPr>
                <w:sz w:val="18"/>
              </w:rPr>
            </w:pPr>
            <w:r>
              <w:rPr>
                <w:sz w:val="18"/>
              </w:rPr>
              <w:t>₡128</w:t>
            </w:r>
            <w:r>
              <w:rPr>
                <w:spacing w:val="-2"/>
                <w:sz w:val="18"/>
              </w:rPr>
              <w:t> </w:t>
            </w:r>
            <w:r>
              <w:rPr>
                <w:sz w:val="18"/>
              </w:rPr>
              <w:t>526</w:t>
            </w:r>
            <w:r>
              <w:rPr>
                <w:spacing w:val="-2"/>
                <w:sz w:val="18"/>
              </w:rPr>
              <w:t> </w:t>
            </w:r>
            <w:r>
              <w:rPr>
                <w:spacing w:val="-5"/>
                <w:sz w:val="18"/>
              </w:rPr>
              <w:t>015</w:t>
            </w:r>
          </w:p>
        </w:tc>
        <w:tc>
          <w:tcPr>
            <w:tcW w:w="1264" w:type="dxa"/>
          </w:tcPr>
          <w:p>
            <w:pPr>
              <w:pStyle w:val="TableParagraph"/>
              <w:rPr>
                <w:b/>
                <w:sz w:val="18"/>
              </w:rPr>
            </w:pPr>
          </w:p>
          <w:p>
            <w:pPr>
              <w:pStyle w:val="TableParagraph"/>
              <w:rPr>
                <w:b/>
                <w:sz w:val="18"/>
              </w:rPr>
            </w:pPr>
          </w:p>
          <w:p>
            <w:pPr>
              <w:pStyle w:val="TableParagraph"/>
              <w:spacing w:before="91"/>
              <w:rPr>
                <w:b/>
                <w:sz w:val="18"/>
              </w:rPr>
            </w:pPr>
          </w:p>
          <w:p>
            <w:pPr>
              <w:pStyle w:val="TableParagraph"/>
              <w:ind w:right="53"/>
              <w:jc w:val="right"/>
              <w:rPr>
                <w:sz w:val="18"/>
              </w:rPr>
            </w:pPr>
            <w:r>
              <w:rPr>
                <w:spacing w:val="-5"/>
                <w:sz w:val="18"/>
              </w:rPr>
              <w:t>25%</w:t>
            </w:r>
          </w:p>
        </w:tc>
        <w:tc>
          <w:tcPr>
            <w:tcW w:w="1303" w:type="dxa"/>
          </w:tcPr>
          <w:p>
            <w:pPr>
              <w:pStyle w:val="TableParagraph"/>
              <w:rPr>
                <w:b/>
                <w:sz w:val="18"/>
              </w:rPr>
            </w:pPr>
          </w:p>
          <w:p>
            <w:pPr>
              <w:pStyle w:val="TableParagraph"/>
              <w:rPr>
                <w:b/>
                <w:sz w:val="18"/>
              </w:rPr>
            </w:pPr>
          </w:p>
          <w:p>
            <w:pPr>
              <w:pStyle w:val="TableParagraph"/>
              <w:spacing w:before="91"/>
              <w:rPr>
                <w:b/>
                <w:sz w:val="18"/>
              </w:rPr>
            </w:pPr>
          </w:p>
          <w:p>
            <w:pPr>
              <w:pStyle w:val="TableParagraph"/>
              <w:ind w:right="57"/>
              <w:jc w:val="right"/>
              <w:rPr>
                <w:sz w:val="18"/>
              </w:rPr>
            </w:pPr>
            <w:r>
              <w:rPr>
                <w:sz w:val="18"/>
              </w:rPr>
              <w:t>₡128</w:t>
            </w:r>
            <w:r>
              <w:rPr>
                <w:spacing w:val="-2"/>
                <w:sz w:val="18"/>
              </w:rPr>
              <w:t> </w:t>
            </w:r>
            <w:r>
              <w:rPr>
                <w:sz w:val="18"/>
              </w:rPr>
              <w:t>526</w:t>
            </w:r>
            <w:r>
              <w:rPr>
                <w:spacing w:val="-2"/>
                <w:sz w:val="18"/>
              </w:rPr>
              <w:t> </w:t>
            </w:r>
            <w:r>
              <w:rPr>
                <w:spacing w:val="-5"/>
                <w:sz w:val="18"/>
              </w:rPr>
              <w:t>015</w:t>
            </w:r>
          </w:p>
        </w:tc>
        <w:tc>
          <w:tcPr>
            <w:tcW w:w="1149" w:type="dxa"/>
          </w:tcPr>
          <w:p>
            <w:pPr>
              <w:pStyle w:val="TableParagraph"/>
              <w:rPr>
                <w:b/>
                <w:sz w:val="18"/>
              </w:rPr>
            </w:pPr>
          </w:p>
          <w:p>
            <w:pPr>
              <w:pStyle w:val="TableParagraph"/>
              <w:rPr>
                <w:b/>
                <w:sz w:val="18"/>
              </w:rPr>
            </w:pPr>
          </w:p>
          <w:p>
            <w:pPr>
              <w:pStyle w:val="TableParagraph"/>
              <w:spacing w:before="91"/>
              <w:rPr>
                <w:b/>
                <w:sz w:val="18"/>
              </w:rPr>
            </w:pPr>
          </w:p>
          <w:p>
            <w:pPr>
              <w:pStyle w:val="TableParagraph"/>
              <w:ind w:right="54"/>
              <w:jc w:val="right"/>
              <w:rPr>
                <w:sz w:val="18"/>
              </w:rPr>
            </w:pPr>
            <w:r>
              <w:rPr>
                <w:spacing w:val="-5"/>
                <w:sz w:val="18"/>
              </w:rPr>
              <w:t>25%</w:t>
            </w:r>
          </w:p>
        </w:tc>
        <w:tc>
          <w:tcPr>
            <w:tcW w:w="1543" w:type="dxa"/>
          </w:tcPr>
          <w:p>
            <w:pPr>
              <w:pStyle w:val="TableParagraph"/>
              <w:rPr>
                <w:b/>
                <w:sz w:val="18"/>
              </w:rPr>
            </w:pPr>
          </w:p>
          <w:p>
            <w:pPr>
              <w:pStyle w:val="TableParagraph"/>
              <w:rPr>
                <w:b/>
                <w:sz w:val="18"/>
              </w:rPr>
            </w:pPr>
          </w:p>
          <w:p>
            <w:pPr>
              <w:pStyle w:val="TableParagraph"/>
              <w:spacing w:before="91"/>
              <w:rPr>
                <w:b/>
                <w:sz w:val="18"/>
              </w:rPr>
            </w:pPr>
          </w:p>
          <w:p>
            <w:pPr>
              <w:pStyle w:val="TableParagraph"/>
              <w:ind w:right="55"/>
              <w:jc w:val="right"/>
              <w:rPr>
                <w:sz w:val="18"/>
              </w:rPr>
            </w:pPr>
            <w:r>
              <w:rPr>
                <w:sz w:val="18"/>
              </w:rPr>
              <w:t>₡128</w:t>
            </w:r>
            <w:r>
              <w:rPr>
                <w:spacing w:val="-2"/>
                <w:sz w:val="18"/>
              </w:rPr>
              <w:t> </w:t>
            </w:r>
            <w:r>
              <w:rPr>
                <w:sz w:val="18"/>
              </w:rPr>
              <w:t>526</w:t>
            </w:r>
            <w:r>
              <w:rPr>
                <w:spacing w:val="-2"/>
                <w:sz w:val="18"/>
              </w:rPr>
              <w:t> </w:t>
            </w:r>
            <w:r>
              <w:rPr>
                <w:spacing w:val="-5"/>
                <w:sz w:val="18"/>
              </w:rPr>
              <w:t>015</w:t>
            </w:r>
          </w:p>
        </w:tc>
      </w:tr>
      <w:tr>
        <w:trPr>
          <w:trHeight w:val="2483" w:hRule="atLeast"/>
        </w:trPr>
        <w:tc>
          <w:tcPr>
            <w:tcW w:w="2247" w:type="dxa"/>
          </w:tcPr>
          <w:p>
            <w:pPr>
              <w:pStyle w:val="TableParagraph"/>
              <w:ind w:left="69" w:right="79"/>
              <w:rPr>
                <w:sz w:val="18"/>
              </w:rPr>
            </w:pPr>
            <w:r>
              <w:rPr>
                <w:b/>
                <w:sz w:val="18"/>
              </w:rPr>
              <w:t>Actividad PAC 2.8.3: </w:t>
            </w:r>
            <w:r>
              <w:rPr>
                <w:sz w:val="18"/>
              </w:rPr>
              <w:t>Mantener la cobertura de servicios de mantenimiento de los equipos</w:t>
            </w:r>
            <w:r>
              <w:rPr>
                <w:spacing w:val="-13"/>
                <w:sz w:val="18"/>
              </w:rPr>
              <w:t> </w:t>
            </w:r>
            <w:r>
              <w:rPr>
                <w:sz w:val="18"/>
              </w:rPr>
              <w:t>electromecánicos necesarios para la operatividad de los edificios propios de Nivel Central. (1.08.01)</w:t>
            </w:r>
          </w:p>
          <w:p>
            <w:pPr>
              <w:pStyle w:val="TableParagraph"/>
              <w:ind w:left="69"/>
              <w:rPr>
                <w:sz w:val="18"/>
              </w:rPr>
            </w:pPr>
            <w:r>
              <w:rPr>
                <w:sz w:val="18"/>
              </w:rPr>
              <w:t>(1.08.04)</w:t>
            </w:r>
            <w:r>
              <w:rPr>
                <w:spacing w:val="-5"/>
                <w:sz w:val="18"/>
              </w:rPr>
              <w:t> </w:t>
            </w:r>
            <w:r>
              <w:rPr>
                <w:spacing w:val="-2"/>
                <w:sz w:val="18"/>
              </w:rPr>
              <w:t>(1.08.06)</w:t>
            </w:r>
          </w:p>
          <w:p>
            <w:pPr>
              <w:pStyle w:val="TableParagraph"/>
              <w:spacing w:line="207" w:lineRule="exact"/>
              <w:ind w:left="69"/>
              <w:rPr>
                <w:sz w:val="18"/>
              </w:rPr>
            </w:pPr>
            <w:r>
              <w:rPr>
                <w:sz w:val="18"/>
              </w:rPr>
              <w:t>(1.08.07)</w:t>
            </w:r>
            <w:r>
              <w:rPr>
                <w:spacing w:val="-5"/>
                <w:sz w:val="18"/>
              </w:rPr>
              <w:t> </w:t>
            </w:r>
            <w:r>
              <w:rPr>
                <w:spacing w:val="-2"/>
                <w:sz w:val="18"/>
              </w:rPr>
              <w:t>(1.08.99)</w:t>
            </w:r>
          </w:p>
          <w:p>
            <w:pPr>
              <w:pStyle w:val="TableParagraph"/>
              <w:spacing w:line="187" w:lineRule="exact"/>
              <w:ind w:left="69"/>
              <w:rPr>
                <w:sz w:val="18"/>
              </w:rPr>
            </w:pPr>
            <w:r>
              <w:rPr>
                <w:spacing w:val="-2"/>
                <w:sz w:val="18"/>
              </w:rPr>
              <w:t>(1.08.08)</w:t>
            </w:r>
          </w:p>
        </w:tc>
        <w:tc>
          <w:tcPr>
            <w:tcW w:w="144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9" w:right="126"/>
              <w:rPr>
                <w:sz w:val="18"/>
              </w:rPr>
            </w:pPr>
            <w:r>
              <w:rPr>
                <w:sz w:val="18"/>
              </w:rPr>
              <w:t>Porcentaje de equipos que cuentan con servicios de </w:t>
            </w:r>
            <w:r>
              <w:rPr>
                <w:spacing w:val="-2"/>
                <w:sz w:val="18"/>
              </w:rPr>
              <w:t>mantenimiento.</w:t>
            </w:r>
          </w:p>
        </w:tc>
        <w:tc>
          <w:tcPr>
            <w:tcW w:w="11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7"/>
              <w:jc w:val="right"/>
              <w:rPr>
                <w:sz w:val="18"/>
              </w:rPr>
            </w:pPr>
            <w:r>
              <w:rPr>
                <w:spacing w:val="-5"/>
                <w:sz w:val="18"/>
              </w:rPr>
              <w:t>25%</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9"/>
              <w:jc w:val="right"/>
              <w:rPr>
                <w:sz w:val="18"/>
              </w:rPr>
            </w:pPr>
            <w:r>
              <w:rPr>
                <w:sz w:val="18"/>
              </w:rPr>
              <w:t>₡9</w:t>
            </w:r>
            <w:r>
              <w:rPr>
                <w:spacing w:val="-1"/>
                <w:sz w:val="18"/>
              </w:rPr>
              <w:t> </w:t>
            </w:r>
            <w:r>
              <w:rPr>
                <w:sz w:val="18"/>
              </w:rPr>
              <w:t>547</w:t>
            </w:r>
            <w:r>
              <w:rPr>
                <w:spacing w:val="-2"/>
                <w:sz w:val="18"/>
              </w:rPr>
              <w:t> </w:t>
            </w:r>
            <w:r>
              <w:rPr>
                <w:spacing w:val="-5"/>
                <w:sz w:val="18"/>
              </w:rPr>
              <w:t>500</w:t>
            </w:r>
          </w:p>
        </w:tc>
        <w:tc>
          <w:tcPr>
            <w:tcW w:w="131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5"/>
              <w:jc w:val="right"/>
              <w:rPr>
                <w:sz w:val="18"/>
              </w:rPr>
            </w:pPr>
            <w:r>
              <w:rPr>
                <w:spacing w:val="-5"/>
                <w:sz w:val="18"/>
              </w:rPr>
              <w:t>25%</w:t>
            </w:r>
          </w:p>
        </w:tc>
        <w:tc>
          <w:tcPr>
            <w:tcW w:w="13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6"/>
              <w:jc w:val="right"/>
              <w:rPr>
                <w:sz w:val="18"/>
              </w:rPr>
            </w:pPr>
            <w:r>
              <w:rPr>
                <w:sz w:val="18"/>
              </w:rPr>
              <w:t>₡9</w:t>
            </w:r>
            <w:r>
              <w:rPr>
                <w:spacing w:val="-1"/>
                <w:sz w:val="18"/>
              </w:rPr>
              <w:t> </w:t>
            </w:r>
            <w:r>
              <w:rPr>
                <w:sz w:val="18"/>
              </w:rPr>
              <w:t>547</w:t>
            </w:r>
            <w:r>
              <w:rPr>
                <w:spacing w:val="-2"/>
                <w:sz w:val="18"/>
              </w:rPr>
              <w:t> </w:t>
            </w:r>
            <w:r>
              <w:rPr>
                <w:spacing w:val="-5"/>
                <w:sz w:val="18"/>
              </w:rPr>
              <w:t>500</w:t>
            </w:r>
          </w:p>
        </w:tc>
        <w:tc>
          <w:tcPr>
            <w:tcW w:w="126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3"/>
              <w:jc w:val="right"/>
              <w:rPr>
                <w:sz w:val="18"/>
              </w:rPr>
            </w:pPr>
            <w:r>
              <w:rPr>
                <w:spacing w:val="-5"/>
                <w:sz w:val="18"/>
              </w:rPr>
              <w:t>25%</w:t>
            </w:r>
          </w:p>
        </w:tc>
        <w:tc>
          <w:tcPr>
            <w:tcW w:w="13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7"/>
              <w:jc w:val="right"/>
              <w:rPr>
                <w:sz w:val="18"/>
              </w:rPr>
            </w:pPr>
            <w:r>
              <w:rPr>
                <w:sz w:val="18"/>
              </w:rPr>
              <w:t>₡9</w:t>
            </w:r>
            <w:r>
              <w:rPr>
                <w:spacing w:val="-1"/>
                <w:sz w:val="18"/>
              </w:rPr>
              <w:t> </w:t>
            </w:r>
            <w:r>
              <w:rPr>
                <w:sz w:val="18"/>
              </w:rPr>
              <w:t>547</w:t>
            </w:r>
            <w:r>
              <w:rPr>
                <w:spacing w:val="-2"/>
                <w:sz w:val="18"/>
              </w:rPr>
              <w:t> </w:t>
            </w:r>
            <w:r>
              <w:rPr>
                <w:spacing w:val="-5"/>
                <w:sz w:val="18"/>
              </w:rPr>
              <w:t>500</w:t>
            </w:r>
          </w:p>
        </w:tc>
        <w:tc>
          <w:tcPr>
            <w:tcW w:w="114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4"/>
              <w:jc w:val="right"/>
              <w:rPr>
                <w:sz w:val="18"/>
              </w:rPr>
            </w:pPr>
            <w:r>
              <w:rPr>
                <w:spacing w:val="-5"/>
                <w:sz w:val="18"/>
              </w:rPr>
              <w:t>25%</w:t>
            </w:r>
          </w:p>
        </w:tc>
        <w:tc>
          <w:tcPr>
            <w:tcW w:w="154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6"/>
              <w:jc w:val="right"/>
              <w:rPr>
                <w:sz w:val="18"/>
              </w:rPr>
            </w:pPr>
            <w:r>
              <w:rPr>
                <w:sz w:val="18"/>
              </w:rPr>
              <w:t>₡9</w:t>
            </w:r>
            <w:r>
              <w:rPr>
                <w:spacing w:val="-1"/>
                <w:sz w:val="18"/>
              </w:rPr>
              <w:t> </w:t>
            </w:r>
            <w:r>
              <w:rPr>
                <w:sz w:val="18"/>
              </w:rPr>
              <w:t>547</w:t>
            </w:r>
            <w:r>
              <w:rPr>
                <w:spacing w:val="-2"/>
                <w:sz w:val="18"/>
              </w:rPr>
              <w:t> </w:t>
            </w:r>
            <w:r>
              <w:rPr>
                <w:spacing w:val="-5"/>
                <w:sz w:val="18"/>
              </w:rPr>
              <w:t>500</w:t>
            </w:r>
          </w:p>
        </w:tc>
      </w:tr>
      <w:tr>
        <w:trPr>
          <w:trHeight w:val="2117" w:hRule="atLeast"/>
        </w:trPr>
        <w:tc>
          <w:tcPr>
            <w:tcW w:w="2247" w:type="dxa"/>
          </w:tcPr>
          <w:p>
            <w:pPr>
              <w:pStyle w:val="TableParagraph"/>
              <w:spacing w:before="126"/>
              <w:ind w:left="69" w:right="84"/>
              <w:rPr>
                <w:sz w:val="18"/>
              </w:rPr>
            </w:pPr>
            <w:r>
              <w:rPr>
                <w:b/>
                <w:sz w:val="18"/>
              </w:rPr>
              <w:t>Actividad PAC 2.8.4: </w:t>
            </w:r>
            <w:r>
              <w:rPr>
                <w:sz w:val="18"/>
              </w:rPr>
              <w:t>Mantener la cobertura del servicio</w:t>
            </w:r>
            <w:r>
              <w:rPr>
                <w:spacing w:val="-15"/>
                <w:sz w:val="18"/>
              </w:rPr>
              <w:t> </w:t>
            </w:r>
            <w:r>
              <w:rPr>
                <w:sz w:val="18"/>
              </w:rPr>
              <w:t>de</w:t>
            </w:r>
            <w:r>
              <w:rPr>
                <w:spacing w:val="-12"/>
                <w:sz w:val="18"/>
              </w:rPr>
              <w:t> </w:t>
            </w:r>
            <w:r>
              <w:rPr>
                <w:sz w:val="18"/>
              </w:rPr>
              <w:t>mantenimiento de los edificios propios</w:t>
            </w:r>
            <w:r>
              <w:rPr>
                <w:spacing w:val="40"/>
                <w:sz w:val="18"/>
              </w:rPr>
              <w:t> </w:t>
            </w:r>
            <w:r>
              <w:rPr>
                <w:sz w:val="18"/>
              </w:rPr>
              <w:t>del IMAS, que son necesarios para la adecuada</w:t>
            </w:r>
            <w:r>
              <w:rPr>
                <w:spacing w:val="-11"/>
                <w:sz w:val="18"/>
              </w:rPr>
              <w:t> </w:t>
            </w:r>
            <w:r>
              <w:rPr>
                <w:sz w:val="18"/>
              </w:rPr>
              <w:t>operatividad</w:t>
            </w:r>
            <w:r>
              <w:rPr>
                <w:spacing w:val="-9"/>
                <w:sz w:val="18"/>
              </w:rPr>
              <w:t> </w:t>
            </w:r>
            <w:r>
              <w:rPr>
                <w:sz w:val="18"/>
              </w:rPr>
              <w:t>de la Institución de Nivel Central. (1.08.01)</w:t>
            </w:r>
          </w:p>
        </w:tc>
        <w:tc>
          <w:tcPr>
            <w:tcW w:w="1440" w:type="dxa"/>
          </w:tcPr>
          <w:p>
            <w:pPr>
              <w:pStyle w:val="TableParagraph"/>
              <w:spacing w:before="125"/>
              <w:rPr>
                <w:b/>
                <w:sz w:val="18"/>
              </w:rPr>
            </w:pPr>
          </w:p>
          <w:p>
            <w:pPr>
              <w:pStyle w:val="TableParagraph"/>
              <w:ind w:left="69" w:right="123"/>
              <w:rPr>
                <w:sz w:val="18"/>
              </w:rPr>
            </w:pPr>
            <w:r>
              <w:rPr>
                <w:sz w:val="18"/>
              </w:rPr>
              <w:t>Porcentaje de </w:t>
            </w:r>
            <w:r>
              <w:rPr>
                <w:spacing w:val="-2"/>
                <w:sz w:val="18"/>
              </w:rPr>
              <w:t>contrataciones </w:t>
            </w:r>
            <w:r>
              <w:rPr>
                <w:sz w:val="18"/>
              </w:rPr>
              <w:t>realizadas</w:t>
            </w:r>
            <w:r>
              <w:rPr>
                <w:spacing w:val="-13"/>
                <w:sz w:val="18"/>
              </w:rPr>
              <w:t> </w:t>
            </w:r>
            <w:r>
              <w:rPr>
                <w:sz w:val="18"/>
              </w:rPr>
              <w:t>para velar por el </w:t>
            </w:r>
            <w:r>
              <w:rPr>
                <w:spacing w:val="-2"/>
                <w:sz w:val="18"/>
              </w:rPr>
              <w:t>adecuado mantenimiento </w:t>
            </w:r>
            <w:r>
              <w:rPr>
                <w:sz w:val="18"/>
              </w:rPr>
              <w:t>de</w:t>
            </w:r>
            <w:r>
              <w:rPr>
                <w:spacing w:val="-15"/>
                <w:sz w:val="18"/>
              </w:rPr>
              <w:t> </w:t>
            </w:r>
            <w:r>
              <w:rPr>
                <w:sz w:val="18"/>
              </w:rPr>
              <w:t>los</w:t>
            </w:r>
            <w:r>
              <w:rPr>
                <w:spacing w:val="-12"/>
                <w:sz w:val="18"/>
              </w:rPr>
              <w:t> </w:t>
            </w:r>
            <w:r>
              <w:rPr>
                <w:sz w:val="18"/>
              </w:rPr>
              <w:t>edificios.</w:t>
            </w:r>
          </w:p>
        </w:tc>
        <w:tc>
          <w:tcPr>
            <w:tcW w:w="1121" w:type="dxa"/>
          </w:tcPr>
          <w:p>
            <w:pPr>
              <w:pStyle w:val="TableParagraph"/>
              <w:rPr>
                <w:rFonts w:ascii="Times New Roman"/>
                <w:sz w:val="18"/>
              </w:rPr>
            </w:pPr>
          </w:p>
        </w:tc>
        <w:tc>
          <w:tcPr>
            <w:tcW w:w="1416" w:type="dxa"/>
          </w:tcPr>
          <w:p>
            <w:pPr>
              <w:pStyle w:val="TableParagraph"/>
              <w:rPr>
                <w:rFonts w:ascii="Times New Roman"/>
                <w:sz w:val="18"/>
              </w:rPr>
            </w:pPr>
          </w:p>
        </w:tc>
        <w:tc>
          <w:tcPr>
            <w:tcW w:w="1315" w:type="dxa"/>
          </w:tcPr>
          <w:p>
            <w:pPr>
              <w:pStyle w:val="TableParagraph"/>
              <w:rPr>
                <w:rFonts w:ascii="Times New Roman"/>
                <w:sz w:val="18"/>
              </w:rPr>
            </w:pPr>
          </w:p>
        </w:tc>
        <w:tc>
          <w:tcPr>
            <w:tcW w:w="1375" w:type="dxa"/>
          </w:tcPr>
          <w:p>
            <w:pPr>
              <w:pStyle w:val="TableParagraph"/>
              <w:rPr>
                <w:rFonts w:ascii="Times New Roman"/>
                <w:sz w:val="18"/>
              </w:rPr>
            </w:pPr>
          </w:p>
        </w:tc>
        <w:tc>
          <w:tcPr>
            <w:tcW w:w="1264" w:type="dxa"/>
          </w:tcPr>
          <w:p>
            <w:pPr>
              <w:pStyle w:val="TableParagraph"/>
              <w:rPr>
                <w:b/>
                <w:sz w:val="18"/>
              </w:rPr>
            </w:pPr>
          </w:p>
          <w:p>
            <w:pPr>
              <w:pStyle w:val="TableParagraph"/>
              <w:rPr>
                <w:b/>
                <w:sz w:val="18"/>
              </w:rPr>
            </w:pPr>
          </w:p>
          <w:p>
            <w:pPr>
              <w:pStyle w:val="TableParagraph"/>
              <w:rPr>
                <w:b/>
                <w:sz w:val="18"/>
              </w:rPr>
            </w:pPr>
          </w:p>
          <w:p>
            <w:pPr>
              <w:pStyle w:val="TableParagraph"/>
              <w:spacing w:before="126"/>
              <w:rPr>
                <w:b/>
                <w:sz w:val="18"/>
              </w:rPr>
            </w:pPr>
          </w:p>
          <w:p>
            <w:pPr>
              <w:pStyle w:val="TableParagraph"/>
              <w:ind w:right="53"/>
              <w:jc w:val="right"/>
              <w:rPr>
                <w:sz w:val="18"/>
              </w:rPr>
            </w:pPr>
            <w:r>
              <w:rPr>
                <w:spacing w:val="-5"/>
                <w:sz w:val="18"/>
              </w:rPr>
              <w:t>15%</w:t>
            </w:r>
          </w:p>
        </w:tc>
        <w:tc>
          <w:tcPr>
            <w:tcW w:w="1303" w:type="dxa"/>
          </w:tcPr>
          <w:p>
            <w:pPr>
              <w:pStyle w:val="TableParagraph"/>
              <w:rPr>
                <w:b/>
                <w:sz w:val="18"/>
              </w:rPr>
            </w:pPr>
          </w:p>
          <w:p>
            <w:pPr>
              <w:pStyle w:val="TableParagraph"/>
              <w:rPr>
                <w:b/>
                <w:sz w:val="18"/>
              </w:rPr>
            </w:pPr>
          </w:p>
          <w:p>
            <w:pPr>
              <w:pStyle w:val="TableParagraph"/>
              <w:rPr>
                <w:b/>
                <w:sz w:val="18"/>
              </w:rPr>
            </w:pPr>
          </w:p>
          <w:p>
            <w:pPr>
              <w:pStyle w:val="TableParagraph"/>
              <w:spacing w:before="126"/>
              <w:rPr>
                <w:b/>
                <w:sz w:val="18"/>
              </w:rPr>
            </w:pPr>
          </w:p>
          <w:p>
            <w:pPr>
              <w:pStyle w:val="TableParagraph"/>
              <w:ind w:right="57"/>
              <w:jc w:val="right"/>
              <w:rPr>
                <w:sz w:val="18"/>
              </w:rPr>
            </w:pPr>
            <w:r>
              <w:rPr>
                <w:sz w:val="18"/>
              </w:rPr>
              <w:t>₡18</w:t>
            </w:r>
            <w:r>
              <w:rPr>
                <w:spacing w:val="-2"/>
                <w:sz w:val="18"/>
              </w:rPr>
              <w:t> </w:t>
            </w:r>
            <w:r>
              <w:rPr>
                <w:sz w:val="18"/>
              </w:rPr>
              <w:t>000</w:t>
            </w:r>
            <w:r>
              <w:rPr>
                <w:spacing w:val="-2"/>
                <w:sz w:val="18"/>
              </w:rPr>
              <w:t> </w:t>
            </w:r>
            <w:r>
              <w:rPr>
                <w:spacing w:val="-5"/>
                <w:sz w:val="18"/>
              </w:rPr>
              <w:t>000</w:t>
            </w:r>
          </w:p>
        </w:tc>
        <w:tc>
          <w:tcPr>
            <w:tcW w:w="1149" w:type="dxa"/>
          </w:tcPr>
          <w:p>
            <w:pPr>
              <w:pStyle w:val="TableParagraph"/>
              <w:rPr>
                <w:b/>
                <w:sz w:val="18"/>
              </w:rPr>
            </w:pPr>
          </w:p>
          <w:p>
            <w:pPr>
              <w:pStyle w:val="TableParagraph"/>
              <w:rPr>
                <w:b/>
                <w:sz w:val="18"/>
              </w:rPr>
            </w:pPr>
          </w:p>
          <w:p>
            <w:pPr>
              <w:pStyle w:val="TableParagraph"/>
              <w:rPr>
                <w:b/>
                <w:sz w:val="18"/>
              </w:rPr>
            </w:pPr>
          </w:p>
          <w:p>
            <w:pPr>
              <w:pStyle w:val="TableParagraph"/>
              <w:spacing w:before="126"/>
              <w:rPr>
                <w:b/>
                <w:sz w:val="18"/>
              </w:rPr>
            </w:pPr>
          </w:p>
          <w:p>
            <w:pPr>
              <w:pStyle w:val="TableParagraph"/>
              <w:ind w:right="54"/>
              <w:jc w:val="right"/>
              <w:rPr>
                <w:sz w:val="18"/>
              </w:rPr>
            </w:pPr>
            <w:r>
              <w:rPr>
                <w:spacing w:val="-5"/>
                <w:sz w:val="18"/>
              </w:rPr>
              <w:t>85%</w:t>
            </w:r>
          </w:p>
        </w:tc>
        <w:tc>
          <w:tcPr>
            <w:tcW w:w="1543" w:type="dxa"/>
          </w:tcPr>
          <w:p>
            <w:pPr>
              <w:pStyle w:val="TableParagraph"/>
              <w:rPr>
                <w:b/>
                <w:sz w:val="18"/>
              </w:rPr>
            </w:pPr>
          </w:p>
          <w:p>
            <w:pPr>
              <w:pStyle w:val="TableParagraph"/>
              <w:rPr>
                <w:b/>
                <w:sz w:val="18"/>
              </w:rPr>
            </w:pPr>
          </w:p>
          <w:p>
            <w:pPr>
              <w:pStyle w:val="TableParagraph"/>
              <w:rPr>
                <w:b/>
                <w:sz w:val="18"/>
              </w:rPr>
            </w:pPr>
          </w:p>
          <w:p>
            <w:pPr>
              <w:pStyle w:val="TableParagraph"/>
              <w:spacing w:before="126"/>
              <w:rPr>
                <w:b/>
                <w:sz w:val="18"/>
              </w:rPr>
            </w:pPr>
          </w:p>
          <w:p>
            <w:pPr>
              <w:pStyle w:val="TableParagraph"/>
              <w:ind w:right="55"/>
              <w:jc w:val="right"/>
              <w:rPr>
                <w:sz w:val="18"/>
              </w:rPr>
            </w:pPr>
            <w:r>
              <w:rPr>
                <w:sz w:val="18"/>
              </w:rPr>
              <w:t>₡102</w:t>
            </w:r>
            <w:r>
              <w:rPr>
                <w:spacing w:val="-2"/>
                <w:sz w:val="18"/>
              </w:rPr>
              <w:t> </w:t>
            </w:r>
            <w:r>
              <w:rPr>
                <w:sz w:val="18"/>
              </w:rPr>
              <w:t>000</w:t>
            </w:r>
            <w:r>
              <w:rPr>
                <w:spacing w:val="-2"/>
                <w:sz w:val="18"/>
              </w:rPr>
              <w:t> </w:t>
            </w:r>
            <w:r>
              <w:rPr>
                <w:spacing w:val="-5"/>
                <w:sz w:val="18"/>
              </w:rPr>
              <w:t>000</w:t>
            </w:r>
          </w:p>
        </w:tc>
      </w:tr>
    </w:tbl>
    <w:p>
      <w:pPr>
        <w:pStyle w:val="TableParagraph"/>
        <w:spacing w:after="0"/>
        <w:jc w:val="right"/>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47"/>
        <w:gridCol w:w="1440"/>
        <w:gridCol w:w="1121"/>
        <w:gridCol w:w="1416"/>
        <w:gridCol w:w="1315"/>
        <w:gridCol w:w="1375"/>
        <w:gridCol w:w="1264"/>
        <w:gridCol w:w="1303"/>
        <w:gridCol w:w="1149"/>
        <w:gridCol w:w="1543"/>
      </w:tblGrid>
      <w:tr>
        <w:trPr>
          <w:trHeight w:val="1837" w:hRule="atLeast"/>
        </w:trPr>
        <w:tc>
          <w:tcPr>
            <w:tcW w:w="2247" w:type="dxa"/>
          </w:tcPr>
          <w:p>
            <w:pPr>
              <w:pStyle w:val="TableParagraph"/>
              <w:spacing w:before="193"/>
              <w:ind w:left="69" w:right="110"/>
              <w:rPr>
                <w:sz w:val="18"/>
              </w:rPr>
            </w:pPr>
            <w:r>
              <w:rPr>
                <w:b/>
                <w:sz w:val="18"/>
              </w:rPr>
              <w:t>Actividad PAC 2.8.5: </w:t>
            </w:r>
            <w:r>
              <w:rPr>
                <w:sz w:val="18"/>
              </w:rPr>
              <w:t>Seguimiento de los proyectos inscritos incluidos</w:t>
            </w:r>
            <w:r>
              <w:rPr>
                <w:spacing w:val="-1"/>
                <w:sz w:val="18"/>
              </w:rPr>
              <w:t> </w:t>
            </w:r>
            <w:r>
              <w:rPr>
                <w:sz w:val="18"/>
              </w:rPr>
              <w:t>dentro del BPIP que tengan competencia con el Proceso de Servicios</w:t>
            </w:r>
            <w:r>
              <w:rPr>
                <w:spacing w:val="-13"/>
                <w:sz w:val="18"/>
              </w:rPr>
              <w:t> </w:t>
            </w:r>
            <w:r>
              <w:rPr>
                <w:sz w:val="18"/>
              </w:rPr>
              <w:t>Administrativos.</w:t>
            </w:r>
          </w:p>
        </w:tc>
        <w:tc>
          <w:tcPr>
            <w:tcW w:w="1440" w:type="dxa"/>
          </w:tcPr>
          <w:p>
            <w:pPr>
              <w:pStyle w:val="TableParagraph"/>
              <w:rPr>
                <w:b/>
                <w:sz w:val="18"/>
              </w:rPr>
            </w:pPr>
          </w:p>
          <w:p>
            <w:pPr>
              <w:pStyle w:val="TableParagraph"/>
              <w:spacing w:before="91"/>
              <w:rPr>
                <w:b/>
                <w:sz w:val="18"/>
              </w:rPr>
            </w:pPr>
          </w:p>
          <w:p>
            <w:pPr>
              <w:pStyle w:val="TableParagraph"/>
              <w:ind w:left="69" w:right="60"/>
              <w:rPr>
                <w:sz w:val="18"/>
              </w:rPr>
            </w:pPr>
            <w:r>
              <w:rPr>
                <w:sz w:val="18"/>
              </w:rPr>
              <w:t>Cantidad de </w:t>
            </w:r>
            <w:r>
              <w:rPr>
                <w:spacing w:val="-2"/>
                <w:sz w:val="18"/>
              </w:rPr>
              <w:t>seguimientos </w:t>
            </w:r>
            <w:r>
              <w:rPr>
                <w:sz w:val="18"/>
              </w:rPr>
              <w:t>realizados</w:t>
            </w:r>
            <w:r>
              <w:rPr>
                <w:spacing w:val="-15"/>
                <w:sz w:val="18"/>
              </w:rPr>
              <w:t> </w:t>
            </w:r>
            <w:r>
              <w:rPr>
                <w:sz w:val="18"/>
              </w:rPr>
              <w:t>en</w:t>
            </w:r>
            <w:r>
              <w:rPr>
                <w:spacing w:val="-12"/>
                <w:sz w:val="18"/>
              </w:rPr>
              <w:t> </w:t>
            </w:r>
            <w:r>
              <w:rPr>
                <w:sz w:val="18"/>
              </w:rPr>
              <w:t>el </w:t>
            </w:r>
            <w:r>
              <w:rPr>
                <w:spacing w:val="-4"/>
                <w:sz w:val="18"/>
              </w:rPr>
              <w:t>BPIP</w:t>
            </w:r>
          </w:p>
        </w:tc>
        <w:tc>
          <w:tcPr>
            <w:tcW w:w="1121" w:type="dxa"/>
          </w:tcPr>
          <w:p>
            <w:pPr>
              <w:pStyle w:val="TableParagraph"/>
              <w:rPr>
                <w:rFonts w:ascii="Times New Roman"/>
                <w:sz w:val="18"/>
              </w:rPr>
            </w:pPr>
          </w:p>
        </w:tc>
        <w:tc>
          <w:tcPr>
            <w:tcW w:w="1416" w:type="dxa"/>
          </w:tcPr>
          <w:p>
            <w:pPr>
              <w:pStyle w:val="TableParagraph"/>
              <w:rPr>
                <w:rFonts w:ascii="Times New Roman"/>
                <w:sz w:val="18"/>
              </w:rPr>
            </w:pPr>
          </w:p>
        </w:tc>
        <w:tc>
          <w:tcPr>
            <w:tcW w:w="1315" w:type="dxa"/>
          </w:tcPr>
          <w:p>
            <w:pPr>
              <w:pStyle w:val="TableParagraph"/>
              <w:rPr>
                <w:b/>
                <w:sz w:val="18"/>
              </w:rPr>
            </w:pPr>
          </w:p>
          <w:p>
            <w:pPr>
              <w:pStyle w:val="TableParagraph"/>
              <w:rPr>
                <w:b/>
                <w:sz w:val="18"/>
              </w:rPr>
            </w:pPr>
          </w:p>
          <w:p>
            <w:pPr>
              <w:pStyle w:val="TableParagraph"/>
              <w:spacing w:before="194"/>
              <w:rPr>
                <w:b/>
                <w:sz w:val="18"/>
              </w:rPr>
            </w:pPr>
          </w:p>
          <w:p>
            <w:pPr>
              <w:pStyle w:val="TableParagraph"/>
              <w:ind w:right="58"/>
              <w:jc w:val="right"/>
              <w:rPr>
                <w:sz w:val="18"/>
              </w:rPr>
            </w:pPr>
            <w:r>
              <w:rPr>
                <w:spacing w:val="-10"/>
                <w:sz w:val="18"/>
              </w:rPr>
              <w:t>1</w:t>
            </w:r>
          </w:p>
        </w:tc>
        <w:tc>
          <w:tcPr>
            <w:tcW w:w="1375" w:type="dxa"/>
          </w:tcPr>
          <w:p>
            <w:pPr>
              <w:pStyle w:val="TableParagraph"/>
              <w:rPr>
                <w:rFonts w:ascii="Times New Roman"/>
                <w:sz w:val="18"/>
              </w:rPr>
            </w:pPr>
          </w:p>
        </w:tc>
        <w:tc>
          <w:tcPr>
            <w:tcW w:w="1264" w:type="dxa"/>
          </w:tcPr>
          <w:p>
            <w:pPr>
              <w:pStyle w:val="TableParagraph"/>
              <w:rPr>
                <w:rFonts w:ascii="Times New Roman"/>
                <w:sz w:val="18"/>
              </w:rPr>
            </w:pPr>
          </w:p>
        </w:tc>
        <w:tc>
          <w:tcPr>
            <w:tcW w:w="1303" w:type="dxa"/>
          </w:tcPr>
          <w:p>
            <w:pPr>
              <w:pStyle w:val="TableParagraph"/>
              <w:rPr>
                <w:rFonts w:ascii="Times New Roman"/>
                <w:sz w:val="18"/>
              </w:rPr>
            </w:pPr>
          </w:p>
        </w:tc>
        <w:tc>
          <w:tcPr>
            <w:tcW w:w="1149" w:type="dxa"/>
          </w:tcPr>
          <w:p>
            <w:pPr>
              <w:pStyle w:val="TableParagraph"/>
              <w:rPr>
                <w:b/>
                <w:sz w:val="18"/>
              </w:rPr>
            </w:pPr>
          </w:p>
          <w:p>
            <w:pPr>
              <w:pStyle w:val="TableParagraph"/>
              <w:rPr>
                <w:b/>
                <w:sz w:val="18"/>
              </w:rPr>
            </w:pPr>
          </w:p>
          <w:p>
            <w:pPr>
              <w:pStyle w:val="TableParagraph"/>
              <w:spacing w:before="194"/>
              <w:rPr>
                <w:b/>
                <w:sz w:val="18"/>
              </w:rPr>
            </w:pPr>
          </w:p>
          <w:p>
            <w:pPr>
              <w:pStyle w:val="TableParagraph"/>
              <w:ind w:right="57"/>
              <w:jc w:val="right"/>
              <w:rPr>
                <w:sz w:val="18"/>
              </w:rPr>
            </w:pPr>
            <w:r>
              <w:rPr>
                <w:spacing w:val="-10"/>
                <w:sz w:val="18"/>
              </w:rPr>
              <w:t>1</w:t>
            </w:r>
          </w:p>
        </w:tc>
        <w:tc>
          <w:tcPr>
            <w:tcW w:w="1543" w:type="dxa"/>
          </w:tcPr>
          <w:p>
            <w:pPr>
              <w:pStyle w:val="TableParagraph"/>
              <w:rPr>
                <w:rFonts w:ascii="Times New Roman"/>
                <w:sz w:val="18"/>
              </w:rPr>
            </w:pPr>
          </w:p>
        </w:tc>
      </w:tr>
      <w:tr>
        <w:trPr>
          <w:trHeight w:val="465" w:hRule="atLeast"/>
        </w:trPr>
        <w:tc>
          <w:tcPr>
            <w:tcW w:w="14173" w:type="dxa"/>
            <w:gridSpan w:val="10"/>
            <w:shd w:val="clear" w:color="auto" w:fill="D9E0F1"/>
          </w:tcPr>
          <w:p>
            <w:pPr>
              <w:pStyle w:val="TableParagraph"/>
              <w:spacing w:before="128"/>
              <w:ind w:left="69"/>
              <w:rPr>
                <w:b/>
                <w:sz w:val="18"/>
              </w:rPr>
            </w:pPr>
            <w:r>
              <w:rPr>
                <w:b/>
                <w:sz w:val="18"/>
              </w:rPr>
              <w:t>Producto</w:t>
            </w:r>
            <w:r>
              <w:rPr>
                <w:b/>
                <w:spacing w:val="-2"/>
                <w:sz w:val="18"/>
              </w:rPr>
              <w:t> </w:t>
            </w:r>
            <w:r>
              <w:rPr>
                <w:b/>
                <w:sz w:val="18"/>
              </w:rPr>
              <w:t>PAC</w:t>
            </w:r>
            <w:r>
              <w:rPr>
                <w:b/>
                <w:spacing w:val="-3"/>
                <w:sz w:val="18"/>
              </w:rPr>
              <w:t> </w:t>
            </w:r>
            <w:r>
              <w:rPr>
                <w:b/>
                <w:sz w:val="18"/>
              </w:rPr>
              <w:t>2.9:</w:t>
            </w:r>
            <w:r>
              <w:rPr>
                <w:b/>
                <w:spacing w:val="46"/>
                <w:sz w:val="18"/>
              </w:rPr>
              <w:t> </w:t>
            </w:r>
            <w:r>
              <w:rPr>
                <w:b/>
                <w:sz w:val="18"/>
              </w:rPr>
              <w:t>Administración</w:t>
            </w:r>
            <w:r>
              <w:rPr>
                <w:b/>
                <w:spacing w:val="-2"/>
                <w:sz w:val="18"/>
              </w:rPr>
              <w:t> </w:t>
            </w:r>
            <w:r>
              <w:rPr>
                <w:b/>
                <w:sz w:val="18"/>
              </w:rPr>
              <w:t>efectiva</w:t>
            </w:r>
            <w:r>
              <w:rPr>
                <w:b/>
                <w:spacing w:val="-2"/>
                <w:sz w:val="18"/>
              </w:rPr>
              <w:t> </w:t>
            </w:r>
            <w:r>
              <w:rPr>
                <w:b/>
                <w:sz w:val="18"/>
              </w:rPr>
              <w:t>del</w:t>
            </w:r>
            <w:r>
              <w:rPr>
                <w:b/>
                <w:spacing w:val="-4"/>
                <w:sz w:val="18"/>
              </w:rPr>
              <w:t> </w:t>
            </w:r>
            <w:r>
              <w:rPr>
                <w:b/>
                <w:sz w:val="18"/>
              </w:rPr>
              <w:t>producto</w:t>
            </w:r>
            <w:r>
              <w:rPr>
                <w:b/>
                <w:spacing w:val="-4"/>
                <w:sz w:val="18"/>
              </w:rPr>
              <w:t> </w:t>
            </w:r>
            <w:r>
              <w:rPr>
                <w:b/>
                <w:sz w:val="18"/>
              </w:rPr>
              <w:t>transportes,</w:t>
            </w:r>
            <w:r>
              <w:rPr>
                <w:b/>
                <w:spacing w:val="-2"/>
                <w:sz w:val="18"/>
              </w:rPr>
              <w:t> </w:t>
            </w:r>
            <w:r>
              <w:rPr>
                <w:b/>
                <w:sz w:val="18"/>
              </w:rPr>
              <w:t>el</w:t>
            </w:r>
            <w:r>
              <w:rPr>
                <w:b/>
                <w:spacing w:val="-4"/>
                <w:sz w:val="18"/>
              </w:rPr>
              <w:t> </w:t>
            </w:r>
            <w:r>
              <w:rPr>
                <w:b/>
                <w:sz w:val="18"/>
              </w:rPr>
              <w:t>cual</w:t>
            </w:r>
            <w:r>
              <w:rPr>
                <w:b/>
                <w:spacing w:val="-4"/>
                <w:sz w:val="18"/>
              </w:rPr>
              <w:t> </w:t>
            </w:r>
            <w:r>
              <w:rPr>
                <w:b/>
                <w:sz w:val="18"/>
              </w:rPr>
              <w:t>contribuye</w:t>
            </w:r>
            <w:r>
              <w:rPr>
                <w:b/>
                <w:spacing w:val="-2"/>
                <w:sz w:val="18"/>
              </w:rPr>
              <w:t> </w:t>
            </w:r>
            <w:r>
              <w:rPr>
                <w:b/>
                <w:sz w:val="18"/>
              </w:rPr>
              <w:t>con</w:t>
            </w:r>
            <w:r>
              <w:rPr>
                <w:b/>
                <w:spacing w:val="-4"/>
                <w:sz w:val="18"/>
              </w:rPr>
              <w:t> </w:t>
            </w:r>
            <w:r>
              <w:rPr>
                <w:b/>
                <w:sz w:val="18"/>
              </w:rPr>
              <w:t>la</w:t>
            </w:r>
            <w:r>
              <w:rPr>
                <w:b/>
                <w:spacing w:val="-2"/>
                <w:sz w:val="18"/>
              </w:rPr>
              <w:t> </w:t>
            </w:r>
            <w:r>
              <w:rPr>
                <w:b/>
                <w:sz w:val="18"/>
              </w:rPr>
              <w:t>prestación</w:t>
            </w:r>
            <w:r>
              <w:rPr>
                <w:b/>
                <w:spacing w:val="-2"/>
                <w:sz w:val="18"/>
              </w:rPr>
              <w:t> </w:t>
            </w:r>
            <w:r>
              <w:rPr>
                <w:b/>
                <w:sz w:val="18"/>
              </w:rPr>
              <w:t>de</w:t>
            </w:r>
            <w:r>
              <w:rPr>
                <w:b/>
                <w:spacing w:val="-4"/>
                <w:sz w:val="18"/>
              </w:rPr>
              <w:t> </w:t>
            </w:r>
            <w:r>
              <w:rPr>
                <w:b/>
                <w:sz w:val="18"/>
              </w:rPr>
              <w:t>los</w:t>
            </w:r>
            <w:r>
              <w:rPr>
                <w:b/>
                <w:spacing w:val="-4"/>
                <w:sz w:val="18"/>
              </w:rPr>
              <w:t> </w:t>
            </w:r>
            <w:r>
              <w:rPr>
                <w:b/>
                <w:sz w:val="18"/>
              </w:rPr>
              <w:t>servicios</w:t>
            </w:r>
            <w:r>
              <w:rPr>
                <w:b/>
                <w:spacing w:val="-4"/>
                <w:sz w:val="18"/>
              </w:rPr>
              <w:t> </w:t>
            </w:r>
            <w:r>
              <w:rPr>
                <w:b/>
                <w:sz w:val="18"/>
              </w:rPr>
              <w:t>institucionales</w:t>
            </w:r>
            <w:r>
              <w:rPr>
                <w:b/>
                <w:spacing w:val="-3"/>
                <w:sz w:val="18"/>
              </w:rPr>
              <w:t> </w:t>
            </w:r>
            <w:r>
              <w:rPr>
                <w:b/>
                <w:spacing w:val="-2"/>
                <w:sz w:val="18"/>
              </w:rPr>
              <w:t>(Proceso)</w:t>
            </w:r>
          </w:p>
        </w:tc>
      </w:tr>
      <w:tr>
        <w:trPr>
          <w:trHeight w:val="2057" w:hRule="atLeast"/>
        </w:trPr>
        <w:tc>
          <w:tcPr>
            <w:tcW w:w="2247" w:type="dxa"/>
          </w:tcPr>
          <w:p>
            <w:pPr>
              <w:pStyle w:val="TableParagraph"/>
              <w:spacing w:before="201"/>
              <w:ind w:left="69" w:right="75"/>
              <w:rPr>
                <w:sz w:val="18"/>
              </w:rPr>
            </w:pPr>
            <w:r>
              <w:rPr>
                <w:b/>
                <w:sz w:val="18"/>
              </w:rPr>
              <w:t>Actividad PAC 2.9.1: </w:t>
            </w:r>
            <w:r>
              <w:rPr>
                <w:sz w:val="18"/>
              </w:rPr>
              <w:t>Gestionar la adquisición de una plataforma hidráulica</w:t>
            </w:r>
            <w:r>
              <w:rPr>
                <w:spacing w:val="-3"/>
                <w:sz w:val="18"/>
              </w:rPr>
              <w:t> </w:t>
            </w:r>
            <w:r>
              <w:rPr>
                <w:sz w:val="18"/>
              </w:rPr>
              <w:t>para</w:t>
            </w:r>
            <w:r>
              <w:rPr>
                <w:spacing w:val="-3"/>
                <w:sz w:val="18"/>
              </w:rPr>
              <w:t> </w:t>
            </w:r>
            <w:r>
              <w:rPr>
                <w:sz w:val="18"/>
              </w:rPr>
              <w:t>uno</w:t>
            </w:r>
            <w:r>
              <w:rPr>
                <w:spacing w:val="-3"/>
                <w:sz w:val="18"/>
              </w:rPr>
              <w:t> </w:t>
            </w:r>
            <w:r>
              <w:rPr>
                <w:sz w:val="18"/>
              </w:rPr>
              <w:t>de</w:t>
            </w:r>
            <w:r>
              <w:rPr>
                <w:spacing w:val="-3"/>
                <w:sz w:val="18"/>
              </w:rPr>
              <w:t> </w:t>
            </w:r>
            <w:r>
              <w:rPr>
                <w:sz w:val="18"/>
              </w:rPr>
              <w:t>los camiones del IMAS para el Programa Actividades Centrales</w:t>
            </w:r>
            <w:r>
              <w:rPr>
                <w:spacing w:val="-15"/>
                <w:sz w:val="18"/>
              </w:rPr>
              <w:t> </w:t>
            </w:r>
            <w:r>
              <w:rPr>
                <w:sz w:val="18"/>
              </w:rPr>
              <w:t>(5.01.02</w:t>
            </w:r>
            <w:r>
              <w:rPr>
                <w:spacing w:val="-12"/>
                <w:sz w:val="18"/>
              </w:rPr>
              <w:t> </w:t>
            </w:r>
            <w:r>
              <w:rPr>
                <w:sz w:val="18"/>
              </w:rPr>
              <w:t>Equipo de Transporte).</w:t>
            </w:r>
          </w:p>
        </w:tc>
        <w:tc>
          <w:tcPr>
            <w:tcW w:w="1440" w:type="dxa"/>
          </w:tcPr>
          <w:p>
            <w:pPr>
              <w:pStyle w:val="TableParagraph"/>
              <w:rPr>
                <w:b/>
                <w:sz w:val="18"/>
              </w:rPr>
            </w:pPr>
          </w:p>
          <w:p>
            <w:pPr>
              <w:pStyle w:val="TableParagraph"/>
              <w:spacing w:before="200"/>
              <w:rPr>
                <w:b/>
                <w:sz w:val="18"/>
              </w:rPr>
            </w:pPr>
          </w:p>
          <w:p>
            <w:pPr>
              <w:pStyle w:val="TableParagraph"/>
              <w:ind w:left="69" w:right="383"/>
              <w:rPr>
                <w:sz w:val="18"/>
              </w:rPr>
            </w:pPr>
            <w:r>
              <w:rPr>
                <w:sz w:val="18"/>
              </w:rPr>
              <w:t>Cantidad</w:t>
            </w:r>
            <w:r>
              <w:rPr>
                <w:spacing w:val="-13"/>
                <w:sz w:val="18"/>
              </w:rPr>
              <w:t> </w:t>
            </w:r>
            <w:r>
              <w:rPr>
                <w:sz w:val="18"/>
              </w:rPr>
              <w:t>de </w:t>
            </w:r>
            <w:r>
              <w:rPr>
                <w:spacing w:val="-2"/>
                <w:sz w:val="18"/>
              </w:rPr>
              <w:t>plataforma hidráulica adquirida</w:t>
            </w:r>
          </w:p>
        </w:tc>
        <w:tc>
          <w:tcPr>
            <w:tcW w:w="1121" w:type="dxa"/>
          </w:tcPr>
          <w:p>
            <w:pPr>
              <w:pStyle w:val="TableParagraph"/>
              <w:rPr>
                <w:rFonts w:ascii="Times New Roman"/>
                <w:sz w:val="18"/>
              </w:rPr>
            </w:pPr>
          </w:p>
        </w:tc>
        <w:tc>
          <w:tcPr>
            <w:tcW w:w="1416" w:type="dxa"/>
          </w:tcPr>
          <w:p>
            <w:pPr>
              <w:pStyle w:val="TableParagraph"/>
              <w:rPr>
                <w:rFonts w:ascii="Times New Roman"/>
                <w:sz w:val="18"/>
              </w:rPr>
            </w:pPr>
          </w:p>
        </w:tc>
        <w:tc>
          <w:tcPr>
            <w:tcW w:w="1315" w:type="dxa"/>
          </w:tcPr>
          <w:p>
            <w:pPr>
              <w:pStyle w:val="TableParagraph"/>
              <w:rPr>
                <w:rFonts w:ascii="Times New Roman"/>
                <w:sz w:val="18"/>
              </w:rPr>
            </w:pPr>
          </w:p>
        </w:tc>
        <w:tc>
          <w:tcPr>
            <w:tcW w:w="1375" w:type="dxa"/>
          </w:tcPr>
          <w:p>
            <w:pPr>
              <w:pStyle w:val="TableParagraph"/>
              <w:rPr>
                <w:rFonts w:ascii="Times New Roman"/>
                <w:sz w:val="18"/>
              </w:rPr>
            </w:pPr>
          </w:p>
        </w:tc>
        <w:tc>
          <w:tcPr>
            <w:tcW w:w="1264" w:type="dxa"/>
          </w:tcPr>
          <w:p>
            <w:pPr>
              <w:pStyle w:val="TableParagraph"/>
              <w:rPr>
                <w:b/>
                <w:sz w:val="18"/>
              </w:rPr>
            </w:pPr>
          </w:p>
          <w:p>
            <w:pPr>
              <w:pStyle w:val="TableParagraph"/>
              <w:rPr>
                <w:b/>
                <w:sz w:val="18"/>
              </w:rPr>
            </w:pPr>
          </w:p>
          <w:p>
            <w:pPr>
              <w:pStyle w:val="TableParagraph"/>
              <w:rPr>
                <w:b/>
                <w:sz w:val="18"/>
              </w:rPr>
            </w:pPr>
          </w:p>
          <w:p>
            <w:pPr>
              <w:pStyle w:val="TableParagraph"/>
              <w:spacing w:before="98"/>
              <w:rPr>
                <w:b/>
                <w:sz w:val="18"/>
              </w:rPr>
            </w:pPr>
          </w:p>
          <w:p>
            <w:pPr>
              <w:pStyle w:val="TableParagraph"/>
              <w:ind w:right="56"/>
              <w:jc w:val="right"/>
              <w:rPr>
                <w:sz w:val="18"/>
              </w:rPr>
            </w:pPr>
            <w:r>
              <w:rPr>
                <w:spacing w:val="-10"/>
                <w:sz w:val="18"/>
              </w:rPr>
              <w:t>1</w:t>
            </w:r>
          </w:p>
        </w:tc>
        <w:tc>
          <w:tcPr>
            <w:tcW w:w="1303" w:type="dxa"/>
          </w:tcPr>
          <w:p>
            <w:pPr>
              <w:pStyle w:val="TableParagraph"/>
              <w:rPr>
                <w:b/>
                <w:sz w:val="18"/>
              </w:rPr>
            </w:pPr>
          </w:p>
          <w:p>
            <w:pPr>
              <w:pStyle w:val="TableParagraph"/>
              <w:rPr>
                <w:b/>
                <w:sz w:val="18"/>
              </w:rPr>
            </w:pPr>
          </w:p>
          <w:p>
            <w:pPr>
              <w:pStyle w:val="TableParagraph"/>
              <w:rPr>
                <w:b/>
                <w:sz w:val="18"/>
              </w:rPr>
            </w:pPr>
          </w:p>
          <w:p>
            <w:pPr>
              <w:pStyle w:val="TableParagraph"/>
              <w:spacing w:before="98"/>
              <w:rPr>
                <w:b/>
                <w:sz w:val="18"/>
              </w:rPr>
            </w:pPr>
          </w:p>
          <w:p>
            <w:pPr>
              <w:pStyle w:val="TableParagraph"/>
              <w:ind w:left="260" w:right="18"/>
              <w:jc w:val="center"/>
              <w:rPr>
                <w:sz w:val="18"/>
              </w:rPr>
            </w:pPr>
            <w:r>
              <w:rPr>
                <w:sz w:val="18"/>
              </w:rPr>
              <w:t>₡5</w:t>
            </w:r>
            <w:r>
              <w:rPr>
                <w:spacing w:val="-1"/>
                <w:sz w:val="18"/>
              </w:rPr>
              <w:t> </w:t>
            </w:r>
            <w:r>
              <w:rPr>
                <w:sz w:val="18"/>
              </w:rPr>
              <w:t>000</w:t>
            </w:r>
            <w:r>
              <w:rPr>
                <w:spacing w:val="-2"/>
                <w:sz w:val="18"/>
              </w:rPr>
              <w:t> </w:t>
            </w:r>
            <w:r>
              <w:rPr>
                <w:spacing w:val="-5"/>
                <w:sz w:val="18"/>
              </w:rPr>
              <w:t>000</w:t>
            </w:r>
          </w:p>
        </w:tc>
        <w:tc>
          <w:tcPr>
            <w:tcW w:w="1149" w:type="dxa"/>
          </w:tcPr>
          <w:p>
            <w:pPr>
              <w:pStyle w:val="TableParagraph"/>
              <w:rPr>
                <w:rFonts w:ascii="Times New Roman"/>
                <w:sz w:val="18"/>
              </w:rPr>
            </w:pPr>
          </w:p>
        </w:tc>
        <w:tc>
          <w:tcPr>
            <w:tcW w:w="1543" w:type="dxa"/>
          </w:tcPr>
          <w:p>
            <w:pPr>
              <w:pStyle w:val="TableParagraph"/>
              <w:rPr>
                <w:rFonts w:ascii="Times New Roman"/>
                <w:sz w:val="18"/>
              </w:rPr>
            </w:pPr>
          </w:p>
        </w:tc>
      </w:tr>
      <w:tr>
        <w:trPr>
          <w:trHeight w:val="1620" w:hRule="atLeast"/>
        </w:trPr>
        <w:tc>
          <w:tcPr>
            <w:tcW w:w="2247" w:type="dxa"/>
          </w:tcPr>
          <w:p>
            <w:pPr>
              <w:pStyle w:val="TableParagraph"/>
              <w:spacing w:before="188"/>
              <w:ind w:left="69"/>
              <w:rPr>
                <w:sz w:val="18"/>
              </w:rPr>
            </w:pPr>
            <w:r>
              <w:rPr>
                <w:b/>
                <w:sz w:val="18"/>
              </w:rPr>
              <w:t>Actividad PAC 2.9.2: </w:t>
            </w:r>
            <w:r>
              <w:rPr>
                <w:sz w:val="18"/>
              </w:rPr>
              <w:t>Supervisión técnica en mecánica automotriz y seguimiento</w:t>
            </w:r>
            <w:r>
              <w:rPr>
                <w:spacing w:val="-13"/>
                <w:sz w:val="18"/>
              </w:rPr>
              <w:t> </w:t>
            </w:r>
            <w:r>
              <w:rPr>
                <w:sz w:val="18"/>
              </w:rPr>
              <w:t>del</w:t>
            </w:r>
            <w:r>
              <w:rPr>
                <w:spacing w:val="-12"/>
                <w:sz w:val="18"/>
              </w:rPr>
              <w:t> </w:t>
            </w:r>
            <w:r>
              <w:rPr>
                <w:sz w:val="18"/>
              </w:rPr>
              <w:t>estado</w:t>
            </w:r>
            <w:r>
              <w:rPr>
                <w:spacing w:val="-13"/>
                <w:sz w:val="18"/>
              </w:rPr>
              <w:t> </w:t>
            </w:r>
            <w:r>
              <w:rPr>
                <w:sz w:val="18"/>
              </w:rPr>
              <w:t>de los vehículos de la flotilla </w:t>
            </w:r>
            <w:r>
              <w:rPr>
                <w:spacing w:val="-2"/>
                <w:sz w:val="18"/>
              </w:rPr>
              <w:t>institucional.</w:t>
            </w:r>
          </w:p>
        </w:tc>
        <w:tc>
          <w:tcPr>
            <w:tcW w:w="1440" w:type="dxa"/>
          </w:tcPr>
          <w:p>
            <w:pPr>
              <w:pStyle w:val="TableParagraph"/>
              <w:spacing w:before="188"/>
              <w:ind w:left="69" w:right="126"/>
              <w:rPr>
                <w:sz w:val="18"/>
              </w:rPr>
            </w:pPr>
            <w:r>
              <w:rPr>
                <w:sz w:val="18"/>
              </w:rPr>
              <w:t>Porcentaje de </w:t>
            </w:r>
            <w:r>
              <w:rPr>
                <w:spacing w:val="-2"/>
                <w:sz w:val="18"/>
              </w:rPr>
              <w:t>supervisiones técnicas ejecutadas </w:t>
            </w:r>
            <w:r>
              <w:rPr>
                <w:sz w:val="18"/>
              </w:rPr>
              <w:t>respecto</w:t>
            </w:r>
            <w:r>
              <w:rPr>
                <w:spacing w:val="-15"/>
                <w:sz w:val="18"/>
              </w:rPr>
              <w:t> </w:t>
            </w:r>
            <w:r>
              <w:rPr>
                <w:sz w:val="18"/>
              </w:rPr>
              <w:t>de</w:t>
            </w:r>
            <w:r>
              <w:rPr>
                <w:spacing w:val="-12"/>
                <w:sz w:val="18"/>
              </w:rPr>
              <w:t> </w:t>
            </w:r>
            <w:r>
              <w:rPr>
                <w:sz w:val="18"/>
              </w:rPr>
              <w:t>las </w:t>
            </w:r>
            <w:r>
              <w:rPr>
                <w:spacing w:val="-2"/>
                <w:sz w:val="18"/>
              </w:rPr>
              <w:t>programadas.</w:t>
            </w:r>
          </w:p>
        </w:tc>
        <w:tc>
          <w:tcPr>
            <w:tcW w:w="1121" w:type="dxa"/>
          </w:tcPr>
          <w:p>
            <w:pPr>
              <w:pStyle w:val="TableParagraph"/>
              <w:rPr>
                <w:b/>
                <w:sz w:val="18"/>
              </w:rPr>
            </w:pPr>
          </w:p>
          <w:p>
            <w:pPr>
              <w:pStyle w:val="TableParagraph"/>
              <w:rPr>
                <w:b/>
                <w:sz w:val="18"/>
              </w:rPr>
            </w:pPr>
          </w:p>
          <w:p>
            <w:pPr>
              <w:pStyle w:val="TableParagraph"/>
              <w:spacing w:before="84"/>
              <w:rPr>
                <w:b/>
                <w:sz w:val="18"/>
              </w:rPr>
            </w:pPr>
          </w:p>
          <w:p>
            <w:pPr>
              <w:pStyle w:val="TableParagraph"/>
              <w:ind w:right="57"/>
              <w:jc w:val="right"/>
              <w:rPr>
                <w:sz w:val="18"/>
              </w:rPr>
            </w:pPr>
            <w:r>
              <w:rPr>
                <w:spacing w:val="-5"/>
                <w:sz w:val="18"/>
              </w:rPr>
              <w:t>25%</w:t>
            </w:r>
          </w:p>
        </w:tc>
        <w:tc>
          <w:tcPr>
            <w:tcW w:w="1416" w:type="dxa"/>
          </w:tcPr>
          <w:p>
            <w:pPr>
              <w:pStyle w:val="TableParagraph"/>
              <w:rPr>
                <w:rFonts w:ascii="Times New Roman"/>
                <w:sz w:val="18"/>
              </w:rPr>
            </w:pPr>
          </w:p>
        </w:tc>
        <w:tc>
          <w:tcPr>
            <w:tcW w:w="1315" w:type="dxa"/>
          </w:tcPr>
          <w:p>
            <w:pPr>
              <w:pStyle w:val="TableParagraph"/>
              <w:rPr>
                <w:b/>
                <w:sz w:val="18"/>
              </w:rPr>
            </w:pPr>
          </w:p>
          <w:p>
            <w:pPr>
              <w:pStyle w:val="TableParagraph"/>
              <w:rPr>
                <w:b/>
                <w:sz w:val="18"/>
              </w:rPr>
            </w:pPr>
          </w:p>
          <w:p>
            <w:pPr>
              <w:pStyle w:val="TableParagraph"/>
              <w:spacing w:before="84"/>
              <w:rPr>
                <w:b/>
                <w:sz w:val="18"/>
              </w:rPr>
            </w:pPr>
          </w:p>
          <w:p>
            <w:pPr>
              <w:pStyle w:val="TableParagraph"/>
              <w:ind w:right="55"/>
              <w:jc w:val="right"/>
              <w:rPr>
                <w:sz w:val="18"/>
              </w:rPr>
            </w:pPr>
            <w:r>
              <w:rPr>
                <w:spacing w:val="-5"/>
                <w:sz w:val="18"/>
              </w:rPr>
              <w:t>25%</w:t>
            </w:r>
          </w:p>
        </w:tc>
        <w:tc>
          <w:tcPr>
            <w:tcW w:w="1375" w:type="dxa"/>
          </w:tcPr>
          <w:p>
            <w:pPr>
              <w:pStyle w:val="TableParagraph"/>
              <w:rPr>
                <w:rFonts w:ascii="Times New Roman"/>
                <w:sz w:val="18"/>
              </w:rPr>
            </w:pPr>
          </w:p>
        </w:tc>
        <w:tc>
          <w:tcPr>
            <w:tcW w:w="1264" w:type="dxa"/>
          </w:tcPr>
          <w:p>
            <w:pPr>
              <w:pStyle w:val="TableParagraph"/>
              <w:rPr>
                <w:b/>
                <w:sz w:val="18"/>
              </w:rPr>
            </w:pPr>
          </w:p>
          <w:p>
            <w:pPr>
              <w:pStyle w:val="TableParagraph"/>
              <w:rPr>
                <w:b/>
                <w:sz w:val="18"/>
              </w:rPr>
            </w:pPr>
          </w:p>
          <w:p>
            <w:pPr>
              <w:pStyle w:val="TableParagraph"/>
              <w:spacing w:before="84"/>
              <w:rPr>
                <w:b/>
                <w:sz w:val="18"/>
              </w:rPr>
            </w:pPr>
          </w:p>
          <w:p>
            <w:pPr>
              <w:pStyle w:val="TableParagraph"/>
              <w:ind w:right="53"/>
              <w:jc w:val="right"/>
              <w:rPr>
                <w:sz w:val="18"/>
              </w:rPr>
            </w:pPr>
            <w:r>
              <w:rPr>
                <w:spacing w:val="-5"/>
                <w:sz w:val="18"/>
              </w:rPr>
              <w:t>25%</w:t>
            </w:r>
          </w:p>
        </w:tc>
        <w:tc>
          <w:tcPr>
            <w:tcW w:w="1303" w:type="dxa"/>
          </w:tcPr>
          <w:p>
            <w:pPr>
              <w:pStyle w:val="TableParagraph"/>
              <w:rPr>
                <w:rFonts w:ascii="Times New Roman"/>
                <w:sz w:val="18"/>
              </w:rPr>
            </w:pPr>
          </w:p>
        </w:tc>
        <w:tc>
          <w:tcPr>
            <w:tcW w:w="1149" w:type="dxa"/>
          </w:tcPr>
          <w:p>
            <w:pPr>
              <w:pStyle w:val="TableParagraph"/>
              <w:rPr>
                <w:b/>
                <w:sz w:val="18"/>
              </w:rPr>
            </w:pPr>
          </w:p>
          <w:p>
            <w:pPr>
              <w:pStyle w:val="TableParagraph"/>
              <w:rPr>
                <w:b/>
                <w:sz w:val="18"/>
              </w:rPr>
            </w:pPr>
          </w:p>
          <w:p>
            <w:pPr>
              <w:pStyle w:val="TableParagraph"/>
              <w:spacing w:before="84"/>
              <w:rPr>
                <w:b/>
                <w:sz w:val="18"/>
              </w:rPr>
            </w:pPr>
          </w:p>
          <w:p>
            <w:pPr>
              <w:pStyle w:val="TableParagraph"/>
              <w:ind w:right="54"/>
              <w:jc w:val="right"/>
              <w:rPr>
                <w:sz w:val="18"/>
              </w:rPr>
            </w:pPr>
            <w:r>
              <w:rPr>
                <w:spacing w:val="-5"/>
                <w:sz w:val="18"/>
              </w:rPr>
              <w:t>25%</w:t>
            </w:r>
          </w:p>
        </w:tc>
        <w:tc>
          <w:tcPr>
            <w:tcW w:w="1543" w:type="dxa"/>
          </w:tcPr>
          <w:p>
            <w:pPr>
              <w:pStyle w:val="TableParagraph"/>
              <w:rPr>
                <w:rFonts w:ascii="Times New Roman"/>
                <w:sz w:val="18"/>
              </w:rPr>
            </w:pPr>
          </w:p>
        </w:tc>
      </w:tr>
      <w:tr>
        <w:trPr>
          <w:trHeight w:val="2071" w:hRule="atLeast"/>
        </w:trPr>
        <w:tc>
          <w:tcPr>
            <w:tcW w:w="2247" w:type="dxa"/>
          </w:tcPr>
          <w:p>
            <w:pPr>
              <w:pStyle w:val="TableParagraph"/>
              <w:ind w:left="69" w:right="127"/>
              <w:rPr>
                <w:sz w:val="18"/>
              </w:rPr>
            </w:pPr>
            <w:r>
              <w:rPr>
                <w:b/>
                <w:sz w:val="18"/>
              </w:rPr>
              <w:t>Actividad PAC 2.9.3: </w:t>
            </w:r>
            <w:r>
              <w:rPr>
                <w:sz w:val="18"/>
              </w:rPr>
              <w:t>Gestionar los </w:t>
            </w:r>
            <w:r>
              <w:rPr>
                <w:spacing w:val="-2"/>
                <w:sz w:val="18"/>
              </w:rPr>
              <w:t>mantenimientos </w:t>
            </w:r>
            <w:r>
              <w:rPr>
                <w:sz w:val="18"/>
              </w:rPr>
              <w:t>preventivos y correctivos para la totalidad de la flotilla vehicular de Actividades Centrales (1.08.05</w:t>
            </w:r>
            <w:r>
              <w:rPr>
                <w:spacing w:val="-15"/>
                <w:sz w:val="18"/>
              </w:rPr>
              <w:t> </w:t>
            </w:r>
            <w:r>
              <w:rPr>
                <w:sz w:val="18"/>
              </w:rPr>
              <w:t>Mantenimiento</w:t>
            </w:r>
            <w:r>
              <w:rPr>
                <w:spacing w:val="-12"/>
                <w:sz w:val="18"/>
              </w:rPr>
              <w:t> </w:t>
            </w:r>
            <w:r>
              <w:rPr>
                <w:sz w:val="18"/>
              </w:rPr>
              <w:t>y reparación de equipo de</w:t>
            </w:r>
          </w:p>
          <w:p>
            <w:pPr>
              <w:pStyle w:val="TableParagraph"/>
              <w:spacing w:line="189" w:lineRule="exact"/>
              <w:ind w:left="69"/>
              <w:rPr>
                <w:sz w:val="18"/>
              </w:rPr>
            </w:pPr>
            <w:r>
              <w:rPr>
                <w:spacing w:val="-2"/>
                <w:sz w:val="18"/>
              </w:rPr>
              <w:t>transporte).</w:t>
            </w:r>
          </w:p>
        </w:tc>
        <w:tc>
          <w:tcPr>
            <w:tcW w:w="1440" w:type="dxa"/>
          </w:tcPr>
          <w:p>
            <w:pPr>
              <w:pStyle w:val="TableParagraph"/>
              <w:spacing w:before="101"/>
              <w:rPr>
                <w:b/>
                <w:sz w:val="18"/>
              </w:rPr>
            </w:pPr>
          </w:p>
          <w:p>
            <w:pPr>
              <w:pStyle w:val="TableParagraph"/>
              <w:ind w:left="69" w:right="60"/>
              <w:rPr>
                <w:sz w:val="18"/>
              </w:rPr>
            </w:pPr>
            <w:r>
              <w:rPr>
                <w:sz w:val="18"/>
              </w:rPr>
              <w:t>Porcentaje de </w:t>
            </w:r>
            <w:r>
              <w:rPr>
                <w:spacing w:val="-2"/>
                <w:sz w:val="18"/>
              </w:rPr>
              <w:t>vehículos atendidos </w:t>
            </w:r>
            <w:r>
              <w:rPr>
                <w:sz w:val="18"/>
              </w:rPr>
              <w:t>respecto del total</w:t>
            </w:r>
            <w:r>
              <w:rPr>
                <w:spacing w:val="-13"/>
                <w:sz w:val="18"/>
              </w:rPr>
              <w:t> </w:t>
            </w:r>
            <w:r>
              <w:rPr>
                <w:sz w:val="18"/>
              </w:rPr>
              <w:t>de</w:t>
            </w:r>
            <w:r>
              <w:rPr>
                <w:spacing w:val="-12"/>
                <w:sz w:val="18"/>
              </w:rPr>
              <w:t> </w:t>
            </w:r>
            <w:r>
              <w:rPr>
                <w:sz w:val="18"/>
              </w:rPr>
              <w:t>la</w:t>
            </w:r>
            <w:r>
              <w:rPr>
                <w:spacing w:val="-12"/>
                <w:sz w:val="18"/>
              </w:rPr>
              <w:t> </w:t>
            </w:r>
            <w:r>
              <w:rPr>
                <w:sz w:val="18"/>
              </w:rPr>
              <w:t>flotilla de Actividades </w:t>
            </w:r>
            <w:r>
              <w:rPr>
                <w:spacing w:val="-2"/>
                <w:sz w:val="18"/>
              </w:rPr>
              <w:t>Centrales.</w:t>
            </w:r>
          </w:p>
        </w:tc>
        <w:tc>
          <w:tcPr>
            <w:tcW w:w="112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7"/>
              <w:jc w:val="right"/>
              <w:rPr>
                <w:sz w:val="18"/>
              </w:rPr>
            </w:pPr>
            <w:r>
              <w:rPr>
                <w:spacing w:val="-5"/>
                <w:sz w:val="18"/>
              </w:rPr>
              <w:t>25%</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312"/>
              <w:rPr>
                <w:sz w:val="18"/>
              </w:rPr>
            </w:pPr>
            <w:r>
              <w:rPr>
                <w:sz w:val="18"/>
              </w:rPr>
              <w:t>₡12</w:t>
            </w:r>
            <w:r>
              <w:rPr>
                <w:spacing w:val="-2"/>
                <w:sz w:val="18"/>
              </w:rPr>
              <w:t> </w:t>
            </w:r>
            <w:r>
              <w:rPr>
                <w:sz w:val="18"/>
              </w:rPr>
              <w:t>000</w:t>
            </w:r>
            <w:r>
              <w:rPr>
                <w:spacing w:val="-2"/>
                <w:sz w:val="18"/>
              </w:rPr>
              <w:t> </w:t>
            </w:r>
            <w:r>
              <w:rPr>
                <w:spacing w:val="-5"/>
                <w:sz w:val="18"/>
              </w:rPr>
              <w:t>000</w:t>
            </w:r>
          </w:p>
        </w:tc>
        <w:tc>
          <w:tcPr>
            <w:tcW w:w="1315"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5"/>
              <w:jc w:val="right"/>
              <w:rPr>
                <w:sz w:val="18"/>
              </w:rPr>
            </w:pPr>
            <w:r>
              <w:rPr>
                <w:spacing w:val="-5"/>
                <w:sz w:val="18"/>
              </w:rPr>
              <w:t>25%</w:t>
            </w:r>
          </w:p>
        </w:tc>
        <w:tc>
          <w:tcPr>
            <w:tcW w:w="1375"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74"/>
              <w:rPr>
                <w:sz w:val="18"/>
              </w:rPr>
            </w:pPr>
            <w:r>
              <w:rPr>
                <w:sz w:val="18"/>
              </w:rPr>
              <w:t>₡12</w:t>
            </w:r>
            <w:r>
              <w:rPr>
                <w:spacing w:val="-2"/>
                <w:sz w:val="18"/>
              </w:rPr>
              <w:t> </w:t>
            </w:r>
            <w:r>
              <w:rPr>
                <w:sz w:val="18"/>
              </w:rPr>
              <w:t>000</w:t>
            </w:r>
            <w:r>
              <w:rPr>
                <w:spacing w:val="-2"/>
                <w:sz w:val="18"/>
              </w:rPr>
              <w:t> </w:t>
            </w:r>
            <w:r>
              <w:rPr>
                <w:spacing w:val="-5"/>
                <w:sz w:val="18"/>
              </w:rPr>
              <w:t>000</w:t>
            </w:r>
          </w:p>
        </w:tc>
        <w:tc>
          <w:tcPr>
            <w:tcW w:w="126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3"/>
              <w:jc w:val="right"/>
              <w:rPr>
                <w:sz w:val="18"/>
              </w:rPr>
            </w:pPr>
            <w:r>
              <w:rPr>
                <w:spacing w:val="-5"/>
                <w:sz w:val="18"/>
              </w:rPr>
              <w:t>25%</w:t>
            </w:r>
          </w:p>
        </w:tc>
        <w:tc>
          <w:tcPr>
            <w:tcW w:w="1303"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59" w:right="18"/>
              <w:jc w:val="center"/>
              <w:rPr>
                <w:sz w:val="18"/>
              </w:rPr>
            </w:pPr>
            <w:r>
              <w:rPr>
                <w:sz w:val="18"/>
              </w:rPr>
              <w:t>₡12</w:t>
            </w:r>
            <w:r>
              <w:rPr>
                <w:spacing w:val="-2"/>
                <w:sz w:val="18"/>
              </w:rPr>
              <w:t> </w:t>
            </w:r>
            <w:r>
              <w:rPr>
                <w:sz w:val="18"/>
              </w:rPr>
              <w:t>000</w:t>
            </w:r>
            <w:r>
              <w:rPr>
                <w:spacing w:val="-2"/>
                <w:sz w:val="18"/>
              </w:rPr>
              <w:t> </w:t>
            </w:r>
            <w:r>
              <w:rPr>
                <w:spacing w:val="-5"/>
                <w:sz w:val="18"/>
              </w:rPr>
              <w:t>000</w:t>
            </w:r>
          </w:p>
        </w:tc>
        <w:tc>
          <w:tcPr>
            <w:tcW w:w="1149"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4"/>
              <w:jc w:val="right"/>
              <w:rPr>
                <w:sz w:val="18"/>
              </w:rPr>
            </w:pPr>
            <w:r>
              <w:rPr>
                <w:spacing w:val="-5"/>
                <w:sz w:val="18"/>
              </w:rPr>
              <w:t>25%</w:t>
            </w:r>
          </w:p>
        </w:tc>
        <w:tc>
          <w:tcPr>
            <w:tcW w:w="1543"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442"/>
              <w:rPr>
                <w:sz w:val="18"/>
              </w:rPr>
            </w:pPr>
            <w:r>
              <w:rPr>
                <w:sz w:val="18"/>
              </w:rPr>
              <w:t>₡12</w:t>
            </w:r>
            <w:r>
              <w:rPr>
                <w:spacing w:val="-2"/>
                <w:sz w:val="18"/>
              </w:rPr>
              <w:t> </w:t>
            </w:r>
            <w:r>
              <w:rPr>
                <w:sz w:val="18"/>
              </w:rPr>
              <w:t>000</w:t>
            </w:r>
            <w:r>
              <w:rPr>
                <w:spacing w:val="-2"/>
                <w:sz w:val="18"/>
              </w:rPr>
              <w:t> </w:t>
            </w:r>
            <w:r>
              <w:rPr>
                <w:spacing w:val="-5"/>
                <w:sz w:val="18"/>
              </w:rPr>
              <w:t>000</w:t>
            </w:r>
          </w:p>
        </w:tc>
      </w:tr>
    </w:tbl>
    <w:p>
      <w:pPr>
        <w:pStyle w:val="TableParagraph"/>
        <w:spacing w:after="0"/>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47"/>
        <w:gridCol w:w="1440"/>
        <w:gridCol w:w="1121"/>
        <w:gridCol w:w="1416"/>
        <w:gridCol w:w="1315"/>
        <w:gridCol w:w="1375"/>
        <w:gridCol w:w="1264"/>
        <w:gridCol w:w="1303"/>
        <w:gridCol w:w="1149"/>
        <w:gridCol w:w="1543"/>
      </w:tblGrid>
      <w:tr>
        <w:trPr>
          <w:trHeight w:val="1545" w:hRule="atLeast"/>
        </w:trPr>
        <w:tc>
          <w:tcPr>
            <w:tcW w:w="2247" w:type="dxa"/>
          </w:tcPr>
          <w:p>
            <w:pPr>
              <w:pStyle w:val="TableParagraph"/>
              <w:spacing w:before="150"/>
              <w:ind w:left="69" w:right="79"/>
              <w:rPr>
                <w:sz w:val="18"/>
              </w:rPr>
            </w:pPr>
            <w:r>
              <w:rPr>
                <w:sz w:val="18"/>
              </w:rPr>
              <w:t>Actividad PAC 2.9.4: Gestionar la adquisición de tres vehículos para Promoción y Protección Social</w:t>
            </w:r>
            <w:r>
              <w:rPr>
                <w:spacing w:val="-13"/>
                <w:sz w:val="18"/>
              </w:rPr>
              <w:t> </w:t>
            </w:r>
            <w:r>
              <w:rPr>
                <w:sz w:val="18"/>
              </w:rPr>
              <w:t>(5.01.02</w:t>
            </w:r>
            <w:r>
              <w:rPr>
                <w:spacing w:val="-12"/>
                <w:sz w:val="18"/>
              </w:rPr>
              <w:t> </w:t>
            </w:r>
            <w:r>
              <w:rPr>
                <w:sz w:val="18"/>
              </w:rPr>
              <w:t>Equipo</w:t>
            </w:r>
            <w:r>
              <w:rPr>
                <w:spacing w:val="-13"/>
                <w:sz w:val="18"/>
              </w:rPr>
              <w:t> </w:t>
            </w:r>
            <w:r>
              <w:rPr>
                <w:sz w:val="18"/>
              </w:rPr>
              <w:t>de </w:t>
            </w:r>
            <w:r>
              <w:rPr>
                <w:spacing w:val="-2"/>
                <w:sz w:val="18"/>
              </w:rPr>
              <w:t>Transporte).</w:t>
            </w:r>
          </w:p>
        </w:tc>
        <w:tc>
          <w:tcPr>
            <w:tcW w:w="1440" w:type="dxa"/>
          </w:tcPr>
          <w:p>
            <w:pPr>
              <w:pStyle w:val="TableParagraph"/>
              <w:rPr>
                <w:b/>
                <w:sz w:val="18"/>
              </w:rPr>
            </w:pPr>
          </w:p>
          <w:p>
            <w:pPr>
              <w:pStyle w:val="TableParagraph"/>
              <w:spacing w:before="48"/>
              <w:rPr>
                <w:b/>
                <w:sz w:val="18"/>
              </w:rPr>
            </w:pPr>
          </w:p>
          <w:p>
            <w:pPr>
              <w:pStyle w:val="TableParagraph"/>
              <w:ind w:left="69" w:right="383"/>
              <w:rPr>
                <w:sz w:val="18"/>
              </w:rPr>
            </w:pPr>
            <w:r>
              <w:rPr>
                <w:sz w:val="18"/>
              </w:rPr>
              <w:t>Cantidad</w:t>
            </w:r>
            <w:r>
              <w:rPr>
                <w:spacing w:val="-13"/>
                <w:sz w:val="18"/>
              </w:rPr>
              <w:t> </w:t>
            </w:r>
            <w:r>
              <w:rPr>
                <w:sz w:val="18"/>
              </w:rPr>
              <w:t>de </w:t>
            </w:r>
            <w:r>
              <w:rPr>
                <w:spacing w:val="-2"/>
                <w:sz w:val="18"/>
              </w:rPr>
              <w:t>vehículos adquiridos.</w:t>
            </w:r>
          </w:p>
        </w:tc>
        <w:tc>
          <w:tcPr>
            <w:tcW w:w="1121" w:type="dxa"/>
          </w:tcPr>
          <w:p>
            <w:pPr>
              <w:pStyle w:val="TableParagraph"/>
              <w:rPr>
                <w:rFonts w:ascii="Times New Roman"/>
                <w:sz w:val="18"/>
              </w:rPr>
            </w:pPr>
          </w:p>
        </w:tc>
        <w:tc>
          <w:tcPr>
            <w:tcW w:w="1416" w:type="dxa"/>
          </w:tcPr>
          <w:p>
            <w:pPr>
              <w:pStyle w:val="TableParagraph"/>
              <w:rPr>
                <w:rFonts w:ascii="Times New Roman"/>
                <w:sz w:val="18"/>
              </w:rPr>
            </w:pPr>
          </w:p>
        </w:tc>
        <w:tc>
          <w:tcPr>
            <w:tcW w:w="1315" w:type="dxa"/>
          </w:tcPr>
          <w:p>
            <w:pPr>
              <w:pStyle w:val="TableParagraph"/>
              <w:rPr>
                <w:rFonts w:ascii="Times New Roman"/>
                <w:sz w:val="18"/>
              </w:rPr>
            </w:pPr>
          </w:p>
        </w:tc>
        <w:tc>
          <w:tcPr>
            <w:tcW w:w="1375" w:type="dxa"/>
          </w:tcPr>
          <w:p>
            <w:pPr>
              <w:pStyle w:val="TableParagraph"/>
              <w:rPr>
                <w:rFonts w:ascii="Times New Roman"/>
                <w:sz w:val="18"/>
              </w:rPr>
            </w:pPr>
          </w:p>
        </w:tc>
        <w:tc>
          <w:tcPr>
            <w:tcW w:w="1264" w:type="dxa"/>
          </w:tcPr>
          <w:p>
            <w:pPr>
              <w:pStyle w:val="TableParagraph"/>
              <w:rPr>
                <w:rFonts w:ascii="Times New Roman"/>
                <w:sz w:val="18"/>
              </w:rPr>
            </w:pPr>
          </w:p>
        </w:tc>
        <w:tc>
          <w:tcPr>
            <w:tcW w:w="1303" w:type="dxa"/>
          </w:tcPr>
          <w:p>
            <w:pPr>
              <w:pStyle w:val="TableParagraph"/>
              <w:rPr>
                <w:rFonts w:ascii="Times New Roman"/>
                <w:sz w:val="18"/>
              </w:rPr>
            </w:pPr>
          </w:p>
        </w:tc>
        <w:tc>
          <w:tcPr>
            <w:tcW w:w="1149" w:type="dxa"/>
          </w:tcPr>
          <w:p>
            <w:pPr>
              <w:pStyle w:val="TableParagraph"/>
              <w:rPr>
                <w:rFonts w:ascii="Times New Roman"/>
                <w:sz w:val="18"/>
              </w:rPr>
            </w:pPr>
          </w:p>
        </w:tc>
        <w:tc>
          <w:tcPr>
            <w:tcW w:w="1543" w:type="dxa"/>
          </w:tcPr>
          <w:p>
            <w:pPr>
              <w:pStyle w:val="TableParagraph"/>
              <w:rPr>
                <w:b/>
                <w:sz w:val="18"/>
              </w:rPr>
            </w:pPr>
          </w:p>
          <w:p>
            <w:pPr>
              <w:pStyle w:val="TableParagraph"/>
              <w:rPr>
                <w:b/>
                <w:sz w:val="18"/>
              </w:rPr>
            </w:pPr>
          </w:p>
          <w:p>
            <w:pPr>
              <w:pStyle w:val="TableParagraph"/>
              <w:spacing w:before="47"/>
              <w:rPr>
                <w:b/>
                <w:sz w:val="18"/>
              </w:rPr>
            </w:pPr>
          </w:p>
          <w:p>
            <w:pPr>
              <w:pStyle w:val="TableParagraph"/>
              <w:ind w:left="442"/>
              <w:rPr>
                <w:sz w:val="18"/>
              </w:rPr>
            </w:pPr>
            <w:r>
              <w:rPr>
                <w:sz w:val="18"/>
              </w:rPr>
              <w:t>₡84</w:t>
            </w:r>
            <w:r>
              <w:rPr>
                <w:spacing w:val="-2"/>
                <w:sz w:val="18"/>
              </w:rPr>
              <w:t> </w:t>
            </w:r>
            <w:r>
              <w:rPr>
                <w:sz w:val="18"/>
              </w:rPr>
              <w:t>000</w:t>
            </w:r>
            <w:r>
              <w:rPr>
                <w:spacing w:val="-2"/>
                <w:sz w:val="18"/>
              </w:rPr>
              <w:t> </w:t>
            </w:r>
            <w:r>
              <w:rPr>
                <w:spacing w:val="-5"/>
                <w:sz w:val="18"/>
              </w:rPr>
              <w:t>000</w:t>
            </w:r>
          </w:p>
        </w:tc>
      </w:tr>
    </w:tbl>
    <w:p>
      <w:pPr>
        <w:pStyle w:val="BodyText"/>
        <w:spacing w:before="185"/>
        <w:rPr>
          <w:b/>
          <w:sz w:val="20"/>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7"/>
        <w:gridCol w:w="1135"/>
        <w:gridCol w:w="1520"/>
        <w:gridCol w:w="1243"/>
        <w:gridCol w:w="1524"/>
        <w:gridCol w:w="1239"/>
        <w:gridCol w:w="1524"/>
        <w:gridCol w:w="1244"/>
        <w:gridCol w:w="1524"/>
        <w:gridCol w:w="1238"/>
      </w:tblGrid>
      <w:tr>
        <w:trPr>
          <w:trHeight w:val="674" w:hRule="atLeast"/>
        </w:trPr>
        <w:tc>
          <w:tcPr>
            <w:tcW w:w="14318" w:type="dxa"/>
            <w:gridSpan w:val="10"/>
            <w:shd w:val="clear" w:color="auto" w:fill="F1F1F1"/>
          </w:tcPr>
          <w:p>
            <w:pPr>
              <w:pStyle w:val="TableParagraph"/>
              <w:spacing w:before="128"/>
              <w:ind w:left="69"/>
              <w:rPr>
                <w:b/>
                <w:sz w:val="18"/>
              </w:rPr>
            </w:pPr>
            <w:r>
              <w:rPr>
                <w:b/>
                <w:sz w:val="18"/>
              </w:rPr>
              <w:t>Efecto:</w:t>
            </w:r>
            <w:r>
              <w:rPr>
                <w:b/>
                <w:spacing w:val="-1"/>
                <w:sz w:val="18"/>
              </w:rPr>
              <w:t> </w:t>
            </w:r>
            <w:r>
              <w:rPr>
                <w:b/>
                <w:sz w:val="18"/>
              </w:rPr>
              <w:t>Efectiva</w:t>
            </w:r>
            <w:r>
              <w:rPr>
                <w:b/>
                <w:spacing w:val="-3"/>
                <w:sz w:val="18"/>
              </w:rPr>
              <w:t> </w:t>
            </w:r>
            <w:r>
              <w:rPr>
                <w:b/>
                <w:sz w:val="18"/>
              </w:rPr>
              <w:t>gestión</w:t>
            </w:r>
            <w:r>
              <w:rPr>
                <w:b/>
                <w:spacing w:val="-1"/>
                <w:sz w:val="18"/>
              </w:rPr>
              <w:t> </w:t>
            </w:r>
            <w:r>
              <w:rPr>
                <w:b/>
                <w:sz w:val="18"/>
              </w:rPr>
              <w:t>de</w:t>
            </w:r>
            <w:r>
              <w:rPr>
                <w:b/>
                <w:spacing w:val="-3"/>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450" w:hRule="atLeast"/>
        </w:trPr>
        <w:tc>
          <w:tcPr>
            <w:tcW w:w="14318" w:type="dxa"/>
            <w:gridSpan w:val="10"/>
            <w:shd w:val="clear" w:color="auto" w:fill="DBE4F0"/>
          </w:tcPr>
          <w:p>
            <w:pPr>
              <w:pStyle w:val="TableParagraph"/>
              <w:spacing w:before="121"/>
              <w:ind w:left="69"/>
              <w:rPr>
                <w:b/>
                <w:sz w:val="18"/>
              </w:rPr>
            </w:pPr>
            <w:r>
              <w:rPr>
                <w:b/>
                <w:sz w:val="18"/>
              </w:rPr>
              <w:t>Producto</w:t>
            </w:r>
            <w:r>
              <w:rPr>
                <w:b/>
                <w:spacing w:val="-6"/>
                <w:sz w:val="18"/>
              </w:rPr>
              <w:t> </w:t>
            </w:r>
            <w:r>
              <w:rPr>
                <w:b/>
                <w:sz w:val="18"/>
              </w:rPr>
              <w:t>PAC</w:t>
            </w:r>
            <w:r>
              <w:rPr>
                <w:b/>
                <w:spacing w:val="-4"/>
                <w:sz w:val="18"/>
              </w:rPr>
              <w:t> </w:t>
            </w:r>
            <w:r>
              <w:rPr>
                <w:b/>
                <w:sz w:val="18"/>
              </w:rPr>
              <w:t>2.10:</w:t>
            </w:r>
            <w:r>
              <w:rPr>
                <w:b/>
                <w:spacing w:val="-3"/>
                <w:sz w:val="18"/>
              </w:rPr>
              <w:t> </w:t>
            </w:r>
            <w:r>
              <w:rPr>
                <w:b/>
                <w:sz w:val="18"/>
              </w:rPr>
              <w:t>Estrategia</w:t>
            </w:r>
            <w:r>
              <w:rPr>
                <w:b/>
                <w:spacing w:val="-3"/>
                <w:sz w:val="18"/>
              </w:rPr>
              <w:t> </w:t>
            </w:r>
            <w:r>
              <w:rPr>
                <w:b/>
                <w:sz w:val="18"/>
              </w:rPr>
              <w:t>cobratoria</w:t>
            </w:r>
            <w:r>
              <w:rPr>
                <w:b/>
                <w:spacing w:val="-4"/>
                <w:sz w:val="18"/>
              </w:rPr>
              <w:t> </w:t>
            </w:r>
            <w:r>
              <w:rPr>
                <w:b/>
                <w:sz w:val="18"/>
              </w:rPr>
              <w:t>diseñada</w:t>
            </w:r>
            <w:r>
              <w:rPr>
                <w:b/>
                <w:spacing w:val="-3"/>
                <w:sz w:val="18"/>
              </w:rPr>
              <w:t> </w:t>
            </w:r>
            <w:r>
              <w:rPr>
                <w:b/>
                <w:sz w:val="18"/>
              </w:rPr>
              <w:t>y</w:t>
            </w:r>
            <w:r>
              <w:rPr>
                <w:b/>
                <w:spacing w:val="-5"/>
                <w:sz w:val="18"/>
              </w:rPr>
              <w:t> </w:t>
            </w:r>
            <w:r>
              <w:rPr>
                <w:b/>
                <w:sz w:val="18"/>
              </w:rPr>
              <w:t>ejecutada</w:t>
            </w:r>
            <w:r>
              <w:rPr>
                <w:b/>
                <w:spacing w:val="-5"/>
                <w:sz w:val="18"/>
              </w:rPr>
              <w:t> </w:t>
            </w:r>
            <w:r>
              <w:rPr>
                <w:b/>
                <w:sz w:val="18"/>
              </w:rPr>
              <w:t>para</w:t>
            </w:r>
            <w:r>
              <w:rPr>
                <w:b/>
                <w:spacing w:val="-3"/>
                <w:sz w:val="18"/>
              </w:rPr>
              <w:t> </w:t>
            </w:r>
            <w:r>
              <w:rPr>
                <w:b/>
                <w:sz w:val="18"/>
              </w:rPr>
              <w:t>incrementar</w:t>
            </w:r>
            <w:r>
              <w:rPr>
                <w:b/>
                <w:spacing w:val="-4"/>
                <w:sz w:val="18"/>
              </w:rPr>
              <w:t> </w:t>
            </w:r>
            <w:r>
              <w:rPr>
                <w:b/>
                <w:sz w:val="18"/>
              </w:rPr>
              <w:t>los</w:t>
            </w:r>
            <w:r>
              <w:rPr>
                <w:b/>
                <w:spacing w:val="-5"/>
                <w:sz w:val="18"/>
              </w:rPr>
              <w:t> </w:t>
            </w:r>
            <w:r>
              <w:rPr>
                <w:b/>
                <w:sz w:val="18"/>
              </w:rPr>
              <w:t>ingresos</w:t>
            </w:r>
            <w:r>
              <w:rPr>
                <w:b/>
                <w:spacing w:val="-5"/>
                <w:sz w:val="18"/>
              </w:rPr>
              <w:t> </w:t>
            </w:r>
            <w:r>
              <w:rPr>
                <w:b/>
                <w:sz w:val="18"/>
              </w:rPr>
              <w:t>tributarios.</w:t>
            </w:r>
            <w:r>
              <w:rPr>
                <w:b/>
                <w:spacing w:val="-3"/>
                <w:sz w:val="18"/>
              </w:rPr>
              <w:t> </w:t>
            </w:r>
            <w:r>
              <w:rPr>
                <w:b/>
                <w:sz w:val="18"/>
              </w:rPr>
              <w:t>(E5</w:t>
            </w:r>
            <w:r>
              <w:rPr>
                <w:b/>
                <w:spacing w:val="-3"/>
                <w:sz w:val="18"/>
              </w:rPr>
              <w:t> </w:t>
            </w:r>
            <w:r>
              <w:rPr>
                <w:b/>
                <w:sz w:val="18"/>
              </w:rPr>
              <w:t>AE6</w:t>
            </w:r>
            <w:r>
              <w:rPr>
                <w:b/>
                <w:spacing w:val="-3"/>
                <w:sz w:val="18"/>
              </w:rPr>
              <w:t> </w:t>
            </w:r>
            <w:r>
              <w:rPr>
                <w:b/>
                <w:spacing w:val="-5"/>
                <w:sz w:val="18"/>
              </w:rPr>
              <w:t>R1)</w:t>
            </w:r>
          </w:p>
        </w:tc>
      </w:tr>
      <w:tr>
        <w:trPr>
          <w:trHeight w:val="1257" w:hRule="atLeast"/>
        </w:trPr>
        <w:tc>
          <w:tcPr>
            <w:tcW w:w="2127" w:type="dxa"/>
          </w:tcPr>
          <w:p>
            <w:pPr>
              <w:pStyle w:val="TableParagraph"/>
              <w:spacing w:before="6"/>
              <w:ind w:left="69" w:right="89"/>
              <w:rPr>
                <w:sz w:val="18"/>
              </w:rPr>
            </w:pPr>
            <w:r>
              <w:rPr>
                <w:b/>
                <w:sz w:val="18"/>
              </w:rPr>
              <w:t>Actividad PAC 2.10.1: </w:t>
            </w:r>
            <w:r>
              <w:rPr>
                <w:sz w:val="18"/>
              </w:rPr>
              <w:t>Diseñar y ejecutar de estrategia cobratoria mensual. (Subpartidas Presupuestarias</w:t>
            </w:r>
            <w:r>
              <w:rPr>
                <w:spacing w:val="-13"/>
                <w:sz w:val="18"/>
              </w:rPr>
              <w:t> </w:t>
            </w:r>
            <w:r>
              <w:rPr>
                <w:sz w:val="18"/>
              </w:rPr>
              <w:t>1.04.02</w:t>
            </w:r>
          </w:p>
          <w:p>
            <w:pPr>
              <w:pStyle w:val="TableParagraph"/>
              <w:spacing w:line="194" w:lineRule="exact" w:before="2"/>
              <w:ind w:left="69"/>
              <w:rPr>
                <w:sz w:val="18"/>
              </w:rPr>
            </w:pPr>
            <w:r>
              <w:rPr>
                <w:sz w:val="18"/>
              </w:rPr>
              <w:t>y</w:t>
            </w:r>
            <w:r>
              <w:rPr>
                <w:spacing w:val="1"/>
                <w:sz w:val="18"/>
              </w:rPr>
              <w:t> </w:t>
            </w:r>
            <w:r>
              <w:rPr>
                <w:spacing w:val="-2"/>
                <w:sz w:val="18"/>
              </w:rPr>
              <w:t>1.04.99)</w:t>
            </w:r>
          </w:p>
        </w:tc>
        <w:tc>
          <w:tcPr>
            <w:tcW w:w="1135" w:type="dxa"/>
          </w:tcPr>
          <w:p>
            <w:pPr>
              <w:pStyle w:val="TableParagraph"/>
              <w:spacing w:before="111"/>
              <w:ind w:left="69" w:right="78"/>
              <w:rPr>
                <w:sz w:val="18"/>
              </w:rPr>
            </w:pPr>
            <w:r>
              <w:rPr>
                <w:sz w:val="18"/>
              </w:rPr>
              <w:t>Cantidad</w:t>
            </w:r>
            <w:r>
              <w:rPr>
                <w:spacing w:val="-13"/>
                <w:sz w:val="18"/>
              </w:rPr>
              <w:t> </w:t>
            </w:r>
            <w:r>
              <w:rPr>
                <w:sz w:val="18"/>
              </w:rPr>
              <w:t>de </w:t>
            </w:r>
            <w:r>
              <w:rPr>
                <w:spacing w:val="-2"/>
                <w:sz w:val="18"/>
              </w:rPr>
              <w:t>estrategias cobratoria </w:t>
            </w:r>
            <w:r>
              <w:rPr>
                <w:sz w:val="18"/>
              </w:rPr>
              <w:t>diseñadas</w:t>
            </w:r>
            <w:r>
              <w:rPr>
                <w:spacing w:val="-13"/>
                <w:sz w:val="18"/>
              </w:rPr>
              <w:t> </w:t>
            </w:r>
            <w:r>
              <w:rPr>
                <w:sz w:val="18"/>
              </w:rPr>
              <w:t>y </w:t>
            </w:r>
            <w:r>
              <w:rPr>
                <w:spacing w:val="-2"/>
                <w:sz w:val="18"/>
              </w:rPr>
              <w:t>ejecutadas</w:t>
            </w:r>
          </w:p>
        </w:tc>
        <w:tc>
          <w:tcPr>
            <w:tcW w:w="1520" w:type="dxa"/>
          </w:tcPr>
          <w:p>
            <w:pPr>
              <w:pStyle w:val="TableParagraph"/>
              <w:rPr>
                <w:b/>
                <w:sz w:val="18"/>
              </w:rPr>
            </w:pPr>
          </w:p>
          <w:p>
            <w:pPr>
              <w:pStyle w:val="TableParagraph"/>
              <w:spacing w:before="110"/>
              <w:rPr>
                <w:b/>
                <w:sz w:val="18"/>
              </w:rPr>
            </w:pPr>
          </w:p>
          <w:p>
            <w:pPr>
              <w:pStyle w:val="TableParagraph"/>
              <w:ind w:left="5"/>
              <w:jc w:val="center"/>
              <w:rPr>
                <w:sz w:val="18"/>
              </w:rPr>
            </w:pPr>
            <w:r>
              <w:rPr>
                <w:spacing w:val="-10"/>
                <w:sz w:val="18"/>
              </w:rPr>
              <w:t>3</w:t>
            </w:r>
          </w:p>
        </w:tc>
        <w:tc>
          <w:tcPr>
            <w:tcW w:w="1243" w:type="dxa"/>
          </w:tcPr>
          <w:p>
            <w:pPr>
              <w:pStyle w:val="TableParagraph"/>
              <w:rPr>
                <w:b/>
                <w:sz w:val="18"/>
              </w:rPr>
            </w:pPr>
          </w:p>
          <w:p>
            <w:pPr>
              <w:pStyle w:val="TableParagraph"/>
              <w:spacing w:before="110"/>
              <w:rPr>
                <w:b/>
                <w:sz w:val="18"/>
              </w:rPr>
            </w:pPr>
          </w:p>
          <w:p>
            <w:pPr>
              <w:pStyle w:val="TableParagraph"/>
              <w:ind w:left="141"/>
              <w:rPr>
                <w:sz w:val="18"/>
              </w:rPr>
            </w:pPr>
            <w:r>
              <w:rPr>
                <w:sz w:val="18"/>
              </w:rPr>
              <w:t>₡10</w:t>
            </w:r>
            <w:r>
              <w:rPr>
                <w:spacing w:val="-2"/>
                <w:sz w:val="18"/>
              </w:rPr>
              <w:t> </w:t>
            </w:r>
            <w:r>
              <w:rPr>
                <w:sz w:val="18"/>
              </w:rPr>
              <w:t>000</w:t>
            </w:r>
            <w:r>
              <w:rPr>
                <w:spacing w:val="-2"/>
                <w:sz w:val="18"/>
              </w:rPr>
              <w:t> </w:t>
            </w:r>
            <w:r>
              <w:rPr>
                <w:spacing w:val="-5"/>
                <w:sz w:val="18"/>
              </w:rPr>
              <w:t>000</w:t>
            </w:r>
          </w:p>
        </w:tc>
        <w:tc>
          <w:tcPr>
            <w:tcW w:w="1524" w:type="dxa"/>
          </w:tcPr>
          <w:p>
            <w:pPr>
              <w:pStyle w:val="TableParagraph"/>
              <w:rPr>
                <w:b/>
                <w:sz w:val="18"/>
              </w:rPr>
            </w:pPr>
          </w:p>
          <w:p>
            <w:pPr>
              <w:pStyle w:val="TableParagraph"/>
              <w:spacing w:before="110"/>
              <w:rPr>
                <w:b/>
                <w:sz w:val="18"/>
              </w:rPr>
            </w:pPr>
          </w:p>
          <w:p>
            <w:pPr>
              <w:pStyle w:val="TableParagraph"/>
              <w:ind w:left="6"/>
              <w:jc w:val="center"/>
              <w:rPr>
                <w:sz w:val="18"/>
              </w:rPr>
            </w:pPr>
            <w:r>
              <w:rPr>
                <w:spacing w:val="-10"/>
                <w:sz w:val="18"/>
              </w:rPr>
              <w:t>3</w:t>
            </w:r>
          </w:p>
        </w:tc>
        <w:tc>
          <w:tcPr>
            <w:tcW w:w="1239" w:type="dxa"/>
          </w:tcPr>
          <w:p>
            <w:pPr>
              <w:pStyle w:val="TableParagraph"/>
              <w:rPr>
                <w:b/>
                <w:sz w:val="18"/>
              </w:rPr>
            </w:pPr>
          </w:p>
          <w:p>
            <w:pPr>
              <w:pStyle w:val="TableParagraph"/>
              <w:spacing w:before="110"/>
              <w:rPr>
                <w:b/>
                <w:sz w:val="18"/>
              </w:rPr>
            </w:pPr>
          </w:p>
          <w:p>
            <w:pPr>
              <w:pStyle w:val="TableParagraph"/>
              <w:ind w:left="136"/>
              <w:rPr>
                <w:sz w:val="18"/>
              </w:rPr>
            </w:pPr>
            <w:r>
              <w:rPr>
                <w:sz w:val="18"/>
              </w:rPr>
              <w:t>₡10</w:t>
            </w:r>
            <w:r>
              <w:rPr>
                <w:spacing w:val="-2"/>
                <w:sz w:val="18"/>
              </w:rPr>
              <w:t> </w:t>
            </w:r>
            <w:r>
              <w:rPr>
                <w:sz w:val="18"/>
              </w:rPr>
              <w:t>000</w:t>
            </w:r>
            <w:r>
              <w:rPr>
                <w:spacing w:val="-2"/>
                <w:sz w:val="18"/>
              </w:rPr>
              <w:t> </w:t>
            </w:r>
            <w:r>
              <w:rPr>
                <w:spacing w:val="-5"/>
                <w:sz w:val="18"/>
              </w:rPr>
              <w:t>000</w:t>
            </w:r>
          </w:p>
        </w:tc>
        <w:tc>
          <w:tcPr>
            <w:tcW w:w="1524" w:type="dxa"/>
          </w:tcPr>
          <w:p>
            <w:pPr>
              <w:pStyle w:val="TableParagraph"/>
              <w:rPr>
                <w:b/>
                <w:sz w:val="18"/>
              </w:rPr>
            </w:pPr>
          </w:p>
          <w:p>
            <w:pPr>
              <w:pStyle w:val="TableParagraph"/>
              <w:spacing w:before="110"/>
              <w:rPr>
                <w:b/>
                <w:sz w:val="18"/>
              </w:rPr>
            </w:pPr>
          </w:p>
          <w:p>
            <w:pPr>
              <w:pStyle w:val="TableParagraph"/>
              <w:ind w:left="6"/>
              <w:jc w:val="center"/>
              <w:rPr>
                <w:sz w:val="18"/>
              </w:rPr>
            </w:pPr>
            <w:r>
              <w:rPr>
                <w:spacing w:val="-10"/>
                <w:sz w:val="18"/>
              </w:rPr>
              <w:t>3</w:t>
            </w:r>
          </w:p>
        </w:tc>
        <w:tc>
          <w:tcPr>
            <w:tcW w:w="1244" w:type="dxa"/>
          </w:tcPr>
          <w:p>
            <w:pPr>
              <w:pStyle w:val="TableParagraph"/>
              <w:rPr>
                <w:b/>
                <w:sz w:val="18"/>
              </w:rPr>
            </w:pPr>
          </w:p>
          <w:p>
            <w:pPr>
              <w:pStyle w:val="TableParagraph"/>
              <w:spacing w:before="110"/>
              <w:rPr>
                <w:b/>
                <w:sz w:val="18"/>
              </w:rPr>
            </w:pPr>
          </w:p>
          <w:p>
            <w:pPr>
              <w:pStyle w:val="TableParagraph"/>
              <w:ind w:left="141"/>
              <w:rPr>
                <w:sz w:val="18"/>
              </w:rPr>
            </w:pPr>
            <w:r>
              <w:rPr>
                <w:sz w:val="18"/>
              </w:rPr>
              <w:t>₡10</w:t>
            </w:r>
            <w:r>
              <w:rPr>
                <w:spacing w:val="-2"/>
                <w:sz w:val="18"/>
              </w:rPr>
              <w:t> </w:t>
            </w:r>
            <w:r>
              <w:rPr>
                <w:sz w:val="18"/>
              </w:rPr>
              <w:t>000</w:t>
            </w:r>
            <w:r>
              <w:rPr>
                <w:spacing w:val="-2"/>
                <w:sz w:val="18"/>
              </w:rPr>
              <w:t> </w:t>
            </w:r>
            <w:r>
              <w:rPr>
                <w:spacing w:val="-5"/>
                <w:sz w:val="18"/>
              </w:rPr>
              <w:t>000</w:t>
            </w:r>
          </w:p>
        </w:tc>
        <w:tc>
          <w:tcPr>
            <w:tcW w:w="1524" w:type="dxa"/>
          </w:tcPr>
          <w:p>
            <w:pPr>
              <w:pStyle w:val="TableParagraph"/>
              <w:rPr>
                <w:b/>
                <w:sz w:val="18"/>
              </w:rPr>
            </w:pPr>
          </w:p>
          <w:p>
            <w:pPr>
              <w:pStyle w:val="TableParagraph"/>
              <w:spacing w:before="110"/>
              <w:rPr>
                <w:b/>
                <w:sz w:val="18"/>
              </w:rPr>
            </w:pPr>
          </w:p>
          <w:p>
            <w:pPr>
              <w:pStyle w:val="TableParagraph"/>
              <w:ind w:left="6" w:right="1"/>
              <w:jc w:val="center"/>
              <w:rPr>
                <w:sz w:val="18"/>
              </w:rPr>
            </w:pPr>
            <w:r>
              <w:rPr>
                <w:spacing w:val="-10"/>
                <w:sz w:val="18"/>
              </w:rPr>
              <w:t>3</w:t>
            </w:r>
          </w:p>
        </w:tc>
        <w:tc>
          <w:tcPr>
            <w:tcW w:w="1238" w:type="dxa"/>
          </w:tcPr>
          <w:p>
            <w:pPr>
              <w:pStyle w:val="TableParagraph"/>
              <w:rPr>
                <w:b/>
                <w:sz w:val="18"/>
              </w:rPr>
            </w:pPr>
          </w:p>
          <w:p>
            <w:pPr>
              <w:pStyle w:val="TableParagraph"/>
              <w:spacing w:before="110"/>
              <w:rPr>
                <w:b/>
                <w:sz w:val="18"/>
              </w:rPr>
            </w:pPr>
          </w:p>
          <w:p>
            <w:pPr>
              <w:pStyle w:val="TableParagraph"/>
              <w:ind w:left="133"/>
              <w:rPr>
                <w:sz w:val="18"/>
              </w:rPr>
            </w:pPr>
            <w:r>
              <w:rPr>
                <w:sz w:val="18"/>
              </w:rPr>
              <w:t>₡10</w:t>
            </w:r>
            <w:r>
              <w:rPr>
                <w:spacing w:val="-2"/>
                <w:sz w:val="18"/>
              </w:rPr>
              <w:t> </w:t>
            </w:r>
            <w:r>
              <w:rPr>
                <w:sz w:val="18"/>
              </w:rPr>
              <w:t>000</w:t>
            </w:r>
            <w:r>
              <w:rPr>
                <w:spacing w:val="-2"/>
                <w:sz w:val="18"/>
              </w:rPr>
              <w:t> </w:t>
            </w:r>
            <w:r>
              <w:rPr>
                <w:spacing w:val="-5"/>
                <w:sz w:val="18"/>
              </w:rPr>
              <w:t>000</w:t>
            </w:r>
          </w:p>
        </w:tc>
      </w:tr>
      <w:tr>
        <w:trPr>
          <w:trHeight w:val="1123" w:hRule="atLeast"/>
        </w:trPr>
        <w:tc>
          <w:tcPr>
            <w:tcW w:w="2127" w:type="dxa"/>
          </w:tcPr>
          <w:p>
            <w:pPr>
              <w:pStyle w:val="TableParagraph"/>
              <w:spacing w:before="44"/>
              <w:ind w:left="69"/>
              <w:rPr>
                <w:sz w:val="18"/>
              </w:rPr>
            </w:pPr>
            <w:r>
              <w:rPr>
                <w:b/>
                <w:sz w:val="18"/>
              </w:rPr>
              <w:t>Actividad</w:t>
            </w:r>
            <w:r>
              <w:rPr>
                <w:b/>
                <w:spacing w:val="-15"/>
                <w:sz w:val="18"/>
              </w:rPr>
              <w:t> </w:t>
            </w:r>
            <w:r>
              <w:rPr>
                <w:b/>
                <w:sz w:val="18"/>
              </w:rPr>
              <w:t>PAC</w:t>
            </w:r>
            <w:r>
              <w:rPr>
                <w:b/>
                <w:spacing w:val="-12"/>
                <w:sz w:val="18"/>
              </w:rPr>
              <w:t> </w:t>
            </w:r>
            <w:r>
              <w:rPr>
                <w:b/>
                <w:sz w:val="18"/>
              </w:rPr>
              <w:t>2.10.2: </w:t>
            </w:r>
            <w:r>
              <w:rPr>
                <w:sz w:val="18"/>
              </w:rPr>
              <w:t>Generar ingresos por gestión cobratoria de aportes Patronos Privados. (AT)</w:t>
            </w:r>
          </w:p>
        </w:tc>
        <w:tc>
          <w:tcPr>
            <w:tcW w:w="1135" w:type="dxa"/>
          </w:tcPr>
          <w:p>
            <w:pPr>
              <w:pStyle w:val="TableParagraph"/>
              <w:spacing w:before="44"/>
              <w:ind w:left="69" w:right="68"/>
              <w:rPr>
                <w:sz w:val="18"/>
              </w:rPr>
            </w:pPr>
            <w:r>
              <w:rPr>
                <w:sz w:val="18"/>
              </w:rPr>
              <w:t>Monto en </w:t>
            </w:r>
            <w:r>
              <w:rPr>
                <w:spacing w:val="-2"/>
                <w:sz w:val="18"/>
              </w:rPr>
              <w:t>colones </w:t>
            </w:r>
            <w:r>
              <w:rPr>
                <w:sz w:val="18"/>
              </w:rPr>
              <w:t>estimado</w:t>
            </w:r>
            <w:r>
              <w:rPr>
                <w:spacing w:val="-13"/>
                <w:sz w:val="18"/>
              </w:rPr>
              <w:t> </w:t>
            </w:r>
            <w:r>
              <w:rPr>
                <w:sz w:val="18"/>
              </w:rPr>
              <w:t>de los</w:t>
            </w:r>
            <w:r>
              <w:rPr>
                <w:spacing w:val="-13"/>
                <w:sz w:val="18"/>
              </w:rPr>
              <w:t> </w:t>
            </w:r>
            <w:r>
              <w:rPr>
                <w:sz w:val="18"/>
              </w:rPr>
              <w:t>ingresos </w:t>
            </w:r>
            <w:r>
              <w:rPr>
                <w:spacing w:val="-2"/>
                <w:sz w:val="18"/>
              </w:rPr>
              <w:t>tributarios</w:t>
            </w:r>
          </w:p>
        </w:tc>
        <w:tc>
          <w:tcPr>
            <w:tcW w:w="1520" w:type="dxa"/>
          </w:tcPr>
          <w:p>
            <w:pPr>
              <w:pStyle w:val="TableParagraph"/>
              <w:rPr>
                <w:b/>
                <w:sz w:val="18"/>
              </w:rPr>
            </w:pPr>
          </w:p>
          <w:p>
            <w:pPr>
              <w:pStyle w:val="TableParagraph"/>
              <w:spacing w:before="43"/>
              <w:rPr>
                <w:b/>
                <w:sz w:val="18"/>
              </w:rPr>
            </w:pPr>
          </w:p>
          <w:p>
            <w:pPr>
              <w:pStyle w:val="TableParagraph"/>
              <w:ind w:right="57"/>
              <w:jc w:val="right"/>
              <w:rPr>
                <w:sz w:val="18"/>
              </w:rPr>
            </w:pPr>
            <w:r>
              <w:rPr>
                <w:sz w:val="18"/>
              </w:rPr>
              <w:t>₡13</w:t>
            </w:r>
            <w:r>
              <w:rPr>
                <w:spacing w:val="-2"/>
                <w:sz w:val="18"/>
              </w:rPr>
              <w:t> </w:t>
            </w:r>
            <w:r>
              <w:rPr>
                <w:sz w:val="18"/>
              </w:rPr>
              <w:t>131</w:t>
            </w:r>
            <w:r>
              <w:rPr>
                <w:spacing w:val="-2"/>
                <w:sz w:val="18"/>
              </w:rPr>
              <w:t> </w:t>
            </w:r>
            <w:r>
              <w:rPr>
                <w:sz w:val="18"/>
              </w:rPr>
              <w:t>004</w:t>
            </w:r>
            <w:r>
              <w:rPr>
                <w:spacing w:val="-2"/>
                <w:sz w:val="18"/>
              </w:rPr>
              <w:t> </w:t>
            </w:r>
            <w:r>
              <w:rPr>
                <w:spacing w:val="-5"/>
                <w:sz w:val="18"/>
              </w:rPr>
              <w:t>003</w:t>
            </w:r>
          </w:p>
        </w:tc>
        <w:tc>
          <w:tcPr>
            <w:tcW w:w="1243" w:type="dxa"/>
          </w:tcPr>
          <w:p>
            <w:pPr>
              <w:pStyle w:val="TableParagraph"/>
              <w:rPr>
                <w:rFonts w:ascii="Times New Roman"/>
                <w:sz w:val="18"/>
              </w:rPr>
            </w:pPr>
          </w:p>
        </w:tc>
        <w:tc>
          <w:tcPr>
            <w:tcW w:w="1524" w:type="dxa"/>
          </w:tcPr>
          <w:p>
            <w:pPr>
              <w:pStyle w:val="TableParagraph"/>
              <w:rPr>
                <w:b/>
                <w:sz w:val="18"/>
              </w:rPr>
            </w:pPr>
          </w:p>
          <w:p>
            <w:pPr>
              <w:pStyle w:val="TableParagraph"/>
              <w:spacing w:before="43"/>
              <w:rPr>
                <w:b/>
                <w:sz w:val="18"/>
              </w:rPr>
            </w:pPr>
          </w:p>
          <w:p>
            <w:pPr>
              <w:pStyle w:val="TableParagraph"/>
              <w:ind w:right="59"/>
              <w:jc w:val="right"/>
              <w:rPr>
                <w:sz w:val="18"/>
              </w:rPr>
            </w:pPr>
            <w:r>
              <w:rPr>
                <w:sz w:val="18"/>
              </w:rPr>
              <w:t>₡13</w:t>
            </w:r>
            <w:r>
              <w:rPr>
                <w:spacing w:val="-3"/>
                <w:sz w:val="18"/>
              </w:rPr>
              <w:t> </w:t>
            </w:r>
            <w:r>
              <w:rPr>
                <w:sz w:val="18"/>
              </w:rPr>
              <w:t>902</w:t>
            </w:r>
            <w:r>
              <w:rPr>
                <w:spacing w:val="-3"/>
                <w:sz w:val="18"/>
              </w:rPr>
              <w:t> </w:t>
            </w:r>
            <w:r>
              <w:rPr>
                <w:sz w:val="18"/>
              </w:rPr>
              <w:t>834</w:t>
            </w:r>
            <w:r>
              <w:rPr>
                <w:spacing w:val="-2"/>
                <w:sz w:val="18"/>
              </w:rPr>
              <w:t> </w:t>
            </w:r>
            <w:r>
              <w:rPr>
                <w:spacing w:val="-5"/>
                <w:sz w:val="18"/>
              </w:rPr>
              <w:t>813</w:t>
            </w:r>
          </w:p>
        </w:tc>
        <w:tc>
          <w:tcPr>
            <w:tcW w:w="1239" w:type="dxa"/>
          </w:tcPr>
          <w:p>
            <w:pPr>
              <w:pStyle w:val="TableParagraph"/>
              <w:rPr>
                <w:rFonts w:ascii="Times New Roman"/>
                <w:sz w:val="18"/>
              </w:rPr>
            </w:pPr>
          </w:p>
        </w:tc>
        <w:tc>
          <w:tcPr>
            <w:tcW w:w="1524" w:type="dxa"/>
          </w:tcPr>
          <w:p>
            <w:pPr>
              <w:pStyle w:val="TableParagraph"/>
              <w:rPr>
                <w:b/>
                <w:sz w:val="18"/>
              </w:rPr>
            </w:pPr>
          </w:p>
          <w:p>
            <w:pPr>
              <w:pStyle w:val="TableParagraph"/>
              <w:spacing w:before="43"/>
              <w:rPr>
                <w:b/>
                <w:sz w:val="18"/>
              </w:rPr>
            </w:pPr>
          </w:p>
          <w:p>
            <w:pPr>
              <w:pStyle w:val="TableParagraph"/>
              <w:ind w:right="59"/>
              <w:jc w:val="right"/>
              <w:rPr>
                <w:sz w:val="18"/>
              </w:rPr>
            </w:pPr>
            <w:r>
              <w:rPr>
                <w:sz w:val="18"/>
              </w:rPr>
              <w:t>₡13</w:t>
            </w:r>
            <w:r>
              <w:rPr>
                <w:spacing w:val="-3"/>
                <w:sz w:val="18"/>
              </w:rPr>
              <w:t> </w:t>
            </w:r>
            <w:r>
              <w:rPr>
                <w:sz w:val="18"/>
              </w:rPr>
              <w:t>360</w:t>
            </w:r>
            <w:r>
              <w:rPr>
                <w:spacing w:val="-3"/>
                <w:sz w:val="18"/>
              </w:rPr>
              <w:t> </w:t>
            </w:r>
            <w:r>
              <w:rPr>
                <w:sz w:val="18"/>
              </w:rPr>
              <w:t>327</w:t>
            </w:r>
            <w:r>
              <w:rPr>
                <w:spacing w:val="-2"/>
                <w:sz w:val="18"/>
              </w:rPr>
              <w:t> </w:t>
            </w:r>
            <w:r>
              <w:rPr>
                <w:spacing w:val="-5"/>
                <w:sz w:val="18"/>
              </w:rPr>
              <w:t>781</w:t>
            </w:r>
          </w:p>
        </w:tc>
        <w:tc>
          <w:tcPr>
            <w:tcW w:w="1244" w:type="dxa"/>
          </w:tcPr>
          <w:p>
            <w:pPr>
              <w:pStyle w:val="TableParagraph"/>
              <w:rPr>
                <w:rFonts w:ascii="Times New Roman"/>
                <w:sz w:val="18"/>
              </w:rPr>
            </w:pPr>
          </w:p>
        </w:tc>
        <w:tc>
          <w:tcPr>
            <w:tcW w:w="1524" w:type="dxa"/>
          </w:tcPr>
          <w:p>
            <w:pPr>
              <w:pStyle w:val="TableParagraph"/>
              <w:rPr>
                <w:b/>
                <w:sz w:val="18"/>
              </w:rPr>
            </w:pPr>
          </w:p>
          <w:p>
            <w:pPr>
              <w:pStyle w:val="TableParagraph"/>
              <w:spacing w:before="43"/>
              <w:rPr>
                <w:b/>
                <w:sz w:val="18"/>
              </w:rPr>
            </w:pPr>
          </w:p>
          <w:p>
            <w:pPr>
              <w:pStyle w:val="TableParagraph"/>
              <w:ind w:right="60"/>
              <w:jc w:val="right"/>
              <w:rPr>
                <w:sz w:val="18"/>
              </w:rPr>
            </w:pPr>
            <w:r>
              <w:rPr>
                <w:sz w:val="18"/>
              </w:rPr>
              <w:t>₡13</w:t>
            </w:r>
            <w:r>
              <w:rPr>
                <w:spacing w:val="-3"/>
                <w:sz w:val="18"/>
              </w:rPr>
              <w:t> </w:t>
            </w:r>
            <w:r>
              <w:rPr>
                <w:sz w:val="18"/>
              </w:rPr>
              <w:t>595</w:t>
            </w:r>
            <w:r>
              <w:rPr>
                <w:spacing w:val="-3"/>
                <w:sz w:val="18"/>
              </w:rPr>
              <w:t> </w:t>
            </w:r>
            <w:r>
              <w:rPr>
                <w:sz w:val="18"/>
              </w:rPr>
              <w:t>980</w:t>
            </w:r>
            <w:r>
              <w:rPr>
                <w:spacing w:val="-2"/>
                <w:sz w:val="18"/>
              </w:rPr>
              <w:t> </w:t>
            </w:r>
            <w:r>
              <w:rPr>
                <w:spacing w:val="-5"/>
                <w:sz w:val="18"/>
              </w:rPr>
              <w:t>262</w:t>
            </w:r>
          </w:p>
        </w:tc>
        <w:tc>
          <w:tcPr>
            <w:tcW w:w="1238" w:type="dxa"/>
          </w:tcPr>
          <w:p>
            <w:pPr>
              <w:pStyle w:val="TableParagraph"/>
              <w:rPr>
                <w:rFonts w:ascii="Times New Roman"/>
                <w:sz w:val="18"/>
              </w:rPr>
            </w:pPr>
          </w:p>
        </w:tc>
      </w:tr>
      <w:tr>
        <w:trPr>
          <w:trHeight w:val="1273" w:hRule="atLeast"/>
        </w:trPr>
        <w:tc>
          <w:tcPr>
            <w:tcW w:w="2127" w:type="dxa"/>
          </w:tcPr>
          <w:p>
            <w:pPr>
              <w:pStyle w:val="TableParagraph"/>
              <w:spacing w:before="119"/>
              <w:ind w:left="69" w:right="79"/>
              <w:rPr>
                <w:sz w:val="18"/>
              </w:rPr>
            </w:pPr>
            <w:r>
              <w:rPr>
                <w:b/>
                <w:sz w:val="18"/>
              </w:rPr>
              <w:t>Actividad</w:t>
            </w:r>
            <w:r>
              <w:rPr>
                <w:b/>
                <w:spacing w:val="-15"/>
                <w:sz w:val="18"/>
              </w:rPr>
              <w:t> </w:t>
            </w:r>
            <w:r>
              <w:rPr>
                <w:b/>
                <w:sz w:val="18"/>
              </w:rPr>
              <w:t>PAC</w:t>
            </w:r>
            <w:r>
              <w:rPr>
                <w:b/>
                <w:spacing w:val="-12"/>
                <w:sz w:val="18"/>
              </w:rPr>
              <w:t> </w:t>
            </w:r>
            <w:r>
              <w:rPr>
                <w:b/>
                <w:sz w:val="18"/>
              </w:rPr>
              <w:t>2.10.3: </w:t>
            </w:r>
            <w:r>
              <w:rPr>
                <w:sz w:val="18"/>
              </w:rPr>
              <w:t>Generar ingresos por gestión cobratoria de aportes Patronos Público. (AT)</w:t>
            </w:r>
          </w:p>
        </w:tc>
        <w:tc>
          <w:tcPr>
            <w:tcW w:w="1135" w:type="dxa"/>
          </w:tcPr>
          <w:p>
            <w:pPr>
              <w:pStyle w:val="TableParagraph"/>
              <w:spacing w:before="119"/>
              <w:ind w:left="69" w:right="68"/>
              <w:rPr>
                <w:sz w:val="18"/>
              </w:rPr>
            </w:pPr>
            <w:r>
              <w:rPr>
                <w:sz w:val="18"/>
              </w:rPr>
              <w:t>Monto en </w:t>
            </w:r>
            <w:r>
              <w:rPr>
                <w:spacing w:val="-2"/>
                <w:sz w:val="18"/>
              </w:rPr>
              <w:t>colones </w:t>
            </w:r>
            <w:r>
              <w:rPr>
                <w:sz w:val="18"/>
              </w:rPr>
              <w:t>estimado</w:t>
            </w:r>
            <w:r>
              <w:rPr>
                <w:spacing w:val="-13"/>
                <w:sz w:val="18"/>
              </w:rPr>
              <w:t> </w:t>
            </w:r>
            <w:r>
              <w:rPr>
                <w:sz w:val="18"/>
              </w:rPr>
              <w:t>de los</w:t>
            </w:r>
            <w:r>
              <w:rPr>
                <w:spacing w:val="-13"/>
                <w:sz w:val="18"/>
              </w:rPr>
              <w:t> </w:t>
            </w:r>
            <w:r>
              <w:rPr>
                <w:sz w:val="18"/>
              </w:rPr>
              <w:t>ingresos </w:t>
            </w:r>
            <w:r>
              <w:rPr>
                <w:spacing w:val="-2"/>
                <w:sz w:val="18"/>
              </w:rPr>
              <w:t>tributarios</w:t>
            </w:r>
          </w:p>
        </w:tc>
        <w:tc>
          <w:tcPr>
            <w:tcW w:w="1520" w:type="dxa"/>
          </w:tcPr>
          <w:p>
            <w:pPr>
              <w:pStyle w:val="TableParagraph"/>
              <w:rPr>
                <w:b/>
                <w:sz w:val="18"/>
              </w:rPr>
            </w:pPr>
          </w:p>
          <w:p>
            <w:pPr>
              <w:pStyle w:val="TableParagraph"/>
              <w:spacing w:before="120"/>
              <w:rPr>
                <w:b/>
                <w:sz w:val="18"/>
              </w:rPr>
            </w:pPr>
          </w:p>
          <w:p>
            <w:pPr>
              <w:pStyle w:val="TableParagraph"/>
              <w:ind w:right="58"/>
              <w:jc w:val="right"/>
              <w:rPr>
                <w:sz w:val="18"/>
              </w:rPr>
            </w:pPr>
            <w:r>
              <w:rPr>
                <w:sz w:val="18"/>
              </w:rPr>
              <w:t>₡1</w:t>
            </w:r>
            <w:r>
              <w:rPr>
                <w:spacing w:val="-1"/>
                <w:sz w:val="18"/>
              </w:rPr>
              <w:t> </w:t>
            </w:r>
            <w:r>
              <w:rPr>
                <w:sz w:val="18"/>
              </w:rPr>
              <w:t>484</w:t>
            </w:r>
            <w:r>
              <w:rPr>
                <w:spacing w:val="-2"/>
                <w:sz w:val="18"/>
              </w:rPr>
              <w:t> </w:t>
            </w:r>
            <w:r>
              <w:rPr>
                <w:sz w:val="18"/>
              </w:rPr>
              <w:t>729</w:t>
            </w:r>
            <w:r>
              <w:rPr>
                <w:spacing w:val="-2"/>
                <w:sz w:val="18"/>
              </w:rPr>
              <w:t> </w:t>
            </w:r>
            <w:r>
              <w:rPr>
                <w:spacing w:val="-5"/>
                <w:sz w:val="18"/>
              </w:rPr>
              <w:t>546</w:t>
            </w:r>
          </w:p>
        </w:tc>
        <w:tc>
          <w:tcPr>
            <w:tcW w:w="1243" w:type="dxa"/>
          </w:tcPr>
          <w:p>
            <w:pPr>
              <w:pStyle w:val="TableParagraph"/>
              <w:rPr>
                <w:rFonts w:ascii="Times New Roman"/>
                <w:sz w:val="18"/>
              </w:rPr>
            </w:pPr>
          </w:p>
        </w:tc>
        <w:tc>
          <w:tcPr>
            <w:tcW w:w="1524" w:type="dxa"/>
          </w:tcPr>
          <w:p>
            <w:pPr>
              <w:pStyle w:val="TableParagraph"/>
              <w:rPr>
                <w:b/>
                <w:sz w:val="18"/>
              </w:rPr>
            </w:pPr>
          </w:p>
          <w:p>
            <w:pPr>
              <w:pStyle w:val="TableParagraph"/>
              <w:spacing w:before="120"/>
              <w:rPr>
                <w:b/>
                <w:sz w:val="18"/>
              </w:rPr>
            </w:pPr>
          </w:p>
          <w:p>
            <w:pPr>
              <w:pStyle w:val="TableParagraph"/>
              <w:ind w:right="59"/>
              <w:jc w:val="right"/>
              <w:rPr>
                <w:sz w:val="18"/>
              </w:rPr>
            </w:pPr>
            <w:r>
              <w:rPr>
                <w:sz w:val="18"/>
              </w:rPr>
              <w:t>₡1</w:t>
            </w:r>
            <w:r>
              <w:rPr>
                <w:spacing w:val="-1"/>
                <w:sz w:val="18"/>
              </w:rPr>
              <w:t> </w:t>
            </w:r>
            <w:r>
              <w:rPr>
                <w:sz w:val="18"/>
              </w:rPr>
              <w:t>142</w:t>
            </w:r>
            <w:r>
              <w:rPr>
                <w:spacing w:val="-2"/>
                <w:sz w:val="18"/>
              </w:rPr>
              <w:t> </w:t>
            </w:r>
            <w:r>
              <w:rPr>
                <w:sz w:val="18"/>
              </w:rPr>
              <w:t>976</w:t>
            </w:r>
            <w:r>
              <w:rPr>
                <w:spacing w:val="-2"/>
                <w:sz w:val="18"/>
              </w:rPr>
              <w:t> </w:t>
            </w:r>
            <w:r>
              <w:rPr>
                <w:spacing w:val="-5"/>
                <w:sz w:val="18"/>
              </w:rPr>
              <w:t>257</w:t>
            </w:r>
          </w:p>
        </w:tc>
        <w:tc>
          <w:tcPr>
            <w:tcW w:w="1239" w:type="dxa"/>
          </w:tcPr>
          <w:p>
            <w:pPr>
              <w:pStyle w:val="TableParagraph"/>
              <w:rPr>
                <w:rFonts w:ascii="Times New Roman"/>
                <w:sz w:val="18"/>
              </w:rPr>
            </w:pPr>
          </w:p>
        </w:tc>
        <w:tc>
          <w:tcPr>
            <w:tcW w:w="1524" w:type="dxa"/>
          </w:tcPr>
          <w:p>
            <w:pPr>
              <w:pStyle w:val="TableParagraph"/>
              <w:rPr>
                <w:b/>
                <w:sz w:val="18"/>
              </w:rPr>
            </w:pPr>
          </w:p>
          <w:p>
            <w:pPr>
              <w:pStyle w:val="TableParagraph"/>
              <w:spacing w:before="120"/>
              <w:rPr>
                <w:b/>
                <w:sz w:val="18"/>
              </w:rPr>
            </w:pPr>
          </w:p>
          <w:p>
            <w:pPr>
              <w:pStyle w:val="TableParagraph"/>
              <w:ind w:right="60"/>
              <w:jc w:val="right"/>
              <w:rPr>
                <w:sz w:val="18"/>
              </w:rPr>
            </w:pPr>
            <w:r>
              <w:rPr>
                <w:sz w:val="18"/>
              </w:rPr>
              <w:t>₡1</w:t>
            </w:r>
            <w:r>
              <w:rPr>
                <w:spacing w:val="-1"/>
                <w:sz w:val="18"/>
              </w:rPr>
              <w:t> </w:t>
            </w:r>
            <w:r>
              <w:rPr>
                <w:sz w:val="18"/>
              </w:rPr>
              <w:t>115</w:t>
            </w:r>
            <w:r>
              <w:rPr>
                <w:spacing w:val="-2"/>
                <w:sz w:val="18"/>
              </w:rPr>
              <w:t> </w:t>
            </w:r>
            <w:r>
              <w:rPr>
                <w:sz w:val="18"/>
              </w:rPr>
              <w:t>132</w:t>
            </w:r>
            <w:r>
              <w:rPr>
                <w:spacing w:val="-2"/>
                <w:sz w:val="18"/>
              </w:rPr>
              <w:t> </w:t>
            </w:r>
            <w:r>
              <w:rPr>
                <w:spacing w:val="-5"/>
                <w:sz w:val="18"/>
              </w:rPr>
              <w:t>531</w:t>
            </w:r>
          </w:p>
        </w:tc>
        <w:tc>
          <w:tcPr>
            <w:tcW w:w="1244" w:type="dxa"/>
          </w:tcPr>
          <w:p>
            <w:pPr>
              <w:pStyle w:val="TableParagraph"/>
              <w:rPr>
                <w:rFonts w:ascii="Times New Roman"/>
                <w:sz w:val="18"/>
              </w:rPr>
            </w:pPr>
          </w:p>
        </w:tc>
        <w:tc>
          <w:tcPr>
            <w:tcW w:w="1524" w:type="dxa"/>
          </w:tcPr>
          <w:p>
            <w:pPr>
              <w:pStyle w:val="TableParagraph"/>
              <w:rPr>
                <w:b/>
                <w:sz w:val="18"/>
              </w:rPr>
            </w:pPr>
          </w:p>
          <w:p>
            <w:pPr>
              <w:pStyle w:val="TableParagraph"/>
              <w:spacing w:before="120"/>
              <w:rPr>
                <w:b/>
                <w:sz w:val="18"/>
              </w:rPr>
            </w:pPr>
          </w:p>
          <w:p>
            <w:pPr>
              <w:pStyle w:val="TableParagraph"/>
              <w:ind w:right="60"/>
              <w:jc w:val="right"/>
              <w:rPr>
                <w:sz w:val="18"/>
              </w:rPr>
            </w:pPr>
            <w:r>
              <w:rPr>
                <w:sz w:val="18"/>
              </w:rPr>
              <w:t>₡1</w:t>
            </w:r>
            <w:r>
              <w:rPr>
                <w:spacing w:val="-1"/>
                <w:sz w:val="18"/>
              </w:rPr>
              <w:t> </w:t>
            </w:r>
            <w:r>
              <w:rPr>
                <w:sz w:val="18"/>
              </w:rPr>
              <w:t>124</w:t>
            </w:r>
            <w:r>
              <w:rPr>
                <w:spacing w:val="-2"/>
                <w:sz w:val="18"/>
              </w:rPr>
              <w:t> </w:t>
            </w:r>
            <w:r>
              <w:rPr>
                <w:sz w:val="18"/>
              </w:rPr>
              <w:t>648</w:t>
            </w:r>
            <w:r>
              <w:rPr>
                <w:spacing w:val="-2"/>
                <w:sz w:val="18"/>
              </w:rPr>
              <w:t> </w:t>
            </w:r>
            <w:r>
              <w:rPr>
                <w:spacing w:val="-5"/>
                <w:sz w:val="18"/>
              </w:rPr>
              <w:t>896</w:t>
            </w:r>
          </w:p>
        </w:tc>
        <w:tc>
          <w:tcPr>
            <w:tcW w:w="1238" w:type="dxa"/>
          </w:tcPr>
          <w:p>
            <w:pPr>
              <w:pStyle w:val="TableParagraph"/>
              <w:rPr>
                <w:rFonts w:ascii="Times New Roman"/>
                <w:sz w:val="18"/>
              </w:rPr>
            </w:pPr>
          </w:p>
        </w:tc>
      </w:tr>
      <w:tr>
        <w:trPr>
          <w:trHeight w:val="1217" w:hRule="atLeast"/>
        </w:trPr>
        <w:tc>
          <w:tcPr>
            <w:tcW w:w="2127" w:type="dxa"/>
          </w:tcPr>
          <w:p>
            <w:pPr>
              <w:pStyle w:val="TableParagraph"/>
              <w:spacing w:before="90"/>
              <w:ind w:left="69"/>
              <w:rPr>
                <w:sz w:val="18"/>
              </w:rPr>
            </w:pPr>
            <w:r>
              <w:rPr>
                <w:b/>
                <w:sz w:val="18"/>
              </w:rPr>
              <w:t>Actividad</w:t>
            </w:r>
            <w:r>
              <w:rPr>
                <w:b/>
                <w:spacing w:val="-15"/>
                <w:sz w:val="18"/>
              </w:rPr>
              <w:t> </w:t>
            </w:r>
            <w:r>
              <w:rPr>
                <w:b/>
                <w:sz w:val="18"/>
              </w:rPr>
              <w:t>PAC</w:t>
            </w:r>
            <w:r>
              <w:rPr>
                <w:b/>
                <w:spacing w:val="-12"/>
                <w:sz w:val="18"/>
              </w:rPr>
              <w:t> </w:t>
            </w:r>
            <w:r>
              <w:rPr>
                <w:b/>
                <w:sz w:val="18"/>
              </w:rPr>
              <w:t>2.10.4: </w:t>
            </w:r>
            <w:r>
              <w:rPr>
                <w:sz w:val="18"/>
              </w:rPr>
              <w:t>Generar ingresos por gestión cobratoria del Impuesto a Moteles y Afines. (AT)</w:t>
            </w:r>
          </w:p>
        </w:tc>
        <w:tc>
          <w:tcPr>
            <w:tcW w:w="1135" w:type="dxa"/>
          </w:tcPr>
          <w:p>
            <w:pPr>
              <w:pStyle w:val="TableParagraph"/>
              <w:spacing w:before="90"/>
              <w:ind w:left="69" w:right="68"/>
              <w:rPr>
                <w:sz w:val="18"/>
              </w:rPr>
            </w:pPr>
            <w:r>
              <w:rPr>
                <w:sz w:val="18"/>
              </w:rPr>
              <w:t>Monto en </w:t>
            </w:r>
            <w:r>
              <w:rPr>
                <w:spacing w:val="-2"/>
                <w:sz w:val="18"/>
              </w:rPr>
              <w:t>colones </w:t>
            </w:r>
            <w:r>
              <w:rPr>
                <w:sz w:val="18"/>
              </w:rPr>
              <w:t>estimado</w:t>
            </w:r>
            <w:r>
              <w:rPr>
                <w:spacing w:val="-13"/>
                <w:sz w:val="18"/>
              </w:rPr>
              <w:t> </w:t>
            </w:r>
            <w:r>
              <w:rPr>
                <w:sz w:val="18"/>
              </w:rPr>
              <w:t>de los</w:t>
            </w:r>
            <w:r>
              <w:rPr>
                <w:spacing w:val="-13"/>
                <w:sz w:val="18"/>
              </w:rPr>
              <w:t> </w:t>
            </w:r>
            <w:r>
              <w:rPr>
                <w:sz w:val="18"/>
              </w:rPr>
              <w:t>ingresos </w:t>
            </w:r>
            <w:r>
              <w:rPr>
                <w:spacing w:val="-2"/>
                <w:sz w:val="18"/>
              </w:rPr>
              <w:t>tributarios</w:t>
            </w:r>
          </w:p>
        </w:tc>
        <w:tc>
          <w:tcPr>
            <w:tcW w:w="1520" w:type="dxa"/>
          </w:tcPr>
          <w:p>
            <w:pPr>
              <w:pStyle w:val="TableParagraph"/>
              <w:rPr>
                <w:b/>
                <w:sz w:val="18"/>
              </w:rPr>
            </w:pPr>
          </w:p>
          <w:p>
            <w:pPr>
              <w:pStyle w:val="TableParagraph"/>
              <w:spacing w:before="91"/>
              <w:rPr>
                <w:b/>
                <w:sz w:val="18"/>
              </w:rPr>
            </w:pPr>
          </w:p>
          <w:p>
            <w:pPr>
              <w:pStyle w:val="TableParagraph"/>
              <w:ind w:right="57"/>
              <w:jc w:val="right"/>
              <w:rPr>
                <w:sz w:val="18"/>
              </w:rPr>
            </w:pPr>
            <w:r>
              <w:rPr>
                <w:sz w:val="18"/>
              </w:rPr>
              <w:t>₡321</w:t>
            </w:r>
            <w:r>
              <w:rPr>
                <w:spacing w:val="-2"/>
                <w:sz w:val="18"/>
              </w:rPr>
              <w:t> </w:t>
            </w:r>
            <w:r>
              <w:rPr>
                <w:sz w:val="18"/>
              </w:rPr>
              <w:t>027</w:t>
            </w:r>
            <w:r>
              <w:rPr>
                <w:spacing w:val="-2"/>
                <w:sz w:val="18"/>
              </w:rPr>
              <w:t> </w:t>
            </w:r>
            <w:r>
              <w:rPr>
                <w:spacing w:val="-5"/>
                <w:sz w:val="18"/>
              </w:rPr>
              <w:t>607</w:t>
            </w:r>
          </w:p>
        </w:tc>
        <w:tc>
          <w:tcPr>
            <w:tcW w:w="1243" w:type="dxa"/>
          </w:tcPr>
          <w:p>
            <w:pPr>
              <w:pStyle w:val="TableParagraph"/>
              <w:rPr>
                <w:rFonts w:ascii="Times New Roman"/>
                <w:sz w:val="18"/>
              </w:rPr>
            </w:pPr>
          </w:p>
        </w:tc>
        <w:tc>
          <w:tcPr>
            <w:tcW w:w="1524" w:type="dxa"/>
          </w:tcPr>
          <w:p>
            <w:pPr>
              <w:pStyle w:val="TableParagraph"/>
              <w:rPr>
                <w:b/>
                <w:sz w:val="18"/>
              </w:rPr>
            </w:pPr>
          </w:p>
          <w:p>
            <w:pPr>
              <w:pStyle w:val="TableParagraph"/>
              <w:spacing w:before="91"/>
              <w:rPr>
                <w:b/>
                <w:sz w:val="18"/>
              </w:rPr>
            </w:pPr>
          </w:p>
          <w:p>
            <w:pPr>
              <w:pStyle w:val="TableParagraph"/>
              <w:ind w:right="59"/>
              <w:jc w:val="right"/>
              <w:rPr>
                <w:sz w:val="18"/>
              </w:rPr>
            </w:pPr>
            <w:r>
              <w:rPr>
                <w:sz w:val="18"/>
              </w:rPr>
              <w:t>₡321</w:t>
            </w:r>
            <w:r>
              <w:rPr>
                <w:spacing w:val="-2"/>
                <w:sz w:val="18"/>
              </w:rPr>
              <w:t> </w:t>
            </w:r>
            <w:r>
              <w:rPr>
                <w:sz w:val="18"/>
              </w:rPr>
              <w:t>216</w:t>
            </w:r>
            <w:r>
              <w:rPr>
                <w:spacing w:val="-2"/>
                <w:sz w:val="18"/>
              </w:rPr>
              <w:t> </w:t>
            </w:r>
            <w:r>
              <w:rPr>
                <w:spacing w:val="-5"/>
                <w:sz w:val="18"/>
              </w:rPr>
              <w:t>526</w:t>
            </w:r>
          </w:p>
        </w:tc>
        <w:tc>
          <w:tcPr>
            <w:tcW w:w="1239" w:type="dxa"/>
          </w:tcPr>
          <w:p>
            <w:pPr>
              <w:pStyle w:val="TableParagraph"/>
              <w:rPr>
                <w:rFonts w:ascii="Times New Roman"/>
                <w:sz w:val="18"/>
              </w:rPr>
            </w:pPr>
          </w:p>
        </w:tc>
        <w:tc>
          <w:tcPr>
            <w:tcW w:w="1524" w:type="dxa"/>
          </w:tcPr>
          <w:p>
            <w:pPr>
              <w:pStyle w:val="TableParagraph"/>
              <w:rPr>
                <w:b/>
                <w:sz w:val="18"/>
              </w:rPr>
            </w:pPr>
          </w:p>
          <w:p>
            <w:pPr>
              <w:pStyle w:val="TableParagraph"/>
              <w:spacing w:before="91"/>
              <w:rPr>
                <w:b/>
                <w:sz w:val="18"/>
              </w:rPr>
            </w:pPr>
          </w:p>
          <w:p>
            <w:pPr>
              <w:pStyle w:val="TableParagraph"/>
              <w:ind w:right="59"/>
              <w:jc w:val="right"/>
              <w:rPr>
                <w:sz w:val="18"/>
              </w:rPr>
            </w:pPr>
            <w:r>
              <w:rPr>
                <w:sz w:val="18"/>
              </w:rPr>
              <w:t>₡291</w:t>
            </w:r>
            <w:r>
              <w:rPr>
                <w:spacing w:val="-2"/>
                <w:sz w:val="18"/>
              </w:rPr>
              <w:t> </w:t>
            </w:r>
            <w:r>
              <w:rPr>
                <w:sz w:val="18"/>
              </w:rPr>
              <w:t>888</w:t>
            </w:r>
            <w:r>
              <w:rPr>
                <w:spacing w:val="-2"/>
                <w:sz w:val="18"/>
              </w:rPr>
              <w:t> </w:t>
            </w:r>
            <w:r>
              <w:rPr>
                <w:spacing w:val="-5"/>
                <w:sz w:val="18"/>
              </w:rPr>
              <w:t>922</w:t>
            </w:r>
          </w:p>
        </w:tc>
        <w:tc>
          <w:tcPr>
            <w:tcW w:w="1244" w:type="dxa"/>
          </w:tcPr>
          <w:p>
            <w:pPr>
              <w:pStyle w:val="TableParagraph"/>
              <w:rPr>
                <w:rFonts w:ascii="Times New Roman"/>
                <w:sz w:val="18"/>
              </w:rPr>
            </w:pPr>
          </w:p>
        </w:tc>
        <w:tc>
          <w:tcPr>
            <w:tcW w:w="1524" w:type="dxa"/>
          </w:tcPr>
          <w:p>
            <w:pPr>
              <w:pStyle w:val="TableParagraph"/>
              <w:rPr>
                <w:b/>
                <w:sz w:val="18"/>
              </w:rPr>
            </w:pPr>
          </w:p>
          <w:p>
            <w:pPr>
              <w:pStyle w:val="TableParagraph"/>
              <w:spacing w:before="91"/>
              <w:rPr>
                <w:b/>
                <w:sz w:val="18"/>
              </w:rPr>
            </w:pPr>
          </w:p>
          <w:p>
            <w:pPr>
              <w:pStyle w:val="TableParagraph"/>
              <w:ind w:right="59"/>
              <w:jc w:val="right"/>
              <w:rPr>
                <w:sz w:val="18"/>
              </w:rPr>
            </w:pPr>
            <w:r>
              <w:rPr>
                <w:sz w:val="18"/>
              </w:rPr>
              <w:t>₡321</w:t>
            </w:r>
            <w:r>
              <w:rPr>
                <w:spacing w:val="-2"/>
                <w:sz w:val="18"/>
              </w:rPr>
              <w:t> </w:t>
            </w:r>
            <w:r>
              <w:rPr>
                <w:sz w:val="18"/>
              </w:rPr>
              <w:t>084</w:t>
            </w:r>
            <w:r>
              <w:rPr>
                <w:spacing w:val="-2"/>
                <w:sz w:val="18"/>
              </w:rPr>
              <w:t> </w:t>
            </w:r>
            <w:r>
              <w:rPr>
                <w:spacing w:val="-5"/>
                <w:sz w:val="18"/>
              </w:rPr>
              <w:t>075</w:t>
            </w:r>
          </w:p>
        </w:tc>
        <w:tc>
          <w:tcPr>
            <w:tcW w:w="1238"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7"/>
        <w:gridCol w:w="1135"/>
        <w:gridCol w:w="1520"/>
        <w:gridCol w:w="1243"/>
        <w:gridCol w:w="1524"/>
        <w:gridCol w:w="1239"/>
        <w:gridCol w:w="1524"/>
        <w:gridCol w:w="1244"/>
        <w:gridCol w:w="1524"/>
        <w:gridCol w:w="1238"/>
      </w:tblGrid>
      <w:tr>
        <w:trPr>
          <w:trHeight w:val="1096" w:hRule="atLeast"/>
        </w:trPr>
        <w:tc>
          <w:tcPr>
            <w:tcW w:w="2127" w:type="dxa"/>
          </w:tcPr>
          <w:p>
            <w:pPr>
              <w:pStyle w:val="TableParagraph"/>
              <w:spacing w:before="30"/>
              <w:ind w:left="69" w:right="79"/>
              <w:rPr>
                <w:sz w:val="18"/>
              </w:rPr>
            </w:pPr>
            <w:r>
              <w:rPr>
                <w:b/>
                <w:sz w:val="18"/>
              </w:rPr>
              <w:t>Actividad</w:t>
            </w:r>
            <w:r>
              <w:rPr>
                <w:b/>
                <w:spacing w:val="-15"/>
                <w:sz w:val="18"/>
              </w:rPr>
              <w:t> </w:t>
            </w:r>
            <w:r>
              <w:rPr>
                <w:b/>
                <w:sz w:val="18"/>
              </w:rPr>
              <w:t>PAC</w:t>
            </w:r>
            <w:r>
              <w:rPr>
                <w:b/>
                <w:spacing w:val="-12"/>
                <w:sz w:val="18"/>
              </w:rPr>
              <w:t> </w:t>
            </w:r>
            <w:r>
              <w:rPr>
                <w:b/>
                <w:sz w:val="18"/>
              </w:rPr>
              <w:t>2.10.5: </w:t>
            </w:r>
            <w:r>
              <w:rPr>
                <w:sz w:val="18"/>
              </w:rPr>
              <w:t>Generar ingresos por gestión cobratoria de recargos e intereses. </w:t>
            </w:r>
            <w:r>
              <w:rPr>
                <w:spacing w:val="-4"/>
                <w:sz w:val="18"/>
              </w:rPr>
              <w:t>(AT)</w:t>
            </w:r>
          </w:p>
        </w:tc>
        <w:tc>
          <w:tcPr>
            <w:tcW w:w="1135" w:type="dxa"/>
          </w:tcPr>
          <w:p>
            <w:pPr>
              <w:pStyle w:val="TableParagraph"/>
              <w:spacing w:before="30"/>
              <w:ind w:left="69" w:right="68"/>
              <w:rPr>
                <w:sz w:val="18"/>
              </w:rPr>
            </w:pPr>
            <w:r>
              <w:rPr>
                <w:sz w:val="18"/>
              </w:rPr>
              <w:t>Monto en </w:t>
            </w:r>
            <w:r>
              <w:rPr>
                <w:spacing w:val="-2"/>
                <w:sz w:val="18"/>
              </w:rPr>
              <w:t>colones </w:t>
            </w:r>
            <w:r>
              <w:rPr>
                <w:sz w:val="18"/>
              </w:rPr>
              <w:t>estimado</w:t>
            </w:r>
            <w:r>
              <w:rPr>
                <w:spacing w:val="-13"/>
                <w:sz w:val="18"/>
              </w:rPr>
              <w:t> </w:t>
            </w:r>
            <w:r>
              <w:rPr>
                <w:sz w:val="18"/>
              </w:rPr>
              <w:t>de los</w:t>
            </w:r>
            <w:r>
              <w:rPr>
                <w:spacing w:val="-13"/>
                <w:sz w:val="18"/>
              </w:rPr>
              <w:t> </w:t>
            </w:r>
            <w:r>
              <w:rPr>
                <w:sz w:val="18"/>
              </w:rPr>
              <w:t>ingresos </w:t>
            </w:r>
            <w:r>
              <w:rPr>
                <w:spacing w:val="-2"/>
                <w:sz w:val="18"/>
              </w:rPr>
              <w:t>tributarios</w:t>
            </w:r>
          </w:p>
        </w:tc>
        <w:tc>
          <w:tcPr>
            <w:tcW w:w="1520" w:type="dxa"/>
          </w:tcPr>
          <w:p>
            <w:pPr>
              <w:pStyle w:val="TableParagraph"/>
              <w:rPr>
                <w:b/>
                <w:sz w:val="18"/>
              </w:rPr>
            </w:pPr>
          </w:p>
          <w:p>
            <w:pPr>
              <w:pStyle w:val="TableParagraph"/>
              <w:spacing w:before="29"/>
              <w:rPr>
                <w:b/>
                <w:sz w:val="18"/>
              </w:rPr>
            </w:pPr>
          </w:p>
          <w:p>
            <w:pPr>
              <w:pStyle w:val="TableParagraph"/>
              <w:ind w:left="417"/>
              <w:rPr>
                <w:sz w:val="18"/>
              </w:rPr>
            </w:pPr>
            <w:r>
              <w:rPr>
                <w:sz w:val="18"/>
              </w:rPr>
              <w:t>₡66</w:t>
            </w:r>
            <w:r>
              <w:rPr>
                <w:spacing w:val="-2"/>
                <w:sz w:val="18"/>
              </w:rPr>
              <w:t> </w:t>
            </w:r>
            <w:r>
              <w:rPr>
                <w:sz w:val="18"/>
              </w:rPr>
              <w:t>284</w:t>
            </w:r>
            <w:r>
              <w:rPr>
                <w:spacing w:val="-2"/>
                <w:sz w:val="18"/>
              </w:rPr>
              <w:t> </w:t>
            </w:r>
            <w:r>
              <w:rPr>
                <w:spacing w:val="-5"/>
                <w:sz w:val="18"/>
              </w:rPr>
              <w:t>910</w:t>
            </w:r>
          </w:p>
        </w:tc>
        <w:tc>
          <w:tcPr>
            <w:tcW w:w="1243" w:type="dxa"/>
          </w:tcPr>
          <w:p>
            <w:pPr>
              <w:pStyle w:val="TableParagraph"/>
              <w:rPr>
                <w:rFonts w:ascii="Times New Roman"/>
                <w:sz w:val="18"/>
              </w:rPr>
            </w:pPr>
          </w:p>
        </w:tc>
        <w:tc>
          <w:tcPr>
            <w:tcW w:w="1524" w:type="dxa"/>
          </w:tcPr>
          <w:p>
            <w:pPr>
              <w:pStyle w:val="TableParagraph"/>
              <w:rPr>
                <w:b/>
                <w:sz w:val="18"/>
              </w:rPr>
            </w:pPr>
          </w:p>
          <w:p>
            <w:pPr>
              <w:pStyle w:val="TableParagraph"/>
              <w:spacing w:before="29"/>
              <w:rPr>
                <w:b/>
                <w:sz w:val="18"/>
              </w:rPr>
            </w:pPr>
          </w:p>
          <w:p>
            <w:pPr>
              <w:pStyle w:val="TableParagraph"/>
              <w:ind w:left="419"/>
              <w:rPr>
                <w:sz w:val="18"/>
              </w:rPr>
            </w:pPr>
            <w:r>
              <w:rPr>
                <w:sz w:val="18"/>
              </w:rPr>
              <w:t>₡66</w:t>
            </w:r>
            <w:r>
              <w:rPr>
                <w:spacing w:val="-2"/>
                <w:sz w:val="18"/>
              </w:rPr>
              <w:t> </w:t>
            </w:r>
            <w:r>
              <w:rPr>
                <w:sz w:val="18"/>
              </w:rPr>
              <w:t>956</w:t>
            </w:r>
            <w:r>
              <w:rPr>
                <w:spacing w:val="-2"/>
                <w:sz w:val="18"/>
              </w:rPr>
              <w:t> </w:t>
            </w:r>
            <w:r>
              <w:rPr>
                <w:spacing w:val="-5"/>
                <w:sz w:val="18"/>
              </w:rPr>
              <w:t>462</w:t>
            </w:r>
          </w:p>
        </w:tc>
        <w:tc>
          <w:tcPr>
            <w:tcW w:w="1239" w:type="dxa"/>
          </w:tcPr>
          <w:p>
            <w:pPr>
              <w:pStyle w:val="TableParagraph"/>
              <w:rPr>
                <w:rFonts w:ascii="Times New Roman"/>
                <w:sz w:val="18"/>
              </w:rPr>
            </w:pPr>
          </w:p>
        </w:tc>
        <w:tc>
          <w:tcPr>
            <w:tcW w:w="1524" w:type="dxa"/>
          </w:tcPr>
          <w:p>
            <w:pPr>
              <w:pStyle w:val="TableParagraph"/>
              <w:rPr>
                <w:b/>
                <w:sz w:val="18"/>
              </w:rPr>
            </w:pPr>
          </w:p>
          <w:p>
            <w:pPr>
              <w:pStyle w:val="TableParagraph"/>
              <w:spacing w:before="29"/>
              <w:rPr>
                <w:b/>
                <w:sz w:val="18"/>
              </w:rPr>
            </w:pPr>
          </w:p>
          <w:p>
            <w:pPr>
              <w:pStyle w:val="TableParagraph"/>
              <w:ind w:left="419"/>
              <w:rPr>
                <w:sz w:val="18"/>
              </w:rPr>
            </w:pPr>
            <w:r>
              <w:rPr>
                <w:sz w:val="18"/>
              </w:rPr>
              <w:t>₡60</w:t>
            </w:r>
            <w:r>
              <w:rPr>
                <w:spacing w:val="-2"/>
                <w:sz w:val="18"/>
              </w:rPr>
              <w:t> </w:t>
            </w:r>
            <w:r>
              <w:rPr>
                <w:sz w:val="18"/>
              </w:rPr>
              <w:t>297</w:t>
            </w:r>
            <w:r>
              <w:rPr>
                <w:spacing w:val="-2"/>
                <w:sz w:val="18"/>
              </w:rPr>
              <w:t> </w:t>
            </w:r>
            <w:r>
              <w:rPr>
                <w:spacing w:val="-5"/>
                <w:sz w:val="18"/>
              </w:rPr>
              <w:t>033</w:t>
            </w:r>
          </w:p>
        </w:tc>
        <w:tc>
          <w:tcPr>
            <w:tcW w:w="1244" w:type="dxa"/>
          </w:tcPr>
          <w:p>
            <w:pPr>
              <w:pStyle w:val="TableParagraph"/>
              <w:rPr>
                <w:rFonts w:ascii="Times New Roman"/>
                <w:sz w:val="18"/>
              </w:rPr>
            </w:pPr>
          </w:p>
        </w:tc>
        <w:tc>
          <w:tcPr>
            <w:tcW w:w="1524" w:type="dxa"/>
          </w:tcPr>
          <w:p>
            <w:pPr>
              <w:pStyle w:val="TableParagraph"/>
              <w:rPr>
                <w:b/>
                <w:sz w:val="18"/>
              </w:rPr>
            </w:pPr>
          </w:p>
          <w:p>
            <w:pPr>
              <w:pStyle w:val="TableParagraph"/>
              <w:spacing w:before="29"/>
              <w:rPr>
                <w:b/>
                <w:sz w:val="18"/>
              </w:rPr>
            </w:pPr>
          </w:p>
          <w:p>
            <w:pPr>
              <w:pStyle w:val="TableParagraph"/>
              <w:ind w:left="419"/>
              <w:rPr>
                <w:sz w:val="18"/>
              </w:rPr>
            </w:pPr>
            <w:r>
              <w:rPr>
                <w:sz w:val="18"/>
              </w:rPr>
              <w:t>₡66</w:t>
            </w:r>
            <w:r>
              <w:rPr>
                <w:spacing w:val="-2"/>
                <w:sz w:val="18"/>
              </w:rPr>
              <w:t> </w:t>
            </w:r>
            <w:r>
              <w:rPr>
                <w:sz w:val="18"/>
              </w:rPr>
              <w:t>110</w:t>
            </w:r>
            <w:r>
              <w:rPr>
                <w:spacing w:val="-2"/>
                <w:sz w:val="18"/>
              </w:rPr>
              <w:t> </w:t>
            </w:r>
            <w:r>
              <w:rPr>
                <w:spacing w:val="-5"/>
                <w:sz w:val="18"/>
              </w:rPr>
              <w:t>369</w:t>
            </w:r>
          </w:p>
        </w:tc>
        <w:tc>
          <w:tcPr>
            <w:tcW w:w="1238" w:type="dxa"/>
          </w:tcPr>
          <w:p>
            <w:pPr>
              <w:pStyle w:val="TableParagraph"/>
              <w:rPr>
                <w:rFonts w:ascii="Times New Roman"/>
                <w:sz w:val="18"/>
              </w:rPr>
            </w:pPr>
          </w:p>
        </w:tc>
      </w:tr>
    </w:tbl>
    <w:p>
      <w:pPr>
        <w:pStyle w:val="BodyText"/>
        <w:spacing w:before="182" w:after="1"/>
        <w:rPr>
          <w:b/>
          <w:sz w:val="20"/>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1"/>
        <w:gridCol w:w="1190"/>
        <w:gridCol w:w="1505"/>
        <w:gridCol w:w="1135"/>
        <w:gridCol w:w="1692"/>
        <w:gridCol w:w="1097"/>
        <w:gridCol w:w="1598"/>
        <w:gridCol w:w="1270"/>
        <w:gridCol w:w="1445"/>
        <w:gridCol w:w="1267"/>
      </w:tblGrid>
      <w:tr>
        <w:trPr>
          <w:trHeight w:val="424" w:hRule="atLeast"/>
        </w:trPr>
        <w:tc>
          <w:tcPr>
            <w:tcW w:w="2261" w:type="dxa"/>
            <w:vMerge w:val="restart"/>
            <w:shd w:val="clear" w:color="auto" w:fill="F1F1F1"/>
          </w:tcPr>
          <w:p>
            <w:pPr>
              <w:pStyle w:val="TableParagraph"/>
              <w:spacing w:before="185"/>
              <w:rPr>
                <w:b/>
                <w:sz w:val="18"/>
              </w:rPr>
            </w:pPr>
          </w:p>
          <w:p>
            <w:pPr>
              <w:pStyle w:val="TableParagraph"/>
              <w:ind w:left="69"/>
              <w:rPr>
                <w:b/>
                <w:sz w:val="18"/>
              </w:rPr>
            </w:pPr>
            <w:r>
              <w:rPr>
                <w:b/>
                <w:sz w:val="18"/>
              </w:rPr>
              <w:t>Objetivos</w:t>
            </w:r>
            <w:r>
              <w:rPr>
                <w:b/>
                <w:spacing w:val="-4"/>
                <w:sz w:val="18"/>
              </w:rPr>
              <w:t> </w:t>
            </w:r>
            <w:r>
              <w:rPr>
                <w:b/>
                <w:sz w:val="18"/>
              </w:rPr>
              <w:t>/</w:t>
            </w:r>
            <w:r>
              <w:rPr>
                <w:b/>
                <w:spacing w:val="-2"/>
                <w:sz w:val="18"/>
              </w:rPr>
              <w:t> Resultados</w:t>
            </w:r>
          </w:p>
        </w:tc>
        <w:tc>
          <w:tcPr>
            <w:tcW w:w="1190" w:type="dxa"/>
            <w:vMerge w:val="restart"/>
            <w:shd w:val="clear" w:color="auto" w:fill="F1F1F1"/>
          </w:tcPr>
          <w:p>
            <w:pPr>
              <w:pStyle w:val="TableParagraph"/>
              <w:spacing w:before="185"/>
              <w:rPr>
                <w:b/>
                <w:sz w:val="18"/>
              </w:rPr>
            </w:pPr>
          </w:p>
          <w:p>
            <w:pPr>
              <w:pStyle w:val="TableParagraph"/>
              <w:ind w:left="69"/>
              <w:rPr>
                <w:b/>
                <w:sz w:val="18"/>
              </w:rPr>
            </w:pPr>
            <w:r>
              <w:rPr>
                <w:b/>
                <w:spacing w:val="-2"/>
                <w:sz w:val="18"/>
              </w:rPr>
              <w:t>Indicador</w:t>
            </w:r>
          </w:p>
        </w:tc>
        <w:tc>
          <w:tcPr>
            <w:tcW w:w="2640" w:type="dxa"/>
            <w:gridSpan w:val="2"/>
            <w:shd w:val="clear" w:color="auto" w:fill="F1F1F1"/>
          </w:tcPr>
          <w:p>
            <w:pPr>
              <w:pStyle w:val="TableParagraph"/>
              <w:spacing w:before="109"/>
              <w:ind w:left="859"/>
              <w:rPr>
                <w:b/>
                <w:sz w:val="18"/>
              </w:rPr>
            </w:pPr>
            <w:r>
              <w:rPr>
                <w:b/>
                <w:sz w:val="18"/>
              </w:rPr>
              <w:t>I </w:t>
            </w:r>
            <w:r>
              <w:rPr>
                <w:b/>
                <w:spacing w:val="-2"/>
                <w:sz w:val="18"/>
              </w:rPr>
              <w:t>Trimestre</w:t>
            </w:r>
          </w:p>
        </w:tc>
        <w:tc>
          <w:tcPr>
            <w:tcW w:w="2789" w:type="dxa"/>
            <w:gridSpan w:val="2"/>
            <w:shd w:val="clear" w:color="auto" w:fill="F1F1F1"/>
          </w:tcPr>
          <w:p>
            <w:pPr>
              <w:pStyle w:val="TableParagraph"/>
              <w:spacing w:before="109"/>
              <w:ind w:left="908"/>
              <w:rPr>
                <w:b/>
                <w:sz w:val="18"/>
              </w:rPr>
            </w:pPr>
            <w:r>
              <w:rPr>
                <w:b/>
                <w:sz w:val="18"/>
              </w:rPr>
              <w:t>II </w:t>
            </w:r>
            <w:r>
              <w:rPr>
                <w:b/>
                <w:spacing w:val="-2"/>
                <w:sz w:val="18"/>
              </w:rPr>
              <w:t>Trimestre</w:t>
            </w:r>
          </w:p>
        </w:tc>
        <w:tc>
          <w:tcPr>
            <w:tcW w:w="2868" w:type="dxa"/>
            <w:gridSpan w:val="2"/>
            <w:shd w:val="clear" w:color="auto" w:fill="F1F1F1"/>
          </w:tcPr>
          <w:p>
            <w:pPr>
              <w:pStyle w:val="TableParagraph"/>
              <w:spacing w:before="109"/>
              <w:ind w:left="925"/>
              <w:rPr>
                <w:b/>
                <w:sz w:val="18"/>
              </w:rPr>
            </w:pPr>
            <w:r>
              <w:rPr>
                <w:b/>
                <w:sz w:val="18"/>
              </w:rPr>
              <w:t>III </w:t>
            </w:r>
            <w:r>
              <w:rPr>
                <w:b/>
                <w:spacing w:val="-2"/>
                <w:sz w:val="18"/>
              </w:rPr>
              <w:t>Trimestre</w:t>
            </w:r>
          </w:p>
        </w:tc>
        <w:tc>
          <w:tcPr>
            <w:tcW w:w="2712" w:type="dxa"/>
            <w:gridSpan w:val="2"/>
            <w:shd w:val="clear" w:color="auto" w:fill="F1F1F1"/>
          </w:tcPr>
          <w:p>
            <w:pPr>
              <w:pStyle w:val="TableParagraph"/>
              <w:spacing w:before="109"/>
              <w:ind w:left="834"/>
              <w:rPr>
                <w:b/>
                <w:sz w:val="18"/>
              </w:rPr>
            </w:pPr>
            <w:r>
              <w:rPr>
                <w:b/>
                <w:sz w:val="18"/>
              </w:rPr>
              <w:t>IV </w:t>
            </w:r>
            <w:r>
              <w:rPr>
                <w:b/>
                <w:spacing w:val="-2"/>
                <w:sz w:val="18"/>
              </w:rPr>
              <w:t>Trimestre</w:t>
            </w:r>
          </w:p>
        </w:tc>
      </w:tr>
      <w:tr>
        <w:trPr>
          <w:trHeight w:val="559" w:hRule="atLeast"/>
        </w:trPr>
        <w:tc>
          <w:tcPr>
            <w:tcW w:w="2261" w:type="dxa"/>
            <w:vMerge/>
            <w:tcBorders>
              <w:top w:val="nil"/>
            </w:tcBorders>
            <w:shd w:val="clear" w:color="auto" w:fill="F1F1F1"/>
          </w:tcPr>
          <w:p>
            <w:pPr>
              <w:rPr>
                <w:sz w:val="2"/>
                <w:szCs w:val="2"/>
              </w:rPr>
            </w:pPr>
          </w:p>
        </w:tc>
        <w:tc>
          <w:tcPr>
            <w:tcW w:w="1190" w:type="dxa"/>
            <w:vMerge/>
            <w:tcBorders>
              <w:top w:val="nil"/>
            </w:tcBorders>
            <w:shd w:val="clear" w:color="auto" w:fill="F1F1F1"/>
          </w:tcPr>
          <w:p>
            <w:pPr>
              <w:rPr>
                <w:sz w:val="2"/>
                <w:szCs w:val="2"/>
              </w:rPr>
            </w:pPr>
          </w:p>
        </w:tc>
        <w:tc>
          <w:tcPr>
            <w:tcW w:w="1505" w:type="dxa"/>
            <w:shd w:val="clear" w:color="auto" w:fill="F1F1F1"/>
          </w:tcPr>
          <w:p>
            <w:pPr>
              <w:pStyle w:val="TableParagraph"/>
              <w:spacing w:before="73"/>
              <w:ind w:left="230" w:firstLine="314"/>
              <w:rPr>
                <w:b/>
                <w:sz w:val="18"/>
              </w:rPr>
            </w:pPr>
            <w:r>
              <w:rPr>
                <w:b/>
                <w:spacing w:val="-4"/>
                <w:sz w:val="18"/>
              </w:rPr>
              <w:t>Meta </w:t>
            </w:r>
            <w:r>
              <w:rPr>
                <w:b/>
                <w:spacing w:val="-2"/>
                <w:sz w:val="18"/>
              </w:rPr>
              <w:t>programada</w:t>
            </w:r>
          </w:p>
        </w:tc>
        <w:tc>
          <w:tcPr>
            <w:tcW w:w="1135" w:type="dxa"/>
            <w:shd w:val="clear" w:color="auto" w:fill="F1F1F1"/>
          </w:tcPr>
          <w:p>
            <w:pPr>
              <w:pStyle w:val="TableParagraph"/>
              <w:spacing w:before="176"/>
              <w:ind w:left="81" w:right="73"/>
              <w:jc w:val="center"/>
              <w:rPr>
                <w:b/>
                <w:sz w:val="18"/>
              </w:rPr>
            </w:pPr>
            <w:r>
              <w:rPr>
                <w:b/>
                <w:spacing w:val="-10"/>
                <w:sz w:val="18"/>
              </w:rPr>
              <w:t>¢</w:t>
            </w:r>
          </w:p>
        </w:tc>
        <w:tc>
          <w:tcPr>
            <w:tcW w:w="1692" w:type="dxa"/>
            <w:shd w:val="clear" w:color="auto" w:fill="F1F1F1"/>
          </w:tcPr>
          <w:p>
            <w:pPr>
              <w:pStyle w:val="TableParagraph"/>
              <w:spacing w:before="176"/>
              <w:ind w:right="82"/>
              <w:jc w:val="right"/>
              <w:rPr>
                <w:b/>
                <w:sz w:val="18"/>
              </w:rPr>
            </w:pPr>
            <w:r>
              <w:rPr>
                <w:b/>
                <w:sz w:val="18"/>
              </w:rPr>
              <w:t>Meta </w:t>
            </w:r>
            <w:r>
              <w:rPr>
                <w:b/>
                <w:spacing w:val="-2"/>
                <w:sz w:val="18"/>
              </w:rPr>
              <w:t>programada</w:t>
            </w:r>
          </w:p>
        </w:tc>
        <w:tc>
          <w:tcPr>
            <w:tcW w:w="1097" w:type="dxa"/>
            <w:shd w:val="clear" w:color="auto" w:fill="F1F1F1"/>
          </w:tcPr>
          <w:p>
            <w:pPr>
              <w:pStyle w:val="TableParagraph"/>
              <w:spacing w:before="176"/>
              <w:ind w:left="9"/>
              <w:jc w:val="center"/>
              <w:rPr>
                <w:b/>
                <w:sz w:val="18"/>
              </w:rPr>
            </w:pPr>
            <w:r>
              <w:rPr>
                <w:b/>
                <w:spacing w:val="-10"/>
                <w:sz w:val="18"/>
              </w:rPr>
              <w:t>¢</w:t>
            </w:r>
          </w:p>
        </w:tc>
        <w:tc>
          <w:tcPr>
            <w:tcW w:w="1598" w:type="dxa"/>
            <w:shd w:val="clear" w:color="auto" w:fill="F1F1F1"/>
          </w:tcPr>
          <w:p>
            <w:pPr>
              <w:pStyle w:val="TableParagraph"/>
              <w:spacing w:before="73"/>
              <w:ind w:left="279" w:firstLine="314"/>
              <w:rPr>
                <w:b/>
                <w:sz w:val="18"/>
              </w:rPr>
            </w:pPr>
            <w:r>
              <w:rPr>
                <w:b/>
                <w:spacing w:val="-4"/>
                <w:sz w:val="18"/>
              </w:rPr>
              <w:t>Meta </w:t>
            </w:r>
            <w:r>
              <w:rPr>
                <w:b/>
                <w:spacing w:val="-2"/>
                <w:sz w:val="18"/>
              </w:rPr>
              <w:t>programada</w:t>
            </w:r>
          </w:p>
        </w:tc>
        <w:tc>
          <w:tcPr>
            <w:tcW w:w="1270" w:type="dxa"/>
            <w:shd w:val="clear" w:color="auto" w:fill="F1F1F1"/>
          </w:tcPr>
          <w:p>
            <w:pPr>
              <w:pStyle w:val="TableParagraph"/>
              <w:spacing w:before="176"/>
              <w:ind w:left="10" w:right="1"/>
              <w:jc w:val="center"/>
              <w:rPr>
                <w:b/>
                <w:sz w:val="18"/>
              </w:rPr>
            </w:pPr>
            <w:r>
              <w:rPr>
                <w:b/>
                <w:spacing w:val="-10"/>
                <w:sz w:val="18"/>
              </w:rPr>
              <w:t>¢</w:t>
            </w:r>
          </w:p>
        </w:tc>
        <w:tc>
          <w:tcPr>
            <w:tcW w:w="1445" w:type="dxa"/>
            <w:shd w:val="clear" w:color="auto" w:fill="F1F1F1"/>
          </w:tcPr>
          <w:p>
            <w:pPr>
              <w:pStyle w:val="TableParagraph"/>
              <w:spacing w:before="73"/>
              <w:ind w:left="203" w:firstLine="312"/>
              <w:rPr>
                <w:b/>
                <w:sz w:val="18"/>
              </w:rPr>
            </w:pPr>
            <w:r>
              <w:rPr>
                <w:b/>
                <w:spacing w:val="-4"/>
                <w:sz w:val="18"/>
              </w:rPr>
              <w:t>Meta </w:t>
            </w:r>
            <w:r>
              <w:rPr>
                <w:b/>
                <w:spacing w:val="-2"/>
                <w:sz w:val="18"/>
              </w:rPr>
              <w:t>programada</w:t>
            </w:r>
          </w:p>
        </w:tc>
        <w:tc>
          <w:tcPr>
            <w:tcW w:w="1267" w:type="dxa"/>
            <w:shd w:val="clear" w:color="auto" w:fill="F1F1F1"/>
          </w:tcPr>
          <w:p>
            <w:pPr>
              <w:pStyle w:val="TableParagraph"/>
              <w:spacing w:before="176"/>
              <w:ind w:left="14" w:right="2"/>
              <w:jc w:val="center"/>
              <w:rPr>
                <w:b/>
                <w:sz w:val="18"/>
              </w:rPr>
            </w:pPr>
            <w:r>
              <w:rPr>
                <w:b/>
                <w:spacing w:val="-10"/>
                <w:sz w:val="18"/>
              </w:rPr>
              <w:t>¢</w:t>
            </w:r>
          </w:p>
        </w:tc>
      </w:tr>
      <w:tr>
        <w:trPr>
          <w:trHeight w:val="414" w:hRule="atLeast"/>
        </w:trPr>
        <w:tc>
          <w:tcPr>
            <w:tcW w:w="14460" w:type="dxa"/>
            <w:gridSpan w:val="10"/>
            <w:shd w:val="clear" w:color="auto" w:fill="F1F1F1"/>
          </w:tcPr>
          <w:p>
            <w:pPr>
              <w:pStyle w:val="TableParagraph"/>
              <w:spacing w:line="206" w:lineRule="exact"/>
              <w:ind w:left="69"/>
              <w:rPr>
                <w:b/>
                <w:sz w:val="18"/>
              </w:rPr>
            </w:pPr>
            <w:r>
              <w:rPr>
                <w:b/>
                <w:sz w:val="18"/>
              </w:rPr>
              <w:t>Efecto:</w:t>
            </w:r>
            <w:r>
              <w:rPr>
                <w:b/>
                <w:spacing w:val="32"/>
                <w:sz w:val="18"/>
              </w:rPr>
              <w:t> </w:t>
            </w:r>
            <w:r>
              <w:rPr>
                <w:b/>
                <w:sz w:val="18"/>
              </w:rPr>
              <w:t>Efectiva</w:t>
            </w:r>
            <w:r>
              <w:rPr>
                <w:b/>
                <w:spacing w:val="30"/>
                <w:sz w:val="18"/>
              </w:rPr>
              <w:t> </w:t>
            </w:r>
            <w:r>
              <w:rPr>
                <w:b/>
                <w:sz w:val="18"/>
              </w:rPr>
              <w:t>gestión</w:t>
            </w:r>
            <w:r>
              <w:rPr>
                <w:b/>
                <w:spacing w:val="32"/>
                <w:sz w:val="18"/>
              </w:rPr>
              <w:t> </w:t>
            </w:r>
            <w:r>
              <w:rPr>
                <w:b/>
                <w:sz w:val="18"/>
              </w:rPr>
              <w:t>de</w:t>
            </w:r>
            <w:r>
              <w:rPr>
                <w:b/>
                <w:spacing w:val="30"/>
                <w:sz w:val="18"/>
              </w:rPr>
              <w:t> </w:t>
            </w:r>
            <w:r>
              <w:rPr>
                <w:b/>
                <w:sz w:val="18"/>
              </w:rPr>
              <w:t>los</w:t>
            </w:r>
            <w:r>
              <w:rPr>
                <w:b/>
                <w:spacing w:val="32"/>
                <w:sz w:val="18"/>
              </w:rPr>
              <w:t> </w:t>
            </w:r>
            <w:r>
              <w:rPr>
                <w:b/>
                <w:sz w:val="18"/>
              </w:rPr>
              <w:t>recursos</w:t>
            </w:r>
            <w:r>
              <w:rPr>
                <w:b/>
                <w:spacing w:val="30"/>
                <w:sz w:val="18"/>
              </w:rPr>
              <w:t> </w:t>
            </w:r>
            <w:r>
              <w:rPr>
                <w:b/>
                <w:sz w:val="18"/>
              </w:rPr>
              <w:t>humanos,</w:t>
            </w:r>
            <w:r>
              <w:rPr>
                <w:b/>
                <w:spacing w:val="32"/>
                <w:sz w:val="18"/>
              </w:rPr>
              <w:t> </w:t>
            </w:r>
            <w:r>
              <w:rPr>
                <w:b/>
                <w:sz w:val="18"/>
              </w:rPr>
              <w:t>financieros,</w:t>
            </w:r>
            <w:r>
              <w:rPr>
                <w:b/>
                <w:spacing w:val="32"/>
                <w:sz w:val="18"/>
              </w:rPr>
              <w:t> </w:t>
            </w:r>
            <w:r>
              <w:rPr>
                <w:b/>
                <w:sz w:val="18"/>
              </w:rPr>
              <w:t>materiales</w:t>
            </w:r>
            <w:r>
              <w:rPr>
                <w:b/>
                <w:spacing w:val="32"/>
                <w:sz w:val="18"/>
              </w:rPr>
              <w:t> </w:t>
            </w:r>
            <w:r>
              <w:rPr>
                <w:b/>
                <w:sz w:val="18"/>
              </w:rPr>
              <w:t>y</w:t>
            </w:r>
            <w:r>
              <w:rPr>
                <w:b/>
                <w:spacing w:val="32"/>
                <w:sz w:val="18"/>
              </w:rPr>
              <w:t> </w:t>
            </w:r>
            <w:r>
              <w:rPr>
                <w:b/>
                <w:sz w:val="18"/>
              </w:rPr>
              <w:t>tecnológicos,</w:t>
            </w:r>
            <w:r>
              <w:rPr>
                <w:b/>
                <w:spacing w:val="32"/>
                <w:sz w:val="18"/>
              </w:rPr>
              <w:t> </w:t>
            </w:r>
            <w:r>
              <w:rPr>
                <w:b/>
                <w:sz w:val="18"/>
              </w:rPr>
              <w:t>con</w:t>
            </w:r>
            <w:r>
              <w:rPr>
                <w:b/>
                <w:spacing w:val="32"/>
                <w:sz w:val="18"/>
              </w:rPr>
              <w:t> </w:t>
            </w:r>
            <w:r>
              <w:rPr>
                <w:b/>
                <w:sz w:val="18"/>
              </w:rPr>
              <w:t>el</w:t>
            </w:r>
            <w:r>
              <w:rPr>
                <w:b/>
                <w:spacing w:val="29"/>
                <w:sz w:val="18"/>
              </w:rPr>
              <w:t> </w:t>
            </w:r>
            <w:r>
              <w:rPr>
                <w:b/>
                <w:sz w:val="18"/>
              </w:rPr>
              <w:t>fin</w:t>
            </w:r>
            <w:r>
              <w:rPr>
                <w:b/>
                <w:spacing w:val="32"/>
                <w:sz w:val="18"/>
              </w:rPr>
              <w:t> </w:t>
            </w:r>
            <w:r>
              <w:rPr>
                <w:b/>
                <w:sz w:val="18"/>
              </w:rPr>
              <w:t>de</w:t>
            </w:r>
            <w:r>
              <w:rPr>
                <w:b/>
                <w:spacing w:val="32"/>
                <w:sz w:val="18"/>
              </w:rPr>
              <w:t> </w:t>
            </w:r>
            <w:r>
              <w:rPr>
                <w:b/>
                <w:sz w:val="18"/>
              </w:rPr>
              <w:t>contribuir</w:t>
            </w:r>
            <w:r>
              <w:rPr>
                <w:b/>
                <w:spacing w:val="31"/>
                <w:sz w:val="18"/>
              </w:rPr>
              <w:t> </w:t>
            </w:r>
            <w:r>
              <w:rPr>
                <w:b/>
                <w:sz w:val="18"/>
              </w:rPr>
              <w:t>con</w:t>
            </w:r>
            <w:r>
              <w:rPr>
                <w:b/>
                <w:spacing w:val="30"/>
                <w:sz w:val="18"/>
              </w:rPr>
              <w:t> </w:t>
            </w:r>
            <w:r>
              <w:rPr>
                <w:b/>
                <w:sz w:val="18"/>
              </w:rPr>
              <w:t>la</w:t>
            </w:r>
            <w:r>
              <w:rPr>
                <w:b/>
                <w:spacing w:val="32"/>
                <w:sz w:val="18"/>
              </w:rPr>
              <w:t> </w:t>
            </w:r>
            <w:r>
              <w:rPr>
                <w:b/>
                <w:sz w:val="18"/>
              </w:rPr>
              <w:t>institucionalización</w:t>
            </w:r>
            <w:r>
              <w:rPr>
                <w:b/>
                <w:spacing w:val="32"/>
                <w:sz w:val="18"/>
              </w:rPr>
              <w:t> </w:t>
            </w:r>
            <w:r>
              <w:rPr>
                <w:b/>
                <w:sz w:val="18"/>
              </w:rPr>
              <w:t>de</w:t>
            </w:r>
            <w:r>
              <w:rPr>
                <w:b/>
                <w:spacing w:val="32"/>
                <w:sz w:val="18"/>
              </w:rPr>
              <w:t> </w:t>
            </w:r>
            <w:r>
              <w:rPr>
                <w:b/>
                <w:sz w:val="18"/>
              </w:rPr>
              <w:t>la</w:t>
            </w:r>
            <w:r>
              <w:rPr>
                <w:b/>
                <w:spacing w:val="30"/>
                <w:sz w:val="18"/>
              </w:rPr>
              <w:t> </w:t>
            </w:r>
            <w:r>
              <w:rPr>
                <w:b/>
                <w:sz w:val="18"/>
              </w:rPr>
              <w:t>estrategia</w:t>
            </w:r>
            <w:r>
              <w:rPr>
                <w:b/>
                <w:spacing w:val="29"/>
                <w:sz w:val="18"/>
              </w:rPr>
              <w:t> </w:t>
            </w:r>
            <w:r>
              <w:rPr>
                <w:b/>
                <w:sz w:val="18"/>
              </w:rPr>
              <w:t>de intervención de la población en situación de pobreza y pobreza extrema.</w:t>
            </w:r>
          </w:p>
        </w:tc>
      </w:tr>
      <w:tr>
        <w:trPr>
          <w:trHeight w:val="436" w:hRule="atLeast"/>
        </w:trPr>
        <w:tc>
          <w:tcPr>
            <w:tcW w:w="14460" w:type="dxa"/>
            <w:gridSpan w:val="10"/>
            <w:shd w:val="clear" w:color="auto" w:fill="DBE4F0"/>
          </w:tcPr>
          <w:p>
            <w:pPr>
              <w:pStyle w:val="TableParagraph"/>
              <w:spacing w:before="114"/>
              <w:ind w:left="69"/>
              <w:rPr>
                <w:b/>
                <w:sz w:val="18"/>
              </w:rPr>
            </w:pPr>
            <w:r>
              <w:rPr>
                <w:b/>
                <w:sz w:val="18"/>
              </w:rPr>
              <w:t>Producto</w:t>
            </w:r>
            <w:r>
              <w:rPr>
                <w:b/>
                <w:spacing w:val="-3"/>
                <w:sz w:val="18"/>
              </w:rPr>
              <w:t> </w:t>
            </w:r>
            <w:r>
              <w:rPr>
                <w:b/>
                <w:sz w:val="18"/>
              </w:rPr>
              <w:t>PAC</w:t>
            </w:r>
            <w:r>
              <w:rPr>
                <w:b/>
                <w:spacing w:val="-4"/>
                <w:sz w:val="18"/>
              </w:rPr>
              <w:t> </w:t>
            </w:r>
            <w:r>
              <w:rPr>
                <w:b/>
                <w:sz w:val="18"/>
              </w:rPr>
              <w:t>2.11:</w:t>
            </w:r>
            <w:r>
              <w:rPr>
                <w:b/>
                <w:spacing w:val="45"/>
                <w:sz w:val="18"/>
              </w:rPr>
              <w:t> </w:t>
            </w:r>
            <w:r>
              <w:rPr>
                <w:b/>
                <w:sz w:val="18"/>
              </w:rPr>
              <w:t>Servicios</w:t>
            </w:r>
            <w:r>
              <w:rPr>
                <w:b/>
                <w:spacing w:val="-3"/>
                <w:sz w:val="18"/>
              </w:rPr>
              <w:t> </w:t>
            </w:r>
            <w:r>
              <w:rPr>
                <w:b/>
                <w:sz w:val="18"/>
              </w:rPr>
              <w:t>Jurídicos</w:t>
            </w:r>
            <w:r>
              <w:rPr>
                <w:b/>
                <w:spacing w:val="1"/>
                <w:sz w:val="18"/>
              </w:rPr>
              <w:t> </w:t>
            </w:r>
            <w:r>
              <w:rPr>
                <w:b/>
                <w:sz w:val="18"/>
              </w:rPr>
              <w:t>-</w:t>
            </w:r>
            <w:r>
              <w:rPr>
                <w:b/>
                <w:spacing w:val="-5"/>
                <w:sz w:val="18"/>
              </w:rPr>
              <w:t> </w:t>
            </w:r>
            <w:r>
              <w:rPr>
                <w:b/>
                <w:sz w:val="18"/>
              </w:rPr>
              <w:t>Notarios</w:t>
            </w:r>
            <w:r>
              <w:rPr>
                <w:b/>
                <w:spacing w:val="-4"/>
                <w:sz w:val="18"/>
              </w:rPr>
              <w:t> </w:t>
            </w:r>
            <w:r>
              <w:rPr>
                <w:b/>
                <w:spacing w:val="-2"/>
                <w:sz w:val="18"/>
              </w:rPr>
              <w:t>externos</w:t>
            </w:r>
          </w:p>
        </w:tc>
      </w:tr>
      <w:tr>
        <w:trPr>
          <w:trHeight w:val="1559" w:hRule="atLeast"/>
        </w:trPr>
        <w:tc>
          <w:tcPr>
            <w:tcW w:w="2261" w:type="dxa"/>
          </w:tcPr>
          <w:p>
            <w:pPr>
              <w:pStyle w:val="TableParagraph"/>
              <w:spacing w:before="157"/>
              <w:ind w:left="69" w:right="60"/>
              <w:rPr>
                <w:sz w:val="18"/>
              </w:rPr>
            </w:pPr>
            <w:r>
              <w:rPr>
                <w:b/>
                <w:sz w:val="18"/>
              </w:rPr>
              <w:t>Actividad PAC 2.11.1: </w:t>
            </w:r>
            <w:r>
              <w:rPr>
                <w:sz w:val="18"/>
              </w:rPr>
              <w:t>Asignación</w:t>
            </w:r>
            <w:r>
              <w:rPr>
                <w:spacing w:val="-5"/>
                <w:sz w:val="18"/>
              </w:rPr>
              <w:t> </w:t>
            </w:r>
            <w:r>
              <w:rPr>
                <w:sz w:val="18"/>
              </w:rPr>
              <w:t>de</w:t>
            </w:r>
            <w:r>
              <w:rPr>
                <w:spacing w:val="-3"/>
                <w:sz w:val="18"/>
              </w:rPr>
              <w:t> </w:t>
            </w:r>
            <w:r>
              <w:rPr>
                <w:sz w:val="18"/>
              </w:rPr>
              <w:t>gestiones notariales realizadas según</w:t>
            </w:r>
            <w:r>
              <w:rPr>
                <w:spacing w:val="-15"/>
                <w:sz w:val="18"/>
              </w:rPr>
              <w:t> </w:t>
            </w:r>
            <w:r>
              <w:rPr>
                <w:sz w:val="18"/>
              </w:rPr>
              <w:t>requerimientos</w:t>
            </w:r>
            <w:r>
              <w:rPr>
                <w:spacing w:val="-12"/>
                <w:sz w:val="18"/>
              </w:rPr>
              <w:t> </w:t>
            </w:r>
            <w:r>
              <w:rPr>
                <w:sz w:val="18"/>
              </w:rPr>
              <w:t>de otras instancias </w:t>
            </w:r>
            <w:r>
              <w:rPr>
                <w:spacing w:val="-2"/>
                <w:sz w:val="18"/>
              </w:rPr>
              <w:t>institucionales.</w:t>
            </w:r>
          </w:p>
        </w:tc>
        <w:tc>
          <w:tcPr>
            <w:tcW w:w="1190" w:type="dxa"/>
          </w:tcPr>
          <w:p>
            <w:pPr>
              <w:pStyle w:val="TableParagraph"/>
              <w:spacing w:before="159"/>
              <w:rPr>
                <w:b/>
                <w:sz w:val="18"/>
              </w:rPr>
            </w:pPr>
          </w:p>
          <w:p>
            <w:pPr>
              <w:pStyle w:val="TableParagraph"/>
              <w:ind w:left="69" w:right="62"/>
              <w:rPr>
                <w:sz w:val="18"/>
              </w:rPr>
            </w:pPr>
            <w:r>
              <w:rPr>
                <w:spacing w:val="-2"/>
                <w:sz w:val="18"/>
              </w:rPr>
              <w:t>Porcentaje</w:t>
            </w:r>
            <w:r>
              <w:rPr>
                <w:spacing w:val="40"/>
                <w:sz w:val="18"/>
              </w:rPr>
              <w:t> </w:t>
            </w:r>
            <w:r>
              <w:rPr>
                <w:spacing w:val="-6"/>
                <w:sz w:val="18"/>
              </w:rPr>
              <w:t>de </w:t>
            </w:r>
            <w:r>
              <w:rPr>
                <w:spacing w:val="-2"/>
                <w:sz w:val="18"/>
              </w:rPr>
              <w:t>asignaciones realizadas</w:t>
            </w:r>
          </w:p>
        </w:tc>
        <w:tc>
          <w:tcPr>
            <w:tcW w:w="1505" w:type="dxa"/>
          </w:tcPr>
          <w:p>
            <w:pPr>
              <w:pStyle w:val="TableParagraph"/>
              <w:rPr>
                <w:b/>
                <w:sz w:val="18"/>
              </w:rPr>
            </w:pPr>
          </w:p>
          <w:p>
            <w:pPr>
              <w:pStyle w:val="TableParagraph"/>
              <w:rPr>
                <w:b/>
                <w:sz w:val="18"/>
              </w:rPr>
            </w:pPr>
          </w:p>
          <w:p>
            <w:pPr>
              <w:pStyle w:val="TableParagraph"/>
              <w:spacing w:before="54"/>
              <w:rPr>
                <w:b/>
                <w:sz w:val="18"/>
              </w:rPr>
            </w:pPr>
          </w:p>
          <w:p>
            <w:pPr>
              <w:pStyle w:val="TableParagraph"/>
              <w:spacing w:before="1"/>
              <w:ind w:left="973"/>
              <w:rPr>
                <w:sz w:val="18"/>
              </w:rPr>
            </w:pPr>
            <w:r>
              <w:rPr>
                <w:spacing w:val="-4"/>
                <w:sz w:val="18"/>
              </w:rPr>
              <w:t>100%</w:t>
            </w:r>
          </w:p>
        </w:tc>
        <w:tc>
          <w:tcPr>
            <w:tcW w:w="1135" w:type="dxa"/>
          </w:tcPr>
          <w:p>
            <w:pPr>
              <w:pStyle w:val="TableParagraph"/>
              <w:rPr>
                <w:rFonts w:ascii="Times New Roman"/>
                <w:sz w:val="18"/>
              </w:rPr>
            </w:pPr>
          </w:p>
        </w:tc>
        <w:tc>
          <w:tcPr>
            <w:tcW w:w="1692" w:type="dxa"/>
          </w:tcPr>
          <w:p>
            <w:pPr>
              <w:pStyle w:val="TableParagraph"/>
              <w:rPr>
                <w:b/>
                <w:sz w:val="18"/>
              </w:rPr>
            </w:pPr>
          </w:p>
          <w:p>
            <w:pPr>
              <w:pStyle w:val="TableParagraph"/>
              <w:rPr>
                <w:b/>
                <w:sz w:val="18"/>
              </w:rPr>
            </w:pPr>
          </w:p>
          <w:p>
            <w:pPr>
              <w:pStyle w:val="TableParagraph"/>
              <w:spacing w:before="54"/>
              <w:rPr>
                <w:b/>
                <w:sz w:val="18"/>
              </w:rPr>
            </w:pPr>
          </w:p>
          <w:p>
            <w:pPr>
              <w:pStyle w:val="TableParagraph"/>
              <w:spacing w:before="1"/>
              <w:ind w:right="54"/>
              <w:jc w:val="right"/>
              <w:rPr>
                <w:sz w:val="18"/>
              </w:rPr>
            </w:pPr>
            <w:r>
              <w:rPr>
                <w:spacing w:val="-4"/>
                <w:sz w:val="18"/>
              </w:rPr>
              <w:t>100%</w:t>
            </w:r>
          </w:p>
        </w:tc>
        <w:tc>
          <w:tcPr>
            <w:tcW w:w="1097" w:type="dxa"/>
          </w:tcPr>
          <w:p>
            <w:pPr>
              <w:pStyle w:val="TableParagraph"/>
              <w:rPr>
                <w:rFonts w:ascii="Times New Roman"/>
                <w:sz w:val="18"/>
              </w:rPr>
            </w:pPr>
          </w:p>
        </w:tc>
        <w:tc>
          <w:tcPr>
            <w:tcW w:w="1598" w:type="dxa"/>
          </w:tcPr>
          <w:p>
            <w:pPr>
              <w:pStyle w:val="TableParagraph"/>
              <w:rPr>
                <w:b/>
                <w:sz w:val="18"/>
              </w:rPr>
            </w:pPr>
          </w:p>
          <w:p>
            <w:pPr>
              <w:pStyle w:val="TableParagraph"/>
              <w:rPr>
                <w:b/>
                <w:sz w:val="18"/>
              </w:rPr>
            </w:pPr>
          </w:p>
          <w:p>
            <w:pPr>
              <w:pStyle w:val="TableParagraph"/>
              <w:spacing w:before="54"/>
              <w:rPr>
                <w:b/>
                <w:sz w:val="18"/>
              </w:rPr>
            </w:pPr>
          </w:p>
          <w:p>
            <w:pPr>
              <w:pStyle w:val="TableParagraph"/>
              <w:spacing w:before="1"/>
              <w:ind w:right="53"/>
              <w:jc w:val="right"/>
              <w:rPr>
                <w:sz w:val="18"/>
              </w:rPr>
            </w:pPr>
            <w:r>
              <w:rPr>
                <w:spacing w:val="-4"/>
                <w:sz w:val="18"/>
              </w:rPr>
              <w:t>100%</w:t>
            </w:r>
          </w:p>
        </w:tc>
        <w:tc>
          <w:tcPr>
            <w:tcW w:w="1270" w:type="dxa"/>
          </w:tcPr>
          <w:p>
            <w:pPr>
              <w:pStyle w:val="TableParagraph"/>
              <w:rPr>
                <w:rFonts w:ascii="Times New Roman"/>
                <w:sz w:val="18"/>
              </w:rPr>
            </w:pPr>
          </w:p>
        </w:tc>
        <w:tc>
          <w:tcPr>
            <w:tcW w:w="1445" w:type="dxa"/>
          </w:tcPr>
          <w:p>
            <w:pPr>
              <w:pStyle w:val="TableParagraph"/>
              <w:rPr>
                <w:b/>
                <w:sz w:val="18"/>
              </w:rPr>
            </w:pPr>
          </w:p>
          <w:p>
            <w:pPr>
              <w:pStyle w:val="TableParagraph"/>
              <w:rPr>
                <w:b/>
                <w:sz w:val="18"/>
              </w:rPr>
            </w:pPr>
          </w:p>
          <w:p>
            <w:pPr>
              <w:pStyle w:val="TableParagraph"/>
              <w:spacing w:before="54"/>
              <w:rPr>
                <w:b/>
                <w:sz w:val="18"/>
              </w:rPr>
            </w:pPr>
          </w:p>
          <w:p>
            <w:pPr>
              <w:pStyle w:val="TableParagraph"/>
              <w:spacing w:before="1"/>
              <w:ind w:left="913"/>
              <w:rPr>
                <w:sz w:val="18"/>
              </w:rPr>
            </w:pPr>
            <w:r>
              <w:rPr>
                <w:spacing w:val="-4"/>
                <w:sz w:val="18"/>
              </w:rPr>
              <w:t>100%</w:t>
            </w:r>
          </w:p>
        </w:tc>
        <w:tc>
          <w:tcPr>
            <w:tcW w:w="1267" w:type="dxa"/>
          </w:tcPr>
          <w:p>
            <w:pPr>
              <w:pStyle w:val="TableParagraph"/>
              <w:rPr>
                <w:b/>
                <w:sz w:val="18"/>
              </w:rPr>
            </w:pPr>
          </w:p>
          <w:p>
            <w:pPr>
              <w:pStyle w:val="TableParagraph"/>
              <w:rPr>
                <w:b/>
                <w:sz w:val="18"/>
              </w:rPr>
            </w:pPr>
          </w:p>
          <w:p>
            <w:pPr>
              <w:pStyle w:val="TableParagraph"/>
              <w:spacing w:before="54"/>
              <w:rPr>
                <w:b/>
                <w:sz w:val="18"/>
              </w:rPr>
            </w:pPr>
          </w:p>
          <w:p>
            <w:pPr>
              <w:pStyle w:val="TableParagraph"/>
              <w:spacing w:before="1"/>
              <w:ind w:left="14"/>
              <w:jc w:val="center"/>
              <w:rPr>
                <w:sz w:val="18"/>
              </w:rPr>
            </w:pPr>
            <w:r>
              <w:rPr>
                <w:sz w:val="18"/>
              </w:rPr>
              <w:t>₡101</w:t>
            </w:r>
            <w:r>
              <w:rPr>
                <w:spacing w:val="-4"/>
                <w:sz w:val="18"/>
              </w:rPr>
              <w:t> </w:t>
            </w:r>
            <w:r>
              <w:rPr>
                <w:sz w:val="18"/>
              </w:rPr>
              <w:t>000</w:t>
            </w:r>
            <w:r>
              <w:rPr>
                <w:spacing w:val="-3"/>
                <w:sz w:val="18"/>
              </w:rPr>
              <w:t> </w:t>
            </w:r>
            <w:r>
              <w:rPr>
                <w:spacing w:val="-5"/>
                <w:sz w:val="18"/>
              </w:rPr>
              <w:t>000</w:t>
            </w:r>
          </w:p>
        </w:tc>
      </w:tr>
    </w:tbl>
    <w:p>
      <w:pPr>
        <w:pStyle w:val="TableParagraph"/>
        <w:spacing w:after="0"/>
        <w:jc w:val="center"/>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9"/>
        <w:gridCol w:w="1555"/>
        <w:gridCol w:w="1563"/>
        <w:gridCol w:w="1243"/>
        <w:gridCol w:w="1308"/>
        <w:gridCol w:w="1186"/>
        <w:gridCol w:w="1183"/>
        <w:gridCol w:w="1318"/>
        <w:gridCol w:w="1562"/>
        <w:gridCol w:w="1552"/>
      </w:tblGrid>
      <w:tr>
        <w:trPr>
          <w:trHeight w:val="299" w:hRule="atLeast"/>
        </w:trPr>
        <w:tc>
          <w:tcPr>
            <w:tcW w:w="2129" w:type="dxa"/>
            <w:vMerge w:val="restart"/>
            <w:shd w:val="clear" w:color="auto" w:fill="F1F1F1"/>
          </w:tcPr>
          <w:p>
            <w:pPr>
              <w:pStyle w:val="TableParagraph"/>
              <w:spacing w:before="84"/>
              <w:rPr>
                <w:b/>
                <w:sz w:val="18"/>
              </w:rPr>
            </w:pPr>
          </w:p>
          <w:p>
            <w:pPr>
              <w:pStyle w:val="TableParagraph"/>
              <w:ind w:left="93"/>
              <w:rPr>
                <w:b/>
                <w:sz w:val="18"/>
              </w:rPr>
            </w:pPr>
            <w:r>
              <w:rPr>
                <w:b/>
                <w:sz w:val="18"/>
              </w:rPr>
              <w:t>Objetivos</w:t>
            </w:r>
            <w:r>
              <w:rPr>
                <w:b/>
                <w:spacing w:val="-4"/>
                <w:sz w:val="18"/>
              </w:rPr>
              <w:t> </w:t>
            </w:r>
            <w:r>
              <w:rPr>
                <w:b/>
                <w:sz w:val="18"/>
              </w:rPr>
              <w:t>/</w:t>
            </w:r>
            <w:r>
              <w:rPr>
                <w:b/>
                <w:spacing w:val="-2"/>
                <w:sz w:val="18"/>
              </w:rPr>
              <w:t> Resultados</w:t>
            </w:r>
          </w:p>
        </w:tc>
        <w:tc>
          <w:tcPr>
            <w:tcW w:w="1555" w:type="dxa"/>
            <w:vMerge w:val="restart"/>
            <w:shd w:val="clear" w:color="auto" w:fill="F1F1F1"/>
          </w:tcPr>
          <w:p>
            <w:pPr>
              <w:pStyle w:val="TableParagraph"/>
              <w:spacing w:before="84"/>
              <w:rPr>
                <w:b/>
                <w:sz w:val="18"/>
              </w:rPr>
            </w:pPr>
          </w:p>
          <w:p>
            <w:pPr>
              <w:pStyle w:val="TableParagraph"/>
              <w:ind w:left="371"/>
              <w:rPr>
                <w:b/>
                <w:sz w:val="18"/>
              </w:rPr>
            </w:pPr>
            <w:r>
              <w:rPr>
                <w:b/>
                <w:spacing w:val="-2"/>
                <w:sz w:val="18"/>
              </w:rPr>
              <w:t>Indicador</w:t>
            </w:r>
          </w:p>
        </w:tc>
        <w:tc>
          <w:tcPr>
            <w:tcW w:w="2806" w:type="dxa"/>
            <w:gridSpan w:val="2"/>
            <w:shd w:val="clear" w:color="auto" w:fill="F1F1F1"/>
          </w:tcPr>
          <w:p>
            <w:pPr>
              <w:pStyle w:val="TableParagraph"/>
              <w:spacing w:before="47"/>
              <w:ind w:left="941"/>
              <w:rPr>
                <w:b/>
                <w:sz w:val="18"/>
              </w:rPr>
            </w:pPr>
            <w:r>
              <w:rPr>
                <w:b/>
                <w:sz w:val="18"/>
              </w:rPr>
              <w:t>I </w:t>
            </w:r>
            <w:r>
              <w:rPr>
                <w:b/>
                <w:spacing w:val="-2"/>
                <w:sz w:val="18"/>
              </w:rPr>
              <w:t>Trimestre</w:t>
            </w:r>
          </w:p>
        </w:tc>
        <w:tc>
          <w:tcPr>
            <w:tcW w:w="2494" w:type="dxa"/>
            <w:gridSpan w:val="2"/>
            <w:shd w:val="clear" w:color="auto" w:fill="F1F1F1"/>
          </w:tcPr>
          <w:p>
            <w:pPr>
              <w:pStyle w:val="TableParagraph"/>
              <w:spacing w:before="47"/>
              <w:ind w:left="761"/>
              <w:rPr>
                <w:b/>
                <w:sz w:val="18"/>
              </w:rPr>
            </w:pPr>
            <w:r>
              <w:rPr>
                <w:b/>
                <w:sz w:val="18"/>
              </w:rPr>
              <w:t>II </w:t>
            </w:r>
            <w:r>
              <w:rPr>
                <w:b/>
                <w:spacing w:val="-2"/>
                <w:sz w:val="18"/>
              </w:rPr>
              <w:t>Trimestre</w:t>
            </w:r>
          </w:p>
        </w:tc>
        <w:tc>
          <w:tcPr>
            <w:tcW w:w="2501" w:type="dxa"/>
            <w:gridSpan w:val="2"/>
            <w:shd w:val="clear" w:color="auto" w:fill="F1F1F1"/>
          </w:tcPr>
          <w:p>
            <w:pPr>
              <w:pStyle w:val="TableParagraph"/>
              <w:spacing w:before="47"/>
              <w:ind w:left="739"/>
              <w:rPr>
                <w:b/>
                <w:sz w:val="18"/>
              </w:rPr>
            </w:pPr>
            <w:r>
              <w:rPr>
                <w:b/>
                <w:sz w:val="18"/>
              </w:rPr>
              <w:t>III </w:t>
            </w:r>
            <w:r>
              <w:rPr>
                <w:b/>
                <w:spacing w:val="-2"/>
                <w:sz w:val="18"/>
              </w:rPr>
              <w:t>Trimestre</w:t>
            </w:r>
          </w:p>
        </w:tc>
        <w:tc>
          <w:tcPr>
            <w:tcW w:w="3114" w:type="dxa"/>
            <w:gridSpan w:val="2"/>
            <w:shd w:val="clear" w:color="auto" w:fill="F1F1F1"/>
          </w:tcPr>
          <w:p>
            <w:pPr>
              <w:pStyle w:val="TableParagraph"/>
              <w:spacing w:before="47"/>
              <w:ind w:left="1037"/>
              <w:rPr>
                <w:b/>
                <w:sz w:val="18"/>
              </w:rPr>
            </w:pPr>
            <w:r>
              <w:rPr>
                <w:b/>
                <w:sz w:val="18"/>
              </w:rPr>
              <w:t>IV </w:t>
            </w:r>
            <w:r>
              <w:rPr>
                <w:b/>
                <w:spacing w:val="-2"/>
                <w:sz w:val="18"/>
              </w:rPr>
              <w:t>Trimestre</w:t>
            </w:r>
          </w:p>
        </w:tc>
      </w:tr>
      <w:tr>
        <w:trPr>
          <w:trHeight w:val="479" w:hRule="atLeast"/>
        </w:trPr>
        <w:tc>
          <w:tcPr>
            <w:tcW w:w="2129" w:type="dxa"/>
            <w:vMerge/>
            <w:tcBorders>
              <w:top w:val="nil"/>
            </w:tcBorders>
            <w:shd w:val="clear" w:color="auto" w:fill="F1F1F1"/>
          </w:tcPr>
          <w:p>
            <w:pPr>
              <w:rPr>
                <w:sz w:val="2"/>
                <w:szCs w:val="2"/>
              </w:rPr>
            </w:pPr>
          </w:p>
        </w:tc>
        <w:tc>
          <w:tcPr>
            <w:tcW w:w="1555" w:type="dxa"/>
            <w:vMerge/>
            <w:tcBorders>
              <w:top w:val="nil"/>
            </w:tcBorders>
            <w:shd w:val="clear" w:color="auto" w:fill="F1F1F1"/>
          </w:tcPr>
          <w:p>
            <w:pPr>
              <w:rPr>
                <w:sz w:val="2"/>
                <w:szCs w:val="2"/>
              </w:rPr>
            </w:pPr>
          </w:p>
        </w:tc>
        <w:tc>
          <w:tcPr>
            <w:tcW w:w="1563" w:type="dxa"/>
            <w:shd w:val="clear" w:color="auto" w:fill="F1F1F1"/>
          </w:tcPr>
          <w:p>
            <w:pPr>
              <w:pStyle w:val="TableParagraph"/>
              <w:spacing w:before="32"/>
              <w:ind w:left="259" w:firstLine="314"/>
              <w:rPr>
                <w:b/>
                <w:sz w:val="18"/>
              </w:rPr>
            </w:pPr>
            <w:r>
              <w:rPr>
                <w:b/>
                <w:spacing w:val="-4"/>
                <w:sz w:val="18"/>
              </w:rPr>
              <w:t>Meta </w:t>
            </w:r>
            <w:r>
              <w:rPr>
                <w:b/>
                <w:spacing w:val="-2"/>
                <w:sz w:val="18"/>
              </w:rPr>
              <w:t>programada</w:t>
            </w:r>
          </w:p>
        </w:tc>
        <w:tc>
          <w:tcPr>
            <w:tcW w:w="1243" w:type="dxa"/>
            <w:shd w:val="clear" w:color="auto" w:fill="F1F1F1"/>
          </w:tcPr>
          <w:p>
            <w:pPr>
              <w:pStyle w:val="TableParagraph"/>
              <w:spacing w:before="135"/>
              <w:ind w:left="9"/>
              <w:jc w:val="center"/>
              <w:rPr>
                <w:b/>
                <w:sz w:val="18"/>
              </w:rPr>
            </w:pPr>
            <w:r>
              <w:rPr>
                <w:b/>
                <w:spacing w:val="-10"/>
                <w:sz w:val="18"/>
              </w:rPr>
              <w:t>¢</w:t>
            </w:r>
          </w:p>
        </w:tc>
        <w:tc>
          <w:tcPr>
            <w:tcW w:w="1308" w:type="dxa"/>
            <w:shd w:val="clear" w:color="auto" w:fill="F1F1F1"/>
          </w:tcPr>
          <w:p>
            <w:pPr>
              <w:pStyle w:val="TableParagraph"/>
              <w:spacing w:before="32"/>
              <w:ind w:left="132" w:firstLine="314"/>
              <w:rPr>
                <w:b/>
                <w:sz w:val="18"/>
              </w:rPr>
            </w:pPr>
            <w:r>
              <w:rPr>
                <w:b/>
                <w:spacing w:val="-4"/>
                <w:sz w:val="18"/>
              </w:rPr>
              <w:t>Meta </w:t>
            </w:r>
            <w:r>
              <w:rPr>
                <w:b/>
                <w:spacing w:val="-2"/>
                <w:sz w:val="18"/>
              </w:rPr>
              <w:t>programada</w:t>
            </w:r>
          </w:p>
        </w:tc>
        <w:tc>
          <w:tcPr>
            <w:tcW w:w="1186" w:type="dxa"/>
            <w:shd w:val="clear" w:color="auto" w:fill="F1F1F1"/>
          </w:tcPr>
          <w:p>
            <w:pPr>
              <w:pStyle w:val="TableParagraph"/>
              <w:spacing w:before="135"/>
              <w:ind w:left="10"/>
              <w:jc w:val="center"/>
              <w:rPr>
                <w:b/>
                <w:sz w:val="18"/>
              </w:rPr>
            </w:pPr>
            <w:r>
              <w:rPr>
                <w:b/>
                <w:spacing w:val="-10"/>
                <w:sz w:val="18"/>
              </w:rPr>
              <w:t>¢</w:t>
            </w:r>
          </w:p>
        </w:tc>
        <w:tc>
          <w:tcPr>
            <w:tcW w:w="1183" w:type="dxa"/>
            <w:shd w:val="clear" w:color="auto" w:fill="F1F1F1"/>
          </w:tcPr>
          <w:p>
            <w:pPr>
              <w:pStyle w:val="TableParagraph"/>
              <w:spacing w:before="32"/>
              <w:ind w:left="70" w:firstLine="314"/>
              <w:rPr>
                <w:b/>
                <w:sz w:val="18"/>
              </w:rPr>
            </w:pPr>
            <w:r>
              <w:rPr>
                <w:b/>
                <w:spacing w:val="-4"/>
                <w:sz w:val="18"/>
              </w:rPr>
              <w:t>Meta </w:t>
            </w:r>
            <w:r>
              <w:rPr>
                <w:b/>
                <w:spacing w:val="-2"/>
                <w:sz w:val="18"/>
              </w:rPr>
              <w:t>programada</w:t>
            </w:r>
          </w:p>
        </w:tc>
        <w:tc>
          <w:tcPr>
            <w:tcW w:w="1318" w:type="dxa"/>
            <w:shd w:val="clear" w:color="auto" w:fill="F1F1F1"/>
          </w:tcPr>
          <w:p>
            <w:pPr>
              <w:pStyle w:val="TableParagraph"/>
              <w:spacing w:before="135"/>
              <w:ind w:left="7"/>
              <w:jc w:val="center"/>
              <w:rPr>
                <w:b/>
                <w:sz w:val="18"/>
              </w:rPr>
            </w:pPr>
            <w:r>
              <w:rPr>
                <w:b/>
                <w:spacing w:val="-10"/>
                <w:sz w:val="18"/>
              </w:rPr>
              <w:t>¢</w:t>
            </w:r>
          </w:p>
        </w:tc>
        <w:tc>
          <w:tcPr>
            <w:tcW w:w="1562" w:type="dxa"/>
            <w:shd w:val="clear" w:color="auto" w:fill="F1F1F1"/>
          </w:tcPr>
          <w:p>
            <w:pPr>
              <w:pStyle w:val="TableParagraph"/>
              <w:spacing w:before="32"/>
              <w:ind w:left="260" w:firstLine="314"/>
              <w:rPr>
                <w:b/>
                <w:sz w:val="18"/>
              </w:rPr>
            </w:pPr>
            <w:r>
              <w:rPr>
                <w:b/>
                <w:spacing w:val="-4"/>
                <w:sz w:val="18"/>
              </w:rPr>
              <w:t>Meta </w:t>
            </w:r>
            <w:r>
              <w:rPr>
                <w:b/>
                <w:spacing w:val="-2"/>
                <w:sz w:val="18"/>
              </w:rPr>
              <w:t>programada</w:t>
            </w:r>
          </w:p>
        </w:tc>
        <w:tc>
          <w:tcPr>
            <w:tcW w:w="1552" w:type="dxa"/>
            <w:shd w:val="clear" w:color="auto" w:fill="F1F1F1"/>
          </w:tcPr>
          <w:p>
            <w:pPr>
              <w:pStyle w:val="TableParagraph"/>
              <w:spacing w:before="135"/>
              <w:ind w:left="10"/>
              <w:jc w:val="center"/>
              <w:rPr>
                <w:b/>
                <w:sz w:val="18"/>
              </w:rPr>
            </w:pPr>
            <w:r>
              <w:rPr>
                <w:b/>
                <w:spacing w:val="-10"/>
                <w:sz w:val="18"/>
              </w:rPr>
              <w:t>¢</w:t>
            </w:r>
          </w:p>
        </w:tc>
      </w:tr>
      <w:tr>
        <w:trPr>
          <w:trHeight w:val="618" w:hRule="atLeast"/>
        </w:trPr>
        <w:tc>
          <w:tcPr>
            <w:tcW w:w="14599" w:type="dxa"/>
            <w:gridSpan w:val="10"/>
            <w:shd w:val="clear" w:color="auto" w:fill="F1F1F1"/>
          </w:tcPr>
          <w:p>
            <w:pPr>
              <w:pStyle w:val="TableParagraph"/>
              <w:spacing w:before="102"/>
              <w:ind w:left="69"/>
              <w:rPr>
                <w:b/>
                <w:sz w:val="18"/>
              </w:rPr>
            </w:pPr>
            <w:r>
              <w:rPr>
                <w:b/>
                <w:sz w:val="18"/>
              </w:rPr>
              <w:t>Efecto:</w:t>
            </w:r>
            <w:r>
              <w:rPr>
                <w:b/>
                <w:spacing w:val="-1"/>
                <w:sz w:val="18"/>
              </w:rPr>
              <w:t> </w:t>
            </w:r>
            <w:r>
              <w:rPr>
                <w:b/>
                <w:sz w:val="18"/>
              </w:rPr>
              <w:t>Efectiva</w:t>
            </w:r>
            <w:r>
              <w:rPr>
                <w:b/>
                <w:spacing w:val="-3"/>
                <w:sz w:val="18"/>
              </w:rPr>
              <w:t> </w:t>
            </w:r>
            <w:r>
              <w:rPr>
                <w:b/>
                <w:sz w:val="18"/>
              </w:rPr>
              <w:t>gestión</w:t>
            </w:r>
            <w:r>
              <w:rPr>
                <w:b/>
                <w:spacing w:val="-1"/>
                <w:sz w:val="18"/>
              </w:rPr>
              <w:t> </w:t>
            </w:r>
            <w:r>
              <w:rPr>
                <w:b/>
                <w:sz w:val="18"/>
              </w:rPr>
              <w:t>de</w:t>
            </w:r>
            <w:r>
              <w:rPr>
                <w:b/>
                <w:spacing w:val="-3"/>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554" w:hRule="atLeast"/>
        </w:trPr>
        <w:tc>
          <w:tcPr>
            <w:tcW w:w="14599" w:type="dxa"/>
            <w:gridSpan w:val="10"/>
            <w:shd w:val="clear" w:color="auto" w:fill="DBE4F0"/>
          </w:tcPr>
          <w:p>
            <w:pPr>
              <w:pStyle w:val="TableParagraph"/>
              <w:spacing w:before="171"/>
              <w:ind w:left="69"/>
              <w:rPr>
                <w:b/>
                <w:sz w:val="18"/>
              </w:rPr>
            </w:pPr>
            <w:r>
              <w:rPr>
                <w:b/>
                <w:sz w:val="18"/>
              </w:rPr>
              <w:t>Producto</w:t>
            </w:r>
            <w:r>
              <w:rPr>
                <w:b/>
                <w:spacing w:val="-2"/>
                <w:sz w:val="18"/>
              </w:rPr>
              <w:t> </w:t>
            </w:r>
            <w:r>
              <w:rPr>
                <w:b/>
                <w:sz w:val="18"/>
              </w:rPr>
              <w:t>PAC</w:t>
            </w:r>
            <w:r>
              <w:rPr>
                <w:b/>
                <w:spacing w:val="-3"/>
                <w:sz w:val="18"/>
              </w:rPr>
              <w:t> </w:t>
            </w:r>
            <w:r>
              <w:rPr>
                <w:b/>
                <w:sz w:val="18"/>
              </w:rPr>
              <w:t>2.12:</w:t>
            </w:r>
            <w:r>
              <w:rPr>
                <w:b/>
                <w:spacing w:val="46"/>
                <w:sz w:val="18"/>
              </w:rPr>
              <w:t> </w:t>
            </w:r>
            <w:r>
              <w:rPr>
                <w:b/>
                <w:sz w:val="18"/>
              </w:rPr>
              <w:t>Políticas,</w:t>
            </w:r>
            <w:r>
              <w:rPr>
                <w:b/>
                <w:spacing w:val="-2"/>
                <w:sz w:val="18"/>
              </w:rPr>
              <w:t> </w:t>
            </w:r>
            <w:r>
              <w:rPr>
                <w:b/>
                <w:sz w:val="18"/>
              </w:rPr>
              <w:t>programas,</w:t>
            </w:r>
            <w:r>
              <w:rPr>
                <w:b/>
                <w:spacing w:val="-2"/>
                <w:sz w:val="18"/>
              </w:rPr>
              <w:t> </w:t>
            </w:r>
            <w:r>
              <w:rPr>
                <w:b/>
                <w:sz w:val="18"/>
              </w:rPr>
              <w:t>proyectos,</w:t>
            </w:r>
            <w:r>
              <w:rPr>
                <w:b/>
                <w:spacing w:val="-2"/>
                <w:sz w:val="18"/>
              </w:rPr>
              <w:t> </w:t>
            </w:r>
            <w:r>
              <w:rPr>
                <w:b/>
                <w:sz w:val="18"/>
              </w:rPr>
              <w:t>beneficios</w:t>
            </w:r>
            <w:r>
              <w:rPr>
                <w:b/>
                <w:spacing w:val="-2"/>
                <w:sz w:val="18"/>
              </w:rPr>
              <w:t> </w:t>
            </w:r>
            <w:r>
              <w:rPr>
                <w:b/>
                <w:sz w:val="18"/>
              </w:rPr>
              <w:t>y</w:t>
            </w:r>
            <w:r>
              <w:rPr>
                <w:b/>
                <w:spacing w:val="-2"/>
                <w:sz w:val="18"/>
              </w:rPr>
              <w:t> </w:t>
            </w:r>
            <w:r>
              <w:rPr>
                <w:b/>
                <w:sz w:val="18"/>
              </w:rPr>
              <w:t>servicios</w:t>
            </w:r>
            <w:r>
              <w:rPr>
                <w:b/>
                <w:spacing w:val="-2"/>
                <w:sz w:val="18"/>
              </w:rPr>
              <w:t> </w:t>
            </w:r>
            <w:r>
              <w:rPr>
                <w:b/>
                <w:sz w:val="18"/>
              </w:rPr>
              <w:t>evaluados</w:t>
            </w:r>
            <w:r>
              <w:rPr>
                <w:b/>
                <w:spacing w:val="-2"/>
                <w:sz w:val="18"/>
              </w:rPr>
              <w:t> </w:t>
            </w:r>
            <w:r>
              <w:rPr>
                <w:b/>
                <w:sz w:val="18"/>
              </w:rPr>
              <w:t>y</w:t>
            </w:r>
            <w:r>
              <w:rPr>
                <w:b/>
                <w:spacing w:val="-2"/>
                <w:sz w:val="18"/>
              </w:rPr>
              <w:t> </w:t>
            </w:r>
            <w:r>
              <w:rPr>
                <w:b/>
                <w:sz w:val="18"/>
              </w:rPr>
              <w:t>con</w:t>
            </w:r>
            <w:r>
              <w:rPr>
                <w:b/>
                <w:spacing w:val="-2"/>
                <w:sz w:val="18"/>
              </w:rPr>
              <w:t> </w:t>
            </w:r>
            <w:r>
              <w:rPr>
                <w:b/>
                <w:sz w:val="18"/>
              </w:rPr>
              <w:t>el</w:t>
            </w:r>
            <w:r>
              <w:rPr>
                <w:b/>
                <w:spacing w:val="-4"/>
                <w:sz w:val="18"/>
              </w:rPr>
              <w:t> </w:t>
            </w:r>
            <w:r>
              <w:rPr>
                <w:b/>
                <w:sz w:val="18"/>
              </w:rPr>
              <w:t>desarrollo</w:t>
            </w:r>
            <w:r>
              <w:rPr>
                <w:b/>
                <w:spacing w:val="-2"/>
                <w:sz w:val="18"/>
              </w:rPr>
              <w:t> </w:t>
            </w:r>
            <w:r>
              <w:rPr>
                <w:b/>
                <w:sz w:val="18"/>
              </w:rPr>
              <w:t>de</w:t>
            </w:r>
            <w:r>
              <w:rPr>
                <w:b/>
                <w:spacing w:val="-4"/>
                <w:sz w:val="18"/>
              </w:rPr>
              <w:t> </w:t>
            </w:r>
            <w:r>
              <w:rPr>
                <w:b/>
                <w:sz w:val="18"/>
              </w:rPr>
              <w:t>la</w:t>
            </w:r>
            <w:r>
              <w:rPr>
                <w:b/>
                <w:spacing w:val="-4"/>
                <w:sz w:val="18"/>
              </w:rPr>
              <w:t> </w:t>
            </w:r>
            <w:r>
              <w:rPr>
                <w:b/>
                <w:sz w:val="18"/>
              </w:rPr>
              <w:t>mejora</w:t>
            </w:r>
            <w:r>
              <w:rPr>
                <w:b/>
                <w:spacing w:val="-2"/>
                <w:sz w:val="18"/>
              </w:rPr>
              <w:t> </w:t>
            </w:r>
            <w:r>
              <w:rPr>
                <w:b/>
                <w:sz w:val="18"/>
              </w:rPr>
              <w:t>continua.</w:t>
            </w:r>
            <w:r>
              <w:rPr>
                <w:b/>
                <w:spacing w:val="46"/>
                <w:sz w:val="18"/>
              </w:rPr>
              <w:t> </w:t>
            </w:r>
            <w:r>
              <w:rPr>
                <w:b/>
                <w:sz w:val="18"/>
              </w:rPr>
              <w:t>E1</w:t>
            </w:r>
            <w:r>
              <w:rPr>
                <w:b/>
                <w:spacing w:val="-4"/>
                <w:sz w:val="18"/>
              </w:rPr>
              <w:t> </w:t>
            </w:r>
            <w:r>
              <w:rPr>
                <w:b/>
                <w:sz w:val="18"/>
              </w:rPr>
              <w:t>AE2</w:t>
            </w:r>
            <w:r>
              <w:rPr>
                <w:b/>
                <w:spacing w:val="-2"/>
                <w:sz w:val="18"/>
              </w:rPr>
              <w:t> </w:t>
            </w:r>
            <w:r>
              <w:rPr>
                <w:b/>
                <w:sz w:val="18"/>
              </w:rPr>
              <w:t>R3</w:t>
            </w:r>
            <w:r>
              <w:rPr>
                <w:b/>
                <w:spacing w:val="-3"/>
                <w:sz w:val="18"/>
              </w:rPr>
              <w:t> </w:t>
            </w:r>
            <w:r>
              <w:rPr>
                <w:b/>
                <w:spacing w:val="-2"/>
                <w:sz w:val="18"/>
              </w:rPr>
              <w:t>(60%)</w:t>
            </w:r>
          </w:p>
        </w:tc>
      </w:tr>
      <w:tr>
        <w:trPr>
          <w:trHeight w:val="1159" w:hRule="atLeast"/>
        </w:trPr>
        <w:tc>
          <w:tcPr>
            <w:tcW w:w="2129" w:type="dxa"/>
          </w:tcPr>
          <w:p>
            <w:pPr>
              <w:pStyle w:val="TableParagraph"/>
              <w:spacing w:before="61"/>
              <w:ind w:left="69" w:right="152"/>
              <w:rPr>
                <w:sz w:val="18"/>
              </w:rPr>
            </w:pPr>
            <w:r>
              <w:rPr>
                <w:b/>
                <w:sz w:val="18"/>
              </w:rPr>
              <w:t>Actividad</w:t>
            </w:r>
            <w:r>
              <w:rPr>
                <w:b/>
                <w:spacing w:val="-15"/>
                <w:sz w:val="18"/>
              </w:rPr>
              <w:t> </w:t>
            </w:r>
            <w:r>
              <w:rPr>
                <w:b/>
                <w:sz w:val="18"/>
              </w:rPr>
              <w:t>PAC</w:t>
            </w:r>
            <w:r>
              <w:rPr>
                <w:b/>
                <w:spacing w:val="-12"/>
                <w:sz w:val="18"/>
              </w:rPr>
              <w:t> </w:t>
            </w:r>
            <w:r>
              <w:rPr>
                <w:b/>
                <w:sz w:val="18"/>
              </w:rPr>
              <w:t>2.12.1: </w:t>
            </w:r>
            <w:r>
              <w:rPr>
                <w:sz w:val="18"/>
              </w:rPr>
              <w:t>Coordinar con los departamentos</w:t>
            </w:r>
            <w:r>
              <w:rPr>
                <w:spacing w:val="-15"/>
                <w:sz w:val="18"/>
              </w:rPr>
              <w:t> </w:t>
            </w:r>
            <w:r>
              <w:rPr>
                <w:sz w:val="18"/>
              </w:rPr>
              <w:t>a</w:t>
            </w:r>
            <w:r>
              <w:rPr>
                <w:spacing w:val="-12"/>
                <w:sz w:val="18"/>
              </w:rPr>
              <w:t> </w:t>
            </w:r>
            <w:r>
              <w:rPr>
                <w:sz w:val="18"/>
              </w:rPr>
              <w:t>cargo de los servicios a evaluar en el 2027</w:t>
            </w:r>
          </w:p>
        </w:tc>
        <w:tc>
          <w:tcPr>
            <w:tcW w:w="1555" w:type="dxa"/>
          </w:tcPr>
          <w:p>
            <w:pPr>
              <w:pStyle w:val="TableParagraph"/>
              <w:spacing w:before="61"/>
              <w:rPr>
                <w:b/>
                <w:sz w:val="18"/>
              </w:rPr>
            </w:pPr>
          </w:p>
          <w:p>
            <w:pPr>
              <w:pStyle w:val="TableParagraph"/>
              <w:ind w:left="69" w:right="452"/>
              <w:jc w:val="both"/>
              <w:rPr>
                <w:sz w:val="18"/>
              </w:rPr>
            </w:pPr>
            <w:r>
              <w:rPr>
                <w:sz w:val="18"/>
              </w:rPr>
              <w:t>Cantidad de sesiones de </w:t>
            </w:r>
            <w:r>
              <w:rPr>
                <w:spacing w:val="-2"/>
                <w:sz w:val="18"/>
              </w:rPr>
              <w:t>coordinación</w:t>
            </w:r>
          </w:p>
        </w:tc>
        <w:tc>
          <w:tcPr>
            <w:tcW w:w="1563" w:type="dxa"/>
          </w:tcPr>
          <w:p>
            <w:pPr>
              <w:pStyle w:val="TableParagraph"/>
              <w:rPr>
                <w:b/>
                <w:sz w:val="18"/>
              </w:rPr>
            </w:pPr>
          </w:p>
          <w:p>
            <w:pPr>
              <w:pStyle w:val="TableParagraph"/>
              <w:spacing w:before="63"/>
              <w:rPr>
                <w:b/>
                <w:sz w:val="18"/>
              </w:rPr>
            </w:pPr>
          </w:p>
          <w:p>
            <w:pPr>
              <w:pStyle w:val="TableParagraph"/>
              <w:ind w:left="9" w:right="2"/>
              <w:jc w:val="center"/>
              <w:rPr>
                <w:sz w:val="18"/>
              </w:rPr>
            </w:pPr>
            <w:r>
              <w:rPr>
                <w:spacing w:val="-10"/>
                <w:sz w:val="18"/>
              </w:rPr>
              <w:t>1</w:t>
            </w:r>
          </w:p>
        </w:tc>
        <w:tc>
          <w:tcPr>
            <w:tcW w:w="1243" w:type="dxa"/>
          </w:tcPr>
          <w:p>
            <w:pPr>
              <w:pStyle w:val="TableParagraph"/>
              <w:rPr>
                <w:rFonts w:ascii="Times New Roman"/>
                <w:sz w:val="18"/>
              </w:rPr>
            </w:pPr>
          </w:p>
        </w:tc>
        <w:tc>
          <w:tcPr>
            <w:tcW w:w="1308" w:type="dxa"/>
          </w:tcPr>
          <w:p>
            <w:pPr>
              <w:pStyle w:val="TableParagraph"/>
              <w:rPr>
                <w:b/>
                <w:sz w:val="18"/>
              </w:rPr>
            </w:pPr>
          </w:p>
          <w:p>
            <w:pPr>
              <w:pStyle w:val="TableParagraph"/>
              <w:spacing w:before="63"/>
              <w:rPr>
                <w:b/>
                <w:sz w:val="18"/>
              </w:rPr>
            </w:pPr>
          </w:p>
          <w:p>
            <w:pPr>
              <w:pStyle w:val="TableParagraph"/>
              <w:ind w:left="10" w:right="3"/>
              <w:jc w:val="center"/>
              <w:rPr>
                <w:sz w:val="18"/>
              </w:rPr>
            </w:pPr>
            <w:r>
              <w:rPr>
                <w:spacing w:val="-10"/>
                <w:sz w:val="18"/>
              </w:rPr>
              <w:t>2</w:t>
            </w:r>
          </w:p>
        </w:tc>
        <w:tc>
          <w:tcPr>
            <w:tcW w:w="1186" w:type="dxa"/>
          </w:tcPr>
          <w:p>
            <w:pPr>
              <w:pStyle w:val="TableParagraph"/>
              <w:rPr>
                <w:rFonts w:ascii="Times New Roman"/>
                <w:sz w:val="18"/>
              </w:rPr>
            </w:pPr>
          </w:p>
        </w:tc>
        <w:tc>
          <w:tcPr>
            <w:tcW w:w="1183" w:type="dxa"/>
          </w:tcPr>
          <w:p>
            <w:pPr>
              <w:pStyle w:val="TableParagraph"/>
              <w:rPr>
                <w:b/>
                <w:sz w:val="18"/>
              </w:rPr>
            </w:pPr>
          </w:p>
          <w:p>
            <w:pPr>
              <w:pStyle w:val="TableParagraph"/>
              <w:spacing w:before="63"/>
              <w:rPr>
                <w:b/>
                <w:sz w:val="18"/>
              </w:rPr>
            </w:pPr>
          </w:p>
          <w:p>
            <w:pPr>
              <w:pStyle w:val="TableParagraph"/>
              <w:ind w:left="7"/>
              <w:jc w:val="center"/>
              <w:rPr>
                <w:sz w:val="18"/>
              </w:rPr>
            </w:pPr>
            <w:r>
              <w:rPr>
                <w:spacing w:val="-10"/>
                <w:sz w:val="18"/>
              </w:rPr>
              <w:t>2</w:t>
            </w:r>
          </w:p>
        </w:tc>
        <w:tc>
          <w:tcPr>
            <w:tcW w:w="1318" w:type="dxa"/>
          </w:tcPr>
          <w:p>
            <w:pPr>
              <w:pStyle w:val="TableParagraph"/>
              <w:rPr>
                <w:rFonts w:ascii="Times New Roman"/>
                <w:sz w:val="18"/>
              </w:rPr>
            </w:pPr>
          </w:p>
        </w:tc>
        <w:tc>
          <w:tcPr>
            <w:tcW w:w="1562" w:type="dxa"/>
          </w:tcPr>
          <w:p>
            <w:pPr>
              <w:pStyle w:val="TableParagraph"/>
              <w:rPr>
                <w:rFonts w:ascii="Times New Roman"/>
                <w:sz w:val="18"/>
              </w:rPr>
            </w:pPr>
          </w:p>
        </w:tc>
        <w:tc>
          <w:tcPr>
            <w:tcW w:w="1552" w:type="dxa"/>
          </w:tcPr>
          <w:p>
            <w:pPr>
              <w:pStyle w:val="TableParagraph"/>
              <w:rPr>
                <w:rFonts w:ascii="Times New Roman"/>
                <w:sz w:val="18"/>
              </w:rPr>
            </w:pPr>
          </w:p>
        </w:tc>
      </w:tr>
      <w:tr>
        <w:trPr>
          <w:trHeight w:val="1449" w:hRule="atLeast"/>
        </w:trPr>
        <w:tc>
          <w:tcPr>
            <w:tcW w:w="2129" w:type="dxa"/>
          </w:tcPr>
          <w:p>
            <w:pPr>
              <w:pStyle w:val="TableParagraph"/>
              <w:ind w:left="69" w:right="152"/>
              <w:rPr>
                <w:sz w:val="18"/>
              </w:rPr>
            </w:pPr>
            <w:r>
              <w:rPr>
                <w:b/>
                <w:sz w:val="18"/>
              </w:rPr>
              <w:t>Actividad</w:t>
            </w:r>
            <w:r>
              <w:rPr>
                <w:b/>
                <w:spacing w:val="-15"/>
                <w:sz w:val="18"/>
              </w:rPr>
              <w:t> </w:t>
            </w:r>
            <w:r>
              <w:rPr>
                <w:b/>
                <w:sz w:val="18"/>
              </w:rPr>
              <w:t>PAC</w:t>
            </w:r>
            <w:r>
              <w:rPr>
                <w:b/>
                <w:spacing w:val="-12"/>
                <w:sz w:val="18"/>
              </w:rPr>
              <w:t> </w:t>
            </w:r>
            <w:r>
              <w:rPr>
                <w:b/>
                <w:sz w:val="18"/>
              </w:rPr>
              <w:t>2.12.2: </w:t>
            </w:r>
            <w:r>
              <w:rPr>
                <w:sz w:val="18"/>
              </w:rPr>
              <w:t>Coordinar la contratación de u</w:t>
            </w:r>
            <w:r>
              <w:rPr>
                <w:b/>
                <w:sz w:val="18"/>
              </w:rPr>
              <w:t>na enti</w:t>
            </w:r>
            <w:r>
              <w:rPr>
                <w:sz w:val="18"/>
              </w:rPr>
              <w:t>dad de apoyo al proceso de evaluación de los servicios</w:t>
            </w:r>
          </w:p>
          <w:p>
            <w:pPr>
              <w:pStyle w:val="TableParagraph"/>
              <w:spacing w:line="187" w:lineRule="exact"/>
              <w:ind w:left="69"/>
              <w:rPr>
                <w:sz w:val="18"/>
              </w:rPr>
            </w:pPr>
            <w:r>
              <w:rPr>
                <w:spacing w:val="-2"/>
                <w:sz w:val="18"/>
              </w:rPr>
              <w:t>seleccionados</w:t>
            </w:r>
          </w:p>
        </w:tc>
        <w:tc>
          <w:tcPr>
            <w:tcW w:w="1555" w:type="dxa"/>
          </w:tcPr>
          <w:p>
            <w:pPr>
              <w:pStyle w:val="TableParagraph"/>
              <w:rPr>
                <w:b/>
                <w:sz w:val="18"/>
              </w:rPr>
            </w:pPr>
          </w:p>
          <w:p>
            <w:pPr>
              <w:pStyle w:val="TableParagraph"/>
              <w:rPr>
                <w:b/>
                <w:sz w:val="18"/>
              </w:rPr>
            </w:pPr>
          </w:p>
          <w:p>
            <w:pPr>
              <w:pStyle w:val="TableParagraph"/>
              <w:ind w:left="69" w:right="137"/>
              <w:rPr>
                <w:sz w:val="18"/>
              </w:rPr>
            </w:pPr>
            <w:r>
              <w:rPr>
                <w:sz w:val="18"/>
              </w:rPr>
              <w:t>Cantidad de </w:t>
            </w:r>
            <w:r>
              <w:rPr>
                <w:spacing w:val="-2"/>
                <w:sz w:val="18"/>
              </w:rPr>
              <w:t>contrataciones realizadas</w:t>
            </w:r>
          </w:p>
        </w:tc>
        <w:tc>
          <w:tcPr>
            <w:tcW w:w="1563" w:type="dxa"/>
          </w:tcPr>
          <w:p>
            <w:pPr>
              <w:pStyle w:val="TableParagraph"/>
              <w:rPr>
                <w:rFonts w:ascii="Times New Roman"/>
                <w:sz w:val="18"/>
              </w:rPr>
            </w:pPr>
          </w:p>
        </w:tc>
        <w:tc>
          <w:tcPr>
            <w:tcW w:w="1243" w:type="dxa"/>
          </w:tcPr>
          <w:p>
            <w:pPr>
              <w:pStyle w:val="TableParagraph"/>
              <w:rPr>
                <w:rFonts w:ascii="Times New Roman"/>
                <w:sz w:val="18"/>
              </w:rPr>
            </w:pPr>
          </w:p>
        </w:tc>
        <w:tc>
          <w:tcPr>
            <w:tcW w:w="1308" w:type="dxa"/>
          </w:tcPr>
          <w:p>
            <w:pPr>
              <w:pStyle w:val="TableParagraph"/>
              <w:rPr>
                <w:rFonts w:ascii="Times New Roman"/>
                <w:sz w:val="18"/>
              </w:rPr>
            </w:pPr>
          </w:p>
        </w:tc>
        <w:tc>
          <w:tcPr>
            <w:tcW w:w="1186" w:type="dxa"/>
          </w:tcPr>
          <w:p>
            <w:pPr>
              <w:pStyle w:val="TableParagraph"/>
              <w:rPr>
                <w:rFonts w:ascii="Times New Roman"/>
                <w:sz w:val="18"/>
              </w:rPr>
            </w:pPr>
          </w:p>
        </w:tc>
        <w:tc>
          <w:tcPr>
            <w:tcW w:w="1183" w:type="dxa"/>
          </w:tcPr>
          <w:p>
            <w:pPr>
              <w:pStyle w:val="TableParagraph"/>
              <w:rPr>
                <w:b/>
                <w:sz w:val="18"/>
              </w:rPr>
            </w:pPr>
          </w:p>
          <w:p>
            <w:pPr>
              <w:pStyle w:val="TableParagraph"/>
              <w:spacing w:before="206"/>
              <w:rPr>
                <w:b/>
                <w:sz w:val="18"/>
              </w:rPr>
            </w:pPr>
          </w:p>
          <w:p>
            <w:pPr>
              <w:pStyle w:val="TableParagraph"/>
              <w:ind w:left="7"/>
              <w:jc w:val="center"/>
              <w:rPr>
                <w:sz w:val="18"/>
              </w:rPr>
            </w:pPr>
            <w:r>
              <w:rPr>
                <w:spacing w:val="-10"/>
                <w:sz w:val="18"/>
              </w:rPr>
              <w:t>1</w:t>
            </w:r>
          </w:p>
        </w:tc>
        <w:tc>
          <w:tcPr>
            <w:tcW w:w="1318" w:type="dxa"/>
          </w:tcPr>
          <w:p>
            <w:pPr>
              <w:pStyle w:val="TableParagraph"/>
              <w:rPr>
                <w:rFonts w:ascii="Times New Roman"/>
                <w:sz w:val="18"/>
              </w:rPr>
            </w:pPr>
          </w:p>
        </w:tc>
        <w:tc>
          <w:tcPr>
            <w:tcW w:w="1562" w:type="dxa"/>
          </w:tcPr>
          <w:p>
            <w:pPr>
              <w:pStyle w:val="TableParagraph"/>
              <w:rPr>
                <w:rFonts w:ascii="Times New Roman"/>
                <w:sz w:val="18"/>
              </w:rPr>
            </w:pPr>
          </w:p>
        </w:tc>
        <w:tc>
          <w:tcPr>
            <w:tcW w:w="1552" w:type="dxa"/>
          </w:tcPr>
          <w:p>
            <w:pPr>
              <w:pStyle w:val="TableParagraph"/>
              <w:rPr>
                <w:rFonts w:ascii="Times New Roman"/>
                <w:sz w:val="18"/>
              </w:rPr>
            </w:pPr>
          </w:p>
        </w:tc>
      </w:tr>
      <w:tr>
        <w:trPr>
          <w:trHeight w:val="1260" w:hRule="atLeast"/>
        </w:trPr>
        <w:tc>
          <w:tcPr>
            <w:tcW w:w="2129" w:type="dxa"/>
          </w:tcPr>
          <w:p>
            <w:pPr>
              <w:pStyle w:val="TableParagraph"/>
              <w:spacing w:before="8"/>
              <w:rPr>
                <w:b/>
                <w:sz w:val="18"/>
              </w:rPr>
            </w:pPr>
          </w:p>
          <w:p>
            <w:pPr>
              <w:pStyle w:val="TableParagraph"/>
              <w:ind w:left="69" w:right="152"/>
              <w:rPr>
                <w:sz w:val="18"/>
              </w:rPr>
            </w:pPr>
            <w:r>
              <w:rPr>
                <w:b/>
                <w:sz w:val="18"/>
              </w:rPr>
              <w:t>Actividad PAC 2.12.3: </w:t>
            </w:r>
            <w:r>
              <w:rPr>
                <w:sz w:val="18"/>
              </w:rPr>
              <w:t>Ejecutar el proceso de evaluación de los servicios</w:t>
            </w:r>
            <w:r>
              <w:rPr>
                <w:spacing w:val="-13"/>
                <w:sz w:val="18"/>
              </w:rPr>
              <w:t> </w:t>
            </w:r>
            <w:r>
              <w:rPr>
                <w:sz w:val="18"/>
              </w:rPr>
              <w:t>seleccionados</w:t>
            </w:r>
          </w:p>
        </w:tc>
        <w:tc>
          <w:tcPr>
            <w:tcW w:w="1555" w:type="dxa"/>
          </w:tcPr>
          <w:p>
            <w:pPr>
              <w:pStyle w:val="TableParagraph"/>
              <w:spacing w:before="111"/>
              <w:rPr>
                <w:b/>
                <w:sz w:val="18"/>
              </w:rPr>
            </w:pPr>
          </w:p>
          <w:p>
            <w:pPr>
              <w:pStyle w:val="TableParagraph"/>
              <w:ind w:left="69" w:right="498"/>
              <w:rPr>
                <w:sz w:val="18"/>
              </w:rPr>
            </w:pPr>
            <w:r>
              <w:rPr>
                <w:sz w:val="18"/>
              </w:rPr>
              <w:t>Cantidad</w:t>
            </w:r>
            <w:r>
              <w:rPr>
                <w:spacing w:val="-13"/>
                <w:sz w:val="18"/>
              </w:rPr>
              <w:t> </w:t>
            </w:r>
            <w:r>
              <w:rPr>
                <w:sz w:val="18"/>
              </w:rPr>
              <w:t>de </w:t>
            </w:r>
            <w:r>
              <w:rPr>
                <w:spacing w:val="-2"/>
                <w:sz w:val="18"/>
              </w:rPr>
              <w:t>servicios evaluados</w:t>
            </w:r>
          </w:p>
        </w:tc>
        <w:tc>
          <w:tcPr>
            <w:tcW w:w="1563" w:type="dxa"/>
          </w:tcPr>
          <w:p>
            <w:pPr>
              <w:pStyle w:val="TableParagraph"/>
              <w:rPr>
                <w:rFonts w:ascii="Times New Roman"/>
                <w:sz w:val="18"/>
              </w:rPr>
            </w:pPr>
          </w:p>
        </w:tc>
        <w:tc>
          <w:tcPr>
            <w:tcW w:w="1243" w:type="dxa"/>
          </w:tcPr>
          <w:p>
            <w:pPr>
              <w:pStyle w:val="TableParagraph"/>
              <w:rPr>
                <w:rFonts w:ascii="Times New Roman"/>
                <w:sz w:val="18"/>
              </w:rPr>
            </w:pPr>
          </w:p>
        </w:tc>
        <w:tc>
          <w:tcPr>
            <w:tcW w:w="1308" w:type="dxa"/>
          </w:tcPr>
          <w:p>
            <w:pPr>
              <w:pStyle w:val="TableParagraph"/>
              <w:rPr>
                <w:rFonts w:ascii="Times New Roman"/>
                <w:sz w:val="18"/>
              </w:rPr>
            </w:pPr>
          </w:p>
        </w:tc>
        <w:tc>
          <w:tcPr>
            <w:tcW w:w="1186" w:type="dxa"/>
          </w:tcPr>
          <w:p>
            <w:pPr>
              <w:pStyle w:val="TableParagraph"/>
              <w:rPr>
                <w:rFonts w:ascii="Times New Roman"/>
                <w:sz w:val="18"/>
              </w:rPr>
            </w:pPr>
          </w:p>
        </w:tc>
        <w:tc>
          <w:tcPr>
            <w:tcW w:w="1183" w:type="dxa"/>
          </w:tcPr>
          <w:p>
            <w:pPr>
              <w:pStyle w:val="TableParagraph"/>
              <w:rPr>
                <w:b/>
                <w:sz w:val="18"/>
              </w:rPr>
            </w:pPr>
          </w:p>
          <w:p>
            <w:pPr>
              <w:pStyle w:val="TableParagraph"/>
              <w:spacing w:before="111"/>
              <w:rPr>
                <w:b/>
                <w:sz w:val="18"/>
              </w:rPr>
            </w:pPr>
          </w:p>
          <w:p>
            <w:pPr>
              <w:pStyle w:val="TableParagraph"/>
              <w:ind w:left="7"/>
              <w:jc w:val="center"/>
              <w:rPr>
                <w:sz w:val="18"/>
              </w:rPr>
            </w:pPr>
            <w:r>
              <w:rPr>
                <w:spacing w:val="-10"/>
                <w:sz w:val="18"/>
              </w:rPr>
              <w:t>1</w:t>
            </w:r>
          </w:p>
        </w:tc>
        <w:tc>
          <w:tcPr>
            <w:tcW w:w="1318" w:type="dxa"/>
          </w:tcPr>
          <w:p>
            <w:pPr>
              <w:pStyle w:val="TableParagraph"/>
              <w:rPr>
                <w:b/>
                <w:sz w:val="18"/>
              </w:rPr>
            </w:pPr>
          </w:p>
          <w:p>
            <w:pPr>
              <w:pStyle w:val="TableParagraph"/>
              <w:spacing w:before="111"/>
              <w:rPr>
                <w:b/>
                <w:sz w:val="18"/>
              </w:rPr>
            </w:pPr>
          </w:p>
          <w:p>
            <w:pPr>
              <w:pStyle w:val="TableParagraph"/>
              <w:ind w:left="214"/>
              <w:rPr>
                <w:sz w:val="18"/>
              </w:rPr>
            </w:pPr>
            <w:r>
              <w:rPr>
                <w:sz w:val="18"/>
              </w:rPr>
              <w:t>₡12</w:t>
            </w:r>
            <w:r>
              <w:rPr>
                <w:spacing w:val="-2"/>
                <w:sz w:val="18"/>
              </w:rPr>
              <w:t> </w:t>
            </w:r>
            <w:r>
              <w:rPr>
                <w:sz w:val="18"/>
              </w:rPr>
              <w:t>500</w:t>
            </w:r>
            <w:r>
              <w:rPr>
                <w:spacing w:val="-2"/>
                <w:sz w:val="18"/>
              </w:rPr>
              <w:t> </w:t>
            </w:r>
            <w:r>
              <w:rPr>
                <w:spacing w:val="-5"/>
                <w:sz w:val="18"/>
              </w:rPr>
              <w:t>000</w:t>
            </w:r>
          </w:p>
        </w:tc>
        <w:tc>
          <w:tcPr>
            <w:tcW w:w="1562" w:type="dxa"/>
          </w:tcPr>
          <w:p>
            <w:pPr>
              <w:pStyle w:val="TableParagraph"/>
              <w:rPr>
                <w:rFonts w:ascii="Times New Roman"/>
                <w:sz w:val="18"/>
              </w:rPr>
            </w:pPr>
          </w:p>
        </w:tc>
        <w:tc>
          <w:tcPr>
            <w:tcW w:w="1552" w:type="dxa"/>
          </w:tcPr>
          <w:p>
            <w:pPr>
              <w:pStyle w:val="TableParagraph"/>
              <w:rPr>
                <w:rFonts w:ascii="Times New Roman"/>
                <w:sz w:val="18"/>
              </w:rPr>
            </w:pPr>
          </w:p>
        </w:tc>
      </w:tr>
      <w:tr>
        <w:trPr>
          <w:trHeight w:val="645" w:hRule="atLeast"/>
        </w:trPr>
        <w:tc>
          <w:tcPr>
            <w:tcW w:w="14599" w:type="dxa"/>
            <w:gridSpan w:val="10"/>
            <w:shd w:val="clear" w:color="auto" w:fill="DBE4F0"/>
          </w:tcPr>
          <w:p>
            <w:pPr>
              <w:pStyle w:val="TableParagraph"/>
              <w:spacing w:before="12"/>
              <w:rPr>
                <w:b/>
                <w:sz w:val="18"/>
              </w:rPr>
            </w:pPr>
          </w:p>
          <w:p>
            <w:pPr>
              <w:pStyle w:val="TableParagraph"/>
              <w:ind w:left="69"/>
              <w:rPr>
                <w:b/>
                <w:sz w:val="18"/>
              </w:rPr>
            </w:pPr>
            <w:r>
              <w:rPr>
                <w:b/>
                <w:sz w:val="18"/>
              </w:rPr>
              <w:t>Producto</w:t>
            </w:r>
            <w:r>
              <w:rPr>
                <w:b/>
                <w:spacing w:val="-5"/>
                <w:sz w:val="18"/>
              </w:rPr>
              <w:t> </w:t>
            </w:r>
            <w:r>
              <w:rPr>
                <w:b/>
                <w:sz w:val="18"/>
              </w:rPr>
              <w:t>PAC</w:t>
            </w:r>
            <w:r>
              <w:rPr>
                <w:b/>
                <w:spacing w:val="-2"/>
                <w:sz w:val="18"/>
              </w:rPr>
              <w:t> </w:t>
            </w:r>
            <w:r>
              <w:rPr>
                <w:b/>
                <w:sz w:val="18"/>
              </w:rPr>
              <w:t>2.13:</w:t>
            </w:r>
            <w:r>
              <w:rPr>
                <w:b/>
                <w:spacing w:val="-2"/>
                <w:sz w:val="18"/>
              </w:rPr>
              <w:t> </w:t>
            </w:r>
            <w:r>
              <w:rPr>
                <w:b/>
                <w:sz w:val="18"/>
              </w:rPr>
              <w:t>Planes,</w:t>
            </w:r>
            <w:r>
              <w:rPr>
                <w:b/>
                <w:spacing w:val="-4"/>
                <w:sz w:val="18"/>
              </w:rPr>
              <w:t> </w:t>
            </w:r>
            <w:r>
              <w:rPr>
                <w:b/>
                <w:sz w:val="18"/>
              </w:rPr>
              <w:t>programas</w:t>
            </w:r>
            <w:r>
              <w:rPr>
                <w:b/>
                <w:spacing w:val="-4"/>
                <w:sz w:val="18"/>
              </w:rPr>
              <w:t> </w:t>
            </w:r>
            <w:r>
              <w:rPr>
                <w:b/>
                <w:sz w:val="18"/>
              </w:rPr>
              <w:t>y</w:t>
            </w:r>
            <w:r>
              <w:rPr>
                <w:b/>
                <w:spacing w:val="-2"/>
                <w:sz w:val="18"/>
              </w:rPr>
              <w:t> </w:t>
            </w:r>
            <w:r>
              <w:rPr>
                <w:b/>
                <w:sz w:val="18"/>
              </w:rPr>
              <w:t>proyectos</w:t>
            </w:r>
            <w:r>
              <w:rPr>
                <w:b/>
                <w:spacing w:val="-3"/>
                <w:sz w:val="18"/>
              </w:rPr>
              <w:t> </w:t>
            </w:r>
            <w:r>
              <w:rPr>
                <w:b/>
                <w:sz w:val="18"/>
              </w:rPr>
              <w:t>formulados</w:t>
            </w:r>
            <w:r>
              <w:rPr>
                <w:b/>
                <w:spacing w:val="-4"/>
                <w:sz w:val="18"/>
              </w:rPr>
              <w:t> </w:t>
            </w:r>
            <w:r>
              <w:rPr>
                <w:b/>
                <w:sz w:val="18"/>
              </w:rPr>
              <w:t>y</w:t>
            </w:r>
            <w:r>
              <w:rPr>
                <w:b/>
                <w:spacing w:val="-2"/>
                <w:sz w:val="18"/>
              </w:rPr>
              <w:t> </w:t>
            </w:r>
            <w:r>
              <w:rPr>
                <w:b/>
                <w:sz w:val="18"/>
              </w:rPr>
              <w:t>operando</w:t>
            </w:r>
            <w:r>
              <w:rPr>
                <w:b/>
                <w:spacing w:val="-4"/>
                <w:sz w:val="18"/>
              </w:rPr>
              <w:t> </w:t>
            </w:r>
            <w:r>
              <w:rPr>
                <w:b/>
                <w:sz w:val="18"/>
              </w:rPr>
              <w:t>como</w:t>
            </w:r>
            <w:r>
              <w:rPr>
                <w:b/>
                <w:spacing w:val="-4"/>
                <w:sz w:val="18"/>
              </w:rPr>
              <w:t> </w:t>
            </w:r>
            <w:r>
              <w:rPr>
                <w:b/>
                <w:sz w:val="18"/>
              </w:rPr>
              <w:t>insumos</w:t>
            </w:r>
            <w:r>
              <w:rPr>
                <w:b/>
                <w:spacing w:val="-2"/>
                <w:sz w:val="18"/>
              </w:rPr>
              <w:t> </w:t>
            </w:r>
            <w:r>
              <w:rPr>
                <w:b/>
                <w:sz w:val="18"/>
              </w:rPr>
              <w:t>para</w:t>
            </w:r>
            <w:r>
              <w:rPr>
                <w:b/>
                <w:spacing w:val="-2"/>
                <w:sz w:val="18"/>
              </w:rPr>
              <w:t> </w:t>
            </w:r>
            <w:r>
              <w:rPr>
                <w:b/>
                <w:sz w:val="18"/>
              </w:rPr>
              <w:t>la</w:t>
            </w:r>
            <w:r>
              <w:rPr>
                <w:b/>
                <w:spacing w:val="-3"/>
                <w:sz w:val="18"/>
              </w:rPr>
              <w:t> </w:t>
            </w:r>
            <w:r>
              <w:rPr>
                <w:b/>
                <w:sz w:val="18"/>
              </w:rPr>
              <w:t>toma</w:t>
            </w:r>
            <w:r>
              <w:rPr>
                <w:b/>
                <w:spacing w:val="-3"/>
                <w:sz w:val="18"/>
              </w:rPr>
              <w:t> </w:t>
            </w:r>
            <w:r>
              <w:rPr>
                <w:b/>
                <w:sz w:val="18"/>
              </w:rPr>
              <w:t>de</w:t>
            </w:r>
            <w:r>
              <w:rPr>
                <w:b/>
                <w:spacing w:val="-2"/>
                <w:sz w:val="18"/>
              </w:rPr>
              <w:t> decisiones</w:t>
            </w:r>
          </w:p>
        </w:tc>
      </w:tr>
    </w:tbl>
    <w:p>
      <w:pPr>
        <w:pStyle w:val="TableParagraph"/>
        <w:spacing w:after="0"/>
        <w:rPr>
          <w:b/>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9"/>
        <w:gridCol w:w="1555"/>
        <w:gridCol w:w="1563"/>
        <w:gridCol w:w="1243"/>
        <w:gridCol w:w="1308"/>
        <w:gridCol w:w="1186"/>
        <w:gridCol w:w="1183"/>
        <w:gridCol w:w="1318"/>
        <w:gridCol w:w="1562"/>
        <w:gridCol w:w="1552"/>
      </w:tblGrid>
      <w:tr>
        <w:trPr>
          <w:trHeight w:val="299" w:hRule="atLeast"/>
        </w:trPr>
        <w:tc>
          <w:tcPr>
            <w:tcW w:w="2129" w:type="dxa"/>
            <w:vMerge w:val="restart"/>
            <w:shd w:val="clear" w:color="auto" w:fill="F1F1F1"/>
          </w:tcPr>
          <w:p>
            <w:pPr>
              <w:pStyle w:val="TableParagraph"/>
              <w:spacing w:before="84"/>
              <w:rPr>
                <w:b/>
                <w:sz w:val="18"/>
              </w:rPr>
            </w:pPr>
          </w:p>
          <w:p>
            <w:pPr>
              <w:pStyle w:val="TableParagraph"/>
              <w:ind w:left="93"/>
              <w:rPr>
                <w:b/>
                <w:sz w:val="18"/>
              </w:rPr>
            </w:pPr>
            <w:r>
              <w:rPr>
                <w:b/>
                <w:sz w:val="18"/>
              </w:rPr>
              <w:t>Objetivos</w:t>
            </w:r>
            <w:r>
              <w:rPr>
                <w:b/>
                <w:spacing w:val="-4"/>
                <w:sz w:val="18"/>
              </w:rPr>
              <w:t> </w:t>
            </w:r>
            <w:r>
              <w:rPr>
                <w:b/>
                <w:sz w:val="18"/>
              </w:rPr>
              <w:t>/</w:t>
            </w:r>
            <w:r>
              <w:rPr>
                <w:b/>
                <w:spacing w:val="-2"/>
                <w:sz w:val="18"/>
              </w:rPr>
              <w:t> Resultados</w:t>
            </w:r>
          </w:p>
        </w:tc>
        <w:tc>
          <w:tcPr>
            <w:tcW w:w="1555" w:type="dxa"/>
            <w:vMerge w:val="restart"/>
            <w:shd w:val="clear" w:color="auto" w:fill="F1F1F1"/>
          </w:tcPr>
          <w:p>
            <w:pPr>
              <w:pStyle w:val="TableParagraph"/>
              <w:spacing w:before="84"/>
              <w:rPr>
                <w:b/>
                <w:sz w:val="18"/>
              </w:rPr>
            </w:pPr>
          </w:p>
          <w:p>
            <w:pPr>
              <w:pStyle w:val="TableParagraph"/>
              <w:ind w:left="371"/>
              <w:rPr>
                <w:b/>
                <w:sz w:val="18"/>
              </w:rPr>
            </w:pPr>
            <w:r>
              <w:rPr>
                <w:b/>
                <w:spacing w:val="-2"/>
                <w:sz w:val="18"/>
              </w:rPr>
              <w:t>Indicador</w:t>
            </w:r>
          </w:p>
        </w:tc>
        <w:tc>
          <w:tcPr>
            <w:tcW w:w="2806" w:type="dxa"/>
            <w:gridSpan w:val="2"/>
            <w:shd w:val="clear" w:color="auto" w:fill="F1F1F1"/>
          </w:tcPr>
          <w:p>
            <w:pPr>
              <w:pStyle w:val="TableParagraph"/>
              <w:spacing w:before="47"/>
              <w:ind w:left="941"/>
              <w:rPr>
                <w:b/>
                <w:sz w:val="18"/>
              </w:rPr>
            </w:pPr>
            <w:r>
              <w:rPr>
                <w:b/>
                <w:sz w:val="18"/>
              </w:rPr>
              <w:t>I </w:t>
            </w:r>
            <w:r>
              <w:rPr>
                <w:b/>
                <w:spacing w:val="-2"/>
                <w:sz w:val="18"/>
              </w:rPr>
              <w:t>Trimestre</w:t>
            </w:r>
          </w:p>
        </w:tc>
        <w:tc>
          <w:tcPr>
            <w:tcW w:w="2494" w:type="dxa"/>
            <w:gridSpan w:val="2"/>
            <w:shd w:val="clear" w:color="auto" w:fill="F1F1F1"/>
          </w:tcPr>
          <w:p>
            <w:pPr>
              <w:pStyle w:val="TableParagraph"/>
              <w:spacing w:before="47"/>
              <w:ind w:left="761"/>
              <w:rPr>
                <w:b/>
                <w:sz w:val="18"/>
              </w:rPr>
            </w:pPr>
            <w:r>
              <w:rPr>
                <w:b/>
                <w:sz w:val="18"/>
              </w:rPr>
              <w:t>II </w:t>
            </w:r>
            <w:r>
              <w:rPr>
                <w:b/>
                <w:spacing w:val="-2"/>
                <w:sz w:val="18"/>
              </w:rPr>
              <w:t>Trimestre</w:t>
            </w:r>
          </w:p>
        </w:tc>
        <w:tc>
          <w:tcPr>
            <w:tcW w:w="2501" w:type="dxa"/>
            <w:gridSpan w:val="2"/>
            <w:shd w:val="clear" w:color="auto" w:fill="F1F1F1"/>
          </w:tcPr>
          <w:p>
            <w:pPr>
              <w:pStyle w:val="TableParagraph"/>
              <w:spacing w:before="47"/>
              <w:ind w:left="739"/>
              <w:rPr>
                <w:b/>
                <w:sz w:val="18"/>
              </w:rPr>
            </w:pPr>
            <w:r>
              <w:rPr>
                <w:b/>
                <w:sz w:val="18"/>
              </w:rPr>
              <w:t>III </w:t>
            </w:r>
            <w:r>
              <w:rPr>
                <w:b/>
                <w:spacing w:val="-2"/>
                <w:sz w:val="18"/>
              </w:rPr>
              <w:t>Trimestre</w:t>
            </w:r>
          </w:p>
        </w:tc>
        <w:tc>
          <w:tcPr>
            <w:tcW w:w="3114" w:type="dxa"/>
            <w:gridSpan w:val="2"/>
            <w:shd w:val="clear" w:color="auto" w:fill="F1F1F1"/>
          </w:tcPr>
          <w:p>
            <w:pPr>
              <w:pStyle w:val="TableParagraph"/>
              <w:spacing w:before="47"/>
              <w:ind w:left="1037"/>
              <w:rPr>
                <w:b/>
                <w:sz w:val="18"/>
              </w:rPr>
            </w:pPr>
            <w:r>
              <w:rPr>
                <w:b/>
                <w:sz w:val="18"/>
              </w:rPr>
              <w:t>IV </w:t>
            </w:r>
            <w:r>
              <w:rPr>
                <w:b/>
                <w:spacing w:val="-2"/>
                <w:sz w:val="18"/>
              </w:rPr>
              <w:t>Trimestre</w:t>
            </w:r>
          </w:p>
        </w:tc>
      </w:tr>
      <w:tr>
        <w:trPr>
          <w:trHeight w:val="479" w:hRule="atLeast"/>
        </w:trPr>
        <w:tc>
          <w:tcPr>
            <w:tcW w:w="2129" w:type="dxa"/>
            <w:vMerge/>
            <w:tcBorders>
              <w:top w:val="nil"/>
            </w:tcBorders>
            <w:shd w:val="clear" w:color="auto" w:fill="F1F1F1"/>
          </w:tcPr>
          <w:p>
            <w:pPr>
              <w:rPr>
                <w:sz w:val="2"/>
                <w:szCs w:val="2"/>
              </w:rPr>
            </w:pPr>
          </w:p>
        </w:tc>
        <w:tc>
          <w:tcPr>
            <w:tcW w:w="1555" w:type="dxa"/>
            <w:vMerge/>
            <w:tcBorders>
              <w:top w:val="nil"/>
            </w:tcBorders>
            <w:shd w:val="clear" w:color="auto" w:fill="F1F1F1"/>
          </w:tcPr>
          <w:p>
            <w:pPr>
              <w:rPr>
                <w:sz w:val="2"/>
                <w:szCs w:val="2"/>
              </w:rPr>
            </w:pPr>
          </w:p>
        </w:tc>
        <w:tc>
          <w:tcPr>
            <w:tcW w:w="1563" w:type="dxa"/>
            <w:shd w:val="clear" w:color="auto" w:fill="F1F1F1"/>
          </w:tcPr>
          <w:p>
            <w:pPr>
              <w:pStyle w:val="TableParagraph"/>
              <w:spacing w:before="32"/>
              <w:ind w:left="259" w:firstLine="314"/>
              <w:rPr>
                <w:b/>
                <w:sz w:val="18"/>
              </w:rPr>
            </w:pPr>
            <w:r>
              <w:rPr>
                <w:b/>
                <w:spacing w:val="-4"/>
                <w:sz w:val="18"/>
              </w:rPr>
              <w:t>Meta </w:t>
            </w:r>
            <w:r>
              <w:rPr>
                <w:b/>
                <w:spacing w:val="-2"/>
                <w:sz w:val="18"/>
              </w:rPr>
              <w:t>programada</w:t>
            </w:r>
          </w:p>
        </w:tc>
        <w:tc>
          <w:tcPr>
            <w:tcW w:w="1243" w:type="dxa"/>
            <w:shd w:val="clear" w:color="auto" w:fill="F1F1F1"/>
          </w:tcPr>
          <w:p>
            <w:pPr>
              <w:pStyle w:val="TableParagraph"/>
              <w:spacing w:before="135"/>
              <w:ind w:left="9"/>
              <w:jc w:val="center"/>
              <w:rPr>
                <w:b/>
                <w:sz w:val="18"/>
              </w:rPr>
            </w:pPr>
            <w:r>
              <w:rPr>
                <w:b/>
                <w:spacing w:val="-10"/>
                <w:sz w:val="18"/>
              </w:rPr>
              <w:t>¢</w:t>
            </w:r>
          </w:p>
        </w:tc>
        <w:tc>
          <w:tcPr>
            <w:tcW w:w="1308" w:type="dxa"/>
            <w:shd w:val="clear" w:color="auto" w:fill="F1F1F1"/>
          </w:tcPr>
          <w:p>
            <w:pPr>
              <w:pStyle w:val="TableParagraph"/>
              <w:spacing w:before="32"/>
              <w:ind w:left="132" w:firstLine="314"/>
              <w:rPr>
                <w:b/>
                <w:sz w:val="18"/>
              </w:rPr>
            </w:pPr>
            <w:r>
              <w:rPr>
                <w:b/>
                <w:spacing w:val="-4"/>
                <w:sz w:val="18"/>
              </w:rPr>
              <w:t>Meta </w:t>
            </w:r>
            <w:r>
              <w:rPr>
                <w:b/>
                <w:spacing w:val="-2"/>
                <w:sz w:val="18"/>
              </w:rPr>
              <w:t>programada</w:t>
            </w:r>
          </w:p>
        </w:tc>
        <w:tc>
          <w:tcPr>
            <w:tcW w:w="1186" w:type="dxa"/>
            <w:shd w:val="clear" w:color="auto" w:fill="F1F1F1"/>
          </w:tcPr>
          <w:p>
            <w:pPr>
              <w:pStyle w:val="TableParagraph"/>
              <w:spacing w:before="135"/>
              <w:ind w:left="10"/>
              <w:jc w:val="center"/>
              <w:rPr>
                <w:b/>
                <w:sz w:val="18"/>
              </w:rPr>
            </w:pPr>
            <w:r>
              <w:rPr>
                <w:b/>
                <w:spacing w:val="-10"/>
                <w:sz w:val="18"/>
              </w:rPr>
              <w:t>¢</w:t>
            </w:r>
          </w:p>
        </w:tc>
        <w:tc>
          <w:tcPr>
            <w:tcW w:w="1183" w:type="dxa"/>
            <w:shd w:val="clear" w:color="auto" w:fill="F1F1F1"/>
          </w:tcPr>
          <w:p>
            <w:pPr>
              <w:pStyle w:val="TableParagraph"/>
              <w:spacing w:before="32"/>
              <w:ind w:left="70" w:firstLine="314"/>
              <w:rPr>
                <w:b/>
                <w:sz w:val="18"/>
              </w:rPr>
            </w:pPr>
            <w:r>
              <w:rPr>
                <w:b/>
                <w:spacing w:val="-4"/>
                <w:sz w:val="18"/>
              </w:rPr>
              <w:t>Meta </w:t>
            </w:r>
            <w:r>
              <w:rPr>
                <w:b/>
                <w:spacing w:val="-2"/>
                <w:sz w:val="18"/>
              </w:rPr>
              <w:t>programada</w:t>
            </w:r>
          </w:p>
        </w:tc>
        <w:tc>
          <w:tcPr>
            <w:tcW w:w="1318" w:type="dxa"/>
            <w:shd w:val="clear" w:color="auto" w:fill="F1F1F1"/>
          </w:tcPr>
          <w:p>
            <w:pPr>
              <w:pStyle w:val="TableParagraph"/>
              <w:spacing w:before="135"/>
              <w:ind w:left="7"/>
              <w:jc w:val="center"/>
              <w:rPr>
                <w:b/>
                <w:sz w:val="18"/>
              </w:rPr>
            </w:pPr>
            <w:r>
              <w:rPr>
                <w:b/>
                <w:spacing w:val="-10"/>
                <w:sz w:val="18"/>
              </w:rPr>
              <w:t>¢</w:t>
            </w:r>
          </w:p>
        </w:tc>
        <w:tc>
          <w:tcPr>
            <w:tcW w:w="1562" w:type="dxa"/>
            <w:shd w:val="clear" w:color="auto" w:fill="F1F1F1"/>
          </w:tcPr>
          <w:p>
            <w:pPr>
              <w:pStyle w:val="TableParagraph"/>
              <w:spacing w:before="32"/>
              <w:ind w:left="260" w:firstLine="314"/>
              <w:rPr>
                <w:b/>
                <w:sz w:val="18"/>
              </w:rPr>
            </w:pPr>
            <w:r>
              <w:rPr>
                <w:b/>
                <w:spacing w:val="-4"/>
                <w:sz w:val="18"/>
              </w:rPr>
              <w:t>Meta </w:t>
            </w:r>
            <w:r>
              <w:rPr>
                <w:b/>
                <w:spacing w:val="-2"/>
                <w:sz w:val="18"/>
              </w:rPr>
              <w:t>programada</w:t>
            </w:r>
          </w:p>
        </w:tc>
        <w:tc>
          <w:tcPr>
            <w:tcW w:w="1552" w:type="dxa"/>
            <w:shd w:val="clear" w:color="auto" w:fill="F1F1F1"/>
          </w:tcPr>
          <w:p>
            <w:pPr>
              <w:pStyle w:val="TableParagraph"/>
              <w:spacing w:before="135"/>
              <w:ind w:left="10"/>
              <w:jc w:val="center"/>
              <w:rPr>
                <w:b/>
                <w:sz w:val="18"/>
              </w:rPr>
            </w:pPr>
            <w:r>
              <w:rPr>
                <w:b/>
                <w:spacing w:val="-10"/>
                <w:sz w:val="18"/>
              </w:rPr>
              <w:t>¢</w:t>
            </w:r>
          </w:p>
        </w:tc>
      </w:tr>
      <w:tr>
        <w:trPr>
          <w:trHeight w:val="3170" w:hRule="atLeast"/>
        </w:trPr>
        <w:tc>
          <w:tcPr>
            <w:tcW w:w="2129" w:type="dxa"/>
          </w:tcPr>
          <w:p>
            <w:pPr>
              <w:pStyle w:val="TableParagraph"/>
              <w:spacing w:before="32"/>
              <w:ind w:left="69" w:right="61"/>
              <w:rPr>
                <w:sz w:val="18"/>
              </w:rPr>
            </w:pPr>
            <w:r>
              <w:rPr>
                <w:b/>
                <w:sz w:val="18"/>
              </w:rPr>
              <w:t>Actividad PAC 2.13.1: </w:t>
            </w:r>
            <w:r>
              <w:rPr>
                <w:sz w:val="18"/>
              </w:rPr>
              <w:t>Implementar a nivel institucional la herramienta DELPHOS, en los módulos DELPHOS Net para el seguimiento</w:t>
            </w:r>
            <w:r>
              <w:rPr>
                <w:spacing w:val="-2"/>
                <w:sz w:val="18"/>
              </w:rPr>
              <w:t> </w:t>
            </w:r>
            <w:r>
              <w:rPr>
                <w:sz w:val="18"/>
              </w:rPr>
              <w:t>y</w:t>
            </w:r>
            <w:r>
              <w:rPr>
                <w:spacing w:val="-3"/>
                <w:sz w:val="18"/>
              </w:rPr>
              <w:t> </w:t>
            </w:r>
            <w:r>
              <w:rPr>
                <w:sz w:val="18"/>
              </w:rPr>
              <w:t>control</w:t>
            </w:r>
            <w:r>
              <w:rPr>
                <w:spacing w:val="-4"/>
                <w:sz w:val="18"/>
              </w:rPr>
              <w:t> </w:t>
            </w:r>
            <w:r>
              <w:rPr>
                <w:sz w:val="18"/>
              </w:rPr>
              <w:t>de los instrumentos de planificación</w:t>
            </w:r>
            <w:r>
              <w:rPr>
                <w:spacing w:val="-13"/>
                <w:sz w:val="18"/>
              </w:rPr>
              <w:t> </w:t>
            </w:r>
            <w:r>
              <w:rPr>
                <w:sz w:val="18"/>
              </w:rPr>
              <w:t>institucional (PEI, POI y POGE), así</w:t>
            </w:r>
          </w:p>
          <w:p>
            <w:pPr>
              <w:pStyle w:val="TableParagraph"/>
              <w:ind w:left="69" w:right="87"/>
              <w:rPr>
                <w:sz w:val="18"/>
              </w:rPr>
            </w:pPr>
            <w:r>
              <w:rPr>
                <w:sz w:val="18"/>
              </w:rPr>
              <w:t>como Delphos Continuum,</w:t>
            </w:r>
            <w:r>
              <w:rPr>
                <w:spacing w:val="40"/>
                <w:sz w:val="18"/>
              </w:rPr>
              <w:t> </w:t>
            </w:r>
            <w:r>
              <w:rPr>
                <w:sz w:val="18"/>
              </w:rPr>
              <w:t>para el seguimiento</w:t>
            </w:r>
            <w:r>
              <w:rPr>
                <w:spacing w:val="-15"/>
                <w:sz w:val="18"/>
              </w:rPr>
              <w:t> </w:t>
            </w:r>
            <w:r>
              <w:rPr>
                <w:sz w:val="18"/>
              </w:rPr>
              <w:t>y</w:t>
            </w:r>
            <w:r>
              <w:rPr>
                <w:spacing w:val="-12"/>
                <w:sz w:val="18"/>
              </w:rPr>
              <w:t> </w:t>
            </w:r>
            <w:r>
              <w:rPr>
                <w:sz w:val="18"/>
              </w:rPr>
              <w:t>monitoreo de riesgos </w:t>
            </w:r>
            <w:r>
              <w:rPr>
                <w:spacing w:val="-2"/>
                <w:sz w:val="18"/>
              </w:rPr>
              <w:t>institucionales.</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spacing w:before="32"/>
              <w:rPr>
                <w:b/>
                <w:sz w:val="18"/>
              </w:rPr>
            </w:pPr>
          </w:p>
          <w:p>
            <w:pPr>
              <w:pStyle w:val="TableParagraph"/>
              <w:ind w:left="69" w:right="137"/>
              <w:rPr>
                <w:sz w:val="18"/>
              </w:rPr>
            </w:pPr>
            <w:r>
              <w:rPr>
                <w:sz w:val="18"/>
              </w:rPr>
              <w:t>Porcentaje de </w:t>
            </w:r>
            <w:r>
              <w:rPr>
                <w:spacing w:val="-2"/>
                <w:sz w:val="18"/>
              </w:rPr>
              <w:t>implementación </w:t>
            </w:r>
            <w:r>
              <w:rPr>
                <w:sz w:val="18"/>
              </w:rPr>
              <w:t>de la </w:t>
            </w:r>
            <w:r>
              <w:rPr>
                <w:spacing w:val="-2"/>
                <w:sz w:val="18"/>
              </w:rPr>
              <w:t>Herramienta DELPHOS,</w:t>
            </w:r>
          </w:p>
          <w:p>
            <w:pPr>
              <w:pStyle w:val="TableParagraph"/>
              <w:ind w:left="69" w:right="137"/>
              <w:rPr>
                <w:sz w:val="18"/>
              </w:rPr>
            </w:pPr>
            <w:r>
              <w:rPr>
                <w:sz w:val="18"/>
              </w:rPr>
              <w:t>módulo</w:t>
            </w:r>
            <w:r>
              <w:rPr>
                <w:spacing w:val="-15"/>
                <w:sz w:val="18"/>
              </w:rPr>
              <w:t> </w:t>
            </w:r>
            <w:r>
              <w:rPr>
                <w:sz w:val="18"/>
              </w:rPr>
              <w:t>Net</w:t>
            </w:r>
            <w:r>
              <w:rPr>
                <w:spacing w:val="-12"/>
                <w:sz w:val="18"/>
              </w:rPr>
              <w:t> </w:t>
            </w:r>
            <w:r>
              <w:rPr>
                <w:sz w:val="18"/>
              </w:rPr>
              <w:t>y </w:t>
            </w:r>
            <w:r>
              <w:rPr>
                <w:spacing w:val="-2"/>
                <w:sz w:val="18"/>
              </w:rPr>
              <w:t>Continuum</w:t>
            </w:r>
          </w:p>
        </w:tc>
        <w:tc>
          <w:tcPr>
            <w:tcW w:w="1563" w:type="dxa"/>
          </w:tcPr>
          <w:p>
            <w:pPr>
              <w:pStyle w:val="TableParagraph"/>
              <w:rPr>
                <w:rFonts w:ascii="Times New Roman"/>
                <w:sz w:val="18"/>
              </w:rPr>
            </w:pPr>
          </w:p>
        </w:tc>
        <w:tc>
          <w:tcPr>
            <w:tcW w:w="1243" w:type="dxa"/>
          </w:tcPr>
          <w:p>
            <w:pPr>
              <w:pStyle w:val="TableParagraph"/>
              <w:rPr>
                <w:rFonts w:ascii="Times New Roman"/>
                <w:sz w:val="18"/>
              </w:rPr>
            </w:pPr>
          </w:p>
        </w:tc>
        <w:tc>
          <w:tcPr>
            <w:tcW w:w="130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3"/>
              <w:rPr>
                <w:b/>
                <w:sz w:val="18"/>
              </w:rPr>
            </w:pPr>
          </w:p>
          <w:p>
            <w:pPr>
              <w:pStyle w:val="TableParagraph"/>
              <w:spacing w:before="1"/>
              <w:ind w:left="10"/>
              <w:jc w:val="center"/>
              <w:rPr>
                <w:sz w:val="18"/>
              </w:rPr>
            </w:pPr>
            <w:r>
              <w:rPr>
                <w:spacing w:val="-5"/>
                <w:sz w:val="18"/>
              </w:rPr>
              <w:t>50%</w:t>
            </w:r>
          </w:p>
        </w:tc>
        <w:tc>
          <w:tcPr>
            <w:tcW w:w="118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3"/>
              <w:rPr>
                <w:b/>
                <w:sz w:val="18"/>
              </w:rPr>
            </w:pPr>
          </w:p>
          <w:p>
            <w:pPr>
              <w:pStyle w:val="TableParagraph"/>
              <w:spacing w:before="1"/>
              <w:ind w:left="216"/>
              <w:rPr>
                <w:sz w:val="18"/>
              </w:rPr>
            </w:pPr>
            <w:r>
              <w:rPr>
                <w:sz w:val="18"/>
              </w:rPr>
              <w:t>¢9 993 </w:t>
            </w:r>
            <w:r>
              <w:rPr>
                <w:spacing w:val="-5"/>
                <w:sz w:val="18"/>
              </w:rPr>
              <w:t>749</w:t>
            </w:r>
          </w:p>
        </w:tc>
        <w:tc>
          <w:tcPr>
            <w:tcW w:w="1183" w:type="dxa"/>
          </w:tcPr>
          <w:p>
            <w:pPr>
              <w:pStyle w:val="TableParagraph"/>
              <w:rPr>
                <w:rFonts w:ascii="Times New Roman"/>
                <w:sz w:val="18"/>
              </w:rPr>
            </w:pPr>
          </w:p>
        </w:tc>
        <w:tc>
          <w:tcPr>
            <w:tcW w:w="1318" w:type="dxa"/>
          </w:tcPr>
          <w:p>
            <w:pPr>
              <w:pStyle w:val="TableParagraph"/>
              <w:rPr>
                <w:rFonts w:ascii="Times New Roman"/>
                <w:sz w:val="18"/>
              </w:rPr>
            </w:pPr>
          </w:p>
        </w:tc>
        <w:tc>
          <w:tcPr>
            <w:tcW w:w="156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3"/>
              <w:rPr>
                <w:b/>
                <w:sz w:val="18"/>
              </w:rPr>
            </w:pPr>
          </w:p>
          <w:p>
            <w:pPr>
              <w:pStyle w:val="TableParagraph"/>
              <w:spacing w:before="1"/>
              <w:ind w:left="11"/>
              <w:jc w:val="center"/>
              <w:rPr>
                <w:sz w:val="18"/>
              </w:rPr>
            </w:pPr>
            <w:r>
              <w:rPr>
                <w:spacing w:val="-5"/>
                <w:sz w:val="18"/>
              </w:rPr>
              <w:t>50%</w:t>
            </w:r>
          </w:p>
        </w:tc>
        <w:tc>
          <w:tcPr>
            <w:tcW w:w="155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3"/>
              <w:rPr>
                <w:b/>
                <w:sz w:val="18"/>
              </w:rPr>
            </w:pPr>
          </w:p>
          <w:p>
            <w:pPr>
              <w:pStyle w:val="TableParagraph"/>
              <w:spacing w:before="1"/>
              <w:ind w:left="433"/>
              <w:rPr>
                <w:sz w:val="18"/>
              </w:rPr>
            </w:pPr>
            <w:r>
              <w:rPr>
                <w:sz w:val="18"/>
              </w:rPr>
              <w:t>¢ 10 006</w:t>
            </w:r>
            <w:r>
              <w:rPr>
                <w:spacing w:val="1"/>
                <w:sz w:val="18"/>
              </w:rPr>
              <w:t> </w:t>
            </w:r>
            <w:r>
              <w:rPr>
                <w:spacing w:val="-5"/>
                <w:sz w:val="18"/>
              </w:rPr>
              <w:t>251</w:t>
            </w:r>
          </w:p>
        </w:tc>
      </w:tr>
    </w:tbl>
    <w:p>
      <w:pPr>
        <w:pStyle w:val="TableParagraph"/>
        <w:spacing w:after="0"/>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00"/>
        <w:gridCol w:w="1527"/>
        <w:gridCol w:w="1559"/>
        <w:gridCol w:w="1270"/>
        <w:gridCol w:w="1296"/>
        <w:gridCol w:w="1040"/>
        <w:gridCol w:w="1296"/>
        <w:gridCol w:w="1484"/>
        <w:gridCol w:w="1421"/>
        <w:gridCol w:w="1699"/>
      </w:tblGrid>
      <w:tr>
        <w:trPr>
          <w:trHeight w:val="299" w:hRule="atLeast"/>
        </w:trPr>
        <w:tc>
          <w:tcPr>
            <w:tcW w:w="2300" w:type="dxa"/>
            <w:vMerge w:val="restart"/>
            <w:shd w:val="clear" w:color="auto" w:fill="F1F1F1"/>
          </w:tcPr>
          <w:p>
            <w:pPr>
              <w:pStyle w:val="TableParagraph"/>
              <w:spacing w:before="71"/>
              <w:rPr>
                <w:b/>
                <w:sz w:val="20"/>
              </w:rPr>
            </w:pPr>
          </w:p>
          <w:p>
            <w:pPr>
              <w:pStyle w:val="TableParagraph"/>
              <w:spacing w:before="1"/>
              <w:ind w:left="69"/>
              <w:rPr>
                <w:b/>
                <w:sz w:val="20"/>
              </w:rPr>
            </w:pPr>
            <w:r>
              <w:rPr>
                <w:b/>
                <w:sz w:val="20"/>
              </w:rPr>
              <w:t>Objetivos</w:t>
            </w:r>
            <w:r>
              <w:rPr>
                <w:b/>
                <w:spacing w:val="-9"/>
                <w:sz w:val="20"/>
              </w:rPr>
              <w:t> </w:t>
            </w:r>
            <w:r>
              <w:rPr>
                <w:b/>
                <w:sz w:val="20"/>
              </w:rPr>
              <w:t>/</w:t>
            </w:r>
            <w:r>
              <w:rPr>
                <w:b/>
                <w:spacing w:val="-9"/>
                <w:sz w:val="20"/>
              </w:rPr>
              <w:t> </w:t>
            </w:r>
            <w:r>
              <w:rPr>
                <w:b/>
                <w:spacing w:val="-2"/>
                <w:sz w:val="20"/>
              </w:rPr>
              <w:t>Resultados</w:t>
            </w:r>
          </w:p>
        </w:tc>
        <w:tc>
          <w:tcPr>
            <w:tcW w:w="1527" w:type="dxa"/>
            <w:vMerge w:val="restart"/>
            <w:shd w:val="clear" w:color="auto" w:fill="F1F1F1"/>
          </w:tcPr>
          <w:p>
            <w:pPr>
              <w:pStyle w:val="TableParagraph"/>
              <w:spacing w:before="71"/>
              <w:rPr>
                <w:b/>
                <w:sz w:val="20"/>
              </w:rPr>
            </w:pPr>
          </w:p>
          <w:p>
            <w:pPr>
              <w:pStyle w:val="TableParagraph"/>
              <w:spacing w:before="1"/>
              <w:ind w:left="66"/>
              <w:rPr>
                <w:b/>
                <w:sz w:val="20"/>
              </w:rPr>
            </w:pPr>
            <w:r>
              <w:rPr>
                <w:b/>
                <w:spacing w:val="-2"/>
                <w:sz w:val="20"/>
              </w:rPr>
              <w:t>Indicador</w:t>
            </w:r>
          </w:p>
        </w:tc>
        <w:tc>
          <w:tcPr>
            <w:tcW w:w="2829" w:type="dxa"/>
            <w:gridSpan w:val="2"/>
            <w:shd w:val="clear" w:color="auto" w:fill="F1F1F1"/>
          </w:tcPr>
          <w:p>
            <w:pPr>
              <w:pStyle w:val="TableParagraph"/>
              <w:spacing w:line="211" w:lineRule="exact" w:before="69"/>
              <w:ind w:left="901"/>
              <w:rPr>
                <w:b/>
                <w:sz w:val="20"/>
              </w:rPr>
            </w:pPr>
            <w:r>
              <w:rPr>
                <w:b/>
                <w:sz w:val="20"/>
              </w:rPr>
              <w:t>I</w:t>
            </w:r>
            <w:r>
              <w:rPr>
                <w:b/>
                <w:spacing w:val="-2"/>
                <w:sz w:val="20"/>
              </w:rPr>
              <w:t> Trimestre</w:t>
            </w:r>
          </w:p>
        </w:tc>
        <w:tc>
          <w:tcPr>
            <w:tcW w:w="2336" w:type="dxa"/>
            <w:gridSpan w:val="2"/>
            <w:shd w:val="clear" w:color="auto" w:fill="F1F1F1"/>
          </w:tcPr>
          <w:p>
            <w:pPr>
              <w:pStyle w:val="TableParagraph"/>
              <w:spacing w:line="211" w:lineRule="exact" w:before="69"/>
              <w:ind w:left="626"/>
              <w:rPr>
                <w:b/>
                <w:sz w:val="20"/>
              </w:rPr>
            </w:pPr>
            <w:r>
              <w:rPr>
                <w:b/>
                <w:sz w:val="20"/>
              </w:rPr>
              <w:t>II</w:t>
            </w:r>
            <w:r>
              <w:rPr>
                <w:b/>
                <w:spacing w:val="-3"/>
                <w:sz w:val="20"/>
              </w:rPr>
              <w:t> </w:t>
            </w:r>
            <w:r>
              <w:rPr>
                <w:b/>
                <w:spacing w:val="-2"/>
                <w:sz w:val="20"/>
              </w:rPr>
              <w:t>Trimestre</w:t>
            </w:r>
          </w:p>
        </w:tc>
        <w:tc>
          <w:tcPr>
            <w:tcW w:w="2780" w:type="dxa"/>
            <w:gridSpan w:val="2"/>
            <w:shd w:val="clear" w:color="auto" w:fill="F1F1F1"/>
          </w:tcPr>
          <w:p>
            <w:pPr>
              <w:pStyle w:val="TableParagraph"/>
              <w:spacing w:line="211" w:lineRule="exact" w:before="69"/>
              <w:ind w:left="820"/>
              <w:rPr>
                <w:b/>
                <w:sz w:val="20"/>
              </w:rPr>
            </w:pPr>
            <w:r>
              <w:rPr>
                <w:b/>
                <w:sz w:val="20"/>
              </w:rPr>
              <w:t>III</w:t>
            </w:r>
            <w:r>
              <w:rPr>
                <w:b/>
                <w:spacing w:val="-3"/>
                <w:sz w:val="20"/>
              </w:rPr>
              <w:t> </w:t>
            </w:r>
            <w:r>
              <w:rPr>
                <w:b/>
                <w:spacing w:val="-2"/>
                <w:sz w:val="20"/>
              </w:rPr>
              <w:t>Trimestre</w:t>
            </w:r>
          </w:p>
        </w:tc>
        <w:tc>
          <w:tcPr>
            <w:tcW w:w="3120" w:type="dxa"/>
            <w:gridSpan w:val="2"/>
            <w:shd w:val="clear" w:color="auto" w:fill="F1F1F1"/>
          </w:tcPr>
          <w:p>
            <w:pPr>
              <w:pStyle w:val="TableParagraph"/>
              <w:spacing w:line="211" w:lineRule="exact" w:before="69"/>
              <w:ind w:left="978"/>
              <w:rPr>
                <w:b/>
                <w:sz w:val="20"/>
              </w:rPr>
            </w:pPr>
            <w:r>
              <w:rPr>
                <w:b/>
                <w:sz w:val="20"/>
              </w:rPr>
              <w:t>IV</w:t>
            </w:r>
            <w:r>
              <w:rPr>
                <w:b/>
                <w:spacing w:val="-4"/>
                <w:sz w:val="20"/>
              </w:rPr>
              <w:t> </w:t>
            </w:r>
            <w:r>
              <w:rPr>
                <w:b/>
                <w:spacing w:val="-2"/>
                <w:sz w:val="20"/>
              </w:rPr>
              <w:t>Trimestre</w:t>
            </w:r>
          </w:p>
        </w:tc>
      </w:tr>
      <w:tr>
        <w:trPr>
          <w:trHeight w:val="525" w:hRule="atLeast"/>
        </w:trPr>
        <w:tc>
          <w:tcPr>
            <w:tcW w:w="2300" w:type="dxa"/>
            <w:vMerge/>
            <w:tcBorders>
              <w:top w:val="nil"/>
            </w:tcBorders>
            <w:shd w:val="clear" w:color="auto" w:fill="F1F1F1"/>
          </w:tcPr>
          <w:p>
            <w:pPr>
              <w:rPr>
                <w:sz w:val="2"/>
                <w:szCs w:val="2"/>
              </w:rPr>
            </w:pPr>
          </w:p>
        </w:tc>
        <w:tc>
          <w:tcPr>
            <w:tcW w:w="1527" w:type="dxa"/>
            <w:vMerge/>
            <w:tcBorders>
              <w:top w:val="nil"/>
            </w:tcBorders>
            <w:shd w:val="clear" w:color="auto" w:fill="F1F1F1"/>
          </w:tcPr>
          <w:p>
            <w:pPr>
              <w:rPr>
                <w:sz w:val="2"/>
                <w:szCs w:val="2"/>
              </w:rPr>
            </w:pPr>
          </w:p>
        </w:tc>
        <w:tc>
          <w:tcPr>
            <w:tcW w:w="1559" w:type="dxa"/>
            <w:shd w:val="clear" w:color="auto" w:fill="F1F1F1"/>
          </w:tcPr>
          <w:p>
            <w:pPr>
              <w:pStyle w:val="TableParagraph"/>
              <w:spacing w:line="230" w:lineRule="atLeast" w:before="45"/>
              <w:ind w:left="198" w:firstLine="350"/>
              <w:rPr>
                <w:b/>
                <w:sz w:val="20"/>
              </w:rPr>
            </w:pPr>
            <w:r>
              <w:rPr>
                <w:b/>
                <w:spacing w:val="-4"/>
                <w:sz w:val="20"/>
              </w:rPr>
              <w:t>Meta </w:t>
            </w:r>
            <w:r>
              <w:rPr>
                <w:b/>
                <w:spacing w:val="-2"/>
                <w:sz w:val="20"/>
              </w:rPr>
              <w:t>programada</w:t>
            </w:r>
          </w:p>
        </w:tc>
        <w:tc>
          <w:tcPr>
            <w:tcW w:w="1270" w:type="dxa"/>
            <w:shd w:val="clear" w:color="auto" w:fill="F1F1F1"/>
          </w:tcPr>
          <w:p>
            <w:pPr>
              <w:pStyle w:val="TableParagraph"/>
              <w:spacing w:before="148"/>
              <w:ind w:left="9" w:right="10"/>
              <w:jc w:val="center"/>
              <w:rPr>
                <w:b/>
                <w:sz w:val="20"/>
              </w:rPr>
            </w:pPr>
            <w:r>
              <w:rPr>
                <w:b/>
                <w:spacing w:val="-10"/>
                <w:sz w:val="20"/>
              </w:rPr>
              <w:t>¢</w:t>
            </w:r>
          </w:p>
        </w:tc>
        <w:tc>
          <w:tcPr>
            <w:tcW w:w="1296" w:type="dxa"/>
            <w:shd w:val="clear" w:color="auto" w:fill="F1F1F1"/>
          </w:tcPr>
          <w:p>
            <w:pPr>
              <w:pStyle w:val="TableParagraph"/>
              <w:spacing w:before="33"/>
              <w:ind w:left="67" w:firstLine="350"/>
              <w:rPr>
                <w:b/>
                <w:sz w:val="20"/>
              </w:rPr>
            </w:pPr>
            <w:r>
              <w:rPr>
                <w:b/>
                <w:spacing w:val="-4"/>
                <w:sz w:val="20"/>
              </w:rPr>
              <w:t>Meta </w:t>
            </w:r>
            <w:r>
              <w:rPr>
                <w:b/>
                <w:spacing w:val="-2"/>
                <w:sz w:val="20"/>
              </w:rPr>
              <w:t>programada</w:t>
            </w:r>
          </w:p>
        </w:tc>
        <w:tc>
          <w:tcPr>
            <w:tcW w:w="1040" w:type="dxa"/>
            <w:shd w:val="clear" w:color="auto" w:fill="F1F1F1"/>
          </w:tcPr>
          <w:p>
            <w:pPr>
              <w:pStyle w:val="TableParagraph"/>
              <w:spacing w:before="148"/>
              <w:ind w:left="3"/>
              <w:jc w:val="center"/>
              <w:rPr>
                <w:b/>
                <w:sz w:val="20"/>
              </w:rPr>
            </w:pPr>
            <w:r>
              <w:rPr>
                <w:b/>
                <w:spacing w:val="-10"/>
                <w:sz w:val="20"/>
              </w:rPr>
              <w:t>¢</w:t>
            </w:r>
          </w:p>
        </w:tc>
        <w:tc>
          <w:tcPr>
            <w:tcW w:w="1296" w:type="dxa"/>
            <w:shd w:val="clear" w:color="auto" w:fill="F1F1F1"/>
          </w:tcPr>
          <w:p>
            <w:pPr>
              <w:pStyle w:val="TableParagraph"/>
              <w:spacing w:before="33"/>
              <w:ind w:left="66" w:firstLine="350"/>
              <w:rPr>
                <w:b/>
                <w:sz w:val="20"/>
              </w:rPr>
            </w:pPr>
            <w:r>
              <w:rPr>
                <w:b/>
                <w:spacing w:val="-4"/>
                <w:sz w:val="20"/>
              </w:rPr>
              <w:t>Meta </w:t>
            </w:r>
            <w:r>
              <w:rPr>
                <w:b/>
                <w:spacing w:val="-2"/>
                <w:sz w:val="20"/>
              </w:rPr>
              <w:t>programada</w:t>
            </w:r>
          </w:p>
        </w:tc>
        <w:tc>
          <w:tcPr>
            <w:tcW w:w="1484" w:type="dxa"/>
            <w:shd w:val="clear" w:color="auto" w:fill="F1F1F1"/>
          </w:tcPr>
          <w:p>
            <w:pPr>
              <w:pStyle w:val="TableParagraph"/>
              <w:spacing w:before="148"/>
              <w:ind w:left="3"/>
              <w:jc w:val="center"/>
              <w:rPr>
                <w:b/>
                <w:sz w:val="20"/>
              </w:rPr>
            </w:pPr>
            <w:r>
              <w:rPr>
                <w:b/>
                <w:spacing w:val="-10"/>
                <w:sz w:val="20"/>
              </w:rPr>
              <w:t>¢</w:t>
            </w:r>
          </w:p>
        </w:tc>
        <w:tc>
          <w:tcPr>
            <w:tcW w:w="1421" w:type="dxa"/>
            <w:shd w:val="clear" w:color="auto" w:fill="F1F1F1"/>
          </w:tcPr>
          <w:p>
            <w:pPr>
              <w:pStyle w:val="TableParagraph"/>
              <w:spacing w:line="230" w:lineRule="atLeast" w:before="45"/>
              <w:ind w:left="126" w:firstLine="352"/>
              <w:rPr>
                <w:b/>
                <w:sz w:val="20"/>
              </w:rPr>
            </w:pPr>
            <w:r>
              <w:rPr>
                <w:b/>
                <w:spacing w:val="-4"/>
                <w:sz w:val="20"/>
              </w:rPr>
              <w:t>Meta </w:t>
            </w:r>
            <w:r>
              <w:rPr>
                <w:b/>
                <w:spacing w:val="-2"/>
                <w:sz w:val="20"/>
              </w:rPr>
              <w:t>programada</w:t>
            </w:r>
          </w:p>
        </w:tc>
        <w:tc>
          <w:tcPr>
            <w:tcW w:w="1699" w:type="dxa"/>
            <w:shd w:val="clear" w:color="auto" w:fill="F1F1F1"/>
          </w:tcPr>
          <w:p>
            <w:pPr>
              <w:pStyle w:val="TableParagraph"/>
              <w:spacing w:before="148"/>
              <w:ind w:left="4"/>
              <w:jc w:val="center"/>
              <w:rPr>
                <w:b/>
                <w:sz w:val="20"/>
              </w:rPr>
            </w:pPr>
            <w:r>
              <w:rPr>
                <w:b/>
                <w:spacing w:val="-10"/>
                <w:sz w:val="20"/>
              </w:rPr>
              <w:t>¢</w:t>
            </w:r>
          </w:p>
        </w:tc>
      </w:tr>
      <w:tr>
        <w:trPr>
          <w:trHeight w:val="765" w:hRule="atLeast"/>
        </w:trPr>
        <w:tc>
          <w:tcPr>
            <w:tcW w:w="14892" w:type="dxa"/>
            <w:gridSpan w:val="10"/>
            <w:shd w:val="clear" w:color="auto" w:fill="F1F1F1"/>
          </w:tcPr>
          <w:p>
            <w:pPr>
              <w:pStyle w:val="TableParagraph"/>
              <w:spacing w:before="153"/>
              <w:ind w:left="69" w:right="126"/>
              <w:rPr>
                <w:b/>
                <w:sz w:val="20"/>
              </w:rPr>
            </w:pPr>
            <w:r>
              <w:rPr>
                <w:b/>
                <w:sz w:val="20"/>
              </w:rPr>
              <w:t>Efecto:</w:t>
            </w:r>
            <w:r>
              <w:rPr>
                <w:b/>
                <w:spacing w:val="-2"/>
                <w:sz w:val="20"/>
              </w:rPr>
              <w:t> </w:t>
            </w:r>
            <w:r>
              <w:rPr>
                <w:b/>
                <w:sz w:val="20"/>
              </w:rPr>
              <w:t>Efectiva</w:t>
            </w:r>
            <w:r>
              <w:rPr>
                <w:b/>
                <w:spacing w:val="-3"/>
                <w:sz w:val="20"/>
              </w:rPr>
              <w:t> </w:t>
            </w:r>
            <w:r>
              <w:rPr>
                <w:b/>
                <w:sz w:val="20"/>
              </w:rPr>
              <w:t>gestión</w:t>
            </w:r>
            <w:r>
              <w:rPr>
                <w:b/>
                <w:spacing w:val="-2"/>
                <w:sz w:val="20"/>
              </w:rPr>
              <w:t> </w:t>
            </w:r>
            <w:r>
              <w:rPr>
                <w:b/>
                <w:sz w:val="20"/>
              </w:rPr>
              <w:t>de</w:t>
            </w:r>
            <w:r>
              <w:rPr>
                <w:b/>
                <w:spacing w:val="-3"/>
                <w:sz w:val="20"/>
              </w:rPr>
              <w:t> </w:t>
            </w:r>
            <w:r>
              <w:rPr>
                <w:b/>
                <w:sz w:val="20"/>
              </w:rPr>
              <w:t>los</w:t>
            </w:r>
            <w:r>
              <w:rPr>
                <w:b/>
                <w:spacing w:val="-1"/>
                <w:sz w:val="20"/>
              </w:rPr>
              <w:t> </w:t>
            </w:r>
            <w:r>
              <w:rPr>
                <w:b/>
                <w:sz w:val="20"/>
              </w:rPr>
              <w:t>recursos</w:t>
            </w:r>
            <w:r>
              <w:rPr>
                <w:b/>
                <w:spacing w:val="-3"/>
                <w:sz w:val="20"/>
              </w:rPr>
              <w:t> </w:t>
            </w:r>
            <w:r>
              <w:rPr>
                <w:b/>
                <w:sz w:val="20"/>
              </w:rPr>
              <w:t>humanos,</w:t>
            </w:r>
            <w:r>
              <w:rPr>
                <w:b/>
                <w:spacing w:val="-1"/>
                <w:sz w:val="20"/>
              </w:rPr>
              <w:t> </w:t>
            </w:r>
            <w:r>
              <w:rPr>
                <w:b/>
                <w:sz w:val="20"/>
              </w:rPr>
              <w:t>financieros,</w:t>
            </w:r>
            <w:r>
              <w:rPr>
                <w:b/>
                <w:spacing w:val="-3"/>
                <w:sz w:val="20"/>
              </w:rPr>
              <w:t> </w:t>
            </w:r>
            <w:r>
              <w:rPr>
                <w:b/>
                <w:sz w:val="20"/>
              </w:rPr>
              <w:t>materiales</w:t>
            </w:r>
            <w:r>
              <w:rPr>
                <w:b/>
                <w:spacing w:val="-2"/>
                <w:sz w:val="20"/>
              </w:rPr>
              <w:t> </w:t>
            </w:r>
            <w:r>
              <w:rPr>
                <w:b/>
                <w:sz w:val="20"/>
              </w:rPr>
              <w:t>y</w:t>
            </w:r>
            <w:r>
              <w:rPr>
                <w:b/>
                <w:spacing w:val="-1"/>
                <w:sz w:val="20"/>
              </w:rPr>
              <w:t> </w:t>
            </w:r>
            <w:r>
              <w:rPr>
                <w:b/>
                <w:sz w:val="20"/>
              </w:rPr>
              <w:t>tecnológicos,</w:t>
            </w:r>
            <w:r>
              <w:rPr>
                <w:b/>
                <w:spacing w:val="-1"/>
                <w:sz w:val="20"/>
              </w:rPr>
              <w:t> </w:t>
            </w:r>
            <w:r>
              <w:rPr>
                <w:b/>
                <w:sz w:val="20"/>
              </w:rPr>
              <w:t>con</w:t>
            </w:r>
            <w:r>
              <w:rPr>
                <w:b/>
                <w:spacing w:val="-2"/>
                <w:sz w:val="20"/>
              </w:rPr>
              <w:t> </w:t>
            </w:r>
            <w:r>
              <w:rPr>
                <w:b/>
                <w:sz w:val="20"/>
              </w:rPr>
              <w:t>el</w:t>
            </w:r>
            <w:r>
              <w:rPr>
                <w:b/>
                <w:spacing w:val="-3"/>
                <w:sz w:val="20"/>
              </w:rPr>
              <w:t> </w:t>
            </w:r>
            <w:r>
              <w:rPr>
                <w:b/>
                <w:sz w:val="20"/>
              </w:rPr>
              <w:t>fin</w:t>
            </w:r>
            <w:r>
              <w:rPr>
                <w:b/>
                <w:spacing w:val="-3"/>
                <w:sz w:val="20"/>
              </w:rPr>
              <w:t> </w:t>
            </w:r>
            <w:r>
              <w:rPr>
                <w:b/>
                <w:sz w:val="20"/>
              </w:rPr>
              <w:t>de</w:t>
            </w:r>
            <w:r>
              <w:rPr>
                <w:b/>
                <w:spacing w:val="-3"/>
                <w:sz w:val="20"/>
              </w:rPr>
              <w:t> </w:t>
            </w:r>
            <w:r>
              <w:rPr>
                <w:b/>
                <w:sz w:val="20"/>
              </w:rPr>
              <w:t>contribuir</w:t>
            </w:r>
            <w:r>
              <w:rPr>
                <w:b/>
                <w:spacing w:val="-1"/>
                <w:sz w:val="20"/>
              </w:rPr>
              <w:t> </w:t>
            </w:r>
            <w:r>
              <w:rPr>
                <w:b/>
                <w:sz w:val="20"/>
              </w:rPr>
              <w:t>con</w:t>
            </w:r>
            <w:r>
              <w:rPr>
                <w:b/>
                <w:spacing w:val="-2"/>
                <w:sz w:val="20"/>
              </w:rPr>
              <w:t> </w:t>
            </w:r>
            <w:r>
              <w:rPr>
                <w:b/>
                <w:sz w:val="20"/>
              </w:rPr>
              <w:t>la</w:t>
            </w:r>
            <w:r>
              <w:rPr>
                <w:b/>
                <w:spacing w:val="-1"/>
                <w:sz w:val="20"/>
              </w:rPr>
              <w:t> </w:t>
            </w:r>
            <w:r>
              <w:rPr>
                <w:b/>
                <w:sz w:val="20"/>
              </w:rPr>
              <w:t>institucionalización</w:t>
            </w:r>
            <w:r>
              <w:rPr>
                <w:b/>
                <w:spacing w:val="-2"/>
                <w:sz w:val="20"/>
              </w:rPr>
              <w:t> </w:t>
            </w:r>
            <w:r>
              <w:rPr>
                <w:b/>
                <w:sz w:val="20"/>
              </w:rPr>
              <w:t>de</w:t>
            </w:r>
            <w:r>
              <w:rPr>
                <w:b/>
                <w:spacing w:val="-3"/>
                <w:sz w:val="20"/>
              </w:rPr>
              <w:t> </w:t>
            </w:r>
            <w:r>
              <w:rPr>
                <w:b/>
                <w:sz w:val="20"/>
              </w:rPr>
              <w:t>la estrategia de intervención de la población en situación de p</w:t>
            </w:r>
          </w:p>
        </w:tc>
      </w:tr>
      <w:tr>
        <w:trPr>
          <w:trHeight w:val="460" w:hRule="atLeast"/>
        </w:trPr>
        <w:tc>
          <w:tcPr>
            <w:tcW w:w="14892" w:type="dxa"/>
            <w:gridSpan w:val="10"/>
            <w:shd w:val="clear" w:color="auto" w:fill="DBE4F0"/>
          </w:tcPr>
          <w:p>
            <w:pPr>
              <w:pStyle w:val="TableParagraph"/>
              <w:spacing w:line="230" w:lineRule="exact"/>
              <w:ind w:left="69" w:right="126"/>
              <w:rPr>
                <w:b/>
                <w:sz w:val="20"/>
              </w:rPr>
            </w:pPr>
            <w:r>
              <w:rPr>
                <w:b/>
                <w:sz w:val="20"/>
              </w:rPr>
              <w:t>Producto</w:t>
            </w:r>
            <w:r>
              <w:rPr>
                <w:b/>
                <w:spacing w:val="-2"/>
                <w:sz w:val="20"/>
              </w:rPr>
              <w:t> </w:t>
            </w:r>
            <w:r>
              <w:rPr>
                <w:b/>
                <w:sz w:val="20"/>
              </w:rPr>
              <w:t>PAC</w:t>
            </w:r>
            <w:r>
              <w:rPr>
                <w:b/>
                <w:spacing w:val="-3"/>
                <w:sz w:val="20"/>
              </w:rPr>
              <w:t> </w:t>
            </w:r>
            <w:r>
              <w:rPr>
                <w:b/>
                <w:sz w:val="20"/>
              </w:rPr>
              <w:t>2.14:</w:t>
            </w:r>
            <w:r>
              <w:rPr>
                <w:b/>
                <w:spacing w:val="40"/>
                <w:sz w:val="20"/>
              </w:rPr>
              <w:t> </w:t>
            </w:r>
            <w:r>
              <w:rPr>
                <w:b/>
                <w:sz w:val="20"/>
              </w:rPr>
              <w:t>Normativa</w:t>
            </w:r>
            <w:r>
              <w:rPr>
                <w:b/>
                <w:spacing w:val="-4"/>
                <w:sz w:val="20"/>
              </w:rPr>
              <w:t> </w:t>
            </w:r>
            <w:r>
              <w:rPr>
                <w:b/>
                <w:sz w:val="20"/>
              </w:rPr>
              <w:t>nacional</w:t>
            </w:r>
            <w:r>
              <w:rPr>
                <w:b/>
                <w:spacing w:val="-1"/>
                <w:sz w:val="20"/>
              </w:rPr>
              <w:t> </w:t>
            </w:r>
            <w:r>
              <w:rPr>
                <w:b/>
                <w:sz w:val="20"/>
              </w:rPr>
              <w:t>e</w:t>
            </w:r>
            <w:r>
              <w:rPr>
                <w:b/>
                <w:spacing w:val="-3"/>
                <w:sz w:val="20"/>
              </w:rPr>
              <w:t> </w:t>
            </w:r>
            <w:r>
              <w:rPr>
                <w:b/>
                <w:sz w:val="20"/>
              </w:rPr>
              <w:t>internacional</w:t>
            </w:r>
            <w:r>
              <w:rPr>
                <w:b/>
                <w:spacing w:val="-3"/>
                <w:sz w:val="20"/>
              </w:rPr>
              <w:t> </w:t>
            </w:r>
            <w:r>
              <w:rPr>
                <w:b/>
                <w:sz w:val="20"/>
              </w:rPr>
              <w:t>en</w:t>
            </w:r>
            <w:r>
              <w:rPr>
                <w:b/>
                <w:spacing w:val="-3"/>
                <w:sz w:val="20"/>
              </w:rPr>
              <w:t> </w:t>
            </w:r>
            <w:r>
              <w:rPr>
                <w:b/>
                <w:sz w:val="20"/>
              </w:rPr>
              <w:t>materia</w:t>
            </w:r>
            <w:r>
              <w:rPr>
                <w:b/>
                <w:spacing w:val="-4"/>
                <w:sz w:val="20"/>
              </w:rPr>
              <w:t> </w:t>
            </w:r>
            <w:r>
              <w:rPr>
                <w:b/>
                <w:sz w:val="20"/>
              </w:rPr>
              <w:t>de</w:t>
            </w:r>
            <w:r>
              <w:rPr>
                <w:b/>
                <w:spacing w:val="-3"/>
                <w:sz w:val="20"/>
              </w:rPr>
              <w:t> </w:t>
            </w:r>
            <w:r>
              <w:rPr>
                <w:b/>
                <w:sz w:val="20"/>
              </w:rPr>
              <w:t>derechos</w:t>
            </w:r>
            <w:r>
              <w:rPr>
                <w:b/>
                <w:spacing w:val="-3"/>
                <w:sz w:val="20"/>
              </w:rPr>
              <w:t> </w:t>
            </w:r>
            <w:r>
              <w:rPr>
                <w:b/>
                <w:sz w:val="20"/>
              </w:rPr>
              <w:t>humanos</w:t>
            </w:r>
            <w:r>
              <w:rPr>
                <w:b/>
                <w:spacing w:val="-1"/>
                <w:sz w:val="20"/>
              </w:rPr>
              <w:t> </w:t>
            </w:r>
            <w:r>
              <w:rPr>
                <w:b/>
                <w:sz w:val="20"/>
              </w:rPr>
              <w:t>e</w:t>
            </w:r>
            <w:r>
              <w:rPr>
                <w:b/>
                <w:spacing w:val="-3"/>
                <w:sz w:val="20"/>
              </w:rPr>
              <w:t> </w:t>
            </w:r>
            <w:r>
              <w:rPr>
                <w:b/>
                <w:sz w:val="20"/>
              </w:rPr>
              <w:t>igualdad y</w:t>
            </w:r>
            <w:r>
              <w:rPr>
                <w:b/>
                <w:spacing w:val="-4"/>
                <w:sz w:val="20"/>
              </w:rPr>
              <w:t> </w:t>
            </w:r>
            <w:r>
              <w:rPr>
                <w:b/>
                <w:sz w:val="20"/>
              </w:rPr>
              <w:t>equidad</w:t>
            </w:r>
            <w:r>
              <w:rPr>
                <w:b/>
                <w:spacing w:val="-2"/>
                <w:sz w:val="20"/>
              </w:rPr>
              <w:t> </w:t>
            </w:r>
            <w:r>
              <w:rPr>
                <w:b/>
                <w:sz w:val="20"/>
              </w:rPr>
              <w:t>de</w:t>
            </w:r>
            <w:r>
              <w:rPr>
                <w:b/>
                <w:spacing w:val="-3"/>
                <w:sz w:val="20"/>
              </w:rPr>
              <w:t> </w:t>
            </w:r>
            <w:r>
              <w:rPr>
                <w:b/>
                <w:sz w:val="20"/>
              </w:rPr>
              <w:t>género</w:t>
            </w:r>
            <w:r>
              <w:rPr>
                <w:b/>
                <w:spacing w:val="-2"/>
                <w:sz w:val="20"/>
              </w:rPr>
              <w:t> </w:t>
            </w:r>
            <w:r>
              <w:rPr>
                <w:b/>
                <w:sz w:val="20"/>
              </w:rPr>
              <w:t>implementada</w:t>
            </w:r>
            <w:r>
              <w:rPr>
                <w:b/>
                <w:spacing w:val="-1"/>
                <w:sz w:val="20"/>
              </w:rPr>
              <w:t> </w:t>
            </w:r>
            <w:r>
              <w:rPr>
                <w:b/>
                <w:sz w:val="20"/>
              </w:rPr>
              <w:t>eficientemente con una asesoría oportuna.</w:t>
            </w:r>
          </w:p>
        </w:tc>
      </w:tr>
      <w:tr>
        <w:trPr>
          <w:trHeight w:val="2760" w:hRule="atLeast"/>
        </w:trPr>
        <w:tc>
          <w:tcPr>
            <w:tcW w:w="2300" w:type="dxa"/>
          </w:tcPr>
          <w:p>
            <w:pPr>
              <w:pStyle w:val="TableParagraph"/>
              <w:ind w:left="69" w:right="117"/>
              <w:rPr>
                <w:sz w:val="20"/>
              </w:rPr>
            </w:pPr>
            <w:r>
              <w:rPr>
                <w:b/>
                <w:sz w:val="20"/>
              </w:rPr>
              <w:t>Actividad</w:t>
            </w:r>
            <w:r>
              <w:rPr>
                <w:b/>
                <w:spacing w:val="-14"/>
                <w:sz w:val="20"/>
              </w:rPr>
              <w:t> </w:t>
            </w:r>
            <w:r>
              <w:rPr>
                <w:b/>
                <w:sz w:val="20"/>
              </w:rPr>
              <w:t>PAC</w:t>
            </w:r>
            <w:r>
              <w:rPr>
                <w:b/>
                <w:spacing w:val="-14"/>
                <w:sz w:val="20"/>
              </w:rPr>
              <w:t> </w:t>
            </w:r>
            <w:r>
              <w:rPr>
                <w:b/>
                <w:sz w:val="20"/>
              </w:rPr>
              <w:t>2.14.1: </w:t>
            </w:r>
            <w:r>
              <w:rPr>
                <w:sz w:val="20"/>
              </w:rPr>
              <w:t>Dar seguimiento a los compromisos</w:t>
            </w:r>
            <w:r>
              <w:rPr>
                <w:spacing w:val="-14"/>
                <w:sz w:val="20"/>
              </w:rPr>
              <w:t> </w:t>
            </w:r>
            <w:r>
              <w:rPr>
                <w:sz w:val="20"/>
              </w:rPr>
              <w:t>del</w:t>
            </w:r>
            <w:r>
              <w:rPr>
                <w:spacing w:val="-14"/>
                <w:sz w:val="20"/>
              </w:rPr>
              <w:t> </w:t>
            </w:r>
            <w:r>
              <w:rPr>
                <w:sz w:val="20"/>
              </w:rPr>
              <w:t>IMAS en los Ejes estructurales de la Política de igualdad y Equidad de Género (PIEG)</w:t>
            </w:r>
            <w:r>
              <w:rPr>
                <w:spacing w:val="-14"/>
                <w:sz w:val="20"/>
              </w:rPr>
              <w:t> </w:t>
            </w:r>
            <w:r>
              <w:rPr>
                <w:sz w:val="20"/>
              </w:rPr>
              <w:t>y</w:t>
            </w:r>
            <w:r>
              <w:rPr>
                <w:spacing w:val="-14"/>
                <w:sz w:val="20"/>
              </w:rPr>
              <w:t> </w:t>
            </w:r>
            <w:r>
              <w:rPr>
                <w:sz w:val="20"/>
              </w:rPr>
              <w:t>Plan</w:t>
            </w:r>
            <w:r>
              <w:rPr>
                <w:spacing w:val="-13"/>
                <w:sz w:val="20"/>
              </w:rPr>
              <w:t> </w:t>
            </w:r>
            <w:r>
              <w:rPr>
                <w:sz w:val="20"/>
              </w:rPr>
              <w:t>Nacional para la Atención y Prevención de la</w:t>
            </w:r>
          </w:p>
          <w:p>
            <w:pPr>
              <w:pStyle w:val="TableParagraph"/>
              <w:spacing w:line="230" w:lineRule="exact"/>
              <w:ind w:left="69"/>
              <w:rPr>
                <w:sz w:val="20"/>
              </w:rPr>
            </w:pPr>
            <w:r>
              <w:rPr>
                <w:sz w:val="20"/>
              </w:rPr>
              <w:t>Violencia</w:t>
            </w:r>
            <w:r>
              <w:rPr>
                <w:spacing w:val="-5"/>
                <w:sz w:val="20"/>
              </w:rPr>
              <w:t> </w:t>
            </w:r>
            <w:r>
              <w:rPr>
                <w:sz w:val="20"/>
              </w:rPr>
              <w:t>contra</w:t>
            </w:r>
            <w:r>
              <w:rPr>
                <w:spacing w:val="-3"/>
                <w:sz w:val="20"/>
              </w:rPr>
              <w:t> </w:t>
            </w:r>
            <w:r>
              <w:rPr>
                <w:sz w:val="20"/>
              </w:rPr>
              <w:t>las mujeres</w:t>
            </w:r>
            <w:r>
              <w:rPr>
                <w:spacing w:val="-8"/>
                <w:sz w:val="20"/>
              </w:rPr>
              <w:t> </w:t>
            </w:r>
            <w:r>
              <w:rPr>
                <w:spacing w:val="-2"/>
                <w:sz w:val="20"/>
              </w:rPr>
              <w:t>(PLANOVI)</w:t>
            </w:r>
          </w:p>
        </w:tc>
        <w:tc>
          <w:tcPr>
            <w:tcW w:w="1527" w:type="dxa"/>
          </w:tcPr>
          <w:p>
            <w:pPr>
              <w:pStyle w:val="TableParagraph"/>
              <w:rPr>
                <w:b/>
                <w:sz w:val="20"/>
              </w:rPr>
            </w:pPr>
          </w:p>
          <w:p>
            <w:pPr>
              <w:pStyle w:val="TableParagraph"/>
              <w:rPr>
                <w:b/>
                <w:sz w:val="20"/>
              </w:rPr>
            </w:pPr>
          </w:p>
          <w:p>
            <w:pPr>
              <w:pStyle w:val="TableParagraph"/>
              <w:spacing w:before="229"/>
              <w:rPr>
                <w:b/>
                <w:sz w:val="20"/>
              </w:rPr>
            </w:pPr>
          </w:p>
          <w:p>
            <w:pPr>
              <w:pStyle w:val="TableParagraph"/>
              <w:ind w:left="66" w:right="373"/>
              <w:jc w:val="both"/>
              <w:rPr>
                <w:sz w:val="20"/>
              </w:rPr>
            </w:pPr>
            <w:r>
              <w:rPr>
                <w:sz w:val="20"/>
              </w:rPr>
              <w:t>Cantidad</w:t>
            </w:r>
            <w:r>
              <w:rPr>
                <w:spacing w:val="-14"/>
                <w:sz w:val="20"/>
              </w:rPr>
              <w:t> </w:t>
            </w:r>
            <w:r>
              <w:rPr>
                <w:sz w:val="20"/>
              </w:rPr>
              <w:t>de acciones</w:t>
            </w:r>
            <w:r>
              <w:rPr>
                <w:spacing w:val="-14"/>
                <w:sz w:val="20"/>
              </w:rPr>
              <w:t> </w:t>
            </w:r>
            <w:r>
              <w:rPr>
                <w:sz w:val="20"/>
              </w:rPr>
              <w:t>de </w:t>
            </w:r>
            <w:r>
              <w:rPr>
                <w:spacing w:val="-2"/>
                <w:sz w:val="20"/>
              </w:rPr>
              <w:t>seguimiento ejecutadas</w:t>
            </w:r>
          </w:p>
        </w:tc>
        <w:tc>
          <w:tcPr>
            <w:tcW w:w="1559"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spacing w:before="1"/>
              <w:ind w:left="6" w:right="1"/>
              <w:jc w:val="center"/>
              <w:rPr>
                <w:sz w:val="20"/>
              </w:rPr>
            </w:pPr>
            <w:r>
              <w:rPr>
                <w:spacing w:val="-10"/>
                <w:sz w:val="20"/>
              </w:rPr>
              <w:t>4</w:t>
            </w:r>
          </w:p>
        </w:tc>
        <w:tc>
          <w:tcPr>
            <w:tcW w:w="1270" w:type="dxa"/>
          </w:tcPr>
          <w:p>
            <w:pPr>
              <w:pStyle w:val="TableParagraph"/>
              <w:rPr>
                <w:rFonts w:ascii="Times New Roman"/>
                <w:sz w:val="20"/>
              </w:rPr>
            </w:pPr>
          </w:p>
        </w:tc>
        <w:tc>
          <w:tcPr>
            <w:tcW w:w="1296"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spacing w:before="1"/>
              <w:ind w:left="5"/>
              <w:jc w:val="center"/>
              <w:rPr>
                <w:sz w:val="20"/>
              </w:rPr>
            </w:pPr>
            <w:r>
              <w:rPr>
                <w:spacing w:val="-10"/>
                <w:sz w:val="20"/>
              </w:rPr>
              <w:t>4</w:t>
            </w:r>
          </w:p>
        </w:tc>
        <w:tc>
          <w:tcPr>
            <w:tcW w:w="1040" w:type="dxa"/>
          </w:tcPr>
          <w:p>
            <w:pPr>
              <w:pStyle w:val="TableParagraph"/>
              <w:rPr>
                <w:rFonts w:ascii="Times New Roman"/>
                <w:sz w:val="20"/>
              </w:rPr>
            </w:pPr>
          </w:p>
        </w:tc>
        <w:tc>
          <w:tcPr>
            <w:tcW w:w="1296"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spacing w:before="1"/>
              <w:ind w:left="5" w:right="1"/>
              <w:jc w:val="center"/>
              <w:rPr>
                <w:sz w:val="20"/>
              </w:rPr>
            </w:pPr>
            <w:r>
              <w:rPr>
                <w:spacing w:val="-10"/>
                <w:sz w:val="20"/>
              </w:rPr>
              <w:t>4</w:t>
            </w:r>
          </w:p>
        </w:tc>
        <w:tc>
          <w:tcPr>
            <w:tcW w:w="1484" w:type="dxa"/>
          </w:tcPr>
          <w:p>
            <w:pPr>
              <w:pStyle w:val="TableParagraph"/>
              <w:rPr>
                <w:rFonts w:ascii="Times New Roman"/>
                <w:sz w:val="20"/>
              </w:rPr>
            </w:pPr>
          </w:p>
        </w:tc>
        <w:tc>
          <w:tcPr>
            <w:tcW w:w="1421"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spacing w:before="1"/>
              <w:ind w:left="8" w:right="8"/>
              <w:jc w:val="center"/>
              <w:rPr>
                <w:sz w:val="20"/>
              </w:rPr>
            </w:pPr>
            <w:r>
              <w:rPr>
                <w:spacing w:val="-10"/>
                <w:sz w:val="20"/>
              </w:rPr>
              <w:t>4</w:t>
            </w:r>
          </w:p>
        </w:tc>
        <w:tc>
          <w:tcPr>
            <w:tcW w:w="1699"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spacing w:before="1"/>
              <w:ind w:right="62"/>
              <w:jc w:val="right"/>
              <w:rPr>
                <w:sz w:val="20"/>
              </w:rPr>
            </w:pPr>
            <w:r>
              <w:rPr>
                <w:sz w:val="20"/>
              </w:rPr>
              <w:t>₡1</w:t>
            </w:r>
            <w:r>
              <w:rPr>
                <w:spacing w:val="-5"/>
                <w:sz w:val="20"/>
              </w:rPr>
              <w:t> </w:t>
            </w:r>
            <w:r>
              <w:rPr>
                <w:sz w:val="20"/>
              </w:rPr>
              <w:t>000</w:t>
            </w:r>
            <w:r>
              <w:rPr>
                <w:spacing w:val="-4"/>
                <w:sz w:val="20"/>
              </w:rPr>
              <w:t> </w:t>
            </w:r>
            <w:r>
              <w:rPr>
                <w:spacing w:val="-5"/>
                <w:sz w:val="20"/>
              </w:rPr>
              <w:t>000</w:t>
            </w:r>
          </w:p>
        </w:tc>
      </w:tr>
      <w:tr>
        <w:trPr>
          <w:trHeight w:val="2068" w:hRule="atLeast"/>
        </w:trPr>
        <w:tc>
          <w:tcPr>
            <w:tcW w:w="2300" w:type="dxa"/>
          </w:tcPr>
          <w:p>
            <w:pPr>
              <w:pStyle w:val="TableParagraph"/>
              <w:ind w:left="69" w:right="39"/>
              <w:rPr>
                <w:sz w:val="20"/>
              </w:rPr>
            </w:pPr>
            <w:r>
              <w:rPr>
                <w:b/>
                <w:sz w:val="20"/>
              </w:rPr>
              <w:t>Actividad PAC 2.14.2: </w:t>
            </w:r>
            <w:r>
              <w:rPr>
                <w:sz w:val="20"/>
              </w:rPr>
              <w:t>Sensibilizar a las personas</w:t>
            </w:r>
            <w:r>
              <w:rPr>
                <w:spacing w:val="-14"/>
                <w:sz w:val="20"/>
              </w:rPr>
              <w:t> </w:t>
            </w:r>
            <w:r>
              <w:rPr>
                <w:sz w:val="20"/>
              </w:rPr>
              <w:t>funcionarias</w:t>
            </w:r>
            <w:r>
              <w:rPr>
                <w:spacing w:val="-14"/>
                <w:sz w:val="20"/>
              </w:rPr>
              <w:t> </w:t>
            </w:r>
            <w:r>
              <w:rPr>
                <w:sz w:val="20"/>
              </w:rPr>
              <w:t>y trabajadoras del IMAS sobre temas de derechos humanos e igualdad y equidad de</w:t>
            </w:r>
          </w:p>
          <w:p>
            <w:pPr>
              <w:pStyle w:val="TableParagraph"/>
              <w:spacing w:line="228" w:lineRule="exact"/>
              <w:ind w:left="69" w:right="117"/>
              <w:rPr>
                <w:sz w:val="20"/>
              </w:rPr>
            </w:pPr>
            <w:r>
              <w:rPr>
                <w:sz w:val="20"/>
              </w:rPr>
              <w:t>género contemplando los</w:t>
            </w:r>
            <w:r>
              <w:rPr>
                <w:spacing w:val="-14"/>
                <w:sz w:val="20"/>
              </w:rPr>
              <w:t> </w:t>
            </w:r>
            <w:r>
              <w:rPr>
                <w:sz w:val="20"/>
              </w:rPr>
              <w:t>temas</w:t>
            </w:r>
            <w:r>
              <w:rPr>
                <w:spacing w:val="-14"/>
                <w:sz w:val="20"/>
              </w:rPr>
              <w:t> </w:t>
            </w:r>
            <w:r>
              <w:rPr>
                <w:sz w:val="20"/>
              </w:rPr>
              <w:t>relacionados.</w:t>
            </w:r>
          </w:p>
        </w:tc>
        <w:tc>
          <w:tcPr>
            <w:tcW w:w="1527" w:type="dxa"/>
          </w:tcPr>
          <w:p>
            <w:pPr>
              <w:pStyle w:val="TableParagraph"/>
              <w:rPr>
                <w:b/>
                <w:sz w:val="20"/>
              </w:rPr>
            </w:pPr>
          </w:p>
          <w:p>
            <w:pPr>
              <w:pStyle w:val="TableParagraph"/>
              <w:rPr>
                <w:b/>
                <w:sz w:val="20"/>
              </w:rPr>
            </w:pPr>
          </w:p>
          <w:p>
            <w:pPr>
              <w:pStyle w:val="TableParagraph"/>
              <w:ind w:left="66"/>
              <w:rPr>
                <w:sz w:val="20"/>
              </w:rPr>
            </w:pPr>
            <w:r>
              <w:rPr>
                <w:sz w:val="20"/>
              </w:rPr>
              <w:t>Cantidad de </w:t>
            </w:r>
            <w:r>
              <w:rPr>
                <w:spacing w:val="-2"/>
                <w:sz w:val="20"/>
              </w:rPr>
              <w:t>personas </w:t>
            </w:r>
            <w:r>
              <w:rPr>
                <w:sz w:val="20"/>
              </w:rPr>
              <w:t>funcionarias</w:t>
            </w:r>
            <w:r>
              <w:rPr>
                <w:spacing w:val="-14"/>
                <w:sz w:val="20"/>
              </w:rPr>
              <w:t> </w:t>
            </w:r>
            <w:r>
              <w:rPr>
                <w:sz w:val="20"/>
              </w:rPr>
              <w:t>y </w:t>
            </w:r>
            <w:r>
              <w:rPr>
                <w:spacing w:val="-2"/>
                <w:sz w:val="20"/>
              </w:rPr>
              <w:t>trabajadoras sensibilizadas</w:t>
            </w:r>
          </w:p>
        </w:tc>
        <w:tc>
          <w:tcPr>
            <w:tcW w:w="1559" w:type="dxa"/>
          </w:tcPr>
          <w:p>
            <w:pPr>
              <w:pStyle w:val="TableParagraph"/>
              <w:rPr>
                <w:b/>
                <w:sz w:val="20"/>
              </w:rPr>
            </w:pPr>
          </w:p>
          <w:p>
            <w:pPr>
              <w:pStyle w:val="TableParagraph"/>
              <w:rPr>
                <w:b/>
                <w:sz w:val="20"/>
              </w:rPr>
            </w:pPr>
          </w:p>
          <w:p>
            <w:pPr>
              <w:pStyle w:val="TableParagraph"/>
              <w:spacing w:before="229"/>
              <w:rPr>
                <w:b/>
                <w:sz w:val="20"/>
              </w:rPr>
            </w:pPr>
          </w:p>
          <w:p>
            <w:pPr>
              <w:pStyle w:val="TableParagraph"/>
              <w:ind w:left="5" w:right="6"/>
              <w:jc w:val="center"/>
              <w:rPr>
                <w:sz w:val="20"/>
              </w:rPr>
            </w:pPr>
            <w:r>
              <w:rPr>
                <w:spacing w:val="-5"/>
                <w:sz w:val="20"/>
              </w:rPr>
              <w:t>100</w:t>
            </w:r>
          </w:p>
        </w:tc>
        <w:tc>
          <w:tcPr>
            <w:tcW w:w="1270" w:type="dxa"/>
          </w:tcPr>
          <w:p>
            <w:pPr>
              <w:pStyle w:val="TableParagraph"/>
              <w:rPr>
                <w:rFonts w:ascii="Times New Roman"/>
                <w:sz w:val="20"/>
              </w:rPr>
            </w:pPr>
          </w:p>
        </w:tc>
        <w:tc>
          <w:tcPr>
            <w:tcW w:w="1296" w:type="dxa"/>
          </w:tcPr>
          <w:p>
            <w:pPr>
              <w:pStyle w:val="TableParagraph"/>
              <w:rPr>
                <w:b/>
                <w:sz w:val="20"/>
              </w:rPr>
            </w:pPr>
          </w:p>
          <w:p>
            <w:pPr>
              <w:pStyle w:val="TableParagraph"/>
              <w:rPr>
                <w:b/>
                <w:sz w:val="20"/>
              </w:rPr>
            </w:pPr>
          </w:p>
          <w:p>
            <w:pPr>
              <w:pStyle w:val="TableParagraph"/>
              <w:spacing w:before="229"/>
              <w:rPr>
                <w:b/>
                <w:sz w:val="20"/>
              </w:rPr>
            </w:pPr>
          </w:p>
          <w:p>
            <w:pPr>
              <w:pStyle w:val="TableParagraph"/>
              <w:ind w:left="5" w:right="5"/>
              <w:jc w:val="center"/>
              <w:rPr>
                <w:sz w:val="20"/>
              </w:rPr>
            </w:pPr>
            <w:r>
              <w:rPr>
                <w:spacing w:val="-5"/>
                <w:sz w:val="20"/>
              </w:rPr>
              <w:t>100</w:t>
            </w:r>
          </w:p>
        </w:tc>
        <w:tc>
          <w:tcPr>
            <w:tcW w:w="1040" w:type="dxa"/>
          </w:tcPr>
          <w:p>
            <w:pPr>
              <w:pStyle w:val="TableParagraph"/>
              <w:rPr>
                <w:rFonts w:ascii="Times New Roman"/>
                <w:sz w:val="20"/>
              </w:rPr>
            </w:pPr>
          </w:p>
        </w:tc>
        <w:tc>
          <w:tcPr>
            <w:tcW w:w="1296" w:type="dxa"/>
          </w:tcPr>
          <w:p>
            <w:pPr>
              <w:pStyle w:val="TableParagraph"/>
              <w:rPr>
                <w:rFonts w:ascii="Times New Roman"/>
                <w:sz w:val="20"/>
              </w:rPr>
            </w:pPr>
          </w:p>
        </w:tc>
        <w:tc>
          <w:tcPr>
            <w:tcW w:w="1484" w:type="dxa"/>
          </w:tcPr>
          <w:p>
            <w:pPr>
              <w:pStyle w:val="TableParagraph"/>
              <w:rPr>
                <w:rFonts w:ascii="Times New Roman"/>
                <w:sz w:val="20"/>
              </w:rPr>
            </w:pPr>
          </w:p>
        </w:tc>
        <w:tc>
          <w:tcPr>
            <w:tcW w:w="1421" w:type="dxa"/>
          </w:tcPr>
          <w:p>
            <w:pPr>
              <w:pStyle w:val="TableParagraph"/>
              <w:rPr>
                <w:b/>
                <w:sz w:val="20"/>
              </w:rPr>
            </w:pPr>
          </w:p>
          <w:p>
            <w:pPr>
              <w:pStyle w:val="TableParagraph"/>
              <w:rPr>
                <w:b/>
                <w:sz w:val="20"/>
              </w:rPr>
            </w:pPr>
          </w:p>
          <w:p>
            <w:pPr>
              <w:pStyle w:val="TableParagraph"/>
              <w:spacing w:before="229"/>
              <w:rPr>
                <w:b/>
                <w:sz w:val="20"/>
              </w:rPr>
            </w:pPr>
          </w:p>
          <w:p>
            <w:pPr>
              <w:pStyle w:val="TableParagraph"/>
              <w:ind w:left="8" w:right="9"/>
              <w:jc w:val="center"/>
              <w:rPr>
                <w:sz w:val="20"/>
              </w:rPr>
            </w:pPr>
            <w:r>
              <w:rPr>
                <w:spacing w:val="-5"/>
                <w:sz w:val="20"/>
              </w:rPr>
              <w:t>100</w:t>
            </w:r>
          </w:p>
        </w:tc>
        <w:tc>
          <w:tcPr>
            <w:tcW w:w="1699" w:type="dxa"/>
          </w:tcPr>
          <w:p>
            <w:pPr>
              <w:pStyle w:val="TableParagraph"/>
              <w:rPr>
                <w:b/>
                <w:sz w:val="20"/>
              </w:rPr>
            </w:pPr>
          </w:p>
          <w:p>
            <w:pPr>
              <w:pStyle w:val="TableParagraph"/>
              <w:rPr>
                <w:b/>
                <w:sz w:val="20"/>
              </w:rPr>
            </w:pPr>
          </w:p>
          <w:p>
            <w:pPr>
              <w:pStyle w:val="TableParagraph"/>
              <w:spacing w:before="229"/>
              <w:rPr>
                <w:b/>
                <w:sz w:val="20"/>
              </w:rPr>
            </w:pPr>
          </w:p>
          <w:p>
            <w:pPr>
              <w:pStyle w:val="TableParagraph"/>
              <w:ind w:right="62"/>
              <w:jc w:val="right"/>
              <w:rPr>
                <w:sz w:val="20"/>
              </w:rPr>
            </w:pPr>
            <w:r>
              <w:rPr>
                <w:sz w:val="20"/>
              </w:rPr>
              <w:t>₡2</w:t>
            </w:r>
            <w:r>
              <w:rPr>
                <w:spacing w:val="-5"/>
                <w:sz w:val="20"/>
              </w:rPr>
              <w:t> </w:t>
            </w:r>
            <w:r>
              <w:rPr>
                <w:sz w:val="20"/>
              </w:rPr>
              <w:t>500</w:t>
            </w:r>
            <w:r>
              <w:rPr>
                <w:spacing w:val="-4"/>
                <w:sz w:val="20"/>
              </w:rPr>
              <w:t> </w:t>
            </w:r>
            <w:r>
              <w:rPr>
                <w:spacing w:val="-5"/>
                <w:sz w:val="20"/>
              </w:rPr>
              <w:t>000</w:t>
            </w:r>
          </w:p>
        </w:tc>
      </w:tr>
      <w:tr>
        <w:trPr>
          <w:trHeight w:val="302" w:hRule="atLeast"/>
        </w:trPr>
        <w:tc>
          <w:tcPr>
            <w:tcW w:w="14892" w:type="dxa"/>
            <w:gridSpan w:val="10"/>
            <w:shd w:val="clear" w:color="auto" w:fill="D9E0F1"/>
          </w:tcPr>
          <w:p>
            <w:pPr>
              <w:pStyle w:val="TableParagraph"/>
              <w:spacing w:before="35"/>
              <w:ind w:left="1113"/>
              <w:rPr>
                <w:b/>
                <w:sz w:val="20"/>
              </w:rPr>
            </w:pPr>
            <w:r>
              <w:rPr>
                <w:b/>
                <w:sz w:val="20"/>
              </w:rPr>
              <w:t>Producto</w:t>
            </w:r>
            <w:r>
              <w:rPr>
                <w:b/>
                <w:spacing w:val="-7"/>
                <w:sz w:val="20"/>
              </w:rPr>
              <w:t> </w:t>
            </w:r>
            <w:r>
              <w:rPr>
                <w:b/>
                <w:sz w:val="20"/>
              </w:rPr>
              <w:t>PAC</w:t>
            </w:r>
            <w:r>
              <w:rPr>
                <w:b/>
                <w:spacing w:val="-7"/>
                <w:sz w:val="20"/>
              </w:rPr>
              <w:t> </w:t>
            </w:r>
            <w:r>
              <w:rPr>
                <w:b/>
                <w:sz w:val="20"/>
              </w:rPr>
              <w:t>2.15:</w:t>
            </w:r>
            <w:r>
              <w:rPr>
                <w:b/>
                <w:spacing w:val="45"/>
                <w:sz w:val="20"/>
              </w:rPr>
              <w:t> </w:t>
            </w:r>
            <w:r>
              <w:rPr>
                <w:b/>
                <w:sz w:val="20"/>
              </w:rPr>
              <w:t>Política</w:t>
            </w:r>
            <w:r>
              <w:rPr>
                <w:b/>
                <w:spacing w:val="-8"/>
                <w:sz w:val="20"/>
              </w:rPr>
              <w:t> </w:t>
            </w:r>
            <w:r>
              <w:rPr>
                <w:b/>
                <w:sz w:val="20"/>
              </w:rPr>
              <w:t>Igualdad</w:t>
            </w:r>
            <w:r>
              <w:rPr>
                <w:b/>
                <w:spacing w:val="-7"/>
                <w:sz w:val="20"/>
              </w:rPr>
              <w:t> </w:t>
            </w:r>
            <w:r>
              <w:rPr>
                <w:b/>
                <w:sz w:val="20"/>
              </w:rPr>
              <w:t>de</w:t>
            </w:r>
            <w:r>
              <w:rPr>
                <w:b/>
                <w:spacing w:val="-7"/>
                <w:sz w:val="20"/>
              </w:rPr>
              <w:t> </w:t>
            </w:r>
            <w:r>
              <w:rPr>
                <w:b/>
                <w:sz w:val="20"/>
              </w:rPr>
              <w:t>Género</w:t>
            </w:r>
            <w:r>
              <w:rPr>
                <w:b/>
                <w:spacing w:val="-6"/>
                <w:sz w:val="20"/>
              </w:rPr>
              <w:t> </w:t>
            </w:r>
            <w:r>
              <w:rPr>
                <w:b/>
                <w:sz w:val="20"/>
              </w:rPr>
              <w:t>con</w:t>
            </w:r>
            <w:r>
              <w:rPr>
                <w:b/>
                <w:spacing w:val="-6"/>
                <w:sz w:val="20"/>
              </w:rPr>
              <w:t> </w:t>
            </w:r>
            <w:r>
              <w:rPr>
                <w:b/>
                <w:sz w:val="20"/>
              </w:rPr>
              <w:t>Enfoque</w:t>
            </w:r>
            <w:r>
              <w:rPr>
                <w:b/>
                <w:spacing w:val="-7"/>
                <w:sz w:val="20"/>
              </w:rPr>
              <w:t> </w:t>
            </w:r>
            <w:r>
              <w:rPr>
                <w:b/>
                <w:sz w:val="20"/>
              </w:rPr>
              <w:t>Interseccional</w:t>
            </w:r>
            <w:r>
              <w:rPr>
                <w:b/>
                <w:spacing w:val="-7"/>
                <w:sz w:val="20"/>
              </w:rPr>
              <w:t> </w:t>
            </w:r>
            <w:r>
              <w:rPr>
                <w:b/>
                <w:sz w:val="20"/>
              </w:rPr>
              <w:t>del</w:t>
            </w:r>
            <w:r>
              <w:rPr>
                <w:b/>
                <w:spacing w:val="-7"/>
                <w:sz w:val="20"/>
              </w:rPr>
              <w:t> </w:t>
            </w:r>
            <w:r>
              <w:rPr>
                <w:b/>
                <w:sz w:val="20"/>
              </w:rPr>
              <w:t>IMAS</w:t>
            </w:r>
            <w:r>
              <w:rPr>
                <w:b/>
                <w:spacing w:val="-5"/>
                <w:sz w:val="20"/>
              </w:rPr>
              <w:t> </w:t>
            </w:r>
            <w:r>
              <w:rPr>
                <w:b/>
                <w:sz w:val="20"/>
              </w:rPr>
              <w:t>implementada</w:t>
            </w:r>
            <w:r>
              <w:rPr>
                <w:b/>
                <w:spacing w:val="-5"/>
                <w:sz w:val="20"/>
              </w:rPr>
              <w:t> </w:t>
            </w:r>
            <w:r>
              <w:rPr>
                <w:b/>
                <w:sz w:val="20"/>
              </w:rPr>
              <w:t>eficientemente</w:t>
            </w:r>
            <w:r>
              <w:rPr>
                <w:b/>
                <w:spacing w:val="-7"/>
                <w:sz w:val="20"/>
              </w:rPr>
              <w:t> </w:t>
            </w:r>
            <w:r>
              <w:rPr>
                <w:b/>
                <w:sz w:val="20"/>
              </w:rPr>
              <w:t>con</w:t>
            </w:r>
            <w:r>
              <w:rPr>
                <w:b/>
                <w:spacing w:val="-6"/>
                <w:sz w:val="20"/>
              </w:rPr>
              <w:t> </w:t>
            </w:r>
            <w:r>
              <w:rPr>
                <w:b/>
                <w:sz w:val="20"/>
              </w:rPr>
              <w:t>una</w:t>
            </w:r>
            <w:r>
              <w:rPr>
                <w:b/>
                <w:spacing w:val="-5"/>
                <w:sz w:val="20"/>
              </w:rPr>
              <w:t> </w:t>
            </w:r>
            <w:r>
              <w:rPr>
                <w:b/>
                <w:sz w:val="20"/>
              </w:rPr>
              <w:t>asesoría</w:t>
            </w:r>
            <w:r>
              <w:rPr>
                <w:b/>
                <w:spacing w:val="-8"/>
                <w:sz w:val="20"/>
              </w:rPr>
              <w:t> </w:t>
            </w:r>
            <w:r>
              <w:rPr>
                <w:b/>
                <w:spacing w:val="-2"/>
                <w:sz w:val="20"/>
              </w:rPr>
              <w:t>oportuna.</w:t>
            </w:r>
          </w:p>
        </w:tc>
      </w:tr>
      <w:tr>
        <w:trPr>
          <w:trHeight w:val="1214" w:hRule="atLeast"/>
        </w:trPr>
        <w:tc>
          <w:tcPr>
            <w:tcW w:w="2300" w:type="dxa"/>
          </w:tcPr>
          <w:p>
            <w:pPr>
              <w:pStyle w:val="TableParagraph"/>
              <w:spacing w:before="30"/>
              <w:ind w:left="69"/>
              <w:rPr>
                <w:sz w:val="20"/>
              </w:rPr>
            </w:pPr>
            <w:r>
              <w:rPr>
                <w:b/>
                <w:sz w:val="20"/>
              </w:rPr>
              <w:t>Actividad</w:t>
            </w:r>
            <w:r>
              <w:rPr>
                <w:b/>
                <w:spacing w:val="-14"/>
                <w:sz w:val="20"/>
              </w:rPr>
              <w:t> </w:t>
            </w:r>
            <w:r>
              <w:rPr>
                <w:b/>
                <w:sz w:val="20"/>
              </w:rPr>
              <w:t>PAC</w:t>
            </w:r>
            <w:r>
              <w:rPr>
                <w:b/>
                <w:spacing w:val="-14"/>
                <w:sz w:val="20"/>
              </w:rPr>
              <w:t> </w:t>
            </w:r>
            <w:r>
              <w:rPr>
                <w:b/>
                <w:sz w:val="20"/>
              </w:rPr>
              <w:t>2.15.1: </w:t>
            </w:r>
            <w:r>
              <w:rPr>
                <w:sz w:val="20"/>
              </w:rPr>
              <w:t>Dar</w:t>
            </w:r>
            <w:r>
              <w:rPr>
                <w:spacing w:val="-3"/>
                <w:sz w:val="20"/>
              </w:rPr>
              <w:t> </w:t>
            </w:r>
            <w:r>
              <w:rPr>
                <w:sz w:val="20"/>
              </w:rPr>
              <w:t>cumplimiento</w:t>
            </w:r>
            <w:r>
              <w:rPr>
                <w:spacing w:val="-2"/>
                <w:sz w:val="20"/>
              </w:rPr>
              <w:t> </w:t>
            </w:r>
            <w:r>
              <w:rPr>
                <w:sz w:val="20"/>
              </w:rPr>
              <w:t>a</w:t>
            </w:r>
            <w:r>
              <w:rPr>
                <w:spacing w:val="-2"/>
                <w:sz w:val="20"/>
              </w:rPr>
              <w:t> </w:t>
            </w:r>
            <w:r>
              <w:rPr>
                <w:sz w:val="20"/>
              </w:rPr>
              <w:t>las metas</w:t>
            </w:r>
            <w:r>
              <w:rPr>
                <w:spacing w:val="-8"/>
                <w:sz w:val="20"/>
              </w:rPr>
              <w:t> </w:t>
            </w:r>
            <w:r>
              <w:rPr>
                <w:sz w:val="20"/>
              </w:rPr>
              <w:t>de</w:t>
            </w:r>
            <w:r>
              <w:rPr>
                <w:spacing w:val="-9"/>
                <w:sz w:val="20"/>
              </w:rPr>
              <w:t> </w:t>
            </w:r>
            <w:r>
              <w:rPr>
                <w:sz w:val="20"/>
              </w:rPr>
              <w:t>la</w:t>
            </w:r>
            <w:r>
              <w:rPr>
                <w:spacing w:val="-9"/>
                <w:sz w:val="20"/>
              </w:rPr>
              <w:t> </w:t>
            </w:r>
            <w:r>
              <w:rPr>
                <w:sz w:val="20"/>
              </w:rPr>
              <w:t>UEIG</w:t>
            </w:r>
            <w:r>
              <w:rPr>
                <w:spacing w:val="-8"/>
                <w:sz w:val="20"/>
              </w:rPr>
              <w:t> </w:t>
            </w:r>
            <w:r>
              <w:rPr>
                <w:sz w:val="20"/>
              </w:rPr>
              <w:t>en</w:t>
            </w:r>
            <w:r>
              <w:rPr>
                <w:spacing w:val="-9"/>
                <w:sz w:val="20"/>
              </w:rPr>
              <w:t> </w:t>
            </w:r>
            <w:r>
              <w:rPr>
                <w:sz w:val="20"/>
              </w:rPr>
              <w:t>el plan quinquenal de la PIGI IMAS.</w:t>
            </w:r>
          </w:p>
        </w:tc>
        <w:tc>
          <w:tcPr>
            <w:tcW w:w="1527" w:type="dxa"/>
          </w:tcPr>
          <w:p>
            <w:pPr>
              <w:pStyle w:val="TableParagraph"/>
              <w:spacing w:before="30"/>
              <w:ind w:left="66" w:right="94"/>
              <w:rPr>
                <w:sz w:val="20"/>
              </w:rPr>
            </w:pPr>
            <w:r>
              <w:rPr>
                <w:sz w:val="20"/>
              </w:rPr>
              <w:t>Cantidad de acciones de </w:t>
            </w:r>
            <w:r>
              <w:rPr>
                <w:spacing w:val="-2"/>
                <w:sz w:val="20"/>
              </w:rPr>
              <w:t>cumplimiento </w:t>
            </w:r>
            <w:r>
              <w:rPr>
                <w:sz w:val="20"/>
              </w:rPr>
              <w:t>de metas </w:t>
            </w:r>
            <w:r>
              <w:rPr>
                <w:spacing w:val="-2"/>
                <w:sz w:val="20"/>
              </w:rPr>
              <w:t>realizadas.</w:t>
            </w:r>
          </w:p>
        </w:tc>
        <w:tc>
          <w:tcPr>
            <w:tcW w:w="1559" w:type="dxa"/>
          </w:tcPr>
          <w:p>
            <w:pPr>
              <w:pStyle w:val="TableParagraph"/>
              <w:rPr>
                <w:rFonts w:ascii="Times New Roman"/>
                <w:sz w:val="20"/>
              </w:rPr>
            </w:pPr>
          </w:p>
        </w:tc>
        <w:tc>
          <w:tcPr>
            <w:tcW w:w="1270" w:type="dxa"/>
          </w:tcPr>
          <w:p>
            <w:pPr>
              <w:pStyle w:val="TableParagraph"/>
              <w:rPr>
                <w:rFonts w:ascii="Times New Roman"/>
                <w:sz w:val="20"/>
              </w:rPr>
            </w:pPr>
          </w:p>
        </w:tc>
        <w:tc>
          <w:tcPr>
            <w:tcW w:w="1296" w:type="dxa"/>
          </w:tcPr>
          <w:p>
            <w:pPr>
              <w:pStyle w:val="TableParagraph"/>
              <w:rPr>
                <w:rFonts w:ascii="Times New Roman"/>
                <w:sz w:val="20"/>
              </w:rPr>
            </w:pPr>
          </w:p>
        </w:tc>
        <w:tc>
          <w:tcPr>
            <w:tcW w:w="1040" w:type="dxa"/>
          </w:tcPr>
          <w:p>
            <w:pPr>
              <w:pStyle w:val="TableParagraph"/>
              <w:rPr>
                <w:rFonts w:ascii="Times New Roman"/>
                <w:sz w:val="20"/>
              </w:rPr>
            </w:pPr>
          </w:p>
        </w:tc>
        <w:tc>
          <w:tcPr>
            <w:tcW w:w="1296" w:type="dxa"/>
          </w:tcPr>
          <w:p>
            <w:pPr>
              <w:pStyle w:val="TableParagraph"/>
              <w:rPr>
                <w:rFonts w:ascii="Times New Roman"/>
                <w:sz w:val="20"/>
              </w:rPr>
            </w:pPr>
          </w:p>
        </w:tc>
        <w:tc>
          <w:tcPr>
            <w:tcW w:w="1484" w:type="dxa"/>
          </w:tcPr>
          <w:p>
            <w:pPr>
              <w:pStyle w:val="TableParagraph"/>
              <w:rPr>
                <w:rFonts w:ascii="Times New Roman"/>
                <w:sz w:val="20"/>
              </w:rPr>
            </w:pPr>
          </w:p>
        </w:tc>
        <w:tc>
          <w:tcPr>
            <w:tcW w:w="1421" w:type="dxa"/>
          </w:tcPr>
          <w:p>
            <w:pPr>
              <w:pStyle w:val="TableParagraph"/>
              <w:rPr>
                <w:b/>
                <w:sz w:val="20"/>
              </w:rPr>
            </w:pPr>
          </w:p>
          <w:p>
            <w:pPr>
              <w:pStyle w:val="TableParagraph"/>
              <w:spacing w:before="32"/>
              <w:rPr>
                <w:b/>
                <w:sz w:val="20"/>
              </w:rPr>
            </w:pPr>
          </w:p>
          <w:p>
            <w:pPr>
              <w:pStyle w:val="TableParagraph"/>
              <w:ind w:left="8" w:right="8"/>
              <w:jc w:val="center"/>
              <w:rPr>
                <w:sz w:val="20"/>
              </w:rPr>
            </w:pPr>
            <w:r>
              <w:rPr>
                <w:spacing w:val="-10"/>
                <w:sz w:val="20"/>
              </w:rPr>
              <w:t>1</w:t>
            </w:r>
          </w:p>
        </w:tc>
        <w:tc>
          <w:tcPr>
            <w:tcW w:w="1699" w:type="dxa"/>
          </w:tcPr>
          <w:p>
            <w:pPr>
              <w:pStyle w:val="TableParagraph"/>
              <w:rPr>
                <w:b/>
                <w:sz w:val="20"/>
              </w:rPr>
            </w:pPr>
          </w:p>
          <w:p>
            <w:pPr>
              <w:pStyle w:val="TableParagraph"/>
              <w:spacing w:before="32"/>
              <w:rPr>
                <w:b/>
                <w:sz w:val="20"/>
              </w:rPr>
            </w:pPr>
          </w:p>
          <w:p>
            <w:pPr>
              <w:pStyle w:val="TableParagraph"/>
              <w:ind w:right="62"/>
              <w:jc w:val="right"/>
              <w:rPr>
                <w:sz w:val="20"/>
              </w:rPr>
            </w:pPr>
            <w:r>
              <w:rPr>
                <w:sz w:val="20"/>
              </w:rPr>
              <w:t>₡2</w:t>
            </w:r>
            <w:r>
              <w:rPr>
                <w:spacing w:val="-5"/>
                <w:sz w:val="20"/>
              </w:rPr>
              <w:t> </w:t>
            </w:r>
            <w:r>
              <w:rPr>
                <w:sz w:val="20"/>
              </w:rPr>
              <w:t>000</w:t>
            </w:r>
            <w:r>
              <w:rPr>
                <w:spacing w:val="-4"/>
                <w:sz w:val="20"/>
              </w:rPr>
              <w:t> </w:t>
            </w:r>
            <w:r>
              <w:rPr>
                <w:spacing w:val="-5"/>
                <w:sz w:val="20"/>
              </w:rPr>
              <w:t>000</w:t>
            </w:r>
          </w:p>
        </w:tc>
      </w:tr>
    </w:tbl>
    <w:p>
      <w:pPr>
        <w:pStyle w:val="TableParagraph"/>
        <w:spacing w:after="0"/>
        <w:jc w:val="right"/>
        <w:rPr>
          <w:sz w:val="20"/>
        </w:rPr>
        <w:sectPr>
          <w:pgSz w:w="15840" w:h="12240" w:orient="landscape"/>
          <w:pgMar w:header="0" w:footer="1530" w:top="1380" w:bottom="2040" w:left="360" w:right="360"/>
        </w:sectPr>
      </w:pPr>
    </w:p>
    <w:p>
      <w:pPr>
        <w:pStyle w:val="BodyText"/>
        <w:rPr>
          <w:b/>
          <w:sz w:val="24"/>
        </w:rPr>
      </w:pPr>
    </w:p>
    <w:p>
      <w:pPr>
        <w:pStyle w:val="BodyText"/>
        <w:spacing w:before="180"/>
        <w:rPr>
          <w:b/>
          <w:sz w:val="24"/>
        </w:rPr>
      </w:pPr>
    </w:p>
    <w:p>
      <w:pPr>
        <w:pStyle w:val="Heading3"/>
        <w:numPr>
          <w:ilvl w:val="1"/>
          <w:numId w:val="5"/>
        </w:numPr>
        <w:tabs>
          <w:tab w:pos="2321" w:val="left" w:leader="none"/>
        </w:tabs>
        <w:spacing w:line="240" w:lineRule="auto" w:before="1" w:after="0"/>
        <w:ind w:left="2321" w:right="0" w:hanging="401"/>
        <w:jc w:val="left"/>
      </w:pPr>
      <w:bookmarkStart w:name="_bookmark75" w:id="76"/>
      <w:bookmarkEnd w:id="76"/>
      <w:r>
        <w:rPr>
          <w:b w:val="0"/>
        </w:rPr>
      </w:r>
      <w:r>
        <w:rPr/>
        <w:t>Matriz</w:t>
      </w:r>
      <w:r>
        <w:rPr>
          <w:spacing w:val="-6"/>
        </w:rPr>
        <w:t> </w:t>
      </w:r>
      <w:r>
        <w:rPr/>
        <w:t>de</w:t>
      </w:r>
      <w:r>
        <w:rPr>
          <w:spacing w:val="-4"/>
        </w:rPr>
        <w:t> </w:t>
      </w:r>
      <w:r>
        <w:rPr/>
        <w:t>Gestión</w:t>
      </w:r>
      <w:r>
        <w:rPr>
          <w:spacing w:val="-7"/>
        </w:rPr>
        <w:t> </w:t>
      </w:r>
      <w:r>
        <w:rPr/>
        <w:t>para</w:t>
      </w:r>
      <w:r>
        <w:rPr>
          <w:spacing w:val="-4"/>
        </w:rPr>
        <w:t> </w:t>
      </w:r>
      <w:r>
        <w:rPr/>
        <w:t>Resultados</w:t>
      </w:r>
      <w:r>
        <w:rPr>
          <w:spacing w:val="-4"/>
        </w:rPr>
        <w:t> </w:t>
      </w:r>
      <w:r>
        <w:rPr/>
        <w:t>de</w:t>
      </w:r>
      <w:r>
        <w:rPr>
          <w:spacing w:val="-5"/>
        </w:rPr>
        <w:t> </w:t>
      </w:r>
      <w:r>
        <w:rPr/>
        <w:t>Desarrollo</w:t>
      </w:r>
      <w:r>
        <w:rPr>
          <w:spacing w:val="-7"/>
        </w:rPr>
        <w:t> </w:t>
      </w:r>
      <w:r>
        <w:rPr/>
        <w:t>(GpRD)</w:t>
      </w:r>
      <w:r>
        <w:rPr>
          <w:spacing w:val="-3"/>
        </w:rPr>
        <w:t> </w:t>
      </w:r>
      <w:r>
        <w:rPr/>
        <w:t>del</w:t>
      </w:r>
      <w:r>
        <w:rPr>
          <w:spacing w:val="-4"/>
        </w:rPr>
        <w:t> </w:t>
      </w:r>
      <w:r>
        <w:rPr/>
        <w:t>Programa</w:t>
      </w:r>
      <w:r>
        <w:rPr>
          <w:spacing w:val="-4"/>
        </w:rPr>
        <w:t> </w:t>
      </w:r>
      <w:r>
        <w:rPr/>
        <w:t>Empresas</w:t>
      </w:r>
      <w:r>
        <w:rPr>
          <w:spacing w:val="-3"/>
        </w:rPr>
        <w:t> </w:t>
      </w:r>
      <w:r>
        <w:rPr>
          <w:spacing w:val="-2"/>
        </w:rPr>
        <w:t>Comerciales</w:t>
      </w:r>
    </w:p>
    <w:p>
      <w:pPr>
        <w:pStyle w:val="BodyText"/>
        <w:rPr>
          <w:b/>
          <w:sz w:val="20"/>
        </w:rPr>
      </w:pPr>
    </w:p>
    <w:p>
      <w:pPr>
        <w:pStyle w:val="BodyText"/>
        <w:spacing w:before="91"/>
        <w:rPr>
          <w:b/>
          <w:sz w:val="20"/>
        </w:rPr>
      </w:pPr>
    </w:p>
    <w:tbl>
      <w:tblPr>
        <w:tblW w:w="0" w:type="auto"/>
        <w:jc w:val="left"/>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01"/>
        <w:gridCol w:w="919"/>
        <w:gridCol w:w="1841"/>
        <w:gridCol w:w="1766"/>
        <w:gridCol w:w="1495"/>
        <w:gridCol w:w="1276"/>
        <w:gridCol w:w="1418"/>
        <w:gridCol w:w="1699"/>
        <w:gridCol w:w="2126"/>
      </w:tblGrid>
      <w:tr>
        <w:trPr>
          <w:trHeight w:val="875" w:hRule="atLeast"/>
        </w:trPr>
        <w:tc>
          <w:tcPr>
            <w:tcW w:w="3120" w:type="dxa"/>
            <w:gridSpan w:val="2"/>
            <w:shd w:val="clear" w:color="auto" w:fill="D7D7D7"/>
          </w:tcPr>
          <w:p>
            <w:pPr>
              <w:pStyle w:val="TableParagraph"/>
              <w:spacing w:before="91"/>
              <w:rPr>
                <w:b/>
                <w:sz w:val="20"/>
              </w:rPr>
            </w:pPr>
          </w:p>
          <w:p>
            <w:pPr>
              <w:pStyle w:val="TableParagraph"/>
              <w:ind w:left="479"/>
              <w:rPr>
                <w:b/>
                <w:sz w:val="20"/>
              </w:rPr>
            </w:pPr>
            <w:r>
              <w:rPr>
                <w:b/>
                <w:sz w:val="20"/>
              </w:rPr>
              <w:t>Objetivos</w:t>
            </w:r>
            <w:r>
              <w:rPr>
                <w:b/>
                <w:spacing w:val="-9"/>
                <w:sz w:val="20"/>
              </w:rPr>
              <w:t> </w:t>
            </w:r>
            <w:r>
              <w:rPr>
                <w:b/>
                <w:sz w:val="20"/>
              </w:rPr>
              <w:t>/</w:t>
            </w:r>
            <w:r>
              <w:rPr>
                <w:b/>
                <w:spacing w:val="-9"/>
                <w:sz w:val="20"/>
              </w:rPr>
              <w:t> </w:t>
            </w:r>
            <w:r>
              <w:rPr>
                <w:b/>
                <w:spacing w:val="-2"/>
                <w:sz w:val="20"/>
              </w:rPr>
              <w:t>Resultados</w:t>
            </w:r>
          </w:p>
        </w:tc>
        <w:tc>
          <w:tcPr>
            <w:tcW w:w="1841" w:type="dxa"/>
            <w:shd w:val="clear" w:color="auto" w:fill="D7D7D7"/>
          </w:tcPr>
          <w:p>
            <w:pPr>
              <w:pStyle w:val="TableParagraph"/>
              <w:spacing w:before="91"/>
              <w:rPr>
                <w:b/>
                <w:sz w:val="20"/>
              </w:rPr>
            </w:pPr>
          </w:p>
          <w:p>
            <w:pPr>
              <w:pStyle w:val="TableParagraph"/>
              <w:ind w:left="8" w:right="5"/>
              <w:jc w:val="center"/>
              <w:rPr>
                <w:b/>
                <w:sz w:val="20"/>
              </w:rPr>
            </w:pPr>
            <w:r>
              <w:rPr>
                <w:b/>
                <w:sz w:val="20"/>
              </w:rPr>
              <w:t>Línea</w:t>
            </w:r>
            <w:r>
              <w:rPr>
                <w:b/>
                <w:spacing w:val="-11"/>
                <w:sz w:val="20"/>
              </w:rPr>
              <w:t> </w:t>
            </w:r>
            <w:r>
              <w:rPr>
                <w:b/>
                <w:sz w:val="20"/>
              </w:rPr>
              <w:t>Base</w:t>
            </w:r>
            <w:r>
              <w:rPr>
                <w:b/>
                <w:spacing w:val="-8"/>
                <w:sz w:val="20"/>
              </w:rPr>
              <w:t> </w:t>
            </w:r>
            <w:r>
              <w:rPr>
                <w:b/>
                <w:spacing w:val="-2"/>
                <w:sz w:val="20"/>
              </w:rPr>
              <w:t>(2025)</w:t>
            </w:r>
          </w:p>
        </w:tc>
        <w:tc>
          <w:tcPr>
            <w:tcW w:w="1766" w:type="dxa"/>
            <w:shd w:val="clear" w:color="auto" w:fill="D7D7D7"/>
          </w:tcPr>
          <w:p>
            <w:pPr>
              <w:pStyle w:val="TableParagraph"/>
              <w:spacing w:before="90"/>
              <w:ind w:left="121" w:right="110"/>
              <w:jc w:val="center"/>
              <w:rPr>
                <w:b/>
                <w:sz w:val="20"/>
              </w:rPr>
            </w:pPr>
            <w:r>
              <w:rPr>
                <w:b/>
                <w:spacing w:val="-4"/>
                <w:sz w:val="20"/>
              </w:rPr>
              <w:t>Meta </w:t>
            </w:r>
            <w:r>
              <w:rPr>
                <w:b/>
                <w:spacing w:val="-2"/>
                <w:sz w:val="20"/>
              </w:rPr>
              <w:t>programada </w:t>
            </w:r>
            <w:r>
              <w:rPr>
                <w:b/>
                <w:spacing w:val="-4"/>
                <w:sz w:val="20"/>
              </w:rPr>
              <w:t>2027</w:t>
            </w:r>
          </w:p>
        </w:tc>
        <w:tc>
          <w:tcPr>
            <w:tcW w:w="1495" w:type="dxa"/>
            <w:shd w:val="clear" w:color="auto" w:fill="D7D7D7"/>
          </w:tcPr>
          <w:p>
            <w:pPr>
              <w:pStyle w:val="TableParagraph"/>
              <w:spacing w:before="91"/>
              <w:rPr>
                <w:b/>
                <w:sz w:val="20"/>
              </w:rPr>
            </w:pPr>
          </w:p>
          <w:p>
            <w:pPr>
              <w:pStyle w:val="TableParagraph"/>
              <w:ind w:left="296"/>
              <w:rPr>
                <w:b/>
                <w:sz w:val="20"/>
              </w:rPr>
            </w:pPr>
            <w:r>
              <w:rPr>
                <w:b/>
                <w:spacing w:val="-2"/>
                <w:sz w:val="20"/>
              </w:rPr>
              <w:t>Indicador</w:t>
            </w:r>
          </w:p>
        </w:tc>
        <w:tc>
          <w:tcPr>
            <w:tcW w:w="1276" w:type="dxa"/>
            <w:shd w:val="clear" w:color="auto" w:fill="D7D7D7"/>
          </w:tcPr>
          <w:p>
            <w:pPr>
              <w:pStyle w:val="TableParagraph"/>
              <w:spacing w:before="206"/>
              <w:ind w:left="83" w:firstLine="67"/>
              <w:rPr>
                <w:b/>
                <w:sz w:val="20"/>
              </w:rPr>
            </w:pPr>
            <w:r>
              <w:rPr>
                <w:b/>
                <w:sz w:val="20"/>
              </w:rPr>
              <w:t>Medios de </w:t>
            </w:r>
            <w:r>
              <w:rPr>
                <w:b/>
                <w:spacing w:val="-2"/>
                <w:sz w:val="20"/>
              </w:rPr>
              <w:t>verificación</w:t>
            </w:r>
          </w:p>
        </w:tc>
        <w:tc>
          <w:tcPr>
            <w:tcW w:w="1418" w:type="dxa"/>
            <w:shd w:val="clear" w:color="auto" w:fill="D7D7D7"/>
          </w:tcPr>
          <w:p>
            <w:pPr>
              <w:pStyle w:val="TableParagraph"/>
              <w:spacing w:before="91"/>
              <w:rPr>
                <w:b/>
                <w:sz w:val="20"/>
              </w:rPr>
            </w:pPr>
          </w:p>
          <w:p>
            <w:pPr>
              <w:pStyle w:val="TableParagraph"/>
              <w:ind w:left="86"/>
              <w:rPr>
                <w:b/>
                <w:sz w:val="20"/>
              </w:rPr>
            </w:pPr>
            <w:r>
              <w:rPr>
                <w:b/>
                <w:spacing w:val="-2"/>
                <w:sz w:val="20"/>
              </w:rPr>
              <w:t>Responsable</w:t>
            </w:r>
          </w:p>
        </w:tc>
        <w:tc>
          <w:tcPr>
            <w:tcW w:w="1699" w:type="dxa"/>
            <w:shd w:val="clear" w:color="auto" w:fill="D7D7D7"/>
          </w:tcPr>
          <w:p>
            <w:pPr>
              <w:pStyle w:val="TableParagraph"/>
              <w:spacing w:before="206"/>
              <w:ind w:left="413" w:hanging="166"/>
              <w:rPr>
                <w:b/>
                <w:sz w:val="20"/>
              </w:rPr>
            </w:pPr>
            <w:r>
              <w:rPr>
                <w:b/>
                <w:spacing w:val="-2"/>
                <w:sz w:val="20"/>
              </w:rPr>
              <w:t>Presupuesto asignado</w:t>
            </w:r>
          </w:p>
        </w:tc>
        <w:tc>
          <w:tcPr>
            <w:tcW w:w="2126" w:type="dxa"/>
            <w:shd w:val="clear" w:color="auto" w:fill="D7D7D7"/>
          </w:tcPr>
          <w:p>
            <w:pPr>
              <w:pStyle w:val="TableParagraph"/>
              <w:spacing w:before="91"/>
              <w:rPr>
                <w:b/>
                <w:sz w:val="20"/>
              </w:rPr>
            </w:pPr>
          </w:p>
          <w:p>
            <w:pPr>
              <w:pStyle w:val="TableParagraph"/>
              <w:ind w:left="226"/>
              <w:rPr>
                <w:b/>
                <w:sz w:val="20"/>
              </w:rPr>
            </w:pPr>
            <w:r>
              <w:rPr>
                <w:b/>
                <w:sz w:val="20"/>
              </w:rPr>
              <w:t>Riesgo</w:t>
            </w:r>
            <w:r>
              <w:rPr>
                <w:b/>
                <w:spacing w:val="-9"/>
                <w:sz w:val="20"/>
              </w:rPr>
              <w:t> </w:t>
            </w:r>
            <w:r>
              <w:rPr>
                <w:b/>
                <w:spacing w:val="-2"/>
                <w:sz w:val="20"/>
              </w:rPr>
              <w:t>Vinculado</w:t>
            </w:r>
          </w:p>
        </w:tc>
      </w:tr>
      <w:tr>
        <w:trPr>
          <w:trHeight w:val="840" w:hRule="atLeast"/>
        </w:trPr>
        <w:tc>
          <w:tcPr>
            <w:tcW w:w="14741" w:type="dxa"/>
            <w:gridSpan w:val="9"/>
            <w:shd w:val="clear" w:color="auto" w:fill="F1F1F1"/>
          </w:tcPr>
          <w:p>
            <w:pPr>
              <w:pStyle w:val="TableParagraph"/>
              <w:spacing w:before="189"/>
              <w:ind w:left="69"/>
              <w:rPr>
                <w:b/>
                <w:sz w:val="20"/>
              </w:rPr>
            </w:pPr>
            <w:r>
              <w:rPr>
                <w:b/>
                <w:sz w:val="20"/>
              </w:rPr>
              <w:t>Efecto:</w:t>
            </w:r>
            <w:r>
              <w:rPr>
                <w:b/>
                <w:spacing w:val="-1"/>
                <w:sz w:val="20"/>
              </w:rPr>
              <w:t> </w:t>
            </w:r>
            <w:r>
              <w:rPr>
                <w:b/>
                <w:sz w:val="20"/>
              </w:rPr>
              <w:t>Generar</w:t>
            </w:r>
            <w:r>
              <w:rPr>
                <w:b/>
                <w:spacing w:val="-2"/>
                <w:sz w:val="20"/>
              </w:rPr>
              <w:t> </w:t>
            </w:r>
            <w:r>
              <w:rPr>
                <w:b/>
                <w:sz w:val="20"/>
              </w:rPr>
              <w:t>la</w:t>
            </w:r>
            <w:r>
              <w:rPr>
                <w:b/>
                <w:spacing w:val="-4"/>
                <w:sz w:val="20"/>
              </w:rPr>
              <w:t> </w:t>
            </w:r>
            <w:r>
              <w:rPr>
                <w:b/>
                <w:sz w:val="20"/>
              </w:rPr>
              <w:t>mayor</w:t>
            </w:r>
            <w:r>
              <w:rPr>
                <w:b/>
                <w:spacing w:val="-1"/>
                <w:sz w:val="20"/>
              </w:rPr>
              <w:t> </w:t>
            </w:r>
            <w:r>
              <w:rPr>
                <w:b/>
                <w:sz w:val="20"/>
              </w:rPr>
              <w:t>cantidad</w:t>
            </w:r>
            <w:r>
              <w:rPr>
                <w:b/>
                <w:spacing w:val="-2"/>
                <w:sz w:val="20"/>
              </w:rPr>
              <w:t> </w:t>
            </w:r>
            <w:r>
              <w:rPr>
                <w:b/>
                <w:sz w:val="20"/>
              </w:rPr>
              <w:t>posible</w:t>
            </w:r>
            <w:r>
              <w:rPr>
                <w:b/>
                <w:spacing w:val="-3"/>
                <w:sz w:val="20"/>
              </w:rPr>
              <w:t> </w:t>
            </w:r>
            <w:r>
              <w:rPr>
                <w:b/>
                <w:sz w:val="20"/>
              </w:rPr>
              <w:t>de</w:t>
            </w:r>
            <w:r>
              <w:rPr>
                <w:b/>
                <w:spacing w:val="-3"/>
                <w:sz w:val="20"/>
              </w:rPr>
              <w:t> </w:t>
            </w:r>
            <w:r>
              <w:rPr>
                <w:b/>
                <w:sz w:val="20"/>
              </w:rPr>
              <w:t>ingresos</w:t>
            </w:r>
            <w:r>
              <w:rPr>
                <w:b/>
                <w:spacing w:val="-3"/>
                <w:sz w:val="20"/>
              </w:rPr>
              <w:t> </w:t>
            </w:r>
            <w:r>
              <w:rPr>
                <w:b/>
                <w:sz w:val="20"/>
              </w:rPr>
              <w:t>por</w:t>
            </w:r>
            <w:r>
              <w:rPr>
                <w:b/>
                <w:spacing w:val="-1"/>
                <w:sz w:val="20"/>
              </w:rPr>
              <w:t> </w:t>
            </w:r>
            <w:r>
              <w:rPr>
                <w:b/>
                <w:sz w:val="20"/>
              </w:rPr>
              <w:t>concepto</w:t>
            </w:r>
            <w:r>
              <w:rPr>
                <w:b/>
                <w:spacing w:val="-2"/>
                <w:sz w:val="20"/>
              </w:rPr>
              <w:t> </w:t>
            </w:r>
            <w:r>
              <w:rPr>
                <w:b/>
                <w:sz w:val="20"/>
              </w:rPr>
              <w:t>de</w:t>
            </w:r>
            <w:r>
              <w:rPr>
                <w:b/>
                <w:spacing w:val="-3"/>
                <w:sz w:val="20"/>
              </w:rPr>
              <w:t> </w:t>
            </w:r>
            <w:r>
              <w:rPr>
                <w:b/>
                <w:sz w:val="20"/>
              </w:rPr>
              <w:t>utilidades</w:t>
            </w:r>
            <w:r>
              <w:rPr>
                <w:b/>
                <w:spacing w:val="-3"/>
                <w:sz w:val="20"/>
              </w:rPr>
              <w:t> </w:t>
            </w:r>
            <w:r>
              <w:rPr>
                <w:b/>
                <w:sz w:val="20"/>
              </w:rPr>
              <w:t>con</w:t>
            </w:r>
            <w:r>
              <w:rPr>
                <w:b/>
                <w:spacing w:val="-2"/>
                <w:sz w:val="20"/>
              </w:rPr>
              <w:t> </w:t>
            </w:r>
            <w:r>
              <w:rPr>
                <w:b/>
                <w:sz w:val="20"/>
              </w:rPr>
              <w:t>la</w:t>
            </w:r>
            <w:r>
              <w:rPr>
                <w:b/>
                <w:spacing w:val="-3"/>
                <w:sz w:val="20"/>
              </w:rPr>
              <w:t> </w:t>
            </w:r>
            <w:r>
              <w:rPr>
                <w:b/>
                <w:sz w:val="20"/>
              </w:rPr>
              <w:t>operación comercial</w:t>
            </w:r>
            <w:r>
              <w:rPr>
                <w:b/>
                <w:spacing w:val="-3"/>
                <w:sz w:val="20"/>
              </w:rPr>
              <w:t> </w:t>
            </w:r>
            <w:r>
              <w:rPr>
                <w:b/>
                <w:sz w:val="20"/>
              </w:rPr>
              <w:t>de</w:t>
            </w:r>
            <w:r>
              <w:rPr>
                <w:b/>
                <w:spacing w:val="-1"/>
                <w:sz w:val="20"/>
              </w:rPr>
              <w:t> </w:t>
            </w:r>
            <w:r>
              <w:rPr>
                <w:b/>
                <w:sz w:val="20"/>
              </w:rPr>
              <w:t>las</w:t>
            </w:r>
            <w:r>
              <w:rPr>
                <w:b/>
                <w:spacing w:val="-4"/>
                <w:sz w:val="20"/>
              </w:rPr>
              <w:t> </w:t>
            </w:r>
            <w:r>
              <w:rPr>
                <w:b/>
                <w:sz w:val="20"/>
              </w:rPr>
              <w:t>tiendas</w:t>
            </w:r>
            <w:r>
              <w:rPr>
                <w:b/>
                <w:spacing w:val="-4"/>
                <w:sz w:val="20"/>
              </w:rPr>
              <w:t> </w:t>
            </w:r>
            <w:r>
              <w:rPr>
                <w:b/>
                <w:sz w:val="20"/>
              </w:rPr>
              <w:t>del</w:t>
            </w:r>
            <w:r>
              <w:rPr>
                <w:b/>
                <w:spacing w:val="-3"/>
                <w:sz w:val="20"/>
              </w:rPr>
              <w:t> </w:t>
            </w:r>
            <w:r>
              <w:rPr>
                <w:b/>
                <w:sz w:val="20"/>
              </w:rPr>
              <w:t>IMAS, con</w:t>
            </w:r>
            <w:r>
              <w:rPr>
                <w:b/>
                <w:spacing w:val="-2"/>
                <w:sz w:val="20"/>
              </w:rPr>
              <w:t> </w:t>
            </w:r>
            <w:r>
              <w:rPr>
                <w:b/>
                <w:sz w:val="20"/>
              </w:rPr>
              <w:t>el</w:t>
            </w:r>
            <w:r>
              <w:rPr>
                <w:b/>
                <w:spacing w:val="-3"/>
                <w:sz w:val="20"/>
              </w:rPr>
              <w:t> </w:t>
            </w:r>
            <w:r>
              <w:rPr>
                <w:b/>
                <w:sz w:val="20"/>
              </w:rPr>
              <w:t>fin</w:t>
            </w:r>
            <w:r>
              <w:rPr>
                <w:b/>
                <w:spacing w:val="-3"/>
                <w:sz w:val="20"/>
              </w:rPr>
              <w:t> </w:t>
            </w:r>
            <w:r>
              <w:rPr>
                <w:b/>
                <w:sz w:val="20"/>
              </w:rPr>
              <w:t>de contribuir a la sostenibilidad financiera de los programas de inversión social destinados a la población objetivo.</w:t>
            </w:r>
          </w:p>
        </w:tc>
      </w:tr>
      <w:tr>
        <w:trPr>
          <w:trHeight w:val="630" w:hRule="atLeast"/>
        </w:trPr>
        <w:tc>
          <w:tcPr>
            <w:tcW w:w="14741" w:type="dxa"/>
            <w:gridSpan w:val="9"/>
            <w:shd w:val="clear" w:color="auto" w:fill="DBE4F0"/>
          </w:tcPr>
          <w:p>
            <w:pPr>
              <w:pStyle w:val="TableParagraph"/>
              <w:spacing w:before="198"/>
              <w:ind w:left="69"/>
              <w:rPr>
                <w:b/>
                <w:sz w:val="20"/>
              </w:rPr>
            </w:pPr>
            <w:r>
              <w:rPr>
                <w:b/>
                <w:sz w:val="20"/>
              </w:rPr>
              <w:t>Producto</w:t>
            </w:r>
            <w:r>
              <w:rPr>
                <w:b/>
                <w:spacing w:val="-6"/>
                <w:sz w:val="20"/>
              </w:rPr>
              <w:t> </w:t>
            </w:r>
            <w:r>
              <w:rPr>
                <w:b/>
                <w:sz w:val="20"/>
              </w:rPr>
              <w:t>PEC</w:t>
            </w:r>
            <w:r>
              <w:rPr>
                <w:b/>
                <w:spacing w:val="-5"/>
                <w:sz w:val="20"/>
              </w:rPr>
              <w:t> </w:t>
            </w:r>
            <w:r>
              <w:rPr>
                <w:b/>
                <w:sz w:val="20"/>
              </w:rPr>
              <w:t>3.1:</w:t>
            </w:r>
            <w:r>
              <w:rPr>
                <w:b/>
                <w:spacing w:val="-4"/>
                <w:sz w:val="20"/>
              </w:rPr>
              <w:t> </w:t>
            </w:r>
            <w:r>
              <w:rPr>
                <w:b/>
                <w:sz w:val="20"/>
              </w:rPr>
              <w:t>Estrategia</w:t>
            </w:r>
            <w:r>
              <w:rPr>
                <w:b/>
                <w:spacing w:val="-8"/>
                <w:sz w:val="20"/>
              </w:rPr>
              <w:t> </w:t>
            </w:r>
            <w:r>
              <w:rPr>
                <w:b/>
                <w:sz w:val="20"/>
              </w:rPr>
              <w:t>de</w:t>
            </w:r>
            <w:r>
              <w:rPr>
                <w:b/>
                <w:spacing w:val="-4"/>
                <w:sz w:val="20"/>
              </w:rPr>
              <w:t> </w:t>
            </w:r>
            <w:r>
              <w:rPr>
                <w:b/>
                <w:sz w:val="20"/>
              </w:rPr>
              <w:t>Negocios</w:t>
            </w:r>
            <w:r>
              <w:rPr>
                <w:b/>
                <w:spacing w:val="-5"/>
                <w:sz w:val="20"/>
              </w:rPr>
              <w:t> </w:t>
            </w:r>
            <w:r>
              <w:rPr>
                <w:b/>
                <w:sz w:val="20"/>
              </w:rPr>
              <w:t>diseñada</w:t>
            </w:r>
            <w:r>
              <w:rPr>
                <w:b/>
                <w:spacing w:val="-7"/>
                <w:sz w:val="20"/>
              </w:rPr>
              <w:t> </w:t>
            </w:r>
            <w:r>
              <w:rPr>
                <w:b/>
                <w:sz w:val="20"/>
              </w:rPr>
              <w:t>e</w:t>
            </w:r>
            <w:r>
              <w:rPr>
                <w:b/>
                <w:spacing w:val="-7"/>
                <w:sz w:val="20"/>
              </w:rPr>
              <w:t> </w:t>
            </w:r>
            <w:r>
              <w:rPr>
                <w:b/>
                <w:sz w:val="20"/>
              </w:rPr>
              <w:t>implementada,</w:t>
            </w:r>
            <w:r>
              <w:rPr>
                <w:b/>
                <w:spacing w:val="-5"/>
                <w:sz w:val="20"/>
              </w:rPr>
              <w:t> </w:t>
            </w:r>
            <w:r>
              <w:rPr>
                <w:b/>
                <w:sz w:val="20"/>
              </w:rPr>
              <w:t>para</w:t>
            </w:r>
            <w:r>
              <w:rPr>
                <w:b/>
                <w:spacing w:val="-7"/>
                <w:sz w:val="20"/>
              </w:rPr>
              <w:t> </w:t>
            </w:r>
            <w:r>
              <w:rPr>
                <w:b/>
                <w:sz w:val="20"/>
              </w:rPr>
              <w:t>incrementar</w:t>
            </w:r>
            <w:r>
              <w:rPr>
                <w:b/>
                <w:spacing w:val="-8"/>
                <w:sz w:val="20"/>
              </w:rPr>
              <w:t> </w:t>
            </w:r>
            <w:r>
              <w:rPr>
                <w:b/>
                <w:sz w:val="20"/>
              </w:rPr>
              <w:t>las</w:t>
            </w:r>
            <w:r>
              <w:rPr>
                <w:b/>
                <w:spacing w:val="-7"/>
                <w:sz w:val="20"/>
              </w:rPr>
              <w:t> </w:t>
            </w:r>
            <w:r>
              <w:rPr>
                <w:b/>
                <w:sz w:val="20"/>
              </w:rPr>
              <w:t>ventas</w:t>
            </w:r>
            <w:r>
              <w:rPr>
                <w:b/>
                <w:spacing w:val="-6"/>
                <w:sz w:val="20"/>
              </w:rPr>
              <w:t> </w:t>
            </w:r>
            <w:r>
              <w:rPr>
                <w:b/>
                <w:sz w:val="20"/>
              </w:rPr>
              <w:t>a</w:t>
            </w:r>
            <w:r>
              <w:rPr>
                <w:b/>
                <w:spacing w:val="-6"/>
                <w:sz w:val="20"/>
              </w:rPr>
              <w:t> </w:t>
            </w:r>
            <w:r>
              <w:rPr>
                <w:b/>
                <w:sz w:val="20"/>
              </w:rPr>
              <w:t>través</w:t>
            </w:r>
            <w:r>
              <w:rPr>
                <w:b/>
                <w:spacing w:val="-7"/>
                <w:sz w:val="20"/>
              </w:rPr>
              <w:t> </w:t>
            </w:r>
            <w:r>
              <w:rPr>
                <w:b/>
                <w:sz w:val="20"/>
              </w:rPr>
              <w:t>de</w:t>
            </w:r>
            <w:r>
              <w:rPr>
                <w:b/>
                <w:spacing w:val="-5"/>
                <w:sz w:val="20"/>
              </w:rPr>
              <w:t> </w:t>
            </w:r>
            <w:r>
              <w:rPr>
                <w:b/>
                <w:sz w:val="20"/>
              </w:rPr>
              <w:t>la</w:t>
            </w:r>
            <w:r>
              <w:rPr>
                <w:b/>
                <w:spacing w:val="-8"/>
                <w:sz w:val="20"/>
              </w:rPr>
              <w:t> </w:t>
            </w:r>
            <w:r>
              <w:rPr>
                <w:b/>
                <w:sz w:val="20"/>
              </w:rPr>
              <w:t>gestión</w:t>
            </w:r>
            <w:r>
              <w:rPr>
                <w:b/>
                <w:spacing w:val="-5"/>
                <w:sz w:val="20"/>
              </w:rPr>
              <w:t> </w:t>
            </w:r>
            <w:r>
              <w:rPr>
                <w:b/>
                <w:sz w:val="20"/>
              </w:rPr>
              <w:t>comercial.</w:t>
            </w:r>
            <w:r>
              <w:rPr>
                <w:b/>
                <w:spacing w:val="-7"/>
                <w:sz w:val="20"/>
              </w:rPr>
              <w:t> </w:t>
            </w:r>
            <w:r>
              <w:rPr>
                <w:b/>
                <w:sz w:val="20"/>
              </w:rPr>
              <w:t>(E5</w:t>
            </w:r>
            <w:r>
              <w:rPr>
                <w:b/>
                <w:spacing w:val="-5"/>
                <w:sz w:val="20"/>
              </w:rPr>
              <w:t> </w:t>
            </w:r>
            <w:r>
              <w:rPr>
                <w:b/>
                <w:sz w:val="20"/>
              </w:rPr>
              <w:t>AE1</w:t>
            </w:r>
            <w:r>
              <w:rPr>
                <w:b/>
                <w:spacing w:val="-6"/>
                <w:sz w:val="20"/>
              </w:rPr>
              <w:t> </w:t>
            </w:r>
            <w:r>
              <w:rPr>
                <w:b/>
                <w:spacing w:val="-5"/>
                <w:sz w:val="20"/>
              </w:rPr>
              <w:t>R1)</w:t>
            </w:r>
          </w:p>
        </w:tc>
      </w:tr>
      <w:tr>
        <w:trPr>
          <w:trHeight w:val="2068" w:hRule="atLeast"/>
        </w:trPr>
        <w:tc>
          <w:tcPr>
            <w:tcW w:w="3120" w:type="dxa"/>
            <w:gridSpan w:val="2"/>
          </w:tcPr>
          <w:p>
            <w:pPr>
              <w:pStyle w:val="TableParagraph"/>
              <w:spacing w:before="227"/>
              <w:rPr>
                <w:b/>
                <w:sz w:val="20"/>
              </w:rPr>
            </w:pPr>
          </w:p>
          <w:p>
            <w:pPr>
              <w:pStyle w:val="TableParagraph"/>
              <w:spacing w:before="1"/>
              <w:ind w:left="69" w:right="173"/>
              <w:rPr>
                <w:sz w:val="20"/>
              </w:rPr>
            </w:pPr>
            <w:r>
              <w:rPr>
                <w:b/>
                <w:sz w:val="20"/>
              </w:rPr>
              <w:t>Actividad</w:t>
            </w:r>
            <w:r>
              <w:rPr>
                <w:b/>
                <w:spacing w:val="-9"/>
                <w:sz w:val="20"/>
              </w:rPr>
              <w:t> </w:t>
            </w:r>
            <w:r>
              <w:rPr>
                <w:b/>
                <w:sz w:val="20"/>
              </w:rPr>
              <w:t>PEC</w:t>
            </w:r>
            <w:r>
              <w:rPr>
                <w:b/>
                <w:spacing w:val="-11"/>
                <w:sz w:val="20"/>
              </w:rPr>
              <w:t> </w:t>
            </w:r>
            <w:r>
              <w:rPr>
                <w:b/>
                <w:sz w:val="20"/>
              </w:rPr>
              <w:t>3.1.1:</w:t>
            </w:r>
            <w:r>
              <w:rPr>
                <w:b/>
                <w:spacing w:val="36"/>
                <w:sz w:val="20"/>
              </w:rPr>
              <w:t> </w:t>
            </w:r>
            <w:r>
              <w:rPr>
                <w:sz w:val="20"/>
              </w:rPr>
              <w:t>Generar ingresos por ventas en las tiendas libres de impuesto a través</w:t>
            </w:r>
            <w:r>
              <w:rPr>
                <w:spacing w:val="-6"/>
                <w:sz w:val="20"/>
              </w:rPr>
              <w:t> </w:t>
            </w:r>
            <w:r>
              <w:rPr>
                <w:sz w:val="20"/>
              </w:rPr>
              <w:t>de</w:t>
            </w:r>
            <w:r>
              <w:rPr>
                <w:spacing w:val="-8"/>
                <w:sz w:val="20"/>
              </w:rPr>
              <w:t> </w:t>
            </w:r>
            <w:r>
              <w:rPr>
                <w:sz w:val="20"/>
              </w:rPr>
              <w:t>la</w:t>
            </w:r>
            <w:r>
              <w:rPr>
                <w:spacing w:val="-7"/>
                <w:sz w:val="20"/>
              </w:rPr>
              <w:t> </w:t>
            </w:r>
            <w:r>
              <w:rPr>
                <w:sz w:val="20"/>
              </w:rPr>
              <w:t>implementación</w:t>
            </w:r>
            <w:r>
              <w:rPr>
                <w:spacing w:val="-7"/>
                <w:sz w:val="20"/>
              </w:rPr>
              <w:t> </w:t>
            </w:r>
            <w:r>
              <w:rPr>
                <w:sz w:val="20"/>
              </w:rPr>
              <w:t>de la estrategia de Negocios.</w:t>
            </w:r>
          </w:p>
        </w:tc>
        <w:tc>
          <w:tcPr>
            <w:tcW w:w="1841" w:type="dxa"/>
          </w:tcPr>
          <w:p>
            <w:pPr>
              <w:pStyle w:val="TableParagraph"/>
              <w:rPr>
                <w:b/>
                <w:sz w:val="20"/>
              </w:rPr>
            </w:pPr>
          </w:p>
          <w:p>
            <w:pPr>
              <w:pStyle w:val="TableParagraph"/>
              <w:rPr>
                <w:b/>
                <w:sz w:val="20"/>
              </w:rPr>
            </w:pPr>
          </w:p>
          <w:p>
            <w:pPr>
              <w:pStyle w:val="TableParagraph"/>
              <w:spacing w:before="228"/>
              <w:rPr>
                <w:b/>
                <w:sz w:val="20"/>
              </w:rPr>
            </w:pPr>
          </w:p>
          <w:p>
            <w:pPr>
              <w:pStyle w:val="TableParagraph"/>
              <w:ind w:left="8" w:right="1"/>
              <w:jc w:val="center"/>
              <w:rPr>
                <w:sz w:val="20"/>
              </w:rPr>
            </w:pPr>
            <w:r>
              <w:rPr>
                <w:sz w:val="20"/>
              </w:rPr>
              <w:t>₡20</w:t>
            </w:r>
            <w:r>
              <w:rPr>
                <w:spacing w:val="-7"/>
                <w:sz w:val="20"/>
              </w:rPr>
              <w:t> </w:t>
            </w:r>
            <w:r>
              <w:rPr>
                <w:sz w:val="20"/>
              </w:rPr>
              <w:t>756</w:t>
            </w:r>
            <w:r>
              <w:rPr>
                <w:spacing w:val="-5"/>
                <w:sz w:val="20"/>
              </w:rPr>
              <w:t> </w:t>
            </w:r>
            <w:r>
              <w:rPr>
                <w:sz w:val="20"/>
              </w:rPr>
              <w:t>843</w:t>
            </w:r>
            <w:r>
              <w:rPr>
                <w:spacing w:val="-4"/>
                <w:sz w:val="20"/>
              </w:rPr>
              <w:t> </w:t>
            </w:r>
            <w:r>
              <w:rPr>
                <w:spacing w:val="-5"/>
                <w:sz w:val="20"/>
              </w:rPr>
              <w:t>165</w:t>
            </w:r>
          </w:p>
        </w:tc>
        <w:tc>
          <w:tcPr>
            <w:tcW w:w="1766" w:type="dxa"/>
          </w:tcPr>
          <w:p>
            <w:pPr>
              <w:pStyle w:val="TableParagraph"/>
              <w:rPr>
                <w:b/>
                <w:sz w:val="20"/>
              </w:rPr>
            </w:pPr>
          </w:p>
          <w:p>
            <w:pPr>
              <w:pStyle w:val="TableParagraph"/>
              <w:rPr>
                <w:b/>
                <w:sz w:val="20"/>
              </w:rPr>
            </w:pPr>
          </w:p>
          <w:p>
            <w:pPr>
              <w:pStyle w:val="TableParagraph"/>
              <w:spacing w:before="228"/>
              <w:rPr>
                <w:b/>
                <w:sz w:val="20"/>
              </w:rPr>
            </w:pPr>
          </w:p>
          <w:p>
            <w:pPr>
              <w:pStyle w:val="TableParagraph"/>
              <w:ind w:left="28" w:right="110"/>
              <w:jc w:val="center"/>
              <w:rPr>
                <w:sz w:val="20"/>
              </w:rPr>
            </w:pPr>
            <w:r>
              <w:rPr>
                <w:sz w:val="20"/>
              </w:rPr>
              <w:t>₡21</w:t>
            </w:r>
            <w:r>
              <w:rPr>
                <w:spacing w:val="-6"/>
                <w:sz w:val="20"/>
              </w:rPr>
              <w:t> </w:t>
            </w:r>
            <w:r>
              <w:rPr>
                <w:sz w:val="20"/>
              </w:rPr>
              <w:t>796</w:t>
            </w:r>
            <w:r>
              <w:rPr>
                <w:spacing w:val="-4"/>
                <w:sz w:val="20"/>
              </w:rPr>
              <w:t> </w:t>
            </w:r>
            <w:r>
              <w:rPr>
                <w:sz w:val="20"/>
              </w:rPr>
              <w:t>808</w:t>
            </w:r>
            <w:r>
              <w:rPr>
                <w:spacing w:val="-4"/>
                <w:sz w:val="20"/>
              </w:rPr>
              <w:t> </w:t>
            </w:r>
            <w:r>
              <w:rPr>
                <w:spacing w:val="-5"/>
                <w:sz w:val="20"/>
              </w:rPr>
              <w:t>314</w:t>
            </w:r>
          </w:p>
        </w:tc>
        <w:tc>
          <w:tcPr>
            <w:tcW w:w="1495" w:type="dxa"/>
          </w:tcPr>
          <w:p>
            <w:pPr>
              <w:pStyle w:val="TableParagraph"/>
              <w:rPr>
                <w:b/>
                <w:sz w:val="20"/>
              </w:rPr>
            </w:pPr>
          </w:p>
          <w:p>
            <w:pPr>
              <w:pStyle w:val="TableParagraph"/>
              <w:spacing w:before="113"/>
              <w:rPr>
                <w:b/>
                <w:sz w:val="20"/>
              </w:rPr>
            </w:pPr>
          </w:p>
          <w:p>
            <w:pPr>
              <w:pStyle w:val="TableParagraph"/>
              <w:ind w:left="68" w:right="310"/>
              <w:rPr>
                <w:sz w:val="20"/>
              </w:rPr>
            </w:pPr>
            <w:r>
              <w:rPr>
                <w:spacing w:val="-2"/>
                <w:sz w:val="20"/>
              </w:rPr>
              <w:t>Monto </w:t>
            </w:r>
            <w:r>
              <w:rPr>
                <w:sz w:val="20"/>
              </w:rPr>
              <w:t>estimado</w:t>
            </w:r>
            <w:r>
              <w:rPr>
                <w:spacing w:val="-14"/>
                <w:sz w:val="20"/>
              </w:rPr>
              <w:t> </w:t>
            </w:r>
            <w:r>
              <w:rPr>
                <w:sz w:val="20"/>
              </w:rPr>
              <w:t>de ingresos</w:t>
            </w:r>
            <w:r>
              <w:rPr>
                <w:spacing w:val="-14"/>
                <w:sz w:val="20"/>
              </w:rPr>
              <w:t> </w:t>
            </w:r>
            <w:r>
              <w:rPr>
                <w:sz w:val="20"/>
              </w:rPr>
              <w:t>por </w:t>
            </w:r>
            <w:r>
              <w:rPr>
                <w:spacing w:val="-2"/>
                <w:sz w:val="20"/>
              </w:rPr>
              <w:t>ventas</w:t>
            </w:r>
          </w:p>
        </w:tc>
        <w:tc>
          <w:tcPr>
            <w:tcW w:w="1276" w:type="dxa"/>
          </w:tcPr>
          <w:p>
            <w:pPr>
              <w:pStyle w:val="TableParagraph"/>
              <w:rPr>
                <w:b/>
                <w:sz w:val="20"/>
              </w:rPr>
            </w:pPr>
          </w:p>
          <w:p>
            <w:pPr>
              <w:pStyle w:val="TableParagraph"/>
              <w:rPr>
                <w:b/>
                <w:sz w:val="20"/>
              </w:rPr>
            </w:pPr>
          </w:p>
          <w:p>
            <w:pPr>
              <w:pStyle w:val="TableParagraph"/>
              <w:spacing w:before="113"/>
              <w:rPr>
                <w:b/>
                <w:sz w:val="20"/>
              </w:rPr>
            </w:pPr>
          </w:p>
          <w:p>
            <w:pPr>
              <w:pStyle w:val="TableParagraph"/>
              <w:ind w:left="71" w:right="199"/>
              <w:rPr>
                <w:sz w:val="20"/>
              </w:rPr>
            </w:pPr>
            <w:r>
              <w:rPr>
                <w:sz w:val="20"/>
              </w:rPr>
              <w:t>Reporte</w:t>
            </w:r>
            <w:r>
              <w:rPr>
                <w:spacing w:val="-14"/>
                <w:sz w:val="20"/>
              </w:rPr>
              <w:t> </w:t>
            </w:r>
            <w:r>
              <w:rPr>
                <w:sz w:val="20"/>
              </w:rPr>
              <w:t>de </w:t>
            </w:r>
            <w:r>
              <w:rPr>
                <w:spacing w:val="-2"/>
                <w:sz w:val="20"/>
              </w:rPr>
              <w:t>Ventas</w:t>
            </w:r>
          </w:p>
        </w:tc>
        <w:tc>
          <w:tcPr>
            <w:tcW w:w="1418" w:type="dxa"/>
          </w:tcPr>
          <w:p>
            <w:pPr>
              <w:pStyle w:val="TableParagraph"/>
              <w:rPr>
                <w:b/>
                <w:sz w:val="20"/>
              </w:rPr>
            </w:pPr>
          </w:p>
          <w:p>
            <w:pPr>
              <w:pStyle w:val="TableParagraph"/>
              <w:spacing w:before="228"/>
              <w:rPr>
                <w:b/>
                <w:sz w:val="20"/>
              </w:rPr>
            </w:pPr>
          </w:p>
          <w:p>
            <w:pPr>
              <w:pStyle w:val="TableParagraph"/>
              <w:ind w:left="69" w:right="293"/>
              <w:jc w:val="both"/>
              <w:rPr>
                <w:sz w:val="20"/>
              </w:rPr>
            </w:pPr>
            <w:r>
              <w:rPr>
                <w:sz w:val="20"/>
              </w:rPr>
              <w:t>Jefatura de Mercadeo</w:t>
            </w:r>
            <w:r>
              <w:rPr>
                <w:spacing w:val="-14"/>
                <w:sz w:val="20"/>
              </w:rPr>
              <w:t> </w:t>
            </w:r>
            <w:r>
              <w:rPr>
                <w:sz w:val="20"/>
              </w:rPr>
              <w:t>y </w:t>
            </w:r>
            <w:r>
              <w:rPr>
                <w:spacing w:val="-2"/>
                <w:sz w:val="20"/>
              </w:rPr>
              <w:t>Ventas</w:t>
            </w:r>
          </w:p>
        </w:tc>
        <w:tc>
          <w:tcPr>
            <w:tcW w:w="1699" w:type="dxa"/>
          </w:tcPr>
          <w:p>
            <w:pPr>
              <w:pStyle w:val="TableParagraph"/>
              <w:rPr>
                <w:rFonts w:ascii="Times New Roman"/>
                <w:sz w:val="20"/>
              </w:rPr>
            </w:pPr>
          </w:p>
        </w:tc>
        <w:tc>
          <w:tcPr>
            <w:tcW w:w="2126" w:type="dxa"/>
          </w:tcPr>
          <w:p>
            <w:pPr>
              <w:pStyle w:val="TableParagraph"/>
              <w:ind w:left="73" w:right="61"/>
              <w:rPr>
                <w:sz w:val="20"/>
              </w:rPr>
            </w:pPr>
            <w:r>
              <w:rPr>
                <w:sz w:val="20"/>
              </w:rPr>
              <w:t>Evento: Los clientes se muestran más cautelosos al momento de adquirir productos</w:t>
            </w:r>
            <w:r>
              <w:rPr>
                <w:spacing w:val="-14"/>
                <w:sz w:val="20"/>
              </w:rPr>
              <w:t> </w:t>
            </w:r>
            <w:r>
              <w:rPr>
                <w:sz w:val="20"/>
              </w:rPr>
              <w:t>debido</w:t>
            </w:r>
            <w:r>
              <w:rPr>
                <w:spacing w:val="-14"/>
                <w:sz w:val="20"/>
              </w:rPr>
              <w:t> </w:t>
            </w:r>
            <w:r>
              <w:rPr>
                <w:sz w:val="20"/>
              </w:rPr>
              <w:t>a</w:t>
            </w:r>
            <w:r>
              <w:rPr>
                <w:spacing w:val="-13"/>
                <w:sz w:val="20"/>
              </w:rPr>
              <w:t> </w:t>
            </w:r>
            <w:r>
              <w:rPr>
                <w:sz w:val="20"/>
              </w:rPr>
              <w:t>la situación económica Global y políticas generadas por los</w:t>
            </w:r>
          </w:p>
          <w:p>
            <w:pPr>
              <w:pStyle w:val="TableParagraph"/>
              <w:spacing w:line="210" w:lineRule="exact"/>
              <w:ind w:left="73"/>
              <w:rPr>
                <w:sz w:val="20"/>
              </w:rPr>
            </w:pPr>
            <w:r>
              <w:rPr>
                <w:sz w:val="20"/>
              </w:rPr>
              <w:t>Estados</w:t>
            </w:r>
            <w:r>
              <w:rPr>
                <w:spacing w:val="-11"/>
                <w:sz w:val="20"/>
              </w:rPr>
              <w:t> </w:t>
            </w:r>
            <w:r>
              <w:rPr>
                <w:spacing w:val="-2"/>
                <w:sz w:val="20"/>
              </w:rPr>
              <w:t>Unidos.</w:t>
            </w:r>
          </w:p>
        </w:tc>
      </w:tr>
      <w:tr>
        <w:trPr>
          <w:trHeight w:val="599" w:hRule="atLeast"/>
        </w:trPr>
        <w:tc>
          <w:tcPr>
            <w:tcW w:w="14741" w:type="dxa"/>
            <w:gridSpan w:val="9"/>
            <w:shd w:val="clear" w:color="auto" w:fill="E0EBF7"/>
          </w:tcPr>
          <w:p>
            <w:pPr>
              <w:pStyle w:val="TableParagraph"/>
              <w:spacing w:before="69"/>
              <w:ind w:left="86"/>
              <w:rPr>
                <w:b/>
                <w:sz w:val="20"/>
              </w:rPr>
            </w:pPr>
            <w:r>
              <w:rPr>
                <w:b/>
                <w:sz w:val="20"/>
              </w:rPr>
              <w:t>Producto</w:t>
            </w:r>
            <w:r>
              <w:rPr>
                <w:b/>
                <w:spacing w:val="-3"/>
                <w:sz w:val="20"/>
              </w:rPr>
              <w:t> </w:t>
            </w:r>
            <w:r>
              <w:rPr>
                <w:b/>
                <w:sz w:val="20"/>
              </w:rPr>
              <w:t>PEC</w:t>
            </w:r>
            <w:r>
              <w:rPr>
                <w:b/>
                <w:spacing w:val="-2"/>
                <w:sz w:val="20"/>
              </w:rPr>
              <w:t> </w:t>
            </w:r>
            <w:r>
              <w:rPr>
                <w:b/>
                <w:sz w:val="20"/>
              </w:rPr>
              <w:t>3.2.</w:t>
            </w:r>
            <w:r>
              <w:rPr>
                <w:b/>
                <w:spacing w:val="-2"/>
                <w:sz w:val="20"/>
              </w:rPr>
              <w:t> </w:t>
            </w:r>
            <w:r>
              <w:rPr>
                <w:b/>
                <w:sz w:val="20"/>
              </w:rPr>
              <w:t>Instalaciones</w:t>
            </w:r>
            <w:r>
              <w:rPr>
                <w:b/>
                <w:spacing w:val="-3"/>
                <w:sz w:val="20"/>
              </w:rPr>
              <w:t> </w:t>
            </w:r>
            <w:r>
              <w:rPr>
                <w:b/>
                <w:sz w:val="20"/>
              </w:rPr>
              <w:t>remodeladas</w:t>
            </w:r>
            <w:r>
              <w:rPr>
                <w:b/>
                <w:spacing w:val="-2"/>
                <w:sz w:val="20"/>
              </w:rPr>
              <w:t> </w:t>
            </w:r>
            <w:r>
              <w:rPr>
                <w:b/>
                <w:sz w:val="20"/>
              </w:rPr>
              <w:t>y</w:t>
            </w:r>
            <w:r>
              <w:rPr>
                <w:b/>
                <w:spacing w:val="-4"/>
                <w:sz w:val="20"/>
              </w:rPr>
              <w:t> </w:t>
            </w:r>
            <w:r>
              <w:rPr>
                <w:b/>
                <w:sz w:val="20"/>
              </w:rPr>
              <w:t>ampliadas,</w:t>
            </w:r>
            <w:r>
              <w:rPr>
                <w:b/>
                <w:spacing w:val="-2"/>
                <w:sz w:val="20"/>
              </w:rPr>
              <w:t> </w:t>
            </w:r>
            <w:r>
              <w:rPr>
                <w:b/>
                <w:sz w:val="20"/>
              </w:rPr>
              <w:t>adecuadas</w:t>
            </w:r>
            <w:r>
              <w:rPr>
                <w:b/>
                <w:spacing w:val="-2"/>
                <w:sz w:val="20"/>
              </w:rPr>
              <w:t> </w:t>
            </w:r>
            <w:r>
              <w:rPr>
                <w:b/>
                <w:sz w:val="20"/>
              </w:rPr>
              <w:t>a</w:t>
            </w:r>
            <w:r>
              <w:rPr>
                <w:b/>
                <w:spacing w:val="-4"/>
                <w:sz w:val="20"/>
              </w:rPr>
              <w:t> </w:t>
            </w:r>
            <w:r>
              <w:rPr>
                <w:b/>
                <w:sz w:val="20"/>
              </w:rPr>
              <w:t>la</w:t>
            </w:r>
            <w:r>
              <w:rPr>
                <w:b/>
                <w:spacing w:val="-2"/>
                <w:sz w:val="20"/>
              </w:rPr>
              <w:t> </w:t>
            </w:r>
            <w:r>
              <w:rPr>
                <w:b/>
                <w:sz w:val="20"/>
              </w:rPr>
              <w:t>naturaleza</w:t>
            </w:r>
            <w:r>
              <w:rPr>
                <w:b/>
                <w:spacing w:val="-4"/>
                <w:sz w:val="20"/>
              </w:rPr>
              <w:t> </w:t>
            </w:r>
            <w:r>
              <w:rPr>
                <w:b/>
                <w:sz w:val="20"/>
              </w:rPr>
              <w:t>del</w:t>
            </w:r>
            <w:r>
              <w:rPr>
                <w:b/>
                <w:spacing w:val="-4"/>
                <w:sz w:val="20"/>
              </w:rPr>
              <w:t> </w:t>
            </w:r>
            <w:r>
              <w:rPr>
                <w:b/>
                <w:sz w:val="20"/>
              </w:rPr>
              <w:t>negocio</w:t>
            </w:r>
            <w:r>
              <w:rPr>
                <w:b/>
                <w:spacing w:val="-4"/>
                <w:sz w:val="20"/>
              </w:rPr>
              <w:t> </w:t>
            </w:r>
            <w:r>
              <w:rPr>
                <w:b/>
                <w:sz w:val="20"/>
              </w:rPr>
              <w:t>y</w:t>
            </w:r>
            <w:r>
              <w:rPr>
                <w:b/>
                <w:spacing w:val="-2"/>
                <w:sz w:val="20"/>
              </w:rPr>
              <w:t> </w:t>
            </w:r>
            <w:r>
              <w:rPr>
                <w:b/>
                <w:sz w:val="20"/>
              </w:rPr>
              <w:t>el</w:t>
            </w:r>
            <w:r>
              <w:rPr>
                <w:b/>
                <w:spacing w:val="-2"/>
                <w:sz w:val="20"/>
              </w:rPr>
              <w:t> </w:t>
            </w:r>
            <w:r>
              <w:rPr>
                <w:b/>
                <w:sz w:val="20"/>
              </w:rPr>
              <w:t>mercado</w:t>
            </w:r>
            <w:r>
              <w:rPr>
                <w:b/>
                <w:spacing w:val="-3"/>
                <w:sz w:val="20"/>
              </w:rPr>
              <w:t> </w:t>
            </w:r>
            <w:r>
              <w:rPr>
                <w:b/>
                <w:sz w:val="20"/>
              </w:rPr>
              <w:t>que</w:t>
            </w:r>
            <w:r>
              <w:rPr>
                <w:b/>
                <w:spacing w:val="-4"/>
                <w:sz w:val="20"/>
              </w:rPr>
              <w:t> </w:t>
            </w:r>
            <w:r>
              <w:rPr>
                <w:b/>
                <w:sz w:val="20"/>
              </w:rPr>
              <w:t>se</w:t>
            </w:r>
            <w:r>
              <w:rPr>
                <w:b/>
                <w:spacing w:val="-4"/>
                <w:sz w:val="20"/>
              </w:rPr>
              <w:t> </w:t>
            </w:r>
            <w:r>
              <w:rPr>
                <w:b/>
                <w:sz w:val="20"/>
              </w:rPr>
              <w:t>atiende,</w:t>
            </w:r>
            <w:r>
              <w:rPr>
                <w:b/>
                <w:spacing w:val="-2"/>
                <w:sz w:val="20"/>
              </w:rPr>
              <w:t> </w:t>
            </w:r>
            <w:r>
              <w:rPr>
                <w:b/>
                <w:sz w:val="20"/>
              </w:rPr>
              <w:t>para</w:t>
            </w:r>
            <w:r>
              <w:rPr>
                <w:b/>
                <w:spacing w:val="-4"/>
                <w:sz w:val="20"/>
              </w:rPr>
              <w:t> </w:t>
            </w:r>
            <w:r>
              <w:rPr>
                <w:b/>
                <w:sz w:val="20"/>
              </w:rPr>
              <w:t>potenciar</w:t>
            </w:r>
            <w:r>
              <w:rPr>
                <w:b/>
                <w:spacing w:val="-3"/>
                <w:sz w:val="20"/>
              </w:rPr>
              <w:t> </w:t>
            </w:r>
            <w:r>
              <w:rPr>
                <w:b/>
                <w:sz w:val="20"/>
              </w:rPr>
              <w:t>la generación de ventas (E5 AE3 R1)</w:t>
            </w:r>
          </w:p>
        </w:tc>
      </w:tr>
      <w:tr>
        <w:trPr>
          <w:trHeight w:val="1347" w:hRule="atLeast"/>
        </w:trPr>
        <w:tc>
          <w:tcPr>
            <w:tcW w:w="3120" w:type="dxa"/>
            <w:gridSpan w:val="2"/>
          </w:tcPr>
          <w:p>
            <w:pPr>
              <w:pStyle w:val="TableParagraph"/>
              <w:spacing w:before="230"/>
              <w:ind w:left="69"/>
              <w:rPr>
                <w:b/>
                <w:sz w:val="20"/>
              </w:rPr>
            </w:pPr>
            <w:r>
              <w:rPr>
                <w:b/>
                <w:sz w:val="20"/>
              </w:rPr>
              <w:t>Actividad</w:t>
            </w:r>
            <w:r>
              <w:rPr>
                <w:b/>
                <w:spacing w:val="-6"/>
                <w:sz w:val="20"/>
              </w:rPr>
              <w:t> </w:t>
            </w:r>
            <w:r>
              <w:rPr>
                <w:b/>
                <w:sz w:val="20"/>
              </w:rPr>
              <w:t>PEC</w:t>
            </w:r>
            <w:r>
              <w:rPr>
                <w:b/>
                <w:spacing w:val="-8"/>
                <w:sz w:val="20"/>
              </w:rPr>
              <w:t> </w:t>
            </w:r>
            <w:r>
              <w:rPr>
                <w:b/>
                <w:spacing w:val="-2"/>
                <w:sz w:val="20"/>
              </w:rPr>
              <w:t>3.2.1:</w:t>
            </w:r>
          </w:p>
          <w:p>
            <w:pPr>
              <w:pStyle w:val="TableParagraph"/>
              <w:ind w:left="69"/>
              <w:rPr>
                <w:sz w:val="20"/>
              </w:rPr>
            </w:pPr>
            <w:r>
              <w:rPr>
                <w:sz w:val="20"/>
              </w:rPr>
              <w:t>Remodelación</w:t>
            </w:r>
            <w:r>
              <w:rPr>
                <w:spacing w:val="-14"/>
                <w:sz w:val="20"/>
              </w:rPr>
              <w:t> </w:t>
            </w:r>
            <w:r>
              <w:rPr>
                <w:sz w:val="20"/>
              </w:rPr>
              <w:t>Tienda</w:t>
            </w:r>
            <w:r>
              <w:rPr>
                <w:spacing w:val="-13"/>
                <w:sz w:val="20"/>
              </w:rPr>
              <w:t> </w:t>
            </w:r>
            <w:r>
              <w:rPr>
                <w:spacing w:val="-5"/>
                <w:sz w:val="20"/>
              </w:rPr>
              <w:t>#19</w:t>
            </w:r>
          </w:p>
          <w:p>
            <w:pPr>
              <w:pStyle w:val="TableParagraph"/>
              <w:ind w:left="69"/>
              <w:rPr>
                <w:sz w:val="20"/>
              </w:rPr>
            </w:pPr>
            <w:r>
              <w:rPr>
                <w:sz w:val="20"/>
              </w:rPr>
              <w:t>(1.04.03</w:t>
            </w:r>
            <w:r>
              <w:rPr>
                <w:spacing w:val="-7"/>
                <w:sz w:val="20"/>
              </w:rPr>
              <w:t> </w:t>
            </w:r>
            <w:r>
              <w:rPr>
                <w:sz w:val="20"/>
              </w:rPr>
              <w:t>21</w:t>
            </w:r>
            <w:r>
              <w:rPr>
                <w:spacing w:val="-7"/>
                <w:sz w:val="20"/>
              </w:rPr>
              <w:t> </w:t>
            </w:r>
            <w:r>
              <w:rPr>
                <w:sz w:val="20"/>
              </w:rPr>
              <w:t>millones</w:t>
            </w:r>
            <w:r>
              <w:rPr>
                <w:spacing w:val="-6"/>
                <w:sz w:val="20"/>
              </w:rPr>
              <w:t> </w:t>
            </w:r>
            <w:r>
              <w:rPr>
                <w:sz w:val="20"/>
              </w:rPr>
              <w:t>y</w:t>
            </w:r>
            <w:r>
              <w:rPr>
                <w:spacing w:val="-5"/>
                <w:sz w:val="20"/>
              </w:rPr>
              <w:t> </w:t>
            </w:r>
            <w:r>
              <w:rPr>
                <w:spacing w:val="-2"/>
                <w:sz w:val="20"/>
              </w:rPr>
              <w:t>1.08.01</w:t>
            </w:r>
          </w:p>
          <w:p>
            <w:pPr>
              <w:pStyle w:val="TableParagraph"/>
              <w:spacing w:before="1"/>
              <w:ind w:left="69"/>
              <w:rPr>
                <w:sz w:val="20"/>
              </w:rPr>
            </w:pPr>
            <w:r>
              <w:rPr>
                <w:sz w:val="20"/>
              </w:rPr>
              <w:t>300</w:t>
            </w:r>
            <w:r>
              <w:rPr>
                <w:spacing w:val="-5"/>
                <w:sz w:val="20"/>
              </w:rPr>
              <w:t> </w:t>
            </w:r>
            <w:r>
              <w:rPr>
                <w:spacing w:val="-2"/>
                <w:sz w:val="20"/>
              </w:rPr>
              <w:t>millones)</w:t>
            </w:r>
          </w:p>
        </w:tc>
        <w:tc>
          <w:tcPr>
            <w:tcW w:w="1841" w:type="dxa"/>
          </w:tcPr>
          <w:p>
            <w:pPr>
              <w:pStyle w:val="TableParagraph"/>
              <w:rPr>
                <w:b/>
                <w:sz w:val="20"/>
              </w:rPr>
            </w:pPr>
          </w:p>
          <w:p>
            <w:pPr>
              <w:pStyle w:val="TableParagraph"/>
              <w:spacing w:before="115"/>
              <w:rPr>
                <w:b/>
                <w:sz w:val="20"/>
              </w:rPr>
            </w:pPr>
          </w:p>
          <w:p>
            <w:pPr>
              <w:pStyle w:val="TableParagraph"/>
              <w:ind w:left="8" w:right="3"/>
              <w:jc w:val="center"/>
              <w:rPr>
                <w:sz w:val="20"/>
              </w:rPr>
            </w:pPr>
            <w:r>
              <w:rPr>
                <w:spacing w:val="-5"/>
                <w:sz w:val="20"/>
              </w:rPr>
              <w:t>N/D</w:t>
            </w:r>
          </w:p>
        </w:tc>
        <w:tc>
          <w:tcPr>
            <w:tcW w:w="1766" w:type="dxa"/>
          </w:tcPr>
          <w:p>
            <w:pPr>
              <w:pStyle w:val="TableParagraph"/>
              <w:rPr>
                <w:b/>
                <w:sz w:val="20"/>
              </w:rPr>
            </w:pPr>
          </w:p>
          <w:p>
            <w:pPr>
              <w:pStyle w:val="TableParagraph"/>
              <w:spacing w:before="115"/>
              <w:rPr>
                <w:b/>
                <w:sz w:val="20"/>
              </w:rPr>
            </w:pPr>
          </w:p>
          <w:p>
            <w:pPr>
              <w:pStyle w:val="TableParagraph"/>
              <w:ind w:left="121" w:right="114"/>
              <w:jc w:val="center"/>
              <w:rPr>
                <w:b/>
                <w:sz w:val="20"/>
              </w:rPr>
            </w:pPr>
            <w:r>
              <w:rPr>
                <w:b/>
                <w:spacing w:val="-10"/>
                <w:sz w:val="20"/>
              </w:rPr>
              <w:t>1</w:t>
            </w:r>
          </w:p>
        </w:tc>
        <w:tc>
          <w:tcPr>
            <w:tcW w:w="1495" w:type="dxa"/>
          </w:tcPr>
          <w:p>
            <w:pPr>
              <w:pStyle w:val="TableParagraph"/>
              <w:spacing w:before="115"/>
              <w:rPr>
                <w:b/>
                <w:sz w:val="20"/>
              </w:rPr>
            </w:pPr>
          </w:p>
          <w:p>
            <w:pPr>
              <w:pStyle w:val="TableParagraph"/>
              <w:tabs>
                <w:tab w:pos="1200" w:val="left" w:leader="none"/>
              </w:tabs>
              <w:ind w:left="68" w:right="61"/>
              <w:rPr>
                <w:sz w:val="20"/>
              </w:rPr>
            </w:pPr>
            <w:r>
              <w:rPr>
                <w:spacing w:val="-2"/>
                <w:sz w:val="20"/>
              </w:rPr>
              <w:t>Cantidad</w:t>
            </w:r>
            <w:r>
              <w:rPr>
                <w:sz w:val="20"/>
              </w:rPr>
              <w:tab/>
            </w:r>
            <w:r>
              <w:rPr>
                <w:spacing w:val="-6"/>
                <w:sz w:val="20"/>
              </w:rPr>
              <w:t>de </w:t>
            </w:r>
            <w:r>
              <w:rPr>
                <w:spacing w:val="-2"/>
                <w:sz w:val="20"/>
              </w:rPr>
              <w:t>tiendas remodeladas</w:t>
            </w:r>
          </w:p>
        </w:tc>
        <w:tc>
          <w:tcPr>
            <w:tcW w:w="1276" w:type="dxa"/>
          </w:tcPr>
          <w:p>
            <w:pPr>
              <w:pStyle w:val="TableParagraph"/>
              <w:rPr>
                <w:b/>
                <w:sz w:val="20"/>
              </w:rPr>
            </w:pPr>
          </w:p>
          <w:p>
            <w:pPr>
              <w:pStyle w:val="TableParagraph"/>
              <w:rPr>
                <w:b/>
                <w:sz w:val="20"/>
              </w:rPr>
            </w:pPr>
          </w:p>
          <w:p>
            <w:pPr>
              <w:pStyle w:val="TableParagraph"/>
              <w:ind w:left="71"/>
              <w:rPr>
                <w:sz w:val="20"/>
              </w:rPr>
            </w:pPr>
            <w:r>
              <w:rPr>
                <w:spacing w:val="-2"/>
                <w:sz w:val="20"/>
              </w:rPr>
              <w:t>Informe Trimestral</w:t>
            </w:r>
          </w:p>
        </w:tc>
        <w:tc>
          <w:tcPr>
            <w:tcW w:w="1418" w:type="dxa"/>
          </w:tcPr>
          <w:p>
            <w:pPr>
              <w:pStyle w:val="TableParagraph"/>
              <w:ind w:left="69" w:right="73"/>
              <w:rPr>
                <w:sz w:val="20"/>
              </w:rPr>
            </w:pPr>
            <w:r>
              <w:rPr>
                <w:spacing w:val="-2"/>
                <w:sz w:val="20"/>
              </w:rPr>
              <w:t>Administració </w:t>
            </w:r>
            <w:r>
              <w:rPr>
                <w:sz w:val="20"/>
              </w:rPr>
              <w:t>n General Jefatura de Mercadeo y </w:t>
            </w:r>
            <w:r>
              <w:rPr>
                <w:spacing w:val="-2"/>
                <w:sz w:val="20"/>
              </w:rPr>
              <w:t>Ventas</w:t>
            </w:r>
          </w:p>
        </w:tc>
        <w:tc>
          <w:tcPr>
            <w:tcW w:w="1699" w:type="dxa"/>
          </w:tcPr>
          <w:p>
            <w:pPr>
              <w:pStyle w:val="TableParagraph"/>
              <w:rPr>
                <w:b/>
                <w:sz w:val="20"/>
              </w:rPr>
            </w:pPr>
          </w:p>
          <w:p>
            <w:pPr>
              <w:pStyle w:val="TableParagraph"/>
              <w:spacing w:before="115"/>
              <w:rPr>
                <w:b/>
                <w:sz w:val="20"/>
              </w:rPr>
            </w:pPr>
          </w:p>
          <w:p>
            <w:pPr>
              <w:pStyle w:val="TableParagraph"/>
              <w:ind w:right="56"/>
              <w:jc w:val="right"/>
              <w:rPr>
                <w:sz w:val="20"/>
              </w:rPr>
            </w:pPr>
            <w:r>
              <w:rPr>
                <w:sz w:val="20"/>
              </w:rPr>
              <w:t>₡321</w:t>
            </w:r>
            <w:r>
              <w:rPr>
                <w:spacing w:val="-6"/>
                <w:sz w:val="20"/>
              </w:rPr>
              <w:t> </w:t>
            </w:r>
            <w:r>
              <w:rPr>
                <w:sz w:val="20"/>
              </w:rPr>
              <w:t>000</w:t>
            </w:r>
            <w:r>
              <w:rPr>
                <w:spacing w:val="-6"/>
                <w:sz w:val="20"/>
              </w:rPr>
              <w:t> </w:t>
            </w:r>
            <w:r>
              <w:rPr>
                <w:spacing w:val="-5"/>
                <w:sz w:val="20"/>
              </w:rPr>
              <w:t>000</w:t>
            </w:r>
          </w:p>
        </w:tc>
        <w:tc>
          <w:tcPr>
            <w:tcW w:w="2126" w:type="dxa"/>
            <w:vMerge w:val="restart"/>
            <w:tcBorders>
              <w:bottom w:val="thickThinMediumGap" w:sz="9" w:space="0" w:color="808080"/>
            </w:tcBorders>
          </w:tcPr>
          <w:p>
            <w:pPr>
              <w:pStyle w:val="TableParagraph"/>
              <w:rPr>
                <w:b/>
                <w:sz w:val="20"/>
              </w:rPr>
            </w:pPr>
          </w:p>
          <w:p>
            <w:pPr>
              <w:pStyle w:val="TableParagraph"/>
              <w:spacing w:before="5"/>
              <w:rPr>
                <w:b/>
                <w:sz w:val="20"/>
              </w:rPr>
            </w:pPr>
          </w:p>
          <w:p>
            <w:pPr>
              <w:pStyle w:val="TableParagraph"/>
              <w:ind w:left="73" w:right="152"/>
              <w:rPr>
                <w:sz w:val="20"/>
              </w:rPr>
            </w:pPr>
            <w:r>
              <w:rPr>
                <w:sz w:val="20"/>
              </w:rPr>
              <w:t>Evento: Retrasos en los Proyectos de remodelaciones</w:t>
            </w:r>
            <w:r>
              <w:rPr>
                <w:spacing w:val="80"/>
                <w:sz w:val="20"/>
              </w:rPr>
              <w:t> </w:t>
            </w:r>
            <w:r>
              <w:rPr>
                <w:sz w:val="20"/>
              </w:rPr>
              <w:t>en las</w:t>
            </w:r>
            <w:r>
              <w:rPr>
                <w:spacing w:val="-11"/>
                <w:sz w:val="20"/>
              </w:rPr>
              <w:t> </w:t>
            </w:r>
            <w:r>
              <w:rPr>
                <w:sz w:val="20"/>
              </w:rPr>
              <w:t>tiendas</w:t>
            </w:r>
            <w:r>
              <w:rPr>
                <w:spacing w:val="-11"/>
                <w:sz w:val="20"/>
              </w:rPr>
              <w:t> </w:t>
            </w:r>
            <w:r>
              <w:rPr>
                <w:sz w:val="20"/>
              </w:rPr>
              <w:t>de</w:t>
            </w:r>
            <w:r>
              <w:rPr>
                <w:spacing w:val="-11"/>
                <w:sz w:val="20"/>
              </w:rPr>
              <w:t> </w:t>
            </w:r>
            <w:r>
              <w:rPr>
                <w:sz w:val="20"/>
              </w:rPr>
              <w:t>EC</w:t>
            </w:r>
            <w:r>
              <w:rPr>
                <w:spacing w:val="-10"/>
                <w:sz w:val="20"/>
              </w:rPr>
              <w:t> </w:t>
            </w:r>
            <w:r>
              <w:rPr>
                <w:sz w:val="20"/>
              </w:rPr>
              <w:t>del </w:t>
            </w:r>
            <w:r>
              <w:rPr>
                <w:spacing w:val="-4"/>
                <w:sz w:val="20"/>
              </w:rPr>
              <w:t>IMAS</w:t>
            </w:r>
          </w:p>
        </w:tc>
      </w:tr>
      <w:tr>
        <w:trPr>
          <w:trHeight w:val="648" w:hRule="atLeast"/>
        </w:trPr>
        <w:tc>
          <w:tcPr>
            <w:tcW w:w="3120" w:type="dxa"/>
            <w:gridSpan w:val="2"/>
            <w:tcBorders>
              <w:bottom w:val="nil"/>
            </w:tcBorders>
          </w:tcPr>
          <w:p>
            <w:pPr>
              <w:pStyle w:val="TableParagraph"/>
              <w:spacing w:line="197" w:lineRule="exact"/>
              <w:ind w:left="69"/>
              <w:rPr>
                <w:b/>
                <w:sz w:val="20"/>
              </w:rPr>
            </w:pPr>
            <w:r>
              <w:rPr>
                <w:b/>
                <w:sz w:val="20"/>
              </w:rPr>
              <w:t>Actividad</w:t>
            </w:r>
            <w:r>
              <w:rPr>
                <w:b/>
                <w:spacing w:val="-6"/>
                <w:sz w:val="20"/>
              </w:rPr>
              <w:t> </w:t>
            </w:r>
            <w:r>
              <w:rPr>
                <w:b/>
                <w:sz w:val="20"/>
              </w:rPr>
              <w:t>PEC</w:t>
            </w:r>
            <w:r>
              <w:rPr>
                <w:b/>
                <w:spacing w:val="-8"/>
                <w:sz w:val="20"/>
              </w:rPr>
              <w:t> </w:t>
            </w:r>
            <w:r>
              <w:rPr>
                <w:b/>
                <w:spacing w:val="-2"/>
                <w:sz w:val="20"/>
              </w:rPr>
              <w:t>3.2.2:</w:t>
            </w:r>
          </w:p>
          <w:p>
            <w:pPr>
              <w:pStyle w:val="TableParagraph"/>
              <w:spacing w:line="230" w:lineRule="atLeast"/>
              <w:ind w:left="69"/>
              <w:rPr>
                <w:sz w:val="20"/>
              </w:rPr>
            </w:pPr>
            <w:r>
              <w:rPr>
                <w:sz w:val="20"/>
              </w:rPr>
              <w:t>Remodelación</w:t>
            </w:r>
            <w:r>
              <w:rPr>
                <w:spacing w:val="-14"/>
                <w:sz w:val="20"/>
              </w:rPr>
              <w:t> </w:t>
            </w:r>
            <w:r>
              <w:rPr>
                <w:sz w:val="20"/>
              </w:rPr>
              <w:t>área</w:t>
            </w:r>
            <w:r>
              <w:rPr>
                <w:spacing w:val="-13"/>
                <w:sz w:val="20"/>
              </w:rPr>
              <w:t> </w:t>
            </w:r>
            <w:r>
              <w:rPr>
                <w:sz w:val="20"/>
              </w:rPr>
              <w:t>de</w:t>
            </w:r>
            <w:r>
              <w:rPr>
                <w:spacing w:val="-14"/>
                <w:sz w:val="20"/>
              </w:rPr>
              <w:t> </w:t>
            </w:r>
            <w:r>
              <w:rPr>
                <w:sz w:val="20"/>
              </w:rPr>
              <w:t>cajas Tienda #13 (1.08.01)</w:t>
            </w:r>
          </w:p>
        </w:tc>
        <w:tc>
          <w:tcPr>
            <w:tcW w:w="1841" w:type="dxa"/>
            <w:tcBorders>
              <w:bottom w:val="thickThinMediumGap" w:sz="9" w:space="0" w:color="808080"/>
            </w:tcBorders>
          </w:tcPr>
          <w:p>
            <w:pPr>
              <w:pStyle w:val="TableParagraph"/>
              <w:spacing w:before="197"/>
              <w:ind w:left="8" w:right="3"/>
              <w:jc w:val="center"/>
              <w:rPr>
                <w:sz w:val="20"/>
              </w:rPr>
            </w:pPr>
            <w:r>
              <w:rPr>
                <w:spacing w:val="-5"/>
                <w:sz w:val="20"/>
              </w:rPr>
              <w:t>N/D</w:t>
            </w:r>
          </w:p>
        </w:tc>
        <w:tc>
          <w:tcPr>
            <w:tcW w:w="1766" w:type="dxa"/>
            <w:tcBorders>
              <w:bottom w:val="thickThinMediumGap" w:sz="9" w:space="0" w:color="808080"/>
            </w:tcBorders>
          </w:tcPr>
          <w:p>
            <w:pPr>
              <w:pStyle w:val="TableParagraph"/>
              <w:spacing w:before="197"/>
              <w:ind w:left="121" w:right="114"/>
              <w:jc w:val="center"/>
              <w:rPr>
                <w:sz w:val="20"/>
              </w:rPr>
            </w:pPr>
            <w:r>
              <w:rPr>
                <w:spacing w:val="-10"/>
                <w:sz w:val="20"/>
              </w:rPr>
              <w:t>1</w:t>
            </w:r>
          </w:p>
        </w:tc>
        <w:tc>
          <w:tcPr>
            <w:tcW w:w="1495" w:type="dxa"/>
            <w:tcBorders>
              <w:bottom w:val="thickThinMediumGap" w:sz="9" w:space="0" w:color="808080"/>
            </w:tcBorders>
          </w:tcPr>
          <w:p>
            <w:pPr>
              <w:pStyle w:val="TableParagraph"/>
              <w:spacing w:line="197" w:lineRule="exact"/>
              <w:ind w:left="68"/>
              <w:rPr>
                <w:sz w:val="20"/>
              </w:rPr>
            </w:pPr>
            <w:r>
              <w:rPr>
                <w:sz w:val="20"/>
              </w:rPr>
              <w:t>Cantidad</w:t>
            </w:r>
            <w:r>
              <w:rPr>
                <w:spacing w:val="-12"/>
                <w:sz w:val="20"/>
              </w:rPr>
              <w:t> </w:t>
            </w:r>
            <w:r>
              <w:rPr>
                <w:spacing w:val="-5"/>
                <w:sz w:val="20"/>
              </w:rPr>
              <w:t>de</w:t>
            </w:r>
          </w:p>
          <w:p>
            <w:pPr>
              <w:pStyle w:val="TableParagraph"/>
              <w:spacing w:line="230" w:lineRule="atLeast"/>
              <w:ind w:left="68"/>
              <w:rPr>
                <w:sz w:val="20"/>
              </w:rPr>
            </w:pPr>
            <w:r>
              <w:rPr>
                <w:spacing w:val="-2"/>
                <w:sz w:val="20"/>
              </w:rPr>
              <w:t>tiendas remodeladas</w:t>
            </w:r>
          </w:p>
        </w:tc>
        <w:tc>
          <w:tcPr>
            <w:tcW w:w="1276" w:type="dxa"/>
            <w:tcBorders>
              <w:bottom w:val="thickThinMediumGap" w:sz="9" w:space="0" w:color="808080"/>
            </w:tcBorders>
          </w:tcPr>
          <w:p>
            <w:pPr>
              <w:pStyle w:val="TableParagraph"/>
              <w:spacing w:before="82"/>
              <w:ind w:left="71"/>
              <w:rPr>
                <w:sz w:val="20"/>
              </w:rPr>
            </w:pPr>
            <w:r>
              <w:rPr>
                <w:spacing w:val="-2"/>
                <w:sz w:val="20"/>
              </w:rPr>
              <w:t>Informe Trimestral</w:t>
            </w:r>
          </w:p>
        </w:tc>
        <w:tc>
          <w:tcPr>
            <w:tcW w:w="1418" w:type="dxa"/>
            <w:tcBorders>
              <w:bottom w:val="thickThinMediumGap" w:sz="9" w:space="0" w:color="808080"/>
            </w:tcBorders>
          </w:tcPr>
          <w:p>
            <w:pPr>
              <w:pStyle w:val="TableParagraph"/>
              <w:spacing w:line="197" w:lineRule="exact"/>
              <w:ind w:left="69"/>
              <w:rPr>
                <w:sz w:val="20"/>
              </w:rPr>
            </w:pPr>
            <w:r>
              <w:rPr>
                <w:spacing w:val="-2"/>
                <w:sz w:val="20"/>
              </w:rPr>
              <w:t>Administració</w:t>
            </w:r>
          </w:p>
          <w:p>
            <w:pPr>
              <w:pStyle w:val="TableParagraph"/>
              <w:spacing w:line="230" w:lineRule="atLeast"/>
              <w:ind w:left="69" w:right="332"/>
              <w:rPr>
                <w:sz w:val="20"/>
              </w:rPr>
            </w:pPr>
            <w:r>
              <w:rPr>
                <w:sz w:val="20"/>
              </w:rPr>
              <w:t>n General Jefatura</w:t>
            </w:r>
            <w:r>
              <w:rPr>
                <w:spacing w:val="-14"/>
                <w:sz w:val="20"/>
              </w:rPr>
              <w:t> </w:t>
            </w:r>
            <w:r>
              <w:rPr>
                <w:sz w:val="20"/>
              </w:rPr>
              <w:t>de</w:t>
            </w:r>
          </w:p>
        </w:tc>
        <w:tc>
          <w:tcPr>
            <w:tcW w:w="1699" w:type="dxa"/>
            <w:tcBorders>
              <w:bottom w:val="thickThinMediumGap" w:sz="9" w:space="0" w:color="808080"/>
            </w:tcBorders>
          </w:tcPr>
          <w:p>
            <w:pPr>
              <w:pStyle w:val="TableParagraph"/>
              <w:spacing w:before="197"/>
              <w:ind w:right="56"/>
              <w:jc w:val="right"/>
              <w:rPr>
                <w:sz w:val="20"/>
              </w:rPr>
            </w:pPr>
            <w:r>
              <w:rPr>
                <w:sz w:val="20"/>
              </w:rPr>
              <w:t>₡35</w:t>
            </w:r>
            <w:r>
              <w:rPr>
                <w:spacing w:val="-8"/>
                <w:sz w:val="20"/>
              </w:rPr>
              <w:t> </w:t>
            </w:r>
            <w:r>
              <w:rPr>
                <w:sz w:val="20"/>
              </w:rPr>
              <w:t>000</w:t>
            </w:r>
            <w:r>
              <w:rPr>
                <w:spacing w:val="-3"/>
                <w:sz w:val="20"/>
              </w:rPr>
              <w:t> </w:t>
            </w:r>
            <w:r>
              <w:rPr>
                <w:spacing w:val="-5"/>
                <w:sz w:val="20"/>
              </w:rPr>
              <w:t>000</w:t>
            </w:r>
          </w:p>
        </w:tc>
        <w:tc>
          <w:tcPr>
            <w:tcW w:w="2126" w:type="dxa"/>
            <w:vMerge/>
            <w:tcBorders>
              <w:top w:val="nil"/>
              <w:bottom w:val="thickThinMediumGap" w:sz="9" w:space="0" w:color="808080"/>
            </w:tcBorders>
          </w:tcPr>
          <w:p>
            <w:pPr>
              <w:rPr>
                <w:sz w:val="2"/>
                <w:szCs w:val="2"/>
              </w:rPr>
            </w:pPr>
          </w:p>
        </w:tc>
      </w:tr>
      <w:tr>
        <w:trPr>
          <w:trHeight w:val="1088" w:hRule="atLeast"/>
        </w:trPr>
        <w:tc>
          <w:tcPr>
            <w:tcW w:w="2201" w:type="dxa"/>
            <w:tcBorders>
              <w:top w:val="thinThickMediumGap" w:sz="9" w:space="0" w:color="808080"/>
              <w:left w:val="nil"/>
              <w:bottom w:val="nil"/>
              <w:right w:val="single" w:sz="18" w:space="0" w:color="808080"/>
            </w:tcBorders>
          </w:tcPr>
          <w:p>
            <w:pPr>
              <w:pStyle w:val="TableParagraph"/>
              <w:spacing w:line="261" w:lineRule="exact"/>
              <w:ind w:left="154"/>
              <w:jc w:val="center"/>
              <w:rPr>
                <w:b/>
                <w:sz w:val="24"/>
              </w:rPr>
            </w:pPr>
            <w:r>
              <w:rPr>
                <w:b/>
                <w:spacing w:val="-5"/>
                <w:sz w:val="24"/>
              </w:rPr>
              <w:t>156</w:t>
            </w:r>
          </w:p>
        </w:tc>
        <w:tc>
          <w:tcPr>
            <w:tcW w:w="12540" w:type="dxa"/>
            <w:gridSpan w:val="8"/>
            <w:tcBorders>
              <w:top w:val="nil"/>
              <w:left w:val="single" w:sz="18" w:space="0" w:color="808080"/>
              <w:bottom w:val="nil"/>
              <w:right w:val="nil"/>
            </w:tcBorders>
          </w:tcPr>
          <w:p>
            <w:pPr>
              <w:pStyle w:val="TableParagraph"/>
              <w:spacing w:line="261" w:lineRule="exact"/>
              <w:ind w:left="88"/>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c>
      </w:tr>
    </w:tbl>
    <w:p>
      <w:pPr>
        <w:pStyle w:val="TableParagraph"/>
        <w:spacing w:after="0" w:line="261" w:lineRule="exact"/>
        <w:rPr>
          <w:b/>
          <w:i/>
          <w:sz w:val="24"/>
        </w:rPr>
        <w:sectPr>
          <w:footerReference w:type="default" r:id="rId54"/>
          <w:pgSz w:w="15840" w:h="12240" w:orient="landscape"/>
          <w:pgMar w:header="0" w:footer="0" w:top="1380" w:bottom="280" w:left="360" w:right="360"/>
        </w:sectPr>
      </w:pPr>
    </w:p>
    <w:p>
      <w:pPr>
        <w:pStyle w:val="BodyText"/>
        <w:spacing w:before="7" w:after="1"/>
        <w:rPr>
          <w:b/>
          <w:sz w:val="15"/>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20"/>
        <w:gridCol w:w="1841"/>
        <w:gridCol w:w="1766"/>
        <w:gridCol w:w="1495"/>
        <w:gridCol w:w="1276"/>
        <w:gridCol w:w="1418"/>
        <w:gridCol w:w="1697"/>
        <w:gridCol w:w="2129"/>
      </w:tblGrid>
      <w:tr>
        <w:trPr>
          <w:trHeight w:val="875" w:hRule="atLeast"/>
        </w:trPr>
        <w:tc>
          <w:tcPr>
            <w:tcW w:w="3120" w:type="dxa"/>
            <w:shd w:val="clear" w:color="auto" w:fill="D7D7D7"/>
          </w:tcPr>
          <w:p>
            <w:pPr>
              <w:pStyle w:val="TableParagraph"/>
              <w:spacing w:before="91"/>
              <w:rPr>
                <w:b/>
                <w:sz w:val="20"/>
              </w:rPr>
            </w:pPr>
          </w:p>
          <w:p>
            <w:pPr>
              <w:pStyle w:val="TableParagraph"/>
              <w:ind w:left="479"/>
              <w:rPr>
                <w:b/>
                <w:sz w:val="20"/>
              </w:rPr>
            </w:pPr>
            <w:r>
              <w:rPr>
                <w:b/>
                <w:sz w:val="20"/>
              </w:rPr>
              <w:t>Objetivos</w:t>
            </w:r>
            <w:r>
              <w:rPr>
                <w:b/>
                <w:spacing w:val="-9"/>
                <w:sz w:val="20"/>
              </w:rPr>
              <w:t> </w:t>
            </w:r>
            <w:r>
              <w:rPr>
                <w:b/>
                <w:sz w:val="20"/>
              </w:rPr>
              <w:t>/</w:t>
            </w:r>
            <w:r>
              <w:rPr>
                <w:b/>
                <w:spacing w:val="-9"/>
                <w:sz w:val="20"/>
              </w:rPr>
              <w:t> </w:t>
            </w:r>
            <w:r>
              <w:rPr>
                <w:b/>
                <w:spacing w:val="-2"/>
                <w:sz w:val="20"/>
              </w:rPr>
              <w:t>Resultados</w:t>
            </w:r>
          </w:p>
        </w:tc>
        <w:tc>
          <w:tcPr>
            <w:tcW w:w="1841" w:type="dxa"/>
            <w:shd w:val="clear" w:color="auto" w:fill="D7D7D7"/>
          </w:tcPr>
          <w:p>
            <w:pPr>
              <w:pStyle w:val="TableParagraph"/>
              <w:spacing w:before="91"/>
              <w:rPr>
                <w:b/>
                <w:sz w:val="20"/>
              </w:rPr>
            </w:pPr>
          </w:p>
          <w:p>
            <w:pPr>
              <w:pStyle w:val="TableParagraph"/>
              <w:ind w:left="8" w:right="5"/>
              <w:jc w:val="center"/>
              <w:rPr>
                <w:b/>
                <w:sz w:val="20"/>
              </w:rPr>
            </w:pPr>
            <w:r>
              <w:rPr>
                <w:b/>
                <w:sz w:val="20"/>
              </w:rPr>
              <w:t>Línea</w:t>
            </w:r>
            <w:r>
              <w:rPr>
                <w:b/>
                <w:spacing w:val="-11"/>
                <w:sz w:val="20"/>
              </w:rPr>
              <w:t> </w:t>
            </w:r>
            <w:r>
              <w:rPr>
                <w:b/>
                <w:sz w:val="20"/>
              </w:rPr>
              <w:t>Base</w:t>
            </w:r>
            <w:r>
              <w:rPr>
                <w:b/>
                <w:spacing w:val="-8"/>
                <w:sz w:val="20"/>
              </w:rPr>
              <w:t> </w:t>
            </w:r>
            <w:r>
              <w:rPr>
                <w:b/>
                <w:spacing w:val="-2"/>
                <w:sz w:val="20"/>
              </w:rPr>
              <w:t>(2025)</w:t>
            </w:r>
          </w:p>
        </w:tc>
        <w:tc>
          <w:tcPr>
            <w:tcW w:w="1766" w:type="dxa"/>
            <w:shd w:val="clear" w:color="auto" w:fill="D7D7D7"/>
          </w:tcPr>
          <w:p>
            <w:pPr>
              <w:pStyle w:val="TableParagraph"/>
              <w:spacing w:before="93"/>
              <w:ind w:left="121" w:right="110"/>
              <w:jc w:val="center"/>
              <w:rPr>
                <w:b/>
                <w:sz w:val="20"/>
              </w:rPr>
            </w:pPr>
            <w:r>
              <w:rPr>
                <w:b/>
                <w:spacing w:val="-4"/>
                <w:sz w:val="20"/>
              </w:rPr>
              <w:t>Meta </w:t>
            </w:r>
            <w:r>
              <w:rPr>
                <w:b/>
                <w:spacing w:val="-2"/>
                <w:sz w:val="20"/>
              </w:rPr>
              <w:t>programada </w:t>
            </w:r>
            <w:r>
              <w:rPr>
                <w:b/>
                <w:spacing w:val="-4"/>
                <w:sz w:val="20"/>
              </w:rPr>
              <w:t>2027</w:t>
            </w:r>
          </w:p>
        </w:tc>
        <w:tc>
          <w:tcPr>
            <w:tcW w:w="1495" w:type="dxa"/>
            <w:shd w:val="clear" w:color="auto" w:fill="D7D7D7"/>
          </w:tcPr>
          <w:p>
            <w:pPr>
              <w:pStyle w:val="TableParagraph"/>
              <w:spacing w:before="91"/>
              <w:rPr>
                <w:b/>
                <w:sz w:val="20"/>
              </w:rPr>
            </w:pPr>
          </w:p>
          <w:p>
            <w:pPr>
              <w:pStyle w:val="TableParagraph"/>
              <w:ind w:left="296"/>
              <w:rPr>
                <w:b/>
                <w:sz w:val="20"/>
              </w:rPr>
            </w:pPr>
            <w:r>
              <w:rPr>
                <w:b/>
                <w:spacing w:val="-2"/>
                <w:sz w:val="20"/>
              </w:rPr>
              <w:t>Indicador</w:t>
            </w:r>
          </w:p>
        </w:tc>
        <w:tc>
          <w:tcPr>
            <w:tcW w:w="1276" w:type="dxa"/>
            <w:shd w:val="clear" w:color="auto" w:fill="D7D7D7"/>
          </w:tcPr>
          <w:p>
            <w:pPr>
              <w:pStyle w:val="TableParagraph"/>
              <w:spacing w:before="206"/>
              <w:ind w:left="83" w:firstLine="67"/>
              <w:rPr>
                <w:b/>
                <w:sz w:val="20"/>
              </w:rPr>
            </w:pPr>
            <w:r>
              <w:rPr>
                <w:b/>
                <w:sz w:val="20"/>
              </w:rPr>
              <w:t>Medios de </w:t>
            </w:r>
            <w:r>
              <w:rPr>
                <w:b/>
                <w:spacing w:val="-2"/>
                <w:sz w:val="20"/>
              </w:rPr>
              <w:t>verificación</w:t>
            </w:r>
          </w:p>
        </w:tc>
        <w:tc>
          <w:tcPr>
            <w:tcW w:w="1418" w:type="dxa"/>
            <w:shd w:val="clear" w:color="auto" w:fill="D7D7D7"/>
          </w:tcPr>
          <w:p>
            <w:pPr>
              <w:pStyle w:val="TableParagraph"/>
              <w:spacing w:before="91"/>
              <w:rPr>
                <w:b/>
                <w:sz w:val="20"/>
              </w:rPr>
            </w:pPr>
          </w:p>
          <w:p>
            <w:pPr>
              <w:pStyle w:val="TableParagraph"/>
              <w:ind w:left="86"/>
              <w:rPr>
                <w:b/>
                <w:sz w:val="20"/>
              </w:rPr>
            </w:pPr>
            <w:r>
              <w:rPr>
                <w:b/>
                <w:spacing w:val="-2"/>
                <w:sz w:val="20"/>
              </w:rPr>
              <w:t>Responsable</w:t>
            </w:r>
          </w:p>
        </w:tc>
        <w:tc>
          <w:tcPr>
            <w:tcW w:w="1697" w:type="dxa"/>
            <w:shd w:val="clear" w:color="auto" w:fill="D7D7D7"/>
          </w:tcPr>
          <w:p>
            <w:pPr>
              <w:pStyle w:val="TableParagraph"/>
              <w:spacing w:before="206"/>
              <w:ind w:left="413" w:hanging="166"/>
              <w:rPr>
                <w:b/>
                <w:sz w:val="20"/>
              </w:rPr>
            </w:pPr>
            <w:r>
              <w:rPr>
                <w:b/>
                <w:spacing w:val="-2"/>
                <w:sz w:val="20"/>
              </w:rPr>
              <w:t>Presupuesto asignado</w:t>
            </w:r>
          </w:p>
        </w:tc>
        <w:tc>
          <w:tcPr>
            <w:tcW w:w="2129" w:type="dxa"/>
            <w:tcBorders>
              <w:bottom w:val="nil"/>
            </w:tcBorders>
            <w:shd w:val="clear" w:color="auto" w:fill="D7D7D7"/>
          </w:tcPr>
          <w:p>
            <w:pPr>
              <w:pStyle w:val="TableParagraph"/>
              <w:spacing w:before="91"/>
              <w:rPr>
                <w:b/>
                <w:sz w:val="20"/>
              </w:rPr>
            </w:pPr>
          </w:p>
          <w:p>
            <w:pPr>
              <w:pStyle w:val="TableParagraph"/>
              <w:ind w:left="228"/>
              <w:rPr>
                <w:b/>
                <w:sz w:val="20"/>
              </w:rPr>
            </w:pPr>
            <w:r>
              <w:rPr>
                <w:b/>
                <w:sz w:val="20"/>
              </w:rPr>
              <w:t>Riesgo</w:t>
            </w:r>
            <w:r>
              <w:rPr>
                <w:b/>
                <w:spacing w:val="-9"/>
                <w:sz w:val="20"/>
              </w:rPr>
              <w:t> </w:t>
            </w:r>
            <w:r>
              <w:rPr>
                <w:b/>
                <w:spacing w:val="-2"/>
                <w:sz w:val="20"/>
              </w:rPr>
              <w:t>Vinculado</w:t>
            </w:r>
          </w:p>
        </w:tc>
      </w:tr>
      <w:tr>
        <w:trPr>
          <w:trHeight w:val="688" w:hRule="atLeast"/>
        </w:trPr>
        <w:tc>
          <w:tcPr>
            <w:tcW w:w="3120" w:type="dxa"/>
          </w:tcPr>
          <w:p>
            <w:pPr>
              <w:pStyle w:val="TableParagraph"/>
              <w:rPr>
                <w:rFonts w:ascii="Times New Roman"/>
                <w:sz w:val="20"/>
              </w:rPr>
            </w:pPr>
          </w:p>
        </w:tc>
        <w:tc>
          <w:tcPr>
            <w:tcW w:w="1841" w:type="dxa"/>
          </w:tcPr>
          <w:p>
            <w:pPr>
              <w:pStyle w:val="TableParagraph"/>
              <w:rPr>
                <w:rFonts w:ascii="Times New Roman"/>
                <w:sz w:val="20"/>
              </w:rPr>
            </w:pPr>
          </w:p>
        </w:tc>
        <w:tc>
          <w:tcPr>
            <w:tcW w:w="1766" w:type="dxa"/>
          </w:tcPr>
          <w:p>
            <w:pPr>
              <w:pStyle w:val="TableParagraph"/>
              <w:rPr>
                <w:rFonts w:ascii="Times New Roman"/>
                <w:sz w:val="20"/>
              </w:rPr>
            </w:pPr>
          </w:p>
        </w:tc>
        <w:tc>
          <w:tcPr>
            <w:tcW w:w="1495" w:type="dxa"/>
          </w:tcPr>
          <w:p>
            <w:pPr>
              <w:pStyle w:val="TableParagraph"/>
              <w:rPr>
                <w:rFonts w:ascii="Times New Roman"/>
                <w:sz w:val="20"/>
              </w:rPr>
            </w:pPr>
          </w:p>
        </w:tc>
        <w:tc>
          <w:tcPr>
            <w:tcW w:w="1276" w:type="dxa"/>
          </w:tcPr>
          <w:p>
            <w:pPr>
              <w:pStyle w:val="TableParagraph"/>
              <w:rPr>
                <w:rFonts w:ascii="Times New Roman"/>
                <w:sz w:val="20"/>
              </w:rPr>
            </w:pPr>
          </w:p>
        </w:tc>
        <w:tc>
          <w:tcPr>
            <w:tcW w:w="1418" w:type="dxa"/>
          </w:tcPr>
          <w:p>
            <w:pPr>
              <w:pStyle w:val="TableParagraph"/>
              <w:ind w:left="69" w:right="288"/>
              <w:rPr>
                <w:sz w:val="20"/>
              </w:rPr>
            </w:pPr>
            <w:r>
              <w:rPr>
                <w:sz w:val="20"/>
              </w:rPr>
              <w:t>Mercadeo</w:t>
            </w:r>
            <w:r>
              <w:rPr>
                <w:spacing w:val="-14"/>
                <w:sz w:val="20"/>
              </w:rPr>
              <w:t> </w:t>
            </w:r>
            <w:r>
              <w:rPr>
                <w:sz w:val="20"/>
              </w:rPr>
              <w:t>y </w:t>
            </w:r>
            <w:r>
              <w:rPr>
                <w:spacing w:val="-2"/>
                <w:sz w:val="20"/>
              </w:rPr>
              <w:t>Ventas</w:t>
            </w:r>
          </w:p>
        </w:tc>
        <w:tc>
          <w:tcPr>
            <w:tcW w:w="1697" w:type="dxa"/>
          </w:tcPr>
          <w:p>
            <w:pPr>
              <w:pStyle w:val="TableParagraph"/>
              <w:rPr>
                <w:rFonts w:ascii="Times New Roman"/>
                <w:sz w:val="20"/>
              </w:rPr>
            </w:pPr>
          </w:p>
        </w:tc>
        <w:tc>
          <w:tcPr>
            <w:tcW w:w="2129" w:type="dxa"/>
            <w:tcBorders>
              <w:top w:val="nil"/>
            </w:tcBorders>
          </w:tcPr>
          <w:p>
            <w:pPr>
              <w:pStyle w:val="TableParagraph"/>
              <w:rPr>
                <w:rFonts w:ascii="Times New Roman"/>
                <w:sz w:val="20"/>
              </w:rPr>
            </w:pPr>
          </w:p>
        </w:tc>
      </w:tr>
      <w:tr>
        <w:trPr>
          <w:trHeight w:val="602" w:hRule="atLeast"/>
        </w:trPr>
        <w:tc>
          <w:tcPr>
            <w:tcW w:w="14742" w:type="dxa"/>
            <w:gridSpan w:val="8"/>
            <w:shd w:val="clear" w:color="auto" w:fill="DBE4F0"/>
          </w:tcPr>
          <w:p>
            <w:pPr>
              <w:pStyle w:val="TableParagraph"/>
              <w:spacing w:before="184"/>
              <w:ind w:left="69"/>
              <w:rPr>
                <w:b/>
                <w:sz w:val="20"/>
              </w:rPr>
            </w:pPr>
            <w:r>
              <w:rPr>
                <w:b/>
                <w:sz w:val="20"/>
              </w:rPr>
              <w:t>Producto</w:t>
            </w:r>
            <w:r>
              <w:rPr>
                <w:b/>
                <w:spacing w:val="-8"/>
                <w:sz w:val="20"/>
              </w:rPr>
              <w:t> </w:t>
            </w:r>
            <w:r>
              <w:rPr>
                <w:b/>
                <w:sz w:val="20"/>
              </w:rPr>
              <w:t>PEC</w:t>
            </w:r>
            <w:r>
              <w:rPr>
                <w:b/>
                <w:spacing w:val="-6"/>
                <w:sz w:val="20"/>
              </w:rPr>
              <w:t> </w:t>
            </w:r>
            <w:r>
              <w:rPr>
                <w:b/>
                <w:sz w:val="20"/>
              </w:rPr>
              <w:t>3.3:</w:t>
            </w:r>
            <w:r>
              <w:rPr>
                <w:b/>
                <w:spacing w:val="-5"/>
                <w:sz w:val="20"/>
              </w:rPr>
              <w:t> </w:t>
            </w:r>
            <w:r>
              <w:rPr>
                <w:b/>
                <w:sz w:val="20"/>
              </w:rPr>
              <w:t>Proyectos</w:t>
            </w:r>
            <w:r>
              <w:rPr>
                <w:b/>
                <w:spacing w:val="-8"/>
                <w:sz w:val="20"/>
              </w:rPr>
              <w:t> </w:t>
            </w:r>
            <w:r>
              <w:rPr>
                <w:b/>
                <w:sz w:val="20"/>
              </w:rPr>
              <w:t>de</w:t>
            </w:r>
            <w:r>
              <w:rPr>
                <w:b/>
                <w:spacing w:val="-8"/>
                <w:sz w:val="20"/>
              </w:rPr>
              <w:t> </w:t>
            </w:r>
            <w:r>
              <w:rPr>
                <w:b/>
                <w:sz w:val="20"/>
              </w:rPr>
              <w:t>automatización</w:t>
            </w:r>
            <w:r>
              <w:rPr>
                <w:b/>
                <w:spacing w:val="-7"/>
                <w:sz w:val="20"/>
              </w:rPr>
              <w:t> </w:t>
            </w:r>
            <w:r>
              <w:rPr>
                <w:b/>
                <w:sz w:val="20"/>
              </w:rPr>
              <w:t>tecnológica</w:t>
            </w:r>
            <w:r>
              <w:rPr>
                <w:b/>
                <w:spacing w:val="-9"/>
                <w:sz w:val="20"/>
              </w:rPr>
              <w:t> </w:t>
            </w:r>
            <w:r>
              <w:rPr>
                <w:b/>
                <w:sz w:val="20"/>
              </w:rPr>
              <w:t>implementados</w:t>
            </w:r>
            <w:r>
              <w:rPr>
                <w:b/>
                <w:spacing w:val="-6"/>
                <w:sz w:val="20"/>
              </w:rPr>
              <w:t> </w:t>
            </w:r>
            <w:r>
              <w:rPr>
                <w:b/>
                <w:sz w:val="20"/>
              </w:rPr>
              <w:t>para</w:t>
            </w:r>
            <w:r>
              <w:rPr>
                <w:b/>
                <w:spacing w:val="-9"/>
                <w:sz w:val="20"/>
              </w:rPr>
              <w:t> </w:t>
            </w:r>
            <w:r>
              <w:rPr>
                <w:b/>
                <w:sz w:val="20"/>
              </w:rPr>
              <w:t>mejorar</w:t>
            </w:r>
            <w:r>
              <w:rPr>
                <w:b/>
                <w:spacing w:val="-7"/>
                <w:sz w:val="20"/>
              </w:rPr>
              <w:t> </w:t>
            </w:r>
            <w:r>
              <w:rPr>
                <w:b/>
                <w:sz w:val="20"/>
              </w:rPr>
              <w:t>y</w:t>
            </w:r>
            <w:r>
              <w:rPr>
                <w:b/>
                <w:spacing w:val="-8"/>
                <w:sz w:val="20"/>
              </w:rPr>
              <w:t> </w:t>
            </w:r>
            <w:r>
              <w:rPr>
                <w:b/>
                <w:sz w:val="20"/>
              </w:rPr>
              <w:t>modernizar</w:t>
            </w:r>
            <w:r>
              <w:rPr>
                <w:b/>
                <w:spacing w:val="-9"/>
                <w:sz w:val="20"/>
              </w:rPr>
              <w:t> </w:t>
            </w:r>
            <w:r>
              <w:rPr>
                <w:b/>
                <w:sz w:val="20"/>
              </w:rPr>
              <w:t>la</w:t>
            </w:r>
            <w:r>
              <w:rPr>
                <w:b/>
                <w:spacing w:val="-6"/>
                <w:sz w:val="20"/>
              </w:rPr>
              <w:t> </w:t>
            </w:r>
            <w:r>
              <w:rPr>
                <w:b/>
                <w:sz w:val="20"/>
              </w:rPr>
              <w:t>operación</w:t>
            </w:r>
            <w:r>
              <w:rPr>
                <w:b/>
                <w:spacing w:val="-7"/>
                <w:sz w:val="20"/>
              </w:rPr>
              <w:t> </w:t>
            </w:r>
            <w:r>
              <w:rPr>
                <w:b/>
                <w:sz w:val="20"/>
              </w:rPr>
              <w:t>del</w:t>
            </w:r>
            <w:r>
              <w:rPr>
                <w:b/>
                <w:spacing w:val="-5"/>
                <w:sz w:val="20"/>
              </w:rPr>
              <w:t> </w:t>
            </w:r>
            <w:r>
              <w:rPr>
                <w:b/>
                <w:sz w:val="20"/>
              </w:rPr>
              <w:t>negocio</w:t>
            </w:r>
            <w:r>
              <w:rPr>
                <w:b/>
                <w:spacing w:val="-8"/>
                <w:sz w:val="20"/>
              </w:rPr>
              <w:t> </w:t>
            </w:r>
            <w:r>
              <w:rPr>
                <w:b/>
                <w:sz w:val="20"/>
              </w:rPr>
              <w:t>(E5</w:t>
            </w:r>
            <w:r>
              <w:rPr>
                <w:b/>
                <w:spacing w:val="-8"/>
                <w:sz w:val="20"/>
              </w:rPr>
              <w:t> </w:t>
            </w:r>
            <w:r>
              <w:rPr>
                <w:b/>
                <w:sz w:val="20"/>
              </w:rPr>
              <w:t>AE3</w:t>
            </w:r>
            <w:r>
              <w:rPr>
                <w:b/>
                <w:spacing w:val="-6"/>
                <w:sz w:val="20"/>
              </w:rPr>
              <w:t> </w:t>
            </w:r>
            <w:r>
              <w:rPr>
                <w:b/>
                <w:spacing w:val="-5"/>
                <w:sz w:val="20"/>
              </w:rPr>
              <w:t>R2)</w:t>
            </w:r>
          </w:p>
        </w:tc>
      </w:tr>
      <w:tr>
        <w:trPr>
          <w:trHeight w:val="2299" w:hRule="atLeast"/>
        </w:trPr>
        <w:tc>
          <w:tcPr>
            <w:tcW w:w="3120" w:type="dxa"/>
          </w:tcPr>
          <w:p>
            <w:pPr>
              <w:pStyle w:val="TableParagraph"/>
              <w:spacing w:before="228"/>
              <w:rPr>
                <w:b/>
                <w:sz w:val="20"/>
              </w:rPr>
            </w:pPr>
          </w:p>
          <w:p>
            <w:pPr>
              <w:pStyle w:val="TableParagraph"/>
              <w:ind w:left="69"/>
              <w:rPr>
                <w:b/>
                <w:sz w:val="20"/>
              </w:rPr>
            </w:pPr>
            <w:r>
              <w:rPr>
                <w:b/>
                <w:sz w:val="20"/>
              </w:rPr>
              <w:t>Actividad</w:t>
            </w:r>
            <w:r>
              <w:rPr>
                <w:b/>
                <w:spacing w:val="-6"/>
                <w:sz w:val="20"/>
              </w:rPr>
              <w:t> </w:t>
            </w:r>
            <w:r>
              <w:rPr>
                <w:b/>
                <w:sz w:val="20"/>
              </w:rPr>
              <w:t>PEC</w:t>
            </w:r>
            <w:r>
              <w:rPr>
                <w:b/>
                <w:spacing w:val="-8"/>
                <w:sz w:val="20"/>
              </w:rPr>
              <w:t> </w:t>
            </w:r>
            <w:r>
              <w:rPr>
                <w:b/>
                <w:spacing w:val="-2"/>
                <w:sz w:val="20"/>
              </w:rPr>
              <w:t>3.3.1:</w:t>
            </w:r>
          </w:p>
          <w:p>
            <w:pPr>
              <w:pStyle w:val="TableParagraph"/>
              <w:spacing w:before="1"/>
              <w:ind w:left="69" w:right="173"/>
              <w:rPr>
                <w:sz w:val="20"/>
              </w:rPr>
            </w:pPr>
            <w:r>
              <w:rPr>
                <w:sz w:val="20"/>
              </w:rPr>
              <w:t>Equipar a las tiendas de impresoras</w:t>
            </w:r>
            <w:r>
              <w:rPr>
                <w:spacing w:val="-14"/>
                <w:sz w:val="20"/>
              </w:rPr>
              <w:t> </w:t>
            </w:r>
            <w:r>
              <w:rPr>
                <w:sz w:val="20"/>
              </w:rPr>
              <w:t>térmicas</w:t>
            </w:r>
            <w:r>
              <w:rPr>
                <w:spacing w:val="-14"/>
                <w:sz w:val="20"/>
              </w:rPr>
              <w:t> </w:t>
            </w:r>
            <w:r>
              <w:rPr>
                <w:sz w:val="20"/>
              </w:rPr>
              <w:t>requeridas para el desarrollo de la gestión de ventas (5.01.05)</w:t>
            </w:r>
          </w:p>
        </w:tc>
        <w:tc>
          <w:tcPr>
            <w:tcW w:w="1841" w:type="dxa"/>
          </w:tcPr>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ind w:left="8" w:right="3"/>
              <w:jc w:val="center"/>
              <w:rPr>
                <w:sz w:val="20"/>
              </w:rPr>
            </w:pPr>
            <w:r>
              <w:rPr>
                <w:spacing w:val="-5"/>
                <w:sz w:val="20"/>
              </w:rPr>
              <w:t>N/D</w:t>
            </w:r>
          </w:p>
        </w:tc>
        <w:tc>
          <w:tcPr>
            <w:tcW w:w="1766" w:type="dxa"/>
          </w:tcPr>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ind w:left="121" w:right="114"/>
              <w:jc w:val="center"/>
              <w:rPr>
                <w:sz w:val="20"/>
              </w:rPr>
            </w:pPr>
            <w:r>
              <w:rPr>
                <w:spacing w:val="-10"/>
                <w:sz w:val="20"/>
              </w:rPr>
              <w:t>4</w:t>
            </w:r>
          </w:p>
        </w:tc>
        <w:tc>
          <w:tcPr>
            <w:tcW w:w="1495" w:type="dxa"/>
          </w:tcPr>
          <w:p>
            <w:pPr>
              <w:pStyle w:val="TableParagraph"/>
              <w:rPr>
                <w:b/>
                <w:sz w:val="20"/>
              </w:rPr>
            </w:pPr>
          </w:p>
          <w:p>
            <w:pPr>
              <w:pStyle w:val="TableParagraph"/>
              <w:rPr>
                <w:b/>
                <w:sz w:val="20"/>
              </w:rPr>
            </w:pPr>
          </w:p>
          <w:p>
            <w:pPr>
              <w:pStyle w:val="TableParagraph"/>
              <w:spacing w:before="114"/>
              <w:rPr>
                <w:b/>
                <w:sz w:val="20"/>
              </w:rPr>
            </w:pPr>
          </w:p>
          <w:p>
            <w:pPr>
              <w:pStyle w:val="TableParagraph"/>
              <w:ind w:left="68" w:right="332"/>
              <w:rPr>
                <w:sz w:val="20"/>
              </w:rPr>
            </w:pPr>
            <w:r>
              <w:rPr>
                <w:sz w:val="20"/>
              </w:rPr>
              <w:t>Cantidad</w:t>
            </w:r>
            <w:r>
              <w:rPr>
                <w:spacing w:val="-14"/>
                <w:sz w:val="20"/>
              </w:rPr>
              <w:t> </w:t>
            </w:r>
            <w:r>
              <w:rPr>
                <w:sz w:val="20"/>
              </w:rPr>
              <w:t>de </w:t>
            </w:r>
            <w:r>
              <w:rPr>
                <w:spacing w:val="-2"/>
                <w:sz w:val="20"/>
              </w:rPr>
              <w:t>impresoras instaladas</w:t>
            </w:r>
          </w:p>
        </w:tc>
        <w:tc>
          <w:tcPr>
            <w:tcW w:w="1276" w:type="dxa"/>
          </w:tcPr>
          <w:p>
            <w:pPr>
              <w:pStyle w:val="TableParagraph"/>
              <w:rPr>
                <w:b/>
                <w:sz w:val="20"/>
              </w:rPr>
            </w:pPr>
          </w:p>
          <w:p>
            <w:pPr>
              <w:pStyle w:val="TableParagraph"/>
              <w:rPr>
                <w:b/>
                <w:sz w:val="20"/>
              </w:rPr>
            </w:pPr>
          </w:p>
          <w:p>
            <w:pPr>
              <w:pStyle w:val="TableParagraph"/>
              <w:spacing w:before="229"/>
              <w:rPr>
                <w:b/>
                <w:sz w:val="20"/>
              </w:rPr>
            </w:pPr>
          </w:p>
          <w:p>
            <w:pPr>
              <w:pStyle w:val="TableParagraph"/>
              <w:ind w:left="71"/>
              <w:rPr>
                <w:sz w:val="20"/>
              </w:rPr>
            </w:pPr>
            <w:r>
              <w:rPr>
                <w:spacing w:val="-2"/>
                <w:sz w:val="20"/>
              </w:rPr>
              <w:t>Informe trimestral</w:t>
            </w:r>
          </w:p>
        </w:tc>
        <w:tc>
          <w:tcPr>
            <w:tcW w:w="1418" w:type="dxa"/>
          </w:tcPr>
          <w:p>
            <w:pPr>
              <w:pStyle w:val="TableParagraph"/>
              <w:rPr>
                <w:b/>
                <w:sz w:val="20"/>
              </w:rPr>
            </w:pPr>
          </w:p>
          <w:p>
            <w:pPr>
              <w:pStyle w:val="TableParagraph"/>
              <w:spacing w:before="228"/>
              <w:rPr>
                <w:b/>
                <w:sz w:val="20"/>
              </w:rPr>
            </w:pPr>
          </w:p>
          <w:p>
            <w:pPr>
              <w:pStyle w:val="TableParagraph"/>
              <w:spacing w:before="1"/>
              <w:ind w:left="69"/>
              <w:rPr>
                <w:sz w:val="20"/>
              </w:rPr>
            </w:pPr>
            <w:r>
              <w:rPr>
                <w:sz w:val="20"/>
              </w:rPr>
              <w:t>Jefatura de Unidad de </w:t>
            </w:r>
            <w:r>
              <w:rPr>
                <w:spacing w:val="-2"/>
                <w:sz w:val="20"/>
              </w:rPr>
              <w:t>Coordinación Administrativa</w:t>
            </w:r>
          </w:p>
        </w:tc>
        <w:tc>
          <w:tcPr>
            <w:tcW w:w="1697" w:type="dxa"/>
          </w:tcPr>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ind w:right="53"/>
              <w:jc w:val="right"/>
              <w:rPr>
                <w:sz w:val="20"/>
              </w:rPr>
            </w:pPr>
            <w:r>
              <w:rPr>
                <w:sz w:val="20"/>
              </w:rPr>
              <w:t>₡5</w:t>
            </w:r>
            <w:r>
              <w:rPr>
                <w:spacing w:val="-4"/>
                <w:sz w:val="20"/>
              </w:rPr>
              <w:t> </w:t>
            </w:r>
            <w:r>
              <w:rPr>
                <w:sz w:val="20"/>
              </w:rPr>
              <w:t>000</w:t>
            </w:r>
            <w:r>
              <w:rPr>
                <w:spacing w:val="-4"/>
                <w:sz w:val="20"/>
              </w:rPr>
              <w:t> </w:t>
            </w:r>
            <w:r>
              <w:rPr>
                <w:spacing w:val="-5"/>
                <w:sz w:val="20"/>
              </w:rPr>
              <w:t>000</w:t>
            </w:r>
          </w:p>
        </w:tc>
        <w:tc>
          <w:tcPr>
            <w:tcW w:w="2129" w:type="dxa"/>
          </w:tcPr>
          <w:p>
            <w:pPr>
              <w:pStyle w:val="TableParagraph"/>
              <w:ind w:left="75" w:right="87"/>
              <w:rPr>
                <w:sz w:val="20"/>
              </w:rPr>
            </w:pPr>
            <w:r>
              <w:rPr>
                <w:sz w:val="20"/>
              </w:rPr>
              <w:t>Evento: Retrasos en los proyectos de </w:t>
            </w:r>
            <w:r>
              <w:rPr>
                <w:spacing w:val="-2"/>
                <w:sz w:val="20"/>
              </w:rPr>
              <w:t>automatización tecnológicos </w:t>
            </w:r>
            <w:r>
              <w:rPr>
                <w:sz w:val="20"/>
              </w:rPr>
              <w:t>requeridos que afectan</w:t>
            </w:r>
            <w:r>
              <w:rPr>
                <w:spacing w:val="-14"/>
                <w:sz w:val="20"/>
              </w:rPr>
              <w:t> </w:t>
            </w:r>
            <w:r>
              <w:rPr>
                <w:sz w:val="20"/>
              </w:rPr>
              <w:t>la</w:t>
            </w:r>
            <w:r>
              <w:rPr>
                <w:spacing w:val="-14"/>
                <w:sz w:val="20"/>
              </w:rPr>
              <w:t> </w:t>
            </w:r>
            <w:r>
              <w:rPr>
                <w:sz w:val="20"/>
              </w:rPr>
              <w:t>continuidad del negocio por excesos</w:t>
            </w:r>
            <w:r>
              <w:rPr>
                <w:spacing w:val="-8"/>
                <w:sz w:val="20"/>
              </w:rPr>
              <w:t> </w:t>
            </w:r>
            <w:r>
              <w:rPr>
                <w:sz w:val="20"/>
              </w:rPr>
              <w:t>de</w:t>
            </w:r>
            <w:r>
              <w:rPr>
                <w:spacing w:val="-10"/>
                <w:sz w:val="20"/>
              </w:rPr>
              <w:t> </w:t>
            </w:r>
            <w:r>
              <w:rPr>
                <w:sz w:val="20"/>
              </w:rPr>
              <w:t>requisitos establecidos en la</w:t>
            </w:r>
          </w:p>
          <w:p>
            <w:pPr>
              <w:pStyle w:val="TableParagraph"/>
              <w:spacing w:line="210" w:lineRule="exact"/>
              <w:ind w:left="75"/>
              <w:rPr>
                <w:sz w:val="20"/>
              </w:rPr>
            </w:pPr>
            <w:r>
              <w:rPr>
                <w:spacing w:val="-2"/>
                <w:sz w:val="20"/>
              </w:rPr>
              <w:t>normativa.</w:t>
            </w:r>
          </w:p>
        </w:tc>
      </w:tr>
      <w:tr>
        <w:trPr>
          <w:trHeight w:val="585" w:hRule="atLeast"/>
        </w:trPr>
        <w:tc>
          <w:tcPr>
            <w:tcW w:w="14742" w:type="dxa"/>
            <w:gridSpan w:val="8"/>
            <w:shd w:val="clear" w:color="auto" w:fill="DBE4F0"/>
          </w:tcPr>
          <w:p>
            <w:pPr>
              <w:pStyle w:val="TableParagraph"/>
              <w:spacing w:before="177"/>
              <w:ind w:left="69"/>
              <w:rPr>
                <w:b/>
                <w:sz w:val="20"/>
              </w:rPr>
            </w:pPr>
            <w:r>
              <w:rPr>
                <w:b/>
                <w:sz w:val="20"/>
              </w:rPr>
              <w:t>Producto</w:t>
            </w:r>
            <w:r>
              <w:rPr>
                <w:b/>
                <w:spacing w:val="-8"/>
                <w:sz w:val="20"/>
              </w:rPr>
              <w:t> </w:t>
            </w:r>
            <w:r>
              <w:rPr>
                <w:b/>
                <w:sz w:val="20"/>
              </w:rPr>
              <w:t>PEC</w:t>
            </w:r>
            <w:r>
              <w:rPr>
                <w:b/>
                <w:spacing w:val="-7"/>
                <w:sz w:val="20"/>
              </w:rPr>
              <w:t> </w:t>
            </w:r>
            <w:r>
              <w:rPr>
                <w:b/>
                <w:sz w:val="20"/>
              </w:rPr>
              <w:t>3.4:</w:t>
            </w:r>
            <w:r>
              <w:rPr>
                <w:b/>
                <w:spacing w:val="-6"/>
                <w:sz w:val="20"/>
              </w:rPr>
              <w:t> </w:t>
            </w:r>
            <w:r>
              <w:rPr>
                <w:b/>
                <w:sz w:val="20"/>
              </w:rPr>
              <w:t>Ejecución</w:t>
            </w:r>
            <w:r>
              <w:rPr>
                <w:b/>
                <w:spacing w:val="-7"/>
                <w:sz w:val="20"/>
              </w:rPr>
              <w:t> </w:t>
            </w:r>
            <w:r>
              <w:rPr>
                <w:b/>
                <w:sz w:val="20"/>
              </w:rPr>
              <w:t>de</w:t>
            </w:r>
            <w:r>
              <w:rPr>
                <w:b/>
                <w:spacing w:val="-9"/>
                <w:sz w:val="20"/>
              </w:rPr>
              <w:t> </w:t>
            </w:r>
            <w:r>
              <w:rPr>
                <w:b/>
                <w:sz w:val="20"/>
              </w:rPr>
              <w:t>acciones</w:t>
            </w:r>
            <w:r>
              <w:rPr>
                <w:b/>
                <w:spacing w:val="-7"/>
                <w:sz w:val="20"/>
              </w:rPr>
              <w:t> </w:t>
            </w:r>
            <w:r>
              <w:rPr>
                <w:b/>
                <w:sz w:val="20"/>
              </w:rPr>
              <w:t>logísticas,</w:t>
            </w:r>
            <w:r>
              <w:rPr>
                <w:b/>
                <w:spacing w:val="-9"/>
                <w:sz w:val="20"/>
              </w:rPr>
              <w:t> </w:t>
            </w:r>
            <w:r>
              <w:rPr>
                <w:b/>
                <w:sz w:val="20"/>
              </w:rPr>
              <w:t>mercadeo</w:t>
            </w:r>
            <w:r>
              <w:rPr>
                <w:b/>
                <w:spacing w:val="-6"/>
                <w:sz w:val="20"/>
              </w:rPr>
              <w:t> </w:t>
            </w:r>
            <w:r>
              <w:rPr>
                <w:b/>
                <w:sz w:val="20"/>
              </w:rPr>
              <w:t>y</w:t>
            </w:r>
            <w:r>
              <w:rPr>
                <w:b/>
                <w:spacing w:val="-9"/>
                <w:sz w:val="20"/>
              </w:rPr>
              <w:t> </w:t>
            </w:r>
            <w:r>
              <w:rPr>
                <w:b/>
                <w:sz w:val="20"/>
              </w:rPr>
              <w:t>administrativas</w:t>
            </w:r>
            <w:r>
              <w:rPr>
                <w:b/>
                <w:spacing w:val="-9"/>
                <w:sz w:val="20"/>
              </w:rPr>
              <w:t> </w:t>
            </w:r>
            <w:r>
              <w:rPr>
                <w:b/>
                <w:sz w:val="20"/>
              </w:rPr>
              <w:t>que</w:t>
            </w:r>
            <w:r>
              <w:rPr>
                <w:b/>
                <w:spacing w:val="-6"/>
                <w:sz w:val="20"/>
              </w:rPr>
              <w:t> </w:t>
            </w:r>
            <w:r>
              <w:rPr>
                <w:b/>
                <w:sz w:val="20"/>
              </w:rPr>
              <w:t>contribuyan</w:t>
            </w:r>
            <w:r>
              <w:rPr>
                <w:b/>
                <w:spacing w:val="-6"/>
                <w:sz w:val="20"/>
              </w:rPr>
              <w:t> </w:t>
            </w:r>
            <w:r>
              <w:rPr>
                <w:b/>
                <w:sz w:val="20"/>
              </w:rPr>
              <w:t>a</w:t>
            </w:r>
            <w:r>
              <w:rPr>
                <w:b/>
                <w:spacing w:val="-10"/>
                <w:sz w:val="20"/>
              </w:rPr>
              <w:t> </w:t>
            </w:r>
            <w:r>
              <w:rPr>
                <w:b/>
                <w:sz w:val="20"/>
              </w:rPr>
              <w:t>potenciar</w:t>
            </w:r>
            <w:r>
              <w:rPr>
                <w:b/>
                <w:spacing w:val="-7"/>
                <w:sz w:val="20"/>
              </w:rPr>
              <w:t> </w:t>
            </w:r>
            <w:r>
              <w:rPr>
                <w:b/>
                <w:sz w:val="20"/>
              </w:rPr>
              <w:t>las</w:t>
            </w:r>
            <w:r>
              <w:rPr>
                <w:b/>
                <w:spacing w:val="-10"/>
                <w:sz w:val="20"/>
              </w:rPr>
              <w:t> </w:t>
            </w:r>
            <w:r>
              <w:rPr>
                <w:b/>
                <w:sz w:val="20"/>
              </w:rPr>
              <w:t>utilidades</w:t>
            </w:r>
            <w:r>
              <w:rPr>
                <w:b/>
                <w:spacing w:val="-6"/>
                <w:sz w:val="20"/>
              </w:rPr>
              <w:t> </w:t>
            </w:r>
            <w:r>
              <w:rPr>
                <w:b/>
                <w:sz w:val="20"/>
              </w:rPr>
              <w:t>del</w:t>
            </w:r>
            <w:r>
              <w:rPr>
                <w:b/>
                <w:spacing w:val="-6"/>
                <w:sz w:val="20"/>
              </w:rPr>
              <w:t> </w:t>
            </w:r>
            <w:r>
              <w:rPr>
                <w:b/>
                <w:spacing w:val="-2"/>
                <w:sz w:val="20"/>
              </w:rPr>
              <w:t>negocio</w:t>
            </w:r>
          </w:p>
        </w:tc>
      </w:tr>
      <w:tr>
        <w:trPr>
          <w:trHeight w:val="2068" w:hRule="atLeast"/>
        </w:trPr>
        <w:tc>
          <w:tcPr>
            <w:tcW w:w="3120" w:type="dxa"/>
          </w:tcPr>
          <w:p>
            <w:pPr>
              <w:pStyle w:val="TableParagraph"/>
              <w:ind w:left="69" w:right="173"/>
              <w:rPr>
                <w:sz w:val="20"/>
              </w:rPr>
            </w:pPr>
            <w:r>
              <w:rPr>
                <w:b/>
                <w:sz w:val="20"/>
              </w:rPr>
              <w:t>Actividad PEC 3.4.1: </w:t>
            </w:r>
            <w:r>
              <w:rPr>
                <w:sz w:val="20"/>
              </w:rPr>
              <w:t>Realizar publicaciones en</w:t>
            </w:r>
            <w:r>
              <w:rPr>
                <w:spacing w:val="-4"/>
                <w:sz w:val="20"/>
              </w:rPr>
              <w:t> </w:t>
            </w:r>
            <w:r>
              <w:rPr>
                <w:sz w:val="20"/>
              </w:rPr>
              <w:t>medios,</w:t>
            </w:r>
            <w:r>
              <w:rPr>
                <w:spacing w:val="-3"/>
                <w:sz w:val="20"/>
              </w:rPr>
              <w:t> </w:t>
            </w:r>
            <w:r>
              <w:rPr>
                <w:sz w:val="20"/>
              </w:rPr>
              <w:t>con</w:t>
            </w:r>
            <w:r>
              <w:rPr>
                <w:spacing w:val="-4"/>
                <w:sz w:val="20"/>
              </w:rPr>
              <w:t> </w:t>
            </w:r>
            <w:r>
              <w:rPr>
                <w:sz w:val="20"/>
              </w:rPr>
              <w:t>el fin de</w:t>
            </w:r>
            <w:r>
              <w:rPr>
                <w:spacing w:val="-1"/>
                <w:sz w:val="20"/>
              </w:rPr>
              <w:t> </w:t>
            </w:r>
            <w:r>
              <w:rPr>
                <w:sz w:val="20"/>
              </w:rPr>
              <w:t>fortalecer el conocimiento del público meta, del fin</w:t>
            </w:r>
            <w:r>
              <w:rPr>
                <w:spacing w:val="-1"/>
                <w:sz w:val="20"/>
              </w:rPr>
              <w:t> </w:t>
            </w:r>
            <w:r>
              <w:rPr>
                <w:sz w:val="20"/>
              </w:rPr>
              <w:t>social</w:t>
            </w:r>
            <w:r>
              <w:rPr>
                <w:spacing w:val="-2"/>
                <w:sz w:val="20"/>
              </w:rPr>
              <w:t> </w:t>
            </w:r>
            <w:r>
              <w:rPr>
                <w:sz w:val="20"/>
              </w:rPr>
              <w:t>y del</w:t>
            </w:r>
            <w:r>
              <w:rPr>
                <w:spacing w:val="-11"/>
                <w:sz w:val="20"/>
              </w:rPr>
              <w:t> </w:t>
            </w:r>
            <w:r>
              <w:rPr>
                <w:sz w:val="20"/>
              </w:rPr>
              <w:t>posicionamiento</w:t>
            </w:r>
            <w:r>
              <w:rPr>
                <w:spacing w:val="-12"/>
                <w:sz w:val="20"/>
              </w:rPr>
              <w:t> </w:t>
            </w:r>
            <w:r>
              <w:rPr>
                <w:sz w:val="20"/>
              </w:rPr>
              <w:t>de</w:t>
            </w:r>
            <w:r>
              <w:rPr>
                <w:spacing w:val="-10"/>
                <w:sz w:val="20"/>
              </w:rPr>
              <w:t> </w:t>
            </w:r>
            <w:r>
              <w:rPr>
                <w:sz w:val="20"/>
              </w:rPr>
              <w:t>la</w:t>
            </w:r>
            <w:r>
              <w:rPr>
                <w:spacing w:val="-10"/>
                <w:sz w:val="20"/>
              </w:rPr>
              <w:t> </w:t>
            </w:r>
            <w:r>
              <w:rPr>
                <w:sz w:val="20"/>
              </w:rPr>
              <w:t>marca IMAS-Duty Free-Social Programado tanto en el AIJS</w:t>
            </w:r>
          </w:p>
          <w:p>
            <w:pPr>
              <w:pStyle w:val="TableParagraph"/>
              <w:spacing w:line="228" w:lineRule="exact"/>
              <w:ind w:left="69" w:right="173"/>
              <w:rPr>
                <w:sz w:val="20"/>
              </w:rPr>
            </w:pPr>
            <w:r>
              <w:rPr>
                <w:sz w:val="20"/>
              </w:rPr>
              <w:t>como</w:t>
            </w:r>
            <w:r>
              <w:rPr>
                <w:spacing w:val="-10"/>
                <w:sz w:val="20"/>
              </w:rPr>
              <w:t> </w:t>
            </w:r>
            <w:r>
              <w:rPr>
                <w:sz w:val="20"/>
              </w:rPr>
              <w:t>en</w:t>
            </w:r>
            <w:r>
              <w:rPr>
                <w:spacing w:val="-10"/>
                <w:sz w:val="20"/>
              </w:rPr>
              <w:t> </w:t>
            </w:r>
            <w:r>
              <w:rPr>
                <w:sz w:val="20"/>
              </w:rPr>
              <w:t>el</w:t>
            </w:r>
            <w:r>
              <w:rPr>
                <w:spacing w:val="-11"/>
                <w:sz w:val="20"/>
              </w:rPr>
              <w:t> </w:t>
            </w:r>
            <w:r>
              <w:rPr>
                <w:sz w:val="20"/>
              </w:rPr>
              <w:t>AIDO</w:t>
            </w:r>
            <w:r>
              <w:rPr>
                <w:spacing w:val="-9"/>
                <w:sz w:val="20"/>
              </w:rPr>
              <w:t> </w:t>
            </w:r>
            <w:r>
              <w:rPr>
                <w:sz w:val="20"/>
              </w:rPr>
              <w:t>(Partida </w:t>
            </w:r>
            <w:r>
              <w:rPr>
                <w:spacing w:val="-2"/>
                <w:sz w:val="20"/>
              </w:rPr>
              <w:t>1.03.02)</w:t>
            </w:r>
          </w:p>
        </w:tc>
        <w:tc>
          <w:tcPr>
            <w:tcW w:w="1841" w:type="dxa"/>
          </w:tcPr>
          <w:p>
            <w:pPr>
              <w:pStyle w:val="TableParagraph"/>
              <w:rPr>
                <w:b/>
                <w:sz w:val="20"/>
              </w:rPr>
            </w:pPr>
          </w:p>
          <w:p>
            <w:pPr>
              <w:pStyle w:val="TableParagraph"/>
              <w:rPr>
                <w:b/>
                <w:sz w:val="20"/>
              </w:rPr>
            </w:pPr>
          </w:p>
          <w:p>
            <w:pPr>
              <w:pStyle w:val="TableParagraph"/>
              <w:spacing w:before="228"/>
              <w:rPr>
                <w:b/>
                <w:sz w:val="20"/>
              </w:rPr>
            </w:pPr>
          </w:p>
          <w:p>
            <w:pPr>
              <w:pStyle w:val="TableParagraph"/>
              <w:ind w:left="8" w:right="3"/>
              <w:jc w:val="center"/>
              <w:rPr>
                <w:sz w:val="20"/>
              </w:rPr>
            </w:pPr>
            <w:r>
              <w:rPr>
                <w:spacing w:val="-5"/>
                <w:sz w:val="20"/>
              </w:rPr>
              <w:t>N/D</w:t>
            </w:r>
          </w:p>
        </w:tc>
        <w:tc>
          <w:tcPr>
            <w:tcW w:w="1766" w:type="dxa"/>
          </w:tcPr>
          <w:p>
            <w:pPr>
              <w:pStyle w:val="TableParagraph"/>
              <w:rPr>
                <w:b/>
                <w:sz w:val="20"/>
              </w:rPr>
            </w:pPr>
          </w:p>
          <w:p>
            <w:pPr>
              <w:pStyle w:val="TableParagraph"/>
              <w:rPr>
                <w:b/>
                <w:sz w:val="20"/>
              </w:rPr>
            </w:pPr>
          </w:p>
          <w:p>
            <w:pPr>
              <w:pStyle w:val="TableParagraph"/>
              <w:spacing w:before="228"/>
              <w:rPr>
                <w:b/>
                <w:sz w:val="20"/>
              </w:rPr>
            </w:pPr>
          </w:p>
          <w:p>
            <w:pPr>
              <w:pStyle w:val="TableParagraph"/>
              <w:ind w:left="121" w:right="114"/>
              <w:jc w:val="center"/>
              <w:rPr>
                <w:sz w:val="20"/>
              </w:rPr>
            </w:pPr>
            <w:r>
              <w:rPr>
                <w:spacing w:val="-10"/>
                <w:sz w:val="20"/>
              </w:rPr>
              <w:t>4</w:t>
            </w:r>
          </w:p>
        </w:tc>
        <w:tc>
          <w:tcPr>
            <w:tcW w:w="1495" w:type="dxa"/>
          </w:tcPr>
          <w:p>
            <w:pPr>
              <w:pStyle w:val="TableParagraph"/>
              <w:rPr>
                <w:b/>
                <w:sz w:val="20"/>
              </w:rPr>
            </w:pPr>
          </w:p>
          <w:p>
            <w:pPr>
              <w:pStyle w:val="TableParagraph"/>
              <w:spacing w:before="113"/>
              <w:rPr>
                <w:b/>
                <w:sz w:val="20"/>
              </w:rPr>
            </w:pPr>
          </w:p>
          <w:p>
            <w:pPr>
              <w:pStyle w:val="TableParagraph"/>
              <w:ind w:left="68"/>
              <w:rPr>
                <w:sz w:val="20"/>
              </w:rPr>
            </w:pPr>
            <w:r>
              <w:rPr>
                <w:sz w:val="20"/>
              </w:rPr>
              <w:t>cantidad de </w:t>
            </w:r>
            <w:r>
              <w:rPr>
                <w:spacing w:val="-2"/>
                <w:sz w:val="20"/>
              </w:rPr>
              <w:t>publicaciones realizadas, </w:t>
            </w:r>
            <w:r>
              <w:rPr>
                <w:sz w:val="20"/>
              </w:rPr>
              <w:t>según medio</w:t>
            </w:r>
          </w:p>
        </w:tc>
        <w:tc>
          <w:tcPr>
            <w:tcW w:w="1276" w:type="dxa"/>
          </w:tcPr>
          <w:p>
            <w:pPr>
              <w:pStyle w:val="TableParagraph"/>
              <w:rPr>
                <w:b/>
                <w:sz w:val="20"/>
              </w:rPr>
            </w:pPr>
          </w:p>
          <w:p>
            <w:pPr>
              <w:pStyle w:val="TableParagraph"/>
              <w:rPr>
                <w:b/>
                <w:sz w:val="20"/>
              </w:rPr>
            </w:pPr>
          </w:p>
          <w:p>
            <w:pPr>
              <w:pStyle w:val="TableParagraph"/>
              <w:spacing w:before="113"/>
              <w:rPr>
                <w:b/>
                <w:sz w:val="20"/>
              </w:rPr>
            </w:pPr>
          </w:p>
          <w:p>
            <w:pPr>
              <w:pStyle w:val="TableParagraph"/>
              <w:ind w:left="71"/>
              <w:rPr>
                <w:sz w:val="20"/>
              </w:rPr>
            </w:pPr>
            <w:r>
              <w:rPr>
                <w:spacing w:val="-2"/>
                <w:sz w:val="20"/>
              </w:rPr>
              <w:t>Informe trimestral</w:t>
            </w:r>
          </w:p>
        </w:tc>
        <w:tc>
          <w:tcPr>
            <w:tcW w:w="1418" w:type="dxa"/>
          </w:tcPr>
          <w:p>
            <w:pPr>
              <w:pStyle w:val="TableParagraph"/>
              <w:rPr>
                <w:b/>
                <w:sz w:val="20"/>
              </w:rPr>
            </w:pPr>
          </w:p>
          <w:p>
            <w:pPr>
              <w:pStyle w:val="TableParagraph"/>
              <w:spacing w:before="228"/>
              <w:rPr>
                <w:b/>
                <w:sz w:val="20"/>
              </w:rPr>
            </w:pPr>
          </w:p>
          <w:p>
            <w:pPr>
              <w:pStyle w:val="TableParagraph"/>
              <w:ind w:left="69" w:right="293"/>
              <w:jc w:val="both"/>
              <w:rPr>
                <w:sz w:val="20"/>
              </w:rPr>
            </w:pPr>
            <w:r>
              <w:rPr>
                <w:sz w:val="20"/>
              </w:rPr>
              <w:t>Jefatura de Mercadeo</w:t>
            </w:r>
            <w:r>
              <w:rPr>
                <w:spacing w:val="-14"/>
                <w:sz w:val="20"/>
              </w:rPr>
              <w:t> </w:t>
            </w:r>
            <w:r>
              <w:rPr>
                <w:sz w:val="20"/>
              </w:rPr>
              <w:t>y </w:t>
            </w:r>
            <w:r>
              <w:rPr>
                <w:spacing w:val="-2"/>
                <w:sz w:val="20"/>
              </w:rPr>
              <w:t>Ventas</w:t>
            </w:r>
          </w:p>
        </w:tc>
        <w:tc>
          <w:tcPr>
            <w:tcW w:w="1697" w:type="dxa"/>
          </w:tcPr>
          <w:p>
            <w:pPr>
              <w:pStyle w:val="TableParagraph"/>
              <w:rPr>
                <w:b/>
                <w:sz w:val="20"/>
              </w:rPr>
            </w:pPr>
          </w:p>
          <w:p>
            <w:pPr>
              <w:pStyle w:val="TableParagraph"/>
              <w:rPr>
                <w:b/>
                <w:sz w:val="20"/>
              </w:rPr>
            </w:pPr>
          </w:p>
          <w:p>
            <w:pPr>
              <w:pStyle w:val="TableParagraph"/>
              <w:spacing w:before="228"/>
              <w:rPr>
                <w:b/>
                <w:sz w:val="20"/>
              </w:rPr>
            </w:pPr>
          </w:p>
          <w:p>
            <w:pPr>
              <w:pStyle w:val="TableParagraph"/>
              <w:ind w:right="54"/>
              <w:jc w:val="right"/>
              <w:rPr>
                <w:sz w:val="20"/>
              </w:rPr>
            </w:pPr>
            <w:r>
              <w:rPr>
                <w:sz w:val="20"/>
              </w:rPr>
              <w:t>₡15</w:t>
            </w:r>
            <w:r>
              <w:rPr>
                <w:spacing w:val="-8"/>
                <w:sz w:val="20"/>
              </w:rPr>
              <w:t> </w:t>
            </w:r>
            <w:r>
              <w:rPr>
                <w:sz w:val="20"/>
              </w:rPr>
              <w:t>000</w:t>
            </w:r>
            <w:r>
              <w:rPr>
                <w:spacing w:val="-3"/>
                <w:sz w:val="20"/>
              </w:rPr>
              <w:t> </w:t>
            </w:r>
            <w:r>
              <w:rPr>
                <w:spacing w:val="-5"/>
                <w:sz w:val="20"/>
              </w:rPr>
              <w:t>000</w:t>
            </w:r>
          </w:p>
        </w:tc>
        <w:tc>
          <w:tcPr>
            <w:tcW w:w="2129" w:type="dxa"/>
            <w:vMerge w:val="restart"/>
          </w:tcPr>
          <w:p>
            <w:pPr>
              <w:pStyle w:val="TableParagraph"/>
              <w:rPr>
                <w:b/>
                <w:sz w:val="20"/>
              </w:rPr>
            </w:pPr>
          </w:p>
          <w:p>
            <w:pPr>
              <w:pStyle w:val="TableParagraph"/>
              <w:spacing w:before="24"/>
              <w:rPr>
                <w:b/>
                <w:sz w:val="20"/>
              </w:rPr>
            </w:pPr>
          </w:p>
          <w:p>
            <w:pPr>
              <w:pStyle w:val="TableParagraph"/>
              <w:ind w:left="92" w:right="61"/>
              <w:rPr>
                <w:sz w:val="20"/>
              </w:rPr>
            </w:pPr>
            <w:r>
              <w:rPr>
                <w:sz w:val="20"/>
              </w:rPr>
              <w:t>Evento: Los clientes se muestran más cautelosos al momento de adquirir productos</w:t>
            </w:r>
            <w:r>
              <w:rPr>
                <w:spacing w:val="-14"/>
                <w:sz w:val="20"/>
              </w:rPr>
              <w:t> </w:t>
            </w:r>
            <w:r>
              <w:rPr>
                <w:sz w:val="20"/>
              </w:rPr>
              <w:t>debido</w:t>
            </w:r>
            <w:r>
              <w:rPr>
                <w:spacing w:val="-14"/>
                <w:sz w:val="20"/>
              </w:rPr>
              <w:t> </w:t>
            </w:r>
            <w:r>
              <w:rPr>
                <w:sz w:val="20"/>
              </w:rPr>
              <w:t>a</w:t>
            </w:r>
            <w:r>
              <w:rPr>
                <w:spacing w:val="-13"/>
                <w:sz w:val="20"/>
              </w:rPr>
              <w:t> </w:t>
            </w:r>
            <w:r>
              <w:rPr>
                <w:sz w:val="20"/>
              </w:rPr>
              <w:t>la situación económica Global y políticas generadas por los Estados Unidos.</w:t>
            </w:r>
          </w:p>
        </w:tc>
      </w:tr>
      <w:tr>
        <w:trPr>
          <w:trHeight w:val="962" w:hRule="atLeast"/>
        </w:trPr>
        <w:tc>
          <w:tcPr>
            <w:tcW w:w="3120" w:type="dxa"/>
          </w:tcPr>
          <w:p>
            <w:pPr>
              <w:pStyle w:val="TableParagraph"/>
              <w:spacing w:before="21"/>
              <w:ind w:left="69"/>
              <w:rPr>
                <w:sz w:val="20"/>
              </w:rPr>
            </w:pPr>
            <w:r>
              <w:rPr>
                <w:b/>
                <w:sz w:val="20"/>
              </w:rPr>
              <w:t>Actividad</w:t>
            </w:r>
            <w:r>
              <w:rPr>
                <w:b/>
                <w:spacing w:val="-9"/>
                <w:sz w:val="20"/>
              </w:rPr>
              <w:t> </w:t>
            </w:r>
            <w:r>
              <w:rPr>
                <w:b/>
                <w:sz w:val="20"/>
              </w:rPr>
              <w:t>PEC</w:t>
            </w:r>
            <w:r>
              <w:rPr>
                <w:b/>
                <w:spacing w:val="-11"/>
                <w:sz w:val="20"/>
              </w:rPr>
              <w:t> </w:t>
            </w:r>
            <w:r>
              <w:rPr>
                <w:b/>
                <w:sz w:val="20"/>
              </w:rPr>
              <w:t>3.4.2:</w:t>
            </w:r>
            <w:r>
              <w:rPr>
                <w:b/>
                <w:spacing w:val="-11"/>
                <w:sz w:val="20"/>
              </w:rPr>
              <w:t> </w:t>
            </w:r>
            <w:r>
              <w:rPr>
                <w:sz w:val="20"/>
              </w:rPr>
              <w:t>Realizar compras de mercancía y contribuyan</w:t>
            </w:r>
            <w:r>
              <w:rPr>
                <w:spacing w:val="-12"/>
                <w:sz w:val="20"/>
              </w:rPr>
              <w:t> </w:t>
            </w:r>
            <w:r>
              <w:rPr>
                <w:sz w:val="20"/>
              </w:rPr>
              <w:t>a</w:t>
            </w:r>
            <w:r>
              <w:rPr>
                <w:spacing w:val="-10"/>
                <w:sz w:val="20"/>
              </w:rPr>
              <w:t> </w:t>
            </w:r>
            <w:r>
              <w:rPr>
                <w:sz w:val="20"/>
              </w:rPr>
              <w:t>la</w:t>
            </w:r>
            <w:r>
              <w:rPr>
                <w:spacing w:val="-10"/>
                <w:sz w:val="20"/>
              </w:rPr>
              <w:t> </w:t>
            </w:r>
            <w:r>
              <w:rPr>
                <w:sz w:val="20"/>
              </w:rPr>
              <w:t>generación</w:t>
            </w:r>
            <w:r>
              <w:rPr>
                <w:spacing w:val="-11"/>
                <w:sz w:val="20"/>
              </w:rPr>
              <w:t> </w:t>
            </w:r>
            <w:r>
              <w:rPr>
                <w:sz w:val="20"/>
              </w:rPr>
              <w:t>de ventas (Partidas 2.05.02)</w:t>
            </w:r>
          </w:p>
        </w:tc>
        <w:tc>
          <w:tcPr>
            <w:tcW w:w="1841" w:type="dxa"/>
          </w:tcPr>
          <w:p>
            <w:pPr>
              <w:pStyle w:val="TableParagraph"/>
              <w:rPr>
                <w:b/>
                <w:sz w:val="20"/>
              </w:rPr>
            </w:pPr>
          </w:p>
          <w:p>
            <w:pPr>
              <w:pStyle w:val="TableParagraph"/>
              <w:spacing w:before="20"/>
              <w:rPr>
                <w:b/>
                <w:sz w:val="20"/>
              </w:rPr>
            </w:pPr>
          </w:p>
          <w:p>
            <w:pPr>
              <w:pStyle w:val="TableParagraph"/>
              <w:ind w:left="8" w:right="1"/>
              <w:jc w:val="center"/>
              <w:rPr>
                <w:sz w:val="20"/>
              </w:rPr>
            </w:pPr>
            <w:r>
              <w:rPr>
                <w:spacing w:val="-2"/>
                <w:sz w:val="20"/>
              </w:rPr>
              <w:t>₡13.838.909.150</w:t>
            </w:r>
          </w:p>
        </w:tc>
        <w:tc>
          <w:tcPr>
            <w:tcW w:w="1766" w:type="dxa"/>
          </w:tcPr>
          <w:p>
            <w:pPr>
              <w:pStyle w:val="TableParagraph"/>
              <w:spacing w:before="137"/>
              <w:rPr>
                <w:b/>
                <w:sz w:val="20"/>
              </w:rPr>
            </w:pPr>
          </w:p>
          <w:p>
            <w:pPr>
              <w:pStyle w:val="TableParagraph"/>
              <w:ind w:left="121" w:right="116"/>
              <w:jc w:val="center"/>
              <w:rPr>
                <w:sz w:val="20"/>
              </w:rPr>
            </w:pPr>
            <w:r>
              <w:rPr>
                <w:spacing w:val="-4"/>
                <w:sz w:val="20"/>
              </w:rPr>
              <w:t>100%</w:t>
            </w:r>
          </w:p>
        </w:tc>
        <w:tc>
          <w:tcPr>
            <w:tcW w:w="1495" w:type="dxa"/>
          </w:tcPr>
          <w:p>
            <w:pPr>
              <w:pStyle w:val="TableParagraph"/>
              <w:spacing w:before="136"/>
              <w:ind w:left="68" w:right="287"/>
              <w:rPr>
                <w:sz w:val="20"/>
              </w:rPr>
            </w:pPr>
            <w:r>
              <w:rPr>
                <w:sz w:val="20"/>
              </w:rPr>
              <w:t>% de ejecución</w:t>
            </w:r>
            <w:r>
              <w:rPr>
                <w:spacing w:val="-14"/>
                <w:sz w:val="20"/>
              </w:rPr>
              <w:t> </w:t>
            </w:r>
            <w:r>
              <w:rPr>
                <w:sz w:val="20"/>
              </w:rPr>
              <w:t>de </w:t>
            </w:r>
            <w:r>
              <w:rPr>
                <w:spacing w:val="-2"/>
                <w:sz w:val="20"/>
              </w:rPr>
              <w:t>Compras</w:t>
            </w:r>
          </w:p>
        </w:tc>
        <w:tc>
          <w:tcPr>
            <w:tcW w:w="1276" w:type="dxa"/>
          </w:tcPr>
          <w:p>
            <w:pPr>
              <w:pStyle w:val="TableParagraph"/>
              <w:rPr>
                <w:rFonts w:ascii="Times New Roman"/>
                <w:sz w:val="20"/>
              </w:rPr>
            </w:pPr>
          </w:p>
        </w:tc>
        <w:tc>
          <w:tcPr>
            <w:tcW w:w="1418" w:type="dxa"/>
          </w:tcPr>
          <w:p>
            <w:pPr>
              <w:pStyle w:val="TableParagraph"/>
              <w:spacing w:before="21"/>
              <w:ind w:left="69" w:right="73"/>
              <w:rPr>
                <w:sz w:val="20"/>
              </w:rPr>
            </w:pPr>
            <w:r>
              <w:rPr>
                <w:sz w:val="20"/>
              </w:rPr>
              <w:t>Jefatura de Logística e </w:t>
            </w:r>
            <w:r>
              <w:rPr>
                <w:spacing w:val="-2"/>
                <w:sz w:val="20"/>
              </w:rPr>
              <w:t>Importaciones </w:t>
            </w:r>
            <w:r>
              <w:rPr>
                <w:sz w:val="20"/>
              </w:rPr>
              <w:t>y Jefatura de</w:t>
            </w:r>
          </w:p>
        </w:tc>
        <w:tc>
          <w:tcPr>
            <w:tcW w:w="1697" w:type="dxa"/>
          </w:tcPr>
          <w:p>
            <w:pPr>
              <w:pStyle w:val="TableParagraph"/>
              <w:spacing w:before="137"/>
              <w:rPr>
                <w:b/>
                <w:sz w:val="20"/>
              </w:rPr>
            </w:pPr>
          </w:p>
          <w:p>
            <w:pPr>
              <w:pStyle w:val="TableParagraph"/>
              <w:ind w:right="54"/>
              <w:jc w:val="right"/>
              <w:rPr>
                <w:sz w:val="20"/>
              </w:rPr>
            </w:pPr>
            <w:r>
              <w:rPr>
                <w:sz w:val="20"/>
              </w:rPr>
              <w:t>₡12</w:t>
            </w:r>
            <w:r>
              <w:rPr>
                <w:spacing w:val="-6"/>
                <w:sz w:val="20"/>
              </w:rPr>
              <w:t> </w:t>
            </w:r>
            <w:r>
              <w:rPr>
                <w:sz w:val="20"/>
              </w:rPr>
              <w:t>133</w:t>
            </w:r>
            <w:r>
              <w:rPr>
                <w:spacing w:val="-3"/>
                <w:sz w:val="20"/>
              </w:rPr>
              <w:t> </w:t>
            </w:r>
            <w:r>
              <w:rPr>
                <w:sz w:val="20"/>
              </w:rPr>
              <w:t>213</w:t>
            </w:r>
            <w:r>
              <w:rPr>
                <w:spacing w:val="-3"/>
                <w:sz w:val="20"/>
              </w:rPr>
              <w:t> </w:t>
            </w:r>
            <w:r>
              <w:rPr>
                <w:spacing w:val="-5"/>
                <w:sz w:val="20"/>
              </w:rPr>
              <w:t>989</w:t>
            </w:r>
          </w:p>
        </w:tc>
        <w:tc>
          <w:tcPr>
            <w:tcW w:w="2129" w:type="dxa"/>
            <w:vMerge/>
            <w:tcBorders>
              <w:top w:val="nil"/>
            </w:tcBorders>
          </w:tcPr>
          <w:p>
            <w:pPr>
              <w:rPr>
                <w:sz w:val="2"/>
                <w:szCs w:val="2"/>
              </w:rPr>
            </w:pPr>
          </w:p>
        </w:tc>
      </w:tr>
    </w:tbl>
    <w:p>
      <w:pPr>
        <w:spacing w:after="0"/>
        <w:rPr>
          <w:sz w:val="2"/>
          <w:szCs w:val="2"/>
        </w:rPr>
        <w:sectPr>
          <w:footerReference w:type="default" r:id="rId55"/>
          <w:pgSz w:w="15840" w:h="12240" w:orient="landscape"/>
          <w:pgMar w:header="0" w:footer="1530" w:top="1380" w:bottom="1720" w:left="360" w:right="360"/>
          <w:pgNumType w:start="157"/>
        </w:sectPr>
      </w:pPr>
    </w:p>
    <w:p>
      <w:pPr>
        <w:pStyle w:val="BodyText"/>
        <w:spacing w:before="7" w:after="1"/>
        <w:rPr>
          <w:b/>
          <w:sz w:val="15"/>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20"/>
        <w:gridCol w:w="1841"/>
        <w:gridCol w:w="1766"/>
        <w:gridCol w:w="1495"/>
        <w:gridCol w:w="1276"/>
        <w:gridCol w:w="1418"/>
        <w:gridCol w:w="1695"/>
        <w:gridCol w:w="2131"/>
      </w:tblGrid>
      <w:tr>
        <w:trPr>
          <w:trHeight w:val="875" w:hRule="atLeast"/>
        </w:trPr>
        <w:tc>
          <w:tcPr>
            <w:tcW w:w="3120" w:type="dxa"/>
            <w:shd w:val="clear" w:color="auto" w:fill="D7D7D7"/>
          </w:tcPr>
          <w:p>
            <w:pPr>
              <w:pStyle w:val="TableParagraph"/>
              <w:spacing w:before="91"/>
              <w:rPr>
                <w:b/>
                <w:sz w:val="20"/>
              </w:rPr>
            </w:pPr>
          </w:p>
          <w:p>
            <w:pPr>
              <w:pStyle w:val="TableParagraph"/>
              <w:ind w:left="479"/>
              <w:rPr>
                <w:b/>
                <w:sz w:val="20"/>
              </w:rPr>
            </w:pPr>
            <w:r>
              <w:rPr>
                <w:b/>
                <w:sz w:val="20"/>
              </w:rPr>
              <w:t>Objetivos</w:t>
            </w:r>
            <w:r>
              <w:rPr>
                <w:b/>
                <w:spacing w:val="-9"/>
                <w:sz w:val="20"/>
              </w:rPr>
              <w:t> </w:t>
            </w:r>
            <w:r>
              <w:rPr>
                <w:b/>
                <w:sz w:val="20"/>
              </w:rPr>
              <w:t>/</w:t>
            </w:r>
            <w:r>
              <w:rPr>
                <w:b/>
                <w:spacing w:val="-9"/>
                <w:sz w:val="20"/>
              </w:rPr>
              <w:t> </w:t>
            </w:r>
            <w:r>
              <w:rPr>
                <w:b/>
                <w:spacing w:val="-2"/>
                <w:sz w:val="20"/>
              </w:rPr>
              <w:t>Resultados</w:t>
            </w:r>
          </w:p>
        </w:tc>
        <w:tc>
          <w:tcPr>
            <w:tcW w:w="1841" w:type="dxa"/>
            <w:shd w:val="clear" w:color="auto" w:fill="D7D7D7"/>
          </w:tcPr>
          <w:p>
            <w:pPr>
              <w:pStyle w:val="TableParagraph"/>
              <w:spacing w:before="91"/>
              <w:rPr>
                <w:b/>
                <w:sz w:val="20"/>
              </w:rPr>
            </w:pPr>
          </w:p>
          <w:p>
            <w:pPr>
              <w:pStyle w:val="TableParagraph"/>
              <w:ind w:left="8" w:right="5"/>
              <w:jc w:val="center"/>
              <w:rPr>
                <w:b/>
                <w:sz w:val="20"/>
              </w:rPr>
            </w:pPr>
            <w:r>
              <w:rPr>
                <w:b/>
                <w:sz w:val="20"/>
              </w:rPr>
              <w:t>Línea</w:t>
            </w:r>
            <w:r>
              <w:rPr>
                <w:b/>
                <w:spacing w:val="-11"/>
                <w:sz w:val="20"/>
              </w:rPr>
              <w:t> </w:t>
            </w:r>
            <w:r>
              <w:rPr>
                <w:b/>
                <w:sz w:val="20"/>
              </w:rPr>
              <w:t>Base</w:t>
            </w:r>
            <w:r>
              <w:rPr>
                <w:b/>
                <w:spacing w:val="-8"/>
                <w:sz w:val="20"/>
              </w:rPr>
              <w:t> </w:t>
            </w:r>
            <w:r>
              <w:rPr>
                <w:b/>
                <w:spacing w:val="-2"/>
                <w:sz w:val="20"/>
              </w:rPr>
              <w:t>(2025)</w:t>
            </w:r>
          </w:p>
        </w:tc>
        <w:tc>
          <w:tcPr>
            <w:tcW w:w="1766" w:type="dxa"/>
            <w:shd w:val="clear" w:color="auto" w:fill="D7D7D7"/>
          </w:tcPr>
          <w:p>
            <w:pPr>
              <w:pStyle w:val="TableParagraph"/>
              <w:spacing w:before="93"/>
              <w:ind w:left="121" w:right="110"/>
              <w:jc w:val="center"/>
              <w:rPr>
                <w:b/>
                <w:sz w:val="20"/>
              </w:rPr>
            </w:pPr>
            <w:r>
              <w:rPr>
                <w:b/>
                <w:spacing w:val="-4"/>
                <w:sz w:val="20"/>
              </w:rPr>
              <w:t>Meta </w:t>
            </w:r>
            <w:r>
              <w:rPr>
                <w:b/>
                <w:spacing w:val="-2"/>
                <w:sz w:val="20"/>
              </w:rPr>
              <w:t>programada </w:t>
            </w:r>
            <w:r>
              <w:rPr>
                <w:b/>
                <w:spacing w:val="-4"/>
                <w:sz w:val="20"/>
              </w:rPr>
              <w:t>2027</w:t>
            </w:r>
          </w:p>
        </w:tc>
        <w:tc>
          <w:tcPr>
            <w:tcW w:w="1495" w:type="dxa"/>
            <w:shd w:val="clear" w:color="auto" w:fill="D7D7D7"/>
          </w:tcPr>
          <w:p>
            <w:pPr>
              <w:pStyle w:val="TableParagraph"/>
              <w:spacing w:before="91"/>
              <w:rPr>
                <w:b/>
                <w:sz w:val="20"/>
              </w:rPr>
            </w:pPr>
          </w:p>
          <w:p>
            <w:pPr>
              <w:pStyle w:val="TableParagraph"/>
              <w:ind w:left="296"/>
              <w:rPr>
                <w:b/>
                <w:sz w:val="20"/>
              </w:rPr>
            </w:pPr>
            <w:r>
              <w:rPr>
                <w:b/>
                <w:spacing w:val="-2"/>
                <w:sz w:val="20"/>
              </w:rPr>
              <w:t>Indicador</w:t>
            </w:r>
          </w:p>
        </w:tc>
        <w:tc>
          <w:tcPr>
            <w:tcW w:w="1276" w:type="dxa"/>
            <w:shd w:val="clear" w:color="auto" w:fill="D7D7D7"/>
          </w:tcPr>
          <w:p>
            <w:pPr>
              <w:pStyle w:val="TableParagraph"/>
              <w:spacing w:before="206"/>
              <w:ind w:left="83" w:firstLine="67"/>
              <w:rPr>
                <w:b/>
                <w:sz w:val="20"/>
              </w:rPr>
            </w:pPr>
            <w:r>
              <w:rPr>
                <w:b/>
                <w:sz w:val="20"/>
              </w:rPr>
              <w:t>Medios de </w:t>
            </w:r>
            <w:r>
              <w:rPr>
                <w:b/>
                <w:spacing w:val="-2"/>
                <w:sz w:val="20"/>
              </w:rPr>
              <w:t>verificación</w:t>
            </w:r>
          </w:p>
        </w:tc>
        <w:tc>
          <w:tcPr>
            <w:tcW w:w="1418" w:type="dxa"/>
            <w:shd w:val="clear" w:color="auto" w:fill="D7D7D7"/>
          </w:tcPr>
          <w:p>
            <w:pPr>
              <w:pStyle w:val="TableParagraph"/>
              <w:spacing w:before="91"/>
              <w:rPr>
                <w:b/>
                <w:sz w:val="20"/>
              </w:rPr>
            </w:pPr>
          </w:p>
          <w:p>
            <w:pPr>
              <w:pStyle w:val="TableParagraph"/>
              <w:ind w:left="86"/>
              <w:rPr>
                <w:b/>
                <w:sz w:val="20"/>
              </w:rPr>
            </w:pPr>
            <w:r>
              <w:rPr>
                <w:b/>
                <w:spacing w:val="-2"/>
                <w:sz w:val="20"/>
              </w:rPr>
              <w:t>Responsable</w:t>
            </w:r>
          </w:p>
        </w:tc>
        <w:tc>
          <w:tcPr>
            <w:tcW w:w="1695" w:type="dxa"/>
            <w:shd w:val="clear" w:color="auto" w:fill="D7D7D7"/>
          </w:tcPr>
          <w:p>
            <w:pPr>
              <w:pStyle w:val="TableParagraph"/>
              <w:spacing w:before="206"/>
              <w:ind w:left="413" w:hanging="166"/>
              <w:rPr>
                <w:b/>
                <w:sz w:val="20"/>
              </w:rPr>
            </w:pPr>
            <w:r>
              <w:rPr>
                <w:b/>
                <w:spacing w:val="-2"/>
                <w:sz w:val="20"/>
              </w:rPr>
              <w:t>Presupuesto asignado</w:t>
            </w:r>
          </w:p>
        </w:tc>
        <w:tc>
          <w:tcPr>
            <w:tcW w:w="2131" w:type="dxa"/>
            <w:tcBorders>
              <w:bottom w:val="nil"/>
            </w:tcBorders>
            <w:shd w:val="clear" w:color="auto" w:fill="D7D7D7"/>
          </w:tcPr>
          <w:p>
            <w:pPr>
              <w:pStyle w:val="TableParagraph"/>
              <w:spacing w:before="91"/>
              <w:rPr>
                <w:b/>
                <w:sz w:val="20"/>
              </w:rPr>
            </w:pPr>
          </w:p>
          <w:p>
            <w:pPr>
              <w:pStyle w:val="TableParagraph"/>
              <w:ind w:left="230"/>
              <w:rPr>
                <w:b/>
                <w:sz w:val="20"/>
              </w:rPr>
            </w:pPr>
            <w:r>
              <w:rPr>
                <w:b/>
                <w:sz w:val="20"/>
              </w:rPr>
              <w:t>Riesgo</w:t>
            </w:r>
            <w:r>
              <w:rPr>
                <w:b/>
                <w:spacing w:val="-9"/>
                <w:sz w:val="20"/>
              </w:rPr>
              <w:t> </w:t>
            </w:r>
            <w:r>
              <w:rPr>
                <w:b/>
                <w:spacing w:val="-2"/>
                <w:sz w:val="20"/>
              </w:rPr>
              <w:t>Vinculado</w:t>
            </w:r>
          </w:p>
        </w:tc>
      </w:tr>
      <w:tr>
        <w:trPr>
          <w:trHeight w:val="959" w:hRule="atLeast"/>
        </w:trPr>
        <w:tc>
          <w:tcPr>
            <w:tcW w:w="3120" w:type="dxa"/>
          </w:tcPr>
          <w:p>
            <w:pPr>
              <w:pStyle w:val="TableParagraph"/>
              <w:rPr>
                <w:rFonts w:ascii="Times New Roman"/>
                <w:sz w:val="20"/>
              </w:rPr>
            </w:pPr>
          </w:p>
        </w:tc>
        <w:tc>
          <w:tcPr>
            <w:tcW w:w="1841" w:type="dxa"/>
          </w:tcPr>
          <w:p>
            <w:pPr>
              <w:pStyle w:val="TableParagraph"/>
              <w:rPr>
                <w:rFonts w:ascii="Times New Roman"/>
                <w:sz w:val="20"/>
              </w:rPr>
            </w:pPr>
          </w:p>
        </w:tc>
        <w:tc>
          <w:tcPr>
            <w:tcW w:w="1766" w:type="dxa"/>
          </w:tcPr>
          <w:p>
            <w:pPr>
              <w:pStyle w:val="TableParagraph"/>
              <w:rPr>
                <w:rFonts w:ascii="Times New Roman"/>
                <w:sz w:val="20"/>
              </w:rPr>
            </w:pPr>
          </w:p>
        </w:tc>
        <w:tc>
          <w:tcPr>
            <w:tcW w:w="1495" w:type="dxa"/>
          </w:tcPr>
          <w:p>
            <w:pPr>
              <w:pStyle w:val="TableParagraph"/>
              <w:rPr>
                <w:rFonts w:ascii="Times New Roman"/>
                <w:sz w:val="20"/>
              </w:rPr>
            </w:pPr>
          </w:p>
        </w:tc>
        <w:tc>
          <w:tcPr>
            <w:tcW w:w="1276" w:type="dxa"/>
          </w:tcPr>
          <w:p>
            <w:pPr>
              <w:pStyle w:val="TableParagraph"/>
              <w:rPr>
                <w:rFonts w:ascii="Times New Roman"/>
                <w:sz w:val="20"/>
              </w:rPr>
            </w:pPr>
          </w:p>
        </w:tc>
        <w:tc>
          <w:tcPr>
            <w:tcW w:w="1418" w:type="dxa"/>
          </w:tcPr>
          <w:p>
            <w:pPr>
              <w:pStyle w:val="TableParagraph"/>
              <w:ind w:left="69" w:right="288"/>
              <w:rPr>
                <w:sz w:val="20"/>
              </w:rPr>
            </w:pPr>
            <w:r>
              <w:rPr>
                <w:sz w:val="20"/>
              </w:rPr>
              <w:t>Mercadeo</w:t>
            </w:r>
            <w:r>
              <w:rPr>
                <w:spacing w:val="-14"/>
                <w:sz w:val="20"/>
              </w:rPr>
              <w:t> </w:t>
            </w:r>
            <w:r>
              <w:rPr>
                <w:sz w:val="20"/>
              </w:rPr>
              <w:t>y </w:t>
            </w:r>
            <w:r>
              <w:rPr>
                <w:spacing w:val="-2"/>
                <w:sz w:val="20"/>
              </w:rPr>
              <w:t>Ventas</w:t>
            </w:r>
          </w:p>
        </w:tc>
        <w:tc>
          <w:tcPr>
            <w:tcW w:w="1695" w:type="dxa"/>
          </w:tcPr>
          <w:p>
            <w:pPr>
              <w:pStyle w:val="TableParagraph"/>
              <w:rPr>
                <w:rFonts w:ascii="Times New Roman"/>
                <w:sz w:val="20"/>
              </w:rPr>
            </w:pPr>
          </w:p>
        </w:tc>
        <w:tc>
          <w:tcPr>
            <w:tcW w:w="2131" w:type="dxa"/>
            <w:vMerge w:val="restart"/>
            <w:tcBorders>
              <w:top w:val="nil"/>
            </w:tcBorders>
          </w:tcPr>
          <w:p>
            <w:pPr>
              <w:pStyle w:val="TableParagraph"/>
              <w:rPr>
                <w:rFonts w:ascii="Times New Roman"/>
                <w:sz w:val="20"/>
              </w:rPr>
            </w:pPr>
          </w:p>
        </w:tc>
      </w:tr>
      <w:tr>
        <w:trPr>
          <w:trHeight w:val="1610" w:hRule="atLeast"/>
        </w:trPr>
        <w:tc>
          <w:tcPr>
            <w:tcW w:w="3120" w:type="dxa"/>
          </w:tcPr>
          <w:p>
            <w:pPr>
              <w:pStyle w:val="TableParagraph"/>
              <w:spacing w:before="115"/>
              <w:rPr>
                <w:b/>
                <w:sz w:val="20"/>
              </w:rPr>
            </w:pPr>
          </w:p>
          <w:p>
            <w:pPr>
              <w:pStyle w:val="TableParagraph"/>
              <w:ind w:left="69"/>
              <w:rPr>
                <w:sz w:val="20"/>
              </w:rPr>
            </w:pPr>
            <w:r>
              <w:rPr>
                <w:b/>
                <w:sz w:val="20"/>
              </w:rPr>
              <w:t>Actividad</w:t>
            </w:r>
            <w:r>
              <w:rPr>
                <w:b/>
                <w:spacing w:val="-9"/>
                <w:sz w:val="20"/>
              </w:rPr>
              <w:t> </w:t>
            </w:r>
            <w:r>
              <w:rPr>
                <w:b/>
                <w:sz w:val="20"/>
              </w:rPr>
              <w:t>PEC</w:t>
            </w:r>
            <w:r>
              <w:rPr>
                <w:b/>
                <w:spacing w:val="-11"/>
                <w:sz w:val="20"/>
              </w:rPr>
              <w:t> </w:t>
            </w:r>
            <w:r>
              <w:rPr>
                <w:b/>
                <w:sz w:val="20"/>
              </w:rPr>
              <w:t>3.4.3:</w:t>
            </w:r>
            <w:r>
              <w:rPr>
                <w:b/>
                <w:spacing w:val="-11"/>
                <w:sz w:val="20"/>
              </w:rPr>
              <w:t> </w:t>
            </w:r>
            <w:r>
              <w:rPr>
                <w:sz w:val="20"/>
              </w:rPr>
              <w:t>Realizar compras de equipos que contribuyan</w:t>
            </w:r>
            <w:r>
              <w:rPr>
                <w:spacing w:val="-12"/>
                <w:sz w:val="20"/>
              </w:rPr>
              <w:t> </w:t>
            </w:r>
            <w:r>
              <w:rPr>
                <w:sz w:val="20"/>
              </w:rPr>
              <w:t>a</w:t>
            </w:r>
            <w:r>
              <w:rPr>
                <w:spacing w:val="-10"/>
                <w:sz w:val="20"/>
              </w:rPr>
              <w:t> </w:t>
            </w:r>
            <w:r>
              <w:rPr>
                <w:sz w:val="20"/>
              </w:rPr>
              <w:t>la</w:t>
            </w:r>
            <w:r>
              <w:rPr>
                <w:spacing w:val="-10"/>
                <w:sz w:val="20"/>
              </w:rPr>
              <w:t> </w:t>
            </w:r>
            <w:r>
              <w:rPr>
                <w:sz w:val="20"/>
              </w:rPr>
              <w:t>generación</w:t>
            </w:r>
            <w:r>
              <w:rPr>
                <w:spacing w:val="-11"/>
                <w:sz w:val="20"/>
              </w:rPr>
              <w:t> </w:t>
            </w:r>
            <w:r>
              <w:rPr>
                <w:sz w:val="20"/>
              </w:rPr>
              <w:t>de ventas (Partidas 5.01.05)</w:t>
            </w:r>
          </w:p>
        </w:tc>
        <w:tc>
          <w:tcPr>
            <w:tcW w:w="1841" w:type="dxa"/>
          </w:tcPr>
          <w:p>
            <w:pPr>
              <w:pStyle w:val="TableParagraph"/>
              <w:rPr>
                <w:b/>
                <w:sz w:val="20"/>
              </w:rPr>
            </w:pPr>
          </w:p>
          <w:p>
            <w:pPr>
              <w:pStyle w:val="TableParagraph"/>
              <w:spacing w:before="228"/>
              <w:rPr>
                <w:b/>
                <w:sz w:val="20"/>
              </w:rPr>
            </w:pPr>
          </w:p>
          <w:p>
            <w:pPr>
              <w:pStyle w:val="TableParagraph"/>
              <w:spacing w:before="1"/>
              <w:ind w:left="8" w:right="2"/>
              <w:jc w:val="center"/>
              <w:rPr>
                <w:sz w:val="20"/>
              </w:rPr>
            </w:pPr>
            <w:r>
              <w:rPr>
                <w:spacing w:val="-5"/>
                <w:sz w:val="20"/>
              </w:rPr>
              <w:t>85%</w:t>
            </w:r>
          </w:p>
        </w:tc>
        <w:tc>
          <w:tcPr>
            <w:tcW w:w="1766" w:type="dxa"/>
          </w:tcPr>
          <w:p>
            <w:pPr>
              <w:pStyle w:val="TableParagraph"/>
              <w:rPr>
                <w:b/>
                <w:sz w:val="20"/>
              </w:rPr>
            </w:pPr>
          </w:p>
          <w:p>
            <w:pPr>
              <w:pStyle w:val="TableParagraph"/>
              <w:spacing w:before="228"/>
              <w:rPr>
                <w:b/>
                <w:sz w:val="20"/>
              </w:rPr>
            </w:pPr>
          </w:p>
          <w:p>
            <w:pPr>
              <w:pStyle w:val="TableParagraph"/>
              <w:spacing w:before="1"/>
              <w:ind w:left="121" w:right="116"/>
              <w:jc w:val="center"/>
              <w:rPr>
                <w:sz w:val="20"/>
              </w:rPr>
            </w:pPr>
            <w:r>
              <w:rPr>
                <w:spacing w:val="-4"/>
                <w:sz w:val="20"/>
              </w:rPr>
              <w:t>100%</w:t>
            </w:r>
          </w:p>
        </w:tc>
        <w:tc>
          <w:tcPr>
            <w:tcW w:w="1495" w:type="dxa"/>
          </w:tcPr>
          <w:p>
            <w:pPr>
              <w:pStyle w:val="TableParagraph"/>
              <w:rPr>
                <w:b/>
                <w:sz w:val="20"/>
              </w:rPr>
            </w:pPr>
          </w:p>
          <w:p>
            <w:pPr>
              <w:pStyle w:val="TableParagraph"/>
              <w:rPr>
                <w:b/>
                <w:sz w:val="20"/>
              </w:rPr>
            </w:pPr>
          </w:p>
          <w:p>
            <w:pPr>
              <w:pStyle w:val="TableParagraph"/>
              <w:spacing w:before="1"/>
              <w:ind w:left="68"/>
              <w:rPr>
                <w:sz w:val="20"/>
              </w:rPr>
            </w:pPr>
            <w:r>
              <w:rPr>
                <w:sz w:val="20"/>
              </w:rPr>
              <w:t>%</w:t>
            </w:r>
            <w:r>
              <w:rPr>
                <w:spacing w:val="-14"/>
                <w:sz w:val="20"/>
              </w:rPr>
              <w:t> </w:t>
            </w:r>
            <w:r>
              <w:rPr>
                <w:sz w:val="20"/>
              </w:rPr>
              <w:t>de</w:t>
            </w:r>
            <w:r>
              <w:rPr>
                <w:spacing w:val="-14"/>
                <w:sz w:val="20"/>
              </w:rPr>
              <w:t> </w:t>
            </w:r>
            <w:r>
              <w:rPr>
                <w:sz w:val="20"/>
              </w:rPr>
              <w:t>compras de equipos </w:t>
            </w:r>
            <w:r>
              <w:rPr>
                <w:spacing w:val="-2"/>
                <w:sz w:val="20"/>
              </w:rPr>
              <w:t>efectuadas</w:t>
            </w:r>
          </w:p>
        </w:tc>
        <w:tc>
          <w:tcPr>
            <w:tcW w:w="1276" w:type="dxa"/>
          </w:tcPr>
          <w:p>
            <w:pPr>
              <w:pStyle w:val="TableParagraph"/>
              <w:rPr>
                <w:b/>
                <w:sz w:val="20"/>
              </w:rPr>
            </w:pPr>
          </w:p>
          <w:p>
            <w:pPr>
              <w:pStyle w:val="TableParagraph"/>
              <w:spacing w:before="113"/>
              <w:rPr>
                <w:b/>
                <w:sz w:val="20"/>
              </w:rPr>
            </w:pPr>
          </w:p>
          <w:p>
            <w:pPr>
              <w:pStyle w:val="TableParagraph"/>
              <w:ind w:left="71"/>
              <w:rPr>
                <w:sz w:val="20"/>
              </w:rPr>
            </w:pPr>
            <w:r>
              <w:rPr>
                <w:spacing w:val="-2"/>
                <w:sz w:val="20"/>
              </w:rPr>
              <w:t>Informe Trimestral</w:t>
            </w:r>
          </w:p>
        </w:tc>
        <w:tc>
          <w:tcPr>
            <w:tcW w:w="1418" w:type="dxa"/>
          </w:tcPr>
          <w:p>
            <w:pPr>
              <w:pStyle w:val="TableParagraph"/>
              <w:ind w:left="69"/>
              <w:rPr>
                <w:sz w:val="20"/>
              </w:rPr>
            </w:pPr>
            <w:r>
              <w:rPr>
                <w:sz w:val="20"/>
              </w:rPr>
              <w:t>Jefaturas de Mercadeo y </w:t>
            </w:r>
            <w:r>
              <w:rPr>
                <w:spacing w:val="-2"/>
                <w:sz w:val="20"/>
              </w:rPr>
              <w:t>Ventas, Coordinación Administrativa</w:t>
            </w:r>
          </w:p>
          <w:p>
            <w:pPr>
              <w:pStyle w:val="TableParagraph"/>
              <w:spacing w:line="230" w:lineRule="atLeast"/>
              <w:ind w:left="69"/>
              <w:rPr>
                <w:sz w:val="20"/>
              </w:rPr>
            </w:pPr>
            <w:r>
              <w:rPr>
                <w:sz w:val="20"/>
              </w:rPr>
              <w:t>y Logística e </w:t>
            </w:r>
            <w:r>
              <w:rPr>
                <w:spacing w:val="-2"/>
                <w:sz w:val="20"/>
              </w:rPr>
              <w:t>Importaciones</w:t>
            </w:r>
          </w:p>
        </w:tc>
        <w:tc>
          <w:tcPr>
            <w:tcW w:w="1695" w:type="dxa"/>
          </w:tcPr>
          <w:p>
            <w:pPr>
              <w:pStyle w:val="TableParagraph"/>
              <w:rPr>
                <w:b/>
                <w:sz w:val="20"/>
              </w:rPr>
            </w:pPr>
          </w:p>
          <w:p>
            <w:pPr>
              <w:pStyle w:val="TableParagraph"/>
              <w:spacing w:before="228"/>
              <w:rPr>
                <w:b/>
                <w:sz w:val="20"/>
              </w:rPr>
            </w:pPr>
          </w:p>
          <w:p>
            <w:pPr>
              <w:pStyle w:val="TableParagraph"/>
              <w:spacing w:before="1"/>
              <w:ind w:left="487"/>
              <w:rPr>
                <w:sz w:val="20"/>
              </w:rPr>
            </w:pPr>
            <w:r>
              <w:rPr>
                <w:sz w:val="20"/>
              </w:rPr>
              <w:t>₡53</w:t>
            </w:r>
            <w:r>
              <w:rPr>
                <w:spacing w:val="-8"/>
                <w:sz w:val="20"/>
              </w:rPr>
              <w:t> </w:t>
            </w:r>
            <w:r>
              <w:rPr>
                <w:sz w:val="20"/>
              </w:rPr>
              <w:t>200</w:t>
            </w:r>
            <w:r>
              <w:rPr>
                <w:spacing w:val="-3"/>
                <w:sz w:val="20"/>
              </w:rPr>
              <w:t> </w:t>
            </w:r>
            <w:r>
              <w:rPr>
                <w:spacing w:val="-5"/>
                <w:sz w:val="20"/>
              </w:rPr>
              <w:t>000</w:t>
            </w:r>
          </w:p>
        </w:tc>
        <w:tc>
          <w:tcPr>
            <w:tcW w:w="2131" w:type="dxa"/>
            <w:vMerge/>
            <w:tcBorders>
              <w:top w:val="nil"/>
            </w:tcBorders>
          </w:tcPr>
          <w:p>
            <w:pPr>
              <w:rPr>
                <w:sz w:val="2"/>
                <w:szCs w:val="2"/>
              </w:rPr>
            </w:pPr>
          </w:p>
        </w:tc>
      </w:tr>
      <w:tr>
        <w:trPr>
          <w:trHeight w:val="1610" w:hRule="atLeast"/>
        </w:trPr>
        <w:tc>
          <w:tcPr>
            <w:tcW w:w="3120" w:type="dxa"/>
          </w:tcPr>
          <w:p>
            <w:pPr>
              <w:pStyle w:val="TableParagraph"/>
              <w:spacing w:before="115"/>
              <w:rPr>
                <w:b/>
                <w:sz w:val="20"/>
              </w:rPr>
            </w:pPr>
          </w:p>
          <w:p>
            <w:pPr>
              <w:pStyle w:val="TableParagraph"/>
              <w:ind w:left="69" w:right="173"/>
              <w:rPr>
                <w:sz w:val="20"/>
              </w:rPr>
            </w:pPr>
            <w:r>
              <w:rPr>
                <w:b/>
                <w:sz w:val="20"/>
              </w:rPr>
              <w:t>Actividad PEC 3.4.4: </w:t>
            </w:r>
            <w:r>
              <w:rPr>
                <w:sz w:val="20"/>
              </w:rPr>
              <w:t>Generación</w:t>
            </w:r>
            <w:r>
              <w:rPr>
                <w:spacing w:val="-14"/>
                <w:sz w:val="20"/>
              </w:rPr>
              <w:t> </w:t>
            </w:r>
            <w:r>
              <w:rPr>
                <w:sz w:val="20"/>
              </w:rPr>
              <w:t>de</w:t>
            </w:r>
            <w:r>
              <w:rPr>
                <w:spacing w:val="-14"/>
                <w:sz w:val="20"/>
              </w:rPr>
              <w:t> </w:t>
            </w:r>
            <w:r>
              <w:rPr>
                <w:sz w:val="20"/>
              </w:rPr>
              <w:t>utilidades</w:t>
            </w:r>
            <w:r>
              <w:rPr>
                <w:spacing w:val="-14"/>
                <w:sz w:val="20"/>
              </w:rPr>
              <w:t> </w:t>
            </w:r>
            <w:r>
              <w:rPr>
                <w:sz w:val="20"/>
              </w:rPr>
              <w:t>brutas en las tiendas libres de </w:t>
            </w:r>
            <w:r>
              <w:rPr>
                <w:spacing w:val="-2"/>
                <w:sz w:val="20"/>
              </w:rPr>
              <w:t>impuestos</w:t>
            </w:r>
          </w:p>
        </w:tc>
        <w:tc>
          <w:tcPr>
            <w:tcW w:w="1841" w:type="dxa"/>
          </w:tcPr>
          <w:p>
            <w:pPr>
              <w:pStyle w:val="TableParagraph"/>
              <w:rPr>
                <w:b/>
                <w:sz w:val="20"/>
              </w:rPr>
            </w:pPr>
          </w:p>
          <w:p>
            <w:pPr>
              <w:pStyle w:val="TableParagraph"/>
              <w:spacing w:before="228"/>
              <w:rPr>
                <w:b/>
                <w:sz w:val="20"/>
              </w:rPr>
            </w:pPr>
          </w:p>
          <w:p>
            <w:pPr>
              <w:pStyle w:val="TableParagraph"/>
              <w:ind w:left="8"/>
              <w:jc w:val="center"/>
              <w:rPr>
                <w:sz w:val="20"/>
              </w:rPr>
            </w:pPr>
            <w:r>
              <w:rPr>
                <w:sz w:val="20"/>
              </w:rPr>
              <w:t>₡7</w:t>
            </w:r>
            <w:r>
              <w:rPr>
                <w:spacing w:val="-5"/>
                <w:sz w:val="20"/>
              </w:rPr>
              <w:t> </w:t>
            </w:r>
            <w:r>
              <w:rPr>
                <w:sz w:val="20"/>
              </w:rPr>
              <w:t>822</w:t>
            </w:r>
            <w:r>
              <w:rPr>
                <w:spacing w:val="-4"/>
                <w:sz w:val="20"/>
              </w:rPr>
              <w:t> </w:t>
            </w:r>
            <w:r>
              <w:rPr>
                <w:sz w:val="20"/>
              </w:rPr>
              <w:t>570</w:t>
            </w:r>
            <w:r>
              <w:rPr>
                <w:spacing w:val="-4"/>
                <w:sz w:val="20"/>
              </w:rPr>
              <w:t> </w:t>
            </w:r>
            <w:r>
              <w:rPr>
                <w:spacing w:val="-5"/>
                <w:sz w:val="20"/>
              </w:rPr>
              <w:t>155</w:t>
            </w:r>
          </w:p>
        </w:tc>
        <w:tc>
          <w:tcPr>
            <w:tcW w:w="1766" w:type="dxa"/>
          </w:tcPr>
          <w:p>
            <w:pPr>
              <w:pStyle w:val="TableParagraph"/>
              <w:rPr>
                <w:b/>
                <w:sz w:val="20"/>
              </w:rPr>
            </w:pPr>
          </w:p>
          <w:p>
            <w:pPr>
              <w:pStyle w:val="TableParagraph"/>
              <w:spacing w:before="228"/>
              <w:rPr>
                <w:b/>
                <w:sz w:val="20"/>
              </w:rPr>
            </w:pPr>
          </w:p>
          <w:p>
            <w:pPr>
              <w:pStyle w:val="TableParagraph"/>
              <w:ind w:left="121" w:right="114"/>
              <w:jc w:val="center"/>
              <w:rPr>
                <w:sz w:val="20"/>
              </w:rPr>
            </w:pPr>
            <w:r>
              <w:rPr>
                <w:sz w:val="20"/>
              </w:rPr>
              <w:t>₡7</w:t>
            </w:r>
            <w:r>
              <w:rPr>
                <w:spacing w:val="-5"/>
                <w:sz w:val="20"/>
              </w:rPr>
              <w:t> </w:t>
            </w:r>
            <w:r>
              <w:rPr>
                <w:sz w:val="20"/>
              </w:rPr>
              <w:t>846</w:t>
            </w:r>
            <w:r>
              <w:rPr>
                <w:spacing w:val="-4"/>
                <w:sz w:val="20"/>
              </w:rPr>
              <w:t> </w:t>
            </w:r>
            <w:r>
              <w:rPr>
                <w:sz w:val="20"/>
              </w:rPr>
              <w:t>850</w:t>
            </w:r>
            <w:r>
              <w:rPr>
                <w:spacing w:val="-4"/>
                <w:sz w:val="20"/>
              </w:rPr>
              <w:t> </w:t>
            </w:r>
            <w:r>
              <w:rPr>
                <w:spacing w:val="-5"/>
                <w:sz w:val="20"/>
              </w:rPr>
              <w:t>993</w:t>
            </w:r>
          </w:p>
        </w:tc>
        <w:tc>
          <w:tcPr>
            <w:tcW w:w="1495" w:type="dxa"/>
          </w:tcPr>
          <w:p>
            <w:pPr>
              <w:pStyle w:val="TableParagraph"/>
              <w:ind w:left="68" w:right="221"/>
              <w:rPr>
                <w:sz w:val="20"/>
              </w:rPr>
            </w:pPr>
            <w:r>
              <w:rPr>
                <w:sz w:val="20"/>
              </w:rPr>
              <w:t>Monto de </w:t>
            </w:r>
            <w:r>
              <w:rPr>
                <w:spacing w:val="-2"/>
                <w:sz w:val="20"/>
              </w:rPr>
              <w:t>colones </w:t>
            </w:r>
            <w:r>
              <w:rPr>
                <w:sz w:val="20"/>
              </w:rPr>
              <w:t>producto de las</w:t>
            </w:r>
            <w:r>
              <w:rPr>
                <w:spacing w:val="-14"/>
                <w:sz w:val="20"/>
              </w:rPr>
              <w:t> </w:t>
            </w:r>
            <w:r>
              <w:rPr>
                <w:sz w:val="20"/>
              </w:rPr>
              <w:t>Utilidades Brutas</w:t>
            </w:r>
            <w:r>
              <w:rPr>
                <w:spacing w:val="-9"/>
                <w:sz w:val="20"/>
              </w:rPr>
              <w:t> </w:t>
            </w:r>
            <w:r>
              <w:rPr>
                <w:sz w:val="20"/>
              </w:rPr>
              <w:t>en</w:t>
            </w:r>
            <w:r>
              <w:rPr>
                <w:spacing w:val="-10"/>
                <w:sz w:val="20"/>
              </w:rPr>
              <w:t> </w:t>
            </w:r>
            <w:r>
              <w:rPr>
                <w:sz w:val="20"/>
              </w:rPr>
              <w:t>las tiendas</w:t>
            </w:r>
            <w:r>
              <w:rPr>
                <w:spacing w:val="-12"/>
                <w:sz w:val="20"/>
              </w:rPr>
              <w:t> </w:t>
            </w:r>
            <w:r>
              <w:rPr>
                <w:spacing w:val="-2"/>
                <w:sz w:val="20"/>
              </w:rPr>
              <w:t>libres</w:t>
            </w:r>
          </w:p>
          <w:p>
            <w:pPr>
              <w:pStyle w:val="TableParagraph"/>
              <w:spacing w:line="211" w:lineRule="exact"/>
              <w:ind w:left="68"/>
              <w:rPr>
                <w:sz w:val="20"/>
              </w:rPr>
            </w:pPr>
            <w:r>
              <w:rPr>
                <w:sz w:val="20"/>
              </w:rPr>
              <w:t>de</w:t>
            </w:r>
            <w:r>
              <w:rPr>
                <w:spacing w:val="-6"/>
                <w:sz w:val="20"/>
              </w:rPr>
              <w:t> </w:t>
            </w:r>
            <w:r>
              <w:rPr>
                <w:spacing w:val="-2"/>
                <w:sz w:val="20"/>
              </w:rPr>
              <w:t>impuestos</w:t>
            </w:r>
          </w:p>
        </w:tc>
        <w:tc>
          <w:tcPr>
            <w:tcW w:w="1276" w:type="dxa"/>
          </w:tcPr>
          <w:p>
            <w:pPr>
              <w:pStyle w:val="TableParagraph"/>
              <w:rPr>
                <w:b/>
                <w:sz w:val="20"/>
              </w:rPr>
            </w:pPr>
          </w:p>
          <w:p>
            <w:pPr>
              <w:pStyle w:val="TableParagraph"/>
              <w:spacing w:before="113"/>
              <w:rPr>
                <w:b/>
                <w:sz w:val="20"/>
              </w:rPr>
            </w:pPr>
          </w:p>
          <w:p>
            <w:pPr>
              <w:pStyle w:val="TableParagraph"/>
              <w:ind w:left="71"/>
              <w:rPr>
                <w:sz w:val="20"/>
              </w:rPr>
            </w:pPr>
            <w:r>
              <w:rPr>
                <w:spacing w:val="-2"/>
                <w:sz w:val="20"/>
              </w:rPr>
              <w:t>Estados Financieros</w:t>
            </w:r>
          </w:p>
        </w:tc>
        <w:tc>
          <w:tcPr>
            <w:tcW w:w="1418" w:type="dxa"/>
          </w:tcPr>
          <w:p>
            <w:pPr>
              <w:pStyle w:val="TableParagraph"/>
              <w:rPr>
                <w:b/>
                <w:sz w:val="20"/>
              </w:rPr>
            </w:pPr>
          </w:p>
          <w:p>
            <w:pPr>
              <w:pStyle w:val="TableParagraph"/>
              <w:rPr>
                <w:b/>
                <w:sz w:val="20"/>
              </w:rPr>
            </w:pPr>
          </w:p>
          <w:p>
            <w:pPr>
              <w:pStyle w:val="TableParagraph"/>
              <w:ind w:left="69" w:right="293"/>
              <w:jc w:val="both"/>
              <w:rPr>
                <w:sz w:val="20"/>
              </w:rPr>
            </w:pPr>
            <w:r>
              <w:rPr>
                <w:sz w:val="20"/>
              </w:rPr>
              <w:t>Jefatura de Mercadeo</w:t>
            </w:r>
            <w:r>
              <w:rPr>
                <w:spacing w:val="-14"/>
                <w:sz w:val="20"/>
              </w:rPr>
              <w:t> </w:t>
            </w:r>
            <w:r>
              <w:rPr>
                <w:sz w:val="20"/>
              </w:rPr>
              <w:t>y </w:t>
            </w:r>
            <w:r>
              <w:rPr>
                <w:spacing w:val="-2"/>
                <w:sz w:val="20"/>
              </w:rPr>
              <w:t>Ventas</w:t>
            </w:r>
          </w:p>
        </w:tc>
        <w:tc>
          <w:tcPr>
            <w:tcW w:w="1695" w:type="dxa"/>
          </w:tcPr>
          <w:p>
            <w:pPr>
              <w:pStyle w:val="TableParagraph"/>
              <w:rPr>
                <w:rFonts w:ascii="Times New Roman"/>
                <w:sz w:val="20"/>
              </w:rPr>
            </w:pPr>
          </w:p>
        </w:tc>
        <w:tc>
          <w:tcPr>
            <w:tcW w:w="2131" w:type="dxa"/>
            <w:vMerge/>
            <w:tcBorders>
              <w:top w:val="nil"/>
            </w:tcBorders>
          </w:tcPr>
          <w:p>
            <w:pPr>
              <w:rPr>
                <w:sz w:val="2"/>
                <w:szCs w:val="2"/>
              </w:rPr>
            </w:pPr>
          </w:p>
        </w:tc>
      </w:tr>
      <w:tr>
        <w:trPr>
          <w:trHeight w:val="1610" w:hRule="atLeast"/>
        </w:trPr>
        <w:tc>
          <w:tcPr>
            <w:tcW w:w="3120" w:type="dxa"/>
          </w:tcPr>
          <w:p>
            <w:pPr>
              <w:pStyle w:val="TableParagraph"/>
              <w:spacing w:before="115"/>
              <w:rPr>
                <w:b/>
                <w:sz w:val="20"/>
              </w:rPr>
            </w:pPr>
          </w:p>
          <w:p>
            <w:pPr>
              <w:pStyle w:val="TableParagraph"/>
              <w:ind w:left="69" w:right="173"/>
              <w:rPr>
                <w:sz w:val="20"/>
              </w:rPr>
            </w:pPr>
            <w:r>
              <w:rPr>
                <w:b/>
                <w:sz w:val="20"/>
              </w:rPr>
              <w:t>Actividad PEC 3.4.5: </w:t>
            </w:r>
            <w:r>
              <w:rPr>
                <w:sz w:val="20"/>
              </w:rPr>
              <w:t>Generación</w:t>
            </w:r>
            <w:r>
              <w:rPr>
                <w:spacing w:val="-14"/>
                <w:sz w:val="20"/>
              </w:rPr>
              <w:t> </w:t>
            </w:r>
            <w:r>
              <w:rPr>
                <w:sz w:val="20"/>
              </w:rPr>
              <w:t>de</w:t>
            </w:r>
            <w:r>
              <w:rPr>
                <w:spacing w:val="-14"/>
                <w:sz w:val="20"/>
              </w:rPr>
              <w:t> </w:t>
            </w:r>
            <w:r>
              <w:rPr>
                <w:sz w:val="20"/>
              </w:rPr>
              <w:t>utilidades</w:t>
            </w:r>
            <w:r>
              <w:rPr>
                <w:spacing w:val="-14"/>
                <w:sz w:val="20"/>
              </w:rPr>
              <w:t> </w:t>
            </w:r>
            <w:r>
              <w:rPr>
                <w:sz w:val="20"/>
              </w:rPr>
              <w:t>Netas en las tiendas libres de </w:t>
            </w:r>
            <w:r>
              <w:rPr>
                <w:spacing w:val="-2"/>
                <w:sz w:val="20"/>
              </w:rPr>
              <w:t>impuestos</w:t>
            </w:r>
          </w:p>
        </w:tc>
        <w:tc>
          <w:tcPr>
            <w:tcW w:w="1841" w:type="dxa"/>
          </w:tcPr>
          <w:p>
            <w:pPr>
              <w:pStyle w:val="TableParagraph"/>
              <w:rPr>
                <w:b/>
                <w:sz w:val="20"/>
              </w:rPr>
            </w:pPr>
          </w:p>
          <w:p>
            <w:pPr>
              <w:pStyle w:val="TableParagraph"/>
              <w:spacing w:before="228"/>
              <w:rPr>
                <w:b/>
                <w:sz w:val="20"/>
              </w:rPr>
            </w:pPr>
          </w:p>
          <w:p>
            <w:pPr>
              <w:pStyle w:val="TableParagraph"/>
              <w:ind w:left="8"/>
              <w:jc w:val="center"/>
              <w:rPr>
                <w:sz w:val="20"/>
              </w:rPr>
            </w:pPr>
            <w:r>
              <w:rPr>
                <w:sz w:val="20"/>
              </w:rPr>
              <w:t>₡4</w:t>
            </w:r>
            <w:r>
              <w:rPr>
                <w:spacing w:val="-5"/>
                <w:sz w:val="20"/>
              </w:rPr>
              <w:t> </w:t>
            </w:r>
            <w:r>
              <w:rPr>
                <w:sz w:val="20"/>
              </w:rPr>
              <w:t>050</w:t>
            </w:r>
            <w:r>
              <w:rPr>
                <w:spacing w:val="-4"/>
                <w:sz w:val="20"/>
              </w:rPr>
              <w:t> </w:t>
            </w:r>
            <w:r>
              <w:rPr>
                <w:sz w:val="20"/>
              </w:rPr>
              <w:t>627</w:t>
            </w:r>
            <w:r>
              <w:rPr>
                <w:spacing w:val="-4"/>
                <w:sz w:val="20"/>
              </w:rPr>
              <w:t> </w:t>
            </w:r>
            <w:r>
              <w:rPr>
                <w:spacing w:val="-5"/>
                <w:sz w:val="20"/>
              </w:rPr>
              <w:t>424</w:t>
            </w:r>
          </w:p>
        </w:tc>
        <w:tc>
          <w:tcPr>
            <w:tcW w:w="1766" w:type="dxa"/>
          </w:tcPr>
          <w:p>
            <w:pPr>
              <w:pStyle w:val="TableParagraph"/>
              <w:rPr>
                <w:b/>
                <w:sz w:val="20"/>
              </w:rPr>
            </w:pPr>
          </w:p>
          <w:p>
            <w:pPr>
              <w:pStyle w:val="TableParagraph"/>
              <w:spacing w:before="228"/>
              <w:rPr>
                <w:b/>
                <w:sz w:val="20"/>
              </w:rPr>
            </w:pPr>
          </w:p>
          <w:p>
            <w:pPr>
              <w:pStyle w:val="TableParagraph"/>
              <w:ind w:left="121" w:right="114"/>
              <w:jc w:val="center"/>
              <w:rPr>
                <w:sz w:val="20"/>
              </w:rPr>
            </w:pPr>
            <w:r>
              <w:rPr>
                <w:sz w:val="20"/>
              </w:rPr>
              <w:t>₡4</w:t>
            </w:r>
            <w:r>
              <w:rPr>
                <w:spacing w:val="-5"/>
                <w:sz w:val="20"/>
              </w:rPr>
              <w:t> </w:t>
            </w:r>
            <w:r>
              <w:rPr>
                <w:sz w:val="20"/>
              </w:rPr>
              <w:t>050</w:t>
            </w:r>
            <w:r>
              <w:rPr>
                <w:spacing w:val="-4"/>
                <w:sz w:val="20"/>
              </w:rPr>
              <w:t> </w:t>
            </w:r>
            <w:r>
              <w:rPr>
                <w:sz w:val="20"/>
              </w:rPr>
              <w:t>493</w:t>
            </w:r>
            <w:r>
              <w:rPr>
                <w:spacing w:val="-4"/>
                <w:sz w:val="20"/>
              </w:rPr>
              <w:t> </w:t>
            </w:r>
            <w:r>
              <w:rPr>
                <w:spacing w:val="-5"/>
                <w:sz w:val="20"/>
              </w:rPr>
              <w:t>818</w:t>
            </w:r>
          </w:p>
        </w:tc>
        <w:tc>
          <w:tcPr>
            <w:tcW w:w="1495" w:type="dxa"/>
          </w:tcPr>
          <w:p>
            <w:pPr>
              <w:pStyle w:val="TableParagraph"/>
              <w:ind w:left="68" w:right="221"/>
              <w:rPr>
                <w:sz w:val="20"/>
              </w:rPr>
            </w:pPr>
            <w:r>
              <w:rPr>
                <w:sz w:val="20"/>
              </w:rPr>
              <w:t>Monto de </w:t>
            </w:r>
            <w:r>
              <w:rPr>
                <w:spacing w:val="-2"/>
                <w:sz w:val="20"/>
              </w:rPr>
              <w:t>colones </w:t>
            </w:r>
            <w:r>
              <w:rPr>
                <w:sz w:val="20"/>
              </w:rPr>
              <w:t>producto de las</w:t>
            </w:r>
            <w:r>
              <w:rPr>
                <w:spacing w:val="-14"/>
                <w:sz w:val="20"/>
              </w:rPr>
              <w:t> </w:t>
            </w:r>
            <w:r>
              <w:rPr>
                <w:sz w:val="20"/>
              </w:rPr>
              <w:t>Utilidades netas en las tiendas</w:t>
            </w:r>
            <w:r>
              <w:rPr>
                <w:spacing w:val="-12"/>
                <w:sz w:val="20"/>
              </w:rPr>
              <w:t> </w:t>
            </w:r>
            <w:r>
              <w:rPr>
                <w:spacing w:val="-2"/>
                <w:sz w:val="20"/>
              </w:rPr>
              <w:t>libres</w:t>
            </w:r>
          </w:p>
          <w:p>
            <w:pPr>
              <w:pStyle w:val="TableParagraph"/>
              <w:spacing w:line="211" w:lineRule="exact"/>
              <w:ind w:left="68"/>
              <w:rPr>
                <w:sz w:val="20"/>
              </w:rPr>
            </w:pPr>
            <w:r>
              <w:rPr>
                <w:sz w:val="20"/>
              </w:rPr>
              <w:t>de</w:t>
            </w:r>
            <w:r>
              <w:rPr>
                <w:spacing w:val="-6"/>
                <w:sz w:val="20"/>
              </w:rPr>
              <w:t> </w:t>
            </w:r>
            <w:r>
              <w:rPr>
                <w:spacing w:val="-2"/>
                <w:sz w:val="20"/>
              </w:rPr>
              <w:t>impuestos</w:t>
            </w:r>
          </w:p>
        </w:tc>
        <w:tc>
          <w:tcPr>
            <w:tcW w:w="1276" w:type="dxa"/>
          </w:tcPr>
          <w:p>
            <w:pPr>
              <w:pStyle w:val="TableParagraph"/>
              <w:rPr>
                <w:b/>
                <w:sz w:val="20"/>
              </w:rPr>
            </w:pPr>
          </w:p>
          <w:p>
            <w:pPr>
              <w:pStyle w:val="TableParagraph"/>
              <w:spacing w:before="113"/>
              <w:rPr>
                <w:b/>
                <w:sz w:val="20"/>
              </w:rPr>
            </w:pPr>
          </w:p>
          <w:p>
            <w:pPr>
              <w:pStyle w:val="TableParagraph"/>
              <w:ind w:left="71"/>
              <w:rPr>
                <w:sz w:val="20"/>
              </w:rPr>
            </w:pPr>
            <w:r>
              <w:rPr>
                <w:spacing w:val="-2"/>
                <w:sz w:val="20"/>
              </w:rPr>
              <w:t>Estados Financieros</w:t>
            </w:r>
          </w:p>
        </w:tc>
        <w:tc>
          <w:tcPr>
            <w:tcW w:w="1418" w:type="dxa"/>
          </w:tcPr>
          <w:p>
            <w:pPr>
              <w:pStyle w:val="TableParagraph"/>
              <w:spacing w:before="114"/>
              <w:ind w:left="69" w:right="66"/>
              <w:rPr>
                <w:sz w:val="20"/>
              </w:rPr>
            </w:pPr>
            <w:r>
              <w:rPr>
                <w:spacing w:val="-2"/>
                <w:sz w:val="20"/>
              </w:rPr>
              <w:t>Departamento Empresas </w:t>
            </w:r>
            <w:r>
              <w:rPr>
                <w:sz w:val="20"/>
              </w:rPr>
              <w:t>Comerciales</w:t>
            </w:r>
            <w:r>
              <w:rPr>
                <w:spacing w:val="-14"/>
                <w:sz w:val="20"/>
              </w:rPr>
              <w:t> </w:t>
            </w:r>
            <w:r>
              <w:rPr>
                <w:sz w:val="20"/>
              </w:rPr>
              <w:t>y la Jefatura de </w:t>
            </w:r>
            <w:r>
              <w:rPr>
                <w:spacing w:val="-2"/>
                <w:sz w:val="20"/>
              </w:rPr>
              <w:t>Coordinación Administrativa</w:t>
            </w:r>
          </w:p>
        </w:tc>
        <w:tc>
          <w:tcPr>
            <w:tcW w:w="1695" w:type="dxa"/>
          </w:tcPr>
          <w:p>
            <w:pPr>
              <w:pStyle w:val="TableParagraph"/>
              <w:rPr>
                <w:rFonts w:ascii="Times New Roman"/>
                <w:sz w:val="20"/>
              </w:rPr>
            </w:pPr>
          </w:p>
        </w:tc>
        <w:tc>
          <w:tcPr>
            <w:tcW w:w="2131" w:type="dxa"/>
            <w:vMerge/>
            <w:tcBorders>
              <w:top w:val="nil"/>
            </w:tcBorders>
          </w:tcPr>
          <w:p>
            <w:pPr>
              <w:rPr>
                <w:sz w:val="2"/>
                <w:szCs w:val="2"/>
              </w:rPr>
            </w:pPr>
          </w:p>
        </w:tc>
      </w:tr>
      <w:tr>
        <w:trPr>
          <w:trHeight w:val="1440" w:hRule="atLeast"/>
        </w:trPr>
        <w:tc>
          <w:tcPr>
            <w:tcW w:w="3120" w:type="dxa"/>
          </w:tcPr>
          <w:p>
            <w:pPr>
              <w:pStyle w:val="TableParagraph"/>
              <w:spacing w:before="230"/>
              <w:ind w:left="69" w:right="173"/>
              <w:rPr>
                <w:sz w:val="20"/>
              </w:rPr>
            </w:pPr>
            <w:r>
              <w:rPr>
                <w:b/>
                <w:sz w:val="20"/>
              </w:rPr>
              <w:t>Actividad</w:t>
            </w:r>
            <w:r>
              <w:rPr>
                <w:b/>
                <w:spacing w:val="-9"/>
                <w:sz w:val="20"/>
              </w:rPr>
              <w:t> </w:t>
            </w:r>
            <w:r>
              <w:rPr>
                <w:b/>
                <w:sz w:val="20"/>
              </w:rPr>
              <w:t>PEC</w:t>
            </w:r>
            <w:r>
              <w:rPr>
                <w:b/>
                <w:spacing w:val="-11"/>
                <w:sz w:val="20"/>
              </w:rPr>
              <w:t> </w:t>
            </w:r>
            <w:r>
              <w:rPr>
                <w:b/>
                <w:sz w:val="20"/>
              </w:rPr>
              <w:t>3.4.6</w:t>
            </w:r>
            <w:r>
              <w:rPr>
                <w:sz w:val="20"/>
              </w:rPr>
              <w:t>:</w:t>
            </w:r>
            <w:r>
              <w:rPr>
                <w:spacing w:val="-10"/>
                <w:sz w:val="20"/>
              </w:rPr>
              <w:t> </w:t>
            </w:r>
            <w:r>
              <w:rPr>
                <w:sz w:val="20"/>
              </w:rPr>
              <w:t>Valorar</w:t>
            </w:r>
            <w:r>
              <w:rPr>
                <w:spacing w:val="-11"/>
                <w:sz w:val="20"/>
              </w:rPr>
              <w:t> </w:t>
            </w:r>
            <w:r>
              <w:rPr>
                <w:sz w:val="20"/>
              </w:rPr>
              <w:t>la incorporación en las tiendas de nuevos productos provenientes de proyectos de microempresarios</w:t>
            </w:r>
            <w:r>
              <w:rPr>
                <w:spacing w:val="-7"/>
                <w:sz w:val="20"/>
              </w:rPr>
              <w:t> </w:t>
            </w:r>
            <w:r>
              <w:rPr>
                <w:sz w:val="20"/>
              </w:rPr>
              <w:t>incorporados</w:t>
            </w:r>
          </w:p>
        </w:tc>
        <w:tc>
          <w:tcPr>
            <w:tcW w:w="1841" w:type="dxa"/>
          </w:tcPr>
          <w:p>
            <w:pPr>
              <w:pStyle w:val="TableParagraph"/>
              <w:rPr>
                <w:b/>
                <w:sz w:val="20"/>
              </w:rPr>
            </w:pPr>
          </w:p>
          <w:p>
            <w:pPr>
              <w:pStyle w:val="TableParagraph"/>
              <w:spacing w:before="144"/>
              <w:rPr>
                <w:b/>
                <w:sz w:val="20"/>
              </w:rPr>
            </w:pPr>
          </w:p>
          <w:p>
            <w:pPr>
              <w:pStyle w:val="TableParagraph"/>
              <w:ind w:left="8" w:right="3"/>
              <w:jc w:val="center"/>
              <w:rPr>
                <w:sz w:val="20"/>
              </w:rPr>
            </w:pPr>
            <w:r>
              <w:rPr>
                <w:spacing w:val="-5"/>
                <w:sz w:val="20"/>
              </w:rPr>
              <w:t>N/D</w:t>
            </w:r>
          </w:p>
        </w:tc>
        <w:tc>
          <w:tcPr>
            <w:tcW w:w="1766" w:type="dxa"/>
          </w:tcPr>
          <w:p>
            <w:pPr>
              <w:pStyle w:val="TableParagraph"/>
              <w:rPr>
                <w:b/>
                <w:sz w:val="20"/>
              </w:rPr>
            </w:pPr>
          </w:p>
          <w:p>
            <w:pPr>
              <w:pStyle w:val="TableParagraph"/>
              <w:spacing w:before="144"/>
              <w:rPr>
                <w:b/>
                <w:sz w:val="20"/>
              </w:rPr>
            </w:pPr>
          </w:p>
          <w:p>
            <w:pPr>
              <w:pStyle w:val="TableParagraph"/>
              <w:ind w:left="121" w:right="115"/>
              <w:jc w:val="center"/>
              <w:rPr>
                <w:sz w:val="20"/>
              </w:rPr>
            </w:pPr>
            <w:r>
              <w:rPr>
                <w:spacing w:val="-5"/>
                <w:sz w:val="20"/>
              </w:rPr>
              <w:t>12</w:t>
            </w:r>
          </w:p>
        </w:tc>
        <w:tc>
          <w:tcPr>
            <w:tcW w:w="1495" w:type="dxa"/>
          </w:tcPr>
          <w:p>
            <w:pPr>
              <w:pStyle w:val="TableParagraph"/>
              <w:spacing w:before="28"/>
              <w:rPr>
                <w:b/>
                <w:sz w:val="20"/>
              </w:rPr>
            </w:pPr>
          </w:p>
          <w:p>
            <w:pPr>
              <w:pStyle w:val="TableParagraph"/>
              <w:ind w:left="68"/>
              <w:rPr>
                <w:sz w:val="20"/>
              </w:rPr>
            </w:pPr>
            <w:r>
              <w:rPr>
                <w:sz w:val="20"/>
              </w:rPr>
              <w:t>Cantidad de proyectos de </w:t>
            </w:r>
            <w:r>
              <w:rPr>
                <w:spacing w:val="-2"/>
                <w:sz w:val="20"/>
              </w:rPr>
              <w:t>microempresar </w:t>
            </w:r>
            <w:r>
              <w:rPr>
                <w:sz w:val="20"/>
              </w:rPr>
              <w:t>ios valorados</w:t>
            </w:r>
          </w:p>
        </w:tc>
        <w:tc>
          <w:tcPr>
            <w:tcW w:w="1276" w:type="dxa"/>
          </w:tcPr>
          <w:p>
            <w:pPr>
              <w:pStyle w:val="TableParagraph"/>
              <w:rPr>
                <w:b/>
                <w:sz w:val="20"/>
              </w:rPr>
            </w:pPr>
          </w:p>
          <w:p>
            <w:pPr>
              <w:pStyle w:val="TableParagraph"/>
              <w:spacing w:before="29"/>
              <w:rPr>
                <w:b/>
                <w:sz w:val="20"/>
              </w:rPr>
            </w:pPr>
          </w:p>
          <w:p>
            <w:pPr>
              <w:pStyle w:val="TableParagraph"/>
              <w:ind w:left="71"/>
              <w:rPr>
                <w:sz w:val="20"/>
              </w:rPr>
            </w:pPr>
            <w:r>
              <w:rPr>
                <w:spacing w:val="-2"/>
                <w:sz w:val="20"/>
              </w:rPr>
              <w:t>Informe Trimestral</w:t>
            </w:r>
          </w:p>
        </w:tc>
        <w:tc>
          <w:tcPr>
            <w:tcW w:w="1418" w:type="dxa"/>
          </w:tcPr>
          <w:p>
            <w:pPr>
              <w:pStyle w:val="TableParagraph"/>
              <w:spacing w:before="143"/>
              <w:rPr>
                <w:b/>
                <w:sz w:val="20"/>
              </w:rPr>
            </w:pPr>
          </w:p>
          <w:p>
            <w:pPr>
              <w:pStyle w:val="TableParagraph"/>
              <w:spacing w:before="1"/>
              <w:ind w:left="69" w:right="293"/>
              <w:jc w:val="both"/>
              <w:rPr>
                <w:sz w:val="20"/>
              </w:rPr>
            </w:pPr>
            <w:r>
              <w:rPr>
                <w:sz w:val="20"/>
              </w:rPr>
              <w:t>Jefatura de Mercadeo</w:t>
            </w:r>
            <w:r>
              <w:rPr>
                <w:spacing w:val="-14"/>
                <w:sz w:val="20"/>
              </w:rPr>
              <w:t> </w:t>
            </w:r>
            <w:r>
              <w:rPr>
                <w:sz w:val="20"/>
              </w:rPr>
              <w:t>y </w:t>
            </w:r>
            <w:r>
              <w:rPr>
                <w:spacing w:val="-2"/>
                <w:sz w:val="20"/>
              </w:rPr>
              <w:t>Ventas</w:t>
            </w:r>
          </w:p>
        </w:tc>
        <w:tc>
          <w:tcPr>
            <w:tcW w:w="1695" w:type="dxa"/>
          </w:tcPr>
          <w:p>
            <w:pPr>
              <w:pStyle w:val="TableParagraph"/>
              <w:rPr>
                <w:rFonts w:ascii="Times New Roman"/>
                <w:sz w:val="20"/>
              </w:rPr>
            </w:pPr>
          </w:p>
        </w:tc>
        <w:tc>
          <w:tcPr>
            <w:tcW w:w="2131"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360"/>
        </w:sectPr>
      </w:pPr>
    </w:p>
    <w:p>
      <w:pPr>
        <w:pStyle w:val="BodyText"/>
        <w:spacing w:before="7" w:after="1"/>
        <w:rPr>
          <w:b/>
          <w:sz w:val="15"/>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20"/>
        <w:gridCol w:w="1841"/>
        <w:gridCol w:w="1766"/>
        <w:gridCol w:w="1495"/>
        <w:gridCol w:w="1276"/>
        <w:gridCol w:w="1418"/>
        <w:gridCol w:w="1697"/>
        <w:gridCol w:w="2129"/>
      </w:tblGrid>
      <w:tr>
        <w:trPr>
          <w:trHeight w:val="875" w:hRule="atLeast"/>
        </w:trPr>
        <w:tc>
          <w:tcPr>
            <w:tcW w:w="3120" w:type="dxa"/>
            <w:shd w:val="clear" w:color="auto" w:fill="D7D7D7"/>
          </w:tcPr>
          <w:p>
            <w:pPr>
              <w:pStyle w:val="TableParagraph"/>
              <w:spacing w:before="91"/>
              <w:rPr>
                <w:b/>
                <w:sz w:val="20"/>
              </w:rPr>
            </w:pPr>
          </w:p>
          <w:p>
            <w:pPr>
              <w:pStyle w:val="TableParagraph"/>
              <w:ind w:left="479"/>
              <w:rPr>
                <w:b/>
                <w:sz w:val="20"/>
              </w:rPr>
            </w:pPr>
            <w:r>
              <w:rPr>
                <w:b/>
                <w:sz w:val="20"/>
              </w:rPr>
              <w:t>Objetivos</w:t>
            </w:r>
            <w:r>
              <w:rPr>
                <w:b/>
                <w:spacing w:val="-9"/>
                <w:sz w:val="20"/>
              </w:rPr>
              <w:t> </w:t>
            </w:r>
            <w:r>
              <w:rPr>
                <w:b/>
                <w:sz w:val="20"/>
              </w:rPr>
              <w:t>/</w:t>
            </w:r>
            <w:r>
              <w:rPr>
                <w:b/>
                <w:spacing w:val="-9"/>
                <w:sz w:val="20"/>
              </w:rPr>
              <w:t> </w:t>
            </w:r>
            <w:r>
              <w:rPr>
                <w:b/>
                <w:spacing w:val="-2"/>
                <w:sz w:val="20"/>
              </w:rPr>
              <w:t>Resultados</w:t>
            </w:r>
          </w:p>
        </w:tc>
        <w:tc>
          <w:tcPr>
            <w:tcW w:w="1841" w:type="dxa"/>
            <w:shd w:val="clear" w:color="auto" w:fill="D7D7D7"/>
          </w:tcPr>
          <w:p>
            <w:pPr>
              <w:pStyle w:val="TableParagraph"/>
              <w:spacing w:before="91"/>
              <w:rPr>
                <w:b/>
                <w:sz w:val="20"/>
              </w:rPr>
            </w:pPr>
          </w:p>
          <w:p>
            <w:pPr>
              <w:pStyle w:val="TableParagraph"/>
              <w:ind w:left="8" w:right="5"/>
              <w:jc w:val="center"/>
              <w:rPr>
                <w:b/>
                <w:sz w:val="20"/>
              </w:rPr>
            </w:pPr>
            <w:r>
              <w:rPr>
                <w:b/>
                <w:sz w:val="20"/>
              </w:rPr>
              <w:t>Línea</w:t>
            </w:r>
            <w:r>
              <w:rPr>
                <w:b/>
                <w:spacing w:val="-11"/>
                <w:sz w:val="20"/>
              </w:rPr>
              <w:t> </w:t>
            </w:r>
            <w:r>
              <w:rPr>
                <w:b/>
                <w:sz w:val="20"/>
              </w:rPr>
              <w:t>Base</w:t>
            </w:r>
            <w:r>
              <w:rPr>
                <w:b/>
                <w:spacing w:val="-8"/>
                <w:sz w:val="20"/>
              </w:rPr>
              <w:t> </w:t>
            </w:r>
            <w:r>
              <w:rPr>
                <w:b/>
                <w:spacing w:val="-2"/>
                <w:sz w:val="20"/>
              </w:rPr>
              <w:t>(2025)</w:t>
            </w:r>
          </w:p>
        </w:tc>
        <w:tc>
          <w:tcPr>
            <w:tcW w:w="1766" w:type="dxa"/>
            <w:shd w:val="clear" w:color="auto" w:fill="D7D7D7"/>
          </w:tcPr>
          <w:p>
            <w:pPr>
              <w:pStyle w:val="TableParagraph"/>
              <w:spacing w:before="93"/>
              <w:ind w:left="121" w:right="110"/>
              <w:jc w:val="center"/>
              <w:rPr>
                <w:b/>
                <w:sz w:val="20"/>
              </w:rPr>
            </w:pPr>
            <w:r>
              <w:rPr>
                <w:b/>
                <w:spacing w:val="-4"/>
                <w:sz w:val="20"/>
              </w:rPr>
              <w:t>Meta </w:t>
            </w:r>
            <w:r>
              <w:rPr>
                <w:b/>
                <w:spacing w:val="-2"/>
                <w:sz w:val="20"/>
              </w:rPr>
              <w:t>programada </w:t>
            </w:r>
            <w:r>
              <w:rPr>
                <w:b/>
                <w:spacing w:val="-4"/>
                <w:sz w:val="20"/>
              </w:rPr>
              <w:t>2027</w:t>
            </w:r>
          </w:p>
        </w:tc>
        <w:tc>
          <w:tcPr>
            <w:tcW w:w="1495" w:type="dxa"/>
            <w:shd w:val="clear" w:color="auto" w:fill="D7D7D7"/>
          </w:tcPr>
          <w:p>
            <w:pPr>
              <w:pStyle w:val="TableParagraph"/>
              <w:spacing w:before="91"/>
              <w:rPr>
                <w:b/>
                <w:sz w:val="20"/>
              </w:rPr>
            </w:pPr>
          </w:p>
          <w:p>
            <w:pPr>
              <w:pStyle w:val="TableParagraph"/>
              <w:ind w:left="296"/>
              <w:rPr>
                <w:b/>
                <w:sz w:val="20"/>
              </w:rPr>
            </w:pPr>
            <w:r>
              <w:rPr>
                <w:b/>
                <w:spacing w:val="-2"/>
                <w:sz w:val="20"/>
              </w:rPr>
              <w:t>Indicador</w:t>
            </w:r>
          </w:p>
        </w:tc>
        <w:tc>
          <w:tcPr>
            <w:tcW w:w="1276" w:type="dxa"/>
            <w:shd w:val="clear" w:color="auto" w:fill="D7D7D7"/>
          </w:tcPr>
          <w:p>
            <w:pPr>
              <w:pStyle w:val="TableParagraph"/>
              <w:spacing w:before="206"/>
              <w:ind w:left="83" w:firstLine="67"/>
              <w:rPr>
                <w:b/>
                <w:sz w:val="20"/>
              </w:rPr>
            </w:pPr>
            <w:r>
              <w:rPr>
                <w:b/>
                <w:sz w:val="20"/>
              </w:rPr>
              <w:t>Medios de </w:t>
            </w:r>
            <w:r>
              <w:rPr>
                <w:b/>
                <w:spacing w:val="-2"/>
                <w:sz w:val="20"/>
              </w:rPr>
              <w:t>verificación</w:t>
            </w:r>
          </w:p>
        </w:tc>
        <w:tc>
          <w:tcPr>
            <w:tcW w:w="1418" w:type="dxa"/>
            <w:shd w:val="clear" w:color="auto" w:fill="D7D7D7"/>
          </w:tcPr>
          <w:p>
            <w:pPr>
              <w:pStyle w:val="TableParagraph"/>
              <w:spacing w:before="91"/>
              <w:rPr>
                <w:b/>
                <w:sz w:val="20"/>
              </w:rPr>
            </w:pPr>
          </w:p>
          <w:p>
            <w:pPr>
              <w:pStyle w:val="TableParagraph"/>
              <w:ind w:left="86"/>
              <w:rPr>
                <w:b/>
                <w:sz w:val="20"/>
              </w:rPr>
            </w:pPr>
            <w:r>
              <w:rPr>
                <w:b/>
                <w:spacing w:val="-2"/>
                <w:sz w:val="20"/>
              </w:rPr>
              <w:t>Responsable</w:t>
            </w:r>
          </w:p>
        </w:tc>
        <w:tc>
          <w:tcPr>
            <w:tcW w:w="1697" w:type="dxa"/>
            <w:shd w:val="clear" w:color="auto" w:fill="D7D7D7"/>
          </w:tcPr>
          <w:p>
            <w:pPr>
              <w:pStyle w:val="TableParagraph"/>
              <w:spacing w:before="206"/>
              <w:ind w:left="413" w:hanging="166"/>
              <w:rPr>
                <w:b/>
                <w:sz w:val="20"/>
              </w:rPr>
            </w:pPr>
            <w:r>
              <w:rPr>
                <w:b/>
                <w:spacing w:val="-2"/>
                <w:sz w:val="20"/>
              </w:rPr>
              <w:t>Presupuesto asignado</w:t>
            </w:r>
          </w:p>
        </w:tc>
        <w:tc>
          <w:tcPr>
            <w:tcW w:w="2129" w:type="dxa"/>
            <w:tcBorders>
              <w:bottom w:val="nil"/>
            </w:tcBorders>
            <w:shd w:val="clear" w:color="auto" w:fill="D7D7D7"/>
          </w:tcPr>
          <w:p>
            <w:pPr>
              <w:pStyle w:val="TableParagraph"/>
              <w:spacing w:before="91"/>
              <w:rPr>
                <w:b/>
                <w:sz w:val="20"/>
              </w:rPr>
            </w:pPr>
          </w:p>
          <w:p>
            <w:pPr>
              <w:pStyle w:val="TableParagraph"/>
              <w:ind w:left="228"/>
              <w:rPr>
                <w:b/>
                <w:sz w:val="20"/>
              </w:rPr>
            </w:pPr>
            <w:r>
              <w:rPr>
                <w:b/>
                <w:sz w:val="20"/>
              </w:rPr>
              <w:t>Riesgo</w:t>
            </w:r>
            <w:r>
              <w:rPr>
                <w:b/>
                <w:spacing w:val="-9"/>
                <w:sz w:val="20"/>
              </w:rPr>
              <w:t> </w:t>
            </w:r>
            <w:r>
              <w:rPr>
                <w:b/>
                <w:spacing w:val="-2"/>
                <w:sz w:val="20"/>
              </w:rPr>
              <w:t>Vinculado</w:t>
            </w:r>
          </w:p>
        </w:tc>
      </w:tr>
      <w:tr>
        <w:trPr>
          <w:trHeight w:val="1439" w:hRule="atLeast"/>
        </w:trPr>
        <w:tc>
          <w:tcPr>
            <w:tcW w:w="3120" w:type="dxa"/>
          </w:tcPr>
          <w:p>
            <w:pPr>
              <w:pStyle w:val="TableParagraph"/>
              <w:ind w:left="69" w:right="173"/>
              <w:rPr>
                <w:sz w:val="20"/>
              </w:rPr>
            </w:pPr>
            <w:r>
              <w:rPr>
                <w:sz w:val="20"/>
              </w:rPr>
              <w:t>en</w:t>
            </w:r>
            <w:r>
              <w:rPr>
                <w:spacing w:val="-11"/>
                <w:sz w:val="20"/>
              </w:rPr>
              <w:t> </w:t>
            </w:r>
            <w:r>
              <w:rPr>
                <w:sz w:val="20"/>
              </w:rPr>
              <w:t>la</w:t>
            </w:r>
            <w:r>
              <w:rPr>
                <w:spacing w:val="-10"/>
                <w:sz w:val="20"/>
              </w:rPr>
              <w:t> </w:t>
            </w:r>
            <w:r>
              <w:rPr>
                <w:sz w:val="20"/>
              </w:rPr>
              <w:t>estrategia</w:t>
            </w:r>
            <w:r>
              <w:rPr>
                <w:spacing w:val="-10"/>
                <w:sz w:val="20"/>
              </w:rPr>
              <w:t> </w:t>
            </w:r>
            <w:r>
              <w:rPr>
                <w:sz w:val="20"/>
              </w:rPr>
              <w:t>de</w:t>
            </w:r>
            <w:r>
              <w:rPr>
                <w:spacing w:val="-10"/>
                <w:sz w:val="20"/>
              </w:rPr>
              <w:t> </w:t>
            </w:r>
            <w:r>
              <w:rPr>
                <w:sz w:val="20"/>
              </w:rPr>
              <w:t>atención "IMAS Impulsa"</w:t>
            </w:r>
          </w:p>
        </w:tc>
        <w:tc>
          <w:tcPr>
            <w:tcW w:w="1841" w:type="dxa"/>
          </w:tcPr>
          <w:p>
            <w:pPr>
              <w:pStyle w:val="TableParagraph"/>
              <w:rPr>
                <w:rFonts w:ascii="Times New Roman"/>
                <w:sz w:val="20"/>
              </w:rPr>
            </w:pPr>
          </w:p>
        </w:tc>
        <w:tc>
          <w:tcPr>
            <w:tcW w:w="1766" w:type="dxa"/>
          </w:tcPr>
          <w:p>
            <w:pPr>
              <w:pStyle w:val="TableParagraph"/>
              <w:rPr>
                <w:rFonts w:ascii="Times New Roman"/>
                <w:sz w:val="20"/>
              </w:rPr>
            </w:pPr>
          </w:p>
        </w:tc>
        <w:tc>
          <w:tcPr>
            <w:tcW w:w="1495" w:type="dxa"/>
          </w:tcPr>
          <w:p>
            <w:pPr>
              <w:pStyle w:val="TableParagraph"/>
              <w:rPr>
                <w:rFonts w:ascii="Times New Roman"/>
                <w:sz w:val="20"/>
              </w:rPr>
            </w:pPr>
          </w:p>
        </w:tc>
        <w:tc>
          <w:tcPr>
            <w:tcW w:w="1276" w:type="dxa"/>
          </w:tcPr>
          <w:p>
            <w:pPr>
              <w:pStyle w:val="TableParagraph"/>
              <w:rPr>
                <w:rFonts w:ascii="Times New Roman"/>
                <w:sz w:val="20"/>
              </w:rPr>
            </w:pPr>
          </w:p>
        </w:tc>
        <w:tc>
          <w:tcPr>
            <w:tcW w:w="1418" w:type="dxa"/>
          </w:tcPr>
          <w:p>
            <w:pPr>
              <w:pStyle w:val="TableParagraph"/>
              <w:rPr>
                <w:rFonts w:ascii="Times New Roman"/>
                <w:sz w:val="20"/>
              </w:rPr>
            </w:pPr>
          </w:p>
        </w:tc>
        <w:tc>
          <w:tcPr>
            <w:tcW w:w="1697" w:type="dxa"/>
          </w:tcPr>
          <w:p>
            <w:pPr>
              <w:pStyle w:val="TableParagraph"/>
              <w:rPr>
                <w:rFonts w:ascii="Times New Roman"/>
                <w:sz w:val="20"/>
              </w:rPr>
            </w:pPr>
          </w:p>
        </w:tc>
        <w:tc>
          <w:tcPr>
            <w:tcW w:w="2129" w:type="dxa"/>
            <w:vMerge w:val="restart"/>
            <w:tcBorders>
              <w:top w:val="nil"/>
            </w:tcBorders>
          </w:tcPr>
          <w:p>
            <w:pPr>
              <w:pStyle w:val="TableParagraph"/>
              <w:rPr>
                <w:rFonts w:ascii="Times New Roman"/>
                <w:sz w:val="20"/>
              </w:rPr>
            </w:pPr>
          </w:p>
        </w:tc>
      </w:tr>
      <w:tr>
        <w:trPr>
          <w:trHeight w:val="2299" w:hRule="atLeast"/>
        </w:trPr>
        <w:tc>
          <w:tcPr>
            <w:tcW w:w="3120" w:type="dxa"/>
          </w:tcPr>
          <w:p>
            <w:pPr>
              <w:pStyle w:val="TableParagraph"/>
              <w:rPr>
                <w:b/>
                <w:sz w:val="20"/>
              </w:rPr>
            </w:pPr>
          </w:p>
          <w:p>
            <w:pPr>
              <w:pStyle w:val="TableParagraph"/>
              <w:ind w:left="69" w:right="82"/>
              <w:rPr>
                <w:sz w:val="20"/>
              </w:rPr>
            </w:pPr>
            <w:r>
              <w:rPr>
                <w:b/>
                <w:sz w:val="20"/>
              </w:rPr>
              <w:t>Actividad PEC 3.4.7: </w:t>
            </w:r>
            <w:r>
              <w:rPr>
                <w:sz w:val="20"/>
              </w:rPr>
              <w:t>Ejecutar los</w:t>
            </w:r>
            <w:r>
              <w:rPr>
                <w:spacing w:val="-14"/>
                <w:sz w:val="20"/>
              </w:rPr>
              <w:t> </w:t>
            </w:r>
            <w:r>
              <w:rPr>
                <w:sz w:val="20"/>
              </w:rPr>
              <w:t>Mantenimientos</w:t>
            </w:r>
            <w:r>
              <w:rPr>
                <w:spacing w:val="-14"/>
                <w:sz w:val="20"/>
              </w:rPr>
              <w:t> </w:t>
            </w:r>
            <w:r>
              <w:rPr>
                <w:sz w:val="20"/>
              </w:rPr>
              <w:t>programados en las tiendas AIJS, AIDO y Edificio</w:t>
            </w:r>
            <w:r>
              <w:rPr>
                <w:spacing w:val="-12"/>
                <w:sz w:val="20"/>
              </w:rPr>
              <w:t> </w:t>
            </w:r>
            <w:r>
              <w:rPr>
                <w:sz w:val="20"/>
              </w:rPr>
              <w:t>y</w:t>
            </w:r>
            <w:r>
              <w:rPr>
                <w:spacing w:val="-11"/>
                <w:sz w:val="20"/>
              </w:rPr>
              <w:t> </w:t>
            </w:r>
            <w:r>
              <w:rPr>
                <w:sz w:val="20"/>
              </w:rPr>
              <w:t>oficinas</w:t>
            </w:r>
            <w:r>
              <w:rPr>
                <w:spacing w:val="-11"/>
                <w:sz w:val="20"/>
              </w:rPr>
              <w:t> </w:t>
            </w:r>
            <w:r>
              <w:rPr>
                <w:sz w:val="20"/>
              </w:rPr>
              <w:t>Administrativas y los mantenimientos de equipo necesarios para la operación del negocio (Partidas :1.08.01,</w:t>
            </w:r>
          </w:p>
          <w:p>
            <w:pPr>
              <w:pStyle w:val="TableParagraph"/>
              <w:spacing w:line="229" w:lineRule="exact"/>
              <w:ind w:left="69"/>
              <w:rPr>
                <w:sz w:val="20"/>
              </w:rPr>
            </w:pPr>
            <w:r>
              <w:rPr>
                <w:sz w:val="20"/>
              </w:rPr>
              <w:t>1.08.04,</w:t>
            </w:r>
            <w:r>
              <w:rPr>
                <w:spacing w:val="-10"/>
                <w:sz w:val="20"/>
              </w:rPr>
              <w:t> </w:t>
            </w:r>
            <w:r>
              <w:rPr>
                <w:sz w:val="20"/>
              </w:rPr>
              <w:t>1.08.05,</w:t>
            </w:r>
            <w:r>
              <w:rPr>
                <w:spacing w:val="-12"/>
                <w:sz w:val="20"/>
              </w:rPr>
              <w:t> </w:t>
            </w:r>
            <w:r>
              <w:rPr>
                <w:spacing w:val="-2"/>
                <w:sz w:val="20"/>
              </w:rPr>
              <w:t>1.08.07,</w:t>
            </w:r>
          </w:p>
          <w:p>
            <w:pPr>
              <w:pStyle w:val="TableParagraph"/>
              <w:spacing w:line="210" w:lineRule="exact"/>
              <w:ind w:left="69"/>
              <w:rPr>
                <w:sz w:val="20"/>
              </w:rPr>
            </w:pPr>
            <w:r>
              <w:rPr>
                <w:sz w:val="20"/>
              </w:rPr>
              <w:t>1.08.08</w:t>
            </w:r>
            <w:r>
              <w:rPr>
                <w:spacing w:val="-8"/>
                <w:sz w:val="20"/>
              </w:rPr>
              <w:t> </w:t>
            </w:r>
            <w:r>
              <w:rPr>
                <w:sz w:val="20"/>
              </w:rPr>
              <w:t>y</w:t>
            </w:r>
            <w:r>
              <w:rPr>
                <w:spacing w:val="-5"/>
                <w:sz w:val="20"/>
              </w:rPr>
              <w:t> </w:t>
            </w:r>
            <w:r>
              <w:rPr>
                <w:spacing w:val="-2"/>
                <w:sz w:val="20"/>
              </w:rPr>
              <w:t>1.08.99)</w:t>
            </w:r>
          </w:p>
        </w:tc>
        <w:tc>
          <w:tcPr>
            <w:tcW w:w="1841" w:type="dxa"/>
          </w:tcPr>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ind w:left="8" w:right="3"/>
              <w:jc w:val="center"/>
              <w:rPr>
                <w:sz w:val="20"/>
              </w:rPr>
            </w:pPr>
            <w:r>
              <w:rPr>
                <w:spacing w:val="-5"/>
                <w:sz w:val="20"/>
              </w:rPr>
              <w:t>N/D</w:t>
            </w:r>
          </w:p>
        </w:tc>
        <w:tc>
          <w:tcPr>
            <w:tcW w:w="1766" w:type="dxa"/>
          </w:tcPr>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ind w:left="121" w:right="116"/>
              <w:jc w:val="center"/>
              <w:rPr>
                <w:sz w:val="20"/>
              </w:rPr>
            </w:pPr>
            <w:r>
              <w:rPr>
                <w:spacing w:val="-4"/>
                <w:sz w:val="20"/>
              </w:rPr>
              <w:t>100%</w:t>
            </w:r>
          </w:p>
        </w:tc>
        <w:tc>
          <w:tcPr>
            <w:tcW w:w="1495" w:type="dxa"/>
          </w:tcPr>
          <w:p>
            <w:pPr>
              <w:pStyle w:val="TableParagraph"/>
              <w:rPr>
                <w:b/>
                <w:sz w:val="20"/>
              </w:rPr>
            </w:pPr>
          </w:p>
          <w:p>
            <w:pPr>
              <w:pStyle w:val="TableParagraph"/>
              <w:spacing w:before="228"/>
              <w:rPr>
                <w:b/>
                <w:sz w:val="20"/>
              </w:rPr>
            </w:pPr>
          </w:p>
          <w:p>
            <w:pPr>
              <w:pStyle w:val="TableParagraph"/>
              <w:ind w:left="68" w:right="72"/>
              <w:rPr>
                <w:sz w:val="20"/>
              </w:rPr>
            </w:pPr>
            <w:r>
              <w:rPr>
                <w:sz w:val="20"/>
              </w:rPr>
              <w:t>Porcentaje de ejecución de </w:t>
            </w:r>
            <w:r>
              <w:rPr>
                <w:spacing w:val="-2"/>
                <w:sz w:val="20"/>
              </w:rPr>
              <w:t>mantenimiento </w:t>
            </w:r>
            <w:r>
              <w:rPr>
                <w:spacing w:val="-10"/>
                <w:sz w:val="20"/>
              </w:rPr>
              <w:t>s</w:t>
            </w:r>
          </w:p>
        </w:tc>
        <w:tc>
          <w:tcPr>
            <w:tcW w:w="1276" w:type="dxa"/>
          </w:tcPr>
          <w:p>
            <w:pPr>
              <w:pStyle w:val="TableParagraph"/>
              <w:rPr>
                <w:b/>
                <w:sz w:val="20"/>
              </w:rPr>
            </w:pPr>
          </w:p>
          <w:p>
            <w:pPr>
              <w:pStyle w:val="TableParagraph"/>
              <w:rPr>
                <w:b/>
                <w:sz w:val="20"/>
              </w:rPr>
            </w:pPr>
          </w:p>
          <w:p>
            <w:pPr>
              <w:pStyle w:val="TableParagraph"/>
              <w:spacing w:before="228"/>
              <w:rPr>
                <w:b/>
                <w:sz w:val="20"/>
              </w:rPr>
            </w:pPr>
          </w:p>
          <w:p>
            <w:pPr>
              <w:pStyle w:val="TableParagraph"/>
              <w:spacing w:before="1"/>
              <w:ind w:left="71"/>
              <w:rPr>
                <w:sz w:val="20"/>
              </w:rPr>
            </w:pPr>
            <w:r>
              <w:rPr>
                <w:spacing w:val="-2"/>
                <w:sz w:val="20"/>
              </w:rPr>
              <w:t>Informe Trimestral</w:t>
            </w:r>
          </w:p>
        </w:tc>
        <w:tc>
          <w:tcPr>
            <w:tcW w:w="1418" w:type="dxa"/>
          </w:tcPr>
          <w:p>
            <w:pPr>
              <w:pStyle w:val="TableParagraph"/>
              <w:rPr>
                <w:b/>
                <w:sz w:val="20"/>
              </w:rPr>
            </w:pPr>
          </w:p>
          <w:p>
            <w:pPr>
              <w:pStyle w:val="TableParagraph"/>
              <w:rPr>
                <w:b/>
                <w:sz w:val="20"/>
              </w:rPr>
            </w:pPr>
          </w:p>
          <w:p>
            <w:pPr>
              <w:pStyle w:val="TableParagraph"/>
              <w:ind w:left="69" w:right="73"/>
              <w:rPr>
                <w:sz w:val="20"/>
              </w:rPr>
            </w:pPr>
            <w:r>
              <w:rPr>
                <w:sz w:val="20"/>
              </w:rPr>
              <w:t>Unidad de Logística e </w:t>
            </w:r>
            <w:r>
              <w:rPr>
                <w:spacing w:val="-2"/>
                <w:sz w:val="20"/>
              </w:rPr>
              <w:t>Importaciones </w:t>
            </w:r>
            <w:r>
              <w:rPr>
                <w:sz w:val="20"/>
              </w:rPr>
              <w:t>y Unidad de </w:t>
            </w:r>
            <w:r>
              <w:rPr>
                <w:spacing w:val="-2"/>
                <w:sz w:val="20"/>
              </w:rPr>
              <w:t>Coordinación Administrativa</w:t>
            </w:r>
          </w:p>
        </w:tc>
        <w:tc>
          <w:tcPr>
            <w:tcW w:w="1697" w:type="dxa"/>
          </w:tcPr>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ind w:right="54"/>
              <w:jc w:val="right"/>
              <w:rPr>
                <w:sz w:val="20"/>
              </w:rPr>
            </w:pPr>
            <w:r>
              <w:rPr>
                <w:sz w:val="20"/>
              </w:rPr>
              <w:t>₡169</w:t>
            </w:r>
            <w:r>
              <w:rPr>
                <w:spacing w:val="-6"/>
                <w:sz w:val="20"/>
              </w:rPr>
              <w:t> </w:t>
            </w:r>
            <w:r>
              <w:rPr>
                <w:sz w:val="20"/>
              </w:rPr>
              <w:t>975</w:t>
            </w:r>
            <w:r>
              <w:rPr>
                <w:spacing w:val="-6"/>
                <w:sz w:val="20"/>
              </w:rPr>
              <w:t> </w:t>
            </w:r>
            <w:r>
              <w:rPr>
                <w:spacing w:val="-5"/>
                <w:sz w:val="20"/>
              </w:rPr>
              <w:t>000</w:t>
            </w:r>
          </w:p>
        </w:tc>
        <w:tc>
          <w:tcPr>
            <w:tcW w:w="2129" w:type="dxa"/>
            <w:vMerge/>
            <w:tcBorders>
              <w:top w:val="nil"/>
            </w:tcBorders>
          </w:tcPr>
          <w:p>
            <w:pPr>
              <w:rPr>
                <w:sz w:val="2"/>
                <w:szCs w:val="2"/>
              </w:rPr>
            </w:pPr>
          </w:p>
        </w:tc>
      </w:tr>
      <w:tr>
        <w:trPr>
          <w:trHeight w:val="1610" w:hRule="atLeast"/>
        </w:trPr>
        <w:tc>
          <w:tcPr>
            <w:tcW w:w="3120" w:type="dxa"/>
          </w:tcPr>
          <w:p>
            <w:pPr>
              <w:pStyle w:val="TableParagraph"/>
              <w:spacing w:before="115"/>
              <w:rPr>
                <w:b/>
                <w:sz w:val="20"/>
              </w:rPr>
            </w:pPr>
          </w:p>
          <w:p>
            <w:pPr>
              <w:pStyle w:val="TableParagraph"/>
              <w:ind w:left="69" w:right="173"/>
              <w:rPr>
                <w:sz w:val="20"/>
              </w:rPr>
            </w:pPr>
            <w:r>
              <w:rPr>
                <w:b/>
                <w:sz w:val="20"/>
              </w:rPr>
              <w:t>Actividad PEC 3.4.8: </w:t>
            </w:r>
            <w:r>
              <w:rPr>
                <w:sz w:val="20"/>
              </w:rPr>
              <w:t>Ejecutar las</w:t>
            </w:r>
            <w:r>
              <w:rPr>
                <w:spacing w:val="-14"/>
                <w:sz w:val="20"/>
              </w:rPr>
              <w:t> </w:t>
            </w:r>
            <w:r>
              <w:rPr>
                <w:sz w:val="20"/>
              </w:rPr>
              <w:t>actividades</w:t>
            </w:r>
            <w:r>
              <w:rPr>
                <w:spacing w:val="-14"/>
                <w:sz w:val="20"/>
              </w:rPr>
              <w:t> </w:t>
            </w:r>
            <w:r>
              <w:rPr>
                <w:sz w:val="20"/>
              </w:rPr>
              <w:t>programados</w:t>
            </w:r>
            <w:r>
              <w:rPr>
                <w:spacing w:val="-14"/>
                <w:sz w:val="20"/>
              </w:rPr>
              <w:t> </w:t>
            </w:r>
            <w:r>
              <w:rPr>
                <w:sz w:val="20"/>
              </w:rPr>
              <w:t>de acuerdo con la contratación Trademarketing (1.04.04)</w:t>
            </w:r>
          </w:p>
        </w:tc>
        <w:tc>
          <w:tcPr>
            <w:tcW w:w="1841" w:type="dxa"/>
          </w:tcPr>
          <w:p>
            <w:pPr>
              <w:pStyle w:val="TableParagraph"/>
              <w:rPr>
                <w:b/>
                <w:sz w:val="20"/>
              </w:rPr>
            </w:pPr>
          </w:p>
          <w:p>
            <w:pPr>
              <w:pStyle w:val="TableParagraph"/>
              <w:rPr>
                <w:b/>
                <w:sz w:val="20"/>
              </w:rPr>
            </w:pPr>
          </w:p>
          <w:p>
            <w:pPr>
              <w:pStyle w:val="TableParagraph"/>
              <w:spacing w:before="1"/>
              <w:rPr>
                <w:b/>
                <w:sz w:val="20"/>
              </w:rPr>
            </w:pPr>
          </w:p>
          <w:p>
            <w:pPr>
              <w:pStyle w:val="TableParagraph"/>
              <w:ind w:left="8" w:right="3"/>
              <w:jc w:val="center"/>
              <w:rPr>
                <w:sz w:val="20"/>
              </w:rPr>
            </w:pPr>
            <w:r>
              <w:rPr>
                <w:spacing w:val="-5"/>
                <w:sz w:val="20"/>
              </w:rPr>
              <w:t>N/D</w:t>
            </w:r>
          </w:p>
        </w:tc>
        <w:tc>
          <w:tcPr>
            <w:tcW w:w="1766" w:type="dxa"/>
          </w:tcPr>
          <w:p>
            <w:pPr>
              <w:pStyle w:val="TableParagraph"/>
              <w:rPr>
                <w:b/>
                <w:sz w:val="20"/>
              </w:rPr>
            </w:pPr>
          </w:p>
          <w:p>
            <w:pPr>
              <w:pStyle w:val="TableParagraph"/>
              <w:rPr>
                <w:b/>
                <w:sz w:val="20"/>
              </w:rPr>
            </w:pPr>
          </w:p>
          <w:p>
            <w:pPr>
              <w:pStyle w:val="TableParagraph"/>
              <w:spacing w:before="1"/>
              <w:rPr>
                <w:b/>
                <w:sz w:val="20"/>
              </w:rPr>
            </w:pPr>
          </w:p>
          <w:p>
            <w:pPr>
              <w:pStyle w:val="TableParagraph"/>
              <w:ind w:left="121" w:right="116"/>
              <w:jc w:val="center"/>
              <w:rPr>
                <w:sz w:val="20"/>
              </w:rPr>
            </w:pPr>
            <w:r>
              <w:rPr>
                <w:spacing w:val="-4"/>
                <w:sz w:val="20"/>
              </w:rPr>
              <w:t>100%</w:t>
            </w:r>
          </w:p>
        </w:tc>
        <w:tc>
          <w:tcPr>
            <w:tcW w:w="1495" w:type="dxa"/>
          </w:tcPr>
          <w:p>
            <w:pPr>
              <w:pStyle w:val="TableParagraph"/>
              <w:ind w:left="68"/>
              <w:rPr>
                <w:sz w:val="20"/>
              </w:rPr>
            </w:pPr>
            <w:r>
              <w:rPr>
                <w:sz w:val="20"/>
              </w:rPr>
              <w:t>Porcentaje de </w:t>
            </w:r>
            <w:r>
              <w:rPr>
                <w:spacing w:val="-2"/>
                <w:sz w:val="20"/>
              </w:rPr>
              <w:t>actividades </w:t>
            </w:r>
            <w:r>
              <w:rPr>
                <w:sz w:val="20"/>
              </w:rPr>
              <w:t>ejecutadas de acuerdo</w:t>
            </w:r>
            <w:r>
              <w:rPr>
                <w:spacing w:val="-14"/>
                <w:sz w:val="20"/>
              </w:rPr>
              <w:t> </w:t>
            </w:r>
            <w:r>
              <w:rPr>
                <w:sz w:val="20"/>
              </w:rPr>
              <w:t>con</w:t>
            </w:r>
            <w:r>
              <w:rPr>
                <w:spacing w:val="-14"/>
                <w:sz w:val="20"/>
              </w:rPr>
              <w:t> </w:t>
            </w:r>
            <w:r>
              <w:rPr>
                <w:sz w:val="20"/>
              </w:rPr>
              <w:t>la </w:t>
            </w:r>
            <w:r>
              <w:rPr>
                <w:spacing w:val="-2"/>
                <w:sz w:val="20"/>
              </w:rPr>
              <w:t>contratación</w:t>
            </w:r>
          </w:p>
          <w:p>
            <w:pPr>
              <w:pStyle w:val="TableParagraph"/>
              <w:spacing w:line="230" w:lineRule="exact"/>
              <w:ind w:left="68" w:right="72"/>
              <w:rPr>
                <w:sz w:val="20"/>
              </w:rPr>
            </w:pPr>
            <w:r>
              <w:rPr>
                <w:spacing w:val="-2"/>
                <w:sz w:val="20"/>
              </w:rPr>
              <w:t>Trademarketin </w:t>
            </w:r>
            <w:r>
              <w:rPr>
                <w:spacing w:val="-10"/>
                <w:sz w:val="20"/>
              </w:rPr>
              <w:t>g</w:t>
            </w:r>
          </w:p>
        </w:tc>
        <w:tc>
          <w:tcPr>
            <w:tcW w:w="1276" w:type="dxa"/>
          </w:tcPr>
          <w:p>
            <w:pPr>
              <w:pStyle w:val="TableParagraph"/>
              <w:rPr>
                <w:b/>
                <w:sz w:val="20"/>
              </w:rPr>
            </w:pPr>
          </w:p>
          <w:p>
            <w:pPr>
              <w:pStyle w:val="TableParagraph"/>
              <w:spacing w:before="115"/>
              <w:rPr>
                <w:b/>
                <w:sz w:val="20"/>
              </w:rPr>
            </w:pPr>
          </w:p>
          <w:p>
            <w:pPr>
              <w:pStyle w:val="TableParagraph"/>
              <w:spacing w:before="1"/>
              <w:ind w:left="71"/>
              <w:rPr>
                <w:sz w:val="20"/>
              </w:rPr>
            </w:pPr>
            <w:r>
              <w:rPr>
                <w:spacing w:val="-2"/>
                <w:sz w:val="20"/>
              </w:rPr>
              <w:t>Informe Trimestral</w:t>
            </w:r>
          </w:p>
        </w:tc>
        <w:tc>
          <w:tcPr>
            <w:tcW w:w="1418" w:type="dxa"/>
          </w:tcPr>
          <w:p>
            <w:pPr>
              <w:pStyle w:val="TableParagraph"/>
              <w:rPr>
                <w:b/>
                <w:sz w:val="20"/>
              </w:rPr>
            </w:pPr>
          </w:p>
          <w:p>
            <w:pPr>
              <w:pStyle w:val="TableParagraph"/>
              <w:rPr>
                <w:b/>
                <w:sz w:val="20"/>
              </w:rPr>
            </w:pPr>
          </w:p>
          <w:p>
            <w:pPr>
              <w:pStyle w:val="TableParagraph"/>
              <w:ind w:left="69" w:right="293"/>
              <w:jc w:val="both"/>
              <w:rPr>
                <w:sz w:val="20"/>
              </w:rPr>
            </w:pPr>
            <w:r>
              <w:rPr>
                <w:sz w:val="20"/>
              </w:rPr>
              <w:t>Jefatura de Mercadeo</w:t>
            </w:r>
            <w:r>
              <w:rPr>
                <w:spacing w:val="-14"/>
                <w:sz w:val="20"/>
              </w:rPr>
              <w:t> </w:t>
            </w:r>
            <w:r>
              <w:rPr>
                <w:sz w:val="20"/>
              </w:rPr>
              <w:t>y </w:t>
            </w:r>
            <w:r>
              <w:rPr>
                <w:spacing w:val="-2"/>
                <w:sz w:val="20"/>
              </w:rPr>
              <w:t>Ventas</w:t>
            </w:r>
          </w:p>
        </w:tc>
        <w:tc>
          <w:tcPr>
            <w:tcW w:w="1697" w:type="dxa"/>
          </w:tcPr>
          <w:p>
            <w:pPr>
              <w:pStyle w:val="TableParagraph"/>
              <w:rPr>
                <w:b/>
                <w:sz w:val="20"/>
              </w:rPr>
            </w:pPr>
          </w:p>
          <w:p>
            <w:pPr>
              <w:pStyle w:val="TableParagraph"/>
              <w:rPr>
                <w:b/>
                <w:sz w:val="20"/>
              </w:rPr>
            </w:pPr>
          </w:p>
          <w:p>
            <w:pPr>
              <w:pStyle w:val="TableParagraph"/>
              <w:spacing w:before="1"/>
              <w:rPr>
                <w:b/>
                <w:sz w:val="20"/>
              </w:rPr>
            </w:pPr>
          </w:p>
          <w:p>
            <w:pPr>
              <w:pStyle w:val="TableParagraph"/>
              <w:ind w:right="54"/>
              <w:jc w:val="right"/>
              <w:rPr>
                <w:sz w:val="20"/>
              </w:rPr>
            </w:pPr>
            <w:r>
              <w:rPr>
                <w:sz w:val="20"/>
              </w:rPr>
              <w:t>₡45</w:t>
            </w:r>
            <w:r>
              <w:rPr>
                <w:spacing w:val="-8"/>
                <w:sz w:val="20"/>
              </w:rPr>
              <w:t> </w:t>
            </w:r>
            <w:r>
              <w:rPr>
                <w:sz w:val="20"/>
              </w:rPr>
              <w:t>000</w:t>
            </w:r>
            <w:r>
              <w:rPr>
                <w:spacing w:val="-3"/>
                <w:sz w:val="20"/>
              </w:rPr>
              <w:t> </w:t>
            </w:r>
            <w:r>
              <w:rPr>
                <w:spacing w:val="-5"/>
                <w:sz w:val="20"/>
              </w:rPr>
              <w:t>000</w:t>
            </w:r>
          </w:p>
        </w:tc>
        <w:tc>
          <w:tcPr>
            <w:tcW w:w="2129" w:type="dxa"/>
          </w:tcPr>
          <w:p>
            <w:pPr>
              <w:pStyle w:val="TableParagraph"/>
              <w:rPr>
                <w:rFonts w:ascii="Times New Roman"/>
                <w:sz w:val="20"/>
              </w:rPr>
            </w:pPr>
          </w:p>
        </w:tc>
      </w:tr>
      <w:tr>
        <w:trPr>
          <w:trHeight w:val="2071" w:hRule="atLeast"/>
        </w:trPr>
        <w:tc>
          <w:tcPr>
            <w:tcW w:w="3120" w:type="dxa"/>
          </w:tcPr>
          <w:p>
            <w:pPr>
              <w:pStyle w:val="TableParagraph"/>
              <w:rPr>
                <w:b/>
                <w:sz w:val="20"/>
              </w:rPr>
            </w:pPr>
          </w:p>
          <w:p>
            <w:pPr>
              <w:pStyle w:val="TableParagraph"/>
              <w:rPr>
                <w:b/>
                <w:sz w:val="20"/>
              </w:rPr>
            </w:pPr>
          </w:p>
          <w:p>
            <w:pPr>
              <w:pStyle w:val="TableParagraph"/>
              <w:ind w:left="69" w:right="103"/>
              <w:rPr>
                <w:sz w:val="20"/>
              </w:rPr>
            </w:pPr>
            <w:r>
              <w:rPr>
                <w:b/>
                <w:sz w:val="20"/>
              </w:rPr>
              <w:t>Actividad PEC 3.4.9: </w:t>
            </w:r>
            <w:r>
              <w:rPr>
                <w:sz w:val="20"/>
              </w:rPr>
              <w:t>Efectuar mediante proceso de contratación</w:t>
            </w:r>
            <w:r>
              <w:rPr>
                <w:spacing w:val="-14"/>
                <w:sz w:val="20"/>
              </w:rPr>
              <w:t> </w:t>
            </w:r>
            <w:r>
              <w:rPr>
                <w:sz w:val="20"/>
              </w:rPr>
              <w:t>la</w:t>
            </w:r>
            <w:r>
              <w:rPr>
                <w:spacing w:val="-12"/>
                <w:sz w:val="20"/>
              </w:rPr>
              <w:t> </w:t>
            </w:r>
            <w:r>
              <w:rPr>
                <w:sz w:val="20"/>
              </w:rPr>
              <w:t>Auditoría</w:t>
            </w:r>
            <w:r>
              <w:rPr>
                <w:spacing w:val="-14"/>
                <w:sz w:val="20"/>
              </w:rPr>
              <w:t> </w:t>
            </w:r>
            <w:r>
              <w:rPr>
                <w:sz w:val="20"/>
              </w:rPr>
              <w:t>Externa y la toma física de inventarios (Partida 1.04.04)</w:t>
            </w:r>
          </w:p>
        </w:tc>
        <w:tc>
          <w:tcPr>
            <w:tcW w:w="1841" w:type="dxa"/>
          </w:tcPr>
          <w:p>
            <w:pPr>
              <w:pStyle w:val="TableParagraph"/>
              <w:rPr>
                <w:b/>
                <w:sz w:val="20"/>
              </w:rPr>
            </w:pPr>
          </w:p>
          <w:p>
            <w:pPr>
              <w:pStyle w:val="TableParagraph"/>
              <w:rPr>
                <w:b/>
                <w:sz w:val="20"/>
              </w:rPr>
            </w:pPr>
          </w:p>
          <w:p>
            <w:pPr>
              <w:pStyle w:val="TableParagraph"/>
              <w:rPr>
                <w:b/>
                <w:sz w:val="20"/>
              </w:rPr>
            </w:pPr>
          </w:p>
          <w:p>
            <w:pPr>
              <w:pStyle w:val="TableParagraph"/>
              <w:spacing w:before="1"/>
              <w:rPr>
                <w:b/>
                <w:sz w:val="20"/>
              </w:rPr>
            </w:pPr>
          </w:p>
          <w:p>
            <w:pPr>
              <w:pStyle w:val="TableParagraph"/>
              <w:ind w:left="8"/>
              <w:jc w:val="center"/>
              <w:rPr>
                <w:sz w:val="20"/>
              </w:rPr>
            </w:pPr>
            <w:r>
              <w:rPr>
                <w:spacing w:val="-10"/>
                <w:sz w:val="20"/>
              </w:rPr>
              <w:t>2</w:t>
            </w:r>
          </w:p>
        </w:tc>
        <w:tc>
          <w:tcPr>
            <w:tcW w:w="1766" w:type="dxa"/>
          </w:tcPr>
          <w:p>
            <w:pPr>
              <w:pStyle w:val="TableParagraph"/>
              <w:rPr>
                <w:b/>
                <w:sz w:val="20"/>
              </w:rPr>
            </w:pPr>
          </w:p>
          <w:p>
            <w:pPr>
              <w:pStyle w:val="TableParagraph"/>
              <w:rPr>
                <w:b/>
                <w:sz w:val="20"/>
              </w:rPr>
            </w:pPr>
          </w:p>
          <w:p>
            <w:pPr>
              <w:pStyle w:val="TableParagraph"/>
              <w:rPr>
                <w:b/>
                <w:sz w:val="20"/>
              </w:rPr>
            </w:pPr>
          </w:p>
          <w:p>
            <w:pPr>
              <w:pStyle w:val="TableParagraph"/>
              <w:spacing w:before="1"/>
              <w:rPr>
                <w:b/>
                <w:sz w:val="20"/>
              </w:rPr>
            </w:pPr>
          </w:p>
          <w:p>
            <w:pPr>
              <w:pStyle w:val="TableParagraph"/>
              <w:ind w:left="121" w:right="114"/>
              <w:jc w:val="center"/>
              <w:rPr>
                <w:sz w:val="20"/>
              </w:rPr>
            </w:pPr>
            <w:r>
              <w:rPr>
                <w:spacing w:val="-10"/>
                <w:sz w:val="20"/>
              </w:rPr>
              <w:t>2</w:t>
            </w:r>
          </w:p>
        </w:tc>
        <w:tc>
          <w:tcPr>
            <w:tcW w:w="1495" w:type="dxa"/>
          </w:tcPr>
          <w:p>
            <w:pPr>
              <w:pStyle w:val="TableParagraph"/>
              <w:rPr>
                <w:b/>
                <w:sz w:val="20"/>
              </w:rPr>
            </w:pPr>
          </w:p>
          <w:p>
            <w:pPr>
              <w:pStyle w:val="TableParagraph"/>
              <w:rPr>
                <w:b/>
                <w:sz w:val="20"/>
              </w:rPr>
            </w:pPr>
          </w:p>
          <w:p>
            <w:pPr>
              <w:pStyle w:val="TableParagraph"/>
              <w:rPr>
                <w:b/>
                <w:sz w:val="20"/>
              </w:rPr>
            </w:pPr>
          </w:p>
          <w:p>
            <w:pPr>
              <w:pStyle w:val="TableParagraph"/>
              <w:ind w:left="68"/>
              <w:rPr>
                <w:sz w:val="20"/>
              </w:rPr>
            </w:pPr>
            <w:r>
              <w:rPr>
                <w:sz w:val="20"/>
              </w:rPr>
              <w:t>Cantidad de </w:t>
            </w:r>
            <w:r>
              <w:rPr>
                <w:spacing w:val="-2"/>
                <w:sz w:val="20"/>
              </w:rPr>
              <w:t>contrataciones ejecutadas</w:t>
            </w:r>
          </w:p>
        </w:tc>
        <w:tc>
          <w:tcPr>
            <w:tcW w:w="1276" w:type="dxa"/>
          </w:tcPr>
          <w:p>
            <w:pPr>
              <w:pStyle w:val="TableParagraph"/>
              <w:rPr>
                <w:b/>
                <w:sz w:val="20"/>
              </w:rPr>
            </w:pPr>
          </w:p>
          <w:p>
            <w:pPr>
              <w:pStyle w:val="TableParagraph"/>
              <w:rPr>
                <w:b/>
                <w:sz w:val="20"/>
              </w:rPr>
            </w:pPr>
          </w:p>
          <w:p>
            <w:pPr>
              <w:pStyle w:val="TableParagraph"/>
              <w:ind w:left="71"/>
              <w:rPr>
                <w:sz w:val="20"/>
              </w:rPr>
            </w:pPr>
            <w:r>
              <w:rPr>
                <w:spacing w:val="-2"/>
                <w:sz w:val="20"/>
              </w:rPr>
              <w:t>Informes </w:t>
            </w:r>
            <w:r>
              <w:rPr>
                <w:sz w:val="20"/>
              </w:rPr>
              <w:t>finales de </w:t>
            </w:r>
            <w:r>
              <w:rPr>
                <w:spacing w:val="-2"/>
                <w:sz w:val="20"/>
              </w:rPr>
              <w:t>Auditoría </w:t>
            </w:r>
            <w:r>
              <w:rPr>
                <w:sz w:val="20"/>
              </w:rPr>
              <w:t>Externa e </w:t>
            </w:r>
            <w:r>
              <w:rPr>
                <w:spacing w:val="-2"/>
                <w:sz w:val="20"/>
              </w:rPr>
              <w:t>Inventarios</w:t>
            </w:r>
          </w:p>
        </w:tc>
        <w:tc>
          <w:tcPr>
            <w:tcW w:w="1418" w:type="dxa"/>
          </w:tcPr>
          <w:p>
            <w:pPr>
              <w:pStyle w:val="TableParagraph"/>
              <w:ind w:left="69" w:right="73"/>
              <w:rPr>
                <w:sz w:val="20"/>
              </w:rPr>
            </w:pPr>
            <w:r>
              <w:rPr>
                <w:spacing w:val="-2"/>
                <w:sz w:val="20"/>
              </w:rPr>
              <w:t>Administració </w:t>
            </w:r>
            <w:r>
              <w:rPr>
                <w:sz w:val="20"/>
              </w:rPr>
              <w:t>n General, Jefatura de </w:t>
            </w:r>
            <w:r>
              <w:rPr>
                <w:spacing w:val="-2"/>
                <w:sz w:val="20"/>
              </w:rPr>
              <w:t>Coordinación Administrativa </w:t>
            </w:r>
            <w:r>
              <w:rPr>
                <w:sz w:val="20"/>
              </w:rPr>
              <w:t>Jefatura de Mercadeo y</w:t>
            </w:r>
          </w:p>
          <w:p>
            <w:pPr>
              <w:pStyle w:val="TableParagraph"/>
              <w:spacing w:line="230" w:lineRule="atLeast"/>
              <w:ind w:left="69" w:right="332"/>
              <w:rPr>
                <w:sz w:val="20"/>
              </w:rPr>
            </w:pPr>
            <w:r>
              <w:rPr>
                <w:sz w:val="20"/>
              </w:rPr>
              <w:t>Ventas y Jefatura</w:t>
            </w:r>
            <w:r>
              <w:rPr>
                <w:spacing w:val="-14"/>
                <w:sz w:val="20"/>
              </w:rPr>
              <w:t> </w:t>
            </w:r>
            <w:r>
              <w:rPr>
                <w:sz w:val="20"/>
              </w:rPr>
              <w:t>de</w:t>
            </w:r>
          </w:p>
        </w:tc>
        <w:tc>
          <w:tcPr>
            <w:tcW w:w="1697" w:type="dxa"/>
          </w:tcPr>
          <w:p>
            <w:pPr>
              <w:pStyle w:val="TableParagraph"/>
              <w:rPr>
                <w:b/>
                <w:sz w:val="20"/>
              </w:rPr>
            </w:pPr>
          </w:p>
          <w:p>
            <w:pPr>
              <w:pStyle w:val="TableParagraph"/>
              <w:rPr>
                <w:b/>
                <w:sz w:val="20"/>
              </w:rPr>
            </w:pPr>
          </w:p>
          <w:p>
            <w:pPr>
              <w:pStyle w:val="TableParagraph"/>
              <w:rPr>
                <w:b/>
                <w:sz w:val="20"/>
              </w:rPr>
            </w:pPr>
          </w:p>
          <w:p>
            <w:pPr>
              <w:pStyle w:val="TableParagraph"/>
              <w:spacing w:before="1"/>
              <w:rPr>
                <w:b/>
                <w:sz w:val="20"/>
              </w:rPr>
            </w:pPr>
          </w:p>
          <w:p>
            <w:pPr>
              <w:pStyle w:val="TableParagraph"/>
              <w:ind w:right="54"/>
              <w:jc w:val="right"/>
              <w:rPr>
                <w:sz w:val="20"/>
              </w:rPr>
            </w:pPr>
            <w:r>
              <w:rPr>
                <w:sz w:val="20"/>
              </w:rPr>
              <w:t>₡25</w:t>
            </w:r>
            <w:r>
              <w:rPr>
                <w:spacing w:val="-8"/>
                <w:sz w:val="20"/>
              </w:rPr>
              <w:t> </w:t>
            </w:r>
            <w:r>
              <w:rPr>
                <w:sz w:val="20"/>
              </w:rPr>
              <w:t>000</w:t>
            </w:r>
            <w:r>
              <w:rPr>
                <w:spacing w:val="-3"/>
                <w:sz w:val="20"/>
              </w:rPr>
              <w:t> </w:t>
            </w:r>
            <w:r>
              <w:rPr>
                <w:spacing w:val="-5"/>
                <w:sz w:val="20"/>
              </w:rPr>
              <w:t>000</w:t>
            </w:r>
          </w:p>
        </w:tc>
        <w:tc>
          <w:tcPr>
            <w:tcW w:w="2129" w:type="dxa"/>
          </w:tcPr>
          <w:p>
            <w:pPr>
              <w:pStyle w:val="TableParagraph"/>
              <w:rPr>
                <w:rFonts w:ascii="Times New Roman"/>
                <w:sz w:val="20"/>
              </w:rPr>
            </w:pPr>
          </w:p>
        </w:tc>
      </w:tr>
    </w:tbl>
    <w:p>
      <w:pPr>
        <w:pStyle w:val="TableParagraph"/>
        <w:spacing w:after="0"/>
        <w:rPr>
          <w:rFonts w:ascii="Times New Roman"/>
          <w:sz w:val="20"/>
        </w:rPr>
        <w:sectPr>
          <w:pgSz w:w="15840" w:h="12240" w:orient="landscape"/>
          <w:pgMar w:header="0" w:footer="1530" w:top="1380" w:bottom="2040" w:left="360" w:right="360"/>
        </w:sectPr>
      </w:pPr>
    </w:p>
    <w:p>
      <w:pPr>
        <w:pStyle w:val="BodyText"/>
        <w:spacing w:before="7" w:after="1"/>
        <w:rPr>
          <w:b/>
          <w:sz w:val="15"/>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20"/>
        <w:gridCol w:w="1841"/>
        <w:gridCol w:w="1766"/>
        <w:gridCol w:w="1495"/>
        <w:gridCol w:w="1276"/>
        <w:gridCol w:w="1418"/>
        <w:gridCol w:w="1699"/>
        <w:gridCol w:w="2126"/>
      </w:tblGrid>
      <w:tr>
        <w:trPr>
          <w:trHeight w:val="875" w:hRule="atLeast"/>
        </w:trPr>
        <w:tc>
          <w:tcPr>
            <w:tcW w:w="3120" w:type="dxa"/>
            <w:shd w:val="clear" w:color="auto" w:fill="D7D7D7"/>
          </w:tcPr>
          <w:p>
            <w:pPr>
              <w:pStyle w:val="TableParagraph"/>
              <w:spacing w:before="91"/>
              <w:rPr>
                <w:b/>
                <w:sz w:val="20"/>
              </w:rPr>
            </w:pPr>
          </w:p>
          <w:p>
            <w:pPr>
              <w:pStyle w:val="TableParagraph"/>
              <w:ind w:left="479"/>
              <w:rPr>
                <w:b/>
                <w:sz w:val="20"/>
              </w:rPr>
            </w:pPr>
            <w:r>
              <w:rPr>
                <w:b/>
                <w:sz w:val="20"/>
              </w:rPr>
              <w:t>Objetivos</w:t>
            </w:r>
            <w:r>
              <w:rPr>
                <w:b/>
                <w:spacing w:val="-9"/>
                <w:sz w:val="20"/>
              </w:rPr>
              <w:t> </w:t>
            </w:r>
            <w:r>
              <w:rPr>
                <w:b/>
                <w:sz w:val="20"/>
              </w:rPr>
              <w:t>/</w:t>
            </w:r>
            <w:r>
              <w:rPr>
                <w:b/>
                <w:spacing w:val="-9"/>
                <w:sz w:val="20"/>
              </w:rPr>
              <w:t> </w:t>
            </w:r>
            <w:r>
              <w:rPr>
                <w:b/>
                <w:spacing w:val="-2"/>
                <w:sz w:val="20"/>
              </w:rPr>
              <w:t>Resultados</w:t>
            </w:r>
          </w:p>
        </w:tc>
        <w:tc>
          <w:tcPr>
            <w:tcW w:w="1841" w:type="dxa"/>
            <w:shd w:val="clear" w:color="auto" w:fill="D7D7D7"/>
          </w:tcPr>
          <w:p>
            <w:pPr>
              <w:pStyle w:val="TableParagraph"/>
              <w:spacing w:before="91"/>
              <w:rPr>
                <w:b/>
                <w:sz w:val="20"/>
              </w:rPr>
            </w:pPr>
          </w:p>
          <w:p>
            <w:pPr>
              <w:pStyle w:val="TableParagraph"/>
              <w:ind w:left="74"/>
              <w:rPr>
                <w:b/>
                <w:sz w:val="20"/>
              </w:rPr>
            </w:pPr>
            <w:r>
              <w:rPr>
                <w:b/>
                <w:sz w:val="20"/>
              </w:rPr>
              <w:t>Línea</w:t>
            </w:r>
            <w:r>
              <w:rPr>
                <w:b/>
                <w:spacing w:val="-11"/>
                <w:sz w:val="20"/>
              </w:rPr>
              <w:t> </w:t>
            </w:r>
            <w:r>
              <w:rPr>
                <w:b/>
                <w:sz w:val="20"/>
              </w:rPr>
              <w:t>Base</w:t>
            </w:r>
            <w:r>
              <w:rPr>
                <w:b/>
                <w:spacing w:val="-8"/>
                <w:sz w:val="20"/>
              </w:rPr>
              <w:t> </w:t>
            </w:r>
            <w:r>
              <w:rPr>
                <w:b/>
                <w:spacing w:val="-2"/>
                <w:sz w:val="20"/>
              </w:rPr>
              <w:t>(2025)</w:t>
            </w:r>
          </w:p>
        </w:tc>
        <w:tc>
          <w:tcPr>
            <w:tcW w:w="1766" w:type="dxa"/>
            <w:shd w:val="clear" w:color="auto" w:fill="D7D7D7"/>
          </w:tcPr>
          <w:p>
            <w:pPr>
              <w:pStyle w:val="TableParagraph"/>
              <w:spacing w:before="93"/>
              <w:ind w:left="121" w:right="110"/>
              <w:jc w:val="center"/>
              <w:rPr>
                <w:b/>
                <w:sz w:val="20"/>
              </w:rPr>
            </w:pPr>
            <w:r>
              <w:rPr>
                <w:b/>
                <w:spacing w:val="-4"/>
                <w:sz w:val="20"/>
              </w:rPr>
              <w:t>Meta </w:t>
            </w:r>
            <w:r>
              <w:rPr>
                <w:b/>
                <w:spacing w:val="-2"/>
                <w:sz w:val="20"/>
              </w:rPr>
              <w:t>programada </w:t>
            </w:r>
            <w:r>
              <w:rPr>
                <w:b/>
                <w:spacing w:val="-4"/>
                <w:sz w:val="20"/>
              </w:rPr>
              <w:t>2027</w:t>
            </w:r>
          </w:p>
        </w:tc>
        <w:tc>
          <w:tcPr>
            <w:tcW w:w="1495" w:type="dxa"/>
            <w:shd w:val="clear" w:color="auto" w:fill="D7D7D7"/>
          </w:tcPr>
          <w:p>
            <w:pPr>
              <w:pStyle w:val="TableParagraph"/>
              <w:spacing w:before="91"/>
              <w:rPr>
                <w:b/>
                <w:sz w:val="20"/>
              </w:rPr>
            </w:pPr>
          </w:p>
          <w:p>
            <w:pPr>
              <w:pStyle w:val="TableParagraph"/>
              <w:ind w:left="296"/>
              <w:rPr>
                <w:b/>
                <w:sz w:val="20"/>
              </w:rPr>
            </w:pPr>
            <w:r>
              <w:rPr>
                <w:b/>
                <w:spacing w:val="-2"/>
                <w:sz w:val="20"/>
              </w:rPr>
              <w:t>Indicador</w:t>
            </w:r>
          </w:p>
        </w:tc>
        <w:tc>
          <w:tcPr>
            <w:tcW w:w="1276" w:type="dxa"/>
            <w:shd w:val="clear" w:color="auto" w:fill="D7D7D7"/>
          </w:tcPr>
          <w:p>
            <w:pPr>
              <w:pStyle w:val="TableParagraph"/>
              <w:spacing w:before="206"/>
              <w:ind w:left="83" w:firstLine="67"/>
              <w:rPr>
                <w:b/>
                <w:sz w:val="20"/>
              </w:rPr>
            </w:pPr>
            <w:r>
              <w:rPr>
                <w:b/>
                <w:sz w:val="20"/>
              </w:rPr>
              <w:t>Medios de </w:t>
            </w:r>
            <w:r>
              <w:rPr>
                <w:b/>
                <w:spacing w:val="-2"/>
                <w:sz w:val="20"/>
              </w:rPr>
              <w:t>verificación</w:t>
            </w:r>
          </w:p>
        </w:tc>
        <w:tc>
          <w:tcPr>
            <w:tcW w:w="1418" w:type="dxa"/>
            <w:shd w:val="clear" w:color="auto" w:fill="D7D7D7"/>
          </w:tcPr>
          <w:p>
            <w:pPr>
              <w:pStyle w:val="TableParagraph"/>
              <w:spacing w:before="91"/>
              <w:rPr>
                <w:b/>
                <w:sz w:val="20"/>
              </w:rPr>
            </w:pPr>
          </w:p>
          <w:p>
            <w:pPr>
              <w:pStyle w:val="TableParagraph"/>
              <w:ind w:left="86"/>
              <w:rPr>
                <w:b/>
                <w:sz w:val="20"/>
              </w:rPr>
            </w:pPr>
            <w:r>
              <w:rPr>
                <w:b/>
                <w:spacing w:val="-2"/>
                <w:sz w:val="20"/>
              </w:rPr>
              <w:t>Responsable</w:t>
            </w:r>
          </w:p>
        </w:tc>
        <w:tc>
          <w:tcPr>
            <w:tcW w:w="1699" w:type="dxa"/>
            <w:shd w:val="clear" w:color="auto" w:fill="D7D7D7"/>
          </w:tcPr>
          <w:p>
            <w:pPr>
              <w:pStyle w:val="TableParagraph"/>
              <w:spacing w:before="206"/>
              <w:ind w:left="413" w:hanging="166"/>
              <w:rPr>
                <w:b/>
                <w:sz w:val="20"/>
              </w:rPr>
            </w:pPr>
            <w:r>
              <w:rPr>
                <w:b/>
                <w:spacing w:val="-2"/>
                <w:sz w:val="20"/>
              </w:rPr>
              <w:t>Presupuesto asignado</w:t>
            </w:r>
          </w:p>
        </w:tc>
        <w:tc>
          <w:tcPr>
            <w:tcW w:w="2126" w:type="dxa"/>
            <w:shd w:val="clear" w:color="auto" w:fill="D7D7D7"/>
          </w:tcPr>
          <w:p>
            <w:pPr>
              <w:pStyle w:val="TableParagraph"/>
              <w:spacing w:before="91"/>
              <w:rPr>
                <w:b/>
                <w:sz w:val="20"/>
              </w:rPr>
            </w:pPr>
          </w:p>
          <w:p>
            <w:pPr>
              <w:pStyle w:val="TableParagraph"/>
              <w:ind w:left="226"/>
              <w:rPr>
                <w:b/>
                <w:sz w:val="20"/>
              </w:rPr>
            </w:pPr>
            <w:r>
              <w:rPr>
                <w:b/>
                <w:sz w:val="20"/>
              </w:rPr>
              <w:t>Riesgo</w:t>
            </w:r>
            <w:r>
              <w:rPr>
                <w:b/>
                <w:spacing w:val="-9"/>
                <w:sz w:val="20"/>
              </w:rPr>
              <w:t> </w:t>
            </w:r>
            <w:r>
              <w:rPr>
                <w:b/>
                <w:spacing w:val="-2"/>
                <w:sz w:val="20"/>
              </w:rPr>
              <w:t>Vinculado</w:t>
            </w:r>
          </w:p>
        </w:tc>
      </w:tr>
      <w:tr>
        <w:trPr>
          <w:trHeight w:val="1170" w:hRule="atLeast"/>
        </w:trPr>
        <w:tc>
          <w:tcPr>
            <w:tcW w:w="3120" w:type="dxa"/>
          </w:tcPr>
          <w:p>
            <w:pPr>
              <w:pStyle w:val="TableParagraph"/>
              <w:rPr>
                <w:rFonts w:ascii="Times New Roman"/>
                <w:sz w:val="20"/>
              </w:rPr>
            </w:pPr>
          </w:p>
        </w:tc>
        <w:tc>
          <w:tcPr>
            <w:tcW w:w="1841" w:type="dxa"/>
          </w:tcPr>
          <w:p>
            <w:pPr>
              <w:pStyle w:val="TableParagraph"/>
              <w:rPr>
                <w:rFonts w:ascii="Times New Roman"/>
                <w:sz w:val="20"/>
              </w:rPr>
            </w:pPr>
          </w:p>
        </w:tc>
        <w:tc>
          <w:tcPr>
            <w:tcW w:w="1766" w:type="dxa"/>
          </w:tcPr>
          <w:p>
            <w:pPr>
              <w:pStyle w:val="TableParagraph"/>
              <w:rPr>
                <w:rFonts w:ascii="Times New Roman"/>
                <w:sz w:val="20"/>
              </w:rPr>
            </w:pPr>
          </w:p>
        </w:tc>
        <w:tc>
          <w:tcPr>
            <w:tcW w:w="1495" w:type="dxa"/>
          </w:tcPr>
          <w:p>
            <w:pPr>
              <w:pStyle w:val="TableParagraph"/>
              <w:rPr>
                <w:rFonts w:ascii="Times New Roman"/>
                <w:sz w:val="20"/>
              </w:rPr>
            </w:pPr>
          </w:p>
        </w:tc>
        <w:tc>
          <w:tcPr>
            <w:tcW w:w="1276" w:type="dxa"/>
          </w:tcPr>
          <w:p>
            <w:pPr>
              <w:pStyle w:val="TableParagraph"/>
              <w:rPr>
                <w:rFonts w:ascii="Times New Roman"/>
                <w:sz w:val="20"/>
              </w:rPr>
            </w:pPr>
          </w:p>
        </w:tc>
        <w:tc>
          <w:tcPr>
            <w:tcW w:w="1418" w:type="dxa"/>
          </w:tcPr>
          <w:p>
            <w:pPr>
              <w:pStyle w:val="TableParagraph"/>
              <w:ind w:left="69"/>
              <w:rPr>
                <w:sz w:val="20"/>
              </w:rPr>
            </w:pPr>
            <w:r>
              <w:rPr>
                <w:sz w:val="20"/>
              </w:rPr>
              <w:t>Logística e </w:t>
            </w:r>
            <w:r>
              <w:rPr>
                <w:spacing w:val="-2"/>
                <w:sz w:val="20"/>
              </w:rPr>
              <w:t>Importaciones</w:t>
            </w:r>
          </w:p>
        </w:tc>
        <w:tc>
          <w:tcPr>
            <w:tcW w:w="1699" w:type="dxa"/>
          </w:tcPr>
          <w:p>
            <w:pPr>
              <w:pStyle w:val="TableParagraph"/>
              <w:rPr>
                <w:rFonts w:ascii="Times New Roman"/>
                <w:sz w:val="20"/>
              </w:rPr>
            </w:pPr>
          </w:p>
        </w:tc>
        <w:tc>
          <w:tcPr>
            <w:tcW w:w="2126" w:type="dxa"/>
          </w:tcPr>
          <w:p>
            <w:pPr>
              <w:pStyle w:val="TableParagraph"/>
              <w:rPr>
                <w:rFonts w:ascii="Times New Roman"/>
                <w:sz w:val="20"/>
              </w:rPr>
            </w:pPr>
          </w:p>
        </w:tc>
      </w:tr>
    </w:tbl>
    <w:p>
      <w:pPr>
        <w:pStyle w:val="TableParagraph"/>
        <w:spacing w:after="0"/>
        <w:rPr>
          <w:rFonts w:ascii="Times New Roman"/>
          <w:sz w:val="20"/>
        </w:rPr>
        <w:sectPr>
          <w:pgSz w:w="15840" w:h="12240" w:orient="landscape"/>
          <w:pgMar w:header="0" w:footer="1530" w:top="1380" w:bottom="2040" w:left="360" w:right="360"/>
        </w:sectPr>
      </w:pPr>
    </w:p>
    <w:p>
      <w:pPr>
        <w:pStyle w:val="Heading3"/>
        <w:numPr>
          <w:ilvl w:val="1"/>
          <w:numId w:val="5"/>
        </w:numPr>
        <w:tabs>
          <w:tab w:pos="2321" w:val="left" w:leader="none"/>
        </w:tabs>
        <w:spacing w:line="240" w:lineRule="auto" w:before="181" w:after="0"/>
        <w:ind w:left="2321" w:right="0" w:hanging="401"/>
        <w:jc w:val="left"/>
      </w:pPr>
      <w:bookmarkStart w:name="_bookmark76" w:id="77"/>
      <w:bookmarkEnd w:id="77"/>
      <w:r>
        <w:rPr>
          <w:b w:val="0"/>
        </w:rPr>
      </w:r>
      <w:r>
        <w:rPr/>
        <w:t>Matriz</w:t>
      </w:r>
      <w:r>
        <w:rPr>
          <w:spacing w:val="-8"/>
        </w:rPr>
        <w:t> </w:t>
      </w:r>
      <w:r>
        <w:rPr/>
        <w:t>de</w:t>
      </w:r>
      <w:r>
        <w:rPr>
          <w:spacing w:val="-6"/>
        </w:rPr>
        <w:t> </w:t>
      </w:r>
      <w:r>
        <w:rPr/>
        <w:t>Trimestralización</w:t>
      </w:r>
      <w:r>
        <w:rPr>
          <w:spacing w:val="-5"/>
        </w:rPr>
        <w:t> </w:t>
      </w:r>
      <w:r>
        <w:rPr/>
        <w:t>del</w:t>
      </w:r>
      <w:r>
        <w:rPr>
          <w:spacing w:val="-7"/>
        </w:rPr>
        <w:t> </w:t>
      </w:r>
      <w:r>
        <w:rPr/>
        <w:t>Programa</w:t>
      </w:r>
      <w:r>
        <w:rPr>
          <w:spacing w:val="-5"/>
        </w:rPr>
        <w:t> </w:t>
      </w:r>
      <w:r>
        <w:rPr/>
        <w:t>Empresas</w:t>
      </w:r>
      <w:r>
        <w:rPr>
          <w:spacing w:val="-5"/>
        </w:rPr>
        <w:t> </w:t>
      </w:r>
      <w:r>
        <w:rPr>
          <w:spacing w:val="-2"/>
        </w:rPr>
        <w:t>Comerciales</w:t>
      </w:r>
    </w:p>
    <w:p>
      <w:pPr>
        <w:pStyle w:val="BodyText"/>
        <w:rPr>
          <w:b/>
          <w:sz w:val="20"/>
        </w:rPr>
      </w:pPr>
    </w:p>
    <w:p>
      <w:pPr>
        <w:pStyle w:val="BodyText"/>
        <w:spacing w:before="91"/>
        <w:rPr>
          <w:b/>
          <w:sz w:val="20"/>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5"/>
        <w:gridCol w:w="1561"/>
        <w:gridCol w:w="1562"/>
        <w:gridCol w:w="1417"/>
        <w:gridCol w:w="1561"/>
        <w:gridCol w:w="1558"/>
        <w:gridCol w:w="1561"/>
        <w:gridCol w:w="1421"/>
        <w:gridCol w:w="1416"/>
      </w:tblGrid>
      <w:tr>
        <w:trPr>
          <w:trHeight w:val="299" w:hRule="atLeast"/>
        </w:trPr>
        <w:tc>
          <w:tcPr>
            <w:tcW w:w="1563" w:type="dxa"/>
            <w:vMerge w:val="restart"/>
            <w:shd w:val="clear" w:color="auto" w:fill="F1F1F1"/>
          </w:tcPr>
          <w:p>
            <w:pPr>
              <w:pStyle w:val="TableParagraph"/>
              <w:spacing w:before="48"/>
              <w:rPr>
                <w:b/>
                <w:sz w:val="18"/>
              </w:rPr>
            </w:pPr>
          </w:p>
          <w:p>
            <w:pPr>
              <w:pStyle w:val="TableParagraph"/>
              <w:ind w:left="295" w:firstLine="24"/>
              <w:rPr>
                <w:b/>
                <w:sz w:val="18"/>
              </w:rPr>
            </w:pPr>
            <w:r>
              <w:rPr>
                <w:b/>
                <w:sz w:val="18"/>
              </w:rPr>
              <w:t>Objetivos</w:t>
            </w:r>
            <w:r>
              <w:rPr>
                <w:b/>
                <w:spacing w:val="-12"/>
                <w:sz w:val="18"/>
              </w:rPr>
              <w:t> </w:t>
            </w:r>
            <w:r>
              <w:rPr>
                <w:b/>
                <w:sz w:val="18"/>
              </w:rPr>
              <w:t>/ </w:t>
            </w:r>
            <w:r>
              <w:rPr>
                <w:b/>
                <w:spacing w:val="-2"/>
                <w:sz w:val="18"/>
              </w:rPr>
              <w:t>Resultados</w:t>
            </w:r>
          </w:p>
        </w:tc>
        <w:tc>
          <w:tcPr>
            <w:tcW w:w="1275" w:type="dxa"/>
            <w:vMerge w:val="restart"/>
            <w:shd w:val="clear" w:color="auto" w:fill="F1F1F1"/>
          </w:tcPr>
          <w:p>
            <w:pPr>
              <w:pStyle w:val="TableParagraph"/>
              <w:spacing w:before="151"/>
              <w:rPr>
                <w:b/>
                <w:sz w:val="18"/>
              </w:rPr>
            </w:pPr>
          </w:p>
          <w:p>
            <w:pPr>
              <w:pStyle w:val="TableParagraph"/>
              <w:spacing w:before="1"/>
              <w:ind w:left="230"/>
              <w:rPr>
                <w:b/>
                <w:sz w:val="18"/>
              </w:rPr>
            </w:pPr>
            <w:r>
              <w:rPr>
                <w:b/>
                <w:spacing w:val="-2"/>
                <w:sz w:val="18"/>
              </w:rPr>
              <w:t>Indicador</w:t>
            </w:r>
          </w:p>
        </w:tc>
        <w:tc>
          <w:tcPr>
            <w:tcW w:w="3123" w:type="dxa"/>
            <w:gridSpan w:val="2"/>
            <w:shd w:val="clear" w:color="auto" w:fill="F1F1F1"/>
          </w:tcPr>
          <w:p>
            <w:pPr>
              <w:pStyle w:val="TableParagraph"/>
              <w:spacing w:before="47"/>
              <w:ind w:left="6"/>
              <w:jc w:val="center"/>
              <w:rPr>
                <w:b/>
                <w:sz w:val="18"/>
              </w:rPr>
            </w:pPr>
            <w:r>
              <w:rPr>
                <w:b/>
                <w:sz w:val="18"/>
              </w:rPr>
              <w:t>I </w:t>
            </w:r>
            <w:r>
              <w:rPr>
                <w:b/>
                <w:spacing w:val="-2"/>
                <w:sz w:val="18"/>
              </w:rPr>
              <w:t>Trimestre</w:t>
            </w:r>
          </w:p>
        </w:tc>
        <w:tc>
          <w:tcPr>
            <w:tcW w:w="2978" w:type="dxa"/>
            <w:gridSpan w:val="2"/>
            <w:shd w:val="clear" w:color="auto" w:fill="F1F1F1"/>
          </w:tcPr>
          <w:p>
            <w:pPr>
              <w:pStyle w:val="TableParagraph"/>
              <w:spacing w:before="47"/>
              <w:ind w:left="2"/>
              <w:jc w:val="center"/>
              <w:rPr>
                <w:b/>
                <w:sz w:val="18"/>
              </w:rPr>
            </w:pPr>
            <w:r>
              <w:rPr>
                <w:b/>
                <w:sz w:val="18"/>
              </w:rPr>
              <w:t>II </w:t>
            </w:r>
            <w:r>
              <w:rPr>
                <w:b/>
                <w:spacing w:val="-2"/>
                <w:sz w:val="18"/>
              </w:rPr>
              <w:t>Trimestre</w:t>
            </w:r>
          </w:p>
        </w:tc>
        <w:tc>
          <w:tcPr>
            <w:tcW w:w="3119" w:type="dxa"/>
            <w:gridSpan w:val="2"/>
            <w:shd w:val="clear" w:color="auto" w:fill="F1F1F1"/>
          </w:tcPr>
          <w:p>
            <w:pPr>
              <w:pStyle w:val="TableParagraph"/>
              <w:spacing w:before="47"/>
              <w:ind w:right="3"/>
              <w:jc w:val="center"/>
              <w:rPr>
                <w:b/>
                <w:sz w:val="18"/>
              </w:rPr>
            </w:pPr>
            <w:r>
              <w:rPr>
                <w:b/>
                <w:sz w:val="18"/>
              </w:rPr>
              <w:t>III </w:t>
            </w:r>
            <w:r>
              <w:rPr>
                <w:b/>
                <w:spacing w:val="-2"/>
                <w:sz w:val="18"/>
              </w:rPr>
              <w:t>Trimestre</w:t>
            </w:r>
          </w:p>
        </w:tc>
        <w:tc>
          <w:tcPr>
            <w:tcW w:w="2837" w:type="dxa"/>
            <w:gridSpan w:val="2"/>
            <w:shd w:val="clear" w:color="auto" w:fill="F1F1F1"/>
          </w:tcPr>
          <w:p>
            <w:pPr>
              <w:pStyle w:val="TableParagraph"/>
              <w:spacing w:before="47"/>
              <w:ind w:left="891"/>
              <w:rPr>
                <w:b/>
                <w:sz w:val="18"/>
              </w:rPr>
            </w:pPr>
            <w:r>
              <w:rPr>
                <w:b/>
                <w:sz w:val="18"/>
              </w:rPr>
              <w:t>IV </w:t>
            </w:r>
            <w:r>
              <w:rPr>
                <w:b/>
                <w:spacing w:val="-2"/>
                <w:sz w:val="18"/>
              </w:rPr>
              <w:t>Trimestre</w:t>
            </w:r>
          </w:p>
        </w:tc>
      </w:tr>
      <w:tr>
        <w:trPr>
          <w:trHeight w:val="616" w:hRule="atLeast"/>
        </w:trPr>
        <w:tc>
          <w:tcPr>
            <w:tcW w:w="1563" w:type="dxa"/>
            <w:vMerge/>
            <w:tcBorders>
              <w:top w:val="nil"/>
            </w:tcBorders>
            <w:shd w:val="clear" w:color="auto" w:fill="F1F1F1"/>
          </w:tcPr>
          <w:p>
            <w:pPr>
              <w:rPr>
                <w:sz w:val="2"/>
                <w:szCs w:val="2"/>
              </w:rPr>
            </w:pPr>
          </w:p>
        </w:tc>
        <w:tc>
          <w:tcPr>
            <w:tcW w:w="1275" w:type="dxa"/>
            <w:vMerge/>
            <w:tcBorders>
              <w:top w:val="nil"/>
            </w:tcBorders>
            <w:shd w:val="clear" w:color="auto" w:fill="F1F1F1"/>
          </w:tcPr>
          <w:p>
            <w:pPr>
              <w:rPr>
                <w:sz w:val="2"/>
                <w:szCs w:val="2"/>
              </w:rPr>
            </w:pPr>
          </w:p>
        </w:tc>
        <w:tc>
          <w:tcPr>
            <w:tcW w:w="1561" w:type="dxa"/>
            <w:shd w:val="clear" w:color="auto" w:fill="F1F1F1"/>
          </w:tcPr>
          <w:p>
            <w:pPr>
              <w:pStyle w:val="TableParagraph"/>
              <w:spacing w:before="99"/>
              <w:ind w:left="258" w:firstLine="314"/>
              <w:rPr>
                <w:b/>
                <w:sz w:val="18"/>
              </w:rPr>
            </w:pPr>
            <w:r>
              <w:rPr>
                <w:b/>
                <w:spacing w:val="-4"/>
                <w:sz w:val="18"/>
              </w:rPr>
              <w:t>Meta </w:t>
            </w:r>
            <w:r>
              <w:rPr>
                <w:b/>
                <w:spacing w:val="-2"/>
                <w:sz w:val="18"/>
              </w:rPr>
              <w:t>programada</w:t>
            </w:r>
          </w:p>
        </w:tc>
        <w:tc>
          <w:tcPr>
            <w:tcW w:w="1562" w:type="dxa"/>
            <w:shd w:val="clear" w:color="auto" w:fill="F1F1F1"/>
          </w:tcPr>
          <w:p>
            <w:pPr>
              <w:pStyle w:val="TableParagraph"/>
              <w:spacing w:before="203"/>
              <w:ind w:left="11" w:right="7"/>
              <w:jc w:val="center"/>
              <w:rPr>
                <w:b/>
                <w:sz w:val="18"/>
              </w:rPr>
            </w:pPr>
            <w:r>
              <w:rPr>
                <w:b/>
                <w:spacing w:val="-10"/>
                <w:sz w:val="18"/>
              </w:rPr>
              <w:t>¢</w:t>
            </w:r>
          </w:p>
        </w:tc>
        <w:tc>
          <w:tcPr>
            <w:tcW w:w="1417" w:type="dxa"/>
            <w:shd w:val="clear" w:color="auto" w:fill="F1F1F1"/>
          </w:tcPr>
          <w:p>
            <w:pPr>
              <w:pStyle w:val="TableParagraph"/>
              <w:spacing w:before="99"/>
              <w:ind w:left="183" w:right="71"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203"/>
              <w:ind w:left="45" w:right="45"/>
              <w:jc w:val="center"/>
              <w:rPr>
                <w:b/>
                <w:sz w:val="18"/>
              </w:rPr>
            </w:pPr>
            <w:r>
              <w:rPr>
                <w:b/>
                <w:spacing w:val="-10"/>
                <w:sz w:val="18"/>
              </w:rPr>
              <w:t>¢</w:t>
            </w:r>
          </w:p>
        </w:tc>
        <w:tc>
          <w:tcPr>
            <w:tcW w:w="1558" w:type="dxa"/>
            <w:shd w:val="clear" w:color="auto" w:fill="F1F1F1"/>
          </w:tcPr>
          <w:p>
            <w:pPr>
              <w:pStyle w:val="TableParagraph"/>
              <w:spacing w:before="99"/>
              <w:ind w:left="251"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203"/>
              <w:ind w:left="45" w:right="45"/>
              <w:jc w:val="center"/>
              <w:rPr>
                <w:b/>
                <w:sz w:val="18"/>
              </w:rPr>
            </w:pPr>
            <w:r>
              <w:rPr>
                <w:b/>
                <w:spacing w:val="-10"/>
                <w:sz w:val="18"/>
              </w:rPr>
              <w:t>¢</w:t>
            </w:r>
          </w:p>
        </w:tc>
        <w:tc>
          <w:tcPr>
            <w:tcW w:w="1421" w:type="dxa"/>
            <w:shd w:val="clear" w:color="auto" w:fill="F1F1F1"/>
          </w:tcPr>
          <w:p>
            <w:pPr>
              <w:pStyle w:val="TableParagraph"/>
              <w:spacing w:before="99"/>
              <w:ind w:left="181" w:firstLine="314"/>
              <w:rPr>
                <w:b/>
                <w:sz w:val="18"/>
              </w:rPr>
            </w:pPr>
            <w:r>
              <w:rPr>
                <w:b/>
                <w:spacing w:val="-4"/>
                <w:sz w:val="18"/>
              </w:rPr>
              <w:t>Meta </w:t>
            </w:r>
            <w:r>
              <w:rPr>
                <w:b/>
                <w:spacing w:val="-2"/>
                <w:sz w:val="18"/>
              </w:rPr>
              <w:t>programada</w:t>
            </w:r>
          </w:p>
        </w:tc>
        <w:tc>
          <w:tcPr>
            <w:tcW w:w="1416" w:type="dxa"/>
            <w:shd w:val="clear" w:color="auto" w:fill="F1F1F1"/>
          </w:tcPr>
          <w:p>
            <w:pPr>
              <w:pStyle w:val="TableParagraph"/>
              <w:spacing w:before="203"/>
              <w:ind w:left="43" w:right="48"/>
              <w:jc w:val="center"/>
              <w:rPr>
                <w:b/>
                <w:sz w:val="18"/>
              </w:rPr>
            </w:pPr>
            <w:r>
              <w:rPr>
                <w:b/>
                <w:spacing w:val="-10"/>
                <w:sz w:val="18"/>
              </w:rPr>
              <w:t>¢</w:t>
            </w:r>
          </w:p>
        </w:tc>
      </w:tr>
      <w:tr>
        <w:trPr>
          <w:trHeight w:val="808" w:hRule="atLeast"/>
        </w:trPr>
        <w:tc>
          <w:tcPr>
            <w:tcW w:w="14895" w:type="dxa"/>
            <w:gridSpan w:val="10"/>
            <w:shd w:val="clear" w:color="auto" w:fill="F1F1F1"/>
          </w:tcPr>
          <w:p>
            <w:pPr>
              <w:pStyle w:val="TableParagraph"/>
              <w:spacing w:before="195"/>
              <w:ind w:left="69"/>
              <w:rPr>
                <w:b/>
                <w:sz w:val="18"/>
              </w:rPr>
            </w:pPr>
            <w:r>
              <w:rPr>
                <w:b/>
                <w:sz w:val="18"/>
              </w:rPr>
              <w:t>Efecto:</w:t>
            </w:r>
            <w:r>
              <w:rPr>
                <w:b/>
                <w:spacing w:val="-1"/>
                <w:sz w:val="18"/>
              </w:rPr>
              <w:t> </w:t>
            </w:r>
            <w:r>
              <w:rPr>
                <w:b/>
                <w:sz w:val="18"/>
              </w:rPr>
              <w:t>Generar</w:t>
            </w:r>
            <w:r>
              <w:rPr>
                <w:b/>
                <w:spacing w:val="-4"/>
                <w:sz w:val="18"/>
              </w:rPr>
              <w:t> </w:t>
            </w:r>
            <w:r>
              <w:rPr>
                <w:b/>
                <w:sz w:val="18"/>
              </w:rPr>
              <w:t>la</w:t>
            </w:r>
            <w:r>
              <w:rPr>
                <w:b/>
                <w:spacing w:val="-1"/>
                <w:sz w:val="18"/>
              </w:rPr>
              <w:t> </w:t>
            </w:r>
            <w:r>
              <w:rPr>
                <w:b/>
                <w:sz w:val="18"/>
              </w:rPr>
              <w:t>mayor</w:t>
            </w:r>
            <w:r>
              <w:rPr>
                <w:b/>
                <w:spacing w:val="-1"/>
                <w:sz w:val="18"/>
              </w:rPr>
              <w:t> </w:t>
            </w:r>
            <w:r>
              <w:rPr>
                <w:b/>
                <w:sz w:val="18"/>
              </w:rPr>
              <w:t>cantidad</w:t>
            </w:r>
            <w:r>
              <w:rPr>
                <w:b/>
                <w:spacing w:val="-1"/>
                <w:sz w:val="18"/>
              </w:rPr>
              <w:t> </w:t>
            </w:r>
            <w:r>
              <w:rPr>
                <w:b/>
                <w:sz w:val="18"/>
              </w:rPr>
              <w:t>posible</w:t>
            </w:r>
            <w:r>
              <w:rPr>
                <w:b/>
                <w:spacing w:val="-1"/>
                <w:sz w:val="18"/>
              </w:rPr>
              <w:t> </w:t>
            </w:r>
            <w:r>
              <w:rPr>
                <w:b/>
                <w:sz w:val="18"/>
              </w:rPr>
              <w:t>de</w:t>
            </w:r>
            <w:r>
              <w:rPr>
                <w:b/>
                <w:spacing w:val="-3"/>
                <w:sz w:val="18"/>
              </w:rPr>
              <w:t> </w:t>
            </w:r>
            <w:r>
              <w:rPr>
                <w:b/>
                <w:sz w:val="18"/>
              </w:rPr>
              <w:t>ingresos</w:t>
            </w:r>
            <w:r>
              <w:rPr>
                <w:b/>
                <w:spacing w:val="-1"/>
                <w:sz w:val="18"/>
              </w:rPr>
              <w:t> </w:t>
            </w:r>
            <w:r>
              <w:rPr>
                <w:b/>
                <w:sz w:val="18"/>
              </w:rPr>
              <w:t>por</w:t>
            </w:r>
            <w:r>
              <w:rPr>
                <w:b/>
                <w:spacing w:val="-1"/>
                <w:sz w:val="18"/>
              </w:rPr>
              <w:t> </w:t>
            </w:r>
            <w:r>
              <w:rPr>
                <w:b/>
                <w:sz w:val="18"/>
              </w:rPr>
              <w:t>concepto</w:t>
            </w:r>
            <w:r>
              <w:rPr>
                <w:b/>
                <w:spacing w:val="-1"/>
                <w:sz w:val="18"/>
              </w:rPr>
              <w:t> </w:t>
            </w:r>
            <w:r>
              <w:rPr>
                <w:b/>
                <w:sz w:val="18"/>
              </w:rPr>
              <w:t>de</w:t>
            </w:r>
            <w:r>
              <w:rPr>
                <w:b/>
                <w:spacing w:val="-3"/>
                <w:sz w:val="18"/>
              </w:rPr>
              <w:t> </w:t>
            </w:r>
            <w:r>
              <w:rPr>
                <w:b/>
                <w:sz w:val="18"/>
              </w:rPr>
              <w:t>utilidades</w:t>
            </w:r>
            <w:r>
              <w:rPr>
                <w:b/>
                <w:spacing w:val="-3"/>
                <w:sz w:val="18"/>
              </w:rPr>
              <w:t> </w:t>
            </w:r>
            <w:r>
              <w:rPr>
                <w:b/>
                <w:sz w:val="18"/>
              </w:rPr>
              <w:t>con</w:t>
            </w:r>
            <w:r>
              <w:rPr>
                <w:b/>
                <w:spacing w:val="-1"/>
                <w:sz w:val="18"/>
              </w:rPr>
              <w:t> </w:t>
            </w:r>
            <w:r>
              <w:rPr>
                <w:b/>
                <w:sz w:val="18"/>
              </w:rPr>
              <w:t>la</w:t>
            </w:r>
            <w:r>
              <w:rPr>
                <w:b/>
                <w:spacing w:val="-1"/>
                <w:sz w:val="18"/>
              </w:rPr>
              <w:t> </w:t>
            </w:r>
            <w:r>
              <w:rPr>
                <w:b/>
                <w:sz w:val="18"/>
              </w:rPr>
              <w:t>operación</w:t>
            </w:r>
            <w:r>
              <w:rPr>
                <w:b/>
                <w:spacing w:val="-1"/>
                <w:sz w:val="18"/>
              </w:rPr>
              <w:t> </w:t>
            </w:r>
            <w:r>
              <w:rPr>
                <w:b/>
                <w:sz w:val="18"/>
              </w:rPr>
              <w:t>comercial</w:t>
            </w:r>
            <w:r>
              <w:rPr>
                <w:b/>
                <w:spacing w:val="-3"/>
                <w:sz w:val="18"/>
              </w:rPr>
              <w:t> </w:t>
            </w:r>
            <w:r>
              <w:rPr>
                <w:b/>
                <w:sz w:val="18"/>
              </w:rPr>
              <w:t>de</w:t>
            </w:r>
            <w:r>
              <w:rPr>
                <w:b/>
                <w:spacing w:val="-3"/>
                <w:sz w:val="18"/>
              </w:rPr>
              <w:t> </w:t>
            </w:r>
            <w:r>
              <w:rPr>
                <w:b/>
                <w:sz w:val="18"/>
              </w:rPr>
              <w:t>las</w:t>
            </w:r>
            <w:r>
              <w:rPr>
                <w:b/>
                <w:spacing w:val="-1"/>
                <w:sz w:val="18"/>
              </w:rPr>
              <w:t> </w:t>
            </w:r>
            <w:r>
              <w:rPr>
                <w:b/>
                <w:sz w:val="18"/>
              </w:rPr>
              <w:t>tiendas</w:t>
            </w:r>
            <w:r>
              <w:rPr>
                <w:b/>
                <w:spacing w:val="-3"/>
                <w:sz w:val="18"/>
              </w:rPr>
              <w:t> </w:t>
            </w:r>
            <w:r>
              <w:rPr>
                <w:b/>
                <w:sz w:val="18"/>
              </w:rPr>
              <w:t>del</w:t>
            </w:r>
            <w:r>
              <w:rPr>
                <w:b/>
                <w:spacing w:val="-1"/>
                <w:sz w:val="18"/>
              </w:rPr>
              <w:t> </w:t>
            </w:r>
            <w:r>
              <w:rPr>
                <w:b/>
                <w:sz w:val="18"/>
              </w:rPr>
              <w:t>IMAS,</w:t>
            </w:r>
            <w:r>
              <w:rPr>
                <w:b/>
                <w:spacing w:val="-1"/>
                <w:sz w:val="18"/>
              </w:rPr>
              <w:t> </w:t>
            </w:r>
            <w:r>
              <w:rPr>
                <w:b/>
                <w:sz w:val="18"/>
              </w:rPr>
              <w:t>con</w:t>
            </w:r>
            <w:r>
              <w:rPr>
                <w:b/>
                <w:spacing w:val="-1"/>
                <w:sz w:val="18"/>
              </w:rPr>
              <w:t> </w:t>
            </w:r>
            <w:r>
              <w:rPr>
                <w:b/>
                <w:sz w:val="18"/>
              </w:rPr>
              <w:t>el</w:t>
            </w:r>
            <w:r>
              <w:rPr>
                <w:b/>
                <w:spacing w:val="-3"/>
                <w:sz w:val="18"/>
              </w:rPr>
              <w:t> </w:t>
            </w:r>
            <w:r>
              <w:rPr>
                <w:b/>
                <w:sz w:val="18"/>
              </w:rPr>
              <w:t>fin</w:t>
            </w:r>
            <w:r>
              <w:rPr>
                <w:b/>
                <w:spacing w:val="-1"/>
                <w:sz w:val="18"/>
              </w:rPr>
              <w:t> </w:t>
            </w:r>
            <w:r>
              <w:rPr>
                <w:b/>
                <w:sz w:val="18"/>
              </w:rPr>
              <w:t>de</w:t>
            </w:r>
            <w:r>
              <w:rPr>
                <w:b/>
                <w:spacing w:val="-1"/>
                <w:sz w:val="18"/>
              </w:rPr>
              <w:t> </w:t>
            </w:r>
            <w:r>
              <w:rPr>
                <w:b/>
                <w:sz w:val="18"/>
              </w:rPr>
              <w:t>contribuir</w:t>
            </w:r>
            <w:r>
              <w:rPr>
                <w:b/>
                <w:spacing w:val="-4"/>
                <w:sz w:val="18"/>
              </w:rPr>
              <w:t> </w:t>
            </w:r>
            <w:r>
              <w:rPr>
                <w:b/>
                <w:sz w:val="18"/>
              </w:rPr>
              <w:t>a</w:t>
            </w:r>
            <w:r>
              <w:rPr>
                <w:b/>
                <w:spacing w:val="-1"/>
                <w:sz w:val="18"/>
              </w:rPr>
              <w:t> </w:t>
            </w:r>
            <w:r>
              <w:rPr>
                <w:b/>
                <w:sz w:val="18"/>
              </w:rPr>
              <w:t>la sostenibilidad financiera de los programas de inversión social destinados a la población objetivo.</w:t>
            </w:r>
          </w:p>
        </w:tc>
      </w:tr>
      <w:tr>
        <w:trPr>
          <w:trHeight w:val="599" w:hRule="atLeast"/>
        </w:trPr>
        <w:tc>
          <w:tcPr>
            <w:tcW w:w="14895" w:type="dxa"/>
            <w:gridSpan w:val="10"/>
            <w:shd w:val="clear" w:color="auto" w:fill="DBE4F0"/>
          </w:tcPr>
          <w:p>
            <w:pPr>
              <w:pStyle w:val="TableParagraph"/>
              <w:spacing w:before="195"/>
              <w:ind w:left="69"/>
              <w:rPr>
                <w:b/>
                <w:sz w:val="18"/>
              </w:rPr>
            </w:pPr>
            <w:r>
              <w:rPr>
                <w:b/>
                <w:sz w:val="18"/>
              </w:rPr>
              <w:t>Producto</w:t>
            </w:r>
            <w:r>
              <w:rPr>
                <w:b/>
                <w:spacing w:val="-5"/>
                <w:sz w:val="18"/>
              </w:rPr>
              <w:t> </w:t>
            </w:r>
            <w:r>
              <w:rPr>
                <w:b/>
                <w:sz w:val="18"/>
              </w:rPr>
              <w:t>PEC</w:t>
            </w:r>
            <w:r>
              <w:rPr>
                <w:b/>
                <w:spacing w:val="-2"/>
                <w:sz w:val="18"/>
              </w:rPr>
              <w:t> </w:t>
            </w:r>
            <w:r>
              <w:rPr>
                <w:b/>
                <w:sz w:val="18"/>
              </w:rPr>
              <w:t>3.1:</w:t>
            </w:r>
            <w:r>
              <w:rPr>
                <w:b/>
                <w:spacing w:val="-2"/>
                <w:sz w:val="18"/>
              </w:rPr>
              <w:t> </w:t>
            </w:r>
            <w:r>
              <w:rPr>
                <w:b/>
                <w:sz w:val="18"/>
              </w:rPr>
              <w:t>Estrategia</w:t>
            </w:r>
            <w:r>
              <w:rPr>
                <w:b/>
                <w:spacing w:val="-3"/>
                <w:sz w:val="18"/>
              </w:rPr>
              <w:t> </w:t>
            </w:r>
            <w:r>
              <w:rPr>
                <w:b/>
                <w:sz w:val="18"/>
              </w:rPr>
              <w:t>de</w:t>
            </w:r>
            <w:r>
              <w:rPr>
                <w:b/>
                <w:spacing w:val="-2"/>
                <w:sz w:val="18"/>
              </w:rPr>
              <w:t> </w:t>
            </w:r>
            <w:r>
              <w:rPr>
                <w:b/>
                <w:sz w:val="18"/>
              </w:rPr>
              <w:t>Negocios</w:t>
            </w:r>
            <w:r>
              <w:rPr>
                <w:b/>
                <w:spacing w:val="-4"/>
                <w:sz w:val="18"/>
              </w:rPr>
              <w:t> </w:t>
            </w:r>
            <w:r>
              <w:rPr>
                <w:b/>
                <w:sz w:val="18"/>
              </w:rPr>
              <w:t>diseñada</w:t>
            </w:r>
            <w:r>
              <w:rPr>
                <w:b/>
                <w:spacing w:val="-4"/>
                <w:sz w:val="18"/>
              </w:rPr>
              <w:t> </w:t>
            </w:r>
            <w:r>
              <w:rPr>
                <w:b/>
                <w:sz w:val="18"/>
              </w:rPr>
              <w:t>e</w:t>
            </w:r>
            <w:r>
              <w:rPr>
                <w:b/>
                <w:spacing w:val="-3"/>
                <w:sz w:val="18"/>
              </w:rPr>
              <w:t> </w:t>
            </w:r>
            <w:r>
              <w:rPr>
                <w:b/>
                <w:sz w:val="18"/>
              </w:rPr>
              <w:t>implementada,</w:t>
            </w:r>
            <w:r>
              <w:rPr>
                <w:b/>
                <w:spacing w:val="-2"/>
                <w:sz w:val="18"/>
              </w:rPr>
              <w:t> </w:t>
            </w:r>
            <w:r>
              <w:rPr>
                <w:b/>
                <w:sz w:val="18"/>
              </w:rPr>
              <w:t>para</w:t>
            </w:r>
            <w:r>
              <w:rPr>
                <w:b/>
                <w:spacing w:val="-5"/>
                <w:sz w:val="18"/>
              </w:rPr>
              <w:t> </w:t>
            </w:r>
            <w:r>
              <w:rPr>
                <w:b/>
                <w:sz w:val="18"/>
              </w:rPr>
              <w:t>incrementar</w:t>
            </w:r>
            <w:r>
              <w:rPr>
                <w:b/>
                <w:spacing w:val="-2"/>
                <w:sz w:val="18"/>
              </w:rPr>
              <w:t> </w:t>
            </w:r>
            <w:r>
              <w:rPr>
                <w:b/>
                <w:sz w:val="18"/>
              </w:rPr>
              <w:t>las</w:t>
            </w:r>
            <w:r>
              <w:rPr>
                <w:b/>
                <w:spacing w:val="-4"/>
                <w:sz w:val="18"/>
              </w:rPr>
              <w:t> </w:t>
            </w:r>
            <w:r>
              <w:rPr>
                <w:b/>
                <w:sz w:val="18"/>
              </w:rPr>
              <w:t>ventas</w:t>
            </w:r>
            <w:r>
              <w:rPr>
                <w:b/>
                <w:spacing w:val="-3"/>
                <w:sz w:val="18"/>
              </w:rPr>
              <w:t> </w:t>
            </w:r>
            <w:r>
              <w:rPr>
                <w:b/>
                <w:sz w:val="18"/>
              </w:rPr>
              <w:t>a</w:t>
            </w:r>
            <w:r>
              <w:rPr>
                <w:b/>
                <w:spacing w:val="-2"/>
                <w:sz w:val="18"/>
              </w:rPr>
              <w:t> </w:t>
            </w:r>
            <w:r>
              <w:rPr>
                <w:b/>
                <w:sz w:val="18"/>
              </w:rPr>
              <w:t>través</w:t>
            </w:r>
            <w:r>
              <w:rPr>
                <w:b/>
                <w:spacing w:val="-4"/>
                <w:sz w:val="18"/>
              </w:rPr>
              <w:t> </w:t>
            </w:r>
            <w:r>
              <w:rPr>
                <w:b/>
                <w:sz w:val="18"/>
              </w:rPr>
              <w:t>de</w:t>
            </w:r>
            <w:r>
              <w:rPr>
                <w:b/>
                <w:spacing w:val="-2"/>
                <w:sz w:val="18"/>
              </w:rPr>
              <w:t> </w:t>
            </w:r>
            <w:r>
              <w:rPr>
                <w:b/>
                <w:sz w:val="18"/>
              </w:rPr>
              <w:t>la</w:t>
            </w:r>
            <w:r>
              <w:rPr>
                <w:b/>
                <w:spacing w:val="-5"/>
                <w:sz w:val="18"/>
              </w:rPr>
              <w:t> </w:t>
            </w:r>
            <w:r>
              <w:rPr>
                <w:b/>
                <w:sz w:val="18"/>
              </w:rPr>
              <w:t>gestión</w:t>
            </w:r>
            <w:r>
              <w:rPr>
                <w:b/>
                <w:spacing w:val="-4"/>
                <w:sz w:val="18"/>
              </w:rPr>
              <w:t> </w:t>
            </w:r>
            <w:r>
              <w:rPr>
                <w:b/>
                <w:sz w:val="18"/>
              </w:rPr>
              <w:t>comercial.</w:t>
            </w:r>
            <w:r>
              <w:rPr>
                <w:b/>
                <w:spacing w:val="-2"/>
                <w:sz w:val="18"/>
              </w:rPr>
              <w:t> </w:t>
            </w:r>
            <w:r>
              <w:rPr>
                <w:b/>
                <w:sz w:val="18"/>
              </w:rPr>
              <w:t>(E5</w:t>
            </w:r>
            <w:r>
              <w:rPr>
                <w:b/>
                <w:spacing w:val="-2"/>
                <w:sz w:val="18"/>
              </w:rPr>
              <w:t> </w:t>
            </w:r>
            <w:r>
              <w:rPr>
                <w:b/>
                <w:sz w:val="18"/>
              </w:rPr>
              <w:t>AE1</w:t>
            </w:r>
            <w:r>
              <w:rPr>
                <w:b/>
                <w:spacing w:val="-4"/>
                <w:sz w:val="18"/>
              </w:rPr>
              <w:t> </w:t>
            </w:r>
            <w:r>
              <w:rPr>
                <w:b/>
                <w:spacing w:val="-5"/>
                <w:sz w:val="18"/>
              </w:rPr>
              <w:t>R1)</w:t>
            </w:r>
          </w:p>
        </w:tc>
      </w:tr>
      <w:tr>
        <w:trPr>
          <w:trHeight w:val="2071" w:hRule="atLeast"/>
        </w:trPr>
        <w:tc>
          <w:tcPr>
            <w:tcW w:w="1563" w:type="dxa"/>
          </w:tcPr>
          <w:p>
            <w:pPr>
              <w:pStyle w:val="TableParagraph"/>
              <w:spacing w:line="207" w:lineRule="exact" w:before="1"/>
              <w:ind w:left="69"/>
              <w:rPr>
                <w:b/>
                <w:sz w:val="18"/>
              </w:rPr>
            </w:pPr>
            <w:r>
              <w:rPr>
                <w:b/>
                <w:sz w:val="18"/>
              </w:rPr>
              <w:t>Actividad</w:t>
            </w:r>
            <w:r>
              <w:rPr>
                <w:b/>
                <w:spacing w:val="-2"/>
                <w:sz w:val="18"/>
              </w:rPr>
              <w:t> </w:t>
            </w:r>
            <w:r>
              <w:rPr>
                <w:b/>
                <w:spacing w:val="-5"/>
                <w:sz w:val="18"/>
              </w:rPr>
              <w:t>PEC</w:t>
            </w:r>
          </w:p>
          <w:p>
            <w:pPr>
              <w:pStyle w:val="TableParagraph"/>
              <w:ind w:left="69" w:right="61"/>
              <w:rPr>
                <w:sz w:val="18"/>
              </w:rPr>
            </w:pPr>
            <w:r>
              <w:rPr>
                <w:b/>
                <w:sz w:val="18"/>
              </w:rPr>
              <w:t>3.1.1:</w:t>
            </w:r>
            <w:r>
              <w:rPr>
                <w:b/>
                <w:spacing w:val="40"/>
                <w:sz w:val="18"/>
              </w:rPr>
              <w:t> </w:t>
            </w:r>
            <w:r>
              <w:rPr>
                <w:sz w:val="18"/>
              </w:rPr>
              <w:t>Generar ingresos por ventas en las tiendas libres de impuesto</w:t>
            </w:r>
            <w:r>
              <w:rPr>
                <w:spacing w:val="-15"/>
                <w:sz w:val="18"/>
              </w:rPr>
              <w:t> </w:t>
            </w:r>
            <w:r>
              <w:rPr>
                <w:sz w:val="18"/>
              </w:rPr>
              <w:t>a</w:t>
            </w:r>
            <w:r>
              <w:rPr>
                <w:spacing w:val="-12"/>
                <w:sz w:val="18"/>
              </w:rPr>
              <w:t> </w:t>
            </w:r>
            <w:r>
              <w:rPr>
                <w:sz w:val="18"/>
              </w:rPr>
              <w:t>través de la </w:t>
            </w:r>
            <w:r>
              <w:rPr>
                <w:spacing w:val="-2"/>
                <w:sz w:val="18"/>
              </w:rPr>
              <w:t>implementación </w:t>
            </w:r>
            <w:r>
              <w:rPr>
                <w:sz w:val="18"/>
              </w:rPr>
              <w:t>de la estrategia</w:t>
            </w:r>
          </w:p>
          <w:p>
            <w:pPr>
              <w:pStyle w:val="TableParagraph"/>
              <w:spacing w:line="187" w:lineRule="exact"/>
              <w:ind w:left="69"/>
              <w:rPr>
                <w:sz w:val="18"/>
              </w:rPr>
            </w:pPr>
            <w:r>
              <w:rPr>
                <w:sz w:val="18"/>
              </w:rPr>
              <w:t>de </w:t>
            </w:r>
            <w:r>
              <w:rPr>
                <w:spacing w:val="-2"/>
                <w:sz w:val="18"/>
              </w:rPr>
              <w:t>Negocios.</w:t>
            </w:r>
          </w:p>
        </w:tc>
        <w:tc>
          <w:tcPr>
            <w:tcW w:w="1275" w:type="dxa"/>
          </w:tcPr>
          <w:p>
            <w:pPr>
              <w:pStyle w:val="TableParagraph"/>
              <w:rPr>
                <w:b/>
                <w:sz w:val="18"/>
              </w:rPr>
            </w:pPr>
          </w:p>
          <w:p>
            <w:pPr>
              <w:pStyle w:val="TableParagraph"/>
              <w:spacing w:before="103"/>
              <w:rPr>
                <w:b/>
                <w:sz w:val="18"/>
              </w:rPr>
            </w:pPr>
          </w:p>
          <w:p>
            <w:pPr>
              <w:pStyle w:val="TableParagraph"/>
              <w:ind w:left="69" w:right="198"/>
              <w:rPr>
                <w:sz w:val="18"/>
              </w:rPr>
            </w:pPr>
            <w:r>
              <w:rPr>
                <w:spacing w:val="-2"/>
                <w:sz w:val="18"/>
              </w:rPr>
              <w:t>Monto acumulado </w:t>
            </w:r>
            <w:r>
              <w:rPr>
                <w:sz w:val="18"/>
              </w:rPr>
              <w:t>estimado</w:t>
            </w:r>
            <w:r>
              <w:rPr>
                <w:spacing w:val="-13"/>
                <w:sz w:val="18"/>
              </w:rPr>
              <w:t> </w:t>
            </w:r>
            <w:r>
              <w:rPr>
                <w:sz w:val="18"/>
              </w:rPr>
              <w:t>de ingresos</w:t>
            </w:r>
            <w:r>
              <w:rPr>
                <w:spacing w:val="-13"/>
                <w:sz w:val="18"/>
              </w:rPr>
              <w:t> </w:t>
            </w:r>
            <w:r>
              <w:rPr>
                <w:sz w:val="18"/>
              </w:rPr>
              <w:t>por </w:t>
            </w:r>
            <w:r>
              <w:rPr>
                <w:spacing w:val="-2"/>
                <w:sz w:val="18"/>
              </w:rPr>
              <w:t>ventas</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219"/>
              <w:rPr>
                <w:sz w:val="18"/>
              </w:rPr>
            </w:pPr>
            <w:r>
              <w:rPr>
                <w:sz w:val="18"/>
              </w:rPr>
              <w:t>₡5</w:t>
            </w:r>
            <w:r>
              <w:rPr>
                <w:spacing w:val="-6"/>
                <w:sz w:val="18"/>
              </w:rPr>
              <w:t> </w:t>
            </w:r>
            <w:r>
              <w:rPr>
                <w:sz w:val="18"/>
              </w:rPr>
              <w:t>871</w:t>
            </w:r>
            <w:r>
              <w:rPr>
                <w:spacing w:val="-8"/>
                <w:sz w:val="18"/>
              </w:rPr>
              <w:t> </w:t>
            </w:r>
            <w:r>
              <w:rPr>
                <w:sz w:val="18"/>
              </w:rPr>
              <w:t>167</w:t>
            </w:r>
            <w:r>
              <w:rPr>
                <w:spacing w:val="-2"/>
                <w:sz w:val="18"/>
              </w:rPr>
              <w:t> </w:t>
            </w:r>
            <w:r>
              <w:rPr>
                <w:spacing w:val="-5"/>
                <w:sz w:val="18"/>
              </w:rPr>
              <w:t>234</w:t>
            </w:r>
          </w:p>
        </w:tc>
        <w:tc>
          <w:tcPr>
            <w:tcW w:w="1562" w:type="dxa"/>
          </w:tcPr>
          <w:p>
            <w:pPr>
              <w:pStyle w:val="TableParagraph"/>
              <w:rPr>
                <w:rFonts w:ascii="Times New Roman"/>
                <w:sz w:val="18"/>
              </w:rPr>
            </w:pP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66"/>
              <w:rPr>
                <w:sz w:val="18"/>
              </w:rPr>
            </w:pPr>
            <w:r>
              <w:rPr>
                <w:sz w:val="18"/>
              </w:rPr>
              <w:t>₡5</w:t>
            </w:r>
            <w:r>
              <w:rPr>
                <w:spacing w:val="-3"/>
                <w:sz w:val="18"/>
              </w:rPr>
              <w:t> </w:t>
            </w:r>
            <w:r>
              <w:rPr>
                <w:sz w:val="18"/>
              </w:rPr>
              <w:t>109</w:t>
            </w:r>
            <w:r>
              <w:rPr>
                <w:spacing w:val="-2"/>
                <w:sz w:val="18"/>
              </w:rPr>
              <w:t> </w:t>
            </w:r>
            <w:r>
              <w:rPr>
                <w:sz w:val="18"/>
              </w:rPr>
              <w:t>262</w:t>
            </w:r>
            <w:r>
              <w:rPr>
                <w:spacing w:val="-2"/>
                <w:sz w:val="18"/>
              </w:rPr>
              <w:t> </w:t>
            </w:r>
            <w:r>
              <w:rPr>
                <w:spacing w:val="-5"/>
                <w:sz w:val="18"/>
              </w:rPr>
              <w:t>529</w:t>
            </w:r>
          </w:p>
        </w:tc>
        <w:tc>
          <w:tcPr>
            <w:tcW w:w="1561" w:type="dxa"/>
          </w:tcPr>
          <w:p>
            <w:pPr>
              <w:pStyle w:val="TableParagraph"/>
              <w:rPr>
                <w:rFonts w:ascii="Times New Roman"/>
                <w:sz w:val="18"/>
              </w:rPr>
            </w:pPr>
          </w:p>
        </w:tc>
        <w:tc>
          <w:tcPr>
            <w:tcW w:w="1558" w:type="dxa"/>
          </w:tcPr>
          <w:p>
            <w:pPr>
              <w:pStyle w:val="TableParagraph"/>
              <w:rPr>
                <w:b/>
                <w:sz w:val="16"/>
              </w:rPr>
            </w:pPr>
          </w:p>
          <w:p>
            <w:pPr>
              <w:pStyle w:val="TableParagraph"/>
              <w:rPr>
                <w:b/>
                <w:sz w:val="16"/>
              </w:rPr>
            </w:pPr>
          </w:p>
          <w:p>
            <w:pPr>
              <w:pStyle w:val="TableParagraph"/>
              <w:rPr>
                <w:b/>
                <w:sz w:val="16"/>
              </w:rPr>
            </w:pPr>
          </w:p>
          <w:p>
            <w:pPr>
              <w:pStyle w:val="TableParagraph"/>
              <w:spacing w:before="116"/>
              <w:rPr>
                <w:b/>
                <w:sz w:val="16"/>
              </w:rPr>
            </w:pPr>
          </w:p>
          <w:p>
            <w:pPr>
              <w:pStyle w:val="TableParagraph"/>
              <w:spacing w:before="1"/>
              <w:ind w:left="340"/>
              <w:rPr>
                <w:sz w:val="16"/>
              </w:rPr>
            </w:pPr>
            <w:r>
              <w:rPr>
                <w:sz w:val="16"/>
              </w:rPr>
              <w:t>₡4</w:t>
            </w:r>
            <w:r>
              <w:rPr>
                <w:spacing w:val="-2"/>
                <w:sz w:val="16"/>
              </w:rPr>
              <w:t> </w:t>
            </w:r>
            <w:r>
              <w:rPr>
                <w:sz w:val="16"/>
              </w:rPr>
              <w:t>789</w:t>
            </w:r>
            <w:r>
              <w:rPr>
                <w:spacing w:val="-2"/>
                <w:sz w:val="16"/>
              </w:rPr>
              <w:t> </w:t>
            </w:r>
            <w:r>
              <w:rPr>
                <w:sz w:val="16"/>
              </w:rPr>
              <w:t>206</w:t>
            </w:r>
            <w:r>
              <w:rPr>
                <w:spacing w:val="-1"/>
                <w:sz w:val="16"/>
              </w:rPr>
              <w:t> </w:t>
            </w:r>
            <w:r>
              <w:rPr>
                <w:spacing w:val="-5"/>
                <w:sz w:val="16"/>
              </w:rPr>
              <w:t>028</w:t>
            </w:r>
          </w:p>
        </w:tc>
        <w:tc>
          <w:tcPr>
            <w:tcW w:w="1561" w:type="dxa"/>
          </w:tcPr>
          <w:p>
            <w:pPr>
              <w:pStyle w:val="TableParagraph"/>
              <w:rPr>
                <w:rFonts w:ascii="Times New Roman"/>
                <w:sz w:val="18"/>
              </w:rPr>
            </w:pP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spacing w:before="11"/>
              <w:rPr>
                <w:b/>
                <w:sz w:val="18"/>
              </w:rPr>
            </w:pPr>
          </w:p>
          <w:p>
            <w:pPr>
              <w:pStyle w:val="TableParagraph"/>
              <w:ind w:left="63"/>
              <w:rPr>
                <w:sz w:val="18"/>
              </w:rPr>
            </w:pPr>
            <w:r>
              <w:rPr>
                <w:sz w:val="18"/>
              </w:rPr>
              <w:t>₡6</w:t>
            </w:r>
            <w:r>
              <w:rPr>
                <w:spacing w:val="-1"/>
                <w:sz w:val="18"/>
              </w:rPr>
              <w:t> </w:t>
            </w:r>
            <w:r>
              <w:rPr>
                <w:sz w:val="18"/>
              </w:rPr>
              <w:t>027</w:t>
            </w:r>
            <w:r>
              <w:rPr>
                <w:spacing w:val="-2"/>
                <w:sz w:val="18"/>
              </w:rPr>
              <w:t> </w:t>
            </w:r>
            <w:r>
              <w:rPr>
                <w:sz w:val="18"/>
              </w:rPr>
              <w:t>172</w:t>
            </w:r>
            <w:r>
              <w:rPr>
                <w:spacing w:val="-2"/>
                <w:sz w:val="18"/>
              </w:rPr>
              <w:t> </w:t>
            </w:r>
            <w:r>
              <w:rPr>
                <w:spacing w:val="-5"/>
                <w:sz w:val="18"/>
              </w:rPr>
              <w:t>523</w:t>
            </w:r>
          </w:p>
        </w:tc>
        <w:tc>
          <w:tcPr>
            <w:tcW w:w="1416" w:type="dxa"/>
          </w:tcPr>
          <w:p>
            <w:pPr>
              <w:pStyle w:val="TableParagraph"/>
              <w:rPr>
                <w:rFonts w:ascii="Times New Roman"/>
                <w:sz w:val="18"/>
              </w:rPr>
            </w:pPr>
          </w:p>
        </w:tc>
      </w:tr>
      <w:tr>
        <w:trPr>
          <w:trHeight w:val="566" w:hRule="atLeast"/>
        </w:trPr>
        <w:tc>
          <w:tcPr>
            <w:tcW w:w="14895" w:type="dxa"/>
            <w:gridSpan w:val="10"/>
          </w:tcPr>
          <w:p>
            <w:pPr>
              <w:pStyle w:val="TableParagraph"/>
              <w:spacing w:before="75"/>
              <w:ind w:left="86"/>
              <w:rPr>
                <w:b/>
                <w:sz w:val="18"/>
              </w:rPr>
            </w:pPr>
            <w:r>
              <w:rPr>
                <w:b/>
                <w:sz w:val="18"/>
              </w:rPr>
              <mc:AlternateContent>
                <mc:Choice Requires="wps">
                  <w:drawing>
                    <wp:anchor distT="0" distB="0" distL="0" distR="0" allowOverlap="1" layoutInCell="1" locked="0" behindDoc="1" simplePos="0" relativeHeight="475340288">
                      <wp:simplePos x="0" y="0"/>
                      <wp:positionH relativeFrom="column">
                        <wp:posOffset>3047</wp:posOffset>
                      </wp:positionH>
                      <wp:positionV relativeFrom="paragraph">
                        <wp:posOffset>-610</wp:posOffset>
                      </wp:positionV>
                      <wp:extent cx="9448800" cy="360045"/>
                      <wp:effectExtent l="0" t="0" r="0" b="0"/>
                      <wp:wrapNone/>
                      <wp:docPr id="89" name="Group 89"/>
                      <wp:cNvGraphicFramePr>
                        <a:graphicFrameLocks/>
                      </wp:cNvGraphicFramePr>
                      <a:graphic>
                        <a:graphicData uri="http://schemas.microsoft.com/office/word/2010/wordprocessingGroup">
                          <wpg:wgp>
                            <wpg:cNvPr id="89" name="Group 89"/>
                            <wpg:cNvGrpSpPr/>
                            <wpg:grpSpPr>
                              <a:xfrm>
                                <a:off x="0" y="0"/>
                                <a:ext cx="9448800" cy="360045"/>
                                <a:chExt cx="9448800" cy="360045"/>
                              </a:xfrm>
                            </wpg:grpSpPr>
                            <wps:wsp>
                              <wps:cNvPr id="90" name="Graphic 90"/>
                              <wps:cNvSpPr/>
                              <wps:spPr>
                                <a:xfrm>
                                  <a:off x="0" y="0"/>
                                  <a:ext cx="9448800" cy="360045"/>
                                </a:xfrm>
                                <a:custGeom>
                                  <a:avLst/>
                                  <a:gdLst/>
                                  <a:ahLst/>
                                  <a:cxnLst/>
                                  <a:rect l="l" t="t" r="r" b="b"/>
                                  <a:pathLst>
                                    <a:path w="9448800" h="360045">
                                      <a:moveTo>
                                        <a:pt x="9448546" y="0"/>
                                      </a:moveTo>
                                      <a:lnTo>
                                        <a:pt x="0" y="0"/>
                                      </a:lnTo>
                                      <a:lnTo>
                                        <a:pt x="0" y="359663"/>
                                      </a:lnTo>
                                      <a:lnTo>
                                        <a:pt x="9448546" y="359663"/>
                                      </a:lnTo>
                                      <a:lnTo>
                                        <a:pt x="9448546" y="0"/>
                                      </a:lnTo>
                                      <a:close/>
                                    </a:path>
                                  </a:pathLst>
                                </a:custGeom>
                                <a:solidFill>
                                  <a:srgbClr val="C5D9F0"/>
                                </a:solidFill>
                              </wps:spPr>
                              <wps:bodyPr wrap="square" lIns="0" tIns="0" rIns="0" bIns="0" rtlCol="0">
                                <a:prstTxWarp prst="textNoShape">
                                  <a:avLst/>
                                </a:prstTxWarp>
                                <a:noAutofit/>
                              </wps:bodyPr>
                            </wps:wsp>
                            <wps:wsp>
                              <wps:cNvPr id="91" name="Graphic 91"/>
                              <wps:cNvSpPr/>
                              <wps:spPr>
                                <a:xfrm>
                                  <a:off x="33528" y="48767"/>
                                  <a:ext cx="9380220" cy="262255"/>
                                </a:xfrm>
                                <a:custGeom>
                                  <a:avLst/>
                                  <a:gdLst/>
                                  <a:ahLst/>
                                  <a:cxnLst/>
                                  <a:rect l="l" t="t" r="r" b="b"/>
                                  <a:pathLst>
                                    <a:path w="9380220" h="262255">
                                      <a:moveTo>
                                        <a:pt x="9379966" y="0"/>
                                      </a:moveTo>
                                      <a:lnTo>
                                        <a:pt x="0" y="0"/>
                                      </a:lnTo>
                                      <a:lnTo>
                                        <a:pt x="0" y="131064"/>
                                      </a:lnTo>
                                      <a:lnTo>
                                        <a:pt x="0" y="262128"/>
                                      </a:lnTo>
                                      <a:lnTo>
                                        <a:pt x="9379966" y="262128"/>
                                      </a:lnTo>
                                      <a:lnTo>
                                        <a:pt x="9379966" y="131064"/>
                                      </a:lnTo>
                                      <a:lnTo>
                                        <a:pt x="9379966" y="0"/>
                                      </a:lnTo>
                                      <a:close/>
                                    </a:path>
                                  </a:pathLst>
                                </a:custGeom>
                                <a:solidFill>
                                  <a:srgbClr val="E0EBF7"/>
                                </a:solidFill>
                              </wps:spPr>
                              <wps:bodyPr wrap="square" lIns="0" tIns="0" rIns="0" bIns="0" rtlCol="0">
                                <a:prstTxWarp prst="textNoShape">
                                  <a:avLst/>
                                </a:prstTxWarp>
                                <a:noAutofit/>
                              </wps:bodyPr>
                            </wps:wsp>
                          </wpg:wgp>
                        </a:graphicData>
                      </a:graphic>
                    </wp:anchor>
                  </w:drawing>
                </mc:Choice>
                <mc:Fallback>
                  <w:pict>
                    <v:group style="position:absolute;margin-left:.24pt;margin-top:-.048098pt;width:744pt;height:28.35pt;mso-position-horizontal-relative:column;mso-position-vertical-relative:paragraph;z-index:-27976192" id="docshapegroup69" coordorigin="5,-1" coordsize="14880,567">
                      <v:rect style="position:absolute;left:4;top:-1;width:14880;height:567" id="docshape70" filled="true" fillcolor="#c5d9f0" stroked="false">
                        <v:fill type="solid"/>
                      </v:rect>
                      <v:shape style="position:absolute;left:57;top:75;width:14772;height:413" id="docshape71" coordorigin="58,76" coordsize="14772,413" path="m14829,76l58,76,58,282,58,489,14829,489,14829,282,14829,76xe" filled="true" fillcolor="#e0ebf7" stroked="false">
                        <v:path arrowok="t"/>
                        <v:fill type="solid"/>
                      </v:shape>
                      <w10:wrap type="none"/>
                    </v:group>
                  </w:pict>
                </mc:Fallback>
              </mc:AlternateContent>
            </w:r>
            <w:r>
              <w:rPr>
                <w:b/>
                <w:sz w:val="18"/>
              </w:rPr>
              <w:t>Producto</w:t>
            </w:r>
            <w:r>
              <w:rPr>
                <w:b/>
                <w:spacing w:val="-2"/>
                <w:sz w:val="18"/>
              </w:rPr>
              <w:t> </w:t>
            </w:r>
            <w:r>
              <w:rPr>
                <w:b/>
                <w:sz w:val="18"/>
              </w:rPr>
              <w:t>PEC</w:t>
            </w:r>
            <w:r>
              <w:rPr>
                <w:b/>
                <w:spacing w:val="-2"/>
                <w:sz w:val="18"/>
              </w:rPr>
              <w:t> </w:t>
            </w:r>
            <w:r>
              <w:rPr>
                <w:b/>
                <w:sz w:val="18"/>
              </w:rPr>
              <w:t>3.2.</w:t>
            </w:r>
            <w:r>
              <w:rPr>
                <w:b/>
                <w:spacing w:val="-2"/>
                <w:sz w:val="18"/>
              </w:rPr>
              <w:t> </w:t>
            </w:r>
            <w:r>
              <w:rPr>
                <w:b/>
                <w:sz w:val="18"/>
              </w:rPr>
              <w:t>Instalaciones</w:t>
            </w:r>
            <w:r>
              <w:rPr>
                <w:b/>
                <w:spacing w:val="-2"/>
                <w:sz w:val="18"/>
              </w:rPr>
              <w:t> </w:t>
            </w:r>
            <w:r>
              <w:rPr>
                <w:b/>
                <w:sz w:val="18"/>
              </w:rPr>
              <w:t>remodeladas</w:t>
            </w:r>
            <w:r>
              <w:rPr>
                <w:b/>
                <w:spacing w:val="-4"/>
                <w:sz w:val="18"/>
              </w:rPr>
              <w:t> </w:t>
            </w:r>
            <w:r>
              <w:rPr>
                <w:b/>
                <w:sz w:val="18"/>
              </w:rPr>
              <w:t>y</w:t>
            </w:r>
            <w:r>
              <w:rPr>
                <w:b/>
                <w:spacing w:val="-2"/>
                <w:sz w:val="18"/>
              </w:rPr>
              <w:t> </w:t>
            </w:r>
            <w:r>
              <w:rPr>
                <w:b/>
                <w:sz w:val="18"/>
              </w:rPr>
              <w:t>ampliadas,</w:t>
            </w:r>
            <w:r>
              <w:rPr>
                <w:b/>
                <w:spacing w:val="-2"/>
                <w:sz w:val="18"/>
              </w:rPr>
              <w:t> </w:t>
            </w:r>
            <w:r>
              <w:rPr>
                <w:b/>
                <w:sz w:val="18"/>
              </w:rPr>
              <w:t>adecuadas</w:t>
            </w:r>
            <w:r>
              <w:rPr>
                <w:b/>
                <w:spacing w:val="-2"/>
                <w:sz w:val="18"/>
              </w:rPr>
              <w:t> </w:t>
            </w:r>
            <w:r>
              <w:rPr>
                <w:b/>
                <w:sz w:val="18"/>
              </w:rPr>
              <w:t>a</w:t>
            </w:r>
            <w:r>
              <w:rPr>
                <w:b/>
                <w:spacing w:val="-4"/>
                <w:sz w:val="18"/>
              </w:rPr>
              <w:t> </w:t>
            </w:r>
            <w:r>
              <w:rPr>
                <w:b/>
                <w:sz w:val="18"/>
              </w:rPr>
              <w:t>la</w:t>
            </w:r>
            <w:r>
              <w:rPr>
                <w:b/>
                <w:spacing w:val="-2"/>
                <w:sz w:val="18"/>
              </w:rPr>
              <w:t> </w:t>
            </w:r>
            <w:r>
              <w:rPr>
                <w:b/>
                <w:sz w:val="18"/>
              </w:rPr>
              <w:t>naturaleza</w:t>
            </w:r>
            <w:r>
              <w:rPr>
                <w:b/>
                <w:spacing w:val="-4"/>
                <w:sz w:val="18"/>
              </w:rPr>
              <w:t> </w:t>
            </w:r>
            <w:r>
              <w:rPr>
                <w:b/>
                <w:sz w:val="18"/>
              </w:rPr>
              <w:t>del</w:t>
            </w:r>
            <w:r>
              <w:rPr>
                <w:b/>
                <w:spacing w:val="-2"/>
                <w:sz w:val="18"/>
              </w:rPr>
              <w:t> </w:t>
            </w:r>
            <w:r>
              <w:rPr>
                <w:b/>
                <w:sz w:val="18"/>
              </w:rPr>
              <w:t>negocio</w:t>
            </w:r>
            <w:r>
              <w:rPr>
                <w:b/>
                <w:spacing w:val="-4"/>
                <w:sz w:val="18"/>
              </w:rPr>
              <w:t> </w:t>
            </w:r>
            <w:r>
              <w:rPr>
                <w:b/>
                <w:sz w:val="18"/>
              </w:rPr>
              <w:t>y</w:t>
            </w:r>
            <w:r>
              <w:rPr>
                <w:b/>
                <w:spacing w:val="-2"/>
                <w:sz w:val="18"/>
              </w:rPr>
              <w:t> </w:t>
            </w:r>
            <w:r>
              <w:rPr>
                <w:b/>
                <w:sz w:val="18"/>
              </w:rPr>
              <w:t>el</w:t>
            </w:r>
            <w:r>
              <w:rPr>
                <w:b/>
                <w:spacing w:val="-4"/>
                <w:sz w:val="18"/>
              </w:rPr>
              <w:t> </w:t>
            </w:r>
            <w:r>
              <w:rPr>
                <w:b/>
                <w:sz w:val="18"/>
              </w:rPr>
              <w:t>mercado</w:t>
            </w:r>
            <w:r>
              <w:rPr>
                <w:b/>
                <w:spacing w:val="-2"/>
                <w:sz w:val="18"/>
              </w:rPr>
              <w:t> </w:t>
            </w:r>
            <w:r>
              <w:rPr>
                <w:b/>
                <w:sz w:val="18"/>
              </w:rPr>
              <w:t>que</w:t>
            </w:r>
            <w:r>
              <w:rPr>
                <w:b/>
                <w:spacing w:val="-2"/>
                <w:sz w:val="18"/>
              </w:rPr>
              <w:t> </w:t>
            </w:r>
            <w:r>
              <w:rPr>
                <w:b/>
                <w:sz w:val="18"/>
              </w:rPr>
              <w:t>se</w:t>
            </w:r>
            <w:r>
              <w:rPr>
                <w:b/>
                <w:spacing w:val="-4"/>
                <w:sz w:val="18"/>
              </w:rPr>
              <w:t> </w:t>
            </w:r>
            <w:r>
              <w:rPr>
                <w:b/>
                <w:sz w:val="18"/>
              </w:rPr>
              <w:t>atiende,</w:t>
            </w:r>
            <w:r>
              <w:rPr>
                <w:b/>
                <w:spacing w:val="-2"/>
                <w:sz w:val="18"/>
              </w:rPr>
              <w:t> </w:t>
            </w:r>
            <w:r>
              <w:rPr>
                <w:b/>
                <w:sz w:val="18"/>
              </w:rPr>
              <w:t>para</w:t>
            </w:r>
            <w:r>
              <w:rPr>
                <w:b/>
                <w:spacing w:val="-2"/>
                <w:sz w:val="18"/>
              </w:rPr>
              <w:t> </w:t>
            </w:r>
            <w:r>
              <w:rPr>
                <w:b/>
                <w:sz w:val="18"/>
              </w:rPr>
              <w:t>potenciar</w:t>
            </w:r>
            <w:r>
              <w:rPr>
                <w:b/>
                <w:spacing w:val="-2"/>
                <w:sz w:val="18"/>
              </w:rPr>
              <w:t> </w:t>
            </w:r>
            <w:r>
              <w:rPr>
                <w:b/>
                <w:sz w:val="18"/>
              </w:rPr>
              <w:t>la generación</w:t>
            </w:r>
            <w:r>
              <w:rPr>
                <w:b/>
                <w:spacing w:val="-4"/>
                <w:sz w:val="18"/>
              </w:rPr>
              <w:t> </w:t>
            </w:r>
            <w:r>
              <w:rPr>
                <w:b/>
                <w:sz w:val="18"/>
              </w:rPr>
              <w:t>de</w:t>
            </w:r>
            <w:r>
              <w:rPr>
                <w:b/>
                <w:spacing w:val="-4"/>
                <w:sz w:val="18"/>
              </w:rPr>
              <w:t> </w:t>
            </w:r>
            <w:r>
              <w:rPr>
                <w:b/>
                <w:sz w:val="18"/>
              </w:rPr>
              <w:t>ventas (E5 AE3 R1)</w:t>
            </w:r>
          </w:p>
        </w:tc>
      </w:tr>
      <w:tr>
        <w:trPr>
          <w:trHeight w:val="1655" w:hRule="atLeast"/>
        </w:trPr>
        <w:tc>
          <w:tcPr>
            <w:tcW w:w="1563" w:type="dxa"/>
          </w:tcPr>
          <w:p>
            <w:pPr>
              <w:pStyle w:val="TableParagraph"/>
              <w:ind w:left="69" w:right="246"/>
              <w:rPr>
                <w:b/>
                <w:sz w:val="18"/>
              </w:rPr>
            </w:pPr>
            <w:r>
              <w:rPr>
                <w:b/>
                <w:sz w:val="18"/>
              </w:rPr>
              <w:t>Actividad</w:t>
            </w:r>
            <w:r>
              <w:rPr>
                <w:b/>
                <w:spacing w:val="-13"/>
                <w:sz w:val="18"/>
              </w:rPr>
              <w:t> </w:t>
            </w:r>
            <w:r>
              <w:rPr>
                <w:b/>
                <w:sz w:val="18"/>
              </w:rPr>
              <w:t>PEC </w:t>
            </w:r>
            <w:r>
              <w:rPr>
                <w:b/>
                <w:spacing w:val="-2"/>
                <w:sz w:val="18"/>
              </w:rPr>
              <w:t>3.2.1:</w:t>
            </w:r>
          </w:p>
          <w:p>
            <w:pPr>
              <w:pStyle w:val="TableParagraph"/>
              <w:ind w:left="69"/>
              <w:rPr>
                <w:sz w:val="18"/>
              </w:rPr>
            </w:pPr>
            <w:r>
              <w:rPr>
                <w:spacing w:val="-2"/>
                <w:sz w:val="18"/>
              </w:rPr>
              <w:t>Remodelación </w:t>
            </w:r>
            <w:r>
              <w:rPr>
                <w:sz w:val="18"/>
              </w:rPr>
              <w:t>Tienda #19</w:t>
            </w:r>
          </w:p>
          <w:p>
            <w:pPr>
              <w:pStyle w:val="TableParagraph"/>
              <w:spacing w:line="206" w:lineRule="exact"/>
              <w:ind w:left="69"/>
              <w:rPr>
                <w:sz w:val="18"/>
              </w:rPr>
            </w:pPr>
            <w:r>
              <w:rPr>
                <w:sz w:val="18"/>
              </w:rPr>
              <w:t>(1.04.03</w:t>
            </w:r>
            <w:r>
              <w:rPr>
                <w:spacing w:val="-5"/>
                <w:sz w:val="18"/>
              </w:rPr>
              <w:t> 21</w:t>
            </w:r>
          </w:p>
          <w:p>
            <w:pPr>
              <w:pStyle w:val="TableParagraph"/>
              <w:spacing w:line="207" w:lineRule="exact"/>
              <w:ind w:left="69"/>
              <w:rPr>
                <w:sz w:val="18"/>
              </w:rPr>
            </w:pPr>
            <w:r>
              <w:rPr>
                <w:sz w:val="18"/>
              </w:rPr>
              <w:t>millones</w:t>
            </w:r>
            <w:r>
              <w:rPr>
                <w:spacing w:val="-4"/>
                <w:sz w:val="18"/>
              </w:rPr>
              <w:t> </w:t>
            </w:r>
            <w:r>
              <w:rPr>
                <w:spacing w:val="-10"/>
                <w:sz w:val="18"/>
              </w:rPr>
              <w:t>y</w:t>
            </w:r>
          </w:p>
          <w:p>
            <w:pPr>
              <w:pStyle w:val="TableParagraph"/>
              <w:spacing w:line="207" w:lineRule="exact" w:before="2"/>
              <w:ind w:left="69"/>
              <w:rPr>
                <w:sz w:val="18"/>
              </w:rPr>
            </w:pPr>
            <w:r>
              <w:rPr>
                <w:sz w:val="18"/>
              </w:rPr>
              <w:t>1.08.01</w:t>
            </w:r>
            <w:r>
              <w:rPr>
                <w:spacing w:val="-4"/>
                <w:sz w:val="18"/>
              </w:rPr>
              <w:t> </w:t>
            </w:r>
            <w:r>
              <w:rPr>
                <w:spacing w:val="-5"/>
                <w:sz w:val="18"/>
              </w:rPr>
              <w:t>300</w:t>
            </w:r>
          </w:p>
          <w:p>
            <w:pPr>
              <w:pStyle w:val="TableParagraph"/>
              <w:spacing w:line="187" w:lineRule="exact"/>
              <w:ind w:left="69"/>
              <w:rPr>
                <w:sz w:val="18"/>
              </w:rPr>
            </w:pPr>
            <w:r>
              <w:rPr>
                <w:spacing w:val="-2"/>
                <w:sz w:val="18"/>
              </w:rPr>
              <w:t>millones)</w:t>
            </w:r>
          </w:p>
        </w:tc>
        <w:tc>
          <w:tcPr>
            <w:tcW w:w="1275" w:type="dxa"/>
          </w:tcPr>
          <w:p>
            <w:pPr>
              <w:pStyle w:val="TableParagraph"/>
              <w:rPr>
                <w:b/>
                <w:sz w:val="18"/>
              </w:rPr>
            </w:pPr>
          </w:p>
          <w:p>
            <w:pPr>
              <w:pStyle w:val="TableParagraph"/>
              <w:spacing w:before="103"/>
              <w:rPr>
                <w:b/>
                <w:sz w:val="18"/>
              </w:rPr>
            </w:pPr>
          </w:p>
          <w:p>
            <w:pPr>
              <w:pStyle w:val="TableParagraph"/>
              <w:ind w:left="69"/>
              <w:rPr>
                <w:sz w:val="18"/>
              </w:rPr>
            </w:pPr>
            <w:r>
              <w:rPr>
                <w:sz w:val="18"/>
              </w:rPr>
              <w:t>Cantidad de </w:t>
            </w:r>
            <w:r>
              <w:rPr>
                <w:spacing w:val="-2"/>
                <w:sz w:val="18"/>
              </w:rPr>
              <w:t>tiendas remodeladas</w:t>
            </w:r>
          </w:p>
        </w:tc>
        <w:tc>
          <w:tcPr>
            <w:tcW w:w="1561" w:type="dxa"/>
          </w:tcPr>
          <w:p>
            <w:pPr>
              <w:pStyle w:val="TableParagraph"/>
              <w:rPr>
                <w:rFonts w:ascii="Times New Roman"/>
                <w:sz w:val="18"/>
              </w:rPr>
            </w:pPr>
          </w:p>
        </w:tc>
        <w:tc>
          <w:tcPr>
            <w:tcW w:w="1562" w:type="dxa"/>
          </w:tcPr>
          <w:p>
            <w:pPr>
              <w:pStyle w:val="TableParagraph"/>
              <w:rPr>
                <w:rFonts w:ascii="Times New Roman"/>
                <w:sz w:val="18"/>
              </w:rPr>
            </w:pPr>
          </w:p>
        </w:tc>
        <w:tc>
          <w:tcPr>
            <w:tcW w:w="1417" w:type="dxa"/>
          </w:tcPr>
          <w:p>
            <w:pPr>
              <w:pStyle w:val="TableParagraph"/>
              <w:rPr>
                <w:rFonts w:ascii="Times New Roman"/>
                <w:sz w:val="18"/>
              </w:rPr>
            </w:pPr>
          </w:p>
        </w:tc>
        <w:tc>
          <w:tcPr>
            <w:tcW w:w="1561" w:type="dxa"/>
          </w:tcPr>
          <w:p>
            <w:pPr>
              <w:pStyle w:val="TableParagraph"/>
              <w:rPr>
                <w:rFonts w:ascii="Times New Roman"/>
                <w:sz w:val="18"/>
              </w:rPr>
            </w:pPr>
          </w:p>
        </w:tc>
        <w:tc>
          <w:tcPr>
            <w:tcW w:w="1558" w:type="dxa"/>
          </w:tcPr>
          <w:p>
            <w:pPr>
              <w:pStyle w:val="TableParagraph"/>
              <w:rPr>
                <w:b/>
                <w:sz w:val="16"/>
              </w:rPr>
            </w:pPr>
          </w:p>
          <w:p>
            <w:pPr>
              <w:pStyle w:val="TableParagraph"/>
              <w:rPr>
                <w:b/>
                <w:sz w:val="16"/>
              </w:rPr>
            </w:pPr>
          </w:p>
          <w:p>
            <w:pPr>
              <w:pStyle w:val="TableParagraph"/>
              <w:spacing w:before="183"/>
              <w:rPr>
                <w:b/>
                <w:sz w:val="16"/>
              </w:rPr>
            </w:pPr>
          </w:p>
          <w:p>
            <w:pPr>
              <w:pStyle w:val="TableParagraph"/>
              <w:ind w:left="34" w:right="36"/>
              <w:jc w:val="center"/>
              <w:rPr>
                <w:b/>
                <w:sz w:val="16"/>
              </w:rPr>
            </w:pPr>
            <w:r>
              <w:rPr>
                <w:b/>
                <w:spacing w:val="-10"/>
                <w:sz w:val="16"/>
              </w:rPr>
              <w:t>1</w:t>
            </w:r>
          </w:p>
        </w:tc>
        <w:tc>
          <w:tcPr>
            <w:tcW w:w="156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61"/>
              <w:jc w:val="right"/>
              <w:rPr>
                <w:sz w:val="18"/>
              </w:rPr>
            </w:pPr>
            <w:r>
              <w:rPr>
                <w:sz w:val="18"/>
              </w:rPr>
              <w:t>₡321</w:t>
            </w:r>
            <w:r>
              <w:rPr>
                <w:spacing w:val="-3"/>
                <w:sz w:val="18"/>
              </w:rPr>
              <w:t> </w:t>
            </w:r>
            <w:r>
              <w:rPr>
                <w:sz w:val="18"/>
              </w:rPr>
              <w:t>000 </w:t>
            </w:r>
            <w:r>
              <w:rPr>
                <w:spacing w:val="-5"/>
                <w:sz w:val="18"/>
              </w:rPr>
              <w:t>000</w:t>
            </w:r>
          </w:p>
        </w:tc>
        <w:tc>
          <w:tcPr>
            <w:tcW w:w="1421" w:type="dxa"/>
          </w:tcPr>
          <w:p>
            <w:pPr>
              <w:pStyle w:val="TableParagraph"/>
              <w:rPr>
                <w:rFonts w:ascii="Times New Roman"/>
                <w:sz w:val="18"/>
              </w:rPr>
            </w:pPr>
          </w:p>
        </w:tc>
        <w:tc>
          <w:tcPr>
            <w:tcW w:w="1416" w:type="dxa"/>
          </w:tcPr>
          <w:p>
            <w:pPr>
              <w:pStyle w:val="TableParagraph"/>
              <w:rPr>
                <w:rFonts w:ascii="Times New Roman"/>
                <w:sz w:val="18"/>
              </w:rPr>
            </w:pPr>
          </w:p>
        </w:tc>
      </w:tr>
      <w:tr>
        <w:trPr>
          <w:trHeight w:val="828" w:hRule="atLeast"/>
        </w:trPr>
        <w:tc>
          <w:tcPr>
            <w:tcW w:w="1563" w:type="dxa"/>
          </w:tcPr>
          <w:p>
            <w:pPr>
              <w:pStyle w:val="TableParagraph"/>
              <w:ind w:left="69" w:right="246"/>
              <w:rPr>
                <w:b/>
                <w:sz w:val="18"/>
              </w:rPr>
            </w:pPr>
            <w:r>
              <w:rPr>
                <w:b/>
                <w:sz w:val="18"/>
              </w:rPr>
              <w:t>Actividad</w:t>
            </w:r>
            <w:r>
              <w:rPr>
                <w:b/>
                <w:spacing w:val="-13"/>
                <w:sz w:val="18"/>
              </w:rPr>
              <w:t> </w:t>
            </w:r>
            <w:r>
              <w:rPr>
                <w:b/>
                <w:sz w:val="18"/>
              </w:rPr>
              <w:t>PEC </w:t>
            </w:r>
            <w:r>
              <w:rPr>
                <w:b/>
                <w:spacing w:val="-2"/>
                <w:sz w:val="18"/>
              </w:rPr>
              <w:t>3.2.2:</w:t>
            </w:r>
          </w:p>
          <w:p>
            <w:pPr>
              <w:pStyle w:val="TableParagraph"/>
              <w:spacing w:line="206" w:lineRule="exact"/>
              <w:ind w:left="69" w:right="96"/>
              <w:rPr>
                <w:sz w:val="18"/>
              </w:rPr>
            </w:pPr>
            <w:r>
              <w:rPr>
                <w:spacing w:val="-2"/>
                <w:sz w:val="18"/>
              </w:rPr>
              <w:t>Remodelación </w:t>
            </w:r>
            <w:r>
              <w:rPr>
                <w:sz w:val="18"/>
              </w:rPr>
              <w:t>área de cajas</w:t>
            </w:r>
          </w:p>
        </w:tc>
        <w:tc>
          <w:tcPr>
            <w:tcW w:w="1275" w:type="dxa"/>
          </w:tcPr>
          <w:p>
            <w:pPr>
              <w:pStyle w:val="TableParagraph"/>
              <w:spacing w:before="102"/>
              <w:ind w:left="69"/>
              <w:rPr>
                <w:sz w:val="18"/>
              </w:rPr>
            </w:pPr>
            <w:r>
              <w:rPr>
                <w:sz w:val="18"/>
              </w:rPr>
              <w:t>Cantidad de </w:t>
            </w:r>
            <w:r>
              <w:rPr>
                <w:spacing w:val="-2"/>
                <w:sz w:val="18"/>
              </w:rPr>
              <w:t>tiendas remodeladas</w:t>
            </w:r>
          </w:p>
        </w:tc>
        <w:tc>
          <w:tcPr>
            <w:tcW w:w="1561" w:type="dxa"/>
          </w:tcPr>
          <w:p>
            <w:pPr>
              <w:pStyle w:val="TableParagraph"/>
              <w:rPr>
                <w:rFonts w:ascii="Times New Roman"/>
                <w:sz w:val="18"/>
              </w:rPr>
            </w:pPr>
          </w:p>
        </w:tc>
        <w:tc>
          <w:tcPr>
            <w:tcW w:w="1562" w:type="dxa"/>
          </w:tcPr>
          <w:p>
            <w:pPr>
              <w:pStyle w:val="TableParagraph"/>
              <w:rPr>
                <w:rFonts w:ascii="Times New Roman"/>
                <w:sz w:val="18"/>
              </w:rPr>
            </w:pPr>
          </w:p>
        </w:tc>
        <w:tc>
          <w:tcPr>
            <w:tcW w:w="1417" w:type="dxa"/>
          </w:tcPr>
          <w:p>
            <w:pPr>
              <w:pStyle w:val="TableParagraph"/>
              <w:rPr>
                <w:rFonts w:ascii="Times New Roman"/>
                <w:sz w:val="18"/>
              </w:rPr>
            </w:pPr>
          </w:p>
        </w:tc>
        <w:tc>
          <w:tcPr>
            <w:tcW w:w="1561" w:type="dxa"/>
          </w:tcPr>
          <w:p>
            <w:pPr>
              <w:pStyle w:val="TableParagraph"/>
              <w:rPr>
                <w:rFonts w:ascii="Times New Roman"/>
                <w:sz w:val="18"/>
              </w:rPr>
            </w:pPr>
          </w:p>
        </w:tc>
        <w:tc>
          <w:tcPr>
            <w:tcW w:w="1558" w:type="dxa"/>
          </w:tcPr>
          <w:p>
            <w:pPr>
              <w:pStyle w:val="TableParagraph"/>
              <w:spacing w:before="104"/>
              <w:rPr>
                <w:b/>
                <w:sz w:val="18"/>
              </w:rPr>
            </w:pPr>
          </w:p>
          <w:p>
            <w:pPr>
              <w:pStyle w:val="TableParagraph"/>
              <w:ind w:left="34" w:right="35"/>
              <w:jc w:val="center"/>
              <w:rPr>
                <w:b/>
                <w:sz w:val="18"/>
              </w:rPr>
            </w:pPr>
            <w:r>
              <w:rPr>
                <w:b/>
                <w:spacing w:val="-10"/>
                <w:sz w:val="18"/>
              </w:rPr>
              <w:t>1</w:t>
            </w:r>
          </w:p>
        </w:tc>
        <w:tc>
          <w:tcPr>
            <w:tcW w:w="1561" w:type="dxa"/>
          </w:tcPr>
          <w:p>
            <w:pPr>
              <w:pStyle w:val="TableParagraph"/>
              <w:spacing w:before="104"/>
              <w:rPr>
                <w:b/>
                <w:sz w:val="18"/>
              </w:rPr>
            </w:pPr>
          </w:p>
          <w:p>
            <w:pPr>
              <w:pStyle w:val="TableParagraph"/>
              <w:ind w:right="62"/>
              <w:jc w:val="right"/>
              <w:rPr>
                <w:sz w:val="18"/>
              </w:rPr>
            </w:pPr>
            <w:r>
              <w:rPr>
                <w:sz w:val="18"/>
              </w:rPr>
              <w:t>₡35 000</w:t>
            </w:r>
            <w:r>
              <w:rPr>
                <w:spacing w:val="-1"/>
                <w:sz w:val="18"/>
              </w:rPr>
              <w:t> </w:t>
            </w:r>
            <w:r>
              <w:rPr>
                <w:spacing w:val="-5"/>
                <w:sz w:val="18"/>
              </w:rPr>
              <w:t>000</w:t>
            </w:r>
          </w:p>
        </w:tc>
        <w:tc>
          <w:tcPr>
            <w:tcW w:w="1421" w:type="dxa"/>
          </w:tcPr>
          <w:p>
            <w:pPr>
              <w:pStyle w:val="TableParagraph"/>
              <w:rPr>
                <w:rFonts w:ascii="Times New Roman"/>
                <w:sz w:val="18"/>
              </w:rPr>
            </w:pPr>
          </w:p>
        </w:tc>
        <w:tc>
          <w:tcPr>
            <w:tcW w:w="1416"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5"/>
        <w:gridCol w:w="1561"/>
        <w:gridCol w:w="1562"/>
        <w:gridCol w:w="1417"/>
        <w:gridCol w:w="1561"/>
        <w:gridCol w:w="1558"/>
        <w:gridCol w:w="1561"/>
        <w:gridCol w:w="1421"/>
        <w:gridCol w:w="1416"/>
      </w:tblGrid>
      <w:tr>
        <w:trPr>
          <w:trHeight w:val="299" w:hRule="atLeast"/>
        </w:trPr>
        <w:tc>
          <w:tcPr>
            <w:tcW w:w="1563" w:type="dxa"/>
            <w:vMerge w:val="restart"/>
            <w:shd w:val="clear" w:color="auto" w:fill="F1F1F1"/>
          </w:tcPr>
          <w:p>
            <w:pPr>
              <w:pStyle w:val="TableParagraph"/>
              <w:spacing w:before="48"/>
              <w:rPr>
                <w:b/>
                <w:sz w:val="18"/>
              </w:rPr>
            </w:pPr>
          </w:p>
          <w:p>
            <w:pPr>
              <w:pStyle w:val="TableParagraph"/>
              <w:ind w:left="295" w:firstLine="24"/>
              <w:rPr>
                <w:b/>
                <w:sz w:val="18"/>
              </w:rPr>
            </w:pPr>
            <w:r>
              <w:rPr>
                <w:b/>
                <w:sz w:val="18"/>
              </w:rPr>
              <w:t>Objetivos</w:t>
            </w:r>
            <w:r>
              <w:rPr>
                <w:b/>
                <w:spacing w:val="-12"/>
                <w:sz w:val="18"/>
              </w:rPr>
              <w:t> </w:t>
            </w:r>
            <w:r>
              <w:rPr>
                <w:b/>
                <w:sz w:val="18"/>
              </w:rPr>
              <w:t>/ </w:t>
            </w:r>
            <w:r>
              <w:rPr>
                <w:b/>
                <w:spacing w:val="-2"/>
                <w:sz w:val="18"/>
              </w:rPr>
              <w:t>Resultados</w:t>
            </w:r>
          </w:p>
        </w:tc>
        <w:tc>
          <w:tcPr>
            <w:tcW w:w="1275" w:type="dxa"/>
            <w:vMerge w:val="restart"/>
            <w:shd w:val="clear" w:color="auto" w:fill="F1F1F1"/>
          </w:tcPr>
          <w:p>
            <w:pPr>
              <w:pStyle w:val="TableParagraph"/>
              <w:spacing w:before="151"/>
              <w:rPr>
                <w:b/>
                <w:sz w:val="18"/>
              </w:rPr>
            </w:pPr>
          </w:p>
          <w:p>
            <w:pPr>
              <w:pStyle w:val="TableParagraph"/>
              <w:spacing w:before="1"/>
              <w:ind w:left="230"/>
              <w:rPr>
                <w:b/>
                <w:sz w:val="18"/>
              </w:rPr>
            </w:pPr>
            <w:r>
              <w:rPr>
                <w:b/>
                <w:spacing w:val="-2"/>
                <w:sz w:val="18"/>
              </w:rPr>
              <w:t>Indicador</w:t>
            </w:r>
          </w:p>
        </w:tc>
        <w:tc>
          <w:tcPr>
            <w:tcW w:w="3123" w:type="dxa"/>
            <w:gridSpan w:val="2"/>
            <w:shd w:val="clear" w:color="auto" w:fill="F1F1F1"/>
          </w:tcPr>
          <w:p>
            <w:pPr>
              <w:pStyle w:val="TableParagraph"/>
              <w:spacing w:before="47"/>
              <w:ind w:left="6"/>
              <w:jc w:val="center"/>
              <w:rPr>
                <w:b/>
                <w:sz w:val="18"/>
              </w:rPr>
            </w:pPr>
            <w:r>
              <w:rPr>
                <w:b/>
                <w:sz w:val="18"/>
              </w:rPr>
              <w:t>I </w:t>
            </w:r>
            <w:r>
              <w:rPr>
                <w:b/>
                <w:spacing w:val="-2"/>
                <w:sz w:val="18"/>
              </w:rPr>
              <w:t>Trimestre</w:t>
            </w:r>
          </w:p>
        </w:tc>
        <w:tc>
          <w:tcPr>
            <w:tcW w:w="2978" w:type="dxa"/>
            <w:gridSpan w:val="2"/>
            <w:shd w:val="clear" w:color="auto" w:fill="F1F1F1"/>
          </w:tcPr>
          <w:p>
            <w:pPr>
              <w:pStyle w:val="TableParagraph"/>
              <w:spacing w:before="47"/>
              <w:ind w:left="2"/>
              <w:jc w:val="center"/>
              <w:rPr>
                <w:b/>
                <w:sz w:val="18"/>
              </w:rPr>
            </w:pPr>
            <w:r>
              <w:rPr>
                <w:b/>
                <w:sz w:val="18"/>
              </w:rPr>
              <w:t>II </w:t>
            </w:r>
            <w:r>
              <w:rPr>
                <w:b/>
                <w:spacing w:val="-2"/>
                <w:sz w:val="18"/>
              </w:rPr>
              <w:t>Trimestre</w:t>
            </w:r>
          </w:p>
        </w:tc>
        <w:tc>
          <w:tcPr>
            <w:tcW w:w="3119" w:type="dxa"/>
            <w:gridSpan w:val="2"/>
            <w:shd w:val="clear" w:color="auto" w:fill="F1F1F1"/>
          </w:tcPr>
          <w:p>
            <w:pPr>
              <w:pStyle w:val="TableParagraph"/>
              <w:spacing w:before="47"/>
              <w:ind w:right="3"/>
              <w:jc w:val="center"/>
              <w:rPr>
                <w:b/>
                <w:sz w:val="18"/>
              </w:rPr>
            </w:pPr>
            <w:r>
              <w:rPr>
                <w:b/>
                <w:sz w:val="18"/>
              </w:rPr>
              <w:t>III </w:t>
            </w:r>
            <w:r>
              <w:rPr>
                <w:b/>
                <w:spacing w:val="-2"/>
                <w:sz w:val="18"/>
              </w:rPr>
              <w:t>Trimestre</w:t>
            </w:r>
          </w:p>
        </w:tc>
        <w:tc>
          <w:tcPr>
            <w:tcW w:w="2837" w:type="dxa"/>
            <w:gridSpan w:val="2"/>
            <w:shd w:val="clear" w:color="auto" w:fill="F1F1F1"/>
          </w:tcPr>
          <w:p>
            <w:pPr>
              <w:pStyle w:val="TableParagraph"/>
              <w:spacing w:before="47"/>
              <w:ind w:left="891"/>
              <w:rPr>
                <w:b/>
                <w:sz w:val="18"/>
              </w:rPr>
            </w:pPr>
            <w:r>
              <w:rPr>
                <w:b/>
                <w:sz w:val="18"/>
              </w:rPr>
              <w:t>IV </w:t>
            </w:r>
            <w:r>
              <w:rPr>
                <w:b/>
                <w:spacing w:val="-2"/>
                <w:sz w:val="18"/>
              </w:rPr>
              <w:t>Trimestre</w:t>
            </w:r>
          </w:p>
        </w:tc>
      </w:tr>
      <w:tr>
        <w:trPr>
          <w:trHeight w:val="616" w:hRule="atLeast"/>
        </w:trPr>
        <w:tc>
          <w:tcPr>
            <w:tcW w:w="1563" w:type="dxa"/>
            <w:vMerge/>
            <w:tcBorders>
              <w:top w:val="nil"/>
            </w:tcBorders>
            <w:shd w:val="clear" w:color="auto" w:fill="F1F1F1"/>
          </w:tcPr>
          <w:p>
            <w:pPr>
              <w:rPr>
                <w:sz w:val="2"/>
                <w:szCs w:val="2"/>
              </w:rPr>
            </w:pPr>
          </w:p>
        </w:tc>
        <w:tc>
          <w:tcPr>
            <w:tcW w:w="1275" w:type="dxa"/>
            <w:vMerge/>
            <w:tcBorders>
              <w:top w:val="nil"/>
            </w:tcBorders>
            <w:shd w:val="clear" w:color="auto" w:fill="F1F1F1"/>
          </w:tcPr>
          <w:p>
            <w:pPr>
              <w:rPr>
                <w:sz w:val="2"/>
                <w:szCs w:val="2"/>
              </w:rPr>
            </w:pPr>
          </w:p>
        </w:tc>
        <w:tc>
          <w:tcPr>
            <w:tcW w:w="1561" w:type="dxa"/>
            <w:shd w:val="clear" w:color="auto" w:fill="F1F1F1"/>
          </w:tcPr>
          <w:p>
            <w:pPr>
              <w:pStyle w:val="TableParagraph"/>
              <w:spacing w:before="99"/>
              <w:ind w:left="258" w:firstLine="314"/>
              <w:rPr>
                <w:b/>
                <w:sz w:val="18"/>
              </w:rPr>
            </w:pPr>
            <w:r>
              <w:rPr>
                <w:b/>
                <w:spacing w:val="-4"/>
                <w:sz w:val="18"/>
              </w:rPr>
              <w:t>Meta </w:t>
            </w:r>
            <w:r>
              <w:rPr>
                <w:b/>
                <w:spacing w:val="-2"/>
                <w:sz w:val="18"/>
              </w:rPr>
              <w:t>programada</w:t>
            </w:r>
          </w:p>
        </w:tc>
        <w:tc>
          <w:tcPr>
            <w:tcW w:w="1562" w:type="dxa"/>
            <w:shd w:val="clear" w:color="auto" w:fill="F1F1F1"/>
          </w:tcPr>
          <w:p>
            <w:pPr>
              <w:pStyle w:val="TableParagraph"/>
              <w:spacing w:before="203"/>
              <w:ind w:left="11" w:right="7"/>
              <w:jc w:val="center"/>
              <w:rPr>
                <w:b/>
                <w:sz w:val="18"/>
              </w:rPr>
            </w:pPr>
            <w:r>
              <w:rPr>
                <w:b/>
                <w:spacing w:val="-10"/>
                <w:sz w:val="18"/>
              </w:rPr>
              <w:t>¢</w:t>
            </w:r>
          </w:p>
        </w:tc>
        <w:tc>
          <w:tcPr>
            <w:tcW w:w="1417" w:type="dxa"/>
            <w:shd w:val="clear" w:color="auto" w:fill="F1F1F1"/>
          </w:tcPr>
          <w:p>
            <w:pPr>
              <w:pStyle w:val="TableParagraph"/>
              <w:spacing w:before="99"/>
              <w:ind w:left="183" w:right="71"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203"/>
              <w:ind w:left="45" w:right="45"/>
              <w:jc w:val="center"/>
              <w:rPr>
                <w:b/>
                <w:sz w:val="18"/>
              </w:rPr>
            </w:pPr>
            <w:r>
              <w:rPr>
                <w:b/>
                <w:spacing w:val="-10"/>
                <w:sz w:val="18"/>
              </w:rPr>
              <w:t>¢</w:t>
            </w:r>
          </w:p>
        </w:tc>
        <w:tc>
          <w:tcPr>
            <w:tcW w:w="1558" w:type="dxa"/>
            <w:shd w:val="clear" w:color="auto" w:fill="F1F1F1"/>
          </w:tcPr>
          <w:p>
            <w:pPr>
              <w:pStyle w:val="TableParagraph"/>
              <w:spacing w:before="99"/>
              <w:ind w:left="251"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203"/>
              <w:ind w:left="45" w:right="45"/>
              <w:jc w:val="center"/>
              <w:rPr>
                <w:b/>
                <w:sz w:val="18"/>
              </w:rPr>
            </w:pPr>
            <w:r>
              <w:rPr>
                <w:b/>
                <w:spacing w:val="-10"/>
                <w:sz w:val="18"/>
              </w:rPr>
              <w:t>¢</w:t>
            </w:r>
          </w:p>
        </w:tc>
        <w:tc>
          <w:tcPr>
            <w:tcW w:w="1421" w:type="dxa"/>
            <w:shd w:val="clear" w:color="auto" w:fill="F1F1F1"/>
          </w:tcPr>
          <w:p>
            <w:pPr>
              <w:pStyle w:val="TableParagraph"/>
              <w:spacing w:before="99"/>
              <w:ind w:left="181" w:firstLine="314"/>
              <w:rPr>
                <w:b/>
                <w:sz w:val="18"/>
              </w:rPr>
            </w:pPr>
            <w:r>
              <w:rPr>
                <w:b/>
                <w:spacing w:val="-4"/>
                <w:sz w:val="18"/>
              </w:rPr>
              <w:t>Meta </w:t>
            </w:r>
            <w:r>
              <w:rPr>
                <w:b/>
                <w:spacing w:val="-2"/>
                <w:sz w:val="18"/>
              </w:rPr>
              <w:t>programada</w:t>
            </w:r>
          </w:p>
        </w:tc>
        <w:tc>
          <w:tcPr>
            <w:tcW w:w="1416" w:type="dxa"/>
            <w:shd w:val="clear" w:color="auto" w:fill="F1F1F1"/>
          </w:tcPr>
          <w:p>
            <w:pPr>
              <w:pStyle w:val="TableParagraph"/>
              <w:spacing w:before="203"/>
              <w:ind w:left="43" w:right="48"/>
              <w:jc w:val="center"/>
              <w:rPr>
                <w:b/>
                <w:sz w:val="18"/>
              </w:rPr>
            </w:pPr>
            <w:r>
              <w:rPr>
                <w:b/>
                <w:spacing w:val="-10"/>
                <w:sz w:val="18"/>
              </w:rPr>
              <w:t>¢</w:t>
            </w:r>
          </w:p>
        </w:tc>
      </w:tr>
      <w:tr>
        <w:trPr>
          <w:trHeight w:val="613" w:hRule="atLeast"/>
        </w:trPr>
        <w:tc>
          <w:tcPr>
            <w:tcW w:w="1563" w:type="dxa"/>
          </w:tcPr>
          <w:p>
            <w:pPr>
              <w:pStyle w:val="TableParagraph"/>
              <w:spacing w:line="206" w:lineRule="exact"/>
              <w:ind w:left="69"/>
              <w:rPr>
                <w:sz w:val="18"/>
              </w:rPr>
            </w:pPr>
            <w:r>
              <w:rPr>
                <w:sz w:val="18"/>
              </w:rPr>
              <w:t>Tienda</w:t>
            </w:r>
            <w:r>
              <w:rPr>
                <w:spacing w:val="-2"/>
                <w:sz w:val="18"/>
              </w:rPr>
              <w:t> </w:t>
            </w:r>
            <w:r>
              <w:rPr>
                <w:spacing w:val="-5"/>
                <w:sz w:val="18"/>
              </w:rPr>
              <w:t>#13</w:t>
            </w:r>
          </w:p>
          <w:p>
            <w:pPr>
              <w:pStyle w:val="TableParagraph"/>
              <w:spacing w:line="207" w:lineRule="exact"/>
              <w:ind w:left="69"/>
              <w:rPr>
                <w:sz w:val="18"/>
              </w:rPr>
            </w:pPr>
            <w:r>
              <w:rPr>
                <w:spacing w:val="-2"/>
                <w:sz w:val="18"/>
              </w:rPr>
              <w:t>(1.08.01)</w:t>
            </w:r>
          </w:p>
        </w:tc>
        <w:tc>
          <w:tcPr>
            <w:tcW w:w="1275" w:type="dxa"/>
          </w:tcPr>
          <w:p>
            <w:pPr>
              <w:pStyle w:val="TableParagraph"/>
              <w:rPr>
                <w:rFonts w:ascii="Times New Roman"/>
                <w:sz w:val="18"/>
              </w:rPr>
            </w:pPr>
          </w:p>
        </w:tc>
        <w:tc>
          <w:tcPr>
            <w:tcW w:w="1561" w:type="dxa"/>
          </w:tcPr>
          <w:p>
            <w:pPr>
              <w:pStyle w:val="TableParagraph"/>
              <w:rPr>
                <w:rFonts w:ascii="Times New Roman"/>
                <w:sz w:val="18"/>
              </w:rPr>
            </w:pPr>
          </w:p>
        </w:tc>
        <w:tc>
          <w:tcPr>
            <w:tcW w:w="1562" w:type="dxa"/>
          </w:tcPr>
          <w:p>
            <w:pPr>
              <w:pStyle w:val="TableParagraph"/>
              <w:rPr>
                <w:rFonts w:ascii="Times New Roman"/>
                <w:sz w:val="18"/>
              </w:rPr>
            </w:pPr>
          </w:p>
        </w:tc>
        <w:tc>
          <w:tcPr>
            <w:tcW w:w="1417" w:type="dxa"/>
          </w:tcPr>
          <w:p>
            <w:pPr>
              <w:pStyle w:val="TableParagraph"/>
              <w:rPr>
                <w:rFonts w:ascii="Times New Roman"/>
                <w:sz w:val="18"/>
              </w:rPr>
            </w:pPr>
          </w:p>
        </w:tc>
        <w:tc>
          <w:tcPr>
            <w:tcW w:w="1561" w:type="dxa"/>
          </w:tcPr>
          <w:p>
            <w:pPr>
              <w:pStyle w:val="TableParagraph"/>
              <w:rPr>
                <w:rFonts w:ascii="Times New Roman"/>
                <w:sz w:val="18"/>
              </w:rPr>
            </w:pPr>
          </w:p>
        </w:tc>
        <w:tc>
          <w:tcPr>
            <w:tcW w:w="1558" w:type="dxa"/>
          </w:tcPr>
          <w:p>
            <w:pPr>
              <w:pStyle w:val="TableParagraph"/>
              <w:rPr>
                <w:rFonts w:ascii="Times New Roman"/>
                <w:sz w:val="18"/>
              </w:rPr>
            </w:pPr>
          </w:p>
        </w:tc>
        <w:tc>
          <w:tcPr>
            <w:tcW w:w="1561" w:type="dxa"/>
          </w:tcPr>
          <w:p>
            <w:pPr>
              <w:pStyle w:val="TableParagraph"/>
              <w:rPr>
                <w:rFonts w:ascii="Times New Roman"/>
                <w:sz w:val="18"/>
              </w:rPr>
            </w:pPr>
          </w:p>
        </w:tc>
        <w:tc>
          <w:tcPr>
            <w:tcW w:w="1421" w:type="dxa"/>
          </w:tcPr>
          <w:p>
            <w:pPr>
              <w:pStyle w:val="TableParagraph"/>
              <w:rPr>
                <w:rFonts w:ascii="Times New Roman"/>
                <w:sz w:val="18"/>
              </w:rPr>
            </w:pPr>
          </w:p>
        </w:tc>
        <w:tc>
          <w:tcPr>
            <w:tcW w:w="1416" w:type="dxa"/>
          </w:tcPr>
          <w:p>
            <w:pPr>
              <w:pStyle w:val="TableParagraph"/>
              <w:rPr>
                <w:rFonts w:ascii="Times New Roman"/>
                <w:sz w:val="18"/>
              </w:rPr>
            </w:pPr>
          </w:p>
        </w:tc>
      </w:tr>
      <w:tr>
        <w:trPr>
          <w:trHeight w:val="613" w:hRule="atLeast"/>
        </w:trPr>
        <w:tc>
          <w:tcPr>
            <w:tcW w:w="14895" w:type="dxa"/>
            <w:gridSpan w:val="10"/>
            <w:shd w:val="clear" w:color="auto" w:fill="E0EBF7"/>
          </w:tcPr>
          <w:p>
            <w:pPr>
              <w:pStyle w:val="TableParagraph"/>
              <w:spacing w:before="203"/>
              <w:ind w:left="69"/>
              <w:rPr>
                <w:b/>
                <w:sz w:val="18"/>
              </w:rPr>
            </w:pPr>
            <w:r>
              <w:rPr>
                <w:b/>
                <w:sz w:val="18"/>
              </w:rPr>
              <w:t>Producto</w:t>
            </w:r>
            <w:r>
              <w:rPr>
                <w:b/>
                <w:spacing w:val="-6"/>
                <w:sz w:val="18"/>
              </w:rPr>
              <w:t> </w:t>
            </w:r>
            <w:r>
              <w:rPr>
                <w:b/>
                <w:sz w:val="18"/>
              </w:rPr>
              <w:t>PEC</w:t>
            </w:r>
            <w:r>
              <w:rPr>
                <w:b/>
                <w:spacing w:val="-3"/>
                <w:sz w:val="18"/>
              </w:rPr>
              <w:t> </w:t>
            </w:r>
            <w:r>
              <w:rPr>
                <w:b/>
                <w:sz w:val="18"/>
              </w:rPr>
              <w:t>3.3:</w:t>
            </w:r>
            <w:r>
              <w:rPr>
                <w:b/>
                <w:spacing w:val="-3"/>
                <w:sz w:val="18"/>
              </w:rPr>
              <w:t> </w:t>
            </w:r>
            <w:r>
              <w:rPr>
                <w:b/>
                <w:sz w:val="18"/>
              </w:rPr>
              <w:t>Proyectos</w:t>
            </w:r>
            <w:r>
              <w:rPr>
                <w:b/>
                <w:spacing w:val="-3"/>
                <w:sz w:val="18"/>
              </w:rPr>
              <w:t> </w:t>
            </w:r>
            <w:r>
              <w:rPr>
                <w:b/>
                <w:sz w:val="18"/>
              </w:rPr>
              <w:t>de</w:t>
            </w:r>
            <w:r>
              <w:rPr>
                <w:b/>
                <w:spacing w:val="-4"/>
                <w:sz w:val="18"/>
              </w:rPr>
              <w:t> </w:t>
            </w:r>
            <w:r>
              <w:rPr>
                <w:b/>
                <w:sz w:val="18"/>
              </w:rPr>
              <w:t>automatización</w:t>
            </w:r>
            <w:r>
              <w:rPr>
                <w:b/>
                <w:spacing w:val="-3"/>
                <w:sz w:val="18"/>
              </w:rPr>
              <w:t> </w:t>
            </w:r>
            <w:r>
              <w:rPr>
                <w:b/>
                <w:sz w:val="18"/>
              </w:rPr>
              <w:t>tecnológica</w:t>
            </w:r>
            <w:r>
              <w:rPr>
                <w:b/>
                <w:spacing w:val="-3"/>
                <w:sz w:val="18"/>
              </w:rPr>
              <w:t> </w:t>
            </w:r>
            <w:r>
              <w:rPr>
                <w:b/>
                <w:sz w:val="18"/>
              </w:rPr>
              <w:t>implementados</w:t>
            </w:r>
            <w:r>
              <w:rPr>
                <w:b/>
                <w:spacing w:val="-3"/>
                <w:sz w:val="18"/>
              </w:rPr>
              <w:t> </w:t>
            </w:r>
            <w:r>
              <w:rPr>
                <w:b/>
                <w:sz w:val="18"/>
              </w:rPr>
              <w:t>para</w:t>
            </w:r>
            <w:r>
              <w:rPr>
                <w:b/>
                <w:spacing w:val="-4"/>
                <w:sz w:val="18"/>
              </w:rPr>
              <w:t> </w:t>
            </w:r>
            <w:r>
              <w:rPr>
                <w:b/>
                <w:sz w:val="18"/>
              </w:rPr>
              <w:t>mejorar</w:t>
            </w:r>
            <w:r>
              <w:rPr>
                <w:b/>
                <w:spacing w:val="-3"/>
                <w:sz w:val="18"/>
              </w:rPr>
              <w:t> </w:t>
            </w:r>
            <w:r>
              <w:rPr>
                <w:b/>
                <w:sz w:val="18"/>
              </w:rPr>
              <w:t>y</w:t>
            </w:r>
            <w:r>
              <w:rPr>
                <w:b/>
                <w:spacing w:val="-3"/>
                <w:sz w:val="18"/>
              </w:rPr>
              <w:t> </w:t>
            </w:r>
            <w:r>
              <w:rPr>
                <w:b/>
                <w:sz w:val="18"/>
              </w:rPr>
              <w:t>modernizar</w:t>
            </w:r>
            <w:r>
              <w:rPr>
                <w:b/>
                <w:spacing w:val="-3"/>
                <w:sz w:val="18"/>
              </w:rPr>
              <w:t> </w:t>
            </w:r>
            <w:r>
              <w:rPr>
                <w:b/>
                <w:sz w:val="18"/>
              </w:rPr>
              <w:t>la</w:t>
            </w:r>
            <w:r>
              <w:rPr>
                <w:b/>
                <w:spacing w:val="-5"/>
                <w:sz w:val="18"/>
              </w:rPr>
              <w:t> </w:t>
            </w:r>
            <w:r>
              <w:rPr>
                <w:b/>
                <w:sz w:val="18"/>
              </w:rPr>
              <w:t>operación</w:t>
            </w:r>
            <w:r>
              <w:rPr>
                <w:b/>
                <w:spacing w:val="-4"/>
                <w:sz w:val="18"/>
              </w:rPr>
              <w:t> </w:t>
            </w:r>
            <w:r>
              <w:rPr>
                <w:b/>
                <w:sz w:val="18"/>
              </w:rPr>
              <w:t>del</w:t>
            </w:r>
            <w:r>
              <w:rPr>
                <w:b/>
                <w:spacing w:val="-3"/>
                <w:sz w:val="18"/>
              </w:rPr>
              <w:t> </w:t>
            </w:r>
            <w:r>
              <w:rPr>
                <w:b/>
                <w:sz w:val="18"/>
              </w:rPr>
              <w:t>negocio</w:t>
            </w:r>
            <w:r>
              <w:rPr>
                <w:b/>
                <w:spacing w:val="-3"/>
                <w:sz w:val="18"/>
              </w:rPr>
              <w:t> </w:t>
            </w:r>
            <w:r>
              <w:rPr>
                <w:b/>
                <w:sz w:val="18"/>
              </w:rPr>
              <w:t>(E5</w:t>
            </w:r>
            <w:r>
              <w:rPr>
                <w:b/>
                <w:spacing w:val="-3"/>
                <w:sz w:val="18"/>
              </w:rPr>
              <w:t> </w:t>
            </w:r>
            <w:r>
              <w:rPr>
                <w:b/>
                <w:sz w:val="18"/>
              </w:rPr>
              <w:t>AE3</w:t>
            </w:r>
            <w:r>
              <w:rPr>
                <w:b/>
                <w:spacing w:val="-3"/>
                <w:sz w:val="18"/>
              </w:rPr>
              <w:t> </w:t>
            </w:r>
            <w:r>
              <w:rPr>
                <w:b/>
                <w:spacing w:val="-5"/>
                <w:sz w:val="18"/>
              </w:rPr>
              <w:t>R2)</w:t>
            </w:r>
          </w:p>
        </w:tc>
      </w:tr>
      <w:tr>
        <w:trPr>
          <w:trHeight w:val="2484" w:hRule="atLeast"/>
        </w:trPr>
        <w:tc>
          <w:tcPr>
            <w:tcW w:w="1563" w:type="dxa"/>
          </w:tcPr>
          <w:p>
            <w:pPr>
              <w:pStyle w:val="TableParagraph"/>
              <w:spacing w:before="1"/>
              <w:rPr>
                <w:b/>
                <w:sz w:val="18"/>
              </w:rPr>
            </w:pPr>
          </w:p>
          <w:p>
            <w:pPr>
              <w:pStyle w:val="TableParagraph"/>
              <w:ind w:left="69" w:right="246"/>
              <w:rPr>
                <w:b/>
                <w:sz w:val="18"/>
              </w:rPr>
            </w:pPr>
            <w:r>
              <w:rPr>
                <w:b/>
                <w:sz w:val="18"/>
              </w:rPr>
              <w:t>Actividad</w:t>
            </w:r>
            <w:r>
              <w:rPr>
                <w:b/>
                <w:spacing w:val="-13"/>
                <w:sz w:val="18"/>
              </w:rPr>
              <w:t> </w:t>
            </w:r>
            <w:r>
              <w:rPr>
                <w:b/>
                <w:sz w:val="18"/>
              </w:rPr>
              <w:t>PEC </w:t>
            </w:r>
            <w:r>
              <w:rPr>
                <w:b/>
                <w:spacing w:val="-2"/>
                <w:sz w:val="18"/>
              </w:rPr>
              <w:t>3.3.1:</w:t>
            </w:r>
          </w:p>
          <w:p>
            <w:pPr>
              <w:pStyle w:val="TableParagraph"/>
              <w:ind w:left="69" w:right="63"/>
              <w:rPr>
                <w:sz w:val="18"/>
              </w:rPr>
            </w:pPr>
            <w:r>
              <w:rPr>
                <w:sz w:val="18"/>
              </w:rPr>
              <w:t>Equipar a las tiendas de </w:t>
            </w:r>
            <w:r>
              <w:rPr>
                <w:spacing w:val="-2"/>
                <w:sz w:val="18"/>
              </w:rPr>
              <w:t>impresoras térmicas </w:t>
            </w:r>
            <w:r>
              <w:rPr>
                <w:sz w:val="18"/>
              </w:rPr>
              <w:t>requeridas para</w:t>
            </w:r>
            <w:r>
              <w:rPr>
                <w:spacing w:val="40"/>
                <w:sz w:val="18"/>
              </w:rPr>
              <w:t> </w:t>
            </w:r>
            <w:r>
              <w:rPr>
                <w:sz w:val="18"/>
              </w:rPr>
              <w:t>el</w:t>
            </w:r>
            <w:r>
              <w:rPr>
                <w:spacing w:val="-13"/>
                <w:sz w:val="18"/>
              </w:rPr>
              <w:t> </w:t>
            </w:r>
            <w:r>
              <w:rPr>
                <w:sz w:val="18"/>
              </w:rPr>
              <w:t>desarrollo</w:t>
            </w:r>
            <w:r>
              <w:rPr>
                <w:spacing w:val="-12"/>
                <w:sz w:val="18"/>
              </w:rPr>
              <w:t> </w:t>
            </w:r>
            <w:r>
              <w:rPr>
                <w:sz w:val="18"/>
              </w:rPr>
              <w:t>de</w:t>
            </w:r>
            <w:r>
              <w:rPr>
                <w:spacing w:val="-13"/>
                <w:sz w:val="18"/>
              </w:rPr>
              <w:t> </w:t>
            </w:r>
            <w:r>
              <w:rPr>
                <w:sz w:val="18"/>
              </w:rPr>
              <w:t>la gestión</w:t>
            </w:r>
            <w:r>
              <w:rPr>
                <w:spacing w:val="-15"/>
                <w:sz w:val="18"/>
              </w:rPr>
              <w:t> </w:t>
            </w:r>
            <w:r>
              <w:rPr>
                <w:sz w:val="18"/>
              </w:rPr>
              <w:t>de</w:t>
            </w:r>
            <w:r>
              <w:rPr>
                <w:spacing w:val="-12"/>
                <w:sz w:val="18"/>
              </w:rPr>
              <w:t> </w:t>
            </w:r>
            <w:r>
              <w:rPr>
                <w:sz w:val="18"/>
              </w:rPr>
              <w:t>ventas </w:t>
            </w:r>
            <w:r>
              <w:rPr>
                <w:spacing w:val="-2"/>
                <w:sz w:val="18"/>
              </w:rPr>
              <w:t>(5.01.05)</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69" w:right="218"/>
              <w:rPr>
                <w:sz w:val="18"/>
              </w:rPr>
            </w:pPr>
            <w:r>
              <w:rPr>
                <w:sz w:val="18"/>
              </w:rPr>
              <w:t>Cantidad</w:t>
            </w:r>
            <w:r>
              <w:rPr>
                <w:spacing w:val="-13"/>
                <w:sz w:val="18"/>
              </w:rPr>
              <w:t> </w:t>
            </w:r>
            <w:r>
              <w:rPr>
                <w:sz w:val="18"/>
              </w:rPr>
              <w:t>de </w:t>
            </w:r>
            <w:r>
              <w:rPr>
                <w:spacing w:val="-2"/>
                <w:sz w:val="18"/>
              </w:rPr>
              <w:t>impresoras instaladas</w:t>
            </w:r>
          </w:p>
        </w:tc>
        <w:tc>
          <w:tcPr>
            <w:tcW w:w="1561" w:type="dxa"/>
          </w:tcPr>
          <w:p>
            <w:pPr>
              <w:pStyle w:val="TableParagraph"/>
              <w:rPr>
                <w:rFonts w:ascii="Times New Roman"/>
                <w:sz w:val="18"/>
              </w:rPr>
            </w:pPr>
          </w:p>
        </w:tc>
        <w:tc>
          <w:tcPr>
            <w:tcW w:w="1562" w:type="dxa"/>
          </w:tcPr>
          <w:p>
            <w:pPr>
              <w:pStyle w:val="TableParagraph"/>
              <w:rPr>
                <w:rFonts w:ascii="Times New Roman"/>
                <w:sz w:val="18"/>
              </w:rPr>
            </w:pPr>
          </w:p>
        </w:tc>
        <w:tc>
          <w:tcPr>
            <w:tcW w:w="1417" w:type="dxa"/>
          </w:tcPr>
          <w:p>
            <w:pPr>
              <w:pStyle w:val="TableParagraph"/>
              <w:rPr>
                <w:rFonts w:ascii="Times New Roman"/>
                <w:sz w:val="18"/>
              </w:rPr>
            </w:pPr>
          </w:p>
        </w:tc>
        <w:tc>
          <w:tcPr>
            <w:tcW w:w="1561" w:type="dxa"/>
          </w:tcPr>
          <w:p>
            <w:pPr>
              <w:pStyle w:val="TableParagraph"/>
              <w:rPr>
                <w:rFonts w:ascii="Times New Roman"/>
                <w:sz w:val="18"/>
              </w:rPr>
            </w:pPr>
          </w:p>
        </w:tc>
        <w:tc>
          <w:tcPr>
            <w:tcW w:w="1558" w:type="dxa"/>
          </w:tcPr>
          <w:p>
            <w:pPr>
              <w:pStyle w:val="TableParagraph"/>
              <w:rPr>
                <w:rFonts w:ascii="Times New Roman"/>
                <w:sz w:val="18"/>
              </w:rPr>
            </w:pPr>
          </w:p>
        </w:tc>
        <w:tc>
          <w:tcPr>
            <w:tcW w:w="1561" w:type="dxa"/>
          </w:tcPr>
          <w:p>
            <w:pPr>
              <w:pStyle w:val="TableParagraph"/>
              <w:rPr>
                <w:rFonts w:ascii="Times New Roman"/>
                <w:sz w:val="18"/>
              </w:rPr>
            </w:pP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8" w:right="13"/>
              <w:jc w:val="center"/>
              <w:rPr>
                <w:b/>
                <w:sz w:val="18"/>
              </w:rPr>
            </w:pPr>
            <w:r>
              <w:rPr>
                <w:b/>
                <w:spacing w:val="-10"/>
                <w:sz w:val="18"/>
              </w:rPr>
              <w:t>4</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406"/>
              <w:rPr>
                <w:sz w:val="18"/>
              </w:rPr>
            </w:pPr>
            <w:r>
              <w:rPr>
                <w:sz w:val="18"/>
              </w:rPr>
              <w:t>₡5 000</w:t>
            </w:r>
            <w:r>
              <w:rPr>
                <w:spacing w:val="-2"/>
                <w:sz w:val="18"/>
              </w:rPr>
              <w:t> </w:t>
            </w:r>
            <w:r>
              <w:rPr>
                <w:spacing w:val="-5"/>
                <w:sz w:val="18"/>
              </w:rPr>
              <w:t>000</w:t>
            </w:r>
          </w:p>
        </w:tc>
      </w:tr>
      <w:tr>
        <w:trPr>
          <w:trHeight w:val="602" w:hRule="atLeast"/>
        </w:trPr>
        <w:tc>
          <w:tcPr>
            <w:tcW w:w="14895" w:type="dxa"/>
            <w:gridSpan w:val="10"/>
            <w:shd w:val="clear" w:color="auto" w:fill="C5D9F0"/>
          </w:tcPr>
          <w:p>
            <w:pPr>
              <w:pStyle w:val="TableParagraph"/>
              <w:spacing w:before="198"/>
              <w:ind w:left="69"/>
              <w:rPr>
                <w:b/>
                <w:sz w:val="18"/>
              </w:rPr>
            </w:pPr>
            <w:r>
              <w:rPr>
                <w:b/>
                <w:sz w:val="18"/>
              </w:rPr>
              <w:t>Producto</w:t>
            </w:r>
            <w:r>
              <w:rPr>
                <w:b/>
                <w:spacing w:val="-3"/>
                <w:sz w:val="18"/>
              </w:rPr>
              <w:t> </w:t>
            </w:r>
            <w:r>
              <w:rPr>
                <w:b/>
                <w:sz w:val="18"/>
              </w:rPr>
              <w:t>PEC</w:t>
            </w:r>
            <w:r>
              <w:rPr>
                <w:b/>
                <w:spacing w:val="-3"/>
                <w:sz w:val="18"/>
              </w:rPr>
              <w:t> </w:t>
            </w:r>
            <w:r>
              <w:rPr>
                <w:b/>
                <w:sz w:val="18"/>
              </w:rPr>
              <w:t>3.4:</w:t>
            </w:r>
            <w:r>
              <w:rPr>
                <w:b/>
                <w:spacing w:val="-2"/>
                <w:sz w:val="18"/>
              </w:rPr>
              <w:t> </w:t>
            </w:r>
            <w:r>
              <w:rPr>
                <w:b/>
                <w:sz w:val="18"/>
              </w:rPr>
              <w:t>Ejecución</w:t>
            </w:r>
            <w:r>
              <w:rPr>
                <w:b/>
                <w:spacing w:val="-3"/>
                <w:sz w:val="18"/>
              </w:rPr>
              <w:t> </w:t>
            </w:r>
            <w:r>
              <w:rPr>
                <w:b/>
                <w:sz w:val="18"/>
              </w:rPr>
              <w:t>de</w:t>
            </w:r>
            <w:r>
              <w:rPr>
                <w:b/>
                <w:spacing w:val="-3"/>
                <w:sz w:val="18"/>
              </w:rPr>
              <w:t> </w:t>
            </w:r>
            <w:r>
              <w:rPr>
                <w:b/>
                <w:sz w:val="18"/>
              </w:rPr>
              <w:t>acciones logísticas,</w:t>
            </w:r>
            <w:r>
              <w:rPr>
                <w:b/>
                <w:spacing w:val="-5"/>
                <w:sz w:val="18"/>
              </w:rPr>
              <w:t> </w:t>
            </w:r>
            <w:r>
              <w:rPr>
                <w:b/>
                <w:sz w:val="18"/>
              </w:rPr>
              <w:t>mercadeo</w:t>
            </w:r>
            <w:r>
              <w:rPr>
                <w:b/>
                <w:spacing w:val="-1"/>
                <w:sz w:val="18"/>
              </w:rPr>
              <w:t> </w:t>
            </w:r>
            <w:r>
              <w:rPr>
                <w:b/>
                <w:sz w:val="18"/>
              </w:rPr>
              <w:t>y</w:t>
            </w:r>
            <w:r>
              <w:rPr>
                <w:b/>
                <w:spacing w:val="-5"/>
                <w:sz w:val="18"/>
              </w:rPr>
              <w:t> </w:t>
            </w:r>
            <w:r>
              <w:rPr>
                <w:b/>
                <w:sz w:val="18"/>
              </w:rPr>
              <w:t>administrativas</w:t>
            </w:r>
            <w:r>
              <w:rPr>
                <w:b/>
                <w:spacing w:val="-4"/>
                <w:sz w:val="18"/>
              </w:rPr>
              <w:t> </w:t>
            </w:r>
            <w:r>
              <w:rPr>
                <w:b/>
                <w:sz w:val="18"/>
              </w:rPr>
              <w:t>que</w:t>
            </w:r>
            <w:r>
              <w:rPr>
                <w:b/>
                <w:spacing w:val="-2"/>
                <w:sz w:val="18"/>
              </w:rPr>
              <w:t> </w:t>
            </w:r>
            <w:r>
              <w:rPr>
                <w:b/>
                <w:sz w:val="18"/>
              </w:rPr>
              <w:t>contribuyan</w:t>
            </w:r>
            <w:r>
              <w:rPr>
                <w:b/>
                <w:spacing w:val="-5"/>
                <w:sz w:val="18"/>
              </w:rPr>
              <w:t> </w:t>
            </w:r>
            <w:r>
              <w:rPr>
                <w:b/>
                <w:sz w:val="18"/>
              </w:rPr>
              <w:t>a</w:t>
            </w:r>
            <w:r>
              <w:rPr>
                <w:b/>
                <w:spacing w:val="-2"/>
                <w:sz w:val="18"/>
              </w:rPr>
              <w:t> </w:t>
            </w:r>
            <w:r>
              <w:rPr>
                <w:b/>
                <w:sz w:val="18"/>
              </w:rPr>
              <w:t>potenciar</w:t>
            </w:r>
            <w:r>
              <w:rPr>
                <w:b/>
                <w:spacing w:val="-6"/>
                <w:sz w:val="18"/>
              </w:rPr>
              <w:t> </w:t>
            </w:r>
            <w:r>
              <w:rPr>
                <w:b/>
                <w:sz w:val="18"/>
              </w:rPr>
              <w:t>las</w:t>
            </w:r>
            <w:r>
              <w:rPr>
                <w:b/>
                <w:spacing w:val="-2"/>
                <w:sz w:val="18"/>
              </w:rPr>
              <w:t> </w:t>
            </w:r>
            <w:r>
              <w:rPr>
                <w:b/>
                <w:sz w:val="18"/>
              </w:rPr>
              <w:t>utilidades</w:t>
            </w:r>
            <w:r>
              <w:rPr>
                <w:b/>
                <w:spacing w:val="-5"/>
                <w:sz w:val="18"/>
              </w:rPr>
              <w:t> </w:t>
            </w:r>
            <w:r>
              <w:rPr>
                <w:b/>
                <w:sz w:val="18"/>
              </w:rPr>
              <w:t>del</w:t>
            </w:r>
            <w:r>
              <w:rPr>
                <w:b/>
                <w:spacing w:val="-2"/>
                <w:sz w:val="18"/>
              </w:rPr>
              <w:t> negocio</w:t>
            </w:r>
          </w:p>
        </w:tc>
      </w:tr>
    </w:tbl>
    <w:p>
      <w:pPr>
        <w:pStyle w:val="TableParagraph"/>
        <w:spacing w:after="0"/>
        <w:rPr>
          <w:b/>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5"/>
        <w:gridCol w:w="1561"/>
        <w:gridCol w:w="1562"/>
        <w:gridCol w:w="1417"/>
        <w:gridCol w:w="1561"/>
        <w:gridCol w:w="1558"/>
        <w:gridCol w:w="1561"/>
        <w:gridCol w:w="1421"/>
        <w:gridCol w:w="1416"/>
      </w:tblGrid>
      <w:tr>
        <w:trPr>
          <w:trHeight w:val="299" w:hRule="atLeast"/>
        </w:trPr>
        <w:tc>
          <w:tcPr>
            <w:tcW w:w="1563" w:type="dxa"/>
            <w:vMerge w:val="restart"/>
            <w:shd w:val="clear" w:color="auto" w:fill="F1F1F1"/>
          </w:tcPr>
          <w:p>
            <w:pPr>
              <w:pStyle w:val="TableParagraph"/>
              <w:spacing w:before="48"/>
              <w:rPr>
                <w:b/>
                <w:sz w:val="18"/>
              </w:rPr>
            </w:pPr>
          </w:p>
          <w:p>
            <w:pPr>
              <w:pStyle w:val="TableParagraph"/>
              <w:ind w:left="295" w:firstLine="24"/>
              <w:rPr>
                <w:b/>
                <w:sz w:val="18"/>
              </w:rPr>
            </w:pPr>
            <w:r>
              <w:rPr>
                <w:b/>
                <w:sz w:val="18"/>
              </w:rPr>
              <w:t>Objetivos</w:t>
            </w:r>
            <w:r>
              <w:rPr>
                <w:b/>
                <w:spacing w:val="-12"/>
                <w:sz w:val="18"/>
              </w:rPr>
              <w:t> </w:t>
            </w:r>
            <w:r>
              <w:rPr>
                <w:b/>
                <w:sz w:val="18"/>
              </w:rPr>
              <w:t>/ </w:t>
            </w:r>
            <w:r>
              <w:rPr>
                <w:b/>
                <w:spacing w:val="-2"/>
                <w:sz w:val="18"/>
              </w:rPr>
              <w:t>Resultados</w:t>
            </w:r>
          </w:p>
        </w:tc>
        <w:tc>
          <w:tcPr>
            <w:tcW w:w="1275" w:type="dxa"/>
            <w:vMerge w:val="restart"/>
            <w:shd w:val="clear" w:color="auto" w:fill="F1F1F1"/>
          </w:tcPr>
          <w:p>
            <w:pPr>
              <w:pStyle w:val="TableParagraph"/>
              <w:spacing w:before="151"/>
              <w:rPr>
                <w:b/>
                <w:sz w:val="18"/>
              </w:rPr>
            </w:pPr>
          </w:p>
          <w:p>
            <w:pPr>
              <w:pStyle w:val="TableParagraph"/>
              <w:spacing w:before="1"/>
              <w:ind w:left="230"/>
              <w:rPr>
                <w:b/>
                <w:sz w:val="18"/>
              </w:rPr>
            </w:pPr>
            <w:r>
              <w:rPr>
                <w:b/>
                <w:spacing w:val="-2"/>
                <w:sz w:val="18"/>
              </w:rPr>
              <w:t>Indicador</w:t>
            </w:r>
          </w:p>
        </w:tc>
        <w:tc>
          <w:tcPr>
            <w:tcW w:w="3123" w:type="dxa"/>
            <w:gridSpan w:val="2"/>
            <w:shd w:val="clear" w:color="auto" w:fill="F1F1F1"/>
          </w:tcPr>
          <w:p>
            <w:pPr>
              <w:pStyle w:val="TableParagraph"/>
              <w:spacing w:before="47"/>
              <w:ind w:left="6"/>
              <w:jc w:val="center"/>
              <w:rPr>
                <w:b/>
                <w:sz w:val="18"/>
              </w:rPr>
            </w:pPr>
            <w:r>
              <w:rPr>
                <w:b/>
                <w:sz w:val="18"/>
              </w:rPr>
              <w:t>I </w:t>
            </w:r>
            <w:r>
              <w:rPr>
                <w:b/>
                <w:spacing w:val="-2"/>
                <w:sz w:val="18"/>
              </w:rPr>
              <w:t>Trimestre</w:t>
            </w:r>
          </w:p>
        </w:tc>
        <w:tc>
          <w:tcPr>
            <w:tcW w:w="2978" w:type="dxa"/>
            <w:gridSpan w:val="2"/>
            <w:shd w:val="clear" w:color="auto" w:fill="F1F1F1"/>
          </w:tcPr>
          <w:p>
            <w:pPr>
              <w:pStyle w:val="TableParagraph"/>
              <w:spacing w:before="47"/>
              <w:ind w:left="2"/>
              <w:jc w:val="center"/>
              <w:rPr>
                <w:b/>
                <w:sz w:val="18"/>
              </w:rPr>
            </w:pPr>
            <w:r>
              <w:rPr>
                <w:b/>
                <w:sz w:val="18"/>
              </w:rPr>
              <w:t>II </w:t>
            </w:r>
            <w:r>
              <w:rPr>
                <w:b/>
                <w:spacing w:val="-2"/>
                <w:sz w:val="18"/>
              </w:rPr>
              <w:t>Trimestre</w:t>
            </w:r>
          </w:p>
        </w:tc>
        <w:tc>
          <w:tcPr>
            <w:tcW w:w="3119" w:type="dxa"/>
            <w:gridSpan w:val="2"/>
            <w:shd w:val="clear" w:color="auto" w:fill="F1F1F1"/>
          </w:tcPr>
          <w:p>
            <w:pPr>
              <w:pStyle w:val="TableParagraph"/>
              <w:spacing w:before="47"/>
              <w:ind w:right="3"/>
              <w:jc w:val="center"/>
              <w:rPr>
                <w:b/>
                <w:sz w:val="18"/>
              </w:rPr>
            </w:pPr>
            <w:r>
              <w:rPr>
                <w:b/>
                <w:sz w:val="18"/>
              </w:rPr>
              <w:t>III </w:t>
            </w:r>
            <w:r>
              <w:rPr>
                <w:b/>
                <w:spacing w:val="-2"/>
                <w:sz w:val="18"/>
              </w:rPr>
              <w:t>Trimestre</w:t>
            </w:r>
          </w:p>
        </w:tc>
        <w:tc>
          <w:tcPr>
            <w:tcW w:w="2837" w:type="dxa"/>
            <w:gridSpan w:val="2"/>
            <w:shd w:val="clear" w:color="auto" w:fill="F1F1F1"/>
          </w:tcPr>
          <w:p>
            <w:pPr>
              <w:pStyle w:val="TableParagraph"/>
              <w:spacing w:before="47"/>
              <w:ind w:left="891"/>
              <w:rPr>
                <w:b/>
                <w:sz w:val="18"/>
              </w:rPr>
            </w:pPr>
            <w:r>
              <w:rPr>
                <w:b/>
                <w:sz w:val="18"/>
              </w:rPr>
              <w:t>IV </w:t>
            </w:r>
            <w:r>
              <w:rPr>
                <w:b/>
                <w:spacing w:val="-2"/>
                <w:sz w:val="18"/>
              </w:rPr>
              <w:t>Trimestre</w:t>
            </w:r>
          </w:p>
        </w:tc>
      </w:tr>
      <w:tr>
        <w:trPr>
          <w:trHeight w:val="616" w:hRule="atLeast"/>
        </w:trPr>
        <w:tc>
          <w:tcPr>
            <w:tcW w:w="1563" w:type="dxa"/>
            <w:vMerge/>
            <w:tcBorders>
              <w:top w:val="nil"/>
            </w:tcBorders>
            <w:shd w:val="clear" w:color="auto" w:fill="F1F1F1"/>
          </w:tcPr>
          <w:p>
            <w:pPr>
              <w:rPr>
                <w:sz w:val="2"/>
                <w:szCs w:val="2"/>
              </w:rPr>
            </w:pPr>
          </w:p>
        </w:tc>
        <w:tc>
          <w:tcPr>
            <w:tcW w:w="1275" w:type="dxa"/>
            <w:vMerge/>
            <w:tcBorders>
              <w:top w:val="nil"/>
            </w:tcBorders>
            <w:shd w:val="clear" w:color="auto" w:fill="F1F1F1"/>
          </w:tcPr>
          <w:p>
            <w:pPr>
              <w:rPr>
                <w:sz w:val="2"/>
                <w:szCs w:val="2"/>
              </w:rPr>
            </w:pPr>
          </w:p>
        </w:tc>
        <w:tc>
          <w:tcPr>
            <w:tcW w:w="1561" w:type="dxa"/>
            <w:shd w:val="clear" w:color="auto" w:fill="F1F1F1"/>
          </w:tcPr>
          <w:p>
            <w:pPr>
              <w:pStyle w:val="TableParagraph"/>
              <w:spacing w:before="99"/>
              <w:ind w:left="258" w:firstLine="314"/>
              <w:rPr>
                <w:b/>
                <w:sz w:val="18"/>
              </w:rPr>
            </w:pPr>
            <w:r>
              <w:rPr>
                <w:b/>
                <w:spacing w:val="-4"/>
                <w:sz w:val="18"/>
              </w:rPr>
              <w:t>Meta </w:t>
            </w:r>
            <w:r>
              <w:rPr>
                <w:b/>
                <w:spacing w:val="-2"/>
                <w:sz w:val="18"/>
              </w:rPr>
              <w:t>programada</w:t>
            </w:r>
          </w:p>
        </w:tc>
        <w:tc>
          <w:tcPr>
            <w:tcW w:w="1562" w:type="dxa"/>
            <w:shd w:val="clear" w:color="auto" w:fill="F1F1F1"/>
          </w:tcPr>
          <w:p>
            <w:pPr>
              <w:pStyle w:val="TableParagraph"/>
              <w:spacing w:before="203"/>
              <w:ind w:left="11" w:right="7"/>
              <w:jc w:val="center"/>
              <w:rPr>
                <w:b/>
                <w:sz w:val="18"/>
              </w:rPr>
            </w:pPr>
            <w:r>
              <w:rPr>
                <w:b/>
                <w:spacing w:val="-10"/>
                <w:sz w:val="18"/>
              </w:rPr>
              <w:t>¢</w:t>
            </w:r>
          </w:p>
        </w:tc>
        <w:tc>
          <w:tcPr>
            <w:tcW w:w="1417" w:type="dxa"/>
            <w:shd w:val="clear" w:color="auto" w:fill="F1F1F1"/>
          </w:tcPr>
          <w:p>
            <w:pPr>
              <w:pStyle w:val="TableParagraph"/>
              <w:spacing w:before="99"/>
              <w:ind w:left="183" w:right="71"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203"/>
              <w:ind w:left="45" w:right="45"/>
              <w:jc w:val="center"/>
              <w:rPr>
                <w:b/>
                <w:sz w:val="18"/>
              </w:rPr>
            </w:pPr>
            <w:r>
              <w:rPr>
                <w:b/>
                <w:spacing w:val="-10"/>
                <w:sz w:val="18"/>
              </w:rPr>
              <w:t>¢</w:t>
            </w:r>
          </w:p>
        </w:tc>
        <w:tc>
          <w:tcPr>
            <w:tcW w:w="1558" w:type="dxa"/>
            <w:shd w:val="clear" w:color="auto" w:fill="F1F1F1"/>
          </w:tcPr>
          <w:p>
            <w:pPr>
              <w:pStyle w:val="TableParagraph"/>
              <w:spacing w:before="99"/>
              <w:ind w:left="251"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203"/>
              <w:ind w:left="45" w:right="45"/>
              <w:jc w:val="center"/>
              <w:rPr>
                <w:b/>
                <w:sz w:val="18"/>
              </w:rPr>
            </w:pPr>
            <w:r>
              <w:rPr>
                <w:b/>
                <w:spacing w:val="-10"/>
                <w:sz w:val="18"/>
              </w:rPr>
              <w:t>¢</w:t>
            </w:r>
          </w:p>
        </w:tc>
        <w:tc>
          <w:tcPr>
            <w:tcW w:w="1421" w:type="dxa"/>
            <w:shd w:val="clear" w:color="auto" w:fill="F1F1F1"/>
          </w:tcPr>
          <w:p>
            <w:pPr>
              <w:pStyle w:val="TableParagraph"/>
              <w:spacing w:before="99"/>
              <w:ind w:left="181" w:firstLine="314"/>
              <w:rPr>
                <w:b/>
                <w:sz w:val="18"/>
              </w:rPr>
            </w:pPr>
            <w:r>
              <w:rPr>
                <w:b/>
                <w:spacing w:val="-4"/>
                <w:sz w:val="18"/>
              </w:rPr>
              <w:t>Meta </w:t>
            </w:r>
            <w:r>
              <w:rPr>
                <w:b/>
                <w:spacing w:val="-2"/>
                <w:sz w:val="18"/>
              </w:rPr>
              <w:t>programada</w:t>
            </w:r>
          </w:p>
        </w:tc>
        <w:tc>
          <w:tcPr>
            <w:tcW w:w="1416" w:type="dxa"/>
            <w:shd w:val="clear" w:color="auto" w:fill="F1F1F1"/>
          </w:tcPr>
          <w:p>
            <w:pPr>
              <w:pStyle w:val="TableParagraph"/>
              <w:spacing w:before="203"/>
              <w:ind w:left="43" w:right="48"/>
              <w:jc w:val="center"/>
              <w:rPr>
                <w:b/>
                <w:sz w:val="18"/>
              </w:rPr>
            </w:pPr>
            <w:r>
              <w:rPr>
                <w:b/>
                <w:spacing w:val="-10"/>
                <w:sz w:val="18"/>
              </w:rPr>
              <w:t>¢</w:t>
            </w:r>
          </w:p>
        </w:tc>
      </w:tr>
      <w:tr>
        <w:trPr>
          <w:trHeight w:val="3441" w:hRule="atLeast"/>
        </w:trPr>
        <w:tc>
          <w:tcPr>
            <w:tcW w:w="1563" w:type="dxa"/>
          </w:tcPr>
          <w:p>
            <w:pPr>
              <w:pStyle w:val="TableParagraph"/>
              <w:spacing w:line="207" w:lineRule="exact" w:before="63"/>
              <w:ind w:left="69"/>
              <w:rPr>
                <w:b/>
                <w:sz w:val="18"/>
              </w:rPr>
            </w:pPr>
            <w:r>
              <w:rPr>
                <w:b/>
                <w:sz w:val="18"/>
              </w:rPr>
              <w:t>Actividad</w:t>
            </w:r>
            <w:r>
              <w:rPr>
                <w:b/>
                <w:spacing w:val="-2"/>
                <w:sz w:val="18"/>
              </w:rPr>
              <w:t> </w:t>
            </w:r>
            <w:r>
              <w:rPr>
                <w:b/>
                <w:spacing w:val="-5"/>
                <w:sz w:val="18"/>
              </w:rPr>
              <w:t>PEC</w:t>
            </w:r>
          </w:p>
          <w:p>
            <w:pPr>
              <w:pStyle w:val="TableParagraph"/>
              <w:ind w:left="69" w:right="79"/>
              <w:rPr>
                <w:sz w:val="18"/>
              </w:rPr>
            </w:pPr>
            <w:r>
              <w:rPr>
                <w:b/>
                <w:sz w:val="18"/>
              </w:rPr>
              <w:t>3.4.1</w:t>
            </w:r>
            <w:r>
              <w:rPr>
                <w:sz w:val="18"/>
              </w:rPr>
              <w:t>: Realizar publicaciones en medios,</w:t>
            </w:r>
            <w:r>
              <w:rPr>
                <w:spacing w:val="-13"/>
                <w:sz w:val="18"/>
              </w:rPr>
              <w:t> </w:t>
            </w:r>
            <w:r>
              <w:rPr>
                <w:sz w:val="18"/>
              </w:rPr>
              <w:t>con</w:t>
            </w:r>
            <w:r>
              <w:rPr>
                <w:spacing w:val="-11"/>
                <w:sz w:val="18"/>
              </w:rPr>
              <w:t> </w:t>
            </w:r>
            <w:r>
              <w:rPr>
                <w:sz w:val="18"/>
              </w:rPr>
              <w:t>el</w:t>
            </w:r>
            <w:r>
              <w:rPr>
                <w:spacing w:val="-13"/>
                <w:sz w:val="18"/>
              </w:rPr>
              <w:t> </w:t>
            </w:r>
            <w:r>
              <w:rPr>
                <w:sz w:val="18"/>
              </w:rPr>
              <w:t>fin de fortalecer el conocimiento del público meta, del fin social y del </w:t>
            </w:r>
            <w:r>
              <w:rPr>
                <w:spacing w:val="-2"/>
                <w:sz w:val="18"/>
              </w:rPr>
              <w:t>posicionamiento </w:t>
            </w:r>
            <w:r>
              <w:rPr>
                <w:sz w:val="18"/>
              </w:rPr>
              <w:t>de la marca IMAS-Duty Free-</w:t>
            </w:r>
            <w:r>
              <w:rPr>
                <w:spacing w:val="-2"/>
                <w:sz w:val="18"/>
              </w:rPr>
              <w:t>Social Programado</w:t>
            </w:r>
            <w:r>
              <w:rPr>
                <w:spacing w:val="40"/>
                <w:sz w:val="18"/>
              </w:rPr>
              <w:t> </w:t>
            </w:r>
            <w:r>
              <w:rPr>
                <w:sz w:val="18"/>
              </w:rPr>
              <w:t>tanto en el AIJS como</w:t>
            </w:r>
            <w:r>
              <w:rPr>
                <w:spacing w:val="-2"/>
                <w:sz w:val="18"/>
              </w:rPr>
              <w:t> </w:t>
            </w:r>
            <w:r>
              <w:rPr>
                <w:sz w:val="18"/>
              </w:rPr>
              <w:t>en</w:t>
            </w:r>
            <w:r>
              <w:rPr>
                <w:spacing w:val="-4"/>
                <w:sz w:val="18"/>
              </w:rPr>
              <w:t> </w:t>
            </w:r>
            <w:r>
              <w:rPr>
                <w:sz w:val="18"/>
              </w:rPr>
              <w:t>el</w:t>
            </w:r>
            <w:r>
              <w:rPr>
                <w:spacing w:val="-2"/>
                <w:sz w:val="18"/>
              </w:rPr>
              <w:t> </w:t>
            </w:r>
            <w:r>
              <w:rPr>
                <w:sz w:val="18"/>
              </w:rPr>
              <w:t>AIDO (Partida 1.03.02)</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3"/>
              <w:rPr>
                <w:b/>
                <w:sz w:val="18"/>
              </w:rPr>
            </w:pPr>
          </w:p>
          <w:p>
            <w:pPr>
              <w:pStyle w:val="TableParagraph"/>
              <w:ind w:left="69"/>
              <w:rPr>
                <w:sz w:val="18"/>
              </w:rPr>
            </w:pPr>
            <w:r>
              <w:rPr>
                <w:sz w:val="18"/>
              </w:rPr>
              <w:t>Cantidad de </w:t>
            </w:r>
            <w:r>
              <w:rPr>
                <w:spacing w:val="-2"/>
                <w:sz w:val="18"/>
              </w:rPr>
              <w:t>publicaciones realizadas, </w:t>
            </w:r>
            <w:r>
              <w:rPr>
                <w:sz w:val="18"/>
              </w:rPr>
              <w:t>según medio</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8"/>
              <w:rPr>
                <w:b/>
                <w:sz w:val="18"/>
              </w:rPr>
            </w:pPr>
          </w:p>
          <w:p>
            <w:pPr>
              <w:pStyle w:val="TableParagraph"/>
              <w:ind w:left="45" w:right="39"/>
              <w:jc w:val="center"/>
              <w:rPr>
                <w:sz w:val="18"/>
              </w:rPr>
            </w:pPr>
            <w:r>
              <w:rPr>
                <w:spacing w:val="-10"/>
                <w:sz w:val="18"/>
              </w:rPr>
              <w:t>1</w:t>
            </w:r>
          </w:p>
        </w:tc>
        <w:tc>
          <w:tcPr>
            <w:tcW w:w="156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8"/>
              <w:rPr>
                <w:b/>
                <w:sz w:val="18"/>
              </w:rPr>
            </w:pPr>
          </w:p>
          <w:p>
            <w:pPr>
              <w:pStyle w:val="TableParagraph"/>
              <w:ind w:right="60"/>
              <w:jc w:val="right"/>
              <w:rPr>
                <w:sz w:val="18"/>
              </w:rPr>
            </w:pPr>
            <w:r>
              <w:rPr>
                <w:sz w:val="18"/>
              </w:rPr>
              <w:t>₡4 500</w:t>
            </w:r>
            <w:r>
              <w:rPr>
                <w:spacing w:val="-2"/>
                <w:sz w:val="18"/>
              </w:rPr>
              <w:t> </w:t>
            </w:r>
            <w:r>
              <w:rPr>
                <w:spacing w:val="-5"/>
                <w:sz w:val="18"/>
              </w:rPr>
              <w:t>000</w:t>
            </w: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8"/>
              <w:rPr>
                <w:b/>
                <w:sz w:val="18"/>
              </w:rPr>
            </w:pPr>
          </w:p>
          <w:p>
            <w:pPr>
              <w:pStyle w:val="TableParagraph"/>
              <w:ind w:left="8" w:right="7"/>
              <w:jc w:val="center"/>
              <w:rPr>
                <w:sz w:val="18"/>
              </w:rPr>
            </w:pPr>
            <w:r>
              <w:rPr>
                <w:spacing w:val="-10"/>
                <w:sz w:val="18"/>
              </w:rPr>
              <w:t>1</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8"/>
              <w:rPr>
                <w:b/>
                <w:sz w:val="18"/>
              </w:rPr>
            </w:pPr>
          </w:p>
          <w:p>
            <w:pPr>
              <w:pStyle w:val="TableParagraph"/>
              <w:ind w:right="61"/>
              <w:jc w:val="right"/>
              <w:rPr>
                <w:sz w:val="18"/>
              </w:rPr>
            </w:pPr>
            <w:r>
              <w:rPr>
                <w:sz w:val="18"/>
              </w:rPr>
              <w:t>₡3</w:t>
            </w:r>
            <w:r>
              <w:rPr>
                <w:spacing w:val="1"/>
                <w:sz w:val="18"/>
              </w:rPr>
              <w:t> </w:t>
            </w:r>
            <w:r>
              <w:rPr>
                <w:sz w:val="18"/>
              </w:rPr>
              <w:t>500</w:t>
            </w:r>
            <w:r>
              <w:rPr>
                <w:spacing w:val="-2"/>
                <w:sz w:val="18"/>
              </w:rPr>
              <w:t> </w:t>
            </w:r>
            <w:r>
              <w:rPr>
                <w:spacing w:val="-5"/>
                <w:sz w:val="18"/>
              </w:rPr>
              <w:t>000</w:t>
            </w: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8"/>
              <w:rPr>
                <w:b/>
                <w:sz w:val="18"/>
              </w:rPr>
            </w:pPr>
          </w:p>
          <w:p>
            <w:pPr>
              <w:pStyle w:val="TableParagraph"/>
              <w:ind w:left="34" w:right="35"/>
              <w:jc w:val="center"/>
              <w:rPr>
                <w:sz w:val="18"/>
              </w:rPr>
            </w:pPr>
            <w:r>
              <w:rPr>
                <w:spacing w:val="-10"/>
                <w:sz w:val="18"/>
              </w:rPr>
              <w:t>1</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8"/>
              <w:rPr>
                <w:b/>
                <w:sz w:val="18"/>
              </w:rPr>
            </w:pPr>
          </w:p>
          <w:p>
            <w:pPr>
              <w:pStyle w:val="TableParagraph"/>
              <w:ind w:right="63"/>
              <w:jc w:val="right"/>
              <w:rPr>
                <w:sz w:val="18"/>
              </w:rPr>
            </w:pPr>
            <w:r>
              <w:rPr>
                <w:sz w:val="18"/>
              </w:rPr>
              <w:t>₡2 500</w:t>
            </w:r>
            <w:r>
              <w:rPr>
                <w:spacing w:val="-2"/>
                <w:sz w:val="18"/>
              </w:rPr>
              <w:t> </w:t>
            </w:r>
            <w:r>
              <w:rPr>
                <w:spacing w:val="-5"/>
                <w:sz w:val="18"/>
              </w:rPr>
              <w:t>000</w:t>
            </w: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8"/>
              <w:rPr>
                <w:b/>
                <w:sz w:val="18"/>
              </w:rPr>
            </w:pPr>
          </w:p>
          <w:p>
            <w:pPr>
              <w:pStyle w:val="TableParagraph"/>
              <w:ind w:left="8" w:right="13"/>
              <w:jc w:val="center"/>
              <w:rPr>
                <w:sz w:val="18"/>
              </w:rPr>
            </w:pPr>
            <w:r>
              <w:rPr>
                <w:spacing w:val="-10"/>
                <w:sz w:val="18"/>
              </w:rPr>
              <w:t>1</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8"/>
              <w:rPr>
                <w:b/>
                <w:sz w:val="18"/>
              </w:rPr>
            </w:pPr>
          </w:p>
          <w:p>
            <w:pPr>
              <w:pStyle w:val="TableParagraph"/>
              <w:ind w:right="65"/>
              <w:jc w:val="right"/>
              <w:rPr>
                <w:sz w:val="18"/>
              </w:rPr>
            </w:pPr>
            <w:r>
              <w:rPr>
                <w:sz w:val="18"/>
              </w:rPr>
              <w:t>₡4 500</w:t>
            </w:r>
            <w:r>
              <w:rPr>
                <w:spacing w:val="-2"/>
                <w:sz w:val="18"/>
              </w:rPr>
              <w:t> </w:t>
            </w:r>
            <w:r>
              <w:rPr>
                <w:spacing w:val="-5"/>
                <w:sz w:val="18"/>
              </w:rPr>
              <w:t>000</w:t>
            </w:r>
          </w:p>
        </w:tc>
      </w:tr>
      <w:tr>
        <w:trPr>
          <w:trHeight w:val="1862" w:hRule="atLeast"/>
        </w:trPr>
        <w:tc>
          <w:tcPr>
            <w:tcW w:w="1563" w:type="dxa"/>
          </w:tcPr>
          <w:p>
            <w:pPr>
              <w:pStyle w:val="TableParagraph"/>
              <w:spacing w:line="207" w:lineRule="exact" w:before="205"/>
              <w:ind w:left="69"/>
              <w:rPr>
                <w:b/>
                <w:sz w:val="18"/>
              </w:rPr>
            </w:pPr>
            <w:r>
              <w:rPr>
                <w:b/>
                <w:sz w:val="18"/>
              </w:rPr>
              <w:t>Actividad</w:t>
            </w:r>
            <w:r>
              <w:rPr>
                <w:b/>
                <w:spacing w:val="-2"/>
                <w:sz w:val="18"/>
              </w:rPr>
              <w:t> </w:t>
            </w:r>
            <w:r>
              <w:rPr>
                <w:b/>
                <w:spacing w:val="-5"/>
                <w:sz w:val="18"/>
              </w:rPr>
              <w:t>PEC</w:t>
            </w:r>
          </w:p>
          <w:p>
            <w:pPr>
              <w:pStyle w:val="TableParagraph"/>
              <w:ind w:left="69"/>
              <w:rPr>
                <w:sz w:val="18"/>
              </w:rPr>
            </w:pPr>
            <w:r>
              <w:rPr>
                <w:b/>
                <w:sz w:val="18"/>
              </w:rPr>
              <w:t>3.4.2: </w:t>
            </w:r>
            <w:r>
              <w:rPr>
                <w:sz w:val="18"/>
              </w:rPr>
              <w:t>Realizar compras de mercancía que contribuyan</w:t>
            </w:r>
            <w:r>
              <w:rPr>
                <w:spacing w:val="-15"/>
                <w:sz w:val="18"/>
              </w:rPr>
              <w:t> </w:t>
            </w:r>
            <w:r>
              <w:rPr>
                <w:sz w:val="18"/>
              </w:rPr>
              <w:t>a</w:t>
            </w:r>
            <w:r>
              <w:rPr>
                <w:spacing w:val="-12"/>
                <w:sz w:val="18"/>
              </w:rPr>
              <w:t> </w:t>
            </w:r>
            <w:r>
              <w:rPr>
                <w:sz w:val="18"/>
              </w:rPr>
              <w:t>la generación de ventas (Partida</w:t>
            </w:r>
          </w:p>
          <w:p>
            <w:pPr>
              <w:pStyle w:val="TableParagraph"/>
              <w:spacing w:line="187" w:lineRule="exact" w:before="1"/>
              <w:ind w:left="69"/>
              <w:rPr>
                <w:sz w:val="18"/>
              </w:rPr>
            </w:pPr>
            <w:r>
              <w:rPr>
                <w:spacing w:val="-2"/>
                <w:sz w:val="18"/>
              </w:rPr>
              <w:t>2.05.02)</w:t>
            </w:r>
          </w:p>
        </w:tc>
        <w:tc>
          <w:tcPr>
            <w:tcW w:w="1275" w:type="dxa"/>
          </w:tcPr>
          <w:p>
            <w:pPr>
              <w:pStyle w:val="TableParagraph"/>
              <w:rPr>
                <w:b/>
                <w:sz w:val="18"/>
              </w:rPr>
            </w:pPr>
          </w:p>
          <w:p>
            <w:pPr>
              <w:pStyle w:val="TableParagraph"/>
              <w:spacing w:before="101"/>
              <w:rPr>
                <w:b/>
                <w:sz w:val="18"/>
              </w:rPr>
            </w:pPr>
          </w:p>
          <w:p>
            <w:pPr>
              <w:pStyle w:val="TableParagraph"/>
              <w:ind w:left="69" w:right="138"/>
              <w:rPr>
                <w:sz w:val="18"/>
              </w:rPr>
            </w:pPr>
            <w:r>
              <w:rPr>
                <w:sz w:val="18"/>
              </w:rPr>
              <w:t>% de ejecución</w:t>
            </w:r>
            <w:r>
              <w:rPr>
                <w:spacing w:val="-13"/>
                <w:sz w:val="18"/>
              </w:rPr>
              <w:t> </w:t>
            </w:r>
            <w:r>
              <w:rPr>
                <w:sz w:val="18"/>
              </w:rPr>
              <w:t>del Plan de </w:t>
            </w:r>
            <w:r>
              <w:rPr>
                <w:spacing w:val="-2"/>
                <w:sz w:val="18"/>
              </w:rPr>
              <w:t>Compras</w:t>
            </w:r>
          </w:p>
        </w:tc>
        <w:tc>
          <w:tcPr>
            <w:tcW w:w="1561"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45" w:right="36"/>
              <w:jc w:val="center"/>
              <w:rPr>
                <w:sz w:val="18"/>
              </w:rPr>
            </w:pPr>
            <w:r>
              <w:rPr>
                <w:spacing w:val="-5"/>
                <w:sz w:val="18"/>
              </w:rPr>
              <w:t>25%</w:t>
            </w:r>
          </w:p>
        </w:tc>
        <w:tc>
          <w:tcPr>
            <w:tcW w:w="1562" w:type="dxa"/>
          </w:tcPr>
          <w:p>
            <w:pPr>
              <w:pStyle w:val="TableParagraph"/>
              <w:rPr>
                <w:b/>
                <w:sz w:val="18"/>
              </w:rPr>
            </w:pPr>
          </w:p>
          <w:p>
            <w:pPr>
              <w:pStyle w:val="TableParagraph"/>
              <w:rPr>
                <w:b/>
                <w:sz w:val="18"/>
              </w:rPr>
            </w:pPr>
          </w:p>
          <w:p>
            <w:pPr>
              <w:pStyle w:val="TableParagraph"/>
              <w:spacing w:before="112"/>
              <w:rPr>
                <w:b/>
                <w:sz w:val="18"/>
              </w:rPr>
            </w:pPr>
          </w:p>
          <w:p>
            <w:pPr>
              <w:pStyle w:val="TableParagraph"/>
              <w:spacing w:before="1"/>
              <w:ind w:right="58"/>
              <w:jc w:val="right"/>
              <w:rPr>
                <w:sz w:val="18"/>
              </w:rPr>
            </w:pPr>
            <w:r>
              <w:rPr>
                <w:sz w:val="18"/>
              </w:rPr>
              <w:t>₡3</w:t>
            </w:r>
            <w:r>
              <w:rPr>
                <w:spacing w:val="-1"/>
                <w:sz w:val="18"/>
              </w:rPr>
              <w:t> </w:t>
            </w:r>
            <w:r>
              <w:rPr>
                <w:sz w:val="18"/>
              </w:rPr>
              <w:t>153</w:t>
            </w:r>
            <w:r>
              <w:rPr>
                <w:spacing w:val="-2"/>
                <w:sz w:val="18"/>
              </w:rPr>
              <w:t> </w:t>
            </w:r>
            <w:r>
              <w:rPr>
                <w:sz w:val="18"/>
              </w:rPr>
              <w:t>439</w:t>
            </w:r>
            <w:r>
              <w:rPr>
                <w:spacing w:val="-1"/>
                <w:sz w:val="18"/>
              </w:rPr>
              <w:t> </w:t>
            </w:r>
            <w:r>
              <w:rPr>
                <w:spacing w:val="-5"/>
                <w:sz w:val="18"/>
              </w:rPr>
              <w:t>150</w:t>
            </w:r>
          </w:p>
        </w:tc>
        <w:tc>
          <w:tcPr>
            <w:tcW w:w="1417" w:type="dxa"/>
          </w:tcPr>
          <w:p>
            <w:pPr>
              <w:pStyle w:val="TableParagraph"/>
              <w:rPr>
                <w:b/>
                <w:sz w:val="16"/>
              </w:rPr>
            </w:pPr>
          </w:p>
          <w:p>
            <w:pPr>
              <w:pStyle w:val="TableParagraph"/>
              <w:rPr>
                <w:b/>
                <w:sz w:val="16"/>
              </w:rPr>
            </w:pPr>
          </w:p>
          <w:p>
            <w:pPr>
              <w:pStyle w:val="TableParagraph"/>
              <w:rPr>
                <w:b/>
                <w:sz w:val="16"/>
              </w:rPr>
            </w:pPr>
          </w:p>
          <w:p>
            <w:pPr>
              <w:pStyle w:val="TableParagraph"/>
              <w:spacing w:before="102"/>
              <w:rPr>
                <w:b/>
                <w:sz w:val="16"/>
              </w:rPr>
            </w:pPr>
          </w:p>
          <w:p>
            <w:pPr>
              <w:pStyle w:val="TableParagraph"/>
              <w:spacing w:before="1"/>
              <w:ind w:left="8" w:right="8"/>
              <w:jc w:val="center"/>
              <w:rPr>
                <w:sz w:val="16"/>
              </w:rPr>
            </w:pPr>
            <w:r>
              <w:rPr>
                <w:spacing w:val="-5"/>
                <w:sz w:val="16"/>
              </w:rPr>
              <w:t>23%</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spacing w:before="9"/>
              <w:rPr>
                <w:b/>
                <w:sz w:val="18"/>
              </w:rPr>
            </w:pPr>
          </w:p>
          <w:p>
            <w:pPr>
              <w:pStyle w:val="TableParagraph"/>
              <w:ind w:right="60"/>
              <w:jc w:val="right"/>
              <w:rPr>
                <w:sz w:val="18"/>
              </w:rPr>
            </w:pPr>
            <w:r>
              <w:rPr>
                <w:sz w:val="18"/>
              </w:rPr>
              <w:t>₡2</w:t>
            </w:r>
            <w:r>
              <w:rPr>
                <w:spacing w:val="-1"/>
                <w:sz w:val="18"/>
              </w:rPr>
              <w:t> </w:t>
            </w:r>
            <w:r>
              <w:rPr>
                <w:sz w:val="18"/>
              </w:rPr>
              <w:t>890</w:t>
            </w:r>
            <w:r>
              <w:rPr>
                <w:spacing w:val="-2"/>
                <w:sz w:val="18"/>
              </w:rPr>
              <w:t> </w:t>
            </w:r>
            <w:r>
              <w:rPr>
                <w:sz w:val="18"/>
              </w:rPr>
              <w:t>258 </w:t>
            </w:r>
            <w:r>
              <w:rPr>
                <w:spacing w:val="-5"/>
                <w:sz w:val="18"/>
              </w:rPr>
              <w:t>400</w:t>
            </w:r>
          </w:p>
        </w:tc>
        <w:tc>
          <w:tcPr>
            <w:tcW w:w="1558" w:type="dxa"/>
          </w:tcPr>
          <w:p>
            <w:pPr>
              <w:pStyle w:val="TableParagraph"/>
              <w:rPr>
                <w:b/>
                <w:sz w:val="16"/>
              </w:rPr>
            </w:pPr>
          </w:p>
          <w:p>
            <w:pPr>
              <w:pStyle w:val="TableParagraph"/>
              <w:rPr>
                <w:b/>
                <w:sz w:val="16"/>
              </w:rPr>
            </w:pPr>
          </w:p>
          <w:p>
            <w:pPr>
              <w:pStyle w:val="TableParagraph"/>
              <w:rPr>
                <w:b/>
                <w:sz w:val="16"/>
              </w:rPr>
            </w:pPr>
          </w:p>
          <w:p>
            <w:pPr>
              <w:pStyle w:val="TableParagraph"/>
              <w:spacing w:before="102"/>
              <w:rPr>
                <w:b/>
                <w:sz w:val="16"/>
              </w:rPr>
            </w:pPr>
          </w:p>
          <w:p>
            <w:pPr>
              <w:pStyle w:val="TableParagraph"/>
              <w:spacing w:before="1"/>
              <w:ind w:left="34" w:right="36"/>
              <w:jc w:val="center"/>
              <w:rPr>
                <w:sz w:val="16"/>
              </w:rPr>
            </w:pPr>
            <w:r>
              <w:rPr>
                <w:spacing w:val="-5"/>
                <w:sz w:val="16"/>
              </w:rPr>
              <w:t>23%</w:t>
            </w:r>
          </w:p>
        </w:tc>
        <w:tc>
          <w:tcPr>
            <w:tcW w:w="1561" w:type="dxa"/>
          </w:tcPr>
          <w:p>
            <w:pPr>
              <w:pStyle w:val="TableParagraph"/>
              <w:rPr>
                <w:b/>
                <w:sz w:val="18"/>
              </w:rPr>
            </w:pPr>
          </w:p>
          <w:p>
            <w:pPr>
              <w:pStyle w:val="TableParagraph"/>
              <w:rPr>
                <w:b/>
                <w:sz w:val="18"/>
              </w:rPr>
            </w:pPr>
          </w:p>
          <w:p>
            <w:pPr>
              <w:pStyle w:val="TableParagraph"/>
              <w:spacing w:before="206"/>
              <w:rPr>
                <w:b/>
                <w:sz w:val="18"/>
              </w:rPr>
            </w:pPr>
          </w:p>
          <w:p>
            <w:pPr>
              <w:pStyle w:val="TableParagraph"/>
              <w:ind w:right="62"/>
              <w:jc w:val="right"/>
              <w:rPr>
                <w:sz w:val="18"/>
              </w:rPr>
            </w:pPr>
            <w:r>
              <w:rPr>
                <w:sz w:val="18"/>
              </w:rPr>
              <w:t>₡2</w:t>
            </w:r>
            <w:r>
              <w:rPr>
                <w:spacing w:val="-1"/>
                <w:sz w:val="18"/>
              </w:rPr>
              <w:t> </w:t>
            </w:r>
            <w:r>
              <w:rPr>
                <w:sz w:val="18"/>
              </w:rPr>
              <w:t>964</w:t>
            </w:r>
            <w:r>
              <w:rPr>
                <w:spacing w:val="-2"/>
                <w:sz w:val="18"/>
              </w:rPr>
              <w:t> </w:t>
            </w:r>
            <w:r>
              <w:rPr>
                <w:sz w:val="18"/>
              </w:rPr>
              <w:t>467 </w:t>
            </w:r>
            <w:r>
              <w:rPr>
                <w:spacing w:val="-5"/>
                <w:sz w:val="18"/>
              </w:rPr>
              <w:t>700</w:t>
            </w:r>
          </w:p>
        </w:tc>
        <w:tc>
          <w:tcPr>
            <w:tcW w:w="1421" w:type="dxa"/>
          </w:tcPr>
          <w:p>
            <w:pPr>
              <w:pStyle w:val="TableParagraph"/>
              <w:rPr>
                <w:b/>
                <w:sz w:val="16"/>
              </w:rPr>
            </w:pPr>
          </w:p>
          <w:p>
            <w:pPr>
              <w:pStyle w:val="TableParagraph"/>
              <w:rPr>
                <w:b/>
                <w:sz w:val="16"/>
              </w:rPr>
            </w:pPr>
          </w:p>
          <w:p>
            <w:pPr>
              <w:pStyle w:val="TableParagraph"/>
              <w:rPr>
                <w:b/>
                <w:sz w:val="16"/>
              </w:rPr>
            </w:pPr>
          </w:p>
          <w:p>
            <w:pPr>
              <w:pStyle w:val="TableParagraph"/>
              <w:spacing w:before="102"/>
              <w:rPr>
                <w:b/>
                <w:sz w:val="16"/>
              </w:rPr>
            </w:pPr>
          </w:p>
          <w:p>
            <w:pPr>
              <w:pStyle w:val="TableParagraph"/>
              <w:spacing w:before="1"/>
              <w:ind w:left="8" w:right="9"/>
              <w:jc w:val="center"/>
              <w:rPr>
                <w:sz w:val="16"/>
              </w:rPr>
            </w:pPr>
            <w:r>
              <w:rPr>
                <w:spacing w:val="-5"/>
                <w:sz w:val="16"/>
              </w:rPr>
              <w:t>29%</w:t>
            </w:r>
          </w:p>
        </w:tc>
        <w:tc>
          <w:tcPr>
            <w:tcW w:w="1416" w:type="dxa"/>
          </w:tcPr>
          <w:p>
            <w:pPr>
              <w:pStyle w:val="TableParagraph"/>
              <w:rPr>
                <w:b/>
                <w:sz w:val="18"/>
              </w:rPr>
            </w:pPr>
          </w:p>
          <w:p>
            <w:pPr>
              <w:pStyle w:val="TableParagraph"/>
              <w:rPr>
                <w:b/>
                <w:sz w:val="18"/>
              </w:rPr>
            </w:pPr>
          </w:p>
          <w:p>
            <w:pPr>
              <w:pStyle w:val="TableParagraph"/>
              <w:spacing w:before="206"/>
              <w:rPr>
                <w:b/>
                <w:sz w:val="18"/>
              </w:rPr>
            </w:pPr>
          </w:p>
          <w:p>
            <w:pPr>
              <w:pStyle w:val="TableParagraph"/>
              <w:ind w:right="63"/>
              <w:jc w:val="right"/>
              <w:rPr>
                <w:sz w:val="18"/>
              </w:rPr>
            </w:pPr>
            <w:r>
              <w:rPr>
                <w:sz w:val="18"/>
              </w:rPr>
              <w:t>₡3</w:t>
            </w:r>
            <w:r>
              <w:rPr>
                <w:spacing w:val="-5"/>
                <w:sz w:val="18"/>
              </w:rPr>
              <w:t> </w:t>
            </w:r>
            <w:r>
              <w:rPr>
                <w:sz w:val="18"/>
              </w:rPr>
              <w:t>125</w:t>
            </w:r>
            <w:r>
              <w:rPr>
                <w:spacing w:val="-3"/>
                <w:sz w:val="18"/>
              </w:rPr>
              <w:t> </w:t>
            </w:r>
            <w:r>
              <w:rPr>
                <w:sz w:val="18"/>
              </w:rPr>
              <w:t>048 </w:t>
            </w:r>
            <w:r>
              <w:rPr>
                <w:spacing w:val="-5"/>
                <w:sz w:val="18"/>
              </w:rPr>
              <w:t>739</w:t>
            </w:r>
          </w:p>
        </w:tc>
      </w:tr>
      <w:tr>
        <w:trPr>
          <w:trHeight w:val="1996" w:hRule="atLeast"/>
        </w:trPr>
        <w:tc>
          <w:tcPr>
            <w:tcW w:w="1563" w:type="dxa"/>
          </w:tcPr>
          <w:p>
            <w:pPr>
              <w:pStyle w:val="TableParagraph"/>
              <w:spacing w:line="207" w:lineRule="exact" w:before="169"/>
              <w:ind w:left="69"/>
              <w:rPr>
                <w:b/>
                <w:sz w:val="18"/>
              </w:rPr>
            </w:pPr>
            <w:r>
              <w:rPr>
                <w:b/>
                <w:sz w:val="18"/>
              </w:rPr>
              <w:t>Actividad</w:t>
            </w:r>
            <w:r>
              <w:rPr>
                <w:b/>
                <w:spacing w:val="-2"/>
                <w:sz w:val="18"/>
              </w:rPr>
              <w:t> </w:t>
            </w:r>
            <w:r>
              <w:rPr>
                <w:b/>
                <w:spacing w:val="-5"/>
                <w:sz w:val="18"/>
              </w:rPr>
              <w:t>PEC</w:t>
            </w:r>
          </w:p>
          <w:p>
            <w:pPr>
              <w:pStyle w:val="TableParagraph"/>
              <w:ind w:left="69" w:right="176"/>
              <w:rPr>
                <w:sz w:val="18"/>
              </w:rPr>
            </w:pPr>
            <w:r>
              <w:rPr>
                <w:b/>
                <w:sz w:val="18"/>
              </w:rPr>
              <w:t>3.4.3: </w:t>
            </w:r>
            <w:r>
              <w:rPr>
                <w:sz w:val="18"/>
              </w:rPr>
              <w:t>Realizar compras de equipos que contribuyan</w:t>
            </w:r>
            <w:r>
              <w:rPr>
                <w:spacing w:val="-5"/>
                <w:sz w:val="18"/>
              </w:rPr>
              <w:t> </w:t>
            </w:r>
            <w:r>
              <w:rPr>
                <w:sz w:val="18"/>
              </w:rPr>
              <w:t>a</w:t>
            </w:r>
            <w:r>
              <w:rPr>
                <w:spacing w:val="-3"/>
                <w:sz w:val="18"/>
              </w:rPr>
              <w:t> </w:t>
            </w:r>
            <w:r>
              <w:rPr>
                <w:sz w:val="18"/>
              </w:rPr>
              <w:t>la generación de ventas</w:t>
            </w:r>
            <w:r>
              <w:rPr>
                <w:spacing w:val="-13"/>
                <w:sz w:val="18"/>
              </w:rPr>
              <w:t> </w:t>
            </w:r>
            <w:r>
              <w:rPr>
                <w:sz w:val="18"/>
              </w:rPr>
              <w:t>(Partidas </w:t>
            </w:r>
            <w:r>
              <w:rPr>
                <w:spacing w:val="-2"/>
                <w:sz w:val="18"/>
              </w:rPr>
              <w:t>5.01.05)</w:t>
            </w:r>
          </w:p>
        </w:tc>
        <w:tc>
          <w:tcPr>
            <w:tcW w:w="1275" w:type="dxa"/>
          </w:tcPr>
          <w:p>
            <w:pPr>
              <w:pStyle w:val="TableParagraph"/>
              <w:rPr>
                <w:b/>
                <w:sz w:val="18"/>
              </w:rPr>
            </w:pPr>
          </w:p>
          <w:p>
            <w:pPr>
              <w:pStyle w:val="TableParagraph"/>
              <w:spacing w:before="170"/>
              <w:rPr>
                <w:b/>
                <w:sz w:val="18"/>
              </w:rPr>
            </w:pPr>
          </w:p>
          <w:p>
            <w:pPr>
              <w:pStyle w:val="TableParagraph"/>
              <w:ind w:left="69" w:right="198"/>
              <w:rPr>
                <w:sz w:val="18"/>
              </w:rPr>
            </w:pPr>
            <w:r>
              <w:rPr>
                <w:sz w:val="18"/>
              </w:rPr>
              <w:t>% de </w:t>
            </w:r>
            <w:r>
              <w:rPr>
                <w:spacing w:val="-2"/>
                <w:sz w:val="18"/>
              </w:rPr>
              <w:t>compras efectuadas</w:t>
            </w:r>
          </w:p>
        </w:tc>
        <w:tc>
          <w:tcPr>
            <w:tcW w:w="1561" w:type="dxa"/>
          </w:tcPr>
          <w:p>
            <w:pPr>
              <w:pStyle w:val="TableParagraph"/>
              <w:rPr>
                <w:rFonts w:ascii="Times New Roman"/>
                <w:sz w:val="18"/>
              </w:rPr>
            </w:pPr>
          </w:p>
        </w:tc>
        <w:tc>
          <w:tcPr>
            <w:tcW w:w="1562" w:type="dxa"/>
          </w:tcPr>
          <w:p>
            <w:pPr>
              <w:pStyle w:val="TableParagraph"/>
              <w:rPr>
                <w:rFonts w:ascii="Times New Roman"/>
                <w:sz w:val="18"/>
              </w:rPr>
            </w:pPr>
          </w:p>
        </w:tc>
        <w:tc>
          <w:tcPr>
            <w:tcW w:w="1417" w:type="dxa"/>
          </w:tcPr>
          <w:p>
            <w:pPr>
              <w:pStyle w:val="TableParagraph"/>
              <w:rPr>
                <w:rFonts w:ascii="Times New Roman"/>
                <w:sz w:val="18"/>
              </w:rPr>
            </w:pPr>
          </w:p>
        </w:tc>
        <w:tc>
          <w:tcPr>
            <w:tcW w:w="1561" w:type="dxa"/>
          </w:tcPr>
          <w:p>
            <w:pPr>
              <w:pStyle w:val="TableParagraph"/>
              <w:rPr>
                <w:rFonts w:ascii="Times New Roman"/>
                <w:sz w:val="18"/>
              </w:rPr>
            </w:pP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spacing w:before="66"/>
              <w:rPr>
                <w:b/>
                <w:sz w:val="18"/>
              </w:rPr>
            </w:pPr>
          </w:p>
          <w:p>
            <w:pPr>
              <w:pStyle w:val="TableParagraph"/>
              <w:ind w:left="34" w:right="34"/>
              <w:jc w:val="center"/>
              <w:rPr>
                <w:sz w:val="18"/>
              </w:rPr>
            </w:pPr>
            <w:r>
              <w:rPr>
                <w:spacing w:val="-4"/>
                <w:sz w:val="18"/>
              </w:rPr>
              <w:t>100%</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spacing w:before="66"/>
              <w:rPr>
                <w:b/>
                <w:sz w:val="18"/>
              </w:rPr>
            </w:pPr>
          </w:p>
          <w:p>
            <w:pPr>
              <w:pStyle w:val="TableParagraph"/>
              <w:ind w:right="62"/>
              <w:jc w:val="right"/>
              <w:rPr>
                <w:sz w:val="18"/>
              </w:rPr>
            </w:pPr>
            <w:r>
              <w:rPr>
                <w:sz w:val="18"/>
              </w:rPr>
              <w:t>₡53</w:t>
            </w:r>
            <w:r>
              <w:rPr>
                <w:spacing w:val="-1"/>
                <w:sz w:val="18"/>
              </w:rPr>
              <w:t> </w:t>
            </w:r>
            <w:r>
              <w:rPr>
                <w:sz w:val="18"/>
              </w:rPr>
              <w:t>200</w:t>
            </w:r>
            <w:r>
              <w:rPr>
                <w:spacing w:val="-1"/>
                <w:sz w:val="18"/>
              </w:rPr>
              <w:t> </w:t>
            </w:r>
            <w:r>
              <w:rPr>
                <w:spacing w:val="-5"/>
                <w:sz w:val="18"/>
              </w:rPr>
              <w:t>000</w:t>
            </w:r>
          </w:p>
        </w:tc>
        <w:tc>
          <w:tcPr>
            <w:tcW w:w="1421" w:type="dxa"/>
          </w:tcPr>
          <w:p>
            <w:pPr>
              <w:pStyle w:val="TableParagraph"/>
              <w:rPr>
                <w:rFonts w:ascii="Times New Roman"/>
                <w:sz w:val="18"/>
              </w:rPr>
            </w:pPr>
          </w:p>
        </w:tc>
        <w:tc>
          <w:tcPr>
            <w:tcW w:w="1416"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5"/>
        <w:gridCol w:w="1561"/>
        <w:gridCol w:w="1562"/>
        <w:gridCol w:w="1417"/>
        <w:gridCol w:w="1561"/>
        <w:gridCol w:w="1558"/>
        <w:gridCol w:w="1561"/>
        <w:gridCol w:w="1421"/>
        <w:gridCol w:w="1416"/>
      </w:tblGrid>
      <w:tr>
        <w:trPr>
          <w:trHeight w:val="299" w:hRule="atLeast"/>
        </w:trPr>
        <w:tc>
          <w:tcPr>
            <w:tcW w:w="1563" w:type="dxa"/>
            <w:vMerge w:val="restart"/>
            <w:shd w:val="clear" w:color="auto" w:fill="F1F1F1"/>
          </w:tcPr>
          <w:p>
            <w:pPr>
              <w:pStyle w:val="TableParagraph"/>
              <w:spacing w:before="48"/>
              <w:rPr>
                <w:b/>
                <w:sz w:val="18"/>
              </w:rPr>
            </w:pPr>
          </w:p>
          <w:p>
            <w:pPr>
              <w:pStyle w:val="TableParagraph"/>
              <w:ind w:left="295" w:firstLine="24"/>
              <w:rPr>
                <w:b/>
                <w:sz w:val="18"/>
              </w:rPr>
            </w:pPr>
            <w:r>
              <w:rPr>
                <w:b/>
                <w:sz w:val="18"/>
              </w:rPr>
              <w:t>Objetivos</w:t>
            </w:r>
            <w:r>
              <w:rPr>
                <w:b/>
                <w:spacing w:val="-12"/>
                <w:sz w:val="18"/>
              </w:rPr>
              <w:t> </w:t>
            </w:r>
            <w:r>
              <w:rPr>
                <w:b/>
                <w:sz w:val="18"/>
              </w:rPr>
              <w:t>/ </w:t>
            </w:r>
            <w:r>
              <w:rPr>
                <w:b/>
                <w:spacing w:val="-2"/>
                <w:sz w:val="18"/>
              </w:rPr>
              <w:t>Resultados</w:t>
            </w:r>
          </w:p>
        </w:tc>
        <w:tc>
          <w:tcPr>
            <w:tcW w:w="1275" w:type="dxa"/>
            <w:vMerge w:val="restart"/>
            <w:shd w:val="clear" w:color="auto" w:fill="F1F1F1"/>
          </w:tcPr>
          <w:p>
            <w:pPr>
              <w:pStyle w:val="TableParagraph"/>
              <w:spacing w:before="151"/>
              <w:rPr>
                <w:b/>
                <w:sz w:val="18"/>
              </w:rPr>
            </w:pPr>
          </w:p>
          <w:p>
            <w:pPr>
              <w:pStyle w:val="TableParagraph"/>
              <w:spacing w:before="1"/>
              <w:ind w:left="230"/>
              <w:rPr>
                <w:b/>
                <w:sz w:val="18"/>
              </w:rPr>
            </w:pPr>
            <w:r>
              <w:rPr>
                <w:b/>
                <w:spacing w:val="-2"/>
                <w:sz w:val="18"/>
              </w:rPr>
              <w:t>Indicador</w:t>
            </w:r>
          </w:p>
        </w:tc>
        <w:tc>
          <w:tcPr>
            <w:tcW w:w="3123" w:type="dxa"/>
            <w:gridSpan w:val="2"/>
            <w:shd w:val="clear" w:color="auto" w:fill="F1F1F1"/>
          </w:tcPr>
          <w:p>
            <w:pPr>
              <w:pStyle w:val="TableParagraph"/>
              <w:spacing w:before="47"/>
              <w:ind w:left="6"/>
              <w:jc w:val="center"/>
              <w:rPr>
                <w:b/>
                <w:sz w:val="18"/>
              </w:rPr>
            </w:pPr>
            <w:r>
              <w:rPr>
                <w:b/>
                <w:sz w:val="18"/>
              </w:rPr>
              <w:t>I </w:t>
            </w:r>
            <w:r>
              <w:rPr>
                <w:b/>
                <w:spacing w:val="-2"/>
                <w:sz w:val="18"/>
              </w:rPr>
              <w:t>Trimestre</w:t>
            </w:r>
          </w:p>
        </w:tc>
        <w:tc>
          <w:tcPr>
            <w:tcW w:w="2978" w:type="dxa"/>
            <w:gridSpan w:val="2"/>
            <w:shd w:val="clear" w:color="auto" w:fill="F1F1F1"/>
          </w:tcPr>
          <w:p>
            <w:pPr>
              <w:pStyle w:val="TableParagraph"/>
              <w:spacing w:before="47"/>
              <w:ind w:left="2"/>
              <w:jc w:val="center"/>
              <w:rPr>
                <w:b/>
                <w:sz w:val="18"/>
              </w:rPr>
            </w:pPr>
            <w:r>
              <w:rPr>
                <w:b/>
                <w:sz w:val="18"/>
              </w:rPr>
              <w:t>II </w:t>
            </w:r>
            <w:r>
              <w:rPr>
                <w:b/>
                <w:spacing w:val="-2"/>
                <w:sz w:val="18"/>
              </w:rPr>
              <w:t>Trimestre</w:t>
            </w:r>
          </w:p>
        </w:tc>
        <w:tc>
          <w:tcPr>
            <w:tcW w:w="3119" w:type="dxa"/>
            <w:gridSpan w:val="2"/>
            <w:shd w:val="clear" w:color="auto" w:fill="F1F1F1"/>
          </w:tcPr>
          <w:p>
            <w:pPr>
              <w:pStyle w:val="TableParagraph"/>
              <w:spacing w:before="47"/>
              <w:ind w:right="3"/>
              <w:jc w:val="center"/>
              <w:rPr>
                <w:b/>
                <w:sz w:val="18"/>
              </w:rPr>
            </w:pPr>
            <w:r>
              <w:rPr>
                <w:b/>
                <w:sz w:val="18"/>
              </w:rPr>
              <w:t>III </w:t>
            </w:r>
            <w:r>
              <w:rPr>
                <w:b/>
                <w:spacing w:val="-2"/>
                <w:sz w:val="18"/>
              </w:rPr>
              <w:t>Trimestre</w:t>
            </w:r>
          </w:p>
        </w:tc>
        <w:tc>
          <w:tcPr>
            <w:tcW w:w="2837" w:type="dxa"/>
            <w:gridSpan w:val="2"/>
            <w:shd w:val="clear" w:color="auto" w:fill="F1F1F1"/>
          </w:tcPr>
          <w:p>
            <w:pPr>
              <w:pStyle w:val="TableParagraph"/>
              <w:spacing w:before="47"/>
              <w:ind w:left="891"/>
              <w:rPr>
                <w:b/>
                <w:sz w:val="18"/>
              </w:rPr>
            </w:pPr>
            <w:r>
              <w:rPr>
                <w:b/>
                <w:sz w:val="18"/>
              </w:rPr>
              <w:t>IV </w:t>
            </w:r>
            <w:r>
              <w:rPr>
                <w:b/>
                <w:spacing w:val="-2"/>
                <w:sz w:val="18"/>
              </w:rPr>
              <w:t>Trimestre</w:t>
            </w:r>
          </w:p>
        </w:tc>
      </w:tr>
      <w:tr>
        <w:trPr>
          <w:trHeight w:val="616" w:hRule="atLeast"/>
        </w:trPr>
        <w:tc>
          <w:tcPr>
            <w:tcW w:w="1563" w:type="dxa"/>
            <w:vMerge/>
            <w:tcBorders>
              <w:top w:val="nil"/>
            </w:tcBorders>
            <w:shd w:val="clear" w:color="auto" w:fill="F1F1F1"/>
          </w:tcPr>
          <w:p>
            <w:pPr>
              <w:rPr>
                <w:sz w:val="2"/>
                <w:szCs w:val="2"/>
              </w:rPr>
            </w:pPr>
          </w:p>
        </w:tc>
        <w:tc>
          <w:tcPr>
            <w:tcW w:w="1275" w:type="dxa"/>
            <w:vMerge/>
            <w:tcBorders>
              <w:top w:val="nil"/>
            </w:tcBorders>
            <w:shd w:val="clear" w:color="auto" w:fill="F1F1F1"/>
          </w:tcPr>
          <w:p>
            <w:pPr>
              <w:rPr>
                <w:sz w:val="2"/>
                <w:szCs w:val="2"/>
              </w:rPr>
            </w:pPr>
          </w:p>
        </w:tc>
        <w:tc>
          <w:tcPr>
            <w:tcW w:w="1561" w:type="dxa"/>
            <w:shd w:val="clear" w:color="auto" w:fill="F1F1F1"/>
          </w:tcPr>
          <w:p>
            <w:pPr>
              <w:pStyle w:val="TableParagraph"/>
              <w:spacing w:before="99"/>
              <w:ind w:left="258" w:firstLine="314"/>
              <w:rPr>
                <w:b/>
                <w:sz w:val="18"/>
              </w:rPr>
            </w:pPr>
            <w:r>
              <w:rPr>
                <w:b/>
                <w:spacing w:val="-4"/>
                <w:sz w:val="18"/>
              </w:rPr>
              <w:t>Meta </w:t>
            </w:r>
            <w:r>
              <w:rPr>
                <w:b/>
                <w:spacing w:val="-2"/>
                <w:sz w:val="18"/>
              </w:rPr>
              <w:t>programada</w:t>
            </w:r>
          </w:p>
        </w:tc>
        <w:tc>
          <w:tcPr>
            <w:tcW w:w="1562" w:type="dxa"/>
            <w:shd w:val="clear" w:color="auto" w:fill="F1F1F1"/>
          </w:tcPr>
          <w:p>
            <w:pPr>
              <w:pStyle w:val="TableParagraph"/>
              <w:spacing w:before="203"/>
              <w:ind w:left="11" w:right="7"/>
              <w:jc w:val="center"/>
              <w:rPr>
                <w:b/>
                <w:sz w:val="18"/>
              </w:rPr>
            </w:pPr>
            <w:r>
              <w:rPr>
                <w:b/>
                <w:spacing w:val="-10"/>
                <w:sz w:val="18"/>
              </w:rPr>
              <w:t>¢</w:t>
            </w:r>
          </w:p>
        </w:tc>
        <w:tc>
          <w:tcPr>
            <w:tcW w:w="1417" w:type="dxa"/>
            <w:shd w:val="clear" w:color="auto" w:fill="F1F1F1"/>
          </w:tcPr>
          <w:p>
            <w:pPr>
              <w:pStyle w:val="TableParagraph"/>
              <w:spacing w:before="99"/>
              <w:ind w:left="183" w:right="71"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203"/>
              <w:ind w:left="45" w:right="45"/>
              <w:jc w:val="center"/>
              <w:rPr>
                <w:b/>
                <w:sz w:val="18"/>
              </w:rPr>
            </w:pPr>
            <w:r>
              <w:rPr>
                <w:b/>
                <w:spacing w:val="-10"/>
                <w:sz w:val="18"/>
              </w:rPr>
              <w:t>¢</w:t>
            </w:r>
          </w:p>
        </w:tc>
        <w:tc>
          <w:tcPr>
            <w:tcW w:w="1558" w:type="dxa"/>
            <w:shd w:val="clear" w:color="auto" w:fill="F1F1F1"/>
          </w:tcPr>
          <w:p>
            <w:pPr>
              <w:pStyle w:val="TableParagraph"/>
              <w:spacing w:before="99"/>
              <w:ind w:left="251"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203"/>
              <w:ind w:left="45" w:right="45"/>
              <w:jc w:val="center"/>
              <w:rPr>
                <w:b/>
                <w:sz w:val="18"/>
              </w:rPr>
            </w:pPr>
            <w:r>
              <w:rPr>
                <w:b/>
                <w:spacing w:val="-10"/>
                <w:sz w:val="18"/>
              </w:rPr>
              <w:t>¢</w:t>
            </w:r>
          </w:p>
        </w:tc>
        <w:tc>
          <w:tcPr>
            <w:tcW w:w="1421" w:type="dxa"/>
            <w:shd w:val="clear" w:color="auto" w:fill="F1F1F1"/>
          </w:tcPr>
          <w:p>
            <w:pPr>
              <w:pStyle w:val="TableParagraph"/>
              <w:spacing w:before="99"/>
              <w:ind w:left="181" w:firstLine="314"/>
              <w:rPr>
                <w:b/>
                <w:sz w:val="18"/>
              </w:rPr>
            </w:pPr>
            <w:r>
              <w:rPr>
                <w:b/>
                <w:spacing w:val="-4"/>
                <w:sz w:val="18"/>
              </w:rPr>
              <w:t>Meta </w:t>
            </w:r>
            <w:r>
              <w:rPr>
                <w:b/>
                <w:spacing w:val="-2"/>
                <w:sz w:val="18"/>
              </w:rPr>
              <w:t>programada</w:t>
            </w:r>
          </w:p>
        </w:tc>
        <w:tc>
          <w:tcPr>
            <w:tcW w:w="1416" w:type="dxa"/>
            <w:shd w:val="clear" w:color="auto" w:fill="F1F1F1"/>
          </w:tcPr>
          <w:p>
            <w:pPr>
              <w:pStyle w:val="TableParagraph"/>
              <w:spacing w:before="203"/>
              <w:ind w:left="43" w:right="48"/>
              <w:jc w:val="center"/>
              <w:rPr>
                <w:b/>
                <w:sz w:val="18"/>
              </w:rPr>
            </w:pPr>
            <w:r>
              <w:rPr>
                <w:b/>
                <w:spacing w:val="-10"/>
                <w:sz w:val="18"/>
              </w:rPr>
              <w:t>¢</w:t>
            </w:r>
          </w:p>
        </w:tc>
      </w:tr>
      <w:tr>
        <w:trPr>
          <w:trHeight w:val="2260" w:hRule="atLeast"/>
        </w:trPr>
        <w:tc>
          <w:tcPr>
            <w:tcW w:w="1563" w:type="dxa"/>
          </w:tcPr>
          <w:p>
            <w:pPr>
              <w:pStyle w:val="TableParagraph"/>
              <w:spacing w:before="197"/>
              <w:rPr>
                <w:b/>
                <w:sz w:val="18"/>
              </w:rPr>
            </w:pPr>
          </w:p>
          <w:p>
            <w:pPr>
              <w:pStyle w:val="TableParagraph"/>
              <w:ind w:left="69" w:right="246"/>
              <w:rPr>
                <w:b/>
                <w:sz w:val="18"/>
              </w:rPr>
            </w:pPr>
            <w:r>
              <w:rPr>
                <w:b/>
                <w:sz w:val="18"/>
              </w:rPr>
              <w:t>Actividad</w:t>
            </w:r>
            <w:r>
              <w:rPr>
                <w:b/>
                <w:spacing w:val="-13"/>
                <w:sz w:val="18"/>
              </w:rPr>
              <w:t> </w:t>
            </w:r>
            <w:r>
              <w:rPr>
                <w:b/>
                <w:sz w:val="18"/>
              </w:rPr>
              <w:t>PEC </w:t>
            </w:r>
            <w:r>
              <w:rPr>
                <w:b/>
                <w:spacing w:val="-2"/>
                <w:sz w:val="18"/>
              </w:rPr>
              <w:t>3.4.4:</w:t>
            </w:r>
          </w:p>
          <w:p>
            <w:pPr>
              <w:pStyle w:val="TableParagraph"/>
              <w:ind w:left="69" w:right="60"/>
              <w:rPr>
                <w:b/>
                <w:sz w:val="18"/>
              </w:rPr>
            </w:pPr>
            <w:r>
              <w:rPr>
                <w:b/>
                <w:sz w:val="18"/>
              </w:rPr>
              <w:t>Generación de </w:t>
            </w:r>
            <w:r>
              <w:rPr>
                <w:b/>
                <w:spacing w:val="-2"/>
                <w:sz w:val="18"/>
              </w:rPr>
              <w:t>utilidades</w:t>
            </w:r>
            <w:r>
              <w:rPr>
                <w:b/>
                <w:spacing w:val="80"/>
                <w:sz w:val="18"/>
              </w:rPr>
              <w:t> </w:t>
            </w:r>
            <w:r>
              <w:rPr>
                <w:b/>
                <w:sz w:val="18"/>
              </w:rPr>
              <w:t>brutas en las tiendas</w:t>
            </w:r>
            <w:r>
              <w:rPr>
                <w:b/>
                <w:spacing w:val="-15"/>
                <w:sz w:val="18"/>
              </w:rPr>
              <w:t> </w:t>
            </w:r>
            <w:r>
              <w:rPr>
                <w:b/>
                <w:sz w:val="18"/>
              </w:rPr>
              <w:t>libres</w:t>
            </w:r>
            <w:r>
              <w:rPr>
                <w:b/>
                <w:spacing w:val="-12"/>
                <w:sz w:val="18"/>
              </w:rPr>
              <w:t> </w:t>
            </w:r>
            <w:r>
              <w:rPr>
                <w:b/>
                <w:sz w:val="18"/>
              </w:rPr>
              <w:t>de </w:t>
            </w:r>
            <w:r>
              <w:rPr>
                <w:b/>
                <w:spacing w:val="-2"/>
                <w:sz w:val="18"/>
              </w:rPr>
              <w:t>impuestos</w:t>
            </w:r>
          </w:p>
        </w:tc>
        <w:tc>
          <w:tcPr>
            <w:tcW w:w="1275" w:type="dxa"/>
          </w:tcPr>
          <w:p>
            <w:pPr>
              <w:pStyle w:val="TableParagraph"/>
              <w:spacing w:before="94"/>
              <w:rPr>
                <w:b/>
                <w:sz w:val="18"/>
              </w:rPr>
            </w:pPr>
          </w:p>
          <w:p>
            <w:pPr>
              <w:pStyle w:val="TableParagraph"/>
              <w:ind w:left="69" w:right="118"/>
              <w:rPr>
                <w:sz w:val="18"/>
              </w:rPr>
            </w:pPr>
            <w:r>
              <w:rPr>
                <w:sz w:val="18"/>
              </w:rPr>
              <w:t>Monto de </w:t>
            </w:r>
            <w:r>
              <w:rPr>
                <w:spacing w:val="-2"/>
                <w:sz w:val="18"/>
              </w:rPr>
              <w:t>colones </w:t>
            </w:r>
            <w:r>
              <w:rPr>
                <w:sz w:val="18"/>
              </w:rPr>
              <w:t>producto de las</w:t>
            </w:r>
            <w:r>
              <w:rPr>
                <w:spacing w:val="-13"/>
                <w:sz w:val="18"/>
              </w:rPr>
              <w:t> </w:t>
            </w:r>
            <w:r>
              <w:rPr>
                <w:sz w:val="18"/>
              </w:rPr>
              <w:t>Utilidades Brutas</w:t>
            </w:r>
            <w:r>
              <w:rPr>
                <w:spacing w:val="-10"/>
                <w:sz w:val="18"/>
              </w:rPr>
              <w:t> </w:t>
            </w:r>
            <w:r>
              <w:rPr>
                <w:sz w:val="18"/>
              </w:rPr>
              <w:t>en</w:t>
            </w:r>
            <w:r>
              <w:rPr>
                <w:spacing w:val="-9"/>
                <w:sz w:val="18"/>
              </w:rPr>
              <w:t> </w:t>
            </w:r>
            <w:r>
              <w:rPr>
                <w:sz w:val="18"/>
              </w:rPr>
              <w:t>las tiendas</w:t>
            </w:r>
            <w:r>
              <w:rPr>
                <w:spacing w:val="-13"/>
                <w:sz w:val="18"/>
              </w:rPr>
              <w:t> </w:t>
            </w:r>
            <w:r>
              <w:rPr>
                <w:sz w:val="18"/>
              </w:rPr>
              <w:t>libres de </w:t>
            </w:r>
            <w:r>
              <w:rPr>
                <w:spacing w:val="-2"/>
                <w:sz w:val="18"/>
              </w:rPr>
              <w:t>impuestos</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spacing w:before="198"/>
              <w:rPr>
                <w:b/>
                <w:sz w:val="18"/>
              </w:rPr>
            </w:pPr>
          </w:p>
          <w:p>
            <w:pPr>
              <w:pStyle w:val="TableParagraph"/>
              <w:ind w:right="58"/>
              <w:jc w:val="right"/>
              <w:rPr>
                <w:sz w:val="18"/>
              </w:rPr>
            </w:pPr>
            <w:r>
              <w:rPr>
                <w:sz w:val="18"/>
              </w:rPr>
              <w:t>₡1 961</w:t>
            </w:r>
            <w:r>
              <w:rPr>
                <w:spacing w:val="-2"/>
                <w:sz w:val="18"/>
              </w:rPr>
              <w:t> </w:t>
            </w:r>
            <w:r>
              <w:rPr>
                <w:sz w:val="18"/>
              </w:rPr>
              <w:t>712</w:t>
            </w:r>
            <w:r>
              <w:rPr>
                <w:spacing w:val="-2"/>
                <w:sz w:val="18"/>
              </w:rPr>
              <w:t> </w:t>
            </w:r>
            <w:r>
              <w:rPr>
                <w:spacing w:val="-5"/>
                <w:sz w:val="18"/>
              </w:rPr>
              <w:t>748</w:t>
            </w:r>
          </w:p>
        </w:tc>
        <w:tc>
          <w:tcPr>
            <w:tcW w:w="1562" w:type="dxa"/>
          </w:tcPr>
          <w:p>
            <w:pPr>
              <w:pStyle w:val="TableParagraph"/>
              <w:rPr>
                <w:rFonts w:ascii="Times New Roman"/>
                <w:sz w:val="18"/>
              </w:rPr>
            </w:pP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spacing w:before="198"/>
              <w:rPr>
                <w:b/>
                <w:sz w:val="18"/>
              </w:rPr>
            </w:pPr>
          </w:p>
          <w:p>
            <w:pPr>
              <w:pStyle w:val="TableParagraph"/>
              <w:ind w:right="61"/>
              <w:jc w:val="right"/>
              <w:rPr>
                <w:sz w:val="18"/>
              </w:rPr>
            </w:pPr>
            <w:r>
              <w:rPr>
                <w:sz w:val="18"/>
              </w:rPr>
              <w:t>₡1 726</w:t>
            </w:r>
            <w:r>
              <w:rPr>
                <w:spacing w:val="-2"/>
                <w:sz w:val="18"/>
              </w:rPr>
              <w:t> </w:t>
            </w:r>
            <w:r>
              <w:rPr>
                <w:sz w:val="18"/>
              </w:rPr>
              <w:t>307</w:t>
            </w:r>
            <w:r>
              <w:rPr>
                <w:spacing w:val="-4"/>
                <w:sz w:val="18"/>
              </w:rPr>
              <w:t> </w:t>
            </w:r>
            <w:r>
              <w:rPr>
                <w:spacing w:val="-5"/>
                <w:sz w:val="18"/>
              </w:rPr>
              <w:t>218</w:t>
            </w:r>
          </w:p>
        </w:tc>
        <w:tc>
          <w:tcPr>
            <w:tcW w:w="1561" w:type="dxa"/>
          </w:tcPr>
          <w:p>
            <w:pPr>
              <w:pStyle w:val="TableParagraph"/>
              <w:rPr>
                <w:rFonts w:ascii="Times New Roman"/>
                <w:sz w:val="18"/>
              </w:rPr>
            </w:pP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spacing w:before="198"/>
              <w:rPr>
                <w:b/>
                <w:sz w:val="18"/>
              </w:rPr>
            </w:pPr>
          </w:p>
          <w:p>
            <w:pPr>
              <w:pStyle w:val="TableParagraph"/>
              <w:ind w:right="64"/>
              <w:jc w:val="right"/>
              <w:rPr>
                <w:sz w:val="18"/>
              </w:rPr>
            </w:pPr>
            <w:r>
              <w:rPr>
                <w:sz w:val="18"/>
              </w:rPr>
              <w:t>₡1 804</w:t>
            </w:r>
            <w:r>
              <w:rPr>
                <w:spacing w:val="-2"/>
                <w:sz w:val="18"/>
              </w:rPr>
              <w:t> </w:t>
            </w:r>
            <w:r>
              <w:rPr>
                <w:sz w:val="18"/>
              </w:rPr>
              <w:t>775</w:t>
            </w:r>
            <w:r>
              <w:rPr>
                <w:spacing w:val="-2"/>
                <w:sz w:val="18"/>
              </w:rPr>
              <w:t> </w:t>
            </w:r>
            <w:r>
              <w:rPr>
                <w:spacing w:val="-5"/>
                <w:sz w:val="18"/>
              </w:rPr>
              <w:t>728</w:t>
            </w:r>
          </w:p>
        </w:tc>
        <w:tc>
          <w:tcPr>
            <w:tcW w:w="1561" w:type="dxa"/>
          </w:tcPr>
          <w:p>
            <w:pPr>
              <w:pStyle w:val="TableParagraph"/>
              <w:rPr>
                <w:rFonts w:ascii="Times New Roman"/>
                <w:sz w:val="18"/>
              </w:rPr>
            </w:pP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spacing w:before="198"/>
              <w:rPr>
                <w:b/>
                <w:sz w:val="18"/>
              </w:rPr>
            </w:pPr>
          </w:p>
          <w:p>
            <w:pPr>
              <w:pStyle w:val="TableParagraph"/>
              <w:ind w:left="8" w:right="8"/>
              <w:jc w:val="center"/>
              <w:rPr>
                <w:sz w:val="18"/>
              </w:rPr>
            </w:pPr>
            <w:r>
              <w:rPr>
                <w:sz w:val="18"/>
              </w:rPr>
              <w:t>₡2 354</w:t>
            </w:r>
            <w:r>
              <w:rPr>
                <w:spacing w:val="-2"/>
                <w:sz w:val="18"/>
              </w:rPr>
              <w:t> </w:t>
            </w:r>
            <w:r>
              <w:rPr>
                <w:sz w:val="18"/>
              </w:rPr>
              <w:t>055</w:t>
            </w:r>
            <w:r>
              <w:rPr>
                <w:spacing w:val="-2"/>
                <w:sz w:val="18"/>
              </w:rPr>
              <w:t> </w:t>
            </w:r>
            <w:r>
              <w:rPr>
                <w:spacing w:val="-5"/>
                <w:sz w:val="18"/>
              </w:rPr>
              <w:t>299</w:t>
            </w:r>
          </w:p>
        </w:tc>
        <w:tc>
          <w:tcPr>
            <w:tcW w:w="1416" w:type="dxa"/>
          </w:tcPr>
          <w:p>
            <w:pPr>
              <w:pStyle w:val="TableParagraph"/>
              <w:rPr>
                <w:rFonts w:ascii="Times New Roman"/>
                <w:sz w:val="18"/>
              </w:rPr>
            </w:pPr>
          </w:p>
        </w:tc>
      </w:tr>
      <w:tr>
        <w:trPr>
          <w:trHeight w:val="1655" w:hRule="atLeast"/>
        </w:trPr>
        <w:tc>
          <w:tcPr>
            <w:tcW w:w="1563" w:type="dxa"/>
          </w:tcPr>
          <w:p>
            <w:pPr>
              <w:pStyle w:val="TableParagraph"/>
              <w:spacing w:before="205"/>
              <w:ind w:left="69" w:right="246"/>
              <w:rPr>
                <w:b/>
                <w:sz w:val="18"/>
              </w:rPr>
            </w:pPr>
            <w:r>
              <w:rPr>
                <w:b/>
                <w:sz w:val="18"/>
              </w:rPr>
              <w:t>Actividad</w:t>
            </w:r>
            <w:r>
              <w:rPr>
                <w:b/>
                <w:spacing w:val="-13"/>
                <w:sz w:val="18"/>
              </w:rPr>
              <w:t> </w:t>
            </w:r>
            <w:r>
              <w:rPr>
                <w:b/>
                <w:sz w:val="18"/>
              </w:rPr>
              <w:t>PEC </w:t>
            </w:r>
            <w:r>
              <w:rPr>
                <w:b/>
                <w:spacing w:val="-2"/>
                <w:sz w:val="18"/>
              </w:rPr>
              <w:t>3.4.5:</w:t>
            </w:r>
          </w:p>
          <w:p>
            <w:pPr>
              <w:pStyle w:val="TableParagraph"/>
              <w:spacing w:before="1"/>
              <w:ind w:left="69" w:right="196"/>
              <w:rPr>
                <w:sz w:val="18"/>
              </w:rPr>
            </w:pPr>
            <w:r>
              <w:rPr>
                <w:sz w:val="18"/>
              </w:rPr>
              <w:t>Generación de utilidades</w:t>
            </w:r>
            <w:r>
              <w:rPr>
                <w:spacing w:val="-13"/>
                <w:sz w:val="18"/>
              </w:rPr>
              <w:t> </w:t>
            </w:r>
            <w:r>
              <w:rPr>
                <w:sz w:val="18"/>
              </w:rPr>
              <w:t>Netas en las tiendas libres de</w:t>
            </w:r>
          </w:p>
          <w:p>
            <w:pPr>
              <w:pStyle w:val="TableParagraph"/>
              <w:spacing w:line="187" w:lineRule="exact"/>
              <w:ind w:left="69"/>
              <w:rPr>
                <w:sz w:val="18"/>
              </w:rPr>
            </w:pPr>
            <w:r>
              <w:rPr>
                <w:spacing w:val="-2"/>
                <w:sz w:val="18"/>
              </w:rPr>
              <w:t>impuestos</w:t>
            </w:r>
          </w:p>
        </w:tc>
        <w:tc>
          <w:tcPr>
            <w:tcW w:w="1275" w:type="dxa"/>
          </w:tcPr>
          <w:p>
            <w:pPr>
              <w:pStyle w:val="TableParagraph"/>
              <w:spacing w:before="102"/>
              <w:ind w:left="69" w:right="118"/>
              <w:rPr>
                <w:sz w:val="18"/>
              </w:rPr>
            </w:pPr>
            <w:r>
              <w:rPr>
                <w:sz w:val="18"/>
              </w:rPr>
              <w:t>Monto de </w:t>
            </w:r>
            <w:r>
              <w:rPr>
                <w:spacing w:val="-2"/>
                <w:sz w:val="18"/>
              </w:rPr>
              <w:t>colones </w:t>
            </w:r>
            <w:r>
              <w:rPr>
                <w:sz w:val="18"/>
              </w:rPr>
              <w:t>producto de las</w:t>
            </w:r>
            <w:r>
              <w:rPr>
                <w:spacing w:val="-13"/>
                <w:sz w:val="18"/>
              </w:rPr>
              <w:t> </w:t>
            </w:r>
            <w:r>
              <w:rPr>
                <w:sz w:val="18"/>
              </w:rPr>
              <w:t>Utilidades netas en las tiendas</w:t>
            </w:r>
            <w:r>
              <w:rPr>
                <w:spacing w:val="-13"/>
                <w:sz w:val="18"/>
              </w:rPr>
              <w:t> </w:t>
            </w:r>
            <w:r>
              <w:rPr>
                <w:sz w:val="18"/>
              </w:rPr>
              <w:t>libres de </w:t>
            </w:r>
            <w:r>
              <w:rPr>
                <w:spacing w:val="-2"/>
                <w:sz w:val="18"/>
              </w:rPr>
              <w:t>impuestos</w:t>
            </w:r>
          </w:p>
        </w:tc>
        <w:tc>
          <w:tcPr>
            <w:tcW w:w="156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8"/>
              <w:jc w:val="right"/>
              <w:rPr>
                <w:sz w:val="18"/>
              </w:rPr>
            </w:pPr>
            <w:r>
              <w:rPr>
                <w:sz w:val="18"/>
              </w:rPr>
              <w:t>₡1 215</w:t>
            </w:r>
            <w:r>
              <w:rPr>
                <w:spacing w:val="-2"/>
                <w:sz w:val="18"/>
              </w:rPr>
              <w:t> </w:t>
            </w:r>
            <w:r>
              <w:rPr>
                <w:sz w:val="18"/>
              </w:rPr>
              <w:t>148</w:t>
            </w:r>
            <w:r>
              <w:rPr>
                <w:spacing w:val="-2"/>
                <w:sz w:val="18"/>
              </w:rPr>
              <w:t> </w:t>
            </w:r>
            <w:r>
              <w:rPr>
                <w:spacing w:val="-5"/>
                <w:sz w:val="18"/>
              </w:rPr>
              <w:t>145</w:t>
            </w:r>
          </w:p>
        </w:tc>
        <w:tc>
          <w:tcPr>
            <w:tcW w:w="1562" w:type="dxa"/>
          </w:tcPr>
          <w:p>
            <w:pPr>
              <w:pStyle w:val="TableParagraph"/>
              <w:rPr>
                <w:rFonts w:ascii="Times New Roman"/>
                <w:sz w:val="18"/>
              </w:rPr>
            </w:pPr>
          </w:p>
        </w:tc>
        <w:tc>
          <w:tcPr>
            <w:tcW w:w="1417"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60"/>
              <w:jc w:val="right"/>
              <w:rPr>
                <w:sz w:val="18"/>
              </w:rPr>
            </w:pPr>
            <w:r>
              <w:rPr>
                <w:sz w:val="18"/>
              </w:rPr>
              <w:t>₡810</w:t>
            </w:r>
            <w:r>
              <w:rPr>
                <w:spacing w:val="-3"/>
                <w:sz w:val="18"/>
              </w:rPr>
              <w:t> </w:t>
            </w:r>
            <w:r>
              <w:rPr>
                <w:sz w:val="18"/>
              </w:rPr>
              <w:t>098</w:t>
            </w:r>
            <w:r>
              <w:rPr>
                <w:spacing w:val="-1"/>
                <w:sz w:val="18"/>
              </w:rPr>
              <w:t> </w:t>
            </w:r>
            <w:r>
              <w:rPr>
                <w:spacing w:val="-5"/>
                <w:sz w:val="18"/>
              </w:rPr>
              <w:t>764</w:t>
            </w:r>
          </w:p>
        </w:tc>
        <w:tc>
          <w:tcPr>
            <w:tcW w:w="1561" w:type="dxa"/>
          </w:tcPr>
          <w:p>
            <w:pPr>
              <w:pStyle w:val="TableParagraph"/>
              <w:rPr>
                <w:rFonts w:ascii="Times New Roman"/>
                <w:sz w:val="18"/>
              </w:rPr>
            </w:pPr>
          </w:p>
        </w:tc>
        <w:tc>
          <w:tcPr>
            <w:tcW w:w="1558"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64"/>
              <w:jc w:val="right"/>
              <w:rPr>
                <w:sz w:val="18"/>
              </w:rPr>
            </w:pPr>
            <w:r>
              <w:rPr>
                <w:sz w:val="18"/>
              </w:rPr>
              <w:t>₡1 012</w:t>
            </w:r>
            <w:r>
              <w:rPr>
                <w:spacing w:val="-2"/>
                <w:sz w:val="18"/>
              </w:rPr>
              <w:t> </w:t>
            </w:r>
            <w:r>
              <w:rPr>
                <w:sz w:val="18"/>
              </w:rPr>
              <w:t>623</w:t>
            </w:r>
            <w:r>
              <w:rPr>
                <w:spacing w:val="-2"/>
                <w:sz w:val="18"/>
              </w:rPr>
              <w:t> </w:t>
            </w:r>
            <w:r>
              <w:rPr>
                <w:spacing w:val="-5"/>
                <w:sz w:val="18"/>
              </w:rPr>
              <w:t>455</w:t>
            </w:r>
          </w:p>
        </w:tc>
        <w:tc>
          <w:tcPr>
            <w:tcW w:w="1561" w:type="dxa"/>
          </w:tcPr>
          <w:p>
            <w:pPr>
              <w:pStyle w:val="TableParagraph"/>
              <w:rPr>
                <w:rFonts w:ascii="Times New Roman"/>
                <w:sz w:val="18"/>
              </w:rPr>
            </w:pPr>
          </w:p>
        </w:tc>
        <w:tc>
          <w:tcPr>
            <w:tcW w:w="142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8" w:right="8"/>
              <w:jc w:val="center"/>
              <w:rPr>
                <w:sz w:val="18"/>
              </w:rPr>
            </w:pPr>
            <w:r>
              <w:rPr>
                <w:sz w:val="18"/>
              </w:rPr>
              <w:t>₡1 012</w:t>
            </w:r>
            <w:r>
              <w:rPr>
                <w:spacing w:val="-2"/>
                <w:sz w:val="18"/>
              </w:rPr>
              <w:t> </w:t>
            </w:r>
            <w:r>
              <w:rPr>
                <w:sz w:val="18"/>
              </w:rPr>
              <w:t>623</w:t>
            </w:r>
            <w:r>
              <w:rPr>
                <w:spacing w:val="-2"/>
                <w:sz w:val="18"/>
              </w:rPr>
              <w:t> </w:t>
            </w:r>
            <w:r>
              <w:rPr>
                <w:spacing w:val="-5"/>
                <w:sz w:val="18"/>
              </w:rPr>
              <w:t>454</w:t>
            </w:r>
          </w:p>
        </w:tc>
        <w:tc>
          <w:tcPr>
            <w:tcW w:w="1416" w:type="dxa"/>
          </w:tcPr>
          <w:p>
            <w:pPr>
              <w:pStyle w:val="TableParagraph"/>
              <w:rPr>
                <w:rFonts w:ascii="Times New Roman"/>
                <w:sz w:val="18"/>
              </w:rPr>
            </w:pPr>
          </w:p>
        </w:tc>
      </w:tr>
      <w:tr>
        <w:trPr>
          <w:trHeight w:val="2483" w:hRule="atLeast"/>
        </w:trPr>
        <w:tc>
          <w:tcPr>
            <w:tcW w:w="1563"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ind w:left="69" w:right="61"/>
              <w:rPr>
                <w:sz w:val="18"/>
              </w:rPr>
            </w:pPr>
            <w:r>
              <w:rPr>
                <w:b/>
                <w:sz w:val="18"/>
              </w:rPr>
              <w:t>3.4.6: </w:t>
            </w:r>
            <w:r>
              <w:rPr>
                <w:sz w:val="18"/>
              </w:rPr>
              <w:t>Valorar la incorporación en las tiendas de nuevos</w:t>
            </w:r>
            <w:r>
              <w:rPr>
                <w:spacing w:val="-13"/>
                <w:sz w:val="18"/>
              </w:rPr>
              <w:t> </w:t>
            </w:r>
            <w:r>
              <w:rPr>
                <w:sz w:val="18"/>
              </w:rPr>
              <w:t>productos provenientes de proyectos de </w:t>
            </w:r>
            <w:r>
              <w:rPr>
                <w:spacing w:val="-2"/>
                <w:sz w:val="18"/>
              </w:rPr>
              <w:t>microempresario</w:t>
            </w:r>
            <w:r>
              <w:rPr>
                <w:spacing w:val="40"/>
                <w:sz w:val="18"/>
              </w:rPr>
              <w:t> </w:t>
            </w:r>
            <w:r>
              <w:rPr>
                <w:sz w:val="18"/>
              </w:rPr>
              <w:t>s incorporados</w:t>
            </w:r>
            <w:r>
              <w:rPr>
                <w:spacing w:val="40"/>
                <w:sz w:val="18"/>
              </w:rPr>
              <w:t> </w:t>
            </w:r>
            <w:r>
              <w:rPr>
                <w:sz w:val="18"/>
              </w:rPr>
              <w:t>en la estrategia</w:t>
            </w:r>
          </w:p>
          <w:p>
            <w:pPr>
              <w:pStyle w:val="TableParagraph"/>
              <w:spacing w:line="206" w:lineRule="exact"/>
              <w:ind w:left="69" w:right="238"/>
              <w:rPr>
                <w:sz w:val="18"/>
              </w:rPr>
            </w:pPr>
            <w:r>
              <w:rPr>
                <w:sz w:val="18"/>
              </w:rPr>
              <w:t>de atención "IMAS</w:t>
            </w:r>
            <w:r>
              <w:rPr>
                <w:spacing w:val="-13"/>
                <w:sz w:val="18"/>
              </w:rPr>
              <w:t> </w:t>
            </w:r>
            <w:r>
              <w:rPr>
                <w:sz w:val="18"/>
              </w:rPr>
              <w:t>impulsa"</w:t>
            </w:r>
          </w:p>
        </w:tc>
        <w:tc>
          <w:tcPr>
            <w:tcW w:w="1275"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69" w:right="138"/>
              <w:rPr>
                <w:sz w:val="18"/>
              </w:rPr>
            </w:pPr>
            <w:r>
              <w:rPr>
                <w:sz w:val="18"/>
              </w:rPr>
              <w:t>Cantidad de proyectos</w:t>
            </w:r>
            <w:r>
              <w:rPr>
                <w:spacing w:val="-13"/>
                <w:sz w:val="18"/>
              </w:rPr>
              <w:t> </w:t>
            </w:r>
            <w:r>
              <w:rPr>
                <w:sz w:val="18"/>
              </w:rPr>
              <w:t>de </w:t>
            </w:r>
            <w:r>
              <w:rPr>
                <w:spacing w:val="-2"/>
                <w:sz w:val="18"/>
              </w:rPr>
              <w:t>microempres arios valorados</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45" w:right="39"/>
              <w:jc w:val="center"/>
              <w:rPr>
                <w:sz w:val="18"/>
              </w:rPr>
            </w:pPr>
            <w:r>
              <w:rPr>
                <w:spacing w:val="-10"/>
                <w:sz w:val="18"/>
              </w:rPr>
              <w:t>3</w:t>
            </w:r>
          </w:p>
        </w:tc>
        <w:tc>
          <w:tcPr>
            <w:tcW w:w="1562" w:type="dxa"/>
          </w:tcPr>
          <w:p>
            <w:pPr>
              <w:pStyle w:val="TableParagraph"/>
              <w:rPr>
                <w:rFonts w:ascii="Times New Roman"/>
                <w:sz w:val="18"/>
              </w:rPr>
            </w:pP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8" w:right="7"/>
              <w:jc w:val="center"/>
              <w:rPr>
                <w:sz w:val="18"/>
              </w:rPr>
            </w:pPr>
            <w:r>
              <w:rPr>
                <w:spacing w:val="-10"/>
                <w:sz w:val="18"/>
              </w:rPr>
              <w:t>3</w:t>
            </w:r>
          </w:p>
        </w:tc>
        <w:tc>
          <w:tcPr>
            <w:tcW w:w="1561" w:type="dxa"/>
          </w:tcPr>
          <w:p>
            <w:pPr>
              <w:pStyle w:val="TableParagraph"/>
              <w:rPr>
                <w:rFonts w:ascii="Times New Roman"/>
                <w:sz w:val="18"/>
              </w:rPr>
            </w:pP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34" w:right="35"/>
              <w:jc w:val="center"/>
              <w:rPr>
                <w:sz w:val="18"/>
              </w:rPr>
            </w:pPr>
            <w:r>
              <w:rPr>
                <w:spacing w:val="-10"/>
                <w:sz w:val="18"/>
              </w:rPr>
              <w:t>3</w:t>
            </w:r>
          </w:p>
        </w:tc>
        <w:tc>
          <w:tcPr>
            <w:tcW w:w="1561" w:type="dxa"/>
          </w:tcPr>
          <w:p>
            <w:pPr>
              <w:pStyle w:val="TableParagraph"/>
              <w:rPr>
                <w:rFonts w:ascii="Times New Roman"/>
                <w:sz w:val="18"/>
              </w:rPr>
            </w:pP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8" w:right="13"/>
              <w:jc w:val="center"/>
              <w:rPr>
                <w:sz w:val="18"/>
              </w:rPr>
            </w:pPr>
            <w:r>
              <w:rPr>
                <w:spacing w:val="-10"/>
                <w:sz w:val="18"/>
              </w:rPr>
              <w:t>3</w:t>
            </w:r>
          </w:p>
        </w:tc>
        <w:tc>
          <w:tcPr>
            <w:tcW w:w="1416" w:type="dxa"/>
          </w:tcPr>
          <w:p>
            <w:pPr>
              <w:pStyle w:val="TableParagraph"/>
              <w:rPr>
                <w:rFonts w:ascii="Times New Roman"/>
                <w:sz w:val="18"/>
              </w:rPr>
            </w:pPr>
          </w:p>
        </w:tc>
      </w:tr>
      <w:tr>
        <w:trPr>
          <w:trHeight w:val="1037" w:hRule="atLeast"/>
        </w:trPr>
        <w:tc>
          <w:tcPr>
            <w:tcW w:w="1563"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ind w:left="69" w:right="246"/>
              <w:rPr>
                <w:sz w:val="18"/>
              </w:rPr>
            </w:pPr>
            <w:r>
              <w:rPr>
                <w:b/>
                <w:sz w:val="18"/>
              </w:rPr>
              <w:t>3.4.7: </w:t>
            </w:r>
            <w:r>
              <w:rPr>
                <w:sz w:val="18"/>
              </w:rPr>
              <w:t>Ejecutar </w:t>
            </w:r>
            <w:r>
              <w:rPr>
                <w:spacing w:val="-4"/>
                <w:sz w:val="18"/>
              </w:rPr>
              <w:t>los</w:t>
            </w:r>
          </w:p>
          <w:p>
            <w:pPr>
              <w:pStyle w:val="TableParagraph"/>
              <w:spacing w:line="206" w:lineRule="exact"/>
              <w:ind w:left="69"/>
              <w:rPr>
                <w:sz w:val="18"/>
              </w:rPr>
            </w:pPr>
            <w:r>
              <w:rPr>
                <w:spacing w:val="-2"/>
                <w:sz w:val="18"/>
              </w:rPr>
              <w:t>Mantenimientos </w:t>
            </w:r>
            <w:r>
              <w:rPr>
                <w:sz w:val="18"/>
              </w:rPr>
              <w:t>programados</w:t>
            </w:r>
            <w:r>
              <w:rPr>
                <w:spacing w:val="-8"/>
                <w:sz w:val="18"/>
              </w:rPr>
              <w:t> </w:t>
            </w:r>
            <w:r>
              <w:rPr>
                <w:spacing w:val="-5"/>
                <w:sz w:val="18"/>
              </w:rPr>
              <w:t>en</w:t>
            </w:r>
          </w:p>
        </w:tc>
        <w:tc>
          <w:tcPr>
            <w:tcW w:w="1275" w:type="dxa"/>
          </w:tcPr>
          <w:p>
            <w:pPr>
              <w:pStyle w:val="TableParagraph"/>
              <w:ind w:left="69" w:right="78"/>
              <w:rPr>
                <w:sz w:val="18"/>
              </w:rPr>
            </w:pPr>
            <w:r>
              <w:rPr>
                <w:sz w:val="18"/>
              </w:rPr>
              <w:t>Porcentaje</w:t>
            </w:r>
            <w:r>
              <w:rPr>
                <w:spacing w:val="-13"/>
                <w:sz w:val="18"/>
              </w:rPr>
              <w:t> </w:t>
            </w:r>
            <w:r>
              <w:rPr>
                <w:sz w:val="18"/>
              </w:rPr>
              <w:t>de ejecución de </w:t>
            </w:r>
            <w:r>
              <w:rPr>
                <w:spacing w:val="-2"/>
                <w:sz w:val="18"/>
              </w:rPr>
              <w:t>mantenimient </w:t>
            </w:r>
            <w:r>
              <w:rPr>
                <w:spacing w:val="-6"/>
                <w:sz w:val="18"/>
              </w:rPr>
              <w:t>os</w:t>
            </w:r>
          </w:p>
        </w:tc>
        <w:tc>
          <w:tcPr>
            <w:tcW w:w="1561" w:type="dxa"/>
          </w:tcPr>
          <w:p>
            <w:pPr>
              <w:pStyle w:val="TableParagraph"/>
              <w:rPr>
                <w:b/>
                <w:sz w:val="18"/>
              </w:rPr>
            </w:pPr>
          </w:p>
          <w:p>
            <w:pPr>
              <w:pStyle w:val="TableParagraph"/>
              <w:spacing w:before="104"/>
              <w:rPr>
                <w:b/>
                <w:sz w:val="18"/>
              </w:rPr>
            </w:pPr>
          </w:p>
          <w:p>
            <w:pPr>
              <w:pStyle w:val="TableParagraph"/>
              <w:ind w:left="45" w:right="36"/>
              <w:jc w:val="center"/>
              <w:rPr>
                <w:sz w:val="18"/>
              </w:rPr>
            </w:pPr>
            <w:r>
              <w:rPr>
                <w:spacing w:val="-5"/>
                <w:sz w:val="18"/>
              </w:rPr>
              <w:t>25%</w:t>
            </w:r>
          </w:p>
        </w:tc>
        <w:tc>
          <w:tcPr>
            <w:tcW w:w="1562" w:type="dxa"/>
          </w:tcPr>
          <w:p>
            <w:pPr>
              <w:pStyle w:val="TableParagraph"/>
              <w:rPr>
                <w:b/>
                <w:sz w:val="18"/>
              </w:rPr>
            </w:pPr>
          </w:p>
          <w:p>
            <w:pPr>
              <w:pStyle w:val="TableParagraph"/>
              <w:spacing w:before="104"/>
              <w:rPr>
                <w:b/>
                <w:sz w:val="18"/>
              </w:rPr>
            </w:pPr>
          </w:p>
          <w:p>
            <w:pPr>
              <w:pStyle w:val="TableParagraph"/>
              <w:ind w:left="456"/>
              <w:rPr>
                <w:sz w:val="18"/>
              </w:rPr>
            </w:pPr>
            <w:r>
              <w:rPr>
                <w:sz w:val="18"/>
              </w:rPr>
              <w:t>₡42</w:t>
            </w:r>
            <w:r>
              <w:rPr>
                <w:spacing w:val="-1"/>
                <w:sz w:val="18"/>
              </w:rPr>
              <w:t> </w:t>
            </w:r>
            <w:r>
              <w:rPr>
                <w:sz w:val="18"/>
              </w:rPr>
              <w:t>493</w:t>
            </w:r>
            <w:r>
              <w:rPr>
                <w:spacing w:val="-2"/>
                <w:sz w:val="18"/>
              </w:rPr>
              <w:t> </w:t>
            </w:r>
            <w:r>
              <w:rPr>
                <w:spacing w:val="-5"/>
                <w:sz w:val="18"/>
              </w:rPr>
              <w:t>750</w:t>
            </w:r>
          </w:p>
        </w:tc>
        <w:tc>
          <w:tcPr>
            <w:tcW w:w="1417" w:type="dxa"/>
          </w:tcPr>
          <w:p>
            <w:pPr>
              <w:pStyle w:val="TableParagraph"/>
              <w:rPr>
                <w:b/>
                <w:sz w:val="18"/>
              </w:rPr>
            </w:pPr>
          </w:p>
          <w:p>
            <w:pPr>
              <w:pStyle w:val="TableParagraph"/>
              <w:spacing w:before="104"/>
              <w:rPr>
                <w:b/>
                <w:sz w:val="18"/>
              </w:rPr>
            </w:pPr>
          </w:p>
          <w:p>
            <w:pPr>
              <w:pStyle w:val="TableParagraph"/>
              <w:ind w:left="442"/>
              <w:rPr>
                <w:sz w:val="18"/>
              </w:rPr>
            </w:pPr>
            <w:r>
              <w:rPr>
                <w:spacing w:val="-4"/>
                <w:sz w:val="18"/>
              </w:rPr>
              <w:t>25%%</w:t>
            </w:r>
          </w:p>
        </w:tc>
        <w:tc>
          <w:tcPr>
            <w:tcW w:w="1561" w:type="dxa"/>
          </w:tcPr>
          <w:p>
            <w:pPr>
              <w:pStyle w:val="TableParagraph"/>
              <w:rPr>
                <w:b/>
                <w:sz w:val="18"/>
              </w:rPr>
            </w:pPr>
          </w:p>
          <w:p>
            <w:pPr>
              <w:pStyle w:val="TableParagraph"/>
              <w:spacing w:before="104"/>
              <w:rPr>
                <w:b/>
                <w:sz w:val="18"/>
              </w:rPr>
            </w:pPr>
          </w:p>
          <w:p>
            <w:pPr>
              <w:pStyle w:val="TableParagraph"/>
              <w:ind w:left="405"/>
              <w:rPr>
                <w:sz w:val="18"/>
              </w:rPr>
            </w:pPr>
            <w:r>
              <w:rPr>
                <w:sz w:val="18"/>
              </w:rPr>
              <w:t>₡42</w:t>
            </w:r>
            <w:r>
              <w:rPr>
                <w:spacing w:val="-1"/>
                <w:sz w:val="18"/>
              </w:rPr>
              <w:t> </w:t>
            </w:r>
            <w:r>
              <w:rPr>
                <w:sz w:val="18"/>
              </w:rPr>
              <w:t>493</w:t>
            </w:r>
            <w:r>
              <w:rPr>
                <w:spacing w:val="-2"/>
                <w:sz w:val="18"/>
              </w:rPr>
              <w:t> </w:t>
            </w:r>
            <w:r>
              <w:rPr>
                <w:spacing w:val="-5"/>
                <w:sz w:val="18"/>
              </w:rPr>
              <w:t>750</w:t>
            </w:r>
          </w:p>
        </w:tc>
        <w:tc>
          <w:tcPr>
            <w:tcW w:w="1558" w:type="dxa"/>
          </w:tcPr>
          <w:p>
            <w:pPr>
              <w:pStyle w:val="TableParagraph"/>
              <w:rPr>
                <w:b/>
                <w:sz w:val="18"/>
              </w:rPr>
            </w:pPr>
          </w:p>
          <w:p>
            <w:pPr>
              <w:pStyle w:val="TableParagraph"/>
              <w:spacing w:before="104"/>
              <w:rPr>
                <w:b/>
                <w:sz w:val="18"/>
              </w:rPr>
            </w:pPr>
          </w:p>
          <w:p>
            <w:pPr>
              <w:pStyle w:val="TableParagraph"/>
              <w:ind w:left="34" w:right="34"/>
              <w:jc w:val="center"/>
              <w:rPr>
                <w:sz w:val="18"/>
              </w:rPr>
            </w:pPr>
            <w:r>
              <w:rPr>
                <w:spacing w:val="-5"/>
                <w:sz w:val="18"/>
              </w:rPr>
              <w:t>25%</w:t>
            </w:r>
          </w:p>
        </w:tc>
        <w:tc>
          <w:tcPr>
            <w:tcW w:w="1561" w:type="dxa"/>
          </w:tcPr>
          <w:p>
            <w:pPr>
              <w:pStyle w:val="TableParagraph"/>
              <w:rPr>
                <w:b/>
                <w:sz w:val="18"/>
              </w:rPr>
            </w:pPr>
          </w:p>
          <w:p>
            <w:pPr>
              <w:pStyle w:val="TableParagraph"/>
              <w:spacing w:before="104"/>
              <w:rPr>
                <w:b/>
                <w:sz w:val="18"/>
              </w:rPr>
            </w:pPr>
          </w:p>
          <w:p>
            <w:pPr>
              <w:pStyle w:val="TableParagraph"/>
              <w:ind w:left="404"/>
              <w:rPr>
                <w:sz w:val="18"/>
              </w:rPr>
            </w:pPr>
            <w:r>
              <w:rPr>
                <w:sz w:val="18"/>
              </w:rPr>
              <w:t>₡42</w:t>
            </w:r>
            <w:r>
              <w:rPr>
                <w:spacing w:val="-1"/>
                <w:sz w:val="18"/>
              </w:rPr>
              <w:t> </w:t>
            </w:r>
            <w:r>
              <w:rPr>
                <w:sz w:val="18"/>
              </w:rPr>
              <w:t>493</w:t>
            </w:r>
            <w:r>
              <w:rPr>
                <w:spacing w:val="-1"/>
                <w:sz w:val="18"/>
              </w:rPr>
              <w:t> </w:t>
            </w:r>
            <w:r>
              <w:rPr>
                <w:spacing w:val="-5"/>
                <w:sz w:val="18"/>
              </w:rPr>
              <w:t>750</w:t>
            </w:r>
          </w:p>
        </w:tc>
        <w:tc>
          <w:tcPr>
            <w:tcW w:w="1421" w:type="dxa"/>
          </w:tcPr>
          <w:p>
            <w:pPr>
              <w:pStyle w:val="TableParagraph"/>
              <w:rPr>
                <w:b/>
                <w:sz w:val="18"/>
              </w:rPr>
            </w:pPr>
          </w:p>
          <w:p>
            <w:pPr>
              <w:pStyle w:val="TableParagraph"/>
              <w:spacing w:before="104"/>
              <w:rPr>
                <w:b/>
                <w:sz w:val="18"/>
              </w:rPr>
            </w:pPr>
          </w:p>
          <w:p>
            <w:pPr>
              <w:pStyle w:val="TableParagraph"/>
              <w:ind w:left="8" w:right="10"/>
              <w:jc w:val="center"/>
              <w:rPr>
                <w:sz w:val="18"/>
              </w:rPr>
            </w:pPr>
            <w:r>
              <w:rPr>
                <w:spacing w:val="-5"/>
                <w:sz w:val="18"/>
              </w:rPr>
              <w:t>25%</w:t>
            </w:r>
          </w:p>
        </w:tc>
        <w:tc>
          <w:tcPr>
            <w:tcW w:w="1416" w:type="dxa"/>
          </w:tcPr>
          <w:p>
            <w:pPr>
              <w:pStyle w:val="TableParagraph"/>
              <w:rPr>
                <w:b/>
                <w:sz w:val="18"/>
              </w:rPr>
            </w:pPr>
          </w:p>
          <w:p>
            <w:pPr>
              <w:pStyle w:val="TableParagraph"/>
              <w:spacing w:before="104"/>
              <w:rPr>
                <w:b/>
                <w:sz w:val="18"/>
              </w:rPr>
            </w:pPr>
          </w:p>
          <w:p>
            <w:pPr>
              <w:pStyle w:val="TableParagraph"/>
              <w:ind w:left="43"/>
              <w:jc w:val="center"/>
              <w:rPr>
                <w:sz w:val="18"/>
              </w:rPr>
            </w:pPr>
            <w:r>
              <w:rPr>
                <w:sz w:val="18"/>
              </w:rPr>
              <w:t>₡42</w:t>
            </w:r>
            <w:r>
              <w:rPr>
                <w:spacing w:val="-1"/>
                <w:sz w:val="18"/>
              </w:rPr>
              <w:t> </w:t>
            </w:r>
            <w:r>
              <w:rPr>
                <w:sz w:val="18"/>
              </w:rPr>
              <w:t>493</w:t>
            </w:r>
            <w:r>
              <w:rPr>
                <w:spacing w:val="-2"/>
                <w:sz w:val="18"/>
              </w:rPr>
              <w:t> </w:t>
            </w:r>
            <w:r>
              <w:rPr>
                <w:spacing w:val="-5"/>
                <w:sz w:val="18"/>
              </w:rPr>
              <w:t>750</w:t>
            </w:r>
          </w:p>
        </w:tc>
      </w:tr>
    </w:tbl>
    <w:p>
      <w:pPr>
        <w:pStyle w:val="TableParagraph"/>
        <w:spacing w:after="0"/>
        <w:jc w:val="center"/>
        <w:rPr>
          <w:sz w:val="18"/>
        </w:rPr>
        <w:sectPr>
          <w:pgSz w:w="15840" w:h="12240" w:orient="landscape"/>
          <w:pgMar w:header="0" w:footer="1530" w:top="1380" w:bottom="2040" w:left="360" w:right="360"/>
        </w:sectPr>
      </w:pPr>
    </w:p>
    <w:p>
      <w:pPr>
        <w:pStyle w:val="BodyText"/>
        <w:spacing w:before="7" w:after="1"/>
        <w:rPr>
          <w:b/>
          <w:sz w:val="15"/>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5"/>
        <w:gridCol w:w="1561"/>
        <w:gridCol w:w="1562"/>
        <w:gridCol w:w="1417"/>
        <w:gridCol w:w="1561"/>
        <w:gridCol w:w="1558"/>
        <w:gridCol w:w="1561"/>
        <w:gridCol w:w="1421"/>
        <w:gridCol w:w="1416"/>
      </w:tblGrid>
      <w:tr>
        <w:trPr>
          <w:trHeight w:val="299" w:hRule="atLeast"/>
        </w:trPr>
        <w:tc>
          <w:tcPr>
            <w:tcW w:w="1563" w:type="dxa"/>
            <w:vMerge w:val="restart"/>
            <w:shd w:val="clear" w:color="auto" w:fill="F1F1F1"/>
          </w:tcPr>
          <w:p>
            <w:pPr>
              <w:pStyle w:val="TableParagraph"/>
              <w:spacing w:before="48"/>
              <w:rPr>
                <w:b/>
                <w:sz w:val="18"/>
              </w:rPr>
            </w:pPr>
          </w:p>
          <w:p>
            <w:pPr>
              <w:pStyle w:val="TableParagraph"/>
              <w:ind w:left="295" w:firstLine="24"/>
              <w:rPr>
                <w:b/>
                <w:sz w:val="18"/>
              </w:rPr>
            </w:pPr>
            <w:r>
              <w:rPr>
                <w:b/>
                <w:sz w:val="18"/>
              </w:rPr>
              <w:t>Objetivos</w:t>
            </w:r>
            <w:r>
              <w:rPr>
                <w:b/>
                <w:spacing w:val="-12"/>
                <w:sz w:val="18"/>
              </w:rPr>
              <w:t> </w:t>
            </w:r>
            <w:r>
              <w:rPr>
                <w:b/>
                <w:sz w:val="18"/>
              </w:rPr>
              <w:t>/ </w:t>
            </w:r>
            <w:r>
              <w:rPr>
                <w:b/>
                <w:spacing w:val="-2"/>
                <w:sz w:val="18"/>
              </w:rPr>
              <w:t>Resultados</w:t>
            </w:r>
          </w:p>
        </w:tc>
        <w:tc>
          <w:tcPr>
            <w:tcW w:w="1275" w:type="dxa"/>
            <w:vMerge w:val="restart"/>
            <w:shd w:val="clear" w:color="auto" w:fill="F1F1F1"/>
          </w:tcPr>
          <w:p>
            <w:pPr>
              <w:pStyle w:val="TableParagraph"/>
              <w:spacing w:before="151"/>
              <w:rPr>
                <w:b/>
                <w:sz w:val="18"/>
              </w:rPr>
            </w:pPr>
          </w:p>
          <w:p>
            <w:pPr>
              <w:pStyle w:val="TableParagraph"/>
              <w:spacing w:before="1"/>
              <w:ind w:left="230"/>
              <w:rPr>
                <w:b/>
                <w:sz w:val="18"/>
              </w:rPr>
            </w:pPr>
            <w:r>
              <w:rPr>
                <w:b/>
                <w:spacing w:val="-2"/>
                <w:sz w:val="18"/>
              </w:rPr>
              <w:t>Indicador</w:t>
            </w:r>
          </w:p>
        </w:tc>
        <w:tc>
          <w:tcPr>
            <w:tcW w:w="3123" w:type="dxa"/>
            <w:gridSpan w:val="2"/>
            <w:shd w:val="clear" w:color="auto" w:fill="F1F1F1"/>
          </w:tcPr>
          <w:p>
            <w:pPr>
              <w:pStyle w:val="TableParagraph"/>
              <w:spacing w:before="47"/>
              <w:ind w:left="6"/>
              <w:jc w:val="center"/>
              <w:rPr>
                <w:b/>
                <w:sz w:val="18"/>
              </w:rPr>
            </w:pPr>
            <w:r>
              <w:rPr>
                <w:b/>
                <w:sz w:val="18"/>
              </w:rPr>
              <w:t>I </w:t>
            </w:r>
            <w:r>
              <w:rPr>
                <w:b/>
                <w:spacing w:val="-2"/>
                <w:sz w:val="18"/>
              </w:rPr>
              <w:t>Trimestre</w:t>
            </w:r>
          </w:p>
        </w:tc>
        <w:tc>
          <w:tcPr>
            <w:tcW w:w="2978" w:type="dxa"/>
            <w:gridSpan w:val="2"/>
            <w:shd w:val="clear" w:color="auto" w:fill="F1F1F1"/>
          </w:tcPr>
          <w:p>
            <w:pPr>
              <w:pStyle w:val="TableParagraph"/>
              <w:spacing w:before="47"/>
              <w:ind w:left="2"/>
              <w:jc w:val="center"/>
              <w:rPr>
                <w:b/>
                <w:sz w:val="18"/>
              </w:rPr>
            </w:pPr>
            <w:r>
              <w:rPr>
                <w:b/>
                <w:sz w:val="18"/>
              </w:rPr>
              <w:t>II </w:t>
            </w:r>
            <w:r>
              <w:rPr>
                <w:b/>
                <w:spacing w:val="-2"/>
                <w:sz w:val="18"/>
              </w:rPr>
              <w:t>Trimestre</w:t>
            </w:r>
          </w:p>
        </w:tc>
        <w:tc>
          <w:tcPr>
            <w:tcW w:w="3119" w:type="dxa"/>
            <w:gridSpan w:val="2"/>
            <w:shd w:val="clear" w:color="auto" w:fill="F1F1F1"/>
          </w:tcPr>
          <w:p>
            <w:pPr>
              <w:pStyle w:val="TableParagraph"/>
              <w:spacing w:before="47"/>
              <w:ind w:right="3"/>
              <w:jc w:val="center"/>
              <w:rPr>
                <w:b/>
                <w:sz w:val="18"/>
              </w:rPr>
            </w:pPr>
            <w:r>
              <w:rPr>
                <w:b/>
                <w:sz w:val="18"/>
              </w:rPr>
              <w:t>III </w:t>
            </w:r>
            <w:r>
              <w:rPr>
                <w:b/>
                <w:spacing w:val="-2"/>
                <w:sz w:val="18"/>
              </w:rPr>
              <w:t>Trimestre</w:t>
            </w:r>
          </w:p>
        </w:tc>
        <w:tc>
          <w:tcPr>
            <w:tcW w:w="2837" w:type="dxa"/>
            <w:gridSpan w:val="2"/>
            <w:shd w:val="clear" w:color="auto" w:fill="F1F1F1"/>
          </w:tcPr>
          <w:p>
            <w:pPr>
              <w:pStyle w:val="TableParagraph"/>
              <w:spacing w:before="47"/>
              <w:ind w:left="891"/>
              <w:rPr>
                <w:b/>
                <w:sz w:val="18"/>
              </w:rPr>
            </w:pPr>
            <w:r>
              <w:rPr>
                <w:b/>
                <w:sz w:val="18"/>
              </w:rPr>
              <w:t>IV </w:t>
            </w:r>
            <w:r>
              <w:rPr>
                <w:b/>
                <w:spacing w:val="-2"/>
                <w:sz w:val="18"/>
              </w:rPr>
              <w:t>Trimestre</w:t>
            </w:r>
          </w:p>
        </w:tc>
      </w:tr>
      <w:tr>
        <w:trPr>
          <w:trHeight w:val="616" w:hRule="atLeast"/>
        </w:trPr>
        <w:tc>
          <w:tcPr>
            <w:tcW w:w="1563" w:type="dxa"/>
            <w:vMerge/>
            <w:tcBorders>
              <w:top w:val="nil"/>
            </w:tcBorders>
            <w:shd w:val="clear" w:color="auto" w:fill="F1F1F1"/>
          </w:tcPr>
          <w:p>
            <w:pPr>
              <w:rPr>
                <w:sz w:val="2"/>
                <w:szCs w:val="2"/>
              </w:rPr>
            </w:pPr>
          </w:p>
        </w:tc>
        <w:tc>
          <w:tcPr>
            <w:tcW w:w="1275" w:type="dxa"/>
            <w:vMerge/>
            <w:tcBorders>
              <w:top w:val="nil"/>
            </w:tcBorders>
            <w:shd w:val="clear" w:color="auto" w:fill="F1F1F1"/>
          </w:tcPr>
          <w:p>
            <w:pPr>
              <w:rPr>
                <w:sz w:val="2"/>
                <w:szCs w:val="2"/>
              </w:rPr>
            </w:pPr>
          </w:p>
        </w:tc>
        <w:tc>
          <w:tcPr>
            <w:tcW w:w="1561" w:type="dxa"/>
            <w:shd w:val="clear" w:color="auto" w:fill="F1F1F1"/>
          </w:tcPr>
          <w:p>
            <w:pPr>
              <w:pStyle w:val="TableParagraph"/>
              <w:spacing w:before="99"/>
              <w:ind w:left="258" w:firstLine="314"/>
              <w:rPr>
                <w:b/>
                <w:sz w:val="18"/>
              </w:rPr>
            </w:pPr>
            <w:r>
              <w:rPr>
                <w:b/>
                <w:spacing w:val="-4"/>
                <w:sz w:val="18"/>
              </w:rPr>
              <w:t>Meta </w:t>
            </w:r>
            <w:r>
              <w:rPr>
                <w:b/>
                <w:spacing w:val="-2"/>
                <w:sz w:val="18"/>
              </w:rPr>
              <w:t>programada</w:t>
            </w:r>
          </w:p>
        </w:tc>
        <w:tc>
          <w:tcPr>
            <w:tcW w:w="1562" w:type="dxa"/>
            <w:shd w:val="clear" w:color="auto" w:fill="F1F1F1"/>
          </w:tcPr>
          <w:p>
            <w:pPr>
              <w:pStyle w:val="TableParagraph"/>
              <w:spacing w:before="203"/>
              <w:ind w:left="11" w:right="7"/>
              <w:jc w:val="center"/>
              <w:rPr>
                <w:b/>
                <w:sz w:val="18"/>
              </w:rPr>
            </w:pPr>
            <w:r>
              <w:rPr>
                <w:b/>
                <w:spacing w:val="-10"/>
                <w:sz w:val="18"/>
              </w:rPr>
              <w:t>¢</w:t>
            </w:r>
          </w:p>
        </w:tc>
        <w:tc>
          <w:tcPr>
            <w:tcW w:w="1417" w:type="dxa"/>
            <w:shd w:val="clear" w:color="auto" w:fill="F1F1F1"/>
          </w:tcPr>
          <w:p>
            <w:pPr>
              <w:pStyle w:val="TableParagraph"/>
              <w:spacing w:before="99"/>
              <w:ind w:left="183" w:right="71"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203"/>
              <w:ind w:left="45" w:right="45"/>
              <w:jc w:val="center"/>
              <w:rPr>
                <w:b/>
                <w:sz w:val="18"/>
              </w:rPr>
            </w:pPr>
            <w:r>
              <w:rPr>
                <w:b/>
                <w:spacing w:val="-10"/>
                <w:sz w:val="18"/>
              </w:rPr>
              <w:t>¢</w:t>
            </w:r>
          </w:p>
        </w:tc>
        <w:tc>
          <w:tcPr>
            <w:tcW w:w="1558" w:type="dxa"/>
            <w:shd w:val="clear" w:color="auto" w:fill="F1F1F1"/>
          </w:tcPr>
          <w:p>
            <w:pPr>
              <w:pStyle w:val="TableParagraph"/>
              <w:spacing w:before="99"/>
              <w:ind w:left="251" w:firstLine="314"/>
              <w:rPr>
                <w:b/>
                <w:sz w:val="18"/>
              </w:rPr>
            </w:pPr>
            <w:r>
              <w:rPr>
                <w:b/>
                <w:spacing w:val="-4"/>
                <w:sz w:val="18"/>
              </w:rPr>
              <w:t>Meta </w:t>
            </w:r>
            <w:r>
              <w:rPr>
                <w:b/>
                <w:spacing w:val="-2"/>
                <w:sz w:val="18"/>
              </w:rPr>
              <w:t>programada</w:t>
            </w:r>
          </w:p>
        </w:tc>
        <w:tc>
          <w:tcPr>
            <w:tcW w:w="1561" w:type="dxa"/>
            <w:shd w:val="clear" w:color="auto" w:fill="F1F1F1"/>
          </w:tcPr>
          <w:p>
            <w:pPr>
              <w:pStyle w:val="TableParagraph"/>
              <w:spacing w:before="203"/>
              <w:ind w:left="45" w:right="45"/>
              <w:jc w:val="center"/>
              <w:rPr>
                <w:b/>
                <w:sz w:val="18"/>
              </w:rPr>
            </w:pPr>
            <w:r>
              <w:rPr>
                <w:b/>
                <w:spacing w:val="-10"/>
                <w:sz w:val="18"/>
              </w:rPr>
              <w:t>¢</w:t>
            </w:r>
          </w:p>
        </w:tc>
        <w:tc>
          <w:tcPr>
            <w:tcW w:w="1421" w:type="dxa"/>
            <w:shd w:val="clear" w:color="auto" w:fill="F1F1F1"/>
          </w:tcPr>
          <w:p>
            <w:pPr>
              <w:pStyle w:val="TableParagraph"/>
              <w:spacing w:before="99"/>
              <w:ind w:left="181" w:firstLine="314"/>
              <w:rPr>
                <w:b/>
                <w:sz w:val="18"/>
              </w:rPr>
            </w:pPr>
            <w:r>
              <w:rPr>
                <w:b/>
                <w:spacing w:val="-4"/>
                <w:sz w:val="18"/>
              </w:rPr>
              <w:t>Meta </w:t>
            </w:r>
            <w:r>
              <w:rPr>
                <w:b/>
                <w:spacing w:val="-2"/>
                <w:sz w:val="18"/>
              </w:rPr>
              <w:t>programada</w:t>
            </w:r>
          </w:p>
        </w:tc>
        <w:tc>
          <w:tcPr>
            <w:tcW w:w="1416" w:type="dxa"/>
            <w:shd w:val="clear" w:color="auto" w:fill="F1F1F1"/>
          </w:tcPr>
          <w:p>
            <w:pPr>
              <w:pStyle w:val="TableParagraph"/>
              <w:spacing w:before="203"/>
              <w:ind w:left="43" w:right="48"/>
              <w:jc w:val="center"/>
              <w:rPr>
                <w:b/>
                <w:sz w:val="18"/>
              </w:rPr>
            </w:pPr>
            <w:r>
              <w:rPr>
                <w:b/>
                <w:spacing w:val="-10"/>
                <w:sz w:val="18"/>
              </w:rPr>
              <w:t>¢</w:t>
            </w:r>
          </w:p>
        </w:tc>
      </w:tr>
      <w:tr>
        <w:trPr>
          <w:trHeight w:val="2887" w:hRule="atLeast"/>
        </w:trPr>
        <w:tc>
          <w:tcPr>
            <w:tcW w:w="1563" w:type="dxa"/>
          </w:tcPr>
          <w:p>
            <w:pPr>
              <w:pStyle w:val="TableParagraph"/>
              <w:ind w:left="69" w:right="80"/>
              <w:rPr>
                <w:sz w:val="18"/>
              </w:rPr>
            </w:pPr>
            <w:r>
              <w:rPr>
                <w:sz w:val="18"/>
              </w:rPr>
              <w:t>las tiendas AIJS, AIDO y Edificio y </w:t>
            </w:r>
            <w:r>
              <w:rPr>
                <w:spacing w:val="-2"/>
                <w:sz w:val="18"/>
              </w:rPr>
              <w:t>oficinas </w:t>
            </w:r>
            <w:r>
              <w:rPr>
                <w:sz w:val="18"/>
              </w:rPr>
              <w:t>Administrativas y </w:t>
            </w:r>
            <w:r>
              <w:rPr>
                <w:spacing w:val="-4"/>
                <w:sz w:val="18"/>
              </w:rPr>
              <w:t>los </w:t>
            </w:r>
            <w:r>
              <w:rPr>
                <w:spacing w:val="-2"/>
                <w:sz w:val="18"/>
              </w:rPr>
              <w:t>mantenimientos </w:t>
            </w:r>
            <w:r>
              <w:rPr>
                <w:sz w:val="18"/>
              </w:rPr>
              <w:t>de equipo necesarios para la operación del negocio</w:t>
            </w:r>
            <w:r>
              <w:rPr>
                <w:spacing w:val="-3"/>
                <w:sz w:val="18"/>
              </w:rPr>
              <w:t> </w:t>
            </w:r>
            <w:r>
              <w:rPr>
                <w:spacing w:val="-2"/>
                <w:sz w:val="18"/>
              </w:rPr>
              <w:t>(Partidas</w:t>
            </w:r>
          </w:p>
          <w:p>
            <w:pPr>
              <w:pStyle w:val="TableParagraph"/>
              <w:spacing w:line="206" w:lineRule="exact"/>
              <w:ind w:left="69"/>
              <w:rPr>
                <w:sz w:val="18"/>
              </w:rPr>
            </w:pPr>
            <w:r>
              <w:rPr>
                <w:sz w:val="18"/>
              </w:rPr>
              <w:t>:1.08.01,</w:t>
            </w:r>
            <w:r>
              <w:rPr>
                <w:spacing w:val="-8"/>
                <w:sz w:val="18"/>
              </w:rPr>
              <w:t> </w:t>
            </w:r>
            <w:r>
              <w:rPr>
                <w:spacing w:val="-2"/>
                <w:sz w:val="18"/>
              </w:rPr>
              <w:t>1.08.04,</w:t>
            </w:r>
          </w:p>
          <w:p>
            <w:pPr>
              <w:pStyle w:val="TableParagraph"/>
              <w:spacing w:line="206" w:lineRule="exact"/>
              <w:ind w:left="69"/>
              <w:rPr>
                <w:sz w:val="18"/>
              </w:rPr>
            </w:pPr>
            <w:r>
              <w:rPr>
                <w:sz w:val="18"/>
              </w:rPr>
              <w:t>1.08.05,</w:t>
            </w:r>
            <w:r>
              <w:rPr>
                <w:spacing w:val="-6"/>
                <w:sz w:val="18"/>
              </w:rPr>
              <w:t> </w:t>
            </w:r>
            <w:r>
              <w:rPr>
                <w:spacing w:val="-2"/>
                <w:sz w:val="18"/>
              </w:rPr>
              <w:t>1.08.07,</w:t>
            </w:r>
          </w:p>
          <w:p>
            <w:pPr>
              <w:pStyle w:val="TableParagraph"/>
              <w:spacing w:line="207" w:lineRule="exact"/>
              <w:ind w:left="69"/>
              <w:rPr>
                <w:sz w:val="18"/>
              </w:rPr>
            </w:pPr>
            <w:r>
              <w:rPr>
                <w:sz w:val="18"/>
              </w:rPr>
              <w:t>1.08.08</w:t>
            </w:r>
            <w:r>
              <w:rPr>
                <w:spacing w:val="-4"/>
                <w:sz w:val="18"/>
              </w:rPr>
              <w:t> </w:t>
            </w:r>
            <w:r>
              <w:rPr>
                <w:spacing w:val="-10"/>
                <w:sz w:val="18"/>
              </w:rPr>
              <w:t>y</w:t>
            </w:r>
          </w:p>
          <w:p>
            <w:pPr>
              <w:pStyle w:val="TableParagraph"/>
              <w:spacing w:line="187" w:lineRule="exact"/>
              <w:ind w:left="69"/>
              <w:rPr>
                <w:sz w:val="18"/>
              </w:rPr>
            </w:pPr>
            <w:r>
              <w:rPr>
                <w:spacing w:val="-2"/>
                <w:sz w:val="18"/>
              </w:rPr>
              <w:t>1.08.99)</w:t>
            </w:r>
          </w:p>
        </w:tc>
        <w:tc>
          <w:tcPr>
            <w:tcW w:w="1275" w:type="dxa"/>
          </w:tcPr>
          <w:p>
            <w:pPr>
              <w:pStyle w:val="TableParagraph"/>
              <w:rPr>
                <w:rFonts w:ascii="Times New Roman"/>
                <w:sz w:val="18"/>
              </w:rPr>
            </w:pPr>
          </w:p>
        </w:tc>
        <w:tc>
          <w:tcPr>
            <w:tcW w:w="1561" w:type="dxa"/>
          </w:tcPr>
          <w:p>
            <w:pPr>
              <w:pStyle w:val="TableParagraph"/>
              <w:rPr>
                <w:rFonts w:ascii="Times New Roman"/>
                <w:sz w:val="18"/>
              </w:rPr>
            </w:pPr>
          </w:p>
        </w:tc>
        <w:tc>
          <w:tcPr>
            <w:tcW w:w="1562" w:type="dxa"/>
          </w:tcPr>
          <w:p>
            <w:pPr>
              <w:pStyle w:val="TableParagraph"/>
              <w:rPr>
                <w:rFonts w:ascii="Times New Roman"/>
                <w:sz w:val="18"/>
              </w:rPr>
            </w:pPr>
          </w:p>
        </w:tc>
        <w:tc>
          <w:tcPr>
            <w:tcW w:w="1417" w:type="dxa"/>
          </w:tcPr>
          <w:p>
            <w:pPr>
              <w:pStyle w:val="TableParagraph"/>
              <w:rPr>
                <w:rFonts w:ascii="Times New Roman"/>
                <w:sz w:val="18"/>
              </w:rPr>
            </w:pPr>
          </w:p>
        </w:tc>
        <w:tc>
          <w:tcPr>
            <w:tcW w:w="1561" w:type="dxa"/>
          </w:tcPr>
          <w:p>
            <w:pPr>
              <w:pStyle w:val="TableParagraph"/>
              <w:rPr>
                <w:rFonts w:ascii="Times New Roman"/>
                <w:sz w:val="18"/>
              </w:rPr>
            </w:pPr>
          </w:p>
        </w:tc>
        <w:tc>
          <w:tcPr>
            <w:tcW w:w="1558" w:type="dxa"/>
          </w:tcPr>
          <w:p>
            <w:pPr>
              <w:pStyle w:val="TableParagraph"/>
              <w:rPr>
                <w:rFonts w:ascii="Times New Roman"/>
                <w:sz w:val="18"/>
              </w:rPr>
            </w:pPr>
          </w:p>
        </w:tc>
        <w:tc>
          <w:tcPr>
            <w:tcW w:w="1561" w:type="dxa"/>
          </w:tcPr>
          <w:p>
            <w:pPr>
              <w:pStyle w:val="TableParagraph"/>
              <w:rPr>
                <w:rFonts w:ascii="Times New Roman"/>
                <w:sz w:val="18"/>
              </w:rPr>
            </w:pPr>
          </w:p>
        </w:tc>
        <w:tc>
          <w:tcPr>
            <w:tcW w:w="1421" w:type="dxa"/>
          </w:tcPr>
          <w:p>
            <w:pPr>
              <w:pStyle w:val="TableParagraph"/>
              <w:rPr>
                <w:rFonts w:ascii="Times New Roman"/>
                <w:sz w:val="18"/>
              </w:rPr>
            </w:pPr>
          </w:p>
        </w:tc>
        <w:tc>
          <w:tcPr>
            <w:tcW w:w="1416" w:type="dxa"/>
          </w:tcPr>
          <w:p>
            <w:pPr>
              <w:pStyle w:val="TableParagraph"/>
              <w:rPr>
                <w:rFonts w:ascii="Times New Roman"/>
                <w:sz w:val="18"/>
              </w:rPr>
            </w:pPr>
          </w:p>
        </w:tc>
      </w:tr>
      <w:tr>
        <w:trPr>
          <w:trHeight w:val="1656" w:hRule="atLeast"/>
        </w:trPr>
        <w:tc>
          <w:tcPr>
            <w:tcW w:w="1563"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ind w:left="69" w:right="166"/>
              <w:rPr>
                <w:sz w:val="18"/>
              </w:rPr>
            </w:pPr>
            <w:r>
              <w:rPr>
                <w:sz w:val="18"/>
              </w:rPr>
              <mc:AlternateContent>
                <mc:Choice Requires="wps">
                  <w:drawing>
                    <wp:anchor distT="0" distB="0" distL="0" distR="0" allowOverlap="1" layoutInCell="1" locked="0" behindDoc="1" simplePos="0" relativeHeight="475340800">
                      <wp:simplePos x="0" y="0"/>
                      <wp:positionH relativeFrom="column">
                        <wp:posOffset>338327</wp:posOffset>
                      </wp:positionH>
                      <wp:positionV relativeFrom="paragraph">
                        <wp:posOffset>531</wp:posOffset>
                      </wp:positionV>
                      <wp:extent cx="32384" cy="132715"/>
                      <wp:effectExtent l="0" t="0" r="0" b="0"/>
                      <wp:wrapNone/>
                      <wp:docPr id="92" name="Group 92"/>
                      <wp:cNvGraphicFramePr>
                        <a:graphicFrameLocks/>
                      </wp:cNvGraphicFramePr>
                      <a:graphic>
                        <a:graphicData uri="http://schemas.microsoft.com/office/word/2010/wordprocessingGroup">
                          <wpg:wgp>
                            <wpg:cNvPr id="92" name="Group 92"/>
                            <wpg:cNvGrpSpPr/>
                            <wpg:grpSpPr>
                              <a:xfrm>
                                <a:off x="0" y="0"/>
                                <a:ext cx="32384" cy="132715"/>
                                <a:chExt cx="32384" cy="132715"/>
                              </a:xfrm>
                            </wpg:grpSpPr>
                            <wps:wsp>
                              <wps:cNvPr id="93" name="Graphic 93"/>
                              <wps:cNvSpPr/>
                              <wps:spPr>
                                <a:xfrm>
                                  <a:off x="0" y="0"/>
                                  <a:ext cx="32384" cy="132715"/>
                                </a:xfrm>
                                <a:custGeom>
                                  <a:avLst/>
                                  <a:gdLst/>
                                  <a:ahLst/>
                                  <a:cxnLst/>
                                  <a:rect l="l" t="t" r="r" b="b"/>
                                  <a:pathLst>
                                    <a:path w="32384" h="132715">
                                      <a:moveTo>
                                        <a:pt x="32004" y="0"/>
                                      </a:moveTo>
                                      <a:lnTo>
                                        <a:pt x="0" y="0"/>
                                      </a:lnTo>
                                      <a:lnTo>
                                        <a:pt x="0" y="132587"/>
                                      </a:lnTo>
                                      <a:lnTo>
                                        <a:pt x="32004" y="132587"/>
                                      </a:lnTo>
                                      <a:lnTo>
                                        <a:pt x="32004" y="0"/>
                                      </a:lnTo>
                                      <a:close/>
                                    </a:path>
                                  </a:pathLst>
                                </a:custGeom>
                                <a:solidFill>
                                  <a:srgbClr val="DAEDF3"/>
                                </a:solidFill>
                              </wps:spPr>
                              <wps:bodyPr wrap="square" lIns="0" tIns="0" rIns="0" bIns="0" rtlCol="0">
                                <a:prstTxWarp prst="textNoShape">
                                  <a:avLst/>
                                </a:prstTxWarp>
                                <a:noAutofit/>
                              </wps:bodyPr>
                            </wps:wsp>
                          </wpg:wgp>
                        </a:graphicData>
                      </a:graphic>
                    </wp:anchor>
                  </w:drawing>
                </mc:Choice>
                <mc:Fallback>
                  <w:pict>
                    <v:group style="position:absolute;margin-left:26.639999pt;margin-top:.04188pt;width:2.550pt;height:10.45pt;mso-position-horizontal-relative:column;mso-position-vertical-relative:paragraph;z-index:-27975680" id="docshapegroup72" coordorigin="533,1" coordsize="51,209">
                      <v:rect style="position:absolute;left:532;top:0;width:51;height:209" id="docshape73" filled="true" fillcolor="#daedf3" stroked="false">
                        <v:fill type="solid"/>
                      </v:rect>
                      <w10:wrap type="none"/>
                    </v:group>
                  </w:pict>
                </mc:Fallback>
              </mc:AlternateContent>
            </w:r>
            <w:r>
              <w:rPr>
                <w:b/>
                <w:sz w:val="18"/>
              </w:rPr>
              <w:t>3.4.8: </w:t>
            </w:r>
            <w:r>
              <w:rPr>
                <w:sz w:val="18"/>
              </w:rPr>
              <w:t>Ejecutar los proyectos programados</w:t>
            </w:r>
            <w:r>
              <w:rPr>
                <w:spacing w:val="-13"/>
                <w:sz w:val="18"/>
              </w:rPr>
              <w:t> </w:t>
            </w:r>
            <w:r>
              <w:rPr>
                <w:sz w:val="18"/>
              </w:rPr>
              <w:t>de acuerdo con la </w:t>
            </w:r>
            <w:r>
              <w:rPr>
                <w:spacing w:val="-2"/>
                <w:sz w:val="18"/>
              </w:rPr>
              <w:t>contratación</w:t>
            </w:r>
          </w:p>
          <w:p>
            <w:pPr>
              <w:pStyle w:val="TableParagraph"/>
              <w:spacing w:line="206" w:lineRule="exact"/>
              <w:ind w:left="69"/>
              <w:rPr>
                <w:sz w:val="18"/>
              </w:rPr>
            </w:pPr>
            <w:r>
              <w:rPr>
                <w:spacing w:val="-2"/>
                <w:sz w:val="18"/>
              </w:rPr>
              <w:t>Trademarketing (1.04.04)</w:t>
            </w:r>
          </w:p>
        </w:tc>
        <w:tc>
          <w:tcPr>
            <w:tcW w:w="1275" w:type="dxa"/>
          </w:tcPr>
          <w:p>
            <w:pPr>
              <w:pStyle w:val="TableParagraph"/>
              <w:rPr>
                <w:b/>
                <w:sz w:val="18"/>
              </w:rPr>
            </w:pPr>
          </w:p>
          <w:p>
            <w:pPr>
              <w:pStyle w:val="TableParagraph"/>
              <w:spacing w:before="103"/>
              <w:rPr>
                <w:b/>
                <w:sz w:val="18"/>
              </w:rPr>
            </w:pPr>
          </w:p>
          <w:p>
            <w:pPr>
              <w:pStyle w:val="TableParagraph"/>
              <w:ind w:left="69" w:right="78"/>
              <w:rPr>
                <w:sz w:val="18"/>
              </w:rPr>
            </w:pPr>
            <w:r>
              <w:rPr>
                <w:sz w:val="18"/>
              </w:rPr>
              <w:t>Porcentaje</w:t>
            </w:r>
            <w:r>
              <w:rPr>
                <w:spacing w:val="-13"/>
                <w:sz w:val="18"/>
              </w:rPr>
              <w:t> </w:t>
            </w:r>
            <w:r>
              <w:rPr>
                <w:sz w:val="18"/>
              </w:rPr>
              <w:t>de </w:t>
            </w:r>
            <w:r>
              <w:rPr>
                <w:spacing w:val="-2"/>
                <w:sz w:val="18"/>
              </w:rPr>
              <w:t>proyectos ejecutados</w:t>
            </w:r>
          </w:p>
        </w:tc>
        <w:tc>
          <w:tcPr>
            <w:tcW w:w="156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45" w:right="36"/>
              <w:jc w:val="center"/>
              <w:rPr>
                <w:sz w:val="18"/>
              </w:rPr>
            </w:pPr>
            <w:r>
              <w:rPr>
                <w:spacing w:val="-5"/>
                <w:sz w:val="18"/>
              </w:rPr>
              <w:t>18%</w:t>
            </w:r>
          </w:p>
        </w:tc>
        <w:tc>
          <w:tcPr>
            <w:tcW w:w="1562"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557"/>
              <w:rPr>
                <w:sz w:val="18"/>
              </w:rPr>
            </w:pPr>
            <w:r>
              <w:rPr>
                <w:sz w:val="18"/>
              </w:rPr>
              <w:t>₡8.000</w:t>
            </w:r>
            <w:r>
              <w:rPr>
                <w:spacing w:val="-4"/>
                <w:sz w:val="18"/>
              </w:rPr>
              <w:t> </w:t>
            </w:r>
            <w:r>
              <w:rPr>
                <w:spacing w:val="-5"/>
                <w:sz w:val="18"/>
              </w:rPr>
              <w:t>000</w:t>
            </w:r>
          </w:p>
        </w:tc>
        <w:tc>
          <w:tcPr>
            <w:tcW w:w="1417"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8" w:right="4"/>
              <w:jc w:val="center"/>
              <w:rPr>
                <w:sz w:val="18"/>
              </w:rPr>
            </w:pPr>
            <w:r>
              <w:rPr>
                <w:spacing w:val="-5"/>
                <w:sz w:val="18"/>
              </w:rPr>
              <w:t>33%</w:t>
            </w:r>
          </w:p>
        </w:tc>
        <w:tc>
          <w:tcPr>
            <w:tcW w:w="156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61"/>
              <w:jc w:val="right"/>
              <w:rPr>
                <w:sz w:val="18"/>
              </w:rPr>
            </w:pPr>
            <w:r>
              <w:rPr>
                <w:sz w:val="18"/>
              </w:rPr>
              <w:t>₡15 000</w:t>
            </w:r>
            <w:r>
              <w:rPr>
                <w:spacing w:val="-2"/>
                <w:sz w:val="18"/>
              </w:rPr>
              <w:t> </w:t>
            </w:r>
            <w:r>
              <w:rPr>
                <w:spacing w:val="-5"/>
                <w:sz w:val="18"/>
              </w:rPr>
              <w:t>000</w:t>
            </w:r>
          </w:p>
        </w:tc>
        <w:tc>
          <w:tcPr>
            <w:tcW w:w="1558"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34" w:right="34"/>
              <w:jc w:val="center"/>
              <w:rPr>
                <w:sz w:val="18"/>
              </w:rPr>
            </w:pPr>
            <w:r>
              <w:rPr>
                <w:spacing w:val="-5"/>
                <w:sz w:val="18"/>
              </w:rPr>
              <w:t>33%</w:t>
            </w:r>
          </w:p>
        </w:tc>
        <w:tc>
          <w:tcPr>
            <w:tcW w:w="156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452"/>
              <w:rPr>
                <w:sz w:val="18"/>
              </w:rPr>
            </w:pPr>
            <w:r>
              <w:rPr>
                <w:sz w:val="18"/>
              </w:rPr>
              <w:t>₡15 000</w:t>
            </w:r>
            <w:r>
              <w:rPr>
                <w:spacing w:val="-2"/>
                <w:sz w:val="18"/>
              </w:rPr>
              <w:t> </w:t>
            </w:r>
            <w:r>
              <w:rPr>
                <w:spacing w:val="-5"/>
                <w:sz w:val="18"/>
              </w:rPr>
              <w:t>000</w:t>
            </w:r>
          </w:p>
        </w:tc>
        <w:tc>
          <w:tcPr>
            <w:tcW w:w="142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8" w:right="10"/>
              <w:jc w:val="center"/>
              <w:rPr>
                <w:sz w:val="18"/>
              </w:rPr>
            </w:pPr>
            <w:r>
              <w:rPr>
                <w:spacing w:val="-5"/>
                <w:sz w:val="18"/>
              </w:rPr>
              <w:t>16%</w:t>
            </w:r>
          </w:p>
        </w:tc>
        <w:tc>
          <w:tcPr>
            <w:tcW w:w="141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63"/>
              <w:jc w:val="right"/>
              <w:rPr>
                <w:sz w:val="18"/>
              </w:rPr>
            </w:pPr>
            <w:r>
              <w:rPr>
                <w:sz w:val="18"/>
              </w:rPr>
              <w:t>₡7 000</w:t>
            </w:r>
            <w:r>
              <w:rPr>
                <w:spacing w:val="-2"/>
                <w:sz w:val="18"/>
              </w:rPr>
              <w:t> </w:t>
            </w:r>
            <w:r>
              <w:rPr>
                <w:spacing w:val="-5"/>
                <w:sz w:val="18"/>
              </w:rPr>
              <w:t>000</w:t>
            </w:r>
          </w:p>
        </w:tc>
      </w:tr>
      <w:tr>
        <w:trPr>
          <w:trHeight w:val="1864" w:hRule="atLeast"/>
        </w:trPr>
        <w:tc>
          <w:tcPr>
            <w:tcW w:w="1563"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ind w:left="69" w:right="88"/>
              <w:rPr>
                <w:sz w:val="18"/>
              </w:rPr>
            </w:pPr>
            <w:r>
              <w:rPr>
                <w:b/>
                <w:sz w:val="18"/>
              </w:rPr>
              <w:t>3.4.9</w:t>
            </w:r>
            <w:r>
              <w:rPr>
                <w:sz w:val="18"/>
              </w:rPr>
              <w:t>: Efectuar </w:t>
            </w:r>
            <w:r>
              <w:rPr>
                <w:spacing w:val="-2"/>
                <w:sz w:val="18"/>
              </w:rPr>
              <w:t>mediante</w:t>
            </w:r>
            <w:r>
              <w:rPr>
                <w:spacing w:val="40"/>
                <w:sz w:val="18"/>
              </w:rPr>
              <w:t> </w:t>
            </w:r>
            <w:r>
              <w:rPr>
                <w:sz w:val="18"/>
              </w:rPr>
              <w:t>proceso de contratación la Auditoría</w:t>
            </w:r>
            <w:r>
              <w:rPr>
                <w:spacing w:val="-13"/>
                <w:sz w:val="18"/>
              </w:rPr>
              <w:t> </w:t>
            </w:r>
            <w:r>
              <w:rPr>
                <w:sz w:val="18"/>
              </w:rPr>
              <w:t>Externa y la toma física</w:t>
            </w:r>
          </w:p>
          <w:p>
            <w:pPr>
              <w:pStyle w:val="TableParagraph"/>
              <w:spacing w:line="206" w:lineRule="exact"/>
              <w:ind w:left="69" w:right="136"/>
              <w:rPr>
                <w:sz w:val="18"/>
              </w:rPr>
            </w:pPr>
            <w:r>
              <w:rPr>
                <w:sz w:val="18"/>
              </w:rPr>
              <w:t>de inventarios (Partida</w:t>
            </w:r>
            <w:r>
              <w:rPr>
                <w:spacing w:val="-13"/>
                <w:sz w:val="18"/>
              </w:rPr>
              <w:t> </w:t>
            </w:r>
            <w:r>
              <w:rPr>
                <w:sz w:val="18"/>
              </w:rPr>
              <w:t>1.04.04)</w:t>
            </w:r>
          </w:p>
        </w:tc>
        <w:tc>
          <w:tcPr>
            <w:tcW w:w="1275" w:type="dxa"/>
          </w:tcPr>
          <w:p>
            <w:pPr>
              <w:pStyle w:val="TableParagraph"/>
              <w:rPr>
                <w:b/>
                <w:sz w:val="18"/>
              </w:rPr>
            </w:pPr>
          </w:p>
          <w:p>
            <w:pPr>
              <w:pStyle w:val="TableParagraph"/>
              <w:spacing w:before="206"/>
              <w:rPr>
                <w:b/>
                <w:sz w:val="18"/>
              </w:rPr>
            </w:pPr>
          </w:p>
          <w:p>
            <w:pPr>
              <w:pStyle w:val="TableParagraph"/>
              <w:ind w:left="69" w:right="78"/>
              <w:rPr>
                <w:sz w:val="18"/>
              </w:rPr>
            </w:pPr>
            <w:r>
              <w:rPr>
                <w:sz w:val="18"/>
              </w:rPr>
              <w:t>Cantidad de </w:t>
            </w:r>
            <w:r>
              <w:rPr>
                <w:spacing w:val="-2"/>
                <w:sz w:val="18"/>
              </w:rPr>
              <w:t>contratacione </w:t>
            </w:r>
            <w:r>
              <w:rPr>
                <w:sz w:val="18"/>
              </w:rPr>
              <w:t>s ejecutadas</w:t>
            </w:r>
          </w:p>
        </w:tc>
        <w:tc>
          <w:tcPr>
            <w:tcW w:w="1561" w:type="dxa"/>
          </w:tcPr>
          <w:p>
            <w:pPr>
              <w:pStyle w:val="TableParagraph"/>
              <w:rPr>
                <w:rFonts w:ascii="Times New Roman"/>
                <w:sz w:val="18"/>
              </w:rPr>
            </w:pPr>
          </w:p>
        </w:tc>
        <w:tc>
          <w:tcPr>
            <w:tcW w:w="1562" w:type="dxa"/>
          </w:tcPr>
          <w:p>
            <w:pPr>
              <w:pStyle w:val="TableParagraph"/>
              <w:rPr>
                <w:rFonts w:ascii="Times New Roman"/>
                <w:sz w:val="18"/>
              </w:rPr>
            </w:pPr>
          </w:p>
        </w:tc>
        <w:tc>
          <w:tcPr>
            <w:tcW w:w="1417"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8" w:right="7"/>
              <w:jc w:val="center"/>
              <w:rPr>
                <w:sz w:val="18"/>
              </w:rPr>
            </w:pPr>
            <w:r>
              <w:rPr>
                <w:spacing w:val="-10"/>
                <w:sz w:val="18"/>
              </w:rPr>
              <w:t>1</w:t>
            </w:r>
          </w:p>
        </w:tc>
        <w:tc>
          <w:tcPr>
            <w:tcW w:w="1561" w:type="dxa"/>
          </w:tcPr>
          <w:p>
            <w:pPr>
              <w:pStyle w:val="TableParagraph"/>
              <w:rPr>
                <w:b/>
                <w:sz w:val="18"/>
              </w:rPr>
            </w:pPr>
          </w:p>
          <w:p>
            <w:pPr>
              <w:pStyle w:val="TableParagraph"/>
              <w:rPr>
                <w:b/>
                <w:sz w:val="18"/>
              </w:rPr>
            </w:pPr>
          </w:p>
          <w:p>
            <w:pPr>
              <w:pStyle w:val="TableParagraph"/>
              <w:spacing w:before="206"/>
              <w:rPr>
                <w:b/>
                <w:sz w:val="18"/>
              </w:rPr>
            </w:pPr>
          </w:p>
          <w:p>
            <w:pPr>
              <w:pStyle w:val="TableParagraph"/>
              <w:ind w:right="60"/>
              <w:jc w:val="right"/>
              <w:rPr>
                <w:sz w:val="18"/>
              </w:rPr>
            </w:pPr>
            <w:r>
              <w:rPr>
                <w:sz w:val="18"/>
              </w:rPr>
              <w:t>₡15</w:t>
            </w:r>
            <w:r>
              <w:rPr>
                <w:spacing w:val="-1"/>
                <w:sz w:val="18"/>
              </w:rPr>
              <w:t> </w:t>
            </w:r>
            <w:r>
              <w:rPr>
                <w:sz w:val="18"/>
              </w:rPr>
              <w:t>000</w:t>
            </w:r>
            <w:r>
              <w:rPr>
                <w:spacing w:val="-2"/>
                <w:sz w:val="18"/>
              </w:rPr>
              <w:t> </w:t>
            </w:r>
            <w:r>
              <w:rPr>
                <w:spacing w:val="-5"/>
                <w:sz w:val="18"/>
              </w:rPr>
              <w:t>000</w:t>
            </w:r>
          </w:p>
        </w:tc>
        <w:tc>
          <w:tcPr>
            <w:tcW w:w="1558" w:type="dxa"/>
          </w:tcPr>
          <w:p>
            <w:pPr>
              <w:pStyle w:val="TableParagraph"/>
              <w:rPr>
                <w:rFonts w:ascii="Times New Roman"/>
                <w:sz w:val="18"/>
              </w:rPr>
            </w:pPr>
          </w:p>
        </w:tc>
        <w:tc>
          <w:tcPr>
            <w:tcW w:w="1561" w:type="dxa"/>
          </w:tcPr>
          <w:p>
            <w:pPr>
              <w:pStyle w:val="TableParagraph"/>
              <w:rPr>
                <w:rFonts w:ascii="Times New Roman"/>
                <w:sz w:val="18"/>
              </w:rPr>
            </w:pPr>
          </w:p>
        </w:tc>
        <w:tc>
          <w:tcPr>
            <w:tcW w:w="1421"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8" w:right="13"/>
              <w:jc w:val="center"/>
              <w:rPr>
                <w:sz w:val="18"/>
              </w:rPr>
            </w:pPr>
            <w:r>
              <w:rPr>
                <w:spacing w:val="-10"/>
                <w:sz w:val="18"/>
              </w:rPr>
              <w:t>1</w:t>
            </w:r>
          </w:p>
        </w:tc>
        <w:tc>
          <w:tcPr>
            <w:tcW w:w="1416" w:type="dxa"/>
          </w:tcPr>
          <w:p>
            <w:pPr>
              <w:pStyle w:val="TableParagraph"/>
              <w:rPr>
                <w:b/>
                <w:sz w:val="18"/>
              </w:rPr>
            </w:pPr>
          </w:p>
          <w:p>
            <w:pPr>
              <w:pStyle w:val="TableParagraph"/>
              <w:rPr>
                <w:b/>
                <w:sz w:val="18"/>
              </w:rPr>
            </w:pPr>
          </w:p>
          <w:p>
            <w:pPr>
              <w:pStyle w:val="TableParagraph"/>
              <w:spacing w:before="206"/>
              <w:rPr>
                <w:b/>
                <w:sz w:val="18"/>
              </w:rPr>
            </w:pPr>
          </w:p>
          <w:p>
            <w:pPr>
              <w:pStyle w:val="TableParagraph"/>
              <w:ind w:right="63"/>
              <w:jc w:val="right"/>
              <w:rPr>
                <w:sz w:val="18"/>
              </w:rPr>
            </w:pPr>
            <w:r>
              <w:rPr>
                <w:sz w:val="18"/>
              </w:rPr>
              <w:t>₡10</w:t>
            </w:r>
            <w:r>
              <w:rPr>
                <w:spacing w:val="-1"/>
                <w:sz w:val="18"/>
              </w:rPr>
              <w:t> </w:t>
            </w:r>
            <w:r>
              <w:rPr>
                <w:sz w:val="18"/>
              </w:rPr>
              <w:t>000</w:t>
            </w:r>
            <w:r>
              <w:rPr>
                <w:spacing w:val="-2"/>
                <w:sz w:val="18"/>
              </w:rPr>
              <w:t> </w:t>
            </w:r>
            <w:r>
              <w:rPr>
                <w:spacing w:val="-5"/>
                <w:sz w:val="18"/>
              </w:rPr>
              <w:t>000</w:t>
            </w:r>
          </w:p>
        </w:tc>
      </w:tr>
    </w:tbl>
    <w:p>
      <w:pPr>
        <w:pStyle w:val="TableParagraph"/>
        <w:spacing w:after="0"/>
        <w:jc w:val="right"/>
        <w:rPr>
          <w:sz w:val="18"/>
        </w:rPr>
        <w:sectPr>
          <w:pgSz w:w="15840" w:h="12240" w:orient="landscape"/>
          <w:pgMar w:header="0" w:footer="1530" w:top="1380" w:bottom="2040" w:left="360" w:right="360"/>
        </w:sectPr>
      </w:pPr>
    </w:p>
    <w:p>
      <w:pPr>
        <w:pStyle w:val="Heading3"/>
        <w:numPr>
          <w:ilvl w:val="0"/>
          <w:numId w:val="5"/>
        </w:numPr>
        <w:tabs>
          <w:tab w:pos="387" w:val="left" w:leader="none"/>
        </w:tabs>
        <w:spacing w:line="240" w:lineRule="auto" w:before="79" w:after="0"/>
        <w:ind w:left="387" w:right="0" w:hanging="267"/>
        <w:jc w:val="left"/>
      </w:pPr>
      <w:bookmarkStart w:name="_bookmark77" w:id="78"/>
      <w:bookmarkEnd w:id="78"/>
      <w:r>
        <w:rPr>
          <w:b w:val="0"/>
        </w:rPr>
      </w:r>
      <w:r>
        <w:rPr>
          <w:spacing w:val="-2"/>
        </w:rPr>
        <w:t>Anexos</w:t>
      </w:r>
    </w:p>
    <w:p>
      <w:pPr>
        <w:pStyle w:val="BodyText"/>
        <w:rPr>
          <w:b/>
          <w:sz w:val="24"/>
        </w:rPr>
      </w:pPr>
    </w:p>
    <w:p>
      <w:pPr>
        <w:pStyle w:val="Heading3"/>
        <w:ind w:left="120"/>
      </w:pPr>
      <w:bookmarkStart w:name="_bookmark78" w:id="79"/>
      <w:bookmarkEnd w:id="79"/>
      <w:r>
        <w:rPr>
          <w:b w:val="0"/>
        </w:rPr>
      </w:r>
      <w:r>
        <w:rPr/>
        <w:t>Anexo</w:t>
      </w:r>
      <w:r>
        <w:rPr>
          <w:spacing w:val="-5"/>
        </w:rPr>
        <w:t> </w:t>
      </w:r>
      <w:r>
        <w:rPr/>
        <w:t>I:</w:t>
      </w:r>
      <w:r>
        <w:rPr>
          <w:spacing w:val="-5"/>
        </w:rPr>
        <w:t> </w:t>
      </w:r>
      <w:r>
        <w:rPr/>
        <w:t>Acuerdo</w:t>
      </w:r>
      <w:r>
        <w:rPr>
          <w:spacing w:val="-4"/>
        </w:rPr>
        <w:t> </w:t>
      </w:r>
      <w:r>
        <w:rPr/>
        <w:t>del</w:t>
      </w:r>
      <w:r>
        <w:rPr>
          <w:spacing w:val="-6"/>
        </w:rPr>
        <w:t> </w:t>
      </w:r>
      <w:r>
        <w:rPr/>
        <w:t>Consejo</w:t>
      </w:r>
      <w:r>
        <w:rPr>
          <w:spacing w:val="-4"/>
        </w:rPr>
        <w:t> </w:t>
      </w:r>
      <w:r>
        <w:rPr/>
        <w:t>Directivo</w:t>
      </w:r>
      <w:r>
        <w:rPr>
          <w:spacing w:val="-4"/>
        </w:rPr>
        <w:t> </w:t>
      </w:r>
      <w:r>
        <w:rPr/>
        <w:t>Aprobación</w:t>
      </w:r>
      <w:r>
        <w:rPr>
          <w:spacing w:val="-4"/>
        </w:rPr>
        <w:t> </w:t>
      </w:r>
      <w:r>
        <w:rPr/>
        <w:t>POI/Presupuesto</w:t>
      </w:r>
      <w:r>
        <w:rPr>
          <w:spacing w:val="-5"/>
        </w:rPr>
        <w:t> </w:t>
      </w:r>
      <w:r>
        <w:rPr>
          <w:spacing w:val="-4"/>
        </w:rPr>
        <w:t>2027</w:t>
      </w:r>
    </w:p>
    <w:p>
      <w:pPr>
        <w:pStyle w:val="Heading3"/>
        <w:spacing w:after="0"/>
        <w:sectPr>
          <w:footerReference w:type="default" r:id="rId56"/>
          <w:pgSz w:w="12240" w:h="15840"/>
          <w:pgMar w:header="0" w:footer="2404" w:top="1340" w:bottom="2600" w:left="1440" w:right="360"/>
        </w:sectPr>
      </w:pPr>
    </w:p>
    <w:p>
      <w:pPr>
        <w:pStyle w:val="Heading3"/>
        <w:spacing w:before="75"/>
        <w:ind w:left="120" w:right="1334"/>
        <w:jc w:val="both"/>
      </w:pPr>
      <w:bookmarkStart w:name="_bookmark79" w:id="80"/>
      <w:bookmarkEnd w:id="80"/>
      <w:r>
        <w:rPr>
          <w:b w:val="0"/>
        </w:rPr>
      </w:r>
      <w:r>
        <w:rPr/>
        <w:t>Anexo</w:t>
      </w:r>
      <w:r>
        <w:rPr>
          <w:spacing w:val="-6"/>
        </w:rPr>
        <w:t> </w:t>
      </w:r>
      <w:r>
        <w:rPr/>
        <w:t>II:</w:t>
      </w:r>
      <w:r>
        <w:rPr>
          <w:spacing w:val="-7"/>
        </w:rPr>
        <w:t> </w:t>
      </w:r>
      <w:r>
        <w:rPr/>
        <w:t>Criterio</w:t>
      </w:r>
      <w:r>
        <w:rPr>
          <w:spacing w:val="-6"/>
        </w:rPr>
        <w:t> </w:t>
      </w:r>
      <w:r>
        <w:rPr/>
        <w:t>de</w:t>
      </w:r>
      <w:r>
        <w:rPr>
          <w:spacing w:val="-8"/>
        </w:rPr>
        <w:t> </w:t>
      </w:r>
      <w:r>
        <w:rPr/>
        <w:t>concordancia</w:t>
      </w:r>
      <w:r>
        <w:rPr>
          <w:spacing w:val="-6"/>
        </w:rPr>
        <w:t> </w:t>
      </w:r>
      <w:r>
        <w:rPr/>
        <w:t>de</w:t>
      </w:r>
      <w:r>
        <w:rPr>
          <w:spacing w:val="-6"/>
        </w:rPr>
        <w:t> </w:t>
      </w:r>
      <w:r>
        <w:rPr/>
        <w:t>MIDEPLAN</w:t>
      </w:r>
      <w:r>
        <w:rPr>
          <w:spacing w:val="-7"/>
        </w:rPr>
        <w:t> </w:t>
      </w:r>
      <w:r>
        <w:rPr/>
        <w:t>y</w:t>
      </w:r>
      <w:r>
        <w:rPr>
          <w:spacing w:val="-1"/>
        </w:rPr>
        <w:t> </w:t>
      </w:r>
      <w:r>
        <w:rPr/>
        <w:t>Dictamen</w:t>
      </w:r>
      <w:r>
        <w:rPr>
          <w:spacing w:val="-7"/>
        </w:rPr>
        <w:t> </w:t>
      </w:r>
      <w:r>
        <w:rPr/>
        <w:t>de</w:t>
      </w:r>
      <w:r>
        <w:rPr>
          <w:spacing w:val="-6"/>
        </w:rPr>
        <w:t> </w:t>
      </w:r>
      <w:r>
        <w:rPr/>
        <w:t>vinculación</w:t>
      </w:r>
      <w:r>
        <w:rPr>
          <w:spacing w:val="-6"/>
        </w:rPr>
        <w:t> </w:t>
      </w:r>
      <w:r>
        <w:rPr/>
        <w:t>de la</w:t>
      </w:r>
      <w:r>
        <w:rPr>
          <w:spacing w:val="-17"/>
        </w:rPr>
        <w:t> </w:t>
      </w:r>
      <w:r>
        <w:rPr/>
        <w:t>Matriz</w:t>
      </w:r>
      <w:r>
        <w:rPr>
          <w:spacing w:val="-17"/>
        </w:rPr>
        <w:t> </w:t>
      </w:r>
      <w:r>
        <w:rPr/>
        <w:t>de</w:t>
      </w:r>
      <w:r>
        <w:rPr>
          <w:spacing w:val="-16"/>
        </w:rPr>
        <w:t> </w:t>
      </w:r>
      <w:r>
        <w:rPr/>
        <w:t>Articulación</w:t>
      </w:r>
      <w:r>
        <w:rPr>
          <w:spacing w:val="-16"/>
        </w:rPr>
        <w:t> </w:t>
      </w:r>
      <w:r>
        <w:rPr/>
        <w:t>Plan</w:t>
      </w:r>
      <w:r>
        <w:rPr>
          <w:spacing w:val="-17"/>
        </w:rPr>
        <w:t> </w:t>
      </w:r>
      <w:r>
        <w:rPr/>
        <w:t>Presupuesto</w:t>
      </w:r>
      <w:r>
        <w:rPr>
          <w:spacing w:val="-17"/>
        </w:rPr>
        <w:t> </w:t>
      </w:r>
      <w:r>
        <w:rPr/>
        <w:t>(MAPP</w:t>
      </w:r>
      <w:r>
        <w:rPr>
          <w:spacing w:val="-10"/>
        </w:rPr>
        <w:t> </w:t>
      </w:r>
      <w:r>
        <w:rPr/>
        <w:t>2027)</w:t>
      </w:r>
      <w:r>
        <w:rPr>
          <w:spacing w:val="33"/>
        </w:rPr>
        <w:t> </w:t>
      </w:r>
      <w:r>
        <w:rPr/>
        <w:t>por</w:t>
      </w:r>
      <w:r>
        <w:rPr>
          <w:spacing w:val="-15"/>
        </w:rPr>
        <w:t> </w:t>
      </w:r>
      <w:r>
        <w:rPr/>
        <w:t>parte</w:t>
      </w:r>
      <w:r>
        <w:rPr>
          <w:spacing w:val="-15"/>
        </w:rPr>
        <w:t> </w:t>
      </w:r>
      <w:r>
        <w:rPr/>
        <w:t>de</w:t>
      </w:r>
      <w:r>
        <w:rPr>
          <w:spacing w:val="-17"/>
        </w:rPr>
        <w:t> </w:t>
      </w:r>
      <w:r>
        <w:rPr/>
        <w:t>la</w:t>
      </w:r>
      <w:r>
        <w:rPr>
          <w:spacing w:val="-14"/>
        </w:rPr>
        <w:t> </w:t>
      </w:r>
      <w:r>
        <w:rPr/>
        <w:t>Ministra </w:t>
      </w:r>
      <w:r>
        <w:rPr>
          <w:spacing w:val="-2"/>
        </w:rPr>
        <w:t>Rectora.</w:t>
      </w:r>
    </w:p>
    <w:p>
      <w:pPr>
        <w:pStyle w:val="BodyText"/>
        <w:spacing w:before="221"/>
        <w:rPr>
          <w:b/>
          <w:sz w:val="20"/>
        </w:rPr>
      </w:pPr>
      <w:r>
        <w:rPr>
          <w:b/>
          <w:sz w:val="20"/>
        </w:rPr>
        <w:drawing>
          <wp:anchor distT="0" distB="0" distL="0" distR="0" allowOverlap="1" layoutInCell="1" locked="0" behindDoc="1" simplePos="0" relativeHeight="487598592">
            <wp:simplePos x="0" y="0"/>
            <wp:positionH relativeFrom="page">
              <wp:posOffset>989964</wp:posOffset>
            </wp:positionH>
            <wp:positionV relativeFrom="paragraph">
              <wp:posOffset>301630</wp:posOffset>
            </wp:positionV>
            <wp:extent cx="5684037" cy="5644705"/>
            <wp:effectExtent l="0" t="0" r="0" b="0"/>
            <wp:wrapTopAndBottom/>
            <wp:docPr id="97" name="Image 97"/>
            <wp:cNvGraphicFramePr>
              <a:graphicFrameLocks/>
            </wp:cNvGraphicFramePr>
            <a:graphic>
              <a:graphicData uri="http://schemas.openxmlformats.org/drawingml/2006/picture">
                <pic:pic>
                  <pic:nvPicPr>
                    <pic:cNvPr id="97" name="Image 97"/>
                    <pic:cNvPicPr/>
                  </pic:nvPicPr>
                  <pic:blipFill>
                    <a:blip r:embed="rId57" cstate="print"/>
                    <a:stretch>
                      <a:fillRect/>
                    </a:stretch>
                  </pic:blipFill>
                  <pic:spPr>
                    <a:xfrm>
                      <a:off x="0" y="0"/>
                      <a:ext cx="5684037" cy="5644705"/>
                    </a:xfrm>
                    <a:prstGeom prst="rect">
                      <a:avLst/>
                    </a:prstGeom>
                  </pic:spPr>
                </pic:pic>
              </a:graphicData>
            </a:graphic>
          </wp:anchor>
        </w:drawing>
      </w:r>
    </w:p>
    <w:p>
      <w:pPr>
        <w:pStyle w:val="BodyText"/>
        <w:spacing w:after="0"/>
        <w:rPr>
          <w:b/>
          <w:sz w:val="20"/>
        </w:rPr>
        <w:sectPr>
          <w:pgSz w:w="12240" w:h="15840"/>
          <w:pgMar w:header="0" w:footer="2404" w:top="1620" w:bottom="2600" w:left="1440" w:right="360"/>
        </w:sectPr>
      </w:pPr>
    </w:p>
    <w:p>
      <w:pPr>
        <w:spacing w:line="240" w:lineRule="auto"/>
        <w:ind w:left="3502" w:right="0" w:firstLine="0"/>
        <w:rPr>
          <w:sz w:val="20"/>
        </w:rPr>
      </w:pPr>
      <w:r>
        <w:rPr>
          <w:sz w:val="20"/>
        </w:rPr>
        <w:drawing>
          <wp:inline distT="0" distB="0" distL="0" distR="0">
            <wp:extent cx="2109966" cy="469392"/>
            <wp:effectExtent l="0" t="0" r="0" b="0"/>
            <wp:docPr id="101" name="Image 101"/>
            <wp:cNvGraphicFramePr>
              <a:graphicFrameLocks/>
            </wp:cNvGraphicFramePr>
            <a:graphic>
              <a:graphicData uri="http://schemas.openxmlformats.org/drawingml/2006/picture">
                <pic:pic>
                  <pic:nvPicPr>
                    <pic:cNvPr id="101" name="Image 101"/>
                    <pic:cNvPicPr/>
                  </pic:nvPicPr>
                  <pic:blipFill>
                    <a:blip r:embed="rId59" cstate="print"/>
                    <a:stretch>
                      <a:fillRect/>
                    </a:stretch>
                  </pic:blipFill>
                  <pic:spPr>
                    <a:xfrm>
                      <a:off x="0" y="0"/>
                      <a:ext cx="2109966" cy="469392"/>
                    </a:xfrm>
                    <a:prstGeom prst="rect">
                      <a:avLst/>
                    </a:prstGeom>
                  </pic:spPr>
                </pic:pic>
              </a:graphicData>
            </a:graphic>
          </wp:inline>
        </w:drawing>
      </w:r>
      <w:r>
        <w:rPr>
          <w:sz w:val="20"/>
        </w:rPr>
      </w:r>
    </w:p>
    <w:p>
      <w:pPr>
        <w:pStyle w:val="BodyText"/>
        <w:spacing w:before="8"/>
        <w:rPr>
          <w:b/>
          <w:sz w:val="20"/>
        </w:rPr>
      </w:pPr>
      <w:r>
        <w:rPr>
          <w:b/>
          <w:sz w:val="20"/>
        </w:rPr>
        <w:drawing>
          <wp:anchor distT="0" distB="0" distL="0" distR="0" allowOverlap="1" layoutInCell="1" locked="0" behindDoc="1" simplePos="0" relativeHeight="487599104">
            <wp:simplePos x="0" y="0"/>
            <wp:positionH relativeFrom="page">
              <wp:posOffset>5433950</wp:posOffset>
            </wp:positionH>
            <wp:positionV relativeFrom="paragraph">
              <wp:posOffset>166654</wp:posOffset>
            </wp:positionV>
            <wp:extent cx="1256223" cy="243840"/>
            <wp:effectExtent l="0" t="0" r="0" b="0"/>
            <wp:wrapTopAndBottom/>
            <wp:docPr id="102" name="Image 102"/>
            <wp:cNvGraphicFramePr>
              <a:graphicFrameLocks/>
            </wp:cNvGraphicFramePr>
            <a:graphic>
              <a:graphicData uri="http://schemas.openxmlformats.org/drawingml/2006/picture">
                <pic:pic>
                  <pic:nvPicPr>
                    <pic:cNvPr id="102" name="Image 102"/>
                    <pic:cNvPicPr/>
                  </pic:nvPicPr>
                  <pic:blipFill>
                    <a:blip r:embed="rId60" cstate="print"/>
                    <a:stretch>
                      <a:fillRect/>
                    </a:stretch>
                  </pic:blipFill>
                  <pic:spPr>
                    <a:xfrm>
                      <a:off x="0" y="0"/>
                      <a:ext cx="1256223" cy="243840"/>
                    </a:xfrm>
                    <a:prstGeom prst="rect">
                      <a:avLst/>
                    </a:prstGeom>
                  </pic:spPr>
                </pic:pic>
              </a:graphicData>
            </a:graphic>
          </wp:anchor>
        </w:drawing>
      </w:r>
    </w:p>
    <w:p>
      <w:pPr>
        <w:spacing w:before="138"/>
        <w:ind w:left="1390" w:right="0" w:firstLine="0"/>
        <w:jc w:val="left"/>
        <w:rPr>
          <w:b/>
          <w:sz w:val="16"/>
        </w:rPr>
      </w:pPr>
      <w:r>
        <w:rPr>
          <w:color w:val="594257"/>
          <w:w w:val="120"/>
          <w:sz w:val="16"/>
        </w:rPr>
        <w:t>a</w:t>
      </w:r>
      <w:r>
        <w:rPr>
          <w:color w:val="1F1D50"/>
          <w:w w:val="120"/>
          <w:sz w:val="16"/>
        </w:rPr>
        <w:t>til</w:t>
      </w:r>
      <w:r>
        <w:rPr>
          <w:color w:val="44363D"/>
          <w:w w:val="120"/>
          <w:sz w:val="16"/>
        </w:rPr>
        <w:t>a</w:t>
      </w:r>
      <w:r>
        <w:rPr>
          <w:color w:val="44363D"/>
          <w:spacing w:val="3"/>
          <w:w w:val="120"/>
          <w:sz w:val="16"/>
        </w:rPr>
        <w:t> </w:t>
      </w:r>
      <w:r>
        <w:rPr>
          <w:b/>
          <w:color w:val="525D67"/>
          <w:spacing w:val="-5"/>
          <w:w w:val="120"/>
          <w:sz w:val="16"/>
        </w:rPr>
        <w:t>1</w:t>
      </w:r>
      <w:r>
        <w:rPr>
          <w:b/>
          <w:color w:val="070789"/>
          <w:spacing w:val="-5"/>
          <w:w w:val="120"/>
          <w:sz w:val="16"/>
        </w:rPr>
        <w:t>:</w:t>
      </w:r>
    </w:p>
    <w:p>
      <w:pPr>
        <w:tabs>
          <w:tab w:pos="1708" w:val="left" w:leader="none"/>
          <w:tab w:pos="2726" w:val="left" w:leader="none"/>
        </w:tabs>
        <w:spacing w:line="240" w:lineRule="exact" w:before="111"/>
        <w:ind w:left="1277" w:right="0" w:firstLine="0"/>
        <w:jc w:val="left"/>
        <w:rPr>
          <w:sz w:val="14"/>
          <w:szCs w:val="14"/>
        </w:rPr>
      </w:pPr>
      <w:r>
        <w:rPr>
          <w:sz w:val="14"/>
          <w:szCs w:val="14"/>
        </w:rPr>
        <w:drawing>
          <wp:anchor distT="0" distB="0" distL="0" distR="0" allowOverlap="1" layoutInCell="1" locked="0" behindDoc="0" simplePos="0" relativeHeight="15741952">
            <wp:simplePos x="0" y="0"/>
            <wp:positionH relativeFrom="page">
              <wp:posOffset>3104678</wp:posOffset>
            </wp:positionH>
            <wp:positionV relativeFrom="paragraph">
              <wp:posOffset>143727</wp:posOffset>
            </wp:positionV>
            <wp:extent cx="1230270" cy="76292"/>
            <wp:effectExtent l="0" t="0" r="0" b="0"/>
            <wp:wrapNone/>
            <wp:docPr id="103" name="Image 103"/>
            <wp:cNvGraphicFramePr>
              <a:graphicFrameLocks/>
            </wp:cNvGraphicFramePr>
            <a:graphic>
              <a:graphicData uri="http://schemas.openxmlformats.org/drawingml/2006/picture">
                <pic:pic>
                  <pic:nvPicPr>
                    <pic:cNvPr id="103" name="Image 103"/>
                    <pic:cNvPicPr/>
                  </pic:nvPicPr>
                  <pic:blipFill>
                    <a:blip r:embed="rId61" cstate="print"/>
                    <a:stretch>
                      <a:fillRect/>
                    </a:stretch>
                  </pic:blipFill>
                  <pic:spPr>
                    <a:xfrm>
                      <a:off x="0" y="0"/>
                      <a:ext cx="1230270" cy="76292"/>
                    </a:xfrm>
                    <a:prstGeom prst="rect">
                      <a:avLst/>
                    </a:prstGeom>
                  </pic:spPr>
                </pic:pic>
              </a:graphicData>
            </a:graphic>
          </wp:anchor>
        </w:drawing>
      </w:r>
      <w:r>
        <w:rPr>
          <w:sz w:val="14"/>
          <w:szCs w:val="14"/>
        </w:rPr>
        <w:drawing>
          <wp:anchor distT="0" distB="0" distL="0" distR="0" allowOverlap="1" layoutInCell="1" locked="0" behindDoc="0" simplePos="0" relativeHeight="15742464">
            <wp:simplePos x="0" y="0"/>
            <wp:positionH relativeFrom="page">
              <wp:posOffset>4566960</wp:posOffset>
            </wp:positionH>
            <wp:positionV relativeFrom="paragraph">
              <wp:posOffset>143727</wp:posOffset>
            </wp:positionV>
            <wp:extent cx="1172267" cy="76292"/>
            <wp:effectExtent l="0" t="0" r="0" b="0"/>
            <wp:wrapNone/>
            <wp:docPr id="104" name="Image 104"/>
            <wp:cNvGraphicFramePr>
              <a:graphicFrameLocks/>
            </wp:cNvGraphicFramePr>
            <a:graphic>
              <a:graphicData uri="http://schemas.openxmlformats.org/drawingml/2006/picture">
                <pic:pic>
                  <pic:nvPicPr>
                    <pic:cNvPr id="104" name="Image 104"/>
                    <pic:cNvPicPr/>
                  </pic:nvPicPr>
                  <pic:blipFill>
                    <a:blip r:embed="rId62" cstate="print"/>
                    <a:stretch>
                      <a:fillRect/>
                    </a:stretch>
                  </pic:blipFill>
                  <pic:spPr>
                    <a:xfrm>
                      <a:off x="0" y="0"/>
                      <a:ext cx="1172267" cy="76292"/>
                    </a:xfrm>
                    <a:prstGeom prst="rect">
                      <a:avLst/>
                    </a:prstGeom>
                  </pic:spPr>
                </pic:pic>
              </a:graphicData>
            </a:graphic>
          </wp:anchor>
        </w:drawing>
      </w:r>
      <w:r>
        <w:rPr>
          <w:color w:val="594257"/>
          <w:spacing w:val="-10"/>
          <w:w w:val="110"/>
          <w:sz w:val="22"/>
          <w:szCs w:val="22"/>
        </w:rPr>
        <w:t>e</w:t>
      </w:r>
      <w:r>
        <w:rPr>
          <w:color w:val="594257"/>
          <w:sz w:val="22"/>
          <w:szCs w:val="22"/>
        </w:rPr>
        <w:tab/>
      </w:r>
      <w:r>
        <w:rPr>
          <w:color w:val="594257"/>
          <w:w w:val="95"/>
          <w:sz w:val="22"/>
          <w:szCs w:val="22"/>
        </w:rPr>
        <w:t>.</w:t>
      </w:r>
      <w:r>
        <w:rPr>
          <w:color w:val="594257"/>
          <w:spacing w:val="-12"/>
          <w:w w:val="95"/>
          <w:sz w:val="22"/>
          <w:szCs w:val="22"/>
        </w:rPr>
        <w:t> </w:t>
      </w:r>
      <w:r>
        <w:rPr>
          <w:color w:val="414260"/>
          <w:w w:val="95"/>
          <w:sz w:val="22"/>
          <w:szCs w:val="22"/>
        </w:rPr>
        <w:t>�</w:t>
      </w:r>
      <w:r>
        <w:rPr>
          <w:color w:val="67D3F2"/>
          <w:w w:val="95"/>
          <w:sz w:val="22"/>
          <w:szCs w:val="22"/>
        </w:rPr>
        <w:t>-</w:t>
      </w:r>
      <w:r>
        <w:rPr>
          <w:color w:val="594257"/>
          <w:w w:val="95"/>
          <w:sz w:val="18"/>
          <w:szCs w:val="18"/>
        </w:rPr>
        <w:t>para</w:t>
      </w:r>
      <w:r>
        <w:rPr>
          <w:color w:val="594257"/>
          <w:spacing w:val="-10"/>
          <w:w w:val="95"/>
          <w:sz w:val="18"/>
          <w:szCs w:val="18"/>
        </w:rPr>
        <w:t> </w:t>
      </w:r>
      <w:r>
        <w:rPr>
          <w:color w:val="F0B846"/>
          <w:spacing w:val="-10"/>
          <w:w w:val="95"/>
          <w:sz w:val="18"/>
          <w:szCs w:val="18"/>
        </w:rPr>
        <w:t>·</w:t>
      </w:r>
      <w:r>
        <w:rPr>
          <w:color w:val="F0B846"/>
          <w:sz w:val="18"/>
          <w:szCs w:val="18"/>
        </w:rPr>
        <w:tab/>
      </w:r>
      <w:r>
        <w:rPr>
          <w:color w:val="7EE4FB"/>
          <w:spacing w:val="-2"/>
          <w:w w:val="105"/>
          <w:sz w:val="14"/>
          <w:szCs w:val="14"/>
        </w:rPr>
        <w:t>·</w:t>
      </w:r>
      <w:r>
        <w:rPr>
          <w:color w:val="414260"/>
          <w:spacing w:val="-2"/>
          <w:w w:val="105"/>
          <w:sz w:val="14"/>
          <w:szCs w:val="14"/>
        </w:rPr>
        <w:t>z.i;</w:t>
      </w:r>
    </w:p>
    <w:p>
      <w:pPr>
        <w:tabs>
          <w:tab w:pos="2082" w:val="left" w:leader="none"/>
        </w:tabs>
        <w:spacing w:line="217" w:lineRule="exact" w:before="0"/>
        <w:ind w:left="1283" w:right="0" w:firstLine="0"/>
        <w:jc w:val="left"/>
        <w:rPr>
          <w:sz w:val="16"/>
        </w:rPr>
      </w:pPr>
      <w:r>
        <w:rPr>
          <w:rFonts w:ascii="Times New Roman"/>
          <w:i/>
          <w:color w:val="525D67"/>
          <w:sz w:val="16"/>
        </w:rPr>
        <w:t>20,9-0</w:t>
      </w:r>
      <w:r>
        <w:rPr>
          <w:rFonts w:ascii="Times New Roman"/>
          <w:i/>
          <w:color w:val="525D67"/>
          <w:spacing w:val="6"/>
          <w:sz w:val="16"/>
        </w:rPr>
        <w:t> </w:t>
      </w:r>
      <w:r>
        <w:rPr>
          <w:rFonts w:ascii="Times New Roman"/>
          <w:i/>
          <w:color w:val="6E6D77"/>
          <w:spacing w:val="-10"/>
          <w:sz w:val="20"/>
        </w:rPr>
        <w:t>y</w:t>
      </w:r>
      <w:r>
        <w:rPr>
          <w:rFonts w:ascii="Times New Roman"/>
          <w:i/>
          <w:color w:val="6E6D77"/>
          <w:sz w:val="20"/>
        </w:rPr>
        <w:tab/>
      </w:r>
      <w:r>
        <w:rPr>
          <w:rFonts w:ascii="Times New Roman"/>
          <w:i/>
          <w:color w:val="44363D"/>
          <w:sz w:val="16"/>
        </w:rPr>
        <w:t>PE</w:t>
      </w:r>
      <w:r>
        <w:rPr>
          <w:rFonts w:ascii="Times New Roman"/>
          <w:i/>
          <w:color w:val="525D67"/>
          <w:sz w:val="16"/>
        </w:rPr>
        <w:t>U</w:t>
      </w:r>
      <w:r>
        <w:rPr>
          <w:rFonts w:ascii="Times New Roman"/>
          <w:i/>
          <w:color w:val="525D67"/>
          <w:spacing w:val="46"/>
          <w:sz w:val="16"/>
        </w:rPr>
        <w:t> </w:t>
      </w:r>
      <w:r>
        <w:rPr>
          <w:color w:val="594257"/>
          <w:spacing w:val="-2"/>
          <w:sz w:val="16"/>
        </w:rPr>
        <w:t>:2t:15'D</w:t>
      </w:r>
    </w:p>
    <w:p>
      <w:pPr>
        <w:tabs>
          <w:tab w:pos="2846" w:val="left" w:leader="none"/>
          <w:tab w:pos="4762" w:val="left" w:leader="none"/>
        </w:tabs>
        <w:spacing w:line="208" w:lineRule="exact" w:before="153"/>
        <w:ind w:left="1251" w:right="0" w:firstLine="0"/>
        <w:jc w:val="left"/>
        <w:rPr>
          <w:sz w:val="15"/>
        </w:rPr>
      </w:pPr>
      <w:r>
        <w:rPr>
          <w:color w:val="594257"/>
          <w:spacing w:val="-2"/>
          <w:sz w:val="17"/>
        </w:rPr>
        <w:t>.S</w:t>
      </w:r>
      <w:r>
        <w:rPr>
          <w:color w:val="44363D"/>
          <w:spacing w:val="-2"/>
          <w:sz w:val="17"/>
        </w:rPr>
        <w:t>e</w:t>
      </w:r>
      <w:r>
        <w:rPr>
          <w:color w:val="594257"/>
          <w:spacing w:val="-2"/>
          <w:sz w:val="17"/>
        </w:rPr>
        <w:t>ct&lt;m</w:t>
      </w:r>
      <w:r>
        <w:rPr>
          <w:color w:val="570A83"/>
          <w:spacing w:val="-2"/>
          <w:sz w:val="17"/>
        </w:rPr>
        <w:t>:</w:t>
      </w:r>
      <w:r>
        <w:rPr>
          <w:color w:val="570A83"/>
          <w:sz w:val="17"/>
        </w:rPr>
        <w:t> </w:t>
      </w:r>
      <w:r>
        <w:rPr>
          <w:color w:val="525D67"/>
          <w:spacing w:val="-2"/>
          <w:sz w:val="17"/>
        </w:rPr>
        <w:t>s</w:t>
      </w:r>
      <w:r>
        <w:rPr>
          <w:color w:val="44363D"/>
          <w:spacing w:val="-2"/>
          <w:sz w:val="17"/>
        </w:rPr>
        <w:t>e</w:t>
      </w:r>
      <w:r>
        <w:rPr>
          <w:color w:val="414260"/>
          <w:spacing w:val="-2"/>
          <w:sz w:val="17"/>
        </w:rPr>
        <w:t>ciD</w:t>
      </w:r>
      <w:r>
        <w:rPr>
          <w:color w:val="134485"/>
          <w:spacing w:val="-2"/>
          <w:sz w:val="17"/>
        </w:rPr>
        <w:t>r</w:t>
      </w:r>
      <w:r>
        <w:rPr>
          <w:color w:val="134485"/>
          <w:sz w:val="17"/>
        </w:rPr>
        <w:t> </w:t>
      </w:r>
      <w:r>
        <w:rPr>
          <w:b/>
          <w:color w:val="2F2D48"/>
          <w:spacing w:val="-10"/>
          <w:sz w:val="16"/>
        </w:rPr>
        <w:t>B</w:t>
      </w:r>
      <w:r>
        <w:rPr>
          <w:b/>
          <w:color w:val="2F2D48"/>
          <w:sz w:val="16"/>
        </w:rPr>
        <w:tab/>
      </w:r>
      <w:r>
        <w:rPr>
          <w:color w:val="44363D"/>
          <w:sz w:val="17"/>
        </w:rPr>
        <w:t>e</w:t>
      </w:r>
      <w:r>
        <w:rPr>
          <w:color w:val="594257"/>
          <w:sz w:val="17"/>
        </w:rPr>
        <w:t>starr,</w:t>
      </w:r>
      <w:r>
        <w:rPr>
          <w:color w:val="594257"/>
          <w:spacing w:val="76"/>
          <w:w w:val="150"/>
          <w:sz w:val="17"/>
        </w:rPr>
        <w:t> </w:t>
      </w:r>
      <w:r>
        <w:rPr>
          <w:color w:val="D6AF7E"/>
          <w:sz w:val="17"/>
        </w:rPr>
        <w:t>·</w:t>
      </w:r>
      <w:r>
        <w:rPr>
          <w:color w:val="D6AF7E"/>
          <w:spacing w:val="2"/>
          <w:sz w:val="17"/>
        </w:rPr>
        <w:t> </w:t>
      </w:r>
      <w:r>
        <w:rPr>
          <w:color w:val="414260"/>
          <w:sz w:val="17"/>
        </w:rPr>
        <w:t>llG</w:t>
      </w:r>
      <w:r>
        <w:rPr>
          <w:color w:val="6B2377"/>
          <w:sz w:val="17"/>
        </w:rPr>
        <w:t>J</w:t>
      </w:r>
      <w:r>
        <w:rPr>
          <w:color w:val="525D67"/>
          <w:sz w:val="17"/>
        </w:rPr>
        <w:t>o</w:t>
      </w:r>
      <w:r>
        <w:rPr>
          <w:color w:val="525D67"/>
          <w:spacing w:val="-16"/>
          <w:sz w:val="17"/>
        </w:rPr>
        <w:t> </w:t>
      </w:r>
      <w:r>
        <w:rPr>
          <w:color w:val="525D67"/>
          <w:sz w:val="17"/>
        </w:rPr>
        <w:t>e</w:t>
      </w:r>
      <w:r>
        <w:rPr>
          <w:color w:val="525D67"/>
          <w:spacing w:val="29"/>
          <w:sz w:val="17"/>
        </w:rPr>
        <w:t> </w:t>
      </w:r>
      <w:r>
        <w:rPr>
          <w:color w:val="570A83"/>
          <w:spacing w:val="-4"/>
          <w:sz w:val="17"/>
        </w:rPr>
        <w:t>l</w:t>
      </w:r>
      <w:r>
        <w:rPr>
          <w:color w:val="414260"/>
          <w:spacing w:val="-4"/>
          <w:sz w:val="19"/>
        </w:rPr>
        <w:t>□</w:t>
      </w:r>
      <w:r>
        <w:rPr>
          <w:color w:val="3B6479"/>
          <w:spacing w:val="-4"/>
          <w:sz w:val="15"/>
        </w:rPr>
        <w:t>C'I</w:t>
      </w:r>
      <w:r>
        <w:rPr>
          <w:color w:val="3B6479"/>
          <w:sz w:val="15"/>
        </w:rPr>
        <w:tab/>
      </w:r>
      <w:r>
        <w:rPr>
          <w:color w:val="97C6AC"/>
          <w:sz w:val="15"/>
        </w:rPr>
        <w:t>.</w:t>
      </w:r>
      <w:r>
        <w:rPr>
          <w:color w:val="97C6AC"/>
          <w:spacing w:val="63"/>
          <w:w w:val="150"/>
          <w:sz w:val="15"/>
        </w:rPr>
        <w:t> </w:t>
      </w:r>
      <w:r>
        <w:rPr>
          <w:color w:val="594257"/>
          <w:spacing w:val="-2"/>
          <w:sz w:val="15"/>
        </w:rPr>
        <w:t>.Socl</w:t>
      </w:r>
    </w:p>
    <w:p>
      <w:pPr>
        <w:tabs>
          <w:tab w:pos="2008" w:val="left" w:leader="none"/>
        </w:tabs>
        <w:spacing w:line="173" w:lineRule="exact" w:before="0"/>
        <w:ind w:left="1261" w:right="0" w:firstLine="0"/>
        <w:jc w:val="left"/>
        <w:rPr>
          <w:rFonts w:ascii="Times New Roman" w:hAnsi="Times New Roman" w:cs="Times New Roman" w:eastAsia="Times New Roman"/>
          <w:sz w:val="16"/>
          <w:szCs w:val="16"/>
        </w:rPr>
      </w:pPr>
      <w:r>
        <w:rPr>
          <w:rFonts w:ascii="Times New Roman" w:hAnsi="Times New Roman" w:cs="Times New Roman" w:eastAsia="Times New Roman"/>
          <w:color w:val="525D67"/>
          <w:spacing w:val="-2"/>
          <w:w w:val="105"/>
          <w:sz w:val="16"/>
          <w:szCs w:val="16"/>
        </w:rPr>
        <w:t>O:lc'.kl</w:t>
      </w:r>
      <w:r>
        <w:rPr>
          <w:rFonts w:ascii="Times New Roman" w:hAnsi="Times New Roman" w:cs="Times New Roman" w:eastAsia="Times New Roman"/>
          <w:color w:val="7B9093"/>
          <w:spacing w:val="-2"/>
          <w:w w:val="105"/>
          <w:sz w:val="16"/>
          <w:szCs w:val="16"/>
        </w:rPr>
        <w:t>:</w:t>
      </w:r>
      <w:r>
        <w:rPr>
          <w:rFonts w:ascii="Times New Roman" w:hAnsi="Times New Roman" w:cs="Times New Roman" w:eastAsia="Times New Roman"/>
          <w:color w:val="7B9093"/>
          <w:sz w:val="16"/>
          <w:szCs w:val="16"/>
        </w:rPr>
        <w:tab/>
      </w:r>
      <w:r>
        <w:rPr>
          <w:rFonts w:ascii="Times New Roman" w:hAnsi="Times New Roman" w:cs="Times New Roman" w:eastAsia="Times New Roman"/>
          <w:color w:val="414260"/>
          <w:w w:val="105"/>
          <w:sz w:val="16"/>
          <w:szCs w:val="16"/>
        </w:rPr>
        <w:t>D</w:t>
      </w:r>
      <w:r>
        <w:rPr>
          <w:rFonts w:ascii="Times New Roman" w:hAnsi="Times New Roman" w:cs="Times New Roman" w:eastAsia="Times New Roman"/>
          <w:color w:val="3F4D83"/>
          <w:w w:val="105"/>
          <w:sz w:val="16"/>
          <w:szCs w:val="16"/>
        </w:rPr>
        <w:t>H</w:t>
      </w:r>
      <w:r>
        <w:rPr>
          <w:rFonts w:ascii="Times New Roman" w:hAnsi="Times New Roman" w:cs="Times New Roman" w:eastAsia="Times New Roman"/>
          <w:color w:val="570A83"/>
          <w:w w:val="105"/>
          <w:sz w:val="16"/>
          <w:szCs w:val="16"/>
        </w:rPr>
        <w:t>l</w:t>
      </w:r>
      <w:r>
        <w:rPr>
          <w:rFonts w:ascii="Times New Roman" w:hAnsi="Times New Roman" w:cs="Times New Roman" w:eastAsia="Times New Roman"/>
          <w:color w:val="525D67"/>
          <w:w w:val="105"/>
          <w:sz w:val="16"/>
          <w:szCs w:val="16"/>
        </w:rPr>
        <w:t>�</w:t>
      </w:r>
      <w:r>
        <w:rPr>
          <w:rFonts w:ascii="Times New Roman" w:hAnsi="Times New Roman" w:cs="Times New Roman" w:eastAsia="Times New Roman"/>
          <w:color w:val="414260"/>
          <w:w w:val="105"/>
          <w:sz w:val="16"/>
          <w:szCs w:val="16"/>
        </w:rPr>
        <w:t>O</w:t>
      </w:r>
      <w:r>
        <w:rPr>
          <w:rFonts w:ascii="Times New Roman" w:hAnsi="Times New Roman" w:cs="Times New Roman" w:eastAsia="Times New Roman"/>
          <w:color w:val="414260"/>
          <w:spacing w:val="73"/>
          <w:w w:val="105"/>
          <w:sz w:val="16"/>
          <w:szCs w:val="16"/>
        </w:rPr>
        <w:t>  </w:t>
      </w:r>
      <w:r>
        <w:rPr>
          <w:rFonts w:ascii="Times New Roman" w:hAnsi="Times New Roman" w:cs="Times New Roman" w:eastAsia="Times New Roman"/>
          <w:color w:val="414260"/>
          <w:w w:val="105"/>
          <w:sz w:val="16"/>
          <w:szCs w:val="16"/>
        </w:rPr>
        <w:t>[]-</w:t>
      </w:r>
      <w:r>
        <w:rPr>
          <w:rFonts w:ascii="Times New Roman" w:hAnsi="Times New Roman" w:cs="Times New Roman" w:eastAsia="Times New Roman"/>
          <w:color w:val="414260"/>
          <w:spacing w:val="-2"/>
          <w:w w:val="105"/>
          <w:sz w:val="16"/>
          <w:szCs w:val="16"/>
        </w:rPr>
        <w:t>:21l26</w:t>
      </w:r>
    </w:p>
    <w:p>
      <w:pPr>
        <w:pStyle w:val="BodyText"/>
        <w:spacing w:before="8"/>
        <w:rPr>
          <w:rFonts w:ascii="Times New Roman"/>
          <w:sz w:val="16"/>
        </w:rPr>
      </w:pPr>
    </w:p>
    <w:p>
      <w:pPr>
        <w:spacing w:line="228" w:lineRule="exact" w:before="0"/>
        <w:ind w:left="0" w:right="43" w:firstLine="0"/>
        <w:jc w:val="center"/>
        <w:rPr>
          <w:sz w:val="19"/>
        </w:rPr>
      </w:pPr>
      <w:r>
        <w:rPr>
          <w:sz w:val="19"/>
        </w:rPr>
        <mc:AlternateContent>
          <mc:Choice Requires="wps">
            <w:drawing>
              <wp:anchor distT="0" distB="0" distL="0" distR="0" allowOverlap="1" layoutInCell="1" locked="0" behindDoc="1" simplePos="0" relativeHeight="475345408">
                <wp:simplePos x="0" y="0"/>
                <wp:positionH relativeFrom="page">
                  <wp:posOffset>4078021</wp:posOffset>
                </wp:positionH>
                <wp:positionV relativeFrom="paragraph">
                  <wp:posOffset>19</wp:posOffset>
                </wp:positionV>
                <wp:extent cx="55244" cy="156210"/>
                <wp:effectExtent l="0" t="0" r="0" b="0"/>
                <wp:wrapNone/>
                <wp:docPr id="105" name="Graphic 105"/>
                <wp:cNvGraphicFramePr>
                  <a:graphicFrameLocks/>
                </wp:cNvGraphicFramePr>
                <a:graphic>
                  <a:graphicData uri="http://schemas.microsoft.com/office/word/2010/wordprocessingShape">
                    <wps:wsp>
                      <wps:cNvPr id="105" name="Graphic 105"/>
                      <wps:cNvSpPr/>
                      <wps:spPr>
                        <a:xfrm>
                          <a:off x="0" y="0"/>
                          <a:ext cx="55244" cy="156210"/>
                        </a:xfrm>
                        <a:custGeom>
                          <a:avLst/>
                          <a:gdLst/>
                          <a:ahLst/>
                          <a:cxnLst/>
                          <a:rect l="l" t="t" r="r" b="b"/>
                          <a:pathLst>
                            <a:path w="55244" h="156210">
                              <a:moveTo>
                                <a:pt x="54950" y="156123"/>
                              </a:moveTo>
                              <a:lnTo>
                                <a:pt x="0" y="156123"/>
                              </a:lnTo>
                              <a:lnTo>
                                <a:pt x="0" y="0"/>
                              </a:lnTo>
                              <a:lnTo>
                                <a:pt x="54950" y="0"/>
                              </a:lnTo>
                              <a:lnTo>
                                <a:pt x="54950" y="156123"/>
                              </a:lnTo>
                              <a:close/>
                            </a:path>
                          </a:pathLst>
                        </a:custGeom>
                        <a:solidFill>
                          <a:srgbClr val="6272A1"/>
                        </a:solidFill>
                      </wps:spPr>
                      <wps:bodyPr wrap="square" lIns="0" tIns="0" rIns="0" bIns="0" rtlCol="0">
                        <a:prstTxWarp prst="textNoShape">
                          <a:avLst/>
                        </a:prstTxWarp>
                        <a:noAutofit/>
                      </wps:bodyPr>
                    </wps:wsp>
                  </a:graphicData>
                </a:graphic>
              </wp:anchor>
            </w:drawing>
          </mc:Choice>
          <mc:Fallback>
            <w:pict>
              <v:rect style="position:absolute;margin-left:321.104034pt;margin-top:.001574pt;width:4.326778pt;height:12.293201pt;mso-position-horizontal-relative:page;mso-position-vertical-relative:paragraph;z-index:-27971072" id="docshape79" filled="true" fillcolor="#6272a1" stroked="false">
                <v:fill type="solid"/>
                <w10:wrap type="none"/>
              </v:rect>
            </w:pict>
          </mc:Fallback>
        </mc:AlternateContent>
      </w:r>
      <w:r>
        <w:rPr>
          <w:sz w:val="19"/>
        </w:rPr>
        <mc:AlternateContent>
          <mc:Choice Requires="wps">
            <w:drawing>
              <wp:anchor distT="0" distB="0" distL="0" distR="0" allowOverlap="1" layoutInCell="1" locked="0" behindDoc="1" simplePos="0" relativeHeight="475345920">
                <wp:simplePos x="0" y="0"/>
                <wp:positionH relativeFrom="page">
                  <wp:posOffset>4409389</wp:posOffset>
                </wp:positionH>
                <wp:positionV relativeFrom="paragraph">
                  <wp:posOffset>-6588</wp:posOffset>
                </wp:positionV>
                <wp:extent cx="205104" cy="243204"/>
                <wp:effectExtent l="0" t="0" r="0" b="0"/>
                <wp:wrapNone/>
                <wp:docPr id="106" name="Graphic 106"/>
                <wp:cNvGraphicFramePr>
                  <a:graphicFrameLocks/>
                </wp:cNvGraphicFramePr>
                <a:graphic>
                  <a:graphicData uri="http://schemas.microsoft.com/office/word/2010/wordprocessingShape">
                    <wps:wsp>
                      <wps:cNvPr id="106" name="Graphic 106"/>
                      <wps:cNvSpPr/>
                      <wps:spPr>
                        <a:xfrm>
                          <a:off x="0" y="0"/>
                          <a:ext cx="205104" cy="243204"/>
                        </a:xfrm>
                        <a:custGeom>
                          <a:avLst/>
                          <a:gdLst/>
                          <a:ahLst/>
                          <a:cxnLst/>
                          <a:rect l="l" t="t" r="r" b="b"/>
                          <a:pathLst>
                            <a:path w="205104" h="243204">
                              <a:moveTo>
                                <a:pt x="204800" y="138341"/>
                              </a:moveTo>
                              <a:lnTo>
                                <a:pt x="97688" y="138341"/>
                              </a:lnTo>
                              <a:lnTo>
                                <a:pt x="97688" y="0"/>
                              </a:lnTo>
                              <a:lnTo>
                                <a:pt x="0" y="0"/>
                              </a:lnTo>
                              <a:lnTo>
                                <a:pt x="0" y="164807"/>
                              </a:lnTo>
                              <a:lnTo>
                                <a:pt x="55219" y="164807"/>
                              </a:lnTo>
                              <a:lnTo>
                                <a:pt x="55219" y="242608"/>
                              </a:lnTo>
                              <a:lnTo>
                                <a:pt x="204800" y="242608"/>
                              </a:lnTo>
                              <a:lnTo>
                                <a:pt x="204800" y="138341"/>
                              </a:lnTo>
                              <a:close/>
                            </a:path>
                          </a:pathLst>
                        </a:custGeom>
                        <a:solidFill>
                          <a:srgbClr val="314480"/>
                        </a:solidFill>
                      </wps:spPr>
                      <wps:bodyPr wrap="square" lIns="0" tIns="0" rIns="0" bIns="0" rtlCol="0">
                        <a:prstTxWarp prst="textNoShape">
                          <a:avLst/>
                        </a:prstTxWarp>
                        <a:noAutofit/>
                      </wps:bodyPr>
                    </wps:wsp>
                  </a:graphicData>
                </a:graphic>
              </wp:anchor>
            </w:drawing>
          </mc:Choice>
          <mc:Fallback>
            <w:pict>
              <v:shape style="position:absolute;margin-left:347.196014pt;margin-top:-.518757pt;width:16.1500pt;height:19.150pt;mso-position-horizontal-relative:page;mso-position-vertical-relative:paragraph;z-index:-27970560" id="docshape80" coordorigin="6944,-10" coordsize="323,383" path="m7266,207l7098,207,7098,-10,6944,-10,6944,249,7031,249,7031,372,7266,372,7266,207xe" filled="true" fillcolor="#314480" stroked="false">
                <v:path arrowok="t"/>
                <v:fill type="solid"/>
                <w10:wrap type="none"/>
              </v:shape>
            </w:pict>
          </mc:Fallback>
        </mc:AlternateContent>
      </w:r>
      <w:r>
        <w:rPr>
          <w:color w:val="E2E6DF"/>
          <w:w w:val="85"/>
          <w:sz w:val="16"/>
          <w:shd w:fill="314480" w:color="auto" w:val="clear"/>
        </w:rPr>
        <w:t>RE</w:t>
      </w:r>
      <w:r>
        <w:rPr>
          <w:color w:val="E2E6DF"/>
          <w:w w:val="85"/>
          <w:sz w:val="16"/>
        </w:rPr>
        <w:t>!</w:t>
      </w:r>
      <w:r>
        <w:rPr>
          <w:color w:val="E2E6DF"/>
          <w:w w:val="85"/>
          <w:sz w:val="18"/>
        </w:rPr>
        <w:t>s</w:t>
      </w:r>
      <w:r>
        <w:rPr>
          <w:color w:val="E2E6DF"/>
          <w:spacing w:val="-3"/>
          <w:sz w:val="18"/>
        </w:rPr>
        <w:t> </w:t>
      </w:r>
      <w:r>
        <w:rPr>
          <w:rFonts w:ascii="Times New Roman"/>
          <w:color w:val="F7F7E2"/>
          <w:spacing w:val="-2"/>
          <w:sz w:val="20"/>
          <w:shd w:fill="49598C" w:color="auto" w:val="clear"/>
        </w:rPr>
        <w:t>p</w:t>
      </w:r>
      <w:r>
        <w:rPr>
          <w:color w:val="E2E6DF"/>
          <w:spacing w:val="-2"/>
          <w:sz w:val="14"/>
          <w:shd w:fill="49598C" w:color="auto" w:val="clear"/>
        </w:rPr>
        <w:t>IJ</w:t>
      </w:r>
      <w:r>
        <w:rPr>
          <w:rFonts w:ascii="Times New Roman"/>
          <w:color w:val="E2E6DF"/>
          <w:spacing w:val="-2"/>
          <w:sz w:val="16"/>
          <w:shd w:fill="49598C" w:color="auto" w:val="clear"/>
        </w:rPr>
        <w:t>e,a</w:t>
      </w:r>
      <w:r>
        <w:rPr>
          <w:color w:val="E2E6DF"/>
          <w:spacing w:val="-2"/>
          <w:sz w:val="19"/>
        </w:rPr>
        <w:t>ia</w:t>
      </w:r>
    </w:p>
    <w:p>
      <w:pPr>
        <w:tabs>
          <w:tab w:pos="5590" w:val="left" w:leader="none"/>
          <w:tab w:pos="6876" w:val="left" w:leader="none"/>
        </w:tabs>
        <w:spacing w:line="176" w:lineRule="exact" w:before="0"/>
        <w:ind w:left="1765" w:right="0" w:firstLine="0"/>
        <w:jc w:val="left"/>
        <w:rPr>
          <w:rFonts w:ascii="Times New Roman" w:hAnsi="Times New Roman"/>
          <w:sz w:val="14"/>
        </w:rPr>
      </w:pPr>
      <w:r>
        <w:rPr>
          <w:rFonts w:ascii="Times New Roman" w:hAnsi="Times New Roman"/>
          <w:sz w:val="14"/>
        </w:rPr>
        <mc:AlternateContent>
          <mc:Choice Requires="wps">
            <w:drawing>
              <wp:anchor distT="0" distB="0" distL="0" distR="0" allowOverlap="1" layoutInCell="1" locked="0" behindDoc="1" simplePos="0" relativeHeight="475346432">
                <wp:simplePos x="0" y="0"/>
                <wp:positionH relativeFrom="page">
                  <wp:posOffset>3883429</wp:posOffset>
                </wp:positionH>
                <wp:positionV relativeFrom="paragraph">
                  <wp:posOffset>91541</wp:posOffset>
                </wp:positionV>
                <wp:extent cx="15875" cy="139065"/>
                <wp:effectExtent l="0" t="0" r="0" b="0"/>
                <wp:wrapNone/>
                <wp:docPr id="107" name="Graphic 107"/>
                <wp:cNvGraphicFramePr>
                  <a:graphicFrameLocks/>
                </wp:cNvGraphicFramePr>
                <a:graphic>
                  <a:graphicData uri="http://schemas.microsoft.com/office/word/2010/wordprocessingShape">
                    <wps:wsp>
                      <wps:cNvPr id="107" name="Graphic 107"/>
                      <wps:cNvSpPr/>
                      <wps:spPr>
                        <a:xfrm>
                          <a:off x="0" y="0"/>
                          <a:ext cx="15875" cy="139065"/>
                        </a:xfrm>
                        <a:custGeom>
                          <a:avLst/>
                          <a:gdLst/>
                          <a:ahLst/>
                          <a:cxnLst/>
                          <a:rect l="l" t="t" r="r" b="b"/>
                          <a:pathLst>
                            <a:path w="15875" h="139065">
                              <a:moveTo>
                                <a:pt x="15263" y="138776"/>
                              </a:moveTo>
                              <a:lnTo>
                                <a:pt x="0" y="138776"/>
                              </a:lnTo>
                              <a:lnTo>
                                <a:pt x="0" y="0"/>
                              </a:lnTo>
                              <a:lnTo>
                                <a:pt x="15263" y="0"/>
                              </a:lnTo>
                              <a:lnTo>
                                <a:pt x="15263" y="138776"/>
                              </a:lnTo>
                              <a:close/>
                            </a:path>
                          </a:pathLst>
                        </a:custGeom>
                        <a:solidFill>
                          <a:srgbClr val="49598C"/>
                        </a:solidFill>
                      </wps:spPr>
                      <wps:bodyPr wrap="square" lIns="0" tIns="0" rIns="0" bIns="0" rtlCol="0">
                        <a:prstTxWarp prst="textNoShape">
                          <a:avLst/>
                        </a:prstTxWarp>
                        <a:noAutofit/>
                      </wps:bodyPr>
                    </wps:wsp>
                  </a:graphicData>
                </a:graphic>
              </wp:anchor>
            </w:drawing>
          </mc:Choice>
          <mc:Fallback>
            <w:pict>
              <v:rect style="position:absolute;margin-left:305.78183pt;margin-top:7.208027pt;width:1.201883pt;height:10.927288pt;mso-position-horizontal-relative:page;mso-position-vertical-relative:paragraph;z-index:-27970048" id="docshape81" filled="true" fillcolor="#49598c" stroked="false">
                <v:fill type="solid"/>
                <w10:wrap type="none"/>
              </v:rect>
            </w:pict>
          </mc:Fallback>
        </mc:AlternateContent>
      </w:r>
      <w:r>
        <w:rPr>
          <w:rFonts w:ascii="Times New Roman" w:hAnsi="Times New Roman"/>
          <w:b/>
          <w:color w:val="E2E6DF"/>
          <w:w w:val="120"/>
          <w:sz w:val="14"/>
          <w:shd w:fill="314480" w:color="auto" w:val="clear"/>
        </w:rPr>
        <w:t>Criterio</w:t>
      </w:r>
      <w:r>
        <w:rPr>
          <w:rFonts w:ascii="Times New Roman" w:hAnsi="Times New Roman"/>
          <w:b/>
          <w:color w:val="E2E6DF"/>
          <w:spacing w:val="43"/>
          <w:w w:val="120"/>
          <w:sz w:val="14"/>
        </w:rPr>
        <w:t> </w:t>
      </w:r>
      <w:r>
        <w:rPr>
          <w:rFonts w:ascii="Times New Roman" w:hAnsi="Times New Roman"/>
          <w:b/>
          <w:color w:val="E2E6DF"/>
          <w:w w:val="120"/>
          <w:sz w:val="14"/>
          <w:shd w:fill="314480" w:color="auto" w:val="clear"/>
        </w:rPr>
        <w:t>09</w:t>
      </w:r>
      <w:r>
        <w:rPr>
          <w:rFonts w:ascii="Times New Roman" w:hAnsi="Times New Roman"/>
          <w:b/>
          <w:color w:val="E2E6DF"/>
          <w:spacing w:val="28"/>
          <w:w w:val="120"/>
          <w:sz w:val="14"/>
        </w:rPr>
        <w:t>  </w:t>
      </w:r>
      <w:r>
        <w:rPr>
          <w:rFonts w:ascii="Times New Roman" w:hAnsi="Times New Roman"/>
          <w:color w:val="E2E6DF"/>
          <w:spacing w:val="-2"/>
          <w:w w:val="120"/>
          <w:sz w:val="14"/>
          <w:shd w:fill="213472" w:color="auto" w:val="clear"/>
        </w:rPr>
        <w:t>DolltC&gt;0011911Cl3</w:t>
      </w:r>
      <w:r>
        <w:rPr>
          <w:rFonts w:ascii="Times New Roman" w:hAnsi="Times New Roman"/>
          <w:color w:val="E2E6DF"/>
          <w:sz w:val="14"/>
        </w:rPr>
        <w:tab/>
      </w:r>
      <w:r>
        <w:rPr>
          <w:rFonts w:ascii="Times New Roman" w:hAnsi="Times New Roman"/>
          <w:color w:val="E2E6DF"/>
          <w:spacing w:val="-5"/>
          <w:w w:val="120"/>
          <w:sz w:val="17"/>
        </w:rPr>
        <w:t>No</w:t>
      </w:r>
      <w:r>
        <w:rPr>
          <w:rFonts w:ascii="Times New Roman" w:hAnsi="Times New Roman"/>
          <w:color w:val="E2E6DF"/>
          <w:sz w:val="17"/>
        </w:rPr>
        <w:tab/>
      </w:r>
      <w:r>
        <w:rPr>
          <w:rFonts w:ascii="Times New Roman" w:hAnsi="Times New Roman"/>
          <w:color w:val="E2E6DF"/>
          <w:spacing w:val="-2"/>
          <w:w w:val="120"/>
          <w:sz w:val="14"/>
          <w:shd w:fill="314480" w:color="auto" w:val="clear"/>
        </w:rPr>
        <w:t>Oba,eí'i'.aiclOOllEIS</w:t>
      </w:r>
    </w:p>
    <w:p>
      <w:pPr>
        <w:tabs>
          <w:tab w:pos="542" w:val="left" w:leader="none"/>
        </w:tabs>
        <w:spacing w:line="168" w:lineRule="exact" w:before="0"/>
        <w:ind w:left="78" w:right="0" w:firstLine="0"/>
        <w:jc w:val="center"/>
        <w:rPr>
          <w:sz w:val="16"/>
        </w:rPr>
      </w:pPr>
      <w:r>
        <w:rPr>
          <w:color w:val="E2E6DF"/>
          <w:spacing w:val="-5"/>
          <w:sz w:val="16"/>
          <w:shd w:fill="49598C" w:color="auto" w:val="clear"/>
        </w:rPr>
        <w:t>S</w:t>
      </w:r>
      <w:r>
        <w:rPr>
          <w:color w:val="5DAEE6"/>
          <w:spacing w:val="-5"/>
          <w:sz w:val="16"/>
        </w:rPr>
        <w:t>i</w:t>
      </w:r>
      <w:r>
        <w:rPr>
          <w:color w:val="F7F7E2"/>
          <w:spacing w:val="-5"/>
          <w:sz w:val="16"/>
        </w:rPr>
        <w:t>l</w:t>
      </w:r>
      <w:r>
        <w:rPr>
          <w:color w:val="F7F7E2"/>
          <w:sz w:val="16"/>
        </w:rPr>
        <w:tab/>
      </w:r>
      <w:r>
        <w:rPr>
          <w:rFonts w:ascii="Times New Roman"/>
          <w:color w:val="E2E6DF"/>
          <w:sz w:val="16"/>
          <w:shd w:fill="49598C" w:color="auto" w:val="clear"/>
        </w:rPr>
        <w:t>l'fD</w:t>
      </w:r>
      <w:r>
        <w:rPr>
          <w:rFonts w:ascii="Times New Roman"/>
          <w:color w:val="E2E6DF"/>
          <w:spacing w:val="51"/>
          <w:sz w:val="16"/>
        </w:rPr>
        <w:t>  </w:t>
      </w:r>
      <w:r>
        <w:rPr>
          <w:color w:val="E2E6DF"/>
          <w:spacing w:val="-2"/>
          <w:sz w:val="16"/>
          <w:shd w:fill="213472" w:color="auto" w:val="clear"/>
        </w:rPr>
        <w:t>ApUir:a</w:t>
      </w:r>
    </w:p>
    <w:p>
      <w:pPr>
        <w:pStyle w:val="BodyText"/>
        <w:spacing w:before="6"/>
        <w:rPr>
          <w:sz w:val="17"/>
        </w:rPr>
      </w:pPr>
    </w:p>
    <w:p>
      <w:pPr>
        <w:spacing w:line="240" w:lineRule="exact" w:before="0"/>
        <w:ind w:left="2294" w:right="0" w:firstLine="0"/>
        <w:jc w:val="left"/>
        <w:rPr>
          <w:sz w:val="17"/>
        </w:rPr>
      </w:pPr>
      <w:r>
        <w:rPr>
          <w:sz w:val="17"/>
        </w:rPr>
        <mc:AlternateContent>
          <mc:Choice Requires="wps">
            <w:drawing>
              <wp:anchor distT="0" distB="0" distL="0" distR="0" allowOverlap="1" layoutInCell="1" locked="0" behindDoc="0" simplePos="0" relativeHeight="15742976">
                <wp:simplePos x="0" y="0"/>
                <wp:positionH relativeFrom="page">
                  <wp:posOffset>1776718</wp:posOffset>
                </wp:positionH>
                <wp:positionV relativeFrom="paragraph">
                  <wp:posOffset>61067</wp:posOffset>
                </wp:positionV>
                <wp:extent cx="507365" cy="192405"/>
                <wp:effectExtent l="0" t="0" r="0" b="0"/>
                <wp:wrapNone/>
                <wp:docPr id="108" name="Group 108"/>
                <wp:cNvGraphicFramePr>
                  <a:graphicFrameLocks/>
                </wp:cNvGraphicFramePr>
                <a:graphic>
                  <a:graphicData uri="http://schemas.microsoft.com/office/word/2010/wordprocessingGroup">
                    <wpg:wgp>
                      <wpg:cNvPr id="108" name="Group 108"/>
                      <wpg:cNvGrpSpPr/>
                      <wpg:grpSpPr>
                        <a:xfrm>
                          <a:off x="0" y="0"/>
                          <a:ext cx="507365" cy="192405"/>
                          <a:chExt cx="507365" cy="192405"/>
                        </a:xfrm>
                      </wpg:grpSpPr>
                      <pic:pic>
                        <pic:nvPicPr>
                          <pic:cNvPr id="109" name="Image 109"/>
                          <pic:cNvPicPr/>
                        </pic:nvPicPr>
                        <pic:blipFill>
                          <a:blip r:embed="rId63" cstate="print"/>
                          <a:stretch>
                            <a:fillRect/>
                          </a:stretch>
                        </pic:blipFill>
                        <pic:spPr>
                          <a:xfrm>
                            <a:off x="0" y="0"/>
                            <a:ext cx="506761" cy="192256"/>
                          </a:xfrm>
                          <a:prstGeom prst="rect">
                            <a:avLst/>
                          </a:prstGeom>
                        </pic:spPr>
                      </pic:pic>
                      <wps:wsp>
                        <wps:cNvPr id="110" name="Textbox 110"/>
                        <wps:cNvSpPr txBox="1"/>
                        <wps:spPr>
                          <a:xfrm>
                            <a:off x="0" y="0"/>
                            <a:ext cx="507365" cy="192405"/>
                          </a:xfrm>
                          <a:prstGeom prst="rect">
                            <a:avLst/>
                          </a:prstGeom>
                        </wps:spPr>
                        <wps:txbx>
                          <w:txbxContent>
                            <w:p>
                              <w:pPr>
                                <w:spacing w:before="7"/>
                                <w:ind w:left="58" w:right="0" w:firstLine="0"/>
                                <w:jc w:val="left"/>
                                <w:rPr>
                                  <w:sz w:val="10"/>
                                </w:rPr>
                              </w:pPr>
                              <w:r>
                                <w:rPr>
                                  <w:color w:val="31212D"/>
                                  <w:spacing w:val="-2"/>
                                  <w:w w:val="120"/>
                                  <w:sz w:val="10"/>
                                </w:rPr>
                                <w:t>e:</w:t>
                              </w:r>
                              <w:r>
                                <w:rPr>
                                  <w:color w:val="525D67"/>
                                  <w:spacing w:val="-2"/>
                                  <w:w w:val="120"/>
                                  <w:sz w:val="10"/>
                                </w:rPr>
                                <w:t>llin</w:t>
                              </w:r>
                              <w:r>
                                <w:rPr>
                                  <w:color w:val="075BAC"/>
                                  <w:spacing w:val="-2"/>
                                  <w:w w:val="120"/>
                                  <w:sz w:val="10"/>
                                </w:rPr>
                                <w:t>,</w:t>
                              </w:r>
                              <w:r>
                                <w:rPr>
                                  <w:color w:val="858A70"/>
                                  <w:spacing w:val="-2"/>
                                  <w:w w:val="120"/>
                                  <w:sz w:val="10"/>
                                </w:rPr>
                                <w:t>.,</w:t>
                              </w:r>
                              <w:r>
                                <w:rPr>
                                  <w:color w:val="2F2D48"/>
                                  <w:spacing w:val="-2"/>
                                  <w:w w:val="120"/>
                                  <w:sz w:val="10"/>
                                </w:rPr>
                                <w:t>.:.</w:t>
                              </w:r>
                              <w:r>
                                <w:rPr>
                                  <w:color w:val="414260"/>
                                  <w:spacing w:val="-2"/>
                                  <w:w w:val="120"/>
                                  <w:sz w:val="10"/>
                                </w:rPr>
                                <w:t>n•</w:t>
                              </w:r>
                              <w:r>
                                <w:rPr>
                                  <w:color w:val="2B085D"/>
                                  <w:spacing w:val="-2"/>
                                  <w:w w:val="120"/>
                                  <w:sz w:val="10"/>
                                </w:rPr>
                                <w:t>.</w:t>
                              </w:r>
                              <w:r>
                                <w:rPr>
                                  <w:color w:val="414260"/>
                                  <w:spacing w:val="-2"/>
                                  <w:w w:val="120"/>
                                  <w:sz w:val="10"/>
                                </w:rPr>
                                <w:t>as</w:t>
                              </w:r>
                            </w:p>
                          </w:txbxContent>
                        </wps:txbx>
                        <wps:bodyPr wrap="square" lIns="0" tIns="0" rIns="0" bIns="0" rtlCol="0">
                          <a:noAutofit/>
                        </wps:bodyPr>
                      </wps:wsp>
                    </wpg:wgp>
                  </a:graphicData>
                </a:graphic>
              </wp:anchor>
            </w:drawing>
          </mc:Choice>
          <mc:Fallback>
            <w:pict>
              <v:group style="position:absolute;margin-left:139.899063pt;margin-top:4.808486pt;width:39.950pt;height:15.15pt;mso-position-horizontal-relative:page;mso-position-vertical-relative:paragraph;z-index:15742976" id="docshapegroup82" coordorigin="2798,96" coordsize="799,303">
                <v:shape style="position:absolute;left:2797;top:96;width:799;height:303" type="#_x0000_t75" id="docshape83" stroked="false">
                  <v:imagedata r:id="rId63" o:title=""/>
                </v:shape>
                <v:shape style="position:absolute;left:2797;top:96;width:799;height:303" type="#_x0000_t202" id="docshape84" filled="false" stroked="false">
                  <v:textbox inset="0,0,0,0">
                    <w:txbxContent>
                      <w:p>
                        <w:pPr>
                          <w:spacing w:before="7"/>
                          <w:ind w:left="58" w:right="0" w:firstLine="0"/>
                          <w:jc w:val="left"/>
                          <w:rPr>
                            <w:sz w:val="10"/>
                          </w:rPr>
                        </w:pPr>
                        <w:r>
                          <w:rPr>
                            <w:color w:val="31212D"/>
                            <w:spacing w:val="-2"/>
                            <w:w w:val="120"/>
                            <w:sz w:val="10"/>
                          </w:rPr>
                          <w:t>e:</w:t>
                        </w:r>
                        <w:r>
                          <w:rPr>
                            <w:color w:val="525D67"/>
                            <w:spacing w:val="-2"/>
                            <w:w w:val="120"/>
                            <w:sz w:val="10"/>
                          </w:rPr>
                          <w:t>llin</w:t>
                        </w:r>
                        <w:r>
                          <w:rPr>
                            <w:color w:val="075BAC"/>
                            <w:spacing w:val="-2"/>
                            <w:w w:val="120"/>
                            <w:sz w:val="10"/>
                          </w:rPr>
                          <w:t>,</w:t>
                        </w:r>
                        <w:r>
                          <w:rPr>
                            <w:color w:val="858A70"/>
                            <w:spacing w:val="-2"/>
                            <w:w w:val="120"/>
                            <w:sz w:val="10"/>
                          </w:rPr>
                          <w:t>.,</w:t>
                        </w:r>
                        <w:r>
                          <w:rPr>
                            <w:color w:val="2F2D48"/>
                            <w:spacing w:val="-2"/>
                            <w:w w:val="120"/>
                            <w:sz w:val="10"/>
                          </w:rPr>
                          <w:t>.:.</w:t>
                        </w:r>
                        <w:r>
                          <w:rPr>
                            <w:color w:val="414260"/>
                            <w:spacing w:val="-2"/>
                            <w:w w:val="120"/>
                            <w:sz w:val="10"/>
                          </w:rPr>
                          <w:t>n•</w:t>
                        </w:r>
                        <w:r>
                          <w:rPr>
                            <w:color w:val="2B085D"/>
                            <w:spacing w:val="-2"/>
                            <w:w w:val="120"/>
                            <w:sz w:val="10"/>
                          </w:rPr>
                          <w:t>.</w:t>
                        </w:r>
                        <w:r>
                          <w:rPr>
                            <w:color w:val="414260"/>
                            <w:spacing w:val="-2"/>
                            <w:w w:val="120"/>
                            <w:sz w:val="10"/>
                          </w:rPr>
                          <w:t>as</w:t>
                        </w:r>
                      </w:p>
                    </w:txbxContent>
                  </v:textbox>
                  <w10:wrap type="none"/>
                </v:shape>
                <w10:wrap type="none"/>
              </v:group>
            </w:pict>
          </mc:Fallback>
        </mc:AlternateContent>
      </w:r>
      <w:r>
        <w:rPr>
          <w:sz w:val="17"/>
        </w:rPr>
        <mc:AlternateContent>
          <mc:Choice Requires="wps">
            <w:drawing>
              <wp:anchor distT="0" distB="0" distL="0" distR="0" allowOverlap="1" layoutInCell="1" locked="0" behindDoc="0" simplePos="0" relativeHeight="15745024">
                <wp:simplePos x="0" y="0"/>
                <wp:positionH relativeFrom="page">
                  <wp:posOffset>3667977</wp:posOffset>
                </wp:positionH>
                <wp:positionV relativeFrom="paragraph">
                  <wp:posOffset>15291</wp:posOffset>
                </wp:positionV>
                <wp:extent cx="3007360" cy="4028440"/>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a:off x="0" y="0"/>
                          <a:ext cx="3007360" cy="4028440"/>
                        </a:xfrm>
                        <a:prstGeom prst="rect">
                          <a:avLst/>
                        </a:prstGeom>
                      </wps:spPr>
                      <wps:txbx>
                        <w:txbxContent>
                          <w:tbl>
                            <w:tblPr>
                              <w:tblW w:w="0" w:type="auto"/>
                              <w:jc w:val="left"/>
                              <w:tblInd w:w="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76"/>
                              <w:gridCol w:w="462"/>
                              <w:gridCol w:w="707"/>
                              <w:gridCol w:w="2952"/>
                            </w:tblGrid>
                            <w:tr>
                              <w:trPr>
                                <w:trHeight w:val="566" w:hRule="atLeast"/>
                              </w:trPr>
                              <w:tc>
                                <w:tcPr>
                                  <w:tcW w:w="476" w:type="dxa"/>
                                  <w:tcBorders>
                                    <w:top w:val="nil"/>
                                    <w:left w:val="nil"/>
                                    <w:right w:val="single" w:sz="12" w:space="0" w:color="000000"/>
                                  </w:tcBorders>
                                </w:tcPr>
                                <w:p>
                                  <w:pPr>
                                    <w:pStyle w:val="TableParagraph"/>
                                    <w:rPr>
                                      <w:rFonts w:ascii="Times New Roman"/>
                                      <w:sz w:val="16"/>
                                    </w:rPr>
                                  </w:pPr>
                                </w:p>
                              </w:tc>
                              <w:tc>
                                <w:tcPr>
                                  <w:tcW w:w="462" w:type="dxa"/>
                                  <w:tcBorders>
                                    <w:top w:val="nil"/>
                                    <w:left w:val="single" w:sz="12" w:space="0" w:color="000000"/>
                                    <w:right w:val="single" w:sz="12" w:space="0" w:color="000000"/>
                                  </w:tcBorders>
                                </w:tcPr>
                                <w:p>
                                  <w:pPr>
                                    <w:pStyle w:val="TableParagraph"/>
                                    <w:rPr>
                                      <w:rFonts w:ascii="Times New Roman"/>
                                      <w:sz w:val="16"/>
                                    </w:rPr>
                                  </w:pPr>
                                </w:p>
                              </w:tc>
                              <w:tc>
                                <w:tcPr>
                                  <w:tcW w:w="707" w:type="dxa"/>
                                  <w:tcBorders>
                                    <w:top w:val="nil"/>
                                    <w:left w:val="single" w:sz="12" w:space="0" w:color="000000"/>
                                  </w:tcBorders>
                                </w:tcPr>
                                <w:p>
                                  <w:pPr>
                                    <w:pStyle w:val="TableParagraph"/>
                                    <w:rPr>
                                      <w:rFonts w:ascii="Times New Roman"/>
                                      <w:sz w:val="16"/>
                                    </w:rPr>
                                  </w:pPr>
                                </w:p>
                              </w:tc>
                              <w:tc>
                                <w:tcPr>
                                  <w:tcW w:w="2952" w:type="dxa"/>
                                  <w:tcBorders>
                                    <w:top w:val="nil"/>
                                  </w:tcBorders>
                                </w:tcPr>
                                <w:p>
                                  <w:pPr>
                                    <w:pStyle w:val="TableParagraph"/>
                                    <w:rPr>
                                      <w:rFonts w:ascii="Times New Roman"/>
                                      <w:sz w:val="16"/>
                                    </w:rPr>
                                  </w:pPr>
                                </w:p>
                              </w:tc>
                            </w:tr>
                            <w:tr>
                              <w:trPr>
                                <w:trHeight w:val="191" w:hRule="atLeast"/>
                              </w:trPr>
                              <w:tc>
                                <w:tcPr>
                                  <w:tcW w:w="476" w:type="dxa"/>
                                  <w:tcBorders>
                                    <w:left w:val="nil"/>
                                    <w:right w:val="single" w:sz="12" w:space="0" w:color="000000"/>
                                  </w:tcBorders>
                                </w:tcPr>
                                <w:p>
                                  <w:pPr>
                                    <w:pStyle w:val="TableParagraph"/>
                                    <w:rPr>
                                      <w:rFonts w:ascii="Times New Roman"/>
                                      <w:sz w:val="12"/>
                                    </w:rPr>
                                  </w:pPr>
                                </w:p>
                              </w:tc>
                              <w:tc>
                                <w:tcPr>
                                  <w:tcW w:w="462" w:type="dxa"/>
                                  <w:tcBorders>
                                    <w:left w:val="single" w:sz="12" w:space="0" w:color="000000"/>
                                    <w:right w:val="single" w:sz="12" w:space="0" w:color="000000"/>
                                  </w:tcBorders>
                                </w:tcPr>
                                <w:p>
                                  <w:pPr>
                                    <w:pStyle w:val="TableParagraph"/>
                                    <w:rPr>
                                      <w:rFonts w:ascii="Times New Roman"/>
                                      <w:sz w:val="12"/>
                                    </w:rPr>
                                  </w:pPr>
                                </w:p>
                              </w:tc>
                              <w:tc>
                                <w:tcPr>
                                  <w:tcW w:w="707" w:type="dxa"/>
                                  <w:tcBorders>
                                    <w:left w:val="single" w:sz="12" w:space="0" w:color="000000"/>
                                  </w:tcBorders>
                                </w:tcPr>
                                <w:p>
                                  <w:pPr>
                                    <w:pStyle w:val="TableParagraph"/>
                                    <w:rPr>
                                      <w:rFonts w:ascii="Times New Roman"/>
                                      <w:sz w:val="12"/>
                                    </w:rPr>
                                  </w:pPr>
                                </w:p>
                              </w:tc>
                              <w:tc>
                                <w:tcPr>
                                  <w:tcW w:w="2952" w:type="dxa"/>
                                </w:tcPr>
                                <w:p>
                                  <w:pPr>
                                    <w:pStyle w:val="TableParagraph"/>
                                    <w:rPr>
                                      <w:rFonts w:ascii="Times New Roman"/>
                                      <w:sz w:val="12"/>
                                    </w:rPr>
                                  </w:pPr>
                                </w:p>
                              </w:tc>
                            </w:tr>
                            <w:tr>
                              <w:trPr>
                                <w:trHeight w:val="177" w:hRule="atLeast"/>
                              </w:trPr>
                              <w:tc>
                                <w:tcPr>
                                  <w:tcW w:w="476" w:type="dxa"/>
                                  <w:tcBorders>
                                    <w:left w:val="nil"/>
                                    <w:right w:val="single" w:sz="12" w:space="0" w:color="000000"/>
                                  </w:tcBorders>
                                </w:tcPr>
                                <w:p>
                                  <w:pPr>
                                    <w:pStyle w:val="TableParagraph"/>
                                    <w:rPr>
                                      <w:rFonts w:ascii="Times New Roman"/>
                                      <w:sz w:val="10"/>
                                    </w:rPr>
                                  </w:pPr>
                                </w:p>
                              </w:tc>
                              <w:tc>
                                <w:tcPr>
                                  <w:tcW w:w="462" w:type="dxa"/>
                                  <w:tcBorders>
                                    <w:left w:val="single" w:sz="12" w:space="0" w:color="000000"/>
                                    <w:right w:val="single" w:sz="12" w:space="0" w:color="000000"/>
                                  </w:tcBorders>
                                </w:tcPr>
                                <w:p>
                                  <w:pPr>
                                    <w:pStyle w:val="TableParagraph"/>
                                    <w:rPr>
                                      <w:rFonts w:ascii="Times New Roman"/>
                                      <w:sz w:val="10"/>
                                    </w:rPr>
                                  </w:pPr>
                                </w:p>
                              </w:tc>
                              <w:tc>
                                <w:tcPr>
                                  <w:tcW w:w="707" w:type="dxa"/>
                                  <w:tcBorders>
                                    <w:left w:val="single" w:sz="12" w:space="0" w:color="000000"/>
                                  </w:tcBorders>
                                </w:tcPr>
                                <w:p>
                                  <w:pPr>
                                    <w:pStyle w:val="TableParagraph"/>
                                    <w:rPr>
                                      <w:rFonts w:ascii="Times New Roman"/>
                                      <w:sz w:val="10"/>
                                    </w:rPr>
                                  </w:pPr>
                                </w:p>
                              </w:tc>
                              <w:tc>
                                <w:tcPr>
                                  <w:tcW w:w="2952" w:type="dxa"/>
                                </w:tcPr>
                                <w:p>
                                  <w:pPr>
                                    <w:pStyle w:val="TableParagraph"/>
                                    <w:rPr>
                                      <w:rFonts w:ascii="Times New Roman"/>
                                      <w:sz w:val="10"/>
                                    </w:rPr>
                                  </w:pPr>
                                </w:p>
                              </w:tc>
                            </w:tr>
                            <w:tr>
                              <w:trPr>
                                <w:trHeight w:val="191" w:hRule="atLeast"/>
                              </w:trPr>
                              <w:tc>
                                <w:tcPr>
                                  <w:tcW w:w="476" w:type="dxa"/>
                                  <w:tcBorders>
                                    <w:left w:val="nil"/>
                                    <w:right w:val="single" w:sz="12" w:space="0" w:color="000000"/>
                                  </w:tcBorders>
                                </w:tcPr>
                                <w:p>
                                  <w:pPr>
                                    <w:pStyle w:val="TableParagraph"/>
                                    <w:rPr>
                                      <w:rFonts w:ascii="Times New Roman"/>
                                      <w:sz w:val="12"/>
                                    </w:rPr>
                                  </w:pPr>
                                </w:p>
                              </w:tc>
                              <w:tc>
                                <w:tcPr>
                                  <w:tcW w:w="462" w:type="dxa"/>
                                  <w:tcBorders>
                                    <w:left w:val="single" w:sz="12" w:space="0" w:color="000000"/>
                                    <w:right w:val="single" w:sz="12" w:space="0" w:color="000000"/>
                                  </w:tcBorders>
                                </w:tcPr>
                                <w:p>
                                  <w:pPr>
                                    <w:pStyle w:val="TableParagraph"/>
                                    <w:rPr>
                                      <w:rFonts w:ascii="Times New Roman"/>
                                      <w:sz w:val="12"/>
                                    </w:rPr>
                                  </w:pPr>
                                </w:p>
                              </w:tc>
                              <w:tc>
                                <w:tcPr>
                                  <w:tcW w:w="707" w:type="dxa"/>
                                  <w:tcBorders>
                                    <w:left w:val="single" w:sz="12" w:space="0" w:color="000000"/>
                                  </w:tcBorders>
                                </w:tcPr>
                                <w:p>
                                  <w:pPr>
                                    <w:pStyle w:val="TableParagraph"/>
                                    <w:rPr>
                                      <w:rFonts w:ascii="Times New Roman"/>
                                      <w:sz w:val="12"/>
                                    </w:rPr>
                                  </w:pPr>
                                </w:p>
                              </w:tc>
                              <w:tc>
                                <w:tcPr>
                                  <w:tcW w:w="2952" w:type="dxa"/>
                                </w:tcPr>
                                <w:p>
                                  <w:pPr>
                                    <w:pStyle w:val="TableParagraph"/>
                                    <w:rPr>
                                      <w:rFonts w:ascii="Times New Roman"/>
                                      <w:sz w:val="12"/>
                                    </w:rPr>
                                  </w:pPr>
                                </w:p>
                              </w:tc>
                            </w:tr>
                            <w:tr>
                              <w:trPr>
                                <w:trHeight w:val="196" w:hRule="atLeast"/>
                              </w:trPr>
                              <w:tc>
                                <w:tcPr>
                                  <w:tcW w:w="476" w:type="dxa"/>
                                  <w:tcBorders>
                                    <w:left w:val="nil"/>
                                    <w:right w:val="single" w:sz="12" w:space="0" w:color="000000"/>
                                  </w:tcBorders>
                                </w:tcPr>
                                <w:p>
                                  <w:pPr>
                                    <w:pStyle w:val="TableParagraph"/>
                                    <w:rPr>
                                      <w:rFonts w:ascii="Times New Roman"/>
                                      <w:sz w:val="12"/>
                                    </w:rPr>
                                  </w:pPr>
                                </w:p>
                              </w:tc>
                              <w:tc>
                                <w:tcPr>
                                  <w:tcW w:w="462" w:type="dxa"/>
                                  <w:tcBorders>
                                    <w:left w:val="single" w:sz="12" w:space="0" w:color="000000"/>
                                    <w:right w:val="single" w:sz="12" w:space="0" w:color="000000"/>
                                  </w:tcBorders>
                                </w:tcPr>
                                <w:p>
                                  <w:pPr>
                                    <w:pStyle w:val="TableParagraph"/>
                                    <w:rPr>
                                      <w:rFonts w:ascii="Times New Roman"/>
                                      <w:sz w:val="12"/>
                                    </w:rPr>
                                  </w:pPr>
                                </w:p>
                              </w:tc>
                              <w:tc>
                                <w:tcPr>
                                  <w:tcW w:w="707" w:type="dxa"/>
                                  <w:tcBorders>
                                    <w:left w:val="single" w:sz="12" w:space="0" w:color="000000"/>
                                  </w:tcBorders>
                                </w:tcPr>
                                <w:p>
                                  <w:pPr>
                                    <w:pStyle w:val="TableParagraph"/>
                                    <w:rPr>
                                      <w:rFonts w:ascii="Times New Roman"/>
                                      <w:sz w:val="12"/>
                                    </w:rPr>
                                  </w:pPr>
                                </w:p>
                              </w:tc>
                              <w:tc>
                                <w:tcPr>
                                  <w:tcW w:w="2952" w:type="dxa"/>
                                </w:tcPr>
                                <w:p>
                                  <w:pPr>
                                    <w:pStyle w:val="TableParagraph"/>
                                    <w:rPr>
                                      <w:rFonts w:ascii="Times New Roman"/>
                                      <w:sz w:val="12"/>
                                    </w:rPr>
                                  </w:pPr>
                                </w:p>
                              </w:tc>
                            </w:tr>
                            <w:tr>
                              <w:trPr>
                                <w:trHeight w:val="172" w:hRule="atLeast"/>
                              </w:trPr>
                              <w:tc>
                                <w:tcPr>
                                  <w:tcW w:w="476" w:type="dxa"/>
                                  <w:tcBorders>
                                    <w:left w:val="nil"/>
                                    <w:right w:val="single" w:sz="12" w:space="0" w:color="000000"/>
                                  </w:tcBorders>
                                </w:tcPr>
                                <w:p>
                                  <w:pPr>
                                    <w:pStyle w:val="TableParagraph"/>
                                    <w:rPr>
                                      <w:rFonts w:ascii="Times New Roman"/>
                                      <w:sz w:val="10"/>
                                    </w:rPr>
                                  </w:pPr>
                                </w:p>
                              </w:tc>
                              <w:tc>
                                <w:tcPr>
                                  <w:tcW w:w="462" w:type="dxa"/>
                                  <w:tcBorders>
                                    <w:left w:val="single" w:sz="12" w:space="0" w:color="000000"/>
                                    <w:right w:val="single" w:sz="12" w:space="0" w:color="000000"/>
                                  </w:tcBorders>
                                </w:tcPr>
                                <w:p>
                                  <w:pPr>
                                    <w:pStyle w:val="TableParagraph"/>
                                    <w:rPr>
                                      <w:rFonts w:ascii="Times New Roman"/>
                                      <w:sz w:val="10"/>
                                    </w:rPr>
                                  </w:pPr>
                                </w:p>
                              </w:tc>
                              <w:tc>
                                <w:tcPr>
                                  <w:tcW w:w="707" w:type="dxa"/>
                                  <w:tcBorders>
                                    <w:left w:val="single" w:sz="12" w:space="0" w:color="000000"/>
                                  </w:tcBorders>
                                </w:tcPr>
                                <w:p>
                                  <w:pPr>
                                    <w:pStyle w:val="TableParagraph"/>
                                    <w:rPr>
                                      <w:rFonts w:ascii="Times New Roman"/>
                                      <w:sz w:val="10"/>
                                    </w:rPr>
                                  </w:pPr>
                                </w:p>
                              </w:tc>
                              <w:tc>
                                <w:tcPr>
                                  <w:tcW w:w="2952" w:type="dxa"/>
                                </w:tcPr>
                                <w:p>
                                  <w:pPr>
                                    <w:pStyle w:val="TableParagraph"/>
                                    <w:rPr>
                                      <w:rFonts w:ascii="Times New Roman"/>
                                      <w:sz w:val="10"/>
                                    </w:rPr>
                                  </w:pPr>
                                </w:p>
                              </w:tc>
                            </w:tr>
                            <w:tr>
                              <w:trPr>
                                <w:trHeight w:val="196" w:hRule="atLeast"/>
                              </w:trPr>
                              <w:tc>
                                <w:tcPr>
                                  <w:tcW w:w="476" w:type="dxa"/>
                                  <w:tcBorders>
                                    <w:left w:val="nil"/>
                                    <w:right w:val="single" w:sz="12" w:space="0" w:color="000000"/>
                                  </w:tcBorders>
                                </w:tcPr>
                                <w:p>
                                  <w:pPr>
                                    <w:pStyle w:val="TableParagraph"/>
                                    <w:rPr>
                                      <w:rFonts w:ascii="Times New Roman"/>
                                      <w:sz w:val="12"/>
                                    </w:rPr>
                                  </w:pPr>
                                </w:p>
                              </w:tc>
                              <w:tc>
                                <w:tcPr>
                                  <w:tcW w:w="462" w:type="dxa"/>
                                  <w:tcBorders>
                                    <w:left w:val="single" w:sz="12" w:space="0" w:color="000000"/>
                                    <w:right w:val="single" w:sz="12" w:space="0" w:color="000000"/>
                                  </w:tcBorders>
                                </w:tcPr>
                                <w:p>
                                  <w:pPr>
                                    <w:pStyle w:val="TableParagraph"/>
                                    <w:rPr>
                                      <w:rFonts w:ascii="Times New Roman"/>
                                      <w:sz w:val="12"/>
                                    </w:rPr>
                                  </w:pPr>
                                </w:p>
                              </w:tc>
                              <w:tc>
                                <w:tcPr>
                                  <w:tcW w:w="707" w:type="dxa"/>
                                  <w:tcBorders>
                                    <w:left w:val="single" w:sz="12" w:space="0" w:color="000000"/>
                                  </w:tcBorders>
                                </w:tcPr>
                                <w:p>
                                  <w:pPr>
                                    <w:pStyle w:val="TableParagraph"/>
                                    <w:rPr>
                                      <w:rFonts w:ascii="Times New Roman"/>
                                      <w:sz w:val="12"/>
                                    </w:rPr>
                                  </w:pPr>
                                </w:p>
                              </w:tc>
                              <w:tc>
                                <w:tcPr>
                                  <w:tcW w:w="2952" w:type="dxa"/>
                                </w:tcPr>
                                <w:p>
                                  <w:pPr>
                                    <w:pStyle w:val="TableParagraph"/>
                                    <w:rPr>
                                      <w:rFonts w:ascii="Times New Roman"/>
                                      <w:sz w:val="12"/>
                                    </w:rPr>
                                  </w:pPr>
                                </w:p>
                              </w:tc>
                            </w:tr>
                            <w:tr>
                              <w:trPr>
                                <w:trHeight w:val="172" w:hRule="atLeast"/>
                              </w:trPr>
                              <w:tc>
                                <w:tcPr>
                                  <w:tcW w:w="476" w:type="dxa"/>
                                  <w:tcBorders>
                                    <w:left w:val="nil"/>
                                    <w:right w:val="single" w:sz="12" w:space="0" w:color="000000"/>
                                  </w:tcBorders>
                                </w:tcPr>
                                <w:p>
                                  <w:pPr>
                                    <w:pStyle w:val="TableParagraph"/>
                                    <w:rPr>
                                      <w:rFonts w:ascii="Times New Roman"/>
                                      <w:sz w:val="10"/>
                                    </w:rPr>
                                  </w:pPr>
                                </w:p>
                              </w:tc>
                              <w:tc>
                                <w:tcPr>
                                  <w:tcW w:w="462" w:type="dxa"/>
                                  <w:tcBorders>
                                    <w:left w:val="single" w:sz="12" w:space="0" w:color="000000"/>
                                    <w:right w:val="single" w:sz="12" w:space="0" w:color="000000"/>
                                  </w:tcBorders>
                                </w:tcPr>
                                <w:p>
                                  <w:pPr>
                                    <w:pStyle w:val="TableParagraph"/>
                                    <w:rPr>
                                      <w:rFonts w:ascii="Times New Roman"/>
                                      <w:sz w:val="10"/>
                                    </w:rPr>
                                  </w:pPr>
                                </w:p>
                              </w:tc>
                              <w:tc>
                                <w:tcPr>
                                  <w:tcW w:w="707" w:type="dxa"/>
                                  <w:tcBorders>
                                    <w:left w:val="single" w:sz="12" w:space="0" w:color="000000"/>
                                  </w:tcBorders>
                                </w:tcPr>
                                <w:p>
                                  <w:pPr>
                                    <w:pStyle w:val="TableParagraph"/>
                                    <w:rPr>
                                      <w:rFonts w:ascii="Times New Roman"/>
                                      <w:sz w:val="10"/>
                                    </w:rPr>
                                  </w:pPr>
                                </w:p>
                              </w:tc>
                              <w:tc>
                                <w:tcPr>
                                  <w:tcW w:w="2952" w:type="dxa"/>
                                </w:tcPr>
                                <w:p>
                                  <w:pPr>
                                    <w:pStyle w:val="TableParagraph"/>
                                    <w:rPr>
                                      <w:rFonts w:ascii="Times New Roman"/>
                                      <w:sz w:val="10"/>
                                    </w:rPr>
                                  </w:pPr>
                                </w:p>
                              </w:tc>
                            </w:tr>
                            <w:tr>
                              <w:trPr>
                                <w:trHeight w:val="196" w:hRule="atLeast"/>
                              </w:trPr>
                              <w:tc>
                                <w:tcPr>
                                  <w:tcW w:w="476" w:type="dxa"/>
                                  <w:tcBorders>
                                    <w:left w:val="nil"/>
                                    <w:right w:val="single" w:sz="12" w:space="0" w:color="000000"/>
                                  </w:tcBorders>
                                </w:tcPr>
                                <w:p>
                                  <w:pPr>
                                    <w:pStyle w:val="TableParagraph"/>
                                    <w:rPr>
                                      <w:rFonts w:ascii="Times New Roman"/>
                                      <w:sz w:val="12"/>
                                    </w:rPr>
                                  </w:pPr>
                                </w:p>
                              </w:tc>
                              <w:tc>
                                <w:tcPr>
                                  <w:tcW w:w="462" w:type="dxa"/>
                                  <w:tcBorders>
                                    <w:left w:val="single" w:sz="12" w:space="0" w:color="000000"/>
                                    <w:right w:val="single" w:sz="12" w:space="0" w:color="000000"/>
                                  </w:tcBorders>
                                </w:tcPr>
                                <w:p>
                                  <w:pPr>
                                    <w:pStyle w:val="TableParagraph"/>
                                    <w:rPr>
                                      <w:rFonts w:ascii="Times New Roman"/>
                                      <w:sz w:val="12"/>
                                    </w:rPr>
                                  </w:pPr>
                                </w:p>
                              </w:tc>
                              <w:tc>
                                <w:tcPr>
                                  <w:tcW w:w="707" w:type="dxa"/>
                                  <w:tcBorders>
                                    <w:left w:val="single" w:sz="12" w:space="0" w:color="000000"/>
                                  </w:tcBorders>
                                </w:tcPr>
                                <w:p>
                                  <w:pPr>
                                    <w:pStyle w:val="TableParagraph"/>
                                    <w:rPr>
                                      <w:rFonts w:ascii="Times New Roman"/>
                                      <w:sz w:val="12"/>
                                    </w:rPr>
                                  </w:pPr>
                                </w:p>
                              </w:tc>
                              <w:tc>
                                <w:tcPr>
                                  <w:tcW w:w="2952" w:type="dxa"/>
                                </w:tcPr>
                                <w:p>
                                  <w:pPr>
                                    <w:pStyle w:val="TableParagraph"/>
                                    <w:rPr>
                                      <w:rFonts w:ascii="Times New Roman"/>
                                      <w:sz w:val="12"/>
                                    </w:rPr>
                                  </w:pPr>
                                </w:p>
                              </w:tc>
                            </w:tr>
                            <w:tr>
                              <w:trPr>
                                <w:trHeight w:val="167" w:hRule="atLeast"/>
                              </w:trPr>
                              <w:tc>
                                <w:tcPr>
                                  <w:tcW w:w="476" w:type="dxa"/>
                                  <w:tcBorders>
                                    <w:left w:val="nil"/>
                                    <w:right w:val="single" w:sz="12" w:space="0" w:color="000000"/>
                                  </w:tcBorders>
                                </w:tcPr>
                                <w:p>
                                  <w:pPr>
                                    <w:pStyle w:val="TableParagraph"/>
                                    <w:rPr>
                                      <w:rFonts w:ascii="Times New Roman"/>
                                      <w:sz w:val="10"/>
                                    </w:rPr>
                                  </w:pPr>
                                </w:p>
                              </w:tc>
                              <w:tc>
                                <w:tcPr>
                                  <w:tcW w:w="462" w:type="dxa"/>
                                  <w:tcBorders>
                                    <w:left w:val="single" w:sz="12" w:space="0" w:color="000000"/>
                                    <w:right w:val="single" w:sz="12" w:space="0" w:color="000000"/>
                                  </w:tcBorders>
                                </w:tcPr>
                                <w:p>
                                  <w:pPr>
                                    <w:pStyle w:val="TableParagraph"/>
                                    <w:rPr>
                                      <w:rFonts w:ascii="Times New Roman"/>
                                      <w:sz w:val="10"/>
                                    </w:rPr>
                                  </w:pPr>
                                </w:p>
                              </w:tc>
                              <w:tc>
                                <w:tcPr>
                                  <w:tcW w:w="707" w:type="dxa"/>
                                  <w:tcBorders>
                                    <w:left w:val="single" w:sz="12" w:space="0" w:color="000000"/>
                                  </w:tcBorders>
                                </w:tcPr>
                                <w:p>
                                  <w:pPr>
                                    <w:pStyle w:val="TableParagraph"/>
                                    <w:rPr>
                                      <w:rFonts w:ascii="Times New Roman"/>
                                      <w:sz w:val="10"/>
                                    </w:rPr>
                                  </w:pPr>
                                </w:p>
                              </w:tc>
                              <w:tc>
                                <w:tcPr>
                                  <w:tcW w:w="2952" w:type="dxa"/>
                                </w:tcPr>
                                <w:p>
                                  <w:pPr>
                                    <w:pStyle w:val="TableParagraph"/>
                                    <w:rPr>
                                      <w:rFonts w:ascii="Times New Roman"/>
                                      <w:sz w:val="10"/>
                                    </w:rPr>
                                  </w:pPr>
                                </w:p>
                              </w:tc>
                            </w:tr>
                            <w:tr>
                              <w:trPr>
                                <w:trHeight w:val="354" w:hRule="atLeast"/>
                              </w:trPr>
                              <w:tc>
                                <w:tcPr>
                                  <w:tcW w:w="476" w:type="dxa"/>
                                  <w:tcBorders>
                                    <w:left w:val="nil"/>
                                    <w:right w:val="single" w:sz="12" w:space="0" w:color="000000"/>
                                  </w:tcBorders>
                                </w:tcPr>
                                <w:p>
                                  <w:pPr>
                                    <w:pStyle w:val="TableParagraph"/>
                                    <w:rPr>
                                      <w:rFonts w:ascii="Times New Roman"/>
                                      <w:sz w:val="16"/>
                                    </w:rPr>
                                  </w:pPr>
                                </w:p>
                              </w:tc>
                              <w:tc>
                                <w:tcPr>
                                  <w:tcW w:w="462" w:type="dxa"/>
                                  <w:tcBorders>
                                    <w:left w:val="single" w:sz="12" w:space="0" w:color="000000"/>
                                    <w:right w:val="single" w:sz="12" w:space="0" w:color="000000"/>
                                  </w:tcBorders>
                                </w:tcPr>
                                <w:p>
                                  <w:pPr>
                                    <w:pStyle w:val="TableParagraph"/>
                                    <w:rPr>
                                      <w:rFonts w:ascii="Times New Roman"/>
                                      <w:sz w:val="16"/>
                                    </w:rPr>
                                  </w:pPr>
                                </w:p>
                              </w:tc>
                              <w:tc>
                                <w:tcPr>
                                  <w:tcW w:w="707" w:type="dxa"/>
                                  <w:tcBorders>
                                    <w:left w:val="single" w:sz="12" w:space="0" w:color="000000"/>
                                  </w:tcBorders>
                                </w:tcPr>
                                <w:p>
                                  <w:pPr>
                                    <w:pStyle w:val="TableParagraph"/>
                                    <w:rPr>
                                      <w:rFonts w:ascii="Times New Roman"/>
                                      <w:sz w:val="16"/>
                                    </w:rPr>
                                  </w:pPr>
                                </w:p>
                              </w:tc>
                              <w:tc>
                                <w:tcPr>
                                  <w:tcW w:w="2952" w:type="dxa"/>
                                </w:tcPr>
                                <w:p>
                                  <w:pPr>
                                    <w:pStyle w:val="TableParagraph"/>
                                    <w:rPr>
                                      <w:rFonts w:ascii="Times New Roman"/>
                                      <w:sz w:val="16"/>
                                    </w:rPr>
                                  </w:pPr>
                                </w:p>
                              </w:tc>
                            </w:tr>
                            <w:tr>
                              <w:trPr>
                                <w:trHeight w:val="2786" w:hRule="atLeast"/>
                              </w:trPr>
                              <w:tc>
                                <w:tcPr>
                                  <w:tcW w:w="476" w:type="dxa"/>
                                  <w:tcBorders>
                                    <w:left w:val="nil"/>
                                    <w:right w:val="single" w:sz="12" w:space="0" w:color="000000"/>
                                  </w:tcBorders>
                                </w:tcPr>
                                <w:p>
                                  <w:pPr>
                                    <w:pStyle w:val="TableParagraph"/>
                                    <w:rPr>
                                      <w:rFonts w:ascii="Times New Roman"/>
                                      <w:sz w:val="16"/>
                                    </w:rPr>
                                  </w:pPr>
                                </w:p>
                              </w:tc>
                              <w:tc>
                                <w:tcPr>
                                  <w:tcW w:w="462" w:type="dxa"/>
                                  <w:tcBorders>
                                    <w:left w:val="single" w:sz="12" w:space="0" w:color="000000"/>
                                    <w:right w:val="single" w:sz="12" w:space="0" w:color="000000"/>
                                  </w:tcBorders>
                                </w:tcPr>
                                <w:p>
                                  <w:pPr>
                                    <w:pStyle w:val="TableParagraph"/>
                                    <w:rPr>
                                      <w:rFonts w:ascii="Times New Roman"/>
                                      <w:sz w:val="16"/>
                                    </w:rPr>
                                  </w:pPr>
                                </w:p>
                              </w:tc>
                              <w:tc>
                                <w:tcPr>
                                  <w:tcW w:w="707" w:type="dxa"/>
                                  <w:tcBorders>
                                    <w:left w:val="single" w:sz="12" w:space="0" w:color="000000"/>
                                  </w:tcBorders>
                                </w:tcPr>
                                <w:p>
                                  <w:pPr>
                                    <w:pStyle w:val="TableParagraph"/>
                                    <w:rPr>
                                      <w:rFonts w:ascii="Times New Roman"/>
                                      <w:sz w:val="16"/>
                                    </w:rPr>
                                  </w:pPr>
                                </w:p>
                              </w:tc>
                              <w:tc>
                                <w:tcPr>
                                  <w:tcW w:w="2952" w:type="dxa"/>
                                </w:tcPr>
                                <w:p>
                                  <w:pPr>
                                    <w:pStyle w:val="TableParagraph"/>
                                    <w:rPr>
                                      <w:rFonts w:ascii="Times New Roman"/>
                                      <w:sz w:val="16"/>
                                    </w:rPr>
                                  </w:pPr>
                                </w:p>
                              </w:tc>
                            </w:tr>
                            <w:tr>
                              <w:trPr>
                                <w:trHeight w:val="720" w:hRule="atLeast"/>
                              </w:trPr>
                              <w:tc>
                                <w:tcPr>
                                  <w:tcW w:w="476" w:type="dxa"/>
                                  <w:tcBorders>
                                    <w:left w:val="nil"/>
                                    <w:right w:val="single" w:sz="12" w:space="0" w:color="000000"/>
                                  </w:tcBorders>
                                </w:tcPr>
                                <w:p>
                                  <w:pPr>
                                    <w:pStyle w:val="TableParagraph"/>
                                    <w:rPr>
                                      <w:rFonts w:ascii="Times New Roman"/>
                                      <w:sz w:val="16"/>
                                    </w:rPr>
                                  </w:pPr>
                                </w:p>
                              </w:tc>
                              <w:tc>
                                <w:tcPr>
                                  <w:tcW w:w="462" w:type="dxa"/>
                                  <w:tcBorders>
                                    <w:left w:val="single" w:sz="12" w:space="0" w:color="000000"/>
                                    <w:right w:val="single" w:sz="12" w:space="0" w:color="000000"/>
                                  </w:tcBorders>
                                </w:tcPr>
                                <w:p>
                                  <w:pPr>
                                    <w:pStyle w:val="TableParagraph"/>
                                    <w:rPr>
                                      <w:rFonts w:ascii="Times New Roman"/>
                                      <w:sz w:val="16"/>
                                    </w:rPr>
                                  </w:pPr>
                                </w:p>
                              </w:tc>
                              <w:tc>
                                <w:tcPr>
                                  <w:tcW w:w="707" w:type="dxa"/>
                                  <w:tcBorders>
                                    <w:left w:val="single" w:sz="12" w:space="0" w:color="000000"/>
                                  </w:tcBorders>
                                </w:tcPr>
                                <w:p>
                                  <w:pPr>
                                    <w:pStyle w:val="TableParagraph"/>
                                    <w:rPr>
                                      <w:rFonts w:ascii="Times New Roman"/>
                                      <w:sz w:val="16"/>
                                    </w:rPr>
                                  </w:pPr>
                                </w:p>
                              </w:tc>
                              <w:tc>
                                <w:tcPr>
                                  <w:tcW w:w="2952" w:type="dxa"/>
                                </w:tcPr>
                                <w:p>
                                  <w:pPr>
                                    <w:pStyle w:val="TableParagraph"/>
                                    <w:rPr>
                                      <w:rFonts w:ascii="Times New Roman"/>
                                      <w:sz w:val="16"/>
                                    </w:rPr>
                                  </w:pPr>
                                </w:p>
                              </w:tc>
                            </w:tr>
                          </w:tbl>
                          <w:p>
                            <w:pPr>
                              <w:pStyle w:val="BodyText"/>
                            </w:pPr>
                          </w:p>
                        </w:txbxContent>
                      </wps:txbx>
                      <wps:bodyPr wrap="square" lIns="0" tIns="0" rIns="0" bIns="0" rtlCol="0">
                        <a:noAutofit/>
                      </wps:bodyPr>
                    </wps:wsp>
                  </a:graphicData>
                </a:graphic>
              </wp:anchor>
            </w:drawing>
          </mc:Choice>
          <mc:Fallback>
            <w:pict>
              <v:shape style="position:absolute;margin-left:288.817139pt;margin-top:1.20408pt;width:236.8pt;height:317.2pt;mso-position-horizontal-relative:page;mso-position-vertical-relative:paragraph;z-index:15745024" type="#_x0000_t202" id="docshape85" filled="false" stroked="false">
                <v:textbox inset="0,0,0,0">
                  <w:txbxContent>
                    <w:tbl>
                      <w:tblPr>
                        <w:tblW w:w="0" w:type="auto"/>
                        <w:jc w:val="left"/>
                        <w:tblInd w:w="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76"/>
                        <w:gridCol w:w="462"/>
                        <w:gridCol w:w="707"/>
                        <w:gridCol w:w="2952"/>
                      </w:tblGrid>
                      <w:tr>
                        <w:trPr>
                          <w:trHeight w:val="566" w:hRule="atLeast"/>
                        </w:trPr>
                        <w:tc>
                          <w:tcPr>
                            <w:tcW w:w="476" w:type="dxa"/>
                            <w:tcBorders>
                              <w:top w:val="nil"/>
                              <w:left w:val="nil"/>
                              <w:right w:val="single" w:sz="12" w:space="0" w:color="000000"/>
                            </w:tcBorders>
                          </w:tcPr>
                          <w:p>
                            <w:pPr>
                              <w:pStyle w:val="TableParagraph"/>
                              <w:rPr>
                                <w:rFonts w:ascii="Times New Roman"/>
                                <w:sz w:val="16"/>
                              </w:rPr>
                            </w:pPr>
                          </w:p>
                        </w:tc>
                        <w:tc>
                          <w:tcPr>
                            <w:tcW w:w="462" w:type="dxa"/>
                            <w:tcBorders>
                              <w:top w:val="nil"/>
                              <w:left w:val="single" w:sz="12" w:space="0" w:color="000000"/>
                              <w:right w:val="single" w:sz="12" w:space="0" w:color="000000"/>
                            </w:tcBorders>
                          </w:tcPr>
                          <w:p>
                            <w:pPr>
                              <w:pStyle w:val="TableParagraph"/>
                              <w:rPr>
                                <w:rFonts w:ascii="Times New Roman"/>
                                <w:sz w:val="16"/>
                              </w:rPr>
                            </w:pPr>
                          </w:p>
                        </w:tc>
                        <w:tc>
                          <w:tcPr>
                            <w:tcW w:w="707" w:type="dxa"/>
                            <w:tcBorders>
                              <w:top w:val="nil"/>
                              <w:left w:val="single" w:sz="12" w:space="0" w:color="000000"/>
                            </w:tcBorders>
                          </w:tcPr>
                          <w:p>
                            <w:pPr>
                              <w:pStyle w:val="TableParagraph"/>
                              <w:rPr>
                                <w:rFonts w:ascii="Times New Roman"/>
                                <w:sz w:val="16"/>
                              </w:rPr>
                            </w:pPr>
                          </w:p>
                        </w:tc>
                        <w:tc>
                          <w:tcPr>
                            <w:tcW w:w="2952" w:type="dxa"/>
                            <w:tcBorders>
                              <w:top w:val="nil"/>
                            </w:tcBorders>
                          </w:tcPr>
                          <w:p>
                            <w:pPr>
                              <w:pStyle w:val="TableParagraph"/>
                              <w:rPr>
                                <w:rFonts w:ascii="Times New Roman"/>
                                <w:sz w:val="16"/>
                              </w:rPr>
                            </w:pPr>
                          </w:p>
                        </w:tc>
                      </w:tr>
                      <w:tr>
                        <w:trPr>
                          <w:trHeight w:val="191" w:hRule="atLeast"/>
                        </w:trPr>
                        <w:tc>
                          <w:tcPr>
                            <w:tcW w:w="476" w:type="dxa"/>
                            <w:tcBorders>
                              <w:left w:val="nil"/>
                              <w:right w:val="single" w:sz="12" w:space="0" w:color="000000"/>
                            </w:tcBorders>
                          </w:tcPr>
                          <w:p>
                            <w:pPr>
                              <w:pStyle w:val="TableParagraph"/>
                              <w:rPr>
                                <w:rFonts w:ascii="Times New Roman"/>
                                <w:sz w:val="12"/>
                              </w:rPr>
                            </w:pPr>
                          </w:p>
                        </w:tc>
                        <w:tc>
                          <w:tcPr>
                            <w:tcW w:w="462" w:type="dxa"/>
                            <w:tcBorders>
                              <w:left w:val="single" w:sz="12" w:space="0" w:color="000000"/>
                              <w:right w:val="single" w:sz="12" w:space="0" w:color="000000"/>
                            </w:tcBorders>
                          </w:tcPr>
                          <w:p>
                            <w:pPr>
                              <w:pStyle w:val="TableParagraph"/>
                              <w:rPr>
                                <w:rFonts w:ascii="Times New Roman"/>
                                <w:sz w:val="12"/>
                              </w:rPr>
                            </w:pPr>
                          </w:p>
                        </w:tc>
                        <w:tc>
                          <w:tcPr>
                            <w:tcW w:w="707" w:type="dxa"/>
                            <w:tcBorders>
                              <w:left w:val="single" w:sz="12" w:space="0" w:color="000000"/>
                            </w:tcBorders>
                          </w:tcPr>
                          <w:p>
                            <w:pPr>
                              <w:pStyle w:val="TableParagraph"/>
                              <w:rPr>
                                <w:rFonts w:ascii="Times New Roman"/>
                                <w:sz w:val="12"/>
                              </w:rPr>
                            </w:pPr>
                          </w:p>
                        </w:tc>
                        <w:tc>
                          <w:tcPr>
                            <w:tcW w:w="2952" w:type="dxa"/>
                          </w:tcPr>
                          <w:p>
                            <w:pPr>
                              <w:pStyle w:val="TableParagraph"/>
                              <w:rPr>
                                <w:rFonts w:ascii="Times New Roman"/>
                                <w:sz w:val="12"/>
                              </w:rPr>
                            </w:pPr>
                          </w:p>
                        </w:tc>
                      </w:tr>
                      <w:tr>
                        <w:trPr>
                          <w:trHeight w:val="177" w:hRule="atLeast"/>
                        </w:trPr>
                        <w:tc>
                          <w:tcPr>
                            <w:tcW w:w="476" w:type="dxa"/>
                            <w:tcBorders>
                              <w:left w:val="nil"/>
                              <w:right w:val="single" w:sz="12" w:space="0" w:color="000000"/>
                            </w:tcBorders>
                          </w:tcPr>
                          <w:p>
                            <w:pPr>
                              <w:pStyle w:val="TableParagraph"/>
                              <w:rPr>
                                <w:rFonts w:ascii="Times New Roman"/>
                                <w:sz w:val="10"/>
                              </w:rPr>
                            </w:pPr>
                          </w:p>
                        </w:tc>
                        <w:tc>
                          <w:tcPr>
                            <w:tcW w:w="462" w:type="dxa"/>
                            <w:tcBorders>
                              <w:left w:val="single" w:sz="12" w:space="0" w:color="000000"/>
                              <w:right w:val="single" w:sz="12" w:space="0" w:color="000000"/>
                            </w:tcBorders>
                          </w:tcPr>
                          <w:p>
                            <w:pPr>
                              <w:pStyle w:val="TableParagraph"/>
                              <w:rPr>
                                <w:rFonts w:ascii="Times New Roman"/>
                                <w:sz w:val="10"/>
                              </w:rPr>
                            </w:pPr>
                          </w:p>
                        </w:tc>
                        <w:tc>
                          <w:tcPr>
                            <w:tcW w:w="707" w:type="dxa"/>
                            <w:tcBorders>
                              <w:left w:val="single" w:sz="12" w:space="0" w:color="000000"/>
                            </w:tcBorders>
                          </w:tcPr>
                          <w:p>
                            <w:pPr>
                              <w:pStyle w:val="TableParagraph"/>
                              <w:rPr>
                                <w:rFonts w:ascii="Times New Roman"/>
                                <w:sz w:val="10"/>
                              </w:rPr>
                            </w:pPr>
                          </w:p>
                        </w:tc>
                        <w:tc>
                          <w:tcPr>
                            <w:tcW w:w="2952" w:type="dxa"/>
                          </w:tcPr>
                          <w:p>
                            <w:pPr>
                              <w:pStyle w:val="TableParagraph"/>
                              <w:rPr>
                                <w:rFonts w:ascii="Times New Roman"/>
                                <w:sz w:val="10"/>
                              </w:rPr>
                            </w:pPr>
                          </w:p>
                        </w:tc>
                      </w:tr>
                      <w:tr>
                        <w:trPr>
                          <w:trHeight w:val="191" w:hRule="atLeast"/>
                        </w:trPr>
                        <w:tc>
                          <w:tcPr>
                            <w:tcW w:w="476" w:type="dxa"/>
                            <w:tcBorders>
                              <w:left w:val="nil"/>
                              <w:right w:val="single" w:sz="12" w:space="0" w:color="000000"/>
                            </w:tcBorders>
                          </w:tcPr>
                          <w:p>
                            <w:pPr>
                              <w:pStyle w:val="TableParagraph"/>
                              <w:rPr>
                                <w:rFonts w:ascii="Times New Roman"/>
                                <w:sz w:val="12"/>
                              </w:rPr>
                            </w:pPr>
                          </w:p>
                        </w:tc>
                        <w:tc>
                          <w:tcPr>
                            <w:tcW w:w="462" w:type="dxa"/>
                            <w:tcBorders>
                              <w:left w:val="single" w:sz="12" w:space="0" w:color="000000"/>
                              <w:right w:val="single" w:sz="12" w:space="0" w:color="000000"/>
                            </w:tcBorders>
                          </w:tcPr>
                          <w:p>
                            <w:pPr>
                              <w:pStyle w:val="TableParagraph"/>
                              <w:rPr>
                                <w:rFonts w:ascii="Times New Roman"/>
                                <w:sz w:val="12"/>
                              </w:rPr>
                            </w:pPr>
                          </w:p>
                        </w:tc>
                        <w:tc>
                          <w:tcPr>
                            <w:tcW w:w="707" w:type="dxa"/>
                            <w:tcBorders>
                              <w:left w:val="single" w:sz="12" w:space="0" w:color="000000"/>
                            </w:tcBorders>
                          </w:tcPr>
                          <w:p>
                            <w:pPr>
                              <w:pStyle w:val="TableParagraph"/>
                              <w:rPr>
                                <w:rFonts w:ascii="Times New Roman"/>
                                <w:sz w:val="12"/>
                              </w:rPr>
                            </w:pPr>
                          </w:p>
                        </w:tc>
                        <w:tc>
                          <w:tcPr>
                            <w:tcW w:w="2952" w:type="dxa"/>
                          </w:tcPr>
                          <w:p>
                            <w:pPr>
                              <w:pStyle w:val="TableParagraph"/>
                              <w:rPr>
                                <w:rFonts w:ascii="Times New Roman"/>
                                <w:sz w:val="12"/>
                              </w:rPr>
                            </w:pPr>
                          </w:p>
                        </w:tc>
                      </w:tr>
                      <w:tr>
                        <w:trPr>
                          <w:trHeight w:val="196" w:hRule="atLeast"/>
                        </w:trPr>
                        <w:tc>
                          <w:tcPr>
                            <w:tcW w:w="476" w:type="dxa"/>
                            <w:tcBorders>
                              <w:left w:val="nil"/>
                              <w:right w:val="single" w:sz="12" w:space="0" w:color="000000"/>
                            </w:tcBorders>
                          </w:tcPr>
                          <w:p>
                            <w:pPr>
                              <w:pStyle w:val="TableParagraph"/>
                              <w:rPr>
                                <w:rFonts w:ascii="Times New Roman"/>
                                <w:sz w:val="12"/>
                              </w:rPr>
                            </w:pPr>
                          </w:p>
                        </w:tc>
                        <w:tc>
                          <w:tcPr>
                            <w:tcW w:w="462" w:type="dxa"/>
                            <w:tcBorders>
                              <w:left w:val="single" w:sz="12" w:space="0" w:color="000000"/>
                              <w:right w:val="single" w:sz="12" w:space="0" w:color="000000"/>
                            </w:tcBorders>
                          </w:tcPr>
                          <w:p>
                            <w:pPr>
                              <w:pStyle w:val="TableParagraph"/>
                              <w:rPr>
                                <w:rFonts w:ascii="Times New Roman"/>
                                <w:sz w:val="12"/>
                              </w:rPr>
                            </w:pPr>
                          </w:p>
                        </w:tc>
                        <w:tc>
                          <w:tcPr>
                            <w:tcW w:w="707" w:type="dxa"/>
                            <w:tcBorders>
                              <w:left w:val="single" w:sz="12" w:space="0" w:color="000000"/>
                            </w:tcBorders>
                          </w:tcPr>
                          <w:p>
                            <w:pPr>
                              <w:pStyle w:val="TableParagraph"/>
                              <w:rPr>
                                <w:rFonts w:ascii="Times New Roman"/>
                                <w:sz w:val="12"/>
                              </w:rPr>
                            </w:pPr>
                          </w:p>
                        </w:tc>
                        <w:tc>
                          <w:tcPr>
                            <w:tcW w:w="2952" w:type="dxa"/>
                          </w:tcPr>
                          <w:p>
                            <w:pPr>
                              <w:pStyle w:val="TableParagraph"/>
                              <w:rPr>
                                <w:rFonts w:ascii="Times New Roman"/>
                                <w:sz w:val="12"/>
                              </w:rPr>
                            </w:pPr>
                          </w:p>
                        </w:tc>
                      </w:tr>
                      <w:tr>
                        <w:trPr>
                          <w:trHeight w:val="172" w:hRule="atLeast"/>
                        </w:trPr>
                        <w:tc>
                          <w:tcPr>
                            <w:tcW w:w="476" w:type="dxa"/>
                            <w:tcBorders>
                              <w:left w:val="nil"/>
                              <w:right w:val="single" w:sz="12" w:space="0" w:color="000000"/>
                            </w:tcBorders>
                          </w:tcPr>
                          <w:p>
                            <w:pPr>
                              <w:pStyle w:val="TableParagraph"/>
                              <w:rPr>
                                <w:rFonts w:ascii="Times New Roman"/>
                                <w:sz w:val="10"/>
                              </w:rPr>
                            </w:pPr>
                          </w:p>
                        </w:tc>
                        <w:tc>
                          <w:tcPr>
                            <w:tcW w:w="462" w:type="dxa"/>
                            <w:tcBorders>
                              <w:left w:val="single" w:sz="12" w:space="0" w:color="000000"/>
                              <w:right w:val="single" w:sz="12" w:space="0" w:color="000000"/>
                            </w:tcBorders>
                          </w:tcPr>
                          <w:p>
                            <w:pPr>
                              <w:pStyle w:val="TableParagraph"/>
                              <w:rPr>
                                <w:rFonts w:ascii="Times New Roman"/>
                                <w:sz w:val="10"/>
                              </w:rPr>
                            </w:pPr>
                          </w:p>
                        </w:tc>
                        <w:tc>
                          <w:tcPr>
                            <w:tcW w:w="707" w:type="dxa"/>
                            <w:tcBorders>
                              <w:left w:val="single" w:sz="12" w:space="0" w:color="000000"/>
                            </w:tcBorders>
                          </w:tcPr>
                          <w:p>
                            <w:pPr>
                              <w:pStyle w:val="TableParagraph"/>
                              <w:rPr>
                                <w:rFonts w:ascii="Times New Roman"/>
                                <w:sz w:val="10"/>
                              </w:rPr>
                            </w:pPr>
                          </w:p>
                        </w:tc>
                        <w:tc>
                          <w:tcPr>
                            <w:tcW w:w="2952" w:type="dxa"/>
                          </w:tcPr>
                          <w:p>
                            <w:pPr>
                              <w:pStyle w:val="TableParagraph"/>
                              <w:rPr>
                                <w:rFonts w:ascii="Times New Roman"/>
                                <w:sz w:val="10"/>
                              </w:rPr>
                            </w:pPr>
                          </w:p>
                        </w:tc>
                      </w:tr>
                      <w:tr>
                        <w:trPr>
                          <w:trHeight w:val="196" w:hRule="atLeast"/>
                        </w:trPr>
                        <w:tc>
                          <w:tcPr>
                            <w:tcW w:w="476" w:type="dxa"/>
                            <w:tcBorders>
                              <w:left w:val="nil"/>
                              <w:right w:val="single" w:sz="12" w:space="0" w:color="000000"/>
                            </w:tcBorders>
                          </w:tcPr>
                          <w:p>
                            <w:pPr>
                              <w:pStyle w:val="TableParagraph"/>
                              <w:rPr>
                                <w:rFonts w:ascii="Times New Roman"/>
                                <w:sz w:val="12"/>
                              </w:rPr>
                            </w:pPr>
                          </w:p>
                        </w:tc>
                        <w:tc>
                          <w:tcPr>
                            <w:tcW w:w="462" w:type="dxa"/>
                            <w:tcBorders>
                              <w:left w:val="single" w:sz="12" w:space="0" w:color="000000"/>
                              <w:right w:val="single" w:sz="12" w:space="0" w:color="000000"/>
                            </w:tcBorders>
                          </w:tcPr>
                          <w:p>
                            <w:pPr>
                              <w:pStyle w:val="TableParagraph"/>
                              <w:rPr>
                                <w:rFonts w:ascii="Times New Roman"/>
                                <w:sz w:val="12"/>
                              </w:rPr>
                            </w:pPr>
                          </w:p>
                        </w:tc>
                        <w:tc>
                          <w:tcPr>
                            <w:tcW w:w="707" w:type="dxa"/>
                            <w:tcBorders>
                              <w:left w:val="single" w:sz="12" w:space="0" w:color="000000"/>
                            </w:tcBorders>
                          </w:tcPr>
                          <w:p>
                            <w:pPr>
                              <w:pStyle w:val="TableParagraph"/>
                              <w:rPr>
                                <w:rFonts w:ascii="Times New Roman"/>
                                <w:sz w:val="12"/>
                              </w:rPr>
                            </w:pPr>
                          </w:p>
                        </w:tc>
                        <w:tc>
                          <w:tcPr>
                            <w:tcW w:w="2952" w:type="dxa"/>
                          </w:tcPr>
                          <w:p>
                            <w:pPr>
                              <w:pStyle w:val="TableParagraph"/>
                              <w:rPr>
                                <w:rFonts w:ascii="Times New Roman"/>
                                <w:sz w:val="12"/>
                              </w:rPr>
                            </w:pPr>
                          </w:p>
                        </w:tc>
                      </w:tr>
                      <w:tr>
                        <w:trPr>
                          <w:trHeight w:val="172" w:hRule="atLeast"/>
                        </w:trPr>
                        <w:tc>
                          <w:tcPr>
                            <w:tcW w:w="476" w:type="dxa"/>
                            <w:tcBorders>
                              <w:left w:val="nil"/>
                              <w:right w:val="single" w:sz="12" w:space="0" w:color="000000"/>
                            </w:tcBorders>
                          </w:tcPr>
                          <w:p>
                            <w:pPr>
                              <w:pStyle w:val="TableParagraph"/>
                              <w:rPr>
                                <w:rFonts w:ascii="Times New Roman"/>
                                <w:sz w:val="10"/>
                              </w:rPr>
                            </w:pPr>
                          </w:p>
                        </w:tc>
                        <w:tc>
                          <w:tcPr>
                            <w:tcW w:w="462" w:type="dxa"/>
                            <w:tcBorders>
                              <w:left w:val="single" w:sz="12" w:space="0" w:color="000000"/>
                              <w:right w:val="single" w:sz="12" w:space="0" w:color="000000"/>
                            </w:tcBorders>
                          </w:tcPr>
                          <w:p>
                            <w:pPr>
                              <w:pStyle w:val="TableParagraph"/>
                              <w:rPr>
                                <w:rFonts w:ascii="Times New Roman"/>
                                <w:sz w:val="10"/>
                              </w:rPr>
                            </w:pPr>
                          </w:p>
                        </w:tc>
                        <w:tc>
                          <w:tcPr>
                            <w:tcW w:w="707" w:type="dxa"/>
                            <w:tcBorders>
                              <w:left w:val="single" w:sz="12" w:space="0" w:color="000000"/>
                            </w:tcBorders>
                          </w:tcPr>
                          <w:p>
                            <w:pPr>
                              <w:pStyle w:val="TableParagraph"/>
                              <w:rPr>
                                <w:rFonts w:ascii="Times New Roman"/>
                                <w:sz w:val="10"/>
                              </w:rPr>
                            </w:pPr>
                          </w:p>
                        </w:tc>
                        <w:tc>
                          <w:tcPr>
                            <w:tcW w:w="2952" w:type="dxa"/>
                          </w:tcPr>
                          <w:p>
                            <w:pPr>
                              <w:pStyle w:val="TableParagraph"/>
                              <w:rPr>
                                <w:rFonts w:ascii="Times New Roman"/>
                                <w:sz w:val="10"/>
                              </w:rPr>
                            </w:pPr>
                          </w:p>
                        </w:tc>
                      </w:tr>
                      <w:tr>
                        <w:trPr>
                          <w:trHeight w:val="196" w:hRule="atLeast"/>
                        </w:trPr>
                        <w:tc>
                          <w:tcPr>
                            <w:tcW w:w="476" w:type="dxa"/>
                            <w:tcBorders>
                              <w:left w:val="nil"/>
                              <w:right w:val="single" w:sz="12" w:space="0" w:color="000000"/>
                            </w:tcBorders>
                          </w:tcPr>
                          <w:p>
                            <w:pPr>
                              <w:pStyle w:val="TableParagraph"/>
                              <w:rPr>
                                <w:rFonts w:ascii="Times New Roman"/>
                                <w:sz w:val="12"/>
                              </w:rPr>
                            </w:pPr>
                          </w:p>
                        </w:tc>
                        <w:tc>
                          <w:tcPr>
                            <w:tcW w:w="462" w:type="dxa"/>
                            <w:tcBorders>
                              <w:left w:val="single" w:sz="12" w:space="0" w:color="000000"/>
                              <w:right w:val="single" w:sz="12" w:space="0" w:color="000000"/>
                            </w:tcBorders>
                          </w:tcPr>
                          <w:p>
                            <w:pPr>
                              <w:pStyle w:val="TableParagraph"/>
                              <w:rPr>
                                <w:rFonts w:ascii="Times New Roman"/>
                                <w:sz w:val="12"/>
                              </w:rPr>
                            </w:pPr>
                          </w:p>
                        </w:tc>
                        <w:tc>
                          <w:tcPr>
                            <w:tcW w:w="707" w:type="dxa"/>
                            <w:tcBorders>
                              <w:left w:val="single" w:sz="12" w:space="0" w:color="000000"/>
                            </w:tcBorders>
                          </w:tcPr>
                          <w:p>
                            <w:pPr>
                              <w:pStyle w:val="TableParagraph"/>
                              <w:rPr>
                                <w:rFonts w:ascii="Times New Roman"/>
                                <w:sz w:val="12"/>
                              </w:rPr>
                            </w:pPr>
                          </w:p>
                        </w:tc>
                        <w:tc>
                          <w:tcPr>
                            <w:tcW w:w="2952" w:type="dxa"/>
                          </w:tcPr>
                          <w:p>
                            <w:pPr>
                              <w:pStyle w:val="TableParagraph"/>
                              <w:rPr>
                                <w:rFonts w:ascii="Times New Roman"/>
                                <w:sz w:val="12"/>
                              </w:rPr>
                            </w:pPr>
                          </w:p>
                        </w:tc>
                      </w:tr>
                      <w:tr>
                        <w:trPr>
                          <w:trHeight w:val="167" w:hRule="atLeast"/>
                        </w:trPr>
                        <w:tc>
                          <w:tcPr>
                            <w:tcW w:w="476" w:type="dxa"/>
                            <w:tcBorders>
                              <w:left w:val="nil"/>
                              <w:right w:val="single" w:sz="12" w:space="0" w:color="000000"/>
                            </w:tcBorders>
                          </w:tcPr>
                          <w:p>
                            <w:pPr>
                              <w:pStyle w:val="TableParagraph"/>
                              <w:rPr>
                                <w:rFonts w:ascii="Times New Roman"/>
                                <w:sz w:val="10"/>
                              </w:rPr>
                            </w:pPr>
                          </w:p>
                        </w:tc>
                        <w:tc>
                          <w:tcPr>
                            <w:tcW w:w="462" w:type="dxa"/>
                            <w:tcBorders>
                              <w:left w:val="single" w:sz="12" w:space="0" w:color="000000"/>
                              <w:right w:val="single" w:sz="12" w:space="0" w:color="000000"/>
                            </w:tcBorders>
                          </w:tcPr>
                          <w:p>
                            <w:pPr>
                              <w:pStyle w:val="TableParagraph"/>
                              <w:rPr>
                                <w:rFonts w:ascii="Times New Roman"/>
                                <w:sz w:val="10"/>
                              </w:rPr>
                            </w:pPr>
                          </w:p>
                        </w:tc>
                        <w:tc>
                          <w:tcPr>
                            <w:tcW w:w="707" w:type="dxa"/>
                            <w:tcBorders>
                              <w:left w:val="single" w:sz="12" w:space="0" w:color="000000"/>
                            </w:tcBorders>
                          </w:tcPr>
                          <w:p>
                            <w:pPr>
                              <w:pStyle w:val="TableParagraph"/>
                              <w:rPr>
                                <w:rFonts w:ascii="Times New Roman"/>
                                <w:sz w:val="10"/>
                              </w:rPr>
                            </w:pPr>
                          </w:p>
                        </w:tc>
                        <w:tc>
                          <w:tcPr>
                            <w:tcW w:w="2952" w:type="dxa"/>
                          </w:tcPr>
                          <w:p>
                            <w:pPr>
                              <w:pStyle w:val="TableParagraph"/>
                              <w:rPr>
                                <w:rFonts w:ascii="Times New Roman"/>
                                <w:sz w:val="10"/>
                              </w:rPr>
                            </w:pPr>
                          </w:p>
                        </w:tc>
                      </w:tr>
                      <w:tr>
                        <w:trPr>
                          <w:trHeight w:val="354" w:hRule="atLeast"/>
                        </w:trPr>
                        <w:tc>
                          <w:tcPr>
                            <w:tcW w:w="476" w:type="dxa"/>
                            <w:tcBorders>
                              <w:left w:val="nil"/>
                              <w:right w:val="single" w:sz="12" w:space="0" w:color="000000"/>
                            </w:tcBorders>
                          </w:tcPr>
                          <w:p>
                            <w:pPr>
                              <w:pStyle w:val="TableParagraph"/>
                              <w:rPr>
                                <w:rFonts w:ascii="Times New Roman"/>
                                <w:sz w:val="16"/>
                              </w:rPr>
                            </w:pPr>
                          </w:p>
                        </w:tc>
                        <w:tc>
                          <w:tcPr>
                            <w:tcW w:w="462" w:type="dxa"/>
                            <w:tcBorders>
                              <w:left w:val="single" w:sz="12" w:space="0" w:color="000000"/>
                              <w:right w:val="single" w:sz="12" w:space="0" w:color="000000"/>
                            </w:tcBorders>
                          </w:tcPr>
                          <w:p>
                            <w:pPr>
                              <w:pStyle w:val="TableParagraph"/>
                              <w:rPr>
                                <w:rFonts w:ascii="Times New Roman"/>
                                <w:sz w:val="16"/>
                              </w:rPr>
                            </w:pPr>
                          </w:p>
                        </w:tc>
                        <w:tc>
                          <w:tcPr>
                            <w:tcW w:w="707" w:type="dxa"/>
                            <w:tcBorders>
                              <w:left w:val="single" w:sz="12" w:space="0" w:color="000000"/>
                            </w:tcBorders>
                          </w:tcPr>
                          <w:p>
                            <w:pPr>
                              <w:pStyle w:val="TableParagraph"/>
                              <w:rPr>
                                <w:rFonts w:ascii="Times New Roman"/>
                                <w:sz w:val="16"/>
                              </w:rPr>
                            </w:pPr>
                          </w:p>
                        </w:tc>
                        <w:tc>
                          <w:tcPr>
                            <w:tcW w:w="2952" w:type="dxa"/>
                          </w:tcPr>
                          <w:p>
                            <w:pPr>
                              <w:pStyle w:val="TableParagraph"/>
                              <w:rPr>
                                <w:rFonts w:ascii="Times New Roman"/>
                                <w:sz w:val="16"/>
                              </w:rPr>
                            </w:pPr>
                          </w:p>
                        </w:tc>
                      </w:tr>
                      <w:tr>
                        <w:trPr>
                          <w:trHeight w:val="2786" w:hRule="atLeast"/>
                        </w:trPr>
                        <w:tc>
                          <w:tcPr>
                            <w:tcW w:w="476" w:type="dxa"/>
                            <w:tcBorders>
                              <w:left w:val="nil"/>
                              <w:right w:val="single" w:sz="12" w:space="0" w:color="000000"/>
                            </w:tcBorders>
                          </w:tcPr>
                          <w:p>
                            <w:pPr>
                              <w:pStyle w:val="TableParagraph"/>
                              <w:rPr>
                                <w:rFonts w:ascii="Times New Roman"/>
                                <w:sz w:val="16"/>
                              </w:rPr>
                            </w:pPr>
                          </w:p>
                        </w:tc>
                        <w:tc>
                          <w:tcPr>
                            <w:tcW w:w="462" w:type="dxa"/>
                            <w:tcBorders>
                              <w:left w:val="single" w:sz="12" w:space="0" w:color="000000"/>
                              <w:right w:val="single" w:sz="12" w:space="0" w:color="000000"/>
                            </w:tcBorders>
                          </w:tcPr>
                          <w:p>
                            <w:pPr>
                              <w:pStyle w:val="TableParagraph"/>
                              <w:rPr>
                                <w:rFonts w:ascii="Times New Roman"/>
                                <w:sz w:val="16"/>
                              </w:rPr>
                            </w:pPr>
                          </w:p>
                        </w:tc>
                        <w:tc>
                          <w:tcPr>
                            <w:tcW w:w="707" w:type="dxa"/>
                            <w:tcBorders>
                              <w:left w:val="single" w:sz="12" w:space="0" w:color="000000"/>
                            </w:tcBorders>
                          </w:tcPr>
                          <w:p>
                            <w:pPr>
                              <w:pStyle w:val="TableParagraph"/>
                              <w:rPr>
                                <w:rFonts w:ascii="Times New Roman"/>
                                <w:sz w:val="16"/>
                              </w:rPr>
                            </w:pPr>
                          </w:p>
                        </w:tc>
                        <w:tc>
                          <w:tcPr>
                            <w:tcW w:w="2952" w:type="dxa"/>
                          </w:tcPr>
                          <w:p>
                            <w:pPr>
                              <w:pStyle w:val="TableParagraph"/>
                              <w:rPr>
                                <w:rFonts w:ascii="Times New Roman"/>
                                <w:sz w:val="16"/>
                              </w:rPr>
                            </w:pPr>
                          </w:p>
                        </w:tc>
                      </w:tr>
                      <w:tr>
                        <w:trPr>
                          <w:trHeight w:val="720" w:hRule="atLeast"/>
                        </w:trPr>
                        <w:tc>
                          <w:tcPr>
                            <w:tcW w:w="476" w:type="dxa"/>
                            <w:tcBorders>
                              <w:left w:val="nil"/>
                              <w:right w:val="single" w:sz="12" w:space="0" w:color="000000"/>
                            </w:tcBorders>
                          </w:tcPr>
                          <w:p>
                            <w:pPr>
                              <w:pStyle w:val="TableParagraph"/>
                              <w:rPr>
                                <w:rFonts w:ascii="Times New Roman"/>
                                <w:sz w:val="16"/>
                              </w:rPr>
                            </w:pPr>
                          </w:p>
                        </w:tc>
                        <w:tc>
                          <w:tcPr>
                            <w:tcW w:w="462" w:type="dxa"/>
                            <w:tcBorders>
                              <w:left w:val="single" w:sz="12" w:space="0" w:color="000000"/>
                              <w:right w:val="single" w:sz="12" w:space="0" w:color="000000"/>
                            </w:tcBorders>
                          </w:tcPr>
                          <w:p>
                            <w:pPr>
                              <w:pStyle w:val="TableParagraph"/>
                              <w:rPr>
                                <w:rFonts w:ascii="Times New Roman"/>
                                <w:sz w:val="16"/>
                              </w:rPr>
                            </w:pPr>
                          </w:p>
                        </w:tc>
                        <w:tc>
                          <w:tcPr>
                            <w:tcW w:w="707" w:type="dxa"/>
                            <w:tcBorders>
                              <w:left w:val="single" w:sz="12" w:space="0" w:color="000000"/>
                            </w:tcBorders>
                          </w:tcPr>
                          <w:p>
                            <w:pPr>
                              <w:pStyle w:val="TableParagraph"/>
                              <w:rPr>
                                <w:rFonts w:ascii="Times New Roman"/>
                                <w:sz w:val="16"/>
                              </w:rPr>
                            </w:pPr>
                          </w:p>
                        </w:tc>
                        <w:tc>
                          <w:tcPr>
                            <w:tcW w:w="2952" w:type="dxa"/>
                          </w:tcPr>
                          <w:p>
                            <w:pPr>
                              <w:pStyle w:val="TableParagraph"/>
                              <w:rPr>
                                <w:rFonts w:ascii="Times New Roman"/>
                                <w:sz w:val="16"/>
                              </w:rPr>
                            </w:pPr>
                          </w:p>
                        </w:tc>
                      </w:tr>
                    </w:tbl>
                    <w:p>
                      <w:pPr>
                        <w:pStyle w:val="BodyText"/>
                      </w:pPr>
                    </w:p>
                  </w:txbxContent>
                </v:textbox>
                <w10:wrap type="none"/>
              </v:shape>
            </w:pict>
          </mc:Fallback>
        </mc:AlternateContent>
      </w:r>
      <w:r>
        <w:rPr>
          <w:rFonts w:ascii="Times New Roman" w:hAnsi="Times New Roman"/>
          <w:color w:val="525D67"/>
          <w:spacing w:val="-4"/>
          <w:sz w:val="15"/>
        </w:rPr>
        <w:t>COfnp&lt;J</w:t>
      </w:r>
      <w:r>
        <w:rPr>
          <w:color w:val="3F4D83"/>
          <w:spacing w:val="-4"/>
          <w:sz w:val="21"/>
        </w:rPr>
        <w:t>□</w:t>
      </w:r>
      <w:r>
        <w:rPr>
          <w:color w:val="414260"/>
          <w:spacing w:val="-4"/>
          <w:sz w:val="17"/>
        </w:rPr>
        <w:t>eai:es</w:t>
      </w:r>
      <w:r>
        <w:rPr>
          <w:color w:val="67D3F2"/>
          <w:spacing w:val="-4"/>
          <w:sz w:val="17"/>
        </w:rPr>
        <w:t>.</w:t>
      </w:r>
      <w:r>
        <w:rPr>
          <w:color w:val="594257"/>
          <w:spacing w:val="-4"/>
          <w:sz w:val="17"/>
        </w:rPr>
        <w:t>!::l</w:t>
      </w:r>
      <w:r>
        <w:rPr>
          <w:color w:val="2F2D48"/>
          <w:spacing w:val="-4"/>
          <w:sz w:val="17"/>
        </w:rPr>
        <w:t>e</w:t>
      </w:r>
      <w:r>
        <w:rPr>
          <w:color w:val="0F87C8"/>
          <w:spacing w:val="-4"/>
          <w:sz w:val="17"/>
        </w:rPr>
        <w:t>l</w:t>
      </w:r>
      <w:r>
        <w:rPr>
          <w:color w:val="0F87C8"/>
          <w:spacing w:val="12"/>
          <w:sz w:val="17"/>
        </w:rPr>
        <w:t> </w:t>
      </w:r>
      <w:r>
        <w:rPr>
          <w:color w:val="674B48"/>
          <w:spacing w:val="-4"/>
          <w:sz w:val="17"/>
        </w:rPr>
        <w:t>I?</w:t>
      </w:r>
      <w:r>
        <w:rPr>
          <w:color w:val="F6D472"/>
          <w:spacing w:val="-4"/>
          <w:sz w:val="17"/>
        </w:rPr>
        <w:t>.</w:t>
      </w:r>
      <w:r>
        <w:rPr>
          <w:color w:val="F6D472"/>
          <w:spacing w:val="9"/>
          <w:sz w:val="17"/>
        </w:rPr>
        <w:t> </w:t>
      </w:r>
      <w:r>
        <w:rPr>
          <w:rFonts w:ascii="Times New Roman" w:hAnsi="Times New Roman"/>
          <w:color w:val="414260"/>
          <w:spacing w:val="-5"/>
          <w:sz w:val="17"/>
        </w:rPr>
        <w:t>il</w:t>
      </w:r>
      <w:r>
        <w:rPr>
          <w:color w:val="414260"/>
          <w:spacing w:val="-5"/>
          <w:sz w:val="17"/>
        </w:rPr>
        <w:t>P</w:t>
      </w:r>
    </w:p>
    <w:p>
      <w:pPr>
        <w:spacing w:line="183" w:lineRule="exact" w:before="0"/>
        <w:ind w:left="2158" w:right="0" w:firstLine="0"/>
        <w:jc w:val="left"/>
        <w:rPr>
          <w:sz w:val="16"/>
        </w:rPr>
      </w:pPr>
      <w:r>
        <w:rPr>
          <w:color w:val="414260"/>
          <w:spacing w:val="-5"/>
          <w:sz w:val="16"/>
        </w:rPr>
        <w:t>P':</w:t>
      </w:r>
    </w:p>
    <w:p>
      <w:pPr>
        <w:pStyle w:val="BodyText"/>
        <w:spacing w:before="3"/>
        <w:rPr>
          <w:sz w:val="11"/>
        </w:rPr>
      </w:pPr>
      <w:r>
        <w:rPr>
          <w:sz w:val="11"/>
        </w:rPr>
        <mc:AlternateContent>
          <mc:Choice Requires="wps">
            <w:drawing>
              <wp:anchor distT="0" distB="0" distL="0" distR="0" allowOverlap="1" layoutInCell="1" locked="0" behindDoc="1" simplePos="0" relativeHeight="487599616">
                <wp:simplePos x="0" y="0"/>
                <wp:positionH relativeFrom="page">
                  <wp:posOffset>1770613</wp:posOffset>
                </wp:positionH>
                <wp:positionV relativeFrom="paragraph">
                  <wp:posOffset>97558</wp:posOffset>
                </wp:positionV>
                <wp:extent cx="1941830" cy="3708400"/>
                <wp:effectExtent l="0" t="0" r="0" b="0"/>
                <wp:wrapTopAndBottom/>
                <wp:docPr id="112" name="Group 112"/>
                <wp:cNvGraphicFramePr>
                  <a:graphicFrameLocks/>
                </wp:cNvGraphicFramePr>
                <a:graphic>
                  <a:graphicData uri="http://schemas.microsoft.com/office/word/2010/wordprocessingGroup">
                    <wpg:wgp>
                      <wpg:cNvPr id="112" name="Group 112"/>
                      <wpg:cNvGrpSpPr/>
                      <wpg:grpSpPr>
                        <a:xfrm>
                          <a:off x="0" y="0"/>
                          <a:ext cx="1941830" cy="3708400"/>
                          <a:chExt cx="1941830" cy="3708400"/>
                        </a:xfrm>
                      </wpg:grpSpPr>
                      <pic:pic>
                        <pic:nvPicPr>
                          <pic:cNvPr id="113" name="Image 113"/>
                          <pic:cNvPicPr/>
                        </pic:nvPicPr>
                        <pic:blipFill>
                          <a:blip r:embed="rId64" cstate="print"/>
                          <a:stretch>
                            <a:fillRect/>
                          </a:stretch>
                        </pic:blipFill>
                        <pic:spPr>
                          <a:xfrm>
                            <a:off x="6104" y="0"/>
                            <a:ext cx="1935462" cy="3707809"/>
                          </a:xfrm>
                          <a:prstGeom prst="rect">
                            <a:avLst/>
                          </a:prstGeom>
                        </pic:spPr>
                      </pic:pic>
                      <wps:wsp>
                        <wps:cNvPr id="114" name="Graphic 114"/>
                        <wps:cNvSpPr/>
                        <wps:spPr>
                          <a:xfrm>
                            <a:off x="0" y="2487129"/>
                            <a:ext cx="1221740" cy="1270"/>
                          </a:xfrm>
                          <a:custGeom>
                            <a:avLst/>
                            <a:gdLst/>
                            <a:ahLst/>
                            <a:cxnLst/>
                            <a:rect l="l" t="t" r="r" b="b"/>
                            <a:pathLst>
                              <a:path w="1221740" h="0">
                                <a:moveTo>
                                  <a:pt x="0" y="0"/>
                                </a:moveTo>
                                <a:lnTo>
                                  <a:pt x="1221112" y="0"/>
                                </a:lnTo>
                              </a:path>
                            </a:pathLst>
                          </a:custGeom>
                          <a:ln w="15258">
                            <a:solidFill>
                              <a:srgbClr val="000000"/>
                            </a:solidFill>
                            <a:prstDash val="solid"/>
                          </a:ln>
                        </wps:spPr>
                        <wps:bodyPr wrap="square" lIns="0" tIns="0" rIns="0" bIns="0" rtlCol="0">
                          <a:prstTxWarp prst="textNoShape">
                            <a:avLst/>
                          </a:prstTxWarp>
                          <a:noAutofit/>
                        </wps:bodyPr>
                      </wps:wsp>
                      <wps:wsp>
                        <wps:cNvPr id="115" name="Graphic 115"/>
                        <wps:cNvSpPr/>
                        <wps:spPr>
                          <a:xfrm>
                            <a:off x="1139363" y="2231344"/>
                            <a:ext cx="15875" cy="147955"/>
                          </a:xfrm>
                          <a:custGeom>
                            <a:avLst/>
                            <a:gdLst/>
                            <a:ahLst/>
                            <a:cxnLst/>
                            <a:rect l="l" t="t" r="r" b="b"/>
                            <a:pathLst>
                              <a:path w="15875" h="147955">
                                <a:moveTo>
                                  <a:pt x="15263" y="147450"/>
                                </a:moveTo>
                                <a:lnTo>
                                  <a:pt x="0" y="147450"/>
                                </a:lnTo>
                                <a:lnTo>
                                  <a:pt x="0" y="0"/>
                                </a:lnTo>
                                <a:lnTo>
                                  <a:pt x="15263" y="0"/>
                                </a:lnTo>
                                <a:lnTo>
                                  <a:pt x="15263" y="147450"/>
                                </a:lnTo>
                                <a:close/>
                              </a:path>
                            </a:pathLst>
                          </a:custGeom>
                          <a:solidFill>
                            <a:srgbClr val="EDE4EF"/>
                          </a:solidFill>
                        </wps:spPr>
                        <wps:bodyPr wrap="square" lIns="0" tIns="0" rIns="0" bIns="0" rtlCol="0">
                          <a:prstTxWarp prst="textNoShape">
                            <a:avLst/>
                          </a:prstTxWarp>
                          <a:noAutofit/>
                        </wps:bodyPr>
                      </wps:wsp>
                      <wps:wsp>
                        <wps:cNvPr id="116" name="Graphic 116"/>
                        <wps:cNvSpPr/>
                        <wps:spPr>
                          <a:xfrm>
                            <a:off x="93397" y="2487686"/>
                            <a:ext cx="18415" cy="147955"/>
                          </a:xfrm>
                          <a:custGeom>
                            <a:avLst/>
                            <a:gdLst/>
                            <a:ahLst/>
                            <a:cxnLst/>
                            <a:rect l="l" t="t" r="r" b="b"/>
                            <a:pathLst>
                              <a:path w="18415" h="147955">
                                <a:moveTo>
                                  <a:pt x="18316" y="147450"/>
                                </a:moveTo>
                                <a:lnTo>
                                  <a:pt x="0" y="147450"/>
                                </a:lnTo>
                                <a:lnTo>
                                  <a:pt x="0" y="0"/>
                                </a:lnTo>
                                <a:lnTo>
                                  <a:pt x="18316" y="0"/>
                                </a:lnTo>
                                <a:lnTo>
                                  <a:pt x="18316" y="147450"/>
                                </a:lnTo>
                                <a:close/>
                              </a:path>
                            </a:pathLst>
                          </a:custGeom>
                          <a:solidFill>
                            <a:srgbClr val="E1EDD4"/>
                          </a:solidFill>
                        </wps:spPr>
                        <wps:bodyPr wrap="square" lIns="0" tIns="0" rIns="0" bIns="0" rtlCol="0">
                          <a:prstTxWarp prst="textNoShape">
                            <a:avLst/>
                          </a:prstTxWarp>
                          <a:noAutofit/>
                        </wps:bodyPr>
                      </wps:wsp>
                      <wps:wsp>
                        <wps:cNvPr id="117" name="Textbox 117"/>
                        <wps:cNvSpPr txBox="1"/>
                        <wps:spPr>
                          <a:xfrm>
                            <a:off x="0" y="0"/>
                            <a:ext cx="1941830" cy="3708400"/>
                          </a:xfrm>
                          <a:prstGeom prst="rect">
                            <a:avLst/>
                          </a:prstGeom>
                        </wps:spPr>
                        <wps:txbx>
                          <w:txbxContent>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189"/>
                                <w:rPr>
                                  <w:sz w:val="17"/>
                                </w:rPr>
                              </w:pPr>
                            </w:p>
                            <w:p>
                              <w:pPr>
                                <w:spacing w:line="215" w:lineRule="exact" w:before="0"/>
                                <w:ind w:left="0" w:right="33" w:firstLine="0"/>
                                <w:jc w:val="center"/>
                                <w:rPr>
                                  <w:sz w:val="17"/>
                                </w:rPr>
                              </w:pPr>
                              <w:r>
                                <w:rPr>
                                  <w:color w:val="3F4D83"/>
                                  <w:w w:val="125"/>
                                  <w:sz w:val="19"/>
                                </w:rPr>
                                <w:t>□</w:t>
                              </w:r>
                              <w:r>
                                <w:rPr>
                                  <w:color w:val="44363D"/>
                                  <w:w w:val="125"/>
                                  <w:sz w:val="17"/>
                                </w:rPr>
                                <w:t>e</w:t>
                              </w:r>
                              <w:r>
                                <w:rPr>
                                  <w:color w:val="870E87"/>
                                  <w:w w:val="125"/>
                                  <w:sz w:val="17"/>
                                </w:rPr>
                                <w:t>l</w:t>
                              </w:r>
                              <w:r>
                                <w:rPr>
                                  <w:color w:val="870E87"/>
                                  <w:spacing w:val="-6"/>
                                  <w:w w:val="125"/>
                                  <w:sz w:val="17"/>
                                </w:rPr>
                                <w:t> </w:t>
                              </w:r>
                              <w:r>
                                <w:rPr>
                                  <w:color w:val="525D67"/>
                                  <w:spacing w:val="-5"/>
                                  <w:w w:val="145"/>
                                  <w:sz w:val="17"/>
                                </w:rPr>
                                <w:t>s</w:t>
                              </w:r>
                              <w:r>
                                <w:rPr>
                                  <w:color w:val="2F2D48"/>
                                  <w:spacing w:val="-5"/>
                                  <w:w w:val="145"/>
                                  <w:sz w:val="17"/>
                                </w:rPr>
                                <w:t>e</w:t>
                              </w:r>
                              <w:r>
                                <w:rPr>
                                  <w:color w:val="D1AAD4"/>
                                  <w:spacing w:val="-5"/>
                                  <w:w w:val="145"/>
                                  <w:sz w:val="17"/>
                                </w:rPr>
                                <w:t>·</w:t>
                              </w:r>
                            </w:p>
                            <w:p>
                              <w:pPr>
                                <w:spacing w:line="211" w:lineRule="exact" w:before="0"/>
                                <w:ind w:left="66" w:right="0" w:firstLine="0"/>
                                <w:jc w:val="left"/>
                                <w:rPr>
                                  <w:sz w:val="17"/>
                                </w:rPr>
                              </w:pPr>
                              <w:r>
                                <w:rPr>
                                  <w:rFonts w:ascii="Times New Roman"/>
                                  <w:color w:val="525D67"/>
                                  <w:w w:val="70"/>
                                  <w:sz w:val="19"/>
                                </w:rPr>
                                <w:t>ir:061::a</w:t>
                              </w:r>
                              <w:r>
                                <w:rPr>
                                  <w:rFonts w:ascii="Times New Roman"/>
                                  <w:color w:val="525D67"/>
                                  <w:spacing w:val="14"/>
                                  <w:sz w:val="19"/>
                                </w:rPr>
                                <w:t> </w:t>
                              </w:r>
                              <w:r>
                                <w:rPr>
                                  <w:color w:val="594257"/>
                                  <w:spacing w:val="-2"/>
                                  <w:w w:val="90"/>
                                  <w:sz w:val="17"/>
                                </w:rPr>
                                <w:t>F.U</w:t>
                              </w:r>
                              <w:r>
                                <w:rPr>
                                  <w:color w:val="414260"/>
                                  <w:spacing w:val="-2"/>
                                  <w:w w:val="90"/>
                                  <w:sz w:val="17"/>
                                </w:rPr>
                                <w:t>ea</w:t>
                              </w:r>
                              <w:r>
                                <w:rPr>
                                  <w:color w:val="2B085D"/>
                                  <w:spacing w:val="-2"/>
                                  <w:w w:val="90"/>
                                  <w:sz w:val="17"/>
                                </w:rPr>
                                <w:t>.</w:t>
                              </w:r>
                            </w:p>
                            <w:p>
                              <w:pPr>
                                <w:tabs>
                                  <w:tab w:pos="450" w:val="left" w:leader="none"/>
                                  <w:tab w:pos="1098" w:val="left" w:leader="none"/>
                                  <w:tab w:pos="1762" w:val="left" w:leader="none"/>
                                </w:tabs>
                                <w:spacing w:line="223" w:lineRule="auto" w:before="7"/>
                                <w:ind w:left="60" w:right="1143" w:firstLine="4"/>
                                <w:jc w:val="left"/>
                                <w:rPr>
                                  <w:sz w:val="13"/>
                                  <w:szCs w:val="13"/>
                                </w:rPr>
                              </w:pPr>
                              <w:r>
                                <w:rPr>
                                  <w:color w:val="414260"/>
                                  <w:spacing w:val="-4"/>
                                  <w:sz w:val="17"/>
                                  <w:szCs w:val="17"/>
                                </w:rPr>
                                <w:t>3</w:t>
                              </w:r>
                              <w:r>
                                <w:rPr>
                                  <w:color w:val="C3DDAA"/>
                                  <w:spacing w:val="-4"/>
                                  <w:sz w:val="17"/>
                                  <w:szCs w:val="17"/>
                                </w:rPr>
                                <w:t>.</w:t>
                              </w:r>
                              <w:r>
                                <w:rPr>
                                  <w:color w:val="6B2377"/>
                                  <w:spacing w:val="-4"/>
                                  <w:sz w:val="17"/>
                                  <w:szCs w:val="17"/>
                                </w:rPr>
                                <w:t>.</w:t>
                              </w:r>
                              <w:r>
                                <w:rPr>
                                  <w:color w:val="6B2377"/>
                                  <w:sz w:val="17"/>
                                  <w:szCs w:val="17"/>
                                </w:rPr>
                                <w:tab/>
                              </w:r>
                              <w:r>
                                <w:rPr>
                                  <w:color w:val="594257"/>
                                  <w:spacing w:val="-4"/>
                                  <w:sz w:val="17"/>
                                  <w:szCs w:val="17"/>
                                </w:rPr>
                                <w:t>.s</w:t>
                              </w:r>
                              <w:r>
                                <w:rPr>
                                  <w:color w:val="2F2D48"/>
                                  <w:spacing w:val="-4"/>
                                  <w:sz w:val="17"/>
                                  <w:szCs w:val="17"/>
                                </w:rPr>
                                <w:t>e</w:t>
                              </w:r>
                              <w:r>
                                <w:rPr>
                                  <w:color w:val="2F2D48"/>
                                  <w:sz w:val="17"/>
                                  <w:szCs w:val="17"/>
                                </w:rPr>
                                <w:tab/>
                              </w:r>
                              <w:r>
                                <w:rPr>
                                  <w:color w:val="3B6479"/>
                                  <w:spacing w:val="-2"/>
                                  <w:sz w:val="15"/>
                                  <w:szCs w:val="15"/>
                                </w:rPr>
                                <w:t>C'l</w:t>
                              </w:r>
                              <w:r>
                                <w:rPr>
                                  <w:color w:val="525D67"/>
                                  <w:spacing w:val="-2"/>
                                  <w:sz w:val="17"/>
                                  <w:szCs w:val="17"/>
                                </w:rPr>
                                <w:t>ll)'e</w:t>
                              </w:r>
                              <w:r>
                                <w:rPr>
                                  <w:color w:val="67D3F2"/>
                                  <w:spacing w:val="-2"/>
                                  <w:sz w:val="17"/>
                                  <w:szCs w:val="17"/>
                                </w:rPr>
                                <w:t>'</w:t>
                              </w:r>
                              <w:r>
                                <w:rPr>
                                  <w:color w:val="67D3F2"/>
                                  <w:sz w:val="17"/>
                                  <w:szCs w:val="17"/>
                                </w:rPr>
                                <w:tab/>
                              </w:r>
                              <w:r>
                                <w:rPr>
                                  <w:color w:val="44363D"/>
                                  <w:spacing w:val="-6"/>
                                  <w:sz w:val="17"/>
                                  <w:szCs w:val="17"/>
                                </w:rPr>
                                <w:t>e</w:t>
                              </w:r>
                              <w:r>
                                <w:rPr>
                                  <w:color w:val="870E87"/>
                                  <w:spacing w:val="-6"/>
                                  <w:sz w:val="17"/>
                                  <w:szCs w:val="17"/>
                                </w:rPr>
                                <w:t>l</w:t>
                              </w:r>
                              <w:r>
                                <w:rPr>
                                  <w:color w:val="870E87"/>
                                  <w:spacing w:val="-6"/>
                                  <w:sz w:val="17"/>
                                  <w:szCs w:val="17"/>
                                </w:rPr>
                                <w:t> </w:t>
                              </w:r>
                              <w:r>
                                <w:rPr>
                                  <w:color w:val="54265B"/>
                                  <w:sz w:val="18"/>
                                  <w:szCs w:val="18"/>
                                </w:rPr>
                                <w:t>p</w:t>
                              </w:r>
                              <w:r>
                                <w:rPr>
                                  <w:color w:val="2F2D48"/>
                                  <w:sz w:val="18"/>
                                  <w:szCs w:val="18"/>
                                </w:rPr>
                                <w:t>re</w:t>
                              </w:r>
                              <w:r>
                                <w:rPr>
                                  <w:color w:val="2F2D48"/>
                                  <w:spacing w:val="80"/>
                                  <w:sz w:val="18"/>
                                  <w:szCs w:val="18"/>
                                </w:rPr>
                                <w:t> </w:t>
                              </w:r>
                              <w:r>
                                <w:rPr>
                                  <w:color w:val="594257"/>
                                  <w:sz w:val="18"/>
                                  <w:szCs w:val="18"/>
                                </w:rPr>
                                <w:t>�</w:t>
                              </w:r>
                              <w:r>
                                <w:rPr>
                                  <w:color w:val="414260"/>
                                  <w:sz w:val="18"/>
                                  <w:szCs w:val="18"/>
                                </w:rPr>
                                <w:t>est:aoo</w:t>
                              </w:r>
                              <w:r>
                                <w:rPr>
                                  <w:color w:val="67D3F2"/>
                                  <w:sz w:val="18"/>
                                  <w:szCs w:val="18"/>
                                </w:rPr>
                                <w:t>,</w:t>
                              </w:r>
                              <w:r>
                                <w:rPr>
                                  <w:color w:val="67D3F2"/>
                                  <w:spacing w:val="80"/>
                                  <w:sz w:val="18"/>
                                  <w:szCs w:val="18"/>
                                </w:rPr>
                                <w:t> </w:t>
                              </w:r>
                              <w:r>
                                <w:rPr>
                                  <w:color w:val="54265B"/>
                                  <w:sz w:val="18"/>
                                  <w:szCs w:val="18"/>
                                </w:rPr>
                                <w:t>pilfili </w:t>
                              </w:r>
                              <w:r>
                                <w:rPr>
                                  <w:color w:val="870E87"/>
                                  <w:spacing w:val="-2"/>
                                  <w:sz w:val="16"/>
                                  <w:szCs w:val="16"/>
                                </w:rPr>
                                <w:t>l</w:t>
                              </w:r>
                              <w:r>
                                <w:rPr>
                                  <w:color w:val="414260"/>
                                  <w:spacing w:val="-2"/>
                                  <w:sz w:val="16"/>
                                  <w:szCs w:val="16"/>
                                </w:rPr>
                                <w:t>ns:lrtJ.J�</w:t>
                              </w:r>
                              <w:r>
                                <w:rPr>
                                  <w:color w:val="525D67"/>
                                  <w:spacing w:val="-2"/>
                                  <w:sz w:val="16"/>
                                  <w:szCs w:val="16"/>
                                </w:rPr>
                                <w:t>oo</w:t>
                              </w:r>
                              <w:r>
                                <w:rPr>
                                  <w:color w:val="414260"/>
                                  <w:spacing w:val="-2"/>
                                  <w:sz w:val="16"/>
                                  <w:szCs w:val="16"/>
                                </w:rPr>
                                <w:t>S:le!s.</w:t>
                              </w:r>
                              <w:r>
                                <w:rPr>
                                  <w:color w:val="F6D472"/>
                                  <w:spacing w:val="-2"/>
                                  <w:sz w:val="13"/>
                                  <w:szCs w:val="13"/>
                                </w:rPr>
                                <w:t>'</w:t>
                              </w:r>
                              <w:r>
                                <w:rPr>
                                  <w:color w:val="7E527B"/>
                                  <w:spacing w:val="-2"/>
                                  <w:sz w:val="13"/>
                                  <w:szCs w:val="13"/>
                                </w:rPr>
                                <w:t>M'I</w:t>
                              </w:r>
                              <w:r>
                                <w:rPr>
                                  <w:color w:val="414260"/>
                                  <w:spacing w:val="-2"/>
                                  <w:sz w:val="13"/>
                                  <w:szCs w:val="13"/>
                                </w:rPr>
                                <w:t>D</w:t>
                              </w:r>
                            </w:p>
                            <w:p>
                              <w:pPr>
                                <w:spacing w:line="181" w:lineRule="exact" w:before="0"/>
                                <w:ind w:left="62" w:right="0" w:firstLine="0"/>
                                <w:jc w:val="left"/>
                                <w:rPr>
                                  <w:sz w:val="18"/>
                                </w:rPr>
                              </w:pPr>
                              <w:r>
                                <w:rPr>
                                  <w:color w:val="414260"/>
                                  <w:sz w:val="13"/>
                                </w:rPr>
                                <w:t>D</w:t>
                              </w:r>
                              <w:r>
                                <w:rPr>
                                  <w:color w:val="414260"/>
                                  <w:spacing w:val="-5"/>
                                  <w:sz w:val="13"/>
                                </w:rPr>
                                <w:t> </w:t>
                              </w:r>
                              <w:r>
                                <w:rPr>
                                  <w:color w:val="414260"/>
                                  <w:sz w:val="13"/>
                                </w:rPr>
                                <w:t>!6U</w:t>
                              </w:r>
                              <w:r>
                                <w:rPr>
                                  <w:color w:val="414260"/>
                                  <w:spacing w:val="25"/>
                                  <w:sz w:val="13"/>
                                </w:rPr>
                                <w:t> </w:t>
                              </w:r>
                              <w:r>
                                <w:rPr>
                                  <w:color w:val="2F2D48"/>
                                  <w:spacing w:val="-2"/>
                                  <w:sz w:val="18"/>
                                </w:rPr>
                                <w:t>re</w:t>
                              </w:r>
                              <w:r>
                                <w:rPr>
                                  <w:color w:val="525D67"/>
                                  <w:spacing w:val="-2"/>
                                  <w:sz w:val="18"/>
                                </w:rPr>
                                <w:t>spedllla,có::</w:t>
                              </w:r>
                              <w:r>
                                <w:rPr>
                                  <w:color w:val="6B2377"/>
                                  <w:spacing w:val="-2"/>
                                  <w:sz w:val="18"/>
                                </w:rPr>
                                <w:t>H</w:t>
                              </w:r>
                              <w:r>
                                <w:rPr>
                                  <w:color w:val="525D67"/>
                                  <w:spacing w:val="-2"/>
                                  <w:sz w:val="18"/>
                                </w:rPr>
                                <w:t>ga</w:t>
                              </w:r>
                              <w:r>
                                <w:rPr>
                                  <w:color w:val="67D3F2"/>
                                  <w:spacing w:val="-2"/>
                                  <w:sz w:val="18"/>
                                </w:rPr>
                                <w:t>,</w:t>
                              </w:r>
                              <w:r>
                                <w:rPr>
                                  <w:color w:val="525D67"/>
                                  <w:spacing w:val="-2"/>
                                  <w:sz w:val="18"/>
                                </w:rPr>
                                <w:t>:í'</w:t>
                              </w:r>
                            </w:p>
                            <w:p>
                              <w:pPr>
                                <w:tabs>
                                  <w:tab w:pos="1297" w:val="left" w:leader="none"/>
                                  <w:tab w:pos="1853" w:val="left" w:leader="none"/>
                                </w:tabs>
                                <w:spacing w:line="193" w:lineRule="exact" w:before="0"/>
                                <w:ind w:left="60" w:right="0" w:firstLine="0"/>
                                <w:jc w:val="left"/>
                                <w:rPr>
                                  <w:sz w:val="17"/>
                                  <w:szCs w:val="17"/>
                                </w:rPr>
                              </w:pPr>
                              <w:r>
                                <w:rPr>
                                  <w:color w:val="54265B"/>
                                  <w:spacing w:val="-2"/>
                                  <w:sz w:val="17"/>
                                  <w:szCs w:val="17"/>
                                </w:rPr>
                                <w:t>p</w:t>
                              </w:r>
                              <w:r>
                                <w:rPr>
                                  <w:color w:val="414260"/>
                                  <w:spacing w:val="-2"/>
                                  <w:sz w:val="17"/>
                                  <w:szCs w:val="17"/>
                                </w:rPr>
                                <w:t>rogram</w:t>
                              </w:r>
                              <w:r>
                                <w:rPr>
                                  <w:color w:val="2F2D48"/>
                                  <w:spacing w:val="-2"/>
                                  <w:sz w:val="17"/>
                                  <w:szCs w:val="17"/>
                                </w:rPr>
                                <w:t>a</w:t>
                              </w:r>
                              <w:r>
                                <w:rPr>
                                  <w:color w:val="2F2D48"/>
                                  <w:sz w:val="17"/>
                                  <w:szCs w:val="17"/>
                                </w:rPr>
                                <w:tab/>
                              </w:r>
                              <w:r>
                                <w:rPr>
                                  <w:color w:val="525D67"/>
                                  <w:spacing w:val="-10"/>
                                  <w:sz w:val="17"/>
                                  <w:szCs w:val="17"/>
                                </w:rPr>
                                <w:t>o</w:t>
                              </w:r>
                              <w:r>
                                <w:rPr>
                                  <w:color w:val="525D67"/>
                                  <w:sz w:val="17"/>
                                  <w:szCs w:val="17"/>
                                </w:rPr>
                                <w:tab/>
                              </w:r>
                              <w:r>
                                <w:rPr>
                                  <w:color w:val="525D67"/>
                                  <w:spacing w:val="-2"/>
                                  <w:sz w:val="17"/>
                                  <w:szCs w:val="17"/>
                                </w:rPr>
                                <w:t>�"1)1"!</w:t>
                              </w:r>
                              <w:r>
                                <w:rPr>
                                  <w:color w:val="414260"/>
                                  <w:spacing w:val="-2"/>
                                  <w:sz w:val="17"/>
                                  <w:szCs w:val="17"/>
                                </w:rPr>
                                <w:t>:igr;</w:t>
                              </w:r>
                              <w:r>
                                <w:rPr>
                                  <w:color w:val="44363D"/>
                                  <w:spacing w:val="-2"/>
                                  <w:sz w:val="17"/>
                                  <w:szCs w:val="17"/>
                                </w:rPr>
                                <w:t>a</w:t>
                              </w:r>
                              <w:r>
                                <w:rPr>
                                  <w:color w:val="3B6479"/>
                                  <w:spacing w:val="-2"/>
                                  <w:sz w:val="17"/>
                                  <w:szCs w:val="17"/>
                                </w:rPr>
                                <w:t>m</w:t>
                              </w:r>
                            </w:p>
                          </w:txbxContent>
                        </wps:txbx>
                        <wps:bodyPr wrap="square" lIns="0" tIns="0" rIns="0" bIns="0" rtlCol="0">
                          <a:noAutofit/>
                        </wps:bodyPr>
                      </wps:wsp>
                    </wpg:wgp>
                  </a:graphicData>
                </a:graphic>
              </wp:anchor>
            </w:drawing>
          </mc:Choice>
          <mc:Fallback>
            <w:pict>
              <v:group style="position:absolute;margin-left:139.418411pt;margin-top:7.681793pt;width:152.9pt;height:292pt;mso-position-horizontal-relative:page;mso-position-vertical-relative:paragraph;z-index:-15716864;mso-wrap-distance-left:0;mso-wrap-distance-right:0" id="docshapegroup86" coordorigin="2788,154" coordsize="3058,5840">
                <v:shape style="position:absolute;left:2797;top:153;width:3048;height:5840" type="#_x0000_t75" id="docshape87" stroked="false">
                  <v:imagedata r:id="rId64" o:title=""/>
                </v:shape>
                <v:line style="position:absolute" from="2788,4070" to="4711,4070" stroked="true" strokeweight="1.201454pt" strokecolor="#000000">
                  <v:stroke dashstyle="solid"/>
                </v:line>
                <v:rect style="position:absolute;left:4582;top:3667;width:25;height:233" id="docshape88" filled="true" fillcolor="#ede4ef" stroked="false">
                  <v:fill type="solid"/>
                </v:rect>
                <v:rect style="position:absolute;left:2935;top:4071;width:29;height:233" id="docshape89" filled="true" fillcolor="#e1edd4" stroked="false">
                  <v:fill type="solid"/>
                </v:rect>
                <v:shape style="position:absolute;left:2788;top:153;width:3058;height:5840" type="#_x0000_t202" id="docshape90" filled="false" stroked="false">
                  <v:textbox inset="0,0,0,0">
                    <w:txbxContent>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0"/>
                          <w:rPr>
                            <w:sz w:val="17"/>
                          </w:rPr>
                        </w:pPr>
                      </w:p>
                      <w:p>
                        <w:pPr>
                          <w:spacing w:line="240" w:lineRule="auto" w:before="189"/>
                          <w:rPr>
                            <w:sz w:val="17"/>
                          </w:rPr>
                        </w:pPr>
                      </w:p>
                      <w:p>
                        <w:pPr>
                          <w:spacing w:line="215" w:lineRule="exact" w:before="0"/>
                          <w:ind w:left="0" w:right="33" w:firstLine="0"/>
                          <w:jc w:val="center"/>
                          <w:rPr>
                            <w:sz w:val="17"/>
                          </w:rPr>
                        </w:pPr>
                        <w:r>
                          <w:rPr>
                            <w:color w:val="3F4D83"/>
                            <w:w w:val="125"/>
                            <w:sz w:val="19"/>
                          </w:rPr>
                          <w:t>□</w:t>
                        </w:r>
                        <w:r>
                          <w:rPr>
                            <w:color w:val="44363D"/>
                            <w:w w:val="125"/>
                            <w:sz w:val="17"/>
                          </w:rPr>
                          <w:t>e</w:t>
                        </w:r>
                        <w:r>
                          <w:rPr>
                            <w:color w:val="870E87"/>
                            <w:w w:val="125"/>
                            <w:sz w:val="17"/>
                          </w:rPr>
                          <w:t>l</w:t>
                        </w:r>
                        <w:r>
                          <w:rPr>
                            <w:color w:val="870E87"/>
                            <w:spacing w:val="-6"/>
                            <w:w w:val="125"/>
                            <w:sz w:val="17"/>
                          </w:rPr>
                          <w:t> </w:t>
                        </w:r>
                        <w:r>
                          <w:rPr>
                            <w:color w:val="525D67"/>
                            <w:spacing w:val="-5"/>
                            <w:w w:val="145"/>
                            <w:sz w:val="17"/>
                          </w:rPr>
                          <w:t>s</w:t>
                        </w:r>
                        <w:r>
                          <w:rPr>
                            <w:color w:val="2F2D48"/>
                            <w:spacing w:val="-5"/>
                            <w:w w:val="145"/>
                            <w:sz w:val="17"/>
                          </w:rPr>
                          <w:t>e</w:t>
                        </w:r>
                        <w:r>
                          <w:rPr>
                            <w:color w:val="D1AAD4"/>
                            <w:spacing w:val="-5"/>
                            <w:w w:val="145"/>
                            <w:sz w:val="17"/>
                          </w:rPr>
                          <w:t>·</w:t>
                        </w:r>
                      </w:p>
                      <w:p>
                        <w:pPr>
                          <w:spacing w:line="211" w:lineRule="exact" w:before="0"/>
                          <w:ind w:left="66" w:right="0" w:firstLine="0"/>
                          <w:jc w:val="left"/>
                          <w:rPr>
                            <w:sz w:val="17"/>
                          </w:rPr>
                        </w:pPr>
                        <w:r>
                          <w:rPr>
                            <w:rFonts w:ascii="Times New Roman"/>
                            <w:color w:val="525D67"/>
                            <w:w w:val="70"/>
                            <w:sz w:val="19"/>
                          </w:rPr>
                          <w:t>ir:061::a</w:t>
                        </w:r>
                        <w:r>
                          <w:rPr>
                            <w:rFonts w:ascii="Times New Roman"/>
                            <w:color w:val="525D67"/>
                            <w:spacing w:val="14"/>
                            <w:sz w:val="19"/>
                          </w:rPr>
                          <w:t> </w:t>
                        </w:r>
                        <w:r>
                          <w:rPr>
                            <w:color w:val="594257"/>
                            <w:spacing w:val="-2"/>
                            <w:w w:val="90"/>
                            <w:sz w:val="17"/>
                          </w:rPr>
                          <w:t>F.U</w:t>
                        </w:r>
                        <w:r>
                          <w:rPr>
                            <w:color w:val="414260"/>
                            <w:spacing w:val="-2"/>
                            <w:w w:val="90"/>
                            <w:sz w:val="17"/>
                          </w:rPr>
                          <w:t>ea</w:t>
                        </w:r>
                        <w:r>
                          <w:rPr>
                            <w:color w:val="2B085D"/>
                            <w:spacing w:val="-2"/>
                            <w:w w:val="90"/>
                            <w:sz w:val="17"/>
                          </w:rPr>
                          <w:t>.</w:t>
                        </w:r>
                      </w:p>
                      <w:p>
                        <w:pPr>
                          <w:tabs>
                            <w:tab w:pos="450" w:val="left" w:leader="none"/>
                            <w:tab w:pos="1098" w:val="left" w:leader="none"/>
                            <w:tab w:pos="1762" w:val="left" w:leader="none"/>
                          </w:tabs>
                          <w:spacing w:line="223" w:lineRule="auto" w:before="7"/>
                          <w:ind w:left="60" w:right="1143" w:firstLine="4"/>
                          <w:jc w:val="left"/>
                          <w:rPr>
                            <w:sz w:val="13"/>
                            <w:szCs w:val="13"/>
                          </w:rPr>
                        </w:pPr>
                        <w:r>
                          <w:rPr>
                            <w:color w:val="414260"/>
                            <w:spacing w:val="-4"/>
                            <w:sz w:val="17"/>
                            <w:szCs w:val="17"/>
                          </w:rPr>
                          <w:t>3</w:t>
                        </w:r>
                        <w:r>
                          <w:rPr>
                            <w:color w:val="C3DDAA"/>
                            <w:spacing w:val="-4"/>
                            <w:sz w:val="17"/>
                            <w:szCs w:val="17"/>
                          </w:rPr>
                          <w:t>.</w:t>
                        </w:r>
                        <w:r>
                          <w:rPr>
                            <w:color w:val="6B2377"/>
                            <w:spacing w:val="-4"/>
                            <w:sz w:val="17"/>
                            <w:szCs w:val="17"/>
                          </w:rPr>
                          <w:t>.</w:t>
                        </w:r>
                        <w:r>
                          <w:rPr>
                            <w:color w:val="6B2377"/>
                            <w:sz w:val="17"/>
                            <w:szCs w:val="17"/>
                          </w:rPr>
                          <w:tab/>
                        </w:r>
                        <w:r>
                          <w:rPr>
                            <w:color w:val="594257"/>
                            <w:spacing w:val="-4"/>
                            <w:sz w:val="17"/>
                            <w:szCs w:val="17"/>
                          </w:rPr>
                          <w:t>.s</w:t>
                        </w:r>
                        <w:r>
                          <w:rPr>
                            <w:color w:val="2F2D48"/>
                            <w:spacing w:val="-4"/>
                            <w:sz w:val="17"/>
                            <w:szCs w:val="17"/>
                          </w:rPr>
                          <w:t>e</w:t>
                        </w:r>
                        <w:r>
                          <w:rPr>
                            <w:color w:val="2F2D48"/>
                            <w:sz w:val="17"/>
                            <w:szCs w:val="17"/>
                          </w:rPr>
                          <w:tab/>
                        </w:r>
                        <w:r>
                          <w:rPr>
                            <w:color w:val="3B6479"/>
                            <w:spacing w:val="-2"/>
                            <w:sz w:val="15"/>
                            <w:szCs w:val="15"/>
                          </w:rPr>
                          <w:t>C'l</w:t>
                        </w:r>
                        <w:r>
                          <w:rPr>
                            <w:color w:val="525D67"/>
                            <w:spacing w:val="-2"/>
                            <w:sz w:val="17"/>
                            <w:szCs w:val="17"/>
                          </w:rPr>
                          <w:t>ll)'e</w:t>
                        </w:r>
                        <w:r>
                          <w:rPr>
                            <w:color w:val="67D3F2"/>
                            <w:spacing w:val="-2"/>
                            <w:sz w:val="17"/>
                            <w:szCs w:val="17"/>
                          </w:rPr>
                          <w:t>'</w:t>
                        </w:r>
                        <w:r>
                          <w:rPr>
                            <w:color w:val="67D3F2"/>
                            <w:sz w:val="17"/>
                            <w:szCs w:val="17"/>
                          </w:rPr>
                          <w:tab/>
                        </w:r>
                        <w:r>
                          <w:rPr>
                            <w:color w:val="44363D"/>
                            <w:spacing w:val="-6"/>
                            <w:sz w:val="17"/>
                            <w:szCs w:val="17"/>
                          </w:rPr>
                          <w:t>e</w:t>
                        </w:r>
                        <w:r>
                          <w:rPr>
                            <w:color w:val="870E87"/>
                            <w:spacing w:val="-6"/>
                            <w:sz w:val="17"/>
                            <w:szCs w:val="17"/>
                          </w:rPr>
                          <w:t>l</w:t>
                        </w:r>
                        <w:r>
                          <w:rPr>
                            <w:color w:val="870E87"/>
                            <w:spacing w:val="-6"/>
                            <w:sz w:val="17"/>
                            <w:szCs w:val="17"/>
                          </w:rPr>
                          <w:t> </w:t>
                        </w:r>
                        <w:r>
                          <w:rPr>
                            <w:color w:val="54265B"/>
                            <w:sz w:val="18"/>
                            <w:szCs w:val="18"/>
                          </w:rPr>
                          <w:t>p</w:t>
                        </w:r>
                        <w:r>
                          <w:rPr>
                            <w:color w:val="2F2D48"/>
                            <w:sz w:val="18"/>
                            <w:szCs w:val="18"/>
                          </w:rPr>
                          <w:t>re</w:t>
                        </w:r>
                        <w:r>
                          <w:rPr>
                            <w:color w:val="2F2D48"/>
                            <w:spacing w:val="80"/>
                            <w:sz w:val="18"/>
                            <w:szCs w:val="18"/>
                          </w:rPr>
                          <w:t> </w:t>
                        </w:r>
                        <w:r>
                          <w:rPr>
                            <w:color w:val="594257"/>
                            <w:sz w:val="18"/>
                            <w:szCs w:val="18"/>
                          </w:rPr>
                          <w:t>�</w:t>
                        </w:r>
                        <w:r>
                          <w:rPr>
                            <w:color w:val="414260"/>
                            <w:sz w:val="18"/>
                            <w:szCs w:val="18"/>
                          </w:rPr>
                          <w:t>est:aoo</w:t>
                        </w:r>
                        <w:r>
                          <w:rPr>
                            <w:color w:val="67D3F2"/>
                            <w:sz w:val="18"/>
                            <w:szCs w:val="18"/>
                          </w:rPr>
                          <w:t>,</w:t>
                        </w:r>
                        <w:r>
                          <w:rPr>
                            <w:color w:val="67D3F2"/>
                            <w:spacing w:val="80"/>
                            <w:sz w:val="18"/>
                            <w:szCs w:val="18"/>
                          </w:rPr>
                          <w:t> </w:t>
                        </w:r>
                        <w:r>
                          <w:rPr>
                            <w:color w:val="54265B"/>
                            <w:sz w:val="18"/>
                            <w:szCs w:val="18"/>
                          </w:rPr>
                          <w:t>pilfili </w:t>
                        </w:r>
                        <w:r>
                          <w:rPr>
                            <w:color w:val="870E87"/>
                            <w:spacing w:val="-2"/>
                            <w:sz w:val="16"/>
                            <w:szCs w:val="16"/>
                          </w:rPr>
                          <w:t>l</w:t>
                        </w:r>
                        <w:r>
                          <w:rPr>
                            <w:color w:val="414260"/>
                            <w:spacing w:val="-2"/>
                            <w:sz w:val="16"/>
                            <w:szCs w:val="16"/>
                          </w:rPr>
                          <w:t>ns:lrtJ.J�</w:t>
                        </w:r>
                        <w:r>
                          <w:rPr>
                            <w:color w:val="525D67"/>
                            <w:spacing w:val="-2"/>
                            <w:sz w:val="16"/>
                            <w:szCs w:val="16"/>
                          </w:rPr>
                          <w:t>oo</w:t>
                        </w:r>
                        <w:r>
                          <w:rPr>
                            <w:color w:val="414260"/>
                            <w:spacing w:val="-2"/>
                            <w:sz w:val="16"/>
                            <w:szCs w:val="16"/>
                          </w:rPr>
                          <w:t>S:le!s.</w:t>
                        </w:r>
                        <w:r>
                          <w:rPr>
                            <w:color w:val="F6D472"/>
                            <w:spacing w:val="-2"/>
                            <w:sz w:val="13"/>
                            <w:szCs w:val="13"/>
                          </w:rPr>
                          <w:t>'</w:t>
                        </w:r>
                        <w:r>
                          <w:rPr>
                            <w:color w:val="7E527B"/>
                            <w:spacing w:val="-2"/>
                            <w:sz w:val="13"/>
                            <w:szCs w:val="13"/>
                          </w:rPr>
                          <w:t>M'I</w:t>
                        </w:r>
                        <w:r>
                          <w:rPr>
                            <w:color w:val="414260"/>
                            <w:spacing w:val="-2"/>
                            <w:sz w:val="13"/>
                            <w:szCs w:val="13"/>
                          </w:rPr>
                          <w:t>D</w:t>
                        </w:r>
                      </w:p>
                      <w:p>
                        <w:pPr>
                          <w:spacing w:line="181" w:lineRule="exact" w:before="0"/>
                          <w:ind w:left="62" w:right="0" w:firstLine="0"/>
                          <w:jc w:val="left"/>
                          <w:rPr>
                            <w:sz w:val="18"/>
                          </w:rPr>
                        </w:pPr>
                        <w:r>
                          <w:rPr>
                            <w:color w:val="414260"/>
                            <w:sz w:val="13"/>
                          </w:rPr>
                          <w:t>D</w:t>
                        </w:r>
                        <w:r>
                          <w:rPr>
                            <w:color w:val="414260"/>
                            <w:spacing w:val="-5"/>
                            <w:sz w:val="13"/>
                          </w:rPr>
                          <w:t> </w:t>
                        </w:r>
                        <w:r>
                          <w:rPr>
                            <w:color w:val="414260"/>
                            <w:sz w:val="13"/>
                          </w:rPr>
                          <w:t>!6U</w:t>
                        </w:r>
                        <w:r>
                          <w:rPr>
                            <w:color w:val="414260"/>
                            <w:spacing w:val="25"/>
                            <w:sz w:val="13"/>
                          </w:rPr>
                          <w:t> </w:t>
                        </w:r>
                        <w:r>
                          <w:rPr>
                            <w:color w:val="2F2D48"/>
                            <w:spacing w:val="-2"/>
                            <w:sz w:val="18"/>
                          </w:rPr>
                          <w:t>re</w:t>
                        </w:r>
                        <w:r>
                          <w:rPr>
                            <w:color w:val="525D67"/>
                            <w:spacing w:val="-2"/>
                            <w:sz w:val="18"/>
                          </w:rPr>
                          <w:t>spedllla,có::</w:t>
                        </w:r>
                        <w:r>
                          <w:rPr>
                            <w:color w:val="6B2377"/>
                            <w:spacing w:val="-2"/>
                            <w:sz w:val="18"/>
                          </w:rPr>
                          <w:t>H</w:t>
                        </w:r>
                        <w:r>
                          <w:rPr>
                            <w:color w:val="525D67"/>
                            <w:spacing w:val="-2"/>
                            <w:sz w:val="18"/>
                          </w:rPr>
                          <w:t>ga</w:t>
                        </w:r>
                        <w:r>
                          <w:rPr>
                            <w:color w:val="67D3F2"/>
                            <w:spacing w:val="-2"/>
                            <w:sz w:val="18"/>
                          </w:rPr>
                          <w:t>,</w:t>
                        </w:r>
                        <w:r>
                          <w:rPr>
                            <w:color w:val="525D67"/>
                            <w:spacing w:val="-2"/>
                            <w:sz w:val="18"/>
                          </w:rPr>
                          <w:t>:í'</w:t>
                        </w:r>
                      </w:p>
                      <w:p>
                        <w:pPr>
                          <w:tabs>
                            <w:tab w:pos="1297" w:val="left" w:leader="none"/>
                            <w:tab w:pos="1853" w:val="left" w:leader="none"/>
                          </w:tabs>
                          <w:spacing w:line="193" w:lineRule="exact" w:before="0"/>
                          <w:ind w:left="60" w:right="0" w:firstLine="0"/>
                          <w:jc w:val="left"/>
                          <w:rPr>
                            <w:sz w:val="17"/>
                            <w:szCs w:val="17"/>
                          </w:rPr>
                        </w:pPr>
                        <w:r>
                          <w:rPr>
                            <w:color w:val="54265B"/>
                            <w:spacing w:val="-2"/>
                            <w:sz w:val="17"/>
                            <w:szCs w:val="17"/>
                          </w:rPr>
                          <w:t>p</w:t>
                        </w:r>
                        <w:r>
                          <w:rPr>
                            <w:color w:val="414260"/>
                            <w:spacing w:val="-2"/>
                            <w:sz w:val="17"/>
                            <w:szCs w:val="17"/>
                          </w:rPr>
                          <w:t>rogram</w:t>
                        </w:r>
                        <w:r>
                          <w:rPr>
                            <w:color w:val="2F2D48"/>
                            <w:spacing w:val="-2"/>
                            <w:sz w:val="17"/>
                            <w:szCs w:val="17"/>
                          </w:rPr>
                          <w:t>a</w:t>
                        </w:r>
                        <w:r>
                          <w:rPr>
                            <w:color w:val="2F2D48"/>
                            <w:sz w:val="17"/>
                            <w:szCs w:val="17"/>
                          </w:rPr>
                          <w:tab/>
                        </w:r>
                        <w:r>
                          <w:rPr>
                            <w:color w:val="525D67"/>
                            <w:spacing w:val="-10"/>
                            <w:sz w:val="17"/>
                            <w:szCs w:val="17"/>
                          </w:rPr>
                          <w:t>o</w:t>
                        </w:r>
                        <w:r>
                          <w:rPr>
                            <w:color w:val="525D67"/>
                            <w:sz w:val="17"/>
                            <w:szCs w:val="17"/>
                          </w:rPr>
                          <w:tab/>
                        </w:r>
                        <w:r>
                          <w:rPr>
                            <w:color w:val="525D67"/>
                            <w:spacing w:val="-2"/>
                            <w:sz w:val="17"/>
                            <w:szCs w:val="17"/>
                          </w:rPr>
                          <w:t>�"1)1"!</w:t>
                        </w:r>
                        <w:r>
                          <w:rPr>
                            <w:color w:val="414260"/>
                            <w:spacing w:val="-2"/>
                            <w:sz w:val="17"/>
                            <w:szCs w:val="17"/>
                          </w:rPr>
                          <w:t>:igr;</w:t>
                        </w:r>
                        <w:r>
                          <w:rPr>
                            <w:color w:val="44363D"/>
                            <w:spacing w:val="-2"/>
                            <w:sz w:val="17"/>
                            <w:szCs w:val="17"/>
                          </w:rPr>
                          <w:t>a</w:t>
                        </w:r>
                        <w:r>
                          <w:rPr>
                            <w:color w:val="3B6479"/>
                            <w:spacing w:val="-2"/>
                            <w:sz w:val="17"/>
                            <w:szCs w:val="17"/>
                          </w:rPr>
                          <w:t>m</w:t>
                        </w:r>
                      </w:p>
                    </w:txbxContent>
                  </v:textbox>
                  <w10:wrap type="none"/>
                </v:shape>
                <w10:wrap type="topAndBottom"/>
              </v:group>
            </w:pict>
          </mc:Fallback>
        </mc:AlternateContent>
      </w:r>
      <w:r>
        <w:rPr>
          <w:sz w:val="11"/>
        </w:rPr>
        <w:drawing>
          <wp:anchor distT="0" distB="0" distL="0" distR="0" allowOverlap="1" layoutInCell="1" locked="0" behindDoc="1" simplePos="0" relativeHeight="487600128">
            <wp:simplePos x="0" y="0"/>
            <wp:positionH relativeFrom="page">
              <wp:posOffset>3809870</wp:posOffset>
            </wp:positionH>
            <wp:positionV relativeFrom="paragraph">
              <wp:posOffset>656018</wp:posOffset>
            </wp:positionV>
            <wp:extent cx="85374" cy="609600"/>
            <wp:effectExtent l="0" t="0" r="0" b="0"/>
            <wp:wrapTopAndBottom/>
            <wp:docPr id="118" name="Image 118"/>
            <wp:cNvGraphicFramePr>
              <a:graphicFrameLocks/>
            </wp:cNvGraphicFramePr>
            <a:graphic>
              <a:graphicData uri="http://schemas.openxmlformats.org/drawingml/2006/picture">
                <pic:pic>
                  <pic:nvPicPr>
                    <pic:cNvPr id="118" name="Image 118"/>
                    <pic:cNvPicPr/>
                  </pic:nvPicPr>
                  <pic:blipFill>
                    <a:blip r:embed="rId65" cstate="print"/>
                    <a:stretch>
                      <a:fillRect/>
                    </a:stretch>
                  </pic:blipFill>
                  <pic:spPr>
                    <a:xfrm>
                      <a:off x="0" y="0"/>
                      <a:ext cx="85374" cy="609600"/>
                    </a:xfrm>
                    <a:prstGeom prst="rect">
                      <a:avLst/>
                    </a:prstGeom>
                  </pic:spPr>
                </pic:pic>
              </a:graphicData>
            </a:graphic>
          </wp:anchor>
        </w:drawing>
      </w:r>
    </w:p>
    <w:p>
      <w:pPr>
        <w:pStyle w:val="BodyText"/>
        <w:rPr>
          <w:sz w:val="20"/>
        </w:rPr>
      </w:pPr>
    </w:p>
    <w:p>
      <w:pPr>
        <w:pStyle w:val="BodyText"/>
        <w:spacing w:before="59"/>
        <w:rPr>
          <w:sz w:val="20"/>
        </w:rPr>
      </w:pPr>
      <w:r>
        <w:rPr>
          <w:sz w:val="20"/>
        </w:rPr>
        <w:drawing>
          <wp:anchor distT="0" distB="0" distL="0" distR="0" allowOverlap="1" layoutInCell="1" locked="0" behindDoc="1" simplePos="0" relativeHeight="487600640">
            <wp:simplePos x="0" y="0"/>
            <wp:positionH relativeFrom="page">
              <wp:posOffset>992153</wp:posOffset>
            </wp:positionH>
            <wp:positionV relativeFrom="paragraph">
              <wp:posOffset>198803</wp:posOffset>
            </wp:positionV>
            <wp:extent cx="6363441" cy="326136"/>
            <wp:effectExtent l="0" t="0" r="0" b="0"/>
            <wp:wrapTopAndBottom/>
            <wp:docPr id="119" name="Image 119"/>
            <wp:cNvGraphicFramePr>
              <a:graphicFrameLocks/>
            </wp:cNvGraphicFramePr>
            <a:graphic>
              <a:graphicData uri="http://schemas.openxmlformats.org/drawingml/2006/picture">
                <pic:pic>
                  <pic:nvPicPr>
                    <pic:cNvPr id="119" name="Image 119"/>
                    <pic:cNvPicPr/>
                  </pic:nvPicPr>
                  <pic:blipFill>
                    <a:blip r:embed="rId66" cstate="print"/>
                    <a:stretch>
                      <a:fillRect/>
                    </a:stretch>
                  </pic:blipFill>
                  <pic:spPr>
                    <a:xfrm>
                      <a:off x="0" y="0"/>
                      <a:ext cx="6363441" cy="326136"/>
                    </a:xfrm>
                    <a:prstGeom prst="rect">
                      <a:avLst/>
                    </a:prstGeom>
                  </pic:spPr>
                </pic:pic>
              </a:graphicData>
            </a:graphic>
          </wp:anchor>
        </w:drawing>
      </w:r>
    </w:p>
    <w:p>
      <w:pPr>
        <w:pStyle w:val="BodyText"/>
        <w:spacing w:after="0"/>
        <w:rPr>
          <w:sz w:val="20"/>
        </w:rPr>
        <w:sectPr>
          <w:footerReference w:type="default" r:id="rId58"/>
          <w:pgSz w:w="12240" w:h="15840"/>
          <w:pgMar w:header="0" w:footer="2440" w:top="1660" w:bottom="2640" w:left="1440" w:right="360"/>
        </w:sectPr>
      </w:pPr>
    </w:p>
    <w:p>
      <w:pPr>
        <w:spacing w:line="240" w:lineRule="auto"/>
        <w:ind w:left="3444" w:right="0" w:firstLine="0"/>
        <w:rPr>
          <w:sz w:val="20"/>
        </w:rPr>
      </w:pPr>
      <w:r>
        <w:rPr>
          <w:sz w:val="20"/>
        </w:rPr>
        <w:drawing>
          <wp:inline distT="0" distB="0" distL="0" distR="0">
            <wp:extent cx="2073377" cy="435864"/>
            <wp:effectExtent l="0" t="0" r="0" b="0"/>
            <wp:docPr id="120" name="Image 120"/>
            <wp:cNvGraphicFramePr>
              <a:graphicFrameLocks/>
            </wp:cNvGraphicFramePr>
            <a:graphic>
              <a:graphicData uri="http://schemas.openxmlformats.org/drawingml/2006/picture">
                <pic:pic>
                  <pic:nvPicPr>
                    <pic:cNvPr id="120" name="Image 120"/>
                    <pic:cNvPicPr/>
                  </pic:nvPicPr>
                  <pic:blipFill>
                    <a:blip r:embed="rId67" cstate="print"/>
                    <a:stretch>
                      <a:fillRect/>
                    </a:stretch>
                  </pic:blipFill>
                  <pic:spPr>
                    <a:xfrm>
                      <a:off x="0" y="0"/>
                      <a:ext cx="2073377" cy="435864"/>
                    </a:xfrm>
                    <a:prstGeom prst="rect">
                      <a:avLst/>
                    </a:prstGeom>
                  </pic:spPr>
                </pic:pic>
              </a:graphicData>
            </a:graphic>
          </wp:inline>
        </w:drawing>
      </w:r>
      <w:r>
        <w:rPr>
          <w:sz w:val="20"/>
        </w:rPr>
      </w:r>
    </w:p>
    <w:p>
      <w:pPr>
        <w:pStyle w:val="BodyText"/>
        <w:spacing w:before="1"/>
        <w:rPr>
          <w:sz w:val="19"/>
        </w:rPr>
      </w:pPr>
      <w:r>
        <w:rPr>
          <w:sz w:val="19"/>
        </w:rPr>
        <w:drawing>
          <wp:anchor distT="0" distB="0" distL="0" distR="0" allowOverlap="1" layoutInCell="1" locked="0" behindDoc="1" simplePos="0" relativeHeight="487604736">
            <wp:simplePos x="0" y="0"/>
            <wp:positionH relativeFrom="page">
              <wp:posOffset>5275205</wp:posOffset>
            </wp:positionH>
            <wp:positionV relativeFrom="paragraph">
              <wp:posOffset>155025</wp:posOffset>
            </wp:positionV>
            <wp:extent cx="1317204" cy="228600"/>
            <wp:effectExtent l="0" t="0" r="0" b="0"/>
            <wp:wrapTopAndBottom/>
            <wp:docPr id="121" name="Image 121"/>
            <wp:cNvGraphicFramePr>
              <a:graphicFrameLocks/>
            </wp:cNvGraphicFramePr>
            <a:graphic>
              <a:graphicData uri="http://schemas.openxmlformats.org/drawingml/2006/picture">
                <pic:pic>
                  <pic:nvPicPr>
                    <pic:cNvPr id="121" name="Image 121"/>
                    <pic:cNvPicPr/>
                  </pic:nvPicPr>
                  <pic:blipFill>
                    <a:blip r:embed="rId68" cstate="print"/>
                    <a:stretch>
                      <a:fillRect/>
                    </a:stretch>
                  </pic:blipFill>
                  <pic:spPr>
                    <a:xfrm>
                      <a:off x="0" y="0"/>
                      <a:ext cx="1317204" cy="228600"/>
                    </a:xfrm>
                    <a:prstGeom prst="rect">
                      <a:avLst/>
                    </a:prstGeom>
                  </pic:spPr>
                </pic:pic>
              </a:graphicData>
            </a:graphic>
          </wp:anchor>
        </w:drawing>
      </w:r>
      <w:r>
        <w:rPr>
          <w:sz w:val="19"/>
        </w:rPr>
        <mc:AlternateContent>
          <mc:Choice Requires="wps">
            <w:drawing>
              <wp:anchor distT="0" distB="0" distL="0" distR="0" allowOverlap="1" layoutInCell="1" locked="0" behindDoc="1" simplePos="0" relativeHeight="487605248">
                <wp:simplePos x="0" y="0"/>
                <wp:positionH relativeFrom="page">
                  <wp:posOffset>3870735</wp:posOffset>
                </wp:positionH>
                <wp:positionV relativeFrom="paragraph">
                  <wp:posOffset>451597</wp:posOffset>
                </wp:positionV>
                <wp:extent cx="582930" cy="147955"/>
                <wp:effectExtent l="0" t="0" r="0" b="0"/>
                <wp:wrapTopAndBottom/>
                <wp:docPr id="122" name="Group 122"/>
                <wp:cNvGraphicFramePr>
                  <a:graphicFrameLocks/>
                </wp:cNvGraphicFramePr>
                <a:graphic>
                  <a:graphicData uri="http://schemas.microsoft.com/office/word/2010/wordprocessingGroup">
                    <wpg:wgp>
                      <wpg:cNvPr id="122" name="Group 122"/>
                      <wpg:cNvGrpSpPr/>
                      <wpg:grpSpPr>
                        <a:xfrm>
                          <a:off x="0" y="0"/>
                          <a:ext cx="582930" cy="147955"/>
                          <a:chExt cx="582930" cy="147955"/>
                        </a:xfrm>
                      </wpg:grpSpPr>
                      <wps:wsp>
                        <wps:cNvPr id="123" name="Graphic 123"/>
                        <wps:cNvSpPr/>
                        <wps:spPr>
                          <a:xfrm>
                            <a:off x="151992" y="0"/>
                            <a:ext cx="424815" cy="147955"/>
                          </a:xfrm>
                          <a:custGeom>
                            <a:avLst/>
                            <a:gdLst/>
                            <a:ahLst/>
                            <a:cxnLst/>
                            <a:rect l="l" t="t" r="r" b="b"/>
                            <a:pathLst>
                              <a:path w="424815" h="147955">
                                <a:moveTo>
                                  <a:pt x="424336" y="147450"/>
                                </a:moveTo>
                                <a:lnTo>
                                  <a:pt x="0" y="147450"/>
                                </a:lnTo>
                                <a:lnTo>
                                  <a:pt x="0" y="0"/>
                                </a:lnTo>
                                <a:lnTo>
                                  <a:pt x="424336" y="0"/>
                                </a:lnTo>
                                <a:lnTo>
                                  <a:pt x="424336" y="147450"/>
                                </a:lnTo>
                                <a:close/>
                              </a:path>
                            </a:pathLst>
                          </a:custGeom>
                          <a:solidFill>
                            <a:srgbClr val="596293"/>
                          </a:solidFill>
                        </wps:spPr>
                        <wps:bodyPr wrap="square" lIns="0" tIns="0" rIns="0" bIns="0" rtlCol="0">
                          <a:prstTxWarp prst="textNoShape">
                            <a:avLst/>
                          </a:prstTxWarp>
                          <a:noAutofit/>
                        </wps:bodyPr>
                      </wps:wsp>
                      <wps:wsp>
                        <wps:cNvPr id="124" name="Textbox 124"/>
                        <wps:cNvSpPr txBox="1"/>
                        <wps:spPr>
                          <a:xfrm>
                            <a:off x="0" y="0"/>
                            <a:ext cx="582930" cy="147955"/>
                          </a:xfrm>
                          <a:prstGeom prst="rect">
                            <a:avLst/>
                          </a:prstGeom>
                        </wps:spPr>
                        <wps:txbx>
                          <w:txbxContent>
                            <w:p>
                              <w:pPr>
                                <w:spacing w:before="17"/>
                                <w:ind w:left="0" w:right="0" w:firstLine="0"/>
                                <w:jc w:val="left"/>
                                <w:rPr>
                                  <w:sz w:val="17"/>
                                </w:rPr>
                              </w:pPr>
                              <w:r>
                                <w:rPr>
                                  <w:color w:val="E1E6DF"/>
                                  <w:spacing w:val="-2"/>
                                  <w:sz w:val="15"/>
                                  <w:shd w:fill="2B417C" w:color="auto" w:val="clear"/>
                                </w:rPr>
                                <w:t>iRE</w:t>
                              </w:r>
                              <w:r>
                                <w:rPr>
                                  <w:color w:val="E1E6DF"/>
                                  <w:spacing w:val="-2"/>
                                  <w:sz w:val="15"/>
                                </w:rPr>
                                <w:t>I</w:t>
                              </w:r>
                              <w:r>
                                <w:rPr>
                                  <w:color w:val="E1E6DF"/>
                                  <w:spacing w:val="-2"/>
                                  <w:sz w:val="17"/>
                                </w:rPr>
                                <w:t>apuMita</w:t>
                              </w:r>
                            </w:p>
                          </w:txbxContent>
                        </wps:txbx>
                        <wps:bodyPr wrap="square" lIns="0" tIns="0" rIns="0" bIns="0" rtlCol="0">
                          <a:noAutofit/>
                        </wps:bodyPr>
                      </wps:wsp>
                    </wpg:wgp>
                  </a:graphicData>
                </a:graphic>
              </wp:anchor>
            </w:drawing>
          </mc:Choice>
          <mc:Fallback>
            <w:pict>
              <v:group style="position:absolute;margin-left:304.782288pt;margin-top:35.558834pt;width:45.9pt;height:11.65pt;mso-position-horizontal-relative:page;mso-position-vertical-relative:paragraph;z-index:-15711232;mso-wrap-distance-left:0;mso-wrap-distance-right:0" id="docshapegroup91" coordorigin="6096,711" coordsize="918,233">
                <v:rect style="position:absolute;left:6335;top:711;width:669;height:233" id="docshape92" filled="true" fillcolor="#596293" stroked="false">
                  <v:fill type="solid"/>
                </v:rect>
                <v:shape style="position:absolute;left:6095;top:711;width:918;height:233" type="#_x0000_t202" id="docshape93" filled="false" stroked="false">
                  <v:textbox inset="0,0,0,0">
                    <w:txbxContent>
                      <w:p>
                        <w:pPr>
                          <w:spacing w:before="17"/>
                          <w:ind w:left="0" w:right="0" w:firstLine="0"/>
                          <w:jc w:val="left"/>
                          <w:rPr>
                            <w:sz w:val="17"/>
                          </w:rPr>
                        </w:pPr>
                        <w:r>
                          <w:rPr>
                            <w:color w:val="E1E6DF"/>
                            <w:spacing w:val="-2"/>
                            <w:sz w:val="15"/>
                            <w:shd w:fill="2B417C" w:color="auto" w:val="clear"/>
                          </w:rPr>
                          <w:t>iRE</w:t>
                        </w:r>
                        <w:r>
                          <w:rPr>
                            <w:color w:val="E1E6DF"/>
                            <w:spacing w:val="-2"/>
                            <w:sz w:val="15"/>
                          </w:rPr>
                          <w:t>I</w:t>
                        </w:r>
                        <w:r>
                          <w:rPr>
                            <w:color w:val="E1E6DF"/>
                            <w:spacing w:val="-2"/>
                            <w:sz w:val="17"/>
                          </w:rPr>
                          <w:t>apuMita</w:t>
                        </w:r>
                      </w:p>
                    </w:txbxContent>
                  </v:textbox>
                  <w10:wrap type="none"/>
                </v:shape>
                <w10:wrap type="topAndBottom"/>
              </v:group>
            </w:pict>
          </mc:Fallback>
        </mc:AlternateContent>
      </w:r>
    </w:p>
    <w:p>
      <w:pPr>
        <w:pStyle w:val="BodyText"/>
        <w:spacing w:before="2"/>
        <w:rPr>
          <w:sz w:val="7"/>
        </w:rPr>
      </w:pPr>
    </w:p>
    <w:p>
      <w:pPr>
        <w:tabs>
          <w:tab w:pos="5333" w:val="left" w:leader="none"/>
          <w:tab w:pos="6756" w:val="left" w:leader="none"/>
        </w:tabs>
        <w:spacing w:line="155" w:lineRule="exact" w:before="0"/>
        <w:ind w:left="1732" w:right="0" w:firstLine="0"/>
        <w:jc w:val="left"/>
        <w:rPr>
          <w:rFonts w:ascii="Times New Roman"/>
          <w:sz w:val="14"/>
        </w:rPr>
      </w:pPr>
      <w:r>
        <w:rPr>
          <w:rFonts w:ascii="Times New Roman"/>
          <w:color w:val="E1E6DF"/>
          <w:w w:val="105"/>
          <w:sz w:val="14"/>
          <w:shd w:fill="2B417C" w:color="auto" w:val="clear"/>
        </w:rPr>
        <w:t>CrfteirlO</w:t>
      </w:r>
      <w:r>
        <w:rPr>
          <w:rFonts w:ascii="Times New Roman"/>
          <w:color w:val="E1E6DF"/>
          <w:spacing w:val="45"/>
          <w:w w:val="105"/>
          <w:sz w:val="14"/>
        </w:rPr>
        <w:t> </w:t>
      </w:r>
      <w:r>
        <w:rPr>
          <w:rFonts w:ascii="Times New Roman"/>
          <w:color w:val="E1E6DF"/>
          <w:w w:val="105"/>
          <w:sz w:val="14"/>
          <w:shd w:fill="2B417C" w:color="auto" w:val="clear"/>
        </w:rPr>
        <w:t>DEI</w:t>
      </w:r>
      <w:r>
        <w:rPr>
          <w:rFonts w:ascii="Times New Roman"/>
          <w:color w:val="E1E6DF"/>
          <w:spacing w:val="45"/>
          <w:w w:val="105"/>
          <w:sz w:val="14"/>
          <w:shd w:fill="2B417C" w:color="auto" w:val="clear"/>
        </w:rPr>
        <w:t> </w:t>
      </w:r>
      <w:r>
        <w:rPr>
          <w:rFonts w:ascii="Times New Roman"/>
          <w:color w:val="E1E6DF"/>
          <w:spacing w:val="-2"/>
          <w:w w:val="105"/>
          <w:sz w:val="14"/>
          <w:shd w:fill="2B417C" w:color="auto" w:val="clear"/>
        </w:rPr>
        <w:t>COlniCOIIUBllela</w:t>
      </w:r>
      <w:r>
        <w:rPr>
          <w:rFonts w:ascii="Times New Roman"/>
          <w:color w:val="E1E6DF"/>
          <w:sz w:val="14"/>
        </w:rPr>
        <w:tab/>
      </w:r>
      <w:r>
        <w:rPr>
          <w:rFonts w:ascii="Times New Roman"/>
          <w:color w:val="E1E6DF"/>
          <w:spacing w:val="80"/>
          <w:w w:val="105"/>
          <w:sz w:val="16"/>
          <w:shd w:fill="2B417C" w:color="auto" w:val="clear"/>
        </w:rPr>
        <w:t> </w:t>
      </w:r>
      <w:r>
        <w:rPr>
          <w:rFonts w:ascii="Times New Roman"/>
          <w:color w:val="E1E6DF"/>
          <w:w w:val="105"/>
          <w:sz w:val="16"/>
          <w:shd w:fill="2B417C" w:color="auto" w:val="clear"/>
        </w:rPr>
        <w:t>No</w:t>
      </w:r>
      <w:r>
        <w:rPr>
          <w:rFonts w:ascii="Times New Roman"/>
          <w:color w:val="E1E6DF"/>
          <w:spacing w:val="80"/>
          <w:w w:val="105"/>
          <w:sz w:val="16"/>
          <w:shd w:fill="2B417C" w:color="auto" w:val="clear"/>
        </w:rPr>
        <w:t> </w:t>
      </w:r>
      <w:r>
        <w:rPr>
          <w:rFonts w:ascii="Times New Roman"/>
          <w:color w:val="E1E6DF"/>
          <w:sz w:val="16"/>
        </w:rPr>
        <w:tab/>
      </w:r>
      <w:r>
        <w:rPr>
          <w:rFonts w:ascii="Times New Roman"/>
          <w:color w:val="E1E6DF"/>
          <w:spacing w:val="-2"/>
          <w:w w:val="105"/>
          <w:sz w:val="14"/>
          <w:shd w:fill="2B417C" w:color="auto" w:val="clear"/>
        </w:rPr>
        <w:t>OD8J9NBICI0111JBS</w:t>
      </w:r>
      <w:r>
        <w:rPr>
          <w:rFonts w:ascii="Times New Roman"/>
          <w:color w:val="E1E6DF"/>
          <w:spacing w:val="-2"/>
          <w:w w:val="105"/>
          <w:sz w:val="14"/>
        </w:rPr>
        <w:t>;</w:t>
      </w:r>
    </w:p>
    <w:p>
      <w:pPr>
        <w:tabs>
          <w:tab w:pos="440" w:val="left" w:leader="none"/>
        </w:tabs>
        <w:spacing w:line="157" w:lineRule="exact" w:before="0"/>
        <w:ind w:left="0" w:right="100" w:firstLine="0"/>
        <w:jc w:val="center"/>
        <w:rPr>
          <w:sz w:val="15"/>
        </w:rPr>
      </w:pPr>
      <w:r>
        <w:rPr>
          <w:color w:val="E1E6DF"/>
          <w:spacing w:val="-5"/>
          <w:w w:val="115"/>
          <w:sz w:val="14"/>
          <w:shd w:fill="445489" w:color="auto" w:val="clear"/>
        </w:rPr>
        <w:t>SJ</w:t>
      </w:r>
      <w:r>
        <w:rPr>
          <w:color w:val="E1E6DF"/>
          <w:sz w:val="14"/>
        </w:rPr>
        <w:tab/>
      </w:r>
      <w:r>
        <w:rPr>
          <w:color w:val="E1E6DF"/>
          <w:w w:val="115"/>
          <w:sz w:val="14"/>
          <w:shd w:fill="445489" w:color="auto" w:val="clear"/>
        </w:rPr>
        <w:t>IIID</w:t>
      </w:r>
      <w:r>
        <w:rPr>
          <w:color w:val="E1E6DF"/>
          <w:spacing w:val="43"/>
          <w:w w:val="115"/>
          <w:sz w:val="14"/>
        </w:rPr>
        <w:t>  </w:t>
      </w:r>
      <w:r>
        <w:rPr>
          <w:color w:val="E1E6DF"/>
          <w:spacing w:val="-2"/>
          <w:w w:val="115"/>
          <w:sz w:val="15"/>
          <w:shd w:fill="2B417C" w:color="auto" w:val="clear"/>
        </w:rPr>
        <w:t>AplJea</w:t>
      </w:r>
    </w:p>
    <w:p>
      <w:pPr>
        <w:tabs>
          <w:tab w:pos="6924" w:val="left" w:leader="none"/>
          <w:tab w:pos="7953" w:val="left" w:leader="none"/>
        </w:tabs>
        <w:spacing w:before="58"/>
        <w:ind w:left="6012" w:right="0" w:firstLine="0"/>
        <w:jc w:val="left"/>
        <w:rPr>
          <w:sz w:val="16"/>
          <w:szCs w:val="16"/>
        </w:rPr>
      </w:pPr>
      <w:r>
        <w:rPr>
          <w:sz w:val="16"/>
          <w:szCs w:val="16"/>
        </w:rPr>
        <mc:AlternateContent>
          <mc:Choice Requires="wps">
            <w:drawing>
              <wp:anchor distT="0" distB="0" distL="0" distR="0" allowOverlap="1" layoutInCell="1" locked="0" behindDoc="0" simplePos="0" relativeHeight="15747072">
                <wp:simplePos x="0" y="0"/>
                <wp:positionH relativeFrom="page">
                  <wp:posOffset>1758402</wp:posOffset>
                </wp:positionH>
                <wp:positionV relativeFrom="paragraph">
                  <wp:posOffset>135451</wp:posOffset>
                </wp:positionV>
                <wp:extent cx="1905000" cy="3854450"/>
                <wp:effectExtent l="0" t="0" r="0" b="0"/>
                <wp:wrapNone/>
                <wp:docPr id="125" name="Group 125"/>
                <wp:cNvGraphicFramePr>
                  <a:graphicFrameLocks/>
                </wp:cNvGraphicFramePr>
                <a:graphic>
                  <a:graphicData uri="http://schemas.microsoft.com/office/word/2010/wordprocessingGroup">
                    <wpg:wgp>
                      <wpg:cNvPr id="125" name="Group 125"/>
                      <wpg:cNvGrpSpPr/>
                      <wpg:grpSpPr>
                        <a:xfrm>
                          <a:off x="0" y="0"/>
                          <a:ext cx="1905000" cy="3854450"/>
                          <a:chExt cx="1905000" cy="3854450"/>
                        </a:xfrm>
                      </wpg:grpSpPr>
                      <pic:pic>
                        <pic:nvPicPr>
                          <pic:cNvPr id="126" name="Image 126"/>
                          <pic:cNvPicPr/>
                        </pic:nvPicPr>
                        <pic:blipFill>
                          <a:blip r:embed="rId69" cstate="print"/>
                          <a:stretch>
                            <a:fillRect/>
                          </a:stretch>
                        </pic:blipFill>
                        <pic:spPr>
                          <a:xfrm>
                            <a:off x="3051" y="0"/>
                            <a:ext cx="1901882" cy="842267"/>
                          </a:xfrm>
                          <a:prstGeom prst="rect">
                            <a:avLst/>
                          </a:prstGeom>
                        </pic:spPr>
                      </pic:pic>
                      <wps:wsp>
                        <wps:cNvPr id="127" name="Graphic 127"/>
                        <wps:cNvSpPr/>
                        <wps:spPr>
                          <a:xfrm>
                            <a:off x="6105" y="842266"/>
                            <a:ext cx="1270" cy="3012440"/>
                          </a:xfrm>
                          <a:custGeom>
                            <a:avLst/>
                            <a:gdLst/>
                            <a:ahLst/>
                            <a:cxnLst/>
                            <a:rect l="l" t="t" r="r" b="b"/>
                            <a:pathLst>
                              <a:path w="0" h="3012440">
                                <a:moveTo>
                                  <a:pt x="0" y="3012022"/>
                                </a:moveTo>
                                <a:lnTo>
                                  <a:pt x="0" y="0"/>
                                </a:lnTo>
                              </a:path>
                            </a:pathLst>
                          </a:custGeom>
                          <a:ln w="12211">
                            <a:solidFill>
                              <a:srgbClr val="000000"/>
                            </a:solidFill>
                            <a:prstDash val="solid"/>
                          </a:ln>
                        </wps:spPr>
                        <wps:bodyPr wrap="square" lIns="0" tIns="0" rIns="0" bIns="0" rtlCol="0">
                          <a:prstTxWarp prst="textNoShape">
                            <a:avLst/>
                          </a:prstTxWarp>
                          <a:noAutofit/>
                        </wps:bodyPr>
                      </wps:wsp>
                      <wps:wsp>
                        <wps:cNvPr id="128" name="Textbox 128"/>
                        <wps:cNvSpPr txBox="1"/>
                        <wps:spPr>
                          <a:xfrm>
                            <a:off x="0" y="0"/>
                            <a:ext cx="1905000" cy="3854450"/>
                          </a:xfrm>
                          <a:prstGeom prst="rect">
                            <a:avLst/>
                          </a:prstGeom>
                        </wps:spPr>
                        <wps:txbx>
                          <w:txbxContent>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33"/>
                                <w:rPr>
                                  <w:sz w:val="15"/>
                                </w:rPr>
                              </w:pPr>
                            </w:p>
                            <w:p>
                              <w:pPr>
                                <w:spacing w:line="194" w:lineRule="exact" w:before="0"/>
                                <w:ind w:left="360" w:right="0" w:firstLine="0"/>
                                <w:jc w:val="left"/>
                                <w:rPr>
                                  <w:rFonts w:ascii="Times New Roman" w:hAnsi="Times New Roman" w:cs="Times New Roman" w:eastAsia="Times New Roman"/>
                                  <w:sz w:val="10"/>
                                  <w:szCs w:val="10"/>
                                </w:rPr>
                              </w:pPr>
                              <w:r>
                                <w:rPr>
                                  <w:color w:val="2D5067"/>
                                  <w:sz w:val="15"/>
                                  <w:szCs w:val="15"/>
                                </w:rPr>
                                <w:t>lli</w:t>
                              </w:r>
                              <w:r>
                                <w:rPr>
                                  <w:color w:val="6E8C83"/>
                                  <w:sz w:val="15"/>
                                  <w:szCs w:val="15"/>
                                </w:rPr>
                                <w:t>)</w:t>
                              </w:r>
                              <w:r>
                                <w:rPr>
                                  <w:color w:val="6E8C83"/>
                                  <w:spacing w:val="73"/>
                                  <w:sz w:val="15"/>
                                  <w:szCs w:val="15"/>
                                </w:rPr>
                                <w:t> </w:t>
                              </w:r>
                              <w:r>
                                <w:rPr>
                                  <w:color w:val="484F60"/>
                                  <w:sz w:val="15"/>
                                  <w:szCs w:val="15"/>
                                  <w:u w:val="thick" w:color="484F60"/>
                                </w:rPr>
                                <w:t>COl'l.cll1'1:</w:t>
                              </w:r>
                              <w:r>
                                <w:rPr>
                                  <w:color w:val="484F60"/>
                                  <w:sz w:val="15"/>
                                  <w:szCs w:val="15"/>
                                  <w:u w:val="none"/>
                                </w:rPr>
                                <w:t>I</w:t>
                              </w:r>
                              <w:r>
                                <w:rPr>
                                  <w:color w:val="484F60"/>
                                  <w:spacing w:val="36"/>
                                  <w:sz w:val="15"/>
                                  <w:szCs w:val="15"/>
                                  <w:u w:val="none"/>
                                </w:rPr>
                                <w:t>  </w:t>
                              </w:r>
                              <w:r>
                                <w:rPr>
                                  <w:color w:val="5B3F59"/>
                                  <w:sz w:val="12"/>
                                  <w:szCs w:val="12"/>
                                  <w:u w:val="none"/>
                                </w:rPr>
                                <w:t>�</w:t>
                              </w:r>
                              <w:r>
                                <w:rPr>
                                  <w:color w:val="3F6067"/>
                                  <w:sz w:val="12"/>
                                  <w:szCs w:val="12"/>
                                  <w:u w:val="none"/>
                                </w:rPr>
                                <w:t>¡¡¡</w:t>
                              </w:r>
                              <w:r>
                                <w:rPr>
                                  <w:color w:val="E9B341"/>
                                  <w:sz w:val="17"/>
                                  <w:szCs w:val="17"/>
                                  <w:u w:val="none"/>
                                </w:rPr>
                                <w:t>,</w:t>
                              </w:r>
                              <w:r>
                                <w:rPr>
                                  <w:color w:val="484F60"/>
                                  <w:sz w:val="17"/>
                                  <w:szCs w:val="17"/>
                                  <w:u w:val="none"/>
                                </w:rPr>
                                <w:t>coo</w:t>
                              </w:r>
                              <w:r>
                                <w:rPr>
                                  <w:color w:val="484F60"/>
                                  <w:spacing w:val="34"/>
                                  <w:sz w:val="17"/>
                                  <w:szCs w:val="17"/>
                                  <w:u w:val="none"/>
                                </w:rPr>
                                <w:t>  </w:t>
                              </w:r>
                              <w:r>
                                <w:rPr>
                                  <w:rFonts w:ascii="Times New Roman" w:hAnsi="Times New Roman" w:cs="Times New Roman" w:eastAsia="Times New Roman"/>
                                  <w:color w:val="75C6E6"/>
                                  <w:spacing w:val="-10"/>
                                  <w:w w:val="95"/>
                                  <w:sz w:val="10"/>
                                  <w:szCs w:val="10"/>
                                  <w:u w:val="none"/>
                                </w:rPr>
                                <w:t>1</w:t>
                              </w:r>
                            </w:p>
                            <w:p>
                              <w:pPr>
                                <w:numPr>
                                  <w:ilvl w:val="0"/>
                                  <w:numId w:val="39"/>
                                </w:numPr>
                                <w:tabs>
                                  <w:tab w:pos="1248" w:val="left" w:leader="none"/>
                                </w:tabs>
                                <w:spacing w:line="159" w:lineRule="exact" w:before="0"/>
                                <w:ind w:left="1248" w:right="0" w:hanging="112"/>
                                <w:jc w:val="left"/>
                                <w:rPr>
                                  <w:rFonts w:ascii="Times New Roman"/>
                                  <w:sz w:val="14"/>
                                </w:rPr>
                              </w:pPr>
                              <w:r>
                                <w:rPr>
                                  <w:rFonts w:ascii="Times New Roman"/>
                                  <w:color w:val="5B3F59"/>
                                  <w:w w:val="105"/>
                                  <w:sz w:val="14"/>
                                </w:rPr>
                                <w:t>Gl'O</w:t>
                              </w:r>
                              <w:r>
                                <w:rPr>
                                  <w:rFonts w:ascii="Times New Roman"/>
                                  <w:color w:val="5B3F59"/>
                                  <w:spacing w:val="78"/>
                                  <w:w w:val="150"/>
                                  <w:sz w:val="14"/>
                                </w:rPr>
                                <w:t> </w:t>
                              </w:r>
                              <w:r>
                                <w:rPr>
                                  <w:rFonts w:ascii="Times New Roman"/>
                                  <w:color w:val="5B3F59"/>
                                  <w:w w:val="125"/>
                                  <w:sz w:val="14"/>
                                </w:rPr>
                                <w:t>d</w:t>
                              </w:r>
                              <w:r>
                                <w:rPr>
                                  <w:rFonts w:ascii="Times New Roman"/>
                                  <w:color w:val="2A243F"/>
                                  <w:w w:val="125"/>
                                  <w:sz w:val="14"/>
                                </w:rPr>
                                <w:t>e</w:t>
                              </w:r>
                              <w:r>
                                <w:rPr>
                                  <w:rFonts w:ascii="Times New Roman"/>
                                  <w:color w:val="2685AC"/>
                                  <w:w w:val="125"/>
                                  <w:sz w:val="14"/>
                                </w:rPr>
                                <w:t>l</w:t>
                              </w:r>
                              <w:r>
                                <w:rPr>
                                  <w:rFonts w:ascii="Times New Roman"/>
                                  <w:color w:val="2685AC"/>
                                  <w:spacing w:val="2"/>
                                  <w:w w:val="125"/>
                                  <w:sz w:val="14"/>
                                </w:rPr>
                                <w:t> </w:t>
                              </w:r>
                              <w:r>
                                <w:rPr>
                                  <w:rFonts w:ascii="Times New Roman"/>
                                  <w:color w:val="2A243F"/>
                                  <w:spacing w:val="-2"/>
                                  <w:w w:val="105"/>
                                  <w:sz w:val="14"/>
                                </w:rPr>
                                <w:t>B::J</w:t>
                              </w:r>
                              <w:r>
                                <w:rPr>
                                  <w:rFonts w:ascii="Times New Roman"/>
                                  <w:color w:val="751A64"/>
                                  <w:spacing w:val="-2"/>
                                  <w:w w:val="105"/>
                                  <w:sz w:val="14"/>
                                </w:rPr>
                                <w:t>II</w:t>
                              </w:r>
                              <w:r>
                                <w:rPr>
                                  <w:rFonts w:ascii="Times New Roman"/>
                                  <w:color w:val="2D5067"/>
                                  <w:spacing w:val="-2"/>
                                  <w:w w:val="105"/>
                                  <w:sz w:val="14"/>
                                </w:rPr>
                                <w:t>?</w:t>
                              </w:r>
                              <w:r>
                                <w:rPr>
                                  <w:rFonts w:ascii="Times New Roman"/>
                                  <w:color w:val="600E8E"/>
                                  <w:spacing w:val="-2"/>
                                  <w:w w:val="105"/>
                                  <w:sz w:val="14"/>
                                </w:rPr>
                                <w:t>.</w:t>
                              </w:r>
                            </w:p>
                          </w:txbxContent>
                        </wps:txbx>
                        <wps:bodyPr wrap="square" lIns="0" tIns="0" rIns="0" bIns="0" rtlCol="0">
                          <a:noAutofit/>
                        </wps:bodyPr>
                      </wps:wsp>
                    </wpg:wgp>
                  </a:graphicData>
                </a:graphic>
              </wp:anchor>
            </w:drawing>
          </mc:Choice>
          <mc:Fallback>
            <w:pict>
              <v:group style="position:absolute;margin-left:138.456909pt;margin-top:10.665473pt;width:150pt;height:303.5pt;mso-position-horizontal-relative:page;mso-position-vertical-relative:paragraph;z-index:15747072" id="docshapegroup94" coordorigin="2769,213" coordsize="3000,6070">
                <v:shape style="position:absolute;left:2773;top:213;width:2996;height:1327" type="#_x0000_t75" id="docshape95" stroked="false">
                  <v:imagedata r:id="rId69" o:title=""/>
                </v:shape>
                <v:line style="position:absolute" from="2779,6283" to="2779,1540" stroked="true" strokeweight=".961506pt" strokecolor="#000000">
                  <v:stroke dashstyle="solid"/>
                </v:line>
                <v:shape style="position:absolute;left:2769;top:213;width:3000;height:6070" type="#_x0000_t202" id="docshape96" filled="false" stroked="false">
                  <v:textbox inset="0,0,0,0">
                    <w:txbxContent>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0"/>
                          <w:rPr>
                            <w:sz w:val="15"/>
                          </w:rPr>
                        </w:pPr>
                      </w:p>
                      <w:p>
                        <w:pPr>
                          <w:spacing w:line="240" w:lineRule="auto" w:before="33"/>
                          <w:rPr>
                            <w:sz w:val="15"/>
                          </w:rPr>
                        </w:pPr>
                      </w:p>
                      <w:p>
                        <w:pPr>
                          <w:spacing w:line="194" w:lineRule="exact" w:before="0"/>
                          <w:ind w:left="360" w:right="0" w:firstLine="0"/>
                          <w:jc w:val="left"/>
                          <w:rPr>
                            <w:rFonts w:ascii="Times New Roman" w:hAnsi="Times New Roman" w:cs="Times New Roman" w:eastAsia="Times New Roman"/>
                            <w:sz w:val="10"/>
                            <w:szCs w:val="10"/>
                          </w:rPr>
                        </w:pPr>
                        <w:r>
                          <w:rPr>
                            <w:color w:val="2D5067"/>
                            <w:sz w:val="15"/>
                            <w:szCs w:val="15"/>
                          </w:rPr>
                          <w:t>lli</w:t>
                        </w:r>
                        <w:r>
                          <w:rPr>
                            <w:color w:val="6E8C83"/>
                            <w:sz w:val="15"/>
                            <w:szCs w:val="15"/>
                          </w:rPr>
                          <w:t>)</w:t>
                        </w:r>
                        <w:r>
                          <w:rPr>
                            <w:color w:val="6E8C83"/>
                            <w:spacing w:val="73"/>
                            <w:sz w:val="15"/>
                            <w:szCs w:val="15"/>
                          </w:rPr>
                          <w:t> </w:t>
                        </w:r>
                        <w:r>
                          <w:rPr>
                            <w:color w:val="484F60"/>
                            <w:sz w:val="15"/>
                            <w:szCs w:val="15"/>
                            <w:u w:val="thick" w:color="484F60"/>
                          </w:rPr>
                          <w:t>COl'l.cll1'1:</w:t>
                        </w:r>
                        <w:r>
                          <w:rPr>
                            <w:color w:val="484F60"/>
                            <w:sz w:val="15"/>
                            <w:szCs w:val="15"/>
                            <w:u w:val="none"/>
                          </w:rPr>
                          <w:t>I</w:t>
                        </w:r>
                        <w:r>
                          <w:rPr>
                            <w:color w:val="484F60"/>
                            <w:spacing w:val="36"/>
                            <w:sz w:val="15"/>
                            <w:szCs w:val="15"/>
                            <w:u w:val="none"/>
                          </w:rPr>
                          <w:t>  </w:t>
                        </w:r>
                        <w:r>
                          <w:rPr>
                            <w:color w:val="5B3F59"/>
                            <w:sz w:val="12"/>
                            <w:szCs w:val="12"/>
                            <w:u w:val="none"/>
                          </w:rPr>
                          <w:t>�</w:t>
                        </w:r>
                        <w:r>
                          <w:rPr>
                            <w:color w:val="3F6067"/>
                            <w:sz w:val="12"/>
                            <w:szCs w:val="12"/>
                            <w:u w:val="none"/>
                          </w:rPr>
                          <w:t>¡¡¡</w:t>
                        </w:r>
                        <w:r>
                          <w:rPr>
                            <w:color w:val="E9B341"/>
                            <w:sz w:val="17"/>
                            <w:szCs w:val="17"/>
                            <w:u w:val="none"/>
                          </w:rPr>
                          <w:t>,</w:t>
                        </w:r>
                        <w:r>
                          <w:rPr>
                            <w:color w:val="484F60"/>
                            <w:sz w:val="17"/>
                            <w:szCs w:val="17"/>
                            <w:u w:val="none"/>
                          </w:rPr>
                          <w:t>coo</w:t>
                        </w:r>
                        <w:r>
                          <w:rPr>
                            <w:color w:val="484F60"/>
                            <w:spacing w:val="34"/>
                            <w:sz w:val="17"/>
                            <w:szCs w:val="17"/>
                            <w:u w:val="none"/>
                          </w:rPr>
                          <w:t>  </w:t>
                        </w:r>
                        <w:r>
                          <w:rPr>
                            <w:rFonts w:ascii="Times New Roman" w:hAnsi="Times New Roman" w:cs="Times New Roman" w:eastAsia="Times New Roman"/>
                            <w:color w:val="75C6E6"/>
                            <w:spacing w:val="-10"/>
                            <w:w w:val="95"/>
                            <w:sz w:val="10"/>
                            <w:szCs w:val="10"/>
                            <w:u w:val="none"/>
                          </w:rPr>
                          <w:t>1</w:t>
                        </w:r>
                      </w:p>
                      <w:p>
                        <w:pPr>
                          <w:numPr>
                            <w:ilvl w:val="0"/>
                            <w:numId w:val="39"/>
                          </w:numPr>
                          <w:tabs>
                            <w:tab w:pos="1248" w:val="left" w:leader="none"/>
                          </w:tabs>
                          <w:spacing w:line="159" w:lineRule="exact" w:before="0"/>
                          <w:ind w:left="1248" w:right="0" w:hanging="112"/>
                          <w:jc w:val="left"/>
                          <w:rPr>
                            <w:rFonts w:ascii="Times New Roman"/>
                            <w:sz w:val="14"/>
                          </w:rPr>
                        </w:pPr>
                        <w:r>
                          <w:rPr>
                            <w:rFonts w:ascii="Times New Roman"/>
                            <w:color w:val="5B3F59"/>
                            <w:w w:val="105"/>
                            <w:sz w:val="14"/>
                          </w:rPr>
                          <w:t>Gl'O</w:t>
                        </w:r>
                        <w:r>
                          <w:rPr>
                            <w:rFonts w:ascii="Times New Roman"/>
                            <w:color w:val="5B3F59"/>
                            <w:spacing w:val="78"/>
                            <w:w w:val="150"/>
                            <w:sz w:val="14"/>
                          </w:rPr>
                          <w:t> </w:t>
                        </w:r>
                        <w:r>
                          <w:rPr>
                            <w:rFonts w:ascii="Times New Roman"/>
                            <w:color w:val="5B3F59"/>
                            <w:w w:val="125"/>
                            <w:sz w:val="14"/>
                          </w:rPr>
                          <w:t>d</w:t>
                        </w:r>
                        <w:r>
                          <w:rPr>
                            <w:rFonts w:ascii="Times New Roman"/>
                            <w:color w:val="2A243F"/>
                            <w:w w:val="125"/>
                            <w:sz w:val="14"/>
                          </w:rPr>
                          <w:t>e</w:t>
                        </w:r>
                        <w:r>
                          <w:rPr>
                            <w:rFonts w:ascii="Times New Roman"/>
                            <w:color w:val="2685AC"/>
                            <w:w w:val="125"/>
                            <w:sz w:val="14"/>
                          </w:rPr>
                          <w:t>l</w:t>
                        </w:r>
                        <w:r>
                          <w:rPr>
                            <w:rFonts w:ascii="Times New Roman"/>
                            <w:color w:val="2685AC"/>
                            <w:spacing w:val="2"/>
                            <w:w w:val="125"/>
                            <w:sz w:val="14"/>
                          </w:rPr>
                          <w:t> </w:t>
                        </w:r>
                        <w:r>
                          <w:rPr>
                            <w:rFonts w:ascii="Times New Roman"/>
                            <w:color w:val="2A243F"/>
                            <w:spacing w:val="-2"/>
                            <w:w w:val="105"/>
                            <w:sz w:val="14"/>
                          </w:rPr>
                          <w:t>B::J</w:t>
                        </w:r>
                        <w:r>
                          <w:rPr>
                            <w:rFonts w:ascii="Times New Roman"/>
                            <w:color w:val="751A64"/>
                            <w:spacing w:val="-2"/>
                            <w:w w:val="105"/>
                            <w:sz w:val="14"/>
                          </w:rPr>
                          <w:t>II</w:t>
                        </w:r>
                        <w:r>
                          <w:rPr>
                            <w:rFonts w:ascii="Times New Roman"/>
                            <w:color w:val="2D5067"/>
                            <w:spacing w:val="-2"/>
                            <w:w w:val="105"/>
                            <w:sz w:val="14"/>
                          </w:rPr>
                          <w:t>?</w:t>
                        </w:r>
                        <w:r>
                          <w:rPr>
                            <w:rFonts w:ascii="Times New Roman"/>
                            <w:color w:val="600E8E"/>
                            <w:spacing w:val="-2"/>
                            <w:w w:val="105"/>
                            <w:sz w:val="14"/>
                          </w:rPr>
                          <w:t>.</w:t>
                        </w:r>
                      </w:p>
                    </w:txbxContent>
                  </v:textbox>
                  <w10:wrap type="none"/>
                </v:shape>
                <w10:wrap type="none"/>
              </v:group>
            </w:pict>
          </mc:Fallback>
        </mc:AlternateContent>
      </w:r>
      <w:r>
        <w:rPr>
          <w:sz w:val="16"/>
          <w:szCs w:val="16"/>
        </w:rPr>
        <mc:AlternateContent>
          <mc:Choice Requires="wps">
            <w:drawing>
              <wp:anchor distT="0" distB="0" distL="0" distR="0" allowOverlap="1" layoutInCell="1" locked="0" behindDoc="0" simplePos="0" relativeHeight="15747584">
                <wp:simplePos x="0" y="0"/>
                <wp:positionH relativeFrom="page">
                  <wp:posOffset>4664650</wp:posOffset>
                </wp:positionH>
                <wp:positionV relativeFrom="paragraph">
                  <wp:posOffset>146385</wp:posOffset>
                </wp:positionV>
                <wp:extent cx="1877695" cy="3843654"/>
                <wp:effectExtent l="0" t="0" r="0" b="0"/>
                <wp:wrapNone/>
                <wp:docPr id="129" name="Group 129"/>
                <wp:cNvGraphicFramePr>
                  <a:graphicFrameLocks/>
                </wp:cNvGraphicFramePr>
                <a:graphic>
                  <a:graphicData uri="http://schemas.microsoft.com/office/word/2010/wordprocessingGroup">
                    <wpg:wgp>
                      <wpg:cNvPr id="129" name="Group 129"/>
                      <wpg:cNvGrpSpPr/>
                      <wpg:grpSpPr>
                        <a:xfrm>
                          <a:off x="0" y="0"/>
                          <a:ext cx="1877695" cy="3843654"/>
                          <a:chExt cx="1877695" cy="3843654"/>
                        </a:xfrm>
                      </wpg:grpSpPr>
                      <pic:pic>
                        <pic:nvPicPr>
                          <pic:cNvPr id="130" name="Image 130"/>
                          <pic:cNvPicPr/>
                        </pic:nvPicPr>
                        <pic:blipFill>
                          <a:blip r:embed="rId70" cstate="print"/>
                          <a:stretch>
                            <a:fillRect/>
                          </a:stretch>
                        </pic:blipFill>
                        <pic:spPr>
                          <a:xfrm>
                            <a:off x="0" y="40945"/>
                            <a:ext cx="1877460" cy="3802411"/>
                          </a:xfrm>
                          <a:prstGeom prst="rect">
                            <a:avLst/>
                          </a:prstGeom>
                        </pic:spPr>
                      </pic:pic>
                      <wps:wsp>
                        <wps:cNvPr id="131" name="Graphic 131"/>
                        <wps:cNvSpPr/>
                        <wps:spPr>
                          <a:xfrm>
                            <a:off x="576449" y="2398420"/>
                            <a:ext cx="676910" cy="1303020"/>
                          </a:xfrm>
                          <a:custGeom>
                            <a:avLst/>
                            <a:gdLst/>
                            <a:ahLst/>
                            <a:cxnLst/>
                            <a:rect l="l" t="t" r="r" b="b"/>
                            <a:pathLst>
                              <a:path w="676910" h="1303020">
                                <a:moveTo>
                                  <a:pt x="15265" y="167360"/>
                                </a:moveTo>
                                <a:lnTo>
                                  <a:pt x="0" y="167360"/>
                                </a:lnTo>
                                <a:lnTo>
                                  <a:pt x="0" y="358178"/>
                                </a:lnTo>
                                <a:lnTo>
                                  <a:pt x="15265" y="358178"/>
                                </a:lnTo>
                                <a:lnTo>
                                  <a:pt x="15265" y="167360"/>
                                </a:lnTo>
                                <a:close/>
                              </a:path>
                              <a:path w="676910" h="1303020">
                                <a:moveTo>
                                  <a:pt x="77889" y="0"/>
                                </a:moveTo>
                                <a:lnTo>
                                  <a:pt x="71780" y="0"/>
                                </a:lnTo>
                                <a:lnTo>
                                  <a:pt x="71780" y="130111"/>
                                </a:lnTo>
                                <a:lnTo>
                                  <a:pt x="77889" y="130111"/>
                                </a:lnTo>
                                <a:lnTo>
                                  <a:pt x="77889" y="0"/>
                                </a:lnTo>
                                <a:close/>
                              </a:path>
                              <a:path w="676910" h="1303020">
                                <a:moveTo>
                                  <a:pt x="676744" y="1191183"/>
                                </a:moveTo>
                                <a:lnTo>
                                  <a:pt x="661479" y="1191183"/>
                                </a:lnTo>
                                <a:lnTo>
                                  <a:pt x="661479" y="1302435"/>
                                </a:lnTo>
                                <a:lnTo>
                                  <a:pt x="676744" y="1302435"/>
                                </a:lnTo>
                                <a:lnTo>
                                  <a:pt x="676744" y="1191183"/>
                                </a:lnTo>
                                <a:close/>
                              </a:path>
                            </a:pathLst>
                          </a:custGeom>
                          <a:solidFill>
                            <a:srgbClr val="E2EFD8"/>
                          </a:solidFill>
                        </wps:spPr>
                        <wps:bodyPr wrap="square" lIns="0" tIns="0" rIns="0" bIns="0" rtlCol="0">
                          <a:prstTxWarp prst="textNoShape">
                            <a:avLst/>
                          </a:prstTxWarp>
                          <a:noAutofit/>
                        </wps:bodyPr>
                      </wps:wsp>
                      <wps:wsp>
                        <wps:cNvPr id="132" name="Textbox 132"/>
                        <wps:cNvSpPr txBox="1"/>
                        <wps:spPr>
                          <a:xfrm>
                            <a:off x="67447" y="0"/>
                            <a:ext cx="1604645" cy="127000"/>
                          </a:xfrm>
                          <a:prstGeom prst="rect">
                            <a:avLst/>
                          </a:prstGeom>
                        </wps:spPr>
                        <wps:txbx>
                          <w:txbxContent>
                            <w:p>
                              <w:pPr>
                                <w:tabs>
                                  <w:tab w:pos="1237" w:val="left" w:leader="none"/>
                                </w:tabs>
                                <w:spacing w:line="200" w:lineRule="exact" w:before="0"/>
                                <w:ind w:left="0" w:right="0" w:firstLine="0"/>
                                <w:jc w:val="left"/>
                                <w:rPr>
                                  <w:sz w:val="15"/>
                                </w:rPr>
                              </w:pPr>
                              <w:r>
                                <w:rPr>
                                  <w:color w:val="5B0770"/>
                                  <w:sz w:val="15"/>
                                </w:rPr>
                                <w:t>I</w:t>
                              </w:r>
                              <w:r>
                                <w:rPr>
                                  <w:color w:val="484F60"/>
                                  <w:sz w:val="15"/>
                                </w:rPr>
                                <w:t>MAS</w:t>
                              </w:r>
                              <w:r>
                                <w:rPr>
                                  <w:color w:val="6E8C83"/>
                                  <w:sz w:val="15"/>
                                </w:rPr>
                                <w:t>•</w:t>
                              </w:r>
                              <w:r>
                                <w:rPr>
                                  <w:color w:val="6E8C83"/>
                                  <w:spacing w:val="30"/>
                                  <w:sz w:val="15"/>
                                </w:rPr>
                                <w:t>  </w:t>
                              </w:r>
                              <w:r>
                                <w:rPr>
                                  <w:rFonts w:ascii="Times New Roman" w:hAnsi="Times New Roman"/>
                                  <w:color w:val="4D4D7E"/>
                                  <w:spacing w:val="-2"/>
                                  <w:sz w:val="14"/>
                                </w:rPr>
                                <w:t>.!l</w:t>
                              </w:r>
                              <w:r>
                                <w:rPr>
                                  <w:rFonts w:ascii="Times New Roman" w:hAnsi="Times New Roman"/>
                                  <w:color w:val="484F60"/>
                                  <w:spacing w:val="-2"/>
                                  <w:sz w:val="14"/>
                                </w:rPr>
                                <w:t>PS_</w:t>
                              </w:r>
                              <w:r>
                                <w:rPr>
                                  <w:rFonts w:ascii="Times New Roman" w:hAnsi="Times New Roman"/>
                                  <w:color w:val="600E8E"/>
                                  <w:spacing w:val="-2"/>
                                  <w:sz w:val="14"/>
                                </w:rPr>
                                <w:t>,</w:t>
                              </w:r>
                              <w:r>
                                <w:rPr>
                                  <w:rFonts w:ascii="Times New Roman" w:hAnsi="Times New Roman"/>
                                  <w:color w:val="600E8E"/>
                                  <w:sz w:val="14"/>
                                </w:rPr>
                                <w:tab/>
                              </w:r>
                              <w:r>
                                <w:rPr>
                                  <w:rFonts w:ascii="Times New Roman" w:hAnsi="Times New Roman"/>
                                  <w:color w:val="DBAF56"/>
                                  <w:sz w:val="14"/>
                                </w:rPr>
                                <w:t>,</w:t>
                              </w:r>
                              <w:r>
                                <w:rPr>
                                  <w:rFonts w:ascii="Times New Roman" w:hAnsi="Times New Roman"/>
                                  <w:color w:val="DBAF56"/>
                                  <w:spacing w:val="28"/>
                                  <w:sz w:val="14"/>
                                </w:rPr>
                                <w:t> </w:t>
                              </w:r>
                              <w:r>
                                <w:rPr>
                                  <w:rFonts w:ascii="Times New Roman" w:hAnsi="Times New Roman"/>
                                  <w:color w:val="FDE287"/>
                                  <w:sz w:val="14"/>
                                </w:rPr>
                                <w:t>.</w:t>
                              </w:r>
                              <w:r>
                                <w:rPr>
                                  <w:rFonts w:ascii="Times New Roman" w:hAnsi="Times New Roman"/>
                                  <w:color w:val="FDE287"/>
                                  <w:spacing w:val="38"/>
                                  <w:sz w:val="14"/>
                                </w:rPr>
                                <w:t>  </w:t>
                              </w:r>
                              <w:r>
                                <w:rPr>
                                  <w:rFonts w:ascii="Times New Roman" w:hAnsi="Times New Roman"/>
                                  <w:i/>
                                  <w:color w:val="5D5B6B"/>
                                  <w:sz w:val="18"/>
                                </w:rPr>
                                <w:t>'I'</w:t>
                              </w:r>
                              <w:r>
                                <w:rPr>
                                  <w:rFonts w:ascii="Times New Roman" w:hAnsi="Times New Roman"/>
                                  <w:i/>
                                  <w:color w:val="5D5B6B"/>
                                  <w:spacing w:val="33"/>
                                  <w:sz w:val="18"/>
                                </w:rPr>
                                <w:t> </w:t>
                              </w:r>
                              <w:r>
                                <w:rPr>
                                  <w:color w:val="FBC854"/>
                                  <w:spacing w:val="-2"/>
                                  <w:sz w:val="14"/>
                                </w:rPr>
                                <w:t>l</w:t>
                              </w:r>
                              <w:r>
                                <w:rPr>
                                  <w:color w:val="2D5067"/>
                                  <w:spacing w:val="-2"/>
                                  <w:sz w:val="14"/>
                                </w:rPr>
                                <w:t>la</w:t>
                              </w:r>
                              <w:r>
                                <w:rPr>
                                  <w:color w:val="6ED8F4"/>
                                  <w:spacing w:val="-2"/>
                                  <w:sz w:val="14"/>
                                </w:rPr>
                                <w:t>1</w:t>
                              </w:r>
                              <w:r>
                                <w:rPr>
                                  <w:color w:val="5D5B6B"/>
                                  <w:spacing w:val="-2"/>
                                  <w:sz w:val="15"/>
                                </w:rPr>
                                <w:t>CCSS</w:t>
                              </w:r>
                              <w:r>
                                <w:rPr>
                                  <w:color w:val="6ED8F4"/>
                                  <w:spacing w:val="-2"/>
                                  <w:sz w:val="15"/>
                                </w:rPr>
                                <w:t>:</w:t>
                              </w:r>
                            </w:p>
                          </w:txbxContent>
                        </wps:txbx>
                        <wps:bodyPr wrap="square" lIns="0" tIns="0" rIns="0" bIns="0" rtlCol="0">
                          <a:noAutofit/>
                        </wps:bodyPr>
                      </wps:wsp>
                      <wps:wsp>
                        <wps:cNvPr id="133" name="Textbox 133"/>
                        <wps:cNvSpPr txBox="1"/>
                        <wps:spPr>
                          <a:xfrm>
                            <a:off x="564916" y="123368"/>
                            <a:ext cx="1151890" cy="99060"/>
                          </a:xfrm>
                          <a:prstGeom prst="rect">
                            <a:avLst/>
                          </a:prstGeom>
                        </wps:spPr>
                        <wps:txbx>
                          <w:txbxContent>
                            <w:p>
                              <w:pPr>
                                <w:tabs>
                                  <w:tab w:pos="1267" w:val="left" w:leader="none"/>
                                </w:tabs>
                                <w:spacing w:line="155" w:lineRule="exact" w:before="0"/>
                                <w:ind w:left="0" w:right="0" w:firstLine="0"/>
                                <w:jc w:val="left"/>
                                <w:rPr>
                                  <w:rFonts w:ascii="Times New Roman" w:hAnsi="Times New Roman"/>
                                  <w:sz w:val="14"/>
                                </w:rPr>
                              </w:pPr>
                              <w:r>
                                <w:rPr>
                                  <w:rFonts w:ascii="Times New Roman" w:hAnsi="Times New Roman"/>
                                  <w:color w:val="484F60"/>
                                  <w:sz w:val="12"/>
                                </w:rPr>
                                <w:t>f"D)'!2C;'Í</w:t>
                              </w:r>
                              <w:r>
                                <w:rPr>
                                  <w:rFonts w:ascii="Times New Roman" w:hAnsi="Times New Roman"/>
                                  <w:color w:val="484F60"/>
                                  <w:spacing w:val="-12"/>
                                  <w:sz w:val="12"/>
                                </w:rPr>
                                <w:t> </w:t>
                              </w:r>
                              <w:r>
                                <w:rPr>
                                  <w:rFonts w:ascii="Times New Roman" w:hAnsi="Times New Roman"/>
                                  <w:color w:val="484F60"/>
                                  <w:sz w:val="12"/>
                                </w:rPr>
                                <w:t>l!G.</w:t>
                              </w:r>
                              <w:r>
                                <w:rPr>
                                  <w:rFonts w:ascii="Times New Roman" w:hAnsi="Times New Roman"/>
                                  <w:color w:val="484F60"/>
                                  <w:spacing w:val="42"/>
                                  <w:sz w:val="12"/>
                                </w:rPr>
                                <w:t>  </w:t>
                              </w:r>
                              <w:r>
                                <w:rPr>
                                  <w:rFonts w:ascii="Times New Roman" w:hAnsi="Times New Roman"/>
                                  <w:color w:val="5B3F59"/>
                                  <w:spacing w:val="-5"/>
                                  <w:sz w:val="14"/>
                                </w:rPr>
                                <w:t>d</w:t>
                              </w:r>
                              <w:r>
                                <w:rPr>
                                  <w:rFonts w:ascii="Times New Roman" w:hAnsi="Times New Roman"/>
                                  <w:color w:val="2A243F"/>
                                  <w:spacing w:val="-5"/>
                                  <w:sz w:val="14"/>
                                </w:rPr>
                                <w:t>e</w:t>
                              </w:r>
                              <w:r>
                                <w:rPr>
                                  <w:rFonts w:ascii="Times New Roman" w:hAnsi="Times New Roman"/>
                                  <w:color w:val="2A243F"/>
                                  <w:sz w:val="14"/>
                                </w:rPr>
                                <w:tab/>
                              </w:r>
                              <w:r>
                                <w:rPr>
                                  <w:rFonts w:ascii="Times New Roman" w:hAnsi="Times New Roman"/>
                                  <w:color w:val="801683"/>
                                  <w:sz w:val="14"/>
                                </w:rPr>
                                <w:t>1</w:t>
                              </w:r>
                              <w:r>
                                <w:rPr>
                                  <w:rFonts w:ascii="Times New Roman" w:hAnsi="Times New Roman"/>
                                  <w:color w:val="801683"/>
                                  <w:spacing w:val="33"/>
                                  <w:sz w:val="14"/>
                                </w:rPr>
                                <w:t> </w:t>
                              </w:r>
                              <w:r>
                                <w:rPr>
                                  <w:rFonts w:ascii="Times New Roman" w:hAnsi="Times New Roman"/>
                                  <w:color w:val="751A64"/>
                                  <w:spacing w:val="-2"/>
                                  <w:sz w:val="12"/>
                                </w:rPr>
                                <w:t>"</w:t>
                              </w:r>
                              <w:r>
                                <w:rPr>
                                  <w:rFonts w:ascii="Times New Roman" w:hAnsi="Times New Roman"/>
                                  <w:color w:val="5B3F59"/>
                                  <w:spacing w:val="-2"/>
                                  <w:sz w:val="12"/>
                                </w:rPr>
                                <w:t>i'!:!</w:t>
                              </w:r>
                              <w:r>
                                <w:rPr>
                                  <w:rFonts w:ascii="Times New Roman" w:hAnsi="Times New Roman"/>
                                  <w:color w:val="54265D"/>
                                  <w:spacing w:val="-2"/>
                                  <w:sz w:val="14"/>
                                </w:rPr>
                                <w:t>rEI</w:t>
                              </w:r>
                            </w:p>
                          </w:txbxContent>
                        </wps:txbx>
                        <wps:bodyPr wrap="square" lIns="0" tIns="0" rIns="0" bIns="0" rtlCol="0">
                          <a:noAutofit/>
                        </wps:bodyPr>
                      </wps:wsp>
                      <wps:wsp>
                        <wps:cNvPr id="134" name="Textbox 134"/>
                        <wps:cNvSpPr txBox="1"/>
                        <wps:spPr>
                          <a:xfrm>
                            <a:off x="811377" y="188976"/>
                            <a:ext cx="895985" cy="683895"/>
                          </a:xfrm>
                          <a:prstGeom prst="rect">
                            <a:avLst/>
                          </a:prstGeom>
                        </wps:spPr>
                        <wps:txbx>
                          <w:txbxContent>
                            <w:p>
                              <w:pPr>
                                <w:spacing w:line="246" w:lineRule="exact" w:before="0"/>
                                <w:ind w:left="0" w:right="0" w:firstLine="0"/>
                                <w:jc w:val="left"/>
                                <w:rPr>
                                  <w:sz w:val="14"/>
                                  <w:szCs w:val="14"/>
                                </w:rPr>
                              </w:pPr>
                              <w:r>
                                <w:rPr>
                                  <w:color w:val="5B3F59"/>
                                  <w:w w:val="105"/>
                                  <w:sz w:val="14"/>
                                  <w:szCs w:val="14"/>
                                </w:rPr>
                                <w:t>NQ</w:t>
                              </w:r>
                              <w:r>
                                <w:rPr>
                                  <w:color w:val="5B3F59"/>
                                  <w:spacing w:val="57"/>
                                  <w:w w:val="105"/>
                                  <w:sz w:val="14"/>
                                  <w:szCs w:val="14"/>
                                </w:rPr>
                                <w:t> </w:t>
                              </w:r>
                              <w:r>
                                <w:rPr>
                                  <w:color w:val="161A3F"/>
                                  <w:w w:val="105"/>
                                  <w:sz w:val="11"/>
                                  <w:szCs w:val="11"/>
                                </w:rPr>
                                <w:t>::i</w:t>
                              </w:r>
                              <w:r>
                                <w:rPr>
                                  <w:color w:val="161A3F"/>
                                  <w:spacing w:val="22"/>
                                  <w:w w:val="105"/>
                                  <w:sz w:val="11"/>
                                  <w:szCs w:val="11"/>
                                </w:rPr>
                                <w:t> </w:t>
                              </w:r>
                              <w:r>
                                <w:rPr>
                                  <w:color w:val="484F60"/>
                                  <w:w w:val="105"/>
                                  <w:sz w:val="14"/>
                                  <w:szCs w:val="14"/>
                                </w:rPr>
                                <w:t>�ll2'il'</w:t>
                              </w:r>
                              <w:r>
                                <w:rPr>
                                  <w:color w:val="33342A"/>
                                  <w:w w:val="105"/>
                                  <w:sz w:val="14"/>
                                  <w:szCs w:val="14"/>
                                </w:rPr>
                                <w:t>-</w:t>
                              </w:r>
                              <w:r>
                                <w:rPr>
                                  <w:color w:val="5B3F59"/>
                                  <w:spacing w:val="-2"/>
                                  <w:w w:val="105"/>
                                  <w:sz w:val="14"/>
                                  <w:szCs w:val="14"/>
                                </w:rPr>
                                <w:t>:2</w:t>
                              </w:r>
                              <w:r>
                                <w:rPr>
                                  <w:color w:val="3B3862"/>
                                  <w:spacing w:val="-2"/>
                                  <w:w w:val="105"/>
                                  <w:sz w:val="22"/>
                                  <w:szCs w:val="22"/>
                                </w:rPr>
                                <w:t>□</w:t>
                              </w:r>
                              <w:r>
                                <w:rPr>
                                  <w:color w:val="3B3862"/>
                                  <w:spacing w:val="-2"/>
                                  <w:w w:val="105"/>
                                  <w:sz w:val="14"/>
                                  <w:szCs w:val="14"/>
                                </w:rPr>
                                <w:t>3iil</w:t>
                              </w:r>
                              <w:r>
                                <w:rPr>
                                  <w:color w:val="9077A3"/>
                                  <w:spacing w:val="-2"/>
                                  <w:w w:val="105"/>
                                  <w:sz w:val="14"/>
                                  <w:szCs w:val="14"/>
                                </w:rPr>
                                <w:t>.</w:t>
                              </w:r>
                            </w:p>
                            <w:p>
                              <w:pPr>
                                <w:spacing w:before="154"/>
                                <w:ind w:left="307" w:right="0" w:firstLine="0"/>
                                <w:jc w:val="left"/>
                                <w:rPr>
                                  <w:sz w:val="16"/>
                                </w:rPr>
                              </w:pPr>
                              <w:r>
                                <w:rPr>
                                  <w:color w:val="3B3862"/>
                                  <w:spacing w:val="-10"/>
                                  <w:w w:val="105"/>
                                  <w:sz w:val="16"/>
                                </w:rPr>
                                <w:t>a</w:t>
                              </w:r>
                            </w:p>
                            <w:p>
                              <w:pPr>
                                <w:spacing w:line="240" w:lineRule="auto" w:before="0"/>
                                <w:rPr>
                                  <w:sz w:val="16"/>
                                </w:rPr>
                              </w:pPr>
                            </w:p>
                            <w:p>
                              <w:pPr>
                                <w:spacing w:line="240" w:lineRule="auto" w:before="9"/>
                                <w:rPr>
                                  <w:sz w:val="16"/>
                                </w:rPr>
                              </w:pPr>
                            </w:p>
                            <w:p>
                              <w:pPr>
                                <w:spacing w:before="0"/>
                                <w:ind w:left="874" w:right="0" w:firstLine="0"/>
                                <w:jc w:val="left"/>
                                <w:rPr>
                                  <w:rFonts w:ascii="Times New Roman"/>
                                  <w:sz w:val="10"/>
                                </w:rPr>
                              </w:pPr>
                              <w:r>
                                <w:rPr>
                                  <w:rFonts w:ascii="Times New Roman"/>
                                  <w:color w:val="6ED8F4"/>
                                  <w:w w:val="65"/>
                                  <w:sz w:val="10"/>
                                </w:rPr>
                                <w:t>1</w:t>
                              </w:r>
                              <w:r>
                                <w:rPr>
                                  <w:rFonts w:ascii="Times New Roman"/>
                                  <w:color w:val="6ED8F4"/>
                                  <w:spacing w:val="42"/>
                                  <w:sz w:val="10"/>
                                </w:rPr>
                                <w:t>  </w:t>
                              </w:r>
                              <w:r>
                                <w:rPr>
                                  <w:rFonts w:ascii="Times New Roman"/>
                                  <w:color w:val="E6C664"/>
                                  <w:spacing w:val="-10"/>
                                  <w:w w:val="65"/>
                                  <w:sz w:val="10"/>
                                </w:rPr>
                                <w:t>.</w:t>
                              </w:r>
                            </w:p>
                          </w:txbxContent>
                        </wps:txbx>
                        <wps:bodyPr wrap="square" lIns="0" tIns="0" rIns="0" bIns="0" rtlCol="0">
                          <a:noAutofit/>
                        </wps:bodyPr>
                      </wps:wsp>
                      <wps:wsp>
                        <wps:cNvPr id="135" name="Textbox 135"/>
                        <wps:cNvSpPr txBox="1"/>
                        <wps:spPr>
                          <a:xfrm>
                            <a:off x="962960" y="1622926"/>
                            <a:ext cx="549275" cy="149225"/>
                          </a:xfrm>
                          <a:prstGeom prst="rect">
                            <a:avLst/>
                          </a:prstGeom>
                        </wps:spPr>
                        <wps:txbx>
                          <w:txbxContent>
                            <w:p>
                              <w:pPr>
                                <w:spacing w:line="235" w:lineRule="exact" w:before="0"/>
                                <w:ind w:left="0" w:right="0" w:firstLine="0"/>
                                <w:jc w:val="left"/>
                                <w:rPr>
                                  <w:sz w:val="21"/>
                                </w:rPr>
                              </w:pPr>
                              <w:r>
                                <w:rPr>
                                  <w:color w:val="CCCF8A"/>
                                  <w:w w:val="75"/>
                                  <w:sz w:val="14"/>
                                </w:rPr>
                                <w:t>_</w:t>
                              </w:r>
                              <w:r>
                                <w:rPr>
                                  <w:color w:val="CCCF8A"/>
                                  <w:spacing w:val="44"/>
                                  <w:sz w:val="14"/>
                                </w:rPr>
                                <w:t> </w:t>
                              </w:r>
                              <w:r>
                                <w:rPr>
                                  <w:color w:val="484F60"/>
                                  <w:sz w:val="14"/>
                                </w:rPr>
                                <w:t>5</w:t>
                              </w:r>
                              <w:r>
                                <w:rPr>
                                  <w:color w:val="6E8C83"/>
                                  <w:sz w:val="14"/>
                                </w:rPr>
                                <w:t>1</w:t>
                              </w:r>
                              <w:r>
                                <w:rPr>
                                  <w:color w:val="5B3F59"/>
                                  <w:sz w:val="14"/>
                                </w:rPr>
                                <w:t>!38.</w:t>
                              </w:r>
                              <w:r>
                                <w:rPr>
                                  <w:color w:val="5B3F59"/>
                                  <w:spacing w:val="47"/>
                                  <w:sz w:val="14"/>
                                </w:rPr>
                                <w:t>  </w:t>
                              </w:r>
                              <w:r>
                                <w:rPr>
                                  <w:color w:val="3B3862"/>
                                  <w:spacing w:val="-10"/>
                                  <w:sz w:val="21"/>
                                </w:rPr>
                                <w:t>□</w:t>
                              </w:r>
                            </w:p>
                          </w:txbxContent>
                        </wps:txbx>
                        <wps:bodyPr wrap="square" lIns="0" tIns="0" rIns="0" bIns="0" rtlCol="0">
                          <a:noAutofit/>
                        </wps:bodyPr>
                      </wps:wsp>
                      <wps:wsp>
                        <wps:cNvPr id="136" name="Textbox 136"/>
                        <wps:cNvSpPr txBox="1"/>
                        <wps:spPr>
                          <a:xfrm>
                            <a:off x="1204296" y="948215"/>
                            <a:ext cx="304800" cy="704850"/>
                          </a:xfrm>
                          <a:prstGeom prst="rect">
                            <a:avLst/>
                          </a:prstGeom>
                        </wps:spPr>
                        <wps:txbx>
                          <w:txbxContent>
                            <w:p>
                              <w:pPr>
                                <w:spacing w:line="247" w:lineRule="exact" w:before="0"/>
                                <w:ind w:left="224" w:right="0" w:firstLine="0"/>
                                <w:jc w:val="left"/>
                                <w:rPr>
                                  <w:rFonts w:ascii="Times New Roman"/>
                                  <w:sz w:val="23"/>
                                </w:rPr>
                              </w:pPr>
                              <w:r>
                                <w:rPr>
                                  <w:rFonts w:ascii="Times New Roman"/>
                                  <w:color w:val="5D5B6B"/>
                                  <w:spacing w:val="-5"/>
                                  <w:w w:val="120"/>
                                  <w:sz w:val="23"/>
                                </w:rPr>
                                <w:t>e</w:t>
                              </w:r>
                              <w:r>
                                <w:rPr>
                                  <w:rFonts w:ascii="Times New Roman"/>
                                  <w:color w:val="AF6B56"/>
                                  <w:spacing w:val="-5"/>
                                  <w:w w:val="120"/>
                                  <w:sz w:val="23"/>
                                </w:rPr>
                                <w:t>:</w:t>
                              </w:r>
                            </w:p>
                            <w:p>
                              <w:pPr>
                                <w:spacing w:line="176" w:lineRule="exact" w:before="0"/>
                                <w:ind w:left="251" w:right="0" w:firstLine="0"/>
                                <w:jc w:val="left"/>
                                <w:rPr>
                                  <w:rFonts w:ascii="Times New Roman"/>
                                  <w:sz w:val="16"/>
                                </w:rPr>
                              </w:pPr>
                              <w:r>
                                <w:rPr>
                                  <w:rFonts w:ascii="Times New Roman"/>
                                  <w:color w:val="3B3862"/>
                                  <w:spacing w:val="-2"/>
                                  <w:w w:val="85"/>
                                  <w:sz w:val="16"/>
                                </w:rPr>
                                <w:t>f&gt;i</w:t>
                              </w:r>
                              <w:r>
                                <w:rPr>
                                  <w:rFonts w:ascii="Times New Roman"/>
                                  <w:color w:val="796D56"/>
                                  <w:spacing w:val="-2"/>
                                  <w:w w:val="85"/>
                                  <w:sz w:val="16"/>
                                </w:rPr>
                                <w:t>'.</w:t>
                              </w:r>
                            </w:p>
                            <w:p>
                              <w:pPr>
                                <w:spacing w:line="151" w:lineRule="exact" w:before="12"/>
                                <w:ind w:left="0" w:right="0" w:firstLine="0"/>
                                <w:jc w:val="left"/>
                                <w:rPr>
                                  <w:rFonts w:ascii="Times New Roman" w:hAnsi="Times New Roman"/>
                                  <w:sz w:val="14"/>
                                </w:rPr>
                              </w:pPr>
                              <w:r>
                                <w:rPr>
                                  <w:color w:val="484F60"/>
                                  <w:spacing w:val="-5"/>
                                  <w:sz w:val="14"/>
                                </w:rPr>
                                <w:t>!Je</w:t>
                              </w:r>
                              <w:r>
                                <w:rPr>
                                  <w:color w:val="6ED8F4"/>
                                  <w:spacing w:val="-5"/>
                                  <w:sz w:val="14"/>
                                </w:rPr>
                                <w:t>•</w:t>
                              </w:r>
                              <w:r>
                                <w:rPr>
                                  <w:rFonts w:ascii="Times New Roman" w:hAnsi="Times New Roman"/>
                                  <w:color w:val="FBC854"/>
                                  <w:spacing w:val="-5"/>
                                  <w:sz w:val="14"/>
                                </w:rPr>
                                <w:t>1</w:t>
                              </w:r>
                              <w:r>
                                <w:rPr>
                                  <w:rFonts w:ascii="Times New Roman" w:hAnsi="Times New Roman"/>
                                  <w:color w:val="2685AC"/>
                                  <w:spacing w:val="-5"/>
                                  <w:sz w:val="14"/>
                                </w:rPr>
                                <w:t>1</w:t>
                              </w:r>
                              <w:r>
                                <w:rPr>
                                  <w:rFonts w:ascii="Times New Roman" w:hAnsi="Times New Roman"/>
                                  <w:color w:val="2685AC"/>
                                  <w:spacing w:val="12"/>
                                  <w:sz w:val="14"/>
                                </w:rPr>
                                <w:t> </w:t>
                              </w:r>
                              <w:r>
                                <w:rPr>
                                  <w:rFonts w:ascii="Times New Roman" w:hAnsi="Times New Roman"/>
                                  <w:color w:val="751A64"/>
                                  <w:spacing w:val="-10"/>
                                  <w:sz w:val="14"/>
                                </w:rPr>
                                <w:t>•</w:t>
                              </w:r>
                            </w:p>
                            <w:p>
                              <w:pPr>
                                <w:spacing w:line="150" w:lineRule="exact" w:before="0"/>
                                <w:ind w:left="182" w:right="0" w:firstLine="0"/>
                                <w:jc w:val="left"/>
                                <w:rPr>
                                  <w:rFonts w:ascii="Times New Roman"/>
                                  <w:sz w:val="14"/>
                                </w:rPr>
                              </w:pPr>
                              <w:r>
                                <w:rPr>
                                  <w:rFonts w:ascii="Times New Roman"/>
                                  <w:color w:val="E9B341"/>
                                  <w:spacing w:val="-5"/>
                                  <w:sz w:val="14"/>
                                </w:rPr>
                                <w:t>,</w:t>
                              </w:r>
                              <w:r>
                                <w:rPr>
                                  <w:rFonts w:ascii="Times New Roman"/>
                                  <w:color w:val="56706B"/>
                                  <w:spacing w:val="-5"/>
                                  <w:sz w:val="14"/>
                                </w:rPr>
                                <w:t>e1</w:t>
                              </w:r>
                            </w:p>
                            <w:p>
                              <w:pPr>
                                <w:spacing w:line="195" w:lineRule="exact" w:before="7"/>
                                <w:ind w:left="54" w:right="0" w:firstLine="0"/>
                                <w:jc w:val="left"/>
                                <w:rPr>
                                  <w:sz w:val="18"/>
                                </w:rPr>
                              </w:pPr>
                              <w:r>
                                <w:rPr>
                                  <w:color w:val="484F60"/>
                                  <w:spacing w:val="-2"/>
                                  <w:w w:val="105"/>
                                  <w:sz w:val="14"/>
                                </w:rPr>
                                <w:t>clitl</w:t>
                              </w:r>
                              <w:r>
                                <w:rPr>
                                  <w:color w:val="4D4D7E"/>
                                  <w:spacing w:val="-2"/>
                                  <w:w w:val="105"/>
                                  <w:sz w:val="18"/>
                                </w:rPr>
                                <w:t>□</w:t>
                              </w:r>
                            </w:p>
                            <w:p>
                              <w:pPr>
                                <w:spacing w:line="172" w:lineRule="exact" w:before="0"/>
                                <w:ind w:left="0" w:right="18" w:firstLine="0"/>
                                <w:jc w:val="right"/>
                                <w:rPr>
                                  <w:rFonts w:ascii="Times New Roman"/>
                                  <w:sz w:val="16"/>
                                </w:rPr>
                              </w:pPr>
                              <w:r>
                                <w:rPr>
                                  <w:rFonts w:ascii="Times New Roman"/>
                                  <w:color w:val="3B3862"/>
                                  <w:spacing w:val="-5"/>
                                  <w:w w:val="65"/>
                                  <w:sz w:val="16"/>
                                </w:rPr>
                                <w:t>1:1</w:t>
                              </w:r>
                            </w:p>
                          </w:txbxContent>
                        </wps:txbx>
                        <wps:bodyPr wrap="square" lIns="0" tIns="0" rIns="0" bIns="0" rtlCol="0">
                          <a:noAutofit/>
                        </wps:bodyPr>
                      </wps:wsp>
                      <wps:wsp>
                        <wps:cNvPr id="137" name="Textbox 137"/>
                        <wps:cNvSpPr txBox="1"/>
                        <wps:spPr>
                          <a:xfrm>
                            <a:off x="580320" y="895446"/>
                            <a:ext cx="888365" cy="1096645"/>
                          </a:xfrm>
                          <a:prstGeom prst="rect">
                            <a:avLst/>
                          </a:prstGeom>
                        </wps:spPr>
                        <wps:txbx>
                          <w:txbxContent>
                            <w:p>
                              <w:pPr>
                                <w:spacing w:line="155" w:lineRule="exact" w:before="0"/>
                                <w:ind w:left="0" w:right="18" w:firstLine="0"/>
                                <w:jc w:val="right"/>
                                <w:rPr>
                                  <w:rFonts w:ascii="Times New Roman"/>
                                  <w:sz w:val="14"/>
                                </w:rPr>
                              </w:pPr>
                              <w:r>
                                <w:rPr>
                                  <w:rFonts w:ascii="Times New Roman"/>
                                  <w:color w:val="5B3F59"/>
                                  <w:spacing w:val="-5"/>
                                  <w:w w:val="130"/>
                                  <w:sz w:val="14"/>
                                </w:rPr>
                                <w:t>d</w:t>
                              </w:r>
                              <w:r>
                                <w:rPr>
                                  <w:rFonts w:ascii="Times New Roman"/>
                                  <w:color w:val="801683"/>
                                  <w:spacing w:val="-5"/>
                                  <w:w w:val="130"/>
                                  <w:sz w:val="14"/>
                                </w:rPr>
                                <w:t>i</w:t>
                              </w:r>
                            </w:p>
                            <w:p>
                              <w:pPr>
                                <w:spacing w:line="240" w:lineRule="auto" w:before="0"/>
                                <w:rPr>
                                  <w:rFonts w:ascii="Times New Roman"/>
                                  <w:sz w:val="14"/>
                                </w:rPr>
                              </w:pPr>
                            </w:p>
                            <w:p>
                              <w:pPr>
                                <w:spacing w:line="240" w:lineRule="auto" w:before="0"/>
                                <w:rPr>
                                  <w:rFonts w:ascii="Times New Roman"/>
                                  <w:sz w:val="14"/>
                                </w:rPr>
                              </w:pPr>
                            </w:p>
                            <w:p>
                              <w:pPr>
                                <w:spacing w:line="240" w:lineRule="auto" w:before="0"/>
                                <w:rPr>
                                  <w:rFonts w:ascii="Times New Roman"/>
                                  <w:sz w:val="14"/>
                                </w:rPr>
                              </w:pPr>
                            </w:p>
                            <w:p>
                              <w:pPr>
                                <w:spacing w:line="240" w:lineRule="auto" w:before="0"/>
                                <w:rPr>
                                  <w:rFonts w:ascii="Times New Roman"/>
                                  <w:sz w:val="14"/>
                                </w:rPr>
                              </w:pPr>
                            </w:p>
                            <w:p>
                              <w:pPr>
                                <w:spacing w:line="240" w:lineRule="auto" w:before="0"/>
                                <w:rPr>
                                  <w:rFonts w:ascii="Times New Roman"/>
                                  <w:sz w:val="14"/>
                                </w:rPr>
                              </w:pPr>
                            </w:p>
                            <w:p>
                              <w:pPr>
                                <w:spacing w:line="240" w:lineRule="auto" w:before="0"/>
                                <w:rPr>
                                  <w:rFonts w:ascii="Times New Roman"/>
                                  <w:sz w:val="14"/>
                                </w:rPr>
                              </w:pPr>
                            </w:p>
                            <w:p>
                              <w:pPr>
                                <w:spacing w:line="240" w:lineRule="auto" w:before="0"/>
                                <w:rPr>
                                  <w:rFonts w:ascii="Times New Roman"/>
                                  <w:sz w:val="14"/>
                                </w:rPr>
                              </w:pPr>
                            </w:p>
                            <w:p>
                              <w:pPr>
                                <w:spacing w:line="240" w:lineRule="auto" w:before="122"/>
                                <w:rPr>
                                  <w:rFonts w:ascii="Times New Roman"/>
                                  <w:sz w:val="14"/>
                                </w:rPr>
                              </w:pPr>
                            </w:p>
                            <w:p>
                              <w:pPr>
                                <w:spacing w:before="0"/>
                                <w:ind w:left="0" w:right="0" w:firstLine="0"/>
                                <w:jc w:val="left"/>
                                <w:rPr>
                                  <w:rFonts w:ascii="Times New Roman"/>
                                  <w:sz w:val="14"/>
                                </w:rPr>
                              </w:pPr>
                              <w:r>
                                <w:rPr>
                                  <w:rFonts w:ascii="Times New Roman"/>
                                  <w:color w:val="3B3862"/>
                                  <w:spacing w:val="-5"/>
                                  <w:w w:val="105"/>
                                  <w:sz w:val="14"/>
                                </w:rPr>
                                <w:t>ll</w:t>
                              </w:r>
                            </w:p>
                          </w:txbxContent>
                        </wps:txbx>
                        <wps:bodyPr wrap="square" lIns="0" tIns="0" rIns="0" bIns="0" rtlCol="0">
                          <a:noAutofit/>
                        </wps:bodyPr>
                      </wps:wsp>
                      <wps:wsp>
                        <wps:cNvPr id="138" name="Textbox 138"/>
                        <wps:cNvSpPr txBox="1"/>
                        <wps:spPr>
                          <a:xfrm>
                            <a:off x="962484" y="1708372"/>
                            <a:ext cx="549910" cy="289560"/>
                          </a:xfrm>
                          <a:prstGeom prst="rect">
                            <a:avLst/>
                          </a:prstGeom>
                        </wps:spPr>
                        <wps:txbx>
                          <w:txbxContent>
                            <w:p>
                              <w:pPr>
                                <w:numPr>
                                  <w:ilvl w:val="0"/>
                                  <w:numId w:val="40"/>
                                </w:numPr>
                                <w:tabs>
                                  <w:tab w:pos="401" w:val="left" w:leader="none"/>
                                </w:tabs>
                                <w:spacing w:line="235" w:lineRule="exact" w:before="0"/>
                                <w:ind w:left="401" w:right="0" w:hanging="401"/>
                                <w:jc w:val="left"/>
                                <w:rPr>
                                  <w:sz w:val="21"/>
                                </w:rPr>
                              </w:pPr>
                              <w:r>
                                <w:rPr>
                                  <w:rFonts w:ascii="Times New Roman" w:hAnsi="Times New Roman"/>
                                  <w:color w:val="5B3F59"/>
                                  <w:w w:val="120"/>
                                  <w:sz w:val="15"/>
                                </w:rPr>
                                <w:t>32</w:t>
                              </w:r>
                              <w:r>
                                <w:rPr>
                                  <w:rFonts w:ascii="Times New Roman" w:hAnsi="Times New Roman"/>
                                  <w:color w:val="66238A"/>
                                  <w:w w:val="120"/>
                                  <w:sz w:val="15"/>
                                </w:rPr>
                                <w:t>,</w:t>
                              </w:r>
                              <w:r>
                                <w:rPr>
                                  <w:rFonts w:ascii="Times New Roman" w:hAnsi="Times New Roman"/>
                                  <w:color w:val="66238A"/>
                                  <w:spacing w:val="36"/>
                                  <w:w w:val="120"/>
                                  <w:sz w:val="15"/>
                                </w:rPr>
                                <w:t> </w:t>
                              </w:r>
                              <w:r>
                                <w:rPr>
                                  <w:color w:val="3B3862"/>
                                  <w:spacing w:val="-10"/>
                                  <w:w w:val="120"/>
                                  <w:sz w:val="21"/>
                                </w:rPr>
                                <w:t>□</w:t>
                              </w:r>
                            </w:p>
                            <w:p>
                              <w:pPr>
                                <w:spacing w:before="13"/>
                                <w:ind w:left="0" w:right="149" w:firstLine="0"/>
                                <w:jc w:val="right"/>
                                <w:rPr>
                                  <w:rFonts w:ascii="Times New Roman"/>
                                  <w:i/>
                                  <w:sz w:val="18"/>
                                </w:rPr>
                              </w:pPr>
                              <w:r>
                                <w:rPr>
                                  <w:rFonts w:ascii="Times New Roman"/>
                                  <w:i/>
                                  <w:color w:val="5D5B6B"/>
                                  <w:spacing w:val="-5"/>
                                  <w:w w:val="85"/>
                                  <w:sz w:val="18"/>
                                </w:rPr>
                                <w:t>'I'</w:t>
                              </w:r>
                            </w:p>
                          </w:txbxContent>
                        </wps:txbx>
                        <wps:bodyPr wrap="square" lIns="0" tIns="0" rIns="0" bIns="0" rtlCol="0">
                          <a:noAutofit/>
                        </wps:bodyPr>
                      </wps:wsp>
                      <wps:wsp>
                        <wps:cNvPr id="139" name="Textbox 139"/>
                        <wps:cNvSpPr txBox="1"/>
                        <wps:spPr>
                          <a:xfrm>
                            <a:off x="253475" y="2108760"/>
                            <a:ext cx="421005" cy="409575"/>
                          </a:xfrm>
                          <a:prstGeom prst="rect">
                            <a:avLst/>
                          </a:prstGeom>
                        </wps:spPr>
                        <wps:txbx>
                          <w:txbxContent>
                            <w:p>
                              <w:pPr>
                                <w:spacing w:line="151" w:lineRule="exact" w:before="0"/>
                                <w:ind w:left="241" w:right="0" w:firstLine="0"/>
                                <w:jc w:val="left"/>
                                <w:rPr>
                                  <w:sz w:val="14"/>
                                </w:rPr>
                              </w:pPr>
                              <w:r>
                                <w:rPr>
                                  <w:color w:val="3B3862"/>
                                  <w:spacing w:val="-4"/>
                                  <w:sz w:val="14"/>
                                </w:rPr>
                                <w:t>IDs:</w:t>
                              </w:r>
                              <w:r>
                                <w:rPr>
                                  <w:color w:val="835293"/>
                                  <w:spacing w:val="-4"/>
                                  <w:sz w:val="14"/>
                                </w:rPr>
                                <w:t>:</w:t>
                              </w:r>
                            </w:p>
                            <w:p>
                              <w:pPr>
                                <w:spacing w:line="155" w:lineRule="exact" w:before="0"/>
                                <w:ind w:left="0" w:right="70" w:firstLine="0"/>
                                <w:jc w:val="center"/>
                                <w:rPr>
                                  <w:sz w:val="14"/>
                                </w:rPr>
                              </w:pPr>
                              <w:r>
                                <w:rPr>
                                  <w:color w:val="5D5B6B"/>
                                  <w:w w:val="95"/>
                                  <w:sz w:val="14"/>
                                </w:rPr>
                                <w:t>'il'</w:t>
                              </w:r>
                              <w:r>
                                <w:rPr>
                                  <w:color w:val="5D5B6B"/>
                                  <w:spacing w:val="54"/>
                                  <w:sz w:val="14"/>
                                </w:rPr>
                                <w:t>  </w:t>
                              </w:r>
                              <w:r>
                                <w:rPr>
                                  <w:color w:val="5B3F59"/>
                                  <w:spacing w:val="-5"/>
                                  <w:w w:val="95"/>
                                  <w:sz w:val="14"/>
                                </w:rPr>
                                <w:t>iil</w:t>
                              </w:r>
                            </w:p>
                            <w:p>
                              <w:pPr>
                                <w:tabs>
                                  <w:tab w:pos="408" w:val="left" w:leader="none"/>
                                </w:tabs>
                                <w:spacing w:line="155" w:lineRule="exact" w:before="17"/>
                                <w:ind w:left="102" w:right="0" w:firstLine="0"/>
                                <w:jc w:val="left"/>
                                <w:rPr>
                                  <w:rFonts w:ascii="Times New Roman"/>
                                  <w:sz w:val="14"/>
                                </w:rPr>
                              </w:pPr>
                              <w:r>
                                <w:rPr>
                                  <w:rFonts w:ascii="Times New Roman"/>
                                  <w:color w:val="3B3862"/>
                                  <w:spacing w:val="-10"/>
                                  <w:w w:val="105"/>
                                  <w:sz w:val="14"/>
                                </w:rPr>
                                <w:t>8</w:t>
                              </w:r>
                              <w:r>
                                <w:rPr>
                                  <w:rFonts w:ascii="Times New Roman"/>
                                  <w:color w:val="3B3862"/>
                                  <w:sz w:val="14"/>
                                </w:rPr>
                                <w:tab/>
                              </w:r>
                              <w:r>
                                <w:rPr>
                                  <w:rFonts w:ascii="Times New Roman"/>
                                  <w:color w:val="5B3F59"/>
                                  <w:spacing w:val="-10"/>
                                  <w:w w:val="105"/>
                                  <w:sz w:val="14"/>
                                </w:rPr>
                                <w:t>O</w:t>
                              </w:r>
                            </w:p>
                            <w:p>
                              <w:pPr>
                                <w:tabs>
                                  <w:tab w:pos="403" w:val="left" w:leader="none"/>
                                </w:tabs>
                                <w:spacing w:line="166" w:lineRule="exact" w:before="0"/>
                                <w:ind w:left="0" w:right="18" w:firstLine="0"/>
                                <w:jc w:val="center"/>
                                <w:rPr>
                                  <w:sz w:val="15"/>
                                </w:rPr>
                              </w:pPr>
                              <w:r>
                                <w:rPr>
                                  <w:color w:val="E6C664"/>
                                  <w:w w:val="55"/>
                                  <w:sz w:val="15"/>
                                </w:rPr>
                                <w:t>-</w:t>
                              </w:r>
                              <w:r>
                                <w:rPr>
                                  <w:color w:val="E6C664"/>
                                  <w:spacing w:val="78"/>
                                  <w:w w:val="150"/>
                                  <w:sz w:val="15"/>
                                </w:rPr>
                                <w:t> </w:t>
                              </w:r>
                              <w:r>
                                <w:rPr>
                                  <w:color w:val="6ED8F4"/>
                                  <w:spacing w:val="-10"/>
                                  <w:w w:val="55"/>
                                  <w:sz w:val="15"/>
                                </w:rPr>
                                <w:t>.</w:t>
                              </w:r>
                              <w:r>
                                <w:rPr>
                                  <w:color w:val="6ED8F4"/>
                                  <w:sz w:val="15"/>
                                </w:rPr>
                                <w:tab/>
                              </w:r>
                              <w:r>
                                <w:rPr>
                                  <w:color w:val="5B3F59"/>
                                  <w:w w:val="55"/>
                                  <w:sz w:val="15"/>
                                </w:rPr>
                                <w:t>iil</w:t>
                              </w:r>
                              <w:r>
                                <w:rPr>
                                  <w:color w:val="5B3F59"/>
                                  <w:spacing w:val="119"/>
                                  <w:sz w:val="15"/>
                                </w:rPr>
                                <w:t> </w:t>
                              </w:r>
                              <w:r>
                                <w:rPr>
                                  <w:color w:val="FFF2A5"/>
                                  <w:spacing w:val="-14"/>
                                  <w:w w:val="55"/>
                                  <w:sz w:val="15"/>
                                </w:rPr>
                                <w:t>•</w:t>
                              </w:r>
                            </w:p>
                          </w:txbxContent>
                        </wps:txbx>
                        <wps:bodyPr wrap="square" lIns="0" tIns="0" rIns="0" bIns="0" rtlCol="0">
                          <a:noAutofit/>
                        </wps:bodyPr>
                      </wps:wsp>
                      <wps:wsp>
                        <wps:cNvPr id="140" name="Textbox 140"/>
                        <wps:cNvSpPr txBox="1"/>
                        <wps:spPr>
                          <a:xfrm>
                            <a:off x="1220252" y="2108760"/>
                            <a:ext cx="170815" cy="409575"/>
                          </a:xfrm>
                          <a:prstGeom prst="rect">
                            <a:avLst/>
                          </a:prstGeom>
                        </wps:spPr>
                        <wps:txbx>
                          <w:txbxContent>
                            <w:p>
                              <w:pPr>
                                <w:spacing w:line="151" w:lineRule="exact" w:before="0"/>
                                <w:ind w:left="13" w:right="0" w:firstLine="0"/>
                                <w:jc w:val="left"/>
                                <w:rPr>
                                  <w:sz w:val="14"/>
                                </w:rPr>
                              </w:pPr>
                              <w:r>
                                <w:rPr>
                                  <w:color w:val="600E8E"/>
                                  <w:spacing w:val="-10"/>
                                  <w:w w:val="75"/>
                                  <w:sz w:val="14"/>
                                </w:rPr>
                                <w:t>'</w:t>
                              </w:r>
                            </w:p>
                            <w:p>
                              <w:pPr>
                                <w:spacing w:line="228" w:lineRule="auto" w:before="0"/>
                                <w:ind w:left="0" w:right="18" w:firstLine="1"/>
                                <w:jc w:val="both"/>
                                <w:rPr>
                                  <w:sz w:val="15"/>
                                </w:rPr>
                              </w:pPr>
                              <w:r>
                                <w:rPr>
                                  <w:color w:val="5D5B6B"/>
                                  <w:spacing w:val="-2"/>
                                  <w:sz w:val="14"/>
                                </w:rPr>
                                <w:t>ií!ll</w:t>
                              </w:r>
                              <w:r>
                                <w:rPr>
                                  <w:color w:val="66238A"/>
                                  <w:spacing w:val="-2"/>
                                  <w:sz w:val="14"/>
                                </w:rPr>
                                <w:t>,</w:t>
                              </w:r>
                              <w:r>
                                <w:rPr>
                                  <w:color w:val="66238A"/>
                                  <w:spacing w:val="40"/>
                                  <w:sz w:val="14"/>
                                </w:rPr>
                                <w:t> </w:t>
                              </w:r>
                              <w:r>
                                <w:rPr>
                                  <w:rFonts w:ascii="Times New Roman" w:hAnsi="Times New Roman"/>
                                  <w:color w:val="484F60"/>
                                  <w:spacing w:val="-2"/>
                                  <w:w w:val="75"/>
                                  <w:sz w:val="16"/>
                                </w:rPr>
                                <w:t>E!-2</w:t>
                              </w:r>
                              <w:r>
                                <w:rPr>
                                  <w:rFonts w:ascii="Times New Roman" w:hAnsi="Times New Roman"/>
                                  <w:color w:val="66238A"/>
                                  <w:spacing w:val="-2"/>
                                  <w:w w:val="75"/>
                                  <w:sz w:val="16"/>
                                </w:rPr>
                                <w:t>,</w:t>
                              </w:r>
                              <w:r>
                                <w:rPr>
                                  <w:rFonts w:ascii="Times New Roman" w:hAnsi="Times New Roman"/>
                                  <w:color w:val="66238A"/>
                                  <w:spacing w:val="40"/>
                                  <w:sz w:val="16"/>
                                </w:rPr>
                                <w:t> </w:t>
                              </w:r>
                              <w:r>
                                <w:rPr>
                                  <w:color w:val="3F6067"/>
                                  <w:spacing w:val="-5"/>
                                  <w:sz w:val="15"/>
                                </w:rPr>
                                <w:t>B</w:t>
                              </w:r>
                              <w:r>
                                <w:rPr>
                                  <w:color w:val="5D5B6B"/>
                                  <w:spacing w:val="-5"/>
                                  <w:sz w:val="15"/>
                                </w:rPr>
                                <w:t>7</w:t>
                              </w:r>
                              <w:r>
                                <w:rPr>
                                  <w:color w:val="600E8E"/>
                                  <w:spacing w:val="-5"/>
                                  <w:sz w:val="15"/>
                                </w:rPr>
                                <w:t>,</w:t>
                              </w:r>
                            </w:p>
                          </w:txbxContent>
                        </wps:txbx>
                        <wps:bodyPr wrap="square" lIns="0" tIns="0" rIns="0" bIns="0" rtlCol="0">
                          <a:noAutofit/>
                        </wps:bodyPr>
                      </wps:wsp>
                      <wps:wsp>
                        <wps:cNvPr id="141" name="Textbox 141"/>
                        <wps:cNvSpPr txBox="1"/>
                        <wps:spPr>
                          <a:xfrm>
                            <a:off x="132739" y="2584557"/>
                            <a:ext cx="1539875" cy="1109345"/>
                          </a:xfrm>
                          <a:prstGeom prst="rect">
                            <a:avLst/>
                          </a:prstGeom>
                        </wps:spPr>
                        <wps:txbx>
                          <w:txbxContent>
                            <w:p>
                              <w:pPr>
                                <w:numPr>
                                  <w:ilvl w:val="0"/>
                                  <w:numId w:val="41"/>
                                </w:numPr>
                                <w:tabs>
                                  <w:tab w:pos="279" w:val="left" w:leader="none"/>
                                  <w:tab w:pos="698" w:val="left" w:leader="none"/>
                                </w:tabs>
                                <w:spacing w:line="234" w:lineRule="exact" w:before="0"/>
                                <w:ind w:left="279" w:right="0" w:hanging="101"/>
                                <w:jc w:val="left"/>
                                <w:rPr>
                                  <w:sz w:val="22"/>
                                </w:rPr>
                              </w:pPr>
                              <w:r>
                                <w:rPr>
                                  <w:color w:val="3B3862"/>
                                  <w:spacing w:val="-10"/>
                                  <w:sz w:val="22"/>
                                </w:rPr>
                                <w:t>□</w:t>
                              </w:r>
                              <w:r>
                                <w:rPr>
                                  <w:color w:val="3B3862"/>
                                  <w:sz w:val="22"/>
                                </w:rPr>
                                <w:tab/>
                              </w:r>
                              <w:r>
                                <w:rPr>
                                  <w:color w:val="B8DAAF"/>
                                  <w:sz w:val="22"/>
                                </w:rPr>
                                <w:t>.</w:t>
                              </w:r>
                              <w:r>
                                <w:rPr>
                                  <w:color w:val="B8DAAF"/>
                                  <w:spacing w:val="31"/>
                                  <w:sz w:val="22"/>
                                </w:rPr>
                                <w:t> </w:t>
                              </w:r>
                              <w:r>
                                <w:rPr>
                                  <w:color w:val="5B3F59"/>
                                  <w:sz w:val="14"/>
                                </w:rPr>
                                <w:t>4Jlll'il'</w:t>
                              </w:r>
                              <w:r>
                                <w:rPr>
                                  <w:color w:val="5B3F59"/>
                                  <w:spacing w:val="52"/>
                                  <w:sz w:val="14"/>
                                </w:rPr>
                                <w:t> </w:t>
                              </w:r>
                              <w:r>
                                <w:rPr>
                                  <w:rFonts w:ascii="Times New Roman" w:hAnsi="Times New Roman"/>
                                  <w:color w:val="5D5B6B"/>
                                  <w:sz w:val="18"/>
                                </w:rPr>
                                <w:t>y</w:t>
                              </w:r>
                              <w:r>
                                <w:rPr>
                                  <w:rFonts w:ascii="Times New Roman" w:hAnsi="Times New Roman"/>
                                  <w:color w:val="5D5B6B"/>
                                  <w:spacing w:val="48"/>
                                  <w:sz w:val="18"/>
                                </w:rPr>
                                <w:t> </w:t>
                              </w:r>
                              <w:r>
                                <w:rPr>
                                  <w:color w:val="3B3862"/>
                                  <w:sz w:val="22"/>
                                </w:rPr>
                                <w:t>□</w:t>
                              </w:r>
                              <w:r>
                                <w:rPr>
                                  <w:color w:val="3B3862"/>
                                  <w:spacing w:val="-13"/>
                                  <w:sz w:val="22"/>
                                </w:rPr>
                                <w:t> </w:t>
                              </w:r>
                              <w:r>
                                <w:rPr>
                                  <w:color w:val="95EFFD"/>
                                  <w:spacing w:val="-12"/>
                                  <w:sz w:val="22"/>
                                </w:rPr>
                                <w:t>.</w:t>
                              </w:r>
                            </w:p>
                            <w:p>
                              <w:pPr>
                                <w:tabs>
                                  <w:tab w:pos="2218" w:val="left" w:leader="dot"/>
                                </w:tabs>
                                <w:spacing w:line="172" w:lineRule="exact" w:before="0"/>
                                <w:ind w:left="185" w:right="0" w:firstLine="0"/>
                                <w:jc w:val="left"/>
                                <w:rPr>
                                  <w:sz w:val="15"/>
                                </w:rPr>
                              </w:pPr>
                              <w:r>
                                <w:rPr>
                                  <w:color w:val="2A243F"/>
                                  <w:sz w:val="15"/>
                                </w:rPr>
                                <w:t>s</w:t>
                              </w:r>
                              <w:r>
                                <w:rPr>
                                  <w:color w:val="801683"/>
                                  <w:sz w:val="15"/>
                                </w:rPr>
                                <w:t>l'</w:t>
                              </w:r>
                              <w:r>
                                <w:rPr>
                                  <w:color w:val="463144"/>
                                  <w:sz w:val="15"/>
                                </w:rPr>
                                <w:t>ste</w:t>
                              </w:r>
                              <w:r>
                                <w:rPr>
                                  <w:color w:val="4D4D7E"/>
                                  <w:sz w:val="15"/>
                                </w:rPr>
                                <w:t>a</w:t>
                              </w:r>
                              <w:r>
                                <w:rPr>
                                  <w:color w:val="3B3862"/>
                                  <w:sz w:val="15"/>
                                </w:rPr>
                                <w:t>l:e</w:t>
                              </w:r>
                              <w:r>
                                <w:rPr>
                                  <w:color w:val="3B3862"/>
                                  <w:spacing w:val="36"/>
                                  <w:sz w:val="15"/>
                                </w:rPr>
                                <w:t>  </w:t>
                              </w:r>
                              <w:r>
                                <w:rPr>
                                  <w:color w:val="5D5B6B"/>
                                  <w:sz w:val="16"/>
                                </w:rPr>
                                <w:t>c.oo</w:t>
                              </w:r>
                              <w:r>
                                <w:rPr>
                                  <w:color w:val="5D5B6B"/>
                                  <w:spacing w:val="39"/>
                                  <w:sz w:val="16"/>
                                </w:rPr>
                                <w:t>  </w:t>
                              </w:r>
                              <w:r>
                                <w:rPr>
                                  <w:color w:val="FBC854"/>
                                  <w:sz w:val="15"/>
                                </w:rPr>
                                <w:t>l</w:t>
                              </w:r>
                              <w:r>
                                <w:rPr>
                                  <w:color w:val="448C95"/>
                                  <w:sz w:val="15"/>
                                </w:rPr>
                                <w:t>l</w:t>
                              </w:r>
                              <w:r>
                                <w:rPr>
                                  <w:color w:val="484F60"/>
                                  <w:sz w:val="15"/>
                                </w:rPr>
                                <w:t>a</w:t>
                              </w:r>
                              <w:r>
                                <w:rPr>
                                  <w:color w:val="484F60"/>
                                  <w:spacing w:val="48"/>
                                  <w:sz w:val="15"/>
                                </w:rPr>
                                <w:t>  </w:t>
                              </w:r>
                              <w:r>
                                <w:rPr>
                                  <w:color w:val="5D5B6B"/>
                                  <w:spacing w:val="-2"/>
                                  <w:sz w:val="15"/>
                                </w:rPr>
                                <w:t>.....,,.</w:t>
                              </w:r>
                              <w:r>
                                <w:rPr>
                                  <w:color w:val="5D5B6B"/>
                                  <w:sz w:val="15"/>
                                </w:rPr>
                                <w:tab/>
                              </w:r>
                              <w:r>
                                <w:rPr>
                                  <w:color w:val="463144"/>
                                  <w:spacing w:val="-4"/>
                                  <w:sz w:val="15"/>
                                </w:rPr>
                                <w:t>,</w:t>
                              </w:r>
                              <w:r>
                                <w:rPr>
                                  <w:color w:val="2D5067"/>
                                  <w:spacing w:val="-4"/>
                                  <w:sz w:val="15"/>
                                </w:rPr>
                                <w:t>,,,.</w:t>
                              </w:r>
                            </w:p>
                            <w:p>
                              <w:pPr>
                                <w:spacing w:before="6"/>
                                <w:ind w:left="277" w:right="0" w:firstLine="0"/>
                                <w:jc w:val="left"/>
                                <w:rPr>
                                  <w:rFonts w:ascii="Courier New"/>
                                  <w:sz w:val="20"/>
                                </w:rPr>
                              </w:pPr>
                              <w:r>
                                <w:rPr>
                                  <w:rFonts w:ascii="Courier New"/>
                                  <w:color w:val="5B3F59"/>
                                  <w:spacing w:val="-2"/>
                                  <w:w w:val="85"/>
                                  <w:sz w:val="20"/>
                                </w:rPr>
                                <w:t>lrad</w:t>
                              </w:r>
                              <w:r>
                                <w:rPr>
                                  <w:rFonts w:ascii="Courier New"/>
                                  <w:color w:val="2D5067"/>
                                  <w:spacing w:val="-2"/>
                                  <w:w w:val="85"/>
                                  <w:sz w:val="20"/>
                                </w:rPr>
                                <w:t>:a</w:t>
                              </w:r>
                            </w:p>
                            <w:p>
                              <w:pPr>
                                <w:spacing w:line="154" w:lineRule="exact" w:before="141"/>
                                <w:ind w:left="0" w:right="2027" w:firstLine="0"/>
                                <w:jc w:val="right"/>
                                <w:rPr>
                                  <w:rFonts w:ascii="Times New Roman"/>
                                  <w:sz w:val="15"/>
                                </w:rPr>
                              </w:pPr>
                              <w:r>
                                <w:rPr>
                                  <w:rFonts w:ascii="Times New Roman"/>
                                  <w:color w:val="3F6067"/>
                                  <w:spacing w:val="-5"/>
                                  <w:w w:val="85"/>
                                  <w:sz w:val="15"/>
                                </w:rPr>
                                <w:t>km</w:t>
                              </w:r>
                            </w:p>
                            <w:p>
                              <w:pPr>
                                <w:spacing w:line="174" w:lineRule="exact" w:before="0"/>
                                <w:ind w:left="0" w:right="1962" w:firstLine="0"/>
                                <w:jc w:val="right"/>
                                <w:rPr>
                                  <w:rFonts w:ascii="Times New Roman"/>
                                  <w:sz w:val="18"/>
                                </w:rPr>
                              </w:pPr>
                              <w:r>
                                <w:rPr>
                                  <w:rFonts w:ascii="Times New Roman"/>
                                  <w:color w:val="54265D"/>
                                  <w:spacing w:val="-5"/>
                                  <w:sz w:val="18"/>
                                </w:rPr>
                                <w:t>p</w:t>
                              </w:r>
                              <w:r>
                                <w:rPr>
                                  <w:rFonts w:ascii="Times New Roman"/>
                                  <w:color w:val="484F60"/>
                                  <w:spacing w:val="-5"/>
                                  <w:sz w:val="18"/>
                                </w:rPr>
                                <w:t>ro</w:t>
                              </w:r>
                            </w:p>
                            <w:p>
                              <w:pPr>
                                <w:spacing w:line="169" w:lineRule="exact" w:before="0"/>
                                <w:ind w:left="0" w:right="1937" w:firstLine="0"/>
                                <w:jc w:val="right"/>
                                <w:rPr>
                                  <w:rFonts w:ascii="Times New Roman"/>
                                  <w:sz w:val="16"/>
                                </w:rPr>
                              </w:pPr>
                              <w:r>
                                <w:rPr>
                                  <w:rFonts w:ascii="Times New Roman"/>
                                  <w:color w:val="FDE287"/>
                                  <w:w w:val="165"/>
                                  <w:sz w:val="16"/>
                                </w:rPr>
                                <w:t>_</w:t>
                              </w:r>
                              <w:r>
                                <w:rPr>
                                  <w:rFonts w:ascii="Times New Roman"/>
                                  <w:color w:val="2A243F"/>
                                  <w:w w:val="165"/>
                                  <w:sz w:val="16"/>
                                </w:rPr>
                                <w:t>-</w:t>
                              </w:r>
                              <w:r>
                                <w:rPr>
                                  <w:rFonts w:ascii="Times New Roman"/>
                                  <w:color w:val="484F60"/>
                                  <w:spacing w:val="-5"/>
                                  <w:w w:val="165"/>
                                  <w:sz w:val="16"/>
                                </w:rPr>
                                <w:t>9</w:t>
                              </w:r>
                              <w:r>
                                <w:rPr>
                                  <w:rFonts w:ascii="Times New Roman"/>
                                  <w:color w:val="6E8C83"/>
                                  <w:spacing w:val="-5"/>
                                  <w:w w:val="165"/>
                                  <w:sz w:val="16"/>
                                </w:rPr>
                                <w:t>1</w:t>
                              </w:r>
                            </w:p>
                            <w:p>
                              <w:pPr>
                                <w:tabs>
                                  <w:tab w:pos="1949" w:val="left" w:leader="none"/>
                                </w:tabs>
                                <w:spacing w:line="130" w:lineRule="exact" w:before="21"/>
                                <w:ind w:left="1717" w:right="0" w:firstLine="0"/>
                                <w:jc w:val="left"/>
                                <w:rPr>
                                  <w:sz w:val="12"/>
                                </w:rPr>
                              </w:pPr>
                              <w:r>
                                <w:rPr>
                                  <w:color w:val="6E8C83"/>
                                  <w:spacing w:val="-10"/>
                                  <w:w w:val="60"/>
                                  <w:sz w:val="12"/>
                                </w:rPr>
                                <w:t>•</w:t>
                              </w:r>
                              <w:r>
                                <w:rPr>
                                  <w:color w:val="6E8C83"/>
                                  <w:sz w:val="12"/>
                                </w:rPr>
                                <w:tab/>
                              </w:r>
                              <w:r>
                                <w:rPr>
                                  <w:color w:val="FBC854"/>
                                  <w:w w:val="55"/>
                                  <w:sz w:val="12"/>
                                </w:rPr>
                                <w:t>1</w:t>
                              </w:r>
                              <w:r>
                                <w:rPr>
                                  <w:color w:val="FBC854"/>
                                  <w:spacing w:val="66"/>
                                  <w:sz w:val="12"/>
                                </w:rPr>
                                <w:t> </w:t>
                              </w:r>
                              <w:r>
                                <w:rPr>
                                  <w:color w:val="E9B341"/>
                                  <w:spacing w:val="-5"/>
                                  <w:w w:val="60"/>
                                  <w:sz w:val="12"/>
                                </w:rPr>
                                <w:t>•</w:t>
                              </w:r>
                              <w:r>
                                <w:rPr>
                                  <w:color w:val="EDD497"/>
                                  <w:spacing w:val="-5"/>
                                  <w:w w:val="60"/>
                                  <w:sz w:val="12"/>
                                </w:rPr>
                                <w:t>.</w:t>
                              </w:r>
                            </w:p>
                            <w:p>
                              <w:pPr>
                                <w:spacing w:line="190" w:lineRule="exact" w:before="0"/>
                                <w:ind w:left="0" w:right="372" w:firstLine="0"/>
                                <w:jc w:val="right"/>
                                <w:rPr>
                                  <w:rFonts w:ascii="Times New Roman" w:hAnsi="Times New Roman"/>
                                  <w:sz w:val="10"/>
                                </w:rPr>
                              </w:pPr>
                              <w:r>
                                <w:rPr>
                                  <w:color w:val="4D4D7E"/>
                                  <w:spacing w:val="-4"/>
                                  <w:sz w:val="19"/>
                                </w:rPr>
                                <w:t>□</w:t>
                              </w:r>
                              <w:r>
                                <w:rPr>
                                  <w:rFonts w:ascii="Times New Roman" w:hAnsi="Times New Roman"/>
                                  <w:color w:val="4D4D7E"/>
                                  <w:spacing w:val="-4"/>
                                  <w:sz w:val="10"/>
                                </w:rPr>
                                <w:t>[11</w:t>
                              </w:r>
                            </w:p>
                            <w:p>
                              <w:pPr>
                                <w:numPr>
                                  <w:ilvl w:val="1"/>
                                  <w:numId w:val="41"/>
                                </w:numPr>
                                <w:tabs>
                                  <w:tab w:pos="1863" w:val="left" w:leader="none"/>
                                </w:tabs>
                                <w:spacing w:line="129" w:lineRule="exact" w:before="0"/>
                                <w:ind w:left="1863" w:right="0" w:hanging="123"/>
                                <w:jc w:val="left"/>
                                <w:rPr>
                                  <w:rFonts w:ascii="Times New Roman" w:hAnsi="Times New Roman"/>
                                  <w:sz w:val="13"/>
                                </w:rPr>
                              </w:pPr>
                              <w:r>
                                <w:rPr>
                                  <w:rFonts w:ascii="Times New Roman" w:hAnsi="Times New Roman"/>
                                  <w:color w:val="D6AF7E"/>
                                  <w:w w:val="250"/>
                                  <w:sz w:val="13"/>
                                </w:rPr>
                                <w:t>.</w:t>
                              </w:r>
                              <w:r>
                                <w:rPr>
                                  <w:rFonts w:ascii="Times New Roman" w:hAnsi="Times New Roman"/>
                                  <w:color w:val="D6AF7E"/>
                                  <w:spacing w:val="-26"/>
                                  <w:w w:val="250"/>
                                  <w:sz w:val="13"/>
                                </w:rPr>
                                <w:t> </w:t>
                              </w:r>
                              <w:r>
                                <w:rPr>
                                  <w:rFonts w:ascii="Times New Roman" w:hAnsi="Times New Roman"/>
                                  <w:color w:val="484F60"/>
                                  <w:spacing w:val="-4"/>
                                  <w:sz w:val="13"/>
                                </w:rPr>
                                <w:t>¡¡¡</w:t>
                              </w:r>
                              <w:r>
                                <w:rPr>
                                  <w:rFonts w:ascii="Times New Roman" w:hAnsi="Times New Roman"/>
                                  <w:color w:val="6ED8F4"/>
                                  <w:spacing w:val="-4"/>
                                  <w:sz w:val="13"/>
                                </w:rPr>
                                <w:t>.</w:t>
                              </w:r>
                            </w:p>
                          </w:txbxContent>
                        </wps:txbx>
                        <wps:bodyPr wrap="square" lIns="0" tIns="0" rIns="0" bIns="0" rtlCol="0">
                          <a:noAutofit/>
                        </wps:bodyPr>
                      </wps:wsp>
                      <wps:wsp>
                        <wps:cNvPr id="142" name="Textbox 142"/>
                        <wps:cNvSpPr txBox="1"/>
                        <wps:spPr>
                          <a:xfrm>
                            <a:off x="252489" y="2498414"/>
                            <a:ext cx="337185" cy="142240"/>
                          </a:xfrm>
                          <a:prstGeom prst="rect">
                            <a:avLst/>
                          </a:prstGeom>
                        </wps:spPr>
                        <wps:txbx>
                          <w:txbxContent>
                            <w:p>
                              <w:pPr>
                                <w:tabs>
                                  <w:tab w:pos="408" w:val="left" w:leader="none"/>
                                </w:tabs>
                                <w:spacing w:line="224" w:lineRule="exact" w:before="0"/>
                                <w:ind w:left="0" w:right="0" w:firstLine="0"/>
                                <w:jc w:val="left"/>
                                <w:rPr>
                                  <w:sz w:val="20"/>
                                </w:rPr>
                              </w:pPr>
                              <w:r>
                                <w:rPr>
                                  <w:color w:val="E6C664"/>
                                  <w:sz w:val="20"/>
                                </w:rPr>
                                <w:t>-</w:t>
                              </w:r>
                              <w:r>
                                <w:rPr>
                                  <w:color w:val="6ED8F4"/>
                                  <w:spacing w:val="-10"/>
                                  <w:sz w:val="20"/>
                                </w:rPr>
                                <w:t>·</w:t>
                              </w:r>
                              <w:r>
                                <w:rPr>
                                  <w:color w:val="6ED8F4"/>
                                  <w:sz w:val="20"/>
                                </w:rPr>
                                <w:tab/>
                              </w:r>
                              <w:r>
                                <w:rPr>
                                  <w:color w:val="5B3F59"/>
                                  <w:spacing w:val="-10"/>
                                  <w:sz w:val="20"/>
                                </w:rPr>
                                <w:t>o</w:t>
                              </w:r>
                            </w:p>
                          </w:txbxContent>
                        </wps:txbx>
                        <wps:bodyPr wrap="square" lIns="0" tIns="0" rIns="0" bIns="0" rtlCol="0">
                          <a:noAutofit/>
                        </wps:bodyPr>
                      </wps:wsp>
                    </wpg:wgp>
                  </a:graphicData>
                </a:graphic>
              </wp:anchor>
            </w:drawing>
          </mc:Choice>
          <mc:Fallback>
            <w:pict>
              <v:group style="position:absolute;margin-left:367.295288pt;margin-top:11.526433pt;width:147.85pt;height:302.650pt;mso-position-horizontal-relative:page;mso-position-vertical-relative:paragraph;z-index:15747584" id="docshapegroup97" coordorigin="7346,231" coordsize="2957,6053">
                <v:shape style="position:absolute;left:7345;top:295;width:2957;height:5989" type="#_x0000_t75" id="docshape98" stroked="false">
                  <v:imagedata r:id="rId70" o:title=""/>
                </v:shape>
                <v:shape style="position:absolute;left:8253;top:4007;width:1066;height:2052" id="docshape99" coordorigin="8254,4008" coordsize="1066,2052" path="m8278,4271l8254,4271,8254,4572,8278,4572,8278,4271xm8376,4008l8367,4008,8367,4212,8376,4212,8376,4008xm9319,5883l9295,5883,9295,6059,9319,6059,9319,5883xe" filled="true" fillcolor="#e2efd8" stroked="false">
                  <v:path arrowok="t"/>
                  <v:fill type="solid"/>
                </v:shape>
                <v:shape style="position:absolute;left:7452;top:230;width:2527;height:200" type="#_x0000_t202" id="docshape100" filled="false" stroked="false">
                  <v:textbox inset="0,0,0,0">
                    <w:txbxContent>
                      <w:p>
                        <w:pPr>
                          <w:tabs>
                            <w:tab w:pos="1237" w:val="left" w:leader="none"/>
                          </w:tabs>
                          <w:spacing w:line="200" w:lineRule="exact" w:before="0"/>
                          <w:ind w:left="0" w:right="0" w:firstLine="0"/>
                          <w:jc w:val="left"/>
                          <w:rPr>
                            <w:sz w:val="15"/>
                          </w:rPr>
                        </w:pPr>
                        <w:r>
                          <w:rPr>
                            <w:color w:val="5B0770"/>
                            <w:sz w:val="15"/>
                          </w:rPr>
                          <w:t>I</w:t>
                        </w:r>
                        <w:r>
                          <w:rPr>
                            <w:color w:val="484F60"/>
                            <w:sz w:val="15"/>
                          </w:rPr>
                          <w:t>MAS</w:t>
                        </w:r>
                        <w:r>
                          <w:rPr>
                            <w:color w:val="6E8C83"/>
                            <w:sz w:val="15"/>
                          </w:rPr>
                          <w:t>•</w:t>
                        </w:r>
                        <w:r>
                          <w:rPr>
                            <w:color w:val="6E8C83"/>
                            <w:spacing w:val="30"/>
                            <w:sz w:val="15"/>
                          </w:rPr>
                          <w:t>  </w:t>
                        </w:r>
                        <w:r>
                          <w:rPr>
                            <w:rFonts w:ascii="Times New Roman" w:hAnsi="Times New Roman"/>
                            <w:color w:val="4D4D7E"/>
                            <w:spacing w:val="-2"/>
                            <w:sz w:val="14"/>
                          </w:rPr>
                          <w:t>.!l</w:t>
                        </w:r>
                        <w:r>
                          <w:rPr>
                            <w:rFonts w:ascii="Times New Roman" w:hAnsi="Times New Roman"/>
                            <w:color w:val="484F60"/>
                            <w:spacing w:val="-2"/>
                            <w:sz w:val="14"/>
                          </w:rPr>
                          <w:t>PS_</w:t>
                        </w:r>
                        <w:r>
                          <w:rPr>
                            <w:rFonts w:ascii="Times New Roman" w:hAnsi="Times New Roman"/>
                            <w:color w:val="600E8E"/>
                            <w:spacing w:val="-2"/>
                            <w:sz w:val="14"/>
                          </w:rPr>
                          <w:t>,</w:t>
                        </w:r>
                        <w:r>
                          <w:rPr>
                            <w:rFonts w:ascii="Times New Roman" w:hAnsi="Times New Roman"/>
                            <w:color w:val="600E8E"/>
                            <w:sz w:val="14"/>
                          </w:rPr>
                          <w:tab/>
                        </w:r>
                        <w:r>
                          <w:rPr>
                            <w:rFonts w:ascii="Times New Roman" w:hAnsi="Times New Roman"/>
                            <w:color w:val="DBAF56"/>
                            <w:sz w:val="14"/>
                          </w:rPr>
                          <w:t>,</w:t>
                        </w:r>
                        <w:r>
                          <w:rPr>
                            <w:rFonts w:ascii="Times New Roman" w:hAnsi="Times New Roman"/>
                            <w:color w:val="DBAF56"/>
                            <w:spacing w:val="28"/>
                            <w:sz w:val="14"/>
                          </w:rPr>
                          <w:t> </w:t>
                        </w:r>
                        <w:r>
                          <w:rPr>
                            <w:rFonts w:ascii="Times New Roman" w:hAnsi="Times New Roman"/>
                            <w:color w:val="FDE287"/>
                            <w:sz w:val="14"/>
                          </w:rPr>
                          <w:t>.</w:t>
                        </w:r>
                        <w:r>
                          <w:rPr>
                            <w:rFonts w:ascii="Times New Roman" w:hAnsi="Times New Roman"/>
                            <w:color w:val="FDE287"/>
                            <w:spacing w:val="38"/>
                            <w:sz w:val="14"/>
                          </w:rPr>
                          <w:t>  </w:t>
                        </w:r>
                        <w:r>
                          <w:rPr>
                            <w:rFonts w:ascii="Times New Roman" w:hAnsi="Times New Roman"/>
                            <w:i/>
                            <w:color w:val="5D5B6B"/>
                            <w:sz w:val="18"/>
                          </w:rPr>
                          <w:t>'I'</w:t>
                        </w:r>
                        <w:r>
                          <w:rPr>
                            <w:rFonts w:ascii="Times New Roman" w:hAnsi="Times New Roman"/>
                            <w:i/>
                            <w:color w:val="5D5B6B"/>
                            <w:spacing w:val="33"/>
                            <w:sz w:val="18"/>
                          </w:rPr>
                          <w:t> </w:t>
                        </w:r>
                        <w:r>
                          <w:rPr>
                            <w:color w:val="FBC854"/>
                            <w:spacing w:val="-2"/>
                            <w:sz w:val="14"/>
                          </w:rPr>
                          <w:t>l</w:t>
                        </w:r>
                        <w:r>
                          <w:rPr>
                            <w:color w:val="2D5067"/>
                            <w:spacing w:val="-2"/>
                            <w:sz w:val="14"/>
                          </w:rPr>
                          <w:t>la</w:t>
                        </w:r>
                        <w:r>
                          <w:rPr>
                            <w:color w:val="6ED8F4"/>
                            <w:spacing w:val="-2"/>
                            <w:sz w:val="14"/>
                          </w:rPr>
                          <w:t>1</w:t>
                        </w:r>
                        <w:r>
                          <w:rPr>
                            <w:color w:val="5D5B6B"/>
                            <w:spacing w:val="-2"/>
                            <w:sz w:val="15"/>
                          </w:rPr>
                          <w:t>CCSS</w:t>
                        </w:r>
                        <w:r>
                          <w:rPr>
                            <w:color w:val="6ED8F4"/>
                            <w:spacing w:val="-2"/>
                            <w:sz w:val="15"/>
                          </w:rPr>
                          <w:t>:</w:t>
                        </w:r>
                      </w:p>
                    </w:txbxContent>
                  </v:textbox>
                  <w10:wrap type="none"/>
                </v:shape>
                <v:shape style="position:absolute;left:8235;top:424;width:1814;height:156" type="#_x0000_t202" id="docshape101" filled="false" stroked="false">
                  <v:textbox inset="0,0,0,0">
                    <w:txbxContent>
                      <w:p>
                        <w:pPr>
                          <w:tabs>
                            <w:tab w:pos="1267" w:val="left" w:leader="none"/>
                          </w:tabs>
                          <w:spacing w:line="155" w:lineRule="exact" w:before="0"/>
                          <w:ind w:left="0" w:right="0" w:firstLine="0"/>
                          <w:jc w:val="left"/>
                          <w:rPr>
                            <w:rFonts w:ascii="Times New Roman" w:hAnsi="Times New Roman"/>
                            <w:sz w:val="14"/>
                          </w:rPr>
                        </w:pPr>
                        <w:r>
                          <w:rPr>
                            <w:rFonts w:ascii="Times New Roman" w:hAnsi="Times New Roman"/>
                            <w:color w:val="484F60"/>
                            <w:sz w:val="12"/>
                          </w:rPr>
                          <w:t>f"D)'!2C;'Í</w:t>
                        </w:r>
                        <w:r>
                          <w:rPr>
                            <w:rFonts w:ascii="Times New Roman" w:hAnsi="Times New Roman"/>
                            <w:color w:val="484F60"/>
                            <w:spacing w:val="-12"/>
                            <w:sz w:val="12"/>
                          </w:rPr>
                          <w:t> </w:t>
                        </w:r>
                        <w:r>
                          <w:rPr>
                            <w:rFonts w:ascii="Times New Roman" w:hAnsi="Times New Roman"/>
                            <w:color w:val="484F60"/>
                            <w:sz w:val="12"/>
                          </w:rPr>
                          <w:t>l!G.</w:t>
                        </w:r>
                        <w:r>
                          <w:rPr>
                            <w:rFonts w:ascii="Times New Roman" w:hAnsi="Times New Roman"/>
                            <w:color w:val="484F60"/>
                            <w:spacing w:val="42"/>
                            <w:sz w:val="12"/>
                          </w:rPr>
                          <w:t>  </w:t>
                        </w:r>
                        <w:r>
                          <w:rPr>
                            <w:rFonts w:ascii="Times New Roman" w:hAnsi="Times New Roman"/>
                            <w:color w:val="5B3F59"/>
                            <w:spacing w:val="-5"/>
                            <w:sz w:val="14"/>
                          </w:rPr>
                          <w:t>d</w:t>
                        </w:r>
                        <w:r>
                          <w:rPr>
                            <w:rFonts w:ascii="Times New Roman" w:hAnsi="Times New Roman"/>
                            <w:color w:val="2A243F"/>
                            <w:spacing w:val="-5"/>
                            <w:sz w:val="14"/>
                          </w:rPr>
                          <w:t>e</w:t>
                        </w:r>
                        <w:r>
                          <w:rPr>
                            <w:rFonts w:ascii="Times New Roman" w:hAnsi="Times New Roman"/>
                            <w:color w:val="2A243F"/>
                            <w:sz w:val="14"/>
                          </w:rPr>
                          <w:tab/>
                        </w:r>
                        <w:r>
                          <w:rPr>
                            <w:rFonts w:ascii="Times New Roman" w:hAnsi="Times New Roman"/>
                            <w:color w:val="801683"/>
                            <w:sz w:val="14"/>
                          </w:rPr>
                          <w:t>1</w:t>
                        </w:r>
                        <w:r>
                          <w:rPr>
                            <w:rFonts w:ascii="Times New Roman" w:hAnsi="Times New Roman"/>
                            <w:color w:val="801683"/>
                            <w:spacing w:val="33"/>
                            <w:sz w:val="14"/>
                          </w:rPr>
                          <w:t> </w:t>
                        </w:r>
                        <w:r>
                          <w:rPr>
                            <w:rFonts w:ascii="Times New Roman" w:hAnsi="Times New Roman"/>
                            <w:color w:val="751A64"/>
                            <w:spacing w:val="-2"/>
                            <w:sz w:val="12"/>
                          </w:rPr>
                          <w:t>"</w:t>
                        </w:r>
                        <w:r>
                          <w:rPr>
                            <w:rFonts w:ascii="Times New Roman" w:hAnsi="Times New Roman"/>
                            <w:color w:val="5B3F59"/>
                            <w:spacing w:val="-2"/>
                            <w:sz w:val="12"/>
                          </w:rPr>
                          <w:t>i'!:!</w:t>
                        </w:r>
                        <w:r>
                          <w:rPr>
                            <w:rFonts w:ascii="Times New Roman" w:hAnsi="Times New Roman"/>
                            <w:color w:val="54265D"/>
                            <w:spacing w:val="-2"/>
                            <w:sz w:val="14"/>
                          </w:rPr>
                          <w:t>rEI</w:t>
                        </w:r>
                      </w:p>
                    </w:txbxContent>
                  </v:textbox>
                  <w10:wrap type="none"/>
                </v:shape>
                <v:shape style="position:absolute;left:8623;top:528;width:1411;height:1077" type="#_x0000_t202" id="docshape102" filled="false" stroked="false">
                  <v:textbox inset="0,0,0,0">
                    <w:txbxContent>
                      <w:p>
                        <w:pPr>
                          <w:spacing w:line="246" w:lineRule="exact" w:before="0"/>
                          <w:ind w:left="0" w:right="0" w:firstLine="0"/>
                          <w:jc w:val="left"/>
                          <w:rPr>
                            <w:sz w:val="14"/>
                            <w:szCs w:val="14"/>
                          </w:rPr>
                        </w:pPr>
                        <w:r>
                          <w:rPr>
                            <w:color w:val="5B3F59"/>
                            <w:w w:val="105"/>
                            <w:sz w:val="14"/>
                            <w:szCs w:val="14"/>
                          </w:rPr>
                          <w:t>NQ</w:t>
                        </w:r>
                        <w:r>
                          <w:rPr>
                            <w:color w:val="5B3F59"/>
                            <w:spacing w:val="57"/>
                            <w:w w:val="105"/>
                            <w:sz w:val="14"/>
                            <w:szCs w:val="14"/>
                          </w:rPr>
                          <w:t> </w:t>
                        </w:r>
                        <w:r>
                          <w:rPr>
                            <w:color w:val="161A3F"/>
                            <w:w w:val="105"/>
                            <w:sz w:val="11"/>
                            <w:szCs w:val="11"/>
                          </w:rPr>
                          <w:t>::i</w:t>
                        </w:r>
                        <w:r>
                          <w:rPr>
                            <w:color w:val="161A3F"/>
                            <w:spacing w:val="22"/>
                            <w:w w:val="105"/>
                            <w:sz w:val="11"/>
                            <w:szCs w:val="11"/>
                          </w:rPr>
                          <w:t> </w:t>
                        </w:r>
                        <w:r>
                          <w:rPr>
                            <w:color w:val="484F60"/>
                            <w:w w:val="105"/>
                            <w:sz w:val="14"/>
                            <w:szCs w:val="14"/>
                          </w:rPr>
                          <w:t>�ll2'il'</w:t>
                        </w:r>
                        <w:r>
                          <w:rPr>
                            <w:color w:val="33342A"/>
                            <w:w w:val="105"/>
                            <w:sz w:val="14"/>
                            <w:szCs w:val="14"/>
                          </w:rPr>
                          <w:t>-</w:t>
                        </w:r>
                        <w:r>
                          <w:rPr>
                            <w:color w:val="5B3F59"/>
                            <w:spacing w:val="-2"/>
                            <w:w w:val="105"/>
                            <w:sz w:val="14"/>
                            <w:szCs w:val="14"/>
                          </w:rPr>
                          <w:t>:2</w:t>
                        </w:r>
                        <w:r>
                          <w:rPr>
                            <w:color w:val="3B3862"/>
                            <w:spacing w:val="-2"/>
                            <w:w w:val="105"/>
                            <w:sz w:val="22"/>
                            <w:szCs w:val="22"/>
                          </w:rPr>
                          <w:t>□</w:t>
                        </w:r>
                        <w:r>
                          <w:rPr>
                            <w:color w:val="3B3862"/>
                            <w:spacing w:val="-2"/>
                            <w:w w:val="105"/>
                            <w:sz w:val="14"/>
                            <w:szCs w:val="14"/>
                          </w:rPr>
                          <w:t>3iil</w:t>
                        </w:r>
                        <w:r>
                          <w:rPr>
                            <w:color w:val="9077A3"/>
                            <w:spacing w:val="-2"/>
                            <w:w w:val="105"/>
                            <w:sz w:val="14"/>
                            <w:szCs w:val="14"/>
                          </w:rPr>
                          <w:t>.</w:t>
                        </w:r>
                      </w:p>
                      <w:p>
                        <w:pPr>
                          <w:spacing w:before="154"/>
                          <w:ind w:left="307" w:right="0" w:firstLine="0"/>
                          <w:jc w:val="left"/>
                          <w:rPr>
                            <w:sz w:val="16"/>
                          </w:rPr>
                        </w:pPr>
                        <w:r>
                          <w:rPr>
                            <w:color w:val="3B3862"/>
                            <w:spacing w:val="-10"/>
                            <w:w w:val="105"/>
                            <w:sz w:val="16"/>
                          </w:rPr>
                          <w:t>a</w:t>
                        </w:r>
                      </w:p>
                      <w:p>
                        <w:pPr>
                          <w:spacing w:line="240" w:lineRule="auto" w:before="0"/>
                          <w:rPr>
                            <w:sz w:val="16"/>
                          </w:rPr>
                        </w:pPr>
                      </w:p>
                      <w:p>
                        <w:pPr>
                          <w:spacing w:line="240" w:lineRule="auto" w:before="9"/>
                          <w:rPr>
                            <w:sz w:val="16"/>
                          </w:rPr>
                        </w:pPr>
                      </w:p>
                      <w:p>
                        <w:pPr>
                          <w:spacing w:before="0"/>
                          <w:ind w:left="874" w:right="0" w:firstLine="0"/>
                          <w:jc w:val="left"/>
                          <w:rPr>
                            <w:rFonts w:ascii="Times New Roman"/>
                            <w:sz w:val="10"/>
                          </w:rPr>
                        </w:pPr>
                        <w:r>
                          <w:rPr>
                            <w:rFonts w:ascii="Times New Roman"/>
                            <w:color w:val="6ED8F4"/>
                            <w:w w:val="65"/>
                            <w:sz w:val="10"/>
                          </w:rPr>
                          <w:t>1</w:t>
                        </w:r>
                        <w:r>
                          <w:rPr>
                            <w:rFonts w:ascii="Times New Roman"/>
                            <w:color w:val="6ED8F4"/>
                            <w:spacing w:val="42"/>
                            <w:sz w:val="10"/>
                          </w:rPr>
                          <w:t>  </w:t>
                        </w:r>
                        <w:r>
                          <w:rPr>
                            <w:rFonts w:ascii="Times New Roman"/>
                            <w:color w:val="E6C664"/>
                            <w:spacing w:val="-10"/>
                            <w:w w:val="65"/>
                            <w:sz w:val="10"/>
                          </w:rPr>
                          <w:t>.</w:t>
                        </w:r>
                      </w:p>
                    </w:txbxContent>
                  </v:textbox>
                  <w10:wrap type="none"/>
                </v:shape>
                <v:shape style="position:absolute;left:8862;top:2786;width:865;height:235" type="#_x0000_t202" id="docshape103" filled="false" stroked="false">
                  <v:textbox inset="0,0,0,0">
                    <w:txbxContent>
                      <w:p>
                        <w:pPr>
                          <w:spacing w:line="235" w:lineRule="exact" w:before="0"/>
                          <w:ind w:left="0" w:right="0" w:firstLine="0"/>
                          <w:jc w:val="left"/>
                          <w:rPr>
                            <w:sz w:val="21"/>
                          </w:rPr>
                        </w:pPr>
                        <w:r>
                          <w:rPr>
                            <w:color w:val="CCCF8A"/>
                            <w:w w:val="75"/>
                            <w:sz w:val="14"/>
                          </w:rPr>
                          <w:t>_</w:t>
                        </w:r>
                        <w:r>
                          <w:rPr>
                            <w:color w:val="CCCF8A"/>
                            <w:spacing w:val="44"/>
                            <w:sz w:val="14"/>
                          </w:rPr>
                          <w:t> </w:t>
                        </w:r>
                        <w:r>
                          <w:rPr>
                            <w:color w:val="484F60"/>
                            <w:sz w:val="14"/>
                          </w:rPr>
                          <w:t>5</w:t>
                        </w:r>
                        <w:r>
                          <w:rPr>
                            <w:color w:val="6E8C83"/>
                            <w:sz w:val="14"/>
                          </w:rPr>
                          <w:t>1</w:t>
                        </w:r>
                        <w:r>
                          <w:rPr>
                            <w:color w:val="5B3F59"/>
                            <w:sz w:val="14"/>
                          </w:rPr>
                          <w:t>!38.</w:t>
                        </w:r>
                        <w:r>
                          <w:rPr>
                            <w:color w:val="5B3F59"/>
                            <w:spacing w:val="47"/>
                            <w:sz w:val="14"/>
                          </w:rPr>
                          <w:t>  </w:t>
                        </w:r>
                        <w:r>
                          <w:rPr>
                            <w:color w:val="3B3862"/>
                            <w:spacing w:val="-10"/>
                            <w:sz w:val="21"/>
                          </w:rPr>
                          <w:t>□</w:t>
                        </w:r>
                      </w:p>
                    </w:txbxContent>
                  </v:textbox>
                  <w10:wrap type="none"/>
                </v:shape>
                <v:shape style="position:absolute;left:9242;top:1723;width:480;height:1110" type="#_x0000_t202" id="docshape104" filled="false" stroked="false">
                  <v:textbox inset="0,0,0,0">
                    <w:txbxContent>
                      <w:p>
                        <w:pPr>
                          <w:spacing w:line="247" w:lineRule="exact" w:before="0"/>
                          <w:ind w:left="224" w:right="0" w:firstLine="0"/>
                          <w:jc w:val="left"/>
                          <w:rPr>
                            <w:rFonts w:ascii="Times New Roman"/>
                            <w:sz w:val="23"/>
                          </w:rPr>
                        </w:pPr>
                        <w:r>
                          <w:rPr>
                            <w:rFonts w:ascii="Times New Roman"/>
                            <w:color w:val="5D5B6B"/>
                            <w:spacing w:val="-5"/>
                            <w:w w:val="120"/>
                            <w:sz w:val="23"/>
                          </w:rPr>
                          <w:t>e</w:t>
                        </w:r>
                        <w:r>
                          <w:rPr>
                            <w:rFonts w:ascii="Times New Roman"/>
                            <w:color w:val="AF6B56"/>
                            <w:spacing w:val="-5"/>
                            <w:w w:val="120"/>
                            <w:sz w:val="23"/>
                          </w:rPr>
                          <w:t>:</w:t>
                        </w:r>
                      </w:p>
                      <w:p>
                        <w:pPr>
                          <w:spacing w:line="176" w:lineRule="exact" w:before="0"/>
                          <w:ind w:left="251" w:right="0" w:firstLine="0"/>
                          <w:jc w:val="left"/>
                          <w:rPr>
                            <w:rFonts w:ascii="Times New Roman"/>
                            <w:sz w:val="16"/>
                          </w:rPr>
                        </w:pPr>
                        <w:r>
                          <w:rPr>
                            <w:rFonts w:ascii="Times New Roman"/>
                            <w:color w:val="3B3862"/>
                            <w:spacing w:val="-2"/>
                            <w:w w:val="85"/>
                            <w:sz w:val="16"/>
                          </w:rPr>
                          <w:t>f&gt;i</w:t>
                        </w:r>
                        <w:r>
                          <w:rPr>
                            <w:rFonts w:ascii="Times New Roman"/>
                            <w:color w:val="796D56"/>
                            <w:spacing w:val="-2"/>
                            <w:w w:val="85"/>
                            <w:sz w:val="16"/>
                          </w:rPr>
                          <w:t>'.</w:t>
                        </w:r>
                      </w:p>
                      <w:p>
                        <w:pPr>
                          <w:spacing w:line="151" w:lineRule="exact" w:before="12"/>
                          <w:ind w:left="0" w:right="0" w:firstLine="0"/>
                          <w:jc w:val="left"/>
                          <w:rPr>
                            <w:rFonts w:ascii="Times New Roman" w:hAnsi="Times New Roman"/>
                            <w:sz w:val="14"/>
                          </w:rPr>
                        </w:pPr>
                        <w:r>
                          <w:rPr>
                            <w:color w:val="484F60"/>
                            <w:spacing w:val="-5"/>
                            <w:sz w:val="14"/>
                          </w:rPr>
                          <w:t>!Je</w:t>
                        </w:r>
                        <w:r>
                          <w:rPr>
                            <w:color w:val="6ED8F4"/>
                            <w:spacing w:val="-5"/>
                            <w:sz w:val="14"/>
                          </w:rPr>
                          <w:t>•</w:t>
                        </w:r>
                        <w:r>
                          <w:rPr>
                            <w:rFonts w:ascii="Times New Roman" w:hAnsi="Times New Roman"/>
                            <w:color w:val="FBC854"/>
                            <w:spacing w:val="-5"/>
                            <w:sz w:val="14"/>
                          </w:rPr>
                          <w:t>1</w:t>
                        </w:r>
                        <w:r>
                          <w:rPr>
                            <w:rFonts w:ascii="Times New Roman" w:hAnsi="Times New Roman"/>
                            <w:color w:val="2685AC"/>
                            <w:spacing w:val="-5"/>
                            <w:sz w:val="14"/>
                          </w:rPr>
                          <w:t>1</w:t>
                        </w:r>
                        <w:r>
                          <w:rPr>
                            <w:rFonts w:ascii="Times New Roman" w:hAnsi="Times New Roman"/>
                            <w:color w:val="2685AC"/>
                            <w:spacing w:val="12"/>
                            <w:sz w:val="14"/>
                          </w:rPr>
                          <w:t> </w:t>
                        </w:r>
                        <w:r>
                          <w:rPr>
                            <w:rFonts w:ascii="Times New Roman" w:hAnsi="Times New Roman"/>
                            <w:color w:val="751A64"/>
                            <w:spacing w:val="-10"/>
                            <w:sz w:val="14"/>
                          </w:rPr>
                          <w:t>•</w:t>
                        </w:r>
                      </w:p>
                      <w:p>
                        <w:pPr>
                          <w:spacing w:line="150" w:lineRule="exact" w:before="0"/>
                          <w:ind w:left="182" w:right="0" w:firstLine="0"/>
                          <w:jc w:val="left"/>
                          <w:rPr>
                            <w:rFonts w:ascii="Times New Roman"/>
                            <w:sz w:val="14"/>
                          </w:rPr>
                        </w:pPr>
                        <w:r>
                          <w:rPr>
                            <w:rFonts w:ascii="Times New Roman"/>
                            <w:color w:val="E9B341"/>
                            <w:spacing w:val="-5"/>
                            <w:sz w:val="14"/>
                          </w:rPr>
                          <w:t>,</w:t>
                        </w:r>
                        <w:r>
                          <w:rPr>
                            <w:rFonts w:ascii="Times New Roman"/>
                            <w:color w:val="56706B"/>
                            <w:spacing w:val="-5"/>
                            <w:sz w:val="14"/>
                          </w:rPr>
                          <w:t>e1</w:t>
                        </w:r>
                      </w:p>
                      <w:p>
                        <w:pPr>
                          <w:spacing w:line="195" w:lineRule="exact" w:before="7"/>
                          <w:ind w:left="54" w:right="0" w:firstLine="0"/>
                          <w:jc w:val="left"/>
                          <w:rPr>
                            <w:sz w:val="18"/>
                          </w:rPr>
                        </w:pPr>
                        <w:r>
                          <w:rPr>
                            <w:color w:val="484F60"/>
                            <w:spacing w:val="-2"/>
                            <w:w w:val="105"/>
                            <w:sz w:val="14"/>
                          </w:rPr>
                          <w:t>clitl</w:t>
                        </w:r>
                        <w:r>
                          <w:rPr>
                            <w:color w:val="4D4D7E"/>
                            <w:spacing w:val="-2"/>
                            <w:w w:val="105"/>
                            <w:sz w:val="18"/>
                          </w:rPr>
                          <w:t>□</w:t>
                        </w:r>
                      </w:p>
                      <w:p>
                        <w:pPr>
                          <w:spacing w:line="172" w:lineRule="exact" w:before="0"/>
                          <w:ind w:left="0" w:right="18" w:firstLine="0"/>
                          <w:jc w:val="right"/>
                          <w:rPr>
                            <w:rFonts w:ascii="Times New Roman"/>
                            <w:sz w:val="16"/>
                          </w:rPr>
                        </w:pPr>
                        <w:r>
                          <w:rPr>
                            <w:rFonts w:ascii="Times New Roman"/>
                            <w:color w:val="3B3862"/>
                            <w:spacing w:val="-5"/>
                            <w:w w:val="65"/>
                            <w:sz w:val="16"/>
                          </w:rPr>
                          <w:t>1:1</w:t>
                        </w:r>
                      </w:p>
                    </w:txbxContent>
                  </v:textbox>
                  <w10:wrap type="none"/>
                </v:shape>
                <v:shape style="position:absolute;left:8259;top:1640;width:1399;height:1727" type="#_x0000_t202" id="docshape105" filled="false" stroked="false">
                  <v:textbox inset="0,0,0,0">
                    <w:txbxContent>
                      <w:p>
                        <w:pPr>
                          <w:spacing w:line="155" w:lineRule="exact" w:before="0"/>
                          <w:ind w:left="0" w:right="18" w:firstLine="0"/>
                          <w:jc w:val="right"/>
                          <w:rPr>
                            <w:rFonts w:ascii="Times New Roman"/>
                            <w:sz w:val="14"/>
                          </w:rPr>
                        </w:pPr>
                        <w:r>
                          <w:rPr>
                            <w:rFonts w:ascii="Times New Roman"/>
                            <w:color w:val="5B3F59"/>
                            <w:spacing w:val="-5"/>
                            <w:w w:val="130"/>
                            <w:sz w:val="14"/>
                          </w:rPr>
                          <w:t>d</w:t>
                        </w:r>
                        <w:r>
                          <w:rPr>
                            <w:rFonts w:ascii="Times New Roman"/>
                            <w:color w:val="801683"/>
                            <w:spacing w:val="-5"/>
                            <w:w w:val="130"/>
                            <w:sz w:val="14"/>
                          </w:rPr>
                          <w:t>i</w:t>
                        </w:r>
                      </w:p>
                      <w:p>
                        <w:pPr>
                          <w:spacing w:line="240" w:lineRule="auto" w:before="0"/>
                          <w:rPr>
                            <w:rFonts w:ascii="Times New Roman"/>
                            <w:sz w:val="14"/>
                          </w:rPr>
                        </w:pPr>
                      </w:p>
                      <w:p>
                        <w:pPr>
                          <w:spacing w:line="240" w:lineRule="auto" w:before="0"/>
                          <w:rPr>
                            <w:rFonts w:ascii="Times New Roman"/>
                            <w:sz w:val="14"/>
                          </w:rPr>
                        </w:pPr>
                      </w:p>
                      <w:p>
                        <w:pPr>
                          <w:spacing w:line="240" w:lineRule="auto" w:before="0"/>
                          <w:rPr>
                            <w:rFonts w:ascii="Times New Roman"/>
                            <w:sz w:val="14"/>
                          </w:rPr>
                        </w:pPr>
                      </w:p>
                      <w:p>
                        <w:pPr>
                          <w:spacing w:line="240" w:lineRule="auto" w:before="0"/>
                          <w:rPr>
                            <w:rFonts w:ascii="Times New Roman"/>
                            <w:sz w:val="14"/>
                          </w:rPr>
                        </w:pPr>
                      </w:p>
                      <w:p>
                        <w:pPr>
                          <w:spacing w:line="240" w:lineRule="auto" w:before="0"/>
                          <w:rPr>
                            <w:rFonts w:ascii="Times New Roman"/>
                            <w:sz w:val="14"/>
                          </w:rPr>
                        </w:pPr>
                      </w:p>
                      <w:p>
                        <w:pPr>
                          <w:spacing w:line="240" w:lineRule="auto" w:before="0"/>
                          <w:rPr>
                            <w:rFonts w:ascii="Times New Roman"/>
                            <w:sz w:val="14"/>
                          </w:rPr>
                        </w:pPr>
                      </w:p>
                      <w:p>
                        <w:pPr>
                          <w:spacing w:line="240" w:lineRule="auto" w:before="0"/>
                          <w:rPr>
                            <w:rFonts w:ascii="Times New Roman"/>
                            <w:sz w:val="14"/>
                          </w:rPr>
                        </w:pPr>
                      </w:p>
                      <w:p>
                        <w:pPr>
                          <w:spacing w:line="240" w:lineRule="auto" w:before="122"/>
                          <w:rPr>
                            <w:rFonts w:ascii="Times New Roman"/>
                            <w:sz w:val="14"/>
                          </w:rPr>
                        </w:pPr>
                      </w:p>
                      <w:p>
                        <w:pPr>
                          <w:spacing w:before="0"/>
                          <w:ind w:left="0" w:right="0" w:firstLine="0"/>
                          <w:jc w:val="left"/>
                          <w:rPr>
                            <w:rFonts w:ascii="Times New Roman"/>
                            <w:sz w:val="14"/>
                          </w:rPr>
                        </w:pPr>
                        <w:r>
                          <w:rPr>
                            <w:rFonts w:ascii="Times New Roman"/>
                            <w:color w:val="3B3862"/>
                            <w:spacing w:val="-5"/>
                            <w:w w:val="105"/>
                            <w:sz w:val="14"/>
                          </w:rPr>
                          <w:t>ll</w:t>
                        </w:r>
                      </w:p>
                    </w:txbxContent>
                  </v:textbox>
                  <w10:wrap type="none"/>
                </v:shape>
                <v:shape style="position:absolute;left:8861;top:2920;width:866;height:456" type="#_x0000_t202" id="docshape106" filled="false" stroked="false">
                  <v:textbox inset="0,0,0,0">
                    <w:txbxContent>
                      <w:p>
                        <w:pPr>
                          <w:numPr>
                            <w:ilvl w:val="0"/>
                            <w:numId w:val="40"/>
                          </w:numPr>
                          <w:tabs>
                            <w:tab w:pos="401" w:val="left" w:leader="none"/>
                          </w:tabs>
                          <w:spacing w:line="235" w:lineRule="exact" w:before="0"/>
                          <w:ind w:left="401" w:right="0" w:hanging="401"/>
                          <w:jc w:val="left"/>
                          <w:rPr>
                            <w:sz w:val="21"/>
                          </w:rPr>
                        </w:pPr>
                        <w:r>
                          <w:rPr>
                            <w:rFonts w:ascii="Times New Roman" w:hAnsi="Times New Roman"/>
                            <w:color w:val="5B3F59"/>
                            <w:w w:val="120"/>
                            <w:sz w:val="15"/>
                          </w:rPr>
                          <w:t>32</w:t>
                        </w:r>
                        <w:r>
                          <w:rPr>
                            <w:rFonts w:ascii="Times New Roman" w:hAnsi="Times New Roman"/>
                            <w:color w:val="66238A"/>
                            <w:w w:val="120"/>
                            <w:sz w:val="15"/>
                          </w:rPr>
                          <w:t>,</w:t>
                        </w:r>
                        <w:r>
                          <w:rPr>
                            <w:rFonts w:ascii="Times New Roman" w:hAnsi="Times New Roman"/>
                            <w:color w:val="66238A"/>
                            <w:spacing w:val="36"/>
                            <w:w w:val="120"/>
                            <w:sz w:val="15"/>
                          </w:rPr>
                          <w:t> </w:t>
                        </w:r>
                        <w:r>
                          <w:rPr>
                            <w:color w:val="3B3862"/>
                            <w:spacing w:val="-10"/>
                            <w:w w:val="120"/>
                            <w:sz w:val="21"/>
                          </w:rPr>
                          <w:t>□</w:t>
                        </w:r>
                      </w:p>
                      <w:p>
                        <w:pPr>
                          <w:spacing w:before="13"/>
                          <w:ind w:left="0" w:right="149" w:firstLine="0"/>
                          <w:jc w:val="right"/>
                          <w:rPr>
                            <w:rFonts w:ascii="Times New Roman"/>
                            <w:i/>
                            <w:sz w:val="18"/>
                          </w:rPr>
                        </w:pPr>
                        <w:r>
                          <w:rPr>
                            <w:rFonts w:ascii="Times New Roman"/>
                            <w:i/>
                            <w:color w:val="5D5B6B"/>
                            <w:spacing w:val="-5"/>
                            <w:w w:val="85"/>
                            <w:sz w:val="18"/>
                          </w:rPr>
                          <w:t>'I'</w:t>
                        </w:r>
                      </w:p>
                    </w:txbxContent>
                  </v:textbox>
                  <w10:wrap type="none"/>
                </v:shape>
                <v:shape style="position:absolute;left:7745;top:3551;width:663;height:645" type="#_x0000_t202" id="docshape107" filled="false" stroked="false">
                  <v:textbox inset="0,0,0,0">
                    <w:txbxContent>
                      <w:p>
                        <w:pPr>
                          <w:spacing w:line="151" w:lineRule="exact" w:before="0"/>
                          <w:ind w:left="241" w:right="0" w:firstLine="0"/>
                          <w:jc w:val="left"/>
                          <w:rPr>
                            <w:sz w:val="14"/>
                          </w:rPr>
                        </w:pPr>
                        <w:r>
                          <w:rPr>
                            <w:color w:val="3B3862"/>
                            <w:spacing w:val="-4"/>
                            <w:sz w:val="14"/>
                          </w:rPr>
                          <w:t>IDs:</w:t>
                        </w:r>
                        <w:r>
                          <w:rPr>
                            <w:color w:val="835293"/>
                            <w:spacing w:val="-4"/>
                            <w:sz w:val="14"/>
                          </w:rPr>
                          <w:t>:</w:t>
                        </w:r>
                      </w:p>
                      <w:p>
                        <w:pPr>
                          <w:spacing w:line="155" w:lineRule="exact" w:before="0"/>
                          <w:ind w:left="0" w:right="70" w:firstLine="0"/>
                          <w:jc w:val="center"/>
                          <w:rPr>
                            <w:sz w:val="14"/>
                          </w:rPr>
                        </w:pPr>
                        <w:r>
                          <w:rPr>
                            <w:color w:val="5D5B6B"/>
                            <w:w w:val="95"/>
                            <w:sz w:val="14"/>
                          </w:rPr>
                          <w:t>'il'</w:t>
                        </w:r>
                        <w:r>
                          <w:rPr>
                            <w:color w:val="5D5B6B"/>
                            <w:spacing w:val="54"/>
                            <w:sz w:val="14"/>
                          </w:rPr>
                          <w:t>  </w:t>
                        </w:r>
                        <w:r>
                          <w:rPr>
                            <w:color w:val="5B3F59"/>
                            <w:spacing w:val="-5"/>
                            <w:w w:val="95"/>
                            <w:sz w:val="14"/>
                          </w:rPr>
                          <w:t>iil</w:t>
                        </w:r>
                      </w:p>
                      <w:p>
                        <w:pPr>
                          <w:tabs>
                            <w:tab w:pos="408" w:val="left" w:leader="none"/>
                          </w:tabs>
                          <w:spacing w:line="155" w:lineRule="exact" w:before="17"/>
                          <w:ind w:left="102" w:right="0" w:firstLine="0"/>
                          <w:jc w:val="left"/>
                          <w:rPr>
                            <w:rFonts w:ascii="Times New Roman"/>
                            <w:sz w:val="14"/>
                          </w:rPr>
                        </w:pPr>
                        <w:r>
                          <w:rPr>
                            <w:rFonts w:ascii="Times New Roman"/>
                            <w:color w:val="3B3862"/>
                            <w:spacing w:val="-10"/>
                            <w:w w:val="105"/>
                            <w:sz w:val="14"/>
                          </w:rPr>
                          <w:t>8</w:t>
                        </w:r>
                        <w:r>
                          <w:rPr>
                            <w:rFonts w:ascii="Times New Roman"/>
                            <w:color w:val="3B3862"/>
                            <w:sz w:val="14"/>
                          </w:rPr>
                          <w:tab/>
                        </w:r>
                        <w:r>
                          <w:rPr>
                            <w:rFonts w:ascii="Times New Roman"/>
                            <w:color w:val="5B3F59"/>
                            <w:spacing w:val="-10"/>
                            <w:w w:val="105"/>
                            <w:sz w:val="14"/>
                          </w:rPr>
                          <w:t>O</w:t>
                        </w:r>
                      </w:p>
                      <w:p>
                        <w:pPr>
                          <w:tabs>
                            <w:tab w:pos="403" w:val="left" w:leader="none"/>
                          </w:tabs>
                          <w:spacing w:line="166" w:lineRule="exact" w:before="0"/>
                          <w:ind w:left="0" w:right="18" w:firstLine="0"/>
                          <w:jc w:val="center"/>
                          <w:rPr>
                            <w:sz w:val="15"/>
                          </w:rPr>
                        </w:pPr>
                        <w:r>
                          <w:rPr>
                            <w:color w:val="E6C664"/>
                            <w:w w:val="55"/>
                            <w:sz w:val="15"/>
                          </w:rPr>
                          <w:t>-</w:t>
                        </w:r>
                        <w:r>
                          <w:rPr>
                            <w:color w:val="E6C664"/>
                            <w:spacing w:val="78"/>
                            <w:w w:val="150"/>
                            <w:sz w:val="15"/>
                          </w:rPr>
                          <w:t> </w:t>
                        </w:r>
                        <w:r>
                          <w:rPr>
                            <w:color w:val="6ED8F4"/>
                            <w:spacing w:val="-10"/>
                            <w:w w:val="55"/>
                            <w:sz w:val="15"/>
                          </w:rPr>
                          <w:t>.</w:t>
                        </w:r>
                        <w:r>
                          <w:rPr>
                            <w:color w:val="6ED8F4"/>
                            <w:sz w:val="15"/>
                          </w:rPr>
                          <w:tab/>
                        </w:r>
                        <w:r>
                          <w:rPr>
                            <w:color w:val="5B3F59"/>
                            <w:w w:val="55"/>
                            <w:sz w:val="15"/>
                          </w:rPr>
                          <w:t>iil</w:t>
                        </w:r>
                        <w:r>
                          <w:rPr>
                            <w:color w:val="5B3F59"/>
                            <w:spacing w:val="119"/>
                            <w:sz w:val="15"/>
                          </w:rPr>
                          <w:t> </w:t>
                        </w:r>
                        <w:r>
                          <w:rPr>
                            <w:color w:val="FFF2A5"/>
                            <w:spacing w:val="-14"/>
                            <w:w w:val="55"/>
                            <w:sz w:val="15"/>
                          </w:rPr>
                          <w:t>•</w:t>
                        </w:r>
                      </w:p>
                    </w:txbxContent>
                  </v:textbox>
                  <w10:wrap type="none"/>
                </v:shape>
                <v:shape style="position:absolute;left:9267;top:3551;width:269;height:645" type="#_x0000_t202" id="docshape108" filled="false" stroked="false">
                  <v:textbox inset="0,0,0,0">
                    <w:txbxContent>
                      <w:p>
                        <w:pPr>
                          <w:spacing w:line="151" w:lineRule="exact" w:before="0"/>
                          <w:ind w:left="13" w:right="0" w:firstLine="0"/>
                          <w:jc w:val="left"/>
                          <w:rPr>
                            <w:sz w:val="14"/>
                          </w:rPr>
                        </w:pPr>
                        <w:r>
                          <w:rPr>
                            <w:color w:val="600E8E"/>
                            <w:spacing w:val="-10"/>
                            <w:w w:val="75"/>
                            <w:sz w:val="14"/>
                          </w:rPr>
                          <w:t>'</w:t>
                        </w:r>
                      </w:p>
                      <w:p>
                        <w:pPr>
                          <w:spacing w:line="228" w:lineRule="auto" w:before="0"/>
                          <w:ind w:left="0" w:right="18" w:firstLine="1"/>
                          <w:jc w:val="both"/>
                          <w:rPr>
                            <w:sz w:val="15"/>
                          </w:rPr>
                        </w:pPr>
                        <w:r>
                          <w:rPr>
                            <w:color w:val="5D5B6B"/>
                            <w:spacing w:val="-2"/>
                            <w:sz w:val="14"/>
                          </w:rPr>
                          <w:t>ií!ll</w:t>
                        </w:r>
                        <w:r>
                          <w:rPr>
                            <w:color w:val="66238A"/>
                            <w:spacing w:val="-2"/>
                            <w:sz w:val="14"/>
                          </w:rPr>
                          <w:t>,</w:t>
                        </w:r>
                        <w:r>
                          <w:rPr>
                            <w:color w:val="66238A"/>
                            <w:spacing w:val="40"/>
                            <w:sz w:val="14"/>
                          </w:rPr>
                          <w:t> </w:t>
                        </w:r>
                        <w:r>
                          <w:rPr>
                            <w:rFonts w:ascii="Times New Roman" w:hAnsi="Times New Roman"/>
                            <w:color w:val="484F60"/>
                            <w:spacing w:val="-2"/>
                            <w:w w:val="75"/>
                            <w:sz w:val="16"/>
                          </w:rPr>
                          <w:t>E!-2</w:t>
                        </w:r>
                        <w:r>
                          <w:rPr>
                            <w:rFonts w:ascii="Times New Roman" w:hAnsi="Times New Roman"/>
                            <w:color w:val="66238A"/>
                            <w:spacing w:val="-2"/>
                            <w:w w:val="75"/>
                            <w:sz w:val="16"/>
                          </w:rPr>
                          <w:t>,</w:t>
                        </w:r>
                        <w:r>
                          <w:rPr>
                            <w:rFonts w:ascii="Times New Roman" w:hAnsi="Times New Roman"/>
                            <w:color w:val="66238A"/>
                            <w:spacing w:val="40"/>
                            <w:sz w:val="16"/>
                          </w:rPr>
                          <w:t> </w:t>
                        </w:r>
                        <w:r>
                          <w:rPr>
                            <w:color w:val="3F6067"/>
                            <w:spacing w:val="-5"/>
                            <w:sz w:val="15"/>
                          </w:rPr>
                          <w:t>B</w:t>
                        </w:r>
                        <w:r>
                          <w:rPr>
                            <w:color w:val="5D5B6B"/>
                            <w:spacing w:val="-5"/>
                            <w:sz w:val="15"/>
                          </w:rPr>
                          <w:t>7</w:t>
                        </w:r>
                        <w:r>
                          <w:rPr>
                            <w:color w:val="600E8E"/>
                            <w:spacing w:val="-5"/>
                            <w:sz w:val="15"/>
                          </w:rPr>
                          <w:t>,</w:t>
                        </w:r>
                      </w:p>
                    </w:txbxContent>
                  </v:textbox>
                  <w10:wrap type="none"/>
                </v:shape>
                <v:shape style="position:absolute;left:7554;top:4300;width:2425;height:1747" type="#_x0000_t202" id="docshape109" filled="false" stroked="false">
                  <v:textbox inset="0,0,0,0">
                    <w:txbxContent>
                      <w:p>
                        <w:pPr>
                          <w:numPr>
                            <w:ilvl w:val="0"/>
                            <w:numId w:val="41"/>
                          </w:numPr>
                          <w:tabs>
                            <w:tab w:pos="279" w:val="left" w:leader="none"/>
                            <w:tab w:pos="698" w:val="left" w:leader="none"/>
                          </w:tabs>
                          <w:spacing w:line="234" w:lineRule="exact" w:before="0"/>
                          <w:ind w:left="279" w:right="0" w:hanging="101"/>
                          <w:jc w:val="left"/>
                          <w:rPr>
                            <w:sz w:val="22"/>
                          </w:rPr>
                        </w:pPr>
                        <w:r>
                          <w:rPr>
                            <w:color w:val="3B3862"/>
                            <w:spacing w:val="-10"/>
                            <w:sz w:val="22"/>
                          </w:rPr>
                          <w:t>□</w:t>
                        </w:r>
                        <w:r>
                          <w:rPr>
                            <w:color w:val="3B3862"/>
                            <w:sz w:val="22"/>
                          </w:rPr>
                          <w:tab/>
                        </w:r>
                        <w:r>
                          <w:rPr>
                            <w:color w:val="B8DAAF"/>
                            <w:sz w:val="22"/>
                          </w:rPr>
                          <w:t>.</w:t>
                        </w:r>
                        <w:r>
                          <w:rPr>
                            <w:color w:val="B8DAAF"/>
                            <w:spacing w:val="31"/>
                            <w:sz w:val="22"/>
                          </w:rPr>
                          <w:t> </w:t>
                        </w:r>
                        <w:r>
                          <w:rPr>
                            <w:color w:val="5B3F59"/>
                            <w:sz w:val="14"/>
                          </w:rPr>
                          <w:t>4Jlll'il'</w:t>
                        </w:r>
                        <w:r>
                          <w:rPr>
                            <w:color w:val="5B3F59"/>
                            <w:spacing w:val="52"/>
                            <w:sz w:val="14"/>
                          </w:rPr>
                          <w:t> </w:t>
                        </w:r>
                        <w:r>
                          <w:rPr>
                            <w:rFonts w:ascii="Times New Roman" w:hAnsi="Times New Roman"/>
                            <w:color w:val="5D5B6B"/>
                            <w:sz w:val="18"/>
                          </w:rPr>
                          <w:t>y</w:t>
                        </w:r>
                        <w:r>
                          <w:rPr>
                            <w:rFonts w:ascii="Times New Roman" w:hAnsi="Times New Roman"/>
                            <w:color w:val="5D5B6B"/>
                            <w:spacing w:val="48"/>
                            <w:sz w:val="18"/>
                          </w:rPr>
                          <w:t> </w:t>
                        </w:r>
                        <w:r>
                          <w:rPr>
                            <w:color w:val="3B3862"/>
                            <w:sz w:val="22"/>
                          </w:rPr>
                          <w:t>□</w:t>
                        </w:r>
                        <w:r>
                          <w:rPr>
                            <w:color w:val="3B3862"/>
                            <w:spacing w:val="-13"/>
                            <w:sz w:val="22"/>
                          </w:rPr>
                          <w:t> </w:t>
                        </w:r>
                        <w:r>
                          <w:rPr>
                            <w:color w:val="95EFFD"/>
                            <w:spacing w:val="-12"/>
                            <w:sz w:val="22"/>
                          </w:rPr>
                          <w:t>.</w:t>
                        </w:r>
                      </w:p>
                      <w:p>
                        <w:pPr>
                          <w:tabs>
                            <w:tab w:pos="2218" w:val="left" w:leader="dot"/>
                          </w:tabs>
                          <w:spacing w:line="172" w:lineRule="exact" w:before="0"/>
                          <w:ind w:left="185" w:right="0" w:firstLine="0"/>
                          <w:jc w:val="left"/>
                          <w:rPr>
                            <w:sz w:val="15"/>
                          </w:rPr>
                        </w:pPr>
                        <w:r>
                          <w:rPr>
                            <w:color w:val="2A243F"/>
                            <w:sz w:val="15"/>
                          </w:rPr>
                          <w:t>s</w:t>
                        </w:r>
                        <w:r>
                          <w:rPr>
                            <w:color w:val="801683"/>
                            <w:sz w:val="15"/>
                          </w:rPr>
                          <w:t>l'</w:t>
                        </w:r>
                        <w:r>
                          <w:rPr>
                            <w:color w:val="463144"/>
                            <w:sz w:val="15"/>
                          </w:rPr>
                          <w:t>ste</w:t>
                        </w:r>
                        <w:r>
                          <w:rPr>
                            <w:color w:val="4D4D7E"/>
                            <w:sz w:val="15"/>
                          </w:rPr>
                          <w:t>a</w:t>
                        </w:r>
                        <w:r>
                          <w:rPr>
                            <w:color w:val="3B3862"/>
                            <w:sz w:val="15"/>
                          </w:rPr>
                          <w:t>l:e</w:t>
                        </w:r>
                        <w:r>
                          <w:rPr>
                            <w:color w:val="3B3862"/>
                            <w:spacing w:val="36"/>
                            <w:sz w:val="15"/>
                          </w:rPr>
                          <w:t>  </w:t>
                        </w:r>
                        <w:r>
                          <w:rPr>
                            <w:color w:val="5D5B6B"/>
                            <w:sz w:val="16"/>
                          </w:rPr>
                          <w:t>c.oo</w:t>
                        </w:r>
                        <w:r>
                          <w:rPr>
                            <w:color w:val="5D5B6B"/>
                            <w:spacing w:val="39"/>
                            <w:sz w:val="16"/>
                          </w:rPr>
                          <w:t>  </w:t>
                        </w:r>
                        <w:r>
                          <w:rPr>
                            <w:color w:val="FBC854"/>
                            <w:sz w:val="15"/>
                          </w:rPr>
                          <w:t>l</w:t>
                        </w:r>
                        <w:r>
                          <w:rPr>
                            <w:color w:val="448C95"/>
                            <w:sz w:val="15"/>
                          </w:rPr>
                          <w:t>l</w:t>
                        </w:r>
                        <w:r>
                          <w:rPr>
                            <w:color w:val="484F60"/>
                            <w:sz w:val="15"/>
                          </w:rPr>
                          <w:t>a</w:t>
                        </w:r>
                        <w:r>
                          <w:rPr>
                            <w:color w:val="484F60"/>
                            <w:spacing w:val="48"/>
                            <w:sz w:val="15"/>
                          </w:rPr>
                          <w:t>  </w:t>
                        </w:r>
                        <w:r>
                          <w:rPr>
                            <w:color w:val="5D5B6B"/>
                            <w:spacing w:val="-2"/>
                            <w:sz w:val="15"/>
                          </w:rPr>
                          <w:t>.....,,.</w:t>
                        </w:r>
                        <w:r>
                          <w:rPr>
                            <w:color w:val="5D5B6B"/>
                            <w:sz w:val="15"/>
                          </w:rPr>
                          <w:tab/>
                        </w:r>
                        <w:r>
                          <w:rPr>
                            <w:color w:val="463144"/>
                            <w:spacing w:val="-4"/>
                            <w:sz w:val="15"/>
                          </w:rPr>
                          <w:t>,</w:t>
                        </w:r>
                        <w:r>
                          <w:rPr>
                            <w:color w:val="2D5067"/>
                            <w:spacing w:val="-4"/>
                            <w:sz w:val="15"/>
                          </w:rPr>
                          <w:t>,,,.</w:t>
                        </w:r>
                      </w:p>
                      <w:p>
                        <w:pPr>
                          <w:spacing w:before="6"/>
                          <w:ind w:left="277" w:right="0" w:firstLine="0"/>
                          <w:jc w:val="left"/>
                          <w:rPr>
                            <w:rFonts w:ascii="Courier New"/>
                            <w:sz w:val="20"/>
                          </w:rPr>
                        </w:pPr>
                        <w:r>
                          <w:rPr>
                            <w:rFonts w:ascii="Courier New"/>
                            <w:color w:val="5B3F59"/>
                            <w:spacing w:val="-2"/>
                            <w:w w:val="85"/>
                            <w:sz w:val="20"/>
                          </w:rPr>
                          <w:t>lrad</w:t>
                        </w:r>
                        <w:r>
                          <w:rPr>
                            <w:rFonts w:ascii="Courier New"/>
                            <w:color w:val="2D5067"/>
                            <w:spacing w:val="-2"/>
                            <w:w w:val="85"/>
                            <w:sz w:val="20"/>
                          </w:rPr>
                          <w:t>:a</w:t>
                        </w:r>
                      </w:p>
                      <w:p>
                        <w:pPr>
                          <w:spacing w:line="154" w:lineRule="exact" w:before="141"/>
                          <w:ind w:left="0" w:right="2027" w:firstLine="0"/>
                          <w:jc w:val="right"/>
                          <w:rPr>
                            <w:rFonts w:ascii="Times New Roman"/>
                            <w:sz w:val="15"/>
                          </w:rPr>
                        </w:pPr>
                        <w:r>
                          <w:rPr>
                            <w:rFonts w:ascii="Times New Roman"/>
                            <w:color w:val="3F6067"/>
                            <w:spacing w:val="-5"/>
                            <w:w w:val="85"/>
                            <w:sz w:val="15"/>
                          </w:rPr>
                          <w:t>km</w:t>
                        </w:r>
                      </w:p>
                      <w:p>
                        <w:pPr>
                          <w:spacing w:line="174" w:lineRule="exact" w:before="0"/>
                          <w:ind w:left="0" w:right="1962" w:firstLine="0"/>
                          <w:jc w:val="right"/>
                          <w:rPr>
                            <w:rFonts w:ascii="Times New Roman"/>
                            <w:sz w:val="18"/>
                          </w:rPr>
                        </w:pPr>
                        <w:r>
                          <w:rPr>
                            <w:rFonts w:ascii="Times New Roman"/>
                            <w:color w:val="54265D"/>
                            <w:spacing w:val="-5"/>
                            <w:sz w:val="18"/>
                          </w:rPr>
                          <w:t>p</w:t>
                        </w:r>
                        <w:r>
                          <w:rPr>
                            <w:rFonts w:ascii="Times New Roman"/>
                            <w:color w:val="484F60"/>
                            <w:spacing w:val="-5"/>
                            <w:sz w:val="18"/>
                          </w:rPr>
                          <w:t>ro</w:t>
                        </w:r>
                      </w:p>
                      <w:p>
                        <w:pPr>
                          <w:spacing w:line="169" w:lineRule="exact" w:before="0"/>
                          <w:ind w:left="0" w:right="1937" w:firstLine="0"/>
                          <w:jc w:val="right"/>
                          <w:rPr>
                            <w:rFonts w:ascii="Times New Roman"/>
                            <w:sz w:val="16"/>
                          </w:rPr>
                        </w:pPr>
                        <w:r>
                          <w:rPr>
                            <w:rFonts w:ascii="Times New Roman"/>
                            <w:color w:val="FDE287"/>
                            <w:w w:val="165"/>
                            <w:sz w:val="16"/>
                          </w:rPr>
                          <w:t>_</w:t>
                        </w:r>
                        <w:r>
                          <w:rPr>
                            <w:rFonts w:ascii="Times New Roman"/>
                            <w:color w:val="2A243F"/>
                            <w:w w:val="165"/>
                            <w:sz w:val="16"/>
                          </w:rPr>
                          <w:t>-</w:t>
                        </w:r>
                        <w:r>
                          <w:rPr>
                            <w:rFonts w:ascii="Times New Roman"/>
                            <w:color w:val="484F60"/>
                            <w:spacing w:val="-5"/>
                            <w:w w:val="165"/>
                            <w:sz w:val="16"/>
                          </w:rPr>
                          <w:t>9</w:t>
                        </w:r>
                        <w:r>
                          <w:rPr>
                            <w:rFonts w:ascii="Times New Roman"/>
                            <w:color w:val="6E8C83"/>
                            <w:spacing w:val="-5"/>
                            <w:w w:val="165"/>
                            <w:sz w:val="16"/>
                          </w:rPr>
                          <w:t>1</w:t>
                        </w:r>
                      </w:p>
                      <w:p>
                        <w:pPr>
                          <w:tabs>
                            <w:tab w:pos="1949" w:val="left" w:leader="none"/>
                          </w:tabs>
                          <w:spacing w:line="130" w:lineRule="exact" w:before="21"/>
                          <w:ind w:left="1717" w:right="0" w:firstLine="0"/>
                          <w:jc w:val="left"/>
                          <w:rPr>
                            <w:sz w:val="12"/>
                          </w:rPr>
                        </w:pPr>
                        <w:r>
                          <w:rPr>
                            <w:color w:val="6E8C83"/>
                            <w:spacing w:val="-10"/>
                            <w:w w:val="60"/>
                            <w:sz w:val="12"/>
                          </w:rPr>
                          <w:t>•</w:t>
                        </w:r>
                        <w:r>
                          <w:rPr>
                            <w:color w:val="6E8C83"/>
                            <w:sz w:val="12"/>
                          </w:rPr>
                          <w:tab/>
                        </w:r>
                        <w:r>
                          <w:rPr>
                            <w:color w:val="FBC854"/>
                            <w:w w:val="55"/>
                            <w:sz w:val="12"/>
                          </w:rPr>
                          <w:t>1</w:t>
                        </w:r>
                        <w:r>
                          <w:rPr>
                            <w:color w:val="FBC854"/>
                            <w:spacing w:val="66"/>
                            <w:sz w:val="12"/>
                          </w:rPr>
                          <w:t> </w:t>
                        </w:r>
                        <w:r>
                          <w:rPr>
                            <w:color w:val="E9B341"/>
                            <w:spacing w:val="-5"/>
                            <w:w w:val="60"/>
                            <w:sz w:val="12"/>
                          </w:rPr>
                          <w:t>•</w:t>
                        </w:r>
                        <w:r>
                          <w:rPr>
                            <w:color w:val="EDD497"/>
                            <w:spacing w:val="-5"/>
                            <w:w w:val="60"/>
                            <w:sz w:val="12"/>
                          </w:rPr>
                          <w:t>.</w:t>
                        </w:r>
                      </w:p>
                      <w:p>
                        <w:pPr>
                          <w:spacing w:line="190" w:lineRule="exact" w:before="0"/>
                          <w:ind w:left="0" w:right="372" w:firstLine="0"/>
                          <w:jc w:val="right"/>
                          <w:rPr>
                            <w:rFonts w:ascii="Times New Roman" w:hAnsi="Times New Roman"/>
                            <w:sz w:val="10"/>
                          </w:rPr>
                        </w:pPr>
                        <w:r>
                          <w:rPr>
                            <w:color w:val="4D4D7E"/>
                            <w:spacing w:val="-4"/>
                            <w:sz w:val="19"/>
                          </w:rPr>
                          <w:t>□</w:t>
                        </w:r>
                        <w:r>
                          <w:rPr>
                            <w:rFonts w:ascii="Times New Roman" w:hAnsi="Times New Roman"/>
                            <w:color w:val="4D4D7E"/>
                            <w:spacing w:val="-4"/>
                            <w:sz w:val="10"/>
                          </w:rPr>
                          <w:t>[11</w:t>
                        </w:r>
                      </w:p>
                      <w:p>
                        <w:pPr>
                          <w:numPr>
                            <w:ilvl w:val="1"/>
                            <w:numId w:val="41"/>
                          </w:numPr>
                          <w:tabs>
                            <w:tab w:pos="1863" w:val="left" w:leader="none"/>
                          </w:tabs>
                          <w:spacing w:line="129" w:lineRule="exact" w:before="0"/>
                          <w:ind w:left="1863" w:right="0" w:hanging="123"/>
                          <w:jc w:val="left"/>
                          <w:rPr>
                            <w:rFonts w:ascii="Times New Roman" w:hAnsi="Times New Roman"/>
                            <w:sz w:val="13"/>
                          </w:rPr>
                        </w:pPr>
                        <w:r>
                          <w:rPr>
                            <w:rFonts w:ascii="Times New Roman" w:hAnsi="Times New Roman"/>
                            <w:color w:val="D6AF7E"/>
                            <w:w w:val="250"/>
                            <w:sz w:val="13"/>
                          </w:rPr>
                          <w:t>.</w:t>
                        </w:r>
                        <w:r>
                          <w:rPr>
                            <w:rFonts w:ascii="Times New Roman" w:hAnsi="Times New Roman"/>
                            <w:color w:val="D6AF7E"/>
                            <w:spacing w:val="-26"/>
                            <w:w w:val="250"/>
                            <w:sz w:val="13"/>
                          </w:rPr>
                          <w:t> </w:t>
                        </w:r>
                        <w:r>
                          <w:rPr>
                            <w:rFonts w:ascii="Times New Roman" w:hAnsi="Times New Roman"/>
                            <w:color w:val="484F60"/>
                            <w:spacing w:val="-4"/>
                            <w:sz w:val="13"/>
                          </w:rPr>
                          <w:t>¡¡¡</w:t>
                        </w:r>
                        <w:r>
                          <w:rPr>
                            <w:rFonts w:ascii="Times New Roman" w:hAnsi="Times New Roman"/>
                            <w:color w:val="6ED8F4"/>
                            <w:spacing w:val="-4"/>
                            <w:sz w:val="13"/>
                          </w:rPr>
                          <w:t>.</w:t>
                        </w:r>
                      </w:p>
                    </w:txbxContent>
                  </v:textbox>
                  <w10:wrap type="none"/>
                </v:shape>
                <v:shape style="position:absolute;left:7743;top:4165;width:531;height:224" type="#_x0000_t202" id="docshape110" filled="false" stroked="false">
                  <v:textbox inset="0,0,0,0">
                    <w:txbxContent>
                      <w:p>
                        <w:pPr>
                          <w:tabs>
                            <w:tab w:pos="408" w:val="left" w:leader="none"/>
                          </w:tabs>
                          <w:spacing w:line="224" w:lineRule="exact" w:before="0"/>
                          <w:ind w:left="0" w:right="0" w:firstLine="0"/>
                          <w:jc w:val="left"/>
                          <w:rPr>
                            <w:sz w:val="20"/>
                          </w:rPr>
                        </w:pPr>
                        <w:r>
                          <w:rPr>
                            <w:color w:val="E6C664"/>
                            <w:sz w:val="20"/>
                          </w:rPr>
                          <w:t>-</w:t>
                        </w:r>
                        <w:r>
                          <w:rPr>
                            <w:color w:val="6ED8F4"/>
                            <w:spacing w:val="-10"/>
                            <w:sz w:val="20"/>
                          </w:rPr>
                          <w:t>·</w:t>
                        </w:r>
                        <w:r>
                          <w:rPr>
                            <w:color w:val="6ED8F4"/>
                            <w:sz w:val="20"/>
                          </w:rPr>
                          <w:tab/>
                        </w:r>
                        <w:r>
                          <w:rPr>
                            <w:color w:val="5B3F59"/>
                            <w:spacing w:val="-10"/>
                            <w:sz w:val="20"/>
                          </w:rPr>
                          <w:t>o</w:t>
                        </w:r>
                      </w:p>
                    </w:txbxContent>
                  </v:textbox>
                  <w10:wrap type="none"/>
                </v:shape>
                <w10:wrap type="none"/>
              </v:group>
            </w:pict>
          </mc:Fallback>
        </mc:AlternateContent>
      </w:r>
      <w:r>
        <w:rPr>
          <w:color w:val="3B3862"/>
          <w:spacing w:val="-2"/>
          <w:sz w:val="16"/>
          <w:szCs w:val="16"/>
        </w:rPr>
        <w:t>F&gt;ara</w:t>
      </w:r>
      <w:r>
        <w:rPr>
          <w:color w:val="75C6E6"/>
          <w:spacing w:val="-2"/>
          <w:sz w:val="16"/>
          <w:szCs w:val="16"/>
        </w:rPr>
        <w:t>1</w:t>
      </w:r>
      <w:r>
        <w:rPr>
          <w:color w:val="56706B"/>
          <w:spacing w:val="-2"/>
          <w:sz w:val="15"/>
          <w:szCs w:val="15"/>
        </w:rPr>
        <w:t>El</w:t>
      </w:r>
      <w:r>
        <w:rPr>
          <w:color w:val="56706B"/>
          <w:sz w:val="15"/>
          <w:szCs w:val="15"/>
        </w:rPr>
        <w:tab/>
      </w:r>
      <w:r>
        <w:rPr>
          <w:color w:val="484F60"/>
          <w:sz w:val="16"/>
          <w:szCs w:val="16"/>
        </w:rPr>
        <w:t>am</w:t>
      </w:r>
      <w:r>
        <w:rPr>
          <w:color w:val="463144"/>
          <w:sz w:val="16"/>
          <w:szCs w:val="16"/>
        </w:rPr>
        <w:t>e</w:t>
      </w:r>
      <w:r>
        <w:rPr>
          <w:color w:val="463144"/>
          <w:spacing w:val="39"/>
          <w:sz w:val="16"/>
          <w:szCs w:val="16"/>
        </w:rPr>
        <w:t>  </w:t>
      </w:r>
      <w:r>
        <w:rPr>
          <w:color w:val="484F60"/>
          <w:spacing w:val="-5"/>
          <w:sz w:val="16"/>
          <w:szCs w:val="16"/>
        </w:rPr>
        <w:t>de</w:t>
      </w:r>
      <w:r>
        <w:rPr>
          <w:color w:val="484F60"/>
          <w:sz w:val="16"/>
          <w:szCs w:val="16"/>
        </w:rPr>
        <w:tab/>
      </w:r>
      <w:r>
        <w:rPr>
          <w:color w:val="484F60"/>
          <w:spacing w:val="-5"/>
          <w:sz w:val="16"/>
          <w:szCs w:val="16"/>
        </w:rPr>
        <w:t>��</w:t>
      </w:r>
    </w:p>
    <w:tbl>
      <w:tblPr>
        <w:tblW w:w="0" w:type="auto"/>
        <w:jc w:val="left"/>
        <w:tblInd w:w="43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66"/>
        <w:gridCol w:w="456"/>
        <w:gridCol w:w="653"/>
      </w:tblGrid>
      <w:tr>
        <w:trPr>
          <w:trHeight w:val="492" w:hRule="atLeast"/>
        </w:trPr>
        <w:tc>
          <w:tcPr>
            <w:tcW w:w="466" w:type="dxa"/>
            <w:tcBorders>
              <w:top w:val="nil"/>
              <w:left w:val="nil"/>
              <w:right w:val="single" w:sz="12" w:space="0" w:color="000000"/>
            </w:tcBorders>
          </w:tcPr>
          <w:p>
            <w:pPr>
              <w:pStyle w:val="TableParagraph"/>
              <w:rPr>
                <w:rFonts w:ascii="Times New Roman"/>
                <w:sz w:val="14"/>
              </w:rPr>
            </w:pPr>
          </w:p>
        </w:tc>
        <w:tc>
          <w:tcPr>
            <w:tcW w:w="456" w:type="dxa"/>
            <w:tcBorders>
              <w:top w:val="nil"/>
              <w:left w:val="single" w:sz="12" w:space="0" w:color="000000"/>
              <w:right w:val="single" w:sz="8" w:space="0" w:color="000000"/>
            </w:tcBorders>
          </w:tcPr>
          <w:p>
            <w:pPr>
              <w:pStyle w:val="TableParagraph"/>
              <w:rPr>
                <w:rFonts w:ascii="Times New Roman"/>
                <w:sz w:val="14"/>
              </w:rPr>
            </w:pPr>
          </w:p>
        </w:tc>
        <w:tc>
          <w:tcPr>
            <w:tcW w:w="653" w:type="dxa"/>
            <w:tcBorders>
              <w:top w:val="nil"/>
              <w:left w:val="single" w:sz="8" w:space="0" w:color="000000"/>
              <w:right w:val="nil"/>
            </w:tcBorders>
          </w:tcPr>
          <w:p>
            <w:pPr>
              <w:pStyle w:val="TableParagraph"/>
              <w:rPr>
                <w:rFonts w:ascii="Times New Roman"/>
                <w:sz w:val="14"/>
              </w:rPr>
            </w:pPr>
          </w:p>
        </w:tc>
      </w:tr>
      <w:tr>
        <w:trPr>
          <w:trHeight w:val="763" w:hRule="atLeast"/>
        </w:trPr>
        <w:tc>
          <w:tcPr>
            <w:tcW w:w="466" w:type="dxa"/>
            <w:tcBorders>
              <w:left w:val="nil"/>
              <w:right w:val="single" w:sz="12" w:space="0" w:color="000000"/>
            </w:tcBorders>
          </w:tcPr>
          <w:p>
            <w:pPr>
              <w:pStyle w:val="TableParagraph"/>
              <w:rPr>
                <w:rFonts w:ascii="Times New Roman"/>
                <w:sz w:val="14"/>
              </w:rPr>
            </w:pPr>
          </w:p>
        </w:tc>
        <w:tc>
          <w:tcPr>
            <w:tcW w:w="456" w:type="dxa"/>
            <w:tcBorders>
              <w:left w:val="single" w:sz="12" w:space="0" w:color="000000"/>
              <w:right w:val="single" w:sz="8" w:space="0" w:color="000000"/>
            </w:tcBorders>
          </w:tcPr>
          <w:p>
            <w:pPr>
              <w:pStyle w:val="TableParagraph"/>
              <w:rPr>
                <w:rFonts w:ascii="Times New Roman"/>
                <w:sz w:val="14"/>
              </w:rPr>
            </w:pPr>
          </w:p>
        </w:tc>
        <w:tc>
          <w:tcPr>
            <w:tcW w:w="653" w:type="dxa"/>
            <w:tcBorders>
              <w:left w:val="single" w:sz="8" w:space="0" w:color="000000"/>
              <w:right w:val="nil"/>
            </w:tcBorders>
          </w:tcPr>
          <w:p>
            <w:pPr>
              <w:pStyle w:val="TableParagraph"/>
              <w:rPr>
                <w:rFonts w:ascii="Times New Roman"/>
                <w:sz w:val="14"/>
              </w:rPr>
            </w:pPr>
          </w:p>
        </w:tc>
      </w:tr>
      <w:tr>
        <w:trPr>
          <w:trHeight w:val="4779" w:hRule="atLeast"/>
        </w:trPr>
        <w:tc>
          <w:tcPr>
            <w:tcW w:w="466" w:type="dxa"/>
            <w:tcBorders>
              <w:left w:val="nil"/>
              <w:bottom w:val="nil"/>
              <w:right w:val="single" w:sz="12" w:space="0" w:color="000000"/>
            </w:tcBorders>
          </w:tcPr>
          <w:p>
            <w:pPr>
              <w:pStyle w:val="TableParagraph"/>
              <w:rPr>
                <w:rFonts w:ascii="Times New Roman"/>
                <w:sz w:val="14"/>
              </w:rPr>
            </w:pPr>
          </w:p>
        </w:tc>
        <w:tc>
          <w:tcPr>
            <w:tcW w:w="456" w:type="dxa"/>
            <w:tcBorders>
              <w:left w:val="single" w:sz="12" w:space="0" w:color="000000"/>
              <w:bottom w:val="nil"/>
              <w:right w:val="single" w:sz="8" w:space="0" w:color="000000"/>
            </w:tcBorders>
          </w:tcPr>
          <w:p>
            <w:pPr>
              <w:pStyle w:val="TableParagraph"/>
              <w:rPr>
                <w:rFonts w:ascii="Times New Roman"/>
                <w:sz w:val="14"/>
              </w:rPr>
            </w:pPr>
          </w:p>
        </w:tc>
        <w:tc>
          <w:tcPr>
            <w:tcW w:w="653" w:type="dxa"/>
            <w:tcBorders>
              <w:left w:val="single" w:sz="8" w:space="0" w:color="000000"/>
              <w:bottom w:val="nil"/>
              <w:right w:val="nil"/>
            </w:tcBorders>
          </w:tcPr>
          <w:p>
            <w:pPr>
              <w:pStyle w:val="TableParagraph"/>
              <w:rPr>
                <w:rFonts w:ascii="Times New Roman"/>
                <w:sz w:val="14"/>
              </w:rPr>
            </w:pP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7"/>
        <w:rPr>
          <w:sz w:val="20"/>
        </w:rPr>
      </w:pPr>
      <w:r>
        <w:rPr>
          <w:sz w:val="20"/>
        </w:rPr>
        <w:drawing>
          <wp:anchor distT="0" distB="0" distL="0" distR="0" allowOverlap="1" layoutInCell="1" locked="0" behindDoc="1" simplePos="0" relativeHeight="487605760">
            <wp:simplePos x="0" y="0"/>
            <wp:positionH relativeFrom="page">
              <wp:posOffset>992153</wp:posOffset>
            </wp:positionH>
            <wp:positionV relativeFrom="paragraph">
              <wp:posOffset>222872</wp:posOffset>
            </wp:positionV>
            <wp:extent cx="6278066" cy="304800"/>
            <wp:effectExtent l="0" t="0" r="0" b="0"/>
            <wp:wrapTopAndBottom/>
            <wp:docPr id="143" name="Image 143"/>
            <wp:cNvGraphicFramePr>
              <a:graphicFrameLocks/>
            </wp:cNvGraphicFramePr>
            <a:graphic>
              <a:graphicData uri="http://schemas.openxmlformats.org/drawingml/2006/picture">
                <pic:pic>
                  <pic:nvPicPr>
                    <pic:cNvPr id="143" name="Image 143"/>
                    <pic:cNvPicPr/>
                  </pic:nvPicPr>
                  <pic:blipFill>
                    <a:blip r:embed="rId71" cstate="print"/>
                    <a:stretch>
                      <a:fillRect/>
                    </a:stretch>
                  </pic:blipFill>
                  <pic:spPr>
                    <a:xfrm>
                      <a:off x="0" y="0"/>
                      <a:ext cx="6278066" cy="304800"/>
                    </a:xfrm>
                    <a:prstGeom prst="rect">
                      <a:avLst/>
                    </a:prstGeom>
                  </pic:spPr>
                </pic:pic>
              </a:graphicData>
            </a:graphic>
          </wp:anchor>
        </w:drawing>
      </w:r>
    </w:p>
    <w:p>
      <w:pPr>
        <w:pStyle w:val="BodyText"/>
        <w:spacing w:after="0"/>
        <w:rPr>
          <w:sz w:val="20"/>
        </w:rPr>
        <w:sectPr>
          <w:pgSz w:w="12240" w:h="15840"/>
          <w:pgMar w:header="0" w:footer="2440" w:top="1640" w:bottom="2640" w:left="1440" w:right="360"/>
        </w:sectPr>
      </w:pPr>
    </w:p>
    <w:p>
      <w:pPr>
        <w:spacing w:line="240" w:lineRule="auto"/>
        <w:ind w:left="3482" w:right="0" w:firstLine="0"/>
        <w:rPr>
          <w:sz w:val="20"/>
        </w:rPr>
      </w:pPr>
      <w:r>
        <w:rPr>
          <w:sz w:val="20"/>
        </w:rPr>
        <w:drawing>
          <wp:inline distT="0" distB="0" distL="0" distR="0">
            <wp:extent cx="1792862" cy="396240"/>
            <wp:effectExtent l="0" t="0" r="0" b="0"/>
            <wp:docPr id="144" name="Image 144"/>
            <wp:cNvGraphicFramePr>
              <a:graphicFrameLocks/>
            </wp:cNvGraphicFramePr>
            <a:graphic>
              <a:graphicData uri="http://schemas.openxmlformats.org/drawingml/2006/picture">
                <pic:pic>
                  <pic:nvPicPr>
                    <pic:cNvPr id="144" name="Image 144"/>
                    <pic:cNvPicPr/>
                  </pic:nvPicPr>
                  <pic:blipFill>
                    <a:blip r:embed="rId72" cstate="print"/>
                    <a:stretch>
                      <a:fillRect/>
                    </a:stretch>
                  </pic:blipFill>
                  <pic:spPr>
                    <a:xfrm>
                      <a:off x="0" y="0"/>
                      <a:ext cx="1792862" cy="396240"/>
                    </a:xfrm>
                    <a:prstGeom prst="rect">
                      <a:avLst/>
                    </a:prstGeom>
                  </pic:spPr>
                </pic:pic>
              </a:graphicData>
            </a:graphic>
          </wp:inline>
        </w:drawing>
      </w:r>
      <w:r>
        <w:rPr>
          <w:sz w:val="20"/>
        </w:rPr>
      </w:r>
    </w:p>
    <w:p>
      <w:pPr>
        <w:pStyle w:val="BodyText"/>
        <w:spacing w:before="41"/>
        <w:rPr>
          <w:sz w:val="12"/>
        </w:rPr>
      </w:pPr>
    </w:p>
    <w:p>
      <w:pPr>
        <w:spacing w:line="135" w:lineRule="exact" w:before="0"/>
        <w:ind w:left="0" w:right="557" w:firstLine="0"/>
        <w:jc w:val="center"/>
        <w:rPr>
          <w:rFonts w:ascii="Times New Roman" w:hAnsi="Times New Roman" w:cs="Times New Roman" w:eastAsia="Times New Roman"/>
          <w:sz w:val="12"/>
          <w:szCs w:val="12"/>
        </w:rPr>
      </w:pPr>
      <w:r>
        <w:rPr>
          <w:color w:val="424257"/>
          <w:w w:val="155"/>
          <w:sz w:val="13"/>
          <w:szCs w:val="13"/>
        </w:rPr>
        <w:t>'I"�</w:t>
      </w:r>
      <w:r>
        <w:rPr>
          <w:rFonts w:ascii="Times New Roman" w:hAnsi="Times New Roman" w:cs="Times New Roman" w:eastAsia="Times New Roman"/>
          <w:color w:val="465672"/>
          <w:w w:val="155"/>
          <w:sz w:val="12"/>
          <w:szCs w:val="12"/>
        </w:rPr>
        <w:t>!;5!l5l</w:t>
      </w:r>
      <w:r>
        <w:rPr>
          <w:rFonts w:ascii="Times New Roman" w:hAnsi="Times New Roman" w:cs="Times New Roman" w:eastAsia="Times New Roman"/>
          <w:color w:val="465672"/>
          <w:spacing w:val="42"/>
          <w:w w:val="155"/>
          <w:sz w:val="12"/>
          <w:szCs w:val="12"/>
        </w:rPr>
        <w:t> </w:t>
      </w:r>
      <w:r>
        <w:rPr>
          <w:rFonts w:ascii="Times New Roman" w:hAnsi="Times New Roman" w:cs="Times New Roman" w:eastAsia="Times New Roman"/>
          <w:color w:val="465672"/>
          <w:w w:val="140"/>
          <w:sz w:val="12"/>
          <w:szCs w:val="12"/>
        </w:rPr>
        <w:t>�ll!</w:t>
      </w:r>
      <w:r>
        <w:rPr>
          <w:rFonts w:ascii="Times New Roman" w:hAnsi="Times New Roman" w:cs="Times New Roman" w:eastAsia="Times New Roman"/>
          <w:color w:val="676483"/>
          <w:w w:val="140"/>
          <w:sz w:val="12"/>
          <w:szCs w:val="12"/>
        </w:rPr>
        <w:t>]</w:t>
      </w:r>
      <w:r>
        <w:rPr>
          <w:rFonts w:ascii="Times New Roman" w:hAnsi="Times New Roman" w:cs="Times New Roman" w:eastAsia="Times New Roman"/>
          <w:color w:val="777CA0"/>
          <w:w w:val="140"/>
          <w:sz w:val="12"/>
          <w:szCs w:val="12"/>
        </w:rPr>
        <w:t>/</w:t>
      </w:r>
      <w:r>
        <w:rPr>
          <w:rFonts w:ascii="Times New Roman" w:hAnsi="Times New Roman" w:cs="Times New Roman" w:eastAsia="Times New Roman"/>
          <w:color w:val="74DAF6"/>
          <w:w w:val="140"/>
          <w:sz w:val="12"/>
          <w:szCs w:val="12"/>
        </w:rPr>
        <w:t>'</w:t>
      </w:r>
      <w:r>
        <w:rPr>
          <w:rFonts w:ascii="Times New Roman" w:hAnsi="Times New Roman" w:cs="Times New Roman" w:eastAsia="Times New Roman"/>
          <w:color w:val="465672"/>
          <w:w w:val="140"/>
          <w:sz w:val="12"/>
          <w:szCs w:val="12"/>
        </w:rPr>
        <w:t>.z::!!:IZ-</w:t>
      </w:r>
      <w:r>
        <w:rPr>
          <w:rFonts w:ascii="Times New Roman" w:hAnsi="Times New Roman" w:cs="Times New Roman" w:eastAsia="Times New Roman"/>
          <w:color w:val="465672"/>
          <w:spacing w:val="-2"/>
          <w:w w:val="140"/>
          <w:sz w:val="12"/>
          <w:szCs w:val="12"/>
        </w:rPr>
        <w:t>1!1JCQ</w:t>
      </w:r>
    </w:p>
    <w:p>
      <w:pPr>
        <w:spacing w:line="179" w:lineRule="exact" w:before="0"/>
        <w:ind w:left="0" w:right="618" w:firstLine="0"/>
        <w:jc w:val="center"/>
        <w:rPr>
          <w:sz w:val="17"/>
          <w:szCs w:val="17"/>
        </w:rPr>
      </w:pPr>
      <w:r>
        <w:rPr>
          <w:color w:val="424257"/>
          <w:spacing w:val="-2"/>
          <w:w w:val="170"/>
          <w:sz w:val="17"/>
          <w:szCs w:val="17"/>
        </w:rPr>
        <w:t>�</w:t>
      </w:r>
      <w:r>
        <w:rPr>
          <w:color w:val="465672"/>
          <w:spacing w:val="-2"/>
          <w:w w:val="170"/>
          <w:sz w:val="17"/>
          <w:szCs w:val="17"/>
        </w:rPr>
        <w:t>�</w:t>
      </w:r>
      <w:r>
        <w:rPr>
          <w:color w:val="74DAF6"/>
          <w:spacing w:val="-2"/>
          <w:w w:val="170"/>
          <w:sz w:val="17"/>
          <w:szCs w:val="17"/>
        </w:rPr>
        <w:t>.</w:t>
      </w:r>
      <w:r>
        <w:rPr>
          <w:color w:val="465672"/>
          <w:spacing w:val="-2"/>
          <w:w w:val="170"/>
          <w:sz w:val="17"/>
          <w:szCs w:val="17"/>
        </w:rPr>
        <w:t>wa.</w:t>
      </w:r>
      <w:r>
        <w:rPr>
          <w:color w:val="DDAE79"/>
          <w:spacing w:val="-2"/>
          <w:w w:val="170"/>
          <w:sz w:val="17"/>
          <w:szCs w:val="17"/>
        </w:rPr>
        <w:t>:</w:t>
      </w:r>
      <w:r>
        <w:rPr>
          <w:color w:val="54545D"/>
          <w:spacing w:val="-2"/>
          <w:w w:val="170"/>
          <w:sz w:val="17"/>
          <w:szCs w:val="17"/>
        </w:rPr>
        <w:t>ccm</w:t>
      </w:r>
    </w:p>
    <w:p>
      <w:pPr>
        <w:tabs>
          <w:tab w:pos="4989" w:val="left" w:leader="dot"/>
        </w:tabs>
        <w:spacing w:line="124" w:lineRule="exact" w:before="0"/>
        <w:ind w:left="4522" w:right="0" w:firstLine="0"/>
        <w:jc w:val="left"/>
        <w:rPr>
          <w:b/>
          <w:sz w:val="11"/>
        </w:rPr>
      </w:pPr>
      <w:r>
        <w:rPr>
          <w:b/>
          <w:color w:val="7C9EAA"/>
          <w:w w:val="150"/>
          <w:sz w:val="11"/>
          <w:u w:val="double" w:color="213467"/>
        </w:rPr>
        <w:t>-</w:t>
      </w:r>
      <w:r>
        <w:rPr>
          <w:b/>
          <w:color w:val="74DAF6"/>
          <w:spacing w:val="-10"/>
          <w:w w:val="150"/>
          <w:sz w:val="11"/>
          <w:u w:val="double" w:color="213467"/>
        </w:rPr>
        <w:t>,</w:t>
      </w:r>
      <w:r>
        <w:rPr>
          <w:b/>
          <w:color w:val="74DAF6"/>
          <w:sz w:val="11"/>
          <w:u w:val="none"/>
        </w:rPr>
        <w:tab/>
      </w:r>
      <w:r>
        <w:rPr>
          <w:b/>
          <w:color w:val="465672"/>
          <w:spacing w:val="-2"/>
          <w:w w:val="150"/>
          <w:sz w:val="11"/>
          <w:u w:val="double" w:color="213467"/>
        </w:rPr>
        <w:t>,</w:t>
      </w:r>
      <w:r>
        <w:rPr>
          <w:b/>
          <w:color w:val="424257"/>
          <w:spacing w:val="-2"/>
          <w:w w:val="150"/>
          <w:sz w:val="11"/>
          <w:u w:val="double" w:color="213467"/>
        </w:rPr>
        <w:t>,</w:t>
      </w:r>
      <w:r>
        <w:rPr>
          <w:b/>
          <w:color w:val="FDD899"/>
          <w:spacing w:val="-2"/>
          <w:w w:val="150"/>
          <w:sz w:val="11"/>
          <w:u w:val="double" w:color="213467"/>
        </w:rPr>
        <w:t>.</w:t>
      </w:r>
      <w:r>
        <w:rPr>
          <w:b/>
          <w:color w:val="834956"/>
          <w:spacing w:val="-2"/>
          <w:w w:val="150"/>
          <w:sz w:val="11"/>
          <w:u w:val="double" w:color="213467"/>
        </w:rPr>
        <w:t>:</w:t>
      </w:r>
      <w:r>
        <w:rPr>
          <w:b/>
          <w:color w:val="213467"/>
          <w:spacing w:val="-2"/>
          <w:w w:val="150"/>
          <w:sz w:val="11"/>
          <w:u w:val="thick" w:color="000000"/>
        </w:rPr>
        <w:t>11</w:t>
      </w:r>
      <w:r>
        <w:rPr>
          <w:b/>
          <w:color w:val="465672"/>
          <w:spacing w:val="-2"/>
          <w:w w:val="150"/>
          <w:sz w:val="11"/>
          <w:u w:val="double" w:color="465672"/>
        </w:rPr>
        <w:t>:us</w:t>
      </w:r>
    </w:p>
    <w:p>
      <w:pPr>
        <w:pStyle w:val="BodyText"/>
        <w:spacing w:before="117"/>
        <w:rPr>
          <w:b/>
          <w:sz w:val="15"/>
        </w:rPr>
      </w:pPr>
    </w:p>
    <w:p>
      <w:pPr>
        <w:spacing w:line="247" w:lineRule="exact" w:before="1"/>
        <w:ind w:left="990" w:right="0" w:firstLine="0"/>
        <w:jc w:val="left"/>
        <w:rPr>
          <w:sz w:val="15"/>
          <w:szCs w:val="15"/>
        </w:rPr>
      </w:pPr>
      <w:r>
        <w:rPr>
          <w:sz w:val="15"/>
          <w:szCs w:val="15"/>
        </w:rPr>
        <w:drawing>
          <wp:anchor distT="0" distB="0" distL="0" distR="0" allowOverlap="1" layoutInCell="1" locked="0" behindDoc="0" simplePos="0" relativeHeight="15749120">
            <wp:simplePos x="0" y="0"/>
            <wp:positionH relativeFrom="page">
              <wp:posOffset>2832981</wp:posOffset>
            </wp:positionH>
            <wp:positionV relativeFrom="paragraph">
              <wp:posOffset>73465</wp:posOffset>
            </wp:positionV>
            <wp:extent cx="503708" cy="64085"/>
            <wp:effectExtent l="0" t="0" r="0" b="0"/>
            <wp:wrapNone/>
            <wp:docPr id="145" name="Image 145"/>
            <wp:cNvGraphicFramePr>
              <a:graphicFrameLocks/>
            </wp:cNvGraphicFramePr>
            <a:graphic>
              <a:graphicData uri="http://schemas.openxmlformats.org/drawingml/2006/picture">
                <pic:pic>
                  <pic:nvPicPr>
                    <pic:cNvPr id="145" name="Image 145"/>
                    <pic:cNvPicPr/>
                  </pic:nvPicPr>
                  <pic:blipFill>
                    <a:blip r:embed="rId73" cstate="print"/>
                    <a:stretch>
                      <a:fillRect/>
                    </a:stretch>
                  </pic:blipFill>
                  <pic:spPr>
                    <a:xfrm>
                      <a:off x="0" y="0"/>
                      <a:ext cx="503708" cy="64085"/>
                    </a:xfrm>
                    <a:prstGeom prst="rect">
                      <a:avLst/>
                    </a:prstGeom>
                  </pic:spPr>
                </pic:pic>
              </a:graphicData>
            </a:graphic>
          </wp:anchor>
        </w:drawing>
      </w:r>
      <w:r>
        <w:rPr>
          <w:color w:val="424257"/>
          <w:w w:val="110"/>
          <w:sz w:val="15"/>
          <w:szCs w:val="15"/>
        </w:rPr>
        <w:t>San</w:t>
      </w:r>
      <w:r>
        <w:rPr>
          <w:color w:val="593B50"/>
          <w:w w:val="110"/>
          <w:sz w:val="15"/>
          <w:szCs w:val="15"/>
        </w:rPr>
        <w:t>Jos</w:t>
      </w:r>
      <w:r>
        <w:rPr>
          <w:color w:val="3B2D4D"/>
          <w:w w:val="110"/>
          <w:sz w:val="15"/>
          <w:szCs w:val="15"/>
        </w:rPr>
        <w:t>é</w:t>
      </w:r>
      <w:r>
        <w:rPr>
          <w:color w:val="620F90"/>
          <w:w w:val="110"/>
          <w:sz w:val="15"/>
          <w:szCs w:val="15"/>
        </w:rPr>
        <w:t>,</w:t>
      </w:r>
      <w:r>
        <w:rPr>
          <w:color w:val="620F90"/>
          <w:spacing w:val="-15"/>
          <w:w w:val="110"/>
          <w:sz w:val="15"/>
          <w:szCs w:val="15"/>
        </w:rPr>
        <w:t> </w:t>
      </w:r>
      <w:r>
        <w:rPr>
          <w:color w:val="424257"/>
          <w:w w:val="105"/>
          <w:sz w:val="23"/>
          <w:szCs w:val="23"/>
        </w:rPr>
        <w:t>□</w:t>
      </w:r>
      <w:r>
        <w:rPr>
          <w:color w:val="3B6977"/>
          <w:w w:val="105"/>
          <w:sz w:val="15"/>
          <w:szCs w:val="15"/>
        </w:rPr>
        <w:t>9</w:t>
      </w:r>
      <w:r>
        <w:rPr>
          <w:color w:val="3B6977"/>
          <w:spacing w:val="3"/>
          <w:w w:val="105"/>
          <w:sz w:val="15"/>
          <w:szCs w:val="15"/>
        </w:rPr>
        <w:t> </w:t>
      </w:r>
      <w:r>
        <w:rPr>
          <w:color w:val="54545D"/>
          <w:w w:val="105"/>
          <w:sz w:val="15"/>
          <w:szCs w:val="15"/>
        </w:rPr>
        <w:t>de</w:t>
      </w:r>
      <w:r>
        <w:rPr>
          <w:color w:val="54545D"/>
          <w:spacing w:val="67"/>
          <w:w w:val="105"/>
          <w:sz w:val="15"/>
          <w:szCs w:val="15"/>
        </w:rPr>
        <w:t> </w:t>
      </w:r>
      <w:r>
        <w:rPr>
          <w:color w:val="3B2D4D"/>
          <w:spacing w:val="-5"/>
          <w:w w:val="105"/>
          <w:sz w:val="15"/>
          <w:szCs w:val="15"/>
        </w:rPr>
        <w:t>se�</w:t>
      </w:r>
    </w:p>
    <w:p>
      <w:pPr>
        <w:spacing w:line="166" w:lineRule="exact" w:before="0"/>
        <w:ind w:left="986" w:right="0" w:firstLine="0"/>
        <w:jc w:val="left"/>
        <w:rPr>
          <w:sz w:val="15"/>
          <w:szCs w:val="15"/>
        </w:rPr>
      </w:pPr>
      <w:r>
        <w:rPr>
          <w:b/>
          <w:bCs/>
          <w:color w:val="3B2D4D"/>
          <w:sz w:val="15"/>
          <w:szCs w:val="15"/>
        </w:rPr>
        <w:t>li1</w:t>
      </w:r>
      <w:r>
        <w:rPr>
          <w:color w:val="424257"/>
          <w:sz w:val="16"/>
          <w:szCs w:val="16"/>
        </w:rPr>
        <w:t>D.</w:t>
      </w:r>
      <w:r>
        <w:rPr>
          <w:color w:val="465672"/>
          <w:sz w:val="15"/>
          <w:szCs w:val="15"/>
        </w:rPr>
        <w:t>lil</w:t>
      </w:r>
      <w:r>
        <w:rPr>
          <w:color w:val="465672"/>
          <w:spacing w:val="2"/>
          <w:sz w:val="15"/>
          <w:szCs w:val="15"/>
        </w:rPr>
        <w:t> </w:t>
      </w:r>
      <w:r>
        <w:rPr>
          <w:color w:val="424257"/>
          <w:sz w:val="15"/>
          <w:szCs w:val="15"/>
        </w:rPr>
        <w:t>IS</w:t>
      </w:r>
      <w:r>
        <w:rPr>
          <w:color w:val="424257"/>
          <w:spacing w:val="28"/>
          <w:sz w:val="15"/>
          <w:szCs w:val="15"/>
        </w:rPr>
        <w:t> </w:t>
      </w:r>
      <w:r>
        <w:rPr>
          <w:color w:val="593B50"/>
          <w:sz w:val="15"/>
          <w:szCs w:val="15"/>
        </w:rPr>
        <w:t>-'ll�</w:t>
      </w:r>
      <w:r>
        <w:rPr>
          <w:color w:val="1F1336"/>
          <w:sz w:val="15"/>
          <w:szCs w:val="15"/>
        </w:rPr>
        <w:t>-</w:t>
      </w:r>
      <w:r>
        <w:rPr>
          <w:color w:val="424257"/>
          <w:sz w:val="15"/>
          <w:szCs w:val="15"/>
        </w:rPr>
        <w:t>2112</w:t>
      </w:r>
      <w:r>
        <w:rPr>
          <w:color w:val="424257"/>
          <w:spacing w:val="-18"/>
          <w:sz w:val="15"/>
          <w:szCs w:val="15"/>
        </w:rPr>
        <w:t> </w:t>
      </w:r>
      <w:r>
        <w:rPr>
          <w:color w:val="424257"/>
          <w:spacing w:val="-5"/>
          <w:sz w:val="15"/>
          <w:szCs w:val="15"/>
        </w:rPr>
        <w:t>G:</w:t>
      </w:r>
    </w:p>
    <w:p>
      <w:pPr>
        <w:pStyle w:val="BodyText"/>
        <w:rPr>
          <w:sz w:val="15"/>
        </w:rPr>
      </w:pPr>
    </w:p>
    <w:p>
      <w:pPr>
        <w:pStyle w:val="BodyText"/>
        <w:spacing w:before="23"/>
        <w:rPr>
          <w:sz w:val="15"/>
        </w:rPr>
      </w:pPr>
    </w:p>
    <w:p>
      <w:pPr>
        <w:spacing w:before="0"/>
        <w:ind w:left="990" w:right="0" w:firstLine="0"/>
        <w:jc w:val="left"/>
        <w:rPr>
          <w:sz w:val="15"/>
        </w:rPr>
      </w:pPr>
      <w:r>
        <w:rPr>
          <w:color w:val="54545D"/>
          <w:spacing w:val="-2"/>
          <w:sz w:val="15"/>
        </w:rPr>
        <w:t>Sel"lDiia</w:t>
      </w:r>
    </w:p>
    <w:p>
      <w:pPr>
        <w:pStyle w:val="BodyText"/>
        <w:rPr>
          <w:sz w:val="15"/>
        </w:rPr>
      </w:pPr>
    </w:p>
    <w:p>
      <w:pPr>
        <w:pStyle w:val="BodyText"/>
        <w:spacing w:before="6"/>
        <w:rPr>
          <w:sz w:val="15"/>
        </w:rPr>
      </w:pPr>
    </w:p>
    <w:p>
      <w:pPr>
        <w:spacing w:before="0"/>
        <w:ind w:left="2319" w:right="0" w:firstLine="0"/>
        <w:jc w:val="left"/>
        <w:rPr>
          <w:sz w:val="12"/>
        </w:rPr>
      </w:pPr>
      <w:r>
        <w:rPr>
          <w:sz w:val="12"/>
        </w:rPr>
        <mc:AlternateContent>
          <mc:Choice Requires="wps">
            <w:drawing>
              <wp:anchor distT="0" distB="0" distL="0" distR="0" allowOverlap="1" layoutInCell="1" locked="0" behindDoc="0" simplePos="0" relativeHeight="15749632">
                <wp:simplePos x="0" y="0"/>
                <wp:positionH relativeFrom="page">
                  <wp:posOffset>1538601</wp:posOffset>
                </wp:positionH>
                <wp:positionV relativeFrom="paragraph">
                  <wp:posOffset>-200099</wp:posOffset>
                </wp:positionV>
                <wp:extent cx="793750" cy="310515"/>
                <wp:effectExtent l="0" t="0" r="0" b="0"/>
                <wp:wrapNone/>
                <wp:docPr id="146" name="Group 146"/>
                <wp:cNvGraphicFramePr>
                  <a:graphicFrameLocks/>
                </wp:cNvGraphicFramePr>
                <a:graphic>
                  <a:graphicData uri="http://schemas.microsoft.com/office/word/2010/wordprocessingGroup">
                    <wpg:wgp>
                      <wpg:cNvPr id="146" name="Group 146"/>
                      <wpg:cNvGrpSpPr/>
                      <wpg:grpSpPr>
                        <a:xfrm>
                          <a:off x="0" y="0"/>
                          <a:ext cx="793750" cy="310515"/>
                          <a:chExt cx="793750" cy="310515"/>
                        </a:xfrm>
                      </wpg:grpSpPr>
                      <pic:pic>
                        <pic:nvPicPr>
                          <pic:cNvPr id="147" name="Image 147"/>
                          <pic:cNvPicPr/>
                        </pic:nvPicPr>
                        <pic:blipFill>
                          <a:blip r:embed="rId74" cstate="print"/>
                          <a:stretch>
                            <a:fillRect/>
                          </a:stretch>
                        </pic:blipFill>
                        <pic:spPr>
                          <a:xfrm>
                            <a:off x="0" y="0"/>
                            <a:ext cx="793723" cy="289910"/>
                          </a:xfrm>
                          <a:prstGeom prst="rect">
                            <a:avLst/>
                          </a:prstGeom>
                        </pic:spPr>
                      </pic:pic>
                      <wps:wsp>
                        <wps:cNvPr id="148" name="Textbox 148"/>
                        <wps:cNvSpPr txBox="1"/>
                        <wps:spPr>
                          <a:xfrm>
                            <a:off x="0" y="0"/>
                            <a:ext cx="793750" cy="310515"/>
                          </a:xfrm>
                          <a:prstGeom prst="rect">
                            <a:avLst/>
                          </a:prstGeom>
                        </wps:spPr>
                        <wps:txbx>
                          <w:txbxContent>
                            <w:p>
                              <w:pPr>
                                <w:spacing w:line="240" w:lineRule="auto" w:before="143"/>
                                <w:rPr>
                                  <w:sz w:val="15"/>
                                </w:rPr>
                              </w:pPr>
                            </w:p>
                            <w:p>
                              <w:pPr>
                                <w:spacing w:before="0"/>
                                <w:ind w:left="0" w:right="82" w:firstLine="0"/>
                                <w:jc w:val="right"/>
                                <w:rPr>
                                  <w:sz w:val="15"/>
                                </w:rPr>
                              </w:pPr>
                              <w:r>
                                <w:rPr>
                                  <w:rFonts w:ascii="Times New Roman"/>
                                  <w:color w:val="74DAF6"/>
                                  <w:w w:val="40"/>
                                  <w:sz w:val="7"/>
                                </w:rPr>
                                <w:t>1</w:t>
                              </w:r>
                              <w:r>
                                <w:rPr>
                                  <w:rFonts w:ascii="Times New Roman"/>
                                  <w:color w:val="74DAF6"/>
                                  <w:spacing w:val="40"/>
                                  <w:sz w:val="7"/>
                                </w:rPr>
                                <w:t> </w:t>
                              </w:r>
                              <w:r>
                                <w:rPr>
                                  <w:color w:val="593B50"/>
                                  <w:spacing w:val="-5"/>
                                  <w:w w:val="40"/>
                                  <w:sz w:val="15"/>
                                </w:rPr>
                                <w:t>de</w:t>
                              </w:r>
                            </w:p>
                          </w:txbxContent>
                        </wps:txbx>
                        <wps:bodyPr wrap="square" lIns="0" tIns="0" rIns="0" bIns="0" rtlCol="0">
                          <a:noAutofit/>
                        </wps:bodyPr>
                      </wps:wsp>
                    </wpg:wgp>
                  </a:graphicData>
                </a:graphic>
              </wp:anchor>
            </w:drawing>
          </mc:Choice>
          <mc:Fallback>
            <w:pict>
              <v:group style="position:absolute;margin-left:121.149696pt;margin-top:-15.755831pt;width:62.5pt;height:24.45pt;mso-position-horizontal-relative:page;mso-position-vertical-relative:paragraph;z-index:15749632" id="docshapegroup111" coordorigin="2423,-315" coordsize="1250,489">
                <v:shape style="position:absolute;left:2423;top:-316;width:1250;height:457" type="#_x0000_t75" id="docshape112" stroked="false">
                  <v:imagedata r:id="rId74" o:title=""/>
                </v:shape>
                <v:shape style="position:absolute;left:2423;top:-316;width:1250;height:489" type="#_x0000_t202" id="docshape113" filled="false" stroked="false">
                  <v:textbox inset="0,0,0,0">
                    <w:txbxContent>
                      <w:p>
                        <w:pPr>
                          <w:spacing w:line="240" w:lineRule="auto" w:before="143"/>
                          <w:rPr>
                            <w:sz w:val="15"/>
                          </w:rPr>
                        </w:pPr>
                      </w:p>
                      <w:p>
                        <w:pPr>
                          <w:spacing w:before="0"/>
                          <w:ind w:left="0" w:right="82" w:firstLine="0"/>
                          <w:jc w:val="right"/>
                          <w:rPr>
                            <w:sz w:val="15"/>
                          </w:rPr>
                        </w:pPr>
                        <w:r>
                          <w:rPr>
                            <w:rFonts w:ascii="Times New Roman"/>
                            <w:color w:val="74DAF6"/>
                            <w:w w:val="40"/>
                            <w:sz w:val="7"/>
                          </w:rPr>
                          <w:t>1</w:t>
                        </w:r>
                        <w:r>
                          <w:rPr>
                            <w:rFonts w:ascii="Times New Roman"/>
                            <w:color w:val="74DAF6"/>
                            <w:spacing w:val="40"/>
                            <w:sz w:val="7"/>
                          </w:rPr>
                          <w:t> </w:t>
                        </w:r>
                        <w:r>
                          <w:rPr>
                            <w:color w:val="593B50"/>
                            <w:spacing w:val="-5"/>
                            <w:w w:val="40"/>
                            <w:sz w:val="15"/>
                          </w:rPr>
                          <w:t>de</w:t>
                        </w:r>
                      </w:p>
                    </w:txbxContent>
                  </v:textbox>
                  <w10:wrap type="none"/>
                </v:shape>
                <w10:wrap type="none"/>
              </v:group>
            </w:pict>
          </mc:Fallback>
        </mc:AlternateContent>
      </w:r>
      <w:r>
        <w:rPr>
          <w:color w:val="54545D"/>
          <w:spacing w:val="-5"/>
          <w:sz w:val="15"/>
        </w:rPr>
        <w:t>li.J</w:t>
      </w:r>
      <w:r>
        <w:rPr>
          <w:color w:val="6B2349"/>
          <w:spacing w:val="-5"/>
          <w:sz w:val="15"/>
        </w:rPr>
        <w:t>I..</w:t>
      </w:r>
      <w:r>
        <w:rPr>
          <w:color w:val="245670"/>
          <w:spacing w:val="-5"/>
          <w:sz w:val="15"/>
        </w:rPr>
        <w:t>H</w:t>
      </w:r>
      <w:r>
        <w:rPr>
          <w:color w:val="527B77"/>
          <w:spacing w:val="-5"/>
          <w:sz w:val="15"/>
        </w:rPr>
        <w:t>l</w:t>
      </w:r>
      <w:r>
        <w:rPr>
          <w:color w:val="3B2D4D"/>
          <w:spacing w:val="-5"/>
          <w:sz w:val="15"/>
        </w:rPr>
        <w:t>a</w:t>
      </w:r>
      <w:r>
        <w:rPr>
          <w:color w:val="74DAF6"/>
          <w:spacing w:val="-5"/>
          <w:sz w:val="15"/>
        </w:rPr>
        <w:t>1</w:t>
      </w:r>
      <w:r>
        <w:rPr>
          <w:color w:val="54545D"/>
          <w:spacing w:val="-5"/>
          <w:sz w:val="12"/>
        </w:rPr>
        <w:t>$</w:t>
      </w:r>
      <w:r>
        <w:rPr>
          <w:color w:val="54545D"/>
          <w:spacing w:val="68"/>
          <w:w w:val="150"/>
          <w:sz w:val="12"/>
        </w:rPr>
        <w:t> </w:t>
      </w:r>
      <w:r>
        <w:rPr>
          <w:color w:val="E8B342"/>
          <w:spacing w:val="-10"/>
          <w:sz w:val="12"/>
        </w:rPr>
        <w:t>.</w:t>
      </w:r>
    </w:p>
    <w:p>
      <w:pPr>
        <w:spacing w:after="0"/>
        <w:jc w:val="left"/>
        <w:rPr>
          <w:sz w:val="12"/>
        </w:rPr>
        <w:sectPr>
          <w:pgSz w:w="12240" w:h="15840"/>
          <w:pgMar w:header="0" w:footer="2440" w:top="1780" w:bottom="2640" w:left="1440" w:right="360"/>
        </w:sectPr>
      </w:pPr>
    </w:p>
    <w:p>
      <w:pPr>
        <w:pStyle w:val="BodyText"/>
        <w:spacing w:before="4"/>
        <w:rPr>
          <w:sz w:val="17"/>
        </w:rPr>
      </w:pPr>
    </w:p>
    <w:p>
      <w:pPr>
        <w:spacing w:line="134" w:lineRule="exact"/>
        <w:ind w:left="983" w:right="0" w:firstLine="0"/>
        <w:rPr>
          <w:position w:val="-2"/>
          <w:sz w:val="13"/>
        </w:rPr>
      </w:pPr>
      <w:r>
        <w:rPr>
          <w:position w:val="-2"/>
          <w:sz w:val="13"/>
        </w:rPr>
        <w:drawing>
          <wp:inline distT="0" distB="0" distL="0" distR="0">
            <wp:extent cx="731780" cy="85344"/>
            <wp:effectExtent l="0" t="0" r="0" b="0"/>
            <wp:docPr id="149" name="Image 149"/>
            <wp:cNvGraphicFramePr>
              <a:graphicFrameLocks/>
            </wp:cNvGraphicFramePr>
            <a:graphic>
              <a:graphicData uri="http://schemas.openxmlformats.org/drawingml/2006/picture">
                <pic:pic>
                  <pic:nvPicPr>
                    <pic:cNvPr id="149" name="Image 149"/>
                    <pic:cNvPicPr/>
                  </pic:nvPicPr>
                  <pic:blipFill>
                    <a:blip r:embed="rId75" cstate="print"/>
                    <a:stretch>
                      <a:fillRect/>
                    </a:stretch>
                  </pic:blipFill>
                  <pic:spPr>
                    <a:xfrm>
                      <a:off x="0" y="0"/>
                      <a:ext cx="731780" cy="85344"/>
                    </a:xfrm>
                    <a:prstGeom prst="rect">
                      <a:avLst/>
                    </a:prstGeom>
                  </pic:spPr>
                </pic:pic>
              </a:graphicData>
            </a:graphic>
          </wp:inline>
        </w:drawing>
      </w:r>
      <w:r>
        <w:rPr>
          <w:position w:val="-2"/>
          <w:sz w:val="13"/>
        </w:rPr>
      </w:r>
    </w:p>
    <w:p>
      <w:pPr>
        <w:spacing w:before="163"/>
        <w:ind w:left="983" w:right="0" w:firstLine="0"/>
        <w:jc w:val="left"/>
        <w:rPr>
          <w:sz w:val="16"/>
        </w:rPr>
      </w:pPr>
      <w:r>
        <w:rPr>
          <w:color w:val="424257"/>
          <w:spacing w:val="-2"/>
          <w:w w:val="80"/>
          <w:sz w:val="17"/>
        </w:rPr>
        <w:t>E.61:1</w:t>
      </w:r>
      <w:r>
        <w:rPr>
          <w:color w:val="424257"/>
          <w:spacing w:val="64"/>
          <w:sz w:val="17"/>
        </w:rPr>
        <w:t> </w:t>
      </w:r>
      <w:r>
        <w:rPr>
          <w:color w:val="424257"/>
          <w:spacing w:val="-2"/>
          <w:w w:val="80"/>
          <w:sz w:val="16"/>
        </w:rPr>
        <w:t>adl3</w:t>
      </w:r>
      <w:r>
        <w:rPr>
          <w:color w:val="424257"/>
          <w:spacing w:val="-9"/>
          <w:sz w:val="16"/>
        </w:rPr>
        <w:t> </w:t>
      </w:r>
      <w:r>
        <w:rPr>
          <w:color w:val="3B2D4D"/>
          <w:spacing w:val="-2"/>
          <w:w w:val="80"/>
          <w:sz w:val="16"/>
        </w:rPr>
        <w:t>i:E</w:t>
      </w:r>
      <w:r>
        <w:rPr>
          <w:color w:val="54545D"/>
          <w:spacing w:val="-2"/>
          <w:w w:val="80"/>
          <w:sz w:val="16"/>
        </w:rPr>
        <w:t>l\.ora:</w:t>
      </w:r>
    </w:p>
    <w:p>
      <w:pPr>
        <w:pStyle w:val="BodyText"/>
        <w:spacing w:before="6"/>
        <w:rPr>
          <w:sz w:val="15"/>
        </w:rPr>
      </w:pPr>
      <w:r>
        <w:rPr/>
        <w:br w:type="column"/>
      </w:r>
      <w:r>
        <w:rPr>
          <w:sz w:val="15"/>
        </w:rPr>
      </w:r>
    </w:p>
    <w:p>
      <w:pPr>
        <w:tabs>
          <w:tab w:pos="873" w:val="left" w:leader="none"/>
        </w:tabs>
        <w:spacing w:before="0"/>
        <w:ind w:left="31" w:right="0" w:firstLine="0"/>
        <w:jc w:val="left"/>
        <w:rPr>
          <w:sz w:val="15"/>
        </w:rPr>
      </w:pPr>
      <w:r>
        <w:rPr>
          <w:rFonts w:ascii="Times New Roman" w:hAnsi="Times New Roman"/>
          <w:color w:val="3B2D4D"/>
          <w:spacing w:val="-2"/>
          <w:sz w:val="14"/>
        </w:rPr>
        <w:t>9111118</w:t>
      </w:r>
      <w:r>
        <w:rPr>
          <w:rFonts w:ascii="Times New Roman" w:hAnsi="Times New Roman"/>
          <w:color w:val="74DAF6"/>
          <w:spacing w:val="-2"/>
          <w:sz w:val="14"/>
        </w:rPr>
        <w:t>1</w:t>
      </w:r>
      <w:r>
        <w:rPr>
          <w:color w:val="54545D"/>
          <w:spacing w:val="-2"/>
          <w:sz w:val="15"/>
        </w:rPr>
        <w:t>'!.i'</w:t>
      </w:r>
      <w:r>
        <w:rPr>
          <w:color w:val="54545D"/>
          <w:sz w:val="15"/>
        </w:rPr>
        <w:tab/>
      </w:r>
      <w:r>
        <w:rPr>
          <w:color w:val="3B2D4D"/>
          <w:sz w:val="15"/>
        </w:rPr>
        <w:t>ula€!10</w:t>
      </w:r>
      <w:r>
        <w:rPr>
          <w:color w:val="3B2D4D"/>
          <w:spacing w:val="77"/>
          <w:w w:val="150"/>
          <w:sz w:val="15"/>
        </w:rPr>
        <w:t> </w:t>
      </w:r>
      <w:r>
        <w:rPr>
          <w:color w:val="44132A"/>
          <w:sz w:val="15"/>
        </w:rPr>
        <w:t>d</w:t>
      </w:r>
      <w:r>
        <w:rPr>
          <w:color w:val="3B2D4D"/>
          <w:sz w:val="15"/>
        </w:rPr>
        <w:t>e</w:t>
      </w:r>
      <w:r>
        <w:rPr>
          <w:color w:val="3B2D4D"/>
          <w:spacing w:val="45"/>
          <w:sz w:val="15"/>
        </w:rPr>
        <w:t>  </w:t>
      </w:r>
      <w:r>
        <w:rPr>
          <w:color w:val="74DAF6"/>
          <w:sz w:val="15"/>
        </w:rPr>
        <w:t>1</w:t>
      </w:r>
      <w:r>
        <w:rPr>
          <w:color w:val="424257"/>
          <w:sz w:val="15"/>
        </w:rPr>
        <w:t>11:i!iPP</w:t>
      </w:r>
      <w:r>
        <w:rPr>
          <w:color w:val="424257"/>
          <w:spacing w:val="-10"/>
          <w:sz w:val="15"/>
        </w:rPr>
        <w:t> </w:t>
      </w:r>
      <w:r>
        <w:rPr>
          <w:i/>
          <w:color w:val="424257"/>
          <w:sz w:val="15"/>
        </w:rPr>
        <w:t>2021</w:t>
      </w:r>
      <w:r>
        <w:rPr>
          <w:i/>
          <w:color w:val="424257"/>
          <w:spacing w:val="-2"/>
          <w:sz w:val="15"/>
        </w:rPr>
        <w:t> </w:t>
      </w:r>
      <w:r>
        <w:rPr>
          <w:rFonts w:ascii="Times New Roman" w:hAnsi="Times New Roman"/>
          <w:color w:val="424257"/>
          <w:sz w:val="14"/>
        </w:rPr>
        <w:t>ICOil</w:t>
      </w:r>
      <w:r>
        <w:rPr>
          <w:rFonts w:ascii="Times New Roman" w:hAnsi="Times New Roman"/>
          <w:color w:val="424257"/>
          <w:spacing w:val="33"/>
          <w:sz w:val="14"/>
        </w:rPr>
        <w:t>  </w:t>
      </w:r>
      <w:r>
        <w:rPr>
          <w:color w:val="465672"/>
          <w:sz w:val="15"/>
        </w:rPr>
        <w:t>I</w:t>
      </w:r>
      <w:r>
        <w:rPr>
          <w:color w:val="465672"/>
          <w:spacing w:val="3"/>
          <w:sz w:val="15"/>
        </w:rPr>
        <w:t> </w:t>
      </w:r>
      <w:r>
        <w:rPr>
          <w:b/>
          <w:color w:val="424257"/>
          <w:sz w:val="15"/>
        </w:rPr>
        <w:t>PJílO:P</w:t>
      </w:r>
      <w:r>
        <w:rPr>
          <w:b/>
          <w:color w:val="424257"/>
          <w:spacing w:val="7"/>
          <w:sz w:val="15"/>
        </w:rPr>
        <w:t> </w:t>
      </w:r>
      <w:r>
        <w:rPr>
          <w:color w:val="424257"/>
          <w:sz w:val="15"/>
        </w:rPr>
        <w:t>211iZ1</w:t>
      </w:r>
      <w:r>
        <w:rPr>
          <w:color w:val="1F1336"/>
          <w:sz w:val="15"/>
        </w:rPr>
        <w:t>-</w:t>
      </w:r>
      <w:r>
        <w:rPr>
          <w:color w:val="424257"/>
          <w:spacing w:val="-2"/>
          <w:sz w:val="15"/>
        </w:rPr>
        <w:t>::i!03lll</w:t>
      </w:r>
    </w:p>
    <w:p>
      <w:pPr>
        <w:pStyle w:val="BodyText"/>
        <w:rPr>
          <w:sz w:val="15"/>
        </w:rPr>
      </w:pPr>
    </w:p>
    <w:p>
      <w:pPr>
        <w:pStyle w:val="BodyText"/>
        <w:spacing w:before="75"/>
        <w:rPr>
          <w:sz w:val="15"/>
        </w:rPr>
      </w:pPr>
    </w:p>
    <w:p>
      <w:pPr>
        <w:tabs>
          <w:tab w:pos="2287" w:val="left" w:leader="none"/>
          <w:tab w:pos="4093" w:val="left" w:leader="none"/>
        </w:tabs>
        <w:spacing w:line="226" w:lineRule="exact" w:before="0"/>
        <w:ind w:left="1694" w:right="0" w:firstLine="0"/>
        <w:jc w:val="left"/>
        <w:rPr>
          <w:sz w:val="20"/>
          <w:szCs w:val="20"/>
        </w:rPr>
      </w:pPr>
      <w:r>
        <w:rPr>
          <w:sz w:val="20"/>
          <w:szCs w:val="20"/>
        </w:rPr>
        <w:drawing>
          <wp:anchor distT="0" distB="0" distL="0" distR="0" allowOverlap="1" layoutInCell="1" locked="0" behindDoc="0" simplePos="0" relativeHeight="15750144">
            <wp:simplePos x="0" y="0"/>
            <wp:positionH relativeFrom="page">
              <wp:posOffset>1538601</wp:posOffset>
            </wp:positionH>
            <wp:positionV relativeFrom="paragraph">
              <wp:posOffset>55300</wp:posOffset>
            </wp:positionV>
            <wp:extent cx="1929357" cy="119016"/>
            <wp:effectExtent l="0" t="0" r="0" b="0"/>
            <wp:wrapNone/>
            <wp:docPr id="150" name="Image 150"/>
            <wp:cNvGraphicFramePr>
              <a:graphicFrameLocks/>
            </wp:cNvGraphicFramePr>
            <a:graphic>
              <a:graphicData uri="http://schemas.openxmlformats.org/drawingml/2006/picture">
                <pic:pic>
                  <pic:nvPicPr>
                    <pic:cNvPr id="150" name="Image 150"/>
                    <pic:cNvPicPr/>
                  </pic:nvPicPr>
                  <pic:blipFill>
                    <a:blip r:embed="rId76" cstate="print"/>
                    <a:stretch>
                      <a:fillRect/>
                    </a:stretch>
                  </pic:blipFill>
                  <pic:spPr>
                    <a:xfrm>
                      <a:off x="0" y="0"/>
                      <a:ext cx="1929357" cy="119016"/>
                    </a:xfrm>
                    <a:prstGeom prst="rect">
                      <a:avLst/>
                    </a:prstGeom>
                  </pic:spPr>
                </pic:pic>
              </a:graphicData>
            </a:graphic>
          </wp:anchor>
        </w:drawing>
      </w:r>
      <w:r>
        <w:rPr>
          <w:color w:val="3B2D4D"/>
          <w:spacing w:val="-5"/>
          <w:w w:val="85"/>
          <w:sz w:val="17"/>
          <w:szCs w:val="17"/>
        </w:rPr>
        <w:t>p�</w:t>
      </w:r>
      <w:r>
        <w:rPr>
          <w:color w:val="3B2D4D"/>
          <w:sz w:val="17"/>
          <w:szCs w:val="17"/>
        </w:rPr>
        <w:tab/>
      </w:r>
      <w:r>
        <w:rPr>
          <w:color w:val="74DAF6"/>
          <w:spacing w:val="-10"/>
          <w:w w:val="75"/>
          <w:sz w:val="17"/>
          <w:szCs w:val="17"/>
        </w:rPr>
        <w:t>•</w:t>
      </w:r>
      <w:r>
        <w:rPr>
          <w:color w:val="74DAF6"/>
          <w:sz w:val="17"/>
          <w:szCs w:val="17"/>
        </w:rPr>
        <w:tab/>
      </w:r>
      <w:r>
        <w:rPr>
          <w:color w:val="465672"/>
          <w:spacing w:val="-2"/>
          <w:w w:val="85"/>
          <w:sz w:val="20"/>
          <w:szCs w:val="20"/>
        </w:rPr>
        <w:t>=im</w:t>
      </w:r>
      <w:r>
        <w:rPr>
          <w:color w:val="424257"/>
          <w:spacing w:val="-2"/>
          <w:w w:val="85"/>
          <w:sz w:val="20"/>
          <w:szCs w:val="20"/>
        </w:rPr>
        <w:t>cac:</w:t>
      </w:r>
      <w:r>
        <w:rPr>
          <w:color w:val="1C8ABF"/>
          <w:spacing w:val="-2"/>
          <w:w w:val="85"/>
          <w:sz w:val="20"/>
          <w:szCs w:val="20"/>
        </w:rPr>
        <w:t>1</w:t>
      </w:r>
    </w:p>
    <w:p>
      <w:pPr>
        <w:pStyle w:val="BodyText"/>
        <w:rPr>
          <w:sz w:val="20"/>
        </w:rPr>
      </w:pPr>
      <w:r>
        <w:rPr/>
        <w:br w:type="column"/>
      </w:r>
      <w:r>
        <w:rPr>
          <w:sz w:val="20"/>
        </w:rPr>
      </w:r>
    </w:p>
    <w:p>
      <w:pPr>
        <w:pStyle w:val="BodyText"/>
        <w:rPr>
          <w:sz w:val="20"/>
        </w:rPr>
      </w:pPr>
    </w:p>
    <w:p>
      <w:pPr>
        <w:pStyle w:val="BodyText"/>
        <w:spacing w:before="81"/>
        <w:rPr>
          <w:sz w:val="20"/>
        </w:rPr>
      </w:pPr>
    </w:p>
    <w:p>
      <w:pPr>
        <w:pStyle w:val="ListParagraph"/>
        <w:numPr>
          <w:ilvl w:val="0"/>
          <w:numId w:val="42"/>
        </w:numPr>
        <w:tabs>
          <w:tab w:pos="1077" w:val="left" w:leader="none"/>
        </w:tabs>
        <w:spacing w:line="226" w:lineRule="exact" w:before="0" w:after="0"/>
        <w:ind w:left="1077" w:right="0" w:hanging="95"/>
        <w:jc w:val="left"/>
        <w:rPr>
          <w:color w:val="DFC36B"/>
          <w:sz w:val="20"/>
          <w:szCs w:val="20"/>
        </w:rPr>
      </w:pPr>
      <w:r>
        <w:rPr>
          <w:sz w:val="20"/>
          <w:szCs w:val="20"/>
        </w:rPr>
        <mc:AlternateContent>
          <mc:Choice Requires="wps">
            <w:drawing>
              <wp:anchor distT="0" distB="0" distL="0" distR="0" allowOverlap="1" layoutInCell="1" locked="0" behindDoc="0" simplePos="0" relativeHeight="15752704">
                <wp:simplePos x="0" y="0"/>
                <wp:positionH relativeFrom="page">
                  <wp:posOffset>6301655</wp:posOffset>
                </wp:positionH>
                <wp:positionV relativeFrom="paragraph">
                  <wp:posOffset>141810</wp:posOffset>
                </wp:positionV>
                <wp:extent cx="12700" cy="139065"/>
                <wp:effectExtent l="0" t="0" r="0" b="0"/>
                <wp:wrapNone/>
                <wp:docPr id="151" name="Graphic 151"/>
                <wp:cNvGraphicFramePr>
                  <a:graphicFrameLocks/>
                </wp:cNvGraphicFramePr>
                <a:graphic>
                  <a:graphicData uri="http://schemas.microsoft.com/office/word/2010/wordprocessingShape">
                    <wps:wsp>
                      <wps:cNvPr id="151" name="Graphic 151"/>
                      <wps:cNvSpPr/>
                      <wps:spPr>
                        <a:xfrm>
                          <a:off x="0" y="0"/>
                          <a:ext cx="12700" cy="139065"/>
                        </a:xfrm>
                        <a:custGeom>
                          <a:avLst/>
                          <a:gdLst/>
                          <a:ahLst/>
                          <a:cxnLst/>
                          <a:rect l="l" t="t" r="r" b="b"/>
                          <a:pathLst>
                            <a:path w="12700" h="139065">
                              <a:moveTo>
                                <a:pt x="12211" y="138776"/>
                              </a:moveTo>
                              <a:lnTo>
                                <a:pt x="0" y="138776"/>
                              </a:lnTo>
                              <a:lnTo>
                                <a:pt x="0" y="0"/>
                              </a:lnTo>
                              <a:lnTo>
                                <a:pt x="12211" y="0"/>
                              </a:lnTo>
                              <a:lnTo>
                                <a:pt x="12211" y="138776"/>
                              </a:lnTo>
                              <a:close/>
                            </a:path>
                          </a:pathLst>
                        </a:custGeom>
                        <a:solidFill>
                          <a:srgbClr val="CFDFBC"/>
                        </a:solidFill>
                      </wps:spPr>
                      <wps:bodyPr wrap="square" lIns="0" tIns="0" rIns="0" bIns="0" rtlCol="0">
                        <a:prstTxWarp prst="textNoShape">
                          <a:avLst/>
                        </a:prstTxWarp>
                        <a:noAutofit/>
                      </wps:bodyPr>
                    </wps:wsp>
                  </a:graphicData>
                </a:graphic>
              </wp:anchor>
            </w:drawing>
          </mc:Choice>
          <mc:Fallback>
            <w:pict>
              <v:rect style="position:absolute;margin-left:496.193329pt;margin-top:11.166152pt;width:.961506pt;height:10.927288pt;mso-position-horizontal-relative:page;mso-position-vertical-relative:paragraph;z-index:15752704" id="docshape114" filled="true" fillcolor="#cfdfbc" stroked="false">
                <v:fill type="solid"/>
                <w10:wrap type="none"/>
              </v:rect>
            </w:pict>
          </mc:Fallback>
        </mc:AlternateContent>
      </w:r>
      <w:r>
        <w:rPr>
          <w:color w:val="603A70"/>
          <w:spacing w:val="-5"/>
          <w:sz w:val="20"/>
          <w:szCs w:val="20"/>
        </w:rPr>
        <w:t>�</w:t>
      </w:r>
      <w:r>
        <w:rPr>
          <w:color w:val="424257"/>
          <w:spacing w:val="-5"/>
          <w:sz w:val="20"/>
          <w:szCs w:val="20"/>
        </w:rPr>
        <w:t>a</w:t>
      </w:r>
    </w:p>
    <w:p>
      <w:pPr>
        <w:pStyle w:val="ListParagraph"/>
        <w:spacing w:after="0" w:line="226" w:lineRule="exact"/>
        <w:jc w:val="left"/>
        <w:rPr>
          <w:sz w:val="20"/>
          <w:szCs w:val="20"/>
        </w:rPr>
        <w:sectPr>
          <w:type w:val="continuous"/>
          <w:pgSz w:w="12240" w:h="15840"/>
          <w:pgMar w:header="0" w:footer="2440" w:top="1820" w:bottom="280" w:left="1440" w:right="360"/>
          <w:cols w:num="3" w:equalWidth="0">
            <w:col w:w="2339" w:space="40"/>
            <w:col w:w="4934" w:space="84"/>
            <w:col w:w="3043"/>
          </w:cols>
        </w:sectPr>
      </w:pPr>
    </w:p>
    <w:p>
      <w:pPr>
        <w:tabs>
          <w:tab w:pos="2720" w:val="left" w:leader="none"/>
        </w:tabs>
        <w:spacing w:line="216" w:lineRule="auto" w:before="37"/>
        <w:ind w:left="986" w:right="0" w:firstLine="4"/>
        <w:jc w:val="left"/>
        <w:rPr>
          <w:rFonts w:ascii="Times New Roman" w:hAnsi="Times New Roman" w:cs="Times New Roman" w:eastAsia="Times New Roman"/>
          <w:sz w:val="16"/>
          <w:szCs w:val="16"/>
        </w:rPr>
      </w:pPr>
      <w:r>
        <w:rPr>
          <w:color w:val="3B2D4D"/>
          <w:spacing w:val="-2"/>
          <w:sz w:val="11"/>
          <w:szCs w:val="11"/>
        </w:rPr>
        <w:t>prew</w:t>
      </w:r>
      <w:r>
        <w:rPr>
          <w:color w:val="003659"/>
          <w:spacing w:val="-2"/>
          <w:sz w:val="11"/>
          <w:szCs w:val="11"/>
        </w:rPr>
        <w:t>,</w:t>
      </w:r>
      <w:r>
        <w:rPr>
          <w:color w:val="F6C657"/>
          <w:spacing w:val="-2"/>
          <w:sz w:val="11"/>
          <w:szCs w:val="11"/>
        </w:rPr>
        <w:t>.</w:t>
      </w:r>
      <w:r>
        <w:rPr>
          <w:color w:val="3B6977"/>
          <w:spacing w:val="-2"/>
          <w:sz w:val="11"/>
          <w:szCs w:val="11"/>
        </w:rPr>
        <w:t>""</w:t>
      </w:r>
      <w:r>
        <w:rPr>
          <w:color w:val="424257"/>
          <w:spacing w:val="-2"/>
          <w:sz w:val="11"/>
          <w:szCs w:val="11"/>
        </w:rPr>
        <w:t>u</w:t>
      </w:r>
      <w:r>
        <w:rPr>
          <w:color w:val="B1C18A"/>
          <w:spacing w:val="-2"/>
          <w:sz w:val="11"/>
          <w:szCs w:val="11"/>
        </w:rPr>
        <w:t>.</w:t>
      </w:r>
      <w:r>
        <w:rPr>
          <w:color w:val="3B2D4D"/>
          <w:spacing w:val="-2"/>
          <w:sz w:val="11"/>
          <w:szCs w:val="11"/>
        </w:rPr>
        <w:t>=</w:t>
      </w:r>
      <w:r>
        <w:rPr>
          <w:color w:val="465672"/>
          <w:spacing w:val="-2"/>
          <w:sz w:val="11"/>
          <w:szCs w:val="11"/>
        </w:rPr>
        <w:t>Li::111</w:t>
      </w:r>
      <w:r>
        <w:rPr>
          <w:color w:val="85893F"/>
          <w:spacing w:val="-2"/>
          <w:sz w:val="11"/>
          <w:szCs w:val="11"/>
        </w:rPr>
        <w:t>,</w:t>
      </w:r>
      <w:r>
        <w:rPr>
          <w:color w:val="54545D"/>
          <w:spacing w:val="-2"/>
          <w:sz w:val="11"/>
          <w:szCs w:val="11"/>
        </w:rPr>
        <w:t>o:::i</w:t>
      </w:r>
      <w:r>
        <w:rPr>
          <w:color w:val="6EB1D1"/>
          <w:spacing w:val="-2"/>
          <w:sz w:val="11"/>
          <w:szCs w:val="11"/>
        </w:rPr>
        <w:t>,</w:t>
      </w:r>
      <w:r>
        <w:rPr>
          <w:color w:val="6EB1D1"/>
          <w:sz w:val="11"/>
          <w:szCs w:val="11"/>
        </w:rPr>
        <w:tab/>
      </w:r>
      <w:r>
        <w:rPr>
          <w:color w:val="424257"/>
          <w:spacing w:val="-4"/>
          <w:sz w:val="15"/>
          <w:szCs w:val="15"/>
        </w:rPr>
        <w:t>Glb</w:t>
      </w:r>
      <w:r>
        <w:rPr>
          <w:color w:val="424257"/>
          <w:sz w:val="15"/>
          <w:szCs w:val="15"/>
        </w:rPr>
        <w:t> </w:t>
      </w:r>
      <w:r>
        <w:rPr>
          <w:color w:val="54545D"/>
          <w:sz w:val="15"/>
          <w:szCs w:val="15"/>
        </w:rPr>
        <w:t>M</w:t>
      </w:r>
      <w:r>
        <w:rPr>
          <w:color w:val="3B2D4D"/>
          <w:sz w:val="15"/>
          <w:szCs w:val="15"/>
        </w:rPr>
        <w:t>e'.l:ootí</w:t>
      </w:r>
      <w:r>
        <w:rPr>
          <w:color w:val="465672"/>
          <w:sz w:val="15"/>
          <w:szCs w:val="15"/>
        </w:rPr>
        <w:t>lóglell!S</w:t>
      </w:r>
      <w:r>
        <w:rPr>
          <w:color w:val="465672"/>
          <w:spacing w:val="40"/>
          <w:sz w:val="15"/>
          <w:szCs w:val="15"/>
        </w:rPr>
        <w:t> </w:t>
      </w:r>
      <w:r>
        <w:rPr>
          <w:color w:val="424257"/>
          <w:sz w:val="16"/>
          <w:szCs w:val="16"/>
        </w:rPr>
        <w:t>pa.ra</w:t>
      </w:r>
      <w:r>
        <w:rPr>
          <w:color w:val="424257"/>
          <w:spacing w:val="40"/>
          <w:sz w:val="16"/>
          <w:szCs w:val="16"/>
        </w:rPr>
        <w:t> </w:t>
      </w:r>
      <w:r>
        <w:rPr>
          <w:color w:val="F6C657"/>
          <w:sz w:val="15"/>
          <w:szCs w:val="15"/>
        </w:rPr>
        <w:t>[</w:t>
      </w:r>
      <w:r>
        <w:rPr>
          <w:color w:val="1C8ABF"/>
          <w:sz w:val="15"/>
          <w:szCs w:val="15"/>
        </w:rPr>
        <w:t>l</w:t>
      </w:r>
      <w:r>
        <w:rPr>
          <w:color w:val="465672"/>
          <w:sz w:val="15"/>
          <w:szCs w:val="15"/>
        </w:rPr>
        <w:t>a</w:t>
      </w:r>
      <w:r>
        <w:rPr>
          <w:color w:val="465672"/>
          <w:spacing w:val="40"/>
          <w:sz w:val="15"/>
          <w:szCs w:val="15"/>
        </w:rPr>
        <w:t> </w:t>
      </w:r>
      <w:r>
        <w:rPr>
          <w:rFonts w:ascii="Times New Roman" w:hAnsi="Times New Roman" w:cs="Times New Roman" w:eastAsia="Times New Roman"/>
          <w:color w:val="F6C657"/>
          <w:w w:val="90"/>
          <w:sz w:val="14"/>
          <w:szCs w:val="14"/>
        </w:rPr>
        <w:t>1</w:t>
      </w:r>
      <w:r>
        <w:rPr>
          <w:rFonts w:ascii="Times New Roman" w:hAnsi="Times New Roman" w:cs="Times New Roman" w:eastAsia="Times New Roman"/>
          <w:color w:val="F6C657"/>
          <w:spacing w:val="40"/>
          <w:sz w:val="14"/>
          <w:szCs w:val="14"/>
        </w:rPr>
        <w:t> </w:t>
      </w:r>
      <w:r>
        <w:rPr>
          <w:color w:val="424257"/>
          <w:sz w:val="16"/>
          <w:szCs w:val="16"/>
        </w:rPr>
        <w:t>e:B!J,¡t,�</w:t>
      </w:r>
      <w:r>
        <w:rPr>
          <w:color w:val="851387"/>
          <w:sz w:val="16"/>
          <w:szCs w:val="16"/>
        </w:rPr>
        <w:t>1</w:t>
      </w:r>
      <w:r>
        <w:rPr>
          <w:color w:val="465672"/>
          <w:sz w:val="16"/>
          <w:szCs w:val="16"/>
        </w:rPr>
        <w:t>ca </w:t>
      </w:r>
      <w:r>
        <w:rPr>
          <w:color w:val="593B50"/>
          <w:sz w:val="16"/>
          <w:szCs w:val="16"/>
        </w:rPr>
        <w:t>e</w:t>
      </w:r>
      <w:r>
        <w:rPr>
          <w:color w:val="364682"/>
          <w:sz w:val="20"/>
          <w:szCs w:val="20"/>
        </w:rPr>
        <w:t>□</w:t>
      </w:r>
      <w:r>
        <w:rPr>
          <w:color w:val="424257"/>
          <w:sz w:val="16"/>
          <w:szCs w:val="16"/>
        </w:rPr>
        <w:t>e</w:t>
      </w:r>
      <w:r>
        <w:rPr>
          <w:color w:val="1C8ABF"/>
          <w:sz w:val="16"/>
          <w:szCs w:val="16"/>
        </w:rPr>
        <w:t>l</w:t>
      </w:r>
      <w:r>
        <w:rPr>
          <w:color w:val="1C8ABF"/>
          <w:spacing w:val="-5"/>
          <w:sz w:val="16"/>
          <w:szCs w:val="16"/>
        </w:rPr>
        <w:t> </w:t>
      </w:r>
      <w:r>
        <w:rPr>
          <w:color w:val="54545D"/>
          <w:sz w:val="16"/>
          <w:szCs w:val="16"/>
        </w:rPr>
        <w:t>seatcr </w:t>
      </w:r>
      <w:r>
        <w:rPr>
          <w:color w:val="54545D"/>
          <w:sz w:val="16"/>
          <w:szCs w:val="16"/>
        </w:rPr>
        <w:t>Pll </w:t>
      </w:r>
      <w:r>
        <w:rPr>
          <w:rFonts w:ascii="Times New Roman" w:hAnsi="Times New Roman" w:cs="Times New Roman" w:eastAsia="Times New Roman"/>
          <w:color w:val="54545D"/>
          <w:spacing w:val="-2"/>
          <w:sz w:val="16"/>
          <w:szCs w:val="16"/>
        </w:rPr>
        <w:t>Ma'irtz:</w:t>
      </w:r>
    </w:p>
    <w:p>
      <w:pPr>
        <w:spacing w:before="18"/>
        <w:ind w:left="992" w:right="0" w:firstLine="0"/>
        <w:jc w:val="left"/>
        <w:rPr>
          <w:rFonts w:ascii="Times New Roman"/>
          <w:sz w:val="13"/>
        </w:rPr>
      </w:pPr>
      <w:r>
        <w:rPr>
          <w:rFonts w:ascii="Times New Roman"/>
          <w:sz w:val="13"/>
        </w:rPr>
        <w:drawing>
          <wp:anchor distT="0" distB="0" distL="0" distR="0" allowOverlap="1" layoutInCell="1" locked="0" behindDoc="0" simplePos="0" relativeHeight="15750656">
            <wp:simplePos x="0" y="0"/>
            <wp:positionH relativeFrom="page">
              <wp:posOffset>1795035</wp:posOffset>
            </wp:positionH>
            <wp:positionV relativeFrom="paragraph">
              <wp:posOffset>30679</wp:posOffset>
            </wp:positionV>
            <wp:extent cx="1733979" cy="85447"/>
            <wp:effectExtent l="0" t="0" r="0" b="0"/>
            <wp:wrapNone/>
            <wp:docPr id="152" name="Image 152"/>
            <wp:cNvGraphicFramePr>
              <a:graphicFrameLocks/>
            </wp:cNvGraphicFramePr>
            <a:graphic>
              <a:graphicData uri="http://schemas.openxmlformats.org/drawingml/2006/picture">
                <pic:pic>
                  <pic:nvPicPr>
                    <pic:cNvPr id="152" name="Image 152"/>
                    <pic:cNvPicPr/>
                  </pic:nvPicPr>
                  <pic:blipFill>
                    <a:blip r:embed="rId77" cstate="print"/>
                    <a:stretch>
                      <a:fillRect/>
                    </a:stretch>
                  </pic:blipFill>
                  <pic:spPr>
                    <a:xfrm>
                      <a:off x="0" y="0"/>
                      <a:ext cx="1733979" cy="85447"/>
                    </a:xfrm>
                    <a:prstGeom prst="rect">
                      <a:avLst/>
                    </a:prstGeom>
                  </pic:spPr>
                </pic:pic>
              </a:graphicData>
            </a:graphic>
          </wp:anchor>
        </w:drawing>
      </w:r>
      <w:r>
        <w:rPr>
          <w:rFonts w:ascii="Times New Roman"/>
          <w:color w:val="424257"/>
          <w:spacing w:val="-2"/>
          <w:w w:val="105"/>
          <w:sz w:val="13"/>
        </w:rPr>
        <w:t>c:or!I:!</w:t>
      </w:r>
    </w:p>
    <w:p>
      <w:pPr>
        <w:tabs>
          <w:tab w:pos="3454" w:val="left" w:leader="none"/>
          <w:tab w:pos="3849" w:val="left" w:leader="none"/>
        </w:tabs>
        <w:spacing w:line="196" w:lineRule="exact" w:before="0"/>
        <w:ind w:left="963" w:right="0" w:firstLine="0"/>
        <w:jc w:val="left"/>
        <w:rPr>
          <w:sz w:val="16"/>
        </w:rPr>
      </w:pPr>
      <w:r>
        <w:rPr/>
        <w:br w:type="column"/>
      </w:r>
      <w:r>
        <w:rPr>
          <w:color w:val="E8B342"/>
          <w:w w:val="130"/>
          <w:sz w:val="15"/>
        </w:rPr>
        <w:t>·</w:t>
      </w:r>
      <w:r>
        <w:rPr>
          <w:color w:val="620F90"/>
          <w:w w:val="130"/>
          <w:sz w:val="15"/>
        </w:rPr>
        <w:t>,</w:t>
      </w:r>
      <w:r>
        <w:rPr>
          <w:color w:val="620F90"/>
          <w:spacing w:val="76"/>
          <w:w w:val="150"/>
          <w:sz w:val="15"/>
        </w:rPr>
        <w:t> </w:t>
      </w:r>
      <w:r>
        <w:rPr>
          <w:color w:val="465672"/>
          <w:spacing w:val="-5"/>
          <w:sz w:val="18"/>
        </w:rPr>
        <w:t>'Y</w:t>
      </w:r>
      <w:r>
        <w:rPr>
          <w:color w:val="465672"/>
          <w:sz w:val="18"/>
        </w:rPr>
        <w:tab/>
      </w:r>
      <w:r>
        <w:rPr>
          <w:color w:val="4BB6E2"/>
          <w:spacing w:val="-10"/>
          <w:sz w:val="18"/>
        </w:rPr>
        <w:t>:</w:t>
      </w:r>
      <w:r>
        <w:rPr>
          <w:color w:val="4BB6E2"/>
          <w:sz w:val="18"/>
        </w:rPr>
        <w:tab/>
      </w:r>
      <w:r>
        <w:rPr>
          <w:color w:val="3B2D4D"/>
          <w:spacing w:val="-5"/>
          <w:sz w:val="16"/>
        </w:rPr>
        <w:t>e</w:t>
      </w:r>
      <w:r>
        <w:rPr>
          <w:color w:val="54545D"/>
          <w:spacing w:val="-5"/>
          <w:sz w:val="16"/>
        </w:rPr>
        <w:t>am</w:t>
      </w:r>
    </w:p>
    <w:p>
      <w:pPr>
        <w:pStyle w:val="ListParagraph"/>
        <w:numPr>
          <w:ilvl w:val="1"/>
          <w:numId w:val="42"/>
        </w:numPr>
        <w:tabs>
          <w:tab w:pos="1183" w:val="left" w:leader="none"/>
        </w:tabs>
        <w:spacing w:line="167" w:lineRule="exact" w:before="0" w:after="0"/>
        <w:ind w:left="1183" w:right="257" w:hanging="1183"/>
        <w:jc w:val="right"/>
        <w:rPr>
          <w:sz w:val="15"/>
        </w:rPr>
      </w:pPr>
      <w:r>
        <w:rPr>
          <w:sz w:val="15"/>
        </w:rPr>
        <mc:AlternateContent>
          <mc:Choice Requires="wps">
            <w:drawing>
              <wp:anchor distT="0" distB="0" distL="0" distR="0" allowOverlap="1" layoutInCell="1" locked="0" behindDoc="1" simplePos="0" relativeHeight="475355136">
                <wp:simplePos x="0" y="0"/>
                <wp:positionH relativeFrom="page">
                  <wp:posOffset>4594714</wp:posOffset>
                </wp:positionH>
                <wp:positionV relativeFrom="paragraph">
                  <wp:posOffset>13264</wp:posOffset>
                </wp:positionV>
                <wp:extent cx="18415" cy="95885"/>
                <wp:effectExtent l="0" t="0" r="0" b="0"/>
                <wp:wrapNone/>
                <wp:docPr id="153" name="Graphic 153"/>
                <wp:cNvGraphicFramePr>
                  <a:graphicFrameLocks/>
                </wp:cNvGraphicFramePr>
                <a:graphic>
                  <a:graphicData uri="http://schemas.microsoft.com/office/word/2010/wordprocessingShape">
                    <wps:wsp>
                      <wps:cNvPr id="153" name="Graphic 153"/>
                      <wps:cNvSpPr/>
                      <wps:spPr>
                        <a:xfrm>
                          <a:off x="0" y="0"/>
                          <a:ext cx="18415" cy="95885"/>
                        </a:xfrm>
                        <a:custGeom>
                          <a:avLst/>
                          <a:gdLst/>
                          <a:ahLst/>
                          <a:cxnLst/>
                          <a:rect l="l" t="t" r="r" b="b"/>
                          <a:pathLst>
                            <a:path w="18415" h="95885">
                              <a:moveTo>
                                <a:pt x="18316" y="95408"/>
                              </a:moveTo>
                              <a:lnTo>
                                <a:pt x="0" y="95408"/>
                              </a:lnTo>
                              <a:lnTo>
                                <a:pt x="0" y="0"/>
                              </a:lnTo>
                              <a:lnTo>
                                <a:pt x="18316" y="0"/>
                              </a:lnTo>
                              <a:lnTo>
                                <a:pt x="18316" y="95408"/>
                              </a:lnTo>
                              <a:close/>
                            </a:path>
                          </a:pathLst>
                        </a:custGeom>
                        <a:solidFill>
                          <a:srgbClr val="CFDFBC"/>
                        </a:solidFill>
                      </wps:spPr>
                      <wps:bodyPr wrap="square" lIns="0" tIns="0" rIns="0" bIns="0" rtlCol="0">
                        <a:prstTxWarp prst="textNoShape">
                          <a:avLst/>
                        </a:prstTxWarp>
                        <a:noAutofit/>
                      </wps:bodyPr>
                    </wps:wsp>
                  </a:graphicData>
                </a:graphic>
              </wp:anchor>
            </w:drawing>
          </mc:Choice>
          <mc:Fallback>
            <w:pict>
              <v:rect style="position:absolute;margin-left:361.788574pt;margin-top:1.044448pt;width:1.442259pt;height:7.512512pt;mso-position-horizontal-relative:page;mso-position-vertical-relative:paragraph;z-index:-27961344" id="docshape115" filled="true" fillcolor="#cfdfbc" stroked="false">
                <v:fill type="solid"/>
                <w10:wrap type="none"/>
              </v:rect>
            </w:pict>
          </mc:Fallback>
        </mc:AlternateContent>
      </w:r>
      <w:r>
        <w:rPr>
          <w:sz w:val="15"/>
        </w:rPr>
        <mc:AlternateContent>
          <mc:Choice Requires="wps">
            <w:drawing>
              <wp:anchor distT="0" distB="0" distL="0" distR="0" allowOverlap="1" layoutInCell="1" locked="0" behindDoc="1" simplePos="0" relativeHeight="475355648">
                <wp:simplePos x="0" y="0"/>
                <wp:positionH relativeFrom="page">
                  <wp:posOffset>4705863</wp:posOffset>
                </wp:positionH>
                <wp:positionV relativeFrom="paragraph">
                  <wp:posOffset>96182</wp:posOffset>
                </wp:positionV>
                <wp:extent cx="15875" cy="139065"/>
                <wp:effectExtent l="0" t="0" r="0" b="0"/>
                <wp:wrapNone/>
                <wp:docPr id="154" name="Graphic 154"/>
                <wp:cNvGraphicFramePr>
                  <a:graphicFrameLocks/>
                </wp:cNvGraphicFramePr>
                <a:graphic>
                  <a:graphicData uri="http://schemas.microsoft.com/office/word/2010/wordprocessingShape">
                    <wps:wsp>
                      <wps:cNvPr id="154" name="Graphic 154"/>
                      <wps:cNvSpPr/>
                      <wps:spPr>
                        <a:xfrm>
                          <a:off x="0" y="0"/>
                          <a:ext cx="15875" cy="139065"/>
                        </a:xfrm>
                        <a:custGeom>
                          <a:avLst/>
                          <a:gdLst/>
                          <a:ahLst/>
                          <a:cxnLst/>
                          <a:rect l="l" t="t" r="r" b="b"/>
                          <a:pathLst>
                            <a:path w="15875" h="139065">
                              <a:moveTo>
                                <a:pt x="15263" y="138776"/>
                              </a:moveTo>
                              <a:lnTo>
                                <a:pt x="0" y="138776"/>
                              </a:lnTo>
                              <a:lnTo>
                                <a:pt x="0" y="0"/>
                              </a:lnTo>
                              <a:lnTo>
                                <a:pt x="15263" y="0"/>
                              </a:lnTo>
                              <a:lnTo>
                                <a:pt x="15263" y="138776"/>
                              </a:lnTo>
                              <a:close/>
                            </a:path>
                          </a:pathLst>
                        </a:custGeom>
                        <a:solidFill>
                          <a:srgbClr val="E1EDD6"/>
                        </a:solidFill>
                      </wps:spPr>
                      <wps:bodyPr wrap="square" lIns="0" tIns="0" rIns="0" bIns="0" rtlCol="0">
                        <a:prstTxWarp prst="textNoShape">
                          <a:avLst/>
                        </a:prstTxWarp>
                        <a:noAutofit/>
                      </wps:bodyPr>
                    </wps:wsp>
                  </a:graphicData>
                </a:graphic>
              </wp:anchor>
            </w:drawing>
          </mc:Choice>
          <mc:Fallback>
            <w:pict>
              <v:rect style="position:absolute;margin-left:370.540466pt;margin-top:7.573451pt;width:1.201883pt;height:10.927288pt;mso-position-horizontal-relative:page;mso-position-vertical-relative:paragraph;z-index:-27960832" id="docshape116" filled="true" fillcolor="#e1edd6" stroked="false">
                <v:fill type="solid"/>
                <w10:wrap type="none"/>
              </v:rect>
            </w:pict>
          </mc:Fallback>
        </mc:AlternateContent>
      </w:r>
      <w:r>
        <w:rPr>
          <w:color w:val="003659"/>
          <w:w w:val="110"/>
          <w:sz w:val="11"/>
        </w:rPr>
        <w:t>l</w:t>
      </w:r>
      <w:r>
        <w:rPr>
          <w:color w:val="F6C657"/>
          <w:w w:val="110"/>
          <w:sz w:val="11"/>
        </w:rPr>
        <w:t>,</w:t>
      </w:r>
      <w:r>
        <w:rPr>
          <w:color w:val="3B6977"/>
          <w:w w:val="110"/>
          <w:sz w:val="11"/>
        </w:rPr>
        <w:t>!"</w:t>
      </w:r>
      <w:r>
        <w:rPr>
          <w:color w:val="424257"/>
          <w:w w:val="110"/>
          <w:sz w:val="11"/>
        </w:rPr>
        <w:t>u</w:t>
      </w:r>
      <w:r>
        <w:rPr>
          <w:color w:val="AACFAC"/>
          <w:w w:val="110"/>
          <w:sz w:val="11"/>
        </w:rPr>
        <w:t>,</w:t>
      </w:r>
      <w:r>
        <w:rPr>
          <w:color w:val="44132A"/>
          <w:w w:val="110"/>
          <w:sz w:val="11"/>
        </w:rPr>
        <w:t>,</w:t>
      </w:r>
      <w:r>
        <w:rPr>
          <w:color w:val="3B2D4D"/>
          <w:w w:val="110"/>
          <w:sz w:val="11"/>
        </w:rPr>
        <w:t>=</w:t>
      </w:r>
      <w:r>
        <w:rPr>
          <w:color w:val="3B2D4D"/>
          <w:spacing w:val="51"/>
          <w:w w:val="110"/>
          <w:sz w:val="11"/>
        </w:rPr>
        <w:t> </w:t>
      </w:r>
      <w:r>
        <w:rPr>
          <w:color w:val="593B50"/>
          <w:w w:val="110"/>
          <w:sz w:val="11"/>
        </w:rPr>
        <w:t>..</w:t>
      </w:r>
      <w:r>
        <w:rPr>
          <w:color w:val="3B6977"/>
          <w:w w:val="110"/>
          <w:sz w:val="11"/>
        </w:rPr>
        <w:t>..</w:t>
      </w:r>
      <w:r>
        <w:rPr>
          <w:color w:val="3B6977"/>
          <w:spacing w:val="10"/>
          <w:w w:val="110"/>
          <w:sz w:val="11"/>
        </w:rPr>
        <w:t> </w:t>
      </w:r>
      <w:r>
        <w:rPr>
          <w:color w:val="54545D"/>
          <w:w w:val="110"/>
          <w:sz w:val="11"/>
        </w:rPr>
        <w:t>""'</w:t>
      </w:r>
      <w:r>
        <w:rPr>
          <w:color w:val="54545D"/>
          <w:spacing w:val="43"/>
          <w:w w:val="110"/>
          <w:sz w:val="11"/>
        </w:rPr>
        <w:t>  </w:t>
      </w:r>
      <w:r>
        <w:rPr>
          <w:color w:val="54545D"/>
          <w:spacing w:val="-2"/>
          <w:w w:val="110"/>
          <w:sz w:val="15"/>
        </w:rPr>
        <w:t>1:ii:ql</w:t>
      </w:r>
      <w:r>
        <w:rPr>
          <w:color w:val="1C8ABF"/>
          <w:spacing w:val="-2"/>
          <w:w w:val="110"/>
          <w:sz w:val="15"/>
        </w:rPr>
        <w:t>l</w:t>
      </w:r>
      <w:r>
        <w:rPr>
          <w:color w:val="465672"/>
          <w:spacing w:val="-2"/>
          <w:w w:val="110"/>
          <w:sz w:val="15"/>
        </w:rPr>
        <w:t>ll:í</w:t>
      </w:r>
    </w:p>
    <w:p>
      <w:pPr>
        <w:tabs>
          <w:tab w:pos="1640" w:val="left" w:leader="none"/>
          <w:tab w:pos="2389" w:val="left" w:leader="none"/>
        </w:tabs>
        <w:spacing w:before="0"/>
        <w:ind w:left="0" w:right="201" w:firstLine="0"/>
        <w:jc w:val="right"/>
        <w:rPr>
          <w:sz w:val="16"/>
        </w:rPr>
      </w:pPr>
      <w:r>
        <w:rPr>
          <w:color w:val="424257"/>
          <w:sz w:val="16"/>
        </w:rPr>
        <w:t>ea</w:t>
      </w:r>
      <w:r>
        <w:rPr>
          <w:color w:val="424257"/>
          <w:spacing w:val="2"/>
          <w:sz w:val="16"/>
        </w:rPr>
        <w:t> </w:t>
      </w:r>
      <w:r>
        <w:rPr>
          <w:color w:val="74897C"/>
          <w:spacing w:val="-5"/>
          <w:w w:val="95"/>
          <w:sz w:val="16"/>
        </w:rPr>
        <w:t>(1l</w:t>
      </w:r>
      <w:r>
        <w:rPr>
          <w:color w:val="74897C"/>
          <w:sz w:val="16"/>
        </w:rPr>
        <w:tab/>
      </w:r>
      <w:r>
        <w:rPr>
          <w:color w:val="E8B342"/>
          <w:w w:val="95"/>
          <w:sz w:val="16"/>
        </w:rPr>
        <w:t>.</w:t>
      </w:r>
      <w:r>
        <w:rPr>
          <w:color w:val="E8B342"/>
          <w:spacing w:val="63"/>
          <w:sz w:val="16"/>
        </w:rPr>
        <w:t> </w:t>
      </w:r>
      <w:r>
        <w:rPr>
          <w:color w:val="AACFAC"/>
          <w:spacing w:val="-10"/>
          <w:w w:val="70"/>
          <w:sz w:val="16"/>
        </w:rPr>
        <w:t>_</w:t>
      </w:r>
      <w:r>
        <w:rPr>
          <w:color w:val="AACFAC"/>
          <w:sz w:val="16"/>
        </w:rPr>
        <w:tab/>
      </w:r>
      <w:r>
        <w:rPr>
          <w:color w:val="424257"/>
          <w:spacing w:val="-2"/>
          <w:sz w:val="16"/>
        </w:rPr>
        <w:t>ectoaal</w:t>
      </w:r>
    </w:p>
    <w:p>
      <w:pPr>
        <w:tabs>
          <w:tab w:pos="2502" w:val="left" w:leader="none"/>
        </w:tabs>
        <w:spacing w:before="8"/>
        <w:ind w:left="999" w:right="0" w:firstLine="0"/>
        <w:jc w:val="left"/>
        <w:rPr>
          <w:sz w:val="15"/>
          <w:szCs w:val="15"/>
        </w:rPr>
      </w:pPr>
      <w:r>
        <w:rPr>
          <w:rFonts w:ascii="Times New Roman" w:hAnsi="Times New Roman" w:cs="Times New Roman" w:eastAsia="Times New Roman"/>
          <w:color w:val="424257"/>
          <w:spacing w:val="-2"/>
          <w:sz w:val="13"/>
          <w:szCs w:val="13"/>
        </w:rPr>
        <w:t>U</w:t>
      </w:r>
      <w:r>
        <w:rPr>
          <w:rFonts w:ascii="Times New Roman" w:hAnsi="Times New Roman" w:cs="Times New Roman" w:eastAsia="Times New Roman"/>
          <w:color w:val="283D4B"/>
          <w:spacing w:val="-2"/>
          <w:sz w:val="13"/>
          <w:szCs w:val="13"/>
        </w:rPr>
        <w:t>E'S</w:t>
      </w:r>
      <w:r>
        <w:rPr>
          <w:rFonts w:ascii="Times New Roman" w:hAnsi="Times New Roman" w:cs="Times New Roman" w:eastAsia="Times New Roman"/>
          <w:color w:val="364682"/>
          <w:spacing w:val="-2"/>
          <w:sz w:val="13"/>
          <w:szCs w:val="13"/>
        </w:rPr>
        <w:t>,</w:t>
      </w:r>
      <w:r>
        <w:rPr>
          <w:rFonts w:ascii="Times New Roman" w:hAnsi="Times New Roman" w:cs="Times New Roman" w:eastAsia="Times New Roman"/>
          <w:color w:val="3B6977"/>
          <w:spacing w:val="-2"/>
          <w:sz w:val="13"/>
          <w:szCs w:val="13"/>
        </w:rPr>
        <w:t>[ll</w:t>
      </w:r>
      <w:r>
        <w:rPr>
          <w:rFonts w:ascii="Times New Roman" w:hAnsi="Times New Roman" w:cs="Times New Roman" w:eastAsia="Times New Roman"/>
          <w:color w:val="3B6977"/>
          <w:sz w:val="13"/>
          <w:szCs w:val="13"/>
        </w:rPr>
        <w:tab/>
      </w:r>
      <w:r>
        <w:rPr>
          <w:rFonts w:ascii="Times New Roman" w:hAnsi="Times New Roman" w:cs="Times New Roman" w:eastAsia="Times New Roman"/>
          <w:color w:val="91E6F6"/>
          <w:w w:val="95"/>
          <w:sz w:val="13"/>
          <w:szCs w:val="13"/>
        </w:rPr>
        <w:t>•</w:t>
      </w:r>
      <w:r>
        <w:rPr>
          <w:rFonts w:ascii="Times New Roman" w:hAnsi="Times New Roman" w:cs="Times New Roman" w:eastAsia="Times New Roman"/>
          <w:color w:val="91E6F6"/>
          <w:spacing w:val="20"/>
          <w:sz w:val="13"/>
          <w:szCs w:val="13"/>
        </w:rPr>
        <w:t> </w:t>
      </w:r>
      <w:r>
        <w:rPr>
          <w:color w:val="424257"/>
          <w:w w:val="95"/>
          <w:sz w:val="15"/>
          <w:szCs w:val="15"/>
        </w:rPr>
        <w:t>de</w:t>
      </w:r>
      <w:r>
        <w:rPr>
          <w:color w:val="424257"/>
          <w:spacing w:val="65"/>
          <w:sz w:val="15"/>
          <w:szCs w:val="15"/>
        </w:rPr>
        <w:t> </w:t>
      </w:r>
      <w:r>
        <w:rPr>
          <w:rFonts w:ascii="Times New Roman" w:hAnsi="Times New Roman" w:cs="Times New Roman" w:eastAsia="Times New Roman"/>
          <w:color w:val="54545D"/>
          <w:sz w:val="13"/>
          <w:szCs w:val="13"/>
        </w:rPr>
        <w:t>!lill</w:t>
      </w:r>
      <w:r>
        <w:rPr>
          <w:rFonts w:ascii="Times New Roman" w:hAnsi="Times New Roman" w:cs="Times New Roman" w:eastAsia="Times New Roman"/>
          <w:color w:val="54545D"/>
          <w:spacing w:val="-4"/>
          <w:sz w:val="13"/>
          <w:szCs w:val="13"/>
        </w:rPr>
        <w:t> </w:t>
      </w:r>
      <w:r>
        <w:rPr>
          <w:color w:val="54545D"/>
          <w:spacing w:val="-2"/>
          <w:w w:val="135"/>
          <w:sz w:val="15"/>
          <w:szCs w:val="15"/>
        </w:rPr>
        <w:t>�Ei�l:arla</w:t>
      </w:r>
    </w:p>
    <w:p>
      <w:pPr>
        <w:pStyle w:val="ListParagraph"/>
        <w:numPr>
          <w:ilvl w:val="0"/>
          <w:numId w:val="42"/>
        </w:numPr>
        <w:tabs>
          <w:tab w:pos="1070" w:val="left" w:leader="none"/>
          <w:tab w:pos="1143" w:val="left" w:leader="none"/>
        </w:tabs>
        <w:spacing w:line="235" w:lineRule="auto" w:before="16" w:after="0"/>
        <w:ind w:left="1143" w:right="1560" w:hanging="158"/>
        <w:jc w:val="both"/>
        <w:rPr>
          <w:color w:val="CCDFAF"/>
          <w:sz w:val="14"/>
        </w:rPr>
      </w:pPr>
      <w:r>
        <w:rPr/>
        <w:br w:type="column"/>
      </w:r>
      <w:r>
        <w:rPr>
          <w:color w:val="75C6E6"/>
          <w:w w:val="135"/>
          <w:sz w:val="16"/>
        </w:rPr>
        <w:t>.</w:t>
      </w:r>
      <w:r>
        <w:rPr>
          <w:color w:val="75C6E6"/>
          <w:w w:val="135"/>
          <w:sz w:val="16"/>
        </w:rPr>
        <w:t> </w:t>
      </w:r>
      <w:r>
        <w:rPr>
          <w:color w:val="91E6F6"/>
          <w:w w:val="105"/>
          <w:sz w:val="16"/>
        </w:rPr>
        <w:t>, </w:t>
      </w:r>
      <w:r>
        <w:rPr>
          <w:color w:val="54545D"/>
          <w:spacing w:val="-6"/>
          <w:w w:val="105"/>
          <w:sz w:val="16"/>
        </w:rPr>
        <w:t>oo </w:t>
      </w:r>
      <w:r>
        <w:rPr>
          <w:color w:val="F6C657"/>
          <w:spacing w:val="-4"/>
          <w:w w:val="85"/>
          <w:sz w:val="16"/>
        </w:rPr>
        <w:t>1</w:t>
      </w:r>
      <w:r>
        <w:rPr>
          <w:color w:val="1C8ABF"/>
          <w:spacing w:val="-4"/>
          <w:w w:val="85"/>
          <w:sz w:val="16"/>
        </w:rPr>
        <w:t>1</w:t>
      </w:r>
      <w:r>
        <w:rPr>
          <w:color w:val="424257"/>
          <w:spacing w:val="-4"/>
          <w:w w:val="85"/>
          <w:sz w:val="16"/>
        </w:rPr>
        <w:t>a</w:t>
      </w:r>
      <w:r>
        <w:rPr>
          <w:color w:val="424257"/>
          <w:spacing w:val="-4"/>
          <w:w w:val="135"/>
          <w:sz w:val="16"/>
        </w:rPr>
        <w:t> </w:t>
      </w:r>
      <w:r>
        <w:rPr>
          <w:b/>
          <w:color w:val="54545D"/>
          <w:spacing w:val="-5"/>
          <w:w w:val="135"/>
          <w:sz w:val="15"/>
        </w:rPr>
        <w:t>el</w:t>
      </w:r>
    </w:p>
    <w:p>
      <w:pPr>
        <w:pStyle w:val="ListParagraph"/>
        <w:spacing w:after="0" w:line="235" w:lineRule="auto"/>
        <w:jc w:val="both"/>
        <w:rPr>
          <w:sz w:val="14"/>
        </w:rPr>
        <w:sectPr>
          <w:type w:val="continuous"/>
          <w:pgSz w:w="12240" w:h="15840"/>
          <w:pgMar w:header="0" w:footer="2440" w:top="1820" w:bottom="280" w:left="1440" w:right="360"/>
          <w:cols w:num="3" w:equalWidth="0">
            <w:col w:w="3083" w:space="40"/>
            <w:col w:w="4218" w:space="156"/>
            <w:col w:w="2943"/>
          </w:cols>
        </w:sectPr>
      </w:pPr>
    </w:p>
    <w:p>
      <w:pPr>
        <w:tabs>
          <w:tab w:pos="2609" w:val="left" w:leader="none"/>
          <w:tab w:pos="3274" w:val="left" w:leader="none"/>
          <w:tab w:pos="5292" w:val="left" w:leader="none"/>
        </w:tabs>
        <w:spacing w:before="119"/>
        <w:ind w:left="986" w:right="0" w:firstLine="0"/>
        <w:jc w:val="left"/>
        <w:rPr>
          <w:sz w:val="15"/>
        </w:rPr>
      </w:pPr>
      <w:r>
        <w:rPr>
          <w:sz w:val="15"/>
        </w:rPr>
        <mc:AlternateContent>
          <mc:Choice Requires="wps">
            <w:drawing>
              <wp:anchor distT="0" distB="0" distL="0" distR="0" allowOverlap="1" layoutInCell="1" locked="0" behindDoc="0" simplePos="0" relativeHeight="15751168">
                <wp:simplePos x="0" y="0"/>
                <wp:positionH relativeFrom="page">
                  <wp:posOffset>4591382</wp:posOffset>
                </wp:positionH>
                <wp:positionV relativeFrom="paragraph">
                  <wp:posOffset>79075</wp:posOffset>
                </wp:positionV>
                <wp:extent cx="1929764" cy="449580"/>
                <wp:effectExtent l="0" t="0" r="0" b="0"/>
                <wp:wrapNone/>
                <wp:docPr id="155" name="Group 155"/>
                <wp:cNvGraphicFramePr>
                  <a:graphicFrameLocks/>
                </wp:cNvGraphicFramePr>
                <a:graphic>
                  <a:graphicData uri="http://schemas.microsoft.com/office/word/2010/wordprocessingGroup">
                    <wpg:wgp>
                      <wpg:cNvPr id="155" name="Group 155"/>
                      <wpg:cNvGrpSpPr/>
                      <wpg:grpSpPr>
                        <a:xfrm>
                          <a:off x="0" y="0"/>
                          <a:ext cx="1929764" cy="449580"/>
                          <a:chExt cx="1929764" cy="449580"/>
                        </a:xfrm>
                      </wpg:grpSpPr>
                      <pic:pic>
                        <pic:nvPicPr>
                          <pic:cNvPr id="156" name="Image 156"/>
                          <pic:cNvPicPr/>
                        </pic:nvPicPr>
                        <pic:blipFill>
                          <a:blip r:embed="rId78" cstate="print"/>
                          <a:stretch>
                            <a:fillRect/>
                          </a:stretch>
                        </pic:blipFill>
                        <pic:spPr>
                          <a:xfrm>
                            <a:off x="0" y="16143"/>
                            <a:ext cx="1929357" cy="415030"/>
                          </a:xfrm>
                          <a:prstGeom prst="rect">
                            <a:avLst/>
                          </a:prstGeom>
                        </pic:spPr>
                      </pic:pic>
                      <wps:wsp>
                        <wps:cNvPr id="157" name="Textbox 157"/>
                        <wps:cNvSpPr txBox="1"/>
                        <wps:spPr>
                          <a:xfrm>
                            <a:off x="62124" y="17266"/>
                            <a:ext cx="26034" cy="85725"/>
                          </a:xfrm>
                          <a:prstGeom prst="rect">
                            <a:avLst/>
                          </a:prstGeom>
                        </wps:spPr>
                        <wps:txbx>
                          <w:txbxContent>
                            <w:p>
                              <w:pPr>
                                <w:spacing w:line="134" w:lineRule="exact" w:before="0"/>
                                <w:ind w:left="0" w:right="0" w:firstLine="0"/>
                                <w:jc w:val="left"/>
                                <w:rPr>
                                  <w:sz w:val="12"/>
                                </w:rPr>
                              </w:pPr>
                              <w:r>
                                <w:rPr>
                                  <w:color w:val="F6C657"/>
                                  <w:spacing w:val="-10"/>
                                  <w:w w:val="85"/>
                                  <w:sz w:val="12"/>
                                </w:rPr>
                                <w:t>i</w:t>
                              </w:r>
                            </w:p>
                          </w:txbxContent>
                        </wps:txbx>
                        <wps:bodyPr wrap="square" lIns="0" tIns="0" rIns="0" bIns="0" rtlCol="0">
                          <a:noAutofit/>
                        </wps:bodyPr>
                      </wps:wsp>
                      <wps:wsp>
                        <wps:cNvPr id="158" name="Textbox 158"/>
                        <wps:cNvSpPr txBox="1"/>
                        <wps:spPr>
                          <a:xfrm>
                            <a:off x="830705" y="0"/>
                            <a:ext cx="295275" cy="106680"/>
                          </a:xfrm>
                          <a:prstGeom prst="rect">
                            <a:avLst/>
                          </a:prstGeom>
                        </wps:spPr>
                        <wps:txbx>
                          <w:txbxContent>
                            <w:p>
                              <w:pPr>
                                <w:spacing w:line="168" w:lineRule="exact" w:before="0"/>
                                <w:ind w:left="0" w:right="0" w:firstLine="0"/>
                                <w:jc w:val="left"/>
                                <w:rPr>
                                  <w:sz w:val="15"/>
                                </w:rPr>
                              </w:pPr>
                              <w:r>
                                <w:rPr>
                                  <w:color w:val="424257"/>
                                  <w:spacing w:val="-2"/>
                                  <w:w w:val="120"/>
                                  <w:sz w:val="15"/>
                                </w:rPr>
                                <w:t>2026</w:t>
                              </w:r>
                              <w:r>
                                <w:rPr>
                                  <w:color w:val="620F90"/>
                                  <w:spacing w:val="-2"/>
                                  <w:w w:val="120"/>
                                  <w:sz w:val="15"/>
                                </w:rPr>
                                <w:t>,</w:t>
                              </w:r>
                            </w:p>
                          </w:txbxContent>
                        </wps:txbx>
                        <wps:bodyPr wrap="square" lIns="0" tIns="0" rIns="0" bIns="0" rtlCol="0">
                          <a:noAutofit/>
                        </wps:bodyPr>
                      </wps:wsp>
                      <wps:wsp>
                        <wps:cNvPr id="159" name="Textbox 159"/>
                        <wps:cNvSpPr txBox="1"/>
                        <wps:spPr>
                          <a:xfrm>
                            <a:off x="35450" y="321471"/>
                            <a:ext cx="79375" cy="128270"/>
                          </a:xfrm>
                          <a:prstGeom prst="rect">
                            <a:avLst/>
                          </a:prstGeom>
                        </wps:spPr>
                        <wps:txbx>
                          <w:txbxContent>
                            <w:p>
                              <w:pPr>
                                <w:spacing w:line="201" w:lineRule="exact" w:before="0"/>
                                <w:ind w:left="0" w:right="0" w:firstLine="0"/>
                                <w:jc w:val="left"/>
                                <w:rPr>
                                  <w:sz w:val="18"/>
                                </w:rPr>
                              </w:pPr>
                              <w:r>
                                <w:rPr>
                                  <w:color w:val="3B2D4D"/>
                                  <w:spacing w:val="-10"/>
                                  <w:w w:val="105"/>
                                  <w:sz w:val="18"/>
                                </w:rPr>
                                <w:t>e</w:t>
                              </w:r>
                            </w:p>
                          </w:txbxContent>
                        </wps:txbx>
                        <wps:bodyPr wrap="square" lIns="0" tIns="0" rIns="0" bIns="0" rtlCol="0">
                          <a:noAutofit/>
                        </wps:bodyPr>
                      </wps:wsp>
                    </wpg:wgp>
                  </a:graphicData>
                </a:graphic>
              </wp:anchor>
            </w:drawing>
          </mc:Choice>
          <mc:Fallback>
            <w:pict>
              <v:group style="position:absolute;margin-left:361.526215pt;margin-top:6.226429pt;width:151.950pt;height:35.4pt;mso-position-horizontal-relative:page;mso-position-vertical-relative:paragraph;z-index:15751168" id="docshapegroup117" coordorigin="7231,125" coordsize="3039,708">
                <v:shape style="position:absolute;left:7230;top:149;width:3039;height:654" type="#_x0000_t75" id="docshape118" stroked="false">
                  <v:imagedata r:id="rId78" o:title=""/>
                </v:shape>
                <v:shape style="position:absolute;left:7328;top:151;width:41;height:135" type="#_x0000_t202" id="docshape119" filled="false" stroked="false">
                  <v:textbox inset="0,0,0,0">
                    <w:txbxContent>
                      <w:p>
                        <w:pPr>
                          <w:spacing w:line="134" w:lineRule="exact" w:before="0"/>
                          <w:ind w:left="0" w:right="0" w:firstLine="0"/>
                          <w:jc w:val="left"/>
                          <w:rPr>
                            <w:sz w:val="12"/>
                          </w:rPr>
                        </w:pPr>
                        <w:r>
                          <w:rPr>
                            <w:color w:val="F6C657"/>
                            <w:spacing w:val="-10"/>
                            <w:w w:val="85"/>
                            <w:sz w:val="12"/>
                          </w:rPr>
                          <w:t>i</w:t>
                        </w:r>
                      </w:p>
                    </w:txbxContent>
                  </v:textbox>
                  <w10:wrap type="none"/>
                </v:shape>
                <v:shape style="position:absolute;left:8538;top:124;width:465;height:168" type="#_x0000_t202" id="docshape120" filled="false" stroked="false">
                  <v:textbox inset="0,0,0,0">
                    <w:txbxContent>
                      <w:p>
                        <w:pPr>
                          <w:spacing w:line="168" w:lineRule="exact" w:before="0"/>
                          <w:ind w:left="0" w:right="0" w:firstLine="0"/>
                          <w:jc w:val="left"/>
                          <w:rPr>
                            <w:sz w:val="15"/>
                          </w:rPr>
                        </w:pPr>
                        <w:r>
                          <w:rPr>
                            <w:color w:val="424257"/>
                            <w:spacing w:val="-2"/>
                            <w:w w:val="120"/>
                            <w:sz w:val="15"/>
                          </w:rPr>
                          <w:t>2026</w:t>
                        </w:r>
                        <w:r>
                          <w:rPr>
                            <w:color w:val="620F90"/>
                            <w:spacing w:val="-2"/>
                            <w:w w:val="120"/>
                            <w:sz w:val="15"/>
                          </w:rPr>
                          <w:t>,</w:t>
                        </w:r>
                      </w:p>
                    </w:txbxContent>
                  </v:textbox>
                  <w10:wrap type="none"/>
                </v:shape>
                <v:shape style="position:absolute;left:7286;top:630;width:125;height:202" type="#_x0000_t202" id="docshape121" filled="false" stroked="false">
                  <v:textbox inset="0,0,0,0">
                    <w:txbxContent>
                      <w:p>
                        <w:pPr>
                          <w:spacing w:line="201" w:lineRule="exact" w:before="0"/>
                          <w:ind w:left="0" w:right="0" w:firstLine="0"/>
                          <w:jc w:val="left"/>
                          <w:rPr>
                            <w:sz w:val="18"/>
                          </w:rPr>
                        </w:pPr>
                        <w:r>
                          <w:rPr>
                            <w:color w:val="3B2D4D"/>
                            <w:spacing w:val="-10"/>
                            <w:w w:val="105"/>
                            <w:sz w:val="18"/>
                          </w:rPr>
                          <w:t>e</w:t>
                        </w:r>
                      </w:p>
                    </w:txbxContent>
                  </v:textbox>
                  <w10:wrap type="none"/>
                </v:shape>
                <w10:wrap type="none"/>
              </v:group>
            </w:pict>
          </mc:Fallback>
        </mc:AlternateContent>
      </w:r>
      <w:r>
        <w:rPr>
          <w:color w:val="54545D"/>
          <w:spacing w:val="-2"/>
          <w:sz w:val="15"/>
        </w:rPr>
        <w:t>M</w:t>
      </w:r>
      <w:r>
        <w:rPr>
          <w:color w:val="3B2D4D"/>
          <w:spacing w:val="-2"/>
          <w:sz w:val="15"/>
        </w:rPr>
        <w:t>e</w:t>
      </w:r>
      <w:r>
        <w:rPr>
          <w:color w:val="54545D"/>
          <w:spacing w:val="-2"/>
          <w:sz w:val="15"/>
        </w:rPr>
        <w:t>ll'a</w:t>
      </w:r>
      <w:r>
        <w:rPr>
          <w:color w:val="54545D"/>
          <w:sz w:val="15"/>
        </w:rPr>
        <w:tab/>
      </w:r>
      <w:r>
        <w:rPr>
          <w:color w:val="74DAF6"/>
          <w:spacing w:val="-10"/>
          <w:w w:val="80"/>
          <w:sz w:val="15"/>
        </w:rPr>
        <w:t>•</w:t>
      </w:r>
      <w:r>
        <w:rPr>
          <w:color w:val="74DAF6"/>
          <w:sz w:val="15"/>
        </w:rPr>
        <w:tab/>
      </w:r>
      <w:r>
        <w:rPr>
          <w:color w:val="EFD472"/>
          <w:w w:val="80"/>
          <w:sz w:val="15"/>
        </w:rPr>
        <w:t>,</w:t>
      </w:r>
      <w:r>
        <w:rPr>
          <w:color w:val="EFD472"/>
          <w:spacing w:val="40"/>
          <w:sz w:val="15"/>
        </w:rPr>
        <w:t>  </w:t>
      </w:r>
      <w:r>
        <w:rPr>
          <w:color w:val="54545D"/>
          <w:sz w:val="15"/>
        </w:rPr>
        <w:t>M</w:t>
      </w:r>
      <w:r>
        <w:rPr>
          <w:color w:val="0F0033"/>
          <w:sz w:val="15"/>
        </w:rPr>
        <w:t>-</w:t>
      </w:r>
      <w:r>
        <w:rPr>
          <w:color w:val="424257"/>
          <w:spacing w:val="-2"/>
          <w:sz w:val="15"/>
        </w:rPr>
        <w:t>Da.![I!]</w:t>
      </w:r>
      <w:r>
        <w:rPr>
          <w:color w:val="424257"/>
          <w:sz w:val="15"/>
        </w:rPr>
        <w:tab/>
      </w:r>
      <w:r>
        <w:rPr>
          <w:color w:val="74DAF6"/>
          <w:w w:val="80"/>
          <w:sz w:val="7"/>
        </w:rPr>
        <w:t>1</w:t>
      </w:r>
      <w:r>
        <w:rPr>
          <w:color w:val="74DAF6"/>
          <w:spacing w:val="20"/>
          <w:sz w:val="7"/>
        </w:rPr>
        <w:t> </w:t>
      </w:r>
      <w:r>
        <w:rPr>
          <w:color w:val="54545D"/>
          <w:w w:val="80"/>
          <w:sz w:val="15"/>
        </w:rPr>
        <w:t>00</w:t>
      </w:r>
      <w:r>
        <w:rPr>
          <w:color w:val="54545D"/>
          <w:spacing w:val="78"/>
          <w:w w:val="150"/>
          <w:sz w:val="15"/>
        </w:rPr>
        <w:t> </w:t>
      </w:r>
      <w:r>
        <w:rPr>
          <w:color w:val="593B50"/>
          <w:spacing w:val="-5"/>
          <w:w w:val="80"/>
          <w:sz w:val="15"/>
        </w:rPr>
        <w:t>de</w:t>
      </w:r>
    </w:p>
    <w:p>
      <w:pPr>
        <w:tabs>
          <w:tab w:pos="3528" w:val="left" w:leader="none"/>
          <w:tab w:pos="5301" w:val="left" w:leader="none"/>
        </w:tabs>
        <w:spacing w:before="1"/>
        <w:ind w:left="985" w:right="0" w:firstLine="0"/>
        <w:jc w:val="left"/>
        <w:rPr>
          <w:sz w:val="15"/>
        </w:rPr>
      </w:pPr>
      <w:r>
        <w:rPr>
          <w:color w:val="424257"/>
          <w:spacing w:val="-2"/>
          <w:sz w:val="15"/>
        </w:rPr>
        <w:t>Pm</w:t>
      </w:r>
      <w:r>
        <w:rPr>
          <w:color w:val="1C8ABF"/>
          <w:spacing w:val="-2"/>
          <w:sz w:val="15"/>
        </w:rPr>
        <w:t>i</w:t>
      </w:r>
      <w:r>
        <w:rPr>
          <w:color w:val="3B6977"/>
          <w:spacing w:val="-2"/>
          <w:sz w:val="15"/>
        </w:rPr>
        <w:t>ll'lc</w:t>
      </w:r>
      <w:r>
        <w:rPr>
          <w:color w:val="54545D"/>
          <w:spacing w:val="-2"/>
          <w:sz w:val="15"/>
        </w:rPr>
        <w:t>:ad</w:t>
      </w:r>
      <w:r>
        <w:rPr>
          <w:color w:val="697062"/>
          <w:spacing w:val="-2"/>
          <w:sz w:val="15"/>
        </w:rPr>
        <w:t>::itl</w:t>
      </w:r>
      <w:r>
        <w:rPr>
          <w:color w:val="697062"/>
          <w:sz w:val="15"/>
        </w:rPr>
        <w:tab/>
      </w:r>
      <w:r>
        <w:rPr>
          <w:color w:val="383D34"/>
          <w:spacing w:val="-5"/>
          <w:sz w:val="15"/>
        </w:rPr>
        <w:t>E</w:t>
      </w:r>
      <w:r>
        <w:rPr>
          <w:color w:val="424257"/>
          <w:spacing w:val="-5"/>
          <w:sz w:val="15"/>
        </w:rPr>
        <w:t>ro</w:t>
      </w:r>
      <w:r>
        <w:rPr>
          <w:color w:val="424257"/>
          <w:sz w:val="15"/>
        </w:rPr>
        <w:tab/>
      </w:r>
      <w:r>
        <w:rPr>
          <w:color w:val="6E5416"/>
          <w:w w:val="85"/>
          <w:sz w:val="15"/>
        </w:rPr>
        <w:t>•</w:t>
      </w:r>
      <w:r>
        <w:rPr>
          <w:color w:val="6E5416"/>
          <w:spacing w:val="-2"/>
          <w:w w:val="85"/>
          <w:sz w:val="15"/>
        </w:rPr>
        <w:t> </w:t>
      </w:r>
      <w:r>
        <w:rPr>
          <w:color w:val="424257"/>
          <w:w w:val="85"/>
          <w:sz w:val="12"/>
        </w:rPr>
        <w:t>112</w:t>
      </w:r>
      <w:r>
        <w:rPr>
          <w:color w:val="74DAF6"/>
          <w:w w:val="85"/>
          <w:sz w:val="12"/>
        </w:rPr>
        <w:t>•</w:t>
      </w:r>
      <w:r>
        <w:rPr>
          <w:color w:val="74DAF6"/>
          <w:spacing w:val="-5"/>
          <w:w w:val="85"/>
          <w:sz w:val="12"/>
        </w:rPr>
        <w:t> </w:t>
      </w:r>
      <w:r>
        <w:rPr>
          <w:color w:val="851387"/>
          <w:spacing w:val="-5"/>
          <w:w w:val="85"/>
          <w:sz w:val="15"/>
        </w:rPr>
        <w:t>l</w:t>
      </w:r>
      <w:r>
        <w:rPr>
          <w:color w:val="424257"/>
          <w:spacing w:val="-5"/>
          <w:w w:val="85"/>
          <w:sz w:val="15"/>
        </w:rPr>
        <w:t>a</w:t>
      </w:r>
    </w:p>
    <w:p>
      <w:pPr>
        <w:tabs>
          <w:tab w:pos="4728" w:val="left" w:leader="none"/>
          <w:tab w:pos="5666" w:val="left" w:leader="none"/>
        </w:tabs>
        <w:spacing w:before="4"/>
        <w:ind w:left="983" w:right="0" w:firstLine="0"/>
        <w:jc w:val="left"/>
        <w:rPr>
          <w:sz w:val="11"/>
          <w:szCs w:val="11"/>
        </w:rPr>
      </w:pPr>
      <w:r>
        <w:rPr>
          <w:color w:val="54545D"/>
          <w:spacing w:val="-5"/>
          <w:sz w:val="11"/>
          <w:szCs w:val="11"/>
        </w:rPr>
        <w:t>��</w:t>
      </w:r>
      <w:r>
        <w:rPr>
          <w:color w:val="54545D"/>
          <w:sz w:val="11"/>
          <w:szCs w:val="11"/>
        </w:rPr>
        <w:tab/>
      </w:r>
      <w:r>
        <w:rPr>
          <w:color w:val="D1AAD4"/>
          <w:spacing w:val="-10"/>
          <w:sz w:val="11"/>
          <w:szCs w:val="11"/>
        </w:rPr>
        <w:t>-</w:t>
      </w:r>
      <w:r>
        <w:rPr>
          <w:color w:val="D1AAD4"/>
          <w:sz w:val="11"/>
          <w:szCs w:val="11"/>
        </w:rPr>
        <w:tab/>
      </w:r>
      <w:r>
        <w:rPr>
          <w:color w:val="D1AAD4"/>
          <w:spacing w:val="-10"/>
          <w:sz w:val="11"/>
          <w:szCs w:val="11"/>
        </w:rPr>
        <w:t>-</w:t>
      </w:r>
    </w:p>
    <w:p>
      <w:pPr>
        <w:tabs>
          <w:tab w:pos="3449" w:val="left" w:leader="none"/>
        </w:tabs>
        <w:spacing w:before="57"/>
        <w:ind w:left="986" w:right="0" w:firstLine="0"/>
        <w:jc w:val="left"/>
        <w:rPr>
          <w:sz w:val="15"/>
        </w:rPr>
      </w:pPr>
      <w:r>
        <w:rPr>
          <w:color w:val="54545D"/>
          <w:spacing w:val="-2"/>
          <w:w w:val="115"/>
          <w:sz w:val="15"/>
        </w:rPr>
        <w:t>Mltle</w:t>
      </w:r>
      <w:r>
        <w:rPr>
          <w:color w:val="3B2D4D"/>
          <w:spacing w:val="-2"/>
          <w:w w:val="115"/>
          <w:sz w:val="15"/>
        </w:rPr>
        <w:t>p</w:t>
      </w:r>
      <w:r>
        <w:rPr>
          <w:color w:val="3B2D4D"/>
          <w:sz w:val="15"/>
        </w:rPr>
        <w:tab/>
      </w:r>
      <w:r>
        <w:rPr>
          <w:color w:val="593B50"/>
          <w:spacing w:val="-5"/>
          <w:w w:val="115"/>
          <w:sz w:val="15"/>
        </w:rPr>
        <w:t>dl</w:t>
      </w:r>
    </w:p>
    <w:p>
      <w:pPr>
        <w:tabs>
          <w:tab w:pos="3238" w:val="left" w:leader="none"/>
          <w:tab w:pos="3968" w:val="left" w:leader="none"/>
        </w:tabs>
        <w:spacing w:line="141" w:lineRule="exact" w:before="108"/>
        <w:ind w:left="2418" w:right="0" w:firstLine="0"/>
        <w:jc w:val="left"/>
        <w:rPr>
          <w:rFonts w:ascii="Times New Roman" w:hAnsi="Times New Roman"/>
          <w:sz w:val="16"/>
        </w:rPr>
      </w:pPr>
      <w:r>
        <w:rPr>
          <w:rFonts w:ascii="Times New Roman" w:hAnsi="Times New Roman"/>
          <w:sz w:val="16"/>
        </w:rPr>
        <mc:AlternateContent>
          <mc:Choice Requires="wps">
            <w:drawing>
              <wp:anchor distT="0" distB="0" distL="0" distR="0" allowOverlap="1" layoutInCell="1" locked="0" behindDoc="0" simplePos="0" relativeHeight="15751680">
                <wp:simplePos x="0" y="0"/>
                <wp:positionH relativeFrom="page">
                  <wp:posOffset>1538601</wp:posOffset>
                </wp:positionH>
                <wp:positionV relativeFrom="paragraph">
                  <wp:posOffset>102373</wp:posOffset>
                </wp:positionV>
                <wp:extent cx="904240" cy="193040"/>
                <wp:effectExtent l="0" t="0" r="0" b="0"/>
                <wp:wrapNone/>
                <wp:docPr id="160" name="Group 160"/>
                <wp:cNvGraphicFramePr>
                  <a:graphicFrameLocks/>
                </wp:cNvGraphicFramePr>
                <a:graphic>
                  <a:graphicData uri="http://schemas.microsoft.com/office/word/2010/wordprocessingGroup">
                    <wpg:wgp>
                      <wpg:cNvPr id="160" name="Group 160"/>
                      <wpg:cNvGrpSpPr/>
                      <wpg:grpSpPr>
                        <a:xfrm>
                          <a:off x="0" y="0"/>
                          <a:ext cx="904240" cy="193040"/>
                          <a:chExt cx="904240" cy="193040"/>
                        </a:xfrm>
                      </wpg:grpSpPr>
                      <pic:pic>
                        <pic:nvPicPr>
                          <pic:cNvPr id="161" name="Image 161"/>
                          <pic:cNvPicPr/>
                        </pic:nvPicPr>
                        <pic:blipFill>
                          <a:blip r:embed="rId79" cstate="print"/>
                          <a:stretch>
                            <a:fillRect/>
                          </a:stretch>
                        </pic:blipFill>
                        <pic:spPr>
                          <a:xfrm>
                            <a:off x="0" y="0"/>
                            <a:ext cx="903623" cy="180049"/>
                          </a:xfrm>
                          <a:prstGeom prst="rect">
                            <a:avLst/>
                          </a:prstGeom>
                        </pic:spPr>
                      </pic:pic>
                      <wps:wsp>
                        <wps:cNvPr id="162" name="Textbox 162"/>
                        <wps:cNvSpPr txBox="1"/>
                        <wps:spPr>
                          <a:xfrm>
                            <a:off x="0" y="0"/>
                            <a:ext cx="904240" cy="193040"/>
                          </a:xfrm>
                          <a:prstGeom prst="rect">
                            <a:avLst/>
                          </a:prstGeom>
                        </wps:spPr>
                        <wps:txbx>
                          <w:txbxContent>
                            <w:p>
                              <w:pPr>
                                <w:spacing w:before="119"/>
                                <w:ind w:left="778" w:right="0" w:firstLine="0"/>
                                <w:jc w:val="left"/>
                                <w:rPr>
                                  <w:rFonts w:ascii="Times New Roman"/>
                                  <w:sz w:val="16"/>
                                </w:rPr>
                              </w:pPr>
                              <w:r>
                                <w:rPr>
                                  <w:color w:val="424257"/>
                                  <w:spacing w:val="-2"/>
                                  <w:w w:val="120"/>
                                  <w:sz w:val="15"/>
                                </w:rPr>
                                <w:t>de</w:t>
                              </w:r>
                              <w:r>
                                <w:rPr>
                                  <w:rFonts w:ascii="Times New Roman"/>
                                  <w:color w:val="465672"/>
                                  <w:spacing w:val="-2"/>
                                  <w:w w:val="120"/>
                                  <w:sz w:val="16"/>
                                </w:rPr>
                                <w:t>'ill</w:t>
                              </w:r>
                            </w:p>
                          </w:txbxContent>
                        </wps:txbx>
                        <wps:bodyPr wrap="square" lIns="0" tIns="0" rIns="0" bIns="0" rtlCol="0">
                          <a:noAutofit/>
                        </wps:bodyPr>
                      </wps:wsp>
                    </wpg:wgp>
                  </a:graphicData>
                </a:graphic>
              </wp:anchor>
            </w:drawing>
          </mc:Choice>
          <mc:Fallback>
            <w:pict>
              <v:group style="position:absolute;margin-left:121.149696pt;margin-top:8.060925pt;width:71.2pt;height:15.2pt;mso-position-horizontal-relative:page;mso-position-vertical-relative:paragraph;z-index:15751680" id="docshapegroup122" coordorigin="2423,161" coordsize="1424,304">
                <v:shape style="position:absolute;left:2423;top:161;width:1424;height:284" type="#_x0000_t75" id="docshape123" stroked="false">
                  <v:imagedata r:id="rId79" o:title=""/>
                </v:shape>
                <v:shape style="position:absolute;left:2423;top:161;width:1424;height:304" type="#_x0000_t202" id="docshape124" filled="false" stroked="false">
                  <v:textbox inset="0,0,0,0">
                    <w:txbxContent>
                      <w:p>
                        <w:pPr>
                          <w:spacing w:before="119"/>
                          <w:ind w:left="778" w:right="0" w:firstLine="0"/>
                          <w:jc w:val="left"/>
                          <w:rPr>
                            <w:rFonts w:ascii="Times New Roman"/>
                            <w:sz w:val="16"/>
                          </w:rPr>
                        </w:pPr>
                        <w:r>
                          <w:rPr>
                            <w:color w:val="424257"/>
                            <w:spacing w:val="-2"/>
                            <w:w w:val="120"/>
                            <w:sz w:val="15"/>
                          </w:rPr>
                          <w:t>de</w:t>
                        </w:r>
                        <w:r>
                          <w:rPr>
                            <w:rFonts w:ascii="Times New Roman"/>
                            <w:color w:val="465672"/>
                            <w:spacing w:val="-2"/>
                            <w:w w:val="120"/>
                            <w:sz w:val="16"/>
                          </w:rPr>
                          <w:t>'ill</w:t>
                        </w:r>
                      </w:p>
                    </w:txbxContent>
                  </v:textbox>
                  <w10:wrap type="none"/>
                </v:shape>
                <w10:wrap type="none"/>
              </v:group>
            </w:pict>
          </mc:Fallback>
        </mc:AlternateContent>
      </w:r>
      <w:r>
        <w:rPr>
          <w:rFonts w:ascii="Times New Roman" w:hAnsi="Times New Roman"/>
          <w:sz w:val="16"/>
        </w:rPr>
        <w:drawing>
          <wp:anchor distT="0" distB="0" distL="0" distR="0" allowOverlap="1" layoutInCell="1" locked="0" behindDoc="1" simplePos="0" relativeHeight="475354112">
            <wp:simplePos x="0" y="0"/>
            <wp:positionH relativeFrom="page">
              <wp:posOffset>2845192</wp:posOffset>
            </wp:positionH>
            <wp:positionV relativeFrom="paragraph">
              <wp:posOffset>93218</wp:posOffset>
            </wp:positionV>
            <wp:extent cx="3504592" cy="430288"/>
            <wp:effectExtent l="0" t="0" r="0" b="0"/>
            <wp:wrapNone/>
            <wp:docPr id="163" name="Image 163"/>
            <wp:cNvGraphicFramePr>
              <a:graphicFrameLocks/>
            </wp:cNvGraphicFramePr>
            <a:graphic>
              <a:graphicData uri="http://schemas.openxmlformats.org/drawingml/2006/picture">
                <pic:pic>
                  <pic:nvPicPr>
                    <pic:cNvPr id="163" name="Image 163"/>
                    <pic:cNvPicPr/>
                  </pic:nvPicPr>
                  <pic:blipFill>
                    <a:blip r:embed="rId80" cstate="print"/>
                    <a:stretch>
                      <a:fillRect/>
                    </a:stretch>
                  </pic:blipFill>
                  <pic:spPr>
                    <a:xfrm>
                      <a:off x="0" y="0"/>
                      <a:ext cx="3504592" cy="430288"/>
                    </a:xfrm>
                    <a:prstGeom prst="rect">
                      <a:avLst/>
                    </a:prstGeom>
                  </pic:spPr>
                </pic:pic>
              </a:graphicData>
            </a:graphic>
          </wp:anchor>
        </w:drawing>
      </w:r>
      <w:r>
        <w:rPr>
          <w:rFonts w:ascii="Times New Roman" w:hAnsi="Times New Roman"/>
          <w:color w:val="DFC36B"/>
          <w:sz w:val="16"/>
        </w:rPr>
        <w:t>'</w:t>
      </w:r>
      <w:r>
        <w:rPr>
          <w:rFonts w:ascii="Times New Roman" w:hAnsi="Times New Roman"/>
          <w:color w:val="DFC36B"/>
          <w:spacing w:val="54"/>
          <w:sz w:val="16"/>
        </w:rPr>
        <w:t>  </w:t>
      </w:r>
      <w:r>
        <w:rPr>
          <w:rFonts w:ascii="Times New Roman" w:hAnsi="Times New Roman"/>
          <w:color w:val="424257"/>
          <w:spacing w:val="-5"/>
          <w:sz w:val="16"/>
        </w:rPr>
        <w:t>lá</w:t>
      </w:r>
      <w:r>
        <w:rPr>
          <w:rFonts w:ascii="Times New Roman" w:hAnsi="Times New Roman"/>
          <w:color w:val="424257"/>
          <w:sz w:val="16"/>
        </w:rPr>
        <w:tab/>
      </w:r>
      <w:r>
        <w:rPr>
          <w:rFonts w:ascii="Times New Roman" w:hAnsi="Times New Roman"/>
          <w:color w:val="C39038"/>
          <w:w w:val="75"/>
          <w:sz w:val="16"/>
        </w:rPr>
        <w:t>•</w:t>
      </w:r>
      <w:r>
        <w:rPr>
          <w:rFonts w:ascii="Times New Roman" w:hAnsi="Times New Roman"/>
          <w:color w:val="C39038"/>
          <w:spacing w:val="27"/>
          <w:sz w:val="16"/>
        </w:rPr>
        <w:t> </w:t>
      </w:r>
      <w:r>
        <w:rPr>
          <w:rFonts w:ascii="Times New Roman" w:hAnsi="Times New Roman"/>
          <w:color w:val="0F0033"/>
          <w:sz w:val="16"/>
        </w:rPr>
        <w:t>.</w:t>
      </w:r>
      <w:r>
        <w:rPr>
          <w:color w:val="424257"/>
          <w:sz w:val="13"/>
        </w:rPr>
        <w:t>Dl'i:I </w:t>
      </w:r>
      <w:r>
        <w:rPr>
          <w:rFonts w:ascii="Times New Roman" w:hAnsi="Times New Roman"/>
          <w:color w:val="593B50"/>
          <w:spacing w:val="-10"/>
          <w:sz w:val="16"/>
        </w:rPr>
        <w:t>d</w:t>
      </w:r>
      <w:r>
        <w:rPr>
          <w:rFonts w:ascii="Times New Roman" w:hAnsi="Times New Roman"/>
          <w:color w:val="593B50"/>
          <w:sz w:val="16"/>
        </w:rPr>
        <w:tab/>
      </w:r>
      <w:r>
        <w:rPr>
          <w:rFonts w:ascii="Times New Roman" w:hAnsi="Times New Roman"/>
          <w:color w:val="54545D"/>
          <w:spacing w:val="-4"/>
          <w:w w:val="140"/>
          <w:sz w:val="16"/>
        </w:rPr>
        <w:t>Sedu</w:t>
      </w:r>
    </w:p>
    <w:p>
      <w:pPr>
        <w:pStyle w:val="BodyText"/>
        <w:rPr>
          <w:rFonts w:ascii="Times New Roman"/>
          <w:sz w:val="16"/>
        </w:rPr>
      </w:pPr>
      <w:r>
        <w:rPr/>
        <w:br w:type="column"/>
      </w:r>
      <w:r>
        <w:rPr>
          <w:rFonts w:ascii="Times New Roman"/>
          <w:sz w:val="16"/>
        </w:rPr>
      </w: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spacing w:before="21"/>
        <w:rPr>
          <w:rFonts w:ascii="Times New Roman"/>
          <w:sz w:val="16"/>
        </w:rPr>
      </w:pPr>
    </w:p>
    <w:p>
      <w:pPr>
        <w:spacing w:line="132" w:lineRule="exact" w:before="1"/>
        <w:ind w:left="0" w:right="634" w:firstLine="0"/>
        <w:jc w:val="center"/>
        <w:rPr>
          <w:sz w:val="16"/>
        </w:rPr>
      </w:pPr>
      <w:r>
        <w:rPr>
          <w:color w:val="465672"/>
          <w:spacing w:val="-2"/>
          <w:sz w:val="16"/>
        </w:rPr>
        <w:t>r:il</w:t>
      </w:r>
      <w:r>
        <w:rPr>
          <w:color w:val="3B2D4D"/>
          <w:spacing w:val="-2"/>
          <w:sz w:val="16"/>
        </w:rPr>
        <w:t>e</w:t>
      </w:r>
    </w:p>
    <w:p>
      <w:pPr>
        <w:spacing w:after="0" w:line="132" w:lineRule="exact"/>
        <w:jc w:val="center"/>
        <w:rPr>
          <w:sz w:val="16"/>
        </w:rPr>
        <w:sectPr>
          <w:type w:val="continuous"/>
          <w:pgSz w:w="12240" w:h="15840"/>
          <w:pgMar w:header="0" w:footer="2440" w:top="1820" w:bottom="280" w:left="1440" w:right="360"/>
          <w:cols w:num="2" w:equalWidth="0">
            <w:col w:w="5809" w:space="1781"/>
            <w:col w:w="2850"/>
          </w:cols>
        </w:sectPr>
      </w:pPr>
    </w:p>
    <w:p>
      <w:pPr>
        <w:spacing w:line="212" w:lineRule="exact" w:before="0"/>
        <w:ind w:left="2776" w:right="0" w:firstLine="0"/>
        <w:jc w:val="left"/>
        <w:rPr>
          <w:sz w:val="15"/>
        </w:rPr>
      </w:pPr>
      <w:r>
        <w:rPr>
          <w:color w:val="465672"/>
          <w:sz w:val="20"/>
        </w:rPr>
        <w:t>□</w:t>
      </w:r>
      <w:r>
        <w:rPr>
          <w:color w:val="E8B342"/>
          <w:sz w:val="9"/>
        </w:rPr>
        <w:t>1</w:t>
      </w:r>
      <w:r>
        <w:rPr>
          <w:color w:val="424257"/>
          <w:sz w:val="9"/>
        </w:rPr>
        <w:t>11:!</w:t>
      </w:r>
      <w:r>
        <w:rPr>
          <w:color w:val="424257"/>
          <w:spacing w:val="31"/>
          <w:sz w:val="9"/>
        </w:rPr>
        <w:t> </w:t>
      </w:r>
      <w:r>
        <w:rPr>
          <w:color w:val="1C8ABF"/>
          <w:sz w:val="15"/>
        </w:rPr>
        <w:t>l</w:t>
      </w:r>
      <w:r>
        <w:rPr>
          <w:color w:val="465672"/>
          <w:sz w:val="15"/>
        </w:rPr>
        <w:t>a</w:t>
      </w:r>
      <w:r>
        <w:rPr>
          <w:color w:val="465672"/>
          <w:spacing w:val="-10"/>
          <w:sz w:val="15"/>
        </w:rPr>
        <w:t> </w:t>
      </w:r>
      <w:r>
        <w:rPr>
          <w:color w:val="54545D"/>
          <w:sz w:val="15"/>
        </w:rPr>
        <w:t>MA</w:t>
      </w:r>
      <w:r>
        <w:rPr>
          <w:color w:val="3B2D4D"/>
          <w:sz w:val="15"/>
        </w:rPr>
        <w:t>P</w:t>
      </w:r>
      <w:r>
        <w:rPr>
          <w:color w:val="593B50"/>
          <w:sz w:val="15"/>
        </w:rPr>
        <w:t>I?</w:t>
      </w:r>
      <w:r>
        <w:rPr>
          <w:color w:val="593B50"/>
          <w:spacing w:val="-13"/>
          <w:sz w:val="15"/>
        </w:rPr>
        <w:t> </w:t>
      </w:r>
      <w:r>
        <w:rPr>
          <w:rFonts w:ascii="Times New Roman" w:hAnsi="Times New Roman"/>
          <w:i/>
          <w:color w:val="54545D"/>
          <w:sz w:val="16"/>
        </w:rPr>
        <w:t>21!121</w:t>
      </w:r>
      <w:r>
        <w:rPr>
          <w:rFonts w:ascii="Times New Roman" w:hAnsi="Times New Roman"/>
          <w:i/>
          <w:color w:val="54545D"/>
          <w:spacing w:val="1"/>
          <w:sz w:val="16"/>
        </w:rPr>
        <w:t> </w:t>
      </w:r>
      <w:r>
        <w:rPr>
          <w:color w:val="424257"/>
          <w:spacing w:val="-5"/>
          <w:sz w:val="15"/>
        </w:rPr>
        <w:t>del</w:t>
      </w:r>
    </w:p>
    <w:p>
      <w:pPr>
        <w:spacing w:line="178" w:lineRule="exact" w:before="0"/>
        <w:ind w:left="981" w:right="0" w:firstLine="0"/>
        <w:jc w:val="left"/>
        <w:rPr>
          <w:sz w:val="16"/>
        </w:rPr>
      </w:pPr>
      <w:r>
        <w:rPr>
          <w:sz w:val="16"/>
        </w:rPr>
        <mc:AlternateContent>
          <mc:Choice Requires="wps">
            <w:drawing>
              <wp:anchor distT="0" distB="0" distL="0" distR="0" allowOverlap="1" layoutInCell="1" locked="0" behindDoc="1" simplePos="0" relativeHeight="475356160">
                <wp:simplePos x="0" y="0"/>
                <wp:positionH relativeFrom="page">
                  <wp:posOffset>1932081</wp:posOffset>
                </wp:positionH>
                <wp:positionV relativeFrom="paragraph">
                  <wp:posOffset>104782</wp:posOffset>
                </wp:positionV>
                <wp:extent cx="12700" cy="120014"/>
                <wp:effectExtent l="0" t="0" r="0" b="0"/>
                <wp:wrapNone/>
                <wp:docPr id="164" name="Graphic 164"/>
                <wp:cNvGraphicFramePr>
                  <a:graphicFrameLocks/>
                </wp:cNvGraphicFramePr>
                <a:graphic>
                  <a:graphicData uri="http://schemas.microsoft.com/office/word/2010/wordprocessingShape">
                    <wps:wsp>
                      <wps:cNvPr id="164" name="Graphic 164"/>
                      <wps:cNvSpPr/>
                      <wps:spPr>
                        <a:xfrm>
                          <a:off x="0" y="0"/>
                          <a:ext cx="12700" cy="120014"/>
                        </a:xfrm>
                        <a:custGeom>
                          <a:avLst/>
                          <a:gdLst/>
                          <a:ahLst/>
                          <a:cxnLst/>
                          <a:rect l="l" t="t" r="r" b="b"/>
                          <a:pathLst>
                            <a:path w="12700" h="120014">
                              <a:moveTo>
                                <a:pt x="12211" y="119821"/>
                              </a:moveTo>
                              <a:lnTo>
                                <a:pt x="0" y="119821"/>
                              </a:lnTo>
                              <a:lnTo>
                                <a:pt x="0" y="0"/>
                              </a:lnTo>
                              <a:lnTo>
                                <a:pt x="12211" y="0"/>
                              </a:lnTo>
                              <a:lnTo>
                                <a:pt x="12211" y="119821"/>
                              </a:lnTo>
                              <a:close/>
                            </a:path>
                          </a:pathLst>
                        </a:custGeom>
                        <a:solidFill>
                          <a:srgbClr val="E1EDD6"/>
                        </a:solidFill>
                      </wps:spPr>
                      <wps:bodyPr wrap="square" lIns="0" tIns="0" rIns="0" bIns="0" rtlCol="0">
                        <a:prstTxWarp prst="textNoShape">
                          <a:avLst/>
                        </a:prstTxWarp>
                        <a:noAutofit/>
                      </wps:bodyPr>
                    </wps:wsp>
                  </a:graphicData>
                </a:graphic>
              </wp:anchor>
            </w:drawing>
          </mc:Choice>
          <mc:Fallback>
            <w:pict>
              <v:rect style="position:absolute;margin-left:152.132431pt;margin-top:8.250589pt;width:.961506pt;height:9.434761pt;mso-position-horizontal-relative:page;mso-position-vertical-relative:paragraph;z-index:-27960320" id="docshape125" filled="true" fillcolor="#e1edd6" stroked="false">
                <v:fill type="solid"/>
                <w10:wrap type="none"/>
              </v:rect>
            </w:pict>
          </mc:Fallback>
        </mc:AlternateContent>
      </w:r>
      <w:r>
        <w:rPr>
          <w:color w:val="E8B342"/>
          <w:spacing w:val="-6"/>
          <w:w w:val="120"/>
          <w:sz w:val="15"/>
        </w:rPr>
        <w:t>,</w:t>
      </w:r>
      <w:r>
        <w:rPr>
          <w:color w:val="676483"/>
          <w:spacing w:val="-6"/>
          <w:w w:val="120"/>
          <w:sz w:val="18"/>
        </w:rPr>
        <w:t>f.</w:t>
      </w:r>
      <w:r>
        <w:rPr>
          <w:color w:val="3B2D4D"/>
          <w:spacing w:val="-6"/>
          <w:w w:val="120"/>
          <w:sz w:val="15"/>
        </w:rPr>
        <w:t>El</w:t>
      </w:r>
      <w:r>
        <w:rPr>
          <w:color w:val="3B2D4D"/>
          <w:spacing w:val="71"/>
          <w:w w:val="120"/>
          <w:sz w:val="15"/>
        </w:rPr>
        <w:t> </w:t>
      </w:r>
      <w:r>
        <w:rPr>
          <w:color w:val="1F1336"/>
          <w:spacing w:val="-6"/>
          <w:w w:val="105"/>
          <w:sz w:val="15"/>
        </w:rPr>
        <w:t>E</w:t>
      </w:r>
      <w:r>
        <w:rPr>
          <w:color w:val="54545D"/>
          <w:spacing w:val="-6"/>
          <w:w w:val="105"/>
          <w:sz w:val="15"/>
        </w:rPr>
        <w:t>N</w:t>
      </w:r>
      <w:r>
        <w:rPr>
          <w:color w:val="54545D"/>
          <w:spacing w:val="4"/>
          <w:w w:val="105"/>
          <w:sz w:val="15"/>
        </w:rPr>
        <w:t> </w:t>
      </w:r>
      <w:r>
        <w:rPr>
          <w:color w:val="424257"/>
          <w:spacing w:val="-6"/>
          <w:w w:val="105"/>
          <w:sz w:val="15"/>
        </w:rPr>
        <w:t>:2.Il.5O</w:t>
      </w:r>
      <w:r>
        <w:rPr>
          <w:color w:val="620F90"/>
          <w:spacing w:val="-6"/>
          <w:w w:val="105"/>
          <w:sz w:val="15"/>
        </w:rPr>
        <w:t>,</w:t>
      </w:r>
      <w:r>
        <w:rPr>
          <w:color w:val="620F90"/>
          <w:spacing w:val="-8"/>
          <w:w w:val="105"/>
          <w:sz w:val="15"/>
        </w:rPr>
        <w:t> </w:t>
      </w:r>
      <w:r>
        <w:rPr>
          <w:color w:val="54545D"/>
          <w:spacing w:val="-6"/>
          <w:w w:val="105"/>
          <w:sz w:val="16"/>
        </w:rPr>
        <w:t>o:m</w:t>
      </w:r>
      <w:r>
        <w:rPr>
          <w:color w:val="54545D"/>
          <w:spacing w:val="-25"/>
          <w:w w:val="105"/>
          <w:sz w:val="16"/>
        </w:rPr>
        <w:t> </w:t>
      </w:r>
      <w:r>
        <w:rPr>
          <w:color w:val="424257"/>
          <w:spacing w:val="-6"/>
          <w:w w:val="105"/>
          <w:sz w:val="15"/>
        </w:rPr>
        <w:t>lb.ase</w:t>
      </w:r>
      <w:r>
        <w:rPr>
          <w:color w:val="74DAF6"/>
          <w:spacing w:val="-6"/>
          <w:w w:val="105"/>
          <w:sz w:val="15"/>
        </w:rPr>
        <w:t>•</w:t>
      </w:r>
      <w:r>
        <w:rPr>
          <w:color w:val="3B2D4D"/>
          <w:spacing w:val="-6"/>
          <w:w w:val="105"/>
          <w:sz w:val="16"/>
        </w:rPr>
        <w:t>e</w:t>
      </w:r>
    </w:p>
    <w:p>
      <w:pPr>
        <w:tabs>
          <w:tab w:pos="2532" w:val="left" w:leader="none"/>
        </w:tabs>
        <w:spacing w:line="167" w:lineRule="exact" w:before="0"/>
        <w:ind w:left="993" w:right="0" w:firstLine="0"/>
        <w:jc w:val="left"/>
        <w:rPr>
          <w:sz w:val="12"/>
        </w:rPr>
      </w:pPr>
      <w:r>
        <w:rPr>
          <w:rFonts w:ascii="Times New Roman" w:hAnsi="Times New Roman"/>
          <w:color w:val="424257"/>
          <w:w w:val="115"/>
          <w:sz w:val="14"/>
        </w:rPr>
        <w:t>íepreiSe</w:t>
      </w:r>
      <w:r>
        <w:rPr>
          <w:rFonts w:ascii="Times New Roman" w:hAnsi="Times New Roman"/>
          <w:color w:val="424257"/>
          <w:spacing w:val="-1"/>
          <w:w w:val="115"/>
          <w:sz w:val="14"/>
        </w:rPr>
        <w:t> </w:t>
      </w:r>
      <w:r>
        <w:rPr>
          <w:rFonts w:ascii="Times New Roman" w:hAnsi="Times New Roman"/>
          <w:color w:val="D1AAD4"/>
          <w:sz w:val="14"/>
        </w:rPr>
        <w:t>•</w:t>
      </w:r>
      <w:r>
        <w:rPr>
          <w:rFonts w:ascii="Times New Roman" w:hAnsi="Times New Roman"/>
          <w:color w:val="D1AAD4"/>
          <w:spacing w:val="65"/>
          <w:w w:val="110"/>
          <w:sz w:val="14"/>
        </w:rPr>
        <w:t>  </w:t>
      </w:r>
      <w:r>
        <w:rPr>
          <w:rFonts w:ascii="Times New Roman" w:hAnsi="Times New Roman"/>
          <w:color w:val="54545D"/>
          <w:spacing w:val="-2"/>
          <w:w w:val="110"/>
          <w:sz w:val="15"/>
        </w:rPr>
        <w:t>lla</w:t>
      </w:r>
      <w:r>
        <w:rPr>
          <w:rFonts w:ascii="Times New Roman" w:hAnsi="Times New Roman"/>
          <w:color w:val="74DAF6"/>
          <w:spacing w:val="-2"/>
          <w:w w:val="110"/>
          <w:sz w:val="15"/>
        </w:rPr>
        <w:t>1</w:t>
      </w:r>
      <w:r>
        <w:rPr>
          <w:color w:val="424257"/>
          <w:spacing w:val="-2"/>
          <w:w w:val="110"/>
          <w:sz w:val="16"/>
        </w:rPr>
        <w:t>co</w:t>
      </w:r>
      <w:r>
        <w:rPr>
          <w:color w:val="424257"/>
          <w:sz w:val="16"/>
        </w:rPr>
        <w:tab/>
        <w:t>Oe</w:t>
      </w:r>
      <w:r>
        <w:rPr>
          <w:color w:val="424257"/>
          <w:spacing w:val="-8"/>
          <w:sz w:val="16"/>
        </w:rPr>
        <w:t> </w:t>
      </w:r>
      <w:r>
        <w:rPr>
          <w:color w:val="54545D"/>
          <w:spacing w:val="-2"/>
          <w:w w:val="115"/>
          <w:sz w:val="12"/>
        </w:rPr>
        <w:t>OOíll</w:t>
      </w:r>
    </w:p>
    <w:p>
      <w:pPr>
        <w:spacing w:before="22"/>
        <w:ind w:left="991" w:right="0" w:firstLine="0"/>
        <w:jc w:val="left"/>
        <w:rPr>
          <w:sz w:val="15"/>
          <w:szCs w:val="15"/>
        </w:rPr>
      </w:pPr>
      <w:r>
        <w:rPr>
          <w:color w:val="3B2D4D"/>
          <w:sz w:val="15"/>
          <w:szCs w:val="15"/>
        </w:rPr>
        <w:t>e'</w:t>
      </w:r>
      <w:r>
        <w:rPr>
          <w:color w:val="2F809C"/>
          <w:sz w:val="15"/>
          <w:szCs w:val="15"/>
        </w:rPr>
        <w:t>J</w:t>
      </w:r>
      <w:r>
        <w:rPr>
          <w:color w:val="424257"/>
          <w:sz w:val="15"/>
          <w:szCs w:val="15"/>
        </w:rPr>
        <w:t>erel</w:t>
      </w:r>
      <w:r>
        <w:rPr>
          <w:color w:val="603A70"/>
          <w:sz w:val="15"/>
          <w:szCs w:val="15"/>
        </w:rPr>
        <w:t>cl</w:t>
      </w:r>
      <w:r>
        <w:rPr>
          <w:color w:val="E8B342"/>
          <w:sz w:val="15"/>
          <w:szCs w:val="15"/>
        </w:rPr>
        <w:t>,</w:t>
      </w:r>
      <w:r>
        <w:rPr>
          <w:color w:val="424257"/>
          <w:sz w:val="15"/>
          <w:szCs w:val="15"/>
        </w:rPr>
        <w:t>bec</w:t>
      </w:r>
      <w:r>
        <w:rPr>
          <w:color w:val="465672"/>
          <w:sz w:val="15"/>
          <w:szCs w:val="15"/>
        </w:rPr>
        <w:t>ooi:lm</w:t>
      </w:r>
      <w:r>
        <w:rPr>
          <w:color w:val="851387"/>
          <w:sz w:val="15"/>
          <w:szCs w:val="15"/>
        </w:rPr>
        <w:t>l</w:t>
      </w:r>
      <w:r>
        <w:rPr>
          <w:color w:val="424257"/>
          <w:sz w:val="15"/>
          <w:szCs w:val="15"/>
        </w:rPr>
        <w:t>'ro</w:t>
      </w:r>
      <w:r>
        <w:rPr>
          <w:color w:val="424257"/>
          <w:spacing w:val="68"/>
          <w:sz w:val="15"/>
          <w:szCs w:val="15"/>
        </w:rPr>
        <w:t> </w:t>
      </w:r>
      <w:r>
        <w:rPr>
          <w:color w:val="54545D"/>
          <w:spacing w:val="-2"/>
          <w:sz w:val="15"/>
          <w:szCs w:val="15"/>
        </w:rPr>
        <w:t>�1).27</w:t>
      </w:r>
      <w:r>
        <w:rPr>
          <w:color w:val="569377"/>
          <w:spacing w:val="-2"/>
          <w:sz w:val="15"/>
          <w:szCs w:val="15"/>
        </w:rPr>
        <w:t>_</w:t>
      </w:r>
    </w:p>
    <w:p>
      <w:pPr>
        <w:tabs>
          <w:tab w:pos="1274" w:val="left" w:leader="none"/>
        </w:tabs>
        <w:spacing w:before="121"/>
        <w:ind w:left="991" w:right="0" w:firstLine="0"/>
        <w:jc w:val="left"/>
        <w:rPr>
          <w:sz w:val="18"/>
        </w:rPr>
      </w:pPr>
      <w:r>
        <w:rPr>
          <w:color w:val="54545D"/>
          <w:spacing w:val="-10"/>
          <w:sz w:val="18"/>
        </w:rPr>
        <w:t>s</w:t>
      </w:r>
      <w:r>
        <w:rPr>
          <w:color w:val="54545D"/>
          <w:sz w:val="18"/>
        </w:rPr>
        <w:tab/>
      </w:r>
      <w:r>
        <w:rPr>
          <w:color w:val="705757"/>
          <w:spacing w:val="-2"/>
          <w:sz w:val="15"/>
        </w:rPr>
        <w:t>D</w:t>
      </w:r>
      <w:r>
        <w:rPr>
          <w:color w:val="424257"/>
          <w:spacing w:val="-2"/>
          <w:sz w:val="15"/>
        </w:rPr>
        <w:t>lll'D</w:t>
      </w:r>
      <w:r>
        <w:rPr>
          <w:color w:val="3B6977"/>
          <w:spacing w:val="-2"/>
          <w:sz w:val="18"/>
        </w:rPr>
        <w:t>p</w:t>
      </w:r>
      <w:r>
        <w:rPr>
          <w:color w:val="383D34"/>
          <w:spacing w:val="-2"/>
          <w:sz w:val="18"/>
        </w:rPr>
        <w:t>a</w:t>
      </w:r>
      <w:r>
        <w:rPr>
          <w:color w:val="54545D"/>
          <w:spacing w:val="-2"/>
          <w:sz w:val="18"/>
        </w:rPr>
        <w:t>rn</w:t>
      </w:r>
      <w:r>
        <w:rPr>
          <w:color w:val="662183"/>
          <w:spacing w:val="-2"/>
          <w:sz w:val="18"/>
        </w:rPr>
        <w:t>r</w:t>
      </w:r>
      <w:r>
        <w:rPr>
          <w:color w:val="424257"/>
          <w:spacing w:val="-2"/>
          <w:sz w:val="18"/>
        </w:rPr>
        <w:t>ru</w:t>
      </w:r>
      <w:r>
        <w:rPr>
          <w:color w:val="1C8ABF"/>
          <w:spacing w:val="-2"/>
          <w:sz w:val="18"/>
        </w:rPr>
        <w:t>1</w:t>
      </w:r>
      <w:r>
        <w:rPr>
          <w:color w:val="54545D"/>
          <w:spacing w:val="-2"/>
          <w:sz w:val="18"/>
        </w:rPr>
        <w:t>air;</w:t>
      </w:r>
    </w:p>
    <w:p>
      <w:pPr>
        <w:tabs>
          <w:tab w:pos="2284" w:val="left" w:leader="none"/>
          <w:tab w:pos="3753" w:val="left" w:leader="none"/>
        </w:tabs>
        <w:spacing w:before="21"/>
        <w:ind w:left="981" w:right="0" w:firstLine="0"/>
        <w:jc w:val="left"/>
        <w:rPr>
          <w:sz w:val="16"/>
        </w:rPr>
      </w:pPr>
      <w:r>
        <w:rPr/>
        <w:br w:type="column"/>
      </w:r>
      <w:r>
        <w:rPr>
          <w:color w:val="6EB1D1"/>
          <w:w w:val="95"/>
          <w:sz w:val="15"/>
        </w:rPr>
        <w:t>,</w:t>
      </w:r>
      <w:r>
        <w:rPr>
          <w:color w:val="6EB1D1"/>
          <w:spacing w:val="-17"/>
          <w:w w:val="95"/>
          <w:sz w:val="15"/>
        </w:rPr>
        <w:t> </w:t>
      </w:r>
      <w:r>
        <w:rPr>
          <w:color w:val="424257"/>
          <w:w w:val="95"/>
          <w:sz w:val="15"/>
        </w:rPr>
        <w:t>de</w:t>
      </w:r>
      <w:r>
        <w:rPr>
          <w:color w:val="424257"/>
          <w:spacing w:val="11"/>
          <w:sz w:val="15"/>
        </w:rPr>
        <w:t> </w:t>
      </w:r>
      <w:r>
        <w:rPr>
          <w:color w:val="54545D"/>
          <w:spacing w:val="-10"/>
          <w:w w:val="95"/>
          <w:sz w:val="15"/>
        </w:rPr>
        <w:t>A</w:t>
      </w:r>
      <w:r>
        <w:rPr>
          <w:color w:val="54545D"/>
          <w:sz w:val="15"/>
        </w:rPr>
        <w:tab/>
      </w:r>
      <w:r>
        <w:rPr>
          <w:color w:val="E8B342"/>
          <w:spacing w:val="-10"/>
          <w:w w:val="95"/>
          <w:sz w:val="15"/>
        </w:rPr>
        <w:t>,</w:t>
      </w:r>
      <w:r>
        <w:rPr>
          <w:color w:val="E8B342"/>
          <w:sz w:val="15"/>
        </w:rPr>
        <w:tab/>
      </w:r>
      <w:r>
        <w:rPr>
          <w:color w:val="383D34"/>
          <w:w w:val="80"/>
          <w:sz w:val="16"/>
        </w:rPr>
        <w:t>-</w:t>
      </w:r>
      <w:r>
        <w:rPr>
          <w:color w:val="54545D"/>
          <w:spacing w:val="-2"/>
          <w:w w:val="95"/>
          <w:sz w:val="16"/>
        </w:rPr>
        <w:t>2i11Jl.!l</w:t>
      </w:r>
    </w:p>
    <w:p>
      <w:pPr>
        <w:spacing w:line="137" w:lineRule="exact" w:before="46"/>
        <w:ind w:left="3791" w:right="0" w:firstLine="0"/>
        <w:jc w:val="left"/>
        <w:rPr>
          <w:b/>
          <w:sz w:val="12"/>
        </w:rPr>
      </w:pPr>
      <w:r>
        <w:rPr>
          <w:b/>
          <w:color w:val="424257"/>
          <w:spacing w:val="-4"/>
          <w:sz w:val="12"/>
        </w:rPr>
        <w:t>112</w:t>
      </w:r>
      <w:r>
        <w:rPr>
          <w:b/>
          <w:color w:val="74DAF6"/>
          <w:spacing w:val="-4"/>
          <w:sz w:val="12"/>
        </w:rPr>
        <w:t>•</w:t>
      </w:r>
    </w:p>
    <w:p>
      <w:pPr>
        <w:spacing w:line="171" w:lineRule="exact" w:before="0"/>
        <w:ind w:left="3743" w:right="0" w:firstLine="0"/>
        <w:jc w:val="left"/>
        <w:rPr>
          <w:sz w:val="15"/>
        </w:rPr>
      </w:pPr>
      <w:r>
        <w:rPr>
          <w:color w:val="54545D"/>
          <w:spacing w:val="-2"/>
          <w:sz w:val="15"/>
        </w:rPr>
        <w:t>ara</w:t>
      </w:r>
      <w:r>
        <w:rPr>
          <w:color w:val="74DAF6"/>
          <w:spacing w:val="-2"/>
          <w:sz w:val="15"/>
        </w:rPr>
        <w:t>1</w:t>
      </w:r>
      <w:r>
        <w:rPr>
          <w:color w:val="E8B342"/>
          <w:spacing w:val="-2"/>
          <w:sz w:val="15"/>
        </w:rPr>
        <w:t>,</w:t>
      </w:r>
      <w:r>
        <w:rPr>
          <w:color w:val="697062"/>
          <w:spacing w:val="-2"/>
          <w:sz w:val="15"/>
        </w:rPr>
        <w:t>e1</w:t>
      </w:r>
    </w:p>
    <w:p>
      <w:pPr>
        <w:spacing w:after="0" w:line="171" w:lineRule="exact"/>
        <w:jc w:val="left"/>
        <w:rPr>
          <w:sz w:val="15"/>
        </w:rPr>
        <w:sectPr>
          <w:type w:val="continuous"/>
          <w:pgSz w:w="12240" w:h="15840"/>
          <w:pgMar w:header="0" w:footer="2440" w:top="1820" w:bottom="280" w:left="1440" w:right="360"/>
          <w:cols w:num="2" w:equalWidth="0">
            <w:col w:w="4496" w:space="122"/>
            <w:col w:w="5822"/>
          </w:cols>
        </w:sectPr>
      </w:pPr>
    </w:p>
    <w:p>
      <w:pPr>
        <w:pStyle w:val="BodyText"/>
        <w:rPr>
          <w:sz w:val="15"/>
        </w:rPr>
      </w:pPr>
    </w:p>
    <w:p>
      <w:pPr>
        <w:pStyle w:val="BodyText"/>
        <w:rPr>
          <w:sz w:val="15"/>
        </w:rPr>
      </w:pPr>
    </w:p>
    <w:p>
      <w:pPr>
        <w:pStyle w:val="BodyText"/>
        <w:rPr>
          <w:sz w:val="15"/>
        </w:rPr>
      </w:pPr>
    </w:p>
    <w:p>
      <w:pPr>
        <w:pStyle w:val="BodyText"/>
        <w:spacing w:before="170"/>
        <w:rPr>
          <w:sz w:val="15"/>
        </w:rPr>
      </w:pPr>
    </w:p>
    <w:p>
      <w:pPr>
        <w:spacing w:line="163" w:lineRule="exact" w:before="0"/>
        <w:ind w:left="0" w:right="433" w:firstLine="0"/>
        <w:jc w:val="center"/>
        <w:rPr>
          <w:sz w:val="15"/>
        </w:rPr>
      </w:pPr>
      <w:r>
        <w:rPr>
          <w:color w:val="3B2D4D"/>
          <w:w w:val="130"/>
          <w:sz w:val="15"/>
        </w:rPr>
        <w:t>ri;i</w:t>
      </w:r>
      <w:r>
        <w:rPr>
          <w:color w:val="3B2D4D"/>
          <w:spacing w:val="50"/>
          <w:w w:val="130"/>
          <w:sz w:val="15"/>
        </w:rPr>
        <w:t> </w:t>
      </w:r>
      <w:r>
        <w:rPr>
          <w:color w:val="230364"/>
          <w:w w:val="130"/>
          <w:sz w:val="15"/>
        </w:rPr>
        <w:t>I</w:t>
      </w:r>
      <w:r>
        <w:rPr>
          <w:color w:val="230364"/>
          <w:spacing w:val="-20"/>
          <w:w w:val="130"/>
          <w:sz w:val="15"/>
        </w:rPr>
        <w:t> </w:t>
      </w:r>
      <w:r>
        <w:rPr>
          <w:color w:val="424257"/>
          <w:w w:val="130"/>
          <w:sz w:val="15"/>
        </w:rPr>
        <w:t>Ulitill</w:t>
      </w:r>
      <w:r>
        <w:rPr>
          <w:color w:val="424257"/>
          <w:spacing w:val="-23"/>
          <w:w w:val="130"/>
          <w:sz w:val="15"/>
        </w:rPr>
        <w:t> </w:t>
      </w:r>
      <w:r>
        <w:rPr>
          <w:color w:val="3B2D4D"/>
          <w:spacing w:val="-2"/>
          <w:w w:val="130"/>
          <w:sz w:val="15"/>
        </w:rPr>
        <w:t>1ta</w:t>
      </w:r>
      <w:r>
        <w:rPr>
          <w:color w:val="54545D"/>
          <w:spacing w:val="-2"/>
          <w:w w:val="130"/>
          <w:sz w:val="15"/>
        </w:rPr>
        <w:t>rc</w:t>
      </w:r>
      <w:r>
        <w:rPr>
          <w:color w:val="3B2D4D"/>
          <w:spacing w:val="-2"/>
          <w:w w:val="130"/>
          <w:sz w:val="15"/>
        </w:rPr>
        <w:t>1uma</w:t>
      </w:r>
    </w:p>
    <w:p>
      <w:pPr>
        <w:tabs>
          <w:tab w:pos="937" w:val="left" w:leader="none"/>
        </w:tabs>
        <w:spacing w:line="186" w:lineRule="exact" w:before="0"/>
        <w:ind w:left="0" w:right="577" w:firstLine="0"/>
        <w:jc w:val="center"/>
        <w:rPr>
          <w:b/>
          <w:bCs/>
          <w:sz w:val="15"/>
          <w:szCs w:val="15"/>
        </w:rPr>
      </w:pPr>
      <w:r>
        <w:rPr>
          <w:rFonts w:ascii="Times New Roman" w:hAnsi="Times New Roman" w:cs="Times New Roman" w:eastAsia="Times New Roman"/>
          <w:color w:val="283D4B"/>
          <w:sz w:val="16"/>
          <w:szCs w:val="16"/>
        </w:rPr>
        <w:t>M</w:t>
      </w:r>
      <w:r>
        <w:rPr>
          <w:rFonts w:ascii="Times New Roman" w:hAnsi="Times New Roman" w:cs="Times New Roman" w:eastAsia="Times New Roman"/>
          <w:color w:val="230364"/>
          <w:sz w:val="16"/>
          <w:szCs w:val="16"/>
        </w:rPr>
        <w:t>l</w:t>
      </w:r>
      <w:r>
        <w:rPr>
          <w:rFonts w:ascii="Times New Roman" w:hAnsi="Times New Roman" w:cs="Times New Roman" w:eastAsia="Times New Roman"/>
          <w:color w:val="3B2D4D"/>
          <w:sz w:val="16"/>
          <w:szCs w:val="16"/>
        </w:rPr>
        <w:t>n</w:t>
      </w:r>
      <w:r>
        <w:rPr>
          <w:rFonts w:ascii="Times New Roman" w:hAnsi="Times New Roman" w:cs="Times New Roman" w:eastAsia="Times New Roman"/>
          <w:color w:val="3B2D4D"/>
          <w:spacing w:val="68"/>
          <w:w w:val="150"/>
          <w:sz w:val="16"/>
          <w:szCs w:val="16"/>
        </w:rPr>
        <w:t> </w:t>
      </w:r>
      <w:r>
        <w:rPr>
          <w:color w:val="3B2D4D"/>
          <w:w w:val="90"/>
          <w:sz w:val="18"/>
          <w:szCs w:val="18"/>
        </w:rPr>
        <w:t>E</w:t>
      </w:r>
      <w:r>
        <w:rPr>
          <w:color w:val="3B2D4D"/>
          <w:spacing w:val="67"/>
          <w:sz w:val="18"/>
          <w:szCs w:val="18"/>
        </w:rPr>
        <w:t> </w:t>
      </w:r>
      <w:r>
        <w:rPr>
          <w:color w:val="91E6F6"/>
          <w:spacing w:val="9"/>
          <w:w w:val="90"/>
          <w:sz w:val="18"/>
          <w:szCs w:val="18"/>
        </w:rPr>
        <w:t>•</w:t>
      </w:r>
      <w:r>
        <w:rPr>
          <w:rFonts w:ascii="Times New Roman" w:hAnsi="Times New Roman" w:cs="Times New Roman" w:eastAsia="Times New Roman"/>
          <w:color w:val="424257"/>
          <w:spacing w:val="9"/>
          <w:w w:val="90"/>
          <w:sz w:val="16"/>
          <w:szCs w:val="16"/>
        </w:rPr>
        <w:t>d</w:t>
      </w:r>
      <w:r>
        <w:rPr>
          <w:rFonts w:ascii="Times New Roman" w:hAnsi="Times New Roman" w:cs="Times New Roman" w:eastAsia="Times New Roman"/>
          <w:color w:val="424257"/>
          <w:sz w:val="16"/>
          <w:szCs w:val="16"/>
        </w:rPr>
        <w:tab/>
      </w:r>
      <w:r>
        <w:rPr>
          <w:rFonts w:ascii="Times New Roman" w:hAnsi="Times New Roman" w:cs="Times New Roman" w:eastAsia="Times New Roman"/>
          <w:color w:val="54545D"/>
          <w:sz w:val="16"/>
          <w:szCs w:val="16"/>
        </w:rPr>
        <w:t>D</w:t>
      </w:r>
      <w:r>
        <w:rPr>
          <w:rFonts w:ascii="Times New Roman" w:hAnsi="Times New Roman" w:cs="Times New Roman" w:eastAsia="Times New Roman"/>
          <w:color w:val="3B2D4D"/>
          <w:sz w:val="16"/>
          <w:szCs w:val="16"/>
        </w:rPr>
        <w:t>B!l!ian:D.1</w:t>
      </w:r>
      <w:r>
        <w:rPr>
          <w:rFonts w:ascii="Times New Roman" w:hAnsi="Times New Roman" w:cs="Times New Roman" w:eastAsia="Times New Roman"/>
          <w:color w:val="3B2D4D"/>
          <w:spacing w:val="41"/>
          <w:w w:val="110"/>
          <w:sz w:val="16"/>
          <w:szCs w:val="16"/>
        </w:rPr>
        <w:t>  </w:t>
      </w:r>
      <w:r>
        <w:rPr>
          <w:rFonts w:ascii="Times New Roman" w:hAnsi="Times New Roman" w:cs="Times New Roman" w:eastAsia="Times New Roman"/>
          <w:color w:val="593B50"/>
          <w:w w:val="110"/>
          <w:sz w:val="16"/>
          <w:szCs w:val="16"/>
        </w:rPr>
        <w:t>H</w:t>
      </w:r>
      <w:r>
        <w:rPr>
          <w:rFonts w:ascii="Times New Roman" w:hAnsi="Times New Roman" w:cs="Times New Roman" w:eastAsia="Times New Roman"/>
          <w:color w:val="213467"/>
          <w:w w:val="110"/>
          <w:sz w:val="16"/>
          <w:szCs w:val="16"/>
        </w:rPr>
        <w:t>u</w:t>
      </w:r>
      <w:r>
        <w:rPr>
          <w:rFonts w:ascii="Times New Roman" w:hAnsi="Times New Roman" w:cs="Times New Roman" w:eastAsia="Times New Roman"/>
          <w:color w:val="3B2D4D"/>
          <w:w w:val="110"/>
          <w:sz w:val="16"/>
          <w:szCs w:val="16"/>
        </w:rPr>
        <w:t>mBllO</w:t>
      </w:r>
      <w:r>
        <w:rPr>
          <w:rFonts w:ascii="Times New Roman" w:hAnsi="Times New Roman" w:cs="Times New Roman" w:eastAsia="Times New Roman"/>
          <w:color w:val="A8803A"/>
          <w:w w:val="110"/>
          <w:sz w:val="16"/>
          <w:szCs w:val="16"/>
        </w:rPr>
        <w:t>:</w:t>
      </w:r>
      <w:r>
        <w:rPr>
          <w:rFonts w:ascii="Times New Roman" w:hAnsi="Times New Roman" w:cs="Times New Roman" w:eastAsia="Times New Roman"/>
          <w:color w:val="A8803A"/>
          <w:spacing w:val="-9"/>
          <w:w w:val="110"/>
          <w:sz w:val="16"/>
          <w:szCs w:val="16"/>
        </w:rPr>
        <w:t> </w:t>
      </w:r>
      <w:r>
        <w:rPr>
          <w:color w:val="74DAF6"/>
          <w:sz w:val="8"/>
          <w:szCs w:val="8"/>
        </w:rPr>
        <w:t>1</w:t>
      </w:r>
      <w:r>
        <w:rPr>
          <w:color w:val="74DAF6"/>
          <w:spacing w:val="-15"/>
          <w:w w:val="170"/>
          <w:sz w:val="8"/>
          <w:szCs w:val="8"/>
        </w:rPr>
        <w:t> </w:t>
      </w:r>
      <w:r>
        <w:rPr>
          <w:rFonts w:ascii="Times New Roman" w:hAnsi="Times New Roman" w:cs="Times New Roman" w:eastAsia="Times New Roman"/>
          <w:color w:val="74DAF6"/>
          <w:w w:val="170"/>
          <w:sz w:val="16"/>
          <w:szCs w:val="16"/>
        </w:rPr>
        <w:t>-</w:t>
      </w:r>
      <w:r>
        <w:rPr>
          <w:rFonts w:ascii="Times New Roman" w:hAnsi="Times New Roman" w:cs="Times New Roman" w:eastAsia="Times New Roman"/>
          <w:color w:val="424257"/>
          <w:w w:val="170"/>
          <w:sz w:val="16"/>
          <w:szCs w:val="16"/>
        </w:rPr>
        <w:t>�Ió</w:t>
      </w:r>
      <w:r>
        <w:rPr>
          <w:rFonts w:ascii="Times New Roman" w:hAnsi="Times New Roman" w:cs="Times New Roman" w:eastAsia="Times New Roman"/>
          <w:color w:val="213467"/>
          <w:w w:val="170"/>
          <w:sz w:val="16"/>
          <w:szCs w:val="16"/>
        </w:rPr>
        <w:t>n</w:t>
      </w:r>
      <w:r>
        <w:rPr>
          <w:rFonts w:ascii="Times New Roman" w:hAnsi="Times New Roman" w:cs="Times New Roman" w:eastAsia="Times New Roman"/>
          <w:color w:val="213467"/>
          <w:spacing w:val="-11"/>
          <w:w w:val="170"/>
          <w:sz w:val="16"/>
          <w:szCs w:val="16"/>
        </w:rPr>
        <w:t> </w:t>
      </w:r>
      <w:r>
        <w:rPr>
          <w:b/>
          <w:bCs/>
          <w:color w:val="54545D"/>
          <w:sz w:val="15"/>
          <w:szCs w:val="15"/>
        </w:rPr>
        <w:t>S:oc</w:t>
      </w:r>
      <w:r>
        <w:rPr>
          <w:b/>
          <w:bCs/>
          <w:color w:val="54545D"/>
          <w:spacing w:val="66"/>
          <w:w w:val="150"/>
          <w:sz w:val="15"/>
          <w:szCs w:val="15"/>
        </w:rPr>
        <w:t> </w:t>
      </w:r>
      <w:r>
        <w:rPr>
          <w:b/>
          <w:bCs/>
          <w:color w:val="465672"/>
          <w:spacing w:val="-10"/>
          <w:w w:val="110"/>
          <w:sz w:val="15"/>
          <w:szCs w:val="15"/>
        </w:rPr>
        <w:t>1</w:t>
      </w:r>
    </w:p>
    <w:p>
      <w:pPr>
        <w:tabs>
          <w:tab w:pos="3574" w:val="left" w:leader="none"/>
        </w:tabs>
        <w:spacing w:line="172" w:lineRule="exact" w:before="0"/>
        <w:ind w:left="0" w:right="629" w:firstLine="0"/>
        <w:jc w:val="center"/>
        <w:rPr>
          <w:sz w:val="15"/>
        </w:rPr>
      </w:pPr>
      <w:r>
        <w:rPr>
          <w:color w:val="424257"/>
          <w:w w:val="105"/>
          <w:sz w:val="15"/>
        </w:rPr>
        <w:t>Remor,a</w:t>
      </w:r>
      <w:r>
        <w:rPr>
          <w:color w:val="424257"/>
          <w:spacing w:val="-11"/>
          <w:w w:val="105"/>
          <w:sz w:val="15"/>
        </w:rPr>
        <w:t> </w:t>
      </w:r>
      <w:r>
        <w:rPr>
          <w:rFonts w:ascii="Times New Roman" w:hAnsi="Times New Roman"/>
          <w:b/>
          <w:color w:val="424257"/>
          <w:w w:val="80"/>
          <w:sz w:val="16"/>
        </w:rPr>
        <w:t>11181</w:t>
      </w:r>
      <w:r>
        <w:rPr>
          <w:rFonts w:ascii="Times New Roman" w:hAnsi="Times New Roman"/>
          <w:b/>
          <w:color w:val="424257"/>
          <w:spacing w:val="9"/>
          <w:w w:val="105"/>
          <w:sz w:val="16"/>
        </w:rPr>
        <w:t> </w:t>
      </w:r>
      <w:r>
        <w:rPr>
          <w:color w:val="3B2D4D"/>
          <w:w w:val="105"/>
          <w:sz w:val="15"/>
        </w:rPr>
        <w:t>!!iecla</w:t>
      </w:r>
      <w:r>
        <w:rPr>
          <w:color w:val="3B2D4D"/>
          <w:spacing w:val="35"/>
          <w:w w:val="105"/>
          <w:sz w:val="15"/>
        </w:rPr>
        <w:t> </w:t>
      </w:r>
      <w:r>
        <w:rPr>
          <w:color w:val="74DAF6"/>
          <w:w w:val="80"/>
          <w:sz w:val="15"/>
        </w:rPr>
        <w:t>•</w:t>
      </w:r>
      <w:r>
        <w:rPr>
          <w:color w:val="74DAF6"/>
          <w:spacing w:val="-9"/>
          <w:w w:val="105"/>
          <w:sz w:val="15"/>
        </w:rPr>
        <w:t> </w:t>
      </w:r>
      <w:r>
        <w:rPr>
          <w:color w:val="3B2D4D"/>
          <w:w w:val="105"/>
          <w:sz w:val="15"/>
        </w:rPr>
        <w:t>6</w:t>
      </w:r>
      <w:r>
        <w:rPr>
          <w:color w:val="364682"/>
          <w:w w:val="105"/>
          <w:sz w:val="15"/>
        </w:rPr>
        <w:t>]</w:t>
      </w:r>
      <w:r>
        <w:rPr>
          <w:color w:val="424257"/>
          <w:w w:val="105"/>
          <w:sz w:val="15"/>
        </w:rPr>
        <w:t>8</w:t>
      </w:r>
      <w:r>
        <w:rPr>
          <w:color w:val="424257"/>
          <w:spacing w:val="25"/>
          <w:w w:val="120"/>
          <w:sz w:val="15"/>
        </w:rPr>
        <w:t>  </w:t>
      </w:r>
      <w:r>
        <w:rPr>
          <w:color w:val="3B2D4D"/>
          <w:w w:val="120"/>
          <w:sz w:val="13"/>
        </w:rPr>
        <w:t>ff</w:t>
      </w:r>
      <w:r>
        <w:rPr>
          <w:color w:val="603A70"/>
          <w:w w:val="120"/>
          <w:sz w:val="13"/>
        </w:rPr>
        <w:t>f</w:t>
      </w:r>
      <w:r>
        <w:rPr>
          <w:color w:val="424257"/>
          <w:w w:val="120"/>
          <w:sz w:val="13"/>
        </w:rPr>
        <w:t>ll&amp;'</w:t>
      </w:r>
      <w:r>
        <w:rPr>
          <w:color w:val="676483"/>
          <w:w w:val="120"/>
          <w:sz w:val="13"/>
        </w:rPr>
        <w:t>. </w:t>
      </w:r>
      <w:r>
        <w:rPr>
          <w:rFonts w:ascii="Times New Roman" w:hAnsi="Times New Roman"/>
          <w:color w:val="424257"/>
          <w:w w:val="105"/>
          <w:sz w:val="15"/>
        </w:rPr>
        <w:t>l'r</w:t>
      </w:r>
      <w:r>
        <w:rPr>
          <w:rFonts w:ascii="Times New Roman" w:hAnsi="Times New Roman"/>
          <w:color w:val="E8B342"/>
          <w:w w:val="105"/>
          <w:sz w:val="15"/>
        </w:rPr>
        <w:t>,</w:t>
      </w:r>
      <w:r>
        <w:rPr>
          <w:rFonts w:ascii="Times New Roman" w:hAnsi="Times New Roman"/>
          <w:color w:val="424257"/>
          <w:w w:val="105"/>
          <w:sz w:val="15"/>
        </w:rPr>
        <w:t>31:Jll]O</w:t>
      </w:r>
      <w:r>
        <w:rPr>
          <w:rFonts w:ascii="Times New Roman" w:hAnsi="Times New Roman"/>
          <w:color w:val="424257"/>
          <w:spacing w:val="-6"/>
          <w:w w:val="105"/>
          <w:sz w:val="15"/>
        </w:rPr>
        <w:t> </w:t>
      </w:r>
      <w:r>
        <w:rPr>
          <w:color w:val="424257"/>
          <w:spacing w:val="-5"/>
          <w:w w:val="105"/>
          <w:sz w:val="16"/>
        </w:rPr>
        <w:t>e</w:t>
      </w:r>
      <w:r>
        <w:rPr>
          <w:color w:val="74DAF6"/>
          <w:spacing w:val="-5"/>
          <w:w w:val="105"/>
          <w:sz w:val="16"/>
        </w:rPr>
        <w:t>,</w:t>
      </w:r>
      <w:r>
        <w:rPr>
          <w:color w:val="697062"/>
          <w:spacing w:val="-5"/>
          <w:w w:val="105"/>
          <w:sz w:val="15"/>
        </w:rPr>
        <w:t>1</w:t>
      </w:r>
      <w:r>
        <w:rPr>
          <w:color w:val="697062"/>
          <w:sz w:val="15"/>
        </w:rPr>
        <w:tab/>
      </w:r>
      <w:r>
        <w:rPr>
          <w:rFonts w:ascii="Times New Roman" w:hAnsi="Times New Roman"/>
          <w:color w:val="424257"/>
          <w:w w:val="105"/>
          <w:sz w:val="15"/>
        </w:rPr>
        <w:t>lllltó</w:t>
      </w:r>
      <w:r>
        <w:rPr>
          <w:rFonts w:ascii="Times New Roman" w:hAnsi="Times New Roman"/>
          <w:color w:val="213467"/>
          <w:w w:val="105"/>
          <w:sz w:val="15"/>
        </w:rPr>
        <w:t>n</w:t>
      </w:r>
      <w:r>
        <w:rPr>
          <w:rFonts w:ascii="Times New Roman" w:hAnsi="Times New Roman"/>
          <w:color w:val="213467"/>
          <w:spacing w:val="74"/>
          <w:w w:val="105"/>
          <w:sz w:val="15"/>
        </w:rPr>
        <w:t> </w:t>
      </w:r>
      <w:r>
        <w:rPr>
          <w:color w:val="424257"/>
          <w:spacing w:val="-2"/>
          <w:w w:val="80"/>
          <w:sz w:val="15"/>
        </w:rPr>
        <w:t>!&amp;DC:1111</w:t>
      </w:r>
    </w:p>
    <w:p>
      <w:pPr>
        <w:pStyle w:val="BodyText"/>
        <w:rPr>
          <w:sz w:val="20"/>
        </w:rPr>
      </w:pPr>
    </w:p>
    <w:p>
      <w:pPr>
        <w:pStyle w:val="BodyText"/>
        <w:spacing w:before="43"/>
        <w:rPr>
          <w:sz w:val="20"/>
        </w:rPr>
      </w:pPr>
      <w:r>
        <w:rPr>
          <w:sz w:val="20"/>
        </w:rPr>
        <w:drawing>
          <wp:anchor distT="0" distB="0" distL="0" distR="0" allowOverlap="1" layoutInCell="1" locked="0" behindDoc="1" simplePos="0" relativeHeight="487607296">
            <wp:simplePos x="0" y="0"/>
            <wp:positionH relativeFrom="page">
              <wp:posOffset>1538601</wp:posOffset>
            </wp:positionH>
            <wp:positionV relativeFrom="paragraph">
              <wp:posOffset>189078</wp:posOffset>
            </wp:positionV>
            <wp:extent cx="381135" cy="54863"/>
            <wp:effectExtent l="0" t="0" r="0" b="0"/>
            <wp:wrapTopAndBottom/>
            <wp:docPr id="165" name="Image 165"/>
            <wp:cNvGraphicFramePr>
              <a:graphicFrameLocks/>
            </wp:cNvGraphicFramePr>
            <a:graphic>
              <a:graphicData uri="http://schemas.openxmlformats.org/drawingml/2006/picture">
                <pic:pic>
                  <pic:nvPicPr>
                    <pic:cNvPr id="165" name="Image 165"/>
                    <pic:cNvPicPr/>
                  </pic:nvPicPr>
                  <pic:blipFill>
                    <a:blip r:embed="rId81" cstate="print"/>
                    <a:stretch>
                      <a:fillRect/>
                    </a:stretch>
                  </pic:blipFill>
                  <pic:spPr>
                    <a:xfrm>
                      <a:off x="0" y="0"/>
                      <a:ext cx="381135" cy="54863"/>
                    </a:xfrm>
                    <a:prstGeom prst="rect">
                      <a:avLst/>
                    </a:prstGeom>
                  </pic:spPr>
                </pic:pic>
              </a:graphicData>
            </a:graphic>
          </wp:anchor>
        </w:drawing>
      </w:r>
    </w:p>
    <w:p>
      <w:pPr>
        <w:pStyle w:val="BodyText"/>
        <w:spacing w:before="124"/>
        <w:rPr>
          <w:sz w:val="15"/>
        </w:rPr>
      </w:pPr>
    </w:p>
    <w:p>
      <w:pPr>
        <w:spacing w:before="0"/>
        <w:ind w:left="1132" w:right="0" w:firstLine="0"/>
        <w:jc w:val="left"/>
        <w:rPr>
          <w:sz w:val="12"/>
          <w:szCs w:val="12"/>
        </w:rPr>
      </w:pPr>
      <w:r>
        <w:rPr>
          <w:rFonts w:ascii="Times New Roman" w:hAnsi="Times New Roman" w:cs="Times New Roman" w:eastAsia="Times New Roman"/>
          <w:color w:val="E8B342"/>
          <w:w w:val="155"/>
          <w:sz w:val="13"/>
          <w:szCs w:val="13"/>
        </w:rPr>
        <w:t>.</w:t>
      </w:r>
      <w:r>
        <w:rPr>
          <w:rFonts w:ascii="Times New Roman" w:hAnsi="Times New Roman" w:cs="Times New Roman" w:eastAsia="Times New Roman"/>
          <w:color w:val="75C6E6"/>
          <w:w w:val="155"/>
          <w:sz w:val="13"/>
          <w:szCs w:val="13"/>
        </w:rPr>
        <w:t>.</w:t>
      </w:r>
      <w:r>
        <w:rPr>
          <w:rFonts w:ascii="Times New Roman" w:hAnsi="Times New Roman" w:cs="Times New Roman" w:eastAsia="Times New Roman"/>
          <w:color w:val="424257"/>
          <w:w w:val="155"/>
          <w:sz w:val="13"/>
          <w:szCs w:val="13"/>
        </w:rPr>
        <w:t>i.ox</w:t>
      </w:r>
      <w:r>
        <w:rPr>
          <w:rFonts w:ascii="Times New Roman" w:hAnsi="Times New Roman" w:cs="Times New Roman" w:eastAsia="Times New Roman"/>
          <w:color w:val="424257"/>
          <w:spacing w:val="-19"/>
          <w:w w:val="155"/>
          <w:sz w:val="13"/>
          <w:szCs w:val="13"/>
        </w:rPr>
        <w:t> </w:t>
      </w:r>
      <w:r>
        <w:rPr>
          <w:color w:val="424257"/>
          <w:w w:val="120"/>
          <w:sz w:val="10"/>
          <w:szCs w:val="10"/>
        </w:rPr>
        <w:t>C,,l!,l</w:t>
      </w:r>
      <w:r>
        <w:rPr>
          <w:color w:val="89A599"/>
          <w:w w:val="120"/>
          <w:sz w:val="10"/>
          <w:szCs w:val="10"/>
        </w:rPr>
        <w:t>,.</w:t>
      </w:r>
      <w:r>
        <w:rPr>
          <w:color w:val="74DAF6"/>
          <w:w w:val="120"/>
          <w:sz w:val="10"/>
          <w:szCs w:val="10"/>
        </w:rPr>
        <w:t>,</w:t>
      </w:r>
      <w:r>
        <w:rPr>
          <w:color w:val="74DAF6"/>
          <w:spacing w:val="67"/>
          <w:w w:val="120"/>
          <w:sz w:val="10"/>
          <w:szCs w:val="10"/>
        </w:rPr>
        <w:t> </w:t>
      </w:r>
      <w:r>
        <w:rPr>
          <w:color w:val="74DAF6"/>
          <w:w w:val="120"/>
          <w:sz w:val="10"/>
          <w:szCs w:val="10"/>
        </w:rPr>
        <w:t>.</w:t>
      </w:r>
      <w:r>
        <w:rPr>
          <w:color w:val="74DAF6"/>
          <w:spacing w:val="60"/>
          <w:w w:val="235"/>
          <w:sz w:val="10"/>
          <w:szCs w:val="10"/>
        </w:rPr>
        <w:t> </w:t>
      </w:r>
      <w:r>
        <w:rPr>
          <w:color w:val="424257"/>
          <w:spacing w:val="-2"/>
          <w:w w:val="235"/>
          <w:sz w:val="12"/>
          <w:szCs w:val="12"/>
        </w:rPr>
        <w:t>ce=tA,��6</w:t>
      </w:r>
      <w:r>
        <w:rPr>
          <w:color w:val="54C8F2"/>
          <w:spacing w:val="-2"/>
          <w:w w:val="235"/>
          <w:sz w:val="12"/>
          <w:szCs w:val="12"/>
        </w:rPr>
        <w:t>-</w:t>
      </w:r>
    </w:p>
    <w:p>
      <w:pPr>
        <w:tabs>
          <w:tab w:pos="4159" w:val="left" w:leader="none"/>
        </w:tabs>
        <w:spacing w:before="43"/>
        <w:ind w:left="992" w:right="0" w:firstLine="0"/>
        <w:jc w:val="left"/>
        <w:rPr>
          <w:sz w:val="15"/>
          <w:szCs w:val="15"/>
        </w:rPr>
      </w:pPr>
      <w:r>
        <w:rPr>
          <w:rFonts w:ascii="Times New Roman" w:hAnsi="Times New Roman" w:cs="Times New Roman" w:eastAsia="Times New Roman"/>
          <w:color w:val="424257"/>
          <w:w w:val="90"/>
          <w:sz w:val="13"/>
          <w:szCs w:val="13"/>
        </w:rPr>
        <w:t>CD!I</w:t>
      </w:r>
      <w:r>
        <w:rPr>
          <w:rFonts w:ascii="Times New Roman" w:hAnsi="Times New Roman" w:cs="Times New Roman" w:eastAsia="Times New Roman"/>
          <w:color w:val="424257"/>
          <w:spacing w:val="-5"/>
          <w:w w:val="90"/>
          <w:sz w:val="13"/>
          <w:szCs w:val="13"/>
        </w:rPr>
        <w:t> </w:t>
      </w:r>
      <w:r>
        <w:rPr>
          <w:rFonts w:ascii="Times New Roman" w:hAnsi="Times New Roman" w:cs="Times New Roman" w:eastAsia="Times New Roman"/>
          <w:color w:val="6B3D36"/>
          <w:w w:val="90"/>
          <w:sz w:val="13"/>
          <w:szCs w:val="13"/>
        </w:rPr>
        <w:t>i.</w:t>
      </w:r>
      <w:r>
        <w:rPr>
          <w:rFonts w:ascii="Times New Roman" w:hAnsi="Times New Roman" w:cs="Times New Roman" w:eastAsia="Times New Roman"/>
          <w:color w:val="424257"/>
          <w:w w:val="90"/>
          <w:sz w:val="13"/>
          <w:szCs w:val="13"/>
        </w:rPr>
        <w:t>!1¡!:fa:</w:t>
      </w:r>
      <w:r>
        <w:rPr>
          <w:rFonts w:ascii="Times New Roman" w:hAnsi="Times New Roman" w:cs="Times New Roman" w:eastAsia="Times New Roman"/>
          <w:color w:val="424257"/>
          <w:spacing w:val="-2"/>
          <w:sz w:val="13"/>
          <w:szCs w:val="13"/>
        </w:rPr>
        <w:t> </w:t>
      </w:r>
      <w:r>
        <w:rPr>
          <w:color w:val="424257"/>
          <w:w w:val="90"/>
          <w:sz w:val="12"/>
          <w:szCs w:val="12"/>
        </w:rPr>
        <w:t>En&amp;1li:e:</w:t>
      </w:r>
      <w:r>
        <w:rPr>
          <w:color w:val="424257"/>
          <w:spacing w:val="-2"/>
          <w:w w:val="90"/>
          <w:sz w:val="12"/>
          <w:szCs w:val="12"/>
        </w:rPr>
        <w:t> </w:t>
      </w:r>
      <w:r>
        <w:rPr>
          <w:color w:val="424257"/>
          <w:w w:val="90"/>
          <w:sz w:val="12"/>
          <w:szCs w:val="12"/>
        </w:rPr>
        <w:t>t:e:cnloml</w:t>
      </w:r>
      <w:r>
        <w:rPr>
          <w:color w:val="424257"/>
          <w:spacing w:val="-5"/>
          <w:w w:val="90"/>
          <w:sz w:val="12"/>
          <w:szCs w:val="12"/>
        </w:rPr>
        <w:t> </w:t>
      </w:r>
      <w:r>
        <w:rPr>
          <w:rFonts w:ascii="Times New Roman" w:hAnsi="Times New Roman" w:cs="Times New Roman" w:eastAsia="Times New Roman"/>
          <w:color w:val="424257"/>
          <w:spacing w:val="-2"/>
          <w:w w:val="90"/>
          <w:sz w:val="13"/>
          <w:szCs w:val="13"/>
        </w:rPr>
        <w:t>1'11:511:Ll:lnll</w:t>
      </w:r>
      <w:r>
        <w:rPr>
          <w:rFonts w:ascii="Times New Roman" w:hAnsi="Times New Roman" w:cs="Times New Roman" w:eastAsia="Times New Roman"/>
          <w:color w:val="9985A7"/>
          <w:spacing w:val="-2"/>
          <w:w w:val="90"/>
          <w:sz w:val="13"/>
          <w:szCs w:val="13"/>
        </w:rPr>
        <w:t>�</w:t>
      </w:r>
      <w:r>
        <w:rPr>
          <w:rFonts w:ascii="Times New Roman" w:hAnsi="Times New Roman" w:cs="Times New Roman" w:eastAsia="Times New Roman"/>
          <w:color w:val="424257"/>
          <w:spacing w:val="-2"/>
          <w:w w:val="90"/>
          <w:sz w:val="13"/>
          <w:szCs w:val="13"/>
        </w:rPr>
        <w:t>�</w:t>
      </w:r>
      <w:r>
        <w:rPr>
          <w:rFonts w:ascii="Times New Roman" w:hAnsi="Times New Roman" w:cs="Times New Roman" w:eastAsia="Times New Roman"/>
          <w:color w:val="424257"/>
          <w:sz w:val="13"/>
          <w:szCs w:val="13"/>
        </w:rPr>
        <w:tab/>
        <w:t>6e:l:%a1</w:t>
      </w:r>
      <w:r>
        <w:rPr>
          <w:rFonts w:ascii="Times New Roman" w:hAnsi="Times New Roman" w:cs="Times New Roman" w:eastAsia="Times New Roman"/>
          <w:color w:val="424257"/>
          <w:spacing w:val="75"/>
          <w:w w:val="150"/>
          <w:sz w:val="13"/>
          <w:szCs w:val="13"/>
        </w:rPr>
        <w:t> </w:t>
      </w:r>
      <w:r>
        <w:rPr>
          <w:color w:val="593B50"/>
          <w:sz w:val="15"/>
          <w:szCs w:val="15"/>
        </w:rPr>
        <w:t>:::'B</w:t>
      </w:r>
      <w:r>
        <w:rPr>
          <w:color w:val="593B50"/>
          <w:spacing w:val="71"/>
          <w:w w:val="150"/>
          <w:sz w:val="15"/>
          <w:szCs w:val="15"/>
        </w:rPr>
        <w:t> </w:t>
      </w:r>
      <w:r>
        <w:rPr>
          <w:color w:val="54545D"/>
          <w:spacing w:val="-10"/>
          <w:sz w:val="15"/>
          <w:szCs w:val="15"/>
        </w:rPr>
        <w:t>S</w:t>
      </w:r>
    </w:p>
    <w:p>
      <w:pPr>
        <w:pStyle w:val="BodyText"/>
        <w:rPr>
          <w:sz w:val="20"/>
        </w:rPr>
      </w:pPr>
    </w:p>
    <w:p>
      <w:pPr>
        <w:pStyle w:val="BodyText"/>
        <w:spacing w:before="12"/>
        <w:rPr>
          <w:sz w:val="20"/>
        </w:rPr>
      </w:pPr>
      <w:r>
        <w:rPr>
          <w:sz w:val="20"/>
        </w:rPr>
        <w:drawing>
          <wp:anchor distT="0" distB="0" distL="0" distR="0" allowOverlap="1" layoutInCell="1" locked="0" behindDoc="1" simplePos="0" relativeHeight="487607808">
            <wp:simplePos x="0" y="0"/>
            <wp:positionH relativeFrom="page">
              <wp:posOffset>992153</wp:posOffset>
            </wp:positionH>
            <wp:positionV relativeFrom="paragraph">
              <wp:posOffset>168897</wp:posOffset>
            </wp:positionV>
            <wp:extent cx="6043287" cy="277368"/>
            <wp:effectExtent l="0" t="0" r="0" b="0"/>
            <wp:wrapTopAndBottom/>
            <wp:docPr id="166" name="Image 166"/>
            <wp:cNvGraphicFramePr>
              <a:graphicFrameLocks/>
            </wp:cNvGraphicFramePr>
            <a:graphic>
              <a:graphicData uri="http://schemas.openxmlformats.org/drawingml/2006/picture">
                <pic:pic>
                  <pic:nvPicPr>
                    <pic:cNvPr id="166" name="Image 166"/>
                    <pic:cNvPicPr/>
                  </pic:nvPicPr>
                  <pic:blipFill>
                    <a:blip r:embed="rId82" cstate="print"/>
                    <a:stretch>
                      <a:fillRect/>
                    </a:stretch>
                  </pic:blipFill>
                  <pic:spPr>
                    <a:xfrm>
                      <a:off x="0" y="0"/>
                      <a:ext cx="6043287" cy="277368"/>
                    </a:xfrm>
                    <a:prstGeom prst="rect">
                      <a:avLst/>
                    </a:prstGeom>
                  </pic:spPr>
                </pic:pic>
              </a:graphicData>
            </a:graphic>
          </wp:anchor>
        </w:drawing>
      </w:r>
    </w:p>
    <w:p>
      <w:pPr>
        <w:pStyle w:val="BodyText"/>
        <w:spacing w:after="0"/>
        <w:rPr>
          <w:sz w:val="20"/>
        </w:rPr>
        <w:sectPr>
          <w:type w:val="continuous"/>
          <w:pgSz w:w="12240" w:h="15840"/>
          <w:pgMar w:header="0" w:footer="2440" w:top="1820" w:bottom="280" w:left="1440" w:right="360"/>
        </w:sectPr>
      </w:pPr>
    </w:p>
    <w:p>
      <w:pPr>
        <w:pStyle w:val="Heading3"/>
        <w:spacing w:before="79"/>
        <w:ind w:left="120" w:right="217"/>
      </w:pPr>
      <w:bookmarkStart w:name="_bookmark80" w:id="81"/>
      <w:bookmarkEnd w:id="81"/>
      <w:r>
        <w:rPr>
          <w:b w:val="0"/>
        </w:rPr>
      </w:r>
      <w:r>
        <w:rPr/>
        <w:t>Anexo</w:t>
      </w:r>
      <w:r>
        <w:rPr>
          <w:spacing w:val="40"/>
        </w:rPr>
        <w:t> </w:t>
      </w:r>
      <w:r>
        <w:rPr/>
        <w:t>III:</w:t>
      </w:r>
      <w:r>
        <w:rPr>
          <w:spacing w:val="40"/>
        </w:rPr>
        <w:t> </w:t>
      </w:r>
      <w:r>
        <w:rPr/>
        <w:t>Guía</w:t>
      </w:r>
      <w:r>
        <w:rPr>
          <w:spacing w:val="40"/>
        </w:rPr>
        <w:t> </w:t>
      </w:r>
      <w:r>
        <w:rPr/>
        <w:t>Interna</w:t>
      </w:r>
      <w:r>
        <w:rPr>
          <w:spacing w:val="40"/>
        </w:rPr>
        <w:t> </w:t>
      </w:r>
      <w:r>
        <w:rPr/>
        <w:t>para</w:t>
      </w:r>
      <w:r>
        <w:rPr>
          <w:spacing w:val="40"/>
        </w:rPr>
        <w:t> </w:t>
      </w:r>
      <w:r>
        <w:rPr/>
        <w:t>la</w:t>
      </w:r>
      <w:r>
        <w:rPr>
          <w:spacing w:val="40"/>
        </w:rPr>
        <w:t> </w:t>
      </w:r>
      <w:r>
        <w:rPr/>
        <w:t>Verificación</w:t>
      </w:r>
      <w:r>
        <w:rPr>
          <w:spacing w:val="40"/>
        </w:rPr>
        <w:t> </w:t>
      </w:r>
      <w:r>
        <w:rPr/>
        <w:t>de</w:t>
      </w:r>
      <w:r>
        <w:rPr>
          <w:spacing w:val="40"/>
        </w:rPr>
        <w:t> </w:t>
      </w:r>
      <w:r>
        <w:rPr/>
        <w:t>Requisitos</w:t>
      </w:r>
      <w:r>
        <w:rPr>
          <w:spacing w:val="40"/>
        </w:rPr>
        <w:t> </w:t>
      </w:r>
      <w:r>
        <w:rPr/>
        <w:t>que</w:t>
      </w:r>
      <w:r>
        <w:rPr>
          <w:spacing w:val="40"/>
        </w:rPr>
        <w:t> </w:t>
      </w:r>
      <w:r>
        <w:rPr/>
        <w:t>Establece</w:t>
      </w:r>
      <w:r>
        <w:rPr>
          <w:spacing w:val="40"/>
        </w:rPr>
        <w:t> </w:t>
      </w:r>
      <w:r>
        <w:rPr/>
        <w:t>la Contraloría General de la República</w:t>
      </w:r>
    </w:p>
    <w:p>
      <w:pPr>
        <w:pStyle w:val="BodyText"/>
        <w:spacing w:before="9"/>
        <w:rPr>
          <w:b/>
          <w:sz w:val="18"/>
        </w:rPr>
      </w:pPr>
      <w:r>
        <w:rPr>
          <w:b/>
          <w:sz w:val="18"/>
        </w:rPr>
        <w:drawing>
          <wp:anchor distT="0" distB="0" distL="0" distR="0" allowOverlap="1" layoutInCell="1" locked="0" behindDoc="1" simplePos="0" relativeHeight="487613952">
            <wp:simplePos x="0" y="0"/>
            <wp:positionH relativeFrom="page">
              <wp:posOffset>1280813</wp:posOffset>
            </wp:positionH>
            <wp:positionV relativeFrom="paragraph">
              <wp:posOffset>152429</wp:posOffset>
            </wp:positionV>
            <wp:extent cx="5565517" cy="6519672"/>
            <wp:effectExtent l="0" t="0" r="0" b="0"/>
            <wp:wrapTopAndBottom/>
            <wp:docPr id="170" name="Image 170"/>
            <wp:cNvGraphicFramePr>
              <a:graphicFrameLocks/>
            </wp:cNvGraphicFramePr>
            <a:graphic>
              <a:graphicData uri="http://schemas.openxmlformats.org/drawingml/2006/picture">
                <pic:pic>
                  <pic:nvPicPr>
                    <pic:cNvPr id="170" name="Image 170"/>
                    <pic:cNvPicPr/>
                  </pic:nvPicPr>
                  <pic:blipFill>
                    <a:blip r:embed="rId84" cstate="print"/>
                    <a:stretch>
                      <a:fillRect/>
                    </a:stretch>
                  </pic:blipFill>
                  <pic:spPr>
                    <a:xfrm>
                      <a:off x="0" y="0"/>
                      <a:ext cx="5565517" cy="6519672"/>
                    </a:xfrm>
                    <a:prstGeom prst="rect">
                      <a:avLst/>
                    </a:prstGeom>
                  </pic:spPr>
                </pic:pic>
              </a:graphicData>
            </a:graphic>
          </wp:anchor>
        </w:drawing>
      </w:r>
    </w:p>
    <w:p>
      <w:pPr>
        <w:pStyle w:val="BodyText"/>
        <w:spacing w:after="0"/>
        <w:rPr>
          <w:b/>
          <w:sz w:val="18"/>
        </w:rPr>
        <w:sectPr>
          <w:footerReference w:type="default" r:id="rId83"/>
          <w:pgSz w:w="12240" w:h="15840"/>
          <w:pgMar w:header="0" w:footer="2082" w:top="1340" w:bottom="2280" w:left="1440" w:right="360"/>
        </w:sectPr>
      </w:pPr>
    </w:p>
    <w:p>
      <w:pPr>
        <w:pStyle w:val="BodyText"/>
        <w:spacing w:before="10"/>
        <w:rPr>
          <w:b/>
          <w:sz w:val="13"/>
        </w:rPr>
      </w:pPr>
    </w:p>
    <w:p>
      <w:pPr>
        <w:spacing w:line="240" w:lineRule="auto"/>
        <w:ind w:left="477" w:right="0" w:firstLine="0"/>
        <w:rPr>
          <w:sz w:val="20"/>
        </w:rPr>
      </w:pPr>
      <w:r>
        <w:rPr>
          <w:sz w:val="20"/>
        </w:rPr>
        <w:drawing>
          <wp:inline distT="0" distB="0" distL="0" distR="0">
            <wp:extent cx="5539615" cy="2615183"/>
            <wp:effectExtent l="0" t="0" r="0" b="0"/>
            <wp:docPr id="171" name="Image 171"/>
            <wp:cNvGraphicFramePr>
              <a:graphicFrameLocks/>
            </wp:cNvGraphicFramePr>
            <a:graphic>
              <a:graphicData uri="http://schemas.openxmlformats.org/drawingml/2006/picture">
                <pic:pic>
                  <pic:nvPicPr>
                    <pic:cNvPr id="171" name="Image 171"/>
                    <pic:cNvPicPr/>
                  </pic:nvPicPr>
                  <pic:blipFill>
                    <a:blip r:embed="rId85" cstate="print"/>
                    <a:stretch>
                      <a:fillRect/>
                    </a:stretch>
                  </pic:blipFill>
                  <pic:spPr>
                    <a:xfrm>
                      <a:off x="0" y="0"/>
                      <a:ext cx="5539615" cy="2615183"/>
                    </a:xfrm>
                    <a:prstGeom prst="rect">
                      <a:avLst/>
                    </a:prstGeom>
                  </pic:spPr>
                </pic:pic>
              </a:graphicData>
            </a:graphic>
          </wp:inline>
        </w:drawing>
      </w:r>
      <w:r>
        <w:rPr>
          <w:sz w:val="20"/>
        </w:rPr>
      </w:r>
    </w:p>
    <w:p>
      <w:pPr>
        <w:spacing w:after="0" w:line="240" w:lineRule="auto"/>
        <w:rPr>
          <w:sz w:val="20"/>
        </w:rPr>
        <w:sectPr>
          <w:pgSz w:w="12240" w:h="15840"/>
          <w:pgMar w:header="0" w:footer="2082" w:top="1820" w:bottom="2600" w:left="1440" w:right="360"/>
        </w:sectPr>
      </w:pPr>
    </w:p>
    <w:p>
      <w:pPr>
        <w:pStyle w:val="Heading1"/>
      </w:pPr>
      <w:r>
        <w:rPr/>
        <mc:AlternateContent>
          <mc:Choice Requires="wps">
            <w:drawing>
              <wp:anchor distT="0" distB="0" distL="0" distR="0" allowOverlap="1" layoutInCell="1" locked="0" behindDoc="1" simplePos="0" relativeHeight="475360256">
                <wp:simplePos x="0" y="0"/>
                <wp:positionH relativeFrom="page">
                  <wp:posOffset>1294378</wp:posOffset>
                </wp:positionH>
                <wp:positionV relativeFrom="paragraph">
                  <wp:posOffset>292364</wp:posOffset>
                </wp:positionV>
                <wp:extent cx="5434330" cy="366395"/>
                <wp:effectExtent l="0" t="0" r="0" b="0"/>
                <wp:wrapNone/>
                <wp:docPr id="172" name="Group 172"/>
                <wp:cNvGraphicFramePr>
                  <a:graphicFrameLocks/>
                </wp:cNvGraphicFramePr>
                <a:graphic>
                  <a:graphicData uri="http://schemas.microsoft.com/office/word/2010/wordprocessingGroup">
                    <wpg:wgp>
                      <wpg:cNvPr id="172" name="Group 172"/>
                      <wpg:cNvGrpSpPr/>
                      <wpg:grpSpPr>
                        <a:xfrm>
                          <a:off x="0" y="0"/>
                          <a:ext cx="5434330" cy="366395"/>
                          <a:chExt cx="5434330" cy="366395"/>
                        </a:xfrm>
                      </wpg:grpSpPr>
                      <pic:pic>
                        <pic:nvPicPr>
                          <pic:cNvPr id="173" name="Image 173"/>
                          <pic:cNvPicPr/>
                        </pic:nvPicPr>
                        <pic:blipFill>
                          <a:blip r:embed="rId87" cstate="print"/>
                          <a:stretch>
                            <a:fillRect/>
                          </a:stretch>
                        </pic:blipFill>
                        <pic:spPr>
                          <a:xfrm>
                            <a:off x="0" y="63925"/>
                            <a:ext cx="537289" cy="302117"/>
                          </a:xfrm>
                          <a:prstGeom prst="rect">
                            <a:avLst/>
                          </a:prstGeom>
                        </pic:spPr>
                      </pic:pic>
                      <wps:wsp>
                        <wps:cNvPr id="174" name="Graphic 174"/>
                        <wps:cNvSpPr/>
                        <wps:spPr>
                          <a:xfrm>
                            <a:off x="537290" y="338577"/>
                            <a:ext cx="4897120" cy="1270"/>
                          </a:xfrm>
                          <a:custGeom>
                            <a:avLst/>
                            <a:gdLst/>
                            <a:ahLst/>
                            <a:cxnLst/>
                            <a:rect l="l" t="t" r="r" b="b"/>
                            <a:pathLst>
                              <a:path w="4897120" h="0">
                                <a:moveTo>
                                  <a:pt x="0" y="0"/>
                                </a:moveTo>
                                <a:lnTo>
                                  <a:pt x="4896662" y="0"/>
                                </a:lnTo>
                              </a:path>
                            </a:pathLst>
                          </a:custGeom>
                          <a:ln w="12206">
                            <a:solidFill>
                              <a:srgbClr val="000000"/>
                            </a:solidFill>
                            <a:prstDash val="solid"/>
                          </a:ln>
                        </wps:spPr>
                        <wps:bodyPr wrap="square" lIns="0" tIns="0" rIns="0" bIns="0" rtlCol="0">
                          <a:prstTxWarp prst="textNoShape">
                            <a:avLst/>
                          </a:prstTxWarp>
                          <a:noAutofit/>
                        </wps:bodyPr>
                      </wps:wsp>
                      <wps:wsp>
                        <wps:cNvPr id="175" name="Textbox 175"/>
                        <wps:cNvSpPr txBox="1"/>
                        <wps:spPr>
                          <a:xfrm>
                            <a:off x="533803" y="82292"/>
                            <a:ext cx="85090" cy="197485"/>
                          </a:xfrm>
                          <a:prstGeom prst="rect">
                            <a:avLst/>
                          </a:prstGeom>
                        </wps:spPr>
                        <wps:txbx>
                          <w:txbxContent>
                            <w:p>
                              <w:pPr>
                                <w:spacing w:line="310" w:lineRule="exact" w:before="0"/>
                                <w:ind w:left="0" w:right="0" w:firstLine="0"/>
                                <w:jc w:val="left"/>
                                <w:rPr>
                                  <w:rFonts w:ascii="Times New Roman"/>
                                  <w:sz w:val="28"/>
                                </w:rPr>
                              </w:pPr>
                              <w:r>
                                <w:rPr>
                                  <w:rFonts w:ascii="Times New Roman"/>
                                  <w:color w:val="728CC4"/>
                                  <w:spacing w:val="-5"/>
                                  <w:w w:val="60"/>
                                  <w:sz w:val="28"/>
                                </w:rPr>
                                <w:t>...</w:t>
                              </w:r>
                            </w:p>
                          </w:txbxContent>
                        </wps:txbx>
                        <wps:bodyPr wrap="square" lIns="0" tIns="0" rIns="0" bIns="0" rtlCol="0">
                          <a:noAutofit/>
                        </wps:bodyPr>
                      </wps:wsp>
                      <wps:wsp>
                        <wps:cNvPr id="176" name="Textbox 176"/>
                        <wps:cNvSpPr txBox="1"/>
                        <wps:spPr>
                          <a:xfrm>
                            <a:off x="5353509" y="0"/>
                            <a:ext cx="78740" cy="128270"/>
                          </a:xfrm>
                          <a:prstGeom prst="rect">
                            <a:avLst/>
                          </a:prstGeom>
                        </wps:spPr>
                        <wps:txbx>
                          <w:txbxContent>
                            <w:p>
                              <w:pPr>
                                <w:spacing w:line="201" w:lineRule="exact" w:before="0"/>
                                <w:ind w:left="0" w:right="0" w:firstLine="0"/>
                                <w:jc w:val="left"/>
                                <w:rPr>
                                  <w:sz w:val="18"/>
                                </w:rPr>
                              </w:pPr>
                              <w:r>
                                <w:rPr>
                                  <w:color w:val="2B3150"/>
                                  <w:spacing w:val="-10"/>
                                  <w:w w:val="105"/>
                                  <w:sz w:val="18"/>
                                </w:rPr>
                                <w:t>a</w:t>
                              </w:r>
                            </w:p>
                          </w:txbxContent>
                        </wps:txbx>
                        <wps:bodyPr wrap="square" lIns="0" tIns="0" rIns="0" bIns="0" rtlCol="0">
                          <a:noAutofit/>
                        </wps:bodyPr>
                      </wps:wsp>
                    </wpg:wgp>
                  </a:graphicData>
                </a:graphic>
              </wp:anchor>
            </w:drawing>
          </mc:Choice>
          <mc:Fallback>
            <w:pict>
              <v:group style="position:absolute;margin-left:101.919601pt;margin-top:23.020864pt;width:427.9pt;height:28.85pt;mso-position-horizontal-relative:page;mso-position-vertical-relative:paragraph;z-index:-27956224" id="docshapegroup129" coordorigin="2038,460" coordsize="8558,577">
                <v:shape style="position:absolute;left:2038;top:561;width:847;height:476" type="#_x0000_t75" id="docshape130" stroked="false">
                  <v:imagedata r:id="rId87" o:title=""/>
                </v:shape>
                <v:line style="position:absolute" from="2885,994" to="10596,994" stroked="true" strokeweight=".961164pt" strokecolor="#000000">
                  <v:stroke dashstyle="solid"/>
                </v:line>
                <v:shape style="position:absolute;left:2879;top:590;width:134;height:311" type="#_x0000_t202" id="docshape131" filled="false" stroked="false">
                  <v:textbox inset="0,0,0,0">
                    <w:txbxContent>
                      <w:p>
                        <w:pPr>
                          <w:spacing w:line="310" w:lineRule="exact" w:before="0"/>
                          <w:ind w:left="0" w:right="0" w:firstLine="0"/>
                          <w:jc w:val="left"/>
                          <w:rPr>
                            <w:rFonts w:ascii="Times New Roman"/>
                            <w:sz w:val="28"/>
                          </w:rPr>
                        </w:pPr>
                        <w:r>
                          <w:rPr>
                            <w:rFonts w:ascii="Times New Roman"/>
                            <w:color w:val="728CC4"/>
                            <w:spacing w:val="-5"/>
                            <w:w w:val="60"/>
                            <w:sz w:val="28"/>
                          </w:rPr>
                          <w:t>...</w:t>
                        </w:r>
                      </w:p>
                    </w:txbxContent>
                  </v:textbox>
                  <w10:wrap type="none"/>
                </v:shape>
                <v:shape style="position:absolute;left:10469;top:460;width:124;height:202" type="#_x0000_t202" id="docshape132" filled="false" stroked="false">
                  <v:textbox inset="0,0,0,0">
                    <w:txbxContent>
                      <w:p>
                        <w:pPr>
                          <w:spacing w:line="201" w:lineRule="exact" w:before="0"/>
                          <w:ind w:left="0" w:right="0" w:firstLine="0"/>
                          <w:jc w:val="left"/>
                          <w:rPr>
                            <w:sz w:val="18"/>
                          </w:rPr>
                        </w:pPr>
                        <w:r>
                          <w:rPr>
                            <w:color w:val="2B3150"/>
                            <w:spacing w:val="-10"/>
                            <w:w w:val="105"/>
                            <w:sz w:val="18"/>
                          </w:rPr>
                          <w:t>a</w:t>
                        </w:r>
                      </w:p>
                    </w:txbxContent>
                  </v:textbox>
                  <w10:wrap type="none"/>
                </v:shape>
                <w10:wrap type="none"/>
              </v:group>
            </w:pict>
          </mc:Fallback>
        </mc:AlternateContent>
      </w:r>
      <w:r>
        <w:rPr/>
        <w:drawing>
          <wp:anchor distT="0" distB="0" distL="0" distR="0" allowOverlap="1" layoutInCell="1" locked="0" behindDoc="0" simplePos="0" relativeHeight="15758848">
            <wp:simplePos x="0" y="0"/>
            <wp:positionH relativeFrom="page">
              <wp:posOffset>3993037</wp:posOffset>
            </wp:positionH>
            <wp:positionV relativeFrom="paragraph">
              <wp:posOffset>298308</wp:posOffset>
            </wp:positionV>
            <wp:extent cx="1709557" cy="128171"/>
            <wp:effectExtent l="0" t="0" r="0" b="0"/>
            <wp:wrapNone/>
            <wp:docPr id="177" name="Image 177"/>
            <wp:cNvGraphicFramePr>
              <a:graphicFrameLocks/>
            </wp:cNvGraphicFramePr>
            <a:graphic>
              <a:graphicData uri="http://schemas.openxmlformats.org/drawingml/2006/picture">
                <pic:pic>
                  <pic:nvPicPr>
                    <pic:cNvPr id="177" name="Image 177"/>
                    <pic:cNvPicPr/>
                  </pic:nvPicPr>
                  <pic:blipFill>
                    <a:blip r:embed="rId88" cstate="print"/>
                    <a:stretch>
                      <a:fillRect/>
                    </a:stretch>
                  </pic:blipFill>
                  <pic:spPr>
                    <a:xfrm>
                      <a:off x="0" y="0"/>
                      <a:ext cx="1709557" cy="128171"/>
                    </a:xfrm>
                    <a:prstGeom prst="rect">
                      <a:avLst/>
                    </a:prstGeom>
                  </pic:spPr>
                </pic:pic>
              </a:graphicData>
            </a:graphic>
          </wp:anchor>
        </w:drawing>
      </w:r>
      <w:r>
        <w:rPr/>
        <w:drawing>
          <wp:anchor distT="0" distB="0" distL="0" distR="0" allowOverlap="1" layoutInCell="1" locked="0" behindDoc="0" simplePos="0" relativeHeight="15759360">
            <wp:simplePos x="0" y="0"/>
            <wp:positionH relativeFrom="page">
              <wp:posOffset>6020084</wp:posOffset>
            </wp:positionH>
            <wp:positionV relativeFrom="paragraph">
              <wp:posOffset>310514</wp:posOffset>
            </wp:positionV>
            <wp:extent cx="610556" cy="115964"/>
            <wp:effectExtent l="0" t="0" r="0" b="0"/>
            <wp:wrapNone/>
            <wp:docPr id="178" name="Image 178"/>
            <wp:cNvGraphicFramePr>
              <a:graphicFrameLocks/>
            </wp:cNvGraphicFramePr>
            <a:graphic>
              <a:graphicData uri="http://schemas.openxmlformats.org/drawingml/2006/picture">
                <pic:pic>
                  <pic:nvPicPr>
                    <pic:cNvPr id="178" name="Image 178"/>
                    <pic:cNvPicPr/>
                  </pic:nvPicPr>
                  <pic:blipFill>
                    <a:blip r:embed="rId89" cstate="print"/>
                    <a:stretch>
                      <a:fillRect/>
                    </a:stretch>
                  </pic:blipFill>
                  <pic:spPr>
                    <a:xfrm>
                      <a:off x="0" y="0"/>
                      <a:ext cx="610556" cy="115964"/>
                    </a:xfrm>
                    <a:prstGeom prst="rect">
                      <a:avLst/>
                    </a:prstGeom>
                  </pic:spPr>
                </pic:pic>
              </a:graphicData>
            </a:graphic>
          </wp:anchor>
        </w:drawing>
      </w:r>
      <w:r>
        <w:rPr>
          <w:color w:val="4D64A8"/>
          <w:spacing w:val="-5"/>
          <w:w w:val="105"/>
        </w:rPr>
        <w:t>CGR</w:t>
      </w:r>
    </w:p>
    <w:p>
      <w:pPr>
        <w:pStyle w:val="BodyText"/>
        <w:rPr>
          <w:b/>
          <w:sz w:val="20"/>
        </w:rPr>
      </w:pPr>
    </w:p>
    <w:p>
      <w:pPr>
        <w:pStyle w:val="BodyText"/>
        <w:rPr>
          <w:b/>
          <w:sz w:val="20"/>
        </w:rPr>
      </w:pPr>
    </w:p>
    <w:p>
      <w:pPr>
        <w:pStyle w:val="BodyText"/>
        <w:spacing w:before="135"/>
        <w:rPr>
          <w:b/>
          <w:sz w:val="20"/>
        </w:rPr>
      </w:pPr>
      <w:r>
        <w:rPr>
          <w:b/>
          <w:sz w:val="20"/>
        </w:rPr>
        <mc:AlternateContent>
          <mc:Choice Requires="wps">
            <w:drawing>
              <wp:anchor distT="0" distB="0" distL="0" distR="0" allowOverlap="1" layoutInCell="1" locked="0" behindDoc="1" simplePos="0" relativeHeight="487614464">
                <wp:simplePos x="0" y="0"/>
                <wp:positionH relativeFrom="page">
                  <wp:posOffset>1477546</wp:posOffset>
                </wp:positionH>
                <wp:positionV relativeFrom="paragraph">
                  <wp:posOffset>247561</wp:posOffset>
                </wp:positionV>
                <wp:extent cx="4872355" cy="5704205"/>
                <wp:effectExtent l="0" t="0" r="0" b="0"/>
                <wp:wrapTopAndBottom/>
                <wp:docPr id="179" name="Group 179"/>
                <wp:cNvGraphicFramePr>
                  <a:graphicFrameLocks/>
                </wp:cNvGraphicFramePr>
                <a:graphic>
                  <a:graphicData uri="http://schemas.microsoft.com/office/word/2010/wordprocessingGroup">
                    <wpg:wgp>
                      <wpg:cNvPr id="179" name="Group 179"/>
                      <wpg:cNvGrpSpPr/>
                      <wpg:grpSpPr>
                        <a:xfrm>
                          <a:off x="0" y="0"/>
                          <a:ext cx="4872355" cy="5704205"/>
                          <a:chExt cx="4872355" cy="5704205"/>
                        </a:xfrm>
                      </wpg:grpSpPr>
                      <pic:pic>
                        <pic:nvPicPr>
                          <pic:cNvPr id="180" name="Image 180"/>
                          <pic:cNvPicPr/>
                        </pic:nvPicPr>
                        <pic:blipFill>
                          <a:blip r:embed="rId90" cstate="print"/>
                          <a:stretch>
                            <a:fillRect/>
                          </a:stretch>
                        </pic:blipFill>
                        <pic:spPr>
                          <a:xfrm>
                            <a:off x="12210" y="0"/>
                            <a:ext cx="4860028" cy="1553312"/>
                          </a:xfrm>
                          <a:prstGeom prst="rect">
                            <a:avLst/>
                          </a:prstGeom>
                        </pic:spPr>
                      </pic:pic>
                      <pic:pic>
                        <pic:nvPicPr>
                          <pic:cNvPr id="181" name="Image 181"/>
                          <pic:cNvPicPr/>
                        </pic:nvPicPr>
                        <pic:blipFill>
                          <a:blip r:embed="rId91" cstate="print"/>
                          <a:stretch>
                            <a:fillRect/>
                          </a:stretch>
                        </pic:blipFill>
                        <pic:spPr>
                          <a:xfrm>
                            <a:off x="464021" y="1672329"/>
                            <a:ext cx="1428701" cy="662217"/>
                          </a:xfrm>
                          <a:prstGeom prst="rect">
                            <a:avLst/>
                          </a:prstGeom>
                        </pic:spPr>
                      </pic:pic>
                      <pic:pic>
                        <pic:nvPicPr>
                          <pic:cNvPr id="182" name="Image 182"/>
                          <pic:cNvPicPr/>
                        </pic:nvPicPr>
                        <pic:blipFill>
                          <a:blip r:embed="rId92" cstate="print"/>
                          <a:stretch>
                            <a:fillRect/>
                          </a:stretch>
                        </pic:blipFill>
                        <pic:spPr>
                          <a:xfrm>
                            <a:off x="2625391" y="1675380"/>
                            <a:ext cx="451811" cy="122067"/>
                          </a:xfrm>
                          <a:prstGeom prst="rect">
                            <a:avLst/>
                          </a:prstGeom>
                        </pic:spPr>
                      </pic:pic>
                      <pic:pic>
                        <pic:nvPicPr>
                          <pic:cNvPr id="183" name="Image 183"/>
                          <pic:cNvPicPr/>
                        </pic:nvPicPr>
                        <pic:blipFill>
                          <a:blip r:embed="rId93" cstate="print"/>
                          <a:stretch>
                            <a:fillRect/>
                          </a:stretch>
                        </pic:blipFill>
                        <pic:spPr>
                          <a:xfrm>
                            <a:off x="2295690" y="2688543"/>
                            <a:ext cx="781512" cy="109861"/>
                          </a:xfrm>
                          <a:prstGeom prst="rect">
                            <a:avLst/>
                          </a:prstGeom>
                        </pic:spPr>
                      </pic:pic>
                      <pic:pic>
                        <pic:nvPicPr>
                          <pic:cNvPr id="184" name="Image 184"/>
                          <pic:cNvPicPr/>
                        </pic:nvPicPr>
                        <pic:blipFill>
                          <a:blip r:embed="rId94" cstate="print"/>
                          <a:stretch>
                            <a:fillRect/>
                          </a:stretch>
                        </pic:blipFill>
                        <pic:spPr>
                          <a:xfrm>
                            <a:off x="244221" y="2984557"/>
                            <a:ext cx="4542538" cy="2719059"/>
                          </a:xfrm>
                          <a:prstGeom prst="rect">
                            <a:avLst/>
                          </a:prstGeom>
                        </pic:spPr>
                      </pic:pic>
                      <wps:wsp>
                        <wps:cNvPr id="185" name="Graphic 185"/>
                        <wps:cNvSpPr/>
                        <wps:spPr>
                          <a:xfrm>
                            <a:off x="21369" y="430288"/>
                            <a:ext cx="2894330" cy="4785360"/>
                          </a:xfrm>
                          <a:custGeom>
                            <a:avLst/>
                            <a:gdLst/>
                            <a:ahLst/>
                            <a:cxnLst/>
                            <a:rect l="l" t="t" r="r" b="b"/>
                            <a:pathLst>
                              <a:path w="2894330" h="4785360">
                                <a:moveTo>
                                  <a:pt x="0" y="4785056"/>
                                </a:moveTo>
                                <a:lnTo>
                                  <a:pt x="0" y="2563423"/>
                                </a:lnTo>
                              </a:path>
                              <a:path w="2894330" h="4785360">
                                <a:moveTo>
                                  <a:pt x="0" y="2258253"/>
                                </a:moveTo>
                                <a:lnTo>
                                  <a:pt x="0" y="1562467"/>
                                </a:lnTo>
                              </a:path>
                              <a:path w="2894330" h="4785360">
                                <a:moveTo>
                                  <a:pt x="0" y="1257298"/>
                                </a:moveTo>
                                <a:lnTo>
                                  <a:pt x="0" y="0"/>
                                </a:lnTo>
                              </a:path>
                              <a:path w="2894330" h="4785360">
                                <a:moveTo>
                                  <a:pt x="2894037" y="2551216"/>
                                </a:moveTo>
                                <a:lnTo>
                                  <a:pt x="2894037" y="1025369"/>
                                </a:lnTo>
                              </a:path>
                            </a:pathLst>
                          </a:custGeom>
                          <a:ln w="18313">
                            <a:solidFill>
                              <a:srgbClr val="000000"/>
                            </a:solidFill>
                            <a:prstDash val="solid"/>
                          </a:ln>
                        </wps:spPr>
                        <wps:bodyPr wrap="square" lIns="0" tIns="0" rIns="0" bIns="0" rtlCol="0">
                          <a:prstTxWarp prst="textNoShape">
                            <a:avLst/>
                          </a:prstTxWarp>
                          <a:noAutofit/>
                        </wps:bodyPr>
                      </wps:wsp>
                      <wps:wsp>
                        <wps:cNvPr id="186" name="Graphic 186"/>
                        <wps:cNvSpPr/>
                        <wps:spPr>
                          <a:xfrm>
                            <a:off x="3483224" y="1455658"/>
                            <a:ext cx="357505" cy="3759835"/>
                          </a:xfrm>
                          <a:custGeom>
                            <a:avLst/>
                            <a:gdLst/>
                            <a:ahLst/>
                            <a:cxnLst/>
                            <a:rect l="l" t="t" r="r" b="b"/>
                            <a:pathLst>
                              <a:path w="357505" h="3759835">
                                <a:moveTo>
                                  <a:pt x="0" y="3759687"/>
                                </a:moveTo>
                                <a:lnTo>
                                  <a:pt x="0" y="0"/>
                                </a:lnTo>
                              </a:path>
                              <a:path w="357505" h="3759835">
                                <a:moveTo>
                                  <a:pt x="357175" y="3759687"/>
                                </a:moveTo>
                                <a:lnTo>
                                  <a:pt x="357175" y="0"/>
                                </a:lnTo>
                              </a:path>
                            </a:pathLst>
                          </a:custGeom>
                          <a:ln w="12208">
                            <a:solidFill>
                              <a:srgbClr val="000000"/>
                            </a:solidFill>
                            <a:prstDash val="solid"/>
                          </a:ln>
                        </wps:spPr>
                        <wps:bodyPr wrap="square" lIns="0" tIns="0" rIns="0" bIns="0" rtlCol="0">
                          <a:prstTxWarp prst="textNoShape">
                            <a:avLst/>
                          </a:prstTxWarp>
                          <a:noAutofit/>
                        </wps:bodyPr>
                      </wps:wsp>
                      <wps:wsp>
                        <wps:cNvPr id="187" name="Graphic 187"/>
                        <wps:cNvSpPr/>
                        <wps:spPr>
                          <a:xfrm>
                            <a:off x="4860029" y="247187"/>
                            <a:ext cx="1270" cy="4968240"/>
                          </a:xfrm>
                          <a:custGeom>
                            <a:avLst/>
                            <a:gdLst/>
                            <a:ahLst/>
                            <a:cxnLst/>
                            <a:rect l="l" t="t" r="r" b="b"/>
                            <a:pathLst>
                              <a:path w="0" h="4968240">
                                <a:moveTo>
                                  <a:pt x="0" y="4968158"/>
                                </a:moveTo>
                                <a:lnTo>
                                  <a:pt x="0" y="0"/>
                                </a:lnTo>
                              </a:path>
                            </a:pathLst>
                          </a:custGeom>
                          <a:ln w="15263">
                            <a:solidFill>
                              <a:srgbClr val="000000"/>
                            </a:solidFill>
                            <a:prstDash val="solid"/>
                          </a:ln>
                        </wps:spPr>
                        <wps:bodyPr wrap="square" lIns="0" tIns="0" rIns="0" bIns="0" rtlCol="0">
                          <a:prstTxWarp prst="textNoShape">
                            <a:avLst/>
                          </a:prstTxWarp>
                          <a:noAutofit/>
                        </wps:bodyPr>
                      </wps:wsp>
                      <wps:wsp>
                        <wps:cNvPr id="188" name="Graphic 188"/>
                        <wps:cNvSpPr/>
                        <wps:spPr>
                          <a:xfrm>
                            <a:off x="0" y="1449554"/>
                            <a:ext cx="4872355" cy="1270"/>
                          </a:xfrm>
                          <a:custGeom>
                            <a:avLst/>
                            <a:gdLst/>
                            <a:ahLst/>
                            <a:cxnLst/>
                            <a:rect l="l" t="t" r="r" b="b"/>
                            <a:pathLst>
                              <a:path w="4872355" h="0">
                                <a:moveTo>
                                  <a:pt x="0" y="0"/>
                                </a:moveTo>
                                <a:lnTo>
                                  <a:pt x="466045" y="0"/>
                                </a:lnTo>
                              </a:path>
                              <a:path w="4872355" h="0">
                                <a:moveTo>
                                  <a:pt x="545417" y="0"/>
                                </a:moveTo>
                                <a:lnTo>
                                  <a:pt x="4872240" y="0"/>
                                </a:lnTo>
                              </a:path>
                            </a:pathLst>
                          </a:custGeom>
                          <a:ln w="12206">
                            <a:solidFill>
                              <a:srgbClr val="000000"/>
                            </a:solidFill>
                            <a:prstDash val="solid"/>
                          </a:ln>
                        </wps:spPr>
                        <wps:bodyPr wrap="square" lIns="0" tIns="0" rIns="0" bIns="0" rtlCol="0">
                          <a:prstTxWarp prst="textNoShape">
                            <a:avLst/>
                          </a:prstTxWarp>
                          <a:noAutofit/>
                        </wps:bodyPr>
                      </wps:wsp>
                      <wps:wsp>
                        <wps:cNvPr id="189" name="Graphic 189"/>
                        <wps:cNvSpPr/>
                        <wps:spPr>
                          <a:xfrm>
                            <a:off x="0" y="1669276"/>
                            <a:ext cx="464184" cy="1270"/>
                          </a:xfrm>
                          <a:custGeom>
                            <a:avLst/>
                            <a:gdLst/>
                            <a:ahLst/>
                            <a:cxnLst/>
                            <a:rect l="l" t="t" r="r" b="b"/>
                            <a:pathLst>
                              <a:path w="464184" h="0">
                                <a:moveTo>
                                  <a:pt x="0" y="0"/>
                                </a:moveTo>
                                <a:lnTo>
                                  <a:pt x="464022" y="0"/>
                                </a:lnTo>
                              </a:path>
                            </a:pathLst>
                          </a:custGeom>
                          <a:ln w="12206">
                            <a:solidFill>
                              <a:srgbClr val="000000"/>
                            </a:solidFill>
                            <a:prstDash val="solid"/>
                          </a:ln>
                        </wps:spPr>
                        <wps:bodyPr wrap="square" lIns="0" tIns="0" rIns="0" bIns="0" rtlCol="0">
                          <a:prstTxWarp prst="textNoShape">
                            <a:avLst/>
                          </a:prstTxWarp>
                          <a:noAutofit/>
                        </wps:bodyPr>
                      </wps:wsp>
                      <wps:wsp>
                        <wps:cNvPr id="190" name="Graphic 190"/>
                        <wps:cNvSpPr/>
                        <wps:spPr>
                          <a:xfrm>
                            <a:off x="0" y="2001911"/>
                            <a:ext cx="464184" cy="1270"/>
                          </a:xfrm>
                          <a:custGeom>
                            <a:avLst/>
                            <a:gdLst/>
                            <a:ahLst/>
                            <a:cxnLst/>
                            <a:rect l="l" t="t" r="r" b="b"/>
                            <a:pathLst>
                              <a:path w="464184" h="0">
                                <a:moveTo>
                                  <a:pt x="0" y="0"/>
                                </a:moveTo>
                                <a:lnTo>
                                  <a:pt x="464022" y="0"/>
                                </a:lnTo>
                              </a:path>
                            </a:pathLst>
                          </a:custGeom>
                          <a:ln w="15258">
                            <a:solidFill>
                              <a:srgbClr val="000000"/>
                            </a:solidFill>
                            <a:prstDash val="solid"/>
                          </a:ln>
                        </wps:spPr>
                        <wps:bodyPr wrap="square" lIns="0" tIns="0" rIns="0" bIns="0" rtlCol="0">
                          <a:prstTxWarp prst="textNoShape">
                            <a:avLst/>
                          </a:prstTxWarp>
                          <a:noAutofit/>
                        </wps:bodyPr>
                      </wps:wsp>
                      <wps:wsp>
                        <wps:cNvPr id="191" name="Graphic 191"/>
                        <wps:cNvSpPr/>
                        <wps:spPr>
                          <a:xfrm>
                            <a:off x="0" y="2221633"/>
                            <a:ext cx="4872355" cy="232410"/>
                          </a:xfrm>
                          <a:custGeom>
                            <a:avLst/>
                            <a:gdLst/>
                            <a:ahLst/>
                            <a:cxnLst/>
                            <a:rect l="l" t="t" r="r" b="b"/>
                            <a:pathLst>
                              <a:path w="4872355" h="232410">
                                <a:moveTo>
                                  <a:pt x="0" y="0"/>
                                </a:moveTo>
                                <a:lnTo>
                                  <a:pt x="464022" y="0"/>
                                </a:lnTo>
                              </a:path>
                              <a:path w="4872355" h="232410">
                                <a:moveTo>
                                  <a:pt x="0" y="231928"/>
                                </a:moveTo>
                                <a:lnTo>
                                  <a:pt x="4872240" y="231928"/>
                                </a:lnTo>
                              </a:path>
                            </a:pathLst>
                          </a:custGeom>
                          <a:ln w="12208">
                            <a:solidFill>
                              <a:srgbClr val="000000"/>
                            </a:solidFill>
                            <a:prstDash val="solid"/>
                          </a:ln>
                        </wps:spPr>
                        <wps:bodyPr wrap="square" lIns="0" tIns="0" rIns="0" bIns="0" rtlCol="0">
                          <a:prstTxWarp prst="textNoShape">
                            <a:avLst/>
                          </a:prstTxWarp>
                          <a:noAutofit/>
                        </wps:bodyPr>
                      </wps:wsp>
                      <wps:wsp>
                        <wps:cNvPr id="192" name="Graphic 192"/>
                        <wps:cNvSpPr/>
                        <wps:spPr>
                          <a:xfrm>
                            <a:off x="0" y="2673283"/>
                            <a:ext cx="4872355" cy="1270"/>
                          </a:xfrm>
                          <a:custGeom>
                            <a:avLst/>
                            <a:gdLst/>
                            <a:ahLst/>
                            <a:cxnLst/>
                            <a:rect l="l" t="t" r="r" b="b"/>
                            <a:pathLst>
                              <a:path w="4872355" h="0">
                                <a:moveTo>
                                  <a:pt x="0" y="0"/>
                                </a:moveTo>
                                <a:lnTo>
                                  <a:pt x="4872240" y="0"/>
                                </a:lnTo>
                              </a:path>
                            </a:pathLst>
                          </a:custGeom>
                          <a:ln w="15258">
                            <a:solidFill>
                              <a:srgbClr val="000000"/>
                            </a:solidFill>
                            <a:prstDash val="solid"/>
                          </a:ln>
                        </wps:spPr>
                        <wps:bodyPr wrap="square" lIns="0" tIns="0" rIns="0" bIns="0" rtlCol="0">
                          <a:prstTxWarp prst="textNoShape">
                            <a:avLst/>
                          </a:prstTxWarp>
                          <a:noAutofit/>
                        </wps:bodyPr>
                      </wps:wsp>
                      <wps:wsp>
                        <wps:cNvPr id="193" name="Graphic 193"/>
                        <wps:cNvSpPr/>
                        <wps:spPr>
                          <a:xfrm>
                            <a:off x="0" y="3005918"/>
                            <a:ext cx="793750" cy="1270"/>
                          </a:xfrm>
                          <a:custGeom>
                            <a:avLst/>
                            <a:gdLst/>
                            <a:ahLst/>
                            <a:cxnLst/>
                            <a:rect l="l" t="t" r="r" b="b"/>
                            <a:pathLst>
                              <a:path w="793750" h="0">
                                <a:moveTo>
                                  <a:pt x="0" y="0"/>
                                </a:moveTo>
                                <a:lnTo>
                                  <a:pt x="793723" y="0"/>
                                </a:lnTo>
                              </a:path>
                            </a:pathLst>
                          </a:custGeom>
                          <a:ln w="12206">
                            <a:solidFill>
                              <a:srgbClr val="000000"/>
                            </a:solidFill>
                            <a:prstDash val="solid"/>
                          </a:ln>
                        </wps:spPr>
                        <wps:bodyPr wrap="square" lIns="0" tIns="0" rIns="0" bIns="0" rtlCol="0">
                          <a:prstTxWarp prst="textNoShape">
                            <a:avLst/>
                          </a:prstTxWarp>
                          <a:noAutofit/>
                        </wps:bodyPr>
                      </wps:wsp>
                      <wps:wsp>
                        <wps:cNvPr id="194" name="Graphic 194"/>
                        <wps:cNvSpPr/>
                        <wps:spPr>
                          <a:xfrm>
                            <a:off x="0" y="3222588"/>
                            <a:ext cx="793750" cy="1270"/>
                          </a:xfrm>
                          <a:custGeom>
                            <a:avLst/>
                            <a:gdLst/>
                            <a:ahLst/>
                            <a:cxnLst/>
                            <a:rect l="l" t="t" r="r" b="b"/>
                            <a:pathLst>
                              <a:path w="793750" h="0">
                                <a:moveTo>
                                  <a:pt x="0" y="0"/>
                                </a:moveTo>
                                <a:lnTo>
                                  <a:pt x="793723" y="0"/>
                                </a:lnTo>
                              </a:path>
                            </a:pathLst>
                          </a:custGeom>
                          <a:ln w="15258">
                            <a:solidFill>
                              <a:srgbClr val="000000"/>
                            </a:solidFill>
                            <a:prstDash val="solid"/>
                          </a:ln>
                        </wps:spPr>
                        <wps:bodyPr wrap="square" lIns="0" tIns="0" rIns="0" bIns="0" rtlCol="0">
                          <a:prstTxWarp prst="textNoShape">
                            <a:avLst/>
                          </a:prstTxWarp>
                          <a:noAutofit/>
                        </wps:bodyPr>
                      </wps:wsp>
                      <wps:wsp>
                        <wps:cNvPr id="195" name="Graphic 195"/>
                        <wps:cNvSpPr/>
                        <wps:spPr>
                          <a:xfrm>
                            <a:off x="889386" y="2647686"/>
                            <a:ext cx="27940" cy="149860"/>
                          </a:xfrm>
                          <a:custGeom>
                            <a:avLst/>
                            <a:gdLst/>
                            <a:ahLst/>
                            <a:cxnLst/>
                            <a:rect l="l" t="t" r="r" b="b"/>
                            <a:pathLst>
                              <a:path w="27940" h="149860">
                                <a:moveTo>
                                  <a:pt x="27475" y="149508"/>
                                </a:moveTo>
                                <a:lnTo>
                                  <a:pt x="0" y="149508"/>
                                </a:lnTo>
                                <a:lnTo>
                                  <a:pt x="0" y="0"/>
                                </a:lnTo>
                                <a:lnTo>
                                  <a:pt x="27475" y="0"/>
                                </a:lnTo>
                                <a:lnTo>
                                  <a:pt x="27475" y="149508"/>
                                </a:lnTo>
                                <a:close/>
                              </a:path>
                            </a:pathLst>
                          </a:custGeom>
                          <a:solidFill>
                            <a:srgbClr val="EFF2EB"/>
                          </a:solidFill>
                        </wps:spPr>
                        <wps:bodyPr wrap="square" lIns="0" tIns="0" rIns="0" bIns="0" rtlCol="0">
                          <a:prstTxWarp prst="textNoShape">
                            <a:avLst/>
                          </a:prstTxWarp>
                          <a:noAutofit/>
                        </wps:bodyPr>
                      </wps:wsp>
                      <wps:wsp>
                        <wps:cNvPr id="196" name="Graphic 196"/>
                        <wps:cNvSpPr/>
                        <wps:spPr>
                          <a:xfrm>
                            <a:off x="805778" y="2782975"/>
                            <a:ext cx="83185" cy="1270"/>
                          </a:xfrm>
                          <a:custGeom>
                            <a:avLst/>
                            <a:gdLst/>
                            <a:ahLst/>
                            <a:cxnLst/>
                            <a:rect l="l" t="t" r="r" b="b"/>
                            <a:pathLst>
                              <a:path w="83185" h="0">
                                <a:moveTo>
                                  <a:pt x="0" y="0"/>
                                </a:moveTo>
                                <a:lnTo>
                                  <a:pt x="83171" y="0"/>
                                </a:lnTo>
                              </a:path>
                            </a:pathLst>
                          </a:custGeom>
                          <a:ln w="4324">
                            <a:solidFill>
                              <a:srgbClr val="6D3E96"/>
                            </a:solidFill>
                            <a:prstDash val="solid"/>
                          </a:ln>
                        </wps:spPr>
                        <wps:bodyPr wrap="square" lIns="0" tIns="0" rIns="0" bIns="0" rtlCol="0">
                          <a:prstTxWarp prst="textNoShape">
                            <a:avLst/>
                          </a:prstTxWarp>
                          <a:noAutofit/>
                        </wps:bodyPr>
                      </wps:wsp>
                      <wps:wsp>
                        <wps:cNvPr id="197" name="Graphic 197"/>
                        <wps:cNvSpPr/>
                        <wps:spPr>
                          <a:xfrm>
                            <a:off x="1131462" y="5326269"/>
                            <a:ext cx="24765" cy="137160"/>
                          </a:xfrm>
                          <a:custGeom>
                            <a:avLst/>
                            <a:gdLst/>
                            <a:ahLst/>
                            <a:cxnLst/>
                            <a:rect l="l" t="t" r="r" b="b"/>
                            <a:pathLst>
                              <a:path w="24765" h="137160">
                                <a:moveTo>
                                  <a:pt x="24422" y="136938"/>
                                </a:moveTo>
                                <a:lnTo>
                                  <a:pt x="0" y="136938"/>
                                </a:lnTo>
                                <a:lnTo>
                                  <a:pt x="0" y="0"/>
                                </a:lnTo>
                                <a:lnTo>
                                  <a:pt x="24422" y="0"/>
                                </a:lnTo>
                                <a:lnTo>
                                  <a:pt x="24422" y="136938"/>
                                </a:lnTo>
                                <a:close/>
                              </a:path>
                            </a:pathLst>
                          </a:custGeom>
                          <a:solidFill>
                            <a:srgbClr val="DAE1D8"/>
                          </a:solidFill>
                        </wps:spPr>
                        <wps:bodyPr wrap="square" lIns="0" tIns="0" rIns="0" bIns="0" rtlCol="0">
                          <a:prstTxWarp prst="textNoShape">
                            <a:avLst/>
                          </a:prstTxWarp>
                          <a:noAutofit/>
                        </wps:bodyPr>
                      </wps:wsp>
                      <wps:wsp>
                        <wps:cNvPr id="198" name="Textbox 198"/>
                        <wps:cNvSpPr txBox="1"/>
                        <wps:spPr>
                          <a:xfrm>
                            <a:off x="466044" y="1450897"/>
                            <a:ext cx="1936750" cy="683260"/>
                          </a:xfrm>
                          <a:prstGeom prst="rect">
                            <a:avLst/>
                          </a:prstGeom>
                        </wps:spPr>
                        <wps:txbx>
                          <w:txbxContent>
                            <w:p>
                              <w:pPr>
                                <w:spacing w:line="188" w:lineRule="exact" w:before="0"/>
                                <w:ind w:left="0" w:right="0" w:firstLine="0"/>
                                <w:jc w:val="left"/>
                                <w:rPr>
                                  <w:rFonts w:ascii="Times New Roman"/>
                                  <w:b/>
                                  <w:sz w:val="17"/>
                                </w:rPr>
                              </w:pPr>
                              <w:r>
                                <w:rPr>
                                  <w:rFonts w:ascii="Times New Roman"/>
                                  <w:b/>
                                  <w:color w:val="BDC1B3"/>
                                  <w:w w:val="105"/>
                                  <w:sz w:val="17"/>
                                  <w:shd w:fill="EFF2EB" w:color="auto" w:val="clear"/>
                                </w:rPr>
                                <w:t>1_</w:t>
                              </w:r>
                              <w:r>
                                <w:rPr>
                                  <w:rFonts w:ascii="Times New Roman"/>
                                  <w:color w:val="8E93C6"/>
                                  <w:w w:val="105"/>
                                  <w:sz w:val="14"/>
                                </w:rPr>
                                <w:t>1.</w:t>
                              </w:r>
                              <w:r>
                                <w:rPr>
                                  <w:rFonts w:ascii="Times New Roman"/>
                                  <w:color w:val="646272"/>
                                  <w:w w:val="105"/>
                                  <w:sz w:val="14"/>
                                </w:rPr>
                                <w:t>3</w:t>
                              </w:r>
                              <w:r>
                                <w:rPr>
                                  <w:rFonts w:ascii="Times New Roman"/>
                                  <w:color w:val="BC8E8E"/>
                                  <w:w w:val="105"/>
                                  <w:sz w:val="14"/>
                                </w:rPr>
                                <w:t>.</w:t>
                              </w:r>
                              <w:r>
                                <w:rPr>
                                  <w:rFonts w:ascii="Times New Roman"/>
                                  <w:color w:val="BC8E8E"/>
                                  <w:spacing w:val="9"/>
                                  <w:w w:val="105"/>
                                  <w:sz w:val="14"/>
                                </w:rPr>
                                <w:t> </w:t>
                              </w:r>
                              <w:r>
                                <w:rPr>
                                  <w:rFonts w:ascii="Times New Roman"/>
                                  <w:color w:val="9A9EA1"/>
                                  <w:spacing w:val="-2"/>
                                  <w:w w:val="105"/>
                                  <w:sz w:val="17"/>
                                </w:rPr>
                                <w:t>1Est</w:t>
                              </w:r>
                              <w:r>
                                <w:rPr>
                                  <w:rFonts w:ascii="Times New Roman"/>
                                  <w:color w:val="7E7589"/>
                                  <w:spacing w:val="-2"/>
                                  <w:w w:val="105"/>
                                  <w:sz w:val="17"/>
                                </w:rPr>
                                <w:t>ruclura</w:t>
                              </w:r>
                              <w:r>
                                <w:rPr>
                                  <w:rFonts w:ascii="Times New Roman"/>
                                  <w:color w:val="90C8EB"/>
                                  <w:spacing w:val="-2"/>
                                  <w:w w:val="105"/>
                                  <w:sz w:val="17"/>
                                </w:rPr>
                                <w:t>1</w:t>
                              </w:r>
                              <w:r>
                                <w:rPr>
                                  <w:rFonts w:ascii="Times New Roman"/>
                                  <w:b/>
                                  <w:color w:val="7E7589"/>
                                  <w:spacing w:val="-2"/>
                                  <w:w w:val="105"/>
                                  <w:sz w:val="17"/>
                                </w:rPr>
                                <w:t>argo</w:t>
                              </w:r>
                            </w:p>
                            <w:p>
                              <w:pPr>
                                <w:tabs>
                                  <w:tab w:pos="2885" w:val="left" w:leader="none"/>
                                </w:tabs>
                                <w:spacing w:before="155"/>
                                <w:ind w:left="1524" w:right="0" w:firstLine="0"/>
                                <w:jc w:val="left"/>
                                <w:rPr>
                                  <w:rFonts w:ascii="Times New Roman"/>
                                  <w:sz w:val="17"/>
                                </w:rPr>
                              </w:pPr>
                              <w:r>
                                <w:rPr>
                                  <w:color w:val="7E7589"/>
                                  <w:w w:val="90"/>
                                  <w:sz w:val="16"/>
                                </w:rPr>
                                <w:t>p-og1i::Jm6</w:t>
                              </w:r>
                              <w:r>
                                <w:rPr>
                                  <w:color w:val="7E7589"/>
                                  <w:spacing w:val="48"/>
                                  <w:sz w:val="16"/>
                                </w:rPr>
                                <w:t> </w:t>
                              </w:r>
                              <w:r>
                                <w:rPr>
                                  <w:color w:val="7E7589"/>
                                  <w:spacing w:val="-5"/>
                                  <w:w w:val="90"/>
                                  <w:sz w:val="15"/>
                                </w:rPr>
                                <w:t>oc</w:t>
                              </w:r>
                              <w:r>
                                <w:rPr>
                                  <w:color w:val="7E7589"/>
                                  <w:sz w:val="15"/>
                                </w:rPr>
                                <w:tab/>
                              </w:r>
                              <w:r>
                                <w:rPr>
                                  <w:rFonts w:ascii="Times New Roman"/>
                                  <w:color w:val="7E7589"/>
                                  <w:spacing w:val="-5"/>
                                  <w:w w:val="95"/>
                                  <w:sz w:val="17"/>
                                </w:rPr>
                                <w:t>de</w:t>
                              </w:r>
                            </w:p>
                            <w:p>
                              <w:pPr>
                                <w:spacing w:line="240" w:lineRule="auto" w:before="0"/>
                                <w:rPr>
                                  <w:rFonts w:ascii="Times New Roman"/>
                                  <w:sz w:val="16"/>
                                </w:rPr>
                              </w:pPr>
                            </w:p>
                            <w:p>
                              <w:pPr>
                                <w:spacing w:line="240" w:lineRule="auto" w:before="7"/>
                                <w:rPr>
                                  <w:rFonts w:ascii="Times New Roman"/>
                                  <w:sz w:val="16"/>
                                </w:rPr>
                              </w:pPr>
                            </w:p>
                            <w:p>
                              <w:pPr>
                                <w:spacing w:before="0"/>
                                <w:ind w:left="0" w:right="212" w:firstLine="0"/>
                                <w:jc w:val="right"/>
                                <w:rPr>
                                  <w:sz w:val="14"/>
                                </w:rPr>
                              </w:pPr>
                              <w:r>
                                <w:rPr>
                                  <w:color w:val="7E7589"/>
                                  <w:sz w:val="14"/>
                                </w:rPr>
                                <w:t>ucan-</w:t>
                              </w:r>
                              <w:r>
                                <w:rPr>
                                  <w:color w:val="7E7589"/>
                                  <w:spacing w:val="-2"/>
                                  <w:sz w:val="14"/>
                                </w:rPr>
                                <w:t>:::i</w:t>
                              </w:r>
                              <w:r>
                                <w:rPr>
                                  <w:color w:val="728CC4"/>
                                  <w:spacing w:val="-2"/>
                                  <w:sz w:val="14"/>
                                </w:rPr>
                                <w:t>l</w:t>
                              </w:r>
                            </w:p>
                          </w:txbxContent>
                        </wps:txbx>
                        <wps:bodyPr wrap="square" lIns="0" tIns="0" rIns="0" bIns="0" rtlCol="0">
                          <a:noAutofit/>
                        </wps:bodyPr>
                      </wps:wsp>
                      <wps:wsp>
                        <wps:cNvPr id="199" name="Textbox 199"/>
                        <wps:cNvSpPr txBox="1"/>
                        <wps:spPr>
                          <a:xfrm>
                            <a:off x="791891" y="2665471"/>
                            <a:ext cx="1093470" cy="245110"/>
                          </a:xfrm>
                          <a:prstGeom prst="rect">
                            <a:avLst/>
                          </a:prstGeom>
                        </wps:spPr>
                        <wps:txbx>
                          <w:txbxContent>
                            <w:p>
                              <w:pPr>
                                <w:spacing w:line="188" w:lineRule="exact" w:before="0"/>
                                <w:ind w:left="0" w:right="0" w:firstLine="0"/>
                                <w:jc w:val="left"/>
                                <w:rPr>
                                  <w:rFonts w:ascii="Times New Roman" w:hAnsi="Times New Roman" w:cs="Times New Roman" w:eastAsia="Times New Roman"/>
                                  <w:sz w:val="16"/>
                                  <w:szCs w:val="16"/>
                                </w:rPr>
                              </w:pPr>
                              <w:r>
                                <w:rPr>
                                  <w:color w:val="BC8E8E"/>
                                  <w:sz w:val="16"/>
                                  <w:szCs w:val="16"/>
                                </w:rPr>
                                <w:t>1</w:t>
                              </w:r>
                              <w:r>
                                <w:rPr>
                                  <w:color w:val="BC8E8E"/>
                                  <w:spacing w:val="41"/>
                                  <w:sz w:val="16"/>
                                  <w:szCs w:val="16"/>
                                </w:rPr>
                                <w:t> </w:t>
                              </w:r>
                              <w:r>
                                <w:rPr>
                                  <w:rFonts w:ascii="Times New Roman" w:hAnsi="Times New Roman" w:cs="Times New Roman" w:eastAsia="Times New Roman"/>
                                  <w:b/>
                                  <w:bCs/>
                                  <w:color w:val="BDC1B3"/>
                                  <w:sz w:val="17"/>
                                  <w:szCs w:val="17"/>
                                </w:rPr>
                                <w:t>1</w:t>
                              </w:r>
                              <w:r>
                                <w:rPr>
                                  <w:rFonts w:ascii="Times New Roman" w:hAnsi="Times New Roman" w:cs="Times New Roman" w:eastAsia="Times New Roman"/>
                                  <w:color w:val="7E7589"/>
                                  <w:sz w:val="17"/>
                                  <w:szCs w:val="17"/>
                                </w:rPr>
                                <w:t>_</w:t>
                              </w:r>
                              <w:r>
                                <w:rPr>
                                  <w:color w:val="BC8E8E"/>
                                  <w:sz w:val="16"/>
                                  <w:szCs w:val="16"/>
                                </w:rPr>
                                <w:t>:</w:t>
                              </w:r>
                              <w:r>
                                <w:rPr>
                                  <w:color w:val="8E8793"/>
                                  <w:sz w:val="16"/>
                                  <w:szCs w:val="16"/>
                                </w:rPr>
                                <w:t>3�</w:t>
                              </w:r>
                              <w:r>
                                <w:rPr>
                                  <w:color w:val="8E8793"/>
                                  <w:spacing w:val="12"/>
                                  <w:sz w:val="16"/>
                                  <w:szCs w:val="16"/>
                                </w:rPr>
                                <w:t> </w:t>
                              </w:r>
                              <w:r>
                                <w:rPr>
                                  <w:rFonts w:ascii="Times New Roman" w:hAnsi="Times New Roman" w:cs="Times New Roman" w:eastAsia="Times New Roman"/>
                                  <w:color w:val="8E8793"/>
                                  <w:sz w:val="17"/>
                                  <w:szCs w:val="17"/>
                                </w:rPr>
                                <w:t>Otjo</w:t>
                              </w:r>
                              <w:r>
                                <w:rPr>
                                  <w:rFonts w:ascii="Times New Roman" w:hAnsi="Times New Roman" w:cs="Times New Roman" w:eastAsia="Times New Roman"/>
                                  <w:color w:val="7E7589"/>
                                  <w:sz w:val="16"/>
                                  <w:szCs w:val="16"/>
                                </w:rPr>
                                <w:t>liv-</w:t>
                              </w:r>
                              <w:r>
                                <w:rPr>
                                  <w:rFonts w:ascii="Times New Roman" w:hAnsi="Times New Roman" w:cs="Times New Roman" w:eastAsia="Times New Roman"/>
                                  <w:color w:val="7E7589"/>
                                  <w:spacing w:val="-5"/>
                                  <w:sz w:val="16"/>
                                  <w:szCs w:val="16"/>
                                </w:rPr>
                                <w:t>0.s</w:t>
                              </w:r>
                            </w:p>
                            <w:p>
                              <w:pPr>
                                <w:spacing w:before="1"/>
                                <w:ind w:left="599" w:right="0" w:firstLine="0"/>
                                <w:jc w:val="left"/>
                                <w:rPr>
                                  <w:rFonts w:ascii="Times New Roman" w:hAnsi="Times New Roman" w:cs="Times New Roman" w:eastAsia="Times New Roman"/>
                                  <w:sz w:val="17"/>
                                  <w:szCs w:val="17"/>
                                </w:rPr>
                              </w:pPr>
                              <w:r>
                                <w:rPr>
                                  <w:rFonts w:ascii="Times New Roman" w:hAnsi="Times New Roman" w:cs="Times New Roman" w:eastAsia="Times New Roman"/>
                                  <w:color w:val="9A9EA1"/>
                                  <w:spacing w:val="-5"/>
                                  <w:w w:val="115"/>
                                  <w:sz w:val="17"/>
                                  <w:szCs w:val="17"/>
                                </w:rPr>
                                <w:t>�</w:t>
                              </w:r>
                              <w:r>
                                <w:rPr>
                                  <w:rFonts w:ascii="Times New Roman" w:hAnsi="Times New Roman" w:cs="Times New Roman" w:eastAsia="Times New Roman"/>
                                  <w:color w:val="7E7589"/>
                                  <w:spacing w:val="-5"/>
                                  <w:w w:val="115"/>
                                  <w:sz w:val="17"/>
                                  <w:szCs w:val="17"/>
                                </w:rPr>
                                <w:t>H</w:t>
                              </w:r>
                              <w:r>
                                <w:rPr>
                                  <w:color w:val="8E8793"/>
                                  <w:spacing w:val="-5"/>
                                  <w:w w:val="115"/>
                                  <w:sz w:val="16"/>
                                  <w:szCs w:val="16"/>
                                </w:rPr>
                                <w:t>ludono</w:t>
                              </w:r>
                              <w:r>
                                <w:rPr>
                                  <w:rFonts w:ascii="Times New Roman" w:hAnsi="Times New Roman" w:cs="Times New Roman" w:eastAsia="Times New Roman"/>
                                  <w:color w:val="7E7589"/>
                                  <w:spacing w:val="-5"/>
                                  <w:w w:val="115"/>
                                  <w:sz w:val="17"/>
                                  <w:szCs w:val="17"/>
                                </w:rPr>
                                <w:t>les.</w:t>
                              </w:r>
                            </w:p>
                          </w:txbxContent>
                        </wps:txbx>
                        <wps:bodyPr wrap="square" lIns="0" tIns="0" rIns="0" bIns="0" rtlCol="0">
                          <a:noAutofit/>
                        </wps:bodyPr>
                      </wps:wsp>
                      <wps:wsp>
                        <wps:cNvPr id="200" name="Textbox 200"/>
                        <wps:cNvSpPr txBox="1"/>
                        <wps:spPr>
                          <a:xfrm>
                            <a:off x="509127" y="5341369"/>
                            <a:ext cx="671195" cy="113030"/>
                          </a:xfrm>
                          <a:prstGeom prst="rect">
                            <a:avLst/>
                          </a:prstGeom>
                        </wps:spPr>
                        <wps:txbx>
                          <w:txbxContent>
                            <w:p>
                              <w:pPr>
                                <w:spacing w:line="177" w:lineRule="exact" w:before="0"/>
                                <w:ind w:left="0" w:right="0" w:firstLine="0"/>
                                <w:jc w:val="left"/>
                                <w:rPr>
                                  <w:rFonts w:ascii="Times New Roman"/>
                                  <w:sz w:val="16"/>
                                </w:rPr>
                              </w:pPr>
                              <w:r>
                                <w:rPr>
                                  <w:color w:val="7E7589"/>
                                  <w:sz w:val="14"/>
                                </w:rPr>
                                <w:t>00c:mto</w:t>
                              </w:r>
                              <w:r>
                                <w:rPr>
                                  <w:color w:val="7E7589"/>
                                  <w:spacing w:val="-1"/>
                                  <w:sz w:val="14"/>
                                </w:rPr>
                                <w:t> </w:t>
                              </w:r>
                              <w:r>
                                <w:rPr>
                                  <w:rFonts w:ascii="Times New Roman"/>
                                  <w:color w:val="7E7589"/>
                                  <w:sz w:val="16"/>
                                </w:rPr>
                                <w:t>Epo::</w:t>
                              </w:r>
                              <w:r>
                                <w:rPr>
                                  <w:rFonts w:ascii="Times New Roman"/>
                                  <w:color w:val="7E7589"/>
                                  <w:spacing w:val="45"/>
                                  <w:sz w:val="16"/>
                                </w:rPr>
                                <w:t> </w:t>
                              </w:r>
                              <w:r>
                                <w:rPr>
                                  <w:rFonts w:ascii="Times New Roman"/>
                                  <w:color w:val="BDC1B3"/>
                                  <w:spacing w:val="-10"/>
                                  <w:sz w:val="16"/>
                                </w:rPr>
                                <w:t>-</w:t>
                              </w:r>
                            </w:p>
                          </w:txbxContent>
                        </wps:txbx>
                        <wps:bodyPr wrap="square" lIns="0" tIns="0" rIns="0" bIns="0" rtlCol="0">
                          <a:noAutofit/>
                        </wps:bodyPr>
                      </wps:wsp>
                      <wps:wsp>
                        <wps:cNvPr id="201" name="Textbox 201"/>
                        <wps:cNvSpPr txBox="1"/>
                        <wps:spPr>
                          <a:xfrm>
                            <a:off x="1800822" y="5491818"/>
                            <a:ext cx="1466850" cy="99695"/>
                          </a:xfrm>
                          <a:prstGeom prst="rect">
                            <a:avLst/>
                          </a:prstGeom>
                        </wps:spPr>
                        <wps:txbx>
                          <w:txbxContent>
                            <w:p>
                              <w:pPr>
                                <w:numPr>
                                  <w:ilvl w:val="0"/>
                                  <w:numId w:val="43"/>
                                </w:numPr>
                                <w:tabs>
                                  <w:tab w:pos="52" w:val="left" w:leader="none"/>
                                  <w:tab w:pos="1847" w:val="left" w:leader="none"/>
                                </w:tabs>
                                <w:spacing w:line="157" w:lineRule="exact" w:before="0"/>
                                <w:ind w:left="52" w:right="0" w:hanging="52"/>
                                <w:jc w:val="left"/>
                                <w:rPr>
                                  <w:rFonts w:ascii="Times New Roman"/>
                                  <w:b/>
                                  <w:sz w:val="11"/>
                                </w:rPr>
                              </w:pPr>
                              <w:r>
                                <w:rPr>
                                  <w:color w:val="7E7589"/>
                                  <w:w w:val="95"/>
                                  <w:sz w:val="10"/>
                                </w:rPr>
                                <w:t>CI</w:t>
                              </w:r>
                              <w:r>
                                <w:rPr>
                                  <w:color w:val="7E7589"/>
                                  <w:spacing w:val="62"/>
                                  <w:sz w:val="10"/>
                                </w:rPr>
                                <w:t> </w:t>
                              </w:r>
                              <w:r>
                                <w:rPr>
                                  <w:color w:val="8E8793"/>
                                  <w:sz w:val="11"/>
                                </w:rPr>
                                <w:t>c_-ot,o</w:t>
                              </w:r>
                              <w:r>
                                <w:rPr>
                                  <w:b/>
                                  <w:color w:val="7E7589"/>
                                  <w:sz w:val="14"/>
                                </w:rPr>
                                <w:t>pa</w:t>
                              </w:r>
                              <w:r>
                                <w:rPr>
                                  <w:b/>
                                  <w:color w:val="7E7589"/>
                                  <w:spacing w:val="47"/>
                                  <w:sz w:val="14"/>
                                </w:rPr>
                                <w:t>  </w:t>
                              </w:r>
                              <w:r>
                                <w:rPr>
                                  <w:color w:val="DDA56D"/>
                                  <w:spacing w:val="-2"/>
                                  <w:w w:val="95"/>
                                  <w:sz w:val="14"/>
                                </w:rPr>
                                <w:t>,</w:t>
                              </w:r>
                              <w:r>
                                <w:rPr>
                                  <w:color w:val="647B9A"/>
                                  <w:spacing w:val="-2"/>
                                  <w:w w:val="95"/>
                                  <w:sz w:val="14"/>
                                </w:rPr>
                                <w:t>,</w:t>
                              </w:r>
                              <w:r>
                                <w:rPr>
                                  <w:b/>
                                  <w:color w:val="7E7589"/>
                                  <w:spacing w:val="-2"/>
                                  <w:w w:val="95"/>
                                  <w:sz w:val="13"/>
                                </w:rPr>
                                <w:t>,:,_;r,:JIT"l:I</w:t>
                              </w:r>
                              <w:r>
                                <w:rPr>
                                  <w:b/>
                                  <w:color w:val="7E7589"/>
                                  <w:sz w:val="13"/>
                                </w:rPr>
                                <w:tab/>
                              </w:r>
                              <w:r>
                                <w:rPr>
                                  <w:rFonts w:ascii="Times New Roman"/>
                                  <w:b/>
                                  <w:color w:val="7E7589"/>
                                  <w:spacing w:val="-2"/>
                                  <w:w w:val="95"/>
                                  <w:sz w:val="11"/>
                                </w:rPr>
                                <w:t>r.:i'.Tnl:I</w:t>
                              </w:r>
                            </w:p>
                          </w:txbxContent>
                        </wps:txbx>
                        <wps:bodyPr wrap="square" lIns="0" tIns="0" rIns="0" bIns="0" rtlCol="0">
                          <a:noAutofit/>
                        </wps:bodyPr>
                      </wps:wsp>
                      <wps:wsp>
                        <wps:cNvPr id="202" name="Textbox 202"/>
                        <wps:cNvSpPr txBox="1"/>
                        <wps:spPr>
                          <a:xfrm>
                            <a:off x="30527" y="2459665"/>
                            <a:ext cx="2875915" cy="206375"/>
                          </a:xfrm>
                          <a:prstGeom prst="rect">
                            <a:avLst/>
                          </a:prstGeom>
                        </wps:spPr>
                        <wps:txbx>
                          <w:txbxContent>
                            <w:p>
                              <w:pPr>
                                <w:spacing w:line="168" w:lineRule="exact" w:before="0"/>
                                <w:ind w:left="1204" w:right="0" w:firstLine="0"/>
                                <w:jc w:val="left"/>
                                <w:rPr>
                                  <w:rFonts w:ascii="Times New Roman" w:hAnsi="Times New Roman"/>
                                  <w:b/>
                                  <w:sz w:val="15"/>
                                </w:rPr>
                              </w:pPr>
                              <w:r>
                                <w:rPr>
                                  <w:color w:val="BC8E8E"/>
                                  <w:w w:val="155"/>
                                  <w:sz w:val="16"/>
                                </w:rPr>
                                <w:t>L</w:t>
                              </w:r>
                              <w:r>
                                <w:rPr>
                                  <w:color w:val="9A9EA1"/>
                                  <w:w w:val="155"/>
                                  <w:sz w:val="16"/>
                                </w:rPr>
                                <w:t>L</w:t>
                              </w:r>
                              <w:r>
                                <w:rPr>
                                  <w:color w:val="7E7589"/>
                                  <w:w w:val="155"/>
                                  <w:sz w:val="16"/>
                                </w:rPr>
                                <w:t>.</w:t>
                              </w:r>
                              <w:r>
                                <w:rPr>
                                  <w:color w:val="7E7589"/>
                                  <w:spacing w:val="13"/>
                                  <w:w w:val="155"/>
                                  <w:sz w:val="16"/>
                                </w:rPr>
                                <w:t> </w:t>
                              </w:r>
                              <w:r>
                                <w:rPr>
                                  <w:color w:val="9A9EA1"/>
                                  <w:w w:val="95"/>
                                  <w:sz w:val="16"/>
                                </w:rPr>
                                <w:t>_</w:t>
                              </w:r>
                              <w:r>
                                <w:rPr>
                                  <w:color w:val="9A9EA1"/>
                                  <w:spacing w:val="47"/>
                                  <w:w w:val="115"/>
                                  <w:sz w:val="16"/>
                                </w:rPr>
                                <w:t> </w:t>
                              </w:r>
                              <w:r>
                                <w:rPr>
                                  <w:rFonts w:ascii="Times New Roman" w:hAnsi="Times New Roman"/>
                                  <w:b/>
                                  <w:color w:val="7E7589"/>
                                  <w:spacing w:val="-2"/>
                                  <w:w w:val="115"/>
                                  <w:sz w:val="15"/>
                                </w:rPr>
                                <w:t>Msióin</w:t>
                              </w:r>
                            </w:p>
                          </w:txbxContent>
                        </wps:txbx>
                        <wps:bodyPr wrap="square" lIns="0" tIns="0" rIns="0" bIns="0" rtlCol="0">
                          <a:noAutofit/>
                        </wps:bodyPr>
                      </wps:wsp>
                      <wps:wsp>
                        <wps:cNvPr id="203" name="Textbox 203"/>
                        <wps:cNvSpPr txBox="1"/>
                        <wps:spPr>
                          <a:xfrm>
                            <a:off x="3003206" y="1465280"/>
                            <a:ext cx="80010" cy="106045"/>
                          </a:xfrm>
                          <a:prstGeom prst="rect">
                            <a:avLst/>
                          </a:prstGeom>
                        </wps:spPr>
                        <wps:txbx>
                          <w:txbxContent>
                            <w:p>
                              <w:pPr>
                                <w:spacing w:line="166" w:lineRule="exact" w:before="0"/>
                                <w:ind w:left="0" w:right="0" w:firstLine="0"/>
                                <w:jc w:val="left"/>
                                <w:rPr>
                                  <w:rFonts w:ascii="Times New Roman"/>
                                  <w:b/>
                                  <w:sz w:val="15"/>
                                </w:rPr>
                              </w:pPr>
                              <w:r>
                                <w:rPr>
                                  <w:rFonts w:ascii="Times New Roman"/>
                                  <w:b/>
                                  <w:color w:val="8E8793"/>
                                  <w:spacing w:val="-10"/>
                                  <w:sz w:val="15"/>
                                </w:rPr>
                                <w:t>X</w:t>
                              </w:r>
                            </w:p>
                          </w:txbxContent>
                        </wps:txbx>
                        <wps:bodyPr wrap="square" lIns="0" tIns="0" rIns="0" bIns="0" rtlCol="0">
                          <a:noAutofit/>
                        </wps:bodyPr>
                      </wps:wsp>
                    </wpg:wgp>
                  </a:graphicData>
                </a:graphic>
              </wp:anchor>
            </w:drawing>
          </mc:Choice>
          <mc:Fallback>
            <w:pict>
              <v:group style="position:absolute;margin-left:116.342262pt;margin-top:19.493069pt;width:383.65pt;height:449.15pt;mso-position-horizontal-relative:page;mso-position-vertical-relative:paragraph;z-index:-15702016;mso-wrap-distance-left:0;mso-wrap-distance-right:0" id="docshapegroup133" coordorigin="2327,390" coordsize="7673,8983">
                <v:shape style="position:absolute;left:2346;top:389;width:7654;height:2447" type="#_x0000_t75" id="docshape134" stroked="false">
                  <v:imagedata r:id="rId90" o:title=""/>
                </v:shape>
                <v:shape style="position:absolute;left:3057;top:3023;width:2250;height:1043" type="#_x0000_t75" id="docshape135" stroked="false">
                  <v:imagedata r:id="rId91" o:title=""/>
                </v:shape>
                <v:shape style="position:absolute;left:6461;top:3028;width:712;height:193" type="#_x0000_t75" id="docshape136" stroked="false">
                  <v:imagedata r:id="rId92" o:title=""/>
                </v:shape>
                <v:shape style="position:absolute;left:5942;top:4623;width:1231;height:173" type="#_x0000_t75" id="docshape137" stroked="false">
                  <v:imagedata r:id="rId93" o:title=""/>
                </v:shape>
                <v:shape style="position:absolute;left:2711;top:5089;width:7154;height:4282" type="#_x0000_t75" id="docshape138" stroked="false">
                  <v:imagedata r:id="rId94" o:title=""/>
                </v:shape>
                <v:shape style="position:absolute;left:2360;top:1067;width:4558;height:7536" id="docshape139" coordorigin="2360,1067" coordsize="4558,7536" path="m2360,8603l2360,5104m2360,4624l2360,3528m2360,3047l2360,1067m6918,5085l6918,2682e" filled="false" stroked="true" strokeweight="1.442002pt" strokecolor="#000000">
                  <v:path arrowok="t"/>
                  <v:stroke dashstyle="solid"/>
                </v:shape>
                <v:shape style="position:absolute;left:7812;top:2682;width:563;height:5921" id="docshape140" coordorigin="7812,2682" coordsize="563,5921" path="m7812,8603l7812,2682m8375,8603l8375,2682e" filled="false" stroked="true" strokeweight=".961335pt" strokecolor="#000000">
                  <v:path arrowok="t"/>
                  <v:stroke dashstyle="solid"/>
                </v:shape>
                <v:line style="position:absolute" from="9980,8603" to="9980,779" stroked="true" strokeweight="1.201883pt" strokecolor="#000000">
                  <v:stroke dashstyle="solid"/>
                </v:line>
                <v:shape style="position:absolute;left:2326;top:2672;width:7673;height:2" id="docshape141" coordorigin="2327,2673" coordsize="7673,0" path="m2327,2673l3061,2673m3186,2673l10000,2673e" filled="false" stroked="true" strokeweight=".961164pt" strokecolor="#000000">
                  <v:path arrowok="t"/>
                  <v:stroke dashstyle="solid"/>
                </v:shape>
                <v:line style="position:absolute" from="2327,3019" to="3058,3019" stroked="true" strokeweight=".961164pt" strokecolor="#000000">
                  <v:stroke dashstyle="solid"/>
                </v:line>
                <v:line style="position:absolute" from="2327,3542" to="3058,3542" stroked="true" strokeweight="1.201454pt" strokecolor="#000000">
                  <v:stroke dashstyle="solid"/>
                </v:line>
                <v:shape style="position:absolute;left:2326;top:3888;width:7673;height:366" id="docshape142" coordorigin="2327,3888" coordsize="7673,366" path="m2327,3888l3058,3888m2327,4254l10000,4254e" filled="false" stroked="true" strokeweight=".961335pt" strokecolor="#000000">
                  <v:path arrowok="t"/>
                  <v:stroke dashstyle="solid"/>
                </v:shape>
                <v:line style="position:absolute" from="2327,4600" to="10000,4600" stroked="true" strokeweight="1.201454pt" strokecolor="#000000">
                  <v:stroke dashstyle="solid"/>
                </v:line>
                <v:line style="position:absolute" from="2327,5124" to="3577,5124" stroked="true" strokeweight=".961164pt" strokecolor="#000000">
                  <v:stroke dashstyle="solid"/>
                </v:line>
                <v:line style="position:absolute" from="2327,5465" to="3577,5465" stroked="true" strokeweight="1.201454pt" strokecolor="#000000">
                  <v:stroke dashstyle="solid"/>
                </v:line>
                <v:rect style="position:absolute;left:3727;top:4559;width:44;height:236" id="docshape143" filled="true" fillcolor="#eff2eb" stroked="false">
                  <v:fill type="solid"/>
                </v:rect>
                <v:line style="position:absolute" from="3596,4772" to="3727,4772" stroked="true" strokeweight=".340533pt" strokecolor="#6d3e96">
                  <v:stroke dashstyle="solid"/>
                </v:line>
                <v:rect style="position:absolute;left:4108;top:8777;width:39;height:216" id="docshape144" filled="true" fillcolor="#dae1d8" stroked="false">
                  <v:fill type="solid"/>
                </v:rect>
                <v:shape style="position:absolute;left:3060;top:2674;width:3050;height:1076" type="#_x0000_t202" id="docshape145" filled="false" stroked="false">
                  <v:textbox inset="0,0,0,0">
                    <w:txbxContent>
                      <w:p>
                        <w:pPr>
                          <w:spacing w:line="188" w:lineRule="exact" w:before="0"/>
                          <w:ind w:left="0" w:right="0" w:firstLine="0"/>
                          <w:jc w:val="left"/>
                          <w:rPr>
                            <w:rFonts w:ascii="Times New Roman"/>
                            <w:b/>
                            <w:sz w:val="17"/>
                          </w:rPr>
                        </w:pPr>
                        <w:r>
                          <w:rPr>
                            <w:rFonts w:ascii="Times New Roman"/>
                            <w:b/>
                            <w:color w:val="BDC1B3"/>
                            <w:w w:val="105"/>
                            <w:sz w:val="17"/>
                            <w:shd w:fill="EFF2EB" w:color="auto" w:val="clear"/>
                          </w:rPr>
                          <w:t>1_</w:t>
                        </w:r>
                        <w:r>
                          <w:rPr>
                            <w:rFonts w:ascii="Times New Roman"/>
                            <w:color w:val="8E93C6"/>
                            <w:w w:val="105"/>
                            <w:sz w:val="14"/>
                          </w:rPr>
                          <w:t>1.</w:t>
                        </w:r>
                        <w:r>
                          <w:rPr>
                            <w:rFonts w:ascii="Times New Roman"/>
                            <w:color w:val="646272"/>
                            <w:w w:val="105"/>
                            <w:sz w:val="14"/>
                          </w:rPr>
                          <w:t>3</w:t>
                        </w:r>
                        <w:r>
                          <w:rPr>
                            <w:rFonts w:ascii="Times New Roman"/>
                            <w:color w:val="BC8E8E"/>
                            <w:w w:val="105"/>
                            <w:sz w:val="14"/>
                          </w:rPr>
                          <w:t>.</w:t>
                        </w:r>
                        <w:r>
                          <w:rPr>
                            <w:rFonts w:ascii="Times New Roman"/>
                            <w:color w:val="BC8E8E"/>
                            <w:spacing w:val="9"/>
                            <w:w w:val="105"/>
                            <w:sz w:val="14"/>
                          </w:rPr>
                          <w:t> </w:t>
                        </w:r>
                        <w:r>
                          <w:rPr>
                            <w:rFonts w:ascii="Times New Roman"/>
                            <w:color w:val="9A9EA1"/>
                            <w:spacing w:val="-2"/>
                            <w:w w:val="105"/>
                            <w:sz w:val="17"/>
                          </w:rPr>
                          <w:t>1Est</w:t>
                        </w:r>
                        <w:r>
                          <w:rPr>
                            <w:rFonts w:ascii="Times New Roman"/>
                            <w:color w:val="7E7589"/>
                            <w:spacing w:val="-2"/>
                            <w:w w:val="105"/>
                            <w:sz w:val="17"/>
                          </w:rPr>
                          <w:t>ruclura</w:t>
                        </w:r>
                        <w:r>
                          <w:rPr>
                            <w:rFonts w:ascii="Times New Roman"/>
                            <w:color w:val="90C8EB"/>
                            <w:spacing w:val="-2"/>
                            <w:w w:val="105"/>
                            <w:sz w:val="17"/>
                          </w:rPr>
                          <w:t>1</w:t>
                        </w:r>
                        <w:r>
                          <w:rPr>
                            <w:rFonts w:ascii="Times New Roman"/>
                            <w:b/>
                            <w:color w:val="7E7589"/>
                            <w:spacing w:val="-2"/>
                            <w:w w:val="105"/>
                            <w:sz w:val="17"/>
                          </w:rPr>
                          <w:t>argo</w:t>
                        </w:r>
                      </w:p>
                      <w:p>
                        <w:pPr>
                          <w:tabs>
                            <w:tab w:pos="2885" w:val="left" w:leader="none"/>
                          </w:tabs>
                          <w:spacing w:before="155"/>
                          <w:ind w:left="1524" w:right="0" w:firstLine="0"/>
                          <w:jc w:val="left"/>
                          <w:rPr>
                            <w:rFonts w:ascii="Times New Roman"/>
                            <w:sz w:val="17"/>
                          </w:rPr>
                        </w:pPr>
                        <w:r>
                          <w:rPr>
                            <w:color w:val="7E7589"/>
                            <w:w w:val="90"/>
                            <w:sz w:val="16"/>
                          </w:rPr>
                          <w:t>p-og1i::Jm6</w:t>
                        </w:r>
                        <w:r>
                          <w:rPr>
                            <w:color w:val="7E7589"/>
                            <w:spacing w:val="48"/>
                            <w:sz w:val="16"/>
                          </w:rPr>
                          <w:t> </w:t>
                        </w:r>
                        <w:r>
                          <w:rPr>
                            <w:color w:val="7E7589"/>
                            <w:spacing w:val="-5"/>
                            <w:w w:val="90"/>
                            <w:sz w:val="15"/>
                          </w:rPr>
                          <w:t>oc</w:t>
                        </w:r>
                        <w:r>
                          <w:rPr>
                            <w:color w:val="7E7589"/>
                            <w:sz w:val="15"/>
                          </w:rPr>
                          <w:tab/>
                        </w:r>
                        <w:r>
                          <w:rPr>
                            <w:rFonts w:ascii="Times New Roman"/>
                            <w:color w:val="7E7589"/>
                            <w:spacing w:val="-5"/>
                            <w:w w:val="95"/>
                            <w:sz w:val="17"/>
                          </w:rPr>
                          <w:t>de</w:t>
                        </w:r>
                      </w:p>
                      <w:p>
                        <w:pPr>
                          <w:spacing w:line="240" w:lineRule="auto" w:before="0"/>
                          <w:rPr>
                            <w:rFonts w:ascii="Times New Roman"/>
                            <w:sz w:val="16"/>
                          </w:rPr>
                        </w:pPr>
                      </w:p>
                      <w:p>
                        <w:pPr>
                          <w:spacing w:line="240" w:lineRule="auto" w:before="7"/>
                          <w:rPr>
                            <w:rFonts w:ascii="Times New Roman"/>
                            <w:sz w:val="16"/>
                          </w:rPr>
                        </w:pPr>
                      </w:p>
                      <w:p>
                        <w:pPr>
                          <w:spacing w:before="0"/>
                          <w:ind w:left="0" w:right="212" w:firstLine="0"/>
                          <w:jc w:val="right"/>
                          <w:rPr>
                            <w:sz w:val="14"/>
                          </w:rPr>
                        </w:pPr>
                        <w:r>
                          <w:rPr>
                            <w:color w:val="7E7589"/>
                            <w:sz w:val="14"/>
                          </w:rPr>
                          <w:t>ucan-</w:t>
                        </w:r>
                        <w:r>
                          <w:rPr>
                            <w:color w:val="7E7589"/>
                            <w:spacing w:val="-2"/>
                            <w:sz w:val="14"/>
                          </w:rPr>
                          <w:t>:::i</w:t>
                        </w:r>
                        <w:r>
                          <w:rPr>
                            <w:color w:val="728CC4"/>
                            <w:spacing w:val="-2"/>
                            <w:sz w:val="14"/>
                          </w:rPr>
                          <w:t>l</w:t>
                        </w:r>
                      </w:p>
                    </w:txbxContent>
                  </v:textbox>
                  <w10:wrap type="none"/>
                </v:shape>
                <v:shape style="position:absolute;left:3573;top:4587;width:1722;height:386" type="#_x0000_t202" id="docshape146" filled="false" stroked="false">
                  <v:textbox inset="0,0,0,0">
                    <w:txbxContent>
                      <w:p>
                        <w:pPr>
                          <w:spacing w:line="188" w:lineRule="exact" w:before="0"/>
                          <w:ind w:left="0" w:right="0" w:firstLine="0"/>
                          <w:jc w:val="left"/>
                          <w:rPr>
                            <w:rFonts w:ascii="Times New Roman" w:hAnsi="Times New Roman" w:cs="Times New Roman" w:eastAsia="Times New Roman"/>
                            <w:sz w:val="16"/>
                            <w:szCs w:val="16"/>
                          </w:rPr>
                        </w:pPr>
                        <w:r>
                          <w:rPr>
                            <w:color w:val="BC8E8E"/>
                            <w:sz w:val="16"/>
                            <w:szCs w:val="16"/>
                          </w:rPr>
                          <w:t>1</w:t>
                        </w:r>
                        <w:r>
                          <w:rPr>
                            <w:color w:val="BC8E8E"/>
                            <w:spacing w:val="41"/>
                            <w:sz w:val="16"/>
                            <w:szCs w:val="16"/>
                          </w:rPr>
                          <w:t> </w:t>
                        </w:r>
                        <w:r>
                          <w:rPr>
                            <w:rFonts w:ascii="Times New Roman" w:hAnsi="Times New Roman" w:cs="Times New Roman" w:eastAsia="Times New Roman"/>
                            <w:b/>
                            <w:bCs/>
                            <w:color w:val="BDC1B3"/>
                            <w:sz w:val="17"/>
                            <w:szCs w:val="17"/>
                          </w:rPr>
                          <w:t>1</w:t>
                        </w:r>
                        <w:r>
                          <w:rPr>
                            <w:rFonts w:ascii="Times New Roman" w:hAnsi="Times New Roman" w:cs="Times New Roman" w:eastAsia="Times New Roman"/>
                            <w:color w:val="7E7589"/>
                            <w:sz w:val="17"/>
                            <w:szCs w:val="17"/>
                          </w:rPr>
                          <w:t>_</w:t>
                        </w:r>
                        <w:r>
                          <w:rPr>
                            <w:color w:val="BC8E8E"/>
                            <w:sz w:val="16"/>
                            <w:szCs w:val="16"/>
                          </w:rPr>
                          <w:t>:</w:t>
                        </w:r>
                        <w:r>
                          <w:rPr>
                            <w:color w:val="8E8793"/>
                            <w:sz w:val="16"/>
                            <w:szCs w:val="16"/>
                          </w:rPr>
                          <w:t>3�</w:t>
                        </w:r>
                        <w:r>
                          <w:rPr>
                            <w:color w:val="8E8793"/>
                            <w:spacing w:val="12"/>
                            <w:sz w:val="16"/>
                            <w:szCs w:val="16"/>
                          </w:rPr>
                          <w:t> </w:t>
                        </w:r>
                        <w:r>
                          <w:rPr>
                            <w:rFonts w:ascii="Times New Roman" w:hAnsi="Times New Roman" w:cs="Times New Roman" w:eastAsia="Times New Roman"/>
                            <w:color w:val="8E8793"/>
                            <w:sz w:val="17"/>
                            <w:szCs w:val="17"/>
                          </w:rPr>
                          <w:t>Otjo</w:t>
                        </w:r>
                        <w:r>
                          <w:rPr>
                            <w:rFonts w:ascii="Times New Roman" w:hAnsi="Times New Roman" w:cs="Times New Roman" w:eastAsia="Times New Roman"/>
                            <w:color w:val="7E7589"/>
                            <w:sz w:val="16"/>
                            <w:szCs w:val="16"/>
                          </w:rPr>
                          <w:t>liv-</w:t>
                        </w:r>
                        <w:r>
                          <w:rPr>
                            <w:rFonts w:ascii="Times New Roman" w:hAnsi="Times New Roman" w:cs="Times New Roman" w:eastAsia="Times New Roman"/>
                            <w:color w:val="7E7589"/>
                            <w:spacing w:val="-5"/>
                            <w:sz w:val="16"/>
                            <w:szCs w:val="16"/>
                          </w:rPr>
                          <w:t>0.s</w:t>
                        </w:r>
                      </w:p>
                      <w:p>
                        <w:pPr>
                          <w:spacing w:before="1"/>
                          <w:ind w:left="599" w:right="0" w:firstLine="0"/>
                          <w:jc w:val="left"/>
                          <w:rPr>
                            <w:rFonts w:ascii="Times New Roman" w:hAnsi="Times New Roman" w:cs="Times New Roman" w:eastAsia="Times New Roman"/>
                            <w:sz w:val="17"/>
                            <w:szCs w:val="17"/>
                          </w:rPr>
                        </w:pPr>
                        <w:r>
                          <w:rPr>
                            <w:rFonts w:ascii="Times New Roman" w:hAnsi="Times New Roman" w:cs="Times New Roman" w:eastAsia="Times New Roman"/>
                            <w:color w:val="9A9EA1"/>
                            <w:spacing w:val="-5"/>
                            <w:w w:val="115"/>
                            <w:sz w:val="17"/>
                            <w:szCs w:val="17"/>
                          </w:rPr>
                          <w:t>�</w:t>
                        </w:r>
                        <w:r>
                          <w:rPr>
                            <w:rFonts w:ascii="Times New Roman" w:hAnsi="Times New Roman" w:cs="Times New Roman" w:eastAsia="Times New Roman"/>
                            <w:color w:val="7E7589"/>
                            <w:spacing w:val="-5"/>
                            <w:w w:val="115"/>
                            <w:sz w:val="17"/>
                            <w:szCs w:val="17"/>
                          </w:rPr>
                          <w:t>H</w:t>
                        </w:r>
                        <w:r>
                          <w:rPr>
                            <w:color w:val="8E8793"/>
                            <w:spacing w:val="-5"/>
                            <w:w w:val="115"/>
                            <w:sz w:val="16"/>
                            <w:szCs w:val="16"/>
                          </w:rPr>
                          <w:t>ludono</w:t>
                        </w:r>
                        <w:r>
                          <w:rPr>
                            <w:rFonts w:ascii="Times New Roman" w:hAnsi="Times New Roman" w:cs="Times New Roman" w:eastAsia="Times New Roman"/>
                            <w:color w:val="7E7589"/>
                            <w:spacing w:val="-5"/>
                            <w:w w:val="115"/>
                            <w:sz w:val="17"/>
                            <w:szCs w:val="17"/>
                          </w:rPr>
                          <w:t>les.</w:t>
                        </w:r>
                      </w:p>
                    </w:txbxContent>
                  </v:textbox>
                  <w10:wrap type="none"/>
                </v:shape>
                <v:shape style="position:absolute;left:3128;top:8801;width:1057;height:178" type="#_x0000_t202" id="docshape147" filled="false" stroked="false">
                  <v:textbox inset="0,0,0,0">
                    <w:txbxContent>
                      <w:p>
                        <w:pPr>
                          <w:spacing w:line="177" w:lineRule="exact" w:before="0"/>
                          <w:ind w:left="0" w:right="0" w:firstLine="0"/>
                          <w:jc w:val="left"/>
                          <w:rPr>
                            <w:rFonts w:ascii="Times New Roman"/>
                            <w:sz w:val="16"/>
                          </w:rPr>
                        </w:pPr>
                        <w:r>
                          <w:rPr>
                            <w:color w:val="7E7589"/>
                            <w:sz w:val="14"/>
                          </w:rPr>
                          <w:t>00c:mto</w:t>
                        </w:r>
                        <w:r>
                          <w:rPr>
                            <w:color w:val="7E7589"/>
                            <w:spacing w:val="-1"/>
                            <w:sz w:val="14"/>
                          </w:rPr>
                          <w:t> </w:t>
                        </w:r>
                        <w:r>
                          <w:rPr>
                            <w:rFonts w:ascii="Times New Roman"/>
                            <w:color w:val="7E7589"/>
                            <w:sz w:val="16"/>
                          </w:rPr>
                          <w:t>Epo::</w:t>
                        </w:r>
                        <w:r>
                          <w:rPr>
                            <w:rFonts w:ascii="Times New Roman"/>
                            <w:color w:val="7E7589"/>
                            <w:spacing w:val="45"/>
                            <w:sz w:val="16"/>
                          </w:rPr>
                          <w:t> </w:t>
                        </w:r>
                        <w:r>
                          <w:rPr>
                            <w:rFonts w:ascii="Times New Roman"/>
                            <w:color w:val="BDC1B3"/>
                            <w:spacing w:val="-10"/>
                            <w:sz w:val="16"/>
                          </w:rPr>
                          <w:t>-</w:t>
                        </w:r>
                      </w:p>
                    </w:txbxContent>
                  </v:textbox>
                  <w10:wrap type="none"/>
                </v:shape>
                <v:shape style="position:absolute;left:5162;top:9038;width:2310;height:157" type="#_x0000_t202" id="docshape148" filled="false" stroked="false">
                  <v:textbox inset="0,0,0,0">
                    <w:txbxContent>
                      <w:p>
                        <w:pPr>
                          <w:numPr>
                            <w:ilvl w:val="0"/>
                            <w:numId w:val="43"/>
                          </w:numPr>
                          <w:tabs>
                            <w:tab w:pos="52" w:val="left" w:leader="none"/>
                            <w:tab w:pos="1847" w:val="left" w:leader="none"/>
                          </w:tabs>
                          <w:spacing w:line="157" w:lineRule="exact" w:before="0"/>
                          <w:ind w:left="52" w:right="0" w:hanging="52"/>
                          <w:jc w:val="left"/>
                          <w:rPr>
                            <w:rFonts w:ascii="Times New Roman"/>
                            <w:b/>
                            <w:sz w:val="11"/>
                          </w:rPr>
                        </w:pPr>
                        <w:r>
                          <w:rPr>
                            <w:color w:val="7E7589"/>
                            <w:w w:val="95"/>
                            <w:sz w:val="10"/>
                          </w:rPr>
                          <w:t>CI</w:t>
                        </w:r>
                        <w:r>
                          <w:rPr>
                            <w:color w:val="7E7589"/>
                            <w:spacing w:val="62"/>
                            <w:sz w:val="10"/>
                          </w:rPr>
                          <w:t> </w:t>
                        </w:r>
                        <w:r>
                          <w:rPr>
                            <w:color w:val="8E8793"/>
                            <w:sz w:val="11"/>
                          </w:rPr>
                          <w:t>c_-ot,o</w:t>
                        </w:r>
                        <w:r>
                          <w:rPr>
                            <w:b/>
                            <w:color w:val="7E7589"/>
                            <w:sz w:val="14"/>
                          </w:rPr>
                          <w:t>pa</w:t>
                        </w:r>
                        <w:r>
                          <w:rPr>
                            <w:b/>
                            <w:color w:val="7E7589"/>
                            <w:spacing w:val="47"/>
                            <w:sz w:val="14"/>
                          </w:rPr>
                          <w:t>  </w:t>
                        </w:r>
                        <w:r>
                          <w:rPr>
                            <w:color w:val="DDA56D"/>
                            <w:spacing w:val="-2"/>
                            <w:w w:val="95"/>
                            <w:sz w:val="14"/>
                          </w:rPr>
                          <w:t>,</w:t>
                        </w:r>
                        <w:r>
                          <w:rPr>
                            <w:color w:val="647B9A"/>
                            <w:spacing w:val="-2"/>
                            <w:w w:val="95"/>
                            <w:sz w:val="14"/>
                          </w:rPr>
                          <w:t>,</w:t>
                        </w:r>
                        <w:r>
                          <w:rPr>
                            <w:b/>
                            <w:color w:val="7E7589"/>
                            <w:spacing w:val="-2"/>
                            <w:w w:val="95"/>
                            <w:sz w:val="13"/>
                          </w:rPr>
                          <w:t>,:,_;r,:JIT"l:I</w:t>
                        </w:r>
                        <w:r>
                          <w:rPr>
                            <w:b/>
                            <w:color w:val="7E7589"/>
                            <w:sz w:val="13"/>
                          </w:rPr>
                          <w:tab/>
                        </w:r>
                        <w:r>
                          <w:rPr>
                            <w:rFonts w:ascii="Times New Roman"/>
                            <w:b/>
                            <w:color w:val="7E7589"/>
                            <w:spacing w:val="-2"/>
                            <w:w w:val="95"/>
                            <w:sz w:val="11"/>
                          </w:rPr>
                          <w:t>r.:i'.Tnl:I</w:t>
                        </w:r>
                      </w:p>
                    </w:txbxContent>
                  </v:textbox>
                  <w10:wrap type="none"/>
                </v:shape>
                <v:shape style="position:absolute;left:2374;top:4263;width:4529;height:325" type="#_x0000_t202" id="docshape149" filled="false" stroked="false">
                  <v:textbox inset="0,0,0,0">
                    <w:txbxContent>
                      <w:p>
                        <w:pPr>
                          <w:spacing w:line="168" w:lineRule="exact" w:before="0"/>
                          <w:ind w:left="1204" w:right="0" w:firstLine="0"/>
                          <w:jc w:val="left"/>
                          <w:rPr>
                            <w:rFonts w:ascii="Times New Roman" w:hAnsi="Times New Roman"/>
                            <w:b/>
                            <w:sz w:val="15"/>
                          </w:rPr>
                        </w:pPr>
                        <w:r>
                          <w:rPr>
                            <w:color w:val="BC8E8E"/>
                            <w:w w:val="155"/>
                            <w:sz w:val="16"/>
                          </w:rPr>
                          <w:t>L</w:t>
                        </w:r>
                        <w:r>
                          <w:rPr>
                            <w:color w:val="9A9EA1"/>
                            <w:w w:val="155"/>
                            <w:sz w:val="16"/>
                          </w:rPr>
                          <w:t>L</w:t>
                        </w:r>
                        <w:r>
                          <w:rPr>
                            <w:color w:val="7E7589"/>
                            <w:w w:val="155"/>
                            <w:sz w:val="16"/>
                          </w:rPr>
                          <w:t>.</w:t>
                        </w:r>
                        <w:r>
                          <w:rPr>
                            <w:color w:val="7E7589"/>
                            <w:spacing w:val="13"/>
                            <w:w w:val="155"/>
                            <w:sz w:val="16"/>
                          </w:rPr>
                          <w:t> </w:t>
                        </w:r>
                        <w:r>
                          <w:rPr>
                            <w:color w:val="9A9EA1"/>
                            <w:w w:val="95"/>
                            <w:sz w:val="16"/>
                          </w:rPr>
                          <w:t>_</w:t>
                        </w:r>
                        <w:r>
                          <w:rPr>
                            <w:color w:val="9A9EA1"/>
                            <w:spacing w:val="47"/>
                            <w:w w:val="115"/>
                            <w:sz w:val="16"/>
                          </w:rPr>
                          <w:t> </w:t>
                        </w:r>
                        <w:r>
                          <w:rPr>
                            <w:rFonts w:ascii="Times New Roman" w:hAnsi="Times New Roman"/>
                            <w:b/>
                            <w:color w:val="7E7589"/>
                            <w:spacing w:val="-2"/>
                            <w:w w:val="115"/>
                            <w:sz w:val="15"/>
                          </w:rPr>
                          <w:t>Msióin</w:t>
                        </w:r>
                      </w:p>
                    </w:txbxContent>
                  </v:textbox>
                  <w10:wrap type="none"/>
                </v:shape>
                <v:shape style="position:absolute;left:7056;top:2697;width:126;height:167" type="#_x0000_t202" id="docshape150" filled="false" stroked="false">
                  <v:textbox inset="0,0,0,0">
                    <w:txbxContent>
                      <w:p>
                        <w:pPr>
                          <w:spacing w:line="166" w:lineRule="exact" w:before="0"/>
                          <w:ind w:left="0" w:right="0" w:firstLine="0"/>
                          <w:jc w:val="left"/>
                          <w:rPr>
                            <w:rFonts w:ascii="Times New Roman"/>
                            <w:b/>
                            <w:sz w:val="15"/>
                          </w:rPr>
                        </w:pPr>
                        <w:r>
                          <w:rPr>
                            <w:rFonts w:ascii="Times New Roman"/>
                            <w:b/>
                            <w:color w:val="8E8793"/>
                            <w:spacing w:val="-10"/>
                            <w:sz w:val="15"/>
                          </w:rPr>
                          <w:t>X</w:t>
                        </w:r>
                      </w:p>
                    </w:txbxContent>
                  </v:textbox>
                  <w10:wrap type="none"/>
                </v:shape>
                <w10:wrap type="topAndBottom"/>
              </v:group>
            </w:pict>
          </mc:Fallback>
        </mc:AlternateContent>
      </w:r>
      <w:r>
        <w:rPr>
          <w:b/>
          <w:sz w:val="20"/>
        </w:rPr>
        <w:drawing>
          <wp:anchor distT="0" distB="0" distL="0" distR="0" allowOverlap="1" layoutInCell="1" locked="0" behindDoc="1" simplePos="0" relativeHeight="487614976">
            <wp:simplePos x="0" y="0"/>
            <wp:positionH relativeFrom="page">
              <wp:posOffset>5653750</wp:posOffset>
            </wp:positionH>
            <wp:positionV relativeFrom="paragraph">
              <wp:posOffset>6173952</wp:posOffset>
            </wp:positionV>
            <wp:extent cx="609816" cy="106680"/>
            <wp:effectExtent l="0" t="0" r="0" b="0"/>
            <wp:wrapTopAndBottom/>
            <wp:docPr id="204" name="Image 204"/>
            <wp:cNvGraphicFramePr>
              <a:graphicFrameLocks/>
            </wp:cNvGraphicFramePr>
            <a:graphic>
              <a:graphicData uri="http://schemas.openxmlformats.org/drawingml/2006/picture">
                <pic:pic>
                  <pic:nvPicPr>
                    <pic:cNvPr id="204" name="Image 204"/>
                    <pic:cNvPicPr/>
                  </pic:nvPicPr>
                  <pic:blipFill>
                    <a:blip r:embed="rId95" cstate="print"/>
                    <a:stretch>
                      <a:fillRect/>
                    </a:stretch>
                  </pic:blipFill>
                  <pic:spPr>
                    <a:xfrm>
                      <a:off x="0" y="0"/>
                      <a:ext cx="609816" cy="106680"/>
                    </a:xfrm>
                    <a:prstGeom prst="rect">
                      <a:avLst/>
                    </a:prstGeom>
                  </pic:spPr>
                </pic:pic>
              </a:graphicData>
            </a:graphic>
          </wp:anchor>
        </w:drawing>
      </w:r>
      <w:r>
        <w:rPr>
          <w:b/>
          <w:sz w:val="20"/>
        </w:rPr>
        <mc:AlternateContent>
          <mc:Choice Requires="wps">
            <w:drawing>
              <wp:anchor distT="0" distB="0" distL="0" distR="0" allowOverlap="1" layoutInCell="1" locked="0" behindDoc="1" simplePos="0" relativeHeight="487615488">
                <wp:simplePos x="0" y="0"/>
                <wp:positionH relativeFrom="page">
                  <wp:posOffset>1025734</wp:posOffset>
                </wp:positionH>
                <wp:positionV relativeFrom="paragraph">
                  <wp:posOffset>6552362</wp:posOffset>
                </wp:positionV>
                <wp:extent cx="1294765" cy="1270"/>
                <wp:effectExtent l="0" t="0" r="0" b="0"/>
                <wp:wrapTopAndBottom/>
                <wp:docPr id="205" name="Graphic 205"/>
                <wp:cNvGraphicFramePr>
                  <a:graphicFrameLocks/>
                </wp:cNvGraphicFramePr>
                <a:graphic>
                  <a:graphicData uri="http://schemas.microsoft.com/office/word/2010/wordprocessingShape">
                    <wps:wsp>
                      <wps:cNvPr id="205" name="Graphic 205"/>
                      <wps:cNvSpPr/>
                      <wps:spPr>
                        <a:xfrm>
                          <a:off x="0" y="0"/>
                          <a:ext cx="1294765" cy="1270"/>
                        </a:xfrm>
                        <a:custGeom>
                          <a:avLst/>
                          <a:gdLst/>
                          <a:ahLst/>
                          <a:cxnLst/>
                          <a:rect l="l" t="t" r="r" b="b"/>
                          <a:pathLst>
                            <a:path w="1294765" h="0">
                              <a:moveTo>
                                <a:pt x="0" y="0"/>
                              </a:moveTo>
                              <a:lnTo>
                                <a:pt x="1294379"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0.766525pt;margin-top:515.934021pt;width:101.95pt;height:.1pt;mso-position-horizontal-relative:page;mso-position-vertical-relative:paragraph;z-index:-15700992;mso-wrap-distance-left:0;mso-wrap-distance-right:0" id="docshape151" coordorigin="1615,10319" coordsize="2039,0" path="m1615,10319l3654,10319e" filled="false" stroked="true" strokeweight=".480582pt" strokecolor="#000000">
                <v:path arrowok="t"/>
                <v:stroke dashstyle="solid"/>
                <w10:wrap type="topAndBottom"/>
              </v:shape>
            </w:pict>
          </mc:Fallback>
        </mc:AlternateContent>
      </w:r>
      <w:r>
        <w:rPr>
          <w:b/>
          <w:sz w:val="20"/>
        </w:rPr>
        <mc:AlternateContent>
          <mc:Choice Requires="wps">
            <w:drawing>
              <wp:anchor distT="0" distB="0" distL="0" distR="0" allowOverlap="1" layoutInCell="1" locked="0" behindDoc="1" simplePos="0" relativeHeight="487616000">
                <wp:simplePos x="0" y="0"/>
                <wp:positionH relativeFrom="page">
                  <wp:posOffset>5311841</wp:posOffset>
                </wp:positionH>
                <wp:positionV relativeFrom="paragraph">
                  <wp:posOffset>6552362</wp:posOffset>
                </wp:positionV>
                <wp:extent cx="916305" cy="1270"/>
                <wp:effectExtent l="0" t="0" r="0" b="0"/>
                <wp:wrapTopAndBottom/>
                <wp:docPr id="206" name="Graphic 206"/>
                <wp:cNvGraphicFramePr>
                  <a:graphicFrameLocks/>
                </wp:cNvGraphicFramePr>
                <a:graphic>
                  <a:graphicData uri="http://schemas.microsoft.com/office/word/2010/wordprocessingShape">
                    <wps:wsp>
                      <wps:cNvPr id="206" name="Graphic 206"/>
                      <wps:cNvSpPr/>
                      <wps:spPr>
                        <a:xfrm>
                          <a:off x="0" y="0"/>
                          <a:ext cx="916305" cy="1270"/>
                        </a:xfrm>
                        <a:custGeom>
                          <a:avLst/>
                          <a:gdLst/>
                          <a:ahLst/>
                          <a:cxnLst/>
                          <a:rect l="l" t="t" r="r" b="b"/>
                          <a:pathLst>
                            <a:path w="916305" h="0">
                              <a:moveTo>
                                <a:pt x="0" y="0"/>
                              </a:moveTo>
                              <a:lnTo>
                                <a:pt x="915834" y="0"/>
                              </a:lnTo>
                            </a:path>
                          </a:pathLst>
                        </a:custGeom>
                        <a:ln w="1220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18.255219pt;margin-top:515.934021pt;width:72.150pt;height:.1pt;mso-position-horizontal-relative:page;mso-position-vertical-relative:paragraph;z-index:-15700480;mso-wrap-distance-left:0;mso-wrap-distance-right:0" id="docshape152" coordorigin="8365,10319" coordsize="1443,0" path="m8365,10319l9807,10319e" filled="false" stroked="true" strokeweight=".961164pt" strokecolor="#000000">
                <v:path arrowok="t"/>
                <v:stroke dashstyle="solid"/>
                <w10:wrap type="topAndBottom"/>
              </v:shape>
            </w:pict>
          </mc:Fallback>
        </mc:AlternateContent>
      </w:r>
      <w:r>
        <w:rPr>
          <w:b/>
          <w:sz w:val="20"/>
        </w:rPr>
        <mc:AlternateContent>
          <mc:Choice Requires="wps">
            <w:drawing>
              <wp:anchor distT="0" distB="0" distL="0" distR="0" allowOverlap="1" layoutInCell="1" locked="0" behindDoc="1" simplePos="0" relativeHeight="487616512">
                <wp:simplePos x="0" y="0"/>
                <wp:positionH relativeFrom="page">
                  <wp:posOffset>6459687</wp:posOffset>
                </wp:positionH>
                <wp:positionV relativeFrom="paragraph">
                  <wp:posOffset>6518793</wp:posOffset>
                </wp:positionV>
                <wp:extent cx="635000" cy="1270"/>
                <wp:effectExtent l="0" t="0" r="0" b="0"/>
                <wp:wrapTopAndBottom/>
                <wp:docPr id="207" name="Graphic 207"/>
                <wp:cNvGraphicFramePr>
                  <a:graphicFrameLocks/>
                </wp:cNvGraphicFramePr>
                <a:graphic>
                  <a:graphicData uri="http://schemas.microsoft.com/office/word/2010/wordprocessingShape">
                    <wps:wsp>
                      <wps:cNvPr id="207" name="Graphic 207"/>
                      <wps:cNvSpPr/>
                      <wps:spPr>
                        <a:xfrm>
                          <a:off x="0" y="0"/>
                          <a:ext cx="635000" cy="1270"/>
                        </a:xfrm>
                        <a:custGeom>
                          <a:avLst/>
                          <a:gdLst/>
                          <a:ahLst/>
                          <a:cxnLst/>
                          <a:rect l="l" t="t" r="r" b="b"/>
                          <a:pathLst>
                            <a:path w="635000" h="0">
                              <a:moveTo>
                                <a:pt x="0" y="0"/>
                              </a:moveTo>
                              <a:lnTo>
                                <a:pt x="634978" y="0"/>
                              </a:lnTo>
                            </a:path>
                          </a:pathLst>
                        </a:custGeom>
                        <a:ln w="6713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08.63681pt;margin-top:513.290833pt;width:50pt;height:.1pt;mso-position-horizontal-relative:page;mso-position-vertical-relative:paragraph;z-index:-15699968;mso-wrap-distance-left:0;mso-wrap-distance-right:0" id="docshape153" coordorigin="10173,10266" coordsize="1000,0" path="m10173,10266l11173,10266e" filled="false" stroked="true" strokeweight="5.286399pt" strokecolor="#000000">
                <v:path arrowok="t"/>
                <v:stroke dashstyle="solid"/>
                <w10:wrap type="topAndBottom"/>
              </v:shape>
            </w:pict>
          </mc:Fallback>
        </mc:AlternateContent>
      </w:r>
      <w:r>
        <w:rPr>
          <w:b/>
          <w:sz w:val="20"/>
        </w:rPr>
        <mc:AlternateContent>
          <mc:Choice Requires="wps">
            <w:drawing>
              <wp:anchor distT="0" distB="0" distL="0" distR="0" allowOverlap="1" layoutInCell="1" locked="0" behindDoc="1" simplePos="0" relativeHeight="487617024">
                <wp:simplePos x="0" y="0"/>
                <wp:positionH relativeFrom="page">
                  <wp:posOffset>995206</wp:posOffset>
                </wp:positionH>
                <wp:positionV relativeFrom="paragraph">
                  <wp:posOffset>6610215</wp:posOffset>
                </wp:positionV>
                <wp:extent cx="5709285" cy="1099185"/>
                <wp:effectExtent l="0" t="0" r="0" b="0"/>
                <wp:wrapTopAndBottom/>
                <wp:docPr id="208" name="Group 208"/>
                <wp:cNvGraphicFramePr>
                  <a:graphicFrameLocks/>
                </wp:cNvGraphicFramePr>
                <a:graphic>
                  <a:graphicData uri="http://schemas.microsoft.com/office/word/2010/wordprocessingGroup">
                    <wpg:wgp>
                      <wpg:cNvPr id="208" name="Group 208"/>
                      <wpg:cNvGrpSpPr/>
                      <wpg:grpSpPr>
                        <a:xfrm>
                          <a:off x="0" y="0"/>
                          <a:ext cx="5709285" cy="1099185"/>
                          <a:chExt cx="5709285" cy="1099185"/>
                        </a:xfrm>
                      </wpg:grpSpPr>
                      <pic:pic>
                        <pic:nvPicPr>
                          <pic:cNvPr id="209" name="Image 209"/>
                          <pic:cNvPicPr/>
                        </pic:nvPicPr>
                        <pic:blipFill>
                          <a:blip r:embed="rId96" cstate="print"/>
                          <a:stretch>
                            <a:fillRect/>
                          </a:stretch>
                        </pic:blipFill>
                        <pic:spPr>
                          <a:xfrm>
                            <a:off x="0" y="0"/>
                            <a:ext cx="5708700" cy="1098610"/>
                          </a:xfrm>
                          <a:prstGeom prst="rect">
                            <a:avLst/>
                          </a:prstGeom>
                        </pic:spPr>
                      </pic:pic>
                      <wps:wsp>
                        <wps:cNvPr id="210" name="Textbox 210"/>
                        <wps:cNvSpPr txBox="1"/>
                        <wps:spPr>
                          <a:xfrm>
                            <a:off x="64278" y="57422"/>
                            <a:ext cx="269240" cy="170815"/>
                          </a:xfrm>
                          <a:prstGeom prst="rect">
                            <a:avLst/>
                          </a:prstGeom>
                        </wps:spPr>
                        <wps:txbx>
                          <w:txbxContent>
                            <w:p>
                              <w:pPr>
                                <w:spacing w:line="268" w:lineRule="exact" w:before="0"/>
                                <w:ind w:left="0" w:right="0" w:firstLine="0"/>
                                <w:jc w:val="left"/>
                                <w:rPr>
                                  <w:b/>
                                  <w:sz w:val="24"/>
                                </w:rPr>
                              </w:pPr>
                              <w:r>
                                <w:rPr>
                                  <w:b/>
                                  <w:spacing w:val="-5"/>
                                  <w:sz w:val="24"/>
                                </w:rPr>
                                <w:t>173</w:t>
                              </w:r>
                            </w:p>
                          </w:txbxContent>
                        </wps:txbx>
                        <wps:bodyPr wrap="square" lIns="0" tIns="0" rIns="0" bIns="0" rtlCol="0">
                          <a:noAutofit/>
                        </wps:bodyPr>
                      </wps:wsp>
                      <wps:wsp>
                        <wps:cNvPr id="211" name="Textbox 211"/>
                        <wps:cNvSpPr txBox="1"/>
                        <wps:spPr>
                          <a:xfrm>
                            <a:off x="642839" y="44722"/>
                            <a:ext cx="292925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wpg:wgp>
                  </a:graphicData>
                </a:graphic>
              </wp:anchor>
            </w:drawing>
          </mc:Choice>
          <mc:Fallback>
            <w:pict>
              <v:group style="position:absolute;margin-left:78.362724pt;margin-top:520.48938pt;width:449.55pt;height:86.55pt;mso-position-horizontal-relative:page;mso-position-vertical-relative:paragraph;z-index:-15699456;mso-wrap-distance-left:0;mso-wrap-distance-right:0" id="docshapegroup154" coordorigin="1567,10410" coordsize="8991,1731">
                <v:shape style="position:absolute;left:1567;top:10409;width:8991;height:1731" type="#_x0000_t75" id="docshape155" stroked="false">
                  <v:imagedata r:id="rId96" o:title=""/>
                </v:shape>
                <v:shape style="position:absolute;left:1668;top:10500;width:424;height:269" type="#_x0000_t202" id="docshape156" filled="false" stroked="false">
                  <v:textbox inset="0,0,0,0">
                    <w:txbxContent>
                      <w:p>
                        <w:pPr>
                          <w:spacing w:line="268" w:lineRule="exact" w:before="0"/>
                          <w:ind w:left="0" w:right="0" w:firstLine="0"/>
                          <w:jc w:val="left"/>
                          <w:rPr>
                            <w:b/>
                            <w:sz w:val="24"/>
                          </w:rPr>
                        </w:pPr>
                        <w:r>
                          <w:rPr>
                            <w:b/>
                            <w:spacing w:val="-5"/>
                            <w:sz w:val="24"/>
                          </w:rPr>
                          <w:t>173</w:t>
                        </w:r>
                      </w:p>
                    </w:txbxContent>
                  </v:textbox>
                  <w10:wrap type="none"/>
                </v:shape>
                <v:shape style="position:absolute;left:2579;top:10480;width:4613;height:309" type="#_x0000_t202" id="docshape157"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10:wrap type="topAndBottom"/>
              </v:group>
            </w:pict>
          </mc:Fallback>
        </mc:AlternateContent>
      </w:r>
    </w:p>
    <w:p>
      <w:pPr>
        <w:pStyle w:val="BodyText"/>
        <w:spacing w:before="96"/>
        <w:rPr>
          <w:b/>
          <w:sz w:val="20"/>
        </w:rPr>
      </w:pPr>
    </w:p>
    <w:p>
      <w:pPr>
        <w:pStyle w:val="BodyText"/>
        <w:spacing w:before="121"/>
        <w:rPr>
          <w:b/>
          <w:sz w:val="20"/>
        </w:rPr>
      </w:pPr>
    </w:p>
    <w:p>
      <w:pPr>
        <w:pStyle w:val="BodyText"/>
        <w:rPr>
          <w:b/>
          <w:sz w:val="5"/>
        </w:rPr>
      </w:pPr>
    </w:p>
    <w:p>
      <w:pPr>
        <w:pStyle w:val="BodyText"/>
        <w:spacing w:after="0"/>
        <w:rPr>
          <w:b/>
          <w:sz w:val="5"/>
        </w:rPr>
        <w:sectPr>
          <w:footerReference w:type="default" r:id="rId86"/>
          <w:pgSz w:w="12240" w:h="15840"/>
          <w:pgMar w:header="0" w:footer="0" w:top="1640" w:bottom="280" w:left="1440" w:right="360"/>
        </w:sectPr>
      </w:pPr>
    </w:p>
    <w:p>
      <w:pPr>
        <w:tabs>
          <w:tab w:pos="5001" w:val="left" w:leader="none"/>
          <w:tab w:pos="6734" w:val="left" w:leader="none"/>
          <w:tab w:pos="8361" w:val="left" w:leader="none"/>
          <w:tab w:pos="9384" w:val="left" w:leader="none"/>
        </w:tabs>
        <w:spacing w:before="66"/>
        <w:ind w:left="644" w:right="0" w:firstLine="0"/>
        <w:jc w:val="left"/>
        <w:rPr>
          <w:sz w:val="18"/>
        </w:rPr>
      </w:pPr>
      <w:r>
        <w:rPr>
          <w:sz w:val="18"/>
        </w:rPr>
        <mc:AlternateContent>
          <mc:Choice Requires="wps">
            <w:drawing>
              <wp:anchor distT="0" distB="0" distL="0" distR="0" allowOverlap="1" layoutInCell="1" locked="0" behindDoc="1" simplePos="0" relativeHeight="475363840">
                <wp:simplePos x="0" y="0"/>
                <wp:positionH relativeFrom="page">
                  <wp:posOffset>1257745</wp:posOffset>
                </wp:positionH>
                <wp:positionV relativeFrom="paragraph">
                  <wp:posOffset>334435</wp:posOffset>
                </wp:positionV>
                <wp:extent cx="5690870" cy="311785"/>
                <wp:effectExtent l="0" t="0" r="0" b="0"/>
                <wp:wrapNone/>
                <wp:docPr id="212" name="Group 212"/>
                <wp:cNvGraphicFramePr>
                  <a:graphicFrameLocks/>
                </wp:cNvGraphicFramePr>
                <a:graphic>
                  <a:graphicData uri="http://schemas.microsoft.com/office/word/2010/wordprocessingGroup">
                    <wpg:wgp>
                      <wpg:cNvPr id="212" name="Group 212"/>
                      <wpg:cNvGrpSpPr/>
                      <wpg:grpSpPr>
                        <a:xfrm>
                          <a:off x="0" y="0"/>
                          <a:ext cx="5690870" cy="311785"/>
                          <a:chExt cx="5690870" cy="311785"/>
                        </a:xfrm>
                      </wpg:grpSpPr>
                      <pic:pic>
                        <pic:nvPicPr>
                          <pic:cNvPr id="213" name="Image 213"/>
                          <pic:cNvPicPr/>
                        </pic:nvPicPr>
                        <pic:blipFill>
                          <a:blip r:embed="rId98" cstate="print"/>
                          <a:stretch>
                            <a:fillRect/>
                          </a:stretch>
                        </pic:blipFill>
                        <pic:spPr>
                          <a:xfrm>
                            <a:off x="0" y="9155"/>
                            <a:ext cx="647189" cy="302117"/>
                          </a:xfrm>
                          <a:prstGeom prst="rect">
                            <a:avLst/>
                          </a:prstGeom>
                        </pic:spPr>
                      </pic:pic>
                      <wps:wsp>
                        <wps:cNvPr id="214" name="Graphic 214"/>
                        <wps:cNvSpPr/>
                        <wps:spPr>
                          <a:xfrm>
                            <a:off x="3602283" y="18310"/>
                            <a:ext cx="391160" cy="1270"/>
                          </a:xfrm>
                          <a:custGeom>
                            <a:avLst/>
                            <a:gdLst/>
                            <a:ahLst/>
                            <a:cxnLst/>
                            <a:rect l="l" t="t" r="r" b="b"/>
                            <a:pathLst>
                              <a:path w="391160" h="0">
                                <a:moveTo>
                                  <a:pt x="0" y="0"/>
                                </a:moveTo>
                                <a:lnTo>
                                  <a:pt x="390756" y="0"/>
                                </a:lnTo>
                              </a:path>
                            </a:pathLst>
                          </a:custGeom>
                          <a:ln w="36620">
                            <a:solidFill>
                              <a:srgbClr val="000000"/>
                            </a:solidFill>
                            <a:prstDash val="solid"/>
                          </a:ln>
                        </wps:spPr>
                        <wps:bodyPr wrap="square" lIns="0" tIns="0" rIns="0" bIns="0" rtlCol="0">
                          <a:prstTxWarp prst="textNoShape">
                            <a:avLst/>
                          </a:prstTxWarp>
                          <a:noAutofit/>
                        </wps:bodyPr>
                      </wps:wsp>
                      <wps:wsp>
                        <wps:cNvPr id="215" name="Graphic 215"/>
                        <wps:cNvSpPr/>
                        <wps:spPr>
                          <a:xfrm>
                            <a:off x="647190" y="283807"/>
                            <a:ext cx="5043805" cy="1270"/>
                          </a:xfrm>
                          <a:custGeom>
                            <a:avLst/>
                            <a:gdLst/>
                            <a:ahLst/>
                            <a:cxnLst/>
                            <a:rect l="l" t="t" r="r" b="b"/>
                            <a:pathLst>
                              <a:path w="5043805" h="0">
                                <a:moveTo>
                                  <a:pt x="0" y="0"/>
                                </a:moveTo>
                                <a:lnTo>
                                  <a:pt x="5043196" y="0"/>
                                </a:lnTo>
                              </a:path>
                            </a:pathLst>
                          </a:custGeom>
                          <a:ln w="915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9.035103pt;margin-top:26.333496pt;width:448.1pt;height:24.55pt;mso-position-horizontal-relative:page;mso-position-vertical-relative:paragraph;z-index:-27952640" id="docshapegroup158" coordorigin="1981,527" coordsize="8962,491">
                <v:shape style="position:absolute;left:1980;top:541;width:1020;height:476" type="#_x0000_t75" id="docshape159" stroked="false">
                  <v:imagedata r:id="rId98" o:title=""/>
                </v:shape>
                <v:line style="position:absolute" from="7654,556" to="8269,556" stroked="true" strokeweight="2.883491pt" strokecolor="#000000">
                  <v:stroke dashstyle="solid"/>
                </v:line>
                <v:line style="position:absolute" from="3000,974" to="10942,974" stroked="true" strokeweight=".720873pt" strokecolor="#000000">
                  <v:stroke dashstyle="solid"/>
                </v:line>
                <w10:wrap type="none"/>
              </v:group>
            </w:pict>
          </mc:Fallback>
        </mc:AlternateContent>
      </w:r>
      <w:r>
        <w:rPr>
          <w:sz w:val="18"/>
        </w:rPr>
        <w:drawing>
          <wp:anchor distT="0" distB="0" distL="0" distR="0" allowOverlap="1" layoutInCell="1" locked="0" behindDoc="0" simplePos="0" relativeHeight="15762432">
            <wp:simplePos x="0" y="0"/>
            <wp:positionH relativeFrom="page">
              <wp:posOffset>3242054</wp:posOffset>
            </wp:positionH>
            <wp:positionV relativeFrom="page">
              <wp:posOffset>4400557</wp:posOffset>
            </wp:positionV>
            <wp:extent cx="457362" cy="97536"/>
            <wp:effectExtent l="0" t="0" r="0" b="0"/>
            <wp:wrapNone/>
            <wp:docPr id="216" name="Image 216"/>
            <wp:cNvGraphicFramePr>
              <a:graphicFrameLocks/>
            </wp:cNvGraphicFramePr>
            <a:graphic>
              <a:graphicData uri="http://schemas.openxmlformats.org/drawingml/2006/picture">
                <pic:pic>
                  <pic:nvPicPr>
                    <pic:cNvPr id="216" name="Image 216"/>
                    <pic:cNvPicPr/>
                  </pic:nvPicPr>
                  <pic:blipFill>
                    <a:blip r:embed="rId99" cstate="print"/>
                    <a:stretch>
                      <a:fillRect/>
                    </a:stretch>
                  </pic:blipFill>
                  <pic:spPr>
                    <a:xfrm>
                      <a:off x="0" y="0"/>
                      <a:ext cx="457362" cy="97536"/>
                    </a:xfrm>
                    <a:prstGeom prst="rect">
                      <a:avLst/>
                    </a:prstGeom>
                  </pic:spPr>
                </pic:pic>
              </a:graphicData>
            </a:graphic>
          </wp:anchor>
        </w:drawing>
      </w:r>
      <w:r>
        <w:rPr>
          <w:sz w:val="18"/>
        </w:rPr>
        <w:drawing>
          <wp:anchor distT="0" distB="0" distL="0" distR="0" allowOverlap="1" layoutInCell="1" locked="0" behindDoc="1" simplePos="0" relativeHeight="475364864">
            <wp:simplePos x="0" y="0"/>
            <wp:positionH relativeFrom="page">
              <wp:posOffset>1575235</wp:posOffset>
            </wp:positionH>
            <wp:positionV relativeFrom="page">
              <wp:posOffset>6100351</wp:posOffset>
            </wp:positionV>
            <wp:extent cx="2500250" cy="975360"/>
            <wp:effectExtent l="0" t="0" r="0" b="0"/>
            <wp:wrapNone/>
            <wp:docPr id="217" name="Image 217"/>
            <wp:cNvGraphicFramePr>
              <a:graphicFrameLocks/>
            </wp:cNvGraphicFramePr>
            <a:graphic>
              <a:graphicData uri="http://schemas.openxmlformats.org/drawingml/2006/picture">
                <pic:pic>
                  <pic:nvPicPr>
                    <pic:cNvPr id="217" name="Image 217"/>
                    <pic:cNvPicPr/>
                  </pic:nvPicPr>
                  <pic:blipFill>
                    <a:blip r:embed="rId100" cstate="print"/>
                    <a:stretch>
                      <a:fillRect/>
                    </a:stretch>
                  </pic:blipFill>
                  <pic:spPr>
                    <a:xfrm>
                      <a:off x="0" y="0"/>
                      <a:ext cx="2500250" cy="975360"/>
                    </a:xfrm>
                    <a:prstGeom prst="rect">
                      <a:avLst/>
                    </a:prstGeom>
                  </pic:spPr>
                </pic:pic>
              </a:graphicData>
            </a:graphic>
          </wp:anchor>
        </w:drawing>
      </w:r>
      <w:r>
        <w:rPr>
          <w:sz w:val="18"/>
        </w:rPr>
        <w:drawing>
          <wp:anchor distT="0" distB="0" distL="0" distR="0" allowOverlap="1" layoutInCell="1" locked="0" behindDoc="1" simplePos="0" relativeHeight="475365376">
            <wp:simplePos x="0" y="0"/>
            <wp:positionH relativeFrom="page">
              <wp:posOffset>4603593</wp:posOffset>
            </wp:positionH>
            <wp:positionV relativeFrom="page">
              <wp:posOffset>6121713</wp:posOffset>
            </wp:positionV>
            <wp:extent cx="182945" cy="954024"/>
            <wp:effectExtent l="0" t="0" r="0" b="0"/>
            <wp:wrapNone/>
            <wp:docPr id="218" name="Image 218"/>
            <wp:cNvGraphicFramePr>
              <a:graphicFrameLocks/>
            </wp:cNvGraphicFramePr>
            <a:graphic>
              <a:graphicData uri="http://schemas.openxmlformats.org/drawingml/2006/picture">
                <pic:pic>
                  <pic:nvPicPr>
                    <pic:cNvPr id="218" name="Image 218"/>
                    <pic:cNvPicPr/>
                  </pic:nvPicPr>
                  <pic:blipFill>
                    <a:blip r:embed="rId101" cstate="print"/>
                    <a:stretch>
                      <a:fillRect/>
                    </a:stretch>
                  </pic:blipFill>
                  <pic:spPr>
                    <a:xfrm>
                      <a:off x="0" y="0"/>
                      <a:ext cx="182945" cy="954024"/>
                    </a:xfrm>
                    <a:prstGeom prst="rect">
                      <a:avLst/>
                    </a:prstGeom>
                  </pic:spPr>
                </pic:pic>
              </a:graphicData>
            </a:graphic>
          </wp:anchor>
        </w:drawing>
      </w:r>
      <w:r>
        <w:rPr>
          <w:sz w:val="18"/>
        </w:rPr>
        <mc:AlternateContent>
          <mc:Choice Requires="wps">
            <w:drawing>
              <wp:anchor distT="0" distB="0" distL="0" distR="0" allowOverlap="1" layoutInCell="1" locked="0" behindDoc="0" simplePos="0" relativeHeight="15763968">
                <wp:simplePos x="0" y="0"/>
                <wp:positionH relativeFrom="page">
                  <wp:posOffset>5101199</wp:posOffset>
                </wp:positionH>
                <wp:positionV relativeFrom="paragraph">
                  <wp:posOffset>892895</wp:posOffset>
                </wp:positionV>
                <wp:extent cx="1270" cy="5126990"/>
                <wp:effectExtent l="0" t="0" r="0" b="0"/>
                <wp:wrapNone/>
                <wp:docPr id="219" name="Graphic 219"/>
                <wp:cNvGraphicFramePr>
                  <a:graphicFrameLocks/>
                </wp:cNvGraphicFramePr>
                <a:graphic>
                  <a:graphicData uri="http://schemas.microsoft.com/office/word/2010/wordprocessingShape">
                    <wps:wsp>
                      <wps:cNvPr id="219" name="Graphic 219"/>
                      <wps:cNvSpPr/>
                      <wps:spPr>
                        <a:xfrm>
                          <a:off x="0" y="0"/>
                          <a:ext cx="1270" cy="5126990"/>
                        </a:xfrm>
                        <a:custGeom>
                          <a:avLst/>
                          <a:gdLst/>
                          <a:ahLst/>
                          <a:cxnLst/>
                          <a:rect l="l" t="t" r="r" b="b"/>
                          <a:pathLst>
                            <a:path w="0" h="5126990">
                              <a:moveTo>
                                <a:pt x="0" y="5126846"/>
                              </a:moveTo>
                              <a:lnTo>
                                <a:pt x="0" y="0"/>
                              </a:lnTo>
                            </a:path>
                          </a:pathLst>
                        </a:custGeom>
                        <a:ln w="1526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63968" from="401.66925pt,473.995403pt" to="401.66925pt,70.306725pt" stroked="true" strokeweight="1.201883pt" strokecolor="#000000">
                <v:stroke dashstyle="solid"/>
                <w10:wrap type="none"/>
              </v:line>
            </w:pict>
          </mc:Fallback>
        </mc:AlternateContent>
      </w:r>
      <w:r>
        <w:rPr>
          <w:sz w:val="18"/>
        </w:rPr>
        <mc:AlternateContent>
          <mc:Choice Requires="wps">
            <w:drawing>
              <wp:anchor distT="0" distB="0" distL="0" distR="0" allowOverlap="1" layoutInCell="1" locked="0" behindDoc="0" simplePos="0" relativeHeight="15764480">
                <wp:simplePos x="0" y="0"/>
                <wp:positionH relativeFrom="page">
                  <wp:posOffset>5476691</wp:posOffset>
                </wp:positionH>
                <wp:positionV relativeFrom="paragraph">
                  <wp:posOffset>892895</wp:posOffset>
                </wp:positionV>
                <wp:extent cx="1270" cy="5126990"/>
                <wp:effectExtent l="0" t="0" r="0" b="0"/>
                <wp:wrapNone/>
                <wp:docPr id="220" name="Graphic 220"/>
                <wp:cNvGraphicFramePr>
                  <a:graphicFrameLocks/>
                </wp:cNvGraphicFramePr>
                <a:graphic>
                  <a:graphicData uri="http://schemas.microsoft.com/office/word/2010/wordprocessingShape">
                    <wps:wsp>
                      <wps:cNvPr id="220" name="Graphic 220"/>
                      <wps:cNvSpPr/>
                      <wps:spPr>
                        <a:xfrm>
                          <a:off x="0" y="0"/>
                          <a:ext cx="1270" cy="5126990"/>
                        </a:xfrm>
                        <a:custGeom>
                          <a:avLst/>
                          <a:gdLst/>
                          <a:ahLst/>
                          <a:cxnLst/>
                          <a:rect l="l" t="t" r="r" b="b"/>
                          <a:pathLst>
                            <a:path w="0" h="5126990">
                              <a:moveTo>
                                <a:pt x="0" y="5126846"/>
                              </a:moveTo>
                              <a:lnTo>
                                <a:pt x="0" y="0"/>
                              </a:lnTo>
                            </a:path>
                          </a:pathLst>
                        </a:custGeom>
                        <a:ln w="1526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64480" from="431.235565pt,473.995403pt" to="431.235565pt,70.306725pt" stroked="true" strokeweight="1.201883pt" strokecolor="#000000">
                <v:stroke dashstyle="solid"/>
                <w10:wrap type="none"/>
              </v:line>
            </w:pict>
          </mc:Fallback>
        </mc:AlternateContent>
      </w:r>
      <w:r>
        <w:rPr>
          <w:sz w:val="18"/>
        </w:rPr>
        <mc:AlternateContent>
          <mc:Choice Requires="wps">
            <w:drawing>
              <wp:anchor distT="0" distB="0" distL="0" distR="0" allowOverlap="1" layoutInCell="1" locked="0" behindDoc="0" simplePos="0" relativeHeight="15764992">
                <wp:simplePos x="0" y="0"/>
                <wp:positionH relativeFrom="page">
                  <wp:posOffset>6545165</wp:posOffset>
                </wp:positionH>
                <wp:positionV relativeFrom="paragraph">
                  <wp:posOffset>892895</wp:posOffset>
                </wp:positionV>
                <wp:extent cx="1270" cy="5126990"/>
                <wp:effectExtent l="0" t="0" r="0" b="0"/>
                <wp:wrapNone/>
                <wp:docPr id="221" name="Graphic 221"/>
                <wp:cNvGraphicFramePr>
                  <a:graphicFrameLocks/>
                </wp:cNvGraphicFramePr>
                <a:graphic>
                  <a:graphicData uri="http://schemas.microsoft.com/office/word/2010/wordprocessingShape">
                    <wps:wsp>
                      <wps:cNvPr id="221" name="Graphic 221"/>
                      <wps:cNvSpPr/>
                      <wps:spPr>
                        <a:xfrm>
                          <a:off x="0" y="0"/>
                          <a:ext cx="1270" cy="5126990"/>
                        </a:xfrm>
                        <a:custGeom>
                          <a:avLst/>
                          <a:gdLst/>
                          <a:ahLst/>
                          <a:cxnLst/>
                          <a:rect l="l" t="t" r="r" b="b"/>
                          <a:pathLst>
                            <a:path w="0" h="5126990">
                              <a:moveTo>
                                <a:pt x="0" y="5126846"/>
                              </a:moveTo>
                              <a:lnTo>
                                <a:pt x="0" y="0"/>
                              </a:lnTo>
                            </a:path>
                          </a:pathLst>
                        </a:custGeom>
                        <a:ln w="1526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64992" from="515.367371pt,473.995403pt" to="515.367371pt,70.306725pt" stroked="true" strokeweight="1.201883pt" strokecolor="#000000">
                <v:stroke dashstyle="solid"/>
                <w10:wrap type="none"/>
              </v:line>
            </w:pict>
          </mc:Fallback>
        </mc:AlternateContent>
      </w:r>
      <w:r>
        <w:rPr>
          <w:b/>
          <w:color w:val="4B62A8"/>
          <w:spacing w:val="-1"/>
          <w:w w:val="99"/>
          <w:position w:val="12"/>
          <w:sz w:val="46"/>
        </w:rPr>
        <w:t>CG</w:t>
      </w:r>
      <w:r>
        <w:rPr>
          <w:b/>
          <w:color w:val="4B62A8"/>
          <w:w w:val="99"/>
          <w:position w:val="12"/>
          <w:sz w:val="46"/>
        </w:rPr>
        <w:t>R</w:t>
      </w:r>
      <w:r>
        <w:rPr>
          <w:b/>
          <w:color w:val="5D72AF"/>
          <w:spacing w:val="-1"/>
          <w:w w:val="108"/>
          <w:position w:val="-4"/>
          <w:sz w:val="11"/>
          <w:u w:val="thick" w:color="5D72AF"/>
        </w:rPr>
        <w:t>pr;-</w:t>
      </w:r>
      <w:r>
        <w:rPr>
          <w:b/>
          <w:color w:val="5D72AF"/>
          <w:spacing w:val="-5"/>
          <w:w w:val="110"/>
          <w:position w:val="-4"/>
          <w:sz w:val="11"/>
          <w:u w:val="thick" w:color="5D72AF"/>
        </w:rPr>
        <w:t>"'</w:t>
      </w:r>
      <w:r>
        <w:rPr>
          <w:b/>
          <w:color w:val="5D72AF"/>
          <w:position w:val="-4"/>
          <w:sz w:val="11"/>
          <w:u w:val="none"/>
        </w:rPr>
        <w:tab/>
      </w:r>
      <w:r>
        <w:rPr>
          <w:b/>
          <w:color w:val="5D72AF"/>
          <w:sz w:val="11"/>
          <w:u w:val="none"/>
        </w:rPr>
        <w:drawing>
          <wp:inline distT="0" distB="0" distL="0" distR="0">
            <wp:extent cx="647189" cy="97654"/>
            <wp:effectExtent l="0" t="0" r="0" b="0"/>
            <wp:docPr id="222" name="Image 222"/>
            <wp:cNvGraphicFramePr>
              <a:graphicFrameLocks/>
            </wp:cNvGraphicFramePr>
            <a:graphic>
              <a:graphicData uri="http://schemas.openxmlformats.org/drawingml/2006/picture">
                <pic:pic>
                  <pic:nvPicPr>
                    <pic:cNvPr id="222" name="Image 222"/>
                    <pic:cNvPicPr/>
                  </pic:nvPicPr>
                  <pic:blipFill>
                    <a:blip r:embed="rId102" cstate="print"/>
                    <a:stretch>
                      <a:fillRect/>
                    </a:stretch>
                  </pic:blipFill>
                  <pic:spPr>
                    <a:xfrm>
                      <a:off x="0" y="0"/>
                      <a:ext cx="647189" cy="97654"/>
                    </a:xfrm>
                    <a:prstGeom prst="rect">
                      <a:avLst/>
                    </a:prstGeom>
                  </pic:spPr>
                </pic:pic>
              </a:graphicData>
            </a:graphic>
          </wp:inline>
        </w:drawing>
      </w:r>
      <w:r>
        <w:rPr>
          <w:b/>
          <w:color w:val="5D72AF"/>
          <w:sz w:val="11"/>
          <w:u w:val="none"/>
        </w:rPr>
      </w:r>
      <w:r>
        <w:rPr>
          <w:rFonts w:ascii="Times New Roman" w:hAnsi="Times New Roman"/>
          <w:color w:val="5D72AF"/>
          <w:spacing w:val="40"/>
          <w:sz w:val="11"/>
          <w:u w:val="none"/>
        </w:rPr>
        <w:t> </w:t>
      </w:r>
      <w:r>
        <w:rPr>
          <w:rFonts w:ascii="Times New Roman" w:hAnsi="Times New Roman"/>
          <w:color w:val="50314F"/>
          <w:sz w:val="20"/>
          <w:u w:val="none"/>
        </w:rPr>
        <w:t>Fi</w:t>
        <w:tab/>
      </w:r>
      <w:r>
        <w:rPr>
          <w:color w:val="79A3BA"/>
          <w:w w:val="115"/>
          <w:position w:val="1"/>
          <w:sz w:val="19"/>
          <w:u w:val="none"/>
        </w:rPr>
        <w:t>.</w:t>
      </w:r>
      <w:r>
        <w:rPr>
          <w:color w:val="79A3BA"/>
          <w:spacing w:val="-5"/>
          <w:w w:val="115"/>
          <w:position w:val="1"/>
          <w:sz w:val="19"/>
          <w:u w:val="none"/>
        </w:rPr>
        <w:t> </w:t>
      </w:r>
      <w:r>
        <w:rPr>
          <w:color w:val="594B5D"/>
          <w:w w:val="115"/>
          <w:position w:val="1"/>
          <w:sz w:val="19"/>
          <w:u w:val="none"/>
        </w:rPr>
        <w:t>c</w:t>
      </w:r>
      <w:r>
        <w:rPr>
          <w:color w:val="9E6085"/>
          <w:w w:val="115"/>
          <w:position w:val="1"/>
          <w:sz w:val="19"/>
          <w:u w:val="none"/>
        </w:rPr>
        <w:t>i</w:t>
      </w:r>
      <w:r>
        <w:rPr>
          <w:color w:val="6B6272"/>
          <w:w w:val="115"/>
          <w:position w:val="1"/>
          <w:sz w:val="19"/>
          <w:u w:val="none"/>
        </w:rPr>
        <w:t>ó</w:t>
      </w:r>
      <w:r>
        <w:rPr>
          <w:color w:val="6B6272"/>
          <w:spacing w:val="32"/>
          <w:w w:val="115"/>
          <w:position w:val="1"/>
          <w:sz w:val="19"/>
          <w:u w:val="none"/>
        </w:rPr>
        <w:t>  </w:t>
      </w:r>
      <w:r>
        <w:rPr>
          <w:color w:val="6B6272"/>
          <w:spacing w:val="-5"/>
          <w:w w:val="115"/>
          <w:position w:val="1"/>
          <w:sz w:val="19"/>
          <w:u w:val="none"/>
        </w:rPr>
        <w:t>O</w:t>
      </w:r>
      <w:r>
        <w:rPr>
          <w:color w:val="50314F"/>
          <w:spacing w:val="-5"/>
          <w:w w:val="115"/>
          <w:position w:val="1"/>
          <w:sz w:val="19"/>
          <w:u w:val="none"/>
        </w:rPr>
        <w:t>p</w:t>
      </w:r>
      <w:r>
        <w:rPr>
          <w:color w:val="262B44"/>
          <w:spacing w:val="-5"/>
          <w:w w:val="115"/>
          <w:position w:val="1"/>
          <w:sz w:val="19"/>
          <w:u w:val="none"/>
        </w:rPr>
        <w:t>e</w:t>
      </w:r>
      <w:r>
        <w:rPr>
          <w:color w:val="262B44"/>
          <w:position w:val="1"/>
          <w:sz w:val="19"/>
          <w:u w:val="none"/>
        </w:rPr>
        <w:tab/>
      </w:r>
      <w:r>
        <w:rPr>
          <w:rFonts w:ascii="Times New Roman" w:hAnsi="Times New Roman"/>
          <w:color w:val="7C798E"/>
          <w:spacing w:val="-5"/>
          <w:w w:val="115"/>
          <w:position w:val="1"/>
          <w:sz w:val="21"/>
          <w:u w:val="none"/>
        </w:rPr>
        <w:t>y</w:t>
      </w:r>
      <w:r>
        <w:rPr>
          <w:rFonts w:ascii="Times New Roman" w:hAnsi="Times New Roman"/>
          <w:color w:val="3B4257"/>
          <w:spacing w:val="-5"/>
          <w:w w:val="115"/>
          <w:position w:val="1"/>
          <w:sz w:val="21"/>
          <w:u w:val="none"/>
        </w:rPr>
        <w:t>Ba</w:t>
      </w:r>
      <w:r>
        <w:rPr>
          <w:rFonts w:ascii="Times New Roman" w:hAnsi="Times New Roman"/>
          <w:color w:val="3B4257"/>
          <w:position w:val="1"/>
          <w:sz w:val="21"/>
          <w:u w:val="none"/>
        </w:rPr>
        <w:tab/>
      </w:r>
      <w:r>
        <w:rPr>
          <w:color w:val="262B44"/>
          <w:spacing w:val="-10"/>
          <w:w w:val="115"/>
          <w:sz w:val="18"/>
          <w:u w:val="none"/>
        </w:rPr>
        <w:t>a</w:t>
      </w:r>
    </w:p>
    <w:p>
      <w:pPr>
        <w:pStyle w:val="BodyText"/>
        <w:rPr>
          <w:sz w:val="20"/>
        </w:rPr>
      </w:pPr>
    </w:p>
    <w:p>
      <w:pPr>
        <w:pStyle w:val="BodyText"/>
        <w:spacing w:before="211"/>
        <w:rPr>
          <w:sz w:val="20"/>
        </w:rPr>
      </w:pPr>
      <w:r>
        <w:rPr>
          <w:sz w:val="20"/>
        </w:rPr>
        <mc:AlternateContent>
          <mc:Choice Requires="wps">
            <w:drawing>
              <wp:anchor distT="0" distB="0" distL="0" distR="0" allowOverlap="1" layoutInCell="1" locked="0" behindDoc="1" simplePos="0" relativeHeight="487619072">
                <wp:simplePos x="0" y="0"/>
                <wp:positionH relativeFrom="page">
                  <wp:posOffset>1453124</wp:posOffset>
                </wp:positionH>
                <wp:positionV relativeFrom="paragraph">
                  <wp:posOffset>308209</wp:posOffset>
                </wp:positionV>
                <wp:extent cx="3333750" cy="5126990"/>
                <wp:effectExtent l="0" t="0" r="0" b="0"/>
                <wp:wrapTopAndBottom/>
                <wp:docPr id="223" name="Group 223"/>
                <wp:cNvGraphicFramePr>
                  <a:graphicFrameLocks/>
                </wp:cNvGraphicFramePr>
                <a:graphic>
                  <a:graphicData uri="http://schemas.microsoft.com/office/word/2010/wordprocessingGroup">
                    <wpg:wgp>
                      <wpg:cNvPr id="223" name="Group 223"/>
                      <wpg:cNvGrpSpPr/>
                      <wpg:grpSpPr>
                        <a:xfrm>
                          <a:off x="0" y="0"/>
                          <a:ext cx="3333750" cy="5126990"/>
                          <a:chExt cx="3333750" cy="5126990"/>
                        </a:xfrm>
                      </wpg:grpSpPr>
                      <pic:pic>
                        <pic:nvPicPr>
                          <pic:cNvPr id="224" name="Image 224"/>
                          <pic:cNvPicPr/>
                        </pic:nvPicPr>
                        <pic:blipFill>
                          <a:blip r:embed="rId103" cstate="print"/>
                          <a:stretch>
                            <a:fillRect/>
                          </a:stretch>
                        </pic:blipFill>
                        <pic:spPr>
                          <a:xfrm>
                            <a:off x="549500" y="15258"/>
                            <a:ext cx="1099001" cy="94602"/>
                          </a:xfrm>
                          <a:prstGeom prst="rect">
                            <a:avLst/>
                          </a:prstGeom>
                        </pic:spPr>
                      </pic:pic>
                      <pic:pic>
                        <pic:nvPicPr>
                          <pic:cNvPr id="225" name="Image 225"/>
                          <pic:cNvPicPr/>
                        </pic:nvPicPr>
                        <pic:blipFill>
                          <a:blip r:embed="rId104" cstate="print"/>
                          <a:stretch>
                            <a:fillRect/>
                          </a:stretch>
                        </pic:blipFill>
                        <pic:spPr>
                          <a:xfrm>
                            <a:off x="537289" y="228876"/>
                            <a:ext cx="2686447" cy="1980549"/>
                          </a:xfrm>
                          <a:prstGeom prst="rect">
                            <a:avLst/>
                          </a:prstGeom>
                        </pic:spPr>
                      </pic:pic>
                      <pic:pic>
                        <pic:nvPicPr>
                          <pic:cNvPr id="226" name="Image 226"/>
                          <pic:cNvPicPr/>
                        </pic:nvPicPr>
                        <pic:blipFill>
                          <a:blip r:embed="rId105" cstate="print"/>
                          <a:stretch>
                            <a:fillRect/>
                          </a:stretch>
                        </pic:blipFill>
                        <pic:spPr>
                          <a:xfrm>
                            <a:off x="3150469" y="231928"/>
                            <a:ext cx="73266" cy="646959"/>
                          </a:xfrm>
                          <a:prstGeom prst="rect">
                            <a:avLst/>
                          </a:prstGeom>
                        </pic:spPr>
                      </pic:pic>
                      <pic:pic>
                        <pic:nvPicPr>
                          <pic:cNvPr id="227" name="Image 227"/>
                          <pic:cNvPicPr/>
                        </pic:nvPicPr>
                        <pic:blipFill>
                          <a:blip r:embed="rId106" cstate="print"/>
                          <a:stretch>
                            <a:fillRect/>
                          </a:stretch>
                        </pic:blipFill>
                        <pic:spPr>
                          <a:xfrm>
                            <a:off x="36632" y="2651923"/>
                            <a:ext cx="3297003" cy="1242039"/>
                          </a:xfrm>
                          <a:prstGeom prst="rect">
                            <a:avLst/>
                          </a:prstGeom>
                        </pic:spPr>
                      </pic:pic>
                      <pic:pic>
                        <pic:nvPicPr>
                          <pic:cNvPr id="228" name="Image 228"/>
                          <pic:cNvPicPr/>
                        </pic:nvPicPr>
                        <pic:blipFill>
                          <a:blip r:embed="rId107" cstate="print"/>
                          <a:stretch>
                            <a:fillRect/>
                          </a:stretch>
                        </pic:blipFill>
                        <pic:spPr>
                          <a:xfrm>
                            <a:off x="549500" y="2648871"/>
                            <a:ext cx="402967" cy="109861"/>
                          </a:xfrm>
                          <a:prstGeom prst="rect">
                            <a:avLst/>
                          </a:prstGeom>
                        </pic:spPr>
                      </pic:pic>
                      <wps:wsp>
                        <wps:cNvPr id="229" name="Graphic 229"/>
                        <wps:cNvSpPr/>
                        <wps:spPr>
                          <a:xfrm>
                            <a:off x="21369" y="0"/>
                            <a:ext cx="1270" cy="3357245"/>
                          </a:xfrm>
                          <a:custGeom>
                            <a:avLst/>
                            <a:gdLst/>
                            <a:ahLst/>
                            <a:cxnLst/>
                            <a:rect l="l" t="t" r="r" b="b"/>
                            <a:pathLst>
                              <a:path w="0" h="3357245">
                                <a:moveTo>
                                  <a:pt x="0" y="3356863"/>
                                </a:moveTo>
                                <a:lnTo>
                                  <a:pt x="0" y="0"/>
                                </a:lnTo>
                              </a:path>
                            </a:pathLst>
                          </a:custGeom>
                          <a:ln w="24422">
                            <a:solidFill>
                              <a:srgbClr val="000000"/>
                            </a:solidFill>
                            <a:prstDash val="solid"/>
                          </a:ln>
                        </wps:spPr>
                        <wps:bodyPr wrap="square" lIns="0" tIns="0" rIns="0" bIns="0" rtlCol="0">
                          <a:prstTxWarp prst="textNoShape">
                            <a:avLst/>
                          </a:prstTxWarp>
                          <a:noAutofit/>
                        </wps:bodyPr>
                      </wps:wsp>
                      <wps:wsp>
                        <wps:cNvPr id="230" name="Graphic 230"/>
                        <wps:cNvSpPr/>
                        <wps:spPr>
                          <a:xfrm>
                            <a:off x="21369" y="3539965"/>
                            <a:ext cx="1270" cy="1587500"/>
                          </a:xfrm>
                          <a:custGeom>
                            <a:avLst/>
                            <a:gdLst/>
                            <a:ahLst/>
                            <a:cxnLst/>
                            <a:rect l="l" t="t" r="r" b="b"/>
                            <a:pathLst>
                              <a:path w="0" h="1587500">
                                <a:moveTo>
                                  <a:pt x="0" y="1586880"/>
                                </a:moveTo>
                                <a:lnTo>
                                  <a:pt x="0" y="0"/>
                                </a:lnTo>
                              </a:path>
                            </a:pathLst>
                          </a:custGeom>
                          <a:ln w="18316">
                            <a:solidFill>
                              <a:srgbClr val="000000"/>
                            </a:solidFill>
                            <a:prstDash val="solid"/>
                          </a:ln>
                        </wps:spPr>
                        <wps:bodyPr wrap="square" lIns="0" tIns="0" rIns="0" bIns="0" rtlCol="0">
                          <a:prstTxWarp prst="textNoShape">
                            <a:avLst/>
                          </a:prstTxWarp>
                          <a:noAutofit/>
                        </wps:bodyPr>
                      </wps:wsp>
                      <wps:wsp>
                        <wps:cNvPr id="231" name="Graphic 231"/>
                        <wps:cNvSpPr/>
                        <wps:spPr>
                          <a:xfrm>
                            <a:off x="3052782" y="0"/>
                            <a:ext cx="1270" cy="1403985"/>
                          </a:xfrm>
                          <a:custGeom>
                            <a:avLst/>
                            <a:gdLst/>
                            <a:ahLst/>
                            <a:cxnLst/>
                            <a:rect l="l" t="t" r="r" b="b"/>
                            <a:pathLst>
                              <a:path w="0" h="1403985">
                                <a:moveTo>
                                  <a:pt x="0" y="1403779"/>
                                </a:moveTo>
                                <a:lnTo>
                                  <a:pt x="0" y="0"/>
                                </a:lnTo>
                              </a:path>
                            </a:pathLst>
                          </a:custGeom>
                          <a:ln w="15263">
                            <a:solidFill>
                              <a:srgbClr val="000000"/>
                            </a:solidFill>
                            <a:prstDash val="solid"/>
                          </a:ln>
                        </wps:spPr>
                        <wps:bodyPr wrap="square" lIns="0" tIns="0" rIns="0" bIns="0" rtlCol="0">
                          <a:prstTxWarp prst="textNoShape">
                            <a:avLst/>
                          </a:prstTxWarp>
                          <a:noAutofit/>
                        </wps:bodyPr>
                      </wps:wsp>
                      <wps:wsp>
                        <wps:cNvPr id="232" name="Graphic 232"/>
                        <wps:cNvSpPr/>
                        <wps:spPr>
                          <a:xfrm>
                            <a:off x="0" y="12206"/>
                            <a:ext cx="806450" cy="751205"/>
                          </a:xfrm>
                          <a:custGeom>
                            <a:avLst/>
                            <a:gdLst/>
                            <a:ahLst/>
                            <a:cxnLst/>
                            <a:rect l="l" t="t" r="r" b="b"/>
                            <a:pathLst>
                              <a:path w="806450" h="751205">
                                <a:moveTo>
                                  <a:pt x="0" y="0"/>
                                </a:moveTo>
                                <a:lnTo>
                                  <a:pt x="549500" y="0"/>
                                </a:lnTo>
                              </a:path>
                              <a:path w="806450" h="751205">
                                <a:moveTo>
                                  <a:pt x="0" y="213618"/>
                                </a:moveTo>
                                <a:lnTo>
                                  <a:pt x="549500" y="213618"/>
                                </a:lnTo>
                              </a:path>
                              <a:path w="806450" h="751205">
                                <a:moveTo>
                                  <a:pt x="0" y="424185"/>
                                </a:moveTo>
                                <a:lnTo>
                                  <a:pt x="549500" y="424185"/>
                                </a:lnTo>
                              </a:path>
                              <a:path w="806450" h="751205">
                                <a:moveTo>
                                  <a:pt x="0" y="750716"/>
                                </a:moveTo>
                                <a:lnTo>
                                  <a:pt x="805934" y="750716"/>
                                </a:lnTo>
                              </a:path>
                            </a:pathLst>
                          </a:custGeom>
                          <a:ln w="12208">
                            <a:solidFill>
                              <a:srgbClr val="000000"/>
                            </a:solidFill>
                            <a:prstDash val="solid"/>
                          </a:ln>
                        </wps:spPr>
                        <wps:bodyPr wrap="square" lIns="0" tIns="0" rIns="0" bIns="0" rtlCol="0">
                          <a:prstTxWarp prst="textNoShape">
                            <a:avLst/>
                          </a:prstTxWarp>
                          <a:noAutofit/>
                        </wps:bodyPr>
                      </wps:wsp>
                      <wps:wsp>
                        <wps:cNvPr id="233" name="Graphic 233"/>
                        <wps:cNvSpPr/>
                        <wps:spPr>
                          <a:xfrm>
                            <a:off x="0" y="1098609"/>
                            <a:ext cx="806450" cy="1270"/>
                          </a:xfrm>
                          <a:custGeom>
                            <a:avLst/>
                            <a:gdLst/>
                            <a:ahLst/>
                            <a:cxnLst/>
                            <a:rect l="l" t="t" r="r" b="b"/>
                            <a:pathLst>
                              <a:path w="806450" h="0">
                                <a:moveTo>
                                  <a:pt x="0" y="0"/>
                                </a:moveTo>
                                <a:lnTo>
                                  <a:pt x="805934" y="0"/>
                                </a:lnTo>
                              </a:path>
                            </a:pathLst>
                          </a:custGeom>
                          <a:ln w="15258">
                            <a:solidFill>
                              <a:srgbClr val="000000"/>
                            </a:solidFill>
                            <a:prstDash val="solid"/>
                          </a:ln>
                        </wps:spPr>
                        <wps:bodyPr wrap="square" lIns="0" tIns="0" rIns="0" bIns="0" rtlCol="0">
                          <a:prstTxWarp prst="textNoShape">
                            <a:avLst/>
                          </a:prstTxWarp>
                          <a:noAutofit/>
                        </wps:bodyPr>
                      </wps:wsp>
                      <wps:wsp>
                        <wps:cNvPr id="234" name="Graphic 234"/>
                        <wps:cNvSpPr/>
                        <wps:spPr>
                          <a:xfrm>
                            <a:off x="0" y="1425141"/>
                            <a:ext cx="549910" cy="1239520"/>
                          </a:xfrm>
                          <a:custGeom>
                            <a:avLst/>
                            <a:gdLst/>
                            <a:ahLst/>
                            <a:cxnLst/>
                            <a:rect l="l" t="t" r="r" b="b"/>
                            <a:pathLst>
                              <a:path w="549910" h="1239520">
                                <a:moveTo>
                                  <a:pt x="0" y="0"/>
                                </a:moveTo>
                                <a:lnTo>
                                  <a:pt x="537289" y="0"/>
                                </a:lnTo>
                              </a:path>
                              <a:path w="549910" h="1239520">
                                <a:moveTo>
                                  <a:pt x="0" y="674424"/>
                                </a:moveTo>
                                <a:lnTo>
                                  <a:pt x="537289" y="674424"/>
                                </a:lnTo>
                              </a:path>
                              <a:path w="549910" h="1239520">
                                <a:moveTo>
                                  <a:pt x="0" y="1238987"/>
                                </a:moveTo>
                                <a:lnTo>
                                  <a:pt x="549500" y="1238987"/>
                                </a:lnTo>
                              </a:path>
                            </a:pathLst>
                          </a:custGeom>
                          <a:ln w="12208">
                            <a:solidFill>
                              <a:srgbClr val="000000"/>
                            </a:solidFill>
                            <a:prstDash val="solid"/>
                          </a:ln>
                        </wps:spPr>
                        <wps:bodyPr wrap="square" lIns="0" tIns="0" rIns="0" bIns="0" rtlCol="0">
                          <a:prstTxWarp prst="textNoShape">
                            <a:avLst/>
                          </a:prstTxWarp>
                          <a:noAutofit/>
                        </wps:bodyPr>
                      </wps:wsp>
                      <wps:wsp>
                        <wps:cNvPr id="235" name="Graphic 235"/>
                        <wps:cNvSpPr/>
                        <wps:spPr>
                          <a:xfrm>
                            <a:off x="669210" y="795518"/>
                            <a:ext cx="124460" cy="121920"/>
                          </a:xfrm>
                          <a:custGeom>
                            <a:avLst/>
                            <a:gdLst/>
                            <a:ahLst/>
                            <a:cxnLst/>
                            <a:rect l="l" t="t" r="r" b="b"/>
                            <a:pathLst>
                              <a:path w="124460" h="121920">
                                <a:moveTo>
                                  <a:pt x="12217" y="0"/>
                                </a:moveTo>
                                <a:lnTo>
                                  <a:pt x="0" y="0"/>
                                </a:lnTo>
                                <a:lnTo>
                                  <a:pt x="0" y="121437"/>
                                </a:lnTo>
                                <a:lnTo>
                                  <a:pt x="12217" y="121437"/>
                                </a:lnTo>
                                <a:lnTo>
                                  <a:pt x="12217" y="0"/>
                                </a:lnTo>
                                <a:close/>
                              </a:path>
                              <a:path w="124460" h="121920">
                                <a:moveTo>
                                  <a:pt x="124421" y="0"/>
                                </a:moveTo>
                                <a:lnTo>
                                  <a:pt x="96951" y="0"/>
                                </a:lnTo>
                                <a:lnTo>
                                  <a:pt x="96951" y="121437"/>
                                </a:lnTo>
                                <a:lnTo>
                                  <a:pt x="124421" y="121437"/>
                                </a:lnTo>
                                <a:lnTo>
                                  <a:pt x="124421" y="0"/>
                                </a:lnTo>
                                <a:close/>
                              </a:path>
                            </a:pathLst>
                          </a:custGeom>
                          <a:solidFill>
                            <a:srgbClr val="EDF2E8"/>
                          </a:solidFill>
                        </wps:spPr>
                        <wps:bodyPr wrap="square" lIns="0" tIns="0" rIns="0" bIns="0" rtlCol="0">
                          <a:prstTxWarp prst="textNoShape">
                            <a:avLst/>
                          </a:prstTxWarp>
                          <a:noAutofit/>
                        </wps:bodyPr>
                      </wps:wsp>
                      <wps:wsp>
                        <wps:cNvPr id="236" name="Textbox 236"/>
                        <wps:cNvSpPr txBox="1"/>
                        <wps:spPr>
                          <a:xfrm>
                            <a:off x="1657214" y="46551"/>
                            <a:ext cx="267970" cy="78740"/>
                          </a:xfrm>
                          <a:prstGeom prst="rect">
                            <a:avLst/>
                          </a:prstGeom>
                        </wps:spPr>
                        <wps:txbx>
                          <w:txbxContent>
                            <w:p>
                              <w:pPr>
                                <w:spacing w:line="123" w:lineRule="exact" w:before="0"/>
                                <w:ind w:left="0" w:right="0" w:firstLine="0"/>
                                <w:jc w:val="left"/>
                                <w:rPr>
                                  <w:sz w:val="11"/>
                                </w:rPr>
                              </w:pPr>
                              <w:r>
                                <w:rPr>
                                  <w:color w:val="7C798E"/>
                                  <w:spacing w:val="-2"/>
                                  <w:sz w:val="11"/>
                                </w:rPr>
                                <w:t>CKJ:OS</w:t>
                              </w:r>
                            </w:p>
                          </w:txbxContent>
                        </wps:txbx>
                        <wps:bodyPr wrap="square" lIns="0" tIns="0" rIns="0" bIns="0" rtlCol="0">
                          <a:noAutofit/>
                        </wps:bodyPr>
                      </wps:wsp>
                      <wps:wsp>
                        <wps:cNvPr id="237" name="Textbox 237"/>
                        <wps:cNvSpPr txBox="1"/>
                        <wps:spPr>
                          <a:xfrm>
                            <a:off x="539884" y="807466"/>
                            <a:ext cx="274320" cy="99695"/>
                          </a:xfrm>
                          <a:prstGeom prst="rect">
                            <a:avLst/>
                          </a:prstGeom>
                        </wps:spPr>
                        <wps:txbx>
                          <w:txbxContent>
                            <w:p>
                              <w:pPr>
                                <w:spacing w:line="157" w:lineRule="exact" w:before="0"/>
                                <w:ind w:left="0" w:right="0" w:firstLine="0"/>
                                <w:jc w:val="left"/>
                                <w:rPr>
                                  <w:sz w:val="14"/>
                                </w:rPr>
                              </w:pPr>
                              <w:r>
                                <w:rPr>
                                  <w:color w:val="BA899C"/>
                                  <w:w w:val="115"/>
                                  <w:sz w:val="14"/>
                                </w:rPr>
                                <w:t>1</w:t>
                              </w:r>
                              <w:r>
                                <w:rPr>
                                  <w:color w:val="9090CC"/>
                                  <w:w w:val="115"/>
                                  <w:sz w:val="14"/>
                                </w:rPr>
                                <w:t>-</w:t>
                              </w:r>
                              <w:r>
                                <w:rPr>
                                  <w:color w:val="50314F"/>
                                  <w:w w:val="115"/>
                                  <w:sz w:val="14"/>
                                </w:rPr>
                                <w:t>-</w:t>
                              </w:r>
                              <w:r>
                                <w:rPr>
                                  <w:color w:val="C3A5B1"/>
                                  <w:w w:val="115"/>
                                  <w:sz w:val="14"/>
                                </w:rPr>
                                <w:t>-</w:t>
                              </w:r>
                              <w:r>
                                <w:rPr>
                                  <w:color w:val="594B5D"/>
                                  <w:spacing w:val="-5"/>
                                  <w:w w:val="115"/>
                                  <w:sz w:val="14"/>
                                </w:rPr>
                                <w:t>=</w:t>
                              </w:r>
                              <w:r>
                                <w:rPr>
                                  <w:color w:val="C4C4C1"/>
                                  <w:spacing w:val="-5"/>
                                  <w:w w:val="115"/>
                                  <w:sz w:val="14"/>
                                </w:rPr>
                                <w:t>-</w:t>
                              </w:r>
                            </w:p>
                          </w:txbxContent>
                        </wps:txbx>
                        <wps:bodyPr wrap="square" lIns="0" tIns="0" rIns="0" bIns="0" rtlCol="0">
                          <a:noAutofit/>
                        </wps:bodyPr>
                      </wps:wsp>
                      <wps:wsp>
                        <wps:cNvPr id="238" name="Textbox 238"/>
                        <wps:cNvSpPr txBox="1"/>
                        <wps:spPr>
                          <a:xfrm>
                            <a:off x="2944604" y="1081851"/>
                            <a:ext cx="288925" cy="156845"/>
                          </a:xfrm>
                          <a:prstGeom prst="rect">
                            <a:avLst/>
                          </a:prstGeom>
                        </wps:spPr>
                        <wps:txbx>
                          <w:txbxContent>
                            <w:p>
                              <w:pPr>
                                <w:tabs>
                                  <w:tab w:pos="337" w:val="left" w:leader="none"/>
                                </w:tabs>
                                <w:spacing w:line="246" w:lineRule="exact" w:before="0"/>
                                <w:ind w:left="20" w:right="0" w:firstLine="0"/>
                                <w:jc w:val="left"/>
                                <w:rPr>
                                  <w:sz w:val="22"/>
                                </w:rPr>
                              </w:pPr>
                              <w:r>
                                <w:rPr>
                                  <w:rFonts w:ascii="Times New Roman"/>
                                  <w:i/>
                                  <w:color w:val="7C798E"/>
                                  <w:spacing w:val="-5"/>
                                  <w:w w:val="105"/>
                                  <w:sz w:val="12"/>
                                </w:rPr>
                                <w:t>'f</w:t>
                              </w:r>
                              <w:r>
                                <w:rPr>
                                  <w:rFonts w:ascii="Times New Roman"/>
                                  <w:i/>
                                  <w:color w:val="7C798E"/>
                                  <w:sz w:val="12"/>
                                </w:rPr>
                                <w:tab/>
                              </w:r>
                              <w:r>
                                <w:rPr>
                                  <w:color w:val="7C798E"/>
                                  <w:spacing w:val="-10"/>
                                  <w:w w:val="105"/>
                                  <w:sz w:val="22"/>
                                </w:rPr>
                                <w:t>x</w:t>
                              </w:r>
                            </w:p>
                          </w:txbxContent>
                        </wps:txbx>
                        <wps:bodyPr wrap="square" lIns="0" tIns="0" rIns="0" bIns="0" rtlCol="0">
                          <a:noAutofit/>
                        </wps:bodyPr>
                      </wps:wsp>
                      <wps:wsp>
                        <wps:cNvPr id="239" name="Textbox 239"/>
                        <wps:cNvSpPr txBox="1"/>
                        <wps:spPr>
                          <a:xfrm>
                            <a:off x="856412" y="2210276"/>
                            <a:ext cx="1852295" cy="145415"/>
                          </a:xfrm>
                          <a:prstGeom prst="rect">
                            <a:avLst/>
                          </a:prstGeom>
                        </wps:spPr>
                        <wps:txbx>
                          <w:txbxContent>
                            <w:p>
                              <w:pPr>
                                <w:tabs>
                                  <w:tab w:pos="1612" w:val="left" w:leader="none"/>
                                  <w:tab w:pos="1969" w:val="left" w:leader="none"/>
                                </w:tabs>
                                <w:spacing w:before="13"/>
                                <w:ind w:left="20" w:right="0" w:firstLine="0"/>
                                <w:jc w:val="left"/>
                                <w:rPr>
                                  <w:rFonts w:ascii="Times New Roman"/>
                                  <w:sz w:val="17"/>
                                </w:rPr>
                              </w:pPr>
                              <w:r>
                                <w:rPr>
                                  <w:rFonts w:ascii="Times New Roman"/>
                                  <w:color w:val="7C798E"/>
                                  <w:sz w:val="17"/>
                                </w:rPr>
                                <w:t>vlr;,;::ulc:dos</w:t>
                              </w:r>
                              <w:r>
                                <w:rPr>
                                  <w:rFonts w:ascii="Times New Roman"/>
                                  <w:color w:val="7C798E"/>
                                  <w:spacing w:val="76"/>
                                  <w:w w:val="150"/>
                                  <w:sz w:val="17"/>
                                </w:rPr>
                                <w:t> </w:t>
                              </w:r>
                              <w:r>
                                <w:rPr>
                                  <w:rFonts w:ascii="Times New Roman"/>
                                  <w:color w:val="6B6272"/>
                                  <w:spacing w:val="-5"/>
                                  <w:w w:val="110"/>
                                  <w:sz w:val="17"/>
                                </w:rPr>
                                <w:t>c</w:t>
                              </w:r>
                              <w:r>
                                <w:rPr>
                                  <w:rFonts w:ascii="Times New Roman"/>
                                  <w:color w:val="7C798E"/>
                                  <w:spacing w:val="-5"/>
                                  <w:w w:val="110"/>
                                  <w:sz w:val="17"/>
                                </w:rPr>
                                <w:t>on</w:t>
                              </w:r>
                              <w:r>
                                <w:rPr>
                                  <w:rFonts w:ascii="Times New Roman"/>
                                  <w:color w:val="7C798E"/>
                                  <w:sz w:val="17"/>
                                </w:rPr>
                                <w:tab/>
                              </w:r>
                              <w:r>
                                <w:rPr>
                                  <w:rFonts w:ascii="Times New Roman"/>
                                  <w:color w:val="7C798E"/>
                                  <w:spacing w:val="-5"/>
                                  <w:w w:val="110"/>
                                  <w:sz w:val="17"/>
                                </w:rPr>
                                <w:t>la</w:t>
                              </w:r>
                              <w:r>
                                <w:rPr>
                                  <w:rFonts w:ascii="Times New Roman"/>
                                  <w:color w:val="7C798E"/>
                                  <w:sz w:val="17"/>
                                </w:rPr>
                                <w:tab/>
                              </w:r>
                              <w:r>
                                <w:rPr>
                                  <w:rFonts w:ascii="Times New Roman"/>
                                  <w:color w:val="7C798E"/>
                                  <w:spacing w:val="-2"/>
                                  <w:w w:val="110"/>
                                  <w:sz w:val="17"/>
                                </w:rPr>
                                <w:t>plan</w:t>
                              </w:r>
                              <w:r>
                                <w:rPr>
                                  <w:rFonts w:ascii="Times New Roman"/>
                                  <w:color w:val="9379B3"/>
                                  <w:spacing w:val="-2"/>
                                  <w:w w:val="110"/>
                                  <w:sz w:val="17"/>
                                </w:rPr>
                                <w:t>l</w:t>
                              </w:r>
                              <w:r>
                                <w:rPr>
                                  <w:rFonts w:ascii="Times New Roman"/>
                                  <w:color w:val="7C798E"/>
                                  <w:spacing w:val="-2"/>
                                  <w:w w:val="110"/>
                                  <w:sz w:val="17"/>
                                </w:rPr>
                                <w:t>lko=</w:t>
                              </w:r>
                              <w:r>
                                <w:rPr>
                                  <w:rFonts w:ascii="Times New Roman"/>
                                  <w:color w:val="9A8595"/>
                                  <w:spacing w:val="-2"/>
                                  <w:w w:val="110"/>
                                  <w:sz w:val="17"/>
                                </w:rPr>
                                <w:t>lo</w:t>
                              </w:r>
                            </w:p>
                          </w:txbxContent>
                        </wps:txbx>
                        <wps:bodyPr wrap="square" lIns="0" tIns="0" rIns="0" bIns="0" rtlCol="0">
                          <a:noAutofit/>
                        </wps:bodyPr>
                      </wps:wsp>
                      <wps:wsp>
                        <wps:cNvPr id="240" name="Textbox 240"/>
                        <wps:cNvSpPr txBox="1"/>
                        <wps:spPr>
                          <a:xfrm>
                            <a:off x="2865557" y="2210276"/>
                            <a:ext cx="162560" cy="145415"/>
                          </a:xfrm>
                          <a:prstGeom prst="rect">
                            <a:avLst/>
                          </a:prstGeom>
                        </wps:spPr>
                        <wps:txbx>
                          <w:txbxContent>
                            <w:p>
                              <w:pPr>
                                <w:spacing w:before="13"/>
                                <w:ind w:left="20" w:right="0" w:firstLine="0"/>
                                <w:jc w:val="left"/>
                                <w:rPr>
                                  <w:rFonts w:ascii="Times New Roman"/>
                                  <w:sz w:val="17"/>
                                </w:rPr>
                              </w:pPr>
                              <w:r>
                                <w:rPr>
                                  <w:rFonts w:ascii="Times New Roman"/>
                                  <w:color w:val="7C798E"/>
                                  <w:spacing w:val="-5"/>
                                  <w:w w:val="115"/>
                                  <w:sz w:val="17"/>
                                </w:rPr>
                                <w:t>do</w:t>
                              </w:r>
                            </w:p>
                          </w:txbxContent>
                        </wps:txbx>
                        <wps:bodyPr wrap="square" lIns="0" tIns="0" rIns="0" bIns="0" rtlCol="0">
                          <a:noAutofit/>
                        </wps:bodyPr>
                      </wps:wsp>
                      <wps:wsp>
                        <wps:cNvPr id="241" name="Textbox 241"/>
                        <wps:cNvSpPr txBox="1"/>
                        <wps:spPr>
                          <a:xfrm>
                            <a:off x="2953953" y="2100415"/>
                            <a:ext cx="291465" cy="145415"/>
                          </a:xfrm>
                          <a:prstGeom prst="rect">
                            <a:avLst/>
                          </a:prstGeom>
                        </wps:spPr>
                        <wps:txbx>
                          <w:txbxContent>
                            <w:p>
                              <w:pPr>
                                <w:tabs>
                                  <w:tab w:pos="323" w:val="left" w:leader="none"/>
                                </w:tabs>
                                <w:spacing w:before="13"/>
                                <w:ind w:left="20" w:right="0" w:firstLine="0"/>
                                <w:jc w:val="left"/>
                                <w:rPr>
                                  <w:sz w:val="16"/>
                                </w:rPr>
                              </w:pPr>
                              <w:r>
                                <w:rPr>
                                  <w:rFonts w:ascii="Times New Roman"/>
                                  <w:color w:val="7C798E"/>
                                  <w:spacing w:val="-10"/>
                                  <w:sz w:val="17"/>
                                </w:rPr>
                                <w:t>n</w:t>
                              </w:r>
                              <w:r>
                                <w:rPr>
                                  <w:rFonts w:ascii="Times New Roman"/>
                                  <w:color w:val="7C798E"/>
                                  <w:sz w:val="17"/>
                                </w:rPr>
                                <w:tab/>
                              </w:r>
                              <w:r>
                                <w:rPr>
                                  <w:color w:val="7C798E"/>
                                  <w:spacing w:val="-10"/>
                                  <w:sz w:val="16"/>
                                </w:rPr>
                                <w:t>X</w:t>
                              </w:r>
                            </w:p>
                          </w:txbxContent>
                        </wps:txbx>
                        <wps:bodyPr wrap="square" lIns="0" tIns="0" rIns="0" bIns="0" rtlCol="0">
                          <a:noAutofit/>
                        </wps:bodyPr>
                      </wps:wsp>
                      <wps:wsp>
                        <wps:cNvPr id="242" name="Textbox 242"/>
                        <wps:cNvSpPr txBox="1"/>
                        <wps:spPr>
                          <a:xfrm>
                            <a:off x="869254" y="2402109"/>
                            <a:ext cx="935355" cy="187960"/>
                          </a:xfrm>
                          <a:prstGeom prst="rect">
                            <a:avLst/>
                          </a:prstGeom>
                        </wps:spPr>
                        <wps:txbx>
                          <w:txbxContent>
                            <w:p>
                              <w:pPr>
                                <w:spacing w:before="10"/>
                                <w:ind w:left="20" w:right="0" w:firstLine="0"/>
                                <w:jc w:val="left"/>
                                <w:rPr>
                                  <w:rFonts w:ascii="Times New Roman"/>
                                  <w:sz w:val="23"/>
                                </w:rPr>
                              </w:pPr>
                              <w:r>
                                <w:rPr>
                                  <w:rFonts w:ascii="Times New Roman"/>
                                  <w:color w:val="7C798E"/>
                                  <w:sz w:val="17"/>
                                </w:rPr>
                                <w:t>la</w:t>
                              </w:r>
                              <w:r>
                                <w:rPr>
                                  <w:rFonts w:ascii="Times New Roman"/>
                                  <w:color w:val="7C798E"/>
                                  <w:spacing w:val="8"/>
                                  <w:sz w:val="17"/>
                                </w:rPr>
                                <w:t> </w:t>
                              </w:r>
                              <w:r>
                                <w:rPr>
                                  <w:rFonts w:ascii="Times New Roman"/>
                                  <w:color w:val="7C798E"/>
                                  <w:sz w:val="14"/>
                                </w:rPr>
                                <w:t>K'ormCI</w:t>
                              </w:r>
                              <w:r>
                                <w:rPr>
                                  <w:rFonts w:ascii="Times New Roman"/>
                                  <w:color w:val="7C798E"/>
                                  <w:spacing w:val="38"/>
                                  <w:sz w:val="14"/>
                                </w:rPr>
                                <w:t>  </w:t>
                              </w:r>
                              <w:r>
                                <w:rPr>
                                  <w:rFonts w:ascii="Times New Roman"/>
                                  <w:color w:val="6E3F97"/>
                                  <w:sz w:val="14"/>
                                </w:rPr>
                                <w:t>.</w:t>
                              </w:r>
                              <w:r>
                                <w:rPr>
                                  <w:rFonts w:ascii="Times New Roman"/>
                                  <w:color w:val="6E3F97"/>
                                  <w:spacing w:val="-17"/>
                                  <w:sz w:val="14"/>
                                </w:rPr>
                                <w:t> </w:t>
                              </w:r>
                              <w:r>
                                <w:rPr>
                                  <w:color w:val="9379B3"/>
                                  <w:sz w:val="16"/>
                                </w:rPr>
                                <w:t>1</w:t>
                              </w:r>
                              <w:r>
                                <w:rPr>
                                  <w:color w:val="9379B3"/>
                                  <w:spacing w:val="-23"/>
                                  <w:sz w:val="16"/>
                                </w:rPr>
                                <w:t> </w:t>
                              </w:r>
                              <w:r>
                                <w:rPr>
                                  <w:rFonts w:ascii="Times New Roman"/>
                                  <w:color w:val="A19E9E"/>
                                  <w:sz w:val="14"/>
                                </w:rPr>
                                <w:t>_</w:t>
                              </w:r>
                              <w:r>
                                <w:rPr>
                                  <w:rFonts w:ascii="Times New Roman"/>
                                  <w:color w:val="594B5D"/>
                                  <w:sz w:val="14"/>
                                </w:rPr>
                                <w:t>4</w:t>
                              </w:r>
                              <w:r>
                                <w:rPr>
                                  <w:rFonts w:ascii="Times New Roman"/>
                                  <w:color w:val="594B5D"/>
                                  <w:spacing w:val="21"/>
                                  <w:sz w:val="14"/>
                                </w:rPr>
                                <w:t> </w:t>
                              </w:r>
                              <w:r>
                                <w:rPr>
                                  <w:rFonts w:ascii="Times New Roman"/>
                                  <w:color w:val="7C798E"/>
                                  <w:spacing w:val="-5"/>
                                  <w:sz w:val="23"/>
                                </w:rPr>
                                <w:t>oo</w:t>
                              </w:r>
                            </w:p>
                          </w:txbxContent>
                        </wps:txbx>
                        <wps:bodyPr wrap="square" lIns="0" tIns="0" rIns="0" bIns="0" rtlCol="0">
                          <a:noAutofit/>
                        </wps:bodyPr>
                      </wps:wsp>
                      <wps:wsp>
                        <wps:cNvPr id="243" name="Textbox 243"/>
                        <wps:cNvSpPr txBox="1"/>
                        <wps:spPr>
                          <a:xfrm>
                            <a:off x="871633" y="2323188"/>
                            <a:ext cx="861694" cy="145415"/>
                          </a:xfrm>
                          <a:prstGeom prst="rect">
                            <a:avLst/>
                          </a:prstGeom>
                        </wps:spPr>
                        <wps:txbx>
                          <w:txbxContent>
                            <w:p>
                              <w:pPr>
                                <w:spacing w:before="13"/>
                                <w:ind w:left="20" w:right="0" w:firstLine="0"/>
                                <w:jc w:val="left"/>
                                <w:rPr>
                                  <w:rFonts w:ascii="Times New Roman"/>
                                  <w:sz w:val="17"/>
                                </w:rPr>
                              </w:pPr>
                              <w:r>
                                <w:rPr>
                                  <w:rFonts w:ascii="Times New Roman"/>
                                  <w:color w:val="7C798E"/>
                                  <w:w w:val="115"/>
                                  <w:sz w:val="17"/>
                                </w:rPr>
                                <w:t>mcdlan.ov</w:t>
                              </w:r>
                              <w:r>
                                <w:rPr>
                                  <w:rFonts w:ascii="Times New Roman"/>
                                  <w:color w:val="7C798E"/>
                                  <w:spacing w:val="20"/>
                                  <w:w w:val="115"/>
                                  <w:sz w:val="17"/>
                                </w:rPr>
                                <w:t> </w:t>
                              </w:r>
                              <w:r>
                                <w:rPr>
                                  <w:rFonts w:ascii="Times New Roman"/>
                                  <w:color w:val="7C798E"/>
                                  <w:spacing w:val="-2"/>
                                  <w:w w:val="115"/>
                                  <w:sz w:val="17"/>
                                </w:rPr>
                                <w:t>lcrgo</w:t>
                              </w:r>
                            </w:p>
                          </w:txbxContent>
                        </wps:txbx>
                        <wps:bodyPr wrap="square" lIns="0" tIns="0" rIns="0" bIns="0" rtlCol="0">
                          <a:noAutofit/>
                        </wps:bodyPr>
                      </wps:wsp>
                      <wps:wsp>
                        <wps:cNvPr id="244" name="Textbox 244"/>
                        <wps:cNvSpPr txBox="1"/>
                        <wps:spPr>
                          <a:xfrm>
                            <a:off x="2346480" y="2323188"/>
                            <a:ext cx="633095" cy="145415"/>
                          </a:xfrm>
                          <a:prstGeom prst="rect">
                            <a:avLst/>
                          </a:prstGeom>
                        </wps:spPr>
                        <wps:txbx>
                          <w:txbxContent>
                            <w:p>
                              <w:pPr>
                                <w:spacing w:before="13"/>
                                <w:ind w:left="20" w:right="0" w:firstLine="0"/>
                                <w:jc w:val="left"/>
                                <w:rPr>
                                  <w:rFonts w:ascii="Times New Roman"/>
                                  <w:sz w:val="17"/>
                                </w:rPr>
                              </w:pPr>
                              <w:r>
                                <w:rPr>
                                  <w:rFonts w:ascii="Times New Roman"/>
                                  <w:color w:val="A19E9E"/>
                                  <w:spacing w:val="-2"/>
                                  <w:w w:val="125"/>
                                  <w:sz w:val="17"/>
                                </w:rPr>
                                <w:t>b</w:t>
                              </w:r>
                              <w:r>
                                <w:rPr>
                                  <w:rFonts w:ascii="Times New Roman"/>
                                  <w:color w:val="E8B170"/>
                                  <w:spacing w:val="-2"/>
                                  <w:w w:val="125"/>
                                  <w:sz w:val="17"/>
                                </w:rPr>
                                <w:t>,</w:t>
                              </w:r>
                              <w:r>
                                <w:rPr>
                                  <w:rFonts w:ascii="Times New Roman"/>
                                  <w:color w:val="7C798E"/>
                                  <w:spacing w:val="-2"/>
                                  <w:w w:val="125"/>
                                  <w:sz w:val="17"/>
                                </w:rPr>
                                <w:t>mioblbce</w:t>
                              </w:r>
                            </w:p>
                          </w:txbxContent>
                        </wps:txbx>
                        <wps:bodyPr wrap="square" lIns="0" tIns="0" rIns="0" bIns="0" rtlCol="0">
                          <a:noAutofit/>
                        </wps:bodyPr>
                      </wps:wsp>
                      <wps:wsp>
                        <wps:cNvPr id="245" name="Textbox 245"/>
                        <wps:cNvSpPr txBox="1"/>
                        <wps:spPr>
                          <a:xfrm>
                            <a:off x="862271" y="2777891"/>
                            <a:ext cx="644525" cy="493395"/>
                          </a:xfrm>
                          <a:prstGeom prst="rect">
                            <a:avLst/>
                          </a:prstGeom>
                        </wps:spPr>
                        <wps:txbx>
                          <w:txbxContent>
                            <w:p>
                              <w:pPr>
                                <w:spacing w:line="184" w:lineRule="exact" w:before="13"/>
                                <w:ind w:left="36" w:right="0" w:firstLine="0"/>
                                <w:jc w:val="left"/>
                                <w:rPr>
                                  <w:rFonts w:ascii="Times New Roman"/>
                                  <w:sz w:val="17"/>
                                </w:rPr>
                              </w:pPr>
                              <w:r>
                                <w:rPr>
                                  <w:rFonts w:ascii="Times New Roman"/>
                                  <w:color w:val="7C798E"/>
                                  <w:spacing w:val="-2"/>
                                  <w:w w:val="110"/>
                                  <w:sz w:val="17"/>
                                </w:rPr>
                                <w:t>prcsu</w:t>
                              </w:r>
                            </w:p>
                            <w:p>
                              <w:pPr>
                                <w:tabs>
                                  <w:tab w:pos="699" w:val="left" w:leader="none"/>
                                </w:tabs>
                                <w:spacing w:line="184" w:lineRule="exact" w:before="0"/>
                                <w:ind w:left="30" w:right="0" w:firstLine="0"/>
                                <w:jc w:val="left"/>
                                <w:rPr>
                                  <w:rFonts w:ascii="Times New Roman"/>
                                  <w:sz w:val="16"/>
                                </w:rPr>
                              </w:pPr>
                              <w:r>
                                <w:rPr>
                                  <w:rFonts w:ascii="Times New Roman"/>
                                  <w:color w:val="7C798E"/>
                                  <w:w w:val="110"/>
                                  <w:sz w:val="17"/>
                                </w:rPr>
                                <w:t>la</w:t>
                              </w:r>
                              <w:r>
                                <w:rPr>
                                  <w:rFonts w:ascii="Times New Roman"/>
                                  <w:color w:val="7C798E"/>
                                  <w:spacing w:val="43"/>
                                  <w:w w:val="110"/>
                                  <w:sz w:val="17"/>
                                </w:rPr>
                                <w:t>  </w:t>
                              </w:r>
                              <w:r>
                                <w:rPr>
                                  <w:color w:val="9379B3"/>
                                  <w:spacing w:val="-7"/>
                                  <w:w w:val="110"/>
                                  <w:sz w:val="16"/>
                                </w:rPr>
                                <w:t>I</w:t>
                              </w:r>
                              <w:r>
                                <w:rPr>
                                  <w:color w:val="7C798E"/>
                                  <w:spacing w:val="-7"/>
                                  <w:w w:val="110"/>
                                  <w:sz w:val="16"/>
                                </w:rPr>
                                <w:t>n</w:t>
                              </w:r>
                              <w:r>
                                <w:rPr>
                                  <w:color w:val="7C798E"/>
                                  <w:sz w:val="16"/>
                                </w:rPr>
                                <w:tab/>
                              </w:r>
                              <w:r>
                                <w:rPr>
                                  <w:rFonts w:ascii="Times New Roman"/>
                                  <w:color w:val="7C798E"/>
                                  <w:spacing w:val="-5"/>
                                  <w:w w:val="110"/>
                                  <w:sz w:val="16"/>
                                </w:rPr>
                                <w:t>ud6</w:t>
                              </w:r>
                            </w:p>
                            <w:p>
                              <w:pPr>
                                <w:spacing w:before="28"/>
                                <w:ind w:left="20" w:right="0" w:firstLine="0"/>
                                <w:jc w:val="left"/>
                                <w:rPr>
                                  <w:sz w:val="13"/>
                                  <w:szCs w:val="13"/>
                                </w:rPr>
                              </w:pPr>
                              <w:r>
                                <w:rPr>
                                  <w:color w:val="7C798E"/>
                                  <w:spacing w:val="-4"/>
                                  <w:w w:val="290"/>
                                  <w:sz w:val="13"/>
                                  <w:szCs w:val="13"/>
                                </w:rPr>
                                <w:t>�tos,</w:t>
                              </w:r>
                            </w:p>
                            <w:p>
                              <w:pPr>
                                <w:spacing w:before="2"/>
                                <w:ind w:left="0" w:right="41" w:firstLine="0"/>
                                <w:jc w:val="center"/>
                                <w:rPr>
                                  <w:rFonts w:ascii="Times New Roman"/>
                                  <w:sz w:val="17"/>
                                </w:rPr>
                              </w:pPr>
                              <w:r>
                                <w:rPr>
                                  <w:rFonts w:ascii="Times New Roman"/>
                                  <w:color w:val="7C798E"/>
                                  <w:spacing w:val="-10"/>
                                  <w:w w:val="310"/>
                                  <w:sz w:val="17"/>
                                </w:rPr>
                                <w:t>u</w:t>
                              </w:r>
                            </w:p>
                          </w:txbxContent>
                        </wps:txbx>
                        <wps:bodyPr wrap="square" lIns="0" tIns="0" rIns="0" bIns="0" rtlCol="0">
                          <a:noAutofit/>
                        </wps:bodyPr>
                      </wps:wsp>
                      <wps:wsp>
                        <wps:cNvPr id="246" name="Textbox 246"/>
                        <wps:cNvSpPr txBox="1"/>
                        <wps:spPr>
                          <a:xfrm>
                            <a:off x="253168" y="3921386"/>
                            <a:ext cx="161290" cy="81915"/>
                          </a:xfrm>
                          <a:prstGeom prst="rect">
                            <a:avLst/>
                          </a:prstGeom>
                        </wps:spPr>
                        <wps:txbx>
                          <w:txbxContent>
                            <w:p>
                              <w:pPr>
                                <w:spacing w:before="16"/>
                                <w:ind w:left="20" w:right="0" w:firstLine="0"/>
                                <w:jc w:val="left"/>
                                <w:rPr>
                                  <w:rFonts w:ascii="Times New Roman" w:hAnsi="Times New Roman" w:cs="Times New Roman" w:eastAsia="Times New Roman"/>
                                  <w:sz w:val="8"/>
                                  <w:szCs w:val="8"/>
                                </w:rPr>
                              </w:pPr>
                              <w:r>
                                <w:rPr>
                                  <w:rFonts w:ascii="Times New Roman" w:hAnsi="Times New Roman" w:cs="Times New Roman" w:eastAsia="Times New Roman"/>
                                  <w:color w:val="9A8595"/>
                                  <w:spacing w:val="-10"/>
                                  <w:w w:val="290"/>
                                  <w:sz w:val="8"/>
                                  <w:szCs w:val="8"/>
                                </w:rPr>
                                <w:t>�</w:t>
                              </w:r>
                            </w:p>
                          </w:txbxContent>
                        </wps:txbx>
                        <wps:bodyPr wrap="square" lIns="0" tIns="0" rIns="0" bIns="0" rtlCol="0">
                          <a:noAutofit/>
                        </wps:bodyPr>
                      </wps:wsp>
                      <wps:wsp>
                        <wps:cNvPr id="247" name="Textbox 247"/>
                        <wps:cNvSpPr txBox="1"/>
                        <wps:spPr>
                          <a:xfrm>
                            <a:off x="1548542" y="3921386"/>
                            <a:ext cx="447675" cy="81915"/>
                          </a:xfrm>
                          <a:prstGeom prst="rect">
                            <a:avLst/>
                          </a:prstGeom>
                        </wps:spPr>
                        <wps:txbx>
                          <w:txbxContent>
                            <w:p>
                              <w:pPr>
                                <w:spacing w:before="16"/>
                                <w:ind w:left="20" w:right="0" w:firstLine="0"/>
                                <w:jc w:val="left"/>
                                <w:rPr>
                                  <w:rFonts w:ascii="Times New Roman" w:hAnsi="Times New Roman" w:cs="Times New Roman" w:eastAsia="Times New Roman"/>
                                  <w:sz w:val="8"/>
                                  <w:szCs w:val="8"/>
                                </w:rPr>
                              </w:pPr>
                              <w:r>
                                <w:rPr>
                                  <w:rFonts w:ascii="Times New Roman" w:hAnsi="Times New Roman" w:cs="Times New Roman" w:eastAsia="Times New Roman"/>
                                  <w:color w:val="7C798E"/>
                                  <w:spacing w:val="-2"/>
                                  <w:w w:val="215"/>
                                  <w:sz w:val="8"/>
                                  <w:szCs w:val="8"/>
                                </w:rPr>
                                <w:t>Ofi.CU�</w:t>
                              </w:r>
                            </w:p>
                          </w:txbxContent>
                        </wps:txbx>
                        <wps:bodyPr wrap="square" lIns="0" tIns="0" rIns="0" bIns="0" rtlCol="0">
                          <a:noAutofit/>
                        </wps:bodyPr>
                      </wps:wsp>
                      <wps:wsp>
                        <wps:cNvPr id="248" name="Textbox 248"/>
                        <wps:cNvSpPr txBox="1"/>
                        <wps:spPr>
                          <a:xfrm>
                            <a:off x="2239743" y="3876730"/>
                            <a:ext cx="1010285" cy="495934"/>
                          </a:xfrm>
                          <a:prstGeom prst="rect">
                            <a:avLst/>
                          </a:prstGeom>
                        </wps:spPr>
                        <wps:txbx>
                          <w:txbxContent>
                            <w:p>
                              <w:pPr>
                                <w:spacing w:before="20"/>
                                <w:ind w:left="0" w:right="38" w:firstLine="0"/>
                                <w:jc w:val="right"/>
                                <w:rPr>
                                  <w:rFonts w:ascii="Courier New"/>
                                  <w:sz w:val="17"/>
                                </w:rPr>
                              </w:pPr>
                              <w:r>
                                <w:rPr>
                                  <w:rFonts w:ascii="Courier New"/>
                                  <w:color w:val="7C798E"/>
                                  <w:w w:val="195"/>
                                  <w:sz w:val="17"/>
                                </w:rPr>
                                <w:t>b</w:t>
                              </w:r>
                              <w:r>
                                <w:rPr>
                                  <w:rFonts w:ascii="Courier New"/>
                                  <w:color w:val="7C798E"/>
                                  <w:spacing w:val="-32"/>
                                  <w:w w:val="195"/>
                                  <w:sz w:val="17"/>
                                </w:rPr>
                                <w:t> </w:t>
                              </w:r>
                              <w:r>
                                <w:rPr>
                                  <w:rFonts w:ascii="Courier New"/>
                                  <w:color w:val="7C798E"/>
                                  <w:spacing w:val="-10"/>
                                  <w:w w:val="125"/>
                                  <w:sz w:val="17"/>
                                </w:rPr>
                                <w:t>X</w:t>
                              </w:r>
                            </w:p>
                            <w:p>
                              <w:pPr>
                                <w:spacing w:line="187" w:lineRule="exact" w:before="175"/>
                                <w:ind w:left="20" w:right="0" w:firstLine="0"/>
                                <w:jc w:val="left"/>
                                <w:rPr>
                                  <w:rFonts w:ascii="Times New Roman" w:hAnsi="Times New Roman" w:cs="Times New Roman" w:eastAsia="Times New Roman"/>
                                  <w:sz w:val="17"/>
                                  <w:szCs w:val="17"/>
                                </w:rPr>
                              </w:pPr>
                              <w:r>
                                <w:rPr>
                                  <w:color w:val="7C798E"/>
                                  <w:spacing w:val="-2"/>
                                  <w:w w:val="115"/>
                                  <w:sz w:val="16"/>
                                  <w:szCs w:val="16"/>
                                </w:rPr>
                                <w:t>blk:c</w:t>
                              </w:r>
                              <w:r>
                                <w:rPr>
                                  <w:color w:val="8797AC"/>
                                  <w:spacing w:val="-2"/>
                                  <w:w w:val="115"/>
                                  <w:sz w:val="16"/>
                                  <w:szCs w:val="16"/>
                                </w:rPr>
                                <w:t>�.</w:t>
                              </w:r>
                              <w:r>
                                <w:rPr>
                                  <w:color w:val="8797AC"/>
                                  <w:spacing w:val="-31"/>
                                  <w:w w:val="115"/>
                                  <w:sz w:val="16"/>
                                  <w:szCs w:val="16"/>
                                </w:rPr>
                                <w:t> </w:t>
                              </w:r>
                              <w:r>
                                <w:rPr>
                                  <w:rFonts w:ascii="Times New Roman" w:hAnsi="Times New Roman" w:cs="Times New Roman" w:eastAsia="Times New Roman"/>
                                  <w:color w:val="7C798E"/>
                                  <w:spacing w:val="-2"/>
                                  <w:w w:val="115"/>
                                  <w:sz w:val="16"/>
                                  <w:szCs w:val="16"/>
                                </w:rPr>
                                <w:t>�bn:i</w:t>
                              </w:r>
                              <w:r>
                                <w:rPr>
                                  <w:rFonts w:ascii="Times New Roman" w:hAnsi="Times New Roman" w:cs="Times New Roman" w:eastAsia="Times New Roman"/>
                                  <w:color w:val="7C798E"/>
                                  <w:spacing w:val="28"/>
                                  <w:w w:val="115"/>
                                  <w:sz w:val="16"/>
                                  <w:szCs w:val="16"/>
                                </w:rPr>
                                <w:t> </w:t>
                              </w:r>
                              <w:r>
                                <w:rPr>
                                  <w:rFonts w:ascii="Times New Roman" w:hAnsi="Times New Roman" w:cs="Times New Roman" w:eastAsia="Times New Roman"/>
                                  <w:color w:val="7C798E"/>
                                  <w:spacing w:val="-5"/>
                                  <w:w w:val="115"/>
                                  <w:sz w:val="17"/>
                                  <w:szCs w:val="17"/>
                                </w:rPr>
                                <w:t>la</w:t>
                              </w:r>
                            </w:p>
                            <w:p>
                              <w:pPr>
                                <w:tabs>
                                  <w:tab w:pos="1115" w:val="left" w:leader="none"/>
                                </w:tabs>
                                <w:spacing w:line="187" w:lineRule="exact" w:before="0"/>
                                <w:ind w:left="79" w:right="0" w:firstLine="0"/>
                                <w:jc w:val="left"/>
                                <w:rPr>
                                  <w:rFonts w:ascii="Times New Roman"/>
                                  <w:sz w:val="17"/>
                                </w:rPr>
                              </w:pPr>
                              <w:r>
                                <w:rPr>
                                  <w:rFonts w:ascii="Times New Roman"/>
                                  <w:color w:val="7C798E"/>
                                  <w:w w:val="120"/>
                                  <w:sz w:val="17"/>
                                </w:rPr>
                                <w:t>s.</w:t>
                              </w:r>
                              <w:r>
                                <w:rPr>
                                  <w:rFonts w:ascii="Times New Roman"/>
                                  <w:color w:val="6B6272"/>
                                  <w:w w:val="120"/>
                                  <w:sz w:val="17"/>
                                </w:rPr>
                                <w:t>a</w:t>
                              </w:r>
                              <w:r>
                                <w:rPr>
                                  <w:rFonts w:ascii="Times New Roman"/>
                                  <w:color w:val="6B6272"/>
                                  <w:spacing w:val="41"/>
                                  <w:w w:val="120"/>
                                  <w:sz w:val="17"/>
                                </w:rPr>
                                <w:t>  </w:t>
                              </w:r>
                              <w:r>
                                <w:rPr>
                                  <w:rFonts w:ascii="Times New Roman"/>
                                  <w:color w:val="7C798E"/>
                                  <w:spacing w:val="-5"/>
                                  <w:w w:val="120"/>
                                  <w:sz w:val="17"/>
                                </w:rPr>
                                <w:t>bu</w:t>
                              </w:r>
                              <w:r>
                                <w:rPr>
                                  <w:rFonts w:ascii="Times New Roman"/>
                                  <w:color w:val="7C798E"/>
                                  <w:sz w:val="17"/>
                                </w:rPr>
                                <w:tab/>
                              </w:r>
                              <w:r>
                                <w:rPr>
                                  <w:rFonts w:ascii="Times New Roman"/>
                                  <w:color w:val="7C798E"/>
                                  <w:spacing w:val="-10"/>
                                  <w:w w:val="120"/>
                                  <w:sz w:val="17"/>
                                </w:rPr>
                                <w:t>a</w:t>
                              </w:r>
                            </w:p>
                          </w:txbxContent>
                        </wps:txbx>
                        <wps:bodyPr wrap="square" lIns="0" tIns="0" rIns="0" bIns="0" rtlCol="0">
                          <a:noAutofit/>
                        </wps:bodyPr>
                      </wps:wsp>
                      <wps:wsp>
                        <wps:cNvPr id="249" name="Textbox 249"/>
                        <wps:cNvSpPr txBox="1"/>
                        <wps:spPr>
                          <a:xfrm>
                            <a:off x="2577164" y="4776751"/>
                            <a:ext cx="322580" cy="145415"/>
                          </a:xfrm>
                          <a:prstGeom prst="rect">
                            <a:avLst/>
                          </a:prstGeom>
                        </wps:spPr>
                        <wps:txbx>
                          <w:txbxContent>
                            <w:p>
                              <w:pPr>
                                <w:spacing w:before="13"/>
                                <w:ind w:left="20" w:right="0" w:firstLine="0"/>
                                <w:jc w:val="left"/>
                                <w:rPr>
                                  <w:rFonts w:ascii="Times New Roman"/>
                                  <w:sz w:val="17"/>
                                </w:rPr>
                              </w:pPr>
                              <w:r>
                                <w:rPr>
                                  <w:rFonts w:ascii="Times New Roman"/>
                                  <w:color w:val="7C798E"/>
                                  <w:spacing w:val="-4"/>
                                  <w:w w:val="145"/>
                                  <w:sz w:val="17"/>
                                </w:rPr>
                                <w:t>=bre</w:t>
                              </w:r>
                            </w:p>
                          </w:txbxContent>
                        </wps:txbx>
                        <wps:bodyPr wrap="square" lIns="0" tIns="0" rIns="0" bIns="0" rtlCol="0">
                          <a:noAutofit/>
                        </wps:bodyPr>
                      </wps:wsp>
                    </wpg:wgp>
                  </a:graphicData>
                </a:graphic>
              </wp:anchor>
            </w:drawing>
          </mc:Choice>
          <mc:Fallback>
            <w:pict>
              <v:group style="position:absolute;margin-left:114.419243pt;margin-top:24.268446pt;width:262.5pt;height:403.7pt;mso-position-horizontal-relative:page;mso-position-vertical-relative:paragraph;z-index:-15697408;mso-wrap-distance-left:0;mso-wrap-distance-right:0" id="docshapegroup160" coordorigin="2288,485" coordsize="5250,8074">
                <v:shape style="position:absolute;left:3153;top:509;width:1731;height:149" type="#_x0000_t75" id="docshape161" stroked="false">
                  <v:imagedata r:id="rId103" o:title=""/>
                </v:shape>
                <v:shape style="position:absolute;left:3134;top:845;width:4231;height:3119" type="#_x0000_t75" id="docshape162" stroked="false">
                  <v:imagedata r:id="rId104" o:title=""/>
                </v:shape>
                <v:shape style="position:absolute;left:7249;top:850;width:116;height:1019" type="#_x0000_t75" id="docshape163" stroked="false">
                  <v:imagedata r:id="rId105" o:title=""/>
                </v:shape>
                <v:shape style="position:absolute;left:2346;top:4661;width:5193;height:1956" type="#_x0000_t75" id="docshape164" stroked="false">
                  <v:imagedata r:id="rId106" o:title=""/>
                </v:shape>
                <v:shape style="position:absolute;left:3153;top:4656;width:635;height:173" type="#_x0000_t75" id="docshape165" stroked="false">
                  <v:imagedata r:id="rId107" o:title=""/>
                </v:shape>
                <v:line style="position:absolute" from="2322,5772" to="2322,485" stroked="true" strokeweight="1.923013pt" strokecolor="#000000">
                  <v:stroke dashstyle="solid"/>
                </v:line>
                <v:line style="position:absolute" from="2322,8559" to="2322,6060" stroked="true" strokeweight="1.442259pt" strokecolor="#000000">
                  <v:stroke dashstyle="solid"/>
                </v:line>
                <v:line style="position:absolute" from="7096,2696" to="7096,485" stroked="true" strokeweight="1.201883pt" strokecolor="#000000">
                  <v:stroke dashstyle="solid"/>
                </v:line>
                <v:shape style="position:absolute;left:2288;top:504;width:1270;height:1183" id="docshape166" coordorigin="2288,505" coordsize="1270,1183" path="m2288,505l3154,505m2288,841l3154,841m2288,1173l3154,1173m2288,1687l3558,1687e" filled="false" stroked="true" strokeweight=".961335pt" strokecolor="#000000">
                  <v:path arrowok="t"/>
                  <v:stroke dashstyle="solid"/>
                </v:shape>
                <v:line style="position:absolute" from="2288,2215" to="3558,2215" stroked="true" strokeweight="1.201454pt" strokecolor="#000000">
                  <v:stroke dashstyle="solid"/>
                </v:line>
                <v:shape style="position:absolute;left:2288;top:2729;width:866;height:1952" id="docshape167" coordorigin="2288,2730" coordsize="866,1952" path="m2288,2730l3135,2730m2288,3792l3135,3792m2288,4681l3154,4681e" filled="false" stroked="true" strokeweight=".961335pt" strokecolor="#000000">
                  <v:path arrowok="t"/>
                  <v:stroke dashstyle="solid"/>
                </v:shape>
                <v:shape style="position:absolute;left:3342;top:1738;width:196;height:192" id="docshape168" coordorigin="3342,1738" coordsize="196,192" path="m3362,1738l3342,1738,3342,1929,3362,1929,3362,1738xm3538,1738l3495,1738,3495,1929,3538,1929,3538,1738xe" filled="true" fillcolor="#edf2e8" stroked="false">
                  <v:path arrowok="t"/>
                  <v:fill type="solid"/>
                </v:shape>
                <v:shape style="position:absolute;left:4898;top:558;width:422;height:124" type="#_x0000_t202" id="docshape169" filled="false" stroked="false">
                  <v:textbox inset="0,0,0,0">
                    <w:txbxContent>
                      <w:p>
                        <w:pPr>
                          <w:spacing w:line="123" w:lineRule="exact" w:before="0"/>
                          <w:ind w:left="0" w:right="0" w:firstLine="0"/>
                          <w:jc w:val="left"/>
                          <w:rPr>
                            <w:sz w:val="11"/>
                          </w:rPr>
                        </w:pPr>
                        <w:r>
                          <w:rPr>
                            <w:color w:val="7C798E"/>
                            <w:spacing w:val="-2"/>
                            <w:sz w:val="11"/>
                          </w:rPr>
                          <w:t>CKJ:OS</w:t>
                        </w:r>
                      </w:p>
                    </w:txbxContent>
                  </v:textbox>
                  <w10:wrap type="none"/>
                </v:shape>
                <v:shape style="position:absolute;left:3138;top:1756;width:432;height:157" type="#_x0000_t202" id="docshape170" filled="false" stroked="false">
                  <v:textbox inset="0,0,0,0">
                    <w:txbxContent>
                      <w:p>
                        <w:pPr>
                          <w:spacing w:line="157" w:lineRule="exact" w:before="0"/>
                          <w:ind w:left="0" w:right="0" w:firstLine="0"/>
                          <w:jc w:val="left"/>
                          <w:rPr>
                            <w:sz w:val="14"/>
                          </w:rPr>
                        </w:pPr>
                        <w:r>
                          <w:rPr>
                            <w:color w:val="BA899C"/>
                            <w:w w:val="115"/>
                            <w:sz w:val="14"/>
                          </w:rPr>
                          <w:t>1</w:t>
                        </w:r>
                        <w:r>
                          <w:rPr>
                            <w:color w:val="9090CC"/>
                            <w:w w:val="115"/>
                            <w:sz w:val="14"/>
                          </w:rPr>
                          <w:t>-</w:t>
                        </w:r>
                        <w:r>
                          <w:rPr>
                            <w:color w:val="50314F"/>
                            <w:w w:val="115"/>
                            <w:sz w:val="14"/>
                          </w:rPr>
                          <w:t>-</w:t>
                        </w:r>
                        <w:r>
                          <w:rPr>
                            <w:color w:val="C3A5B1"/>
                            <w:w w:val="115"/>
                            <w:sz w:val="14"/>
                          </w:rPr>
                          <w:t>-</w:t>
                        </w:r>
                        <w:r>
                          <w:rPr>
                            <w:color w:val="594B5D"/>
                            <w:spacing w:val="-5"/>
                            <w:w w:val="115"/>
                            <w:sz w:val="14"/>
                          </w:rPr>
                          <w:t>=</w:t>
                        </w:r>
                        <w:r>
                          <w:rPr>
                            <w:color w:val="C4C4C1"/>
                            <w:spacing w:val="-5"/>
                            <w:w w:val="115"/>
                            <w:sz w:val="14"/>
                          </w:rPr>
                          <w:t>-</w:t>
                        </w:r>
                      </w:p>
                    </w:txbxContent>
                  </v:textbox>
                  <w10:wrap type="none"/>
                </v:shape>
                <v:shape style="position:absolute;left:6925;top:2189;width:455;height:247" type="#_x0000_t202" id="docshape171" filled="false" stroked="false">
                  <v:textbox inset="0,0,0,0">
                    <w:txbxContent>
                      <w:p>
                        <w:pPr>
                          <w:tabs>
                            <w:tab w:pos="337" w:val="left" w:leader="none"/>
                          </w:tabs>
                          <w:spacing w:line="246" w:lineRule="exact" w:before="0"/>
                          <w:ind w:left="20" w:right="0" w:firstLine="0"/>
                          <w:jc w:val="left"/>
                          <w:rPr>
                            <w:sz w:val="22"/>
                          </w:rPr>
                        </w:pPr>
                        <w:r>
                          <w:rPr>
                            <w:rFonts w:ascii="Times New Roman"/>
                            <w:i/>
                            <w:color w:val="7C798E"/>
                            <w:spacing w:val="-5"/>
                            <w:w w:val="105"/>
                            <w:sz w:val="12"/>
                          </w:rPr>
                          <w:t>'f</w:t>
                        </w:r>
                        <w:r>
                          <w:rPr>
                            <w:rFonts w:ascii="Times New Roman"/>
                            <w:i/>
                            <w:color w:val="7C798E"/>
                            <w:sz w:val="12"/>
                          </w:rPr>
                          <w:tab/>
                        </w:r>
                        <w:r>
                          <w:rPr>
                            <w:color w:val="7C798E"/>
                            <w:spacing w:val="-10"/>
                            <w:w w:val="105"/>
                            <w:sz w:val="22"/>
                          </w:rPr>
                          <w:t>x</w:t>
                        </w:r>
                      </w:p>
                    </w:txbxContent>
                  </v:textbox>
                  <w10:wrap type="none"/>
                </v:shape>
                <v:shape style="position:absolute;left:3637;top:3966;width:2917;height:229" type="#_x0000_t202" id="docshape172" filled="false" stroked="false">
                  <v:textbox inset="0,0,0,0">
                    <w:txbxContent>
                      <w:p>
                        <w:pPr>
                          <w:tabs>
                            <w:tab w:pos="1612" w:val="left" w:leader="none"/>
                            <w:tab w:pos="1969" w:val="left" w:leader="none"/>
                          </w:tabs>
                          <w:spacing w:before="13"/>
                          <w:ind w:left="20" w:right="0" w:firstLine="0"/>
                          <w:jc w:val="left"/>
                          <w:rPr>
                            <w:rFonts w:ascii="Times New Roman"/>
                            <w:sz w:val="17"/>
                          </w:rPr>
                        </w:pPr>
                        <w:r>
                          <w:rPr>
                            <w:rFonts w:ascii="Times New Roman"/>
                            <w:color w:val="7C798E"/>
                            <w:sz w:val="17"/>
                          </w:rPr>
                          <w:t>vlr;,;::ulc:dos</w:t>
                        </w:r>
                        <w:r>
                          <w:rPr>
                            <w:rFonts w:ascii="Times New Roman"/>
                            <w:color w:val="7C798E"/>
                            <w:spacing w:val="76"/>
                            <w:w w:val="150"/>
                            <w:sz w:val="17"/>
                          </w:rPr>
                          <w:t> </w:t>
                        </w:r>
                        <w:r>
                          <w:rPr>
                            <w:rFonts w:ascii="Times New Roman"/>
                            <w:color w:val="6B6272"/>
                            <w:spacing w:val="-5"/>
                            <w:w w:val="110"/>
                            <w:sz w:val="17"/>
                          </w:rPr>
                          <w:t>c</w:t>
                        </w:r>
                        <w:r>
                          <w:rPr>
                            <w:rFonts w:ascii="Times New Roman"/>
                            <w:color w:val="7C798E"/>
                            <w:spacing w:val="-5"/>
                            <w:w w:val="110"/>
                            <w:sz w:val="17"/>
                          </w:rPr>
                          <w:t>on</w:t>
                        </w:r>
                        <w:r>
                          <w:rPr>
                            <w:rFonts w:ascii="Times New Roman"/>
                            <w:color w:val="7C798E"/>
                            <w:sz w:val="17"/>
                          </w:rPr>
                          <w:tab/>
                        </w:r>
                        <w:r>
                          <w:rPr>
                            <w:rFonts w:ascii="Times New Roman"/>
                            <w:color w:val="7C798E"/>
                            <w:spacing w:val="-5"/>
                            <w:w w:val="110"/>
                            <w:sz w:val="17"/>
                          </w:rPr>
                          <w:t>la</w:t>
                        </w:r>
                        <w:r>
                          <w:rPr>
                            <w:rFonts w:ascii="Times New Roman"/>
                            <w:color w:val="7C798E"/>
                            <w:sz w:val="17"/>
                          </w:rPr>
                          <w:tab/>
                        </w:r>
                        <w:r>
                          <w:rPr>
                            <w:rFonts w:ascii="Times New Roman"/>
                            <w:color w:val="7C798E"/>
                            <w:spacing w:val="-2"/>
                            <w:w w:val="110"/>
                            <w:sz w:val="17"/>
                          </w:rPr>
                          <w:t>plan</w:t>
                        </w:r>
                        <w:r>
                          <w:rPr>
                            <w:rFonts w:ascii="Times New Roman"/>
                            <w:color w:val="9379B3"/>
                            <w:spacing w:val="-2"/>
                            <w:w w:val="110"/>
                            <w:sz w:val="17"/>
                          </w:rPr>
                          <w:t>l</w:t>
                        </w:r>
                        <w:r>
                          <w:rPr>
                            <w:rFonts w:ascii="Times New Roman"/>
                            <w:color w:val="7C798E"/>
                            <w:spacing w:val="-2"/>
                            <w:w w:val="110"/>
                            <w:sz w:val="17"/>
                          </w:rPr>
                          <w:t>lko=</w:t>
                        </w:r>
                        <w:r>
                          <w:rPr>
                            <w:rFonts w:ascii="Times New Roman"/>
                            <w:color w:val="9A8595"/>
                            <w:spacing w:val="-2"/>
                            <w:w w:val="110"/>
                            <w:sz w:val="17"/>
                          </w:rPr>
                          <w:t>lo</w:t>
                        </w:r>
                      </w:p>
                    </w:txbxContent>
                  </v:textbox>
                  <w10:wrap type="none"/>
                </v:shape>
                <v:shape style="position:absolute;left:6801;top:3966;width:256;height:229" type="#_x0000_t202" id="docshape173" filled="false" stroked="false">
                  <v:textbox inset="0,0,0,0">
                    <w:txbxContent>
                      <w:p>
                        <w:pPr>
                          <w:spacing w:before="13"/>
                          <w:ind w:left="20" w:right="0" w:firstLine="0"/>
                          <w:jc w:val="left"/>
                          <w:rPr>
                            <w:rFonts w:ascii="Times New Roman"/>
                            <w:sz w:val="17"/>
                          </w:rPr>
                        </w:pPr>
                        <w:r>
                          <w:rPr>
                            <w:rFonts w:ascii="Times New Roman"/>
                            <w:color w:val="7C798E"/>
                            <w:spacing w:val="-5"/>
                            <w:w w:val="115"/>
                            <w:sz w:val="17"/>
                          </w:rPr>
                          <w:t>do</w:t>
                        </w:r>
                      </w:p>
                    </w:txbxContent>
                  </v:textbox>
                  <w10:wrap type="none"/>
                </v:shape>
                <v:shape style="position:absolute;left:6940;top:3793;width:459;height:229" type="#_x0000_t202" id="docshape174" filled="false" stroked="false">
                  <v:textbox inset="0,0,0,0">
                    <w:txbxContent>
                      <w:p>
                        <w:pPr>
                          <w:tabs>
                            <w:tab w:pos="323" w:val="left" w:leader="none"/>
                          </w:tabs>
                          <w:spacing w:before="13"/>
                          <w:ind w:left="20" w:right="0" w:firstLine="0"/>
                          <w:jc w:val="left"/>
                          <w:rPr>
                            <w:sz w:val="16"/>
                          </w:rPr>
                        </w:pPr>
                        <w:r>
                          <w:rPr>
                            <w:rFonts w:ascii="Times New Roman"/>
                            <w:color w:val="7C798E"/>
                            <w:spacing w:val="-10"/>
                            <w:sz w:val="17"/>
                          </w:rPr>
                          <w:t>n</w:t>
                        </w:r>
                        <w:r>
                          <w:rPr>
                            <w:rFonts w:ascii="Times New Roman"/>
                            <w:color w:val="7C798E"/>
                            <w:sz w:val="17"/>
                          </w:rPr>
                          <w:tab/>
                        </w:r>
                        <w:r>
                          <w:rPr>
                            <w:color w:val="7C798E"/>
                            <w:spacing w:val="-10"/>
                            <w:sz w:val="16"/>
                          </w:rPr>
                          <w:t>X</w:t>
                        </w:r>
                      </w:p>
                    </w:txbxContent>
                  </v:textbox>
                  <w10:wrap type="none"/>
                </v:shape>
                <v:shape style="position:absolute;left:3657;top:4268;width:1473;height:296" type="#_x0000_t202" id="docshape175" filled="false" stroked="false">
                  <v:textbox inset="0,0,0,0">
                    <w:txbxContent>
                      <w:p>
                        <w:pPr>
                          <w:spacing w:before="10"/>
                          <w:ind w:left="20" w:right="0" w:firstLine="0"/>
                          <w:jc w:val="left"/>
                          <w:rPr>
                            <w:rFonts w:ascii="Times New Roman"/>
                            <w:sz w:val="23"/>
                          </w:rPr>
                        </w:pPr>
                        <w:r>
                          <w:rPr>
                            <w:rFonts w:ascii="Times New Roman"/>
                            <w:color w:val="7C798E"/>
                            <w:sz w:val="17"/>
                          </w:rPr>
                          <w:t>la</w:t>
                        </w:r>
                        <w:r>
                          <w:rPr>
                            <w:rFonts w:ascii="Times New Roman"/>
                            <w:color w:val="7C798E"/>
                            <w:spacing w:val="8"/>
                            <w:sz w:val="17"/>
                          </w:rPr>
                          <w:t> </w:t>
                        </w:r>
                        <w:r>
                          <w:rPr>
                            <w:rFonts w:ascii="Times New Roman"/>
                            <w:color w:val="7C798E"/>
                            <w:sz w:val="14"/>
                          </w:rPr>
                          <w:t>K'ormCI</w:t>
                        </w:r>
                        <w:r>
                          <w:rPr>
                            <w:rFonts w:ascii="Times New Roman"/>
                            <w:color w:val="7C798E"/>
                            <w:spacing w:val="38"/>
                            <w:sz w:val="14"/>
                          </w:rPr>
                          <w:t>  </w:t>
                        </w:r>
                        <w:r>
                          <w:rPr>
                            <w:rFonts w:ascii="Times New Roman"/>
                            <w:color w:val="6E3F97"/>
                            <w:sz w:val="14"/>
                          </w:rPr>
                          <w:t>.</w:t>
                        </w:r>
                        <w:r>
                          <w:rPr>
                            <w:rFonts w:ascii="Times New Roman"/>
                            <w:color w:val="6E3F97"/>
                            <w:spacing w:val="-17"/>
                            <w:sz w:val="14"/>
                          </w:rPr>
                          <w:t> </w:t>
                        </w:r>
                        <w:r>
                          <w:rPr>
                            <w:color w:val="9379B3"/>
                            <w:sz w:val="16"/>
                          </w:rPr>
                          <w:t>1</w:t>
                        </w:r>
                        <w:r>
                          <w:rPr>
                            <w:color w:val="9379B3"/>
                            <w:spacing w:val="-23"/>
                            <w:sz w:val="16"/>
                          </w:rPr>
                          <w:t> </w:t>
                        </w:r>
                        <w:r>
                          <w:rPr>
                            <w:rFonts w:ascii="Times New Roman"/>
                            <w:color w:val="A19E9E"/>
                            <w:sz w:val="14"/>
                          </w:rPr>
                          <w:t>_</w:t>
                        </w:r>
                        <w:r>
                          <w:rPr>
                            <w:rFonts w:ascii="Times New Roman"/>
                            <w:color w:val="594B5D"/>
                            <w:sz w:val="14"/>
                          </w:rPr>
                          <w:t>4</w:t>
                        </w:r>
                        <w:r>
                          <w:rPr>
                            <w:rFonts w:ascii="Times New Roman"/>
                            <w:color w:val="594B5D"/>
                            <w:spacing w:val="21"/>
                            <w:sz w:val="14"/>
                          </w:rPr>
                          <w:t> </w:t>
                        </w:r>
                        <w:r>
                          <w:rPr>
                            <w:rFonts w:ascii="Times New Roman"/>
                            <w:color w:val="7C798E"/>
                            <w:spacing w:val="-5"/>
                            <w:sz w:val="23"/>
                          </w:rPr>
                          <w:t>oo</w:t>
                        </w:r>
                      </w:p>
                    </w:txbxContent>
                  </v:textbox>
                  <w10:wrap type="none"/>
                </v:shape>
                <v:shape style="position:absolute;left:3661;top:4143;width:1357;height:229" type="#_x0000_t202" id="docshape176" filled="false" stroked="false">
                  <v:textbox inset="0,0,0,0">
                    <w:txbxContent>
                      <w:p>
                        <w:pPr>
                          <w:spacing w:before="13"/>
                          <w:ind w:left="20" w:right="0" w:firstLine="0"/>
                          <w:jc w:val="left"/>
                          <w:rPr>
                            <w:rFonts w:ascii="Times New Roman"/>
                            <w:sz w:val="17"/>
                          </w:rPr>
                        </w:pPr>
                        <w:r>
                          <w:rPr>
                            <w:rFonts w:ascii="Times New Roman"/>
                            <w:color w:val="7C798E"/>
                            <w:w w:val="115"/>
                            <w:sz w:val="17"/>
                          </w:rPr>
                          <w:t>mcdlan.ov</w:t>
                        </w:r>
                        <w:r>
                          <w:rPr>
                            <w:rFonts w:ascii="Times New Roman"/>
                            <w:color w:val="7C798E"/>
                            <w:spacing w:val="20"/>
                            <w:w w:val="115"/>
                            <w:sz w:val="17"/>
                          </w:rPr>
                          <w:t> </w:t>
                        </w:r>
                        <w:r>
                          <w:rPr>
                            <w:rFonts w:ascii="Times New Roman"/>
                            <w:color w:val="7C798E"/>
                            <w:spacing w:val="-2"/>
                            <w:w w:val="115"/>
                            <w:sz w:val="17"/>
                          </w:rPr>
                          <w:t>lcrgo</w:t>
                        </w:r>
                      </w:p>
                    </w:txbxContent>
                  </v:textbox>
                  <w10:wrap type="none"/>
                </v:shape>
                <v:shape style="position:absolute;left:5983;top:4143;width:997;height:229" type="#_x0000_t202" id="docshape177" filled="false" stroked="false">
                  <v:textbox inset="0,0,0,0">
                    <w:txbxContent>
                      <w:p>
                        <w:pPr>
                          <w:spacing w:before="13"/>
                          <w:ind w:left="20" w:right="0" w:firstLine="0"/>
                          <w:jc w:val="left"/>
                          <w:rPr>
                            <w:rFonts w:ascii="Times New Roman"/>
                            <w:sz w:val="17"/>
                          </w:rPr>
                        </w:pPr>
                        <w:r>
                          <w:rPr>
                            <w:rFonts w:ascii="Times New Roman"/>
                            <w:color w:val="A19E9E"/>
                            <w:spacing w:val="-2"/>
                            <w:w w:val="125"/>
                            <w:sz w:val="17"/>
                          </w:rPr>
                          <w:t>b</w:t>
                        </w:r>
                        <w:r>
                          <w:rPr>
                            <w:rFonts w:ascii="Times New Roman"/>
                            <w:color w:val="E8B170"/>
                            <w:spacing w:val="-2"/>
                            <w:w w:val="125"/>
                            <w:sz w:val="17"/>
                          </w:rPr>
                          <w:t>,</w:t>
                        </w:r>
                        <w:r>
                          <w:rPr>
                            <w:rFonts w:ascii="Times New Roman"/>
                            <w:color w:val="7C798E"/>
                            <w:spacing w:val="-2"/>
                            <w:w w:val="125"/>
                            <w:sz w:val="17"/>
                          </w:rPr>
                          <w:t>mioblbce</w:t>
                        </w:r>
                      </w:p>
                    </w:txbxContent>
                  </v:textbox>
                  <w10:wrap type="none"/>
                </v:shape>
                <v:shape style="position:absolute;left:3646;top:4860;width:1015;height:777" type="#_x0000_t202" id="docshape178" filled="false" stroked="false">
                  <v:textbox inset="0,0,0,0">
                    <w:txbxContent>
                      <w:p>
                        <w:pPr>
                          <w:spacing w:line="184" w:lineRule="exact" w:before="13"/>
                          <w:ind w:left="36" w:right="0" w:firstLine="0"/>
                          <w:jc w:val="left"/>
                          <w:rPr>
                            <w:rFonts w:ascii="Times New Roman"/>
                            <w:sz w:val="17"/>
                          </w:rPr>
                        </w:pPr>
                        <w:r>
                          <w:rPr>
                            <w:rFonts w:ascii="Times New Roman"/>
                            <w:color w:val="7C798E"/>
                            <w:spacing w:val="-2"/>
                            <w:w w:val="110"/>
                            <w:sz w:val="17"/>
                          </w:rPr>
                          <w:t>prcsu</w:t>
                        </w:r>
                      </w:p>
                      <w:p>
                        <w:pPr>
                          <w:tabs>
                            <w:tab w:pos="699" w:val="left" w:leader="none"/>
                          </w:tabs>
                          <w:spacing w:line="184" w:lineRule="exact" w:before="0"/>
                          <w:ind w:left="30" w:right="0" w:firstLine="0"/>
                          <w:jc w:val="left"/>
                          <w:rPr>
                            <w:rFonts w:ascii="Times New Roman"/>
                            <w:sz w:val="16"/>
                          </w:rPr>
                        </w:pPr>
                        <w:r>
                          <w:rPr>
                            <w:rFonts w:ascii="Times New Roman"/>
                            <w:color w:val="7C798E"/>
                            <w:w w:val="110"/>
                            <w:sz w:val="17"/>
                          </w:rPr>
                          <w:t>la</w:t>
                        </w:r>
                        <w:r>
                          <w:rPr>
                            <w:rFonts w:ascii="Times New Roman"/>
                            <w:color w:val="7C798E"/>
                            <w:spacing w:val="43"/>
                            <w:w w:val="110"/>
                            <w:sz w:val="17"/>
                          </w:rPr>
                          <w:t>  </w:t>
                        </w:r>
                        <w:r>
                          <w:rPr>
                            <w:color w:val="9379B3"/>
                            <w:spacing w:val="-7"/>
                            <w:w w:val="110"/>
                            <w:sz w:val="16"/>
                          </w:rPr>
                          <w:t>I</w:t>
                        </w:r>
                        <w:r>
                          <w:rPr>
                            <w:color w:val="7C798E"/>
                            <w:spacing w:val="-7"/>
                            <w:w w:val="110"/>
                            <w:sz w:val="16"/>
                          </w:rPr>
                          <w:t>n</w:t>
                        </w:r>
                        <w:r>
                          <w:rPr>
                            <w:color w:val="7C798E"/>
                            <w:sz w:val="16"/>
                          </w:rPr>
                          <w:tab/>
                        </w:r>
                        <w:r>
                          <w:rPr>
                            <w:rFonts w:ascii="Times New Roman"/>
                            <w:color w:val="7C798E"/>
                            <w:spacing w:val="-5"/>
                            <w:w w:val="110"/>
                            <w:sz w:val="16"/>
                          </w:rPr>
                          <w:t>ud6</w:t>
                        </w:r>
                      </w:p>
                      <w:p>
                        <w:pPr>
                          <w:spacing w:before="28"/>
                          <w:ind w:left="20" w:right="0" w:firstLine="0"/>
                          <w:jc w:val="left"/>
                          <w:rPr>
                            <w:sz w:val="13"/>
                            <w:szCs w:val="13"/>
                          </w:rPr>
                        </w:pPr>
                        <w:r>
                          <w:rPr>
                            <w:color w:val="7C798E"/>
                            <w:spacing w:val="-4"/>
                            <w:w w:val="290"/>
                            <w:sz w:val="13"/>
                            <w:szCs w:val="13"/>
                          </w:rPr>
                          <w:t>�tos,</w:t>
                        </w:r>
                      </w:p>
                      <w:p>
                        <w:pPr>
                          <w:spacing w:before="2"/>
                          <w:ind w:left="0" w:right="41" w:firstLine="0"/>
                          <w:jc w:val="center"/>
                          <w:rPr>
                            <w:rFonts w:ascii="Times New Roman"/>
                            <w:sz w:val="17"/>
                          </w:rPr>
                        </w:pPr>
                        <w:r>
                          <w:rPr>
                            <w:rFonts w:ascii="Times New Roman"/>
                            <w:color w:val="7C798E"/>
                            <w:spacing w:val="-10"/>
                            <w:w w:val="310"/>
                            <w:sz w:val="17"/>
                          </w:rPr>
                          <w:t>u</w:t>
                        </w:r>
                      </w:p>
                    </w:txbxContent>
                  </v:textbox>
                  <w10:wrap type="none"/>
                </v:shape>
                <v:shape style="position:absolute;left:2687;top:6660;width:254;height:129" type="#_x0000_t202" id="docshape179" filled="false" stroked="false">
                  <v:textbox inset="0,0,0,0">
                    <w:txbxContent>
                      <w:p>
                        <w:pPr>
                          <w:spacing w:before="16"/>
                          <w:ind w:left="20" w:right="0" w:firstLine="0"/>
                          <w:jc w:val="left"/>
                          <w:rPr>
                            <w:rFonts w:ascii="Times New Roman" w:hAnsi="Times New Roman" w:cs="Times New Roman" w:eastAsia="Times New Roman"/>
                            <w:sz w:val="8"/>
                            <w:szCs w:val="8"/>
                          </w:rPr>
                        </w:pPr>
                        <w:r>
                          <w:rPr>
                            <w:rFonts w:ascii="Times New Roman" w:hAnsi="Times New Roman" w:cs="Times New Roman" w:eastAsia="Times New Roman"/>
                            <w:color w:val="9A8595"/>
                            <w:spacing w:val="-10"/>
                            <w:w w:val="290"/>
                            <w:sz w:val="8"/>
                            <w:szCs w:val="8"/>
                          </w:rPr>
                          <w:t>�</w:t>
                        </w:r>
                      </w:p>
                    </w:txbxContent>
                  </v:textbox>
                  <w10:wrap type="none"/>
                </v:shape>
                <v:shape style="position:absolute;left:4727;top:6660;width:705;height:129" type="#_x0000_t202" id="docshape180" filled="false" stroked="false">
                  <v:textbox inset="0,0,0,0">
                    <w:txbxContent>
                      <w:p>
                        <w:pPr>
                          <w:spacing w:before="16"/>
                          <w:ind w:left="20" w:right="0" w:firstLine="0"/>
                          <w:jc w:val="left"/>
                          <w:rPr>
                            <w:rFonts w:ascii="Times New Roman" w:hAnsi="Times New Roman" w:cs="Times New Roman" w:eastAsia="Times New Roman"/>
                            <w:sz w:val="8"/>
                            <w:szCs w:val="8"/>
                          </w:rPr>
                        </w:pPr>
                        <w:r>
                          <w:rPr>
                            <w:rFonts w:ascii="Times New Roman" w:hAnsi="Times New Roman" w:cs="Times New Roman" w:eastAsia="Times New Roman"/>
                            <w:color w:val="7C798E"/>
                            <w:spacing w:val="-2"/>
                            <w:w w:val="215"/>
                            <w:sz w:val="8"/>
                            <w:szCs w:val="8"/>
                          </w:rPr>
                          <w:t>Ofi.CU�</w:t>
                        </w:r>
                      </w:p>
                    </w:txbxContent>
                  </v:textbox>
                  <w10:wrap type="none"/>
                </v:shape>
                <v:shape style="position:absolute;left:5815;top:6590;width:1591;height:781" type="#_x0000_t202" id="docshape181" filled="false" stroked="false">
                  <v:textbox inset="0,0,0,0">
                    <w:txbxContent>
                      <w:p>
                        <w:pPr>
                          <w:spacing w:before="20"/>
                          <w:ind w:left="0" w:right="38" w:firstLine="0"/>
                          <w:jc w:val="right"/>
                          <w:rPr>
                            <w:rFonts w:ascii="Courier New"/>
                            <w:sz w:val="17"/>
                          </w:rPr>
                        </w:pPr>
                        <w:r>
                          <w:rPr>
                            <w:rFonts w:ascii="Courier New"/>
                            <w:color w:val="7C798E"/>
                            <w:w w:val="195"/>
                            <w:sz w:val="17"/>
                          </w:rPr>
                          <w:t>b</w:t>
                        </w:r>
                        <w:r>
                          <w:rPr>
                            <w:rFonts w:ascii="Courier New"/>
                            <w:color w:val="7C798E"/>
                            <w:spacing w:val="-32"/>
                            <w:w w:val="195"/>
                            <w:sz w:val="17"/>
                          </w:rPr>
                          <w:t> </w:t>
                        </w:r>
                        <w:r>
                          <w:rPr>
                            <w:rFonts w:ascii="Courier New"/>
                            <w:color w:val="7C798E"/>
                            <w:spacing w:val="-10"/>
                            <w:w w:val="125"/>
                            <w:sz w:val="17"/>
                          </w:rPr>
                          <w:t>X</w:t>
                        </w:r>
                      </w:p>
                      <w:p>
                        <w:pPr>
                          <w:spacing w:line="187" w:lineRule="exact" w:before="175"/>
                          <w:ind w:left="20" w:right="0" w:firstLine="0"/>
                          <w:jc w:val="left"/>
                          <w:rPr>
                            <w:rFonts w:ascii="Times New Roman" w:hAnsi="Times New Roman" w:cs="Times New Roman" w:eastAsia="Times New Roman"/>
                            <w:sz w:val="17"/>
                            <w:szCs w:val="17"/>
                          </w:rPr>
                        </w:pPr>
                        <w:r>
                          <w:rPr>
                            <w:color w:val="7C798E"/>
                            <w:spacing w:val="-2"/>
                            <w:w w:val="115"/>
                            <w:sz w:val="16"/>
                            <w:szCs w:val="16"/>
                          </w:rPr>
                          <w:t>blk:c</w:t>
                        </w:r>
                        <w:r>
                          <w:rPr>
                            <w:color w:val="8797AC"/>
                            <w:spacing w:val="-2"/>
                            <w:w w:val="115"/>
                            <w:sz w:val="16"/>
                            <w:szCs w:val="16"/>
                          </w:rPr>
                          <w:t>�.</w:t>
                        </w:r>
                        <w:r>
                          <w:rPr>
                            <w:color w:val="8797AC"/>
                            <w:spacing w:val="-31"/>
                            <w:w w:val="115"/>
                            <w:sz w:val="16"/>
                            <w:szCs w:val="16"/>
                          </w:rPr>
                          <w:t> </w:t>
                        </w:r>
                        <w:r>
                          <w:rPr>
                            <w:rFonts w:ascii="Times New Roman" w:hAnsi="Times New Roman" w:cs="Times New Roman" w:eastAsia="Times New Roman"/>
                            <w:color w:val="7C798E"/>
                            <w:spacing w:val="-2"/>
                            <w:w w:val="115"/>
                            <w:sz w:val="16"/>
                            <w:szCs w:val="16"/>
                          </w:rPr>
                          <w:t>�bn:i</w:t>
                        </w:r>
                        <w:r>
                          <w:rPr>
                            <w:rFonts w:ascii="Times New Roman" w:hAnsi="Times New Roman" w:cs="Times New Roman" w:eastAsia="Times New Roman"/>
                            <w:color w:val="7C798E"/>
                            <w:spacing w:val="28"/>
                            <w:w w:val="115"/>
                            <w:sz w:val="16"/>
                            <w:szCs w:val="16"/>
                          </w:rPr>
                          <w:t> </w:t>
                        </w:r>
                        <w:r>
                          <w:rPr>
                            <w:rFonts w:ascii="Times New Roman" w:hAnsi="Times New Roman" w:cs="Times New Roman" w:eastAsia="Times New Roman"/>
                            <w:color w:val="7C798E"/>
                            <w:spacing w:val="-5"/>
                            <w:w w:val="115"/>
                            <w:sz w:val="17"/>
                            <w:szCs w:val="17"/>
                          </w:rPr>
                          <w:t>la</w:t>
                        </w:r>
                      </w:p>
                      <w:p>
                        <w:pPr>
                          <w:tabs>
                            <w:tab w:pos="1115" w:val="left" w:leader="none"/>
                          </w:tabs>
                          <w:spacing w:line="187" w:lineRule="exact" w:before="0"/>
                          <w:ind w:left="79" w:right="0" w:firstLine="0"/>
                          <w:jc w:val="left"/>
                          <w:rPr>
                            <w:rFonts w:ascii="Times New Roman"/>
                            <w:sz w:val="17"/>
                          </w:rPr>
                        </w:pPr>
                        <w:r>
                          <w:rPr>
                            <w:rFonts w:ascii="Times New Roman"/>
                            <w:color w:val="7C798E"/>
                            <w:w w:val="120"/>
                            <w:sz w:val="17"/>
                          </w:rPr>
                          <w:t>s.</w:t>
                        </w:r>
                        <w:r>
                          <w:rPr>
                            <w:rFonts w:ascii="Times New Roman"/>
                            <w:color w:val="6B6272"/>
                            <w:w w:val="120"/>
                            <w:sz w:val="17"/>
                          </w:rPr>
                          <w:t>a</w:t>
                        </w:r>
                        <w:r>
                          <w:rPr>
                            <w:rFonts w:ascii="Times New Roman"/>
                            <w:color w:val="6B6272"/>
                            <w:spacing w:val="41"/>
                            <w:w w:val="120"/>
                            <w:sz w:val="17"/>
                          </w:rPr>
                          <w:t>  </w:t>
                        </w:r>
                        <w:r>
                          <w:rPr>
                            <w:rFonts w:ascii="Times New Roman"/>
                            <w:color w:val="7C798E"/>
                            <w:spacing w:val="-5"/>
                            <w:w w:val="120"/>
                            <w:sz w:val="17"/>
                          </w:rPr>
                          <w:t>bu</w:t>
                        </w:r>
                        <w:r>
                          <w:rPr>
                            <w:rFonts w:ascii="Times New Roman"/>
                            <w:color w:val="7C798E"/>
                            <w:sz w:val="17"/>
                          </w:rPr>
                          <w:tab/>
                        </w:r>
                        <w:r>
                          <w:rPr>
                            <w:rFonts w:ascii="Times New Roman"/>
                            <w:color w:val="7C798E"/>
                            <w:spacing w:val="-10"/>
                            <w:w w:val="120"/>
                            <w:sz w:val="17"/>
                          </w:rPr>
                          <w:t>a</w:t>
                        </w:r>
                      </w:p>
                    </w:txbxContent>
                  </v:textbox>
                  <w10:wrap type="none"/>
                </v:shape>
                <v:shape style="position:absolute;left:6346;top:8007;width:508;height:229" type="#_x0000_t202" id="docshape182" filled="false" stroked="false">
                  <v:textbox inset="0,0,0,0">
                    <w:txbxContent>
                      <w:p>
                        <w:pPr>
                          <w:spacing w:before="13"/>
                          <w:ind w:left="20" w:right="0" w:firstLine="0"/>
                          <w:jc w:val="left"/>
                          <w:rPr>
                            <w:rFonts w:ascii="Times New Roman"/>
                            <w:sz w:val="17"/>
                          </w:rPr>
                        </w:pPr>
                        <w:r>
                          <w:rPr>
                            <w:rFonts w:ascii="Times New Roman"/>
                            <w:color w:val="7C798E"/>
                            <w:spacing w:val="-4"/>
                            <w:w w:val="145"/>
                            <w:sz w:val="17"/>
                          </w:rPr>
                          <w:t>=bre</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619584">
                <wp:simplePos x="0" y="0"/>
                <wp:positionH relativeFrom="page">
                  <wp:posOffset>1831669</wp:posOffset>
                </wp:positionH>
                <wp:positionV relativeFrom="paragraph">
                  <wp:posOffset>5618157</wp:posOffset>
                </wp:positionV>
                <wp:extent cx="4579620" cy="158750"/>
                <wp:effectExtent l="0" t="0" r="0" b="0"/>
                <wp:wrapTopAndBottom/>
                <wp:docPr id="250" name="Group 250"/>
                <wp:cNvGraphicFramePr>
                  <a:graphicFrameLocks/>
                </wp:cNvGraphicFramePr>
                <a:graphic>
                  <a:graphicData uri="http://schemas.microsoft.com/office/word/2010/wordprocessingGroup">
                    <wpg:wgp>
                      <wpg:cNvPr id="250" name="Group 250"/>
                      <wpg:cNvGrpSpPr/>
                      <wpg:grpSpPr>
                        <a:xfrm>
                          <a:off x="0" y="0"/>
                          <a:ext cx="4579620" cy="158750"/>
                          <a:chExt cx="4579620" cy="158750"/>
                        </a:xfrm>
                      </wpg:grpSpPr>
                      <pic:pic>
                        <pic:nvPicPr>
                          <pic:cNvPr id="251" name="Image 251"/>
                          <pic:cNvPicPr/>
                        </pic:nvPicPr>
                        <pic:blipFill>
                          <a:blip r:embed="rId108" cstate="print"/>
                          <a:stretch>
                            <a:fillRect/>
                          </a:stretch>
                        </pic:blipFill>
                        <pic:spPr>
                          <a:xfrm>
                            <a:off x="1001311" y="6104"/>
                            <a:ext cx="3577859" cy="152584"/>
                          </a:xfrm>
                          <a:prstGeom prst="rect">
                            <a:avLst/>
                          </a:prstGeom>
                        </pic:spPr>
                      </pic:pic>
                      <wps:wsp>
                        <wps:cNvPr id="252" name="Graphic 252"/>
                        <wps:cNvSpPr/>
                        <wps:spPr>
                          <a:xfrm>
                            <a:off x="0" y="6103"/>
                            <a:ext cx="1001394" cy="1270"/>
                          </a:xfrm>
                          <a:custGeom>
                            <a:avLst/>
                            <a:gdLst/>
                            <a:ahLst/>
                            <a:cxnLst/>
                            <a:rect l="l" t="t" r="r" b="b"/>
                            <a:pathLst>
                              <a:path w="1001394" h="0">
                                <a:moveTo>
                                  <a:pt x="0" y="0"/>
                                </a:moveTo>
                                <a:lnTo>
                                  <a:pt x="1001312" y="0"/>
                                </a:lnTo>
                              </a:path>
                            </a:pathLst>
                          </a:custGeom>
                          <a:ln w="12206">
                            <a:solidFill>
                              <a:srgbClr val="000000"/>
                            </a:solidFill>
                            <a:prstDash val="solid"/>
                          </a:ln>
                        </wps:spPr>
                        <wps:bodyPr wrap="square" lIns="0" tIns="0" rIns="0" bIns="0" rtlCol="0">
                          <a:prstTxWarp prst="textNoShape">
                            <a:avLst/>
                          </a:prstTxWarp>
                          <a:noAutofit/>
                        </wps:bodyPr>
                      </wps:wsp>
                      <wps:wsp>
                        <wps:cNvPr id="253" name="Textbox 253"/>
                        <wps:cNvSpPr txBox="1"/>
                        <wps:spPr>
                          <a:xfrm>
                            <a:off x="0" y="0"/>
                            <a:ext cx="4579620" cy="158750"/>
                          </a:xfrm>
                          <a:prstGeom prst="rect">
                            <a:avLst/>
                          </a:prstGeom>
                        </wps:spPr>
                        <wps:txbx>
                          <w:txbxContent>
                            <w:p>
                              <w:pPr>
                                <w:spacing w:before="84"/>
                                <w:ind w:left="245" w:right="0" w:firstLine="0"/>
                                <w:jc w:val="left"/>
                                <w:rPr>
                                  <w:sz w:val="13"/>
                                </w:rPr>
                              </w:pPr>
                              <w:r>
                                <w:rPr>
                                  <w:rFonts w:ascii="Times New Roman" w:hAnsi="Times New Roman"/>
                                  <w:color w:val="7C798E"/>
                                  <w:spacing w:val="2"/>
                                  <w:w w:val="110"/>
                                  <w:sz w:val="12"/>
                                </w:rPr>
                                <w:t>O!x:rc,1;:,</w:t>
                              </w:r>
                              <w:r>
                                <w:rPr>
                                  <w:rFonts w:ascii="Times New Roman" w:hAnsi="Times New Roman"/>
                                  <w:color w:val="7C798E"/>
                                  <w:spacing w:val="23"/>
                                  <w:w w:val="110"/>
                                  <w:sz w:val="12"/>
                                </w:rPr>
                                <w:t> </w:t>
                              </w:r>
                              <w:r>
                                <w:rPr>
                                  <w:color w:val="7C798E"/>
                                  <w:spacing w:val="-2"/>
                                  <w:w w:val="110"/>
                                  <w:sz w:val="13"/>
                                </w:rPr>
                                <w:t>i:¡c;cJ.il'fM:,</w:t>
                              </w:r>
                            </w:p>
                          </w:txbxContent>
                        </wps:txbx>
                        <wps:bodyPr wrap="square" lIns="0" tIns="0" rIns="0" bIns="0" rtlCol="0">
                          <a:noAutofit/>
                        </wps:bodyPr>
                      </wps:wsp>
                    </wpg:wgp>
                  </a:graphicData>
                </a:graphic>
              </wp:anchor>
            </w:drawing>
          </mc:Choice>
          <mc:Fallback>
            <w:pict>
              <v:group style="position:absolute;margin-left:144.225937pt;margin-top:442.374573pt;width:360.6pt;height:12.5pt;mso-position-horizontal-relative:page;mso-position-vertical-relative:paragraph;z-index:-15696896;mso-wrap-distance-left:0;mso-wrap-distance-right:0" id="docshapegroup183" coordorigin="2885,8847" coordsize="7212,250">
                <v:shape style="position:absolute;left:4461;top:8857;width:5635;height:241" type="#_x0000_t75" id="docshape184" stroked="false">
                  <v:imagedata r:id="rId108" o:title=""/>
                </v:shape>
                <v:line style="position:absolute" from="2885,8857" to="4461,8857" stroked="true" strokeweight=".961164pt" strokecolor="#000000">
                  <v:stroke dashstyle="solid"/>
                </v:line>
                <v:shape style="position:absolute;left:2884;top:8847;width:7212;height:250" type="#_x0000_t202" id="docshape185" filled="false" stroked="false">
                  <v:textbox inset="0,0,0,0">
                    <w:txbxContent>
                      <w:p>
                        <w:pPr>
                          <w:spacing w:before="84"/>
                          <w:ind w:left="245" w:right="0" w:firstLine="0"/>
                          <w:jc w:val="left"/>
                          <w:rPr>
                            <w:sz w:val="13"/>
                          </w:rPr>
                        </w:pPr>
                        <w:r>
                          <w:rPr>
                            <w:rFonts w:ascii="Times New Roman" w:hAnsi="Times New Roman"/>
                            <w:color w:val="7C798E"/>
                            <w:spacing w:val="2"/>
                            <w:w w:val="110"/>
                            <w:sz w:val="12"/>
                          </w:rPr>
                          <w:t>O!x:rc,1;:,</w:t>
                        </w:r>
                        <w:r>
                          <w:rPr>
                            <w:rFonts w:ascii="Times New Roman" w:hAnsi="Times New Roman"/>
                            <w:color w:val="7C798E"/>
                            <w:spacing w:val="23"/>
                            <w:w w:val="110"/>
                            <w:sz w:val="12"/>
                          </w:rPr>
                          <w:t> </w:t>
                        </w:r>
                        <w:r>
                          <w:rPr>
                            <w:color w:val="7C798E"/>
                            <w:spacing w:val="-2"/>
                            <w:w w:val="110"/>
                            <w:sz w:val="13"/>
                          </w:rPr>
                          <w:t>i:¡c;cJ.il'fM:,</w:t>
                        </w:r>
                      </w:p>
                    </w:txbxContent>
                  </v:textbox>
                  <w10:wrap type="none"/>
                </v:shape>
                <w10:wrap type="topAndBottom"/>
              </v:group>
            </w:pict>
          </mc:Fallback>
        </mc:AlternateContent>
      </w:r>
    </w:p>
    <w:p>
      <w:pPr>
        <w:pStyle w:val="BodyText"/>
        <w:spacing w:before="33"/>
        <w:rPr>
          <w:sz w:val="20"/>
        </w:rPr>
      </w:pPr>
    </w:p>
    <w:p>
      <w:pPr>
        <w:spacing w:before="0"/>
        <w:ind w:left="1689" w:right="0" w:firstLine="0"/>
        <w:jc w:val="left"/>
        <w:rPr>
          <w:rFonts w:ascii="Times New Roman"/>
          <w:sz w:val="14"/>
        </w:rPr>
      </w:pPr>
      <w:r>
        <w:rPr>
          <w:rFonts w:ascii="Times New Roman"/>
          <w:color w:val="6B6272"/>
          <w:w w:val="120"/>
          <w:sz w:val="14"/>
        </w:rPr>
        <w:t>d</w:t>
      </w:r>
      <w:r>
        <w:rPr>
          <w:rFonts w:ascii="Times New Roman"/>
          <w:color w:val="6B6272"/>
          <w:spacing w:val="37"/>
          <w:w w:val="120"/>
          <w:sz w:val="14"/>
        </w:rPr>
        <w:t>  </w:t>
      </w:r>
      <w:r>
        <w:rPr>
          <w:rFonts w:ascii="Times New Roman"/>
          <w:color w:val="7C798E"/>
          <w:spacing w:val="-2"/>
          <w:w w:val="120"/>
          <w:sz w:val="14"/>
        </w:rPr>
        <w:t>Zll9</w:t>
      </w:r>
      <w:r>
        <w:rPr>
          <w:rFonts w:ascii="Times New Roman"/>
          <w:color w:val="A19E9E"/>
          <w:spacing w:val="-2"/>
          <w:w w:val="120"/>
          <w:sz w:val="14"/>
        </w:rPr>
        <w:t>_</w:t>
      </w:r>
    </w:p>
    <w:p>
      <w:pPr>
        <w:pStyle w:val="BodyText"/>
        <w:spacing w:before="75"/>
        <w:rPr>
          <w:rFonts w:ascii="Times New Roman"/>
          <w:sz w:val="20"/>
        </w:rPr>
      </w:pPr>
      <w:r>
        <w:rPr>
          <w:rFonts w:ascii="Times New Roman"/>
          <w:sz w:val="20"/>
        </w:rPr>
        <w:drawing>
          <wp:anchor distT="0" distB="0" distL="0" distR="0" allowOverlap="1" layoutInCell="1" locked="0" behindDoc="1" simplePos="0" relativeHeight="487620096">
            <wp:simplePos x="0" y="0"/>
            <wp:positionH relativeFrom="page">
              <wp:posOffset>5824706</wp:posOffset>
            </wp:positionH>
            <wp:positionV relativeFrom="paragraph">
              <wp:posOffset>209046</wp:posOffset>
            </wp:positionV>
            <wp:extent cx="646406" cy="103631"/>
            <wp:effectExtent l="0" t="0" r="0" b="0"/>
            <wp:wrapTopAndBottom/>
            <wp:docPr id="254" name="Image 254"/>
            <wp:cNvGraphicFramePr>
              <a:graphicFrameLocks/>
            </wp:cNvGraphicFramePr>
            <a:graphic>
              <a:graphicData uri="http://schemas.openxmlformats.org/drawingml/2006/picture">
                <pic:pic>
                  <pic:nvPicPr>
                    <pic:cNvPr id="254" name="Image 254"/>
                    <pic:cNvPicPr/>
                  </pic:nvPicPr>
                  <pic:blipFill>
                    <a:blip r:embed="rId109" cstate="print"/>
                    <a:stretch>
                      <a:fillRect/>
                    </a:stretch>
                  </pic:blipFill>
                  <pic:spPr>
                    <a:xfrm>
                      <a:off x="0" y="0"/>
                      <a:ext cx="646406" cy="103631"/>
                    </a:xfrm>
                    <a:prstGeom prst="rect">
                      <a:avLst/>
                    </a:prstGeom>
                  </pic:spPr>
                </pic:pic>
              </a:graphicData>
            </a:graphic>
          </wp:anchor>
        </w:drawing>
      </w:r>
      <w:r>
        <w:rPr>
          <w:rFonts w:ascii="Times New Roman"/>
          <w:sz w:val="20"/>
        </w:rPr>
        <mc:AlternateContent>
          <mc:Choice Requires="wps">
            <w:drawing>
              <wp:anchor distT="0" distB="0" distL="0" distR="0" allowOverlap="1" layoutInCell="1" locked="0" behindDoc="1" simplePos="0" relativeHeight="487620608">
                <wp:simplePos x="0" y="0"/>
                <wp:positionH relativeFrom="page">
                  <wp:posOffset>992153</wp:posOffset>
                </wp:positionH>
                <wp:positionV relativeFrom="paragraph">
                  <wp:posOffset>410144</wp:posOffset>
                </wp:positionV>
                <wp:extent cx="6310630" cy="1501775"/>
                <wp:effectExtent l="0" t="0" r="0" b="0"/>
                <wp:wrapTopAndBottom/>
                <wp:docPr id="255" name="Group 255"/>
                <wp:cNvGraphicFramePr>
                  <a:graphicFrameLocks/>
                </wp:cNvGraphicFramePr>
                <a:graphic>
                  <a:graphicData uri="http://schemas.microsoft.com/office/word/2010/wordprocessingGroup">
                    <wpg:wgp>
                      <wpg:cNvPr id="255" name="Group 255"/>
                      <wpg:cNvGrpSpPr/>
                      <wpg:grpSpPr>
                        <a:xfrm>
                          <a:off x="0" y="0"/>
                          <a:ext cx="6310630" cy="1501775"/>
                          <a:chExt cx="6310630" cy="1501775"/>
                        </a:xfrm>
                      </wpg:grpSpPr>
                      <pic:pic>
                        <pic:nvPicPr>
                          <pic:cNvPr id="256" name="Image 256"/>
                          <pic:cNvPicPr/>
                        </pic:nvPicPr>
                        <pic:blipFill>
                          <a:blip r:embed="rId110" cstate="print"/>
                          <a:stretch>
                            <a:fillRect/>
                          </a:stretch>
                        </pic:blipFill>
                        <pic:spPr>
                          <a:xfrm>
                            <a:off x="0" y="0"/>
                            <a:ext cx="6310098" cy="1501433"/>
                          </a:xfrm>
                          <a:prstGeom prst="rect">
                            <a:avLst/>
                          </a:prstGeom>
                        </pic:spPr>
                      </pic:pic>
                      <wps:wsp>
                        <wps:cNvPr id="257" name="Textbox 257"/>
                        <wps:cNvSpPr txBox="1"/>
                        <wps:spPr>
                          <a:xfrm>
                            <a:off x="67330" y="460245"/>
                            <a:ext cx="269240" cy="170815"/>
                          </a:xfrm>
                          <a:prstGeom prst="rect">
                            <a:avLst/>
                          </a:prstGeom>
                        </wps:spPr>
                        <wps:txbx>
                          <w:txbxContent>
                            <w:p>
                              <w:pPr>
                                <w:spacing w:line="268" w:lineRule="exact" w:before="0"/>
                                <w:ind w:left="0" w:right="0" w:firstLine="0"/>
                                <w:jc w:val="left"/>
                                <w:rPr>
                                  <w:b/>
                                  <w:sz w:val="24"/>
                                </w:rPr>
                              </w:pPr>
                              <w:r>
                                <w:rPr>
                                  <w:b/>
                                  <w:spacing w:val="-5"/>
                                  <w:sz w:val="24"/>
                                </w:rPr>
                                <w:t>174</w:t>
                              </w:r>
                            </w:p>
                          </w:txbxContent>
                        </wps:txbx>
                        <wps:bodyPr wrap="square" lIns="0" tIns="0" rIns="0" bIns="0" rtlCol="0">
                          <a:noAutofit/>
                        </wps:bodyPr>
                      </wps:wsp>
                      <wps:wsp>
                        <wps:cNvPr id="258" name="Textbox 258"/>
                        <wps:cNvSpPr txBox="1"/>
                        <wps:spPr>
                          <a:xfrm>
                            <a:off x="645892" y="447545"/>
                            <a:ext cx="292925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wpg:wgp>
                  </a:graphicData>
                </a:graphic>
              </wp:anchor>
            </w:drawing>
          </mc:Choice>
          <mc:Fallback>
            <w:pict>
              <v:group style="position:absolute;margin-left:78.122345pt;margin-top:32.294838pt;width:496.9pt;height:118.25pt;mso-position-horizontal-relative:page;mso-position-vertical-relative:paragraph;z-index:-15695872;mso-wrap-distance-left:0;mso-wrap-distance-right:0" id="docshapegroup186" coordorigin="1562,646" coordsize="9938,2365">
                <v:shape style="position:absolute;left:1562;top:645;width:9938;height:2365" type="#_x0000_t75" id="docshape187" stroked="false">
                  <v:imagedata r:id="rId110" o:title=""/>
                </v:shape>
                <v:shape style="position:absolute;left:1668;top:1370;width:424;height:269" type="#_x0000_t202" id="docshape188" filled="false" stroked="false">
                  <v:textbox inset="0,0,0,0">
                    <w:txbxContent>
                      <w:p>
                        <w:pPr>
                          <w:spacing w:line="268" w:lineRule="exact" w:before="0"/>
                          <w:ind w:left="0" w:right="0" w:firstLine="0"/>
                          <w:jc w:val="left"/>
                          <w:rPr>
                            <w:b/>
                            <w:sz w:val="24"/>
                          </w:rPr>
                        </w:pPr>
                        <w:r>
                          <w:rPr>
                            <w:b/>
                            <w:spacing w:val="-5"/>
                            <w:sz w:val="24"/>
                          </w:rPr>
                          <w:t>174</w:t>
                        </w:r>
                      </w:p>
                    </w:txbxContent>
                  </v:textbox>
                  <w10:wrap type="none"/>
                </v:shape>
                <v:shape style="position:absolute;left:2579;top:1350;width:4613;height:309" type="#_x0000_t202" id="docshape189"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10:wrap type="topAndBottom"/>
              </v:group>
            </w:pict>
          </mc:Fallback>
        </mc:AlternateContent>
      </w:r>
    </w:p>
    <w:p>
      <w:pPr>
        <w:pStyle w:val="BodyText"/>
        <w:spacing w:before="3"/>
        <w:rPr>
          <w:rFonts w:ascii="Times New Roman"/>
          <w:sz w:val="11"/>
        </w:rPr>
      </w:pPr>
    </w:p>
    <w:p>
      <w:pPr>
        <w:pStyle w:val="BodyText"/>
        <w:spacing w:after="0"/>
        <w:rPr>
          <w:rFonts w:ascii="Times New Roman"/>
          <w:sz w:val="11"/>
        </w:rPr>
        <w:sectPr>
          <w:footerReference w:type="default" r:id="rId97"/>
          <w:pgSz w:w="12240" w:h="15840"/>
          <w:pgMar w:header="0" w:footer="0" w:top="1660" w:bottom="280" w:left="1440" w:right="360"/>
        </w:sectPr>
      </w:pPr>
    </w:p>
    <w:p>
      <w:pPr>
        <w:pStyle w:val="Heading2"/>
      </w:pPr>
      <w:r>
        <w:rPr/>
        <mc:AlternateContent>
          <mc:Choice Requires="wps">
            <w:drawing>
              <wp:anchor distT="0" distB="0" distL="0" distR="0" allowOverlap="1" layoutInCell="1" locked="0" behindDoc="1" simplePos="0" relativeHeight="475368960">
                <wp:simplePos x="0" y="0"/>
                <wp:positionH relativeFrom="page">
                  <wp:posOffset>1208901</wp:posOffset>
                </wp:positionH>
                <wp:positionV relativeFrom="paragraph">
                  <wp:posOffset>291175</wp:posOffset>
                </wp:positionV>
                <wp:extent cx="5202555" cy="345440"/>
                <wp:effectExtent l="0" t="0" r="0" b="0"/>
                <wp:wrapNone/>
                <wp:docPr id="259" name="Group 259"/>
                <wp:cNvGraphicFramePr>
                  <a:graphicFrameLocks/>
                </wp:cNvGraphicFramePr>
                <a:graphic>
                  <a:graphicData uri="http://schemas.microsoft.com/office/word/2010/wordprocessingGroup">
                    <wpg:wgp>
                      <wpg:cNvPr id="259" name="Group 259"/>
                      <wpg:cNvGrpSpPr/>
                      <wpg:grpSpPr>
                        <a:xfrm>
                          <a:off x="0" y="0"/>
                          <a:ext cx="5202555" cy="345440"/>
                          <a:chExt cx="5202555" cy="345440"/>
                        </a:xfrm>
                      </wpg:grpSpPr>
                      <pic:pic>
                        <pic:nvPicPr>
                          <pic:cNvPr id="260" name="Image 260"/>
                          <pic:cNvPicPr/>
                        </pic:nvPicPr>
                        <pic:blipFill>
                          <a:blip r:embed="rId112" cstate="print"/>
                          <a:stretch>
                            <a:fillRect/>
                          </a:stretch>
                        </pic:blipFill>
                        <pic:spPr>
                          <a:xfrm>
                            <a:off x="0" y="52414"/>
                            <a:ext cx="586133" cy="292962"/>
                          </a:xfrm>
                          <a:prstGeom prst="rect">
                            <a:avLst/>
                          </a:prstGeom>
                        </pic:spPr>
                      </pic:pic>
                      <wps:wsp>
                        <wps:cNvPr id="261" name="Graphic 261"/>
                        <wps:cNvSpPr/>
                        <wps:spPr>
                          <a:xfrm>
                            <a:off x="586134" y="324015"/>
                            <a:ext cx="4615815" cy="1270"/>
                          </a:xfrm>
                          <a:custGeom>
                            <a:avLst/>
                            <a:gdLst/>
                            <a:ahLst/>
                            <a:cxnLst/>
                            <a:rect l="l" t="t" r="r" b="b"/>
                            <a:pathLst>
                              <a:path w="4615815" h="0">
                                <a:moveTo>
                                  <a:pt x="0" y="0"/>
                                </a:moveTo>
                                <a:lnTo>
                                  <a:pt x="4615807" y="0"/>
                                </a:lnTo>
                              </a:path>
                            </a:pathLst>
                          </a:custGeom>
                          <a:ln w="9155">
                            <a:solidFill>
                              <a:srgbClr val="000000"/>
                            </a:solidFill>
                            <a:prstDash val="solid"/>
                          </a:ln>
                        </wps:spPr>
                        <wps:bodyPr wrap="square" lIns="0" tIns="0" rIns="0" bIns="0" rtlCol="0">
                          <a:prstTxWarp prst="textNoShape">
                            <a:avLst/>
                          </a:prstTxWarp>
                          <a:noAutofit/>
                        </wps:bodyPr>
                      </wps:wsp>
                      <wps:wsp>
                        <wps:cNvPr id="262" name="Textbox 262"/>
                        <wps:cNvSpPr txBox="1"/>
                        <wps:spPr>
                          <a:xfrm>
                            <a:off x="648487" y="52442"/>
                            <a:ext cx="181610" cy="99060"/>
                          </a:xfrm>
                          <a:prstGeom prst="rect">
                            <a:avLst/>
                          </a:prstGeom>
                        </wps:spPr>
                        <wps:txbx>
                          <w:txbxContent>
                            <w:p>
                              <w:pPr>
                                <w:spacing w:line="155" w:lineRule="exact" w:before="0"/>
                                <w:ind w:left="0" w:right="0" w:firstLine="0"/>
                                <w:jc w:val="left"/>
                                <w:rPr>
                                  <w:rFonts w:ascii="Times New Roman"/>
                                  <w:sz w:val="14"/>
                                </w:rPr>
                              </w:pPr>
                              <w:r>
                                <w:rPr>
                                  <w:rFonts w:ascii="Times New Roman"/>
                                  <w:color w:val="4F66AA"/>
                                  <w:w w:val="135"/>
                                  <w:sz w:val="14"/>
                                  <w:u w:val="thick" w:color="4F66AA"/>
                                </w:rPr>
                                <w:t>,-;-</w:t>
                              </w:r>
                              <w:r>
                                <w:rPr>
                                  <w:rFonts w:ascii="Times New Roman"/>
                                  <w:color w:val="4F66AA"/>
                                  <w:spacing w:val="-10"/>
                                  <w:w w:val="135"/>
                                  <w:sz w:val="14"/>
                                  <w:u w:val="none"/>
                                </w:rPr>
                                <w:t>'</w:t>
                              </w:r>
                            </w:p>
                          </w:txbxContent>
                        </wps:txbx>
                        <wps:bodyPr wrap="square" lIns="0" tIns="0" rIns="0" bIns="0" rtlCol="0">
                          <a:noAutofit/>
                        </wps:bodyPr>
                      </wps:wsp>
                      <wps:wsp>
                        <wps:cNvPr id="263" name="Textbox 263"/>
                        <wps:cNvSpPr txBox="1"/>
                        <wps:spPr>
                          <a:xfrm>
                            <a:off x="3930150" y="0"/>
                            <a:ext cx="327660" cy="113664"/>
                          </a:xfrm>
                          <a:prstGeom prst="rect">
                            <a:avLst/>
                          </a:prstGeom>
                        </wps:spPr>
                        <wps:txbx>
                          <w:txbxContent>
                            <w:p>
                              <w:pPr>
                                <w:spacing w:line="179" w:lineRule="exact" w:before="0"/>
                                <w:ind w:left="0" w:right="0" w:firstLine="0"/>
                                <w:jc w:val="left"/>
                                <w:rPr>
                                  <w:sz w:val="16"/>
                                </w:rPr>
                              </w:pPr>
                              <w:r>
                                <w:rPr>
                                  <w:color w:val="675B72"/>
                                  <w:spacing w:val="-2"/>
                                  <w:w w:val="120"/>
                                  <w:sz w:val="16"/>
                                </w:rPr>
                                <w:t>O</w:t>
                              </w:r>
                              <w:r>
                                <w:rPr>
                                  <w:color w:val="4D2B3F"/>
                                  <w:spacing w:val="-2"/>
                                  <w:w w:val="120"/>
                                  <w:sz w:val="16"/>
                                </w:rPr>
                                <w:t>p</w:t>
                              </w:r>
                              <w:r>
                                <w:rPr>
                                  <w:color w:val="282F4D"/>
                                  <w:spacing w:val="-2"/>
                                  <w:w w:val="120"/>
                                  <w:sz w:val="16"/>
                                </w:rPr>
                                <w:t>e</w:t>
                              </w:r>
                              <w:r>
                                <w:rPr>
                                  <w:color w:val="41698A"/>
                                  <w:spacing w:val="-2"/>
                                  <w:w w:val="120"/>
                                  <w:sz w:val="16"/>
                                </w:rPr>
                                <w:t>Ji</w:t>
                              </w:r>
                            </w:p>
                          </w:txbxContent>
                        </wps:txbx>
                        <wps:bodyPr wrap="square" lIns="0" tIns="0" rIns="0" bIns="0" rtlCol="0">
                          <a:noAutofit/>
                        </wps:bodyPr>
                      </wps:wsp>
                    </wpg:wgp>
                  </a:graphicData>
                </a:graphic>
              </wp:anchor>
            </w:drawing>
          </mc:Choice>
          <mc:Fallback>
            <w:pict>
              <v:group style="position:absolute;margin-left:95.189079pt;margin-top:22.927235pt;width:409.65pt;height:27.2pt;mso-position-horizontal-relative:page;mso-position-vertical-relative:paragraph;z-index:-27947520" id="docshapegroup190" coordorigin="1904,459" coordsize="8193,544">
                <v:shape style="position:absolute;left:1903;top:541;width:924;height:462" type="#_x0000_t75" id="docshape191" stroked="false">
                  <v:imagedata r:id="rId112" o:title=""/>
                </v:shape>
                <v:line style="position:absolute" from="2827,969" to="10096,969" stroked="true" strokeweight=".720873pt" strokecolor="#000000">
                  <v:stroke dashstyle="solid"/>
                </v:line>
                <v:shape style="position:absolute;left:2925;top:541;width:286;height:156" type="#_x0000_t202" id="docshape192" filled="false" stroked="false">
                  <v:textbox inset="0,0,0,0">
                    <w:txbxContent>
                      <w:p>
                        <w:pPr>
                          <w:spacing w:line="155" w:lineRule="exact" w:before="0"/>
                          <w:ind w:left="0" w:right="0" w:firstLine="0"/>
                          <w:jc w:val="left"/>
                          <w:rPr>
                            <w:rFonts w:ascii="Times New Roman"/>
                            <w:sz w:val="14"/>
                          </w:rPr>
                        </w:pPr>
                        <w:r>
                          <w:rPr>
                            <w:rFonts w:ascii="Times New Roman"/>
                            <w:color w:val="4F66AA"/>
                            <w:w w:val="135"/>
                            <w:sz w:val="14"/>
                            <w:u w:val="thick" w:color="4F66AA"/>
                          </w:rPr>
                          <w:t>,-;-</w:t>
                        </w:r>
                        <w:r>
                          <w:rPr>
                            <w:rFonts w:ascii="Times New Roman"/>
                            <w:color w:val="4F66AA"/>
                            <w:spacing w:val="-10"/>
                            <w:w w:val="135"/>
                            <w:sz w:val="14"/>
                            <w:u w:val="none"/>
                          </w:rPr>
                          <w:t>'</w:t>
                        </w:r>
                      </w:p>
                    </w:txbxContent>
                  </v:textbox>
                  <w10:wrap type="none"/>
                </v:shape>
                <v:shape style="position:absolute;left:8093;top:458;width:516;height:179" type="#_x0000_t202" id="docshape193" filled="false" stroked="false">
                  <v:textbox inset="0,0,0,0">
                    <w:txbxContent>
                      <w:p>
                        <w:pPr>
                          <w:spacing w:line="179" w:lineRule="exact" w:before="0"/>
                          <w:ind w:left="0" w:right="0" w:firstLine="0"/>
                          <w:jc w:val="left"/>
                          <w:rPr>
                            <w:sz w:val="16"/>
                          </w:rPr>
                        </w:pPr>
                        <w:r>
                          <w:rPr>
                            <w:color w:val="675B72"/>
                            <w:spacing w:val="-2"/>
                            <w:w w:val="120"/>
                            <w:sz w:val="16"/>
                          </w:rPr>
                          <w:t>O</w:t>
                        </w:r>
                        <w:r>
                          <w:rPr>
                            <w:color w:val="4D2B3F"/>
                            <w:spacing w:val="-2"/>
                            <w:w w:val="120"/>
                            <w:sz w:val="16"/>
                          </w:rPr>
                          <w:t>p</w:t>
                        </w:r>
                        <w:r>
                          <w:rPr>
                            <w:color w:val="282F4D"/>
                            <w:spacing w:val="-2"/>
                            <w:w w:val="120"/>
                            <w:sz w:val="16"/>
                          </w:rPr>
                          <w:t>e</w:t>
                        </w:r>
                        <w:r>
                          <w:rPr>
                            <w:color w:val="41698A"/>
                            <w:spacing w:val="-2"/>
                            <w:w w:val="120"/>
                            <w:sz w:val="16"/>
                          </w:rPr>
                          <w:t>Ji</w:t>
                        </w:r>
                      </w:p>
                    </w:txbxContent>
                  </v:textbox>
                  <w10:wrap type="none"/>
                </v:shape>
                <w10:wrap type="none"/>
              </v:group>
            </w:pict>
          </mc:Fallback>
        </mc:AlternateContent>
      </w:r>
      <w:r>
        <w:rPr/>
        <w:drawing>
          <wp:anchor distT="0" distB="0" distL="0" distR="0" allowOverlap="1" layoutInCell="1" locked="0" behindDoc="0" simplePos="0" relativeHeight="15767552">
            <wp:simplePos x="0" y="0"/>
            <wp:positionH relativeFrom="page">
              <wp:posOffset>3797659</wp:posOffset>
            </wp:positionH>
            <wp:positionV relativeFrom="paragraph">
              <wp:posOffset>288660</wp:posOffset>
            </wp:positionV>
            <wp:extent cx="1312695" cy="100705"/>
            <wp:effectExtent l="0" t="0" r="0" b="0"/>
            <wp:wrapNone/>
            <wp:docPr id="264" name="Image 264"/>
            <wp:cNvGraphicFramePr>
              <a:graphicFrameLocks/>
            </wp:cNvGraphicFramePr>
            <a:graphic>
              <a:graphicData uri="http://schemas.openxmlformats.org/drawingml/2006/picture">
                <pic:pic>
                  <pic:nvPicPr>
                    <pic:cNvPr id="264" name="Image 264"/>
                    <pic:cNvPicPr/>
                  </pic:nvPicPr>
                  <pic:blipFill>
                    <a:blip r:embed="rId113" cstate="print"/>
                    <a:stretch>
                      <a:fillRect/>
                    </a:stretch>
                  </pic:blipFill>
                  <pic:spPr>
                    <a:xfrm>
                      <a:off x="0" y="0"/>
                      <a:ext cx="1312695" cy="100705"/>
                    </a:xfrm>
                    <a:prstGeom prst="rect">
                      <a:avLst/>
                    </a:prstGeom>
                  </pic:spPr>
                </pic:pic>
              </a:graphicData>
            </a:graphic>
          </wp:anchor>
        </w:drawing>
      </w:r>
      <w:r>
        <w:rPr/>
        <w:drawing>
          <wp:anchor distT="0" distB="0" distL="0" distR="0" allowOverlap="1" layoutInCell="1" locked="0" behindDoc="0" simplePos="0" relativeHeight="15768064">
            <wp:simplePos x="0" y="0"/>
            <wp:positionH relativeFrom="page">
              <wp:posOffset>5733123</wp:posOffset>
            </wp:positionH>
            <wp:positionV relativeFrom="paragraph">
              <wp:posOffset>300866</wp:posOffset>
            </wp:positionV>
            <wp:extent cx="677717" cy="112912"/>
            <wp:effectExtent l="0" t="0" r="0" b="0"/>
            <wp:wrapNone/>
            <wp:docPr id="265" name="Image 265"/>
            <wp:cNvGraphicFramePr>
              <a:graphicFrameLocks/>
            </wp:cNvGraphicFramePr>
            <a:graphic>
              <a:graphicData uri="http://schemas.openxmlformats.org/drawingml/2006/picture">
                <pic:pic>
                  <pic:nvPicPr>
                    <pic:cNvPr id="265" name="Image 265"/>
                    <pic:cNvPicPr/>
                  </pic:nvPicPr>
                  <pic:blipFill>
                    <a:blip r:embed="rId114" cstate="print"/>
                    <a:stretch>
                      <a:fillRect/>
                    </a:stretch>
                  </pic:blipFill>
                  <pic:spPr>
                    <a:xfrm>
                      <a:off x="0" y="0"/>
                      <a:ext cx="677717" cy="112912"/>
                    </a:xfrm>
                    <a:prstGeom prst="rect">
                      <a:avLst/>
                    </a:prstGeom>
                  </pic:spPr>
                </pic:pic>
              </a:graphicData>
            </a:graphic>
          </wp:anchor>
        </w:drawing>
      </w:r>
      <w:r>
        <w:rPr/>
        <mc:AlternateContent>
          <mc:Choice Requires="wps">
            <w:drawing>
              <wp:anchor distT="0" distB="0" distL="0" distR="0" allowOverlap="1" layoutInCell="1" locked="0" behindDoc="1" simplePos="0" relativeHeight="475370496">
                <wp:simplePos x="0" y="0"/>
                <wp:positionH relativeFrom="page">
                  <wp:posOffset>1770613</wp:posOffset>
                </wp:positionH>
                <wp:positionV relativeFrom="page">
                  <wp:posOffset>4428023</wp:posOffset>
                </wp:positionV>
                <wp:extent cx="2564765" cy="802640"/>
                <wp:effectExtent l="0" t="0" r="0" b="0"/>
                <wp:wrapNone/>
                <wp:docPr id="266" name="Group 266"/>
                <wp:cNvGraphicFramePr>
                  <a:graphicFrameLocks/>
                </wp:cNvGraphicFramePr>
                <a:graphic>
                  <a:graphicData uri="http://schemas.microsoft.com/office/word/2010/wordprocessingGroup">
                    <wpg:wgp>
                      <wpg:cNvPr id="266" name="Group 266"/>
                      <wpg:cNvGrpSpPr/>
                      <wpg:grpSpPr>
                        <a:xfrm>
                          <a:off x="0" y="0"/>
                          <a:ext cx="2564765" cy="802640"/>
                          <a:chExt cx="2564765" cy="802640"/>
                        </a:xfrm>
                      </wpg:grpSpPr>
                      <pic:pic>
                        <pic:nvPicPr>
                          <pic:cNvPr id="267" name="Image 267"/>
                          <pic:cNvPicPr/>
                        </pic:nvPicPr>
                        <pic:blipFill>
                          <a:blip r:embed="rId115" cstate="print"/>
                          <a:stretch>
                            <a:fillRect/>
                          </a:stretch>
                        </pic:blipFill>
                        <pic:spPr>
                          <a:xfrm>
                            <a:off x="0" y="0"/>
                            <a:ext cx="2564335" cy="802595"/>
                          </a:xfrm>
                          <a:prstGeom prst="rect">
                            <a:avLst/>
                          </a:prstGeom>
                        </pic:spPr>
                      </pic:pic>
                      <wps:wsp>
                        <wps:cNvPr id="268" name="Textbox 268"/>
                        <wps:cNvSpPr txBox="1"/>
                        <wps:spPr>
                          <a:xfrm>
                            <a:off x="0" y="0"/>
                            <a:ext cx="2564765" cy="802640"/>
                          </a:xfrm>
                          <a:prstGeom prst="rect">
                            <a:avLst/>
                          </a:prstGeom>
                        </wps:spPr>
                        <wps:txbx>
                          <w:txbxContent>
                            <w:p>
                              <w:pPr>
                                <w:spacing w:line="191" w:lineRule="exact" w:before="0"/>
                                <w:ind w:left="984" w:right="0" w:firstLine="0"/>
                                <w:jc w:val="left"/>
                                <w:rPr>
                                  <w:sz w:val="15"/>
                                </w:rPr>
                              </w:pPr>
                              <w:r>
                                <w:rPr>
                                  <w:rFonts w:ascii="Times New Roman"/>
                                  <w:color w:val="7E7789"/>
                                  <w:w w:val="110"/>
                                  <w:sz w:val="16"/>
                                </w:rPr>
                                <w:t>rbs,</w:t>
                              </w:r>
                              <w:r>
                                <w:rPr>
                                  <w:rFonts w:ascii="Times New Roman"/>
                                  <w:color w:val="7E7789"/>
                                  <w:spacing w:val="-20"/>
                                  <w:w w:val="110"/>
                                  <w:sz w:val="16"/>
                                </w:rPr>
                                <w:t> </w:t>
                              </w:r>
                              <w:r>
                                <w:rPr>
                                  <w:rFonts w:ascii="Times New Roman"/>
                                  <w:color w:val="7E7789"/>
                                  <w:w w:val="110"/>
                                  <w:sz w:val="17"/>
                                </w:rPr>
                                <w:t>do</w:t>
                              </w:r>
                              <w:r>
                                <w:rPr>
                                  <w:rFonts w:ascii="Times New Roman"/>
                                  <w:color w:val="7E7789"/>
                                  <w:spacing w:val="14"/>
                                  <w:w w:val="110"/>
                                  <w:sz w:val="17"/>
                                </w:rPr>
                                <w:t> </w:t>
                              </w:r>
                              <w:r>
                                <w:rPr>
                                  <w:color w:val="7E7789"/>
                                  <w:w w:val="110"/>
                                  <w:sz w:val="15"/>
                                </w:rPr>
                                <w:t>la</w:t>
                              </w:r>
                              <w:r>
                                <w:rPr>
                                  <w:color w:val="7E7789"/>
                                  <w:spacing w:val="7"/>
                                  <w:w w:val="110"/>
                                  <w:sz w:val="15"/>
                                </w:rPr>
                                <w:t> </w:t>
                              </w:r>
                              <w:r>
                                <w:rPr>
                                  <w:color w:val="7E7789"/>
                                  <w:spacing w:val="-2"/>
                                  <w:w w:val="110"/>
                                  <w:sz w:val="15"/>
                                </w:rPr>
                                <w:t>cntk:lad</w:t>
                              </w:r>
                            </w:p>
                          </w:txbxContent>
                        </wps:txbx>
                        <wps:bodyPr wrap="square" lIns="0" tIns="0" rIns="0" bIns="0" rtlCol="0">
                          <a:noAutofit/>
                        </wps:bodyPr>
                      </wps:wsp>
                    </wpg:wgp>
                  </a:graphicData>
                </a:graphic>
              </wp:anchor>
            </w:drawing>
          </mc:Choice>
          <mc:Fallback>
            <w:pict>
              <v:group style="position:absolute;margin-left:139.418396pt;margin-top:348.6633pt;width:201.95pt;height:63.2pt;mso-position-horizontal-relative:page;mso-position-vertical-relative:page;z-index:-27945984" id="docshapegroup194" coordorigin="2788,6973" coordsize="4039,1264">
                <v:shape style="position:absolute;left:2788;top:6973;width:4039;height:1264" type="#_x0000_t75" id="docshape195" stroked="false">
                  <v:imagedata r:id="rId115" o:title=""/>
                </v:shape>
                <v:shape style="position:absolute;left:2788;top:6973;width:4039;height:1264" type="#_x0000_t202" id="docshape196" filled="false" stroked="false">
                  <v:textbox inset="0,0,0,0">
                    <w:txbxContent>
                      <w:p>
                        <w:pPr>
                          <w:spacing w:line="191" w:lineRule="exact" w:before="0"/>
                          <w:ind w:left="984" w:right="0" w:firstLine="0"/>
                          <w:jc w:val="left"/>
                          <w:rPr>
                            <w:sz w:val="15"/>
                          </w:rPr>
                        </w:pPr>
                        <w:r>
                          <w:rPr>
                            <w:rFonts w:ascii="Times New Roman"/>
                            <w:color w:val="7E7789"/>
                            <w:w w:val="110"/>
                            <w:sz w:val="16"/>
                          </w:rPr>
                          <w:t>rbs,</w:t>
                        </w:r>
                        <w:r>
                          <w:rPr>
                            <w:rFonts w:ascii="Times New Roman"/>
                            <w:color w:val="7E7789"/>
                            <w:spacing w:val="-20"/>
                            <w:w w:val="110"/>
                            <w:sz w:val="16"/>
                          </w:rPr>
                          <w:t> </w:t>
                        </w:r>
                        <w:r>
                          <w:rPr>
                            <w:rFonts w:ascii="Times New Roman"/>
                            <w:color w:val="7E7789"/>
                            <w:w w:val="110"/>
                            <w:sz w:val="17"/>
                          </w:rPr>
                          <w:t>do</w:t>
                        </w:r>
                        <w:r>
                          <w:rPr>
                            <w:rFonts w:ascii="Times New Roman"/>
                            <w:color w:val="7E7789"/>
                            <w:spacing w:val="14"/>
                            <w:w w:val="110"/>
                            <w:sz w:val="17"/>
                          </w:rPr>
                          <w:t> </w:t>
                        </w:r>
                        <w:r>
                          <w:rPr>
                            <w:color w:val="7E7789"/>
                            <w:w w:val="110"/>
                            <w:sz w:val="15"/>
                          </w:rPr>
                          <w:t>la</w:t>
                        </w:r>
                        <w:r>
                          <w:rPr>
                            <w:color w:val="7E7789"/>
                            <w:spacing w:val="7"/>
                            <w:w w:val="110"/>
                            <w:sz w:val="15"/>
                          </w:rPr>
                          <w:t> </w:t>
                        </w:r>
                        <w:r>
                          <w:rPr>
                            <w:color w:val="7E7789"/>
                            <w:spacing w:val="-2"/>
                            <w:w w:val="110"/>
                            <w:sz w:val="15"/>
                          </w:rPr>
                          <w:t>cntk:lad</w:t>
                        </w:r>
                      </w:p>
                    </w:txbxContent>
                  </v:textbox>
                  <w10:wrap type="none"/>
                </v:shape>
                <w10:wrap type="none"/>
              </v:group>
            </w:pict>
          </mc:Fallback>
        </mc:AlternateContent>
      </w:r>
      <w:r>
        <w:rPr/>
        <w:drawing>
          <wp:anchor distT="0" distB="0" distL="0" distR="0" allowOverlap="1" layoutInCell="1" locked="0" behindDoc="1" simplePos="0" relativeHeight="475371008">
            <wp:simplePos x="0" y="0"/>
            <wp:positionH relativeFrom="page">
              <wp:posOffset>1978201</wp:posOffset>
            </wp:positionH>
            <wp:positionV relativeFrom="page">
              <wp:posOffset>5328273</wp:posOffset>
            </wp:positionV>
            <wp:extent cx="646406" cy="231648"/>
            <wp:effectExtent l="0" t="0" r="0" b="0"/>
            <wp:wrapNone/>
            <wp:docPr id="269" name="Image 269"/>
            <wp:cNvGraphicFramePr>
              <a:graphicFrameLocks/>
            </wp:cNvGraphicFramePr>
            <a:graphic>
              <a:graphicData uri="http://schemas.openxmlformats.org/drawingml/2006/picture">
                <pic:pic>
                  <pic:nvPicPr>
                    <pic:cNvPr id="269" name="Image 269"/>
                    <pic:cNvPicPr/>
                  </pic:nvPicPr>
                  <pic:blipFill>
                    <a:blip r:embed="rId116" cstate="print"/>
                    <a:stretch>
                      <a:fillRect/>
                    </a:stretch>
                  </pic:blipFill>
                  <pic:spPr>
                    <a:xfrm>
                      <a:off x="0" y="0"/>
                      <a:ext cx="646406" cy="231648"/>
                    </a:xfrm>
                    <a:prstGeom prst="rect">
                      <a:avLst/>
                    </a:prstGeom>
                  </pic:spPr>
                </pic:pic>
              </a:graphicData>
            </a:graphic>
          </wp:anchor>
        </w:drawing>
      </w:r>
      <w:r>
        <w:rPr>
          <w:color w:val="4F66AA"/>
          <w:spacing w:val="-5"/>
        </w:rPr>
        <w:t>CGR</w:t>
      </w:r>
    </w:p>
    <w:p>
      <w:pPr>
        <w:pStyle w:val="BodyText"/>
        <w:rPr>
          <w:b/>
          <w:sz w:val="20"/>
        </w:rPr>
      </w:pPr>
    </w:p>
    <w:p>
      <w:pPr>
        <w:pStyle w:val="BodyText"/>
        <w:rPr>
          <w:b/>
          <w:sz w:val="20"/>
        </w:rPr>
      </w:pPr>
    </w:p>
    <w:p>
      <w:pPr>
        <w:pStyle w:val="BodyText"/>
        <w:spacing w:before="85"/>
        <w:rPr>
          <w:b/>
          <w:sz w:val="20"/>
        </w:rPr>
      </w:pPr>
      <w:r>
        <w:rPr>
          <w:b/>
          <w:sz w:val="20"/>
        </w:rPr>
        <mc:AlternateContent>
          <mc:Choice Requires="wps">
            <w:drawing>
              <wp:anchor distT="0" distB="0" distL="0" distR="0" allowOverlap="1" layoutInCell="1" locked="0" behindDoc="1" simplePos="0" relativeHeight="487624704">
                <wp:simplePos x="0" y="0"/>
                <wp:positionH relativeFrom="page">
                  <wp:posOffset>1392068</wp:posOffset>
                </wp:positionH>
                <wp:positionV relativeFrom="paragraph">
                  <wp:posOffset>226198</wp:posOffset>
                </wp:positionV>
                <wp:extent cx="4664710" cy="4883150"/>
                <wp:effectExtent l="0" t="0" r="0" b="0"/>
                <wp:wrapTopAndBottom/>
                <wp:docPr id="270" name="Group 270"/>
                <wp:cNvGraphicFramePr>
                  <a:graphicFrameLocks/>
                </wp:cNvGraphicFramePr>
                <a:graphic>
                  <a:graphicData uri="http://schemas.microsoft.com/office/word/2010/wordprocessingGroup">
                    <wpg:wgp>
                      <wpg:cNvPr id="270" name="Group 270"/>
                      <wpg:cNvGrpSpPr/>
                      <wpg:grpSpPr>
                        <a:xfrm>
                          <a:off x="0" y="0"/>
                          <a:ext cx="4664710" cy="4883150"/>
                          <a:chExt cx="4664710" cy="4883150"/>
                        </a:xfrm>
                      </wpg:grpSpPr>
                      <pic:pic>
                        <pic:nvPicPr>
                          <pic:cNvPr id="271" name="Image 271"/>
                          <pic:cNvPicPr/>
                        </pic:nvPicPr>
                        <pic:blipFill>
                          <a:blip r:embed="rId117" cstate="print"/>
                          <a:stretch>
                            <a:fillRect/>
                          </a:stretch>
                        </pic:blipFill>
                        <pic:spPr>
                          <a:xfrm>
                            <a:off x="256433" y="15258"/>
                            <a:ext cx="2686447" cy="888043"/>
                          </a:xfrm>
                          <a:prstGeom prst="rect">
                            <a:avLst/>
                          </a:prstGeom>
                        </pic:spPr>
                      </pic:pic>
                      <pic:pic>
                        <pic:nvPicPr>
                          <pic:cNvPr id="272" name="Image 272"/>
                          <pic:cNvPicPr/>
                        </pic:nvPicPr>
                        <pic:blipFill>
                          <a:blip r:embed="rId118" cstate="print"/>
                          <a:stretch>
                            <a:fillRect/>
                          </a:stretch>
                        </pic:blipFill>
                        <pic:spPr>
                          <a:xfrm>
                            <a:off x="378544" y="1577726"/>
                            <a:ext cx="2662025" cy="802595"/>
                          </a:xfrm>
                          <a:prstGeom prst="rect">
                            <a:avLst/>
                          </a:prstGeom>
                        </pic:spPr>
                      </pic:pic>
                      <wps:wsp>
                        <wps:cNvPr id="273" name="Graphic 273"/>
                        <wps:cNvSpPr/>
                        <wps:spPr>
                          <a:xfrm>
                            <a:off x="15263" y="0"/>
                            <a:ext cx="1270" cy="4883150"/>
                          </a:xfrm>
                          <a:custGeom>
                            <a:avLst/>
                            <a:gdLst/>
                            <a:ahLst/>
                            <a:cxnLst/>
                            <a:rect l="l" t="t" r="r" b="b"/>
                            <a:pathLst>
                              <a:path w="0" h="4883150">
                                <a:moveTo>
                                  <a:pt x="0" y="4882710"/>
                                </a:moveTo>
                                <a:lnTo>
                                  <a:pt x="0" y="0"/>
                                </a:lnTo>
                              </a:path>
                            </a:pathLst>
                          </a:custGeom>
                          <a:ln w="21369">
                            <a:solidFill>
                              <a:srgbClr val="000000"/>
                            </a:solidFill>
                            <a:prstDash val="solid"/>
                          </a:ln>
                        </wps:spPr>
                        <wps:bodyPr wrap="square" lIns="0" tIns="0" rIns="0" bIns="0" rtlCol="0">
                          <a:prstTxWarp prst="textNoShape">
                            <a:avLst/>
                          </a:prstTxWarp>
                          <a:noAutofit/>
                        </wps:bodyPr>
                      </wps:wsp>
                      <wps:wsp>
                        <wps:cNvPr id="274" name="Graphic 274"/>
                        <wps:cNvSpPr/>
                        <wps:spPr>
                          <a:xfrm>
                            <a:off x="2784137" y="915508"/>
                            <a:ext cx="1270" cy="879475"/>
                          </a:xfrm>
                          <a:custGeom>
                            <a:avLst/>
                            <a:gdLst/>
                            <a:ahLst/>
                            <a:cxnLst/>
                            <a:rect l="l" t="t" r="r" b="b"/>
                            <a:pathLst>
                              <a:path w="0" h="879475">
                                <a:moveTo>
                                  <a:pt x="0" y="878887"/>
                                </a:moveTo>
                                <a:lnTo>
                                  <a:pt x="0" y="0"/>
                                </a:lnTo>
                              </a:path>
                            </a:pathLst>
                          </a:custGeom>
                          <a:ln w="15263">
                            <a:solidFill>
                              <a:srgbClr val="000000"/>
                            </a:solidFill>
                            <a:prstDash val="solid"/>
                          </a:ln>
                        </wps:spPr>
                        <wps:bodyPr wrap="square" lIns="0" tIns="0" rIns="0" bIns="0" rtlCol="0">
                          <a:prstTxWarp prst="textNoShape">
                            <a:avLst/>
                          </a:prstTxWarp>
                          <a:noAutofit/>
                        </wps:bodyPr>
                      </wps:wsp>
                      <wps:wsp>
                        <wps:cNvPr id="275" name="Graphic 275"/>
                        <wps:cNvSpPr/>
                        <wps:spPr>
                          <a:xfrm>
                            <a:off x="3013096" y="0"/>
                            <a:ext cx="656590" cy="4883150"/>
                          </a:xfrm>
                          <a:custGeom>
                            <a:avLst/>
                            <a:gdLst/>
                            <a:ahLst/>
                            <a:cxnLst/>
                            <a:rect l="l" t="t" r="r" b="b"/>
                            <a:pathLst>
                              <a:path w="656590" h="4883150">
                                <a:moveTo>
                                  <a:pt x="0" y="1574674"/>
                                </a:moveTo>
                                <a:lnTo>
                                  <a:pt x="0" y="1086403"/>
                                </a:lnTo>
                              </a:path>
                              <a:path w="656590" h="4883150">
                                <a:moveTo>
                                  <a:pt x="314436" y="4882710"/>
                                </a:moveTo>
                                <a:lnTo>
                                  <a:pt x="314436" y="0"/>
                                </a:lnTo>
                              </a:path>
                              <a:path w="656590" h="4883150">
                                <a:moveTo>
                                  <a:pt x="656348" y="4882710"/>
                                </a:moveTo>
                                <a:lnTo>
                                  <a:pt x="656348" y="0"/>
                                </a:lnTo>
                              </a:path>
                            </a:pathLst>
                          </a:custGeom>
                          <a:ln w="12208">
                            <a:solidFill>
                              <a:srgbClr val="000000"/>
                            </a:solidFill>
                            <a:prstDash val="solid"/>
                          </a:ln>
                        </wps:spPr>
                        <wps:bodyPr wrap="square" lIns="0" tIns="0" rIns="0" bIns="0" rtlCol="0">
                          <a:prstTxWarp prst="textNoShape">
                            <a:avLst/>
                          </a:prstTxWarp>
                          <a:noAutofit/>
                        </wps:bodyPr>
                      </wps:wsp>
                      <wps:wsp>
                        <wps:cNvPr id="276" name="Graphic 276"/>
                        <wps:cNvSpPr/>
                        <wps:spPr>
                          <a:xfrm>
                            <a:off x="4643282" y="0"/>
                            <a:ext cx="1270" cy="4883150"/>
                          </a:xfrm>
                          <a:custGeom>
                            <a:avLst/>
                            <a:gdLst/>
                            <a:ahLst/>
                            <a:cxnLst/>
                            <a:rect l="l" t="t" r="r" b="b"/>
                            <a:pathLst>
                              <a:path w="0" h="4883150">
                                <a:moveTo>
                                  <a:pt x="0" y="4882710"/>
                                </a:moveTo>
                                <a:lnTo>
                                  <a:pt x="0" y="0"/>
                                </a:lnTo>
                              </a:path>
                            </a:pathLst>
                          </a:custGeom>
                          <a:ln w="15263">
                            <a:solidFill>
                              <a:srgbClr val="000000"/>
                            </a:solidFill>
                            <a:prstDash val="solid"/>
                          </a:ln>
                        </wps:spPr>
                        <wps:bodyPr wrap="square" lIns="0" tIns="0" rIns="0" bIns="0" rtlCol="0">
                          <a:prstTxWarp prst="textNoShape">
                            <a:avLst/>
                          </a:prstTxWarp>
                          <a:noAutofit/>
                        </wps:bodyPr>
                      </wps:wsp>
                      <wps:wsp>
                        <wps:cNvPr id="277" name="Graphic 277"/>
                        <wps:cNvSpPr/>
                        <wps:spPr>
                          <a:xfrm>
                            <a:off x="0" y="341789"/>
                            <a:ext cx="4664710" cy="3500754"/>
                          </a:xfrm>
                          <a:custGeom>
                            <a:avLst/>
                            <a:gdLst/>
                            <a:ahLst/>
                            <a:cxnLst/>
                            <a:rect l="l" t="t" r="r" b="b"/>
                            <a:pathLst>
                              <a:path w="4664710" h="3500754">
                                <a:moveTo>
                                  <a:pt x="0" y="0"/>
                                </a:moveTo>
                                <a:lnTo>
                                  <a:pt x="390756" y="0"/>
                                </a:lnTo>
                              </a:path>
                              <a:path w="4664710" h="3500754">
                                <a:moveTo>
                                  <a:pt x="0" y="1254246"/>
                                </a:moveTo>
                                <a:lnTo>
                                  <a:pt x="4664651" y="1254246"/>
                                </a:lnTo>
                              </a:path>
                              <a:path w="4664710" h="3500754">
                                <a:moveTo>
                                  <a:pt x="0" y="1470916"/>
                                </a:moveTo>
                                <a:lnTo>
                                  <a:pt x="500656" y="1470916"/>
                                </a:lnTo>
                              </a:path>
                              <a:path w="4664710" h="3500754">
                                <a:moveTo>
                                  <a:pt x="0" y="3500293"/>
                                </a:moveTo>
                                <a:lnTo>
                                  <a:pt x="1160057" y="3500293"/>
                                </a:lnTo>
                              </a:path>
                            </a:pathLst>
                          </a:custGeom>
                          <a:ln w="12208">
                            <a:solidFill>
                              <a:srgbClr val="000000"/>
                            </a:solidFill>
                            <a:prstDash val="solid"/>
                          </a:ln>
                        </wps:spPr>
                        <wps:bodyPr wrap="square" lIns="0" tIns="0" rIns="0" bIns="0" rtlCol="0">
                          <a:prstTxWarp prst="textNoShape">
                            <a:avLst/>
                          </a:prstTxWarp>
                          <a:noAutofit/>
                        </wps:bodyPr>
                      </wps:wsp>
                      <wps:wsp>
                        <wps:cNvPr id="278" name="Textbox 278"/>
                        <wps:cNvSpPr txBox="1"/>
                        <wps:spPr>
                          <a:xfrm>
                            <a:off x="243968" y="360127"/>
                            <a:ext cx="94615" cy="99060"/>
                          </a:xfrm>
                          <a:prstGeom prst="rect">
                            <a:avLst/>
                          </a:prstGeom>
                        </wps:spPr>
                        <wps:txbx>
                          <w:txbxContent>
                            <w:p>
                              <w:pPr>
                                <w:spacing w:line="155" w:lineRule="exact" w:before="0"/>
                                <w:ind w:left="0" w:right="0" w:firstLine="0"/>
                                <w:jc w:val="left"/>
                                <w:rPr>
                                  <w:rFonts w:ascii="Times New Roman" w:hAnsi="Times New Roman" w:cs="Times New Roman" w:eastAsia="Times New Roman"/>
                                  <w:sz w:val="14"/>
                                  <w:szCs w:val="14"/>
                                </w:rPr>
                              </w:pPr>
                              <w:r>
                                <w:rPr>
                                  <w:rFonts w:ascii="Times New Roman" w:hAnsi="Times New Roman" w:cs="Times New Roman" w:eastAsia="Times New Roman"/>
                                  <w:color w:val="97959E"/>
                                  <w:spacing w:val="-10"/>
                                  <w:sz w:val="14"/>
                                  <w:szCs w:val="14"/>
                                </w:rPr>
                                <w:t>�</w:t>
                              </w:r>
                            </w:p>
                          </w:txbxContent>
                        </wps:txbx>
                        <wps:bodyPr wrap="square" lIns="0" tIns="0" rIns="0" bIns="0" rtlCol="0">
                          <a:noAutofit/>
                        </wps:bodyPr>
                      </wps:wsp>
                      <wps:wsp>
                        <wps:cNvPr id="279" name="Textbox 279"/>
                        <wps:cNvSpPr txBox="1"/>
                        <wps:spPr>
                          <a:xfrm>
                            <a:off x="961110" y="797834"/>
                            <a:ext cx="987425" cy="120014"/>
                          </a:xfrm>
                          <a:prstGeom prst="rect">
                            <a:avLst/>
                          </a:prstGeom>
                        </wps:spPr>
                        <wps:txbx>
                          <w:txbxContent>
                            <w:p>
                              <w:pPr>
                                <w:tabs>
                                  <w:tab w:pos="759" w:val="left" w:leader="none"/>
                                </w:tabs>
                                <w:spacing w:line="188" w:lineRule="exact" w:before="0"/>
                                <w:ind w:left="0" w:right="0" w:firstLine="0"/>
                                <w:jc w:val="left"/>
                                <w:rPr>
                                  <w:rFonts w:ascii="Times New Roman"/>
                                  <w:sz w:val="17"/>
                                </w:rPr>
                              </w:pPr>
                              <w:r>
                                <w:rPr>
                                  <w:rFonts w:ascii="Times New Roman"/>
                                  <w:color w:val="7E7789"/>
                                  <w:spacing w:val="-2"/>
                                  <w:sz w:val="17"/>
                                </w:rPr>
                                <w:t>drk::os.</w:t>
                              </w:r>
                              <w:r>
                                <w:rPr>
                                  <w:rFonts w:ascii="Times New Roman"/>
                                  <w:color w:val="7E7789"/>
                                  <w:sz w:val="17"/>
                                </w:rPr>
                                <w:tab/>
                                <w:t>Gcmero</w:t>
                              </w:r>
                              <w:r>
                                <w:rPr>
                                  <w:rFonts w:ascii="Times New Roman"/>
                                  <w:color w:val="7E7789"/>
                                  <w:spacing w:val="30"/>
                                  <w:sz w:val="17"/>
                                </w:rPr>
                                <w:t>  </w:t>
                              </w:r>
                              <w:r>
                                <w:rPr>
                                  <w:rFonts w:ascii="Times New Roman"/>
                                  <w:color w:val="7E7789"/>
                                  <w:spacing w:val="-5"/>
                                  <w:w w:val="90"/>
                                  <w:sz w:val="17"/>
                                </w:rPr>
                                <w:t>s.</w:t>
                              </w:r>
                            </w:p>
                          </w:txbxContent>
                        </wps:txbx>
                        <wps:bodyPr wrap="square" lIns="0" tIns="0" rIns="0" bIns="0" rtlCol="0">
                          <a:noAutofit/>
                        </wps:bodyPr>
                      </wps:wsp>
                      <wps:wsp>
                        <wps:cNvPr id="280" name="Textbox 280"/>
                        <wps:cNvSpPr txBox="1"/>
                        <wps:spPr>
                          <a:xfrm>
                            <a:off x="2407880" y="797834"/>
                            <a:ext cx="535940" cy="345440"/>
                          </a:xfrm>
                          <a:prstGeom prst="rect">
                            <a:avLst/>
                          </a:prstGeom>
                        </wps:spPr>
                        <wps:txbx>
                          <w:txbxContent>
                            <w:p>
                              <w:pPr>
                                <w:spacing w:line="230" w:lineRule="auto" w:before="0"/>
                                <w:ind w:left="461" w:right="0" w:hanging="456"/>
                                <w:jc w:val="left"/>
                                <w:rPr>
                                  <w:rFonts w:ascii="Times New Roman"/>
                                  <w:sz w:val="16"/>
                                </w:rPr>
                              </w:pPr>
                              <w:r>
                                <w:rPr>
                                  <w:rFonts w:ascii="Times New Roman"/>
                                  <w:color w:val="7E7789"/>
                                  <w:sz w:val="17"/>
                                </w:rPr>
                                <w:t>p:Ullca</w:t>
                              </w:r>
                              <w:r>
                                <w:rPr>
                                  <w:rFonts w:ascii="Times New Roman"/>
                                  <w:color w:val="7E7789"/>
                                  <w:spacing w:val="59"/>
                                  <w:w w:val="150"/>
                                  <w:sz w:val="17"/>
                                </w:rPr>
                                <w:t> </w:t>
                              </w:r>
                              <w:r>
                                <w:rPr>
                                  <w:rFonts w:ascii="Times New Roman"/>
                                  <w:color w:val="7E7789"/>
                                  <w:w w:val="90"/>
                                  <w:sz w:val="16"/>
                                </w:rPr>
                                <w:t>:a'.</w:t>
                              </w:r>
                              <w:r>
                                <w:rPr>
                                  <w:rFonts w:ascii="Times New Roman"/>
                                  <w:color w:val="7E7789"/>
                                  <w:spacing w:val="40"/>
                                  <w:sz w:val="16"/>
                                </w:rPr>
                                <w:t> </w:t>
                              </w:r>
                              <w:r>
                                <w:rPr>
                                  <w:rFonts w:ascii="Times New Roman"/>
                                  <w:color w:val="7E7789"/>
                                  <w:spacing w:val="-10"/>
                                  <w:sz w:val="16"/>
                                </w:rPr>
                                <w:t>y</w:t>
                              </w:r>
                            </w:p>
                            <w:p>
                              <w:pPr>
                                <w:spacing w:before="7"/>
                                <w:ind w:left="0" w:right="0" w:firstLine="0"/>
                                <w:jc w:val="left"/>
                                <w:rPr>
                                  <w:sz w:val="15"/>
                                </w:rPr>
                              </w:pPr>
                              <w:r>
                                <w:rPr>
                                  <w:color w:val="7E7789"/>
                                  <w:spacing w:val="-2"/>
                                  <w:w w:val="105"/>
                                  <w:sz w:val="15"/>
                                </w:rPr>
                                <w:t>c:k!bdm</w:t>
                              </w:r>
                            </w:p>
                          </w:txbxContent>
                        </wps:txbx>
                        <wps:bodyPr wrap="square" lIns="0" tIns="0" rIns="0" bIns="0" rtlCol="0">
                          <a:noAutofit/>
                        </wps:bodyPr>
                      </wps:wsp>
                      <wps:wsp>
                        <wps:cNvPr id="281" name="Textbox 281"/>
                        <wps:cNvSpPr txBox="1"/>
                        <wps:spPr>
                          <a:xfrm>
                            <a:off x="453050" y="916413"/>
                            <a:ext cx="1918335" cy="227329"/>
                          </a:xfrm>
                          <a:prstGeom prst="rect">
                            <a:avLst/>
                          </a:prstGeom>
                        </wps:spPr>
                        <wps:txbx>
                          <w:txbxContent>
                            <w:p>
                              <w:pPr>
                                <w:tabs>
                                  <w:tab w:pos="2860" w:val="left" w:leader="none"/>
                                </w:tabs>
                                <w:spacing w:line="177" w:lineRule="exact" w:before="0"/>
                                <w:ind w:left="13" w:right="0" w:firstLine="0"/>
                                <w:jc w:val="left"/>
                                <w:rPr>
                                  <w:rFonts w:ascii="Times New Roman" w:hAnsi="Times New Roman" w:cs="Times New Roman" w:eastAsia="Times New Roman"/>
                                  <w:sz w:val="16"/>
                                  <w:szCs w:val="16"/>
                                </w:rPr>
                              </w:pPr>
                              <w:r>
                                <w:rPr>
                                  <w:rFonts w:ascii="Times New Roman" w:hAnsi="Times New Roman" w:cs="Times New Roman" w:eastAsia="Times New Roman"/>
                                  <w:color w:val="7E7789"/>
                                  <w:w w:val="105"/>
                                  <w:sz w:val="16"/>
                                  <w:szCs w:val="16"/>
                                </w:rPr>
                                <w:t>prewpi_¡,cdcrlc,</w:t>
                              </w:r>
                              <w:r>
                                <w:rPr>
                                  <w:rFonts w:ascii="Times New Roman" w:hAnsi="Times New Roman" w:cs="Times New Roman" w:eastAsia="Times New Roman"/>
                                  <w:color w:val="7E7789"/>
                                  <w:spacing w:val="34"/>
                                  <w:w w:val="105"/>
                                  <w:sz w:val="16"/>
                                  <w:szCs w:val="16"/>
                                </w:rPr>
                                <w:t>  </w:t>
                              </w:r>
                              <w:r>
                                <w:rPr>
                                  <w:rFonts w:ascii="Times New Roman" w:hAnsi="Times New Roman" w:cs="Times New Roman" w:eastAsia="Times New Roman"/>
                                  <w:color w:val="7E7789"/>
                                  <w:w w:val="105"/>
                                  <w:sz w:val="16"/>
                                  <w:szCs w:val="16"/>
                                </w:rPr>
                                <w:t>sDlmlc</w:t>
                              </w:r>
                              <w:r>
                                <w:rPr>
                                  <w:rFonts w:ascii="Times New Roman" w:hAnsi="Times New Roman" w:cs="Times New Roman" w:eastAsia="Times New Roman"/>
                                  <w:color w:val="8997BC"/>
                                  <w:w w:val="105"/>
                                  <w:sz w:val="16"/>
                                  <w:szCs w:val="16"/>
                                </w:rPr>
                                <w:t>l</w:t>
                              </w:r>
                              <w:r>
                                <w:rPr>
                                  <w:rFonts w:ascii="Times New Roman" w:hAnsi="Times New Roman" w:cs="Times New Roman" w:eastAsia="Times New Roman"/>
                                  <w:color w:val="8997BC"/>
                                  <w:spacing w:val="44"/>
                                  <w:w w:val="105"/>
                                  <w:sz w:val="16"/>
                                  <w:szCs w:val="16"/>
                                </w:rPr>
                                <w:t>  </w:t>
                              </w:r>
                              <w:r>
                                <w:rPr>
                                  <w:rFonts w:ascii="Times New Roman" w:hAnsi="Times New Roman" w:cs="Times New Roman" w:eastAsia="Times New Roman"/>
                                  <w:color w:val="7E7789"/>
                                  <w:w w:val="105"/>
                                  <w:sz w:val="16"/>
                                  <w:szCs w:val="16"/>
                                </w:rPr>
                                <w:t>e:</w:t>
                              </w:r>
                              <w:r>
                                <w:rPr>
                                  <w:rFonts w:ascii="Times New Roman" w:hAnsi="Times New Roman" w:cs="Times New Roman" w:eastAsia="Times New Roman"/>
                                  <w:color w:val="7E7789"/>
                                  <w:spacing w:val="62"/>
                                  <w:w w:val="105"/>
                                  <w:sz w:val="16"/>
                                  <w:szCs w:val="16"/>
                                </w:rPr>
                                <w:t> </w:t>
                              </w:r>
                              <w:r>
                                <w:rPr>
                                  <w:color w:val="7E7789"/>
                                  <w:w w:val="105"/>
                                  <w:sz w:val="11"/>
                                  <w:szCs w:val="11"/>
                                </w:rPr>
                                <w:t>P</w:t>
                              </w:r>
                              <w:r>
                                <w:rPr>
                                  <w:color w:val="7E7789"/>
                                  <w:spacing w:val="52"/>
                                  <w:w w:val="105"/>
                                  <w:sz w:val="11"/>
                                  <w:szCs w:val="11"/>
                                </w:rPr>
                                <w:t>  </w:t>
                              </w:r>
                              <w:r>
                                <w:rPr>
                                  <w:rFonts w:ascii="Times New Roman" w:hAnsi="Times New Roman" w:cs="Times New Roman" w:eastAsia="Times New Roman"/>
                                  <w:color w:val="7E7789"/>
                                  <w:spacing w:val="-7"/>
                                  <w:w w:val="105"/>
                                  <w:sz w:val="16"/>
                                  <w:szCs w:val="16"/>
                                </w:rPr>
                                <w:t>o</w:t>
                              </w:r>
                              <w:r>
                                <w:rPr>
                                  <w:rFonts w:ascii="Times New Roman" w:hAnsi="Times New Roman" w:cs="Times New Roman" w:eastAsia="Times New Roman"/>
                                  <w:color w:val="8997BC"/>
                                  <w:spacing w:val="-7"/>
                                  <w:w w:val="105"/>
                                  <w:sz w:val="16"/>
                                  <w:szCs w:val="16"/>
                                </w:rPr>
                                <w:t>,</w:t>
                              </w:r>
                              <w:r>
                                <w:rPr>
                                  <w:rFonts w:ascii="Times New Roman" w:hAnsi="Times New Roman" w:cs="Times New Roman" w:eastAsia="Times New Roman"/>
                                  <w:color w:val="8997BC"/>
                                  <w:sz w:val="16"/>
                                  <w:szCs w:val="16"/>
                                </w:rPr>
                                <w:tab/>
                              </w:r>
                              <w:r>
                                <w:rPr>
                                  <w:rFonts w:ascii="Times New Roman" w:hAnsi="Times New Roman" w:cs="Times New Roman" w:eastAsia="Times New Roman"/>
                                  <w:color w:val="7E7789"/>
                                  <w:spacing w:val="-17"/>
                                  <w:w w:val="105"/>
                                  <w:sz w:val="16"/>
                                  <w:szCs w:val="16"/>
                                </w:rPr>
                                <w:t>�</w:t>
                              </w:r>
                            </w:p>
                            <w:p>
                              <w:pPr>
                                <w:tabs>
                                  <w:tab w:pos="1396" w:val="left" w:leader="none"/>
                                </w:tabs>
                                <w:spacing w:before="7"/>
                                <w:ind w:left="0" w:right="0" w:firstLine="0"/>
                                <w:jc w:val="left"/>
                                <w:rPr>
                                  <w:sz w:val="15"/>
                                </w:rPr>
                              </w:pPr>
                              <w:r>
                                <w:rPr>
                                  <w:color w:val="7E7789"/>
                                  <w:spacing w:val="-2"/>
                                  <w:sz w:val="15"/>
                                </w:rPr>
                                <w:t>;:m</w:t>
                              </w:r>
                              <w:r>
                                <w:rPr>
                                  <w:color w:val="97959E"/>
                                  <w:spacing w:val="-2"/>
                                  <w:sz w:val="15"/>
                                </w:rPr>
                                <w:t>c:</w:t>
                              </w:r>
                              <w:r>
                                <w:rPr>
                                  <w:color w:val="7E7789"/>
                                  <w:spacing w:val="-2"/>
                                  <w:sz w:val="15"/>
                                </w:rPr>
                                <w:t>:lauobrricnto</w:t>
                              </w:r>
                              <w:r>
                                <w:rPr>
                                  <w:color w:val="7E7789"/>
                                  <w:sz w:val="15"/>
                                </w:rPr>
                                <w:tab/>
                                <w:t>pera</w:t>
                              </w:r>
                              <w:r>
                                <w:rPr>
                                  <w:color w:val="7E7789"/>
                                  <w:spacing w:val="75"/>
                                  <w:sz w:val="15"/>
                                </w:rPr>
                                <w:t>  </w:t>
                              </w:r>
                              <w:r>
                                <w:rPr>
                                  <w:color w:val="7E7789"/>
                                  <w:spacing w:val="-2"/>
                                  <w:sz w:val="15"/>
                                </w:rPr>
                                <w:t>l'iJllr</w:t>
                              </w:r>
                              <w:r>
                                <w:rPr>
                                  <w:color w:val="97959E"/>
                                  <w:spacing w:val="-2"/>
                                  <w:sz w:val="15"/>
                                </w:rPr>
                                <w:t>J:s</w:t>
                              </w:r>
                              <w:r>
                                <w:rPr>
                                  <w:color w:val="AC6D93"/>
                                  <w:spacing w:val="-2"/>
                                  <w:sz w:val="15"/>
                                </w:rPr>
                                <w:t>l</w:t>
                              </w:r>
                              <w:r>
                                <w:rPr>
                                  <w:color w:val="7E7789"/>
                                  <w:spacing w:val="-2"/>
                                  <w:sz w:val="15"/>
                                </w:rPr>
                                <w:t>crio.s</w:t>
                              </w:r>
                              <w:r>
                                <w:rPr>
                                  <w:color w:val="97959E"/>
                                  <w:spacing w:val="-2"/>
                                  <w:sz w:val="15"/>
                                </w:rPr>
                                <w:t>,</w:t>
                              </w:r>
                            </w:p>
                          </w:txbxContent>
                        </wps:txbx>
                        <wps:bodyPr wrap="square" lIns="0" tIns="0" rIns="0" bIns="0" rtlCol="0">
                          <a:noAutofit/>
                        </wps:bodyPr>
                      </wps:wsp>
                      <wps:wsp>
                        <wps:cNvPr id="282" name="Textbox 282"/>
                        <wps:cNvSpPr txBox="1"/>
                        <wps:spPr>
                          <a:xfrm>
                            <a:off x="574227" y="1154445"/>
                            <a:ext cx="2020570" cy="113030"/>
                          </a:xfrm>
                          <a:prstGeom prst="rect">
                            <a:avLst/>
                          </a:prstGeom>
                        </wps:spPr>
                        <wps:txbx>
                          <w:txbxContent>
                            <w:p>
                              <w:pPr>
                                <w:tabs>
                                  <w:tab w:pos="2618" w:val="left" w:leader="none"/>
                                </w:tabs>
                                <w:spacing w:line="177" w:lineRule="exact" w:before="0"/>
                                <w:ind w:left="0" w:right="0" w:firstLine="0"/>
                                <w:jc w:val="left"/>
                                <w:rPr>
                                  <w:b/>
                                  <w:bCs/>
                                  <w:sz w:val="13"/>
                                  <w:szCs w:val="13"/>
                                </w:rPr>
                              </w:pPr>
                              <w:r>
                                <w:rPr>
                                  <w:rFonts w:ascii="Times New Roman" w:hAnsi="Times New Roman" w:cs="Times New Roman" w:eastAsia="Times New Roman"/>
                                  <w:color w:val="7E7789"/>
                                  <w:w w:val="95"/>
                                  <w:sz w:val="16"/>
                                  <w:szCs w:val="16"/>
                                </w:rPr>
                                <w:t>blk::a</w:t>
                              </w:r>
                              <w:r>
                                <w:rPr>
                                  <w:rFonts w:ascii="Times New Roman" w:hAnsi="Times New Roman" w:cs="Times New Roman" w:eastAsia="Times New Roman"/>
                                  <w:color w:val="97959E"/>
                                  <w:w w:val="95"/>
                                  <w:sz w:val="16"/>
                                  <w:szCs w:val="16"/>
                                </w:rPr>
                                <w:t>,s</w:t>
                              </w:r>
                              <w:r>
                                <w:rPr>
                                  <w:rFonts w:ascii="Times New Roman" w:hAnsi="Times New Roman" w:cs="Times New Roman" w:eastAsia="Times New Roman"/>
                                  <w:color w:val="97959E"/>
                                  <w:spacing w:val="-15"/>
                                  <w:w w:val="95"/>
                                  <w:sz w:val="16"/>
                                  <w:szCs w:val="16"/>
                                </w:rPr>
                                <w:t> </w:t>
                              </w:r>
                              <w:r>
                                <w:rPr>
                                  <w:rFonts w:ascii="Times New Roman" w:hAnsi="Times New Roman" w:cs="Times New Roman" w:eastAsia="Times New Roman"/>
                                  <w:color w:val="7E7789"/>
                                  <w:w w:val="95"/>
                                  <w:sz w:val="16"/>
                                  <w:szCs w:val="16"/>
                                </w:rPr>
                                <w:t>.,</w:t>
                              </w:r>
                              <w:r>
                                <w:rPr>
                                  <w:rFonts w:ascii="Times New Roman" w:hAnsi="Times New Roman" w:cs="Times New Roman" w:eastAsia="Times New Roman"/>
                                  <w:color w:val="7E7789"/>
                                  <w:spacing w:val="13"/>
                                  <w:sz w:val="16"/>
                                  <w:szCs w:val="16"/>
                                </w:rPr>
                                <w:t> </w:t>
                              </w:r>
                              <w:r>
                                <w:rPr>
                                  <w:rFonts w:ascii="Times New Roman" w:hAnsi="Times New Roman" w:cs="Times New Roman" w:eastAsia="Times New Roman"/>
                                  <w:color w:val="7E7789"/>
                                  <w:w w:val="95"/>
                                  <w:sz w:val="9"/>
                                  <w:szCs w:val="9"/>
                                </w:rPr>
                                <w:t>�LIS,</w:t>
                              </w:r>
                              <w:r>
                                <w:rPr>
                                  <w:rFonts w:ascii="Times New Roman" w:hAnsi="Times New Roman" w:cs="Times New Roman" w:eastAsia="Times New Roman"/>
                                  <w:color w:val="7E7789"/>
                                  <w:spacing w:val="23"/>
                                  <w:sz w:val="9"/>
                                  <w:szCs w:val="9"/>
                                </w:rPr>
                                <w:t> </w:t>
                              </w:r>
                              <w:r>
                                <w:rPr>
                                  <w:rFonts w:ascii="Times New Roman" w:hAnsi="Times New Roman" w:cs="Times New Roman" w:eastAsia="Times New Roman"/>
                                  <w:color w:val="7E7789"/>
                                  <w:w w:val="95"/>
                                  <w:sz w:val="16"/>
                                  <w:szCs w:val="16"/>
                                </w:rPr>
                                <w:t>Ó'Q:a:no.s</w:t>
                              </w:r>
                              <w:r>
                                <w:rPr>
                                  <w:rFonts w:ascii="Times New Roman" w:hAnsi="Times New Roman" w:cs="Times New Roman" w:eastAsia="Times New Roman"/>
                                  <w:color w:val="7E7789"/>
                                  <w:spacing w:val="29"/>
                                  <w:sz w:val="16"/>
                                  <w:szCs w:val="16"/>
                                </w:rPr>
                                <w:t> </w:t>
                              </w:r>
                              <w:r>
                                <w:rPr>
                                  <w:rFonts w:ascii="Times New Roman" w:hAnsi="Times New Roman" w:cs="Times New Roman" w:eastAsia="Times New Roman"/>
                                  <w:color w:val="7E7789"/>
                                  <w:spacing w:val="-2"/>
                                  <w:w w:val="95"/>
                                  <w:sz w:val="16"/>
                                  <w:szCs w:val="16"/>
                                </w:rPr>
                                <w:t>l:!lesconccn</w:t>
                              </w:r>
                              <w:r>
                                <w:rPr>
                                  <w:rFonts w:ascii="Times New Roman" w:hAnsi="Times New Roman" w:cs="Times New Roman" w:eastAsia="Times New Roman"/>
                                  <w:color w:val="7E7789"/>
                                  <w:sz w:val="16"/>
                                  <w:szCs w:val="16"/>
                                </w:rPr>
                                <w:tab/>
                              </w:r>
                              <w:r>
                                <w:rPr>
                                  <w:rFonts w:ascii="Times New Roman" w:hAnsi="Times New Roman" w:cs="Times New Roman" w:eastAsia="Times New Roman"/>
                                  <w:color w:val="7E7789"/>
                                  <w:w w:val="80"/>
                                  <w:sz w:val="14"/>
                                  <w:szCs w:val="14"/>
                                </w:rPr>
                                <w:t>¡:¡\:os</w:t>
                              </w:r>
                              <w:r>
                                <w:rPr>
                                  <w:rFonts w:ascii="Times New Roman" w:hAnsi="Times New Roman" w:cs="Times New Roman" w:eastAsia="Times New Roman"/>
                                  <w:color w:val="9ECDE9"/>
                                  <w:w w:val="80"/>
                                  <w:sz w:val="14"/>
                                  <w:szCs w:val="14"/>
                                </w:rPr>
                                <w:t>.</w:t>
                              </w:r>
                              <w:r>
                                <w:rPr>
                                  <w:rFonts w:ascii="Times New Roman" w:hAnsi="Times New Roman" w:cs="Times New Roman" w:eastAsia="Times New Roman"/>
                                  <w:color w:val="97959E"/>
                                  <w:w w:val="80"/>
                                  <w:sz w:val="14"/>
                                  <w:szCs w:val="14"/>
                                </w:rPr>
                                <w:t>,</w:t>
                              </w:r>
                              <w:r>
                                <w:rPr>
                                  <w:rFonts w:ascii="Times New Roman" w:hAnsi="Times New Roman" w:cs="Times New Roman" w:eastAsia="Times New Roman"/>
                                  <w:color w:val="97959E"/>
                                  <w:spacing w:val="8"/>
                                  <w:sz w:val="14"/>
                                  <w:szCs w:val="14"/>
                                </w:rPr>
                                <w:t> </w:t>
                              </w:r>
                              <w:r>
                                <w:rPr>
                                  <w:b/>
                                  <w:bCs/>
                                  <w:color w:val="7E7789"/>
                                  <w:spacing w:val="-5"/>
                                  <w:w w:val="85"/>
                                  <w:sz w:val="13"/>
                                  <w:szCs w:val="13"/>
                                </w:rPr>
                                <w:t>seg</w:t>
                              </w:r>
                            </w:p>
                          </w:txbxContent>
                        </wps:txbx>
                        <wps:bodyPr wrap="square" lIns="0" tIns="0" rIns="0" bIns="0" rtlCol="0">
                          <a:noAutofit/>
                        </wps:bodyPr>
                      </wps:wsp>
                      <wps:wsp>
                        <wps:cNvPr id="283" name="Textbox 283"/>
                        <wps:cNvSpPr txBox="1"/>
                        <wps:spPr>
                          <a:xfrm>
                            <a:off x="48436" y="1272020"/>
                            <a:ext cx="1477645" cy="443230"/>
                          </a:xfrm>
                          <a:prstGeom prst="rect">
                            <a:avLst/>
                          </a:prstGeom>
                        </wps:spPr>
                        <wps:txbx>
                          <w:txbxContent>
                            <w:p>
                              <w:pPr>
                                <w:spacing w:line="169" w:lineRule="exact" w:before="0"/>
                                <w:ind w:left="644" w:right="0" w:firstLine="0"/>
                                <w:jc w:val="left"/>
                                <w:rPr>
                                  <w:sz w:val="16"/>
                                  <w:szCs w:val="16"/>
                                </w:rPr>
                              </w:pPr>
                              <w:r>
                                <w:rPr>
                                  <w:color w:val="7E7789"/>
                                  <w:w w:val="280"/>
                                  <w:sz w:val="14"/>
                                  <w:szCs w:val="14"/>
                                </w:rPr>
                                <w:t>c�ca</w:t>
                              </w:r>
                              <w:r>
                                <w:rPr>
                                  <w:color w:val="7E7789"/>
                                  <w:spacing w:val="45"/>
                                  <w:w w:val="280"/>
                                  <w:sz w:val="14"/>
                                  <w:szCs w:val="14"/>
                                </w:rPr>
                                <w:t> </w:t>
                              </w:r>
                              <w:r>
                                <w:rPr>
                                  <w:color w:val="7E7789"/>
                                  <w:spacing w:val="-4"/>
                                  <w:w w:val="160"/>
                                  <w:sz w:val="16"/>
                                  <w:szCs w:val="16"/>
                                </w:rPr>
                                <w:t>aibl</w:t>
                              </w:r>
                            </w:p>
                            <w:p>
                              <w:pPr>
                                <w:tabs>
                                  <w:tab w:pos="972" w:val="left" w:leader="none"/>
                                </w:tabs>
                                <w:spacing w:line="186" w:lineRule="exact" w:before="0"/>
                                <w:ind w:left="642" w:right="0" w:firstLine="0"/>
                                <w:jc w:val="left"/>
                                <w:rPr>
                                  <w:rFonts w:ascii="Times New Roman"/>
                                  <w:sz w:val="17"/>
                                </w:rPr>
                              </w:pPr>
                              <w:r>
                                <w:rPr>
                                  <w:rFonts w:ascii="Times New Roman"/>
                                  <w:color w:val="7E7789"/>
                                  <w:spacing w:val="-5"/>
                                  <w:w w:val="105"/>
                                  <w:sz w:val="13"/>
                                </w:rPr>
                                <w:t>,.</w:t>
                              </w:r>
                              <w:r>
                                <w:rPr>
                                  <w:rFonts w:ascii="Times New Roman"/>
                                  <w:color w:val="7E7789"/>
                                  <w:sz w:val="13"/>
                                </w:rPr>
                                <w:tab/>
                              </w:r>
                              <w:r>
                                <w:rPr>
                                  <w:rFonts w:ascii="Times New Roman"/>
                                  <w:color w:val="7E7789"/>
                                  <w:spacing w:val="2"/>
                                  <w:w w:val="145"/>
                                  <w:sz w:val="13"/>
                                </w:rPr>
                                <w:t>djod</w:t>
                              </w:r>
                              <w:r>
                                <w:rPr>
                                  <w:rFonts w:ascii="Times New Roman"/>
                                  <w:color w:val="7E7789"/>
                                  <w:spacing w:val="61"/>
                                  <w:w w:val="145"/>
                                  <w:sz w:val="13"/>
                                </w:rPr>
                                <w:t> </w:t>
                              </w:r>
                              <w:r>
                                <w:rPr>
                                  <w:rFonts w:ascii="Times New Roman"/>
                                  <w:color w:val="7E7789"/>
                                  <w:spacing w:val="-2"/>
                                  <w:w w:val="90"/>
                                  <w:sz w:val="17"/>
                                </w:rPr>
                                <w:t>F'rcr;supuruln</w:t>
                              </w:r>
                            </w:p>
                            <w:p>
                              <w:pPr>
                                <w:spacing w:before="159"/>
                                <w:ind w:left="0" w:right="0" w:firstLine="0"/>
                                <w:jc w:val="left"/>
                                <w:rPr>
                                  <w:sz w:val="15"/>
                                  <w:szCs w:val="15"/>
                                </w:rPr>
                              </w:pPr>
                              <w:r>
                                <w:rPr>
                                  <w:color w:val="904B64"/>
                                  <w:sz w:val="16"/>
                                  <w:szCs w:val="16"/>
                                </w:rPr>
                                <w:t>lil</w:t>
                              </w:r>
                              <w:r>
                                <w:rPr>
                                  <w:color w:val="904B64"/>
                                  <w:spacing w:val="66"/>
                                  <w:sz w:val="16"/>
                                  <w:szCs w:val="16"/>
                                </w:rPr>
                                <w:t>  </w:t>
                              </w:r>
                              <w:r>
                                <w:rPr>
                                  <w:color w:val="4B4654"/>
                                  <w:spacing w:val="-2"/>
                                  <w:sz w:val="15"/>
                                  <w:szCs w:val="15"/>
                                </w:rPr>
                                <w:t>�tos:com</w:t>
                              </w:r>
                              <w:r>
                                <w:rPr>
                                  <w:color w:val="4D2B3F"/>
                                  <w:spacing w:val="-2"/>
                                  <w:sz w:val="15"/>
                                  <w:szCs w:val="15"/>
                                </w:rPr>
                                <w:t>p</w:t>
                              </w:r>
                              <w:r>
                                <w:rPr>
                                  <w:color w:val="64186B"/>
                                  <w:spacing w:val="-2"/>
                                  <w:sz w:val="15"/>
                                  <w:szCs w:val="15"/>
                                </w:rPr>
                                <w:t>l</w:t>
                              </w:r>
                              <w:r>
                                <w:rPr>
                                  <w:color w:val="4B4654"/>
                                  <w:spacing w:val="-2"/>
                                  <w:sz w:val="15"/>
                                  <w:szCs w:val="15"/>
                                </w:rPr>
                                <w:t>;am11,nlim</w:t>
                              </w:r>
                              <w:r>
                                <w:rPr>
                                  <w:color w:val="64186B"/>
                                  <w:spacing w:val="-2"/>
                                  <w:sz w:val="15"/>
                                  <w:szCs w:val="15"/>
                                </w:rPr>
                                <w:t>l</w:t>
                              </w:r>
                              <w:r>
                                <w:rPr>
                                  <w:color w:val="282F4D"/>
                                  <w:spacing w:val="-2"/>
                                  <w:sz w:val="15"/>
                                  <w:szCs w:val="15"/>
                                </w:rPr>
                                <w:t>!:i.ll</w:t>
                              </w:r>
                              <w:r>
                                <w:rPr>
                                  <w:color w:val="722A5D"/>
                                  <w:spacing w:val="-2"/>
                                  <w:sz w:val="15"/>
                                  <w:szCs w:val="15"/>
                                </w:rPr>
                                <w:t>.</w:t>
                              </w:r>
                            </w:p>
                          </w:txbxContent>
                        </wps:txbx>
                        <wps:bodyPr wrap="square" lIns="0" tIns="0" rIns="0" bIns="0" rtlCol="0">
                          <a:noAutofit/>
                        </wps:bodyPr>
                      </wps:wsp>
                      <wps:wsp>
                        <wps:cNvPr id="284" name="Textbox 284"/>
                        <wps:cNvSpPr txBox="1"/>
                        <wps:spPr>
                          <a:xfrm>
                            <a:off x="1925356" y="1272020"/>
                            <a:ext cx="648335" cy="225425"/>
                          </a:xfrm>
                          <a:prstGeom prst="rect">
                            <a:avLst/>
                          </a:prstGeom>
                        </wps:spPr>
                        <wps:txbx>
                          <w:txbxContent>
                            <w:p>
                              <w:pPr>
                                <w:spacing w:line="169" w:lineRule="exact" w:before="0"/>
                                <w:ind w:left="183" w:right="0" w:firstLine="0"/>
                                <w:jc w:val="left"/>
                                <w:rPr>
                                  <w:sz w:val="14"/>
                                </w:rPr>
                              </w:pPr>
                              <w:r>
                                <w:rPr>
                                  <w:color w:val="7E7789"/>
                                  <w:w w:val="115"/>
                                  <w:sz w:val="16"/>
                                </w:rPr>
                                <w:t>á</w:t>
                              </w:r>
                              <w:r>
                                <w:rPr>
                                  <w:color w:val="7E7789"/>
                                  <w:spacing w:val="77"/>
                                  <w:w w:val="115"/>
                                  <w:sz w:val="16"/>
                                </w:rPr>
                                <w:t> </w:t>
                              </w:r>
                              <w:r>
                                <w:rPr>
                                  <w:color w:val="7E7789"/>
                                  <w:w w:val="115"/>
                                  <w:sz w:val="15"/>
                                </w:rPr>
                                <w:t>bño</w:t>
                              </w:r>
                              <w:r>
                                <w:rPr>
                                  <w:color w:val="7E7789"/>
                                  <w:spacing w:val="68"/>
                                  <w:w w:val="150"/>
                                  <w:sz w:val="15"/>
                                </w:rPr>
                                <w:t> </w:t>
                              </w:r>
                              <w:r>
                                <w:rPr>
                                  <w:color w:val="7E7789"/>
                                  <w:spacing w:val="-5"/>
                                  <w:w w:val="115"/>
                                  <w:sz w:val="14"/>
                                </w:rPr>
                                <w:t>ce</w:t>
                              </w:r>
                            </w:p>
                            <w:p>
                              <w:pPr>
                                <w:spacing w:line="186" w:lineRule="exact" w:before="0"/>
                                <w:ind w:left="0" w:right="0" w:firstLine="0"/>
                                <w:jc w:val="left"/>
                                <w:rPr>
                                  <w:rFonts w:ascii="Times New Roman" w:hAnsi="Times New Roman" w:cs="Times New Roman" w:eastAsia="Times New Roman"/>
                                  <w:sz w:val="17"/>
                                  <w:szCs w:val="17"/>
                                </w:rPr>
                              </w:pPr>
                              <w:r>
                                <w:rPr>
                                  <w:rFonts w:ascii="Times New Roman" w:hAnsi="Times New Roman" w:cs="Times New Roman" w:eastAsia="Times New Roman"/>
                                  <w:color w:val="7E7789"/>
                                  <w:sz w:val="17"/>
                                  <w:szCs w:val="17"/>
                                </w:rPr>
                                <w:t>el</w:t>
                              </w:r>
                              <w:r>
                                <w:rPr>
                                  <w:rFonts w:ascii="Times New Roman" w:hAnsi="Times New Roman" w:cs="Times New Roman" w:eastAsia="Times New Roman"/>
                                  <w:color w:val="7E7789"/>
                                  <w:spacing w:val="-5"/>
                                  <w:sz w:val="17"/>
                                  <w:szCs w:val="17"/>
                                </w:rPr>
                                <w:t> </w:t>
                              </w:r>
                              <w:r>
                                <w:rPr>
                                  <w:rFonts w:ascii="Times New Roman" w:hAnsi="Times New Roman" w:cs="Times New Roman" w:eastAsia="Times New Roman"/>
                                  <w:color w:val="7E7789"/>
                                  <w:spacing w:val="-2"/>
                                  <w:sz w:val="17"/>
                                  <w:szCs w:val="17"/>
                                </w:rPr>
                                <w:t>&lt;Jt'to</w:t>
                              </w:r>
                              <w:r>
                                <w:rPr>
                                  <w:rFonts w:ascii="Times New Roman" w:hAnsi="Times New Roman" w:cs="Times New Roman" w:eastAsia="Times New Roman"/>
                                  <w:color w:val="97959E"/>
                                  <w:spacing w:val="-2"/>
                                  <w:sz w:val="17"/>
                                  <w:szCs w:val="17"/>
                                </w:rPr>
                                <w:t>�-</w:t>
                              </w:r>
                            </w:p>
                          </w:txbxContent>
                        </wps:txbx>
                        <wps:bodyPr wrap="square" lIns="0" tIns="0" rIns="0" bIns="0" rtlCol="0">
                          <a:noAutofit/>
                        </wps:bodyPr>
                      </wps:wsp>
                      <wps:wsp>
                        <wps:cNvPr id="285" name="Textbox 285"/>
                        <wps:cNvSpPr txBox="1"/>
                        <wps:spPr>
                          <a:xfrm>
                            <a:off x="2671183" y="1277776"/>
                            <a:ext cx="94615" cy="106680"/>
                          </a:xfrm>
                          <a:prstGeom prst="rect">
                            <a:avLst/>
                          </a:prstGeom>
                        </wps:spPr>
                        <wps:txbx>
                          <w:txbxContent>
                            <w:p>
                              <w:pPr>
                                <w:spacing w:line="168" w:lineRule="exact" w:before="0"/>
                                <w:ind w:left="0" w:right="0" w:firstLine="0"/>
                                <w:jc w:val="left"/>
                                <w:rPr>
                                  <w:sz w:val="15"/>
                                </w:rPr>
                              </w:pPr>
                              <w:r>
                                <w:rPr>
                                  <w:color w:val="7E7789"/>
                                  <w:spacing w:val="-5"/>
                                  <w:w w:val="110"/>
                                  <w:sz w:val="15"/>
                                </w:rPr>
                                <w:t>la</w:t>
                              </w:r>
                            </w:p>
                          </w:txbxContent>
                        </wps:txbx>
                        <wps:bodyPr wrap="square" lIns="0" tIns="0" rIns="0" bIns="0" rtlCol="0">
                          <a:noAutofit/>
                        </wps:bodyPr>
                      </wps:wsp>
                      <wps:wsp>
                        <wps:cNvPr id="286" name="Textbox 286"/>
                        <wps:cNvSpPr txBox="1"/>
                        <wps:spPr>
                          <a:xfrm>
                            <a:off x="115705" y="1826255"/>
                            <a:ext cx="393065" cy="120014"/>
                          </a:xfrm>
                          <a:prstGeom prst="rect">
                            <a:avLst/>
                          </a:prstGeom>
                        </wps:spPr>
                        <wps:txbx>
                          <w:txbxContent>
                            <w:p>
                              <w:pPr>
                                <w:spacing w:line="188" w:lineRule="exact" w:before="0"/>
                                <w:ind w:left="0" w:right="0" w:firstLine="0"/>
                                <w:jc w:val="left"/>
                                <w:rPr>
                                  <w:rFonts w:ascii="Times New Roman"/>
                                  <w:sz w:val="17"/>
                                </w:rPr>
                              </w:pPr>
                              <w:r>
                                <w:rPr>
                                  <w:rFonts w:ascii="Times New Roman"/>
                                  <w:color w:val="41698A"/>
                                  <w:spacing w:val="-2"/>
                                  <w:w w:val="150"/>
                                  <w:sz w:val="17"/>
                                </w:rPr>
                                <w:t>l</w:t>
                              </w:r>
                              <w:r>
                                <w:rPr>
                                  <w:rFonts w:ascii="Times New Roman"/>
                                  <w:color w:val="2B4FA1"/>
                                  <w:spacing w:val="-2"/>
                                  <w:w w:val="150"/>
                                  <w:sz w:val="17"/>
                                </w:rPr>
                                <w:t>.</w:t>
                              </w:r>
                              <w:r>
                                <w:rPr>
                                  <w:rFonts w:ascii="Times New Roman"/>
                                  <w:color w:val="644259"/>
                                  <w:spacing w:val="-2"/>
                                  <w:w w:val="150"/>
                                  <w:sz w:val="17"/>
                                </w:rPr>
                                <w:t>ll</w:t>
                              </w:r>
                              <w:r>
                                <w:rPr>
                                  <w:rFonts w:ascii="Times New Roman"/>
                                  <w:color w:val="4B4654"/>
                                  <w:spacing w:val="-2"/>
                                  <w:w w:val="150"/>
                                  <w:sz w:val="17"/>
                                </w:rPr>
                                <w:t>pl</w:t>
                              </w:r>
                              <w:r>
                                <w:rPr>
                                  <w:rFonts w:ascii="Times New Roman"/>
                                  <w:color w:val="282F4D"/>
                                  <w:spacing w:val="-2"/>
                                  <w:w w:val="150"/>
                                  <w:sz w:val="17"/>
                                </w:rPr>
                                <w:t>a</w:t>
                              </w:r>
                            </w:p>
                          </w:txbxContent>
                        </wps:txbx>
                        <wps:bodyPr wrap="square" lIns="0" tIns="0" rIns="0" bIns="0" rtlCol="0">
                          <a:noAutofit/>
                        </wps:bodyPr>
                      </wps:wsp>
                      <wps:wsp>
                        <wps:cNvPr id="287" name="Textbox 287"/>
                        <wps:cNvSpPr txBox="1"/>
                        <wps:spPr>
                          <a:xfrm>
                            <a:off x="360960" y="2351091"/>
                            <a:ext cx="73025" cy="152400"/>
                          </a:xfrm>
                          <a:prstGeom prst="rect">
                            <a:avLst/>
                          </a:prstGeom>
                        </wps:spPr>
                        <wps:txbx>
                          <w:txbxContent>
                            <w:p>
                              <w:pPr>
                                <w:spacing w:before="12"/>
                                <w:ind w:left="20" w:right="0" w:firstLine="0"/>
                                <w:jc w:val="left"/>
                                <w:rPr>
                                  <w:rFonts w:ascii="Times New Roman"/>
                                  <w:i/>
                                  <w:sz w:val="18"/>
                                </w:rPr>
                              </w:pPr>
                              <w:r>
                                <w:rPr>
                                  <w:color w:val="C18E89"/>
                                  <w:spacing w:val="-11"/>
                                  <w:w w:val="75"/>
                                  <w:sz w:val="16"/>
                                </w:rPr>
                                <w:t>1</w:t>
                              </w:r>
                              <w:r>
                                <w:rPr>
                                  <w:rFonts w:ascii="Times New Roman"/>
                                  <w:i/>
                                  <w:color w:val="7E7789"/>
                                  <w:spacing w:val="-11"/>
                                  <w:w w:val="75"/>
                                  <w:sz w:val="18"/>
                                </w:rPr>
                                <w:t>i</w:t>
                              </w:r>
                            </w:p>
                          </w:txbxContent>
                        </wps:txbx>
                        <wps:bodyPr wrap="square" lIns="0" tIns="0" rIns="0" bIns="0" rtlCol="0">
                          <a:noAutofit/>
                        </wps:bodyPr>
                      </wps:wsp>
                      <wps:wsp>
                        <wps:cNvPr id="288" name="Textbox 288"/>
                        <wps:cNvSpPr txBox="1"/>
                        <wps:spPr>
                          <a:xfrm>
                            <a:off x="1800556" y="2360982"/>
                            <a:ext cx="1157605" cy="139065"/>
                          </a:xfrm>
                          <a:prstGeom prst="rect">
                            <a:avLst/>
                          </a:prstGeom>
                        </wps:spPr>
                        <wps:txbx>
                          <w:txbxContent>
                            <w:p>
                              <w:pPr>
                                <w:spacing w:before="15"/>
                                <w:ind w:left="20" w:right="0" w:firstLine="0"/>
                                <w:jc w:val="left"/>
                                <w:rPr>
                                  <w:sz w:val="16"/>
                                </w:rPr>
                              </w:pPr>
                              <w:r>
                                <w:rPr>
                                  <w:color w:val="7E7789"/>
                                  <w:sz w:val="15"/>
                                </w:rPr>
                                <w:t>opl</w:t>
                              </w:r>
                              <w:r>
                                <w:rPr>
                                  <w:color w:val="7E7789"/>
                                  <w:spacing w:val="55"/>
                                  <w:sz w:val="15"/>
                                </w:rPr>
                                <w:t> </w:t>
                              </w:r>
                              <w:r>
                                <w:rPr>
                                  <w:color w:val="7E7789"/>
                                  <w:sz w:val="14"/>
                                </w:rPr>
                                <w:t>nkir.es.</w:t>
                              </w:r>
                              <w:r>
                                <w:rPr>
                                  <w:color w:val="7E7789"/>
                                  <w:spacing w:val="50"/>
                                  <w:sz w:val="14"/>
                                </w:rPr>
                                <w:t>  </w:t>
                              </w:r>
                              <w:r>
                                <w:rPr>
                                  <w:color w:val="7E7789"/>
                                  <w:sz w:val="10"/>
                                </w:rPr>
                                <w:t>Cli:l</w:t>
                              </w:r>
                              <w:r>
                                <w:rPr>
                                  <w:color w:val="7E7789"/>
                                  <w:spacing w:val="63"/>
                                  <w:sz w:val="10"/>
                                </w:rPr>
                                <w:t>  </w:t>
                              </w:r>
                              <w:r>
                                <w:rPr>
                                  <w:color w:val="7E7789"/>
                                  <w:sz w:val="15"/>
                                </w:rPr>
                                <w:t>1m</w:t>
                              </w:r>
                              <w:r>
                                <w:rPr>
                                  <w:color w:val="7E7789"/>
                                  <w:spacing w:val="46"/>
                                  <w:sz w:val="15"/>
                                </w:rPr>
                                <w:t>  </w:t>
                              </w:r>
                              <w:r>
                                <w:rPr>
                                  <w:color w:val="7E7789"/>
                                  <w:spacing w:val="-10"/>
                                  <w:sz w:val="16"/>
                                </w:rPr>
                                <w:t>X</w:t>
                              </w:r>
                            </w:p>
                          </w:txbxContent>
                        </wps:txbx>
                        <wps:bodyPr wrap="square" lIns="0" tIns="0" rIns="0" bIns="0" rtlCol="0">
                          <a:noAutofit/>
                        </wps:bodyPr>
                      </wps:wsp>
                      <wps:wsp>
                        <wps:cNvPr id="289" name="Textbox 289"/>
                        <wps:cNvSpPr txBox="1"/>
                        <wps:spPr>
                          <a:xfrm>
                            <a:off x="361646" y="3270039"/>
                            <a:ext cx="189865" cy="132080"/>
                          </a:xfrm>
                          <a:prstGeom prst="rect">
                            <a:avLst/>
                          </a:prstGeom>
                        </wps:spPr>
                        <wps:txbx>
                          <w:txbxContent>
                            <w:p>
                              <w:pPr>
                                <w:spacing w:before="15"/>
                                <w:ind w:left="20" w:right="0" w:firstLine="0"/>
                                <w:jc w:val="left"/>
                                <w:rPr>
                                  <w:sz w:val="15"/>
                                </w:rPr>
                              </w:pPr>
                              <w:r>
                                <w:rPr>
                                  <w:color w:val="C18E89"/>
                                  <w:spacing w:val="-4"/>
                                  <w:sz w:val="15"/>
                                </w:rPr>
                                <w:t>1.</w:t>
                              </w:r>
                              <w:r>
                                <w:rPr>
                                  <w:color w:val="675B72"/>
                                  <w:spacing w:val="-4"/>
                                  <w:sz w:val="15"/>
                                </w:rPr>
                                <w:t>4.</w:t>
                              </w:r>
                            </w:p>
                          </w:txbxContent>
                        </wps:txbx>
                        <wps:bodyPr wrap="square" lIns="0" tIns="0" rIns="0" bIns="0" rtlCol="0">
                          <a:noAutofit/>
                        </wps:bodyPr>
                      </wps:wsp>
                      <wps:wsp>
                        <wps:cNvPr id="290" name="Textbox 290"/>
                        <wps:cNvSpPr txBox="1"/>
                        <wps:spPr>
                          <a:xfrm>
                            <a:off x="569617" y="3389055"/>
                            <a:ext cx="1582420" cy="361315"/>
                          </a:xfrm>
                          <a:prstGeom prst="rect">
                            <a:avLst/>
                          </a:prstGeom>
                        </wps:spPr>
                        <wps:txbx>
                          <w:txbxContent>
                            <w:p>
                              <w:pPr>
                                <w:spacing w:line="261" w:lineRule="auto" w:before="15"/>
                                <w:ind w:left="1054" w:right="492" w:firstLine="0"/>
                                <w:jc w:val="left"/>
                                <w:rPr>
                                  <w:sz w:val="15"/>
                                </w:rPr>
                              </w:pPr>
                              <w:r>
                                <w:rPr>
                                  <w:color w:val="7E7789"/>
                                  <w:spacing w:val="-2"/>
                                  <w:w w:val="110"/>
                                  <w:sz w:val="12"/>
                                </w:rPr>
                                <w:t>e;</w:t>
                              </w:r>
                              <w:r>
                                <w:rPr>
                                  <w:color w:val="7E7789"/>
                                  <w:spacing w:val="-3"/>
                                  <w:w w:val="110"/>
                                  <w:sz w:val="12"/>
                                </w:rPr>
                                <w:t> </w:t>
                              </w:r>
                              <w:r>
                                <w:rPr>
                                  <w:color w:val="7E7789"/>
                                  <w:spacing w:val="-2"/>
                                  <w:w w:val="110"/>
                                  <w:sz w:val="15"/>
                                </w:rPr>
                                <w:t>la</w:t>
                              </w:r>
                              <w:r>
                                <w:rPr>
                                  <w:color w:val="7E7789"/>
                                  <w:spacing w:val="-1"/>
                                  <w:w w:val="110"/>
                                  <w:sz w:val="15"/>
                                </w:rPr>
                                <w:t> </w:t>
                              </w:r>
                              <w:r>
                                <w:rPr>
                                  <w:color w:val="8997BC"/>
                                  <w:spacing w:val="-2"/>
                                  <w:w w:val="110"/>
                                  <w:sz w:val="15"/>
                                </w:rPr>
                                <w:t>ln</w:t>
                              </w:r>
                              <w:r>
                                <w:rPr>
                                  <w:color w:val="7E7789"/>
                                  <w:spacing w:val="-2"/>
                                  <w:w w:val="110"/>
                                  <w:sz w:val="15"/>
                                </w:rPr>
                                <w:t>tormoc </w:t>
                              </w:r>
                              <w:r>
                                <w:rPr>
                                  <w:color w:val="7E7789"/>
                                  <w:spacing w:val="-4"/>
                                  <w:w w:val="110"/>
                                  <w:sz w:val="15"/>
                                </w:rPr>
                                <w:t>pera</w:t>
                              </w:r>
                            </w:p>
                            <w:p>
                              <w:pPr>
                                <w:spacing w:line="157" w:lineRule="exact" w:before="0"/>
                                <w:ind w:left="20" w:right="0" w:firstLine="0"/>
                                <w:jc w:val="left"/>
                                <w:rPr>
                                  <w:sz w:val="15"/>
                                </w:rPr>
                              </w:pPr>
                              <w:r>
                                <w:rPr>
                                  <w:color w:val="7E7789"/>
                                  <w:w w:val="115"/>
                                  <w:sz w:val="15"/>
                                </w:rPr>
                                <w:t>c</w:t>
                              </w:r>
                              <w:r>
                                <w:rPr>
                                  <w:color w:val="97959E"/>
                                  <w:w w:val="115"/>
                                  <w:sz w:val="15"/>
                                </w:rPr>
                                <w:t>u</w:t>
                              </w:r>
                              <w:r>
                                <w:rPr>
                                  <w:color w:val="7E7789"/>
                                  <w:w w:val="115"/>
                                  <w:sz w:val="15"/>
                                </w:rPr>
                                <w:t>rnp</w:t>
                              </w:r>
                              <w:r>
                                <w:rPr>
                                  <w:color w:val="97959E"/>
                                  <w:w w:val="115"/>
                                  <w:sz w:val="15"/>
                                </w:rPr>
                                <w:t>l</w:t>
                              </w:r>
                              <w:r>
                                <w:rPr>
                                  <w:color w:val="7E7789"/>
                                  <w:w w:val="115"/>
                                  <w:sz w:val="15"/>
                                </w:rPr>
                                <w:t>rrfonto</w:t>
                              </w:r>
                              <w:r>
                                <w:rPr>
                                  <w:color w:val="7E7789"/>
                                  <w:spacing w:val="9"/>
                                  <w:w w:val="115"/>
                                  <w:sz w:val="15"/>
                                </w:rPr>
                                <w:t> </w:t>
                              </w:r>
                              <w:r>
                                <w:rPr>
                                  <w:color w:val="7E7789"/>
                                  <w:w w:val="115"/>
                                  <w:sz w:val="15"/>
                                </w:rPr>
                                <w:t>e</w:t>
                              </w:r>
                              <w:r>
                                <w:rPr>
                                  <w:color w:val="7E7789"/>
                                  <w:spacing w:val="76"/>
                                  <w:w w:val="115"/>
                                  <w:sz w:val="15"/>
                                </w:rPr>
                                <w:t> </w:t>
                              </w:r>
                              <w:r>
                                <w:rPr>
                                  <w:color w:val="7E7789"/>
                                  <w:w w:val="115"/>
                                  <w:sz w:val="15"/>
                                </w:rPr>
                                <w:t>1m</w:t>
                              </w:r>
                              <w:r>
                                <w:rPr>
                                  <w:color w:val="7E7789"/>
                                  <w:spacing w:val="-25"/>
                                  <w:w w:val="115"/>
                                  <w:sz w:val="15"/>
                                </w:rPr>
                                <w:t> </w:t>
                              </w:r>
                              <w:r>
                                <w:rPr>
                                  <w:color w:val="C18E89"/>
                                  <w:spacing w:val="-2"/>
                                  <w:w w:val="115"/>
                                  <w:sz w:val="15"/>
                                </w:rPr>
                                <w:t>l</w:t>
                              </w:r>
                              <w:r>
                                <w:rPr>
                                  <w:color w:val="7E7789"/>
                                  <w:spacing w:val="-2"/>
                                  <w:w w:val="115"/>
                                  <w:sz w:val="15"/>
                                </w:rPr>
                                <w:t>ndkoxn</w:t>
                              </w:r>
                              <w:r>
                                <w:rPr>
                                  <w:color w:val="675B72"/>
                                  <w:spacing w:val="-2"/>
                                  <w:w w:val="115"/>
                                  <w:sz w:val="15"/>
                                </w:rPr>
                                <w:t>:</w:t>
                              </w:r>
                              <w:r>
                                <w:rPr>
                                  <w:color w:val="7E7789"/>
                                  <w:spacing w:val="-2"/>
                                  <w:w w:val="115"/>
                                  <w:sz w:val="15"/>
                                </w:rPr>
                                <w:t>,s</w:t>
                              </w:r>
                              <w:r>
                                <w:rPr>
                                  <w:color w:val="709AA7"/>
                                  <w:spacing w:val="-2"/>
                                  <w:w w:val="115"/>
                                  <w:sz w:val="15"/>
                                </w:rPr>
                                <w:t>.</w:t>
                              </w:r>
                            </w:p>
                          </w:txbxContent>
                        </wps:txbx>
                        <wps:bodyPr wrap="square" lIns="0" tIns="0" rIns="0" bIns="0" rtlCol="0">
                          <a:noAutofit/>
                        </wps:bodyPr>
                      </wps:wsp>
                      <wps:wsp>
                        <wps:cNvPr id="291" name="Textbox 291"/>
                        <wps:cNvSpPr txBox="1"/>
                        <wps:spPr>
                          <a:xfrm>
                            <a:off x="2333972" y="3503756"/>
                            <a:ext cx="133350" cy="138430"/>
                          </a:xfrm>
                          <a:prstGeom prst="rect">
                            <a:avLst/>
                          </a:prstGeom>
                        </wps:spPr>
                        <wps:txbx>
                          <w:txbxContent>
                            <w:p>
                              <w:pPr>
                                <w:spacing w:before="13"/>
                                <w:ind w:left="20" w:right="0" w:firstLine="0"/>
                                <w:jc w:val="left"/>
                                <w:rPr>
                                  <w:rFonts w:ascii="Times New Roman"/>
                                  <w:sz w:val="16"/>
                                </w:rPr>
                              </w:pPr>
                              <w:r>
                                <w:rPr>
                                  <w:rFonts w:ascii="Times New Roman"/>
                                  <w:color w:val="97959E"/>
                                  <w:spacing w:val="-5"/>
                                  <w:w w:val="120"/>
                                  <w:sz w:val="16"/>
                                </w:rPr>
                                <w:t>ki</w:t>
                              </w:r>
                            </w:p>
                          </w:txbxContent>
                        </wps:txbx>
                        <wps:bodyPr wrap="square" lIns="0" tIns="0" rIns="0" bIns="0" rtlCol="0">
                          <a:noAutofit/>
                        </wps:bodyPr>
                      </wps:wsp>
                      <wps:wsp>
                        <wps:cNvPr id="292" name="Textbox 292"/>
                        <wps:cNvSpPr txBox="1"/>
                        <wps:spPr>
                          <a:xfrm>
                            <a:off x="2444273" y="3260058"/>
                            <a:ext cx="512445" cy="380365"/>
                          </a:xfrm>
                          <a:prstGeom prst="rect">
                            <a:avLst/>
                          </a:prstGeom>
                        </wps:spPr>
                        <wps:txbx>
                          <w:txbxContent>
                            <w:p>
                              <w:pPr>
                                <w:tabs>
                                  <w:tab w:pos="650" w:val="left" w:leader="none"/>
                                </w:tabs>
                                <w:spacing w:before="13"/>
                                <w:ind w:left="0" w:right="18" w:firstLine="0"/>
                                <w:jc w:val="center"/>
                                <w:rPr>
                                  <w:rFonts w:ascii="Times New Roman"/>
                                  <w:sz w:val="16"/>
                                </w:rPr>
                              </w:pPr>
                              <w:r>
                                <w:rPr>
                                  <w:rFonts w:ascii="Times New Roman"/>
                                  <w:color w:val="7E7789"/>
                                  <w:w w:val="95"/>
                                  <w:sz w:val="17"/>
                                </w:rPr>
                                <w:t>dan</w:t>
                              </w:r>
                              <w:r>
                                <w:rPr>
                                  <w:rFonts w:ascii="Times New Roman"/>
                                  <w:color w:val="7E7789"/>
                                  <w:spacing w:val="67"/>
                                  <w:w w:val="150"/>
                                  <w:sz w:val="17"/>
                                </w:rPr>
                                <w:t> </w:t>
                              </w:r>
                              <w:r>
                                <w:rPr>
                                  <w:i/>
                                  <w:color w:val="7E7789"/>
                                  <w:spacing w:val="-5"/>
                                  <w:w w:val="95"/>
                                  <w:sz w:val="16"/>
                                </w:rPr>
                                <w:t>'f</w:t>
                              </w:r>
                              <w:r>
                                <w:rPr>
                                  <w:i/>
                                  <w:color w:val="7E7789"/>
                                  <w:sz w:val="16"/>
                                </w:rPr>
                                <w:tab/>
                              </w:r>
                              <w:r>
                                <w:rPr>
                                  <w:rFonts w:ascii="Times New Roman"/>
                                  <w:color w:val="7E7789"/>
                                  <w:spacing w:val="-4"/>
                                  <w:w w:val="75"/>
                                  <w:sz w:val="16"/>
                                </w:rPr>
                                <w:t>:a'.</w:t>
                              </w:r>
                            </w:p>
                            <w:p>
                              <w:pPr>
                                <w:spacing w:before="20"/>
                                <w:ind w:left="0" w:right="72" w:firstLine="0"/>
                                <w:jc w:val="center"/>
                                <w:rPr>
                                  <w:rFonts w:ascii="Times New Roman"/>
                                  <w:sz w:val="14"/>
                                </w:rPr>
                              </w:pPr>
                              <w:r>
                                <w:rPr>
                                  <w:rFonts w:ascii="Times New Roman"/>
                                  <w:color w:val="7E7789"/>
                                  <w:spacing w:val="-5"/>
                                  <w:sz w:val="14"/>
                                </w:rPr>
                                <w:t>de,</w:t>
                              </w:r>
                            </w:p>
                            <w:p>
                              <w:pPr>
                                <w:spacing w:before="16"/>
                                <w:ind w:left="0" w:right="67" w:firstLine="0"/>
                                <w:jc w:val="center"/>
                                <w:rPr>
                                  <w:sz w:val="15"/>
                                </w:rPr>
                              </w:pPr>
                              <w:r>
                                <w:rPr>
                                  <w:color w:val="7E7789"/>
                                  <w:spacing w:val="-5"/>
                                  <w:w w:val="125"/>
                                  <w:sz w:val="15"/>
                                </w:rPr>
                                <w:t>de</w:t>
                              </w:r>
                              <w:r>
                                <w:rPr>
                                  <w:color w:val="AC6D93"/>
                                  <w:spacing w:val="-5"/>
                                  <w:w w:val="125"/>
                                  <w:sz w:val="15"/>
                                </w:rPr>
                                <w:t>l</w:t>
                              </w:r>
                            </w:p>
                          </w:txbxContent>
                        </wps:txbx>
                        <wps:bodyPr wrap="square" lIns="0" tIns="0" rIns="0" bIns="0" rtlCol="0">
                          <a:noAutofit/>
                        </wps:bodyPr>
                      </wps:wsp>
                      <wps:wsp>
                        <wps:cNvPr id="293" name="Textbox 293"/>
                        <wps:cNvSpPr txBox="1"/>
                        <wps:spPr>
                          <a:xfrm>
                            <a:off x="363077" y="3837654"/>
                            <a:ext cx="1255395" cy="579755"/>
                          </a:xfrm>
                          <a:prstGeom prst="rect">
                            <a:avLst/>
                          </a:prstGeom>
                        </wps:spPr>
                        <wps:txbx>
                          <w:txbxContent>
                            <w:p>
                              <w:pPr>
                                <w:spacing w:line="164" w:lineRule="exact" w:before="15"/>
                                <w:ind w:left="0" w:right="756" w:firstLine="0"/>
                                <w:jc w:val="right"/>
                                <w:rPr>
                                  <w:sz w:val="15"/>
                                  <w:szCs w:val="15"/>
                                </w:rPr>
                              </w:pPr>
                              <w:r>
                                <w:rPr>
                                  <w:color w:val="C18E89"/>
                                  <w:w w:val="110"/>
                                  <w:sz w:val="15"/>
                                  <w:szCs w:val="15"/>
                                </w:rPr>
                                <w:t>I</w:t>
                              </w:r>
                              <w:r>
                                <w:rPr>
                                  <w:color w:val="97959E"/>
                                  <w:w w:val="110"/>
                                  <w:sz w:val="15"/>
                                  <w:szCs w:val="15"/>
                                </w:rPr>
                                <w:t>..S..</w:t>
                              </w:r>
                              <w:r>
                                <w:rPr>
                                  <w:color w:val="7E7789"/>
                                  <w:w w:val="110"/>
                                  <w:sz w:val="15"/>
                                  <w:szCs w:val="15"/>
                                </w:rPr>
                                <w:t>�</w:t>
                              </w:r>
                              <w:r>
                                <w:rPr>
                                  <w:color w:val="7E7789"/>
                                  <w:spacing w:val="45"/>
                                  <w:w w:val="110"/>
                                  <w:sz w:val="15"/>
                                  <w:szCs w:val="15"/>
                                </w:rPr>
                                <w:t> </w:t>
                              </w:r>
                              <w:r>
                                <w:rPr>
                                  <w:color w:val="7E7789"/>
                                  <w:spacing w:val="-2"/>
                                  <w:w w:val="110"/>
                                  <w:sz w:val="15"/>
                                  <w:szCs w:val="15"/>
                                </w:rPr>
                                <w:t>uHimra</w:t>
                              </w:r>
                              <w:r>
                                <w:rPr>
                                  <w:color w:val="7E7789"/>
                                  <w:spacing w:val="-2"/>
                                  <w:w w:val="110"/>
                                  <w:sz w:val="15"/>
                                  <w:szCs w:val="15"/>
                                </w:rPr>
                                <w:t>n</w:t>
                              </w:r>
                            </w:p>
                            <w:p>
                              <w:pPr>
                                <w:tabs>
                                  <w:tab w:pos="435" w:val="left" w:leader="none"/>
                                  <w:tab w:pos="696" w:val="left" w:leader="none"/>
                                </w:tabs>
                                <w:spacing w:line="187" w:lineRule="exact" w:before="0"/>
                                <w:ind w:left="0" w:right="729" w:firstLine="0"/>
                                <w:jc w:val="right"/>
                                <w:rPr>
                                  <w:sz w:val="15"/>
                                </w:rPr>
                              </w:pPr>
                              <w:r>
                                <w:rPr>
                                  <w:rFonts w:ascii="Times New Roman"/>
                                  <w:color w:val="7E7789"/>
                                  <w:spacing w:val="-5"/>
                                  <w:w w:val="80"/>
                                  <w:sz w:val="17"/>
                                </w:rPr>
                                <w:t>pb</w:t>
                              </w:r>
                              <w:r>
                                <w:rPr>
                                  <w:rFonts w:ascii="Times New Roman"/>
                                  <w:color w:val="7E7789"/>
                                  <w:sz w:val="17"/>
                                </w:rPr>
                                <w:tab/>
                              </w:r>
                              <w:r>
                                <w:rPr>
                                  <w:color w:val="7E7789"/>
                                  <w:spacing w:val="-10"/>
                                  <w:w w:val="80"/>
                                  <w:sz w:val="15"/>
                                </w:rPr>
                                <w:t>e</w:t>
                              </w:r>
                              <w:r>
                                <w:rPr>
                                  <w:color w:val="7E7789"/>
                                  <w:sz w:val="15"/>
                                </w:rPr>
                                <w:tab/>
                              </w:r>
                              <w:r>
                                <w:rPr>
                                  <w:color w:val="7E7789"/>
                                  <w:spacing w:val="-5"/>
                                  <w:sz w:val="15"/>
                                </w:rPr>
                                <w:t>ra</w:t>
                              </w:r>
                              <w:r>
                                <w:rPr>
                                  <w:color w:val="6990CD"/>
                                  <w:spacing w:val="-5"/>
                                  <w:sz w:val="15"/>
                                </w:rPr>
                                <w:t>l</w:t>
                              </w:r>
                            </w:p>
                            <w:p>
                              <w:pPr>
                                <w:tabs>
                                  <w:tab w:pos="841" w:val="left" w:leader="none"/>
                                </w:tabs>
                                <w:spacing w:line="187" w:lineRule="exact" w:before="11"/>
                                <w:ind w:left="358" w:right="0" w:firstLine="0"/>
                                <w:jc w:val="left"/>
                                <w:rPr>
                                  <w:sz w:val="15"/>
                                </w:rPr>
                              </w:pPr>
                              <w:r>
                                <w:rPr>
                                  <w:color w:val="7E7789"/>
                                  <w:spacing w:val="-4"/>
                                  <w:w w:val="110"/>
                                  <w:sz w:val="16"/>
                                </w:rPr>
                                <w:t>tie:</w:t>
                              </w:r>
                              <w:r>
                                <w:rPr>
                                  <w:color w:val="7E7789"/>
                                  <w:sz w:val="16"/>
                                </w:rPr>
                                <w:tab/>
                              </w:r>
                              <w:r>
                                <w:rPr>
                                  <w:rFonts w:ascii="Times New Roman" w:hAnsi="Times New Roman"/>
                                  <w:color w:val="7E7789"/>
                                  <w:w w:val="110"/>
                                  <w:sz w:val="14"/>
                                </w:rPr>
                                <w:t>CCJcicr,</w:t>
                              </w:r>
                              <w:r>
                                <w:rPr>
                                  <w:rFonts w:ascii="Times New Roman" w:hAnsi="Times New Roman"/>
                                  <w:color w:val="7E7789"/>
                                  <w:spacing w:val="-2"/>
                                  <w:w w:val="110"/>
                                  <w:sz w:val="14"/>
                                </w:rPr>
                                <w:t> </w:t>
                              </w:r>
                              <w:r>
                                <w:rPr>
                                  <w:rFonts w:ascii="Times New Roman" w:hAnsi="Times New Roman"/>
                                  <w:color w:val="97959E"/>
                                  <w:w w:val="110"/>
                                  <w:sz w:val="17"/>
                                </w:rPr>
                                <w:t>f</w:t>
                              </w:r>
                              <w:r>
                                <w:rPr>
                                  <w:rFonts w:ascii="Times New Roman" w:hAnsi="Times New Roman"/>
                                  <w:color w:val="97959E"/>
                                  <w:spacing w:val="19"/>
                                  <w:w w:val="110"/>
                                  <w:sz w:val="17"/>
                                </w:rPr>
                                <w:t> </w:t>
                              </w:r>
                              <w:r>
                                <w:rPr>
                                  <w:color w:val="7E7789"/>
                                  <w:spacing w:val="-2"/>
                                  <w:w w:val="110"/>
                                  <w:sz w:val="15"/>
                                </w:rPr>
                                <w:t>ar</w:t>
                              </w:r>
                              <w:r>
                                <w:rPr>
                                  <w:color w:val="97959E"/>
                                  <w:spacing w:val="-2"/>
                                  <w:w w:val="110"/>
                                  <w:sz w:val="15"/>
                                </w:rPr>
                                <w:t>.álz</w:t>
                              </w:r>
                            </w:p>
                            <w:p>
                              <w:pPr>
                                <w:spacing w:line="177" w:lineRule="exact" w:before="0"/>
                                <w:ind w:left="347" w:right="0" w:firstLine="0"/>
                                <w:jc w:val="left"/>
                                <w:rPr>
                                  <w:rFonts w:ascii="Times New Roman" w:hAnsi="Times New Roman"/>
                                  <w:sz w:val="17"/>
                                </w:rPr>
                              </w:pPr>
                              <w:r>
                                <w:rPr>
                                  <w:rFonts w:ascii="Times New Roman" w:hAnsi="Times New Roman"/>
                                  <w:color w:val="7E7789"/>
                                  <w:sz w:val="11"/>
                                </w:rPr>
                                <w:t>Ci</w:t>
                              </w:r>
                              <w:r>
                                <w:rPr>
                                  <w:color w:val="6990CD"/>
                                  <w:sz w:val="15"/>
                                </w:rPr>
                                <w:t>I</w:t>
                              </w:r>
                              <w:r>
                                <w:rPr>
                                  <w:color w:val="6990CD"/>
                                  <w:spacing w:val="19"/>
                                  <w:sz w:val="15"/>
                                </w:rPr>
                                <w:t> </w:t>
                              </w:r>
                              <w:r>
                                <w:rPr>
                                  <w:color w:val="7E7789"/>
                                  <w:sz w:val="15"/>
                                </w:rPr>
                                <w:t>a-tri:</w:t>
                              </w:r>
                              <w:r>
                                <w:rPr>
                                  <w:rFonts w:ascii="Times New Roman" w:hAnsi="Times New Roman"/>
                                  <w:color w:val="7E7789"/>
                                  <w:sz w:val="16"/>
                                </w:rPr>
                                <w:t>llio</w:t>
                              </w:r>
                              <w:r>
                                <w:rPr>
                                  <w:rFonts w:ascii="Times New Roman" w:hAnsi="Times New Roman"/>
                                  <w:color w:val="7E7789"/>
                                  <w:spacing w:val="48"/>
                                  <w:sz w:val="16"/>
                                </w:rPr>
                                <w:t> </w:t>
                              </w:r>
                              <w:r>
                                <w:rPr>
                                  <w:color w:val="8E70A3"/>
                                  <w:sz w:val="15"/>
                                </w:rPr>
                                <w:t>1</w:t>
                              </w:r>
                              <w:r>
                                <w:rPr>
                                  <w:color w:val="D6A364"/>
                                  <w:sz w:val="15"/>
                                </w:rPr>
                                <w:t>·</w:t>
                              </w:r>
                              <w:r>
                                <w:rPr>
                                  <w:color w:val="D6A364"/>
                                  <w:spacing w:val="77"/>
                                  <w:w w:val="150"/>
                                  <w:sz w:val="15"/>
                                </w:rPr>
                                <w:t> </w:t>
                              </w:r>
                              <w:r>
                                <w:rPr>
                                  <w:color w:val="7E7789"/>
                                  <w:sz w:val="11"/>
                                </w:rPr>
                                <w:t>CiC</w:t>
                              </w:r>
                              <w:r>
                                <w:rPr>
                                  <w:color w:val="7E7789"/>
                                  <w:spacing w:val="71"/>
                                  <w:sz w:val="11"/>
                                </w:rPr>
                                <w:t> </w:t>
                              </w:r>
                              <w:r>
                                <w:rPr>
                                  <w:rFonts w:ascii="Times New Roman" w:hAnsi="Times New Roman"/>
                                  <w:color w:val="7E7789"/>
                                  <w:spacing w:val="-5"/>
                                  <w:sz w:val="17"/>
                                </w:rPr>
                                <w:t>le</w:t>
                              </w:r>
                            </w:p>
                            <w:p>
                              <w:pPr>
                                <w:spacing w:line="152" w:lineRule="exact" w:before="0"/>
                                <w:ind w:left="0" w:right="45" w:firstLine="0"/>
                                <w:jc w:val="center"/>
                                <w:rPr>
                                  <w:rFonts w:ascii="Times New Roman"/>
                                  <w:sz w:val="14"/>
                                </w:rPr>
                              </w:pPr>
                              <w:r>
                                <w:rPr>
                                  <w:rFonts w:ascii="Times New Roman"/>
                                  <w:color w:val="7E7789"/>
                                  <w:spacing w:val="-2"/>
                                  <w:sz w:val="14"/>
                                </w:rPr>
                                <w:t>,=,</w:t>
                              </w:r>
                              <w:r>
                                <w:rPr>
                                  <w:rFonts w:ascii="Times New Roman"/>
                                  <w:color w:val="AFACAA"/>
                                  <w:spacing w:val="-2"/>
                                  <w:sz w:val="14"/>
                                  <w:shd w:fill="EBF0E8" w:color="auto" w:val="clear"/>
                                </w:rPr>
                                <w:t>,t,I</w:t>
                              </w:r>
                              <w:r>
                                <w:rPr>
                                  <w:rFonts w:ascii="Times New Roman"/>
                                  <w:color w:val="AFACAA"/>
                                  <w:spacing w:val="-2"/>
                                  <w:sz w:val="14"/>
                                </w:rPr>
                                <w:t>_</w:t>
                              </w:r>
                              <w:r>
                                <w:rPr>
                                  <w:rFonts w:ascii="Times New Roman"/>
                                  <w:color w:val="97959E"/>
                                  <w:spacing w:val="-2"/>
                                  <w:sz w:val="14"/>
                                </w:rPr>
                                <w:t>...</w:t>
                              </w:r>
                            </w:p>
                          </w:txbxContent>
                        </wps:txbx>
                        <wps:bodyPr wrap="square" lIns="0" tIns="0" rIns="0" bIns="0" rtlCol="0">
                          <a:noAutofit/>
                        </wps:bodyPr>
                      </wps:wsp>
                      <wps:wsp>
                        <wps:cNvPr id="294" name="Textbox 294"/>
                        <wps:cNvSpPr txBox="1"/>
                        <wps:spPr>
                          <a:xfrm>
                            <a:off x="2209540" y="3833339"/>
                            <a:ext cx="582295" cy="489584"/>
                          </a:xfrm>
                          <a:prstGeom prst="rect">
                            <a:avLst/>
                          </a:prstGeom>
                        </wps:spPr>
                        <wps:txbx>
                          <w:txbxContent>
                            <w:p>
                              <w:pPr>
                                <w:spacing w:line="183" w:lineRule="exact" w:before="13"/>
                                <w:ind w:left="29" w:right="0" w:firstLine="0"/>
                                <w:jc w:val="left"/>
                                <w:rPr>
                                  <w:rFonts w:ascii="Times New Roman" w:hAnsi="Times New Roman"/>
                                  <w:sz w:val="16"/>
                                </w:rPr>
                              </w:pPr>
                              <w:r>
                                <w:rPr>
                                  <w:color w:val="7E7789"/>
                                  <w:w w:val="105"/>
                                  <w:sz w:val="15"/>
                                </w:rPr>
                                <w:t>ub.dó.n</w:t>
                              </w:r>
                              <w:r>
                                <w:rPr>
                                  <w:color w:val="7E7789"/>
                                  <w:spacing w:val="22"/>
                                  <w:w w:val="105"/>
                                  <w:sz w:val="15"/>
                                </w:rPr>
                                <w:t> </w:t>
                              </w:r>
                              <w:r>
                                <w:rPr>
                                  <w:rFonts w:ascii="Times New Roman" w:hAnsi="Times New Roman"/>
                                  <w:color w:val="7E7789"/>
                                  <w:spacing w:val="-4"/>
                                  <w:w w:val="105"/>
                                  <w:sz w:val="16"/>
                                </w:rPr>
                                <w:t>c:a</w:t>
                              </w:r>
                              <w:r>
                                <w:rPr>
                                  <w:rFonts w:ascii="Times New Roman" w:hAnsi="Times New Roman"/>
                                  <w:color w:val="AC6D93"/>
                                  <w:spacing w:val="-4"/>
                                  <w:w w:val="105"/>
                                  <w:sz w:val="16"/>
                                </w:rPr>
                                <w:t>l</w:t>
                              </w:r>
                            </w:p>
                            <w:p>
                              <w:pPr>
                                <w:spacing w:line="171" w:lineRule="exact" w:before="0"/>
                                <w:ind w:left="20" w:right="0" w:firstLine="0"/>
                                <w:jc w:val="left"/>
                                <w:rPr>
                                  <w:rFonts w:ascii="Times New Roman"/>
                                  <w:sz w:val="14"/>
                                </w:rPr>
                              </w:pPr>
                              <w:r>
                                <w:rPr>
                                  <w:color w:val="7E7789"/>
                                  <w:w w:val="120"/>
                                  <w:sz w:val="15"/>
                                </w:rPr>
                                <w:t>mccso</w:t>
                              </w:r>
                              <w:r>
                                <w:rPr>
                                  <w:color w:val="7E7789"/>
                                  <w:spacing w:val="53"/>
                                  <w:w w:val="120"/>
                                  <w:sz w:val="15"/>
                                </w:rPr>
                                <w:t> </w:t>
                              </w:r>
                              <w:r>
                                <w:rPr>
                                  <w:rFonts w:ascii="Times New Roman"/>
                                  <w:color w:val="7E7789"/>
                                  <w:spacing w:val="-5"/>
                                  <w:w w:val="120"/>
                                  <w:sz w:val="14"/>
                                </w:rPr>
                                <w:t>de,</w:t>
                              </w:r>
                            </w:p>
                            <w:p>
                              <w:pPr>
                                <w:spacing w:before="34"/>
                                <w:ind w:left="48" w:right="0" w:firstLine="0"/>
                                <w:jc w:val="left"/>
                                <w:rPr>
                                  <w:sz w:val="15"/>
                                </w:rPr>
                              </w:pPr>
                              <w:r>
                                <w:rPr>
                                  <w:color w:val="7E7789"/>
                                  <w:spacing w:val="-5"/>
                                  <w:w w:val="110"/>
                                  <w:sz w:val="15"/>
                                </w:rPr>
                                <w:t>pre</w:t>
                              </w:r>
                            </w:p>
                            <w:p>
                              <w:pPr>
                                <w:spacing w:before="16"/>
                                <w:ind w:left="34" w:right="0" w:firstLine="0"/>
                                <w:jc w:val="left"/>
                                <w:rPr>
                                  <w:rFonts w:ascii="Times New Roman"/>
                                  <w:sz w:val="14"/>
                                </w:rPr>
                              </w:pPr>
                              <w:r>
                                <w:rPr>
                                  <w:rFonts w:ascii="Times New Roman"/>
                                  <w:color w:val="7E7789"/>
                                  <w:spacing w:val="-5"/>
                                  <w:w w:val="110"/>
                                  <w:sz w:val="14"/>
                                </w:rPr>
                                <w:t>de,</w:t>
                              </w:r>
                            </w:p>
                          </w:txbxContent>
                        </wps:txbx>
                        <wps:bodyPr wrap="square" lIns="0" tIns="0" rIns="0" bIns="0" rtlCol="0">
                          <a:noAutofit/>
                        </wps:bodyPr>
                      </wps:wsp>
                      <wps:wsp>
                        <wps:cNvPr id="295" name="Textbox 295"/>
                        <wps:cNvSpPr txBox="1"/>
                        <wps:spPr>
                          <a:xfrm>
                            <a:off x="2857320" y="3833339"/>
                            <a:ext cx="99060" cy="138430"/>
                          </a:xfrm>
                          <a:prstGeom prst="rect">
                            <a:avLst/>
                          </a:prstGeom>
                        </wps:spPr>
                        <wps:txbx>
                          <w:txbxContent>
                            <w:p>
                              <w:pPr>
                                <w:spacing w:before="13"/>
                                <w:ind w:left="20" w:right="0" w:firstLine="0"/>
                                <w:jc w:val="left"/>
                                <w:rPr>
                                  <w:rFonts w:ascii="Times New Roman"/>
                                  <w:sz w:val="16"/>
                                </w:rPr>
                              </w:pPr>
                              <w:r>
                                <w:rPr>
                                  <w:rFonts w:ascii="Times New Roman"/>
                                  <w:color w:val="7E7789"/>
                                  <w:spacing w:val="-4"/>
                                  <w:w w:val="60"/>
                                  <w:sz w:val="16"/>
                                </w:rPr>
                                <w:t>:a'.</w:t>
                              </w:r>
                            </w:p>
                          </w:txbxContent>
                        </wps:txbx>
                        <wps:bodyPr wrap="square" lIns="0" tIns="0" rIns="0" bIns="0" rtlCol="0">
                          <a:noAutofit/>
                        </wps:bodyPr>
                      </wps:wsp>
                      <wps:wsp>
                        <wps:cNvPr id="296" name="Textbox 296"/>
                        <wps:cNvSpPr txBox="1"/>
                        <wps:spPr>
                          <a:xfrm>
                            <a:off x="2291958" y="4516919"/>
                            <a:ext cx="664845" cy="138430"/>
                          </a:xfrm>
                          <a:prstGeom prst="rect">
                            <a:avLst/>
                          </a:prstGeom>
                        </wps:spPr>
                        <wps:txbx>
                          <w:txbxContent>
                            <w:p>
                              <w:pPr>
                                <w:tabs>
                                  <w:tab w:pos="601" w:val="left" w:leader="none"/>
                                </w:tabs>
                                <w:spacing w:before="13"/>
                                <w:ind w:left="20" w:right="0" w:firstLine="0"/>
                                <w:jc w:val="left"/>
                                <w:rPr>
                                  <w:rFonts w:ascii="Times New Roman"/>
                                  <w:sz w:val="16"/>
                                </w:rPr>
                              </w:pPr>
                              <w:r>
                                <w:rPr>
                                  <w:color w:val="7E7789"/>
                                  <w:spacing w:val="-4"/>
                                  <w:w w:val="105"/>
                                  <w:sz w:val="15"/>
                                </w:rPr>
                                <w:t>pera</w:t>
                              </w:r>
                              <w:r>
                                <w:rPr>
                                  <w:color w:val="7E7789"/>
                                  <w:sz w:val="15"/>
                                </w:rPr>
                                <w:tab/>
                              </w:r>
                              <w:r>
                                <w:rPr>
                                  <w:color w:val="7E7789"/>
                                  <w:w w:val="105"/>
                                  <w:sz w:val="15"/>
                                </w:rPr>
                                <w:t>e</w:t>
                              </w:r>
                              <w:r>
                                <w:rPr>
                                  <w:color w:val="AC6D93"/>
                                  <w:w w:val="105"/>
                                  <w:sz w:val="15"/>
                                </w:rPr>
                                <w:t>l</w:t>
                              </w:r>
                              <w:r>
                                <w:rPr>
                                  <w:color w:val="AC6D93"/>
                                  <w:spacing w:val="48"/>
                                  <w:w w:val="105"/>
                                  <w:sz w:val="15"/>
                                </w:rPr>
                                <w:t>  </w:t>
                              </w:r>
                              <w:r>
                                <w:rPr>
                                  <w:rFonts w:ascii="Times New Roman"/>
                                  <w:color w:val="7E7789"/>
                                  <w:spacing w:val="-4"/>
                                  <w:w w:val="75"/>
                                  <w:sz w:val="16"/>
                                </w:rPr>
                                <w:t>:a'.</w:t>
                              </w:r>
                            </w:p>
                          </w:txbxContent>
                        </wps:txbx>
                        <wps:bodyPr wrap="square" lIns="0" tIns="0" rIns="0" bIns="0" rtlCol="0">
                          <a:noAutofit/>
                        </wps:bodyPr>
                      </wps:wsp>
                    </wpg:wgp>
                  </a:graphicData>
                </a:graphic>
              </wp:anchor>
            </w:drawing>
          </mc:Choice>
          <mc:Fallback>
            <w:pict>
              <v:group style="position:absolute;margin-left:109.611717pt;margin-top:17.810926pt;width:367.3pt;height:384.5pt;mso-position-horizontal-relative:page;mso-position-vertical-relative:paragraph;z-index:-15691776;mso-wrap-distance-left:0;mso-wrap-distance-right:0" id="docshapegroup197" coordorigin="2192,356" coordsize="7346,7690">
                <v:shape style="position:absolute;left:2596;top:380;width:4231;height:1399" type="#_x0000_t75" id="docshape198" stroked="false">
                  <v:imagedata r:id="rId117" o:title=""/>
                </v:shape>
                <v:shape style="position:absolute;left:2788;top:2840;width:4193;height:1264" type="#_x0000_t75" id="docshape199" stroked="false">
                  <v:imagedata r:id="rId118" o:title=""/>
                </v:shape>
                <v:line style="position:absolute" from="2216,8046" to="2216,356" stroked="true" strokeweight="1.682636pt" strokecolor="#000000">
                  <v:stroke dashstyle="solid"/>
                </v:line>
                <v:line style="position:absolute" from="6577,3182" to="6577,1798" stroked="true" strokeweight="1.201883pt" strokecolor="#000000">
                  <v:stroke dashstyle="solid"/>
                </v:line>
                <v:shape style="position:absolute;left:6937;top:356;width:1034;height:7690" id="docshape200" coordorigin="6937,356" coordsize="1034,7690" path="m6937,2836l6937,2067m7432,8046l7432,356m7971,8046l7971,356e" filled="false" stroked="true" strokeweight=".961335pt" strokecolor="#000000">
                  <v:path arrowok="t"/>
                  <v:stroke dashstyle="solid"/>
                </v:shape>
                <v:line style="position:absolute" from="9504,8046" to="9504,356" stroked="true" strokeweight="1.201883pt" strokecolor="#000000">
                  <v:stroke dashstyle="solid"/>
                </v:line>
                <v:shape style="position:absolute;left:2192;top:894;width:7346;height:5513" id="docshape201" coordorigin="2192,894" coordsize="7346,5513" path="m2192,894l2808,894m2192,2870l9538,2870m2192,3211l2981,3211m2192,6407l4019,6407e" filled="false" stroked="true" strokeweight=".961335pt" strokecolor="#000000">
                  <v:path arrowok="t"/>
                  <v:stroke dashstyle="solid"/>
                </v:shape>
                <v:shape style="position:absolute;left:2576;top:923;width:149;height:156" type="#_x0000_t202" id="docshape202" filled="false" stroked="false">
                  <v:textbox inset="0,0,0,0">
                    <w:txbxContent>
                      <w:p>
                        <w:pPr>
                          <w:spacing w:line="155" w:lineRule="exact" w:before="0"/>
                          <w:ind w:left="0" w:right="0" w:firstLine="0"/>
                          <w:jc w:val="left"/>
                          <w:rPr>
                            <w:rFonts w:ascii="Times New Roman" w:hAnsi="Times New Roman" w:cs="Times New Roman" w:eastAsia="Times New Roman"/>
                            <w:sz w:val="14"/>
                            <w:szCs w:val="14"/>
                          </w:rPr>
                        </w:pPr>
                        <w:r>
                          <w:rPr>
                            <w:rFonts w:ascii="Times New Roman" w:hAnsi="Times New Roman" w:cs="Times New Roman" w:eastAsia="Times New Roman"/>
                            <w:color w:val="97959E"/>
                            <w:spacing w:val="-10"/>
                            <w:sz w:val="14"/>
                            <w:szCs w:val="14"/>
                          </w:rPr>
                          <w:t>�</w:t>
                        </w:r>
                      </w:p>
                    </w:txbxContent>
                  </v:textbox>
                  <w10:wrap type="none"/>
                </v:shape>
                <v:shape style="position:absolute;left:3705;top:1612;width:1555;height:189" type="#_x0000_t202" id="docshape203" filled="false" stroked="false">
                  <v:textbox inset="0,0,0,0">
                    <w:txbxContent>
                      <w:p>
                        <w:pPr>
                          <w:tabs>
                            <w:tab w:pos="759" w:val="left" w:leader="none"/>
                          </w:tabs>
                          <w:spacing w:line="188" w:lineRule="exact" w:before="0"/>
                          <w:ind w:left="0" w:right="0" w:firstLine="0"/>
                          <w:jc w:val="left"/>
                          <w:rPr>
                            <w:rFonts w:ascii="Times New Roman"/>
                            <w:sz w:val="17"/>
                          </w:rPr>
                        </w:pPr>
                        <w:r>
                          <w:rPr>
                            <w:rFonts w:ascii="Times New Roman"/>
                            <w:color w:val="7E7789"/>
                            <w:spacing w:val="-2"/>
                            <w:sz w:val="17"/>
                          </w:rPr>
                          <w:t>drk::os.</w:t>
                        </w:r>
                        <w:r>
                          <w:rPr>
                            <w:rFonts w:ascii="Times New Roman"/>
                            <w:color w:val="7E7789"/>
                            <w:sz w:val="17"/>
                          </w:rPr>
                          <w:tab/>
                          <w:t>Gcmero</w:t>
                        </w:r>
                        <w:r>
                          <w:rPr>
                            <w:rFonts w:ascii="Times New Roman"/>
                            <w:color w:val="7E7789"/>
                            <w:spacing w:val="30"/>
                            <w:sz w:val="17"/>
                          </w:rPr>
                          <w:t>  </w:t>
                        </w:r>
                        <w:r>
                          <w:rPr>
                            <w:rFonts w:ascii="Times New Roman"/>
                            <w:color w:val="7E7789"/>
                            <w:spacing w:val="-5"/>
                            <w:w w:val="90"/>
                            <w:sz w:val="17"/>
                          </w:rPr>
                          <w:t>s.</w:t>
                        </w:r>
                      </w:p>
                    </w:txbxContent>
                  </v:textbox>
                  <w10:wrap type="none"/>
                </v:shape>
                <v:shape style="position:absolute;left:5984;top:1612;width:844;height:544" type="#_x0000_t202" id="docshape204" filled="false" stroked="false">
                  <v:textbox inset="0,0,0,0">
                    <w:txbxContent>
                      <w:p>
                        <w:pPr>
                          <w:spacing w:line="230" w:lineRule="auto" w:before="0"/>
                          <w:ind w:left="461" w:right="0" w:hanging="456"/>
                          <w:jc w:val="left"/>
                          <w:rPr>
                            <w:rFonts w:ascii="Times New Roman"/>
                            <w:sz w:val="16"/>
                          </w:rPr>
                        </w:pPr>
                        <w:r>
                          <w:rPr>
                            <w:rFonts w:ascii="Times New Roman"/>
                            <w:color w:val="7E7789"/>
                            <w:sz w:val="17"/>
                          </w:rPr>
                          <w:t>p:Ullca</w:t>
                        </w:r>
                        <w:r>
                          <w:rPr>
                            <w:rFonts w:ascii="Times New Roman"/>
                            <w:color w:val="7E7789"/>
                            <w:spacing w:val="59"/>
                            <w:w w:val="150"/>
                            <w:sz w:val="17"/>
                          </w:rPr>
                          <w:t> </w:t>
                        </w:r>
                        <w:r>
                          <w:rPr>
                            <w:rFonts w:ascii="Times New Roman"/>
                            <w:color w:val="7E7789"/>
                            <w:w w:val="90"/>
                            <w:sz w:val="16"/>
                          </w:rPr>
                          <w:t>:a'.</w:t>
                        </w:r>
                        <w:r>
                          <w:rPr>
                            <w:rFonts w:ascii="Times New Roman"/>
                            <w:color w:val="7E7789"/>
                            <w:spacing w:val="40"/>
                            <w:sz w:val="16"/>
                          </w:rPr>
                          <w:t> </w:t>
                        </w:r>
                        <w:r>
                          <w:rPr>
                            <w:rFonts w:ascii="Times New Roman"/>
                            <w:color w:val="7E7789"/>
                            <w:spacing w:val="-10"/>
                            <w:sz w:val="16"/>
                          </w:rPr>
                          <w:t>y</w:t>
                        </w:r>
                      </w:p>
                      <w:p>
                        <w:pPr>
                          <w:spacing w:before="7"/>
                          <w:ind w:left="0" w:right="0" w:firstLine="0"/>
                          <w:jc w:val="left"/>
                          <w:rPr>
                            <w:sz w:val="15"/>
                          </w:rPr>
                        </w:pPr>
                        <w:r>
                          <w:rPr>
                            <w:color w:val="7E7789"/>
                            <w:spacing w:val="-2"/>
                            <w:w w:val="105"/>
                            <w:sz w:val="15"/>
                          </w:rPr>
                          <w:t>c:k!bdm</w:t>
                        </w:r>
                      </w:p>
                    </w:txbxContent>
                  </v:textbox>
                  <w10:wrap type="none"/>
                </v:shape>
                <v:shape style="position:absolute;left:2905;top:1799;width:3021;height:358" type="#_x0000_t202" id="docshape205" filled="false" stroked="false">
                  <v:textbox inset="0,0,0,0">
                    <w:txbxContent>
                      <w:p>
                        <w:pPr>
                          <w:tabs>
                            <w:tab w:pos="2860" w:val="left" w:leader="none"/>
                          </w:tabs>
                          <w:spacing w:line="177" w:lineRule="exact" w:before="0"/>
                          <w:ind w:left="13" w:right="0" w:firstLine="0"/>
                          <w:jc w:val="left"/>
                          <w:rPr>
                            <w:rFonts w:ascii="Times New Roman" w:hAnsi="Times New Roman" w:cs="Times New Roman" w:eastAsia="Times New Roman"/>
                            <w:sz w:val="16"/>
                            <w:szCs w:val="16"/>
                          </w:rPr>
                        </w:pPr>
                        <w:r>
                          <w:rPr>
                            <w:rFonts w:ascii="Times New Roman" w:hAnsi="Times New Roman" w:cs="Times New Roman" w:eastAsia="Times New Roman"/>
                            <w:color w:val="7E7789"/>
                            <w:w w:val="105"/>
                            <w:sz w:val="16"/>
                            <w:szCs w:val="16"/>
                          </w:rPr>
                          <w:t>prewpi_¡,cdcrlc,</w:t>
                        </w:r>
                        <w:r>
                          <w:rPr>
                            <w:rFonts w:ascii="Times New Roman" w:hAnsi="Times New Roman" w:cs="Times New Roman" w:eastAsia="Times New Roman"/>
                            <w:color w:val="7E7789"/>
                            <w:spacing w:val="34"/>
                            <w:w w:val="105"/>
                            <w:sz w:val="16"/>
                            <w:szCs w:val="16"/>
                          </w:rPr>
                          <w:t>  </w:t>
                        </w:r>
                        <w:r>
                          <w:rPr>
                            <w:rFonts w:ascii="Times New Roman" w:hAnsi="Times New Roman" w:cs="Times New Roman" w:eastAsia="Times New Roman"/>
                            <w:color w:val="7E7789"/>
                            <w:w w:val="105"/>
                            <w:sz w:val="16"/>
                            <w:szCs w:val="16"/>
                          </w:rPr>
                          <w:t>sDlmlc</w:t>
                        </w:r>
                        <w:r>
                          <w:rPr>
                            <w:rFonts w:ascii="Times New Roman" w:hAnsi="Times New Roman" w:cs="Times New Roman" w:eastAsia="Times New Roman"/>
                            <w:color w:val="8997BC"/>
                            <w:w w:val="105"/>
                            <w:sz w:val="16"/>
                            <w:szCs w:val="16"/>
                          </w:rPr>
                          <w:t>l</w:t>
                        </w:r>
                        <w:r>
                          <w:rPr>
                            <w:rFonts w:ascii="Times New Roman" w:hAnsi="Times New Roman" w:cs="Times New Roman" w:eastAsia="Times New Roman"/>
                            <w:color w:val="8997BC"/>
                            <w:spacing w:val="44"/>
                            <w:w w:val="105"/>
                            <w:sz w:val="16"/>
                            <w:szCs w:val="16"/>
                          </w:rPr>
                          <w:t>  </w:t>
                        </w:r>
                        <w:r>
                          <w:rPr>
                            <w:rFonts w:ascii="Times New Roman" w:hAnsi="Times New Roman" w:cs="Times New Roman" w:eastAsia="Times New Roman"/>
                            <w:color w:val="7E7789"/>
                            <w:w w:val="105"/>
                            <w:sz w:val="16"/>
                            <w:szCs w:val="16"/>
                          </w:rPr>
                          <w:t>e:</w:t>
                        </w:r>
                        <w:r>
                          <w:rPr>
                            <w:rFonts w:ascii="Times New Roman" w:hAnsi="Times New Roman" w:cs="Times New Roman" w:eastAsia="Times New Roman"/>
                            <w:color w:val="7E7789"/>
                            <w:spacing w:val="62"/>
                            <w:w w:val="105"/>
                            <w:sz w:val="16"/>
                            <w:szCs w:val="16"/>
                          </w:rPr>
                          <w:t> </w:t>
                        </w:r>
                        <w:r>
                          <w:rPr>
                            <w:color w:val="7E7789"/>
                            <w:w w:val="105"/>
                            <w:sz w:val="11"/>
                            <w:szCs w:val="11"/>
                          </w:rPr>
                          <w:t>P</w:t>
                        </w:r>
                        <w:r>
                          <w:rPr>
                            <w:color w:val="7E7789"/>
                            <w:spacing w:val="52"/>
                            <w:w w:val="105"/>
                            <w:sz w:val="11"/>
                            <w:szCs w:val="11"/>
                          </w:rPr>
                          <w:t>  </w:t>
                        </w:r>
                        <w:r>
                          <w:rPr>
                            <w:rFonts w:ascii="Times New Roman" w:hAnsi="Times New Roman" w:cs="Times New Roman" w:eastAsia="Times New Roman"/>
                            <w:color w:val="7E7789"/>
                            <w:spacing w:val="-7"/>
                            <w:w w:val="105"/>
                            <w:sz w:val="16"/>
                            <w:szCs w:val="16"/>
                          </w:rPr>
                          <w:t>o</w:t>
                        </w:r>
                        <w:r>
                          <w:rPr>
                            <w:rFonts w:ascii="Times New Roman" w:hAnsi="Times New Roman" w:cs="Times New Roman" w:eastAsia="Times New Roman"/>
                            <w:color w:val="8997BC"/>
                            <w:spacing w:val="-7"/>
                            <w:w w:val="105"/>
                            <w:sz w:val="16"/>
                            <w:szCs w:val="16"/>
                          </w:rPr>
                          <w:t>,</w:t>
                        </w:r>
                        <w:r>
                          <w:rPr>
                            <w:rFonts w:ascii="Times New Roman" w:hAnsi="Times New Roman" w:cs="Times New Roman" w:eastAsia="Times New Roman"/>
                            <w:color w:val="8997BC"/>
                            <w:sz w:val="16"/>
                            <w:szCs w:val="16"/>
                          </w:rPr>
                          <w:tab/>
                        </w:r>
                        <w:r>
                          <w:rPr>
                            <w:rFonts w:ascii="Times New Roman" w:hAnsi="Times New Roman" w:cs="Times New Roman" w:eastAsia="Times New Roman"/>
                            <w:color w:val="7E7789"/>
                            <w:spacing w:val="-17"/>
                            <w:w w:val="105"/>
                            <w:sz w:val="16"/>
                            <w:szCs w:val="16"/>
                          </w:rPr>
                          <w:t>�</w:t>
                        </w:r>
                      </w:p>
                      <w:p>
                        <w:pPr>
                          <w:tabs>
                            <w:tab w:pos="1396" w:val="left" w:leader="none"/>
                          </w:tabs>
                          <w:spacing w:before="7"/>
                          <w:ind w:left="0" w:right="0" w:firstLine="0"/>
                          <w:jc w:val="left"/>
                          <w:rPr>
                            <w:sz w:val="15"/>
                          </w:rPr>
                        </w:pPr>
                        <w:r>
                          <w:rPr>
                            <w:color w:val="7E7789"/>
                            <w:spacing w:val="-2"/>
                            <w:sz w:val="15"/>
                          </w:rPr>
                          <w:t>;:m</w:t>
                        </w:r>
                        <w:r>
                          <w:rPr>
                            <w:color w:val="97959E"/>
                            <w:spacing w:val="-2"/>
                            <w:sz w:val="15"/>
                          </w:rPr>
                          <w:t>c:</w:t>
                        </w:r>
                        <w:r>
                          <w:rPr>
                            <w:color w:val="7E7789"/>
                            <w:spacing w:val="-2"/>
                            <w:sz w:val="15"/>
                          </w:rPr>
                          <w:t>:lauobrricnto</w:t>
                        </w:r>
                        <w:r>
                          <w:rPr>
                            <w:color w:val="7E7789"/>
                            <w:sz w:val="15"/>
                          </w:rPr>
                          <w:tab/>
                          <w:t>pera</w:t>
                        </w:r>
                        <w:r>
                          <w:rPr>
                            <w:color w:val="7E7789"/>
                            <w:spacing w:val="75"/>
                            <w:sz w:val="15"/>
                          </w:rPr>
                          <w:t>  </w:t>
                        </w:r>
                        <w:r>
                          <w:rPr>
                            <w:color w:val="7E7789"/>
                            <w:spacing w:val="-2"/>
                            <w:sz w:val="15"/>
                          </w:rPr>
                          <w:t>l'iJllr</w:t>
                        </w:r>
                        <w:r>
                          <w:rPr>
                            <w:color w:val="97959E"/>
                            <w:spacing w:val="-2"/>
                            <w:sz w:val="15"/>
                          </w:rPr>
                          <w:t>J:s</w:t>
                        </w:r>
                        <w:r>
                          <w:rPr>
                            <w:color w:val="AC6D93"/>
                            <w:spacing w:val="-2"/>
                            <w:sz w:val="15"/>
                          </w:rPr>
                          <w:t>l</w:t>
                        </w:r>
                        <w:r>
                          <w:rPr>
                            <w:color w:val="7E7789"/>
                            <w:spacing w:val="-2"/>
                            <w:sz w:val="15"/>
                          </w:rPr>
                          <w:t>crio.s</w:t>
                        </w:r>
                        <w:r>
                          <w:rPr>
                            <w:color w:val="97959E"/>
                            <w:spacing w:val="-2"/>
                            <w:sz w:val="15"/>
                          </w:rPr>
                          <w:t>,</w:t>
                        </w:r>
                      </w:p>
                    </w:txbxContent>
                  </v:textbox>
                  <w10:wrap type="none"/>
                </v:shape>
                <v:shape style="position:absolute;left:3096;top:2174;width:3182;height:178" type="#_x0000_t202" id="docshape206" filled="false" stroked="false">
                  <v:textbox inset="0,0,0,0">
                    <w:txbxContent>
                      <w:p>
                        <w:pPr>
                          <w:tabs>
                            <w:tab w:pos="2618" w:val="left" w:leader="none"/>
                          </w:tabs>
                          <w:spacing w:line="177" w:lineRule="exact" w:before="0"/>
                          <w:ind w:left="0" w:right="0" w:firstLine="0"/>
                          <w:jc w:val="left"/>
                          <w:rPr>
                            <w:b/>
                            <w:bCs/>
                            <w:sz w:val="13"/>
                            <w:szCs w:val="13"/>
                          </w:rPr>
                        </w:pPr>
                        <w:r>
                          <w:rPr>
                            <w:rFonts w:ascii="Times New Roman" w:hAnsi="Times New Roman" w:cs="Times New Roman" w:eastAsia="Times New Roman"/>
                            <w:color w:val="7E7789"/>
                            <w:w w:val="95"/>
                            <w:sz w:val="16"/>
                            <w:szCs w:val="16"/>
                          </w:rPr>
                          <w:t>blk::a</w:t>
                        </w:r>
                        <w:r>
                          <w:rPr>
                            <w:rFonts w:ascii="Times New Roman" w:hAnsi="Times New Roman" w:cs="Times New Roman" w:eastAsia="Times New Roman"/>
                            <w:color w:val="97959E"/>
                            <w:w w:val="95"/>
                            <w:sz w:val="16"/>
                            <w:szCs w:val="16"/>
                          </w:rPr>
                          <w:t>,s</w:t>
                        </w:r>
                        <w:r>
                          <w:rPr>
                            <w:rFonts w:ascii="Times New Roman" w:hAnsi="Times New Roman" w:cs="Times New Roman" w:eastAsia="Times New Roman"/>
                            <w:color w:val="97959E"/>
                            <w:spacing w:val="-15"/>
                            <w:w w:val="95"/>
                            <w:sz w:val="16"/>
                            <w:szCs w:val="16"/>
                          </w:rPr>
                          <w:t> </w:t>
                        </w:r>
                        <w:r>
                          <w:rPr>
                            <w:rFonts w:ascii="Times New Roman" w:hAnsi="Times New Roman" w:cs="Times New Roman" w:eastAsia="Times New Roman"/>
                            <w:color w:val="7E7789"/>
                            <w:w w:val="95"/>
                            <w:sz w:val="16"/>
                            <w:szCs w:val="16"/>
                          </w:rPr>
                          <w:t>.,</w:t>
                        </w:r>
                        <w:r>
                          <w:rPr>
                            <w:rFonts w:ascii="Times New Roman" w:hAnsi="Times New Roman" w:cs="Times New Roman" w:eastAsia="Times New Roman"/>
                            <w:color w:val="7E7789"/>
                            <w:spacing w:val="13"/>
                            <w:sz w:val="16"/>
                            <w:szCs w:val="16"/>
                          </w:rPr>
                          <w:t> </w:t>
                        </w:r>
                        <w:r>
                          <w:rPr>
                            <w:rFonts w:ascii="Times New Roman" w:hAnsi="Times New Roman" w:cs="Times New Roman" w:eastAsia="Times New Roman"/>
                            <w:color w:val="7E7789"/>
                            <w:w w:val="95"/>
                            <w:sz w:val="9"/>
                            <w:szCs w:val="9"/>
                          </w:rPr>
                          <w:t>�LIS,</w:t>
                        </w:r>
                        <w:r>
                          <w:rPr>
                            <w:rFonts w:ascii="Times New Roman" w:hAnsi="Times New Roman" w:cs="Times New Roman" w:eastAsia="Times New Roman"/>
                            <w:color w:val="7E7789"/>
                            <w:spacing w:val="23"/>
                            <w:sz w:val="9"/>
                            <w:szCs w:val="9"/>
                          </w:rPr>
                          <w:t> </w:t>
                        </w:r>
                        <w:r>
                          <w:rPr>
                            <w:rFonts w:ascii="Times New Roman" w:hAnsi="Times New Roman" w:cs="Times New Roman" w:eastAsia="Times New Roman"/>
                            <w:color w:val="7E7789"/>
                            <w:w w:val="95"/>
                            <w:sz w:val="16"/>
                            <w:szCs w:val="16"/>
                          </w:rPr>
                          <w:t>Ó'Q:a:no.s</w:t>
                        </w:r>
                        <w:r>
                          <w:rPr>
                            <w:rFonts w:ascii="Times New Roman" w:hAnsi="Times New Roman" w:cs="Times New Roman" w:eastAsia="Times New Roman"/>
                            <w:color w:val="7E7789"/>
                            <w:spacing w:val="29"/>
                            <w:sz w:val="16"/>
                            <w:szCs w:val="16"/>
                          </w:rPr>
                          <w:t> </w:t>
                        </w:r>
                        <w:r>
                          <w:rPr>
                            <w:rFonts w:ascii="Times New Roman" w:hAnsi="Times New Roman" w:cs="Times New Roman" w:eastAsia="Times New Roman"/>
                            <w:color w:val="7E7789"/>
                            <w:spacing w:val="-2"/>
                            <w:w w:val="95"/>
                            <w:sz w:val="16"/>
                            <w:szCs w:val="16"/>
                          </w:rPr>
                          <w:t>l:!lesconccn</w:t>
                        </w:r>
                        <w:r>
                          <w:rPr>
                            <w:rFonts w:ascii="Times New Roman" w:hAnsi="Times New Roman" w:cs="Times New Roman" w:eastAsia="Times New Roman"/>
                            <w:color w:val="7E7789"/>
                            <w:sz w:val="16"/>
                            <w:szCs w:val="16"/>
                          </w:rPr>
                          <w:tab/>
                        </w:r>
                        <w:r>
                          <w:rPr>
                            <w:rFonts w:ascii="Times New Roman" w:hAnsi="Times New Roman" w:cs="Times New Roman" w:eastAsia="Times New Roman"/>
                            <w:color w:val="7E7789"/>
                            <w:w w:val="80"/>
                            <w:sz w:val="14"/>
                            <w:szCs w:val="14"/>
                          </w:rPr>
                          <w:t>¡:¡\:os</w:t>
                        </w:r>
                        <w:r>
                          <w:rPr>
                            <w:rFonts w:ascii="Times New Roman" w:hAnsi="Times New Roman" w:cs="Times New Roman" w:eastAsia="Times New Roman"/>
                            <w:color w:val="9ECDE9"/>
                            <w:w w:val="80"/>
                            <w:sz w:val="14"/>
                            <w:szCs w:val="14"/>
                          </w:rPr>
                          <w:t>.</w:t>
                        </w:r>
                        <w:r>
                          <w:rPr>
                            <w:rFonts w:ascii="Times New Roman" w:hAnsi="Times New Roman" w:cs="Times New Roman" w:eastAsia="Times New Roman"/>
                            <w:color w:val="97959E"/>
                            <w:w w:val="80"/>
                            <w:sz w:val="14"/>
                            <w:szCs w:val="14"/>
                          </w:rPr>
                          <w:t>,</w:t>
                        </w:r>
                        <w:r>
                          <w:rPr>
                            <w:rFonts w:ascii="Times New Roman" w:hAnsi="Times New Roman" w:cs="Times New Roman" w:eastAsia="Times New Roman"/>
                            <w:color w:val="97959E"/>
                            <w:spacing w:val="8"/>
                            <w:sz w:val="14"/>
                            <w:szCs w:val="14"/>
                          </w:rPr>
                          <w:t> </w:t>
                        </w:r>
                        <w:r>
                          <w:rPr>
                            <w:b/>
                            <w:bCs/>
                            <w:color w:val="7E7789"/>
                            <w:spacing w:val="-5"/>
                            <w:w w:val="85"/>
                            <w:sz w:val="13"/>
                            <w:szCs w:val="13"/>
                          </w:rPr>
                          <w:t>seg</w:t>
                        </w:r>
                      </w:p>
                    </w:txbxContent>
                  </v:textbox>
                  <w10:wrap type="none"/>
                </v:shape>
                <v:shape style="position:absolute;left:2268;top:2359;width:2327;height:698" type="#_x0000_t202" id="docshape207" filled="false" stroked="false">
                  <v:textbox inset="0,0,0,0">
                    <w:txbxContent>
                      <w:p>
                        <w:pPr>
                          <w:spacing w:line="169" w:lineRule="exact" w:before="0"/>
                          <w:ind w:left="644" w:right="0" w:firstLine="0"/>
                          <w:jc w:val="left"/>
                          <w:rPr>
                            <w:sz w:val="16"/>
                            <w:szCs w:val="16"/>
                          </w:rPr>
                        </w:pPr>
                        <w:r>
                          <w:rPr>
                            <w:color w:val="7E7789"/>
                            <w:w w:val="280"/>
                            <w:sz w:val="14"/>
                            <w:szCs w:val="14"/>
                          </w:rPr>
                          <w:t>c�ca</w:t>
                        </w:r>
                        <w:r>
                          <w:rPr>
                            <w:color w:val="7E7789"/>
                            <w:spacing w:val="45"/>
                            <w:w w:val="280"/>
                            <w:sz w:val="14"/>
                            <w:szCs w:val="14"/>
                          </w:rPr>
                          <w:t> </w:t>
                        </w:r>
                        <w:r>
                          <w:rPr>
                            <w:color w:val="7E7789"/>
                            <w:spacing w:val="-4"/>
                            <w:w w:val="160"/>
                            <w:sz w:val="16"/>
                            <w:szCs w:val="16"/>
                          </w:rPr>
                          <w:t>aibl</w:t>
                        </w:r>
                      </w:p>
                      <w:p>
                        <w:pPr>
                          <w:tabs>
                            <w:tab w:pos="972" w:val="left" w:leader="none"/>
                          </w:tabs>
                          <w:spacing w:line="186" w:lineRule="exact" w:before="0"/>
                          <w:ind w:left="642" w:right="0" w:firstLine="0"/>
                          <w:jc w:val="left"/>
                          <w:rPr>
                            <w:rFonts w:ascii="Times New Roman"/>
                            <w:sz w:val="17"/>
                          </w:rPr>
                        </w:pPr>
                        <w:r>
                          <w:rPr>
                            <w:rFonts w:ascii="Times New Roman"/>
                            <w:color w:val="7E7789"/>
                            <w:spacing w:val="-5"/>
                            <w:w w:val="105"/>
                            <w:sz w:val="13"/>
                          </w:rPr>
                          <w:t>,.</w:t>
                        </w:r>
                        <w:r>
                          <w:rPr>
                            <w:rFonts w:ascii="Times New Roman"/>
                            <w:color w:val="7E7789"/>
                            <w:sz w:val="13"/>
                          </w:rPr>
                          <w:tab/>
                        </w:r>
                        <w:r>
                          <w:rPr>
                            <w:rFonts w:ascii="Times New Roman"/>
                            <w:color w:val="7E7789"/>
                            <w:spacing w:val="2"/>
                            <w:w w:val="145"/>
                            <w:sz w:val="13"/>
                          </w:rPr>
                          <w:t>djod</w:t>
                        </w:r>
                        <w:r>
                          <w:rPr>
                            <w:rFonts w:ascii="Times New Roman"/>
                            <w:color w:val="7E7789"/>
                            <w:spacing w:val="61"/>
                            <w:w w:val="145"/>
                            <w:sz w:val="13"/>
                          </w:rPr>
                          <w:t> </w:t>
                        </w:r>
                        <w:r>
                          <w:rPr>
                            <w:rFonts w:ascii="Times New Roman"/>
                            <w:color w:val="7E7789"/>
                            <w:spacing w:val="-2"/>
                            <w:w w:val="90"/>
                            <w:sz w:val="17"/>
                          </w:rPr>
                          <w:t>F'rcr;supuruln</w:t>
                        </w:r>
                      </w:p>
                      <w:p>
                        <w:pPr>
                          <w:spacing w:before="159"/>
                          <w:ind w:left="0" w:right="0" w:firstLine="0"/>
                          <w:jc w:val="left"/>
                          <w:rPr>
                            <w:sz w:val="15"/>
                            <w:szCs w:val="15"/>
                          </w:rPr>
                        </w:pPr>
                        <w:r>
                          <w:rPr>
                            <w:color w:val="904B64"/>
                            <w:sz w:val="16"/>
                            <w:szCs w:val="16"/>
                          </w:rPr>
                          <w:t>lil</w:t>
                        </w:r>
                        <w:r>
                          <w:rPr>
                            <w:color w:val="904B64"/>
                            <w:spacing w:val="66"/>
                            <w:sz w:val="16"/>
                            <w:szCs w:val="16"/>
                          </w:rPr>
                          <w:t>  </w:t>
                        </w:r>
                        <w:r>
                          <w:rPr>
                            <w:color w:val="4B4654"/>
                            <w:spacing w:val="-2"/>
                            <w:sz w:val="15"/>
                            <w:szCs w:val="15"/>
                          </w:rPr>
                          <w:t>�tos:com</w:t>
                        </w:r>
                        <w:r>
                          <w:rPr>
                            <w:color w:val="4D2B3F"/>
                            <w:spacing w:val="-2"/>
                            <w:sz w:val="15"/>
                            <w:szCs w:val="15"/>
                          </w:rPr>
                          <w:t>p</w:t>
                        </w:r>
                        <w:r>
                          <w:rPr>
                            <w:color w:val="64186B"/>
                            <w:spacing w:val="-2"/>
                            <w:sz w:val="15"/>
                            <w:szCs w:val="15"/>
                          </w:rPr>
                          <w:t>l</w:t>
                        </w:r>
                        <w:r>
                          <w:rPr>
                            <w:color w:val="4B4654"/>
                            <w:spacing w:val="-2"/>
                            <w:sz w:val="15"/>
                            <w:szCs w:val="15"/>
                          </w:rPr>
                          <w:t>;am11,nlim</w:t>
                        </w:r>
                        <w:r>
                          <w:rPr>
                            <w:color w:val="64186B"/>
                            <w:spacing w:val="-2"/>
                            <w:sz w:val="15"/>
                            <w:szCs w:val="15"/>
                          </w:rPr>
                          <w:t>l</w:t>
                        </w:r>
                        <w:r>
                          <w:rPr>
                            <w:color w:val="282F4D"/>
                            <w:spacing w:val="-2"/>
                            <w:sz w:val="15"/>
                            <w:szCs w:val="15"/>
                          </w:rPr>
                          <w:t>!:i.ll</w:t>
                        </w:r>
                        <w:r>
                          <w:rPr>
                            <w:color w:val="722A5D"/>
                            <w:spacing w:val="-2"/>
                            <w:sz w:val="15"/>
                            <w:szCs w:val="15"/>
                          </w:rPr>
                          <w:t>.</w:t>
                        </w:r>
                      </w:p>
                    </w:txbxContent>
                  </v:textbox>
                  <w10:wrap type="none"/>
                </v:shape>
                <v:shape style="position:absolute;left:5224;top:2359;width:1021;height:355" type="#_x0000_t202" id="docshape208" filled="false" stroked="false">
                  <v:textbox inset="0,0,0,0">
                    <w:txbxContent>
                      <w:p>
                        <w:pPr>
                          <w:spacing w:line="169" w:lineRule="exact" w:before="0"/>
                          <w:ind w:left="183" w:right="0" w:firstLine="0"/>
                          <w:jc w:val="left"/>
                          <w:rPr>
                            <w:sz w:val="14"/>
                          </w:rPr>
                        </w:pPr>
                        <w:r>
                          <w:rPr>
                            <w:color w:val="7E7789"/>
                            <w:w w:val="115"/>
                            <w:sz w:val="16"/>
                          </w:rPr>
                          <w:t>á</w:t>
                        </w:r>
                        <w:r>
                          <w:rPr>
                            <w:color w:val="7E7789"/>
                            <w:spacing w:val="77"/>
                            <w:w w:val="115"/>
                            <w:sz w:val="16"/>
                          </w:rPr>
                          <w:t> </w:t>
                        </w:r>
                        <w:r>
                          <w:rPr>
                            <w:color w:val="7E7789"/>
                            <w:w w:val="115"/>
                            <w:sz w:val="15"/>
                          </w:rPr>
                          <w:t>bño</w:t>
                        </w:r>
                        <w:r>
                          <w:rPr>
                            <w:color w:val="7E7789"/>
                            <w:spacing w:val="68"/>
                            <w:w w:val="150"/>
                            <w:sz w:val="15"/>
                          </w:rPr>
                          <w:t> </w:t>
                        </w:r>
                        <w:r>
                          <w:rPr>
                            <w:color w:val="7E7789"/>
                            <w:spacing w:val="-5"/>
                            <w:w w:val="115"/>
                            <w:sz w:val="14"/>
                          </w:rPr>
                          <w:t>ce</w:t>
                        </w:r>
                      </w:p>
                      <w:p>
                        <w:pPr>
                          <w:spacing w:line="186" w:lineRule="exact" w:before="0"/>
                          <w:ind w:left="0" w:right="0" w:firstLine="0"/>
                          <w:jc w:val="left"/>
                          <w:rPr>
                            <w:rFonts w:ascii="Times New Roman" w:hAnsi="Times New Roman" w:cs="Times New Roman" w:eastAsia="Times New Roman"/>
                            <w:sz w:val="17"/>
                            <w:szCs w:val="17"/>
                          </w:rPr>
                        </w:pPr>
                        <w:r>
                          <w:rPr>
                            <w:rFonts w:ascii="Times New Roman" w:hAnsi="Times New Roman" w:cs="Times New Roman" w:eastAsia="Times New Roman"/>
                            <w:color w:val="7E7789"/>
                            <w:sz w:val="17"/>
                            <w:szCs w:val="17"/>
                          </w:rPr>
                          <w:t>el</w:t>
                        </w:r>
                        <w:r>
                          <w:rPr>
                            <w:rFonts w:ascii="Times New Roman" w:hAnsi="Times New Roman" w:cs="Times New Roman" w:eastAsia="Times New Roman"/>
                            <w:color w:val="7E7789"/>
                            <w:spacing w:val="-5"/>
                            <w:sz w:val="17"/>
                            <w:szCs w:val="17"/>
                          </w:rPr>
                          <w:t> </w:t>
                        </w:r>
                        <w:r>
                          <w:rPr>
                            <w:rFonts w:ascii="Times New Roman" w:hAnsi="Times New Roman" w:cs="Times New Roman" w:eastAsia="Times New Roman"/>
                            <w:color w:val="7E7789"/>
                            <w:spacing w:val="-2"/>
                            <w:sz w:val="17"/>
                            <w:szCs w:val="17"/>
                          </w:rPr>
                          <w:t>&lt;Jt'to</w:t>
                        </w:r>
                        <w:r>
                          <w:rPr>
                            <w:rFonts w:ascii="Times New Roman" w:hAnsi="Times New Roman" w:cs="Times New Roman" w:eastAsia="Times New Roman"/>
                            <w:color w:val="97959E"/>
                            <w:spacing w:val="-2"/>
                            <w:sz w:val="17"/>
                            <w:szCs w:val="17"/>
                          </w:rPr>
                          <w:t>�-</w:t>
                        </w:r>
                      </w:p>
                    </w:txbxContent>
                  </v:textbox>
                  <w10:wrap type="none"/>
                </v:shape>
                <v:shape style="position:absolute;left:6398;top:2368;width:149;height:168" type="#_x0000_t202" id="docshape209" filled="false" stroked="false">
                  <v:textbox inset="0,0,0,0">
                    <w:txbxContent>
                      <w:p>
                        <w:pPr>
                          <w:spacing w:line="168" w:lineRule="exact" w:before="0"/>
                          <w:ind w:left="0" w:right="0" w:firstLine="0"/>
                          <w:jc w:val="left"/>
                          <w:rPr>
                            <w:sz w:val="15"/>
                          </w:rPr>
                        </w:pPr>
                        <w:r>
                          <w:rPr>
                            <w:color w:val="7E7789"/>
                            <w:spacing w:val="-5"/>
                            <w:w w:val="110"/>
                            <w:sz w:val="15"/>
                          </w:rPr>
                          <w:t>la</w:t>
                        </w:r>
                      </w:p>
                    </w:txbxContent>
                  </v:textbox>
                  <w10:wrap type="none"/>
                </v:shape>
                <v:shape style="position:absolute;left:2374;top:3232;width:619;height:189" type="#_x0000_t202" id="docshape210" filled="false" stroked="false">
                  <v:textbox inset="0,0,0,0">
                    <w:txbxContent>
                      <w:p>
                        <w:pPr>
                          <w:spacing w:line="188" w:lineRule="exact" w:before="0"/>
                          <w:ind w:left="0" w:right="0" w:firstLine="0"/>
                          <w:jc w:val="left"/>
                          <w:rPr>
                            <w:rFonts w:ascii="Times New Roman"/>
                            <w:sz w:val="17"/>
                          </w:rPr>
                        </w:pPr>
                        <w:r>
                          <w:rPr>
                            <w:rFonts w:ascii="Times New Roman"/>
                            <w:color w:val="41698A"/>
                            <w:spacing w:val="-2"/>
                            <w:w w:val="150"/>
                            <w:sz w:val="17"/>
                          </w:rPr>
                          <w:t>l</w:t>
                        </w:r>
                        <w:r>
                          <w:rPr>
                            <w:rFonts w:ascii="Times New Roman"/>
                            <w:color w:val="2B4FA1"/>
                            <w:spacing w:val="-2"/>
                            <w:w w:val="150"/>
                            <w:sz w:val="17"/>
                          </w:rPr>
                          <w:t>.</w:t>
                        </w:r>
                        <w:r>
                          <w:rPr>
                            <w:rFonts w:ascii="Times New Roman"/>
                            <w:color w:val="644259"/>
                            <w:spacing w:val="-2"/>
                            <w:w w:val="150"/>
                            <w:sz w:val="17"/>
                          </w:rPr>
                          <w:t>ll</w:t>
                        </w:r>
                        <w:r>
                          <w:rPr>
                            <w:rFonts w:ascii="Times New Roman"/>
                            <w:color w:val="4B4654"/>
                            <w:spacing w:val="-2"/>
                            <w:w w:val="150"/>
                            <w:sz w:val="17"/>
                          </w:rPr>
                          <w:t>pl</w:t>
                        </w:r>
                        <w:r>
                          <w:rPr>
                            <w:rFonts w:ascii="Times New Roman"/>
                            <w:color w:val="282F4D"/>
                            <w:spacing w:val="-2"/>
                            <w:w w:val="150"/>
                            <w:sz w:val="17"/>
                          </w:rPr>
                          <w:t>a</w:t>
                        </w:r>
                      </w:p>
                    </w:txbxContent>
                  </v:textbox>
                  <w10:wrap type="none"/>
                </v:shape>
                <v:shape style="position:absolute;left:2760;top:4058;width:115;height:240" type="#_x0000_t202" id="docshape211" filled="false" stroked="false">
                  <v:textbox inset="0,0,0,0">
                    <w:txbxContent>
                      <w:p>
                        <w:pPr>
                          <w:spacing w:before="12"/>
                          <w:ind w:left="20" w:right="0" w:firstLine="0"/>
                          <w:jc w:val="left"/>
                          <w:rPr>
                            <w:rFonts w:ascii="Times New Roman"/>
                            <w:i/>
                            <w:sz w:val="18"/>
                          </w:rPr>
                        </w:pPr>
                        <w:r>
                          <w:rPr>
                            <w:color w:val="C18E89"/>
                            <w:spacing w:val="-11"/>
                            <w:w w:val="75"/>
                            <w:sz w:val="16"/>
                          </w:rPr>
                          <w:t>1</w:t>
                        </w:r>
                        <w:r>
                          <w:rPr>
                            <w:rFonts w:ascii="Times New Roman"/>
                            <w:i/>
                            <w:color w:val="7E7789"/>
                            <w:spacing w:val="-11"/>
                            <w:w w:val="75"/>
                            <w:sz w:val="18"/>
                          </w:rPr>
                          <w:t>i</w:t>
                        </w:r>
                      </w:p>
                    </w:txbxContent>
                  </v:textbox>
                  <w10:wrap type="none"/>
                </v:shape>
                <v:shape style="position:absolute;left:5027;top:4074;width:1823;height:219" type="#_x0000_t202" id="docshape212" filled="false" stroked="false">
                  <v:textbox inset="0,0,0,0">
                    <w:txbxContent>
                      <w:p>
                        <w:pPr>
                          <w:spacing w:before="15"/>
                          <w:ind w:left="20" w:right="0" w:firstLine="0"/>
                          <w:jc w:val="left"/>
                          <w:rPr>
                            <w:sz w:val="16"/>
                          </w:rPr>
                        </w:pPr>
                        <w:r>
                          <w:rPr>
                            <w:color w:val="7E7789"/>
                            <w:sz w:val="15"/>
                          </w:rPr>
                          <w:t>opl</w:t>
                        </w:r>
                        <w:r>
                          <w:rPr>
                            <w:color w:val="7E7789"/>
                            <w:spacing w:val="55"/>
                            <w:sz w:val="15"/>
                          </w:rPr>
                          <w:t> </w:t>
                        </w:r>
                        <w:r>
                          <w:rPr>
                            <w:color w:val="7E7789"/>
                            <w:sz w:val="14"/>
                          </w:rPr>
                          <w:t>nkir.es.</w:t>
                        </w:r>
                        <w:r>
                          <w:rPr>
                            <w:color w:val="7E7789"/>
                            <w:spacing w:val="50"/>
                            <w:sz w:val="14"/>
                          </w:rPr>
                          <w:t>  </w:t>
                        </w:r>
                        <w:r>
                          <w:rPr>
                            <w:color w:val="7E7789"/>
                            <w:sz w:val="10"/>
                          </w:rPr>
                          <w:t>Cli:l</w:t>
                        </w:r>
                        <w:r>
                          <w:rPr>
                            <w:color w:val="7E7789"/>
                            <w:spacing w:val="63"/>
                            <w:sz w:val="10"/>
                          </w:rPr>
                          <w:t>  </w:t>
                        </w:r>
                        <w:r>
                          <w:rPr>
                            <w:color w:val="7E7789"/>
                            <w:sz w:val="15"/>
                          </w:rPr>
                          <w:t>1m</w:t>
                        </w:r>
                        <w:r>
                          <w:rPr>
                            <w:color w:val="7E7789"/>
                            <w:spacing w:val="46"/>
                            <w:sz w:val="15"/>
                          </w:rPr>
                          <w:t>  </w:t>
                        </w:r>
                        <w:r>
                          <w:rPr>
                            <w:color w:val="7E7789"/>
                            <w:spacing w:val="-10"/>
                            <w:sz w:val="16"/>
                          </w:rPr>
                          <w:t>X</w:t>
                        </w:r>
                      </w:p>
                    </w:txbxContent>
                  </v:textbox>
                  <w10:wrap type="none"/>
                </v:shape>
                <v:shape style="position:absolute;left:2761;top:5505;width:299;height:208" type="#_x0000_t202" id="docshape213" filled="false" stroked="false">
                  <v:textbox inset="0,0,0,0">
                    <w:txbxContent>
                      <w:p>
                        <w:pPr>
                          <w:spacing w:before="15"/>
                          <w:ind w:left="20" w:right="0" w:firstLine="0"/>
                          <w:jc w:val="left"/>
                          <w:rPr>
                            <w:sz w:val="15"/>
                          </w:rPr>
                        </w:pPr>
                        <w:r>
                          <w:rPr>
                            <w:color w:val="C18E89"/>
                            <w:spacing w:val="-4"/>
                            <w:sz w:val="15"/>
                          </w:rPr>
                          <w:t>1.</w:t>
                        </w:r>
                        <w:r>
                          <w:rPr>
                            <w:color w:val="675B72"/>
                            <w:spacing w:val="-4"/>
                            <w:sz w:val="15"/>
                          </w:rPr>
                          <w:t>4.</w:t>
                        </w:r>
                      </w:p>
                    </w:txbxContent>
                  </v:textbox>
                  <w10:wrap type="none"/>
                </v:shape>
                <v:shape style="position:absolute;left:3089;top:5693;width:2492;height:569" type="#_x0000_t202" id="docshape214" filled="false" stroked="false">
                  <v:textbox inset="0,0,0,0">
                    <w:txbxContent>
                      <w:p>
                        <w:pPr>
                          <w:spacing w:line="261" w:lineRule="auto" w:before="15"/>
                          <w:ind w:left="1054" w:right="492" w:firstLine="0"/>
                          <w:jc w:val="left"/>
                          <w:rPr>
                            <w:sz w:val="15"/>
                          </w:rPr>
                        </w:pPr>
                        <w:r>
                          <w:rPr>
                            <w:color w:val="7E7789"/>
                            <w:spacing w:val="-2"/>
                            <w:w w:val="110"/>
                            <w:sz w:val="12"/>
                          </w:rPr>
                          <w:t>e;</w:t>
                        </w:r>
                        <w:r>
                          <w:rPr>
                            <w:color w:val="7E7789"/>
                            <w:spacing w:val="-3"/>
                            <w:w w:val="110"/>
                            <w:sz w:val="12"/>
                          </w:rPr>
                          <w:t> </w:t>
                        </w:r>
                        <w:r>
                          <w:rPr>
                            <w:color w:val="7E7789"/>
                            <w:spacing w:val="-2"/>
                            <w:w w:val="110"/>
                            <w:sz w:val="15"/>
                          </w:rPr>
                          <w:t>la</w:t>
                        </w:r>
                        <w:r>
                          <w:rPr>
                            <w:color w:val="7E7789"/>
                            <w:spacing w:val="-1"/>
                            <w:w w:val="110"/>
                            <w:sz w:val="15"/>
                          </w:rPr>
                          <w:t> </w:t>
                        </w:r>
                        <w:r>
                          <w:rPr>
                            <w:color w:val="8997BC"/>
                            <w:spacing w:val="-2"/>
                            <w:w w:val="110"/>
                            <w:sz w:val="15"/>
                          </w:rPr>
                          <w:t>ln</w:t>
                        </w:r>
                        <w:r>
                          <w:rPr>
                            <w:color w:val="7E7789"/>
                            <w:spacing w:val="-2"/>
                            <w:w w:val="110"/>
                            <w:sz w:val="15"/>
                          </w:rPr>
                          <w:t>tormoc </w:t>
                        </w:r>
                        <w:r>
                          <w:rPr>
                            <w:color w:val="7E7789"/>
                            <w:spacing w:val="-4"/>
                            <w:w w:val="110"/>
                            <w:sz w:val="15"/>
                          </w:rPr>
                          <w:t>pera</w:t>
                        </w:r>
                      </w:p>
                      <w:p>
                        <w:pPr>
                          <w:spacing w:line="157" w:lineRule="exact" w:before="0"/>
                          <w:ind w:left="20" w:right="0" w:firstLine="0"/>
                          <w:jc w:val="left"/>
                          <w:rPr>
                            <w:sz w:val="15"/>
                          </w:rPr>
                        </w:pPr>
                        <w:r>
                          <w:rPr>
                            <w:color w:val="7E7789"/>
                            <w:w w:val="115"/>
                            <w:sz w:val="15"/>
                          </w:rPr>
                          <w:t>c</w:t>
                        </w:r>
                        <w:r>
                          <w:rPr>
                            <w:color w:val="97959E"/>
                            <w:w w:val="115"/>
                            <w:sz w:val="15"/>
                          </w:rPr>
                          <w:t>u</w:t>
                        </w:r>
                        <w:r>
                          <w:rPr>
                            <w:color w:val="7E7789"/>
                            <w:w w:val="115"/>
                            <w:sz w:val="15"/>
                          </w:rPr>
                          <w:t>rnp</w:t>
                        </w:r>
                        <w:r>
                          <w:rPr>
                            <w:color w:val="97959E"/>
                            <w:w w:val="115"/>
                            <w:sz w:val="15"/>
                          </w:rPr>
                          <w:t>l</w:t>
                        </w:r>
                        <w:r>
                          <w:rPr>
                            <w:color w:val="7E7789"/>
                            <w:w w:val="115"/>
                            <w:sz w:val="15"/>
                          </w:rPr>
                          <w:t>rrfonto</w:t>
                        </w:r>
                        <w:r>
                          <w:rPr>
                            <w:color w:val="7E7789"/>
                            <w:spacing w:val="9"/>
                            <w:w w:val="115"/>
                            <w:sz w:val="15"/>
                          </w:rPr>
                          <w:t> </w:t>
                        </w:r>
                        <w:r>
                          <w:rPr>
                            <w:color w:val="7E7789"/>
                            <w:w w:val="115"/>
                            <w:sz w:val="15"/>
                          </w:rPr>
                          <w:t>e</w:t>
                        </w:r>
                        <w:r>
                          <w:rPr>
                            <w:color w:val="7E7789"/>
                            <w:spacing w:val="76"/>
                            <w:w w:val="115"/>
                            <w:sz w:val="15"/>
                          </w:rPr>
                          <w:t> </w:t>
                        </w:r>
                        <w:r>
                          <w:rPr>
                            <w:color w:val="7E7789"/>
                            <w:w w:val="115"/>
                            <w:sz w:val="15"/>
                          </w:rPr>
                          <w:t>1m</w:t>
                        </w:r>
                        <w:r>
                          <w:rPr>
                            <w:color w:val="7E7789"/>
                            <w:spacing w:val="-25"/>
                            <w:w w:val="115"/>
                            <w:sz w:val="15"/>
                          </w:rPr>
                          <w:t> </w:t>
                        </w:r>
                        <w:r>
                          <w:rPr>
                            <w:color w:val="C18E89"/>
                            <w:spacing w:val="-2"/>
                            <w:w w:val="115"/>
                            <w:sz w:val="15"/>
                          </w:rPr>
                          <w:t>l</w:t>
                        </w:r>
                        <w:r>
                          <w:rPr>
                            <w:color w:val="7E7789"/>
                            <w:spacing w:val="-2"/>
                            <w:w w:val="115"/>
                            <w:sz w:val="15"/>
                          </w:rPr>
                          <w:t>ndkoxn</w:t>
                        </w:r>
                        <w:r>
                          <w:rPr>
                            <w:color w:val="675B72"/>
                            <w:spacing w:val="-2"/>
                            <w:w w:val="115"/>
                            <w:sz w:val="15"/>
                          </w:rPr>
                          <w:t>:</w:t>
                        </w:r>
                        <w:r>
                          <w:rPr>
                            <w:color w:val="7E7789"/>
                            <w:spacing w:val="-2"/>
                            <w:w w:val="115"/>
                            <w:sz w:val="15"/>
                          </w:rPr>
                          <w:t>,s</w:t>
                        </w:r>
                        <w:r>
                          <w:rPr>
                            <w:color w:val="709AA7"/>
                            <w:spacing w:val="-2"/>
                            <w:w w:val="115"/>
                            <w:sz w:val="15"/>
                          </w:rPr>
                          <w:t>.</w:t>
                        </w:r>
                      </w:p>
                    </w:txbxContent>
                  </v:textbox>
                  <w10:wrap type="none"/>
                </v:shape>
                <v:shape style="position:absolute;left:5867;top:5873;width:210;height:218" type="#_x0000_t202" id="docshape215" filled="false" stroked="false">
                  <v:textbox inset="0,0,0,0">
                    <w:txbxContent>
                      <w:p>
                        <w:pPr>
                          <w:spacing w:before="13"/>
                          <w:ind w:left="20" w:right="0" w:firstLine="0"/>
                          <w:jc w:val="left"/>
                          <w:rPr>
                            <w:rFonts w:ascii="Times New Roman"/>
                            <w:sz w:val="16"/>
                          </w:rPr>
                        </w:pPr>
                        <w:r>
                          <w:rPr>
                            <w:rFonts w:ascii="Times New Roman"/>
                            <w:color w:val="97959E"/>
                            <w:spacing w:val="-5"/>
                            <w:w w:val="120"/>
                            <w:sz w:val="16"/>
                          </w:rPr>
                          <w:t>ki</w:t>
                        </w:r>
                      </w:p>
                    </w:txbxContent>
                  </v:textbox>
                  <w10:wrap type="none"/>
                </v:shape>
                <v:shape style="position:absolute;left:6041;top:5490;width:807;height:599" type="#_x0000_t202" id="docshape216" filled="false" stroked="false">
                  <v:textbox inset="0,0,0,0">
                    <w:txbxContent>
                      <w:p>
                        <w:pPr>
                          <w:tabs>
                            <w:tab w:pos="650" w:val="left" w:leader="none"/>
                          </w:tabs>
                          <w:spacing w:before="13"/>
                          <w:ind w:left="0" w:right="18" w:firstLine="0"/>
                          <w:jc w:val="center"/>
                          <w:rPr>
                            <w:rFonts w:ascii="Times New Roman"/>
                            <w:sz w:val="16"/>
                          </w:rPr>
                        </w:pPr>
                        <w:r>
                          <w:rPr>
                            <w:rFonts w:ascii="Times New Roman"/>
                            <w:color w:val="7E7789"/>
                            <w:w w:val="95"/>
                            <w:sz w:val="17"/>
                          </w:rPr>
                          <w:t>dan</w:t>
                        </w:r>
                        <w:r>
                          <w:rPr>
                            <w:rFonts w:ascii="Times New Roman"/>
                            <w:color w:val="7E7789"/>
                            <w:spacing w:val="67"/>
                            <w:w w:val="150"/>
                            <w:sz w:val="17"/>
                          </w:rPr>
                          <w:t> </w:t>
                        </w:r>
                        <w:r>
                          <w:rPr>
                            <w:i/>
                            <w:color w:val="7E7789"/>
                            <w:spacing w:val="-5"/>
                            <w:w w:val="95"/>
                            <w:sz w:val="16"/>
                          </w:rPr>
                          <w:t>'f</w:t>
                        </w:r>
                        <w:r>
                          <w:rPr>
                            <w:i/>
                            <w:color w:val="7E7789"/>
                            <w:sz w:val="16"/>
                          </w:rPr>
                          <w:tab/>
                        </w:r>
                        <w:r>
                          <w:rPr>
                            <w:rFonts w:ascii="Times New Roman"/>
                            <w:color w:val="7E7789"/>
                            <w:spacing w:val="-4"/>
                            <w:w w:val="75"/>
                            <w:sz w:val="16"/>
                          </w:rPr>
                          <w:t>:a'.</w:t>
                        </w:r>
                      </w:p>
                      <w:p>
                        <w:pPr>
                          <w:spacing w:before="20"/>
                          <w:ind w:left="0" w:right="72" w:firstLine="0"/>
                          <w:jc w:val="center"/>
                          <w:rPr>
                            <w:rFonts w:ascii="Times New Roman"/>
                            <w:sz w:val="14"/>
                          </w:rPr>
                        </w:pPr>
                        <w:r>
                          <w:rPr>
                            <w:rFonts w:ascii="Times New Roman"/>
                            <w:color w:val="7E7789"/>
                            <w:spacing w:val="-5"/>
                            <w:sz w:val="14"/>
                          </w:rPr>
                          <w:t>de,</w:t>
                        </w:r>
                      </w:p>
                      <w:p>
                        <w:pPr>
                          <w:spacing w:before="16"/>
                          <w:ind w:left="0" w:right="67" w:firstLine="0"/>
                          <w:jc w:val="center"/>
                          <w:rPr>
                            <w:sz w:val="15"/>
                          </w:rPr>
                        </w:pPr>
                        <w:r>
                          <w:rPr>
                            <w:color w:val="7E7789"/>
                            <w:spacing w:val="-5"/>
                            <w:w w:val="125"/>
                            <w:sz w:val="15"/>
                          </w:rPr>
                          <w:t>de</w:t>
                        </w:r>
                        <w:r>
                          <w:rPr>
                            <w:color w:val="AC6D93"/>
                            <w:spacing w:val="-5"/>
                            <w:w w:val="125"/>
                            <w:sz w:val="15"/>
                          </w:rPr>
                          <w:t>l</w:t>
                        </w:r>
                      </w:p>
                    </w:txbxContent>
                  </v:textbox>
                  <w10:wrap type="none"/>
                </v:shape>
                <v:shape style="position:absolute;left:2764;top:6399;width:1977;height:913" type="#_x0000_t202" id="docshape217" filled="false" stroked="false">
                  <v:textbox inset="0,0,0,0">
                    <w:txbxContent>
                      <w:p>
                        <w:pPr>
                          <w:spacing w:line="164" w:lineRule="exact" w:before="15"/>
                          <w:ind w:left="0" w:right="756" w:firstLine="0"/>
                          <w:jc w:val="right"/>
                          <w:rPr>
                            <w:sz w:val="15"/>
                            <w:szCs w:val="15"/>
                          </w:rPr>
                        </w:pPr>
                        <w:r>
                          <w:rPr>
                            <w:color w:val="C18E89"/>
                            <w:w w:val="110"/>
                            <w:sz w:val="15"/>
                            <w:szCs w:val="15"/>
                          </w:rPr>
                          <w:t>I</w:t>
                        </w:r>
                        <w:r>
                          <w:rPr>
                            <w:color w:val="97959E"/>
                            <w:w w:val="110"/>
                            <w:sz w:val="15"/>
                            <w:szCs w:val="15"/>
                          </w:rPr>
                          <w:t>..S..</w:t>
                        </w:r>
                        <w:r>
                          <w:rPr>
                            <w:color w:val="7E7789"/>
                            <w:w w:val="110"/>
                            <w:sz w:val="15"/>
                            <w:szCs w:val="15"/>
                          </w:rPr>
                          <w:t>�</w:t>
                        </w:r>
                        <w:r>
                          <w:rPr>
                            <w:color w:val="7E7789"/>
                            <w:spacing w:val="45"/>
                            <w:w w:val="110"/>
                            <w:sz w:val="15"/>
                            <w:szCs w:val="15"/>
                          </w:rPr>
                          <w:t> </w:t>
                        </w:r>
                        <w:r>
                          <w:rPr>
                            <w:color w:val="7E7789"/>
                            <w:spacing w:val="-2"/>
                            <w:w w:val="110"/>
                            <w:sz w:val="15"/>
                            <w:szCs w:val="15"/>
                          </w:rPr>
                          <w:t>uHimra</w:t>
                        </w:r>
                        <w:r>
                          <w:rPr>
                            <w:color w:val="7E7789"/>
                            <w:spacing w:val="-2"/>
                            <w:w w:val="110"/>
                            <w:sz w:val="15"/>
                            <w:szCs w:val="15"/>
                          </w:rPr>
                          <w:t>n</w:t>
                        </w:r>
                      </w:p>
                      <w:p>
                        <w:pPr>
                          <w:tabs>
                            <w:tab w:pos="435" w:val="left" w:leader="none"/>
                            <w:tab w:pos="696" w:val="left" w:leader="none"/>
                          </w:tabs>
                          <w:spacing w:line="187" w:lineRule="exact" w:before="0"/>
                          <w:ind w:left="0" w:right="729" w:firstLine="0"/>
                          <w:jc w:val="right"/>
                          <w:rPr>
                            <w:sz w:val="15"/>
                          </w:rPr>
                        </w:pPr>
                        <w:r>
                          <w:rPr>
                            <w:rFonts w:ascii="Times New Roman"/>
                            <w:color w:val="7E7789"/>
                            <w:spacing w:val="-5"/>
                            <w:w w:val="80"/>
                            <w:sz w:val="17"/>
                          </w:rPr>
                          <w:t>pb</w:t>
                        </w:r>
                        <w:r>
                          <w:rPr>
                            <w:rFonts w:ascii="Times New Roman"/>
                            <w:color w:val="7E7789"/>
                            <w:sz w:val="17"/>
                          </w:rPr>
                          <w:tab/>
                        </w:r>
                        <w:r>
                          <w:rPr>
                            <w:color w:val="7E7789"/>
                            <w:spacing w:val="-10"/>
                            <w:w w:val="80"/>
                            <w:sz w:val="15"/>
                          </w:rPr>
                          <w:t>e</w:t>
                        </w:r>
                        <w:r>
                          <w:rPr>
                            <w:color w:val="7E7789"/>
                            <w:sz w:val="15"/>
                          </w:rPr>
                          <w:tab/>
                        </w:r>
                        <w:r>
                          <w:rPr>
                            <w:color w:val="7E7789"/>
                            <w:spacing w:val="-5"/>
                            <w:sz w:val="15"/>
                          </w:rPr>
                          <w:t>ra</w:t>
                        </w:r>
                        <w:r>
                          <w:rPr>
                            <w:color w:val="6990CD"/>
                            <w:spacing w:val="-5"/>
                            <w:sz w:val="15"/>
                          </w:rPr>
                          <w:t>l</w:t>
                        </w:r>
                      </w:p>
                      <w:p>
                        <w:pPr>
                          <w:tabs>
                            <w:tab w:pos="841" w:val="left" w:leader="none"/>
                          </w:tabs>
                          <w:spacing w:line="187" w:lineRule="exact" w:before="11"/>
                          <w:ind w:left="358" w:right="0" w:firstLine="0"/>
                          <w:jc w:val="left"/>
                          <w:rPr>
                            <w:sz w:val="15"/>
                          </w:rPr>
                        </w:pPr>
                        <w:r>
                          <w:rPr>
                            <w:color w:val="7E7789"/>
                            <w:spacing w:val="-4"/>
                            <w:w w:val="110"/>
                            <w:sz w:val="16"/>
                          </w:rPr>
                          <w:t>tie:</w:t>
                        </w:r>
                        <w:r>
                          <w:rPr>
                            <w:color w:val="7E7789"/>
                            <w:sz w:val="16"/>
                          </w:rPr>
                          <w:tab/>
                        </w:r>
                        <w:r>
                          <w:rPr>
                            <w:rFonts w:ascii="Times New Roman" w:hAnsi="Times New Roman"/>
                            <w:color w:val="7E7789"/>
                            <w:w w:val="110"/>
                            <w:sz w:val="14"/>
                          </w:rPr>
                          <w:t>CCJcicr,</w:t>
                        </w:r>
                        <w:r>
                          <w:rPr>
                            <w:rFonts w:ascii="Times New Roman" w:hAnsi="Times New Roman"/>
                            <w:color w:val="7E7789"/>
                            <w:spacing w:val="-2"/>
                            <w:w w:val="110"/>
                            <w:sz w:val="14"/>
                          </w:rPr>
                          <w:t> </w:t>
                        </w:r>
                        <w:r>
                          <w:rPr>
                            <w:rFonts w:ascii="Times New Roman" w:hAnsi="Times New Roman"/>
                            <w:color w:val="97959E"/>
                            <w:w w:val="110"/>
                            <w:sz w:val="17"/>
                          </w:rPr>
                          <w:t>f</w:t>
                        </w:r>
                        <w:r>
                          <w:rPr>
                            <w:rFonts w:ascii="Times New Roman" w:hAnsi="Times New Roman"/>
                            <w:color w:val="97959E"/>
                            <w:spacing w:val="19"/>
                            <w:w w:val="110"/>
                            <w:sz w:val="17"/>
                          </w:rPr>
                          <w:t> </w:t>
                        </w:r>
                        <w:r>
                          <w:rPr>
                            <w:color w:val="7E7789"/>
                            <w:spacing w:val="-2"/>
                            <w:w w:val="110"/>
                            <w:sz w:val="15"/>
                          </w:rPr>
                          <w:t>ar</w:t>
                        </w:r>
                        <w:r>
                          <w:rPr>
                            <w:color w:val="97959E"/>
                            <w:spacing w:val="-2"/>
                            <w:w w:val="110"/>
                            <w:sz w:val="15"/>
                          </w:rPr>
                          <w:t>.álz</w:t>
                        </w:r>
                      </w:p>
                      <w:p>
                        <w:pPr>
                          <w:spacing w:line="177" w:lineRule="exact" w:before="0"/>
                          <w:ind w:left="347" w:right="0" w:firstLine="0"/>
                          <w:jc w:val="left"/>
                          <w:rPr>
                            <w:rFonts w:ascii="Times New Roman" w:hAnsi="Times New Roman"/>
                            <w:sz w:val="17"/>
                          </w:rPr>
                        </w:pPr>
                        <w:r>
                          <w:rPr>
                            <w:rFonts w:ascii="Times New Roman" w:hAnsi="Times New Roman"/>
                            <w:color w:val="7E7789"/>
                            <w:sz w:val="11"/>
                          </w:rPr>
                          <w:t>Ci</w:t>
                        </w:r>
                        <w:r>
                          <w:rPr>
                            <w:color w:val="6990CD"/>
                            <w:sz w:val="15"/>
                          </w:rPr>
                          <w:t>I</w:t>
                        </w:r>
                        <w:r>
                          <w:rPr>
                            <w:color w:val="6990CD"/>
                            <w:spacing w:val="19"/>
                            <w:sz w:val="15"/>
                          </w:rPr>
                          <w:t> </w:t>
                        </w:r>
                        <w:r>
                          <w:rPr>
                            <w:color w:val="7E7789"/>
                            <w:sz w:val="15"/>
                          </w:rPr>
                          <w:t>a-tri:</w:t>
                        </w:r>
                        <w:r>
                          <w:rPr>
                            <w:rFonts w:ascii="Times New Roman" w:hAnsi="Times New Roman"/>
                            <w:color w:val="7E7789"/>
                            <w:sz w:val="16"/>
                          </w:rPr>
                          <w:t>llio</w:t>
                        </w:r>
                        <w:r>
                          <w:rPr>
                            <w:rFonts w:ascii="Times New Roman" w:hAnsi="Times New Roman"/>
                            <w:color w:val="7E7789"/>
                            <w:spacing w:val="48"/>
                            <w:sz w:val="16"/>
                          </w:rPr>
                          <w:t> </w:t>
                        </w:r>
                        <w:r>
                          <w:rPr>
                            <w:color w:val="8E70A3"/>
                            <w:sz w:val="15"/>
                          </w:rPr>
                          <w:t>1</w:t>
                        </w:r>
                        <w:r>
                          <w:rPr>
                            <w:color w:val="D6A364"/>
                            <w:sz w:val="15"/>
                          </w:rPr>
                          <w:t>·</w:t>
                        </w:r>
                        <w:r>
                          <w:rPr>
                            <w:color w:val="D6A364"/>
                            <w:spacing w:val="77"/>
                            <w:w w:val="150"/>
                            <w:sz w:val="15"/>
                          </w:rPr>
                          <w:t> </w:t>
                        </w:r>
                        <w:r>
                          <w:rPr>
                            <w:color w:val="7E7789"/>
                            <w:sz w:val="11"/>
                          </w:rPr>
                          <w:t>CiC</w:t>
                        </w:r>
                        <w:r>
                          <w:rPr>
                            <w:color w:val="7E7789"/>
                            <w:spacing w:val="71"/>
                            <w:sz w:val="11"/>
                          </w:rPr>
                          <w:t> </w:t>
                        </w:r>
                        <w:r>
                          <w:rPr>
                            <w:rFonts w:ascii="Times New Roman" w:hAnsi="Times New Roman"/>
                            <w:color w:val="7E7789"/>
                            <w:spacing w:val="-5"/>
                            <w:sz w:val="17"/>
                          </w:rPr>
                          <w:t>le</w:t>
                        </w:r>
                      </w:p>
                      <w:p>
                        <w:pPr>
                          <w:spacing w:line="152" w:lineRule="exact" w:before="0"/>
                          <w:ind w:left="0" w:right="45" w:firstLine="0"/>
                          <w:jc w:val="center"/>
                          <w:rPr>
                            <w:rFonts w:ascii="Times New Roman"/>
                            <w:sz w:val="14"/>
                          </w:rPr>
                        </w:pPr>
                        <w:r>
                          <w:rPr>
                            <w:rFonts w:ascii="Times New Roman"/>
                            <w:color w:val="7E7789"/>
                            <w:spacing w:val="-2"/>
                            <w:sz w:val="14"/>
                          </w:rPr>
                          <w:t>,=,</w:t>
                        </w:r>
                        <w:r>
                          <w:rPr>
                            <w:rFonts w:ascii="Times New Roman"/>
                            <w:color w:val="AFACAA"/>
                            <w:spacing w:val="-2"/>
                            <w:sz w:val="14"/>
                            <w:shd w:fill="EBF0E8" w:color="auto" w:val="clear"/>
                          </w:rPr>
                          <w:t>,t,I</w:t>
                        </w:r>
                        <w:r>
                          <w:rPr>
                            <w:rFonts w:ascii="Times New Roman"/>
                            <w:color w:val="AFACAA"/>
                            <w:spacing w:val="-2"/>
                            <w:sz w:val="14"/>
                          </w:rPr>
                          <w:t>_</w:t>
                        </w:r>
                        <w:r>
                          <w:rPr>
                            <w:rFonts w:ascii="Times New Roman"/>
                            <w:color w:val="97959E"/>
                            <w:spacing w:val="-2"/>
                            <w:sz w:val="14"/>
                          </w:rPr>
                          <w:t>...</w:t>
                        </w:r>
                      </w:p>
                    </w:txbxContent>
                  </v:textbox>
                  <w10:wrap type="none"/>
                </v:shape>
                <v:shape style="position:absolute;left:5671;top:6392;width:917;height:771" type="#_x0000_t202" id="docshape218" filled="false" stroked="false">
                  <v:textbox inset="0,0,0,0">
                    <w:txbxContent>
                      <w:p>
                        <w:pPr>
                          <w:spacing w:line="183" w:lineRule="exact" w:before="13"/>
                          <w:ind w:left="29" w:right="0" w:firstLine="0"/>
                          <w:jc w:val="left"/>
                          <w:rPr>
                            <w:rFonts w:ascii="Times New Roman" w:hAnsi="Times New Roman"/>
                            <w:sz w:val="16"/>
                          </w:rPr>
                        </w:pPr>
                        <w:r>
                          <w:rPr>
                            <w:color w:val="7E7789"/>
                            <w:w w:val="105"/>
                            <w:sz w:val="15"/>
                          </w:rPr>
                          <w:t>ub.dó.n</w:t>
                        </w:r>
                        <w:r>
                          <w:rPr>
                            <w:color w:val="7E7789"/>
                            <w:spacing w:val="22"/>
                            <w:w w:val="105"/>
                            <w:sz w:val="15"/>
                          </w:rPr>
                          <w:t> </w:t>
                        </w:r>
                        <w:r>
                          <w:rPr>
                            <w:rFonts w:ascii="Times New Roman" w:hAnsi="Times New Roman"/>
                            <w:color w:val="7E7789"/>
                            <w:spacing w:val="-4"/>
                            <w:w w:val="105"/>
                            <w:sz w:val="16"/>
                          </w:rPr>
                          <w:t>c:a</w:t>
                        </w:r>
                        <w:r>
                          <w:rPr>
                            <w:rFonts w:ascii="Times New Roman" w:hAnsi="Times New Roman"/>
                            <w:color w:val="AC6D93"/>
                            <w:spacing w:val="-4"/>
                            <w:w w:val="105"/>
                            <w:sz w:val="16"/>
                          </w:rPr>
                          <w:t>l</w:t>
                        </w:r>
                      </w:p>
                      <w:p>
                        <w:pPr>
                          <w:spacing w:line="171" w:lineRule="exact" w:before="0"/>
                          <w:ind w:left="20" w:right="0" w:firstLine="0"/>
                          <w:jc w:val="left"/>
                          <w:rPr>
                            <w:rFonts w:ascii="Times New Roman"/>
                            <w:sz w:val="14"/>
                          </w:rPr>
                        </w:pPr>
                        <w:r>
                          <w:rPr>
                            <w:color w:val="7E7789"/>
                            <w:w w:val="120"/>
                            <w:sz w:val="15"/>
                          </w:rPr>
                          <w:t>mccso</w:t>
                        </w:r>
                        <w:r>
                          <w:rPr>
                            <w:color w:val="7E7789"/>
                            <w:spacing w:val="53"/>
                            <w:w w:val="120"/>
                            <w:sz w:val="15"/>
                          </w:rPr>
                          <w:t> </w:t>
                        </w:r>
                        <w:r>
                          <w:rPr>
                            <w:rFonts w:ascii="Times New Roman"/>
                            <w:color w:val="7E7789"/>
                            <w:spacing w:val="-5"/>
                            <w:w w:val="120"/>
                            <w:sz w:val="14"/>
                          </w:rPr>
                          <w:t>de,</w:t>
                        </w:r>
                      </w:p>
                      <w:p>
                        <w:pPr>
                          <w:spacing w:before="34"/>
                          <w:ind w:left="48" w:right="0" w:firstLine="0"/>
                          <w:jc w:val="left"/>
                          <w:rPr>
                            <w:sz w:val="15"/>
                          </w:rPr>
                        </w:pPr>
                        <w:r>
                          <w:rPr>
                            <w:color w:val="7E7789"/>
                            <w:spacing w:val="-5"/>
                            <w:w w:val="110"/>
                            <w:sz w:val="15"/>
                          </w:rPr>
                          <w:t>pre</w:t>
                        </w:r>
                      </w:p>
                      <w:p>
                        <w:pPr>
                          <w:spacing w:before="16"/>
                          <w:ind w:left="34" w:right="0" w:firstLine="0"/>
                          <w:jc w:val="left"/>
                          <w:rPr>
                            <w:rFonts w:ascii="Times New Roman"/>
                            <w:sz w:val="14"/>
                          </w:rPr>
                        </w:pPr>
                        <w:r>
                          <w:rPr>
                            <w:rFonts w:ascii="Times New Roman"/>
                            <w:color w:val="7E7789"/>
                            <w:spacing w:val="-5"/>
                            <w:w w:val="110"/>
                            <w:sz w:val="14"/>
                          </w:rPr>
                          <w:t>de,</w:t>
                        </w:r>
                      </w:p>
                    </w:txbxContent>
                  </v:textbox>
                  <w10:wrap type="none"/>
                </v:shape>
                <v:shape style="position:absolute;left:6691;top:6392;width:156;height:218" type="#_x0000_t202" id="docshape219" filled="false" stroked="false">
                  <v:textbox inset="0,0,0,0">
                    <w:txbxContent>
                      <w:p>
                        <w:pPr>
                          <w:spacing w:before="13"/>
                          <w:ind w:left="20" w:right="0" w:firstLine="0"/>
                          <w:jc w:val="left"/>
                          <w:rPr>
                            <w:rFonts w:ascii="Times New Roman"/>
                            <w:sz w:val="16"/>
                          </w:rPr>
                        </w:pPr>
                        <w:r>
                          <w:rPr>
                            <w:rFonts w:ascii="Times New Roman"/>
                            <w:color w:val="7E7789"/>
                            <w:spacing w:val="-4"/>
                            <w:w w:val="60"/>
                            <w:sz w:val="16"/>
                          </w:rPr>
                          <w:t>:a'.</w:t>
                        </w:r>
                      </w:p>
                    </w:txbxContent>
                  </v:textbox>
                  <w10:wrap type="none"/>
                </v:shape>
                <v:shape style="position:absolute;left:5801;top:7469;width:1047;height:218" type="#_x0000_t202" id="docshape220" filled="false" stroked="false">
                  <v:textbox inset="0,0,0,0">
                    <w:txbxContent>
                      <w:p>
                        <w:pPr>
                          <w:tabs>
                            <w:tab w:pos="601" w:val="left" w:leader="none"/>
                          </w:tabs>
                          <w:spacing w:before="13"/>
                          <w:ind w:left="20" w:right="0" w:firstLine="0"/>
                          <w:jc w:val="left"/>
                          <w:rPr>
                            <w:rFonts w:ascii="Times New Roman"/>
                            <w:sz w:val="16"/>
                          </w:rPr>
                        </w:pPr>
                        <w:r>
                          <w:rPr>
                            <w:color w:val="7E7789"/>
                            <w:spacing w:val="-4"/>
                            <w:w w:val="105"/>
                            <w:sz w:val="15"/>
                          </w:rPr>
                          <w:t>pera</w:t>
                        </w:r>
                        <w:r>
                          <w:rPr>
                            <w:color w:val="7E7789"/>
                            <w:sz w:val="15"/>
                          </w:rPr>
                          <w:tab/>
                        </w:r>
                        <w:r>
                          <w:rPr>
                            <w:color w:val="7E7789"/>
                            <w:w w:val="105"/>
                            <w:sz w:val="15"/>
                          </w:rPr>
                          <w:t>e</w:t>
                        </w:r>
                        <w:r>
                          <w:rPr>
                            <w:color w:val="AC6D93"/>
                            <w:w w:val="105"/>
                            <w:sz w:val="15"/>
                          </w:rPr>
                          <w:t>l</w:t>
                        </w:r>
                        <w:r>
                          <w:rPr>
                            <w:color w:val="AC6D93"/>
                            <w:spacing w:val="48"/>
                            <w:w w:val="105"/>
                            <w:sz w:val="15"/>
                          </w:rPr>
                          <w:t>  </w:t>
                        </w:r>
                        <w:r>
                          <w:rPr>
                            <w:rFonts w:ascii="Times New Roman"/>
                            <w:color w:val="7E7789"/>
                            <w:spacing w:val="-4"/>
                            <w:w w:val="75"/>
                            <w:sz w:val="16"/>
                          </w:rPr>
                          <w:t>:a'.</w:t>
                        </w:r>
                      </w:p>
                    </w:txbxContent>
                  </v:textbox>
                  <w10:wrap type="none"/>
                </v:shape>
                <w10:wrap type="topAndBottom"/>
              </v:group>
            </w:pict>
          </mc:Fallback>
        </mc:AlternateContent>
      </w:r>
    </w:p>
    <w:p>
      <w:pPr>
        <w:pStyle w:val="BodyText"/>
        <w:rPr>
          <w:b/>
          <w:sz w:val="13"/>
        </w:rPr>
      </w:pPr>
    </w:p>
    <w:p>
      <w:pPr>
        <w:pStyle w:val="BodyText"/>
        <w:spacing w:before="141"/>
        <w:rPr>
          <w:b/>
          <w:sz w:val="13"/>
        </w:rPr>
      </w:pPr>
    </w:p>
    <w:p>
      <w:pPr>
        <w:tabs>
          <w:tab w:pos="2988" w:val="left" w:leader="none"/>
        </w:tabs>
        <w:spacing w:before="0"/>
        <w:ind w:left="0" w:right="2489" w:firstLine="0"/>
        <w:jc w:val="right"/>
        <w:rPr>
          <w:sz w:val="13"/>
        </w:rPr>
      </w:pPr>
      <w:r>
        <w:rPr>
          <w:sz w:val="13"/>
        </w:rPr>
        <w:drawing>
          <wp:anchor distT="0" distB="0" distL="0" distR="0" allowOverlap="1" layoutInCell="1" locked="0" behindDoc="1" simplePos="0" relativeHeight="475371520">
            <wp:simplePos x="0" y="0"/>
            <wp:positionH relativeFrom="page">
              <wp:posOffset>3785448</wp:posOffset>
            </wp:positionH>
            <wp:positionV relativeFrom="paragraph">
              <wp:posOffset>-1060615</wp:posOffset>
            </wp:positionV>
            <wp:extent cx="414675" cy="195072"/>
            <wp:effectExtent l="0" t="0" r="0" b="0"/>
            <wp:wrapNone/>
            <wp:docPr id="297" name="Image 297"/>
            <wp:cNvGraphicFramePr>
              <a:graphicFrameLocks/>
            </wp:cNvGraphicFramePr>
            <a:graphic>
              <a:graphicData uri="http://schemas.openxmlformats.org/drawingml/2006/picture">
                <pic:pic>
                  <pic:nvPicPr>
                    <pic:cNvPr id="297" name="Image 297"/>
                    <pic:cNvPicPr/>
                  </pic:nvPicPr>
                  <pic:blipFill>
                    <a:blip r:embed="rId119" cstate="print"/>
                    <a:stretch>
                      <a:fillRect/>
                    </a:stretch>
                  </pic:blipFill>
                  <pic:spPr>
                    <a:xfrm>
                      <a:off x="0" y="0"/>
                      <a:ext cx="414675" cy="195072"/>
                    </a:xfrm>
                    <a:prstGeom prst="rect">
                      <a:avLst/>
                    </a:prstGeom>
                  </pic:spPr>
                </pic:pic>
              </a:graphicData>
            </a:graphic>
          </wp:anchor>
        </w:drawing>
      </w:r>
      <w:r>
        <w:rPr>
          <w:sz w:val="13"/>
        </w:rPr>
        <w:drawing>
          <wp:anchor distT="0" distB="0" distL="0" distR="0" allowOverlap="1" layoutInCell="1" locked="0" behindDoc="0" simplePos="0" relativeHeight="15770112">
            <wp:simplePos x="0" y="0"/>
            <wp:positionH relativeFrom="page">
              <wp:posOffset>1770613</wp:posOffset>
            </wp:positionH>
            <wp:positionV relativeFrom="paragraph">
              <wp:posOffset>-636431</wp:posOffset>
            </wp:positionV>
            <wp:extent cx="1768470" cy="341375"/>
            <wp:effectExtent l="0" t="0" r="0" b="0"/>
            <wp:wrapNone/>
            <wp:docPr id="298" name="Image 298"/>
            <wp:cNvGraphicFramePr>
              <a:graphicFrameLocks/>
            </wp:cNvGraphicFramePr>
            <a:graphic>
              <a:graphicData uri="http://schemas.openxmlformats.org/drawingml/2006/picture">
                <pic:pic>
                  <pic:nvPicPr>
                    <pic:cNvPr id="298" name="Image 298"/>
                    <pic:cNvPicPr/>
                  </pic:nvPicPr>
                  <pic:blipFill>
                    <a:blip r:embed="rId120" cstate="print"/>
                    <a:stretch>
                      <a:fillRect/>
                    </a:stretch>
                  </pic:blipFill>
                  <pic:spPr>
                    <a:xfrm>
                      <a:off x="0" y="0"/>
                      <a:ext cx="1768470" cy="341375"/>
                    </a:xfrm>
                    <a:prstGeom prst="rect">
                      <a:avLst/>
                    </a:prstGeom>
                  </pic:spPr>
                </pic:pic>
              </a:graphicData>
            </a:graphic>
          </wp:anchor>
        </w:drawing>
      </w:r>
      <w:r>
        <w:rPr>
          <w:sz w:val="13"/>
        </w:rPr>
        <w:drawing>
          <wp:anchor distT="0" distB="0" distL="0" distR="0" allowOverlap="1" layoutInCell="1" locked="0" behindDoc="1" simplePos="0" relativeHeight="475372544">
            <wp:simplePos x="0" y="0"/>
            <wp:positionH relativeFrom="page">
              <wp:posOffset>1856090</wp:posOffset>
            </wp:positionH>
            <wp:positionV relativeFrom="paragraph">
              <wp:posOffset>-53557</wp:posOffset>
            </wp:positionV>
            <wp:extent cx="1514179" cy="543201"/>
            <wp:effectExtent l="0" t="0" r="0" b="0"/>
            <wp:wrapNone/>
            <wp:docPr id="299" name="Image 299"/>
            <wp:cNvGraphicFramePr>
              <a:graphicFrameLocks/>
            </wp:cNvGraphicFramePr>
            <a:graphic>
              <a:graphicData uri="http://schemas.openxmlformats.org/drawingml/2006/picture">
                <pic:pic>
                  <pic:nvPicPr>
                    <pic:cNvPr id="299" name="Image 299"/>
                    <pic:cNvPicPr/>
                  </pic:nvPicPr>
                  <pic:blipFill>
                    <a:blip r:embed="rId121" cstate="print"/>
                    <a:stretch>
                      <a:fillRect/>
                    </a:stretch>
                  </pic:blipFill>
                  <pic:spPr>
                    <a:xfrm>
                      <a:off x="0" y="0"/>
                      <a:ext cx="1514179" cy="543201"/>
                    </a:xfrm>
                    <a:prstGeom prst="rect">
                      <a:avLst/>
                    </a:prstGeom>
                  </pic:spPr>
                </pic:pic>
              </a:graphicData>
            </a:graphic>
          </wp:anchor>
        </w:drawing>
      </w:r>
      <w:r>
        <w:rPr>
          <w:rFonts w:ascii="Times New Roman" w:hAnsi="Times New Roman"/>
          <w:color w:val="99B1D8"/>
          <w:w w:val="125"/>
          <w:sz w:val="13"/>
        </w:rPr>
        <w:t>'</w:t>
      </w:r>
      <w:r>
        <w:rPr>
          <w:rFonts w:ascii="Times New Roman" w:hAnsi="Times New Roman"/>
          <w:color w:val="7E7789"/>
          <w:w w:val="125"/>
          <w:sz w:val="13"/>
        </w:rPr>
        <w:t>pt!N::oxi</w:t>
      </w:r>
      <w:r>
        <w:rPr>
          <w:rFonts w:ascii="Times New Roman" w:hAnsi="Times New Roman"/>
          <w:color w:val="7E7789"/>
          <w:spacing w:val="64"/>
          <w:w w:val="125"/>
          <w:sz w:val="13"/>
        </w:rPr>
        <w:t>  </w:t>
      </w:r>
      <w:r>
        <w:rPr>
          <w:rFonts w:ascii="Times New Roman" w:hAnsi="Times New Roman"/>
          <w:color w:val="7E7789"/>
          <w:w w:val="125"/>
          <w:sz w:val="11"/>
        </w:rPr>
        <w:t>,r¡</w:t>
      </w:r>
      <w:r>
        <w:rPr>
          <w:rFonts w:ascii="Times New Roman" w:hAnsi="Times New Roman"/>
          <w:color w:val="7E7789"/>
          <w:spacing w:val="37"/>
          <w:w w:val="125"/>
          <w:sz w:val="11"/>
        </w:rPr>
        <w:t> </w:t>
      </w:r>
      <w:r>
        <w:rPr>
          <w:rFonts w:ascii="Times New Roman" w:hAnsi="Times New Roman"/>
          <w:color w:val="97959E"/>
          <w:w w:val="125"/>
          <w:sz w:val="11"/>
        </w:rPr>
        <w:t>l.;:]</w:t>
      </w:r>
      <w:r>
        <w:rPr>
          <w:rFonts w:ascii="Times New Roman" w:hAnsi="Times New Roman"/>
          <w:color w:val="97959E"/>
          <w:spacing w:val="-3"/>
          <w:w w:val="125"/>
          <w:sz w:val="11"/>
        </w:rPr>
        <w:t> </w:t>
      </w:r>
      <w:r>
        <w:rPr>
          <w:rFonts w:ascii="Times New Roman" w:hAnsi="Times New Roman"/>
          <w:color w:val="7E7789"/>
          <w:spacing w:val="-2"/>
          <w:w w:val="125"/>
          <w:sz w:val="13"/>
        </w:rPr>
        <w:t>Gio::oilJ</w:t>
      </w:r>
      <w:r>
        <w:rPr>
          <w:rFonts w:ascii="Times New Roman" w:hAnsi="Times New Roman"/>
          <w:color w:val="7E7789"/>
          <w:sz w:val="13"/>
        </w:rPr>
        <w:tab/>
      </w:r>
      <w:r>
        <w:rPr>
          <w:rFonts w:ascii="Times New Roman" w:hAnsi="Times New Roman"/>
          <w:color w:val="7E7789"/>
          <w:w w:val="115"/>
          <w:sz w:val="11"/>
        </w:rPr>
        <w:t>r,:;;/'.::inibr&lt;í </w:t>
      </w:r>
      <w:r>
        <w:rPr>
          <w:rFonts w:ascii="Times New Roman" w:hAnsi="Times New Roman"/>
          <w:color w:val="7E7789"/>
          <w:w w:val="115"/>
          <w:sz w:val="13"/>
        </w:rPr>
        <w:t>dcí</w:t>
      </w:r>
      <w:r>
        <w:rPr>
          <w:rFonts w:ascii="Times New Roman" w:hAnsi="Times New Roman"/>
          <w:color w:val="7E7789"/>
          <w:spacing w:val="-10"/>
          <w:w w:val="115"/>
          <w:sz w:val="13"/>
        </w:rPr>
        <w:t> </w:t>
      </w:r>
      <w:r>
        <w:rPr>
          <w:color w:val="7E7789"/>
          <w:spacing w:val="-2"/>
          <w:w w:val="115"/>
          <w:sz w:val="13"/>
        </w:rPr>
        <w:t>:ID21.</w:t>
      </w:r>
    </w:p>
    <w:p>
      <w:pPr>
        <w:tabs>
          <w:tab w:pos="1415" w:val="left" w:leader="none"/>
          <w:tab w:pos="2818" w:val="left" w:leader="none"/>
        </w:tabs>
        <w:spacing w:before="52"/>
        <w:ind w:left="0" w:right="2468" w:firstLine="0"/>
        <w:jc w:val="right"/>
        <w:rPr>
          <w:rFonts w:ascii="Times New Roman" w:hAnsi="Times New Roman" w:cs="Times New Roman" w:eastAsia="Times New Roman"/>
          <w:sz w:val="13"/>
          <w:szCs w:val="13"/>
        </w:rPr>
      </w:pPr>
      <w:r>
        <w:rPr>
          <w:rFonts w:ascii="Times New Roman" w:hAnsi="Times New Roman" w:cs="Times New Roman" w:eastAsia="Times New Roman"/>
          <w:color w:val="9ECDE9"/>
          <w:w w:val="185"/>
          <w:sz w:val="9"/>
          <w:szCs w:val="9"/>
        </w:rPr>
        <w:t>•</w:t>
      </w:r>
      <w:r>
        <w:rPr>
          <w:rFonts w:ascii="Times New Roman" w:hAnsi="Times New Roman" w:cs="Times New Roman" w:eastAsia="Times New Roman"/>
          <w:color w:val="D8B387"/>
          <w:w w:val="185"/>
          <w:sz w:val="9"/>
          <w:szCs w:val="9"/>
        </w:rPr>
        <w:t>•</w:t>
      </w:r>
      <w:r>
        <w:rPr>
          <w:rFonts w:ascii="Times New Roman" w:hAnsi="Times New Roman" w:cs="Times New Roman" w:eastAsia="Times New Roman"/>
          <w:color w:val="D8B387"/>
          <w:spacing w:val="38"/>
          <w:w w:val="185"/>
          <w:sz w:val="9"/>
          <w:szCs w:val="9"/>
        </w:rPr>
        <w:t>  </w:t>
      </w:r>
      <w:r>
        <w:rPr>
          <w:rFonts w:ascii="Times New Roman" w:hAnsi="Times New Roman" w:cs="Times New Roman" w:eastAsia="Times New Roman"/>
          <w:color w:val="7E7789"/>
          <w:w w:val="125"/>
          <w:sz w:val="9"/>
          <w:szCs w:val="9"/>
        </w:rPr>
        <w:t>,:;;,</w:t>
      </w:r>
      <w:r>
        <w:rPr>
          <w:rFonts w:ascii="Times New Roman" w:hAnsi="Times New Roman" w:cs="Times New Roman" w:eastAsia="Times New Roman"/>
          <w:color w:val="7E7789"/>
          <w:spacing w:val="8"/>
          <w:w w:val="220"/>
          <w:sz w:val="9"/>
          <w:szCs w:val="9"/>
        </w:rPr>
        <w:t> </w:t>
      </w:r>
      <w:r>
        <w:rPr>
          <w:rFonts w:ascii="Times New Roman" w:hAnsi="Times New Roman" w:cs="Times New Roman" w:eastAsia="Times New Roman"/>
          <w:color w:val="7E7789"/>
          <w:w w:val="220"/>
          <w:sz w:val="9"/>
          <w:szCs w:val="9"/>
        </w:rPr>
        <w:t>�;I]</w:t>
      </w:r>
      <w:r>
        <w:rPr>
          <w:rFonts w:ascii="Times New Roman" w:hAnsi="Times New Roman" w:cs="Times New Roman" w:eastAsia="Times New Roman"/>
          <w:color w:val="7E7789"/>
          <w:spacing w:val="-12"/>
          <w:w w:val="220"/>
          <w:sz w:val="9"/>
          <w:szCs w:val="9"/>
        </w:rPr>
        <w:t> </w:t>
      </w:r>
      <w:r>
        <w:rPr>
          <w:rFonts w:ascii="Times New Roman" w:hAnsi="Times New Roman" w:cs="Times New Roman" w:eastAsia="Times New Roman"/>
          <w:color w:val="7E7789"/>
          <w:w w:val="125"/>
          <w:sz w:val="13"/>
          <w:szCs w:val="13"/>
        </w:rPr>
        <w:t>líJ</w:t>
      </w:r>
      <w:r>
        <w:rPr>
          <w:rFonts w:ascii="Times New Roman" w:hAnsi="Times New Roman" w:cs="Times New Roman" w:eastAsia="Times New Roman"/>
          <w:color w:val="7E7789"/>
          <w:spacing w:val="24"/>
          <w:w w:val="125"/>
          <w:sz w:val="13"/>
          <w:szCs w:val="13"/>
        </w:rPr>
        <w:t> </w:t>
      </w:r>
      <w:r>
        <w:rPr>
          <w:rFonts w:ascii="Times New Roman" w:hAnsi="Times New Roman" w:cs="Times New Roman" w:eastAsia="Times New Roman"/>
          <w:color w:val="7E7789"/>
          <w:spacing w:val="-10"/>
          <w:w w:val="125"/>
          <w:sz w:val="13"/>
          <w:szCs w:val="13"/>
        </w:rPr>
        <w:t>�</w:t>
      </w:r>
      <w:r>
        <w:rPr>
          <w:rFonts w:ascii="Times New Roman" w:hAnsi="Times New Roman" w:cs="Times New Roman" w:eastAsia="Times New Roman"/>
          <w:color w:val="7E7789"/>
          <w:sz w:val="13"/>
          <w:szCs w:val="13"/>
        </w:rPr>
        <w:tab/>
      </w:r>
      <w:r>
        <w:rPr>
          <w:rFonts w:ascii="Times New Roman" w:hAnsi="Times New Roman" w:cs="Times New Roman" w:eastAsia="Times New Roman"/>
          <w:color w:val="B8AF75"/>
          <w:w w:val="80"/>
          <w:sz w:val="13"/>
          <w:szCs w:val="13"/>
        </w:rPr>
        <w:t>•</w:t>
      </w:r>
      <w:r>
        <w:rPr>
          <w:rFonts w:ascii="Times New Roman" w:hAnsi="Times New Roman" w:cs="Times New Roman" w:eastAsia="Times New Roman"/>
          <w:color w:val="B8AF75"/>
          <w:spacing w:val="-9"/>
          <w:w w:val="125"/>
          <w:sz w:val="13"/>
          <w:szCs w:val="13"/>
        </w:rPr>
        <w:t> </w:t>
      </w:r>
      <w:r>
        <w:rPr>
          <w:rFonts w:ascii="Times New Roman" w:hAnsi="Times New Roman" w:cs="Times New Roman" w:eastAsia="Times New Roman"/>
          <w:color w:val="9ECDE9"/>
          <w:spacing w:val="-10"/>
          <w:w w:val="125"/>
          <w:sz w:val="13"/>
          <w:szCs w:val="13"/>
        </w:rPr>
        <w:t>'</w:t>
      </w:r>
      <w:r>
        <w:rPr>
          <w:rFonts w:ascii="Times New Roman" w:hAnsi="Times New Roman" w:cs="Times New Roman" w:eastAsia="Times New Roman"/>
          <w:color w:val="9ECDE9"/>
          <w:sz w:val="13"/>
          <w:szCs w:val="13"/>
        </w:rPr>
        <w:tab/>
      </w:r>
      <w:r>
        <w:rPr>
          <w:rFonts w:ascii="Times New Roman" w:hAnsi="Times New Roman" w:cs="Times New Roman" w:eastAsia="Times New Roman"/>
          <w:color w:val="7E7789"/>
          <w:w w:val="125"/>
          <w:sz w:val="13"/>
          <w:szCs w:val="13"/>
        </w:rPr>
        <w:t>�</w:t>
      </w:r>
      <w:r>
        <w:rPr>
          <w:rFonts w:ascii="Times New Roman" w:hAnsi="Times New Roman" w:cs="Times New Roman" w:eastAsia="Times New Roman"/>
          <w:color w:val="7E7789"/>
          <w:spacing w:val="13"/>
          <w:w w:val="185"/>
          <w:sz w:val="13"/>
          <w:szCs w:val="13"/>
        </w:rPr>
        <w:t>  </w:t>
      </w:r>
      <w:r>
        <w:rPr>
          <w:rFonts w:ascii="Times New Roman" w:hAnsi="Times New Roman" w:cs="Times New Roman" w:eastAsia="Times New Roman"/>
          <w:color w:val="7E7789"/>
          <w:spacing w:val="-2"/>
          <w:w w:val="185"/>
          <w:sz w:val="13"/>
          <w:szCs w:val="13"/>
        </w:rPr>
        <w:t>��tal!IJ,.</w:t>
      </w:r>
    </w:p>
    <w:p>
      <w:pPr>
        <w:pStyle w:val="ListParagraph"/>
        <w:numPr>
          <w:ilvl w:val="0"/>
          <w:numId w:val="44"/>
        </w:numPr>
        <w:tabs>
          <w:tab w:pos="50" w:val="left" w:leader="none"/>
          <w:tab w:pos="1050" w:val="left" w:leader="none"/>
          <w:tab w:pos="3185" w:val="left" w:leader="none"/>
        </w:tabs>
        <w:spacing w:line="156" w:lineRule="exact" w:before="19" w:after="0"/>
        <w:ind w:left="50" w:right="307" w:hanging="50"/>
        <w:jc w:val="center"/>
        <w:rPr>
          <w:sz w:val="14"/>
          <w:szCs w:val="14"/>
        </w:rPr>
      </w:pPr>
      <w:r>
        <w:rPr>
          <w:color w:val="7E7789"/>
          <w:sz w:val="14"/>
          <w:szCs w:val="14"/>
        </w:rPr>
        <w:t>o�</w:t>
      </w:r>
      <w:r>
        <w:rPr>
          <w:color w:val="7E7789"/>
          <w:spacing w:val="11"/>
          <w:w w:val="110"/>
          <w:sz w:val="14"/>
          <w:szCs w:val="14"/>
        </w:rPr>
        <w:t> </w:t>
      </w:r>
      <w:r>
        <w:rPr>
          <w:rFonts w:ascii="Times New Roman" w:hAnsi="Times New Roman" w:cs="Times New Roman" w:eastAsia="Times New Roman"/>
          <w:color w:val="675B72"/>
          <w:spacing w:val="-5"/>
          <w:w w:val="110"/>
          <w:sz w:val="14"/>
          <w:szCs w:val="14"/>
        </w:rPr>
        <w:t>al</w:t>
      </w:r>
      <w:r>
        <w:rPr>
          <w:rFonts w:ascii="Times New Roman" w:hAnsi="Times New Roman" w:cs="Times New Roman" w:eastAsia="Times New Roman"/>
          <w:color w:val="7E7789"/>
          <w:spacing w:val="-5"/>
          <w:w w:val="110"/>
          <w:sz w:val="14"/>
          <w:szCs w:val="14"/>
        </w:rPr>
        <w:t>�</w:t>
      </w:r>
      <w:r>
        <w:rPr>
          <w:rFonts w:ascii="Times New Roman" w:hAnsi="Times New Roman" w:cs="Times New Roman" w:eastAsia="Times New Roman"/>
          <w:color w:val="7E7789"/>
          <w:sz w:val="14"/>
          <w:szCs w:val="14"/>
        </w:rPr>
        <w:tab/>
      </w:r>
      <w:r>
        <w:rPr>
          <w:color w:val="7E7789"/>
          <w:w w:val="105"/>
          <w:sz w:val="14"/>
          <w:szCs w:val="14"/>
        </w:rPr>
        <w:t>el</w:t>
      </w:r>
      <w:r>
        <w:rPr>
          <w:color w:val="7E7789"/>
          <w:spacing w:val="-14"/>
          <w:w w:val="105"/>
          <w:sz w:val="14"/>
          <w:szCs w:val="14"/>
        </w:rPr>
        <w:t> </w:t>
      </w:r>
      <w:r>
        <w:rPr>
          <w:rFonts w:ascii="Times New Roman" w:hAnsi="Times New Roman" w:cs="Times New Roman" w:eastAsia="Times New Roman"/>
          <w:color w:val="7E7789"/>
          <w:w w:val="105"/>
          <w:sz w:val="13"/>
          <w:szCs w:val="13"/>
        </w:rPr>
        <w:t>Scic.</w:t>
      </w:r>
      <w:r>
        <w:rPr>
          <w:rFonts w:ascii="Times New Roman" w:hAnsi="Times New Roman" w:cs="Times New Roman" w:eastAsia="Times New Roman"/>
          <w:color w:val="7E7789"/>
          <w:spacing w:val="1"/>
          <w:w w:val="105"/>
          <w:sz w:val="13"/>
          <w:szCs w:val="13"/>
        </w:rPr>
        <w:t> </w:t>
      </w:r>
      <w:r>
        <w:rPr>
          <w:color w:val="7E7789"/>
          <w:spacing w:val="-5"/>
          <w:w w:val="105"/>
          <w:sz w:val="14"/>
          <w:szCs w:val="14"/>
        </w:rPr>
        <w:t>or</w:t>
      </w:r>
      <w:r>
        <w:rPr>
          <w:color w:val="7E7789"/>
          <w:sz w:val="14"/>
          <w:szCs w:val="14"/>
        </w:rPr>
        <w:tab/>
      </w:r>
      <w:r>
        <w:rPr>
          <w:color w:val="7E7789"/>
          <w:spacing w:val="-4"/>
          <w:w w:val="110"/>
          <w:sz w:val="14"/>
          <w:szCs w:val="14"/>
        </w:rPr>
        <w:t>olla</w:t>
      </w:r>
    </w:p>
    <w:p>
      <w:pPr>
        <w:spacing w:line="219" w:lineRule="exact" w:before="0"/>
        <w:ind w:left="2914" w:right="0" w:firstLine="0"/>
        <w:jc w:val="left"/>
        <w:rPr>
          <w:rFonts w:ascii="Times New Roman" w:hAnsi="Times New Roman" w:cs="Times New Roman" w:eastAsia="Times New Roman"/>
          <w:position w:val="-1"/>
          <w:sz w:val="14"/>
          <w:szCs w:val="14"/>
        </w:rPr>
      </w:pPr>
      <w:r>
        <w:rPr>
          <w:rFonts w:ascii="Times New Roman" w:hAnsi="Times New Roman" w:cs="Times New Roman" w:eastAsia="Times New Roman"/>
          <w:color w:val="7E7789"/>
          <w:w w:val="115"/>
          <w:sz w:val="12"/>
          <w:szCs w:val="12"/>
        </w:rPr>
        <w:t>t11::ox,</w:t>
      </w:r>
      <w:r>
        <w:rPr>
          <w:rFonts w:ascii="Times New Roman" w:hAnsi="Times New Roman" w:cs="Times New Roman" w:eastAsia="Times New Roman"/>
          <w:color w:val="7E7789"/>
          <w:spacing w:val="-9"/>
          <w:w w:val="115"/>
          <w:sz w:val="12"/>
          <w:szCs w:val="12"/>
        </w:rPr>
        <w:t> </w:t>
      </w:r>
      <w:r>
        <w:rPr>
          <w:rFonts w:ascii="Times New Roman" w:hAnsi="Times New Roman" w:cs="Times New Roman" w:eastAsia="Times New Roman"/>
          <w:color w:val="675B72"/>
          <w:sz w:val="17"/>
          <w:szCs w:val="17"/>
        </w:rPr>
        <w:t>,:</w:t>
      </w:r>
      <w:r>
        <w:rPr>
          <w:rFonts w:ascii="Times New Roman" w:hAnsi="Times New Roman" w:cs="Times New Roman" w:eastAsia="Times New Roman"/>
          <w:color w:val="7E7789"/>
          <w:sz w:val="17"/>
          <w:szCs w:val="17"/>
        </w:rPr>
        <w:t>m</w:t>
      </w:r>
      <w:r>
        <w:rPr>
          <w:rFonts w:ascii="Times New Roman" w:hAnsi="Times New Roman" w:cs="Times New Roman" w:eastAsia="Times New Roman"/>
          <w:color w:val="7E7789"/>
          <w:spacing w:val="-11"/>
          <w:sz w:val="17"/>
          <w:szCs w:val="17"/>
        </w:rPr>
        <w:t> </w:t>
      </w:r>
      <w:r>
        <w:rPr>
          <w:rFonts w:ascii="Times New Roman" w:hAnsi="Times New Roman" w:cs="Times New Roman" w:eastAsia="Times New Roman"/>
          <w:color w:val="7E7789"/>
          <w:sz w:val="14"/>
          <w:szCs w:val="14"/>
        </w:rPr>
        <w:t>li:J</w:t>
      </w:r>
      <w:r>
        <w:rPr>
          <w:rFonts w:ascii="Times New Roman" w:hAnsi="Times New Roman" w:cs="Times New Roman" w:eastAsia="Times New Roman"/>
          <w:color w:val="7E7789"/>
          <w:spacing w:val="-8"/>
          <w:sz w:val="14"/>
          <w:szCs w:val="14"/>
        </w:rPr>
        <w:t> </w:t>
      </w:r>
      <w:r>
        <w:rPr>
          <w:color w:val="7E7789"/>
          <w:w w:val="115"/>
          <w:sz w:val="12"/>
          <w:szCs w:val="12"/>
        </w:rPr>
        <w:t>Ga;:,:,1</w:t>
      </w:r>
      <w:r>
        <w:rPr>
          <w:color w:val="675B72"/>
          <w:w w:val="115"/>
          <w:sz w:val="12"/>
          <w:szCs w:val="12"/>
        </w:rPr>
        <w:t>,:i</w:t>
      </w:r>
      <w:r>
        <w:rPr>
          <w:color w:val="675B72"/>
          <w:spacing w:val="14"/>
          <w:w w:val="115"/>
          <w:sz w:val="12"/>
          <w:szCs w:val="12"/>
        </w:rPr>
        <w:t> </w:t>
      </w:r>
      <w:r>
        <w:rPr>
          <w:color w:val="FBCC90"/>
          <w:w w:val="115"/>
          <w:sz w:val="12"/>
          <w:szCs w:val="12"/>
        </w:rPr>
        <w:t>'</w:t>
      </w:r>
      <w:r>
        <w:rPr>
          <w:color w:val="FBCC90"/>
          <w:spacing w:val="-8"/>
          <w:w w:val="115"/>
          <w:sz w:val="12"/>
          <w:szCs w:val="12"/>
        </w:rPr>
        <w:t> </w:t>
      </w:r>
      <w:r>
        <w:rPr>
          <w:color w:val="7E7789"/>
          <w:sz w:val="12"/>
          <w:szCs w:val="12"/>
        </w:rPr>
        <w:t>�</w:t>
      </w:r>
      <w:r>
        <w:rPr>
          <w:color w:val="7E7789"/>
          <w:sz w:val="14"/>
          <w:szCs w:val="14"/>
        </w:rPr>
        <w:t>1-:1</w:t>
      </w:r>
      <w:r>
        <w:rPr>
          <w:color w:val="7E7789"/>
          <w:spacing w:val="-20"/>
          <w:sz w:val="14"/>
          <w:szCs w:val="14"/>
        </w:rPr>
        <w:t> </w:t>
      </w:r>
      <w:r>
        <w:rPr>
          <w:rFonts w:ascii="Times New Roman" w:hAnsi="Times New Roman" w:cs="Times New Roman" w:eastAsia="Times New Roman"/>
          <w:color w:val="7E7789"/>
          <w:w w:val="115"/>
          <w:sz w:val="14"/>
          <w:szCs w:val="14"/>
        </w:rPr>
        <w:t>dill</w:t>
      </w:r>
      <w:r>
        <w:rPr>
          <w:rFonts w:ascii="Times New Roman" w:hAnsi="Times New Roman" w:cs="Times New Roman" w:eastAsia="Times New Roman"/>
          <w:color w:val="7E7789"/>
          <w:spacing w:val="74"/>
          <w:w w:val="150"/>
          <w:sz w:val="14"/>
          <w:szCs w:val="14"/>
        </w:rPr>
        <w:t> </w:t>
      </w:r>
      <w:r>
        <w:rPr>
          <w:rFonts w:ascii="Times New Roman" w:hAnsi="Times New Roman" w:cs="Times New Roman" w:eastAsia="Times New Roman"/>
          <w:color w:val="70AADD"/>
          <w:w w:val="115"/>
          <w:sz w:val="14"/>
          <w:szCs w:val="14"/>
        </w:rPr>
        <w:t>:</w:t>
      </w:r>
      <w:r>
        <w:rPr>
          <w:rFonts w:ascii="Times New Roman" w:hAnsi="Times New Roman" w:cs="Times New Roman" w:eastAsia="Times New Roman"/>
          <w:color w:val="70AADD"/>
          <w:spacing w:val="-26"/>
          <w:w w:val="115"/>
          <w:sz w:val="14"/>
          <w:szCs w:val="14"/>
        </w:rPr>
        <w:t> </w:t>
      </w:r>
      <w:r>
        <w:rPr>
          <w:rFonts w:ascii="Times New Roman" w:hAnsi="Times New Roman" w:cs="Times New Roman" w:eastAsia="Times New Roman"/>
          <w:color w:val="675B72"/>
          <w:w w:val="115"/>
          <w:sz w:val="14"/>
          <w:szCs w:val="14"/>
        </w:rPr>
        <w:t>d</w:t>
      </w:r>
      <w:r>
        <w:rPr>
          <w:rFonts w:ascii="Times New Roman" w:hAnsi="Times New Roman" w:cs="Times New Roman" w:eastAsia="Times New Roman"/>
          <w:color w:val="675B72"/>
          <w:spacing w:val="-16"/>
          <w:w w:val="115"/>
          <w:sz w:val="14"/>
          <w:szCs w:val="14"/>
        </w:rPr>
        <w:t> </w:t>
      </w:r>
      <w:r>
        <w:rPr>
          <w:rFonts w:ascii="Times New Roman" w:hAnsi="Times New Roman" w:cs="Times New Roman" w:eastAsia="Times New Roman"/>
          <w:color w:val="675B72"/>
          <w:spacing w:val="-11"/>
          <w:position w:val="-1"/>
          <w:sz w:val="14"/>
          <w:szCs w:val="14"/>
        </w:rPr>
        <w:drawing>
          <wp:inline distT="0" distB="0" distL="0" distR="0">
            <wp:extent cx="708245" cy="134274"/>
            <wp:effectExtent l="0" t="0" r="0" b="0"/>
            <wp:docPr id="300" name="Image 300"/>
            <wp:cNvGraphicFramePr>
              <a:graphicFrameLocks/>
            </wp:cNvGraphicFramePr>
            <a:graphic>
              <a:graphicData uri="http://schemas.openxmlformats.org/drawingml/2006/picture">
                <pic:pic>
                  <pic:nvPicPr>
                    <pic:cNvPr id="300" name="Image 300"/>
                    <pic:cNvPicPr/>
                  </pic:nvPicPr>
                  <pic:blipFill>
                    <a:blip r:embed="rId122" cstate="print"/>
                    <a:stretch>
                      <a:fillRect/>
                    </a:stretch>
                  </pic:blipFill>
                  <pic:spPr>
                    <a:xfrm>
                      <a:off x="0" y="0"/>
                      <a:ext cx="708245" cy="134274"/>
                    </a:xfrm>
                    <a:prstGeom prst="rect">
                      <a:avLst/>
                    </a:prstGeom>
                  </pic:spPr>
                </pic:pic>
              </a:graphicData>
            </a:graphic>
          </wp:inline>
        </w:drawing>
      </w:r>
      <w:r>
        <w:rPr>
          <w:rFonts w:ascii="Times New Roman" w:hAnsi="Times New Roman" w:cs="Times New Roman" w:eastAsia="Times New Roman"/>
          <w:color w:val="675B72"/>
          <w:spacing w:val="-11"/>
          <w:position w:val="-1"/>
          <w:sz w:val="14"/>
          <w:szCs w:val="14"/>
        </w:rPr>
      </w:r>
    </w:p>
    <w:p>
      <w:pPr>
        <w:pStyle w:val="BodyText"/>
        <w:spacing w:before="89"/>
        <w:rPr>
          <w:rFonts w:ascii="Times New Roman"/>
          <w:sz w:val="20"/>
        </w:rPr>
      </w:pPr>
      <w:r>
        <w:rPr>
          <w:rFonts w:ascii="Times New Roman"/>
          <w:sz w:val="20"/>
        </w:rPr>
        <w:drawing>
          <wp:anchor distT="0" distB="0" distL="0" distR="0" allowOverlap="1" layoutInCell="1" locked="0" behindDoc="1" simplePos="0" relativeHeight="487625216">
            <wp:simplePos x="0" y="0"/>
            <wp:positionH relativeFrom="page">
              <wp:posOffset>5379000</wp:posOffset>
            </wp:positionH>
            <wp:positionV relativeFrom="paragraph">
              <wp:posOffset>217797</wp:posOffset>
            </wp:positionV>
            <wp:extent cx="591522" cy="103631"/>
            <wp:effectExtent l="0" t="0" r="0" b="0"/>
            <wp:wrapTopAndBottom/>
            <wp:docPr id="301" name="Image 301"/>
            <wp:cNvGraphicFramePr>
              <a:graphicFrameLocks/>
            </wp:cNvGraphicFramePr>
            <a:graphic>
              <a:graphicData uri="http://schemas.openxmlformats.org/drawingml/2006/picture">
                <pic:pic>
                  <pic:nvPicPr>
                    <pic:cNvPr id="301" name="Image 301"/>
                    <pic:cNvPicPr/>
                  </pic:nvPicPr>
                  <pic:blipFill>
                    <a:blip r:embed="rId123" cstate="print"/>
                    <a:stretch>
                      <a:fillRect/>
                    </a:stretch>
                  </pic:blipFill>
                  <pic:spPr>
                    <a:xfrm>
                      <a:off x="0" y="0"/>
                      <a:ext cx="591522" cy="103631"/>
                    </a:xfrm>
                    <a:prstGeom prst="rect">
                      <a:avLst/>
                    </a:prstGeom>
                  </pic:spPr>
                </pic:pic>
              </a:graphicData>
            </a:graphic>
          </wp:anchor>
        </w:drawing>
      </w:r>
      <w:r>
        <w:rPr>
          <w:rFonts w:ascii="Times New Roman"/>
          <w:sz w:val="20"/>
        </w:rPr>
        <mc:AlternateContent>
          <mc:Choice Requires="wps">
            <w:drawing>
              <wp:anchor distT="0" distB="0" distL="0" distR="0" allowOverlap="1" layoutInCell="1" locked="0" behindDoc="1" simplePos="0" relativeHeight="487625728">
                <wp:simplePos x="0" y="0"/>
                <wp:positionH relativeFrom="page">
                  <wp:posOffset>992153</wp:posOffset>
                </wp:positionH>
                <wp:positionV relativeFrom="paragraph">
                  <wp:posOffset>455404</wp:posOffset>
                </wp:positionV>
                <wp:extent cx="5724525" cy="1391920"/>
                <wp:effectExtent l="0" t="0" r="0" b="0"/>
                <wp:wrapTopAndBottom/>
                <wp:docPr id="302" name="Group 302"/>
                <wp:cNvGraphicFramePr>
                  <a:graphicFrameLocks/>
                </wp:cNvGraphicFramePr>
                <a:graphic>
                  <a:graphicData uri="http://schemas.microsoft.com/office/word/2010/wordprocessingGroup">
                    <wpg:wgp>
                      <wpg:cNvPr id="302" name="Group 302"/>
                      <wpg:cNvGrpSpPr/>
                      <wpg:grpSpPr>
                        <a:xfrm>
                          <a:off x="0" y="0"/>
                          <a:ext cx="5724525" cy="1391920"/>
                          <a:chExt cx="5724525" cy="1391920"/>
                        </a:xfrm>
                      </wpg:grpSpPr>
                      <pic:pic>
                        <pic:nvPicPr>
                          <pic:cNvPr id="303" name="Image 303"/>
                          <pic:cNvPicPr/>
                        </pic:nvPicPr>
                        <pic:blipFill>
                          <a:blip r:embed="rId124" cstate="print"/>
                          <a:stretch>
                            <a:fillRect/>
                          </a:stretch>
                        </pic:blipFill>
                        <pic:spPr>
                          <a:xfrm>
                            <a:off x="0" y="0"/>
                            <a:ext cx="5723965" cy="1391572"/>
                          </a:xfrm>
                          <a:prstGeom prst="rect">
                            <a:avLst/>
                          </a:prstGeom>
                        </pic:spPr>
                      </pic:pic>
                      <wps:wsp>
                        <wps:cNvPr id="304" name="Textbox 304"/>
                        <wps:cNvSpPr txBox="1"/>
                        <wps:spPr>
                          <a:xfrm>
                            <a:off x="67330" y="350384"/>
                            <a:ext cx="269240" cy="170815"/>
                          </a:xfrm>
                          <a:prstGeom prst="rect">
                            <a:avLst/>
                          </a:prstGeom>
                        </wps:spPr>
                        <wps:txbx>
                          <w:txbxContent>
                            <w:p>
                              <w:pPr>
                                <w:spacing w:line="268" w:lineRule="exact" w:before="0"/>
                                <w:ind w:left="0" w:right="0" w:firstLine="0"/>
                                <w:jc w:val="left"/>
                                <w:rPr>
                                  <w:b/>
                                  <w:sz w:val="24"/>
                                </w:rPr>
                              </w:pPr>
                              <w:r>
                                <w:rPr>
                                  <w:b/>
                                  <w:spacing w:val="-5"/>
                                  <w:sz w:val="24"/>
                                </w:rPr>
                                <w:t>175</w:t>
                              </w:r>
                            </w:p>
                          </w:txbxContent>
                        </wps:txbx>
                        <wps:bodyPr wrap="square" lIns="0" tIns="0" rIns="0" bIns="0" rtlCol="0">
                          <a:noAutofit/>
                        </wps:bodyPr>
                      </wps:wsp>
                      <wps:wsp>
                        <wps:cNvPr id="305" name="Textbox 305"/>
                        <wps:cNvSpPr txBox="1"/>
                        <wps:spPr>
                          <a:xfrm>
                            <a:off x="645892" y="337684"/>
                            <a:ext cx="292925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wpg:wgp>
                  </a:graphicData>
                </a:graphic>
              </wp:anchor>
            </w:drawing>
          </mc:Choice>
          <mc:Fallback>
            <w:pict>
              <v:group style="position:absolute;margin-left:78.122345pt;margin-top:35.858604pt;width:450.75pt;height:109.6pt;mso-position-horizontal-relative:page;mso-position-vertical-relative:paragraph;z-index:-15690752;mso-wrap-distance-left:0;mso-wrap-distance-right:0" id="docshapegroup221" coordorigin="1562,717" coordsize="9015,2192">
                <v:shape style="position:absolute;left:1562;top:717;width:9015;height:2192" type="#_x0000_t75" id="docshape222" stroked="false">
                  <v:imagedata r:id="rId124" o:title=""/>
                </v:shape>
                <v:shape style="position:absolute;left:1668;top:1268;width:424;height:269" type="#_x0000_t202" id="docshape223" filled="false" stroked="false">
                  <v:textbox inset="0,0,0,0">
                    <w:txbxContent>
                      <w:p>
                        <w:pPr>
                          <w:spacing w:line="268" w:lineRule="exact" w:before="0"/>
                          <w:ind w:left="0" w:right="0" w:firstLine="0"/>
                          <w:jc w:val="left"/>
                          <w:rPr>
                            <w:b/>
                            <w:sz w:val="24"/>
                          </w:rPr>
                        </w:pPr>
                        <w:r>
                          <w:rPr>
                            <w:b/>
                            <w:spacing w:val="-5"/>
                            <w:sz w:val="24"/>
                          </w:rPr>
                          <w:t>175</w:t>
                        </w:r>
                      </w:p>
                    </w:txbxContent>
                  </v:textbox>
                  <w10:wrap type="none"/>
                </v:shape>
                <v:shape style="position:absolute;left:2579;top:1248;width:4613;height:309" type="#_x0000_t202" id="docshape224"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10:wrap type="topAndBottom"/>
              </v:group>
            </w:pict>
          </mc:Fallback>
        </mc:AlternateContent>
      </w:r>
    </w:p>
    <w:p>
      <w:pPr>
        <w:pStyle w:val="BodyText"/>
        <w:spacing w:before="3"/>
        <w:rPr>
          <w:rFonts w:ascii="Times New Roman"/>
          <w:sz w:val="16"/>
        </w:rPr>
      </w:pPr>
    </w:p>
    <w:p>
      <w:pPr>
        <w:pStyle w:val="BodyText"/>
        <w:spacing w:after="0"/>
        <w:rPr>
          <w:rFonts w:ascii="Times New Roman"/>
          <w:sz w:val="16"/>
        </w:rPr>
        <w:sectPr>
          <w:footerReference w:type="default" r:id="rId111"/>
          <w:pgSz w:w="12240" w:h="15840"/>
          <w:pgMar w:header="0" w:footer="0" w:top="1660" w:bottom="280" w:left="1440" w:right="360"/>
        </w:sectPr>
      </w:pPr>
    </w:p>
    <w:p>
      <w:pPr>
        <w:spacing w:line="240" w:lineRule="auto"/>
        <w:ind w:left="406" w:right="0" w:firstLine="0"/>
        <w:rPr>
          <w:rFonts w:ascii="Times New Roman"/>
          <w:sz w:val="20"/>
        </w:rPr>
      </w:pPr>
      <w:r>
        <w:rPr>
          <w:rFonts w:ascii="Times New Roman"/>
          <w:sz w:val="20"/>
        </w:rPr>
        <mc:AlternateContent>
          <mc:Choice Requires="wps">
            <w:drawing>
              <wp:inline distT="0" distB="0" distL="0" distR="0">
                <wp:extent cx="5588635" cy="597535"/>
                <wp:effectExtent l="0" t="0" r="0" b="2540"/>
                <wp:docPr id="306" name="Group 306"/>
                <wp:cNvGraphicFramePr>
                  <a:graphicFrameLocks/>
                </wp:cNvGraphicFramePr>
                <a:graphic>
                  <a:graphicData uri="http://schemas.microsoft.com/office/word/2010/wordprocessingGroup">
                    <wpg:wgp>
                      <wpg:cNvPr id="306" name="Group 306"/>
                      <wpg:cNvGrpSpPr/>
                      <wpg:grpSpPr>
                        <a:xfrm>
                          <a:off x="0" y="0"/>
                          <a:ext cx="5588635" cy="597535"/>
                          <a:chExt cx="5588635" cy="597535"/>
                        </a:xfrm>
                      </wpg:grpSpPr>
                      <pic:pic>
                        <pic:nvPicPr>
                          <pic:cNvPr id="307" name="Image 307"/>
                          <pic:cNvPicPr/>
                        </pic:nvPicPr>
                        <pic:blipFill>
                          <a:blip r:embed="rId126" cstate="print"/>
                          <a:stretch>
                            <a:fillRect/>
                          </a:stretch>
                        </pic:blipFill>
                        <pic:spPr>
                          <a:xfrm>
                            <a:off x="0" y="291868"/>
                            <a:ext cx="634978" cy="305169"/>
                          </a:xfrm>
                          <a:prstGeom prst="rect">
                            <a:avLst/>
                          </a:prstGeom>
                        </pic:spPr>
                      </pic:pic>
                      <wps:wsp>
                        <wps:cNvPr id="308" name="Graphic 308"/>
                        <wps:cNvSpPr/>
                        <wps:spPr>
                          <a:xfrm>
                            <a:off x="634979" y="569572"/>
                            <a:ext cx="4946015" cy="1270"/>
                          </a:xfrm>
                          <a:custGeom>
                            <a:avLst/>
                            <a:gdLst/>
                            <a:ahLst/>
                            <a:cxnLst/>
                            <a:rect l="l" t="t" r="r" b="b"/>
                            <a:pathLst>
                              <a:path w="4946015" h="0">
                                <a:moveTo>
                                  <a:pt x="0" y="0"/>
                                </a:moveTo>
                                <a:lnTo>
                                  <a:pt x="4945507" y="0"/>
                                </a:lnTo>
                              </a:path>
                            </a:pathLst>
                          </a:custGeom>
                          <a:ln w="12206">
                            <a:solidFill>
                              <a:srgbClr val="000000"/>
                            </a:solidFill>
                            <a:prstDash val="solid"/>
                          </a:ln>
                        </wps:spPr>
                        <wps:bodyPr wrap="square" lIns="0" tIns="0" rIns="0" bIns="0" rtlCol="0">
                          <a:prstTxWarp prst="textNoShape">
                            <a:avLst/>
                          </a:prstTxWarp>
                          <a:noAutofit/>
                        </wps:bodyPr>
                      </wps:wsp>
                      <wps:wsp>
                        <wps:cNvPr id="309" name="Textbox 309"/>
                        <wps:cNvSpPr txBox="1"/>
                        <wps:spPr>
                          <a:xfrm>
                            <a:off x="62270" y="0"/>
                            <a:ext cx="834390" cy="410209"/>
                          </a:xfrm>
                          <a:prstGeom prst="rect">
                            <a:avLst/>
                          </a:prstGeom>
                        </wps:spPr>
                        <wps:txbx>
                          <w:txbxContent>
                            <w:p>
                              <w:pPr>
                                <w:spacing w:line="645" w:lineRule="exact" w:before="0"/>
                                <w:ind w:left="0" w:right="0" w:firstLine="0"/>
                                <w:jc w:val="left"/>
                                <w:rPr>
                                  <w:position w:val="-11"/>
                                  <w:sz w:val="49"/>
                                </w:rPr>
                              </w:pPr>
                              <w:r>
                                <w:rPr>
                                  <w:b/>
                                  <w:color w:val="546BA5"/>
                                  <w:w w:val="108"/>
                                  <w:sz w:val="47"/>
                                </w:rPr>
                                <w:t>CG</w:t>
                              </w:r>
                              <w:r>
                                <w:rPr>
                                  <w:b/>
                                  <w:color w:val="546BA5"/>
                                  <w:spacing w:val="-166"/>
                                  <w:w w:val="108"/>
                                  <w:sz w:val="47"/>
                                </w:rPr>
                                <w:t>R</w:t>
                              </w:r>
                              <w:r>
                                <w:rPr>
                                  <w:color w:val="546BA5"/>
                                  <w:w w:val="81"/>
                                  <w:position w:val="-11"/>
                                  <w:sz w:val="49"/>
                                  <w:u w:val="thick" w:color="546BA5"/>
                                </w:rPr>
                                <w:t>..</w:t>
                              </w:r>
                              <w:r>
                                <w:rPr>
                                  <w:color w:val="546BA5"/>
                                  <w:w w:val="81"/>
                                  <w:position w:val="-11"/>
                                  <w:sz w:val="49"/>
                                  <w:u w:val="none"/>
                                </w:rPr>
                                <w:t>,</w:t>
                              </w:r>
                            </w:p>
                          </w:txbxContent>
                        </wps:txbx>
                        <wps:bodyPr wrap="square" lIns="0" tIns="0" rIns="0" bIns="0" rtlCol="0">
                          <a:noAutofit/>
                        </wps:bodyPr>
                      </wps:wsp>
                      <wps:wsp>
                        <wps:cNvPr id="310" name="Textbox 310"/>
                        <wps:cNvSpPr txBox="1"/>
                        <wps:spPr>
                          <a:xfrm>
                            <a:off x="4882415" y="218232"/>
                            <a:ext cx="706120" cy="140970"/>
                          </a:xfrm>
                          <a:prstGeom prst="rect">
                            <a:avLst/>
                          </a:prstGeom>
                        </wps:spPr>
                        <wps:txbx>
                          <w:txbxContent>
                            <w:p>
                              <w:pPr>
                                <w:spacing w:line="222" w:lineRule="exact" w:before="0"/>
                                <w:ind w:left="0" w:right="0" w:firstLine="0"/>
                                <w:jc w:val="left"/>
                                <w:rPr>
                                  <w:sz w:val="18"/>
                                </w:rPr>
                              </w:pPr>
                              <w:r>
                                <w:rPr>
                                  <w:rFonts w:ascii="Times New Roman" w:hAnsi="Times New Roman"/>
                                  <w:i/>
                                  <w:color w:val="7E7789"/>
                                  <w:spacing w:val="-4"/>
                                  <w:sz w:val="20"/>
                                </w:rPr>
                                <w:t>y</w:t>
                              </w:r>
                              <w:r>
                                <w:rPr>
                                  <w:rFonts w:ascii="Times New Roman" w:hAnsi="Times New Roman"/>
                                  <w:i/>
                                  <w:color w:val="7E7789"/>
                                  <w:spacing w:val="-9"/>
                                  <w:sz w:val="20"/>
                                </w:rPr>
                                <w:t> </w:t>
                              </w:r>
                              <w:r>
                                <w:rPr>
                                  <w:color w:val="283154"/>
                                  <w:spacing w:val="-4"/>
                                  <w:sz w:val="18"/>
                                </w:rPr>
                                <w:t>B.</w:t>
                              </w:r>
                              <w:r>
                                <w:rPr>
                                  <w:color w:val="7E7789"/>
                                  <w:spacing w:val="-4"/>
                                  <w:sz w:val="18"/>
                                </w:rPr>
                                <w:t>,.r</w:t>
                              </w:r>
                              <w:r>
                                <w:rPr>
                                  <w:color w:val="463F56"/>
                                  <w:spacing w:val="-4"/>
                                  <w:sz w:val="18"/>
                                </w:rPr>
                                <w:t>a</w:t>
                              </w:r>
                              <w:r>
                                <w:rPr>
                                  <w:color w:val="463F56"/>
                                  <w:spacing w:val="42"/>
                                  <w:sz w:val="18"/>
                                </w:rPr>
                                <w:t> </w:t>
                              </w:r>
                              <w:r>
                                <w:rPr>
                                  <w:color w:val="283154"/>
                                  <w:spacing w:val="-4"/>
                                  <w:sz w:val="18"/>
                                </w:rPr>
                                <w:t>cr</w:t>
                              </w:r>
                              <w:r>
                                <w:rPr>
                                  <w:color w:val="546BA5"/>
                                  <w:spacing w:val="-4"/>
                                  <w:sz w:val="18"/>
                                </w:rPr>
                                <w:t>·</w:t>
                              </w:r>
                              <w:r>
                                <w:rPr>
                                  <w:color w:val="7E7789"/>
                                  <w:spacing w:val="-4"/>
                                  <w:sz w:val="18"/>
                                </w:rPr>
                                <w:t>..-</w:t>
                              </w:r>
                              <w:r>
                                <w:rPr>
                                  <w:color w:val="283154"/>
                                  <w:spacing w:val="-10"/>
                                  <w:sz w:val="18"/>
                                </w:rPr>
                                <w:t>a</w:t>
                              </w:r>
                            </w:p>
                          </w:txbxContent>
                        </wps:txbx>
                        <wps:bodyPr wrap="square" lIns="0" tIns="0" rIns="0" bIns="0" rtlCol="0">
                          <a:noAutofit/>
                        </wps:bodyPr>
                      </wps:wsp>
                    </wpg:wgp>
                  </a:graphicData>
                </a:graphic>
              </wp:inline>
            </w:drawing>
          </mc:Choice>
          <mc:Fallback>
            <w:pict>
              <v:group style="width:440.05pt;height:47.05pt;mso-position-horizontal-relative:char;mso-position-vertical-relative:line" id="docshapegroup225" coordorigin="0,0" coordsize="8801,941">
                <v:shape style="position:absolute;left:0;top:459;width:1000;height:481" type="#_x0000_t75" id="docshape226" stroked="false">
                  <v:imagedata r:id="rId126" o:title=""/>
                </v:shape>
                <v:line style="position:absolute" from="1000,897" to="8788,897" stroked="true" strokeweight=".961164pt" strokecolor="#000000">
                  <v:stroke dashstyle="solid"/>
                </v:line>
                <v:shape style="position:absolute;left:98;top:0;width:1314;height:646" type="#_x0000_t202" id="docshape227" filled="false" stroked="false">
                  <v:textbox inset="0,0,0,0">
                    <w:txbxContent>
                      <w:p>
                        <w:pPr>
                          <w:spacing w:line="645" w:lineRule="exact" w:before="0"/>
                          <w:ind w:left="0" w:right="0" w:firstLine="0"/>
                          <w:jc w:val="left"/>
                          <w:rPr>
                            <w:position w:val="-11"/>
                            <w:sz w:val="49"/>
                          </w:rPr>
                        </w:pPr>
                        <w:r>
                          <w:rPr>
                            <w:b/>
                            <w:color w:val="546BA5"/>
                            <w:w w:val="108"/>
                            <w:sz w:val="47"/>
                          </w:rPr>
                          <w:t>CG</w:t>
                        </w:r>
                        <w:r>
                          <w:rPr>
                            <w:b/>
                            <w:color w:val="546BA5"/>
                            <w:spacing w:val="-166"/>
                            <w:w w:val="108"/>
                            <w:sz w:val="47"/>
                          </w:rPr>
                          <w:t>R</w:t>
                        </w:r>
                        <w:r>
                          <w:rPr>
                            <w:color w:val="546BA5"/>
                            <w:w w:val="81"/>
                            <w:position w:val="-11"/>
                            <w:sz w:val="49"/>
                            <w:u w:val="thick" w:color="546BA5"/>
                          </w:rPr>
                          <w:t>..</w:t>
                        </w:r>
                        <w:r>
                          <w:rPr>
                            <w:color w:val="546BA5"/>
                            <w:w w:val="81"/>
                            <w:position w:val="-11"/>
                            <w:sz w:val="49"/>
                            <w:u w:val="none"/>
                          </w:rPr>
                          <w:t>,</w:t>
                        </w:r>
                      </w:p>
                    </w:txbxContent>
                  </v:textbox>
                  <w10:wrap type="none"/>
                </v:shape>
                <v:shape style="position:absolute;left:7688;top:343;width:1112;height:222" type="#_x0000_t202" id="docshape228" filled="false" stroked="false">
                  <v:textbox inset="0,0,0,0">
                    <w:txbxContent>
                      <w:p>
                        <w:pPr>
                          <w:spacing w:line="222" w:lineRule="exact" w:before="0"/>
                          <w:ind w:left="0" w:right="0" w:firstLine="0"/>
                          <w:jc w:val="left"/>
                          <w:rPr>
                            <w:sz w:val="18"/>
                          </w:rPr>
                        </w:pPr>
                        <w:r>
                          <w:rPr>
                            <w:rFonts w:ascii="Times New Roman" w:hAnsi="Times New Roman"/>
                            <w:i/>
                            <w:color w:val="7E7789"/>
                            <w:spacing w:val="-4"/>
                            <w:sz w:val="20"/>
                          </w:rPr>
                          <w:t>y</w:t>
                        </w:r>
                        <w:r>
                          <w:rPr>
                            <w:rFonts w:ascii="Times New Roman" w:hAnsi="Times New Roman"/>
                            <w:i/>
                            <w:color w:val="7E7789"/>
                            <w:spacing w:val="-9"/>
                            <w:sz w:val="20"/>
                          </w:rPr>
                          <w:t> </w:t>
                        </w:r>
                        <w:r>
                          <w:rPr>
                            <w:color w:val="283154"/>
                            <w:spacing w:val="-4"/>
                            <w:sz w:val="18"/>
                          </w:rPr>
                          <w:t>B.</w:t>
                        </w:r>
                        <w:r>
                          <w:rPr>
                            <w:color w:val="7E7789"/>
                            <w:spacing w:val="-4"/>
                            <w:sz w:val="18"/>
                          </w:rPr>
                          <w:t>,.r</w:t>
                        </w:r>
                        <w:r>
                          <w:rPr>
                            <w:color w:val="463F56"/>
                            <w:spacing w:val="-4"/>
                            <w:sz w:val="18"/>
                          </w:rPr>
                          <w:t>a</w:t>
                        </w:r>
                        <w:r>
                          <w:rPr>
                            <w:color w:val="463F56"/>
                            <w:spacing w:val="42"/>
                            <w:sz w:val="18"/>
                          </w:rPr>
                          <w:t> </w:t>
                        </w:r>
                        <w:r>
                          <w:rPr>
                            <w:color w:val="283154"/>
                            <w:spacing w:val="-4"/>
                            <w:sz w:val="18"/>
                          </w:rPr>
                          <w:t>cr</w:t>
                        </w:r>
                        <w:r>
                          <w:rPr>
                            <w:color w:val="546BA5"/>
                            <w:spacing w:val="-4"/>
                            <w:sz w:val="18"/>
                          </w:rPr>
                          <w:t>·</w:t>
                        </w:r>
                        <w:r>
                          <w:rPr>
                            <w:color w:val="7E7789"/>
                            <w:spacing w:val="-4"/>
                            <w:sz w:val="18"/>
                          </w:rPr>
                          <w:t>..-</w:t>
                        </w:r>
                        <w:r>
                          <w:rPr>
                            <w:color w:val="283154"/>
                            <w:spacing w:val="-10"/>
                            <w:sz w:val="18"/>
                          </w:rPr>
                          <w:t>a</w:t>
                        </w:r>
                      </w:p>
                    </w:txbxContent>
                  </v:textbox>
                  <w10:wrap type="none"/>
                </v:shape>
              </v:group>
            </w:pict>
          </mc:Fallback>
        </mc:AlternateContent>
      </w:r>
      <w:r>
        <w:rPr>
          <w:rFonts w:ascii="Times New Roman"/>
          <w:sz w:val="20"/>
        </w:rPr>
      </w:r>
    </w:p>
    <w:p>
      <w:pPr>
        <w:pStyle w:val="BodyText"/>
        <w:spacing w:before="117"/>
        <w:rPr>
          <w:rFonts w:ascii="Times New Roman"/>
          <w:sz w:val="20"/>
        </w:rPr>
      </w:pPr>
      <w:r>
        <w:rPr>
          <w:rFonts w:ascii="Times New Roman"/>
          <w:sz w:val="20"/>
        </w:rPr>
        <mc:AlternateContent>
          <mc:Choice Requires="wps">
            <w:drawing>
              <wp:anchor distT="0" distB="0" distL="0" distR="0" allowOverlap="1" layoutInCell="1" locked="0" behindDoc="1" simplePos="0" relativeHeight="487630848">
                <wp:simplePos x="0" y="0"/>
                <wp:positionH relativeFrom="page">
                  <wp:posOffset>1367646</wp:posOffset>
                </wp:positionH>
                <wp:positionV relativeFrom="paragraph">
                  <wp:posOffset>246675</wp:posOffset>
                </wp:positionV>
                <wp:extent cx="5006975" cy="2014220"/>
                <wp:effectExtent l="0" t="0" r="0" b="0"/>
                <wp:wrapTopAndBottom/>
                <wp:docPr id="311" name="Group 311"/>
                <wp:cNvGraphicFramePr>
                  <a:graphicFrameLocks/>
                </wp:cNvGraphicFramePr>
                <a:graphic>
                  <a:graphicData uri="http://schemas.microsoft.com/office/word/2010/wordprocessingGroup">
                    <wpg:wgp>
                      <wpg:cNvPr id="311" name="Group 311"/>
                      <wpg:cNvGrpSpPr/>
                      <wpg:grpSpPr>
                        <a:xfrm>
                          <a:off x="0" y="0"/>
                          <a:ext cx="5006975" cy="2014220"/>
                          <a:chExt cx="5006975" cy="2014220"/>
                        </a:xfrm>
                      </wpg:grpSpPr>
                      <pic:pic>
                        <pic:nvPicPr>
                          <pic:cNvPr id="312" name="Image 312"/>
                          <pic:cNvPicPr/>
                        </pic:nvPicPr>
                        <pic:blipFill>
                          <a:blip r:embed="rId127" cstate="print"/>
                          <a:stretch>
                            <a:fillRect/>
                          </a:stretch>
                        </pic:blipFill>
                        <pic:spPr>
                          <a:xfrm>
                            <a:off x="6105" y="552357"/>
                            <a:ext cx="3156575" cy="448599"/>
                          </a:xfrm>
                          <a:prstGeom prst="rect">
                            <a:avLst/>
                          </a:prstGeom>
                        </pic:spPr>
                      </pic:pic>
                      <pic:pic>
                        <pic:nvPicPr>
                          <pic:cNvPr id="313" name="Image 313"/>
                          <pic:cNvPicPr/>
                        </pic:nvPicPr>
                        <pic:blipFill>
                          <a:blip r:embed="rId128" cstate="print"/>
                          <a:stretch>
                            <a:fillRect/>
                          </a:stretch>
                        </pic:blipFill>
                        <pic:spPr>
                          <a:xfrm>
                            <a:off x="427389" y="1098611"/>
                            <a:ext cx="2735291" cy="585925"/>
                          </a:xfrm>
                          <a:prstGeom prst="rect">
                            <a:avLst/>
                          </a:prstGeom>
                        </pic:spPr>
                      </pic:pic>
                      <wps:wsp>
                        <wps:cNvPr id="314" name="Graphic 314"/>
                        <wps:cNvSpPr/>
                        <wps:spPr>
                          <a:xfrm>
                            <a:off x="15263" y="0"/>
                            <a:ext cx="1270" cy="549910"/>
                          </a:xfrm>
                          <a:custGeom>
                            <a:avLst/>
                            <a:gdLst/>
                            <a:ahLst/>
                            <a:cxnLst/>
                            <a:rect l="l" t="t" r="r" b="b"/>
                            <a:pathLst>
                              <a:path w="0" h="549910">
                                <a:moveTo>
                                  <a:pt x="0" y="549304"/>
                                </a:moveTo>
                                <a:lnTo>
                                  <a:pt x="0" y="0"/>
                                </a:lnTo>
                              </a:path>
                            </a:pathLst>
                          </a:custGeom>
                          <a:ln w="21369">
                            <a:solidFill>
                              <a:srgbClr val="000000"/>
                            </a:solidFill>
                            <a:prstDash val="solid"/>
                          </a:ln>
                        </wps:spPr>
                        <wps:bodyPr wrap="square" lIns="0" tIns="0" rIns="0" bIns="0" rtlCol="0">
                          <a:prstTxWarp prst="textNoShape">
                            <a:avLst/>
                          </a:prstTxWarp>
                          <a:noAutofit/>
                        </wps:bodyPr>
                      </wps:wsp>
                      <wps:wsp>
                        <wps:cNvPr id="315" name="Graphic 315"/>
                        <wps:cNvSpPr/>
                        <wps:spPr>
                          <a:xfrm>
                            <a:off x="0" y="0"/>
                            <a:ext cx="5006975" cy="2014220"/>
                          </a:xfrm>
                          <a:custGeom>
                            <a:avLst/>
                            <a:gdLst/>
                            <a:ahLst/>
                            <a:cxnLst/>
                            <a:rect l="l" t="t" r="r" b="b"/>
                            <a:pathLst>
                              <a:path w="5006975" h="2014220">
                                <a:moveTo>
                                  <a:pt x="2991726" y="1098609"/>
                                </a:moveTo>
                                <a:lnTo>
                                  <a:pt x="2991726" y="0"/>
                                </a:lnTo>
                              </a:path>
                              <a:path w="5006975" h="2014220">
                                <a:moveTo>
                                  <a:pt x="3577860" y="2014118"/>
                                </a:moveTo>
                                <a:lnTo>
                                  <a:pt x="3577860" y="0"/>
                                </a:lnTo>
                              </a:path>
                              <a:path w="5006975" h="2014220">
                                <a:moveTo>
                                  <a:pt x="3944194" y="2014118"/>
                                </a:moveTo>
                                <a:lnTo>
                                  <a:pt x="3944194" y="0"/>
                                </a:lnTo>
                              </a:path>
                              <a:path w="5006975" h="2014220">
                                <a:moveTo>
                                  <a:pt x="4994352" y="2014118"/>
                                </a:moveTo>
                                <a:lnTo>
                                  <a:pt x="4994352" y="0"/>
                                </a:lnTo>
                              </a:path>
                              <a:path w="5006975" h="2014220">
                                <a:moveTo>
                                  <a:pt x="0" y="9155"/>
                                </a:moveTo>
                                <a:lnTo>
                                  <a:pt x="1050157" y="9155"/>
                                </a:lnTo>
                              </a:path>
                              <a:path w="5006975" h="2014220">
                                <a:moveTo>
                                  <a:pt x="2173581" y="573718"/>
                                </a:moveTo>
                                <a:lnTo>
                                  <a:pt x="5006563" y="573718"/>
                                </a:lnTo>
                              </a:path>
                              <a:path w="5006975" h="2014220">
                                <a:moveTo>
                                  <a:pt x="2173581" y="900249"/>
                                </a:moveTo>
                                <a:lnTo>
                                  <a:pt x="5006563" y="900249"/>
                                </a:lnTo>
                              </a:path>
                              <a:path w="5006975" h="2014220">
                                <a:moveTo>
                                  <a:pt x="0" y="1113868"/>
                                </a:moveTo>
                                <a:lnTo>
                                  <a:pt x="427389" y="1113868"/>
                                </a:lnTo>
                              </a:path>
                              <a:path w="5006975" h="2014220">
                                <a:moveTo>
                                  <a:pt x="0" y="1440399"/>
                                </a:moveTo>
                                <a:lnTo>
                                  <a:pt x="427389" y="1440399"/>
                                </a:lnTo>
                              </a:path>
                              <a:path w="5006975" h="2014220">
                                <a:moveTo>
                                  <a:pt x="0" y="1672328"/>
                                </a:moveTo>
                                <a:lnTo>
                                  <a:pt x="427389" y="1672328"/>
                                </a:lnTo>
                              </a:path>
                              <a:path w="5006975" h="2014220">
                                <a:moveTo>
                                  <a:pt x="0" y="1995807"/>
                                </a:moveTo>
                                <a:lnTo>
                                  <a:pt x="5006563" y="1995807"/>
                                </a:lnTo>
                              </a:path>
                            </a:pathLst>
                          </a:custGeom>
                          <a:ln w="12208">
                            <a:solidFill>
                              <a:srgbClr val="000000"/>
                            </a:solidFill>
                            <a:prstDash val="solid"/>
                          </a:ln>
                        </wps:spPr>
                        <wps:bodyPr wrap="square" lIns="0" tIns="0" rIns="0" bIns="0" rtlCol="0">
                          <a:prstTxWarp prst="textNoShape">
                            <a:avLst/>
                          </a:prstTxWarp>
                          <a:noAutofit/>
                        </wps:bodyPr>
                      </wps:wsp>
                      <wps:wsp>
                        <wps:cNvPr id="316" name="Graphic 316"/>
                        <wps:cNvSpPr/>
                        <wps:spPr>
                          <a:xfrm>
                            <a:off x="2382098" y="187232"/>
                            <a:ext cx="27940" cy="188595"/>
                          </a:xfrm>
                          <a:custGeom>
                            <a:avLst/>
                            <a:gdLst/>
                            <a:ahLst/>
                            <a:cxnLst/>
                            <a:rect l="l" t="t" r="r" b="b"/>
                            <a:pathLst>
                              <a:path w="27940" h="188595">
                                <a:moveTo>
                                  <a:pt x="27475" y="188290"/>
                                </a:moveTo>
                                <a:lnTo>
                                  <a:pt x="0" y="188290"/>
                                </a:lnTo>
                                <a:lnTo>
                                  <a:pt x="0" y="0"/>
                                </a:lnTo>
                                <a:lnTo>
                                  <a:pt x="27475" y="0"/>
                                </a:lnTo>
                                <a:lnTo>
                                  <a:pt x="27475" y="188290"/>
                                </a:lnTo>
                                <a:close/>
                              </a:path>
                            </a:pathLst>
                          </a:custGeom>
                          <a:solidFill>
                            <a:srgbClr val="F0F2EB"/>
                          </a:solidFill>
                        </wps:spPr>
                        <wps:bodyPr wrap="square" lIns="0" tIns="0" rIns="0" bIns="0" rtlCol="0">
                          <a:prstTxWarp prst="textNoShape">
                            <a:avLst/>
                          </a:prstTxWarp>
                          <a:noAutofit/>
                        </wps:bodyPr>
                      </wps:wsp>
                      <wps:wsp>
                        <wps:cNvPr id="317" name="Graphic 317"/>
                        <wps:cNvSpPr/>
                        <wps:spPr>
                          <a:xfrm>
                            <a:off x="1828564" y="1777655"/>
                            <a:ext cx="40005" cy="130175"/>
                          </a:xfrm>
                          <a:custGeom>
                            <a:avLst/>
                            <a:gdLst/>
                            <a:ahLst/>
                            <a:cxnLst/>
                            <a:rect l="l" t="t" r="r" b="b"/>
                            <a:pathLst>
                              <a:path w="40005" h="130175">
                                <a:moveTo>
                                  <a:pt x="39686" y="130103"/>
                                </a:moveTo>
                                <a:lnTo>
                                  <a:pt x="0" y="130103"/>
                                </a:lnTo>
                                <a:lnTo>
                                  <a:pt x="0" y="0"/>
                                </a:lnTo>
                                <a:lnTo>
                                  <a:pt x="39686" y="0"/>
                                </a:lnTo>
                                <a:lnTo>
                                  <a:pt x="39686" y="130103"/>
                                </a:lnTo>
                                <a:close/>
                              </a:path>
                            </a:pathLst>
                          </a:custGeom>
                          <a:solidFill>
                            <a:srgbClr val="DDE4DB"/>
                          </a:solidFill>
                        </wps:spPr>
                        <wps:bodyPr wrap="square" lIns="0" tIns="0" rIns="0" bIns="0" rtlCol="0">
                          <a:prstTxWarp prst="textNoShape">
                            <a:avLst/>
                          </a:prstTxWarp>
                          <a:noAutofit/>
                        </wps:bodyPr>
                      </wps:wsp>
                      <wps:wsp>
                        <wps:cNvPr id="318" name="Textbox 318"/>
                        <wps:cNvSpPr txBox="1"/>
                        <wps:spPr>
                          <a:xfrm>
                            <a:off x="401134" y="1342"/>
                            <a:ext cx="622300" cy="120014"/>
                          </a:xfrm>
                          <a:prstGeom prst="rect">
                            <a:avLst/>
                          </a:prstGeom>
                        </wps:spPr>
                        <wps:txbx>
                          <w:txbxContent>
                            <w:p>
                              <w:pPr>
                                <w:tabs>
                                  <w:tab w:pos="541" w:val="left" w:leader="none"/>
                                  <w:tab w:pos="915" w:val="left" w:leader="none"/>
                                </w:tabs>
                                <w:spacing w:line="188" w:lineRule="exact" w:before="0"/>
                                <w:ind w:left="0" w:right="0" w:firstLine="0"/>
                                <w:jc w:val="left"/>
                                <w:rPr>
                                  <w:sz w:val="15"/>
                                  <w:szCs w:val="15"/>
                                </w:rPr>
                              </w:pPr>
                              <w:r>
                                <w:rPr>
                                  <w:color w:val="C18983"/>
                                  <w:spacing w:val="-2"/>
                                  <w:w w:val="70"/>
                                  <w:sz w:val="16"/>
                                  <w:szCs w:val="16"/>
                                </w:rPr>
                                <w:t>1</w:t>
                              </w:r>
                              <w:r>
                                <w:rPr>
                                  <w:rFonts w:ascii="Times New Roman" w:hAnsi="Times New Roman" w:cs="Times New Roman" w:eastAsia="Times New Roman"/>
                                  <w:i/>
                                  <w:iCs/>
                                  <w:color w:val="9CA0A5"/>
                                  <w:spacing w:val="-2"/>
                                  <w:w w:val="70"/>
                                  <w:sz w:val="17"/>
                                  <w:szCs w:val="17"/>
                                </w:rPr>
                                <w:t>.:7</w:t>
                              </w:r>
                              <w:r>
                                <w:rPr>
                                  <w:rFonts w:ascii="Times New Roman" w:hAnsi="Times New Roman" w:cs="Times New Roman" w:eastAsia="Times New Roman"/>
                                  <w:color w:val="9CA0A5"/>
                                  <w:spacing w:val="-2"/>
                                  <w:w w:val="70"/>
                                  <w:sz w:val="17"/>
                                  <w:szCs w:val="17"/>
                                </w:rPr>
                                <w:t>_</w:t>
                              </w:r>
                              <w:r>
                                <w:rPr>
                                  <w:rFonts w:ascii="Times New Roman" w:hAnsi="Times New Roman" w:cs="Times New Roman" w:eastAsia="Times New Roman"/>
                                  <w:color w:val="9CA0A5"/>
                                  <w:sz w:val="17"/>
                                  <w:szCs w:val="17"/>
                                </w:rPr>
                                <w:tab/>
                              </w:r>
                              <w:r>
                                <w:rPr>
                                  <w:rFonts w:ascii="Times New Roman" w:hAnsi="Times New Roman" w:cs="Times New Roman" w:eastAsia="Times New Roman"/>
                                  <w:color w:val="A18289"/>
                                  <w:spacing w:val="-10"/>
                                  <w:w w:val="70"/>
                                  <w:sz w:val="17"/>
                                  <w:szCs w:val="17"/>
                                </w:rPr>
                                <w:t>�</w:t>
                              </w:r>
                              <w:r>
                                <w:rPr>
                                  <w:rFonts w:ascii="Times New Roman" w:hAnsi="Times New Roman" w:cs="Times New Roman" w:eastAsia="Times New Roman"/>
                                  <w:color w:val="A18289"/>
                                  <w:sz w:val="17"/>
                                  <w:szCs w:val="17"/>
                                </w:rPr>
                                <w:tab/>
                              </w:r>
                              <w:r>
                                <w:rPr>
                                  <w:color w:val="7E7789"/>
                                  <w:spacing w:val="-10"/>
                                  <w:w w:val="70"/>
                                  <w:sz w:val="15"/>
                                  <w:szCs w:val="15"/>
                                </w:rPr>
                                <w:t>e</w:t>
                              </w:r>
                            </w:p>
                          </w:txbxContent>
                        </wps:txbx>
                        <wps:bodyPr wrap="square" lIns="0" tIns="0" rIns="0" bIns="0" rtlCol="0">
                          <a:noAutofit/>
                        </wps:bodyPr>
                      </wps:wsp>
                      <wps:wsp>
                        <wps:cNvPr id="319" name="Textbox 319"/>
                        <wps:cNvSpPr txBox="1"/>
                        <wps:spPr>
                          <a:xfrm>
                            <a:off x="1849889" y="1342"/>
                            <a:ext cx="1315085" cy="120014"/>
                          </a:xfrm>
                          <a:prstGeom prst="rect">
                            <a:avLst/>
                          </a:prstGeom>
                        </wps:spPr>
                        <wps:txbx>
                          <w:txbxContent>
                            <w:p>
                              <w:pPr>
                                <w:spacing w:line="188" w:lineRule="exact" w:before="0"/>
                                <w:ind w:left="0" w:right="0" w:firstLine="0"/>
                                <w:jc w:val="left"/>
                                <w:rPr>
                                  <w:rFonts w:ascii="Times New Roman" w:hAnsi="Times New Roman" w:cs="Times New Roman" w:eastAsia="Times New Roman"/>
                                  <w:sz w:val="15"/>
                                  <w:szCs w:val="15"/>
                                </w:rPr>
                              </w:pPr>
                              <w:r>
                                <w:rPr>
                                  <w:color w:val="7E7789"/>
                                  <w:w w:val="90"/>
                                  <w:sz w:val="15"/>
                                  <w:szCs w:val="15"/>
                                </w:rPr>
                                <w:t>re</w:t>
                              </w:r>
                              <w:r>
                                <w:rPr>
                                  <w:color w:val="7E7789"/>
                                  <w:spacing w:val="59"/>
                                  <w:sz w:val="15"/>
                                  <w:szCs w:val="15"/>
                                </w:rPr>
                                <w:t>  </w:t>
                              </w:r>
                              <w:r>
                                <w:rPr>
                                  <w:rFonts w:ascii="Times New Roman" w:hAnsi="Times New Roman" w:cs="Times New Roman" w:eastAsia="Times New Roman"/>
                                  <w:color w:val="7E7789"/>
                                  <w:w w:val="90"/>
                                  <w:sz w:val="17"/>
                                  <w:szCs w:val="17"/>
                                </w:rPr>
                                <w:t>la</w:t>
                              </w:r>
                              <w:r>
                                <w:rPr>
                                  <w:rFonts w:ascii="Times New Roman" w:hAnsi="Times New Roman" w:cs="Times New Roman" w:eastAsia="Times New Roman"/>
                                  <w:color w:val="7E7789"/>
                                  <w:spacing w:val="20"/>
                                  <w:w w:val="165"/>
                                  <w:sz w:val="17"/>
                                  <w:szCs w:val="17"/>
                                </w:rPr>
                                <w:t>  </w:t>
                              </w:r>
                              <w:r>
                                <w:rPr>
                                  <w:rFonts w:ascii="Times New Roman" w:hAnsi="Times New Roman" w:cs="Times New Roman" w:eastAsia="Times New Roman"/>
                                  <w:color w:val="8C879C"/>
                                  <w:w w:val="165"/>
                                  <w:sz w:val="8"/>
                                  <w:szCs w:val="8"/>
                                </w:rPr>
                                <w:t>iiCJrraluDOC�</w:t>
                              </w:r>
                              <w:r>
                                <w:rPr>
                                  <w:rFonts w:ascii="Times New Roman" w:hAnsi="Times New Roman" w:cs="Times New Roman" w:eastAsia="Times New Roman"/>
                                  <w:color w:val="8C879C"/>
                                  <w:spacing w:val="59"/>
                                  <w:w w:val="165"/>
                                  <w:sz w:val="8"/>
                                  <w:szCs w:val="8"/>
                                </w:rPr>
                                <w:t> </w:t>
                              </w:r>
                              <w:r>
                                <w:rPr>
                                  <w:color w:val="7E7789"/>
                                  <w:w w:val="165"/>
                                  <w:sz w:val="14"/>
                                  <w:szCs w:val="14"/>
                                </w:rPr>
                                <w:t>de,</w:t>
                              </w:r>
                              <w:r>
                                <w:rPr>
                                  <w:color w:val="7E7789"/>
                                  <w:spacing w:val="-1"/>
                                  <w:w w:val="165"/>
                                  <w:sz w:val="14"/>
                                  <w:szCs w:val="14"/>
                                </w:rPr>
                                <w:t> </w:t>
                              </w:r>
                              <w:r>
                                <w:rPr>
                                  <w:rFonts w:ascii="Times New Roman" w:hAnsi="Times New Roman" w:cs="Times New Roman" w:eastAsia="Times New Roman"/>
                                  <w:color w:val="8C879C"/>
                                  <w:spacing w:val="-10"/>
                                  <w:w w:val="65"/>
                                  <w:sz w:val="15"/>
                                  <w:szCs w:val="15"/>
                                </w:rPr>
                                <w:t>:O:</w:t>
                              </w:r>
                            </w:p>
                          </w:txbxContent>
                        </wps:txbx>
                        <wps:bodyPr wrap="square" lIns="0" tIns="0" rIns="0" bIns="0" rtlCol="0">
                          <a:noAutofit/>
                        </wps:bodyPr>
                      </wps:wsp>
                      <wps:wsp>
                        <wps:cNvPr id="320" name="Textbox 320"/>
                        <wps:cNvSpPr txBox="1"/>
                        <wps:spPr>
                          <a:xfrm>
                            <a:off x="626087" y="117307"/>
                            <a:ext cx="544195" cy="365125"/>
                          </a:xfrm>
                          <a:prstGeom prst="rect">
                            <a:avLst/>
                          </a:prstGeom>
                        </wps:spPr>
                        <wps:txbx>
                          <w:txbxContent>
                            <w:p>
                              <w:pPr>
                                <w:spacing w:line="188" w:lineRule="exact" w:before="0"/>
                                <w:ind w:left="0" w:right="0" w:firstLine="0"/>
                                <w:jc w:val="left"/>
                                <w:rPr>
                                  <w:rFonts w:ascii="Times New Roman"/>
                                  <w:sz w:val="17"/>
                                </w:rPr>
                              </w:pPr>
                              <w:r>
                                <w:rPr>
                                  <w:rFonts w:ascii="Times New Roman"/>
                                  <w:color w:val="7E7789"/>
                                  <w:w w:val="80"/>
                                  <w:sz w:val="17"/>
                                </w:rPr>
                                <w:t>,01::Jje-</w:t>
                              </w:r>
                              <w:r>
                                <w:rPr>
                                  <w:rFonts w:ascii="Times New Roman"/>
                                  <w:color w:val="7E7789"/>
                                  <w:spacing w:val="-2"/>
                                  <w:w w:val="90"/>
                                  <w:sz w:val="17"/>
                                </w:rPr>
                                <w:t>tivos</w:t>
                              </w:r>
                            </w:p>
                            <w:p>
                              <w:pPr>
                                <w:spacing w:before="0"/>
                                <w:ind w:left="17" w:right="0" w:firstLine="0"/>
                                <w:jc w:val="left"/>
                                <w:rPr>
                                  <w:sz w:val="16"/>
                                </w:rPr>
                              </w:pPr>
                              <w:r>
                                <w:rPr>
                                  <w:color w:val="7E7789"/>
                                  <w:w w:val="105"/>
                                  <w:sz w:val="16"/>
                                </w:rPr>
                                <w:t>pcril,::</w:t>
                              </w:r>
                              <w:r>
                                <w:rPr>
                                  <w:color w:val="7E7789"/>
                                  <w:spacing w:val="-7"/>
                                  <w:w w:val="105"/>
                                  <w:sz w:val="16"/>
                                </w:rPr>
                                <w:t> </w:t>
                              </w:r>
                              <w:r>
                                <w:rPr>
                                  <w:color w:val="7E7789"/>
                                  <w:spacing w:val="-2"/>
                                  <w:w w:val="105"/>
                                  <w:sz w:val="16"/>
                                </w:rPr>
                                <w:t>pe;::</w:t>
                              </w:r>
                            </w:p>
                            <w:p>
                              <w:pPr>
                                <w:spacing w:before="18"/>
                                <w:ind w:left="17" w:right="0" w:firstLine="0"/>
                                <w:jc w:val="left"/>
                                <w:rPr>
                                  <w:sz w:val="16"/>
                                </w:rPr>
                              </w:pPr>
                              <w:r>
                                <w:rPr>
                                  <w:color w:val="7E7789"/>
                                  <w:spacing w:val="-2"/>
                                  <w:sz w:val="16"/>
                                </w:rPr>
                                <w:t>pri,,.ccbs'J</w:t>
                              </w:r>
                              <w:r>
                                <w:rPr>
                                  <w:color w:val="9CA0A5"/>
                                  <w:spacing w:val="-2"/>
                                  <w:sz w:val="16"/>
                                </w:rPr>
                                <w:t>-</w:t>
                              </w:r>
                            </w:p>
                          </w:txbxContent>
                        </wps:txbx>
                        <wps:bodyPr wrap="square" lIns="0" tIns="0" rIns="0" bIns="0" rtlCol="0">
                          <a:noAutofit/>
                        </wps:bodyPr>
                      </wps:wsp>
                      <wps:wsp>
                        <wps:cNvPr id="321" name="Textbox 321"/>
                        <wps:cNvSpPr txBox="1"/>
                        <wps:spPr>
                          <a:xfrm>
                            <a:off x="1733007" y="185333"/>
                            <a:ext cx="1153160" cy="183515"/>
                          </a:xfrm>
                          <a:prstGeom prst="rect">
                            <a:avLst/>
                          </a:prstGeom>
                        </wps:spPr>
                        <wps:txbx>
                          <w:txbxContent>
                            <w:p>
                              <w:pPr>
                                <w:spacing w:line="288" w:lineRule="exact" w:before="0"/>
                                <w:ind w:left="0" w:right="0" w:firstLine="0"/>
                                <w:jc w:val="left"/>
                                <w:rPr>
                                  <w:rFonts w:ascii="Times New Roman" w:hAnsi="Times New Roman" w:cs="Times New Roman" w:eastAsia="Times New Roman"/>
                                  <w:sz w:val="26"/>
                                  <w:szCs w:val="26"/>
                                </w:rPr>
                              </w:pPr>
                              <w:r>
                                <w:rPr>
                                  <w:color w:val="DFA762"/>
                                  <w:w w:val="115"/>
                                  <w:sz w:val="16"/>
                                  <w:szCs w:val="16"/>
                                </w:rPr>
                                <w:t>,</w:t>
                              </w:r>
                              <w:r>
                                <w:rPr>
                                  <w:color w:val="7E7789"/>
                                  <w:w w:val="115"/>
                                  <w:sz w:val="16"/>
                                  <w:szCs w:val="16"/>
                                </w:rPr>
                                <w:t>e;r.tidodm</w:t>
                              </w:r>
                              <w:r>
                                <w:rPr>
                                  <w:color w:val="7E7789"/>
                                  <w:spacing w:val="77"/>
                                  <w:w w:val="150"/>
                                  <w:sz w:val="16"/>
                                  <w:szCs w:val="16"/>
                                </w:rPr>
                                <w:t> </w:t>
                              </w:r>
                              <w:r>
                                <w:rPr>
                                  <w:rFonts w:ascii="Times New Roman" w:hAnsi="Times New Roman" w:cs="Times New Roman" w:eastAsia="Times New Roman"/>
                                  <w:color w:val="B8B5B3"/>
                                  <w:spacing w:val="-6"/>
                                  <w:sz w:val="22"/>
                                  <w:szCs w:val="22"/>
                                </w:rPr>
                                <w:t>e</w:t>
                              </w:r>
                              <w:r>
                                <w:rPr>
                                  <w:color w:val="7E7789"/>
                                  <w:spacing w:val="-6"/>
                                  <w:sz w:val="16"/>
                                  <w:szCs w:val="16"/>
                                </w:rPr>
                                <w:t>públcci�</w:t>
                              </w:r>
                              <w:r>
                                <w:rPr>
                                  <w:rFonts w:ascii="Times New Roman" w:hAnsi="Times New Roman" w:cs="Times New Roman" w:eastAsia="Times New Roman"/>
                                  <w:color w:val="8C879C"/>
                                  <w:spacing w:val="-6"/>
                                  <w:sz w:val="26"/>
                                  <w:szCs w:val="26"/>
                                </w:rPr>
                                <w:t>º</w:t>
                              </w:r>
                            </w:p>
                          </w:txbxContent>
                        </wps:txbx>
                        <wps:bodyPr wrap="square" lIns="0" tIns="0" rIns="0" bIns="0" rtlCol="0">
                          <a:noAutofit/>
                        </wps:bodyPr>
                      </wps:wsp>
                      <wps:wsp>
                        <wps:cNvPr id="322" name="Textbox 322"/>
                        <wps:cNvSpPr txBox="1"/>
                        <wps:spPr>
                          <a:xfrm>
                            <a:off x="1861546" y="117307"/>
                            <a:ext cx="1132840" cy="120014"/>
                          </a:xfrm>
                          <a:prstGeom prst="rect">
                            <a:avLst/>
                          </a:prstGeom>
                        </wps:spPr>
                        <wps:txbx>
                          <w:txbxContent>
                            <w:p>
                              <w:pPr>
                                <w:spacing w:line="188" w:lineRule="exact" w:before="0"/>
                                <w:ind w:left="0" w:right="0" w:firstLine="0"/>
                                <w:jc w:val="left"/>
                                <w:rPr>
                                  <w:rFonts w:ascii="Times New Roman" w:hAnsi="Times New Roman" w:cs="Times New Roman" w:eastAsia="Times New Roman"/>
                                  <w:sz w:val="17"/>
                                  <w:szCs w:val="17"/>
                                </w:rPr>
                              </w:pPr>
                              <w:r>
                                <w:rPr>
                                  <w:rFonts w:ascii="Times New Roman" w:hAnsi="Times New Roman" w:cs="Times New Roman" w:eastAsia="Times New Roman"/>
                                  <w:color w:val="7E7789"/>
                                  <w:sz w:val="17"/>
                                  <w:szCs w:val="17"/>
                                </w:rPr>
                                <w:t>n</w:t>
                              </w:r>
                              <w:r>
                                <w:rPr>
                                  <w:rFonts w:ascii="Times New Roman" w:hAnsi="Times New Roman" w:cs="Times New Roman" w:eastAsia="Times New Roman"/>
                                  <w:color w:val="7E7789"/>
                                  <w:spacing w:val="30"/>
                                  <w:w w:val="125"/>
                                  <w:sz w:val="17"/>
                                  <w:szCs w:val="17"/>
                                </w:rPr>
                                <w:t>  </w:t>
                              </w:r>
                              <w:r>
                                <w:rPr>
                                  <w:rFonts w:ascii="Times New Roman" w:hAnsi="Times New Roman" w:cs="Times New Roman" w:eastAsia="Times New Roman"/>
                                  <w:color w:val="7E7789"/>
                                  <w:w w:val="125"/>
                                  <w:sz w:val="17"/>
                                  <w:szCs w:val="17"/>
                                </w:rPr>
                                <w:t>pare</w:t>
                              </w:r>
                              <w:r>
                                <w:rPr>
                                  <w:rFonts w:ascii="Times New Roman" w:hAnsi="Times New Roman" w:cs="Times New Roman" w:eastAsia="Times New Roman"/>
                                  <w:color w:val="7E7789"/>
                                  <w:spacing w:val="59"/>
                                  <w:w w:val="125"/>
                                  <w:sz w:val="17"/>
                                  <w:szCs w:val="17"/>
                                </w:rPr>
                                <w:t> </w:t>
                              </w:r>
                              <w:r>
                                <w:rPr>
                                  <w:rFonts w:ascii="Times New Roman" w:hAnsi="Times New Roman" w:cs="Times New Roman" w:eastAsia="Times New Roman"/>
                                  <w:color w:val="7E7789"/>
                                  <w:sz w:val="17"/>
                                  <w:szCs w:val="17"/>
                                </w:rPr>
                                <w:t>�u</w:t>
                              </w:r>
                              <w:r>
                                <w:rPr>
                                  <w:rFonts w:ascii="Times New Roman" w:hAnsi="Times New Roman" w:cs="Times New Roman" w:eastAsia="Times New Roman"/>
                                  <w:color w:val="7E7789"/>
                                  <w:spacing w:val="79"/>
                                  <w:w w:val="125"/>
                                  <w:sz w:val="17"/>
                                  <w:szCs w:val="17"/>
                                </w:rPr>
                                <w:t> </w:t>
                              </w:r>
                              <w:r>
                                <w:rPr>
                                  <w:color w:val="7E7789"/>
                                  <w:w w:val="125"/>
                                  <w:sz w:val="16"/>
                                  <w:szCs w:val="16"/>
                                </w:rPr>
                                <w:t>logo</w:t>
                              </w:r>
                              <w:r>
                                <w:rPr>
                                  <w:color w:val="7E7789"/>
                                  <w:spacing w:val="65"/>
                                  <w:w w:val="125"/>
                                  <w:sz w:val="16"/>
                                  <w:szCs w:val="16"/>
                                </w:rPr>
                                <w:t> </w:t>
                              </w:r>
                              <w:r>
                                <w:rPr>
                                  <w:rFonts w:ascii="Times New Roman" w:hAnsi="Times New Roman" w:cs="Times New Roman" w:eastAsia="Times New Roman"/>
                                  <w:color w:val="7E7789"/>
                                  <w:spacing w:val="-5"/>
                                  <w:w w:val="125"/>
                                  <w:sz w:val="17"/>
                                  <w:szCs w:val="17"/>
                                </w:rPr>
                                <w:t>l</w:t>
                              </w:r>
                              <w:r>
                                <w:rPr>
                                  <w:rFonts w:ascii="Times New Roman" w:hAnsi="Times New Roman" w:cs="Times New Roman" w:eastAsia="Times New Roman"/>
                                  <w:color w:val="7E7789"/>
                                  <w:spacing w:val="-5"/>
                                  <w:w w:val="125"/>
                                  <w:sz w:val="17"/>
                                  <w:szCs w:val="17"/>
                                </w:rPr>
                                <w:t>a</w:t>
                              </w:r>
                            </w:p>
                          </w:txbxContent>
                        </wps:txbx>
                        <wps:bodyPr wrap="square" lIns="0" tIns="0" rIns="0" bIns="0" rtlCol="0">
                          <a:noAutofit/>
                        </wps:bodyPr>
                      </wps:wsp>
                      <wps:wsp>
                        <wps:cNvPr id="323" name="Textbox 323"/>
                        <wps:cNvSpPr txBox="1"/>
                        <wps:spPr>
                          <a:xfrm>
                            <a:off x="2180034" y="575060"/>
                            <a:ext cx="709930" cy="120014"/>
                          </a:xfrm>
                          <a:prstGeom prst="rect">
                            <a:avLst/>
                          </a:prstGeom>
                        </wps:spPr>
                        <wps:txbx>
                          <w:txbxContent>
                            <w:p>
                              <w:pPr>
                                <w:spacing w:line="188" w:lineRule="exact" w:before="0"/>
                                <w:ind w:left="0" w:right="0" w:firstLine="0"/>
                                <w:jc w:val="left"/>
                                <w:rPr>
                                  <w:rFonts w:ascii="Times New Roman"/>
                                  <w:sz w:val="17"/>
                                </w:rPr>
                              </w:pPr>
                              <w:r>
                                <w:rPr>
                                  <w:rFonts w:ascii="Times New Roman"/>
                                  <w:color w:val="66186B"/>
                                  <w:w w:val="105"/>
                                  <w:sz w:val="17"/>
                                </w:rPr>
                                <w:t>I</w:t>
                              </w:r>
                              <w:r>
                                <w:rPr>
                                  <w:rFonts w:ascii="Times New Roman"/>
                                  <w:color w:val="283154"/>
                                  <w:w w:val="105"/>
                                  <w:sz w:val="17"/>
                                </w:rPr>
                                <w:t>do</w:t>
                              </w:r>
                              <w:r>
                                <w:rPr>
                                  <w:rFonts w:ascii="Times New Roman"/>
                                  <w:color w:val="283154"/>
                                  <w:spacing w:val="64"/>
                                  <w:w w:val="105"/>
                                  <w:sz w:val="17"/>
                                </w:rPr>
                                <w:t> </w:t>
                              </w:r>
                              <w:r>
                                <w:rPr>
                                  <w:rFonts w:ascii="Times New Roman"/>
                                  <w:color w:val="463F56"/>
                                  <w:w w:val="105"/>
                                  <w:sz w:val="17"/>
                                </w:rPr>
                                <w:t>m</w:t>
                              </w:r>
                              <w:r>
                                <w:rPr>
                                  <w:rFonts w:ascii="Times New Roman"/>
                                  <w:color w:val="463F56"/>
                                  <w:spacing w:val="76"/>
                                  <w:w w:val="150"/>
                                  <w:sz w:val="17"/>
                                </w:rPr>
                                <w:t> </w:t>
                              </w:r>
                              <w:r>
                                <w:rPr>
                                  <w:rFonts w:ascii="Times New Roman"/>
                                  <w:color w:val="463F56"/>
                                  <w:w w:val="105"/>
                                  <w:sz w:val="17"/>
                                </w:rPr>
                                <w:t>w</w:t>
                              </w:r>
                              <w:r>
                                <w:rPr>
                                  <w:rFonts w:ascii="Times New Roman"/>
                                  <w:color w:val="463F56"/>
                                  <w:spacing w:val="64"/>
                                  <w:w w:val="150"/>
                                  <w:sz w:val="17"/>
                                </w:rPr>
                                <w:t> </w:t>
                              </w:r>
                              <w:r>
                                <w:rPr>
                                  <w:rFonts w:ascii="Times New Roman"/>
                                  <w:color w:val="5B343F"/>
                                  <w:spacing w:val="-5"/>
                                  <w:w w:val="105"/>
                                  <w:sz w:val="17"/>
                                </w:rPr>
                                <w:t>p</w:t>
                              </w:r>
                              <w:r>
                                <w:rPr>
                                  <w:rFonts w:ascii="Times New Roman"/>
                                  <w:color w:val="66186B"/>
                                  <w:spacing w:val="-5"/>
                                  <w:w w:val="105"/>
                                  <w:sz w:val="17"/>
                                </w:rPr>
                                <w:t>l</w:t>
                              </w:r>
                              <w:r>
                                <w:rPr>
                                  <w:rFonts w:ascii="Times New Roman"/>
                                  <w:color w:val="283154"/>
                                  <w:spacing w:val="-5"/>
                                  <w:w w:val="105"/>
                                  <w:sz w:val="17"/>
                                </w:rPr>
                                <w:t>e</w:t>
                              </w:r>
                            </w:p>
                          </w:txbxContent>
                        </wps:txbx>
                        <wps:bodyPr wrap="square" lIns="0" tIns="0" rIns="0" bIns="0" rtlCol="0">
                          <a:noAutofit/>
                        </wps:bodyPr>
                      </wps:wsp>
                      <wps:wsp>
                        <wps:cNvPr id="324" name="Textbox 324"/>
                        <wps:cNvSpPr txBox="1"/>
                        <wps:spPr>
                          <a:xfrm>
                            <a:off x="264286" y="1669088"/>
                            <a:ext cx="2900680" cy="229870"/>
                          </a:xfrm>
                          <a:prstGeom prst="rect">
                            <a:avLst/>
                          </a:prstGeom>
                        </wps:spPr>
                        <wps:txbx>
                          <w:txbxContent>
                            <w:p>
                              <w:pPr>
                                <w:tabs>
                                  <w:tab w:pos="1294" w:val="left" w:leader="none"/>
                                  <w:tab w:pos="4445" w:val="left" w:leader="none"/>
                                </w:tabs>
                                <w:spacing w:line="184" w:lineRule="exact" w:before="0"/>
                                <w:ind w:left="0" w:right="0" w:firstLine="0"/>
                                <w:jc w:val="left"/>
                                <w:rPr>
                                  <w:rFonts w:ascii="Times New Roman" w:hAnsi="Times New Roman" w:cs="Times New Roman" w:eastAsia="Times New Roman"/>
                                  <w:sz w:val="15"/>
                                  <w:szCs w:val="15"/>
                                </w:rPr>
                              </w:pPr>
                              <w:r>
                                <w:rPr>
                                  <w:color w:val="565260"/>
                                  <w:w w:val="110"/>
                                  <w:sz w:val="17"/>
                                  <w:szCs w:val="17"/>
                                </w:rPr>
                                <w:t>�</w:t>
                              </w:r>
                              <w:r>
                                <w:rPr>
                                  <w:color w:val="565260"/>
                                  <w:spacing w:val="-3"/>
                                  <w:w w:val="110"/>
                                  <w:sz w:val="17"/>
                                  <w:szCs w:val="17"/>
                                </w:rPr>
                                <w:t> </w:t>
                              </w:r>
                              <w:r>
                                <w:rPr>
                                  <w:color w:val="565260"/>
                                  <w:spacing w:val="-2"/>
                                  <w:w w:val="105"/>
                                  <w:sz w:val="17"/>
                                  <w:szCs w:val="17"/>
                                </w:rPr>
                                <w:t>¡pi;:1</w:t>
                              </w:r>
                              <w:r>
                                <w:rPr>
                                  <w:rFonts w:ascii="Times New Roman" w:hAnsi="Times New Roman" w:cs="Times New Roman" w:eastAsia="Times New Roman"/>
                                  <w:color w:val="833F48"/>
                                  <w:spacing w:val="-2"/>
                                  <w:w w:val="105"/>
                                  <w:sz w:val="17"/>
                                  <w:szCs w:val="17"/>
                                </w:rPr>
                                <w:t>,</w:t>
                              </w:r>
                              <w:r>
                                <w:rPr>
                                  <w:color w:val="565260"/>
                                  <w:spacing w:val="-2"/>
                                  <w:w w:val="105"/>
                                  <w:sz w:val="16"/>
                                  <w:szCs w:val="16"/>
                                </w:rPr>
                                <w:t>□</w:t>
                              </w:r>
                              <w:r>
                                <w:rPr>
                                  <w:rFonts w:ascii="Times New Roman" w:hAnsi="Times New Roman" w:cs="Times New Roman" w:eastAsia="Times New Roman"/>
                                  <w:color w:val="4D1F16"/>
                                  <w:spacing w:val="-2"/>
                                  <w:w w:val="105"/>
                                  <w:sz w:val="17"/>
                                  <w:szCs w:val="17"/>
                                </w:rPr>
                                <w:t>:</w:t>
                              </w:r>
                              <w:r>
                                <w:rPr>
                                  <w:rFonts w:ascii="Times New Roman" w:hAnsi="Times New Roman" w:cs="Times New Roman" w:eastAsia="Times New Roman"/>
                                  <w:color w:val="462644"/>
                                  <w:spacing w:val="-2"/>
                                  <w:w w:val="105"/>
                                  <w:sz w:val="17"/>
                                  <w:szCs w:val="17"/>
                                </w:rPr>
                                <w:t>:m</w:t>
                              </w:r>
                              <w:r>
                                <w:rPr>
                                  <w:rFonts w:ascii="Times New Roman" w:hAnsi="Times New Roman" w:cs="Times New Roman" w:eastAsia="Times New Roman"/>
                                  <w:color w:val="463F56"/>
                                  <w:spacing w:val="-2"/>
                                  <w:w w:val="105"/>
                                  <w:sz w:val="17"/>
                                  <w:szCs w:val="17"/>
                                </w:rPr>
                                <w:t>ua!</w:t>
                              </w:r>
                              <w:r>
                                <w:rPr>
                                  <w:rFonts w:ascii="Times New Roman" w:hAnsi="Times New Roman" w:cs="Times New Roman" w:eastAsia="Times New Roman"/>
                                  <w:color w:val="463F56"/>
                                  <w:sz w:val="17"/>
                                  <w:szCs w:val="17"/>
                                </w:rPr>
                                <w:tab/>
                              </w:r>
                              <w:r>
                                <w:rPr>
                                  <w:color w:val="463F56"/>
                                  <w:w w:val="110"/>
                                  <w:sz w:val="15"/>
                                  <w:szCs w:val="15"/>
                                </w:rPr>
                                <w:t>ill</w:t>
                              </w:r>
                              <w:r>
                                <w:rPr>
                                  <w:color w:val="463F56"/>
                                  <w:spacing w:val="22"/>
                                  <w:w w:val="110"/>
                                  <w:sz w:val="15"/>
                                  <w:szCs w:val="15"/>
                                </w:rPr>
                                <w:t> </w:t>
                              </w:r>
                              <w:r>
                                <w:rPr>
                                  <w:rFonts w:ascii="Times New Roman" w:hAnsi="Times New Roman" w:cs="Times New Roman" w:eastAsia="Times New Roman"/>
                                  <w:color w:val="565260"/>
                                  <w:w w:val="110"/>
                                  <w:sz w:val="17"/>
                                  <w:szCs w:val="17"/>
                                </w:rPr>
                                <w:t>oc</w:t>
                              </w:r>
                              <w:r>
                                <w:rPr>
                                  <w:rFonts w:ascii="Times New Roman" w:hAnsi="Times New Roman" w:cs="Times New Roman" w:eastAsia="Times New Roman"/>
                                  <w:color w:val="565260"/>
                                  <w:spacing w:val="55"/>
                                  <w:w w:val="110"/>
                                  <w:sz w:val="17"/>
                                  <w:szCs w:val="17"/>
                                </w:rPr>
                                <w:t>  </w:t>
                              </w:r>
                              <w:r>
                                <w:rPr>
                                  <w:rFonts w:ascii="Times New Roman" w:hAnsi="Times New Roman" w:cs="Times New Roman" w:eastAsia="Times New Roman"/>
                                  <w:color w:val="462644"/>
                                  <w:w w:val="110"/>
                                  <w:sz w:val="17"/>
                                  <w:szCs w:val="17"/>
                                </w:rPr>
                                <w:t>allzarla</w:t>
                              </w:r>
                              <w:r>
                                <w:rPr>
                                  <w:rFonts w:ascii="Times New Roman" w:hAnsi="Times New Roman" w:cs="Times New Roman" w:eastAsia="Times New Roman"/>
                                  <w:color w:val="462644"/>
                                  <w:spacing w:val="58"/>
                                  <w:w w:val="110"/>
                                  <w:sz w:val="17"/>
                                  <w:szCs w:val="17"/>
                                </w:rPr>
                                <w:t> </w:t>
                              </w:r>
                              <w:r>
                                <w:rPr>
                                  <w:rFonts w:ascii="Times New Roman" w:hAnsi="Times New Roman" w:cs="Times New Roman" w:eastAsia="Times New Roman"/>
                                  <w:b/>
                                  <w:bCs/>
                                  <w:color w:val="463F56"/>
                                  <w:w w:val="110"/>
                                  <w:sz w:val="17"/>
                                  <w:szCs w:val="17"/>
                                </w:rPr>
                                <w:t>n</w:t>
                              </w:r>
                              <w:r>
                                <w:rPr>
                                  <w:rFonts w:ascii="Times New Roman" w:hAnsi="Times New Roman" w:cs="Times New Roman" w:eastAsia="Times New Roman"/>
                                  <w:b/>
                                  <w:bCs/>
                                  <w:color w:val="526675"/>
                                  <w:w w:val="110"/>
                                  <w:sz w:val="17"/>
                                  <w:szCs w:val="17"/>
                                </w:rPr>
                                <w:t>�</w:t>
                              </w:r>
                              <w:r>
                                <w:rPr>
                                  <w:rFonts w:ascii="Times New Roman" w:hAnsi="Times New Roman" w:cs="Times New Roman" w:eastAsia="Times New Roman"/>
                                  <w:b/>
                                  <w:bCs/>
                                  <w:color w:val="4F3F75"/>
                                  <w:w w:val="110"/>
                                  <w:sz w:val="17"/>
                                  <w:szCs w:val="17"/>
                                </w:rPr>
                                <w:t>i</w:t>
                              </w:r>
                              <w:r>
                                <w:rPr>
                                  <w:color w:val="463F56"/>
                                  <w:w w:val="110"/>
                                  <w:sz w:val="16"/>
                                  <w:szCs w:val="16"/>
                                </w:rPr>
                                <w:t>□</w:t>
                              </w:r>
                              <w:r>
                                <w:rPr>
                                  <w:color w:val="463F56"/>
                                  <w:spacing w:val="35"/>
                                  <w:w w:val="110"/>
                                  <w:sz w:val="16"/>
                                  <w:szCs w:val="16"/>
                                </w:rPr>
                                <w:t> </w:t>
                              </w:r>
                              <w:r>
                                <w:rPr>
                                  <w:color w:val="66186B"/>
                                  <w:w w:val="110"/>
                                  <w:sz w:val="15"/>
                                  <w:szCs w:val="15"/>
                                </w:rPr>
                                <w:t>l</w:t>
                              </w:r>
                              <w:r>
                                <w:rPr>
                                  <w:color w:val="463F56"/>
                                  <w:w w:val="110"/>
                                  <w:sz w:val="15"/>
                                  <w:szCs w:val="15"/>
                                </w:rPr>
                                <w:t>os</w:t>
                              </w:r>
                              <w:r>
                                <w:rPr>
                                  <w:color w:val="463F56"/>
                                  <w:spacing w:val="55"/>
                                  <w:w w:val="110"/>
                                  <w:sz w:val="15"/>
                                  <w:szCs w:val="15"/>
                                </w:rPr>
                                <w:t> </w:t>
                              </w:r>
                              <w:r>
                                <w:rPr>
                                  <w:color w:val="565260"/>
                                  <w:spacing w:val="-2"/>
                                  <w:w w:val="110"/>
                                  <w:sz w:val="15"/>
                                  <w:szCs w:val="15"/>
                                </w:rPr>
                                <w:t>varioc</w:t>
                              </w:r>
                              <w:r>
                                <w:rPr>
                                  <w:color w:val="66186B"/>
                                  <w:spacing w:val="-2"/>
                                  <w:w w:val="110"/>
                                  <w:sz w:val="15"/>
                                  <w:szCs w:val="15"/>
                                </w:rPr>
                                <w:t>l</w:t>
                              </w:r>
                              <w:r>
                                <w:rPr>
                                  <w:color w:val="462644"/>
                                  <w:spacing w:val="-2"/>
                                  <w:w w:val="110"/>
                                  <w:sz w:val="15"/>
                                  <w:szCs w:val="15"/>
                                </w:rPr>
                                <w:t>a</w:t>
                              </w:r>
                              <w:r>
                                <w:rPr>
                                  <w:color w:val="463F56"/>
                                  <w:spacing w:val="-2"/>
                                  <w:w w:val="110"/>
                                  <w:sz w:val="15"/>
                                  <w:szCs w:val="15"/>
                                </w:rPr>
                                <w:t>ll&gt;H</w:t>
                              </w:r>
                              <w:r>
                                <w:rPr>
                                  <w:color w:val="463F56"/>
                                  <w:sz w:val="15"/>
                                  <w:szCs w:val="15"/>
                                </w:rPr>
                                <w:tab/>
                              </w:r>
                              <w:r>
                                <w:rPr>
                                  <w:rFonts w:ascii="Times New Roman" w:hAnsi="Times New Roman" w:cs="Times New Roman" w:eastAsia="Times New Roman"/>
                                  <w:color w:val="8C879C"/>
                                  <w:spacing w:val="-5"/>
                                  <w:w w:val="65"/>
                                  <w:sz w:val="15"/>
                                  <w:szCs w:val="15"/>
                                </w:rPr>
                                <w:t>:O:</w:t>
                              </w:r>
                            </w:p>
                            <w:p>
                              <w:pPr>
                                <w:tabs>
                                  <w:tab w:pos="3121" w:val="left" w:leader="none"/>
                                </w:tabs>
                                <w:spacing w:line="177" w:lineRule="exact" w:before="0"/>
                                <w:ind w:left="11" w:right="0" w:firstLine="0"/>
                                <w:jc w:val="left"/>
                                <w:rPr>
                                  <w:b/>
                                  <w:bCs/>
                                  <w:sz w:val="16"/>
                                  <w:szCs w:val="16"/>
                                </w:rPr>
                              </w:pPr>
                              <w:r>
                                <w:rPr>
                                  <w:color w:val="5B343F"/>
                                  <w:spacing w:val="-2"/>
                                  <w:w w:val="110"/>
                                  <w:sz w:val="15"/>
                                  <w:szCs w:val="15"/>
                                </w:rPr>
                                <w:t>pre</w:t>
                              </w:r>
                              <w:r>
                                <w:rPr>
                                  <w:color w:val="C3834B"/>
                                  <w:spacing w:val="-2"/>
                                  <w:w w:val="110"/>
                                  <w:sz w:val="15"/>
                                  <w:szCs w:val="15"/>
                                </w:rPr>
                                <w:t>:</w:t>
                              </w:r>
                              <w:r>
                                <w:rPr>
                                  <w:color w:val="283154"/>
                                  <w:spacing w:val="-2"/>
                                  <w:w w:val="110"/>
                                  <w:sz w:val="15"/>
                                  <w:szCs w:val="15"/>
                                </w:rPr>
                                <w:t>lil</w:t>
                              </w:r>
                              <w:r>
                                <w:rPr>
                                  <w:color w:val="5B343F"/>
                                  <w:spacing w:val="-2"/>
                                  <w:w w:val="110"/>
                                  <w:sz w:val="15"/>
                                  <w:szCs w:val="15"/>
                                </w:rPr>
                                <w:t>,poll'Starb</w:t>
                              </w:r>
                              <w:r>
                                <w:rPr>
                                  <w:color w:val="5B343F"/>
                                  <w:spacing w:val="35"/>
                                  <w:w w:val="110"/>
                                  <w:sz w:val="15"/>
                                  <w:szCs w:val="15"/>
                                </w:rPr>
                                <w:t>  </w:t>
                              </w:r>
                              <w:r>
                                <w:rPr>
                                  <w:color w:val="463F56"/>
                                  <w:spacing w:val="-2"/>
                                  <w:w w:val="110"/>
                                  <w:sz w:val="15"/>
                                  <w:szCs w:val="15"/>
                                </w:rPr>
                                <w:t>ill</w:t>
                              </w:r>
                              <w:r>
                                <w:rPr>
                                  <w:color w:val="463F56"/>
                                  <w:spacing w:val="-2"/>
                                  <w:w w:val="110"/>
                                  <w:sz w:val="16"/>
                                  <w:szCs w:val="16"/>
                                </w:rPr>
                                <w:t>□</w:t>
                              </w:r>
                              <w:r>
                                <w:rPr>
                                  <w:color w:val="463F56"/>
                                  <w:spacing w:val="-23"/>
                                  <w:w w:val="110"/>
                                  <w:sz w:val="16"/>
                                  <w:szCs w:val="16"/>
                                </w:rPr>
                                <w:t> </w:t>
                              </w:r>
                              <w:r>
                                <w:rPr>
                                  <w:color w:val="463F56"/>
                                  <w:spacing w:val="-2"/>
                                  <w:w w:val="110"/>
                                  <w:sz w:val="15"/>
                                  <w:szCs w:val="15"/>
                                </w:rPr>
                                <w:t>ill</w:t>
                              </w:r>
                              <w:r>
                                <w:rPr>
                                  <w:color w:val="66186B"/>
                                  <w:spacing w:val="-2"/>
                                  <w:w w:val="110"/>
                                  <w:sz w:val="15"/>
                                  <w:szCs w:val="15"/>
                                </w:rPr>
                                <w:t>l</w:t>
                              </w:r>
                              <w:r>
                                <w:rPr>
                                  <w:color w:val="66186B"/>
                                  <w:spacing w:val="-23"/>
                                  <w:w w:val="110"/>
                                  <w:sz w:val="15"/>
                                  <w:szCs w:val="15"/>
                                </w:rPr>
                                <w:t> </w:t>
                              </w:r>
                              <w:r>
                                <w:rPr>
                                  <w:color w:val="565260"/>
                                  <w:spacing w:val="-2"/>
                                  <w:w w:val="110"/>
                                  <w:sz w:val="15"/>
                                  <w:szCs w:val="15"/>
                                </w:rPr>
                                <w:t>M.oow</w:t>
                              </w:r>
                              <w:r>
                                <w:rPr>
                                  <w:color w:val="565260"/>
                                  <w:spacing w:val="-16"/>
                                  <w:w w:val="110"/>
                                  <w:sz w:val="15"/>
                                  <w:szCs w:val="15"/>
                                </w:rPr>
                                <w:t> </w:t>
                              </w:r>
                              <w:r>
                                <w:rPr>
                                  <w:color w:val="463F56"/>
                                  <w:spacing w:val="-2"/>
                                  <w:sz w:val="15"/>
                                  <w:szCs w:val="15"/>
                                </w:rPr>
                                <w:t>,c:1</w:t>
                              </w:r>
                              <w:r>
                                <w:rPr>
                                  <w:color w:val="B8B5B3"/>
                                  <w:spacing w:val="-2"/>
                                  <w:sz w:val="15"/>
                                  <w:szCs w:val="15"/>
                                </w:rPr>
                                <w:t>-</w:t>
                              </w:r>
                              <w:r>
                                <w:rPr>
                                  <w:color w:val="463F56"/>
                                  <w:spacing w:val="-5"/>
                                  <w:sz w:val="15"/>
                                  <w:szCs w:val="15"/>
                                </w:rPr>
                                <w:t>.,</w:t>
                              </w:r>
                              <w:r>
                                <w:rPr>
                                  <w:color w:val="463F56"/>
                                  <w:sz w:val="15"/>
                                  <w:szCs w:val="15"/>
                                </w:rPr>
                                <w:tab/>
                              </w:r>
                              <w:r>
                                <w:rPr>
                                  <w:color w:val="462644"/>
                                  <w:spacing w:val="2"/>
                                  <w:w w:val="110"/>
                                  <w:sz w:val="15"/>
                                  <w:szCs w:val="15"/>
                                </w:rPr>
                                <w:t>a</w:t>
                              </w:r>
                              <w:r>
                                <w:rPr>
                                  <w:color w:val="3D5075"/>
                                  <w:spacing w:val="2"/>
                                  <w:w w:val="110"/>
                                  <w:sz w:val="15"/>
                                  <w:szCs w:val="15"/>
                                </w:rPr>
                                <w:t>d</w:t>
                              </w:r>
                              <w:r>
                                <w:rPr>
                                  <w:color w:val="463F56"/>
                                  <w:spacing w:val="2"/>
                                  <w:w w:val="110"/>
                                  <w:sz w:val="15"/>
                                  <w:szCs w:val="15"/>
                                </w:rPr>
                                <w:t>bn</w:t>
                              </w:r>
                              <w:r>
                                <w:rPr>
                                  <w:color w:val="463F56"/>
                                  <w:spacing w:val="40"/>
                                  <w:w w:val="110"/>
                                  <w:sz w:val="15"/>
                                  <w:szCs w:val="15"/>
                                </w:rPr>
                                <w:t> </w:t>
                              </w:r>
                              <w:r>
                                <w:rPr>
                                  <w:b/>
                                  <w:bCs/>
                                  <w:color w:val="565260"/>
                                  <w:spacing w:val="2"/>
                                  <w:w w:val="110"/>
                                  <w:sz w:val="16"/>
                                  <w:szCs w:val="16"/>
                                </w:rPr>
                                <w:t>de</w:t>
                              </w:r>
                              <w:r>
                                <w:rPr>
                                  <w:b/>
                                  <w:bCs/>
                                  <w:color w:val="565260"/>
                                  <w:spacing w:val="35"/>
                                  <w:w w:val="110"/>
                                  <w:sz w:val="16"/>
                                  <w:szCs w:val="16"/>
                                </w:rPr>
                                <w:t> </w:t>
                              </w:r>
                              <w:r>
                                <w:rPr>
                                  <w:b/>
                                  <w:bCs/>
                                  <w:color w:val="565260"/>
                                  <w:spacing w:val="-2"/>
                                  <w:w w:val="110"/>
                                  <w:sz w:val="16"/>
                                  <w:szCs w:val="16"/>
                                </w:rPr>
                                <w:t>�</w:t>
                              </w:r>
                              <w:r>
                                <w:rPr>
                                  <w:b/>
                                  <w:bCs/>
                                  <w:color w:val="362F80"/>
                                  <w:spacing w:val="-2"/>
                                  <w:w w:val="110"/>
                                  <w:sz w:val="16"/>
                                  <w:szCs w:val="16"/>
                                </w:rPr>
                                <w:t>i</w:t>
                              </w:r>
                              <w:r>
                                <w:rPr>
                                  <w:b/>
                                  <w:bCs/>
                                  <w:color w:val="592F59"/>
                                  <w:spacing w:val="-2"/>
                                  <w:w w:val="110"/>
                                  <w:sz w:val="16"/>
                                  <w:szCs w:val="16"/>
                                </w:rPr>
                                <w:t>fl</w:t>
                              </w:r>
                              <w:r>
                                <w:rPr>
                                  <w:b/>
                                  <w:bCs/>
                                  <w:color w:val="7E7789"/>
                                  <w:spacing w:val="-2"/>
                                  <w:w w:val="110"/>
                                  <w:sz w:val="16"/>
                                  <w:szCs w:val="16"/>
                                </w:rPr>
                                <w:t>t_</w:t>
                              </w:r>
                            </w:p>
                          </w:txbxContent>
                        </wps:txbx>
                        <wps:bodyPr wrap="square" lIns="0" tIns="0" rIns="0" bIns="0" rtlCol="0">
                          <a:noAutofit/>
                        </wps:bodyPr>
                      </wps:wsp>
                    </wpg:wgp>
                  </a:graphicData>
                </a:graphic>
              </wp:anchor>
            </w:drawing>
          </mc:Choice>
          <mc:Fallback>
            <w:pict>
              <v:group style="position:absolute;margin-left:107.688705pt;margin-top:19.423237pt;width:394.25pt;height:158.6pt;mso-position-horizontal-relative:page;mso-position-vertical-relative:paragraph;z-index:-15685632;mso-wrap-distance-left:0;mso-wrap-distance-right:0" id="docshapegroup229" coordorigin="2154,388" coordsize="7885,3172">
                <v:shape style="position:absolute;left:2163;top:1258;width:4971;height:707" type="#_x0000_t75" id="docshape230" stroked="false">
                  <v:imagedata r:id="rId127" o:title=""/>
                </v:shape>
                <v:shape style="position:absolute;left:2826;top:2118;width:4308;height:923" type="#_x0000_t75" id="docshape231" stroked="false">
                  <v:imagedata r:id="rId128" o:title=""/>
                </v:shape>
                <v:line style="position:absolute" from="2178,1254" to="2178,388" stroked="true" strokeweight="1.682636pt" strokecolor="#000000">
                  <v:stroke dashstyle="solid"/>
                </v:line>
                <v:shape style="position:absolute;left:2153;top:388;width:7885;height:3172" id="docshape232" coordorigin="2154,388" coordsize="7885,3172" path="m6865,2119l6865,388m7788,3560l7788,388m8365,3560l8365,388m10019,3560l10019,388m2154,403l3808,403m5577,1292l10038,1292m5577,1806l10038,1806m2154,2143l2827,2143m2154,2657l2827,2657m2154,3022l2827,3022m2154,3531l10038,3531e" filled="false" stroked="true" strokeweight=".961335pt" strokecolor="#000000">
                  <v:path arrowok="t"/>
                  <v:stroke dashstyle="solid"/>
                </v:shape>
                <v:rect style="position:absolute;left:5905;top:683;width:44;height:297" id="docshape233" filled="true" fillcolor="#f0f2eb" stroked="false">
                  <v:fill type="solid"/>
                </v:rect>
                <v:rect style="position:absolute;left:5033;top:3187;width:63;height:205" id="docshape234" filled="true" fillcolor="#dde4db" stroked="false">
                  <v:fill type="solid"/>
                </v:rect>
                <v:shape style="position:absolute;left:2785;top:390;width:980;height:189" type="#_x0000_t202" id="docshape235" filled="false" stroked="false">
                  <v:textbox inset="0,0,0,0">
                    <w:txbxContent>
                      <w:p>
                        <w:pPr>
                          <w:tabs>
                            <w:tab w:pos="541" w:val="left" w:leader="none"/>
                            <w:tab w:pos="915" w:val="left" w:leader="none"/>
                          </w:tabs>
                          <w:spacing w:line="188" w:lineRule="exact" w:before="0"/>
                          <w:ind w:left="0" w:right="0" w:firstLine="0"/>
                          <w:jc w:val="left"/>
                          <w:rPr>
                            <w:sz w:val="15"/>
                            <w:szCs w:val="15"/>
                          </w:rPr>
                        </w:pPr>
                        <w:r>
                          <w:rPr>
                            <w:color w:val="C18983"/>
                            <w:spacing w:val="-2"/>
                            <w:w w:val="70"/>
                            <w:sz w:val="16"/>
                            <w:szCs w:val="16"/>
                          </w:rPr>
                          <w:t>1</w:t>
                        </w:r>
                        <w:r>
                          <w:rPr>
                            <w:rFonts w:ascii="Times New Roman" w:hAnsi="Times New Roman" w:cs="Times New Roman" w:eastAsia="Times New Roman"/>
                            <w:i/>
                            <w:iCs/>
                            <w:color w:val="9CA0A5"/>
                            <w:spacing w:val="-2"/>
                            <w:w w:val="70"/>
                            <w:sz w:val="17"/>
                            <w:szCs w:val="17"/>
                          </w:rPr>
                          <w:t>.:7</w:t>
                        </w:r>
                        <w:r>
                          <w:rPr>
                            <w:rFonts w:ascii="Times New Roman" w:hAnsi="Times New Roman" w:cs="Times New Roman" w:eastAsia="Times New Roman"/>
                            <w:color w:val="9CA0A5"/>
                            <w:spacing w:val="-2"/>
                            <w:w w:val="70"/>
                            <w:sz w:val="17"/>
                            <w:szCs w:val="17"/>
                          </w:rPr>
                          <w:t>_</w:t>
                        </w:r>
                        <w:r>
                          <w:rPr>
                            <w:rFonts w:ascii="Times New Roman" w:hAnsi="Times New Roman" w:cs="Times New Roman" w:eastAsia="Times New Roman"/>
                            <w:color w:val="9CA0A5"/>
                            <w:sz w:val="17"/>
                            <w:szCs w:val="17"/>
                          </w:rPr>
                          <w:tab/>
                        </w:r>
                        <w:r>
                          <w:rPr>
                            <w:rFonts w:ascii="Times New Roman" w:hAnsi="Times New Roman" w:cs="Times New Roman" w:eastAsia="Times New Roman"/>
                            <w:color w:val="A18289"/>
                            <w:spacing w:val="-10"/>
                            <w:w w:val="70"/>
                            <w:sz w:val="17"/>
                            <w:szCs w:val="17"/>
                          </w:rPr>
                          <w:t>�</w:t>
                        </w:r>
                        <w:r>
                          <w:rPr>
                            <w:rFonts w:ascii="Times New Roman" w:hAnsi="Times New Roman" w:cs="Times New Roman" w:eastAsia="Times New Roman"/>
                            <w:color w:val="A18289"/>
                            <w:sz w:val="17"/>
                            <w:szCs w:val="17"/>
                          </w:rPr>
                          <w:tab/>
                        </w:r>
                        <w:r>
                          <w:rPr>
                            <w:color w:val="7E7789"/>
                            <w:spacing w:val="-10"/>
                            <w:w w:val="70"/>
                            <w:sz w:val="15"/>
                            <w:szCs w:val="15"/>
                          </w:rPr>
                          <w:t>e</w:t>
                        </w:r>
                      </w:p>
                    </w:txbxContent>
                  </v:textbox>
                  <w10:wrap type="none"/>
                </v:shape>
                <v:shape style="position:absolute;left:5066;top:390;width:2071;height:189" type="#_x0000_t202" id="docshape236" filled="false" stroked="false">
                  <v:textbox inset="0,0,0,0">
                    <w:txbxContent>
                      <w:p>
                        <w:pPr>
                          <w:spacing w:line="188" w:lineRule="exact" w:before="0"/>
                          <w:ind w:left="0" w:right="0" w:firstLine="0"/>
                          <w:jc w:val="left"/>
                          <w:rPr>
                            <w:rFonts w:ascii="Times New Roman" w:hAnsi="Times New Roman" w:cs="Times New Roman" w:eastAsia="Times New Roman"/>
                            <w:sz w:val="15"/>
                            <w:szCs w:val="15"/>
                          </w:rPr>
                        </w:pPr>
                        <w:r>
                          <w:rPr>
                            <w:color w:val="7E7789"/>
                            <w:w w:val="90"/>
                            <w:sz w:val="15"/>
                            <w:szCs w:val="15"/>
                          </w:rPr>
                          <w:t>re</w:t>
                        </w:r>
                        <w:r>
                          <w:rPr>
                            <w:color w:val="7E7789"/>
                            <w:spacing w:val="59"/>
                            <w:sz w:val="15"/>
                            <w:szCs w:val="15"/>
                          </w:rPr>
                          <w:t>  </w:t>
                        </w:r>
                        <w:r>
                          <w:rPr>
                            <w:rFonts w:ascii="Times New Roman" w:hAnsi="Times New Roman" w:cs="Times New Roman" w:eastAsia="Times New Roman"/>
                            <w:color w:val="7E7789"/>
                            <w:w w:val="90"/>
                            <w:sz w:val="17"/>
                            <w:szCs w:val="17"/>
                          </w:rPr>
                          <w:t>la</w:t>
                        </w:r>
                        <w:r>
                          <w:rPr>
                            <w:rFonts w:ascii="Times New Roman" w:hAnsi="Times New Roman" w:cs="Times New Roman" w:eastAsia="Times New Roman"/>
                            <w:color w:val="7E7789"/>
                            <w:spacing w:val="20"/>
                            <w:w w:val="165"/>
                            <w:sz w:val="17"/>
                            <w:szCs w:val="17"/>
                          </w:rPr>
                          <w:t>  </w:t>
                        </w:r>
                        <w:r>
                          <w:rPr>
                            <w:rFonts w:ascii="Times New Roman" w:hAnsi="Times New Roman" w:cs="Times New Roman" w:eastAsia="Times New Roman"/>
                            <w:color w:val="8C879C"/>
                            <w:w w:val="165"/>
                            <w:sz w:val="8"/>
                            <w:szCs w:val="8"/>
                          </w:rPr>
                          <w:t>iiCJrraluDOC�</w:t>
                        </w:r>
                        <w:r>
                          <w:rPr>
                            <w:rFonts w:ascii="Times New Roman" w:hAnsi="Times New Roman" w:cs="Times New Roman" w:eastAsia="Times New Roman"/>
                            <w:color w:val="8C879C"/>
                            <w:spacing w:val="59"/>
                            <w:w w:val="165"/>
                            <w:sz w:val="8"/>
                            <w:szCs w:val="8"/>
                          </w:rPr>
                          <w:t> </w:t>
                        </w:r>
                        <w:r>
                          <w:rPr>
                            <w:color w:val="7E7789"/>
                            <w:w w:val="165"/>
                            <w:sz w:val="14"/>
                            <w:szCs w:val="14"/>
                          </w:rPr>
                          <w:t>de,</w:t>
                        </w:r>
                        <w:r>
                          <w:rPr>
                            <w:color w:val="7E7789"/>
                            <w:spacing w:val="-1"/>
                            <w:w w:val="165"/>
                            <w:sz w:val="14"/>
                            <w:szCs w:val="14"/>
                          </w:rPr>
                          <w:t> </w:t>
                        </w:r>
                        <w:r>
                          <w:rPr>
                            <w:rFonts w:ascii="Times New Roman" w:hAnsi="Times New Roman" w:cs="Times New Roman" w:eastAsia="Times New Roman"/>
                            <w:color w:val="8C879C"/>
                            <w:spacing w:val="-10"/>
                            <w:w w:val="65"/>
                            <w:sz w:val="15"/>
                            <w:szCs w:val="15"/>
                          </w:rPr>
                          <w:t>:O:</w:t>
                        </w:r>
                      </w:p>
                    </w:txbxContent>
                  </v:textbox>
                  <w10:wrap type="none"/>
                </v:shape>
                <v:shape style="position:absolute;left:3139;top:573;width:857;height:575" type="#_x0000_t202" id="docshape237" filled="false" stroked="false">
                  <v:textbox inset="0,0,0,0">
                    <w:txbxContent>
                      <w:p>
                        <w:pPr>
                          <w:spacing w:line="188" w:lineRule="exact" w:before="0"/>
                          <w:ind w:left="0" w:right="0" w:firstLine="0"/>
                          <w:jc w:val="left"/>
                          <w:rPr>
                            <w:rFonts w:ascii="Times New Roman"/>
                            <w:sz w:val="17"/>
                          </w:rPr>
                        </w:pPr>
                        <w:r>
                          <w:rPr>
                            <w:rFonts w:ascii="Times New Roman"/>
                            <w:color w:val="7E7789"/>
                            <w:w w:val="80"/>
                            <w:sz w:val="17"/>
                          </w:rPr>
                          <w:t>,01::Jje-</w:t>
                        </w:r>
                        <w:r>
                          <w:rPr>
                            <w:rFonts w:ascii="Times New Roman"/>
                            <w:color w:val="7E7789"/>
                            <w:spacing w:val="-2"/>
                            <w:w w:val="90"/>
                            <w:sz w:val="17"/>
                          </w:rPr>
                          <w:t>tivos</w:t>
                        </w:r>
                      </w:p>
                      <w:p>
                        <w:pPr>
                          <w:spacing w:before="0"/>
                          <w:ind w:left="17" w:right="0" w:firstLine="0"/>
                          <w:jc w:val="left"/>
                          <w:rPr>
                            <w:sz w:val="16"/>
                          </w:rPr>
                        </w:pPr>
                        <w:r>
                          <w:rPr>
                            <w:color w:val="7E7789"/>
                            <w:w w:val="105"/>
                            <w:sz w:val="16"/>
                          </w:rPr>
                          <w:t>pcril,::</w:t>
                        </w:r>
                        <w:r>
                          <w:rPr>
                            <w:color w:val="7E7789"/>
                            <w:spacing w:val="-7"/>
                            <w:w w:val="105"/>
                            <w:sz w:val="16"/>
                          </w:rPr>
                          <w:t> </w:t>
                        </w:r>
                        <w:r>
                          <w:rPr>
                            <w:color w:val="7E7789"/>
                            <w:spacing w:val="-2"/>
                            <w:w w:val="105"/>
                            <w:sz w:val="16"/>
                          </w:rPr>
                          <w:t>pe;::</w:t>
                        </w:r>
                      </w:p>
                      <w:p>
                        <w:pPr>
                          <w:spacing w:before="18"/>
                          <w:ind w:left="17" w:right="0" w:firstLine="0"/>
                          <w:jc w:val="left"/>
                          <w:rPr>
                            <w:sz w:val="16"/>
                          </w:rPr>
                        </w:pPr>
                        <w:r>
                          <w:rPr>
                            <w:color w:val="7E7789"/>
                            <w:spacing w:val="-2"/>
                            <w:sz w:val="16"/>
                          </w:rPr>
                          <w:t>pri,,.ccbs'J</w:t>
                        </w:r>
                        <w:r>
                          <w:rPr>
                            <w:color w:val="9CA0A5"/>
                            <w:spacing w:val="-2"/>
                            <w:sz w:val="16"/>
                          </w:rPr>
                          <w:t>-</w:t>
                        </w:r>
                      </w:p>
                    </w:txbxContent>
                  </v:textbox>
                  <w10:wrap type="none"/>
                </v:shape>
                <v:shape style="position:absolute;left:4882;top:680;width:1816;height:289" type="#_x0000_t202" id="docshape238" filled="false" stroked="false">
                  <v:textbox inset="0,0,0,0">
                    <w:txbxContent>
                      <w:p>
                        <w:pPr>
                          <w:spacing w:line="288" w:lineRule="exact" w:before="0"/>
                          <w:ind w:left="0" w:right="0" w:firstLine="0"/>
                          <w:jc w:val="left"/>
                          <w:rPr>
                            <w:rFonts w:ascii="Times New Roman" w:hAnsi="Times New Roman" w:cs="Times New Roman" w:eastAsia="Times New Roman"/>
                            <w:sz w:val="26"/>
                            <w:szCs w:val="26"/>
                          </w:rPr>
                        </w:pPr>
                        <w:r>
                          <w:rPr>
                            <w:color w:val="DFA762"/>
                            <w:w w:val="115"/>
                            <w:sz w:val="16"/>
                            <w:szCs w:val="16"/>
                          </w:rPr>
                          <w:t>,</w:t>
                        </w:r>
                        <w:r>
                          <w:rPr>
                            <w:color w:val="7E7789"/>
                            <w:w w:val="115"/>
                            <w:sz w:val="16"/>
                            <w:szCs w:val="16"/>
                          </w:rPr>
                          <w:t>e;r.tidodm</w:t>
                        </w:r>
                        <w:r>
                          <w:rPr>
                            <w:color w:val="7E7789"/>
                            <w:spacing w:val="77"/>
                            <w:w w:val="150"/>
                            <w:sz w:val="16"/>
                            <w:szCs w:val="16"/>
                          </w:rPr>
                          <w:t> </w:t>
                        </w:r>
                        <w:r>
                          <w:rPr>
                            <w:rFonts w:ascii="Times New Roman" w:hAnsi="Times New Roman" w:cs="Times New Roman" w:eastAsia="Times New Roman"/>
                            <w:color w:val="B8B5B3"/>
                            <w:spacing w:val="-6"/>
                            <w:sz w:val="22"/>
                            <w:szCs w:val="22"/>
                          </w:rPr>
                          <w:t>e</w:t>
                        </w:r>
                        <w:r>
                          <w:rPr>
                            <w:color w:val="7E7789"/>
                            <w:spacing w:val="-6"/>
                            <w:sz w:val="16"/>
                            <w:szCs w:val="16"/>
                          </w:rPr>
                          <w:t>públcci�</w:t>
                        </w:r>
                        <w:r>
                          <w:rPr>
                            <w:rFonts w:ascii="Times New Roman" w:hAnsi="Times New Roman" w:cs="Times New Roman" w:eastAsia="Times New Roman"/>
                            <w:color w:val="8C879C"/>
                            <w:spacing w:val="-6"/>
                            <w:sz w:val="26"/>
                            <w:szCs w:val="26"/>
                          </w:rPr>
                          <w:t>º</w:t>
                        </w:r>
                      </w:p>
                    </w:txbxContent>
                  </v:textbox>
                  <w10:wrap type="none"/>
                </v:shape>
                <v:shape style="position:absolute;left:5085;top:573;width:1784;height:189" type="#_x0000_t202" id="docshape239" filled="false" stroked="false">
                  <v:textbox inset="0,0,0,0">
                    <w:txbxContent>
                      <w:p>
                        <w:pPr>
                          <w:spacing w:line="188" w:lineRule="exact" w:before="0"/>
                          <w:ind w:left="0" w:right="0" w:firstLine="0"/>
                          <w:jc w:val="left"/>
                          <w:rPr>
                            <w:rFonts w:ascii="Times New Roman" w:hAnsi="Times New Roman" w:cs="Times New Roman" w:eastAsia="Times New Roman"/>
                            <w:sz w:val="17"/>
                            <w:szCs w:val="17"/>
                          </w:rPr>
                        </w:pPr>
                        <w:r>
                          <w:rPr>
                            <w:rFonts w:ascii="Times New Roman" w:hAnsi="Times New Roman" w:cs="Times New Roman" w:eastAsia="Times New Roman"/>
                            <w:color w:val="7E7789"/>
                            <w:sz w:val="17"/>
                            <w:szCs w:val="17"/>
                          </w:rPr>
                          <w:t>n</w:t>
                        </w:r>
                        <w:r>
                          <w:rPr>
                            <w:rFonts w:ascii="Times New Roman" w:hAnsi="Times New Roman" w:cs="Times New Roman" w:eastAsia="Times New Roman"/>
                            <w:color w:val="7E7789"/>
                            <w:spacing w:val="30"/>
                            <w:w w:val="125"/>
                            <w:sz w:val="17"/>
                            <w:szCs w:val="17"/>
                          </w:rPr>
                          <w:t>  </w:t>
                        </w:r>
                        <w:r>
                          <w:rPr>
                            <w:rFonts w:ascii="Times New Roman" w:hAnsi="Times New Roman" w:cs="Times New Roman" w:eastAsia="Times New Roman"/>
                            <w:color w:val="7E7789"/>
                            <w:w w:val="125"/>
                            <w:sz w:val="17"/>
                            <w:szCs w:val="17"/>
                          </w:rPr>
                          <w:t>pare</w:t>
                        </w:r>
                        <w:r>
                          <w:rPr>
                            <w:rFonts w:ascii="Times New Roman" w:hAnsi="Times New Roman" w:cs="Times New Roman" w:eastAsia="Times New Roman"/>
                            <w:color w:val="7E7789"/>
                            <w:spacing w:val="59"/>
                            <w:w w:val="125"/>
                            <w:sz w:val="17"/>
                            <w:szCs w:val="17"/>
                          </w:rPr>
                          <w:t> </w:t>
                        </w:r>
                        <w:r>
                          <w:rPr>
                            <w:rFonts w:ascii="Times New Roman" w:hAnsi="Times New Roman" w:cs="Times New Roman" w:eastAsia="Times New Roman"/>
                            <w:color w:val="7E7789"/>
                            <w:sz w:val="17"/>
                            <w:szCs w:val="17"/>
                          </w:rPr>
                          <w:t>�u</w:t>
                        </w:r>
                        <w:r>
                          <w:rPr>
                            <w:rFonts w:ascii="Times New Roman" w:hAnsi="Times New Roman" w:cs="Times New Roman" w:eastAsia="Times New Roman"/>
                            <w:color w:val="7E7789"/>
                            <w:spacing w:val="79"/>
                            <w:w w:val="125"/>
                            <w:sz w:val="17"/>
                            <w:szCs w:val="17"/>
                          </w:rPr>
                          <w:t> </w:t>
                        </w:r>
                        <w:r>
                          <w:rPr>
                            <w:color w:val="7E7789"/>
                            <w:w w:val="125"/>
                            <w:sz w:val="16"/>
                            <w:szCs w:val="16"/>
                          </w:rPr>
                          <w:t>logo</w:t>
                        </w:r>
                        <w:r>
                          <w:rPr>
                            <w:color w:val="7E7789"/>
                            <w:spacing w:val="65"/>
                            <w:w w:val="125"/>
                            <w:sz w:val="16"/>
                            <w:szCs w:val="16"/>
                          </w:rPr>
                          <w:t> </w:t>
                        </w:r>
                        <w:r>
                          <w:rPr>
                            <w:rFonts w:ascii="Times New Roman" w:hAnsi="Times New Roman" w:cs="Times New Roman" w:eastAsia="Times New Roman"/>
                            <w:color w:val="7E7789"/>
                            <w:spacing w:val="-5"/>
                            <w:w w:val="125"/>
                            <w:sz w:val="17"/>
                            <w:szCs w:val="17"/>
                          </w:rPr>
                          <w:t>l</w:t>
                        </w:r>
                        <w:r>
                          <w:rPr>
                            <w:rFonts w:ascii="Times New Roman" w:hAnsi="Times New Roman" w:cs="Times New Roman" w:eastAsia="Times New Roman"/>
                            <w:color w:val="7E7789"/>
                            <w:spacing w:val="-5"/>
                            <w:w w:val="125"/>
                            <w:sz w:val="17"/>
                            <w:szCs w:val="17"/>
                          </w:rPr>
                          <w:t>a</w:t>
                        </w:r>
                      </w:p>
                    </w:txbxContent>
                  </v:textbox>
                  <w10:wrap type="none"/>
                </v:shape>
                <v:shape style="position:absolute;left:5586;top:1294;width:1118;height:189" type="#_x0000_t202" id="docshape240" filled="false" stroked="false">
                  <v:textbox inset="0,0,0,0">
                    <w:txbxContent>
                      <w:p>
                        <w:pPr>
                          <w:spacing w:line="188" w:lineRule="exact" w:before="0"/>
                          <w:ind w:left="0" w:right="0" w:firstLine="0"/>
                          <w:jc w:val="left"/>
                          <w:rPr>
                            <w:rFonts w:ascii="Times New Roman"/>
                            <w:sz w:val="17"/>
                          </w:rPr>
                        </w:pPr>
                        <w:r>
                          <w:rPr>
                            <w:rFonts w:ascii="Times New Roman"/>
                            <w:color w:val="66186B"/>
                            <w:w w:val="105"/>
                            <w:sz w:val="17"/>
                          </w:rPr>
                          <w:t>I</w:t>
                        </w:r>
                        <w:r>
                          <w:rPr>
                            <w:rFonts w:ascii="Times New Roman"/>
                            <w:color w:val="283154"/>
                            <w:w w:val="105"/>
                            <w:sz w:val="17"/>
                          </w:rPr>
                          <w:t>do</w:t>
                        </w:r>
                        <w:r>
                          <w:rPr>
                            <w:rFonts w:ascii="Times New Roman"/>
                            <w:color w:val="283154"/>
                            <w:spacing w:val="64"/>
                            <w:w w:val="105"/>
                            <w:sz w:val="17"/>
                          </w:rPr>
                          <w:t> </w:t>
                        </w:r>
                        <w:r>
                          <w:rPr>
                            <w:rFonts w:ascii="Times New Roman"/>
                            <w:color w:val="463F56"/>
                            <w:w w:val="105"/>
                            <w:sz w:val="17"/>
                          </w:rPr>
                          <w:t>m</w:t>
                        </w:r>
                        <w:r>
                          <w:rPr>
                            <w:rFonts w:ascii="Times New Roman"/>
                            <w:color w:val="463F56"/>
                            <w:spacing w:val="76"/>
                            <w:w w:val="150"/>
                            <w:sz w:val="17"/>
                          </w:rPr>
                          <w:t> </w:t>
                        </w:r>
                        <w:r>
                          <w:rPr>
                            <w:rFonts w:ascii="Times New Roman"/>
                            <w:color w:val="463F56"/>
                            <w:w w:val="105"/>
                            <w:sz w:val="17"/>
                          </w:rPr>
                          <w:t>w</w:t>
                        </w:r>
                        <w:r>
                          <w:rPr>
                            <w:rFonts w:ascii="Times New Roman"/>
                            <w:color w:val="463F56"/>
                            <w:spacing w:val="64"/>
                            <w:w w:val="150"/>
                            <w:sz w:val="17"/>
                          </w:rPr>
                          <w:t> </w:t>
                        </w:r>
                        <w:r>
                          <w:rPr>
                            <w:rFonts w:ascii="Times New Roman"/>
                            <w:color w:val="5B343F"/>
                            <w:spacing w:val="-5"/>
                            <w:w w:val="105"/>
                            <w:sz w:val="17"/>
                          </w:rPr>
                          <w:t>p</w:t>
                        </w:r>
                        <w:r>
                          <w:rPr>
                            <w:rFonts w:ascii="Times New Roman"/>
                            <w:color w:val="66186B"/>
                            <w:spacing w:val="-5"/>
                            <w:w w:val="105"/>
                            <w:sz w:val="17"/>
                          </w:rPr>
                          <w:t>l</w:t>
                        </w:r>
                        <w:r>
                          <w:rPr>
                            <w:rFonts w:ascii="Times New Roman"/>
                            <w:color w:val="283154"/>
                            <w:spacing w:val="-5"/>
                            <w:w w:val="105"/>
                            <w:sz w:val="17"/>
                          </w:rPr>
                          <w:t>e</w:t>
                        </w:r>
                      </w:p>
                    </w:txbxContent>
                  </v:textbox>
                  <w10:wrap type="none"/>
                </v:shape>
                <v:shape style="position:absolute;left:2569;top:3016;width:4568;height:362" type="#_x0000_t202" id="docshape241" filled="false" stroked="false">
                  <v:textbox inset="0,0,0,0">
                    <w:txbxContent>
                      <w:p>
                        <w:pPr>
                          <w:tabs>
                            <w:tab w:pos="1294" w:val="left" w:leader="none"/>
                            <w:tab w:pos="4445" w:val="left" w:leader="none"/>
                          </w:tabs>
                          <w:spacing w:line="184" w:lineRule="exact" w:before="0"/>
                          <w:ind w:left="0" w:right="0" w:firstLine="0"/>
                          <w:jc w:val="left"/>
                          <w:rPr>
                            <w:rFonts w:ascii="Times New Roman" w:hAnsi="Times New Roman" w:cs="Times New Roman" w:eastAsia="Times New Roman"/>
                            <w:sz w:val="15"/>
                            <w:szCs w:val="15"/>
                          </w:rPr>
                        </w:pPr>
                        <w:r>
                          <w:rPr>
                            <w:color w:val="565260"/>
                            <w:w w:val="110"/>
                            <w:sz w:val="17"/>
                            <w:szCs w:val="17"/>
                          </w:rPr>
                          <w:t>�</w:t>
                        </w:r>
                        <w:r>
                          <w:rPr>
                            <w:color w:val="565260"/>
                            <w:spacing w:val="-3"/>
                            <w:w w:val="110"/>
                            <w:sz w:val="17"/>
                            <w:szCs w:val="17"/>
                          </w:rPr>
                          <w:t> </w:t>
                        </w:r>
                        <w:r>
                          <w:rPr>
                            <w:color w:val="565260"/>
                            <w:spacing w:val="-2"/>
                            <w:w w:val="105"/>
                            <w:sz w:val="17"/>
                            <w:szCs w:val="17"/>
                          </w:rPr>
                          <w:t>¡pi;:1</w:t>
                        </w:r>
                        <w:r>
                          <w:rPr>
                            <w:rFonts w:ascii="Times New Roman" w:hAnsi="Times New Roman" w:cs="Times New Roman" w:eastAsia="Times New Roman"/>
                            <w:color w:val="833F48"/>
                            <w:spacing w:val="-2"/>
                            <w:w w:val="105"/>
                            <w:sz w:val="17"/>
                            <w:szCs w:val="17"/>
                          </w:rPr>
                          <w:t>,</w:t>
                        </w:r>
                        <w:r>
                          <w:rPr>
                            <w:color w:val="565260"/>
                            <w:spacing w:val="-2"/>
                            <w:w w:val="105"/>
                            <w:sz w:val="16"/>
                            <w:szCs w:val="16"/>
                          </w:rPr>
                          <w:t>□</w:t>
                        </w:r>
                        <w:r>
                          <w:rPr>
                            <w:rFonts w:ascii="Times New Roman" w:hAnsi="Times New Roman" w:cs="Times New Roman" w:eastAsia="Times New Roman"/>
                            <w:color w:val="4D1F16"/>
                            <w:spacing w:val="-2"/>
                            <w:w w:val="105"/>
                            <w:sz w:val="17"/>
                            <w:szCs w:val="17"/>
                          </w:rPr>
                          <w:t>:</w:t>
                        </w:r>
                        <w:r>
                          <w:rPr>
                            <w:rFonts w:ascii="Times New Roman" w:hAnsi="Times New Roman" w:cs="Times New Roman" w:eastAsia="Times New Roman"/>
                            <w:color w:val="462644"/>
                            <w:spacing w:val="-2"/>
                            <w:w w:val="105"/>
                            <w:sz w:val="17"/>
                            <w:szCs w:val="17"/>
                          </w:rPr>
                          <w:t>:m</w:t>
                        </w:r>
                        <w:r>
                          <w:rPr>
                            <w:rFonts w:ascii="Times New Roman" w:hAnsi="Times New Roman" w:cs="Times New Roman" w:eastAsia="Times New Roman"/>
                            <w:color w:val="463F56"/>
                            <w:spacing w:val="-2"/>
                            <w:w w:val="105"/>
                            <w:sz w:val="17"/>
                            <w:szCs w:val="17"/>
                          </w:rPr>
                          <w:t>ua!</w:t>
                        </w:r>
                        <w:r>
                          <w:rPr>
                            <w:rFonts w:ascii="Times New Roman" w:hAnsi="Times New Roman" w:cs="Times New Roman" w:eastAsia="Times New Roman"/>
                            <w:color w:val="463F56"/>
                            <w:sz w:val="17"/>
                            <w:szCs w:val="17"/>
                          </w:rPr>
                          <w:tab/>
                        </w:r>
                        <w:r>
                          <w:rPr>
                            <w:color w:val="463F56"/>
                            <w:w w:val="110"/>
                            <w:sz w:val="15"/>
                            <w:szCs w:val="15"/>
                          </w:rPr>
                          <w:t>ill</w:t>
                        </w:r>
                        <w:r>
                          <w:rPr>
                            <w:color w:val="463F56"/>
                            <w:spacing w:val="22"/>
                            <w:w w:val="110"/>
                            <w:sz w:val="15"/>
                            <w:szCs w:val="15"/>
                          </w:rPr>
                          <w:t> </w:t>
                        </w:r>
                        <w:r>
                          <w:rPr>
                            <w:rFonts w:ascii="Times New Roman" w:hAnsi="Times New Roman" w:cs="Times New Roman" w:eastAsia="Times New Roman"/>
                            <w:color w:val="565260"/>
                            <w:w w:val="110"/>
                            <w:sz w:val="17"/>
                            <w:szCs w:val="17"/>
                          </w:rPr>
                          <w:t>oc</w:t>
                        </w:r>
                        <w:r>
                          <w:rPr>
                            <w:rFonts w:ascii="Times New Roman" w:hAnsi="Times New Roman" w:cs="Times New Roman" w:eastAsia="Times New Roman"/>
                            <w:color w:val="565260"/>
                            <w:spacing w:val="55"/>
                            <w:w w:val="110"/>
                            <w:sz w:val="17"/>
                            <w:szCs w:val="17"/>
                          </w:rPr>
                          <w:t>  </w:t>
                        </w:r>
                        <w:r>
                          <w:rPr>
                            <w:rFonts w:ascii="Times New Roman" w:hAnsi="Times New Roman" w:cs="Times New Roman" w:eastAsia="Times New Roman"/>
                            <w:color w:val="462644"/>
                            <w:w w:val="110"/>
                            <w:sz w:val="17"/>
                            <w:szCs w:val="17"/>
                          </w:rPr>
                          <w:t>allzarla</w:t>
                        </w:r>
                        <w:r>
                          <w:rPr>
                            <w:rFonts w:ascii="Times New Roman" w:hAnsi="Times New Roman" w:cs="Times New Roman" w:eastAsia="Times New Roman"/>
                            <w:color w:val="462644"/>
                            <w:spacing w:val="58"/>
                            <w:w w:val="110"/>
                            <w:sz w:val="17"/>
                            <w:szCs w:val="17"/>
                          </w:rPr>
                          <w:t> </w:t>
                        </w:r>
                        <w:r>
                          <w:rPr>
                            <w:rFonts w:ascii="Times New Roman" w:hAnsi="Times New Roman" w:cs="Times New Roman" w:eastAsia="Times New Roman"/>
                            <w:b/>
                            <w:bCs/>
                            <w:color w:val="463F56"/>
                            <w:w w:val="110"/>
                            <w:sz w:val="17"/>
                            <w:szCs w:val="17"/>
                          </w:rPr>
                          <w:t>n</w:t>
                        </w:r>
                        <w:r>
                          <w:rPr>
                            <w:rFonts w:ascii="Times New Roman" w:hAnsi="Times New Roman" w:cs="Times New Roman" w:eastAsia="Times New Roman"/>
                            <w:b/>
                            <w:bCs/>
                            <w:color w:val="526675"/>
                            <w:w w:val="110"/>
                            <w:sz w:val="17"/>
                            <w:szCs w:val="17"/>
                          </w:rPr>
                          <w:t>�</w:t>
                        </w:r>
                        <w:r>
                          <w:rPr>
                            <w:rFonts w:ascii="Times New Roman" w:hAnsi="Times New Roman" w:cs="Times New Roman" w:eastAsia="Times New Roman"/>
                            <w:b/>
                            <w:bCs/>
                            <w:color w:val="4F3F75"/>
                            <w:w w:val="110"/>
                            <w:sz w:val="17"/>
                            <w:szCs w:val="17"/>
                          </w:rPr>
                          <w:t>i</w:t>
                        </w:r>
                        <w:r>
                          <w:rPr>
                            <w:color w:val="463F56"/>
                            <w:w w:val="110"/>
                            <w:sz w:val="16"/>
                            <w:szCs w:val="16"/>
                          </w:rPr>
                          <w:t>□</w:t>
                        </w:r>
                        <w:r>
                          <w:rPr>
                            <w:color w:val="463F56"/>
                            <w:spacing w:val="35"/>
                            <w:w w:val="110"/>
                            <w:sz w:val="16"/>
                            <w:szCs w:val="16"/>
                          </w:rPr>
                          <w:t> </w:t>
                        </w:r>
                        <w:r>
                          <w:rPr>
                            <w:color w:val="66186B"/>
                            <w:w w:val="110"/>
                            <w:sz w:val="15"/>
                            <w:szCs w:val="15"/>
                          </w:rPr>
                          <w:t>l</w:t>
                        </w:r>
                        <w:r>
                          <w:rPr>
                            <w:color w:val="463F56"/>
                            <w:w w:val="110"/>
                            <w:sz w:val="15"/>
                            <w:szCs w:val="15"/>
                          </w:rPr>
                          <w:t>os</w:t>
                        </w:r>
                        <w:r>
                          <w:rPr>
                            <w:color w:val="463F56"/>
                            <w:spacing w:val="55"/>
                            <w:w w:val="110"/>
                            <w:sz w:val="15"/>
                            <w:szCs w:val="15"/>
                          </w:rPr>
                          <w:t> </w:t>
                        </w:r>
                        <w:r>
                          <w:rPr>
                            <w:color w:val="565260"/>
                            <w:spacing w:val="-2"/>
                            <w:w w:val="110"/>
                            <w:sz w:val="15"/>
                            <w:szCs w:val="15"/>
                          </w:rPr>
                          <w:t>varioc</w:t>
                        </w:r>
                        <w:r>
                          <w:rPr>
                            <w:color w:val="66186B"/>
                            <w:spacing w:val="-2"/>
                            <w:w w:val="110"/>
                            <w:sz w:val="15"/>
                            <w:szCs w:val="15"/>
                          </w:rPr>
                          <w:t>l</w:t>
                        </w:r>
                        <w:r>
                          <w:rPr>
                            <w:color w:val="462644"/>
                            <w:spacing w:val="-2"/>
                            <w:w w:val="110"/>
                            <w:sz w:val="15"/>
                            <w:szCs w:val="15"/>
                          </w:rPr>
                          <w:t>a</w:t>
                        </w:r>
                        <w:r>
                          <w:rPr>
                            <w:color w:val="463F56"/>
                            <w:spacing w:val="-2"/>
                            <w:w w:val="110"/>
                            <w:sz w:val="15"/>
                            <w:szCs w:val="15"/>
                          </w:rPr>
                          <w:t>ll&gt;H</w:t>
                        </w:r>
                        <w:r>
                          <w:rPr>
                            <w:color w:val="463F56"/>
                            <w:sz w:val="15"/>
                            <w:szCs w:val="15"/>
                          </w:rPr>
                          <w:tab/>
                        </w:r>
                        <w:r>
                          <w:rPr>
                            <w:rFonts w:ascii="Times New Roman" w:hAnsi="Times New Roman" w:cs="Times New Roman" w:eastAsia="Times New Roman"/>
                            <w:color w:val="8C879C"/>
                            <w:spacing w:val="-5"/>
                            <w:w w:val="65"/>
                            <w:sz w:val="15"/>
                            <w:szCs w:val="15"/>
                          </w:rPr>
                          <w:t>:O:</w:t>
                        </w:r>
                      </w:p>
                      <w:p>
                        <w:pPr>
                          <w:tabs>
                            <w:tab w:pos="3121" w:val="left" w:leader="none"/>
                          </w:tabs>
                          <w:spacing w:line="177" w:lineRule="exact" w:before="0"/>
                          <w:ind w:left="11" w:right="0" w:firstLine="0"/>
                          <w:jc w:val="left"/>
                          <w:rPr>
                            <w:b/>
                            <w:bCs/>
                            <w:sz w:val="16"/>
                            <w:szCs w:val="16"/>
                          </w:rPr>
                        </w:pPr>
                        <w:r>
                          <w:rPr>
                            <w:color w:val="5B343F"/>
                            <w:spacing w:val="-2"/>
                            <w:w w:val="110"/>
                            <w:sz w:val="15"/>
                            <w:szCs w:val="15"/>
                          </w:rPr>
                          <w:t>pre</w:t>
                        </w:r>
                        <w:r>
                          <w:rPr>
                            <w:color w:val="C3834B"/>
                            <w:spacing w:val="-2"/>
                            <w:w w:val="110"/>
                            <w:sz w:val="15"/>
                            <w:szCs w:val="15"/>
                          </w:rPr>
                          <w:t>:</w:t>
                        </w:r>
                        <w:r>
                          <w:rPr>
                            <w:color w:val="283154"/>
                            <w:spacing w:val="-2"/>
                            <w:w w:val="110"/>
                            <w:sz w:val="15"/>
                            <w:szCs w:val="15"/>
                          </w:rPr>
                          <w:t>lil</w:t>
                        </w:r>
                        <w:r>
                          <w:rPr>
                            <w:color w:val="5B343F"/>
                            <w:spacing w:val="-2"/>
                            <w:w w:val="110"/>
                            <w:sz w:val="15"/>
                            <w:szCs w:val="15"/>
                          </w:rPr>
                          <w:t>,poll'Starb</w:t>
                        </w:r>
                        <w:r>
                          <w:rPr>
                            <w:color w:val="5B343F"/>
                            <w:spacing w:val="35"/>
                            <w:w w:val="110"/>
                            <w:sz w:val="15"/>
                            <w:szCs w:val="15"/>
                          </w:rPr>
                          <w:t>  </w:t>
                        </w:r>
                        <w:r>
                          <w:rPr>
                            <w:color w:val="463F56"/>
                            <w:spacing w:val="-2"/>
                            <w:w w:val="110"/>
                            <w:sz w:val="15"/>
                            <w:szCs w:val="15"/>
                          </w:rPr>
                          <w:t>ill</w:t>
                        </w:r>
                        <w:r>
                          <w:rPr>
                            <w:color w:val="463F56"/>
                            <w:spacing w:val="-2"/>
                            <w:w w:val="110"/>
                            <w:sz w:val="16"/>
                            <w:szCs w:val="16"/>
                          </w:rPr>
                          <w:t>□</w:t>
                        </w:r>
                        <w:r>
                          <w:rPr>
                            <w:color w:val="463F56"/>
                            <w:spacing w:val="-23"/>
                            <w:w w:val="110"/>
                            <w:sz w:val="16"/>
                            <w:szCs w:val="16"/>
                          </w:rPr>
                          <w:t> </w:t>
                        </w:r>
                        <w:r>
                          <w:rPr>
                            <w:color w:val="463F56"/>
                            <w:spacing w:val="-2"/>
                            <w:w w:val="110"/>
                            <w:sz w:val="15"/>
                            <w:szCs w:val="15"/>
                          </w:rPr>
                          <w:t>ill</w:t>
                        </w:r>
                        <w:r>
                          <w:rPr>
                            <w:color w:val="66186B"/>
                            <w:spacing w:val="-2"/>
                            <w:w w:val="110"/>
                            <w:sz w:val="15"/>
                            <w:szCs w:val="15"/>
                          </w:rPr>
                          <w:t>l</w:t>
                        </w:r>
                        <w:r>
                          <w:rPr>
                            <w:color w:val="66186B"/>
                            <w:spacing w:val="-23"/>
                            <w:w w:val="110"/>
                            <w:sz w:val="15"/>
                            <w:szCs w:val="15"/>
                          </w:rPr>
                          <w:t> </w:t>
                        </w:r>
                        <w:r>
                          <w:rPr>
                            <w:color w:val="565260"/>
                            <w:spacing w:val="-2"/>
                            <w:w w:val="110"/>
                            <w:sz w:val="15"/>
                            <w:szCs w:val="15"/>
                          </w:rPr>
                          <w:t>M.oow</w:t>
                        </w:r>
                        <w:r>
                          <w:rPr>
                            <w:color w:val="565260"/>
                            <w:spacing w:val="-16"/>
                            <w:w w:val="110"/>
                            <w:sz w:val="15"/>
                            <w:szCs w:val="15"/>
                          </w:rPr>
                          <w:t> </w:t>
                        </w:r>
                        <w:r>
                          <w:rPr>
                            <w:color w:val="463F56"/>
                            <w:spacing w:val="-2"/>
                            <w:sz w:val="15"/>
                            <w:szCs w:val="15"/>
                          </w:rPr>
                          <w:t>,c:1</w:t>
                        </w:r>
                        <w:r>
                          <w:rPr>
                            <w:color w:val="B8B5B3"/>
                            <w:spacing w:val="-2"/>
                            <w:sz w:val="15"/>
                            <w:szCs w:val="15"/>
                          </w:rPr>
                          <w:t>-</w:t>
                        </w:r>
                        <w:r>
                          <w:rPr>
                            <w:color w:val="463F56"/>
                            <w:spacing w:val="-5"/>
                            <w:sz w:val="15"/>
                            <w:szCs w:val="15"/>
                          </w:rPr>
                          <w:t>.,</w:t>
                        </w:r>
                        <w:r>
                          <w:rPr>
                            <w:color w:val="463F56"/>
                            <w:sz w:val="15"/>
                            <w:szCs w:val="15"/>
                          </w:rPr>
                          <w:tab/>
                        </w:r>
                        <w:r>
                          <w:rPr>
                            <w:color w:val="462644"/>
                            <w:spacing w:val="2"/>
                            <w:w w:val="110"/>
                            <w:sz w:val="15"/>
                            <w:szCs w:val="15"/>
                          </w:rPr>
                          <w:t>a</w:t>
                        </w:r>
                        <w:r>
                          <w:rPr>
                            <w:color w:val="3D5075"/>
                            <w:spacing w:val="2"/>
                            <w:w w:val="110"/>
                            <w:sz w:val="15"/>
                            <w:szCs w:val="15"/>
                          </w:rPr>
                          <w:t>d</w:t>
                        </w:r>
                        <w:r>
                          <w:rPr>
                            <w:color w:val="463F56"/>
                            <w:spacing w:val="2"/>
                            <w:w w:val="110"/>
                            <w:sz w:val="15"/>
                            <w:szCs w:val="15"/>
                          </w:rPr>
                          <w:t>bn</w:t>
                        </w:r>
                        <w:r>
                          <w:rPr>
                            <w:color w:val="463F56"/>
                            <w:spacing w:val="40"/>
                            <w:w w:val="110"/>
                            <w:sz w:val="15"/>
                            <w:szCs w:val="15"/>
                          </w:rPr>
                          <w:t> </w:t>
                        </w:r>
                        <w:r>
                          <w:rPr>
                            <w:b/>
                            <w:bCs/>
                            <w:color w:val="565260"/>
                            <w:spacing w:val="2"/>
                            <w:w w:val="110"/>
                            <w:sz w:val="16"/>
                            <w:szCs w:val="16"/>
                          </w:rPr>
                          <w:t>de</w:t>
                        </w:r>
                        <w:r>
                          <w:rPr>
                            <w:b/>
                            <w:bCs/>
                            <w:color w:val="565260"/>
                            <w:spacing w:val="35"/>
                            <w:w w:val="110"/>
                            <w:sz w:val="16"/>
                            <w:szCs w:val="16"/>
                          </w:rPr>
                          <w:t> </w:t>
                        </w:r>
                        <w:r>
                          <w:rPr>
                            <w:b/>
                            <w:bCs/>
                            <w:color w:val="565260"/>
                            <w:spacing w:val="-2"/>
                            <w:w w:val="110"/>
                            <w:sz w:val="16"/>
                            <w:szCs w:val="16"/>
                          </w:rPr>
                          <w:t>�</w:t>
                        </w:r>
                        <w:r>
                          <w:rPr>
                            <w:b/>
                            <w:bCs/>
                            <w:color w:val="362F80"/>
                            <w:spacing w:val="-2"/>
                            <w:w w:val="110"/>
                            <w:sz w:val="16"/>
                            <w:szCs w:val="16"/>
                          </w:rPr>
                          <w:t>i</w:t>
                        </w:r>
                        <w:r>
                          <w:rPr>
                            <w:b/>
                            <w:bCs/>
                            <w:color w:val="592F59"/>
                            <w:spacing w:val="-2"/>
                            <w:w w:val="110"/>
                            <w:sz w:val="16"/>
                            <w:szCs w:val="16"/>
                          </w:rPr>
                          <w:t>fl</w:t>
                        </w:r>
                        <w:r>
                          <w:rPr>
                            <w:b/>
                            <w:bCs/>
                            <w:color w:val="7E7789"/>
                            <w:spacing w:val="-2"/>
                            <w:w w:val="110"/>
                            <w:sz w:val="16"/>
                            <w:szCs w:val="16"/>
                          </w:rPr>
                          <w:t>t_</w:t>
                        </w:r>
                      </w:p>
                    </w:txbxContent>
                  </v:textbox>
                  <w10:wrap type="none"/>
                </v:shape>
                <w10:wrap type="topAndBottom"/>
              </v:group>
            </w:pict>
          </mc:Fallback>
        </mc:AlternateContent>
      </w:r>
    </w:p>
    <w:p>
      <w:pPr>
        <w:pStyle w:val="BodyText"/>
        <w:spacing w:before="8"/>
        <w:rPr>
          <w:rFonts w:ascii="Times New Roman"/>
          <w:sz w:val="16"/>
        </w:rPr>
      </w:pPr>
    </w:p>
    <w:p>
      <w:pPr>
        <w:pStyle w:val="BodyText"/>
        <w:spacing w:after="0"/>
        <w:rPr>
          <w:rFonts w:ascii="Times New Roman"/>
          <w:sz w:val="16"/>
        </w:rPr>
        <w:sectPr>
          <w:footerReference w:type="default" r:id="rId125"/>
          <w:pgSz w:w="12240" w:h="15840"/>
          <w:pgMar w:header="0" w:footer="0" w:top="1640" w:bottom="280" w:left="1440" w:right="360"/>
        </w:sectPr>
      </w:pPr>
    </w:p>
    <w:p>
      <w:pPr>
        <w:spacing w:before="95"/>
        <w:ind w:left="0" w:right="0" w:firstLine="0"/>
        <w:jc w:val="right"/>
        <w:rPr>
          <w:sz w:val="16"/>
        </w:rPr>
      </w:pPr>
      <w:r>
        <w:rPr>
          <w:color w:val="DFA762"/>
          <w:w w:val="90"/>
          <w:sz w:val="16"/>
        </w:rPr>
        <w:t>I</w:t>
      </w:r>
      <w:r>
        <w:rPr>
          <w:color w:val="283154"/>
          <w:w w:val="90"/>
          <w:sz w:val="16"/>
        </w:rPr>
        <w:t>E-</w:t>
      </w:r>
      <w:r>
        <w:rPr>
          <w:color w:val="283154"/>
          <w:spacing w:val="-4"/>
          <w:sz w:val="16"/>
        </w:rPr>
        <w:t>.!</w:t>
      </w:r>
      <w:r>
        <w:rPr>
          <w:color w:val="462644"/>
          <w:spacing w:val="-4"/>
          <w:sz w:val="16"/>
        </w:rPr>
        <w:t>e</w:t>
      </w:r>
      <w:r>
        <w:rPr>
          <w:color w:val="283154"/>
          <w:spacing w:val="-4"/>
          <w:sz w:val="16"/>
        </w:rPr>
        <w:t>:</w:t>
      </w:r>
    </w:p>
    <w:p>
      <w:pPr>
        <w:tabs>
          <w:tab w:pos="423" w:val="left" w:leader="none"/>
        </w:tabs>
        <w:spacing w:before="95"/>
        <w:ind w:left="0" w:right="8026" w:firstLine="0"/>
        <w:jc w:val="right"/>
        <w:rPr>
          <w:sz w:val="16"/>
        </w:rPr>
      </w:pPr>
      <w:r>
        <w:rPr/>
        <w:br w:type="column"/>
      </w:r>
      <w:r>
        <w:rPr>
          <w:color w:val="463F56"/>
          <w:sz w:val="16"/>
        </w:rPr>
        <w:t>9</w:t>
      </w:r>
      <w:r>
        <w:rPr>
          <w:color w:val="463F56"/>
          <w:spacing w:val="-7"/>
          <w:sz w:val="16"/>
        </w:rPr>
        <w:t> </w:t>
      </w:r>
      <w:r>
        <w:rPr>
          <w:color w:val="A18289"/>
          <w:spacing w:val="-10"/>
          <w:sz w:val="16"/>
        </w:rPr>
        <w:t>•</w:t>
      </w:r>
      <w:r>
        <w:rPr>
          <w:color w:val="A18289"/>
          <w:sz w:val="16"/>
        </w:rPr>
        <w:tab/>
      </w:r>
      <w:r>
        <w:rPr>
          <w:color w:val="8056A3"/>
          <w:spacing w:val="-2"/>
          <w:sz w:val="16"/>
        </w:rPr>
        <w:t>i</w:t>
      </w:r>
      <w:r>
        <w:rPr>
          <w:color w:val="4F3F75"/>
          <w:spacing w:val="-2"/>
          <w:sz w:val="16"/>
        </w:rPr>
        <w:t>rr</w:t>
      </w:r>
      <w:r>
        <w:rPr>
          <w:color w:val="463F56"/>
          <w:spacing w:val="-2"/>
          <w:sz w:val="16"/>
        </w:rPr>
        <w:t>te</w:t>
      </w:r>
    </w:p>
    <w:p>
      <w:pPr>
        <w:pStyle w:val="BodyText"/>
        <w:rPr>
          <w:sz w:val="16"/>
        </w:rPr>
      </w:pPr>
    </w:p>
    <w:p>
      <w:pPr>
        <w:pStyle w:val="BodyText"/>
        <w:rPr>
          <w:sz w:val="16"/>
        </w:rPr>
      </w:pPr>
    </w:p>
    <w:p>
      <w:pPr>
        <w:pStyle w:val="BodyText"/>
        <w:spacing w:before="182"/>
        <w:rPr>
          <w:sz w:val="16"/>
        </w:rPr>
      </w:pPr>
    </w:p>
    <w:p>
      <w:pPr>
        <w:spacing w:before="0"/>
        <w:ind w:left="0" w:right="8031" w:firstLine="0"/>
        <w:jc w:val="right"/>
        <w:rPr>
          <w:sz w:val="16"/>
        </w:rPr>
      </w:pPr>
      <w:r>
        <w:rPr>
          <w:sz w:val="16"/>
        </w:rPr>
        <w:drawing>
          <wp:anchor distT="0" distB="0" distL="0" distR="0" allowOverlap="1" layoutInCell="1" locked="0" behindDoc="0" simplePos="0" relativeHeight="15773696">
            <wp:simplePos x="0" y="0"/>
            <wp:positionH relativeFrom="page">
              <wp:posOffset>3187103</wp:posOffset>
            </wp:positionH>
            <wp:positionV relativeFrom="paragraph">
              <wp:posOffset>-554558</wp:posOffset>
            </wp:positionV>
            <wp:extent cx="2173579" cy="94602"/>
            <wp:effectExtent l="0" t="0" r="0" b="0"/>
            <wp:wrapNone/>
            <wp:docPr id="325" name="Image 325"/>
            <wp:cNvGraphicFramePr>
              <a:graphicFrameLocks/>
            </wp:cNvGraphicFramePr>
            <a:graphic>
              <a:graphicData uri="http://schemas.openxmlformats.org/drawingml/2006/picture">
                <pic:pic>
                  <pic:nvPicPr>
                    <pic:cNvPr id="325" name="Image 325"/>
                    <pic:cNvPicPr/>
                  </pic:nvPicPr>
                  <pic:blipFill>
                    <a:blip r:embed="rId129" cstate="print"/>
                    <a:stretch>
                      <a:fillRect/>
                    </a:stretch>
                  </pic:blipFill>
                  <pic:spPr>
                    <a:xfrm>
                      <a:off x="0" y="0"/>
                      <a:ext cx="2173579" cy="94602"/>
                    </a:xfrm>
                    <a:prstGeom prst="rect">
                      <a:avLst/>
                    </a:prstGeom>
                  </pic:spPr>
                </pic:pic>
              </a:graphicData>
            </a:graphic>
          </wp:anchor>
        </w:drawing>
      </w:r>
      <w:r>
        <w:rPr>
          <w:sz w:val="16"/>
        </w:rPr>
        <w:drawing>
          <wp:anchor distT="0" distB="0" distL="0" distR="0" allowOverlap="1" layoutInCell="1" locked="0" behindDoc="0" simplePos="0" relativeHeight="15774208">
            <wp:simplePos x="0" y="0"/>
            <wp:positionH relativeFrom="page">
              <wp:posOffset>1819457</wp:posOffset>
            </wp:positionH>
            <wp:positionV relativeFrom="paragraph">
              <wp:posOffset>-240232</wp:posOffset>
            </wp:positionV>
            <wp:extent cx="2613181" cy="109861"/>
            <wp:effectExtent l="0" t="0" r="0" b="0"/>
            <wp:wrapNone/>
            <wp:docPr id="326" name="Image 326"/>
            <wp:cNvGraphicFramePr>
              <a:graphicFrameLocks/>
            </wp:cNvGraphicFramePr>
            <a:graphic>
              <a:graphicData uri="http://schemas.openxmlformats.org/drawingml/2006/picture">
                <pic:pic>
                  <pic:nvPicPr>
                    <pic:cNvPr id="326" name="Image 326"/>
                    <pic:cNvPicPr/>
                  </pic:nvPicPr>
                  <pic:blipFill>
                    <a:blip r:embed="rId130" cstate="print"/>
                    <a:stretch>
                      <a:fillRect/>
                    </a:stretch>
                  </pic:blipFill>
                  <pic:spPr>
                    <a:xfrm>
                      <a:off x="0" y="0"/>
                      <a:ext cx="2613181" cy="109861"/>
                    </a:xfrm>
                    <a:prstGeom prst="rect">
                      <a:avLst/>
                    </a:prstGeom>
                  </pic:spPr>
                </pic:pic>
              </a:graphicData>
            </a:graphic>
          </wp:anchor>
        </w:drawing>
      </w:r>
      <w:r>
        <w:rPr>
          <w:color w:val="DFA762"/>
          <w:spacing w:val="-2"/>
          <w:w w:val="115"/>
          <w:sz w:val="16"/>
        </w:rPr>
        <w:t>I</w:t>
      </w:r>
      <w:r>
        <w:rPr>
          <w:color w:val="565260"/>
          <w:spacing w:val="-2"/>
          <w:w w:val="115"/>
          <w:sz w:val="16"/>
        </w:rPr>
        <w:t>Fliffla</w:t>
      </w:r>
      <w:r>
        <w:rPr>
          <w:color w:val="546BA5"/>
          <w:spacing w:val="-2"/>
          <w:w w:val="115"/>
          <w:sz w:val="16"/>
        </w:rPr>
        <w:t>:</w:t>
      </w:r>
    </w:p>
    <w:p>
      <w:pPr>
        <w:spacing w:after="0"/>
        <w:jc w:val="right"/>
        <w:rPr>
          <w:sz w:val="16"/>
        </w:rPr>
        <w:sectPr>
          <w:type w:val="continuous"/>
          <w:pgSz w:w="12240" w:h="15840"/>
          <w:pgMar w:header="0" w:footer="0" w:top="1820" w:bottom="280" w:left="1440" w:right="360"/>
          <w:cols w:num="2" w:equalWidth="0">
            <w:col w:w="1600" w:space="40"/>
            <w:col w:w="8800"/>
          </w:cols>
        </w:sectPr>
      </w:pPr>
    </w:p>
    <w:p>
      <w:pPr>
        <w:pStyle w:val="BodyText"/>
        <w:spacing w:before="17"/>
        <w:rPr>
          <w:sz w:val="16"/>
        </w:rPr>
      </w:pPr>
      <w:r>
        <w:rPr>
          <w:sz w:val="16"/>
        </w:rPr>
        <w:drawing>
          <wp:anchor distT="0" distB="0" distL="0" distR="0" allowOverlap="1" layoutInCell="1" locked="0" behindDoc="1" simplePos="0" relativeHeight="475375104">
            <wp:simplePos x="0" y="0"/>
            <wp:positionH relativeFrom="page">
              <wp:posOffset>3956404</wp:posOffset>
            </wp:positionH>
            <wp:positionV relativeFrom="page">
              <wp:posOffset>1290880</wp:posOffset>
            </wp:positionV>
            <wp:extent cx="2048985" cy="118872"/>
            <wp:effectExtent l="0" t="0" r="0" b="0"/>
            <wp:wrapNone/>
            <wp:docPr id="327" name="Image 327"/>
            <wp:cNvGraphicFramePr>
              <a:graphicFrameLocks/>
            </wp:cNvGraphicFramePr>
            <a:graphic>
              <a:graphicData uri="http://schemas.openxmlformats.org/drawingml/2006/picture">
                <pic:pic>
                  <pic:nvPicPr>
                    <pic:cNvPr id="327" name="Image 327"/>
                    <pic:cNvPicPr/>
                  </pic:nvPicPr>
                  <pic:blipFill>
                    <a:blip r:embed="rId131" cstate="print"/>
                    <a:stretch>
                      <a:fillRect/>
                    </a:stretch>
                  </pic:blipFill>
                  <pic:spPr>
                    <a:xfrm>
                      <a:off x="0" y="0"/>
                      <a:ext cx="2048985" cy="118872"/>
                    </a:xfrm>
                    <a:prstGeom prst="rect">
                      <a:avLst/>
                    </a:prstGeom>
                  </pic:spPr>
                </pic:pic>
              </a:graphicData>
            </a:graphic>
          </wp:anchor>
        </w:drawing>
      </w:r>
    </w:p>
    <w:p>
      <w:pPr>
        <w:tabs>
          <w:tab w:pos="6473" w:val="left" w:leader="none"/>
        </w:tabs>
        <w:spacing w:before="0"/>
        <w:ind w:left="1862" w:right="0" w:firstLine="0"/>
        <w:jc w:val="left"/>
        <w:rPr>
          <w:sz w:val="16"/>
        </w:rPr>
      </w:pPr>
      <w:r>
        <w:rPr>
          <w:color w:val="DFA762"/>
          <w:sz w:val="16"/>
        </w:rPr>
        <w:t>I</w:t>
      </w:r>
      <w:r>
        <w:rPr>
          <w:color w:val="283154"/>
          <w:sz w:val="16"/>
        </w:rPr>
        <w:t>P</w:t>
      </w:r>
      <w:r>
        <w:rPr>
          <w:color w:val="E9C185"/>
          <w:sz w:val="16"/>
        </w:rPr>
        <w:t>.</w:t>
      </w:r>
      <w:r>
        <w:rPr>
          <w:color w:val="E9C185"/>
          <w:spacing w:val="-3"/>
          <w:w w:val="115"/>
          <w:sz w:val="16"/>
        </w:rPr>
        <w:t> </w:t>
      </w:r>
      <w:r>
        <w:rPr>
          <w:color w:val="463F56"/>
          <w:w w:val="115"/>
          <w:sz w:val="13"/>
        </w:rPr>
        <w:t>f!'jlO</w:t>
      </w:r>
      <w:r>
        <w:rPr>
          <w:color w:val="705D87"/>
          <w:w w:val="115"/>
          <w:sz w:val="13"/>
        </w:rPr>
        <w:t>I</w:t>
      </w:r>
      <w:r>
        <w:rPr>
          <w:color w:val="705D87"/>
          <w:spacing w:val="70"/>
          <w:w w:val="115"/>
          <w:sz w:val="13"/>
        </w:rPr>
        <w:t> </w:t>
      </w:r>
      <w:r>
        <w:rPr>
          <w:color w:val="565260"/>
          <w:w w:val="105"/>
          <w:sz w:val="16"/>
        </w:rPr>
        <w:t>\i!ll'alill</w:t>
      </w:r>
      <w:r>
        <w:rPr>
          <w:color w:val="565260"/>
          <w:spacing w:val="13"/>
          <w:w w:val="105"/>
          <w:sz w:val="16"/>
        </w:rPr>
        <w:t> </w:t>
      </w:r>
      <w:r>
        <w:rPr>
          <w:color w:val="565260"/>
          <w:w w:val="105"/>
          <w:sz w:val="13"/>
        </w:rPr>
        <w:t>OI</w:t>
      </w:r>
      <w:r>
        <w:rPr>
          <w:color w:val="565260"/>
          <w:spacing w:val="-14"/>
          <w:w w:val="105"/>
          <w:sz w:val="13"/>
        </w:rPr>
        <w:t> </w:t>
      </w:r>
      <w:r>
        <w:rPr>
          <w:color w:val="463F56"/>
          <w:w w:val="105"/>
          <w:sz w:val="16"/>
        </w:rPr>
        <w:t>de</w:t>
      </w:r>
      <w:r>
        <w:rPr>
          <w:color w:val="463F56"/>
          <w:spacing w:val="50"/>
          <w:w w:val="105"/>
          <w:sz w:val="16"/>
        </w:rPr>
        <w:t> </w:t>
      </w:r>
      <w:r>
        <w:rPr>
          <w:color w:val="463F56"/>
          <w:w w:val="105"/>
          <w:sz w:val="16"/>
        </w:rPr>
        <w:t>kl</w:t>
      </w:r>
      <w:r>
        <w:rPr>
          <w:color w:val="463F56"/>
          <w:spacing w:val="50"/>
          <w:w w:val="105"/>
          <w:sz w:val="16"/>
        </w:rPr>
        <w:t> </w:t>
      </w:r>
      <w:r>
        <w:rPr>
          <w:color w:val="526675"/>
          <w:w w:val="105"/>
          <w:sz w:val="16"/>
        </w:rPr>
        <w:t>lll</w:t>
      </w:r>
      <w:r>
        <w:rPr>
          <w:color w:val="463F56"/>
          <w:w w:val="105"/>
          <w:sz w:val="16"/>
        </w:rPr>
        <w:t>ríléleld</w:t>
      </w:r>
      <w:r>
        <w:rPr>
          <w:color w:val="463F56"/>
          <w:spacing w:val="10"/>
          <w:w w:val="105"/>
          <w:sz w:val="16"/>
        </w:rPr>
        <w:t> </w:t>
      </w:r>
      <w:r>
        <w:rPr>
          <w:color w:val="463F56"/>
          <w:w w:val="105"/>
          <w:sz w:val="16"/>
        </w:rPr>
        <w:t>de</w:t>
      </w:r>
      <w:r>
        <w:rPr>
          <w:color w:val="67B3E4"/>
          <w:w w:val="105"/>
          <w:sz w:val="16"/>
        </w:rPr>
        <w:t>·</w:t>
      </w:r>
      <w:r>
        <w:rPr>
          <w:color w:val="DFA762"/>
          <w:w w:val="105"/>
          <w:sz w:val="16"/>
        </w:rPr>
        <w:t>I</w:t>
      </w:r>
      <w:r>
        <w:rPr>
          <w:color w:val="283154"/>
          <w:w w:val="105"/>
          <w:sz w:val="16"/>
        </w:rPr>
        <w:t>P</w:t>
      </w:r>
      <w:r>
        <w:rPr>
          <w:color w:val="5D003F"/>
          <w:w w:val="105"/>
          <w:sz w:val="16"/>
        </w:rPr>
        <w:t>l</w:t>
      </w:r>
      <w:r>
        <w:rPr>
          <w:color w:val="565260"/>
          <w:w w:val="105"/>
          <w:sz w:val="16"/>
        </w:rPr>
        <w:t>'a</w:t>
      </w:r>
      <w:r>
        <w:rPr>
          <w:color w:val="565260"/>
          <w:spacing w:val="42"/>
          <w:w w:val="105"/>
          <w:sz w:val="16"/>
        </w:rPr>
        <w:t> </w:t>
      </w:r>
      <w:r>
        <w:rPr>
          <w:color w:val="DFA762"/>
          <w:w w:val="105"/>
          <w:sz w:val="16"/>
        </w:rPr>
        <w:t>'</w:t>
      </w:r>
      <w:r>
        <w:rPr>
          <w:color w:val="283154"/>
          <w:w w:val="105"/>
          <w:sz w:val="16"/>
        </w:rPr>
        <w:t>ll</w:t>
      </w:r>
      <w:r>
        <w:rPr>
          <w:color w:val="565260"/>
          <w:w w:val="105"/>
          <w:sz w:val="16"/>
        </w:rPr>
        <w:t>cacl'i5ér</w:t>
      </w:r>
      <w:r>
        <w:rPr>
          <w:rFonts w:ascii="Times New Roman" w:hAnsi="Times New Roman"/>
          <w:color w:val="526675"/>
          <w:w w:val="105"/>
          <w:sz w:val="17"/>
        </w:rPr>
        <w:t>I</w:t>
      </w:r>
      <w:r>
        <w:rPr>
          <w:color w:val="565260"/>
          <w:w w:val="105"/>
          <w:sz w:val="16"/>
        </w:rPr>
        <w:t>n</w:t>
      </w:r>
      <w:r>
        <w:rPr>
          <w:color w:val="565260"/>
          <w:spacing w:val="2"/>
          <w:w w:val="105"/>
          <w:sz w:val="16"/>
        </w:rPr>
        <w:t> </w:t>
      </w:r>
      <w:r>
        <w:rPr>
          <w:color w:val="463F56"/>
          <w:spacing w:val="-5"/>
          <w:w w:val="105"/>
          <w:sz w:val="16"/>
        </w:rPr>
        <w:t>l1I</w:t>
      </w:r>
      <w:r>
        <w:rPr>
          <w:color w:val="463F56"/>
          <w:sz w:val="16"/>
        </w:rPr>
        <w:tab/>
      </w:r>
      <w:r>
        <w:rPr>
          <w:color w:val="DFA762"/>
          <w:spacing w:val="-5"/>
          <w:sz w:val="16"/>
        </w:rPr>
        <w:t>·</w:t>
      </w:r>
      <w:r>
        <w:rPr>
          <w:color w:val="052689"/>
          <w:spacing w:val="-5"/>
          <w:sz w:val="16"/>
        </w:rPr>
        <w:t>1</w:t>
      </w:r>
      <w:r>
        <w:rPr>
          <w:color w:val="463F56"/>
          <w:spacing w:val="-5"/>
          <w:sz w:val="16"/>
        </w:rPr>
        <w:t>0</w:t>
      </w:r>
      <w:r>
        <w:rPr>
          <w:color w:val="463F56"/>
          <w:spacing w:val="14"/>
          <w:sz w:val="16"/>
        </w:rPr>
        <w:drawing>
          <wp:inline distT="0" distB="0" distL="0" distR="0">
            <wp:extent cx="689928" cy="79344"/>
            <wp:effectExtent l="0" t="0" r="0" b="0"/>
            <wp:docPr id="328" name="Image 328"/>
            <wp:cNvGraphicFramePr>
              <a:graphicFrameLocks/>
            </wp:cNvGraphicFramePr>
            <a:graphic>
              <a:graphicData uri="http://schemas.openxmlformats.org/drawingml/2006/picture">
                <pic:pic>
                  <pic:nvPicPr>
                    <pic:cNvPr id="328" name="Image 328"/>
                    <pic:cNvPicPr/>
                  </pic:nvPicPr>
                  <pic:blipFill>
                    <a:blip r:embed="rId132" cstate="print"/>
                    <a:stretch>
                      <a:fillRect/>
                    </a:stretch>
                  </pic:blipFill>
                  <pic:spPr>
                    <a:xfrm>
                      <a:off x="0" y="0"/>
                      <a:ext cx="689928" cy="79344"/>
                    </a:xfrm>
                    <a:prstGeom prst="rect">
                      <a:avLst/>
                    </a:prstGeom>
                  </pic:spPr>
                </pic:pic>
              </a:graphicData>
            </a:graphic>
          </wp:inline>
        </w:drawing>
      </w:r>
      <w:r>
        <w:rPr>
          <w:color w:val="463F56"/>
          <w:spacing w:val="14"/>
          <w:sz w:val="16"/>
        </w:rPr>
      </w:r>
    </w:p>
    <w:p>
      <w:pPr>
        <w:pStyle w:val="BodyText"/>
        <w:spacing w:before="47"/>
        <w:rPr>
          <w:sz w:val="16"/>
        </w:rPr>
      </w:pPr>
    </w:p>
    <w:p>
      <w:pPr>
        <w:spacing w:before="1"/>
        <w:ind w:left="6727" w:right="0" w:firstLine="0"/>
        <w:jc w:val="left"/>
        <w:rPr>
          <w:sz w:val="16"/>
        </w:rPr>
      </w:pPr>
      <w:r>
        <w:rPr>
          <w:color w:val="546BA5"/>
          <w:w w:val="105"/>
          <w:sz w:val="16"/>
        </w:rPr>
        <w:t>ViEllS</w:t>
      </w:r>
      <w:r>
        <w:rPr>
          <w:color w:val="2D449E"/>
          <w:w w:val="105"/>
          <w:sz w:val="16"/>
        </w:rPr>
        <w:t>I</w:t>
      </w:r>
      <w:r>
        <w:rPr>
          <w:color w:val="546BA5"/>
          <w:w w:val="105"/>
          <w:sz w:val="16"/>
        </w:rPr>
        <w:t>ÓN</w:t>
      </w:r>
      <w:r>
        <w:rPr>
          <w:color w:val="546BA5"/>
          <w:spacing w:val="69"/>
          <w:w w:val="150"/>
          <w:sz w:val="16"/>
        </w:rPr>
        <w:t> </w:t>
      </w:r>
      <w:r>
        <w:rPr>
          <w:color w:val="546BA5"/>
          <w:w w:val="105"/>
          <w:sz w:val="16"/>
        </w:rPr>
        <w:t>Ul!IO</w:t>
      </w:r>
      <w:r>
        <w:rPr>
          <w:color w:val="546BA5"/>
          <w:spacing w:val="5"/>
          <w:w w:val="105"/>
          <w:sz w:val="16"/>
        </w:rPr>
        <w:t> </w:t>
      </w:r>
      <w:r>
        <w:rPr>
          <w:color w:val="3D5DA1"/>
          <w:spacing w:val="-4"/>
          <w:w w:val="105"/>
          <w:sz w:val="16"/>
        </w:rPr>
        <w:t>2025</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3"/>
        <w:rPr>
          <w:sz w:val="20"/>
        </w:rPr>
      </w:pPr>
      <w:r>
        <w:rPr>
          <w:sz w:val="20"/>
        </w:rPr>
        <w:drawing>
          <wp:anchor distT="0" distB="0" distL="0" distR="0" allowOverlap="1" layoutInCell="1" locked="0" behindDoc="1" simplePos="0" relativeHeight="487631360">
            <wp:simplePos x="0" y="0"/>
            <wp:positionH relativeFrom="page">
              <wp:posOffset>5653750</wp:posOffset>
            </wp:positionH>
            <wp:positionV relativeFrom="paragraph">
              <wp:posOffset>213995</wp:posOffset>
            </wp:positionV>
            <wp:extent cx="634209" cy="103631"/>
            <wp:effectExtent l="0" t="0" r="0" b="0"/>
            <wp:wrapTopAndBottom/>
            <wp:docPr id="329" name="Image 329"/>
            <wp:cNvGraphicFramePr>
              <a:graphicFrameLocks/>
            </wp:cNvGraphicFramePr>
            <a:graphic>
              <a:graphicData uri="http://schemas.openxmlformats.org/drawingml/2006/picture">
                <pic:pic>
                  <pic:nvPicPr>
                    <pic:cNvPr id="329" name="Image 329"/>
                    <pic:cNvPicPr/>
                  </pic:nvPicPr>
                  <pic:blipFill>
                    <a:blip r:embed="rId133" cstate="print"/>
                    <a:stretch>
                      <a:fillRect/>
                    </a:stretch>
                  </pic:blipFill>
                  <pic:spPr>
                    <a:xfrm>
                      <a:off x="0" y="0"/>
                      <a:ext cx="634209" cy="103631"/>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631872">
                <wp:simplePos x="0" y="0"/>
                <wp:positionH relativeFrom="page">
                  <wp:posOffset>992153</wp:posOffset>
                </wp:positionH>
                <wp:positionV relativeFrom="paragraph">
                  <wp:posOffset>427475</wp:posOffset>
                </wp:positionV>
                <wp:extent cx="6127115" cy="1501775"/>
                <wp:effectExtent l="0" t="0" r="0" b="0"/>
                <wp:wrapTopAndBottom/>
                <wp:docPr id="330" name="Group 330"/>
                <wp:cNvGraphicFramePr>
                  <a:graphicFrameLocks/>
                </wp:cNvGraphicFramePr>
                <a:graphic>
                  <a:graphicData uri="http://schemas.microsoft.com/office/word/2010/wordprocessingGroup">
                    <wpg:wgp>
                      <wpg:cNvPr id="330" name="Group 330"/>
                      <wpg:cNvGrpSpPr/>
                      <wpg:grpSpPr>
                        <a:xfrm>
                          <a:off x="0" y="0"/>
                          <a:ext cx="6127115" cy="1501775"/>
                          <a:chExt cx="6127115" cy="1501775"/>
                        </a:xfrm>
                      </wpg:grpSpPr>
                      <pic:pic>
                        <pic:nvPicPr>
                          <pic:cNvPr id="331" name="Image 331"/>
                          <pic:cNvPicPr/>
                        </pic:nvPicPr>
                        <pic:blipFill>
                          <a:blip r:embed="rId134" cstate="print"/>
                          <a:stretch>
                            <a:fillRect/>
                          </a:stretch>
                        </pic:blipFill>
                        <pic:spPr>
                          <a:xfrm>
                            <a:off x="0" y="0"/>
                            <a:ext cx="6126932" cy="1501433"/>
                          </a:xfrm>
                          <a:prstGeom prst="rect">
                            <a:avLst/>
                          </a:prstGeom>
                        </pic:spPr>
                      </pic:pic>
                      <wps:wsp>
                        <wps:cNvPr id="332" name="Textbox 332"/>
                        <wps:cNvSpPr txBox="1"/>
                        <wps:spPr>
                          <a:xfrm>
                            <a:off x="67330" y="460245"/>
                            <a:ext cx="269240" cy="170815"/>
                          </a:xfrm>
                          <a:prstGeom prst="rect">
                            <a:avLst/>
                          </a:prstGeom>
                        </wps:spPr>
                        <wps:txbx>
                          <w:txbxContent>
                            <w:p>
                              <w:pPr>
                                <w:spacing w:line="268" w:lineRule="exact" w:before="0"/>
                                <w:ind w:left="0" w:right="0" w:firstLine="0"/>
                                <w:jc w:val="left"/>
                                <w:rPr>
                                  <w:b/>
                                  <w:sz w:val="24"/>
                                </w:rPr>
                              </w:pPr>
                              <w:r>
                                <w:rPr>
                                  <w:b/>
                                  <w:spacing w:val="-5"/>
                                  <w:sz w:val="24"/>
                                </w:rPr>
                                <w:t>176</w:t>
                              </w:r>
                            </w:p>
                          </w:txbxContent>
                        </wps:txbx>
                        <wps:bodyPr wrap="square" lIns="0" tIns="0" rIns="0" bIns="0" rtlCol="0">
                          <a:noAutofit/>
                        </wps:bodyPr>
                      </wps:wsp>
                      <wps:wsp>
                        <wps:cNvPr id="333" name="Textbox 333"/>
                        <wps:cNvSpPr txBox="1"/>
                        <wps:spPr>
                          <a:xfrm>
                            <a:off x="645892" y="447545"/>
                            <a:ext cx="292925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wpg:wgp>
                  </a:graphicData>
                </a:graphic>
              </wp:anchor>
            </w:drawing>
          </mc:Choice>
          <mc:Fallback>
            <w:pict>
              <v:group style="position:absolute;margin-left:78.122345pt;margin-top:33.659451pt;width:482.45pt;height:118.25pt;mso-position-horizontal-relative:page;mso-position-vertical-relative:paragraph;z-index:-15684608;mso-wrap-distance-left:0;mso-wrap-distance-right:0" id="docshapegroup242" coordorigin="1562,673" coordsize="9649,2365">
                <v:shape style="position:absolute;left:1562;top:673;width:9649;height:2365" type="#_x0000_t75" id="docshape243" stroked="false">
                  <v:imagedata r:id="rId134" o:title=""/>
                </v:shape>
                <v:shape style="position:absolute;left:1668;top:1397;width:424;height:269" type="#_x0000_t202" id="docshape244" filled="false" stroked="false">
                  <v:textbox inset="0,0,0,0">
                    <w:txbxContent>
                      <w:p>
                        <w:pPr>
                          <w:spacing w:line="268" w:lineRule="exact" w:before="0"/>
                          <w:ind w:left="0" w:right="0" w:firstLine="0"/>
                          <w:jc w:val="left"/>
                          <w:rPr>
                            <w:b/>
                            <w:sz w:val="24"/>
                          </w:rPr>
                        </w:pPr>
                        <w:r>
                          <w:rPr>
                            <w:b/>
                            <w:spacing w:val="-5"/>
                            <w:sz w:val="24"/>
                          </w:rPr>
                          <w:t>176</w:t>
                        </w:r>
                      </w:p>
                    </w:txbxContent>
                  </v:textbox>
                  <w10:wrap type="none"/>
                </v:shape>
                <v:shape style="position:absolute;left:2579;top:1377;width:4613;height:309" type="#_x0000_t202" id="docshape245"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10:wrap type="topAndBottom"/>
              </v:group>
            </w:pict>
          </mc:Fallback>
        </mc:AlternateContent>
      </w:r>
    </w:p>
    <w:p>
      <w:pPr>
        <w:pStyle w:val="BodyText"/>
        <w:spacing w:before="11"/>
        <w:rPr>
          <w:sz w:val="12"/>
        </w:rPr>
      </w:pPr>
    </w:p>
    <w:p>
      <w:pPr>
        <w:pStyle w:val="BodyText"/>
        <w:spacing w:after="0"/>
        <w:rPr>
          <w:sz w:val="12"/>
        </w:rPr>
        <w:sectPr>
          <w:type w:val="continuous"/>
          <w:pgSz w:w="12240" w:h="15840"/>
          <w:pgMar w:header="0" w:footer="0" w:top="1820" w:bottom="280" w:left="1440" w:right="360"/>
        </w:sectPr>
      </w:pPr>
    </w:p>
    <w:p>
      <w:pPr>
        <w:pStyle w:val="Heading3"/>
        <w:spacing w:before="181"/>
        <w:ind w:left="338"/>
      </w:pPr>
      <w:bookmarkStart w:name="_bookmark81" w:id="82"/>
      <w:bookmarkEnd w:id="82"/>
      <w:r>
        <w:rPr>
          <w:b w:val="0"/>
        </w:rPr>
      </w:r>
      <w:r>
        <w:rPr/>
        <w:t>Anexo</w:t>
      </w:r>
      <w:r>
        <w:rPr>
          <w:spacing w:val="-3"/>
        </w:rPr>
        <w:t> </w:t>
      </w:r>
      <w:r>
        <w:rPr/>
        <w:t>IV:</w:t>
      </w:r>
      <w:r>
        <w:rPr>
          <w:spacing w:val="-3"/>
        </w:rPr>
        <w:t> </w:t>
      </w:r>
      <w:r>
        <w:rPr/>
        <w:t>Oferta</w:t>
      </w:r>
      <w:r>
        <w:rPr>
          <w:spacing w:val="-5"/>
        </w:rPr>
        <w:t> </w:t>
      </w:r>
      <w:r>
        <w:rPr/>
        <w:t>programática</w:t>
      </w:r>
      <w:r>
        <w:rPr>
          <w:spacing w:val="-3"/>
        </w:rPr>
        <w:t> </w:t>
      </w:r>
      <w:r>
        <w:rPr/>
        <w:t>año</w:t>
      </w:r>
      <w:r>
        <w:rPr>
          <w:spacing w:val="-5"/>
        </w:rPr>
        <w:t> </w:t>
      </w:r>
      <w:r>
        <w:rPr>
          <w:spacing w:val="-4"/>
        </w:rPr>
        <w:t>2027</w:t>
      </w:r>
    </w:p>
    <w:p>
      <w:pPr>
        <w:pStyle w:val="BodyText"/>
        <w:rPr>
          <w:b/>
          <w:sz w:val="16"/>
        </w:rPr>
      </w:pPr>
      <w:r>
        <w:rPr/>
        <w:br w:type="column"/>
      </w:r>
      <w:r>
        <w:rPr>
          <w:b/>
          <w:sz w:val="16"/>
        </w:rPr>
      </w:r>
    </w:p>
    <w:p>
      <w:pPr>
        <w:pStyle w:val="BodyText"/>
        <w:spacing w:before="116"/>
        <w:rPr>
          <w:b/>
          <w:sz w:val="16"/>
        </w:rPr>
      </w:pPr>
    </w:p>
    <w:p>
      <w:pPr>
        <w:spacing w:before="0"/>
        <w:ind w:left="0" w:right="4592" w:firstLine="0"/>
        <w:jc w:val="center"/>
        <w:rPr>
          <w:b/>
          <w:sz w:val="16"/>
        </w:rPr>
      </w:pPr>
      <w:r>
        <w:rPr>
          <w:b/>
          <w:w w:val="125"/>
          <w:sz w:val="16"/>
        </w:rPr>
        <w:t>INSTITUTO</w:t>
      </w:r>
      <w:r>
        <w:rPr>
          <w:b/>
          <w:spacing w:val="25"/>
          <w:w w:val="125"/>
          <w:sz w:val="16"/>
        </w:rPr>
        <w:t> </w:t>
      </w:r>
      <w:r>
        <w:rPr>
          <w:b/>
          <w:w w:val="125"/>
          <w:sz w:val="16"/>
        </w:rPr>
        <w:t>MIXTO</w:t>
      </w:r>
      <w:r>
        <w:rPr>
          <w:b/>
          <w:spacing w:val="25"/>
          <w:w w:val="125"/>
          <w:sz w:val="16"/>
        </w:rPr>
        <w:t> </w:t>
      </w:r>
      <w:r>
        <w:rPr>
          <w:b/>
          <w:w w:val="125"/>
          <w:sz w:val="16"/>
        </w:rPr>
        <w:t>DE</w:t>
      </w:r>
      <w:r>
        <w:rPr>
          <w:b/>
          <w:spacing w:val="19"/>
          <w:w w:val="125"/>
          <w:sz w:val="16"/>
        </w:rPr>
        <w:t> </w:t>
      </w:r>
      <w:r>
        <w:rPr>
          <w:b/>
          <w:w w:val="125"/>
          <w:sz w:val="16"/>
        </w:rPr>
        <w:t>AYUDA</w:t>
      </w:r>
      <w:r>
        <w:rPr>
          <w:b/>
          <w:spacing w:val="-16"/>
          <w:w w:val="125"/>
          <w:sz w:val="16"/>
        </w:rPr>
        <w:t> </w:t>
      </w:r>
      <w:r>
        <w:rPr>
          <w:b/>
          <w:spacing w:val="-2"/>
          <w:w w:val="125"/>
          <w:sz w:val="16"/>
        </w:rPr>
        <w:t>SOCIAL</w:t>
      </w:r>
    </w:p>
    <w:p>
      <w:pPr>
        <w:spacing w:before="39"/>
        <w:ind w:left="0" w:right="4591" w:firstLine="0"/>
        <w:jc w:val="center"/>
        <w:rPr>
          <w:b/>
          <w:sz w:val="16"/>
        </w:rPr>
      </w:pPr>
      <w:r>
        <w:rPr>
          <w:b/>
          <w:w w:val="125"/>
          <w:sz w:val="16"/>
        </w:rPr>
        <w:t>Dirección</w:t>
      </w:r>
      <w:r>
        <w:rPr>
          <w:b/>
          <w:spacing w:val="5"/>
          <w:w w:val="125"/>
          <w:sz w:val="16"/>
        </w:rPr>
        <w:t> </w:t>
      </w:r>
      <w:r>
        <w:rPr>
          <w:b/>
          <w:w w:val="125"/>
          <w:sz w:val="16"/>
        </w:rPr>
        <w:t>de</w:t>
      </w:r>
      <w:r>
        <w:rPr>
          <w:b/>
          <w:spacing w:val="19"/>
          <w:w w:val="125"/>
          <w:sz w:val="16"/>
        </w:rPr>
        <w:t> </w:t>
      </w:r>
      <w:r>
        <w:rPr>
          <w:b/>
          <w:w w:val="125"/>
          <w:sz w:val="16"/>
        </w:rPr>
        <w:t>Desarrollo</w:t>
      </w:r>
      <w:r>
        <w:rPr>
          <w:b/>
          <w:spacing w:val="5"/>
          <w:w w:val="125"/>
          <w:sz w:val="16"/>
        </w:rPr>
        <w:t> </w:t>
      </w:r>
      <w:r>
        <w:rPr>
          <w:b/>
          <w:spacing w:val="-2"/>
          <w:w w:val="125"/>
          <w:sz w:val="16"/>
        </w:rPr>
        <w:t>Social</w:t>
      </w:r>
    </w:p>
    <w:p>
      <w:pPr>
        <w:spacing w:after="0"/>
        <w:jc w:val="center"/>
        <w:rPr>
          <w:b/>
          <w:sz w:val="16"/>
        </w:rPr>
        <w:sectPr>
          <w:footerReference w:type="default" r:id="rId135"/>
          <w:pgSz w:w="15840" w:h="12240" w:orient="landscape"/>
          <w:pgMar w:header="0" w:footer="2484" w:top="1380" w:bottom="2680" w:left="1080" w:right="1440"/>
          <w:pgNumType w:start="177"/>
          <w:cols w:num="2" w:equalWidth="0">
            <w:col w:w="4901" w:space="40"/>
            <w:col w:w="8379"/>
          </w:cols>
        </w:sectPr>
      </w:pPr>
    </w:p>
    <w:p>
      <w:pPr>
        <w:spacing w:line="290" w:lineRule="auto" w:before="40"/>
        <w:ind w:left="4610" w:right="4261" w:firstLine="0"/>
        <w:jc w:val="center"/>
        <w:rPr>
          <w:b/>
          <w:sz w:val="16"/>
        </w:rPr>
      </w:pPr>
      <w:r>
        <w:rPr>
          <w:b/>
          <w:w w:val="125"/>
          <w:sz w:val="16"/>
        </w:rPr>
        <w:t>Programa</w:t>
      </w:r>
      <w:r>
        <w:rPr>
          <w:b/>
          <w:spacing w:val="-14"/>
          <w:w w:val="125"/>
          <w:sz w:val="16"/>
        </w:rPr>
        <w:t> </w:t>
      </w:r>
      <w:r>
        <w:rPr>
          <w:b/>
          <w:w w:val="125"/>
          <w:sz w:val="16"/>
        </w:rPr>
        <w:t>Protección</w:t>
      </w:r>
      <w:r>
        <w:rPr>
          <w:b/>
          <w:spacing w:val="-14"/>
          <w:w w:val="125"/>
          <w:sz w:val="16"/>
        </w:rPr>
        <w:t> </w:t>
      </w:r>
      <w:r>
        <w:rPr>
          <w:b/>
          <w:w w:val="125"/>
          <w:sz w:val="16"/>
        </w:rPr>
        <w:t>y</w:t>
      </w:r>
      <w:r>
        <w:rPr>
          <w:b/>
          <w:spacing w:val="-20"/>
          <w:w w:val="125"/>
          <w:sz w:val="16"/>
        </w:rPr>
        <w:t> </w:t>
      </w:r>
      <w:r>
        <w:rPr>
          <w:b/>
          <w:w w:val="125"/>
          <w:sz w:val="16"/>
        </w:rPr>
        <w:t>Promoción</w:t>
      </w:r>
      <w:r>
        <w:rPr>
          <w:b/>
          <w:spacing w:val="-12"/>
          <w:w w:val="125"/>
          <w:sz w:val="16"/>
        </w:rPr>
        <w:t> </w:t>
      </w:r>
      <w:r>
        <w:rPr>
          <w:b/>
          <w:w w:val="125"/>
          <w:sz w:val="16"/>
        </w:rPr>
        <w:t>Social </w:t>
      </w:r>
      <w:r>
        <w:rPr>
          <w:b/>
          <w:w w:val="130"/>
          <w:sz w:val="16"/>
        </w:rPr>
        <w:t>Oferta Programatica</w:t>
      </w:r>
    </w:p>
    <w:p>
      <w:pPr>
        <w:spacing w:line="292" w:lineRule="auto" w:before="2"/>
        <w:ind w:left="2878" w:right="2531" w:firstLine="0"/>
        <w:jc w:val="center"/>
        <w:rPr>
          <w:b/>
          <w:sz w:val="16"/>
        </w:rPr>
      </w:pPr>
      <w:r>
        <w:rPr>
          <w:b/>
          <w:w w:val="125"/>
          <w:sz w:val="16"/>
        </w:rPr>
        <w:t>Recursos</w:t>
      </w:r>
      <w:r>
        <w:rPr>
          <w:b/>
          <w:spacing w:val="-2"/>
          <w:w w:val="125"/>
          <w:sz w:val="16"/>
        </w:rPr>
        <w:t> </w:t>
      </w:r>
      <w:r>
        <w:rPr>
          <w:b/>
          <w:w w:val="125"/>
          <w:sz w:val="16"/>
        </w:rPr>
        <w:t>de Inversión Social y</w:t>
      </w:r>
      <w:r>
        <w:rPr>
          <w:b/>
          <w:spacing w:val="-17"/>
          <w:w w:val="125"/>
          <w:sz w:val="16"/>
        </w:rPr>
        <w:t> </w:t>
      </w:r>
      <w:r>
        <w:rPr>
          <w:b/>
          <w:w w:val="125"/>
          <w:sz w:val="16"/>
        </w:rPr>
        <w:t>Gasto Administrativo Operativo para</w:t>
      </w:r>
      <w:r>
        <w:rPr>
          <w:b/>
          <w:spacing w:val="-2"/>
          <w:w w:val="125"/>
          <w:sz w:val="16"/>
        </w:rPr>
        <w:t> </w:t>
      </w:r>
      <w:r>
        <w:rPr>
          <w:b/>
          <w:w w:val="125"/>
          <w:sz w:val="16"/>
        </w:rPr>
        <w:t>el año 2027 </w:t>
      </w:r>
      <w:r>
        <w:rPr>
          <w:b/>
          <w:w w:val="130"/>
          <w:sz w:val="16"/>
        </w:rPr>
        <w:t>(En colones corrientes)</w:t>
      </w:r>
    </w:p>
    <w:p>
      <w:pPr>
        <w:pStyle w:val="BodyText"/>
        <w:rPr>
          <w:b/>
          <w:sz w:val="7"/>
        </w:rPr>
      </w:pPr>
    </w:p>
    <w:tbl>
      <w:tblPr>
        <w:tblW w:w="0" w:type="auto"/>
        <w:jc w:val="left"/>
        <w:tblInd w:w="3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10"/>
        <w:gridCol w:w="1827"/>
        <w:gridCol w:w="1882"/>
        <w:gridCol w:w="1596"/>
        <w:gridCol w:w="1569"/>
        <w:gridCol w:w="1685"/>
      </w:tblGrid>
      <w:tr>
        <w:trPr>
          <w:trHeight w:val="165" w:hRule="atLeast"/>
        </w:trPr>
        <w:tc>
          <w:tcPr>
            <w:tcW w:w="4310" w:type="dxa"/>
            <w:vMerge w:val="restart"/>
            <w:tcBorders>
              <w:top w:val="single" w:sz="12" w:space="0" w:color="000000"/>
              <w:left w:val="single" w:sz="6" w:space="0" w:color="000000"/>
              <w:bottom w:val="single" w:sz="12" w:space="0" w:color="000000"/>
              <w:right w:val="single" w:sz="6" w:space="0" w:color="000000"/>
            </w:tcBorders>
            <w:shd w:val="clear" w:color="auto" w:fill="528DD4"/>
          </w:tcPr>
          <w:p>
            <w:pPr>
              <w:pStyle w:val="TableParagraph"/>
              <w:spacing w:before="99"/>
              <w:ind w:left="435"/>
              <w:rPr>
                <w:b/>
                <w:sz w:val="14"/>
              </w:rPr>
            </w:pPr>
            <w:r>
              <w:rPr>
                <w:b/>
                <w:w w:val="125"/>
                <w:sz w:val="14"/>
              </w:rPr>
              <w:t>OFERTA</w:t>
            </w:r>
            <w:r>
              <w:rPr>
                <w:b/>
                <w:spacing w:val="-8"/>
                <w:w w:val="125"/>
                <w:sz w:val="14"/>
              </w:rPr>
              <w:t> </w:t>
            </w:r>
            <w:r>
              <w:rPr>
                <w:b/>
                <w:w w:val="125"/>
                <w:sz w:val="14"/>
              </w:rPr>
              <w:t>PROGRAMÁTICA</w:t>
            </w:r>
            <w:r>
              <w:rPr>
                <w:b/>
                <w:spacing w:val="-8"/>
                <w:w w:val="125"/>
                <w:sz w:val="14"/>
              </w:rPr>
              <w:t> </w:t>
            </w:r>
            <w:r>
              <w:rPr>
                <w:b/>
                <w:w w:val="125"/>
                <w:sz w:val="14"/>
              </w:rPr>
              <w:t>/</w:t>
            </w:r>
            <w:r>
              <w:rPr>
                <w:b/>
                <w:w w:val="125"/>
                <w:sz w:val="14"/>
              </w:rPr>
              <w:t> </w:t>
            </w:r>
            <w:r>
              <w:rPr>
                <w:b/>
                <w:spacing w:val="-2"/>
                <w:w w:val="125"/>
                <w:sz w:val="14"/>
              </w:rPr>
              <w:t>BENEFICIOS</w:t>
            </w:r>
          </w:p>
        </w:tc>
        <w:tc>
          <w:tcPr>
            <w:tcW w:w="6874" w:type="dxa"/>
            <w:gridSpan w:val="4"/>
            <w:tcBorders>
              <w:top w:val="single" w:sz="12" w:space="0" w:color="000000"/>
              <w:left w:val="single" w:sz="6" w:space="0" w:color="000000"/>
              <w:bottom w:val="single" w:sz="6" w:space="0" w:color="000000"/>
              <w:right w:val="single" w:sz="6" w:space="0" w:color="000000"/>
            </w:tcBorders>
            <w:shd w:val="clear" w:color="auto" w:fill="528DD4"/>
          </w:tcPr>
          <w:p>
            <w:pPr>
              <w:pStyle w:val="TableParagraph"/>
              <w:spacing w:line="136" w:lineRule="exact" w:before="10"/>
              <w:ind w:left="15"/>
              <w:jc w:val="center"/>
              <w:rPr>
                <w:b/>
                <w:sz w:val="14"/>
              </w:rPr>
            </w:pPr>
            <w:r>
              <w:rPr>
                <w:b/>
                <w:w w:val="125"/>
                <w:sz w:val="14"/>
              </w:rPr>
              <w:t>PRESUPUESTO</w:t>
            </w:r>
            <w:r>
              <w:rPr>
                <w:b/>
                <w:spacing w:val="-9"/>
                <w:w w:val="125"/>
                <w:sz w:val="14"/>
              </w:rPr>
              <w:t> </w:t>
            </w:r>
            <w:r>
              <w:rPr>
                <w:b/>
                <w:w w:val="125"/>
                <w:sz w:val="14"/>
              </w:rPr>
              <w:t>ORDINARIO</w:t>
            </w:r>
            <w:r>
              <w:rPr>
                <w:b/>
                <w:spacing w:val="-9"/>
                <w:w w:val="125"/>
                <w:sz w:val="14"/>
              </w:rPr>
              <w:t> </w:t>
            </w:r>
            <w:r>
              <w:rPr>
                <w:b/>
                <w:spacing w:val="-4"/>
                <w:w w:val="125"/>
                <w:sz w:val="14"/>
              </w:rPr>
              <w:t>2027</w:t>
            </w:r>
          </w:p>
        </w:tc>
        <w:tc>
          <w:tcPr>
            <w:tcW w:w="1685" w:type="dxa"/>
            <w:vMerge w:val="restart"/>
            <w:tcBorders>
              <w:top w:val="single" w:sz="12" w:space="0" w:color="000000"/>
              <w:left w:val="single" w:sz="6" w:space="0" w:color="000000"/>
              <w:bottom w:val="single" w:sz="12" w:space="0" w:color="000000"/>
              <w:right w:val="single" w:sz="12" w:space="0" w:color="000000"/>
            </w:tcBorders>
            <w:shd w:val="clear" w:color="auto" w:fill="528DD4"/>
          </w:tcPr>
          <w:p>
            <w:pPr>
              <w:pStyle w:val="TableParagraph"/>
              <w:spacing w:before="99"/>
              <w:ind w:left="559"/>
              <w:rPr>
                <w:b/>
                <w:sz w:val="14"/>
              </w:rPr>
            </w:pPr>
            <w:r>
              <w:rPr>
                <w:b/>
                <w:spacing w:val="-2"/>
                <w:w w:val="125"/>
                <w:sz w:val="14"/>
              </w:rPr>
              <w:t>TOTAL</w:t>
            </w:r>
          </w:p>
        </w:tc>
      </w:tr>
      <w:tr>
        <w:trPr>
          <w:trHeight w:val="165" w:hRule="atLeast"/>
        </w:trPr>
        <w:tc>
          <w:tcPr>
            <w:tcW w:w="4310" w:type="dxa"/>
            <w:vMerge/>
            <w:tcBorders>
              <w:top w:val="nil"/>
              <w:left w:val="single" w:sz="6" w:space="0" w:color="000000"/>
              <w:bottom w:val="single" w:sz="12" w:space="0" w:color="000000"/>
              <w:right w:val="single" w:sz="6" w:space="0" w:color="000000"/>
            </w:tcBorders>
            <w:shd w:val="clear" w:color="auto" w:fill="528DD4"/>
          </w:tcPr>
          <w:p>
            <w:pPr>
              <w:rPr>
                <w:sz w:val="2"/>
                <w:szCs w:val="2"/>
              </w:rPr>
            </w:pPr>
          </w:p>
        </w:tc>
        <w:tc>
          <w:tcPr>
            <w:tcW w:w="1827" w:type="dxa"/>
            <w:tcBorders>
              <w:top w:val="single" w:sz="6" w:space="0" w:color="000000"/>
              <w:left w:val="single" w:sz="6" w:space="0" w:color="000000"/>
              <w:bottom w:val="single" w:sz="12" w:space="0" w:color="000000"/>
              <w:right w:val="single" w:sz="6" w:space="0" w:color="000000"/>
            </w:tcBorders>
            <w:shd w:val="clear" w:color="auto" w:fill="528DD4"/>
          </w:tcPr>
          <w:p>
            <w:pPr>
              <w:pStyle w:val="TableParagraph"/>
              <w:spacing w:line="141" w:lineRule="exact" w:before="4"/>
              <w:ind w:left="504"/>
              <w:rPr>
                <w:b/>
                <w:sz w:val="14"/>
              </w:rPr>
            </w:pPr>
            <w:r>
              <w:rPr>
                <w:b/>
                <w:spacing w:val="-2"/>
                <w:w w:val="125"/>
                <w:sz w:val="14"/>
              </w:rPr>
              <w:t>FODESAF</w:t>
            </w:r>
          </w:p>
        </w:tc>
        <w:tc>
          <w:tcPr>
            <w:tcW w:w="1882" w:type="dxa"/>
            <w:tcBorders>
              <w:top w:val="single" w:sz="6" w:space="0" w:color="000000"/>
              <w:left w:val="single" w:sz="6" w:space="0" w:color="000000"/>
              <w:bottom w:val="single" w:sz="12" w:space="0" w:color="000000"/>
              <w:right w:val="single" w:sz="6" w:space="0" w:color="000000"/>
            </w:tcBorders>
            <w:shd w:val="clear" w:color="auto" w:fill="528DD4"/>
          </w:tcPr>
          <w:p>
            <w:pPr>
              <w:pStyle w:val="TableParagraph"/>
              <w:spacing w:line="141" w:lineRule="exact" w:before="4"/>
              <w:ind w:left="25"/>
              <w:jc w:val="center"/>
              <w:rPr>
                <w:b/>
                <w:sz w:val="14"/>
              </w:rPr>
            </w:pPr>
            <w:r>
              <w:rPr>
                <w:b/>
                <w:spacing w:val="-4"/>
                <w:w w:val="125"/>
                <w:sz w:val="14"/>
              </w:rPr>
              <w:t>IMAS</w:t>
            </w:r>
          </w:p>
        </w:tc>
        <w:tc>
          <w:tcPr>
            <w:tcW w:w="1596" w:type="dxa"/>
            <w:tcBorders>
              <w:top w:val="single" w:sz="6" w:space="0" w:color="000000"/>
              <w:left w:val="single" w:sz="6" w:space="0" w:color="000000"/>
              <w:bottom w:val="single" w:sz="12" w:space="0" w:color="000000"/>
              <w:right w:val="single" w:sz="6" w:space="0" w:color="000000"/>
            </w:tcBorders>
            <w:shd w:val="clear" w:color="auto" w:fill="528DD4"/>
          </w:tcPr>
          <w:p>
            <w:pPr>
              <w:pStyle w:val="TableParagraph"/>
              <w:spacing w:line="141" w:lineRule="exact" w:before="4"/>
              <w:ind w:left="533"/>
              <w:rPr>
                <w:b/>
                <w:sz w:val="14"/>
              </w:rPr>
            </w:pPr>
            <w:r>
              <w:rPr>
                <w:b/>
                <w:spacing w:val="-2"/>
                <w:w w:val="125"/>
                <w:sz w:val="14"/>
              </w:rPr>
              <w:t>INDER</w:t>
            </w:r>
          </w:p>
        </w:tc>
        <w:tc>
          <w:tcPr>
            <w:tcW w:w="1569" w:type="dxa"/>
            <w:tcBorders>
              <w:top w:val="single" w:sz="6" w:space="0" w:color="000000"/>
              <w:left w:val="single" w:sz="6" w:space="0" w:color="000000"/>
              <w:bottom w:val="single" w:sz="12" w:space="0" w:color="000000"/>
              <w:right w:val="single" w:sz="6" w:space="0" w:color="000000"/>
            </w:tcBorders>
            <w:shd w:val="clear" w:color="auto" w:fill="528DD4"/>
          </w:tcPr>
          <w:p>
            <w:pPr>
              <w:pStyle w:val="TableParagraph"/>
              <w:spacing w:line="141" w:lineRule="exact" w:before="4"/>
              <w:ind w:left="25"/>
              <w:jc w:val="center"/>
              <w:rPr>
                <w:b/>
                <w:sz w:val="14"/>
              </w:rPr>
            </w:pPr>
            <w:r>
              <w:rPr>
                <w:b/>
                <w:spacing w:val="-5"/>
                <w:w w:val="125"/>
                <w:sz w:val="14"/>
              </w:rPr>
              <w:t>MEP</w:t>
            </w:r>
          </w:p>
        </w:tc>
        <w:tc>
          <w:tcPr>
            <w:tcW w:w="1685" w:type="dxa"/>
            <w:vMerge/>
            <w:tcBorders>
              <w:top w:val="nil"/>
              <w:left w:val="single" w:sz="6" w:space="0" w:color="000000"/>
              <w:bottom w:val="single" w:sz="12" w:space="0" w:color="000000"/>
              <w:right w:val="single" w:sz="12" w:space="0" w:color="000000"/>
            </w:tcBorders>
            <w:shd w:val="clear" w:color="auto" w:fill="528DD4"/>
          </w:tcPr>
          <w:p>
            <w:pPr>
              <w:rPr>
                <w:sz w:val="2"/>
                <w:szCs w:val="2"/>
              </w:rPr>
            </w:pPr>
          </w:p>
        </w:tc>
      </w:tr>
      <w:tr>
        <w:trPr>
          <w:trHeight w:val="171" w:hRule="atLeast"/>
        </w:trPr>
        <w:tc>
          <w:tcPr>
            <w:tcW w:w="4310" w:type="dxa"/>
            <w:tcBorders>
              <w:top w:val="single" w:sz="12" w:space="0" w:color="000000"/>
              <w:left w:val="single" w:sz="6" w:space="0" w:color="000000"/>
              <w:bottom w:val="single" w:sz="12" w:space="0" w:color="000000"/>
            </w:tcBorders>
            <w:shd w:val="clear" w:color="auto" w:fill="B8CCE3"/>
          </w:tcPr>
          <w:p>
            <w:pPr>
              <w:pStyle w:val="TableParagraph"/>
              <w:spacing w:line="141" w:lineRule="exact" w:before="10"/>
              <w:ind w:left="40"/>
              <w:rPr>
                <w:b/>
                <w:sz w:val="14"/>
              </w:rPr>
            </w:pPr>
            <w:r>
              <w:rPr>
                <w:b/>
                <w:w w:val="125"/>
                <w:sz w:val="14"/>
              </w:rPr>
              <w:t>Dimensión</w:t>
            </w:r>
            <w:r>
              <w:rPr>
                <w:b/>
                <w:spacing w:val="16"/>
                <w:w w:val="125"/>
                <w:sz w:val="14"/>
              </w:rPr>
              <w:t> </w:t>
            </w:r>
            <w:r>
              <w:rPr>
                <w:b/>
                <w:w w:val="125"/>
                <w:sz w:val="14"/>
              </w:rPr>
              <w:t>Protección</w:t>
            </w:r>
            <w:r>
              <w:rPr>
                <w:b/>
                <w:spacing w:val="16"/>
                <w:w w:val="125"/>
                <w:sz w:val="14"/>
              </w:rPr>
              <w:t> </w:t>
            </w:r>
            <w:r>
              <w:rPr>
                <w:b/>
                <w:spacing w:val="-2"/>
                <w:w w:val="125"/>
                <w:sz w:val="14"/>
              </w:rPr>
              <w:t>Social</w:t>
            </w:r>
          </w:p>
        </w:tc>
        <w:tc>
          <w:tcPr>
            <w:tcW w:w="1827" w:type="dxa"/>
            <w:tcBorders>
              <w:top w:val="single" w:sz="12" w:space="0" w:color="000000"/>
              <w:bottom w:val="single" w:sz="12" w:space="0" w:color="000000"/>
            </w:tcBorders>
            <w:shd w:val="clear" w:color="auto" w:fill="B8CCE3"/>
          </w:tcPr>
          <w:p>
            <w:pPr>
              <w:pStyle w:val="TableParagraph"/>
              <w:spacing w:line="141" w:lineRule="exact" w:before="10"/>
              <w:ind w:right="98"/>
              <w:jc w:val="right"/>
              <w:rPr>
                <w:b/>
                <w:sz w:val="14"/>
              </w:rPr>
            </w:pPr>
            <w:r>
              <w:rPr>
                <w:b/>
                <w:w w:val="125"/>
                <w:sz w:val="14"/>
              </w:rPr>
              <w:t>54</w:t>
            </w:r>
            <w:r>
              <w:rPr>
                <w:b/>
                <w:spacing w:val="-3"/>
                <w:w w:val="125"/>
                <w:sz w:val="14"/>
              </w:rPr>
              <w:t> </w:t>
            </w:r>
            <w:r>
              <w:rPr>
                <w:b/>
                <w:w w:val="125"/>
                <w:sz w:val="14"/>
              </w:rPr>
              <w:t>894</w:t>
            </w:r>
            <w:r>
              <w:rPr>
                <w:b/>
                <w:spacing w:val="-2"/>
                <w:w w:val="125"/>
                <w:sz w:val="14"/>
              </w:rPr>
              <w:t> </w:t>
            </w:r>
            <w:r>
              <w:rPr>
                <w:b/>
                <w:w w:val="125"/>
                <w:sz w:val="14"/>
              </w:rPr>
              <w:t>587</w:t>
            </w:r>
            <w:r>
              <w:rPr>
                <w:b/>
                <w:spacing w:val="-2"/>
                <w:w w:val="125"/>
                <w:sz w:val="14"/>
              </w:rPr>
              <w:t> 941,63</w:t>
            </w:r>
          </w:p>
        </w:tc>
        <w:tc>
          <w:tcPr>
            <w:tcW w:w="1882" w:type="dxa"/>
            <w:tcBorders>
              <w:top w:val="single" w:sz="12" w:space="0" w:color="000000"/>
              <w:bottom w:val="single" w:sz="12" w:space="0" w:color="000000"/>
            </w:tcBorders>
            <w:shd w:val="clear" w:color="auto" w:fill="B8CCE3"/>
          </w:tcPr>
          <w:p>
            <w:pPr>
              <w:pStyle w:val="TableParagraph"/>
              <w:spacing w:line="132" w:lineRule="exact" w:before="19"/>
              <w:ind w:right="25"/>
              <w:jc w:val="right"/>
              <w:rPr>
                <w:b/>
                <w:sz w:val="13"/>
              </w:rPr>
            </w:pPr>
            <w:r>
              <w:rPr>
                <w:b/>
                <w:w w:val="125"/>
                <w:sz w:val="13"/>
              </w:rPr>
              <w:t>16</w:t>
            </w:r>
            <w:r>
              <w:rPr>
                <w:b/>
                <w:spacing w:val="5"/>
                <w:w w:val="125"/>
                <w:sz w:val="13"/>
              </w:rPr>
              <w:t> </w:t>
            </w:r>
            <w:r>
              <w:rPr>
                <w:b/>
                <w:w w:val="125"/>
                <w:sz w:val="13"/>
              </w:rPr>
              <w:t>642</w:t>
            </w:r>
            <w:r>
              <w:rPr>
                <w:b/>
                <w:spacing w:val="6"/>
                <w:w w:val="125"/>
                <w:sz w:val="13"/>
              </w:rPr>
              <w:t> </w:t>
            </w:r>
            <w:r>
              <w:rPr>
                <w:b/>
                <w:w w:val="125"/>
                <w:sz w:val="13"/>
              </w:rPr>
              <w:t>426</w:t>
            </w:r>
            <w:r>
              <w:rPr>
                <w:b/>
                <w:spacing w:val="6"/>
                <w:w w:val="125"/>
                <w:sz w:val="13"/>
              </w:rPr>
              <w:t> </w:t>
            </w:r>
            <w:r>
              <w:rPr>
                <w:b/>
                <w:spacing w:val="-2"/>
                <w:w w:val="125"/>
                <w:sz w:val="13"/>
              </w:rPr>
              <w:t>725,80</w:t>
            </w:r>
          </w:p>
        </w:tc>
        <w:tc>
          <w:tcPr>
            <w:tcW w:w="1596" w:type="dxa"/>
            <w:tcBorders>
              <w:top w:val="single" w:sz="12" w:space="0" w:color="000000"/>
              <w:bottom w:val="single" w:sz="12" w:space="0" w:color="000000"/>
            </w:tcBorders>
            <w:shd w:val="clear" w:color="auto" w:fill="B8CCE3"/>
          </w:tcPr>
          <w:p>
            <w:pPr>
              <w:pStyle w:val="TableParagraph"/>
              <w:spacing w:line="132" w:lineRule="exact" w:before="19"/>
              <w:ind w:right="18"/>
              <w:jc w:val="right"/>
              <w:rPr>
                <w:b/>
                <w:sz w:val="13"/>
              </w:rPr>
            </w:pPr>
            <w:r>
              <w:rPr>
                <w:b/>
                <w:spacing w:val="-10"/>
                <w:w w:val="125"/>
                <w:sz w:val="13"/>
              </w:rPr>
              <w:t>-</w:t>
            </w:r>
          </w:p>
        </w:tc>
        <w:tc>
          <w:tcPr>
            <w:tcW w:w="1569" w:type="dxa"/>
            <w:tcBorders>
              <w:top w:val="single" w:sz="12" w:space="0" w:color="000000"/>
              <w:bottom w:val="single" w:sz="12" w:space="0" w:color="000000"/>
            </w:tcBorders>
            <w:shd w:val="clear" w:color="auto" w:fill="B8CCE3"/>
          </w:tcPr>
          <w:p>
            <w:pPr>
              <w:pStyle w:val="TableParagraph"/>
              <w:spacing w:line="132" w:lineRule="exact" w:before="19"/>
              <w:ind w:right="18"/>
              <w:jc w:val="right"/>
              <w:rPr>
                <w:b/>
                <w:sz w:val="13"/>
              </w:rPr>
            </w:pPr>
            <w:r>
              <w:rPr>
                <w:b/>
                <w:spacing w:val="-10"/>
                <w:w w:val="125"/>
                <w:sz w:val="13"/>
              </w:rPr>
              <w:t>-</w:t>
            </w:r>
          </w:p>
        </w:tc>
        <w:tc>
          <w:tcPr>
            <w:tcW w:w="1685" w:type="dxa"/>
            <w:tcBorders>
              <w:top w:val="single" w:sz="12" w:space="0" w:color="000000"/>
              <w:bottom w:val="single" w:sz="12" w:space="0" w:color="000000"/>
              <w:right w:val="single" w:sz="12" w:space="0" w:color="000000"/>
            </w:tcBorders>
            <w:shd w:val="clear" w:color="auto" w:fill="B8CCE3"/>
          </w:tcPr>
          <w:p>
            <w:pPr>
              <w:pStyle w:val="TableParagraph"/>
              <w:spacing w:line="132" w:lineRule="exact" w:before="19"/>
              <w:ind w:right="3"/>
              <w:jc w:val="right"/>
              <w:rPr>
                <w:b/>
                <w:sz w:val="13"/>
              </w:rPr>
            </w:pPr>
            <w:r>
              <w:rPr>
                <w:b/>
                <w:w w:val="125"/>
                <w:sz w:val="13"/>
              </w:rPr>
              <w:t>71</w:t>
            </w:r>
            <w:r>
              <w:rPr>
                <w:b/>
                <w:spacing w:val="7"/>
                <w:w w:val="125"/>
                <w:sz w:val="13"/>
              </w:rPr>
              <w:t> </w:t>
            </w:r>
            <w:r>
              <w:rPr>
                <w:b/>
                <w:w w:val="125"/>
                <w:sz w:val="13"/>
              </w:rPr>
              <w:t>537</w:t>
            </w:r>
            <w:r>
              <w:rPr>
                <w:b/>
                <w:spacing w:val="8"/>
                <w:w w:val="125"/>
                <w:sz w:val="13"/>
              </w:rPr>
              <w:t> </w:t>
            </w:r>
            <w:r>
              <w:rPr>
                <w:b/>
                <w:w w:val="125"/>
                <w:sz w:val="13"/>
              </w:rPr>
              <w:t>014</w:t>
            </w:r>
            <w:r>
              <w:rPr>
                <w:b/>
                <w:spacing w:val="7"/>
                <w:w w:val="125"/>
                <w:sz w:val="13"/>
              </w:rPr>
              <w:t> </w:t>
            </w:r>
            <w:r>
              <w:rPr>
                <w:b/>
                <w:spacing w:val="-2"/>
                <w:w w:val="125"/>
                <w:sz w:val="13"/>
              </w:rPr>
              <w:t>667,43</w:t>
            </w:r>
          </w:p>
        </w:tc>
      </w:tr>
      <w:tr>
        <w:trPr>
          <w:trHeight w:val="186" w:hRule="atLeast"/>
        </w:trPr>
        <w:tc>
          <w:tcPr>
            <w:tcW w:w="4310" w:type="dxa"/>
            <w:tcBorders>
              <w:top w:val="single" w:sz="12" w:space="0" w:color="000000"/>
              <w:left w:val="single" w:sz="6" w:space="0" w:color="000000"/>
            </w:tcBorders>
          </w:tcPr>
          <w:p>
            <w:pPr>
              <w:pStyle w:val="TableParagraph"/>
              <w:spacing w:line="156" w:lineRule="exact" w:before="10"/>
              <w:ind w:left="94"/>
              <w:rPr>
                <w:sz w:val="14"/>
              </w:rPr>
            </w:pPr>
            <w:r>
              <w:rPr>
                <w:w w:val="125"/>
                <w:sz w:val="14"/>
              </w:rPr>
              <w:t>Atención</w:t>
            </w:r>
            <w:r>
              <w:rPr>
                <w:spacing w:val="7"/>
                <w:w w:val="125"/>
                <w:sz w:val="14"/>
              </w:rPr>
              <w:t> </w:t>
            </w:r>
            <w:r>
              <w:rPr>
                <w:w w:val="125"/>
                <w:sz w:val="14"/>
              </w:rPr>
              <w:t>a</w:t>
            </w:r>
            <w:r>
              <w:rPr>
                <w:spacing w:val="7"/>
                <w:w w:val="125"/>
                <w:sz w:val="14"/>
              </w:rPr>
              <w:t> </w:t>
            </w:r>
            <w:r>
              <w:rPr>
                <w:spacing w:val="-2"/>
                <w:w w:val="125"/>
                <w:sz w:val="14"/>
              </w:rPr>
              <w:t>Familias</w:t>
            </w:r>
          </w:p>
        </w:tc>
        <w:tc>
          <w:tcPr>
            <w:tcW w:w="1827" w:type="dxa"/>
            <w:tcBorders>
              <w:top w:val="single" w:sz="12" w:space="0" w:color="000000"/>
            </w:tcBorders>
          </w:tcPr>
          <w:p>
            <w:pPr>
              <w:pStyle w:val="TableParagraph"/>
              <w:spacing w:line="147" w:lineRule="exact" w:before="19"/>
              <w:ind w:right="66"/>
              <w:jc w:val="right"/>
              <w:rPr>
                <w:sz w:val="13"/>
              </w:rPr>
            </w:pPr>
            <w:r>
              <w:rPr>
                <w:w w:val="125"/>
                <w:sz w:val="13"/>
              </w:rPr>
              <w:t>6</w:t>
            </w:r>
            <w:r>
              <w:rPr>
                <w:spacing w:val="4"/>
                <w:w w:val="125"/>
                <w:sz w:val="13"/>
              </w:rPr>
              <w:t> </w:t>
            </w:r>
            <w:r>
              <w:rPr>
                <w:w w:val="125"/>
                <w:sz w:val="13"/>
              </w:rPr>
              <w:t>781</w:t>
            </w:r>
            <w:r>
              <w:rPr>
                <w:spacing w:val="5"/>
                <w:w w:val="125"/>
                <w:sz w:val="13"/>
              </w:rPr>
              <w:t> </w:t>
            </w:r>
            <w:r>
              <w:rPr>
                <w:w w:val="125"/>
                <w:sz w:val="13"/>
              </w:rPr>
              <w:t>603</w:t>
            </w:r>
            <w:r>
              <w:rPr>
                <w:spacing w:val="4"/>
                <w:w w:val="125"/>
                <w:sz w:val="13"/>
              </w:rPr>
              <w:t> </w:t>
            </w:r>
            <w:r>
              <w:rPr>
                <w:spacing w:val="-2"/>
                <w:w w:val="125"/>
                <w:sz w:val="13"/>
              </w:rPr>
              <w:t>141,63</w:t>
            </w:r>
          </w:p>
        </w:tc>
        <w:tc>
          <w:tcPr>
            <w:tcW w:w="1882" w:type="dxa"/>
            <w:tcBorders>
              <w:top w:val="single" w:sz="12" w:space="0" w:color="000000"/>
            </w:tcBorders>
          </w:tcPr>
          <w:p>
            <w:pPr>
              <w:pStyle w:val="TableParagraph"/>
              <w:spacing w:line="147" w:lineRule="exact" w:before="19"/>
              <w:ind w:right="80"/>
              <w:jc w:val="right"/>
              <w:rPr>
                <w:sz w:val="13"/>
              </w:rPr>
            </w:pPr>
            <w:r>
              <w:rPr>
                <w:w w:val="125"/>
                <w:sz w:val="13"/>
              </w:rPr>
              <w:t>9</w:t>
            </w:r>
            <w:r>
              <w:rPr>
                <w:spacing w:val="4"/>
                <w:w w:val="125"/>
                <w:sz w:val="13"/>
              </w:rPr>
              <w:t> </w:t>
            </w:r>
            <w:r>
              <w:rPr>
                <w:w w:val="125"/>
                <w:sz w:val="13"/>
              </w:rPr>
              <w:t>442</w:t>
            </w:r>
            <w:r>
              <w:rPr>
                <w:spacing w:val="5"/>
                <w:w w:val="125"/>
                <w:sz w:val="13"/>
              </w:rPr>
              <w:t> </w:t>
            </w:r>
            <w:r>
              <w:rPr>
                <w:w w:val="125"/>
                <w:sz w:val="13"/>
              </w:rPr>
              <w:t>426</w:t>
            </w:r>
            <w:r>
              <w:rPr>
                <w:spacing w:val="4"/>
                <w:w w:val="125"/>
                <w:sz w:val="13"/>
              </w:rPr>
              <w:t> </w:t>
            </w:r>
            <w:r>
              <w:rPr>
                <w:spacing w:val="-2"/>
                <w:w w:val="125"/>
                <w:sz w:val="13"/>
              </w:rPr>
              <w:t>725,80</w:t>
            </w:r>
          </w:p>
        </w:tc>
        <w:tc>
          <w:tcPr>
            <w:tcW w:w="1596" w:type="dxa"/>
            <w:tcBorders>
              <w:top w:val="single" w:sz="12" w:space="0" w:color="000000"/>
            </w:tcBorders>
          </w:tcPr>
          <w:p>
            <w:pPr>
              <w:pStyle w:val="TableParagraph"/>
              <w:spacing w:line="147" w:lineRule="exact" w:before="19"/>
              <w:ind w:right="140"/>
              <w:jc w:val="right"/>
              <w:rPr>
                <w:sz w:val="13"/>
              </w:rPr>
            </w:pPr>
            <w:r>
              <w:rPr>
                <w:spacing w:val="-10"/>
                <w:w w:val="125"/>
                <w:sz w:val="13"/>
              </w:rPr>
              <w:t>-</w:t>
            </w:r>
          </w:p>
        </w:tc>
        <w:tc>
          <w:tcPr>
            <w:tcW w:w="1569" w:type="dxa"/>
            <w:tcBorders>
              <w:top w:val="single" w:sz="12" w:space="0" w:color="000000"/>
            </w:tcBorders>
          </w:tcPr>
          <w:p>
            <w:pPr>
              <w:pStyle w:val="TableParagraph"/>
              <w:spacing w:line="147" w:lineRule="exact" w:before="19"/>
              <w:ind w:right="155"/>
              <w:jc w:val="right"/>
              <w:rPr>
                <w:sz w:val="13"/>
              </w:rPr>
            </w:pPr>
            <w:r>
              <w:rPr>
                <w:spacing w:val="-10"/>
                <w:w w:val="125"/>
                <w:sz w:val="13"/>
              </w:rPr>
              <w:t>-</w:t>
            </w:r>
          </w:p>
        </w:tc>
        <w:tc>
          <w:tcPr>
            <w:tcW w:w="1685" w:type="dxa"/>
            <w:tcBorders>
              <w:top w:val="single" w:sz="12" w:space="0" w:color="000000"/>
              <w:right w:val="single" w:sz="12" w:space="0" w:color="000000"/>
            </w:tcBorders>
          </w:tcPr>
          <w:p>
            <w:pPr>
              <w:pStyle w:val="TableParagraph"/>
              <w:spacing w:line="147" w:lineRule="exact" w:before="19"/>
              <w:ind w:right="57"/>
              <w:jc w:val="right"/>
              <w:rPr>
                <w:sz w:val="13"/>
              </w:rPr>
            </w:pPr>
            <w:r>
              <w:rPr>
                <w:w w:val="125"/>
                <w:sz w:val="13"/>
              </w:rPr>
              <w:t>16</w:t>
            </w:r>
            <w:r>
              <w:rPr>
                <w:spacing w:val="7"/>
                <w:w w:val="125"/>
                <w:sz w:val="13"/>
              </w:rPr>
              <w:t> </w:t>
            </w:r>
            <w:r>
              <w:rPr>
                <w:w w:val="125"/>
                <w:sz w:val="13"/>
              </w:rPr>
              <w:t>224</w:t>
            </w:r>
            <w:r>
              <w:rPr>
                <w:spacing w:val="8"/>
                <w:w w:val="125"/>
                <w:sz w:val="13"/>
              </w:rPr>
              <w:t> </w:t>
            </w:r>
            <w:r>
              <w:rPr>
                <w:w w:val="125"/>
                <w:sz w:val="13"/>
              </w:rPr>
              <w:t>029</w:t>
            </w:r>
            <w:r>
              <w:rPr>
                <w:spacing w:val="7"/>
                <w:w w:val="125"/>
                <w:sz w:val="13"/>
              </w:rPr>
              <w:t> </w:t>
            </w:r>
            <w:r>
              <w:rPr>
                <w:spacing w:val="-2"/>
                <w:w w:val="125"/>
                <w:sz w:val="13"/>
              </w:rPr>
              <w:t>867,43</w:t>
            </w:r>
          </w:p>
        </w:tc>
      </w:tr>
      <w:tr>
        <w:trPr>
          <w:trHeight w:val="189" w:hRule="atLeast"/>
        </w:trPr>
        <w:tc>
          <w:tcPr>
            <w:tcW w:w="4310" w:type="dxa"/>
            <w:tcBorders>
              <w:left w:val="single" w:sz="6" w:space="0" w:color="000000"/>
            </w:tcBorders>
          </w:tcPr>
          <w:p>
            <w:pPr>
              <w:pStyle w:val="TableParagraph"/>
              <w:spacing w:line="156" w:lineRule="exact" w:before="14"/>
              <w:ind w:left="94"/>
              <w:rPr>
                <w:sz w:val="14"/>
              </w:rPr>
            </w:pPr>
            <w:r>
              <w:rPr>
                <w:spacing w:val="-2"/>
                <w:w w:val="125"/>
                <w:sz w:val="14"/>
              </w:rPr>
              <w:t>Emergencias</w:t>
            </w:r>
          </w:p>
        </w:tc>
        <w:tc>
          <w:tcPr>
            <w:tcW w:w="1827" w:type="dxa"/>
          </w:tcPr>
          <w:p>
            <w:pPr>
              <w:pStyle w:val="TableParagraph"/>
              <w:spacing w:line="146" w:lineRule="exact" w:before="23"/>
              <w:ind w:right="80"/>
              <w:jc w:val="right"/>
              <w:rPr>
                <w:sz w:val="13"/>
              </w:rPr>
            </w:pPr>
            <w:r>
              <w:rPr>
                <w:w w:val="125"/>
                <w:sz w:val="13"/>
              </w:rPr>
              <w:t>800</w:t>
            </w:r>
            <w:r>
              <w:rPr>
                <w:spacing w:val="7"/>
                <w:w w:val="125"/>
                <w:sz w:val="13"/>
              </w:rPr>
              <w:t> </w:t>
            </w:r>
            <w:r>
              <w:rPr>
                <w:w w:val="125"/>
                <w:sz w:val="13"/>
              </w:rPr>
              <w:t>000</w:t>
            </w:r>
            <w:r>
              <w:rPr>
                <w:spacing w:val="7"/>
                <w:w w:val="125"/>
                <w:sz w:val="13"/>
              </w:rPr>
              <w:t> </w:t>
            </w:r>
            <w:r>
              <w:rPr>
                <w:spacing w:val="-2"/>
                <w:w w:val="125"/>
                <w:sz w:val="13"/>
              </w:rPr>
              <w:t>000,00</w:t>
            </w:r>
          </w:p>
        </w:tc>
        <w:tc>
          <w:tcPr>
            <w:tcW w:w="1882" w:type="dxa"/>
          </w:tcPr>
          <w:p>
            <w:pPr>
              <w:pStyle w:val="TableParagraph"/>
              <w:spacing w:line="146" w:lineRule="exact" w:before="23"/>
              <w:ind w:right="80"/>
              <w:jc w:val="right"/>
              <w:rPr>
                <w:sz w:val="13"/>
              </w:rPr>
            </w:pPr>
            <w:r>
              <w:rPr>
                <w:w w:val="125"/>
                <w:sz w:val="13"/>
              </w:rPr>
              <w:t>1</w:t>
            </w:r>
            <w:r>
              <w:rPr>
                <w:spacing w:val="4"/>
                <w:w w:val="125"/>
                <w:sz w:val="13"/>
              </w:rPr>
              <w:t> </w:t>
            </w:r>
            <w:r>
              <w:rPr>
                <w:w w:val="125"/>
                <w:sz w:val="13"/>
              </w:rPr>
              <w:t>100</w:t>
            </w:r>
            <w:r>
              <w:rPr>
                <w:spacing w:val="5"/>
                <w:w w:val="125"/>
                <w:sz w:val="13"/>
              </w:rPr>
              <w:t> </w:t>
            </w:r>
            <w:r>
              <w:rPr>
                <w:w w:val="125"/>
                <w:sz w:val="13"/>
              </w:rPr>
              <w:t>000</w:t>
            </w:r>
            <w:r>
              <w:rPr>
                <w:spacing w:val="4"/>
                <w:w w:val="125"/>
                <w:sz w:val="13"/>
              </w:rPr>
              <w:t> </w:t>
            </w:r>
            <w:r>
              <w:rPr>
                <w:spacing w:val="-2"/>
                <w:w w:val="125"/>
                <w:sz w:val="13"/>
              </w:rPr>
              <w:t>000,00</w:t>
            </w:r>
          </w:p>
        </w:tc>
        <w:tc>
          <w:tcPr>
            <w:tcW w:w="1596" w:type="dxa"/>
          </w:tcPr>
          <w:p>
            <w:pPr>
              <w:pStyle w:val="TableParagraph"/>
              <w:spacing w:line="146" w:lineRule="exact" w:before="23"/>
              <w:ind w:right="140"/>
              <w:jc w:val="right"/>
              <w:rPr>
                <w:sz w:val="13"/>
              </w:rPr>
            </w:pPr>
            <w:r>
              <w:rPr>
                <w:spacing w:val="-10"/>
                <w:w w:val="125"/>
                <w:sz w:val="13"/>
              </w:rPr>
              <w:t>-</w:t>
            </w:r>
          </w:p>
        </w:tc>
        <w:tc>
          <w:tcPr>
            <w:tcW w:w="1569" w:type="dxa"/>
          </w:tcPr>
          <w:p>
            <w:pPr>
              <w:pStyle w:val="TableParagraph"/>
              <w:spacing w:line="146" w:lineRule="exact" w:before="23"/>
              <w:ind w:right="155"/>
              <w:jc w:val="right"/>
              <w:rPr>
                <w:sz w:val="13"/>
              </w:rPr>
            </w:pPr>
            <w:r>
              <w:rPr>
                <w:spacing w:val="-10"/>
                <w:w w:val="125"/>
                <w:sz w:val="13"/>
              </w:rPr>
              <w:t>-</w:t>
            </w:r>
          </w:p>
        </w:tc>
        <w:tc>
          <w:tcPr>
            <w:tcW w:w="1685" w:type="dxa"/>
            <w:tcBorders>
              <w:right w:val="single" w:sz="12" w:space="0" w:color="000000"/>
            </w:tcBorders>
          </w:tcPr>
          <w:p>
            <w:pPr>
              <w:pStyle w:val="TableParagraph"/>
              <w:spacing w:line="146" w:lineRule="exact" w:before="23"/>
              <w:ind w:right="71"/>
              <w:jc w:val="right"/>
              <w:rPr>
                <w:sz w:val="13"/>
              </w:rPr>
            </w:pPr>
            <w:r>
              <w:rPr>
                <w:w w:val="125"/>
                <w:sz w:val="13"/>
              </w:rPr>
              <w:t>1</w:t>
            </w:r>
            <w:r>
              <w:rPr>
                <w:spacing w:val="6"/>
                <w:w w:val="125"/>
                <w:sz w:val="13"/>
              </w:rPr>
              <w:t> </w:t>
            </w:r>
            <w:r>
              <w:rPr>
                <w:w w:val="125"/>
                <w:sz w:val="13"/>
              </w:rPr>
              <w:t>900</w:t>
            </w:r>
            <w:r>
              <w:rPr>
                <w:spacing w:val="5"/>
                <w:w w:val="125"/>
                <w:sz w:val="13"/>
              </w:rPr>
              <w:t> </w:t>
            </w:r>
            <w:r>
              <w:rPr>
                <w:w w:val="125"/>
                <w:sz w:val="13"/>
              </w:rPr>
              <w:t>000</w:t>
            </w:r>
            <w:r>
              <w:rPr>
                <w:spacing w:val="6"/>
                <w:w w:val="125"/>
                <w:sz w:val="13"/>
              </w:rPr>
              <w:t> </w:t>
            </w:r>
            <w:r>
              <w:rPr>
                <w:spacing w:val="-2"/>
                <w:w w:val="125"/>
                <w:sz w:val="13"/>
              </w:rPr>
              <w:t>000,00</w:t>
            </w:r>
          </w:p>
        </w:tc>
      </w:tr>
      <w:tr>
        <w:trPr>
          <w:trHeight w:val="189" w:hRule="atLeast"/>
        </w:trPr>
        <w:tc>
          <w:tcPr>
            <w:tcW w:w="4310" w:type="dxa"/>
            <w:tcBorders>
              <w:left w:val="single" w:sz="6" w:space="0" w:color="000000"/>
            </w:tcBorders>
          </w:tcPr>
          <w:p>
            <w:pPr>
              <w:pStyle w:val="TableParagraph"/>
              <w:spacing w:line="156" w:lineRule="exact" w:before="14"/>
              <w:ind w:left="94"/>
              <w:rPr>
                <w:sz w:val="14"/>
              </w:rPr>
            </w:pPr>
            <w:r>
              <w:rPr>
                <w:spacing w:val="-4"/>
                <w:w w:val="125"/>
                <w:sz w:val="14"/>
              </w:rPr>
              <w:t>Veda</w:t>
            </w:r>
          </w:p>
        </w:tc>
        <w:tc>
          <w:tcPr>
            <w:tcW w:w="1827" w:type="dxa"/>
          </w:tcPr>
          <w:p>
            <w:pPr>
              <w:pStyle w:val="TableParagraph"/>
              <w:spacing w:line="147" w:lineRule="exact" w:before="23"/>
              <w:ind w:right="80"/>
              <w:jc w:val="right"/>
              <w:rPr>
                <w:sz w:val="13"/>
              </w:rPr>
            </w:pPr>
            <w:r>
              <w:rPr>
                <w:w w:val="125"/>
                <w:sz w:val="13"/>
              </w:rPr>
              <w:t>300</w:t>
            </w:r>
            <w:r>
              <w:rPr>
                <w:spacing w:val="7"/>
                <w:w w:val="125"/>
                <w:sz w:val="13"/>
              </w:rPr>
              <w:t> </w:t>
            </w:r>
            <w:r>
              <w:rPr>
                <w:w w:val="125"/>
                <w:sz w:val="13"/>
              </w:rPr>
              <w:t>000</w:t>
            </w:r>
            <w:r>
              <w:rPr>
                <w:spacing w:val="7"/>
                <w:w w:val="125"/>
                <w:sz w:val="13"/>
              </w:rPr>
              <w:t> </w:t>
            </w:r>
            <w:r>
              <w:rPr>
                <w:spacing w:val="-2"/>
                <w:w w:val="125"/>
                <w:sz w:val="13"/>
              </w:rPr>
              <w:t>000,00</w:t>
            </w:r>
          </w:p>
        </w:tc>
        <w:tc>
          <w:tcPr>
            <w:tcW w:w="1882" w:type="dxa"/>
          </w:tcPr>
          <w:p>
            <w:pPr>
              <w:pStyle w:val="TableParagraph"/>
              <w:spacing w:line="147" w:lineRule="exact" w:before="23"/>
              <w:ind w:right="93"/>
              <w:jc w:val="right"/>
              <w:rPr>
                <w:sz w:val="13"/>
              </w:rPr>
            </w:pPr>
            <w:r>
              <w:rPr>
                <w:w w:val="125"/>
                <w:sz w:val="13"/>
              </w:rPr>
              <w:t>350</w:t>
            </w:r>
            <w:r>
              <w:rPr>
                <w:spacing w:val="7"/>
                <w:w w:val="125"/>
                <w:sz w:val="13"/>
              </w:rPr>
              <w:t> </w:t>
            </w:r>
            <w:r>
              <w:rPr>
                <w:w w:val="125"/>
                <w:sz w:val="13"/>
              </w:rPr>
              <w:t>000</w:t>
            </w:r>
            <w:r>
              <w:rPr>
                <w:spacing w:val="7"/>
                <w:w w:val="125"/>
                <w:sz w:val="13"/>
              </w:rPr>
              <w:t> </w:t>
            </w:r>
            <w:r>
              <w:rPr>
                <w:spacing w:val="-2"/>
                <w:w w:val="125"/>
                <w:sz w:val="13"/>
              </w:rPr>
              <w:t>000,00</w:t>
            </w:r>
          </w:p>
        </w:tc>
        <w:tc>
          <w:tcPr>
            <w:tcW w:w="1596" w:type="dxa"/>
          </w:tcPr>
          <w:p>
            <w:pPr>
              <w:pStyle w:val="TableParagraph"/>
              <w:spacing w:line="147" w:lineRule="exact" w:before="23"/>
              <w:ind w:right="140"/>
              <w:jc w:val="right"/>
              <w:rPr>
                <w:sz w:val="13"/>
              </w:rPr>
            </w:pPr>
            <w:r>
              <w:rPr>
                <w:spacing w:val="-10"/>
                <w:w w:val="125"/>
                <w:sz w:val="13"/>
              </w:rPr>
              <w:t>-</w:t>
            </w:r>
          </w:p>
        </w:tc>
        <w:tc>
          <w:tcPr>
            <w:tcW w:w="1569" w:type="dxa"/>
          </w:tcPr>
          <w:p>
            <w:pPr>
              <w:pStyle w:val="TableParagraph"/>
              <w:spacing w:line="147" w:lineRule="exact" w:before="23"/>
              <w:ind w:right="155"/>
              <w:jc w:val="right"/>
              <w:rPr>
                <w:sz w:val="13"/>
              </w:rPr>
            </w:pPr>
            <w:r>
              <w:rPr>
                <w:spacing w:val="-10"/>
                <w:w w:val="125"/>
                <w:sz w:val="13"/>
              </w:rPr>
              <w:t>-</w:t>
            </w:r>
          </w:p>
        </w:tc>
        <w:tc>
          <w:tcPr>
            <w:tcW w:w="1685" w:type="dxa"/>
            <w:tcBorders>
              <w:right w:val="single" w:sz="12" w:space="0" w:color="000000"/>
            </w:tcBorders>
          </w:tcPr>
          <w:p>
            <w:pPr>
              <w:pStyle w:val="TableParagraph"/>
              <w:spacing w:line="147" w:lineRule="exact" w:before="23"/>
              <w:ind w:right="44"/>
              <w:jc w:val="right"/>
              <w:rPr>
                <w:sz w:val="13"/>
              </w:rPr>
            </w:pPr>
            <w:r>
              <w:rPr>
                <w:w w:val="125"/>
                <w:sz w:val="13"/>
              </w:rPr>
              <w:t>650</w:t>
            </w:r>
            <w:r>
              <w:rPr>
                <w:spacing w:val="7"/>
                <w:w w:val="125"/>
                <w:sz w:val="13"/>
              </w:rPr>
              <w:t> </w:t>
            </w:r>
            <w:r>
              <w:rPr>
                <w:w w:val="125"/>
                <w:sz w:val="13"/>
              </w:rPr>
              <w:t>000</w:t>
            </w:r>
            <w:r>
              <w:rPr>
                <w:spacing w:val="7"/>
                <w:w w:val="125"/>
                <w:sz w:val="13"/>
              </w:rPr>
              <w:t> </w:t>
            </w:r>
            <w:r>
              <w:rPr>
                <w:spacing w:val="-2"/>
                <w:w w:val="125"/>
                <w:sz w:val="13"/>
              </w:rPr>
              <w:t>000,00</w:t>
            </w:r>
          </w:p>
        </w:tc>
      </w:tr>
      <w:tr>
        <w:trPr>
          <w:trHeight w:val="190" w:hRule="atLeast"/>
        </w:trPr>
        <w:tc>
          <w:tcPr>
            <w:tcW w:w="4310" w:type="dxa"/>
            <w:tcBorders>
              <w:left w:val="single" w:sz="6" w:space="0" w:color="000000"/>
            </w:tcBorders>
          </w:tcPr>
          <w:p>
            <w:pPr>
              <w:pStyle w:val="TableParagraph"/>
              <w:spacing w:line="156" w:lineRule="exact" w:before="14"/>
              <w:ind w:left="94"/>
              <w:rPr>
                <w:sz w:val="14"/>
              </w:rPr>
            </w:pPr>
            <w:r>
              <w:rPr>
                <w:w w:val="125"/>
                <w:sz w:val="14"/>
              </w:rPr>
              <w:t>Atención</w:t>
            </w:r>
            <w:r>
              <w:rPr>
                <w:spacing w:val="4"/>
                <w:w w:val="125"/>
                <w:sz w:val="14"/>
              </w:rPr>
              <w:t> </w:t>
            </w:r>
            <w:r>
              <w:rPr>
                <w:w w:val="125"/>
                <w:sz w:val="14"/>
              </w:rPr>
              <w:t>de</w:t>
            </w:r>
            <w:r>
              <w:rPr>
                <w:spacing w:val="4"/>
                <w:w w:val="125"/>
                <w:sz w:val="14"/>
              </w:rPr>
              <w:t> </w:t>
            </w:r>
            <w:r>
              <w:rPr>
                <w:w w:val="125"/>
                <w:sz w:val="14"/>
              </w:rPr>
              <w:t>Situaciones</w:t>
            </w:r>
            <w:r>
              <w:rPr>
                <w:spacing w:val="13"/>
                <w:w w:val="125"/>
                <w:sz w:val="14"/>
              </w:rPr>
              <w:t> </w:t>
            </w:r>
            <w:r>
              <w:rPr>
                <w:w w:val="125"/>
                <w:sz w:val="14"/>
              </w:rPr>
              <w:t>de</w:t>
            </w:r>
            <w:r>
              <w:rPr>
                <w:spacing w:val="4"/>
                <w:w w:val="125"/>
                <w:sz w:val="14"/>
              </w:rPr>
              <w:t> </w:t>
            </w:r>
            <w:r>
              <w:rPr>
                <w:spacing w:val="-2"/>
                <w:w w:val="125"/>
                <w:sz w:val="14"/>
              </w:rPr>
              <w:t>Violencia</w:t>
            </w:r>
          </w:p>
        </w:tc>
        <w:tc>
          <w:tcPr>
            <w:tcW w:w="1827" w:type="dxa"/>
          </w:tcPr>
          <w:p>
            <w:pPr>
              <w:pStyle w:val="TableParagraph"/>
              <w:spacing w:line="147" w:lineRule="exact" w:before="23"/>
              <w:ind w:right="66"/>
              <w:jc w:val="right"/>
              <w:rPr>
                <w:sz w:val="13"/>
              </w:rPr>
            </w:pPr>
            <w:r>
              <w:rPr>
                <w:w w:val="125"/>
                <w:sz w:val="13"/>
              </w:rPr>
              <w:t>1</w:t>
            </w:r>
            <w:r>
              <w:rPr>
                <w:spacing w:val="4"/>
                <w:w w:val="125"/>
                <w:sz w:val="13"/>
              </w:rPr>
              <w:t> </w:t>
            </w:r>
            <w:r>
              <w:rPr>
                <w:w w:val="125"/>
                <w:sz w:val="13"/>
              </w:rPr>
              <w:t>500</w:t>
            </w:r>
            <w:r>
              <w:rPr>
                <w:spacing w:val="5"/>
                <w:w w:val="125"/>
                <w:sz w:val="13"/>
              </w:rPr>
              <w:t> </w:t>
            </w:r>
            <w:r>
              <w:rPr>
                <w:w w:val="125"/>
                <w:sz w:val="13"/>
              </w:rPr>
              <w:t>000</w:t>
            </w:r>
            <w:r>
              <w:rPr>
                <w:spacing w:val="4"/>
                <w:w w:val="125"/>
                <w:sz w:val="13"/>
              </w:rPr>
              <w:t> </w:t>
            </w:r>
            <w:r>
              <w:rPr>
                <w:spacing w:val="-2"/>
                <w:w w:val="125"/>
                <w:sz w:val="13"/>
              </w:rPr>
              <w:t>000,00</w:t>
            </w:r>
          </w:p>
        </w:tc>
        <w:tc>
          <w:tcPr>
            <w:tcW w:w="1882" w:type="dxa"/>
          </w:tcPr>
          <w:p>
            <w:pPr>
              <w:pStyle w:val="TableParagraph"/>
              <w:spacing w:line="147" w:lineRule="exact" w:before="23"/>
              <w:ind w:right="80"/>
              <w:jc w:val="right"/>
              <w:rPr>
                <w:sz w:val="13"/>
              </w:rPr>
            </w:pPr>
            <w:r>
              <w:rPr>
                <w:w w:val="125"/>
                <w:sz w:val="13"/>
              </w:rPr>
              <w:t>1</w:t>
            </w:r>
            <w:r>
              <w:rPr>
                <w:spacing w:val="4"/>
                <w:w w:val="125"/>
                <w:sz w:val="13"/>
              </w:rPr>
              <w:t> </w:t>
            </w:r>
            <w:r>
              <w:rPr>
                <w:w w:val="125"/>
                <w:sz w:val="13"/>
              </w:rPr>
              <w:t>200</w:t>
            </w:r>
            <w:r>
              <w:rPr>
                <w:spacing w:val="5"/>
                <w:w w:val="125"/>
                <w:sz w:val="13"/>
              </w:rPr>
              <w:t> </w:t>
            </w:r>
            <w:r>
              <w:rPr>
                <w:w w:val="125"/>
                <w:sz w:val="13"/>
              </w:rPr>
              <w:t>000</w:t>
            </w:r>
            <w:r>
              <w:rPr>
                <w:spacing w:val="4"/>
                <w:w w:val="125"/>
                <w:sz w:val="13"/>
              </w:rPr>
              <w:t> </w:t>
            </w:r>
            <w:r>
              <w:rPr>
                <w:spacing w:val="-2"/>
                <w:w w:val="125"/>
                <w:sz w:val="13"/>
              </w:rPr>
              <w:t>000,00</w:t>
            </w:r>
          </w:p>
        </w:tc>
        <w:tc>
          <w:tcPr>
            <w:tcW w:w="1596" w:type="dxa"/>
          </w:tcPr>
          <w:p>
            <w:pPr>
              <w:pStyle w:val="TableParagraph"/>
              <w:spacing w:line="147" w:lineRule="exact" w:before="23"/>
              <w:ind w:right="140"/>
              <w:jc w:val="right"/>
              <w:rPr>
                <w:sz w:val="13"/>
              </w:rPr>
            </w:pPr>
            <w:r>
              <w:rPr>
                <w:spacing w:val="-10"/>
                <w:w w:val="125"/>
                <w:sz w:val="13"/>
              </w:rPr>
              <w:t>-</w:t>
            </w:r>
          </w:p>
        </w:tc>
        <w:tc>
          <w:tcPr>
            <w:tcW w:w="1569" w:type="dxa"/>
          </w:tcPr>
          <w:p>
            <w:pPr>
              <w:pStyle w:val="TableParagraph"/>
              <w:spacing w:line="147" w:lineRule="exact" w:before="23"/>
              <w:ind w:right="155"/>
              <w:jc w:val="right"/>
              <w:rPr>
                <w:sz w:val="13"/>
              </w:rPr>
            </w:pPr>
            <w:r>
              <w:rPr>
                <w:spacing w:val="-10"/>
                <w:w w:val="125"/>
                <w:sz w:val="13"/>
              </w:rPr>
              <w:t>-</w:t>
            </w:r>
          </w:p>
        </w:tc>
        <w:tc>
          <w:tcPr>
            <w:tcW w:w="1685" w:type="dxa"/>
            <w:tcBorders>
              <w:right w:val="single" w:sz="12" w:space="0" w:color="000000"/>
            </w:tcBorders>
          </w:tcPr>
          <w:p>
            <w:pPr>
              <w:pStyle w:val="TableParagraph"/>
              <w:spacing w:line="147" w:lineRule="exact" w:before="23"/>
              <w:ind w:right="71"/>
              <w:jc w:val="right"/>
              <w:rPr>
                <w:sz w:val="13"/>
              </w:rPr>
            </w:pPr>
            <w:r>
              <w:rPr>
                <w:w w:val="125"/>
                <w:sz w:val="13"/>
              </w:rPr>
              <w:t>2</w:t>
            </w:r>
            <w:r>
              <w:rPr>
                <w:spacing w:val="6"/>
                <w:w w:val="125"/>
                <w:sz w:val="13"/>
              </w:rPr>
              <w:t> </w:t>
            </w:r>
            <w:r>
              <w:rPr>
                <w:w w:val="125"/>
                <w:sz w:val="13"/>
              </w:rPr>
              <w:t>700</w:t>
            </w:r>
            <w:r>
              <w:rPr>
                <w:spacing w:val="5"/>
                <w:w w:val="125"/>
                <w:sz w:val="13"/>
              </w:rPr>
              <w:t> </w:t>
            </w:r>
            <w:r>
              <w:rPr>
                <w:w w:val="125"/>
                <w:sz w:val="13"/>
              </w:rPr>
              <w:t>000</w:t>
            </w:r>
            <w:r>
              <w:rPr>
                <w:spacing w:val="6"/>
                <w:w w:val="125"/>
                <w:sz w:val="13"/>
              </w:rPr>
              <w:t> </w:t>
            </w:r>
            <w:r>
              <w:rPr>
                <w:spacing w:val="-2"/>
                <w:w w:val="125"/>
                <w:sz w:val="13"/>
              </w:rPr>
              <w:t>000,00</w:t>
            </w:r>
          </w:p>
        </w:tc>
      </w:tr>
      <w:tr>
        <w:trPr>
          <w:trHeight w:val="190" w:hRule="atLeast"/>
        </w:trPr>
        <w:tc>
          <w:tcPr>
            <w:tcW w:w="4310" w:type="dxa"/>
            <w:tcBorders>
              <w:left w:val="single" w:sz="6" w:space="0" w:color="000000"/>
            </w:tcBorders>
          </w:tcPr>
          <w:p>
            <w:pPr>
              <w:pStyle w:val="TableParagraph"/>
              <w:spacing w:line="156" w:lineRule="exact" w:before="14"/>
              <w:ind w:left="94"/>
              <w:rPr>
                <w:sz w:val="14"/>
              </w:rPr>
            </w:pPr>
            <w:r>
              <w:rPr>
                <w:w w:val="125"/>
                <w:sz w:val="14"/>
              </w:rPr>
              <w:t>Asignación</w:t>
            </w:r>
            <w:r>
              <w:rPr>
                <w:spacing w:val="5"/>
                <w:w w:val="125"/>
                <w:sz w:val="14"/>
              </w:rPr>
              <w:t> </w:t>
            </w:r>
            <w:r>
              <w:rPr>
                <w:w w:val="125"/>
                <w:sz w:val="14"/>
              </w:rPr>
              <w:t>Familiar</w:t>
            </w:r>
            <w:r>
              <w:rPr>
                <w:spacing w:val="3"/>
                <w:w w:val="125"/>
                <w:sz w:val="14"/>
              </w:rPr>
              <w:t> </w:t>
            </w:r>
            <w:r>
              <w:rPr>
                <w:w w:val="125"/>
                <w:sz w:val="14"/>
              </w:rPr>
              <w:t>(Inciso</w:t>
            </w:r>
            <w:r>
              <w:rPr>
                <w:spacing w:val="5"/>
                <w:w w:val="125"/>
                <w:sz w:val="14"/>
              </w:rPr>
              <w:t> </w:t>
            </w:r>
            <w:r>
              <w:rPr>
                <w:spacing w:val="-5"/>
                <w:w w:val="125"/>
                <w:sz w:val="14"/>
              </w:rPr>
              <w:t>H)</w:t>
            </w:r>
          </w:p>
        </w:tc>
        <w:tc>
          <w:tcPr>
            <w:tcW w:w="1827" w:type="dxa"/>
          </w:tcPr>
          <w:p>
            <w:pPr>
              <w:pStyle w:val="TableParagraph"/>
              <w:spacing w:line="147" w:lineRule="exact" w:before="23"/>
              <w:ind w:right="66"/>
              <w:jc w:val="right"/>
              <w:rPr>
                <w:sz w:val="13"/>
              </w:rPr>
            </w:pPr>
            <w:r>
              <w:rPr>
                <w:w w:val="125"/>
                <w:sz w:val="13"/>
              </w:rPr>
              <w:t>2</w:t>
            </w:r>
            <w:r>
              <w:rPr>
                <w:spacing w:val="4"/>
                <w:w w:val="125"/>
                <w:sz w:val="13"/>
              </w:rPr>
              <w:t> </w:t>
            </w:r>
            <w:r>
              <w:rPr>
                <w:w w:val="125"/>
                <w:sz w:val="13"/>
              </w:rPr>
              <w:t>111</w:t>
            </w:r>
            <w:r>
              <w:rPr>
                <w:spacing w:val="5"/>
                <w:w w:val="125"/>
                <w:sz w:val="13"/>
              </w:rPr>
              <w:t> </w:t>
            </w:r>
            <w:r>
              <w:rPr>
                <w:w w:val="125"/>
                <w:sz w:val="13"/>
              </w:rPr>
              <w:t>457</w:t>
            </w:r>
            <w:r>
              <w:rPr>
                <w:spacing w:val="4"/>
                <w:w w:val="125"/>
                <w:sz w:val="13"/>
              </w:rPr>
              <w:t> </w:t>
            </w:r>
            <w:r>
              <w:rPr>
                <w:spacing w:val="-2"/>
                <w:w w:val="125"/>
                <w:sz w:val="13"/>
              </w:rPr>
              <w:t>500,00</w:t>
            </w:r>
          </w:p>
        </w:tc>
        <w:tc>
          <w:tcPr>
            <w:tcW w:w="1882" w:type="dxa"/>
          </w:tcPr>
          <w:p>
            <w:pPr>
              <w:pStyle w:val="TableParagraph"/>
              <w:spacing w:line="147" w:lineRule="exact" w:before="23"/>
              <w:ind w:right="80"/>
              <w:jc w:val="right"/>
              <w:rPr>
                <w:sz w:val="13"/>
              </w:rPr>
            </w:pPr>
            <w:r>
              <w:rPr>
                <w:w w:val="125"/>
                <w:sz w:val="13"/>
              </w:rPr>
              <w:t>1</w:t>
            </w:r>
            <w:r>
              <w:rPr>
                <w:spacing w:val="4"/>
                <w:w w:val="125"/>
                <w:sz w:val="13"/>
              </w:rPr>
              <w:t> </w:t>
            </w:r>
            <w:r>
              <w:rPr>
                <w:w w:val="125"/>
                <w:sz w:val="13"/>
              </w:rPr>
              <w:t>100</w:t>
            </w:r>
            <w:r>
              <w:rPr>
                <w:spacing w:val="5"/>
                <w:w w:val="125"/>
                <w:sz w:val="13"/>
              </w:rPr>
              <w:t> </w:t>
            </w:r>
            <w:r>
              <w:rPr>
                <w:w w:val="125"/>
                <w:sz w:val="13"/>
              </w:rPr>
              <w:t>000</w:t>
            </w:r>
            <w:r>
              <w:rPr>
                <w:spacing w:val="4"/>
                <w:w w:val="125"/>
                <w:sz w:val="13"/>
              </w:rPr>
              <w:t> </w:t>
            </w:r>
            <w:r>
              <w:rPr>
                <w:spacing w:val="-2"/>
                <w:w w:val="125"/>
                <w:sz w:val="13"/>
              </w:rPr>
              <w:t>000,00</w:t>
            </w:r>
          </w:p>
        </w:tc>
        <w:tc>
          <w:tcPr>
            <w:tcW w:w="1596" w:type="dxa"/>
          </w:tcPr>
          <w:p>
            <w:pPr>
              <w:pStyle w:val="TableParagraph"/>
              <w:spacing w:line="147" w:lineRule="exact" w:before="23"/>
              <w:ind w:right="140"/>
              <w:jc w:val="right"/>
              <w:rPr>
                <w:sz w:val="13"/>
              </w:rPr>
            </w:pPr>
            <w:r>
              <w:rPr>
                <w:spacing w:val="-10"/>
                <w:w w:val="125"/>
                <w:sz w:val="13"/>
              </w:rPr>
              <w:t>-</w:t>
            </w:r>
          </w:p>
        </w:tc>
        <w:tc>
          <w:tcPr>
            <w:tcW w:w="1569" w:type="dxa"/>
          </w:tcPr>
          <w:p>
            <w:pPr>
              <w:pStyle w:val="TableParagraph"/>
              <w:spacing w:line="147" w:lineRule="exact" w:before="23"/>
              <w:ind w:right="155"/>
              <w:jc w:val="right"/>
              <w:rPr>
                <w:sz w:val="13"/>
              </w:rPr>
            </w:pPr>
            <w:r>
              <w:rPr>
                <w:spacing w:val="-10"/>
                <w:w w:val="125"/>
                <w:sz w:val="13"/>
              </w:rPr>
              <w:t>-</w:t>
            </w:r>
          </w:p>
        </w:tc>
        <w:tc>
          <w:tcPr>
            <w:tcW w:w="1685" w:type="dxa"/>
            <w:tcBorders>
              <w:right w:val="single" w:sz="12" w:space="0" w:color="000000"/>
            </w:tcBorders>
          </w:tcPr>
          <w:p>
            <w:pPr>
              <w:pStyle w:val="TableParagraph"/>
              <w:spacing w:line="147" w:lineRule="exact" w:before="23"/>
              <w:ind w:right="71"/>
              <w:jc w:val="right"/>
              <w:rPr>
                <w:sz w:val="13"/>
              </w:rPr>
            </w:pPr>
            <w:r>
              <w:rPr>
                <w:w w:val="125"/>
                <w:sz w:val="13"/>
              </w:rPr>
              <w:t>3</w:t>
            </w:r>
            <w:r>
              <w:rPr>
                <w:spacing w:val="6"/>
                <w:w w:val="125"/>
                <w:sz w:val="13"/>
              </w:rPr>
              <w:t> </w:t>
            </w:r>
            <w:r>
              <w:rPr>
                <w:w w:val="125"/>
                <w:sz w:val="13"/>
              </w:rPr>
              <w:t>211</w:t>
            </w:r>
            <w:r>
              <w:rPr>
                <w:spacing w:val="5"/>
                <w:w w:val="125"/>
                <w:sz w:val="13"/>
              </w:rPr>
              <w:t> </w:t>
            </w:r>
            <w:r>
              <w:rPr>
                <w:w w:val="125"/>
                <w:sz w:val="13"/>
              </w:rPr>
              <w:t>457</w:t>
            </w:r>
            <w:r>
              <w:rPr>
                <w:spacing w:val="6"/>
                <w:w w:val="125"/>
                <w:sz w:val="13"/>
              </w:rPr>
              <w:t> </w:t>
            </w:r>
            <w:r>
              <w:rPr>
                <w:spacing w:val="-2"/>
                <w:w w:val="125"/>
                <w:sz w:val="13"/>
              </w:rPr>
              <w:t>500,00</w:t>
            </w:r>
          </w:p>
        </w:tc>
      </w:tr>
      <w:tr>
        <w:trPr>
          <w:trHeight w:val="189" w:hRule="atLeast"/>
        </w:trPr>
        <w:tc>
          <w:tcPr>
            <w:tcW w:w="4310" w:type="dxa"/>
            <w:tcBorders>
              <w:left w:val="single" w:sz="6" w:space="0" w:color="000000"/>
            </w:tcBorders>
          </w:tcPr>
          <w:p>
            <w:pPr>
              <w:pStyle w:val="TableParagraph"/>
              <w:spacing w:line="156" w:lineRule="exact" w:before="14"/>
              <w:ind w:left="94"/>
              <w:rPr>
                <w:sz w:val="14"/>
              </w:rPr>
            </w:pPr>
            <w:r>
              <w:rPr>
                <w:w w:val="125"/>
                <w:sz w:val="14"/>
              </w:rPr>
              <w:t>Prestación</w:t>
            </w:r>
            <w:r>
              <w:rPr>
                <w:spacing w:val="6"/>
                <w:w w:val="125"/>
                <w:sz w:val="14"/>
              </w:rPr>
              <w:t> </w:t>
            </w:r>
            <w:r>
              <w:rPr>
                <w:w w:val="125"/>
                <w:sz w:val="14"/>
              </w:rPr>
              <w:t>Alimentaria</w:t>
            </w:r>
            <w:r>
              <w:rPr>
                <w:spacing w:val="7"/>
                <w:w w:val="125"/>
                <w:sz w:val="14"/>
              </w:rPr>
              <w:t> </w:t>
            </w:r>
            <w:r>
              <w:rPr>
                <w:w w:val="125"/>
                <w:sz w:val="14"/>
              </w:rPr>
              <w:t>(Inciso</w:t>
            </w:r>
            <w:r>
              <w:rPr>
                <w:spacing w:val="7"/>
                <w:w w:val="125"/>
                <w:sz w:val="14"/>
              </w:rPr>
              <w:t> </w:t>
            </w:r>
            <w:r>
              <w:rPr>
                <w:spacing w:val="-5"/>
                <w:w w:val="125"/>
                <w:sz w:val="14"/>
              </w:rPr>
              <w:t>K)</w:t>
            </w:r>
          </w:p>
        </w:tc>
        <w:tc>
          <w:tcPr>
            <w:tcW w:w="1827" w:type="dxa"/>
          </w:tcPr>
          <w:p>
            <w:pPr>
              <w:pStyle w:val="TableParagraph"/>
              <w:spacing w:line="146" w:lineRule="exact" w:before="23"/>
              <w:ind w:right="66"/>
              <w:jc w:val="right"/>
              <w:rPr>
                <w:sz w:val="13"/>
              </w:rPr>
            </w:pPr>
            <w:r>
              <w:rPr>
                <w:w w:val="125"/>
                <w:sz w:val="13"/>
              </w:rPr>
              <w:t>2</w:t>
            </w:r>
            <w:r>
              <w:rPr>
                <w:spacing w:val="4"/>
                <w:w w:val="125"/>
                <w:sz w:val="13"/>
              </w:rPr>
              <w:t> </w:t>
            </w:r>
            <w:r>
              <w:rPr>
                <w:w w:val="125"/>
                <w:sz w:val="13"/>
              </w:rPr>
              <w:t>111</w:t>
            </w:r>
            <w:r>
              <w:rPr>
                <w:spacing w:val="5"/>
                <w:w w:val="125"/>
                <w:sz w:val="13"/>
              </w:rPr>
              <w:t> </w:t>
            </w:r>
            <w:r>
              <w:rPr>
                <w:w w:val="125"/>
                <w:sz w:val="13"/>
              </w:rPr>
              <w:t>457</w:t>
            </w:r>
            <w:r>
              <w:rPr>
                <w:spacing w:val="4"/>
                <w:w w:val="125"/>
                <w:sz w:val="13"/>
              </w:rPr>
              <w:t> </w:t>
            </w:r>
            <w:r>
              <w:rPr>
                <w:spacing w:val="-2"/>
                <w:w w:val="125"/>
                <w:sz w:val="13"/>
              </w:rPr>
              <w:t>500,00</w:t>
            </w:r>
          </w:p>
        </w:tc>
        <w:tc>
          <w:tcPr>
            <w:tcW w:w="1882" w:type="dxa"/>
          </w:tcPr>
          <w:p>
            <w:pPr>
              <w:pStyle w:val="TableParagraph"/>
              <w:spacing w:line="146" w:lineRule="exact" w:before="23"/>
              <w:ind w:right="93"/>
              <w:jc w:val="right"/>
              <w:rPr>
                <w:sz w:val="13"/>
              </w:rPr>
            </w:pPr>
            <w:r>
              <w:rPr>
                <w:w w:val="125"/>
                <w:sz w:val="13"/>
              </w:rPr>
              <w:t>200</w:t>
            </w:r>
            <w:r>
              <w:rPr>
                <w:spacing w:val="7"/>
                <w:w w:val="125"/>
                <w:sz w:val="13"/>
              </w:rPr>
              <w:t> </w:t>
            </w:r>
            <w:r>
              <w:rPr>
                <w:w w:val="125"/>
                <w:sz w:val="13"/>
              </w:rPr>
              <w:t>000</w:t>
            </w:r>
            <w:r>
              <w:rPr>
                <w:spacing w:val="7"/>
                <w:w w:val="125"/>
                <w:sz w:val="13"/>
              </w:rPr>
              <w:t> </w:t>
            </w:r>
            <w:r>
              <w:rPr>
                <w:spacing w:val="-2"/>
                <w:w w:val="125"/>
                <w:sz w:val="13"/>
              </w:rPr>
              <w:t>000,00</w:t>
            </w:r>
          </w:p>
        </w:tc>
        <w:tc>
          <w:tcPr>
            <w:tcW w:w="1596" w:type="dxa"/>
          </w:tcPr>
          <w:p>
            <w:pPr>
              <w:pStyle w:val="TableParagraph"/>
              <w:spacing w:line="146" w:lineRule="exact" w:before="23"/>
              <w:ind w:right="140"/>
              <w:jc w:val="right"/>
              <w:rPr>
                <w:sz w:val="13"/>
              </w:rPr>
            </w:pPr>
            <w:r>
              <w:rPr>
                <w:spacing w:val="-10"/>
                <w:w w:val="125"/>
                <w:sz w:val="13"/>
              </w:rPr>
              <w:t>-</w:t>
            </w:r>
          </w:p>
        </w:tc>
        <w:tc>
          <w:tcPr>
            <w:tcW w:w="1569" w:type="dxa"/>
          </w:tcPr>
          <w:p>
            <w:pPr>
              <w:pStyle w:val="TableParagraph"/>
              <w:spacing w:line="146" w:lineRule="exact" w:before="23"/>
              <w:ind w:right="155"/>
              <w:jc w:val="right"/>
              <w:rPr>
                <w:sz w:val="13"/>
              </w:rPr>
            </w:pPr>
            <w:r>
              <w:rPr>
                <w:spacing w:val="-10"/>
                <w:w w:val="125"/>
                <w:sz w:val="13"/>
              </w:rPr>
              <w:t>-</w:t>
            </w:r>
          </w:p>
        </w:tc>
        <w:tc>
          <w:tcPr>
            <w:tcW w:w="1685" w:type="dxa"/>
            <w:tcBorders>
              <w:right w:val="single" w:sz="12" w:space="0" w:color="000000"/>
            </w:tcBorders>
          </w:tcPr>
          <w:p>
            <w:pPr>
              <w:pStyle w:val="TableParagraph"/>
              <w:spacing w:line="146" w:lineRule="exact" w:before="23"/>
              <w:ind w:right="71"/>
              <w:jc w:val="right"/>
              <w:rPr>
                <w:sz w:val="13"/>
              </w:rPr>
            </w:pPr>
            <w:r>
              <w:rPr>
                <w:w w:val="125"/>
                <w:sz w:val="13"/>
              </w:rPr>
              <w:t>2</w:t>
            </w:r>
            <w:r>
              <w:rPr>
                <w:spacing w:val="6"/>
                <w:w w:val="125"/>
                <w:sz w:val="13"/>
              </w:rPr>
              <w:t> </w:t>
            </w:r>
            <w:r>
              <w:rPr>
                <w:w w:val="125"/>
                <w:sz w:val="13"/>
              </w:rPr>
              <w:t>311</w:t>
            </w:r>
            <w:r>
              <w:rPr>
                <w:spacing w:val="5"/>
                <w:w w:val="125"/>
                <w:sz w:val="13"/>
              </w:rPr>
              <w:t> </w:t>
            </w:r>
            <w:r>
              <w:rPr>
                <w:w w:val="125"/>
                <w:sz w:val="13"/>
              </w:rPr>
              <w:t>457</w:t>
            </w:r>
            <w:r>
              <w:rPr>
                <w:spacing w:val="6"/>
                <w:w w:val="125"/>
                <w:sz w:val="13"/>
              </w:rPr>
              <w:t> </w:t>
            </w:r>
            <w:r>
              <w:rPr>
                <w:spacing w:val="-2"/>
                <w:w w:val="125"/>
                <w:sz w:val="13"/>
              </w:rPr>
              <w:t>500,00</w:t>
            </w:r>
          </w:p>
        </w:tc>
      </w:tr>
      <w:tr>
        <w:trPr>
          <w:trHeight w:val="189" w:hRule="atLeast"/>
        </w:trPr>
        <w:tc>
          <w:tcPr>
            <w:tcW w:w="4310" w:type="dxa"/>
            <w:tcBorders>
              <w:left w:val="single" w:sz="6" w:space="0" w:color="000000"/>
            </w:tcBorders>
          </w:tcPr>
          <w:p>
            <w:pPr>
              <w:pStyle w:val="TableParagraph"/>
              <w:spacing w:line="156" w:lineRule="exact" w:before="14"/>
              <w:ind w:left="94"/>
              <w:rPr>
                <w:sz w:val="14"/>
              </w:rPr>
            </w:pPr>
            <w:r>
              <w:rPr>
                <w:w w:val="125"/>
                <w:sz w:val="14"/>
              </w:rPr>
              <w:t>Cuidado</w:t>
            </w:r>
            <w:r>
              <w:rPr>
                <w:spacing w:val="-9"/>
                <w:w w:val="125"/>
                <w:sz w:val="14"/>
              </w:rPr>
              <w:t> </w:t>
            </w:r>
            <w:r>
              <w:rPr>
                <w:w w:val="125"/>
                <w:sz w:val="14"/>
              </w:rPr>
              <w:t>y</w:t>
            </w:r>
            <w:r>
              <w:rPr>
                <w:spacing w:val="-2"/>
                <w:w w:val="125"/>
                <w:sz w:val="14"/>
              </w:rPr>
              <w:t> </w:t>
            </w:r>
            <w:r>
              <w:rPr>
                <w:w w:val="125"/>
                <w:sz w:val="14"/>
              </w:rPr>
              <w:t>Desarrollo</w:t>
            </w:r>
            <w:r>
              <w:rPr>
                <w:spacing w:val="-9"/>
                <w:w w:val="125"/>
                <w:sz w:val="14"/>
              </w:rPr>
              <w:t> </w:t>
            </w:r>
            <w:r>
              <w:rPr>
                <w:w w:val="125"/>
                <w:sz w:val="14"/>
              </w:rPr>
              <w:t>Infantil</w:t>
            </w:r>
            <w:r>
              <w:rPr>
                <w:spacing w:val="-6"/>
                <w:w w:val="125"/>
                <w:sz w:val="14"/>
              </w:rPr>
              <w:t> </w:t>
            </w:r>
            <w:r>
              <w:rPr>
                <w:w w:val="125"/>
                <w:sz w:val="14"/>
              </w:rPr>
              <w:t>(Ley</w:t>
            </w:r>
            <w:r>
              <w:rPr>
                <w:spacing w:val="-2"/>
                <w:w w:val="125"/>
                <w:sz w:val="14"/>
              </w:rPr>
              <w:t> 9220)</w:t>
            </w:r>
          </w:p>
        </w:tc>
        <w:tc>
          <w:tcPr>
            <w:tcW w:w="1827" w:type="dxa"/>
          </w:tcPr>
          <w:p>
            <w:pPr>
              <w:pStyle w:val="TableParagraph"/>
              <w:spacing w:line="147" w:lineRule="exact" w:before="23"/>
              <w:ind w:right="94"/>
              <w:jc w:val="right"/>
              <w:rPr>
                <w:sz w:val="13"/>
              </w:rPr>
            </w:pPr>
            <w:r>
              <w:rPr>
                <w:w w:val="125"/>
                <w:sz w:val="13"/>
              </w:rPr>
              <w:t>33</w:t>
            </w:r>
            <w:r>
              <w:rPr>
                <w:spacing w:val="5"/>
                <w:w w:val="125"/>
                <w:sz w:val="13"/>
              </w:rPr>
              <w:t> </w:t>
            </w:r>
            <w:r>
              <w:rPr>
                <w:w w:val="125"/>
                <w:sz w:val="13"/>
              </w:rPr>
              <w:t>783</w:t>
            </w:r>
            <w:r>
              <w:rPr>
                <w:spacing w:val="6"/>
                <w:w w:val="125"/>
                <w:sz w:val="13"/>
              </w:rPr>
              <w:t> </w:t>
            </w:r>
            <w:r>
              <w:rPr>
                <w:w w:val="125"/>
                <w:sz w:val="13"/>
              </w:rPr>
              <w:t>320</w:t>
            </w:r>
            <w:r>
              <w:rPr>
                <w:spacing w:val="6"/>
                <w:w w:val="125"/>
                <w:sz w:val="13"/>
              </w:rPr>
              <w:t> </w:t>
            </w:r>
            <w:r>
              <w:rPr>
                <w:spacing w:val="-2"/>
                <w:w w:val="125"/>
                <w:sz w:val="13"/>
              </w:rPr>
              <w:t>000,00</w:t>
            </w:r>
          </w:p>
        </w:tc>
        <w:tc>
          <w:tcPr>
            <w:tcW w:w="1882" w:type="dxa"/>
          </w:tcPr>
          <w:p>
            <w:pPr>
              <w:pStyle w:val="TableParagraph"/>
              <w:spacing w:line="147" w:lineRule="exact" w:before="23"/>
              <w:ind w:right="141"/>
              <w:jc w:val="right"/>
              <w:rPr>
                <w:sz w:val="13"/>
              </w:rPr>
            </w:pPr>
            <w:r>
              <w:rPr>
                <w:spacing w:val="-10"/>
                <w:w w:val="125"/>
                <w:sz w:val="13"/>
              </w:rPr>
              <w:t>-</w:t>
            </w:r>
          </w:p>
        </w:tc>
        <w:tc>
          <w:tcPr>
            <w:tcW w:w="1596" w:type="dxa"/>
          </w:tcPr>
          <w:p>
            <w:pPr>
              <w:pStyle w:val="TableParagraph"/>
              <w:spacing w:line="147" w:lineRule="exact" w:before="23"/>
              <w:ind w:right="140"/>
              <w:jc w:val="right"/>
              <w:rPr>
                <w:sz w:val="13"/>
              </w:rPr>
            </w:pPr>
            <w:r>
              <w:rPr>
                <w:spacing w:val="-10"/>
                <w:w w:val="125"/>
                <w:sz w:val="13"/>
              </w:rPr>
              <w:t>-</w:t>
            </w:r>
          </w:p>
        </w:tc>
        <w:tc>
          <w:tcPr>
            <w:tcW w:w="1569" w:type="dxa"/>
          </w:tcPr>
          <w:p>
            <w:pPr>
              <w:pStyle w:val="TableParagraph"/>
              <w:spacing w:line="147" w:lineRule="exact" w:before="23"/>
              <w:ind w:right="155"/>
              <w:jc w:val="right"/>
              <w:rPr>
                <w:sz w:val="13"/>
              </w:rPr>
            </w:pPr>
            <w:r>
              <w:rPr>
                <w:spacing w:val="-10"/>
                <w:w w:val="125"/>
                <w:sz w:val="13"/>
              </w:rPr>
              <w:t>-</w:t>
            </w:r>
          </w:p>
        </w:tc>
        <w:tc>
          <w:tcPr>
            <w:tcW w:w="1685" w:type="dxa"/>
            <w:tcBorders>
              <w:right w:val="single" w:sz="12" w:space="0" w:color="000000"/>
            </w:tcBorders>
          </w:tcPr>
          <w:p>
            <w:pPr>
              <w:pStyle w:val="TableParagraph"/>
              <w:spacing w:line="147" w:lineRule="exact" w:before="23"/>
              <w:ind w:right="57"/>
              <w:jc w:val="right"/>
              <w:rPr>
                <w:sz w:val="13"/>
              </w:rPr>
            </w:pPr>
            <w:r>
              <w:rPr>
                <w:w w:val="125"/>
                <w:sz w:val="13"/>
              </w:rPr>
              <w:t>33</w:t>
            </w:r>
            <w:r>
              <w:rPr>
                <w:spacing w:val="7"/>
                <w:w w:val="125"/>
                <w:sz w:val="13"/>
              </w:rPr>
              <w:t> </w:t>
            </w:r>
            <w:r>
              <w:rPr>
                <w:w w:val="125"/>
                <w:sz w:val="13"/>
              </w:rPr>
              <w:t>783</w:t>
            </w:r>
            <w:r>
              <w:rPr>
                <w:spacing w:val="8"/>
                <w:w w:val="125"/>
                <w:sz w:val="13"/>
              </w:rPr>
              <w:t> </w:t>
            </w:r>
            <w:r>
              <w:rPr>
                <w:w w:val="125"/>
                <w:sz w:val="13"/>
              </w:rPr>
              <w:t>320</w:t>
            </w:r>
            <w:r>
              <w:rPr>
                <w:spacing w:val="7"/>
                <w:w w:val="125"/>
                <w:sz w:val="13"/>
              </w:rPr>
              <w:t> </w:t>
            </w:r>
            <w:r>
              <w:rPr>
                <w:spacing w:val="-2"/>
                <w:w w:val="125"/>
                <w:sz w:val="13"/>
              </w:rPr>
              <w:t>000,00</w:t>
            </w:r>
          </w:p>
        </w:tc>
      </w:tr>
      <w:tr>
        <w:trPr>
          <w:trHeight w:val="189" w:hRule="atLeast"/>
        </w:trPr>
        <w:tc>
          <w:tcPr>
            <w:tcW w:w="4310" w:type="dxa"/>
            <w:tcBorders>
              <w:left w:val="single" w:sz="6" w:space="0" w:color="000000"/>
            </w:tcBorders>
          </w:tcPr>
          <w:p>
            <w:pPr>
              <w:pStyle w:val="TableParagraph"/>
              <w:spacing w:line="155" w:lineRule="exact" w:before="14"/>
              <w:ind w:left="94"/>
              <w:rPr>
                <w:sz w:val="14"/>
              </w:rPr>
            </w:pPr>
            <w:r>
              <w:rPr>
                <w:w w:val="125"/>
                <w:sz w:val="14"/>
              </w:rPr>
              <w:t>Cuidado</w:t>
            </w:r>
            <w:r>
              <w:rPr>
                <w:spacing w:val="-7"/>
                <w:w w:val="125"/>
                <w:sz w:val="14"/>
              </w:rPr>
              <w:t> </w:t>
            </w:r>
            <w:r>
              <w:rPr>
                <w:w w:val="125"/>
                <w:sz w:val="14"/>
              </w:rPr>
              <w:t>y</w:t>
            </w:r>
            <w:r>
              <w:rPr>
                <w:spacing w:val="-1"/>
                <w:w w:val="125"/>
                <w:sz w:val="14"/>
              </w:rPr>
              <w:t> </w:t>
            </w:r>
            <w:r>
              <w:rPr>
                <w:w w:val="125"/>
                <w:sz w:val="14"/>
              </w:rPr>
              <w:t>Desarrollo</w:t>
            </w:r>
            <w:r>
              <w:rPr>
                <w:spacing w:val="-6"/>
                <w:w w:val="125"/>
                <w:sz w:val="14"/>
              </w:rPr>
              <w:t> </w:t>
            </w:r>
            <w:r>
              <w:rPr>
                <w:spacing w:val="-2"/>
                <w:w w:val="125"/>
                <w:sz w:val="14"/>
              </w:rPr>
              <w:t>Infantil</w:t>
            </w:r>
          </w:p>
        </w:tc>
        <w:tc>
          <w:tcPr>
            <w:tcW w:w="1827" w:type="dxa"/>
          </w:tcPr>
          <w:p>
            <w:pPr>
              <w:pStyle w:val="TableParagraph"/>
              <w:spacing w:line="146" w:lineRule="exact" w:before="23"/>
              <w:ind w:right="66"/>
              <w:jc w:val="right"/>
              <w:rPr>
                <w:sz w:val="13"/>
              </w:rPr>
            </w:pPr>
            <w:r>
              <w:rPr>
                <w:w w:val="125"/>
                <w:sz w:val="13"/>
              </w:rPr>
              <w:t>7</w:t>
            </w:r>
            <w:r>
              <w:rPr>
                <w:spacing w:val="4"/>
                <w:w w:val="125"/>
                <w:sz w:val="13"/>
              </w:rPr>
              <w:t> </w:t>
            </w:r>
            <w:r>
              <w:rPr>
                <w:w w:val="125"/>
                <w:sz w:val="13"/>
              </w:rPr>
              <w:t>000</w:t>
            </w:r>
            <w:r>
              <w:rPr>
                <w:spacing w:val="5"/>
                <w:w w:val="125"/>
                <w:sz w:val="13"/>
              </w:rPr>
              <w:t> </w:t>
            </w:r>
            <w:r>
              <w:rPr>
                <w:w w:val="125"/>
                <w:sz w:val="13"/>
              </w:rPr>
              <w:t>000</w:t>
            </w:r>
            <w:r>
              <w:rPr>
                <w:spacing w:val="4"/>
                <w:w w:val="125"/>
                <w:sz w:val="13"/>
              </w:rPr>
              <w:t> </w:t>
            </w:r>
            <w:r>
              <w:rPr>
                <w:spacing w:val="-2"/>
                <w:w w:val="125"/>
                <w:sz w:val="13"/>
              </w:rPr>
              <w:t>000,00</w:t>
            </w:r>
          </w:p>
        </w:tc>
        <w:tc>
          <w:tcPr>
            <w:tcW w:w="1882" w:type="dxa"/>
          </w:tcPr>
          <w:p>
            <w:pPr>
              <w:pStyle w:val="TableParagraph"/>
              <w:spacing w:line="146" w:lineRule="exact" w:before="23"/>
              <w:ind w:right="80"/>
              <w:jc w:val="right"/>
              <w:rPr>
                <w:sz w:val="13"/>
              </w:rPr>
            </w:pPr>
            <w:r>
              <w:rPr>
                <w:w w:val="125"/>
                <w:sz w:val="13"/>
              </w:rPr>
              <w:t>3</w:t>
            </w:r>
            <w:r>
              <w:rPr>
                <w:spacing w:val="4"/>
                <w:w w:val="125"/>
                <w:sz w:val="13"/>
              </w:rPr>
              <w:t> </w:t>
            </w:r>
            <w:r>
              <w:rPr>
                <w:w w:val="125"/>
                <w:sz w:val="13"/>
              </w:rPr>
              <w:t>000</w:t>
            </w:r>
            <w:r>
              <w:rPr>
                <w:spacing w:val="5"/>
                <w:w w:val="125"/>
                <w:sz w:val="13"/>
              </w:rPr>
              <w:t> </w:t>
            </w:r>
            <w:r>
              <w:rPr>
                <w:w w:val="125"/>
                <w:sz w:val="13"/>
              </w:rPr>
              <w:t>000</w:t>
            </w:r>
            <w:r>
              <w:rPr>
                <w:spacing w:val="4"/>
                <w:w w:val="125"/>
                <w:sz w:val="13"/>
              </w:rPr>
              <w:t> </w:t>
            </w:r>
            <w:r>
              <w:rPr>
                <w:spacing w:val="-2"/>
                <w:w w:val="125"/>
                <w:sz w:val="13"/>
              </w:rPr>
              <w:t>000,00</w:t>
            </w:r>
          </w:p>
        </w:tc>
        <w:tc>
          <w:tcPr>
            <w:tcW w:w="1596" w:type="dxa"/>
          </w:tcPr>
          <w:p>
            <w:pPr>
              <w:pStyle w:val="TableParagraph"/>
              <w:spacing w:line="146" w:lineRule="exact" w:before="23"/>
              <w:ind w:right="140"/>
              <w:jc w:val="right"/>
              <w:rPr>
                <w:sz w:val="13"/>
              </w:rPr>
            </w:pPr>
            <w:r>
              <w:rPr>
                <w:spacing w:val="-10"/>
                <w:w w:val="125"/>
                <w:sz w:val="13"/>
              </w:rPr>
              <w:t>-</w:t>
            </w:r>
          </w:p>
        </w:tc>
        <w:tc>
          <w:tcPr>
            <w:tcW w:w="1569" w:type="dxa"/>
          </w:tcPr>
          <w:p>
            <w:pPr>
              <w:pStyle w:val="TableParagraph"/>
              <w:spacing w:line="146" w:lineRule="exact" w:before="23"/>
              <w:ind w:right="155"/>
              <w:jc w:val="right"/>
              <w:rPr>
                <w:sz w:val="13"/>
              </w:rPr>
            </w:pPr>
            <w:r>
              <w:rPr>
                <w:spacing w:val="-10"/>
                <w:w w:val="125"/>
                <w:sz w:val="13"/>
              </w:rPr>
              <w:t>-</w:t>
            </w:r>
          </w:p>
        </w:tc>
        <w:tc>
          <w:tcPr>
            <w:tcW w:w="1685" w:type="dxa"/>
            <w:tcBorders>
              <w:right w:val="single" w:sz="12" w:space="0" w:color="000000"/>
            </w:tcBorders>
          </w:tcPr>
          <w:p>
            <w:pPr>
              <w:pStyle w:val="TableParagraph"/>
              <w:spacing w:line="146" w:lineRule="exact" w:before="23"/>
              <w:ind w:right="57"/>
              <w:jc w:val="right"/>
              <w:rPr>
                <w:sz w:val="13"/>
              </w:rPr>
            </w:pPr>
            <w:r>
              <w:rPr>
                <w:w w:val="125"/>
                <w:sz w:val="13"/>
              </w:rPr>
              <w:t>10</w:t>
            </w:r>
            <w:r>
              <w:rPr>
                <w:spacing w:val="7"/>
                <w:w w:val="125"/>
                <w:sz w:val="13"/>
              </w:rPr>
              <w:t> </w:t>
            </w:r>
            <w:r>
              <w:rPr>
                <w:w w:val="125"/>
                <w:sz w:val="13"/>
              </w:rPr>
              <w:t>000</w:t>
            </w:r>
            <w:r>
              <w:rPr>
                <w:spacing w:val="8"/>
                <w:w w:val="125"/>
                <w:sz w:val="13"/>
              </w:rPr>
              <w:t> </w:t>
            </w:r>
            <w:r>
              <w:rPr>
                <w:w w:val="125"/>
                <w:sz w:val="13"/>
              </w:rPr>
              <w:t>000</w:t>
            </w:r>
            <w:r>
              <w:rPr>
                <w:spacing w:val="7"/>
                <w:w w:val="125"/>
                <w:sz w:val="13"/>
              </w:rPr>
              <w:t> </w:t>
            </w:r>
            <w:r>
              <w:rPr>
                <w:spacing w:val="-2"/>
                <w:w w:val="125"/>
                <w:sz w:val="13"/>
              </w:rPr>
              <w:t>000,00</w:t>
            </w:r>
          </w:p>
        </w:tc>
      </w:tr>
      <w:tr>
        <w:trPr>
          <w:trHeight w:val="175" w:hRule="atLeast"/>
        </w:trPr>
        <w:tc>
          <w:tcPr>
            <w:tcW w:w="4310" w:type="dxa"/>
            <w:tcBorders>
              <w:left w:val="single" w:sz="6" w:space="0" w:color="000000"/>
              <w:bottom w:val="single" w:sz="12" w:space="0" w:color="000000"/>
            </w:tcBorders>
          </w:tcPr>
          <w:p>
            <w:pPr>
              <w:pStyle w:val="TableParagraph"/>
              <w:spacing w:line="141" w:lineRule="exact" w:before="14"/>
              <w:ind w:left="94"/>
              <w:rPr>
                <w:sz w:val="14"/>
              </w:rPr>
            </w:pPr>
            <w:r>
              <w:rPr>
                <w:w w:val="125"/>
                <w:sz w:val="14"/>
              </w:rPr>
              <w:t>Mejoramiento</w:t>
            </w:r>
            <w:r>
              <w:rPr>
                <w:spacing w:val="-3"/>
                <w:w w:val="125"/>
                <w:sz w:val="14"/>
              </w:rPr>
              <w:t> </w:t>
            </w:r>
            <w:r>
              <w:rPr>
                <w:w w:val="125"/>
                <w:sz w:val="14"/>
              </w:rPr>
              <w:t>de</w:t>
            </w:r>
            <w:r>
              <w:rPr>
                <w:spacing w:val="-3"/>
                <w:w w:val="125"/>
                <w:sz w:val="14"/>
              </w:rPr>
              <w:t> </w:t>
            </w:r>
            <w:r>
              <w:rPr>
                <w:spacing w:val="-2"/>
                <w:w w:val="125"/>
                <w:sz w:val="14"/>
              </w:rPr>
              <w:t>Vivienda</w:t>
            </w:r>
          </w:p>
        </w:tc>
        <w:tc>
          <w:tcPr>
            <w:tcW w:w="1827" w:type="dxa"/>
            <w:tcBorders>
              <w:bottom w:val="single" w:sz="12" w:space="0" w:color="000000"/>
            </w:tcBorders>
          </w:tcPr>
          <w:p>
            <w:pPr>
              <w:pStyle w:val="TableParagraph"/>
              <w:spacing w:line="143" w:lineRule="exact" w:before="13"/>
              <w:ind w:right="80"/>
              <w:jc w:val="right"/>
              <w:rPr>
                <w:sz w:val="13"/>
              </w:rPr>
            </w:pPr>
            <w:r>
              <w:rPr>
                <w:w w:val="125"/>
                <w:sz w:val="13"/>
              </w:rPr>
              <w:t>506</w:t>
            </w:r>
            <w:r>
              <w:rPr>
                <w:spacing w:val="7"/>
                <w:w w:val="125"/>
                <w:sz w:val="13"/>
              </w:rPr>
              <w:t> </w:t>
            </w:r>
            <w:r>
              <w:rPr>
                <w:w w:val="125"/>
                <w:sz w:val="13"/>
              </w:rPr>
              <w:t>749</w:t>
            </w:r>
            <w:r>
              <w:rPr>
                <w:spacing w:val="7"/>
                <w:w w:val="125"/>
                <w:sz w:val="13"/>
              </w:rPr>
              <w:t> </w:t>
            </w:r>
            <w:r>
              <w:rPr>
                <w:spacing w:val="-2"/>
                <w:w w:val="125"/>
                <w:sz w:val="13"/>
              </w:rPr>
              <w:t>800,00</w:t>
            </w:r>
          </w:p>
        </w:tc>
        <w:tc>
          <w:tcPr>
            <w:tcW w:w="1882" w:type="dxa"/>
            <w:tcBorders>
              <w:bottom w:val="single" w:sz="12" w:space="0" w:color="000000"/>
            </w:tcBorders>
          </w:tcPr>
          <w:p>
            <w:pPr>
              <w:pStyle w:val="TableParagraph"/>
              <w:spacing w:line="143" w:lineRule="exact" w:before="13"/>
              <w:ind w:right="93"/>
              <w:jc w:val="right"/>
              <w:rPr>
                <w:sz w:val="13"/>
              </w:rPr>
            </w:pPr>
            <w:r>
              <w:rPr>
                <w:w w:val="125"/>
                <w:sz w:val="13"/>
              </w:rPr>
              <w:t>250</w:t>
            </w:r>
            <w:r>
              <w:rPr>
                <w:spacing w:val="7"/>
                <w:w w:val="125"/>
                <w:sz w:val="13"/>
              </w:rPr>
              <w:t> </w:t>
            </w:r>
            <w:r>
              <w:rPr>
                <w:w w:val="125"/>
                <w:sz w:val="13"/>
              </w:rPr>
              <w:t>000</w:t>
            </w:r>
            <w:r>
              <w:rPr>
                <w:spacing w:val="7"/>
                <w:w w:val="125"/>
                <w:sz w:val="13"/>
              </w:rPr>
              <w:t> </w:t>
            </w:r>
            <w:r>
              <w:rPr>
                <w:spacing w:val="-2"/>
                <w:w w:val="125"/>
                <w:sz w:val="13"/>
              </w:rPr>
              <w:t>000,00</w:t>
            </w:r>
          </w:p>
        </w:tc>
        <w:tc>
          <w:tcPr>
            <w:tcW w:w="1596" w:type="dxa"/>
            <w:tcBorders>
              <w:bottom w:val="single" w:sz="12" w:space="0" w:color="000000"/>
            </w:tcBorders>
          </w:tcPr>
          <w:p>
            <w:pPr>
              <w:pStyle w:val="TableParagraph"/>
              <w:spacing w:line="143" w:lineRule="exact" w:before="13"/>
              <w:ind w:right="140"/>
              <w:jc w:val="right"/>
              <w:rPr>
                <w:sz w:val="13"/>
              </w:rPr>
            </w:pPr>
            <w:r>
              <w:rPr>
                <w:spacing w:val="-10"/>
                <w:w w:val="125"/>
                <w:sz w:val="13"/>
              </w:rPr>
              <w:t>-</w:t>
            </w:r>
          </w:p>
        </w:tc>
        <w:tc>
          <w:tcPr>
            <w:tcW w:w="1569" w:type="dxa"/>
            <w:tcBorders>
              <w:bottom w:val="single" w:sz="12" w:space="0" w:color="000000"/>
            </w:tcBorders>
          </w:tcPr>
          <w:p>
            <w:pPr>
              <w:pStyle w:val="TableParagraph"/>
              <w:spacing w:line="143" w:lineRule="exact" w:before="13"/>
              <w:ind w:right="155"/>
              <w:jc w:val="right"/>
              <w:rPr>
                <w:sz w:val="13"/>
              </w:rPr>
            </w:pPr>
            <w:r>
              <w:rPr>
                <w:spacing w:val="-10"/>
                <w:w w:val="125"/>
                <w:sz w:val="13"/>
              </w:rPr>
              <w:t>-</w:t>
            </w:r>
          </w:p>
        </w:tc>
        <w:tc>
          <w:tcPr>
            <w:tcW w:w="1685" w:type="dxa"/>
            <w:tcBorders>
              <w:bottom w:val="single" w:sz="12" w:space="0" w:color="000000"/>
              <w:right w:val="single" w:sz="12" w:space="0" w:color="000000"/>
            </w:tcBorders>
          </w:tcPr>
          <w:p>
            <w:pPr>
              <w:pStyle w:val="TableParagraph"/>
              <w:spacing w:line="143" w:lineRule="exact" w:before="13"/>
              <w:ind w:right="44"/>
              <w:jc w:val="right"/>
              <w:rPr>
                <w:sz w:val="13"/>
              </w:rPr>
            </w:pPr>
            <w:r>
              <w:rPr>
                <w:w w:val="125"/>
                <w:sz w:val="13"/>
              </w:rPr>
              <w:t>756</w:t>
            </w:r>
            <w:r>
              <w:rPr>
                <w:spacing w:val="7"/>
                <w:w w:val="125"/>
                <w:sz w:val="13"/>
              </w:rPr>
              <w:t> </w:t>
            </w:r>
            <w:r>
              <w:rPr>
                <w:w w:val="125"/>
                <w:sz w:val="13"/>
              </w:rPr>
              <w:t>749</w:t>
            </w:r>
            <w:r>
              <w:rPr>
                <w:spacing w:val="7"/>
                <w:w w:val="125"/>
                <w:sz w:val="13"/>
              </w:rPr>
              <w:t> </w:t>
            </w:r>
            <w:r>
              <w:rPr>
                <w:spacing w:val="-2"/>
                <w:w w:val="125"/>
                <w:sz w:val="13"/>
              </w:rPr>
              <w:t>800,00</w:t>
            </w:r>
          </w:p>
        </w:tc>
      </w:tr>
      <w:tr>
        <w:trPr>
          <w:trHeight w:val="171" w:hRule="atLeast"/>
        </w:trPr>
        <w:tc>
          <w:tcPr>
            <w:tcW w:w="4310" w:type="dxa"/>
            <w:tcBorders>
              <w:top w:val="single" w:sz="12" w:space="0" w:color="000000"/>
              <w:left w:val="single" w:sz="6" w:space="0" w:color="000000"/>
              <w:bottom w:val="single" w:sz="12" w:space="0" w:color="000000"/>
            </w:tcBorders>
            <w:shd w:val="clear" w:color="auto" w:fill="B8CCE3"/>
          </w:tcPr>
          <w:p>
            <w:pPr>
              <w:pStyle w:val="TableParagraph"/>
              <w:spacing w:line="141" w:lineRule="exact" w:before="10"/>
              <w:ind w:left="40"/>
              <w:rPr>
                <w:b/>
                <w:sz w:val="14"/>
              </w:rPr>
            </w:pPr>
            <w:r>
              <w:rPr>
                <w:b/>
                <w:w w:val="125"/>
                <w:sz w:val="14"/>
              </w:rPr>
              <w:t>Dimensión</w:t>
            </w:r>
            <w:r>
              <w:rPr>
                <w:b/>
                <w:spacing w:val="18"/>
                <w:w w:val="125"/>
                <w:sz w:val="14"/>
              </w:rPr>
              <w:t> </w:t>
            </w:r>
            <w:r>
              <w:rPr>
                <w:b/>
                <w:w w:val="125"/>
                <w:sz w:val="14"/>
              </w:rPr>
              <w:t>Promoción</w:t>
            </w:r>
            <w:r>
              <w:rPr>
                <w:b/>
                <w:spacing w:val="19"/>
                <w:w w:val="125"/>
                <w:sz w:val="14"/>
              </w:rPr>
              <w:t> </w:t>
            </w:r>
            <w:r>
              <w:rPr>
                <w:b/>
                <w:spacing w:val="-2"/>
                <w:w w:val="125"/>
                <w:sz w:val="14"/>
              </w:rPr>
              <w:t>Social</w:t>
            </w:r>
          </w:p>
        </w:tc>
        <w:tc>
          <w:tcPr>
            <w:tcW w:w="1827" w:type="dxa"/>
            <w:tcBorders>
              <w:top w:val="single" w:sz="12" w:space="0" w:color="000000"/>
              <w:bottom w:val="single" w:sz="12" w:space="0" w:color="000000"/>
            </w:tcBorders>
            <w:shd w:val="clear" w:color="auto" w:fill="B8CCE3"/>
          </w:tcPr>
          <w:p>
            <w:pPr>
              <w:pStyle w:val="TableParagraph"/>
              <w:spacing w:line="132" w:lineRule="exact" w:before="19"/>
              <w:ind w:right="26"/>
              <w:jc w:val="right"/>
              <w:rPr>
                <w:b/>
                <w:sz w:val="13"/>
              </w:rPr>
            </w:pPr>
            <w:r>
              <w:rPr>
                <w:b/>
                <w:w w:val="125"/>
                <w:sz w:val="13"/>
              </w:rPr>
              <w:t>84</w:t>
            </w:r>
            <w:r>
              <w:rPr>
                <w:b/>
                <w:spacing w:val="5"/>
                <w:w w:val="125"/>
                <w:sz w:val="13"/>
              </w:rPr>
              <w:t> </w:t>
            </w:r>
            <w:r>
              <w:rPr>
                <w:b/>
                <w:w w:val="125"/>
                <w:sz w:val="13"/>
              </w:rPr>
              <w:t>656</w:t>
            </w:r>
            <w:r>
              <w:rPr>
                <w:b/>
                <w:spacing w:val="6"/>
                <w:w w:val="125"/>
                <w:sz w:val="13"/>
              </w:rPr>
              <w:t> </w:t>
            </w:r>
            <w:r>
              <w:rPr>
                <w:b/>
                <w:w w:val="125"/>
                <w:sz w:val="13"/>
              </w:rPr>
              <w:t>369</w:t>
            </w:r>
            <w:r>
              <w:rPr>
                <w:b/>
                <w:spacing w:val="6"/>
                <w:w w:val="125"/>
                <w:sz w:val="13"/>
              </w:rPr>
              <w:t> </w:t>
            </w:r>
            <w:r>
              <w:rPr>
                <w:b/>
                <w:spacing w:val="-2"/>
                <w:w w:val="125"/>
                <w:sz w:val="13"/>
              </w:rPr>
              <w:t>134,88</w:t>
            </w:r>
          </w:p>
        </w:tc>
        <w:tc>
          <w:tcPr>
            <w:tcW w:w="1882" w:type="dxa"/>
            <w:tcBorders>
              <w:top w:val="single" w:sz="12" w:space="0" w:color="000000"/>
              <w:bottom w:val="single" w:sz="12" w:space="0" w:color="000000"/>
            </w:tcBorders>
            <w:shd w:val="clear" w:color="auto" w:fill="B8CCE3"/>
          </w:tcPr>
          <w:p>
            <w:pPr>
              <w:pStyle w:val="TableParagraph"/>
              <w:spacing w:line="132" w:lineRule="exact" w:before="19"/>
              <w:ind w:right="25"/>
              <w:jc w:val="right"/>
              <w:rPr>
                <w:b/>
                <w:sz w:val="13"/>
              </w:rPr>
            </w:pPr>
            <w:r>
              <w:rPr>
                <w:b/>
                <w:w w:val="125"/>
                <w:sz w:val="13"/>
              </w:rPr>
              <w:t>8</w:t>
            </w:r>
            <w:r>
              <w:rPr>
                <w:b/>
                <w:spacing w:val="4"/>
                <w:w w:val="125"/>
                <w:sz w:val="13"/>
              </w:rPr>
              <w:t> </w:t>
            </w:r>
            <w:r>
              <w:rPr>
                <w:b/>
                <w:w w:val="125"/>
                <w:sz w:val="13"/>
              </w:rPr>
              <w:t>068</w:t>
            </w:r>
            <w:r>
              <w:rPr>
                <w:b/>
                <w:spacing w:val="5"/>
                <w:w w:val="125"/>
                <w:sz w:val="13"/>
              </w:rPr>
              <w:t> </w:t>
            </w:r>
            <w:r>
              <w:rPr>
                <w:b/>
                <w:w w:val="125"/>
                <w:sz w:val="13"/>
              </w:rPr>
              <w:t>099</w:t>
            </w:r>
            <w:r>
              <w:rPr>
                <w:b/>
                <w:spacing w:val="4"/>
                <w:w w:val="125"/>
                <w:sz w:val="13"/>
              </w:rPr>
              <w:t> </w:t>
            </w:r>
            <w:r>
              <w:rPr>
                <w:b/>
                <w:spacing w:val="-2"/>
                <w:w w:val="125"/>
                <w:sz w:val="13"/>
              </w:rPr>
              <w:t>436,32</w:t>
            </w:r>
          </w:p>
        </w:tc>
        <w:tc>
          <w:tcPr>
            <w:tcW w:w="1596" w:type="dxa"/>
            <w:tcBorders>
              <w:top w:val="single" w:sz="12" w:space="0" w:color="000000"/>
              <w:bottom w:val="single" w:sz="12" w:space="0" w:color="000000"/>
            </w:tcBorders>
            <w:shd w:val="clear" w:color="auto" w:fill="B8CCE3"/>
          </w:tcPr>
          <w:p>
            <w:pPr>
              <w:pStyle w:val="TableParagraph"/>
              <w:spacing w:line="132" w:lineRule="exact" w:before="19"/>
              <w:ind w:right="24"/>
              <w:jc w:val="right"/>
              <w:rPr>
                <w:b/>
                <w:sz w:val="13"/>
              </w:rPr>
            </w:pPr>
            <w:r>
              <w:rPr>
                <w:b/>
                <w:w w:val="125"/>
                <w:sz w:val="13"/>
              </w:rPr>
              <w:t>2</w:t>
            </w:r>
            <w:r>
              <w:rPr>
                <w:b/>
                <w:spacing w:val="6"/>
                <w:w w:val="125"/>
                <w:sz w:val="13"/>
              </w:rPr>
              <w:t> </w:t>
            </w:r>
            <w:r>
              <w:rPr>
                <w:b/>
                <w:w w:val="125"/>
                <w:sz w:val="13"/>
              </w:rPr>
              <w:t>000</w:t>
            </w:r>
            <w:r>
              <w:rPr>
                <w:b/>
                <w:spacing w:val="5"/>
                <w:w w:val="125"/>
                <w:sz w:val="13"/>
              </w:rPr>
              <w:t> </w:t>
            </w:r>
            <w:r>
              <w:rPr>
                <w:b/>
                <w:w w:val="125"/>
                <w:sz w:val="13"/>
              </w:rPr>
              <w:t>000</w:t>
            </w:r>
            <w:r>
              <w:rPr>
                <w:b/>
                <w:spacing w:val="6"/>
                <w:w w:val="125"/>
                <w:sz w:val="13"/>
              </w:rPr>
              <w:t> </w:t>
            </w:r>
            <w:r>
              <w:rPr>
                <w:b/>
                <w:spacing w:val="-2"/>
                <w:w w:val="125"/>
                <w:sz w:val="13"/>
              </w:rPr>
              <w:t>000,00</w:t>
            </w:r>
          </w:p>
        </w:tc>
        <w:tc>
          <w:tcPr>
            <w:tcW w:w="1569" w:type="dxa"/>
            <w:tcBorders>
              <w:top w:val="single" w:sz="12" w:space="0" w:color="000000"/>
              <w:bottom w:val="single" w:sz="12" w:space="0" w:color="000000"/>
            </w:tcBorders>
            <w:shd w:val="clear" w:color="auto" w:fill="B8CCE3"/>
          </w:tcPr>
          <w:p>
            <w:pPr>
              <w:pStyle w:val="TableParagraph"/>
              <w:spacing w:line="132" w:lineRule="exact" w:before="19"/>
              <w:ind w:right="25"/>
              <w:jc w:val="right"/>
              <w:rPr>
                <w:b/>
                <w:sz w:val="13"/>
              </w:rPr>
            </w:pPr>
            <w:r>
              <w:rPr>
                <w:b/>
                <w:w w:val="125"/>
                <w:sz w:val="13"/>
              </w:rPr>
              <w:t>798</w:t>
            </w:r>
            <w:r>
              <w:rPr>
                <w:b/>
                <w:spacing w:val="7"/>
                <w:w w:val="125"/>
                <w:sz w:val="13"/>
              </w:rPr>
              <w:t> </w:t>
            </w:r>
            <w:r>
              <w:rPr>
                <w:b/>
                <w:w w:val="125"/>
                <w:sz w:val="13"/>
              </w:rPr>
              <w:t>259</w:t>
            </w:r>
            <w:r>
              <w:rPr>
                <w:b/>
                <w:spacing w:val="7"/>
                <w:w w:val="125"/>
                <w:sz w:val="13"/>
              </w:rPr>
              <w:t> </w:t>
            </w:r>
            <w:r>
              <w:rPr>
                <w:b/>
                <w:spacing w:val="-2"/>
                <w:w w:val="125"/>
                <w:sz w:val="13"/>
              </w:rPr>
              <w:t>184,00</w:t>
            </w:r>
          </w:p>
        </w:tc>
        <w:tc>
          <w:tcPr>
            <w:tcW w:w="1685" w:type="dxa"/>
            <w:tcBorders>
              <w:top w:val="single" w:sz="12" w:space="0" w:color="000000"/>
              <w:bottom w:val="single" w:sz="12" w:space="0" w:color="000000"/>
              <w:right w:val="single" w:sz="12" w:space="0" w:color="000000"/>
            </w:tcBorders>
            <w:shd w:val="clear" w:color="auto" w:fill="B8CCE3"/>
          </w:tcPr>
          <w:p>
            <w:pPr>
              <w:pStyle w:val="TableParagraph"/>
              <w:spacing w:line="132" w:lineRule="exact" w:before="19"/>
              <w:ind w:right="3"/>
              <w:jc w:val="right"/>
              <w:rPr>
                <w:b/>
                <w:sz w:val="13"/>
              </w:rPr>
            </w:pPr>
            <w:r>
              <w:rPr>
                <w:b/>
                <w:w w:val="125"/>
                <w:sz w:val="13"/>
              </w:rPr>
              <w:t>95</w:t>
            </w:r>
            <w:r>
              <w:rPr>
                <w:b/>
                <w:spacing w:val="7"/>
                <w:w w:val="125"/>
                <w:sz w:val="13"/>
              </w:rPr>
              <w:t> </w:t>
            </w:r>
            <w:r>
              <w:rPr>
                <w:b/>
                <w:w w:val="125"/>
                <w:sz w:val="13"/>
              </w:rPr>
              <w:t>522</w:t>
            </w:r>
            <w:r>
              <w:rPr>
                <w:b/>
                <w:spacing w:val="8"/>
                <w:w w:val="125"/>
                <w:sz w:val="13"/>
              </w:rPr>
              <w:t> </w:t>
            </w:r>
            <w:r>
              <w:rPr>
                <w:b/>
                <w:w w:val="125"/>
                <w:sz w:val="13"/>
              </w:rPr>
              <w:t>727</w:t>
            </w:r>
            <w:r>
              <w:rPr>
                <w:b/>
                <w:spacing w:val="7"/>
                <w:w w:val="125"/>
                <w:sz w:val="13"/>
              </w:rPr>
              <w:t> </w:t>
            </w:r>
            <w:r>
              <w:rPr>
                <w:b/>
                <w:spacing w:val="-2"/>
                <w:w w:val="125"/>
                <w:sz w:val="13"/>
              </w:rPr>
              <w:t>755,20</w:t>
            </w:r>
          </w:p>
        </w:tc>
      </w:tr>
      <w:tr>
        <w:trPr>
          <w:trHeight w:val="185" w:hRule="atLeast"/>
        </w:trPr>
        <w:tc>
          <w:tcPr>
            <w:tcW w:w="4310" w:type="dxa"/>
            <w:tcBorders>
              <w:top w:val="single" w:sz="12" w:space="0" w:color="000000"/>
              <w:left w:val="single" w:sz="6" w:space="0" w:color="000000"/>
            </w:tcBorders>
          </w:tcPr>
          <w:p>
            <w:pPr>
              <w:pStyle w:val="TableParagraph"/>
              <w:spacing w:line="156" w:lineRule="exact" w:before="10"/>
              <w:ind w:left="94"/>
              <w:rPr>
                <w:sz w:val="14"/>
              </w:rPr>
            </w:pPr>
            <w:r>
              <w:rPr>
                <w:spacing w:val="-2"/>
                <w:w w:val="125"/>
                <w:sz w:val="14"/>
              </w:rPr>
              <w:t>Avancemos</w:t>
            </w:r>
          </w:p>
        </w:tc>
        <w:tc>
          <w:tcPr>
            <w:tcW w:w="1827" w:type="dxa"/>
            <w:tcBorders>
              <w:top w:val="single" w:sz="12" w:space="0" w:color="000000"/>
            </w:tcBorders>
          </w:tcPr>
          <w:p>
            <w:pPr>
              <w:pStyle w:val="TableParagraph"/>
              <w:spacing w:line="147" w:lineRule="exact" w:before="19"/>
              <w:ind w:right="94"/>
              <w:jc w:val="right"/>
              <w:rPr>
                <w:sz w:val="13"/>
              </w:rPr>
            </w:pPr>
            <w:r>
              <w:rPr>
                <w:w w:val="125"/>
                <w:sz w:val="13"/>
              </w:rPr>
              <w:t>67</w:t>
            </w:r>
            <w:r>
              <w:rPr>
                <w:spacing w:val="5"/>
                <w:w w:val="125"/>
                <w:sz w:val="13"/>
              </w:rPr>
              <w:t> </w:t>
            </w:r>
            <w:r>
              <w:rPr>
                <w:w w:val="125"/>
                <w:sz w:val="13"/>
              </w:rPr>
              <w:t>594</w:t>
            </w:r>
            <w:r>
              <w:rPr>
                <w:spacing w:val="6"/>
                <w:w w:val="125"/>
                <w:sz w:val="13"/>
              </w:rPr>
              <w:t> </w:t>
            </w:r>
            <w:r>
              <w:rPr>
                <w:w w:val="125"/>
                <w:sz w:val="13"/>
              </w:rPr>
              <w:t>869</w:t>
            </w:r>
            <w:r>
              <w:rPr>
                <w:spacing w:val="6"/>
                <w:w w:val="125"/>
                <w:sz w:val="13"/>
              </w:rPr>
              <w:t> </w:t>
            </w:r>
            <w:r>
              <w:rPr>
                <w:spacing w:val="-2"/>
                <w:w w:val="125"/>
                <w:sz w:val="13"/>
              </w:rPr>
              <w:t>134,88</w:t>
            </w:r>
          </w:p>
        </w:tc>
        <w:tc>
          <w:tcPr>
            <w:tcW w:w="1882" w:type="dxa"/>
            <w:tcBorders>
              <w:top w:val="single" w:sz="12" w:space="0" w:color="000000"/>
            </w:tcBorders>
          </w:tcPr>
          <w:p>
            <w:pPr>
              <w:pStyle w:val="TableParagraph"/>
              <w:spacing w:line="147" w:lineRule="exact" w:before="19"/>
              <w:ind w:right="93"/>
              <w:jc w:val="right"/>
              <w:rPr>
                <w:sz w:val="13"/>
              </w:rPr>
            </w:pPr>
            <w:r>
              <w:rPr>
                <w:w w:val="125"/>
                <w:sz w:val="13"/>
              </w:rPr>
              <w:t>577</w:t>
            </w:r>
            <w:r>
              <w:rPr>
                <w:spacing w:val="7"/>
                <w:w w:val="125"/>
                <w:sz w:val="13"/>
              </w:rPr>
              <w:t> </w:t>
            </w:r>
            <w:r>
              <w:rPr>
                <w:w w:val="125"/>
                <w:sz w:val="13"/>
              </w:rPr>
              <w:t>231</w:t>
            </w:r>
            <w:r>
              <w:rPr>
                <w:spacing w:val="7"/>
                <w:w w:val="125"/>
                <w:sz w:val="13"/>
              </w:rPr>
              <w:t> </w:t>
            </w:r>
            <w:r>
              <w:rPr>
                <w:spacing w:val="-2"/>
                <w:w w:val="125"/>
                <w:sz w:val="13"/>
              </w:rPr>
              <w:t>103,32</w:t>
            </w:r>
          </w:p>
        </w:tc>
        <w:tc>
          <w:tcPr>
            <w:tcW w:w="1596" w:type="dxa"/>
            <w:tcBorders>
              <w:top w:val="single" w:sz="12" w:space="0" w:color="000000"/>
            </w:tcBorders>
          </w:tcPr>
          <w:p>
            <w:pPr>
              <w:pStyle w:val="TableParagraph"/>
              <w:spacing w:line="147" w:lineRule="exact" w:before="19"/>
              <w:ind w:left="212"/>
              <w:rPr>
                <w:sz w:val="13"/>
              </w:rPr>
            </w:pPr>
            <w:r>
              <w:rPr>
                <w:w w:val="125"/>
                <w:sz w:val="13"/>
              </w:rPr>
              <w:t>2</w:t>
            </w:r>
            <w:r>
              <w:rPr>
                <w:spacing w:val="6"/>
                <w:w w:val="125"/>
                <w:sz w:val="13"/>
              </w:rPr>
              <w:t> </w:t>
            </w:r>
            <w:r>
              <w:rPr>
                <w:w w:val="125"/>
                <w:sz w:val="13"/>
              </w:rPr>
              <w:t>000</w:t>
            </w:r>
            <w:r>
              <w:rPr>
                <w:spacing w:val="5"/>
                <w:w w:val="125"/>
                <w:sz w:val="13"/>
              </w:rPr>
              <w:t> </w:t>
            </w:r>
            <w:r>
              <w:rPr>
                <w:w w:val="125"/>
                <w:sz w:val="13"/>
              </w:rPr>
              <w:t>000</w:t>
            </w:r>
            <w:r>
              <w:rPr>
                <w:spacing w:val="6"/>
                <w:w w:val="125"/>
                <w:sz w:val="13"/>
              </w:rPr>
              <w:t> </w:t>
            </w:r>
            <w:r>
              <w:rPr>
                <w:spacing w:val="-2"/>
                <w:w w:val="125"/>
                <w:sz w:val="13"/>
              </w:rPr>
              <w:t>000,00</w:t>
            </w:r>
          </w:p>
        </w:tc>
        <w:tc>
          <w:tcPr>
            <w:tcW w:w="1569" w:type="dxa"/>
            <w:tcBorders>
              <w:top w:val="single" w:sz="12" w:space="0" w:color="000000"/>
            </w:tcBorders>
          </w:tcPr>
          <w:p>
            <w:pPr>
              <w:pStyle w:val="TableParagraph"/>
              <w:spacing w:line="147" w:lineRule="exact" w:before="19"/>
              <w:ind w:right="66"/>
              <w:jc w:val="right"/>
              <w:rPr>
                <w:sz w:val="13"/>
              </w:rPr>
            </w:pPr>
            <w:r>
              <w:rPr>
                <w:w w:val="125"/>
                <w:sz w:val="13"/>
              </w:rPr>
              <w:t>698</w:t>
            </w:r>
            <w:r>
              <w:rPr>
                <w:spacing w:val="7"/>
                <w:w w:val="125"/>
                <w:sz w:val="13"/>
              </w:rPr>
              <w:t> </w:t>
            </w:r>
            <w:r>
              <w:rPr>
                <w:w w:val="125"/>
                <w:sz w:val="13"/>
              </w:rPr>
              <w:t>259</w:t>
            </w:r>
            <w:r>
              <w:rPr>
                <w:spacing w:val="7"/>
                <w:w w:val="125"/>
                <w:sz w:val="13"/>
              </w:rPr>
              <w:t> </w:t>
            </w:r>
            <w:r>
              <w:rPr>
                <w:spacing w:val="-2"/>
                <w:w w:val="125"/>
                <w:sz w:val="13"/>
              </w:rPr>
              <w:t>184,00</w:t>
            </w:r>
          </w:p>
        </w:tc>
        <w:tc>
          <w:tcPr>
            <w:tcW w:w="1685" w:type="dxa"/>
            <w:tcBorders>
              <w:top w:val="single" w:sz="12" w:space="0" w:color="000000"/>
              <w:right w:val="single" w:sz="12" w:space="0" w:color="000000"/>
            </w:tcBorders>
          </w:tcPr>
          <w:p>
            <w:pPr>
              <w:pStyle w:val="TableParagraph"/>
              <w:spacing w:line="147" w:lineRule="exact" w:before="19"/>
              <w:ind w:right="57"/>
              <w:jc w:val="right"/>
              <w:rPr>
                <w:sz w:val="13"/>
              </w:rPr>
            </w:pPr>
            <w:r>
              <w:rPr>
                <w:w w:val="125"/>
                <w:sz w:val="13"/>
              </w:rPr>
              <w:t>70</w:t>
            </w:r>
            <w:r>
              <w:rPr>
                <w:spacing w:val="7"/>
                <w:w w:val="125"/>
                <w:sz w:val="13"/>
              </w:rPr>
              <w:t> </w:t>
            </w:r>
            <w:r>
              <w:rPr>
                <w:w w:val="125"/>
                <w:sz w:val="13"/>
              </w:rPr>
              <w:t>870</w:t>
            </w:r>
            <w:r>
              <w:rPr>
                <w:spacing w:val="8"/>
                <w:w w:val="125"/>
                <w:sz w:val="13"/>
              </w:rPr>
              <w:t> </w:t>
            </w:r>
            <w:r>
              <w:rPr>
                <w:w w:val="125"/>
                <w:sz w:val="13"/>
              </w:rPr>
              <w:t>359</w:t>
            </w:r>
            <w:r>
              <w:rPr>
                <w:spacing w:val="7"/>
                <w:w w:val="125"/>
                <w:sz w:val="13"/>
              </w:rPr>
              <w:t> </w:t>
            </w:r>
            <w:r>
              <w:rPr>
                <w:spacing w:val="-2"/>
                <w:w w:val="125"/>
                <w:sz w:val="13"/>
              </w:rPr>
              <w:t>422,20</w:t>
            </w:r>
          </w:p>
        </w:tc>
      </w:tr>
      <w:tr>
        <w:trPr>
          <w:trHeight w:val="190" w:hRule="atLeast"/>
        </w:trPr>
        <w:tc>
          <w:tcPr>
            <w:tcW w:w="4310" w:type="dxa"/>
            <w:tcBorders>
              <w:left w:val="single" w:sz="6" w:space="0" w:color="000000"/>
            </w:tcBorders>
          </w:tcPr>
          <w:p>
            <w:pPr>
              <w:pStyle w:val="TableParagraph"/>
              <w:spacing w:line="156" w:lineRule="exact" w:before="14"/>
              <w:ind w:left="94"/>
              <w:rPr>
                <w:sz w:val="14"/>
              </w:rPr>
            </w:pPr>
            <w:r>
              <w:rPr>
                <w:w w:val="125"/>
                <w:sz w:val="14"/>
              </w:rPr>
              <w:t>Avancemos</w:t>
            </w:r>
            <w:r>
              <w:rPr>
                <w:spacing w:val="-4"/>
                <w:w w:val="125"/>
                <w:sz w:val="14"/>
              </w:rPr>
              <w:t> </w:t>
            </w:r>
            <w:r>
              <w:rPr>
                <w:w w:val="125"/>
                <w:sz w:val="14"/>
              </w:rPr>
              <w:t>(Recursos</w:t>
            </w:r>
            <w:r>
              <w:rPr>
                <w:spacing w:val="-4"/>
                <w:w w:val="125"/>
                <w:sz w:val="14"/>
              </w:rPr>
              <w:t> </w:t>
            </w:r>
            <w:r>
              <w:rPr>
                <w:spacing w:val="-2"/>
                <w:w w:val="125"/>
                <w:sz w:val="14"/>
              </w:rPr>
              <w:t>dividendos)</w:t>
            </w:r>
          </w:p>
        </w:tc>
        <w:tc>
          <w:tcPr>
            <w:tcW w:w="1827" w:type="dxa"/>
          </w:tcPr>
          <w:p>
            <w:pPr>
              <w:pStyle w:val="TableParagraph"/>
              <w:spacing w:line="147" w:lineRule="exact" w:before="23"/>
              <w:ind w:right="168"/>
              <w:jc w:val="right"/>
              <w:rPr>
                <w:sz w:val="13"/>
              </w:rPr>
            </w:pPr>
            <w:r>
              <w:rPr>
                <w:spacing w:val="-10"/>
                <w:w w:val="125"/>
                <w:sz w:val="13"/>
              </w:rPr>
              <w:t>-</w:t>
            </w:r>
          </w:p>
        </w:tc>
        <w:tc>
          <w:tcPr>
            <w:tcW w:w="1882" w:type="dxa"/>
          </w:tcPr>
          <w:p>
            <w:pPr>
              <w:pStyle w:val="TableParagraph"/>
              <w:spacing w:line="147" w:lineRule="exact" w:before="23"/>
              <w:ind w:right="80"/>
              <w:jc w:val="right"/>
              <w:rPr>
                <w:sz w:val="13"/>
              </w:rPr>
            </w:pPr>
            <w:r>
              <w:rPr>
                <w:w w:val="125"/>
                <w:sz w:val="13"/>
              </w:rPr>
              <w:t>3</w:t>
            </w:r>
            <w:r>
              <w:rPr>
                <w:spacing w:val="4"/>
                <w:w w:val="125"/>
                <w:sz w:val="13"/>
              </w:rPr>
              <w:t> </w:t>
            </w:r>
            <w:r>
              <w:rPr>
                <w:w w:val="125"/>
                <w:sz w:val="13"/>
              </w:rPr>
              <w:t>240</w:t>
            </w:r>
            <w:r>
              <w:rPr>
                <w:spacing w:val="5"/>
                <w:w w:val="125"/>
                <w:sz w:val="13"/>
              </w:rPr>
              <w:t> </w:t>
            </w:r>
            <w:r>
              <w:rPr>
                <w:w w:val="125"/>
                <w:sz w:val="13"/>
              </w:rPr>
              <w:t>368</w:t>
            </w:r>
            <w:r>
              <w:rPr>
                <w:spacing w:val="4"/>
                <w:w w:val="125"/>
                <w:sz w:val="13"/>
              </w:rPr>
              <w:t> </w:t>
            </w:r>
            <w:r>
              <w:rPr>
                <w:spacing w:val="-2"/>
                <w:w w:val="125"/>
                <w:sz w:val="13"/>
              </w:rPr>
              <w:t>333,00</w:t>
            </w:r>
          </w:p>
        </w:tc>
        <w:tc>
          <w:tcPr>
            <w:tcW w:w="1596" w:type="dxa"/>
          </w:tcPr>
          <w:p>
            <w:pPr>
              <w:pStyle w:val="TableParagraph"/>
              <w:spacing w:line="147" w:lineRule="exact" w:before="23"/>
              <w:ind w:right="140"/>
              <w:jc w:val="right"/>
              <w:rPr>
                <w:sz w:val="13"/>
              </w:rPr>
            </w:pPr>
            <w:r>
              <w:rPr>
                <w:spacing w:val="-10"/>
                <w:w w:val="125"/>
                <w:sz w:val="13"/>
              </w:rPr>
              <w:t>-</w:t>
            </w:r>
          </w:p>
        </w:tc>
        <w:tc>
          <w:tcPr>
            <w:tcW w:w="1569" w:type="dxa"/>
          </w:tcPr>
          <w:p>
            <w:pPr>
              <w:pStyle w:val="TableParagraph"/>
              <w:spacing w:line="147" w:lineRule="exact" w:before="23"/>
              <w:ind w:right="155"/>
              <w:jc w:val="right"/>
              <w:rPr>
                <w:sz w:val="13"/>
              </w:rPr>
            </w:pPr>
            <w:r>
              <w:rPr>
                <w:spacing w:val="-10"/>
                <w:w w:val="125"/>
                <w:sz w:val="13"/>
              </w:rPr>
              <w:t>-</w:t>
            </w:r>
          </w:p>
        </w:tc>
        <w:tc>
          <w:tcPr>
            <w:tcW w:w="1685" w:type="dxa"/>
            <w:tcBorders>
              <w:right w:val="single" w:sz="12" w:space="0" w:color="000000"/>
            </w:tcBorders>
          </w:tcPr>
          <w:p>
            <w:pPr>
              <w:pStyle w:val="TableParagraph"/>
              <w:spacing w:line="147" w:lineRule="exact" w:before="23"/>
              <w:ind w:right="71"/>
              <w:jc w:val="right"/>
              <w:rPr>
                <w:sz w:val="13"/>
              </w:rPr>
            </w:pPr>
            <w:r>
              <w:rPr>
                <w:w w:val="125"/>
                <w:sz w:val="13"/>
              </w:rPr>
              <w:t>3</w:t>
            </w:r>
            <w:r>
              <w:rPr>
                <w:spacing w:val="6"/>
                <w:w w:val="125"/>
                <w:sz w:val="13"/>
              </w:rPr>
              <w:t> </w:t>
            </w:r>
            <w:r>
              <w:rPr>
                <w:w w:val="125"/>
                <w:sz w:val="13"/>
              </w:rPr>
              <w:t>240</w:t>
            </w:r>
            <w:r>
              <w:rPr>
                <w:spacing w:val="5"/>
                <w:w w:val="125"/>
                <w:sz w:val="13"/>
              </w:rPr>
              <w:t> </w:t>
            </w:r>
            <w:r>
              <w:rPr>
                <w:w w:val="125"/>
                <w:sz w:val="13"/>
              </w:rPr>
              <w:t>368</w:t>
            </w:r>
            <w:r>
              <w:rPr>
                <w:spacing w:val="6"/>
                <w:w w:val="125"/>
                <w:sz w:val="13"/>
              </w:rPr>
              <w:t> </w:t>
            </w:r>
            <w:r>
              <w:rPr>
                <w:spacing w:val="-2"/>
                <w:w w:val="125"/>
                <w:sz w:val="13"/>
              </w:rPr>
              <w:t>333,00</w:t>
            </w:r>
          </w:p>
        </w:tc>
      </w:tr>
      <w:tr>
        <w:trPr>
          <w:trHeight w:val="190" w:hRule="atLeast"/>
        </w:trPr>
        <w:tc>
          <w:tcPr>
            <w:tcW w:w="4310" w:type="dxa"/>
            <w:tcBorders>
              <w:left w:val="single" w:sz="6" w:space="0" w:color="000000"/>
            </w:tcBorders>
          </w:tcPr>
          <w:p>
            <w:pPr>
              <w:pStyle w:val="TableParagraph"/>
              <w:spacing w:line="156" w:lineRule="exact" w:before="14"/>
              <w:ind w:left="94"/>
              <w:rPr>
                <w:sz w:val="14"/>
              </w:rPr>
            </w:pPr>
            <w:r>
              <w:rPr>
                <w:w w:val="125"/>
                <w:sz w:val="14"/>
              </w:rPr>
              <w:t>Avancemos</w:t>
            </w:r>
            <w:r>
              <w:rPr>
                <w:spacing w:val="-2"/>
                <w:w w:val="125"/>
                <w:sz w:val="14"/>
              </w:rPr>
              <w:t> </w:t>
            </w:r>
            <w:r>
              <w:rPr>
                <w:w w:val="125"/>
                <w:sz w:val="14"/>
              </w:rPr>
              <w:t>(Útiles</w:t>
            </w:r>
            <w:r>
              <w:rPr>
                <w:spacing w:val="-1"/>
                <w:w w:val="125"/>
                <w:sz w:val="14"/>
              </w:rPr>
              <w:t> </w:t>
            </w:r>
            <w:r>
              <w:rPr>
                <w:spacing w:val="-2"/>
                <w:w w:val="125"/>
                <w:sz w:val="14"/>
              </w:rPr>
              <w:t>escolares)</w:t>
            </w:r>
          </w:p>
        </w:tc>
        <w:tc>
          <w:tcPr>
            <w:tcW w:w="1827" w:type="dxa"/>
          </w:tcPr>
          <w:p>
            <w:pPr>
              <w:pStyle w:val="TableParagraph"/>
              <w:spacing w:line="147" w:lineRule="exact" w:before="23"/>
              <w:ind w:right="168"/>
              <w:jc w:val="right"/>
              <w:rPr>
                <w:sz w:val="13"/>
              </w:rPr>
            </w:pPr>
            <w:r>
              <w:rPr>
                <w:spacing w:val="-10"/>
                <w:w w:val="125"/>
                <w:sz w:val="13"/>
              </w:rPr>
              <w:t>-</w:t>
            </w:r>
          </w:p>
        </w:tc>
        <w:tc>
          <w:tcPr>
            <w:tcW w:w="1882" w:type="dxa"/>
          </w:tcPr>
          <w:p>
            <w:pPr>
              <w:pStyle w:val="TableParagraph"/>
              <w:spacing w:line="147" w:lineRule="exact" w:before="23"/>
              <w:ind w:right="141"/>
              <w:jc w:val="right"/>
              <w:rPr>
                <w:sz w:val="13"/>
              </w:rPr>
            </w:pPr>
            <w:r>
              <w:rPr>
                <w:spacing w:val="-10"/>
                <w:w w:val="125"/>
                <w:sz w:val="13"/>
              </w:rPr>
              <w:t>-</w:t>
            </w:r>
          </w:p>
        </w:tc>
        <w:tc>
          <w:tcPr>
            <w:tcW w:w="1596" w:type="dxa"/>
          </w:tcPr>
          <w:p>
            <w:pPr>
              <w:pStyle w:val="TableParagraph"/>
              <w:spacing w:line="147" w:lineRule="exact" w:before="23"/>
              <w:ind w:right="140"/>
              <w:jc w:val="right"/>
              <w:rPr>
                <w:sz w:val="13"/>
              </w:rPr>
            </w:pPr>
            <w:r>
              <w:rPr>
                <w:spacing w:val="-10"/>
                <w:w w:val="125"/>
                <w:sz w:val="13"/>
              </w:rPr>
              <w:t>-</w:t>
            </w:r>
          </w:p>
        </w:tc>
        <w:tc>
          <w:tcPr>
            <w:tcW w:w="1569" w:type="dxa"/>
          </w:tcPr>
          <w:p>
            <w:pPr>
              <w:pStyle w:val="TableParagraph"/>
              <w:spacing w:line="147" w:lineRule="exact" w:before="23"/>
              <w:ind w:right="66"/>
              <w:jc w:val="right"/>
              <w:rPr>
                <w:sz w:val="13"/>
              </w:rPr>
            </w:pPr>
            <w:r>
              <w:rPr>
                <w:w w:val="125"/>
                <w:sz w:val="13"/>
              </w:rPr>
              <w:t>100</w:t>
            </w:r>
            <w:r>
              <w:rPr>
                <w:spacing w:val="7"/>
                <w:w w:val="125"/>
                <w:sz w:val="13"/>
              </w:rPr>
              <w:t> </w:t>
            </w:r>
            <w:r>
              <w:rPr>
                <w:w w:val="125"/>
                <w:sz w:val="13"/>
              </w:rPr>
              <w:t>000</w:t>
            </w:r>
            <w:r>
              <w:rPr>
                <w:spacing w:val="7"/>
                <w:w w:val="125"/>
                <w:sz w:val="13"/>
              </w:rPr>
              <w:t> </w:t>
            </w:r>
            <w:r>
              <w:rPr>
                <w:spacing w:val="-2"/>
                <w:w w:val="125"/>
                <w:sz w:val="13"/>
              </w:rPr>
              <w:t>000,00</w:t>
            </w:r>
          </w:p>
        </w:tc>
        <w:tc>
          <w:tcPr>
            <w:tcW w:w="1685" w:type="dxa"/>
            <w:tcBorders>
              <w:right w:val="single" w:sz="12" w:space="0" w:color="000000"/>
            </w:tcBorders>
          </w:tcPr>
          <w:p>
            <w:pPr>
              <w:pStyle w:val="TableParagraph"/>
              <w:spacing w:line="147" w:lineRule="exact" w:before="23"/>
              <w:ind w:right="44"/>
              <w:jc w:val="right"/>
              <w:rPr>
                <w:sz w:val="13"/>
              </w:rPr>
            </w:pPr>
            <w:r>
              <w:rPr>
                <w:w w:val="125"/>
                <w:sz w:val="13"/>
              </w:rPr>
              <w:t>100</w:t>
            </w:r>
            <w:r>
              <w:rPr>
                <w:spacing w:val="7"/>
                <w:w w:val="125"/>
                <w:sz w:val="13"/>
              </w:rPr>
              <w:t> </w:t>
            </w:r>
            <w:r>
              <w:rPr>
                <w:w w:val="125"/>
                <w:sz w:val="13"/>
              </w:rPr>
              <w:t>000</w:t>
            </w:r>
            <w:r>
              <w:rPr>
                <w:spacing w:val="7"/>
                <w:w w:val="125"/>
                <w:sz w:val="13"/>
              </w:rPr>
              <w:t> </w:t>
            </w:r>
            <w:r>
              <w:rPr>
                <w:spacing w:val="-2"/>
                <w:w w:val="125"/>
                <w:sz w:val="13"/>
              </w:rPr>
              <w:t>000,00</w:t>
            </w:r>
          </w:p>
        </w:tc>
      </w:tr>
      <w:tr>
        <w:trPr>
          <w:trHeight w:val="189" w:hRule="atLeast"/>
        </w:trPr>
        <w:tc>
          <w:tcPr>
            <w:tcW w:w="4310" w:type="dxa"/>
            <w:tcBorders>
              <w:left w:val="single" w:sz="6" w:space="0" w:color="000000"/>
            </w:tcBorders>
          </w:tcPr>
          <w:p>
            <w:pPr>
              <w:pStyle w:val="TableParagraph"/>
              <w:spacing w:line="156" w:lineRule="exact" w:before="14"/>
              <w:ind w:left="94"/>
              <w:rPr>
                <w:sz w:val="14"/>
              </w:rPr>
            </w:pPr>
            <w:r>
              <w:rPr>
                <w:w w:val="125"/>
                <w:sz w:val="14"/>
              </w:rPr>
              <w:t>Avancemos</w:t>
            </w:r>
            <w:r>
              <w:rPr>
                <w:spacing w:val="4"/>
                <w:w w:val="125"/>
                <w:sz w:val="14"/>
              </w:rPr>
              <w:t> </w:t>
            </w:r>
            <w:r>
              <w:rPr>
                <w:w w:val="125"/>
                <w:sz w:val="14"/>
              </w:rPr>
              <w:t>(Fodesaf</w:t>
            </w:r>
            <w:r>
              <w:rPr>
                <w:spacing w:val="-8"/>
                <w:w w:val="125"/>
                <w:sz w:val="14"/>
              </w:rPr>
              <w:t> </w:t>
            </w:r>
            <w:r>
              <w:rPr>
                <w:w w:val="125"/>
                <w:sz w:val="14"/>
              </w:rPr>
              <w:t>inciso</w:t>
            </w:r>
            <w:r>
              <w:rPr>
                <w:spacing w:val="-2"/>
                <w:w w:val="125"/>
                <w:sz w:val="14"/>
              </w:rPr>
              <w:t> </w:t>
            </w:r>
            <w:r>
              <w:rPr>
                <w:spacing w:val="-5"/>
                <w:w w:val="125"/>
                <w:sz w:val="14"/>
              </w:rPr>
              <w:t>b)</w:t>
            </w:r>
          </w:p>
        </w:tc>
        <w:tc>
          <w:tcPr>
            <w:tcW w:w="1827" w:type="dxa"/>
          </w:tcPr>
          <w:p>
            <w:pPr>
              <w:pStyle w:val="TableParagraph"/>
              <w:spacing w:line="146" w:lineRule="exact" w:before="23"/>
              <w:ind w:right="66"/>
              <w:jc w:val="right"/>
              <w:rPr>
                <w:sz w:val="13"/>
              </w:rPr>
            </w:pPr>
            <w:r>
              <w:rPr>
                <w:w w:val="125"/>
                <w:sz w:val="13"/>
              </w:rPr>
              <w:t>6</w:t>
            </w:r>
            <w:r>
              <w:rPr>
                <w:spacing w:val="4"/>
                <w:w w:val="125"/>
                <w:sz w:val="13"/>
              </w:rPr>
              <w:t> </w:t>
            </w:r>
            <w:r>
              <w:rPr>
                <w:w w:val="125"/>
                <w:sz w:val="13"/>
              </w:rPr>
              <w:t>000</w:t>
            </w:r>
            <w:r>
              <w:rPr>
                <w:spacing w:val="5"/>
                <w:w w:val="125"/>
                <w:sz w:val="13"/>
              </w:rPr>
              <w:t> </w:t>
            </w:r>
            <w:r>
              <w:rPr>
                <w:w w:val="125"/>
                <w:sz w:val="13"/>
              </w:rPr>
              <w:t>000</w:t>
            </w:r>
            <w:r>
              <w:rPr>
                <w:spacing w:val="4"/>
                <w:w w:val="125"/>
                <w:sz w:val="13"/>
              </w:rPr>
              <w:t> </w:t>
            </w:r>
            <w:r>
              <w:rPr>
                <w:spacing w:val="-2"/>
                <w:w w:val="125"/>
                <w:sz w:val="13"/>
              </w:rPr>
              <w:t>000,00</w:t>
            </w:r>
          </w:p>
        </w:tc>
        <w:tc>
          <w:tcPr>
            <w:tcW w:w="1882" w:type="dxa"/>
          </w:tcPr>
          <w:p>
            <w:pPr>
              <w:pStyle w:val="TableParagraph"/>
              <w:spacing w:line="146" w:lineRule="exact" w:before="23"/>
              <w:ind w:right="141"/>
              <w:jc w:val="right"/>
              <w:rPr>
                <w:sz w:val="13"/>
              </w:rPr>
            </w:pPr>
            <w:r>
              <w:rPr>
                <w:spacing w:val="-10"/>
                <w:w w:val="125"/>
                <w:sz w:val="13"/>
              </w:rPr>
              <w:t>-</w:t>
            </w:r>
          </w:p>
        </w:tc>
        <w:tc>
          <w:tcPr>
            <w:tcW w:w="1596" w:type="dxa"/>
          </w:tcPr>
          <w:p>
            <w:pPr>
              <w:pStyle w:val="TableParagraph"/>
              <w:spacing w:line="146" w:lineRule="exact" w:before="23"/>
              <w:ind w:right="140"/>
              <w:jc w:val="right"/>
              <w:rPr>
                <w:sz w:val="13"/>
              </w:rPr>
            </w:pPr>
            <w:r>
              <w:rPr>
                <w:spacing w:val="-10"/>
                <w:w w:val="125"/>
                <w:sz w:val="13"/>
              </w:rPr>
              <w:t>-</w:t>
            </w:r>
          </w:p>
        </w:tc>
        <w:tc>
          <w:tcPr>
            <w:tcW w:w="1569" w:type="dxa"/>
          </w:tcPr>
          <w:p>
            <w:pPr>
              <w:pStyle w:val="TableParagraph"/>
              <w:spacing w:line="146" w:lineRule="exact" w:before="23"/>
              <w:ind w:right="155"/>
              <w:jc w:val="right"/>
              <w:rPr>
                <w:sz w:val="13"/>
              </w:rPr>
            </w:pPr>
            <w:r>
              <w:rPr>
                <w:spacing w:val="-10"/>
                <w:w w:val="125"/>
                <w:sz w:val="13"/>
              </w:rPr>
              <w:t>-</w:t>
            </w:r>
          </w:p>
        </w:tc>
        <w:tc>
          <w:tcPr>
            <w:tcW w:w="1685" w:type="dxa"/>
            <w:tcBorders>
              <w:right w:val="single" w:sz="12" w:space="0" w:color="000000"/>
            </w:tcBorders>
          </w:tcPr>
          <w:p>
            <w:pPr>
              <w:pStyle w:val="TableParagraph"/>
              <w:spacing w:line="146" w:lineRule="exact" w:before="23"/>
              <w:ind w:right="71"/>
              <w:jc w:val="right"/>
              <w:rPr>
                <w:sz w:val="13"/>
              </w:rPr>
            </w:pPr>
            <w:r>
              <w:rPr>
                <w:w w:val="125"/>
                <w:sz w:val="13"/>
              </w:rPr>
              <w:t>6</w:t>
            </w:r>
            <w:r>
              <w:rPr>
                <w:spacing w:val="6"/>
                <w:w w:val="125"/>
                <w:sz w:val="13"/>
              </w:rPr>
              <w:t> </w:t>
            </w:r>
            <w:r>
              <w:rPr>
                <w:w w:val="125"/>
                <w:sz w:val="13"/>
              </w:rPr>
              <w:t>000</w:t>
            </w:r>
            <w:r>
              <w:rPr>
                <w:spacing w:val="5"/>
                <w:w w:val="125"/>
                <w:sz w:val="13"/>
              </w:rPr>
              <w:t> </w:t>
            </w:r>
            <w:r>
              <w:rPr>
                <w:w w:val="125"/>
                <w:sz w:val="13"/>
              </w:rPr>
              <w:t>000</w:t>
            </w:r>
            <w:r>
              <w:rPr>
                <w:spacing w:val="6"/>
                <w:w w:val="125"/>
                <w:sz w:val="13"/>
              </w:rPr>
              <w:t> </w:t>
            </w:r>
            <w:r>
              <w:rPr>
                <w:spacing w:val="-2"/>
                <w:w w:val="125"/>
                <w:sz w:val="13"/>
              </w:rPr>
              <w:t>000,00</w:t>
            </w:r>
          </w:p>
        </w:tc>
      </w:tr>
      <w:tr>
        <w:trPr>
          <w:trHeight w:val="189" w:hRule="atLeast"/>
        </w:trPr>
        <w:tc>
          <w:tcPr>
            <w:tcW w:w="4310" w:type="dxa"/>
            <w:tcBorders>
              <w:left w:val="single" w:sz="6" w:space="0" w:color="000000"/>
            </w:tcBorders>
          </w:tcPr>
          <w:p>
            <w:pPr>
              <w:pStyle w:val="TableParagraph"/>
              <w:spacing w:line="156" w:lineRule="exact" w:before="14"/>
              <w:ind w:left="94"/>
              <w:rPr>
                <w:sz w:val="14"/>
              </w:rPr>
            </w:pPr>
            <w:r>
              <w:rPr>
                <w:w w:val="125"/>
                <w:sz w:val="14"/>
              </w:rPr>
              <w:t>Procesos</w:t>
            </w:r>
            <w:r>
              <w:rPr>
                <w:spacing w:val="15"/>
                <w:w w:val="125"/>
                <w:sz w:val="14"/>
              </w:rPr>
              <w:t> </w:t>
            </w:r>
            <w:r>
              <w:rPr>
                <w:spacing w:val="-2"/>
                <w:w w:val="125"/>
                <w:sz w:val="14"/>
              </w:rPr>
              <w:t>Formativos</w:t>
            </w:r>
          </w:p>
        </w:tc>
        <w:tc>
          <w:tcPr>
            <w:tcW w:w="1827" w:type="dxa"/>
          </w:tcPr>
          <w:p>
            <w:pPr>
              <w:pStyle w:val="TableParagraph"/>
              <w:spacing w:line="147" w:lineRule="exact" w:before="23"/>
              <w:ind w:right="66"/>
              <w:jc w:val="right"/>
              <w:rPr>
                <w:sz w:val="13"/>
              </w:rPr>
            </w:pPr>
            <w:r>
              <w:rPr>
                <w:w w:val="125"/>
                <w:sz w:val="13"/>
              </w:rPr>
              <w:t>3</w:t>
            </w:r>
            <w:r>
              <w:rPr>
                <w:spacing w:val="4"/>
                <w:w w:val="125"/>
                <w:sz w:val="13"/>
              </w:rPr>
              <w:t> </w:t>
            </w:r>
            <w:r>
              <w:rPr>
                <w:w w:val="125"/>
                <w:sz w:val="13"/>
              </w:rPr>
              <w:t>061</w:t>
            </w:r>
            <w:r>
              <w:rPr>
                <w:spacing w:val="5"/>
                <w:w w:val="125"/>
                <w:sz w:val="13"/>
              </w:rPr>
              <w:t> </w:t>
            </w:r>
            <w:r>
              <w:rPr>
                <w:w w:val="125"/>
                <w:sz w:val="13"/>
              </w:rPr>
              <w:t>500</w:t>
            </w:r>
            <w:r>
              <w:rPr>
                <w:spacing w:val="4"/>
                <w:w w:val="125"/>
                <w:sz w:val="13"/>
              </w:rPr>
              <w:t> </w:t>
            </w:r>
            <w:r>
              <w:rPr>
                <w:spacing w:val="-2"/>
                <w:w w:val="125"/>
                <w:sz w:val="13"/>
              </w:rPr>
              <w:t>000,00</w:t>
            </w:r>
          </w:p>
        </w:tc>
        <w:tc>
          <w:tcPr>
            <w:tcW w:w="1882" w:type="dxa"/>
          </w:tcPr>
          <w:p>
            <w:pPr>
              <w:pStyle w:val="TableParagraph"/>
              <w:spacing w:line="147" w:lineRule="exact" w:before="23"/>
              <w:ind w:right="93"/>
              <w:jc w:val="right"/>
              <w:rPr>
                <w:sz w:val="13"/>
              </w:rPr>
            </w:pPr>
            <w:r>
              <w:rPr>
                <w:w w:val="125"/>
                <w:sz w:val="13"/>
              </w:rPr>
              <w:t>350</w:t>
            </w:r>
            <w:r>
              <w:rPr>
                <w:spacing w:val="7"/>
                <w:w w:val="125"/>
                <w:sz w:val="13"/>
              </w:rPr>
              <w:t> </w:t>
            </w:r>
            <w:r>
              <w:rPr>
                <w:w w:val="125"/>
                <w:sz w:val="13"/>
              </w:rPr>
              <w:t>500</w:t>
            </w:r>
            <w:r>
              <w:rPr>
                <w:spacing w:val="7"/>
                <w:w w:val="125"/>
                <w:sz w:val="13"/>
              </w:rPr>
              <w:t> </w:t>
            </w:r>
            <w:r>
              <w:rPr>
                <w:spacing w:val="-2"/>
                <w:w w:val="125"/>
                <w:sz w:val="13"/>
              </w:rPr>
              <w:t>000,00</w:t>
            </w:r>
          </w:p>
        </w:tc>
        <w:tc>
          <w:tcPr>
            <w:tcW w:w="1596" w:type="dxa"/>
          </w:tcPr>
          <w:p>
            <w:pPr>
              <w:pStyle w:val="TableParagraph"/>
              <w:spacing w:line="147" w:lineRule="exact" w:before="23"/>
              <w:ind w:right="140"/>
              <w:jc w:val="right"/>
              <w:rPr>
                <w:sz w:val="13"/>
              </w:rPr>
            </w:pPr>
            <w:r>
              <w:rPr>
                <w:spacing w:val="-10"/>
                <w:w w:val="125"/>
                <w:sz w:val="13"/>
              </w:rPr>
              <w:t>-</w:t>
            </w:r>
          </w:p>
        </w:tc>
        <w:tc>
          <w:tcPr>
            <w:tcW w:w="1569" w:type="dxa"/>
          </w:tcPr>
          <w:p>
            <w:pPr>
              <w:pStyle w:val="TableParagraph"/>
              <w:spacing w:line="147" w:lineRule="exact" w:before="23"/>
              <w:ind w:right="155"/>
              <w:jc w:val="right"/>
              <w:rPr>
                <w:sz w:val="13"/>
              </w:rPr>
            </w:pPr>
            <w:r>
              <w:rPr>
                <w:spacing w:val="-10"/>
                <w:w w:val="125"/>
                <w:sz w:val="13"/>
              </w:rPr>
              <w:t>-</w:t>
            </w:r>
          </w:p>
        </w:tc>
        <w:tc>
          <w:tcPr>
            <w:tcW w:w="1685" w:type="dxa"/>
            <w:tcBorders>
              <w:right w:val="single" w:sz="12" w:space="0" w:color="000000"/>
            </w:tcBorders>
          </w:tcPr>
          <w:p>
            <w:pPr>
              <w:pStyle w:val="TableParagraph"/>
              <w:spacing w:line="147" w:lineRule="exact" w:before="23"/>
              <w:ind w:right="71"/>
              <w:jc w:val="right"/>
              <w:rPr>
                <w:sz w:val="13"/>
              </w:rPr>
            </w:pPr>
            <w:r>
              <w:rPr>
                <w:w w:val="125"/>
                <w:sz w:val="13"/>
              </w:rPr>
              <w:t>3</w:t>
            </w:r>
            <w:r>
              <w:rPr>
                <w:spacing w:val="6"/>
                <w:w w:val="125"/>
                <w:sz w:val="13"/>
              </w:rPr>
              <w:t> </w:t>
            </w:r>
            <w:r>
              <w:rPr>
                <w:w w:val="125"/>
                <w:sz w:val="13"/>
              </w:rPr>
              <w:t>412</w:t>
            </w:r>
            <w:r>
              <w:rPr>
                <w:spacing w:val="5"/>
                <w:w w:val="125"/>
                <w:sz w:val="13"/>
              </w:rPr>
              <w:t> </w:t>
            </w:r>
            <w:r>
              <w:rPr>
                <w:w w:val="125"/>
                <w:sz w:val="13"/>
              </w:rPr>
              <w:t>000</w:t>
            </w:r>
            <w:r>
              <w:rPr>
                <w:spacing w:val="6"/>
                <w:w w:val="125"/>
                <w:sz w:val="13"/>
              </w:rPr>
              <w:t> </w:t>
            </w:r>
            <w:r>
              <w:rPr>
                <w:spacing w:val="-2"/>
                <w:w w:val="125"/>
                <w:sz w:val="13"/>
              </w:rPr>
              <w:t>000,00</w:t>
            </w:r>
          </w:p>
        </w:tc>
      </w:tr>
      <w:tr>
        <w:trPr>
          <w:trHeight w:val="190" w:hRule="atLeast"/>
        </w:trPr>
        <w:tc>
          <w:tcPr>
            <w:tcW w:w="4310" w:type="dxa"/>
            <w:tcBorders>
              <w:left w:val="single" w:sz="6" w:space="0" w:color="000000"/>
            </w:tcBorders>
          </w:tcPr>
          <w:p>
            <w:pPr>
              <w:pStyle w:val="TableParagraph"/>
              <w:spacing w:line="156" w:lineRule="exact" w:before="14"/>
              <w:ind w:left="94"/>
              <w:rPr>
                <w:sz w:val="14"/>
              </w:rPr>
            </w:pPr>
            <w:r>
              <w:rPr>
                <w:w w:val="125"/>
                <w:sz w:val="14"/>
              </w:rPr>
              <w:t>Empredimiento</w:t>
            </w:r>
            <w:r>
              <w:rPr>
                <w:spacing w:val="-7"/>
                <w:w w:val="125"/>
                <w:sz w:val="14"/>
              </w:rPr>
              <w:t> </w:t>
            </w:r>
            <w:r>
              <w:rPr>
                <w:w w:val="125"/>
                <w:sz w:val="14"/>
              </w:rPr>
              <w:t>Productivo</w:t>
            </w:r>
            <w:r>
              <w:rPr>
                <w:spacing w:val="-7"/>
                <w:w w:val="125"/>
                <w:sz w:val="14"/>
              </w:rPr>
              <w:t> </w:t>
            </w:r>
            <w:r>
              <w:rPr>
                <w:spacing w:val="-2"/>
                <w:w w:val="125"/>
                <w:sz w:val="14"/>
              </w:rPr>
              <w:t>Individual</w:t>
            </w:r>
          </w:p>
        </w:tc>
        <w:tc>
          <w:tcPr>
            <w:tcW w:w="1827" w:type="dxa"/>
          </w:tcPr>
          <w:p>
            <w:pPr>
              <w:pStyle w:val="TableParagraph"/>
              <w:spacing w:line="147" w:lineRule="exact" w:before="23"/>
              <w:ind w:right="66"/>
              <w:jc w:val="right"/>
              <w:rPr>
                <w:sz w:val="13"/>
              </w:rPr>
            </w:pPr>
            <w:r>
              <w:rPr>
                <w:w w:val="125"/>
                <w:sz w:val="13"/>
              </w:rPr>
              <w:t>2</w:t>
            </w:r>
            <w:r>
              <w:rPr>
                <w:spacing w:val="4"/>
                <w:w w:val="125"/>
                <w:sz w:val="13"/>
              </w:rPr>
              <w:t> </w:t>
            </w:r>
            <w:r>
              <w:rPr>
                <w:w w:val="125"/>
                <w:sz w:val="13"/>
              </w:rPr>
              <w:t>000</w:t>
            </w:r>
            <w:r>
              <w:rPr>
                <w:spacing w:val="5"/>
                <w:w w:val="125"/>
                <w:sz w:val="13"/>
              </w:rPr>
              <w:t> </w:t>
            </w:r>
            <w:r>
              <w:rPr>
                <w:w w:val="125"/>
                <w:sz w:val="13"/>
              </w:rPr>
              <w:t>000</w:t>
            </w:r>
            <w:r>
              <w:rPr>
                <w:spacing w:val="4"/>
                <w:w w:val="125"/>
                <w:sz w:val="13"/>
              </w:rPr>
              <w:t> </w:t>
            </w:r>
            <w:r>
              <w:rPr>
                <w:spacing w:val="-2"/>
                <w:w w:val="125"/>
                <w:sz w:val="13"/>
              </w:rPr>
              <w:t>000,00</w:t>
            </w:r>
          </w:p>
        </w:tc>
        <w:tc>
          <w:tcPr>
            <w:tcW w:w="1882" w:type="dxa"/>
          </w:tcPr>
          <w:p>
            <w:pPr>
              <w:pStyle w:val="TableParagraph"/>
              <w:spacing w:line="147" w:lineRule="exact" w:before="23"/>
              <w:ind w:right="93"/>
              <w:jc w:val="right"/>
              <w:rPr>
                <w:sz w:val="13"/>
              </w:rPr>
            </w:pPr>
            <w:r>
              <w:rPr>
                <w:w w:val="125"/>
                <w:sz w:val="13"/>
              </w:rPr>
              <w:t>500</w:t>
            </w:r>
            <w:r>
              <w:rPr>
                <w:spacing w:val="7"/>
                <w:w w:val="125"/>
                <w:sz w:val="13"/>
              </w:rPr>
              <w:t> </w:t>
            </w:r>
            <w:r>
              <w:rPr>
                <w:w w:val="125"/>
                <w:sz w:val="13"/>
              </w:rPr>
              <w:t>000</w:t>
            </w:r>
            <w:r>
              <w:rPr>
                <w:spacing w:val="7"/>
                <w:w w:val="125"/>
                <w:sz w:val="13"/>
              </w:rPr>
              <w:t> </w:t>
            </w:r>
            <w:r>
              <w:rPr>
                <w:spacing w:val="-2"/>
                <w:w w:val="125"/>
                <w:sz w:val="13"/>
              </w:rPr>
              <w:t>000,00</w:t>
            </w:r>
          </w:p>
        </w:tc>
        <w:tc>
          <w:tcPr>
            <w:tcW w:w="1596" w:type="dxa"/>
          </w:tcPr>
          <w:p>
            <w:pPr>
              <w:pStyle w:val="TableParagraph"/>
              <w:spacing w:line="147" w:lineRule="exact" w:before="23"/>
              <w:ind w:right="140"/>
              <w:jc w:val="right"/>
              <w:rPr>
                <w:sz w:val="13"/>
              </w:rPr>
            </w:pPr>
            <w:r>
              <w:rPr>
                <w:spacing w:val="-10"/>
                <w:w w:val="125"/>
                <w:sz w:val="13"/>
              </w:rPr>
              <w:t>-</w:t>
            </w:r>
          </w:p>
        </w:tc>
        <w:tc>
          <w:tcPr>
            <w:tcW w:w="1569" w:type="dxa"/>
          </w:tcPr>
          <w:p>
            <w:pPr>
              <w:pStyle w:val="TableParagraph"/>
              <w:spacing w:line="147" w:lineRule="exact" w:before="23"/>
              <w:ind w:right="155"/>
              <w:jc w:val="right"/>
              <w:rPr>
                <w:sz w:val="13"/>
              </w:rPr>
            </w:pPr>
            <w:r>
              <w:rPr>
                <w:spacing w:val="-10"/>
                <w:w w:val="125"/>
                <w:sz w:val="13"/>
              </w:rPr>
              <w:t>-</w:t>
            </w:r>
          </w:p>
        </w:tc>
        <w:tc>
          <w:tcPr>
            <w:tcW w:w="1685" w:type="dxa"/>
            <w:tcBorders>
              <w:right w:val="single" w:sz="12" w:space="0" w:color="000000"/>
            </w:tcBorders>
          </w:tcPr>
          <w:p>
            <w:pPr>
              <w:pStyle w:val="TableParagraph"/>
              <w:spacing w:line="147" w:lineRule="exact" w:before="23"/>
              <w:ind w:right="71"/>
              <w:jc w:val="right"/>
              <w:rPr>
                <w:sz w:val="13"/>
              </w:rPr>
            </w:pPr>
            <w:r>
              <w:rPr>
                <w:w w:val="125"/>
                <w:sz w:val="13"/>
              </w:rPr>
              <w:t>2</w:t>
            </w:r>
            <w:r>
              <w:rPr>
                <w:spacing w:val="6"/>
                <w:w w:val="125"/>
                <w:sz w:val="13"/>
              </w:rPr>
              <w:t> </w:t>
            </w:r>
            <w:r>
              <w:rPr>
                <w:w w:val="125"/>
                <w:sz w:val="13"/>
              </w:rPr>
              <w:t>500</w:t>
            </w:r>
            <w:r>
              <w:rPr>
                <w:spacing w:val="5"/>
                <w:w w:val="125"/>
                <w:sz w:val="13"/>
              </w:rPr>
              <w:t> </w:t>
            </w:r>
            <w:r>
              <w:rPr>
                <w:w w:val="125"/>
                <w:sz w:val="13"/>
              </w:rPr>
              <w:t>000</w:t>
            </w:r>
            <w:r>
              <w:rPr>
                <w:spacing w:val="6"/>
                <w:w w:val="125"/>
                <w:sz w:val="13"/>
              </w:rPr>
              <w:t> </w:t>
            </w:r>
            <w:r>
              <w:rPr>
                <w:spacing w:val="-2"/>
                <w:w w:val="125"/>
                <w:sz w:val="13"/>
              </w:rPr>
              <w:t>000,00</w:t>
            </w:r>
          </w:p>
        </w:tc>
      </w:tr>
      <w:tr>
        <w:trPr>
          <w:trHeight w:val="189" w:hRule="atLeast"/>
        </w:trPr>
        <w:tc>
          <w:tcPr>
            <w:tcW w:w="4310" w:type="dxa"/>
            <w:tcBorders>
              <w:left w:val="single" w:sz="6" w:space="0" w:color="000000"/>
            </w:tcBorders>
          </w:tcPr>
          <w:p>
            <w:pPr>
              <w:pStyle w:val="TableParagraph"/>
              <w:spacing w:line="155" w:lineRule="exact" w:before="14"/>
              <w:ind w:left="94"/>
              <w:rPr>
                <w:sz w:val="14"/>
              </w:rPr>
            </w:pPr>
            <w:r>
              <w:rPr>
                <w:spacing w:val="-2"/>
                <w:w w:val="125"/>
                <w:sz w:val="14"/>
              </w:rPr>
              <w:t>Capacitación</w:t>
            </w:r>
          </w:p>
        </w:tc>
        <w:tc>
          <w:tcPr>
            <w:tcW w:w="1827" w:type="dxa"/>
          </w:tcPr>
          <w:p>
            <w:pPr>
              <w:pStyle w:val="TableParagraph"/>
              <w:spacing w:line="146" w:lineRule="exact" w:before="23"/>
              <w:ind w:right="66"/>
              <w:jc w:val="right"/>
              <w:rPr>
                <w:sz w:val="13"/>
              </w:rPr>
            </w:pPr>
            <w:r>
              <w:rPr>
                <w:w w:val="125"/>
                <w:sz w:val="13"/>
              </w:rPr>
              <w:t>6</w:t>
            </w:r>
            <w:r>
              <w:rPr>
                <w:spacing w:val="4"/>
                <w:w w:val="125"/>
                <w:sz w:val="13"/>
              </w:rPr>
              <w:t> </w:t>
            </w:r>
            <w:r>
              <w:rPr>
                <w:w w:val="125"/>
                <w:sz w:val="13"/>
              </w:rPr>
              <w:t>000</w:t>
            </w:r>
            <w:r>
              <w:rPr>
                <w:spacing w:val="5"/>
                <w:w w:val="125"/>
                <w:sz w:val="13"/>
              </w:rPr>
              <w:t> </w:t>
            </w:r>
            <w:r>
              <w:rPr>
                <w:w w:val="125"/>
                <w:sz w:val="13"/>
              </w:rPr>
              <w:t>000</w:t>
            </w:r>
            <w:r>
              <w:rPr>
                <w:spacing w:val="4"/>
                <w:w w:val="125"/>
                <w:sz w:val="13"/>
              </w:rPr>
              <w:t> </w:t>
            </w:r>
            <w:r>
              <w:rPr>
                <w:spacing w:val="-2"/>
                <w:w w:val="125"/>
                <w:sz w:val="13"/>
              </w:rPr>
              <w:t>000,00</w:t>
            </w:r>
          </w:p>
        </w:tc>
        <w:tc>
          <w:tcPr>
            <w:tcW w:w="1882" w:type="dxa"/>
          </w:tcPr>
          <w:p>
            <w:pPr>
              <w:pStyle w:val="TableParagraph"/>
              <w:spacing w:line="146" w:lineRule="exact" w:before="23"/>
              <w:ind w:right="80"/>
              <w:jc w:val="right"/>
              <w:rPr>
                <w:sz w:val="13"/>
              </w:rPr>
            </w:pPr>
            <w:r>
              <w:rPr>
                <w:w w:val="125"/>
                <w:sz w:val="13"/>
              </w:rPr>
              <w:t>3</w:t>
            </w:r>
            <w:r>
              <w:rPr>
                <w:spacing w:val="4"/>
                <w:w w:val="125"/>
                <w:sz w:val="13"/>
              </w:rPr>
              <w:t> </w:t>
            </w:r>
            <w:r>
              <w:rPr>
                <w:w w:val="125"/>
                <w:sz w:val="13"/>
              </w:rPr>
              <w:t>000</w:t>
            </w:r>
            <w:r>
              <w:rPr>
                <w:spacing w:val="5"/>
                <w:w w:val="125"/>
                <w:sz w:val="13"/>
              </w:rPr>
              <w:t> </w:t>
            </w:r>
            <w:r>
              <w:rPr>
                <w:w w:val="125"/>
                <w:sz w:val="13"/>
              </w:rPr>
              <w:t>000</w:t>
            </w:r>
            <w:r>
              <w:rPr>
                <w:spacing w:val="4"/>
                <w:w w:val="125"/>
                <w:sz w:val="13"/>
              </w:rPr>
              <w:t> </w:t>
            </w:r>
            <w:r>
              <w:rPr>
                <w:spacing w:val="-2"/>
                <w:w w:val="125"/>
                <w:sz w:val="13"/>
              </w:rPr>
              <w:t>000,00</w:t>
            </w:r>
          </w:p>
        </w:tc>
        <w:tc>
          <w:tcPr>
            <w:tcW w:w="1596" w:type="dxa"/>
          </w:tcPr>
          <w:p>
            <w:pPr>
              <w:pStyle w:val="TableParagraph"/>
              <w:spacing w:line="146" w:lineRule="exact" w:before="23"/>
              <w:ind w:right="140"/>
              <w:jc w:val="right"/>
              <w:rPr>
                <w:sz w:val="13"/>
              </w:rPr>
            </w:pPr>
            <w:r>
              <w:rPr>
                <w:spacing w:val="-10"/>
                <w:w w:val="125"/>
                <w:sz w:val="13"/>
              </w:rPr>
              <w:t>-</w:t>
            </w:r>
          </w:p>
        </w:tc>
        <w:tc>
          <w:tcPr>
            <w:tcW w:w="1569" w:type="dxa"/>
          </w:tcPr>
          <w:p>
            <w:pPr>
              <w:pStyle w:val="TableParagraph"/>
              <w:spacing w:line="146" w:lineRule="exact" w:before="23"/>
              <w:ind w:right="155"/>
              <w:jc w:val="right"/>
              <w:rPr>
                <w:sz w:val="13"/>
              </w:rPr>
            </w:pPr>
            <w:r>
              <w:rPr>
                <w:spacing w:val="-10"/>
                <w:w w:val="125"/>
                <w:sz w:val="13"/>
              </w:rPr>
              <w:t>-</w:t>
            </w:r>
          </w:p>
        </w:tc>
        <w:tc>
          <w:tcPr>
            <w:tcW w:w="1685" w:type="dxa"/>
            <w:tcBorders>
              <w:right w:val="single" w:sz="12" w:space="0" w:color="000000"/>
            </w:tcBorders>
          </w:tcPr>
          <w:p>
            <w:pPr>
              <w:pStyle w:val="TableParagraph"/>
              <w:spacing w:line="146" w:lineRule="exact" w:before="23"/>
              <w:ind w:right="71"/>
              <w:jc w:val="right"/>
              <w:rPr>
                <w:sz w:val="13"/>
              </w:rPr>
            </w:pPr>
            <w:r>
              <w:rPr>
                <w:w w:val="125"/>
                <w:sz w:val="13"/>
              </w:rPr>
              <w:t>9</w:t>
            </w:r>
            <w:r>
              <w:rPr>
                <w:spacing w:val="6"/>
                <w:w w:val="125"/>
                <w:sz w:val="13"/>
              </w:rPr>
              <w:t> </w:t>
            </w:r>
            <w:r>
              <w:rPr>
                <w:w w:val="125"/>
                <w:sz w:val="13"/>
              </w:rPr>
              <w:t>000</w:t>
            </w:r>
            <w:r>
              <w:rPr>
                <w:spacing w:val="5"/>
                <w:w w:val="125"/>
                <w:sz w:val="13"/>
              </w:rPr>
              <w:t> </w:t>
            </w:r>
            <w:r>
              <w:rPr>
                <w:w w:val="125"/>
                <w:sz w:val="13"/>
              </w:rPr>
              <w:t>000</w:t>
            </w:r>
            <w:r>
              <w:rPr>
                <w:spacing w:val="6"/>
                <w:w w:val="125"/>
                <w:sz w:val="13"/>
              </w:rPr>
              <w:t> </w:t>
            </w:r>
            <w:r>
              <w:rPr>
                <w:spacing w:val="-2"/>
                <w:w w:val="125"/>
                <w:sz w:val="13"/>
              </w:rPr>
              <w:t>000,00</w:t>
            </w:r>
          </w:p>
        </w:tc>
      </w:tr>
      <w:tr>
        <w:trPr>
          <w:trHeight w:val="175" w:hRule="atLeast"/>
        </w:trPr>
        <w:tc>
          <w:tcPr>
            <w:tcW w:w="4310" w:type="dxa"/>
            <w:tcBorders>
              <w:left w:val="single" w:sz="6" w:space="0" w:color="000000"/>
              <w:bottom w:val="single" w:sz="12" w:space="0" w:color="000000"/>
            </w:tcBorders>
          </w:tcPr>
          <w:p>
            <w:pPr>
              <w:pStyle w:val="TableParagraph"/>
              <w:spacing w:line="141" w:lineRule="exact" w:before="14"/>
              <w:ind w:left="94"/>
              <w:rPr>
                <w:sz w:val="14"/>
              </w:rPr>
            </w:pPr>
            <w:r>
              <w:rPr>
                <w:spacing w:val="-2"/>
                <w:w w:val="125"/>
                <w:sz w:val="14"/>
              </w:rPr>
              <w:t>Transferencia</w:t>
            </w:r>
            <w:r>
              <w:rPr>
                <w:w w:val="125"/>
                <w:sz w:val="14"/>
              </w:rPr>
              <w:t> </w:t>
            </w:r>
            <w:r>
              <w:rPr>
                <w:spacing w:val="-2"/>
                <w:w w:val="125"/>
                <w:sz w:val="14"/>
              </w:rPr>
              <w:t>al</w:t>
            </w:r>
            <w:r>
              <w:rPr>
                <w:spacing w:val="4"/>
                <w:w w:val="125"/>
                <w:sz w:val="14"/>
              </w:rPr>
              <w:t> </w:t>
            </w:r>
            <w:r>
              <w:rPr>
                <w:spacing w:val="-2"/>
                <w:w w:val="125"/>
                <w:sz w:val="14"/>
              </w:rPr>
              <w:t>FIDEICOMISO</w:t>
            </w:r>
          </w:p>
        </w:tc>
        <w:tc>
          <w:tcPr>
            <w:tcW w:w="1827" w:type="dxa"/>
            <w:tcBorders>
              <w:bottom w:val="single" w:sz="12" w:space="0" w:color="000000"/>
            </w:tcBorders>
          </w:tcPr>
          <w:p>
            <w:pPr>
              <w:pStyle w:val="TableParagraph"/>
              <w:spacing w:line="143" w:lineRule="exact" w:before="13"/>
              <w:ind w:right="168"/>
              <w:jc w:val="right"/>
              <w:rPr>
                <w:sz w:val="13"/>
              </w:rPr>
            </w:pPr>
            <w:r>
              <w:rPr>
                <w:spacing w:val="-10"/>
                <w:w w:val="125"/>
                <w:sz w:val="13"/>
              </w:rPr>
              <w:t>-</w:t>
            </w:r>
          </w:p>
        </w:tc>
        <w:tc>
          <w:tcPr>
            <w:tcW w:w="1882" w:type="dxa"/>
            <w:tcBorders>
              <w:bottom w:val="single" w:sz="12" w:space="0" w:color="000000"/>
            </w:tcBorders>
          </w:tcPr>
          <w:p>
            <w:pPr>
              <w:pStyle w:val="TableParagraph"/>
              <w:spacing w:line="143" w:lineRule="exact" w:before="13"/>
              <w:ind w:right="93"/>
              <w:jc w:val="right"/>
              <w:rPr>
                <w:sz w:val="13"/>
              </w:rPr>
            </w:pPr>
            <w:r>
              <w:rPr>
                <w:w w:val="125"/>
                <w:sz w:val="13"/>
              </w:rPr>
              <w:t>400</w:t>
            </w:r>
            <w:r>
              <w:rPr>
                <w:spacing w:val="7"/>
                <w:w w:val="125"/>
                <w:sz w:val="13"/>
              </w:rPr>
              <w:t> </w:t>
            </w:r>
            <w:r>
              <w:rPr>
                <w:w w:val="125"/>
                <w:sz w:val="13"/>
              </w:rPr>
              <w:t>000</w:t>
            </w:r>
            <w:r>
              <w:rPr>
                <w:spacing w:val="7"/>
                <w:w w:val="125"/>
                <w:sz w:val="13"/>
              </w:rPr>
              <w:t> </w:t>
            </w:r>
            <w:r>
              <w:rPr>
                <w:spacing w:val="-2"/>
                <w:w w:val="125"/>
                <w:sz w:val="13"/>
              </w:rPr>
              <w:t>000,00</w:t>
            </w:r>
          </w:p>
        </w:tc>
        <w:tc>
          <w:tcPr>
            <w:tcW w:w="1596" w:type="dxa"/>
            <w:tcBorders>
              <w:bottom w:val="single" w:sz="12" w:space="0" w:color="000000"/>
            </w:tcBorders>
          </w:tcPr>
          <w:p>
            <w:pPr>
              <w:pStyle w:val="TableParagraph"/>
              <w:spacing w:line="143" w:lineRule="exact" w:before="13"/>
              <w:ind w:right="140"/>
              <w:jc w:val="right"/>
              <w:rPr>
                <w:sz w:val="13"/>
              </w:rPr>
            </w:pPr>
            <w:r>
              <w:rPr>
                <w:spacing w:val="-10"/>
                <w:w w:val="125"/>
                <w:sz w:val="13"/>
              </w:rPr>
              <w:t>-</w:t>
            </w:r>
          </w:p>
        </w:tc>
        <w:tc>
          <w:tcPr>
            <w:tcW w:w="1569" w:type="dxa"/>
            <w:tcBorders>
              <w:bottom w:val="single" w:sz="12" w:space="0" w:color="000000"/>
            </w:tcBorders>
          </w:tcPr>
          <w:p>
            <w:pPr>
              <w:pStyle w:val="TableParagraph"/>
              <w:spacing w:line="143" w:lineRule="exact" w:before="13"/>
              <w:ind w:right="155"/>
              <w:jc w:val="right"/>
              <w:rPr>
                <w:sz w:val="13"/>
              </w:rPr>
            </w:pPr>
            <w:r>
              <w:rPr>
                <w:spacing w:val="-10"/>
                <w:w w:val="125"/>
                <w:sz w:val="13"/>
              </w:rPr>
              <w:t>-</w:t>
            </w:r>
          </w:p>
        </w:tc>
        <w:tc>
          <w:tcPr>
            <w:tcW w:w="1685" w:type="dxa"/>
            <w:tcBorders>
              <w:bottom w:val="single" w:sz="12" w:space="0" w:color="000000"/>
              <w:right w:val="single" w:sz="12" w:space="0" w:color="000000"/>
            </w:tcBorders>
          </w:tcPr>
          <w:p>
            <w:pPr>
              <w:pStyle w:val="TableParagraph"/>
              <w:spacing w:line="143" w:lineRule="exact" w:before="13"/>
              <w:ind w:right="44"/>
              <w:jc w:val="right"/>
              <w:rPr>
                <w:sz w:val="13"/>
              </w:rPr>
            </w:pPr>
            <w:r>
              <w:rPr>
                <w:w w:val="125"/>
                <w:sz w:val="13"/>
              </w:rPr>
              <w:t>400</w:t>
            </w:r>
            <w:r>
              <w:rPr>
                <w:spacing w:val="7"/>
                <w:w w:val="125"/>
                <w:sz w:val="13"/>
              </w:rPr>
              <w:t> </w:t>
            </w:r>
            <w:r>
              <w:rPr>
                <w:w w:val="125"/>
                <w:sz w:val="13"/>
              </w:rPr>
              <w:t>000</w:t>
            </w:r>
            <w:r>
              <w:rPr>
                <w:spacing w:val="7"/>
                <w:w w:val="125"/>
                <w:sz w:val="13"/>
              </w:rPr>
              <w:t> </w:t>
            </w:r>
            <w:r>
              <w:rPr>
                <w:spacing w:val="-2"/>
                <w:w w:val="125"/>
                <w:sz w:val="13"/>
              </w:rPr>
              <w:t>000,00</w:t>
            </w:r>
          </w:p>
        </w:tc>
      </w:tr>
      <w:tr>
        <w:trPr>
          <w:trHeight w:val="171" w:hRule="atLeast"/>
        </w:trPr>
        <w:tc>
          <w:tcPr>
            <w:tcW w:w="4310" w:type="dxa"/>
            <w:tcBorders>
              <w:top w:val="single" w:sz="12" w:space="0" w:color="000000"/>
              <w:left w:val="single" w:sz="6" w:space="0" w:color="000000"/>
              <w:bottom w:val="single" w:sz="12" w:space="0" w:color="000000"/>
            </w:tcBorders>
            <w:shd w:val="clear" w:color="auto" w:fill="B8CCE3"/>
          </w:tcPr>
          <w:p>
            <w:pPr>
              <w:pStyle w:val="TableParagraph"/>
              <w:spacing w:line="141" w:lineRule="exact" w:before="10"/>
              <w:ind w:left="40"/>
              <w:rPr>
                <w:b/>
                <w:sz w:val="14"/>
              </w:rPr>
            </w:pPr>
            <w:r>
              <w:rPr>
                <w:b/>
                <w:spacing w:val="-2"/>
                <w:w w:val="125"/>
                <w:sz w:val="14"/>
              </w:rPr>
              <w:t>Recursos</w:t>
            </w:r>
            <w:r>
              <w:rPr>
                <w:b/>
                <w:spacing w:val="-11"/>
                <w:w w:val="125"/>
                <w:sz w:val="14"/>
              </w:rPr>
              <w:t> </w:t>
            </w:r>
            <w:r>
              <w:rPr>
                <w:b/>
                <w:spacing w:val="-2"/>
                <w:w w:val="125"/>
                <w:sz w:val="14"/>
              </w:rPr>
              <w:t>Organizaciones</w:t>
            </w:r>
          </w:p>
        </w:tc>
        <w:tc>
          <w:tcPr>
            <w:tcW w:w="1827" w:type="dxa"/>
            <w:tcBorders>
              <w:top w:val="single" w:sz="12" w:space="0" w:color="000000"/>
              <w:bottom w:val="single" w:sz="12" w:space="0" w:color="000000"/>
            </w:tcBorders>
            <w:shd w:val="clear" w:color="auto" w:fill="B8CCE3"/>
          </w:tcPr>
          <w:p>
            <w:pPr>
              <w:pStyle w:val="TableParagraph"/>
              <w:spacing w:line="132" w:lineRule="exact" w:before="19"/>
              <w:ind w:right="19"/>
              <w:jc w:val="right"/>
              <w:rPr>
                <w:b/>
                <w:sz w:val="13"/>
              </w:rPr>
            </w:pPr>
            <w:r>
              <w:rPr>
                <w:b/>
                <w:spacing w:val="-10"/>
                <w:w w:val="125"/>
                <w:sz w:val="13"/>
              </w:rPr>
              <w:t>-</w:t>
            </w:r>
          </w:p>
        </w:tc>
        <w:tc>
          <w:tcPr>
            <w:tcW w:w="1882" w:type="dxa"/>
            <w:tcBorders>
              <w:top w:val="single" w:sz="12" w:space="0" w:color="000000"/>
              <w:bottom w:val="single" w:sz="12" w:space="0" w:color="000000"/>
            </w:tcBorders>
            <w:shd w:val="clear" w:color="auto" w:fill="B8CCE3"/>
          </w:tcPr>
          <w:p>
            <w:pPr>
              <w:pStyle w:val="TableParagraph"/>
              <w:spacing w:line="132" w:lineRule="exact" w:before="19"/>
              <w:ind w:right="25"/>
              <w:jc w:val="right"/>
              <w:rPr>
                <w:b/>
                <w:sz w:val="13"/>
              </w:rPr>
            </w:pPr>
            <w:r>
              <w:rPr>
                <w:b/>
                <w:w w:val="125"/>
                <w:sz w:val="13"/>
              </w:rPr>
              <w:t>550</w:t>
            </w:r>
            <w:r>
              <w:rPr>
                <w:b/>
                <w:spacing w:val="7"/>
                <w:w w:val="125"/>
                <w:sz w:val="13"/>
              </w:rPr>
              <w:t> </w:t>
            </w:r>
            <w:r>
              <w:rPr>
                <w:b/>
                <w:w w:val="125"/>
                <w:sz w:val="13"/>
              </w:rPr>
              <w:t>457</w:t>
            </w:r>
            <w:r>
              <w:rPr>
                <w:b/>
                <w:spacing w:val="7"/>
                <w:w w:val="125"/>
                <w:sz w:val="13"/>
              </w:rPr>
              <w:t> </w:t>
            </w:r>
            <w:r>
              <w:rPr>
                <w:b/>
                <w:spacing w:val="-2"/>
                <w:w w:val="125"/>
                <w:sz w:val="13"/>
              </w:rPr>
              <w:t>416,00</w:t>
            </w:r>
          </w:p>
        </w:tc>
        <w:tc>
          <w:tcPr>
            <w:tcW w:w="1596" w:type="dxa"/>
            <w:tcBorders>
              <w:top w:val="single" w:sz="12" w:space="0" w:color="000000"/>
              <w:bottom w:val="single" w:sz="12" w:space="0" w:color="000000"/>
            </w:tcBorders>
            <w:shd w:val="clear" w:color="auto" w:fill="B8CCE3"/>
          </w:tcPr>
          <w:p>
            <w:pPr>
              <w:pStyle w:val="TableParagraph"/>
              <w:spacing w:line="132" w:lineRule="exact" w:before="19"/>
              <w:ind w:right="18"/>
              <w:jc w:val="right"/>
              <w:rPr>
                <w:b/>
                <w:sz w:val="13"/>
              </w:rPr>
            </w:pPr>
            <w:r>
              <w:rPr>
                <w:b/>
                <w:spacing w:val="-10"/>
                <w:w w:val="125"/>
                <w:sz w:val="13"/>
              </w:rPr>
              <w:t>-</w:t>
            </w:r>
          </w:p>
        </w:tc>
        <w:tc>
          <w:tcPr>
            <w:tcW w:w="1569" w:type="dxa"/>
            <w:tcBorders>
              <w:top w:val="single" w:sz="12" w:space="0" w:color="000000"/>
              <w:bottom w:val="single" w:sz="12" w:space="0" w:color="000000"/>
            </w:tcBorders>
            <w:shd w:val="clear" w:color="auto" w:fill="B8CCE3"/>
          </w:tcPr>
          <w:p>
            <w:pPr>
              <w:pStyle w:val="TableParagraph"/>
              <w:spacing w:line="132" w:lineRule="exact" w:before="19"/>
              <w:ind w:right="18"/>
              <w:jc w:val="right"/>
              <w:rPr>
                <w:b/>
                <w:sz w:val="13"/>
              </w:rPr>
            </w:pPr>
            <w:r>
              <w:rPr>
                <w:b/>
                <w:spacing w:val="-10"/>
                <w:w w:val="125"/>
                <w:sz w:val="13"/>
              </w:rPr>
              <w:t>-</w:t>
            </w:r>
          </w:p>
        </w:tc>
        <w:tc>
          <w:tcPr>
            <w:tcW w:w="1685" w:type="dxa"/>
            <w:tcBorders>
              <w:top w:val="single" w:sz="12" w:space="0" w:color="000000"/>
              <w:bottom w:val="single" w:sz="12" w:space="0" w:color="000000"/>
              <w:right w:val="single" w:sz="12" w:space="0" w:color="000000"/>
            </w:tcBorders>
            <w:shd w:val="clear" w:color="auto" w:fill="B8CCE3"/>
          </w:tcPr>
          <w:p>
            <w:pPr>
              <w:pStyle w:val="TableParagraph"/>
              <w:spacing w:line="132" w:lineRule="exact" w:before="19"/>
              <w:ind w:right="4"/>
              <w:jc w:val="right"/>
              <w:rPr>
                <w:b/>
                <w:sz w:val="13"/>
              </w:rPr>
            </w:pPr>
            <w:r>
              <w:rPr>
                <w:b/>
                <w:w w:val="125"/>
                <w:sz w:val="13"/>
              </w:rPr>
              <w:t>550</w:t>
            </w:r>
            <w:r>
              <w:rPr>
                <w:b/>
                <w:spacing w:val="7"/>
                <w:w w:val="125"/>
                <w:sz w:val="13"/>
              </w:rPr>
              <w:t> </w:t>
            </w:r>
            <w:r>
              <w:rPr>
                <w:b/>
                <w:w w:val="125"/>
                <w:sz w:val="13"/>
              </w:rPr>
              <w:t>457</w:t>
            </w:r>
            <w:r>
              <w:rPr>
                <w:b/>
                <w:spacing w:val="7"/>
                <w:w w:val="125"/>
                <w:sz w:val="13"/>
              </w:rPr>
              <w:t> </w:t>
            </w:r>
            <w:r>
              <w:rPr>
                <w:b/>
                <w:spacing w:val="-2"/>
                <w:w w:val="125"/>
                <w:sz w:val="13"/>
              </w:rPr>
              <w:t>416,00</w:t>
            </w:r>
          </w:p>
        </w:tc>
      </w:tr>
      <w:tr>
        <w:trPr>
          <w:trHeight w:val="360" w:hRule="atLeast"/>
        </w:trPr>
        <w:tc>
          <w:tcPr>
            <w:tcW w:w="4310" w:type="dxa"/>
            <w:tcBorders>
              <w:top w:val="single" w:sz="12" w:space="0" w:color="000000"/>
              <w:left w:val="single" w:sz="6" w:space="0" w:color="000000"/>
              <w:bottom w:val="single" w:sz="12" w:space="0" w:color="000000"/>
            </w:tcBorders>
          </w:tcPr>
          <w:p>
            <w:pPr>
              <w:pStyle w:val="TableParagraph"/>
              <w:spacing w:before="10"/>
              <w:ind w:left="94"/>
              <w:rPr>
                <w:sz w:val="14"/>
              </w:rPr>
            </w:pPr>
            <w:r>
              <w:rPr>
                <w:w w:val="125"/>
                <w:sz w:val="14"/>
              </w:rPr>
              <w:t>Departamento</w:t>
            </w:r>
            <w:r>
              <w:rPr>
                <w:spacing w:val="5"/>
                <w:w w:val="125"/>
                <w:sz w:val="14"/>
              </w:rPr>
              <w:t> </w:t>
            </w:r>
            <w:r>
              <w:rPr>
                <w:w w:val="125"/>
                <w:sz w:val="14"/>
              </w:rPr>
              <w:t>de</w:t>
            </w:r>
            <w:r>
              <w:rPr>
                <w:spacing w:val="6"/>
                <w:w w:val="125"/>
                <w:sz w:val="14"/>
              </w:rPr>
              <w:t> </w:t>
            </w:r>
            <w:r>
              <w:rPr>
                <w:w w:val="125"/>
                <w:sz w:val="14"/>
              </w:rPr>
              <w:t>Acción</w:t>
            </w:r>
            <w:r>
              <w:rPr>
                <w:spacing w:val="5"/>
                <w:w w:val="125"/>
                <w:sz w:val="14"/>
              </w:rPr>
              <w:t> </w:t>
            </w:r>
            <w:r>
              <w:rPr>
                <w:w w:val="125"/>
                <w:sz w:val="14"/>
              </w:rPr>
              <w:t>Social</w:t>
            </w:r>
            <w:r>
              <w:rPr>
                <w:spacing w:val="10"/>
                <w:w w:val="125"/>
                <w:sz w:val="14"/>
              </w:rPr>
              <w:t> </w:t>
            </w:r>
            <w:r>
              <w:rPr>
                <w:w w:val="125"/>
                <w:sz w:val="14"/>
              </w:rPr>
              <w:t>y</w:t>
            </w:r>
            <w:r>
              <w:rPr>
                <w:spacing w:val="14"/>
                <w:w w:val="125"/>
                <w:sz w:val="14"/>
              </w:rPr>
              <w:t> </w:t>
            </w:r>
            <w:r>
              <w:rPr>
                <w:w w:val="125"/>
                <w:sz w:val="14"/>
              </w:rPr>
              <w:t>Administración</w:t>
            </w:r>
            <w:r>
              <w:rPr>
                <w:spacing w:val="5"/>
                <w:w w:val="125"/>
                <w:sz w:val="14"/>
              </w:rPr>
              <w:t> </w:t>
            </w:r>
            <w:r>
              <w:rPr>
                <w:spacing w:val="-5"/>
                <w:w w:val="125"/>
                <w:sz w:val="14"/>
              </w:rPr>
              <w:t>de</w:t>
            </w:r>
          </w:p>
          <w:p>
            <w:pPr>
              <w:pStyle w:val="TableParagraph"/>
              <w:spacing w:line="141" w:lineRule="exact" w:before="29"/>
              <w:ind w:left="40"/>
              <w:rPr>
                <w:sz w:val="14"/>
              </w:rPr>
            </w:pPr>
            <w:r>
              <w:rPr>
                <w:w w:val="125"/>
                <w:sz w:val="14"/>
              </w:rPr>
              <w:t>Instituciones</w:t>
            </w:r>
            <w:r>
              <w:rPr>
                <w:spacing w:val="12"/>
                <w:w w:val="125"/>
                <w:sz w:val="14"/>
              </w:rPr>
              <w:t> </w:t>
            </w:r>
            <w:r>
              <w:rPr>
                <w:w w:val="125"/>
                <w:sz w:val="14"/>
              </w:rPr>
              <w:t>-</w:t>
            </w:r>
            <w:r>
              <w:rPr>
                <w:spacing w:val="1"/>
                <w:w w:val="125"/>
                <w:sz w:val="14"/>
              </w:rPr>
              <w:t> </w:t>
            </w:r>
            <w:r>
              <w:rPr>
                <w:spacing w:val="-4"/>
                <w:w w:val="125"/>
                <w:sz w:val="14"/>
              </w:rPr>
              <w:t>DASAI</w:t>
            </w:r>
          </w:p>
        </w:tc>
        <w:tc>
          <w:tcPr>
            <w:tcW w:w="1827" w:type="dxa"/>
            <w:tcBorders>
              <w:top w:val="single" w:sz="12" w:space="0" w:color="000000"/>
              <w:bottom w:val="single" w:sz="12" w:space="0" w:color="000000"/>
            </w:tcBorders>
          </w:tcPr>
          <w:p>
            <w:pPr>
              <w:pStyle w:val="TableParagraph"/>
              <w:spacing w:before="48"/>
              <w:rPr>
                <w:b/>
                <w:sz w:val="13"/>
              </w:rPr>
            </w:pPr>
          </w:p>
          <w:p>
            <w:pPr>
              <w:pStyle w:val="TableParagraph"/>
              <w:spacing w:line="143" w:lineRule="exact"/>
              <w:ind w:right="168"/>
              <w:jc w:val="right"/>
              <w:rPr>
                <w:sz w:val="13"/>
              </w:rPr>
            </w:pPr>
            <w:r>
              <w:rPr>
                <w:spacing w:val="-10"/>
                <w:w w:val="125"/>
                <w:sz w:val="13"/>
              </w:rPr>
              <w:t>-</w:t>
            </w:r>
          </w:p>
        </w:tc>
        <w:tc>
          <w:tcPr>
            <w:tcW w:w="1882" w:type="dxa"/>
            <w:tcBorders>
              <w:top w:val="single" w:sz="12" w:space="0" w:color="000000"/>
              <w:bottom w:val="single" w:sz="12" w:space="0" w:color="000000"/>
            </w:tcBorders>
          </w:tcPr>
          <w:p>
            <w:pPr>
              <w:pStyle w:val="TableParagraph"/>
              <w:spacing w:before="48"/>
              <w:rPr>
                <w:b/>
                <w:sz w:val="13"/>
              </w:rPr>
            </w:pPr>
          </w:p>
          <w:p>
            <w:pPr>
              <w:pStyle w:val="TableParagraph"/>
              <w:spacing w:line="143" w:lineRule="exact"/>
              <w:ind w:right="93"/>
              <w:jc w:val="right"/>
              <w:rPr>
                <w:sz w:val="13"/>
              </w:rPr>
            </w:pPr>
            <w:r>
              <w:rPr>
                <w:w w:val="125"/>
                <w:sz w:val="13"/>
              </w:rPr>
              <w:t>550</w:t>
            </w:r>
            <w:r>
              <w:rPr>
                <w:spacing w:val="7"/>
                <w:w w:val="125"/>
                <w:sz w:val="13"/>
              </w:rPr>
              <w:t> </w:t>
            </w:r>
            <w:r>
              <w:rPr>
                <w:w w:val="125"/>
                <w:sz w:val="13"/>
              </w:rPr>
              <w:t>457</w:t>
            </w:r>
            <w:r>
              <w:rPr>
                <w:spacing w:val="7"/>
                <w:w w:val="125"/>
                <w:sz w:val="13"/>
              </w:rPr>
              <w:t> </w:t>
            </w:r>
            <w:r>
              <w:rPr>
                <w:spacing w:val="-2"/>
                <w:w w:val="125"/>
                <w:sz w:val="13"/>
              </w:rPr>
              <w:t>416,00</w:t>
            </w:r>
          </w:p>
        </w:tc>
        <w:tc>
          <w:tcPr>
            <w:tcW w:w="1596" w:type="dxa"/>
            <w:tcBorders>
              <w:top w:val="single" w:sz="12" w:space="0" w:color="000000"/>
              <w:bottom w:val="single" w:sz="12" w:space="0" w:color="000000"/>
            </w:tcBorders>
          </w:tcPr>
          <w:p>
            <w:pPr>
              <w:pStyle w:val="TableParagraph"/>
              <w:spacing w:before="48"/>
              <w:rPr>
                <w:b/>
                <w:sz w:val="13"/>
              </w:rPr>
            </w:pPr>
          </w:p>
          <w:p>
            <w:pPr>
              <w:pStyle w:val="TableParagraph"/>
              <w:spacing w:line="143" w:lineRule="exact"/>
              <w:ind w:right="140"/>
              <w:jc w:val="right"/>
              <w:rPr>
                <w:sz w:val="13"/>
              </w:rPr>
            </w:pPr>
            <w:r>
              <w:rPr>
                <w:spacing w:val="-10"/>
                <w:w w:val="125"/>
                <w:sz w:val="13"/>
              </w:rPr>
              <w:t>-</w:t>
            </w:r>
          </w:p>
        </w:tc>
        <w:tc>
          <w:tcPr>
            <w:tcW w:w="1569" w:type="dxa"/>
            <w:tcBorders>
              <w:top w:val="single" w:sz="12" w:space="0" w:color="000000"/>
              <w:bottom w:val="single" w:sz="12" w:space="0" w:color="000000"/>
            </w:tcBorders>
          </w:tcPr>
          <w:p>
            <w:pPr>
              <w:pStyle w:val="TableParagraph"/>
              <w:spacing w:before="48"/>
              <w:rPr>
                <w:b/>
                <w:sz w:val="13"/>
              </w:rPr>
            </w:pPr>
          </w:p>
          <w:p>
            <w:pPr>
              <w:pStyle w:val="TableParagraph"/>
              <w:spacing w:line="143" w:lineRule="exact"/>
              <w:ind w:right="155"/>
              <w:jc w:val="right"/>
              <w:rPr>
                <w:sz w:val="13"/>
              </w:rPr>
            </w:pPr>
            <w:r>
              <w:rPr>
                <w:spacing w:val="-10"/>
                <w:w w:val="125"/>
                <w:sz w:val="13"/>
              </w:rPr>
              <w:t>-</w:t>
            </w:r>
          </w:p>
        </w:tc>
        <w:tc>
          <w:tcPr>
            <w:tcW w:w="1685" w:type="dxa"/>
            <w:tcBorders>
              <w:top w:val="single" w:sz="12" w:space="0" w:color="000000"/>
              <w:bottom w:val="single" w:sz="12" w:space="0" w:color="000000"/>
              <w:right w:val="single" w:sz="12" w:space="0" w:color="000000"/>
            </w:tcBorders>
          </w:tcPr>
          <w:p>
            <w:pPr>
              <w:pStyle w:val="TableParagraph"/>
              <w:spacing w:before="48"/>
              <w:rPr>
                <w:b/>
                <w:sz w:val="13"/>
              </w:rPr>
            </w:pPr>
          </w:p>
          <w:p>
            <w:pPr>
              <w:pStyle w:val="TableParagraph"/>
              <w:spacing w:line="143" w:lineRule="exact"/>
              <w:ind w:right="44"/>
              <w:jc w:val="right"/>
              <w:rPr>
                <w:sz w:val="13"/>
              </w:rPr>
            </w:pPr>
            <w:r>
              <w:rPr>
                <w:w w:val="125"/>
                <w:sz w:val="13"/>
              </w:rPr>
              <w:t>550</w:t>
            </w:r>
            <w:r>
              <w:rPr>
                <w:spacing w:val="7"/>
                <w:w w:val="125"/>
                <w:sz w:val="13"/>
              </w:rPr>
              <w:t> </w:t>
            </w:r>
            <w:r>
              <w:rPr>
                <w:w w:val="125"/>
                <w:sz w:val="13"/>
              </w:rPr>
              <w:t>457</w:t>
            </w:r>
            <w:r>
              <w:rPr>
                <w:spacing w:val="7"/>
                <w:w w:val="125"/>
                <w:sz w:val="13"/>
              </w:rPr>
              <w:t> </w:t>
            </w:r>
            <w:r>
              <w:rPr>
                <w:spacing w:val="-2"/>
                <w:w w:val="125"/>
                <w:sz w:val="13"/>
              </w:rPr>
              <w:t>416,00</w:t>
            </w:r>
          </w:p>
        </w:tc>
      </w:tr>
      <w:tr>
        <w:trPr>
          <w:trHeight w:val="171" w:hRule="atLeast"/>
        </w:trPr>
        <w:tc>
          <w:tcPr>
            <w:tcW w:w="4310" w:type="dxa"/>
            <w:tcBorders>
              <w:top w:val="single" w:sz="12" w:space="0" w:color="000000"/>
              <w:left w:val="single" w:sz="6" w:space="0" w:color="000000"/>
              <w:bottom w:val="single" w:sz="12" w:space="0" w:color="000000"/>
            </w:tcBorders>
            <w:shd w:val="clear" w:color="auto" w:fill="B8CCE3"/>
          </w:tcPr>
          <w:p>
            <w:pPr>
              <w:pStyle w:val="TableParagraph"/>
              <w:spacing w:line="141" w:lineRule="exact" w:before="10"/>
              <w:ind w:left="40"/>
              <w:rPr>
                <w:b/>
                <w:sz w:val="14"/>
              </w:rPr>
            </w:pPr>
            <w:r>
              <w:rPr>
                <w:b/>
                <w:w w:val="125"/>
                <w:sz w:val="14"/>
              </w:rPr>
              <w:t>Superávit</w:t>
            </w:r>
            <w:r>
              <w:rPr>
                <w:b/>
                <w:spacing w:val="30"/>
                <w:w w:val="125"/>
                <w:sz w:val="14"/>
              </w:rPr>
              <w:t> </w:t>
            </w:r>
            <w:r>
              <w:rPr>
                <w:b/>
                <w:spacing w:val="-2"/>
                <w:w w:val="125"/>
                <w:sz w:val="14"/>
              </w:rPr>
              <w:t>Proyectado</w:t>
            </w:r>
          </w:p>
        </w:tc>
        <w:tc>
          <w:tcPr>
            <w:tcW w:w="1827" w:type="dxa"/>
            <w:tcBorders>
              <w:top w:val="single" w:sz="12" w:space="0" w:color="000000"/>
              <w:bottom w:val="single" w:sz="12" w:space="0" w:color="000000"/>
            </w:tcBorders>
            <w:shd w:val="clear" w:color="auto" w:fill="B8CCE3"/>
          </w:tcPr>
          <w:p>
            <w:pPr>
              <w:pStyle w:val="TableParagraph"/>
              <w:spacing w:line="132" w:lineRule="exact" w:before="19"/>
              <w:ind w:right="19"/>
              <w:jc w:val="right"/>
              <w:rPr>
                <w:b/>
                <w:sz w:val="13"/>
              </w:rPr>
            </w:pPr>
            <w:r>
              <w:rPr>
                <w:b/>
                <w:spacing w:val="-10"/>
                <w:w w:val="125"/>
                <w:sz w:val="13"/>
              </w:rPr>
              <w:t>-</w:t>
            </w:r>
          </w:p>
        </w:tc>
        <w:tc>
          <w:tcPr>
            <w:tcW w:w="1882" w:type="dxa"/>
            <w:tcBorders>
              <w:top w:val="single" w:sz="12" w:space="0" w:color="000000"/>
              <w:bottom w:val="single" w:sz="12" w:space="0" w:color="000000"/>
            </w:tcBorders>
            <w:shd w:val="clear" w:color="auto" w:fill="B8CCE3"/>
          </w:tcPr>
          <w:p>
            <w:pPr>
              <w:pStyle w:val="TableParagraph"/>
              <w:spacing w:line="132" w:lineRule="exact" w:before="19"/>
              <w:ind w:right="25"/>
              <w:jc w:val="right"/>
              <w:rPr>
                <w:b/>
                <w:sz w:val="13"/>
              </w:rPr>
            </w:pPr>
            <w:r>
              <w:rPr>
                <w:b/>
                <w:w w:val="125"/>
                <w:sz w:val="13"/>
              </w:rPr>
              <w:t>3</w:t>
            </w:r>
            <w:r>
              <w:rPr>
                <w:b/>
                <w:spacing w:val="4"/>
                <w:w w:val="125"/>
                <w:sz w:val="13"/>
              </w:rPr>
              <w:t> </w:t>
            </w:r>
            <w:r>
              <w:rPr>
                <w:b/>
                <w:w w:val="125"/>
                <w:sz w:val="13"/>
              </w:rPr>
              <w:t>800</w:t>
            </w:r>
            <w:r>
              <w:rPr>
                <w:b/>
                <w:spacing w:val="5"/>
                <w:w w:val="125"/>
                <w:sz w:val="13"/>
              </w:rPr>
              <w:t> </w:t>
            </w:r>
            <w:r>
              <w:rPr>
                <w:b/>
                <w:w w:val="125"/>
                <w:sz w:val="13"/>
              </w:rPr>
              <w:t>000</w:t>
            </w:r>
            <w:r>
              <w:rPr>
                <w:b/>
                <w:spacing w:val="4"/>
                <w:w w:val="125"/>
                <w:sz w:val="13"/>
              </w:rPr>
              <w:t> </w:t>
            </w:r>
            <w:r>
              <w:rPr>
                <w:b/>
                <w:spacing w:val="-2"/>
                <w:w w:val="125"/>
                <w:sz w:val="13"/>
              </w:rPr>
              <w:t>000,00</w:t>
            </w:r>
          </w:p>
        </w:tc>
        <w:tc>
          <w:tcPr>
            <w:tcW w:w="1596" w:type="dxa"/>
            <w:tcBorders>
              <w:top w:val="single" w:sz="12" w:space="0" w:color="000000"/>
              <w:bottom w:val="single" w:sz="12" w:space="0" w:color="000000"/>
            </w:tcBorders>
            <w:shd w:val="clear" w:color="auto" w:fill="B8CCE3"/>
          </w:tcPr>
          <w:p>
            <w:pPr>
              <w:pStyle w:val="TableParagraph"/>
              <w:spacing w:line="132" w:lineRule="exact" w:before="19"/>
              <w:ind w:right="24"/>
              <w:jc w:val="right"/>
              <w:rPr>
                <w:b/>
                <w:sz w:val="13"/>
              </w:rPr>
            </w:pPr>
            <w:r>
              <w:rPr>
                <w:b/>
                <w:w w:val="125"/>
                <w:sz w:val="13"/>
              </w:rPr>
              <w:t>500</w:t>
            </w:r>
            <w:r>
              <w:rPr>
                <w:b/>
                <w:spacing w:val="7"/>
                <w:w w:val="125"/>
                <w:sz w:val="13"/>
              </w:rPr>
              <w:t> </w:t>
            </w:r>
            <w:r>
              <w:rPr>
                <w:b/>
                <w:w w:val="125"/>
                <w:sz w:val="13"/>
              </w:rPr>
              <w:t>000</w:t>
            </w:r>
            <w:r>
              <w:rPr>
                <w:b/>
                <w:spacing w:val="7"/>
                <w:w w:val="125"/>
                <w:sz w:val="13"/>
              </w:rPr>
              <w:t> </w:t>
            </w:r>
            <w:r>
              <w:rPr>
                <w:b/>
                <w:spacing w:val="-2"/>
                <w:w w:val="125"/>
                <w:sz w:val="13"/>
              </w:rPr>
              <w:t>000,00</w:t>
            </w:r>
          </w:p>
        </w:tc>
        <w:tc>
          <w:tcPr>
            <w:tcW w:w="1569" w:type="dxa"/>
            <w:tcBorders>
              <w:top w:val="single" w:sz="12" w:space="0" w:color="000000"/>
              <w:bottom w:val="single" w:sz="12" w:space="0" w:color="000000"/>
            </w:tcBorders>
            <w:shd w:val="clear" w:color="auto" w:fill="B8CCE3"/>
          </w:tcPr>
          <w:p>
            <w:pPr>
              <w:pStyle w:val="TableParagraph"/>
              <w:spacing w:line="132" w:lineRule="exact" w:before="19"/>
              <w:ind w:right="25"/>
              <w:jc w:val="right"/>
              <w:rPr>
                <w:b/>
                <w:sz w:val="13"/>
              </w:rPr>
            </w:pPr>
            <w:r>
              <w:rPr>
                <w:b/>
                <w:w w:val="125"/>
                <w:sz w:val="13"/>
              </w:rPr>
              <w:t>100</w:t>
            </w:r>
            <w:r>
              <w:rPr>
                <w:b/>
                <w:spacing w:val="7"/>
                <w:w w:val="125"/>
                <w:sz w:val="13"/>
              </w:rPr>
              <w:t> </w:t>
            </w:r>
            <w:r>
              <w:rPr>
                <w:b/>
                <w:w w:val="125"/>
                <w:sz w:val="13"/>
              </w:rPr>
              <w:t>000</w:t>
            </w:r>
            <w:r>
              <w:rPr>
                <w:b/>
                <w:spacing w:val="7"/>
                <w:w w:val="125"/>
                <w:sz w:val="13"/>
              </w:rPr>
              <w:t> </w:t>
            </w:r>
            <w:r>
              <w:rPr>
                <w:b/>
                <w:spacing w:val="-2"/>
                <w:w w:val="125"/>
                <w:sz w:val="13"/>
              </w:rPr>
              <w:t>000,00</w:t>
            </w:r>
          </w:p>
        </w:tc>
        <w:tc>
          <w:tcPr>
            <w:tcW w:w="1685" w:type="dxa"/>
            <w:tcBorders>
              <w:top w:val="single" w:sz="12" w:space="0" w:color="000000"/>
              <w:bottom w:val="single" w:sz="12" w:space="0" w:color="000000"/>
            </w:tcBorders>
            <w:shd w:val="clear" w:color="auto" w:fill="B8CCE3"/>
          </w:tcPr>
          <w:p>
            <w:pPr>
              <w:pStyle w:val="TableParagraph"/>
              <w:spacing w:line="132" w:lineRule="exact" w:before="19"/>
              <w:ind w:right="18"/>
              <w:jc w:val="right"/>
              <w:rPr>
                <w:b/>
                <w:sz w:val="13"/>
              </w:rPr>
            </w:pPr>
            <w:r>
              <w:rPr>
                <w:b/>
                <w:w w:val="125"/>
                <w:sz w:val="13"/>
              </w:rPr>
              <w:t>4</w:t>
            </w:r>
            <w:r>
              <w:rPr>
                <w:b/>
                <w:spacing w:val="6"/>
                <w:w w:val="125"/>
                <w:sz w:val="13"/>
              </w:rPr>
              <w:t> </w:t>
            </w:r>
            <w:r>
              <w:rPr>
                <w:b/>
                <w:w w:val="125"/>
                <w:sz w:val="13"/>
              </w:rPr>
              <w:t>400</w:t>
            </w:r>
            <w:r>
              <w:rPr>
                <w:b/>
                <w:spacing w:val="5"/>
                <w:w w:val="125"/>
                <w:sz w:val="13"/>
              </w:rPr>
              <w:t> </w:t>
            </w:r>
            <w:r>
              <w:rPr>
                <w:b/>
                <w:w w:val="125"/>
                <w:sz w:val="13"/>
              </w:rPr>
              <w:t>000</w:t>
            </w:r>
            <w:r>
              <w:rPr>
                <w:b/>
                <w:spacing w:val="6"/>
                <w:w w:val="125"/>
                <w:sz w:val="13"/>
              </w:rPr>
              <w:t> </w:t>
            </w:r>
            <w:r>
              <w:rPr>
                <w:b/>
                <w:spacing w:val="-2"/>
                <w:w w:val="125"/>
                <w:sz w:val="13"/>
              </w:rPr>
              <w:t>000,00</w:t>
            </w:r>
          </w:p>
        </w:tc>
      </w:tr>
      <w:tr>
        <w:trPr>
          <w:trHeight w:val="185" w:hRule="atLeast"/>
        </w:trPr>
        <w:tc>
          <w:tcPr>
            <w:tcW w:w="4310" w:type="dxa"/>
            <w:tcBorders>
              <w:top w:val="single" w:sz="12" w:space="0" w:color="000000"/>
              <w:left w:val="single" w:sz="6" w:space="0" w:color="000000"/>
            </w:tcBorders>
          </w:tcPr>
          <w:p>
            <w:pPr>
              <w:pStyle w:val="TableParagraph"/>
              <w:spacing w:line="155" w:lineRule="exact" w:before="10"/>
              <w:ind w:left="94"/>
              <w:rPr>
                <w:sz w:val="14"/>
              </w:rPr>
            </w:pPr>
            <w:r>
              <w:rPr>
                <w:spacing w:val="-2"/>
                <w:w w:val="125"/>
                <w:sz w:val="14"/>
              </w:rPr>
              <w:t>Avancemos</w:t>
            </w:r>
          </w:p>
        </w:tc>
        <w:tc>
          <w:tcPr>
            <w:tcW w:w="1827" w:type="dxa"/>
            <w:tcBorders>
              <w:top w:val="single" w:sz="12" w:space="0" w:color="000000"/>
            </w:tcBorders>
          </w:tcPr>
          <w:p>
            <w:pPr>
              <w:pStyle w:val="TableParagraph"/>
              <w:spacing w:line="146" w:lineRule="exact" w:before="19"/>
              <w:ind w:right="168"/>
              <w:jc w:val="right"/>
              <w:rPr>
                <w:sz w:val="13"/>
              </w:rPr>
            </w:pPr>
            <w:r>
              <w:rPr>
                <w:spacing w:val="-10"/>
                <w:w w:val="125"/>
                <w:sz w:val="13"/>
              </w:rPr>
              <w:t>-</w:t>
            </w:r>
          </w:p>
        </w:tc>
        <w:tc>
          <w:tcPr>
            <w:tcW w:w="1882" w:type="dxa"/>
            <w:tcBorders>
              <w:top w:val="single" w:sz="12" w:space="0" w:color="000000"/>
            </w:tcBorders>
          </w:tcPr>
          <w:p>
            <w:pPr>
              <w:pStyle w:val="TableParagraph"/>
              <w:spacing w:line="146" w:lineRule="exact" w:before="19"/>
              <w:ind w:right="80"/>
              <w:jc w:val="right"/>
              <w:rPr>
                <w:sz w:val="13"/>
              </w:rPr>
            </w:pPr>
            <w:r>
              <w:rPr>
                <w:w w:val="125"/>
                <w:sz w:val="13"/>
              </w:rPr>
              <w:t>3</w:t>
            </w:r>
            <w:r>
              <w:rPr>
                <w:spacing w:val="4"/>
                <w:w w:val="125"/>
                <w:sz w:val="13"/>
              </w:rPr>
              <w:t> </w:t>
            </w:r>
            <w:r>
              <w:rPr>
                <w:w w:val="125"/>
                <w:sz w:val="13"/>
              </w:rPr>
              <w:t>800</w:t>
            </w:r>
            <w:r>
              <w:rPr>
                <w:spacing w:val="5"/>
                <w:w w:val="125"/>
                <w:sz w:val="13"/>
              </w:rPr>
              <w:t> </w:t>
            </w:r>
            <w:r>
              <w:rPr>
                <w:w w:val="125"/>
                <w:sz w:val="13"/>
              </w:rPr>
              <w:t>000</w:t>
            </w:r>
            <w:r>
              <w:rPr>
                <w:spacing w:val="4"/>
                <w:w w:val="125"/>
                <w:sz w:val="13"/>
              </w:rPr>
              <w:t> </w:t>
            </w:r>
            <w:r>
              <w:rPr>
                <w:spacing w:val="-2"/>
                <w:w w:val="125"/>
                <w:sz w:val="13"/>
              </w:rPr>
              <w:t>000,00</w:t>
            </w:r>
          </w:p>
        </w:tc>
        <w:tc>
          <w:tcPr>
            <w:tcW w:w="1596" w:type="dxa"/>
            <w:tcBorders>
              <w:top w:val="single" w:sz="12" w:space="0" w:color="000000"/>
            </w:tcBorders>
          </w:tcPr>
          <w:p>
            <w:pPr>
              <w:pStyle w:val="TableParagraph"/>
              <w:spacing w:line="146" w:lineRule="exact" w:before="19"/>
              <w:ind w:left="335"/>
              <w:rPr>
                <w:sz w:val="13"/>
              </w:rPr>
            </w:pPr>
            <w:r>
              <w:rPr>
                <w:w w:val="125"/>
                <w:sz w:val="13"/>
              </w:rPr>
              <w:t>500</w:t>
            </w:r>
            <w:r>
              <w:rPr>
                <w:spacing w:val="7"/>
                <w:w w:val="125"/>
                <w:sz w:val="13"/>
              </w:rPr>
              <w:t> </w:t>
            </w:r>
            <w:r>
              <w:rPr>
                <w:w w:val="125"/>
                <w:sz w:val="13"/>
              </w:rPr>
              <w:t>000</w:t>
            </w:r>
            <w:r>
              <w:rPr>
                <w:spacing w:val="7"/>
                <w:w w:val="125"/>
                <w:sz w:val="13"/>
              </w:rPr>
              <w:t> </w:t>
            </w:r>
            <w:r>
              <w:rPr>
                <w:spacing w:val="-2"/>
                <w:w w:val="125"/>
                <w:sz w:val="13"/>
              </w:rPr>
              <w:t>000,00</w:t>
            </w:r>
          </w:p>
        </w:tc>
        <w:tc>
          <w:tcPr>
            <w:tcW w:w="1569" w:type="dxa"/>
            <w:tcBorders>
              <w:top w:val="single" w:sz="12" w:space="0" w:color="000000"/>
            </w:tcBorders>
          </w:tcPr>
          <w:p>
            <w:pPr>
              <w:pStyle w:val="TableParagraph"/>
              <w:spacing w:line="146" w:lineRule="exact" w:before="19"/>
              <w:ind w:right="155"/>
              <w:jc w:val="right"/>
              <w:rPr>
                <w:sz w:val="13"/>
              </w:rPr>
            </w:pPr>
            <w:r>
              <w:rPr>
                <w:spacing w:val="-10"/>
                <w:w w:val="125"/>
                <w:sz w:val="13"/>
              </w:rPr>
              <w:t>-</w:t>
            </w:r>
          </w:p>
        </w:tc>
        <w:tc>
          <w:tcPr>
            <w:tcW w:w="1685" w:type="dxa"/>
            <w:tcBorders>
              <w:top w:val="single" w:sz="12" w:space="0" w:color="000000"/>
              <w:right w:val="single" w:sz="12" w:space="0" w:color="000000"/>
            </w:tcBorders>
          </w:tcPr>
          <w:p>
            <w:pPr>
              <w:pStyle w:val="TableParagraph"/>
              <w:spacing w:line="146" w:lineRule="exact" w:before="19"/>
              <w:ind w:right="71"/>
              <w:jc w:val="right"/>
              <w:rPr>
                <w:sz w:val="13"/>
              </w:rPr>
            </w:pPr>
            <w:r>
              <w:rPr>
                <w:w w:val="125"/>
                <w:sz w:val="13"/>
              </w:rPr>
              <w:t>4</w:t>
            </w:r>
            <w:r>
              <w:rPr>
                <w:spacing w:val="6"/>
                <w:w w:val="125"/>
                <w:sz w:val="13"/>
              </w:rPr>
              <w:t> </w:t>
            </w:r>
            <w:r>
              <w:rPr>
                <w:w w:val="125"/>
                <w:sz w:val="13"/>
              </w:rPr>
              <w:t>300</w:t>
            </w:r>
            <w:r>
              <w:rPr>
                <w:spacing w:val="5"/>
                <w:w w:val="125"/>
                <w:sz w:val="13"/>
              </w:rPr>
              <w:t> </w:t>
            </w:r>
            <w:r>
              <w:rPr>
                <w:w w:val="125"/>
                <w:sz w:val="13"/>
              </w:rPr>
              <w:t>000</w:t>
            </w:r>
            <w:r>
              <w:rPr>
                <w:spacing w:val="6"/>
                <w:w w:val="125"/>
                <w:sz w:val="13"/>
              </w:rPr>
              <w:t> </w:t>
            </w:r>
            <w:r>
              <w:rPr>
                <w:spacing w:val="-2"/>
                <w:w w:val="125"/>
                <w:sz w:val="13"/>
              </w:rPr>
              <w:t>000,00</w:t>
            </w:r>
          </w:p>
        </w:tc>
      </w:tr>
      <w:tr>
        <w:trPr>
          <w:trHeight w:val="175" w:hRule="atLeast"/>
        </w:trPr>
        <w:tc>
          <w:tcPr>
            <w:tcW w:w="4310" w:type="dxa"/>
            <w:tcBorders>
              <w:left w:val="single" w:sz="6" w:space="0" w:color="000000"/>
              <w:bottom w:val="single" w:sz="12" w:space="0" w:color="000000"/>
            </w:tcBorders>
          </w:tcPr>
          <w:p>
            <w:pPr>
              <w:pStyle w:val="TableParagraph"/>
              <w:spacing w:line="141" w:lineRule="exact" w:before="14"/>
              <w:ind w:left="94"/>
              <w:rPr>
                <w:sz w:val="14"/>
              </w:rPr>
            </w:pPr>
            <w:r>
              <w:rPr>
                <w:w w:val="125"/>
                <w:sz w:val="14"/>
              </w:rPr>
              <w:t>Avancemos</w:t>
            </w:r>
            <w:r>
              <w:rPr>
                <w:spacing w:val="-2"/>
                <w:w w:val="125"/>
                <w:sz w:val="14"/>
              </w:rPr>
              <w:t> </w:t>
            </w:r>
            <w:r>
              <w:rPr>
                <w:w w:val="125"/>
                <w:sz w:val="14"/>
              </w:rPr>
              <w:t>(Útiles</w:t>
            </w:r>
            <w:r>
              <w:rPr>
                <w:spacing w:val="-1"/>
                <w:w w:val="125"/>
                <w:sz w:val="14"/>
              </w:rPr>
              <w:t> </w:t>
            </w:r>
            <w:r>
              <w:rPr>
                <w:spacing w:val="-2"/>
                <w:w w:val="125"/>
                <w:sz w:val="14"/>
              </w:rPr>
              <w:t>escolares)</w:t>
            </w:r>
          </w:p>
        </w:tc>
        <w:tc>
          <w:tcPr>
            <w:tcW w:w="1827" w:type="dxa"/>
            <w:tcBorders>
              <w:bottom w:val="single" w:sz="12" w:space="0" w:color="000000"/>
            </w:tcBorders>
          </w:tcPr>
          <w:p>
            <w:pPr>
              <w:pStyle w:val="TableParagraph"/>
              <w:spacing w:line="143" w:lineRule="exact" w:before="12"/>
              <w:ind w:right="168"/>
              <w:jc w:val="right"/>
              <w:rPr>
                <w:sz w:val="13"/>
              </w:rPr>
            </w:pPr>
            <w:r>
              <w:rPr>
                <w:spacing w:val="-10"/>
                <w:w w:val="125"/>
                <w:sz w:val="13"/>
              </w:rPr>
              <w:t>-</w:t>
            </w:r>
          </w:p>
        </w:tc>
        <w:tc>
          <w:tcPr>
            <w:tcW w:w="1882" w:type="dxa"/>
            <w:tcBorders>
              <w:bottom w:val="single" w:sz="12" w:space="0" w:color="000000"/>
            </w:tcBorders>
          </w:tcPr>
          <w:p>
            <w:pPr>
              <w:pStyle w:val="TableParagraph"/>
              <w:spacing w:line="143" w:lineRule="exact" w:before="12"/>
              <w:ind w:right="141"/>
              <w:jc w:val="right"/>
              <w:rPr>
                <w:sz w:val="13"/>
              </w:rPr>
            </w:pPr>
            <w:r>
              <w:rPr>
                <w:spacing w:val="-10"/>
                <w:w w:val="125"/>
                <w:sz w:val="13"/>
              </w:rPr>
              <w:t>-</w:t>
            </w:r>
          </w:p>
        </w:tc>
        <w:tc>
          <w:tcPr>
            <w:tcW w:w="1596" w:type="dxa"/>
            <w:tcBorders>
              <w:bottom w:val="single" w:sz="12" w:space="0" w:color="000000"/>
            </w:tcBorders>
          </w:tcPr>
          <w:p>
            <w:pPr>
              <w:pStyle w:val="TableParagraph"/>
              <w:spacing w:line="143" w:lineRule="exact" w:before="12"/>
              <w:ind w:right="140"/>
              <w:jc w:val="right"/>
              <w:rPr>
                <w:sz w:val="13"/>
              </w:rPr>
            </w:pPr>
            <w:r>
              <w:rPr>
                <w:spacing w:val="-10"/>
                <w:w w:val="125"/>
                <w:sz w:val="13"/>
              </w:rPr>
              <w:t>-</w:t>
            </w:r>
          </w:p>
        </w:tc>
        <w:tc>
          <w:tcPr>
            <w:tcW w:w="1569" w:type="dxa"/>
            <w:tcBorders>
              <w:bottom w:val="single" w:sz="12" w:space="0" w:color="000000"/>
            </w:tcBorders>
          </w:tcPr>
          <w:p>
            <w:pPr>
              <w:pStyle w:val="TableParagraph"/>
              <w:spacing w:line="143" w:lineRule="exact" w:before="12"/>
              <w:ind w:right="66"/>
              <w:jc w:val="right"/>
              <w:rPr>
                <w:sz w:val="13"/>
              </w:rPr>
            </w:pPr>
            <w:r>
              <w:rPr>
                <w:w w:val="125"/>
                <w:sz w:val="13"/>
              </w:rPr>
              <w:t>100</w:t>
            </w:r>
            <w:r>
              <w:rPr>
                <w:spacing w:val="7"/>
                <w:w w:val="125"/>
                <w:sz w:val="13"/>
              </w:rPr>
              <w:t> </w:t>
            </w:r>
            <w:r>
              <w:rPr>
                <w:w w:val="125"/>
                <w:sz w:val="13"/>
              </w:rPr>
              <w:t>000</w:t>
            </w:r>
            <w:r>
              <w:rPr>
                <w:spacing w:val="7"/>
                <w:w w:val="125"/>
                <w:sz w:val="13"/>
              </w:rPr>
              <w:t> </w:t>
            </w:r>
            <w:r>
              <w:rPr>
                <w:spacing w:val="-2"/>
                <w:w w:val="125"/>
                <w:sz w:val="13"/>
              </w:rPr>
              <w:t>000,00</w:t>
            </w:r>
          </w:p>
        </w:tc>
        <w:tc>
          <w:tcPr>
            <w:tcW w:w="1685" w:type="dxa"/>
            <w:tcBorders>
              <w:bottom w:val="single" w:sz="12" w:space="0" w:color="000000"/>
              <w:right w:val="single" w:sz="12" w:space="0" w:color="000000"/>
            </w:tcBorders>
          </w:tcPr>
          <w:p>
            <w:pPr>
              <w:pStyle w:val="TableParagraph"/>
              <w:spacing w:line="143" w:lineRule="exact" w:before="12"/>
              <w:ind w:right="44"/>
              <w:jc w:val="right"/>
              <w:rPr>
                <w:sz w:val="13"/>
              </w:rPr>
            </w:pPr>
            <w:r>
              <w:rPr>
                <w:w w:val="125"/>
                <w:sz w:val="13"/>
              </w:rPr>
              <w:t>100</w:t>
            </w:r>
            <w:r>
              <w:rPr>
                <w:spacing w:val="7"/>
                <w:w w:val="125"/>
                <w:sz w:val="13"/>
              </w:rPr>
              <w:t> </w:t>
            </w:r>
            <w:r>
              <w:rPr>
                <w:w w:val="125"/>
                <w:sz w:val="13"/>
              </w:rPr>
              <w:t>000</w:t>
            </w:r>
            <w:r>
              <w:rPr>
                <w:spacing w:val="7"/>
                <w:w w:val="125"/>
                <w:sz w:val="13"/>
              </w:rPr>
              <w:t> </w:t>
            </w:r>
            <w:r>
              <w:rPr>
                <w:spacing w:val="-2"/>
                <w:w w:val="125"/>
                <w:sz w:val="13"/>
              </w:rPr>
              <w:t>000,00</w:t>
            </w:r>
          </w:p>
        </w:tc>
      </w:tr>
      <w:tr>
        <w:trPr>
          <w:trHeight w:val="170" w:hRule="atLeast"/>
        </w:trPr>
        <w:tc>
          <w:tcPr>
            <w:tcW w:w="4310" w:type="dxa"/>
            <w:tcBorders>
              <w:top w:val="single" w:sz="12" w:space="0" w:color="000000"/>
              <w:left w:val="single" w:sz="6" w:space="0" w:color="000000"/>
              <w:bottom w:val="single" w:sz="12" w:space="0" w:color="000000"/>
            </w:tcBorders>
            <w:shd w:val="clear" w:color="auto" w:fill="B8CCE3"/>
          </w:tcPr>
          <w:p>
            <w:pPr>
              <w:pStyle w:val="TableParagraph"/>
              <w:spacing w:line="141" w:lineRule="exact" w:before="10"/>
              <w:ind w:left="40"/>
              <w:rPr>
                <w:b/>
                <w:sz w:val="14"/>
              </w:rPr>
            </w:pPr>
            <w:r>
              <w:rPr>
                <w:b/>
                <w:w w:val="125"/>
                <w:sz w:val="14"/>
              </w:rPr>
              <w:t>Total</w:t>
            </w:r>
            <w:r>
              <w:rPr>
                <w:b/>
                <w:spacing w:val="7"/>
                <w:w w:val="125"/>
                <w:sz w:val="14"/>
              </w:rPr>
              <w:t> </w:t>
            </w:r>
            <w:r>
              <w:rPr>
                <w:b/>
                <w:w w:val="125"/>
                <w:sz w:val="14"/>
              </w:rPr>
              <w:t>Recursos</w:t>
            </w:r>
            <w:r>
              <w:rPr>
                <w:b/>
                <w:spacing w:val="-12"/>
                <w:w w:val="125"/>
                <w:sz w:val="14"/>
              </w:rPr>
              <w:t> </w:t>
            </w:r>
            <w:r>
              <w:rPr>
                <w:b/>
                <w:w w:val="125"/>
                <w:sz w:val="14"/>
              </w:rPr>
              <w:t>Inversión</w:t>
            </w:r>
            <w:r>
              <w:rPr>
                <w:b/>
                <w:spacing w:val="5"/>
                <w:w w:val="125"/>
                <w:sz w:val="14"/>
              </w:rPr>
              <w:t> </w:t>
            </w:r>
            <w:r>
              <w:rPr>
                <w:b/>
                <w:spacing w:val="-2"/>
                <w:w w:val="125"/>
                <w:sz w:val="14"/>
              </w:rPr>
              <w:t>Social</w:t>
            </w:r>
          </w:p>
        </w:tc>
        <w:tc>
          <w:tcPr>
            <w:tcW w:w="1827" w:type="dxa"/>
            <w:tcBorders>
              <w:top w:val="single" w:sz="12" w:space="0" w:color="000000"/>
              <w:bottom w:val="single" w:sz="12" w:space="0" w:color="000000"/>
            </w:tcBorders>
            <w:shd w:val="clear" w:color="auto" w:fill="B8CCE3"/>
          </w:tcPr>
          <w:p>
            <w:pPr>
              <w:pStyle w:val="TableParagraph"/>
              <w:spacing w:line="132" w:lineRule="exact" w:before="19"/>
              <w:ind w:right="25"/>
              <w:jc w:val="right"/>
              <w:rPr>
                <w:b/>
                <w:sz w:val="13"/>
              </w:rPr>
            </w:pPr>
            <w:r>
              <w:rPr>
                <w:b/>
                <w:w w:val="125"/>
                <w:sz w:val="13"/>
              </w:rPr>
              <w:t>139</w:t>
            </w:r>
            <w:r>
              <w:rPr>
                <w:b/>
                <w:spacing w:val="9"/>
                <w:w w:val="125"/>
                <w:sz w:val="13"/>
              </w:rPr>
              <w:t> </w:t>
            </w:r>
            <w:r>
              <w:rPr>
                <w:b/>
                <w:w w:val="125"/>
                <w:sz w:val="13"/>
              </w:rPr>
              <w:t>550</w:t>
            </w:r>
            <w:r>
              <w:rPr>
                <w:b/>
                <w:spacing w:val="9"/>
                <w:w w:val="125"/>
                <w:sz w:val="13"/>
              </w:rPr>
              <w:t> </w:t>
            </w:r>
            <w:r>
              <w:rPr>
                <w:b/>
                <w:w w:val="125"/>
                <w:sz w:val="13"/>
              </w:rPr>
              <w:t>957</w:t>
            </w:r>
            <w:r>
              <w:rPr>
                <w:b/>
                <w:spacing w:val="9"/>
                <w:w w:val="125"/>
                <w:sz w:val="13"/>
              </w:rPr>
              <w:t> </w:t>
            </w:r>
            <w:r>
              <w:rPr>
                <w:b/>
                <w:spacing w:val="-2"/>
                <w:w w:val="125"/>
                <w:sz w:val="13"/>
              </w:rPr>
              <w:t>076,51</w:t>
            </w:r>
          </w:p>
        </w:tc>
        <w:tc>
          <w:tcPr>
            <w:tcW w:w="1882" w:type="dxa"/>
            <w:tcBorders>
              <w:top w:val="single" w:sz="12" w:space="0" w:color="000000"/>
              <w:bottom w:val="single" w:sz="12" w:space="0" w:color="000000"/>
            </w:tcBorders>
            <w:shd w:val="clear" w:color="auto" w:fill="B8CCE3"/>
          </w:tcPr>
          <w:p>
            <w:pPr>
              <w:pStyle w:val="TableParagraph"/>
              <w:spacing w:line="132" w:lineRule="exact" w:before="19"/>
              <w:ind w:right="25"/>
              <w:jc w:val="right"/>
              <w:rPr>
                <w:b/>
                <w:sz w:val="13"/>
              </w:rPr>
            </w:pPr>
            <w:r>
              <w:rPr>
                <w:b/>
                <w:w w:val="125"/>
                <w:sz w:val="13"/>
              </w:rPr>
              <w:t>29</w:t>
            </w:r>
            <w:r>
              <w:rPr>
                <w:b/>
                <w:spacing w:val="5"/>
                <w:w w:val="125"/>
                <w:sz w:val="13"/>
              </w:rPr>
              <w:t> </w:t>
            </w:r>
            <w:r>
              <w:rPr>
                <w:b/>
                <w:w w:val="125"/>
                <w:sz w:val="13"/>
              </w:rPr>
              <w:t>060</w:t>
            </w:r>
            <w:r>
              <w:rPr>
                <w:b/>
                <w:spacing w:val="6"/>
                <w:w w:val="125"/>
                <w:sz w:val="13"/>
              </w:rPr>
              <w:t> </w:t>
            </w:r>
            <w:r>
              <w:rPr>
                <w:b/>
                <w:w w:val="125"/>
                <w:sz w:val="13"/>
              </w:rPr>
              <w:t>983</w:t>
            </w:r>
            <w:r>
              <w:rPr>
                <w:b/>
                <w:spacing w:val="6"/>
                <w:w w:val="125"/>
                <w:sz w:val="13"/>
              </w:rPr>
              <w:t> </w:t>
            </w:r>
            <w:r>
              <w:rPr>
                <w:b/>
                <w:spacing w:val="-2"/>
                <w:w w:val="125"/>
                <w:sz w:val="13"/>
              </w:rPr>
              <w:t>578,12</w:t>
            </w:r>
          </w:p>
        </w:tc>
        <w:tc>
          <w:tcPr>
            <w:tcW w:w="1596" w:type="dxa"/>
            <w:tcBorders>
              <w:top w:val="single" w:sz="12" w:space="0" w:color="000000"/>
              <w:bottom w:val="single" w:sz="12" w:space="0" w:color="000000"/>
            </w:tcBorders>
            <w:shd w:val="clear" w:color="auto" w:fill="B8CCE3"/>
          </w:tcPr>
          <w:p>
            <w:pPr>
              <w:pStyle w:val="TableParagraph"/>
              <w:spacing w:line="132" w:lineRule="exact" w:before="19"/>
              <w:ind w:right="24"/>
              <w:jc w:val="right"/>
              <w:rPr>
                <w:b/>
                <w:sz w:val="13"/>
              </w:rPr>
            </w:pPr>
            <w:r>
              <w:rPr>
                <w:b/>
                <w:w w:val="125"/>
                <w:sz w:val="13"/>
              </w:rPr>
              <w:t>2</w:t>
            </w:r>
            <w:r>
              <w:rPr>
                <w:b/>
                <w:spacing w:val="6"/>
                <w:w w:val="125"/>
                <w:sz w:val="13"/>
              </w:rPr>
              <w:t> </w:t>
            </w:r>
            <w:r>
              <w:rPr>
                <w:b/>
                <w:w w:val="125"/>
                <w:sz w:val="13"/>
              </w:rPr>
              <w:t>500</w:t>
            </w:r>
            <w:r>
              <w:rPr>
                <w:b/>
                <w:spacing w:val="5"/>
                <w:w w:val="125"/>
                <w:sz w:val="13"/>
              </w:rPr>
              <w:t> </w:t>
            </w:r>
            <w:r>
              <w:rPr>
                <w:b/>
                <w:w w:val="125"/>
                <w:sz w:val="13"/>
              </w:rPr>
              <w:t>000</w:t>
            </w:r>
            <w:r>
              <w:rPr>
                <w:b/>
                <w:spacing w:val="6"/>
                <w:w w:val="125"/>
                <w:sz w:val="13"/>
              </w:rPr>
              <w:t> </w:t>
            </w:r>
            <w:r>
              <w:rPr>
                <w:b/>
                <w:spacing w:val="-2"/>
                <w:w w:val="125"/>
                <w:sz w:val="13"/>
              </w:rPr>
              <w:t>000,00</w:t>
            </w:r>
          </w:p>
        </w:tc>
        <w:tc>
          <w:tcPr>
            <w:tcW w:w="1569" w:type="dxa"/>
            <w:tcBorders>
              <w:top w:val="single" w:sz="12" w:space="0" w:color="000000"/>
              <w:bottom w:val="single" w:sz="12" w:space="0" w:color="000000"/>
            </w:tcBorders>
            <w:shd w:val="clear" w:color="auto" w:fill="B8CCE3"/>
          </w:tcPr>
          <w:p>
            <w:pPr>
              <w:pStyle w:val="TableParagraph"/>
              <w:spacing w:line="132" w:lineRule="exact" w:before="19"/>
              <w:ind w:right="25"/>
              <w:jc w:val="right"/>
              <w:rPr>
                <w:b/>
                <w:sz w:val="13"/>
              </w:rPr>
            </w:pPr>
            <w:r>
              <w:rPr>
                <w:b/>
                <w:w w:val="125"/>
                <w:sz w:val="13"/>
              </w:rPr>
              <w:t>898</w:t>
            </w:r>
            <w:r>
              <w:rPr>
                <w:b/>
                <w:spacing w:val="7"/>
                <w:w w:val="125"/>
                <w:sz w:val="13"/>
              </w:rPr>
              <w:t> </w:t>
            </w:r>
            <w:r>
              <w:rPr>
                <w:b/>
                <w:w w:val="125"/>
                <w:sz w:val="13"/>
              </w:rPr>
              <w:t>259</w:t>
            </w:r>
            <w:r>
              <w:rPr>
                <w:b/>
                <w:spacing w:val="7"/>
                <w:w w:val="125"/>
                <w:sz w:val="13"/>
              </w:rPr>
              <w:t> </w:t>
            </w:r>
            <w:r>
              <w:rPr>
                <w:b/>
                <w:spacing w:val="-2"/>
                <w:w w:val="125"/>
                <w:sz w:val="13"/>
              </w:rPr>
              <w:t>184,00</w:t>
            </w:r>
          </w:p>
        </w:tc>
        <w:tc>
          <w:tcPr>
            <w:tcW w:w="1685" w:type="dxa"/>
            <w:tcBorders>
              <w:top w:val="single" w:sz="12" w:space="0" w:color="000000"/>
              <w:bottom w:val="single" w:sz="12" w:space="0" w:color="000000"/>
              <w:right w:val="single" w:sz="12" w:space="0" w:color="000000"/>
            </w:tcBorders>
            <w:shd w:val="clear" w:color="auto" w:fill="B8CCE3"/>
          </w:tcPr>
          <w:p>
            <w:pPr>
              <w:pStyle w:val="TableParagraph"/>
              <w:spacing w:line="132" w:lineRule="exact" w:before="19"/>
              <w:ind w:right="3"/>
              <w:jc w:val="right"/>
              <w:rPr>
                <w:b/>
                <w:sz w:val="13"/>
              </w:rPr>
            </w:pPr>
            <w:r>
              <w:rPr>
                <w:b/>
                <w:w w:val="125"/>
                <w:sz w:val="13"/>
              </w:rPr>
              <w:t>172</w:t>
            </w:r>
            <w:r>
              <w:rPr>
                <w:b/>
                <w:spacing w:val="9"/>
                <w:w w:val="125"/>
                <w:sz w:val="13"/>
              </w:rPr>
              <w:t> </w:t>
            </w:r>
            <w:r>
              <w:rPr>
                <w:b/>
                <w:w w:val="125"/>
                <w:sz w:val="13"/>
              </w:rPr>
              <w:t>010</w:t>
            </w:r>
            <w:r>
              <w:rPr>
                <w:b/>
                <w:spacing w:val="9"/>
                <w:w w:val="125"/>
                <w:sz w:val="13"/>
              </w:rPr>
              <w:t> </w:t>
            </w:r>
            <w:r>
              <w:rPr>
                <w:b/>
                <w:w w:val="125"/>
                <w:sz w:val="13"/>
              </w:rPr>
              <w:t>199</w:t>
            </w:r>
            <w:r>
              <w:rPr>
                <w:b/>
                <w:spacing w:val="9"/>
                <w:w w:val="125"/>
                <w:sz w:val="13"/>
              </w:rPr>
              <w:t> </w:t>
            </w:r>
            <w:r>
              <w:rPr>
                <w:b/>
                <w:spacing w:val="-2"/>
                <w:w w:val="125"/>
                <w:sz w:val="13"/>
              </w:rPr>
              <w:t>838,63</w:t>
            </w:r>
          </w:p>
        </w:tc>
      </w:tr>
      <w:tr>
        <w:trPr>
          <w:trHeight w:val="171" w:hRule="atLeast"/>
        </w:trPr>
        <w:tc>
          <w:tcPr>
            <w:tcW w:w="4310" w:type="dxa"/>
            <w:tcBorders>
              <w:top w:val="single" w:sz="12" w:space="0" w:color="000000"/>
              <w:left w:val="single" w:sz="6" w:space="0" w:color="000000"/>
              <w:bottom w:val="single" w:sz="12" w:space="0" w:color="000000"/>
            </w:tcBorders>
          </w:tcPr>
          <w:p>
            <w:pPr>
              <w:pStyle w:val="TableParagraph"/>
              <w:spacing w:line="132" w:lineRule="exact" w:before="19"/>
              <w:ind w:left="81"/>
              <w:rPr>
                <w:sz w:val="13"/>
              </w:rPr>
            </w:pPr>
            <w:r>
              <w:rPr>
                <w:spacing w:val="-6"/>
                <w:w w:val="125"/>
                <w:sz w:val="13"/>
              </w:rPr>
              <w:t>GASTO</w:t>
            </w:r>
            <w:r>
              <w:rPr>
                <w:spacing w:val="7"/>
                <w:w w:val="125"/>
                <w:sz w:val="13"/>
              </w:rPr>
              <w:t> </w:t>
            </w:r>
            <w:r>
              <w:rPr>
                <w:spacing w:val="-6"/>
                <w:w w:val="125"/>
                <w:sz w:val="13"/>
              </w:rPr>
              <w:t>ADMINISTRATIVO</w:t>
            </w:r>
            <w:r>
              <w:rPr>
                <w:spacing w:val="7"/>
                <w:w w:val="125"/>
                <w:sz w:val="13"/>
              </w:rPr>
              <w:t> </w:t>
            </w:r>
            <w:r>
              <w:rPr>
                <w:spacing w:val="-6"/>
                <w:w w:val="125"/>
                <w:sz w:val="13"/>
              </w:rPr>
              <w:t>OPERATIVO</w:t>
            </w:r>
          </w:p>
        </w:tc>
        <w:tc>
          <w:tcPr>
            <w:tcW w:w="1827" w:type="dxa"/>
            <w:tcBorders>
              <w:top w:val="single" w:sz="12" w:space="0" w:color="000000"/>
              <w:bottom w:val="single" w:sz="12" w:space="0" w:color="000000"/>
            </w:tcBorders>
          </w:tcPr>
          <w:p>
            <w:pPr>
              <w:pStyle w:val="TableParagraph"/>
              <w:spacing w:line="132" w:lineRule="exact" w:before="19"/>
              <w:ind w:right="168"/>
              <w:jc w:val="right"/>
              <w:rPr>
                <w:sz w:val="13"/>
              </w:rPr>
            </w:pPr>
            <w:r>
              <w:rPr>
                <w:spacing w:val="-10"/>
                <w:w w:val="125"/>
                <w:sz w:val="13"/>
              </w:rPr>
              <w:t>-</w:t>
            </w:r>
          </w:p>
        </w:tc>
        <w:tc>
          <w:tcPr>
            <w:tcW w:w="1882" w:type="dxa"/>
            <w:tcBorders>
              <w:top w:val="single" w:sz="12" w:space="0" w:color="000000"/>
              <w:bottom w:val="single" w:sz="12" w:space="0" w:color="000000"/>
            </w:tcBorders>
          </w:tcPr>
          <w:p>
            <w:pPr>
              <w:pStyle w:val="TableParagraph"/>
              <w:spacing w:line="143" w:lineRule="exact" w:before="8"/>
              <w:ind w:left="416"/>
              <w:rPr>
                <w:sz w:val="13"/>
              </w:rPr>
            </w:pPr>
            <w:r>
              <w:rPr>
                <w:w w:val="125"/>
                <w:sz w:val="13"/>
              </w:rPr>
              <w:t>27</w:t>
            </w:r>
            <w:r>
              <w:rPr>
                <w:spacing w:val="5"/>
                <w:w w:val="125"/>
                <w:sz w:val="13"/>
              </w:rPr>
              <w:t> </w:t>
            </w:r>
            <w:r>
              <w:rPr>
                <w:w w:val="125"/>
                <w:sz w:val="13"/>
              </w:rPr>
              <w:t>730</w:t>
            </w:r>
            <w:r>
              <w:rPr>
                <w:spacing w:val="6"/>
                <w:w w:val="125"/>
                <w:sz w:val="13"/>
              </w:rPr>
              <w:t> </w:t>
            </w:r>
            <w:r>
              <w:rPr>
                <w:w w:val="125"/>
                <w:sz w:val="13"/>
              </w:rPr>
              <w:t>208</w:t>
            </w:r>
            <w:r>
              <w:rPr>
                <w:spacing w:val="6"/>
                <w:w w:val="125"/>
                <w:sz w:val="13"/>
              </w:rPr>
              <w:t> </w:t>
            </w:r>
            <w:r>
              <w:rPr>
                <w:spacing w:val="-2"/>
                <w:w w:val="125"/>
                <w:sz w:val="13"/>
              </w:rPr>
              <w:t>165,00</w:t>
            </w:r>
          </w:p>
        </w:tc>
        <w:tc>
          <w:tcPr>
            <w:tcW w:w="1596" w:type="dxa"/>
            <w:tcBorders>
              <w:top w:val="single" w:sz="12" w:space="0" w:color="000000"/>
              <w:bottom w:val="single" w:sz="12" w:space="0" w:color="000000"/>
            </w:tcBorders>
          </w:tcPr>
          <w:p>
            <w:pPr>
              <w:pStyle w:val="TableParagraph"/>
              <w:spacing w:line="143" w:lineRule="exact" w:before="8"/>
              <w:ind w:right="140"/>
              <w:jc w:val="right"/>
              <w:rPr>
                <w:sz w:val="13"/>
              </w:rPr>
            </w:pPr>
            <w:r>
              <w:rPr>
                <w:spacing w:val="-10"/>
                <w:w w:val="125"/>
                <w:sz w:val="13"/>
              </w:rPr>
              <w:t>-</w:t>
            </w:r>
          </w:p>
        </w:tc>
        <w:tc>
          <w:tcPr>
            <w:tcW w:w="1569" w:type="dxa"/>
            <w:tcBorders>
              <w:top w:val="single" w:sz="12" w:space="0" w:color="000000"/>
              <w:bottom w:val="single" w:sz="12" w:space="0" w:color="000000"/>
            </w:tcBorders>
          </w:tcPr>
          <w:p>
            <w:pPr>
              <w:pStyle w:val="TableParagraph"/>
              <w:spacing w:line="143" w:lineRule="exact" w:before="8"/>
              <w:ind w:left="171"/>
              <w:rPr>
                <w:sz w:val="13"/>
              </w:rPr>
            </w:pPr>
            <w:r>
              <w:rPr>
                <w:w w:val="125"/>
                <w:sz w:val="13"/>
              </w:rPr>
              <w:t>1</w:t>
            </w:r>
            <w:r>
              <w:rPr>
                <w:spacing w:val="6"/>
                <w:w w:val="125"/>
                <w:sz w:val="13"/>
              </w:rPr>
              <w:t> </w:t>
            </w:r>
            <w:r>
              <w:rPr>
                <w:w w:val="125"/>
                <w:sz w:val="13"/>
              </w:rPr>
              <w:t>288</w:t>
            </w:r>
            <w:r>
              <w:rPr>
                <w:spacing w:val="5"/>
                <w:w w:val="125"/>
                <w:sz w:val="13"/>
              </w:rPr>
              <w:t> </w:t>
            </w:r>
            <w:r>
              <w:rPr>
                <w:w w:val="125"/>
                <w:sz w:val="13"/>
              </w:rPr>
              <w:t>053</w:t>
            </w:r>
            <w:r>
              <w:rPr>
                <w:spacing w:val="6"/>
                <w:w w:val="125"/>
                <w:sz w:val="13"/>
              </w:rPr>
              <w:t> </w:t>
            </w:r>
            <w:r>
              <w:rPr>
                <w:spacing w:val="-2"/>
                <w:w w:val="125"/>
                <w:sz w:val="13"/>
              </w:rPr>
              <w:t>985,84</w:t>
            </w:r>
          </w:p>
        </w:tc>
        <w:tc>
          <w:tcPr>
            <w:tcW w:w="1685" w:type="dxa"/>
            <w:tcBorders>
              <w:top w:val="single" w:sz="12" w:space="0" w:color="000000"/>
              <w:bottom w:val="single" w:sz="12" w:space="0" w:color="000000"/>
              <w:right w:val="single" w:sz="12" w:space="0" w:color="000000"/>
            </w:tcBorders>
          </w:tcPr>
          <w:p>
            <w:pPr>
              <w:pStyle w:val="TableParagraph"/>
              <w:spacing w:line="132" w:lineRule="exact" w:before="19"/>
              <w:ind w:right="57"/>
              <w:jc w:val="right"/>
              <w:rPr>
                <w:sz w:val="13"/>
              </w:rPr>
            </w:pPr>
            <w:r>
              <w:rPr>
                <w:w w:val="125"/>
                <w:sz w:val="13"/>
              </w:rPr>
              <w:t>29</w:t>
            </w:r>
            <w:r>
              <w:rPr>
                <w:spacing w:val="7"/>
                <w:w w:val="125"/>
                <w:sz w:val="13"/>
              </w:rPr>
              <w:t> </w:t>
            </w:r>
            <w:r>
              <w:rPr>
                <w:w w:val="125"/>
                <w:sz w:val="13"/>
              </w:rPr>
              <w:t>018</w:t>
            </w:r>
            <w:r>
              <w:rPr>
                <w:spacing w:val="8"/>
                <w:w w:val="125"/>
                <w:sz w:val="13"/>
              </w:rPr>
              <w:t> </w:t>
            </w:r>
            <w:r>
              <w:rPr>
                <w:w w:val="125"/>
                <w:sz w:val="13"/>
              </w:rPr>
              <w:t>262</w:t>
            </w:r>
            <w:r>
              <w:rPr>
                <w:spacing w:val="7"/>
                <w:w w:val="125"/>
                <w:sz w:val="13"/>
              </w:rPr>
              <w:t> </w:t>
            </w:r>
            <w:r>
              <w:rPr>
                <w:spacing w:val="-2"/>
                <w:w w:val="125"/>
                <w:sz w:val="13"/>
              </w:rPr>
              <w:t>150,84</w:t>
            </w:r>
          </w:p>
        </w:tc>
      </w:tr>
      <w:tr>
        <w:trPr>
          <w:trHeight w:val="171" w:hRule="atLeast"/>
        </w:trPr>
        <w:tc>
          <w:tcPr>
            <w:tcW w:w="4310" w:type="dxa"/>
            <w:tcBorders>
              <w:top w:val="single" w:sz="12" w:space="0" w:color="000000"/>
              <w:left w:val="single" w:sz="6" w:space="0" w:color="000000"/>
              <w:bottom w:val="single" w:sz="12" w:space="0" w:color="000000"/>
            </w:tcBorders>
            <w:shd w:val="clear" w:color="auto" w:fill="B8CCE3"/>
          </w:tcPr>
          <w:p>
            <w:pPr>
              <w:pStyle w:val="TableParagraph"/>
              <w:spacing w:line="141" w:lineRule="exact" w:before="10"/>
              <w:ind w:left="40"/>
              <w:rPr>
                <w:b/>
                <w:sz w:val="14"/>
              </w:rPr>
            </w:pPr>
            <w:r>
              <w:rPr>
                <w:b/>
                <w:w w:val="125"/>
                <w:sz w:val="14"/>
              </w:rPr>
              <w:t>Total</w:t>
            </w:r>
            <w:r>
              <w:rPr>
                <w:b/>
                <w:spacing w:val="8"/>
                <w:w w:val="125"/>
                <w:sz w:val="14"/>
              </w:rPr>
              <w:t> </w:t>
            </w:r>
            <w:r>
              <w:rPr>
                <w:b/>
                <w:w w:val="125"/>
                <w:sz w:val="14"/>
              </w:rPr>
              <w:t>Gasto</w:t>
            </w:r>
            <w:r>
              <w:rPr>
                <w:b/>
                <w:spacing w:val="6"/>
                <w:w w:val="125"/>
                <w:sz w:val="14"/>
              </w:rPr>
              <w:t> </w:t>
            </w:r>
            <w:r>
              <w:rPr>
                <w:b/>
                <w:w w:val="125"/>
                <w:sz w:val="14"/>
              </w:rPr>
              <w:t>Administrativo</w:t>
            </w:r>
            <w:r>
              <w:rPr>
                <w:b/>
                <w:spacing w:val="5"/>
                <w:w w:val="125"/>
                <w:sz w:val="14"/>
              </w:rPr>
              <w:t> </w:t>
            </w:r>
            <w:r>
              <w:rPr>
                <w:b/>
                <w:spacing w:val="-2"/>
                <w:w w:val="125"/>
                <w:sz w:val="14"/>
              </w:rPr>
              <w:t>Operativo</w:t>
            </w:r>
          </w:p>
        </w:tc>
        <w:tc>
          <w:tcPr>
            <w:tcW w:w="1827" w:type="dxa"/>
            <w:tcBorders>
              <w:top w:val="single" w:sz="12" w:space="0" w:color="000000"/>
              <w:bottom w:val="single" w:sz="12" w:space="0" w:color="000000"/>
            </w:tcBorders>
            <w:shd w:val="clear" w:color="auto" w:fill="B8CCE3"/>
          </w:tcPr>
          <w:p>
            <w:pPr>
              <w:pStyle w:val="TableParagraph"/>
              <w:spacing w:line="132" w:lineRule="exact" w:before="19"/>
              <w:ind w:right="19"/>
              <w:jc w:val="right"/>
              <w:rPr>
                <w:b/>
                <w:sz w:val="13"/>
              </w:rPr>
            </w:pPr>
            <w:r>
              <w:rPr>
                <w:b/>
                <w:spacing w:val="-10"/>
                <w:w w:val="125"/>
                <w:sz w:val="13"/>
              </w:rPr>
              <w:t>-</w:t>
            </w:r>
          </w:p>
        </w:tc>
        <w:tc>
          <w:tcPr>
            <w:tcW w:w="1882" w:type="dxa"/>
            <w:tcBorders>
              <w:top w:val="single" w:sz="12" w:space="0" w:color="000000"/>
              <w:bottom w:val="single" w:sz="12" w:space="0" w:color="000000"/>
            </w:tcBorders>
            <w:shd w:val="clear" w:color="auto" w:fill="B8CCE3"/>
          </w:tcPr>
          <w:p>
            <w:pPr>
              <w:pStyle w:val="TableParagraph"/>
              <w:spacing w:line="132" w:lineRule="exact" w:before="19"/>
              <w:ind w:right="25"/>
              <w:jc w:val="right"/>
              <w:rPr>
                <w:b/>
                <w:sz w:val="13"/>
              </w:rPr>
            </w:pPr>
            <w:r>
              <w:rPr>
                <w:b/>
                <w:w w:val="125"/>
                <w:sz w:val="13"/>
              </w:rPr>
              <w:t>27</w:t>
            </w:r>
            <w:r>
              <w:rPr>
                <w:b/>
                <w:spacing w:val="5"/>
                <w:w w:val="125"/>
                <w:sz w:val="13"/>
              </w:rPr>
              <w:t> </w:t>
            </w:r>
            <w:r>
              <w:rPr>
                <w:b/>
                <w:w w:val="125"/>
                <w:sz w:val="13"/>
              </w:rPr>
              <w:t>730</w:t>
            </w:r>
            <w:r>
              <w:rPr>
                <w:b/>
                <w:spacing w:val="6"/>
                <w:w w:val="125"/>
                <w:sz w:val="13"/>
              </w:rPr>
              <w:t> </w:t>
            </w:r>
            <w:r>
              <w:rPr>
                <w:b/>
                <w:w w:val="125"/>
                <w:sz w:val="13"/>
              </w:rPr>
              <w:t>208</w:t>
            </w:r>
            <w:r>
              <w:rPr>
                <w:b/>
                <w:spacing w:val="6"/>
                <w:w w:val="125"/>
                <w:sz w:val="13"/>
              </w:rPr>
              <w:t> </w:t>
            </w:r>
            <w:r>
              <w:rPr>
                <w:b/>
                <w:spacing w:val="-2"/>
                <w:w w:val="125"/>
                <w:sz w:val="13"/>
              </w:rPr>
              <w:t>165,00</w:t>
            </w:r>
          </w:p>
        </w:tc>
        <w:tc>
          <w:tcPr>
            <w:tcW w:w="1596" w:type="dxa"/>
            <w:tcBorders>
              <w:top w:val="single" w:sz="12" w:space="0" w:color="000000"/>
              <w:bottom w:val="single" w:sz="12" w:space="0" w:color="000000"/>
            </w:tcBorders>
            <w:shd w:val="clear" w:color="auto" w:fill="B8CCE3"/>
          </w:tcPr>
          <w:p>
            <w:pPr>
              <w:pStyle w:val="TableParagraph"/>
              <w:spacing w:line="132" w:lineRule="exact" w:before="19"/>
              <w:ind w:right="18"/>
              <w:jc w:val="right"/>
              <w:rPr>
                <w:b/>
                <w:sz w:val="13"/>
              </w:rPr>
            </w:pPr>
            <w:r>
              <w:rPr>
                <w:b/>
                <w:spacing w:val="-10"/>
                <w:w w:val="125"/>
                <w:sz w:val="13"/>
              </w:rPr>
              <w:t>-</w:t>
            </w:r>
          </w:p>
        </w:tc>
        <w:tc>
          <w:tcPr>
            <w:tcW w:w="1569" w:type="dxa"/>
            <w:tcBorders>
              <w:top w:val="single" w:sz="12" w:space="0" w:color="000000"/>
              <w:bottom w:val="single" w:sz="12" w:space="0" w:color="000000"/>
            </w:tcBorders>
            <w:shd w:val="clear" w:color="auto" w:fill="B8CCE3"/>
          </w:tcPr>
          <w:p>
            <w:pPr>
              <w:pStyle w:val="TableParagraph"/>
              <w:spacing w:line="132" w:lineRule="exact" w:before="19"/>
              <w:ind w:right="24"/>
              <w:jc w:val="right"/>
              <w:rPr>
                <w:b/>
                <w:sz w:val="13"/>
              </w:rPr>
            </w:pPr>
            <w:r>
              <w:rPr>
                <w:b/>
                <w:w w:val="125"/>
                <w:sz w:val="13"/>
              </w:rPr>
              <w:t>1</w:t>
            </w:r>
            <w:r>
              <w:rPr>
                <w:b/>
                <w:spacing w:val="6"/>
                <w:w w:val="125"/>
                <w:sz w:val="13"/>
              </w:rPr>
              <w:t> </w:t>
            </w:r>
            <w:r>
              <w:rPr>
                <w:b/>
                <w:w w:val="125"/>
                <w:sz w:val="13"/>
              </w:rPr>
              <w:t>288</w:t>
            </w:r>
            <w:r>
              <w:rPr>
                <w:b/>
                <w:spacing w:val="5"/>
                <w:w w:val="125"/>
                <w:sz w:val="13"/>
              </w:rPr>
              <w:t> </w:t>
            </w:r>
            <w:r>
              <w:rPr>
                <w:b/>
                <w:w w:val="125"/>
                <w:sz w:val="13"/>
              </w:rPr>
              <w:t>053</w:t>
            </w:r>
            <w:r>
              <w:rPr>
                <w:b/>
                <w:spacing w:val="6"/>
                <w:w w:val="125"/>
                <w:sz w:val="13"/>
              </w:rPr>
              <w:t> </w:t>
            </w:r>
            <w:r>
              <w:rPr>
                <w:b/>
                <w:spacing w:val="-2"/>
                <w:w w:val="125"/>
                <w:sz w:val="13"/>
              </w:rPr>
              <w:t>985,84</w:t>
            </w:r>
          </w:p>
        </w:tc>
        <w:tc>
          <w:tcPr>
            <w:tcW w:w="1685" w:type="dxa"/>
            <w:tcBorders>
              <w:top w:val="single" w:sz="12" w:space="0" w:color="000000"/>
              <w:bottom w:val="single" w:sz="12" w:space="0" w:color="000000"/>
              <w:right w:val="single" w:sz="12" w:space="0" w:color="000000"/>
            </w:tcBorders>
            <w:shd w:val="clear" w:color="auto" w:fill="B8CCE3"/>
          </w:tcPr>
          <w:p>
            <w:pPr>
              <w:pStyle w:val="TableParagraph"/>
              <w:spacing w:line="132" w:lineRule="exact" w:before="19"/>
              <w:ind w:right="3"/>
              <w:jc w:val="right"/>
              <w:rPr>
                <w:b/>
                <w:sz w:val="13"/>
              </w:rPr>
            </w:pPr>
            <w:r>
              <w:rPr>
                <w:b/>
                <w:w w:val="125"/>
                <w:sz w:val="13"/>
              </w:rPr>
              <w:t>29</w:t>
            </w:r>
            <w:r>
              <w:rPr>
                <w:b/>
                <w:spacing w:val="7"/>
                <w:w w:val="125"/>
                <w:sz w:val="13"/>
              </w:rPr>
              <w:t> </w:t>
            </w:r>
            <w:r>
              <w:rPr>
                <w:b/>
                <w:w w:val="125"/>
                <w:sz w:val="13"/>
              </w:rPr>
              <w:t>018</w:t>
            </w:r>
            <w:r>
              <w:rPr>
                <w:b/>
                <w:spacing w:val="8"/>
                <w:w w:val="125"/>
                <w:sz w:val="13"/>
              </w:rPr>
              <w:t> </w:t>
            </w:r>
            <w:r>
              <w:rPr>
                <w:b/>
                <w:w w:val="125"/>
                <w:sz w:val="13"/>
              </w:rPr>
              <w:t>262</w:t>
            </w:r>
            <w:r>
              <w:rPr>
                <w:b/>
                <w:spacing w:val="7"/>
                <w:w w:val="125"/>
                <w:sz w:val="13"/>
              </w:rPr>
              <w:t> </w:t>
            </w:r>
            <w:r>
              <w:rPr>
                <w:b/>
                <w:spacing w:val="-2"/>
                <w:w w:val="125"/>
                <w:sz w:val="13"/>
              </w:rPr>
              <w:t>150,84</w:t>
            </w:r>
          </w:p>
        </w:tc>
      </w:tr>
      <w:tr>
        <w:trPr>
          <w:trHeight w:val="171" w:hRule="atLeast"/>
        </w:trPr>
        <w:tc>
          <w:tcPr>
            <w:tcW w:w="4310" w:type="dxa"/>
            <w:tcBorders>
              <w:top w:val="single" w:sz="12" w:space="0" w:color="000000"/>
              <w:left w:val="single" w:sz="6" w:space="0" w:color="000000"/>
              <w:bottom w:val="single" w:sz="12" w:space="0" w:color="000000"/>
              <w:right w:val="single" w:sz="6" w:space="0" w:color="000000"/>
            </w:tcBorders>
            <w:shd w:val="clear" w:color="auto" w:fill="528DD4"/>
          </w:tcPr>
          <w:p>
            <w:pPr>
              <w:pStyle w:val="TableParagraph"/>
              <w:spacing w:line="132" w:lineRule="exact" w:before="19"/>
              <w:ind w:left="81"/>
              <w:rPr>
                <w:b/>
                <w:sz w:val="13"/>
              </w:rPr>
            </w:pPr>
            <w:r>
              <w:rPr>
                <w:b/>
                <w:spacing w:val="-2"/>
                <w:w w:val="125"/>
                <w:sz w:val="13"/>
              </w:rPr>
              <w:t>TOTALES</w:t>
            </w:r>
          </w:p>
        </w:tc>
        <w:tc>
          <w:tcPr>
            <w:tcW w:w="1827" w:type="dxa"/>
            <w:tcBorders>
              <w:top w:val="single" w:sz="12" w:space="0" w:color="000000"/>
              <w:left w:val="single" w:sz="6" w:space="0" w:color="000000"/>
              <w:bottom w:val="single" w:sz="12" w:space="0" w:color="000000"/>
              <w:right w:val="single" w:sz="6" w:space="0" w:color="000000"/>
            </w:tcBorders>
            <w:shd w:val="clear" w:color="auto" w:fill="528DD4"/>
          </w:tcPr>
          <w:p>
            <w:pPr>
              <w:pStyle w:val="TableParagraph"/>
              <w:spacing w:line="132" w:lineRule="exact" w:before="19"/>
              <w:ind w:right="72"/>
              <w:jc w:val="right"/>
              <w:rPr>
                <w:b/>
                <w:sz w:val="13"/>
              </w:rPr>
            </w:pPr>
            <w:r>
              <w:rPr>
                <w:b/>
                <w:w w:val="125"/>
                <w:sz w:val="13"/>
              </w:rPr>
              <w:t>139</w:t>
            </w:r>
            <w:r>
              <w:rPr>
                <w:b/>
                <w:spacing w:val="9"/>
                <w:w w:val="125"/>
                <w:sz w:val="13"/>
              </w:rPr>
              <w:t> </w:t>
            </w:r>
            <w:r>
              <w:rPr>
                <w:b/>
                <w:w w:val="125"/>
                <w:sz w:val="13"/>
              </w:rPr>
              <w:t>550</w:t>
            </w:r>
            <w:r>
              <w:rPr>
                <w:b/>
                <w:spacing w:val="9"/>
                <w:w w:val="125"/>
                <w:sz w:val="13"/>
              </w:rPr>
              <w:t> </w:t>
            </w:r>
            <w:r>
              <w:rPr>
                <w:b/>
                <w:w w:val="125"/>
                <w:sz w:val="13"/>
              </w:rPr>
              <w:t>957</w:t>
            </w:r>
            <w:r>
              <w:rPr>
                <w:b/>
                <w:spacing w:val="9"/>
                <w:w w:val="125"/>
                <w:sz w:val="13"/>
              </w:rPr>
              <w:t> </w:t>
            </w:r>
            <w:r>
              <w:rPr>
                <w:b/>
                <w:spacing w:val="-2"/>
                <w:w w:val="125"/>
                <w:sz w:val="13"/>
              </w:rPr>
              <w:t>076,51</w:t>
            </w:r>
          </w:p>
        </w:tc>
        <w:tc>
          <w:tcPr>
            <w:tcW w:w="1882" w:type="dxa"/>
            <w:tcBorders>
              <w:top w:val="single" w:sz="12" w:space="0" w:color="000000"/>
              <w:left w:val="single" w:sz="6" w:space="0" w:color="000000"/>
              <w:bottom w:val="single" w:sz="12" w:space="0" w:color="000000"/>
              <w:right w:val="single" w:sz="6" w:space="0" w:color="000000"/>
            </w:tcBorders>
            <w:shd w:val="clear" w:color="auto" w:fill="528DD4"/>
          </w:tcPr>
          <w:p>
            <w:pPr>
              <w:pStyle w:val="TableParagraph"/>
              <w:spacing w:line="132" w:lineRule="exact" w:before="19"/>
              <w:ind w:left="409"/>
              <w:rPr>
                <w:b/>
                <w:sz w:val="13"/>
              </w:rPr>
            </w:pPr>
            <w:r>
              <w:rPr>
                <w:b/>
                <w:w w:val="125"/>
                <w:sz w:val="13"/>
              </w:rPr>
              <w:t>56</w:t>
            </w:r>
            <w:r>
              <w:rPr>
                <w:b/>
                <w:spacing w:val="5"/>
                <w:w w:val="125"/>
                <w:sz w:val="13"/>
              </w:rPr>
              <w:t> </w:t>
            </w:r>
            <w:r>
              <w:rPr>
                <w:b/>
                <w:w w:val="125"/>
                <w:sz w:val="13"/>
              </w:rPr>
              <w:t>791</w:t>
            </w:r>
            <w:r>
              <w:rPr>
                <w:b/>
                <w:spacing w:val="6"/>
                <w:w w:val="125"/>
                <w:sz w:val="13"/>
              </w:rPr>
              <w:t> </w:t>
            </w:r>
            <w:r>
              <w:rPr>
                <w:b/>
                <w:w w:val="125"/>
                <w:sz w:val="13"/>
              </w:rPr>
              <w:t>191</w:t>
            </w:r>
            <w:r>
              <w:rPr>
                <w:b/>
                <w:spacing w:val="6"/>
                <w:w w:val="125"/>
                <w:sz w:val="13"/>
              </w:rPr>
              <w:t> </w:t>
            </w:r>
            <w:r>
              <w:rPr>
                <w:b/>
                <w:spacing w:val="-2"/>
                <w:w w:val="125"/>
                <w:sz w:val="13"/>
              </w:rPr>
              <w:t>743,12</w:t>
            </w:r>
          </w:p>
        </w:tc>
        <w:tc>
          <w:tcPr>
            <w:tcW w:w="1596" w:type="dxa"/>
            <w:tcBorders>
              <w:top w:val="single" w:sz="12" w:space="0" w:color="000000"/>
              <w:left w:val="single" w:sz="6" w:space="0" w:color="000000"/>
              <w:bottom w:val="single" w:sz="12" w:space="0" w:color="000000"/>
              <w:right w:val="single" w:sz="6" w:space="0" w:color="000000"/>
            </w:tcBorders>
            <w:shd w:val="clear" w:color="auto" w:fill="528DD4"/>
          </w:tcPr>
          <w:p>
            <w:pPr>
              <w:pStyle w:val="TableParagraph"/>
              <w:spacing w:line="132" w:lineRule="exact" w:before="19"/>
              <w:ind w:left="205"/>
              <w:rPr>
                <w:b/>
                <w:sz w:val="13"/>
              </w:rPr>
            </w:pPr>
            <w:r>
              <w:rPr>
                <w:b/>
                <w:w w:val="125"/>
                <w:sz w:val="13"/>
              </w:rPr>
              <w:t>2</w:t>
            </w:r>
            <w:r>
              <w:rPr>
                <w:b/>
                <w:spacing w:val="6"/>
                <w:w w:val="125"/>
                <w:sz w:val="13"/>
              </w:rPr>
              <w:t> </w:t>
            </w:r>
            <w:r>
              <w:rPr>
                <w:b/>
                <w:w w:val="125"/>
                <w:sz w:val="13"/>
              </w:rPr>
              <w:t>500</w:t>
            </w:r>
            <w:r>
              <w:rPr>
                <w:b/>
                <w:spacing w:val="5"/>
                <w:w w:val="125"/>
                <w:sz w:val="13"/>
              </w:rPr>
              <w:t> </w:t>
            </w:r>
            <w:r>
              <w:rPr>
                <w:b/>
                <w:w w:val="125"/>
                <w:sz w:val="13"/>
              </w:rPr>
              <w:t>000</w:t>
            </w:r>
            <w:r>
              <w:rPr>
                <w:b/>
                <w:spacing w:val="6"/>
                <w:w w:val="125"/>
                <w:sz w:val="13"/>
              </w:rPr>
              <w:t> </w:t>
            </w:r>
            <w:r>
              <w:rPr>
                <w:b/>
                <w:spacing w:val="-2"/>
                <w:w w:val="125"/>
                <w:sz w:val="13"/>
              </w:rPr>
              <w:t>000,00</w:t>
            </w:r>
          </w:p>
        </w:tc>
        <w:tc>
          <w:tcPr>
            <w:tcW w:w="1569" w:type="dxa"/>
            <w:tcBorders>
              <w:top w:val="single" w:sz="12" w:space="0" w:color="000000"/>
              <w:left w:val="single" w:sz="6" w:space="0" w:color="000000"/>
              <w:bottom w:val="single" w:sz="12" w:space="0" w:color="000000"/>
              <w:right w:val="single" w:sz="6" w:space="0" w:color="000000"/>
            </w:tcBorders>
            <w:shd w:val="clear" w:color="auto" w:fill="528DD4"/>
          </w:tcPr>
          <w:p>
            <w:pPr>
              <w:pStyle w:val="TableParagraph"/>
              <w:spacing w:line="132" w:lineRule="exact" w:before="19"/>
              <w:ind w:left="164"/>
              <w:rPr>
                <w:b/>
                <w:sz w:val="13"/>
              </w:rPr>
            </w:pPr>
            <w:r>
              <w:rPr>
                <w:b/>
                <w:w w:val="125"/>
                <w:sz w:val="13"/>
              </w:rPr>
              <w:t>2</w:t>
            </w:r>
            <w:r>
              <w:rPr>
                <w:b/>
                <w:spacing w:val="6"/>
                <w:w w:val="125"/>
                <w:sz w:val="13"/>
              </w:rPr>
              <w:t> </w:t>
            </w:r>
            <w:r>
              <w:rPr>
                <w:b/>
                <w:w w:val="125"/>
                <w:sz w:val="13"/>
              </w:rPr>
              <w:t>186</w:t>
            </w:r>
            <w:r>
              <w:rPr>
                <w:b/>
                <w:spacing w:val="5"/>
                <w:w w:val="125"/>
                <w:sz w:val="13"/>
              </w:rPr>
              <w:t> </w:t>
            </w:r>
            <w:r>
              <w:rPr>
                <w:b/>
                <w:w w:val="125"/>
                <w:sz w:val="13"/>
              </w:rPr>
              <w:t>313</w:t>
            </w:r>
            <w:r>
              <w:rPr>
                <w:b/>
                <w:spacing w:val="6"/>
                <w:w w:val="125"/>
                <w:sz w:val="13"/>
              </w:rPr>
              <w:t> </w:t>
            </w:r>
            <w:r>
              <w:rPr>
                <w:b/>
                <w:spacing w:val="-2"/>
                <w:w w:val="125"/>
                <w:sz w:val="13"/>
              </w:rPr>
              <w:t>169,84</w:t>
            </w:r>
          </w:p>
        </w:tc>
        <w:tc>
          <w:tcPr>
            <w:tcW w:w="1685" w:type="dxa"/>
            <w:tcBorders>
              <w:top w:val="single" w:sz="12" w:space="0" w:color="000000"/>
              <w:left w:val="single" w:sz="6" w:space="0" w:color="000000"/>
              <w:bottom w:val="single" w:sz="12" w:space="0" w:color="000000"/>
              <w:right w:val="single" w:sz="12" w:space="0" w:color="000000"/>
            </w:tcBorders>
            <w:shd w:val="clear" w:color="auto" w:fill="528DD4"/>
          </w:tcPr>
          <w:p>
            <w:pPr>
              <w:pStyle w:val="TableParagraph"/>
              <w:spacing w:line="132" w:lineRule="exact" w:before="19"/>
              <w:ind w:right="44"/>
              <w:jc w:val="right"/>
              <w:rPr>
                <w:b/>
                <w:sz w:val="13"/>
              </w:rPr>
            </w:pPr>
            <w:r>
              <w:rPr>
                <w:b/>
                <w:w w:val="125"/>
                <w:sz w:val="13"/>
              </w:rPr>
              <w:t>201</w:t>
            </w:r>
            <w:r>
              <w:rPr>
                <w:b/>
                <w:spacing w:val="9"/>
                <w:w w:val="125"/>
                <w:sz w:val="13"/>
              </w:rPr>
              <w:t> </w:t>
            </w:r>
            <w:r>
              <w:rPr>
                <w:b/>
                <w:w w:val="125"/>
                <w:sz w:val="13"/>
              </w:rPr>
              <w:t>028</w:t>
            </w:r>
            <w:r>
              <w:rPr>
                <w:b/>
                <w:spacing w:val="9"/>
                <w:w w:val="125"/>
                <w:sz w:val="13"/>
              </w:rPr>
              <w:t> </w:t>
            </w:r>
            <w:r>
              <w:rPr>
                <w:b/>
                <w:w w:val="125"/>
                <w:sz w:val="13"/>
              </w:rPr>
              <w:t>461</w:t>
            </w:r>
            <w:r>
              <w:rPr>
                <w:b/>
                <w:spacing w:val="9"/>
                <w:w w:val="125"/>
                <w:sz w:val="13"/>
              </w:rPr>
              <w:t> </w:t>
            </w:r>
            <w:r>
              <w:rPr>
                <w:b/>
                <w:spacing w:val="-2"/>
                <w:w w:val="125"/>
                <w:sz w:val="13"/>
              </w:rPr>
              <w:t>989,47</w:t>
            </w:r>
          </w:p>
        </w:tc>
      </w:tr>
    </w:tbl>
    <w:p>
      <w:pPr>
        <w:pStyle w:val="TableParagraph"/>
        <w:spacing w:after="0" w:line="132" w:lineRule="exact"/>
        <w:jc w:val="right"/>
        <w:rPr>
          <w:b/>
          <w:sz w:val="13"/>
        </w:rPr>
        <w:sectPr>
          <w:type w:val="continuous"/>
          <w:pgSz w:w="15840" w:h="12240" w:orient="landscape"/>
          <w:pgMar w:header="0" w:footer="2484" w:top="1820" w:bottom="280" w:left="1080" w:right="1440"/>
        </w:sectPr>
      </w:pPr>
    </w:p>
    <w:p>
      <w:pPr>
        <w:pStyle w:val="Heading3"/>
        <w:spacing w:before="79"/>
        <w:ind w:left="840"/>
      </w:pPr>
      <w:bookmarkStart w:name="_bookmark82" w:id="83"/>
      <w:bookmarkEnd w:id="83"/>
      <w:r>
        <w:rPr>
          <w:b w:val="0"/>
        </w:rPr>
      </w:r>
      <w:r>
        <w:rPr/>
        <w:t>Anexo</w:t>
      </w:r>
      <w:r>
        <w:rPr>
          <w:spacing w:val="-6"/>
        </w:rPr>
        <w:t> </w:t>
      </w:r>
      <w:r>
        <w:rPr/>
        <w:t>V:</w:t>
      </w:r>
      <w:r>
        <w:rPr>
          <w:spacing w:val="-4"/>
        </w:rPr>
        <w:t> </w:t>
      </w:r>
      <w:r>
        <w:rPr/>
        <w:t>Fichas</w:t>
      </w:r>
      <w:r>
        <w:rPr>
          <w:spacing w:val="-4"/>
        </w:rPr>
        <w:t> </w:t>
      </w:r>
      <w:r>
        <w:rPr/>
        <w:t>de</w:t>
      </w:r>
      <w:r>
        <w:rPr>
          <w:spacing w:val="-6"/>
        </w:rPr>
        <w:t> </w:t>
      </w:r>
      <w:r>
        <w:rPr/>
        <w:t>Indicadores</w:t>
      </w:r>
      <w:r>
        <w:rPr>
          <w:spacing w:val="-5"/>
        </w:rPr>
        <w:t> </w:t>
      </w:r>
      <w:r>
        <w:rPr/>
        <w:t>Programa</w:t>
      </w:r>
      <w:r>
        <w:rPr>
          <w:spacing w:val="-4"/>
        </w:rPr>
        <w:t> </w:t>
      </w:r>
      <w:r>
        <w:rPr/>
        <w:t>Protección</w:t>
      </w:r>
      <w:r>
        <w:rPr>
          <w:spacing w:val="-4"/>
        </w:rPr>
        <w:t> </w:t>
      </w:r>
      <w:r>
        <w:rPr/>
        <w:t>y</w:t>
      </w:r>
      <w:r>
        <w:rPr>
          <w:spacing w:val="-5"/>
        </w:rPr>
        <w:t> </w:t>
      </w:r>
      <w:r>
        <w:rPr/>
        <w:t>Promoción</w:t>
      </w:r>
      <w:r>
        <w:rPr>
          <w:spacing w:val="-3"/>
        </w:rPr>
        <w:t> </w:t>
      </w:r>
      <w:r>
        <w:rPr>
          <w:spacing w:val="-2"/>
        </w:rPr>
        <w:t>Social</w:t>
      </w:r>
    </w:p>
    <w:p>
      <w:pPr>
        <w:pStyle w:val="BodyText"/>
        <w:spacing w:before="137"/>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637" w:hRule="atLeast"/>
        </w:trPr>
        <w:tc>
          <w:tcPr>
            <w:tcW w:w="2835" w:type="dxa"/>
            <w:shd w:val="clear" w:color="auto" w:fill="DCE6F0"/>
          </w:tcPr>
          <w:p>
            <w:pPr>
              <w:pStyle w:val="TableParagraph"/>
              <w:spacing w:before="203"/>
              <w:ind w:left="67"/>
              <w:rPr>
                <w:b/>
                <w:sz w:val="20"/>
              </w:rPr>
            </w:pPr>
            <w:r>
              <w:rPr>
                <w:b/>
                <w:sz w:val="20"/>
              </w:rPr>
              <w:t>PPPS</w:t>
            </w:r>
            <w:r>
              <w:rPr>
                <w:b/>
                <w:spacing w:val="-6"/>
                <w:sz w:val="20"/>
              </w:rPr>
              <w:t> </w:t>
            </w:r>
            <w:r>
              <w:rPr>
                <w:b/>
                <w:spacing w:val="-2"/>
                <w:sz w:val="20"/>
              </w:rPr>
              <w:t>1.1.1:</w:t>
            </w:r>
          </w:p>
        </w:tc>
        <w:tc>
          <w:tcPr>
            <w:tcW w:w="7514" w:type="dxa"/>
          </w:tcPr>
          <w:p>
            <w:pPr>
              <w:pStyle w:val="TableParagraph"/>
              <w:spacing w:before="88"/>
              <w:ind w:left="69"/>
              <w:rPr>
                <w:sz w:val="20"/>
              </w:rPr>
            </w:pPr>
            <w:r>
              <w:rPr>
                <w:sz w:val="20"/>
              </w:rPr>
              <w:t>Nombre</w:t>
            </w:r>
            <w:r>
              <w:rPr>
                <w:spacing w:val="-3"/>
                <w:sz w:val="20"/>
              </w:rPr>
              <w:t> </w:t>
            </w:r>
            <w:r>
              <w:rPr>
                <w:sz w:val="20"/>
              </w:rPr>
              <w:t>del</w:t>
            </w:r>
            <w:r>
              <w:rPr>
                <w:spacing w:val="-6"/>
                <w:sz w:val="20"/>
              </w:rPr>
              <w:t> </w:t>
            </w:r>
            <w:r>
              <w:rPr>
                <w:sz w:val="20"/>
              </w:rPr>
              <w:t>Indicador:</w:t>
            </w:r>
            <w:r>
              <w:rPr>
                <w:spacing w:val="-5"/>
                <w:sz w:val="20"/>
              </w:rPr>
              <w:t> </w:t>
            </w:r>
            <w:r>
              <w:rPr>
                <w:sz w:val="20"/>
              </w:rPr>
              <w:t>Cantidad</w:t>
            </w:r>
            <w:r>
              <w:rPr>
                <w:spacing w:val="-5"/>
                <w:sz w:val="20"/>
              </w:rPr>
              <w:t> </w:t>
            </w:r>
            <w:r>
              <w:rPr>
                <w:sz w:val="20"/>
              </w:rPr>
              <w:t>de</w:t>
            </w:r>
            <w:r>
              <w:rPr>
                <w:spacing w:val="-3"/>
                <w:sz w:val="20"/>
              </w:rPr>
              <w:t> </w:t>
            </w:r>
            <w:r>
              <w:rPr>
                <w:sz w:val="20"/>
              </w:rPr>
              <w:t>hogares</w:t>
            </w:r>
            <w:r>
              <w:rPr>
                <w:spacing w:val="-4"/>
                <w:sz w:val="20"/>
              </w:rPr>
              <w:t> </w:t>
            </w:r>
            <w:r>
              <w:rPr>
                <w:sz w:val="20"/>
              </w:rPr>
              <w:t>que</w:t>
            </w:r>
            <w:r>
              <w:rPr>
                <w:spacing w:val="-6"/>
                <w:sz w:val="20"/>
              </w:rPr>
              <w:t> </w:t>
            </w:r>
            <w:r>
              <w:rPr>
                <w:sz w:val="20"/>
              </w:rPr>
              <w:t>reciben</w:t>
            </w:r>
            <w:r>
              <w:rPr>
                <w:spacing w:val="-5"/>
                <w:sz w:val="20"/>
              </w:rPr>
              <w:t> </w:t>
            </w:r>
            <w:r>
              <w:rPr>
                <w:sz w:val="20"/>
              </w:rPr>
              <w:t>el</w:t>
            </w:r>
            <w:r>
              <w:rPr>
                <w:spacing w:val="-4"/>
                <w:sz w:val="20"/>
              </w:rPr>
              <w:t> </w:t>
            </w:r>
            <w:r>
              <w:rPr>
                <w:sz w:val="20"/>
              </w:rPr>
              <w:t>subsidio</w:t>
            </w:r>
            <w:r>
              <w:rPr>
                <w:spacing w:val="-3"/>
                <w:sz w:val="20"/>
              </w:rPr>
              <w:t> </w:t>
            </w:r>
            <w:r>
              <w:rPr>
                <w:sz w:val="20"/>
              </w:rPr>
              <w:t>de</w:t>
            </w:r>
            <w:r>
              <w:rPr>
                <w:spacing w:val="-4"/>
                <w:sz w:val="20"/>
              </w:rPr>
              <w:t> </w:t>
            </w:r>
            <w:r>
              <w:rPr>
                <w:sz w:val="20"/>
              </w:rPr>
              <w:t>Atención</w:t>
            </w:r>
            <w:r>
              <w:rPr>
                <w:spacing w:val="-5"/>
                <w:sz w:val="20"/>
              </w:rPr>
              <w:t> </w:t>
            </w:r>
            <w:r>
              <w:rPr>
                <w:sz w:val="20"/>
              </w:rPr>
              <w:t>a </w:t>
            </w:r>
            <w:r>
              <w:rPr>
                <w:spacing w:val="-2"/>
                <w:sz w:val="20"/>
              </w:rPr>
              <w:t>Familias.</w:t>
            </w:r>
          </w:p>
        </w:tc>
      </w:tr>
      <w:tr>
        <w:trPr>
          <w:trHeight w:val="405" w:hRule="atLeast"/>
        </w:trPr>
        <w:tc>
          <w:tcPr>
            <w:tcW w:w="2835" w:type="dxa"/>
            <w:shd w:val="clear" w:color="auto" w:fill="DCE6F0"/>
          </w:tcPr>
          <w:p>
            <w:pPr>
              <w:pStyle w:val="TableParagraph"/>
              <w:spacing w:before="86"/>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before="86"/>
              <w:ind w:left="69"/>
              <w:rPr>
                <w:sz w:val="20"/>
              </w:rPr>
            </w:pPr>
            <w:r>
              <w:rPr>
                <w:sz w:val="20"/>
              </w:rPr>
              <w:t>Sumatoria</w:t>
            </w:r>
            <w:r>
              <w:rPr>
                <w:spacing w:val="-8"/>
                <w:sz w:val="20"/>
              </w:rPr>
              <w:t> </w:t>
            </w:r>
            <w:r>
              <w:rPr>
                <w:sz w:val="20"/>
              </w:rPr>
              <w:t>de</w:t>
            </w:r>
            <w:r>
              <w:rPr>
                <w:spacing w:val="-8"/>
                <w:sz w:val="20"/>
              </w:rPr>
              <w:t> </w:t>
            </w:r>
            <w:r>
              <w:rPr>
                <w:sz w:val="20"/>
              </w:rPr>
              <w:t>hogares</w:t>
            </w:r>
            <w:r>
              <w:rPr>
                <w:spacing w:val="-4"/>
                <w:sz w:val="20"/>
              </w:rPr>
              <w:t> </w:t>
            </w:r>
            <w:r>
              <w:rPr>
                <w:sz w:val="20"/>
              </w:rPr>
              <w:t>que</w:t>
            </w:r>
            <w:r>
              <w:rPr>
                <w:spacing w:val="-5"/>
                <w:sz w:val="20"/>
              </w:rPr>
              <w:t> </w:t>
            </w:r>
            <w:r>
              <w:rPr>
                <w:sz w:val="20"/>
              </w:rPr>
              <w:t>reciben</w:t>
            </w:r>
            <w:r>
              <w:rPr>
                <w:spacing w:val="-6"/>
                <w:sz w:val="20"/>
              </w:rPr>
              <w:t> </w:t>
            </w:r>
            <w:r>
              <w:rPr>
                <w:sz w:val="20"/>
              </w:rPr>
              <w:t>el</w:t>
            </w:r>
            <w:r>
              <w:rPr>
                <w:spacing w:val="-7"/>
                <w:sz w:val="20"/>
              </w:rPr>
              <w:t> </w:t>
            </w:r>
            <w:r>
              <w:rPr>
                <w:sz w:val="20"/>
              </w:rPr>
              <w:t>subsidio</w:t>
            </w:r>
            <w:r>
              <w:rPr>
                <w:spacing w:val="-6"/>
                <w:sz w:val="20"/>
              </w:rPr>
              <w:t> </w:t>
            </w:r>
            <w:r>
              <w:rPr>
                <w:sz w:val="20"/>
              </w:rPr>
              <w:t>Atención</w:t>
            </w:r>
            <w:r>
              <w:rPr>
                <w:spacing w:val="-7"/>
                <w:sz w:val="20"/>
              </w:rPr>
              <w:t> </w:t>
            </w:r>
            <w:r>
              <w:rPr>
                <w:sz w:val="20"/>
              </w:rPr>
              <w:t>a</w:t>
            </w:r>
            <w:r>
              <w:rPr>
                <w:spacing w:val="-9"/>
                <w:sz w:val="20"/>
              </w:rPr>
              <w:t> </w:t>
            </w:r>
            <w:r>
              <w:rPr>
                <w:spacing w:val="-2"/>
                <w:sz w:val="20"/>
              </w:rPr>
              <w:t>Familias.</w:t>
            </w:r>
          </w:p>
        </w:tc>
      </w:tr>
      <w:tr>
        <w:trPr>
          <w:trHeight w:val="299" w:hRule="atLeast"/>
        </w:trPr>
        <w:tc>
          <w:tcPr>
            <w:tcW w:w="2835" w:type="dxa"/>
            <w:shd w:val="clear" w:color="auto" w:fill="DCE6F0"/>
          </w:tcPr>
          <w:p>
            <w:pPr>
              <w:pStyle w:val="TableParagraph"/>
              <w:spacing w:before="33"/>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33"/>
              <w:ind w:left="69"/>
              <w:rPr>
                <w:sz w:val="20"/>
              </w:rPr>
            </w:pPr>
            <w:r>
              <w:rPr>
                <w:spacing w:val="-2"/>
                <w:sz w:val="20"/>
              </w:rPr>
              <w:t>Cantidad</w:t>
            </w:r>
          </w:p>
        </w:tc>
      </w:tr>
      <w:tr>
        <w:trPr>
          <w:trHeight w:val="1149" w:hRule="atLeast"/>
        </w:trPr>
        <w:tc>
          <w:tcPr>
            <w:tcW w:w="2835" w:type="dxa"/>
            <w:shd w:val="clear" w:color="auto" w:fill="DCE6F0"/>
          </w:tcPr>
          <w:p>
            <w:pPr>
              <w:pStyle w:val="TableParagraph"/>
              <w:spacing w:before="227"/>
              <w:rPr>
                <w:b/>
                <w:sz w:val="20"/>
              </w:rPr>
            </w:pPr>
          </w:p>
          <w:p>
            <w:pPr>
              <w:pStyle w:val="TableParagraph"/>
              <w:spacing w:before="1"/>
              <w:ind w:left="67"/>
              <w:rPr>
                <w:b/>
                <w:sz w:val="20"/>
              </w:rPr>
            </w:pPr>
            <w:r>
              <w:rPr>
                <w:b/>
                <w:spacing w:val="-2"/>
                <w:sz w:val="20"/>
              </w:rPr>
              <w:t>Interpretación:</w:t>
            </w:r>
          </w:p>
        </w:tc>
        <w:tc>
          <w:tcPr>
            <w:tcW w:w="7514" w:type="dxa"/>
          </w:tcPr>
          <w:p>
            <w:pPr>
              <w:pStyle w:val="TableParagraph"/>
              <w:ind w:left="69"/>
              <w:rPr>
                <w:sz w:val="20"/>
              </w:rPr>
            </w:pPr>
            <w:r>
              <w:rPr>
                <w:sz w:val="20"/>
              </w:rPr>
              <w:t>La</w:t>
            </w:r>
            <w:r>
              <w:rPr>
                <w:spacing w:val="-5"/>
                <w:sz w:val="20"/>
              </w:rPr>
              <w:t> </w:t>
            </w:r>
            <w:r>
              <w:rPr>
                <w:sz w:val="20"/>
              </w:rPr>
              <w:t>cantidad</w:t>
            </w:r>
            <w:r>
              <w:rPr>
                <w:spacing w:val="-5"/>
                <w:sz w:val="20"/>
              </w:rPr>
              <w:t> </w:t>
            </w:r>
            <w:r>
              <w:rPr>
                <w:sz w:val="20"/>
              </w:rPr>
              <w:t>de</w:t>
            </w:r>
            <w:r>
              <w:rPr>
                <w:spacing w:val="-4"/>
                <w:sz w:val="20"/>
              </w:rPr>
              <w:t> </w:t>
            </w:r>
            <w:r>
              <w:rPr>
                <w:sz w:val="20"/>
              </w:rPr>
              <w:t>hogares que</w:t>
            </w:r>
            <w:r>
              <w:rPr>
                <w:spacing w:val="-4"/>
                <w:sz w:val="20"/>
              </w:rPr>
              <w:t> </w:t>
            </w:r>
            <w:r>
              <w:rPr>
                <w:sz w:val="20"/>
              </w:rPr>
              <w:t>reciben</w:t>
            </w:r>
            <w:r>
              <w:rPr>
                <w:spacing w:val="-4"/>
                <w:sz w:val="20"/>
              </w:rPr>
              <w:t> </w:t>
            </w:r>
            <w:r>
              <w:rPr>
                <w:sz w:val="20"/>
              </w:rPr>
              <w:t>el</w:t>
            </w:r>
            <w:r>
              <w:rPr>
                <w:spacing w:val="-5"/>
                <w:sz w:val="20"/>
              </w:rPr>
              <w:t> </w:t>
            </w:r>
            <w:r>
              <w:rPr>
                <w:sz w:val="20"/>
              </w:rPr>
              <w:t>subsidio</w:t>
            </w:r>
            <w:r>
              <w:rPr>
                <w:spacing w:val="-2"/>
                <w:sz w:val="20"/>
              </w:rPr>
              <w:t> </w:t>
            </w:r>
            <w:r>
              <w:rPr>
                <w:sz w:val="20"/>
              </w:rPr>
              <w:t>Atención</w:t>
            </w:r>
            <w:r>
              <w:rPr>
                <w:spacing w:val="-5"/>
                <w:sz w:val="20"/>
              </w:rPr>
              <w:t> </w:t>
            </w:r>
            <w:r>
              <w:rPr>
                <w:sz w:val="20"/>
              </w:rPr>
              <w:t>a</w:t>
            </w:r>
            <w:r>
              <w:rPr>
                <w:spacing w:val="-2"/>
                <w:sz w:val="20"/>
              </w:rPr>
              <w:t> </w:t>
            </w:r>
            <w:r>
              <w:rPr>
                <w:sz w:val="20"/>
              </w:rPr>
              <w:t>familias,</w:t>
            </w:r>
            <w:r>
              <w:rPr>
                <w:spacing w:val="-2"/>
                <w:sz w:val="20"/>
              </w:rPr>
              <w:t> </w:t>
            </w:r>
            <w:r>
              <w:rPr>
                <w:sz w:val="20"/>
              </w:rPr>
              <w:t>en</w:t>
            </w:r>
            <w:r>
              <w:rPr>
                <w:spacing w:val="-5"/>
                <w:sz w:val="20"/>
              </w:rPr>
              <w:t> </w:t>
            </w:r>
            <w:r>
              <w:rPr>
                <w:sz w:val="20"/>
              </w:rPr>
              <w:t>“X”</w:t>
            </w:r>
            <w:r>
              <w:rPr>
                <w:spacing w:val="-1"/>
                <w:sz w:val="20"/>
              </w:rPr>
              <w:t> </w:t>
            </w:r>
            <w:r>
              <w:rPr>
                <w:sz w:val="20"/>
              </w:rPr>
              <w:t>período es de “Y”.</w:t>
            </w:r>
          </w:p>
          <w:p>
            <w:pPr>
              <w:pStyle w:val="TableParagraph"/>
              <w:spacing w:line="230" w:lineRule="exact"/>
              <w:ind w:left="69" w:right="93"/>
              <w:rPr>
                <w:sz w:val="20"/>
              </w:rPr>
            </w:pPr>
            <w:r>
              <w:rPr>
                <w:sz w:val="20"/>
              </w:rPr>
              <w:t>En</w:t>
            </w:r>
            <w:r>
              <w:rPr>
                <w:spacing w:val="-4"/>
                <w:sz w:val="20"/>
              </w:rPr>
              <w:t> </w:t>
            </w:r>
            <w:r>
              <w:rPr>
                <w:sz w:val="20"/>
              </w:rPr>
              <w:t>esta</w:t>
            </w:r>
            <w:r>
              <w:rPr>
                <w:spacing w:val="-4"/>
                <w:sz w:val="20"/>
              </w:rPr>
              <w:t> </w:t>
            </w:r>
            <w:r>
              <w:rPr>
                <w:sz w:val="20"/>
              </w:rPr>
              <w:t>“X”</w:t>
            </w:r>
            <w:r>
              <w:rPr>
                <w:spacing w:val="-4"/>
                <w:sz w:val="20"/>
              </w:rPr>
              <w:t> </w:t>
            </w:r>
            <w:r>
              <w:rPr>
                <w:sz w:val="20"/>
              </w:rPr>
              <w:t>representa</w:t>
            </w:r>
            <w:r>
              <w:rPr>
                <w:spacing w:val="-2"/>
                <w:sz w:val="20"/>
              </w:rPr>
              <w:t> </w:t>
            </w:r>
            <w:r>
              <w:rPr>
                <w:sz w:val="20"/>
              </w:rPr>
              <w:t>el</w:t>
            </w:r>
            <w:r>
              <w:rPr>
                <w:spacing w:val="-3"/>
                <w:sz w:val="20"/>
              </w:rPr>
              <w:t> </w:t>
            </w:r>
            <w:r>
              <w:rPr>
                <w:sz w:val="20"/>
              </w:rPr>
              <w:t>período</w:t>
            </w:r>
            <w:r>
              <w:rPr>
                <w:spacing w:val="-3"/>
                <w:sz w:val="20"/>
              </w:rPr>
              <w:t> </w:t>
            </w:r>
            <w:r>
              <w:rPr>
                <w:sz w:val="20"/>
              </w:rPr>
              <w:t>de</w:t>
            </w:r>
            <w:r>
              <w:rPr>
                <w:spacing w:val="-5"/>
                <w:sz w:val="20"/>
              </w:rPr>
              <w:t> </w:t>
            </w:r>
            <w:r>
              <w:rPr>
                <w:sz w:val="20"/>
              </w:rPr>
              <w:t>tiempo</w:t>
            </w:r>
            <w:r>
              <w:rPr>
                <w:spacing w:val="-2"/>
                <w:sz w:val="20"/>
              </w:rPr>
              <w:t> </w:t>
            </w:r>
            <w:r>
              <w:rPr>
                <w:sz w:val="20"/>
              </w:rPr>
              <w:t>según</w:t>
            </w:r>
            <w:r>
              <w:rPr>
                <w:spacing w:val="-4"/>
                <w:sz w:val="20"/>
              </w:rPr>
              <w:t> </w:t>
            </w:r>
            <w:r>
              <w:rPr>
                <w:sz w:val="20"/>
              </w:rPr>
              <w:t>la</w:t>
            </w:r>
            <w:r>
              <w:rPr>
                <w:spacing w:val="-4"/>
                <w:sz w:val="20"/>
              </w:rPr>
              <w:t> </w:t>
            </w:r>
            <w:r>
              <w:rPr>
                <w:sz w:val="20"/>
              </w:rPr>
              <w:t>frecuencia</w:t>
            </w:r>
            <w:r>
              <w:rPr>
                <w:spacing w:val="-2"/>
                <w:sz w:val="20"/>
              </w:rPr>
              <w:t> </w:t>
            </w:r>
            <w:r>
              <w:rPr>
                <w:sz w:val="20"/>
              </w:rPr>
              <w:t>de</w:t>
            </w:r>
            <w:r>
              <w:rPr>
                <w:spacing w:val="-3"/>
                <w:sz w:val="20"/>
              </w:rPr>
              <w:t> </w:t>
            </w:r>
            <w:r>
              <w:rPr>
                <w:sz w:val="20"/>
              </w:rPr>
              <w:t>medición,</w:t>
            </w:r>
            <w:r>
              <w:rPr>
                <w:spacing w:val="-4"/>
                <w:sz w:val="20"/>
              </w:rPr>
              <w:t> </w:t>
            </w:r>
            <w:r>
              <w:rPr>
                <w:sz w:val="20"/>
              </w:rPr>
              <w:t>y</w:t>
            </w:r>
            <w:r>
              <w:rPr>
                <w:spacing w:val="-3"/>
                <w:sz w:val="20"/>
              </w:rPr>
              <w:t> </w:t>
            </w:r>
            <w:r>
              <w:rPr>
                <w:sz w:val="20"/>
              </w:rPr>
              <w:t>“Y” significa la meta alcanzada a ese momento según la unidad de medida </w:t>
            </w:r>
            <w:r>
              <w:rPr>
                <w:spacing w:val="-2"/>
                <w:sz w:val="20"/>
              </w:rPr>
              <w:t>establecida.</w:t>
            </w:r>
          </w:p>
        </w:tc>
      </w:tr>
      <w:tr>
        <w:trPr>
          <w:trHeight w:val="298" w:hRule="atLeast"/>
        </w:trPr>
        <w:tc>
          <w:tcPr>
            <w:tcW w:w="2835" w:type="dxa"/>
            <w:shd w:val="clear" w:color="auto" w:fill="DCE6F0"/>
          </w:tcPr>
          <w:p>
            <w:pPr>
              <w:pStyle w:val="TableParagraph"/>
              <w:spacing w:before="34"/>
              <w:ind w:left="67"/>
              <w:rPr>
                <w:b/>
                <w:sz w:val="20"/>
              </w:rPr>
            </w:pPr>
            <w:r>
              <w:rPr>
                <w:b/>
                <w:spacing w:val="-2"/>
                <w:sz w:val="20"/>
              </w:rPr>
              <w:t>Desagregación</w:t>
            </w:r>
          </w:p>
        </w:tc>
        <w:tc>
          <w:tcPr>
            <w:tcW w:w="7514" w:type="dxa"/>
          </w:tcPr>
          <w:p>
            <w:pPr>
              <w:pStyle w:val="TableParagraph"/>
              <w:spacing w:before="34"/>
              <w:ind w:left="69"/>
              <w:rPr>
                <w:sz w:val="20"/>
              </w:rPr>
            </w:pPr>
            <w:r>
              <w:rPr>
                <w:sz w:val="20"/>
              </w:rPr>
              <w:t>No</w:t>
            </w:r>
            <w:r>
              <w:rPr>
                <w:spacing w:val="-5"/>
                <w:sz w:val="20"/>
              </w:rPr>
              <w:t> </w:t>
            </w:r>
            <w:r>
              <w:rPr>
                <w:spacing w:val="-2"/>
                <w:sz w:val="20"/>
              </w:rPr>
              <w:t>aplica.</w:t>
            </w:r>
          </w:p>
        </w:tc>
      </w:tr>
      <w:tr>
        <w:trPr>
          <w:trHeight w:val="300" w:hRule="atLeast"/>
        </w:trPr>
        <w:tc>
          <w:tcPr>
            <w:tcW w:w="2835" w:type="dxa"/>
            <w:shd w:val="clear" w:color="auto" w:fill="DCE6F0"/>
          </w:tcPr>
          <w:p>
            <w:pPr>
              <w:pStyle w:val="TableParagraph"/>
              <w:spacing w:before="36"/>
              <w:ind w:left="67"/>
              <w:rPr>
                <w:b/>
                <w:sz w:val="20"/>
              </w:rPr>
            </w:pPr>
            <w:r>
              <w:rPr>
                <w:b/>
                <w:spacing w:val="-2"/>
                <w:sz w:val="20"/>
              </w:rPr>
              <w:t>Meta:</w:t>
            </w:r>
          </w:p>
        </w:tc>
        <w:tc>
          <w:tcPr>
            <w:tcW w:w="7514" w:type="dxa"/>
          </w:tcPr>
          <w:p>
            <w:pPr>
              <w:pStyle w:val="TableParagraph"/>
              <w:spacing w:before="36"/>
              <w:ind w:left="69"/>
              <w:rPr>
                <w:sz w:val="20"/>
              </w:rPr>
            </w:pPr>
            <w:r>
              <w:rPr>
                <w:sz w:val="20"/>
              </w:rPr>
              <w:t>46</w:t>
            </w:r>
            <w:r>
              <w:rPr>
                <w:spacing w:val="-6"/>
                <w:sz w:val="20"/>
              </w:rPr>
              <w:t> </w:t>
            </w:r>
            <w:r>
              <w:rPr>
                <w:spacing w:val="-5"/>
                <w:sz w:val="20"/>
              </w:rPr>
              <w:t>500</w:t>
            </w:r>
          </w:p>
        </w:tc>
      </w:tr>
      <w:tr>
        <w:trPr>
          <w:trHeight w:val="302" w:hRule="atLeast"/>
        </w:trPr>
        <w:tc>
          <w:tcPr>
            <w:tcW w:w="2835" w:type="dxa"/>
            <w:shd w:val="clear" w:color="auto" w:fill="DCE6F0"/>
          </w:tcPr>
          <w:p>
            <w:pPr>
              <w:pStyle w:val="TableParagraph"/>
              <w:spacing w:before="35"/>
              <w:ind w:left="67"/>
              <w:rPr>
                <w:b/>
                <w:sz w:val="20"/>
              </w:rPr>
            </w:pPr>
            <w:r>
              <w:rPr>
                <w:b/>
                <w:sz w:val="20"/>
              </w:rPr>
              <w:t>Línea</w:t>
            </w:r>
            <w:r>
              <w:rPr>
                <w:b/>
                <w:spacing w:val="-10"/>
                <w:sz w:val="20"/>
              </w:rPr>
              <w:t> </w:t>
            </w:r>
            <w:r>
              <w:rPr>
                <w:b/>
                <w:sz w:val="20"/>
              </w:rPr>
              <w:t>Base</w:t>
            </w:r>
            <w:r>
              <w:rPr>
                <w:b/>
                <w:spacing w:val="-7"/>
                <w:sz w:val="20"/>
              </w:rPr>
              <w:t> </w:t>
            </w:r>
            <w:r>
              <w:rPr>
                <w:b/>
                <w:spacing w:val="-4"/>
                <w:sz w:val="20"/>
              </w:rPr>
              <w:t>2025</w:t>
            </w:r>
          </w:p>
        </w:tc>
        <w:tc>
          <w:tcPr>
            <w:tcW w:w="7514" w:type="dxa"/>
          </w:tcPr>
          <w:p>
            <w:pPr>
              <w:pStyle w:val="TableParagraph"/>
              <w:spacing w:line="211" w:lineRule="exact" w:before="71"/>
              <w:ind w:left="69"/>
              <w:rPr>
                <w:sz w:val="20"/>
              </w:rPr>
            </w:pPr>
            <w:r>
              <w:rPr>
                <w:sz w:val="20"/>
              </w:rPr>
              <w:t>189</w:t>
            </w:r>
            <w:r>
              <w:rPr>
                <w:spacing w:val="-5"/>
                <w:sz w:val="20"/>
              </w:rPr>
              <w:t> 664</w:t>
            </w:r>
          </w:p>
        </w:tc>
      </w:tr>
      <w:tr>
        <w:trPr>
          <w:trHeight w:val="779" w:hRule="atLeast"/>
        </w:trPr>
        <w:tc>
          <w:tcPr>
            <w:tcW w:w="2835" w:type="dxa"/>
            <w:shd w:val="clear" w:color="auto" w:fill="DCE6F0"/>
          </w:tcPr>
          <w:p>
            <w:pPr>
              <w:pStyle w:val="TableParagraph"/>
              <w:spacing w:before="158"/>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43"/>
              <w:rPr>
                <w:b/>
                <w:sz w:val="20"/>
              </w:rPr>
            </w:pPr>
          </w:p>
          <w:p>
            <w:pPr>
              <w:pStyle w:val="TableParagraph"/>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479" w:hRule="atLeast"/>
        </w:trPr>
        <w:tc>
          <w:tcPr>
            <w:tcW w:w="2835" w:type="dxa"/>
            <w:shd w:val="clear" w:color="auto" w:fill="DCE6F0"/>
          </w:tcPr>
          <w:p>
            <w:pPr>
              <w:pStyle w:val="TableParagraph"/>
              <w:spacing w:line="230" w:lineRule="atLeast"/>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9"/>
              <w:ind w:left="69"/>
              <w:rPr>
                <w:sz w:val="20"/>
              </w:rPr>
            </w:pPr>
            <w:r>
              <w:rPr>
                <w:sz w:val="20"/>
              </w:rPr>
              <w:t>Nombre:</w:t>
            </w:r>
            <w:r>
              <w:rPr>
                <w:spacing w:val="-10"/>
                <w:sz w:val="20"/>
              </w:rPr>
              <w:t> </w:t>
            </w:r>
            <w:r>
              <w:rPr>
                <w:sz w:val="20"/>
              </w:rPr>
              <w:t>Raquel</w:t>
            </w:r>
            <w:r>
              <w:rPr>
                <w:spacing w:val="-11"/>
                <w:sz w:val="20"/>
              </w:rPr>
              <w:t> </w:t>
            </w:r>
            <w:r>
              <w:rPr>
                <w:sz w:val="20"/>
              </w:rPr>
              <w:t>Quesada</w:t>
            </w:r>
            <w:r>
              <w:rPr>
                <w:spacing w:val="-9"/>
                <w:sz w:val="20"/>
              </w:rPr>
              <w:t> </w:t>
            </w:r>
            <w:r>
              <w:rPr>
                <w:spacing w:val="-2"/>
                <w:sz w:val="20"/>
              </w:rPr>
              <w:t>Jiménez.</w:t>
            </w:r>
          </w:p>
          <w:p>
            <w:pPr>
              <w:pStyle w:val="TableParagraph"/>
              <w:spacing w:line="220" w:lineRule="exact"/>
              <w:ind w:left="69"/>
              <w:rPr>
                <w:sz w:val="20"/>
              </w:rPr>
            </w:pPr>
            <w:r>
              <w:rPr>
                <w:sz w:val="20"/>
              </w:rPr>
              <w:t>Cargo:</w:t>
            </w:r>
            <w:r>
              <w:rPr>
                <w:spacing w:val="-10"/>
                <w:sz w:val="20"/>
              </w:rPr>
              <w:t> </w:t>
            </w:r>
            <w:r>
              <w:rPr>
                <w:sz w:val="20"/>
              </w:rPr>
              <w:t>Jefatura,</w:t>
            </w:r>
            <w:r>
              <w:rPr>
                <w:spacing w:val="-10"/>
                <w:sz w:val="20"/>
              </w:rPr>
              <w:t> </w:t>
            </w:r>
            <w:r>
              <w:rPr>
                <w:sz w:val="20"/>
              </w:rPr>
              <w:t>Departamento</w:t>
            </w:r>
            <w:r>
              <w:rPr>
                <w:spacing w:val="-9"/>
                <w:sz w:val="20"/>
              </w:rPr>
              <w:t> </w:t>
            </w:r>
            <w:r>
              <w:rPr>
                <w:sz w:val="20"/>
              </w:rPr>
              <w:t>de</w:t>
            </w:r>
            <w:r>
              <w:rPr>
                <w:spacing w:val="-9"/>
                <w:sz w:val="20"/>
              </w:rPr>
              <w:t> </w:t>
            </w:r>
            <w:r>
              <w:rPr>
                <w:sz w:val="20"/>
              </w:rPr>
              <w:t>Bienestar</w:t>
            </w:r>
            <w:r>
              <w:rPr>
                <w:spacing w:val="-10"/>
                <w:sz w:val="20"/>
              </w:rPr>
              <w:t> </w:t>
            </w:r>
            <w:r>
              <w:rPr>
                <w:spacing w:val="-2"/>
                <w:sz w:val="20"/>
              </w:rPr>
              <w:t>Familiar</w:t>
            </w:r>
          </w:p>
        </w:tc>
      </w:tr>
      <w:tr>
        <w:trPr>
          <w:trHeight w:val="479" w:hRule="atLeast"/>
        </w:trPr>
        <w:tc>
          <w:tcPr>
            <w:tcW w:w="2835" w:type="dxa"/>
            <w:shd w:val="clear" w:color="auto" w:fill="DCE6F0"/>
          </w:tcPr>
          <w:p>
            <w:pPr>
              <w:pStyle w:val="TableParagraph"/>
              <w:spacing w:line="230" w:lineRule="atLeast"/>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24"/>
              <w:ind w:left="69"/>
              <w:rPr>
                <w:sz w:val="20"/>
              </w:rPr>
            </w:pPr>
            <w:r>
              <w:rPr>
                <w:sz w:val="20"/>
              </w:rPr>
              <w:t>Dirección</w:t>
            </w:r>
            <w:r>
              <w:rPr>
                <w:spacing w:val="-9"/>
                <w:sz w:val="20"/>
              </w:rPr>
              <w:t> </w:t>
            </w:r>
            <w:r>
              <w:rPr>
                <w:sz w:val="20"/>
              </w:rPr>
              <w:t>de</w:t>
            </w:r>
            <w:r>
              <w:rPr>
                <w:spacing w:val="-9"/>
                <w:sz w:val="20"/>
              </w:rPr>
              <w:t> </w:t>
            </w:r>
            <w:r>
              <w:rPr>
                <w:sz w:val="20"/>
              </w:rPr>
              <w:t>Desarrollo</w:t>
            </w:r>
            <w:r>
              <w:rPr>
                <w:spacing w:val="-8"/>
                <w:sz w:val="20"/>
              </w:rPr>
              <w:t> </w:t>
            </w:r>
            <w:r>
              <w:rPr>
                <w:sz w:val="20"/>
              </w:rPr>
              <w:t>Social,</w:t>
            </w:r>
            <w:r>
              <w:rPr>
                <w:spacing w:val="-9"/>
                <w:sz w:val="20"/>
              </w:rPr>
              <w:t> </w:t>
            </w:r>
            <w:r>
              <w:rPr>
                <w:sz w:val="20"/>
              </w:rPr>
              <w:t>Departamento</w:t>
            </w:r>
            <w:r>
              <w:rPr>
                <w:spacing w:val="-8"/>
                <w:sz w:val="20"/>
              </w:rPr>
              <w:t> </w:t>
            </w:r>
            <w:r>
              <w:rPr>
                <w:sz w:val="20"/>
              </w:rPr>
              <w:t>de</w:t>
            </w:r>
            <w:r>
              <w:rPr>
                <w:spacing w:val="-9"/>
                <w:sz w:val="20"/>
              </w:rPr>
              <w:t> </w:t>
            </w:r>
            <w:r>
              <w:rPr>
                <w:sz w:val="20"/>
              </w:rPr>
              <w:t>Bienestar</w:t>
            </w:r>
            <w:r>
              <w:rPr>
                <w:spacing w:val="-11"/>
                <w:sz w:val="20"/>
              </w:rPr>
              <w:t> </w:t>
            </w:r>
            <w:r>
              <w:rPr>
                <w:spacing w:val="-2"/>
                <w:sz w:val="20"/>
              </w:rPr>
              <w:t>Familiar</w:t>
            </w:r>
          </w:p>
        </w:tc>
      </w:tr>
      <w:tr>
        <w:trPr>
          <w:trHeight w:val="299" w:hRule="atLeast"/>
        </w:trPr>
        <w:tc>
          <w:tcPr>
            <w:tcW w:w="2835" w:type="dxa"/>
            <w:shd w:val="clear" w:color="auto" w:fill="DCE6F0"/>
          </w:tcPr>
          <w:p>
            <w:pPr>
              <w:pStyle w:val="TableParagraph"/>
              <w:spacing w:before="35"/>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35"/>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825" w:hRule="atLeast"/>
        </w:trPr>
        <w:tc>
          <w:tcPr>
            <w:tcW w:w="2835" w:type="dxa"/>
            <w:shd w:val="clear" w:color="auto" w:fill="DCE6F0"/>
          </w:tcPr>
          <w:p>
            <w:pPr>
              <w:pStyle w:val="TableParagraph"/>
              <w:spacing w:before="67"/>
              <w:rPr>
                <w:b/>
                <w:sz w:val="20"/>
              </w:rPr>
            </w:pPr>
          </w:p>
          <w:p>
            <w:pPr>
              <w:pStyle w:val="TableParagraph"/>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182"/>
              <w:ind w:left="69"/>
              <w:rPr>
                <w:sz w:val="20"/>
              </w:rPr>
            </w:pPr>
            <w:r>
              <w:rPr>
                <w:sz w:val="20"/>
              </w:rPr>
              <w:t>Informes</w:t>
            </w:r>
            <w:r>
              <w:rPr>
                <w:spacing w:val="-5"/>
                <w:sz w:val="20"/>
              </w:rPr>
              <w:t> </w:t>
            </w:r>
            <w:r>
              <w:rPr>
                <w:sz w:val="20"/>
              </w:rPr>
              <w:t>del</w:t>
            </w:r>
            <w:r>
              <w:rPr>
                <w:spacing w:val="-6"/>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6"/>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720" w:hRule="atLeast"/>
        </w:trPr>
        <w:tc>
          <w:tcPr>
            <w:tcW w:w="2835" w:type="dxa"/>
            <w:shd w:val="clear" w:color="auto" w:fill="DCE6F0"/>
          </w:tcPr>
          <w:p>
            <w:pPr>
              <w:pStyle w:val="TableParagraph"/>
              <w:spacing w:before="14"/>
              <w:rPr>
                <w:b/>
                <w:sz w:val="20"/>
              </w:rPr>
            </w:pPr>
          </w:p>
          <w:p>
            <w:pPr>
              <w:pStyle w:val="TableParagraph"/>
              <w:ind w:left="67"/>
              <w:rPr>
                <w:b/>
                <w:sz w:val="20"/>
              </w:rPr>
            </w:pPr>
            <w:r>
              <w:rPr>
                <w:b/>
                <w:spacing w:val="-2"/>
                <w:sz w:val="20"/>
              </w:rPr>
              <w:t>Clasificación</w:t>
            </w:r>
          </w:p>
        </w:tc>
        <w:tc>
          <w:tcPr>
            <w:tcW w:w="7514" w:type="dxa"/>
          </w:tcPr>
          <w:p>
            <w:pPr>
              <w:pStyle w:val="TableParagraph"/>
              <w:spacing w:before="14"/>
              <w:rPr>
                <w:b/>
                <w:sz w:val="20"/>
              </w:rPr>
            </w:pPr>
          </w:p>
          <w:p>
            <w:pPr>
              <w:pStyle w:val="TableParagraph"/>
              <w:ind w:left="69"/>
              <w:rPr>
                <w:sz w:val="20"/>
              </w:rPr>
            </w:pPr>
            <w:r>
              <w:rPr>
                <w:sz w:val="20"/>
              </w:rPr>
              <w:t>Impacto</w:t>
            </w:r>
            <w:r>
              <w:rPr>
                <w:spacing w:val="-5"/>
                <w:sz w:val="20"/>
              </w:rPr>
              <w:t> </w:t>
            </w:r>
            <w:r>
              <w:rPr>
                <w:sz w:val="20"/>
              </w:rPr>
              <w:t>()</w:t>
            </w:r>
            <w:r>
              <w:rPr>
                <w:spacing w:val="-5"/>
                <w:sz w:val="20"/>
              </w:rPr>
              <w:t> </w:t>
            </w:r>
            <w:r>
              <w:rPr>
                <w:sz w:val="20"/>
              </w:rPr>
              <w:t>Efecto</w:t>
            </w:r>
            <w:r>
              <w:rPr>
                <w:spacing w:val="-7"/>
                <w:sz w:val="20"/>
              </w:rPr>
              <w:t> </w:t>
            </w:r>
            <w:r>
              <w:rPr>
                <w:sz w:val="20"/>
              </w:rPr>
              <w:t>()</w:t>
            </w:r>
            <w:r>
              <w:rPr>
                <w:spacing w:val="-4"/>
                <w:sz w:val="20"/>
              </w:rPr>
              <w:t> </w:t>
            </w:r>
            <w:r>
              <w:rPr>
                <w:sz w:val="20"/>
              </w:rPr>
              <w:t>Producto</w:t>
            </w:r>
            <w:r>
              <w:rPr>
                <w:spacing w:val="-8"/>
                <w:sz w:val="20"/>
              </w:rPr>
              <w:t> </w:t>
            </w:r>
            <w:r>
              <w:rPr>
                <w:spacing w:val="-5"/>
                <w:sz w:val="20"/>
              </w:rPr>
              <w:t>(X)</w:t>
            </w:r>
          </w:p>
        </w:tc>
      </w:tr>
      <w:tr>
        <w:trPr>
          <w:trHeight w:val="921" w:hRule="atLeast"/>
        </w:trPr>
        <w:tc>
          <w:tcPr>
            <w:tcW w:w="2835" w:type="dxa"/>
            <w:shd w:val="clear" w:color="auto" w:fill="DCE6F0"/>
          </w:tcPr>
          <w:p>
            <w:pPr>
              <w:pStyle w:val="TableParagraph"/>
              <w:spacing w:before="115"/>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ind w:left="69" w:right="170"/>
              <w:rPr>
                <w:sz w:val="20"/>
              </w:rPr>
            </w:pPr>
            <w:r>
              <w:rPr>
                <w:sz w:val="20"/>
              </w:rPr>
              <w:t>En</w:t>
            </w:r>
            <w:r>
              <w:rPr>
                <w:spacing w:val="-4"/>
                <w:sz w:val="20"/>
              </w:rPr>
              <w:t> </w:t>
            </w:r>
            <w:r>
              <w:rPr>
                <w:sz w:val="20"/>
              </w:rPr>
              <w:t>el</w:t>
            </w:r>
            <w:r>
              <w:rPr>
                <w:spacing w:val="-4"/>
                <w:sz w:val="20"/>
              </w:rPr>
              <w:t> </w:t>
            </w:r>
            <w:r>
              <w:rPr>
                <w:sz w:val="20"/>
              </w:rPr>
              <w:t>SABEN</w:t>
            </w:r>
            <w:r>
              <w:rPr>
                <w:spacing w:val="-4"/>
                <w:sz w:val="20"/>
              </w:rPr>
              <w:t> </w:t>
            </w:r>
            <w:r>
              <w:rPr>
                <w:sz w:val="20"/>
              </w:rPr>
              <w:t>se</w:t>
            </w:r>
            <w:r>
              <w:rPr>
                <w:spacing w:val="-4"/>
                <w:sz w:val="20"/>
              </w:rPr>
              <w:t> </w:t>
            </w:r>
            <w:r>
              <w:rPr>
                <w:sz w:val="20"/>
              </w:rPr>
              <w:t>define</w:t>
            </w:r>
            <w:r>
              <w:rPr>
                <w:spacing w:val="-5"/>
                <w:sz w:val="20"/>
              </w:rPr>
              <w:t> </w:t>
            </w:r>
            <w:r>
              <w:rPr>
                <w:sz w:val="20"/>
              </w:rPr>
              <w:t>como</w:t>
            </w:r>
            <w:r>
              <w:rPr>
                <w:spacing w:val="-4"/>
                <w:sz w:val="20"/>
              </w:rPr>
              <w:t> </w:t>
            </w:r>
            <w:r>
              <w:rPr>
                <w:sz w:val="20"/>
              </w:rPr>
              <w:t>hogares</w:t>
            </w:r>
            <w:r>
              <w:rPr>
                <w:spacing w:val="-3"/>
                <w:sz w:val="20"/>
              </w:rPr>
              <w:t> </w:t>
            </w:r>
            <w:r>
              <w:rPr>
                <w:sz w:val="20"/>
              </w:rPr>
              <w:t>receptores</w:t>
            </w:r>
            <w:r>
              <w:rPr>
                <w:spacing w:val="-2"/>
                <w:sz w:val="20"/>
              </w:rPr>
              <w:t> </w:t>
            </w:r>
            <w:r>
              <w:rPr>
                <w:sz w:val="20"/>
              </w:rPr>
              <w:t>a</w:t>
            </w:r>
            <w:r>
              <w:rPr>
                <w:spacing w:val="-4"/>
                <w:sz w:val="20"/>
              </w:rPr>
              <w:t> </w:t>
            </w:r>
            <w:r>
              <w:rPr>
                <w:sz w:val="20"/>
              </w:rPr>
              <w:t>los</w:t>
            </w:r>
            <w:r>
              <w:rPr>
                <w:spacing w:val="-4"/>
                <w:sz w:val="20"/>
              </w:rPr>
              <w:t> </w:t>
            </w:r>
            <w:r>
              <w:rPr>
                <w:sz w:val="20"/>
              </w:rPr>
              <w:t>hogares</w:t>
            </w:r>
            <w:r>
              <w:rPr>
                <w:spacing w:val="-4"/>
                <w:sz w:val="20"/>
              </w:rPr>
              <w:t> </w:t>
            </w:r>
            <w:r>
              <w:rPr>
                <w:sz w:val="20"/>
              </w:rPr>
              <w:t>que</w:t>
            </w:r>
            <w:r>
              <w:rPr>
                <w:spacing w:val="-4"/>
                <w:sz w:val="20"/>
              </w:rPr>
              <w:t> </w:t>
            </w:r>
            <w:r>
              <w:rPr>
                <w:sz w:val="20"/>
              </w:rPr>
              <w:t>al</w:t>
            </w:r>
            <w:r>
              <w:rPr>
                <w:spacing w:val="-4"/>
                <w:sz w:val="20"/>
              </w:rPr>
              <w:t> </w:t>
            </w:r>
            <w:r>
              <w:rPr>
                <w:sz w:val="20"/>
              </w:rPr>
              <w:t>menos hayan recibido un mes el subsidio.</w:t>
            </w:r>
          </w:p>
          <w:p>
            <w:pPr>
              <w:pStyle w:val="TableParagraph"/>
              <w:spacing w:line="230" w:lineRule="atLeast"/>
              <w:ind w:left="69" w:right="170"/>
              <w:rPr>
                <w:sz w:val="20"/>
              </w:rPr>
            </w:pPr>
            <w:r>
              <w:rPr>
                <w:sz w:val="20"/>
              </w:rPr>
              <w:t>Este</w:t>
            </w:r>
            <w:r>
              <w:rPr>
                <w:spacing w:val="-5"/>
                <w:sz w:val="20"/>
              </w:rPr>
              <w:t> </w:t>
            </w:r>
            <w:r>
              <w:rPr>
                <w:sz w:val="20"/>
              </w:rPr>
              <w:t>indicador</w:t>
            </w:r>
            <w:r>
              <w:rPr>
                <w:spacing w:val="-4"/>
                <w:sz w:val="20"/>
              </w:rPr>
              <w:t> </w:t>
            </w:r>
            <w:r>
              <w:rPr>
                <w:sz w:val="20"/>
              </w:rPr>
              <w:t>se</w:t>
            </w:r>
            <w:r>
              <w:rPr>
                <w:spacing w:val="-2"/>
                <w:sz w:val="20"/>
              </w:rPr>
              <w:t> </w:t>
            </w:r>
            <w:r>
              <w:rPr>
                <w:sz w:val="20"/>
              </w:rPr>
              <w:t>encuentra</w:t>
            </w:r>
            <w:r>
              <w:rPr>
                <w:spacing w:val="-4"/>
                <w:sz w:val="20"/>
              </w:rPr>
              <w:t> </w:t>
            </w:r>
            <w:r>
              <w:rPr>
                <w:sz w:val="20"/>
              </w:rPr>
              <w:t>vinculado</w:t>
            </w:r>
            <w:r>
              <w:rPr>
                <w:spacing w:val="-4"/>
                <w:sz w:val="20"/>
              </w:rPr>
              <w:t> </w:t>
            </w:r>
            <w:r>
              <w:rPr>
                <w:sz w:val="20"/>
              </w:rPr>
              <w:t>al</w:t>
            </w:r>
            <w:r>
              <w:rPr>
                <w:spacing w:val="-5"/>
                <w:sz w:val="20"/>
              </w:rPr>
              <w:t> </w:t>
            </w:r>
            <w:r>
              <w:rPr>
                <w:sz w:val="20"/>
              </w:rPr>
              <w:t>PEN</w:t>
            </w:r>
            <w:r>
              <w:rPr>
                <w:spacing w:val="-4"/>
                <w:sz w:val="20"/>
              </w:rPr>
              <w:t> </w:t>
            </w:r>
            <w:r>
              <w:rPr>
                <w:sz w:val="20"/>
              </w:rPr>
              <w:t>y</w:t>
            </w:r>
            <w:r>
              <w:rPr>
                <w:spacing w:val="-3"/>
                <w:sz w:val="20"/>
              </w:rPr>
              <w:t> </w:t>
            </w:r>
            <w:r>
              <w:rPr>
                <w:sz w:val="20"/>
              </w:rPr>
              <w:t>a</w:t>
            </w:r>
            <w:r>
              <w:rPr>
                <w:spacing w:val="-2"/>
                <w:sz w:val="20"/>
              </w:rPr>
              <w:t> </w:t>
            </w:r>
            <w:r>
              <w:rPr>
                <w:sz w:val="20"/>
              </w:rPr>
              <w:t>los</w:t>
            </w:r>
            <w:r>
              <w:rPr>
                <w:spacing w:val="-3"/>
                <w:sz w:val="20"/>
              </w:rPr>
              <w:t> </w:t>
            </w:r>
            <w:r>
              <w:rPr>
                <w:sz w:val="20"/>
              </w:rPr>
              <w:t>indicadores</w:t>
            </w:r>
            <w:r>
              <w:rPr>
                <w:spacing w:val="-3"/>
                <w:sz w:val="20"/>
              </w:rPr>
              <w:t> </w:t>
            </w:r>
            <w:r>
              <w:rPr>
                <w:sz w:val="20"/>
              </w:rPr>
              <w:t>2.3.2</w:t>
            </w:r>
            <w:r>
              <w:rPr>
                <w:spacing w:val="-5"/>
                <w:sz w:val="20"/>
              </w:rPr>
              <w:t> </w:t>
            </w:r>
            <w:r>
              <w:rPr>
                <w:sz w:val="20"/>
              </w:rPr>
              <w:t>y</w:t>
            </w:r>
            <w:r>
              <w:rPr>
                <w:spacing w:val="-1"/>
                <w:sz w:val="20"/>
              </w:rPr>
              <w:t> </w:t>
            </w:r>
            <w:r>
              <w:rPr>
                <w:sz w:val="20"/>
              </w:rPr>
              <w:t>2.6.1</w:t>
            </w:r>
            <w:r>
              <w:rPr>
                <w:spacing w:val="-4"/>
                <w:sz w:val="20"/>
              </w:rPr>
              <w:t> </w:t>
            </w:r>
            <w:r>
              <w:rPr>
                <w:sz w:val="20"/>
              </w:rPr>
              <w:t>de la PIEG; PLANOVI 6.3.1.</w:t>
            </w:r>
          </w:p>
        </w:tc>
      </w:tr>
    </w:tbl>
    <w:p>
      <w:pPr>
        <w:pStyle w:val="TableParagraph"/>
        <w:spacing w:after="0" w:line="230" w:lineRule="atLeast"/>
        <w:rPr>
          <w:sz w:val="20"/>
        </w:rPr>
        <w:sectPr>
          <w:footerReference w:type="default" r:id="rId136"/>
          <w:pgSz w:w="12240" w:h="15840"/>
          <w:pgMar w:header="0" w:footer="2404" w:top="1340" w:bottom="2600"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1425" w:hRule="atLeast"/>
        </w:trPr>
        <w:tc>
          <w:tcPr>
            <w:tcW w:w="2835" w:type="dxa"/>
            <w:shd w:val="clear" w:color="auto" w:fill="DCE6F0"/>
          </w:tcPr>
          <w:p>
            <w:pPr>
              <w:pStyle w:val="TableParagraph"/>
              <w:rPr>
                <w:b/>
                <w:sz w:val="20"/>
              </w:rPr>
            </w:pPr>
          </w:p>
          <w:p>
            <w:pPr>
              <w:pStyle w:val="TableParagraph"/>
              <w:spacing w:before="137"/>
              <w:rPr>
                <w:b/>
                <w:sz w:val="20"/>
              </w:rPr>
            </w:pPr>
          </w:p>
          <w:p>
            <w:pPr>
              <w:pStyle w:val="TableParagraph"/>
              <w:ind w:left="67"/>
              <w:rPr>
                <w:b/>
                <w:sz w:val="20"/>
              </w:rPr>
            </w:pPr>
            <w:r>
              <w:rPr>
                <w:b/>
                <w:sz w:val="20"/>
              </w:rPr>
              <w:t>PPPS</w:t>
            </w:r>
            <w:r>
              <w:rPr>
                <w:b/>
                <w:spacing w:val="-6"/>
                <w:sz w:val="20"/>
              </w:rPr>
              <w:t> </w:t>
            </w:r>
            <w:r>
              <w:rPr>
                <w:b/>
                <w:spacing w:val="-2"/>
                <w:sz w:val="20"/>
              </w:rPr>
              <w:t>1.1.2:</w:t>
            </w:r>
          </w:p>
        </w:tc>
        <w:tc>
          <w:tcPr>
            <w:tcW w:w="7514" w:type="dxa"/>
          </w:tcPr>
          <w:p>
            <w:pPr>
              <w:pStyle w:val="TableParagraph"/>
              <w:spacing w:before="136"/>
              <w:ind w:left="69"/>
              <w:rPr>
                <w:sz w:val="20"/>
              </w:rPr>
            </w:pPr>
            <w:r>
              <w:rPr>
                <w:sz w:val="20"/>
              </w:rPr>
              <w:t>Nombre del Indicador: Cantidad de personas trabajadoras con bajos ingresos que tengan</w:t>
            </w:r>
            <w:r>
              <w:rPr>
                <w:spacing w:val="-3"/>
                <w:sz w:val="20"/>
              </w:rPr>
              <w:t> </w:t>
            </w:r>
            <w:r>
              <w:rPr>
                <w:sz w:val="20"/>
              </w:rPr>
              <w:t>hijos</w:t>
            </w:r>
            <w:r>
              <w:rPr>
                <w:spacing w:val="-1"/>
                <w:sz w:val="20"/>
              </w:rPr>
              <w:t> </w:t>
            </w:r>
            <w:r>
              <w:rPr>
                <w:sz w:val="20"/>
              </w:rPr>
              <w:t>o</w:t>
            </w:r>
            <w:r>
              <w:rPr>
                <w:spacing w:val="-3"/>
                <w:sz w:val="20"/>
              </w:rPr>
              <w:t> </w:t>
            </w:r>
            <w:r>
              <w:rPr>
                <w:sz w:val="20"/>
              </w:rPr>
              <w:t>hijas</w:t>
            </w:r>
            <w:r>
              <w:rPr>
                <w:spacing w:val="-1"/>
                <w:sz w:val="20"/>
              </w:rPr>
              <w:t> </w:t>
            </w:r>
            <w:r>
              <w:rPr>
                <w:sz w:val="20"/>
              </w:rPr>
              <w:t>con</w:t>
            </w:r>
            <w:r>
              <w:rPr>
                <w:spacing w:val="-1"/>
                <w:sz w:val="20"/>
              </w:rPr>
              <w:t> </w:t>
            </w:r>
            <w:r>
              <w:rPr>
                <w:sz w:val="20"/>
              </w:rPr>
              <w:t>discapacidad</w:t>
            </w:r>
            <w:r>
              <w:rPr>
                <w:spacing w:val="-3"/>
                <w:sz w:val="20"/>
              </w:rPr>
              <w:t> </w:t>
            </w:r>
            <w:r>
              <w:rPr>
                <w:sz w:val="20"/>
              </w:rPr>
              <w:t>permanente</w:t>
            </w:r>
            <w:r>
              <w:rPr>
                <w:spacing w:val="-3"/>
                <w:sz w:val="20"/>
              </w:rPr>
              <w:t> </w:t>
            </w:r>
            <w:r>
              <w:rPr>
                <w:sz w:val="20"/>
              </w:rPr>
              <w:t>o menores de</w:t>
            </w:r>
            <w:r>
              <w:rPr>
                <w:spacing w:val="-2"/>
                <w:sz w:val="20"/>
              </w:rPr>
              <w:t> </w:t>
            </w:r>
            <w:r>
              <w:rPr>
                <w:sz w:val="20"/>
              </w:rPr>
              <w:t>dieciocho</w:t>
            </w:r>
            <w:r>
              <w:rPr>
                <w:spacing w:val="-3"/>
                <w:sz w:val="20"/>
              </w:rPr>
              <w:t> </w:t>
            </w:r>
            <w:r>
              <w:rPr>
                <w:sz w:val="20"/>
              </w:rPr>
              <w:t>años, o mayores</w:t>
            </w:r>
            <w:r>
              <w:rPr>
                <w:spacing w:val="-3"/>
                <w:sz w:val="20"/>
              </w:rPr>
              <w:t> </w:t>
            </w:r>
            <w:r>
              <w:rPr>
                <w:sz w:val="20"/>
              </w:rPr>
              <w:t>de</w:t>
            </w:r>
            <w:r>
              <w:rPr>
                <w:spacing w:val="-3"/>
                <w:sz w:val="20"/>
              </w:rPr>
              <w:t> </w:t>
            </w:r>
            <w:r>
              <w:rPr>
                <w:sz w:val="20"/>
              </w:rPr>
              <w:t>dieciocho</w:t>
            </w:r>
            <w:r>
              <w:rPr>
                <w:spacing w:val="-5"/>
                <w:sz w:val="20"/>
              </w:rPr>
              <w:t> </w:t>
            </w:r>
            <w:r>
              <w:rPr>
                <w:sz w:val="20"/>
              </w:rPr>
              <w:t>años</w:t>
            </w:r>
            <w:r>
              <w:rPr>
                <w:spacing w:val="-1"/>
                <w:sz w:val="20"/>
              </w:rPr>
              <w:t> </w:t>
            </w:r>
            <w:r>
              <w:rPr>
                <w:sz w:val="20"/>
              </w:rPr>
              <w:t>y</w:t>
            </w:r>
            <w:r>
              <w:rPr>
                <w:spacing w:val="-4"/>
                <w:sz w:val="20"/>
              </w:rPr>
              <w:t> </w:t>
            </w:r>
            <w:r>
              <w:rPr>
                <w:sz w:val="20"/>
              </w:rPr>
              <w:t>menores</w:t>
            </w:r>
            <w:r>
              <w:rPr>
                <w:spacing w:val="-4"/>
                <w:sz w:val="20"/>
              </w:rPr>
              <w:t> </w:t>
            </w:r>
            <w:r>
              <w:rPr>
                <w:sz w:val="20"/>
              </w:rPr>
              <w:t>de</w:t>
            </w:r>
            <w:r>
              <w:rPr>
                <w:spacing w:val="-6"/>
                <w:sz w:val="20"/>
              </w:rPr>
              <w:t> </w:t>
            </w:r>
            <w:r>
              <w:rPr>
                <w:sz w:val="20"/>
              </w:rPr>
              <w:t>veinticinco</w:t>
            </w:r>
            <w:r>
              <w:rPr>
                <w:spacing w:val="-3"/>
                <w:sz w:val="20"/>
              </w:rPr>
              <w:t> </w:t>
            </w:r>
            <w:r>
              <w:rPr>
                <w:sz w:val="20"/>
              </w:rPr>
              <w:t>años,</w:t>
            </w:r>
            <w:r>
              <w:rPr>
                <w:spacing w:val="-5"/>
                <w:sz w:val="20"/>
              </w:rPr>
              <w:t> </w:t>
            </w:r>
            <w:r>
              <w:rPr>
                <w:sz w:val="20"/>
              </w:rPr>
              <w:t>siempre</w:t>
            </w:r>
            <w:r>
              <w:rPr>
                <w:spacing w:val="-5"/>
                <w:sz w:val="20"/>
              </w:rPr>
              <w:t> </w:t>
            </w:r>
            <w:r>
              <w:rPr>
                <w:sz w:val="20"/>
              </w:rPr>
              <w:t>y</w:t>
            </w:r>
            <w:r>
              <w:rPr>
                <w:spacing w:val="-4"/>
                <w:sz w:val="20"/>
              </w:rPr>
              <w:t> </w:t>
            </w:r>
            <w:r>
              <w:rPr>
                <w:sz w:val="20"/>
              </w:rPr>
              <w:t>cuando</w:t>
            </w:r>
            <w:r>
              <w:rPr>
                <w:spacing w:val="-3"/>
                <w:sz w:val="20"/>
              </w:rPr>
              <w:t> </w:t>
            </w:r>
            <w:r>
              <w:rPr>
                <w:sz w:val="20"/>
              </w:rPr>
              <w:t>sean estudiantes de una institución de educación superior. […], que reciben el subsidio Asignación Familiar.</w:t>
            </w:r>
          </w:p>
        </w:tc>
      </w:tr>
      <w:tr>
        <w:trPr>
          <w:trHeight w:val="1454" w:hRule="atLeast"/>
        </w:trPr>
        <w:tc>
          <w:tcPr>
            <w:tcW w:w="2835" w:type="dxa"/>
            <w:shd w:val="clear" w:color="auto" w:fill="DCE6F0"/>
          </w:tcPr>
          <w:p>
            <w:pPr>
              <w:pStyle w:val="TableParagraph"/>
              <w:rPr>
                <w:b/>
                <w:sz w:val="20"/>
              </w:rPr>
            </w:pPr>
          </w:p>
          <w:p>
            <w:pPr>
              <w:pStyle w:val="TableParagraph"/>
              <w:spacing w:before="151"/>
              <w:rPr>
                <w:b/>
                <w:sz w:val="20"/>
              </w:rPr>
            </w:pPr>
          </w:p>
          <w:p>
            <w:pPr>
              <w:pStyle w:val="TableParagraph"/>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before="150"/>
              <w:ind w:left="69" w:right="83"/>
              <w:rPr>
                <w:sz w:val="20"/>
              </w:rPr>
            </w:pPr>
            <w:r>
              <w:rPr>
                <w:sz w:val="20"/>
              </w:rPr>
              <w:t>Sumatoria de personas trabajadoras con bajos ingresos que tengan hijos o hijas con discapacidad permanente o menores de dieciocho años, o mayores de dieciocho</w:t>
            </w:r>
            <w:r>
              <w:rPr>
                <w:spacing w:val="-4"/>
                <w:sz w:val="20"/>
              </w:rPr>
              <w:t> </w:t>
            </w:r>
            <w:r>
              <w:rPr>
                <w:sz w:val="20"/>
              </w:rPr>
              <w:t>años</w:t>
            </w:r>
            <w:r>
              <w:rPr>
                <w:spacing w:val="-4"/>
                <w:sz w:val="20"/>
              </w:rPr>
              <w:t> </w:t>
            </w:r>
            <w:r>
              <w:rPr>
                <w:sz w:val="20"/>
              </w:rPr>
              <w:t>y</w:t>
            </w:r>
            <w:r>
              <w:rPr>
                <w:spacing w:val="-4"/>
                <w:sz w:val="20"/>
              </w:rPr>
              <w:t> </w:t>
            </w:r>
            <w:r>
              <w:rPr>
                <w:sz w:val="20"/>
              </w:rPr>
              <w:t>menores</w:t>
            </w:r>
            <w:r>
              <w:rPr>
                <w:spacing w:val="-4"/>
                <w:sz w:val="20"/>
              </w:rPr>
              <w:t> </w:t>
            </w:r>
            <w:r>
              <w:rPr>
                <w:sz w:val="20"/>
              </w:rPr>
              <w:t>de</w:t>
            </w:r>
            <w:r>
              <w:rPr>
                <w:spacing w:val="-6"/>
                <w:sz w:val="20"/>
              </w:rPr>
              <w:t> </w:t>
            </w:r>
            <w:r>
              <w:rPr>
                <w:sz w:val="20"/>
              </w:rPr>
              <w:t>veinticinco</w:t>
            </w:r>
            <w:r>
              <w:rPr>
                <w:spacing w:val="-5"/>
                <w:sz w:val="20"/>
              </w:rPr>
              <w:t> </w:t>
            </w:r>
            <w:r>
              <w:rPr>
                <w:sz w:val="20"/>
              </w:rPr>
              <w:t>años,</w:t>
            </w:r>
            <w:r>
              <w:rPr>
                <w:spacing w:val="-5"/>
                <w:sz w:val="20"/>
              </w:rPr>
              <w:t> </w:t>
            </w:r>
            <w:r>
              <w:rPr>
                <w:sz w:val="20"/>
              </w:rPr>
              <w:t>siempre</w:t>
            </w:r>
            <w:r>
              <w:rPr>
                <w:spacing w:val="-5"/>
                <w:sz w:val="20"/>
              </w:rPr>
              <w:t> </w:t>
            </w:r>
            <w:r>
              <w:rPr>
                <w:sz w:val="20"/>
              </w:rPr>
              <w:t>y</w:t>
            </w:r>
            <w:r>
              <w:rPr>
                <w:spacing w:val="-4"/>
                <w:sz w:val="20"/>
              </w:rPr>
              <w:t> </w:t>
            </w:r>
            <w:r>
              <w:rPr>
                <w:sz w:val="20"/>
              </w:rPr>
              <w:t>cuando</w:t>
            </w:r>
            <w:r>
              <w:rPr>
                <w:spacing w:val="-5"/>
                <w:sz w:val="20"/>
              </w:rPr>
              <w:t> </w:t>
            </w:r>
            <w:r>
              <w:rPr>
                <w:sz w:val="20"/>
              </w:rPr>
              <w:t>sean</w:t>
            </w:r>
            <w:r>
              <w:rPr>
                <w:spacing w:val="-5"/>
                <w:sz w:val="20"/>
              </w:rPr>
              <w:t> </w:t>
            </w:r>
            <w:r>
              <w:rPr>
                <w:sz w:val="20"/>
              </w:rPr>
              <w:t>estudiantes de una institución de educación superior. […], que reciben el subsidio Asignación </w:t>
            </w:r>
            <w:r>
              <w:rPr>
                <w:spacing w:val="-2"/>
                <w:sz w:val="20"/>
              </w:rPr>
              <w:t>Familiar.</w:t>
            </w:r>
          </w:p>
        </w:tc>
      </w:tr>
      <w:tr>
        <w:trPr>
          <w:trHeight w:val="539" w:hRule="atLeast"/>
        </w:trPr>
        <w:tc>
          <w:tcPr>
            <w:tcW w:w="2835" w:type="dxa"/>
            <w:shd w:val="clear" w:color="auto" w:fill="DCE6F0"/>
          </w:tcPr>
          <w:p>
            <w:pPr>
              <w:pStyle w:val="TableParagraph"/>
              <w:spacing w:before="155"/>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155"/>
              <w:ind w:left="69"/>
              <w:rPr>
                <w:sz w:val="20"/>
              </w:rPr>
            </w:pPr>
            <w:r>
              <w:rPr>
                <w:spacing w:val="-2"/>
                <w:sz w:val="20"/>
              </w:rPr>
              <w:t>Cantidad</w:t>
            </w:r>
          </w:p>
        </w:tc>
      </w:tr>
      <w:tr>
        <w:trPr>
          <w:trHeight w:val="1185" w:hRule="atLeast"/>
        </w:trPr>
        <w:tc>
          <w:tcPr>
            <w:tcW w:w="2835" w:type="dxa"/>
            <w:shd w:val="clear" w:color="auto" w:fill="DCE6F0"/>
          </w:tcPr>
          <w:p>
            <w:pPr>
              <w:pStyle w:val="TableParagraph"/>
              <w:rPr>
                <w:b/>
                <w:sz w:val="20"/>
              </w:rPr>
            </w:pPr>
          </w:p>
          <w:p>
            <w:pPr>
              <w:pStyle w:val="TableParagraph"/>
              <w:spacing w:before="17"/>
              <w:rPr>
                <w:b/>
                <w:sz w:val="20"/>
              </w:rPr>
            </w:pPr>
          </w:p>
          <w:p>
            <w:pPr>
              <w:pStyle w:val="TableParagraph"/>
              <w:ind w:left="67"/>
              <w:rPr>
                <w:b/>
                <w:sz w:val="20"/>
              </w:rPr>
            </w:pPr>
            <w:r>
              <w:rPr>
                <w:b/>
                <w:spacing w:val="-2"/>
                <w:sz w:val="20"/>
              </w:rPr>
              <w:t>Interpretación:</w:t>
            </w:r>
          </w:p>
        </w:tc>
        <w:tc>
          <w:tcPr>
            <w:tcW w:w="7514" w:type="dxa"/>
          </w:tcPr>
          <w:p>
            <w:pPr>
              <w:pStyle w:val="TableParagraph"/>
              <w:spacing w:line="229" w:lineRule="exact" w:before="19"/>
              <w:ind w:left="69"/>
              <w:rPr>
                <w:sz w:val="20"/>
              </w:rPr>
            </w:pPr>
            <w:r>
              <w:rPr>
                <w:sz w:val="20"/>
              </w:rPr>
              <w:t>La</w:t>
            </w:r>
            <w:r>
              <w:rPr>
                <w:spacing w:val="-8"/>
                <w:sz w:val="20"/>
              </w:rPr>
              <w:t> </w:t>
            </w:r>
            <w:r>
              <w:rPr>
                <w:sz w:val="20"/>
              </w:rPr>
              <w:t>cantidad</w:t>
            </w:r>
            <w:r>
              <w:rPr>
                <w:spacing w:val="-8"/>
                <w:sz w:val="20"/>
              </w:rPr>
              <w:t> </w:t>
            </w:r>
            <w:r>
              <w:rPr>
                <w:sz w:val="20"/>
              </w:rPr>
              <w:t>de</w:t>
            </w:r>
            <w:r>
              <w:rPr>
                <w:spacing w:val="-7"/>
                <w:sz w:val="20"/>
              </w:rPr>
              <w:t> </w:t>
            </w:r>
            <w:r>
              <w:rPr>
                <w:sz w:val="20"/>
              </w:rPr>
              <w:t>personas</w:t>
            </w:r>
            <w:r>
              <w:rPr>
                <w:spacing w:val="-7"/>
                <w:sz w:val="20"/>
              </w:rPr>
              <w:t> </w:t>
            </w:r>
            <w:r>
              <w:rPr>
                <w:sz w:val="20"/>
              </w:rPr>
              <w:t>que</w:t>
            </w:r>
            <w:r>
              <w:rPr>
                <w:spacing w:val="-8"/>
                <w:sz w:val="20"/>
              </w:rPr>
              <w:t> </w:t>
            </w:r>
            <w:r>
              <w:rPr>
                <w:sz w:val="20"/>
              </w:rPr>
              <w:t>reciben</w:t>
            </w:r>
            <w:r>
              <w:rPr>
                <w:spacing w:val="-6"/>
                <w:sz w:val="20"/>
              </w:rPr>
              <w:t> </w:t>
            </w:r>
            <w:r>
              <w:rPr>
                <w:sz w:val="20"/>
              </w:rPr>
              <w:t>el</w:t>
            </w:r>
            <w:r>
              <w:rPr>
                <w:spacing w:val="-8"/>
                <w:sz w:val="20"/>
              </w:rPr>
              <w:t> </w:t>
            </w:r>
            <w:r>
              <w:rPr>
                <w:sz w:val="20"/>
              </w:rPr>
              <w:t>subsidio</w:t>
            </w:r>
            <w:r>
              <w:rPr>
                <w:spacing w:val="-5"/>
                <w:sz w:val="20"/>
              </w:rPr>
              <w:t> </w:t>
            </w:r>
            <w:r>
              <w:rPr>
                <w:sz w:val="20"/>
              </w:rPr>
              <w:t>de</w:t>
            </w:r>
            <w:r>
              <w:rPr>
                <w:spacing w:val="-6"/>
                <w:sz w:val="20"/>
              </w:rPr>
              <w:t> </w:t>
            </w:r>
            <w:r>
              <w:rPr>
                <w:sz w:val="20"/>
              </w:rPr>
              <w:t>Asignación</w:t>
            </w:r>
            <w:r>
              <w:rPr>
                <w:spacing w:val="-8"/>
                <w:sz w:val="20"/>
              </w:rPr>
              <w:t> </w:t>
            </w:r>
            <w:r>
              <w:rPr>
                <w:sz w:val="20"/>
              </w:rPr>
              <w:t>Familiar</w:t>
            </w:r>
            <w:r>
              <w:rPr>
                <w:spacing w:val="-7"/>
                <w:sz w:val="20"/>
              </w:rPr>
              <w:t> </w:t>
            </w:r>
            <w:r>
              <w:rPr>
                <w:sz w:val="20"/>
              </w:rPr>
              <w:t>(Inciso</w:t>
            </w:r>
            <w:r>
              <w:rPr>
                <w:spacing w:val="-6"/>
                <w:sz w:val="20"/>
              </w:rPr>
              <w:t> </w:t>
            </w:r>
            <w:r>
              <w:rPr>
                <w:spacing w:val="-5"/>
                <w:sz w:val="20"/>
              </w:rPr>
              <w:t>H),</w:t>
            </w:r>
          </w:p>
          <w:p>
            <w:pPr>
              <w:pStyle w:val="TableParagraph"/>
              <w:spacing w:line="229" w:lineRule="exact"/>
              <w:ind w:left="69"/>
              <w:rPr>
                <w:sz w:val="20"/>
              </w:rPr>
            </w:pPr>
            <w:r>
              <w:rPr>
                <w:sz w:val="20"/>
              </w:rPr>
              <w:t>en</w:t>
            </w:r>
            <w:r>
              <w:rPr>
                <w:spacing w:val="-7"/>
                <w:sz w:val="20"/>
              </w:rPr>
              <w:t> </w:t>
            </w:r>
            <w:r>
              <w:rPr>
                <w:sz w:val="20"/>
              </w:rPr>
              <w:t>“X”</w:t>
            </w:r>
            <w:r>
              <w:rPr>
                <w:spacing w:val="-4"/>
                <w:sz w:val="20"/>
              </w:rPr>
              <w:t> </w:t>
            </w:r>
            <w:r>
              <w:rPr>
                <w:sz w:val="20"/>
              </w:rPr>
              <w:t>periodo</w:t>
            </w:r>
            <w:r>
              <w:rPr>
                <w:spacing w:val="-4"/>
                <w:sz w:val="20"/>
              </w:rPr>
              <w:t> </w:t>
            </w:r>
            <w:r>
              <w:rPr>
                <w:sz w:val="20"/>
              </w:rPr>
              <w:t>es</w:t>
            </w:r>
            <w:r>
              <w:rPr>
                <w:spacing w:val="-4"/>
                <w:sz w:val="20"/>
              </w:rPr>
              <w:t> </w:t>
            </w:r>
            <w:r>
              <w:rPr>
                <w:sz w:val="20"/>
              </w:rPr>
              <w:t>de</w:t>
            </w:r>
            <w:r>
              <w:rPr>
                <w:spacing w:val="-6"/>
                <w:sz w:val="20"/>
              </w:rPr>
              <w:t> </w:t>
            </w:r>
            <w:r>
              <w:rPr>
                <w:spacing w:val="-4"/>
                <w:sz w:val="20"/>
              </w:rPr>
              <w:t>“Y”.</w:t>
            </w:r>
          </w:p>
          <w:p>
            <w:pPr>
              <w:pStyle w:val="TableParagraph"/>
              <w:spacing w:line="230" w:lineRule="atLeast"/>
              <w:ind w:left="69" w:right="92"/>
              <w:rPr>
                <w:sz w:val="20"/>
              </w:rPr>
            </w:pPr>
            <w:r>
              <w:rPr>
                <w:sz w:val="20"/>
              </w:rPr>
              <w:t>En</w:t>
            </w:r>
            <w:r>
              <w:rPr>
                <w:spacing w:val="-4"/>
                <w:sz w:val="20"/>
              </w:rPr>
              <w:t> </w:t>
            </w:r>
            <w:r>
              <w:rPr>
                <w:sz w:val="20"/>
              </w:rPr>
              <w:t>esta</w:t>
            </w:r>
            <w:r>
              <w:rPr>
                <w:spacing w:val="-4"/>
                <w:sz w:val="20"/>
              </w:rPr>
              <w:t> </w:t>
            </w:r>
            <w:r>
              <w:rPr>
                <w:sz w:val="20"/>
              </w:rPr>
              <w:t>“X”</w:t>
            </w:r>
            <w:r>
              <w:rPr>
                <w:spacing w:val="-3"/>
                <w:sz w:val="20"/>
              </w:rPr>
              <w:t> </w:t>
            </w:r>
            <w:r>
              <w:rPr>
                <w:sz w:val="20"/>
              </w:rPr>
              <w:t>representa</w:t>
            </w:r>
            <w:r>
              <w:rPr>
                <w:spacing w:val="-2"/>
                <w:sz w:val="20"/>
              </w:rPr>
              <w:t> </w:t>
            </w:r>
            <w:r>
              <w:rPr>
                <w:sz w:val="20"/>
              </w:rPr>
              <w:t>el</w:t>
            </w:r>
            <w:r>
              <w:rPr>
                <w:spacing w:val="-3"/>
                <w:sz w:val="20"/>
              </w:rPr>
              <w:t> </w:t>
            </w:r>
            <w:r>
              <w:rPr>
                <w:sz w:val="20"/>
              </w:rPr>
              <w:t>período</w:t>
            </w:r>
            <w:r>
              <w:rPr>
                <w:spacing w:val="-3"/>
                <w:sz w:val="20"/>
              </w:rPr>
              <w:t> </w:t>
            </w:r>
            <w:r>
              <w:rPr>
                <w:sz w:val="20"/>
              </w:rPr>
              <w:t>de</w:t>
            </w:r>
            <w:r>
              <w:rPr>
                <w:spacing w:val="-5"/>
                <w:sz w:val="20"/>
              </w:rPr>
              <w:t> </w:t>
            </w:r>
            <w:r>
              <w:rPr>
                <w:sz w:val="20"/>
              </w:rPr>
              <w:t>tiempo</w:t>
            </w:r>
            <w:r>
              <w:rPr>
                <w:spacing w:val="-2"/>
                <w:sz w:val="20"/>
              </w:rPr>
              <w:t> </w:t>
            </w:r>
            <w:r>
              <w:rPr>
                <w:sz w:val="20"/>
              </w:rPr>
              <w:t>según</w:t>
            </w:r>
            <w:r>
              <w:rPr>
                <w:spacing w:val="-4"/>
                <w:sz w:val="20"/>
              </w:rPr>
              <w:t> </w:t>
            </w:r>
            <w:r>
              <w:rPr>
                <w:sz w:val="20"/>
              </w:rPr>
              <w:t>la</w:t>
            </w:r>
            <w:r>
              <w:rPr>
                <w:spacing w:val="-4"/>
                <w:sz w:val="20"/>
              </w:rPr>
              <w:t> </w:t>
            </w:r>
            <w:r>
              <w:rPr>
                <w:sz w:val="20"/>
              </w:rPr>
              <w:t>frecuencia</w:t>
            </w:r>
            <w:r>
              <w:rPr>
                <w:spacing w:val="-2"/>
                <w:sz w:val="20"/>
              </w:rPr>
              <w:t> </w:t>
            </w:r>
            <w:r>
              <w:rPr>
                <w:sz w:val="20"/>
              </w:rPr>
              <w:t>de</w:t>
            </w:r>
            <w:r>
              <w:rPr>
                <w:spacing w:val="-3"/>
                <w:sz w:val="20"/>
              </w:rPr>
              <w:t> </w:t>
            </w:r>
            <w:r>
              <w:rPr>
                <w:sz w:val="20"/>
              </w:rPr>
              <w:t>medición,</w:t>
            </w:r>
            <w:r>
              <w:rPr>
                <w:spacing w:val="-4"/>
                <w:sz w:val="20"/>
              </w:rPr>
              <w:t> </w:t>
            </w:r>
            <w:r>
              <w:rPr>
                <w:sz w:val="20"/>
              </w:rPr>
              <w:t>y</w:t>
            </w:r>
            <w:r>
              <w:rPr>
                <w:spacing w:val="-3"/>
                <w:sz w:val="20"/>
              </w:rPr>
              <w:t> </w:t>
            </w:r>
            <w:r>
              <w:rPr>
                <w:sz w:val="20"/>
              </w:rPr>
              <w:t>“Y” significa la meta alcanzada a ese momento según la unidad de medida </w:t>
            </w:r>
            <w:r>
              <w:rPr>
                <w:spacing w:val="-2"/>
                <w:sz w:val="20"/>
              </w:rPr>
              <w:t>establecida.</w:t>
            </w:r>
          </w:p>
        </w:tc>
      </w:tr>
      <w:tr>
        <w:trPr>
          <w:trHeight w:val="316" w:hRule="atLeast"/>
        </w:trPr>
        <w:tc>
          <w:tcPr>
            <w:tcW w:w="2835" w:type="dxa"/>
            <w:shd w:val="clear" w:color="auto" w:fill="DCE6F0"/>
          </w:tcPr>
          <w:p>
            <w:pPr>
              <w:pStyle w:val="TableParagraph"/>
              <w:spacing w:before="42"/>
              <w:ind w:left="67"/>
              <w:rPr>
                <w:b/>
                <w:sz w:val="20"/>
              </w:rPr>
            </w:pPr>
            <w:r>
              <w:rPr>
                <w:b/>
                <w:spacing w:val="-2"/>
                <w:sz w:val="20"/>
              </w:rPr>
              <w:t>Desagregación</w:t>
            </w:r>
          </w:p>
        </w:tc>
        <w:tc>
          <w:tcPr>
            <w:tcW w:w="7514"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3" w:hRule="atLeast"/>
        </w:trPr>
        <w:tc>
          <w:tcPr>
            <w:tcW w:w="2835" w:type="dxa"/>
            <w:shd w:val="clear" w:color="auto" w:fill="DCE6F0"/>
          </w:tcPr>
          <w:p>
            <w:pPr>
              <w:pStyle w:val="TableParagraph"/>
              <w:spacing w:before="40"/>
              <w:ind w:left="67"/>
              <w:rPr>
                <w:b/>
                <w:sz w:val="20"/>
              </w:rPr>
            </w:pPr>
            <w:r>
              <w:rPr>
                <w:b/>
                <w:spacing w:val="-2"/>
                <w:sz w:val="20"/>
              </w:rPr>
              <w:t>Meta:</w:t>
            </w:r>
          </w:p>
        </w:tc>
        <w:tc>
          <w:tcPr>
            <w:tcW w:w="7514" w:type="dxa"/>
          </w:tcPr>
          <w:p>
            <w:pPr>
              <w:pStyle w:val="TableParagraph"/>
              <w:spacing w:before="40"/>
              <w:ind w:left="69"/>
              <w:rPr>
                <w:sz w:val="20"/>
              </w:rPr>
            </w:pPr>
            <w:r>
              <w:rPr>
                <w:sz w:val="20"/>
              </w:rPr>
              <w:t>4</w:t>
            </w:r>
            <w:r>
              <w:rPr>
                <w:spacing w:val="-3"/>
                <w:sz w:val="20"/>
              </w:rPr>
              <w:t> </w:t>
            </w:r>
            <w:r>
              <w:rPr>
                <w:spacing w:val="-5"/>
                <w:sz w:val="20"/>
              </w:rPr>
              <w:t>000</w:t>
            </w:r>
          </w:p>
        </w:tc>
      </w:tr>
      <w:tr>
        <w:trPr>
          <w:trHeight w:val="359" w:hRule="atLeast"/>
        </w:trPr>
        <w:tc>
          <w:tcPr>
            <w:tcW w:w="2835" w:type="dxa"/>
            <w:shd w:val="clear" w:color="auto" w:fill="DCE6F0"/>
          </w:tcPr>
          <w:p>
            <w:pPr>
              <w:pStyle w:val="TableParagraph"/>
              <w:spacing w:before="64"/>
              <w:ind w:left="67"/>
              <w:rPr>
                <w:b/>
                <w:sz w:val="20"/>
              </w:rPr>
            </w:pPr>
            <w:r>
              <w:rPr>
                <w:b/>
                <w:sz w:val="20"/>
              </w:rPr>
              <w:t>Línea</w:t>
            </w:r>
            <w:r>
              <w:rPr>
                <w:b/>
                <w:spacing w:val="-10"/>
                <w:sz w:val="20"/>
              </w:rPr>
              <w:t> </w:t>
            </w:r>
            <w:r>
              <w:rPr>
                <w:b/>
                <w:sz w:val="20"/>
              </w:rPr>
              <w:t>Base</w:t>
            </w:r>
            <w:r>
              <w:rPr>
                <w:b/>
                <w:spacing w:val="-7"/>
                <w:sz w:val="20"/>
              </w:rPr>
              <w:t> </w:t>
            </w:r>
            <w:r>
              <w:rPr>
                <w:b/>
                <w:spacing w:val="-4"/>
                <w:sz w:val="20"/>
              </w:rPr>
              <w:t>2025</w:t>
            </w:r>
          </w:p>
        </w:tc>
        <w:tc>
          <w:tcPr>
            <w:tcW w:w="7514" w:type="dxa"/>
            <w:tcBorders>
              <w:right w:val="nil"/>
            </w:tcBorders>
          </w:tcPr>
          <w:p>
            <w:pPr>
              <w:pStyle w:val="TableParagraph"/>
              <w:spacing w:line="211" w:lineRule="exact" w:before="129"/>
              <w:ind w:left="69"/>
              <w:rPr>
                <w:sz w:val="20"/>
              </w:rPr>
            </w:pPr>
            <w:r>
              <w:rPr>
                <w:sz w:val="20"/>
              </w:rPr>
              <w:t>3</w:t>
            </w:r>
            <w:r>
              <w:rPr>
                <w:spacing w:val="-3"/>
                <w:sz w:val="20"/>
              </w:rPr>
              <w:t> </w:t>
            </w:r>
            <w:r>
              <w:rPr>
                <w:spacing w:val="-5"/>
                <w:sz w:val="20"/>
              </w:rPr>
              <w:t>359</w:t>
            </w:r>
          </w:p>
        </w:tc>
      </w:tr>
      <w:tr>
        <w:trPr>
          <w:trHeight w:val="779" w:hRule="atLeast"/>
        </w:trPr>
        <w:tc>
          <w:tcPr>
            <w:tcW w:w="2835" w:type="dxa"/>
            <w:shd w:val="clear" w:color="auto" w:fill="DCE6F0"/>
          </w:tcPr>
          <w:p>
            <w:pPr>
              <w:pStyle w:val="TableParagraph"/>
              <w:spacing w:before="160"/>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45"/>
              <w:rPr>
                <w:b/>
                <w:sz w:val="20"/>
              </w:rPr>
            </w:pPr>
          </w:p>
          <w:p>
            <w:pPr>
              <w:pStyle w:val="TableParagraph"/>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835" w:type="dxa"/>
            <w:shd w:val="clear" w:color="auto" w:fill="DCE6F0"/>
          </w:tcPr>
          <w:p>
            <w:pPr>
              <w:pStyle w:val="TableParagraph"/>
              <w:spacing w:before="11"/>
              <w:rPr>
                <w:b/>
                <w:sz w:val="20"/>
              </w:rPr>
            </w:pPr>
          </w:p>
          <w:p>
            <w:pPr>
              <w:pStyle w:val="TableParagraph"/>
              <w:spacing w:before="1"/>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11"/>
              <w:rPr>
                <w:b/>
                <w:sz w:val="20"/>
              </w:rPr>
            </w:pPr>
          </w:p>
          <w:p>
            <w:pPr>
              <w:pStyle w:val="TableParagraph"/>
              <w:spacing w:before="1"/>
              <w:ind w:left="69"/>
              <w:rPr>
                <w:sz w:val="20"/>
              </w:rPr>
            </w:pPr>
            <w:r>
              <w:rPr>
                <w:sz w:val="20"/>
              </w:rPr>
              <w:t>Nombre:</w:t>
            </w:r>
            <w:r>
              <w:rPr>
                <w:spacing w:val="-10"/>
                <w:sz w:val="20"/>
              </w:rPr>
              <w:t> </w:t>
            </w:r>
            <w:r>
              <w:rPr>
                <w:sz w:val="20"/>
              </w:rPr>
              <w:t>Raquel</w:t>
            </w:r>
            <w:r>
              <w:rPr>
                <w:spacing w:val="-11"/>
                <w:sz w:val="20"/>
              </w:rPr>
              <w:t> </w:t>
            </w:r>
            <w:r>
              <w:rPr>
                <w:sz w:val="20"/>
              </w:rPr>
              <w:t>Quesada</w:t>
            </w:r>
            <w:r>
              <w:rPr>
                <w:spacing w:val="-9"/>
                <w:sz w:val="20"/>
              </w:rPr>
              <w:t> </w:t>
            </w:r>
            <w:r>
              <w:rPr>
                <w:spacing w:val="-2"/>
                <w:sz w:val="20"/>
              </w:rPr>
              <w:t>Jiménez.</w:t>
            </w:r>
          </w:p>
          <w:p>
            <w:pPr>
              <w:pStyle w:val="TableParagraph"/>
              <w:ind w:left="69"/>
              <w:rPr>
                <w:sz w:val="20"/>
              </w:rPr>
            </w:pPr>
            <w:r>
              <w:rPr>
                <w:sz w:val="20"/>
              </w:rPr>
              <w:t>Cargo:</w:t>
            </w:r>
            <w:r>
              <w:rPr>
                <w:spacing w:val="-10"/>
                <w:sz w:val="20"/>
              </w:rPr>
              <w:t> </w:t>
            </w:r>
            <w:r>
              <w:rPr>
                <w:sz w:val="20"/>
              </w:rPr>
              <w:t>Jefatura,</w:t>
            </w:r>
            <w:r>
              <w:rPr>
                <w:spacing w:val="-10"/>
                <w:sz w:val="20"/>
              </w:rPr>
              <w:t> </w:t>
            </w:r>
            <w:r>
              <w:rPr>
                <w:sz w:val="20"/>
              </w:rPr>
              <w:t>Departamento</w:t>
            </w:r>
            <w:r>
              <w:rPr>
                <w:spacing w:val="-9"/>
                <w:sz w:val="20"/>
              </w:rPr>
              <w:t> </w:t>
            </w:r>
            <w:r>
              <w:rPr>
                <w:sz w:val="20"/>
              </w:rPr>
              <w:t>de</w:t>
            </w:r>
            <w:r>
              <w:rPr>
                <w:spacing w:val="-9"/>
                <w:sz w:val="20"/>
              </w:rPr>
              <w:t> </w:t>
            </w:r>
            <w:r>
              <w:rPr>
                <w:sz w:val="20"/>
              </w:rPr>
              <w:t>Bienestar</w:t>
            </w:r>
            <w:r>
              <w:rPr>
                <w:spacing w:val="-10"/>
                <w:sz w:val="20"/>
              </w:rPr>
              <w:t> </w:t>
            </w:r>
            <w:r>
              <w:rPr>
                <w:spacing w:val="-2"/>
                <w:sz w:val="20"/>
              </w:rPr>
              <w:t>Familiar</w:t>
            </w:r>
          </w:p>
        </w:tc>
      </w:tr>
      <w:tr>
        <w:trPr>
          <w:trHeight w:val="945" w:hRule="atLeast"/>
        </w:trPr>
        <w:tc>
          <w:tcPr>
            <w:tcW w:w="2835" w:type="dxa"/>
            <w:shd w:val="clear" w:color="auto" w:fill="DCE6F0"/>
          </w:tcPr>
          <w:p>
            <w:pPr>
              <w:pStyle w:val="TableParagraph"/>
              <w:spacing w:before="11"/>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27"/>
              <w:rPr>
                <w:b/>
                <w:sz w:val="20"/>
              </w:rPr>
            </w:pPr>
          </w:p>
          <w:p>
            <w:pPr>
              <w:pStyle w:val="TableParagraph"/>
              <w:ind w:left="69"/>
              <w:rPr>
                <w:sz w:val="20"/>
              </w:rPr>
            </w:pPr>
            <w:r>
              <w:rPr>
                <w:sz w:val="20"/>
              </w:rPr>
              <w:t>Dirección</w:t>
            </w:r>
            <w:r>
              <w:rPr>
                <w:spacing w:val="-9"/>
                <w:sz w:val="20"/>
              </w:rPr>
              <w:t> </w:t>
            </w:r>
            <w:r>
              <w:rPr>
                <w:sz w:val="20"/>
              </w:rPr>
              <w:t>de</w:t>
            </w:r>
            <w:r>
              <w:rPr>
                <w:spacing w:val="-9"/>
                <w:sz w:val="20"/>
              </w:rPr>
              <w:t> </w:t>
            </w:r>
            <w:r>
              <w:rPr>
                <w:sz w:val="20"/>
              </w:rPr>
              <w:t>Desarrollo</w:t>
            </w:r>
            <w:r>
              <w:rPr>
                <w:spacing w:val="-8"/>
                <w:sz w:val="20"/>
              </w:rPr>
              <w:t> </w:t>
            </w:r>
            <w:r>
              <w:rPr>
                <w:sz w:val="20"/>
              </w:rPr>
              <w:t>Social,</w:t>
            </w:r>
            <w:r>
              <w:rPr>
                <w:spacing w:val="-9"/>
                <w:sz w:val="20"/>
              </w:rPr>
              <w:t> </w:t>
            </w:r>
            <w:r>
              <w:rPr>
                <w:sz w:val="20"/>
              </w:rPr>
              <w:t>Departamento</w:t>
            </w:r>
            <w:r>
              <w:rPr>
                <w:spacing w:val="-8"/>
                <w:sz w:val="20"/>
              </w:rPr>
              <w:t> </w:t>
            </w:r>
            <w:r>
              <w:rPr>
                <w:sz w:val="20"/>
              </w:rPr>
              <w:t>de</w:t>
            </w:r>
            <w:r>
              <w:rPr>
                <w:spacing w:val="-9"/>
                <w:sz w:val="20"/>
              </w:rPr>
              <w:t> </w:t>
            </w:r>
            <w:r>
              <w:rPr>
                <w:sz w:val="20"/>
              </w:rPr>
              <w:t>Bienestar</w:t>
            </w:r>
            <w:r>
              <w:rPr>
                <w:spacing w:val="-11"/>
                <w:sz w:val="20"/>
              </w:rPr>
              <w:t> </w:t>
            </w:r>
            <w:r>
              <w:rPr>
                <w:spacing w:val="-2"/>
                <w:sz w:val="20"/>
              </w:rPr>
              <w:t>Familiar</w:t>
            </w:r>
          </w:p>
        </w:tc>
      </w:tr>
      <w:tr>
        <w:trPr>
          <w:trHeight w:val="316" w:hRule="atLeast"/>
        </w:trPr>
        <w:tc>
          <w:tcPr>
            <w:tcW w:w="2835" w:type="dxa"/>
            <w:shd w:val="clear" w:color="auto" w:fill="DCE6F0"/>
          </w:tcPr>
          <w:p>
            <w:pPr>
              <w:pStyle w:val="TableParagraph"/>
              <w:spacing w:before="42"/>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42"/>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599" w:hRule="atLeast"/>
        </w:trPr>
        <w:tc>
          <w:tcPr>
            <w:tcW w:w="2835" w:type="dxa"/>
            <w:shd w:val="clear" w:color="auto" w:fill="DCE6F0"/>
          </w:tcPr>
          <w:p>
            <w:pPr>
              <w:pStyle w:val="TableParagraph"/>
              <w:spacing w:before="184"/>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69"/>
              <w:ind w:left="69"/>
              <w:rPr>
                <w:sz w:val="20"/>
              </w:rPr>
            </w:pPr>
            <w:r>
              <w:rPr>
                <w:sz w:val="20"/>
              </w:rPr>
              <w:t>Informes</w:t>
            </w:r>
            <w:r>
              <w:rPr>
                <w:spacing w:val="-5"/>
                <w:sz w:val="20"/>
              </w:rPr>
              <w:t> </w:t>
            </w:r>
            <w:r>
              <w:rPr>
                <w:sz w:val="20"/>
              </w:rPr>
              <w:t>del</w:t>
            </w:r>
            <w:r>
              <w:rPr>
                <w:spacing w:val="-6"/>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6"/>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899" w:hRule="atLeast"/>
        </w:trPr>
        <w:tc>
          <w:tcPr>
            <w:tcW w:w="2835" w:type="dxa"/>
            <w:shd w:val="clear" w:color="auto" w:fill="DCE6F0"/>
          </w:tcPr>
          <w:p>
            <w:pPr>
              <w:pStyle w:val="TableParagraph"/>
              <w:spacing w:before="103"/>
              <w:rPr>
                <w:b/>
                <w:sz w:val="20"/>
              </w:rPr>
            </w:pPr>
          </w:p>
          <w:p>
            <w:pPr>
              <w:pStyle w:val="TableParagraph"/>
              <w:ind w:left="67"/>
              <w:rPr>
                <w:b/>
                <w:sz w:val="20"/>
              </w:rPr>
            </w:pPr>
            <w:r>
              <w:rPr>
                <w:b/>
                <w:spacing w:val="-2"/>
                <w:sz w:val="20"/>
              </w:rPr>
              <w:t>Clasificación</w:t>
            </w:r>
          </w:p>
        </w:tc>
        <w:tc>
          <w:tcPr>
            <w:tcW w:w="7514" w:type="dxa"/>
          </w:tcPr>
          <w:p>
            <w:pPr>
              <w:pStyle w:val="TableParagraph"/>
              <w:spacing w:before="103"/>
              <w:rPr>
                <w:b/>
                <w:sz w:val="20"/>
              </w:rPr>
            </w:pPr>
          </w:p>
          <w:p>
            <w:pPr>
              <w:pStyle w:val="TableParagraph"/>
              <w:ind w:left="69"/>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5"/>
                <w:sz w:val="20"/>
              </w:rPr>
              <w:t> </w:t>
            </w:r>
            <w:r>
              <w:rPr>
                <w:sz w:val="20"/>
              </w:rPr>
              <w:t>Producto</w:t>
            </w:r>
            <w:r>
              <w:rPr>
                <w:spacing w:val="-8"/>
                <w:sz w:val="20"/>
              </w:rPr>
              <w:t> </w:t>
            </w:r>
            <w:r>
              <w:rPr>
                <w:spacing w:val="-5"/>
                <w:sz w:val="20"/>
              </w:rPr>
              <w:t>(X)</w:t>
            </w:r>
          </w:p>
        </w:tc>
      </w:tr>
      <w:tr>
        <w:trPr>
          <w:trHeight w:val="600" w:hRule="atLeast"/>
        </w:trPr>
        <w:tc>
          <w:tcPr>
            <w:tcW w:w="2835" w:type="dxa"/>
            <w:shd w:val="clear" w:color="auto" w:fill="DCE6F0"/>
          </w:tcPr>
          <w:p>
            <w:pPr>
              <w:pStyle w:val="TableParagraph"/>
              <w:spacing w:before="185"/>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ind w:left="69"/>
              <w:rPr>
                <w:sz w:val="20"/>
              </w:rPr>
            </w:pPr>
            <w:r>
              <w:rPr>
                <w:sz w:val="20"/>
              </w:rPr>
              <w:t>En</w:t>
            </w:r>
            <w:r>
              <w:rPr>
                <w:spacing w:val="-5"/>
                <w:sz w:val="20"/>
              </w:rPr>
              <w:t> </w:t>
            </w:r>
            <w:r>
              <w:rPr>
                <w:sz w:val="20"/>
              </w:rPr>
              <w:t>el</w:t>
            </w:r>
            <w:r>
              <w:rPr>
                <w:spacing w:val="-4"/>
                <w:sz w:val="20"/>
              </w:rPr>
              <w:t> </w:t>
            </w:r>
            <w:r>
              <w:rPr>
                <w:sz w:val="20"/>
              </w:rPr>
              <w:t>SABEN</w:t>
            </w:r>
            <w:r>
              <w:rPr>
                <w:spacing w:val="-5"/>
                <w:sz w:val="20"/>
              </w:rPr>
              <w:t> </w:t>
            </w:r>
            <w:r>
              <w:rPr>
                <w:sz w:val="20"/>
              </w:rPr>
              <w:t>se</w:t>
            </w:r>
            <w:r>
              <w:rPr>
                <w:spacing w:val="-5"/>
                <w:sz w:val="20"/>
              </w:rPr>
              <w:t> </w:t>
            </w:r>
            <w:r>
              <w:rPr>
                <w:sz w:val="20"/>
              </w:rPr>
              <w:t>define</w:t>
            </w:r>
            <w:r>
              <w:rPr>
                <w:spacing w:val="-6"/>
                <w:sz w:val="20"/>
              </w:rPr>
              <w:t> </w:t>
            </w:r>
            <w:r>
              <w:rPr>
                <w:sz w:val="20"/>
              </w:rPr>
              <w:t>como</w:t>
            </w:r>
            <w:r>
              <w:rPr>
                <w:spacing w:val="-4"/>
                <w:sz w:val="20"/>
              </w:rPr>
              <w:t> </w:t>
            </w:r>
            <w:r>
              <w:rPr>
                <w:sz w:val="20"/>
              </w:rPr>
              <w:t>personas</w:t>
            </w:r>
            <w:r>
              <w:rPr>
                <w:spacing w:val="-4"/>
                <w:sz w:val="20"/>
              </w:rPr>
              <w:t> </w:t>
            </w:r>
            <w:r>
              <w:rPr>
                <w:sz w:val="20"/>
              </w:rPr>
              <w:t>receptoras</w:t>
            </w:r>
            <w:r>
              <w:rPr>
                <w:spacing w:val="-2"/>
                <w:sz w:val="20"/>
              </w:rPr>
              <w:t> </w:t>
            </w:r>
            <w:r>
              <w:rPr>
                <w:sz w:val="20"/>
              </w:rPr>
              <w:t>a</w:t>
            </w:r>
            <w:r>
              <w:rPr>
                <w:spacing w:val="-3"/>
                <w:sz w:val="20"/>
              </w:rPr>
              <w:t> </w:t>
            </w:r>
            <w:r>
              <w:rPr>
                <w:sz w:val="20"/>
              </w:rPr>
              <w:t>las</w:t>
            </w:r>
            <w:r>
              <w:rPr>
                <w:spacing w:val="-4"/>
                <w:sz w:val="20"/>
              </w:rPr>
              <w:t> </w:t>
            </w:r>
            <w:r>
              <w:rPr>
                <w:sz w:val="20"/>
              </w:rPr>
              <w:t>personas</w:t>
            </w:r>
            <w:r>
              <w:rPr>
                <w:spacing w:val="-2"/>
                <w:sz w:val="20"/>
              </w:rPr>
              <w:t> </w:t>
            </w:r>
            <w:r>
              <w:rPr>
                <w:sz w:val="20"/>
              </w:rPr>
              <w:t>que</w:t>
            </w:r>
            <w:r>
              <w:rPr>
                <w:spacing w:val="-3"/>
                <w:sz w:val="20"/>
              </w:rPr>
              <w:t> </w:t>
            </w:r>
            <w:r>
              <w:rPr>
                <w:sz w:val="20"/>
              </w:rPr>
              <w:t>al</w:t>
            </w:r>
            <w:r>
              <w:rPr>
                <w:spacing w:val="-4"/>
                <w:sz w:val="20"/>
              </w:rPr>
              <w:t> </w:t>
            </w:r>
            <w:r>
              <w:rPr>
                <w:sz w:val="20"/>
              </w:rPr>
              <w:t>menos hayan recibido un mes el subsidio.</w:t>
            </w:r>
          </w:p>
        </w:tc>
      </w:tr>
    </w:tbl>
    <w:p>
      <w:pPr>
        <w:pStyle w:val="TableParagraph"/>
        <w:spacing w:after="0"/>
        <w:rPr>
          <w:sz w:val="20"/>
        </w:rPr>
        <w:sectPr>
          <w:pgSz w:w="12240" w:h="15840"/>
          <w:pgMar w:header="0" w:footer="2404" w:top="1400" w:bottom="3385"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460" w:hRule="atLeast"/>
        </w:trPr>
        <w:tc>
          <w:tcPr>
            <w:tcW w:w="2835" w:type="dxa"/>
            <w:shd w:val="clear" w:color="auto" w:fill="DCE6F0"/>
          </w:tcPr>
          <w:p>
            <w:pPr>
              <w:pStyle w:val="TableParagraph"/>
              <w:spacing w:before="115"/>
              <w:ind w:left="67"/>
              <w:rPr>
                <w:b/>
                <w:sz w:val="20"/>
              </w:rPr>
            </w:pPr>
            <w:r>
              <w:rPr>
                <w:b/>
                <w:sz w:val="20"/>
              </w:rPr>
              <w:t>PPPS</w:t>
            </w:r>
            <w:r>
              <w:rPr>
                <w:b/>
                <w:spacing w:val="-6"/>
                <w:sz w:val="20"/>
              </w:rPr>
              <w:t> </w:t>
            </w:r>
            <w:r>
              <w:rPr>
                <w:b/>
                <w:spacing w:val="-2"/>
                <w:sz w:val="20"/>
              </w:rPr>
              <w:t>1.1.3:</w:t>
            </w:r>
          </w:p>
        </w:tc>
        <w:tc>
          <w:tcPr>
            <w:tcW w:w="7514" w:type="dxa"/>
          </w:tcPr>
          <w:p>
            <w:pPr>
              <w:pStyle w:val="TableParagraph"/>
              <w:spacing w:line="230" w:lineRule="exact"/>
              <w:ind w:left="69"/>
              <w:rPr>
                <w:sz w:val="20"/>
              </w:rPr>
            </w:pPr>
            <w:r>
              <w:rPr>
                <w:sz w:val="20"/>
              </w:rPr>
              <w:t>Nombre</w:t>
            </w:r>
            <w:r>
              <w:rPr>
                <w:spacing w:val="-3"/>
                <w:sz w:val="20"/>
              </w:rPr>
              <w:t> </w:t>
            </w:r>
            <w:r>
              <w:rPr>
                <w:sz w:val="20"/>
              </w:rPr>
              <w:t>del</w:t>
            </w:r>
            <w:r>
              <w:rPr>
                <w:spacing w:val="-6"/>
                <w:sz w:val="20"/>
              </w:rPr>
              <w:t> </w:t>
            </w:r>
            <w:r>
              <w:rPr>
                <w:sz w:val="20"/>
              </w:rPr>
              <w:t>Indicador:</w:t>
            </w:r>
            <w:r>
              <w:rPr>
                <w:spacing w:val="-5"/>
                <w:sz w:val="20"/>
              </w:rPr>
              <w:t> </w:t>
            </w:r>
            <w:r>
              <w:rPr>
                <w:sz w:val="20"/>
              </w:rPr>
              <w:t>Cantidad</w:t>
            </w:r>
            <w:r>
              <w:rPr>
                <w:spacing w:val="-5"/>
                <w:sz w:val="20"/>
              </w:rPr>
              <w:t> </w:t>
            </w:r>
            <w:r>
              <w:rPr>
                <w:sz w:val="20"/>
              </w:rPr>
              <w:t>de</w:t>
            </w:r>
            <w:r>
              <w:rPr>
                <w:spacing w:val="-3"/>
                <w:sz w:val="20"/>
              </w:rPr>
              <w:t> </w:t>
            </w:r>
            <w:r>
              <w:rPr>
                <w:sz w:val="20"/>
              </w:rPr>
              <w:t>personas</w:t>
            </w:r>
            <w:r>
              <w:rPr>
                <w:spacing w:val="-4"/>
                <w:sz w:val="20"/>
              </w:rPr>
              <w:t> </w:t>
            </w:r>
            <w:r>
              <w:rPr>
                <w:sz w:val="20"/>
              </w:rPr>
              <w:t>que</w:t>
            </w:r>
            <w:r>
              <w:rPr>
                <w:spacing w:val="-5"/>
                <w:sz w:val="20"/>
              </w:rPr>
              <w:t> </w:t>
            </w:r>
            <w:r>
              <w:rPr>
                <w:sz w:val="20"/>
              </w:rPr>
              <w:t>reciben</w:t>
            </w:r>
            <w:r>
              <w:rPr>
                <w:spacing w:val="-6"/>
                <w:sz w:val="20"/>
              </w:rPr>
              <w:t> </w:t>
            </w:r>
            <w:r>
              <w:rPr>
                <w:sz w:val="20"/>
              </w:rPr>
              <w:t>el</w:t>
            </w:r>
            <w:r>
              <w:rPr>
                <w:spacing w:val="-6"/>
                <w:sz w:val="20"/>
              </w:rPr>
              <w:t> </w:t>
            </w:r>
            <w:r>
              <w:rPr>
                <w:sz w:val="20"/>
              </w:rPr>
              <w:t>subsidio</w:t>
            </w:r>
            <w:r>
              <w:rPr>
                <w:spacing w:val="-5"/>
                <w:sz w:val="20"/>
              </w:rPr>
              <w:t> </w:t>
            </w:r>
            <w:r>
              <w:rPr>
                <w:sz w:val="20"/>
              </w:rPr>
              <w:t>de</w:t>
            </w:r>
            <w:r>
              <w:rPr>
                <w:spacing w:val="-3"/>
                <w:sz w:val="20"/>
              </w:rPr>
              <w:t> </w:t>
            </w:r>
            <w:r>
              <w:rPr>
                <w:sz w:val="20"/>
              </w:rPr>
              <w:t>Prestación </w:t>
            </w:r>
            <w:r>
              <w:rPr>
                <w:spacing w:val="-2"/>
                <w:sz w:val="20"/>
              </w:rPr>
              <w:t>Alimentaria.</w:t>
            </w:r>
          </w:p>
        </w:tc>
      </w:tr>
      <w:tr>
        <w:trPr>
          <w:trHeight w:val="299" w:hRule="atLeast"/>
        </w:trPr>
        <w:tc>
          <w:tcPr>
            <w:tcW w:w="2835" w:type="dxa"/>
            <w:shd w:val="clear" w:color="auto" w:fill="DCE6F0"/>
          </w:tcPr>
          <w:p>
            <w:pPr>
              <w:pStyle w:val="TableParagraph"/>
              <w:spacing w:before="35"/>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before="35"/>
              <w:ind w:left="69"/>
              <w:rPr>
                <w:sz w:val="20"/>
              </w:rPr>
            </w:pPr>
            <w:r>
              <w:rPr>
                <w:sz w:val="20"/>
              </w:rPr>
              <w:t>Sumatoria</w:t>
            </w:r>
            <w:r>
              <w:rPr>
                <w:spacing w:val="-7"/>
                <w:sz w:val="20"/>
              </w:rPr>
              <w:t> </w:t>
            </w:r>
            <w:r>
              <w:rPr>
                <w:sz w:val="20"/>
              </w:rPr>
              <w:t>de</w:t>
            </w:r>
            <w:r>
              <w:rPr>
                <w:spacing w:val="-7"/>
                <w:sz w:val="20"/>
              </w:rPr>
              <w:t> </w:t>
            </w:r>
            <w:r>
              <w:rPr>
                <w:sz w:val="20"/>
              </w:rPr>
              <w:t>personas</w:t>
            </w:r>
            <w:r>
              <w:rPr>
                <w:spacing w:val="-6"/>
                <w:sz w:val="20"/>
              </w:rPr>
              <w:t> </w:t>
            </w:r>
            <w:r>
              <w:rPr>
                <w:sz w:val="20"/>
              </w:rPr>
              <w:t>que</w:t>
            </w:r>
            <w:r>
              <w:rPr>
                <w:spacing w:val="-7"/>
                <w:sz w:val="20"/>
              </w:rPr>
              <w:t> </w:t>
            </w:r>
            <w:r>
              <w:rPr>
                <w:sz w:val="20"/>
              </w:rPr>
              <w:t>reciben</w:t>
            </w:r>
            <w:r>
              <w:rPr>
                <w:spacing w:val="-7"/>
                <w:sz w:val="20"/>
              </w:rPr>
              <w:t> </w:t>
            </w:r>
            <w:r>
              <w:rPr>
                <w:sz w:val="20"/>
              </w:rPr>
              <w:t>el</w:t>
            </w:r>
            <w:r>
              <w:rPr>
                <w:spacing w:val="-8"/>
                <w:sz w:val="20"/>
              </w:rPr>
              <w:t> </w:t>
            </w:r>
            <w:r>
              <w:rPr>
                <w:sz w:val="20"/>
              </w:rPr>
              <w:t>subsidio</w:t>
            </w:r>
            <w:r>
              <w:rPr>
                <w:spacing w:val="-7"/>
                <w:sz w:val="20"/>
              </w:rPr>
              <w:t> </w:t>
            </w:r>
            <w:r>
              <w:rPr>
                <w:sz w:val="20"/>
              </w:rPr>
              <w:t>de</w:t>
            </w:r>
            <w:r>
              <w:rPr>
                <w:spacing w:val="-6"/>
                <w:sz w:val="20"/>
              </w:rPr>
              <w:t> </w:t>
            </w:r>
            <w:r>
              <w:rPr>
                <w:sz w:val="20"/>
              </w:rPr>
              <w:t>Prestación</w:t>
            </w:r>
            <w:r>
              <w:rPr>
                <w:spacing w:val="-6"/>
                <w:sz w:val="20"/>
              </w:rPr>
              <w:t> </w:t>
            </w:r>
            <w:r>
              <w:rPr>
                <w:spacing w:val="-2"/>
                <w:sz w:val="20"/>
              </w:rPr>
              <w:t>Alimentaria.</w:t>
            </w:r>
          </w:p>
        </w:tc>
      </w:tr>
      <w:tr>
        <w:trPr>
          <w:trHeight w:val="302" w:hRule="atLeast"/>
        </w:trPr>
        <w:tc>
          <w:tcPr>
            <w:tcW w:w="2835" w:type="dxa"/>
            <w:shd w:val="clear" w:color="auto" w:fill="DCE6F0"/>
          </w:tcPr>
          <w:p>
            <w:pPr>
              <w:pStyle w:val="TableParagraph"/>
              <w:spacing w:before="35"/>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35"/>
              <w:ind w:left="69"/>
              <w:rPr>
                <w:sz w:val="20"/>
              </w:rPr>
            </w:pPr>
            <w:r>
              <w:rPr>
                <w:spacing w:val="-2"/>
                <w:sz w:val="20"/>
              </w:rPr>
              <w:t>Cantidad</w:t>
            </w:r>
          </w:p>
        </w:tc>
      </w:tr>
      <w:tr>
        <w:trPr>
          <w:trHeight w:val="1149" w:hRule="atLeast"/>
        </w:trPr>
        <w:tc>
          <w:tcPr>
            <w:tcW w:w="2835" w:type="dxa"/>
            <w:shd w:val="clear" w:color="auto" w:fill="DCE6F0"/>
          </w:tcPr>
          <w:p>
            <w:pPr>
              <w:pStyle w:val="TableParagraph"/>
              <w:spacing w:before="227"/>
              <w:rPr>
                <w:b/>
                <w:sz w:val="20"/>
              </w:rPr>
            </w:pPr>
          </w:p>
          <w:p>
            <w:pPr>
              <w:pStyle w:val="TableParagraph"/>
              <w:spacing w:before="1"/>
              <w:ind w:left="67"/>
              <w:rPr>
                <w:b/>
                <w:sz w:val="20"/>
              </w:rPr>
            </w:pPr>
            <w:r>
              <w:rPr>
                <w:b/>
                <w:spacing w:val="-2"/>
                <w:sz w:val="20"/>
              </w:rPr>
              <w:t>Interpretación:</w:t>
            </w:r>
          </w:p>
        </w:tc>
        <w:tc>
          <w:tcPr>
            <w:tcW w:w="7514" w:type="dxa"/>
          </w:tcPr>
          <w:p>
            <w:pPr>
              <w:pStyle w:val="TableParagraph"/>
              <w:spacing w:line="228" w:lineRule="exact"/>
              <w:ind w:left="69"/>
              <w:rPr>
                <w:sz w:val="20"/>
              </w:rPr>
            </w:pPr>
            <w:r>
              <w:rPr>
                <w:sz w:val="20"/>
              </w:rPr>
              <w:t>La</w:t>
            </w:r>
            <w:r>
              <w:rPr>
                <w:spacing w:val="-9"/>
                <w:sz w:val="20"/>
              </w:rPr>
              <w:t> </w:t>
            </w:r>
            <w:r>
              <w:rPr>
                <w:sz w:val="20"/>
              </w:rPr>
              <w:t>cantidad</w:t>
            </w:r>
            <w:r>
              <w:rPr>
                <w:spacing w:val="-9"/>
                <w:sz w:val="20"/>
              </w:rPr>
              <w:t> </w:t>
            </w:r>
            <w:r>
              <w:rPr>
                <w:sz w:val="20"/>
              </w:rPr>
              <w:t>de</w:t>
            </w:r>
            <w:r>
              <w:rPr>
                <w:spacing w:val="-8"/>
                <w:sz w:val="20"/>
              </w:rPr>
              <w:t> </w:t>
            </w:r>
            <w:r>
              <w:rPr>
                <w:sz w:val="20"/>
              </w:rPr>
              <w:t>personas</w:t>
            </w:r>
            <w:r>
              <w:rPr>
                <w:spacing w:val="-8"/>
                <w:sz w:val="20"/>
              </w:rPr>
              <w:t> </w:t>
            </w:r>
            <w:r>
              <w:rPr>
                <w:sz w:val="20"/>
              </w:rPr>
              <w:t>que</w:t>
            </w:r>
            <w:r>
              <w:rPr>
                <w:spacing w:val="-9"/>
                <w:sz w:val="20"/>
              </w:rPr>
              <w:t> </w:t>
            </w:r>
            <w:r>
              <w:rPr>
                <w:sz w:val="20"/>
              </w:rPr>
              <w:t>reciben</w:t>
            </w:r>
            <w:r>
              <w:rPr>
                <w:spacing w:val="-7"/>
                <w:sz w:val="20"/>
              </w:rPr>
              <w:t> </w:t>
            </w:r>
            <w:r>
              <w:rPr>
                <w:sz w:val="20"/>
              </w:rPr>
              <w:t>el</w:t>
            </w:r>
            <w:r>
              <w:rPr>
                <w:spacing w:val="-9"/>
                <w:sz w:val="20"/>
              </w:rPr>
              <w:t> </w:t>
            </w:r>
            <w:r>
              <w:rPr>
                <w:sz w:val="20"/>
              </w:rPr>
              <w:t>subsidio</w:t>
            </w:r>
            <w:r>
              <w:rPr>
                <w:spacing w:val="-6"/>
                <w:sz w:val="20"/>
              </w:rPr>
              <w:t> </w:t>
            </w:r>
            <w:r>
              <w:rPr>
                <w:sz w:val="20"/>
              </w:rPr>
              <w:t>Prestación</w:t>
            </w:r>
            <w:r>
              <w:rPr>
                <w:spacing w:val="-6"/>
                <w:sz w:val="20"/>
              </w:rPr>
              <w:t> </w:t>
            </w:r>
            <w:r>
              <w:rPr>
                <w:sz w:val="20"/>
              </w:rPr>
              <w:t>Alimentaria</w:t>
            </w:r>
            <w:r>
              <w:rPr>
                <w:spacing w:val="-7"/>
                <w:sz w:val="20"/>
              </w:rPr>
              <w:t> </w:t>
            </w:r>
            <w:r>
              <w:rPr>
                <w:sz w:val="20"/>
              </w:rPr>
              <w:t>(Inciso</w:t>
            </w:r>
            <w:r>
              <w:rPr>
                <w:spacing w:val="-6"/>
                <w:sz w:val="20"/>
              </w:rPr>
              <w:t> </w:t>
            </w:r>
            <w:r>
              <w:rPr>
                <w:spacing w:val="-5"/>
                <w:sz w:val="20"/>
              </w:rPr>
              <w:t>K),</w:t>
            </w:r>
          </w:p>
          <w:p>
            <w:pPr>
              <w:pStyle w:val="TableParagraph"/>
              <w:spacing w:line="229" w:lineRule="exact"/>
              <w:ind w:left="69"/>
              <w:rPr>
                <w:sz w:val="20"/>
              </w:rPr>
            </w:pPr>
            <w:r>
              <w:rPr>
                <w:sz w:val="20"/>
              </w:rPr>
              <w:t>en</w:t>
            </w:r>
            <w:r>
              <w:rPr>
                <w:spacing w:val="-6"/>
                <w:sz w:val="20"/>
              </w:rPr>
              <w:t> </w:t>
            </w:r>
            <w:r>
              <w:rPr>
                <w:sz w:val="20"/>
              </w:rPr>
              <w:t>“X”</w:t>
            </w:r>
            <w:r>
              <w:rPr>
                <w:spacing w:val="-4"/>
                <w:sz w:val="20"/>
              </w:rPr>
              <w:t> </w:t>
            </w:r>
            <w:r>
              <w:rPr>
                <w:sz w:val="20"/>
              </w:rPr>
              <w:t>período</w:t>
            </w:r>
            <w:r>
              <w:rPr>
                <w:spacing w:val="-5"/>
                <w:sz w:val="20"/>
              </w:rPr>
              <w:t> </w:t>
            </w:r>
            <w:r>
              <w:rPr>
                <w:sz w:val="20"/>
              </w:rPr>
              <w:t>es</w:t>
            </w:r>
            <w:r>
              <w:rPr>
                <w:spacing w:val="-5"/>
                <w:sz w:val="20"/>
              </w:rPr>
              <w:t> </w:t>
            </w:r>
            <w:r>
              <w:rPr>
                <w:sz w:val="20"/>
              </w:rPr>
              <w:t>de</w:t>
            </w:r>
            <w:r>
              <w:rPr>
                <w:spacing w:val="-5"/>
                <w:sz w:val="20"/>
              </w:rPr>
              <w:t> </w:t>
            </w:r>
            <w:r>
              <w:rPr>
                <w:spacing w:val="-4"/>
                <w:sz w:val="20"/>
              </w:rPr>
              <w:t>“Y”.</w:t>
            </w:r>
          </w:p>
          <w:p>
            <w:pPr>
              <w:pStyle w:val="TableParagraph"/>
              <w:spacing w:line="230" w:lineRule="atLeast"/>
              <w:ind w:left="69" w:right="93"/>
              <w:rPr>
                <w:sz w:val="20"/>
              </w:rPr>
            </w:pPr>
            <w:r>
              <w:rPr>
                <w:sz w:val="20"/>
              </w:rPr>
              <w:t>En</w:t>
            </w:r>
            <w:r>
              <w:rPr>
                <w:spacing w:val="-4"/>
                <w:sz w:val="20"/>
              </w:rPr>
              <w:t> </w:t>
            </w:r>
            <w:r>
              <w:rPr>
                <w:sz w:val="20"/>
              </w:rPr>
              <w:t>esta</w:t>
            </w:r>
            <w:r>
              <w:rPr>
                <w:spacing w:val="-4"/>
                <w:sz w:val="20"/>
              </w:rPr>
              <w:t> </w:t>
            </w:r>
            <w:r>
              <w:rPr>
                <w:sz w:val="20"/>
              </w:rPr>
              <w:t>“X”</w:t>
            </w:r>
            <w:r>
              <w:rPr>
                <w:spacing w:val="-4"/>
                <w:sz w:val="20"/>
              </w:rPr>
              <w:t> </w:t>
            </w:r>
            <w:r>
              <w:rPr>
                <w:sz w:val="20"/>
              </w:rPr>
              <w:t>representa</w:t>
            </w:r>
            <w:r>
              <w:rPr>
                <w:spacing w:val="-2"/>
                <w:sz w:val="20"/>
              </w:rPr>
              <w:t> </w:t>
            </w:r>
            <w:r>
              <w:rPr>
                <w:sz w:val="20"/>
              </w:rPr>
              <w:t>el</w:t>
            </w:r>
            <w:r>
              <w:rPr>
                <w:spacing w:val="-3"/>
                <w:sz w:val="20"/>
              </w:rPr>
              <w:t> </w:t>
            </w:r>
            <w:r>
              <w:rPr>
                <w:sz w:val="20"/>
              </w:rPr>
              <w:t>período</w:t>
            </w:r>
            <w:r>
              <w:rPr>
                <w:spacing w:val="-3"/>
                <w:sz w:val="20"/>
              </w:rPr>
              <w:t> </w:t>
            </w:r>
            <w:r>
              <w:rPr>
                <w:sz w:val="20"/>
              </w:rPr>
              <w:t>de</w:t>
            </w:r>
            <w:r>
              <w:rPr>
                <w:spacing w:val="-5"/>
                <w:sz w:val="20"/>
              </w:rPr>
              <w:t> </w:t>
            </w:r>
            <w:r>
              <w:rPr>
                <w:sz w:val="20"/>
              </w:rPr>
              <w:t>tiempo</w:t>
            </w:r>
            <w:r>
              <w:rPr>
                <w:spacing w:val="-2"/>
                <w:sz w:val="20"/>
              </w:rPr>
              <w:t> </w:t>
            </w:r>
            <w:r>
              <w:rPr>
                <w:sz w:val="20"/>
              </w:rPr>
              <w:t>según</w:t>
            </w:r>
            <w:r>
              <w:rPr>
                <w:spacing w:val="-4"/>
                <w:sz w:val="20"/>
              </w:rPr>
              <w:t> </w:t>
            </w:r>
            <w:r>
              <w:rPr>
                <w:sz w:val="20"/>
              </w:rPr>
              <w:t>la</w:t>
            </w:r>
            <w:r>
              <w:rPr>
                <w:spacing w:val="-4"/>
                <w:sz w:val="20"/>
              </w:rPr>
              <w:t> </w:t>
            </w:r>
            <w:r>
              <w:rPr>
                <w:sz w:val="20"/>
              </w:rPr>
              <w:t>frecuencia</w:t>
            </w:r>
            <w:r>
              <w:rPr>
                <w:spacing w:val="-2"/>
                <w:sz w:val="20"/>
              </w:rPr>
              <w:t> </w:t>
            </w:r>
            <w:r>
              <w:rPr>
                <w:sz w:val="20"/>
              </w:rPr>
              <w:t>de</w:t>
            </w:r>
            <w:r>
              <w:rPr>
                <w:spacing w:val="-3"/>
                <w:sz w:val="20"/>
              </w:rPr>
              <w:t> </w:t>
            </w:r>
            <w:r>
              <w:rPr>
                <w:sz w:val="20"/>
              </w:rPr>
              <w:t>medición,</w:t>
            </w:r>
            <w:r>
              <w:rPr>
                <w:spacing w:val="-4"/>
                <w:sz w:val="20"/>
              </w:rPr>
              <w:t> </w:t>
            </w:r>
            <w:r>
              <w:rPr>
                <w:sz w:val="20"/>
              </w:rPr>
              <w:t>y</w:t>
            </w:r>
            <w:r>
              <w:rPr>
                <w:spacing w:val="-3"/>
                <w:sz w:val="20"/>
              </w:rPr>
              <w:t> </w:t>
            </w:r>
            <w:r>
              <w:rPr>
                <w:sz w:val="20"/>
              </w:rPr>
              <w:t>“Y” significa la meta alcanzada a ese momento según la unidad de medida </w:t>
            </w:r>
            <w:r>
              <w:rPr>
                <w:spacing w:val="-2"/>
                <w:sz w:val="20"/>
              </w:rPr>
              <w:t>establecida.</w:t>
            </w:r>
          </w:p>
        </w:tc>
      </w:tr>
      <w:tr>
        <w:trPr>
          <w:trHeight w:val="299" w:hRule="atLeast"/>
        </w:trPr>
        <w:tc>
          <w:tcPr>
            <w:tcW w:w="2835" w:type="dxa"/>
            <w:shd w:val="clear" w:color="auto" w:fill="DCE6F0"/>
          </w:tcPr>
          <w:p>
            <w:pPr>
              <w:pStyle w:val="TableParagraph"/>
              <w:spacing w:before="35"/>
              <w:ind w:left="67"/>
              <w:rPr>
                <w:b/>
                <w:sz w:val="20"/>
              </w:rPr>
            </w:pPr>
            <w:r>
              <w:rPr>
                <w:b/>
                <w:spacing w:val="-2"/>
                <w:sz w:val="20"/>
              </w:rPr>
              <w:t>Desagregación</w:t>
            </w:r>
          </w:p>
        </w:tc>
        <w:tc>
          <w:tcPr>
            <w:tcW w:w="7514" w:type="dxa"/>
          </w:tcPr>
          <w:p>
            <w:pPr>
              <w:pStyle w:val="TableParagraph"/>
              <w:spacing w:before="35"/>
              <w:ind w:left="69"/>
              <w:rPr>
                <w:sz w:val="20"/>
              </w:rPr>
            </w:pPr>
            <w:r>
              <w:rPr>
                <w:sz w:val="20"/>
              </w:rPr>
              <w:t>No</w:t>
            </w:r>
            <w:r>
              <w:rPr>
                <w:spacing w:val="-5"/>
                <w:sz w:val="20"/>
              </w:rPr>
              <w:t> </w:t>
            </w:r>
            <w:r>
              <w:rPr>
                <w:spacing w:val="-2"/>
                <w:sz w:val="20"/>
              </w:rPr>
              <w:t>aplica.</w:t>
            </w:r>
          </w:p>
        </w:tc>
      </w:tr>
      <w:tr>
        <w:trPr>
          <w:trHeight w:val="299" w:hRule="atLeast"/>
        </w:trPr>
        <w:tc>
          <w:tcPr>
            <w:tcW w:w="2835" w:type="dxa"/>
            <w:shd w:val="clear" w:color="auto" w:fill="DCE6F0"/>
          </w:tcPr>
          <w:p>
            <w:pPr>
              <w:pStyle w:val="TableParagraph"/>
              <w:spacing w:before="35"/>
              <w:ind w:left="67"/>
              <w:rPr>
                <w:b/>
                <w:sz w:val="20"/>
              </w:rPr>
            </w:pPr>
            <w:r>
              <w:rPr>
                <w:b/>
                <w:spacing w:val="-2"/>
                <w:sz w:val="20"/>
              </w:rPr>
              <w:t>Meta:</w:t>
            </w:r>
          </w:p>
        </w:tc>
        <w:tc>
          <w:tcPr>
            <w:tcW w:w="7514" w:type="dxa"/>
          </w:tcPr>
          <w:p>
            <w:pPr>
              <w:pStyle w:val="TableParagraph"/>
              <w:spacing w:before="35"/>
              <w:ind w:left="69"/>
              <w:rPr>
                <w:sz w:val="20"/>
              </w:rPr>
            </w:pPr>
            <w:r>
              <w:rPr>
                <w:spacing w:val="-5"/>
                <w:sz w:val="20"/>
              </w:rPr>
              <w:t>550</w:t>
            </w:r>
          </w:p>
        </w:tc>
      </w:tr>
      <w:tr>
        <w:trPr>
          <w:trHeight w:val="299" w:hRule="atLeast"/>
        </w:trPr>
        <w:tc>
          <w:tcPr>
            <w:tcW w:w="2835" w:type="dxa"/>
            <w:shd w:val="clear" w:color="auto" w:fill="DCE6F0"/>
          </w:tcPr>
          <w:p>
            <w:pPr>
              <w:pStyle w:val="TableParagraph"/>
              <w:spacing w:before="35"/>
              <w:ind w:left="67"/>
              <w:rPr>
                <w:b/>
                <w:sz w:val="20"/>
              </w:rPr>
            </w:pPr>
            <w:r>
              <w:rPr>
                <w:b/>
                <w:sz w:val="20"/>
              </w:rPr>
              <w:t>Línea</w:t>
            </w:r>
            <w:r>
              <w:rPr>
                <w:b/>
                <w:spacing w:val="-10"/>
                <w:sz w:val="20"/>
              </w:rPr>
              <w:t> </w:t>
            </w:r>
            <w:r>
              <w:rPr>
                <w:b/>
                <w:sz w:val="20"/>
              </w:rPr>
              <w:t>Base</w:t>
            </w:r>
            <w:r>
              <w:rPr>
                <w:b/>
                <w:spacing w:val="-7"/>
                <w:sz w:val="20"/>
              </w:rPr>
              <w:t> </w:t>
            </w:r>
            <w:r>
              <w:rPr>
                <w:b/>
                <w:spacing w:val="-4"/>
                <w:sz w:val="20"/>
              </w:rPr>
              <w:t>2025</w:t>
            </w:r>
          </w:p>
        </w:tc>
        <w:tc>
          <w:tcPr>
            <w:tcW w:w="7514" w:type="dxa"/>
          </w:tcPr>
          <w:p>
            <w:pPr>
              <w:pStyle w:val="TableParagraph"/>
              <w:spacing w:line="211" w:lineRule="exact" w:before="69"/>
              <w:ind w:left="69"/>
              <w:rPr>
                <w:sz w:val="20"/>
              </w:rPr>
            </w:pPr>
            <w:r>
              <w:rPr>
                <w:spacing w:val="-5"/>
                <w:sz w:val="20"/>
              </w:rPr>
              <w:t>495</w:t>
            </w:r>
          </w:p>
        </w:tc>
      </w:tr>
      <w:tr>
        <w:trPr>
          <w:trHeight w:val="511" w:hRule="atLeast"/>
        </w:trPr>
        <w:tc>
          <w:tcPr>
            <w:tcW w:w="2835" w:type="dxa"/>
            <w:shd w:val="clear" w:color="auto" w:fill="DCE6F0"/>
          </w:tcPr>
          <w:p>
            <w:pPr>
              <w:pStyle w:val="TableParagraph"/>
              <w:spacing w:before="2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141"/>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510" w:hRule="atLeast"/>
        </w:trPr>
        <w:tc>
          <w:tcPr>
            <w:tcW w:w="2835" w:type="dxa"/>
            <w:shd w:val="clear" w:color="auto" w:fill="DCE6F0"/>
          </w:tcPr>
          <w:p>
            <w:pPr>
              <w:pStyle w:val="TableParagraph"/>
              <w:spacing w:before="26"/>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line="229" w:lineRule="exact" w:before="26"/>
              <w:ind w:left="69"/>
              <w:rPr>
                <w:sz w:val="20"/>
              </w:rPr>
            </w:pPr>
            <w:r>
              <w:rPr>
                <w:sz w:val="20"/>
              </w:rPr>
              <w:t>Nombre:</w:t>
            </w:r>
            <w:r>
              <w:rPr>
                <w:spacing w:val="-10"/>
                <w:sz w:val="20"/>
              </w:rPr>
              <w:t> </w:t>
            </w:r>
            <w:r>
              <w:rPr>
                <w:sz w:val="20"/>
              </w:rPr>
              <w:t>Raquel</w:t>
            </w:r>
            <w:r>
              <w:rPr>
                <w:spacing w:val="-11"/>
                <w:sz w:val="20"/>
              </w:rPr>
              <w:t> </w:t>
            </w:r>
            <w:r>
              <w:rPr>
                <w:sz w:val="20"/>
              </w:rPr>
              <w:t>Quesada</w:t>
            </w:r>
            <w:r>
              <w:rPr>
                <w:spacing w:val="-9"/>
                <w:sz w:val="20"/>
              </w:rPr>
              <w:t> </w:t>
            </w:r>
            <w:r>
              <w:rPr>
                <w:spacing w:val="-2"/>
                <w:sz w:val="20"/>
              </w:rPr>
              <w:t>Jiménez.</w:t>
            </w:r>
          </w:p>
          <w:p>
            <w:pPr>
              <w:pStyle w:val="TableParagraph"/>
              <w:spacing w:line="229" w:lineRule="exact"/>
              <w:ind w:left="69"/>
              <w:rPr>
                <w:sz w:val="20"/>
              </w:rPr>
            </w:pPr>
            <w:r>
              <w:rPr>
                <w:sz w:val="20"/>
              </w:rPr>
              <w:t>Cargo:</w:t>
            </w:r>
            <w:r>
              <w:rPr>
                <w:spacing w:val="-10"/>
                <w:sz w:val="20"/>
              </w:rPr>
              <w:t> </w:t>
            </w:r>
            <w:r>
              <w:rPr>
                <w:sz w:val="20"/>
              </w:rPr>
              <w:t>Jefatura,</w:t>
            </w:r>
            <w:r>
              <w:rPr>
                <w:spacing w:val="-10"/>
                <w:sz w:val="20"/>
              </w:rPr>
              <w:t> </w:t>
            </w:r>
            <w:r>
              <w:rPr>
                <w:sz w:val="20"/>
              </w:rPr>
              <w:t>Departamento</w:t>
            </w:r>
            <w:r>
              <w:rPr>
                <w:spacing w:val="-9"/>
                <w:sz w:val="20"/>
              </w:rPr>
              <w:t> </w:t>
            </w:r>
            <w:r>
              <w:rPr>
                <w:sz w:val="20"/>
              </w:rPr>
              <w:t>de</w:t>
            </w:r>
            <w:r>
              <w:rPr>
                <w:spacing w:val="-9"/>
                <w:sz w:val="20"/>
              </w:rPr>
              <w:t> </w:t>
            </w:r>
            <w:r>
              <w:rPr>
                <w:sz w:val="20"/>
              </w:rPr>
              <w:t>Bienestar</w:t>
            </w:r>
            <w:r>
              <w:rPr>
                <w:spacing w:val="-10"/>
                <w:sz w:val="20"/>
              </w:rPr>
              <w:t> </w:t>
            </w:r>
            <w:r>
              <w:rPr>
                <w:spacing w:val="-2"/>
                <w:sz w:val="20"/>
              </w:rPr>
              <w:t>Familiar</w:t>
            </w:r>
          </w:p>
        </w:tc>
      </w:tr>
      <w:tr>
        <w:trPr>
          <w:trHeight w:val="508" w:hRule="atLeast"/>
        </w:trPr>
        <w:tc>
          <w:tcPr>
            <w:tcW w:w="2835" w:type="dxa"/>
            <w:shd w:val="clear" w:color="auto" w:fill="DCE6F0"/>
          </w:tcPr>
          <w:p>
            <w:pPr>
              <w:pStyle w:val="TableParagraph"/>
              <w:spacing w:before="23"/>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38"/>
              <w:ind w:left="69"/>
              <w:rPr>
                <w:sz w:val="20"/>
              </w:rPr>
            </w:pPr>
            <w:r>
              <w:rPr>
                <w:sz w:val="20"/>
              </w:rPr>
              <w:t>Dirección</w:t>
            </w:r>
            <w:r>
              <w:rPr>
                <w:spacing w:val="-9"/>
                <w:sz w:val="20"/>
              </w:rPr>
              <w:t> </w:t>
            </w:r>
            <w:r>
              <w:rPr>
                <w:sz w:val="20"/>
              </w:rPr>
              <w:t>de</w:t>
            </w:r>
            <w:r>
              <w:rPr>
                <w:spacing w:val="-9"/>
                <w:sz w:val="20"/>
              </w:rPr>
              <w:t> </w:t>
            </w:r>
            <w:r>
              <w:rPr>
                <w:sz w:val="20"/>
              </w:rPr>
              <w:t>Desarrollo</w:t>
            </w:r>
            <w:r>
              <w:rPr>
                <w:spacing w:val="-8"/>
                <w:sz w:val="20"/>
              </w:rPr>
              <w:t> </w:t>
            </w:r>
            <w:r>
              <w:rPr>
                <w:sz w:val="20"/>
              </w:rPr>
              <w:t>Social,</w:t>
            </w:r>
            <w:r>
              <w:rPr>
                <w:spacing w:val="-9"/>
                <w:sz w:val="20"/>
              </w:rPr>
              <w:t> </w:t>
            </w:r>
            <w:r>
              <w:rPr>
                <w:sz w:val="20"/>
              </w:rPr>
              <w:t>Departamento</w:t>
            </w:r>
            <w:r>
              <w:rPr>
                <w:spacing w:val="-8"/>
                <w:sz w:val="20"/>
              </w:rPr>
              <w:t> </w:t>
            </w:r>
            <w:r>
              <w:rPr>
                <w:sz w:val="20"/>
              </w:rPr>
              <w:t>de</w:t>
            </w:r>
            <w:r>
              <w:rPr>
                <w:spacing w:val="-9"/>
                <w:sz w:val="20"/>
              </w:rPr>
              <w:t> </w:t>
            </w:r>
            <w:r>
              <w:rPr>
                <w:sz w:val="20"/>
              </w:rPr>
              <w:t>Bienestar</w:t>
            </w:r>
            <w:r>
              <w:rPr>
                <w:spacing w:val="-11"/>
                <w:sz w:val="20"/>
              </w:rPr>
              <w:t> </w:t>
            </w:r>
            <w:r>
              <w:rPr>
                <w:spacing w:val="-2"/>
                <w:sz w:val="20"/>
              </w:rPr>
              <w:t>Familiar</w:t>
            </w:r>
          </w:p>
        </w:tc>
      </w:tr>
      <w:tr>
        <w:trPr>
          <w:trHeight w:val="301" w:hRule="atLeast"/>
        </w:trPr>
        <w:tc>
          <w:tcPr>
            <w:tcW w:w="2835" w:type="dxa"/>
            <w:shd w:val="clear" w:color="auto" w:fill="DCE6F0"/>
          </w:tcPr>
          <w:p>
            <w:pPr>
              <w:pStyle w:val="TableParagraph"/>
              <w:spacing w:before="35"/>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35"/>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765" w:hRule="atLeast"/>
        </w:trPr>
        <w:tc>
          <w:tcPr>
            <w:tcW w:w="2835" w:type="dxa"/>
            <w:shd w:val="clear" w:color="auto" w:fill="DCE6F0"/>
          </w:tcPr>
          <w:p>
            <w:pPr>
              <w:pStyle w:val="TableParagraph"/>
              <w:spacing w:before="35"/>
              <w:rPr>
                <w:b/>
                <w:sz w:val="20"/>
              </w:rPr>
            </w:pPr>
          </w:p>
          <w:p>
            <w:pPr>
              <w:pStyle w:val="TableParagraph"/>
              <w:spacing w:before="1"/>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150"/>
              <w:ind w:left="69"/>
              <w:rPr>
                <w:sz w:val="20"/>
              </w:rPr>
            </w:pPr>
            <w:r>
              <w:rPr>
                <w:sz w:val="20"/>
              </w:rPr>
              <w:t>Informes</w:t>
            </w:r>
            <w:r>
              <w:rPr>
                <w:spacing w:val="-5"/>
                <w:sz w:val="20"/>
              </w:rPr>
              <w:t> </w:t>
            </w:r>
            <w:r>
              <w:rPr>
                <w:sz w:val="20"/>
              </w:rPr>
              <w:t>del</w:t>
            </w:r>
            <w:r>
              <w:rPr>
                <w:spacing w:val="-6"/>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6"/>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1034" w:hRule="atLeast"/>
        </w:trPr>
        <w:tc>
          <w:tcPr>
            <w:tcW w:w="2835" w:type="dxa"/>
            <w:shd w:val="clear" w:color="auto" w:fill="DCE6F0"/>
          </w:tcPr>
          <w:p>
            <w:pPr>
              <w:pStyle w:val="TableParagraph"/>
              <w:spacing w:before="170"/>
              <w:rPr>
                <w:b/>
                <w:sz w:val="20"/>
              </w:rPr>
            </w:pPr>
          </w:p>
          <w:p>
            <w:pPr>
              <w:pStyle w:val="TableParagraph"/>
              <w:ind w:left="67"/>
              <w:rPr>
                <w:b/>
                <w:sz w:val="20"/>
              </w:rPr>
            </w:pPr>
            <w:r>
              <w:rPr>
                <w:b/>
                <w:spacing w:val="-2"/>
                <w:sz w:val="20"/>
              </w:rPr>
              <w:t>Clasificación</w:t>
            </w:r>
          </w:p>
        </w:tc>
        <w:tc>
          <w:tcPr>
            <w:tcW w:w="7514" w:type="dxa"/>
          </w:tcPr>
          <w:p>
            <w:pPr>
              <w:pStyle w:val="TableParagraph"/>
              <w:spacing w:before="170"/>
              <w:rPr>
                <w:b/>
                <w:sz w:val="20"/>
              </w:rPr>
            </w:pPr>
          </w:p>
          <w:p>
            <w:pPr>
              <w:pStyle w:val="TableParagraph"/>
              <w:ind w:left="69"/>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5"/>
                <w:sz w:val="20"/>
              </w:rPr>
              <w:t> </w:t>
            </w:r>
            <w:r>
              <w:rPr>
                <w:sz w:val="20"/>
              </w:rPr>
              <w:t>Producto</w:t>
            </w:r>
            <w:r>
              <w:rPr>
                <w:spacing w:val="-8"/>
                <w:sz w:val="20"/>
              </w:rPr>
              <w:t> </w:t>
            </w:r>
            <w:r>
              <w:rPr>
                <w:spacing w:val="-5"/>
                <w:sz w:val="20"/>
              </w:rPr>
              <w:t>(X)</w:t>
            </w:r>
          </w:p>
        </w:tc>
      </w:tr>
      <w:tr>
        <w:trPr>
          <w:trHeight w:val="825" w:hRule="atLeast"/>
        </w:trPr>
        <w:tc>
          <w:tcPr>
            <w:tcW w:w="2835" w:type="dxa"/>
            <w:shd w:val="clear" w:color="auto" w:fill="DCE6F0"/>
          </w:tcPr>
          <w:p>
            <w:pPr>
              <w:pStyle w:val="TableParagraph"/>
              <w:spacing w:before="67"/>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spacing w:before="182"/>
              <w:ind w:left="69"/>
              <w:rPr>
                <w:sz w:val="20"/>
              </w:rPr>
            </w:pPr>
            <w:r>
              <w:rPr>
                <w:sz w:val="20"/>
              </w:rPr>
              <w:t>En</w:t>
            </w:r>
            <w:r>
              <w:rPr>
                <w:spacing w:val="-5"/>
                <w:sz w:val="20"/>
              </w:rPr>
              <w:t> </w:t>
            </w:r>
            <w:r>
              <w:rPr>
                <w:sz w:val="20"/>
              </w:rPr>
              <w:t>el</w:t>
            </w:r>
            <w:r>
              <w:rPr>
                <w:spacing w:val="-4"/>
                <w:sz w:val="20"/>
              </w:rPr>
              <w:t> </w:t>
            </w:r>
            <w:r>
              <w:rPr>
                <w:sz w:val="20"/>
              </w:rPr>
              <w:t>SABEN</w:t>
            </w:r>
            <w:r>
              <w:rPr>
                <w:spacing w:val="-5"/>
                <w:sz w:val="20"/>
              </w:rPr>
              <w:t> </w:t>
            </w:r>
            <w:r>
              <w:rPr>
                <w:sz w:val="20"/>
              </w:rPr>
              <w:t>se</w:t>
            </w:r>
            <w:r>
              <w:rPr>
                <w:spacing w:val="-5"/>
                <w:sz w:val="20"/>
              </w:rPr>
              <w:t> </w:t>
            </w:r>
            <w:r>
              <w:rPr>
                <w:sz w:val="20"/>
              </w:rPr>
              <w:t>define</w:t>
            </w:r>
            <w:r>
              <w:rPr>
                <w:spacing w:val="-6"/>
                <w:sz w:val="20"/>
              </w:rPr>
              <w:t> </w:t>
            </w:r>
            <w:r>
              <w:rPr>
                <w:sz w:val="20"/>
              </w:rPr>
              <w:t>como</w:t>
            </w:r>
            <w:r>
              <w:rPr>
                <w:spacing w:val="-5"/>
                <w:sz w:val="20"/>
              </w:rPr>
              <w:t> </w:t>
            </w:r>
            <w:r>
              <w:rPr>
                <w:sz w:val="20"/>
              </w:rPr>
              <w:t>personas</w:t>
            </w:r>
            <w:r>
              <w:rPr>
                <w:spacing w:val="-4"/>
                <w:sz w:val="20"/>
              </w:rPr>
              <w:t> </w:t>
            </w:r>
            <w:r>
              <w:rPr>
                <w:sz w:val="20"/>
              </w:rPr>
              <w:t>receptoras</w:t>
            </w:r>
            <w:r>
              <w:rPr>
                <w:spacing w:val="-4"/>
                <w:sz w:val="20"/>
              </w:rPr>
              <w:t> </w:t>
            </w:r>
            <w:r>
              <w:rPr>
                <w:sz w:val="20"/>
              </w:rPr>
              <w:t>a</w:t>
            </w:r>
            <w:r>
              <w:rPr>
                <w:spacing w:val="-3"/>
                <w:sz w:val="20"/>
              </w:rPr>
              <w:t> </w:t>
            </w:r>
            <w:r>
              <w:rPr>
                <w:sz w:val="20"/>
              </w:rPr>
              <w:t>las</w:t>
            </w:r>
            <w:r>
              <w:rPr>
                <w:spacing w:val="-4"/>
                <w:sz w:val="20"/>
              </w:rPr>
              <w:t> </w:t>
            </w:r>
            <w:r>
              <w:rPr>
                <w:sz w:val="20"/>
              </w:rPr>
              <w:t>personas</w:t>
            </w:r>
            <w:r>
              <w:rPr>
                <w:spacing w:val="-2"/>
                <w:sz w:val="20"/>
              </w:rPr>
              <w:t> </w:t>
            </w:r>
            <w:r>
              <w:rPr>
                <w:sz w:val="20"/>
              </w:rPr>
              <w:t>que</w:t>
            </w:r>
            <w:r>
              <w:rPr>
                <w:spacing w:val="-3"/>
                <w:sz w:val="20"/>
              </w:rPr>
              <w:t> </w:t>
            </w:r>
            <w:r>
              <w:rPr>
                <w:sz w:val="20"/>
              </w:rPr>
              <w:t>al</w:t>
            </w:r>
            <w:r>
              <w:rPr>
                <w:spacing w:val="-4"/>
                <w:sz w:val="20"/>
              </w:rPr>
              <w:t> </w:t>
            </w:r>
            <w:r>
              <w:rPr>
                <w:sz w:val="20"/>
              </w:rPr>
              <w:t>menos hayan recibido un mes el subsidio.</w:t>
            </w:r>
          </w:p>
        </w:tc>
      </w:tr>
    </w:tbl>
    <w:p>
      <w:pPr>
        <w:pStyle w:val="TableParagraph"/>
        <w:spacing w:after="0"/>
        <w:rPr>
          <w:sz w:val="20"/>
        </w:rPr>
        <w:sectPr>
          <w:type w:val="continuous"/>
          <w:pgSz w:w="12240" w:h="15840"/>
          <w:pgMar w:header="0" w:footer="2404" w:top="1580" w:bottom="2600"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460" w:hRule="atLeast"/>
        </w:trPr>
        <w:tc>
          <w:tcPr>
            <w:tcW w:w="2835" w:type="dxa"/>
            <w:shd w:val="clear" w:color="auto" w:fill="DCE6F0"/>
          </w:tcPr>
          <w:p>
            <w:pPr>
              <w:pStyle w:val="TableParagraph"/>
              <w:spacing w:before="115"/>
              <w:ind w:left="67"/>
              <w:rPr>
                <w:b/>
                <w:sz w:val="20"/>
              </w:rPr>
            </w:pPr>
            <w:r>
              <w:rPr>
                <w:b/>
                <w:sz w:val="20"/>
              </w:rPr>
              <w:t>PPPS</w:t>
            </w:r>
            <w:r>
              <w:rPr>
                <w:b/>
                <w:spacing w:val="-6"/>
                <w:sz w:val="20"/>
              </w:rPr>
              <w:t> </w:t>
            </w:r>
            <w:r>
              <w:rPr>
                <w:b/>
                <w:spacing w:val="-2"/>
                <w:sz w:val="20"/>
              </w:rPr>
              <w:t>1.1.4:</w:t>
            </w:r>
          </w:p>
        </w:tc>
        <w:tc>
          <w:tcPr>
            <w:tcW w:w="7514" w:type="dxa"/>
          </w:tcPr>
          <w:p>
            <w:pPr>
              <w:pStyle w:val="TableParagraph"/>
              <w:spacing w:line="230" w:lineRule="exact"/>
              <w:ind w:left="69"/>
              <w:rPr>
                <w:sz w:val="20"/>
              </w:rPr>
            </w:pPr>
            <w:r>
              <w:rPr>
                <w:sz w:val="20"/>
              </w:rPr>
              <w:t>Nombre</w:t>
            </w:r>
            <w:r>
              <w:rPr>
                <w:spacing w:val="-3"/>
                <w:sz w:val="20"/>
              </w:rPr>
              <w:t> </w:t>
            </w:r>
            <w:r>
              <w:rPr>
                <w:sz w:val="20"/>
              </w:rPr>
              <w:t>del</w:t>
            </w:r>
            <w:r>
              <w:rPr>
                <w:spacing w:val="-6"/>
                <w:sz w:val="20"/>
              </w:rPr>
              <w:t> </w:t>
            </w:r>
            <w:r>
              <w:rPr>
                <w:sz w:val="20"/>
              </w:rPr>
              <w:t>Indicador:</w:t>
            </w:r>
            <w:r>
              <w:rPr>
                <w:spacing w:val="-5"/>
                <w:sz w:val="20"/>
              </w:rPr>
              <w:t> </w:t>
            </w:r>
            <w:r>
              <w:rPr>
                <w:sz w:val="20"/>
              </w:rPr>
              <w:t>Cantidad</w:t>
            </w:r>
            <w:r>
              <w:rPr>
                <w:spacing w:val="-5"/>
                <w:sz w:val="20"/>
              </w:rPr>
              <w:t> </w:t>
            </w:r>
            <w:r>
              <w:rPr>
                <w:sz w:val="20"/>
              </w:rPr>
              <w:t>de</w:t>
            </w:r>
            <w:r>
              <w:rPr>
                <w:spacing w:val="-3"/>
                <w:sz w:val="20"/>
              </w:rPr>
              <w:t> </w:t>
            </w:r>
            <w:r>
              <w:rPr>
                <w:sz w:val="20"/>
              </w:rPr>
              <w:t>hogares</w:t>
            </w:r>
            <w:r>
              <w:rPr>
                <w:spacing w:val="-4"/>
                <w:sz w:val="20"/>
              </w:rPr>
              <w:t> </w:t>
            </w:r>
            <w:r>
              <w:rPr>
                <w:sz w:val="20"/>
              </w:rPr>
              <w:t>que</w:t>
            </w:r>
            <w:r>
              <w:rPr>
                <w:spacing w:val="-6"/>
                <w:sz w:val="20"/>
              </w:rPr>
              <w:t> </w:t>
            </w:r>
            <w:r>
              <w:rPr>
                <w:sz w:val="20"/>
              </w:rPr>
              <w:t>reciben</w:t>
            </w:r>
            <w:r>
              <w:rPr>
                <w:spacing w:val="-5"/>
                <w:sz w:val="20"/>
              </w:rPr>
              <w:t> </w:t>
            </w:r>
            <w:r>
              <w:rPr>
                <w:sz w:val="20"/>
              </w:rPr>
              <w:t>el</w:t>
            </w:r>
            <w:r>
              <w:rPr>
                <w:spacing w:val="-4"/>
                <w:sz w:val="20"/>
              </w:rPr>
              <w:t> </w:t>
            </w:r>
            <w:r>
              <w:rPr>
                <w:sz w:val="20"/>
              </w:rPr>
              <w:t>subsidio</w:t>
            </w:r>
            <w:r>
              <w:rPr>
                <w:spacing w:val="-3"/>
                <w:sz w:val="20"/>
              </w:rPr>
              <w:t> </w:t>
            </w:r>
            <w:r>
              <w:rPr>
                <w:sz w:val="20"/>
              </w:rPr>
              <w:t>Atención</w:t>
            </w:r>
            <w:r>
              <w:rPr>
                <w:spacing w:val="-5"/>
                <w:sz w:val="20"/>
              </w:rPr>
              <w:t> </w:t>
            </w:r>
            <w:r>
              <w:rPr>
                <w:sz w:val="20"/>
              </w:rPr>
              <w:t>de Situaciones de Violencia.</w:t>
            </w:r>
          </w:p>
        </w:tc>
      </w:tr>
      <w:tr>
        <w:trPr>
          <w:trHeight w:val="460" w:hRule="atLeast"/>
        </w:trPr>
        <w:tc>
          <w:tcPr>
            <w:tcW w:w="2835" w:type="dxa"/>
            <w:shd w:val="clear" w:color="auto" w:fill="DCE6F0"/>
          </w:tcPr>
          <w:p>
            <w:pPr>
              <w:pStyle w:val="TableParagraph"/>
              <w:spacing w:before="114"/>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line="230" w:lineRule="exact"/>
              <w:ind w:left="69" w:right="170"/>
              <w:rPr>
                <w:sz w:val="20"/>
              </w:rPr>
            </w:pPr>
            <w:r>
              <w:rPr>
                <w:sz w:val="20"/>
              </w:rPr>
              <w:t>Sumatoria</w:t>
            </w:r>
            <w:r>
              <w:rPr>
                <w:spacing w:val="-6"/>
                <w:sz w:val="20"/>
              </w:rPr>
              <w:t> </w:t>
            </w:r>
            <w:r>
              <w:rPr>
                <w:sz w:val="20"/>
              </w:rPr>
              <w:t>de</w:t>
            </w:r>
            <w:r>
              <w:rPr>
                <w:spacing w:val="-6"/>
                <w:sz w:val="20"/>
              </w:rPr>
              <w:t> </w:t>
            </w:r>
            <w:r>
              <w:rPr>
                <w:sz w:val="20"/>
              </w:rPr>
              <w:t>hogares</w:t>
            </w:r>
            <w:r>
              <w:rPr>
                <w:spacing w:val="-3"/>
                <w:sz w:val="20"/>
              </w:rPr>
              <w:t> </w:t>
            </w:r>
            <w:r>
              <w:rPr>
                <w:sz w:val="20"/>
              </w:rPr>
              <w:t>que</w:t>
            </w:r>
            <w:r>
              <w:rPr>
                <w:spacing w:val="-4"/>
                <w:sz w:val="20"/>
              </w:rPr>
              <w:t> </w:t>
            </w:r>
            <w:r>
              <w:rPr>
                <w:sz w:val="20"/>
              </w:rPr>
              <w:t>reciben</w:t>
            </w:r>
            <w:r>
              <w:rPr>
                <w:spacing w:val="-4"/>
                <w:sz w:val="20"/>
              </w:rPr>
              <w:t> </w:t>
            </w:r>
            <w:r>
              <w:rPr>
                <w:sz w:val="20"/>
              </w:rPr>
              <w:t>el</w:t>
            </w:r>
            <w:r>
              <w:rPr>
                <w:spacing w:val="-5"/>
                <w:sz w:val="20"/>
              </w:rPr>
              <w:t> </w:t>
            </w:r>
            <w:r>
              <w:rPr>
                <w:sz w:val="20"/>
              </w:rPr>
              <w:t>subsidio</w:t>
            </w:r>
            <w:r>
              <w:rPr>
                <w:spacing w:val="-4"/>
                <w:sz w:val="20"/>
              </w:rPr>
              <w:t> </w:t>
            </w:r>
            <w:r>
              <w:rPr>
                <w:sz w:val="20"/>
              </w:rPr>
              <w:t>Atención</w:t>
            </w:r>
            <w:r>
              <w:rPr>
                <w:spacing w:val="-6"/>
                <w:sz w:val="20"/>
              </w:rPr>
              <w:t> </w:t>
            </w:r>
            <w:r>
              <w:rPr>
                <w:sz w:val="20"/>
              </w:rPr>
              <w:t>de</w:t>
            </w:r>
            <w:r>
              <w:rPr>
                <w:spacing w:val="-4"/>
                <w:sz w:val="20"/>
              </w:rPr>
              <w:t> </w:t>
            </w:r>
            <w:r>
              <w:rPr>
                <w:sz w:val="20"/>
              </w:rPr>
              <w:t>Situaciones</w:t>
            </w:r>
            <w:r>
              <w:rPr>
                <w:spacing w:val="-5"/>
                <w:sz w:val="20"/>
              </w:rPr>
              <w:t> </w:t>
            </w:r>
            <w:r>
              <w:rPr>
                <w:sz w:val="20"/>
              </w:rPr>
              <w:t>de </w:t>
            </w:r>
            <w:r>
              <w:rPr>
                <w:spacing w:val="-2"/>
                <w:sz w:val="20"/>
              </w:rPr>
              <w:t>Violencia.</w:t>
            </w:r>
          </w:p>
        </w:tc>
      </w:tr>
      <w:tr>
        <w:trPr>
          <w:trHeight w:val="316" w:hRule="atLeast"/>
        </w:trPr>
        <w:tc>
          <w:tcPr>
            <w:tcW w:w="2835" w:type="dxa"/>
            <w:shd w:val="clear" w:color="auto" w:fill="DCE6F0"/>
          </w:tcPr>
          <w:p>
            <w:pPr>
              <w:pStyle w:val="TableParagraph"/>
              <w:spacing w:before="42"/>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42"/>
              <w:ind w:left="69"/>
              <w:rPr>
                <w:sz w:val="20"/>
              </w:rPr>
            </w:pPr>
            <w:r>
              <w:rPr>
                <w:spacing w:val="-2"/>
                <w:sz w:val="20"/>
              </w:rPr>
              <w:t>Cantidad</w:t>
            </w:r>
          </w:p>
        </w:tc>
      </w:tr>
      <w:tr>
        <w:trPr>
          <w:trHeight w:val="1149" w:hRule="atLeast"/>
        </w:trPr>
        <w:tc>
          <w:tcPr>
            <w:tcW w:w="2835" w:type="dxa"/>
            <w:shd w:val="clear" w:color="auto" w:fill="DCE6F0"/>
          </w:tcPr>
          <w:p>
            <w:pPr>
              <w:pStyle w:val="TableParagraph"/>
              <w:spacing w:before="227"/>
              <w:rPr>
                <w:b/>
                <w:sz w:val="20"/>
              </w:rPr>
            </w:pPr>
          </w:p>
          <w:p>
            <w:pPr>
              <w:pStyle w:val="TableParagraph"/>
              <w:spacing w:before="1"/>
              <w:ind w:left="67"/>
              <w:rPr>
                <w:b/>
                <w:sz w:val="20"/>
              </w:rPr>
            </w:pPr>
            <w:r>
              <w:rPr>
                <w:b/>
                <w:spacing w:val="-2"/>
                <w:sz w:val="20"/>
              </w:rPr>
              <w:t>Interpretación:</w:t>
            </w:r>
          </w:p>
        </w:tc>
        <w:tc>
          <w:tcPr>
            <w:tcW w:w="7514" w:type="dxa"/>
          </w:tcPr>
          <w:p>
            <w:pPr>
              <w:pStyle w:val="TableParagraph"/>
              <w:spacing w:line="228" w:lineRule="exact"/>
              <w:ind w:left="69"/>
              <w:rPr>
                <w:sz w:val="20"/>
              </w:rPr>
            </w:pPr>
            <w:r>
              <w:rPr>
                <w:sz w:val="20"/>
              </w:rPr>
              <w:t>La</w:t>
            </w:r>
            <w:r>
              <w:rPr>
                <w:spacing w:val="-9"/>
                <w:sz w:val="20"/>
              </w:rPr>
              <w:t> </w:t>
            </w:r>
            <w:r>
              <w:rPr>
                <w:sz w:val="20"/>
              </w:rPr>
              <w:t>cantidad</w:t>
            </w:r>
            <w:r>
              <w:rPr>
                <w:spacing w:val="-8"/>
                <w:sz w:val="20"/>
              </w:rPr>
              <w:t> </w:t>
            </w:r>
            <w:r>
              <w:rPr>
                <w:sz w:val="20"/>
              </w:rPr>
              <w:t>de</w:t>
            </w:r>
            <w:r>
              <w:rPr>
                <w:spacing w:val="-7"/>
                <w:sz w:val="20"/>
              </w:rPr>
              <w:t> </w:t>
            </w:r>
            <w:r>
              <w:rPr>
                <w:sz w:val="20"/>
              </w:rPr>
              <w:t>hogares</w:t>
            </w:r>
            <w:r>
              <w:rPr>
                <w:spacing w:val="-3"/>
                <w:sz w:val="20"/>
              </w:rPr>
              <w:t> </w:t>
            </w:r>
            <w:r>
              <w:rPr>
                <w:sz w:val="20"/>
              </w:rPr>
              <w:t>que</w:t>
            </w:r>
            <w:r>
              <w:rPr>
                <w:spacing w:val="-8"/>
                <w:sz w:val="20"/>
              </w:rPr>
              <w:t> </w:t>
            </w:r>
            <w:r>
              <w:rPr>
                <w:sz w:val="20"/>
              </w:rPr>
              <w:t>reciben</w:t>
            </w:r>
            <w:r>
              <w:rPr>
                <w:spacing w:val="-7"/>
                <w:sz w:val="20"/>
              </w:rPr>
              <w:t> </w:t>
            </w:r>
            <w:r>
              <w:rPr>
                <w:sz w:val="20"/>
              </w:rPr>
              <w:t>el</w:t>
            </w:r>
            <w:r>
              <w:rPr>
                <w:spacing w:val="-8"/>
                <w:sz w:val="20"/>
              </w:rPr>
              <w:t> </w:t>
            </w:r>
            <w:r>
              <w:rPr>
                <w:sz w:val="20"/>
              </w:rPr>
              <w:t>subsidio</w:t>
            </w:r>
            <w:r>
              <w:rPr>
                <w:spacing w:val="-5"/>
                <w:sz w:val="20"/>
              </w:rPr>
              <w:t> </w:t>
            </w:r>
            <w:r>
              <w:rPr>
                <w:sz w:val="20"/>
              </w:rPr>
              <w:t>Atención</w:t>
            </w:r>
            <w:r>
              <w:rPr>
                <w:spacing w:val="-8"/>
                <w:sz w:val="20"/>
              </w:rPr>
              <w:t> </w:t>
            </w:r>
            <w:r>
              <w:rPr>
                <w:sz w:val="20"/>
              </w:rPr>
              <w:t>de</w:t>
            </w:r>
            <w:r>
              <w:rPr>
                <w:spacing w:val="-8"/>
                <w:sz w:val="20"/>
              </w:rPr>
              <w:t> </w:t>
            </w:r>
            <w:r>
              <w:rPr>
                <w:sz w:val="20"/>
              </w:rPr>
              <w:t>Situaciones</w:t>
            </w:r>
            <w:r>
              <w:rPr>
                <w:spacing w:val="-6"/>
                <w:sz w:val="20"/>
              </w:rPr>
              <w:t> </w:t>
            </w:r>
            <w:r>
              <w:rPr>
                <w:spacing w:val="-5"/>
                <w:sz w:val="20"/>
              </w:rPr>
              <w:t>de</w:t>
            </w:r>
          </w:p>
          <w:p>
            <w:pPr>
              <w:pStyle w:val="TableParagraph"/>
              <w:spacing w:line="229" w:lineRule="exact"/>
              <w:ind w:left="69"/>
              <w:rPr>
                <w:sz w:val="20"/>
              </w:rPr>
            </w:pPr>
            <w:r>
              <w:rPr>
                <w:sz w:val="20"/>
              </w:rPr>
              <w:t>Violencia,</w:t>
            </w:r>
            <w:r>
              <w:rPr>
                <w:spacing w:val="-5"/>
                <w:sz w:val="20"/>
              </w:rPr>
              <w:t> </w:t>
            </w:r>
            <w:r>
              <w:rPr>
                <w:sz w:val="20"/>
              </w:rPr>
              <w:t>en</w:t>
            </w:r>
            <w:r>
              <w:rPr>
                <w:spacing w:val="-7"/>
                <w:sz w:val="20"/>
              </w:rPr>
              <w:t> </w:t>
            </w:r>
            <w:r>
              <w:rPr>
                <w:sz w:val="20"/>
              </w:rPr>
              <w:t>“X”</w:t>
            </w:r>
            <w:r>
              <w:rPr>
                <w:spacing w:val="-5"/>
                <w:sz w:val="20"/>
              </w:rPr>
              <w:t> </w:t>
            </w:r>
            <w:r>
              <w:rPr>
                <w:sz w:val="20"/>
              </w:rPr>
              <w:t>período</w:t>
            </w:r>
            <w:r>
              <w:rPr>
                <w:spacing w:val="-5"/>
                <w:sz w:val="20"/>
              </w:rPr>
              <w:t> </w:t>
            </w:r>
            <w:r>
              <w:rPr>
                <w:sz w:val="20"/>
              </w:rPr>
              <w:t>es</w:t>
            </w:r>
            <w:r>
              <w:rPr>
                <w:spacing w:val="-5"/>
                <w:sz w:val="20"/>
              </w:rPr>
              <w:t> </w:t>
            </w:r>
            <w:r>
              <w:rPr>
                <w:sz w:val="20"/>
              </w:rPr>
              <w:t>de</w:t>
            </w:r>
            <w:r>
              <w:rPr>
                <w:spacing w:val="-7"/>
                <w:sz w:val="20"/>
              </w:rPr>
              <w:t> </w:t>
            </w:r>
            <w:r>
              <w:rPr>
                <w:spacing w:val="-4"/>
                <w:sz w:val="20"/>
              </w:rPr>
              <w:t>“Y”.</w:t>
            </w:r>
          </w:p>
          <w:p>
            <w:pPr>
              <w:pStyle w:val="TableParagraph"/>
              <w:spacing w:line="230" w:lineRule="atLeast"/>
              <w:ind w:left="69" w:right="92"/>
              <w:rPr>
                <w:sz w:val="20"/>
              </w:rPr>
            </w:pPr>
            <w:r>
              <w:rPr>
                <w:sz w:val="20"/>
              </w:rPr>
              <w:t>En</w:t>
            </w:r>
            <w:r>
              <w:rPr>
                <w:spacing w:val="-4"/>
                <w:sz w:val="20"/>
              </w:rPr>
              <w:t> </w:t>
            </w:r>
            <w:r>
              <w:rPr>
                <w:sz w:val="20"/>
              </w:rPr>
              <w:t>esta</w:t>
            </w:r>
            <w:r>
              <w:rPr>
                <w:spacing w:val="-4"/>
                <w:sz w:val="20"/>
              </w:rPr>
              <w:t> </w:t>
            </w:r>
            <w:r>
              <w:rPr>
                <w:sz w:val="20"/>
              </w:rPr>
              <w:t>“X”</w:t>
            </w:r>
            <w:r>
              <w:rPr>
                <w:spacing w:val="-3"/>
                <w:sz w:val="20"/>
              </w:rPr>
              <w:t> </w:t>
            </w:r>
            <w:r>
              <w:rPr>
                <w:sz w:val="20"/>
              </w:rPr>
              <w:t>representa</w:t>
            </w:r>
            <w:r>
              <w:rPr>
                <w:spacing w:val="-2"/>
                <w:sz w:val="20"/>
              </w:rPr>
              <w:t> </w:t>
            </w:r>
            <w:r>
              <w:rPr>
                <w:sz w:val="20"/>
              </w:rPr>
              <w:t>el</w:t>
            </w:r>
            <w:r>
              <w:rPr>
                <w:spacing w:val="-3"/>
                <w:sz w:val="20"/>
              </w:rPr>
              <w:t> </w:t>
            </w:r>
            <w:r>
              <w:rPr>
                <w:sz w:val="20"/>
              </w:rPr>
              <w:t>período</w:t>
            </w:r>
            <w:r>
              <w:rPr>
                <w:spacing w:val="-3"/>
                <w:sz w:val="20"/>
              </w:rPr>
              <w:t> </w:t>
            </w:r>
            <w:r>
              <w:rPr>
                <w:sz w:val="20"/>
              </w:rPr>
              <w:t>de</w:t>
            </w:r>
            <w:r>
              <w:rPr>
                <w:spacing w:val="-5"/>
                <w:sz w:val="20"/>
              </w:rPr>
              <w:t> </w:t>
            </w:r>
            <w:r>
              <w:rPr>
                <w:sz w:val="20"/>
              </w:rPr>
              <w:t>tiempo</w:t>
            </w:r>
            <w:r>
              <w:rPr>
                <w:spacing w:val="-2"/>
                <w:sz w:val="20"/>
              </w:rPr>
              <w:t> </w:t>
            </w:r>
            <w:r>
              <w:rPr>
                <w:sz w:val="20"/>
              </w:rPr>
              <w:t>según</w:t>
            </w:r>
            <w:r>
              <w:rPr>
                <w:spacing w:val="-4"/>
                <w:sz w:val="20"/>
              </w:rPr>
              <w:t> </w:t>
            </w:r>
            <w:r>
              <w:rPr>
                <w:sz w:val="20"/>
              </w:rPr>
              <w:t>la</w:t>
            </w:r>
            <w:r>
              <w:rPr>
                <w:spacing w:val="-4"/>
                <w:sz w:val="20"/>
              </w:rPr>
              <w:t> </w:t>
            </w:r>
            <w:r>
              <w:rPr>
                <w:sz w:val="20"/>
              </w:rPr>
              <w:t>frecuencia</w:t>
            </w:r>
            <w:r>
              <w:rPr>
                <w:spacing w:val="-2"/>
                <w:sz w:val="20"/>
              </w:rPr>
              <w:t> </w:t>
            </w:r>
            <w:r>
              <w:rPr>
                <w:sz w:val="20"/>
              </w:rPr>
              <w:t>de</w:t>
            </w:r>
            <w:r>
              <w:rPr>
                <w:spacing w:val="-3"/>
                <w:sz w:val="20"/>
              </w:rPr>
              <w:t> </w:t>
            </w:r>
            <w:r>
              <w:rPr>
                <w:sz w:val="20"/>
              </w:rPr>
              <w:t>medición,</w:t>
            </w:r>
            <w:r>
              <w:rPr>
                <w:spacing w:val="-4"/>
                <w:sz w:val="20"/>
              </w:rPr>
              <w:t> </w:t>
            </w:r>
            <w:r>
              <w:rPr>
                <w:sz w:val="20"/>
              </w:rPr>
              <w:t>y</w:t>
            </w:r>
            <w:r>
              <w:rPr>
                <w:spacing w:val="-3"/>
                <w:sz w:val="20"/>
              </w:rPr>
              <w:t> </w:t>
            </w:r>
            <w:r>
              <w:rPr>
                <w:sz w:val="20"/>
              </w:rPr>
              <w:t>“Y” significa la meta alcanzada a ese momento según la unidad de medida </w:t>
            </w:r>
            <w:r>
              <w:rPr>
                <w:spacing w:val="-2"/>
                <w:sz w:val="20"/>
              </w:rPr>
              <w:t>establecida.</w:t>
            </w:r>
          </w:p>
        </w:tc>
      </w:tr>
      <w:tr>
        <w:trPr>
          <w:trHeight w:val="313" w:hRule="atLeast"/>
        </w:trPr>
        <w:tc>
          <w:tcPr>
            <w:tcW w:w="2835" w:type="dxa"/>
            <w:shd w:val="clear" w:color="auto" w:fill="DCE6F0"/>
          </w:tcPr>
          <w:p>
            <w:pPr>
              <w:pStyle w:val="TableParagraph"/>
              <w:spacing w:before="42"/>
              <w:ind w:left="67"/>
              <w:rPr>
                <w:b/>
                <w:sz w:val="20"/>
              </w:rPr>
            </w:pPr>
            <w:r>
              <w:rPr>
                <w:b/>
                <w:spacing w:val="-2"/>
                <w:sz w:val="20"/>
              </w:rPr>
              <w:t>Desagregación</w:t>
            </w:r>
          </w:p>
        </w:tc>
        <w:tc>
          <w:tcPr>
            <w:tcW w:w="7514"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6" w:hRule="atLeast"/>
        </w:trPr>
        <w:tc>
          <w:tcPr>
            <w:tcW w:w="2835" w:type="dxa"/>
            <w:shd w:val="clear" w:color="auto" w:fill="DCE6F0"/>
          </w:tcPr>
          <w:p>
            <w:pPr>
              <w:pStyle w:val="TableParagraph"/>
              <w:spacing w:before="42"/>
              <w:ind w:left="67"/>
              <w:rPr>
                <w:b/>
                <w:sz w:val="20"/>
              </w:rPr>
            </w:pPr>
            <w:r>
              <w:rPr>
                <w:b/>
                <w:spacing w:val="-2"/>
                <w:sz w:val="20"/>
              </w:rPr>
              <w:t>Meta:</w:t>
            </w:r>
          </w:p>
        </w:tc>
        <w:tc>
          <w:tcPr>
            <w:tcW w:w="7514" w:type="dxa"/>
          </w:tcPr>
          <w:p>
            <w:pPr>
              <w:pStyle w:val="TableParagraph"/>
              <w:spacing w:before="42"/>
              <w:ind w:left="69"/>
              <w:rPr>
                <w:sz w:val="20"/>
              </w:rPr>
            </w:pPr>
            <w:r>
              <w:rPr>
                <w:sz w:val="20"/>
              </w:rPr>
              <w:t>No</w:t>
            </w:r>
            <w:r>
              <w:rPr>
                <w:spacing w:val="-6"/>
                <w:sz w:val="20"/>
              </w:rPr>
              <w:t> </w:t>
            </w:r>
            <w:r>
              <w:rPr>
                <w:sz w:val="20"/>
              </w:rPr>
              <w:t>se</w:t>
            </w:r>
            <w:r>
              <w:rPr>
                <w:spacing w:val="-5"/>
                <w:sz w:val="20"/>
              </w:rPr>
              <w:t> </w:t>
            </w:r>
            <w:r>
              <w:rPr>
                <w:sz w:val="20"/>
              </w:rPr>
              <w:t>define</w:t>
            </w:r>
            <w:r>
              <w:rPr>
                <w:spacing w:val="-5"/>
                <w:sz w:val="20"/>
              </w:rPr>
              <w:t> </w:t>
            </w:r>
            <w:r>
              <w:rPr>
                <w:sz w:val="20"/>
              </w:rPr>
              <w:t>meta</w:t>
            </w:r>
            <w:r>
              <w:rPr>
                <w:spacing w:val="-4"/>
                <w:sz w:val="20"/>
              </w:rPr>
              <w:t> </w:t>
            </w:r>
            <w:r>
              <w:rPr>
                <w:sz w:val="20"/>
              </w:rPr>
              <w:t>al</w:t>
            </w:r>
            <w:r>
              <w:rPr>
                <w:spacing w:val="-4"/>
                <w:sz w:val="20"/>
              </w:rPr>
              <w:t> </w:t>
            </w:r>
            <w:r>
              <w:rPr>
                <w:sz w:val="20"/>
              </w:rPr>
              <w:t>vincularse</w:t>
            </w:r>
            <w:r>
              <w:rPr>
                <w:spacing w:val="-6"/>
                <w:sz w:val="20"/>
              </w:rPr>
              <w:t> </w:t>
            </w:r>
            <w:r>
              <w:rPr>
                <w:sz w:val="20"/>
              </w:rPr>
              <w:t>a</w:t>
            </w:r>
            <w:r>
              <w:rPr>
                <w:spacing w:val="-6"/>
                <w:sz w:val="20"/>
              </w:rPr>
              <w:t> </w:t>
            </w:r>
            <w:r>
              <w:rPr>
                <w:sz w:val="20"/>
              </w:rPr>
              <w:t>eventos</w:t>
            </w:r>
            <w:r>
              <w:rPr>
                <w:spacing w:val="-4"/>
                <w:sz w:val="20"/>
              </w:rPr>
              <w:t> </w:t>
            </w:r>
            <w:r>
              <w:rPr>
                <w:sz w:val="20"/>
              </w:rPr>
              <w:t>no</w:t>
            </w:r>
            <w:r>
              <w:rPr>
                <w:spacing w:val="-6"/>
                <w:sz w:val="20"/>
              </w:rPr>
              <w:t> </w:t>
            </w:r>
            <w:r>
              <w:rPr>
                <w:spacing w:val="-2"/>
                <w:sz w:val="20"/>
              </w:rPr>
              <w:t>previsibles.</w:t>
            </w:r>
          </w:p>
        </w:tc>
      </w:tr>
      <w:tr>
        <w:trPr>
          <w:trHeight w:val="314" w:hRule="atLeast"/>
        </w:trPr>
        <w:tc>
          <w:tcPr>
            <w:tcW w:w="2835" w:type="dxa"/>
            <w:shd w:val="clear" w:color="auto" w:fill="DCE6F0"/>
          </w:tcPr>
          <w:p>
            <w:pPr>
              <w:pStyle w:val="TableParagraph"/>
              <w:spacing w:before="40"/>
              <w:ind w:left="67"/>
              <w:rPr>
                <w:b/>
                <w:sz w:val="20"/>
              </w:rPr>
            </w:pPr>
            <w:r>
              <w:rPr>
                <w:b/>
                <w:sz w:val="20"/>
              </w:rPr>
              <w:t>Línea</w:t>
            </w:r>
            <w:r>
              <w:rPr>
                <w:b/>
                <w:spacing w:val="-10"/>
                <w:sz w:val="20"/>
              </w:rPr>
              <w:t> </w:t>
            </w:r>
            <w:r>
              <w:rPr>
                <w:b/>
                <w:sz w:val="20"/>
              </w:rPr>
              <w:t>Base</w:t>
            </w:r>
            <w:r>
              <w:rPr>
                <w:b/>
                <w:spacing w:val="-7"/>
                <w:sz w:val="20"/>
              </w:rPr>
              <w:t> </w:t>
            </w:r>
            <w:r>
              <w:rPr>
                <w:b/>
                <w:spacing w:val="-4"/>
                <w:sz w:val="20"/>
              </w:rPr>
              <w:t>2025</w:t>
            </w:r>
          </w:p>
        </w:tc>
        <w:tc>
          <w:tcPr>
            <w:tcW w:w="7514" w:type="dxa"/>
          </w:tcPr>
          <w:p>
            <w:pPr>
              <w:pStyle w:val="TableParagraph"/>
              <w:spacing w:before="40"/>
              <w:ind w:left="69"/>
              <w:rPr>
                <w:sz w:val="20"/>
              </w:rPr>
            </w:pPr>
            <w:r>
              <w:rPr>
                <w:sz w:val="20"/>
              </w:rPr>
              <w:t>2</w:t>
            </w:r>
            <w:r>
              <w:rPr>
                <w:spacing w:val="-3"/>
                <w:sz w:val="20"/>
              </w:rPr>
              <w:t> </w:t>
            </w:r>
            <w:r>
              <w:rPr>
                <w:spacing w:val="-5"/>
                <w:sz w:val="20"/>
              </w:rPr>
              <w:t>703</w:t>
            </w:r>
          </w:p>
        </w:tc>
      </w:tr>
      <w:tr>
        <w:trPr>
          <w:trHeight w:val="631" w:hRule="atLeast"/>
        </w:trPr>
        <w:tc>
          <w:tcPr>
            <w:tcW w:w="2835" w:type="dxa"/>
            <w:shd w:val="clear" w:color="auto" w:fill="DCE6F0"/>
          </w:tcPr>
          <w:p>
            <w:pPr>
              <w:pStyle w:val="TableParagraph"/>
              <w:spacing w:before="8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199"/>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835" w:type="dxa"/>
            <w:shd w:val="clear" w:color="auto" w:fill="DCE6F0"/>
          </w:tcPr>
          <w:p>
            <w:pPr>
              <w:pStyle w:val="TableParagraph"/>
              <w:spacing w:before="11"/>
              <w:rPr>
                <w:b/>
                <w:sz w:val="20"/>
              </w:rPr>
            </w:pPr>
          </w:p>
          <w:p>
            <w:pPr>
              <w:pStyle w:val="TableParagraph"/>
              <w:spacing w:before="1"/>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11"/>
              <w:rPr>
                <w:b/>
                <w:sz w:val="20"/>
              </w:rPr>
            </w:pPr>
          </w:p>
          <w:p>
            <w:pPr>
              <w:pStyle w:val="TableParagraph"/>
              <w:spacing w:before="1"/>
              <w:ind w:left="69"/>
              <w:rPr>
                <w:sz w:val="20"/>
              </w:rPr>
            </w:pPr>
            <w:r>
              <w:rPr>
                <w:sz w:val="20"/>
              </w:rPr>
              <w:t>Nombre:</w:t>
            </w:r>
            <w:r>
              <w:rPr>
                <w:spacing w:val="-10"/>
                <w:sz w:val="20"/>
              </w:rPr>
              <w:t> </w:t>
            </w:r>
            <w:r>
              <w:rPr>
                <w:sz w:val="20"/>
              </w:rPr>
              <w:t>Raquel</w:t>
            </w:r>
            <w:r>
              <w:rPr>
                <w:spacing w:val="-11"/>
                <w:sz w:val="20"/>
              </w:rPr>
              <w:t> </w:t>
            </w:r>
            <w:r>
              <w:rPr>
                <w:sz w:val="20"/>
              </w:rPr>
              <w:t>Quesada</w:t>
            </w:r>
            <w:r>
              <w:rPr>
                <w:spacing w:val="-9"/>
                <w:sz w:val="20"/>
              </w:rPr>
              <w:t> </w:t>
            </w:r>
            <w:r>
              <w:rPr>
                <w:spacing w:val="-2"/>
                <w:sz w:val="20"/>
              </w:rPr>
              <w:t>Jiménez.</w:t>
            </w:r>
          </w:p>
          <w:p>
            <w:pPr>
              <w:pStyle w:val="TableParagraph"/>
              <w:ind w:left="69"/>
              <w:rPr>
                <w:sz w:val="20"/>
              </w:rPr>
            </w:pPr>
            <w:r>
              <w:rPr>
                <w:sz w:val="20"/>
              </w:rPr>
              <w:t>Cargo:</w:t>
            </w:r>
            <w:r>
              <w:rPr>
                <w:spacing w:val="-10"/>
                <w:sz w:val="20"/>
              </w:rPr>
              <w:t> </w:t>
            </w:r>
            <w:r>
              <w:rPr>
                <w:sz w:val="20"/>
              </w:rPr>
              <w:t>Jefatura,</w:t>
            </w:r>
            <w:r>
              <w:rPr>
                <w:spacing w:val="-10"/>
                <w:sz w:val="20"/>
              </w:rPr>
              <w:t> </w:t>
            </w:r>
            <w:r>
              <w:rPr>
                <w:sz w:val="20"/>
              </w:rPr>
              <w:t>Departamento</w:t>
            </w:r>
            <w:r>
              <w:rPr>
                <w:spacing w:val="-9"/>
                <w:sz w:val="20"/>
              </w:rPr>
              <w:t> </w:t>
            </w:r>
            <w:r>
              <w:rPr>
                <w:sz w:val="20"/>
              </w:rPr>
              <w:t>de</w:t>
            </w:r>
            <w:r>
              <w:rPr>
                <w:spacing w:val="-9"/>
                <w:sz w:val="20"/>
              </w:rPr>
              <w:t> </w:t>
            </w:r>
            <w:r>
              <w:rPr>
                <w:sz w:val="20"/>
              </w:rPr>
              <w:t>Bienestar</w:t>
            </w:r>
            <w:r>
              <w:rPr>
                <w:spacing w:val="-10"/>
                <w:sz w:val="20"/>
              </w:rPr>
              <w:t> </w:t>
            </w:r>
            <w:r>
              <w:rPr>
                <w:spacing w:val="-2"/>
                <w:sz w:val="20"/>
              </w:rPr>
              <w:t>Familiar</w:t>
            </w:r>
          </w:p>
        </w:tc>
      </w:tr>
      <w:tr>
        <w:trPr>
          <w:trHeight w:val="945" w:hRule="atLeast"/>
        </w:trPr>
        <w:tc>
          <w:tcPr>
            <w:tcW w:w="2835" w:type="dxa"/>
            <w:shd w:val="clear" w:color="auto" w:fill="DCE6F0"/>
          </w:tcPr>
          <w:p>
            <w:pPr>
              <w:pStyle w:val="TableParagraph"/>
              <w:spacing w:before="11"/>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27"/>
              <w:rPr>
                <w:b/>
                <w:sz w:val="20"/>
              </w:rPr>
            </w:pPr>
          </w:p>
          <w:p>
            <w:pPr>
              <w:pStyle w:val="TableParagraph"/>
              <w:ind w:left="69"/>
              <w:rPr>
                <w:sz w:val="20"/>
              </w:rPr>
            </w:pPr>
            <w:r>
              <w:rPr>
                <w:sz w:val="20"/>
              </w:rPr>
              <w:t>Dirección</w:t>
            </w:r>
            <w:r>
              <w:rPr>
                <w:spacing w:val="-9"/>
                <w:sz w:val="20"/>
              </w:rPr>
              <w:t> </w:t>
            </w:r>
            <w:r>
              <w:rPr>
                <w:sz w:val="20"/>
              </w:rPr>
              <w:t>de</w:t>
            </w:r>
            <w:r>
              <w:rPr>
                <w:spacing w:val="-9"/>
                <w:sz w:val="20"/>
              </w:rPr>
              <w:t> </w:t>
            </w:r>
            <w:r>
              <w:rPr>
                <w:sz w:val="20"/>
              </w:rPr>
              <w:t>Desarrollo</w:t>
            </w:r>
            <w:r>
              <w:rPr>
                <w:spacing w:val="-8"/>
                <w:sz w:val="20"/>
              </w:rPr>
              <w:t> </w:t>
            </w:r>
            <w:r>
              <w:rPr>
                <w:sz w:val="20"/>
              </w:rPr>
              <w:t>Social,</w:t>
            </w:r>
            <w:r>
              <w:rPr>
                <w:spacing w:val="-9"/>
                <w:sz w:val="20"/>
              </w:rPr>
              <w:t> </w:t>
            </w:r>
            <w:r>
              <w:rPr>
                <w:sz w:val="20"/>
              </w:rPr>
              <w:t>Departamento</w:t>
            </w:r>
            <w:r>
              <w:rPr>
                <w:spacing w:val="-8"/>
                <w:sz w:val="20"/>
              </w:rPr>
              <w:t> </w:t>
            </w:r>
            <w:r>
              <w:rPr>
                <w:sz w:val="20"/>
              </w:rPr>
              <w:t>de</w:t>
            </w:r>
            <w:r>
              <w:rPr>
                <w:spacing w:val="-9"/>
                <w:sz w:val="20"/>
              </w:rPr>
              <w:t> </w:t>
            </w:r>
            <w:r>
              <w:rPr>
                <w:sz w:val="20"/>
              </w:rPr>
              <w:t>Bienestar</w:t>
            </w:r>
            <w:r>
              <w:rPr>
                <w:spacing w:val="-11"/>
                <w:sz w:val="20"/>
              </w:rPr>
              <w:t> </w:t>
            </w:r>
            <w:r>
              <w:rPr>
                <w:spacing w:val="-2"/>
                <w:sz w:val="20"/>
              </w:rPr>
              <w:t>Familiar</w:t>
            </w:r>
          </w:p>
        </w:tc>
      </w:tr>
      <w:tr>
        <w:trPr>
          <w:trHeight w:val="313" w:hRule="atLeast"/>
        </w:trPr>
        <w:tc>
          <w:tcPr>
            <w:tcW w:w="2835" w:type="dxa"/>
            <w:shd w:val="clear" w:color="auto" w:fill="DCE6F0"/>
          </w:tcPr>
          <w:p>
            <w:pPr>
              <w:pStyle w:val="TableParagraph"/>
              <w:spacing w:before="40"/>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40"/>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599" w:hRule="atLeast"/>
        </w:trPr>
        <w:tc>
          <w:tcPr>
            <w:tcW w:w="2835" w:type="dxa"/>
            <w:shd w:val="clear" w:color="auto" w:fill="DCE6F0"/>
          </w:tcPr>
          <w:p>
            <w:pPr>
              <w:pStyle w:val="TableParagraph"/>
              <w:spacing w:before="184"/>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69"/>
              <w:ind w:left="69"/>
              <w:rPr>
                <w:sz w:val="20"/>
              </w:rPr>
            </w:pPr>
            <w:r>
              <w:rPr>
                <w:sz w:val="20"/>
              </w:rPr>
              <w:t>Informes</w:t>
            </w:r>
            <w:r>
              <w:rPr>
                <w:spacing w:val="-5"/>
                <w:sz w:val="20"/>
              </w:rPr>
              <w:t> </w:t>
            </w:r>
            <w:r>
              <w:rPr>
                <w:sz w:val="20"/>
              </w:rPr>
              <w:t>del</w:t>
            </w:r>
            <w:r>
              <w:rPr>
                <w:spacing w:val="-6"/>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6"/>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900" w:hRule="atLeast"/>
        </w:trPr>
        <w:tc>
          <w:tcPr>
            <w:tcW w:w="2835" w:type="dxa"/>
            <w:shd w:val="clear" w:color="auto" w:fill="DCE6F0"/>
          </w:tcPr>
          <w:p>
            <w:pPr>
              <w:pStyle w:val="TableParagraph"/>
              <w:spacing w:before="105"/>
              <w:rPr>
                <w:b/>
                <w:sz w:val="20"/>
              </w:rPr>
            </w:pPr>
          </w:p>
          <w:p>
            <w:pPr>
              <w:pStyle w:val="TableParagraph"/>
              <w:spacing w:before="1"/>
              <w:ind w:left="67"/>
              <w:rPr>
                <w:b/>
                <w:sz w:val="20"/>
              </w:rPr>
            </w:pPr>
            <w:r>
              <w:rPr>
                <w:b/>
                <w:spacing w:val="-2"/>
                <w:sz w:val="20"/>
              </w:rPr>
              <w:t>Clasificación</w:t>
            </w:r>
          </w:p>
        </w:tc>
        <w:tc>
          <w:tcPr>
            <w:tcW w:w="7514" w:type="dxa"/>
          </w:tcPr>
          <w:p>
            <w:pPr>
              <w:pStyle w:val="TableParagraph"/>
              <w:spacing w:before="105"/>
              <w:rPr>
                <w:b/>
                <w:sz w:val="20"/>
              </w:rPr>
            </w:pPr>
          </w:p>
          <w:p>
            <w:pPr>
              <w:pStyle w:val="TableParagraph"/>
              <w:spacing w:before="1"/>
              <w:ind w:left="69"/>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5"/>
                <w:sz w:val="20"/>
              </w:rPr>
              <w:t> </w:t>
            </w:r>
            <w:r>
              <w:rPr>
                <w:sz w:val="20"/>
              </w:rPr>
              <w:t>Producto</w:t>
            </w:r>
            <w:r>
              <w:rPr>
                <w:spacing w:val="-8"/>
                <w:sz w:val="20"/>
              </w:rPr>
              <w:t> </w:t>
            </w:r>
            <w:r>
              <w:rPr>
                <w:spacing w:val="-5"/>
                <w:sz w:val="20"/>
              </w:rPr>
              <w:t>(X)</w:t>
            </w:r>
          </w:p>
        </w:tc>
      </w:tr>
      <w:tr>
        <w:trPr>
          <w:trHeight w:val="921" w:hRule="atLeast"/>
        </w:trPr>
        <w:tc>
          <w:tcPr>
            <w:tcW w:w="2835" w:type="dxa"/>
            <w:shd w:val="clear" w:color="auto" w:fill="DCE6F0"/>
          </w:tcPr>
          <w:p>
            <w:pPr>
              <w:pStyle w:val="TableParagraph"/>
              <w:spacing w:before="115"/>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ind w:left="69" w:right="170"/>
              <w:rPr>
                <w:sz w:val="20"/>
              </w:rPr>
            </w:pPr>
            <w:r>
              <w:rPr>
                <w:sz w:val="20"/>
              </w:rPr>
              <w:t>En</w:t>
            </w:r>
            <w:r>
              <w:rPr>
                <w:spacing w:val="-4"/>
                <w:sz w:val="20"/>
              </w:rPr>
              <w:t> </w:t>
            </w:r>
            <w:r>
              <w:rPr>
                <w:sz w:val="20"/>
              </w:rPr>
              <w:t>el</w:t>
            </w:r>
            <w:r>
              <w:rPr>
                <w:spacing w:val="-4"/>
                <w:sz w:val="20"/>
              </w:rPr>
              <w:t> </w:t>
            </w:r>
            <w:r>
              <w:rPr>
                <w:sz w:val="20"/>
              </w:rPr>
              <w:t>SABEN</w:t>
            </w:r>
            <w:r>
              <w:rPr>
                <w:spacing w:val="-4"/>
                <w:sz w:val="20"/>
              </w:rPr>
              <w:t> </w:t>
            </w:r>
            <w:r>
              <w:rPr>
                <w:sz w:val="20"/>
              </w:rPr>
              <w:t>se</w:t>
            </w:r>
            <w:r>
              <w:rPr>
                <w:spacing w:val="-4"/>
                <w:sz w:val="20"/>
              </w:rPr>
              <w:t> </w:t>
            </w:r>
            <w:r>
              <w:rPr>
                <w:sz w:val="20"/>
              </w:rPr>
              <w:t>define</w:t>
            </w:r>
            <w:r>
              <w:rPr>
                <w:spacing w:val="-5"/>
                <w:sz w:val="20"/>
              </w:rPr>
              <w:t> </w:t>
            </w:r>
            <w:r>
              <w:rPr>
                <w:sz w:val="20"/>
              </w:rPr>
              <w:t>como</w:t>
            </w:r>
            <w:r>
              <w:rPr>
                <w:spacing w:val="-4"/>
                <w:sz w:val="20"/>
              </w:rPr>
              <w:t> </w:t>
            </w:r>
            <w:r>
              <w:rPr>
                <w:sz w:val="20"/>
              </w:rPr>
              <w:t>hogares</w:t>
            </w:r>
            <w:r>
              <w:rPr>
                <w:spacing w:val="-3"/>
                <w:sz w:val="20"/>
              </w:rPr>
              <w:t> </w:t>
            </w:r>
            <w:r>
              <w:rPr>
                <w:sz w:val="20"/>
              </w:rPr>
              <w:t>receptores</w:t>
            </w:r>
            <w:r>
              <w:rPr>
                <w:spacing w:val="-2"/>
                <w:sz w:val="20"/>
              </w:rPr>
              <w:t> </w:t>
            </w:r>
            <w:r>
              <w:rPr>
                <w:sz w:val="20"/>
              </w:rPr>
              <w:t>a</w:t>
            </w:r>
            <w:r>
              <w:rPr>
                <w:spacing w:val="-4"/>
                <w:sz w:val="20"/>
              </w:rPr>
              <w:t> </w:t>
            </w:r>
            <w:r>
              <w:rPr>
                <w:sz w:val="20"/>
              </w:rPr>
              <w:t>los</w:t>
            </w:r>
            <w:r>
              <w:rPr>
                <w:spacing w:val="-4"/>
                <w:sz w:val="20"/>
              </w:rPr>
              <w:t> </w:t>
            </w:r>
            <w:r>
              <w:rPr>
                <w:sz w:val="20"/>
              </w:rPr>
              <w:t>hogares</w:t>
            </w:r>
            <w:r>
              <w:rPr>
                <w:spacing w:val="-4"/>
                <w:sz w:val="20"/>
              </w:rPr>
              <w:t> </w:t>
            </w:r>
            <w:r>
              <w:rPr>
                <w:sz w:val="20"/>
              </w:rPr>
              <w:t>que</w:t>
            </w:r>
            <w:r>
              <w:rPr>
                <w:spacing w:val="-4"/>
                <w:sz w:val="20"/>
              </w:rPr>
              <w:t> </w:t>
            </w:r>
            <w:r>
              <w:rPr>
                <w:sz w:val="20"/>
              </w:rPr>
              <w:t>al</w:t>
            </w:r>
            <w:r>
              <w:rPr>
                <w:spacing w:val="-4"/>
                <w:sz w:val="20"/>
              </w:rPr>
              <w:t> </w:t>
            </w:r>
            <w:r>
              <w:rPr>
                <w:sz w:val="20"/>
              </w:rPr>
              <w:t>menos hayan recibido un mes el subsidio.</w:t>
            </w:r>
          </w:p>
          <w:p>
            <w:pPr>
              <w:pStyle w:val="TableParagraph"/>
              <w:ind w:left="69"/>
              <w:rPr>
                <w:sz w:val="20"/>
              </w:rPr>
            </w:pPr>
            <w:r>
              <w:rPr>
                <w:sz w:val="20"/>
              </w:rPr>
              <w:t>Este</w:t>
            </w:r>
            <w:r>
              <w:rPr>
                <w:spacing w:val="-9"/>
                <w:sz w:val="20"/>
              </w:rPr>
              <w:t> </w:t>
            </w:r>
            <w:r>
              <w:rPr>
                <w:sz w:val="20"/>
              </w:rPr>
              <w:t>indicador</w:t>
            </w:r>
            <w:r>
              <w:rPr>
                <w:spacing w:val="-9"/>
                <w:sz w:val="20"/>
              </w:rPr>
              <w:t> </w:t>
            </w:r>
            <w:r>
              <w:rPr>
                <w:sz w:val="20"/>
              </w:rPr>
              <w:t>se</w:t>
            </w:r>
            <w:r>
              <w:rPr>
                <w:spacing w:val="-6"/>
                <w:sz w:val="20"/>
              </w:rPr>
              <w:t> </w:t>
            </w:r>
            <w:r>
              <w:rPr>
                <w:sz w:val="20"/>
              </w:rPr>
              <w:t>encuentra</w:t>
            </w:r>
            <w:r>
              <w:rPr>
                <w:spacing w:val="-8"/>
                <w:sz w:val="20"/>
              </w:rPr>
              <w:t> </w:t>
            </w:r>
            <w:r>
              <w:rPr>
                <w:sz w:val="20"/>
              </w:rPr>
              <w:t>vinculado</w:t>
            </w:r>
            <w:r>
              <w:rPr>
                <w:spacing w:val="-8"/>
                <w:sz w:val="20"/>
              </w:rPr>
              <w:t> </w:t>
            </w:r>
            <w:r>
              <w:rPr>
                <w:sz w:val="20"/>
              </w:rPr>
              <w:t>al</w:t>
            </w:r>
            <w:r>
              <w:rPr>
                <w:spacing w:val="-9"/>
                <w:sz w:val="20"/>
              </w:rPr>
              <w:t> </w:t>
            </w:r>
            <w:r>
              <w:rPr>
                <w:sz w:val="20"/>
              </w:rPr>
              <w:t>PLANOVI,</w:t>
            </w:r>
            <w:r>
              <w:rPr>
                <w:spacing w:val="-6"/>
                <w:sz w:val="20"/>
              </w:rPr>
              <w:t> </w:t>
            </w:r>
            <w:r>
              <w:rPr>
                <w:sz w:val="20"/>
              </w:rPr>
              <w:t>indicadores</w:t>
            </w:r>
            <w:r>
              <w:rPr>
                <w:spacing w:val="-7"/>
                <w:sz w:val="20"/>
              </w:rPr>
              <w:t> </w:t>
            </w:r>
            <w:r>
              <w:rPr>
                <w:sz w:val="20"/>
              </w:rPr>
              <w:t>4.2.1.1,</w:t>
            </w:r>
            <w:r>
              <w:rPr>
                <w:spacing w:val="-8"/>
                <w:sz w:val="20"/>
              </w:rPr>
              <w:t> </w:t>
            </w:r>
            <w:r>
              <w:rPr>
                <w:spacing w:val="-2"/>
                <w:sz w:val="20"/>
              </w:rPr>
              <w:t>4.7.2,</w:t>
            </w:r>
          </w:p>
          <w:p>
            <w:pPr>
              <w:pStyle w:val="TableParagraph"/>
              <w:spacing w:line="211" w:lineRule="exact"/>
              <w:ind w:left="69"/>
              <w:rPr>
                <w:sz w:val="20"/>
              </w:rPr>
            </w:pPr>
            <w:r>
              <w:rPr>
                <w:sz w:val="20"/>
              </w:rPr>
              <w:t>5.1.2.1.1</w:t>
            </w:r>
            <w:r>
              <w:rPr>
                <w:spacing w:val="-6"/>
                <w:sz w:val="20"/>
              </w:rPr>
              <w:t> </w:t>
            </w:r>
            <w:r>
              <w:rPr>
                <w:sz w:val="20"/>
              </w:rPr>
              <w:t>y</w:t>
            </w:r>
            <w:r>
              <w:rPr>
                <w:spacing w:val="-6"/>
                <w:sz w:val="20"/>
              </w:rPr>
              <w:t> </w:t>
            </w:r>
            <w:r>
              <w:rPr>
                <w:spacing w:val="-2"/>
                <w:sz w:val="20"/>
              </w:rPr>
              <w:t>5.1.1.</w:t>
            </w:r>
          </w:p>
        </w:tc>
      </w:tr>
    </w:tbl>
    <w:p>
      <w:pPr>
        <w:pStyle w:val="TableParagraph"/>
        <w:spacing w:after="0" w:line="211" w:lineRule="exact"/>
        <w:rPr>
          <w:sz w:val="20"/>
        </w:rPr>
        <w:sectPr>
          <w:pgSz w:w="12240" w:h="15840"/>
          <w:pgMar w:header="0" w:footer="2404" w:top="1580" w:bottom="2600" w:left="720" w:right="720"/>
        </w:sectPr>
      </w:pPr>
    </w:p>
    <w:p>
      <w:pPr>
        <w:pStyle w:val="BodyText"/>
        <w:spacing w:before="3"/>
        <w:rPr>
          <w:b/>
          <w:sz w:val="2"/>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299" w:hRule="atLeast"/>
        </w:trPr>
        <w:tc>
          <w:tcPr>
            <w:tcW w:w="2835" w:type="dxa"/>
            <w:shd w:val="clear" w:color="auto" w:fill="DCE6F0"/>
          </w:tcPr>
          <w:p>
            <w:pPr>
              <w:pStyle w:val="TableParagraph"/>
              <w:spacing w:before="35"/>
              <w:ind w:left="67"/>
              <w:rPr>
                <w:b/>
                <w:sz w:val="20"/>
              </w:rPr>
            </w:pPr>
            <w:r>
              <w:rPr>
                <w:b/>
                <w:sz w:val="20"/>
              </w:rPr>
              <w:t>PPPS</w:t>
            </w:r>
            <w:r>
              <w:rPr>
                <w:b/>
                <w:spacing w:val="-6"/>
                <w:sz w:val="20"/>
              </w:rPr>
              <w:t> </w:t>
            </w:r>
            <w:r>
              <w:rPr>
                <w:b/>
                <w:spacing w:val="-2"/>
                <w:sz w:val="20"/>
              </w:rPr>
              <w:t>1.1.5:</w:t>
            </w:r>
          </w:p>
        </w:tc>
        <w:tc>
          <w:tcPr>
            <w:tcW w:w="7514" w:type="dxa"/>
          </w:tcPr>
          <w:p>
            <w:pPr>
              <w:pStyle w:val="TableParagraph"/>
              <w:spacing w:before="35"/>
              <w:ind w:left="69"/>
              <w:rPr>
                <w:sz w:val="20"/>
              </w:rPr>
            </w:pPr>
            <w:r>
              <w:rPr>
                <w:sz w:val="20"/>
              </w:rPr>
              <w:t>Nombre</w:t>
            </w:r>
            <w:r>
              <w:rPr>
                <w:spacing w:val="-6"/>
                <w:sz w:val="20"/>
              </w:rPr>
              <w:t> </w:t>
            </w:r>
            <w:r>
              <w:rPr>
                <w:sz w:val="20"/>
              </w:rPr>
              <w:t>del</w:t>
            </w:r>
            <w:r>
              <w:rPr>
                <w:spacing w:val="-8"/>
                <w:sz w:val="20"/>
              </w:rPr>
              <w:t> </w:t>
            </w:r>
            <w:r>
              <w:rPr>
                <w:sz w:val="20"/>
              </w:rPr>
              <w:t>Indicador:</w:t>
            </w:r>
            <w:r>
              <w:rPr>
                <w:spacing w:val="-8"/>
                <w:sz w:val="20"/>
              </w:rPr>
              <w:t> </w:t>
            </w:r>
            <w:r>
              <w:rPr>
                <w:sz w:val="20"/>
              </w:rPr>
              <w:t>Cantidad</w:t>
            </w:r>
            <w:r>
              <w:rPr>
                <w:spacing w:val="-7"/>
                <w:sz w:val="20"/>
              </w:rPr>
              <w:t> </w:t>
            </w:r>
            <w:r>
              <w:rPr>
                <w:sz w:val="20"/>
              </w:rPr>
              <w:t>de</w:t>
            </w:r>
            <w:r>
              <w:rPr>
                <w:spacing w:val="-5"/>
                <w:sz w:val="20"/>
              </w:rPr>
              <w:t> </w:t>
            </w:r>
            <w:r>
              <w:rPr>
                <w:sz w:val="20"/>
              </w:rPr>
              <w:t>personas</w:t>
            </w:r>
            <w:r>
              <w:rPr>
                <w:spacing w:val="-7"/>
                <w:sz w:val="20"/>
              </w:rPr>
              <w:t> </w:t>
            </w:r>
            <w:r>
              <w:rPr>
                <w:sz w:val="20"/>
              </w:rPr>
              <w:t>que</w:t>
            </w:r>
            <w:r>
              <w:rPr>
                <w:spacing w:val="-7"/>
                <w:sz w:val="20"/>
              </w:rPr>
              <w:t> </w:t>
            </w:r>
            <w:r>
              <w:rPr>
                <w:sz w:val="20"/>
              </w:rPr>
              <w:t>reciben</w:t>
            </w:r>
            <w:r>
              <w:rPr>
                <w:spacing w:val="-8"/>
                <w:sz w:val="20"/>
              </w:rPr>
              <w:t> </w:t>
            </w:r>
            <w:r>
              <w:rPr>
                <w:sz w:val="20"/>
              </w:rPr>
              <w:t>el</w:t>
            </w:r>
            <w:r>
              <w:rPr>
                <w:spacing w:val="-9"/>
                <w:sz w:val="20"/>
              </w:rPr>
              <w:t> </w:t>
            </w:r>
            <w:r>
              <w:rPr>
                <w:sz w:val="20"/>
              </w:rPr>
              <w:t>subsidio</w:t>
            </w:r>
            <w:r>
              <w:rPr>
                <w:spacing w:val="-7"/>
                <w:sz w:val="20"/>
              </w:rPr>
              <w:t> </w:t>
            </w:r>
            <w:r>
              <w:rPr>
                <w:sz w:val="20"/>
              </w:rPr>
              <w:t>de</w:t>
            </w:r>
            <w:r>
              <w:rPr>
                <w:spacing w:val="-6"/>
                <w:sz w:val="20"/>
              </w:rPr>
              <w:t> </w:t>
            </w:r>
            <w:r>
              <w:rPr>
                <w:spacing w:val="-2"/>
                <w:sz w:val="20"/>
              </w:rPr>
              <w:t>Veda.</w:t>
            </w:r>
          </w:p>
        </w:tc>
      </w:tr>
      <w:tr>
        <w:trPr>
          <w:trHeight w:val="299" w:hRule="atLeast"/>
        </w:trPr>
        <w:tc>
          <w:tcPr>
            <w:tcW w:w="2835" w:type="dxa"/>
            <w:shd w:val="clear" w:color="auto" w:fill="DCE6F0"/>
          </w:tcPr>
          <w:p>
            <w:pPr>
              <w:pStyle w:val="TableParagraph"/>
              <w:spacing w:before="35"/>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before="35"/>
              <w:ind w:left="69"/>
              <w:rPr>
                <w:sz w:val="20"/>
              </w:rPr>
            </w:pPr>
            <w:r>
              <w:rPr>
                <w:sz w:val="20"/>
              </w:rPr>
              <w:t>Sumatoria</w:t>
            </w:r>
            <w:r>
              <w:rPr>
                <w:spacing w:val="-7"/>
                <w:sz w:val="20"/>
              </w:rPr>
              <w:t> </w:t>
            </w:r>
            <w:r>
              <w:rPr>
                <w:sz w:val="20"/>
              </w:rPr>
              <w:t>de</w:t>
            </w:r>
            <w:r>
              <w:rPr>
                <w:spacing w:val="-7"/>
                <w:sz w:val="20"/>
              </w:rPr>
              <w:t> </w:t>
            </w:r>
            <w:r>
              <w:rPr>
                <w:sz w:val="20"/>
              </w:rPr>
              <w:t>personas</w:t>
            </w:r>
            <w:r>
              <w:rPr>
                <w:spacing w:val="-5"/>
                <w:sz w:val="20"/>
              </w:rPr>
              <w:t> </w:t>
            </w:r>
            <w:r>
              <w:rPr>
                <w:sz w:val="20"/>
              </w:rPr>
              <w:t>que</w:t>
            </w:r>
            <w:r>
              <w:rPr>
                <w:spacing w:val="-7"/>
                <w:sz w:val="20"/>
              </w:rPr>
              <w:t> </w:t>
            </w:r>
            <w:r>
              <w:rPr>
                <w:sz w:val="20"/>
              </w:rPr>
              <w:t>reciben</w:t>
            </w:r>
            <w:r>
              <w:rPr>
                <w:spacing w:val="-7"/>
                <w:sz w:val="20"/>
              </w:rPr>
              <w:t> </w:t>
            </w:r>
            <w:r>
              <w:rPr>
                <w:sz w:val="20"/>
              </w:rPr>
              <w:t>el</w:t>
            </w:r>
            <w:r>
              <w:rPr>
                <w:spacing w:val="-7"/>
                <w:sz w:val="20"/>
              </w:rPr>
              <w:t> </w:t>
            </w:r>
            <w:r>
              <w:rPr>
                <w:sz w:val="20"/>
              </w:rPr>
              <w:t>subsidio</w:t>
            </w:r>
            <w:r>
              <w:rPr>
                <w:spacing w:val="-5"/>
                <w:sz w:val="20"/>
              </w:rPr>
              <w:t> </w:t>
            </w:r>
            <w:r>
              <w:rPr>
                <w:spacing w:val="-4"/>
                <w:sz w:val="20"/>
              </w:rPr>
              <w:t>Veda.</w:t>
            </w:r>
          </w:p>
        </w:tc>
      </w:tr>
      <w:tr>
        <w:trPr>
          <w:trHeight w:val="302" w:hRule="atLeast"/>
        </w:trPr>
        <w:tc>
          <w:tcPr>
            <w:tcW w:w="2835" w:type="dxa"/>
            <w:shd w:val="clear" w:color="auto" w:fill="DCE6F0"/>
          </w:tcPr>
          <w:p>
            <w:pPr>
              <w:pStyle w:val="TableParagraph"/>
              <w:spacing w:before="35"/>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35"/>
              <w:ind w:left="69"/>
              <w:rPr>
                <w:sz w:val="20"/>
              </w:rPr>
            </w:pPr>
            <w:r>
              <w:rPr>
                <w:spacing w:val="-2"/>
                <w:sz w:val="20"/>
              </w:rPr>
              <w:t>Cantidad</w:t>
            </w:r>
          </w:p>
        </w:tc>
      </w:tr>
      <w:tr>
        <w:trPr>
          <w:trHeight w:val="918" w:hRule="atLeast"/>
        </w:trPr>
        <w:tc>
          <w:tcPr>
            <w:tcW w:w="2835" w:type="dxa"/>
            <w:shd w:val="clear" w:color="auto" w:fill="DCE6F0"/>
          </w:tcPr>
          <w:p>
            <w:pPr>
              <w:pStyle w:val="TableParagraph"/>
              <w:spacing w:before="112"/>
              <w:rPr>
                <w:b/>
                <w:sz w:val="20"/>
              </w:rPr>
            </w:pPr>
          </w:p>
          <w:p>
            <w:pPr>
              <w:pStyle w:val="TableParagraph"/>
              <w:ind w:left="67"/>
              <w:rPr>
                <w:b/>
                <w:sz w:val="20"/>
              </w:rPr>
            </w:pPr>
            <w:r>
              <w:rPr>
                <w:b/>
                <w:spacing w:val="-2"/>
                <w:sz w:val="20"/>
              </w:rPr>
              <w:t>Interpretación:</w:t>
            </w:r>
          </w:p>
        </w:tc>
        <w:tc>
          <w:tcPr>
            <w:tcW w:w="7514" w:type="dxa"/>
          </w:tcPr>
          <w:p>
            <w:pPr>
              <w:pStyle w:val="TableParagraph"/>
              <w:ind w:left="69" w:right="83"/>
              <w:rPr>
                <w:sz w:val="20"/>
              </w:rPr>
            </w:pPr>
            <w:r>
              <w:rPr>
                <w:sz w:val="20"/>
              </w:rPr>
              <w:t>La cantidad de personas que reciben el subsidio Veda, en “X” período es de “Y”. En</w:t>
            </w:r>
            <w:r>
              <w:rPr>
                <w:spacing w:val="-4"/>
                <w:sz w:val="20"/>
              </w:rPr>
              <w:t> </w:t>
            </w:r>
            <w:r>
              <w:rPr>
                <w:sz w:val="20"/>
              </w:rPr>
              <w:t>esta</w:t>
            </w:r>
            <w:r>
              <w:rPr>
                <w:spacing w:val="-4"/>
                <w:sz w:val="20"/>
              </w:rPr>
              <w:t> </w:t>
            </w:r>
            <w:r>
              <w:rPr>
                <w:sz w:val="20"/>
              </w:rPr>
              <w:t>“X”</w:t>
            </w:r>
            <w:r>
              <w:rPr>
                <w:spacing w:val="-3"/>
                <w:sz w:val="20"/>
              </w:rPr>
              <w:t> </w:t>
            </w:r>
            <w:r>
              <w:rPr>
                <w:sz w:val="20"/>
              </w:rPr>
              <w:t>representa</w:t>
            </w:r>
            <w:r>
              <w:rPr>
                <w:spacing w:val="-2"/>
                <w:sz w:val="20"/>
              </w:rPr>
              <w:t> </w:t>
            </w:r>
            <w:r>
              <w:rPr>
                <w:sz w:val="20"/>
              </w:rPr>
              <w:t>el</w:t>
            </w:r>
            <w:r>
              <w:rPr>
                <w:spacing w:val="-3"/>
                <w:sz w:val="20"/>
              </w:rPr>
              <w:t> </w:t>
            </w:r>
            <w:r>
              <w:rPr>
                <w:sz w:val="20"/>
              </w:rPr>
              <w:t>período</w:t>
            </w:r>
            <w:r>
              <w:rPr>
                <w:spacing w:val="-3"/>
                <w:sz w:val="20"/>
              </w:rPr>
              <w:t> </w:t>
            </w:r>
            <w:r>
              <w:rPr>
                <w:sz w:val="20"/>
              </w:rPr>
              <w:t>de</w:t>
            </w:r>
            <w:r>
              <w:rPr>
                <w:spacing w:val="-5"/>
                <w:sz w:val="20"/>
              </w:rPr>
              <w:t> </w:t>
            </w:r>
            <w:r>
              <w:rPr>
                <w:sz w:val="20"/>
              </w:rPr>
              <w:t>tiempo</w:t>
            </w:r>
            <w:r>
              <w:rPr>
                <w:spacing w:val="-2"/>
                <w:sz w:val="20"/>
              </w:rPr>
              <w:t> </w:t>
            </w:r>
            <w:r>
              <w:rPr>
                <w:sz w:val="20"/>
              </w:rPr>
              <w:t>según</w:t>
            </w:r>
            <w:r>
              <w:rPr>
                <w:spacing w:val="-4"/>
                <w:sz w:val="20"/>
              </w:rPr>
              <w:t> </w:t>
            </w:r>
            <w:r>
              <w:rPr>
                <w:sz w:val="20"/>
              </w:rPr>
              <w:t>la</w:t>
            </w:r>
            <w:r>
              <w:rPr>
                <w:spacing w:val="-4"/>
                <w:sz w:val="20"/>
              </w:rPr>
              <w:t> </w:t>
            </w:r>
            <w:r>
              <w:rPr>
                <w:sz w:val="20"/>
              </w:rPr>
              <w:t>frecuencia</w:t>
            </w:r>
            <w:r>
              <w:rPr>
                <w:spacing w:val="-2"/>
                <w:sz w:val="20"/>
              </w:rPr>
              <w:t> </w:t>
            </w:r>
            <w:r>
              <w:rPr>
                <w:sz w:val="20"/>
              </w:rPr>
              <w:t>de</w:t>
            </w:r>
            <w:r>
              <w:rPr>
                <w:spacing w:val="-3"/>
                <w:sz w:val="20"/>
              </w:rPr>
              <w:t> </w:t>
            </w:r>
            <w:r>
              <w:rPr>
                <w:sz w:val="20"/>
              </w:rPr>
              <w:t>medición,</w:t>
            </w:r>
            <w:r>
              <w:rPr>
                <w:spacing w:val="-4"/>
                <w:sz w:val="20"/>
              </w:rPr>
              <w:t> </w:t>
            </w:r>
            <w:r>
              <w:rPr>
                <w:sz w:val="20"/>
              </w:rPr>
              <w:t>y</w:t>
            </w:r>
            <w:r>
              <w:rPr>
                <w:spacing w:val="-3"/>
                <w:sz w:val="20"/>
              </w:rPr>
              <w:t> </w:t>
            </w:r>
            <w:r>
              <w:rPr>
                <w:sz w:val="20"/>
              </w:rPr>
              <w:t>“Y” significa la meta alcanzada a ese momento según la unidad de medida</w:t>
            </w:r>
          </w:p>
          <w:p>
            <w:pPr>
              <w:pStyle w:val="TableParagraph"/>
              <w:spacing w:line="209" w:lineRule="exact"/>
              <w:ind w:left="69"/>
              <w:rPr>
                <w:sz w:val="20"/>
              </w:rPr>
            </w:pPr>
            <w:r>
              <w:rPr>
                <w:spacing w:val="-2"/>
                <w:sz w:val="20"/>
              </w:rPr>
              <w:t>establecida.</w:t>
            </w:r>
          </w:p>
        </w:tc>
      </w:tr>
      <w:tr>
        <w:trPr>
          <w:trHeight w:val="299" w:hRule="atLeast"/>
        </w:trPr>
        <w:tc>
          <w:tcPr>
            <w:tcW w:w="2835" w:type="dxa"/>
            <w:shd w:val="clear" w:color="auto" w:fill="DCE6F0"/>
          </w:tcPr>
          <w:p>
            <w:pPr>
              <w:pStyle w:val="TableParagraph"/>
              <w:spacing w:before="35"/>
              <w:ind w:left="67"/>
              <w:rPr>
                <w:b/>
                <w:sz w:val="20"/>
              </w:rPr>
            </w:pPr>
            <w:r>
              <w:rPr>
                <w:b/>
                <w:spacing w:val="-2"/>
                <w:sz w:val="20"/>
              </w:rPr>
              <w:t>Desagregación</w:t>
            </w:r>
          </w:p>
        </w:tc>
        <w:tc>
          <w:tcPr>
            <w:tcW w:w="7514" w:type="dxa"/>
          </w:tcPr>
          <w:p>
            <w:pPr>
              <w:pStyle w:val="TableParagraph"/>
              <w:spacing w:before="35"/>
              <w:ind w:left="69"/>
              <w:rPr>
                <w:sz w:val="20"/>
              </w:rPr>
            </w:pPr>
            <w:r>
              <w:rPr>
                <w:sz w:val="20"/>
              </w:rPr>
              <w:t>No</w:t>
            </w:r>
            <w:r>
              <w:rPr>
                <w:spacing w:val="-5"/>
                <w:sz w:val="20"/>
              </w:rPr>
              <w:t> </w:t>
            </w:r>
            <w:r>
              <w:rPr>
                <w:spacing w:val="-2"/>
                <w:sz w:val="20"/>
              </w:rPr>
              <w:t>aplica.</w:t>
            </w:r>
          </w:p>
        </w:tc>
      </w:tr>
      <w:tr>
        <w:trPr>
          <w:trHeight w:val="299" w:hRule="atLeast"/>
        </w:trPr>
        <w:tc>
          <w:tcPr>
            <w:tcW w:w="2835" w:type="dxa"/>
            <w:shd w:val="clear" w:color="auto" w:fill="DCE6F0"/>
          </w:tcPr>
          <w:p>
            <w:pPr>
              <w:pStyle w:val="TableParagraph"/>
              <w:spacing w:before="35"/>
              <w:ind w:left="67"/>
              <w:rPr>
                <w:b/>
                <w:sz w:val="20"/>
              </w:rPr>
            </w:pPr>
            <w:r>
              <w:rPr>
                <w:b/>
                <w:spacing w:val="-2"/>
                <w:sz w:val="20"/>
              </w:rPr>
              <w:t>Meta:</w:t>
            </w:r>
          </w:p>
        </w:tc>
        <w:tc>
          <w:tcPr>
            <w:tcW w:w="7514" w:type="dxa"/>
          </w:tcPr>
          <w:p>
            <w:pPr>
              <w:pStyle w:val="TableParagraph"/>
              <w:spacing w:before="35"/>
              <w:ind w:left="69"/>
              <w:rPr>
                <w:sz w:val="20"/>
              </w:rPr>
            </w:pPr>
            <w:r>
              <w:rPr>
                <w:sz w:val="20"/>
              </w:rPr>
              <w:t>1</w:t>
            </w:r>
            <w:r>
              <w:rPr>
                <w:spacing w:val="-3"/>
                <w:sz w:val="20"/>
              </w:rPr>
              <w:t> </w:t>
            </w:r>
            <w:r>
              <w:rPr>
                <w:spacing w:val="-5"/>
                <w:sz w:val="20"/>
              </w:rPr>
              <w:t>500</w:t>
            </w:r>
          </w:p>
        </w:tc>
      </w:tr>
      <w:tr>
        <w:trPr>
          <w:trHeight w:val="301" w:hRule="atLeast"/>
        </w:trPr>
        <w:tc>
          <w:tcPr>
            <w:tcW w:w="2835" w:type="dxa"/>
            <w:shd w:val="clear" w:color="auto" w:fill="DCE6F0"/>
          </w:tcPr>
          <w:p>
            <w:pPr>
              <w:pStyle w:val="TableParagraph"/>
              <w:spacing w:before="35"/>
              <w:ind w:left="67"/>
              <w:rPr>
                <w:b/>
                <w:sz w:val="20"/>
              </w:rPr>
            </w:pPr>
            <w:r>
              <w:rPr>
                <w:b/>
                <w:sz w:val="20"/>
              </w:rPr>
              <w:t>Línea</w:t>
            </w:r>
            <w:r>
              <w:rPr>
                <w:b/>
                <w:spacing w:val="-10"/>
                <w:sz w:val="20"/>
              </w:rPr>
              <w:t> </w:t>
            </w:r>
            <w:r>
              <w:rPr>
                <w:b/>
                <w:sz w:val="20"/>
              </w:rPr>
              <w:t>Base</w:t>
            </w:r>
            <w:r>
              <w:rPr>
                <w:b/>
                <w:spacing w:val="-7"/>
                <w:sz w:val="20"/>
              </w:rPr>
              <w:t> </w:t>
            </w:r>
            <w:r>
              <w:rPr>
                <w:b/>
                <w:spacing w:val="-4"/>
                <w:sz w:val="20"/>
              </w:rPr>
              <w:t>2025</w:t>
            </w:r>
          </w:p>
        </w:tc>
        <w:tc>
          <w:tcPr>
            <w:tcW w:w="7514" w:type="dxa"/>
          </w:tcPr>
          <w:p>
            <w:pPr>
              <w:pStyle w:val="TableParagraph"/>
              <w:spacing w:line="211" w:lineRule="exact" w:before="71"/>
              <w:ind w:left="69"/>
              <w:rPr>
                <w:sz w:val="20"/>
              </w:rPr>
            </w:pPr>
            <w:r>
              <w:rPr>
                <w:sz w:val="20"/>
              </w:rPr>
              <w:t>1</w:t>
            </w:r>
            <w:r>
              <w:rPr>
                <w:spacing w:val="-3"/>
                <w:sz w:val="20"/>
              </w:rPr>
              <w:t> </w:t>
            </w:r>
            <w:r>
              <w:rPr>
                <w:spacing w:val="-5"/>
                <w:sz w:val="20"/>
              </w:rPr>
              <w:t>107</w:t>
            </w:r>
          </w:p>
        </w:tc>
      </w:tr>
      <w:tr>
        <w:trPr>
          <w:trHeight w:val="508" w:hRule="atLeast"/>
        </w:trPr>
        <w:tc>
          <w:tcPr>
            <w:tcW w:w="2835" w:type="dxa"/>
            <w:shd w:val="clear" w:color="auto" w:fill="DCE6F0"/>
          </w:tcPr>
          <w:p>
            <w:pPr>
              <w:pStyle w:val="TableParagraph"/>
              <w:spacing w:before="2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138"/>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510" w:hRule="atLeast"/>
        </w:trPr>
        <w:tc>
          <w:tcPr>
            <w:tcW w:w="2835" w:type="dxa"/>
            <w:shd w:val="clear" w:color="auto" w:fill="DCE6F0"/>
          </w:tcPr>
          <w:p>
            <w:pPr>
              <w:pStyle w:val="TableParagraph"/>
              <w:spacing w:before="26"/>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26"/>
              <w:ind w:left="69"/>
              <w:rPr>
                <w:sz w:val="20"/>
              </w:rPr>
            </w:pPr>
            <w:r>
              <w:rPr>
                <w:sz w:val="20"/>
              </w:rPr>
              <w:t>Nombre:</w:t>
            </w:r>
            <w:r>
              <w:rPr>
                <w:spacing w:val="-10"/>
                <w:sz w:val="20"/>
              </w:rPr>
              <w:t> </w:t>
            </w:r>
            <w:r>
              <w:rPr>
                <w:sz w:val="20"/>
              </w:rPr>
              <w:t>Raquel</w:t>
            </w:r>
            <w:r>
              <w:rPr>
                <w:spacing w:val="-11"/>
                <w:sz w:val="20"/>
              </w:rPr>
              <w:t> </w:t>
            </w:r>
            <w:r>
              <w:rPr>
                <w:sz w:val="20"/>
              </w:rPr>
              <w:t>Quesada</w:t>
            </w:r>
            <w:r>
              <w:rPr>
                <w:spacing w:val="-9"/>
                <w:sz w:val="20"/>
              </w:rPr>
              <w:t> </w:t>
            </w:r>
            <w:r>
              <w:rPr>
                <w:spacing w:val="-2"/>
                <w:sz w:val="20"/>
              </w:rPr>
              <w:t>Jiménez.</w:t>
            </w:r>
          </w:p>
          <w:p>
            <w:pPr>
              <w:pStyle w:val="TableParagraph"/>
              <w:ind w:left="69"/>
              <w:rPr>
                <w:sz w:val="20"/>
              </w:rPr>
            </w:pPr>
            <w:r>
              <w:rPr>
                <w:sz w:val="20"/>
              </w:rPr>
              <w:t>Cargo:</w:t>
            </w:r>
            <w:r>
              <w:rPr>
                <w:spacing w:val="-10"/>
                <w:sz w:val="20"/>
              </w:rPr>
              <w:t> </w:t>
            </w:r>
            <w:r>
              <w:rPr>
                <w:sz w:val="20"/>
              </w:rPr>
              <w:t>Jefatura,</w:t>
            </w:r>
            <w:r>
              <w:rPr>
                <w:spacing w:val="-10"/>
                <w:sz w:val="20"/>
              </w:rPr>
              <w:t> </w:t>
            </w:r>
            <w:r>
              <w:rPr>
                <w:sz w:val="20"/>
              </w:rPr>
              <w:t>Departamento</w:t>
            </w:r>
            <w:r>
              <w:rPr>
                <w:spacing w:val="-9"/>
                <w:sz w:val="20"/>
              </w:rPr>
              <w:t> </w:t>
            </w:r>
            <w:r>
              <w:rPr>
                <w:sz w:val="20"/>
              </w:rPr>
              <w:t>de</w:t>
            </w:r>
            <w:r>
              <w:rPr>
                <w:spacing w:val="-9"/>
                <w:sz w:val="20"/>
              </w:rPr>
              <w:t> </w:t>
            </w:r>
            <w:r>
              <w:rPr>
                <w:sz w:val="20"/>
              </w:rPr>
              <w:t>Bienestar</w:t>
            </w:r>
            <w:r>
              <w:rPr>
                <w:spacing w:val="-10"/>
                <w:sz w:val="20"/>
              </w:rPr>
              <w:t> </w:t>
            </w:r>
            <w:r>
              <w:rPr>
                <w:spacing w:val="-2"/>
                <w:sz w:val="20"/>
              </w:rPr>
              <w:t>Familiar</w:t>
            </w:r>
          </w:p>
        </w:tc>
      </w:tr>
      <w:tr>
        <w:trPr>
          <w:trHeight w:val="510" w:hRule="atLeast"/>
        </w:trPr>
        <w:tc>
          <w:tcPr>
            <w:tcW w:w="2835" w:type="dxa"/>
            <w:shd w:val="clear" w:color="auto" w:fill="DCE6F0"/>
          </w:tcPr>
          <w:p>
            <w:pPr>
              <w:pStyle w:val="TableParagraph"/>
              <w:spacing w:before="23"/>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38"/>
              <w:ind w:left="69"/>
              <w:rPr>
                <w:sz w:val="20"/>
              </w:rPr>
            </w:pPr>
            <w:r>
              <w:rPr>
                <w:sz w:val="20"/>
              </w:rPr>
              <w:t>Dirección</w:t>
            </w:r>
            <w:r>
              <w:rPr>
                <w:spacing w:val="-9"/>
                <w:sz w:val="20"/>
              </w:rPr>
              <w:t> </w:t>
            </w:r>
            <w:r>
              <w:rPr>
                <w:sz w:val="20"/>
              </w:rPr>
              <w:t>de</w:t>
            </w:r>
            <w:r>
              <w:rPr>
                <w:spacing w:val="-9"/>
                <w:sz w:val="20"/>
              </w:rPr>
              <w:t> </w:t>
            </w:r>
            <w:r>
              <w:rPr>
                <w:sz w:val="20"/>
              </w:rPr>
              <w:t>Desarrollo</w:t>
            </w:r>
            <w:r>
              <w:rPr>
                <w:spacing w:val="-8"/>
                <w:sz w:val="20"/>
              </w:rPr>
              <w:t> </w:t>
            </w:r>
            <w:r>
              <w:rPr>
                <w:sz w:val="20"/>
              </w:rPr>
              <w:t>Social,</w:t>
            </w:r>
            <w:r>
              <w:rPr>
                <w:spacing w:val="-9"/>
                <w:sz w:val="20"/>
              </w:rPr>
              <w:t> </w:t>
            </w:r>
            <w:r>
              <w:rPr>
                <w:sz w:val="20"/>
              </w:rPr>
              <w:t>Departamento</w:t>
            </w:r>
            <w:r>
              <w:rPr>
                <w:spacing w:val="-8"/>
                <w:sz w:val="20"/>
              </w:rPr>
              <w:t> </w:t>
            </w:r>
            <w:r>
              <w:rPr>
                <w:sz w:val="20"/>
              </w:rPr>
              <w:t>de</w:t>
            </w:r>
            <w:r>
              <w:rPr>
                <w:spacing w:val="-9"/>
                <w:sz w:val="20"/>
              </w:rPr>
              <w:t> </w:t>
            </w:r>
            <w:r>
              <w:rPr>
                <w:sz w:val="20"/>
              </w:rPr>
              <w:t>Bienestar</w:t>
            </w:r>
            <w:r>
              <w:rPr>
                <w:spacing w:val="-11"/>
                <w:sz w:val="20"/>
              </w:rPr>
              <w:t> </w:t>
            </w:r>
            <w:r>
              <w:rPr>
                <w:spacing w:val="-2"/>
                <w:sz w:val="20"/>
              </w:rPr>
              <w:t>Familiar</w:t>
            </w:r>
          </w:p>
        </w:tc>
      </w:tr>
      <w:tr>
        <w:trPr>
          <w:trHeight w:val="299" w:hRule="atLeast"/>
        </w:trPr>
        <w:tc>
          <w:tcPr>
            <w:tcW w:w="2835" w:type="dxa"/>
            <w:shd w:val="clear" w:color="auto" w:fill="DCE6F0"/>
          </w:tcPr>
          <w:p>
            <w:pPr>
              <w:pStyle w:val="TableParagraph"/>
              <w:spacing w:before="33"/>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33"/>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885" w:hRule="atLeast"/>
        </w:trPr>
        <w:tc>
          <w:tcPr>
            <w:tcW w:w="2835" w:type="dxa"/>
            <w:shd w:val="clear" w:color="auto" w:fill="DCE6F0"/>
          </w:tcPr>
          <w:p>
            <w:pPr>
              <w:pStyle w:val="TableParagraph"/>
              <w:spacing w:before="95"/>
              <w:rPr>
                <w:b/>
                <w:sz w:val="20"/>
              </w:rPr>
            </w:pPr>
          </w:p>
          <w:p>
            <w:pPr>
              <w:pStyle w:val="TableParagraph"/>
              <w:spacing w:before="1"/>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210"/>
              <w:ind w:left="69"/>
              <w:rPr>
                <w:sz w:val="20"/>
              </w:rPr>
            </w:pPr>
            <w:r>
              <w:rPr>
                <w:sz w:val="20"/>
              </w:rPr>
              <w:t>Informes</w:t>
            </w:r>
            <w:r>
              <w:rPr>
                <w:spacing w:val="-5"/>
                <w:sz w:val="20"/>
              </w:rPr>
              <w:t> </w:t>
            </w:r>
            <w:r>
              <w:rPr>
                <w:sz w:val="20"/>
              </w:rPr>
              <w:t>del</w:t>
            </w:r>
            <w:r>
              <w:rPr>
                <w:spacing w:val="-6"/>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6"/>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765" w:hRule="atLeast"/>
        </w:trPr>
        <w:tc>
          <w:tcPr>
            <w:tcW w:w="2835" w:type="dxa"/>
            <w:shd w:val="clear" w:color="auto" w:fill="DCE6F0"/>
          </w:tcPr>
          <w:p>
            <w:pPr>
              <w:pStyle w:val="TableParagraph"/>
              <w:spacing w:before="35"/>
              <w:rPr>
                <w:b/>
                <w:sz w:val="20"/>
              </w:rPr>
            </w:pPr>
          </w:p>
          <w:p>
            <w:pPr>
              <w:pStyle w:val="TableParagraph"/>
              <w:spacing w:before="1"/>
              <w:ind w:left="67"/>
              <w:rPr>
                <w:b/>
                <w:sz w:val="20"/>
              </w:rPr>
            </w:pPr>
            <w:r>
              <w:rPr>
                <w:b/>
                <w:spacing w:val="-2"/>
                <w:sz w:val="20"/>
              </w:rPr>
              <w:t>Clasificación</w:t>
            </w:r>
          </w:p>
        </w:tc>
        <w:tc>
          <w:tcPr>
            <w:tcW w:w="7514" w:type="dxa"/>
          </w:tcPr>
          <w:p>
            <w:pPr>
              <w:pStyle w:val="TableParagraph"/>
              <w:spacing w:before="35"/>
              <w:rPr>
                <w:b/>
                <w:sz w:val="20"/>
              </w:rPr>
            </w:pPr>
          </w:p>
          <w:p>
            <w:pPr>
              <w:pStyle w:val="TableParagraph"/>
              <w:spacing w:before="1"/>
              <w:ind w:left="69"/>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5"/>
                <w:sz w:val="20"/>
              </w:rPr>
              <w:t> </w:t>
            </w:r>
            <w:r>
              <w:rPr>
                <w:sz w:val="20"/>
              </w:rPr>
              <w:t>Producto</w:t>
            </w:r>
            <w:r>
              <w:rPr>
                <w:spacing w:val="-8"/>
                <w:sz w:val="20"/>
              </w:rPr>
              <w:t> </w:t>
            </w:r>
            <w:r>
              <w:rPr>
                <w:spacing w:val="-5"/>
                <w:sz w:val="20"/>
              </w:rPr>
              <w:t>(X)</w:t>
            </w:r>
          </w:p>
        </w:tc>
      </w:tr>
      <w:tr>
        <w:trPr>
          <w:trHeight w:val="1149" w:hRule="atLeast"/>
        </w:trPr>
        <w:tc>
          <w:tcPr>
            <w:tcW w:w="2835" w:type="dxa"/>
            <w:shd w:val="clear" w:color="auto" w:fill="DCE6F0"/>
          </w:tcPr>
          <w:p>
            <w:pPr>
              <w:pStyle w:val="TableParagraph"/>
              <w:spacing w:before="228"/>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ind w:left="69"/>
              <w:rPr>
                <w:sz w:val="20"/>
              </w:rPr>
            </w:pPr>
            <w:r>
              <w:rPr>
                <w:sz w:val="20"/>
              </w:rPr>
              <w:t>En</w:t>
            </w:r>
            <w:r>
              <w:rPr>
                <w:spacing w:val="-5"/>
                <w:sz w:val="20"/>
              </w:rPr>
              <w:t> </w:t>
            </w:r>
            <w:r>
              <w:rPr>
                <w:sz w:val="20"/>
              </w:rPr>
              <w:t>el</w:t>
            </w:r>
            <w:r>
              <w:rPr>
                <w:spacing w:val="-4"/>
                <w:sz w:val="20"/>
              </w:rPr>
              <w:t> </w:t>
            </w:r>
            <w:r>
              <w:rPr>
                <w:sz w:val="20"/>
              </w:rPr>
              <w:t>SABEN</w:t>
            </w:r>
            <w:r>
              <w:rPr>
                <w:spacing w:val="-5"/>
                <w:sz w:val="20"/>
              </w:rPr>
              <w:t> </w:t>
            </w:r>
            <w:r>
              <w:rPr>
                <w:sz w:val="20"/>
              </w:rPr>
              <w:t>se</w:t>
            </w:r>
            <w:r>
              <w:rPr>
                <w:spacing w:val="-5"/>
                <w:sz w:val="20"/>
              </w:rPr>
              <w:t> </w:t>
            </w:r>
            <w:r>
              <w:rPr>
                <w:sz w:val="20"/>
              </w:rPr>
              <w:t>define</w:t>
            </w:r>
            <w:r>
              <w:rPr>
                <w:spacing w:val="-6"/>
                <w:sz w:val="20"/>
              </w:rPr>
              <w:t> </w:t>
            </w:r>
            <w:r>
              <w:rPr>
                <w:sz w:val="20"/>
              </w:rPr>
              <w:t>como</w:t>
            </w:r>
            <w:r>
              <w:rPr>
                <w:spacing w:val="-5"/>
                <w:sz w:val="20"/>
              </w:rPr>
              <w:t> </w:t>
            </w:r>
            <w:r>
              <w:rPr>
                <w:sz w:val="20"/>
              </w:rPr>
              <w:t>personas</w:t>
            </w:r>
            <w:r>
              <w:rPr>
                <w:spacing w:val="-4"/>
                <w:sz w:val="20"/>
              </w:rPr>
              <w:t> </w:t>
            </w:r>
            <w:r>
              <w:rPr>
                <w:sz w:val="20"/>
              </w:rPr>
              <w:t>receptoras</w:t>
            </w:r>
            <w:r>
              <w:rPr>
                <w:spacing w:val="-4"/>
                <w:sz w:val="20"/>
              </w:rPr>
              <w:t> </w:t>
            </w:r>
            <w:r>
              <w:rPr>
                <w:sz w:val="20"/>
              </w:rPr>
              <w:t>a</w:t>
            </w:r>
            <w:r>
              <w:rPr>
                <w:spacing w:val="-3"/>
                <w:sz w:val="20"/>
              </w:rPr>
              <w:t> </w:t>
            </w:r>
            <w:r>
              <w:rPr>
                <w:sz w:val="20"/>
              </w:rPr>
              <w:t>las</w:t>
            </w:r>
            <w:r>
              <w:rPr>
                <w:spacing w:val="-4"/>
                <w:sz w:val="20"/>
              </w:rPr>
              <w:t> </w:t>
            </w:r>
            <w:r>
              <w:rPr>
                <w:sz w:val="20"/>
              </w:rPr>
              <w:t>personas</w:t>
            </w:r>
            <w:r>
              <w:rPr>
                <w:spacing w:val="-2"/>
                <w:sz w:val="20"/>
              </w:rPr>
              <w:t> </w:t>
            </w:r>
            <w:r>
              <w:rPr>
                <w:sz w:val="20"/>
              </w:rPr>
              <w:t>que</w:t>
            </w:r>
            <w:r>
              <w:rPr>
                <w:spacing w:val="-3"/>
                <w:sz w:val="20"/>
              </w:rPr>
              <w:t> </w:t>
            </w:r>
            <w:r>
              <w:rPr>
                <w:sz w:val="20"/>
              </w:rPr>
              <w:t>al</w:t>
            </w:r>
            <w:r>
              <w:rPr>
                <w:spacing w:val="-4"/>
                <w:sz w:val="20"/>
              </w:rPr>
              <w:t> </w:t>
            </w:r>
            <w:r>
              <w:rPr>
                <w:sz w:val="20"/>
              </w:rPr>
              <w:t>menos hayan recibido un mes el subsidio.</w:t>
            </w:r>
          </w:p>
          <w:p>
            <w:pPr>
              <w:pStyle w:val="TableParagraph"/>
              <w:spacing w:line="230" w:lineRule="exact"/>
              <w:ind w:left="69" w:right="170"/>
              <w:rPr>
                <w:sz w:val="20"/>
              </w:rPr>
            </w:pPr>
            <w:r>
              <w:rPr>
                <w:sz w:val="20"/>
              </w:rPr>
              <w:t>Se</w:t>
            </w:r>
            <w:r>
              <w:rPr>
                <w:spacing w:val="-5"/>
                <w:sz w:val="20"/>
              </w:rPr>
              <w:t> </w:t>
            </w:r>
            <w:r>
              <w:rPr>
                <w:sz w:val="20"/>
              </w:rPr>
              <w:t>otorga</w:t>
            </w:r>
            <w:r>
              <w:rPr>
                <w:spacing w:val="-3"/>
                <w:sz w:val="20"/>
              </w:rPr>
              <w:t> </w:t>
            </w:r>
            <w:r>
              <w:rPr>
                <w:sz w:val="20"/>
              </w:rPr>
              <w:t>el</w:t>
            </w:r>
            <w:r>
              <w:rPr>
                <w:spacing w:val="-4"/>
                <w:sz w:val="20"/>
              </w:rPr>
              <w:t> </w:t>
            </w:r>
            <w:r>
              <w:rPr>
                <w:sz w:val="20"/>
              </w:rPr>
              <w:t>subsidio</w:t>
            </w:r>
            <w:r>
              <w:rPr>
                <w:spacing w:val="-3"/>
                <w:sz w:val="20"/>
              </w:rPr>
              <w:t> </w:t>
            </w:r>
            <w:r>
              <w:rPr>
                <w:sz w:val="20"/>
              </w:rPr>
              <w:t>al</w:t>
            </w:r>
            <w:r>
              <w:rPr>
                <w:spacing w:val="-4"/>
                <w:sz w:val="20"/>
              </w:rPr>
              <w:t> </w:t>
            </w:r>
            <w:r>
              <w:rPr>
                <w:sz w:val="20"/>
              </w:rPr>
              <w:t>amparo</w:t>
            </w:r>
            <w:r>
              <w:rPr>
                <w:spacing w:val="-5"/>
                <w:sz w:val="20"/>
              </w:rPr>
              <w:t> </w:t>
            </w:r>
            <w:r>
              <w:rPr>
                <w:sz w:val="20"/>
              </w:rPr>
              <w:t>de</w:t>
            </w:r>
            <w:r>
              <w:rPr>
                <w:spacing w:val="-5"/>
                <w:sz w:val="20"/>
              </w:rPr>
              <w:t> </w:t>
            </w:r>
            <w:r>
              <w:rPr>
                <w:sz w:val="20"/>
              </w:rPr>
              <w:t>lo</w:t>
            </w:r>
            <w:r>
              <w:rPr>
                <w:spacing w:val="-5"/>
                <w:sz w:val="20"/>
              </w:rPr>
              <w:t> </w:t>
            </w:r>
            <w:r>
              <w:rPr>
                <w:sz w:val="20"/>
              </w:rPr>
              <w:t>indicado</w:t>
            </w:r>
            <w:r>
              <w:rPr>
                <w:spacing w:val="-3"/>
                <w:sz w:val="20"/>
              </w:rPr>
              <w:t> </w:t>
            </w:r>
            <w:r>
              <w:rPr>
                <w:sz w:val="20"/>
              </w:rPr>
              <w:t>en</w:t>
            </w:r>
            <w:r>
              <w:rPr>
                <w:spacing w:val="-4"/>
                <w:sz w:val="20"/>
              </w:rPr>
              <w:t> </w:t>
            </w:r>
            <w:r>
              <w:rPr>
                <w:sz w:val="20"/>
              </w:rPr>
              <w:t>el</w:t>
            </w:r>
            <w:r>
              <w:rPr>
                <w:spacing w:val="-6"/>
                <w:sz w:val="20"/>
              </w:rPr>
              <w:t> </w:t>
            </w:r>
            <w:r>
              <w:rPr>
                <w:sz w:val="20"/>
              </w:rPr>
              <w:t>Decreto</w:t>
            </w:r>
            <w:r>
              <w:rPr>
                <w:spacing w:val="-6"/>
                <w:sz w:val="20"/>
              </w:rPr>
              <w:t> </w:t>
            </w:r>
            <w:r>
              <w:rPr>
                <w:sz w:val="20"/>
              </w:rPr>
              <w:t>Ejecutivo correspondiente establecido por el MAG y el Acuerdo establecido por </w:t>
            </w:r>
            <w:r>
              <w:rPr>
                <w:spacing w:val="-2"/>
                <w:sz w:val="20"/>
              </w:rPr>
              <w:t>INCOPESCA.</w:t>
            </w:r>
          </w:p>
        </w:tc>
      </w:tr>
    </w:tbl>
    <w:p>
      <w:pPr>
        <w:pStyle w:val="BodyText"/>
        <w:rPr>
          <w:b/>
          <w:sz w:val="20"/>
        </w:rPr>
      </w:pPr>
    </w:p>
    <w:p>
      <w:pPr>
        <w:pStyle w:val="BodyText"/>
        <w:rPr>
          <w:b/>
          <w:sz w:val="20"/>
        </w:rPr>
      </w:pPr>
    </w:p>
    <w:p>
      <w:pPr>
        <w:pStyle w:val="BodyText"/>
        <w:spacing w:before="54" w:after="1"/>
        <w:rPr>
          <w:b/>
          <w:sz w:val="20"/>
        </w:rPr>
      </w:pPr>
    </w:p>
    <w:tbl>
      <w:tblPr>
        <w:tblW w:w="0" w:type="auto"/>
        <w:jc w:val="left"/>
        <w:tblInd w:w="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98"/>
        <w:gridCol w:w="1337"/>
        <w:gridCol w:w="7514"/>
      </w:tblGrid>
      <w:tr>
        <w:trPr>
          <w:trHeight w:val="313" w:hRule="atLeast"/>
        </w:trPr>
        <w:tc>
          <w:tcPr>
            <w:tcW w:w="2835" w:type="dxa"/>
            <w:gridSpan w:val="2"/>
            <w:shd w:val="clear" w:color="auto" w:fill="DCE6F0"/>
          </w:tcPr>
          <w:p>
            <w:pPr>
              <w:pStyle w:val="TableParagraph"/>
              <w:spacing w:before="40"/>
              <w:ind w:left="67"/>
              <w:rPr>
                <w:b/>
                <w:sz w:val="20"/>
              </w:rPr>
            </w:pPr>
            <w:r>
              <w:rPr>
                <w:b/>
                <w:sz w:val="20"/>
              </w:rPr>
              <w:t>PPPS</w:t>
            </w:r>
            <w:r>
              <w:rPr>
                <w:b/>
                <w:spacing w:val="-6"/>
                <w:sz w:val="20"/>
              </w:rPr>
              <w:t> </w:t>
            </w:r>
            <w:r>
              <w:rPr>
                <w:b/>
                <w:spacing w:val="-2"/>
                <w:sz w:val="20"/>
              </w:rPr>
              <w:t>1.1.6:</w:t>
            </w:r>
          </w:p>
        </w:tc>
        <w:tc>
          <w:tcPr>
            <w:tcW w:w="7514" w:type="dxa"/>
          </w:tcPr>
          <w:p>
            <w:pPr>
              <w:pStyle w:val="TableParagraph"/>
              <w:spacing w:before="40"/>
              <w:ind w:left="69"/>
              <w:rPr>
                <w:sz w:val="20"/>
              </w:rPr>
            </w:pPr>
            <w:r>
              <w:rPr>
                <w:sz w:val="20"/>
              </w:rPr>
              <w:t>Nombre</w:t>
            </w:r>
            <w:r>
              <w:rPr>
                <w:spacing w:val="-7"/>
                <w:sz w:val="20"/>
              </w:rPr>
              <w:t> </w:t>
            </w:r>
            <w:r>
              <w:rPr>
                <w:sz w:val="20"/>
              </w:rPr>
              <w:t>del</w:t>
            </w:r>
            <w:r>
              <w:rPr>
                <w:spacing w:val="-8"/>
                <w:sz w:val="20"/>
              </w:rPr>
              <w:t> </w:t>
            </w:r>
            <w:r>
              <w:rPr>
                <w:sz w:val="20"/>
              </w:rPr>
              <w:t>Indicador:</w:t>
            </w:r>
            <w:r>
              <w:rPr>
                <w:spacing w:val="-8"/>
                <w:sz w:val="20"/>
              </w:rPr>
              <w:t> </w:t>
            </w:r>
            <w:r>
              <w:rPr>
                <w:sz w:val="20"/>
              </w:rPr>
              <w:t>Cantidad</w:t>
            </w:r>
            <w:r>
              <w:rPr>
                <w:spacing w:val="-8"/>
                <w:sz w:val="20"/>
              </w:rPr>
              <w:t> </w:t>
            </w:r>
            <w:r>
              <w:rPr>
                <w:sz w:val="20"/>
              </w:rPr>
              <w:t>de</w:t>
            </w:r>
            <w:r>
              <w:rPr>
                <w:spacing w:val="-6"/>
                <w:sz w:val="20"/>
              </w:rPr>
              <w:t> </w:t>
            </w:r>
            <w:r>
              <w:rPr>
                <w:sz w:val="20"/>
              </w:rPr>
              <w:t>hogares</w:t>
            </w:r>
            <w:r>
              <w:rPr>
                <w:spacing w:val="-7"/>
                <w:sz w:val="20"/>
              </w:rPr>
              <w:t> </w:t>
            </w:r>
            <w:r>
              <w:rPr>
                <w:sz w:val="20"/>
              </w:rPr>
              <w:t>que</w:t>
            </w:r>
            <w:r>
              <w:rPr>
                <w:spacing w:val="-9"/>
                <w:sz w:val="20"/>
              </w:rPr>
              <w:t> </w:t>
            </w:r>
            <w:r>
              <w:rPr>
                <w:sz w:val="20"/>
              </w:rPr>
              <w:t>reciben</w:t>
            </w:r>
            <w:r>
              <w:rPr>
                <w:spacing w:val="-8"/>
                <w:sz w:val="20"/>
              </w:rPr>
              <w:t> </w:t>
            </w:r>
            <w:r>
              <w:rPr>
                <w:sz w:val="20"/>
              </w:rPr>
              <w:t>el</w:t>
            </w:r>
            <w:r>
              <w:rPr>
                <w:spacing w:val="-7"/>
                <w:sz w:val="20"/>
              </w:rPr>
              <w:t> </w:t>
            </w:r>
            <w:r>
              <w:rPr>
                <w:sz w:val="20"/>
              </w:rPr>
              <w:t>subsidio</w:t>
            </w:r>
            <w:r>
              <w:rPr>
                <w:spacing w:val="-6"/>
                <w:sz w:val="20"/>
              </w:rPr>
              <w:t> </w:t>
            </w:r>
            <w:r>
              <w:rPr>
                <w:spacing w:val="-2"/>
                <w:sz w:val="20"/>
              </w:rPr>
              <w:t>Emergencias.</w:t>
            </w:r>
          </w:p>
        </w:tc>
      </w:tr>
      <w:tr>
        <w:trPr>
          <w:trHeight w:val="316" w:hRule="atLeast"/>
        </w:trPr>
        <w:tc>
          <w:tcPr>
            <w:tcW w:w="2835" w:type="dxa"/>
            <w:gridSpan w:val="2"/>
            <w:shd w:val="clear" w:color="auto" w:fill="DCE6F0"/>
          </w:tcPr>
          <w:p>
            <w:pPr>
              <w:pStyle w:val="TableParagraph"/>
              <w:spacing w:before="42"/>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before="42"/>
              <w:ind w:left="69"/>
              <w:rPr>
                <w:sz w:val="20"/>
              </w:rPr>
            </w:pPr>
            <w:r>
              <w:rPr>
                <w:sz w:val="20"/>
              </w:rPr>
              <w:t>Sumatoria</w:t>
            </w:r>
            <w:r>
              <w:rPr>
                <w:spacing w:val="-8"/>
                <w:sz w:val="20"/>
              </w:rPr>
              <w:t> </w:t>
            </w:r>
            <w:r>
              <w:rPr>
                <w:sz w:val="20"/>
              </w:rPr>
              <w:t>de</w:t>
            </w:r>
            <w:r>
              <w:rPr>
                <w:spacing w:val="-8"/>
                <w:sz w:val="20"/>
              </w:rPr>
              <w:t> </w:t>
            </w:r>
            <w:r>
              <w:rPr>
                <w:sz w:val="20"/>
              </w:rPr>
              <w:t>hogares</w:t>
            </w:r>
            <w:r>
              <w:rPr>
                <w:spacing w:val="-5"/>
                <w:sz w:val="20"/>
              </w:rPr>
              <w:t> </w:t>
            </w:r>
            <w:r>
              <w:rPr>
                <w:sz w:val="20"/>
              </w:rPr>
              <w:t>que</w:t>
            </w:r>
            <w:r>
              <w:rPr>
                <w:spacing w:val="-6"/>
                <w:sz w:val="20"/>
              </w:rPr>
              <w:t> </w:t>
            </w:r>
            <w:r>
              <w:rPr>
                <w:sz w:val="20"/>
              </w:rPr>
              <w:t>reciben</w:t>
            </w:r>
            <w:r>
              <w:rPr>
                <w:spacing w:val="-6"/>
                <w:sz w:val="20"/>
              </w:rPr>
              <w:t> </w:t>
            </w:r>
            <w:r>
              <w:rPr>
                <w:sz w:val="20"/>
              </w:rPr>
              <w:t>el</w:t>
            </w:r>
            <w:r>
              <w:rPr>
                <w:spacing w:val="-8"/>
                <w:sz w:val="20"/>
              </w:rPr>
              <w:t> </w:t>
            </w:r>
            <w:r>
              <w:rPr>
                <w:sz w:val="20"/>
              </w:rPr>
              <w:t>subsidio</w:t>
            </w:r>
            <w:r>
              <w:rPr>
                <w:spacing w:val="-6"/>
                <w:sz w:val="20"/>
              </w:rPr>
              <w:t> </w:t>
            </w:r>
            <w:r>
              <w:rPr>
                <w:spacing w:val="-2"/>
                <w:sz w:val="20"/>
              </w:rPr>
              <w:t>Emergencias.</w:t>
            </w:r>
          </w:p>
        </w:tc>
      </w:tr>
      <w:tr>
        <w:trPr>
          <w:trHeight w:val="313" w:hRule="atLeast"/>
        </w:trPr>
        <w:tc>
          <w:tcPr>
            <w:tcW w:w="2835" w:type="dxa"/>
            <w:gridSpan w:val="2"/>
            <w:shd w:val="clear" w:color="auto" w:fill="DCE6F0"/>
          </w:tcPr>
          <w:p>
            <w:pPr>
              <w:pStyle w:val="TableParagraph"/>
              <w:spacing w:before="40"/>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40"/>
              <w:ind w:left="69"/>
              <w:rPr>
                <w:sz w:val="20"/>
              </w:rPr>
            </w:pPr>
            <w:r>
              <w:rPr>
                <w:spacing w:val="-2"/>
                <w:sz w:val="20"/>
              </w:rPr>
              <w:t>Cantidad</w:t>
            </w:r>
          </w:p>
        </w:tc>
      </w:tr>
      <w:tr>
        <w:trPr>
          <w:trHeight w:val="1149" w:hRule="atLeast"/>
        </w:trPr>
        <w:tc>
          <w:tcPr>
            <w:tcW w:w="2835" w:type="dxa"/>
            <w:gridSpan w:val="2"/>
            <w:shd w:val="clear" w:color="auto" w:fill="DCE6F0"/>
          </w:tcPr>
          <w:p>
            <w:pPr>
              <w:pStyle w:val="TableParagraph"/>
              <w:rPr>
                <w:b/>
                <w:sz w:val="20"/>
              </w:rPr>
            </w:pPr>
          </w:p>
          <w:p>
            <w:pPr>
              <w:pStyle w:val="TableParagraph"/>
              <w:rPr>
                <w:b/>
                <w:sz w:val="20"/>
              </w:rPr>
            </w:pPr>
          </w:p>
          <w:p>
            <w:pPr>
              <w:pStyle w:val="TableParagraph"/>
              <w:ind w:left="67"/>
              <w:rPr>
                <w:b/>
                <w:sz w:val="20"/>
              </w:rPr>
            </w:pPr>
            <w:r>
              <w:rPr>
                <w:b/>
                <w:spacing w:val="-2"/>
                <w:sz w:val="20"/>
              </w:rPr>
              <w:t>Interpretación:</w:t>
            </w:r>
          </w:p>
        </w:tc>
        <w:tc>
          <w:tcPr>
            <w:tcW w:w="7514" w:type="dxa"/>
          </w:tcPr>
          <w:p>
            <w:pPr>
              <w:pStyle w:val="TableParagraph"/>
              <w:ind w:left="69"/>
              <w:rPr>
                <w:sz w:val="20"/>
              </w:rPr>
            </w:pPr>
            <w:r>
              <w:rPr>
                <w:sz w:val="20"/>
              </w:rPr>
              <w:t>La</w:t>
            </w:r>
            <w:r>
              <w:rPr>
                <w:spacing w:val="-5"/>
                <w:sz w:val="20"/>
              </w:rPr>
              <w:t> </w:t>
            </w:r>
            <w:r>
              <w:rPr>
                <w:sz w:val="20"/>
              </w:rPr>
              <w:t>cantidad</w:t>
            </w:r>
            <w:r>
              <w:rPr>
                <w:spacing w:val="-5"/>
                <w:sz w:val="20"/>
              </w:rPr>
              <w:t> </w:t>
            </w:r>
            <w:r>
              <w:rPr>
                <w:sz w:val="20"/>
              </w:rPr>
              <w:t>de</w:t>
            </w:r>
            <w:r>
              <w:rPr>
                <w:spacing w:val="-4"/>
                <w:sz w:val="20"/>
              </w:rPr>
              <w:t> </w:t>
            </w:r>
            <w:r>
              <w:rPr>
                <w:sz w:val="20"/>
              </w:rPr>
              <w:t>hogares</w:t>
            </w:r>
            <w:r>
              <w:rPr>
                <w:spacing w:val="-1"/>
                <w:sz w:val="20"/>
              </w:rPr>
              <w:t> </w:t>
            </w:r>
            <w:r>
              <w:rPr>
                <w:sz w:val="20"/>
              </w:rPr>
              <w:t>que</w:t>
            </w:r>
            <w:r>
              <w:rPr>
                <w:spacing w:val="-4"/>
                <w:sz w:val="20"/>
              </w:rPr>
              <w:t> </w:t>
            </w:r>
            <w:r>
              <w:rPr>
                <w:sz w:val="20"/>
              </w:rPr>
              <w:t>reciben</w:t>
            </w:r>
            <w:r>
              <w:rPr>
                <w:spacing w:val="-4"/>
                <w:sz w:val="20"/>
              </w:rPr>
              <w:t> </w:t>
            </w:r>
            <w:r>
              <w:rPr>
                <w:sz w:val="20"/>
              </w:rPr>
              <w:t>el</w:t>
            </w:r>
            <w:r>
              <w:rPr>
                <w:spacing w:val="-5"/>
                <w:sz w:val="20"/>
              </w:rPr>
              <w:t> </w:t>
            </w:r>
            <w:r>
              <w:rPr>
                <w:sz w:val="20"/>
              </w:rPr>
              <w:t>subsidio</w:t>
            </w:r>
            <w:r>
              <w:rPr>
                <w:spacing w:val="-3"/>
                <w:sz w:val="20"/>
              </w:rPr>
              <w:t> </w:t>
            </w:r>
            <w:r>
              <w:rPr>
                <w:sz w:val="20"/>
              </w:rPr>
              <w:t>Emergencias,</w:t>
            </w:r>
            <w:r>
              <w:rPr>
                <w:spacing w:val="-4"/>
                <w:sz w:val="20"/>
              </w:rPr>
              <w:t> </w:t>
            </w:r>
            <w:r>
              <w:rPr>
                <w:sz w:val="20"/>
              </w:rPr>
              <w:t>en</w:t>
            </w:r>
            <w:r>
              <w:rPr>
                <w:spacing w:val="-4"/>
                <w:sz w:val="20"/>
              </w:rPr>
              <w:t> </w:t>
            </w:r>
            <w:r>
              <w:rPr>
                <w:sz w:val="20"/>
              </w:rPr>
              <w:t>“X”</w:t>
            </w:r>
            <w:r>
              <w:rPr>
                <w:spacing w:val="-3"/>
                <w:sz w:val="20"/>
              </w:rPr>
              <w:t> </w:t>
            </w:r>
            <w:r>
              <w:rPr>
                <w:sz w:val="20"/>
              </w:rPr>
              <w:t>período</w:t>
            </w:r>
            <w:r>
              <w:rPr>
                <w:spacing w:val="-3"/>
                <w:sz w:val="20"/>
              </w:rPr>
              <w:t> </w:t>
            </w:r>
            <w:r>
              <w:rPr>
                <w:sz w:val="20"/>
              </w:rPr>
              <w:t>es</w:t>
            </w:r>
            <w:r>
              <w:rPr>
                <w:spacing w:val="-2"/>
                <w:sz w:val="20"/>
              </w:rPr>
              <w:t> </w:t>
            </w:r>
            <w:r>
              <w:rPr>
                <w:sz w:val="20"/>
              </w:rPr>
              <w:t>de </w:t>
            </w:r>
            <w:r>
              <w:rPr>
                <w:spacing w:val="-4"/>
                <w:sz w:val="20"/>
              </w:rPr>
              <w:t>“Y”.</w:t>
            </w:r>
          </w:p>
          <w:p>
            <w:pPr>
              <w:pStyle w:val="TableParagraph"/>
              <w:spacing w:line="229" w:lineRule="exact"/>
              <w:ind w:left="69"/>
              <w:rPr>
                <w:sz w:val="20"/>
              </w:rPr>
            </w:pPr>
            <w:r>
              <w:rPr>
                <w:sz w:val="20"/>
              </w:rPr>
              <w:t>En</w:t>
            </w:r>
            <w:r>
              <w:rPr>
                <w:spacing w:val="-7"/>
                <w:sz w:val="20"/>
              </w:rPr>
              <w:t> </w:t>
            </w:r>
            <w:r>
              <w:rPr>
                <w:sz w:val="20"/>
              </w:rPr>
              <w:t>esta</w:t>
            </w:r>
            <w:r>
              <w:rPr>
                <w:spacing w:val="-7"/>
                <w:sz w:val="20"/>
              </w:rPr>
              <w:t> </w:t>
            </w:r>
            <w:r>
              <w:rPr>
                <w:sz w:val="20"/>
              </w:rPr>
              <w:t>“X”</w:t>
            </w:r>
            <w:r>
              <w:rPr>
                <w:spacing w:val="-7"/>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32" w:lineRule="exact"/>
              <w:ind w:left="69" w:right="170"/>
              <w:rPr>
                <w:sz w:val="20"/>
              </w:rPr>
            </w:pPr>
            <w:r>
              <w:rPr>
                <w:sz w:val="20"/>
              </w:rPr>
              <w:t>significa</w:t>
            </w:r>
            <w:r>
              <w:rPr>
                <w:spacing w:val="-3"/>
                <w:sz w:val="20"/>
              </w:rPr>
              <w:t> </w:t>
            </w:r>
            <w:r>
              <w:rPr>
                <w:sz w:val="20"/>
              </w:rPr>
              <w:t>la</w:t>
            </w:r>
            <w:r>
              <w:rPr>
                <w:spacing w:val="-3"/>
                <w:sz w:val="20"/>
              </w:rPr>
              <w:t> </w:t>
            </w:r>
            <w:r>
              <w:rPr>
                <w:sz w:val="20"/>
              </w:rPr>
              <w:t>meta</w:t>
            </w:r>
            <w:r>
              <w:rPr>
                <w:spacing w:val="-5"/>
                <w:sz w:val="20"/>
              </w:rPr>
              <w:t> </w:t>
            </w:r>
            <w:r>
              <w:rPr>
                <w:sz w:val="20"/>
              </w:rPr>
              <w:t>alcanzada</w:t>
            </w:r>
            <w:r>
              <w:rPr>
                <w:spacing w:val="-3"/>
                <w:sz w:val="20"/>
              </w:rPr>
              <w:t> </w:t>
            </w:r>
            <w:r>
              <w:rPr>
                <w:sz w:val="20"/>
              </w:rPr>
              <w:t>a</w:t>
            </w:r>
            <w:r>
              <w:rPr>
                <w:spacing w:val="-6"/>
                <w:sz w:val="20"/>
              </w:rPr>
              <w:t> </w:t>
            </w:r>
            <w:r>
              <w:rPr>
                <w:sz w:val="20"/>
              </w:rPr>
              <w:t>ese</w:t>
            </w:r>
            <w:r>
              <w:rPr>
                <w:spacing w:val="-3"/>
                <w:sz w:val="20"/>
              </w:rPr>
              <w:t> </w:t>
            </w:r>
            <w:r>
              <w:rPr>
                <w:sz w:val="20"/>
              </w:rPr>
              <w:t>momento</w:t>
            </w:r>
            <w:r>
              <w:rPr>
                <w:spacing w:val="-5"/>
                <w:sz w:val="20"/>
              </w:rPr>
              <w:t> </w:t>
            </w:r>
            <w:r>
              <w:rPr>
                <w:sz w:val="20"/>
              </w:rPr>
              <w:t>según</w:t>
            </w:r>
            <w:r>
              <w:rPr>
                <w:spacing w:val="-5"/>
                <w:sz w:val="20"/>
              </w:rPr>
              <w:t> </w:t>
            </w:r>
            <w:r>
              <w:rPr>
                <w:sz w:val="20"/>
              </w:rPr>
              <w:t>la</w:t>
            </w:r>
            <w:r>
              <w:rPr>
                <w:spacing w:val="-5"/>
                <w:sz w:val="20"/>
              </w:rPr>
              <w:t> </w:t>
            </w:r>
            <w:r>
              <w:rPr>
                <w:sz w:val="20"/>
              </w:rPr>
              <w:t>unidad</w:t>
            </w:r>
            <w:r>
              <w:rPr>
                <w:spacing w:val="-6"/>
                <w:sz w:val="20"/>
              </w:rPr>
              <w:t> </w:t>
            </w:r>
            <w:r>
              <w:rPr>
                <w:sz w:val="20"/>
              </w:rPr>
              <w:t>de</w:t>
            </w:r>
            <w:r>
              <w:rPr>
                <w:spacing w:val="-5"/>
                <w:sz w:val="20"/>
              </w:rPr>
              <w:t> </w:t>
            </w:r>
            <w:r>
              <w:rPr>
                <w:sz w:val="20"/>
              </w:rPr>
              <w:t>medida </w:t>
            </w:r>
            <w:r>
              <w:rPr>
                <w:spacing w:val="-2"/>
                <w:sz w:val="20"/>
              </w:rPr>
              <w:t>establecida.</w:t>
            </w:r>
          </w:p>
        </w:tc>
      </w:tr>
      <w:tr>
        <w:trPr>
          <w:trHeight w:val="313" w:hRule="atLeast"/>
        </w:trPr>
        <w:tc>
          <w:tcPr>
            <w:tcW w:w="2835" w:type="dxa"/>
            <w:gridSpan w:val="2"/>
            <w:shd w:val="clear" w:color="auto" w:fill="DCE6F0"/>
          </w:tcPr>
          <w:p>
            <w:pPr>
              <w:pStyle w:val="TableParagraph"/>
              <w:spacing w:before="39"/>
              <w:ind w:left="67"/>
              <w:rPr>
                <w:b/>
                <w:sz w:val="20"/>
              </w:rPr>
            </w:pPr>
            <w:r>
              <w:rPr>
                <w:b/>
                <w:spacing w:val="-2"/>
                <w:sz w:val="20"/>
              </w:rPr>
              <w:t>Desagregación</w:t>
            </w:r>
          </w:p>
        </w:tc>
        <w:tc>
          <w:tcPr>
            <w:tcW w:w="7514" w:type="dxa"/>
          </w:tcPr>
          <w:p>
            <w:pPr>
              <w:pStyle w:val="TableParagraph"/>
              <w:spacing w:before="39"/>
              <w:ind w:left="69"/>
              <w:rPr>
                <w:sz w:val="20"/>
              </w:rPr>
            </w:pPr>
            <w:r>
              <w:rPr>
                <w:sz w:val="20"/>
              </w:rPr>
              <w:t>No</w:t>
            </w:r>
            <w:r>
              <w:rPr>
                <w:spacing w:val="-5"/>
                <w:sz w:val="20"/>
              </w:rPr>
              <w:t> </w:t>
            </w:r>
            <w:r>
              <w:rPr>
                <w:spacing w:val="-2"/>
                <w:sz w:val="20"/>
              </w:rPr>
              <w:t>aplica.</w:t>
            </w:r>
          </w:p>
        </w:tc>
      </w:tr>
      <w:tr>
        <w:trPr>
          <w:trHeight w:val="314" w:hRule="atLeast"/>
        </w:trPr>
        <w:tc>
          <w:tcPr>
            <w:tcW w:w="2835" w:type="dxa"/>
            <w:gridSpan w:val="2"/>
            <w:shd w:val="clear" w:color="auto" w:fill="DCE6F0"/>
          </w:tcPr>
          <w:p>
            <w:pPr>
              <w:pStyle w:val="TableParagraph"/>
              <w:spacing w:before="40"/>
              <w:ind w:left="67"/>
              <w:rPr>
                <w:b/>
                <w:sz w:val="20"/>
              </w:rPr>
            </w:pPr>
            <w:r>
              <w:rPr>
                <w:b/>
                <w:spacing w:val="-2"/>
                <w:sz w:val="20"/>
              </w:rPr>
              <w:t>Meta:</w:t>
            </w:r>
          </w:p>
        </w:tc>
        <w:tc>
          <w:tcPr>
            <w:tcW w:w="7514" w:type="dxa"/>
          </w:tcPr>
          <w:p>
            <w:pPr>
              <w:pStyle w:val="TableParagraph"/>
              <w:spacing w:before="40"/>
              <w:ind w:left="69"/>
              <w:rPr>
                <w:sz w:val="20"/>
              </w:rPr>
            </w:pPr>
            <w:r>
              <w:rPr>
                <w:sz w:val="20"/>
              </w:rPr>
              <w:t>No</w:t>
            </w:r>
            <w:r>
              <w:rPr>
                <w:spacing w:val="-6"/>
                <w:sz w:val="20"/>
              </w:rPr>
              <w:t> </w:t>
            </w:r>
            <w:r>
              <w:rPr>
                <w:sz w:val="20"/>
              </w:rPr>
              <w:t>se</w:t>
            </w:r>
            <w:r>
              <w:rPr>
                <w:spacing w:val="-5"/>
                <w:sz w:val="20"/>
              </w:rPr>
              <w:t> </w:t>
            </w:r>
            <w:r>
              <w:rPr>
                <w:sz w:val="20"/>
              </w:rPr>
              <w:t>define</w:t>
            </w:r>
            <w:r>
              <w:rPr>
                <w:spacing w:val="-5"/>
                <w:sz w:val="20"/>
              </w:rPr>
              <w:t> </w:t>
            </w:r>
            <w:r>
              <w:rPr>
                <w:sz w:val="20"/>
              </w:rPr>
              <w:t>meta</w:t>
            </w:r>
            <w:r>
              <w:rPr>
                <w:spacing w:val="-3"/>
                <w:sz w:val="20"/>
              </w:rPr>
              <w:t> </w:t>
            </w:r>
            <w:r>
              <w:rPr>
                <w:sz w:val="20"/>
              </w:rPr>
              <w:t>al</w:t>
            </w:r>
            <w:r>
              <w:rPr>
                <w:spacing w:val="-5"/>
                <w:sz w:val="20"/>
              </w:rPr>
              <w:t> </w:t>
            </w:r>
            <w:r>
              <w:rPr>
                <w:sz w:val="20"/>
              </w:rPr>
              <w:t>ser</w:t>
            </w:r>
            <w:r>
              <w:rPr>
                <w:spacing w:val="-5"/>
                <w:sz w:val="20"/>
              </w:rPr>
              <w:t> </w:t>
            </w:r>
            <w:r>
              <w:rPr>
                <w:sz w:val="20"/>
              </w:rPr>
              <w:t>eventos</w:t>
            </w:r>
            <w:r>
              <w:rPr>
                <w:spacing w:val="-4"/>
                <w:sz w:val="20"/>
              </w:rPr>
              <w:t> </w:t>
            </w:r>
            <w:r>
              <w:rPr>
                <w:sz w:val="20"/>
              </w:rPr>
              <w:t>no</w:t>
            </w:r>
            <w:r>
              <w:rPr>
                <w:spacing w:val="-6"/>
                <w:sz w:val="20"/>
              </w:rPr>
              <w:t> </w:t>
            </w:r>
            <w:r>
              <w:rPr>
                <w:spacing w:val="-2"/>
                <w:sz w:val="20"/>
              </w:rPr>
              <w:t>previsibles</w:t>
            </w:r>
          </w:p>
        </w:tc>
      </w:tr>
      <w:tr>
        <w:trPr>
          <w:trHeight w:val="311" w:hRule="atLeast"/>
        </w:trPr>
        <w:tc>
          <w:tcPr>
            <w:tcW w:w="2835" w:type="dxa"/>
            <w:gridSpan w:val="2"/>
            <w:tcBorders>
              <w:bottom w:val="nil"/>
            </w:tcBorders>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7514" w:type="dxa"/>
            <w:tcBorders>
              <w:bottom w:val="thickThinMediumGap" w:sz="9" w:space="0" w:color="808080"/>
            </w:tcBorders>
          </w:tcPr>
          <w:p>
            <w:pPr>
              <w:pStyle w:val="TableParagraph"/>
              <w:spacing w:line="206" w:lineRule="exact" w:before="86"/>
              <w:ind w:left="69"/>
              <w:rPr>
                <w:sz w:val="20"/>
              </w:rPr>
            </w:pPr>
            <w:r>
              <w:rPr>
                <w:sz w:val="20"/>
              </w:rPr>
              <w:t>2</w:t>
            </w:r>
            <w:r>
              <w:rPr>
                <w:spacing w:val="-3"/>
                <w:sz w:val="20"/>
              </w:rPr>
              <w:t> </w:t>
            </w:r>
            <w:r>
              <w:rPr>
                <w:spacing w:val="-5"/>
                <w:sz w:val="20"/>
              </w:rPr>
              <w:t>556</w:t>
            </w:r>
          </w:p>
        </w:tc>
      </w:tr>
      <w:tr>
        <w:trPr>
          <w:trHeight w:val="1653" w:hRule="atLeast"/>
        </w:trPr>
        <w:tc>
          <w:tcPr>
            <w:tcW w:w="1498" w:type="dxa"/>
            <w:tcBorders>
              <w:top w:val="thinThickMediumGap" w:sz="9" w:space="0" w:color="808080"/>
              <w:left w:val="nil"/>
              <w:bottom w:val="nil"/>
              <w:right w:val="single" w:sz="18" w:space="0" w:color="808080"/>
            </w:tcBorders>
          </w:tcPr>
          <w:p>
            <w:pPr>
              <w:pStyle w:val="TableParagraph"/>
              <w:spacing w:line="274" w:lineRule="exact"/>
              <w:ind w:left="679"/>
              <w:rPr>
                <w:b/>
                <w:sz w:val="24"/>
              </w:rPr>
            </w:pPr>
            <w:r>
              <w:rPr>
                <w:b/>
                <w:spacing w:val="-5"/>
                <w:sz w:val="24"/>
              </w:rPr>
              <w:t>182</w:t>
            </w:r>
          </w:p>
        </w:tc>
        <w:tc>
          <w:tcPr>
            <w:tcW w:w="8851" w:type="dxa"/>
            <w:gridSpan w:val="2"/>
            <w:tcBorders>
              <w:top w:val="nil"/>
              <w:left w:val="single" w:sz="18" w:space="0" w:color="808080"/>
              <w:bottom w:val="nil"/>
              <w:right w:val="nil"/>
            </w:tcBorders>
          </w:tcPr>
          <w:p>
            <w:pPr>
              <w:pStyle w:val="TableParagraph"/>
              <w:spacing w:line="274" w:lineRule="exact"/>
              <w:ind w:left="90"/>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c>
      </w:tr>
    </w:tbl>
    <w:p>
      <w:pPr>
        <w:pStyle w:val="TableParagraph"/>
        <w:spacing w:after="0" w:line="274" w:lineRule="exact"/>
        <w:rPr>
          <w:b/>
          <w:i/>
          <w:sz w:val="24"/>
        </w:rPr>
        <w:sectPr>
          <w:footerReference w:type="default" r:id="rId137"/>
          <w:pgSz w:w="12240" w:h="15840"/>
          <w:pgMar w:header="0" w:footer="0" w:top="1760" w:bottom="280"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628" w:hRule="atLeast"/>
        </w:trPr>
        <w:tc>
          <w:tcPr>
            <w:tcW w:w="2835" w:type="dxa"/>
            <w:shd w:val="clear" w:color="auto" w:fill="DCE6F0"/>
          </w:tcPr>
          <w:p>
            <w:pPr>
              <w:pStyle w:val="TableParagraph"/>
              <w:spacing w:before="84"/>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199"/>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835" w:type="dxa"/>
            <w:shd w:val="clear" w:color="auto" w:fill="DCE6F0"/>
          </w:tcPr>
          <w:p>
            <w:pPr>
              <w:pStyle w:val="TableParagraph"/>
              <w:spacing w:before="14"/>
              <w:rPr>
                <w:b/>
                <w:sz w:val="20"/>
              </w:rPr>
            </w:pPr>
          </w:p>
          <w:p>
            <w:pPr>
              <w:pStyle w:val="TableParagraph"/>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14"/>
              <w:rPr>
                <w:b/>
                <w:sz w:val="20"/>
              </w:rPr>
            </w:pPr>
          </w:p>
          <w:p>
            <w:pPr>
              <w:pStyle w:val="TableParagraph"/>
              <w:spacing w:line="229" w:lineRule="exact"/>
              <w:ind w:left="69"/>
              <w:rPr>
                <w:sz w:val="20"/>
              </w:rPr>
            </w:pPr>
            <w:r>
              <w:rPr>
                <w:sz w:val="20"/>
              </w:rPr>
              <w:t>Nombre:</w:t>
            </w:r>
            <w:r>
              <w:rPr>
                <w:spacing w:val="-10"/>
                <w:sz w:val="20"/>
              </w:rPr>
              <w:t> </w:t>
            </w:r>
            <w:r>
              <w:rPr>
                <w:sz w:val="20"/>
              </w:rPr>
              <w:t>Raquel</w:t>
            </w:r>
            <w:r>
              <w:rPr>
                <w:spacing w:val="-11"/>
                <w:sz w:val="20"/>
              </w:rPr>
              <w:t> </w:t>
            </w:r>
            <w:r>
              <w:rPr>
                <w:sz w:val="20"/>
              </w:rPr>
              <w:t>Quesada</w:t>
            </w:r>
            <w:r>
              <w:rPr>
                <w:spacing w:val="-9"/>
                <w:sz w:val="20"/>
              </w:rPr>
              <w:t> </w:t>
            </w:r>
            <w:r>
              <w:rPr>
                <w:spacing w:val="-2"/>
                <w:sz w:val="20"/>
              </w:rPr>
              <w:t>Jiménez.</w:t>
            </w:r>
          </w:p>
          <w:p>
            <w:pPr>
              <w:pStyle w:val="TableParagraph"/>
              <w:spacing w:line="229" w:lineRule="exact"/>
              <w:ind w:left="69"/>
              <w:rPr>
                <w:sz w:val="20"/>
              </w:rPr>
            </w:pPr>
            <w:r>
              <w:rPr>
                <w:sz w:val="20"/>
              </w:rPr>
              <w:t>Cargo:</w:t>
            </w:r>
            <w:r>
              <w:rPr>
                <w:spacing w:val="-10"/>
                <w:sz w:val="20"/>
              </w:rPr>
              <w:t> </w:t>
            </w:r>
            <w:r>
              <w:rPr>
                <w:sz w:val="20"/>
              </w:rPr>
              <w:t>Jefatura,</w:t>
            </w:r>
            <w:r>
              <w:rPr>
                <w:spacing w:val="-10"/>
                <w:sz w:val="20"/>
              </w:rPr>
              <w:t> </w:t>
            </w:r>
            <w:r>
              <w:rPr>
                <w:sz w:val="20"/>
              </w:rPr>
              <w:t>Departamento</w:t>
            </w:r>
            <w:r>
              <w:rPr>
                <w:spacing w:val="-9"/>
                <w:sz w:val="20"/>
              </w:rPr>
              <w:t> </w:t>
            </w:r>
            <w:r>
              <w:rPr>
                <w:sz w:val="20"/>
              </w:rPr>
              <w:t>de</w:t>
            </w:r>
            <w:r>
              <w:rPr>
                <w:spacing w:val="-9"/>
                <w:sz w:val="20"/>
              </w:rPr>
              <w:t> </w:t>
            </w:r>
            <w:r>
              <w:rPr>
                <w:sz w:val="20"/>
              </w:rPr>
              <w:t>Bienestar</w:t>
            </w:r>
            <w:r>
              <w:rPr>
                <w:spacing w:val="-10"/>
                <w:sz w:val="20"/>
              </w:rPr>
              <w:t> </w:t>
            </w:r>
            <w:r>
              <w:rPr>
                <w:spacing w:val="-2"/>
                <w:sz w:val="20"/>
              </w:rPr>
              <w:t>Familiar</w:t>
            </w:r>
          </w:p>
        </w:tc>
      </w:tr>
      <w:tr>
        <w:trPr>
          <w:trHeight w:val="316" w:hRule="atLeast"/>
        </w:trPr>
        <w:tc>
          <w:tcPr>
            <w:tcW w:w="2835" w:type="dxa"/>
            <w:shd w:val="clear" w:color="auto" w:fill="DCE6F0"/>
          </w:tcPr>
          <w:p>
            <w:pPr>
              <w:pStyle w:val="TableParagraph"/>
              <w:spacing w:before="42"/>
              <w:ind w:left="67"/>
              <w:rPr>
                <w:b/>
                <w:sz w:val="20"/>
              </w:rPr>
            </w:pPr>
            <w:r>
              <w:rPr>
                <w:b/>
                <w:sz w:val="20"/>
              </w:rPr>
              <w:t>Línea</w:t>
            </w:r>
            <w:r>
              <w:rPr>
                <w:b/>
                <w:spacing w:val="-10"/>
                <w:sz w:val="20"/>
              </w:rPr>
              <w:t> </w:t>
            </w:r>
            <w:r>
              <w:rPr>
                <w:b/>
                <w:sz w:val="20"/>
              </w:rPr>
              <w:t>Base</w:t>
            </w:r>
            <w:r>
              <w:rPr>
                <w:b/>
                <w:spacing w:val="-7"/>
                <w:sz w:val="20"/>
              </w:rPr>
              <w:t> </w:t>
            </w:r>
            <w:r>
              <w:rPr>
                <w:b/>
                <w:spacing w:val="-4"/>
                <w:sz w:val="20"/>
              </w:rPr>
              <w:t>2025</w:t>
            </w:r>
          </w:p>
        </w:tc>
        <w:tc>
          <w:tcPr>
            <w:tcW w:w="7514" w:type="dxa"/>
          </w:tcPr>
          <w:p>
            <w:pPr>
              <w:pStyle w:val="TableParagraph"/>
              <w:spacing w:before="42"/>
              <w:ind w:left="69"/>
              <w:rPr>
                <w:sz w:val="20"/>
              </w:rPr>
            </w:pPr>
            <w:r>
              <w:rPr>
                <w:sz w:val="20"/>
              </w:rPr>
              <w:t>Dirección</w:t>
            </w:r>
            <w:r>
              <w:rPr>
                <w:spacing w:val="-9"/>
                <w:sz w:val="20"/>
              </w:rPr>
              <w:t> </w:t>
            </w:r>
            <w:r>
              <w:rPr>
                <w:sz w:val="20"/>
              </w:rPr>
              <w:t>de</w:t>
            </w:r>
            <w:r>
              <w:rPr>
                <w:spacing w:val="-9"/>
                <w:sz w:val="20"/>
              </w:rPr>
              <w:t> </w:t>
            </w:r>
            <w:r>
              <w:rPr>
                <w:sz w:val="20"/>
              </w:rPr>
              <w:t>Desarrollo</w:t>
            </w:r>
            <w:r>
              <w:rPr>
                <w:spacing w:val="-8"/>
                <w:sz w:val="20"/>
              </w:rPr>
              <w:t> </w:t>
            </w:r>
            <w:r>
              <w:rPr>
                <w:sz w:val="20"/>
              </w:rPr>
              <w:t>Social,</w:t>
            </w:r>
            <w:r>
              <w:rPr>
                <w:spacing w:val="-9"/>
                <w:sz w:val="20"/>
              </w:rPr>
              <w:t> </w:t>
            </w:r>
            <w:r>
              <w:rPr>
                <w:sz w:val="20"/>
              </w:rPr>
              <w:t>Departamento</w:t>
            </w:r>
            <w:r>
              <w:rPr>
                <w:spacing w:val="-8"/>
                <w:sz w:val="20"/>
              </w:rPr>
              <w:t> </w:t>
            </w:r>
            <w:r>
              <w:rPr>
                <w:sz w:val="20"/>
              </w:rPr>
              <w:t>de</w:t>
            </w:r>
            <w:r>
              <w:rPr>
                <w:spacing w:val="-9"/>
                <w:sz w:val="20"/>
              </w:rPr>
              <w:t> </w:t>
            </w:r>
            <w:r>
              <w:rPr>
                <w:sz w:val="20"/>
              </w:rPr>
              <w:t>Bienestar</w:t>
            </w:r>
            <w:r>
              <w:rPr>
                <w:spacing w:val="-11"/>
                <w:sz w:val="20"/>
              </w:rPr>
              <w:t> </w:t>
            </w:r>
            <w:r>
              <w:rPr>
                <w:spacing w:val="-2"/>
                <w:sz w:val="20"/>
              </w:rPr>
              <w:t>Familiar</w:t>
            </w:r>
          </w:p>
        </w:tc>
      </w:tr>
      <w:tr>
        <w:trPr>
          <w:trHeight w:val="313" w:hRule="atLeast"/>
        </w:trPr>
        <w:tc>
          <w:tcPr>
            <w:tcW w:w="2835" w:type="dxa"/>
            <w:shd w:val="clear" w:color="auto" w:fill="DCE6F0"/>
          </w:tcPr>
          <w:p>
            <w:pPr>
              <w:pStyle w:val="TableParagraph"/>
              <w:spacing w:before="42"/>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42"/>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599" w:hRule="atLeast"/>
        </w:trPr>
        <w:tc>
          <w:tcPr>
            <w:tcW w:w="2835" w:type="dxa"/>
            <w:shd w:val="clear" w:color="auto" w:fill="DCE6F0"/>
          </w:tcPr>
          <w:p>
            <w:pPr>
              <w:pStyle w:val="TableParagraph"/>
              <w:spacing w:before="184"/>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69"/>
              <w:ind w:left="69"/>
              <w:rPr>
                <w:sz w:val="20"/>
              </w:rPr>
            </w:pPr>
            <w:r>
              <w:rPr>
                <w:sz w:val="20"/>
              </w:rPr>
              <w:t>Informes</w:t>
            </w:r>
            <w:r>
              <w:rPr>
                <w:spacing w:val="-5"/>
                <w:sz w:val="20"/>
              </w:rPr>
              <w:t> </w:t>
            </w:r>
            <w:r>
              <w:rPr>
                <w:sz w:val="20"/>
              </w:rPr>
              <w:t>del</w:t>
            </w:r>
            <w:r>
              <w:rPr>
                <w:spacing w:val="-6"/>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6"/>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902" w:hRule="atLeast"/>
        </w:trPr>
        <w:tc>
          <w:tcPr>
            <w:tcW w:w="2835" w:type="dxa"/>
            <w:shd w:val="clear" w:color="auto" w:fill="DCE6F0"/>
          </w:tcPr>
          <w:p>
            <w:pPr>
              <w:pStyle w:val="TableParagraph"/>
              <w:spacing w:before="105"/>
              <w:rPr>
                <w:b/>
                <w:sz w:val="20"/>
              </w:rPr>
            </w:pPr>
          </w:p>
          <w:p>
            <w:pPr>
              <w:pStyle w:val="TableParagraph"/>
              <w:ind w:left="67"/>
              <w:rPr>
                <w:b/>
                <w:sz w:val="20"/>
              </w:rPr>
            </w:pPr>
            <w:r>
              <w:rPr>
                <w:b/>
                <w:spacing w:val="-2"/>
                <w:sz w:val="20"/>
              </w:rPr>
              <w:t>Clasificación</w:t>
            </w:r>
          </w:p>
        </w:tc>
        <w:tc>
          <w:tcPr>
            <w:tcW w:w="7514" w:type="dxa"/>
          </w:tcPr>
          <w:p>
            <w:pPr>
              <w:pStyle w:val="TableParagraph"/>
              <w:spacing w:before="105"/>
              <w:rPr>
                <w:b/>
                <w:sz w:val="20"/>
              </w:rPr>
            </w:pPr>
          </w:p>
          <w:p>
            <w:pPr>
              <w:pStyle w:val="TableParagraph"/>
              <w:ind w:left="69"/>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5"/>
                <w:sz w:val="20"/>
              </w:rPr>
              <w:t> </w:t>
            </w:r>
            <w:r>
              <w:rPr>
                <w:sz w:val="20"/>
              </w:rPr>
              <w:t>Producto</w:t>
            </w:r>
            <w:r>
              <w:rPr>
                <w:spacing w:val="-8"/>
                <w:sz w:val="20"/>
              </w:rPr>
              <w:t> </w:t>
            </w:r>
            <w:r>
              <w:rPr>
                <w:spacing w:val="-5"/>
                <w:sz w:val="20"/>
              </w:rPr>
              <w:t>(X)</w:t>
            </w:r>
          </w:p>
        </w:tc>
      </w:tr>
      <w:tr>
        <w:trPr>
          <w:trHeight w:val="705" w:hRule="atLeast"/>
        </w:trPr>
        <w:tc>
          <w:tcPr>
            <w:tcW w:w="2835" w:type="dxa"/>
            <w:shd w:val="clear" w:color="auto" w:fill="DCE6F0"/>
          </w:tcPr>
          <w:p>
            <w:pPr>
              <w:pStyle w:val="TableParagraph"/>
              <w:spacing w:before="7"/>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spacing w:before="6"/>
              <w:ind w:left="69"/>
              <w:rPr>
                <w:sz w:val="20"/>
              </w:rPr>
            </w:pPr>
            <w:r>
              <w:rPr>
                <w:sz w:val="20"/>
              </w:rPr>
              <w:t>Este</w:t>
            </w:r>
            <w:r>
              <w:rPr>
                <w:spacing w:val="-10"/>
                <w:sz w:val="20"/>
              </w:rPr>
              <w:t> </w:t>
            </w:r>
            <w:r>
              <w:rPr>
                <w:sz w:val="20"/>
              </w:rPr>
              <w:t>indicador</w:t>
            </w:r>
            <w:r>
              <w:rPr>
                <w:spacing w:val="-8"/>
                <w:sz w:val="20"/>
              </w:rPr>
              <w:t> </w:t>
            </w:r>
            <w:r>
              <w:rPr>
                <w:sz w:val="20"/>
              </w:rPr>
              <w:t>se</w:t>
            </w:r>
            <w:r>
              <w:rPr>
                <w:spacing w:val="-7"/>
                <w:sz w:val="20"/>
              </w:rPr>
              <w:t> </w:t>
            </w:r>
            <w:r>
              <w:rPr>
                <w:sz w:val="20"/>
              </w:rPr>
              <w:t>encuentra</w:t>
            </w:r>
            <w:r>
              <w:rPr>
                <w:spacing w:val="-7"/>
                <w:sz w:val="20"/>
              </w:rPr>
              <w:t> </w:t>
            </w:r>
            <w:r>
              <w:rPr>
                <w:sz w:val="20"/>
              </w:rPr>
              <w:t>vinculado</w:t>
            </w:r>
            <w:r>
              <w:rPr>
                <w:spacing w:val="-9"/>
                <w:sz w:val="20"/>
              </w:rPr>
              <w:t> </w:t>
            </w:r>
            <w:r>
              <w:rPr>
                <w:sz w:val="20"/>
              </w:rPr>
              <w:t>la</w:t>
            </w:r>
            <w:r>
              <w:rPr>
                <w:spacing w:val="-7"/>
                <w:sz w:val="20"/>
              </w:rPr>
              <w:t> </w:t>
            </w:r>
            <w:r>
              <w:rPr>
                <w:sz w:val="20"/>
              </w:rPr>
              <w:t>Estrategia</w:t>
            </w:r>
            <w:r>
              <w:rPr>
                <w:spacing w:val="-7"/>
                <w:sz w:val="20"/>
              </w:rPr>
              <w:t> </w:t>
            </w:r>
            <w:r>
              <w:rPr>
                <w:sz w:val="20"/>
              </w:rPr>
              <w:t>de</w:t>
            </w:r>
            <w:r>
              <w:rPr>
                <w:spacing w:val="-9"/>
                <w:sz w:val="20"/>
              </w:rPr>
              <w:t> </w:t>
            </w:r>
            <w:r>
              <w:rPr>
                <w:sz w:val="20"/>
              </w:rPr>
              <w:t>Transversalización</w:t>
            </w:r>
            <w:r>
              <w:rPr>
                <w:spacing w:val="-8"/>
                <w:sz w:val="20"/>
              </w:rPr>
              <w:t> </w:t>
            </w:r>
            <w:r>
              <w:rPr>
                <w:spacing w:val="-5"/>
                <w:sz w:val="20"/>
              </w:rPr>
              <w:t>de</w:t>
            </w:r>
          </w:p>
          <w:p>
            <w:pPr>
              <w:pStyle w:val="TableParagraph"/>
              <w:spacing w:line="228" w:lineRule="exact"/>
              <w:ind w:left="69"/>
              <w:rPr>
                <w:sz w:val="20"/>
              </w:rPr>
            </w:pPr>
            <w:r>
              <w:rPr>
                <w:sz w:val="20"/>
              </w:rPr>
              <w:t>Equidad</w:t>
            </w:r>
            <w:r>
              <w:rPr>
                <w:spacing w:val="-5"/>
                <w:sz w:val="20"/>
              </w:rPr>
              <w:t> </w:t>
            </w:r>
            <w:r>
              <w:rPr>
                <w:sz w:val="20"/>
              </w:rPr>
              <w:t>e</w:t>
            </w:r>
            <w:r>
              <w:rPr>
                <w:spacing w:val="-3"/>
                <w:sz w:val="20"/>
              </w:rPr>
              <w:t> </w:t>
            </w:r>
            <w:r>
              <w:rPr>
                <w:sz w:val="20"/>
              </w:rPr>
              <w:t>Igualdad</w:t>
            </w:r>
            <w:r>
              <w:rPr>
                <w:spacing w:val="-3"/>
                <w:sz w:val="20"/>
              </w:rPr>
              <w:t> </w:t>
            </w:r>
            <w:r>
              <w:rPr>
                <w:sz w:val="20"/>
              </w:rPr>
              <w:t>de</w:t>
            </w:r>
            <w:r>
              <w:rPr>
                <w:spacing w:val="-5"/>
                <w:sz w:val="20"/>
              </w:rPr>
              <w:t> </w:t>
            </w:r>
            <w:r>
              <w:rPr>
                <w:sz w:val="20"/>
              </w:rPr>
              <w:t>Género</w:t>
            </w:r>
            <w:r>
              <w:rPr>
                <w:spacing w:val="-4"/>
                <w:sz w:val="20"/>
              </w:rPr>
              <w:t> </w:t>
            </w:r>
            <w:r>
              <w:rPr>
                <w:sz w:val="20"/>
              </w:rPr>
              <w:t>del</w:t>
            </w:r>
            <w:r>
              <w:rPr>
                <w:spacing w:val="-3"/>
                <w:sz w:val="20"/>
              </w:rPr>
              <w:t> </w:t>
            </w:r>
            <w:r>
              <w:rPr>
                <w:sz w:val="20"/>
              </w:rPr>
              <w:t>Sistema</w:t>
            </w:r>
            <w:r>
              <w:rPr>
                <w:spacing w:val="-4"/>
                <w:sz w:val="20"/>
              </w:rPr>
              <w:t> </w:t>
            </w:r>
            <w:r>
              <w:rPr>
                <w:sz w:val="20"/>
              </w:rPr>
              <w:t>Nacional</w:t>
            </w:r>
            <w:r>
              <w:rPr>
                <w:spacing w:val="-3"/>
                <w:sz w:val="20"/>
              </w:rPr>
              <w:t> </w:t>
            </w:r>
            <w:r>
              <w:rPr>
                <w:sz w:val="20"/>
              </w:rPr>
              <w:t>de</w:t>
            </w:r>
            <w:r>
              <w:rPr>
                <w:spacing w:val="-4"/>
                <w:sz w:val="20"/>
              </w:rPr>
              <w:t> </w:t>
            </w:r>
            <w:r>
              <w:rPr>
                <w:sz w:val="20"/>
              </w:rPr>
              <w:t>Gestión</w:t>
            </w:r>
            <w:r>
              <w:rPr>
                <w:spacing w:val="-4"/>
                <w:sz w:val="20"/>
              </w:rPr>
              <w:t> </w:t>
            </w:r>
            <w:r>
              <w:rPr>
                <w:sz w:val="20"/>
              </w:rPr>
              <w:t>de</w:t>
            </w:r>
            <w:r>
              <w:rPr>
                <w:spacing w:val="-4"/>
                <w:sz w:val="20"/>
              </w:rPr>
              <w:t> </w:t>
            </w:r>
            <w:r>
              <w:rPr>
                <w:sz w:val="20"/>
              </w:rPr>
              <w:t>Riesgo</w:t>
            </w:r>
            <w:r>
              <w:rPr>
                <w:spacing w:val="-3"/>
                <w:sz w:val="20"/>
              </w:rPr>
              <w:t> </w:t>
            </w:r>
            <w:r>
              <w:rPr>
                <w:sz w:val="20"/>
              </w:rPr>
              <w:t>a Desastres Eje 2, 2023 - 2027.</w:t>
            </w:r>
          </w:p>
        </w:tc>
      </w:tr>
    </w:tbl>
    <w:p>
      <w:pPr>
        <w:pStyle w:val="BodyText"/>
        <w:rPr>
          <w:b/>
          <w:sz w:val="20"/>
        </w:rPr>
      </w:pPr>
    </w:p>
    <w:p>
      <w:pPr>
        <w:pStyle w:val="BodyText"/>
        <w:spacing w:before="113" w:after="1"/>
        <w:rPr>
          <w:b/>
          <w:sz w:val="20"/>
        </w:rPr>
      </w:pPr>
    </w:p>
    <w:tbl>
      <w:tblPr>
        <w:tblW w:w="0" w:type="auto"/>
        <w:jc w:val="left"/>
        <w:tblInd w:w="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98"/>
        <w:gridCol w:w="1337"/>
        <w:gridCol w:w="7514"/>
      </w:tblGrid>
      <w:tr>
        <w:trPr>
          <w:trHeight w:val="599" w:hRule="atLeast"/>
        </w:trPr>
        <w:tc>
          <w:tcPr>
            <w:tcW w:w="2835" w:type="dxa"/>
            <w:gridSpan w:val="2"/>
            <w:shd w:val="clear" w:color="auto" w:fill="DCE6F0"/>
          </w:tcPr>
          <w:p>
            <w:pPr>
              <w:pStyle w:val="TableParagraph"/>
              <w:spacing w:before="184"/>
              <w:ind w:left="67"/>
              <w:rPr>
                <w:b/>
                <w:sz w:val="20"/>
              </w:rPr>
            </w:pPr>
            <w:r>
              <w:rPr>
                <w:b/>
                <w:sz w:val="20"/>
              </w:rPr>
              <w:t>PPPS</w:t>
            </w:r>
            <w:r>
              <w:rPr>
                <w:b/>
                <w:spacing w:val="-6"/>
                <w:sz w:val="20"/>
              </w:rPr>
              <w:t> </w:t>
            </w:r>
            <w:r>
              <w:rPr>
                <w:b/>
                <w:spacing w:val="-2"/>
                <w:sz w:val="20"/>
              </w:rPr>
              <w:t>1.1.7:</w:t>
            </w:r>
          </w:p>
        </w:tc>
        <w:tc>
          <w:tcPr>
            <w:tcW w:w="7514" w:type="dxa"/>
          </w:tcPr>
          <w:p>
            <w:pPr>
              <w:pStyle w:val="TableParagraph"/>
              <w:spacing w:before="69"/>
              <w:ind w:left="69"/>
              <w:rPr>
                <w:sz w:val="20"/>
              </w:rPr>
            </w:pPr>
            <w:r>
              <w:rPr>
                <w:sz w:val="20"/>
              </w:rPr>
              <w:t>Nombre</w:t>
            </w:r>
            <w:r>
              <w:rPr>
                <w:spacing w:val="-3"/>
                <w:sz w:val="20"/>
              </w:rPr>
              <w:t> </w:t>
            </w:r>
            <w:r>
              <w:rPr>
                <w:sz w:val="20"/>
              </w:rPr>
              <w:t>del</w:t>
            </w:r>
            <w:r>
              <w:rPr>
                <w:spacing w:val="-6"/>
                <w:sz w:val="20"/>
              </w:rPr>
              <w:t> </w:t>
            </w:r>
            <w:r>
              <w:rPr>
                <w:sz w:val="20"/>
              </w:rPr>
              <w:t>Indicador:</w:t>
            </w:r>
            <w:r>
              <w:rPr>
                <w:spacing w:val="-3"/>
                <w:sz w:val="20"/>
              </w:rPr>
              <w:t> </w:t>
            </w:r>
            <w:r>
              <w:rPr>
                <w:sz w:val="20"/>
              </w:rPr>
              <w:t>Cantidad</w:t>
            </w:r>
            <w:r>
              <w:rPr>
                <w:spacing w:val="-5"/>
                <w:sz w:val="20"/>
              </w:rPr>
              <w:t> </w:t>
            </w:r>
            <w:r>
              <w:rPr>
                <w:sz w:val="20"/>
              </w:rPr>
              <w:t>de</w:t>
            </w:r>
            <w:r>
              <w:rPr>
                <w:spacing w:val="-3"/>
                <w:sz w:val="20"/>
              </w:rPr>
              <w:t> </w:t>
            </w:r>
            <w:r>
              <w:rPr>
                <w:sz w:val="20"/>
              </w:rPr>
              <w:t>subsidios</w:t>
            </w:r>
            <w:r>
              <w:rPr>
                <w:spacing w:val="-2"/>
                <w:sz w:val="20"/>
              </w:rPr>
              <w:t> </w:t>
            </w:r>
            <w:r>
              <w:rPr>
                <w:sz w:val="20"/>
              </w:rPr>
              <w:t>de</w:t>
            </w:r>
            <w:r>
              <w:rPr>
                <w:spacing w:val="-6"/>
                <w:sz w:val="20"/>
              </w:rPr>
              <w:t> </w:t>
            </w:r>
            <w:r>
              <w:rPr>
                <w:sz w:val="20"/>
              </w:rPr>
              <w:t>Costo</w:t>
            </w:r>
            <w:r>
              <w:rPr>
                <w:spacing w:val="-3"/>
                <w:sz w:val="20"/>
              </w:rPr>
              <w:t> </w:t>
            </w:r>
            <w:r>
              <w:rPr>
                <w:sz w:val="20"/>
              </w:rPr>
              <w:t>de</w:t>
            </w:r>
            <w:r>
              <w:rPr>
                <w:spacing w:val="-6"/>
                <w:sz w:val="20"/>
              </w:rPr>
              <w:t> </w:t>
            </w:r>
            <w:r>
              <w:rPr>
                <w:sz w:val="20"/>
              </w:rPr>
              <w:t>atención</w:t>
            </w:r>
            <w:r>
              <w:rPr>
                <w:spacing w:val="-4"/>
                <w:sz w:val="20"/>
              </w:rPr>
              <w:t> </w:t>
            </w:r>
            <w:r>
              <w:rPr>
                <w:sz w:val="20"/>
              </w:rPr>
              <w:t>otorgados</w:t>
            </w:r>
            <w:r>
              <w:rPr>
                <w:spacing w:val="-4"/>
                <w:sz w:val="20"/>
              </w:rPr>
              <w:t> </w:t>
            </w:r>
            <w:r>
              <w:rPr>
                <w:sz w:val="20"/>
              </w:rPr>
              <w:t>a organizaciones de bienestar social</w:t>
            </w:r>
          </w:p>
        </w:tc>
      </w:tr>
      <w:tr>
        <w:trPr>
          <w:trHeight w:val="460" w:hRule="atLeast"/>
        </w:trPr>
        <w:tc>
          <w:tcPr>
            <w:tcW w:w="2835" w:type="dxa"/>
            <w:gridSpan w:val="2"/>
            <w:shd w:val="clear" w:color="auto" w:fill="DCE6F0"/>
          </w:tcPr>
          <w:p>
            <w:pPr>
              <w:pStyle w:val="TableParagraph"/>
              <w:spacing w:before="114"/>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line="230" w:lineRule="exact"/>
              <w:ind w:left="69"/>
              <w:rPr>
                <w:sz w:val="20"/>
              </w:rPr>
            </w:pPr>
            <w:r>
              <w:rPr>
                <w:sz w:val="20"/>
              </w:rPr>
              <w:t>Cantidad</w:t>
            </w:r>
            <w:r>
              <w:rPr>
                <w:spacing w:val="-6"/>
                <w:sz w:val="20"/>
              </w:rPr>
              <w:t> </w:t>
            </w:r>
            <w:r>
              <w:rPr>
                <w:sz w:val="20"/>
              </w:rPr>
              <w:t>de</w:t>
            </w:r>
            <w:r>
              <w:rPr>
                <w:spacing w:val="-4"/>
                <w:sz w:val="20"/>
              </w:rPr>
              <w:t> </w:t>
            </w:r>
            <w:r>
              <w:rPr>
                <w:sz w:val="20"/>
              </w:rPr>
              <w:t>subsidios</w:t>
            </w:r>
            <w:r>
              <w:rPr>
                <w:spacing w:val="-3"/>
                <w:sz w:val="20"/>
              </w:rPr>
              <w:t> </w:t>
            </w:r>
            <w:r>
              <w:rPr>
                <w:sz w:val="20"/>
              </w:rPr>
              <w:t>de</w:t>
            </w:r>
            <w:r>
              <w:rPr>
                <w:spacing w:val="-7"/>
                <w:sz w:val="20"/>
              </w:rPr>
              <w:t> </w:t>
            </w:r>
            <w:r>
              <w:rPr>
                <w:sz w:val="20"/>
              </w:rPr>
              <w:t>Costo</w:t>
            </w:r>
            <w:r>
              <w:rPr>
                <w:spacing w:val="-7"/>
                <w:sz w:val="20"/>
              </w:rPr>
              <w:t> </w:t>
            </w:r>
            <w:r>
              <w:rPr>
                <w:sz w:val="20"/>
              </w:rPr>
              <w:t>de</w:t>
            </w:r>
            <w:r>
              <w:rPr>
                <w:spacing w:val="-4"/>
                <w:sz w:val="20"/>
              </w:rPr>
              <w:t> </w:t>
            </w:r>
            <w:r>
              <w:rPr>
                <w:sz w:val="20"/>
              </w:rPr>
              <w:t>Atención</w:t>
            </w:r>
            <w:r>
              <w:rPr>
                <w:spacing w:val="-7"/>
                <w:sz w:val="20"/>
              </w:rPr>
              <w:t> </w:t>
            </w:r>
            <w:r>
              <w:rPr>
                <w:sz w:val="20"/>
              </w:rPr>
              <w:t>otorgados</w:t>
            </w:r>
            <w:r>
              <w:rPr>
                <w:spacing w:val="-2"/>
                <w:sz w:val="20"/>
              </w:rPr>
              <w:t> </w:t>
            </w:r>
            <w:r>
              <w:rPr>
                <w:sz w:val="20"/>
              </w:rPr>
              <w:t>a</w:t>
            </w:r>
            <w:r>
              <w:rPr>
                <w:spacing w:val="-7"/>
                <w:sz w:val="20"/>
              </w:rPr>
              <w:t> </w:t>
            </w:r>
            <w:r>
              <w:rPr>
                <w:sz w:val="20"/>
              </w:rPr>
              <w:t>organizaciones</w:t>
            </w:r>
            <w:r>
              <w:rPr>
                <w:spacing w:val="-5"/>
                <w:sz w:val="20"/>
              </w:rPr>
              <w:t> </w:t>
            </w:r>
            <w:r>
              <w:rPr>
                <w:sz w:val="20"/>
              </w:rPr>
              <w:t>de bienestar social.</w:t>
            </w:r>
          </w:p>
        </w:tc>
      </w:tr>
      <w:tr>
        <w:trPr>
          <w:trHeight w:val="313" w:hRule="atLeast"/>
        </w:trPr>
        <w:tc>
          <w:tcPr>
            <w:tcW w:w="2835" w:type="dxa"/>
            <w:gridSpan w:val="2"/>
            <w:shd w:val="clear" w:color="auto" w:fill="DCE6F0"/>
          </w:tcPr>
          <w:p>
            <w:pPr>
              <w:pStyle w:val="TableParagraph"/>
              <w:spacing w:before="40"/>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40"/>
              <w:ind w:left="69"/>
              <w:rPr>
                <w:sz w:val="20"/>
              </w:rPr>
            </w:pPr>
            <w:r>
              <w:rPr>
                <w:spacing w:val="-2"/>
                <w:sz w:val="20"/>
              </w:rPr>
              <w:t>Cantidad</w:t>
            </w:r>
          </w:p>
        </w:tc>
      </w:tr>
      <w:tr>
        <w:trPr>
          <w:trHeight w:val="1380" w:hRule="atLeast"/>
        </w:trPr>
        <w:tc>
          <w:tcPr>
            <w:tcW w:w="2835" w:type="dxa"/>
            <w:gridSpan w:val="2"/>
            <w:shd w:val="clear" w:color="auto" w:fill="DCE6F0"/>
          </w:tcPr>
          <w:p>
            <w:pPr>
              <w:pStyle w:val="TableParagraph"/>
              <w:rPr>
                <w:b/>
                <w:sz w:val="20"/>
              </w:rPr>
            </w:pPr>
          </w:p>
          <w:p>
            <w:pPr>
              <w:pStyle w:val="TableParagraph"/>
              <w:spacing w:before="115"/>
              <w:rPr>
                <w:b/>
                <w:sz w:val="20"/>
              </w:rPr>
            </w:pPr>
          </w:p>
          <w:p>
            <w:pPr>
              <w:pStyle w:val="TableParagraph"/>
              <w:spacing w:before="1"/>
              <w:ind w:left="67"/>
              <w:rPr>
                <w:b/>
                <w:sz w:val="20"/>
              </w:rPr>
            </w:pPr>
            <w:r>
              <w:rPr>
                <w:b/>
                <w:spacing w:val="-2"/>
                <w:sz w:val="20"/>
              </w:rPr>
              <w:t>Interpretación:</w:t>
            </w:r>
          </w:p>
        </w:tc>
        <w:tc>
          <w:tcPr>
            <w:tcW w:w="7514" w:type="dxa"/>
          </w:tcPr>
          <w:p>
            <w:pPr>
              <w:pStyle w:val="TableParagraph"/>
              <w:ind w:left="69"/>
              <w:rPr>
                <w:sz w:val="20"/>
              </w:rPr>
            </w:pPr>
            <w:r>
              <w:rPr>
                <w:sz w:val="20"/>
              </w:rPr>
              <w:t>La</w:t>
            </w:r>
            <w:r>
              <w:rPr>
                <w:spacing w:val="-6"/>
                <w:sz w:val="20"/>
              </w:rPr>
              <w:t> </w:t>
            </w:r>
            <w:r>
              <w:rPr>
                <w:sz w:val="20"/>
              </w:rPr>
              <w:t>cantidad</w:t>
            </w:r>
            <w:r>
              <w:rPr>
                <w:spacing w:val="-6"/>
                <w:sz w:val="20"/>
              </w:rPr>
              <w:t> </w:t>
            </w:r>
            <w:r>
              <w:rPr>
                <w:sz w:val="20"/>
              </w:rPr>
              <w:t>de</w:t>
            </w:r>
            <w:r>
              <w:rPr>
                <w:spacing w:val="-5"/>
                <w:sz w:val="20"/>
              </w:rPr>
              <w:t> </w:t>
            </w:r>
            <w:r>
              <w:rPr>
                <w:sz w:val="20"/>
              </w:rPr>
              <w:t>subsidios</w:t>
            </w:r>
            <w:r>
              <w:rPr>
                <w:spacing w:val="-4"/>
                <w:sz w:val="20"/>
              </w:rPr>
              <w:t> </w:t>
            </w:r>
            <w:r>
              <w:rPr>
                <w:sz w:val="20"/>
              </w:rPr>
              <w:t>de</w:t>
            </w:r>
            <w:r>
              <w:rPr>
                <w:spacing w:val="-5"/>
                <w:sz w:val="20"/>
              </w:rPr>
              <w:t> </w:t>
            </w:r>
            <w:r>
              <w:rPr>
                <w:sz w:val="20"/>
              </w:rPr>
              <w:t>Costo</w:t>
            </w:r>
            <w:r>
              <w:rPr>
                <w:spacing w:val="-3"/>
                <w:sz w:val="20"/>
              </w:rPr>
              <w:t> </w:t>
            </w:r>
            <w:r>
              <w:rPr>
                <w:sz w:val="20"/>
              </w:rPr>
              <w:t>de</w:t>
            </w:r>
            <w:r>
              <w:rPr>
                <w:spacing w:val="-4"/>
                <w:sz w:val="20"/>
              </w:rPr>
              <w:t> </w:t>
            </w:r>
            <w:r>
              <w:rPr>
                <w:sz w:val="20"/>
              </w:rPr>
              <w:t>Atención</w:t>
            </w:r>
            <w:r>
              <w:rPr>
                <w:spacing w:val="-5"/>
                <w:sz w:val="20"/>
              </w:rPr>
              <w:t> </w:t>
            </w:r>
            <w:r>
              <w:rPr>
                <w:sz w:val="20"/>
              </w:rPr>
              <w:t>otorgados</w:t>
            </w:r>
            <w:r>
              <w:rPr>
                <w:spacing w:val="-4"/>
                <w:sz w:val="20"/>
              </w:rPr>
              <w:t> </w:t>
            </w:r>
            <w:r>
              <w:rPr>
                <w:sz w:val="20"/>
              </w:rPr>
              <w:t>a</w:t>
            </w:r>
            <w:r>
              <w:rPr>
                <w:spacing w:val="-6"/>
                <w:sz w:val="20"/>
              </w:rPr>
              <w:t> </w:t>
            </w:r>
            <w:r>
              <w:rPr>
                <w:sz w:val="20"/>
              </w:rPr>
              <w:t>organizaciones</w:t>
            </w:r>
            <w:r>
              <w:rPr>
                <w:spacing w:val="-4"/>
                <w:sz w:val="20"/>
              </w:rPr>
              <w:t> </w:t>
            </w:r>
            <w:r>
              <w:rPr>
                <w:sz w:val="20"/>
              </w:rPr>
              <w:t>de bienestar social para la atención de personas en situación de pobreza en “X” período es de “Y”.</w:t>
            </w:r>
          </w:p>
          <w:p>
            <w:pPr>
              <w:pStyle w:val="TableParagraph"/>
              <w:spacing w:line="229" w:lineRule="exact" w:before="1"/>
              <w:ind w:left="69"/>
              <w:rPr>
                <w:sz w:val="20"/>
              </w:rPr>
            </w:pPr>
            <w:r>
              <w:rPr>
                <w:sz w:val="20"/>
              </w:rPr>
              <w:t>En</w:t>
            </w:r>
            <w:r>
              <w:rPr>
                <w:spacing w:val="-7"/>
                <w:sz w:val="20"/>
              </w:rPr>
              <w:t> </w:t>
            </w:r>
            <w:r>
              <w:rPr>
                <w:sz w:val="20"/>
              </w:rPr>
              <w:t>esta</w:t>
            </w:r>
            <w:r>
              <w:rPr>
                <w:spacing w:val="-7"/>
                <w:sz w:val="20"/>
              </w:rPr>
              <w:t> </w:t>
            </w:r>
            <w:r>
              <w:rPr>
                <w:sz w:val="20"/>
              </w:rPr>
              <w:t>“X”</w:t>
            </w:r>
            <w:r>
              <w:rPr>
                <w:spacing w:val="-7"/>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30" w:lineRule="exact"/>
              <w:ind w:left="69" w:right="170"/>
              <w:rPr>
                <w:sz w:val="20"/>
              </w:rPr>
            </w:pPr>
            <w:r>
              <w:rPr>
                <w:sz w:val="20"/>
              </w:rPr>
              <w:t>significa</w:t>
            </w:r>
            <w:r>
              <w:rPr>
                <w:spacing w:val="-3"/>
                <w:sz w:val="20"/>
              </w:rPr>
              <w:t> </w:t>
            </w:r>
            <w:r>
              <w:rPr>
                <w:sz w:val="20"/>
              </w:rPr>
              <w:t>la</w:t>
            </w:r>
            <w:r>
              <w:rPr>
                <w:spacing w:val="-3"/>
                <w:sz w:val="20"/>
              </w:rPr>
              <w:t> </w:t>
            </w:r>
            <w:r>
              <w:rPr>
                <w:sz w:val="20"/>
              </w:rPr>
              <w:t>meta</w:t>
            </w:r>
            <w:r>
              <w:rPr>
                <w:spacing w:val="-5"/>
                <w:sz w:val="20"/>
              </w:rPr>
              <w:t> </w:t>
            </w:r>
            <w:r>
              <w:rPr>
                <w:sz w:val="20"/>
              </w:rPr>
              <w:t>alcanzada</w:t>
            </w:r>
            <w:r>
              <w:rPr>
                <w:spacing w:val="-3"/>
                <w:sz w:val="20"/>
              </w:rPr>
              <w:t> </w:t>
            </w:r>
            <w:r>
              <w:rPr>
                <w:sz w:val="20"/>
              </w:rPr>
              <w:t>a</w:t>
            </w:r>
            <w:r>
              <w:rPr>
                <w:spacing w:val="-6"/>
                <w:sz w:val="20"/>
              </w:rPr>
              <w:t> </w:t>
            </w:r>
            <w:r>
              <w:rPr>
                <w:sz w:val="20"/>
              </w:rPr>
              <w:t>ese</w:t>
            </w:r>
            <w:r>
              <w:rPr>
                <w:spacing w:val="-3"/>
                <w:sz w:val="20"/>
              </w:rPr>
              <w:t> </w:t>
            </w:r>
            <w:r>
              <w:rPr>
                <w:sz w:val="20"/>
              </w:rPr>
              <w:t>momento</w:t>
            </w:r>
            <w:r>
              <w:rPr>
                <w:spacing w:val="-5"/>
                <w:sz w:val="20"/>
              </w:rPr>
              <w:t> </w:t>
            </w:r>
            <w:r>
              <w:rPr>
                <w:sz w:val="20"/>
              </w:rPr>
              <w:t>según</w:t>
            </w:r>
            <w:r>
              <w:rPr>
                <w:spacing w:val="-5"/>
                <w:sz w:val="20"/>
              </w:rPr>
              <w:t> </w:t>
            </w:r>
            <w:r>
              <w:rPr>
                <w:sz w:val="20"/>
              </w:rPr>
              <w:t>la</w:t>
            </w:r>
            <w:r>
              <w:rPr>
                <w:spacing w:val="-5"/>
                <w:sz w:val="20"/>
              </w:rPr>
              <w:t> </w:t>
            </w:r>
            <w:r>
              <w:rPr>
                <w:sz w:val="20"/>
              </w:rPr>
              <w:t>unidad</w:t>
            </w:r>
            <w:r>
              <w:rPr>
                <w:spacing w:val="-6"/>
                <w:sz w:val="20"/>
              </w:rPr>
              <w:t> </w:t>
            </w:r>
            <w:r>
              <w:rPr>
                <w:sz w:val="20"/>
              </w:rPr>
              <w:t>de</w:t>
            </w:r>
            <w:r>
              <w:rPr>
                <w:spacing w:val="-5"/>
                <w:sz w:val="20"/>
              </w:rPr>
              <w:t> </w:t>
            </w:r>
            <w:r>
              <w:rPr>
                <w:sz w:val="20"/>
              </w:rPr>
              <w:t>medida </w:t>
            </w:r>
            <w:r>
              <w:rPr>
                <w:spacing w:val="-2"/>
                <w:sz w:val="20"/>
              </w:rPr>
              <w:t>establecida.</w:t>
            </w:r>
          </w:p>
        </w:tc>
      </w:tr>
      <w:tr>
        <w:trPr>
          <w:trHeight w:val="316" w:hRule="atLeast"/>
        </w:trPr>
        <w:tc>
          <w:tcPr>
            <w:tcW w:w="2835" w:type="dxa"/>
            <w:gridSpan w:val="2"/>
            <w:shd w:val="clear" w:color="auto" w:fill="DCE6F0"/>
          </w:tcPr>
          <w:p>
            <w:pPr>
              <w:pStyle w:val="TableParagraph"/>
              <w:spacing w:before="42"/>
              <w:ind w:left="67"/>
              <w:rPr>
                <w:b/>
                <w:sz w:val="20"/>
              </w:rPr>
            </w:pPr>
            <w:r>
              <w:rPr>
                <w:b/>
                <w:spacing w:val="-2"/>
                <w:sz w:val="20"/>
              </w:rPr>
              <w:t>Desagregación</w:t>
            </w:r>
          </w:p>
        </w:tc>
        <w:tc>
          <w:tcPr>
            <w:tcW w:w="7514"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4" w:hRule="atLeast"/>
        </w:trPr>
        <w:tc>
          <w:tcPr>
            <w:tcW w:w="2835" w:type="dxa"/>
            <w:gridSpan w:val="2"/>
            <w:shd w:val="clear" w:color="auto" w:fill="DCE6F0"/>
          </w:tcPr>
          <w:p>
            <w:pPr>
              <w:pStyle w:val="TableParagraph"/>
              <w:spacing w:before="40"/>
              <w:ind w:left="67"/>
              <w:rPr>
                <w:b/>
                <w:sz w:val="20"/>
              </w:rPr>
            </w:pPr>
            <w:r>
              <w:rPr>
                <w:b/>
                <w:spacing w:val="-2"/>
                <w:sz w:val="20"/>
              </w:rPr>
              <w:t>Meta:</w:t>
            </w:r>
          </w:p>
        </w:tc>
        <w:tc>
          <w:tcPr>
            <w:tcW w:w="7514" w:type="dxa"/>
          </w:tcPr>
          <w:p>
            <w:pPr>
              <w:pStyle w:val="TableParagraph"/>
              <w:spacing w:before="40"/>
              <w:ind w:left="69"/>
              <w:rPr>
                <w:sz w:val="20"/>
              </w:rPr>
            </w:pPr>
            <w:r>
              <w:rPr>
                <w:spacing w:val="-5"/>
                <w:sz w:val="20"/>
              </w:rPr>
              <w:t>23</w:t>
            </w:r>
          </w:p>
        </w:tc>
      </w:tr>
      <w:tr>
        <w:trPr>
          <w:trHeight w:val="313" w:hRule="atLeast"/>
        </w:trPr>
        <w:tc>
          <w:tcPr>
            <w:tcW w:w="2835" w:type="dxa"/>
            <w:gridSpan w:val="2"/>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7514" w:type="dxa"/>
          </w:tcPr>
          <w:p>
            <w:pPr>
              <w:pStyle w:val="TableParagraph"/>
              <w:spacing w:before="42"/>
              <w:ind w:left="69"/>
              <w:rPr>
                <w:sz w:val="20"/>
              </w:rPr>
            </w:pPr>
            <w:r>
              <w:rPr>
                <w:spacing w:val="-5"/>
                <w:sz w:val="20"/>
              </w:rPr>
              <w:t>27</w:t>
            </w:r>
          </w:p>
        </w:tc>
      </w:tr>
      <w:tr>
        <w:trPr>
          <w:trHeight w:val="630" w:hRule="atLeast"/>
        </w:trPr>
        <w:tc>
          <w:tcPr>
            <w:tcW w:w="2835" w:type="dxa"/>
            <w:gridSpan w:val="2"/>
            <w:shd w:val="clear" w:color="auto" w:fill="DCE6F0"/>
          </w:tcPr>
          <w:p>
            <w:pPr>
              <w:pStyle w:val="TableParagraph"/>
              <w:spacing w:before="8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201"/>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835" w:type="dxa"/>
            <w:gridSpan w:val="2"/>
            <w:shd w:val="clear" w:color="auto" w:fill="DCE6F0"/>
          </w:tcPr>
          <w:p>
            <w:pPr>
              <w:pStyle w:val="TableParagraph"/>
              <w:spacing w:before="11"/>
              <w:rPr>
                <w:b/>
                <w:sz w:val="20"/>
              </w:rPr>
            </w:pPr>
          </w:p>
          <w:p>
            <w:pPr>
              <w:pStyle w:val="TableParagraph"/>
              <w:spacing w:before="1"/>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11"/>
              <w:rPr>
                <w:b/>
                <w:sz w:val="20"/>
              </w:rPr>
            </w:pPr>
          </w:p>
          <w:p>
            <w:pPr>
              <w:pStyle w:val="TableParagraph"/>
              <w:spacing w:before="1"/>
              <w:ind w:left="69"/>
              <w:rPr>
                <w:sz w:val="20"/>
              </w:rPr>
            </w:pPr>
            <w:r>
              <w:rPr>
                <w:sz w:val="20"/>
              </w:rPr>
              <w:t>Nombre</w:t>
            </w:r>
            <w:r>
              <w:rPr>
                <w:spacing w:val="-7"/>
                <w:sz w:val="20"/>
              </w:rPr>
              <w:t> </w:t>
            </w:r>
            <w:r>
              <w:rPr>
                <w:sz w:val="20"/>
              </w:rPr>
              <w:t>del</w:t>
            </w:r>
            <w:r>
              <w:rPr>
                <w:spacing w:val="-10"/>
                <w:sz w:val="20"/>
              </w:rPr>
              <w:t> </w:t>
            </w:r>
            <w:r>
              <w:rPr>
                <w:sz w:val="20"/>
              </w:rPr>
              <w:t>funcionario:</w:t>
            </w:r>
            <w:r>
              <w:rPr>
                <w:spacing w:val="-8"/>
                <w:sz w:val="20"/>
              </w:rPr>
              <w:t> </w:t>
            </w:r>
            <w:r>
              <w:rPr>
                <w:sz w:val="20"/>
              </w:rPr>
              <w:t>María</w:t>
            </w:r>
            <w:r>
              <w:rPr>
                <w:spacing w:val="-9"/>
                <w:sz w:val="20"/>
              </w:rPr>
              <w:t> </w:t>
            </w:r>
            <w:r>
              <w:rPr>
                <w:sz w:val="20"/>
              </w:rPr>
              <w:t>Emilia</w:t>
            </w:r>
            <w:r>
              <w:rPr>
                <w:spacing w:val="-8"/>
                <w:sz w:val="20"/>
              </w:rPr>
              <w:t> </w:t>
            </w:r>
            <w:r>
              <w:rPr>
                <w:sz w:val="20"/>
              </w:rPr>
              <w:t>Mora</w:t>
            </w:r>
            <w:r>
              <w:rPr>
                <w:spacing w:val="-9"/>
                <w:sz w:val="20"/>
              </w:rPr>
              <w:t> </w:t>
            </w:r>
            <w:r>
              <w:rPr>
                <w:spacing w:val="-2"/>
                <w:sz w:val="20"/>
              </w:rPr>
              <w:t>Campos</w:t>
            </w:r>
          </w:p>
          <w:p>
            <w:pPr>
              <w:pStyle w:val="TableParagraph"/>
              <w:ind w:left="69"/>
              <w:rPr>
                <w:sz w:val="20"/>
              </w:rPr>
            </w:pPr>
            <w:r>
              <w:rPr>
                <w:sz w:val="20"/>
              </w:rPr>
              <w:t>Cargo:</w:t>
            </w:r>
            <w:r>
              <w:rPr>
                <w:spacing w:val="-10"/>
                <w:sz w:val="20"/>
              </w:rPr>
              <w:t> </w:t>
            </w:r>
            <w:r>
              <w:rPr>
                <w:sz w:val="20"/>
              </w:rPr>
              <w:t>Jefatura,</w:t>
            </w:r>
            <w:r>
              <w:rPr>
                <w:spacing w:val="-9"/>
                <w:sz w:val="20"/>
              </w:rPr>
              <w:t> </w:t>
            </w:r>
            <w:r>
              <w:rPr>
                <w:sz w:val="20"/>
              </w:rPr>
              <w:t>Departamento</w:t>
            </w:r>
            <w:r>
              <w:rPr>
                <w:spacing w:val="-7"/>
                <w:sz w:val="20"/>
              </w:rPr>
              <w:t> </w:t>
            </w:r>
            <w:r>
              <w:rPr>
                <w:sz w:val="20"/>
              </w:rPr>
              <w:t>de</w:t>
            </w:r>
            <w:r>
              <w:rPr>
                <w:spacing w:val="-8"/>
                <w:sz w:val="20"/>
              </w:rPr>
              <w:t> </w:t>
            </w:r>
            <w:r>
              <w:rPr>
                <w:sz w:val="20"/>
              </w:rPr>
              <w:t>Acción</w:t>
            </w:r>
            <w:r>
              <w:rPr>
                <w:spacing w:val="-7"/>
                <w:sz w:val="20"/>
              </w:rPr>
              <w:t> </w:t>
            </w:r>
            <w:r>
              <w:rPr>
                <w:sz w:val="20"/>
              </w:rPr>
              <w:t>Social</w:t>
            </w:r>
            <w:r>
              <w:rPr>
                <w:spacing w:val="-8"/>
                <w:sz w:val="20"/>
              </w:rPr>
              <w:t> </w:t>
            </w:r>
            <w:r>
              <w:rPr>
                <w:sz w:val="20"/>
              </w:rPr>
              <w:t>y</w:t>
            </w:r>
            <w:r>
              <w:rPr>
                <w:spacing w:val="-9"/>
                <w:sz w:val="20"/>
              </w:rPr>
              <w:t> </w:t>
            </w:r>
            <w:r>
              <w:rPr>
                <w:sz w:val="20"/>
              </w:rPr>
              <w:t>Administración</w:t>
            </w:r>
            <w:r>
              <w:rPr>
                <w:spacing w:val="-9"/>
                <w:sz w:val="20"/>
              </w:rPr>
              <w:t> </w:t>
            </w:r>
            <w:r>
              <w:rPr>
                <w:sz w:val="20"/>
              </w:rPr>
              <w:t>de</w:t>
            </w:r>
            <w:r>
              <w:rPr>
                <w:spacing w:val="-7"/>
                <w:sz w:val="20"/>
              </w:rPr>
              <w:t> </w:t>
            </w:r>
            <w:r>
              <w:rPr>
                <w:spacing w:val="-2"/>
                <w:sz w:val="20"/>
              </w:rPr>
              <w:t>Instituciones</w:t>
            </w:r>
          </w:p>
        </w:tc>
      </w:tr>
      <w:tr>
        <w:trPr>
          <w:trHeight w:val="945" w:hRule="atLeast"/>
        </w:trPr>
        <w:tc>
          <w:tcPr>
            <w:tcW w:w="2835" w:type="dxa"/>
            <w:gridSpan w:val="2"/>
            <w:shd w:val="clear" w:color="auto" w:fill="DCE6F0"/>
          </w:tcPr>
          <w:p>
            <w:pPr>
              <w:pStyle w:val="TableParagraph"/>
              <w:spacing w:before="12"/>
              <w:rPr>
                <w:b/>
                <w:sz w:val="20"/>
              </w:rPr>
            </w:pPr>
          </w:p>
          <w:p>
            <w:pPr>
              <w:pStyle w:val="TableParagraph"/>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2"/>
              <w:rPr>
                <w:b/>
                <w:sz w:val="20"/>
              </w:rPr>
            </w:pPr>
          </w:p>
          <w:p>
            <w:pPr>
              <w:pStyle w:val="TableParagraph"/>
              <w:ind w:left="69" w:right="170"/>
              <w:rPr>
                <w:sz w:val="20"/>
              </w:rPr>
            </w:pPr>
            <w:r>
              <w:rPr>
                <w:sz w:val="20"/>
              </w:rPr>
              <w:t>Dirección</w:t>
            </w:r>
            <w:r>
              <w:rPr>
                <w:spacing w:val="-5"/>
                <w:sz w:val="20"/>
              </w:rPr>
              <w:t> </w:t>
            </w:r>
            <w:r>
              <w:rPr>
                <w:sz w:val="20"/>
              </w:rPr>
              <w:t>de</w:t>
            </w:r>
            <w:r>
              <w:rPr>
                <w:spacing w:val="-6"/>
                <w:sz w:val="20"/>
              </w:rPr>
              <w:t> </w:t>
            </w:r>
            <w:r>
              <w:rPr>
                <w:sz w:val="20"/>
              </w:rPr>
              <w:t>Desarrollo</w:t>
            </w:r>
            <w:r>
              <w:rPr>
                <w:spacing w:val="-5"/>
                <w:sz w:val="20"/>
              </w:rPr>
              <w:t> </w:t>
            </w:r>
            <w:r>
              <w:rPr>
                <w:sz w:val="20"/>
              </w:rPr>
              <w:t>Social,</w:t>
            </w:r>
            <w:r>
              <w:rPr>
                <w:spacing w:val="-5"/>
                <w:sz w:val="20"/>
              </w:rPr>
              <w:t> </w:t>
            </w:r>
            <w:r>
              <w:rPr>
                <w:sz w:val="20"/>
              </w:rPr>
              <w:t>Departamento</w:t>
            </w:r>
            <w:r>
              <w:rPr>
                <w:spacing w:val="-5"/>
                <w:sz w:val="20"/>
              </w:rPr>
              <w:t> </w:t>
            </w:r>
            <w:r>
              <w:rPr>
                <w:sz w:val="20"/>
              </w:rPr>
              <w:t>de</w:t>
            </w:r>
            <w:r>
              <w:rPr>
                <w:spacing w:val="-6"/>
                <w:sz w:val="20"/>
              </w:rPr>
              <w:t> </w:t>
            </w:r>
            <w:r>
              <w:rPr>
                <w:sz w:val="20"/>
              </w:rPr>
              <w:t>Acción</w:t>
            </w:r>
            <w:r>
              <w:rPr>
                <w:spacing w:val="-7"/>
                <w:sz w:val="20"/>
              </w:rPr>
              <w:t> </w:t>
            </w:r>
            <w:r>
              <w:rPr>
                <w:sz w:val="20"/>
              </w:rPr>
              <w:t>Social</w:t>
            </w:r>
            <w:r>
              <w:rPr>
                <w:spacing w:val="-7"/>
                <w:sz w:val="20"/>
              </w:rPr>
              <w:t> </w:t>
            </w:r>
            <w:r>
              <w:rPr>
                <w:sz w:val="20"/>
              </w:rPr>
              <w:t>y</w:t>
            </w:r>
            <w:r>
              <w:rPr>
                <w:spacing w:val="-6"/>
                <w:sz w:val="20"/>
              </w:rPr>
              <w:t> </w:t>
            </w:r>
            <w:r>
              <w:rPr>
                <w:sz w:val="20"/>
              </w:rPr>
              <w:t>Administración de Instituciones</w:t>
            </w:r>
          </w:p>
        </w:tc>
      </w:tr>
      <w:tr>
        <w:trPr>
          <w:trHeight w:val="323" w:hRule="atLeast"/>
        </w:trPr>
        <w:tc>
          <w:tcPr>
            <w:tcW w:w="2835" w:type="dxa"/>
            <w:gridSpan w:val="2"/>
            <w:tcBorders>
              <w:bottom w:val="nil"/>
            </w:tcBorders>
            <w:shd w:val="clear" w:color="auto" w:fill="DCE6F0"/>
          </w:tcPr>
          <w:p>
            <w:pPr>
              <w:pStyle w:val="TableParagraph"/>
              <w:spacing w:before="42"/>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Borders>
              <w:bottom w:val="thickThinMediumGap" w:sz="9" w:space="0" w:color="808080"/>
            </w:tcBorders>
          </w:tcPr>
          <w:p>
            <w:pPr>
              <w:pStyle w:val="TableParagraph"/>
              <w:spacing w:before="42"/>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1667" w:hRule="atLeast"/>
        </w:trPr>
        <w:tc>
          <w:tcPr>
            <w:tcW w:w="1498" w:type="dxa"/>
            <w:tcBorders>
              <w:top w:val="thinThickMediumGap" w:sz="9" w:space="0" w:color="808080"/>
              <w:left w:val="nil"/>
              <w:bottom w:val="nil"/>
              <w:right w:val="single" w:sz="18" w:space="0" w:color="808080"/>
            </w:tcBorders>
          </w:tcPr>
          <w:p>
            <w:pPr>
              <w:pStyle w:val="TableParagraph"/>
              <w:spacing w:before="12"/>
              <w:ind w:left="679"/>
              <w:rPr>
                <w:b/>
                <w:sz w:val="24"/>
              </w:rPr>
            </w:pPr>
            <w:r>
              <w:rPr>
                <w:b/>
                <w:spacing w:val="-5"/>
                <w:sz w:val="24"/>
              </w:rPr>
              <w:t>183</w:t>
            </w:r>
          </w:p>
        </w:tc>
        <w:tc>
          <w:tcPr>
            <w:tcW w:w="8851" w:type="dxa"/>
            <w:gridSpan w:val="2"/>
            <w:tcBorders>
              <w:top w:val="nil"/>
              <w:left w:val="single" w:sz="18" w:space="0" w:color="808080"/>
              <w:bottom w:val="nil"/>
              <w:right w:val="nil"/>
            </w:tcBorders>
          </w:tcPr>
          <w:p>
            <w:pPr>
              <w:pStyle w:val="TableParagraph"/>
              <w:spacing w:before="12"/>
              <w:ind w:left="90"/>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c>
      </w:tr>
    </w:tbl>
    <w:p>
      <w:pPr>
        <w:pStyle w:val="TableParagraph"/>
        <w:spacing w:after="0"/>
        <w:rPr>
          <w:b/>
          <w:i/>
          <w:sz w:val="24"/>
        </w:rPr>
        <w:sectPr>
          <w:footerReference w:type="default" r:id="rId138"/>
          <w:pgSz w:w="12240" w:h="15840"/>
          <w:pgMar w:header="0" w:footer="0" w:top="1400" w:bottom="280"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600" w:hRule="atLeast"/>
        </w:trPr>
        <w:tc>
          <w:tcPr>
            <w:tcW w:w="2835" w:type="dxa"/>
            <w:tcBorders>
              <w:top w:val="nil"/>
            </w:tcBorders>
            <w:shd w:val="clear" w:color="auto" w:fill="DCE6F0"/>
          </w:tcPr>
          <w:p>
            <w:pPr>
              <w:pStyle w:val="TableParagraph"/>
              <w:spacing w:before="185"/>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Borders>
              <w:top w:val="nil"/>
            </w:tcBorders>
          </w:tcPr>
          <w:p>
            <w:pPr>
              <w:pStyle w:val="TableParagraph"/>
              <w:spacing w:before="69"/>
              <w:ind w:left="69"/>
              <w:rPr>
                <w:sz w:val="20"/>
              </w:rPr>
            </w:pPr>
            <w:r>
              <w:rPr>
                <w:sz w:val="20"/>
              </w:rPr>
              <w:t>Informes</w:t>
            </w:r>
            <w:r>
              <w:rPr>
                <w:spacing w:val="-5"/>
                <w:sz w:val="20"/>
              </w:rPr>
              <w:t> </w:t>
            </w:r>
            <w:r>
              <w:rPr>
                <w:sz w:val="20"/>
              </w:rPr>
              <w:t>del</w:t>
            </w:r>
            <w:r>
              <w:rPr>
                <w:spacing w:val="-6"/>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6"/>
                <w:sz w:val="20"/>
              </w:rPr>
              <w:t> </w:t>
            </w:r>
            <w:r>
              <w:rPr>
                <w:sz w:val="20"/>
              </w:rPr>
              <w:t>realizados</w:t>
            </w:r>
            <w:r>
              <w:rPr>
                <w:spacing w:val="-3"/>
                <w:sz w:val="20"/>
              </w:rPr>
              <w:t> </w:t>
            </w:r>
            <w:r>
              <w:rPr>
                <w:sz w:val="20"/>
              </w:rPr>
              <w:t>por</w:t>
            </w:r>
            <w:r>
              <w:rPr>
                <w:spacing w:val="-5"/>
                <w:sz w:val="20"/>
              </w:rPr>
              <w:t> </w:t>
            </w:r>
            <w:r>
              <w:rPr>
                <w:sz w:val="20"/>
              </w:rPr>
              <w:t>el Departamento de Acción Social y Administración de Instituciones.</w:t>
            </w:r>
          </w:p>
        </w:tc>
      </w:tr>
      <w:tr>
        <w:trPr>
          <w:trHeight w:val="899" w:hRule="atLeast"/>
        </w:trPr>
        <w:tc>
          <w:tcPr>
            <w:tcW w:w="2835" w:type="dxa"/>
            <w:shd w:val="clear" w:color="auto" w:fill="DCE6F0"/>
          </w:tcPr>
          <w:p>
            <w:pPr>
              <w:pStyle w:val="TableParagraph"/>
              <w:spacing w:before="103"/>
              <w:rPr>
                <w:b/>
                <w:sz w:val="20"/>
              </w:rPr>
            </w:pPr>
          </w:p>
          <w:p>
            <w:pPr>
              <w:pStyle w:val="TableParagraph"/>
              <w:ind w:left="67"/>
              <w:rPr>
                <w:b/>
                <w:sz w:val="20"/>
              </w:rPr>
            </w:pPr>
            <w:r>
              <w:rPr>
                <w:b/>
                <w:spacing w:val="-2"/>
                <w:sz w:val="20"/>
              </w:rPr>
              <w:t>Clasificación</w:t>
            </w:r>
          </w:p>
        </w:tc>
        <w:tc>
          <w:tcPr>
            <w:tcW w:w="7514" w:type="dxa"/>
          </w:tcPr>
          <w:p>
            <w:pPr>
              <w:pStyle w:val="TableParagraph"/>
              <w:spacing w:before="103"/>
              <w:rPr>
                <w:b/>
                <w:sz w:val="20"/>
              </w:rPr>
            </w:pPr>
          </w:p>
          <w:p>
            <w:pPr>
              <w:pStyle w:val="TableParagraph"/>
              <w:ind w:left="69"/>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5"/>
                <w:sz w:val="20"/>
              </w:rPr>
              <w:t> </w:t>
            </w:r>
            <w:r>
              <w:rPr>
                <w:sz w:val="20"/>
              </w:rPr>
              <w:t>Producto</w:t>
            </w:r>
            <w:r>
              <w:rPr>
                <w:spacing w:val="-8"/>
                <w:sz w:val="20"/>
              </w:rPr>
              <w:t> </w:t>
            </w:r>
            <w:r>
              <w:rPr>
                <w:spacing w:val="-5"/>
                <w:sz w:val="20"/>
              </w:rPr>
              <w:t>(X)</w:t>
            </w:r>
          </w:p>
        </w:tc>
      </w:tr>
      <w:tr>
        <w:trPr>
          <w:trHeight w:val="690" w:hRule="atLeast"/>
        </w:trPr>
        <w:tc>
          <w:tcPr>
            <w:tcW w:w="2835" w:type="dxa"/>
            <w:shd w:val="clear" w:color="auto" w:fill="DCE6F0"/>
          </w:tcPr>
          <w:p>
            <w:pPr>
              <w:pStyle w:val="TableParagraph"/>
              <w:spacing w:before="230"/>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spacing w:line="230" w:lineRule="exact"/>
              <w:ind w:left="69" w:right="170"/>
              <w:rPr>
                <w:sz w:val="20"/>
              </w:rPr>
            </w:pPr>
            <w:r>
              <w:rPr>
                <w:sz w:val="20"/>
              </w:rPr>
              <w:t>El cumplimiento de la meta establecida depende de la gestión de las organizaciones</w:t>
            </w:r>
            <w:r>
              <w:rPr>
                <w:spacing w:val="-5"/>
                <w:sz w:val="20"/>
              </w:rPr>
              <w:t> </w:t>
            </w:r>
            <w:r>
              <w:rPr>
                <w:sz w:val="20"/>
              </w:rPr>
              <w:t>de</w:t>
            </w:r>
            <w:r>
              <w:rPr>
                <w:spacing w:val="-4"/>
                <w:sz w:val="20"/>
              </w:rPr>
              <w:t> </w:t>
            </w:r>
            <w:r>
              <w:rPr>
                <w:sz w:val="20"/>
              </w:rPr>
              <w:t>bienestar</w:t>
            </w:r>
            <w:r>
              <w:rPr>
                <w:spacing w:val="-5"/>
                <w:sz w:val="20"/>
              </w:rPr>
              <w:t> </w:t>
            </w:r>
            <w:r>
              <w:rPr>
                <w:sz w:val="20"/>
              </w:rPr>
              <w:t>social</w:t>
            </w:r>
            <w:r>
              <w:rPr>
                <w:spacing w:val="-7"/>
                <w:sz w:val="20"/>
              </w:rPr>
              <w:t> </w:t>
            </w:r>
            <w:r>
              <w:rPr>
                <w:sz w:val="20"/>
              </w:rPr>
              <w:t>en</w:t>
            </w:r>
            <w:r>
              <w:rPr>
                <w:spacing w:val="-6"/>
                <w:sz w:val="20"/>
              </w:rPr>
              <w:t> </w:t>
            </w:r>
            <w:r>
              <w:rPr>
                <w:sz w:val="20"/>
              </w:rPr>
              <w:t>el</w:t>
            </w:r>
            <w:r>
              <w:rPr>
                <w:spacing w:val="-7"/>
                <w:sz w:val="20"/>
              </w:rPr>
              <w:t> </w:t>
            </w:r>
            <w:r>
              <w:rPr>
                <w:sz w:val="20"/>
              </w:rPr>
              <w:t>cumplimiento</w:t>
            </w:r>
            <w:r>
              <w:rPr>
                <w:spacing w:val="-4"/>
                <w:sz w:val="20"/>
              </w:rPr>
              <w:t> </w:t>
            </w:r>
            <w:r>
              <w:rPr>
                <w:sz w:val="20"/>
              </w:rPr>
              <w:t>de</w:t>
            </w:r>
            <w:r>
              <w:rPr>
                <w:spacing w:val="-7"/>
                <w:sz w:val="20"/>
              </w:rPr>
              <w:t> </w:t>
            </w:r>
            <w:r>
              <w:rPr>
                <w:sz w:val="20"/>
              </w:rPr>
              <w:t>los</w:t>
            </w:r>
            <w:r>
              <w:rPr>
                <w:spacing w:val="-5"/>
                <w:sz w:val="20"/>
              </w:rPr>
              <w:t> </w:t>
            </w:r>
            <w:r>
              <w:rPr>
                <w:sz w:val="20"/>
              </w:rPr>
              <w:t>requisitos establecidos por la normativa.</w:t>
            </w:r>
          </w:p>
        </w:tc>
      </w:tr>
    </w:tbl>
    <w:p>
      <w:pPr>
        <w:pStyle w:val="BodyText"/>
        <w:rPr>
          <w:b/>
          <w:sz w:val="20"/>
        </w:rPr>
      </w:pPr>
    </w:p>
    <w:p>
      <w:pPr>
        <w:pStyle w:val="BodyText"/>
        <w:rPr>
          <w:b/>
          <w:sz w:val="20"/>
        </w:rPr>
      </w:pPr>
    </w:p>
    <w:p>
      <w:pPr>
        <w:pStyle w:val="BodyText"/>
        <w:rPr>
          <w:b/>
          <w:sz w:val="20"/>
        </w:rPr>
      </w:pPr>
    </w:p>
    <w:p>
      <w:pPr>
        <w:pStyle w:val="BodyText"/>
        <w:spacing w:before="19"/>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691" w:hRule="atLeast"/>
        </w:trPr>
        <w:tc>
          <w:tcPr>
            <w:tcW w:w="2835" w:type="dxa"/>
            <w:shd w:val="clear" w:color="auto" w:fill="DCE6F0"/>
          </w:tcPr>
          <w:p>
            <w:pPr>
              <w:pStyle w:val="TableParagraph"/>
              <w:spacing w:before="230"/>
              <w:ind w:left="67"/>
              <w:rPr>
                <w:b/>
                <w:sz w:val="20"/>
              </w:rPr>
            </w:pPr>
            <w:r>
              <w:rPr>
                <w:b/>
                <w:sz w:val="20"/>
              </w:rPr>
              <w:t>PPPS</w:t>
            </w:r>
            <w:r>
              <w:rPr>
                <w:b/>
                <w:spacing w:val="-6"/>
                <w:sz w:val="20"/>
              </w:rPr>
              <w:t> </w:t>
            </w:r>
            <w:r>
              <w:rPr>
                <w:b/>
                <w:spacing w:val="-2"/>
                <w:sz w:val="20"/>
              </w:rPr>
              <w:t>1.1.8:</w:t>
            </w:r>
          </w:p>
        </w:tc>
        <w:tc>
          <w:tcPr>
            <w:tcW w:w="7514" w:type="dxa"/>
          </w:tcPr>
          <w:p>
            <w:pPr>
              <w:pStyle w:val="TableParagraph"/>
              <w:ind w:left="69"/>
              <w:rPr>
                <w:sz w:val="20"/>
              </w:rPr>
            </w:pPr>
            <w:r>
              <w:rPr>
                <w:sz w:val="20"/>
              </w:rPr>
              <w:t>Nombre</w:t>
            </w:r>
            <w:r>
              <w:rPr>
                <w:spacing w:val="-3"/>
                <w:sz w:val="20"/>
              </w:rPr>
              <w:t> </w:t>
            </w:r>
            <w:r>
              <w:rPr>
                <w:sz w:val="20"/>
              </w:rPr>
              <w:t>del</w:t>
            </w:r>
            <w:r>
              <w:rPr>
                <w:spacing w:val="-6"/>
                <w:sz w:val="20"/>
              </w:rPr>
              <w:t> </w:t>
            </w:r>
            <w:r>
              <w:rPr>
                <w:sz w:val="20"/>
              </w:rPr>
              <w:t>Indicador:</w:t>
            </w:r>
            <w:r>
              <w:rPr>
                <w:spacing w:val="-5"/>
                <w:sz w:val="20"/>
              </w:rPr>
              <w:t> </w:t>
            </w:r>
            <w:r>
              <w:rPr>
                <w:sz w:val="20"/>
              </w:rPr>
              <w:t>Cantidad</w:t>
            </w:r>
            <w:r>
              <w:rPr>
                <w:spacing w:val="-5"/>
                <w:sz w:val="20"/>
              </w:rPr>
              <w:t> </w:t>
            </w:r>
            <w:r>
              <w:rPr>
                <w:sz w:val="20"/>
              </w:rPr>
              <w:t>de</w:t>
            </w:r>
            <w:r>
              <w:rPr>
                <w:spacing w:val="-3"/>
                <w:sz w:val="20"/>
              </w:rPr>
              <w:t> </w:t>
            </w:r>
            <w:r>
              <w:rPr>
                <w:sz w:val="20"/>
              </w:rPr>
              <w:t>hogares</w:t>
            </w:r>
            <w:r>
              <w:rPr>
                <w:spacing w:val="-4"/>
                <w:sz w:val="20"/>
              </w:rPr>
              <w:t> </w:t>
            </w:r>
            <w:r>
              <w:rPr>
                <w:sz w:val="20"/>
              </w:rPr>
              <w:t>que</w:t>
            </w:r>
            <w:r>
              <w:rPr>
                <w:spacing w:val="-6"/>
                <w:sz w:val="20"/>
              </w:rPr>
              <w:t> </w:t>
            </w:r>
            <w:r>
              <w:rPr>
                <w:sz w:val="20"/>
              </w:rPr>
              <w:t>reciben</w:t>
            </w:r>
            <w:r>
              <w:rPr>
                <w:spacing w:val="-5"/>
                <w:sz w:val="20"/>
              </w:rPr>
              <w:t> </w:t>
            </w:r>
            <w:r>
              <w:rPr>
                <w:sz w:val="20"/>
              </w:rPr>
              <w:t>un</w:t>
            </w:r>
            <w:r>
              <w:rPr>
                <w:spacing w:val="-5"/>
                <w:sz w:val="20"/>
              </w:rPr>
              <w:t> </w:t>
            </w:r>
            <w:r>
              <w:rPr>
                <w:sz w:val="20"/>
              </w:rPr>
              <w:t>subsidio</w:t>
            </w:r>
            <w:r>
              <w:rPr>
                <w:spacing w:val="-3"/>
                <w:sz w:val="20"/>
              </w:rPr>
              <w:t> </w:t>
            </w:r>
            <w:r>
              <w:rPr>
                <w:sz w:val="20"/>
              </w:rPr>
              <w:t>para</w:t>
            </w:r>
            <w:r>
              <w:rPr>
                <w:spacing w:val="-3"/>
                <w:sz w:val="20"/>
              </w:rPr>
              <w:t> </w:t>
            </w:r>
            <w:r>
              <w:rPr>
                <w:sz w:val="20"/>
              </w:rPr>
              <w:t>el mejoramiento de las condiciones habitacionales y de accesibilidad de sus</w:t>
            </w:r>
          </w:p>
          <w:p>
            <w:pPr>
              <w:pStyle w:val="TableParagraph"/>
              <w:spacing w:line="211" w:lineRule="exact" w:before="1"/>
              <w:ind w:left="69"/>
              <w:rPr>
                <w:sz w:val="20"/>
              </w:rPr>
            </w:pPr>
            <w:r>
              <w:rPr>
                <w:spacing w:val="-2"/>
                <w:sz w:val="20"/>
              </w:rPr>
              <w:t>viviendas.</w:t>
            </w:r>
          </w:p>
        </w:tc>
      </w:tr>
      <w:tr>
        <w:trPr>
          <w:trHeight w:val="688" w:hRule="atLeast"/>
        </w:trPr>
        <w:tc>
          <w:tcPr>
            <w:tcW w:w="2835" w:type="dxa"/>
            <w:shd w:val="clear" w:color="auto" w:fill="DCE6F0"/>
          </w:tcPr>
          <w:p>
            <w:pPr>
              <w:pStyle w:val="TableParagraph"/>
              <w:spacing w:before="230"/>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line="229" w:lineRule="exact"/>
              <w:ind w:left="69"/>
              <w:rPr>
                <w:sz w:val="20"/>
              </w:rPr>
            </w:pPr>
            <w:r>
              <w:rPr>
                <w:sz w:val="20"/>
              </w:rPr>
              <w:t>Sumatoria</w:t>
            </w:r>
            <w:r>
              <w:rPr>
                <w:spacing w:val="-9"/>
                <w:sz w:val="20"/>
              </w:rPr>
              <w:t> </w:t>
            </w:r>
            <w:r>
              <w:rPr>
                <w:sz w:val="20"/>
              </w:rPr>
              <w:t>de</w:t>
            </w:r>
            <w:r>
              <w:rPr>
                <w:spacing w:val="-8"/>
                <w:sz w:val="20"/>
              </w:rPr>
              <w:t> </w:t>
            </w:r>
            <w:r>
              <w:rPr>
                <w:sz w:val="20"/>
              </w:rPr>
              <w:t>hogares</w:t>
            </w:r>
            <w:r>
              <w:rPr>
                <w:spacing w:val="-5"/>
                <w:sz w:val="20"/>
              </w:rPr>
              <w:t> </w:t>
            </w:r>
            <w:r>
              <w:rPr>
                <w:sz w:val="20"/>
              </w:rPr>
              <w:t>que</w:t>
            </w:r>
            <w:r>
              <w:rPr>
                <w:spacing w:val="-6"/>
                <w:sz w:val="20"/>
              </w:rPr>
              <w:t> </w:t>
            </w:r>
            <w:r>
              <w:rPr>
                <w:sz w:val="20"/>
              </w:rPr>
              <w:t>reciben</w:t>
            </w:r>
            <w:r>
              <w:rPr>
                <w:spacing w:val="-8"/>
                <w:sz w:val="20"/>
              </w:rPr>
              <w:t> </w:t>
            </w:r>
            <w:r>
              <w:rPr>
                <w:sz w:val="20"/>
              </w:rPr>
              <w:t>recursos</w:t>
            </w:r>
            <w:r>
              <w:rPr>
                <w:spacing w:val="-8"/>
                <w:sz w:val="20"/>
              </w:rPr>
              <w:t> </w:t>
            </w:r>
            <w:r>
              <w:rPr>
                <w:sz w:val="20"/>
              </w:rPr>
              <w:t>económicos</w:t>
            </w:r>
            <w:r>
              <w:rPr>
                <w:spacing w:val="-7"/>
                <w:sz w:val="20"/>
              </w:rPr>
              <w:t> </w:t>
            </w:r>
            <w:r>
              <w:rPr>
                <w:sz w:val="20"/>
              </w:rPr>
              <w:t>del</w:t>
            </w:r>
            <w:r>
              <w:rPr>
                <w:spacing w:val="-7"/>
                <w:sz w:val="20"/>
              </w:rPr>
              <w:t> </w:t>
            </w:r>
            <w:r>
              <w:rPr>
                <w:sz w:val="20"/>
              </w:rPr>
              <w:t>subsidio</w:t>
            </w:r>
            <w:r>
              <w:rPr>
                <w:spacing w:val="-8"/>
                <w:sz w:val="20"/>
              </w:rPr>
              <w:t> </w:t>
            </w:r>
            <w:r>
              <w:rPr>
                <w:sz w:val="20"/>
              </w:rPr>
              <w:t>Gastos</w:t>
            </w:r>
            <w:r>
              <w:rPr>
                <w:spacing w:val="-8"/>
                <w:sz w:val="20"/>
              </w:rPr>
              <w:t> </w:t>
            </w:r>
            <w:r>
              <w:rPr>
                <w:spacing w:val="-5"/>
                <w:sz w:val="20"/>
              </w:rPr>
              <w:t>de</w:t>
            </w:r>
          </w:p>
          <w:p>
            <w:pPr>
              <w:pStyle w:val="TableParagraph"/>
              <w:spacing w:line="228" w:lineRule="exact"/>
              <w:ind w:left="69"/>
              <w:rPr>
                <w:sz w:val="20"/>
              </w:rPr>
            </w:pPr>
            <w:r>
              <w:rPr>
                <w:sz w:val="20"/>
              </w:rPr>
              <w:t>implementación</w:t>
            </w:r>
            <w:r>
              <w:rPr>
                <w:spacing w:val="-6"/>
                <w:sz w:val="20"/>
              </w:rPr>
              <w:t> </w:t>
            </w:r>
            <w:r>
              <w:rPr>
                <w:sz w:val="20"/>
              </w:rPr>
              <w:t>para</w:t>
            </w:r>
            <w:r>
              <w:rPr>
                <w:spacing w:val="-6"/>
                <w:sz w:val="20"/>
              </w:rPr>
              <w:t> </w:t>
            </w:r>
            <w:r>
              <w:rPr>
                <w:sz w:val="20"/>
              </w:rPr>
              <w:t>mejoramiento</w:t>
            </w:r>
            <w:r>
              <w:rPr>
                <w:spacing w:val="-5"/>
                <w:sz w:val="20"/>
              </w:rPr>
              <w:t> </w:t>
            </w:r>
            <w:r>
              <w:rPr>
                <w:sz w:val="20"/>
              </w:rPr>
              <w:t>de</w:t>
            </w:r>
            <w:r>
              <w:rPr>
                <w:spacing w:val="-7"/>
                <w:sz w:val="20"/>
              </w:rPr>
              <w:t> </w:t>
            </w:r>
            <w:r>
              <w:rPr>
                <w:sz w:val="20"/>
              </w:rPr>
              <w:t>vivienda,</w:t>
            </w:r>
            <w:r>
              <w:rPr>
                <w:spacing w:val="-5"/>
                <w:sz w:val="20"/>
              </w:rPr>
              <w:t> </w:t>
            </w:r>
            <w:r>
              <w:rPr>
                <w:sz w:val="20"/>
              </w:rPr>
              <w:t>Mejoramiento</w:t>
            </w:r>
            <w:r>
              <w:rPr>
                <w:spacing w:val="-5"/>
                <w:sz w:val="20"/>
              </w:rPr>
              <w:t> </w:t>
            </w:r>
            <w:r>
              <w:rPr>
                <w:sz w:val="20"/>
              </w:rPr>
              <w:t>de</w:t>
            </w:r>
            <w:r>
              <w:rPr>
                <w:spacing w:val="-7"/>
                <w:sz w:val="20"/>
              </w:rPr>
              <w:t> </w:t>
            </w:r>
            <w:r>
              <w:rPr>
                <w:sz w:val="20"/>
              </w:rPr>
              <w:t>vivienda</w:t>
            </w:r>
            <w:r>
              <w:rPr>
                <w:spacing w:val="-6"/>
                <w:sz w:val="20"/>
              </w:rPr>
              <w:t> </w:t>
            </w:r>
            <w:r>
              <w:rPr>
                <w:sz w:val="20"/>
              </w:rPr>
              <w:t>y Mejoramiento de vivienda para la atención de emergencias.</w:t>
            </w:r>
          </w:p>
        </w:tc>
      </w:tr>
      <w:tr>
        <w:trPr>
          <w:trHeight w:val="316" w:hRule="atLeast"/>
        </w:trPr>
        <w:tc>
          <w:tcPr>
            <w:tcW w:w="2835" w:type="dxa"/>
            <w:shd w:val="clear" w:color="auto" w:fill="DCE6F0"/>
          </w:tcPr>
          <w:p>
            <w:pPr>
              <w:pStyle w:val="TableParagraph"/>
              <w:spacing w:before="42"/>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42"/>
              <w:ind w:left="69"/>
              <w:rPr>
                <w:sz w:val="20"/>
              </w:rPr>
            </w:pPr>
            <w:r>
              <w:rPr>
                <w:spacing w:val="-2"/>
                <w:sz w:val="20"/>
              </w:rPr>
              <w:t>Cantidad</w:t>
            </w:r>
          </w:p>
        </w:tc>
      </w:tr>
      <w:tr>
        <w:trPr>
          <w:trHeight w:val="1379" w:hRule="atLeast"/>
        </w:trPr>
        <w:tc>
          <w:tcPr>
            <w:tcW w:w="2835" w:type="dxa"/>
            <w:shd w:val="clear" w:color="auto" w:fill="DCE6F0"/>
          </w:tcPr>
          <w:p>
            <w:pPr>
              <w:pStyle w:val="TableParagraph"/>
              <w:rPr>
                <w:b/>
                <w:sz w:val="20"/>
              </w:rPr>
            </w:pPr>
          </w:p>
          <w:p>
            <w:pPr>
              <w:pStyle w:val="TableParagraph"/>
              <w:spacing w:before="113"/>
              <w:rPr>
                <w:b/>
                <w:sz w:val="20"/>
              </w:rPr>
            </w:pPr>
          </w:p>
          <w:p>
            <w:pPr>
              <w:pStyle w:val="TableParagraph"/>
              <w:ind w:left="67"/>
              <w:rPr>
                <w:b/>
                <w:sz w:val="20"/>
              </w:rPr>
            </w:pPr>
            <w:r>
              <w:rPr>
                <w:b/>
                <w:spacing w:val="-2"/>
                <w:sz w:val="20"/>
              </w:rPr>
              <w:t>Interpretación:</w:t>
            </w:r>
          </w:p>
        </w:tc>
        <w:tc>
          <w:tcPr>
            <w:tcW w:w="7514" w:type="dxa"/>
          </w:tcPr>
          <w:p>
            <w:pPr>
              <w:pStyle w:val="TableParagraph"/>
              <w:ind w:left="69"/>
              <w:rPr>
                <w:sz w:val="20"/>
              </w:rPr>
            </w:pPr>
            <w:r>
              <w:rPr>
                <w:sz w:val="20"/>
              </w:rPr>
              <w:t>La</w:t>
            </w:r>
            <w:r>
              <w:rPr>
                <w:spacing w:val="-5"/>
                <w:sz w:val="20"/>
              </w:rPr>
              <w:t> </w:t>
            </w:r>
            <w:r>
              <w:rPr>
                <w:sz w:val="20"/>
              </w:rPr>
              <w:t>cantidad</w:t>
            </w:r>
            <w:r>
              <w:rPr>
                <w:spacing w:val="-5"/>
                <w:sz w:val="20"/>
              </w:rPr>
              <w:t> </w:t>
            </w:r>
            <w:r>
              <w:rPr>
                <w:sz w:val="20"/>
              </w:rPr>
              <w:t>de</w:t>
            </w:r>
            <w:r>
              <w:rPr>
                <w:spacing w:val="-4"/>
                <w:sz w:val="20"/>
              </w:rPr>
              <w:t> </w:t>
            </w:r>
            <w:r>
              <w:rPr>
                <w:sz w:val="20"/>
              </w:rPr>
              <w:t>hogares que</w:t>
            </w:r>
            <w:r>
              <w:rPr>
                <w:spacing w:val="-4"/>
                <w:sz w:val="20"/>
              </w:rPr>
              <w:t> </w:t>
            </w:r>
            <w:r>
              <w:rPr>
                <w:sz w:val="20"/>
              </w:rPr>
              <w:t>reciben</w:t>
            </w:r>
            <w:r>
              <w:rPr>
                <w:spacing w:val="-4"/>
                <w:sz w:val="20"/>
              </w:rPr>
              <w:t> </w:t>
            </w:r>
            <w:r>
              <w:rPr>
                <w:sz w:val="20"/>
              </w:rPr>
              <w:t>el</w:t>
            </w:r>
            <w:r>
              <w:rPr>
                <w:spacing w:val="-5"/>
                <w:sz w:val="20"/>
              </w:rPr>
              <w:t> </w:t>
            </w:r>
            <w:r>
              <w:rPr>
                <w:sz w:val="20"/>
              </w:rPr>
              <w:t>subsidio</w:t>
            </w:r>
            <w:r>
              <w:rPr>
                <w:spacing w:val="-4"/>
                <w:sz w:val="20"/>
              </w:rPr>
              <w:t> </w:t>
            </w:r>
            <w:r>
              <w:rPr>
                <w:sz w:val="20"/>
              </w:rPr>
              <w:t>de</w:t>
            </w:r>
            <w:r>
              <w:rPr>
                <w:spacing w:val="-4"/>
                <w:sz w:val="20"/>
              </w:rPr>
              <w:t> </w:t>
            </w:r>
            <w:r>
              <w:rPr>
                <w:sz w:val="20"/>
              </w:rPr>
              <w:t>Gastos</w:t>
            </w:r>
            <w:r>
              <w:rPr>
                <w:spacing w:val="-3"/>
                <w:sz w:val="20"/>
              </w:rPr>
              <w:t> </w:t>
            </w:r>
            <w:r>
              <w:rPr>
                <w:sz w:val="20"/>
              </w:rPr>
              <w:t>de</w:t>
            </w:r>
            <w:r>
              <w:rPr>
                <w:spacing w:val="-5"/>
                <w:sz w:val="20"/>
              </w:rPr>
              <w:t> </w:t>
            </w:r>
            <w:r>
              <w:rPr>
                <w:sz w:val="20"/>
              </w:rPr>
              <w:t>implementación</w:t>
            </w:r>
            <w:r>
              <w:rPr>
                <w:spacing w:val="-4"/>
                <w:sz w:val="20"/>
              </w:rPr>
              <w:t> </w:t>
            </w:r>
            <w:r>
              <w:rPr>
                <w:sz w:val="20"/>
              </w:rPr>
              <w:t>para mejoramiento de vivienda, Mejoramiento de vivienda y Mejoramiento de vivienda para la atención de emergencias, en “X” período es de “Y”.</w:t>
            </w:r>
          </w:p>
          <w:p>
            <w:pPr>
              <w:pStyle w:val="TableParagraph"/>
              <w:spacing w:line="230" w:lineRule="exact"/>
              <w:ind w:left="69" w:right="92"/>
              <w:rPr>
                <w:sz w:val="20"/>
              </w:rPr>
            </w:pPr>
            <w:r>
              <w:rPr>
                <w:sz w:val="20"/>
              </w:rPr>
              <w:t>En</w:t>
            </w:r>
            <w:r>
              <w:rPr>
                <w:spacing w:val="-4"/>
                <w:sz w:val="20"/>
              </w:rPr>
              <w:t> </w:t>
            </w:r>
            <w:r>
              <w:rPr>
                <w:sz w:val="20"/>
              </w:rPr>
              <w:t>esta</w:t>
            </w:r>
            <w:r>
              <w:rPr>
                <w:spacing w:val="-4"/>
                <w:sz w:val="20"/>
              </w:rPr>
              <w:t> </w:t>
            </w:r>
            <w:r>
              <w:rPr>
                <w:sz w:val="20"/>
              </w:rPr>
              <w:t>“X”</w:t>
            </w:r>
            <w:r>
              <w:rPr>
                <w:spacing w:val="-3"/>
                <w:sz w:val="20"/>
              </w:rPr>
              <w:t> </w:t>
            </w:r>
            <w:r>
              <w:rPr>
                <w:sz w:val="20"/>
              </w:rPr>
              <w:t>representa</w:t>
            </w:r>
            <w:r>
              <w:rPr>
                <w:spacing w:val="-2"/>
                <w:sz w:val="20"/>
              </w:rPr>
              <w:t> </w:t>
            </w:r>
            <w:r>
              <w:rPr>
                <w:sz w:val="20"/>
              </w:rPr>
              <w:t>el</w:t>
            </w:r>
            <w:r>
              <w:rPr>
                <w:spacing w:val="-3"/>
                <w:sz w:val="20"/>
              </w:rPr>
              <w:t> </w:t>
            </w:r>
            <w:r>
              <w:rPr>
                <w:sz w:val="20"/>
              </w:rPr>
              <w:t>período</w:t>
            </w:r>
            <w:r>
              <w:rPr>
                <w:spacing w:val="-3"/>
                <w:sz w:val="20"/>
              </w:rPr>
              <w:t> </w:t>
            </w:r>
            <w:r>
              <w:rPr>
                <w:sz w:val="20"/>
              </w:rPr>
              <w:t>de</w:t>
            </w:r>
            <w:r>
              <w:rPr>
                <w:spacing w:val="-5"/>
                <w:sz w:val="20"/>
              </w:rPr>
              <w:t> </w:t>
            </w:r>
            <w:r>
              <w:rPr>
                <w:sz w:val="20"/>
              </w:rPr>
              <w:t>tiempo</w:t>
            </w:r>
            <w:r>
              <w:rPr>
                <w:spacing w:val="-2"/>
                <w:sz w:val="20"/>
              </w:rPr>
              <w:t> </w:t>
            </w:r>
            <w:r>
              <w:rPr>
                <w:sz w:val="20"/>
              </w:rPr>
              <w:t>según</w:t>
            </w:r>
            <w:r>
              <w:rPr>
                <w:spacing w:val="-4"/>
                <w:sz w:val="20"/>
              </w:rPr>
              <w:t> </w:t>
            </w:r>
            <w:r>
              <w:rPr>
                <w:sz w:val="20"/>
              </w:rPr>
              <w:t>la</w:t>
            </w:r>
            <w:r>
              <w:rPr>
                <w:spacing w:val="-4"/>
                <w:sz w:val="20"/>
              </w:rPr>
              <w:t> </w:t>
            </w:r>
            <w:r>
              <w:rPr>
                <w:sz w:val="20"/>
              </w:rPr>
              <w:t>frecuencia</w:t>
            </w:r>
            <w:r>
              <w:rPr>
                <w:spacing w:val="-2"/>
                <w:sz w:val="20"/>
              </w:rPr>
              <w:t> </w:t>
            </w:r>
            <w:r>
              <w:rPr>
                <w:sz w:val="20"/>
              </w:rPr>
              <w:t>de</w:t>
            </w:r>
            <w:r>
              <w:rPr>
                <w:spacing w:val="-3"/>
                <w:sz w:val="20"/>
              </w:rPr>
              <w:t> </w:t>
            </w:r>
            <w:r>
              <w:rPr>
                <w:sz w:val="20"/>
              </w:rPr>
              <w:t>medición,</w:t>
            </w:r>
            <w:r>
              <w:rPr>
                <w:spacing w:val="-4"/>
                <w:sz w:val="20"/>
              </w:rPr>
              <w:t> </w:t>
            </w:r>
            <w:r>
              <w:rPr>
                <w:sz w:val="20"/>
              </w:rPr>
              <w:t>y</w:t>
            </w:r>
            <w:r>
              <w:rPr>
                <w:spacing w:val="-3"/>
                <w:sz w:val="20"/>
              </w:rPr>
              <w:t> </w:t>
            </w:r>
            <w:r>
              <w:rPr>
                <w:sz w:val="20"/>
              </w:rPr>
              <w:t>“Y” significa la meta alcanzada a ese momento según la unidad de medida </w:t>
            </w:r>
            <w:r>
              <w:rPr>
                <w:spacing w:val="-2"/>
                <w:sz w:val="20"/>
              </w:rPr>
              <w:t>establecida.</w:t>
            </w:r>
          </w:p>
        </w:tc>
      </w:tr>
      <w:tr>
        <w:trPr>
          <w:trHeight w:val="313" w:hRule="atLeast"/>
        </w:trPr>
        <w:tc>
          <w:tcPr>
            <w:tcW w:w="2835" w:type="dxa"/>
            <w:shd w:val="clear" w:color="auto" w:fill="DCE6F0"/>
          </w:tcPr>
          <w:p>
            <w:pPr>
              <w:pStyle w:val="TableParagraph"/>
              <w:spacing w:before="42"/>
              <w:ind w:left="67"/>
              <w:rPr>
                <w:b/>
                <w:sz w:val="20"/>
              </w:rPr>
            </w:pPr>
            <w:r>
              <w:rPr>
                <w:b/>
                <w:spacing w:val="-2"/>
                <w:sz w:val="20"/>
              </w:rPr>
              <w:t>Desagregación</w:t>
            </w:r>
          </w:p>
        </w:tc>
        <w:tc>
          <w:tcPr>
            <w:tcW w:w="7514"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6" w:hRule="atLeast"/>
        </w:trPr>
        <w:tc>
          <w:tcPr>
            <w:tcW w:w="2835" w:type="dxa"/>
            <w:shd w:val="clear" w:color="auto" w:fill="DCE6F0"/>
          </w:tcPr>
          <w:p>
            <w:pPr>
              <w:pStyle w:val="TableParagraph"/>
              <w:spacing w:before="42"/>
              <w:ind w:left="67"/>
              <w:rPr>
                <w:b/>
                <w:sz w:val="20"/>
              </w:rPr>
            </w:pPr>
            <w:r>
              <w:rPr>
                <w:b/>
                <w:spacing w:val="-2"/>
                <w:sz w:val="20"/>
              </w:rPr>
              <w:t>Meta:</w:t>
            </w:r>
          </w:p>
        </w:tc>
        <w:tc>
          <w:tcPr>
            <w:tcW w:w="7514" w:type="dxa"/>
          </w:tcPr>
          <w:p>
            <w:pPr>
              <w:pStyle w:val="TableParagraph"/>
              <w:spacing w:before="42"/>
              <w:ind w:left="69"/>
              <w:rPr>
                <w:sz w:val="20"/>
              </w:rPr>
            </w:pPr>
            <w:r>
              <w:rPr>
                <w:spacing w:val="-5"/>
                <w:sz w:val="20"/>
              </w:rPr>
              <w:t>150</w:t>
            </w:r>
          </w:p>
        </w:tc>
      </w:tr>
      <w:tr>
        <w:trPr>
          <w:trHeight w:val="314" w:hRule="atLeast"/>
        </w:trPr>
        <w:tc>
          <w:tcPr>
            <w:tcW w:w="2835" w:type="dxa"/>
            <w:shd w:val="clear" w:color="auto" w:fill="DCE6F0"/>
          </w:tcPr>
          <w:p>
            <w:pPr>
              <w:pStyle w:val="TableParagraph"/>
              <w:spacing w:before="40"/>
              <w:ind w:left="67"/>
              <w:rPr>
                <w:b/>
                <w:sz w:val="20"/>
              </w:rPr>
            </w:pPr>
            <w:r>
              <w:rPr>
                <w:b/>
                <w:sz w:val="20"/>
              </w:rPr>
              <w:t>Línea</w:t>
            </w:r>
            <w:r>
              <w:rPr>
                <w:b/>
                <w:spacing w:val="-10"/>
                <w:sz w:val="20"/>
              </w:rPr>
              <w:t> </w:t>
            </w:r>
            <w:r>
              <w:rPr>
                <w:b/>
                <w:spacing w:val="-4"/>
                <w:sz w:val="20"/>
              </w:rPr>
              <w:t>Base</w:t>
            </w:r>
          </w:p>
        </w:tc>
        <w:tc>
          <w:tcPr>
            <w:tcW w:w="7514" w:type="dxa"/>
          </w:tcPr>
          <w:p>
            <w:pPr>
              <w:pStyle w:val="TableParagraph"/>
              <w:spacing w:before="40"/>
              <w:ind w:left="69"/>
              <w:rPr>
                <w:sz w:val="20"/>
              </w:rPr>
            </w:pPr>
            <w:r>
              <w:rPr>
                <w:spacing w:val="-5"/>
                <w:sz w:val="20"/>
              </w:rPr>
              <w:t>175</w:t>
            </w:r>
          </w:p>
        </w:tc>
      </w:tr>
      <w:tr>
        <w:trPr>
          <w:trHeight w:val="630" w:hRule="atLeast"/>
        </w:trPr>
        <w:tc>
          <w:tcPr>
            <w:tcW w:w="2835" w:type="dxa"/>
            <w:shd w:val="clear" w:color="auto" w:fill="DCE6F0"/>
          </w:tcPr>
          <w:p>
            <w:pPr>
              <w:pStyle w:val="TableParagraph"/>
              <w:spacing w:before="8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201"/>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835" w:type="dxa"/>
            <w:shd w:val="clear" w:color="auto" w:fill="DCE6F0"/>
          </w:tcPr>
          <w:p>
            <w:pPr>
              <w:pStyle w:val="TableParagraph"/>
              <w:spacing w:before="11"/>
              <w:rPr>
                <w:b/>
                <w:sz w:val="20"/>
              </w:rPr>
            </w:pPr>
          </w:p>
          <w:p>
            <w:pPr>
              <w:pStyle w:val="TableParagraph"/>
              <w:spacing w:before="1"/>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11"/>
              <w:rPr>
                <w:b/>
                <w:sz w:val="20"/>
              </w:rPr>
            </w:pPr>
          </w:p>
          <w:p>
            <w:pPr>
              <w:pStyle w:val="TableParagraph"/>
              <w:spacing w:before="1"/>
              <w:ind w:left="69"/>
              <w:rPr>
                <w:sz w:val="20"/>
              </w:rPr>
            </w:pPr>
            <w:r>
              <w:rPr>
                <w:sz w:val="20"/>
              </w:rPr>
              <w:t>Nombre</w:t>
            </w:r>
            <w:r>
              <w:rPr>
                <w:spacing w:val="-7"/>
                <w:sz w:val="20"/>
              </w:rPr>
              <w:t> </w:t>
            </w:r>
            <w:r>
              <w:rPr>
                <w:sz w:val="20"/>
              </w:rPr>
              <w:t>del</w:t>
            </w:r>
            <w:r>
              <w:rPr>
                <w:spacing w:val="-10"/>
                <w:sz w:val="20"/>
              </w:rPr>
              <w:t> </w:t>
            </w:r>
            <w:r>
              <w:rPr>
                <w:sz w:val="20"/>
              </w:rPr>
              <w:t>funcionario:</w:t>
            </w:r>
            <w:r>
              <w:rPr>
                <w:spacing w:val="-6"/>
                <w:sz w:val="20"/>
              </w:rPr>
              <w:t> </w:t>
            </w:r>
            <w:r>
              <w:rPr>
                <w:sz w:val="20"/>
              </w:rPr>
              <w:t>Karla</w:t>
            </w:r>
            <w:r>
              <w:rPr>
                <w:spacing w:val="-9"/>
                <w:sz w:val="20"/>
              </w:rPr>
              <w:t> </w:t>
            </w:r>
            <w:r>
              <w:rPr>
                <w:sz w:val="20"/>
              </w:rPr>
              <w:t>Pérez</w:t>
            </w:r>
            <w:r>
              <w:rPr>
                <w:spacing w:val="-7"/>
                <w:sz w:val="20"/>
              </w:rPr>
              <w:t> </w:t>
            </w:r>
            <w:r>
              <w:rPr>
                <w:spacing w:val="-2"/>
                <w:sz w:val="20"/>
              </w:rPr>
              <w:t>Fonseca</w:t>
            </w:r>
          </w:p>
          <w:p>
            <w:pPr>
              <w:pStyle w:val="TableParagraph"/>
              <w:ind w:left="69"/>
              <w:rPr>
                <w:sz w:val="20"/>
              </w:rPr>
            </w:pPr>
            <w:r>
              <w:rPr>
                <w:sz w:val="20"/>
              </w:rPr>
              <w:t>Cargo:</w:t>
            </w:r>
            <w:r>
              <w:rPr>
                <w:spacing w:val="-11"/>
                <w:sz w:val="20"/>
              </w:rPr>
              <w:t> </w:t>
            </w:r>
            <w:r>
              <w:rPr>
                <w:sz w:val="20"/>
              </w:rPr>
              <w:t>Jefatura,</w:t>
            </w:r>
            <w:r>
              <w:rPr>
                <w:spacing w:val="-10"/>
                <w:sz w:val="20"/>
              </w:rPr>
              <w:t> </w:t>
            </w:r>
            <w:r>
              <w:rPr>
                <w:sz w:val="20"/>
              </w:rPr>
              <w:t>Departamento</w:t>
            </w:r>
            <w:r>
              <w:rPr>
                <w:spacing w:val="-8"/>
                <w:sz w:val="20"/>
              </w:rPr>
              <w:t> </w:t>
            </w:r>
            <w:r>
              <w:rPr>
                <w:sz w:val="20"/>
              </w:rPr>
              <w:t>de</w:t>
            </w:r>
            <w:r>
              <w:rPr>
                <w:spacing w:val="-11"/>
                <w:sz w:val="20"/>
              </w:rPr>
              <w:t> </w:t>
            </w:r>
            <w:r>
              <w:rPr>
                <w:sz w:val="20"/>
              </w:rPr>
              <w:t>Desarrollo</w:t>
            </w:r>
            <w:r>
              <w:rPr>
                <w:spacing w:val="-9"/>
                <w:sz w:val="20"/>
              </w:rPr>
              <w:t> </w:t>
            </w:r>
            <w:r>
              <w:rPr>
                <w:sz w:val="20"/>
              </w:rPr>
              <w:t>Socioproductivo</w:t>
            </w:r>
            <w:r>
              <w:rPr>
                <w:spacing w:val="-8"/>
                <w:sz w:val="20"/>
              </w:rPr>
              <w:t> </w:t>
            </w:r>
            <w:r>
              <w:rPr>
                <w:sz w:val="20"/>
              </w:rPr>
              <w:t>y</w:t>
            </w:r>
            <w:r>
              <w:rPr>
                <w:spacing w:val="-10"/>
                <w:sz w:val="20"/>
              </w:rPr>
              <w:t> </w:t>
            </w:r>
            <w:r>
              <w:rPr>
                <w:spacing w:val="-2"/>
                <w:sz w:val="20"/>
              </w:rPr>
              <w:t>Comunal</w:t>
            </w:r>
          </w:p>
        </w:tc>
      </w:tr>
      <w:tr>
        <w:trPr>
          <w:trHeight w:val="945" w:hRule="atLeast"/>
        </w:trPr>
        <w:tc>
          <w:tcPr>
            <w:tcW w:w="2835" w:type="dxa"/>
            <w:shd w:val="clear" w:color="auto" w:fill="DCE6F0"/>
          </w:tcPr>
          <w:p>
            <w:pPr>
              <w:pStyle w:val="TableParagraph"/>
              <w:spacing w:before="11"/>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1"/>
              <w:rPr>
                <w:b/>
                <w:sz w:val="20"/>
              </w:rPr>
            </w:pPr>
          </w:p>
          <w:p>
            <w:pPr>
              <w:pStyle w:val="TableParagraph"/>
              <w:spacing w:before="1"/>
              <w:ind w:left="69"/>
              <w:rPr>
                <w:sz w:val="20"/>
              </w:rPr>
            </w:pPr>
            <w:r>
              <w:rPr>
                <w:sz w:val="20"/>
              </w:rPr>
              <w:t>Dirección</w:t>
            </w:r>
            <w:r>
              <w:rPr>
                <w:spacing w:val="-5"/>
                <w:sz w:val="20"/>
              </w:rPr>
              <w:t> </w:t>
            </w:r>
            <w:r>
              <w:rPr>
                <w:sz w:val="20"/>
              </w:rPr>
              <w:t>de</w:t>
            </w:r>
            <w:r>
              <w:rPr>
                <w:spacing w:val="-6"/>
                <w:sz w:val="20"/>
              </w:rPr>
              <w:t> </w:t>
            </w:r>
            <w:r>
              <w:rPr>
                <w:sz w:val="20"/>
              </w:rPr>
              <w:t>Desarrollo</w:t>
            </w:r>
            <w:r>
              <w:rPr>
                <w:spacing w:val="-5"/>
                <w:sz w:val="20"/>
              </w:rPr>
              <w:t> </w:t>
            </w:r>
            <w:r>
              <w:rPr>
                <w:sz w:val="20"/>
              </w:rPr>
              <w:t>Social,</w:t>
            </w:r>
            <w:r>
              <w:rPr>
                <w:spacing w:val="-5"/>
                <w:sz w:val="20"/>
              </w:rPr>
              <w:t> </w:t>
            </w:r>
            <w:r>
              <w:rPr>
                <w:sz w:val="20"/>
              </w:rPr>
              <w:t>Departamento</w:t>
            </w:r>
            <w:r>
              <w:rPr>
                <w:spacing w:val="-5"/>
                <w:sz w:val="20"/>
              </w:rPr>
              <w:t> </w:t>
            </w:r>
            <w:r>
              <w:rPr>
                <w:sz w:val="20"/>
              </w:rPr>
              <w:t>de</w:t>
            </w:r>
            <w:r>
              <w:rPr>
                <w:spacing w:val="-6"/>
                <w:sz w:val="20"/>
              </w:rPr>
              <w:t> </w:t>
            </w:r>
            <w:r>
              <w:rPr>
                <w:sz w:val="20"/>
              </w:rPr>
              <w:t>Desarrollo</w:t>
            </w:r>
            <w:r>
              <w:rPr>
                <w:spacing w:val="-7"/>
                <w:sz w:val="20"/>
              </w:rPr>
              <w:t> </w:t>
            </w:r>
            <w:r>
              <w:rPr>
                <w:sz w:val="20"/>
              </w:rPr>
              <w:t>Socioproductivo</w:t>
            </w:r>
            <w:r>
              <w:rPr>
                <w:spacing w:val="-7"/>
                <w:sz w:val="20"/>
              </w:rPr>
              <w:t> </w:t>
            </w:r>
            <w:r>
              <w:rPr>
                <w:sz w:val="20"/>
              </w:rPr>
              <w:t>y </w:t>
            </w:r>
            <w:r>
              <w:rPr>
                <w:spacing w:val="-2"/>
                <w:sz w:val="20"/>
              </w:rPr>
              <w:t>Comunal</w:t>
            </w:r>
          </w:p>
        </w:tc>
      </w:tr>
      <w:tr>
        <w:trPr>
          <w:trHeight w:val="313" w:hRule="atLeast"/>
        </w:trPr>
        <w:tc>
          <w:tcPr>
            <w:tcW w:w="2835" w:type="dxa"/>
            <w:shd w:val="clear" w:color="auto" w:fill="DCE6F0"/>
          </w:tcPr>
          <w:p>
            <w:pPr>
              <w:pStyle w:val="TableParagraph"/>
              <w:spacing w:before="40"/>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40"/>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600" w:hRule="atLeast"/>
        </w:trPr>
        <w:tc>
          <w:tcPr>
            <w:tcW w:w="2835" w:type="dxa"/>
            <w:shd w:val="clear" w:color="auto" w:fill="DCE6F0"/>
          </w:tcPr>
          <w:p>
            <w:pPr>
              <w:pStyle w:val="TableParagraph"/>
              <w:spacing w:before="184"/>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69"/>
              <w:ind w:left="69"/>
              <w:rPr>
                <w:sz w:val="20"/>
              </w:rPr>
            </w:pPr>
            <w:r>
              <w:rPr>
                <w:sz w:val="20"/>
              </w:rPr>
              <w:t>Informes</w:t>
            </w:r>
            <w:r>
              <w:rPr>
                <w:spacing w:val="-5"/>
                <w:sz w:val="20"/>
              </w:rPr>
              <w:t> </w:t>
            </w:r>
            <w:r>
              <w:rPr>
                <w:sz w:val="20"/>
              </w:rPr>
              <w:t>del</w:t>
            </w:r>
            <w:r>
              <w:rPr>
                <w:spacing w:val="-6"/>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6"/>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902" w:hRule="atLeast"/>
        </w:trPr>
        <w:tc>
          <w:tcPr>
            <w:tcW w:w="2835" w:type="dxa"/>
            <w:shd w:val="clear" w:color="auto" w:fill="DCE6F0"/>
          </w:tcPr>
          <w:p>
            <w:pPr>
              <w:pStyle w:val="TableParagraph"/>
              <w:spacing w:before="105"/>
              <w:rPr>
                <w:b/>
                <w:sz w:val="20"/>
              </w:rPr>
            </w:pPr>
          </w:p>
          <w:p>
            <w:pPr>
              <w:pStyle w:val="TableParagraph"/>
              <w:ind w:left="67"/>
              <w:rPr>
                <w:b/>
                <w:sz w:val="20"/>
              </w:rPr>
            </w:pPr>
            <w:r>
              <w:rPr>
                <w:b/>
                <w:spacing w:val="-2"/>
                <w:sz w:val="20"/>
              </w:rPr>
              <w:t>Clasificación</w:t>
            </w:r>
          </w:p>
        </w:tc>
        <w:tc>
          <w:tcPr>
            <w:tcW w:w="7514" w:type="dxa"/>
          </w:tcPr>
          <w:p>
            <w:pPr>
              <w:pStyle w:val="TableParagraph"/>
              <w:spacing w:before="105"/>
              <w:rPr>
                <w:b/>
                <w:sz w:val="20"/>
              </w:rPr>
            </w:pPr>
          </w:p>
          <w:p>
            <w:pPr>
              <w:pStyle w:val="TableParagraph"/>
              <w:ind w:left="69"/>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5"/>
                <w:sz w:val="20"/>
              </w:rPr>
              <w:t> </w:t>
            </w:r>
            <w:r>
              <w:rPr>
                <w:sz w:val="20"/>
              </w:rPr>
              <w:t>Producto</w:t>
            </w:r>
            <w:r>
              <w:rPr>
                <w:spacing w:val="-8"/>
                <w:sz w:val="20"/>
              </w:rPr>
              <w:t> </w:t>
            </w:r>
            <w:r>
              <w:rPr>
                <w:spacing w:val="-5"/>
                <w:sz w:val="20"/>
              </w:rPr>
              <w:t>(X)</w:t>
            </w:r>
          </w:p>
        </w:tc>
      </w:tr>
    </w:tbl>
    <w:p>
      <w:pPr>
        <w:pStyle w:val="TableParagraph"/>
        <w:spacing w:after="0"/>
        <w:rPr>
          <w:sz w:val="20"/>
        </w:rPr>
        <w:sectPr>
          <w:footerReference w:type="default" r:id="rId139"/>
          <w:pgSz w:w="12240" w:h="15840"/>
          <w:pgMar w:header="0" w:footer="2082" w:top="1400" w:bottom="2632" w:left="720" w:right="720"/>
          <w:pgNumType w:start="184"/>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314" w:hRule="atLeast"/>
        </w:trPr>
        <w:tc>
          <w:tcPr>
            <w:tcW w:w="2835" w:type="dxa"/>
            <w:tcBorders>
              <w:top w:val="nil"/>
            </w:tcBorders>
            <w:shd w:val="clear" w:color="auto" w:fill="DCE6F0"/>
          </w:tcPr>
          <w:p>
            <w:pPr>
              <w:pStyle w:val="TableParagraph"/>
              <w:spacing w:before="41"/>
              <w:ind w:left="67"/>
              <w:rPr>
                <w:b/>
                <w:sz w:val="20"/>
              </w:rPr>
            </w:pPr>
            <w:r>
              <w:rPr>
                <w:b/>
                <w:spacing w:val="-2"/>
                <w:sz w:val="20"/>
              </w:rPr>
              <w:t>Comentarios</w:t>
            </w:r>
            <w:r>
              <w:rPr>
                <w:b/>
                <w:spacing w:val="6"/>
                <w:sz w:val="20"/>
              </w:rPr>
              <w:t> </w:t>
            </w:r>
            <w:r>
              <w:rPr>
                <w:b/>
                <w:spacing w:val="-2"/>
                <w:sz w:val="20"/>
              </w:rPr>
              <w:t>Generales</w:t>
            </w:r>
          </w:p>
        </w:tc>
        <w:tc>
          <w:tcPr>
            <w:tcW w:w="7514" w:type="dxa"/>
            <w:tcBorders>
              <w:top w:val="nil"/>
            </w:tcBorders>
          </w:tcPr>
          <w:p>
            <w:pPr>
              <w:pStyle w:val="TableParagraph"/>
              <w:spacing w:line="230" w:lineRule="exact"/>
              <w:ind w:left="69"/>
              <w:rPr>
                <w:sz w:val="20"/>
              </w:rPr>
            </w:pPr>
            <w:r>
              <w:rPr>
                <w:sz w:val="20"/>
              </w:rPr>
              <w:t>Este</w:t>
            </w:r>
            <w:r>
              <w:rPr>
                <w:spacing w:val="-8"/>
                <w:sz w:val="20"/>
              </w:rPr>
              <w:t> </w:t>
            </w:r>
            <w:r>
              <w:rPr>
                <w:sz w:val="20"/>
              </w:rPr>
              <w:t>indicador</w:t>
            </w:r>
            <w:r>
              <w:rPr>
                <w:spacing w:val="-7"/>
                <w:sz w:val="20"/>
              </w:rPr>
              <w:t> </w:t>
            </w:r>
            <w:r>
              <w:rPr>
                <w:sz w:val="20"/>
              </w:rPr>
              <w:t>se</w:t>
            </w:r>
            <w:r>
              <w:rPr>
                <w:spacing w:val="-5"/>
                <w:sz w:val="20"/>
              </w:rPr>
              <w:t> </w:t>
            </w:r>
            <w:r>
              <w:rPr>
                <w:sz w:val="20"/>
              </w:rPr>
              <w:t>encuentra</w:t>
            </w:r>
            <w:r>
              <w:rPr>
                <w:spacing w:val="-7"/>
                <w:sz w:val="20"/>
              </w:rPr>
              <w:t> </w:t>
            </w:r>
            <w:r>
              <w:rPr>
                <w:sz w:val="20"/>
              </w:rPr>
              <w:t>vinculado</w:t>
            </w:r>
            <w:r>
              <w:rPr>
                <w:spacing w:val="-7"/>
                <w:sz w:val="20"/>
              </w:rPr>
              <w:t> </w:t>
            </w:r>
            <w:r>
              <w:rPr>
                <w:sz w:val="20"/>
              </w:rPr>
              <w:t>al</w:t>
            </w:r>
            <w:r>
              <w:rPr>
                <w:spacing w:val="-8"/>
                <w:sz w:val="20"/>
              </w:rPr>
              <w:t> </w:t>
            </w:r>
            <w:r>
              <w:rPr>
                <w:sz w:val="20"/>
              </w:rPr>
              <w:t>indicador</w:t>
            </w:r>
            <w:r>
              <w:rPr>
                <w:spacing w:val="-4"/>
                <w:sz w:val="20"/>
              </w:rPr>
              <w:t> </w:t>
            </w:r>
            <w:r>
              <w:rPr>
                <w:sz w:val="20"/>
              </w:rPr>
              <w:t>4.3</w:t>
            </w:r>
            <w:r>
              <w:rPr>
                <w:spacing w:val="-5"/>
                <w:sz w:val="20"/>
              </w:rPr>
              <w:t> </w:t>
            </w:r>
            <w:r>
              <w:rPr>
                <w:sz w:val="20"/>
              </w:rPr>
              <w:t>de</w:t>
            </w:r>
            <w:r>
              <w:rPr>
                <w:spacing w:val="-6"/>
                <w:sz w:val="20"/>
              </w:rPr>
              <w:t> </w:t>
            </w:r>
            <w:r>
              <w:rPr>
                <w:sz w:val="20"/>
              </w:rPr>
              <w:t>la</w:t>
            </w:r>
            <w:r>
              <w:rPr>
                <w:spacing w:val="-5"/>
                <w:sz w:val="20"/>
              </w:rPr>
              <w:t> </w:t>
            </w:r>
            <w:r>
              <w:rPr>
                <w:spacing w:val="-2"/>
                <w:sz w:val="20"/>
              </w:rPr>
              <w:t>PGCC.</w:t>
            </w: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64" w:after="1"/>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599" w:hRule="atLeast"/>
        </w:trPr>
        <w:tc>
          <w:tcPr>
            <w:tcW w:w="2835" w:type="dxa"/>
            <w:shd w:val="clear" w:color="auto" w:fill="DCE6F0"/>
          </w:tcPr>
          <w:p>
            <w:pPr>
              <w:pStyle w:val="TableParagraph"/>
              <w:spacing w:before="184"/>
              <w:ind w:left="67"/>
              <w:rPr>
                <w:b/>
                <w:sz w:val="20"/>
              </w:rPr>
            </w:pPr>
            <w:r>
              <w:rPr>
                <w:b/>
                <w:sz w:val="20"/>
              </w:rPr>
              <w:t>PPPS</w:t>
            </w:r>
            <w:r>
              <w:rPr>
                <w:b/>
                <w:spacing w:val="-6"/>
                <w:sz w:val="20"/>
              </w:rPr>
              <w:t> </w:t>
            </w:r>
            <w:r>
              <w:rPr>
                <w:b/>
                <w:spacing w:val="-2"/>
                <w:sz w:val="20"/>
              </w:rPr>
              <w:t>1.1.9:</w:t>
            </w:r>
          </w:p>
        </w:tc>
        <w:tc>
          <w:tcPr>
            <w:tcW w:w="7514" w:type="dxa"/>
          </w:tcPr>
          <w:p>
            <w:pPr>
              <w:pStyle w:val="TableParagraph"/>
              <w:spacing w:before="69"/>
              <w:ind w:left="69"/>
              <w:rPr>
                <w:sz w:val="20"/>
              </w:rPr>
            </w:pPr>
            <w:r>
              <w:rPr>
                <w:sz w:val="20"/>
              </w:rPr>
              <w:t>Nombre</w:t>
            </w:r>
            <w:r>
              <w:rPr>
                <w:spacing w:val="-4"/>
                <w:sz w:val="20"/>
              </w:rPr>
              <w:t> </w:t>
            </w:r>
            <w:r>
              <w:rPr>
                <w:sz w:val="20"/>
              </w:rPr>
              <w:t>del</w:t>
            </w:r>
            <w:r>
              <w:rPr>
                <w:spacing w:val="-7"/>
                <w:sz w:val="20"/>
              </w:rPr>
              <w:t> </w:t>
            </w:r>
            <w:r>
              <w:rPr>
                <w:sz w:val="20"/>
              </w:rPr>
              <w:t>Indicador:</w:t>
            </w:r>
            <w:r>
              <w:rPr>
                <w:spacing w:val="-6"/>
                <w:sz w:val="20"/>
              </w:rPr>
              <w:t> </w:t>
            </w:r>
            <w:r>
              <w:rPr>
                <w:sz w:val="20"/>
              </w:rPr>
              <w:t>Cantidad</w:t>
            </w:r>
            <w:r>
              <w:rPr>
                <w:spacing w:val="-6"/>
                <w:sz w:val="20"/>
              </w:rPr>
              <w:t> </w:t>
            </w:r>
            <w:r>
              <w:rPr>
                <w:sz w:val="20"/>
              </w:rPr>
              <w:t>de</w:t>
            </w:r>
            <w:r>
              <w:rPr>
                <w:spacing w:val="-1"/>
                <w:sz w:val="20"/>
              </w:rPr>
              <w:t> </w:t>
            </w:r>
            <w:r>
              <w:rPr>
                <w:sz w:val="20"/>
              </w:rPr>
              <w:t>escrituras</w:t>
            </w:r>
            <w:r>
              <w:rPr>
                <w:spacing w:val="-4"/>
                <w:sz w:val="20"/>
              </w:rPr>
              <w:t> </w:t>
            </w:r>
            <w:r>
              <w:rPr>
                <w:sz w:val="20"/>
              </w:rPr>
              <w:t>inscriptas</w:t>
            </w:r>
            <w:r>
              <w:rPr>
                <w:spacing w:val="-5"/>
                <w:sz w:val="20"/>
              </w:rPr>
              <w:t> </w:t>
            </w:r>
            <w:r>
              <w:rPr>
                <w:sz w:val="20"/>
              </w:rPr>
              <w:t>nombre</w:t>
            </w:r>
            <w:r>
              <w:rPr>
                <w:spacing w:val="-2"/>
                <w:sz w:val="20"/>
              </w:rPr>
              <w:t> </w:t>
            </w:r>
            <w:r>
              <w:rPr>
                <w:sz w:val="20"/>
              </w:rPr>
              <w:t>de</w:t>
            </w:r>
            <w:r>
              <w:rPr>
                <w:spacing w:val="-5"/>
                <w:sz w:val="20"/>
              </w:rPr>
              <w:t> </w:t>
            </w:r>
            <w:r>
              <w:rPr>
                <w:sz w:val="20"/>
              </w:rPr>
              <w:t>las</w:t>
            </w:r>
            <w:r>
              <w:rPr>
                <w:spacing w:val="-5"/>
                <w:sz w:val="20"/>
              </w:rPr>
              <w:t> </w:t>
            </w:r>
            <w:r>
              <w:rPr>
                <w:sz w:val="20"/>
              </w:rPr>
              <w:t>personas beneficiarias o de los gobiernos locales.</w:t>
            </w:r>
          </w:p>
        </w:tc>
      </w:tr>
      <w:tr>
        <w:trPr>
          <w:trHeight w:val="662" w:hRule="atLeast"/>
        </w:trPr>
        <w:tc>
          <w:tcPr>
            <w:tcW w:w="2835" w:type="dxa"/>
            <w:shd w:val="clear" w:color="auto" w:fill="DCE6F0"/>
          </w:tcPr>
          <w:p>
            <w:pPr>
              <w:pStyle w:val="TableParagraph"/>
              <w:spacing w:before="215"/>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before="215"/>
              <w:ind w:left="69"/>
              <w:rPr>
                <w:sz w:val="20"/>
              </w:rPr>
            </w:pPr>
            <w:r>
              <w:rPr>
                <w:sz w:val="20"/>
              </w:rPr>
              <w:t>Sumatoria</w:t>
            </w:r>
            <w:r>
              <w:rPr>
                <w:spacing w:val="-7"/>
                <w:sz w:val="20"/>
              </w:rPr>
              <w:t> </w:t>
            </w:r>
            <w:r>
              <w:rPr>
                <w:sz w:val="20"/>
              </w:rPr>
              <w:t>de</w:t>
            </w:r>
            <w:r>
              <w:rPr>
                <w:spacing w:val="-7"/>
                <w:sz w:val="20"/>
              </w:rPr>
              <w:t> </w:t>
            </w:r>
            <w:r>
              <w:rPr>
                <w:sz w:val="20"/>
              </w:rPr>
              <w:t>la</w:t>
            </w:r>
            <w:r>
              <w:rPr>
                <w:spacing w:val="-6"/>
                <w:sz w:val="20"/>
              </w:rPr>
              <w:t> </w:t>
            </w:r>
            <w:r>
              <w:rPr>
                <w:sz w:val="20"/>
              </w:rPr>
              <w:t>cantidad</w:t>
            </w:r>
            <w:r>
              <w:rPr>
                <w:spacing w:val="-8"/>
                <w:sz w:val="20"/>
              </w:rPr>
              <w:t> </w:t>
            </w:r>
            <w:r>
              <w:rPr>
                <w:sz w:val="20"/>
              </w:rPr>
              <w:t>de</w:t>
            </w:r>
            <w:r>
              <w:rPr>
                <w:spacing w:val="-7"/>
                <w:sz w:val="20"/>
              </w:rPr>
              <w:t> </w:t>
            </w:r>
            <w:r>
              <w:rPr>
                <w:sz w:val="20"/>
              </w:rPr>
              <w:t>escrituras</w:t>
            </w:r>
            <w:r>
              <w:rPr>
                <w:spacing w:val="-5"/>
                <w:sz w:val="20"/>
              </w:rPr>
              <w:t> </w:t>
            </w:r>
            <w:r>
              <w:rPr>
                <w:sz w:val="20"/>
              </w:rPr>
              <w:t>inscriptas</w:t>
            </w:r>
            <w:r>
              <w:rPr>
                <w:spacing w:val="-3"/>
                <w:sz w:val="20"/>
              </w:rPr>
              <w:t> </w:t>
            </w:r>
            <w:r>
              <w:rPr>
                <w:sz w:val="20"/>
              </w:rPr>
              <w:t>en</w:t>
            </w:r>
            <w:r>
              <w:rPr>
                <w:spacing w:val="-6"/>
                <w:sz w:val="20"/>
              </w:rPr>
              <w:t> </w:t>
            </w:r>
            <w:r>
              <w:rPr>
                <w:sz w:val="20"/>
              </w:rPr>
              <w:t>el</w:t>
            </w:r>
            <w:r>
              <w:rPr>
                <w:spacing w:val="-6"/>
                <w:sz w:val="20"/>
              </w:rPr>
              <w:t> </w:t>
            </w:r>
            <w:r>
              <w:rPr>
                <w:sz w:val="20"/>
              </w:rPr>
              <w:t>registro</w:t>
            </w:r>
            <w:r>
              <w:rPr>
                <w:spacing w:val="-5"/>
                <w:sz w:val="20"/>
              </w:rPr>
              <w:t> </w:t>
            </w:r>
            <w:r>
              <w:rPr>
                <w:spacing w:val="-2"/>
                <w:sz w:val="20"/>
              </w:rPr>
              <w:t>nacional.</w:t>
            </w:r>
          </w:p>
        </w:tc>
      </w:tr>
      <w:tr>
        <w:trPr>
          <w:trHeight w:val="314" w:hRule="atLeast"/>
        </w:trPr>
        <w:tc>
          <w:tcPr>
            <w:tcW w:w="2835" w:type="dxa"/>
            <w:shd w:val="clear" w:color="auto" w:fill="DCE6F0"/>
          </w:tcPr>
          <w:p>
            <w:pPr>
              <w:pStyle w:val="TableParagraph"/>
              <w:spacing w:before="40"/>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40"/>
              <w:ind w:left="69"/>
              <w:rPr>
                <w:sz w:val="20"/>
              </w:rPr>
            </w:pPr>
            <w:r>
              <w:rPr>
                <w:spacing w:val="-2"/>
                <w:sz w:val="20"/>
              </w:rPr>
              <w:t>Cantidad</w:t>
            </w:r>
          </w:p>
        </w:tc>
      </w:tr>
      <w:tr>
        <w:trPr>
          <w:trHeight w:val="5290" w:hRule="atLeast"/>
        </w:trPr>
        <w:tc>
          <w:tcPr>
            <w:tcW w:w="2835" w:type="dxa"/>
            <w:shd w:val="clear" w:color="auto" w:fill="DCE6F0"/>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p>
            <w:pPr>
              <w:pStyle w:val="TableParagraph"/>
              <w:ind w:left="67"/>
              <w:rPr>
                <w:b/>
                <w:sz w:val="20"/>
              </w:rPr>
            </w:pPr>
            <w:r>
              <w:rPr>
                <w:b/>
                <w:spacing w:val="-2"/>
                <w:sz w:val="20"/>
              </w:rPr>
              <w:t>Interpretación:</w:t>
            </w:r>
          </w:p>
        </w:tc>
        <w:tc>
          <w:tcPr>
            <w:tcW w:w="7514" w:type="dxa"/>
          </w:tcPr>
          <w:p>
            <w:pPr>
              <w:pStyle w:val="TableParagraph"/>
              <w:spacing w:line="276" w:lineRule="auto"/>
              <w:ind w:left="69" w:right="75"/>
              <w:jc w:val="both"/>
              <w:rPr>
                <w:sz w:val="20"/>
              </w:rPr>
            </w:pPr>
            <w:r>
              <w:rPr>
                <w:sz w:val="20"/>
              </w:rPr>
              <w:t>La</w:t>
            </w:r>
            <w:r>
              <w:rPr>
                <w:spacing w:val="-12"/>
                <w:sz w:val="20"/>
              </w:rPr>
              <w:t> </w:t>
            </w:r>
            <w:r>
              <w:rPr>
                <w:sz w:val="20"/>
              </w:rPr>
              <w:t>atención</w:t>
            </w:r>
            <w:r>
              <w:rPr>
                <w:spacing w:val="-12"/>
                <w:sz w:val="20"/>
              </w:rPr>
              <w:t> </w:t>
            </w:r>
            <w:r>
              <w:rPr>
                <w:sz w:val="20"/>
              </w:rPr>
              <w:t>del</w:t>
            </w:r>
            <w:r>
              <w:rPr>
                <w:spacing w:val="-10"/>
                <w:sz w:val="20"/>
              </w:rPr>
              <w:t> </w:t>
            </w:r>
            <w:r>
              <w:rPr>
                <w:sz w:val="20"/>
              </w:rPr>
              <w:t>beneficio</w:t>
            </w:r>
            <w:r>
              <w:rPr>
                <w:spacing w:val="-10"/>
                <w:sz w:val="20"/>
              </w:rPr>
              <w:t> </w:t>
            </w:r>
            <w:r>
              <w:rPr>
                <w:sz w:val="20"/>
              </w:rPr>
              <w:t>de</w:t>
            </w:r>
            <w:r>
              <w:rPr>
                <w:spacing w:val="-11"/>
                <w:sz w:val="20"/>
              </w:rPr>
              <w:t> </w:t>
            </w:r>
            <w:r>
              <w:rPr>
                <w:sz w:val="20"/>
              </w:rPr>
              <w:t>titulación</w:t>
            </w:r>
            <w:r>
              <w:rPr>
                <w:spacing w:val="-10"/>
                <w:sz w:val="20"/>
              </w:rPr>
              <w:t> </w:t>
            </w:r>
            <w:r>
              <w:rPr>
                <w:sz w:val="20"/>
              </w:rPr>
              <w:t>durante</w:t>
            </w:r>
            <w:r>
              <w:rPr>
                <w:spacing w:val="-10"/>
                <w:sz w:val="20"/>
              </w:rPr>
              <w:t> </w:t>
            </w:r>
            <w:r>
              <w:rPr>
                <w:sz w:val="20"/>
              </w:rPr>
              <w:t>el</w:t>
            </w:r>
            <w:r>
              <w:rPr>
                <w:spacing w:val="-10"/>
                <w:sz w:val="20"/>
              </w:rPr>
              <w:t> </w:t>
            </w:r>
            <w:r>
              <w:rPr>
                <w:sz w:val="20"/>
              </w:rPr>
              <w:t>año</w:t>
            </w:r>
            <w:r>
              <w:rPr>
                <w:spacing w:val="-10"/>
                <w:sz w:val="20"/>
              </w:rPr>
              <w:t> </w:t>
            </w:r>
            <w:r>
              <w:rPr>
                <w:sz w:val="20"/>
              </w:rPr>
              <w:t>2027</w:t>
            </w:r>
            <w:r>
              <w:rPr>
                <w:spacing w:val="-11"/>
                <w:sz w:val="20"/>
              </w:rPr>
              <w:t> </w:t>
            </w:r>
            <w:r>
              <w:rPr>
                <w:sz w:val="20"/>
              </w:rPr>
              <w:t>se</w:t>
            </w:r>
            <w:r>
              <w:rPr>
                <w:spacing w:val="-10"/>
                <w:sz w:val="20"/>
              </w:rPr>
              <w:t> </w:t>
            </w:r>
            <w:r>
              <w:rPr>
                <w:sz w:val="20"/>
              </w:rPr>
              <w:t>abordará</w:t>
            </w:r>
            <w:r>
              <w:rPr>
                <w:spacing w:val="-10"/>
                <w:sz w:val="20"/>
              </w:rPr>
              <w:t> </w:t>
            </w:r>
            <w:r>
              <w:rPr>
                <w:sz w:val="20"/>
              </w:rPr>
              <w:t>mediante</w:t>
            </w:r>
            <w:r>
              <w:rPr>
                <w:spacing w:val="-10"/>
                <w:sz w:val="20"/>
              </w:rPr>
              <w:t> </w:t>
            </w:r>
            <w:r>
              <w:rPr>
                <w:sz w:val="20"/>
              </w:rPr>
              <w:t>un proyecto denominado “ Consolidación del proceso de titulación de terrenos para la regularización de la tenencia</w:t>
            </w:r>
            <w:r>
              <w:rPr>
                <w:spacing w:val="-2"/>
                <w:sz w:val="20"/>
              </w:rPr>
              <w:t> </w:t>
            </w:r>
            <w:r>
              <w:rPr>
                <w:sz w:val="20"/>
              </w:rPr>
              <w:t>de</w:t>
            </w:r>
            <w:r>
              <w:rPr>
                <w:spacing w:val="-2"/>
                <w:sz w:val="20"/>
              </w:rPr>
              <w:t> </w:t>
            </w:r>
            <w:r>
              <w:rPr>
                <w:sz w:val="20"/>
              </w:rPr>
              <w:t>la</w:t>
            </w:r>
            <w:r>
              <w:rPr>
                <w:spacing w:val="-2"/>
                <w:sz w:val="20"/>
              </w:rPr>
              <w:t> </w:t>
            </w:r>
            <w:r>
              <w:rPr>
                <w:sz w:val="20"/>
              </w:rPr>
              <w:t>tierra de inmuebles propiedad del</w:t>
            </w:r>
            <w:r>
              <w:rPr>
                <w:spacing w:val="-1"/>
                <w:sz w:val="20"/>
              </w:rPr>
              <w:t> </w:t>
            </w:r>
            <w:r>
              <w:rPr>
                <w:sz w:val="20"/>
              </w:rPr>
              <w:t>IMAS ”, dicho proyecto</w:t>
            </w:r>
            <w:r>
              <w:rPr>
                <w:spacing w:val="-1"/>
                <w:sz w:val="20"/>
              </w:rPr>
              <w:t> </w:t>
            </w:r>
            <w:r>
              <w:rPr>
                <w:sz w:val="20"/>
              </w:rPr>
              <w:t>fue</w:t>
            </w:r>
            <w:r>
              <w:rPr>
                <w:spacing w:val="-1"/>
                <w:sz w:val="20"/>
              </w:rPr>
              <w:t> </w:t>
            </w:r>
            <w:r>
              <w:rPr>
                <w:sz w:val="20"/>
              </w:rPr>
              <w:t>diseñado con un</w:t>
            </w:r>
            <w:r>
              <w:rPr>
                <w:spacing w:val="-2"/>
                <w:sz w:val="20"/>
              </w:rPr>
              <w:t> </w:t>
            </w:r>
            <w:r>
              <w:rPr>
                <w:sz w:val="20"/>
              </w:rPr>
              <w:t>plazo de ejecución</w:t>
            </w:r>
            <w:r>
              <w:rPr>
                <w:spacing w:val="-1"/>
                <w:sz w:val="20"/>
              </w:rPr>
              <w:t> </w:t>
            </w:r>
            <w:r>
              <w:rPr>
                <w:sz w:val="20"/>
              </w:rPr>
              <w:t>de 14</w:t>
            </w:r>
            <w:r>
              <w:rPr>
                <w:spacing w:val="-1"/>
                <w:sz w:val="20"/>
              </w:rPr>
              <w:t> </w:t>
            </w:r>
            <w:r>
              <w:rPr>
                <w:sz w:val="20"/>
              </w:rPr>
              <w:t>años y tiene el objetivo</w:t>
            </w:r>
            <w:r>
              <w:rPr>
                <w:spacing w:val="-1"/>
                <w:sz w:val="20"/>
              </w:rPr>
              <w:t> </w:t>
            </w:r>
            <w:r>
              <w:rPr>
                <w:sz w:val="20"/>
              </w:rPr>
              <w:t>de: Otorgar,</w:t>
            </w:r>
            <w:r>
              <w:rPr>
                <w:spacing w:val="-14"/>
                <w:sz w:val="20"/>
              </w:rPr>
              <w:t> </w:t>
            </w:r>
            <w:r>
              <w:rPr>
                <w:sz w:val="20"/>
              </w:rPr>
              <w:t>al</w:t>
            </w:r>
            <w:r>
              <w:rPr>
                <w:spacing w:val="-14"/>
                <w:sz w:val="20"/>
              </w:rPr>
              <w:t> </w:t>
            </w:r>
            <w:r>
              <w:rPr>
                <w:sz w:val="20"/>
              </w:rPr>
              <w:t>año</w:t>
            </w:r>
            <w:r>
              <w:rPr>
                <w:spacing w:val="-14"/>
                <w:sz w:val="20"/>
              </w:rPr>
              <w:t> </w:t>
            </w:r>
            <w:r>
              <w:rPr>
                <w:sz w:val="20"/>
              </w:rPr>
              <w:t>2040,</w:t>
            </w:r>
            <w:r>
              <w:rPr>
                <w:spacing w:val="-14"/>
                <w:sz w:val="20"/>
              </w:rPr>
              <w:t> </w:t>
            </w:r>
            <w:r>
              <w:rPr>
                <w:sz w:val="20"/>
              </w:rPr>
              <w:t>al</w:t>
            </w:r>
            <w:r>
              <w:rPr>
                <w:spacing w:val="-14"/>
                <w:sz w:val="20"/>
              </w:rPr>
              <w:t> </w:t>
            </w:r>
            <w:r>
              <w:rPr>
                <w:sz w:val="20"/>
              </w:rPr>
              <w:t>menos</w:t>
            </w:r>
            <w:r>
              <w:rPr>
                <w:spacing w:val="-14"/>
                <w:sz w:val="20"/>
              </w:rPr>
              <w:t> </w:t>
            </w:r>
            <w:r>
              <w:rPr>
                <w:sz w:val="20"/>
              </w:rPr>
              <w:t>16</w:t>
            </w:r>
            <w:r>
              <w:rPr>
                <w:spacing w:val="-14"/>
                <w:sz w:val="20"/>
              </w:rPr>
              <w:t> </w:t>
            </w:r>
            <w:r>
              <w:rPr>
                <w:sz w:val="20"/>
              </w:rPr>
              <w:t>500</w:t>
            </w:r>
            <w:r>
              <w:rPr>
                <w:spacing w:val="-14"/>
                <w:sz w:val="20"/>
              </w:rPr>
              <w:t> </w:t>
            </w:r>
            <w:r>
              <w:rPr>
                <w:sz w:val="20"/>
              </w:rPr>
              <w:t>títulos</w:t>
            </w:r>
            <w:r>
              <w:rPr>
                <w:spacing w:val="-14"/>
                <w:sz w:val="20"/>
              </w:rPr>
              <w:t> </w:t>
            </w:r>
            <w:r>
              <w:rPr>
                <w:sz w:val="20"/>
              </w:rPr>
              <w:t>de</w:t>
            </w:r>
            <w:r>
              <w:rPr>
                <w:spacing w:val="-13"/>
                <w:sz w:val="20"/>
              </w:rPr>
              <w:t> </w:t>
            </w:r>
            <w:r>
              <w:rPr>
                <w:sz w:val="20"/>
              </w:rPr>
              <w:t>propiedad</w:t>
            </w:r>
            <w:r>
              <w:rPr>
                <w:spacing w:val="-14"/>
                <w:sz w:val="20"/>
              </w:rPr>
              <w:t> </w:t>
            </w:r>
            <w:r>
              <w:rPr>
                <w:sz w:val="20"/>
              </w:rPr>
              <w:t>a</w:t>
            </w:r>
            <w:r>
              <w:rPr>
                <w:spacing w:val="-14"/>
                <w:sz w:val="20"/>
              </w:rPr>
              <w:t> </w:t>
            </w:r>
            <w:r>
              <w:rPr>
                <w:sz w:val="20"/>
              </w:rPr>
              <w:t>las</w:t>
            </w:r>
            <w:r>
              <w:rPr>
                <w:spacing w:val="-14"/>
                <w:sz w:val="20"/>
              </w:rPr>
              <w:t> </w:t>
            </w:r>
            <w:r>
              <w:rPr>
                <w:sz w:val="20"/>
              </w:rPr>
              <w:t>familias</w:t>
            </w:r>
            <w:r>
              <w:rPr>
                <w:spacing w:val="-14"/>
                <w:sz w:val="20"/>
              </w:rPr>
              <w:t> </w:t>
            </w:r>
            <w:r>
              <w:rPr>
                <w:sz w:val="20"/>
              </w:rPr>
              <w:t>que</w:t>
            </w:r>
            <w:r>
              <w:rPr>
                <w:spacing w:val="-14"/>
                <w:sz w:val="20"/>
              </w:rPr>
              <w:t> </w:t>
            </w:r>
            <w:r>
              <w:rPr>
                <w:sz w:val="20"/>
              </w:rPr>
              <w:t>ocupan de</w:t>
            </w:r>
            <w:r>
              <w:rPr>
                <w:spacing w:val="-5"/>
                <w:sz w:val="20"/>
              </w:rPr>
              <w:t> </w:t>
            </w:r>
            <w:r>
              <w:rPr>
                <w:sz w:val="20"/>
              </w:rPr>
              <w:t>manera</w:t>
            </w:r>
            <w:r>
              <w:rPr>
                <w:spacing w:val="-4"/>
                <w:sz w:val="20"/>
              </w:rPr>
              <w:t> </w:t>
            </w:r>
            <w:r>
              <w:rPr>
                <w:sz w:val="20"/>
              </w:rPr>
              <w:t>informal</w:t>
            </w:r>
            <w:r>
              <w:rPr>
                <w:spacing w:val="-5"/>
                <w:sz w:val="20"/>
              </w:rPr>
              <w:t> </w:t>
            </w:r>
            <w:r>
              <w:rPr>
                <w:sz w:val="20"/>
              </w:rPr>
              <w:t>terrenos</w:t>
            </w:r>
            <w:r>
              <w:rPr>
                <w:spacing w:val="-3"/>
                <w:sz w:val="20"/>
              </w:rPr>
              <w:t> </w:t>
            </w:r>
            <w:r>
              <w:rPr>
                <w:sz w:val="20"/>
              </w:rPr>
              <w:t>inscritos</w:t>
            </w:r>
            <w:r>
              <w:rPr>
                <w:spacing w:val="-3"/>
                <w:sz w:val="20"/>
              </w:rPr>
              <w:t> </w:t>
            </w:r>
            <w:r>
              <w:rPr>
                <w:sz w:val="20"/>
              </w:rPr>
              <w:t>a</w:t>
            </w:r>
            <w:r>
              <w:rPr>
                <w:spacing w:val="-5"/>
                <w:sz w:val="20"/>
              </w:rPr>
              <w:t> </w:t>
            </w:r>
            <w:r>
              <w:rPr>
                <w:sz w:val="20"/>
              </w:rPr>
              <w:t>nombre</w:t>
            </w:r>
            <w:r>
              <w:rPr>
                <w:spacing w:val="-4"/>
                <w:sz w:val="20"/>
              </w:rPr>
              <w:t> </w:t>
            </w:r>
            <w:r>
              <w:rPr>
                <w:sz w:val="20"/>
              </w:rPr>
              <w:t>del</w:t>
            </w:r>
            <w:r>
              <w:rPr>
                <w:spacing w:val="-5"/>
                <w:sz w:val="20"/>
              </w:rPr>
              <w:t> </w:t>
            </w:r>
            <w:r>
              <w:rPr>
                <w:sz w:val="20"/>
              </w:rPr>
              <w:t>IMAS</w:t>
            </w:r>
            <w:r>
              <w:rPr>
                <w:spacing w:val="-4"/>
                <w:sz w:val="20"/>
              </w:rPr>
              <w:t> </w:t>
            </w:r>
            <w:r>
              <w:rPr>
                <w:sz w:val="20"/>
              </w:rPr>
              <w:t>y</w:t>
            </w:r>
            <w:r>
              <w:rPr>
                <w:spacing w:val="-3"/>
                <w:sz w:val="20"/>
              </w:rPr>
              <w:t> </w:t>
            </w:r>
            <w:r>
              <w:rPr>
                <w:sz w:val="20"/>
              </w:rPr>
              <w:t>a</w:t>
            </w:r>
            <w:r>
              <w:rPr>
                <w:spacing w:val="-5"/>
                <w:sz w:val="20"/>
              </w:rPr>
              <w:t> </w:t>
            </w:r>
            <w:r>
              <w:rPr>
                <w:sz w:val="20"/>
              </w:rPr>
              <w:t>los</w:t>
            </w:r>
            <w:r>
              <w:rPr>
                <w:spacing w:val="-3"/>
                <w:sz w:val="20"/>
              </w:rPr>
              <w:t> </w:t>
            </w:r>
            <w:r>
              <w:rPr>
                <w:sz w:val="20"/>
              </w:rPr>
              <w:t>gobiernos</w:t>
            </w:r>
            <w:r>
              <w:rPr>
                <w:spacing w:val="-3"/>
                <w:sz w:val="20"/>
              </w:rPr>
              <w:t> </w:t>
            </w:r>
            <w:r>
              <w:rPr>
                <w:sz w:val="20"/>
              </w:rPr>
              <w:t>locales, mediante la ejecución de los 269 Proyectos de Titulación identificados.</w:t>
            </w:r>
          </w:p>
          <w:p>
            <w:pPr>
              <w:pStyle w:val="TableParagraph"/>
              <w:spacing w:before="35"/>
              <w:rPr>
                <w:b/>
                <w:sz w:val="20"/>
              </w:rPr>
            </w:pPr>
          </w:p>
          <w:p>
            <w:pPr>
              <w:pStyle w:val="TableParagraph"/>
              <w:spacing w:line="276" w:lineRule="auto"/>
              <w:ind w:left="69" w:right="79"/>
              <w:jc w:val="both"/>
              <w:rPr>
                <w:sz w:val="20"/>
              </w:rPr>
            </w:pPr>
            <w:r>
              <w:rPr>
                <w:sz w:val="20"/>
              </w:rPr>
              <w:t>La finalidad de esta estrategia de atención es pasar de una intervención con una estructura</w:t>
            </w:r>
            <w:r>
              <w:rPr>
                <w:spacing w:val="-4"/>
                <w:sz w:val="20"/>
              </w:rPr>
              <w:t> </w:t>
            </w:r>
            <w:r>
              <w:rPr>
                <w:sz w:val="20"/>
              </w:rPr>
              <w:t>rígida</w:t>
            </w:r>
            <w:r>
              <w:rPr>
                <w:spacing w:val="-2"/>
                <w:sz w:val="20"/>
              </w:rPr>
              <w:t> </w:t>
            </w:r>
            <w:r>
              <w:rPr>
                <w:sz w:val="20"/>
              </w:rPr>
              <w:t>y</w:t>
            </w:r>
            <w:r>
              <w:rPr>
                <w:spacing w:val="-3"/>
                <w:sz w:val="20"/>
              </w:rPr>
              <w:t> </w:t>
            </w:r>
            <w:r>
              <w:rPr>
                <w:sz w:val="20"/>
              </w:rPr>
              <w:t>permanente</w:t>
            </w:r>
            <w:r>
              <w:rPr>
                <w:spacing w:val="-3"/>
                <w:sz w:val="20"/>
              </w:rPr>
              <w:t> </w:t>
            </w:r>
            <w:r>
              <w:rPr>
                <w:sz w:val="20"/>
              </w:rPr>
              <w:t>a</w:t>
            </w:r>
            <w:r>
              <w:rPr>
                <w:spacing w:val="-4"/>
                <w:sz w:val="20"/>
              </w:rPr>
              <w:t> </w:t>
            </w:r>
            <w:r>
              <w:rPr>
                <w:sz w:val="20"/>
              </w:rPr>
              <w:t>una</w:t>
            </w:r>
            <w:r>
              <w:rPr>
                <w:spacing w:val="-2"/>
                <w:sz w:val="20"/>
              </w:rPr>
              <w:t> </w:t>
            </w:r>
            <w:r>
              <w:rPr>
                <w:sz w:val="20"/>
              </w:rPr>
              <w:t>estructura</w:t>
            </w:r>
            <w:r>
              <w:rPr>
                <w:spacing w:val="-2"/>
                <w:sz w:val="20"/>
              </w:rPr>
              <w:t> </w:t>
            </w:r>
            <w:r>
              <w:rPr>
                <w:sz w:val="20"/>
              </w:rPr>
              <w:t>de</w:t>
            </w:r>
            <w:r>
              <w:rPr>
                <w:spacing w:val="-2"/>
                <w:sz w:val="20"/>
              </w:rPr>
              <w:t> </w:t>
            </w:r>
            <w:r>
              <w:rPr>
                <w:sz w:val="20"/>
              </w:rPr>
              <w:t>proyecto,</w:t>
            </w:r>
            <w:r>
              <w:rPr>
                <w:spacing w:val="-4"/>
                <w:sz w:val="20"/>
              </w:rPr>
              <w:t> </w:t>
            </w:r>
            <w:r>
              <w:rPr>
                <w:sz w:val="20"/>
              </w:rPr>
              <w:t>la</w:t>
            </w:r>
            <w:r>
              <w:rPr>
                <w:spacing w:val="-4"/>
                <w:sz w:val="20"/>
              </w:rPr>
              <w:t> </w:t>
            </w:r>
            <w:r>
              <w:rPr>
                <w:sz w:val="20"/>
              </w:rPr>
              <w:t>cual</w:t>
            </w:r>
            <w:r>
              <w:rPr>
                <w:spacing w:val="-5"/>
                <w:sz w:val="20"/>
              </w:rPr>
              <w:t> </w:t>
            </w:r>
            <w:r>
              <w:rPr>
                <w:sz w:val="20"/>
              </w:rPr>
              <w:t>sería</w:t>
            </w:r>
            <w:r>
              <w:rPr>
                <w:spacing w:val="-4"/>
                <w:sz w:val="20"/>
              </w:rPr>
              <w:t> </w:t>
            </w:r>
            <w:r>
              <w:rPr>
                <w:sz w:val="20"/>
              </w:rPr>
              <w:t>temporal y flexible, basada en una programación de metas que permitan delimitar su temporalidad, considera el traslado de la intervención que históricamente ha realizado en el Departamento Socio productivo a la Dirección de Desarrollo Social como ente estratégico de orden superior y conformar un equipo interdisciplinario especializado, que fungiría como Unidad de Coordinación y Ejecución del proceso total de titulación.</w:t>
            </w:r>
          </w:p>
          <w:p>
            <w:pPr>
              <w:pStyle w:val="TableParagraph"/>
              <w:spacing w:before="33"/>
              <w:rPr>
                <w:b/>
                <w:sz w:val="20"/>
              </w:rPr>
            </w:pPr>
          </w:p>
          <w:p>
            <w:pPr>
              <w:pStyle w:val="TableParagraph"/>
              <w:spacing w:line="278" w:lineRule="auto"/>
              <w:ind w:left="69" w:right="80"/>
              <w:jc w:val="both"/>
              <w:rPr>
                <w:sz w:val="20"/>
              </w:rPr>
            </w:pPr>
            <w:r>
              <w:rPr>
                <w:sz w:val="20"/>
              </w:rPr>
              <w:t>Para el año 2027 se programa otorgar por medio de la ejecución del proyecto un total de 500 títulos de propiedad.</w:t>
            </w:r>
          </w:p>
        </w:tc>
      </w:tr>
      <w:tr>
        <w:trPr>
          <w:trHeight w:val="316" w:hRule="atLeast"/>
        </w:trPr>
        <w:tc>
          <w:tcPr>
            <w:tcW w:w="2835" w:type="dxa"/>
            <w:shd w:val="clear" w:color="auto" w:fill="DCE6F0"/>
          </w:tcPr>
          <w:p>
            <w:pPr>
              <w:pStyle w:val="TableParagraph"/>
              <w:spacing w:before="42"/>
              <w:ind w:left="67"/>
              <w:rPr>
                <w:b/>
                <w:sz w:val="20"/>
              </w:rPr>
            </w:pPr>
            <w:r>
              <w:rPr>
                <w:b/>
                <w:spacing w:val="-2"/>
                <w:sz w:val="20"/>
              </w:rPr>
              <w:t>Desagregación</w:t>
            </w:r>
          </w:p>
        </w:tc>
        <w:tc>
          <w:tcPr>
            <w:tcW w:w="7514"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4" w:hRule="atLeast"/>
        </w:trPr>
        <w:tc>
          <w:tcPr>
            <w:tcW w:w="2835" w:type="dxa"/>
            <w:shd w:val="clear" w:color="auto" w:fill="DCE6F0"/>
          </w:tcPr>
          <w:p>
            <w:pPr>
              <w:pStyle w:val="TableParagraph"/>
              <w:spacing w:before="40"/>
              <w:ind w:left="67"/>
              <w:rPr>
                <w:b/>
                <w:sz w:val="20"/>
              </w:rPr>
            </w:pPr>
            <w:r>
              <w:rPr>
                <w:b/>
                <w:spacing w:val="-2"/>
                <w:sz w:val="20"/>
              </w:rPr>
              <w:t>Meta:</w:t>
            </w:r>
          </w:p>
        </w:tc>
        <w:tc>
          <w:tcPr>
            <w:tcW w:w="7514" w:type="dxa"/>
          </w:tcPr>
          <w:p>
            <w:pPr>
              <w:pStyle w:val="TableParagraph"/>
              <w:spacing w:before="40"/>
              <w:ind w:left="69"/>
              <w:rPr>
                <w:sz w:val="20"/>
              </w:rPr>
            </w:pPr>
            <w:r>
              <w:rPr>
                <w:spacing w:val="-5"/>
                <w:sz w:val="20"/>
              </w:rPr>
              <w:t>500</w:t>
            </w:r>
          </w:p>
        </w:tc>
      </w:tr>
      <w:tr>
        <w:trPr>
          <w:trHeight w:val="314" w:hRule="atLeast"/>
        </w:trPr>
        <w:tc>
          <w:tcPr>
            <w:tcW w:w="2835" w:type="dxa"/>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7514" w:type="dxa"/>
          </w:tcPr>
          <w:p>
            <w:pPr>
              <w:pStyle w:val="TableParagraph"/>
              <w:spacing w:before="42"/>
              <w:ind w:left="69"/>
              <w:rPr>
                <w:sz w:val="20"/>
              </w:rPr>
            </w:pPr>
            <w:r>
              <w:rPr>
                <w:spacing w:val="-5"/>
                <w:sz w:val="20"/>
              </w:rPr>
              <w:t>74</w:t>
            </w:r>
          </w:p>
        </w:tc>
      </w:tr>
      <w:tr>
        <w:trPr>
          <w:trHeight w:val="630" w:hRule="atLeast"/>
        </w:trPr>
        <w:tc>
          <w:tcPr>
            <w:tcW w:w="2835" w:type="dxa"/>
            <w:shd w:val="clear" w:color="auto" w:fill="DCE6F0"/>
          </w:tcPr>
          <w:p>
            <w:pPr>
              <w:pStyle w:val="TableParagraph"/>
              <w:spacing w:before="8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201"/>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835" w:type="dxa"/>
            <w:shd w:val="clear" w:color="auto" w:fill="DCE6F0"/>
          </w:tcPr>
          <w:p>
            <w:pPr>
              <w:pStyle w:val="TableParagraph"/>
              <w:spacing w:before="12"/>
              <w:rPr>
                <w:b/>
                <w:sz w:val="20"/>
              </w:rPr>
            </w:pPr>
          </w:p>
          <w:p>
            <w:pPr>
              <w:pStyle w:val="TableParagraph"/>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12"/>
              <w:rPr>
                <w:b/>
                <w:sz w:val="20"/>
              </w:rPr>
            </w:pPr>
          </w:p>
          <w:p>
            <w:pPr>
              <w:pStyle w:val="TableParagraph"/>
              <w:ind w:left="69" w:right="2852"/>
              <w:rPr>
                <w:sz w:val="20"/>
              </w:rPr>
            </w:pPr>
            <w:r>
              <w:rPr>
                <w:sz w:val="20"/>
              </w:rPr>
              <w:t>Nombre</w:t>
            </w:r>
            <w:r>
              <w:rPr>
                <w:spacing w:val="-6"/>
                <w:sz w:val="20"/>
              </w:rPr>
              <w:t> </w:t>
            </w:r>
            <w:r>
              <w:rPr>
                <w:sz w:val="20"/>
              </w:rPr>
              <w:t>del</w:t>
            </w:r>
            <w:r>
              <w:rPr>
                <w:spacing w:val="-9"/>
                <w:sz w:val="20"/>
              </w:rPr>
              <w:t> </w:t>
            </w:r>
            <w:r>
              <w:rPr>
                <w:sz w:val="20"/>
              </w:rPr>
              <w:t>funcionario:</w:t>
            </w:r>
            <w:r>
              <w:rPr>
                <w:spacing w:val="-7"/>
                <w:sz w:val="20"/>
              </w:rPr>
              <w:t> </w:t>
            </w:r>
            <w:r>
              <w:rPr>
                <w:sz w:val="20"/>
              </w:rPr>
              <w:t>Luis</w:t>
            </w:r>
            <w:r>
              <w:rPr>
                <w:spacing w:val="-7"/>
                <w:sz w:val="20"/>
              </w:rPr>
              <w:t> </w:t>
            </w:r>
            <w:r>
              <w:rPr>
                <w:sz w:val="20"/>
              </w:rPr>
              <w:t>Felipe</w:t>
            </w:r>
            <w:r>
              <w:rPr>
                <w:spacing w:val="-6"/>
                <w:sz w:val="20"/>
              </w:rPr>
              <w:t> </w:t>
            </w:r>
            <w:r>
              <w:rPr>
                <w:sz w:val="20"/>
              </w:rPr>
              <w:t>Barrantes</w:t>
            </w:r>
            <w:r>
              <w:rPr>
                <w:spacing w:val="-7"/>
                <w:sz w:val="20"/>
              </w:rPr>
              <w:t> </w:t>
            </w:r>
            <w:r>
              <w:rPr>
                <w:sz w:val="20"/>
              </w:rPr>
              <w:t>Arias Cargo: Director de Desarrollo Social</w:t>
            </w:r>
          </w:p>
        </w:tc>
      </w:tr>
    </w:tbl>
    <w:p>
      <w:pPr>
        <w:pStyle w:val="TableParagraph"/>
        <w:spacing w:after="0"/>
        <w:rPr>
          <w:sz w:val="20"/>
        </w:rPr>
        <w:sectPr>
          <w:type w:val="continuous"/>
          <w:pgSz w:w="12240" w:h="15840"/>
          <w:pgMar w:header="0" w:footer="2082" w:top="1400" w:bottom="2600"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945" w:hRule="atLeast"/>
        </w:trPr>
        <w:tc>
          <w:tcPr>
            <w:tcW w:w="2835" w:type="dxa"/>
            <w:tcBorders>
              <w:top w:val="nil"/>
            </w:tcBorders>
            <w:shd w:val="clear" w:color="auto" w:fill="DCE6F0"/>
          </w:tcPr>
          <w:p>
            <w:pPr>
              <w:pStyle w:val="TableParagraph"/>
              <w:spacing w:before="12"/>
              <w:rPr>
                <w:b/>
                <w:sz w:val="20"/>
              </w:rPr>
            </w:pPr>
          </w:p>
          <w:p>
            <w:pPr>
              <w:pStyle w:val="TableParagraph"/>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Borders>
              <w:top w:val="nil"/>
            </w:tcBorders>
          </w:tcPr>
          <w:p>
            <w:pPr>
              <w:pStyle w:val="TableParagraph"/>
              <w:spacing w:before="127"/>
              <w:rPr>
                <w:b/>
                <w:sz w:val="20"/>
              </w:rPr>
            </w:pPr>
          </w:p>
          <w:p>
            <w:pPr>
              <w:pStyle w:val="TableParagraph"/>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3" w:hRule="atLeast"/>
        </w:trPr>
        <w:tc>
          <w:tcPr>
            <w:tcW w:w="2835" w:type="dxa"/>
            <w:shd w:val="clear" w:color="auto" w:fill="DCE6F0"/>
          </w:tcPr>
          <w:p>
            <w:pPr>
              <w:pStyle w:val="TableParagraph"/>
              <w:spacing w:before="40"/>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40"/>
              <w:ind w:left="69"/>
              <w:rPr>
                <w:sz w:val="20"/>
              </w:rPr>
            </w:pPr>
            <w:r>
              <w:rPr>
                <w:sz w:val="20"/>
              </w:rPr>
              <w:t>Registro</w:t>
            </w:r>
            <w:r>
              <w:rPr>
                <w:spacing w:val="-11"/>
                <w:sz w:val="20"/>
              </w:rPr>
              <w:t> </w:t>
            </w:r>
            <w:r>
              <w:rPr>
                <w:spacing w:val="-2"/>
                <w:sz w:val="20"/>
              </w:rPr>
              <w:t>Nacional</w:t>
            </w:r>
          </w:p>
        </w:tc>
      </w:tr>
      <w:tr>
        <w:trPr>
          <w:trHeight w:val="599" w:hRule="atLeast"/>
        </w:trPr>
        <w:tc>
          <w:tcPr>
            <w:tcW w:w="2835" w:type="dxa"/>
            <w:shd w:val="clear" w:color="auto" w:fill="DCE6F0"/>
          </w:tcPr>
          <w:p>
            <w:pPr>
              <w:pStyle w:val="TableParagraph"/>
              <w:spacing w:before="184"/>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184"/>
              <w:ind w:left="69"/>
              <w:rPr>
                <w:sz w:val="20"/>
              </w:rPr>
            </w:pPr>
            <w:r>
              <w:rPr>
                <w:sz w:val="20"/>
              </w:rPr>
              <w:t>Informes</w:t>
            </w:r>
            <w:r>
              <w:rPr>
                <w:spacing w:val="-6"/>
                <w:sz w:val="20"/>
              </w:rPr>
              <w:t> </w:t>
            </w:r>
            <w:r>
              <w:rPr>
                <w:sz w:val="20"/>
              </w:rPr>
              <w:t>de</w:t>
            </w:r>
            <w:r>
              <w:rPr>
                <w:spacing w:val="-5"/>
                <w:sz w:val="20"/>
              </w:rPr>
              <w:t> </w:t>
            </w:r>
            <w:r>
              <w:rPr>
                <w:sz w:val="20"/>
              </w:rPr>
              <w:t>Avance</w:t>
            </w:r>
            <w:r>
              <w:rPr>
                <w:spacing w:val="-4"/>
                <w:sz w:val="20"/>
              </w:rPr>
              <w:t> </w:t>
            </w:r>
            <w:r>
              <w:rPr>
                <w:sz w:val="20"/>
              </w:rPr>
              <w:t>del</w:t>
            </w:r>
            <w:r>
              <w:rPr>
                <w:spacing w:val="-7"/>
                <w:sz w:val="20"/>
              </w:rPr>
              <w:t> </w:t>
            </w:r>
            <w:r>
              <w:rPr>
                <w:spacing w:val="-2"/>
                <w:sz w:val="20"/>
              </w:rPr>
              <w:t>proyecto</w:t>
            </w:r>
          </w:p>
        </w:tc>
      </w:tr>
      <w:tr>
        <w:trPr>
          <w:trHeight w:val="899" w:hRule="atLeast"/>
        </w:trPr>
        <w:tc>
          <w:tcPr>
            <w:tcW w:w="2835" w:type="dxa"/>
            <w:shd w:val="clear" w:color="auto" w:fill="DCE6F0"/>
          </w:tcPr>
          <w:p>
            <w:pPr>
              <w:pStyle w:val="TableParagraph"/>
              <w:spacing w:before="105"/>
              <w:rPr>
                <w:b/>
                <w:sz w:val="20"/>
              </w:rPr>
            </w:pPr>
          </w:p>
          <w:p>
            <w:pPr>
              <w:pStyle w:val="TableParagraph"/>
              <w:ind w:left="67"/>
              <w:rPr>
                <w:b/>
                <w:sz w:val="20"/>
              </w:rPr>
            </w:pPr>
            <w:r>
              <w:rPr>
                <w:b/>
                <w:spacing w:val="-2"/>
                <w:sz w:val="20"/>
              </w:rPr>
              <w:t>Clasificación</w:t>
            </w:r>
          </w:p>
        </w:tc>
        <w:tc>
          <w:tcPr>
            <w:tcW w:w="7514" w:type="dxa"/>
          </w:tcPr>
          <w:p>
            <w:pPr>
              <w:pStyle w:val="TableParagraph"/>
              <w:spacing w:before="105"/>
              <w:rPr>
                <w:b/>
                <w:sz w:val="20"/>
              </w:rPr>
            </w:pPr>
          </w:p>
          <w:p>
            <w:pPr>
              <w:pStyle w:val="TableParagraph"/>
              <w:ind w:left="69"/>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5"/>
                <w:sz w:val="20"/>
              </w:rPr>
              <w:t> </w:t>
            </w:r>
            <w:r>
              <w:rPr>
                <w:sz w:val="20"/>
              </w:rPr>
              <w:t>Producto</w:t>
            </w:r>
            <w:r>
              <w:rPr>
                <w:spacing w:val="-8"/>
                <w:sz w:val="20"/>
              </w:rPr>
              <w:t> </w:t>
            </w:r>
            <w:r>
              <w:rPr>
                <w:spacing w:val="-5"/>
                <w:sz w:val="20"/>
              </w:rPr>
              <w:t>(X)</w:t>
            </w:r>
          </w:p>
        </w:tc>
      </w:tr>
      <w:tr>
        <w:trPr>
          <w:trHeight w:val="1382" w:hRule="atLeast"/>
        </w:trPr>
        <w:tc>
          <w:tcPr>
            <w:tcW w:w="2835" w:type="dxa"/>
            <w:shd w:val="clear" w:color="auto" w:fill="DCE6F0"/>
          </w:tcPr>
          <w:p>
            <w:pPr>
              <w:pStyle w:val="TableParagraph"/>
              <w:rPr>
                <w:b/>
                <w:sz w:val="20"/>
              </w:rPr>
            </w:pPr>
          </w:p>
          <w:p>
            <w:pPr>
              <w:pStyle w:val="TableParagraph"/>
              <w:spacing w:before="115"/>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ind w:left="69" w:right="106"/>
              <w:rPr>
                <w:sz w:val="20"/>
              </w:rPr>
            </w:pPr>
            <w:r>
              <w:rPr>
                <w:sz w:val="20"/>
              </w:rPr>
              <w:t>No</w:t>
            </w:r>
            <w:r>
              <w:rPr>
                <w:spacing w:val="-4"/>
                <w:sz w:val="20"/>
              </w:rPr>
              <w:t> </w:t>
            </w:r>
            <w:r>
              <w:rPr>
                <w:sz w:val="20"/>
              </w:rPr>
              <w:t>se</w:t>
            </w:r>
            <w:r>
              <w:rPr>
                <w:spacing w:val="-4"/>
                <w:sz w:val="20"/>
              </w:rPr>
              <w:t> </w:t>
            </w:r>
            <w:r>
              <w:rPr>
                <w:sz w:val="20"/>
              </w:rPr>
              <w:t>asigna</w:t>
            </w:r>
            <w:r>
              <w:rPr>
                <w:spacing w:val="-2"/>
                <w:sz w:val="20"/>
              </w:rPr>
              <w:t> </w:t>
            </w:r>
            <w:r>
              <w:rPr>
                <w:sz w:val="20"/>
              </w:rPr>
              <w:t>un</w:t>
            </w:r>
            <w:r>
              <w:rPr>
                <w:spacing w:val="-3"/>
                <w:sz w:val="20"/>
              </w:rPr>
              <w:t> </w:t>
            </w:r>
            <w:r>
              <w:rPr>
                <w:sz w:val="20"/>
              </w:rPr>
              <w:t>presupuesto</w:t>
            </w:r>
            <w:r>
              <w:rPr>
                <w:spacing w:val="-5"/>
                <w:sz w:val="20"/>
              </w:rPr>
              <w:t> </w:t>
            </w:r>
            <w:r>
              <w:rPr>
                <w:sz w:val="20"/>
              </w:rPr>
              <w:t>a</w:t>
            </w:r>
            <w:r>
              <w:rPr>
                <w:spacing w:val="-2"/>
                <w:sz w:val="20"/>
              </w:rPr>
              <w:t> </w:t>
            </w:r>
            <w:r>
              <w:rPr>
                <w:sz w:val="20"/>
              </w:rPr>
              <w:t>la</w:t>
            </w:r>
            <w:r>
              <w:rPr>
                <w:spacing w:val="-2"/>
                <w:sz w:val="20"/>
              </w:rPr>
              <w:t> </w:t>
            </w:r>
            <w:r>
              <w:rPr>
                <w:sz w:val="20"/>
              </w:rPr>
              <w:t>meta,</w:t>
            </w:r>
            <w:r>
              <w:rPr>
                <w:spacing w:val="-4"/>
                <w:sz w:val="20"/>
              </w:rPr>
              <w:t> </w:t>
            </w:r>
            <w:r>
              <w:rPr>
                <w:sz w:val="20"/>
              </w:rPr>
              <w:t>debido</w:t>
            </w:r>
            <w:r>
              <w:rPr>
                <w:spacing w:val="-3"/>
                <w:sz w:val="20"/>
              </w:rPr>
              <w:t> </w:t>
            </w:r>
            <w:r>
              <w:rPr>
                <w:sz w:val="20"/>
              </w:rPr>
              <w:t>a</w:t>
            </w:r>
            <w:r>
              <w:rPr>
                <w:spacing w:val="-4"/>
                <w:sz w:val="20"/>
              </w:rPr>
              <w:t> </w:t>
            </w:r>
            <w:r>
              <w:rPr>
                <w:sz w:val="20"/>
              </w:rPr>
              <w:t>que</w:t>
            </w:r>
            <w:r>
              <w:rPr>
                <w:spacing w:val="-2"/>
                <w:sz w:val="20"/>
              </w:rPr>
              <w:t> </w:t>
            </w:r>
            <w:r>
              <w:rPr>
                <w:sz w:val="20"/>
              </w:rPr>
              <w:t>el</w:t>
            </w:r>
            <w:r>
              <w:rPr>
                <w:spacing w:val="-5"/>
                <w:sz w:val="20"/>
              </w:rPr>
              <w:t> </w:t>
            </w:r>
            <w:r>
              <w:rPr>
                <w:sz w:val="20"/>
              </w:rPr>
              <w:t>proyecto se</w:t>
            </w:r>
            <w:r>
              <w:rPr>
                <w:spacing w:val="-4"/>
                <w:sz w:val="20"/>
              </w:rPr>
              <w:t> </w:t>
            </w:r>
            <w:r>
              <w:rPr>
                <w:sz w:val="20"/>
              </w:rPr>
              <w:t>ejecutara</w:t>
            </w:r>
            <w:r>
              <w:rPr>
                <w:spacing w:val="-4"/>
                <w:sz w:val="20"/>
              </w:rPr>
              <w:t> </w:t>
            </w:r>
            <w:r>
              <w:rPr>
                <w:sz w:val="20"/>
              </w:rPr>
              <w:t>con la contratación de plazas que ha sido aprobadas y forman parte del presupuesto de remuneraciones que se vincula a una meta de Desarrollo Humano, de igual manera los demás costos derivados del proyecto como por ejemplo equipo y</w:t>
            </w:r>
          </w:p>
          <w:p>
            <w:pPr>
              <w:pStyle w:val="TableParagraph"/>
              <w:spacing w:line="228" w:lineRule="exact"/>
              <w:ind w:left="69" w:right="170"/>
              <w:rPr>
                <w:sz w:val="20"/>
              </w:rPr>
            </w:pPr>
            <w:r>
              <w:rPr>
                <w:sz w:val="20"/>
              </w:rPr>
              <w:t>mobiliario</w:t>
            </w:r>
            <w:r>
              <w:rPr>
                <w:spacing w:val="-6"/>
                <w:sz w:val="20"/>
              </w:rPr>
              <w:t> </w:t>
            </w:r>
            <w:r>
              <w:rPr>
                <w:sz w:val="20"/>
              </w:rPr>
              <w:t>están</w:t>
            </w:r>
            <w:r>
              <w:rPr>
                <w:spacing w:val="-6"/>
                <w:sz w:val="20"/>
              </w:rPr>
              <w:t> </w:t>
            </w:r>
            <w:r>
              <w:rPr>
                <w:sz w:val="20"/>
              </w:rPr>
              <w:t>vinculados</w:t>
            </w:r>
            <w:r>
              <w:rPr>
                <w:spacing w:val="-2"/>
                <w:sz w:val="20"/>
              </w:rPr>
              <w:t> </w:t>
            </w:r>
            <w:r>
              <w:rPr>
                <w:sz w:val="20"/>
              </w:rPr>
              <w:t>a</w:t>
            </w:r>
            <w:r>
              <w:rPr>
                <w:spacing w:val="-7"/>
                <w:sz w:val="20"/>
              </w:rPr>
              <w:t> </w:t>
            </w:r>
            <w:r>
              <w:rPr>
                <w:sz w:val="20"/>
              </w:rPr>
              <w:t>metas</w:t>
            </w:r>
            <w:r>
              <w:rPr>
                <w:spacing w:val="-5"/>
                <w:sz w:val="20"/>
              </w:rPr>
              <w:t> </w:t>
            </w:r>
            <w:r>
              <w:rPr>
                <w:sz w:val="20"/>
              </w:rPr>
              <w:t>de</w:t>
            </w:r>
            <w:r>
              <w:rPr>
                <w:spacing w:val="-4"/>
                <w:sz w:val="20"/>
              </w:rPr>
              <w:t> </w:t>
            </w:r>
            <w:r>
              <w:rPr>
                <w:sz w:val="20"/>
              </w:rPr>
              <w:t>gasto</w:t>
            </w:r>
            <w:r>
              <w:rPr>
                <w:spacing w:val="-4"/>
                <w:sz w:val="20"/>
              </w:rPr>
              <w:t> </w:t>
            </w:r>
            <w:r>
              <w:rPr>
                <w:sz w:val="20"/>
              </w:rPr>
              <w:t>administrativo</w:t>
            </w:r>
            <w:r>
              <w:rPr>
                <w:spacing w:val="-6"/>
                <w:sz w:val="20"/>
              </w:rPr>
              <w:t> </w:t>
            </w:r>
            <w:r>
              <w:rPr>
                <w:sz w:val="20"/>
              </w:rPr>
              <w:t>y</w:t>
            </w:r>
            <w:r>
              <w:rPr>
                <w:spacing w:val="-5"/>
                <w:sz w:val="20"/>
              </w:rPr>
              <w:t> </w:t>
            </w:r>
            <w:r>
              <w:rPr>
                <w:sz w:val="20"/>
              </w:rPr>
              <w:t>operativo programadas por la DDS.</w:t>
            </w:r>
          </w:p>
        </w:tc>
      </w:tr>
    </w:tbl>
    <w:p>
      <w:pPr>
        <w:pStyle w:val="BodyText"/>
        <w:spacing w:before="159"/>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510" w:hRule="atLeast"/>
        </w:trPr>
        <w:tc>
          <w:tcPr>
            <w:tcW w:w="2835" w:type="dxa"/>
            <w:shd w:val="clear" w:color="auto" w:fill="DCE6F0"/>
          </w:tcPr>
          <w:p>
            <w:pPr>
              <w:pStyle w:val="TableParagraph"/>
              <w:spacing w:before="138"/>
              <w:ind w:left="67"/>
              <w:rPr>
                <w:b/>
                <w:sz w:val="20"/>
              </w:rPr>
            </w:pPr>
            <w:r>
              <w:rPr>
                <w:b/>
                <w:sz w:val="20"/>
              </w:rPr>
              <w:t>PPPS</w:t>
            </w:r>
            <w:r>
              <w:rPr>
                <w:b/>
                <w:spacing w:val="-6"/>
                <w:sz w:val="20"/>
              </w:rPr>
              <w:t> </w:t>
            </w:r>
            <w:r>
              <w:rPr>
                <w:b/>
                <w:spacing w:val="-2"/>
                <w:sz w:val="20"/>
              </w:rPr>
              <w:t>1.2.1:</w:t>
            </w:r>
          </w:p>
        </w:tc>
        <w:tc>
          <w:tcPr>
            <w:tcW w:w="7514" w:type="dxa"/>
          </w:tcPr>
          <w:p>
            <w:pPr>
              <w:pStyle w:val="TableParagraph"/>
              <w:spacing w:before="23"/>
              <w:ind w:left="69"/>
              <w:rPr>
                <w:sz w:val="20"/>
              </w:rPr>
            </w:pPr>
            <w:r>
              <w:rPr>
                <w:sz w:val="20"/>
              </w:rPr>
              <w:t>Nombre</w:t>
            </w:r>
            <w:r>
              <w:rPr>
                <w:spacing w:val="-4"/>
                <w:sz w:val="20"/>
              </w:rPr>
              <w:t> </w:t>
            </w:r>
            <w:r>
              <w:rPr>
                <w:sz w:val="20"/>
              </w:rPr>
              <w:t>del</w:t>
            </w:r>
            <w:r>
              <w:rPr>
                <w:spacing w:val="-6"/>
                <w:sz w:val="20"/>
              </w:rPr>
              <w:t> </w:t>
            </w:r>
            <w:r>
              <w:rPr>
                <w:sz w:val="20"/>
              </w:rPr>
              <w:t>Indicador:</w:t>
            </w:r>
            <w:r>
              <w:rPr>
                <w:spacing w:val="-5"/>
                <w:sz w:val="20"/>
              </w:rPr>
              <w:t> </w:t>
            </w:r>
            <w:r>
              <w:rPr>
                <w:sz w:val="20"/>
              </w:rPr>
              <w:t>Cantidad</w:t>
            </w:r>
            <w:r>
              <w:rPr>
                <w:spacing w:val="-5"/>
                <w:sz w:val="20"/>
              </w:rPr>
              <w:t> </w:t>
            </w:r>
            <w:r>
              <w:rPr>
                <w:sz w:val="20"/>
              </w:rPr>
              <w:t>de</w:t>
            </w:r>
            <w:r>
              <w:rPr>
                <w:spacing w:val="-4"/>
                <w:sz w:val="20"/>
              </w:rPr>
              <w:t> </w:t>
            </w:r>
            <w:r>
              <w:rPr>
                <w:sz w:val="20"/>
              </w:rPr>
              <w:t>personas</w:t>
            </w:r>
            <w:r>
              <w:rPr>
                <w:spacing w:val="-4"/>
                <w:sz w:val="20"/>
              </w:rPr>
              <w:t> </w:t>
            </w:r>
            <w:r>
              <w:rPr>
                <w:sz w:val="20"/>
              </w:rPr>
              <w:t>estudiantes</w:t>
            </w:r>
            <w:r>
              <w:rPr>
                <w:spacing w:val="-4"/>
                <w:sz w:val="20"/>
              </w:rPr>
              <w:t> </w:t>
            </w:r>
            <w:r>
              <w:rPr>
                <w:sz w:val="20"/>
              </w:rPr>
              <w:t>de</w:t>
            </w:r>
            <w:r>
              <w:rPr>
                <w:spacing w:val="-6"/>
                <w:sz w:val="20"/>
              </w:rPr>
              <w:t> </w:t>
            </w:r>
            <w:r>
              <w:rPr>
                <w:sz w:val="20"/>
              </w:rPr>
              <w:t>primaria</w:t>
            </w:r>
            <w:r>
              <w:rPr>
                <w:spacing w:val="-5"/>
                <w:sz w:val="20"/>
              </w:rPr>
              <w:t> </w:t>
            </w:r>
            <w:r>
              <w:rPr>
                <w:sz w:val="20"/>
              </w:rPr>
              <w:t>y</w:t>
            </w:r>
            <w:r>
              <w:rPr>
                <w:spacing w:val="-4"/>
                <w:sz w:val="20"/>
              </w:rPr>
              <w:t> </w:t>
            </w:r>
            <w:r>
              <w:rPr>
                <w:sz w:val="20"/>
              </w:rPr>
              <w:t>secundaria que reciben la transferencia monetaria condicionada Avancemos.</w:t>
            </w:r>
          </w:p>
        </w:tc>
      </w:tr>
      <w:tr>
        <w:trPr>
          <w:trHeight w:val="688" w:hRule="atLeast"/>
        </w:trPr>
        <w:tc>
          <w:tcPr>
            <w:tcW w:w="2835" w:type="dxa"/>
            <w:shd w:val="clear" w:color="auto" w:fill="DCE6F0"/>
          </w:tcPr>
          <w:p>
            <w:pPr>
              <w:pStyle w:val="TableParagraph"/>
              <w:spacing w:before="227"/>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ind w:left="69"/>
              <w:rPr>
                <w:sz w:val="20"/>
              </w:rPr>
            </w:pPr>
            <w:r>
              <w:rPr>
                <w:sz w:val="20"/>
              </w:rPr>
              <w:t>Sumatoria</w:t>
            </w:r>
            <w:r>
              <w:rPr>
                <w:spacing w:val="-6"/>
                <w:sz w:val="20"/>
              </w:rPr>
              <w:t> </w:t>
            </w:r>
            <w:r>
              <w:rPr>
                <w:sz w:val="20"/>
              </w:rPr>
              <w:t>de</w:t>
            </w:r>
            <w:r>
              <w:rPr>
                <w:spacing w:val="-6"/>
                <w:sz w:val="20"/>
              </w:rPr>
              <w:t> </w:t>
            </w:r>
            <w:r>
              <w:rPr>
                <w:sz w:val="20"/>
              </w:rPr>
              <w:t>personas</w:t>
            </w:r>
            <w:r>
              <w:rPr>
                <w:spacing w:val="-6"/>
                <w:sz w:val="20"/>
              </w:rPr>
              <w:t> </w:t>
            </w:r>
            <w:r>
              <w:rPr>
                <w:sz w:val="20"/>
              </w:rPr>
              <w:t>estudiantes</w:t>
            </w:r>
            <w:r>
              <w:rPr>
                <w:spacing w:val="-4"/>
                <w:sz w:val="20"/>
              </w:rPr>
              <w:t> </w:t>
            </w:r>
            <w:r>
              <w:rPr>
                <w:sz w:val="20"/>
              </w:rPr>
              <w:t>que</w:t>
            </w:r>
            <w:r>
              <w:rPr>
                <w:spacing w:val="-6"/>
                <w:sz w:val="20"/>
              </w:rPr>
              <w:t> </w:t>
            </w:r>
            <w:r>
              <w:rPr>
                <w:sz w:val="20"/>
              </w:rPr>
              <w:t>reciben</w:t>
            </w:r>
            <w:r>
              <w:rPr>
                <w:spacing w:val="-6"/>
                <w:sz w:val="20"/>
              </w:rPr>
              <w:t> </w:t>
            </w:r>
            <w:r>
              <w:rPr>
                <w:sz w:val="20"/>
              </w:rPr>
              <w:t>la</w:t>
            </w:r>
            <w:r>
              <w:rPr>
                <w:spacing w:val="-6"/>
                <w:sz w:val="20"/>
              </w:rPr>
              <w:t> </w:t>
            </w:r>
            <w:r>
              <w:rPr>
                <w:sz w:val="20"/>
              </w:rPr>
              <w:t>transferencia</w:t>
            </w:r>
            <w:r>
              <w:rPr>
                <w:spacing w:val="-6"/>
                <w:sz w:val="20"/>
              </w:rPr>
              <w:t> </w:t>
            </w:r>
            <w:r>
              <w:rPr>
                <w:sz w:val="20"/>
              </w:rPr>
              <w:t>monetaria condicionada (TMC) del Programa Avancemos en educación primaria y</w:t>
            </w:r>
          </w:p>
          <w:p>
            <w:pPr>
              <w:pStyle w:val="TableParagraph"/>
              <w:spacing w:line="209" w:lineRule="exact"/>
              <w:ind w:left="69"/>
              <w:rPr>
                <w:sz w:val="20"/>
              </w:rPr>
            </w:pPr>
            <w:r>
              <w:rPr>
                <w:spacing w:val="-2"/>
                <w:sz w:val="20"/>
              </w:rPr>
              <w:t>secundaria.</w:t>
            </w:r>
          </w:p>
        </w:tc>
      </w:tr>
      <w:tr>
        <w:trPr>
          <w:trHeight w:val="299" w:hRule="atLeast"/>
        </w:trPr>
        <w:tc>
          <w:tcPr>
            <w:tcW w:w="2835" w:type="dxa"/>
            <w:shd w:val="clear" w:color="auto" w:fill="DCE6F0"/>
          </w:tcPr>
          <w:p>
            <w:pPr>
              <w:pStyle w:val="TableParagraph"/>
              <w:spacing w:before="35"/>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35"/>
              <w:ind w:left="69"/>
              <w:rPr>
                <w:sz w:val="20"/>
              </w:rPr>
            </w:pPr>
            <w:r>
              <w:rPr>
                <w:spacing w:val="-2"/>
                <w:sz w:val="20"/>
              </w:rPr>
              <w:t>Cantidad</w:t>
            </w:r>
          </w:p>
        </w:tc>
      </w:tr>
      <w:tr>
        <w:trPr>
          <w:trHeight w:val="1152" w:hRule="atLeast"/>
        </w:trPr>
        <w:tc>
          <w:tcPr>
            <w:tcW w:w="2835" w:type="dxa"/>
            <w:shd w:val="clear" w:color="auto" w:fill="DCE6F0"/>
          </w:tcPr>
          <w:p>
            <w:pPr>
              <w:pStyle w:val="TableParagraph"/>
              <w:rPr>
                <w:b/>
                <w:sz w:val="20"/>
              </w:rPr>
            </w:pPr>
          </w:p>
          <w:p>
            <w:pPr>
              <w:pStyle w:val="TableParagraph"/>
              <w:rPr>
                <w:b/>
                <w:sz w:val="20"/>
              </w:rPr>
            </w:pPr>
          </w:p>
          <w:p>
            <w:pPr>
              <w:pStyle w:val="TableParagraph"/>
              <w:ind w:left="67"/>
              <w:rPr>
                <w:b/>
                <w:sz w:val="20"/>
              </w:rPr>
            </w:pPr>
            <w:r>
              <w:rPr>
                <w:b/>
                <w:spacing w:val="-2"/>
                <w:sz w:val="20"/>
              </w:rPr>
              <w:t>Interpretación:</w:t>
            </w:r>
          </w:p>
        </w:tc>
        <w:tc>
          <w:tcPr>
            <w:tcW w:w="7514" w:type="dxa"/>
          </w:tcPr>
          <w:p>
            <w:pPr>
              <w:pStyle w:val="TableParagraph"/>
              <w:spacing w:line="229" w:lineRule="exact"/>
              <w:ind w:left="69"/>
              <w:rPr>
                <w:sz w:val="20"/>
              </w:rPr>
            </w:pPr>
            <w:r>
              <w:rPr>
                <w:sz w:val="20"/>
              </w:rPr>
              <w:t>La</w:t>
            </w:r>
            <w:r>
              <w:rPr>
                <w:spacing w:val="-9"/>
                <w:sz w:val="20"/>
              </w:rPr>
              <w:t> </w:t>
            </w:r>
            <w:r>
              <w:rPr>
                <w:sz w:val="20"/>
              </w:rPr>
              <w:t>cantidad</w:t>
            </w:r>
            <w:r>
              <w:rPr>
                <w:spacing w:val="-9"/>
                <w:sz w:val="20"/>
              </w:rPr>
              <w:t> </w:t>
            </w:r>
            <w:r>
              <w:rPr>
                <w:sz w:val="20"/>
              </w:rPr>
              <w:t>de</w:t>
            </w:r>
            <w:r>
              <w:rPr>
                <w:spacing w:val="-8"/>
                <w:sz w:val="20"/>
              </w:rPr>
              <w:t> </w:t>
            </w:r>
            <w:r>
              <w:rPr>
                <w:sz w:val="20"/>
              </w:rPr>
              <w:t>personas</w:t>
            </w:r>
            <w:r>
              <w:rPr>
                <w:spacing w:val="-7"/>
                <w:sz w:val="20"/>
              </w:rPr>
              <w:t> </w:t>
            </w:r>
            <w:r>
              <w:rPr>
                <w:sz w:val="20"/>
              </w:rPr>
              <w:t>estudiantes</w:t>
            </w:r>
            <w:r>
              <w:rPr>
                <w:spacing w:val="-7"/>
                <w:sz w:val="20"/>
              </w:rPr>
              <w:t> </w:t>
            </w:r>
            <w:r>
              <w:rPr>
                <w:sz w:val="20"/>
              </w:rPr>
              <w:t>receptoras</w:t>
            </w:r>
            <w:r>
              <w:rPr>
                <w:spacing w:val="-7"/>
                <w:sz w:val="20"/>
              </w:rPr>
              <w:t> </w:t>
            </w:r>
            <w:r>
              <w:rPr>
                <w:sz w:val="20"/>
              </w:rPr>
              <w:t>de</w:t>
            </w:r>
            <w:r>
              <w:rPr>
                <w:spacing w:val="-8"/>
                <w:sz w:val="20"/>
              </w:rPr>
              <w:t> </w:t>
            </w:r>
            <w:r>
              <w:rPr>
                <w:sz w:val="20"/>
              </w:rPr>
              <w:t>Avancemos</w:t>
            </w:r>
            <w:r>
              <w:rPr>
                <w:spacing w:val="-7"/>
                <w:sz w:val="20"/>
              </w:rPr>
              <w:t> </w:t>
            </w:r>
            <w:r>
              <w:rPr>
                <w:sz w:val="20"/>
              </w:rPr>
              <w:t>en</w:t>
            </w:r>
            <w:r>
              <w:rPr>
                <w:spacing w:val="-8"/>
                <w:sz w:val="20"/>
              </w:rPr>
              <w:t> </w:t>
            </w:r>
            <w:r>
              <w:rPr>
                <w:spacing w:val="-2"/>
                <w:sz w:val="20"/>
              </w:rPr>
              <w:t>educación</w:t>
            </w:r>
          </w:p>
          <w:p>
            <w:pPr>
              <w:pStyle w:val="TableParagraph"/>
              <w:ind w:left="69"/>
              <w:rPr>
                <w:sz w:val="20"/>
              </w:rPr>
            </w:pPr>
            <w:r>
              <w:rPr>
                <w:sz w:val="20"/>
              </w:rPr>
              <w:t>primaria</w:t>
            </w:r>
            <w:r>
              <w:rPr>
                <w:spacing w:val="-5"/>
                <w:sz w:val="20"/>
              </w:rPr>
              <w:t> </w:t>
            </w:r>
            <w:r>
              <w:rPr>
                <w:sz w:val="20"/>
              </w:rPr>
              <w:t>y</w:t>
            </w:r>
            <w:r>
              <w:rPr>
                <w:spacing w:val="-5"/>
                <w:sz w:val="20"/>
              </w:rPr>
              <w:t> </w:t>
            </w:r>
            <w:r>
              <w:rPr>
                <w:sz w:val="20"/>
              </w:rPr>
              <w:t>secundaria,</w:t>
            </w:r>
            <w:r>
              <w:rPr>
                <w:spacing w:val="-5"/>
                <w:sz w:val="20"/>
              </w:rPr>
              <w:t> </w:t>
            </w:r>
            <w:r>
              <w:rPr>
                <w:sz w:val="20"/>
              </w:rPr>
              <w:t>en</w:t>
            </w:r>
            <w:r>
              <w:rPr>
                <w:spacing w:val="-5"/>
                <w:sz w:val="20"/>
              </w:rPr>
              <w:t> </w:t>
            </w:r>
            <w:r>
              <w:rPr>
                <w:sz w:val="20"/>
              </w:rPr>
              <w:t>el</w:t>
            </w:r>
            <w:r>
              <w:rPr>
                <w:spacing w:val="-5"/>
                <w:sz w:val="20"/>
              </w:rPr>
              <w:t> </w:t>
            </w:r>
            <w:r>
              <w:rPr>
                <w:sz w:val="20"/>
              </w:rPr>
              <w:t>período</w:t>
            </w:r>
            <w:r>
              <w:rPr>
                <w:spacing w:val="-5"/>
                <w:sz w:val="20"/>
              </w:rPr>
              <w:t> </w:t>
            </w:r>
            <w:r>
              <w:rPr>
                <w:sz w:val="20"/>
              </w:rPr>
              <w:t>“X”</w:t>
            </w:r>
            <w:r>
              <w:rPr>
                <w:spacing w:val="-5"/>
                <w:sz w:val="20"/>
              </w:rPr>
              <w:t> </w:t>
            </w:r>
            <w:r>
              <w:rPr>
                <w:sz w:val="20"/>
              </w:rPr>
              <w:t>es</w:t>
            </w:r>
            <w:r>
              <w:rPr>
                <w:spacing w:val="-4"/>
                <w:sz w:val="20"/>
              </w:rPr>
              <w:t> </w:t>
            </w:r>
            <w:r>
              <w:rPr>
                <w:sz w:val="20"/>
              </w:rPr>
              <w:t>de</w:t>
            </w:r>
            <w:r>
              <w:rPr>
                <w:spacing w:val="-5"/>
                <w:sz w:val="20"/>
              </w:rPr>
              <w:t> </w:t>
            </w:r>
            <w:r>
              <w:rPr>
                <w:spacing w:val="-4"/>
                <w:sz w:val="20"/>
              </w:rPr>
              <w:t>“Y”.</w:t>
            </w:r>
          </w:p>
          <w:p>
            <w:pPr>
              <w:pStyle w:val="TableParagraph"/>
              <w:spacing w:before="1"/>
              <w:ind w:left="69"/>
              <w:rPr>
                <w:sz w:val="20"/>
              </w:rPr>
            </w:pPr>
            <w:r>
              <w:rPr>
                <w:sz w:val="20"/>
              </w:rPr>
              <w:t>En</w:t>
            </w:r>
            <w:r>
              <w:rPr>
                <w:spacing w:val="-7"/>
                <w:sz w:val="20"/>
              </w:rPr>
              <w:t> </w:t>
            </w:r>
            <w:r>
              <w:rPr>
                <w:sz w:val="20"/>
              </w:rPr>
              <w:t>esta</w:t>
            </w:r>
            <w:r>
              <w:rPr>
                <w:spacing w:val="-7"/>
                <w:sz w:val="20"/>
              </w:rPr>
              <w:t> </w:t>
            </w:r>
            <w:r>
              <w:rPr>
                <w:sz w:val="20"/>
              </w:rPr>
              <w:t>“X”</w:t>
            </w:r>
            <w:r>
              <w:rPr>
                <w:spacing w:val="-6"/>
                <w:sz w:val="20"/>
              </w:rPr>
              <w:t> </w:t>
            </w:r>
            <w:r>
              <w:rPr>
                <w:sz w:val="20"/>
              </w:rPr>
              <w:t>representa</w:t>
            </w:r>
            <w:r>
              <w:rPr>
                <w:spacing w:val="-5"/>
                <w:sz w:val="20"/>
              </w:rPr>
              <w:t> </w:t>
            </w:r>
            <w:r>
              <w:rPr>
                <w:sz w:val="20"/>
              </w:rPr>
              <w:t>el</w:t>
            </w:r>
            <w:r>
              <w:rPr>
                <w:spacing w:val="-6"/>
                <w:sz w:val="20"/>
              </w:rPr>
              <w:t> </w:t>
            </w:r>
            <w:r>
              <w:rPr>
                <w:sz w:val="20"/>
              </w:rPr>
              <w:t>período</w:t>
            </w:r>
            <w:r>
              <w:rPr>
                <w:spacing w:val="-6"/>
                <w:sz w:val="20"/>
              </w:rPr>
              <w:t> </w:t>
            </w:r>
            <w:r>
              <w:rPr>
                <w:sz w:val="20"/>
              </w:rPr>
              <w:t>de</w:t>
            </w:r>
            <w:r>
              <w:rPr>
                <w:spacing w:val="-7"/>
                <w:sz w:val="20"/>
              </w:rPr>
              <w:t> </w:t>
            </w:r>
            <w:r>
              <w:rPr>
                <w:sz w:val="20"/>
              </w:rPr>
              <w:t>tiempo</w:t>
            </w:r>
            <w:r>
              <w:rPr>
                <w:spacing w:val="-5"/>
                <w:sz w:val="20"/>
              </w:rPr>
              <w:t> </w:t>
            </w:r>
            <w:r>
              <w:rPr>
                <w:sz w:val="20"/>
              </w:rPr>
              <w:t>según</w:t>
            </w:r>
            <w:r>
              <w:rPr>
                <w:spacing w:val="-7"/>
                <w:sz w:val="20"/>
              </w:rPr>
              <w:t> </w:t>
            </w:r>
            <w:r>
              <w:rPr>
                <w:sz w:val="20"/>
              </w:rPr>
              <w:t>la</w:t>
            </w:r>
            <w:r>
              <w:rPr>
                <w:spacing w:val="-7"/>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30" w:lineRule="exact"/>
              <w:ind w:left="69" w:right="170"/>
              <w:rPr>
                <w:sz w:val="20"/>
              </w:rPr>
            </w:pPr>
            <w:r>
              <w:rPr>
                <w:sz w:val="20"/>
              </w:rPr>
              <w:t>significa</w:t>
            </w:r>
            <w:r>
              <w:rPr>
                <w:spacing w:val="-3"/>
                <w:sz w:val="20"/>
              </w:rPr>
              <w:t> </w:t>
            </w:r>
            <w:r>
              <w:rPr>
                <w:sz w:val="20"/>
              </w:rPr>
              <w:t>la</w:t>
            </w:r>
            <w:r>
              <w:rPr>
                <w:spacing w:val="-3"/>
                <w:sz w:val="20"/>
              </w:rPr>
              <w:t> </w:t>
            </w:r>
            <w:r>
              <w:rPr>
                <w:sz w:val="20"/>
              </w:rPr>
              <w:t>meta</w:t>
            </w:r>
            <w:r>
              <w:rPr>
                <w:spacing w:val="-5"/>
                <w:sz w:val="20"/>
              </w:rPr>
              <w:t> </w:t>
            </w:r>
            <w:r>
              <w:rPr>
                <w:sz w:val="20"/>
              </w:rPr>
              <w:t>alcanzada</w:t>
            </w:r>
            <w:r>
              <w:rPr>
                <w:spacing w:val="-3"/>
                <w:sz w:val="20"/>
              </w:rPr>
              <w:t> </w:t>
            </w:r>
            <w:r>
              <w:rPr>
                <w:sz w:val="20"/>
              </w:rPr>
              <w:t>a</w:t>
            </w:r>
            <w:r>
              <w:rPr>
                <w:spacing w:val="-6"/>
                <w:sz w:val="20"/>
              </w:rPr>
              <w:t> </w:t>
            </w:r>
            <w:r>
              <w:rPr>
                <w:sz w:val="20"/>
              </w:rPr>
              <w:t>ese</w:t>
            </w:r>
            <w:r>
              <w:rPr>
                <w:spacing w:val="-3"/>
                <w:sz w:val="20"/>
              </w:rPr>
              <w:t> </w:t>
            </w:r>
            <w:r>
              <w:rPr>
                <w:sz w:val="20"/>
              </w:rPr>
              <w:t>momento</w:t>
            </w:r>
            <w:r>
              <w:rPr>
                <w:spacing w:val="-5"/>
                <w:sz w:val="20"/>
              </w:rPr>
              <w:t> </w:t>
            </w:r>
            <w:r>
              <w:rPr>
                <w:sz w:val="20"/>
              </w:rPr>
              <w:t>según</w:t>
            </w:r>
            <w:r>
              <w:rPr>
                <w:spacing w:val="-5"/>
                <w:sz w:val="20"/>
              </w:rPr>
              <w:t> </w:t>
            </w:r>
            <w:r>
              <w:rPr>
                <w:sz w:val="20"/>
              </w:rPr>
              <w:t>la</w:t>
            </w:r>
            <w:r>
              <w:rPr>
                <w:spacing w:val="-5"/>
                <w:sz w:val="20"/>
              </w:rPr>
              <w:t> </w:t>
            </w:r>
            <w:r>
              <w:rPr>
                <w:sz w:val="20"/>
              </w:rPr>
              <w:t>unidad</w:t>
            </w:r>
            <w:r>
              <w:rPr>
                <w:spacing w:val="-6"/>
                <w:sz w:val="20"/>
              </w:rPr>
              <w:t> </w:t>
            </w:r>
            <w:r>
              <w:rPr>
                <w:sz w:val="20"/>
              </w:rPr>
              <w:t>de</w:t>
            </w:r>
            <w:r>
              <w:rPr>
                <w:spacing w:val="-5"/>
                <w:sz w:val="20"/>
              </w:rPr>
              <w:t> </w:t>
            </w:r>
            <w:r>
              <w:rPr>
                <w:sz w:val="20"/>
              </w:rPr>
              <w:t>medida </w:t>
            </w:r>
            <w:r>
              <w:rPr>
                <w:spacing w:val="-2"/>
                <w:sz w:val="20"/>
              </w:rPr>
              <w:t>establecida.</w:t>
            </w:r>
          </w:p>
        </w:tc>
      </w:tr>
      <w:tr>
        <w:trPr>
          <w:trHeight w:val="299" w:hRule="atLeast"/>
        </w:trPr>
        <w:tc>
          <w:tcPr>
            <w:tcW w:w="2835" w:type="dxa"/>
            <w:shd w:val="clear" w:color="auto" w:fill="DCE6F0"/>
          </w:tcPr>
          <w:p>
            <w:pPr>
              <w:pStyle w:val="TableParagraph"/>
              <w:spacing w:before="33"/>
              <w:ind w:left="67"/>
              <w:rPr>
                <w:b/>
                <w:sz w:val="20"/>
              </w:rPr>
            </w:pPr>
            <w:r>
              <w:rPr>
                <w:b/>
                <w:spacing w:val="-2"/>
                <w:sz w:val="20"/>
              </w:rPr>
              <w:t>Desagregación</w:t>
            </w:r>
          </w:p>
        </w:tc>
        <w:tc>
          <w:tcPr>
            <w:tcW w:w="7514" w:type="dxa"/>
          </w:tcPr>
          <w:p>
            <w:pPr>
              <w:pStyle w:val="TableParagraph"/>
              <w:spacing w:before="33"/>
              <w:ind w:left="69"/>
              <w:rPr>
                <w:sz w:val="20"/>
              </w:rPr>
            </w:pPr>
            <w:r>
              <w:rPr>
                <w:sz w:val="20"/>
              </w:rPr>
              <w:t>No</w:t>
            </w:r>
            <w:r>
              <w:rPr>
                <w:spacing w:val="-5"/>
                <w:sz w:val="20"/>
              </w:rPr>
              <w:t> </w:t>
            </w:r>
            <w:r>
              <w:rPr>
                <w:spacing w:val="-2"/>
                <w:sz w:val="20"/>
              </w:rPr>
              <w:t>aplica.</w:t>
            </w:r>
          </w:p>
        </w:tc>
      </w:tr>
      <w:tr>
        <w:trPr>
          <w:trHeight w:val="299" w:hRule="atLeast"/>
        </w:trPr>
        <w:tc>
          <w:tcPr>
            <w:tcW w:w="2835" w:type="dxa"/>
            <w:shd w:val="clear" w:color="auto" w:fill="DCE6F0"/>
          </w:tcPr>
          <w:p>
            <w:pPr>
              <w:pStyle w:val="TableParagraph"/>
              <w:spacing w:before="33"/>
              <w:ind w:left="67"/>
              <w:rPr>
                <w:b/>
                <w:sz w:val="20"/>
              </w:rPr>
            </w:pPr>
            <w:r>
              <w:rPr>
                <w:b/>
                <w:spacing w:val="-2"/>
                <w:sz w:val="20"/>
              </w:rPr>
              <w:t>Meta:</w:t>
            </w:r>
          </w:p>
        </w:tc>
        <w:tc>
          <w:tcPr>
            <w:tcW w:w="7514" w:type="dxa"/>
          </w:tcPr>
          <w:p>
            <w:pPr>
              <w:pStyle w:val="TableParagraph"/>
              <w:spacing w:before="33"/>
              <w:ind w:left="69"/>
              <w:rPr>
                <w:sz w:val="20"/>
              </w:rPr>
            </w:pPr>
            <w:r>
              <w:rPr>
                <w:sz w:val="20"/>
              </w:rPr>
              <w:t>320</w:t>
            </w:r>
            <w:r>
              <w:rPr>
                <w:spacing w:val="-5"/>
                <w:sz w:val="20"/>
              </w:rPr>
              <w:t> 000</w:t>
            </w:r>
          </w:p>
        </w:tc>
      </w:tr>
      <w:tr>
        <w:trPr>
          <w:trHeight w:val="299" w:hRule="atLeast"/>
        </w:trPr>
        <w:tc>
          <w:tcPr>
            <w:tcW w:w="2835" w:type="dxa"/>
            <w:shd w:val="clear" w:color="auto" w:fill="DCE6F0"/>
          </w:tcPr>
          <w:p>
            <w:pPr>
              <w:pStyle w:val="TableParagraph"/>
              <w:spacing w:before="35"/>
              <w:ind w:left="67"/>
              <w:rPr>
                <w:b/>
                <w:sz w:val="20"/>
              </w:rPr>
            </w:pPr>
            <w:r>
              <w:rPr>
                <w:b/>
                <w:sz w:val="20"/>
              </w:rPr>
              <w:t>Línea</w:t>
            </w:r>
            <w:r>
              <w:rPr>
                <w:b/>
                <w:spacing w:val="-10"/>
                <w:sz w:val="20"/>
              </w:rPr>
              <w:t> </w:t>
            </w:r>
            <w:r>
              <w:rPr>
                <w:b/>
                <w:spacing w:val="-4"/>
                <w:sz w:val="20"/>
              </w:rPr>
              <w:t>Base</w:t>
            </w:r>
          </w:p>
        </w:tc>
        <w:tc>
          <w:tcPr>
            <w:tcW w:w="7514" w:type="dxa"/>
          </w:tcPr>
          <w:p>
            <w:pPr>
              <w:pStyle w:val="TableParagraph"/>
              <w:spacing w:before="35"/>
              <w:ind w:left="69"/>
              <w:rPr>
                <w:sz w:val="20"/>
              </w:rPr>
            </w:pPr>
            <w:r>
              <w:rPr>
                <w:sz w:val="20"/>
              </w:rPr>
              <w:t>325</w:t>
            </w:r>
            <w:r>
              <w:rPr>
                <w:spacing w:val="-5"/>
                <w:sz w:val="20"/>
              </w:rPr>
              <w:t> 660</w:t>
            </w:r>
          </w:p>
        </w:tc>
      </w:tr>
      <w:tr>
        <w:trPr>
          <w:trHeight w:val="510" w:hRule="atLeast"/>
        </w:trPr>
        <w:tc>
          <w:tcPr>
            <w:tcW w:w="2835" w:type="dxa"/>
            <w:shd w:val="clear" w:color="auto" w:fill="DCE6F0"/>
          </w:tcPr>
          <w:p>
            <w:pPr>
              <w:pStyle w:val="TableParagraph"/>
              <w:spacing w:before="2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141"/>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510" w:hRule="atLeast"/>
        </w:trPr>
        <w:tc>
          <w:tcPr>
            <w:tcW w:w="2835" w:type="dxa"/>
            <w:shd w:val="clear" w:color="auto" w:fill="DCE6F0"/>
          </w:tcPr>
          <w:p>
            <w:pPr>
              <w:pStyle w:val="TableParagraph"/>
              <w:spacing w:before="23"/>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23"/>
              <w:ind w:left="69"/>
              <w:rPr>
                <w:sz w:val="20"/>
              </w:rPr>
            </w:pPr>
            <w:r>
              <w:rPr>
                <w:sz w:val="20"/>
              </w:rPr>
              <w:t>Nombre</w:t>
            </w:r>
            <w:r>
              <w:rPr>
                <w:spacing w:val="-7"/>
                <w:sz w:val="20"/>
              </w:rPr>
              <w:t> </w:t>
            </w:r>
            <w:r>
              <w:rPr>
                <w:sz w:val="20"/>
              </w:rPr>
              <w:t>del</w:t>
            </w:r>
            <w:r>
              <w:rPr>
                <w:spacing w:val="-10"/>
                <w:sz w:val="20"/>
              </w:rPr>
              <w:t> </w:t>
            </w:r>
            <w:r>
              <w:rPr>
                <w:sz w:val="20"/>
              </w:rPr>
              <w:t>funcionario:</w:t>
            </w:r>
            <w:r>
              <w:rPr>
                <w:spacing w:val="-8"/>
                <w:sz w:val="20"/>
              </w:rPr>
              <w:t> </w:t>
            </w:r>
            <w:r>
              <w:rPr>
                <w:sz w:val="20"/>
              </w:rPr>
              <w:t>Grettel</w:t>
            </w:r>
            <w:r>
              <w:rPr>
                <w:spacing w:val="-9"/>
                <w:sz w:val="20"/>
              </w:rPr>
              <w:t> </w:t>
            </w:r>
            <w:r>
              <w:rPr>
                <w:sz w:val="20"/>
              </w:rPr>
              <w:t>López</w:t>
            </w:r>
            <w:r>
              <w:rPr>
                <w:spacing w:val="-8"/>
                <w:sz w:val="20"/>
              </w:rPr>
              <w:t> </w:t>
            </w:r>
            <w:r>
              <w:rPr>
                <w:spacing w:val="-2"/>
                <w:sz w:val="20"/>
              </w:rPr>
              <w:t>Rodríguez</w:t>
            </w:r>
          </w:p>
          <w:p>
            <w:pPr>
              <w:pStyle w:val="TableParagraph"/>
              <w:spacing w:before="1"/>
              <w:ind w:left="69"/>
              <w:rPr>
                <w:sz w:val="20"/>
              </w:rPr>
            </w:pPr>
            <w:r>
              <w:rPr>
                <w:sz w:val="20"/>
              </w:rPr>
              <w:t>Cargo:</w:t>
            </w:r>
            <w:r>
              <w:rPr>
                <w:spacing w:val="-11"/>
                <w:sz w:val="20"/>
              </w:rPr>
              <w:t> </w:t>
            </w:r>
            <w:r>
              <w:rPr>
                <w:sz w:val="20"/>
              </w:rPr>
              <w:t>Jefatura,</w:t>
            </w:r>
            <w:r>
              <w:rPr>
                <w:spacing w:val="-10"/>
                <w:sz w:val="20"/>
              </w:rPr>
              <w:t> </w:t>
            </w:r>
            <w:r>
              <w:rPr>
                <w:sz w:val="20"/>
              </w:rPr>
              <w:t>Departamento</w:t>
            </w:r>
            <w:r>
              <w:rPr>
                <w:spacing w:val="-8"/>
                <w:sz w:val="20"/>
              </w:rPr>
              <w:t> </w:t>
            </w:r>
            <w:r>
              <w:rPr>
                <w:sz w:val="20"/>
              </w:rPr>
              <w:t>de</w:t>
            </w:r>
            <w:r>
              <w:rPr>
                <w:spacing w:val="-11"/>
                <w:sz w:val="20"/>
              </w:rPr>
              <w:t> </w:t>
            </w:r>
            <w:r>
              <w:rPr>
                <w:sz w:val="20"/>
              </w:rPr>
              <w:t>Desarrollo</w:t>
            </w:r>
            <w:r>
              <w:rPr>
                <w:spacing w:val="-8"/>
                <w:sz w:val="20"/>
              </w:rPr>
              <w:t> </w:t>
            </w:r>
            <w:r>
              <w:rPr>
                <w:spacing w:val="-2"/>
                <w:sz w:val="20"/>
              </w:rPr>
              <w:t>Socioeducativo</w:t>
            </w:r>
          </w:p>
        </w:tc>
      </w:tr>
      <w:tr>
        <w:trPr>
          <w:trHeight w:val="508" w:hRule="atLeast"/>
        </w:trPr>
        <w:tc>
          <w:tcPr>
            <w:tcW w:w="2835" w:type="dxa"/>
            <w:shd w:val="clear" w:color="auto" w:fill="DCE6F0"/>
          </w:tcPr>
          <w:p>
            <w:pPr>
              <w:pStyle w:val="TableParagraph"/>
              <w:spacing w:before="23"/>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38"/>
              <w:ind w:left="69"/>
              <w:rPr>
                <w:sz w:val="20"/>
              </w:rPr>
            </w:pPr>
            <w:r>
              <w:rPr>
                <w:sz w:val="20"/>
              </w:rPr>
              <w:t>Dirección</w:t>
            </w:r>
            <w:r>
              <w:rPr>
                <w:spacing w:val="-9"/>
                <w:sz w:val="20"/>
              </w:rPr>
              <w:t> </w:t>
            </w:r>
            <w:r>
              <w:rPr>
                <w:sz w:val="20"/>
              </w:rPr>
              <w:t>de</w:t>
            </w:r>
            <w:r>
              <w:rPr>
                <w:spacing w:val="-8"/>
                <w:sz w:val="20"/>
              </w:rPr>
              <w:t> </w:t>
            </w:r>
            <w:r>
              <w:rPr>
                <w:sz w:val="20"/>
              </w:rPr>
              <w:t>Desarrollo</w:t>
            </w:r>
            <w:r>
              <w:rPr>
                <w:spacing w:val="-8"/>
                <w:sz w:val="20"/>
              </w:rPr>
              <w:t> </w:t>
            </w:r>
            <w:r>
              <w:rPr>
                <w:sz w:val="20"/>
              </w:rPr>
              <w:t>Social,</w:t>
            </w:r>
            <w:r>
              <w:rPr>
                <w:spacing w:val="-9"/>
                <w:sz w:val="20"/>
              </w:rPr>
              <w:t> </w:t>
            </w:r>
            <w:r>
              <w:rPr>
                <w:sz w:val="20"/>
              </w:rPr>
              <w:t>Departamento</w:t>
            </w:r>
            <w:r>
              <w:rPr>
                <w:spacing w:val="-8"/>
                <w:sz w:val="20"/>
              </w:rPr>
              <w:t> </w:t>
            </w:r>
            <w:r>
              <w:rPr>
                <w:sz w:val="20"/>
              </w:rPr>
              <w:t>de</w:t>
            </w:r>
            <w:r>
              <w:rPr>
                <w:spacing w:val="-8"/>
                <w:sz w:val="20"/>
              </w:rPr>
              <w:t> </w:t>
            </w:r>
            <w:r>
              <w:rPr>
                <w:sz w:val="20"/>
              </w:rPr>
              <w:t>Desarrollo</w:t>
            </w:r>
            <w:r>
              <w:rPr>
                <w:spacing w:val="-10"/>
                <w:sz w:val="20"/>
              </w:rPr>
              <w:t> </w:t>
            </w:r>
            <w:r>
              <w:rPr>
                <w:spacing w:val="-2"/>
                <w:sz w:val="20"/>
              </w:rPr>
              <w:t>Socioeducativo</w:t>
            </w:r>
          </w:p>
        </w:tc>
      </w:tr>
      <w:tr>
        <w:trPr>
          <w:trHeight w:val="299" w:hRule="atLeast"/>
        </w:trPr>
        <w:tc>
          <w:tcPr>
            <w:tcW w:w="2835" w:type="dxa"/>
            <w:shd w:val="clear" w:color="auto" w:fill="DCE6F0"/>
          </w:tcPr>
          <w:p>
            <w:pPr>
              <w:pStyle w:val="TableParagraph"/>
              <w:spacing w:before="35"/>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35"/>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460" w:hRule="atLeast"/>
        </w:trPr>
        <w:tc>
          <w:tcPr>
            <w:tcW w:w="2835" w:type="dxa"/>
            <w:shd w:val="clear" w:color="auto" w:fill="DCE6F0"/>
          </w:tcPr>
          <w:p>
            <w:pPr>
              <w:pStyle w:val="TableParagraph"/>
              <w:spacing w:before="114"/>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line="230" w:lineRule="exact"/>
              <w:ind w:left="69"/>
              <w:rPr>
                <w:sz w:val="20"/>
              </w:rPr>
            </w:pPr>
            <w:r>
              <w:rPr>
                <w:sz w:val="20"/>
              </w:rPr>
              <w:t>Informes</w:t>
            </w:r>
            <w:r>
              <w:rPr>
                <w:spacing w:val="-5"/>
                <w:sz w:val="20"/>
              </w:rPr>
              <w:t> </w:t>
            </w:r>
            <w:r>
              <w:rPr>
                <w:sz w:val="20"/>
              </w:rPr>
              <w:t>del</w:t>
            </w:r>
            <w:r>
              <w:rPr>
                <w:spacing w:val="-6"/>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6"/>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765" w:hRule="atLeast"/>
        </w:trPr>
        <w:tc>
          <w:tcPr>
            <w:tcW w:w="2835" w:type="dxa"/>
            <w:shd w:val="clear" w:color="auto" w:fill="DCE6F0"/>
          </w:tcPr>
          <w:p>
            <w:pPr>
              <w:pStyle w:val="TableParagraph"/>
              <w:spacing w:before="38"/>
              <w:rPr>
                <w:b/>
                <w:sz w:val="20"/>
              </w:rPr>
            </w:pPr>
          </w:p>
          <w:p>
            <w:pPr>
              <w:pStyle w:val="TableParagraph"/>
              <w:spacing w:before="1"/>
              <w:ind w:left="67"/>
              <w:rPr>
                <w:b/>
                <w:sz w:val="20"/>
              </w:rPr>
            </w:pPr>
            <w:r>
              <w:rPr>
                <w:b/>
                <w:spacing w:val="-2"/>
                <w:sz w:val="20"/>
              </w:rPr>
              <w:t>Clasificación</w:t>
            </w:r>
          </w:p>
        </w:tc>
        <w:tc>
          <w:tcPr>
            <w:tcW w:w="7514" w:type="dxa"/>
          </w:tcPr>
          <w:p>
            <w:pPr>
              <w:pStyle w:val="TableParagraph"/>
              <w:spacing w:before="38"/>
              <w:rPr>
                <w:b/>
                <w:sz w:val="20"/>
              </w:rPr>
            </w:pPr>
          </w:p>
          <w:p>
            <w:pPr>
              <w:pStyle w:val="TableParagraph"/>
              <w:spacing w:before="1"/>
              <w:ind w:left="69"/>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5"/>
                <w:sz w:val="20"/>
              </w:rPr>
              <w:t> </w:t>
            </w:r>
            <w:r>
              <w:rPr>
                <w:sz w:val="20"/>
              </w:rPr>
              <w:t>Producto</w:t>
            </w:r>
            <w:r>
              <w:rPr>
                <w:spacing w:val="-8"/>
                <w:sz w:val="20"/>
              </w:rPr>
              <w:t> </w:t>
            </w:r>
            <w:r>
              <w:rPr>
                <w:spacing w:val="-5"/>
                <w:sz w:val="20"/>
              </w:rPr>
              <w:t>(X)</w:t>
            </w:r>
          </w:p>
        </w:tc>
      </w:tr>
    </w:tbl>
    <w:p>
      <w:pPr>
        <w:pStyle w:val="TableParagraph"/>
        <w:spacing w:after="0"/>
        <w:rPr>
          <w:sz w:val="20"/>
        </w:rPr>
        <w:sectPr>
          <w:type w:val="continuous"/>
          <w:pgSz w:w="12240" w:h="15840"/>
          <w:pgMar w:header="0" w:footer="2082" w:top="1400" w:bottom="2600"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1841" w:hRule="atLeast"/>
        </w:trPr>
        <w:tc>
          <w:tcPr>
            <w:tcW w:w="2835" w:type="dxa"/>
            <w:tcBorders>
              <w:top w:val="nil"/>
            </w:tcBorders>
            <w:shd w:val="clear" w:color="auto" w:fill="DCE6F0"/>
          </w:tcPr>
          <w:p>
            <w:pPr>
              <w:pStyle w:val="TableParagraph"/>
              <w:rPr>
                <w:b/>
                <w:sz w:val="20"/>
              </w:rPr>
            </w:pPr>
          </w:p>
          <w:p>
            <w:pPr>
              <w:pStyle w:val="TableParagraph"/>
              <w:rPr>
                <w:b/>
                <w:sz w:val="20"/>
              </w:rPr>
            </w:pPr>
          </w:p>
          <w:p>
            <w:pPr>
              <w:pStyle w:val="TableParagraph"/>
              <w:spacing w:before="114"/>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4" w:type="dxa"/>
            <w:tcBorders>
              <w:top w:val="nil"/>
            </w:tcBorders>
          </w:tcPr>
          <w:p>
            <w:pPr>
              <w:pStyle w:val="TableParagraph"/>
              <w:ind w:left="69" w:right="106"/>
              <w:rPr>
                <w:sz w:val="20"/>
              </w:rPr>
            </w:pPr>
            <w:r>
              <w:rPr>
                <w:sz w:val="20"/>
              </w:rPr>
              <w:t>Persona estudiante de primaria y secundaria que ha recibido la transferencia al menos una vez en el año. Meta física establecida según los recursos comunicados.</w:t>
            </w:r>
            <w:r>
              <w:rPr>
                <w:spacing w:val="-3"/>
                <w:sz w:val="20"/>
              </w:rPr>
              <w:t> </w:t>
            </w:r>
            <w:r>
              <w:rPr>
                <w:sz w:val="20"/>
              </w:rPr>
              <w:t>Este</w:t>
            </w:r>
            <w:r>
              <w:rPr>
                <w:spacing w:val="-3"/>
                <w:sz w:val="20"/>
              </w:rPr>
              <w:t> </w:t>
            </w:r>
            <w:r>
              <w:rPr>
                <w:sz w:val="20"/>
              </w:rPr>
              <w:t>indicador</w:t>
            </w:r>
            <w:r>
              <w:rPr>
                <w:spacing w:val="-5"/>
                <w:sz w:val="20"/>
              </w:rPr>
              <w:t> </w:t>
            </w:r>
            <w:r>
              <w:rPr>
                <w:sz w:val="20"/>
              </w:rPr>
              <w:t>se</w:t>
            </w:r>
            <w:r>
              <w:rPr>
                <w:spacing w:val="-5"/>
                <w:sz w:val="20"/>
              </w:rPr>
              <w:t> </w:t>
            </w:r>
            <w:r>
              <w:rPr>
                <w:sz w:val="20"/>
              </w:rPr>
              <w:t>encuentra</w:t>
            </w:r>
            <w:r>
              <w:rPr>
                <w:spacing w:val="-5"/>
                <w:sz w:val="20"/>
              </w:rPr>
              <w:t> </w:t>
            </w:r>
            <w:r>
              <w:rPr>
                <w:sz w:val="20"/>
              </w:rPr>
              <w:t>vinculado</w:t>
            </w:r>
            <w:r>
              <w:rPr>
                <w:spacing w:val="-2"/>
                <w:sz w:val="20"/>
              </w:rPr>
              <w:t> </w:t>
            </w:r>
            <w:r>
              <w:rPr>
                <w:sz w:val="20"/>
              </w:rPr>
              <w:t>al</w:t>
            </w:r>
            <w:r>
              <w:rPr>
                <w:spacing w:val="-4"/>
                <w:sz w:val="20"/>
              </w:rPr>
              <w:t> </w:t>
            </w:r>
            <w:r>
              <w:rPr>
                <w:sz w:val="20"/>
              </w:rPr>
              <w:t>indicador</w:t>
            </w:r>
            <w:r>
              <w:rPr>
                <w:spacing w:val="-2"/>
                <w:sz w:val="20"/>
              </w:rPr>
              <w:t> </w:t>
            </w:r>
            <w:r>
              <w:rPr>
                <w:sz w:val="20"/>
              </w:rPr>
              <w:t>del</w:t>
            </w:r>
            <w:r>
              <w:rPr>
                <w:spacing w:val="-6"/>
                <w:sz w:val="20"/>
              </w:rPr>
              <w:t> </w:t>
            </w:r>
            <w:r>
              <w:rPr>
                <w:sz w:val="20"/>
              </w:rPr>
              <w:t>PNDIP</w:t>
            </w:r>
            <w:r>
              <w:rPr>
                <w:spacing w:val="-3"/>
                <w:sz w:val="20"/>
              </w:rPr>
              <w:t> </w:t>
            </w:r>
            <w:r>
              <w:rPr>
                <w:sz w:val="20"/>
              </w:rPr>
              <w:t>2027-2030 y en la medida que ingresen recursos extraordinarios, se solicitará una adaptación de la meta física, procurando alcanzar 332,500 personas. El Consejo de Coordinación del Programa Avancemos determina las líneas de acción de la</w:t>
            </w:r>
          </w:p>
          <w:p>
            <w:pPr>
              <w:pStyle w:val="TableParagraph"/>
              <w:spacing w:line="228" w:lineRule="exact"/>
              <w:ind w:left="69" w:right="170"/>
              <w:rPr>
                <w:sz w:val="20"/>
              </w:rPr>
            </w:pPr>
            <w:r>
              <w:rPr>
                <w:sz w:val="20"/>
              </w:rPr>
              <w:t>ejecución</w:t>
            </w:r>
            <w:r>
              <w:rPr>
                <w:spacing w:val="-5"/>
                <w:sz w:val="20"/>
              </w:rPr>
              <w:t> </w:t>
            </w:r>
            <w:r>
              <w:rPr>
                <w:sz w:val="20"/>
              </w:rPr>
              <w:t>de</w:t>
            </w:r>
            <w:r>
              <w:rPr>
                <w:spacing w:val="-5"/>
                <w:sz w:val="20"/>
              </w:rPr>
              <w:t> </w:t>
            </w:r>
            <w:r>
              <w:rPr>
                <w:sz w:val="20"/>
              </w:rPr>
              <w:t>la</w:t>
            </w:r>
            <w:r>
              <w:rPr>
                <w:spacing w:val="-6"/>
                <w:sz w:val="20"/>
              </w:rPr>
              <w:t> </w:t>
            </w:r>
            <w:r>
              <w:rPr>
                <w:sz w:val="20"/>
              </w:rPr>
              <w:t>transferencia</w:t>
            </w:r>
            <w:r>
              <w:rPr>
                <w:spacing w:val="-6"/>
                <w:sz w:val="20"/>
              </w:rPr>
              <w:t> </w:t>
            </w:r>
            <w:r>
              <w:rPr>
                <w:sz w:val="20"/>
              </w:rPr>
              <w:t>monetaria</w:t>
            </w:r>
            <w:r>
              <w:rPr>
                <w:spacing w:val="-6"/>
                <w:sz w:val="20"/>
              </w:rPr>
              <w:t> </w:t>
            </w:r>
            <w:r>
              <w:rPr>
                <w:sz w:val="20"/>
              </w:rPr>
              <w:t>condicionada,</w:t>
            </w:r>
            <w:r>
              <w:rPr>
                <w:spacing w:val="-4"/>
                <w:sz w:val="20"/>
              </w:rPr>
              <w:t> </w:t>
            </w:r>
            <w:r>
              <w:rPr>
                <w:sz w:val="20"/>
              </w:rPr>
              <w:t>como</w:t>
            </w:r>
            <w:r>
              <w:rPr>
                <w:spacing w:val="-6"/>
                <w:sz w:val="20"/>
              </w:rPr>
              <w:t> </w:t>
            </w:r>
            <w:r>
              <w:rPr>
                <w:sz w:val="20"/>
              </w:rPr>
              <w:t>lo</w:t>
            </w:r>
            <w:r>
              <w:rPr>
                <w:spacing w:val="-6"/>
                <w:sz w:val="20"/>
              </w:rPr>
              <w:t> </w:t>
            </w:r>
            <w:r>
              <w:rPr>
                <w:sz w:val="20"/>
              </w:rPr>
              <w:t>es</w:t>
            </w:r>
            <w:r>
              <w:rPr>
                <w:spacing w:val="-3"/>
                <w:sz w:val="20"/>
              </w:rPr>
              <w:t> </w:t>
            </w:r>
            <w:r>
              <w:rPr>
                <w:sz w:val="20"/>
              </w:rPr>
              <w:t>la implementación de criterios de priorización, entre otros aspectos.</w:t>
            </w: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56"/>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460" w:hRule="atLeast"/>
        </w:trPr>
        <w:tc>
          <w:tcPr>
            <w:tcW w:w="2835" w:type="dxa"/>
            <w:shd w:val="clear" w:color="auto" w:fill="DCE6F0"/>
          </w:tcPr>
          <w:p>
            <w:pPr>
              <w:pStyle w:val="TableParagraph"/>
              <w:spacing w:before="114"/>
              <w:ind w:left="67"/>
              <w:rPr>
                <w:b/>
                <w:sz w:val="20"/>
              </w:rPr>
            </w:pPr>
            <w:r>
              <w:rPr>
                <w:b/>
                <w:sz w:val="20"/>
              </w:rPr>
              <w:t>PPPS</w:t>
            </w:r>
            <w:r>
              <w:rPr>
                <w:b/>
                <w:spacing w:val="-6"/>
                <w:sz w:val="20"/>
              </w:rPr>
              <w:t> </w:t>
            </w:r>
            <w:r>
              <w:rPr>
                <w:b/>
                <w:spacing w:val="-2"/>
                <w:sz w:val="20"/>
              </w:rPr>
              <w:t>1.2.2:</w:t>
            </w:r>
          </w:p>
        </w:tc>
        <w:tc>
          <w:tcPr>
            <w:tcW w:w="7514" w:type="dxa"/>
          </w:tcPr>
          <w:p>
            <w:pPr>
              <w:pStyle w:val="TableParagraph"/>
              <w:spacing w:line="230" w:lineRule="exact"/>
              <w:ind w:left="69"/>
              <w:rPr>
                <w:sz w:val="20"/>
              </w:rPr>
            </w:pPr>
            <w:r>
              <w:rPr>
                <w:sz w:val="20"/>
              </w:rPr>
              <w:t>Nombre</w:t>
            </w:r>
            <w:r>
              <w:rPr>
                <w:spacing w:val="-3"/>
                <w:sz w:val="20"/>
              </w:rPr>
              <w:t> </w:t>
            </w:r>
            <w:r>
              <w:rPr>
                <w:sz w:val="20"/>
              </w:rPr>
              <w:t>del</w:t>
            </w:r>
            <w:r>
              <w:rPr>
                <w:spacing w:val="-6"/>
                <w:sz w:val="20"/>
              </w:rPr>
              <w:t> </w:t>
            </w:r>
            <w:r>
              <w:rPr>
                <w:sz w:val="20"/>
              </w:rPr>
              <w:t>Indicador:</w:t>
            </w:r>
            <w:r>
              <w:rPr>
                <w:spacing w:val="-5"/>
                <w:sz w:val="20"/>
              </w:rPr>
              <w:t> </w:t>
            </w:r>
            <w:r>
              <w:rPr>
                <w:sz w:val="20"/>
              </w:rPr>
              <w:t>Cantidad</w:t>
            </w:r>
            <w:r>
              <w:rPr>
                <w:spacing w:val="-5"/>
                <w:sz w:val="20"/>
              </w:rPr>
              <w:t> </w:t>
            </w:r>
            <w:r>
              <w:rPr>
                <w:sz w:val="20"/>
              </w:rPr>
              <w:t>de</w:t>
            </w:r>
            <w:r>
              <w:rPr>
                <w:spacing w:val="-3"/>
                <w:sz w:val="20"/>
              </w:rPr>
              <w:t> </w:t>
            </w:r>
            <w:r>
              <w:rPr>
                <w:sz w:val="20"/>
              </w:rPr>
              <w:t>personas</w:t>
            </w:r>
            <w:r>
              <w:rPr>
                <w:spacing w:val="-4"/>
                <w:sz w:val="20"/>
              </w:rPr>
              <w:t> </w:t>
            </w:r>
            <w:r>
              <w:rPr>
                <w:sz w:val="20"/>
              </w:rPr>
              <w:t>que</w:t>
            </w:r>
            <w:r>
              <w:rPr>
                <w:spacing w:val="-5"/>
                <w:sz w:val="20"/>
              </w:rPr>
              <w:t> </w:t>
            </w:r>
            <w:r>
              <w:rPr>
                <w:sz w:val="20"/>
              </w:rPr>
              <w:t>reciben</w:t>
            </w:r>
            <w:r>
              <w:rPr>
                <w:spacing w:val="-6"/>
                <w:sz w:val="20"/>
              </w:rPr>
              <w:t> </w:t>
            </w:r>
            <w:r>
              <w:rPr>
                <w:sz w:val="20"/>
              </w:rPr>
              <w:t>el</w:t>
            </w:r>
            <w:r>
              <w:rPr>
                <w:spacing w:val="-6"/>
                <w:sz w:val="20"/>
              </w:rPr>
              <w:t> </w:t>
            </w:r>
            <w:r>
              <w:rPr>
                <w:sz w:val="20"/>
              </w:rPr>
              <w:t>subsidio</w:t>
            </w:r>
            <w:r>
              <w:rPr>
                <w:spacing w:val="-5"/>
                <w:sz w:val="20"/>
              </w:rPr>
              <w:t> </w:t>
            </w:r>
            <w:r>
              <w:rPr>
                <w:sz w:val="20"/>
              </w:rPr>
              <w:t>de</w:t>
            </w:r>
            <w:r>
              <w:rPr>
                <w:spacing w:val="-3"/>
                <w:sz w:val="20"/>
              </w:rPr>
              <w:t> </w:t>
            </w:r>
            <w:r>
              <w:rPr>
                <w:sz w:val="20"/>
              </w:rPr>
              <w:t>procesos </w:t>
            </w:r>
            <w:r>
              <w:rPr>
                <w:spacing w:val="-2"/>
                <w:sz w:val="20"/>
              </w:rPr>
              <w:t>formativos.</w:t>
            </w:r>
          </w:p>
        </w:tc>
      </w:tr>
      <w:tr>
        <w:trPr>
          <w:trHeight w:val="313" w:hRule="atLeast"/>
        </w:trPr>
        <w:tc>
          <w:tcPr>
            <w:tcW w:w="2835" w:type="dxa"/>
            <w:shd w:val="clear" w:color="auto" w:fill="DCE6F0"/>
          </w:tcPr>
          <w:p>
            <w:pPr>
              <w:pStyle w:val="TableParagraph"/>
              <w:spacing w:before="40"/>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before="40"/>
              <w:ind w:left="69"/>
              <w:rPr>
                <w:sz w:val="20"/>
              </w:rPr>
            </w:pPr>
            <w:r>
              <w:rPr>
                <w:sz w:val="20"/>
              </w:rPr>
              <w:t>Sumatoria</w:t>
            </w:r>
            <w:r>
              <w:rPr>
                <w:spacing w:val="-8"/>
                <w:sz w:val="20"/>
              </w:rPr>
              <w:t> </w:t>
            </w:r>
            <w:r>
              <w:rPr>
                <w:sz w:val="20"/>
              </w:rPr>
              <w:t>de</w:t>
            </w:r>
            <w:r>
              <w:rPr>
                <w:spacing w:val="-7"/>
                <w:sz w:val="20"/>
              </w:rPr>
              <w:t> </w:t>
            </w:r>
            <w:r>
              <w:rPr>
                <w:sz w:val="20"/>
              </w:rPr>
              <w:t>personas</w:t>
            </w:r>
            <w:r>
              <w:rPr>
                <w:spacing w:val="-6"/>
                <w:sz w:val="20"/>
              </w:rPr>
              <w:t> </w:t>
            </w:r>
            <w:r>
              <w:rPr>
                <w:sz w:val="20"/>
              </w:rPr>
              <w:t>que</w:t>
            </w:r>
            <w:r>
              <w:rPr>
                <w:spacing w:val="-7"/>
                <w:sz w:val="20"/>
              </w:rPr>
              <w:t> </w:t>
            </w:r>
            <w:r>
              <w:rPr>
                <w:sz w:val="20"/>
              </w:rPr>
              <w:t>reciben</w:t>
            </w:r>
            <w:r>
              <w:rPr>
                <w:spacing w:val="-7"/>
                <w:sz w:val="20"/>
              </w:rPr>
              <w:t> </w:t>
            </w:r>
            <w:r>
              <w:rPr>
                <w:sz w:val="20"/>
              </w:rPr>
              <w:t>subsidios</w:t>
            </w:r>
            <w:r>
              <w:rPr>
                <w:spacing w:val="-7"/>
                <w:sz w:val="20"/>
              </w:rPr>
              <w:t> </w:t>
            </w:r>
            <w:r>
              <w:rPr>
                <w:sz w:val="20"/>
              </w:rPr>
              <w:t>del</w:t>
            </w:r>
            <w:r>
              <w:rPr>
                <w:spacing w:val="-6"/>
                <w:sz w:val="20"/>
              </w:rPr>
              <w:t> </w:t>
            </w:r>
            <w:r>
              <w:rPr>
                <w:sz w:val="20"/>
              </w:rPr>
              <w:t>Procesos</w:t>
            </w:r>
            <w:r>
              <w:rPr>
                <w:spacing w:val="-6"/>
                <w:sz w:val="20"/>
              </w:rPr>
              <w:t> </w:t>
            </w:r>
            <w:r>
              <w:rPr>
                <w:spacing w:val="-2"/>
                <w:sz w:val="20"/>
              </w:rPr>
              <w:t>Formativos.</w:t>
            </w:r>
          </w:p>
        </w:tc>
      </w:tr>
      <w:tr>
        <w:trPr>
          <w:trHeight w:val="313" w:hRule="atLeast"/>
        </w:trPr>
        <w:tc>
          <w:tcPr>
            <w:tcW w:w="2835" w:type="dxa"/>
            <w:shd w:val="clear" w:color="auto" w:fill="DCE6F0"/>
          </w:tcPr>
          <w:p>
            <w:pPr>
              <w:pStyle w:val="TableParagraph"/>
              <w:spacing w:before="42"/>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42"/>
              <w:ind w:left="69"/>
              <w:rPr>
                <w:sz w:val="20"/>
              </w:rPr>
            </w:pPr>
            <w:r>
              <w:rPr>
                <w:spacing w:val="-2"/>
                <w:sz w:val="20"/>
              </w:rPr>
              <w:t>Cantidad</w:t>
            </w:r>
          </w:p>
        </w:tc>
      </w:tr>
      <w:tr>
        <w:trPr>
          <w:trHeight w:val="1152" w:hRule="atLeast"/>
        </w:trPr>
        <w:tc>
          <w:tcPr>
            <w:tcW w:w="2835" w:type="dxa"/>
            <w:shd w:val="clear" w:color="auto" w:fill="DCE6F0"/>
          </w:tcPr>
          <w:p>
            <w:pPr>
              <w:pStyle w:val="TableParagraph"/>
              <w:rPr>
                <w:b/>
                <w:sz w:val="20"/>
              </w:rPr>
            </w:pPr>
          </w:p>
          <w:p>
            <w:pPr>
              <w:pStyle w:val="TableParagraph"/>
              <w:rPr>
                <w:b/>
                <w:sz w:val="20"/>
              </w:rPr>
            </w:pPr>
          </w:p>
          <w:p>
            <w:pPr>
              <w:pStyle w:val="TableParagraph"/>
              <w:ind w:left="67"/>
              <w:rPr>
                <w:b/>
                <w:sz w:val="20"/>
              </w:rPr>
            </w:pPr>
            <w:r>
              <w:rPr>
                <w:b/>
                <w:spacing w:val="-2"/>
                <w:sz w:val="20"/>
              </w:rPr>
              <w:t>Interpretación:</w:t>
            </w:r>
          </w:p>
        </w:tc>
        <w:tc>
          <w:tcPr>
            <w:tcW w:w="7514" w:type="dxa"/>
          </w:tcPr>
          <w:p>
            <w:pPr>
              <w:pStyle w:val="TableParagraph"/>
              <w:ind w:left="69"/>
              <w:rPr>
                <w:sz w:val="20"/>
              </w:rPr>
            </w:pPr>
            <w:r>
              <w:rPr>
                <w:sz w:val="20"/>
              </w:rPr>
              <w:t>La</w:t>
            </w:r>
            <w:r>
              <w:rPr>
                <w:spacing w:val="-6"/>
                <w:sz w:val="20"/>
              </w:rPr>
              <w:t> </w:t>
            </w:r>
            <w:r>
              <w:rPr>
                <w:sz w:val="20"/>
              </w:rPr>
              <w:t>cantidad</w:t>
            </w:r>
            <w:r>
              <w:rPr>
                <w:spacing w:val="-6"/>
                <w:sz w:val="20"/>
              </w:rPr>
              <w:t> </w:t>
            </w:r>
            <w:r>
              <w:rPr>
                <w:sz w:val="20"/>
              </w:rPr>
              <w:t>de</w:t>
            </w:r>
            <w:r>
              <w:rPr>
                <w:spacing w:val="-5"/>
                <w:sz w:val="20"/>
              </w:rPr>
              <w:t> </w:t>
            </w:r>
            <w:r>
              <w:rPr>
                <w:sz w:val="20"/>
              </w:rPr>
              <w:t>personas</w:t>
            </w:r>
            <w:r>
              <w:rPr>
                <w:spacing w:val="-4"/>
                <w:sz w:val="20"/>
              </w:rPr>
              <w:t> </w:t>
            </w:r>
            <w:r>
              <w:rPr>
                <w:sz w:val="20"/>
              </w:rPr>
              <w:t>con</w:t>
            </w:r>
            <w:r>
              <w:rPr>
                <w:spacing w:val="-6"/>
                <w:sz w:val="20"/>
              </w:rPr>
              <w:t> </w:t>
            </w:r>
            <w:r>
              <w:rPr>
                <w:sz w:val="20"/>
              </w:rPr>
              <w:t>subsidios</w:t>
            </w:r>
            <w:r>
              <w:rPr>
                <w:spacing w:val="-4"/>
                <w:sz w:val="20"/>
              </w:rPr>
              <w:t> </w:t>
            </w:r>
            <w:r>
              <w:rPr>
                <w:sz w:val="20"/>
              </w:rPr>
              <w:t>de</w:t>
            </w:r>
            <w:r>
              <w:rPr>
                <w:spacing w:val="-4"/>
                <w:sz w:val="20"/>
              </w:rPr>
              <w:t> </w:t>
            </w:r>
            <w:r>
              <w:rPr>
                <w:sz w:val="20"/>
              </w:rPr>
              <w:t>Procesos</w:t>
            </w:r>
            <w:r>
              <w:rPr>
                <w:spacing w:val="-2"/>
                <w:sz w:val="20"/>
              </w:rPr>
              <w:t> </w:t>
            </w:r>
            <w:r>
              <w:rPr>
                <w:sz w:val="20"/>
              </w:rPr>
              <w:t>Formativos,</w:t>
            </w:r>
            <w:r>
              <w:rPr>
                <w:spacing w:val="-3"/>
                <w:sz w:val="20"/>
              </w:rPr>
              <w:t> </w:t>
            </w:r>
            <w:r>
              <w:rPr>
                <w:sz w:val="20"/>
              </w:rPr>
              <w:t>en</w:t>
            </w:r>
            <w:r>
              <w:rPr>
                <w:spacing w:val="-6"/>
                <w:sz w:val="20"/>
              </w:rPr>
              <w:t> </w:t>
            </w:r>
            <w:r>
              <w:rPr>
                <w:sz w:val="20"/>
              </w:rPr>
              <w:t>“X”</w:t>
            </w:r>
            <w:r>
              <w:rPr>
                <w:spacing w:val="-4"/>
                <w:sz w:val="20"/>
              </w:rPr>
              <w:t> </w:t>
            </w:r>
            <w:r>
              <w:rPr>
                <w:sz w:val="20"/>
              </w:rPr>
              <w:t>período</w:t>
            </w:r>
            <w:r>
              <w:rPr>
                <w:spacing w:val="-3"/>
                <w:sz w:val="20"/>
              </w:rPr>
              <w:t> </w:t>
            </w:r>
            <w:r>
              <w:rPr>
                <w:sz w:val="20"/>
              </w:rPr>
              <w:t>es de “Y”.</w:t>
            </w:r>
          </w:p>
          <w:p>
            <w:pPr>
              <w:pStyle w:val="TableParagraph"/>
              <w:spacing w:line="230" w:lineRule="exact"/>
              <w:ind w:left="69" w:right="92"/>
              <w:rPr>
                <w:sz w:val="20"/>
              </w:rPr>
            </w:pPr>
            <w:r>
              <w:rPr>
                <w:sz w:val="20"/>
              </w:rPr>
              <w:t>En</w:t>
            </w:r>
            <w:r>
              <w:rPr>
                <w:spacing w:val="-4"/>
                <w:sz w:val="20"/>
              </w:rPr>
              <w:t> </w:t>
            </w:r>
            <w:r>
              <w:rPr>
                <w:sz w:val="20"/>
              </w:rPr>
              <w:t>esta</w:t>
            </w:r>
            <w:r>
              <w:rPr>
                <w:spacing w:val="-4"/>
                <w:sz w:val="20"/>
              </w:rPr>
              <w:t> </w:t>
            </w:r>
            <w:r>
              <w:rPr>
                <w:sz w:val="20"/>
              </w:rPr>
              <w:t>“X”</w:t>
            </w:r>
            <w:r>
              <w:rPr>
                <w:spacing w:val="-3"/>
                <w:sz w:val="20"/>
              </w:rPr>
              <w:t> </w:t>
            </w:r>
            <w:r>
              <w:rPr>
                <w:sz w:val="20"/>
              </w:rPr>
              <w:t>representa</w:t>
            </w:r>
            <w:r>
              <w:rPr>
                <w:spacing w:val="-2"/>
                <w:sz w:val="20"/>
              </w:rPr>
              <w:t> </w:t>
            </w:r>
            <w:r>
              <w:rPr>
                <w:sz w:val="20"/>
              </w:rPr>
              <w:t>el</w:t>
            </w:r>
            <w:r>
              <w:rPr>
                <w:spacing w:val="-3"/>
                <w:sz w:val="20"/>
              </w:rPr>
              <w:t> </w:t>
            </w:r>
            <w:r>
              <w:rPr>
                <w:sz w:val="20"/>
              </w:rPr>
              <w:t>período</w:t>
            </w:r>
            <w:r>
              <w:rPr>
                <w:spacing w:val="-3"/>
                <w:sz w:val="20"/>
              </w:rPr>
              <w:t> </w:t>
            </w:r>
            <w:r>
              <w:rPr>
                <w:sz w:val="20"/>
              </w:rPr>
              <w:t>de</w:t>
            </w:r>
            <w:r>
              <w:rPr>
                <w:spacing w:val="-5"/>
                <w:sz w:val="20"/>
              </w:rPr>
              <w:t> </w:t>
            </w:r>
            <w:r>
              <w:rPr>
                <w:sz w:val="20"/>
              </w:rPr>
              <w:t>tiempo</w:t>
            </w:r>
            <w:r>
              <w:rPr>
                <w:spacing w:val="-2"/>
                <w:sz w:val="20"/>
              </w:rPr>
              <w:t> </w:t>
            </w:r>
            <w:r>
              <w:rPr>
                <w:sz w:val="20"/>
              </w:rPr>
              <w:t>según</w:t>
            </w:r>
            <w:r>
              <w:rPr>
                <w:spacing w:val="-4"/>
                <w:sz w:val="20"/>
              </w:rPr>
              <w:t> </w:t>
            </w:r>
            <w:r>
              <w:rPr>
                <w:sz w:val="20"/>
              </w:rPr>
              <w:t>la</w:t>
            </w:r>
            <w:r>
              <w:rPr>
                <w:spacing w:val="-4"/>
                <w:sz w:val="20"/>
              </w:rPr>
              <w:t> </w:t>
            </w:r>
            <w:r>
              <w:rPr>
                <w:sz w:val="20"/>
              </w:rPr>
              <w:t>frecuencia</w:t>
            </w:r>
            <w:r>
              <w:rPr>
                <w:spacing w:val="-2"/>
                <w:sz w:val="20"/>
              </w:rPr>
              <w:t> </w:t>
            </w:r>
            <w:r>
              <w:rPr>
                <w:sz w:val="20"/>
              </w:rPr>
              <w:t>de</w:t>
            </w:r>
            <w:r>
              <w:rPr>
                <w:spacing w:val="-3"/>
                <w:sz w:val="20"/>
              </w:rPr>
              <w:t> </w:t>
            </w:r>
            <w:r>
              <w:rPr>
                <w:sz w:val="20"/>
              </w:rPr>
              <w:t>medición,</w:t>
            </w:r>
            <w:r>
              <w:rPr>
                <w:spacing w:val="-4"/>
                <w:sz w:val="20"/>
              </w:rPr>
              <w:t> </w:t>
            </w:r>
            <w:r>
              <w:rPr>
                <w:sz w:val="20"/>
              </w:rPr>
              <w:t>y</w:t>
            </w:r>
            <w:r>
              <w:rPr>
                <w:spacing w:val="-3"/>
                <w:sz w:val="20"/>
              </w:rPr>
              <w:t> </w:t>
            </w:r>
            <w:r>
              <w:rPr>
                <w:sz w:val="20"/>
              </w:rPr>
              <w:t>“Y” significa la meta alcanzada a ese momento según la unidad de medida </w:t>
            </w:r>
            <w:r>
              <w:rPr>
                <w:spacing w:val="-2"/>
                <w:sz w:val="20"/>
              </w:rPr>
              <w:t>establecida.</w:t>
            </w:r>
          </w:p>
        </w:tc>
      </w:tr>
      <w:tr>
        <w:trPr>
          <w:trHeight w:val="364" w:hRule="atLeast"/>
        </w:trPr>
        <w:tc>
          <w:tcPr>
            <w:tcW w:w="2835" w:type="dxa"/>
            <w:shd w:val="clear" w:color="auto" w:fill="DCE6F0"/>
          </w:tcPr>
          <w:p>
            <w:pPr>
              <w:pStyle w:val="TableParagraph"/>
              <w:spacing w:before="66"/>
              <w:ind w:left="67"/>
              <w:rPr>
                <w:b/>
                <w:sz w:val="20"/>
              </w:rPr>
            </w:pPr>
            <w:r>
              <w:rPr>
                <w:b/>
                <w:spacing w:val="-2"/>
                <w:sz w:val="20"/>
              </w:rPr>
              <w:t>Desagregación</w:t>
            </w:r>
          </w:p>
        </w:tc>
        <w:tc>
          <w:tcPr>
            <w:tcW w:w="7514" w:type="dxa"/>
          </w:tcPr>
          <w:p>
            <w:pPr>
              <w:pStyle w:val="TableParagraph"/>
              <w:spacing w:before="66"/>
              <w:ind w:left="69"/>
              <w:rPr>
                <w:sz w:val="20"/>
              </w:rPr>
            </w:pPr>
            <w:r>
              <w:rPr>
                <w:sz w:val="20"/>
              </w:rPr>
              <w:t>No</w:t>
            </w:r>
            <w:r>
              <w:rPr>
                <w:spacing w:val="-5"/>
                <w:sz w:val="20"/>
              </w:rPr>
              <w:t> </w:t>
            </w:r>
            <w:r>
              <w:rPr>
                <w:spacing w:val="-2"/>
                <w:sz w:val="20"/>
              </w:rPr>
              <w:t>aplica.</w:t>
            </w:r>
          </w:p>
        </w:tc>
      </w:tr>
      <w:tr>
        <w:trPr>
          <w:trHeight w:val="316" w:hRule="atLeast"/>
        </w:trPr>
        <w:tc>
          <w:tcPr>
            <w:tcW w:w="2835" w:type="dxa"/>
            <w:shd w:val="clear" w:color="auto" w:fill="DCE6F0"/>
          </w:tcPr>
          <w:p>
            <w:pPr>
              <w:pStyle w:val="TableParagraph"/>
              <w:spacing w:before="42"/>
              <w:ind w:left="67"/>
              <w:rPr>
                <w:b/>
                <w:sz w:val="20"/>
              </w:rPr>
            </w:pPr>
            <w:r>
              <w:rPr>
                <w:b/>
                <w:spacing w:val="-2"/>
                <w:sz w:val="20"/>
              </w:rPr>
              <w:t>Meta:</w:t>
            </w:r>
          </w:p>
        </w:tc>
        <w:tc>
          <w:tcPr>
            <w:tcW w:w="7514" w:type="dxa"/>
          </w:tcPr>
          <w:p>
            <w:pPr>
              <w:pStyle w:val="TableParagraph"/>
              <w:spacing w:before="42"/>
              <w:ind w:left="69"/>
              <w:rPr>
                <w:sz w:val="20"/>
              </w:rPr>
            </w:pPr>
            <w:r>
              <w:rPr>
                <w:sz w:val="20"/>
              </w:rPr>
              <w:t>11</w:t>
            </w:r>
            <w:r>
              <w:rPr>
                <w:spacing w:val="-6"/>
                <w:sz w:val="20"/>
              </w:rPr>
              <w:t> </w:t>
            </w:r>
            <w:r>
              <w:rPr>
                <w:spacing w:val="-5"/>
                <w:sz w:val="20"/>
              </w:rPr>
              <w:t>373</w:t>
            </w:r>
          </w:p>
        </w:tc>
      </w:tr>
      <w:tr>
        <w:trPr>
          <w:trHeight w:val="313" w:hRule="atLeast"/>
        </w:trPr>
        <w:tc>
          <w:tcPr>
            <w:tcW w:w="2835" w:type="dxa"/>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7514" w:type="dxa"/>
          </w:tcPr>
          <w:p>
            <w:pPr>
              <w:pStyle w:val="TableParagraph"/>
              <w:spacing w:before="42"/>
              <w:ind w:left="69"/>
              <w:rPr>
                <w:sz w:val="20"/>
              </w:rPr>
            </w:pPr>
            <w:r>
              <w:rPr>
                <w:sz w:val="20"/>
              </w:rPr>
              <w:t>10</w:t>
            </w:r>
            <w:r>
              <w:rPr>
                <w:spacing w:val="-6"/>
                <w:sz w:val="20"/>
              </w:rPr>
              <w:t> </w:t>
            </w:r>
            <w:r>
              <w:rPr>
                <w:spacing w:val="-5"/>
                <w:sz w:val="20"/>
              </w:rPr>
              <w:t>960</w:t>
            </w:r>
          </w:p>
        </w:tc>
      </w:tr>
      <w:tr>
        <w:trPr>
          <w:trHeight w:val="630" w:hRule="atLeast"/>
        </w:trPr>
        <w:tc>
          <w:tcPr>
            <w:tcW w:w="2835" w:type="dxa"/>
            <w:shd w:val="clear" w:color="auto" w:fill="DCE6F0"/>
          </w:tcPr>
          <w:p>
            <w:pPr>
              <w:pStyle w:val="TableParagraph"/>
              <w:spacing w:before="8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201"/>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835" w:type="dxa"/>
            <w:shd w:val="clear" w:color="auto" w:fill="DCE6F0"/>
          </w:tcPr>
          <w:p>
            <w:pPr>
              <w:pStyle w:val="TableParagraph"/>
              <w:spacing w:before="11"/>
              <w:rPr>
                <w:b/>
                <w:sz w:val="20"/>
              </w:rPr>
            </w:pPr>
          </w:p>
          <w:p>
            <w:pPr>
              <w:pStyle w:val="TableParagraph"/>
              <w:spacing w:before="1"/>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11"/>
              <w:rPr>
                <w:b/>
                <w:sz w:val="20"/>
              </w:rPr>
            </w:pPr>
          </w:p>
          <w:p>
            <w:pPr>
              <w:pStyle w:val="TableParagraph"/>
              <w:spacing w:before="1"/>
              <w:ind w:left="69"/>
              <w:rPr>
                <w:sz w:val="20"/>
              </w:rPr>
            </w:pPr>
            <w:r>
              <w:rPr>
                <w:sz w:val="20"/>
              </w:rPr>
              <w:t>Nombre</w:t>
            </w:r>
            <w:r>
              <w:rPr>
                <w:spacing w:val="-7"/>
                <w:sz w:val="20"/>
              </w:rPr>
              <w:t> </w:t>
            </w:r>
            <w:r>
              <w:rPr>
                <w:sz w:val="20"/>
              </w:rPr>
              <w:t>del</w:t>
            </w:r>
            <w:r>
              <w:rPr>
                <w:spacing w:val="-10"/>
                <w:sz w:val="20"/>
              </w:rPr>
              <w:t> </w:t>
            </w:r>
            <w:r>
              <w:rPr>
                <w:sz w:val="20"/>
              </w:rPr>
              <w:t>funcionario:</w:t>
            </w:r>
            <w:r>
              <w:rPr>
                <w:spacing w:val="-8"/>
                <w:sz w:val="20"/>
              </w:rPr>
              <w:t> </w:t>
            </w:r>
            <w:r>
              <w:rPr>
                <w:sz w:val="20"/>
              </w:rPr>
              <w:t>Grettel</w:t>
            </w:r>
            <w:r>
              <w:rPr>
                <w:spacing w:val="-9"/>
                <w:sz w:val="20"/>
              </w:rPr>
              <w:t> </w:t>
            </w:r>
            <w:r>
              <w:rPr>
                <w:sz w:val="20"/>
              </w:rPr>
              <w:t>López</w:t>
            </w:r>
            <w:r>
              <w:rPr>
                <w:spacing w:val="-8"/>
                <w:sz w:val="20"/>
              </w:rPr>
              <w:t> </w:t>
            </w:r>
            <w:r>
              <w:rPr>
                <w:spacing w:val="-2"/>
                <w:sz w:val="20"/>
              </w:rPr>
              <w:t>Rodríguez</w:t>
            </w:r>
          </w:p>
          <w:p>
            <w:pPr>
              <w:pStyle w:val="TableParagraph"/>
              <w:ind w:left="69"/>
              <w:rPr>
                <w:sz w:val="20"/>
              </w:rPr>
            </w:pPr>
            <w:r>
              <w:rPr>
                <w:sz w:val="20"/>
              </w:rPr>
              <w:t>Cargo:</w:t>
            </w:r>
            <w:r>
              <w:rPr>
                <w:spacing w:val="-11"/>
                <w:sz w:val="20"/>
              </w:rPr>
              <w:t> </w:t>
            </w:r>
            <w:r>
              <w:rPr>
                <w:sz w:val="20"/>
              </w:rPr>
              <w:t>Jefatura,</w:t>
            </w:r>
            <w:r>
              <w:rPr>
                <w:spacing w:val="-10"/>
                <w:sz w:val="20"/>
              </w:rPr>
              <w:t> </w:t>
            </w:r>
            <w:r>
              <w:rPr>
                <w:sz w:val="20"/>
              </w:rPr>
              <w:t>Departamento</w:t>
            </w:r>
            <w:r>
              <w:rPr>
                <w:spacing w:val="-8"/>
                <w:sz w:val="20"/>
              </w:rPr>
              <w:t> </w:t>
            </w:r>
            <w:r>
              <w:rPr>
                <w:sz w:val="20"/>
              </w:rPr>
              <w:t>de</w:t>
            </w:r>
            <w:r>
              <w:rPr>
                <w:spacing w:val="-11"/>
                <w:sz w:val="20"/>
              </w:rPr>
              <w:t> </w:t>
            </w:r>
            <w:r>
              <w:rPr>
                <w:sz w:val="20"/>
              </w:rPr>
              <w:t>Desarrollo</w:t>
            </w:r>
            <w:r>
              <w:rPr>
                <w:spacing w:val="-8"/>
                <w:sz w:val="20"/>
              </w:rPr>
              <w:t> </w:t>
            </w:r>
            <w:r>
              <w:rPr>
                <w:spacing w:val="-2"/>
                <w:sz w:val="20"/>
              </w:rPr>
              <w:t>Socioeducativo</w:t>
            </w:r>
          </w:p>
        </w:tc>
      </w:tr>
      <w:tr>
        <w:trPr>
          <w:trHeight w:val="945" w:hRule="atLeast"/>
        </w:trPr>
        <w:tc>
          <w:tcPr>
            <w:tcW w:w="2835" w:type="dxa"/>
            <w:shd w:val="clear" w:color="auto" w:fill="DCE6F0"/>
          </w:tcPr>
          <w:p>
            <w:pPr>
              <w:pStyle w:val="TableParagraph"/>
              <w:spacing w:before="11"/>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27"/>
              <w:rPr>
                <w:b/>
                <w:sz w:val="20"/>
              </w:rPr>
            </w:pPr>
          </w:p>
          <w:p>
            <w:pPr>
              <w:pStyle w:val="TableParagraph"/>
              <w:ind w:left="69"/>
              <w:rPr>
                <w:sz w:val="20"/>
              </w:rPr>
            </w:pPr>
            <w:r>
              <w:rPr>
                <w:sz w:val="20"/>
              </w:rPr>
              <w:t>Dirección</w:t>
            </w:r>
            <w:r>
              <w:rPr>
                <w:spacing w:val="-9"/>
                <w:sz w:val="20"/>
              </w:rPr>
              <w:t> </w:t>
            </w:r>
            <w:r>
              <w:rPr>
                <w:sz w:val="20"/>
              </w:rPr>
              <w:t>de</w:t>
            </w:r>
            <w:r>
              <w:rPr>
                <w:spacing w:val="-8"/>
                <w:sz w:val="20"/>
              </w:rPr>
              <w:t> </w:t>
            </w:r>
            <w:r>
              <w:rPr>
                <w:sz w:val="20"/>
              </w:rPr>
              <w:t>Desarrollo</w:t>
            </w:r>
            <w:r>
              <w:rPr>
                <w:spacing w:val="-8"/>
                <w:sz w:val="20"/>
              </w:rPr>
              <w:t> </w:t>
            </w:r>
            <w:r>
              <w:rPr>
                <w:sz w:val="20"/>
              </w:rPr>
              <w:t>Social,</w:t>
            </w:r>
            <w:r>
              <w:rPr>
                <w:spacing w:val="-9"/>
                <w:sz w:val="20"/>
              </w:rPr>
              <w:t> </w:t>
            </w:r>
            <w:r>
              <w:rPr>
                <w:sz w:val="20"/>
              </w:rPr>
              <w:t>Departamento</w:t>
            </w:r>
            <w:r>
              <w:rPr>
                <w:spacing w:val="-8"/>
                <w:sz w:val="20"/>
              </w:rPr>
              <w:t> </w:t>
            </w:r>
            <w:r>
              <w:rPr>
                <w:sz w:val="20"/>
              </w:rPr>
              <w:t>de</w:t>
            </w:r>
            <w:r>
              <w:rPr>
                <w:spacing w:val="-8"/>
                <w:sz w:val="20"/>
              </w:rPr>
              <w:t> </w:t>
            </w:r>
            <w:r>
              <w:rPr>
                <w:sz w:val="20"/>
              </w:rPr>
              <w:t>Desarrollo</w:t>
            </w:r>
            <w:r>
              <w:rPr>
                <w:spacing w:val="-10"/>
                <w:sz w:val="20"/>
              </w:rPr>
              <w:t> </w:t>
            </w:r>
            <w:r>
              <w:rPr>
                <w:spacing w:val="-2"/>
                <w:sz w:val="20"/>
              </w:rPr>
              <w:t>Socioeducativo</w:t>
            </w:r>
          </w:p>
        </w:tc>
      </w:tr>
      <w:tr>
        <w:trPr>
          <w:trHeight w:val="314" w:hRule="atLeast"/>
        </w:trPr>
        <w:tc>
          <w:tcPr>
            <w:tcW w:w="2835" w:type="dxa"/>
            <w:shd w:val="clear" w:color="auto" w:fill="DCE6F0"/>
          </w:tcPr>
          <w:p>
            <w:pPr>
              <w:pStyle w:val="TableParagraph"/>
              <w:spacing w:before="40"/>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40"/>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bl>
    <w:p>
      <w:pPr>
        <w:pStyle w:val="TableParagraph"/>
        <w:spacing w:after="0"/>
        <w:rPr>
          <w:sz w:val="20"/>
        </w:rPr>
        <w:sectPr>
          <w:type w:val="continuous"/>
          <w:pgSz w:w="12240" w:h="15840"/>
          <w:pgMar w:header="0" w:footer="2082" w:top="1400" w:bottom="2957"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600" w:hRule="atLeast"/>
        </w:trPr>
        <w:tc>
          <w:tcPr>
            <w:tcW w:w="2835" w:type="dxa"/>
            <w:tcBorders>
              <w:top w:val="nil"/>
            </w:tcBorders>
            <w:shd w:val="clear" w:color="auto" w:fill="DCE6F0"/>
          </w:tcPr>
          <w:p>
            <w:pPr>
              <w:pStyle w:val="TableParagraph"/>
              <w:spacing w:before="185"/>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Borders>
              <w:top w:val="nil"/>
            </w:tcBorders>
          </w:tcPr>
          <w:p>
            <w:pPr>
              <w:pStyle w:val="TableParagraph"/>
              <w:spacing w:before="69"/>
              <w:ind w:left="69"/>
              <w:rPr>
                <w:sz w:val="20"/>
              </w:rPr>
            </w:pPr>
            <w:r>
              <w:rPr>
                <w:sz w:val="20"/>
              </w:rPr>
              <w:t>Informes</w:t>
            </w:r>
            <w:r>
              <w:rPr>
                <w:spacing w:val="-5"/>
                <w:sz w:val="20"/>
              </w:rPr>
              <w:t> </w:t>
            </w:r>
            <w:r>
              <w:rPr>
                <w:sz w:val="20"/>
              </w:rPr>
              <w:t>del</w:t>
            </w:r>
            <w:r>
              <w:rPr>
                <w:spacing w:val="-6"/>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6"/>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899" w:hRule="atLeast"/>
        </w:trPr>
        <w:tc>
          <w:tcPr>
            <w:tcW w:w="2835" w:type="dxa"/>
            <w:shd w:val="clear" w:color="auto" w:fill="DCE6F0"/>
          </w:tcPr>
          <w:p>
            <w:pPr>
              <w:pStyle w:val="TableParagraph"/>
              <w:spacing w:before="103"/>
              <w:rPr>
                <w:b/>
                <w:sz w:val="20"/>
              </w:rPr>
            </w:pPr>
          </w:p>
          <w:p>
            <w:pPr>
              <w:pStyle w:val="TableParagraph"/>
              <w:ind w:left="67"/>
              <w:rPr>
                <w:b/>
                <w:sz w:val="20"/>
              </w:rPr>
            </w:pPr>
            <w:r>
              <w:rPr>
                <w:b/>
                <w:spacing w:val="-2"/>
                <w:sz w:val="20"/>
              </w:rPr>
              <w:t>Clasificación</w:t>
            </w:r>
          </w:p>
        </w:tc>
        <w:tc>
          <w:tcPr>
            <w:tcW w:w="7514" w:type="dxa"/>
          </w:tcPr>
          <w:p>
            <w:pPr>
              <w:pStyle w:val="TableParagraph"/>
              <w:spacing w:before="103"/>
              <w:rPr>
                <w:b/>
                <w:sz w:val="20"/>
              </w:rPr>
            </w:pPr>
          </w:p>
          <w:p>
            <w:pPr>
              <w:pStyle w:val="TableParagraph"/>
              <w:ind w:left="69"/>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5"/>
                <w:sz w:val="20"/>
              </w:rPr>
              <w:t> </w:t>
            </w:r>
            <w:r>
              <w:rPr>
                <w:sz w:val="20"/>
              </w:rPr>
              <w:t>Producto</w:t>
            </w:r>
            <w:r>
              <w:rPr>
                <w:spacing w:val="-8"/>
                <w:sz w:val="20"/>
              </w:rPr>
              <w:t> </w:t>
            </w:r>
            <w:r>
              <w:rPr>
                <w:spacing w:val="-5"/>
                <w:sz w:val="20"/>
              </w:rPr>
              <w:t>(X)</w:t>
            </w:r>
          </w:p>
        </w:tc>
      </w:tr>
      <w:tr>
        <w:trPr>
          <w:trHeight w:val="921" w:hRule="atLeast"/>
        </w:trPr>
        <w:tc>
          <w:tcPr>
            <w:tcW w:w="2835" w:type="dxa"/>
            <w:shd w:val="clear" w:color="auto" w:fill="DCE6F0"/>
          </w:tcPr>
          <w:p>
            <w:pPr>
              <w:pStyle w:val="TableParagraph"/>
              <w:spacing w:before="115"/>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ind w:left="69" w:right="83"/>
              <w:rPr>
                <w:sz w:val="20"/>
              </w:rPr>
            </w:pPr>
            <w:r>
              <w:rPr>
                <w:sz w:val="20"/>
              </w:rPr>
              <w:t>La cantidad de personas receptoras de Procesos Formativos deben incorporarse en</w:t>
            </w:r>
            <w:r>
              <w:rPr>
                <w:spacing w:val="-5"/>
                <w:sz w:val="20"/>
              </w:rPr>
              <w:t> </w:t>
            </w:r>
            <w:r>
              <w:rPr>
                <w:sz w:val="20"/>
              </w:rPr>
              <w:t>el</w:t>
            </w:r>
            <w:r>
              <w:rPr>
                <w:spacing w:val="-5"/>
                <w:sz w:val="20"/>
              </w:rPr>
              <w:t> </w:t>
            </w:r>
            <w:r>
              <w:rPr>
                <w:sz w:val="20"/>
              </w:rPr>
              <w:t>proceso</w:t>
            </w:r>
            <w:r>
              <w:rPr>
                <w:spacing w:val="-2"/>
                <w:sz w:val="20"/>
              </w:rPr>
              <w:t> </w:t>
            </w:r>
            <w:r>
              <w:rPr>
                <w:sz w:val="20"/>
              </w:rPr>
              <w:t>de</w:t>
            </w:r>
            <w:r>
              <w:rPr>
                <w:spacing w:val="-5"/>
                <w:sz w:val="20"/>
              </w:rPr>
              <w:t> </w:t>
            </w:r>
            <w:r>
              <w:rPr>
                <w:sz w:val="20"/>
              </w:rPr>
              <w:t>capacitación</w:t>
            </w:r>
            <w:r>
              <w:rPr>
                <w:spacing w:val="-5"/>
                <w:sz w:val="20"/>
              </w:rPr>
              <w:t> </w:t>
            </w:r>
            <w:r>
              <w:rPr>
                <w:sz w:val="20"/>
              </w:rPr>
              <w:t>brindado</w:t>
            </w:r>
            <w:r>
              <w:rPr>
                <w:spacing w:val="-2"/>
                <w:sz w:val="20"/>
              </w:rPr>
              <w:t> </w:t>
            </w:r>
            <w:r>
              <w:rPr>
                <w:sz w:val="20"/>
              </w:rPr>
              <w:t>por</w:t>
            </w:r>
            <w:r>
              <w:rPr>
                <w:spacing w:val="-3"/>
                <w:sz w:val="20"/>
              </w:rPr>
              <w:t> </w:t>
            </w:r>
            <w:r>
              <w:rPr>
                <w:sz w:val="20"/>
              </w:rPr>
              <w:t>el</w:t>
            </w:r>
            <w:r>
              <w:rPr>
                <w:spacing w:val="-5"/>
                <w:sz w:val="20"/>
              </w:rPr>
              <w:t> </w:t>
            </w:r>
            <w:r>
              <w:rPr>
                <w:sz w:val="20"/>
              </w:rPr>
              <w:t>INAMU;</w:t>
            </w:r>
            <w:r>
              <w:rPr>
                <w:spacing w:val="-2"/>
                <w:sz w:val="20"/>
              </w:rPr>
              <w:t> </w:t>
            </w:r>
            <w:r>
              <w:rPr>
                <w:sz w:val="20"/>
              </w:rPr>
              <w:t>por</w:t>
            </w:r>
            <w:r>
              <w:rPr>
                <w:spacing w:val="-3"/>
                <w:sz w:val="20"/>
              </w:rPr>
              <w:t> </w:t>
            </w:r>
            <w:r>
              <w:rPr>
                <w:sz w:val="20"/>
              </w:rPr>
              <w:t>lo</w:t>
            </w:r>
            <w:r>
              <w:rPr>
                <w:spacing w:val="-2"/>
                <w:sz w:val="20"/>
              </w:rPr>
              <w:t> </w:t>
            </w:r>
            <w:r>
              <w:rPr>
                <w:sz w:val="20"/>
              </w:rPr>
              <w:t>tanto,</w:t>
            </w:r>
            <w:r>
              <w:rPr>
                <w:spacing w:val="-2"/>
                <w:sz w:val="20"/>
              </w:rPr>
              <w:t> </w:t>
            </w:r>
            <w:r>
              <w:rPr>
                <w:sz w:val="20"/>
              </w:rPr>
              <w:t>el</w:t>
            </w:r>
            <w:r>
              <w:rPr>
                <w:spacing w:val="-5"/>
                <w:sz w:val="20"/>
              </w:rPr>
              <w:t> </w:t>
            </w:r>
            <w:r>
              <w:rPr>
                <w:sz w:val="20"/>
              </w:rPr>
              <w:t>IMAS</w:t>
            </w:r>
            <w:r>
              <w:rPr>
                <w:spacing w:val="-4"/>
                <w:sz w:val="20"/>
              </w:rPr>
              <w:t> </w:t>
            </w:r>
            <w:r>
              <w:rPr>
                <w:sz w:val="20"/>
              </w:rPr>
              <w:t>realiza</w:t>
            </w:r>
          </w:p>
          <w:p>
            <w:pPr>
              <w:pStyle w:val="TableParagraph"/>
              <w:spacing w:line="228" w:lineRule="exact"/>
              <w:ind w:left="69" w:right="170"/>
              <w:rPr>
                <w:sz w:val="20"/>
              </w:rPr>
            </w:pPr>
            <w:r>
              <w:rPr>
                <w:sz w:val="20"/>
              </w:rPr>
              <w:t>los</w:t>
            </w:r>
            <w:r>
              <w:rPr>
                <w:spacing w:val="-5"/>
                <w:sz w:val="20"/>
              </w:rPr>
              <w:t> </w:t>
            </w:r>
            <w:r>
              <w:rPr>
                <w:sz w:val="20"/>
              </w:rPr>
              <w:t>controles</w:t>
            </w:r>
            <w:r>
              <w:rPr>
                <w:spacing w:val="-5"/>
                <w:sz w:val="20"/>
              </w:rPr>
              <w:t> </w:t>
            </w:r>
            <w:r>
              <w:rPr>
                <w:sz w:val="20"/>
              </w:rPr>
              <w:t>y</w:t>
            </w:r>
            <w:r>
              <w:rPr>
                <w:spacing w:val="-5"/>
                <w:sz w:val="20"/>
              </w:rPr>
              <w:t> </w:t>
            </w:r>
            <w:r>
              <w:rPr>
                <w:sz w:val="20"/>
              </w:rPr>
              <w:t>seguimientos</w:t>
            </w:r>
            <w:r>
              <w:rPr>
                <w:spacing w:val="-5"/>
                <w:sz w:val="20"/>
              </w:rPr>
              <w:t> </w:t>
            </w:r>
            <w:r>
              <w:rPr>
                <w:sz w:val="20"/>
              </w:rPr>
              <w:t>respectivos.</w:t>
            </w:r>
            <w:r>
              <w:rPr>
                <w:spacing w:val="-6"/>
                <w:sz w:val="20"/>
              </w:rPr>
              <w:t> </w:t>
            </w:r>
            <w:r>
              <w:rPr>
                <w:sz w:val="20"/>
              </w:rPr>
              <w:t>Este</w:t>
            </w:r>
            <w:r>
              <w:rPr>
                <w:spacing w:val="-4"/>
                <w:sz w:val="20"/>
              </w:rPr>
              <w:t> </w:t>
            </w:r>
            <w:r>
              <w:rPr>
                <w:sz w:val="20"/>
              </w:rPr>
              <w:t>indicador</w:t>
            </w:r>
            <w:r>
              <w:rPr>
                <w:spacing w:val="-6"/>
                <w:sz w:val="20"/>
              </w:rPr>
              <w:t> </w:t>
            </w:r>
            <w:r>
              <w:rPr>
                <w:sz w:val="20"/>
              </w:rPr>
              <w:t>se</w:t>
            </w:r>
            <w:r>
              <w:rPr>
                <w:spacing w:val="-6"/>
                <w:sz w:val="20"/>
              </w:rPr>
              <w:t> </w:t>
            </w:r>
            <w:r>
              <w:rPr>
                <w:sz w:val="20"/>
              </w:rPr>
              <w:t>encuentra</w:t>
            </w:r>
            <w:r>
              <w:rPr>
                <w:spacing w:val="-6"/>
                <w:sz w:val="20"/>
              </w:rPr>
              <w:t> </w:t>
            </w:r>
            <w:r>
              <w:rPr>
                <w:sz w:val="20"/>
              </w:rPr>
              <w:t>vinculado con la PIEG-PLANOVI 1.1.3 / PIEG-PLANOVI 1.1.4.</w:t>
            </w: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57" w:after="1"/>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614" w:hRule="atLeast"/>
        </w:trPr>
        <w:tc>
          <w:tcPr>
            <w:tcW w:w="2835" w:type="dxa"/>
            <w:shd w:val="clear" w:color="auto" w:fill="DCE6F0"/>
          </w:tcPr>
          <w:p>
            <w:pPr>
              <w:pStyle w:val="TableParagraph"/>
              <w:spacing w:before="191"/>
              <w:ind w:left="67"/>
              <w:rPr>
                <w:b/>
                <w:sz w:val="20"/>
              </w:rPr>
            </w:pPr>
            <w:r>
              <w:rPr>
                <w:b/>
                <w:sz w:val="20"/>
              </w:rPr>
              <w:t>PPPS</w:t>
            </w:r>
            <w:r>
              <w:rPr>
                <w:b/>
                <w:spacing w:val="-6"/>
                <w:sz w:val="20"/>
              </w:rPr>
              <w:t> </w:t>
            </w:r>
            <w:r>
              <w:rPr>
                <w:b/>
                <w:spacing w:val="-2"/>
                <w:sz w:val="20"/>
              </w:rPr>
              <w:t>1.2.3:</w:t>
            </w:r>
          </w:p>
        </w:tc>
        <w:tc>
          <w:tcPr>
            <w:tcW w:w="7514" w:type="dxa"/>
          </w:tcPr>
          <w:p>
            <w:pPr>
              <w:pStyle w:val="TableParagraph"/>
              <w:spacing w:before="191"/>
              <w:ind w:left="69"/>
              <w:rPr>
                <w:sz w:val="20"/>
              </w:rPr>
            </w:pPr>
            <w:r>
              <w:rPr>
                <w:sz w:val="20"/>
              </w:rPr>
              <w:t>Nombre</w:t>
            </w:r>
            <w:r>
              <w:rPr>
                <w:spacing w:val="-7"/>
                <w:sz w:val="20"/>
              </w:rPr>
              <w:t> </w:t>
            </w:r>
            <w:r>
              <w:rPr>
                <w:sz w:val="20"/>
              </w:rPr>
              <w:t>del</w:t>
            </w:r>
            <w:r>
              <w:rPr>
                <w:spacing w:val="-8"/>
                <w:sz w:val="20"/>
              </w:rPr>
              <w:t> </w:t>
            </w:r>
            <w:r>
              <w:rPr>
                <w:sz w:val="20"/>
              </w:rPr>
              <w:t>Indicador:</w:t>
            </w:r>
            <w:r>
              <w:rPr>
                <w:spacing w:val="-8"/>
                <w:sz w:val="20"/>
              </w:rPr>
              <w:t> </w:t>
            </w:r>
            <w:r>
              <w:rPr>
                <w:sz w:val="20"/>
              </w:rPr>
              <w:t>Cantidad</w:t>
            </w:r>
            <w:r>
              <w:rPr>
                <w:spacing w:val="-8"/>
                <w:sz w:val="20"/>
              </w:rPr>
              <w:t> </w:t>
            </w:r>
            <w:r>
              <w:rPr>
                <w:sz w:val="20"/>
              </w:rPr>
              <w:t>de</w:t>
            </w:r>
            <w:r>
              <w:rPr>
                <w:spacing w:val="-6"/>
                <w:sz w:val="20"/>
              </w:rPr>
              <w:t> </w:t>
            </w:r>
            <w:r>
              <w:rPr>
                <w:sz w:val="20"/>
              </w:rPr>
              <w:t>personas</w:t>
            </w:r>
            <w:r>
              <w:rPr>
                <w:spacing w:val="-7"/>
                <w:sz w:val="20"/>
              </w:rPr>
              <w:t> </w:t>
            </w:r>
            <w:r>
              <w:rPr>
                <w:sz w:val="20"/>
              </w:rPr>
              <w:t>que</w:t>
            </w:r>
            <w:r>
              <w:rPr>
                <w:spacing w:val="-8"/>
                <w:sz w:val="20"/>
              </w:rPr>
              <w:t> </w:t>
            </w:r>
            <w:r>
              <w:rPr>
                <w:sz w:val="20"/>
              </w:rPr>
              <w:t>reciben</w:t>
            </w:r>
            <w:r>
              <w:rPr>
                <w:spacing w:val="-9"/>
                <w:sz w:val="20"/>
              </w:rPr>
              <w:t> </w:t>
            </w:r>
            <w:r>
              <w:rPr>
                <w:sz w:val="20"/>
              </w:rPr>
              <w:t>subsidio</w:t>
            </w:r>
            <w:r>
              <w:rPr>
                <w:spacing w:val="-8"/>
                <w:sz w:val="20"/>
              </w:rPr>
              <w:t> </w:t>
            </w:r>
            <w:r>
              <w:rPr>
                <w:sz w:val="20"/>
              </w:rPr>
              <w:t>de</w:t>
            </w:r>
            <w:r>
              <w:rPr>
                <w:spacing w:val="-6"/>
                <w:sz w:val="20"/>
              </w:rPr>
              <w:t> </w:t>
            </w:r>
            <w:r>
              <w:rPr>
                <w:spacing w:val="-2"/>
                <w:sz w:val="20"/>
              </w:rPr>
              <w:t>capacitación</w:t>
            </w:r>
          </w:p>
        </w:tc>
      </w:tr>
      <w:tr>
        <w:trPr>
          <w:trHeight w:val="299" w:hRule="atLeast"/>
        </w:trPr>
        <w:tc>
          <w:tcPr>
            <w:tcW w:w="2835" w:type="dxa"/>
            <w:shd w:val="clear" w:color="auto" w:fill="DCE6F0"/>
          </w:tcPr>
          <w:p>
            <w:pPr>
              <w:pStyle w:val="TableParagraph"/>
              <w:spacing w:before="35"/>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before="35"/>
              <w:ind w:left="69"/>
              <w:rPr>
                <w:sz w:val="20"/>
              </w:rPr>
            </w:pPr>
            <w:r>
              <w:rPr>
                <w:sz w:val="20"/>
              </w:rPr>
              <w:t>Sumatoria</w:t>
            </w:r>
            <w:r>
              <w:rPr>
                <w:spacing w:val="-7"/>
                <w:sz w:val="20"/>
              </w:rPr>
              <w:t> </w:t>
            </w:r>
            <w:r>
              <w:rPr>
                <w:sz w:val="20"/>
              </w:rPr>
              <w:t>de</w:t>
            </w:r>
            <w:r>
              <w:rPr>
                <w:spacing w:val="-6"/>
                <w:sz w:val="20"/>
              </w:rPr>
              <w:t> </w:t>
            </w:r>
            <w:r>
              <w:rPr>
                <w:sz w:val="20"/>
              </w:rPr>
              <w:t>personas</w:t>
            </w:r>
            <w:r>
              <w:rPr>
                <w:spacing w:val="-5"/>
                <w:sz w:val="20"/>
              </w:rPr>
              <w:t> </w:t>
            </w:r>
            <w:r>
              <w:rPr>
                <w:sz w:val="20"/>
              </w:rPr>
              <w:t>que</w:t>
            </w:r>
            <w:r>
              <w:rPr>
                <w:spacing w:val="-6"/>
                <w:sz w:val="20"/>
              </w:rPr>
              <w:t> </w:t>
            </w:r>
            <w:r>
              <w:rPr>
                <w:sz w:val="20"/>
              </w:rPr>
              <w:t>reciben</w:t>
            </w:r>
            <w:r>
              <w:rPr>
                <w:spacing w:val="-6"/>
                <w:sz w:val="20"/>
              </w:rPr>
              <w:t> </w:t>
            </w:r>
            <w:r>
              <w:rPr>
                <w:sz w:val="20"/>
              </w:rPr>
              <w:t>el</w:t>
            </w:r>
            <w:r>
              <w:rPr>
                <w:spacing w:val="-7"/>
                <w:sz w:val="20"/>
              </w:rPr>
              <w:t> </w:t>
            </w:r>
            <w:r>
              <w:rPr>
                <w:sz w:val="20"/>
              </w:rPr>
              <w:t>subsidio</w:t>
            </w:r>
            <w:r>
              <w:rPr>
                <w:spacing w:val="-6"/>
                <w:sz w:val="20"/>
              </w:rPr>
              <w:t> </w:t>
            </w:r>
            <w:r>
              <w:rPr>
                <w:sz w:val="20"/>
              </w:rPr>
              <w:t>de</w:t>
            </w:r>
            <w:r>
              <w:rPr>
                <w:spacing w:val="-6"/>
                <w:sz w:val="20"/>
              </w:rPr>
              <w:t> </w:t>
            </w:r>
            <w:r>
              <w:rPr>
                <w:spacing w:val="-2"/>
                <w:sz w:val="20"/>
              </w:rPr>
              <w:t>capacitación</w:t>
            </w:r>
          </w:p>
        </w:tc>
      </w:tr>
      <w:tr>
        <w:trPr>
          <w:trHeight w:val="299" w:hRule="atLeast"/>
        </w:trPr>
        <w:tc>
          <w:tcPr>
            <w:tcW w:w="2835" w:type="dxa"/>
            <w:shd w:val="clear" w:color="auto" w:fill="DCE6F0"/>
          </w:tcPr>
          <w:p>
            <w:pPr>
              <w:pStyle w:val="TableParagraph"/>
              <w:spacing w:before="35"/>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35"/>
              <w:ind w:left="69"/>
              <w:rPr>
                <w:sz w:val="20"/>
              </w:rPr>
            </w:pPr>
            <w:r>
              <w:rPr>
                <w:spacing w:val="-2"/>
                <w:sz w:val="20"/>
              </w:rPr>
              <w:t>Cantidad</w:t>
            </w:r>
          </w:p>
        </w:tc>
      </w:tr>
      <w:tr>
        <w:trPr>
          <w:trHeight w:val="1380" w:hRule="atLeast"/>
        </w:trPr>
        <w:tc>
          <w:tcPr>
            <w:tcW w:w="2835" w:type="dxa"/>
            <w:shd w:val="clear" w:color="auto" w:fill="DCE6F0"/>
          </w:tcPr>
          <w:p>
            <w:pPr>
              <w:pStyle w:val="TableParagraph"/>
              <w:rPr>
                <w:b/>
                <w:sz w:val="20"/>
              </w:rPr>
            </w:pPr>
          </w:p>
          <w:p>
            <w:pPr>
              <w:pStyle w:val="TableParagraph"/>
              <w:spacing w:before="115"/>
              <w:rPr>
                <w:b/>
                <w:sz w:val="20"/>
              </w:rPr>
            </w:pPr>
          </w:p>
          <w:p>
            <w:pPr>
              <w:pStyle w:val="TableParagraph"/>
              <w:ind w:left="67"/>
              <w:rPr>
                <w:b/>
                <w:sz w:val="20"/>
              </w:rPr>
            </w:pPr>
            <w:r>
              <w:rPr>
                <w:b/>
                <w:spacing w:val="-2"/>
                <w:sz w:val="20"/>
              </w:rPr>
              <w:t>Interpretación:</w:t>
            </w:r>
          </w:p>
        </w:tc>
        <w:tc>
          <w:tcPr>
            <w:tcW w:w="7514" w:type="dxa"/>
          </w:tcPr>
          <w:p>
            <w:pPr>
              <w:pStyle w:val="TableParagraph"/>
              <w:ind w:left="69" w:right="170"/>
              <w:rPr>
                <w:sz w:val="20"/>
              </w:rPr>
            </w:pPr>
            <w:r>
              <w:rPr>
                <w:sz w:val="20"/>
              </w:rPr>
              <w:t>La cantidad de personas que reciben una transferencia económica no reembolsable</w:t>
            </w:r>
            <w:r>
              <w:rPr>
                <w:spacing w:val="-4"/>
                <w:sz w:val="20"/>
              </w:rPr>
              <w:t> </w:t>
            </w:r>
            <w:r>
              <w:rPr>
                <w:sz w:val="20"/>
              </w:rPr>
              <w:t>para</w:t>
            </w:r>
            <w:r>
              <w:rPr>
                <w:spacing w:val="-6"/>
                <w:sz w:val="20"/>
              </w:rPr>
              <w:t> </w:t>
            </w:r>
            <w:r>
              <w:rPr>
                <w:sz w:val="20"/>
              </w:rPr>
              <w:t>cubrir</w:t>
            </w:r>
            <w:r>
              <w:rPr>
                <w:spacing w:val="-6"/>
                <w:sz w:val="20"/>
              </w:rPr>
              <w:t> </w:t>
            </w:r>
            <w:r>
              <w:rPr>
                <w:sz w:val="20"/>
              </w:rPr>
              <w:t>los</w:t>
            </w:r>
            <w:r>
              <w:rPr>
                <w:spacing w:val="-5"/>
                <w:sz w:val="20"/>
              </w:rPr>
              <w:t> </w:t>
            </w:r>
            <w:r>
              <w:rPr>
                <w:sz w:val="20"/>
              </w:rPr>
              <w:t>costos</w:t>
            </w:r>
            <w:r>
              <w:rPr>
                <w:spacing w:val="-5"/>
                <w:sz w:val="20"/>
              </w:rPr>
              <w:t> </w:t>
            </w:r>
            <w:r>
              <w:rPr>
                <w:sz w:val="20"/>
              </w:rPr>
              <w:t>de</w:t>
            </w:r>
            <w:r>
              <w:rPr>
                <w:spacing w:val="-7"/>
                <w:sz w:val="20"/>
              </w:rPr>
              <w:t> </w:t>
            </w:r>
            <w:r>
              <w:rPr>
                <w:sz w:val="20"/>
              </w:rPr>
              <w:t>capacitación</w:t>
            </w:r>
            <w:r>
              <w:rPr>
                <w:spacing w:val="-5"/>
                <w:sz w:val="20"/>
              </w:rPr>
              <w:t> </w:t>
            </w:r>
            <w:r>
              <w:rPr>
                <w:sz w:val="20"/>
              </w:rPr>
              <w:t>mediante</w:t>
            </w:r>
            <w:r>
              <w:rPr>
                <w:spacing w:val="-4"/>
                <w:sz w:val="20"/>
              </w:rPr>
              <w:t> </w:t>
            </w:r>
            <w:r>
              <w:rPr>
                <w:sz w:val="20"/>
              </w:rPr>
              <w:t>el</w:t>
            </w:r>
            <w:r>
              <w:rPr>
                <w:spacing w:val="-5"/>
                <w:sz w:val="20"/>
              </w:rPr>
              <w:t> </w:t>
            </w:r>
            <w:r>
              <w:rPr>
                <w:sz w:val="20"/>
              </w:rPr>
              <w:t>subsidio</w:t>
            </w:r>
            <w:r>
              <w:rPr>
                <w:spacing w:val="-4"/>
                <w:sz w:val="20"/>
              </w:rPr>
              <w:t> </w:t>
            </w:r>
            <w:r>
              <w:rPr>
                <w:sz w:val="20"/>
              </w:rPr>
              <w:t>de Capacitación, en el período “X” es de “Y”.</w:t>
            </w:r>
          </w:p>
          <w:p>
            <w:pPr>
              <w:pStyle w:val="TableParagraph"/>
              <w:ind w:left="69"/>
              <w:rPr>
                <w:sz w:val="20"/>
              </w:rPr>
            </w:pPr>
            <w:r>
              <w:rPr>
                <w:sz w:val="20"/>
              </w:rPr>
              <w:t>En</w:t>
            </w:r>
            <w:r>
              <w:rPr>
                <w:spacing w:val="-7"/>
                <w:sz w:val="20"/>
              </w:rPr>
              <w:t> </w:t>
            </w:r>
            <w:r>
              <w:rPr>
                <w:sz w:val="20"/>
              </w:rPr>
              <w:t>esta</w:t>
            </w:r>
            <w:r>
              <w:rPr>
                <w:spacing w:val="-7"/>
                <w:sz w:val="20"/>
              </w:rPr>
              <w:t> </w:t>
            </w:r>
            <w:r>
              <w:rPr>
                <w:sz w:val="20"/>
              </w:rPr>
              <w:t>“X”</w:t>
            </w:r>
            <w:r>
              <w:rPr>
                <w:spacing w:val="-6"/>
                <w:sz w:val="20"/>
              </w:rPr>
              <w:t> </w:t>
            </w:r>
            <w:r>
              <w:rPr>
                <w:sz w:val="20"/>
              </w:rPr>
              <w:t>representa</w:t>
            </w:r>
            <w:r>
              <w:rPr>
                <w:spacing w:val="-5"/>
                <w:sz w:val="20"/>
              </w:rPr>
              <w:t> </w:t>
            </w:r>
            <w:r>
              <w:rPr>
                <w:sz w:val="20"/>
              </w:rPr>
              <w:t>el</w:t>
            </w:r>
            <w:r>
              <w:rPr>
                <w:spacing w:val="-6"/>
                <w:sz w:val="20"/>
              </w:rPr>
              <w:t> </w:t>
            </w:r>
            <w:r>
              <w:rPr>
                <w:sz w:val="20"/>
              </w:rPr>
              <w:t>período</w:t>
            </w:r>
            <w:r>
              <w:rPr>
                <w:spacing w:val="-6"/>
                <w:sz w:val="20"/>
              </w:rPr>
              <w:t> </w:t>
            </w:r>
            <w:r>
              <w:rPr>
                <w:sz w:val="20"/>
              </w:rPr>
              <w:t>de</w:t>
            </w:r>
            <w:r>
              <w:rPr>
                <w:spacing w:val="-7"/>
                <w:sz w:val="20"/>
              </w:rPr>
              <w:t> </w:t>
            </w:r>
            <w:r>
              <w:rPr>
                <w:sz w:val="20"/>
              </w:rPr>
              <w:t>tiempo</w:t>
            </w:r>
            <w:r>
              <w:rPr>
                <w:spacing w:val="-5"/>
                <w:sz w:val="20"/>
              </w:rPr>
              <w:t> </w:t>
            </w:r>
            <w:r>
              <w:rPr>
                <w:sz w:val="20"/>
              </w:rPr>
              <w:t>según</w:t>
            </w:r>
            <w:r>
              <w:rPr>
                <w:spacing w:val="-7"/>
                <w:sz w:val="20"/>
              </w:rPr>
              <w:t> </w:t>
            </w:r>
            <w:r>
              <w:rPr>
                <w:sz w:val="20"/>
              </w:rPr>
              <w:t>la</w:t>
            </w:r>
            <w:r>
              <w:rPr>
                <w:spacing w:val="-7"/>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28" w:lineRule="exact"/>
              <w:ind w:left="69" w:right="170"/>
              <w:rPr>
                <w:sz w:val="20"/>
              </w:rPr>
            </w:pPr>
            <w:r>
              <w:rPr>
                <w:sz w:val="20"/>
              </w:rPr>
              <w:t>significa</w:t>
            </w:r>
            <w:r>
              <w:rPr>
                <w:spacing w:val="-3"/>
                <w:sz w:val="20"/>
              </w:rPr>
              <w:t> </w:t>
            </w:r>
            <w:r>
              <w:rPr>
                <w:sz w:val="20"/>
              </w:rPr>
              <w:t>la</w:t>
            </w:r>
            <w:r>
              <w:rPr>
                <w:spacing w:val="-3"/>
                <w:sz w:val="20"/>
              </w:rPr>
              <w:t> </w:t>
            </w:r>
            <w:r>
              <w:rPr>
                <w:sz w:val="20"/>
              </w:rPr>
              <w:t>meta</w:t>
            </w:r>
            <w:r>
              <w:rPr>
                <w:spacing w:val="-5"/>
                <w:sz w:val="20"/>
              </w:rPr>
              <w:t> </w:t>
            </w:r>
            <w:r>
              <w:rPr>
                <w:sz w:val="20"/>
              </w:rPr>
              <w:t>alcanzada</w:t>
            </w:r>
            <w:r>
              <w:rPr>
                <w:spacing w:val="-3"/>
                <w:sz w:val="20"/>
              </w:rPr>
              <w:t> </w:t>
            </w:r>
            <w:r>
              <w:rPr>
                <w:sz w:val="20"/>
              </w:rPr>
              <w:t>a</w:t>
            </w:r>
            <w:r>
              <w:rPr>
                <w:spacing w:val="-6"/>
                <w:sz w:val="20"/>
              </w:rPr>
              <w:t> </w:t>
            </w:r>
            <w:r>
              <w:rPr>
                <w:sz w:val="20"/>
              </w:rPr>
              <w:t>ese</w:t>
            </w:r>
            <w:r>
              <w:rPr>
                <w:spacing w:val="-3"/>
                <w:sz w:val="20"/>
              </w:rPr>
              <w:t> </w:t>
            </w:r>
            <w:r>
              <w:rPr>
                <w:sz w:val="20"/>
              </w:rPr>
              <w:t>momento</w:t>
            </w:r>
            <w:r>
              <w:rPr>
                <w:spacing w:val="-5"/>
                <w:sz w:val="20"/>
              </w:rPr>
              <w:t> </w:t>
            </w:r>
            <w:r>
              <w:rPr>
                <w:sz w:val="20"/>
              </w:rPr>
              <w:t>según</w:t>
            </w:r>
            <w:r>
              <w:rPr>
                <w:spacing w:val="-5"/>
                <w:sz w:val="20"/>
              </w:rPr>
              <w:t> </w:t>
            </w:r>
            <w:r>
              <w:rPr>
                <w:sz w:val="20"/>
              </w:rPr>
              <w:t>la</w:t>
            </w:r>
            <w:r>
              <w:rPr>
                <w:spacing w:val="-5"/>
                <w:sz w:val="20"/>
              </w:rPr>
              <w:t> </w:t>
            </w:r>
            <w:r>
              <w:rPr>
                <w:sz w:val="20"/>
              </w:rPr>
              <w:t>unidad</w:t>
            </w:r>
            <w:r>
              <w:rPr>
                <w:spacing w:val="-6"/>
                <w:sz w:val="20"/>
              </w:rPr>
              <w:t> </w:t>
            </w:r>
            <w:r>
              <w:rPr>
                <w:sz w:val="20"/>
              </w:rPr>
              <w:t>de</w:t>
            </w:r>
            <w:r>
              <w:rPr>
                <w:spacing w:val="-5"/>
                <w:sz w:val="20"/>
              </w:rPr>
              <w:t> </w:t>
            </w:r>
            <w:r>
              <w:rPr>
                <w:sz w:val="20"/>
              </w:rPr>
              <w:t>medida </w:t>
            </w:r>
            <w:r>
              <w:rPr>
                <w:spacing w:val="-2"/>
                <w:sz w:val="20"/>
              </w:rPr>
              <w:t>establecida.</w:t>
            </w:r>
          </w:p>
        </w:tc>
      </w:tr>
      <w:tr>
        <w:trPr>
          <w:trHeight w:val="302" w:hRule="atLeast"/>
        </w:trPr>
        <w:tc>
          <w:tcPr>
            <w:tcW w:w="2835" w:type="dxa"/>
            <w:shd w:val="clear" w:color="auto" w:fill="DCE6F0"/>
          </w:tcPr>
          <w:p>
            <w:pPr>
              <w:pStyle w:val="TableParagraph"/>
              <w:spacing w:before="35"/>
              <w:ind w:left="67"/>
              <w:rPr>
                <w:b/>
                <w:sz w:val="20"/>
              </w:rPr>
            </w:pPr>
            <w:r>
              <w:rPr>
                <w:b/>
                <w:spacing w:val="-2"/>
                <w:sz w:val="20"/>
              </w:rPr>
              <w:t>Desagregación</w:t>
            </w:r>
          </w:p>
        </w:tc>
        <w:tc>
          <w:tcPr>
            <w:tcW w:w="7514" w:type="dxa"/>
          </w:tcPr>
          <w:p>
            <w:pPr>
              <w:pStyle w:val="TableParagraph"/>
              <w:spacing w:before="35"/>
              <w:ind w:left="69"/>
              <w:rPr>
                <w:sz w:val="20"/>
              </w:rPr>
            </w:pPr>
            <w:r>
              <w:rPr>
                <w:sz w:val="20"/>
              </w:rPr>
              <w:t>No</w:t>
            </w:r>
            <w:r>
              <w:rPr>
                <w:spacing w:val="-5"/>
                <w:sz w:val="20"/>
              </w:rPr>
              <w:t> </w:t>
            </w:r>
            <w:r>
              <w:rPr>
                <w:spacing w:val="-2"/>
                <w:sz w:val="20"/>
              </w:rPr>
              <w:t>aplica.</w:t>
            </w:r>
          </w:p>
        </w:tc>
      </w:tr>
      <w:tr>
        <w:trPr>
          <w:trHeight w:val="299" w:hRule="atLeast"/>
        </w:trPr>
        <w:tc>
          <w:tcPr>
            <w:tcW w:w="2835" w:type="dxa"/>
            <w:shd w:val="clear" w:color="auto" w:fill="DCE6F0"/>
          </w:tcPr>
          <w:p>
            <w:pPr>
              <w:pStyle w:val="TableParagraph"/>
              <w:spacing w:before="33"/>
              <w:ind w:left="67"/>
              <w:rPr>
                <w:b/>
                <w:sz w:val="20"/>
              </w:rPr>
            </w:pPr>
            <w:r>
              <w:rPr>
                <w:b/>
                <w:spacing w:val="-2"/>
                <w:sz w:val="20"/>
              </w:rPr>
              <w:t>Meta:</w:t>
            </w:r>
          </w:p>
        </w:tc>
        <w:tc>
          <w:tcPr>
            <w:tcW w:w="7514" w:type="dxa"/>
          </w:tcPr>
          <w:p>
            <w:pPr>
              <w:pStyle w:val="TableParagraph"/>
              <w:spacing w:before="33"/>
              <w:ind w:left="69"/>
              <w:rPr>
                <w:sz w:val="20"/>
              </w:rPr>
            </w:pPr>
            <w:r>
              <w:rPr>
                <w:sz w:val="20"/>
              </w:rPr>
              <w:t>12</w:t>
            </w:r>
            <w:r>
              <w:rPr>
                <w:spacing w:val="-6"/>
                <w:sz w:val="20"/>
              </w:rPr>
              <w:t> </w:t>
            </w:r>
            <w:r>
              <w:rPr>
                <w:spacing w:val="-5"/>
                <w:sz w:val="20"/>
              </w:rPr>
              <w:t>000</w:t>
            </w:r>
          </w:p>
        </w:tc>
      </w:tr>
      <w:tr>
        <w:trPr>
          <w:trHeight w:val="299" w:hRule="atLeast"/>
        </w:trPr>
        <w:tc>
          <w:tcPr>
            <w:tcW w:w="2835" w:type="dxa"/>
            <w:shd w:val="clear" w:color="auto" w:fill="DCE6F0"/>
          </w:tcPr>
          <w:p>
            <w:pPr>
              <w:pStyle w:val="TableParagraph"/>
              <w:spacing w:before="33"/>
              <w:ind w:left="67"/>
              <w:rPr>
                <w:b/>
                <w:sz w:val="20"/>
              </w:rPr>
            </w:pPr>
            <w:r>
              <w:rPr>
                <w:b/>
                <w:sz w:val="20"/>
              </w:rPr>
              <w:t>Línea</w:t>
            </w:r>
            <w:r>
              <w:rPr>
                <w:b/>
                <w:spacing w:val="-10"/>
                <w:sz w:val="20"/>
              </w:rPr>
              <w:t> </w:t>
            </w:r>
            <w:r>
              <w:rPr>
                <w:b/>
                <w:spacing w:val="-4"/>
                <w:sz w:val="20"/>
              </w:rPr>
              <w:t>Base</w:t>
            </w:r>
          </w:p>
        </w:tc>
        <w:tc>
          <w:tcPr>
            <w:tcW w:w="7514" w:type="dxa"/>
          </w:tcPr>
          <w:p>
            <w:pPr>
              <w:pStyle w:val="TableParagraph"/>
              <w:spacing w:before="33"/>
              <w:ind w:left="69"/>
              <w:rPr>
                <w:sz w:val="20"/>
              </w:rPr>
            </w:pPr>
            <w:r>
              <w:rPr>
                <w:sz w:val="20"/>
              </w:rPr>
              <w:t>12</w:t>
            </w:r>
            <w:r>
              <w:rPr>
                <w:spacing w:val="-6"/>
                <w:sz w:val="20"/>
              </w:rPr>
              <w:t> </w:t>
            </w:r>
            <w:r>
              <w:rPr>
                <w:spacing w:val="-5"/>
                <w:sz w:val="20"/>
              </w:rPr>
              <w:t>000</w:t>
            </w:r>
          </w:p>
        </w:tc>
      </w:tr>
      <w:tr>
        <w:trPr>
          <w:trHeight w:val="510" w:hRule="atLeast"/>
        </w:trPr>
        <w:tc>
          <w:tcPr>
            <w:tcW w:w="2835" w:type="dxa"/>
            <w:shd w:val="clear" w:color="auto" w:fill="DCE6F0"/>
          </w:tcPr>
          <w:p>
            <w:pPr>
              <w:pStyle w:val="TableParagraph"/>
              <w:spacing w:before="2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138"/>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508" w:hRule="atLeast"/>
        </w:trPr>
        <w:tc>
          <w:tcPr>
            <w:tcW w:w="2835" w:type="dxa"/>
            <w:shd w:val="clear" w:color="auto" w:fill="DCE6F0"/>
          </w:tcPr>
          <w:p>
            <w:pPr>
              <w:pStyle w:val="TableParagraph"/>
              <w:spacing w:before="23"/>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23"/>
              <w:ind w:left="69"/>
              <w:rPr>
                <w:sz w:val="20"/>
              </w:rPr>
            </w:pPr>
            <w:r>
              <w:rPr>
                <w:sz w:val="20"/>
              </w:rPr>
              <w:t>Nombre</w:t>
            </w:r>
            <w:r>
              <w:rPr>
                <w:spacing w:val="-7"/>
                <w:sz w:val="20"/>
              </w:rPr>
              <w:t> </w:t>
            </w:r>
            <w:r>
              <w:rPr>
                <w:sz w:val="20"/>
              </w:rPr>
              <w:t>del</w:t>
            </w:r>
            <w:r>
              <w:rPr>
                <w:spacing w:val="-10"/>
                <w:sz w:val="20"/>
              </w:rPr>
              <w:t> </w:t>
            </w:r>
            <w:r>
              <w:rPr>
                <w:sz w:val="20"/>
              </w:rPr>
              <w:t>funcionario:</w:t>
            </w:r>
            <w:r>
              <w:rPr>
                <w:spacing w:val="-6"/>
                <w:sz w:val="20"/>
              </w:rPr>
              <w:t> </w:t>
            </w:r>
            <w:r>
              <w:rPr>
                <w:sz w:val="20"/>
              </w:rPr>
              <w:t>Karla</w:t>
            </w:r>
            <w:r>
              <w:rPr>
                <w:spacing w:val="-9"/>
                <w:sz w:val="20"/>
              </w:rPr>
              <w:t> </w:t>
            </w:r>
            <w:r>
              <w:rPr>
                <w:sz w:val="20"/>
              </w:rPr>
              <w:t>Pérez</w:t>
            </w:r>
            <w:r>
              <w:rPr>
                <w:spacing w:val="-7"/>
                <w:sz w:val="20"/>
              </w:rPr>
              <w:t> </w:t>
            </w:r>
            <w:r>
              <w:rPr>
                <w:spacing w:val="-2"/>
                <w:sz w:val="20"/>
              </w:rPr>
              <w:t>Fonseca</w:t>
            </w:r>
          </w:p>
          <w:p>
            <w:pPr>
              <w:pStyle w:val="TableParagraph"/>
              <w:spacing w:before="1"/>
              <w:ind w:left="69"/>
              <w:rPr>
                <w:sz w:val="20"/>
              </w:rPr>
            </w:pPr>
            <w:r>
              <w:rPr>
                <w:sz w:val="20"/>
              </w:rPr>
              <w:t>Cargo:</w:t>
            </w:r>
            <w:r>
              <w:rPr>
                <w:spacing w:val="-10"/>
                <w:sz w:val="20"/>
              </w:rPr>
              <w:t> </w:t>
            </w:r>
            <w:r>
              <w:rPr>
                <w:sz w:val="20"/>
              </w:rPr>
              <w:t>Jefatura,</w:t>
            </w:r>
            <w:r>
              <w:rPr>
                <w:spacing w:val="-9"/>
                <w:sz w:val="20"/>
              </w:rPr>
              <w:t> </w:t>
            </w:r>
            <w:r>
              <w:rPr>
                <w:sz w:val="20"/>
              </w:rPr>
              <w:t>Departamento</w:t>
            </w:r>
            <w:r>
              <w:rPr>
                <w:spacing w:val="-7"/>
                <w:sz w:val="20"/>
              </w:rPr>
              <w:t> </w:t>
            </w:r>
            <w:r>
              <w:rPr>
                <w:sz w:val="20"/>
              </w:rPr>
              <w:t>de</w:t>
            </w:r>
            <w:r>
              <w:rPr>
                <w:spacing w:val="-10"/>
                <w:sz w:val="20"/>
              </w:rPr>
              <w:t> </w:t>
            </w:r>
            <w:r>
              <w:rPr>
                <w:sz w:val="20"/>
              </w:rPr>
              <w:t>Desarrollo</w:t>
            </w:r>
            <w:r>
              <w:rPr>
                <w:spacing w:val="-7"/>
                <w:sz w:val="20"/>
              </w:rPr>
              <w:t> </w:t>
            </w:r>
            <w:r>
              <w:rPr>
                <w:sz w:val="20"/>
              </w:rPr>
              <w:t>Socio</w:t>
            </w:r>
            <w:r>
              <w:rPr>
                <w:spacing w:val="-9"/>
                <w:sz w:val="20"/>
              </w:rPr>
              <w:t> </w:t>
            </w:r>
            <w:r>
              <w:rPr>
                <w:sz w:val="20"/>
              </w:rPr>
              <w:t>Productivo</w:t>
            </w:r>
            <w:r>
              <w:rPr>
                <w:spacing w:val="-8"/>
                <w:sz w:val="20"/>
              </w:rPr>
              <w:t> </w:t>
            </w:r>
            <w:r>
              <w:rPr>
                <w:sz w:val="20"/>
              </w:rPr>
              <w:t>y</w:t>
            </w:r>
            <w:r>
              <w:rPr>
                <w:spacing w:val="-8"/>
                <w:sz w:val="20"/>
              </w:rPr>
              <w:t> </w:t>
            </w:r>
            <w:r>
              <w:rPr>
                <w:spacing w:val="-2"/>
                <w:sz w:val="20"/>
              </w:rPr>
              <w:t>Comunal</w:t>
            </w:r>
          </w:p>
        </w:tc>
      </w:tr>
      <w:tr>
        <w:trPr>
          <w:trHeight w:val="510" w:hRule="atLeast"/>
        </w:trPr>
        <w:tc>
          <w:tcPr>
            <w:tcW w:w="2835" w:type="dxa"/>
            <w:shd w:val="clear" w:color="auto" w:fill="DCE6F0"/>
          </w:tcPr>
          <w:p>
            <w:pPr>
              <w:pStyle w:val="TableParagraph"/>
              <w:spacing w:before="26"/>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26"/>
              <w:ind w:left="69"/>
              <w:rPr>
                <w:sz w:val="20"/>
              </w:rPr>
            </w:pPr>
            <w:r>
              <w:rPr>
                <w:sz w:val="20"/>
              </w:rPr>
              <w:t>Dirección</w:t>
            </w:r>
            <w:r>
              <w:rPr>
                <w:spacing w:val="-5"/>
                <w:sz w:val="20"/>
              </w:rPr>
              <w:t> </w:t>
            </w:r>
            <w:r>
              <w:rPr>
                <w:sz w:val="20"/>
              </w:rPr>
              <w:t>de</w:t>
            </w:r>
            <w:r>
              <w:rPr>
                <w:spacing w:val="-6"/>
                <w:sz w:val="20"/>
              </w:rPr>
              <w:t> </w:t>
            </w:r>
            <w:r>
              <w:rPr>
                <w:sz w:val="20"/>
              </w:rPr>
              <w:t>Desarrollo</w:t>
            </w:r>
            <w:r>
              <w:rPr>
                <w:spacing w:val="-5"/>
                <w:sz w:val="20"/>
              </w:rPr>
              <w:t> </w:t>
            </w:r>
            <w:r>
              <w:rPr>
                <w:sz w:val="20"/>
              </w:rPr>
              <w:t>Social,</w:t>
            </w:r>
            <w:r>
              <w:rPr>
                <w:spacing w:val="-5"/>
                <w:sz w:val="20"/>
              </w:rPr>
              <w:t> </w:t>
            </w:r>
            <w:r>
              <w:rPr>
                <w:sz w:val="20"/>
              </w:rPr>
              <w:t>Departamento</w:t>
            </w:r>
            <w:r>
              <w:rPr>
                <w:spacing w:val="-5"/>
                <w:sz w:val="20"/>
              </w:rPr>
              <w:t> </w:t>
            </w:r>
            <w:r>
              <w:rPr>
                <w:sz w:val="20"/>
              </w:rPr>
              <w:t>de</w:t>
            </w:r>
            <w:r>
              <w:rPr>
                <w:spacing w:val="-6"/>
                <w:sz w:val="20"/>
              </w:rPr>
              <w:t> </w:t>
            </w:r>
            <w:r>
              <w:rPr>
                <w:sz w:val="20"/>
              </w:rPr>
              <w:t>Desarrollo</w:t>
            </w:r>
            <w:r>
              <w:rPr>
                <w:spacing w:val="-7"/>
                <w:sz w:val="20"/>
              </w:rPr>
              <w:t> </w:t>
            </w:r>
            <w:r>
              <w:rPr>
                <w:sz w:val="20"/>
              </w:rPr>
              <w:t>Socioproductivo</w:t>
            </w:r>
            <w:r>
              <w:rPr>
                <w:spacing w:val="-7"/>
                <w:sz w:val="20"/>
              </w:rPr>
              <w:t> </w:t>
            </w:r>
            <w:r>
              <w:rPr>
                <w:sz w:val="20"/>
              </w:rPr>
              <w:t>y </w:t>
            </w:r>
            <w:r>
              <w:rPr>
                <w:spacing w:val="-2"/>
                <w:sz w:val="20"/>
              </w:rPr>
              <w:t>Comunal</w:t>
            </w:r>
          </w:p>
        </w:tc>
      </w:tr>
      <w:tr>
        <w:trPr>
          <w:trHeight w:val="299" w:hRule="atLeast"/>
        </w:trPr>
        <w:tc>
          <w:tcPr>
            <w:tcW w:w="2835" w:type="dxa"/>
            <w:shd w:val="clear" w:color="auto" w:fill="DCE6F0"/>
          </w:tcPr>
          <w:p>
            <w:pPr>
              <w:pStyle w:val="TableParagraph"/>
              <w:spacing w:before="35"/>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35"/>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460" w:hRule="atLeast"/>
        </w:trPr>
        <w:tc>
          <w:tcPr>
            <w:tcW w:w="2835" w:type="dxa"/>
            <w:shd w:val="clear" w:color="auto" w:fill="DCE6F0"/>
          </w:tcPr>
          <w:p>
            <w:pPr>
              <w:pStyle w:val="TableParagraph"/>
              <w:spacing w:before="114"/>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line="230" w:lineRule="exact"/>
              <w:ind w:left="69"/>
              <w:rPr>
                <w:sz w:val="20"/>
              </w:rPr>
            </w:pPr>
            <w:r>
              <w:rPr>
                <w:sz w:val="20"/>
              </w:rPr>
              <w:t>Informes</w:t>
            </w:r>
            <w:r>
              <w:rPr>
                <w:spacing w:val="-5"/>
                <w:sz w:val="20"/>
              </w:rPr>
              <w:t> </w:t>
            </w:r>
            <w:r>
              <w:rPr>
                <w:sz w:val="20"/>
              </w:rPr>
              <w:t>del</w:t>
            </w:r>
            <w:r>
              <w:rPr>
                <w:spacing w:val="-6"/>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6"/>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765" w:hRule="atLeast"/>
        </w:trPr>
        <w:tc>
          <w:tcPr>
            <w:tcW w:w="2835" w:type="dxa"/>
            <w:shd w:val="clear" w:color="auto" w:fill="DCE6F0"/>
          </w:tcPr>
          <w:p>
            <w:pPr>
              <w:pStyle w:val="TableParagraph"/>
              <w:spacing w:before="36"/>
              <w:rPr>
                <w:b/>
                <w:sz w:val="20"/>
              </w:rPr>
            </w:pPr>
          </w:p>
          <w:p>
            <w:pPr>
              <w:pStyle w:val="TableParagraph"/>
              <w:ind w:left="67"/>
              <w:rPr>
                <w:b/>
                <w:sz w:val="20"/>
              </w:rPr>
            </w:pPr>
            <w:r>
              <w:rPr>
                <w:b/>
                <w:spacing w:val="-2"/>
                <w:sz w:val="20"/>
              </w:rPr>
              <w:t>Clasificación</w:t>
            </w:r>
          </w:p>
        </w:tc>
        <w:tc>
          <w:tcPr>
            <w:tcW w:w="7514" w:type="dxa"/>
          </w:tcPr>
          <w:p>
            <w:pPr>
              <w:pStyle w:val="TableParagraph"/>
              <w:spacing w:before="36"/>
              <w:rPr>
                <w:b/>
                <w:sz w:val="20"/>
              </w:rPr>
            </w:pPr>
          </w:p>
          <w:p>
            <w:pPr>
              <w:pStyle w:val="TableParagraph"/>
              <w:ind w:left="69"/>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5"/>
                <w:sz w:val="20"/>
              </w:rPr>
              <w:t> </w:t>
            </w:r>
            <w:r>
              <w:rPr>
                <w:sz w:val="20"/>
              </w:rPr>
              <w:t>Producto</w:t>
            </w:r>
            <w:r>
              <w:rPr>
                <w:spacing w:val="-8"/>
                <w:sz w:val="20"/>
              </w:rPr>
              <w:t> </w:t>
            </w:r>
            <w:r>
              <w:rPr>
                <w:spacing w:val="-5"/>
                <w:sz w:val="20"/>
              </w:rPr>
              <w:t>(X)</w:t>
            </w:r>
          </w:p>
        </w:tc>
      </w:tr>
      <w:tr>
        <w:trPr>
          <w:trHeight w:val="299" w:hRule="atLeast"/>
        </w:trPr>
        <w:tc>
          <w:tcPr>
            <w:tcW w:w="2835" w:type="dxa"/>
            <w:shd w:val="clear" w:color="auto" w:fill="DCE6F0"/>
          </w:tcPr>
          <w:p>
            <w:pPr>
              <w:pStyle w:val="TableParagraph"/>
              <w:spacing w:before="33"/>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spacing w:line="229" w:lineRule="exact"/>
              <w:ind w:left="69"/>
              <w:rPr>
                <w:sz w:val="20"/>
              </w:rPr>
            </w:pPr>
            <w:r>
              <w:rPr>
                <w:sz w:val="20"/>
              </w:rPr>
              <w:t>Este</w:t>
            </w:r>
            <w:r>
              <w:rPr>
                <w:spacing w:val="-9"/>
                <w:sz w:val="20"/>
              </w:rPr>
              <w:t> </w:t>
            </w:r>
            <w:r>
              <w:rPr>
                <w:sz w:val="20"/>
              </w:rPr>
              <w:t>indicador</w:t>
            </w:r>
            <w:r>
              <w:rPr>
                <w:spacing w:val="-7"/>
                <w:sz w:val="20"/>
              </w:rPr>
              <w:t> </w:t>
            </w:r>
            <w:r>
              <w:rPr>
                <w:sz w:val="20"/>
              </w:rPr>
              <w:t>se</w:t>
            </w:r>
            <w:r>
              <w:rPr>
                <w:spacing w:val="-5"/>
                <w:sz w:val="20"/>
              </w:rPr>
              <w:t> </w:t>
            </w:r>
            <w:r>
              <w:rPr>
                <w:sz w:val="20"/>
              </w:rPr>
              <w:t>encuentra</w:t>
            </w:r>
            <w:r>
              <w:rPr>
                <w:spacing w:val="-7"/>
                <w:sz w:val="20"/>
              </w:rPr>
              <w:t> </w:t>
            </w:r>
            <w:r>
              <w:rPr>
                <w:sz w:val="20"/>
              </w:rPr>
              <w:t>vinculado</w:t>
            </w:r>
            <w:r>
              <w:rPr>
                <w:spacing w:val="-8"/>
                <w:sz w:val="20"/>
              </w:rPr>
              <w:t> </w:t>
            </w:r>
            <w:r>
              <w:rPr>
                <w:sz w:val="20"/>
              </w:rPr>
              <w:t>al</w:t>
            </w:r>
            <w:r>
              <w:rPr>
                <w:spacing w:val="-8"/>
                <w:sz w:val="20"/>
              </w:rPr>
              <w:t> </w:t>
            </w:r>
            <w:r>
              <w:rPr>
                <w:spacing w:val="-4"/>
                <w:sz w:val="20"/>
              </w:rPr>
              <w:t>PEN.</w:t>
            </w:r>
          </w:p>
        </w:tc>
      </w:tr>
    </w:tbl>
    <w:p>
      <w:pPr>
        <w:pStyle w:val="TableParagraph"/>
        <w:spacing w:after="0" w:line="229" w:lineRule="exact"/>
        <w:rPr>
          <w:sz w:val="20"/>
        </w:rPr>
        <w:sectPr>
          <w:type w:val="continuous"/>
          <w:pgSz w:w="12240" w:h="15840"/>
          <w:pgMar w:header="0" w:footer="2082" w:top="1400" w:bottom="2600" w:left="720" w:right="72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49"/>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460" w:hRule="atLeast"/>
        </w:trPr>
        <w:tc>
          <w:tcPr>
            <w:tcW w:w="2835" w:type="dxa"/>
            <w:shd w:val="clear" w:color="auto" w:fill="DCE6F0"/>
          </w:tcPr>
          <w:p>
            <w:pPr>
              <w:pStyle w:val="TableParagraph"/>
              <w:spacing w:before="114"/>
              <w:ind w:left="67"/>
              <w:rPr>
                <w:b/>
                <w:sz w:val="20"/>
              </w:rPr>
            </w:pPr>
            <w:r>
              <w:rPr>
                <w:b/>
                <w:sz w:val="20"/>
              </w:rPr>
              <w:t>PPPS</w:t>
            </w:r>
            <w:r>
              <w:rPr>
                <w:b/>
                <w:spacing w:val="-6"/>
                <w:sz w:val="20"/>
              </w:rPr>
              <w:t> </w:t>
            </w:r>
            <w:r>
              <w:rPr>
                <w:b/>
                <w:spacing w:val="-2"/>
                <w:sz w:val="20"/>
              </w:rPr>
              <w:t>1.2.4:</w:t>
            </w:r>
          </w:p>
        </w:tc>
        <w:tc>
          <w:tcPr>
            <w:tcW w:w="7514" w:type="dxa"/>
          </w:tcPr>
          <w:p>
            <w:pPr>
              <w:pStyle w:val="TableParagraph"/>
              <w:spacing w:line="230" w:lineRule="exact"/>
              <w:ind w:left="69"/>
              <w:rPr>
                <w:sz w:val="20"/>
              </w:rPr>
            </w:pPr>
            <w:r>
              <w:rPr>
                <w:sz w:val="20"/>
              </w:rPr>
              <w:t>Nombre</w:t>
            </w:r>
            <w:r>
              <w:rPr>
                <w:spacing w:val="-5"/>
                <w:sz w:val="20"/>
              </w:rPr>
              <w:t> </w:t>
            </w:r>
            <w:r>
              <w:rPr>
                <w:sz w:val="20"/>
              </w:rPr>
              <w:t>del</w:t>
            </w:r>
            <w:r>
              <w:rPr>
                <w:spacing w:val="-7"/>
                <w:sz w:val="20"/>
              </w:rPr>
              <w:t> </w:t>
            </w:r>
            <w:r>
              <w:rPr>
                <w:sz w:val="20"/>
              </w:rPr>
              <w:t>Indicador:</w:t>
            </w:r>
            <w:r>
              <w:rPr>
                <w:spacing w:val="-6"/>
                <w:sz w:val="20"/>
              </w:rPr>
              <w:t> </w:t>
            </w:r>
            <w:r>
              <w:rPr>
                <w:sz w:val="20"/>
              </w:rPr>
              <w:t>Cantidad</w:t>
            </w:r>
            <w:r>
              <w:rPr>
                <w:spacing w:val="-6"/>
                <w:sz w:val="20"/>
              </w:rPr>
              <w:t> </w:t>
            </w:r>
            <w:r>
              <w:rPr>
                <w:sz w:val="20"/>
              </w:rPr>
              <w:t>de</w:t>
            </w:r>
            <w:r>
              <w:rPr>
                <w:spacing w:val="-5"/>
                <w:sz w:val="20"/>
              </w:rPr>
              <w:t> </w:t>
            </w:r>
            <w:r>
              <w:rPr>
                <w:sz w:val="20"/>
              </w:rPr>
              <w:t>personas</w:t>
            </w:r>
            <w:r>
              <w:rPr>
                <w:spacing w:val="-6"/>
                <w:sz w:val="20"/>
              </w:rPr>
              <w:t> </w:t>
            </w:r>
            <w:r>
              <w:rPr>
                <w:sz w:val="20"/>
              </w:rPr>
              <w:t>con</w:t>
            </w:r>
            <w:r>
              <w:rPr>
                <w:spacing w:val="-7"/>
                <w:sz w:val="20"/>
              </w:rPr>
              <w:t> </w:t>
            </w:r>
            <w:r>
              <w:rPr>
                <w:sz w:val="20"/>
              </w:rPr>
              <w:t>subsidio</w:t>
            </w:r>
            <w:r>
              <w:rPr>
                <w:spacing w:val="-5"/>
                <w:sz w:val="20"/>
              </w:rPr>
              <w:t> </w:t>
            </w:r>
            <w:r>
              <w:rPr>
                <w:sz w:val="20"/>
              </w:rPr>
              <w:t>emprendimientos productivos individuales</w:t>
            </w:r>
          </w:p>
        </w:tc>
      </w:tr>
      <w:tr>
        <w:trPr>
          <w:trHeight w:val="316" w:hRule="atLeast"/>
        </w:trPr>
        <w:tc>
          <w:tcPr>
            <w:tcW w:w="2835" w:type="dxa"/>
            <w:shd w:val="clear" w:color="auto" w:fill="DCE6F0"/>
          </w:tcPr>
          <w:p>
            <w:pPr>
              <w:pStyle w:val="TableParagraph"/>
              <w:spacing w:before="42"/>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before="42"/>
              <w:ind w:left="69"/>
              <w:rPr>
                <w:sz w:val="20"/>
              </w:rPr>
            </w:pPr>
            <w:r>
              <w:rPr>
                <w:sz w:val="20"/>
              </w:rPr>
              <w:t>Sumatoria</w:t>
            </w:r>
            <w:r>
              <w:rPr>
                <w:spacing w:val="-10"/>
                <w:sz w:val="20"/>
              </w:rPr>
              <w:t> </w:t>
            </w:r>
            <w:r>
              <w:rPr>
                <w:sz w:val="20"/>
              </w:rPr>
              <w:t>de</w:t>
            </w:r>
            <w:r>
              <w:rPr>
                <w:spacing w:val="-9"/>
                <w:sz w:val="20"/>
              </w:rPr>
              <w:t> </w:t>
            </w:r>
            <w:r>
              <w:rPr>
                <w:sz w:val="20"/>
              </w:rPr>
              <w:t>personas</w:t>
            </w:r>
            <w:r>
              <w:rPr>
                <w:spacing w:val="-9"/>
                <w:sz w:val="20"/>
              </w:rPr>
              <w:t> </w:t>
            </w:r>
            <w:r>
              <w:rPr>
                <w:sz w:val="20"/>
              </w:rPr>
              <w:t>con</w:t>
            </w:r>
            <w:r>
              <w:rPr>
                <w:spacing w:val="-8"/>
                <w:sz w:val="20"/>
              </w:rPr>
              <w:t> </w:t>
            </w:r>
            <w:r>
              <w:rPr>
                <w:sz w:val="20"/>
              </w:rPr>
              <w:t>subsidio</w:t>
            </w:r>
            <w:r>
              <w:rPr>
                <w:spacing w:val="-9"/>
                <w:sz w:val="20"/>
              </w:rPr>
              <w:t> </w:t>
            </w:r>
            <w:r>
              <w:rPr>
                <w:sz w:val="20"/>
              </w:rPr>
              <w:t>de</w:t>
            </w:r>
            <w:r>
              <w:rPr>
                <w:spacing w:val="-9"/>
                <w:sz w:val="20"/>
              </w:rPr>
              <w:t> </w:t>
            </w:r>
            <w:r>
              <w:rPr>
                <w:sz w:val="20"/>
              </w:rPr>
              <w:t>emprendimientos</w:t>
            </w:r>
            <w:r>
              <w:rPr>
                <w:spacing w:val="-9"/>
                <w:sz w:val="20"/>
              </w:rPr>
              <w:t> </w:t>
            </w:r>
            <w:r>
              <w:rPr>
                <w:sz w:val="20"/>
              </w:rPr>
              <w:t>productivos</w:t>
            </w:r>
            <w:r>
              <w:rPr>
                <w:spacing w:val="-8"/>
                <w:sz w:val="20"/>
              </w:rPr>
              <w:t> </w:t>
            </w:r>
            <w:r>
              <w:rPr>
                <w:spacing w:val="-2"/>
                <w:sz w:val="20"/>
              </w:rPr>
              <w:t>individuales.</w:t>
            </w:r>
          </w:p>
        </w:tc>
      </w:tr>
      <w:tr>
        <w:trPr>
          <w:trHeight w:val="313" w:hRule="atLeast"/>
        </w:trPr>
        <w:tc>
          <w:tcPr>
            <w:tcW w:w="2835" w:type="dxa"/>
            <w:shd w:val="clear" w:color="auto" w:fill="DCE6F0"/>
          </w:tcPr>
          <w:p>
            <w:pPr>
              <w:pStyle w:val="TableParagraph"/>
              <w:spacing w:before="40"/>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40"/>
              <w:ind w:left="69"/>
              <w:rPr>
                <w:sz w:val="20"/>
              </w:rPr>
            </w:pPr>
            <w:r>
              <w:rPr>
                <w:spacing w:val="-2"/>
                <w:sz w:val="20"/>
              </w:rPr>
              <w:t>Cantidad</w:t>
            </w:r>
          </w:p>
        </w:tc>
      </w:tr>
      <w:tr>
        <w:trPr>
          <w:trHeight w:val="1214" w:hRule="atLeast"/>
        </w:trPr>
        <w:tc>
          <w:tcPr>
            <w:tcW w:w="2835" w:type="dxa"/>
            <w:shd w:val="clear" w:color="auto" w:fill="DCE6F0"/>
          </w:tcPr>
          <w:p>
            <w:pPr>
              <w:pStyle w:val="TableParagraph"/>
              <w:rPr>
                <w:b/>
                <w:sz w:val="20"/>
              </w:rPr>
            </w:pPr>
          </w:p>
          <w:p>
            <w:pPr>
              <w:pStyle w:val="TableParagraph"/>
              <w:spacing w:before="32"/>
              <w:rPr>
                <w:b/>
                <w:sz w:val="20"/>
              </w:rPr>
            </w:pPr>
          </w:p>
          <w:p>
            <w:pPr>
              <w:pStyle w:val="TableParagraph"/>
              <w:ind w:left="67"/>
              <w:rPr>
                <w:b/>
                <w:sz w:val="20"/>
              </w:rPr>
            </w:pPr>
            <w:r>
              <w:rPr>
                <w:b/>
                <w:spacing w:val="-2"/>
                <w:sz w:val="20"/>
              </w:rPr>
              <w:t>Interpretación:</w:t>
            </w:r>
          </w:p>
        </w:tc>
        <w:tc>
          <w:tcPr>
            <w:tcW w:w="7514" w:type="dxa"/>
          </w:tcPr>
          <w:p>
            <w:pPr>
              <w:pStyle w:val="TableParagraph"/>
              <w:spacing w:before="65"/>
              <w:ind w:left="69"/>
              <w:rPr>
                <w:sz w:val="20"/>
              </w:rPr>
            </w:pPr>
            <w:r>
              <w:rPr>
                <w:sz w:val="20"/>
              </w:rPr>
              <w:t>La</w:t>
            </w:r>
            <w:r>
              <w:rPr>
                <w:spacing w:val="-9"/>
                <w:sz w:val="20"/>
              </w:rPr>
              <w:t> </w:t>
            </w:r>
            <w:r>
              <w:rPr>
                <w:sz w:val="20"/>
              </w:rPr>
              <w:t>cantidad</w:t>
            </w:r>
            <w:r>
              <w:rPr>
                <w:spacing w:val="-9"/>
                <w:sz w:val="20"/>
              </w:rPr>
              <w:t> </w:t>
            </w:r>
            <w:r>
              <w:rPr>
                <w:sz w:val="20"/>
              </w:rPr>
              <w:t>de</w:t>
            </w:r>
            <w:r>
              <w:rPr>
                <w:spacing w:val="-8"/>
                <w:sz w:val="20"/>
              </w:rPr>
              <w:t> </w:t>
            </w:r>
            <w:r>
              <w:rPr>
                <w:sz w:val="20"/>
              </w:rPr>
              <w:t>personas</w:t>
            </w:r>
            <w:r>
              <w:rPr>
                <w:spacing w:val="-8"/>
                <w:sz w:val="20"/>
              </w:rPr>
              <w:t> </w:t>
            </w:r>
            <w:r>
              <w:rPr>
                <w:sz w:val="20"/>
              </w:rPr>
              <w:t>que</w:t>
            </w:r>
            <w:r>
              <w:rPr>
                <w:spacing w:val="-8"/>
                <w:sz w:val="20"/>
              </w:rPr>
              <w:t> </w:t>
            </w:r>
            <w:r>
              <w:rPr>
                <w:sz w:val="20"/>
              </w:rPr>
              <w:t>reciben</w:t>
            </w:r>
            <w:r>
              <w:rPr>
                <w:spacing w:val="-8"/>
                <w:sz w:val="20"/>
              </w:rPr>
              <w:t> </w:t>
            </w:r>
            <w:r>
              <w:rPr>
                <w:sz w:val="20"/>
              </w:rPr>
              <w:t>un</w:t>
            </w:r>
            <w:r>
              <w:rPr>
                <w:spacing w:val="-9"/>
                <w:sz w:val="20"/>
              </w:rPr>
              <w:t> </w:t>
            </w:r>
            <w:r>
              <w:rPr>
                <w:sz w:val="20"/>
              </w:rPr>
              <w:t>subsidio</w:t>
            </w:r>
            <w:r>
              <w:rPr>
                <w:spacing w:val="-8"/>
                <w:sz w:val="20"/>
              </w:rPr>
              <w:t> </w:t>
            </w:r>
            <w:r>
              <w:rPr>
                <w:sz w:val="20"/>
              </w:rPr>
              <w:t>de</w:t>
            </w:r>
            <w:r>
              <w:rPr>
                <w:spacing w:val="-8"/>
                <w:sz w:val="20"/>
              </w:rPr>
              <w:t> </w:t>
            </w:r>
            <w:r>
              <w:rPr>
                <w:sz w:val="20"/>
              </w:rPr>
              <w:t>emprendimientos</w:t>
            </w:r>
            <w:r>
              <w:rPr>
                <w:spacing w:val="-7"/>
                <w:sz w:val="20"/>
              </w:rPr>
              <w:t> </w:t>
            </w:r>
            <w:r>
              <w:rPr>
                <w:spacing w:val="-2"/>
                <w:sz w:val="20"/>
              </w:rPr>
              <w:t>productivos</w:t>
            </w:r>
          </w:p>
          <w:p>
            <w:pPr>
              <w:pStyle w:val="TableParagraph"/>
              <w:ind w:left="69"/>
              <w:rPr>
                <w:sz w:val="20"/>
              </w:rPr>
            </w:pPr>
            <w:r>
              <w:rPr>
                <w:sz w:val="20"/>
              </w:rPr>
              <w:t>individuales,</w:t>
            </w:r>
            <w:r>
              <w:rPr>
                <w:spacing w:val="-7"/>
                <w:sz w:val="20"/>
              </w:rPr>
              <w:t> </w:t>
            </w:r>
            <w:r>
              <w:rPr>
                <w:sz w:val="20"/>
              </w:rPr>
              <w:t>en</w:t>
            </w:r>
            <w:r>
              <w:rPr>
                <w:spacing w:val="-7"/>
                <w:sz w:val="20"/>
              </w:rPr>
              <w:t> </w:t>
            </w:r>
            <w:r>
              <w:rPr>
                <w:sz w:val="20"/>
              </w:rPr>
              <w:t>“X”</w:t>
            </w:r>
            <w:r>
              <w:rPr>
                <w:spacing w:val="-6"/>
                <w:sz w:val="20"/>
              </w:rPr>
              <w:t> </w:t>
            </w:r>
            <w:r>
              <w:rPr>
                <w:sz w:val="20"/>
              </w:rPr>
              <w:t>período</w:t>
            </w:r>
            <w:r>
              <w:rPr>
                <w:spacing w:val="-5"/>
                <w:sz w:val="20"/>
              </w:rPr>
              <w:t> </w:t>
            </w:r>
            <w:r>
              <w:rPr>
                <w:sz w:val="20"/>
              </w:rPr>
              <w:t>es</w:t>
            </w:r>
            <w:r>
              <w:rPr>
                <w:spacing w:val="-6"/>
                <w:sz w:val="20"/>
              </w:rPr>
              <w:t> </w:t>
            </w:r>
            <w:r>
              <w:rPr>
                <w:sz w:val="20"/>
              </w:rPr>
              <w:t>de</w:t>
            </w:r>
            <w:r>
              <w:rPr>
                <w:spacing w:val="-8"/>
                <w:sz w:val="20"/>
              </w:rPr>
              <w:t> </w:t>
            </w:r>
            <w:r>
              <w:rPr>
                <w:spacing w:val="-4"/>
                <w:sz w:val="20"/>
              </w:rPr>
              <w:t>“Y”.</w:t>
            </w:r>
          </w:p>
          <w:p>
            <w:pPr>
              <w:pStyle w:val="TableParagraph"/>
              <w:ind w:left="69"/>
              <w:rPr>
                <w:sz w:val="20"/>
              </w:rPr>
            </w:pPr>
            <w:r>
              <w:rPr>
                <w:sz w:val="20"/>
              </w:rPr>
              <w:t>En</w:t>
            </w:r>
            <w:r>
              <w:rPr>
                <w:spacing w:val="-7"/>
                <w:sz w:val="20"/>
              </w:rPr>
              <w:t> </w:t>
            </w:r>
            <w:r>
              <w:rPr>
                <w:sz w:val="20"/>
              </w:rPr>
              <w:t>esta</w:t>
            </w:r>
            <w:r>
              <w:rPr>
                <w:spacing w:val="-7"/>
                <w:sz w:val="20"/>
              </w:rPr>
              <w:t> </w:t>
            </w:r>
            <w:r>
              <w:rPr>
                <w:sz w:val="20"/>
              </w:rPr>
              <w:t>“X”</w:t>
            </w:r>
            <w:r>
              <w:rPr>
                <w:spacing w:val="-6"/>
                <w:sz w:val="20"/>
              </w:rPr>
              <w:t> </w:t>
            </w:r>
            <w:r>
              <w:rPr>
                <w:sz w:val="20"/>
              </w:rPr>
              <w:t>representa</w:t>
            </w:r>
            <w:r>
              <w:rPr>
                <w:spacing w:val="-5"/>
                <w:sz w:val="20"/>
              </w:rPr>
              <w:t> </w:t>
            </w:r>
            <w:r>
              <w:rPr>
                <w:sz w:val="20"/>
              </w:rPr>
              <w:t>el</w:t>
            </w:r>
            <w:r>
              <w:rPr>
                <w:spacing w:val="-6"/>
                <w:sz w:val="20"/>
              </w:rPr>
              <w:t> </w:t>
            </w:r>
            <w:r>
              <w:rPr>
                <w:sz w:val="20"/>
              </w:rPr>
              <w:t>período</w:t>
            </w:r>
            <w:r>
              <w:rPr>
                <w:spacing w:val="-6"/>
                <w:sz w:val="20"/>
              </w:rPr>
              <w:t> </w:t>
            </w:r>
            <w:r>
              <w:rPr>
                <w:sz w:val="20"/>
              </w:rPr>
              <w:t>de</w:t>
            </w:r>
            <w:r>
              <w:rPr>
                <w:spacing w:val="-7"/>
                <w:sz w:val="20"/>
              </w:rPr>
              <w:t> </w:t>
            </w:r>
            <w:r>
              <w:rPr>
                <w:sz w:val="20"/>
              </w:rPr>
              <w:t>tiempo</w:t>
            </w:r>
            <w:r>
              <w:rPr>
                <w:spacing w:val="-5"/>
                <w:sz w:val="20"/>
              </w:rPr>
              <w:t> </w:t>
            </w:r>
            <w:r>
              <w:rPr>
                <w:sz w:val="20"/>
              </w:rPr>
              <w:t>según</w:t>
            </w:r>
            <w:r>
              <w:rPr>
                <w:spacing w:val="-7"/>
                <w:sz w:val="20"/>
              </w:rPr>
              <w:t> </w:t>
            </w:r>
            <w:r>
              <w:rPr>
                <w:sz w:val="20"/>
              </w:rPr>
              <w:t>la</w:t>
            </w:r>
            <w:r>
              <w:rPr>
                <w:spacing w:val="-7"/>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28" w:lineRule="exact"/>
              <w:ind w:left="69" w:right="170"/>
              <w:rPr>
                <w:sz w:val="20"/>
              </w:rPr>
            </w:pPr>
            <w:r>
              <w:rPr>
                <w:sz w:val="20"/>
              </w:rPr>
              <w:t>significa</w:t>
            </w:r>
            <w:r>
              <w:rPr>
                <w:spacing w:val="-3"/>
                <w:sz w:val="20"/>
              </w:rPr>
              <w:t> </w:t>
            </w:r>
            <w:r>
              <w:rPr>
                <w:sz w:val="20"/>
              </w:rPr>
              <w:t>la</w:t>
            </w:r>
            <w:r>
              <w:rPr>
                <w:spacing w:val="-3"/>
                <w:sz w:val="20"/>
              </w:rPr>
              <w:t> </w:t>
            </w:r>
            <w:r>
              <w:rPr>
                <w:sz w:val="20"/>
              </w:rPr>
              <w:t>meta</w:t>
            </w:r>
            <w:r>
              <w:rPr>
                <w:spacing w:val="-5"/>
                <w:sz w:val="20"/>
              </w:rPr>
              <w:t> </w:t>
            </w:r>
            <w:r>
              <w:rPr>
                <w:sz w:val="20"/>
              </w:rPr>
              <w:t>alcanzada</w:t>
            </w:r>
            <w:r>
              <w:rPr>
                <w:spacing w:val="-3"/>
                <w:sz w:val="20"/>
              </w:rPr>
              <w:t> </w:t>
            </w:r>
            <w:r>
              <w:rPr>
                <w:sz w:val="20"/>
              </w:rPr>
              <w:t>a</w:t>
            </w:r>
            <w:r>
              <w:rPr>
                <w:spacing w:val="-6"/>
                <w:sz w:val="20"/>
              </w:rPr>
              <w:t> </w:t>
            </w:r>
            <w:r>
              <w:rPr>
                <w:sz w:val="20"/>
              </w:rPr>
              <w:t>ese</w:t>
            </w:r>
            <w:r>
              <w:rPr>
                <w:spacing w:val="-3"/>
                <w:sz w:val="20"/>
              </w:rPr>
              <w:t> </w:t>
            </w:r>
            <w:r>
              <w:rPr>
                <w:sz w:val="20"/>
              </w:rPr>
              <w:t>momento</w:t>
            </w:r>
            <w:r>
              <w:rPr>
                <w:spacing w:val="-5"/>
                <w:sz w:val="20"/>
              </w:rPr>
              <w:t> </w:t>
            </w:r>
            <w:r>
              <w:rPr>
                <w:sz w:val="20"/>
              </w:rPr>
              <w:t>según</w:t>
            </w:r>
            <w:r>
              <w:rPr>
                <w:spacing w:val="-5"/>
                <w:sz w:val="20"/>
              </w:rPr>
              <w:t> </w:t>
            </w:r>
            <w:r>
              <w:rPr>
                <w:sz w:val="20"/>
              </w:rPr>
              <w:t>la</w:t>
            </w:r>
            <w:r>
              <w:rPr>
                <w:spacing w:val="-5"/>
                <w:sz w:val="20"/>
              </w:rPr>
              <w:t> </w:t>
            </w:r>
            <w:r>
              <w:rPr>
                <w:sz w:val="20"/>
              </w:rPr>
              <w:t>unidad</w:t>
            </w:r>
            <w:r>
              <w:rPr>
                <w:spacing w:val="-6"/>
                <w:sz w:val="20"/>
              </w:rPr>
              <w:t> </w:t>
            </w:r>
            <w:r>
              <w:rPr>
                <w:sz w:val="20"/>
              </w:rPr>
              <w:t>de</w:t>
            </w:r>
            <w:r>
              <w:rPr>
                <w:spacing w:val="-5"/>
                <w:sz w:val="20"/>
              </w:rPr>
              <w:t> </w:t>
            </w:r>
            <w:r>
              <w:rPr>
                <w:sz w:val="20"/>
              </w:rPr>
              <w:t>medida </w:t>
            </w:r>
            <w:r>
              <w:rPr>
                <w:spacing w:val="-2"/>
                <w:sz w:val="20"/>
              </w:rPr>
              <w:t>establecida.</w:t>
            </w:r>
          </w:p>
        </w:tc>
      </w:tr>
      <w:tr>
        <w:trPr>
          <w:trHeight w:val="316" w:hRule="atLeast"/>
        </w:trPr>
        <w:tc>
          <w:tcPr>
            <w:tcW w:w="2835" w:type="dxa"/>
            <w:shd w:val="clear" w:color="auto" w:fill="DCE6F0"/>
          </w:tcPr>
          <w:p>
            <w:pPr>
              <w:pStyle w:val="TableParagraph"/>
              <w:spacing w:before="42"/>
              <w:ind w:left="67"/>
              <w:rPr>
                <w:b/>
                <w:sz w:val="20"/>
              </w:rPr>
            </w:pPr>
            <w:r>
              <w:rPr>
                <w:b/>
                <w:spacing w:val="-2"/>
                <w:sz w:val="20"/>
              </w:rPr>
              <w:t>Desagregación</w:t>
            </w:r>
          </w:p>
        </w:tc>
        <w:tc>
          <w:tcPr>
            <w:tcW w:w="7514"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4" w:hRule="atLeast"/>
        </w:trPr>
        <w:tc>
          <w:tcPr>
            <w:tcW w:w="2835" w:type="dxa"/>
            <w:shd w:val="clear" w:color="auto" w:fill="DCE6F0"/>
          </w:tcPr>
          <w:p>
            <w:pPr>
              <w:pStyle w:val="TableParagraph"/>
              <w:spacing w:before="42"/>
              <w:ind w:left="67"/>
              <w:rPr>
                <w:b/>
                <w:sz w:val="20"/>
              </w:rPr>
            </w:pPr>
            <w:r>
              <w:rPr>
                <w:b/>
                <w:spacing w:val="-2"/>
                <w:sz w:val="20"/>
              </w:rPr>
              <w:t>Meta:</w:t>
            </w:r>
          </w:p>
        </w:tc>
        <w:tc>
          <w:tcPr>
            <w:tcW w:w="7514" w:type="dxa"/>
          </w:tcPr>
          <w:p>
            <w:pPr>
              <w:pStyle w:val="TableParagraph"/>
              <w:spacing w:before="42"/>
              <w:ind w:left="69"/>
              <w:rPr>
                <w:sz w:val="20"/>
              </w:rPr>
            </w:pPr>
            <w:r>
              <w:rPr>
                <w:spacing w:val="-4"/>
                <w:sz w:val="20"/>
              </w:rPr>
              <w:t>1600</w:t>
            </w:r>
          </w:p>
        </w:tc>
      </w:tr>
      <w:tr>
        <w:trPr>
          <w:trHeight w:val="316" w:hRule="atLeast"/>
        </w:trPr>
        <w:tc>
          <w:tcPr>
            <w:tcW w:w="2835" w:type="dxa"/>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7514" w:type="dxa"/>
          </w:tcPr>
          <w:p>
            <w:pPr>
              <w:pStyle w:val="TableParagraph"/>
              <w:spacing w:before="42"/>
              <w:ind w:left="69"/>
              <w:rPr>
                <w:sz w:val="20"/>
              </w:rPr>
            </w:pPr>
            <w:r>
              <w:rPr>
                <w:spacing w:val="-4"/>
                <w:sz w:val="20"/>
              </w:rPr>
              <w:t>1400</w:t>
            </w:r>
          </w:p>
        </w:tc>
      </w:tr>
      <w:tr>
        <w:trPr>
          <w:trHeight w:val="628" w:hRule="atLeast"/>
        </w:trPr>
        <w:tc>
          <w:tcPr>
            <w:tcW w:w="2835" w:type="dxa"/>
            <w:shd w:val="clear" w:color="auto" w:fill="DCE6F0"/>
          </w:tcPr>
          <w:p>
            <w:pPr>
              <w:pStyle w:val="TableParagraph"/>
              <w:spacing w:before="8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198"/>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835" w:type="dxa"/>
            <w:shd w:val="clear" w:color="auto" w:fill="DCE6F0"/>
          </w:tcPr>
          <w:p>
            <w:pPr>
              <w:pStyle w:val="TableParagraph"/>
              <w:spacing w:before="11"/>
              <w:rPr>
                <w:b/>
                <w:sz w:val="20"/>
              </w:rPr>
            </w:pPr>
          </w:p>
          <w:p>
            <w:pPr>
              <w:pStyle w:val="TableParagraph"/>
              <w:spacing w:before="1"/>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11"/>
              <w:rPr>
                <w:b/>
                <w:sz w:val="20"/>
              </w:rPr>
            </w:pPr>
          </w:p>
          <w:p>
            <w:pPr>
              <w:pStyle w:val="TableParagraph"/>
              <w:spacing w:before="1"/>
              <w:ind w:left="69"/>
              <w:rPr>
                <w:sz w:val="20"/>
              </w:rPr>
            </w:pPr>
            <w:r>
              <w:rPr>
                <w:sz w:val="20"/>
              </w:rPr>
              <w:t>Nombre</w:t>
            </w:r>
            <w:r>
              <w:rPr>
                <w:spacing w:val="-7"/>
                <w:sz w:val="20"/>
              </w:rPr>
              <w:t> </w:t>
            </w:r>
            <w:r>
              <w:rPr>
                <w:sz w:val="20"/>
              </w:rPr>
              <w:t>del</w:t>
            </w:r>
            <w:r>
              <w:rPr>
                <w:spacing w:val="-10"/>
                <w:sz w:val="20"/>
              </w:rPr>
              <w:t> </w:t>
            </w:r>
            <w:r>
              <w:rPr>
                <w:sz w:val="20"/>
              </w:rPr>
              <w:t>funcionario:</w:t>
            </w:r>
            <w:r>
              <w:rPr>
                <w:spacing w:val="-6"/>
                <w:sz w:val="20"/>
              </w:rPr>
              <w:t> </w:t>
            </w:r>
            <w:r>
              <w:rPr>
                <w:sz w:val="20"/>
              </w:rPr>
              <w:t>Karla</w:t>
            </w:r>
            <w:r>
              <w:rPr>
                <w:spacing w:val="-9"/>
                <w:sz w:val="20"/>
              </w:rPr>
              <w:t> </w:t>
            </w:r>
            <w:r>
              <w:rPr>
                <w:sz w:val="20"/>
              </w:rPr>
              <w:t>Pérez</w:t>
            </w:r>
            <w:r>
              <w:rPr>
                <w:spacing w:val="-7"/>
                <w:sz w:val="20"/>
              </w:rPr>
              <w:t> </w:t>
            </w:r>
            <w:r>
              <w:rPr>
                <w:spacing w:val="-2"/>
                <w:sz w:val="20"/>
              </w:rPr>
              <w:t>Fonseca</w:t>
            </w:r>
          </w:p>
          <w:p>
            <w:pPr>
              <w:pStyle w:val="TableParagraph"/>
              <w:ind w:left="69"/>
              <w:rPr>
                <w:sz w:val="20"/>
              </w:rPr>
            </w:pPr>
            <w:r>
              <w:rPr>
                <w:sz w:val="20"/>
              </w:rPr>
              <w:t>Cargo:</w:t>
            </w:r>
            <w:r>
              <w:rPr>
                <w:spacing w:val="-10"/>
                <w:sz w:val="20"/>
              </w:rPr>
              <w:t> </w:t>
            </w:r>
            <w:r>
              <w:rPr>
                <w:sz w:val="20"/>
              </w:rPr>
              <w:t>Jefatura,</w:t>
            </w:r>
            <w:r>
              <w:rPr>
                <w:spacing w:val="-9"/>
                <w:sz w:val="20"/>
              </w:rPr>
              <w:t> </w:t>
            </w:r>
            <w:r>
              <w:rPr>
                <w:sz w:val="20"/>
              </w:rPr>
              <w:t>Departamento</w:t>
            </w:r>
            <w:r>
              <w:rPr>
                <w:spacing w:val="-7"/>
                <w:sz w:val="20"/>
              </w:rPr>
              <w:t> </w:t>
            </w:r>
            <w:r>
              <w:rPr>
                <w:sz w:val="20"/>
              </w:rPr>
              <w:t>de</w:t>
            </w:r>
            <w:r>
              <w:rPr>
                <w:spacing w:val="-10"/>
                <w:sz w:val="20"/>
              </w:rPr>
              <w:t> </w:t>
            </w:r>
            <w:r>
              <w:rPr>
                <w:sz w:val="20"/>
              </w:rPr>
              <w:t>Desarrollo</w:t>
            </w:r>
            <w:r>
              <w:rPr>
                <w:spacing w:val="-7"/>
                <w:sz w:val="20"/>
              </w:rPr>
              <w:t> </w:t>
            </w:r>
            <w:r>
              <w:rPr>
                <w:sz w:val="20"/>
              </w:rPr>
              <w:t>Socio</w:t>
            </w:r>
            <w:r>
              <w:rPr>
                <w:spacing w:val="-9"/>
                <w:sz w:val="20"/>
              </w:rPr>
              <w:t> </w:t>
            </w:r>
            <w:r>
              <w:rPr>
                <w:sz w:val="20"/>
              </w:rPr>
              <w:t>Productivo</w:t>
            </w:r>
            <w:r>
              <w:rPr>
                <w:spacing w:val="-8"/>
                <w:sz w:val="20"/>
              </w:rPr>
              <w:t> </w:t>
            </w:r>
            <w:r>
              <w:rPr>
                <w:sz w:val="20"/>
              </w:rPr>
              <w:t>y</w:t>
            </w:r>
            <w:r>
              <w:rPr>
                <w:spacing w:val="-8"/>
                <w:sz w:val="20"/>
              </w:rPr>
              <w:t> </w:t>
            </w:r>
            <w:r>
              <w:rPr>
                <w:spacing w:val="-2"/>
                <w:sz w:val="20"/>
              </w:rPr>
              <w:t>Comunal</w:t>
            </w:r>
          </w:p>
        </w:tc>
      </w:tr>
      <w:tr>
        <w:trPr>
          <w:trHeight w:val="945" w:hRule="atLeast"/>
        </w:trPr>
        <w:tc>
          <w:tcPr>
            <w:tcW w:w="2835" w:type="dxa"/>
            <w:shd w:val="clear" w:color="auto" w:fill="DCE6F0"/>
          </w:tcPr>
          <w:p>
            <w:pPr>
              <w:pStyle w:val="TableParagraph"/>
              <w:spacing w:before="11"/>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1"/>
              <w:rPr>
                <w:b/>
                <w:sz w:val="20"/>
              </w:rPr>
            </w:pPr>
          </w:p>
          <w:p>
            <w:pPr>
              <w:pStyle w:val="TableParagraph"/>
              <w:spacing w:before="1"/>
              <w:ind w:left="69"/>
              <w:rPr>
                <w:sz w:val="20"/>
              </w:rPr>
            </w:pPr>
            <w:r>
              <w:rPr>
                <w:sz w:val="20"/>
              </w:rPr>
              <w:t>Dirección</w:t>
            </w:r>
            <w:r>
              <w:rPr>
                <w:spacing w:val="-5"/>
                <w:sz w:val="20"/>
              </w:rPr>
              <w:t> </w:t>
            </w:r>
            <w:r>
              <w:rPr>
                <w:sz w:val="20"/>
              </w:rPr>
              <w:t>de</w:t>
            </w:r>
            <w:r>
              <w:rPr>
                <w:spacing w:val="-6"/>
                <w:sz w:val="20"/>
              </w:rPr>
              <w:t> </w:t>
            </w:r>
            <w:r>
              <w:rPr>
                <w:sz w:val="20"/>
              </w:rPr>
              <w:t>Desarrollo</w:t>
            </w:r>
            <w:r>
              <w:rPr>
                <w:spacing w:val="-5"/>
                <w:sz w:val="20"/>
              </w:rPr>
              <w:t> </w:t>
            </w:r>
            <w:r>
              <w:rPr>
                <w:sz w:val="20"/>
              </w:rPr>
              <w:t>Social,</w:t>
            </w:r>
            <w:r>
              <w:rPr>
                <w:spacing w:val="-5"/>
                <w:sz w:val="20"/>
              </w:rPr>
              <w:t> </w:t>
            </w:r>
            <w:r>
              <w:rPr>
                <w:sz w:val="20"/>
              </w:rPr>
              <w:t>Departamento</w:t>
            </w:r>
            <w:r>
              <w:rPr>
                <w:spacing w:val="-5"/>
                <w:sz w:val="20"/>
              </w:rPr>
              <w:t> </w:t>
            </w:r>
            <w:r>
              <w:rPr>
                <w:sz w:val="20"/>
              </w:rPr>
              <w:t>de</w:t>
            </w:r>
            <w:r>
              <w:rPr>
                <w:spacing w:val="-6"/>
                <w:sz w:val="20"/>
              </w:rPr>
              <w:t> </w:t>
            </w:r>
            <w:r>
              <w:rPr>
                <w:sz w:val="20"/>
              </w:rPr>
              <w:t>Desarrollo</w:t>
            </w:r>
            <w:r>
              <w:rPr>
                <w:spacing w:val="-7"/>
                <w:sz w:val="20"/>
              </w:rPr>
              <w:t> </w:t>
            </w:r>
            <w:r>
              <w:rPr>
                <w:sz w:val="20"/>
              </w:rPr>
              <w:t>Socioproductivo</w:t>
            </w:r>
            <w:r>
              <w:rPr>
                <w:spacing w:val="-7"/>
                <w:sz w:val="20"/>
              </w:rPr>
              <w:t> </w:t>
            </w:r>
            <w:r>
              <w:rPr>
                <w:sz w:val="20"/>
              </w:rPr>
              <w:t>y </w:t>
            </w:r>
            <w:r>
              <w:rPr>
                <w:spacing w:val="-2"/>
                <w:sz w:val="20"/>
              </w:rPr>
              <w:t>comunal</w:t>
            </w:r>
          </w:p>
        </w:tc>
      </w:tr>
      <w:tr>
        <w:trPr>
          <w:trHeight w:val="316" w:hRule="atLeast"/>
        </w:trPr>
        <w:tc>
          <w:tcPr>
            <w:tcW w:w="2835" w:type="dxa"/>
            <w:shd w:val="clear" w:color="auto" w:fill="DCE6F0"/>
          </w:tcPr>
          <w:p>
            <w:pPr>
              <w:pStyle w:val="TableParagraph"/>
              <w:spacing w:before="42"/>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42"/>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599" w:hRule="atLeast"/>
        </w:trPr>
        <w:tc>
          <w:tcPr>
            <w:tcW w:w="2835" w:type="dxa"/>
            <w:shd w:val="clear" w:color="auto" w:fill="DCE6F0"/>
          </w:tcPr>
          <w:p>
            <w:pPr>
              <w:pStyle w:val="TableParagraph"/>
              <w:spacing w:before="184"/>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69"/>
              <w:ind w:left="69"/>
              <w:rPr>
                <w:sz w:val="20"/>
              </w:rPr>
            </w:pPr>
            <w:r>
              <w:rPr>
                <w:sz w:val="20"/>
              </w:rPr>
              <w:t>Informes</w:t>
            </w:r>
            <w:r>
              <w:rPr>
                <w:spacing w:val="-5"/>
                <w:sz w:val="20"/>
              </w:rPr>
              <w:t> </w:t>
            </w:r>
            <w:r>
              <w:rPr>
                <w:sz w:val="20"/>
              </w:rPr>
              <w:t>del</w:t>
            </w:r>
            <w:r>
              <w:rPr>
                <w:spacing w:val="-6"/>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6"/>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899" w:hRule="atLeast"/>
        </w:trPr>
        <w:tc>
          <w:tcPr>
            <w:tcW w:w="2835" w:type="dxa"/>
            <w:shd w:val="clear" w:color="auto" w:fill="DCE6F0"/>
          </w:tcPr>
          <w:p>
            <w:pPr>
              <w:pStyle w:val="TableParagraph"/>
              <w:spacing w:before="103"/>
              <w:rPr>
                <w:b/>
                <w:sz w:val="20"/>
              </w:rPr>
            </w:pPr>
          </w:p>
          <w:p>
            <w:pPr>
              <w:pStyle w:val="TableParagraph"/>
              <w:ind w:left="67"/>
              <w:rPr>
                <w:b/>
                <w:sz w:val="20"/>
              </w:rPr>
            </w:pPr>
            <w:r>
              <w:rPr>
                <w:b/>
                <w:spacing w:val="-2"/>
                <w:sz w:val="20"/>
              </w:rPr>
              <w:t>Clasificación</w:t>
            </w:r>
          </w:p>
        </w:tc>
        <w:tc>
          <w:tcPr>
            <w:tcW w:w="7514" w:type="dxa"/>
          </w:tcPr>
          <w:p>
            <w:pPr>
              <w:pStyle w:val="TableParagraph"/>
              <w:spacing w:before="103"/>
              <w:rPr>
                <w:b/>
                <w:sz w:val="20"/>
              </w:rPr>
            </w:pPr>
          </w:p>
          <w:p>
            <w:pPr>
              <w:pStyle w:val="TableParagraph"/>
              <w:ind w:left="69"/>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5"/>
                <w:sz w:val="20"/>
              </w:rPr>
              <w:t> </w:t>
            </w:r>
            <w:r>
              <w:rPr>
                <w:sz w:val="20"/>
              </w:rPr>
              <w:t>Producto</w:t>
            </w:r>
            <w:r>
              <w:rPr>
                <w:spacing w:val="-8"/>
                <w:sz w:val="20"/>
              </w:rPr>
              <w:t> </w:t>
            </w:r>
            <w:r>
              <w:rPr>
                <w:spacing w:val="-5"/>
                <w:sz w:val="20"/>
              </w:rPr>
              <w:t>(X)</w:t>
            </w:r>
          </w:p>
        </w:tc>
      </w:tr>
      <w:tr>
        <w:trPr>
          <w:trHeight w:val="316" w:hRule="atLeast"/>
        </w:trPr>
        <w:tc>
          <w:tcPr>
            <w:tcW w:w="2835" w:type="dxa"/>
            <w:shd w:val="clear" w:color="auto" w:fill="DCE6F0"/>
          </w:tcPr>
          <w:p>
            <w:pPr>
              <w:pStyle w:val="TableParagraph"/>
              <w:spacing w:before="42"/>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spacing w:line="229" w:lineRule="exact"/>
              <w:ind w:left="69"/>
              <w:rPr>
                <w:sz w:val="20"/>
              </w:rPr>
            </w:pPr>
            <w:r>
              <w:rPr>
                <w:sz w:val="20"/>
              </w:rPr>
              <w:t>Este</w:t>
            </w:r>
            <w:r>
              <w:rPr>
                <w:spacing w:val="-9"/>
                <w:sz w:val="20"/>
              </w:rPr>
              <w:t> </w:t>
            </w:r>
            <w:r>
              <w:rPr>
                <w:sz w:val="20"/>
              </w:rPr>
              <w:t>indicador</w:t>
            </w:r>
            <w:r>
              <w:rPr>
                <w:spacing w:val="-7"/>
                <w:sz w:val="20"/>
              </w:rPr>
              <w:t> </w:t>
            </w:r>
            <w:r>
              <w:rPr>
                <w:sz w:val="20"/>
              </w:rPr>
              <w:t>se</w:t>
            </w:r>
            <w:r>
              <w:rPr>
                <w:spacing w:val="-5"/>
                <w:sz w:val="20"/>
              </w:rPr>
              <w:t> </w:t>
            </w:r>
            <w:r>
              <w:rPr>
                <w:sz w:val="20"/>
              </w:rPr>
              <w:t>encuentra</w:t>
            </w:r>
            <w:r>
              <w:rPr>
                <w:spacing w:val="-7"/>
                <w:sz w:val="20"/>
              </w:rPr>
              <w:t> </w:t>
            </w:r>
            <w:r>
              <w:rPr>
                <w:sz w:val="20"/>
              </w:rPr>
              <w:t>vinculado</w:t>
            </w:r>
            <w:r>
              <w:rPr>
                <w:spacing w:val="-8"/>
                <w:sz w:val="20"/>
              </w:rPr>
              <w:t> </w:t>
            </w:r>
            <w:r>
              <w:rPr>
                <w:sz w:val="20"/>
              </w:rPr>
              <w:t>al</w:t>
            </w:r>
            <w:r>
              <w:rPr>
                <w:spacing w:val="-8"/>
                <w:sz w:val="20"/>
              </w:rPr>
              <w:t> </w:t>
            </w:r>
            <w:r>
              <w:rPr>
                <w:spacing w:val="-4"/>
                <w:sz w:val="20"/>
              </w:rPr>
              <w:t>PEN.</w:t>
            </w:r>
          </w:p>
        </w:tc>
      </w:tr>
    </w:tbl>
    <w:p>
      <w:pPr>
        <w:pStyle w:val="TableParagraph"/>
        <w:spacing w:after="0" w:line="229" w:lineRule="exact"/>
        <w:rPr>
          <w:sz w:val="20"/>
        </w:rPr>
        <w:sectPr>
          <w:pgSz w:w="12240" w:h="15840"/>
          <w:pgMar w:header="0" w:footer="2082" w:top="1820" w:bottom="2600"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602" w:hRule="atLeast"/>
        </w:trPr>
        <w:tc>
          <w:tcPr>
            <w:tcW w:w="2835" w:type="dxa"/>
            <w:shd w:val="clear" w:color="auto" w:fill="DCE6F0"/>
          </w:tcPr>
          <w:p>
            <w:pPr>
              <w:pStyle w:val="TableParagraph"/>
              <w:spacing w:before="187"/>
              <w:ind w:left="67"/>
              <w:rPr>
                <w:b/>
                <w:sz w:val="20"/>
              </w:rPr>
            </w:pPr>
            <w:r>
              <w:rPr>
                <w:b/>
                <w:sz w:val="20"/>
              </w:rPr>
              <w:t>PPPS</w:t>
            </w:r>
            <w:r>
              <w:rPr>
                <w:b/>
                <w:spacing w:val="-6"/>
                <w:sz w:val="20"/>
              </w:rPr>
              <w:t> </w:t>
            </w:r>
            <w:r>
              <w:rPr>
                <w:b/>
                <w:spacing w:val="-2"/>
                <w:sz w:val="20"/>
              </w:rPr>
              <w:t>1.2.5:</w:t>
            </w:r>
          </w:p>
        </w:tc>
        <w:tc>
          <w:tcPr>
            <w:tcW w:w="7514" w:type="dxa"/>
          </w:tcPr>
          <w:p>
            <w:pPr>
              <w:pStyle w:val="TableParagraph"/>
              <w:spacing w:before="72"/>
              <w:ind w:left="69"/>
              <w:rPr>
                <w:sz w:val="20"/>
              </w:rPr>
            </w:pPr>
            <w:r>
              <w:rPr>
                <w:sz w:val="20"/>
              </w:rPr>
              <w:t>Nombre</w:t>
            </w:r>
            <w:r>
              <w:rPr>
                <w:spacing w:val="-4"/>
                <w:sz w:val="20"/>
              </w:rPr>
              <w:t> </w:t>
            </w:r>
            <w:r>
              <w:rPr>
                <w:sz w:val="20"/>
              </w:rPr>
              <w:t>del</w:t>
            </w:r>
            <w:r>
              <w:rPr>
                <w:spacing w:val="-7"/>
                <w:sz w:val="20"/>
              </w:rPr>
              <w:t> </w:t>
            </w:r>
            <w:r>
              <w:rPr>
                <w:sz w:val="20"/>
              </w:rPr>
              <w:t>Indicador:</w:t>
            </w:r>
            <w:r>
              <w:rPr>
                <w:spacing w:val="-6"/>
                <w:sz w:val="20"/>
              </w:rPr>
              <w:t> </w:t>
            </w:r>
            <w:r>
              <w:rPr>
                <w:sz w:val="20"/>
              </w:rPr>
              <w:t>Cantidad</w:t>
            </w:r>
            <w:r>
              <w:rPr>
                <w:spacing w:val="-6"/>
                <w:sz w:val="20"/>
              </w:rPr>
              <w:t> </w:t>
            </w:r>
            <w:r>
              <w:rPr>
                <w:sz w:val="20"/>
              </w:rPr>
              <w:t>de</w:t>
            </w:r>
            <w:r>
              <w:rPr>
                <w:spacing w:val="-4"/>
                <w:sz w:val="20"/>
              </w:rPr>
              <w:t> </w:t>
            </w:r>
            <w:r>
              <w:rPr>
                <w:sz w:val="20"/>
              </w:rPr>
              <w:t>personas</w:t>
            </w:r>
            <w:r>
              <w:rPr>
                <w:spacing w:val="-5"/>
                <w:sz w:val="20"/>
              </w:rPr>
              <w:t> </w:t>
            </w:r>
            <w:r>
              <w:rPr>
                <w:sz w:val="20"/>
              </w:rPr>
              <w:t>receptoras</w:t>
            </w:r>
            <w:r>
              <w:rPr>
                <w:spacing w:val="-5"/>
                <w:sz w:val="20"/>
              </w:rPr>
              <w:t> </w:t>
            </w:r>
            <w:r>
              <w:rPr>
                <w:sz w:val="20"/>
              </w:rPr>
              <w:t>de</w:t>
            </w:r>
            <w:r>
              <w:rPr>
                <w:spacing w:val="-7"/>
                <w:sz w:val="20"/>
              </w:rPr>
              <w:t> </w:t>
            </w:r>
            <w:r>
              <w:rPr>
                <w:sz w:val="20"/>
              </w:rPr>
              <w:t>la</w:t>
            </w:r>
            <w:r>
              <w:rPr>
                <w:spacing w:val="-6"/>
                <w:sz w:val="20"/>
              </w:rPr>
              <w:t> </w:t>
            </w:r>
            <w:r>
              <w:rPr>
                <w:sz w:val="20"/>
              </w:rPr>
              <w:t>transferencia monetaria condicionada Cuidado y Desarrollo Infantil.</w:t>
            </w:r>
          </w:p>
        </w:tc>
      </w:tr>
      <w:tr>
        <w:trPr>
          <w:trHeight w:val="457" w:hRule="atLeast"/>
        </w:trPr>
        <w:tc>
          <w:tcPr>
            <w:tcW w:w="2835" w:type="dxa"/>
            <w:shd w:val="clear" w:color="auto" w:fill="DCE6F0"/>
          </w:tcPr>
          <w:p>
            <w:pPr>
              <w:pStyle w:val="TableParagraph"/>
              <w:spacing w:before="114"/>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line="228" w:lineRule="exact"/>
              <w:ind w:left="69"/>
              <w:rPr>
                <w:sz w:val="20"/>
              </w:rPr>
            </w:pPr>
            <w:r>
              <w:rPr>
                <w:sz w:val="20"/>
              </w:rPr>
              <w:t>Sumatoria</w:t>
            </w:r>
            <w:r>
              <w:rPr>
                <w:spacing w:val="-6"/>
                <w:sz w:val="20"/>
              </w:rPr>
              <w:t> </w:t>
            </w:r>
            <w:r>
              <w:rPr>
                <w:sz w:val="20"/>
              </w:rPr>
              <w:t>de</w:t>
            </w:r>
            <w:r>
              <w:rPr>
                <w:spacing w:val="-6"/>
                <w:sz w:val="20"/>
              </w:rPr>
              <w:t> </w:t>
            </w:r>
            <w:r>
              <w:rPr>
                <w:sz w:val="20"/>
              </w:rPr>
              <w:t>personas</w:t>
            </w:r>
            <w:r>
              <w:rPr>
                <w:spacing w:val="-5"/>
                <w:sz w:val="20"/>
              </w:rPr>
              <w:t> </w:t>
            </w:r>
            <w:r>
              <w:rPr>
                <w:sz w:val="20"/>
              </w:rPr>
              <w:t>que</w:t>
            </w:r>
            <w:r>
              <w:rPr>
                <w:spacing w:val="-6"/>
                <w:sz w:val="20"/>
              </w:rPr>
              <w:t> </w:t>
            </w:r>
            <w:r>
              <w:rPr>
                <w:sz w:val="20"/>
              </w:rPr>
              <w:t>reciben</w:t>
            </w:r>
            <w:r>
              <w:rPr>
                <w:spacing w:val="-4"/>
                <w:sz w:val="20"/>
              </w:rPr>
              <w:t> </w:t>
            </w:r>
            <w:r>
              <w:rPr>
                <w:sz w:val="20"/>
              </w:rPr>
              <w:t>la</w:t>
            </w:r>
            <w:r>
              <w:rPr>
                <w:spacing w:val="-6"/>
                <w:sz w:val="20"/>
              </w:rPr>
              <w:t> </w:t>
            </w:r>
            <w:r>
              <w:rPr>
                <w:sz w:val="20"/>
              </w:rPr>
              <w:t>transferencia</w:t>
            </w:r>
            <w:r>
              <w:rPr>
                <w:spacing w:val="-4"/>
                <w:sz w:val="20"/>
              </w:rPr>
              <w:t> </w:t>
            </w:r>
            <w:r>
              <w:rPr>
                <w:sz w:val="20"/>
              </w:rPr>
              <w:t>monetaria</w:t>
            </w:r>
            <w:r>
              <w:rPr>
                <w:spacing w:val="-6"/>
                <w:sz w:val="20"/>
              </w:rPr>
              <w:t> </w:t>
            </w:r>
            <w:r>
              <w:rPr>
                <w:sz w:val="20"/>
              </w:rPr>
              <w:t>condicionada Cuidado y Desarrollo Infantil.</w:t>
            </w:r>
          </w:p>
        </w:tc>
      </w:tr>
      <w:tr>
        <w:trPr>
          <w:trHeight w:val="316" w:hRule="atLeast"/>
        </w:trPr>
        <w:tc>
          <w:tcPr>
            <w:tcW w:w="2835" w:type="dxa"/>
            <w:shd w:val="clear" w:color="auto" w:fill="DCE6F0"/>
          </w:tcPr>
          <w:p>
            <w:pPr>
              <w:pStyle w:val="TableParagraph"/>
              <w:spacing w:before="42"/>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42"/>
              <w:ind w:left="69"/>
              <w:rPr>
                <w:sz w:val="20"/>
              </w:rPr>
            </w:pPr>
            <w:r>
              <w:rPr>
                <w:spacing w:val="-2"/>
                <w:sz w:val="20"/>
              </w:rPr>
              <w:t>Cantidad</w:t>
            </w:r>
          </w:p>
        </w:tc>
      </w:tr>
      <w:tr>
        <w:trPr>
          <w:trHeight w:val="1213" w:hRule="atLeast"/>
        </w:trPr>
        <w:tc>
          <w:tcPr>
            <w:tcW w:w="2835" w:type="dxa"/>
            <w:shd w:val="clear" w:color="auto" w:fill="DCE6F0"/>
          </w:tcPr>
          <w:p>
            <w:pPr>
              <w:pStyle w:val="TableParagraph"/>
              <w:rPr>
                <w:b/>
                <w:sz w:val="20"/>
              </w:rPr>
            </w:pPr>
          </w:p>
          <w:p>
            <w:pPr>
              <w:pStyle w:val="TableParagraph"/>
              <w:spacing w:before="31"/>
              <w:rPr>
                <w:b/>
                <w:sz w:val="20"/>
              </w:rPr>
            </w:pPr>
          </w:p>
          <w:p>
            <w:pPr>
              <w:pStyle w:val="TableParagraph"/>
              <w:ind w:left="67"/>
              <w:rPr>
                <w:b/>
                <w:sz w:val="20"/>
              </w:rPr>
            </w:pPr>
            <w:r>
              <w:rPr>
                <w:b/>
                <w:spacing w:val="-2"/>
                <w:sz w:val="20"/>
              </w:rPr>
              <w:t>Interpretación:</w:t>
            </w:r>
          </w:p>
        </w:tc>
        <w:tc>
          <w:tcPr>
            <w:tcW w:w="7514" w:type="dxa"/>
          </w:tcPr>
          <w:p>
            <w:pPr>
              <w:pStyle w:val="TableParagraph"/>
              <w:spacing w:before="64"/>
              <w:ind w:left="69"/>
              <w:rPr>
                <w:sz w:val="20"/>
              </w:rPr>
            </w:pPr>
            <w:r>
              <w:rPr>
                <w:sz w:val="20"/>
              </w:rPr>
              <w:t>La</w:t>
            </w:r>
            <w:r>
              <w:rPr>
                <w:spacing w:val="-10"/>
                <w:sz w:val="20"/>
              </w:rPr>
              <w:t> </w:t>
            </w:r>
            <w:r>
              <w:rPr>
                <w:sz w:val="20"/>
              </w:rPr>
              <w:t>cantidad</w:t>
            </w:r>
            <w:r>
              <w:rPr>
                <w:spacing w:val="-9"/>
                <w:sz w:val="20"/>
              </w:rPr>
              <w:t> </w:t>
            </w:r>
            <w:r>
              <w:rPr>
                <w:sz w:val="20"/>
              </w:rPr>
              <w:t>de</w:t>
            </w:r>
            <w:r>
              <w:rPr>
                <w:spacing w:val="-8"/>
                <w:sz w:val="20"/>
              </w:rPr>
              <w:t> </w:t>
            </w:r>
            <w:r>
              <w:rPr>
                <w:sz w:val="20"/>
              </w:rPr>
              <w:t>personas</w:t>
            </w:r>
            <w:r>
              <w:rPr>
                <w:spacing w:val="-8"/>
                <w:sz w:val="20"/>
              </w:rPr>
              <w:t> </w:t>
            </w:r>
            <w:r>
              <w:rPr>
                <w:sz w:val="20"/>
              </w:rPr>
              <w:t>que</w:t>
            </w:r>
            <w:r>
              <w:rPr>
                <w:spacing w:val="-9"/>
                <w:sz w:val="20"/>
              </w:rPr>
              <w:t> </w:t>
            </w:r>
            <w:r>
              <w:rPr>
                <w:sz w:val="20"/>
              </w:rPr>
              <w:t>reciben</w:t>
            </w:r>
            <w:r>
              <w:rPr>
                <w:spacing w:val="-7"/>
                <w:sz w:val="20"/>
              </w:rPr>
              <w:t> </w:t>
            </w:r>
            <w:r>
              <w:rPr>
                <w:sz w:val="20"/>
              </w:rPr>
              <w:t>la</w:t>
            </w:r>
            <w:r>
              <w:rPr>
                <w:spacing w:val="-7"/>
                <w:sz w:val="20"/>
              </w:rPr>
              <w:t> </w:t>
            </w:r>
            <w:r>
              <w:rPr>
                <w:sz w:val="20"/>
              </w:rPr>
              <w:t>transferencia</w:t>
            </w:r>
            <w:r>
              <w:rPr>
                <w:spacing w:val="-6"/>
                <w:sz w:val="20"/>
              </w:rPr>
              <w:t> </w:t>
            </w:r>
            <w:r>
              <w:rPr>
                <w:sz w:val="20"/>
              </w:rPr>
              <w:t>monetaria</w:t>
            </w:r>
            <w:r>
              <w:rPr>
                <w:spacing w:val="-9"/>
                <w:sz w:val="20"/>
              </w:rPr>
              <w:t> </w:t>
            </w:r>
            <w:r>
              <w:rPr>
                <w:spacing w:val="-2"/>
                <w:sz w:val="20"/>
              </w:rPr>
              <w:t>condicionada</w:t>
            </w:r>
          </w:p>
          <w:p>
            <w:pPr>
              <w:pStyle w:val="TableParagraph"/>
              <w:ind w:left="69"/>
              <w:rPr>
                <w:sz w:val="20"/>
              </w:rPr>
            </w:pPr>
            <w:r>
              <w:rPr>
                <w:sz w:val="20"/>
              </w:rPr>
              <w:t>Cuidado</w:t>
            </w:r>
            <w:r>
              <w:rPr>
                <w:spacing w:val="-6"/>
                <w:sz w:val="20"/>
              </w:rPr>
              <w:t> </w:t>
            </w:r>
            <w:r>
              <w:rPr>
                <w:sz w:val="20"/>
              </w:rPr>
              <w:t>y</w:t>
            </w:r>
            <w:r>
              <w:rPr>
                <w:spacing w:val="-6"/>
                <w:sz w:val="20"/>
              </w:rPr>
              <w:t> </w:t>
            </w:r>
            <w:r>
              <w:rPr>
                <w:sz w:val="20"/>
              </w:rPr>
              <w:t>Desarrollo</w:t>
            </w:r>
            <w:r>
              <w:rPr>
                <w:spacing w:val="-5"/>
                <w:sz w:val="20"/>
              </w:rPr>
              <w:t> </w:t>
            </w:r>
            <w:r>
              <w:rPr>
                <w:sz w:val="20"/>
              </w:rPr>
              <w:t>Infantil,</w:t>
            </w:r>
            <w:r>
              <w:rPr>
                <w:spacing w:val="-5"/>
                <w:sz w:val="20"/>
              </w:rPr>
              <w:t> </w:t>
            </w:r>
            <w:r>
              <w:rPr>
                <w:sz w:val="20"/>
              </w:rPr>
              <w:t>en</w:t>
            </w:r>
            <w:r>
              <w:rPr>
                <w:spacing w:val="-8"/>
                <w:sz w:val="20"/>
              </w:rPr>
              <w:t> </w:t>
            </w:r>
            <w:r>
              <w:rPr>
                <w:sz w:val="20"/>
              </w:rPr>
              <w:t>“X”</w:t>
            </w:r>
            <w:r>
              <w:rPr>
                <w:spacing w:val="-6"/>
                <w:sz w:val="20"/>
              </w:rPr>
              <w:t> </w:t>
            </w:r>
            <w:r>
              <w:rPr>
                <w:sz w:val="20"/>
              </w:rPr>
              <w:t>período</w:t>
            </w:r>
            <w:r>
              <w:rPr>
                <w:spacing w:val="-6"/>
                <w:sz w:val="20"/>
              </w:rPr>
              <w:t> </w:t>
            </w:r>
            <w:r>
              <w:rPr>
                <w:sz w:val="20"/>
              </w:rPr>
              <w:t>es</w:t>
            </w:r>
            <w:r>
              <w:rPr>
                <w:spacing w:val="-6"/>
                <w:sz w:val="20"/>
              </w:rPr>
              <w:t> </w:t>
            </w:r>
            <w:r>
              <w:rPr>
                <w:sz w:val="20"/>
              </w:rPr>
              <w:t>de</w:t>
            </w:r>
            <w:r>
              <w:rPr>
                <w:spacing w:val="-8"/>
                <w:sz w:val="20"/>
              </w:rPr>
              <w:t> </w:t>
            </w:r>
            <w:r>
              <w:rPr>
                <w:spacing w:val="-4"/>
                <w:sz w:val="20"/>
              </w:rPr>
              <w:t>“Y”.</w:t>
            </w:r>
          </w:p>
          <w:p>
            <w:pPr>
              <w:pStyle w:val="TableParagraph"/>
              <w:spacing w:line="229" w:lineRule="exact" w:before="1"/>
              <w:ind w:left="69"/>
              <w:rPr>
                <w:sz w:val="20"/>
              </w:rPr>
            </w:pPr>
            <w:r>
              <w:rPr>
                <w:sz w:val="20"/>
              </w:rPr>
              <w:t>En</w:t>
            </w:r>
            <w:r>
              <w:rPr>
                <w:spacing w:val="-7"/>
                <w:sz w:val="20"/>
              </w:rPr>
              <w:t> </w:t>
            </w:r>
            <w:r>
              <w:rPr>
                <w:sz w:val="20"/>
              </w:rPr>
              <w:t>esta</w:t>
            </w:r>
            <w:r>
              <w:rPr>
                <w:spacing w:val="-7"/>
                <w:sz w:val="20"/>
              </w:rPr>
              <w:t> </w:t>
            </w:r>
            <w:r>
              <w:rPr>
                <w:sz w:val="20"/>
              </w:rPr>
              <w:t>“X”</w:t>
            </w:r>
            <w:r>
              <w:rPr>
                <w:spacing w:val="-7"/>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30" w:lineRule="exact"/>
              <w:ind w:left="69" w:right="170"/>
              <w:rPr>
                <w:sz w:val="20"/>
              </w:rPr>
            </w:pPr>
            <w:r>
              <w:rPr>
                <w:sz w:val="20"/>
              </w:rPr>
              <w:t>significa</w:t>
            </w:r>
            <w:r>
              <w:rPr>
                <w:spacing w:val="-3"/>
                <w:sz w:val="20"/>
              </w:rPr>
              <w:t> </w:t>
            </w:r>
            <w:r>
              <w:rPr>
                <w:sz w:val="20"/>
              </w:rPr>
              <w:t>la</w:t>
            </w:r>
            <w:r>
              <w:rPr>
                <w:spacing w:val="-3"/>
                <w:sz w:val="20"/>
              </w:rPr>
              <w:t> </w:t>
            </w:r>
            <w:r>
              <w:rPr>
                <w:sz w:val="20"/>
              </w:rPr>
              <w:t>meta</w:t>
            </w:r>
            <w:r>
              <w:rPr>
                <w:spacing w:val="-5"/>
                <w:sz w:val="20"/>
              </w:rPr>
              <w:t> </w:t>
            </w:r>
            <w:r>
              <w:rPr>
                <w:sz w:val="20"/>
              </w:rPr>
              <w:t>alcanzada</w:t>
            </w:r>
            <w:r>
              <w:rPr>
                <w:spacing w:val="-3"/>
                <w:sz w:val="20"/>
              </w:rPr>
              <w:t> </w:t>
            </w:r>
            <w:r>
              <w:rPr>
                <w:sz w:val="20"/>
              </w:rPr>
              <w:t>a</w:t>
            </w:r>
            <w:r>
              <w:rPr>
                <w:spacing w:val="-6"/>
                <w:sz w:val="20"/>
              </w:rPr>
              <w:t> </w:t>
            </w:r>
            <w:r>
              <w:rPr>
                <w:sz w:val="20"/>
              </w:rPr>
              <w:t>ese</w:t>
            </w:r>
            <w:r>
              <w:rPr>
                <w:spacing w:val="-3"/>
                <w:sz w:val="20"/>
              </w:rPr>
              <w:t> </w:t>
            </w:r>
            <w:r>
              <w:rPr>
                <w:sz w:val="20"/>
              </w:rPr>
              <w:t>momento</w:t>
            </w:r>
            <w:r>
              <w:rPr>
                <w:spacing w:val="-5"/>
                <w:sz w:val="20"/>
              </w:rPr>
              <w:t> </w:t>
            </w:r>
            <w:r>
              <w:rPr>
                <w:sz w:val="20"/>
              </w:rPr>
              <w:t>según</w:t>
            </w:r>
            <w:r>
              <w:rPr>
                <w:spacing w:val="-5"/>
                <w:sz w:val="20"/>
              </w:rPr>
              <w:t> </w:t>
            </w:r>
            <w:r>
              <w:rPr>
                <w:sz w:val="20"/>
              </w:rPr>
              <w:t>la</w:t>
            </w:r>
            <w:r>
              <w:rPr>
                <w:spacing w:val="-5"/>
                <w:sz w:val="20"/>
              </w:rPr>
              <w:t> </w:t>
            </w:r>
            <w:r>
              <w:rPr>
                <w:sz w:val="20"/>
              </w:rPr>
              <w:t>unidad</w:t>
            </w:r>
            <w:r>
              <w:rPr>
                <w:spacing w:val="-6"/>
                <w:sz w:val="20"/>
              </w:rPr>
              <w:t> </w:t>
            </w:r>
            <w:r>
              <w:rPr>
                <w:sz w:val="20"/>
              </w:rPr>
              <w:t>de</w:t>
            </w:r>
            <w:r>
              <w:rPr>
                <w:spacing w:val="-5"/>
                <w:sz w:val="20"/>
              </w:rPr>
              <w:t> </w:t>
            </w:r>
            <w:r>
              <w:rPr>
                <w:sz w:val="20"/>
              </w:rPr>
              <w:t>medida </w:t>
            </w:r>
            <w:r>
              <w:rPr>
                <w:spacing w:val="-2"/>
                <w:sz w:val="20"/>
              </w:rPr>
              <w:t>establecida.</w:t>
            </w:r>
          </w:p>
        </w:tc>
      </w:tr>
      <w:tr>
        <w:trPr>
          <w:trHeight w:val="316" w:hRule="atLeast"/>
        </w:trPr>
        <w:tc>
          <w:tcPr>
            <w:tcW w:w="2835" w:type="dxa"/>
            <w:shd w:val="clear" w:color="auto" w:fill="DCE6F0"/>
          </w:tcPr>
          <w:p>
            <w:pPr>
              <w:pStyle w:val="TableParagraph"/>
              <w:spacing w:before="42"/>
              <w:ind w:left="67"/>
              <w:rPr>
                <w:b/>
                <w:sz w:val="20"/>
              </w:rPr>
            </w:pPr>
            <w:r>
              <w:rPr>
                <w:b/>
                <w:spacing w:val="-2"/>
                <w:sz w:val="20"/>
              </w:rPr>
              <w:t>Desagregación</w:t>
            </w:r>
          </w:p>
        </w:tc>
        <w:tc>
          <w:tcPr>
            <w:tcW w:w="7514"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4" w:hRule="atLeast"/>
        </w:trPr>
        <w:tc>
          <w:tcPr>
            <w:tcW w:w="2835" w:type="dxa"/>
            <w:shd w:val="clear" w:color="auto" w:fill="DCE6F0"/>
          </w:tcPr>
          <w:p>
            <w:pPr>
              <w:pStyle w:val="TableParagraph"/>
              <w:spacing w:before="40"/>
              <w:ind w:left="67"/>
              <w:rPr>
                <w:b/>
                <w:sz w:val="20"/>
              </w:rPr>
            </w:pPr>
            <w:r>
              <w:rPr>
                <w:b/>
                <w:spacing w:val="-2"/>
                <w:sz w:val="20"/>
              </w:rPr>
              <w:t>Meta:</w:t>
            </w:r>
          </w:p>
        </w:tc>
        <w:tc>
          <w:tcPr>
            <w:tcW w:w="7514" w:type="dxa"/>
          </w:tcPr>
          <w:p>
            <w:pPr>
              <w:pStyle w:val="TableParagraph"/>
              <w:spacing w:before="40"/>
              <w:ind w:left="69"/>
              <w:rPr>
                <w:sz w:val="20"/>
              </w:rPr>
            </w:pPr>
            <w:r>
              <w:rPr>
                <w:sz w:val="20"/>
              </w:rPr>
              <w:t>35</w:t>
            </w:r>
            <w:r>
              <w:rPr>
                <w:spacing w:val="-6"/>
                <w:sz w:val="20"/>
              </w:rPr>
              <w:t> </w:t>
            </w:r>
            <w:r>
              <w:rPr>
                <w:spacing w:val="-5"/>
                <w:sz w:val="20"/>
              </w:rPr>
              <w:t>000</w:t>
            </w:r>
          </w:p>
        </w:tc>
      </w:tr>
      <w:tr>
        <w:trPr>
          <w:trHeight w:val="316" w:hRule="atLeast"/>
        </w:trPr>
        <w:tc>
          <w:tcPr>
            <w:tcW w:w="2835" w:type="dxa"/>
            <w:shd w:val="clear" w:color="auto" w:fill="DCE6F0"/>
          </w:tcPr>
          <w:p>
            <w:pPr>
              <w:pStyle w:val="TableParagraph"/>
              <w:spacing w:before="43"/>
              <w:ind w:left="67"/>
              <w:rPr>
                <w:b/>
                <w:sz w:val="20"/>
              </w:rPr>
            </w:pPr>
            <w:r>
              <w:rPr>
                <w:b/>
                <w:sz w:val="20"/>
              </w:rPr>
              <w:t>Línea</w:t>
            </w:r>
            <w:r>
              <w:rPr>
                <w:b/>
                <w:spacing w:val="-10"/>
                <w:sz w:val="20"/>
              </w:rPr>
              <w:t> </w:t>
            </w:r>
            <w:r>
              <w:rPr>
                <w:b/>
                <w:sz w:val="20"/>
              </w:rPr>
              <w:t>Base</w:t>
            </w:r>
            <w:r>
              <w:rPr>
                <w:b/>
                <w:spacing w:val="-7"/>
                <w:sz w:val="20"/>
              </w:rPr>
              <w:t> </w:t>
            </w:r>
            <w:r>
              <w:rPr>
                <w:b/>
                <w:spacing w:val="-4"/>
                <w:sz w:val="20"/>
              </w:rPr>
              <w:t>2025</w:t>
            </w:r>
          </w:p>
        </w:tc>
        <w:tc>
          <w:tcPr>
            <w:tcW w:w="7514" w:type="dxa"/>
          </w:tcPr>
          <w:p>
            <w:pPr>
              <w:pStyle w:val="TableParagraph"/>
              <w:spacing w:before="43"/>
              <w:ind w:left="69"/>
              <w:rPr>
                <w:sz w:val="20"/>
              </w:rPr>
            </w:pPr>
            <w:r>
              <w:rPr>
                <w:sz w:val="20"/>
              </w:rPr>
              <w:t>33</w:t>
            </w:r>
            <w:r>
              <w:rPr>
                <w:spacing w:val="-6"/>
                <w:sz w:val="20"/>
              </w:rPr>
              <w:t> </w:t>
            </w:r>
            <w:r>
              <w:rPr>
                <w:spacing w:val="-5"/>
                <w:sz w:val="20"/>
              </w:rPr>
              <w:t>935</w:t>
            </w:r>
          </w:p>
        </w:tc>
      </w:tr>
      <w:tr>
        <w:trPr>
          <w:trHeight w:val="628" w:hRule="atLeast"/>
        </w:trPr>
        <w:tc>
          <w:tcPr>
            <w:tcW w:w="2835" w:type="dxa"/>
            <w:shd w:val="clear" w:color="auto" w:fill="DCE6F0"/>
          </w:tcPr>
          <w:p>
            <w:pPr>
              <w:pStyle w:val="TableParagraph"/>
              <w:spacing w:before="8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198"/>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835" w:type="dxa"/>
            <w:shd w:val="clear" w:color="auto" w:fill="DCE6F0"/>
          </w:tcPr>
          <w:p>
            <w:pPr>
              <w:pStyle w:val="TableParagraph"/>
              <w:spacing w:before="11"/>
              <w:rPr>
                <w:b/>
                <w:sz w:val="20"/>
              </w:rPr>
            </w:pPr>
          </w:p>
          <w:p>
            <w:pPr>
              <w:pStyle w:val="TableParagraph"/>
              <w:spacing w:before="1"/>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11"/>
              <w:rPr>
                <w:b/>
                <w:sz w:val="20"/>
              </w:rPr>
            </w:pPr>
          </w:p>
          <w:p>
            <w:pPr>
              <w:pStyle w:val="TableParagraph"/>
              <w:spacing w:before="1"/>
              <w:ind w:left="69"/>
              <w:rPr>
                <w:sz w:val="20"/>
              </w:rPr>
            </w:pPr>
            <w:r>
              <w:rPr>
                <w:sz w:val="20"/>
              </w:rPr>
              <w:t>Nombre:</w:t>
            </w:r>
            <w:r>
              <w:rPr>
                <w:spacing w:val="-10"/>
                <w:sz w:val="20"/>
              </w:rPr>
              <w:t> </w:t>
            </w:r>
            <w:r>
              <w:rPr>
                <w:sz w:val="20"/>
              </w:rPr>
              <w:t>Raquel</w:t>
            </w:r>
            <w:r>
              <w:rPr>
                <w:spacing w:val="-11"/>
                <w:sz w:val="20"/>
              </w:rPr>
              <w:t> </w:t>
            </w:r>
            <w:r>
              <w:rPr>
                <w:sz w:val="20"/>
              </w:rPr>
              <w:t>Quesada</w:t>
            </w:r>
            <w:r>
              <w:rPr>
                <w:spacing w:val="-9"/>
                <w:sz w:val="20"/>
              </w:rPr>
              <w:t> </w:t>
            </w:r>
            <w:r>
              <w:rPr>
                <w:spacing w:val="-2"/>
                <w:sz w:val="20"/>
              </w:rPr>
              <w:t>Jiménez.</w:t>
            </w:r>
          </w:p>
          <w:p>
            <w:pPr>
              <w:pStyle w:val="TableParagraph"/>
              <w:ind w:left="69"/>
              <w:rPr>
                <w:sz w:val="20"/>
              </w:rPr>
            </w:pPr>
            <w:r>
              <w:rPr>
                <w:sz w:val="20"/>
              </w:rPr>
              <w:t>Cargo:</w:t>
            </w:r>
            <w:r>
              <w:rPr>
                <w:spacing w:val="-10"/>
                <w:sz w:val="20"/>
              </w:rPr>
              <w:t> </w:t>
            </w:r>
            <w:r>
              <w:rPr>
                <w:sz w:val="20"/>
              </w:rPr>
              <w:t>Jefatura,</w:t>
            </w:r>
            <w:r>
              <w:rPr>
                <w:spacing w:val="-10"/>
                <w:sz w:val="20"/>
              </w:rPr>
              <w:t> </w:t>
            </w:r>
            <w:r>
              <w:rPr>
                <w:sz w:val="20"/>
              </w:rPr>
              <w:t>Departamento</w:t>
            </w:r>
            <w:r>
              <w:rPr>
                <w:spacing w:val="-9"/>
                <w:sz w:val="20"/>
              </w:rPr>
              <w:t> </w:t>
            </w:r>
            <w:r>
              <w:rPr>
                <w:sz w:val="20"/>
              </w:rPr>
              <w:t>de</w:t>
            </w:r>
            <w:r>
              <w:rPr>
                <w:spacing w:val="-9"/>
                <w:sz w:val="20"/>
              </w:rPr>
              <w:t> </w:t>
            </w:r>
            <w:r>
              <w:rPr>
                <w:sz w:val="20"/>
              </w:rPr>
              <w:t>Bienestar</w:t>
            </w:r>
            <w:r>
              <w:rPr>
                <w:spacing w:val="-10"/>
                <w:sz w:val="20"/>
              </w:rPr>
              <w:t> </w:t>
            </w:r>
            <w:r>
              <w:rPr>
                <w:spacing w:val="-2"/>
                <w:sz w:val="20"/>
              </w:rPr>
              <w:t>Familiar</w:t>
            </w:r>
          </w:p>
        </w:tc>
      </w:tr>
      <w:tr>
        <w:trPr>
          <w:trHeight w:val="945" w:hRule="atLeast"/>
        </w:trPr>
        <w:tc>
          <w:tcPr>
            <w:tcW w:w="2835" w:type="dxa"/>
            <w:shd w:val="clear" w:color="auto" w:fill="DCE6F0"/>
          </w:tcPr>
          <w:p>
            <w:pPr>
              <w:pStyle w:val="TableParagraph"/>
              <w:spacing w:before="11"/>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27"/>
              <w:rPr>
                <w:b/>
                <w:sz w:val="20"/>
              </w:rPr>
            </w:pPr>
          </w:p>
          <w:p>
            <w:pPr>
              <w:pStyle w:val="TableParagraph"/>
              <w:ind w:left="69"/>
              <w:rPr>
                <w:sz w:val="20"/>
              </w:rPr>
            </w:pPr>
            <w:r>
              <w:rPr>
                <w:sz w:val="20"/>
              </w:rPr>
              <w:t>Dirección</w:t>
            </w:r>
            <w:r>
              <w:rPr>
                <w:spacing w:val="-9"/>
                <w:sz w:val="20"/>
              </w:rPr>
              <w:t> </w:t>
            </w:r>
            <w:r>
              <w:rPr>
                <w:sz w:val="20"/>
              </w:rPr>
              <w:t>de</w:t>
            </w:r>
            <w:r>
              <w:rPr>
                <w:spacing w:val="-9"/>
                <w:sz w:val="20"/>
              </w:rPr>
              <w:t> </w:t>
            </w:r>
            <w:r>
              <w:rPr>
                <w:sz w:val="20"/>
              </w:rPr>
              <w:t>Desarrollo</w:t>
            </w:r>
            <w:r>
              <w:rPr>
                <w:spacing w:val="-8"/>
                <w:sz w:val="20"/>
              </w:rPr>
              <w:t> </w:t>
            </w:r>
            <w:r>
              <w:rPr>
                <w:sz w:val="20"/>
              </w:rPr>
              <w:t>Social,</w:t>
            </w:r>
            <w:r>
              <w:rPr>
                <w:spacing w:val="-9"/>
                <w:sz w:val="20"/>
              </w:rPr>
              <w:t> </w:t>
            </w:r>
            <w:r>
              <w:rPr>
                <w:sz w:val="20"/>
              </w:rPr>
              <w:t>Departamento</w:t>
            </w:r>
            <w:r>
              <w:rPr>
                <w:spacing w:val="-8"/>
                <w:sz w:val="20"/>
              </w:rPr>
              <w:t> </w:t>
            </w:r>
            <w:r>
              <w:rPr>
                <w:sz w:val="20"/>
              </w:rPr>
              <w:t>de</w:t>
            </w:r>
            <w:r>
              <w:rPr>
                <w:spacing w:val="-9"/>
                <w:sz w:val="20"/>
              </w:rPr>
              <w:t> </w:t>
            </w:r>
            <w:r>
              <w:rPr>
                <w:sz w:val="20"/>
              </w:rPr>
              <w:t>Bienestar</w:t>
            </w:r>
            <w:r>
              <w:rPr>
                <w:spacing w:val="-11"/>
                <w:sz w:val="20"/>
              </w:rPr>
              <w:t> </w:t>
            </w:r>
            <w:r>
              <w:rPr>
                <w:spacing w:val="-2"/>
                <w:sz w:val="20"/>
              </w:rPr>
              <w:t>Familiar</w:t>
            </w:r>
          </w:p>
        </w:tc>
      </w:tr>
      <w:tr>
        <w:trPr>
          <w:trHeight w:val="314" w:hRule="atLeast"/>
        </w:trPr>
        <w:tc>
          <w:tcPr>
            <w:tcW w:w="2835" w:type="dxa"/>
            <w:shd w:val="clear" w:color="auto" w:fill="DCE6F0"/>
          </w:tcPr>
          <w:p>
            <w:pPr>
              <w:pStyle w:val="TableParagraph"/>
              <w:spacing w:before="42"/>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42"/>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602" w:hRule="atLeast"/>
        </w:trPr>
        <w:tc>
          <w:tcPr>
            <w:tcW w:w="2835" w:type="dxa"/>
            <w:shd w:val="clear" w:color="auto" w:fill="DCE6F0"/>
          </w:tcPr>
          <w:p>
            <w:pPr>
              <w:pStyle w:val="TableParagraph"/>
              <w:spacing w:before="186"/>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71"/>
              <w:ind w:left="69"/>
              <w:rPr>
                <w:sz w:val="20"/>
              </w:rPr>
            </w:pPr>
            <w:r>
              <w:rPr>
                <w:sz w:val="20"/>
              </w:rPr>
              <w:t>Informes</w:t>
            </w:r>
            <w:r>
              <w:rPr>
                <w:spacing w:val="-5"/>
                <w:sz w:val="20"/>
              </w:rPr>
              <w:t> </w:t>
            </w:r>
            <w:r>
              <w:rPr>
                <w:sz w:val="20"/>
              </w:rPr>
              <w:t>del</w:t>
            </w:r>
            <w:r>
              <w:rPr>
                <w:spacing w:val="-6"/>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6"/>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899" w:hRule="atLeast"/>
        </w:trPr>
        <w:tc>
          <w:tcPr>
            <w:tcW w:w="2835" w:type="dxa"/>
            <w:shd w:val="clear" w:color="auto" w:fill="DCE6F0"/>
          </w:tcPr>
          <w:p>
            <w:pPr>
              <w:pStyle w:val="TableParagraph"/>
              <w:spacing w:before="103"/>
              <w:rPr>
                <w:b/>
                <w:sz w:val="20"/>
              </w:rPr>
            </w:pPr>
          </w:p>
          <w:p>
            <w:pPr>
              <w:pStyle w:val="TableParagraph"/>
              <w:ind w:left="67"/>
              <w:rPr>
                <w:b/>
                <w:sz w:val="20"/>
              </w:rPr>
            </w:pPr>
            <w:r>
              <w:rPr>
                <w:b/>
                <w:spacing w:val="-2"/>
                <w:sz w:val="20"/>
              </w:rPr>
              <w:t>Clasificación</w:t>
            </w:r>
          </w:p>
        </w:tc>
        <w:tc>
          <w:tcPr>
            <w:tcW w:w="7514" w:type="dxa"/>
          </w:tcPr>
          <w:p>
            <w:pPr>
              <w:pStyle w:val="TableParagraph"/>
              <w:spacing w:before="103"/>
              <w:rPr>
                <w:b/>
                <w:sz w:val="20"/>
              </w:rPr>
            </w:pPr>
          </w:p>
          <w:p>
            <w:pPr>
              <w:pStyle w:val="TableParagraph"/>
              <w:ind w:left="69"/>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5"/>
                <w:sz w:val="20"/>
              </w:rPr>
              <w:t> </w:t>
            </w:r>
            <w:r>
              <w:rPr>
                <w:sz w:val="20"/>
              </w:rPr>
              <w:t>Producto</w:t>
            </w:r>
            <w:r>
              <w:rPr>
                <w:spacing w:val="-8"/>
                <w:sz w:val="20"/>
              </w:rPr>
              <w:t> </w:t>
            </w:r>
            <w:r>
              <w:rPr>
                <w:spacing w:val="-5"/>
                <w:sz w:val="20"/>
              </w:rPr>
              <w:t>(X)</w:t>
            </w:r>
          </w:p>
        </w:tc>
      </w:tr>
      <w:tr>
        <w:trPr>
          <w:trHeight w:val="1799" w:hRule="atLeast"/>
        </w:trPr>
        <w:tc>
          <w:tcPr>
            <w:tcW w:w="2835" w:type="dxa"/>
            <w:shd w:val="clear" w:color="auto" w:fill="DCE6F0"/>
          </w:tcPr>
          <w:p>
            <w:pPr>
              <w:pStyle w:val="TableParagraph"/>
              <w:rPr>
                <w:b/>
                <w:sz w:val="20"/>
              </w:rPr>
            </w:pPr>
          </w:p>
          <w:p>
            <w:pPr>
              <w:pStyle w:val="TableParagraph"/>
              <w:rPr>
                <w:b/>
                <w:sz w:val="20"/>
              </w:rPr>
            </w:pPr>
          </w:p>
          <w:p>
            <w:pPr>
              <w:pStyle w:val="TableParagraph"/>
              <w:spacing w:before="94"/>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ind w:left="69"/>
              <w:rPr>
                <w:sz w:val="20"/>
              </w:rPr>
            </w:pPr>
            <w:r>
              <w:rPr>
                <w:sz w:val="20"/>
              </w:rPr>
              <w:t>En</w:t>
            </w:r>
            <w:r>
              <w:rPr>
                <w:spacing w:val="-5"/>
                <w:sz w:val="20"/>
              </w:rPr>
              <w:t> </w:t>
            </w:r>
            <w:r>
              <w:rPr>
                <w:sz w:val="20"/>
              </w:rPr>
              <w:t>el</w:t>
            </w:r>
            <w:r>
              <w:rPr>
                <w:spacing w:val="-4"/>
                <w:sz w:val="20"/>
              </w:rPr>
              <w:t> </w:t>
            </w:r>
            <w:r>
              <w:rPr>
                <w:sz w:val="20"/>
              </w:rPr>
              <w:t>SABEN</w:t>
            </w:r>
            <w:r>
              <w:rPr>
                <w:spacing w:val="-5"/>
                <w:sz w:val="20"/>
              </w:rPr>
              <w:t> </w:t>
            </w:r>
            <w:r>
              <w:rPr>
                <w:sz w:val="20"/>
              </w:rPr>
              <w:t>se</w:t>
            </w:r>
            <w:r>
              <w:rPr>
                <w:spacing w:val="-5"/>
                <w:sz w:val="20"/>
              </w:rPr>
              <w:t> </w:t>
            </w:r>
            <w:r>
              <w:rPr>
                <w:sz w:val="20"/>
              </w:rPr>
              <w:t>define</w:t>
            </w:r>
            <w:r>
              <w:rPr>
                <w:spacing w:val="-6"/>
                <w:sz w:val="20"/>
              </w:rPr>
              <w:t> </w:t>
            </w:r>
            <w:r>
              <w:rPr>
                <w:sz w:val="20"/>
              </w:rPr>
              <w:t>como</w:t>
            </w:r>
            <w:r>
              <w:rPr>
                <w:spacing w:val="-5"/>
                <w:sz w:val="20"/>
              </w:rPr>
              <w:t> </w:t>
            </w:r>
            <w:r>
              <w:rPr>
                <w:sz w:val="20"/>
              </w:rPr>
              <w:t>personas</w:t>
            </w:r>
            <w:r>
              <w:rPr>
                <w:spacing w:val="-4"/>
                <w:sz w:val="20"/>
              </w:rPr>
              <w:t> </w:t>
            </w:r>
            <w:r>
              <w:rPr>
                <w:sz w:val="20"/>
              </w:rPr>
              <w:t>receptoras</w:t>
            </w:r>
            <w:r>
              <w:rPr>
                <w:spacing w:val="-4"/>
                <w:sz w:val="20"/>
              </w:rPr>
              <w:t> </w:t>
            </w:r>
            <w:r>
              <w:rPr>
                <w:sz w:val="20"/>
              </w:rPr>
              <w:t>a</w:t>
            </w:r>
            <w:r>
              <w:rPr>
                <w:spacing w:val="-3"/>
                <w:sz w:val="20"/>
              </w:rPr>
              <w:t> </w:t>
            </w:r>
            <w:r>
              <w:rPr>
                <w:sz w:val="20"/>
              </w:rPr>
              <w:t>las</w:t>
            </w:r>
            <w:r>
              <w:rPr>
                <w:spacing w:val="-4"/>
                <w:sz w:val="20"/>
              </w:rPr>
              <w:t> </w:t>
            </w:r>
            <w:r>
              <w:rPr>
                <w:sz w:val="20"/>
              </w:rPr>
              <w:t>personas</w:t>
            </w:r>
            <w:r>
              <w:rPr>
                <w:spacing w:val="-2"/>
                <w:sz w:val="20"/>
              </w:rPr>
              <w:t> </w:t>
            </w:r>
            <w:r>
              <w:rPr>
                <w:sz w:val="20"/>
              </w:rPr>
              <w:t>que</w:t>
            </w:r>
            <w:r>
              <w:rPr>
                <w:spacing w:val="-3"/>
                <w:sz w:val="20"/>
              </w:rPr>
              <w:t> </w:t>
            </w:r>
            <w:r>
              <w:rPr>
                <w:sz w:val="20"/>
              </w:rPr>
              <w:t>al</w:t>
            </w:r>
            <w:r>
              <w:rPr>
                <w:spacing w:val="-4"/>
                <w:sz w:val="20"/>
              </w:rPr>
              <w:t> </w:t>
            </w:r>
            <w:r>
              <w:rPr>
                <w:sz w:val="20"/>
              </w:rPr>
              <w:t>menos hayan recibido un mes el subsidio.</w:t>
            </w:r>
          </w:p>
          <w:p>
            <w:pPr>
              <w:pStyle w:val="TableParagraph"/>
              <w:ind w:left="69" w:right="170"/>
              <w:rPr>
                <w:sz w:val="20"/>
              </w:rPr>
            </w:pPr>
            <w:r>
              <w:rPr>
                <w:sz w:val="20"/>
              </w:rPr>
              <w:t>Los recursos específicos provienen de al menos el 4% de los ingresos de FODESAF</w:t>
            </w:r>
            <w:r>
              <w:rPr>
                <w:spacing w:val="-4"/>
                <w:sz w:val="20"/>
              </w:rPr>
              <w:t> </w:t>
            </w:r>
            <w:r>
              <w:rPr>
                <w:sz w:val="20"/>
              </w:rPr>
              <w:t>según</w:t>
            </w:r>
            <w:r>
              <w:rPr>
                <w:spacing w:val="-5"/>
                <w:sz w:val="20"/>
              </w:rPr>
              <w:t> </w:t>
            </w:r>
            <w:r>
              <w:rPr>
                <w:sz w:val="20"/>
              </w:rPr>
              <w:t>lo</w:t>
            </w:r>
            <w:r>
              <w:rPr>
                <w:spacing w:val="-5"/>
                <w:sz w:val="20"/>
              </w:rPr>
              <w:t> </w:t>
            </w:r>
            <w:r>
              <w:rPr>
                <w:sz w:val="20"/>
              </w:rPr>
              <w:t>indica</w:t>
            </w:r>
            <w:r>
              <w:rPr>
                <w:spacing w:val="-5"/>
                <w:sz w:val="20"/>
              </w:rPr>
              <w:t> </w:t>
            </w:r>
            <w:r>
              <w:rPr>
                <w:sz w:val="20"/>
              </w:rPr>
              <w:t>la</w:t>
            </w:r>
            <w:r>
              <w:rPr>
                <w:spacing w:val="-5"/>
                <w:sz w:val="20"/>
              </w:rPr>
              <w:t> </w:t>
            </w:r>
            <w:r>
              <w:rPr>
                <w:sz w:val="20"/>
              </w:rPr>
              <w:t>Ley</w:t>
            </w:r>
            <w:r>
              <w:rPr>
                <w:spacing w:val="-4"/>
                <w:sz w:val="20"/>
              </w:rPr>
              <w:t> </w:t>
            </w:r>
            <w:r>
              <w:rPr>
                <w:sz w:val="20"/>
              </w:rPr>
              <w:t>N°9220,</w:t>
            </w:r>
            <w:r>
              <w:rPr>
                <w:spacing w:val="-5"/>
                <w:sz w:val="20"/>
              </w:rPr>
              <w:t> </w:t>
            </w:r>
            <w:r>
              <w:rPr>
                <w:sz w:val="20"/>
              </w:rPr>
              <w:t>sin</w:t>
            </w:r>
            <w:r>
              <w:rPr>
                <w:spacing w:val="-5"/>
                <w:sz w:val="20"/>
              </w:rPr>
              <w:t> </w:t>
            </w:r>
            <w:r>
              <w:rPr>
                <w:sz w:val="20"/>
              </w:rPr>
              <w:t>embargo,</w:t>
            </w:r>
            <w:r>
              <w:rPr>
                <w:spacing w:val="-5"/>
                <w:sz w:val="20"/>
              </w:rPr>
              <w:t> </w:t>
            </w:r>
            <w:r>
              <w:rPr>
                <w:sz w:val="20"/>
              </w:rPr>
              <w:t>se</w:t>
            </w:r>
            <w:r>
              <w:rPr>
                <w:spacing w:val="-5"/>
                <w:sz w:val="20"/>
              </w:rPr>
              <w:t> </w:t>
            </w:r>
            <w:r>
              <w:rPr>
                <w:sz w:val="20"/>
              </w:rPr>
              <w:t>utilizan</w:t>
            </w:r>
            <w:r>
              <w:rPr>
                <w:spacing w:val="-5"/>
                <w:sz w:val="20"/>
              </w:rPr>
              <w:t> </w:t>
            </w:r>
            <w:r>
              <w:rPr>
                <w:sz w:val="20"/>
              </w:rPr>
              <w:t>varias</w:t>
            </w:r>
            <w:r>
              <w:rPr>
                <w:spacing w:val="-4"/>
                <w:sz w:val="20"/>
              </w:rPr>
              <w:t> </w:t>
            </w:r>
            <w:r>
              <w:rPr>
                <w:sz w:val="20"/>
              </w:rPr>
              <w:t>fuentes de financiamiento para cubrir la totalidad de la población receptora.</w:t>
            </w:r>
          </w:p>
          <w:p>
            <w:pPr>
              <w:pStyle w:val="TableParagraph"/>
              <w:ind w:left="69"/>
              <w:rPr>
                <w:sz w:val="20"/>
              </w:rPr>
            </w:pPr>
            <w:r>
              <w:rPr>
                <w:sz w:val="20"/>
              </w:rPr>
              <w:t>Este</w:t>
            </w:r>
            <w:r>
              <w:rPr>
                <w:spacing w:val="-9"/>
                <w:sz w:val="20"/>
              </w:rPr>
              <w:t> </w:t>
            </w:r>
            <w:r>
              <w:rPr>
                <w:sz w:val="20"/>
              </w:rPr>
              <w:t>indicador</w:t>
            </w:r>
            <w:r>
              <w:rPr>
                <w:spacing w:val="-8"/>
                <w:sz w:val="20"/>
              </w:rPr>
              <w:t> </w:t>
            </w:r>
            <w:r>
              <w:rPr>
                <w:sz w:val="20"/>
              </w:rPr>
              <w:t>se</w:t>
            </w:r>
            <w:r>
              <w:rPr>
                <w:spacing w:val="-6"/>
                <w:sz w:val="20"/>
              </w:rPr>
              <w:t> </w:t>
            </w:r>
            <w:r>
              <w:rPr>
                <w:sz w:val="20"/>
              </w:rPr>
              <w:t>encuentra</w:t>
            </w:r>
            <w:r>
              <w:rPr>
                <w:spacing w:val="-8"/>
                <w:sz w:val="20"/>
              </w:rPr>
              <w:t> </w:t>
            </w:r>
            <w:r>
              <w:rPr>
                <w:sz w:val="20"/>
              </w:rPr>
              <w:t>vinculado</w:t>
            </w:r>
            <w:r>
              <w:rPr>
                <w:spacing w:val="-8"/>
                <w:sz w:val="20"/>
              </w:rPr>
              <w:t> </w:t>
            </w:r>
            <w:r>
              <w:rPr>
                <w:sz w:val="20"/>
              </w:rPr>
              <w:t>al</w:t>
            </w:r>
            <w:r>
              <w:rPr>
                <w:spacing w:val="-8"/>
                <w:sz w:val="20"/>
              </w:rPr>
              <w:t> </w:t>
            </w:r>
            <w:r>
              <w:rPr>
                <w:sz w:val="20"/>
              </w:rPr>
              <w:t>PLANOVI</w:t>
            </w:r>
            <w:r>
              <w:rPr>
                <w:spacing w:val="-7"/>
                <w:sz w:val="20"/>
              </w:rPr>
              <w:t> </w:t>
            </w:r>
            <w:r>
              <w:rPr>
                <w:sz w:val="20"/>
              </w:rPr>
              <w:t>indicador</w:t>
            </w:r>
            <w:r>
              <w:rPr>
                <w:spacing w:val="-7"/>
                <w:sz w:val="20"/>
              </w:rPr>
              <w:t> </w:t>
            </w:r>
            <w:r>
              <w:rPr>
                <w:spacing w:val="-2"/>
                <w:sz w:val="20"/>
              </w:rPr>
              <w:t>3.3.1.1.</w:t>
            </w:r>
          </w:p>
        </w:tc>
      </w:tr>
    </w:tbl>
    <w:p>
      <w:pPr>
        <w:pStyle w:val="BodyText"/>
        <w:spacing w:before="164"/>
        <w:rPr>
          <w:b/>
          <w:sz w:val="20"/>
        </w:rPr>
      </w:pPr>
    </w:p>
    <w:tbl>
      <w:tblPr>
        <w:tblW w:w="0" w:type="auto"/>
        <w:jc w:val="left"/>
        <w:tblInd w:w="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98"/>
        <w:gridCol w:w="1337"/>
        <w:gridCol w:w="7514"/>
      </w:tblGrid>
      <w:tr>
        <w:trPr>
          <w:trHeight w:val="302" w:hRule="atLeast"/>
        </w:trPr>
        <w:tc>
          <w:tcPr>
            <w:tcW w:w="2835" w:type="dxa"/>
            <w:gridSpan w:val="2"/>
            <w:shd w:val="clear" w:color="auto" w:fill="DCE6F0"/>
          </w:tcPr>
          <w:p>
            <w:pPr>
              <w:pStyle w:val="TableParagraph"/>
              <w:spacing w:before="36"/>
              <w:ind w:left="67"/>
              <w:rPr>
                <w:b/>
                <w:sz w:val="20"/>
              </w:rPr>
            </w:pPr>
            <w:r>
              <w:rPr>
                <w:b/>
                <w:sz w:val="20"/>
              </w:rPr>
              <w:t>PPPS</w:t>
            </w:r>
            <w:r>
              <w:rPr>
                <w:b/>
                <w:spacing w:val="-6"/>
                <w:sz w:val="20"/>
              </w:rPr>
              <w:t> </w:t>
            </w:r>
            <w:r>
              <w:rPr>
                <w:b/>
                <w:spacing w:val="-2"/>
                <w:sz w:val="20"/>
              </w:rPr>
              <w:t>1.3.1:</w:t>
            </w:r>
          </w:p>
        </w:tc>
        <w:tc>
          <w:tcPr>
            <w:tcW w:w="7514" w:type="dxa"/>
          </w:tcPr>
          <w:p>
            <w:pPr>
              <w:pStyle w:val="TableParagraph"/>
              <w:spacing w:before="36"/>
              <w:ind w:left="69"/>
              <w:rPr>
                <w:sz w:val="20"/>
              </w:rPr>
            </w:pPr>
            <w:r>
              <w:rPr>
                <w:sz w:val="20"/>
              </w:rPr>
              <w:t>Nombre</w:t>
            </w:r>
            <w:r>
              <w:rPr>
                <w:spacing w:val="-8"/>
                <w:sz w:val="20"/>
              </w:rPr>
              <w:t> </w:t>
            </w:r>
            <w:r>
              <w:rPr>
                <w:sz w:val="20"/>
              </w:rPr>
              <w:t>del</w:t>
            </w:r>
            <w:r>
              <w:rPr>
                <w:spacing w:val="-11"/>
                <w:sz w:val="20"/>
              </w:rPr>
              <w:t> </w:t>
            </w:r>
            <w:r>
              <w:rPr>
                <w:sz w:val="20"/>
              </w:rPr>
              <w:t>Indicador:</w:t>
            </w:r>
            <w:r>
              <w:rPr>
                <w:spacing w:val="-8"/>
                <w:sz w:val="20"/>
              </w:rPr>
              <w:t> </w:t>
            </w:r>
            <w:r>
              <w:rPr>
                <w:sz w:val="20"/>
              </w:rPr>
              <w:t>Porcentaje</w:t>
            </w:r>
            <w:r>
              <w:rPr>
                <w:spacing w:val="-8"/>
                <w:sz w:val="20"/>
              </w:rPr>
              <w:t> </w:t>
            </w:r>
            <w:r>
              <w:rPr>
                <w:sz w:val="20"/>
              </w:rPr>
              <w:t>de</w:t>
            </w:r>
            <w:r>
              <w:rPr>
                <w:spacing w:val="-9"/>
                <w:sz w:val="20"/>
              </w:rPr>
              <w:t> </w:t>
            </w:r>
            <w:r>
              <w:rPr>
                <w:sz w:val="20"/>
              </w:rPr>
              <w:t>llamadas</w:t>
            </w:r>
            <w:r>
              <w:rPr>
                <w:spacing w:val="-9"/>
                <w:sz w:val="20"/>
              </w:rPr>
              <w:t> </w:t>
            </w:r>
            <w:r>
              <w:rPr>
                <w:sz w:val="20"/>
              </w:rPr>
              <w:t>telefónicas</w:t>
            </w:r>
            <w:r>
              <w:rPr>
                <w:spacing w:val="-8"/>
                <w:sz w:val="20"/>
              </w:rPr>
              <w:t> </w:t>
            </w:r>
            <w:r>
              <w:rPr>
                <w:sz w:val="20"/>
              </w:rPr>
              <w:t>financiadas</w:t>
            </w:r>
            <w:r>
              <w:rPr>
                <w:spacing w:val="-9"/>
                <w:sz w:val="20"/>
              </w:rPr>
              <w:t> </w:t>
            </w:r>
            <w:r>
              <w:rPr>
                <w:sz w:val="20"/>
              </w:rPr>
              <w:t>por</w:t>
            </w:r>
            <w:r>
              <w:rPr>
                <w:spacing w:val="-7"/>
                <w:sz w:val="20"/>
              </w:rPr>
              <w:t> </w:t>
            </w:r>
            <w:r>
              <w:rPr>
                <w:sz w:val="20"/>
              </w:rPr>
              <w:t>el</w:t>
            </w:r>
            <w:r>
              <w:rPr>
                <w:spacing w:val="-11"/>
                <w:sz w:val="20"/>
              </w:rPr>
              <w:t> </w:t>
            </w:r>
            <w:r>
              <w:rPr>
                <w:spacing w:val="-2"/>
                <w:sz w:val="20"/>
              </w:rPr>
              <w:t>IMAS.</w:t>
            </w:r>
          </w:p>
        </w:tc>
      </w:tr>
      <w:tr>
        <w:trPr>
          <w:trHeight w:val="688" w:hRule="atLeast"/>
        </w:trPr>
        <w:tc>
          <w:tcPr>
            <w:tcW w:w="2835" w:type="dxa"/>
            <w:gridSpan w:val="2"/>
            <w:shd w:val="clear" w:color="auto" w:fill="DCE6F0"/>
          </w:tcPr>
          <w:p>
            <w:pPr>
              <w:pStyle w:val="TableParagraph"/>
              <w:spacing w:before="227"/>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ind w:left="69"/>
              <w:rPr>
                <w:sz w:val="20"/>
              </w:rPr>
            </w:pPr>
            <w:r>
              <w:rPr>
                <w:sz w:val="20"/>
              </w:rPr>
              <w:t>Cantidad de llamadas que ingresan a la mesa de ayuda institucional y que son financiadas</w:t>
            </w:r>
            <w:r>
              <w:rPr>
                <w:spacing w:val="-4"/>
                <w:sz w:val="20"/>
              </w:rPr>
              <w:t> </w:t>
            </w:r>
            <w:r>
              <w:rPr>
                <w:sz w:val="20"/>
              </w:rPr>
              <w:t>por</w:t>
            </w:r>
            <w:r>
              <w:rPr>
                <w:spacing w:val="-2"/>
                <w:sz w:val="20"/>
              </w:rPr>
              <w:t> </w:t>
            </w:r>
            <w:r>
              <w:rPr>
                <w:sz w:val="20"/>
              </w:rPr>
              <w:t>el</w:t>
            </w:r>
            <w:r>
              <w:rPr>
                <w:spacing w:val="-4"/>
                <w:sz w:val="20"/>
              </w:rPr>
              <w:t> </w:t>
            </w:r>
            <w:r>
              <w:rPr>
                <w:sz w:val="20"/>
              </w:rPr>
              <w:t>IMAS</w:t>
            </w:r>
            <w:r>
              <w:rPr>
                <w:spacing w:val="-5"/>
                <w:sz w:val="20"/>
              </w:rPr>
              <w:t> </w:t>
            </w:r>
            <w:r>
              <w:rPr>
                <w:sz w:val="20"/>
              </w:rPr>
              <w:t>/</w:t>
            </w:r>
            <w:r>
              <w:rPr>
                <w:spacing w:val="-3"/>
                <w:sz w:val="20"/>
              </w:rPr>
              <w:t> </w:t>
            </w:r>
            <w:r>
              <w:rPr>
                <w:sz w:val="20"/>
              </w:rPr>
              <w:t>Cantidad</w:t>
            </w:r>
            <w:r>
              <w:rPr>
                <w:spacing w:val="-3"/>
                <w:sz w:val="20"/>
              </w:rPr>
              <w:t> </w:t>
            </w:r>
            <w:r>
              <w:rPr>
                <w:sz w:val="20"/>
              </w:rPr>
              <w:t>de</w:t>
            </w:r>
            <w:r>
              <w:rPr>
                <w:spacing w:val="-4"/>
                <w:sz w:val="20"/>
              </w:rPr>
              <w:t> </w:t>
            </w:r>
            <w:r>
              <w:rPr>
                <w:sz w:val="20"/>
              </w:rPr>
              <w:t>llamadas</w:t>
            </w:r>
            <w:r>
              <w:rPr>
                <w:spacing w:val="-4"/>
                <w:sz w:val="20"/>
              </w:rPr>
              <w:t> </w:t>
            </w:r>
            <w:r>
              <w:rPr>
                <w:sz w:val="20"/>
              </w:rPr>
              <w:t>que</w:t>
            </w:r>
            <w:r>
              <w:rPr>
                <w:spacing w:val="-4"/>
                <w:sz w:val="20"/>
              </w:rPr>
              <w:t> </w:t>
            </w:r>
            <w:r>
              <w:rPr>
                <w:sz w:val="20"/>
              </w:rPr>
              <w:t>ingresan</w:t>
            </w:r>
            <w:r>
              <w:rPr>
                <w:spacing w:val="-6"/>
                <w:sz w:val="20"/>
              </w:rPr>
              <w:t> </w:t>
            </w:r>
            <w:r>
              <w:rPr>
                <w:sz w:val="20"/>
              </w:rPr>
              <w:t>a</w:t>
            </w:r>
            <w:r>
              <w:rPr>
                <w:spacing w:val="-3"/>
                <w:sz w:val="20"/>
              </w:rPr>
              <w:t> </w:t>
            </w:r>
            <w:r>
              <w:rPr>
                <w:sz w:val="20"/>
              </w:rPr>
              <w:t>la</w:t>
            </w:r>
            <w:r>
              <w:rPr>
                <w:spacing w:val="-3"/>
                <w:sz w:val="20"/>
              </w:rPr>
              <w:t> </w:t>
            </w:r>
            <w:r>
              <w:rPr>
                <w:sz w:val="20"/>
              </w:rPr>
              <w:t>mesa</w:t>
            </w:r>
            <w:r>
              <w:rPr>
                <w:spacing w:val="-3"/>
                <w:sz w:val="20"/>
              </w:rPr>
              <w:t> </w:t>
            </w:r>
            <w:r>
              <w:rPr>
                <w:sz w:val="20"/>
              </w:rPr>
              <w:t>de</w:t>
            </w:r>
            <w:r>
              <w:rPr>
                <w:spacing w:val="-4"/>
                <w:sz w:val="20"/>
              </w:rPr>
              <w:t> </w:t>
            </w:r>
            <w:r>
              <w:rPr>
                <w:sz w:val="20"/>
              </w:rPr>
              <w:t>ayuda</w:t>
            </w:r>
          </w:p>
          <w:p>
            <w:pPr>
              <w:pStyle w:val="TableParagraph"/>
              <w:spacing w:line="209" w:lineRule="exact"/>
              <w:ind w:left="69"/>
              <w:rPr>
                <w:sz w:val="20"/>
              </w:rPr>
            </w:pPr>
            <w:r>
              <w:rPr>
                <w:spacing w:val="-2"/>
                <w:sz w:val="20"/>
              </w:rPr>
              <w:t>institucional</w:t>
            </w:r>
            <w:r>
              <w:rPr>
                <w:spacing w:val="9"/>
                <w:sz w:val="20"/>
              </w:rPr>
              <w:t> </w:t>
            </w:r>
            <w:r>
              <w:rPr>
                <w:spacing w:val="-2"/>
                <w:sz w:val="20"/>
              </w:rPr>
              <w:t>*100.</w:t>
            </w:r>
          </w:p>
        </w:tc>
      </w:tr>
      <w:tr>
        <w:trPr>
          <w:trHeight w:val="307" w:hRule="atLeast"/>
        </w:trPr>
        <w:tc>
          <w:tcPr>
            <w:tcW w:w="2835" w:type="dxa"/>
            <w:gridSpan w:val="2"/>
            <w:tcBorders>
              <w:bottom w:val="nil"/>
            </w:tcBorders>
            <w:shd w:val="clear" w:color="auto" w:fill="DCE6F0"/>
          </w:tcPr>
          <w:p>
            <w:pPr>
              <w:pStyle w:val="TableParagraph"/>
              <w:spacing w:before="35"/>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Borders>
              <w:bottom w:val="thickThinMediumGap" w:sz="9" w:space="0" w:color="808080"/>
            </w:tcBorders>
          </w:tcPr>
          <w:p>
            <w:pPr>
              <w:pStyle w:val="TableParagraph"/>
              <w:spacing w:before="35"/>
              <w:ind w:left="69"/>
              <w:rPr>
                <w:sz w:val="20"/>
              </w:rPr>
            </w:pPr>
            <w:r>
              <w:rPr>
                <w:spacing w:val="-2"/>
                <w:sz w:val="20"/>
              </w:rPr>
              <w:t>Porcentaje</w:t>
            </w:r>
          </w:p>
        </w:tc>
      </w:tr>
      <w:tr>
        <w:trPr>
          <w:trHeight w:val="1664" w:hRule="atLeast"/>
        </w:trPr>
        <w:tc>
          <w:tcPr>
            <w:tcW w:w="1498" w:type="dxa"/>
            <w:tcBorders>
              <w:top w:val="thinThickMediumGap" w:sz="9" w:space="0" w:color="808080"/>
              <w:left w:val="nil"/>
              <w:bottom w:val="nil"/>
              <w:right w:val="single" w:sz="18" w:space="0" w:color="808080"/>
            </w:tcBorders>
          </w:tcPr>
          <w:p>
            <w:pPr>
              <w:pStyle w:val="TableParagraph"/>
              <w:spacing w:before="8"/>
              <w:ind w:left="679"/>
              <w:rPr>
                <w:b/>
                <w:sz w:val="24"/>
              </w:rPr>
            </w:pPr>
            <w:r>
              <w:rPr>
                <w:b/>
                <w:spacing w:val="-5"/>
                <w:sz w:val="24"/>
              </w:rPr>
              <w:t>190</w:t>
            </w:r>
          </w:p>
        </w:tc>
        <w:tc>
          <w:tcPr>
            <w:tcW w:w="8851" w:type="dxa"/>
            <w:gridSpan w:val="2"/>
            <w:tcBorders>
              <w:top w:val="nil"/>
              <w:left w:val="single" w:sz="18" w:space="0" w:color="808080"/>
              <w:bottom w:val="nil"/>
              <w:right w:val="nil"/>
            </w:tcBorders>
          </w:tcPr>
          <w:p>
            <w:pPr>
              <w:pStyle w:val="TableParagraph"/>
              <w:spacing w:before="8"/>
              <w:ind w:left="90"/>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c>
      </w:tr>
    </w:tbl>
    <w:p>
      <w:pPr>
        <w:pStyle w:val="TableParagraph"/>
        <w:spacing w:after="0"/>
        <w:rPr>
          <w:b/>
          <w:i/>
          <w:sz w:val="24"/>
        </w:rPr>
        <w:sectPr>
          <w:footerReference w:type="default" r:id="rId140"/>
          <w:pgSz w:w="12240" w:h="15840"/>
          <w:pgMar w:header="0" w:footer="0" w:top="1580" w:bottom="280"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1149" w:hRule="atLeast"/>
        </w:trPr>
        <w:tc>
          <w:tcPr>
            <w:tcW w:w="2835" w:type="dxa"/>
            <w:tcBorders>
              <w:top w:val="nil"/>
            </w:tcBorders>
            <w:shd w:val="clear" w:color="auto" w:fill="DCE6F0"/>
          </w:tcPr>
          <w:p>
            <w:pPr>
              <w:pStyle w:val="TableParagraph"/>
              <w:spacing w:before="228"/>
              <w:rPr>
                <w:b/>
                <w:sz w:val="20"/>
              </w:rPr>
            </w:pPr>
          </w:p>
          <w:p>
            <w:pPr>
              <w:pStyle w:val="TableParagraph"/>
              <w:ind w:left="67"/>
              <w:rPr>
                <w:b/>
                <w:sz w:val="20"/>
              </w:rPr>
            </w:pPr>
            <w:r>
              <w:rPr>
                <w:b/>
                <w:spacing w:val="-2"/>
                <w:sz w:val="20"/>
              </w:rPr>
              <w:t>Interpretación:</w:t>
            </w:r>
          </w:p>
        </w:tc>
        <w:tc>
          <w:tcPr>
            <w:tcW w:w="7514" w:type="dxa"/>
            <w:tcBorders>
              <w:top w:val="nil"/>
            </w:tcBorders>
          </w:tcPr>
          <w:p>
            <w:pPr>
              <w:pStyle w:val="TableParagraph"/>
              <w:spacing w:line="229" w:lineRule="exact"/>
              <w:ind w:left="69"/>
              <w:rPr>
                <w:sz w:val="20"/>
              </w:rPr>
            </w:pPr>
            <w:r>
              <w:rPr>
                <w:sz w:val="20"/>
              </w:rPr>
              <w:t>El</w:t>
            </w:r>
            <w:r>
              <w:rPr>
                <w:spacing w:val="-7"/>
                <w:sz w:val="20"/>
              </w:rPr>
              <w:t> </w:t>
            </w:r>
            <w:r>
              <w:rPr>
                <w:sz w:val="20"/>
              </w:rPr>
              <w:t>porcentaje</w:t>
            </w:r>
            <w:r>
              <w:rPr>
                <w:spacing w:val="-7"/>
                <w:sz w:val="20"/>
              </w:rPr>
              <w:t> </w:t>
            </w:r>
            <w:r>
              <w:rPr>
                <w:sz w:val="20"/>
              </w:rPr>
              <w:t>de</w:t>
            </w:r>
            <w:r>
              <w:rPr>
                <w:spacing w:val="-5"/>
                <w:sz w:val="20"/>
              </w:rPr>
              <w:t> </w:t>
            </w:r>
            <w:r>
              <w:rPr>
                <w:sz w:val="20"/>
              </w:rPr>
              <w:t>llamadas</w:t>
            </w:r>
            <w:r>
              <w:rPr>
                <w:spacing w:val="-6"/>
                <w:sz w:val="20"/>
              </w:rPr>
              <w:t> </w:t>
            </w:r>
            <w:r>
              <w:rPr>
                <w:sz w:val="20"/>
              </w:rPr>
              <w:t>telefónicas</w:t>
            </w:r>
            <w:r>
              <w:rPr>
                <w:spacing w:val="-6"/>
                <w:sz w:val="20"/>
              </w:rPr>
              <w:t> </w:t>
            </w:r>
            <w:r>
              <w:rPr>
                <w:sz w:val="20"/>
              </w:rPr>
              <w:t>de</w:t>
            </w:r>
            <w:r>
              <w:rPr>
                <w:spacing w:val="-6"/>
                <w:sz w:val="20"/>
              </w:rPr>
              <w:t> </w:t>
            </w:r>
            <w:r>
              <w:rPr>
                <w:sz w:val="20"/>
              </w:rPr>
              <w:t>la</w:t>
            </w:r>
            <w:r>
              <w:rPr>
                <w:spacing w:val="-6"/>
                <w:sz w:val="20"/>
              </w:rPr>
              <w:t> </w:t>
            </w:r>
            <w:r>
              <w:rPr>
                <w:sz w:val="20"/>
              </w:rPr>
              <w:t>Mesa</w:t>
            </w:r>
            <w:r>
              <w:rPr>
                <w:spacing w:val="-5"/>
                <w:sz w:val="20"/>
              </w:rPr>
              <w:t> </w:t>
            </w:r>
            <w:r>
              <w:rPr>
                <w:sz w:val="20"/>
              </w:rPr>
              <w:t>de</w:t>
            </w:r>
            <w:r>
              <w:rPr>
                <w:spacing w:val="-6"/>
                <w:sz w:val="20"/>
              </w:rPr>
              <w:t> </w:t>
            </w:r>
            <w:r>
              <w:rPr>
                <w:sz w:val="20"/>
              </w:rPr>
              <w:t>Ayuda</w:t>
            </w:r>
            <w:r>
              <w:rPr>
                <w:spacing w:val="-7"/>
                <w:sz w:val="20"/>
              </w:rPr>
              <w:t> </w:t>
            </w:r>
            <w:r>
              <w:rPr>
                <w:sz w:val="20"/>
              </w:rPr>
              <w:t>cuya</w:t>
            </w:r>
            <w:r>
              <w:rPr>
                <w:spacing w:val="-7"/>
                <w:sz w:val="20"/>
              </w:rPr>
              <w:t> </w:t>
            </w:r>
            <w:r>
              <w:rPr>
                <w:sz w:val="20"/>
              </w:rPr>
              <w:t>facturación</w:t>
            </w:r>
            <w:r>
              <w:rPr>
                <w:spacing w:val="-7"/>
                <w:sz w:val="20"/>
              </w:rPr>
              <w:t> </w:t>
            </w:r>
            <w:r>
              <w:rPr>
                <w:spacing w:val="-5"/>
                <w:sz w:val="20"/>
              </w:rPr>
              <w:t>fue</w:t>
            </w:r>
          </w:p>
          <w:p>
            <w:pPr>
              <w:pStyle w:val="TableParagraph"/>
              <w:spacing w:line="229" w:lineRule="exact"/>
              <w:ind w:left="69"/>
              <w:rPr>
                <w:sz w:val="20"/>
              </w:rPr>
            </w:pPr>
            <w:r>
              <w:rPr>
                <w:sz w:val="20"/>
              </w:rPr>
              <w:t>cancelada</w:t>
            </w:r>
            <w:r>
              <w:rPr>
                <w:spacing w:val="-7"/>
                <w:sz w:val="20"/>
              </w:rPr>
              <w:t> </w:t>
            </w:r>
            <w:r>
              <w:rPr>
                <w:sz w:val="20"/>
              </w:rPr>
              <w:t>por</w:t>
            </w:r>
            <w:r>
              <w:rPr>
                <w:spacing w:val="-6"/>
                <w:sz w:val="20"/>
              </w:rPr>
              <w:t> </w:t>
            </w:r>
            <w:r>
              <w:rPr>
                <w:sz w:val="20"/>
              </w:rPr>
              <w:t>la</w:t>
            </w:r>
            <w:r>
              <w:rPr>
                <w:spacing w:val="-5"/>
                <w:sz w:val="20"/>
              </w:rPr>
              <w:t> </w:t>
            </w:r>
            <w:r>
              <w:rPr>
                <w:sz w:val="20"/>
              </w:rPr>
              <w:t>institución,</w:t>
            </w:r>
            <w:r>
              <w:rPr>
                <w:spacing w:val="-6"/>
                <w:sz w:val="20"/>
              </w:rPr>
              <w:t> </w:t>
            </w:r>
            <w:r>
              <w:rPr>
                <w:sz w:val="20"/>
              </w:rPr>
              <w:t>es</w:t>
            </w:r>
            <w:r>
              <w:rPr>
                <w:spacing w:val="-5"/>
                <w:sz w:val="20"/>
              </w:rPr>
              <w:t> </w:t>
            </w:r>
            <w:r>
              <w:rPr>
                <w:sz w:val="20"/>
              </w:rPr>
              <w:t>de</w:t>
            </w:r>
            <w:r>
              <w:rPr>
                <w:spacing w:val="-6"/>
                <w:sz w:val="20"/>
              </w:rPr>
              <w:t> </w:t>
            </w:r>
            <w:r>
              <w:rPr>
                <w:sz w:val="20"/>
              </w:rPr>
              <w:t>“Y”</w:t>
            </w:r>
            <w:r>
              <w:rPr>
                <w:spacing w:val="-5"/>
                <w:sz w:val="20"/>
              </w:rPr>
              <w:t> </w:t>
            </w:r>
            <w:r>
              <w:rPr>
                <w:sz w:val="20"/>
              </w:rPr>
              <w:t>%</w:t>
            </w:r>
            <w:r>
              <w:rPr>
                <w:spacing w:val="-6"/>
                <w:sz w:val="20"/>
              </w:rPr>
              <w:t> </w:t>
            </w:r>
            <w:r>
              <w:rPr>
                <w:sz w:val="20"/>
              </w:rPr>
              <w:t>para</w:t>
            </w:r>
            <w:r>
              <w:rPr>
                <w:spacing w:val="-5"/>
                <w:sz w:val="20"/>
              </w:rPr>
              <w:t> </w:t>
            </w:r>
            <w:r>
              <w:rPr>
                <w:sz w:val="20"/>
              </w:rPr>
              <w:t>el</w:t>
            </w:r>
            <w:r>
              <w:rPr>
                <w:spacing w:val="-7"/>
                <w:sz w:val="20"/>
              </w:rPr>
              <w:t> </w:t>
            </w:r>
            <w:r>
              <w:rPr>
                <w:sz w:val="20"/>
              </w:rPr>
              <w:t>período</w:t>
            </w:r>
            <w:r>
              <w:rPr>
                <w:spacing w:val="-6"/>
                <w:sz w:val="20"/>
              </w:rPr>
              <w:t> </w:t>
            </w:r>
            <w:r>
              <w:rPr>
                <w:spacing w:val="-4"/>
                <w:sz w:val="20"/>
              </w:rPr>
              <w:t>“X”.</w:t>
            </w:r>
          </w:p>
          <w:p>
            <w:pPr>
              <w:pStyle w:val="TableParagraph"/>
              <w:spacing w:line="230" w:lineRule="atLeast"/>
              <w:ind w:left="69" w:right="92"/>
              <w:rPr>
                <w:sz w:val="20"/>
              </w:rPr>
            </w:pPr>
            <w:r>
              <w:rPr>
                <w:sz w:val="20"/>
              </w:rPr>
              <w:t>En</w:t>
            </w:r>
            <w:r>
              <w:rPr>
                <w:spacing w:val="-4"/>
                <w:sz w:val="20"/>
              </w:rPr>
              <w:t> </w:t>
            </w:r>
            <w:r>
              <w:rPr>
                <w:sz w:val="20"/>
              </w:rPr>
              <w:t>esta</w:t>
            </w:r>
            <w:r>
              <w:rPr>
                <w:spacing w:val="-4"/>
                <w:sz w:val="20"/>
              </w:rPr>
              <w:t> </w:t>
            </w:r>
            <w:r>
              <w:rPr>
                <w:sz w:val="20"/>
              </w:rPr>
              <w:t>“X”</w:t>
            </w:r>
            <w:r>
              <w:rPr>
                <w:spacing w:val="-3"/>
                <w:sz w:val="20"/>
              </w:rPr>
              <w:t> </w:t>
            </w:r>
            <w:r>
              <w:rPr>
                <w:sz w:val="20"/>
              </w:rPr>
              <w:t>representa</w:t>
            </w:r>
            <w:r>
              <w:rPr>
                <w:spacing w:val="-2"/>
                <w:sz w:val="20"/>
              </w:rPr>
              <w:t> </w:t>
            </w:r>
            <w:r>
              <w:rPr>
                <w:sz w:val="20"/>
              </w:rPr>
              <w:t>el</w:t>
            </w:r>
            <w:r>
              <w:rPr>
                <w:spacing w:val="-3"/>
                <w:sz w:val="20"/>
              </w:rPr>
              <w:t> </w:t>
            </w:r>
            <w:r>
              <w:rPr>
                <w:sz w:val="20"/>
              </w:rPr>
              <w:t>período</w:t>
            </w:r>
            <w:r>
              <w:rPr>
                <w:spacing w:val="-3"/>
                <w:sz w:val="20"/>
              </w:rPr>
              <w:t> </w:t>
            </w:r>
            <w:r>
              <w:rPr>
                <w:sz w:val="20"/>
              </w:rPr>
              <w:t>de</w:t>
            </w:r>
            <w:r>
              <w:rPr>
                <w:spacing w:val="-5"/>
                <w:sz w:val="20"/>
              </w:rPr>
              <w:t> </w:t>
            </w:r>
            <w:r>
              <w:rPr>
                <w:sz w:val="20"/>
              </w:rPr>
              <w:t>tiempo</w:t>
            </w:r>
            <w:r>
              <w:rPr>
                <w:spacing w:val="-2"/>
                <w:sz w:val="20"/>
              </w:rPr>
              <w:t> </w:t>
            </w:r>
            <w:r>
              <w:rPr>
                <w:sz w:val="20"/>
              </w:rPr>
              <w:t>según</w:t>
            </w:r>
            <w:r>
              <w:rPr>
                <w:spacing w:val="-4"/>
                <w:sz w:val="20"/>
              </w:rPr>
              <w:t> </w:t>
            </w:r>
            <w:r>
              <w:rPr>
                <w:sz w:val="20"/>
              </w:rPr>
              <w:t>la</w:t>
            </w:r>
            <w:r>
              <w:rPr>
                <w:spacing w:val="-4"/>
                <w:sz w:val="20"/>
              </w:rPr>
              <w:t> </w:t>
            </w:r>
            <w:r>
              <w:rPr>
                <w:sz w:val="20"/>
              </w:rPr>
              <w:t>frecuencia</w:t>
            </w:r>
            <w:r>
              <w:rPr>
                <w:spacing w:val="-2"/>
                <w:sz w:val="20"/>
              </w:rPr>
              <w:t> </w:t>
            </w:r>
            <w:r>
              <w:rPr>
                <w:sz w:val="20"/>
              </w:rPr>
              <w:t>de</w:t>
            </w:r>
            <w:r>
              <w:rPr>
                <w:spacing w:val="-3"/>
                <w:sz w:val="20"/>
              </w:rPr>
              <w:t> </w:t>
            </w:r>
            <w:r>
              <w:rPr>
                <w:sz w:val="20"/>
              </w:rPr>
              <w:t>medición,</w:t>
            </w:r>
            <w:r>
              <w:rPr>
                <w:spacing w:val="-4"/>
                <w:sz w:val="20"/>
              </w:rPr>
              <w:t> </w:t>
            </w:r>
            <w:r>
              <w:rPr>
                <w:sz w:val="20"/>
              </w:rPr>
              <w:t>y</w:t>
            </w:r>
            <w:r>
              <w:rPr>
                <w:spacing w:val="-3"/>
                <w:sz w:val="20"/>
              </w:rPr>
              <w:t> </w:t>
            </w:r>
            <w:r>
              <w:rPr>
                <w:sz w:val="20"/>
              </w:rPr>
              <w:t>“Y” significa la meta alcanzada a ese momento según la unidad de medida </w:t>
            </w:r>
            <w:r>
              <w:rPr>
                <w:spacing w:val="-2"/>
                <w:sz w:val="20"/>
              </w:rPr>
              <w:t>establecida.</w:t>
            </w:r>
          </w:p>
        </w:tc>
      </w:tr>
      <w:tr>
        <w:trPr>
          <w:trHeight w:val="299" w:hRule="atLeast"/>
        </w:trPr>
        <w:tc>
          <w:tcPr>
            <w:tcW w:w="2835" w:type="dxa"/>
            <w:shd w:val="clear" w:color="auto" w:fill="DCE6F0"/>
          </w:tcPr>
          <w:p>
            <w:pPr>
              <w:pStyle w:val="TableParagraph"/>
              <w:spacing w:before="35"/>
              <w:ind w:left="67"/>
              <w:rPr>
                <w:b/>
                <w:sz w:val="20"/>
              </w:rPr>
            </w:pPr>
            <w:r>
              <w:rPr>
                <w:b/>
                <w:spacing w:val="-2"/>
                <w:sz w:val="20"/>
              </w:rPr>
              <w:t>Desagregación</w:t>
            </w:r>
          </w:p>
        </w:tc>
        <w:tc>
          <w:tcPr>
            <w:tcW w:w="7514" w:type="dxa"/>
          </w:tcPr>
          <w:p>
            <w:pPr>
              <w:pStyle w:val="TableParagraph"/>
              <w:spacing w:before="35"/>
              <w:ind w:left="69"/>
              <w:rPr>
                <w:sz w:val="20"/>
              </w:rPr>
            </w:pPr>
            <w:r>
              <w:rPr>
                <w:sz w:val="20"/>
              </w:rPr>
              <w:t>No</w:t>
            </w:r>
            <w:r>
              <w:rPr>
                <w:spacing w:val="-5"/>
                <w:sz w:val="20"/>
              </w:rPr>
              <w:t> </w:t>
            </w:r>
            <w:r>
              <w:rPr>
                <w:spacing w:val="-2"/>
                <w:sz w:val="20"/>
              </w:rPr>
              <w:t>aplica.</w:t>
            </w:r>
          </w:p>
        </w:tc>
      </w:tr>
      <w:tr>
        <w:trPr>
          <w:trHeight w:val="299" w:hRule="atLeast"/>
        </w:trPr>
        <w:tc>
          <w:tcPr>
            <w:tcW w:w="2835" w:type="dxa"/>
            <w:shd w:val="clear" w:color="auto" w:fill="DCE6F0"/>
          </w:tcPr>
          <w:p>
            <w:pPr>
              <w:pStyle w:val="TableParagraph"/>
              <w:spacing w:before="35"/>
              <w:ind w:left="67"/>
              <w:rPr>
                <w:b/>
                <w:sz w:val="20"/>
              </w:rPr>
            </w:pPr>
            <w:r>
              <w:rPr>
                <w:b/>
                <w:spacing w:val="-2"/>
                <w:sz w:val="20"/>
              </w:rPr>
              <w:t>Meta:</w:t>
            </w:r>
          </w:p>
        </w:tc>
        <w:tc>
          <w:tcPr>
            <w:tcW w:w="7514" w:type="dxa"/>
          </w:tcPr>
          <w:p>
            <w:pPr>
              <w:pStyle w:val="TableParagraph"/>
              <w:spacing w:before="35"/>
              <w:ind w:left="69"/>
              <w:rPr>
                <w:sz w:val="20"/>
              </w:rPr>
            </w:pPr>
            <w:r>
              <w:rPr>
                <w:spacing w:val="-4"/>
                <w:sz w:val="20"/>
              </w:rPr>
              <w:t>100%</w:t>
            </w:r>
          </w:p>
        </w:tc>
      </w:tr>
      <w:tr>
        <w:trPr>
          <w:trHeight w:val="299" w:hRule="atLeast"/>
        </w:trPr>
        <w:tc>
          <w:tcPr>
            <w:tcW w:w="2835" w:type="dxa"/>
            <w:shd w:val="clear" w:color="auto" w:fill="DCE6F0"/>
          </w:tcPr>
          <w:p>
            <w:pPr>
              <w:pStyle w:val="TableParagraph"/>
              <w:spacing w:before="35"/>
              <w:ind w:left="67"/>
              <w:rPr>
                <w:b/>
                <w:sz w:val="20"/>
              </w:rPr>
            </w:pPr>
            <w:r>
              <w:rPr>
                <w:b/>
                <w:sz w:val="20"/>
              </w:rPr>
              <w:t>Línea</w:t>
            </w:r>
            <w:r>
              <w:rPr>
                <w:b/>
                <w:spacing w:val="-10"/>
                <w:sz w:val="20"/>
              </w:rPr>
              <w:t> </w:t>
            </w:r>
            <w:r>
              <w:rPr>
                <w:b/>
                <w:spacing w:val="-4"/>
                <w:sz w:val="20"/>
              </w:rPr>
              <w:t>Base</w:t>
            </w:r>
          </w:p>
        </w:tc>
        <w:tc>
          <w:tcPr>
            <w:tcW w:w="7514" w:type="dxa"/>
          </w:tcPr>
          <w:p>
            <w:pPr>
              <w:pStyle w:val="TableParagraph"/>
              <w:spacing w:before="35"/>
              <w:ind w:left="69"/>
              <w:rPr>
                <w:sz w:val="20"/>
              </w:rPr>
            </w:pPr>
            <w:r>
              <w:rPr>
                <w:spacing w:val="-4"/>
                <w:sz w:val="20"/>
              </w:rPr>
              <w:t>100%</w:t>
            </w:r>
          </w:p>
        </w:tc>
      </w:tr>
      <w:tr>
        <w:trPr>
          <w:trHeight w:val="510" w:hRule="atLeast"/>
        </w:trPr>
        <w:tc>
          <w:tcPr>
            <w:tcW w:w="2835" w:type="dxa"/>
            <w:shd w:val="clear" w:color="auto" w:fill="DCE6F0"/>
          </w:tcPr>
          <w:p>
            <w:pPr>
              <w:pStyle w:val="TableParagraph"/>
              <w:spacing w:before="2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141"/>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510" w:hRule="atLeast"/>
        </w:trPr>
        <w:tc>
          <w:tcPr>
            <w:tcW w:w="2835" w:type="dxa"/>
            <w:shd w:val="clear" w:color="auto" w:fill="DCE6F0"/>
          </w:tcPr>
          <w:p>
            <w:pPr>
              <w:pStyle w:val="TableParagraph"/>
              <w:spacing w:before="26"/>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line="229" w:lineRule="exact" w:before="26"/>
              <w:ind w:left="69"/>
              <w:rPr>
                <w:sz w:val="20"/>
              </w:rPr>
            </w:pPr>
            <w:r>
              <w:rPr>
                <w:sz w:val="20"/>
              </w:rPr>
              <w:t>Nombre</w:t>
            </w:r>
            <w:r>
              <w:rPr>
                <w:spacing w:val="-8"/>
                <w:sz w:val="20"/>
              </w:rPr>
              <w:t> </w:t>
            </w:r>
            <w:r>
              <w:rPr>
                <w:sz w:val="20"/>
              </w:rPr>
              <w:t>del</w:t>
            </w:r>
            <w:r>
              <w:rPr>
                <w:spacing w:val="-9"/>
                <w:sz w:val="20"/>
              </w:rPr>
              <w:t> </w:t>
            </w:r>
            <w:r>
              <w:rPr>
                <w:sz w:val="20"/>
              </w:rPr>
              <w:t>funcionario:</w:t>
            </w:r>
            <w:r>
              <w:rPr>
                <w:spacing w:val="-9"/>
                <w:sz w:val="20"/>
              </w:rPr>
              <w:t> </w:t>
            </w:r>
            <w:r>
              <w:rPr>
                <w:sz w:val="20"/>
              </w:rPr>
              <w:t>Ilse</w:t>
            </w:r>
            <w:r>
              <w:rPr>
                <w:spacing w:val="-9"/>
                <w:sz w:val="20"/>
              </w:rPr>
              <w:t> </w:t>
            </w:r>
            <w:r>
              <w:rPr>
                <w:sz w:val="20"/>
              </w:rPr>
              <w:t>Calderón</w:t>
            </w:r>
            <w:r>
              <w:rPr>
                <w:spacing w:val="-9"/>
                <w:sz w:val="20"/>
              </w:rPr>
              <w:t> </w:t>
            </w:r>
            <w:r>
              <w:rPr>
                <w:spacing w:val="-2"/>
                <w:sz w:val="20"/>
              </w:rPr>
              <w:t>Esquivel</w:t>
            </w:r>
          </w:p>
          <w:p>
            <w:pPr>
              <w:pStyle w:val="TableParagraph"/>
              <w:spacing w:line="229" w:lineRule="exact"/>
              <w:ind w:left="69"/>
              <w:rPr>
                <w:sz w:val="20"/>
              </w:rPr>
            </w:pPr>
            <w:r>
              <w:rPr>
                <w:sz w:val="20"/>
              </w:rPr>
              <w:t>Cargo:</w:t>
            </w:r>
            <w:r>
              <w:rPr>
                <w:spacing w:val="-10"/>
                <w:sz w:val="20"/>
              </w:rPr>
              <w:t> </w:t>
            </w:r>
            <w:r>
              <w:rPr>
                <w:sz w:val="20"/>
              </w:rPr>
              <w:t>Jefatura,</w:t>
            </w:r>
            <w:r>
              <w:rPr>
                <w:spacing w:val="-10"/>
                <w:sz w:val="20"/>
              </w:rPr>
              <w:t> </w:t>
            </w:r>
            <w:r>
              <w:rPr>
                <w:sz w:val="20"/>
              </w:rPr>
              <w:t>Departamento</w:t>
            </w:r>
            <w:r>
              <w:rPr>
                <w:spacing w:val="-8"/>
                <w:sz w:val="20"/>
              </w:rPr>
              <w:t> </w:t>
            </w:r>
            <w:r>
              <w:rPr>
                <w:sz w:val="20"/>
              </w:rPr>
              <w:t>de</w:t>
            </w:r>
            <w:r>
              <w:rPr>
                <w:spacing w:val="-9"/>
                <w:sz w:val="20"/>
              </w:rPr>
              <w:t> </w:t>
            </w:r>
            <w:r>
              <w:rPr>
                <w:sz w:val="20"/>
              </w:rPr>
              <w:t>Sistemas</w:t>
            </w:r>
            <w:r>
              <w:rPr>
                <w:spacing w:val="-9"/>
                <w:sz w:val="20"/>
              </w:rPr>
              <w:t> </w:t>
            </w:r>
            <w:r>
              <w:rPr>
                <w:sz w:val="20"/>
              </w:rPr>
              <w:t>de</w:t>
            </w:r>
            <w:r>
              <w:rPr>
                <w:spacing w:val="-9"/>
                <w:sz w:val="20"/>
              </w:rPr>
              <w:t> </w:t>
            </w:r>
            <w:r>
              <w:rPr>
                <w:sz w:val="20"/>
              </w:rPr>
              <w:t>Información</w:t>
            </w:r>
            <w:r>
              <w:rPr>
                <w:spacing w:val="-9"/>
                <w:sz w:val="20"/>
              </w:rPr>
              <w:t> </w:t>
            </w:r>
            <w:r>
              <w:rPr>
                <w:spacing w:val="-2"/>
                <w:sz w:val="20"/>
              </w:rPr>
              <w:t>Social</w:t>
            </w:r>
          </w:p>
        </w:tc>
      </w:tr>
      <w:tr>
        <w:trPr>
          <w:trHeight w:val="508" w:hRule="atLeast"/>
        </w:trPr>
        <w:tc>
          <w:tcPr>
            <w:tcW w:w="2835" w:type="dxa"/>
            <w:shd w:val="clear" w:color="auto" w:fill="DCE6F0"/>
          </w:tcPr>
          <w:p>
            <w:pPr>
              <w:pStyle w:val="TableParagraph"/>
              <w:spacing w:before="23"/>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38"/>
              <w:ind w:left="69"/>
              <w:rPr>
                <w:sz w:val="20"/>
              </w:rPr>
            </w:pPr>
            <w:r>
              <w:rPr>
                <w:sz w:val="20"/>
              </w:rPr>
              <w:t>Dirección</w:t>
            </w:r>
            <w:r>
              <w:rPr>
                <w:spacing w:val="-8"/>
                <w:sz w:val="20"/>
              </w:rPr>
              <w:t> </w:t>
            </w:r>
            <w:r>
              <w:rPr>
                <w:sz w:val="20"/>
              </w:rPr>
              <w:t>de</w:t>
            </w:r>
            <w:r>
              <w:rPr>
                <w:spacing w:val="-9"/>
                <w:sz w:val="20"/>
              </w:rPr>
              <w:t> </w:t>
            </w:r>
            <w:r>
              <w:rPr>
                <w:sz w:val="20"/>
              </w:rPr>
              <w:t>Desarrollo</w:t>
            </w:r>
            <w:r>
              <w:rPr>
                <w:spacing w:val="-7"/>
                <w:sz w:val="20"/>
              </w:rPr>
              <w:t> </w:t>
            </w:r>
            <w:r>
              <w:rPr>
                <w:sz w:val="20"/>
              </w:rPr>
              <w:t>Social,</w:t>
            </w:r>
            <w:r>
              <w:rPr>
                <w:spacing w:val="-8"/>
                <w:sz w:val="20"/>
              </w:rPr>
              <w:t> </w:t>
            </w:r>
            <w:r>
              <w:rPr>
                <w:sz w:val="20"/>
              </w:rPr>
              <w:t>Departamento</w:t>
            </w:r>
            <w:r>
              <w:rPr>
                <w:spacing w:val="-7"/>
                <w:sz w:val="20"/>
              </w:rPr>
              <w:t> </w:t>
            </w:r>
            <w:r>
              <w:rPr>
                <w:sz w:val="20"/>
              </w:rPr>
              <w:t>de</w:t>
            </w:r>
            <w:r>
              <w:rPr>
                <w:spacing w:val="-9"/>
                <w:sz w:val="20"/>
              </w:rPr>
              <w:t> </w:t>
            </w:r>
            <w:r>
              <w:rPr>
                <w:sz w:val="20"/>
              </w:rPr>
              <w:t>Sistemas</w:t>
            </w:r>
            <w:r>
              <w:rPr>
                <w:spacing w:val="-8"/>
                <w:sz w:val="20"/>
              </w:rPr>
              <w:t> </w:t>
            </w:r>
            <w:r>
              <w:rPr>
                <w:sz w:val="20"/>
              </w:rPr>
              <w:t>de</w:t>
            </w:r>
            <w:r>
              <w:rPr>
                <w:spacing w:val="-10"/>
                <w:sz w:val="20"/>
              </w:rPr>
              <w:t> </w:t>
            </w:r>
            <w:r>
              <w:rPr>
                <w:sz w:val="20"/>
              </w:rPr>
              <w:t>Información</w:t>
            </w:r>
            <w:r>
              <w:rPr>
                <w:spacing w:val="-8"/>
                <w:sz w:val="20"/>
              </w:rPr>
              <w:t> </w:t>
            </w:r>
            <w:r>
              <w:rPr>
                <w:spacing w:val="-2"/>
                <w:sz w:val="20"/>
              </w:rPr>
              <w:t>Social</w:t>
            </w:r>
          </w:p>
        </w:tc>
      </w:tr>
      <w:tr>
        <w:trPr>
          <w:trHeight w:val="302" w:hRule="atLeast"/>
        </w:trPr>
        <w:tc>
          <w:tcPr>
            <w:tcW w:w="2835" w:type="dxa"/>
            <w:shd w:val="clear" w:color="auto" w:fill="DCE6F0"/>
          </w:tcPr>
          <w:p>
            <w:pPr>
              <w:pStyle w:val="TableParagraph"/>
              <w:spacing w:before="36"/>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36"/>
              <w:ind w:left="69"/>
              <w:rPr>
                <w:sz w:val="20"/>
              </w:rPr>
            </w:pPr>
            <w:r>
              <w:rPr>
                <w:sz w:val="20"/>
              </w:rPr>
              <w:t>Departamento</w:t>
            </w:r>
            <w:r>
              <w:rPr>
                <w:spacing w:val="-11"/>
                <w:sz w:val="20"/>
              </w:rPr>
              <w:t> </w:t>
            </w:r>
            <w:r>
              <w:rPr>
                <w:sz w:val="20"/>
              </w:rPr>
              <w:t>de</w:t>
            </w:r>
            <w:r>
              <w:rPr>
                <w:spacing w:val="-10"/>
                <w:sz w:val="20"/>
              </w:rPr>
              <w:t> </w:t>
            </w:r>
            <w:r>
              <w:rPr>
                <w:sz w:val="20"/>
              </w:rPr>
              <w:t>Sistemas</w:t>
            </w:r>
            <w:r>
              <w:rPr>
                <w:spacing w:val="-8"/>
                <w:sz w:val="20"/>
              </w:rPr>
              <w:t> </w:t>
            </w:r>
            <w:r>
              <w:rPr>
                <w:sz w:val="20"/>
              </w:rPr>
              <w:t>de</w:t>
            </w:r>
            <w:r>
              <w:rPr>
                <w:spacing w:val="-12"/>
                <w:sz w:val="20"/>
              </w:rPr>
              <w:t> </w:t>
            </w:r>
            <w:r>
              <w:rPr>
                <w:sz w:val="20"/>
              </w:rPr>
              <w:t>Información</w:t>
            </w:r>
            <w:r>
              <w:rPr>
                <w:spacing w:val="-9"/>
                <w:sz w:val="20"/>
              </w:rPr>
              <w:t> </w:t>
            </w:r>
            <w:r>
              <w:rPr>
                <w:spacing w:val="-2"/>
                <w:sz w:val="20"/>
              </w:rPr>
              <w:t>Social.</w:t>
            </w:r>
          </w:p>
        </w:tc>
      </w:tr>
      <w:tr>
        <w:trPr>
          <w:trHeight w:val="299" w:hRule="atLeast"/>
        </w:trPr>
        <w:tc>
          <w:tcPr>
            <w:tcW w:w="2835" w:type="dxa"/>
            <w:shd w:val="clear" w:color="auto" w:fill="DCE6F0"/>
          </w:tcPr>
          <w:p>
            <w:pPr>
              <w:pStyle w:val="TableParagraph"/>
              <w:spacing w:before="33"/>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33"/>
              <w:ind w:left="69"/>
              <w:rPr>
                <w:sz w:val="20"/>
              </w:rPr>
            </w:pPr>
            <w:r>
              <w:rPr>
                <w:sz w:val="20"/>
              </w:rPr>
              <w:t>Reportes</w:t>
            </w:r>
            <w:r>
              <w:rPr>
                <w:spacing w:val="-4"/>
                <w:sz w:val="20"/>
              </w:rPr>
              <w:t> </w:t>
            </w:r>
            <w:r>
              <w:rPr>
                <w:sz w:val="20"/>
              </w:rPr>
              <w:t>mensuales</w:t>
            </w:r>
            <w:r>
              <w:rPr>
                <w:spacing w:val="-6"/>
                <w:sz w:val="20"/>
              </w:rPr>
              <w:t> </w:t>
            </w:r>
            <w:r>
              <w:rPr>
                <w:sz w:val="20"/>
              </w:rPr>
              <w:t>de</w:t>
            </w:r>
            <w:r>
              <w:rPr>
                <w:spacing w:val="-6"/>
                <w:sz w:val="20"/>
              </w:rPr>
              <w:t> </w:t>
            </w:r>
            <w:r>
              <w:rPr>
                <w:sz w:val="20"/>
              </w:rPr>
              <w:t>SAP</w:t>
            </w:r>
            <w:r>
              <w:rPr>
                <w:spacing w:val="-6"/>
                <w:sz w:val="20"/>
              </w:rPr>
              <w:t> </w:t>
            </w:r>
            <w:r>
              <w:rPr>
                <w:sz w:val="20"/>
              </w:rPr>
              <w:t>de</w:t>
            </w:r>
            <w:r>
              <w:rPr>
                <w:spacing w:val="-5"/>
                <w:sz w:val="20"/>
              </w:rPr>
              <w:t> </w:t>
            </w:r>
            <w:r>
              <w:rPr>
                <w:sz w:val="20"/>
              </w:rPr>
              <w:t>pago</w:t>
            </w:r>
            <w:r>
              <w:rPr>
                <w:spacing w:val="-7"/>
                <w:sz w:val="20"/>
              </w:rPr>
              <w:t> </w:t>
            </w:r>
            <w:r>
              <w:rPr>
                <w:sz w:val="20"/>
              </w:rPr>
              <w:t>de</w:t>
            </w:r>
            <w:r>
              <w:rPr>
                <w:spacing w:val="-7"/>
                <w:sz w:val="20"/>
              </w:rPr>
              <w:t> </w:t>
            </w:r>
            <w:r>
              <w:rPr>
                <w:sz w:val="20"/>
              </w:rPr>
              <w:t>facturas</w:t>
            </w:r>
            <w:r>
              <w:rPr>
                <w:spacing w:val="-5"/>
                <w:sz w:val="20"/>
              </w:rPr>
              <w:t> </w:t>
            </w:r>
            <w:r>
              <w:rPr>
                <w:sz w:val="20"/>
              </w:rPr>
              <w:t>o</w:t>
            </w:r>
            <w:r>
              <w:rPr>
                <w:spacing w:val="-8"/>
                <w:sz w:val="20"/>
              </w:rPr>
              <w:t> </w:t>
            </w:r>
            <w:r>
              <w:rPr>
                <w:sz w:val="20"/>
              </w:rPr>
              <w:t>reportes</w:t>
            </w:r>
            <w:r>
              <w:rPr>
                <w:spacing w:val="-5"/>
                <w:sz w:val="20"/>
              </w:rPr>
              <w:t> </w:t>
            </w:r>
            <w:r>
              <w:rPr>
                <w:sz w:val="20"/>
              </w:rPr>
              <w:t>del</w:t>
            </w:r>
            <w:r>
              <w:rPr>
                <w:spacing w:val="-6"/>
                <w:sz w:val="20"/>
              </w:rPr>
              <w:t> </w:t>
            </w:r>
            <w:r>
              <w:rPr>
                <w:sz w:val="20"/>
              </w:rPr>
              <w:t>Sistema</w:t>
            </w:r>
            <w:r>
              <w:rPr>
                <w:spacing w:val="-5"/>
                <w:sz w:val="20"/>
              </w:rPr>
              <w:t> PAR</w:t>
            </w:r>
          </w:p>
        </w:tc>
      </w:tr>
      <w:tr>
        <w:trPr>
          <w:trHeight w:val="765" w:hRule="atLeast"/>
        </w:trPr>
        <w:tc>
          <w:tcPr>
            <w:tcW w:w="2835" w:type="dxa"/>
            <w:shd w:val="clear" w:color="auto" w:fill="DCE6F0"/>
          </w:tcPr>
          <w:p>
            <w:pPr>
              <w:pStyle w:val="TableParagraph"/>
              <w:spacing w:before="35"/>
              <w:rPr>
                <w:b/>
                <w:sz w:val="20"/>
              </w:rPr>
            </w:pPr>
          </w:p>
          <w:p>
            <w:pPr>
              <w:pStyle w:val="TableParagraph"/>
              <w:spacing w:before="1"/>
              <w:ind w:left="67"/>
              <w:rPr>
                <w:b/>
                <w:sz w:val="20"/>
              </w:rPr>
            </w:pPr>
            <w:r>
              <w:rPr>
                <w:b/>
                <w:spacing w:val="-2"/>
                <w:sz w:val="20"/>
              </w:rPr>
              <w:t>Clasificación</w:t>
            </w:r>
          </w:p>
        </w:tc>
        <w:tc>
          <w:tcPr>
            <w:tcW w:w="7514" w:type="dxa"/>
          </w:tcPr>
          <w:p>
            <w:pPr>
              <w:pStyle w:val="TableParagraph"/>
              <w:spacing w:before="35"/>
              <w:rPr>
                <w:b/>
                <w:sz w:val="20"/>
              </w:rPr>
            </w:pPr>
          </w:p>
          <w:p>
            <w:pPr>
              <w:pStyle w:val="TableParagraph"/>
              <w:spacing w:before="1"/>
              <w:ind w:left="69"/>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5"/>
                <w:sz w:val="20"/>
              </w:rPr>
              <w:t> </w:t>
            </w:r>
            <w:r>
              <w:rPr>
                <w:sz w:val="20"/>
              </w:rPr>
              <w:t>Producto</w:t>
            </w:r>
            <w:r>
              <w:rPr>
                <w:spacing w:val="-8"/>
                <w:sz w:val="20"/>
              </w:rPr>
              <w:t> </w:t>
            </w:r>
            <w:r>
              <w:rPr>
                <w:spacing w:val="-5"/>
                <w:sz w:val="20"/>
              </w:rPr>
              <w:t>(X)</w:t>
            </w:r>
          </w:p>
        </w:tc>
      </w:tr>
      <w:tr>
        <w:trPr>
          <w:trHeight w:val="299" w:hRule="atLeast"/>
        </w:trPr>
        <w:tc>
          <w:tcPr>
            <w:tcW w:w="2835" w:type="dxa"/>
            <w:shd w:val="clear" w:color="auto" w:fill="DCE6F0"/>
          </w:tcPr>
          <w:p>
            <w:pPr>
              <w:pStyle w:val="TableParagraph"/>
              <w:spacing w:before="33"/>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rPr>
                <w:rFonts w:ascii="Times New Roman"/>
                <w:sz w:val="20"/>
              </w:rPr>
            </w:pPr>
          </w:p>
        </w:tc>
      </w:tr>
    </w:tbl>
    <w:p>
      <w:pPr>
        <w:pStyle w:val="BodyText"/>
        <w:rPr>
          <w:b/>
          <w:sz w:val="20"/>
        </w:rPr>
      </w:pPr>
    </w:p>
    <w:p>
      <w:pPr>
        <w:pStyle w:val="BodyText"/>
        <w:spacing w:before="116" w:after="1"/>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458" w:hRule="atLeast"/>
        </w:trPr>
        <w:tc>
          <w:tcPr>
            <w:tcW w:w="2835" w:type="dxa"/>
            <w:shd w:val="clear" w:color="auto" w:fill="DCE6F0"/>
          </w:tcPr>
          <w:p>
            <w:pPr>
              <w:pStyle w:val="TableParagraph"/>
              <w:spacing w:before="114"/>
              <w:ind w:left="67"/>
              <w:rPr>
                <w:b/>
                <w:sz w:val="20"/>
              </w:rPr>
            </w:pPr>
            <w:r>
              <w:rPr>
                <w:b/>
                <w:sz w:val="20"/>
              </w:rPr>
              <w:t>PPPS</w:t>
            </w:r>
            <w:r>
              <w:rPr>
                <w:b/>
                <w:spacing w:val="-6"/>
                <w:sz w:val="20"/>
              </w:rPr>
              <w:t> </w:t>
            </w:r>
            <w:r>
              <w:rPr>
                <w:b/>
                <w:spacing w:val="-2"/>
                <w:sz w:val="20"/>
              </w:rPr>
              <w:t>1.3.2:</w:t>
            </w:r>
          </w:p>
        </w:tc>
        <w:tc>
          <w:tcPr>
            <w:tcW w:w="7514" w:type="dxa"/>
          </w:tcPr>
          <w:p>
            <w:pPr>
              <w:pStyle w:val="TableParagraph"/>
              <w:spacing w:before="114"/>
              <w:ind w:left="69"/>
              <w:rPr>
                <w:sz w:val="20"/>
              </w:rPr>
            </w:pPr>
            <w:r>
              <w:rPr>
                <w:sz w:val="20"/>
              </w:rPr>
              <w:t>Porcentaje</w:t>
            </w:r>
            <w:r>
              <w:rPr>
                <w:spacing w:val="-8"/>
                <w:sz w:val="20"/>
              </w:rPr>
              <w:t> </w:t>
            </w:r>
            <w:r>
              <w:rPr>
                <w:sz w:val="20"/>
              </w:rPr>
              <w:t>de</w:t>
            </w:r>
            <w:r>
              <w:rPr>
                <w:spacing w:val="-7"/>
                <w:sz w:val="20"/>
              </w:rPr>
              <w:t> </w:t>
            </w:r>
            <w:r>
              <w:rPr>
                <w:sz w:val="20"/>
              </w:rPr>
              <w:t>citas</w:t>
            </w:r>
            <w:r>
              <w:rPr>
                <w:spacing w:val="-6"/>
                <w:sz w:val="20"/>
              </w:rPr>
              <w:t> </w:t>
            </w:r>
            <w:r>
              <w:rPr>
                <w:sz w:val="20"/>
              </w:rPr>
              <w:t>asignadas</w:t>
            </w:r>
            <w:r>
              <w:rPr>
                <w:spacing w:val="-6"/>
                <w:sz w:val="20"/>
              </w:rPr>
              <w:t> </w:t>
            </w:r>
            <w:r>
              <w:rPr>
                <w:sz w:val="20"/>
              </w:rPr>
              <w:t>mediante</w:t>
            </w:r>
            <w:r>
              <w:rPr>
                <w:spacing w:val="-5"/>
                <w:sz w:val="20"/>
              </w:rPr>
              <w:t> </w:t>
            </w:r>
            <w:r>
              <w:rPr>
                <w:sz w:val="20"/>
              </w:rPr>
              <w:t>el</w:t>
            </w:r>
            <w:r>
              <w:rPr>
                <w:spacing w:val="-6"/>
                <w:sz w:val="20"/>
              </w:rPr>
              <w:t> </w:t>
            </w:r>
            <w:r>
              <w:rPr>
                <w:sz w:val="20"/>
              </w:rPr>
              <w:t>Sistema</w:t>
            </w:r>
            <w:r>
              <w:rPr>
                <w:spacing w:val="-7"/>
                <w:sz w:val="20"/>
              </w:rPr>
              <w:t> </w:t>
            </w:r>
            <w:r>
              <w:rPr>
                <w:sz w:val="20"/>
              </w:rPr>
              <w:t>de</w:t>
            </w:r>
            <w:r>
              <w:rPr>
                <w:spacing w:val="-7"/>
                <w:sz w:val="20"/>
              </w:rPr>
              <w:t> </w:t>
            </w:r>
            <w:r>
              <w:rPr>
                <w:sz w:val="20"/>
              </w:rPr>
              <w:t>Citas</w:t>
            </w:r>
            <w:r>
              <w:rPr>
                <w:spacing w:val="-6"/>
                <w:sz w:val="20"/>
              </w:rPr>
              <w:t> </w:t>
            </w:r>
            <w:r>
              <w:rPr>
                <w:spacing w:val="-2"/>
                <w:sz w:val="20"/>
              </w:rPr>
              <w:t>institucional.</w:t>
            </w:r>
          </w:p>
        </w:tc>
      </w:tr>
      <w:tr>
        <w:trPr>
          <w:trHeight w:val="316" w:hRule="atLeast"/>
        </w:trPr>
        <w:tc>
          <w:tcPr>
            <w:tcW w:w="2835" w:type="dxa"/>
            <w:shd w:val="clear" w:color="auto" w:fill="DCE6F0"/>
          </w:tcPr>
          <w:p>
            <w:pPr>
              <w:pStyle w:val="TableParagraph"/>
              <w:spacing w:before="42"/>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before="42"/>
              <w:ind w:left="69"/>
              <w:rPr>
                <w:sz w:val="20"/>
              </w:rPr>
            </w:pPr>
            <w:r>
              <w:rPr>
                <w:sz w:val="20"/>
              </w:rPr>
              <w:t>Cantidad</w:t>
            </w:r>
            <w:r>
              <w:rPr>
                <w:spacing w:val="-8"/>
                <w:sz w:val="20"/>
              </w:rPr>
              <w:t> </w:t>
            </w:r>
            <w:r>
              <w:rPr>
                <w:sz w:val="20"/>
              </w:rPr>
              <w:t>de</w:t>
            </w:r>
            <w:r>
              <w:rPr>
                <w:spacing w:val="-7"/>
                <w:sz w:val="20"/>
              </w:rPr>
              <w:t> </w:t>
            </w:r>
            <w:r>
              <w:rPr>
                <w:sz w:val="20"/>
              </w:rPr>
              <w:t>citas</w:t>
            </w:r>
            <w:r>
              <w:rPr>
                <w:spacing w:val="-7"/>
                <w:sz w:val="20"/>
              </w:rPr>
              <w:t> </w:t>
            </w:r>
            <w:r>
              <w:rPr>
                <w:sz w:val="20"/>
              </w:rPr>
              <w:t>asignadas</w:t>
            </w:r>
            <w:r>
              <w:rPr>
                <w:spacing w:val="-7"/>
                <w:sz w:val="20"/>
              </w:rPr>
              <w:t> </w:t>
            </w:r>
            <w:r>
              <w:rPr>
                <w:sz w:val="20"/>
              </w:rPr>
              <w:t>/</w:t>
            </w:r>
            <w:r>
              <w:rPr>
                <w:spacing w:val="-8"/>
                <w:sz w:val="20"/>
              </w:rPr>
              <w:t> </w:t>
            </w:r>
            <w:r>
              <w:rPr>
                <w:sz w:val="20"/>
              </w:rPr>
              <w:t>Cantidad</w:t>
            </w:r>
            <w:r>
              <w:rPr>
                <w:spacing w:val="-7"/>
                <w:sz w:val="20"/>
              </w:rPr>
              <w:t> </w:t>
            </w:r>
            <w:r>
              <w:rPr>
                <w:sz w:val="20"/>
              </w:rPr>
              <w:t>de</w:t>
            </w:r>
            <w:r>
              <w:rPr>
                <w:spacing w:val="-8"/>
                <w:sz w:val="20"/>
              </w:rPr>
              <w:t> </w:t>
            </w:r>
            <w:r>
              <w:rPr>
                <w:sz w:val="20"/>
              </w:rPr>
              <w:t>solicitudes</w:t>
            </w:r>
            <w:r>
              <w:rPr>
                <w:spacing w:val="-6"/>
                <w:sz w:val="20"/>
              </w:rPr>
              <w:t> </w:t>
            </w:r>
            <w:r>
              <w:rPr>
                <w:sz w:val="20"/>
              </w:rPr>
              <w:t>de</w:t>
            </w:r>
            <w:r>
              <w:rPr>
                <w:spacing w:val="-8"/>
                <w:sz w:val="20"/>
              </w:rPr>
              <w:t> </w:t>
            </w:r>
            <w:r>
              <w:rPr>
                <w:sz w:val="20"/>
              </w:rPr>
              <w:t>citas</w:t>
            </w:r>
            <w:r>
              <w:rPr>
                <w:spacing w:val="-7"/>
                <w:sz w:val="20"/>
              </w:rPr>
              <w:t> </w:t>
            </w:r>
            <w:r>
              <w:rPr>
                <w:sz w:val="20"/>
              </w:rPr>
              <w:t>recibidas</w:t>
            </w:r>
            <w:r>
              <w:rPr>
                <w:spacing w:val="-7"/>
                <w:sz w:val="20"/>
              </w:rPr>
              <w:t> </w:t>
            </w:r>
            <w:r>
              <w:rPr>
                <w:spacing w:val="-4"/>
                <w:sz w:val="20"/>
              </w:rPr>
              <w:t>*100</w:t>
            </w:r>
          </w:p>
        </w:tc>
      </w:tr>
      <w:tr>
        <w:trPr>
          <w:trHeight w:val="313" w:hRule="atLeast"/>
        </w:trPr>
        <w:tc>
          <w:tcPr>
            <w:tcW w:w="2835" w:type="dxa"/>
            <w:shd w:val="clear" w:color="auto" w:fill="DCE6F0"/>
          </w:tcPr>
          <w:p>
            <w:pPr>
              <w:pStyle w:val="TableParagraph"/>
              <w:spacing w:before="42"/>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42"/>
              <w:ind w:left="69"/>
              <w:rPr>
                <w:sz w:val="20"/>
              </w:rPr>
            </w:pPr>
            <w:r>
              <w:rPr>
                <w:spacing w:val="-2"/>
                <w:sz w:val="20"/>
              </w:rPr>
              <w:t>Porcentaje</w:t>
            </w:r>
          </w:p>
        </w:tc>
      </w:tr>
      <w:tr>
        <w:trPr>
          <w:trHeight w:val="1216" w:hRule="atLeast"/>
        </w:trPr>
        <w:tc>
          <w:tcPr>
            <w:tcW w:w="2835" w:type="dxa"/>
            <w:shd w:val="clear" w:color="auto" w:fill="DCE6F0"/>
          </w:tcPr>
          <w:p>
            <w:pPr>
              <w:pStyle w:val="TableParagraph"/>
              <w:rPr>
                <w:b/>
                <w:sz w:val="20"/>
              </w:rPr>
            </w:pPr>
          </w:p>
          <w:p>
            <w:pPr>
              <w:pStyle w:val="TableParagraph"/>
              <w:spacing w:before="31"/>
              <w:rPr>
                <w:b/>
                <w:sz w:val="20"/>
              </w:rPr>
            </w:pPr>
          </w:p>
          <w:p>
            <w:pPr>
              <w:pStyle w:val="TableParagraph"/>
              <w:spacing w:before="1"/>
              <w:ind w:left="67"/>
              <w:rPr>
                <w:b/>
                <w:sz w:val="20"/>
              </w:rPr>
            </w:pPr>
            <w:r>
              <w:rPr>
                <w:b/>
                <w:spacing w:val="-2"/>
                <w:sz w:val="20"/>
              </w:rPr>
              <w:t>Interpretación:</w:t>
            </w:r>
          </w:p>
        </w:tc>
        <w:tc>
          <w:tcPr>
            <w:tcW w:w="7514" w:type="dxa"/>
          </w:tcPr>
          <w:p>
            <w:pPr>
              <w:pStyle w:val="TableParagraph"/>
              <w:spacing w:before="64"/>
              <w:ind w:left="69"/>
              <w:rPr>
                <w:sz w:val="20"/>
              </w:rPr>
            </w:pPr>
            <w:r>
              <w:rPr>
                <w:sz w:val="20"/>
              </w:rPr>
              <w:t>El</w:t>
            </w:r>
            <w:r>
              <w:rPr>
                <w:spacing w:val="-6"/>
                <w:sz w:val="20"/>
              </w:rPr>
              <w:t> </w:t>
            </w:r>
            <w:r>
              <w:rPr>
                <w:sz w:val="20"/>
              </w:rPr>
              <w:t>porcentaje</w:t>
            </w:r>
            <w:r>
              <w:rPr>
                <w:spacing w:val="-7"/>
                <w:sz w:val="20"/>
              </w:rPr>
              <w:t> </w:t>
            </w:r>
            <w:r>
              <w:rPr>
                <w:sz w:val="20"/>
              </w:rPr>
              <w:t>total</w:t>
            </w:r>
            <w:r>
              <w:rPr>
                <w:spacing w:val="-5"/>
                <w:sz w:val="20"/>
              </w:rPr>
              <w:t> </w:t>
            </w:r>
            <w:r>
              <w:rPr>
                <w:sz w:val="20"/>
              </w:rPr>
              <w:t>de</w:t>
            </w:r>
            <w:r>
              <w:rPr>
                <w:spacing w:val="-8"/>
                <w:sz w:val="20"/>
              </w:rPr>
              <w:t> </w:t>
            </w:r>
            <w:r>
              <w:rPr>
                <w:sz w:val="20"/>
              </w:rPr>
              <w:t>citas</w:t>
            </w:r>
            <w:r>
              <w:rPr>
                <w:spacing w:val="-4"/>
                <w:sz w:val="20"/>
              </w:rPr>
              <w:t> </w:t>
            </w:r>
            <w:r>
              <w:rPr>
                <w:sz w:val="20"/>
              </w:rPr>
              <w:t>asignadas</w:t>
            </w:r>
            <w:r>
              <w:rPr>
                <w:spacing w:val="-5"/>
                <w:sz w:val="20"/>
              </w:rPr>
              <w:t> </w:t>
            </w:r>
            <w:r>
              <w:rPr>
                <w:sz w:val="20"/>
              </w:rPr>
              <w:t>a</w:t>
            </w:r>
            <w:r>
              <w:rPr>
                <w:spacing w:val="-5"/>
                <w:sz w:val="20"/>
              </w:rPr>
              <w:t> </w:t>
            </w:r>
            <w:r>
              <w:rPr>
                <w:sz w:val="20"/>
              </w:rPr>
              <w:t>la</w:t>
            </w:r>
            <w:r>
              <w:rPr>
                <w:spacing w:val="-5"/>
                <w:sz w:val="20"/>
              </w:rPr>
              <w:t> </w:t>
            </w:r>
            <w:r>
              <w:rPr>
                <w:sz w:val="20"/>
              </w:rPr>
              <w:t>población</w:t>
            </w:r>
            <w:r>
              <w:rPr>
                <w:spacing w:val="-4"/>
                <w:sz w:val="20"/>
              </w:rPr>
              <w:t> </w:t>
            </w:r>
            <w:r>
              <w:rPr>
                <w:sz w:val="20"/>
              </w:rPr>
              <w:t>usuaria</w:t>
            </w:r>
            <w:r>
              <w:rPr>
                <w:spacing w:val="-7"/>
                <w:sz w:val="20"/>
              </w:rPr>
              <w:t> </w:t>
            </w:r>
            <w:r>
              <w:rPr>
                <w:sz w:val="20"/>
              </w:rPr>
              <w:t>a</w:t>
            </w:r>
            <w:r>
              <w:rPr>
                <w:spacing w:val="-5"/>
                <w:sz w:val="20"/>
              </w:rPr>
              <w:t> </w:t>
            </w:r>
            <w:r>
              <w:rPr>
                <w:sz w:val="20"/>
              </w:rPr>
              <w:t>través</w:t>
            </w:r>
            <w:r>
              <w:rPr>
                <w:spacing w:val="-5"/>
                <w:sz w:val="20"/>
              </w:rPr>
              <w:t> </w:t>
            </w:r>
            <w:r>
              <w:rPr>
                <w:sz w:val="20"/>
              </w:rPr>
              <w:t>del</w:t>
            </w:r>
            <w:r>
              <w:rPr>
                <w:spacing w:val="-8"/>
                <w:sz w:val="20"/>
              </w:rPr>
              <w:t> </w:t>
            </w:r>
            <w:r>
              <w:rPr>
                <w:spacing w:val="-2"/>
                <w:sz w:val="20"/>
              </w:rPr>
              <w:t>sistema</w:t>
            </w:r>
          </w:p>
          <w:p>
            <w:pPr>
              <w:pStyle w:val="TableParagraph"/>
              <w:spacing w:before="1"/>
              <w:ind w:left="69"/>
              <w:rPr>
                <w:sz w:val="20"/>
              </w:rPr>
            </w:pPr>
            <w:r>
              <w:rPr>
                <w:sz w:val="20"/>
              </w:rPr>
              <w:t>de</w:t>
            </w:r>
            <w:r>
              <w:rPr>
                <w:spacing w:val="-7"/>
                <w:sz w:val="20"/>
              </w:rPr>
              <w:t> </w:t>
            </w:r>
            <w:r>
              <w:rPr>
                <w:sz w:val="20"/>
              </w:rPr>
              <w:t>citas</w:t>
            </w:r>
            <w:r>
              <w:rPr>
                <w:spacing w:val="-4"/>
                <w:sz w:val="20"/>
              </w:rPr>
              <w:t> </w:t>
            </w:r>
            <w:r>
              <w:rPr>
                <w:sz w:val="20"/>
              </w:rPr>
              <w:t>para</w:t>
            </w:r>
            <w:r>
              <w:rPr>
                <w:spacing w:val="-4"/>
                <w:sz w:val="20"/>
              </w:rPr>
              <w:t> </w:t>
            </w:r>
            <w:r>
              <w:rPr>
                <w:sz w:val="20"/>
              </w:rPr>
              <w:t>el</w:t>
            </w:r>
            <w:r>
              <w:rPr>
                <w:spacing w:val="-4"/>
                <w:sz w:val="20"/>
              </w:rPr>
              <w:t> </w:t>
            </w:r>
            <w:r>
              <w:rPr>
                <w:sz w:val="20"/>
              </w:rPr>
              <w:t>período</w:t>
            </w:r>
            <w:r>
              <w:rPr>
                <w:spacing w:val="-6"/>
                <w:sz w:val="20"/>
              </w:rPr>
              <w:t> </w:t>
            </w:r>
            <w:r>
              <w:rPr>
                <w:sz w:val="20"/>
              </w:rPr>
              <w:t>“X”</w:t>
            </w:r>
            <w:r>
              <w:rPr>
                <w:spacing w:val="-3"/>
                <w:sz w:val="20"/>
              </w:rPr>
              <w:t> </w:t>
            </w:r>
            <w:r>
              <w:rPr>
                <w:sz w:val="20"/>
              </w:rPr>
              <w:t>es</w:t>
            </w:r>
            <w:r>
              <w:rPr>
                <w:spacing w:val="-4"/>
                <w:sz w:val="20"/>
              </w:rPr>
              <w:t> </w:t>
            </w:r>
            <w:r>
              <w:rPr>
                <w:sz w:val="20"/>
              </w:rPr>
              <w:t>de</w:t>
            </w:r>
            <w:r>
              <w:rPr>
                <w:spacing w:val="-6"/>
                <w:sz w:val="20"/>
              </w:rPr>
              <w:t> </w:t>
            </w:r>
            <w:r>
              <w:rPr>
                <w:spacing w:val="-4"/>
                <w:sz w:val="20"/>
              </w:rPr>
              <w:t>“Y%”.</w:t>
            </w:r>
          </w:p>
          <w:p>
            <w:pPr>
              <w:pStyle w:val="TableParagraph"/>
              <w:spacing w:line="230" w:lineRule="atLeast"/>
              <w:ind w:left="69" w:right="92"/>
              <w:rPr>
                <w:sz w:val="20"/>
              </w:rPr>
            </w:pPr>
            <w:r>
              <w:rPr>
                <w:sz w:val="20"/>
              </w:rPr>
              <w:t>En</w:t>
            </w:r>
            <w:r>
              <w:rPr>
                <w:spacing w:val="-4"/>
                <w:sz w:val="20"/>
              </w:rPr>
              <w:t> </w:t>
            </w:r>
            <w:r>
              <w:rPr>
                <w:sz w:val="20"/>
              </w:rPr>
              <w:t>esta</w:t>
            </w:r>
            <w:r>
              <w:rPr>
                <w:spacing w:val="-4"/>
                <w:sz w:val="20"/>
              </w:rPr>
              <w:t> </w:t>
            </w:r>
            <w:r>
              <w:rPr>
                <w:sz w:val="20"/>
              </w:rPr>
              <w:t>“X”</w:t>
            </w:r>
            <w:r>
              <w:rPr>
                <w:spacing w:val="-3"/>
                <w:sz w:val="20"/>
              </w:rPr>
              <w:t> </w:t>
            </w:r>
            <w:r>
              <w:rPr>
                <w:sz w:val="20"/>
              </w:rPr>
              <w:t>representa</w:t>
            </w:r>
            <w:r>
              <w:rPr>
                <w:spacing w:val="-2"/>
                <w:sz w:val="20"/>
              </w:rPr>
              <w:t> </w:t>
            </w:r>
            <w:r>
              <w:rPr>
                <w:sz w:val="20"/>
              </w:rPr>
              <w:t>el</w:t>
            </w:r>
            <w:r>
              <w:rPr>
                <w:spacing w:val="-3"/>
                <w:sz w:val="20"/>
              </w:rPr>
              <w:t> </w:t>
            </w:r>
            <w:r>
              <w:rPr>
                <w:sz w:val="20"/>
              </w:rPr>
              <w:t>período</w:t>
            </w:r>
            <w:r>
              <w:rPr>
                <w:spacing w:val="-3"/>
                <w:sz w:val="20"/>
              </w:rPr>
              <w:t> </w:t>
            </w:r>
            <w:r>
              <w:rPr>
                <w:sz w:val="20"/>
              </w:rPr>
              <w:t>de</w:t>
            </w:r>
            <w:r>
              <w:rPr>
                <w:spacing w:val="-5"/>
                <w:sz w:val="20"/>
              </w:rPr>
              <w:t> </w:t>
            </w:r>
            <w:r>
              <w:rPr>
                <w:sz w:val="20"/>
              </w:rPr>
              <w:t>tiempo</w:t>
            </w:r>
            <w:r>
              <w:rPr>
                <w:spacing w:val="-2"/>
                <w:sz w:val="20"/>
              </w:rPr>
              <w:t> </w:t>
            </w:r>
            <w:r>
              <w:rPr>
                <w:sz w:val="20"/>
              </w:rPr>
              <w:t>según</w:t>
            </w:r>
            <w:r>
              <w:rPr>
                <w:spacing w:val="-4"/>
                <w:sz w:val="20"/>
              </w:rPr>
              <w:t> </w:t>
            </w:r>
            <w:r>
              <w:rPr>
                <w:sz w:val="20"/>
              </w:rPr>
              <w:t>la</w:t>
            </w:r>
            <w:r>
              <w:rPr>
                <w:spacing w:val="-4"/>
                <w:sz w:val="20"/>
              </w:rPr>
              <w:t> </w:t>
            </w:r>
            <w:r>
              <w:rPr>
                <w:sz w:val="20"/>
              </w:rPr>
              <w:t>frecuencia</w:t>
            </w:r>
            <w:r>
              <w:rPr>
                <w:spacing w:val="-2"/>
                <w:sz w:val="20"/>
              </w:rPr>
              <w:t> </w:t>
            </w:r>
            <w:r>
              <w:rPr>
                <w:sz w:val="20"/>
              </w:rPr>
              <w:t>de</w:t>
            </w:r>
            <w:r>
              <w:rPr>
                <w:spacing w:val="-3"/>
                <w:sz w:val="20"/>
              </w:rPr>
              <w:t> </w:t>
            </w:r>
            <w:r>
              <w:rPr>
                <w:sz w:val="20"/>
              </w:rPr>
              <w:t>medición,</w:t>
            </w:r>
            <w:r>
              <w:rPr>
                <w:spacing w:val="-4"/>
                <w:sz w:val="20"/>
              </w:rPr>
              <w:t> </w:t>
            </w:r>
            <w:r>
              <w:rPr>
                <w:sz w:val="20"/>
              </w:rPr>
              <w:t>y</w:t>
            </w:r>
            <w:r>
              <w:rPr>
                <w:spacing w:val="-3"/>
                <w:sz w:val="20"/>
              </w:rPr>
              <w:t> </w:t>
            </w:r>
            <w:r>
              <w:rPr>
                <w:sz w:val="20"/>
              </w:rPr>
              <w:t>“Y” significa la meta alcanzada a ese momento según la unidad de medida </w:t>
            </w:r>
            <w:r>
              <w:rPr>
                <w:spacing w:val="-2"/>
                <w:sz w:val="20"/>
              </w:rPr>
              <w:t>establecida.</w:t>
            </w:r>
          </w:p>
        </w:tc>
      </w:tr>
      <w:tr>
        <w:trPr>
          <w:trHeight w:val="314" w:hRule="atLeast"/>
        </w:trPr>
        <w:tc>
          <w:tcPr>
            <w:tcW w:w="2835" w:type="dxa"/>
            <w:shd w:val="clear" w:color="auto" w:fill="DCE6F0"/>
          </w:tcPr>
          <w:p>
            <w:pPr>
              <w:pStyle w:val="TableParagraph"/>
              <w:spacing w:before="40"/>
              <w:ind w:left="67"/>
              <w:rPr>
                <w:b/>
                <w:sz w:val="20"/>
              </w:rPr>
            </w:pPr>
            <w:r>
              <w:rPr>
                <w:b/>
                <w:spacing w:val="-2"/>
                <w:sz w:val="20"/>
              </w:rPr>
              <w:t>Desagregación</w:t>
            </w:r>
          </w:p>
        </w:tc>
        <w:tc>
          <w:tcPr>
            <w:tcW w:w="7514" w:type="dxa"/>
          </w:tcPr>
          <w:p>
            <w:pPr>
              <w:pStyle w:val="TableParagraph"/>
              <w:spacing w:before="40"/>
              <w:ind w:left="69"/>
              <w:rPr>
                <w:sz w:val="20"/>
              </w:rPr>
            </w:pPr>
            <w:r>
              <w:rPr>
                <w:sz w:val="20"/>
              </w:rPr>
              <w:t>No</w:t>
            </w:r>
            <w:r>
              <w:rPr>
                <w:spacing w:val="-5"/>
                <w:sz w:val="20"/>
              </w:rPr>
              <w:t> </w:t>
            </w:r>
            <w:r>
              <w:rPr>
                <w:spacing w:val="-2"/>
                <w:sz w:val="20"/>
              </w:rPr>
              <w:t>aplica.</w:t>
            </w:r>
          </w:p>
        </w:tc>
      </w:tr>
      <w:tr>
        <w:trPr>
          <w:trHeight w:val="316" w:hRule="atLeast"/>
        </w:trPr>
        <w:tc>
          <w:tcPr>
            <w:tcW w:w="2835" w:type="dxa"/>
            <w:shd w:val="clear" w:color="auto" w:fill="DCE6F0"/>
          </w:tcPr>
          <w:p>
            <w:pPr>
              <w:pStyle w:val="TableParagraph"/>
              <w:spacing w:before="42"/>
              <w:ind w:left="67"/>
              <w:rPr>
                <w:b/>
                <w:sz w:val="20"/>
              </w:rPr>
            </w:pPr>
            <w:r>
              <w:rPr>
                <w:b/>
                <w:spacing w:val="-2"/>
                <w:sz w:val="20"/>
              </w:rPr>
              <w:t>Meta:</w:t>
            </w:r>
          </w:p>
        </w:tc>
        <w:tc>
          <w:tcPr>
            <w:tcW w:w="7514" w:type="dxa"/>
          </w:tcPr>
          <w:p>
            <w:pPr>
              <w:pStyle w:val="TableParagraph"/>
              <w:spacing w:before="42"/>
              <w:ind w:left="69"/>
              <w:rPr>
                <w:sz w:val="20"/>
              </w:rPr>
            </w:pPr>
            <w:r>
              <w:rPr>
                <w:spacing w:val="-4"/>
                <w:sz w:val="20"/>
              </w:rPr>
              <w:t>100%</w:t>
            </w:r>
          </w:p>
        </w:tc>
      </w:tr>
      <w:tr>
        <w:trPr>
          <w:trHeight w:val="313" w:hRule="atLeast"/>
        </w:trPr>
        <w:tc>
          <w:tcPr>
            <w:tcW w:w="2835" w:type="dxa"/>
            <w:shd w:val="clear" w:color="auto" w:fill="DCE6F0"/>
          </w:tcPr>
          <w:p>
            <w:pPr>
              <w:pStyle w:val="TableParagraph"/>
              <w:spacing w:before="40"/>
              <w:ind w:left="67"/>
              <w:rPr>
                <w:b/>
                <w:sz w:val="20"/>
              </w:rPr>
            </w:pPr>
            <w:r>
              <w:rPr>
                <w:b/>
                <w:sz w:val="20"/>
              </w:rPr>
              <w:t>Línea</w:t>
            </w:r>
            <w:r>
              <w:rPr>
                <w:b/>
                <w:spacing w:val="-10"/>
                <w:sz w:val="20"/>
              </w:rPr>
              <w:t> </w:t>
            </w:r>
            <w:r>
              <w:rPr>
                <w:b/>
                <w:spacing w:val="-4"/>
                <w:sz w:val="20"/>
              </w:rPr>
              <w:t>Base</w:t>
            </w:r>
          </w:p>
        </w:tc>
        <w:tc>
          <w:tcPr>
            <w:tcW w:w="7514" w:type="dxa"/>
          </w:tcPr>
          <w:p>
            <w:pPr>
              <w:pStyle w:val="TableParagraph"/>
              <w:spacing w:before="40"/>
              <w:ind w:left="69"/>
              <w:rPr>
                <w:sz w:val="20"/>
              </w:rPr>
            </w:pPr>
            <w:r>
              <w:rPr>
                <w:spacing w:val="-4"/>
                <w:sz w:val="20"/>
              </w:rPr>
              <w:t>100%</w:t>
            </w:r>
          </w:p>
        </w:tc>
      </w:tr>
      <w:tr>
        <w:trPr>
          <w:trHeight w:val="630" w:hRule="atLeast"/>
        </w:trPr>
        <w:tc>
          <w:tcPr>
            <w:tcW w:w="2835" w:type="dxa"/>
            <w:shd w:val="clear" w:color="auto" w:fill="DCE6F0"/>
          </w:tcPr>
          <w:p>
            <w:pPr>
              <w:pStyle w:val="TableParagraph"/>
              <w:spacing w:before="8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198"/>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835" w:type="dxa"/>
            <w:shd w:val="clear" w:color="auto" w:fill="DCE6F0"/>
          </w:tcPr>
          <w:p>
            <w:pPr>
              <w:pStyle w:val="TableParagraph"/>
              <w:spacing w:before="11"/>
              <w:rPr>
                <w:b/>
                <w:sz w:val="20"/>
              </w:rPr>
            </w:pPr>
          </w:p>
          <w:p>
            <w:pPr>
              <w:pStyle w:val="TableParagraph"/>
              <w:spacing w:before="1"/>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11"/>
              <w:rPr>
                <w:b/>
                <w:sz w:val="20"/>
              </w:rPr>
            </w:pPr>
          </w:p>
          <w:p>
            <w:pPr>
              <w:pStyle w:val="TableParagraph"/>
              <w:spacing w:line="229" w:lineRule="exact" w:before="1"/>
              <w:ind w:left="69"/>
              <w:rPr>
                <w:sz w:val="20"/>
              </w:rPr>
            </w:pPr>
            <w:r>
              <w:rPr>
                <w:sz w:val="20"/>
              </w:rPr>
              <w:t>Nombre</w:t>
            </w:r>
            <w:r>
              <w:rPr>
                <w:spacing w:val="-8"/>
                <w:sz w:val="20"/>
              </w:rPr>
              <w:t> </w:t>
            </w:r>
            <w:r>
              <w:rPr>
                <w:sz w:val="20"/>
              </w:rPr>
              <w:t>del</w:t>
            </w:r>
            <w:r>
              <w:rPr>
                <w:spacing w:val="-9"/>
                <w:sz w:val="20"/>
              </w:rPr>
              <w:t> </w:t>
            </w:r>
            <w:r>
              <w:rPr>
                <w:sz w:val="20"/>
              </w:rPr>
              <w:t>funcionario:</w:t>
            </w:r>
            <w:r>
              <w:rPr>
                <w:spacing w:val="-9"/>
                <w:sz w:val="20"/>
              </w:rPr>
              <w:t> </w:t>
            </w:r>
            <w:r>
              <w:rPr>
                <w:sz w:val="20"/>
              </w:rPr>
              <w:t>Ilse</w:t>
            </w:r>
            <w:r>
              <w:rPr>
                <w:spacing w:val="-9"/>
                <w:sz w:val="20"/>
              </w:rPr>
              <w:t> </w:t>
            </w:r>
            <w:r>
              <w:rPr>
                <w:sz w:val="20"/>
              </w:rPr>
              <w:t>Calderón</w:t>
            </w:r>
            <w:r>
              <w:rPr>
                <w:spacing w:val="-9"/>
                <w:sz w:val="20"/>
              </w:rPr>
              <w:t> </w:t>
            </w:r>
            <w:r>
              <w:rPr>
                <w:spacing w:val="-2"/>
                <w:sz w:val="20"/>
              </w:rPr>
              <w:t>Esquivel</w:t>
            </w:r>
          </w:p>
          <w:p>
            <w:pPr>
              <w:pStyle w:val="TableParagraph"/>
              <w:spacing w:line="229" w:lineRule="exact"/>
              <w:ind w:left="69"/>
              <w:rPr>
                <w:sz w:val="20"/>
              </w:rPr>
            </w:pPr>
            <w:r>
              <w:rPr>
                <w:sz w:val="20"/>
              </w:rPr>
              <w:t>Cargo:</w:t>
            </w:r>
            <w:r>
              <w:rPr>
                <w:spacing w:val="-10"/>
                <w:sz w:val="20"/>
              </w:rPr>
              <w:t> </w:t>
            </w:r>
            <w:r>
              <w:rPr>
                <w:sz w:val="20"/>
              </w:rPr>
              <w:t>Jefatura,</w:t>
            </w:r>
            <w:r>
              <w:rPr>
                <w:spacing w:val="-10"/>
                <w:sz w:val="20"/>
              </w:rPr>
              <w:t> </w:t>
            </w:r>
            <w:r>
              <w:rPr>
                <w:sz w:val="20"/>
              </w:rPr>
              <w:t>Departamento</w:t>
            </w:r>
            <w:r>
              <w:rPr>
                <w:spacing w:val="-8"/>
                <w:sz w:val="20"/>
              </w:rPr>
              <w:t> </w:t>
            </w:r>
            <w:r>
              <w:rPr>
                <w:sz w:val="20"/>
              </w:rPr>
              <w:t>de</w:t>
            </w:r>
            <w:r>
              <w:rPr>
                <w:spacing w:val="-9"/>
                <w:sz w:val="20"/>
              </w:rPr>
              <w:t> </w:t>
            </w:r>
            <w:r>
              <w:rPr>
                <w:sz w:val="20"/>
              </w:rPr>
              <w:t>Sistemas</w:t>
            </w:r>
            <w:r>
              <w:rPr>
                <w:spacing w:val="-9"/>
                <w:sz w:val="20"/>
              </w:rPr>
              <w:t> </w:t>
            </w:r>
            <w:r>
              <w:rPr>
                <w:sz w:val="20"/>
              </w:rPr>
              <w:t>de</w:t>
            </w:r>
            <w:r>
              <w:rPr>
                <w:spacing w:val="-9"/>
                <w:sz w:val="20"/>
              </w:rPr>
              <w:t> </w:t>
            </w:r>
            <w:r>
              <w:rPr>
                <w:sz w:val="20"/>
              </w:rPr>
              <w:t>Información</w:t>
            </w:r>
            <w:r>
              <w:rPr>
                <w:spacing w:val="-9"/>
                <w:sz w:val="20"/>
              </w:rPr>
              <w:t> </w:t>
            </w:r>
            <w:r>
              <w:rPr>
                <w:spacing w:val="-2"/>
                <w:sz w:val="20"/>
              </w:rPr>
              <w:t>Social.</w:t>
            </w:r>
          </w:p>
        </w:tc>
      </w:tr>
    </w:tbl>
    <w:p>
      <w:pPr>
        <w:pStyle w:val="TableParagraph"/>
        <w:spacing w:after="0" w:line="229" w:lineRule="exact"/>
        <w:rPr>
          <w:sz w:val="20"/>
        </w:rPr>
        <w:sectPr>
          <w:footerReference w:type="default" r:id="rId141"/>
          <w:pgSz w:w="12240" w:h="15840"/>
          <w:pgMar w:header="0" w:footer="2082" w:top="1400" w:bottom="3121" w:left="720" w:right="720"/>
          <w:pgNumType w:start="191"/>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945" w:hRule="atLeast"/>
        </w:trPr>
        <w:tc>
          <w:tcPr>
            <w:tcW w:w="2835" w:type="dxa"/>
            <w:shd w:val="clear" w:color="auto" w:fill="DCE6F0"/>
          </w:tcPr>
          <w:p>
            <w:pPr>
              <w:pStyle w:val="TableParagraph"/>
              <w:spacing w:before="12"/>
              <w:rPr>
                <w:b/>
                <w:sz w:val="20"/>
              </w:rPr>
            </w:pPr>
          </w:p>
          <w:p>
            <w:pPr>
              <w:pStyle w:val="TableParagraph"/>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27"/>
              <w:rPr>
                <w:b/>
                <w:sz w:val="20"/>
              </w:rPr>
            </w:pPr>
          </w:p>
          <w:p>
            <w:pPr>
              <w:pStyle w:val="TableParagraph"/>
              <w:ind w:left="69"/>
              <w:rPr>
                <w:sz w:val="20"/>
              </w:rPr>
            </w:pPr>
            <w:r>
              <w:rPr>
                <w:sz w:val="20"/>
              </w:rPr>
              <w:t>Dirección</w:t>
            </w:r>
            <w:r>
              <w:rPr>
                <w:spacing w:val="-8"/>
                <w:sz w:val="20"/>
              </w:rPr>
              <w:t> </w:t>
            </w:r>
            <w:r>
              <w:rPr>
                <w:sz w:val="20"/>
              </w:rPr>
              <w:t>de</w:t>
            </w:r>
            <w:r>
              <w:rPr>
                <w:spacing w:val="-9"/>
                <w:sz w:val="20"/>
              </w:rPr>
              <w:t> </w:t>
            </w:r>
            <w:r>
              <w:rPr>
                <w:sz w:val="20"/>
              </w:rPr>
              <w:t>Desarrollo</w:t>
            </w:r>
            <w:r>
              <w:rPr>
                <w:spacing w:val="-7"/>
                <w:sz w:val="20"/>
              </w:rPr>
              <w:t> </w:t>
            </w:r>
            <w:r>
              <w:rPr>
                <w:sz w:val="20"/>
              </w:rPr>
              <w:t>Social,</w:t>
            </w:r>
            <w:r>
              <w:rPr>
                <w:spacing w:val="-8"/>
                <w:sz w:val="20"/>
              </w:rPr>
              <w:t> </w:t>
            </w:r>
            <w:r>
              <w:rPr>
                <w:sz w:val="20"/>
              </w:rPr>
              <w:t>Departamento</w:t>
            </w:r>
            <w:r>
              <w:rPr>
                <w:spacing w:val="-7"/>
                <w:sz w:val="20"/>
              </w:rPr>
              <w:t> </w:t>
            </w:r>
            <w:r>
              <w:rPr>
                <w:sz w:val="20"/>
              </w:rPr>
              <w:t>de</w:t>
            </w:r>
            <w:r>
              <w:rPr>
                <w:spacing w:val="-9"/>
                <w:sz w:val="20"/>
              </w:rPr>
              <w:t> </w:t>
            </w:r>
            <w:r>
              <w:rPr>
                <w:sz w:val="20"/>
              </w:rPr>
              <w:t>Sistemas</w:t>
            </w:r>
            <w:r>
              <w:rPr>
                <w:spacing w:val="-8"/>
                <w:sz w:val="20"/>
              </w:rPr>
              <w:t> </w:t>
            </w:r>
            <w:r>
              <w:rPr>
                <w:sz w:val="20"/>
              </w:rPr>
              <w:t>de</w:t>
            </w:r>
            <w:r>
              <w:rPr>
                <w:spacing w:val="-10"/>
                <w:sz w:val="20"/>
              </w:rPr>
              <w:t> </w:t>
            </w:r>
            <w:r>
              <w:rPr>
                <w:sz w:val="20"/>
              </w:rPr>
              <w:t>Información</w:t>
            </w:r>
            <w:r>
              <w:rPr>
                <w:spacing w:val="-8"/>
                <w:sz w:val="20"/>
              </w:rPr>
              <w:t> </w:t>
            </w:r>
            <w:r>
              <w:rPr>
                <w:spacing w:val="-2"/>
                <w:sz w:val="20"/>
              </w:rPr>
              <w:t>Social</w:t>
            </w:r>
          </w:p>
        </w:tc>
      </w:tr>
      <w:tr>
        <w:trPr>
          <w:trHeight w:val="314" w:hRule="atLeast"/>
        </w:trPr>
        <w:tc>
          <w:tcPr>
            <w:tcW w:w="2835" w:type="dxa"/>
            <w:shd w:val="clear" w:color="auto" w:fill="DCE6F0"/>
          </w:tcPr>
          <w:p>
            <w:pPr>
              <w:pStyle w:val="TableParagraph"/>
              <w:spacing w:before="40"/>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40"/>
              <w:ind w:left="69"/>
              <w:rPr>
                <w:sz w:val="20"/>
              </w:rPr>
            </w:pPr>
            <w:r>
              <w:rPr>
                <w:sz w:val="20"/>
              </w:rPr>
              <w:t>Departamento</w:t>
            </w:r>
            <w:r>
              <w:rPr>
                <w:spacing w:val="-11"/>
                <w:sz w:val="20"/>
              </w:rPr>
              <w:t> </w:t>
            </w:r>
            <w:r>
              <w:rPr>
                <w:sz w:val="20"/>
              </w:rPr>
              <w:t>de</w:t>
            </w:r>
            <w:r>
              <w:rPr>
                <w:spacing w:val="-10"/>
                <w:sz w:val="20"/>
              </w:rPr>
              <w:t> </w:t>
            </w:r>
            <w:r>
              <w:rPr>
                <w:sz w:val="20"/>
              </w:rPr>
              <w:t>Sistemas</w:t>
            </w:r>
            <w:r>
              <w:rPr>
                <w:spacing w:val="-8"/>
                <w:sz w:val="20"/>
              </w:rPr>
              <w:t> </w:t>
            </w:r>
            <w:r>
              <w:rPr>
                <w:sz w:val="20"/>
              </w:rPr>
              <w:t>de</w:t>
            </w:r>
            <w:r>
              <w:rPr>
                <w:spacing w:val="-12"/>
                <w:sz w:val="20"/>
              </w:rPr>
              <w:t> </w:t>
            </w:r>
            <w:r>
              <w:rPr>
                <w:sz w:val="20"/>
              </w:rPr>
              <w:t>Información</w:t>
            </w:r>
            <w:r>
              <w:rPr>
                <w:spacing w:val="-9"/>
                <w:sz w:val="20"/>
              </w:rPr>
              <w:t> </w:t>
            </w:r>
            <w:r>
              <w:rPr>
                <w:spacing w:val="-2"/>
                <w:sz w:val="20"/>
              </w:rPr>
              <w:t>Social.</w:t>
            </w:r>
          </w:p>
        </w:tc>
      </w:tr>
      <w:tr>
        <w:trPr>
          <w:trHeight w:val="460" w:hRule="atLeast"/>
        </w:trPr>
        <w:tc>
          <w:tcPr>
            <w:tcW w:w="2835" w:type="dxa"/>
            <w:shd w:val="clear" w:color="auto" w:fill="DCE6F0"/>
          </w:tcPr>
          <w:p>
            <w:pPr>
              <w:pStyle w:val="TableParagraph"/>
              <w:spacing w:before="114"/>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line="230" w:lineRule="exact"/>
              <w:ind w:left="69"/>
              <w:rPr>
                <w:sz w:val="20"/>
              </w:rPr>
            </w:pPr>
            <w:r>
              <w:rPr>
                <w:sz w:val="20"/>
              </w:rPr>
              <w:t>Informes</w:t>
            </w:r>
            <w:r>
              <w:rPr>
                <w:spacing w:val="-4"/>
                <w:sz w:val="20"/>
              </w:rPr>
              <w:t> </w:t>
            </w:r>
            <w:r>
              <w:rPr>
                <w:sz w:val="20"/>
              </w:rPr>
              <w:t>mensuales</w:t>
            </w:r>
            <w:r>
              <w:rPr>
                <w:spacing w:val="-4"/>
                <w:sz w:val="20"/>
              </w:rPr>
              <w:t> </w:t>
            </w:r>
            <w:r>
              <w:rPr>
                <w:sz w:val="20"/>
              </w:rPr>
              <w:t>reflejados</w:t>
            </w:r>
            <w:r>
              <w:rPr>
                <w:spacing w:val="-4"/>
                <w:sz w:val="20"/>
              </w:rPr>
              <w:t> </w:t>
            </w:r>
            <w:r>
              <w:rPr>
                <w:sz w:val="20"/>
              </w:rPr>
              <w:t>en</w:t>
            </w:r>
            <w:r>
              <w:rPr>
                <w:spacing w:val="-4"/>
                <w:sz w:val="20"/>
              </w:rPr>
              <w:t> </w:t>
            </w:r>
            <w:r>
              <w:rPr>
                <w:sz w:val="20"/>
              </w:rPr>
              <w:t>la</w:t>
            </w:r>
            <w:r>
              <w:rPr>
                <w:spacing w:val="-5"/>
                <w:sz w:val="20"/>
              </w:rPr>
              <w:t> </w:t>
            </w:r>
            <w:r>
              <w:rPr>
                <w:sz w:val="20"/>
              </w:rPr>
              <w:t>contratación</w:t>
            </w:r>
            <w:r>
              <w:rPr>
                <w:spacing w:val="-3"/>
                <w:sz w:val="20"/>
              </w:rPr>
              <w:t> </w:t>
            </w:r>
            <w:r>
              <w:rPr>
                <w:sz w:val="20"/>
              </w:rPr>
              <w:t>vigente</w:t>
            </w:r>
            <w:r>
              <w:rPr>
                <w:spacing w:val="-6"/>
                <w:sz w:val="20"/>
              </w:rPr>
              <w:t> </w:t>
            </w:r>
            <w:r>
              <w:rPr>
                <w:sz w:val="20"/>
              </w:rPr>
              <w:t>y</w:t>
            </w:r>
            <w:r>
              <w:rPr>
                <w:spacing w:val="-4"/>
                <w:sz w:val="20"/>
              </w:rPr>
              <w:t> </w:t>
            </w:r>
            <w:r>
              <w:rPr>
                <w:sz w:val="20"/>
              </w:rPr>
              <w:t>reportes</w:t>
            </w:r>
            <w:r>
              <w:rPr>
                <w:spacing w:val="-4"/>
                <w:sz w:val="20"/>
              </w:rPr>
              <w:t> </w:t>
            </w:r>
            <w:r>
              <w:rPr>
                <w:sz w:val="20"/>
              </w:rPr>
              <w:t>del</w:t>
            </w:r>
            <w:r>
              <w:rPr>
                <w:spacing w:val="-6"/>
                <w:sz w:val="20"/>
              </w:rPr>
              <w:t> </w:t>
            </w:r>
            <w:r>
              <w:rPr>
                <w:sz w:val="20"/>
              </w:rPr>
              <w:t>sistema</w:t>
            </w:r>
            <w:r>
              <w:rPr>
                <w:spacing w:val="-3"/>
                <w:sz w:val="20"/>
              </w:rPr>
              <w:t> </w:t>
            </w:r>
            <w:r>
              <w:rPr>
                <w:sz w:val="20"/>
              </w:rPr>
              <w:t>de </w:t>
            </w:r>
            <w:r>
              <w:rPr>
                <w:spacing w:val="-2"/>
                <w:sz w:val="20"/>
              </w:rPr>
              <w:t>citas</w:t>
            </w:r>
          </w:p>
        </w:tc>
      </w:tr>
      <w:tr>
        <w:trPr>
          <w:trHeight w:val="899" w:hRule="atLeast"/>
        </w:trPr>
        <w:tc>
          <w:tcPr>
            <w:tcW w:w="2835" w:type="dxa"/>
            <w:shd w:val="clear" w:color="auto" w:fill="DCE6F0"/>
          </w:tcPr>
          <w:p>
            <w:pPr>
              <w:pStyle w:val="TableParagraph"/>
              <w:spacing w:before="105"/>
              <w:rPr>
                <w:b/>
                <w:sz w:val="20"/>
              </w:rPr>
            </w:pPr>
          </w:p>
          <w:p>
            <w:pPr>
              <w:pStyle w:val="TableParagraph"/>
              <w:ind w:left="67"/>
              <w:rPr>
                <w:b/>
                <w:sz w:val="20"/>
              </w:rPr>
            </w:pPr>
            <w:r>
              <w:rPr>
                <w:b/>
                <w:spacing w:val="-2"/>
                <w:sz w:val="20"/>
              </w:rPr>
              <w:t>Clasificación</w:t>
            </w:r>
          </w:p>
        </w:tc>
        <w:tc>
          <w:tcPr>
            <w:tcW w:w="7514" w:type="dxa"/>
          </w:tcPr>
          <w:p>
            <w:pPr>
              <w:pStyle w:val="TableParagraph"/>
              <w:spacing w:before="105"/>
              <w:rPr>
                <w:b/>
                <w:sz w:val="20"/>
              </w:rPr>
            </w:pPr>
          </w:p>
          <w:p>
            <w:pPr>
              <w:pStyle w:val="TableParagraph"/>
              <w:ind w:left="69"/>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5"/>
                <w:sz w:val="20"/>
              </w:rPr>
              <w:t> </w:t>
            </w:r>
            <w:r>
              <w:rPr>
                <w:sz w:val="20"/>
              </w:rPr>
              <w:t>Producto</w:t>
            </w:r>
            <w:r>
              <w:rPr>
                <w:spacing w:val="-8"/>
                <w:sz w:val="20"/>
              </w:rPr>
              <w:t> </w:t>
            </w:r>
            <w:r>
              <w:rPr>
                <w:spacing w:val="-5"/>
                <w:sz w:val="20"/>
              </w:rPr>
              <w:t>(X)</w:t>
            </w:r>
          </w:p>
        </w:tc>
      </w:tr>
      <w:tr>
        <w:trPr>
          <w:trHeight w:val="316" w:hRule="atLeast"/>
        </w:trPr>
        <w:tc>
          <w:tcPr>
            <w:tcW w:w="2835" w:type="dxa"/>
            <w:shd w:val="clear" w:color="auto" w:fill="DCE6F0"/>
          </w:tcPr>
          <w:p>
            <w:pPr>
              <w:pStyle w:val="TableParagraph"/>
              <w:spacing w:before="42"/>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rPr>
                <w:rFonts w:ascii="Times New Roman"/>
                <w:sz w:val="20"/>
              </w:rPr>
            </w:pPr>
          </w:p>
        </w:tc>
      </w:tr>
    </w:tbl>
    <w:p>
      <w:pPr>
        <w:pStyle w:val="BodyText"/>
        <w:spacing w:before="157"/>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600" w:hRule="atLeast"/>
        </w:trPr>
        <w:tc>
          <w:tcPr>
            <w:tcW w:w="2835" w:type="dxa"/>
            <w:shd w:val="clear" w:color="auto" w:fill="DCE6F0"/>
          </w:tcPr>
          <w:p>
            <w:pPr>
              <w:pStyle w:val="TableParagraph"/>
              <w:spacing w:before="185"/>
              <w:ind w:left="67"/>
              <w:rPr>
                <w:b/>
                <w:sz w:val="20"/>
              </w:rPr>
            </w:pPr>
            <w:r>
              <w:rPr>
                <w:b/>
                <w:sz w:val="20"/>
              </w:rPr>
              <w:t>PPPS</w:t>
            </w:r>
            <w:r>
              <w:rPr>
                <w:b/>
                <w:spacing w:val="-6"/>
                <w:sz w:val="20"/>
              </w:rPr>
              <w:t> </w:t>
            </w:r>
            <w:r>
              <w:rPr>
                <w:b/>
                <w:spacing w:val="-2"/>
                <w:sz w:val="20"/>
              </w:rPr>
              <w:t>1.3.3:</w:t>
            </w:r>
          </w:p>
        </w:tc>
        <w:tc>
          <w:tcPr>
            <w:tcW w:w="7514" w:type="dxa"/>
          </w:tcPr>
          <w:p>
            <w:pPr>
              <w:pStyle w:val="TableParagraph"/>
              <w:spacing w:before="69"/>
              <w:ind w:left="69" w:right="170"/>
              <w:rPr>
                <w:sz w:val="20"/>
              </w:rPr>
            </w:pPr>
            <w:r>
              <w:rPr>
                <w:sz w:val="20"/>
              </w:rPr>
              <w:t>Nombre</w:t>
            </w:r>
            <w:r>
              <w:rPr>
                <w:spacing w:val="-4"/>
                <w:sz w:val="20"/>
              </w:rPr>
              <w:t> </w:t>
            </w:r>
            <w:r>
              <w:rPr>
                <w:sz w:val="20"/>
              </w:rPr>
              <w:t>del</w:t>
            </w:r>
            <w:r>
              <w:rPr>
                <w:spacing w:val="-6"/>
                <w:sz w:val="20"/>
              </w:rPr>
              <w:t> </w:t>
            </w:r>
            <w:r>
              <w:rPr>
                <w:sz w:val="20"/>
              </w:rPr>
              <w:t>Indicador:</w:t>
            </w:r>
            <w:r>
              <w:rPr>
                <w:spacing w:val="-4"/>
                <w:sz w:val="20"/>
              </w:rPr>
              <w:t> </w:t>
            </w:r>
            <w:r>
              <w:rPr>
                <w:sz w:val="20"/>
              </w:rPr>
              <w:t>Porcentaje</w:t>
            </w:r>
            <w:r>
              <w:rPr>
                <w:spacing w:val="-4"/>
                <w:sz w:val="20"/>
              </w:rPr>
              <w:t> </w:t>
            </w:r>
            <w:r>
              <w:rPr>
                <w:sz w:val="20"/>
              </w:rPr>
              <w:t>de</w:t>
            </w:r>
            <w:r>
              <w:rPr>
                <w:spacing w:val="-6"/>
                <w:sz w:val="20"/>
              </w:rPr>
              <w:t> </w:t>
            </w:r>
            <w:r>
              <w:rPr>
                <w:sz w:val="20"/>
              </w:rPr>
              <w:t>presupuesto</w:t>
            </w:r>
            <w:r>
              <w:rPr>
                <w:spacing w:val="-6"/>
                <w:sz w:val="20"/>
              </w:rPr>
              <w:t> </w:t>
            </w:r>
            <w:r>
              <w:rPr>
                <w:sz w:val="20"/>
              </w:rPr>
              <w:t>programado</w:t>
            </w:r>
            <w:r>
              <w:rPr>
                <w:spacing w:val="-5"/>
                <w:sz w:val="20"/>
              </w:rPr>
              <w:t> </w:t>
            </w:r>
            <w:r>
              <w:rPr>
                <w:sz w:val="20"/>
              </w:rPr>
              <w:t>que</w:t>
            </w:r>
            <w:r>
              <w:rPr>
                <w:spacing w:val="-5"/>
                <w:sz w:val="20"/>
              </w:rPr>
              <w:t> </w:t>
            </w:r>
            <w:r>
              <w:rPr>
                <w:sz w:val="20"/>
              </w:rPr>
              <w:t>se</w:t>
            </w:r>
            <w:r>
              <w:rPr>
                <w:spacing w:val="-4"/>
                <w:sz w:val="20"/>
              </w:rPr>
              <w:t> </w:t>
            </w:r>
            <w:r>
              <w:rPr>
                <w:sz w:val="20"/>
              </w:rPr>
              <w:t>invierte</w:t>
            </w:r>
            <w:r>
              <w:rPr>
                <w:spacing w:val="-5"/>
                <w:sz w:val="20"/>
              </w:rPr>
              <w:t> </w:t>
            </w:r>
            <w:r>
              <w:rPr>
                <w:sz w:val="20"/>
              </w:rPr>
              <w:t>en el pago de servicios de ingeniería.</w:t>
            </w:r>
          </w:p>
        </w:tc>
      </w:tr>
      <w:tr>
        <w:trPr>
          <w:trHeight w:val="599" w:hRule="atLeast"/>
        </w:trPr>
        <w:tc>
          <w:tcPr>
            <w:tcW w:w="2835" w:type="dxa"/>
            <w:shd w:val="clear" w:color="auto" w:fill="DCE6F0"/>
          </w:tcPr>
          <w:p>
            <w:pPr>
              <w:pStyle w:val="TableParagraph"/>
              <w:spacing w:before="184"/>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before="69"/>
              <w:ind w:left="69" w:right="170"/>
              <w:rPr>
                <w:sz w:val="20"/>
              </w:rPr>
            </w:pPr>
            <w:r>
              <w:rPr>
                <w:sz w:val="20"/>
              </w:rPr>
              <w:t>Cantidad de presupuesto ejecutado en el pago de servicios de ingeniería / Cantidad</w:t>
            </w:r>
            <w:r>
              <w:rPr>
                <w:spacing w:val="-5"/>
                <w:sz w:val="20"/>
              </w:rPr>
              <w:t> </w:t>
            </w:r>
            <w:r>
              <w:rPr>
                <w:sz w:val="20"/>
              </w:rPr>
              <w:t>de</w:t>
            </w:r>
            <w:r>
              <w:rPr>
                <w:spacing w:val="-3"/>
                <w:sz w:val="20"/>
              </w:rPr>
              <w:t> </w:t>
            </w:r>
            <w:r>
              <w:rPr>
                <w:sz w:val="20"/>
              </w:rPr>
              <w:t>presupuesto</w:t>
            </w:r>
            <w:r>
              <w:rPr>
                <w:spacing w:val="-3"/>
                <w:sz w:val="20"/>
              </w:rPr>
              <w:t> </w:t>
            </w:r>
            <w:r>
              <w:rPr>
                <w:sz w:val="20"/>
              </w:rPr>
              <w:t>programado</w:t>
            </w:r>
            <w:r>
              <w:rPr>
                <w:spacing w:val="-4"/>
                <w:sz w:val="20"/>
              </w:rPr>
              <w:t> </w:t>
            </w:r>
            <w:r>
              <w:rPr>
                <w:sz w:val="20"/>
              </w:rPr>
              <w:t>en</w:t>
            </w:r>
            <w:r>
              <w:rPr>
                <w:spacing w:val="-6"/>
                <w:sz w:val="20"/>
              </w:rPr>
              <w:t> </w:t>
            </w:r>
            <w:r>
              <w:rPr>
                <w:sz w:val="20"/>
              </w:rPr>
              <w:t>el</w:t>
            </w:r>
            <w:r>
              <w:rPr>
                <w:spacing w:val="-6"/>
                <w:sz w:val="20"/>
              </w:rPr>
              <w:t> </w:t>
            </w:r>
            <w:r>
              <w:rPr>
                <w:sz w:val="20"/>
              </w:rPr>
              <w:t>pago</w:t>
            </w:r>
            <w:r>
              <w:rPr>
                <w:spacing w:val="-3"/>
                <w:sz w:val="20"/>
              </w:rPr>
              <w:t> </w:t>
            </w:r>
            <w:r>
              <w:rPr>
                <w:sz w:val="20"/>
              </w:rPr>
              <w:t>de</w:t>
            </w:r>
            <w:r>
              <w:rPr>
                <w:spacing w:val="-6"/>
                <w:sz w:val="20"/>
              </w:rPr>
              <w:t> </w:t>
            </w:r>
            <w:r>
              <w:rPr>
                <w:sz w:val="20"/>
              </w:rPr>
              <w:t>servicios</w:t>
            </w:r>
            <w:r>
              <w:rPr>
                <w:spacing w:val="-4"/>
                <w:sz w:val="20"/>
              </w:rPr>
              <w:t> </w:t>
            </w:r>
            <w:r>
              <w:rPr>
                <w:sz w:val="20"/>
              </w:rPr>
              <w:t>de</w:t>
            </w:r>
            <w:r>
              <w:rPr>
                <w:spacing w:val="-3"/>
                <w:sz w:val="20"/>
              </w:rPr>
              <w:t> </w:t>
            </w:r>
            <w:r>
              <w:rPr>
                <w:sz w:val="20"/>
              </w:rPr>
              <w:t>ingeniería</w:t>
            </w:r>
            <w:r>
              <w:rPr>
                <w:spacing w:val="-5"/>
                <w:sz w:val="20"/>
              </w:rPr>
              <w:t> </w:t>
            </w:r>
            <w:r>
              <w:rPr>
                <w:sz w:val="20"/>
              </w:rPr>
              <w:t>*</w:t>
            </w:r>
            <w:r>
              <w:rPr>
                <w:spacing w:val="-4"/>
                <w:sz w:val="20"/>
              </w:rPr>
              <w:t> </w:t>
            </w:r>
            <w:r>
              <w:rPr>
                <w:sz w:val="20"/>
              </w:rPr>
              <w:t>100</w:t>
            </w:r>
          </w:p>
        </w:tc>
      </w:tr>
      <w:tr>
        <w:trPr>
          <w:trHeight w:val="316" w:hRule="atLeast"/>
        </w:trPr>
        <w:tc>
          <w:tcPr>
            <w:tcW w:w="2835" w:type="dxa"/>
            <w:shd w:val="clear" w:color="auto" w:fill="DCE6F0"/>
          </w:tcPr>
          <w:p>
            <w:pPr>
              <w:pStyle w:val="TableParagraph"/>
              <w:spacing w:before="42"/>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42"/>
              <w:ind w:left="69"/>
              <w:rPr>
                <w:sz w:val="20"/>
              </w:rPr>
            </w:pPr>
            <w:r>
              <w:rPr>
                <w:spacing w:val="-2"/>
                <w:sz w:val="20"/>
              </w:rPr>
              <w:t>Porcentaje</w:t>
            </w:r>
          </w:p>
        </w:tc>
      </w:tr>
      <w:tr>
        <w:trPr>
          <w:trHeight w:val="1379" w:hRule="atLeast"/>
        </w:trPr>
        <w:tc>
          <w:tcPr>
            <w:tcW w:w="2835" w:type="dxa"/>
            <w:shd w:val="clear" w:color="auto" w:fill="DCE6F0"/>
          </w:tcPr>
          <w:p>
            <w:pPr>
              <w:pStyle w:val="TableParagraph"/>
              <w:rPr>
                <w:b/>
                <w:sz w:val="20"/>
              </w:rPr>
            </w:pPr>
          </w:p>
          <w:p>
            <w:pPr>
              <w:pStyle w:val="TableParagraph"/>
              <w:spacing w:before="113"/>
              <w:rPr>
                <w:b/>
                <w:sz w:val="20"/>
              </w:rPr>
            </w:pPr>
          </w:p>
          <w:p>
            <w:pPr>
              <w:pStyle w:val="TableParagraph"/>
              <w:ind w:left="67"/>
              <w:rPr>
                <w:b/>
                <w:sz w:val="20"/>
              </w:rPr>
            </w:pPr>
            <w:r>
              <w:rPr>
                <w:b/>
                <w:spacing w:val="-2"/>
                <w:sz w:val="20"/>
              </w:rPr>
              <w:t>Interpretación:</w:t>
            </w:r>
          </w:p>
        </w:tc>
        <w:tc>
          <w:tcPr>
            <w:tcW w:w="7514" w:type="dxa"/>
          </w:tcPr>
          <w:p>
            <w:pPr>
              <w:pStyle w:val="TableParagraph"/>
              <w:ind w:left="69"/>
              <w:rPr>
                <w:sz w:val="20"/>
              </w:rPr>
            </w:pPr>
            <w:r>
              <w:rPr>
                <w:sz w:val="20"/>
              </w:rPr>
              <w:t>El porcentaje de ejecución del presupuesto asociado a servicios de ingeniería ejecutado</w:t>
            </w:r>
            <w:r>
              <w:rPr>
                <w:spacing w:val="-3"/>
                <w:sz w:val="20"/>
              </w:rPr>
              <w:t> </w:t>
            </w:r>
            <w:r>
              <w:rPr>
                <w:sz w:val="20"/>
              </w:rPr>
              <w:t>en</w:t>
            </w:r>
            <w:r>
              <w:rPr>
                <w:spacing w:val="-4"/>
                <w:sz w:val="20"/>
              </w:rPr>
              <w:t> </w:t>
            </w:r>
            <w:r>
              <w:rPr>
                <w:sz w:val="20"/>
              </w:rPr>
              <w:t>los</w:t>
            </w:r>
            <w:r>
              <w:rPr>
                <w:spacing w:val="-4"/>
                <w:sz w:val="20"/>
              </w:rPr>
              <w:t> </w:t>
            </w:r>
            <w:r>
              <w:rPr>
                <w:sz w:val="20"/>
              </w:rPr>
              <w:t>proyectos</w:t>
            </w:r>
            <w:r>
              <w:rPr>
                <w:spacing w:val="-2"/>
                <w:sz w:val="20"/>
              </w:rPr>
              <w:t> </w:t>
            </w:r>
            <w:r>
              <w:rPr>
                <w:sz w:val="20"/>
              </w:rPr>
              <w:t>de</w:t>
            </w:r>
            <w:r>
              <w:rPr>
                <w:spacing w:val="-6"/>
                <w:sz w:val="20"/>
              </w:rPr>
              <w:t> </w:t>
            </w:r>
            <w:r>
              <w:rPr>
                <w:sz w:val="20"/>
              </w:rPr>
              <w:t>inversión</w:t>
            </w:r>
            <w:r>
              <w:rPr>
                <w:spacing w:val="-3"/>
                <w:sz w:val="20"/>
              </w:rPr>
              <w:t> </w:t>
            </w:r>
            <w:r>
              <w:rPr>
                <w:sz w:val="20"/>
              </w:rPr>
              <w:t>y</w:t>
            </w:r>
            <w:r>
              <w:rPr>
                <w:spacing w:val="-4"/>
                <w:sz w:val="20"/>
              </w:rPr>
              <w:t> </w:t>
            </w:r>
            <w:r>
              <w:rPr>
                <w:sz w:val="20"/>
              </w:rPr>
              <w:t>programados</w:t>
            </w:r>
            <w:r>
              <w:rPr>
                <w:spacing w:val="-4"/>
                <w:sz w:val="20"/>
              </w:rPr>
              <w:t> </w:t>
            </w:r>
            <w:r>
              <w:rPr>
                <w:sz w:val="20"/>
              </w:rPr>
              <w:t>para</w:t>
            </w:r>
            <w:r>
              <w:rPr>
                <w:spacing w:val="-5"/>
                <w:sz w:val="20"/>
              </w:rPr>
              <w:t> </w:t>
            </w:r>
            <w:r>
              <w:rPr>
                <w:sz w:val="20"/>
              </w:rPr>
              <w:t>el</w:t>
            </w:r>
            <w:r>
              <w:rPr>
                <w:spacing w:val="-6"/>
                <w:sz w:val="20"/>
              </w:rPr>
              <w:t> </w:t>
            </w:r>
            <w:r>
              <w:rPr>
                <w:sz w:val="20"/>
              </w:rPr>
              <w:t>año</w:t>
            </w:r>
            <w:r>
              <w:rPr>
                <w:spacing w:val="-5"/>
                <w:sz w:val="20"/>
              </w:rPr>
              <w:t> </w:t>
            </w:r>
            <w:r>
              <w:rPr>
                <w:sz w:val="20"/>
              </w:rPr>
              <w:t>2026,</w:t>
            </w:r>
            <w:r>
              <w:rPr>
                <w:spacing w:val="-5"/>
                <w:sz w:val="20"/>
              </w:rPr>
              <w:t> </w:t>
            </w:r>
            <w:r>
              <w:rPr>
                <w:sz w:val="20"/>
              </w:rPr>
              <w:t>en</w:t>
            </w:r>
            <w:r>
              <w:rPr>
                <w:spacing w:val="-3"/>
                <w:sz w:val="20"/>
              </w:rPr>
              <w:t> </w:t>
            </w:r>
            <w:r>
              <w:rPr>
                <w:sz w:val="20"/>
              </w:rPr>
              <w:t>“X” periodo es de “Y%”.</w:t>
            </w:r>
          </w:p>
          <w:p>
            <w:pPr>
              <w:pStyle w:val="TableParagraph"/>
              <w:spacing w:line="230" w:lineRule="exact"/>
              <w:ind w:left="69" w:right="92"/>
              <w:rPr>
                <w:sz w:val="20"/>
              </w:rPr>
            </w:pPr>
            <w:r>
              <w:rPr>
                <w:sz w:val="20"/>
              </w:rPr>
              <w:t>En</w:t>
            </w:r>
            <w:r>
              <w:rPr>
                <w:spacing w:val="-4"/>
                <w:sz w:val="20"/>
              </w:rPr>
              <w:t> </w:t>
            </w:r>
            <w:r>
              <w:rPr>
                <w:sz w:val="20"/>
              </w:rPr>
              <w:t>esta</w:t>
            </w:r>
            <w:r>
              <w:rPr>
                <w:spacing w:val="-4"/>
                <w:sz w:val="20"/>
              </w:rPr>
              <w:t> </w:t>
            </w:r>
            <w:r>
              <w:rPr>
                <w:sz w:val="20"/>
              </w:rPr>
              <w:t>“X”</w:t>
            </w:r>
            <w:r>
              <w:rPr>
                <w:spacing w:val="-3"/>
                <w:sz w:val="20"/>
              </w:rPr>
              <w:t> </w:t>
            </w:r>
            <w:r>
              <w:rPr>
                <w:sz w:val="20"/>
              </w:rPr>
              <w:t>representa</w:t>
            </w:r>
            <w:r>
              <w:rPr>
                <w:spacing w:val="-2"/>
                <w:sz w:val="20"/>
              </w:rPr>
              <w:t> </w:t>
            </w:r>
            <w:r>
              <w:rPr>
                <w:sz w:val="20"/>
              </w:rPr>
              <w:t>el</w:t>
            </w:r>
            <w:r>
              <w:rPr>
                <w:spacing w:val="-3"/>
                <w:sz w:val="20"/>
              </w:rPr>
              <w:t> </w:t>
            </w:r>
            <w:r>
              <w:rPr>
                <w:sz w:val="20"/>
              </w:rPr>
              <w:t>período</w:t>
            </w:r>
            <w:r>
              <w:rPr>
                <w:spacing w:val="-3"/>
                <w:sz w:val="20"/>
              </w:rPr>
              <w:t> </w:t>
            </w:r>
            <w:r>
              <w:rPr>
                <w:sz w:val="20"/>
              </w:rPr>
              <w:t>de</w:t>
            </w:r>
            <w:r>
              <w:rPr>
                <w:spacing w:val="-5"/>
                <w:sz w:val="20"/>
              </w:rPr>
              <w:t> </w:t>
            </w:r>
            <w:r>
              <w:rPr>
                <w:sz w:val="20"/>
              </w:rPr>
              <w:t>tiempo</w:t>
            </w:r>
            <w:r>
              <w:rPr>
                <w:spacing w:val="-2"/>
                <w:sz w:val="20"/>
              </w:rPr>
              <w:t> </w:t>
            </w:r>
            <w:r>
              <w:rPr>
                <w:sz w:val="20"/>
              </w:rPr>
              <w:t>según</w:t>
            </w:r>
            <w:r>
              <w:rPr>
                <w:spacing w:val="-4"/>
                <w:sz w:val="20"/>
              </w:rPr>
              <w:t> </w:t>
            </w:r>
            <w:r>
              <w:rPr>
                <w:sz w:val="20"/>
              </w:rPr>
              <w:t>la</w:t>
            </w:r>
            <w:r>
              <w:rPr>
                <w:spacing w:val="-4"/>
                <w:sz w:val="20"/>
              </w:rPr>
              <w:t> </w:t>
            </w:r>
            <w:r>
              <w:rPr>
                <w:sz w:val="20"/>
              </w:rPr>
              <w:t>frecuencia</w:t>
            </w:r>
            <w:r>
              <w:rPr>
                <w:spacing w:val="-2"/>
                <w:sz w:val="20"/>
              </w:rPr>
              <w:t> </w:t>
            </w:r>
            <w:r>
              <w:rPr>
                <w:sz w:val="20"/>
              </w:rPr>
              <w:t>de</w:t>
            </w:r>
            <w:r>
              <w:rPr>
                <w:spacing w:val="-3"/>
                <w:sz w:val="20"/>
              </w:rPr>
              <w:t> </w:t>
            </w:r>
            <w:r>
              <w:rPr>
                <w:sz w:val="20"/>
              </w:rPr>
              <w:t>medición,</w:t>
            </w:r>
            <w:r>
              <w:rPr>
                <w:spacing w:val="-4"/>
                <w:sz w:val="20"/>
              </w:rPr>
              <w:t> </w:t>
            </w:r>
            <w:r>
              <w:rPr>
                <w:sz w:val="20"/>
              </w:rPr>
              <w:t>y</w:t>
            </w:r>
            <w:r>
              <w:rPr>
                <w:spacing w:val="-3"/>
                <w:sz w:val="20"/>
              </w:rPr>
              <w:t> </w:t>
            </w:r>
            <w:r>
              <w:rPr>
                <w:sz w:val="20"/>
              </w:rPr>
              <w:t>“Y” significa la meta alcanzada a ese momento según la unidad de medida </w:t>
            </w:r>
            <w:r>
              <w:rPr>
                <w:spacing w:val="-2"/>
                <w:sz w:val="20"/>
              </w:rPr>
              <w:t>establecida.</w:t>
            </w:r>
          </w:p>
        </w:tc>
      </w:tr>
      <w:tr>
        <w:trPr>
          <w:trHeight w:val="313" w:hRule="atLeast"/>
        </w:trPr>
        <w:tc>
          <w:tcPr>
            <w:tcW w:w="2835" w:type="dxa"/>
            <w:shd w:val="clear" w:color="auto" w:fill="DCE6F0"/>
          </w:tcPr>
          <w:p>
            <w:pPr>
              <w:pStyle w:val="TableParagraph"/>
              <w:spacing w:before="42"/>
              <w:ind w:left="67"/>
              <w:rPr>
                <w:b/>
                <w:sz w:val="20"/>
              </w:rPr>
            </w:pPr>
            <w:r>
              <w:rPr>
                <w:b/>
                <w:spacing w:val="-2"/>
                <w:sz w:val="20"/>
              </w:rPr>
              <w:t>Desagregación</w:t>
            </w:r>
          </w:p>
        </w:tc>
        <w:tc>
          <w:tcPr>
            <w:tcW w:w="7514"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6" w:hRule="atLeast"/>
        </w:trPr>
        <w:tc>
          <w:tcPr>
            <w:tcW w:w="2835" w:type="dxa"/>
            <w:shd w:val="clear" w:color="auto" w:fill="DCE6F0"/>
          </w:tcPr>
          <w:p>
            <w:pPr>
              <w:pStyle w:val="TableParagraph"/>
              <w:spacing w:before="42"/>
              <w:ind w:left="67"/>
              <w:rPr>
                <w:b/>
                <w:sz w:val="20"/>
              </w:rPr>
            </w:pPr>
            <w:r>
              <w:rPr>
                <w:b/>
                <w:spacing w:val="-2"/>
                <w:sz w:val="20"/>
              </w:rPr>
              <w:t>Meta:</w:t>
            </w:r>
          </w:p>
        </w:tc>
        <w:tc>
          <w:tcPr>
            <w:tcW w:w="7514" w:type="dxa"/>
          </w:tcPr>
          <w:p>
            <w:pPr>
              <w:pStyle w:val="TableParagraph"/>
              <w:spacing w:before="42"/>
              <w:ind w:left="69"/>
              <w:rPr>
                <w:sz w:val="20"/>
              </w:rPr>
            </w:pPr>
            <w:r>
              <w:rPr>
                <w:spacing w:val="-4"/>
                <w:sz w:val="20"/>
              </w:rPr>
              <w:t>100%</w:t>
            </w:r>
          </w:p>
        </w:tc>
      </w:tr>
      <w:tr>
        <w:trPr>
          <w:trHeight w:val="314" w:hRule="atLeast"/>
        </w:trPr>
        <w:tc>
          <w:tcPr>
            <w:tcW w:w="2835" w:type="dxa"/>
            <w:shd w:val="clear" w:color="auto" w:fill="DCE6F0"/>
          </w:tcPr>
          <w:p>
            <w:pPr>
              <w:pStyle w:val="TableParagraph"/>
              <w:spacing w:before="40"/>
              <w:ind w:left="67"/>
              <w:rPr>
                <w:b/>
                <w:sz w:val="20"/>
              </w:rPr>
            </w:pPr>
            <w:r>
              <w:rPr>
                <w:b/>
                <w:sz w:val="20"/>
              </w:rPr>
              <w:t>Línea</w:t>
            </w:r>
            <w:r>
              <w:rPr>
                <w:b/>
                <w:spacing w:val="-10"/>
                <w:sz w:val="20"/>
              </w:rPr>
              <w:t> </w:t>
            </w:r>
            <w:r>
              <w:rPr>
                <w:b/>
                <w:spacing w:val="-4"/>
                <w:sz w:val="20"/>
              </w:rPr>
              <w:t>Base</w:t>
            </w:r>
          </w:p>
        </w:tc>
        <w:tc>
          <w:tcPr>
            <w:tcW w:w="7514" w:type="dxa"/>
          </w:tcPr>
          <w:p>
            <w:pPr>
              <w:pStyle w:val="TableParagraph"/>
              <w:spacing w:before="40"/>
              <w:ind w:left="69"/>
              <w:rPr>
                <w:sz w:val="20"/>
              </w:rPr>
            </w:pPr>
            <w:r>
              <w:rPr>
                <w:spacing w:val="-2"/>
                <w:sz w:val="20"/>
              </w:rPr>
              <w:t>20,02%</w:t>
            </w:r>
          </w:p>
        </w:tc>
      </w:tr>
      <w:tr>
        <w:trPr>
          <w:trHeight w:val="630" w:hRule="atLeast"/>
        </w:trPr>
        <w:tc>
          <w:tcPr>
            <w:tcW w:w="2835" w:type="dxa"/>
            <w:shd w:val="clear" w:color="auto" w:fill="DCE6F0"/>
          </w:tcPr>
          <w:p>
            <w:pPr>
              <w:pStyle w:val="TableParagraph"/>
              <w:spacing w:before="8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201"/>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835" w:type="dxa"/>
            <w:shd w:val="clear" w:color="auto" w:fill="DCE6F0"/>
          </w:tcPr>
          <w:p>
            <w:pPr>
              <w:pStyle w:val="TableParagraph"/>
              <w:spacing w:before="11"/>
              <w:rPr>
                <w:b/>
                <w:sz w:val="20"/>
              </w:rPr>
            </w:pPr>
          </w:p>
          <w:p>
            <w:pPr>
              <w:pStyle w:val="TableParagraph"/>
              <w:spacing w:before="1"/>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11"/>
              <w:rPr>
                <w:b/>
                <w:sz w:val="20"/>
              </w:rPr>
            </w:pPr>
          </w:p>
          <w:p>
            <w:pPr>
              <w:pStyle w:val="TableParagraph"/>
              <w:spacing w:before="1"/>
              <w:ind w:left="69" w:right="2852"/>
              <w:rPr>
                <w:sz w:val="20"/>
              </w:rPr>
            </w:pPr>
            <w:r>
              <w:rPr>
                <w:sz w:val="20"/>
              </w:rPr>
              <w:t>Nombre del funcionario: Diego Salazar Sánchez Cargo:</w:t>
            </w:r>
            <w:r>
              <w:rPr>
                <w:spacing w:val="-8"/>
                <w:sz w:val="20"/>
              </w:rPr>
              <w:t> </w:t>
            </w:r>
            <w:r>
              <w:rPr>
                <w:sz w:val="20"/>
              </w:rPr>
              <w:t>Asistente,</w:t>
            </w:r>
            <w:r>
              <w:rPr>
                <w:spacing w:val="-8"/>
                <w:sz w:val="20"/>
              </w:rPr>
              <w:t> </w:t>
            </w:r>
            <w:r>
              <w:rPr>
                <w:sz w:val="20"/>
              </w:rPr>
              <w:t>Dirección</w:t>
            </w:r>
            <w:r>
              <w:rPr>
                <w:spacing w:val="-8"/>
                <w:sz w:val="20"/>
              </w:rPr>
              <w:t> </w:t>
            </w:r>
            <w:r>
              <w:rPr>
                <w:sz w:val="20"/>
              </w:rPr>
              <w:t>de</w:t>
            </w:r>
            <w:r>
              <w:rPr>
                <w:spacing w:val="-11"/>
                <w:sz w:val="20"/>
              </w:rPr>
              <w:t> </w:t>
            </w:r>
            <w:r>
              <w:rPr>
                <w:sz w:val="20"/>
              </w:rPr>
              <w:t>Desarrollo</w:t>
            </w:r>
            <w:r>
              <w:rPr>
                <w:spacing w:val="-8"/>
                <w:sz w:val="20"/>
              </w:rPr>
              <w:t> </w:t>
            </w:r>
            <w:r>
              <w:rPr>
                <w:sz w:val="20"/>
              </w:rPr>
              <w:t>Social.</w:t>
            </w:r>
          </w:p>
        </w:tc>
      </w:tr>
      <w:tr>
        <w:trPr>
          <w:trHeight w:val="945" w:hRule="atLeast"/>
        </w:trPr>
        <w:tc>
          <w:tcPr>
            <w:tcW w:w="2835" w:type="dxa"/>
            <w:shd w:val="clear" w:color="auto" w:fill="DCE6F0"/>
          </w:tcPr>
          <w:p>
            <w:pPr>
              <w:pStyle w:val="TableParagraph"/>
              <w:spacing w:before="11"/>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27"/>
              <w:rPr>
                <w:b/>
                <w:sz w:val="20"/>
              </w:rPr>
            </w:pPr>
          </w:p>
          <w:p>
            <w:pPr>
              <w:pStyle w:val="TableParagraph"/>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4" w:hRule="atLeast"/>
        </w:trPr>
        <w:tc>
          <w:tcPr>
            <w:tcW w:w="2835" w:type="dxa"/>
            <w:shd w:val="clear" w:color="auto" w:fill="DCE6F0"/>
          </w:tcPr>
          <w:p>
            <w:pPr>
              <w:pStyle w:val="TableParagraph"/>
              <w:spacing w:before="40"/>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40"/>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6" w:hRule="atLeast"/>
        </w:trPr>
        <w:tc>
          <w:tcPr>
            <w:tcW w:w="2835" w:type="dxa"/>
            <w:shd w:val="clear" w:color="auto" w:fill="DCE6F0"/>
          </w:tcPr>
          <w:p>
            <w:pPr>
              <w:pStyle w:val="TableParagraph"/>
              <w:spacing w:before="42"/>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42"/>
              <w:ind w:left="69"/>
              <w:rPr>
                <w:sz w:val="20"/>
              </w:rPr>
            </w:pPr>
            <w:r>
              <w:rPr>
                <w:sz w:val="20"/>
              </w:rPr>
              <w:t>Registros</w:t>
            </w:r>
            <w:r>
              <w:rPr>
                <w:spacing w:val="-6"/>
                <w:sz w:val="20"/>
              </w:rPr>
              <w:t> </w:t>
            </w:r>
            <w:r>
              <w:rPr>
                <w:sz w:val="20"/>
              </w:rPr>
              <w:t>efectuados</w:t>
            </w:r>
            <w:r>
              <w:rPr>
                <w:spacing w:val="-7"/>
                <w:sz w:val="20"/>
              </w:rPr>
              <w:t> </w:t>
            </w:r>
            <w:r>
              <w:rPr>
                <w:sz w:val="20"/>
              </w:rPr>
              <w:t>en</w:t>
            </w:r>
            <w:r>
              <w:rPr>
                <w:spacing w:val="-7"/>
                <w:sz w:val="20"/>
              </w:rPr>
              <w:t> </w:t>
            </w:r>
            <w:r>
              <w:rPr>
                <w:sz w:val="20"/>
              </w:rPr>
              <w:t>sistema</w:t>
            </w:r>
            <w:r>
              <w:rPr>
                <w:spacing w:val="-8"/>
                <w:sz w:val="20"/>
              </w:rPr>
              <w:t> </w:t>
            </w:r>
            <w:r>
              <w:rPr>
                <w:sz w:val="20"/>
              </w:rPr>
              <w:t>de</w:t>
            </w:r>
            <w:r>
              <w:rPr>
                <w:spacing w:val="-8"/>
                <w:sz w:val="20"/>
              </w:rPr>
              <w:t> </w:t>
            </w:r>
            <w:r>
              <w:rPr>
                <w:spacing w:val="-2"/>
                <w:sz w:val="20"/>
              </w:rPr>
              <w:t>pagos.</w:t>
            </w:r>
          </w:p>
        </w:tc>
      </w:tr>
      <w:tr>
        <w:trPr>
          <w:trHeight w:val="900" w:hRule="atLeast"/>
        </w:trPr>
        <w:tc>
          <w:tcPr>
            <w:tcW w:w="2835" w:type="dxa"/>
            <w:shd w:val="clear" w:color="auto" w:fill="DCE6F0"/>
          </w:tcPr>
          <w:p>
            <w:pPr>
              <w:pStyle w:val="TableParagraph"/>
              <w:spacing w:before="103"/>
              <w:rPr>
                <w:b/>
                <w:sz w:val="20"/>
              </w:rPr>
            </w:pPr>
          </w:p>
          <w:p>
            <w:pPr>
              <w:pStyle w:val="TableParagraph"/>
              <w:ind w:left="67"/>
              <w:rPr>
                <w:b/>
                <w:sz w:val="20"/>
              </w:rPr>
            </w:pPr>
            <w:r>
              <w:rPr>
                <w:b/>
                <w:spacing w:val="-2"/>
                <w:sz w:val="20"/>
              </w:rPr>
              <w:t>Clasificación</w:t>
            </w:r>
          </w:p>
        </w:tc>
        <w:tc>
          <w:tcPr>
            <w:tcW w:w="7514" w:type="dxa"/>
          </w:tcPr>
          <w:p>
            <w:pPr>
              <w:pStyle w:val="TableParagraph"/>
              <w:spacing w:before="103"/>
              <w:rPr>
                <w:b/>
                <w:sz w:val="20"/>
              </w:rPr>
            </w:pPr>
          </w:p>
          <w:p>
            <w:pPr>
              <w:pStyle w:val="TableParagraph"/>
              <w:ind w:left="69"/>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5"/>
                <w:sz w:val="20"/>
              </w:rPr>
              <w:t> </w:t>
            </w:r>
            <w:r>
              <w:rPr>
                <w:sz w:val="20"/>
              </w:rPr>
              <w:t>Producto</w:t>
            </w:r>
            <w:r>
              <w:rPr>
                <w:spacing w:val="-8"/>
                <w:sz w:val="20"/>
              </w:rPr>
              <w:t> </w:t>
            </w:r>
            <w:r>
              <w:rPr>
                <w:spacing w:val="-5"/>
                <w:sz w:val="20"/>
              </w:rPr>
              <w:t>(X)</w:t>
            </w:r>
          </w:p>
        </w:tc>
      </w:tr>
    </w:tbl>
    <w:p>
      <w:pPr>
        <w:pStyle w:val="TableParagraph"/>
        <w:spacing w:after="0"/>
        <w:rPr>
          <w:sz w:val="20"/>
        </w:rPr>
        <w:sectPr>
          <w:type w:val="continuous"/>
          <w:pgSz w:w="12240" w:h="15840"/>
          <w:pgMar w:header="0" w:footer="2082" w:top="1400" w:bottom="2600"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919" w:hRule="atLeast"/>
        </w:trPr>
        <w:tc>
          <w:tcPr>
            <w:tcW w:w="2835" w:type="dxa"/>
            <w:shd w:val="clear" w:color="auto" w:fill="DCE6F0"/>
          </w:tcPr>
          <w:p>
            <w:pPr>
              <w:pStyle w:val="TableParagraph"/>
              <w:spacing w:before="115"/>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ind w:left="69"/>
              <w:rPr>
                <w:sz w:val="20"/>
              </w:rPr>
            </w:pPr>
            <w:r>
              <w:rPr>
                <w:sz w:val="20"/>
              </w:rPr>
              <w:t>A esta meta se le asignan los recursos presupuestarios formulados en la partida denominada</w:t>
            </w:r>
            <w:r>
              <w:rPr>
                <w:spacing w:val="-6"/>
                <w:sz w:val="20"/>
              </w:rPr>
              <w:t> </w:t>
            </w:r>
            <w:r>
              <w:rPr>
                <w:sz w:val="20"/>
              </w:rPr>
              <w:t>servicios</w:t>
            </w:r>
            <w:r>
              <w:rPr>
                <w:spacing w:val="-3"/>
                <w:sz w:val="20"/>
              </w:rPr>
              <w:t> </w:t>
            </w:r>
            <w:r>
              <w:rPr>
                <w:sz w:val="20"/>
              </w:rPr>
              <w:t>de</w:t>
            </w:r>
            <w:r>
              <w:rPr>
                <w:spacing w:val="-5"/>
                <w:sz w:val="20"/>
              </w:rPr>
              <w:t> </w:t>
            </w:r>
            <w:r>
              <w:rPr>
                <w:sz w:val="20"/>
              </w:rPr>
              <w:t>ingeniería,</w:t>
            </w:r>
            <w:r>
              <w:rPr>
                <w:spacing w:val="-4"/>
                <w:sz w:val="20"/>
              </w:rPr>
              <w:t> </w:t>
            </w:r>
            <w:r>
              <w:rPr>
                <w:sz w:val="20"/>
              </w:rPr>
              <w:t>por</w:t>
            </w:r>
            <w:r>
              <w:rPr>
                <w:spacing w:val="-3"/>
                <w:sz w:val="20"/>
              </w:rPr>
              <w:t> </w:t>
            </w:r>
            <w:r>
              <w:rPr>
                <w:sz w:val="20"/>
              </w:rPr>
              <w:t>lo</w:t>
            </w:r>
            <w:r>
              <w:rPr>
                <w:spacing w:val="-6"/>
                <w:sz w:val="20"/>
              </w:rPr>
              <w:t> </w:t>
            </w:r>
            <w:r>
              <w:rPr>
                <w:sz w:val="20"/>
              </w:rPr>
              <w:t>que</w:t>
            </w:r>
            <w:r>
              <w:rPr>
                <w:spacing w:val="-5"/>
                <w:sz w:val="20"/>
              </w:rPr>
              <w:t> </w:t>
            </w:r>
            <w:r>
              <w:rPr>
                <w:sz w:val="20"/>
              </w:rPr>
              <w:t>el</w:t>
            </w:r>
            <w:r>
              <w:rPr>
                <w:spacing w:val="-5"/>
                <w:sz w:val="20"/>
              </w:rPr>
              <w:t> </w:t>
            </w:r>
            <w:r>
              <w:rPr>
                <w:sz w:val="20"/>
              </w:rPr>
              <w:t>presupuesto</w:t>
            </w:r>
            <w:r>
              <w:rPr>
                <w:spacing w:val="-6"/>
                <w:sz w:val="20"/>
              </w:rPr>
              <w:t> </w:t>
            </w:r>
            <w:r>
              <w:rPr>
                <w:sz w:val="20"/>
              </w:rPr>
              <w:t>y</w:t>
            </w:r>
            <w:r>
              <w:rPr>
                <w:spacing w:val="-5"/>
                <w:sz w:val="20"/>
              </w:rPr>
              <w:t> </w:t>
            </w:r>
            <w:r>
              <w:rPr>
                <w:sz w:val="20"/>
              </w:rPr>
              <w:t>meta</w:t>
            </w:r>
            <w:r>
              <w:rPr>
                <w:spacing w:val="-6"/>
                <w:sz w:val="20"/>
              </w:rPr>
              <w:t> </w:t>
            </w:r>
            <w:r>
              <w:rPr>
                <w:sz w:val="20"/>
              </w:rPr>
              <w:t>corresponde</w:t>
            </w:r>
          </w:p>
          <w:p>
            <w:pPr>
              <w:pStyle w:val="TableParagraph"/>
              <w:spacing w:line="230" w:lineRule="exact"/>
              <w:ind w:left="69"/>
              <w:rPr>
                <w:sz w:val="20"/>
              </w:rPr>
            </w:pPr>
            <w:r>
              <w:rPr>
                <w:sz w:val="20"/>
              </w:rPr>
              <w:t>a la ejecución de los estudios de todos los proyectos de infraestructura programados</w:t>
            </w:r>
            <w:r>
              <w:rPr>
                <w:spacing w:val="-3"/>
                <w:sz w:val="20"/>
              </w:rPr>
              <w:t> </w:t>
            </w:r>
            <w:r>
              <w:rPr>
                <w:sz w:val="20"/>
              </w:rPr>
              <w:t>para</w:t>
            </w:r>
            <w:r>
              <w:rPr>
                <w:spacing w:val="-4"/>
                <w:sz w:val="20"/>
              </w:rPr>
              <w:t> </w:t>
            </w:r>
            <w:r>
              <w:rPr>
                <w:sz w:val="20"/>
              </w:rPr>
              <w:t>el</w:t>
            </w:r>
            <w:r>
              <w:rPr>
                <w:spacing w:val="-5"/>
                <w:sz w:val="20"/>
              </w:rPr>
              <w:t> </w:t>
            </w:r>
            <w:r>
              <w:rPr>
                <w:sz w:val="20"/>
              </w:rPr>
              <w:t>año</w:t>
            </w:r>
            <w:r>
              <w:rPr>
                <w:spacing w:val="-4"/>
                <w:sz w:val="20"/>
              </w:rPr>
              <w:t> </w:t>
            </w:r>
            <w:r>
              <w:rPr>
                <w:sz w:val="20"/>
              </w:rPr>
              <w:t>en</w:t>
            </w:r>
            <w:r>
              <w:rPr>
                <w:spacing w:val="-6"/>
                <w:sz w:val="20"/>
              </w:rPr>
              <w:t> </w:t>
            </w:r>
            <w:r>
              <w:rPr>
                <w:sz w:val="20"/>
              </w:rPr>
              <w:t>el</w:t>
            </w:r>
            <w:r>
              <w:rPr>
                <w:spacing w:val="-5"/>
                <w:sz w:val="20"/>
              </w:rPr>
              <w:t> </w:t>
            </w:r>
            <w:r>
              <w:rPr>
                <w:sz w:val="20"/>
              </w:rPr>
              <w:t>programa</w:t>
            </w:r>
            <w:r>
              <w:rPr>
                <w:spacing w:val="-4"/>
                <w:sz w:val="20"/>
              </w:rPr>
              <w:t> </w:t>
            </w:r>
            <w:r>
              <w:rPr>
                <w:sz w:val="20"/>
              </w:rPr>
              <w:t>Protección</w:t>
            </w:r>
            <w:r>
              <w:rPr>
                <w:spacing w:val="-7"/>
                <w:sz w:val="20"/>
              </w:rPr>
              <w:t> </w:t>
            </w:r>
            <w:r>
              <w:rPr>
                <w:sz w:val="20"/>
              </w:rPr>
              <w:t>y</w:t>
            </w:r>
            <w:r>
              <w:rPr>
                <w:spacing w:val="-3"/>
                <w:sz w:val="20"/>
              </w:rPr>
              <w:t> </w:t>
            </w:r>
            <w:r>
              <w:rPr>
                <w:sz w:val="20"/>
              </w:rPr>
              <w:t>Promoción</w:t>
            </w:r>
            <w:r>
              <w:rPr>
                <w:spacing w:val="-4"/>
                <w:sz w:val="20"/>
              </w:rPr>
              <w:t> </w:t>
            </w:r>
            <w:r>
              <w:rPr>
                <w:sz w:val="20"/>
              </w:rPr>
              <w:t>Social.</w:t>
            </w: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11" w:after="1"/>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599" w:hRule="atLeast"/>
        </w:trPr>
        <w:tc>
          <w:tcPr>
            <w:tcW w:w="2835" w:type="dxa"/>
            <w:shd w:val="clear" w:color="auto" w:fill="DCE6F0"/>
          </w:tcPr>
          <w:p>
            <w:pPr>
              <w:pStyle w:val="TableParagraph"/>
              <w:spacing w:before="184"/>
              <w:ind w:left="67"/>
              <w:rPr>
                <w:b/>
                <w:sz w:val="20"/>
              </w:rPr>
            </w:pPr>
            <w:r>
              <w:rPr>
                <w:b/>
                <w:sz w:val="20"/>
              </w:rPr>
              <w:t>PPPS</w:t>
            </w:r>
            <w:r>
              <w:rPr>
                <w:b/>
                <w:spacing w:val="-6"/>
                <w:sz w:val="20"/>
              </w:rPr>
              <w:t> </w:t>
            </w:r>
            <w:r>
              <w:rPr>
                <w:b/>
                <w:spacing w:val="-2"/>
                <w:sz w:val="20"/>
              </w:rPr>
              <w:t>1.3.4:</w:t>
            </w:r>
          </w:p>
        </w:tc>
        <w:tc>
          <w:tcPr>
            <w:tcW w:w="7514" w:type="dxa"/>
          </w:tcPr>
          <w:p>
            <w:pPr>
              <w:pStyle w:val="TableParagraph"/>
              <w:spacing w:before="69"/>
              <w:ind w:left="69" w:right="170"/>
              <w:rPr>
                <w:sz w:val="20"/>
              </w:rPr>
            </w:pPr>
            <w:r>
              <w:rPr>
                <w:sz w:val="20"/>
              </w:rPr>
              <w:t>Nombre</w:t>
            </w:r>
            <w:r>
              <w:rPr>
                <w:spacing w:val="-4"/>
                <w:sz w:val="20"/>
              </w:rPr>
              <w:t> </w:t>
            </w:r>
            <w:r>
              <w:rPr>
                <w:sz w:val="20"/>
              </w:rPr>
              <w:t>del</w:t>
            </w:r>
            <w:r>
              <w:rPr>
                <w:spacing w:val="-6"/>
                <w:sz w:val="20"/>
              </w:rPr>
              <w:t> </w:t>
            </w:r>
            <w:r>
              <w:rPr>
                <w:sz w:val="20"/>
              </w:rPr>
              <w:t>Indicador:</w:t>
            </w:r>
            <w:r>
              <w:rPr>
                <w:spacing w:val="-4"/>
                <w:sz w:val="20"/>
              </w:rPr>
              <w:t> </w:t>
            </w:r>
            <w:r>
              <w:rPr>
                <w:sz w:val="20"/>
              </w:rPr>
              <w:t>Porcentaje</w:t>
            </w:r>
            <w:r>
              <w:rPr>
                <w:spacing w:val="-4"/>
                <w:sz w:val="20"/>
              </w:rPr>
              <w:t> </w:t>
            </w:r>
            <w:r>
              <w:rPr>
                <w:sz w:val="20"/>
              </w:rPr>
              <w:t>de</w:t>
            </w:r>
            <w:r>
              <w:rPr>
                <w:spacing w:val="-6"/>
                <w:sz w:val="20"/>
              </w:rPr>
              <w:t> </w:t>
            </w:r>
            <w:r>
              <w:rPr>
                <w:sz w:val="20"/>
              </w:rPr>
              <w:t>presupuesto</w:t>
            </w:r>
            <w:r>
              <w:rPr>
                <w:spacing w:val="-6"/>
                <w:sz w:val="20"/>
              </w:rPr>
              <w:t> </w:t>
            </w:r>
            <w:r>
              <w:rPr>
                <w:sz w:val="20"/>
              </w:rPr>
              <w:t>programado</w:t>
            </w:r>
            <w:r>
              <w:rPr>
                <w:spacing w:val="-5"/>
                <w:sz w:val="20"/>
              </w:rPr>
              <w:t> </w:t>
            </w:r>
            <w:r>
              <w:rPr>
                <w:sz w:val="20"/>
              </w:rPr>
              <w:t>que</w:t>
            </w:r>
            <w:r>
              <w:rPr>
                <w:spacing w:val="-5"/>
                <w:sz w:val="20"/>
              </w:rPr>
              <w:t> </w:t>
            </w:r>
            <w:r>
              <w:rPr>
                <w:sz w:val="20"/>
              </w:rPr>
              <w:t>se</w:t>
            </w:r>
            <w:r>
              <w:rPr>
                <w:spacing w:val="-4"/>
                <w:sz w:val="20"/>
              </w:rPr>
              <w:t> </w:t>
            </w:r>
            <w:r>
              <w:rPr>
                <w:sz w:val="20"/>
              </w:rPr>
              <w:t>invierte</w:t>
            </w:r>
            <w:r>
              <w:rPr>
                <w:spacing w:val="-5"/>
                <w:sz w:val="20"/>
              </w:rPr>
              <w:t> </w:t>
            </w:r>
            <w:r>
              <w:rPr>
                <w:sz w:val="20"/>
              </w:rPr>
              <w:t>en la construcción del edificio de la ULDS Los Chiles.</w:t>
            </w:r>
          </w:p>
        </w:tc>
      </w:tr>
      <w:tr>
        <w:trPr>
          <w:trHeight w:val="691" w:hRule="atLeast"/>
        </w:trPr>
        <w:tc>
          <w:tcPr>
            <w:tcW w:w="2835" w:type="dxa"/>
            <w:shd w:val="clear" w:color="auto" w:fill="DCE6F0"/>
          </w:tcPr>
          <w:p>
            <w:pPr>
              <w:pStyle w:val="TableParagraph"/>
              <w:spacing w:before="230"/>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ind w:left="69"/>
              <w:rPr>
                <w:sz w:val="20"/>
              </w:rPr>
            </w:pPr>
            <w:r>
              <w:rPr>
                <w:sz w:val="20"/>
              </w:rPr>
              <w:t>Cantidad</w:t>
            </w:r>
            <w:r>
              <w:rPr>
                <w:spacing w:val="-5"/>
                <w:sz w:val="20"/>
              </w:rPr>
              <w:t> </w:t>
            </w:r>
            <w:r>
              <w:rPr>
                <w:sz w:val="20"/>
              </w:rPr>
              <w:t>de</w:t>
            </w:r>
            <w:r>
              <w:rPr>
                <w:spacing w:val="-4"/>
                <w:sz w:val="20"/>
              </w:rPr>
              <w:t> </w:t>
            </w:r>
            <w:r>
              <w:rPr>
                <w:sz w:val="20"/>
              </w:rPr>
              <w:t>presupuesto</w:t>
            </w:r>
            <w:r>
              <w:rPr>
                <w:spacing w:val="-4"/>
                <w:sz w:val="20"/>
              </w:rPr>
              <w:t> </w:t>
            </w:r>
            <w:r>
              <w:rPr>
                <w:sz w:val="20"/>
              </w:rPr>
              <w:t>ejecutado</w:t>
            </w:r>
            <w:r>
              <w:rPr>
                <w:spacing w:val="-5"/>
                <w:sz w:val="20"/>
              </w:rPr>
              <w:t> </w:t>
            </w:r>
            <w:r>
              <w:rPr>
                <w:sz w:val="20"/>
              </w:rPr>
              <w:t>en</w:t>
            </w:r>
            <w:r>
              <w:rPr>
                <w:spacing w:val="-4"/>
                <w:sz w:val="20"/>
              </w:rPr>
              <w:t> </w:t>
            </w:r>
            <w:r>
              <w:rPr>
                <w:sz w:val="20"/>
              </w:rPr>
              <w:t>la</w:t>
            </w:r>
            <w:r>
              <w:rPr>
                <w:spacing w:val="-4"/>
                <w:sz w:val="20"/>
              </w:rPr>
              <w:t> </w:t>
            </w:r>
            <w:r>
              <w:rPr>
                <w:sz w:val="20"/>
              </w:rPr>
              <w:t>construcción</w:t>
            </w:r>
            <w:r>
              <w:rPr>
                <w:spacing w:val="-2"/>
                <w:sz w:val="20"/>
              </w:rPr>
              <w:t> </w:t>
            </w:r>
            <w:r>
              <w:rPr>
                <w:sz w:val="20"/>
              </w:rPr>
              <w:t>del</w:t>
            </w:r>
            <w:r>
              <w:rPr>
                <w:spacing w:val="-5"/>
                <w:sz w:val="20"/>
              </w:rPr>
              <w:t> </w:t>
            </w:r>
            <w:r>
              <w:rPr>
                <w:sz w:val="20"/>
              </w:rPr>
              <w:t>edificio</w:t>
            </w:r>
            <w:r>
              <w:rPr>
                <w:spacing w:val="-5"/>
                <w:sz w:val="20"/>
              </w:rPr>
              <w:t> </w:t>
            </w:r>
            <w:r>
              <w:rPr>
                <w:sz w:val="20"/>
              </w:rPr>
              <w:t>de</w:t>
            </w:r>
            <w:r>
              <w:rPr>
                <w:spacing w:val="-5"/>
                <w:sz w:val="20"/>
              </w:rPr>
              <w:t> </w:t>
            </w:r>
            <w:r>
              <w:rPr>
                <w:sz w:val="20"/>
              </w:rPr>
              <w:t>la</w:t>
            </w:r>
            <w:r>
              <w:rPr>
                <w:spacing w:val="-5"/>
                <w:sz w:val="20"/>
              </w:rPr>
              <w:t> </w:t>
            </w:r>
            <w:r>
              <w:rPr>
                <w:sz w:val="20"/>
              </w:rPr>
              <w:t>ULDS</w:t>
            </w:r>
            <w:r>
              <w:rPr>
                <w:spacing w:val="-4"/>
                <w:sz w:val="20"/>
              </w:rPr>
              <w:t> </w:t>
            </w:r>
            <w:r>
              <w:rPr>
                <w:sz w:val="20"/>
              </w:rPr>
              <w:t>Los Chiles / Cantidad de presupuesto programado para la construcción del edificio de</w:t>
            </w:r>
          </w:p>
          <w:p>
            <w:pPr>
              <w:pStyle w:val="TableParagraph"/>
              <w:spacing w:line="211" w:lineRule="exact" w:before="1"/>
              <w:ind w:left="69"/>
              <w:rPr>
                <w:sz w:val="20"/>
              </w:rPr>
            </w:pPr>
            <w:r>
              <w:rPr>
                <w:sz w:val="20"/>
              </w:rPr>
              <w:t>la</w:t>
            </w:r>
            <w:r>
              <w:rPr>
                <w:spacing w:val="-6"/>
                <w:sz w:val="20"/>
              </w:rPr>
              <w:t> </w:t>
            </w:r>
            <w:r>
              <w:rPr>
                <w:sz w:val="20"/>
              </w:rPr>
              <w:t>ULDS</w:t>
            </w:r>
            <w:r>
              <w:rPr>
                <w:spacing w:val="-4"/>
                <w:sz w:val="20"/>
              </w:rPr>
              <w:t> </w:t>
            </w:r>
            <w:r>
              <w:rPr>
                <w:sz w:val="20"/>
              </w:rPr>
              <w:t>Los</w:t>
            </w:r>
            <w:r>
              <w:rPr>
                <w:spacing w:val="-4"/>
                <w:sz w:val="20"/>
              </w:rPr>
              <w:t> </w:t>
            </w:r>
            <w:r>
              <w:rPr>
                <w:sz w:val="20"/>
              </w:rPr>
              <w:t>Chiles</w:t>
            </w:r>
            <w:r>
              <w:rPr>
                <w:spacing w:val="-4"/>
                <w:sz w:val="20"/>
              </w:rPr>
              <w:t> </w:t>
            </w:r>
            <w:r>
              <w:rPr>
                <w:sz w:val="20"/>
              </w:rPr>
              <w:t>*</w:t>
            </w:r>
            <w:r>
              <w:rPr>
                <w:spacing w:val="-4"/>
                <w:sz w:val="20"/>
              </w:rPr>
              <w:t> </w:t>
            </w:r>
            <w:r>
              <w:rPr>
                <w:spacing w:val="-5"/>
                <w:sz w:val="20"/>
              </w:rPr>
              <w:t>100</w:t>
            </w:r>
          </w:p>
        </w:tc>
      </w:tr>
      <w:tr>
        <w:trPr>
          <w:trHeight w:val="313" w:hRule="atLeast"/>
        </w:trPr>
        <w:tc>
          <w:tcPr>
            <w:tcW w:w="2835" w:type="dxa"/>
            <w:shd w:val="clear" w:color="auto" w:fill="DCE6F0"/>
          </w:tcPr>
          <w:p>
            <w:pPr>
              <w:pStyle w:val="TableParagraph"/>
              <w:spacing w:before="40"/>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40"/>
              <w:ind w:left="69"/>
              <w:rPr>
                <w:sz w:val="20"/>
              </w:rPr>
            </w:pPr>
            <w:r>
              <w:rPr>
                <w:spacing w:val="-2"/>
                <w:sz w:val="20"/>
              </w:rPr>
              <w:t>Porcentaje</w:t>
            </w:r>
          </w:p>
        </w:tc>
      </w:tr>
      <w:tr>
        <w:trPr>
          <w:trHeight w:val="1379" w:hRule="atLeast"/>
        </w:trPr>
        <w:tc>
          <w:tcPr>
            <w:tcW w:w="2835" w:type="dxa"/>
            <w:shd w:val="clear" w:color="auto" w:fill="DCE6F0"/>
          </w:tcPr>
          <w:p>
            <w:pPr>
              <w:pStyle w:val="TableParagraph"/>
              <w:rPr>
                <w:b/>
                <w:sz w:val="20"/>
              </w:rPr>
            </w:pPr>
          </w:p>
          <w:p>
            <w:pPr>
              <w:pStyle w:val="TableParagraph"/>
              <w:spacing w:before="115"/>
              <w:rPr>
                <w:b/>
                <w:sz w:val="20"/>
              </w:rPr>
            </w:pPr>
          </w:p>
          <w:p>
            <w:pPr>
              <w:pStyle w:val="TableParagraph"/>
              <w:ind w:left="67"/>
              <w:rPr>
                <w:b/>
                <w:sz w:val="20"/>
              </w:rPr>
            </w:pPr>
            <w:r>
              <w:rPr>
                <w:b/>
                <w:spacing w:val="-2"/>
                <w:sz w:val="20"/>
              </w:rPr>
              <w:t>Interpretación:</w:t>
            </w:r>
          </w:p>
        </w:tc>
        <w:tc>
          <w:tcPr>
            <w:tcW w:w="7514" w:type="dxa"/>
          </w:tcPr>
          <w:p>
            <w:pPr>
              <w:pStyle w:val="TableParagraph"/>
              <w:ind w:left="69" w:right="83"/>
              <w:rPr>
                <w:sz w:val="20"/>
              </w:rPr>
            </w:pPr>
            <w:r>
              <w:rPr>
                <w:sz w:val="20"/>
              </w:rPr>
              <w:t>El</w:t>
            </w:r>
            <w:r>
              <w:rPr>
                <w:spacing w:val="-4"/>
                <w:sz w:val="20"/>
              </w:rPr>
              <w:t> </w:t>
            </w:r>
            <w:r>
              <w:rPr>
                <w:sz w:val="20"/>
              </w:rPr>
              <w:t>porcentaje</w:t>
            </w:r>
            <w:r>
              <w:rPr>
                <w:spacing w:val="-5"/>
                <w:sz w:val="20"/>
              </w:rPr>
              <w:t> </w:t>
            </w:r>
            <w:r>
              <w:rPr>
                <w:sz w:val="20"/>
              </w:rPr>
              <w:t>de</w:t>
            </w:r>
            <w:r>
              <w:rPr>
                <w:spacing w:val="-3"/>
                <w:sz w:val="20"/>
              </w:rPr>
              <w:t> </w:t>
            </w:r>
            <w:r>
              <w:rPr>
                <w:sz w:val="20"/>
              </w:rPr>
              <w:t>ejecución</w:t>
            </w:r>
            <w:r>
              <w:rPr>
                <w:spacing w:val="-3"/>
                <w:sz w:val="20"/>
              </w:rPr>
              <w:t> </w:t>
            </w:r>
            <w:r>
              <w:rPr>
                <w:sz w:val="20"/>
              </w:rPr>
              <w:t>de</w:t>
            </w:r>
            <w:r>
              <w:rPr>
                <w:spacing w:val="-6"/>
                <w:sz w:val="20"/>
              </w:rPr>
              <w:t> </w:t>
            </w:r>
            <w:r>
              <w:rPr>
                <w:sz w:val="20"/>
              </w:rPr>
              <w:t>la</w:t>
            </w:r>
            <w:r>
              <w:rPr>
                <w:spacing w:val="-5"/>
                <w:sz w:val="20"/>
              </w:rPr>
              <w:t> </w:t>
            </w:r>
            <w:r>
              <w:rPr>
                <w:sz w:val="20"/>
              </w:rPr>
              <w:t>partida</w:t>
            </w:r>
            <w:r>
              <w:rPr>
                <w:spacing w:val="-5"/>
                <w:sz w:val="20"/>
              </w:rPr>
              <w:t> </w:t>
            </w:r>
            <w:r>
              <w:rPr>
                <w:sz w:val="20"/>
              </w:rPr>
              <w:t>edificios</w:t>
            </w:r>
            <w:r>
              <w:rPr>
                <w:spacing w:val="-4"/>
                <w:sz w:val="20"/>
              </w:rPr>
              <w:t> </w:t>
            </w:r>
            <w:r>
              <w:rPr>
                <w:sz w:val="20"/>
              </w:rPr>
              <w:t>asociada</w:t>
            </w:r>
            <w:r>
              <w:rPr>
                <w:spacing w:val="-3"/>
                <w:sz w:val="20"/>
              </w:rPr>
              <w:t> </w:t>
            </w:r>
            <w:r>
              <w:rPr>
                <w:sz w:val="20"/>
              </w:rPr>
              <w:t>a</w:t>
            </w:r>
            <w:r>
              <w:rPr>
                <w:spacing w:val="-5"/>
                <w:sz w:val="20"/>
              </w:rPr>
              <w:t> </w:t>
            </w:r>
            <w:r>
              <w:rPr>
                <w:sz w:val="20"/>
              </w:rPr>
              <w:t>proyectos</w:t>
            </w:r>
            <w:r>
              <w:rPr>
                <w:spacing w:val="-2"/>
                <w:sz w:val="20"/>
              </w:rPr>
              <w:t> </w:t>
            </w:r>
            <w:r>
              <w:rPr>
                <w:sz w:val="20"/>
              </w:rPr>
              <w:t>de</w:t>
            </w:r>
            <w:r>
              <w:rPr>
                <w:spacing w:val="-4"/>
                <w:sz w:val="20"/>
              </w:rPr>
              <w:t> </w:t>
            </w:r>
            <w:r>
              <w:rPr>
                <w:sz w:val="20"/>
              </w:rPr>
              <w:t>inversión y programados para el año 2026, destinados a desarrollar condiciones infraestructurales adecuadas en la ULDS Los Chiles, en “X” periodo es de “Y%”.</w:t>
            </w:r>
          </w:p>
          <w:p>
            <w:pPr>
              <w:pStyle w:val="TableParagraph"/>
              <w:spacing w:line="230" w:lineRule="exact"/>
              <w:ind w:left="69" w:right="92"/>
              <w:rPr>
                <w:sz w:val="20"/>
              </w:rPr>
            </w:pPr>
            <w:r>
              <w:rPr>
                <w:sz w:val="20"/>
              </w:rPr>
              <w:t>En</w:t>
            </w:r>
            <w:r>
              <w:rPr>
                <w:spacing w:val="-4"/>
                <w:sz w:val="20"/>
              </w:rPr>
              <w:t> </w:t>
            </w:r>
            <w:r>
              <w:rPr>
                <w:sz w:val="20"/>
              </w:rPr>
              <w:t>esta</w:t>
            </w:r>
            <w:r>
              <w:rPr>
                <w:spacing w:val="-4"/>
                <w:sz w:val="20"/>
              </w:rPr>
              <w:t> </w:t>
            </w:r>
            <w:r>
              <w:rPr>
                <w:sz w:val="20"/>
              </w:rPr>
              <w:t>“X”</w:t>
            </w:r>
            <w:r>
              <w:rPr>
                <w:spacing w:val="-3"/>
                <w:sz w:val="20"/>
              </w:rPr>
              <w:t> </w:t>
            </w:r>
            <w:r>
              <w:rPr>
                <w:sz w:val="20"/>
              </w:rPr>
              <w:t>representa</w:t>
            </w:r>
            <w:r>
              <w:rPr>
                <w:spacing w:val="-2"/>
                <w:sz w:val="20"/>
              </w:rPr>
              <w:t> </w:t>
            </w:r>
            <w:r>
              <w:rPr>
                <w:sz w:val="20"/>
              </w:rPr>
              <w:t>el</w:t>
            </w:r>
            <w:r>
              <w:rPr>
                <w:spacing w:val="-3"/>
                <w:sz w:val="20"/>
              </w:rPr>
              <w:t> </w:t>
            </w:r>
            <w:r>
              <w:rPr>
                <w:sz w:val="20"/>
              </w:rPr>
              <w:t>período</w:t>
            </w:r>
            <w:r>
              <w:rPr>
                <w:spacing w:val="-3"/>
                <w:sz w:val="20"/>
              </w:rPr>
              <w:t> </w:t>
            </w:r>
            <w:r>
              <w:rPr>
                <w:sz w:val="20"/>
              </w:rPr>
              <w:t>de</w:t>
            </w:r>
            <w:r>
              <w:rPr>
                <w:spacing w:val="-5"/>
                <w:sz w:val="20"/>
              </w:rPr>
              <w:t> </w:t>
            </w:r>
            <w:r>
              <w:rPr>
                <w:sz w:val="20"/>
              </w:rPr>
              <w:t>tiempo</w:t>
            </w:r>
            <w:r>
              <w:rPr>
                <w:spacing w:val="-2"/>
                <w:sz w:val="20"/>
              </w:rPr>
              <w:t> </w:t>
            </w:r>
            <w:r>
              <w:rPr>
                <w:sz w:val="20"/>
              </w:rPr>
              <w:t>según</w:t>
            </w:r>
            <w:r>
              <w:rPr>
                <w:spacing w:val="-4"/>
                <w:sz w:val="20"/>
              </w:rPr>
              <w:t> </w:t>
            </w:r>
            <w:r>
              <w:rPr>
                <w:sz w:val="20"/>
              </w:rPr>
              <w:t>la</w:t>
            </w:r>
            <w:r>
              <w:rPr>
                <w:spacing w:val="-4"/>
                <w:sz w:val="20"/>
              </w:rPr>
              <w:t> </w:t>
            </w:r>
            <w:r>
              <w:rPr>
                <w:sz w:val="20"/>
              </w:rPr>
              <w:t>frecuencia</w:t>
            </w:r>
            <w:r>
              <w:rPr>
                <w:spacing w:val="-2"/>
                <w:sz w:val="20"/>
              </w:rPr>
              <w:t> </w:t>
            </w:r>
            <w:r>
              <w:rPr>
                <w:sz w:val="20"/>
              </w:rPr>
              <w:t>de</w:t>
            </w:r>
            <w:r>
              <w:rPr>
                <w:spacing w:val="-3"/>
                <w:sz w:val="20"/>
              </w:rPr>
              <w:t> </w:t>
            </w:r>
            <w:r>
              <w:rPr>
                <w:sz w:val="20"/>
              </w:rPr>
              <w:t>medición,</w:t>
            </w:r>
            <w:r>
              <w:rPr>
                <w:spacing w:val="-4"/>
                <w:sz w:val="20"/>
              </w:rPr>
              <w:t> </w:t>
            </w:r>
            <w:r>
              <w:rPr>
                <w:sz w:val="20"/>
              </w:rPr>
              <w:t>y</w:t>
            </w:r>
            <w:r>
              <w:rPr>
                <w:spacing w:val="-3"/>
                <w:sz w:val="20"/>
              </w:rPr>
              <w:t> </w:t>
            </w:r>
            <w:r>
              <w:rPr>
                <w:sz w:val="20"/>
              </w:rPr>
              <w:t>“Y” significa la meta alcanzada a ese momento según la unidad de medida </w:t>
            </w:r>
            <w:r>
              <w:rPr>
                <w:spacing w:val="-2"/>
                <w:sz w:val="20"/>
              </w:rPr>
              <w:t>establecida.</w:t>
            </w:r>
          </w:p>
        </w:tc>
      </w:tr>
      <w:tr>
        <w:trPr>
          <w:trHeight w:val="316" w:hRule="atLeast"/>
        </w:trPr>
        <w:tc>
          <w:tcPr>
            <w:tcW w:w="2835" w:type="dxa"/>
            <w:shd w:val="clear" w:color="auto" w:fill="DCE6F0"/>
          </w:tcPr>
          <w:p>
            <w:pPr>
              <w:pStyle w:val="TableParagraph"/>
              <w:spacing w:before="42"/>
              <w:ind w:left="67"/>
              <w:rPr>
                <w:b/>
                <w:sz w:val="20"/>
              </w:rPr>
            </w:pPr>
            <w:r>
              <w:rPr>
                <w:b/>
                <w:spacing w:val="-2"/>
                <w:sz w:val="20"/>
              </w:rPr>
              <w:t>Desagregación</w:t>
            </w:r>
          </w:p>
        </w:tc>
        <w:tc>
          <w:tcPr>
            <w:tcW w:w="7514"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3" w:hRule="atLeast"/>
        </w:trPr>
        <w:tc>
          <w:tcPr>
            <w:tcW w:w="2835" w:type="dxa"/>
            <w:shd w:val="clear" w:color="auto" w:fill="DCE6F0"/>
          </w:tcPr>
          <w:p>
            <w:pPr>
              <w:pStyle w:val="TableParagraph"/>
              <w:spacing w:before="40"/>
              <w:ind w:left="67"/>
              <w:rPr>
                <w:b/>
                <w:sz w:val="20"/>
              </w:rPr>
            </w:pPr>
            <w:r>
              <w:rPr>
                <w:b/>
                <w:spacing w:val="-2"/>
                <w:sz w:val="20"/>
              </w:rPr>
              <w:t>Meta:</w:t>
            </w:r>
          </w:p>
        </w:tc>
        <w:tc>
          <w:tcPr>
            <w:tcW w:w="7514" w:type="dxa"/>
          </w:tcPr>
          <w:p>
            <w:pPr>
              <w:pStyle w:val="TableParagraph"/>
              <w:spacing w:before="40"/>
              <w:ind w:left="69"/>
              <w:rPr>
                <w:sz w:val="20"/>
              </w:rPr>
            </w:pPr>
            <w:r>
              <w:rPr>
                <w:spacing w:val="-4"/>
                <w:sz w:val="20"/>
              </w:rPr>
              <w:t>100%</w:t>
            </w:r>
          </w:p>
        </w:tc>
      </w:tr>
      <w:tr>
        <w:trPr>
          <w:trHeight w:val="314" w:hRule="atLeast"/>
        </w:trPr>
        <w:tc>
          <w:tcPr>
            <w:tcW w:w="2835" w:type="dxa"/>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7514" w:type="dxa"/>
          </w:tcPr>
          <w:p>
            <w:pPr>
              <w:pStyle w:val="TableParagraph"/>
              <w:spacing w:before="42"/>
              <w:ind w:left="69"/>
              <w:rPr>
                <w:sz w:val="20"/>
              </w:rPr>
            </w:pPr>
            <w:r>
              <w:rPr>
                <w:sz w:val="20"/>
              </w:rPr>
              <w:t>No</w:t>
            </w:r>
            <w:r>
              <w:rPr>
                <w:spacing w:val="-5"/>
                <w:sz w:val="20"/>
              </w:rPr>
              <w:t> </w:t>
            </w:r>
            <w:r>
              <w:rPr>
                <w:spacing w:val="-2"/>
                <w:sz w:val="20"/>
              </w:rPr>
              <w:t>aplica.</w:t>
            </w:r>
          </w:p>
        </w:tc>
      </w:tr>
      <w:tr>
        <w:trPr>
          <w:trHeight w:val="630" w:hRule="atLeast"/>
        </w:trPr>
        <w:tc>
          <w:tcPr>
            <w:tcW w:w="2835" w:type="dxa"/>
            <w:shd w:val="clear" w:color="auto" w:fill="DCE6F0"/>
          </w:tcPr>
          <w:p>
            <w:pPr>
              <w:pStyle w:val="TableParagraph"/>
              <w:spacing w:before="8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201"/>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835" w:type="dxa"/>
            <w:shd w:val="clear" w:color="auto" w:fill="DCE6F0"/>
          </w:tcPr>
          <w:p>
            <w:pPr>
              <w:pStyle w:val="TableParagraph"/>
              <w:spacing w:before="12"/>
              <w:rPr>
                <w:b/>
                <w:sz w:val="20"/>
              </w:rPr>
            </w:pPr>
          </w:p>
          <w:p>
            <w:pPr>
              <w:pStyle w:val="TableParagraph"/>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12"/>
              <w:rPr>
                <w:b/>
                <w:sz w:val="20"/>
              </w:rPr>
            </w:pPr>
          </w:p>
          <w:p>
            <w:pPr>
              <w:pStyle w:val="TableParagraph"/>
              <w:ind w:left="69" w:right="2852"/>
              <w:rPr>
                <w:sz w:val="20"/>
              </w:rPr>
            </w:pPr>
            <w:r>
              <w:rPr>
                <w:sz w:val="20"/>
              </w:rPr>
              <w:t>Nombre del funcionario: Diego Salazar Sánchez Cargo:</w:t>
            </w:r>
            <w:r>
              <w:rPr>
                <w:spacing w:val="-8"/>
                <w:sz w:val="20"/>
              </w:rPr>
              <w:t> </w:t>
            </w:r>
            <w:r>
              <w:rPr>
                <w:sz w:val="20"/>
              </w:rPr>
              <w:t>Asistente,</w:t>
            </w:r>
            <w:r>
              <w:rPr>
                <w:spacing w:val="-8"/>
                <w:sz w:val="20"/>
              </w:rPr>
              <w:t> </w:t>
            </w:r>
            <w:r>
              <w:rPr>
                <w:sz w:val="20"/>
              </w:rPr>
              <w:t>Dirección</w:t>
            </w:r>
            <w:r>
              <w:rPr>
                <w:spacing w:val="-8"/>
                <w:sz w:val="20"/>
              </w:rPr>
              <w:t> </w:t>
            </w:r>
            <w:r>
              <w:rPr>
                <w:sz w:val="20"/>
              </w:rPr>
              <w:t>de</w:t>
            </w:r>
            <w:r>
              <w:rPr>
                <w:spacing w:val="-11"/>
                <w:sz w:val="20"/>
              </w:rPr>
              <w:t> </w:t>
            </w:r>
            <w:r>
              <w:rPr>
                <w:sz w:val="20"/>
              </w:rPr>
              <w:t>Desarrollo</w:t>
            </w:r>
            <w:r>
              <w:rPr>
                <w:spacing w:val="-8"/>
                <w:sz w:val="20"/>
              </w:rPr>
              <w:t> </w:t>
            </w:r>
            <w:r>
              <w:rPr>
                <w:sz w:val="20"/>
              </w:rPr>
              <w:t>Social.</w:t>
            </w:r>
          </w:p>
        </w:tc>
      </w:tr>
      <w:tr>
        <w:trPr>
          <w:trHeight w:val="945" w:hRule="atLeast"/>
        </w:trPr>
        <w:tc>
          <w:tcPr>
            <w:tcW w:w="2835" w:type="dxa"/>
            <w:shd w:val="clear" w:color="auto" w:fill="DCE6F0"/>
          </w:tcPr>
          <w:p>
            <w:pPr>
              <w:pStyle w:val="TableParagraph"/>
              <w:spacing w:before="11"/>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27"/>
              <w:rPr>
                <w:b/>
                <w:sz w:val="20"/>
              </w:rPr>
            </w:pPr>
          </w:p>
          <w:p>
            <w:pPr>
              <w:pStyle w:val="TableParagraph"/>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3" w:hRule="atLeast"/>
        </w:trPr>
        <w:tc>
          <w:tcPr>
            <w:tcW w:w="2835" w:type="dxa"/>
            <w:shd w:val="clear" w:color="auto" w:fill="DCE6F0"/>
          </w:tcPr>
          <w:p>
            <w:pPr>
              <w:pStyle w:val="TableParagraph"/>
              <w:spacing w:before="42"/>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42"/>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6" w:hRule="atLeast"/>
        </w:trPr>
        <w:tc>
          <w:tcPr>
            <w:tcW w:w="2835" w:type="dxa"/>
            <w:shd w:val="clear" w:color="auto" w:fill="DCE6F0"/>
          </w:tcPr>
          <w:p>
            <w:pPr>
              <w:pStyle w:val="TableParagraph"/>
              <w:spacing w:before="42"/>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42"/>
              <w:ind w:left="69"/>
              <w:rPr>
                <w:sz w:val="20"/>
              </w:rPr>
            </w:pPr>
            <w:r>
              <w:rPr>
                <w:sz w:val="20"/>
              </w:rPr>
              <w:t>Registros</w:t>
            </w:r>
            <w:r>
              <w:rPr>
                <w:spacing w:val="-6"/>
                <w:sz w:val="20"/>
              </w:rPr>
              <w:t> </w:t>
            </w:r>
            <w:r>
              <w:rPr>
                <w:sz w:val="20"/>
              </w:rPr>
              <w:t>efectuados</w:t>
            </w:r>
            <w:r>
              <w:rPr>
                <w:spacing w:val="-7"/>
                <w:sz w:val="20"/>
              </w:rPr>
              <w:t> </w:t>
            </w:r>
            <w:r>
              <w:rPr>
                <w:sz w:val="20"/>
              </w:rPr>
              <w:t>en</w:t>
            </w:r>
            <w:r>
              <w:rPr>
                <w:spacing w:val="-7"/>
                <w:sz w:val="20"/>
              </w:rPr>
              <w:t> </w:t>
            </w:r>
            <w:r>
              <w:rPr>
                <w:sz w:val="20"/>
              </w:rPr>
              <w:t>sistema</w:t>
            </w:r>
            <w:r>
              <w:rPr>
                <w:spacing w:val="-8"/>
                <w:sz w:val="20"/>
              </w:rPr>
              <w:t> </w:t>
            </w:r>
            <w:r>
              <w:rPr>
                <w:sz w:val="20"/>
              </w:rPr>
              <w:t>de</w:t>
            </w:r>
            <w:r>
              <w:rPr>
                <w:spacing w:val="-8"/>
                <w:sz w:val="20"/>
              </w:rPr>
              <w:t> </w:t>
            </w:r>
            <w:r>
              <w:rPr>
                <w:spacing w:val="-2"/>
                <w:sz w:val="20"/>
              </w:rPr>
              <w:t>pagos.</w:t>
            </w:r>
          </w:p>
        </w:tc>
      </w:tr>
      <w:tr>
        <w:trPr>
          <w:trHeight w:val="899" w:hRule="atLeast"/>
        </w:trPr>
        <w:tc>
          <w:tcPr>
            <w:tcW w:w="2835" w:type="dxa"/>
            <w:shd w:val="clear" w:color="auto" w:fill="DCE6F0"/>
          </w:tcPr>
          <w:p>
            <w:pPr>
              <w:pStyle w:val="TableParagraph"/>
              <w:spacing w:before="103"/>
              <w:rPr>
                <w:b/>
                <w:sz w:val="20"/>
              </w:rPr>
            </w:pPr>
          </w:p>
          <w:p>
            <w:pPr>
              <w:pStyle w:val="TableParagraph"/>
              <w:ind w:left="67"/>
              <w:rPr>
                <w:b/>
                <w:sz w:val="20"/>
              </w:rPr>
            </w:pPr>
            <w:r>
              <w:rPr>
                <w:b/>
                <w:spacing w:val="-2"/>
                <w:sz w:val="20"/>
              </w:rPr>
              <w:t>Clasificación</w:t>
            </w:r>
          </w:p>
        </w:tc>
        <w:tc>
          <w:tcPr>
            <w:tcW w:w="7514" w:type="dxa"/>
          </w:tcPr>
          <w:p>
            <w:pPr>
              <w:pStyle w:val="TableParagraph"/>
              <w:spacing w:before="103"/>
              <w:rPr>
                <w:b/>
                <w:sz w:val="20"/>
              </w:rPr>
            </w:pPr>
          </w:p>
          <w:p>
            <w:pPr>
              <w:pStyle w:val="TableParagraph"/>
              <w:ind w:left="69"/>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5"/>
                <w:sz w:val="20"/>
              </w:rPr>
              <w:t> </w:t>
            </w:r>
            <w:r>
              <w:rPr>
                <w:sz w:val="20"/>
              </w:rPr>
              <w:t>Producto</w:t>
            </w:r>
            <w:r>
              <w:rPr>
                <w:spacing w:val="-8"/>
                <w:sz w:val="20"/>
              </w:rPr>
              <w:t> </w:t>
            </w:r>
            <w:r>
              <w:rPr>
                <w:spacing w:val="-5"/>
                <w:sz w:val="20"/>
              </w:rPr>
              <w:t>(X)</w:t>
            </w:r>
          </w:p>
        </w:tc>
      </w:tr>
    </w:tbl>
    <w:p>
      <w:pPr>
        <w:pStyle w:val="BodyText"/>
        <w:spacing w:before="145"/>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616" w:hRule="atLeast"/>
        </w:trPr>
        <w:tc>
          <w:tcPr>
            <w:tcW w:w="2835" w:type="dxa"/>
            <w:shd w:val="clear" w:color="auto" w:fill="DCE6F0"/>
          </w:tcPr>
          <w:p>
            <w:pPr>
              <w:pStyle w:val="TableParagraph"/>
              <w:spacing w:before="194"/>
              <w:ind w:left="67"/>
              <w:rPr>
                <w:b/>
                <w:sz w:val="20"/>
              </w:rPr>
            </w:pPr>
            <w:r>
              <w:rPr>
                <w:b/>
                <w:sz w:val="20"/>
              </w:rPr>
              <w:t>PPPS</w:t>
            </w:r>
            <w:r>
              <w:rPr>
                <w:b/>
                <w:spacing w:val="-6"/>
                <w:sz w:val="20"/>
              </w:rPr>
              <w:t> </w:t>
            </w:r>
            <w:r>
              <w:rPr>
                <w:b/>
                <w:spacing w:val="-2"/>
                <w:sz w:val="20"/>
              </w:rPr>
              <w:t>1.3.5:</w:t>
            </w:r>
          </w:p>
        </w:tc>
        <w:tc>
          <w:tcPr>
            <w:tcW w:w="7514" w:type="dxa"/>
          </w:tcPr>
          <w:p>
            <w:pPr>
              <w:pStyle w:val="TableParagraph"/>
              <w:spacing w:before="78"/>
              <w:ind w:left="69" w:right="170"/>
              <w:rPr>
                <w:sz w:val="20"/>
              </w:rPr>
            </w:pPr>
            <w:r>
              <w:rPr>
                <w:sz w:val="20"/>
              </w:rPr>
              <w:t>Nombre</w:t>
            </w:r>
            <w:r>
              <w:rPr>
                <w:spacing w:val="-4"/>
                <w:sz w:val="20"/>
              </w:rPr>
              <w:t> </w:t>
            </w:r>
            <w:r>
              <w:rPr>
                <w:sz w:val="20"/>
              </w:rPr>
              <w:t>del</w:t>
            </w:r>
            <w:r>
              <w:rPr>
                <w:spacing w:val="-6"/>
                <w:sz w:val="20"/>
              </w:rPr>
              <w:t> </w:t>
            </w:r>
            <w:r>
              <w:rPr>
                <w:sz w:val="20"/>
              </w:rPr>
              <w:t>Indicador:</w:t>
            </w:r>
            <w:r>
              <w:rPr>
                <w:spacing w:val="-4"/>
                <w:sz w:val="20"/>
              </w:rPr>
              <w:t> </w:t>
            </w:r>
            <w:r>
              <w:rPr>
                <w:sz w:val="20"/>
              </w:rPr>
              <w:t>Porcentaje</w:t>
            </w:r>
            <w:r>
              <w:rPr>
                <w:spacing w:val="-4"/>
                <w:sz w:val="20"/>
              </w:rPr>
              <w:t> </w:t>
            </w:r>
            <w:r>
              <w:rPr>
                <w:sz w:val="20"/>
              </w:rPr>
              <w:t>de</w:t>
            </w:r>
            <w:r>
              <w:rPr>
                <w:spacing w:val="-6"/>
                <w:sz w:val="20"/>
              </w:rPr>
              <w:t> </w:t>
            </w:r>
            <w:r>
              <w:rPr>
                <w:sz w:val="20"/>
              </w:rPr>
              <w:t>presupuesto</w:t>
            </w:r>
            <w:r>
              <w:rPr>
                <w:spacing w:val="-6"/>
                <w:sz w:val="20"/>
              </w:rPr>
              <w:t> </w:t>
            </w:r>
            <w:r>
              <w:rPr>
                <w:sz w:val="20"/>
              </w:rPr>
              <w:t>programado</w:t>
            </w:r>
            <w:r>
              <w:rPr>
                <w:spacing w:val="-5"/>
                <w:sz w:val="20"/>
              </w:rPr>
              <w:t> </w:t>
            </w:r>
            <w:r>
              <w:rPr>
                <w:sz w:val="20"/>
              </w:rPr>
              <w:t>que</w:t>
            </w:r>
            <w:r>
              <w:rPr>
                <w:spacing w:val="-5"/>
                <w:sz w:val="20"/>
              </w:rPr>
              <w:t> </w:t>
            </w:r>
            <w:r>
              <w:rPr>
                <w:sz w:val="20"/>
              </w:rPr>
              <w:t>se</w:t>
            </w:r>
            <w:r>
              <w:rPr>
                <w:spacing w:val="-4"/>
                <w:sz w:val="20"/>
              </w:rPr>
              <w:t> </w:t>
            </w:r>
            <w:r>
              <w:rPr>
                <w:sz w:val="20"/>
              </w:rPr>
              <w:t>invierte</w:t>
            </w:r>
            <w:r>
              <w:rPr>
                <w:spacing w:val="-5"/>
                <w:sz w:val="20"/>
              </w:rPr>
              <w:t> </w:t>
            </w:r>
            <w:r>
              <w:rPr>
                <w:sz w:val="20"/>
              </w:rPr>
              <w:t>en la construcción del edificio del ARDS Huetar Caribe</w:t>
            </w:r>
          </w:p>
        </w:tc>
      </w:tr>
    </w:tbl>
    <w:p>
      <w:pPr>
        <w:pStyle w:val="TableParagraph"/>
        <w:spacing w:after="0"/>
        <w:rPr>
          <w:sz w:val="20"/>
        </w:rPr>
        <w:sectPr>
          <w:type w:val="continuous"/>
          <w:pgSz w:w="12240" w:h="15840"/>
          <w:pgMar w:header="0" w:footer="2082" w:top="1400" w:bottom="2600"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900" w:hRule="atLeast"/>
        </w:trPr>
        <w:tc>
          <w:tcPr>
            <w:tcW w:w="2835" w:type="dxa"/>
            <w:tcBorders>
              <w:top w:val="nil"/>
            </w:tcBorders>
            <w:shd w:val="clear" w:color="auto" w:fill="DCE6F0"/>
          </w:tcPr>
          <w:p>
            <w:pPr>
              <w:pStyle w:val="TableParagraph"/>
              <w:spacing w:before="103"/>
              <w:rPr>
                <w:b/>
                <w:sz w:val="20"/>
              </w:rPr>
            </w:pPr>
          </w:p>
          <w:p>
            <w:pPr>
              <w:pStyle w:val="TableParagraph"/>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Borders>
              <w:top w:val="nil"/>
            </w:tcBorders>
          </w:tcPr>
          <w:p>
            <w:pPr>
              <w:pStyle w:val="TableParagraph"/>
              <w:spacing w:before="103"/>
              <w:ind w:left="69" w:right="644"/>
              <w:jc w:val="both"/>
              <w:rPr>
                <w:sz w:val="20"/>
              </w:rPr>
            </w:pPr>
            <w:r>
              <w:rPr>
                <w:sz w:val="20"/>
              </w:rPr>
              <w:t>Cantidad</w:t>
            </w:r>
            <w:r>
              <w:rPr>
                <w:spacing w:val="-3"/>
                <w:sz w:val="20"/>
              </w:rPr>
              <w:t> </w:t>
            </w:r>
            <w:r>
              <w:rPr>
                <w:sz w:val="20"/>
              </w:rPr>
              <w:t>de</w:t>
            </w:r>
            <w:r>
              <w:rPr>
                <w:spacing w:val="-1"/>
                <w:sz w:val="20"/>
              </w:rPr>
              <w:t> </w:t>
            </w:r>
            <w:r>
              <w:rPr>
                <w:sz w:val="20"/>
              </w:rPr>
              <w:t>presupuesto</w:t>
            </w:r>
            <w:r>
              <w:rPr>
                <w:spacing w:val="-1"/>
                <w:sz w:val="20"/>
              </w:rPr>
              <w:t> </w:t>
            </w:r>
            <w:r>
              <w:rPr>
                <w:sz w:val="20"/>
              </w:rPr>
              <w:t>ejecutado</w:t>
            </w:r>
            <w:r>
              <w:rPr>
                <w:spacing w:val="-3"/>
                <w:sz w:val="20"/>
              </w:rPr>
              <w:t> </w:t>
            </w:r>
            <w:r>
              <w:rPr>
                <w:sz w:val="20"/>
              </w:rPr>
              <w:t>en</w:t>
            </w:r>
            <w:r>
              <w:rPr>
                <w:spacing w:val="-1"/>
                <w:sz w:val="20"/>
              </w:rPr>
              <w:t> </w:t>
            </w:r>
            <w:r>
              <w:rPr>
                <w:sz w:val="20"/>
              </w:rPr>
              <w:t>la</w:t>
            </w:r>
            <w:r>
              <w:rPr>
                <w:spacing w:val="-1"/>
                <w:sz w:val="20"/>
              </w:rPr>
              <w:t> </w:t>
            </w:r>
            <w:r>
              <w:rPr>
                <w:sz w:val="20"/>
              </w:rPr>
              <w:t>construcción del</w:t>
            </w:r>
            <w:r>
              <w:rPr>
                <w:spacing w:val="-2"/>
                <w:sz w:val="20"/>
              </w:rPr>
              <w:t> </w:t>
            </w:r>
            <w:r>
              <w:rPr>
                <w:sz w:val="20"/>
              </w:rPr>
              <w:t>edificio</w:t>
            </w:r>
            <w:r>
              <w:rPr>
                <w:spacing w:val="-3"/>
                <w:sz w:val="20"/>
              </w:rPr>
              <w:t> </w:t>
            </w:r>
            <w:r>
              <w:rPr>
                <w:sz w:val="20"/>
              </w:rPr>
              <w:t>del</w:t>
            </w:r>
            <w:r>
              <w:rPr>
                <w:spacing w:val="-2"/>
                <w:sz w:val="20"/>
              </w:rPr>
              <w:t> </w:t>
            </w:r>
            <w:r>
              <w:rPr>
                <w:sz w:val="20"/>
              </w:rPr>
              <w:t>ARDS Huetar</w:t>
            </w:r>
            <w:r>
              <w:rPr>
                <w:spacing w:val="-4"/>
                <w:sz w:val="20"/>
              </w:rPr>
              <w:t> </w:t>
            </w:r>
            <w:r>
              <w:rPr>
                <w:sz w:val="20"/>
              </w:rPr>
              <w:t>Caribe</w:t>
            </w:r>
            <w:r>
              <w:rPr>
                <w:spacing w:val="-4"/>
                <w:sz w:val="20"/>
              </w:rPr>
              <w:t> </w:t>
            </w:r>
            <w:r>
              <w:rPr>
                <w:sz w:val="20"/>
              </w:rPr>
              <w:t>y</w:t>
            </w:r>
            <w:r>
              <w:rPr>
                <w:spacing w:val="-3"/>
                <w:sz w:val="20"/>
              </w:rPr>
              <w:t> </w:t>
            </w:r>
            <w:r>
              <w:rPr>
                <w:sz w:val="20"/>
              </w:rPr>
              <w:t>ULDS</w:t>
            </w:r>
            <w:r>
              <w:rPr>
                <w:spacing w:val="-2"/>
                <w:sz w:val="20"/>
              </w:rPr>
              <w:t> </w:t>
            </w:r>
            <w:r>
              <w:rPr>
                <w:sz w:val="20"/>
              </w:rPr>
              <w:t>Limón</w:t>
            </w:r>
            <w:r>
              <w:rPr>
                <w:spacing w:val="-5"/>
                <w:sz w:val="20"/>
              </w:rPr>
              <w:t> </w:t>
            </w:r>
            <w:r>
              <w:rPr>
                <w:sz w:val="20"/>
              </w:rPr>
              <w:t>/</w:t>
            </w:r>
            <w:r>
              <w:rPr>
                <w:spacing w:val="-4"/>
                <w:sz w:val="20"/>
              </w:rPr>
              <w:t> </w:t>
            </w:r>
            <w:r>
              <w:rPr>
                <w:sz w:val="20"/>
              </w:rPr>
              <w:t>Cantidad</w:t>
            </w:r>
            <w:r>
              <w:rPr>
                <w:spacing w:val="-4"/>
                <w:sz w:val="20"/>
              </w:rPr>
              <w:t> </w:t>
            </w:r>
            <w:r>
              <w:rPr>
                <w:sz w:val="20"/>
              </w:rPr>
              <w:t>de</w:t>
            </w:r>
            <w:r>
              <w:rPr>
                <w:spacing w:val="-4"/>
                <w:sz w:val="20"/>
              </w:rPr>
              <w:t> </w:t>
            </w:r>
            <w:r>
              <w:rPr>
                <w:sz w:val="20"/>
              </w:rPr>
              <w:t>presupuesto</w:t>
            </w:r>
            <w:r>
              <w:rPr>
                <w:spacing w:val="-5"/>
                <w:sz w:val="20"/>
              </w:rPr>
              <w:t> </w:t>
            </w:r>
            <w:r>
              <w:rPr>
                <w:sz w:val="20"/>
              </w:rPr>
              <w:t>programado</w:t>
            </w:r>
            <w:r>
              <w:rPr>
                <w:spacing w:val="-4"/>
                <w:sz w:val="20"/>
              </w:rPr>
              <w:t> </w:t>
            </w:r>
            <w:r>
              <w:rPr>
                <w:sz w:val="20"/>
              </w:rPr>
              <w:t>para</w:t>
            </w:r>
            <w:r>
              <w:rPr>
                <w:spacing w:val="-4"/>
                <w:sz w:val="20"/>
              </w:rPr>
              <w:t> </w:t>
            </w:r>
            <w:r>
              <w:rPr>
                <w:sz w:val="20"/>
              </w:rPr>
              <w:t>la construcción del edificio del ARDS Huetar Caribe y ULDS Limón * 100</w:t>
            </w:r>
          </w:p>
        </w:tc>
      </w:tr>
      <w:tr>
        <w:trPr>
          <w:trHeight w:val="313" w:hRule="atLeast"/>
        </w:trPr>
        <w:tc>
          <w:tcPr>
            <w:tcW w:w="2835" w:type="dxa"/>
            <w:shd w:val="clear" w:color="auto" w:fill="DCE6F0"/>
          </w:tcPr>
          <w:p>
            <w:pPr>
              <w:pStyle w:val="TableParagraph"/>
              <w:spacing w:before="42"/>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42"/>
              <w:ind w:left="69"/>
              <w:rPr>
                <w:sz w:val="20"/>
              </w:rPr>
            </w:pPr>
            <w:r>
              <w:rPr>
                <w:spacing w:val="-2"/>
                <w:sz w:val="20"/>
              </w:rPr>
              <w:t>Porcentaje</w:t>
            </w:r>
          </w:p>
        </w:tc>
      </w:tr>
      <w:tr>
        <w:trPr>
          <w:trHeight w:val="1610" w:hRule="atLeast"/>
        </w:trPr>
        <w:tc>
          <w:tcPr>
            <w:tcW w:w="2835" w:type="dxa"/>
            <w:shd w:val="clear" w:color="auto" w:fill="DCE6F0"/>
          </w:tcPr>
          <w:p>
            <w:pPr>
              <w:pStyle w:val="TableParagraph"/>
              <w:rPr>
                <w:b/>
                <w:sz w:val="20"/>
              </w:rPr>
            </w:pPr>
          </w:p>
          <w:p>
            <w:pPr>
              <w:pStyle w:val="TableParagraph"/>
              <w:rPr>
                <w:b/>
                <w:sz w:val="20"/>
              </w:rPr>
            </w:pPr>
          </w:p>
          <w:p>
            <w:pPr>
              <w:pStyle w:val="TableParagraph"/>
              <w:rPr>
                <w:b/>
                <w:sz w:val="20"/>
              </w:rPr>
            </w:pPr>
          </w:p>
          <w:p>
            <w:pPr>
              <w:pStyle w:val="TableParagraph"/>
              <w:ind w:left="67"/>
              <w:rPr>
                <w:b/>
                <w:sz w:val="20"/>
              </w:rPr>
            </w:pPr>
            <w:r>
              <w:rPr>
                <w:b/>
                <w:spacing w:val="-2"/>
                <w:sz w:val="20"/>
              </w:rPr>
              <w:t>Interpretación:</w:t>
            </w:r>
          </w:p>
        </w:tc>
        <w:tc>
          <w:tcPr>
            <w:tcW w:w="7514" w:type="dxa"/>
          </w:tcPr>
          <w:p>
            <w:pPr>
              <w:pStyle w:val="TableParagraph"/>
              <w:ind w:left="69" w:right="83"/>
              <w:rPr>
                <w:sz w:val="20"/>
              </w:rPr>
            </w:pPr>
            <w:r>
              <w:rPr>
                <w:sz w:val="20"/>
              </w:rPr>
              <w:t>El</w:t>
            </w:r>
            <w:r>
              <w:rPr>
                <w:spacing w:val="-4"/>
                <w:sz w:val="20"/>
              </w:rPr>
              <w:t> </w:t>
            </w:r>
            <w:r>
              <w:rPr>
                <w:sz w:val="20"/>
              </w:rPr>
              <w:t>porcentaje</w:t>
            </w:r>
            <w:r>
              <w:rPr>
                <w:spacing w:val="-5"/>
                <w:sz w:val="20"/>
              </w:rPr>
              <w:t> </w:t>
            </w:r>
            <w:r>
              <w:rPr>
                <w:sz w:val="20"/>
              </w:rPr>
              <w:t>de</w:t>
            </w:r>
            <w:r>
              <w:rPr>
                <w:spacing w:val="-3"/>
                <w:sz w:val="20"/>
              </w:rPr>
              <w:t> </w:t>
            </w:r>
            <w:r>
              <w:rPr>
                <w:sz w:val="20"/>
              </w:rPr>
              <w:t>ejecución</w:t>
            </w:r>
            <w:r>
              <w:rPr>
                <w:spacing w:val="-3"/>
                <w:sz w:val="20"/>
              </w:rPr>
              <w:t> </w:t>
            </w:r>
            <w:r>
              <w:rPr>
                <w:sz w:val="20"/>
              </w:rPr>
              <w:t>de</w:t>
            </w:r>
            <w:r>
              <w:rPr>
                <w:spacing w:val="-6"/>
                <w:sz w:val="20"/>
              </w:rPr>
              <w:t> </w:t>
            </w:r>
            <w:r>
              <w:rPr>
                <w:sz w:val="20"/>
              </w:rPr>
              <w:t>la</w:t>
            </w:r>
            <w:r>
              <w:rPr>
                <w:spacing w:val="-5"/>
                <w:sz w:val="20"/>
              </w:rPr>
              <w:t> </w:t>
            </w:r>
            <w:r>
              <w:rPr>
                <w:sz w:val="20"/>
              </w:rPr>
              <w:t>partida</w:t>
            </w:r>
            <w:r>
              <w:rPr>
                <w:spacing w:val="-5"/>
                <w:sz w:val="20"/>
              </w:rPr>
              <w:t> </w:t>
            </w:r>
            <w:r>
              <w:rPr>
                <w:sz w:val="20"/>
              </w:rPr>
              <w:t>edificios</w:t>
            </w:r>
            <w:r>
              <w:rPr>
                <w:spacing w:val="-4"/>
                <w:sz w:val="20"/>
              </w:rPr>
              <w:t> </w:t>
            </w:r>
            <w:r>
              <w:rPr>
                <w:sz w:val="20"/>
              </w:rPr>
              <w:t>asociada</w:t>
            </w:r>
            <w:r>
              <w:rPr>
                <w:spacing w:val="-3"/>
                <w:sz w:val="20"/>
              </w:rPr>
              <w:t> </w:t>
            </w:r>
            <w:r>
              <w:rPr>
                <w:sz w:val="20"/>
              </w:rPr>
              <w:t>a</w:t>
            </w:r>
            <w:r>
              <w:rPr>
                <w:spacing w:val="-5"/>
                <w:sz w:val="20"/>
              </w:rPr>
              <w:t> </w:t>
            </w:r>
            <w:r>
              <w:rPr>
                <w:sz w:val="20"/>
              </w:rPr>
              <w:t>proyectos</w:t>
            </w:r>
            <w:r>
              <w:rPr>
                <w:spacing w:val="-2"/>
                <w:sz w:val="20"/>
              </w:rPr>
              <w:t> </w:t>
            </w:r>
            <w:r>
              <w:rPr>
                <w:sz w:val="20"/>
              </w:rPr>
              <w:t>de</w:t>
            </w:r>
            <w:r>
              <w:rPr>
                <w:spacing w:val="-4"/>
                <w:sz w:val="20"/>
              </w:rPr>
              <w:t> </w:t>
            </w:r>
            <w:r>
              <w:rPr>
                <w:sz w:val="20"/>
              </w:rPr>
              <w:t>inversión y programados para el año 2026, destinados a desarrollar condiciones infraestructurales adecuadas en el ARDS Huetar Caribe, en “X” periodo es de </w:t>
            </w:r>
            <w:r>
              <w:rPr>
                <w:spacing w:val="-2"/>
                <w:sz w:val="20"/>
              </w:rPr>
              <w:t>“Y%”.</w:t>
            </w:r>
          </w:p>
          <w:p>
            <w:pPr>
              <w:pStyle w:val="TableParagraph"/>
              <w:spacing w:line="229" w:lineRule="exact" w:before="1"/>
              <w:ind w:left="69"/>
              <w:rPr>
                <w:sz w:val="20"/>
              </w:rPr>
            </w:pPr>
            <w:r>
              <w:rPr>
                <w:sz w:val="20"/>
              </w:rPr>
              <w:t>En</w:t>
            </w:r>
            <w:r>
              <w:rPr>
                <w:spacing w:val="-7"/>
                <w:sz w:val="20"/>
              </w:rPr>
              <w:t> </w:t>
            </w:r>
            <w:r>
              <w:rPr>
                <w:sz w:val="20"/>
              </w:rPr>
              <w:t>esta</w:t>
            </w:r>
            <w:r>
              <w:rPr>
                <w:spacing w:val="-7"/>
                <w:sz w:val="20"/>
              </w:rPr>
              <w:t> </w:t>
            </w:r>
            <w:r>
              <w:rPr>
                <w:sz w:val="20"/>
              </w:rPr>
              <w:t>“X”</w:t>
            </w:r>
            <w:r>
              <w:rPr>
                <w:spacing w:val="-7"/>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30" w:lineRule="exact"/>
              <w:ind w:left="69" w:right="170"/>
              <w:rPr>
                <w:sz w:val="20"/>
              </w:rPr>
            </w:pPr>
            <w:r>
              <w:rPr>
                <w:sz w:val="20"/>
              </w:rPr>
              <w:t>significa</w:t>
            </w:r>
            <w:r>
              <w:rPr>
                <w:spacing w:val="-3"/>
                <w:sz w:val="20"/>
              </w:rPr>
              <w:t> </w:t>
            </w:r>
            <w:r>
              <w:rPr>
                <w:sz w:val="20"/>
              </w:rPr>
              <w:t>la</w:t>
            </w:r>
            <w:r>
              <w:rPr>
                <w:spacing w:val="-3"/>
                <w:sz w:val="20"/>
              </w:rPr>
              <w:t> </w:t>
            </w:r>
            <w:r>
              <w:rPr>
                <w:sz w:val="20"/>
              </w:rPr>
              <w:t>meta</w:t>
            </w:r>
            <w:r>
              <w:rPr>
                <w:spacing w:val="-5"/>
                <w:sz w:val="20"/>
              </w:rPr>
              <w:t> </w:t>
            </w:r>
            <w:r>
              <w:rPr>
                <w:sz w:val="20"/>
              </w:rPr>
              <w:t>alcanzada</w:t>
            </w:r>
            <w:r>
              <w:rPr>
                <w:spacing w:val="-3"/>
                <w:sz w:val="20"/>
              </w:rPr>
              <w:t> </w:t>
            </w:r>
            <w:r>
              <w:rPr>
                <w:sz w:val="20"/>
              </w:rPr>
              <w:t>a</w:t>
            </w:r>
            <w:r>
              <w:rPr>
                <w:spacing w:val="-6"/>
                <w:sz w:val="20"/>
              </w:rPr>
              <w:t> </w:t>
            </w:r>
            <w:r>
              <w:rPr>
                <w:sz w:val="20"/>
              </w:rPr>
              <w:t>ese</w:t>
            </w:r>
            <w:r>
              <w:rPr>
                <w:spacing w:val="-3"/>
                <w:sz w:val="20"/>
              </w:rPr>
              <w:t> </w:t>
            </w:r>
            <w:r>
              <w:rPr>
                <w:sz w:val="20"/>
              </w:rPr>
              <w:t>momento</w:t>
            </w:r>
            <w:r>
              <w:rPr>
                <w:spacing w:val="-5"/>
                <w:sz w:val="20"/>
              </w:rPr>
              <w:t> </w:t>
            </w:r>
            <w:r>
              <w:rPr>
                <w:sz w:val="20"/>
              </w:rPr>
              <w:t>según</w:t>
            </w:r>
            <w:r>
              <w:rPr>
                <w:spacing w:val="-5"/>
                <w:sz w:val="20"/>
              </w:rPr>
              <w:t> </w:t>
            </w:r>
            <w:r>
              <w:rPr>
                <w:sz w:val="20"/>
              </w:rPr>
              <w:t>la</w:t>
            </w:r>
            <w:r>
              <w:rPr>
                <w:spacing w:val="-5"/>
                <w:sz w:val="20"/>
              </w:rPr>
              <w:t> </w:t>
            </w:r>
            <w:r>
              <w:rPr>
                <w:sz w:val="20"/>
              </w:rPr>
              <w:t>unidad</w:t>
            </w:r>
            <w:r>
              <w:rPr>
                <w:spacing w:val="-6"/>
                <w:sz w:val="20"/>
              </w:rPr>
              <w:t> </w:t>
            </w:r>
            <w:r>
              <w:rPr>
                <w:sz w:val="20"/>
              </w:rPr>
              <w:t>de</w:t>
            </w:r>
            <w:r>
              <w:rPr>
                <w:spacing w:val="-5"/>
                <w:sz w:val="20"/>
              </w:rPr>
              <w:t> </w:t>
            </w:r>
            <w:r>
              <w:rPr>
                <w:sz w:val="20"/>
              </w:rPr>
              <w:t>medida </w:t>
            </w:r>
            <w:r>
              <w:rPr>
                <w:spacing w:val="-2"/>
                <w:sz w:val="20"/>
              </w:rPr>
              <w:t>establecida.</w:t>
            </w:r>
          </w:p>
        </w:tc>
      </w:tr>
      <w:tr>
        <w:trPr>
          <w:trHeight w:val="316" w:hRule="atLeast"/>
        </w:trPr>
        <w:tc>
          <w:tcPr>
            <w:tcW w:w="2835" w:type="dxa"/>
            <w:shd w:val="clear" w:color="auto" w:fill="DCE6F0"/>
          </w:tcPr>
          <w:p>
            <w:pPr>
              <w:pStyle w:val="TableParagraph"/>
              <w:spacing w:before="42"/>
              <w:ind w:left="67"/>
              <w:rPr>
                <w:b/>
                <w:sz w:val="20"/>
              </w:rPr>
            </w:pPr>
            <w:r>
              <w:rPr>
                <w:b/>
                <w:spacing w:val="-2"/>
                <w:sz w:val="20"/>
              </w:rPr>
              <w:t>Desagregación</w:t>
            </w:r>
          </w:p>
        </w:tc>
        <w:tc>
          <w:tcPr>
            <w:tcW w:w="7514"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3" w:hRule="atLeast"/>
        </w:trPr>
        <w:tc>
          <w:tcPr>
            <w:tcW w:w="2835" w:type="dxa"/>
            <w:shd w:val="clear" w:color="auto" w:fill="DCE6F0"/>
          </w:tcPr>
          <w:p>
            <w:pPr>
              <w:pStyle w:val="TableParagraph"/>
              <w:spacing w:before="40"/>
              <w:ind w:left="67"/>
              <w:rPr>
                <w:b/>
                <w:sz w:val="20"/>
              </w:rPr>
            </w:pPr>
            <w:r>
              <w:rPr>
                <w:b/>
                <w:spacing w:val="-2"/>
                <w:sz w:val="20"/>
              </w:rPr>
              <w:t>Meta:</w:t>
            </w:r>
          </w:p>
        </w:tc>
        <w:tc>
          <w:tcPr>
            <w:tcW w:w="7514" w:type="dxa"/>
          </w:tcPr>
          <w:p>
            <w:pPr>
              <w:pStyle w:val="TableParagraph"/>
              <w:spacing w:before="40"/>
              <w:ind w:left="69"/>
              <w:rPr>
                <w:sz w:val="20"/>
              </w:rPr>
            </w:pPr>
            <w:r>
              <w:rPr>
                <w:spacing w:val="-4"/>
                <w:sz w:val="20"/>
              </w:rPr>
              <w:t>100%</w:t>
            </w:r>
          </w:p>
        </w:tc>
      </w:tr>
      <w:tr>
        <w:trPr>
          <w:trHeight w:val="314" w:hRule="atLeast"/>
        </w:trPr>
        <w:tc>
          <w:tcPr>
            <w:tcW w:w="2835" w:type="dxa"/>
            <w:shd w:val="clear" w:color="auto" w:fill="DCE6F0"/>
          </w:tcPr>
          <w:p>
            <w:pPr>
              <w:pStyle w:val="TableParagraph"/>
              <w:spacing w:before="43"/>
              <w:ind w:left="67"/>
              <w:rPr>
                <w:b/>
                <w:sz w:val="20"/>
              </w:rPr>
            </w:pPr>
            <w:r>
              <w:rPr>
                <w:b/>
                <w:sz w:val="20"/>
              </w:rPr>
              <w:t>Línea</w:t>
            </w:r>
            <w:r>
              <w:rPr>
                <w:b/>
                <w:spacing w:val="-10"/>
                <w:sz w:val="20"/>
              </w:rPr>
              <w:t> </w:t>
            </w:r>
            <w:r>
              <w:rPr>
                <w:b/>
                <w:spacing w:val="-4"/>
                <w:sz w:val="20"/>
              </w:rPr>
              <w:t>Base</w:t>
            </w:r>
          </w:p>
        </w:tc>
        <w:tc>
          <w:tcPr>
            <w:tcW w:w="7514" w:type="dxa"/>
          </w:tcPr>
          <w:p>
            <w:pPr>
              <w:pStyle w:val="TableParagraph"/>
              <w:spacing w:before="43"/>
              <w:ind w:left="69"/>
              <w:rPr>
                <w:sz w:val="20"/>
              </w:rPr>
            </w:pPr>
            <w:r>
              <w:rPr>
                <w:sz w:val="20"/>
              </w:rPr>
              <w:t>No</w:t>
            </w:r>
            <w:r>
              <w:rPr>
                <w:spacing w:val="-5"/>
                <w:sz w:val="20"/>
              </w:rPr>
              <w:t> </w:t>
            </w:r>
            <w:r>
              <w:rPr>
                <w:spacing w:val="-2"/>
                <w:sz w:val="20"/>
              </w:rPr>
              <w:t>aplica.</w:t>
            </w:r>
          </w:p>
        </w:tc>
      </w:tr>
      <w:tr>
        <w:trPr>
          <w:trHeight w:val="630" w:hRule="atLeast"/>
        </w:trPr>
        <w:tc>
          <w:tcPr>
            <w:tcW w:w="2835" w:type="dxa"/>
            <w:shd w:val="clear" w:color="auto" w:fill="DCE6F0"/>
          </w:tcPr>
          <w:p>
            <w:pPr>
              <w:pStyle w:val="TableParagraph"/>
              <w:spacing w:before="8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201"/>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835" w:type="dxa"/>
            <w:shd w:val="clear" w:color="auto" w:fill="DCE6F0"/>
          </w:tcPr>
          <w:p>
            <w:pPr>
              <w:pStyle w:val="TableParagraph"/>
              <w:spacing w:before="11"/>
              <w:rPr>
                <w:b/>
                <w:sz w:val="20"/>
              </w:rPr>
            </w:pPr>
          </w:p>
          <w:p>
            <w:pPr>
              <w:pStyle w:val="TableParagraph"/>
              <w:spacing w:before="1"/>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11"/>
              <w:rPr>
                <w:b/>
                <w:sz w:val="20"/>
              </w:rPr>
            </w:pPr>
          </w:p>
          <w:p>
            <w:pPr>
              <w:pStyle w:val="TableParagraph"/>
              <w:spacing w:before="1"/>
              <w:ind w:left="69" w:right="2852"/>
              <w:rPr>
                <w:sz w:val="20"/>
              </w:rPr>
            </w:pPr>
            <w:r>
              <w:rPr>
                <w:sz w:val="20"/>
              </w:rPr>
              <w:t>Nombre del funcionario: Diego Salazar Sánchez Cargo:</w:t>
            </w:r>
            <w:r>
              <w:rPr>
                <w:spacing w:val="-8"/>
                <w:sz w:val="20"/>
              </w:rPr>
              <w:t> </w:t>
            </w:r>
            <w:r>
              <w:rPr>
                <w:sz w:val="20"/>
              </w:rPr>
              <w:t>Asistente,</w:t>
            </w:r>
            <w:r>
              <w:rPr>
                <w:spacing w:val="-8"/>
                <w:sz w:val="20"/>
              </w:rPr>
              <w:t> </w:t>
            </w:r>
            <w:r>
              <w:rPr>
                <w:sz w:val="20"/>
              </w:rPr>
              <w:t>Dirección</w:t>
            </w:r>
            <w:r>
              <w:rPr>
                <w:spacing w:val="-8"/>
                <w:sz w:val="20"/>
              </w:rPr>
              <w:t> </w:t>
            </w:r>
            <w:r>
              <w:rPr>
                <w:sz w:val="20"/>
              </w:rPr>
              <w:t>de</w:t>
            </w:r>
            <w:r>
              <w:rPr>
                <w:spacing w:val="-11"/>
                <w:sz w:val="20"/>
              </w:rPr>
              <w:t> </w:t>
            </w:r>
            <w:r>
              <w:rPr>
                <w:sz w:val="20"/>
              </w:rPr>
              <w:t>Desarrollo</w:t>
            </w:r>
            <w:r>
              <w:rPr>
                <w:spacing w:val="-8"/>
                <w:sz w:val="20"/>
              </w:rPr>
              <w:t> </w:t>
            </w:r>
            <w:r>
              <w:rPr>
                <w:sz w:val="20"/>
              </w:rPr>
              <w:t>Social.</w:t>
            </w:r>
          </w:p>
        </w:tc>
      </w:tr>
      <w:tr>
        <w:trPr>
          <w:trHeight w:val="945" w:hRule="atLeast"/>
        </w:trPr>
        <w:tc>
          <w:tcPr>
            <w:tcW w:w="2835" w:type="dxa"/>
            <w:shd w:val="clear" w:color="auto" w:fill="DCE6F0"/>
          </w:tcPr>
          <w:p>
            <w:pPr>
              <w:pStyle w:val="TableParagraph"/>
              <w:spacing w:before="11"/>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27"/>
              <w:rPr>
                <w:b/>
                <w:sz w:val="20"/>
              </w:rPr>
            </w:pPr>
          </w:p>
          <w:p>
            <w:pPr>
              <w:pStyle w:val="TableParagraph"/>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4" w:hRule="atLeast"/>
        </w:trPr>
        <w:tc>
          <w:tcPr>
            <w:tcW w:w="2835" w:type="dxa"/>
            <w:shd w:val="clear" w:color="auto" w:fill="DCE6F0"/>
          </w:tcPr>
          <w:p>
            <w:pPr>
              <w:pStyle w:val="TableParagraph"/>
              <w:spacing w:before="42"/>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42"/>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6" w:hRule="atLeast"/>
        </w:trPr>
        <w:tc>
          <w:tcPr>
            <w:tcW w:w="2835" w:type="dxa"/>
            <w:shd w:val="clear" w:color="auto" w:fill="DCE6F0"/>
          </w:tcPr>
          <w:p>
            <w:pPr>
              <w:pStyle w:val="TableParagraph"/>
              <w:spacing w:before="42"/>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42"/>
              <w:ind w:left="69"/>
              <w:rPr>
                <w:sz w:val="20"/>
              </w:rPr>
            </w:pPr>
            <w:r>
              <w:rPr>
                <w:sz w:val="20"/>
              </w:rPr>
              <w:t>Registros</w:t>
            </w:r>
            <w:r>
              <w:rPr>
                <w:spacing w:val="-6"/>
                <w:sz w:val="20"/>
              </w:rPr>
              <w:t> </w:t>
            </w:r>
            <w:r>
              <w:rPr>
                <w:sz w:val="20"/>
              </w:rPr>
              <w:t>efectuados</w:t>
            </w:r>
            <w:r>
              <w:rPr>
                <w:spacing w:val="-7"/>
                <w:sz w:val="20"/>
              </w:rPr>
              <w:t> </w:t>
            </w:r>
            <w:r>
              <w:rPr>
                <w:sz w:val="20"/>
              </w:rPr>
              <w:t>en</w:t>
            </w:r>
            <w:r>
              <w:rPr>
                <w:spacing w:val="-7"/>
                <w:sz w:val="20"/>
              </w:rPr>
              <w:t> </w:t>
            </w:r>
            <w:r>
              <w:rPr>
                <w:sz w:val="20"/>
              </w:rPr>
              <w:t>sistema</w:t>
            </w:r>
            <w:r>
              <w:rPr>
                <w:spacing w:val="-8"/>
                <w:sz w:val="20"/>
              </w:rPr>
              <w:t> </w:t>
            </w:r>
            <w:r>
              <w:rPr>
                <w:sz w:val="20"/>
              </w:rPr>
              <w:t>de</w:t>
            </w:r>
            <w:r>
              <w:rPr>
                <w:spacing w:val="-8"/>
                <w:sz w:val="20"/>
              </w:rPr>
              <w:t> </w:t>
            </w:r>
            <w:r>
              <w:rPr>
                <w:spacing w:val="-2"/>
                <w:sz w:val="20"/>
              </w:rPr>
              <w:t>pagos.</w:t>
            </w:r>
          </w:p>
        </w:tc>
      </w:tr>
      <w:tr>
        <w:trPr>
          <w:trHeight w:val="900" w:hRule="atLeast"/>
        </w:trPr>
        <w:tc>
          <w:tcPr>
            <w:tcW w:w="2835" w:type="dxa"/>
            <w:shd w:val="clear" w:color="auto" w:fill="DCE6F0"/>
          </w:tcPr>
          <w:p>
            <w:pPr>
              <w:pStyle w:val="TableParagraph"/>
              <w:spacing w:before="103"/>
              <w:rPr>
                <w:b/>
                <w:sz w:val="20"/>
              </w:rPr>
            </w:pPr>
          </w:p>
          <w:p>
            <w:pPr>
              <w:pStyle w:val="TableParagraph"/>
              <w:ind w:left="67"/>
              <w:rPr>
                <w:b/>
                <w:sz w:val="20"/>
              </w:rPr>
            </w:pPr>
            <w:r>
              <w:rPr>
                <w:b/>
                <w:spacing w:val="-2"/>
                <w:sz w:val="20"/>
              </w:rPr>
              <w:t>Clasificación</w:t>
            </w:r>
          </w:p>
        </w:tc>
        <w:tc>
          <w:tcPr>
            <w:tcW w:w="7514" w:type="dxa"/>
          </w:tcPr>
          <w:p>
            <w:pPr>
              <w:pStyle w:val="TableParagraph"/>
              <w:spacing w:before="103"/>
              <w:rPr>
                <w:b/>
                <w:sz w:val="20"/>
              </w:rPr>
            </w:pPr>
          </w:p>
          <w:p>
            <w:pPr>
              <w:pStyle w:val="TableParagraph"/>
              <w:ind w:left="69"/>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5"/>
                <w:sz w:val="20"/>
              </w:rPr>
              <w:t> </w:t>
            </w:r>
            <w:r>
              <w:rPr>
                <w:sz w:val="20"/>
              </w:rPr>
              <w:t>Producto</w:t>
            </w:r>
            <w:r>
              <w:rPr>
                <w:spacing w:val="-8"/>
                <w:sz w:val="20"/>
              </w:rPr>
              <w:t> </w:t>
            </w:r>
            <w:r>
              <w:rPr>
                <w:spacing w:val="-5"/>
                <w:sz w:val="20"/>
              </w:rPr>
              <w:t>(X)</w:t>
            </w:r>
          </w:p>
        </w:tc>
      </w:tr>
      <w:tr>
        <w:trPr>
          <w:trHeight w:val="316" w:hRule="atLeast"/>
        </w:trPr>
        <w:tc>
          <w:tcPr>
            <w:tcW w:w="2835" w:type="dxa"/>
            <w:shd w:val="clear" w:color="auto" w:fill="DCE6F0"/>
          </w:tcPr>
          <w:p>
            <w:pPr>
              <w:pStyle w:val="TableParagraph"/>
              <w:spacing w:before="42"/>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rPr>
                <w:rFonts w:ascii="Times New Roman"/>
                <w:sz w:val="20"/>
              </w:rPr>
            </w:pPr>
          </w:p>
        </w:tc>
      </w:tr>
    </w:tbl>
    <w:p>
      <w:pPr>
        <w:pStyle w:val="BodyText"/>
        <w:spacing w:before="160"/>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599" w:hRule="atLeast"/>
        </w:trPr>
        <w:tc>
          <w:tcPr>
            <w:tcW w:w="2835" w:type="dxa"/>
            <w:shd w:val="clear" w:color="auto" w:fill="DCE6F0"/>
          </w:tcPr>
          <w:p>
            <w:pPr>
              <w:pStyle w:val="TableParagraph"/>
              <w:spacing w:before="184"/>
              <w:ind w:left="67"/>
              <w:rPr>
                <w:b/>
                <w:sz w:val="20"/>
              </w:rPr>
            </w:pPr>
            <w:r>
              <w:rPr>
                <w:b/>
                <w:sz w:val="20"/>
              </w:rPr>
              <w:t>PPPS</w:t>
            </w:r>
            <w:r>
              <w:rPr>
                <w:b/>
                <w:spacing w:val="-6"/>
                <w:sz w:val="20"/>
              </w:rPr>
              <w:t> </w:t>
            </w:r>
            <w:r>
              <w:rPr>
                <w:b/>
                <w:spacing w:val="-2"/>
                <w:sz w:val="20"/>
              </w:rPr>
              <w:t>1.3.6:</w:t>
            </w:r>
          </w:p>
        </w:tc>
        <w:tc>
          <w:tcPr>
            <w:tcW w:w="7514" w:type="dxa"/>
          </w:tcPr>
          <w:p>
            <w:pPr>
              <w:pStyle w:val="TableParagraph"/>
              <w:spacing w:before="69"/>
              <w:ind w:left="69" w:right="170"/>
              <w:rPr>
                <w:sz w:val="20"/>
              </w:rPr>
            </w:pPr>
            <w:r>
              <w:rPr>
                <w:sz w:val="20"/>
              </w:rPr>
              <w:t>Nombre</w:t>
            </w:r>
            <w:r>
              <w:rPr>
                <w:spacing w:val="-4"/>
                <w:sz w:val="20"/>
              </w:rPr>
              <w:t> </w:t>
            </w:r>
            <w:r>
              <w:rPr>
                <w:sz w:val="20"/>
              </w:rPr>
              <w:t>del</w:t>
            </w:r>
            <w:r>
              <w:rPr>
                <w:spacing w:val="-6"/>
                <w:sz w:val="20"/>
              </w:rPr>
              <w:t> </w:t>
            </w:r>
            <w:r>
              <w:rPr>
                <w:sz w:val="20"/>
              </w:rPr>
              <w:t>Indicador:</w:t>
            </w:r>
            <w:r>
              <w:rPr>
                <w:spacing w:val="-4"/>
                <w:sz w:val="20"/>
              </w:rPr>
              <w:t> </w:t>
            </w:r>
            <w:r>
              <w:rPr>
                <w:sz w:val="20"/>
              </w:rPr>
              <w:t>Porcentaje</w:t>
            </w:r>
            <w:r>
              <w:rPr>
                <w:spacing w:val="-4"/>
                <w:sz w:val="20"/>
              </w:rPr>
              <w:t> </w:t>
            </w:r>
            <w:r>
              <w:rPr>
                <w:sz w:val="20"/>
              </w:rPr>
              <w:t>de</w:t>
            </w:r>
            <w:r>
              <w:rPr>
                <w:spacing w:val="-6"/>
                <w:sz w:val="20"/>
              </w:rPr>
              <w:t> </w:t>
            </w:r>
            <w:r>
              <w:rPr>
                <w:sz w:val="20"/>
              </w:rPr>
              <w:t>presupuesto</w:t>
            </w:r>
            <w:r>
              <w:rPr>
                <w:spacing w:val="-6"/>
                <w:sz w:val="20"/>
              </w:rPr>
              <w:t> </w:t>
            </w:r>
            <w:r>
              <w:rPr>
                <w:sz w:val="20"/>
              </w:rPr>
              <w:t>programado</w:t>
            </w:r>
            <w:r>
              <w:rPr>
                <w:spacing w:val="-5"/>
                <w:sz w:val="20"/>
              </w:rPr>
              <w:t> </w:t>
            </w:r>
            <w:r>
              <w:rPr>
                <w:sz w:val="20"/>
              </w:rPr>
              <w:t>que</w:t>
            </w:r>
            <w:r>
              <w:rPr>
                <w:spacing w:val="-5"/>
                <w:sz w:val="20"/>
              </w:rPr>
              <w:t> </w:t>
            </w:r>
            <w:r>
              <w:rPr>
                <w:sz w:val="20"/>
              </w:rPr>
              <w:t>se</w:t>
            </w:r>
            <w:r>
              <w:rPr>
                <w:spacing w:val="-4"/>
                <w:sz w:val="20"/>
              </w:rPr>
              <w:t> </w:t>
            </w:r>
            <w:r>
              <w:rPr>
                <w:sz w:val="20"/>
              </w:rPr>
              <w:t>invierte</w:t>
            </w:r>
            <w:r>
              <w:rPr>
                <w:spacing w:val="-5"/>
                <w:sz w:val="20"/>
              </w:rPr>
              <w:t> </w:t>
            </w:r>
            <w:r>
              <w:rPr>
                <w:sz w:val="20"/>
              </w:rPr>
              <w:t>en la construcción del edificio del ARDS Central Occidente.</w:t>
            </w:r>
          </w:p>
        </w:tc>
      </w:tr>
      <w:tr>
        <w:trPr>
          <w:trHeight w:val="690" w:hRule="atLeast"/>
        </w:trPr>
        <w:tc>
          <w:tcPr>
            <w:tcW w:w="2835" w:type="dxa"/>
            <w:shd w:val="clear" w:color="auto" w:fill="DCE6F0"/>
          </w:tcPr>
          <w:p>
            <w:pPr>
              <w:pStyle w:val="TableParagraph"/>
              <w:spacing w:before="230"/>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line="230" w:lineRule="exact"/>
              <w:ind w:left="69" w:right="83"/>
              <w:rPr>
                <w:sz w:val="20"/>
              </w:rPr>
            </w:pPr>
            <w:r>
              <w:rPr>
                <w:sz w:val="20"/>
              </w:rPr>
              <w:t>Cantidad de presupuesto ejecutado en la construcción del edificio del ARDS Central</w:t>
            </w:r>
            <w:r>
              <w:rPr>
                <w:spacing w:val="-7"/>
                <w:sz w:val="20"/>
              </w:rPr>
              <w:t> </w:t>
            </w:r>
            <w:r>
              <w:rPr>
                <w:sz w:val="20"/>
              </w:rPr>
              <w:t>Occidente</w:t>
            </w:r>
            <w:r>
              <w:rPr>
                <w:spacing w:val="-7"/>
                <w:sz w:val="20"/>
              </w:rPr>
              <w:t> </w:t>
            </w:r>
            <w:r>
              <w:rPr>
                <w:sz w:val="20"/>
              </w:rPr>
              <w:t>/</w:t>
            </w:r>
            <w:r>
              <w:rPr>
                <w:spacing w:val="-4"/>
                <w:sz w:val="20"/>
              </w:rPr>
              <w:t> </w:t>
            </w:r>
            <w:r>
              <w:rPr>
                <w:sz w:val="20"/>
              </w:rPr>
              <w:t>Cantidad</w:t>
            </w:r>
            <w:r>
              <w:rPr>
                <w:spacing w:val="-7"/>
                <w:sz w:val="20"/>
              </w:rPr>
              <w:t> </w:t>
            </w:r>
            <w:r>
              <w:rPr>
                <w:sz w:val="20"/>
              </w:rPr>
              <w:t>de</w:t>
            </w:r>
            <w:r>
              <w:rPr>
                <w:spacing w:val="-6"/>
                <w:sz w:val="20"/>
              </w:rPr>
              <w:t> </w:t>
            </w:r>
            <w:r>
              <w:rPr>
                <w:sz w:val="20"/>
              </w:rPr>
              <w:t>presupuesto</w:t>
            </w:r>
            <w:r>
              <w:rPr>
                <w:spacing w:val="-4"/>
                <w:sz w:val="20"/>
              </w:rPr>
              <w:t> </w:t>
            </w:r>
            <w:r>
              <w:rPr>
                <w:sz w:val="20"/>
              </w:rPr>
              <w:t>programado</w:t>
            </w:r>
            <w:r>
              <w:rPr>
                <w:spacing w:val="-4"/>
                <w:sz w:val="20"/>
              </w:rPr>
              <w:t> </w:t>
            </w:r>
            <w:r>
              <w:rPr>
                <w:sz w:val="20"/>
              </w:rPr>
              <w:t>para</w:t>
            </w:r>
            <w:r>
              <w:rPr>
                <w:spacing w:val="-4"/>
                <w:sz w:val="20"/>
              </w:rPr>
              <w:t> </w:t>
            </w:r>
            <w:r>
              <w:rPr>
                <w:sz w:val="20"/>
              </w:rPr>
              <w:t>la</w:t>
            </w:r>
            <w:r>
              <w:rPr>
                <w:spacing w:val="-4"/>
                <w:sz w:val="20"/>
              </w:rPr>
              <w:t> </w:t>
            </w:r>
            <w:r>
              <w:rPr>
                <w:sz w:val="20"/>
              </w:rPr>
              <w:t>construcción</w:t>
            </w:r>
            <w:r>
              <w:rPr>
                <w:spacing w:val="-2"/>
                <w:sz w:val="20"/>
              </w:rPr>
              <w:t> </w:t>
            </w:r>
            <w:r>
              <w:rPr>
                <w:sz w:val="20"/>
              </w:rPr>
              <w:t>del edificio del ARDS Central Occidente * 100</w:t>
            </w:r>
          </w:p>
        </w:tc>
      </w:tr>
      <w:tr>
        <w:trPr>
          <w:trHeight w:val="314" w:hRule="atLeast"/>
        </w:trPr>
        <w:tc>
          <w:tcPr>
            <w:tcW w:w="2835" w:type="dxa"/>
            <w:shd w:val="clear" w:color="auto" w:fill="DCE6F0"/>
          </w:tcPr>
          <w:p>
            <w:pPr>
              <w:pStyle w:val="TableParagraph"/>
              <w:spacing w:before="40"/>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40"/>
              <w:ind w:left="69"/>
              <w:rPr>
                <w:sz w:val="20"/>
              </w:rPr>
            </w:pPr>
            <w:r>
              <w:rPr>
                <w:spacing w:val="-2"/>
                <w:sz w:val="20"/>
              </w:rPr>
              <w:t>Porcentaje</w:t>
            </w:r>
          </w:p>
        </w:tc>
      </w:tr>
    </w:tbl>
    <w:p>
      <w:pPr>
        <w:pStyle w:val="TableParagraph"/>
        <w:spacing w:after="0"/>
        <w:rPr>
          <w:sz w:val="20"/>
        </w:rPr>
        <w:sectPr>
          <w:type w:val="continuous"/>
          <w:pgSz w:w="12240" w:h="15840"/>
          <w:pgMar w:header="0" w:footer="2082" w:top="1400" w:bottom="3339"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1610" w:hRule="atLeast"/>
        </w:trPr>
        <w:tc>
          <w:tcPr>
            <w:tcW w:w="2835" w:type="dxa"/>
            <w:shd w:val="clear" w:color="auto" w:fill="DCE6F0"/>
          </w:tcPr>
          <w:p>
            <w:pPr>
              <w:pStyle w:val="TableParagraph"/>
              <w:rPr>
                <w:b/>
                <w:sz w:val="20"/>
              </w:rPr>
            </w:pPr>
          </w:p>
          <w:p>
            <w:pPr>
              <w:pStyle w:val="TableParagraph"/>
              <w:spacing w:before="228"/>
              <w:rPr>
                <w:b/>
                <w:sz w:val="20"/>
              </w:rPr>
            </w:pPr>
          </w:p>
          <w:p>
            <w:pPr>
              <w:pStyle w:val="TableParagraph"/>
              <w:ind w:left="67"/>
              <w:rPr>
                <w:b/>
                <w:sz w:val="20"/>
              </w:rPr>
            </w:pPr>
            <w:r>
              <w:rPr>
                <w:b/>
                <w:spacing w:val="-2"/>
                <w:sz w:val="20"/>
              </w:rPr>
              <w:t>Interpretación:</w:t>
            </w:r>
          </w:p>
        </w:tc>
        <w:tc>
          <w:tcPr>
            <w:tcW w:w="7514" w:type="dxa"/>
          </w:tcPr>
          <w:p>
            <w:pPr>
              <w:pStyle w:val="TableParagraph"/>
              <w:ind w:left="69" w:right="83"/>
              <w:rPr>
                <w:sz w:val="20"/>
              </w:rPr>
            </w:pPr>
            <w:r>
              <w:rPr>
                <w:sz w:val="20"/>
              </w:rPr>
              <w:t>El</w:t>
            </w:r>
            <w:r>
              <w:rPr>
                <w:spacing w:val="-4"/>
                <w:sz w:val="20"/>
              </w:rPr>
              <w:t> </w:t>
            </w:r>
            <w:r>
              <w:rPr>
                <w:sz w:val="20"/>
              </w:rPr>
              <w:t>porcentaje</w:t>
            </w:r>
            <w:r>
              <w:rPr>
                <w:spacing w:val="-5"/>
                <w:sz w:val="20"/>
              </w:rPr>
              <w:t> </w:t>
            </w:r>
            <w:r>
              <w:rPr>
                <w:sz w:val="20"/>
              </w:rPr>
              <w:t>de</w:t>
            </w:r>
            <w:r>
              <w:rPr>
                <w:spacing w:val="-3"/>
                <w:sz w:val="20"/>
              </w:rPr>
              <w:t> </w:t>
            </w:r>
            <w:r>
              <w:rPr>
                <w:sz w:val="20"/>
              </w:rPr>
              <w:t>ejecución</w:t>
            </w:r>
            <w:r>
              <w:rPr>
                <w:spacing w:val="-3"/>
                <w:sz w:val="20"/>
              </w:rPr>
              <w:t> </w:t>
            </w:r>
            <w:r>
              <w:rPr>
                <w:sz w:val="20"/>
              </w:rPr>
              <w:t>de</w:t>
            </w:r>
            <w:r>
              <w:rPr>
                <w:spacing w:val="-6"/>
                <w:sz w:val="20"/>
              </w:rPr>
              <w:t> </w:t>
            </w:r>
            <w:r>
              <w:rPr>
                <w:sz w:val="20"/>
              </w:rPr>
              <w:t>la</w:t>
            </w:r>
            <w:r>
              <w:rPr>
                <w:spacing w:val="-5"/>
                <w:sz w:val="20"/>
              </w:rPr>
              <w:t> </w:t>
            </w:r>
            <w:r>
              <w:rPr>
                <w:sz w:val="20"/>
              </w:rPr>
              <w:t>partida</w:t>
            </w:r>
            <w:r>
              <w:rPr>
                <w:spacing w:val="-5"/>
                <w:sz w:val="20"/>
              </w:rPr>
              <w:t> </w:t>
            </w:r>
            <w:r>
              <w:rPr>
                <w:sz w:val="20"/>
              </w:rPr>
              <w:t>edificios</w:t>
            </w:r>
            <w:r>
              <w:rPr>
                <w:spacing w:val="-4"/>
                <w:sz w:val="20"/>
              </w:rPr>
              <w:t> </w:t>
            </w:r>
            <w:r>
              <w:rPr>
                <w:sz w:val="20"/>
              </w:rPr>
              <w:t>asociada</w:t>
            </w:r>
            <w:r>
              <w:rPr>
                <w:spacing w:val="-3"/>
                <w:sz w:val="20"/>
              </w:rPr>
              <w:t> </w:t>
            </w:r>
            <w:r>
              <w:rPr>
                <w:sz w:val="20"/>
              </w:rPr>
              <w:t>a</w:t>
            </w:r>
            <w:r>
              <w:rPr>
                <w:spacing w:val="-5"/>
                <w:sz w:val="20"/>
              </w:rPr>
              <w:t> </w:t>
            </w:r>
            <w:r>
              <w:rPr>
                <w:sz w:val="20"/>
              </w:rPr>
              <w:t>proyectos</w:t>
            </w:r>
            <w:r>
              <w:rPr>
                <w:spacing w:val="-2"/>
                <w:sz w:val="20"/>
              </w:rPr>
              <w:t> </w:t>
            </w:r>
            <w:r>
              <w:rPr>
                <w:sz w:val="20"/>
              </w:rPr>
              <w:t>de</w:t>
            </w:r>
            <w:r>
              <w:rPr>
                <w:spacing w:val="-4"/>
                <w:sz w:val="20"/>
              </w:rPr>
              <w:t> </w:t>
            </w:r>
            <w:r>
              <w:rPr>
                <w:sz w:val="20"/>
              </w:rPr>
              <w:t>inversión y programados para el año 2027, destinados a desarrollar condiciones infraestructurales adecuadas del ARDS Central Occidente, en “X” periodo es de </w:t>
            </w:r>
            <w:r>
              <w:rPr>
                <w:spacing w:val="-2"/>
                <w:sz w:val="20"/>
              </w:rPr>
              <w:t>“Y%”.</w:t>
            </w:r>
          </w:p>
          <w:p>
            <w:pPr>
              <w:pStyle w:val="TableParagraph"/>
              <w:spacing w:line="230" w:lineRule="exact"/>
              <w:ind w:left="69" w:right="93"/>
              <w:rPr>
                <w:sz w:val="20"/>
              </w:rPr>
            </w:pPr>
            <w:r>
              <w:rPr>
                <w:sz w:val="20"/>
              </w:rPr>
              <w:t>En</w:t>
            </w:r>
            <w:r>
              <w:rPr>
                <w:spacing w:val="-4"/>
                <w:sz w:val="20"/>
              </w:rPr>
              <w:t> </w:t>
            </w:r>
            <w:r>
              <w:rPr>
                <w:sz w:val="20"/>
              </w:rPr>
              <w:t>esta</w:t>
            </w:r>
            <w:r>
              <w:rPr>
                <w:spacing w:val="-4"/>
                <w:sz w:val="20"/>
              </w:rPr>
              <w:t> </w:t>
            </w:r>
            <w:r>
              <w:rPr>
                <w:sz w:val="20"/>
              </w:rPr>
              <w:t>“X”</w:t>
            </w:r>
            <w:r>
              <w:rPr>
                <w:spacing w:val="-4"/>
                <w:sz w:val="20"/>
              </w:rPr>
              <w:t> </w:t>
            </w:r>
            <w:r>
              <w:rPr>
                <w:sz w:val="20"/>
              </w:rPr>
              <w:t>representa</w:t>
            </w:r>
            <w:r>
              <w:rPr>
                <w:spacing w:val="-2"/>
                <w:sz w:val="20"/>
              </w:rPr>
              <w:t> </w:t>
            </w:r>
            <w:r>
              <w:rPr>
                <w:sz w:val="20"/>
              </w:rPr>
              <w:t>el</w:t>
            </w:r>
            <w:r>
              <w:rPr>
                <w:spacing w:val="-3"/>
                <w:sz w:val="20"/>
              </w:rPr>
              <w:t> </w:t>
            </w:r>
            <w:r>
              <w:rPr>
                <w:sz w:val="20"/>
              </w:rPr>
              <w:t>período</w:t>
            </w:r>
            <w:r>
              <w:rPr>
                <w:spacing w:val="-3"/>
                <w:sz w:val="20"/>
              </w:rPr>
              <w:t> </w:t>
            </w:r>
            <w:r>
              <w:rPr>
                <w:sz w:val="20"/>
              </w:rPr>
              <w:t>de</w:t>
            </w:r>
            <w:r>
              <w:rPr>
                <w:spacing w:val="-5"/>
                <w:sz w:val="20"/>
              </w:rPr>
              <w:t> </w:t>
            </w:r>
            <w:r>
              <w:rPr>
                <w:sz w:val="20"/>
              </w:rPr>
              <w:t>tiempo</w:t>
            </w:r>
            <w:r>
              <w:rPr>
                <w:spacing w:val="-2"/>
                <w:sz w:val="20"/>
              </w:rPr>
              <w:t> </w:t>
            </w:r>
            <w:r>
              <w:rPr>
                <w:sz w:val="20"/>
              </w:rPr>
              <w:t>según</w:t>
            </w:r>
            <w:r>
              <w:rPr>
                <w:spacing w:val="-4"/>
                <w:sz w:val="20"/>
              </w:rPr>
              <w:t> </w:t>
            </w:r>
            <w:r>
              <w:rPr>
                <w:sz w:val="20"/>
              </w:rPr>
              <w:t>la</w:t>
            </w:r>
            <w:r>
              <w:rPr>
                <w:spacing w:val="-4"/>
                <w:sz w:val="20"/>
              </w:rPr>
              <w:t> </w:t>
            </w:r>
            <w:r>
              <w:rPr>
                <w:sz w:val="20"/>
              </w:rPr>
              <w:t>frecuencia</w:t>
            </w:r>
            <w:r>
              <w:rPr>
                <w:spacing w:val="-2"/>
                <w:sz w:val="20"/>
              </w:rPr>
              <w:t> </w:t>
            </w:r>
            <w:r>
              <w:rPr>
                <w:sz w:val="20"/>
              </w:rPr>
              <w:t>de</w:t>
            </w:r>
            <w:r>
              <w:rPr>
                <w:spacing w:val="-3"/>
                <w:sz w:val="20"/>
              </w:rPr>
              <w:t> </w:t>
            </w:r>
            <w:r>
              <w:rPr>
                <w:sz w:val="20"/>
              </w:rPr>
              <w:t>medición,</w:t>
            </w:r>
            <w:r>
              <w:rPr>
                <w:spacing w:val="-4"/>
                <w:sz w:val="20"/>
              </w:rPr>
              <w:t> </w:t>
            </w:r>
            <w:r>
              <w:rPr>
                <w:sz w:val="20"/>
              </w:rPr>
              <w:t>y</w:t>
            </w:r>
            <w:r>
              <w:rPr>
                <w:spacing w:val="-3"/>
                <w:sz w:val="20"/>
              </w:rPr>
              <w:t> </w:t>
            </w:r>
            <w:r>
              <w:rPr>
                <w:sz w:val="20"/>
              </w:rPr>
              <w:t>“Y” significa la meta alcanzada a ese momento según la unidad de medida </w:t>
            </w:r>
            <w:r>
              <w:rPr>
                <w:spacing w:val="-2"/>
                <w:sz w:val="20"/>
              </w:rPr>
              <w:t>establecida.</w:t>
            </w:r>
          </w:p>
        </w:tc>
      </w:tr>
      <w:tr>
        <w:trPr>
          <w:trHeight w:val="313" w:hRule="atLeast"/>
        </w:trPr>
        <w:tc>
          <w:tcPr>
            <w:tcW w:w="2835" w:type="dxa"/>
            <w:shd w:val="clear" w:color="auto" w:fill="DCE6F0"/>
          </w:tcPr>
          <w:p>
            <w:pPr>
              <w:pStyle w:val="TableParagraph"/>
              <w:spacing w:before="40"/>
              <w:ind w:left="67"/>
              <w:rPr>
                <w:b/>
                <w:sz w:val="20"/>
              </w:rPr>
            </w:pPr>
            <w:r>
              <w:rPr>
                <w:b/>
                <w:spacing w:val="-2"/>
                <w:sz w:val="20"/>
              </w:rPr>
              <w:t>Desagregación</w:t>
            </w:r>
          </w:p>
        </w:tc>
        <w:tc>
          <w:tcPr>
            <w:tcW w:w="7514" w:type="dxa"/>
          </w:tcPr>
          <w:p>
            <w:pPr>
              <w:pStyle w:val="TableParagraph"/>
              <w:spacing w:before="40"/>
              <w:ind w:left="69"/>
              <w:rPr>
                <w:sz w:val="20"/>
              </w:rPr>
            </w:pPr>
            <w:r>
              <w:rPr>
                <w:sz w:val="20"/>
              </w:rPr>
              <w:t>No</w:t>
            </w:r>
            <w:r>
              <w:rPr>
                <w:spacing w:val="-5"/>
                <w:sz w:val="20"/>
              </w:rPr>
              <w:t> </w:t>
            </w:r>
            <w:r>
              <w:rPr>
                <w:spacing w:val="-2"/>
                <w:sz w:val="20"/>
              </w:rPr>
              <w:t>aplica.</w:t>
            </w:r>
          </w:p>
        </w:tc>
      </w:tr>
      <w:tr>
        <w:trPr>
          <w:trHeight w:val="316" w:hRule="atLeast"/>
        </w:trPr>
        <w:tc>
          <w:tcPr>
            <w:tcW w:w="2835" w:type="dxa"/>
            <w:shd w:val="clear" w:color="auto" w:fill="DCE6F0"/>
          </w:tcPr>
          <w:p>
            <w:pPr>
              <w:pStyle w:val="TableParagraph"/>
              <w:spacing w:before="42"/>
              <w:ind w:left="67"/>
              <w:rPr>
                <w:b/>
                <w:sz w:val="20"/>
              </w:rPr>
            </w:pPr>
            <w:r>
              <w:rPr>
                <w:b/>
                <w:spacing w:val="-2"/>
                <w:sz w:val="20"/>
              </w:rPr>
              <w:t>Meta:</w:t>
            </w:r>
          </w:p>
        </w:tc>
        <w:tc>
          <w:tcPr>
            <w:tcW w:w="7514" w:type="dxa"/>
          </w:tcPr>
          <w:p>
            <w:pPr>
              <w:pStyle w:val="TableParagraph"/>
              <w:spacing w:before="42"/>
              <w:ind w:left="69"/>
              <w:rPr>
                <w:sz w:val="20"/>
              </w:rPr>
            </w:pPr>
            <w:r>
              <w:rPr>
                <w:spacing w:val="-4"/>
                <w:sz w:val="20"/>
              </w:rPr>
              <w:t>100%</w:t>
            </w:r>
          </w:p>
        </w:tc>
      </w:tr>
      <w:tr>
        <w:trPr>
          <w:trHeight w:val="313" w:hRule="atLeast"/>
        </w:trPr>
        <w:tc>
          <w:tcPr>
            <w:tcW w:w="2835" w:type="dxa"/>
            <w:shd w:val="clear" w:color="auto" w:fill="DCE6F0"/>
          </w:tcPr>
          <w:p>
            <w:pPr>
              <w:pStyle w:val="TableParagraph"/>
              <w:spacing w:before="40"/>
              <w:ind w:left="67"/>
              <w:rPr>
                <w:b/>
                <w:sz w:val="20"/>
              </w:rPr>
            </w:pPr>
            <w:r>
              <w:rPr>
                <w:b/>
                <w:sz w:val="20"/>
              </w:rPr>
              <w:t>Línea</w:t>
            </w:r>
            <w:r>
              <w:rPr>
                <w:b/>
                <w:spacing w:val="-10"/>
                <w:sz w:val="20"/>
              </w:rPr>
              <w:t> </w:t>
            </w:r>
            <w:r>
              <w:rPr>
                <w:b/>
                <w:spacing w:val="-4"/>
                <w:sz w:val="20"/>
              </w:rPr>
              <w:t>Base</w:t>
            </w:r>
          </w:p>
        </w:tc>
        <w:tc>
          <w:tcPr>
            <w:tcW w:w="7514" w:type="dxa"/>
          </w:tcPr>
          <w:p>
            <w:pPr>
              <w:pStyle w:val="TableParagraph"/>
              <w:spacing w:before="40"/>
              <w:ind w:left="69"/>
              <w:rPr>
                <w:sz w:val="20"/>
              </w:rPr>
            </w:pPr>
            <w:r>
              <w:rPr>
                <w:sz w:val="20"/>
              </w:rPr>
              <w:t>No</w:t>
            </w:r>
            <w:r>
              <w:rPr>
                <w:spacing w:val="-5"/>
                <w:sz w:val="20"/>
              </w:rPr>
              <w:t> </w:t>
            </w:r>
            <w:r>
              <w:rPr>
                <w:spacing w:val="-2"/>
                <w:sz w:val="20"/>
              </w:rPr>
              <w:t>aplica.</w:t>
            </w:r>
          </w:p>
        </w:tc>
      </w:tr>
      <w:tr>
        <w:trPr>
          <w:trHeight w:val="630" w:hRule="atLeast"/>
        </w:trPr>
        <w:tc>
          <w:tcPr>
            <w:tcW w:w="2835" w:type="dxa"/>
            <w:shd w:val="clear" w:color="auto" w:fill="DCE6F0"/>
          </w:tcPr>
          <w:p>
            <w:pPr>
              <w:pStyle w:val="TableParagraph"/>
              <w:spacing w:before="8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198"/>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835" w:type="dxa"/>
            <w:shd w:val="clear" w:color="auto" w:fill="DCE6F0"/>
          </w:tcPr>
          <w:p>
            <w:pPr>
              <w:pStyle w:val="TableParagraph"/>
              <w:spacing w:before="12"/>
              <w:rPr>
                <w:b/>
                <w:sz w:val="20"/>
              </w:rPr>
            </w:pPr>
          </w:p>
          <w:p>
            <w:pPr>
              <w:pStyle w:val="TableParagraph"/>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12"/>
              <w:rPr>
                <w:b/>
                <w:sz w:val="20"/>
              </w:rPr>
            </w:pPr>
          </w:p>
          <w:p>
            <w:pPr>
              <w:pStyle w:val="TableParagraph"/>
              <w:ind w:left="69" w:right="2852"/>
              <w:rPr>
                <w:sz w:val="20"/>
              </w:rPr>
            </w:pPr>
            <w:r>
              <w:rPr>
                <w:sz w:val="20"/>
              </w:rPr>
              <w:t>Nombre del funcionario: Diego Salazar Sánchez Cargo:</w:t>
            </w:r>
            <w:r>
              <w:rPr>
                <w:spacing w:val="-8"/>
                <w:sz w:val="20"/>
              </w:rPr>
              <w:t> </w:t>
            </w:r>
            <w:r>
              <w:rPr>
                <w:sz w:val="20"/>
              </w:rPr>
              <w:t>Asistente,</w:t>
            </w:r>
            <w:r>
              <w:rPr>
                <w:spacing w:val="-8"/>
                <w:sz w:val="20"/>
              </w:rPr>
              <w:t> </w:t>
            </w:r>
            <w:r>
              <w:rPr>
                <w:sz w:val="20"/>
              </w:rPr>
              <w:t>Dirección</w:t>
            </w:r>
            <w:r>
              <w:rPr>
                <w:spacing w:val="-8"/>
                <w:sz w:val="20"/>
              </w:rPr>
              <w:t> </w:t>
            </w:r>
            <w:r>
              <w:rPr>
                <w:sz w:val="20"/>
              </w:rPr>
              <w:t>de</w:t>
            </w:r>
            <w:r>
              <w:rPr>
                <w:spacing w:val="-11"/>
                <w:sz w:val="20"/>
              </w:rPr>
              <w:t> </w:t>
            </w:r>
            <w:r>
              <w:rPr>
                <w:sz w:val="20"/>
              </w:rPr>
              <w:t>Desarrollo</w:t>
            </w:r>
            <w:r>
              <w:rPr>
                <w:spacing w:val="-8"/>
                <w:sz w:val="20"/>
              </w:rPr>
              <w:t> </w:t>
            </w:r>
            <w:r>
              <w:rPr>
                <w:sz w:val="20"/>
              </w:rPr>
              <w:t>Social.</w:t>
            </w:r>
          </w:p>
        </w:tc>
      </w:tr>
      <w:tr>
        <w:trPr>
          <w:trHeight w:val="945" w:hRule="atLeast"/>
        </w:trPr>
        <w:tc>
          <w:tcPr>
            <w:tcW w:w="2835" w:type="dxa"/>
            <w:shd w:val="clear" w:color="auto" w:fill="DCE6F0"/>
          </w:tcPr>
          <w:p>
            <w:pPr>
              <w:pStyle w:val="TableParagraph"/>
              <w:spacing w:before="11"/>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27"/>
              <w:rPr>
                <w:b/>
                <w:sz w:val="20"/>
              </w:rPr>
            </w:pPr>
          </w:p>
          <w:p>
            <w:pPr>
              <w:pStyle w:val="TableParagraph"/>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3" w:hRule="atLeast"/>
        </w:trPr>
        <w:tc>
          <w:tcPr>
            <w:tcW w:w="2835" w:type="dxa"/>
            <w:shd w:val="clear" w:color="auto" w:fill="DCE6F0"/>
          </w:tcPr>
          <w:p>
            <w:pPr>
              <w:pStyle w:val="TableParagraph"/>
              <w:spacing w:before="40"/>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40"/>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4" w:hRule="atLeast"/>
        </w:trPr>
        <w:tc>
          <w:tcPr>
            <w:tcW w:w="2835" w:type="dxa"/>
            <w:shd w:val="clear" w:color="auto" w:fill="DCE6F0"/>
          </w:tcPr>
          <w:p>
            <w:pPr>
              <w:pStyle w:val="TableParagraph"/>
              <w:spacing w:before="42"/>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42"/>
              <w:ind w:left="69"/>
              <w:rPr>
                <w:sz w:val="20"/>
              </w:rPr>
            </w:pPr>
            <w:r>
              <w:rPr>
                <w:sz w:val="20"/>
              </w:rPr>
              <w:t>Registros</w:t>
            </w:r>
            <w:r>
              <w:rPr>
                <w:spacing w:val="-6"/>
                <w:sz w:val="20"/>
              </w:rPr>
              <w:t> </w:t>
            </w:r>
            <w:r>
              <w:rPr>
                <w:sz w:val="20"/>
              </w:rPr>
              <w:t>efectuados</w:t>
            </w:r>
            <w:r>
              <w:rPr>
                <w:spacing w:val="-7"/>
                <w:sz w:val="20"/>
              </w:rPr>
              <w:t> </w:t>
            </w:r>
            <w:r>
              <w:rPr>
                <w:sz w:val="20"/>
              </w:rPr>
              <w:t>en</w:t>
            </w:r>
            <w:r>
              <w:rPr>
                <w:spacing w:val="-7"/>
                <w:sz w:val="20"/>
              </w:rPr>
              <w:t> </w:t>
            </w:r>
            <w:r>
              <w:rPr>
                <w:sz w:val="20"/>
              </w:rPr>
              <w:t>sistema</w:t>
            </w:r>
            <w:r>
              <w:rPr>
                <w:spacing w:val="-8"/>
                <w:sz w:val="20"/>
              </w:rPr>
              <w:t> </w:t>
            </w:r>
            <w:r>
              <w:rPr>
                <w:sz w:val="20"/>
              </w:rPr>
              <w:t>de</w:t>
            </w:r>
            <w:r>
              <w:rPr>
                <w:spacing w:val="-8"/>
                <w:sz w:val="20"/>
              </w:rPr>
              <w:t> </w:t>
            </w:r>
            <w:r>
              <w:rPr>
                <w:spacing w:val="-2"/>
                <w:sz w:val="20"/>
              </w:rPr>
              <w:t>pagos.</w:t>
            </w:r>
          </w:p>
        </w:tc>
      </w:tr>
      <w:tr>
        <w:trPr>
          <w:trHeight w:val="902" w:hRule="atLeast"/>
        </w:trPr>
        <w:tc>
          <w:tcPr>
            <w:tcW w:w="2835" w:type="dxa"/>
            <w:shd w:val="clear" w:color="auto" w:fill="DCE6F0"/>
          </w:tcPr>
          <w:p>
            <w:pPr>
              <w:pStyle w:val="TableParagraph"/>
              <w:spacing w:before="105"/>
              <w:rPr>
                <w:b/>
                <w:sz w:val="20"/>
              </w:rPr>
            </w:pPr>
          </w:p>
          <w:p>
            <w:pPr>
              <w:pStyle w:val="TableParagraph"/>
              <w:ind w:left="67"/>
              <w:rPr>
                <w:b/>
                <w:sz w:val="20"/>
              </w:rPr>
            </w:pPr>
            <w:r>
              <w:rPr>
                <w:b/>
                <w:spacing w:val="-2"/>
                <w:sz w:val="20"/>
              </w:rPr>
              <w:t>Clasificación</w:t>
            </w:r>
          </w:p>
        </w:tc>
        <w:tc>
          <w:tcPr>
            <w:tcW w:w="7514" w:type="dxa"/>
          </w:tcPr>
          <w:p>
            <w:pPr>
              <w:pStyle w:val="TableParagraph"/>
              <w:spacing w:before="105"/>
              <w:rPr>
                <w:b/>
                <w:sz w:val="20"/>
              </w:rPr>
            </w:pPr>
          </w:p>
          <w:p>
            <w:pPr>
              <w:pStyle w:val="TableParagraph"/>
              <w:ind w:left="69"/>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5"/>
                <w:sz w:val="20"/>
              </w:rPr>
              <w:t> </w:t>
            </w:r>
            <w:r>
              <w:rPr>
                <w:sz w:val="20"/>
              </w:rPr>
              <w:t>Producto</w:t>
            </w:r>
            <w:r>
              <w:rPr>
                <w:spacing w:val="-8"/>
                <w:sz w:val="20"/>
              </w:rPr>
              <w:t> </w:t>
            </w:r>
            <w:r>
              <w:rPr>
                <w:spacing w:val="-5"/>
                <w:sz w:val="20"/>
              </w:rPr>
              <w:t>(X)</w:t>
            </w:r>
          </w:p>
        </w:tc>
      </w:tr>
      <w:tr>
        <w:trPr>
          <w:trHeight w:val="313" w:hRule="atLeast"/>
        </w:trPr>
        <w:tc>
          <w:tcPr>
            <w:tcW w:w="2835" w:type="dxa"/>
            <w:shd w:val="clear" w:color="auto" w:fill="DCE6F0"/>
          </w:tcPr>
          <w:p>
            <w:pPr>
              <w:pStyle w:val="TableParagraph"/>
              <w:spacing w:before="40"/>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rPr>
                <w:rFonts w:ascii="Times New Roman"/>
                <w:sz w:val="20"/>
              </w:rPr>
            </w:pPr>
          </w:p>
        </w:tc>
      </w:tr>
    </w:tbl>
    <w:p>
      <w:pPr>
        <w:pStyle w:val="BodyText"/>
        <w:rPr>
          <w:b/>
          <w:sz w:val="20"/>
        </w:rPr>
      </w:pPr>
    </w:p>
    <w:p>
      <w:pPr>
        <w:pStyle w:val="BodyText"/>
        <w:rPr>
          <w:b/>
          <w:sz w:val="20"/>
        </w:rPr>
      </w:pPr>
    </w:p>
    <w:p>
      <w:pPr>
        <w:pStyle w:val="BodyText"/>
        <w:spacing w:before="71" w:after="1"/>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599" w:hRule="atLeast"/>
        </w:trPr>
        <w:tc>
          <w:tcPr>
            <w:tcW w:w="2835" w:type="dxa"/>
            <w:shd w:val="clear" w:color="auto" w:fill="DCE6F0"/>
          </w:tcPr>
          <w:p>
            <w:pPr>
              <w:pStyle w:val="TableParagraph"/>
              <w:spacing w:before="184"/>
              <w:ind w:left="67"/>
              <w:rPr>
                <w:b/>
                <w:sz w:val="20"/>
              </w:rPr>
            </w:pPr>
            <w:r>
              <w:rPr>
                <w:b/>
                <w:sz w:val="20"/>
              </w:rPr>
              <w:t>PPPS</w:t>
            </w:r>
            <w:r>
              <w:rPr>
                <w:b/>
                <w:spacing w:val="-6"/>
                <w:sz w:val="20"/>
              </w:rPr>
              <w:t> </w:t>
            </w:r>
            <w:r>
              <w:rPr>
                <w:b/>
                <w:spacing w:val="-2"/>
                <w:sz w:val="20"/>
              </w:rPr>
              <w:t>1.3.7:</w:t>
            </w:r>
          </w:p>
        </w:tc>
        <w:tc>
          <w:tcPr>
            <w:tcW w:w="7514" w:type="dxa"/>
          </w:tcPr>
          <w:p>
            <w:pPr>
              <w:pStyle w:val="TableParagraph"/>
              <w:spacing w:before="69"/>
              <w:ind w:left="69" w:right="170"/>
              <w:rPr>
                <w:sz w:val="20"/>
              </w:rPr>
            </w:pPr>
            <w:r>
              <w:rPr>
                <w:sz w:val="20"/>
              </w:rPr>
              <w:t>Nombre</w:t>
            </w:r>
            <w:r>
              <w:rPr>
                <w:spacing w:val="-4"/>
                <w:sz w:val="20"/>
              </w:rPr>
              <w:t> </w:t>
            </w:r>
            <w:r>
              <w:rPr>
                <w:sz w:val="20"/>
              </w:rPr>
              <w:t>del</w:t>
            </w:r>
            <w:r>
              <w:rPr>
                <w:spacing w:val="-6"/>
                <w:sz w:val="20"/>
              </w:rPr>
              <w:t> </w:t>
            </w:r>
            <w:r>
              <w:rPr>
                <w:sz w:val="20"/>
              </w:rPr>
              <w:t>Indicador:</w:t>
            </w:r>
            <w:r>
              <w:rPr>
                <w:spacing w:val="-4"/>
                <w:sz w:val="20"/>
              </w:rPr>
              <w:t> </w:t>
            </w:r>
            <w:r>
              <w:rPr>
                <w:sz w:val="20"/>
              </w:rPr>
              <w:t>Porcentaje</w:t>
            </w:r>
            <w:r>
              <w:rPr>
                <w:spacing w:val="-4"/>
                <w:sz w:val="20"/>
              </w:rPr>
              <w:t> </w:t>
            </w:r>
            <w:r>
              <w:rPr>
                <w:sz w:val="20"/>
              </w:rPr>
              <w:t>de</w:t>
            </w:r>
            <w:r>
              <w:rPr>
                <w:spacing w:val="-6"/>
                <w:sz w:val="20"/>
              </w:rPr>
              <w:t> </w:t>
            </w:r>
            <w:r>
              <w:rPr>
                <w:sz w:val="20"/>
              </w:rPr>
              <w:t>presupuesto</w:t>
            </w:r>
            <w:r>
              <w:rPr>
                <w:spacing w:val="-6"/>
                <w:sz w:val="20"/>
              </w:rPr>
              <w:t> </w:t>
            </w:r>
            <w:r>
              <w:rPr>
                <w:sz w:val="20"/>
              </w:rPr>
              <w:t>programado</w:t>
            </w:r>
            <w:r>
              <w:rPr>
                <w:spacing w:val="-5"/>
                <w:sz w:val="20"/>
              </w:rPr>
              <w:t> </w:t>
            </w:r>
            <w:r>
              <w:rPr>
                <w:sz w:val="20"/>
              </w:rPr>
              <w:t>que</w:t>
            </w:r>
            <w:r>
              <w:rPr>
                <w:spacing w:val="-5"/>
                <w:sz w:val="20"/>
              </w:rPr>
              <w:t> </w:t>
            </w:r>
            <w:r>
              <w:rPr>
                <w:sz w:val="20"/>
              </w:rPr>
              <w:t>se</w:t>
            </w:r>
            <w:r>
              <w:rPr>
                <w:spacing w:val="-4"/>
                <w:sz w:val="20"/>
              </w:rPr>
              <w:t> </w:t>
            </w:r>
            <w:r>
              <w:rPr>
                <w:sz w:val="20"/>
              </w:rPr>
              <w:t>invierte</w:t>
            </w:r>
            <w:r>
              <w:rPr>
                <w:spacing w:val="-5"/>
                <w:sz w:val="20"/>
              </w:rPr>
              <w:t> </w:t>
            </w:r>
            <w:r>
              <w:rPr>
                <w:sz w:val="20"/>
              </w:rPr>
              <w:t>en la construcción del edificio del ARDS Brunca.</w:t>
            </w:r>
          </w:p>
        </w:tc>
      </w:tr>
      <w:tr>
        <w:trPr>
          <w:trHeight w:val="690" w:hRule="atLeast"/>
        </w:trPr>
        <w:tc>
          <w:tcPr>
            <w:tcW w:w="2835" w:type="dxa"/>
            <w:shd w:val="clear" w:color="auto" w:fill="DCE6F0"/>
          </w:tcPr>
          <w:p>
            <w:pPr>
              <w:pStyle w:val="TableParagraph"/>
              <w:spacing w:before="230"/>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line="230" w:lineRule="exact"/>
              <w:ind w:left="69" w:right="83"/>
              <w:rPr>
                <w:sz w:val="20"/>
              </w:rPr>
            </w:pPr>
            <w:r>
              <w:rPr>
                <w:sz w:val="20"/>
              </w:rPr>
              <w:t>Cantidad de presupuesto ejecutado en la construcción del edificio del ARDS Brunca</w:t>
            </w:r>
            <w:r>
              <w:rPr>
                <w:spacing w:val="-5"/>
                <w:sz w:val="20"/>
              </w:rPr>
              <w:t> </w:t>
            </w:r>
            <w:r>
              <w:rPr>
                <w:sz w:val="20"/>
              </w:rPr>
              <w:t>/</w:t>
            </w:r>
            <w:r>
              <w:rPr>
                <w:spacing w:val="-3"/>
                <w:sz w:val="20"/>
              </w:rPr>
              <w:t> </w:t>
            </w:r>
            <w:r>
              <w:rPr>
                <w:sz w:val="20"/>
              </w:rPr>
              <w:t>Cantidad</w:t>
            </w:r>
            <w:r>
              <w:rPr>
                <w:spacing w:val="-4"/>
                <w:sz w:val="20"/>
              </w:rPr>
              <w:t> </w:t>
            </w:r>
            <w:r>
              <w:rPr>
                <w:sz w:val="20"/>
              </w:rPr>
              <w:t>de</w:t>
            </w:r>
            <w:r>
              <w:rPr>
                <w:spacing w:val="-6"/>
                <w:sz w:val="20"/>
              </w:rPr>
              <w:t> </w:t>
            </w:r>
            <w:r>
              <w:rPr>
                <w:sz w:val="20"/>
              </w:rPr>
              <w:t>presupuesto</w:t>
            </w:r>
            <w:r>
              <w:rPr>
                <w:spacing w:val="-3"/>
                <w:sz w:val="20"/>
              </w:rPr>
              <w:t> </w:t>
            </w:r>
            <w:r>
              <w:rPr>
                <w:sz w:val="20"/>
              </w:rPr>
              <w:t>programado</w:t>
            </w:r>
            <w:r>
              <w:rPr>
                <w:spacing w:val="-5"/>
                <w:sz w:val="20"/>
              </w:rPr>
              <w:t> </w:t>
            </w:r>
            <w:r>
              <w:rPr>
                <w:sz w:val="20"/>
              </w:rPr>
              <w:t>para</w:t>
            </w:r>
            <w:r>
              <w:rPr>
                <w:spacing w:val="-5"/>
                <w:sz w:val="20"/>
              </w:rPr>
              <w:t> </w:t>
            </w:r>
            <w:r>
              <w:rPr>
                <w:sz w:val="20"/>
              </w:rPr>
              <w:t>la</w:t>
            </w:r>
            <w:r>
              <w:rPr>
                <w:spacing w:val="-3"/>
                <w:sz w:val="20"/>
              </w:rPr>
              <w:t> </w:t>
            </w:r>
            <w:r>
              <w:rPr>
                <w:sz w:val="20"/>
              </w:rPr>
              <w:t>construcción</w:t>
            </w:r>
            <w:r>
              <w:rPr>
                <w:spacing w:val="-4"/>
                <w:sz w:val="20"/>
              </w:rPr>
              <w:t> </w:t>
            </w:r>
            <w:r>
              <w:rPr>
                <w:sz w:val="20"/>
              </w:rPr>
              <w:t>del</w:t>
            </w:r>
            <w:r>
              <w:rPr>
                <w:spacing w:val="-4"/>
                <w:sz w:val="20"/>
              </w:rPr>
              <w:t> </w:t>
            </w:r>
            <w:r>
              <w:rPr>
                <w:sz w:val="20"/>
              </w:rPr>
              <w:t>edificio</w:t>
            </w:r>
            <w:r>
              <w:rPr>
                <w:spacing w:val="-5"/>
                <w:sz w:val="20"/>
              </w:rPr>
              <w:t> </w:t>
            </w:r>
            <w:r>
              <w:rPr>
                <w:sz w:val="20"/>
              </w:rPr>
              <w:t>del ARDS Brunca * 100</w:t>
            </w:r>
          </w:p>
        </w:tc>
      </w:tr>
      <w:tr>
        <w:trPr>
          <w:trHeight w:val="313" w:hRule="atLeast"/>
        </w:trPr>
        <w:tc>
          <w:tcPr>
            <w:tcW w:w="2835" w:type="dxa"/>
            <w:shd w:val="clear" w:color="auto" w:fill="DCE6F0"/>
          </w:tcPr>
          <w:p>
            <w:pPr>
              <w:pStyle w:val="TableParagraph"/>
              <w:spacing w:before="40"/>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40"/>
              <w:ind w:left="69"/>
              <w:rPr>
                <w:sz w:val="20"/>
              </w:rPr>
            </w:pPr>
            <w:r>
              <w:rPr>
                <w:spacing w:val="-2"/>
                <w:sz w:val="20"/>
              </w:rPr>
              <w:t>Porcentaje</w:t>
            </w:r>
          </w:p>
        </w:tc>
      </w:tr>
      <w:tr>
        <w:trPr>
          <w:trHeight w:val="1500" w:hRule="atLeast"/>
        </w:trPr>
        <w:tc>
          <w:tcPr>
            <w:tcW w:w="2835" w:type="dxa"/>
            <w:shd w:val="clear" w:color="auto" w:fill="DCE6F0"/>
          </w:tcPr>
          <w:p>
            <w:pPr>
              <w:pStyle w:val="TableParagraph"/>
              <w:rPr>
                <w:b/>
                <w:sz w:val="20"/>
              </w:rPr>
            </w:pPr>
          </w:p>
          <w:p>
            <w:pPr>
              <w:pStyle w:val="TableParagraph"/>
              <w:spacing w:before="175"/>
              <w:rPr>
                <w:b/>
                <w:sz w:val="20"/>
              </w:rPr>
            </w:pPr>
          </w:p>
          <w:p>
            <w:pPr>
              <w:pStyle w:val="TableParagraph"/>
              <w:ind w:left="67"/>
              <w:rPr>
                <w:b/>
                <w:sz w:val="20"/>
              </w:rPr>
            </w:pPr>
            <w:r>
              <w:rPr>
                <w:b/>
                <w:spacing w:val="-2"/>
                <w:sz w:val="20"/>
              </w:rPr>
              <w:t>Interpretación:</w:t>
            </w:r>
          </w:p>
        </w:tc>
        <w:tc>
          <w:tcPr>
            <w:tcW w:w="7514" w:type="dxa"/>
          </w:tcPr>
          <w:p>
            <w:pPr>
              <w:pStyle w:val="TableParagraph"/>
              <w:ind w:left="69" w:right="83"/>
              <w:rPr>
                <w:sz w:val="20"/>
              </w:rPr>
            </w:pPr>
            <w:r>
              <w:rPr>
                <w:sz w:val="20"/>
              </w:rPr>
              <w:t>El</w:t>
            </w:r>
            <w:r>
              <w:rPr>
                <w:spacing w:val="-4"/>
                <w:sz w:val="20"/>
              </w:rPr>
              <w:t> </w:t>
            </w:r>
            <w:r>
              <w:rPr>
                <w:sz w:val="20"/>
              </w:rPr>
              <w:t>porcentaje</w:t>
            </w:r>
            <w:r>
              <w:rPr>
                <w:spacing w:val="-5"/>
                <w:sz w:val="20"/>
              </w:rPr>
              <w:t> </w:t>
            </w:r>
            <w:r>
              <w:rPr>
                <w:sz w:val="20"/>
              </w:rPr>
              <w:t>de</w:t>
            </w:r>
            <w:r>
              <w:rPr>
                <w:spacing w:val="-3"/>
                <w:sz w:val="20"/>
              </w:rPr>
              <w:t> </w:t>
            </w:r>
            <w:r>
              <w:rPr>
                <w:sz w:val="20"/>
              </w:rPr>
              <w:t>ejecución</w:t>
            </w:r>
            <w:r>
              <w:rPr>
                <w:spacing w:val="-3"/>
                <w:sz w:val="20"/>
              </w:rPr>
              <w:t> </w:t>
            </w:r>
            <w:r>
              <w:rPr>
                <w:sz w:val="20"/>
              </w:rPr>
              <w:t>de</w:t>
            </w:r>
            <w:r>
              <w:rPr>
                <w:spacing w:val="-6"/>
                <w:sz w:val="20"/>
              </w:rPr>
              <w:t> </w:t>
            </w:r>
            <w:r>
              <w:rPr>
                <w:sz w:val="20"/>
              </w:rPr>
              <w:t>la</w:t>
            </w:r>
            <w:r>
              <w:rPr>
                <w:spacing w:val="-5"/>
                <w:sz w:val="20"/>
              </w:rPr>
              <w:t> </w:t>
            </w:r>
            <w:r>
              <w:rPr>
                <w:sz w:val="20"/>
              </w:rPr>
              <w:t>partida</w:t>
            </w:r>
            <w:r>
              <w:rPr>
                <w:spacing w:val="-5"/>
                <w:sz w:val="20"/>
              </w:rPr>
              <w:t> </w:t>
            </w:r>
            <w:r>
              <w:rPr>
                <w:sz w:val="20"/>
              </w:rPr>
              <w:t>edificios</w:t>
            </w:r>
            <w:r>
              <w:rPr>
                <w:spacing w:val="-4"/>
                <w:sz w:val="20"/>
              </w:rPr>
              <w:t> </w:t>
            </w:r>
            <w:r>
              <w:rPr>
                <w:sz w:val="20"/>
              </w:rPr>
              <w:t>asociada</w:t>
            </w:r>
            <w:r>
              <w:rPr>
                <w:spacing w:val="-3"/>
                <w:sz w:val="20"/>
              </w:rPr>
              <w:t> </w:t>
            </w:r>
            <w:r>
              <w:rPr>
                <w:sz w:val="20"/>
              </w:rPr>
              <w:t>a</w:t>
            </w:r>
            <w:r>
              <w:rPr>
                <w:spacing w:val="-5"/>
                <w:sz w:val="20"/>
              </w:rPr>
              <w:t> </w:t>
            </w:r>
            <w:r>
              <w:rPr>
                <w:sz w:val="20"/>
              </w:rPr>
              <w:t>proyectos</w:t>
            </w:r>
            <w:r>
              <w:rPr>
                <w:spacing w:val="-2"/>
                <w:sz w:val="20"/>
              </w:rPr>
              <w:t> </w:t>
            </w:r>
            <w:r>
              <w:rPr>
                <w:sz w:val="20"/>
              </w:rPr>
              <w:t>de</w:t>
            </w:r>
            <w:r>
              <w:rPr>
                <w:spacing w:val="-4"/>
                <w:sz w:val="20"/>
              </w:rPr>
              <w:t> </w:t>
            </w:r>
            <w:r>
              <w:rPr>
                <w:sz w:val="20"/>
              </w:rPr>
              <w:t>inversión y programados para el año 2027, destinados a desarrollar condiciones infraestructurales adecuadas del ARDS Brunca, en “X” periodo es de “Y%”.</w:t>
            </w:r>
          </w:p>
          <w:p>
            <w:pPr>
              <w:pStyle w:val="TableParagraph"/>
              <w:ind w:left="69" w:right="92"/>
              <w:rPr>
                <w:sz w:val="20"/>
              </w:rPr>
            </w:pPr>
            <w:r>
              <w:rPr>
                <w:sz w:val="20"/>
              </w:rPr>
              <w:t>En</w:t>
            </w:r>
            <w:r>
              <w:rPr>
                <w:spacing w:val="-4"/>
                <w:sz w:val="20"/>
              </w:rPr>
              <w:t> </w:t>
            </w:r>
            <w:r>
              <w:rPr>
                <w:sz w:val="20"/>
              </w:rPr>
              <w:t>esta</w:t>
            </w:r>
            <w:r>
              <w:rPr>
                <w:spacing w:val="-4"/>
                <w:sz w:val="20"/>
              </w:rPr>
              <w:t> </w:t>
            </w:r>
            <w:r>
              <w:rPr>
                <w:sz w:val="20"/>
              </w:rPr>
              <w:t>“X”</w:t>
            </w:r>
            <w:r>
              <w:rPr>
                <w:spacing w:val="-3"/>
                <w:sz w:val="20"/>
              </w:rPr>
              <w:t> </w:t>
            </w:r>
            <w:r>
              <w:rPr>
                <w:sz w:val="20"/>
              </w:rPr>
              <w:t>representa</w:t>
            </w:r>
            <w:r>
              <w:rPr>
                <w:spacing w:val="-2"/>
                <w:sz w:val="20"/>
              </w:rPr>
              <w:t> </w:t>
            </w:r>
            <w:r>
              <w:rPr>
                <w:sz w:val="20"/>
              </w:rPr>
              <w:t>el</w:t>
            </w:r>
            <w:r>
              <w:rPr>
                <w:spacing w:val="-3"/>
                <w:sz w:val="20"/>
              </w:rPr>
              <w:t> </w:t>
            </w:r>
            <w:r>
              <w:rPr>
                <w:sz w:val="20"/>
              </w:rPr>
              <w:t>período</w:t>
            </w:r>
            <w:r>
              <w:rPr>
                <w:spacing w:val="-3"/>
                <w:sz w:val="20"/>
              </w:rPr>
              <w:t> </w:t>
            </w:r>
            <w:r>
              <w:rPr>
                <w:sz w:val="20"/>
              </w:rPr>
              <w:t>de</w:t>
            </w:r>
            <w:r>
              <w:rPr>
                <w:spacing w:val="-5"/>
                <w:sz w:val="20"/>
              </w:rPr>
              <w:t> </w:t>
            </w:r>
            <w:r>
              <w:rPr>
                <w:sz w:val="20"/>
              </w:rPr>
              <w:t>tiempo</w:t>
            </w:r>
            <w:r>
              <w:rPr>
                <w:spacing w:val="-2"/>
                <w:sz w:val="20"/>
              </w:rPr>
              <w:t> </w:t>
            </w:r>
            <w:r>
              <w:rPr>
                <w:sz w:val="20"/>
              </w:rPr>
              <w:t>según</w:t>
            </w:r>
            <w:r>
              <w:rPr>
                <w:spacing w:val="-4"/>
                <w:sz w:val="20"/>
              </w:rPr>
              <w:t> </w:t>
            </w:r>
            <w:r>
              <w:rPr>
                <w:sz w:val="20"/>
              </w:rPr>
              <w:t>la</w:t>
            </w:r>
            <w:r>
              <w:rPr>
                <w:spacing w:val="-4"/>
                <w:sz w:val="20"/>
              </w:rPr>
              <w:t> </w:t>
            </w:r>
            <w:r>
              <w:rPr>
                <w:sz w:val="20"/>
              </w:rPr>
              <w:t>frecuencia</w:t>
            </w:r>
            <w:r>
              <w:rPr>
                <w:spacing w:val="-2"/>
                <w:sz w:val="20"/>
              </w:rPr>
              <w:t> </w:t>
            </w:r>
            <w:r>
              <w:rPr>
                <w:sz w:val="20"/>
              </w:rPr>
              <w:t>de</w:t>
            </w:r>
            <w:r>
              <w:rPr>
                <w:spacing w:val="-3"/>
                <w:sz w:val="20"/>
              </w:rPr>
              <w:t> </w:t>
            </w:r>
            <w:r>
              <w:rPr>
                <w:sz w:val="20"/>
              </w:rPr>
              <w:t>medición,</w:t>
            </w:r>
            <w:r>
              <w:rPr>
                <w:spacing w:val="-4"/>
                <w:sz w:val="20"/>
              </w:rPr>
              <w:t> </w:t>
            </w:r>
            <w:r>
              <w:rPr>
                <w:sz w:val="20"/>
              </w:rPr>
              <w:t>y</w:t>
            </w:r>
            <w:r>
              <w:rPr>
                <w:spacing w:val="-3"/>
                <w:sz w:val="20"/>
              </w:rPr>
              <w:t> </w:t>
            </w:r>
            <w:r>
              <w:rPr>
                <w:sz w:val="20"/>
              </w:rPr>
              <w:t>“Y” significa la meta alcanzada a ese momento según la unidad de medida </w:t>
            </w:r>
            <w:r>
              <w:rPr>
                <w:spacing w:val="-2"/>
                <w:sz w:val="20"/>
              </w:rPr>
              <w:t>establecida.</w:t>
            </w:r>
          </w:p>
        </w:tc>
      </w:tr>
      <w:tr>
        <w:trPr>
          <w:trHeight w:val="316" w:hRule="atLeast"/>
        </w:trPr>
        <w:tc>
          <w:tcPr>
            <w:tcW w:w="2835" w:type="dxa"/>
            <w:shd w:val="clear" w:color="auto" w:fill="DCE6F0"/>
          </w:tcPr>
          <w:p>
            <w:pPr>
              <w:pStyle w:val="TableParagraph"/>
              <w:spacing w:before="42"/>
              <w:ind w:left="67"/>
              <w:rPr>
                <w:b/>
                <w:sz w:val="20"/>
              </w:rPr>
            </w:pPr>
            <w:r>
              <w:rPr>
                <w:b/>
                <w:spacing w:val="-2"/>
                <w:sz w:val="20"/>
              </w:rPr>
              <w:t>Desagregación</w:t>
            </w:r>
          </w:p>
        </w:tc>
        <w:tc>
          <w:tcPr>
            <w:tcW w:w="7514"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4" w:hRule="atLeast"/>
        </w:trPr>
        <w:tc>
          <w:tcPr>
            <w:tcW w:w="2835" w:type="dxa"/>
            <w:shd w:val="clear" w:color="auto" w:fill="DCE6F0"/>
          </w:tcPr>
          <w:p>
            <w:pPr>
              <w:pStyle w:val="TableParagraph"/>
              <w:spacing w:before="40"/>
              <w:ind w:left="67"/>
              <w:rPr>
                <w:b/>
                <w:sz w:val="20"/>
              </w:rPr>
            </w:pPr>
            <w:r>
              <w:rPr>
                <w:b/>
                <w:spacing w:val="-2"/>
                <w:sz w:val="20"/>
              </w:rPr>
              <w:t>Meta:</w:t>
            </w:r>
          </w:p>
        </w:tc>
        <w:tc>
          <w:tcPr>
            <w:tcW w:w="7514" w:type="dxa"/>
          </w:tcPr>
          <w:p>
            <w:pPr>
              <w:pStyle w:val="TableParagraph"/>
              <w:spacing w:before="40"/>
              <w:ind w:left="69"/>
              <w:rPr>
                <w:sz w:val="20"/>
              </w:rPr>
            </w:pPr>
            <w:r>
              <w:rPr>
                <w:spacing w:val="-4"/>
                <w:sz w:val="20"/>
              </w:rPr>
              <w:t>100%</w:t>
            </w:r>
          </w:p>
        </w:tc>
      </w:tr>
    </w:tbl>
    <w:p>
      <w:pPr>
        <w:pStyle w:val="TableParagraph"/>
        <w:spacing w:after="0"/>
        <w:rPr>
          <w:sz w:val="20"/>
        </w:rPr>
        <w:sectPr>
          <w:type w:val="continuous"/>
          <w:pgSz w:w="12240" w:h="15840"/>
          <w:pgMar w:header="0" w:footer="2082" w:top="1400" w:bottom="2600"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314" w:hRule="atLeast"/>
        </w:trPr>
        <w:tc>
          <w:tcPr>
            <w:tcW w:w="2835" w:type="dxa"/>
            <w:shd w:val="clear" w:color="auto" w:fill="DCE6F0"/>
          </w:tcPr>
          <w:p>
            <w:pPr>
              <w:pStyle w:val="TableParagraph"/>
              <w:spacing w:before="43"/>
              <w:ind w:left="67"/>
              <w:rPr>
                <w:b/>
                <w:sz w:val="20"/>
              </w:rPr>
            </w:pPr>
            <w:r>
              <w:rPr>
                <w:b/>
                <w:sz w:val="20"/>
              </w:rPr>
              <w:t>Línea</w:t>
            </w:r>
            <w:r>
              <w:rPr>
                <w:b/>
                <w:spacing w:val="-10"/>
                <w:sz w:val="20"/>
              </w:rPr>
              <w:t> </w:t>
            </w:r>
            <w:r>
              <w:rPr>
                <w:b/>
                <w:spacing w:val="-4"/>
                <w:sz w:val="20"/>
              </w:rPr>
              <w:t>Base</w:t>
            </w:r>
          </w:p>
        </w:tc>
        <w:tc>
          <w:tcPr>
            <w:tcW w:w="7514" w:type="dxa"/>
          </w:tcPr>
          <w:p>
            <w:pPr>
              <w:pStyle w:val="TableParagraph"/>
              <w:spacing w:before="43"/>
              <w:ind w:left="69"/>
              <w:rPr>
                <w:sz w:val="20"/>
              </w:rPr>
            </w:pPr>
            <w:r>
              <w:rPr>
                <w:sz w:val="20"/>
              </w:rPr>
              <w:t>No</w:t>
            </w:r>
            <w:r>
              <w:rPr>
                <w:spacing w:val="-5"/>
                <w:sz w:val="20"/>
              </w:rPr>
              <w:t> </w:t>
            </w:r>
            <w:r>
              <w:rPr>
                <w:spacing w:val="-2"/>
                <w:sz w:val="20"/>
              </w:rPr>
              <w:t>aplica.</w:t>
            </w:r>
          </w:p>
        </w:tc>
      </w:tr>
      <w:tr>
        <w:trPr>
          <w:trHeight w:val="630" w:hRule="atLeast"/>
        </w:trPr>
        <w:tc>
          <w:tcPr>
            <w:tcW w:w="2835" w:type="dxa"/>
            <w:shd w:val="clear" w:color="auto" w:fill="DCE6F0"/>
          </w:tcPr>
          <w:p>
            <w:pPr>
              <w:pStyle w:val="TableParagraph"/>
              <w:spacing w:before="8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201"/>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835" w:type="dxa"/>
            <w:shd w:val="clear" w:color="auto" w:fill="DCE6F0"/>
          </w:tcPr>
          <w:p>
            <w:pPr>
              <w:pStyle w:val="TableParagraph"/>
              <w:spacing w:before="11"/>
              <w:rPr>
                <w:b/>
                <w:sz w:val="20"/>
              </w:rPr>
            </w:pPr>
          </w:p>
          <w:p>
            <w:pPr>
              <w:pStyle w:val="TableParagraph"/>
              <w:spacing w:before="1"/>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11"/>
              <w:rPr>
                <w:b/>
                <w:sz w:val="20"/>
              </w:rPr>
            </w:pPr>
          </w:p>
          <w:p>
            <w:pPr>
              <w:pStyle w:val="TableParagraph"/>
              <w:spacing w:before="1"/>
              <w:ind w:left="69" w:right="2852"/>
              <w:rPr>
                <w:sz w:val="20"/>
              </w:rPr>
            </w:pPr>
            <w:r>
              <w:rPr>
                <w:sz w:val="20"/>
              </w:rPr>
              <w:t>Nombre del funcionario: Diego Salazar Sánchez Cargo:</w:t>
            </w:r>
            <w:r>
              <w:rPr>
                <w:spacing w:val="-8"/>
                <w:sz w:val="20"/>
              </w:rPr>
              <w:t> </w:t>
            </w:r>
            <w:r>
              <w:rPr>
                <w:sz w:val="20"/>
              </w:rPr>
              <w:t>Asistente,</w:t>
            </w:r>
            <w:r>
              <w:rPr>
                <w:spacing w:val="-8"/>
                <w:sz w:val="20"/>
              </w:rPr>
              <w:t> </w:t>
            </w:r>
            <w:r>
              <w:rPr>
                <w:sz w:val="20"/>
              </w:rPr>
              <w:t>Dirección</w:t>
            </w:r>
            <w:r>
              <w:rPr>
                <w:spacing w:val="-8"/>
                <w:sz w:val="20"/>
              </w:rPr>
              <w:t> </w:t>
            </w:r>
            <w:r>
              <w:rPr>
                <w:sz w:val="20"/>
              </w:rPr>
              <w:t>de</w:t>
            </w:r>
            <w:r>
              <w:rPr>
                <w:spacing w:val="-11"/>
                <w:sz w:val="20"/>
              </w:rPr>
              <w:t> </w:t>
            </w:r>
            <w:r>
              <w:rPr>
                <w:sz w:val="20"/>
              </w:rPr>
              <w:t>Desarrollo</w:t>
            </w:r>
            <w:r>
              <w:rPr>
                <w:spacing w:val="-8"/>
                <w:sz w:val="20"/>
              </w:rPr>
              <w:t> </w:t>
            </w:r>
            <w:r>
              <w:rPr>
                <w:sz w:val="20"/>
              </w:rPr>
              <w:t>Social.</w:t>
            </w:r>
          </w:p>
        </w:tc>
      </w:tr>
      <w:tr>
        <w:trPr>
          <w:trHeight w:val="945" w:hRule="atLeast"/>
        </w:trPr>
        <w:tc>
          <w:tcPr>
            <w:tcW w:w="2835" w:type="dxa"/>
            <w:shd w:val="clear" w:color="auto" w:fill="DCE6F0"/>
          </w:tcPr>
          <w:p>
            <w:pPr>
              <w:pStyle w:val="TableParagraph"/>
              <w:spacing w:before="11"/>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27"/>
              <w:rPr>
                <w:b/>
                <w:sz w:val="20"/>
              </w:rPr>
            </w:pPr>
          </w:p>
          <w:p>
            <w:pPr>
              <w:pStyle w:val="TableParagraph"/>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4" w:hRule="atLeast"/>
        </w:trPr>
        <w:tc>
          <w:tcPr>
            <w:tcW w:w="2835" w:type="dxa"/>
            <w:shd w:val="clear" w:color="auto" w:fill="DCE6F0"/>
          </w:tcPr>
          <w:p>
            <w:pPr>
              <w:pStyle w:val="TableParagraph"/>
              <w:spacing w:before="40"/>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40"/>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6" w:hRule="atLeast"/>
        </w:trPr>
        <w:tc>
          <w:tcPr>
            <w:tcW w:w="2835" w:type="dxa"/>
            <w:shd w:val="clear" w:color="auto" w:fill="DCE6F0"/>
          </w:tcPr>
          <w:p>
            <w:pPr>
              <w:pStyle w:val="TableParagraph"/>
              <w:spacing w:before="42"/>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42"/>
              <w:ind w:left="69"/>
              <w:rPr>
                <w:sz w:val="20"/>
              </w:rPr>
            </w:pPr>
            <w:r>
              <w:rPr>
                <w:sz w:val="20"/>
              </w:rPr>
              <w:t>Registros</w:t>
            </w:r>
            <w:r>
              <w:rPr>
                <w:spacing w:val="-6"/>
                <w:sz w:val="20"/>
              </w:rPr>
              <w:t> </w:t>
            </w:r>
            <w:r>
              <w:rPr>
                <w:sz w:val="20"/>
              </w:rPr>
              <w:t>efectuados</w:t>
            </w:r>
            <w:r>
              <w:rPr>
                <w:spacing w:val="-7"/>
                <w:sz w:val="20"/>
              </w:rPr>
              <w:t> </w:t>
            </w:r>
            <w:r>
              <w:rPr>
                <w:sz w:val="20"/>
              </w:rPr>
              <w:t>en</w:t>
            </w:r>
            <w:r>
              <w:rPr>
                <w:spacing w:val="-7"/>
                <w:sz w:val="20"/>
              </w:rPr>
              <w:t> </w:t>
            </w:r>
            <w:r>
              <w:rPr>
                <w:sz w:val="20"/>
              </w:rPr>
              <w:t>sistema</w:t>
            </w:r>
            <w:r>
              <w:rPr>
                <w:spacing w:val="-8"/>
                <w:sz w:val="20"/>
              </w:rPr>
              <w:t> </w:t>
            </w:r>
            <w:r>
              <w:rPr>
                <w:sz w:val="20"/>
              </w:rPr>
              <w:t>de</w:t>
            </w:r>
            <w:r>
              <w:rPr>
                <w:spacing w:val="-8"/>
                <w:sz w:val="20"/>
              </w:rPr>
              <w:t> </w:t>
            </w:r>
            <w:r>
              <w:rPr>
                <w:spacing w:val="-2"/>
                <w:sz w:val="20"/>
              </w:rPr>
              <w:t>pagos.</w:t>
            </w:r>
          </w:p>
        </w:tc>
      </w:tr>
      <w:tr>
        <w:trPr>
          <w:trHeight w:val="900" w:hRule="atLeast"/>
        </w:trPr>
        <w:tc>
          <w:tcPr>
            <w:tcW w:w="2835" w:type="dxa"/>
            <w:shd w:val="clear" w:color="auto" w:fill="DCE6F0"/>
          </w:tcPr>
          <w:p>
            <w:pPr>
              <w:pStyle w:val="TableParagraph"/>
              <w:spacing w:before="103"/>
              <w:rPr>
                <w:b/>
                <w:sz w:val="20"/>
              </w:rPr>
            </w:pPr>
          </w:p>
          <w:p>
            <w:pPr>
              <w:pStyle w:val="TableParagraph"/>
              <w:ind w:left="67"/>
              <w:rPr>
                <w:b/>
                <w:sz w:val="20"/>
              </w:rPr>
            </w:pPr>
            <w:r>
              <w:rPr>
                <w:b/>
                <w:spacing w:val="-2"/>
                <w:sz w:val="20"/>
              </w:rPr>
              <w:t>Clasificación</w:t>
            </w:r>
          </w:p>
        </w:tc>
        <w:tc>
          <w:tcPr>
            <w:tcW w:w="7514" w:type="dxa"/>
          </w:tcPr>
          <w:p>
            <w:pPr>
              <w:pStyle w:val="TableParagraph"/>
              <w:spacing w:before="103"/>
              <w:ind w:left="69" w:right="6306"/>
              <w:rPr>
                <w:sz w:val="20"/>
              </w:rPr>
            </w:pPr>
            <w:r>
              <w:rPr>
                <w:sz w:val="20"/>
              </w:rPr>
              <w:t>Impacto () Efecto () Producto</w:t>
            </w:r>
            <w:r>
              <w:rPr>
                <w:spacing w:val="-14"/>
                <w:sz w:val="20"/>
              </w:rPr>
              <w:t> </w:t>
            </w:r>
            <w:r>
              <w:rPr>
                <w:sz w:val="20"/>
              </w:rPr>
              <w:t>(X)</w:t>
            </w:r>
          </w:p>
        </w:tc>
      </w:tr>
      <w:tr>
        <w:trPr>
          <w:trHeight w:val="314" w:hRule="atLeast"/>
        </w:trPr>
        <w:tc>
          <w:tcPr>
            <w:tcW w:w="2835" w:type="dxa"/>
            <w:shd w:val="clear" w:color="auto" w:fill="DCE6F0"/>
          </w:tcPr>
          <w:p>
            <w:pPr>
              <w:pStyle w:val="TableParagraph"/>
              <w:spacing w:before="40"/>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rPr>
                <w:rFonts w:ascii="Times New Roman"/>
                <w:sz w:val="20"/>
              </w:rPr>
            </w:pPr>
          </w:p>
        </w:tc>
      </w:tr>
    </w:tbl>
    <w:p>
      <w:pPr>
        <w:pStyle w:val="BodyText"/>
        <w:rPr>
          <w:b/>
          <w:sz w:val="20"/>
        </w:rPr>
      </w:pPr>
    </w:p>
    <w:p>
      <w:pPr>
        <w:pStyle w:val="BodyText"/>
        <w:spacing w:before="112"/>
        <w:rPr>
          <w:b/>
          <w:sz w:val="20"/>
        </w:rPr>
      </w:pPr>
    </w:p>
    <w:tbl>
      <w:tblPr>
        <w:tblW w:w="0" w:type="auto"/>
        <w:jc w:val="left"/>
        <w:tblInd w:w="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98"/>
        <w:gridCol w:w="1337"/>
        <w:gridCol w:w="7514"/>
      </w:tblGrid>
      <w:tr>
        <w:trPr>
          <w:trHeight w:val="690" w:hRule="atLeast"/>
        </w:trPr>
        <w:tc>
          <w:tcPr>
            <w:tcW w:w="2835" w:type="dxa"/>
            <w:gridSpan w:val="2"/>
            <w:shd w:val="clear" w:color="auto" w:fill="DCE6F0"/>
          </w:tcPr>
          <w:p>
            <w:pPr>
              <w:pStyle w:val="TableParagraph"/>
              <w:spacing w:before="230"/>
              <w:ind w:left="67"/>
              <w:rPr>
                <w:b/>
                <w:sz w:val="20"/>
              </w:rPr>
            </w:pPr>
            <w:r>
              <w:rPr>
                <w:b/>
                <w:sz w:val="20"/>
              </w:rPr>
              <w:t>PPPS</w:t>
            </w:r>
            <w:r>
              <w:rPr>
                <w:b/>
                <w:spacing w:val="-6"/>
                <w:sz w:val="20"/>
              </w:rPr>
              <w:t> </w:t>
            </w:r>
            <w:r>
              <w:rPr>
                <w:b/>
                <w:spacing w:val="-2"/>
                <w:sz w:val="20"/>
              </w:rPr>
              <w:t>1.3.8:</w:t>
            </w:r>
          </w:p>
        </w:tc>
        <w:tc>
          <w:tcPr>
            <w:tcW w:w="7514" w:type="dxa"/>
          </w:tcPr>
          <w:p>
            <w:pPr>
              <w:pStyle w:val="TableParagraph"/>
              <w:spacing w:line="230" w:lineRule="exact"/>
              <w:ind w:left="69" w:right="83"/>
              <w:rPr>
                <w:sz w:val="20"/>
              </w:rPr>
            </w:pPr>
            <w:r>
              <w:rPr>
                <w:sz w:val="20"/>
              </w:rPr>
              <w:t>Nombre del Indicador: Porcentaje de ejecución de las compras de Equipo el Programa</w:t>
            </w:r>
            <w:r>
              <w:rPr>
                <w:spacing w:val="-3"/>
                <w:sz w:val="20"/>
              </w:rPr>
              <w:t> </w:t>
            </w:r>
            <w:r>
              <w:rPr>
                <w:sz w:val="20"/>
              </w:rPr>
              <w:t>Protección</w:t>
            </w:r>
            <w:r>
              <w:rPr>
                <w:spacing w:val="-5"/>
                <w:sz w:val="20"/>
              </w:rPr>
              <w:t> </w:t>
            </w:r>
            <w:r>
              <w:rPr>
                <w:sz w:val="20"/>
              </w:rPr>
              <w:t>y</w:t>
            </w:r>
            <w:r>
              <w:rPr>
                <w:spacing w:val="-4"/>
                <w:sz w:val="20"/>
              </w:rPr>
              <w:t> </w:t>
            </w:r>
            <w:r>
              <w:rPr>
                <w:sz w:val="20"/>
              </w:rPr>
              <w:t>Promoción</w:t>
            </w:r>
            <w:r>
              <w:rPr>
                <w:spacing w:val="-5"/>
                <w:sz w:val="20"/>
              </w:rPr>
              <w:t> </w:t>
            </w:r>
            <w:r>
              <w:rPr>
                <w:sz w:val="20"/>
              </w:rPr>
              <w:t>Social</w:t>
            </w:r>
            <w:r>
              <w:rPr>
                <w:spacing w:val="-6"/>
                <w:sz w:val="20"/>
              </w:rPr>
              <w:t> </w:t>
            </w:r>
            <w:r>
              <w:rPr>
                <w:sz w:val="20"/>
              </w:rPr>
              <w:t>programadas</w:t>
            </w:r>
            <w:r>
              <w:rPr>
                <w:spacing w:val="-4"/>
                <w:sz w:val="20"/>
              </w:rPr>
              <w:t> </w:t>
            </w:r>
            <w:r>
              <w:rPr>
                <w:sz w:val="20"/>
              </w:rPr>
              <w:t>en</w:t>
            </w:r>
            <w:r>
              <w:rPr>
                <w:spacing w:val="-6"/>
                <w:sz w:val="20"/>
              </w:rPr>
              <w:t> </w:t>
            </w:r>
            <w:r>
              <w:rPr>
                <w:sz w:val="20"/>
              </w:rPr>
              <w:t>el</w:t>
            </w:r>
            <w:r>
              <w:rPr>
                <w:spacing w:val="-6"/>
                <w:sz w:val="20"/>
              </w:rPr>
              <w:t> </w:t>
            </w:r>
            <w:r>
              <w:rPr>
                <w:sz w:val="20"/>
              </w:rPr>
              <w:t>Plan</w:t>
            </w:r>
            <w:r>
              <w:rPr>
                <w:spacing w:val="-3"/>
                <w:sz w:val="20"/>
              </w:rPr>
              <w:t> </w:t>
            </w:r>
            <w:r>
              <w:rPr>
                <w:sz w:val="20"/>
              </w:rPr>
              <w:t>de</w:t>
            </w:r>
            <w:r>
              <w:rPr>
                <w:spacing w:val="-3"/>
                <w:sz w:val="20"/>
              </w:rPr>
              <w:t> </w:t>
            </w:r>
            <w:r>
              <w:rPr>
                <w:sz w:val="20"/>
              </w:rPr>
              <w:t>Compras</w:t>
            </w:r>
            <w:r>
              <w:rPr>
                <w:spacing w:val="-3"/>
                <w:sz w:val="20"/>
              </w:rPr>
              <w:t> </w:t>
            </w:r>
            <w:r>
              <w:rPr>
                <w:sz w:val="20"/>
              </w:rPr>
              <w:t>por el PPPS.</w:t>
            </w:r>
          </w:p>
        </w:tc>
      </w:tr>
      <w:tr>
        <w:trPr>
          <w:trHeight w:val="690" w:hRule="atLeast"/>
        </w:trPr>
        <w:tc>
          <w:tcPr>
            <w:tcW w:w="2835" w:type="dxa"/>
            <w:gridSpan w:val="2"/>
            <w:shd w:val="clear" w:color="auto" w:fill="DCE6F0"/>
          </w:tcPr>
          <w:p>
            <w:pPr>
              <w:pStyle w:val="TableParagraph"/>
              <w:spacing w:before="230"/>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line="230" w:lineRule="exact"/>
              <w:ind w:left="69"/>
              <w:rPr>
                <w:sz w:val="20"/>
              </w:rPr>
            </w:pPr>
            <w:r>
              <w:rPr>
                <w:sz w:val="20"/>
              </w:rPr>
              <w:t>Cantidad</w:t>
            </w:r>
            <w:r>
              <w:rPr>
                <w:spacing w:val="-5"/>
                <w:sz w:val="20"/>
              </w:rPr>
              <w:t> </w:t>
            </w:r>
            <w:r>
              <w:rPr>
                <w:sz w:val="20"/>
              </w:rPr>
              <w:t>de</w:t>
            </w:r>
            <w:r>
              <w:rPr>
                <w:spacing w:val="-3"/>
                <w:sz w:val="20"/>
              </w:rPr>
              <w:t> </w:t>
            </w:r>
            <w:r>
              <w:rPr>
                <w:sz w:val="20"/>
              </w:rPr>
              <w:t>compras</w:t>
            </w:r>
            <w:r>
              <w:rPr>
                <w:spacing w:val="-4"/>
                <w:sz w:val="20"/>
              </w:rPr>
              <w:t> </w:t>
            </w:r>
            <w:r>
              <w:rPr>
                <w:sz w:val="20"/>
              </w:rPr>
              <w:t>de</w:t>
            </w:r>
            <w:r>
              <w:rPr>
                <w:spacing w:val="-4"/>
                <w:sz w:val="20"/>
              </w:rPr>
              <w:t> </w:t>
            </w:r>
            <w:r>
              <w:rPr>
                <w:sz w:val="20"/>
              </w:rPr>
              <w:t>Equipo</w:t>
            </w:r>
            <w:r>
              <w:rPr>
                <w:spacing w:val="-6"/>
                <w:sz w:val="20"/>
              </w:rPr>
              <w:t> </w:t>
            </w:r>
            <w:r>
              <w:rPr>
                <w:sz w:val="20"/>
              </w:rPr>
              <w:t>el</w:t>
            </w:r>
            <w:r>
              <w:rPr>
                <w:spacing w:val="-4"/>
                <w:sz w:val="20"/>
              </w:rPr>
              <w:t> </w:t>
            </w:r>
            <w:r>
              <w:rPr>
                <w:sz w:val="20"/>
              </w:rPr>
              <w:t>Programa</w:t>
            </w:r>
            <w:r>
              <w:rPr>
                <w:spacing w:val="-3"/>
                <w:sz w:val="20"/>
              </w:rPr>
              <w:t> </w:t>
            </w:r>
            <w:r>
              <w:rPr>
                <w:sz w:val="20"/>
              </w:rPr>
              <w:t>Protección</w:t>
            </w:r>
            <w:r>
              <w:rPr>
                <w:spacing w:val="-6"/>
                <w:sz w:val="20"/>
              </w:rPr>
              <w:t> </w:t>
            </w:r>
            <w:r>
              <w:rPr>
                <w:sz w:val="20"/>
              </w:rPr>
              <w:t>y</w:t>
            </w:r>
            <w:r>
              <w:rPr>
                <w:spacing w:val="-4"/>
                <w:sz w:val="20"/>
              </w:rPr>
              <w:t> </w:t>
            </w:r>
            <w:r>
              <w:rPr>
                <w:sz w:val="20"/>
              </w:rPr>
              <w:t>Promoción</w:t>
            </w:r>
            <w:r>
              <w:rPr>
                <w:spacing w:val="-4"/>
                <w:sz w:val="20"/>
              </w:rPr>
              <w:t> </w:t>
            </w:r>
            <w:r>
              <w:rPr>
                <w:sz w:val="20"/>
              </w:rPr>
              <w:t>Social</w:t>
            </w:r>
            <w:r>
              <w:rPr>
                <w:spacing w:val="-6"/>
                <w:sz w:val="20"/>
              </w:rPr>
              <w:t> </w:t>
            </w:r>
            <w:r>
              <w:rPr>
                <w:sz w:val="20"/>
              </w:rPr>
              <w:t>/ Cantidad de compras de Equipo el Programa Protección y Promoción Social programadas en el Plan de compras * 100</w:t>
            </w:r>
          </w:p>
        </w:tc>
      </w:tr>
      <w:tr>
        <w:trPr>
          <w:trHeight w:val="313" w:hRule="atLeast"/>
        </w:trPr>
        <w:tc>
          <w:tcPr>
            <w:tcW w:w="2835" w:type="dxa"/>
            <w:gridSpan w:val="2"/>
            <w:shd w:val="clear" w:color="auto" w:fill="DCE6F0"/>
          </w:tcPr>
          <w:p>
            <w:pPr>
              <w:pStyle w:val="TableParagraph"/>
              <w:spacing w:before="40"/>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40"/>
              <w:ind w:left="69"/>
              <w:rPr>
                <w:sz w:val="20"/>
              </w:rPr>
            </w:pPr>
            <w:r>
              <w:rPr>
                <w:spacing w:val="-2"/>
                <w:sz w:val="20"/>
              </w:rPr>
              <w:t>Porcentaje</w:t>
            </w:r>
          </w:p>
        </w:tc>
      </w:tr>
      <w:tr>
        <w:trPr>
          <w:trHeight w:val="1380" w:hRule="atLeast"/>
        </w:trPr>
        <w:tc>
          <w:tcPr>
            <w:tcW w:w="2835" w:type="dxa"/>
            <w:gridSpan w:val="2"/>
            <w:shd w:val="clear" w:color="auto" w:fill="DCE6F0"/>
          </w:tcPr>
          <w:p>
            <w:pPr>
              <w:pStyle w:val="TableParagraph"/>
              <w:rPr>
                <w:b/>
                <w:sz w:val="20"/>
              </w:rPr>
            </w:pPr>
          </w:p>
          <w:p>
            <w:pPr>
              <w:pStyle w:val="TableParagraph"/>
              <w:spacing w:before="115"/>
              <w:rPr>
                <w:b/>
                <w:sz w:val="20"/>
              </w:rPr>
            </w:pPr>
          </w:p>
          <w:p>
            <w:pPr>
              <w:pStyle w:val="TableParagraph"/>
              <w:spacing w:before="1"/>
              <w:ind w:left="67"/>
              <w:rPr>
                <w:b/>
                <w:sz w:val="20"/>
              </w:rPr>
            </w:pPr>
            <w:r>
              <w:rPr>
                <w:b/>
                <w:spacing w:val="-2"/>
                <w:sz w:val="20"/>
              </w:rPr>
              <w:t>Interpretación:</w:t>
            </w:r>
          </w:p>
        </w:tc>
        <w:tc>
          <w:tcPr>
            <w:tcW w:w="7514" w:type="dxa"/>
          </w:tcPr>
          <w:p>
            <w:pPr>
              <w:pStyle w:val="TableParagraph"/>
              <w:ind w:left="69"/>
              <w:rPr>
                <w:sz w:val="20"/>
              </w:rPr>
            </w:pPr>
            <w:r>
              <w:rPr>
                <w:sz w:val="20"/>
              </w:rPr>
              <w:t>El</w:t>
            </w:r>
            <w:r>
              <w:rPr>
                <w:spacing w:val="-4"/>
                <w:sz w:val="20"/>
              </w:rPr>
              <w:t> </w:t>
            </w:r>
            <w:r>
              <w:rPr>
                <w:sz w:val="20"/>
              </w:rPr>
              <w:t>porcentaje</w:t>
            </w:r>
            <w:r>
              <w:rPr>
                <w:spacing w:val="-5"/>
                <w:sz w:val="20"/>
              </w:rPr>
              <w:t> </w:t>
            </w:r>
            <w:r>
              <w:rPr>
                <w:sz w:val="20"/>
              </w:rPr>
              <w:t>de</w:t>
            </w:r>
            <w:r>
              <w:rPr>
                <w:spacing w:val="-5"/>
                <w:sz w:val="20"/>
              </w:rPr>
              <w:t> </w:t>
            </w:r>
            <w:r>
              <w:rPr>
                <w:sz w:val="20"/>
              </w:rPr>
              <w:t>compras</w:t>
            </w:r>
            <w:r>
              <w:rPr>
                <w:spacing w:val="-2"/>
                <w:sz w:val="20"/>
              </w:rPr>
              <w:t> </w:t>
            </w:r>
            <w:r>
              <w:rPr>
                <w:sz w:val="20"/>
              </w:rPr>
              <w:t>de</w:t>
            </w:r>
            <w:r>
              <w:rPr>
                <w:spacing w:val="-5"/>
                <w:sz w:val="20"/>
              </w:rPr>
              <w:t> </w:t>
            </w:r>
            <w:r>
              <w:rPr>
                <w:sz w:val="20"/>
              </w:rPr>
              <w:t>Equipo</w:t>
            </w:r>
            <w:r>
              <w:rPr>
                <w:spacing w:val="-4"/>
                <w:sz w:val="20"/>
              </w:rPr>
              <w:t> </w:t>
            </w:r>
            <w:r>
              <w:rPr>
                <w:sz w:val="20"/>
              </w:rPr>
              <w:t>el</w:t>
            </w:r>
            <w:r>
              <w:rPr>
                <w:spacing w:val="-4"/>
                <w:sz w:val="20"/>
              </w:rPr>
              <w:t> </w:t>
            </w:r>
            <w:r>
              <w:rPr>
                <w:sz w:val="20"/>
              </w:rPr>
              <w:t>Programa</w:t>
            </w:r>
            <w:r>
              <w:rPr>
                <w:spacing w:val="-3"/>
                <w:sz w:val="20"/>
              </w:rPr>
              <w:t> </w:t>
            </w:r>
            <w:r>
              <w:rPr>
                <w:sz w:val="20"/>
              </w:rPr>
              <w:t>Protección</w:t>
            </w:r>
            <w:r>
              <w:rPr>
                <w:spacing w:val="-6"/>
                <w:sz w:val="20"/>
              </w:rPr>
              <w:t> </w:t>
            </w:r>
            <w:r>
              <w:rPr>
                <w:sz w:val="20"/>
              </w:rPr>
              <w:t>y</w:t>
            </w:r>
            <w:r>
              <w:rPr>
                <w:spacing w:val="-4"/>
                <w:sz w:val="20"/>
              </w:rPr>
              <w:t> </w:t>
            </w:r>
            <w:r>
              <w:rPr>
                <w:sz w:val="20"/>
              </w:rPr>
              <w:t>Promoción</w:t>
            </w:r>
            <w:r>
              <w:rPr>
                <w:spacing w:val="-4"/>
                <w:sz w:val="20"/>
              </w:rPr>
              <w:t> </w:t>
            </w:r>
            <w:r>
              <w:rPr>
                <w:sz w:val="20"/>
              </w:rPr>
              <w:t>Social, realizadas conforme a lo programado en el Plan de Compras del PPSS en “X” periodo es de “Y%”.</w:t>
            </w:r>
          </w:p>
          <w:p>
            <w:pPr>
              <w:pStyle w:val="TableParagraph"/>
              <w:spacing w:line="230" w:lineRule="exact"/>
              <w:ind w:left="69" w:right="93"/>
              <w:rPr>
                <w:sz w:val="20"/>
              </w:rPr>
            </w:pPr>
            <w:r>
              <w:rPr>
                <w:sz w:val="20"/>
              </w:rPr>
              <w:t>En</w:t>
            </w:r>
            <w:r>
              <w:rPr>
                <w:spacing w:val="-4"/>
                <w:sz w:val="20"/>
              </w:rPr>
              <w:t> </w:t>
            </w:r>
            <w:r>
              <w:rPr>
                <w:sz w:val="20"/>
              </w:rPr>
              <w:t>esta</w:t>
            </w:r>
            <w:r>
              <w:rPr>
                <w:spacing w:val="-4"/>
                <w:sz w:val="20"/>
              </w:rPr>
              <w:t> </w:t>
            </w:r>
            <w:r>
              <w:rPr>
                <w:sz w:val="20"/>
              </w:rPr>
              <w:t>“X”</w:t>
            </w:r>
            <w:r>
              <w:rPr>
                <w:spacing w:val="-4"/>
                <w:sz w:val="20"/>
              </w:rPr>
              <w:t> </w:t>
            </w:r>
            <w:r>
              <w:rPr>
                <w:sz w:val="20"/>
              </w:rPr>
              <w:t>representa</w:t>
            </w:r>
            <w:r>
              <w:rPr>
                <w:spacing w:val="-2"/>
                <w:sz w:val="20"/>
              </w:rPr>
              <w:t> </w:t>
            </w:r>
            <w:r>
              <w:rPr>
                <w:sz w:val="20"/>
              </w:rPr>
              <w:t>el</w:t>
            </w:r>
            <w:r>
              <w:rPr>
                <w:spacing w:val="-3"/>
                <w:sz w:val="20"/>
              </w:rPr>
              <w:t> </w:t>
            </w:r>
            <w:r>
              <w:rPr>
                <w:sz w:val="20"/>
              </w:rPr>
              <w:t>período</w:t>
            </w:r>
            <w:r>
              <w:rPr>
                <w:spacing w:val="-3"/>
                <w:sz w:val="20"/>
              </w:rPr>
              <w:t> </w:t>
            </w:r>
            <w:r>
              <w:rPr>
                <w:sz w:val="20"/>
              </w:rPr>
              <w:t>de</w:t>
            </w:r>
            <w:r>
              <w:rPr>
                <w:spacing w:val="-5"/>
                <w:sz w:val="20"/>
              </w:rPr>
              <w:t> </w:t>
            </w:r>
            <w:r>
              <w:rPr>
                <w:sz w:val="20"/>
              </w:rPr>
              <w:t>tiempo</w:t>
            </w:r>
            <w:r>
              <w:rPr>
                <w:spacing w:val="-2"/>
                <w:sz w:val="20"/>
              </w:rPr>
              <w:t> </w:t>
            </w:r>
            <w:r>
              <w:rPr>
                <w:sz w:val="20"/>
              </w:rPr>
              <w:t>según</w:t>
            </w:r>
            <w:r>
              <w:rPr>
                <w:spacing w:val="-4"/>
                <w:sz w:val="20"/>
              </w:rPr>
              <w:t> </w:t>
            </w:r>
            <w:r>
              <w:rPr>
                <w:sz w:val="20"/>
              </w:rPr>
              <w:t>la</w:t>
            </w:r>
            <w:r>
              <w:rPr>
                <w:spacing w:val="-4"/>
                <w:sz w:val="20"/>
              </w:rPr>
              <w:t> </w:t>
            </w:r>
            <w:r>
              <w:rPr>
                <w:sz w:val="20"/>
              </w:rPr>
              <w:t>frecuencia</w:t>
            </w:r>
            <w:r>
              <w:rPr>
                <w:spacing w:val="-2"/>
                <w:sz w:val="20"/>
              </w:rPr>
              <w:t> </w:t>
            </w:r>
            <w:r>
              <w:rPr>
                <w:sz w:val="20"/>
              </w:rPr>
              <w:t>de</w:t>
            </w:r>
            <w:r>
              <w:rPr>
                <w:spacing w:val="-3"/>
                <w:sz w:val="20"/>
              </w:rPr>
              <w:t> </w:t>
            </w:r>
            <w:r>
              <w:rPr>
                <w:sz w:val="20"/>
              </w:rPr>
              <w:t>medición,</w:t>
            </w:r>
            <w:r>
              <w:rPr>
                <w:spacing w:val="-4"/>
                <w:sz w:val="20"/>
              </w:rPr>
              <w:t> </w:t>
            </w:r>
            <w:r>
              <w:rPr>
                <w:sz w:val="20"/>
              </w:rPr>
              <w:t>y</w:t>
            </w:r>
            <w:r>
              <w:rPr>
                <w:spacing w:val="-3"/>
                <w:sz w:val="20"/>
              </w:rPr>
              <w:t> </w:t>
            </w:r>
            <w:r>
              <w:rPr>
                <w:sz w:val="20"/>
              </w:rPr>
              <w:t>“Y” significa la meta alcanzada a ese momento según la unidad de medida </w:t>
            </w:r>
            <w:r>
              <w:rPr>
                <w:spacing w:val="-2"/>
                <w:sz w:val="20"/>
              </w:rPr>
              <w:t>establecida.</w:t>
            </w:r>
          </w:p>
        </w:tc>
      </w:tr>
      <w:tr>
        <w:trPr>
          <w:trHeight w:val="316" w:hRule="atLeast"/>
        </w:trPr>
        <w:tc>
          <w:tcPr>
            <w:tcW w:w="2835" w:type="dxa"/>
            <w:gridSpan w:val="2"/>
            <w:shd w:val="clear" w:color="auto" w:fill="DCE6F0"/>
          </w:tcPr>
          <w:p>
            <w:pPr>
              <w:pStyle w:val="TableParagraph"/>
              <w:spacing w:before="42"/>
              <w:ind w:left="67"/>
              <w:rPr>
                <w:b/>
                <w:sz w:val="20"/>
              </w:rPr>
            </w:pPr>
            <w:r>
              <w:rPr>
                <w:b/>
                <w:spacing w:val="-2"/>
                <w:sz w:val="20"/>
              </w:rPr>
              <w:t>Desagregación</w:t>
            </w:r>
          </w:p>
        </w:tc>
        <w:tc>
          <w:tcPr>
            <w:tcW w:w="7514"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4" w:hRule="atLeast"/>
        </w:trPr>
        <w:tc>
          <w:tcPr>
            <w:tcW w:w="2835" w:type="dxa"/>
            <w:gridSpan w:val="2"/>
            <w:shd w:val="clear" w:color="auto" w:fill="DCE6F0"/>
          </w:tcPr>
          <w:p>
            <w:pPr>
              <w:pStyle w:val="TableParagraph"/>
              <w:spacing w:before="40"/>
              <w:ind w:left="67"/>
              <w:rPr>
                <w:b/>
                <w:sz w:val="20"/>
              </w:rPr>
            </w:pPr>
            <w:r>
              <w:rPr>
                <w:b/>
                <w:spacing w:val="-2"/>
                <w:sz w:val="20"/>
              </w:rPr>
              <w:t>Meta:</w:t>
            </w:r>
          </w:p>
        </w:tc>
        <w:tc>
          <w:tcPr>
            <w:tcW w:w="7514" w:type="dxa"/>
          </w:tcPr>
          <w:p>
            <w:pPr>
              <w:pStyle w:val="TableParagraph"/>
              <w:spacing w:before="40"/>
              <w:ind w:left="69"/>
              <w:rPr>
                <w:sz w:val="20"/>
              </w:rPr>
            </w:pPr>
            <w:r>
              <w:rPr>
                <w:spacing w:val="-4"/>
                <w:sz w:val="20"/>
              </w:rPr>
              <w:t>100%</w:t>
            </w:r>
          </w:p>
        </w:tc>
      </w:tr>
      <w:tr>
        <w:trPr>
          <w:trHeight w:val="313" w:hRule="atLeast"/>
        </w:trPr>
        <w:tc>
          <w:tcPr>
            <w:tcW w:w="2835" w:type="dxa"/>
            <w:gridSpan w:val="2"/>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7514" w:type="dxa"/>
          </w:tcPr>
          <w:p>
            <w:pPr>
              <w:pStyle w:val="TableParagraph"/>
              <w:spacing w:before="42"/>
              <w:ind w:left="69"/>
              <w:rPr>
                <w:sz w:val="20"/>
              </w:rPr>
            </w:pPr>
            <w:r>
              <w:rPr>
                <w:sz w:val="20"/>
              </w:rPr>
              <w:t>No</w:t>
            </w:r>
            <w:r>
              <w:rPr>
                <w:spacing w:val="-5"/>
                <w:sz w:val="20"/>
              </w:rPr>
              <w:t> </w:t>
            </w:r>
            <w:r>
              <w:rPr>
                <w:spacing w:val="-2"/>
                <w:sz w:val="20"/>
              </w:rPr>
              <w:t>aplica.</w:t>
            </w:r>
          </w:p>
        </w:tc>
      </w:tr>
      <w:tr>
        <w:trPr>
          <w:trHeight w:val="630" w:hRule="atLeast"/>
        </w:trPr>
        <w:tc>
          <w:tcPr>
            <w:tcW w:w="2835" w:type="dxa"/>
            <w:gridSpan w:val="2"/>
            <w:shd w:val="clear" w:color="auto" w:fill="DCE6F0"/>
          </w:tcPr>
          <w:p>
            <w:pPr>
              <w:pStyle w:val="TableParagraph"/>
              <w:spacing w:before="8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201"/>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835" w:type="dxa"/>
            <w:gridSpan w:val="2"/>
            <w:shd w:val="clear" w:color="auto" w:fill="DCE6F0"/>
          </w:tcPr>
          <w:p>
            <w:pPr>
              <w:pStyle w:val="TableParagraph"/>
              <w:spacing w:before="11"/>
              <w:rPr>
                <w:b/>
                <w:sz w:val="20"/>
              </w:rPr>
            </w:pPr>
          </w:p>
          <w:p>
            <w:pPr>
              <w:pStyle w:val="TableParagraph"/>
              <w:spacing w:before="1"/>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11"/>
              <w:rPr>
                <w:b/>
                <w:sz w:val="20"/>
              </w:rPr>
            </w:pPr>
          </w:p>
          <w:p>
            <w:pPr>
              <w:pStyle w:val="TableParagraph"/>
              <w:spacing w:before="1"/>
              <w:ind w:left="69" w:right="2852"/>
              <w:rPr>
                <w:sz w:val="20"/>
              </w:rPr>
            </w:pPr>
            <w:r>
              <w:rPr>
                <w:sz w:val="20"/>
              </w:rPr>
              <w:t>Nombre del funcionario: Diego Salazar Sánchez Cargo:</w:t>
            </w:r>
            <w:r>
              <w:rPr>
                <w:spacing w:val="-8"/>
                <w:sz w:val="20"/>
              </w:rPr>
              <w:t> </w:t>
            </w:r>
            <w:r>
              <w:rPr>
                <w:sz w:val="20"/>
              </w:rPr>
              <w:t>Asistente,</w:t>
            </w:r>
            <w:r>
              <w:rPr>
                <w:spacing w:val="-8"/>
                <w:sz w:val="20"/>
              </w:rPr>
              <w:t> </w:t>
            </w:r>
            <w:r>
              <w:rPr>
                <w:sz w:val="20"/>
              </w:rPr>
              <w:t>Dirección</w:t>
            </w:r>
            <w:r>
              <w:rPr>
                <w:spacing w:val="-8"/>
                <w:sz w:val="20"/>
              </w:rPr>
              <w:t> </w:t>
            </w:r>
            <w:r>
              <w:rPr>
                <w:sz w:val="20"/>
              </w:rPr>
              <w:t>de</w:t>
            </w:r>
            <w:r>
              <w:rPr>
                <w:spacing w:val="-11"/>
                <w:sz w:val="20"/>
              </w:rPr>
              <w:t> </w:t>
            </w:r>
            <w:r>
              <w:rPr>
                <w:sz w:val="20"/>
              </w:rPr>
              <w:t>Desarrollo</w:t>
            </w:r>
            <w:r>
              <w:rPr>
                <w:spacing w:val="-8"/>
                <w:sz w:val="20"/>
              </w:rPr>
              <w:t> </w:t>
            </w:r>
            <w:r>
              <w:rPr>
                <w:sz w:val="20"/>
              </w:rPr>
              <w:t>Social.</w:t>
            </w:r>
          </w:p>
        </w:tc>
      </w:tr>
      <w:tr>
        <w:trPr>
          <w:trHeight w:val="690" w:hRule="atLeast"/>
        </w:trPr>
        <w:tc>
          <w:tcPr>
            <w:tcW w:w="2835" w:type="dxa"/>
            <w:gridSpan w:val="2"/>
            <w:tcBorders>
              <w:bottom w:val="nil"/>
            </w:tcBorders>
            <w:shd w:val="clear" w:color="auto" w:fill="DCE6F0"/>
          </w:tcPr>
          <w:p>
            <w:pPr>
              <w:pStyle w:val="TableParagraph"/>
              <w:spacing w:before="117"/>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Borders>
              <w:bottom w:val="thickThinMediumGap" w:sz="9" w:space="0" w:color="808080"/>
            </w:tcBorders>
          </w:tcPr>
          <w:p>
            <w:pPr>
              <w:pStyle w:val="TableParagraph"/>
              <w:spacing w:before="2"/>
              <w:rPr>
                <w:b/>
                <w:sz w:val="20"/>
              </w:rPr>
            </w:pPr>
          </w:p>
          <w:p>
            <w:pPr>
              <w:pStyle w:val="TableParagraph"/>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1655" w:hRule="atLeast"/>
        </w:trPr>
        <w:tc>
          <w:tcPr>
            <w:tcW w:w="1498" w:type="dxa"/>
            <w:tcBorders>
              <w:top w:val="thinThickMediumGap" w:sz="9" w:space="0" w:color="808080"/>
              <w:left w:val="nil"/>
              <w:bottom w:val="nil"/>
              <w:right w:val="single" w:sz="18" w:space="0" w:color="808080"/>
            </w:tcBorders>
          </w:tcPr>
          <w:p>
            <w:pPr>
              <w:pStyle w:val="TableParagraph"/>
              <w:ind w:left="679"/>
              <w:rPr>
                <w:b/>
                <w:sz w:val="24"/>
              </w:rPr>
            </w:pPr>
            <w:r>
              <w:rPr>
                <w:b/>
                <w:spacing w:val="-5"/>
                <w:sz w:val="24"/>
              </w:rPr>
              <w:t>196</w:t>
            </w:r>
          </w:p>
        </w:tc>
        <w:tc>
          <w:tcPr>
            <w:tcW w:w="8851" w:type="dxa"/>
            <w:gridSpan w:val="2"/>
            <w:tcBorders>
              <w:top w:val="nil"/>
              <w:left w:val="single" w:sz="18" w:space="0" w:color="808080"/>
              <w:bottom w:val="nil"/>
              <w:right w:val="nil"/>
            </w:tcBorders>
          </w:tcPr>
          <w:p>
            <w:pPr>
              <w:pStyle w:val="TableParagraph"/>
              <w:ind w:left="90"/>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c>
      </w:tr>
    </w:tbl>
    <w:p>
      <w:pPr>
        <w:pStyle w:val="TableParagraph"/>
        <w:spacing w:after="0"/>
        <w:rPr>
          <w:b/>
          <w:i/>
          <w:sz w:val="24"/>
        </w:rPr>
        <w:sectPr>
          <w:footerReference w:type="default" r:id="rId142"/>
          <w:pgSz w:w="12240" w:h="15840"/>
          <w:pgMar w:header="0" w:footer="0" w:top="1400" w:bottom="280"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314" w:hRule="atLeast"/>
        </w:trPr>
        <w:tc>
          <w:tcPr>
            <w:tcW w:w="2835" w:type="dxa"/>
            <w:shd w:val="clear" w:color="auto" w:fill="DCE6F0"/>
          </w:tcPr>
          <w:p>
            <w:pPr>
              <w:pStyle w:val="TableParagraph"/>
              <w:spacing w:before="43"/>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43"/>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6" w:hRule="atLeast"/>
        </w:trPr>
        <w:tc>
          <w:tcPr>
            <w:tcW w:w="2835" w:type="dxa"/>
            <w:shd w:val="clear" w:color="auto" w:fill="DCE6F0"/>
          </w:tcPr>
          <w:p>
            <w:pPr>
              <w:pStyle w:val="TableParagraph"/>
              <w:spacing w:before="42"/>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42"/>
              <w:ind w:left="69"/>
              <w:rPr>
                <w:sz w:val="20"/>
              </w:rPr>
            </w:pPr>
            <w:r>
              <w:rPr>
                <w:sz w:val="20"/>
              </w:rPr>
              <w:t>Registros</w:t>
            </w:r>
            <w:r>
              <w:rPr>
                <w:spacing w:val="-6"/>
                <w:sz w:val="20"/>
              </w:rPr>
              <w:t> </w:t>
            </w:r>
            <w:r>
              <w:rPr>
                <w:sz w:val="20"/>
              </w:rPr>
              <w:t>efectuados</w:t>
            </w:r>
            <w:r>
              <w:rPr>
                <w:spacing w:val="-7"/>
                <w:sz w:val="20"/>
              </w:rPr>
              <w:t> </w:t>
            </w:r>
            <w:r>
              <w:rPr>
                <w:sz w:val="20"/>
              </w:rPr>
              <w:t>en</w:t>
            </w:r>
            <w:r>
              <w:rPr>
                <w:spacing w:val="-7"/>
                <w:sz w:val="20"/>
              </w:rPr>
              <w:t> </w:t>
            </w:r>
            <w:r>
              <w:rPr>
                <w:sz w:val="20"/>
              </w:rPr>
              <w:t>sistema</w:t>
            </w:r>
            <w:r>
              <w:rPr>
                <w:spacing w:val="-8"/>
                <w:sz w:val="20"/>
              </w:rPr>
              <w:t> </w:t>
            </w:r>
            <w:r>
              <w:rPr>
                <w:sz w:val="20"/>
              </w:rPr>
              <w:t>de</w:t>
            </w:r>
            <w:r>
              <w:rPr>
                <w:spacing w:val="-8"/>
                <w:sz w:val="20"/>
              </w:rPr>
              <w:t> </w:t>
            </w:r>
            <w:r>
              <w:rPr>
                <w:spacing w:val="-2"/>
                <w:sz w:val="20"/>
              </w:rPr>
              <w:t>pagos.</w:t>
            </w:r>
          </w:p>
        </w:tc>
      </w:tr>
      <w:tr>
        <w:trPr>
          <w:trHeight w:val="899" w:hRule="atLeast"/>
        </w:trPr>
        <w:tc>
          <w:tcPr>
            <w:tcW w:w="2835" w:type="dxa"/>
            <w:shd w:val="clear" w:color="auto" w:fill="DCE6F0"/>
          </w:tcPr>
          <w:p>
            <w:pPr>
              <w:pStyle w:val="TableParagraph"/>
              <w:spacing w:before="103"/>
              <w:rPr>
                <w:b/>
                <w:sz w:val="20"/>
              </w:rPr>
            </w:pPr>
          </w:p>
          <w:p>
            <w:pPr>
              <w:pStyle w:val="TableParagraph"/>
              <w:ind w:left="67"/>
              <w:rPr>
                <w:b/>
                <w:sz w:val="20"/>
              </w:rPr>
            </w:pPr>
            <w:r>
              <w:rPr>
                <w:b/>
                <w:spacing w:val="-2"/>
                <w:sz w:val="20"/>
              </w:rPr>
              <w:t>Clasificación</w:t>
            </w:r>
          </w:p>
        </w:tc>
        <w:tc>
          <w:tcPr>
            <w:tcW w:w="7514" w:type="dxa"/>
          </w:tcPr>
          <w:p>
            <w:pPr>
              <w:pStyle w:val="TableParagraph"/>
              <w:spacing w:before="102"/>
              <w:ind w:left="69" w:right="6306"/>
              <w:rPr>
                <w:sz w:val="20"/>
              </w:rPr>
            </w:pPr>
            <w:r>
              <w:rPr>
                <w:sz w:val="20"/>
              </w:rPr>
              <w:t>Impacto () Efecto () Producto</w:t>
            </w:r>
            <w:r>
              <w:rPr>
                <w:spacing w:val="-14"/>
                <w:sz w:val="20"/>
              </w:rPr>
              <w:t> </w:t>
            </w:r>
            <w:r>
              <w:rPr>
                <w:sz w:val="20"/>
              </w:rPr>
              <w:t>(X)</w:t>
            </w:r>
          </w:p>
        </w:tc>
      </w:tr>
      <w:tr>
        <w:trPr>
          <w:trHeight w:val="313" w:hRule="atLeast"/>
        </w:trPr>
        <w:tc>
          <w:tcPr>
            <w:tcW w:w="2835" w:type="dxa"/>
            <w:shd w:val="clear" w:color="auto" w:fill="DCE6F0"/>
          </w:tcPr>
          <w:p>
            <w:pPr>
              <w:pStyle w:val="TableParagraph"/>
              <w:spacing w:before="42"/>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rPr>
                <w:rFonts w:ascii="Times New Roman"/>
                <w:sz w:val="20"/>
              </w:rPr>
            </w:pPr>
          </w:p>
        </w:tc>
      </w:tr>
    </w:tbl>
    <w:p>
      <w:pPr>
        <w:pStyle w:val="BodyText"/>
        <w:rPr>
          <w:b/>
          <w:sz w:val="20"/>
        </w:rPr>
      </w:pPr>
    </w:p>
    <w:p>
      <w:pPr>
        <w:pStyle w:val="BodyText"/>
        <w:spacing w:before="112"/>
        <w:rPr>
          <w:b/>
          <w:sz w:val="20"/>
        </w:rPr>
      </w:pPr>
    </w:p>
    <w:tbl>
      <w:tblPr>
        <w:tblW w:w="0" w:type="auto"/>
        <w:jc w:val="left"/>
        <w:tblInd w:w="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98"/>
        <w:gridCol w:w="1337"/>
        <w:gridCol w:w="7514"/>
      </w:tblGrid>
      <w:tr>
        <w:trPr>
          <w:trHeight w:val="616" w:hRule="atLeast"/>
        </w:trPr>
        <w:tc>
          <w:tcPr>
            <w:tcW w:w="2835" w:type="dxa"/>
            <w:gridSpan w:val="2"/>
            <w:shd w:val="clear" w:color="auto" w:fill="DCE6F0"/>
          </w:tcPr>
          <w:p>
            <w:pPr>
              <w:pStyle w:val="TableParagraph"/>
              <w:spacing w:before="194"/>
              <w:ind w:left="67"/>
              <w:rPr>
                <w:b/>
                <w:sz w:val="20"/>
              </w:rPr>
            </w:pPr>
            <w:r>
              <w:rPr>
                <w:b/>
                <w:sz w:val="20"/>
              </w:rPr>
              <w:t>PPPS</w:t>
            </w:r>
            <w:r>
              <w:rPr>
                <w:b/>
                <w:spacing w:val="-6"/>
                <w:sz w:val="20"/>
              </w:rPr>
              <w:t> </w:t>
            </w:r>
            <w:r>
              <w:rPr>
                <w:b/>
                <w:spacing w:val="-2"/>
                <w:sz w:val="20"/>
              </w:rPr>
              <w:t>1.3.9:</w:t>
            </w:r>
          </w:p>
        </w:tc>
        <w:tc>
          <w:tcPr>
            <w:tcW w:w="7514" w:type="dxa"/>
          </w:tcPr>
          <w:p>
            <w:pPr>
              <w:pStyle w:val="TableParagraph"/>
              <w:spacing w:before="78"/>
              <w:ind w:left="69" w:right="170"/>
              <w:rPr>
                <w:sz w:val="20"/>
              </w:rPr>
            </w:pPr>
            <w:r>
              <w:rPr>
                <w:sz w:val="20"/>
              </w:rPr>
              <w:t>Nombre</w:t>
            </w:r>
            <w:r>
              <w:rPr>
                <w:spacing w:val="-4"/>
                <w:sz w:val="20"/>
              </w:rPr>
              <w:t> </w:t>
            </w:r>
            <w:r>
              <w:rPr>
                <w:sz w:val="20"/>
              </w:rPr>
              <w:t>del</w:t>
            </w:r>
            <w:r>
              <w:rPr>
                <w:spacing w:val="-6"/>
                <w:sz w:val="20"/>
              </w:rPr>
              <w:t> </w:t>
            </w:r>
            <w:r>
              <w:rPr>
                <w:sz w:val="20"/>
              </w:rPr>
              <w:t>Indicador:</w:t>
            </w:r>
            <w:r>
              <w:rPr>
                <w:spacing w:val="-4"/>
                <w:sz w:val="20"/>
              </w:rPr>
              <w:t> </w:t>
            </w:r>
            <w:r>
              <w:rPr>
                <w:sz w:val="20"/>
              </w:rPr>
              <w:t>Porcentaje</w:t>
            </w:r>
            <w:r>
              <w:rPr>
                <w:spacing w:val="-4"/>
                <w:sz w:val="20"/>
              </w:rPr>
              <w:t> </w:t>
            </w:r>
            <w:r>
              <w:rPr>
                <w:sz w:val="20"/>
              </w:rPr>
              <w:t>de</w:t>
            </w:r>
            <w:r>
              <w:rPr>
                <w:spacing w:val="-6"/>
                <w:sz w:val="20"/>
              </w:rPr>
              <w:t> </w:t>
            </w:r>
            <w:r>
              <w:rPr>
                <w:sz w:val="20"/>
              </w:rPr>
              <w:t>presupuesto</w:t>
            </w:r>
            <w:r>
              <w:rPr>
                <w:spacing w:val="-6"/>
                <w:sz w:val="20"/>
              </w:rPr>
              <w:t> </w:t>
            </w:r>
            <w:r>
              <w:rPr>
                <w:sz w:val="20"/>
              </w:rPr>
              <w:t>programado</w:t>
            </w:r>
            <w:r>
              <w:rPr>
                <w:spacing w:val="-5"/>
                <w:sz w:val="20"/>
              </w:rPr>
              <w:t> </w:t>
            </w:r>
            <w:r>
              <w:rPr>
                <w:sz w:val="20"/>
              </w:rPr>
              <w:t>que</w:t>
            </w:r>
            <w:r>
              <w:rPr>
                <w:spacing w:val="-5"/>
                <w:sz w:val="20"/>
              </w:rPr>
              <w:t> </w:t>
            </w:r>
            <w:r>
              <w:rPr>
                <w:sz w:val="20"/>
              </w:rPr>
              <w:t>se</w:t>
            </w:r>
            <w:r>
              <w:rPr>
                <w:spacing w:val="-4"/>
                <w:sz w:val="20"/>
              </w:rPr>
              <w:t> </w:t>
            </w:r>
            <w:r>
              <w:rPr>
                <w:sz w:val="20"/>
              </w:rPr>
              <w:t>invierte</w:t>
            </w:r>
            <w:r>
              <w:rPr>
                <w:spacing w:val="-5"/>
                <w:sz w:val="20"/>
              </w:rPr>
              <w:t> </w:t>
            </w:r>
            <w:r>
              <w:rPr>
                <w:sz w:val="20"/>
              </w:rPr>
              <w:t>en el pago de servicios de mantenimiento.</w:t>
            </w:r>
          </w:p>
        </w:tc>
      </w:tr>
      <w:tr>
        <w:trPr>
          <w:trHeight w:val="919" w:hRule="atLeast"/>
        </w:trPr>
        <w:tc>
          <w:tcPr>
            <w:tcW w:w="2835" w:type="dxa"/>
            <w:gridSpan w:val="2"/>
            <w:shd w:val="clear" w:color="auto" w:fill="DCE6F0"/>
          </w:tcPr>
          <w:p>
            <w:pPr>
              <w:pStyle w:val="TableParagraph"/>
              <w:spacing w:before="115"/>
              <w:rPr>
                <w:b/>
                <w:sz w:val="20"/>
              </w:rPr>
            </w:pPr>
          </w:p>
          <w:p>
            <w:pPr>
              <w:pStyle w:val="TableParagraph"/>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ind w:left="69"/>
              <w:rPr>
                <w:sz w:val="20"/>
              </w:rPr>
            </w:pPr>
            <w:r>
              <w:rPr>
                <w:sz w:val="20"/>
              </w:rPr>
              <w:t>Cantidad de recursos presupuestarios ejecutados en servicios de mantenimiento (Excluyendo la 1.08.02 y 1.08.05) / Cantidad de recursos presupuestarios</w:t>
            </w:r>
          </w:p>
          <w:p>
            <w:pPr>
              <w:pStyle w:val="TableParagraph"/>
              <w:spacing w:line="230" w:lineRule="exact"/>
              <w:ind w:left="69"/>
              <w:rPr>
                <w:sz w:val="20"/>
              </w:rPr>
            </w:pPr>
            <w:r>
              <w:rPr>
                <w:sz w:val="20"/>
              </w:rPr>
              <w:t>programados</w:t>
            </w:r>
            <w:r>
              <w:rPr>
                <w:spacing w:val="-2"/>
                <w:sz w:val="20"/>
              </w:rPr>
              <w:t> </w:t>
            </w:r>
            <w:r>
              <w:rPr>
                <w:sz w:val="20"/>
              </w:rPr>
              <w:t>en</w:t>
            </w:r>
            <w:r>
              <w:rPr>
                <w:spacing w:val="-4"/>
                <w:sz w:val="20"/>
              </w:rPr>
              <w:t> </w:t>
            </w:r>
            <w:r>
              <w:rPr>
                <w:sz w:val="20"/>
              </w:rPr>
              <w:t>la</w:t>
            </w:r>
            <w:r>
              <w:rPr>
                <w:spacing w:val="-5"/>
                <w:sz w:val="20"/>
              </w:rPr>
              <w:t> </w:t>
            </w:r>
            <w:r>
              <w:rPr>
                <w:sz w:val="20"/>
              </w:rPr>
              <w:t>subpartida</w:t>
            </w:r>
            <w:r>
              <w:rPr>
                <w:spacing w:val="-6"/>
                <w:sz w:val="20"/>
              </w:rPr>
              <w:t> </w:t>
            </w:r>
            <w:r>
              <w:rPr>
                <w:sz w:val="20"/>
              </w:rPr>
              <w:t>1.08</w:t>
            </w:r>
            <w:r>
              <w:rPr>
                <w:spacing w:val="-4"/>
                <w:sz w:val="20"/>
              </w:rPr>
              <w:t> </w:t>
            </w:r>
            <w:r>
              <w:rPr>
                <w:sz w:val="20"/>
              </w:rPr>
              <w:t>de</w:t>
            </w:r>
            <w:r>
              <w:rPr>
                <w:spacing w:val="-6"/>
                <w:sz w:val="20"/>
              </w:rPr>
              <w:t> </w:t>
            </w:r>
            <w:r>
              <w:rPr>
                <w:sz w:val="20"/>
              </w:rPr>
              <w:t>Mantenimiento</w:t>
            </w:r>
            <w:r>
              <w:rPr>
                <w:spacing w:val="-3"/>
                <w:sz w:val="20"/>
              </w:rPr>
              <w:t> </w:t>
            </w:r>
            <w:r>
              <w:rPr>
                <w:sz w:val="20"/>
              </w:rPr>
              <w:t>y</w:t>
            </w:r>
            <w:r>
              <w:rPr>
                <w:spacing w:val="-4"/>
                <w:sz w:val="20"/>
              </w:rPr>
              <w:t> </w:t>
            </w:r>
            <w:r>
              <w:rPr>
                <w:sz w:val="20"/>
              </w:rPr>
              <w:t>Reparación</w:t>
            </w:r>
            <w:r>
              <w:rPr>
                <w:spacing w:val="-6"/>
                <w:sz w:val="20"/>
              </w:rPr>
              <w:t> </w:t>
            </w:r>
            <w:r>
              <w:rPr>
                <w:sz w:val="20"/>
              </w:rPr>
              <w:t>(Excluyendo</w:t>
            </w:r>
            <w:r>
              <w:rPr>
                <w:spacing w:val="-5"/>
                <w:sz w:val="20"/>
              </w:rPr>
              <w:t> </w:t>
            </w:r>
            <w:r>
              <w:rPr>
                <w:sz w:val="20"/>
              </w:rPr>
              <w:t>la 1.08.02 y 1.08.05) * 100</w:t>
            </w:r>
          </w:p>
        </w:tc>
      </w:tr>
      <w:tr>
        <w:trPr>
          <w:trHeight w:val="315" w:hRule="atLeast"/>
        </w:trPr>
        <w:tc>
          <w:tcPr>
            <w:tcW w:w="2835" w:type="dxa"/>
            <w:gridSpan w:val="2"/>
            <w:shd w:val="clear" w:color="auto" w:fill="DCE6F0"/>
          </w:tcPr>
          <w:p>
            <w:pPr>
              <w:pStyle w:val="TableParagraph"/>
              <w:spacing w:before="42"/>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42"/>
              <w:ind w:left="69"/>
              <w:rPr>
                <w:sz w:val="20"/>
              </w:rPr>
            </w:pPr>
            <w:r>
              <w:rPr>
                <w:spacing w:val="-2"/>
                <w:sz w:val="20"/>
              </w:rPr>
              <w:t>Porcentaje</w:t>
            </w:r>
          </w:p>
        </w:tc>
      </w:tr>
      <w:tr>
        <w:trPr>
          <w:trHeight w:val="1379" w:hRule="atLeast"/>
        </w:trPr>
        <w:tc>
          <w:tcPr>
            <w:tcW w:w="2835" w:type="dxa"/>
            <w:gridSpan w:val="2"/>
            <w:shd w:val="clear" w:color="auto" w:fill="DCE6F0"/>
          </w:tcPr>
          <w:p>
            <w:pPr>
              <w:pStyle w:val="TableParagraph"/>
              <w:rPr>
                <w:b/>
                <w:sz w:val="20"/>
              </w:rPr>
            </w:pPr>
          </w:p>
          <w:p>
            <w:pPr>
              <w:pStyle w:val="TableParagraph"/>
              <w:spacing w:before="113"/>
              <w:rPr>
                <w:b/>
                <w:sz w:val="20"/>
              </w:rPr>
            </w:pPr>
          </w:p>
          <w:p>
            <w:pPr>
              <w:pStyle w:val="TableParagraph"/>
              <w:ind w:left="67"/>
              <w:rPr>
                <w:b/>
                <w:sz w:val="20"/>
              </w:rPr>
            </w:pPr>
            <w:r>
              <w:rPr>
                <w:b/>
                <w:spacing w:val="-2"/>
                <w:sz w:val="20"/>
              </w:rPr>
              <w:t>Interpretación:</w:t>
            </w:r>
          </w:p>
        </w:tc>
        <w:tc>
          <w:tcPr>
            <w:tcW w:w="7514" w:type="dxa"/>
          </w:tcPr>
          <w:p>
            <w:pPr>
              <w:pStyle w:val="TableParagraph"/>
              <w:ind w:left="69"/>
              <w:rPr>
                <w:sz w:val="20"/>
              </w:rPr>
            </w:pPr>
            <w:r>
              <w:rPr>
                <w:sz w:val="20"/>
              </w:rPr>
              <w:t>El porcentaje de presupuesto invertido en el pago de servicios de mantenimiento según</w:t>
            </w:r>
            <w:r>
              <w:rPr>
                <w:spacing w:val="-4"/>
                <w:sz w:val="20"/>
              </w:rPr>
              <w:t> </w:t>
            </w:r>
            <w:r>
              <w:rPr>
                <w:sz w:val="20"/>
              </w:rPr>
              <w:t>lo</w:t>
            </w:r>
            <w:r>
              <w:rPr>
                <w:spacing w:val="-3"/>
                <w:sz w:val="20"/>
              </w:rPr>
              <w:t> </w:t>
            </w:r>
            <w:r>
              <w:rPr>
                <w:sz w:val="20"/>
              </w:rPr>
              <w:t>programado</w:t>
            </w:r>
            <w:r>
              <w:rPr>
                <w:spacing w:val="-5"/>
                <w:sz w:val="20"/>
              </w:rPr>
              <w:t> </w:t>
            </w:r>
            <w:r>
              <w:rPr>
                <w:sz w:val="20"/>
              </w:rPr>
              <w:t>en</w:t>
            </w:r>
            <w:r>
              <w:rPr>
                <w:spacing w:val="-3"/>
                <w:sz w:val="20"/>
              </w:rPr>
              <w:t> </w:t>
            </w:r>
            <w:r>
              <w:rPr>
                <w:sz w:val="20"/>
              </w:rPr>
              <w:t>la</w:t>
            </w:r>
            <w:r>
              <w:rPr>
                <w:spacing w:val="-1"/>
                <w:sz w:val="20"/>
              </w:rPr>
              <w:t> </w:t>
            </w:r>
            <w:r>
              <w:rPr>
                <w:sz w:val="20"/>
              </w:rPr>
              <w:t>subpartida</w:t>
            </w:r>
            <w:r>
              <w:rPr>
                <w:spacing w:val="-4"/>
                <w:sz w:val="20"/>
              </w:rPr>
              <w:t> </w:t>
            </w:r>
            <w:r>
              <w:rPr>
                <w:sz w:val="20"/>
              </w:rPr>
              <w:t>1.08</w:t>
            </w:r>
            <w:r>
              <w:rPr>
                <w:spacing w:val="-5"/>
                <w:sz w:val="20"/>
              </w:rPr>
              <w:t> </w:t>
            </w:r>
            <w:r>
              <w:rPr>
                <w:sz w:val="20"/>
              </w:rPr>
              <w:t>de</w:t>
            </w:r>
            <w:r>
              <w:rPr>
                <w:spacing w:val="-3"/>
                <w:sz w:val="20"/>
              </w:rPr>
              <w:t> </w:t>
            </w:r>
            <w:r>
              <w:rPr>
                <w:sz w:val="20"/>
              </w:rPr>
              <w:t>Mantenimiento</w:t>
            </w:r>
            <w:r>
              <w:rPr>
                <w:spacing w:val="-6"/>
                <w:sz w:val="20"/>
              </w:rPr>
              <w:t> </w:t>
            </w:r>
            <w:r>
              <w:rPr>
                <w:sz w:val="20"/>
              </w:rPr>
              <w:t>y</w:t>
            </w:r>
            <w:r>
              <w:rPr>
                <w:spacing w:val="-4"/>
                <w:sz w:val="20"/>
              </w:rPr>
              <w:t> </w:t>
            </w:r>
            <w:r>
              <w:rPr>
                <w:sz w:val="20"/>
              </w:rPr>
              <w:t>Reparación,</w:t>
            </w:r>
            <w:r>
              <w:rPr>
                <w:spacing w:val="-3"/>
                <w:sz w:val="20"/>
              </w:rPr>
              <w:t> </w:t>
            </w:r>
            <w:r>
              <w:rPr>
                <w:sz w:val="20"/>
              </w:rPr>
              <w:t>en</w:t>
            </w:r>
            <w:r>
              <w:rPr>
                <w:spacing w:val="-3"/>
                <w:sz w:val="20"/>
              </w:rPr>
              <w:t> </w:t>
            </w:r>
            <w:r>
              <w:rPr>
                <w:sz w:val="20"/>
              </w:rPr>
              <w:t>“X” periodo es de “Y%”.</w:t>
            </w:r>
          </w:p>
          <w:p>
            <w:pPr>
              <w:pStyle w:val="TableParagraph"/>
              <w:spacing w:line="230" w:lineRule="exact"/>
              <w:ind w:left="69" w:right="93"/>
              <w:rPr>
                <w:sz w:val="20"/>
              </w:rPr>
            </w:pPr>
            <w:r>
              <w:rPr>
                <w:sz w:val="20"/>
              </w:rPr>
              <w:t>En</w:t>
            </w:r>
            <w:r>
              <w:rPr>
                <w:spacing w:val="-4"/>
                <w:sz w:val="20"/>
              </w:rPr>
              <w:t> </w:t>
            </w:r>
            <w:r>
              <w:rPr>
                <w:sz w:val="20"/>
              </w:rPr>
              <w:t>esta</w:t>
            </w:r>
            <w:r>
              <w:rPr>
                <w:spacing w:val="-4"/>
                <w:sz w:val="20"/>
              </w:rPr>
              <w:t> </w:t>
            </w:r>
            <w:r>
              <w:rPr>
                <w:sz w:val="20"/>
              </w:rPr>
              <w:t>“X”</w:t>
            </w:r>
            <w:r>
              <w:rPr>
                <w:spacing w:val="-4"/>
                <w:sz w:val="20"/>
              </w:rPr>
              <w:t> </w:t>
            </w:r>
            <w:r>
              <w:rPr>
                <w:sz w:val="20"/>
              </w:rPr>
              <w:t>representa</w:t>
            </w:r>
            <w:r>
              <w:rPr>
                <w:spacing w:val="-2"/>
                <w:sz w:val="20"/>
              </w:rPr>
              <w:t> </w:t>
            </w:r>
            <w:r>
              <w:rPr>
                <w:sz w:val="20"/>
              </w:rPr>
              <w:t>el</w:t>
            </w:r>
            <w:r>
              <w:rPr>
                <w:spacing w:val="-3"/>
                <w:sz w:val="20"/>
              </w:rPr>
              <w:t> </w:t>
            </w:r>
            <w:r>
              <w:rPr>
                <w:sz w:val="20"/>
              </w:rPr>
              <w:t>período</w:t>
            </w:r>
            <w:r>
              <w:rPr>
                <w:spacing w:val="-3"/>
                <w:sz w:val="20"/>
              </w:rPr>
              <w:t> </w:t>
            </w:r>
            <w:r>
              <w:rPr>
                <w:sz w:val="20"/>
              </w:rPr>
              <w:t>de</w:t>
            </w:r>
            <w:r>
              <w:rPr>
                <w:spacing w:val="-5"/>
                <w:sz w:val="20"/>
              </w:rPr>
              <w:t> </w:t>
            </w:r>
            <w:r>
              <w:rPr>
                <w:sz w:val="20"/>
              </w:rPr>
              <w:t>tiempo</w:t>
            </w:r>
            <w:r>
              <w:rPr>
                <w:spacing w:val="-2"/>
                <w:sz w:val="20"/>
              </w:rPr>
              <w:t> </w:t>
            </w:r>
            <w:r>
              <w:rPr>
                <w:sz w:val="20"/>
              </w:rPr>
              <w:t>según</w:t>
            </w:r>
            <w:r>
              <w:rPr>
                <w:spacing w:val="-4"/>
                <w:sz w:val="20"/>
              </w:rPr>
              <w:t> </w:t>
            </w:r>
            <w:r>
              <w:rPr>
                <w:sz w:val="20"/>
              </w:rPr>
              <w:t>la</w:t>
            </w:r>
            <w:r>
              <w:rPr>
                <w:spacing w:val="-4"/>
                <w:sz w:val="20"/>
              </w:rPr>
              <w:t> </w:t>
            </w:r>
            <w:r>
              <w:rPr>
                <w:sz w:val="20"/>
              </w:rPr>
              <w:t>frecuencia</w:t>
            </w:r>
            <w:r>
              <w:rPr>
                <w:spacing w:val="-2"/>
                <w:sz w:val="20"/>
              </w:rPr>
              <w:t> </w:t>
            </w:r>
            <w:r>
              <w:rPr>
                <w:sz w:val="20"/>
              </w:rPr>
              <w:t>de</w:t>
            </w:r>
            <w:r>
              <w:rPr>
                <w:spacing w:val="-3"/>
                <w:sz w:val="20"/>
              </w:rPr>
              <w:t> </w:t>
            </w:r>
            <w:r>
              <w:rPr>
                <w:sz w:val="20"/>
              </w:rPr>
              <w:t>medición,</w:t>
            </w:r>
            <w:r>
              <w:rPr>
                <w:spacing w:val="-4"/>
                <w:sz w:val="20"/>
              </w:rPr>
              <w:t> </w:t>
            </w:r>
            <w:r>
              <w:rPr>
                <w:sz w:val="20"/>
              </w:rPr>
              <w:t>y</w:t>
            </w:r>
            <w:r>
              <w:rPr>
                <w:spacing w:val="-3"/>
                <w:sz w:val="20"/>
              </w:rPr>
              <w:t> </w:t>
            </w:r>
            <w:r>
              <w:rPr>
                <w:sz w:val="20"/>
              </w:rPr>
              <w:t>“Y” significa la meta alcanzada a ese momento según la unidad de medida </w:t>
            </w:r>
            <w:r>
              <w:rPr>
                <w:spacing w:val="-2"/>
                <w:sz w:val="20"/>
              </w:rPr>
              <w:t>establecida.</w:t>
            </w:r>
          </w:p>
        </w:tc>
      </w:tr>
      <w:tr>
        <w:trPr>
          <w:trHeight w:val="313" w:hRule="atLeast"/>
        </w:trPr>
        <w:tc>
          <w:tcPr>
            <w:tcW w:w="2835" w:type="dxa"/>
            <w:gridSpan w:val="2"/>
            <w:shd w:val="clear" w:color="auto" w:fill="DCE6F0"/>
          </w:tcPr>
          <w:p>
            <w:pPr>
              <w:pStyle w:val="TableParagraph"/>
              <w:spacing w:before="42"/>
              <w:ind w:left="67"/>
              <w:rPr>
                <w:b/>
                <w:sz w:val="20"/>
              </w:rPr>
            </w:pPr>
            <w:r>
              <w:rPr>
                <w:b/>
                <w:spacing w:val="-2"/>
                <w:sz w:val="20"/>
              </w:rPr>
              <w:t>Desagregación</w:t>
            </w:r>
          </w:p>
        </w:tc>
        <w:tc>
          <w:tcPr>
            <w:tcW w:w="7514"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6" w:hRule="atLeast"/>
        </w:trPr>
        <w:tc>
          <w:tcPr>
            <w:tcW w:w="2835" w:type="dxa"/>
            <w:gridSpan w:val="2"/>
            <w:shd w:val="clear" w:color="auto" w:fill="DCE6F0"/>
          </w:tcPr>
          <w:p>
            <w:pPr>
              <w:pStyle w:val="TableParagraph"/>
              <w:spacing w:before="42"/>
              <w:ind w:left="67"/>
              <w:rPr>
                <w:b/>
                <w:sz w:val="20"/>
              </w:rPr>
            </w:pPr>
            <w:r>
              <w:rPr>
                <w:b/>
                <w:spacing w:val="-2"/>
                <w:sz w:val="20"/>
              </w:rPr>
              <w:t>Meta:</w:t>
            </w:r>
          </w:p>
        </w:tc>
        <w:tc>
          <w:tcPr>
            <w:tcW w:w="7514" w:type="dxa"/>
          </w:tcPr>
          <w:p>
            <w:pPr>
              <w:pStyle w:val="TableParagraph"/>
              <w:spacing w:before="42"/>
              <w:ind w:left="69"/>
              <w:rPr>
                <w:sz w:val="20"/>
              </w:rPr>
            </w:pPr>
            <w:r>
              <w:rPr>
                <w:spacing w:val="-4"/>
                <w:sz w:val="20"/>
              </w:rPr>
              <w:t>100%</w:t>
            </w:r>
          </w:p>
        </w:tc>
      </w:tr>
      <w:tr>
        <w:trPr>
          <w:trHeight w:val="314" w:hRule="atLeast"/>
        </w:trPr>
        <w:tc>
          <w:tcPr>
            <w:tcW w:w="2835" w:type="dxa"/>
            <w:gridSpan w:val="2"/>
            <w:shd w:val="clear" w:color="auto" w:fill="DCE6F0"/>
          </w:tcPr>
          <w:p>
            <w:pPr>
              <w:pStyle w:val="TableParagraph"/>
              <w:spacing w:before="40"/>
              <w:ind w:left="67"/>
              <w:rPr>
                <w:b/>
                <w:sz w:val="20"/>
              </w:rPr>
            </w:pPr>
            <w:r>
              <w:rPr>
                <w:b/>
                <w:sz w:val="20"/>
              </w:rPr>
              <w:t>Línea</w:t>
            </w:r>
            <w:r>
              <w:rPr>
                <w:b/>
                <w:spacing w:val="-10"/>
                <w:sz w:val="20"/>
              </w:rPr>
              <w:t> </w:t>
            </w:r>
            <w:r>
              <w:rPr>
                <w:b/>
                <w:spacing w:val="-4"/>
                <w:sz w:val="20"/>
              </w:rPr>
              <w:t>Base</w:t>
            </w:r>
          </w:p>
        </w:tc>
        <w:tc>
          <w:tcPr>
            <w:tcW w:w="7514" w:type="dxa"/>
          </w:tcPr>
          <w:p>
            <w:pPr>
              <w:pStyle w:val="TableParagraph"/>
              <w:spacing w:before="40"/>
              <w:ind w:left="69"/>
              <w:rPr>
                <w:sz w:val="20"/>
              </w:rPr>
            </w:pPr>
            <w:r>
              <w:rPr>
                <w:spacing w:val="-2"/>
                <w:sz w:val="20"/>
              </w:rPr>
              <w:t>32,68%</w:t>
            </w:r>
          </w:p>
        </w:tc>
      </w:tr>
      <w:tr>
        <w:trPr>
          <w:trHeight w:val="631" w:hRule="atLeast"/>
        </w:trPr>
        <w:tc>
          <w:tcPr>
            <w:tcW w:w="2835" w:type="dxa"/>
            <w:gridSpan w:val="2"/>
            <w:shd w:val="clear" w:color="auto" w:fill="DCE6F0"/>
          </w:tcPr>
          <w:p>
            <w:pPr>
              <w:pStyle w:val="TableParagraph"/>
              <w:spacing w:before="8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198"/>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835" w:type="dxa"/>
            <w:gridSpan w:val="2"/>
            <w:shd w:val="clear" w:color="auto" w:fill="DCE6F0"/>
          </w:tcPr>
          <w:p>
            <w:pPr>
              <w:pStyle w:val="TableParagraph"/>
              <w:spacing w:before="11"/>
              <w:rPr>
                <w:b/>
                <w:sz w:val="20"/>
              </w:rPr>
            </w:pPr>
          </w:p>
          <w:p>
            <w:pPr>
              <w:pStyle w:val="TableParagraph"/>
              <w:spacing w:before="1"/>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11"/>
              <w:rPr>
                <w:b/>
                <w:sz w:val="20"/>
              </w:rPr>
            </w:pPr>
          </w:p>
          <w:p>
            <w:pPr>
              <w:pStyle w:val="TableParagraph"/>
              <w:spacing w:before="1"/>
              <w:ind w:left="69" w:right="2852"/>
              <w:rPr>
                <w:sz w:val="20"/>
              </w:rPr>
            </w:pPr>
            <w:r>
              <w:rPr>
                <w:sz w:val="20"/>
              </w:rPr>
              <w:t>Nombre del funcionario: Diego Salazar Sánchez Cargo:</w:t>
            </w:r>
            <w:r>
              <w:rPr>
                <w:spacing w:val="-8"/>
                <w:sz w:val="20"/>
              </w:rPr>
              <w:t> </w:t>
            </w:r>
            <w:r>
              <w:rPr>
                <w:sz w:val="20"/>
              </w:rPr>
              <w:t>Asistente,</w:t>
            </w:r>
            <w:r>
              <w:rPr>
                <w:spacing w:val="-8"/>
                <w:sz w:val="20"/>
              </w:rPr>
              <w:t> </w:t>
            </w:r>
            <w:r>
              <w:rPr>
                <w:sz w:val="20"/>
              </w:rPr>
              <w:t>Dirección</w:t>
            </w:r>
            <w:r>
              <w:rPr>
                <w:spacing w:val="-8"/>
                <w:sz w:val="20"/>
              </w:rPr>
              <w:t> </w:t>
            </w:r>
            <w:r>
              <w:rPr>
                <w:sz w:val="20"/>
              </w:rPr>
              <w:t>de</w:t>
            </w:r>
            <w:r>
              <w:rPr>
                <w:spacing w:val="-11"/>
                <w:sz w:val="20"/>
              </w:rPr>
              <w:t> </w:t>
            </w:r>
            <w:r>
              <w:rPr>
                <w:sz w:val="20"/>
              </w:rPr>
              <w:t>Desarrollo</w:t>
            </w:r>
            <w:r>
              <w:rPr>
                <w:spacing w:val="-8"/>
                <w:sz w:val="20"/>
              </w:rPr>
              <w:t> </w:t>
            </w:r>
            <w:r>
              <w:rPr>
                <w:sz w:val="20"/>
              </w:rPr>
              <w:t>Social.</w:t>
            </w:r>
          </w:p>
        </w:tc>
      </w:tr>
      <w:tr>
        <w:trPr>
          <w:trHeight w:val="945" w:hRule="atLeast"/>
        </w:trPr>
        <w:tc>
          <w:tcPr>
            <w:tcW w:w="2835" w:type="dxa"/>
            <w:gridSpan w:val="2"/>
            <w:shd w:val="clear" w:color="auto" w:fill="DCE6F0"/>
          </w:tcPr>
          <w:p>
            <w:pPr>
              <w:pStyle w:val="TableParagraph"/>
              <w:spacing w:before="11"/>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27"/>
              <w:rPr>
                <w:b/>
                <w:sz w:val="20"/>
              </w:rPr>
            </w:pPr>
          </w:p>
          <w:p>
            <w:pPr>
              <w:pStyle w:val="TableParagraph"/>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3" w:hRule="atLeast"/>
        </w:trPr>
        <w:tc>
          <w:tcPr>
            <w:tcW w:w="2835" w:type="dxa"/>
            <w:gridSpan w:val="2"/>
            <w:shd w:val="clear" w:color="auto" w:fill="DCE6F0"/>
          </w:tcPr>
          <w:p>
            <w:pPr>
              <w:pStyle w:val="TableParagraph"/>
              <w:spacing w:before="40"/>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40"/>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4" w:hRule="atLeast"/>
        </w:trPr>
        <w:tc>
          <w:tcPr>
            <w:tcW w:w="2835" w:type="dxa"/>
            <w:gridSpan w:val="2"/>
            <w:shd w:val="clear" w:color="auto" w:fill="DCE6F0"/>
          </w:tcPr>
          <w:p>
            <w:pPr>
              <w:pStyle w:val="TableParagraph"/>
              <w:spacing w:before="42"/>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42"/>
              <w:ind w:left="69"/>
              <w:rPr>
                <w:sz w:val="20"/>
              </w:rPr>
            </w:pPr>
            <w:r>
              <w:rPr>
                <w:sz w:val="20"/>
              </w:rPr>
              <w:t>Registros</w:t>
            </w:r>
            <w:r>
              <w:rPr>
                <w:spacing w:val="-6"/>
                <w:sz w:val="20"/>
              </w:rPr>
              <w:t> </w:t>
            </w:r>
            <w:r>
              <w:rPr>
                <w:sz w:val="20"/>
              </w:rPr>
              <w:t>efectuados</w:t>
            </w:r>
            <w:r>
              <w:rPr>
                <w:spacing w:val="-7"/>
                <w:sz w:val="20"/>
              </w:rPr>
              <w:t> </w:t>
            </w:r>
            <w:r>
              <w:rPr>
                <w:sz w:val="20"/>
              </w:rPr>
              <w:t>en</w:t>
            </w:r>
            <w:r>
              <w:rPr>
                <w:spacing w:val="-7"/>
                <w:sz w:val="20"/>
              </w:rPr>
              <w:t> </w:t>
            </w:r>
            <w:r>
              <w:rPr>
                <w:sz w:val="20"/>
              </w:rPr>
              <w:t>sistema</w:t>
            </w:r>
            <w:r>
              <w:rPr>
                <w:spacing w:val="-8"/>
                <w:sz w:val="20"/>
              </w:rPr>
              <w:t> </w:t>
            </w:r>
            <w:r>
              <w:rPr>
                <w:sz w:val="20"/>
              </w:rPr>
              <w:t>de</w:t>
            </w:r>
            <w:r>
              <w:rPr>
                <w:spacing w:val="-8"/>
                <w:sz w:val="20"/>
              </w:rPr>
              <w:t> </w:t>
            </w:r>
            <w:r>
              <w:rPr>
                <w:spacing w:val="-2"/>
                <w:sz w:val="20"/>
              </w:rPr>
              <w:t>pagos.</w:t>
            </w:r>
          </w:p>
        </w:tc>
      </w:tr>
      <w:tr>
        <w:trPr>
          <w:trHeight w:val="902" w:hRule="atLeast"/>
        </w:trPr>
        <w:tc>
          <w:tcPr>
            <w:tcW w:w="2835" w:type="dxa"/>
            <w:gridSpan w:val="2"/>
            <w:shd w:val="clear" w:color="auto" w:fill="DCE6F0"/>
          </w:tcPr>
          <w:p>
            <w:pPr>
              <w:pStyle w:val="TableParagraph"/>
              <w:spacing w:before="105"/>
              <w:rPr>
                <w:b/>
                <w:sz w:val="20"/>
              </w:rPr>
            </w:pPr>
          </w:p>
          <w:p>
            <w:pPr>
              <w:pStyle w:val="TableParagraph"/>
              <w:ind w:left="67"/>
              <w:rPr>
                <w:b/>
                <w:sz w:val="20"/>
              </w:rPr>
            </w:pPr>
            <w:r>
              <w:rPr>
                <w:b/>
                <w:spacing w:val="-2"/>
                <w:sz w:val="20"/>
              </w:rPr>
              <w:t>Clasificación</w:t>
            </w:r>
          </w:p>
        </w:tc>
        <w:tc>
          <w:tcPr>
            <w:tcW w:w="7514" w:type="dxa"/>
          </w:tcPr>
          <w:p>
            <w:pPr>
              <w:pStyle w:val="TableParagraph"/>
              <w:spacing w:before="105"/>
              <w:ind w:left="69" w:right="6306"/>
              <w:rPr>
                <w:sz w:val="20"/>
              </w:rPr>
            </w:pPr>
            <w:r>
              <w:rPr>
                <w:sz w:val="20"/>
              </w:rPr>
              <w:t>Impacto ( ) Efecto (</w:t>
            </w:r>
            <w:r>
              <w:rPr>
                <w:spacing w:val="40"/>
                <w:sz w:val="20"/>
              </w:rPr>
              <w:t> </w:t>
            </w:r>
            <w:r>
              <w:rPr>
                <w:sz w:val="20"/>
              </w:rPr>
              <w:t>) Producto</w:t>
            </w:r>
            <w:r>
              <w:rPr>
                <w:spacing w:val="-14"/>
                <w:sz w:val="20"/>
              </w:rPr>
              <w:t> </w:t>
            </w:r>
            <w:r>
              <w:rPr>
                <w:sz w:val="20"/>
              </w:rPr>
              <w:t>(X)</w:t>
            </w:r>
          </w:p>
        </w:tc>
      </w:tr>
      <w:tr>
        <w:trPr>
          <w:trHeight w:val="895" w:hRule="atLeast"/>
        </w:trPr>
        <w:tc>
          <w:tcPr>
            <w:tcW w:w="2835" w:type="dxa"/>
            <w:gridSpan w:val="2"/>
            <w:tcBorders>
              <w:bottom w:val="nil"/>
            </w:tcBorders>
            <w:shd w:val="clear" w:color="auto" w:fill="DCE6F0"/>
          </w:tcPr>
          <w:p>
            <w:pPr>
              <w:pStyle w:val="TableParagraph"/>
              <w:spacing w:before="103"/>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4" w:type="dxa"/>
            <w:tcBorders>
              <w:bottom w:val="thickThinMediumGap" w:sz="9" w:space="0" w:color="808080"/>
            </w:tcBorders>
          </w:tcPr>
          <w:p>
            <w:pPr>
              <w:pStyle w:val="TableParagraph"/>
              <w:ind w:left="69"/>
              <w:rPr>
                <w:sz w:val="20"/>
              </w:rPr>
            </w:pPr>
            <w:r>
              <w:rPr>
                <w:sz w:val="20"/>
              </w:rPr>
              <w:t>Ejecuciones</w:t>
            </w:r>
            <w:r>
              <w:rPr>
                <w:spacing w:val="-4"/>
                <w:sz w:val="20"/>
              </w:rPr>
              <w:t> </w:t>
            </w:r>
            <w:r>
              <w:rPr>
                <w:sz w:val="20"/>
              </w:rPr>
              <w:t>de</w:t>
            </w:r>
            <w:r>
              <w:rPr>
                <w:spacing w:val="-6"/>
                <w:sz w:val="20"/>
              </w:rPr>
              <w:t> </w:t>
            </w:r>
            <w:r>
              <w:rPr>
                <w:sz w:val="20"/>
              </w:rPr>
              <w:t>recursos</w:t>
            </w:r>
            <w:r>
              <w:rPr>
                <w:spacing w:val="-4"/>
                <w:sz w:val="20"/>
              </w:rPr>
              <w:t> </w:t>
            </w:r>
            <w:r>
              <w:rPr>
                <w:sz w:val="20"/>
              </w:rPr>
              <w:t>del</w:t>
            </w:r>
            <w:r>
              <w:rPr>
                <w:spacing w:val="-6"/>
                <w:sz w:val="20"/>
              </w:rPr>
              <w:t> </w:t>
            </w:r>
            <w:r>
              <w:rPr>
                <w:sz w:val="20"/>
              </w:rPr>
              <w:t>grupo</w:t>
            </w:r>
            <w:r>
              <w:rPr>
                <w:spacing w:val="-4"/>
                <w:sz w:val="20"/>
              </w:rPr>
              <w:t> </w:t>
            </w:r>
            <w:r>
              <w:rPr>
                <w:sz w:val="20"/>
              </w:rPr>
              <w:t>de</w:t>
            </w:r>
            <w:r>
              <w:rPr>
                <w:spacing w:val="-6"/>
                <w:sz w:val="20"/>
              </w:rPr>
              <w:t> </w:t>
            </w:r>
            <w:r>
              <w:rPr>
                <w:sz w:val="20"/>
              </w:rPr>
              <w:t>subpartida</w:t>
            </w:r>
            <w:r>
              <w:rPr>
                <w:spacing w:val="-3"/>
                <w:sz w:val="20"/>
              </w:rPr>
              <w:t> </w:t>
            </w:r>
            <w:r>
              <w:rPr>
                <w:sz w:val="20"/>
              </w:rPr>
              <w:t>1.08</w:t>
            </w:r>
            <w:r>
              <w:rPr>
                <w:spacing w:val="-3"/>
                <w:sz w:val="20"/>
              </w:rPr>
              <w:t> </w:t>
            </w:r>
            <w:r>
              <w:rPr>
                <w:sz w:val="20"/>
              </w:rPr>
              <w:t>de</w:t>
            </w:r>
            <w:r>
              <w:rPr>
                <w:spacing w:val="-6"/>
                <w:sz w:val="20"/>
              </w:rPr>
              <w:t> </w:t>
            </w:r>
            <w:r>
              <w:rPr>
                <w:sz w:val="20"/>
              </w:rPr>
              <w:t>Mantenimiento</w:t>
            </w:r>
            <w:r>
              <w:rPr>
                <w:spacing w:val="-5"/>
                <w:sz w:val="20"/>
              </w:rPr>
              <w:t> </w:t>
            </w:r>
            <w:r>
              <w:rPr>
                <w:sz w:val="20"/>
              </w:rPr>
              <w:t>y reparación (Excluyendo la 1.08.02 y 1.08.05)-</w:t>
            </w:r>
          </w:p>
          <w:p>
            <w:pPr>
              <w:pStyle w:val="TableParagraph"/>
              <w:spacing w:line="228" w:lineRule="exact"/>
              <w:ind w:left="69"/>
              <w:rPr>
                <w:sz w:val="20"/>
              </w:rPr>
            </w:pPr>
            <w:r>
              <w:rPr>
                <w:sz w:val="20"/>
              </w:rPr>
              <w:t>Las</w:t>
            </w:r>
            <w:r>
              <w:rPr>
                <w:spacing w:val="-9"/>
                <w:sz w:val="20"/>
              </w:rPr>
              <w:t> </w:t>
            </w:r>
            <w:r>
              <w:rPr>
                <w:sz w:val="20"/>
              </w:rPr>
              <w:t>solicitudes</w:t>
            </w:r>
            <w:r>
              <w:rPr>
                <w:spacing w:val="-8"/>
                <w:sz w:val="20"/>
              </w:rPr>
              <w:t> </w:t>
            </w:r>
            <w:r>
              <w:rPr>
                <w:sz w:val="20"/>
              </w:rPr>
              <w:t>provienen</w:t>
            </w:r>
            <w:r>
              <w:rPr>
                <w:spacing w:val="-9"/>
                <w:sz w:val="20"/>
              </w:rPr>
              <w:t> </w:t>
            </w:r>
            <w:r>
              <w:rPr>
                <w:sz w:val="20"/>
              </w:rPr>
              <w:t>del</w:t>
            </w:r>
            <w:r>
              <w:rPr>
                <w:spacing w:val="-9"/>
                <w:sz w:val="20"/>
              </w:rPr>
              <w:t> </w:t>
            </w:r>
            <w:r>
              <w:rPr>
                <w:sz w:val="20"/>
              </w:rPr>
              <w:t>Programa</w:t>
            </w:r>
            <w:r>
              <w:rPr>
                <w:spacing w:val="-7"/>
                <w:sz w:val="20"/>
              </w:rPr>
              <w:t> </w:t>
            </w:r>
            <w:r>
              <w:rPr>
                <w:sz w:val="20"/>
              </w:rPr>
              <w:t>Protección</w:t>
            </w:r>
            <w:r>
              <w:rPr>
                <w:spacing w:val="-9"/>
                <w:sz w:val="20"/>
              </w:rPr>
              <w:t> </w:t>
            </w:r>
            <w:r>
              <w:rPr>
                <w:sz w:val="20"/>
              </w:rPr>
              <w:t>y</w:t>
            </w:r>
            <w:r>
              <w:rPr>
                <w:spacing w:val="-9"/>
                <w:sz w:val="20"/>
              </w:rPr>
              <w:t> </w:t>
            </w:r>
            <w:r>
              <w:rPr>
                <w:sz w:val="20"/>
              </w:rPr>
              <w:t>Promoción</w:t>
            </w:r>
            <w:r>
              <w:rPr>
                <w:spacing w:val="-7"/>
                <w:sz w:val="20"/>
              </w:rPr>
              <w:t> </w:t>
            </w:r>
            <w:r>
              <w:rPr>
                <w:spacing w:val="-2"/>
                <w:sz w:val="20"/>
              </w:rPr>
              <w:t>Social.</w:t>
            </w:r>
          </w:p>
        </w:tc>
      </w:tr>
      <w:tr>
        <w:trPr>
          <w:trHeight w:val="1654" w:hRule="atLeast"/>
        </w:trPr>
        <w:tc>
          <w:tcPr>
            <w:tcW w:w="1498" w:type="dxa"/>
            <w:tcBorders>
              <w:top w:val="thinThickMediumGap" w:sz="9" w:space="0" w:color="808080"/>
              <w:left w:val="nil"/>
              <w:bottom w:val="nil"/>
              <w:right w:val="single" w:sz="18" w:space="0" w:color="808080"/>
            </w:tcBorders>
          </w:tcPr>
          <w:p>
            <w:pPr>
              <w:pStyle w:val="TableParagraph"/>
              <w:spacing w:line="275" w:lineRule="exact"/>
              <w:ind w:left="679"/>
              <w:rPr>
                <w:b/>
                <w:sz w:val="24"/>
              </w:rPr>
            </w:pPr>
            <w:r>
              <w:rPr>
                <w:b/>
                <w:spacing w:val="-5"/>
                <w:sz w:val="24"/>
              </w:rPr>
              <w:t>197</w:t>
            </w:r>
          </w:p>
        </w:tc>
        <w:tc>
          <w:tcPr>
            <w:tcW w:w="8851" w:type="dxa"/>
            <w:gridSpan w:val="2"/>
            <w:tcBorders>
              <w:top w:val="nil"/>
              <w:left w:val="single" w:sz="18" w:space="0" w:color="808080"/>
              <w:bottom w:val="nil"/>
              <w:right w:val="nil"/>
            </w:tcBorders>
          </w:tcPr>
          <w:p>
            <w:pPr>
              <w:pStyle w:val="TableParagraph"/>
              <w:spacing w:line="275" w:lineRule="exact"/>
              <w:ind w:left="90"/>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c>
      </w:tr>
    </w:tbl>
    <w:p>
      <w:pPr>
        <w:pStyle w:val="TableParagraph"/>
        <w:spacing w:after="0" w:line="275" w:lineRule="exact"/>
        <w:rPr>
          <w:b/>
          <w:i/>
          <w:sz w:val="24"/>
        </w:rPr>
        <w:sectPr>
          <w:footerReference w:type="default" r:id="rId143"/>
          <w:pgSz w:w="12240" w:h="15840"/>
          <w:pgMar w:header="0" w:footer="0" w:top="1400" w:bottom="280" w:left="720" w:right="720"/>
        </w:sect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spacing w:before="242"/>
        <w:rPr>
          <w:b/>
          <w:sz w:val="24"/>
        </w:rPr>
      </w:pPr>
    </w:p>
    <w:p>
      <w:pPr>
        <w:spacing w:line="480" w:lineRule="auto" w:before="0"/>
        <w:ind w:left="840" w:right="1540" w:firstLine="0"/>
        <w:jc w:val="left"/>
        <w:rPr>
          <w:b/>
          <w:sz w:val="24"/>
        </w:rPr>
      </w:pPr>
      <w:bookmarkStart w:name="_bookmark83" w:id="84"/>
      <w:bookmarkEnd w:id="84"/>
      <w:r>
        <w:rPr/>
      </w:r>
      <w:r>
        <w:rPr>
          <w:b/>
          <w:sz w:val="24"/>
        </w:rPr>
        <w:t>Anexo</w:t>
      </w:r>
      <w:r>
        <w:rPr>
          <w:b/>
          <w:spacing w:val="-6"/>
          <w:sz w:val="24"/>
        </w:rPr>
        <w:t> </w:t>
      </w:r>
      <w:r>
        <w:rPr>
          <w:b/>
          <w:sz w:val="24"/>
        </w:rPr>
        <w:t>VI:</w:t>
      </w:r>
      <w:r>
        <w:rPr>
          <w:b/>
          <w:spacing w:val="-6"/>
          <w:sz w:val="24"/>
        </w:rPr>
        <w:t> </w:t>
      </w:r>
      <w:r>
        <w:rPr>
          <w:b/>
          <w:sz w:val="24"/>
        </w:rPr>
        <w:t>Fichas</w:t>
      </w:r>
      <w:r>
        <w:rPr>
          <w:b/>
          <w:spacing w:val="-6"/>
          <w:sz w:val="24"/>
        </w:rPr>
        <w:t> </w:t>
      </w:r>
      <w:r>
        <w:rPr>
          <w:b/>
          <w:sz w:val="24"/>
        </w:rPr>
        <w:t>de</w:t>
      </w:r>
      <w:r>
        <w:rPr>
          <w:b/>
          <w:spacing w:val="-6"/>
          <w:sz w:val="24"/>
        </w:rPr>
        <w:t> </w:t>
      </w:r>
      <w:r>
        <w:rPr>
          <w:b/>
          <w:sz w:val="24"/>
        </w:rPr>
        <w:t>Indicadores</w:t>
      </w:r>
      <w:r>
        <w:rPr>
          <w:b/>
          <w:spacing w:val="-8"/>
          <w:sz w:val="24"/>
        </w:rPr>
        <w:t> </w:t>
      </w:r>
      <w:r>
        <w:rPr>
          <w:b/>
          <w:sz w:val="24"/>
        </w:rPr>
        <w:t>Programa</w:t>
      </w:r>
      <w:r>
        <w:rPr>
          <w:b/>
          <w:spacing w:val="-6"/>
          <w:sz w:val="24"/>
        </w:rPr>
        <w:t> </w:t>
      </w:r>
      <w:r>
        <w:rPr>
          <w:b/>
          <w:sz w:val="24"/>
        </w:rPr>
        <w:t>Actividades</w:t>
      </w:r>
      <w:r>
        <w:rPr>
          <w:b/>
          <w:spacing w:val="-6"/>
          <w:sz w:val="24"/>
        </w:rPr>
        <w:t> </w:t>
      </w:r>
      <w:r>
        <w:rPr>
          <w:b/>
          <w:sz w:val="24"/>
        </w:rPr>
        <w:t>Centrales Gerencia General</w:t>
      </w: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9"/>
        <w:gridCol w:w="7393"/>
      </w:tblGrid>
      <w:tr>
        <w:trPr>
          <w:trHeight w:val="624" w:hRule="atLeast"/>
        </w:trPr>
        <w:tc>
          <w:tcPr>
            <w:tcW w:w="3099" w:type="dxa"/>
            <w:shd w:val="clear" w:color="auto" w:fill="DBE4F0"/>
          </w:tcPr>
          <w:p>
            <w:pPr>
              <w:pStyle w:val="TableParagraph"/>
              <w:spacing w:before="197"/>
              <w:ind w:left="67"/>
              <w:rPr>
                <w:b/>
                <w:sz w:val="20"/>
              </w:rPr>
            </w:pPr>
            <w:r>
              <w:rPr>
                <w:b/>
                <w:sz w:val="20"/>
              </w:rPr>
              <w:t>PAC</w:t>
            </w:r>
            <w:r>
              <w:rPr>
                <w:b/>
                <w:spacing w:val="-8"/>
                <w:sz w:val="20"/>
              </w:rPr>
              <w:t> </w:t>
            </w:r>
            <w:r>
              <w:rPr>
                <w:b/>
                <w:spacing w:val="-2"/>
                <w:sz w:val="20"/>
              </w:rPr>
              <w:t>2.1.1:</w:t>
            </w:r>
          </w:p>
        </w:tc>
        <w:tc>
          <w:tcPr>
            <w:tcW w:w="7393" w:type="dxa"/>
          </w:tcPr>
          <w:p>
            <w:pPr>
              <w:pStyle w:val="TableParagraph"/>
              <w:spacing w:before="81"/>
              <w:ind w:left="69" w:right="174"/>
              <w:rPr>
                <w:sz w:val="20"/>
              </w:rPr>
            </w:pPr>
            <w:r>
              <w:rPr>
                <w:sz w:val="20"/>
              </w:rPr>
              <w:t>Nombre</w:t>
            </w:r>
            <w:r>
              <w:rPr>
                <w:spacing w:val="-4"/>
                <w:sz w:val="20"/>
              </w:rPr>
              <w:t> </w:t>
            </w:r>
            <w:r>
              <w:rPr>
                <w:sz w:val="20"/>
              </w:rPr>
              <w:t>del</w:t>
            </w:r>
            <w:r>
              <w:rPr>
                <w:spacing w:val="-7"/>
                <w:sz w:val="20"/>
              </w:rPr>
              <w:t> </w:t>
            </w:r>
            <w:r>
              <w:rPr>
                <w:sz w:val="20"/>
              </w:rPr>
              <w:t>Indicador:</w:t>
            </w:r>
            <w:r>
              <w:rPr>
                <w:spacing w:val="-6"/>
                <w:sz w:val="20"/>
              </w:rPr>
              <w:t> </w:t>
            </w:r>
            <w:r>
              <w:rPr>
                <w:sz w:val="20"/>
              </w:rPr>
              <w:t>Gestionar</w:t>
            </w:r>
            <w:r>
              <w:rPr>
                <w:spacing w:val="-6"/>
                <w:sz w:val="20"/>
              </w:rPr>
              <w:t> </w:t>
            </w:r>
            <w:r>
              <w:rPr>
                <w:sz w:val="20"/>
              </w:rPr>
              <w:t>la</w:t>
            </w:r>
            <w:r>
              <w:rPr>
                <w:spacing w:val="-6"/>
                <w:sz w:val="20"/>
              </w:rPr>
              <w:t> </w:t>
            </w:r>
            <w:r>
              <w:rPr>
                <w:sz w:val="20"/>
              </w:rPr>
              <w:t>contratación</w:t>
            </w:r>
            <w:r>
              <w:rPr>
                <w:spacing w:val="-6"/>
                <w:sz w:val="20"/>
              </w:rPr>
              <w:t> </w:t>
            </w:r>
            <w:r>
              <w:rPr>
                <w:sz w:val="20"/>
              </w:rPr>
              <w:t>los</w:t>
            </w:r>
            <w:r>
              <w:rPr>
                <w:spacing w:val="-5"/>
                <w:sz w:val="20"/>
              </w:rPr>
              <w:t> </w:t>
            </w:r>
            <w:r>
              <w:rPr>
                <w:sz w:val="20"/>
              </w:rPr>
              <w:t>servicios</w:t>
            </w:r>
            <w:r>
              <w:rPr>
                <w:spacing w:val="-5"/>
                <w:sz w:val="20"/>
              </w:rPr>
              <w:t> </w:t>
            </w:r>
            <w:r>
              <w:rPr>
                <w:sz w:val="20"/>
              </w:rPr>
              <w:t>de</w:t>
            </w:r>
            <w:r>
              <w:rPr>
                <w:spacing w:val="-5"/>
                <w:sz w:val="20"/>
              </w:rPr>
              <w:t> </w:t>
            </w:r>
            <w:r>
              <w:rPr>
                <w:sz w:val="20"/>
              </w:rPr>
              <w:t>auditoría </w:t>
            </w:r>
            <w:r>
              <w:rPr>
                <w:spacing w:val="-2"/>
                <w:sz w:val="20"/>
              </w:rPr>
              <w:t>externa.</w:t>
            </w:r>
          </w:p>
        </w:tc>
      </w:tr>
      <w:tr>
        <w:trPr>
          <w:trHeight w:val="563" w:hRule="atLeast"/>
        </w:trPr>
        <w:tc>
          <w:tcPr>
            <w:tcW w:w="3099" w:type="dxa"/>
            <w:shd w:val="clear" w:color="auto" w:fill="DBE4F0"/>
          </w:tcPr>
          <w:p>
            <w:pPr>
              <w:pStyle w:val="TableParagraph"/>
              <w:spacing w:before="165"/>
              <w:ind w:left="67"/>
              <w:rPr>
                <w:b/>
                <w:sz w:val="20"/>
              </w:rPr>
            </w:pPr>
            <w:r>
              <w:rPr>
                <w:b/>
                <w:sz w:val="20"/>
              </w:rPr>
              <w:t>Programa</w:t>
            </w:r>
            <w:r>
              <w:rPr>
                <w:b/>
                <w:spacing w:val="-14"/>
                <w:sz w:val="20"/>
              </w:rPr>
              <w:t> </w:t>
            </w:r>
            <w:r>
              <w:rPr>
                <w:b/>
                <w:spacing w:val="-2"/>
                <w:sz w:val="20"/>
              </w:rPr>
              <w:t>Institucional</w:t>
            </w:r>
          </w:p>
        </w:tc>
        <w:tc>
          <w:tcPr>
            <w:tcW w:w="7393" w:type="dxa"/>
          </w:tcPr>
          <w:p>
            <w:pPr>
              <w:pStyle w:val="TableParagraph"/>
              <w:spacing w:before="50"/>
              <w:rPr>
                <w:b/>
                <w:sz w:val="20"/>
              </w:rPr>
            </w:pPr>
          </w:p>
          <w:p>
            <w:pPr>
              <w:pStyle w:val="TableParagraph"/>
              <w:ind w:left="69"/>
              <w:rPr>
                <w:sz w:val="20"/>
              </w:rPr>
            </w:pPr>
            <w:r>
              <w:rPr>
                <w:sz w:val="20"/>
              </w:rPr>
              <w:t>Actividades</w:t>
            </w:r>
            <w:r>
              <w:rPr>
                <w:spacing w:val="-14"/>
                <w:sz w:val="20"/>
              </w:rPr>
              <w:t> </w:t>
            </w:r>
            <w:r>
              <w:rPr>
                <w:spacing w:val="-2"/>
                <w:sz w:val="20"/>
              </w:rPr>
              <w:t>Centrales.</w:t>
            </w:r>
          </w:p>
        </w:tc>
      </w:tr>
      <w:tr>
        <w:trPr>
          <w:trHeight w:val="294" w:hRule="atLeast"/>
        </w:trPr>
        <w:tc>
          <w:tcPr>
            <w:tcW w:w="3099" w:type="dxa"/>
            <w:shd w:val="clear" w:color="auto" w:fill="DBE4F0"/>
          </w:tcPr>
          <w:p>
            <w:pPr>
              <w:pStyle w:val="TableParagraph"/>
              <w:spacing w:before="30"/>
              <w:ind w:left="67"/>
              <w:rPr>
                <w:b/>
                <w:sz w:val="20"/>
              </w:rPr>
            </w:pPr>
            <w:r>
              <w:rPr>
                <w:b/>
                <w:sz w:val="20"/>
              </w:rPr>
              <w:t>Órgano</w:t>
            </w:r>
            <w:r>
              <w:rPr>
                <w:b/>
                <w:spacing w:val="-9"/>
                <w:sz w:val="20"/>
              </w:rPr>
              <w:t> </w:t>
            </w:r>
            <w:r>
              <w:rPr>
                <w:b/>
                <w:spacing w:val="-2"/>
                <w:sz w:val="20"/>
              </w:rPr>
              <w:t>Administrativo</w:t>
            </w:r>
          </w:p>
        </w:tc>
        <w:tc>
          <w:tcPr>
            <w:tcW w:w="7393" w:type="dxa"/>
          </w:tcPr>
          <w:p>
            <w:pPr>
              <w:pStyle w:val="TableParagraph"/>
              <w:spacing w:before="30"/>
              <w:ind w:left="69"/>
              <w:rPr>
                <w:sz w:val="20"/>
              </w:rPr>
            </w:pPr>
            <w:r>
              <w:rPr>
                <w:sz w:val="20"/>
              </w:rPr>
              <w:t>Gerencia</w:t>
            </w:r>
            <w:r>
              <w:rPr>
                <w:spacing w:val="-12"/>
                <w:sz w:val="20"/>
              </w:rPr>
              <w:t> </w:t>
            </w:r>
            <w:r>
              <w:rPr>
                <w:spacing w:val="-2"/>
                <w:sz w:val="20"/>
              </w:rPr>
              <w:t>General</w:t>
            </w:r>
          </w:p>
        </w:tc>
      </w:tr>
      <w:tr>
        <w:trPr>
          <w:trHeight w:val="503" w:hRule="atLeast"/>
        </w:trPr>
        <w:tc>
          <w:tcPr>
            <w:tcW w:w="3099" w:type="dxa"/>
            <w:shd w:val="clear" w:color="auto" w:fill="DBE4F0"/>
          </w:tcPr>
          <w:p>
            <w:pPr>
              <w:pStyle w:val="TableParagraph"/>
              <w:spacing w:before="136"/>
              <w:ind w:left="67"/>
              <w:rPr>
                <w:b/>
                <w:sz w:val="20"/>
              </w:rPr>
            </w:pPr>
            <w:r>
              <w:rPr>
                <w:b/>
                <w:spacing w:val="-4"/>
                <w:sz w:val="20"/>
              </w:rPr>
              <w:t>Meta</w:t>
            </w:r>
          </w:p>
        </w:tc>
        <w:tc>
          <w:tcPr>
            <w:tcW w:w="7393" w:type="dxa"/>
          </w:tcPr>
          <w:p>
            <w:pPr>
              <w:pStyle w:val="TableParagraph"/>
              <w:spacing w:before="136"/>
              <w:ind w:left="69"/>
              <w:rPr>
                <w:sz w:val="20"/>
              </w:rPr>
            </w:pPr>
            <w:r>
              <w:rPr>
                <w:sz w:val="20"/>
              </w:rPr>
              <w:t>1</w:t>
            </w:r>
            <w:r>
              <w:rPr>
                <w:spacing w:val="-10"/>
                <w:sz w:val="20"/>
              </w:rPr>
              <w:t> </w:t>
            </w:r>
            <w:r>
              <w:rPr>
                <w:sz w:val="20"/>
              </w:rPr>
              <w:t>contratación</w:t>
            </w:r>
            <w:r>
              <w:rPr>
                <w:spacing w:val="-8"/>
                <w:sz w:val="20"/>
              </w:rPr>
              <w:t> </w:t>
            </w:r>
            <w:r>
              <w:rPr>
                <w:spacing w:val="-2"/>
                <w:sz w:val="20"/>
              </w:rPr>
              <w:t>adjudicada</w:t>
            </w:r>
          </w:p>
        </w:tc>
      </w:tr>
      <w:tr>
        <w:trPr>
          <w:trHeight w:val="297" w:hRule="atLeast"/>
        </w:trPr>
        <w:tc>
          <w:tcPr>
            <w:tcW w:w="3099" w:type="dxa"/>
            <w:shd w:val="clear" w:color="auto" w:fill="DBE4F0"/>
          </w:tcPr>
          <w:p>
            <w:pPr>
              <w:pStyle w:val="TableParagraph"/>
              <w:spacing w:before="33"/>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93" w:type="dxa"/>
          </w:tcPr>
          <w:p>
            <w:pPr>
              <w:pStyle w:val="TableParagraph"/>
              <w:spacing w:before="33"/>
              <w:ind w:left="69"/>
              <w:rPr>
                <w:sz w:val="20"/>
              </w:rPr>
            </w:pPr>
            <w:r>
              <w:rPr>
                <w:sz w:val="20"/>
              </w:rPr>
              <w:t>contar</w:t>
            </w:r>
            <w:r>
              <w:rPr>
                <w:spacing w:val="-7"/>
                <w:sz w:val="20"/>
              </w:rPr>
              <w:t> </w:t>
            </w:r>
            <w:r>
              <w:rPr>
                <w:sz w:val="20"/>
              </w:rPr>
              <w:t>con</w:t>
            </w:r>
            <w:r>
              <w:rPr>
                <w:spacing w:val="-7"/>
                <w:sz w:val="20"/>
              </w:rPr>
              <w:t> </w:t>
            </w:r>
            <w:r>
              <w:rPr>
                <w:sz w:val="20"/>
              </w:rPr>
              <w:t>el</w:t>
            </w:r>
            <w:r>
              <w:rPr>
                <w:spacing w:val="-6"/>
                <w:sz w:val="20"/>
              </w:rPr>
              <w:t> </w:t>
            </w:r>
            <w:r>
              <w:rPr>
                <w:sz w:val="20"/>
              </w:rPr>
              <w:t>procedimiento</w:t>
            </w:r>
            <w:r>
              <w:rPr>
                <w:spacing w:val="-7"/>
                <w:sz w:val="20"/>
              </w:rPr>
              <w:t> </w:t>
            </w:r>
            <w:r>
              <w:rPr>
                <w:sz w:val="20"/>
              </w:rPr>
              <w:t>de</w:t>
            </w:r>
            <w:r>
              <w:rPr>
                <w:spacing w:val="-7"/>
                <w:sz w:val="20"/>
              </w:rPr>
              <w:t> </w:t>
            </w:r>
            <w:r>
              <w:rPr>
                <w:spacing w:val="-2"/>
                <w:sz w:val="20"/>
              </w:rPr>
              <w:t>contratación</w:t>
            </w:r>
          </w:p>
        </w:tc>
      </w:tr>
      <w:tr>
        <w:trPr>
          <w:trHeight w:val="561" w:hRule="atLeast"/>
        </w:trPr>
        <w:tc>
          <w:tcPr>
            <w:tcW w:w="3099" w:type="dxa"/>
            <w:shd w:val="clear" w:color="auto" w:fill="DBE4F0"/>
          </w:tcPr>
          <w:p>
            <w:pPr>
              <w:pStyle w:val="TableParagraph"/>
              <w:spacing w:before="165"/>
              <w:ind w:left="67"/>
              <w:rPr>
                <w:b/>
                <w:sz w:val="20"/>
              </w:rPr>
            </w:pPr>
            <w:r>
              <w:rPr>
                <w:b/>
                <w:spacing w:val="-2"/>
                <w:sz w:val="20"/>
              </w:rPr>
              <w:t>Periodicidad</w:t>
            </w:r>
          </w:p>
        </w:tc>
        <w:tc>
          <w:tcPr>
            <w:tcW w:w="7393" w:type="dxa"/>
          </w:tcPr>
          <w:p>
            <w:pPr>
              <w:pStyle w:val="TableParagraph"/>
              <w:spacing w:before="165"/>
              <w:ind w:left="69"/>
              <w:rPr>
                <w:sz w:val="20"/>
              </w:rPr>
            </w:pPr>
            <w:r>
              <w:rPr>
                <w:spacing w:val="-4"/>
                <w:sz w:val="20"/>
              </w:rPr>
              <w:t>Anual</w:t>
            </w:r>
          </w:p>
        </w:tc>
      </w:tr>
      <w:tr>
        <w:trPr>
          <w:trHeight w:val="563" w:hRule="atLeast"/>
        </w:trPr>
        <w:tc>
          <w:tcPr>
            <w:tcW w:w="3099" w:type="dxa"/>
            <w:shd w:val="clear" w:color="auto" w:fill="DBE4F0"/>
          </w:tcPr>
          <w:p>
            <w:pPr>
              <w:pStyle w:val="TableParagraph"/>
              <w:spacing w:before="167"/>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393" w:type="dxa"/>
          </w:tcPr>
          <w:p>
            <w:pPr>
              <w:pStyle w:val="TableParagraph"/>
              <w:spacing w:before="167"/>
              <w:ind w:left="69"/>
              <w:rPr>
                <w:sz w:val="20"/>
              </w:rPr>
            </w:pPr>
            <w:r>
              <w:rPr>
                <w:sz w:val="20"/>
              </w:rPr>
              <w:t>Sumatoria</w:t>
            </w:r>
            <w:r>
              <w:rPr>
                <w:spacing w:val="-10"/>
                <w:sz w:val="20"/>
              </w:rPr>
              <w:t> </w:t>
            </w:r>
            <w:r>
              <w:rPr>
                <w:sz w:val="20"/>
              </w:rPr>
              <w:t>de</w:t>
            </w:r>
            <w:r>
              <w:rPr>
                <w:spacing w:val="-9"/>
                <w:sz w:val="20"/>
              </w:rPr>
              <w:t> </w:t>
            </w:r>
            <w:r>
              <w:rPr>
                <w:sz w:val="20"/>
              </w:rPr>
              <w:t>procedimiento</w:t>
            </w:r>
            <w:r>
              <w:rPr>
                <w:spacing w:val="-9"/>
                <w:sz w:val="20"/>
              </w:rPr>
              <w:t> </w:t>
            </w:r>
            <w:r>
              <w:rPr>
                <w:sz w:val="20"/>
              </w:rPr>
              <w:t>de</w:t>
            </w:r>
            <w:r>
              <w:rPr>
                <w:spacing w:val="-9"/>
                <w:sz w:val="20"/>
              </w:rPr>
              <w:t> </w:t>
            </w:r>
            <w:r>
              <w:rPr>
                <w:sz w:val="20"/>
              </w:rPr>
              <w:t>contratación</w:t>
            </w:r>
            <w:r>
              <w:rPr>
                <w:spacing w:val="-8"/>
                <w:sz w:val="20"/>
              </w:rPr>
              <w:t> </w:t>
            </w:r>
            <w:r>
              <w:rPr>
                <w:spacing w:val="-2"/>
                <w:sz w:val="20"/>
              </w:rPr>
              <w:t>adjudicado</w:t>
            </w:r>
          </w:p>
        </w:tc>
      </w:tr>
      <w:tr>
        <w:trPr>
          <w:trHeight w:val="602" w:hRule="atLeast"/>
        </w:trPr>
        <w:tc>
          <w:tcPr>
            <w:tcW w:w="3099" w:type="dxa"/>
            <w:shd w:val="clear" w:color="auto" w:fill="DBE4F0"/>
          </w:tcPr>
          <w:p>
            <w:pPr>
              <w:pStyle w:val="TableParagraph"/>
              <w:spacing w:before="187"/>
              <w:ind w:left="67"/>
              <w:rPr>
                <w:b/>
                <w:sz w:val="20"/>
              </w:rPr>
            </w:pPr>
            <w:r>
              <w:rPr>
                <w:b/>
                <w:spacing w:val="-2"/>
                <w:sz w:val="20"/>
              </w:rPr>
              <w:t>Fuente</w:t>
            </w:r>
          </w:p>
        </w:tc>
        <w:tc>
          <w:tcPr>
            <w:tcW w:w="7393" w:type="dxa"/>
          </w:tcPr>
          <w:p>
            <w:pPr>
              <w:pStyle w:val="TableParagraph"/>
              <w:spacing w:before="72"/>
              <w:rPr>
                <w:b/>
                <w:sz w:val="20"/>
              </w:rPr>
            </w:pPr>
          </w:p>
          <w:p>
            <w:pPr>
              <w:pStyle w:val="TableParagraph"/>
              <w:ind w:left="69"/>
              <w:rPr>
                <w:sz w:val="20"/>
              </w:rPr>
            </w:pPr>
            <w:r>
              <w:rPr>
                <w:spacing w:val="-2"/>
                <w:sz w:val="20"/>
              </w:rPr>
              <w:t>SICOP</w:t>
            </w:r>
          </w:p>
        </w:tc>
      </w:tr>
      <w:tr>
        <w:trPr>
          <w:trHeight w:val="460" w:hRule="atLeast"/>
        </w:trPr>
        <w:tc>
          <w:tcPr>
            <w:tcW w:w="3099" w:type="dxa"/>
            <w:shd w:val="clear" w:color="auto" w:fill="DBE4F0"/>
          </w:tcPr>
          <w:p>
            <w:pPr>
              <w:pStyle w:val="TableParagraph"/>
              <w:spacing w:before="114"/>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393" w:type="dxa"/>
          </w:tcPr>
          <w:p>
            <w:pPr>
              <w:pStyle w:val="TableParagraph"/>
              <w:spacing w:line="230" w:lineRule="exact"/>
              <w:ind w:left="69" w:right="174"/>
              <w:rPr>
                <w:sz w:val="20"/>
              </w:rPr>
            </w:pPr>
            <w:r>
              <w:rPr>
                <w:sz w:val="20"/>
              </w:rPr>
              <w:t>Número</w:t>
            </w:r>
            <w:r>
              <w:rPr>
                <w:spacing w:val="-3"/>
                <w:sz w:val="20"/>
              </w:rPr>
              <w:t> </w:t>
            </w:r>
            <w:r>
              <w:rPr>
                <w:sz w:val="20"/>
              </w:rPr>
              <w:t>de</w:t>
            </w:r>
            <w:r>
              <w:rPr>
                <w:spacing w:val="-4"/>
                <w:sz w:val="20"/>
              </w:rPr>
              <w:t> </w:t>
            </w:r>
            <w:r>
              <w:rPr>
                <w:sz w:val="20"/>
              </w:rPr>
              <w:t>procedimiento</w:t>
            </w:r>
            <w:r>
              <w:rPr>
                <w:spacing w:val="-3"/>
                <w:sz w:val="20"/>
              </w:rPr>
              <w:t> </w:t>
            </w:r>
            <w:r>
              <w:rPr>
                <w:sz w:val="20"/>
              </w:rPr>
              <w:t>en</w:t>
            </w:r>
            <w:r>
              <w:rPr>
                <w:spacing w:val="-6"/>
                <w:sz w:val="20"/>
              </w:rPr>
              <w:t> </w:t>
            </w:r>
            <w:r>
              <w:rPr>
                <w:sz w:val="20"/>
              </w:rPr>
              <w:t>SICOP</w:t>
            </w:r>
            <w:r>
              <w:rPr>
                <w:spacing w:val="-3"/>
                <w:sz w:val="20"/>
              </w:rPr>
              <w:t> </w:t>
            </w:r>
            <w:r>
              <w:rPr>
                <w:sz w:val="20"/>
              </w:rPr>
              <w:t>/</w:t>
            </w:r>
            <w:r>
              <w:rPr>
                <w:spacing w:val="-5"/>
                <w:sz w:val="20"/>
              </w:rPr>
              <w:t> </w:t>
            </w:r>
            <w:r>
              <w:rPr>
                <w:sz w:val="20"/>
              </w:rPr>
              <w:t>Acta</w:t>
            </w:r>
            <w:r>
              <w:rPr>
                <w:spacing w:val="-3"/>
                <w:sz w:val="20"/>
              </w:rPr>
              <w:t> </w:t>
            </w:r>
            <w:r>
              <w:rPr>
                <w:sz w:val="20"/>
              </w:rPr>
              <w:t>de</w:t>
            </w:r>
            <w:r>
              <w:rPr>
                <w:spacing w:val="-4"/>
                <w:sz w:val="20"/>
              </w:rPr>
              <w:t> </w:t>
            </w:r>
            <w:r>
              <w:rPr>
                <w:sz w:val="20"/>
              </w:rPr>
              <w:t>Adjudicación</w:t>
            </w:r>
            <w:r>
              <w:rPr>
                <w:spacing w:val="-4"/>
                <w:sz w:val="20"/>
              </w:rPr>
              <w:t> </w:t>
            </w:r>
            <w:r>
              <w:rPr>
                <w:sz w:val="20"/>
              </w:rPr>
              <w:t>SICOP</w:t>
            </w:r>
            <w:r>
              <w:rPr>
                <w:spacing w:val="-3"/>
                <w:sz w:val="20"/>
              </w:rPr>
              <w:t> </w:t>
            </w:r>
            <w:r>
              <w:rPr>
                <w:sz w:val="20"/>
              </w:rPr>
              <w:t>/</w:t>
            </w:r>
            <w:r>
              <w:rPr>
                <w:spacing w:val="-5"/>
                <w:sz w:val="20"/>
              </w:rPr>
              <w:t> </w:t>
            </w:r>
            <w:r>
              <w:rPr>
                <w:sz w:val="20"/>
              </w:rPr>
              <w:t>Orden</w:t>
            </w:r>
            <w:r>
              <w:rPr>
                <w:spacing w:val="-3"/>
                <w:sz w:val="20"/>
              </w:rPr>
              <w:t> </w:t>
            </w:r>
            <w:r>
              <w:rPr>
                <w:sz w:val="20"/>
              </w:rPr>
              <w:t>de inicio contrato</w:t>
            </w:r>
          </w:p>
        </w:tc>
      </w:tr>
      <w:tr>
        <w:trPr>
          <w:trHeight w:val="861" w:hRule="atLeast"/>
        </w:trPr>
        <w:tc>
          <w:tcPr>
            <w:tcW w:w="3099" w:type="dxa"/>
            <w:shd w:val="clear" w:color="auto" w:fill="DBE4F0"/>
          </w:tcPr>
          <w:p>
            <w:pPr>
              <w:pStyle w:val="TableParagraph"/>
              <w:spacing w:before="83"/>
              <w:rPr>
                <w:b/>
                <w:sz w:val="20"/>
              </w:rPr>
            </w:pPr>
          </w:p>
          <w:p>
            <w:pPr>
              <w:pStyle w:val="TableParagraph"/>
              <w:spacing w:before="1"/>
              <w:ind w:left="67"/>
              <w:rPr>
                <w:b/>
                <w:sz w:val="20"/>
              </w:rPr>
            </w:pPr>
            <w:r>
              <w:rPr>
                <w:b/>
                <w:sz w:val="20"/>
              </w:rPr>
              <w:t>Definición</w:t>
            </w:r>
            <w:r>
              <w:rPr>
                <w:b/>
                <w:spacing w:val="-10"/>
                <w:sz w:val="20"/>
              </w:rPr>
              <w:t> </w:t>
            </w:r>
            <w:r>
              <w:rPr>
                <w:b/>
                <w:spacing w:val="-2"/>
                <w:sz w:val="20"/>
              </w:rPr>
              <w:t>Conceptual</w:t>
            </w:r>
          </w:p>
        </w:tc>
        <w:tc>
          <w:tcPr>
            <w:tcW w:w="7393" w:type="dxa"/>
          </w:tcPr>
          <w:p>
            <w:pPr>
              <w:pStyle w:val="TableParagraph"/>
              <w:spacing w:before="151"/>
              <w:rPr>
                <w:b/>
                <w:sz w:val="20"/>
              </w:rPr>
            </w:pPr>
          </w:p>
          <w:p>
            <w:pPr>
              <w:pStyle w:val="TableParagraph"/>
              <w:spacing w:line="230" w:lineRule="atLeast"/>
              <w:ind w:left="69" w:right="174"/>
              <w:rPr>
                <w:sz w:val="20"/>
              </w:rPr>
            </w:pPr>
            <w:r>
              <w:rPr>
                <w:sz w:val="20"/>
              </w:rPr>
              <w:t>Se</w:t>
            </w:r>
            <w:r>
              <w:rPr>
                <w:spacing w:val="-5"/>
                <w:sz w:val="20"/>
              </w:rPr>
              <w:t> </w:t>
            </w:r>
            <w:r>
              <w:rPr>
                <w:sz w:val="20"/>
              </w:rPr>
              <w:t>refiere</w:t>
            </w:r>
            <w:r>
              <w:rPr>
                <w:spacing w:val="-3"/>
                <w:sz w:val="20"/>
              </w:rPr>
              <w:t> </w:t>
            </w:r>
            <w:r>
              <w:rPr>
                <w:sz w:val="20"/>
              </w:rPr>
              <w:t>al</w:t>
            </w:r>
            <w:r>
              <w:rPr>
                <w:spacing w:val="-4"/>
                <w:sz w:val="20"/>
              </w:rPr>
              <w:t> </w:t>
            </w:r>
            <w:r>
              <w:rPr>
                <w:sz w:val="20"/>
              </w:rPr>
              <w:t>procedimiento</w:t>
            </w:r>
            <w:r>
              <w:rPr>
                <w:spacing w:val="-3"/>
                <w:sz w:val="20"/>
              </w:rPr>
              <w:t> </w:t>
            </w:r>
            <w:r>
              <w:rPr>
                <w:sz w:val="20"/>
              </w:rPr>
              <w:t>de</w:t>
            </w:r>
            <w:r>
              <w:rPr>
                <w:spacing w:val="-6"/>
                <w:sz w:val="20"/>
              </w:rPr>
              <w:t> </w:t>
            </w:r>
            <w:r>
              <w:rPr>
                <w:sz w:val="20"/>
              </w:rPr>
              <w:t>contratación</w:t>
            </w:r>
            <w:r>
              <w:rPr>
                <w:spacing w:val="-6"/>
                <w:sz w:val="20"/>
              </w:rPr>
              <w:t> </w:t>
            </w:r>
            <w:r>
              <w:rPr>
                <w:sz w:val="20"/>
              </w:rPr>
              <w:t>pública</w:t>
            </w:r>
            <w:r>
              <w:rPr>
                <w:spacing w:val="-3"/>
                <w:sz w:val="20"/>
              </w:rPr>
              <w:t> </w:t>
            </w:r>
            <w:r>
              <w:rPr>
                <w:sz w:val="20"/>
              </w:rPr>
              <w:t>que</w:t>
            </w:r>
            <w:r>
              <w:rPr>
                <w:spacing w:val="-3"/>
                <w:sz w:val="20"/>
              </w:rPr>
              <w:t> </w:t>
            </w:r>
            <w:r>
              <w:rPr>
                <w:sz w:val="20"/>
              </w:rPr>
              <w:t>se</w:t>
            </w:r>
            <w:r>
              <w:rPr>
                <w:spacing w:val="-5"/>
                <w:sz w:val="20"/>
              </w:rPr>
              <w:t> </w:t>
            </w:r>
            <w:r>
              <w:rPr>
                <w:sz w:val="20"/>
              </w:rPr>
              <w:t>realizó</w:t>
            </w:r>
            <w:r>
              <w:rPr>
                <w:spacing w:val="-5"/>
                <w:sz w:val="20"/>
              </w:rPr>
              <w:t> </w:t>
            </w:r>
            <w:r>
              <w:rPr>
                <w:sz w:val="20"/>
              </w:rPr>
              <w:t>y</w:t>
            </w:r>
            <w:r>
              <w:rPr>
                <w:spacing w:val="-4"/>
                <w:sz w:val="20"/>
              </w:rPr>
              <w:t> </w:t>
            </w:r>
            <w:r>
              <w:rPr>
                <w:sz w:val="20"/>
              </w:rPr>
              <w:t>se</w:t>
            </w:r>
            <w:r>
              <w:rPr>
                <w:spacing w:val="-5"/>
                <w:sz w:val="20"/>
              </w:rPr>
              <w:t> </w:t>
            </w:r>
            <w:r>
              <w:rPr>
                <w:sz w:val="20"/>
              </w:rPr>
              <w:t>adjudicó para contratar los servicios de auditoría externa</w:t>
            </w:r>
          </w:p>
        </w:tc>
      </w:tr>
      <w:tr>
        <w:trPr>
          <w:trHeight w:val="918" w:hRule="atLeast"/>
        </w:trPr>
        <w:tc>
          <w:tcPr>
            <w:tcW w:w="3099" w:type="dxa"/>
            <w:shd w:val="clear" w:color="auto" w:fill="DBE4F0"/>
          </w:tcPr>
          <w:p>
            <w:pPr>
              <w:pStyle w:val="TableParagraph"/>
              <w:spacing w:before="112"/>
              <w:rPr>
                <w:b/>
                <w:sz w:val="20"/>
              </w:rPr>
            </w:pPr>
          </w:p>
          <w:p>
            <w:pPr>
              <w:pStyle w:val="TableParagraph"/>
              <w:ind w:left="67"/>
              <w:rPr>
                <w:b/>
                <w:sz w:val="20"/>
              </w:rPr>
            </w:pPr>
            <w:r>
              <w:rPr>
                <w:b/>
                <w:spacing w:val="-2"/>
                <w:sz w:val="20"/>
              </w:rPr>
              <w:t>Interpretación</w:t>
            </w:r>
          </w:p>
        </w:tc>
        <w:tc>
          <w:tcPr>
            <w:tcW w:w="7393" w:type="dxa"/>
          </w:tcPr>
          <w:p>
            <w:pPr>
              <w:pStyle w:val="TableParagraph"/>
              <w:spacing w:line="230" w:lineRule="atLeast" w:before="208"/>
              <w:ind w:left="69"/>
              <w:rPr>
                <w:sz w:val="20"/>
              </w:rPr>
            </w:pPr>
            <w:r>
              <w:rPr>
                <w:sz w:val="20"/>
              </w:rPr>
              <w:t>Con un procedimiento de contratación adjudicado para los servicios de auditoría externa,</w:t>
            </w:r>
            <w:r>
              <w:rPr>
                <w:spacing w:val="-6"/>
                <w:sz w:val="20"/>
              </w:rPr>
              <w:t> </w:t>
            </w:r>
            <w:r>
              <w:rPr>
                <w:sz w:val="20"/>
              </w:rPr>
              <w:t>se</w:t>
            </w:r>
            <w:r>
              <w:rPr>
                <w:spacing w:val="-5"/>
                <w:sz w:val="20"/>
              </w:rPr>
              <w:t> </w:t>
            </w:r>
            <w:r>
              <w:rPr>
                <w:sz w:val="20"/>
              </w:rPr>
              <w:t>permite</w:t>
            </w:r>
            <w:r>
              <w:rPr>
                <w:spacing w:val="-5"/>
                <w:sz w:val="20"/>
              </w:rPr>
              <w:t> </w:t>
            </w:r>
            <w:r>
              <w:rPr>
                <w:sz w:val="20"/>
              </w:rPr>
              <w:t>obtener</w:t>
            </w:r>
            <w:r>
              <w:rPr>
                <w:spacing w:val="-4"/>
                <w:sz w:val="20"/>
              </w:rPr>
              <w:t> </w:t>
            </w:r>
            <w:r>
              <w:rPr>
                <w:sz w:val="20"/>
              </w:rPr>
              <w:t>cuatro</w:t>
            </w:r>
            <w:r>
              <w:rPr>
                <w:spacing w:val="-6"/>
                <w:sz w:val="20"/>
              </w:rPr>
              <w:t> </w:t>
            </w:r>
            <w:r>
              <w:rPr>
                <w:sz w:val="20"/>
              </w:rPr>
              <w:t>informes</w:t>
            </w:r>
            <w:r>
              <w:rPr>
                <w:spacing w:val="-6"/>
                <w:sz w:val="20"/>
              </w:rPr>
              <w:t> </w:t>
            </w:r>
            <w:r>
              <w:rPr>
                <w:sz w:val="20"/>
              </w:rPr>
              <w:t>que</w:t>
            </w:r>
            <w:r>
              <w:rPr>
                <w:spacing w:val="-6"/>
                <w:sz w:val="20"/>
              </w:rPr>
              <w:t> </w:t>
            </w:r>
            <w:r>
              <w:rPr>
                <w:sz w:val="20"/>
              </w:rPr>
              <w:t>serán</w:t>
            </w:r>
            <w:r>
              <w:rPr>
                <w:spacing w:val="-5"/>
                <w:sz w:val="20"/>
              </w:rPr>
              <w:t> </w:t>
            </w:r>
            <w:r>
              <w:rPr>
                <w:sz w:val="20"/>
              </w:rPr>
              <w:t>remitidos</w:t>
            </w:r>
            <w:r>
              <w:rPr>
                <w:spacing w:val="-4"/>
                <w:sz w:val="20"/>
              </w:rPr>
              <w:t> </w:t>
            </w:r>
            <w:r>
              <w:rPr>
                <w:sz w:val="20"/>
              </w:rPr>
              <w:t>para</w:t>
            </w:r>
            <w:r>
              <w:rPr>
                <w:spacing w:val="-5"/>
                <w:sz w:val="20"/>
              </w:rPr>
              <w:t> </w:t>
            </w:r>
            <w:r>
              <w:rPr>
                <w:sz w:val="20"/>
              </w:rPr>
              <w:t>aprobación por parte del Consejo Directivo</w:t>
            </w:r>
          </w:p>
        </w:tc>
      </w:tr>
      <w:tr>
        <w:trPr>
          <w:trHeight w:val="294" w:hRule="atLeast"/>
        </w:trPr>
        <w:tc>
          <w:tcPr>
            <w:tcW w:w="3099" w:type="dxa"/>
            <w:shd w:val="clear" w:color="auto" w:fill="DBE4F0"/>
          </w:tcPr>
          <w:p>
            <w:pPr>
              <w:pStyle w:val="TableParagraph"/>
              <w:spacing w:before="33"/>
              <w:ind w:left="67"/>
              <w:rPr>
                <w:b/>
                <w:sz w:val="20"/>
              </w:rPr>
            </w:pPr>
            <w:r>
              <w:rPr>
                <w:b/>
                <w:sz w:val="20"/>
              </w:rPr>
              <w:t>Línea</w:t>
            </w:r>
            <w:r>
              <w:rPr>
                <w:b/>
                <w:spacing w:val="-10"/>
                <w:sz w:val="20"/>
              </w:rPr>
              <w:t> </w:t>
            </w:r>
            <w:r>
              <w:rPr>
                <w:b/>
                <w:spacing w:val="-4"/>
                <w:sz w:val="20"/>
              </w:rPr>
              <w:t>Base</w:t>
            </w:r>
          </w:p>
        </w:tc>
        <w:tc>
          <w:tcPr>
            <w:tcW w:w="7393" w:type="dxa"/>
          </w:tcPr>
          <w:p>
            <w:pPr>
              <w:pStyle w:val="TableParagraph"/>
              <w:spacing w:before="33"/>
              <w:ind w:left="125"/>
              <w:rPr>
                <w:sz w:val="20"/>
              </w:rPr>
            </w:pPr>
            <w:r>
              <w:rPr>
                <w:sz w:val="20"/>
              </w:rPr>
              <w:t>1</w:t>
            </w:r>
            <w:r>
              <w:rPr>
                <w:spacing w:val="-10"/>
                <w:sz w:val="20"/>
              </w:rPr>
              <w:t> </w:t>
            </w:r>
            <w:r>
              <w:rPr>
                <w:sz w:val="20"/>
              </w:rPr>
              <w:t>procedimiento</w:t>
            </w:r>
            <w:r>
              <w:rPr>
                <w:spacing w:val="-8"/>
                <w:sz w:val="20"/>
              </w:rPr>
              <w:t> </w:t>
            </w:r>
            <w:r>
              <w:rPr>
                <w:sz w:val="20"/>
              </w:rPr>
              <w:t>de</w:t>
            </w:r>
            <w:r>
              <w:rPr>
                <w:spacing w:val="-10"/>
                <w:sz w:val="20"/>
              </w:rPr>
              <w:t> </w:t>
            </w:r>
            <w:r>
              <w:rPr>
                <w:sz w:val="20"/>
              </w:rPr>
              <w:t>contratación</w:t>
            </w:r>
            <w:r>
              <w:rPr>
                <w:spacing w:val="-8"/>
                <w:sz w:val="20"/>
              </w:rPr>
              <w:t> </w:t>
            </w:r>
            <w:r>
              <w:rPr>
                <w:spacing w:val="-2"/>
                <w:sz w:val="20"/>
              </w:rPr>
              <w:t>adjudicado</w:t>
            </w:r>
          </w:p>
        </w:tc>
      </w:tr>
      <w:tr>
        <w:trPr>
          <w:trHeight w:val="893" w:hRule="atLeast"/>
        </w:trPr>
        <w:tc>
          <w:tcPr>
            <w:tcW w:w="3099" w:type="dxa"/>
            <w:shd w:val="clear" w:color="auto" w:fill="DBE4F0"/>
          </w:tcPr>
          <w:p>
            <w:pPr>
              <w:pStyle w:val="TableParagraph"/>
              <w:spacing w:before="215"/>
              <w:ind w:left="67" w:right="637"/>
              <w:rPr>
                <w:b/>
                <w:sz w:val="20"/>
              </w:rPr>
            </w:pPr>
            <w:r>
              <w:rPr>
                <w:b/>
                <w:sz w:val="20"/>
              </w:rPr>
              <w:t>Responsable de la recopilación</w:t>
            </w:r>
            <w:r>
              <w:rPr>
                <w:b/>
                <w:spacing w:val="-14"/>
                <w:sz w:val="20"/>
              </w:rPr>
              <w:t> </w:t>
            </w:r>
            <w:r>
              <w:rPr>
                <w:b/>
                <w:sz w:val="20"/>
              </w:rPr>
              <w:t>información</w:t>
            </w:r>
          </w:p>
        </w:tc>
        <w:tc>
          <w:tcPr>
            <w:tcW w:w="7393" w:type="dxa"/>
          </w:tcPr>
          <w:p>
            <w:pPr>
              <w:pStyle w:val="TableParagraph"/>
              <w:spacing w:before="215"/>
              <w:ind w:left="69" w:right="3099"/>
              <w:rPr>
                <w:sz w:val="20"/>
              </w:rPr>
            </w:pPr>
            <w:r>
              <w:rPr>
                <w:sz w:val="20"/>
              </w:rPr>
              <w:t>Nombre</w:t>
            </w:r>
            <w:r>
              <w:rPr>
                <w:spacing w:val="-10"/>
                <w:sz w:val="20"/>
              </w:rPr>
              <w:t> </w:t>
            </w:r>
            <w:r>
              <w:rPr>
                <w:sz w:val="20"/>
              </w:rPr>
              <w:t>del</w:t>
            </w:r>
            <w:r>
              <w:rPr>
                <w:spacing w:val="-12"/>
                <w:sz w:val="20"/>
              </w:rPr>
              <w:t> </w:t>
            </w:r>
            <w:r>
              <w:rPr>
                <w:sz w:val="20"/>
              </w:rPr>
              <w:t>funcionario:</w:t>
            </w:r>
            <w:r>
              <w:rPr>
                <w:spacing w:val="-12"/>
                <w:sz w:val="20"/>
              </w:rPr>
              <w:t> </w:t>
            </w:r>
            <w:r>
              <w:rPr>
                <w:sz w:val="20"/>
              </w:rPr>
              <w:t>Maricruz</w:t>
            </w:r>
            <w:r>
              <w:rPr>
                <w:spacing w:val="-11"/>
                <w:sz w:val="20"/>
              </w:rPr>
              <w:t> </w:t>
            </w:r>
            <w:r>
              <w:rPr>
                <w:sz w:val="20"/>
              </w:rPr>
              <w:t>Sancho Cargo: Asistente Gerencia General</w:t>
            </w:r>
          </w:p>
        </w:tc>
      </w:tr>
    </w:tbl>
    <w:p>
      <w:pPr>
        <w:pStyle w:val="TableParagraph"/>
        <w:spacing w:after="0"/>
        <w:rPr>
          <w:sz w:val="20"/>
        </w:rPr>
        <w:sectPr>
          <w:footerReference w:type="default" r:id="rId144"/>
          <w:pgSz w:w="12240" w:h="15840"/>
          <w:pgMar w:header="0" w:footer="2404" w:top="1820" w:bottom="2600" w:left="720" w:right="720"/>
          <w:pgNumType w:start="198"/>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9"/>
        <w:gridCol w:w="7393"/>
      </w:tblGrid>
      <w:tr>
        <w:trPr>
          <w:trHeight w:val="1692" w:hRule="atLeast"/>
        </w:trPr>
        <w:tc>
          <w:tcPr>
            <w:tcW w:w="3099" w:type="dxa"/>
            <w:shd w:val="clear" w:color="auto" w:fill="DBE4F0"/>
          </w:tcPr>
          <w:p>
            <w:pPr>
              <w:pStyle w:val="TableParagraph"/>
              <w:rPr>
                <w:b/>
                <w:sz w:val="20"/>
              </w:rPr>
            </w:pPr>
          </w:p>
          <w:p>
            <w:pPr>
              <w:pStyle w:val="TableParagraph"/>
              <w:rPr>
                <w:b/>
                <w:sz w:val="20"/>
              </w:rPr>
            </w:pPr>
          </w:p>
          <w:p>
            <w:pPr>
              <w:pStyle w:val="TableParagraph"/>
              <w:spacing w:before="39"/>
              <w:rPr>
                <w:b/>
                <w:sz w:val="20"/>
              </w:rPr>
            </w:pPr>
          </w:p>
          <w:p>
            <w:pPr>
              <w:pStyle w:val="TableParagraph"/>
              <w:ind w:left="67"/>
              <w:rPr>
                <w:b/>
                <w:sz w:val="20"/>
              </w:rPr>
            </w:pPr>
            <w:r>
              <w:rPr>
                <w:b/>
                <w:spacing w:val="-2"/>
                <w:sz w:val="20"/>
              </w:rPr>
              <w:t>Clasificación</w:t>
            </w:r>
          </w:p>
        </w:tc>
        <w:tc>
          <w:tcPr>
            <w:tcW w:w="7393" w:type="dxa"/>
          </w:tcPr>
          <w:p>
            <w:pPr>
              <w:pStyle w:val="TableParagraph"/>
              <w:spacing w:before="41"/>
              <w:rPr>
                <w:b/>
                <w:sz w:val="20"/>
              </w:rPr>
            </w:pPr>
          </w:p>
          <w:p>
            <w:pPr>
              <w:pStyle w:val="TableParagraph"/>
              <w:ind w:left="69" w:right="3032"/>
              <w:rPr>
                <w:sz w:val="20"/>
              </w:rPr>
            </w:pPr>
            <w:r>
              <w:rPr>
                <w:sz w:val="20"/>
              </w:rPr>
              <w:t>Seleccione</w:t>
            </w:r>
            <w:r>
              <w:rPr>
                <w:spacing w:val="-8"/>
                <w:sz w:val="20"/>
              </w:rPr>
              <w:t> </w:t>
            </w:r>
            <w:r>
              <w:rPr>
                <w:sz w:val="20"/>
              </w:rPr>
              <w:t>a</w:t>
            </w:r>
            <w:r>
              <w:rPr>
                <w:spacing w:val="-7"/>
                <w:sz w:val="20"/>
              </w:rPr>
              <w:t> </w:t>
            </w:r>
            <w:r>
              <w:rPr>
                <w:sz w:val="20"/>
              </w:rPr>
              <w:t>qué</w:t>
            </w:r>
            <w:r>
              <w:rPr>
                <w:spacing w:val="-6"/>
                <w:sz w:val="20"/>
              </w:rPr>
              <w:t> </w:t>
            </w:r>
            <w:r>
              <w:rPr>
                <w:sz w:val="20"/>
              </w:rPr>
              <w:t>tipo</w:t>
            </w:r>
            <w:r>
              <w:rPr>
                <w:spacing w:val="-9"/>
                <w:sz w:val="20"/>
              </w:rPr>
              <w:t> </w:t>
            </w:r>
            <w:r>
              <w:rPr>
                <w:sz w:val="20"/>
              </w:rPr>
              <w:t>de</w:t>
            </w:r>
            <w:r>
              <w:rPr>
                <w:spacing w:val="-8"/>
                <w:sz w:val="20"/>
              </w:rPr>
              <w:t> </w:t>
            </w:r>
            <w:r>
              <w:rPr>
                <w:sz w:val="20"/>
              </w:rPr>
              <w:t>indicador</w:t>
            </w:r>
            <w:r>
              <w:rPr>
                <w:spacing w:val="-8"/>
                <w:sz w:val="20"/>
              </w:rPr>
              <w:t> </w:t>
            </w:r>
            <w:r>
              <w:rPr>
                <w:sz w:val="20"/>
              </w:rPr>
              <w:t>corresponde. ( )Impacto</w:t>
            </w:r>
          </w:p>
          <w:p>
            <w:pPr>
              <w:pStyle w:val="TableParagraph"/>
              <w:spacing w:line="228" w:lineRule="exact"/>
              <w:ind w:left="69"/>
              <w:rPr>
                <w:sz w:val="20"/>
              </w:rPr>
            </w:pPr>
            <w:r>
              <w:rPr>
                <w:sz w:val="20"/>
              </w:rPr>
              <w:t>(</w:t>
            </w:r>
            <w:r>
              <w:rPr>
                <w:spacing w:val="-1"/>
                <w:sz w:val="20"/>
              </w:rPr>
              <w:t> </w:t>
            </w:r>
            <w:r>
              <w:rPr>
                <w:spacing w:val="-2"/>
                <w:sz w:val="20"/>
              </w:rPr>
              <w:t>)Efecto</w:t>
            </w:r>
          </w:p>
          <w:p>
            <w:pPr>
              <w:pStyle w:val="TableParagraph"/>
              <w:tabs>
                <w:tab w:pos="1306" w:val="left" w:leader="none"/>
              </w:tabs>
              <w:ind w:left="69" w:right="4170"/>
              <w:rPr>
                <w:sz w:val="20"/>
              </w:rPr>
            </w:pPr>
            <w:r>
              <w:rPr>
                <w:sz w:val="20"/>
              </w:rPr>
              <w:t>(</w:t>
            </w:r>
            <w:r>
              <w:rPr>
                <w:spacing w:val="-9"/>
                <w:sz w:val="20"/>
              </w:rPr>
              <w:t> </w:t>
            </w:r>
            <w:r>
              <w:rPr>
                <w:sz w:val="20"/>
              </w:rPr>
              <w:t>x)Producto</w:t>
            </w:r>
            <w:r>
              <w:rPr>
                <w:spacing w:val="-10"/>
                <w:sz w:val="20"/>
              </w:rPr>
              <w:t> </w:t>
            </w:r>
            <w:r>
              <w:rPr>
                <w:sz w:val="20"/>
              </w:rPr>
              <w:t>o</w:t>
            </w:r>
            <w:r>
              <w:rPr>
                <w:spacing w:val="-8"/>
                <w:sz w:val="20"/>
              </w:rPr>
              <w:t> </w:t>
            </w:r>
            <w:r>
              <w:rPr>
                <w:sz w:val="20"/>
              </w:rPr>
              <w:t>Gestión</w:t>
            </w:r>
            <w:r>
              <w:rPr>
                <w:spacing w:val="-9"/>
                <w:sz w:val="20"/>
              </w:rPr>
              <w:t> </w:t>
            </w:r>
            <w:r>
              <w:rPr>
                <w:sz w:val="20"/>
              </w:rPr>
              <w:t>()</w:t>
            </w:r>
            <w:r>
              <w:rPr>
                <w:spacing w:val="-9"/>
                <w:sz w:val="20"/>
              </w:rPr>
              <w:t> </w:t>
            </w:r>
            <w:r>
              <w:rPr>
                <w:sz w:val="20"/>
              </w:rPr>
              <w:t>Economía ( ) Otro: </w:t>
            </w:r>
            <w:r>
              <w:rPr>
                <w:sz w:val="20"/>
                <w:u w:val="single"/>
              </w:rPr>
              <w:tab/>
            </w:r>
          </w:p>
        </w:tc>
      </w:tr>
      <w:tr>
        <w:trPr>
          <w:trHeight w:val="621" w:hRule="atLeast"/>
        </w:trPr>
        <w:tc>
          <w:tcPr>
            <w:tcW w:w="3099" w:type="dxa"/>
            <w:vMerge w:val="restart"/>
            <w:shd w:val="clear" w:color="auto" w:fill="DBE4F0"/>
          </w:tcPr>
          <w:p>
            <w:pPr>
              <w:pStyle w:val="TableParagraph"/>
              <w:spacing w:before="102"/>
              <w:ind w:left="67" w:right="99"/>
              <w:rPr>
                <w:b/>
                <w:sz w:val="20"/>
              </w:rPr>
            </w:pPr>
            <w:r>
              <w:rPr>
                <w:b/>
                <w:sz w:val="20"/>
              </w:rPr>
              <w:t>Desagregación (aplica únicamente para las metas correspondientes</w:t>
            </w:r>
            <w:r>
              <w:rPr>
                <w:b/>
                <w:spacing w:val="-14"/>
                <w:sz w:val="20"/>
              </w:rPr>
              <w:t> </w:t>
            </w:r>
            <w:r>
              <w:rPr>
                <w:b/>
                <w:sz w:val="20"/>
              </w:rPr>
              <w:t>al</w:t>
            </w:r>
            <w:r>
              <w:rPr>
                <w:b/>
                <w:spacing w:val="-14"/>
                <w:sz w:val="20"/>
              </w:rPr>
              <w:t> </w:t>
            </w:r>
            <w:r>
              <w:rPr>
                <w:b/>
                <w:sz w:val="20"/>
              </w:rPr>
              <w:t>Programa Protección y Promoción </w:t>
            </w:r>
            <w:r>
              <w:rPr>
                <w:b/>
                <w:spacing w:val="-2"/>
                <w:sz w:val="20"/>
              </w:rPr>
              <w:t>Social)</w:t>
            </w:r>
          </w:p>
        </w:tc>
        <w:tc>
          <w:tcPr>
            <w:tcW w:w="7393" w:type="dxa"/>
          </w:tcPr>
          <w:p>
            <w:pPr>
              <w:pStyle w:val="TableParagraph"/>
              <w:spacing w:before="194"/>
              <w:ind w:left="69"/>
              <w:rPr>
                <w:sz w:val="20"/>
              </w:rPr>
            </w:pPr>
            <w:r>
              <w:rPr>
                <w:sz w:val="20"/>
              </w:rPr>
              <w:t>Geográfica:</w:t>
            </w:r>
            <w:r>
              <w:rPr>
                <w:spacing w:val="-13"/>
                <w:sz w:val="20"/>
              </w:rPr>
              <w:t> </w:t>
            </w:r>
            <w:r>
              <w:rPr>
                <w:spacing w:val="-5"/>
                <w:sz w:val="20"/>
              </w:rPr>
              <w:t>NA</w:t>
            </w:r>
          </w:p>
        </w:tc>
      </w:tr>
      <w:tr>
        <w:trPr>
          <w:trHeight w:val="726" w:hRule="atLeast"/>
        </w:trPr>
        <w:tc>
          <w:tcPr>
            <w:tcW w:w="3099" w:type="dxa"/>
            <w:vMerge/>
            <w:tcBorders>
              <w:top w:val="nil"/>
            </w:tcBorders>
            <w:shd w:val="clear" w:color="auto" w:fill="DBE4F0"/>
          </w:tcPr>
          <w:p>
            <w:pPr>
              <w:rPr>
                <w:sz w:val="2"/>
                <w:szCs w:val="2"/>
              </w:rPr>
            </w:pPr>
          </w:p>
        </w:tc>
        <w:tc>
          <w:tcPr>
            <w:tcW w:w="7393" w:type="dxa"/>
          </w:tcPr>
          <w:p>
            <w:pPr>
              <w:pStyle w:val="TableParagraph"/>
              <w:spacing w:before="19"/>
              <w:rPr>
                <w:b/>
                <w:sz w:val="20"/>
              </w:rPr>
            </w:pPr>
          </w:p>
          <w:p>
            <w:pPr>
              <w:pStyle w:val="TableParagraph"/>
              <w:ind w:left="69"/>
              <w:rPr>
                <w:sz w:val="20"/>
              </w:rPr>
            </w:pPr>
            <w:r>
              <w:rPr>
                <w:sz w:val="20"/>
              </w:rPr>
              <w:t>Temática:</w:t>
            </w:r>
            <w:r>
              <w:rPr>
                <w:spacing w:val="-11"/>
                <w:sz w:val="20"/>
              </w:rPr>
              <w:t> </w:t>
            </w:r>
            <w:r>
              <w:rPr>
                <w:spacing w:val="-5"/>
                <w:sz w:val="20"/>
              </w:rPr>
              <w:t>NA</w:t>
            </w:r>
          </w:p>
        </w:tc>
      </w:tr>
      <w:tr>
        <w:trPr>
          <w:trHeight w:val="1188" w:hRule="atLeast"/>
        </w:trPr>
        <w:tc>
          <w:tcPr>
            <w:tcW w:w="3099" w:type="dxa"/>
            <w:shd w:val="clear" w:color="auto" w:fill="DBE4F0"/>
          </w:tcPr>
          <w:p>
            <w:pPr>
              <w:pStyle w:val="TableParagraph"/>
              <w:rPr>
                <w:b/>
                <w:sz w:val="20"/>
              </w:rPr>
            </w:pPr>
          </w:p>
          <w:p>
            <w:pPr>
              <w:pStyle w:val="TableParagraph"/>
              <w:spacing w:before="20"/>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393" w:type="dxa"/>
          </w:tcPr>
          <w:p>
            <w:pPr>
              <w:pStyle w:val="TableParagraph"/>
              <w:spacing w:before="134"/>
              <w:ind w:left="69" w:right="174"/>
              <w:rPr>
                <w:sz w:val="20"/>
              </w:rPr>
            </w:pPr>
            <w:r>
              <w:rPr>
                <w:sz w:val="20"/>
              </w:rPr>
              <w:t>La persona responsable del proceso de contratación es Marcela Mora, encargada</w:t>
            </w:r>
            <w:r>
              <w:rPr>
                <w:spacing w:val="-6"/>
                <w:sz w:val="20"/>
              </w:rPr>
              <w:t> </w:t>
            </w:r>
            <w:r>
              <w:rPr>
                <w:sz w:val="20"/>
              </w:rPr>
              <w:t>de</w:t>
            </w:r>
            <w:r>
              <w:rPr>
                <w:spacing w:val="-5"/>
                <w:sz w:val="20"/>
              </w:rPr>
              <w:t> </w:t>
            </w:r>
            <w:r>
              <w:rPr>
                <w:sz w:val="20"/>
              </w:rPr>
              <w:t>dar</w:t>
            </w:r>
            <w:r>
              <w:rPr>
                <w:spacing w:val="-5"/>
                <w:sz w:val="20"/>
              </w:rPr>
              <w:t> </w:t>
            </w:r>
            <w:r>
              <w:rPr>
                <w:sz w:val="20"/>
              </w:rPr>
              <w:t>seguimiento</w:t>
            </w:r>
            <w:r>
              <w:rPr>
                <w:spacing w:val="-6"/>
                <w:sz w:val="20"/>
              </w:rPr>
              <w:t> </w:t>
            </w:r>
            <w:r>
              <w:rPr>
                <w:sz w:val="20"/>
              </w:rPr>
              <w:t>al</w:t>
            </w:r>
            <w:r>
              <w:rPr>
                <w:spacing w:val="-6"/>
                <w:sz w:val="20"/>
              </w:rPr>
              <w:t> </w:t>
            </w:r>
            <w:r>
              <w:rPr>
                <w:sz w:val="20"/>
              </w:rPr>
              <w:t>proceso</w:t>
            </w:r>
            <w:r>
              <w:rPr>
                <w:spacing w:val="-5"/>
                <w:sz w:val="20"/>
              </w:rPr>
              <w:t> </w:t>
            </w:r>
            <w:r>
              <w:rPr>
                <w:sz w:val="20"/>
              </w:rPr>
              <w:t>de</w:t>
            </w:r>
            <w:r>
              <w:rPr>
                <w:spacing w:val="-3"/>
                <w:sz w:val="20"/>
              </w:rPr>
              <w:t> </w:t>
            </w:r>
            <w:r>
              <w:rPr>
                <w:sz w:val="20"/>
              </w:rPr>
              <w:t>ejecución</w:t>
            </w:r>
            <w:r>
              <w:rPr>
                <w:spacing w:val="-3"/>
                <w:sz w:val="20"/>
              </w:rPr>
              <w:t> </w:t>
            </w:r>
            <w:r>
              <w:rPr>
                <w:sz w:val="20"/>
              </w:rPr>
              <w:t>de</w:t>
            </w:r>
            <w:r>
              <w:rPr>
                <w:spacing w:val="-4"/>
                <w:sz w:val="20"/>
              </w:rPr>
              <w:t> </w:t>
            </w:r>
            <w:r>
              <w:rPr>
                <w:sz w:val="20"/>
              </w:rPr>
              <w:t>los</w:t>
            </w:r>
            <w:r>
              <w:rPr>
                <w:spacing w:val="-4"/>
                <w:sz w:val="20"/>
              </w:rPr>
              <w:t> </w:t>
            </w:r>
            <w:r>
              <w:rPr>
                <w:sz w:val="20"/>
              </w:rPr>
              <w:t>recursos,</w:t>
            </w:r>
            <w:r>
              <w:rPr>
                <w:spacing w:val="-5"/>
                <w:sz w:val="20"/>
              </w:rPr>
              <w:t> </w:t>
            </w:r>
            <w:r>
              <w:rPr>
                <w:sz w:val="20"/>
              </w:rPr>
              <w:t>dichos insumos serán entregados a Maricruz Sancho quién alimenta la herramienta DELPHOS según las instrucciones de Planificación Institucional.</w:t>
            </w:r>
          </w:p>
        </w:tc>
      </w:tr>
    </w:tbl>
    <w:p>
      <w:pPr>
        <w:pStyle w:val="BodyText"/>
        <w:spacing w:before="19"/>
        <w:rPr>
          <w:b/>
          <w:sz w:val="24"/>
        </w:rPr>
      </w:pPr>
    </w:p>
    <w:p>
      <w:pPr>
        <w:spacing w:before="0"/>
        <w:ind w:left="840" w:right="0" w:firstLine="0"/>
        <w:jc w:val="left"/>
        <w:rPr>
          <w:b/>
          <w:sz w:val="24"/>
        </w:rPr>
      </w:pPr>
      <w:r>
        <w:rPr>
          <w:b/>
          <w:sz w:val="24"/>
        </w:rPr>
        <w:t>Desarrollo</w:t>
      </w:r>
      <w:r>
        <w:rPr>
          <w:b/>
          <w:spacing w:val="-4"/>
          <w:sz w:val="24"/>
        </w:rPr>
        <w:t> </w:t>
      </w:r>
      <w:r>
        <w:rPr>
          <w:b/>
          <w:spacing w:val="-2"/>
          <w:sz w:val="24"/>
        </w:rPr>
        <w:t>Humano</w:t>
      </w:r>
    </w:p>
    <w:p>
      <w:pPr>
        <w:pStyle w:val="BodyText"/>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86"/>
        <w:gridCol w:w="7506"/>
      </w:tblGrid>
      <w:tr>
        <w:trPr>
          <w:trHeight w:val="460" w:hRule="atLeast"/>
        </w:trPr>
        <w:tc>
          <w:tcPr>
            <w:tcW w:w="2986" w:type="dxa"/>
            <w:shd w:val="clear" w:color="auto" w:fill="DBE4F0"/>
          </w:tcPr>
          <w:p>
            <w:pPr>
              <w:pStyle w:val="TableParagraph"/>
              <w:spacing w:before="114"/>
              <w:ind w:left="67"/>
              <w:rPr>
                <w:b/>
                <w:sz w:val="20"/>
              </w:rPr>
            </w:pPr>
            <w:r>
              <w:rPr>
                <w:b/>
                <w:sz w:val="20"/>
              </w:rPr>
              <w:t>PAC</w:t>
            </w:r>
            <w:r>
              <w:rPr>
                <w:b/>
                <w:spacing w:val="-8"/>
                <w:sz w:val="20"/>
              </w:rPr>
              <w:t> </w:t>
            </w:r>
            <w:r>
              <w:rPr>
                <w:b/>
                <w:spacing w:val="-2"/>
                <w:sz w:val="20"/>
              </w:rPr>
              <w:t>2.2.1</w:t>
            </w:r>
          </w:p>
        </w:tc>
        <w:tc>
          <w:tcPr>
            <w:tcW w:w="7506" w:type="dxa"/>
          </w:tcPr>
          <w:p>
            <w:pPr>
              <w:pStyle w:val="TableParagraph"/>
              <w:spacing w:line="230" w:lineRule="exact"/>
              <w:ind w:left="69"/>
              <w:rPr>
                <w:sz w:val="20"/>
              </w:rPr>
            </w:pPr>
            <w:r>
              <w:rPr>
                <w:sz w:val="20"/>
              </w:rPr>
              <w:t>Nombre</w:t>
            </w:r>
            <w:r>
              <w:rPr>
                <w:spacing w:val="-4"/>
                <w:sz w:val="20"/>
              </w:rPr>
              <w:t> </w:t>
            </w:r>
            <w:r>
              <w:rPr>
                <w:sz w:val="20"/>
              </w:rPr>
              <w:t>del</w:t>
            </w:r>
            <w:r>
              <w:rPr>
                <w:spacing w:val="-7"/>
                <w:sz w:val="20"/>
              </w:rPr>
              <w:t> </w:t>
            </w:r>
            <w:r>
              <w:rPr>
                <w:sz w:val="20"/>
              </w:rPr>
              <w:t>Indicador:</w:t>
            </w:r>
            <w:r>
              <w:rPr>
                <w:spacing w:val="-2"/>
                <w:sz w:val="20"/>
              </w:rPr>
              <w:t> </w:t>
            </w:r>
            <w:r>
              <w:rPr>
                <w:sz w:val="20"/>
              </w:rPr>
              <w:t>Porcentaje</w:t>
            </w:r>
            <w:r>
              <w:rPr>
                <w:spacing w:val="-4"/>
                <w:sz w:val="20"/>
              </w:rPr>
              <w:t> </w:t>
            </w:r>
            <w:r>
              <w:rPr>
                <w:sz w:val="20"/>
              </w:rPr>
              <w:t>del</w:t>
            </w:r>
            <w:r>
              <w:rPr>
                <w:spacing w:val="-5"/>
                <w:sz w:val="20"/>
              </w:rPr>
              <w:t> </w:t>
            </w:r>
            <w:r>
              <w:rPr>
                <w:sz w:val="20"/>
              </w:rPr>
              <w:t>presupuesto</w:t>
            </w:r>
            <w:r>
              <w:rPr>
                <w:spacing w:val="-4"/>
                <w:sz w:val="20"/>
              </w:rPr>
              <w:t> </w:t>
            </w:r>
            <w:r>
              <w:rPr>
                <w:sz w:val="20"/>
              </w:rPr>
              <w:t>ejecutado</w:t>
            </w:r>
            <w:r>
              <w:rPr>
                <w:spacing w:val="-6"/>
                <w:sz w:val="20"/>
              </w:rPr>
              <w:t> </w:t>
            </w:r>
            <w:r>
              <w:rPr>
                <w:sz w:val="20"/>
              </w:rPr>
              <w:t>para</w:t>
            </w:r>
            <w:r>
              <w:rPr>
                <w:spacing w:val="-6"/>
                <w:sz w:val="20"/>
              </w:rPr>
              <w:t> </w:t>
            </w:r>
            <w:r>
              <w:rPr>
                <w:sz w:val="20"/>
              </w:rPr>
              <w:t>el</w:t>
            </w:r>
            <w:r>
              <w:rPr>
                <w:spacing w:val="-7"/>
                <w:sz w:val="20"/>
              </w:rPr>
              <w:t> </w:t>
            </w:r>
            <w:r>
              <w:rPr>
                <w:sz w:val="20"/>
              </w:rPr>
              <w:t>plan</w:t>
            </w:r>
            <w:r>
              <w:rPr>
                <w:spacing w:val="-5"/>
                <w:sz w:val="20"/>
              </w:rPr>
              <w:t> </w:t>
            </w:r>
            <w:r>
              <w:rPr>
                <w:sz w:val="20"/>
              </w:rPr>
              <w:t>de </w:t>
            </w:r>
            <w:r>
              <w:rPr>
                <w:spacing w:val="-2"/>
                <w:sz w:val="20"/>
              </w:rPr>
              <w:t>capacitación.</w:t>
            </w:r>
          </w:p>
        </w:tc>
      </w:tr>
      <w:tr>
        <w:trPr>
          <w:trHeight w:val="299" w:hRule="atLeast"/>
        </w:trPr>
        <w:tc>
          <w:tcPr>
            <w:tcW w:w="2986" w:type="dxa"/>
            <w:shd w:val="clear" w:color="auto" w:fill="DBE4F0"/>
          </w:tcPr>
          <w:p>
            <w:pPr>
              <w:pStyle w:val="TableParagraph"/>
              <w:spacing w:before="35"/>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06" w:type="dxa"/>
          </w:tcPr>
          <w:p>
            <w:pPr>
              <w:pStyle w:val="TableParagraph"/>
              <w:spacing w:before="35"/>
              <w:ind w:left="69"/>
              <w:rPr>
                <w:sz w:val="20"/>
              </w:rPr>
            </w:pPr>
            <w:r>
              <w:rPr>
                <w:sz w:val="20"/>
              </w:rPr>
              <w:t>monto</w:t>
            </w:r>
            <w:r>
              <w:rPr>
                <w:spacing w:val="-9"/>
                <w:sz w:val="20"/>
              </w:rPr>
              <w:t> </w:t>
            </w:r>
            <w:r>
              <w:rPr>
                <w:sz w:val="20"/>
              </w:rPr>
              <w:t>ejecutado/</w:t>
            </w:r>
            <w:r>
              <w:rPr>
                <w:spacing w:val="-8"/>
                <w:sz w:val="20"/>
              </w:rPr>
              <w:t> </w:t>
            </w:r>
            <w:r>
              <w:rPr>
                <w:sz w:val="20"/>
              </w:rPr>
              <w:t>monto</w:t>
            </w:r>
            <w:r>
              <w:rPr>
                <w:spacing w:val="-8"/>
                <w:sz w:val="20"/>
              </w:rPr>
              <w:t> </w:t>
            </w:r>
            <w:r>
              <w:rPr>
                <w:spacing w:val="-2"/>
                <w:sz w:val="20"/>
              </w:rPr>
              <w:t>presupuestado*100</w:t>
            </w:r>
          </w:p>
        </w:tc>
      </w:tr>
      <w:tr>
        <w:trPr>
          <w:trHeight w:val="299" w:hRule="atLeast"/>
        </w:trPr>
        <w:tc>
          <w:tcPr>
            <w:tcW w:w="2986" w:type="dxa"/>
            <w:shd w:val="clear" w:color="auto" w:fill="DBE4F0"/>
          </w:tcPr>
          <w:p>
            <w:pPr>
              <w:pStyle w:val="TableParagraph"/>
              <w:spacing w:before="35"/>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06" w:type="dxa"/>
          </w:tcPr>
          <w:p>
            <w:pPr>
              <w:pStyle w:val="TableParagraph"/>
              <w:spacing w:before="35"/>
              <w:ind w:left="69"/>
              <w:rPr>
                <w:sz w:val="20"/>
              </w:rPr>
            </w:pPr>
            <w:r>
              <w:rPr>
                <w:spacing w:val="-2"/>
                <w:sz w:val="20"/>
              </w:rPr>
              <w:t>Porcentaje</w:t>
            </w:r>
          </w:p>
        </w:tc>
      </w:tr>
      <w:tr>
        <w:trPr>
          <w:trHeight w:val="1152" w:hRule="atLeast"/>
        </w:trPr>
        <w:tc>
          <w:tcPr>
            <w:tcW w:w="2986" w:type="dxa"/>
            <w:shd w:val="clear" w:color="auto" w:fill="DBE4F0"/>
          </w:tcPr>
          <w:p>
            <w:pPr>
              <w:pStyle w:val="TableParagraph"/>
              <w:rPr>
                <w:b/>
                <w:sz w:val="20"/>
              </w:rPr>
            </w:pPr>
          </w:p>
          <w:p>
            <w:pPr>
              <w:pStyle w:val="TableParagraph"/>
              <w:rPr>
                <w:b/>
                <w:sz w:val="20"/>
              </w:rPr>
            </w:pPr>
          </w:p>
          <w:p>
            <w:pPr>
              <w:pStyle w:val="TableParagraph"/>
              <w:ind w:left="67"/>
              <w:rPr>
                <w:b/>
                <w:sz w:val="20"/>
              </w:rPr>
            </w:pPr>
            <w:r>
              <w:rPr>
                <w:b/>
                <w:spacing w:val="-2"/>
                <w:sz w:val="20"/>
              </w:rPr>
              <w:t>Interpretación:</w:t>
            </w:r>
          </w:p>
        </w:tc>
        <w:tc>
          <w:tcPr>
            <w:tcW w:w="7506" w:type="dxa"/>
          </w:tcPr>
          <w:p>
            <w:pPr>
              <w:pStyle w:val="TableParagraph"/>
              <w:ind w:left="69" w:right="59"/>
              <w:rPr>
                <w:sz w:val="20"/>
              </w:rPr>
            </w:pPr>
            <w:r>
              <w:rPr>
                <w:sz w:val="20"/>
              </w:rPr>
              <w:t>El</w:t>
            </w:r>
            <w:r>
              <w:rPr>
                <w:spacing w:val="-1"/>
                <w:sz w:val="20"/>
              </w:rPr>
              <w:t> </w:t>
            </w:r>
            <w:r>
              <w:rPr>
                <w:sz w:val="20"/>
              </w:rPr>
              <w:t>porcentaje</w:t>
            </w:r>
            <w:r>
              <w:rPr>
                <w:spacing w:val="-2"/>
                <w:sz w:val="20"/>
              </w:rPr>
              <w:t> </w:t>
            </w:r>
            <w:r>
              <w:rPr>
                <w:sz w:val="20"/>
              </w:rPr>
              <w:t>de ejecución del</w:t>
            </w:r>
            <w:r>
              <w:rPr>
                <w:spacing w:val="-1"/>
                <w:sz w:val="20"/>
              </w:rPr>
              <w:t> </w:t>
            </w:r>
            <w:r>
              <w:rPr>
                <w:sz w:val="20"/>
              </w:rPr>
              <w:t>presupuesto</w:t>
            </w:r>
            <w:r>
              <w:rPr>
                <w:spacing w:val="-3"/>
                <w:sz w:val="20"/>
              </w:rPr>
              <w:t> </w:t>
            </w:r>
            <w:r>
              <w:rPr>
                <w:sz w:val="20"/>
              </w:rPr>
              <w:t>respecto</w:t>
            </w:r>
            <w:r>
              <w:rPr>
                <w:spacing w:val="-3"/>
                <w:sz w:val="20"/>
              </w:rPr>
              <w:t> </w:t>
            </w:r>
            <w:r>
              <w:rPr>
                <w:sz w:val="20"/>
              </w:rPr>
              <w:t>al</w:t>
            </w:r>
            <w:r>
              <w:rPr>
                <w:spacing w:val="-3"/>
                <w:sz w:val="20"/>
              </w:rPr>
              <w:t> </w:t>
            </w:r>
            <w:r>
              <w:rPr>
                <w:sz w:val="20"/>
              </w:rPr>
              <w:t>plan</w:t>
            </w:r>
            <w:r>
              <w:rPr>
                <w:spacing w:val="-1"/>
                <w:sz w:val="20"/>
              </w:rPr>
              <w:t> </w:t>
            </w:r>
            <w:r>
              <w:rPr>
                <w:sz w:val="20"/>
              </w:rPr>
              <w:t>de</w:t>
            </w:r>
            <w:r>
              <w:rPr>
                <w:spacing w:val="-3"/>
                <w:sz w:val="20"/>
              </w:rPr>
              <w:t> </w:t>
            </w:r>
            <w:r>
              <w:rPr>
                <w:sz w:val="20"/>
              </w:rPr>
              <w:t>capacitación</w:t>
            </w:r>
            <w:r>
              <w:rPr>
                <w:spacing w:val="-2"/>
                <w:sz w:val="20"/>
              </w:rPr>
              <w:t> </w:t>
            </w:r>
            <w:r>
              <w:rPr>
                <w:sz w:val="20"/>
              </w:rPr>
              <w:t>se calcula dividiendo el monto ejecutado entre el monto presupuestado de las capacitaciones</w:t>
            </w:r>
            <w:r>
              <w:rPr>
                <w:spacing w:val="-5"/>
                <w:sz w:val="20"/>
              </w:rPr>
              <w:t> </w:t>
            </w:r>
            <w:r>
              <w:rPr>
                <w:sz w:val="20"/>
              </w:rPr>
              <w:t>programadas</w:t>
            </w:r>
            <w:r>
              <w:rPr>
                <w:spacing w:val="-5"/>
                <w:sz w:val="20"/>
              </w:rPr>
              <w:t> </w:t>
            </w:r>
            <w:r>
              <w:rPr>
                <w:sz w:val="20"/>
              </w:rPr>
              <w:t>para</w:t>
            </w:r>
            <w:r>
              <w:rPr>
                <w:spacing w:val="-6"/>
                <w:sz w:val="20"/>
              </w:rPr>
              <w:t> </w:t>
            </w:r>
            <w:r>
              <w:rPr>
                <w:sz w:val="20"/>
              </w:rPr>
              <w:t>el</w:t>
            </w:r>
            <w:r>
              <w:rPr>
                <w:spacing w:val="-7"/>
                <w:sz w:val="20"/>
              </w:rPr>
              <w:t> </w:t>
            </w:r>
            <w:r>
              <w:rPr>
                <w:sz w:val="20"/>
              </w:rPr>
              <w:t>2027,</w:t>
            </w:r>
            <w:r>
              <w:rPr>
                <w:spacing w:val="-6"/>
                <w:sz w:val="20"/>
              </w:rPr>
              <w:t> </w:t>
            </w:r>
            <w:r>
              <w:rPr>
                <w:sz w:val="20"/>
              </w:rPr>
              <w:t>y</w:t>
            </w:r>
            <w:r>
              <w:rPr>
                <w:spacing w:val="-5"/>
                <w:sz w:val="20"/>
              </w:rPr>
              <w:t> </w:t>
            </w:r>
            <w:r>
              <w:rPr>
                <w:sz w:val="20"/>
              </w:rPr>
              <w:t>multiplicando</w:t>
            </w:r>
            <w:r>
              <w:rPr>
                <w:spacing w:val="-4"/>
                <w:sz w:val="20"/>
              </w:rPr>
              <w:t> </w:t>
            </w:r>
            <w:r>
              <w:rPr>
                <w:sz w:val="20"/>
              </w:rPr>
              <w:t>el</w:t>
            </w:r>
            <w:r>
              <w:rPr>
                <w:spacing w:val="-5"/>
                <w:sz w:val="20"/>
              </w:rPr>
              <w:t> </w:t>
            </w:r>
            <w:r>
              <w:rPr>
                <w:sz w:val="20"/>
              </w:rPr>
              <w:t>resultado</w:t>
            </w:r>
            <w:r>
              <w:rPr>
                <w:spacing w:val="-4"/>
                <w:sz w:val="20"/>
              </w:rPr>
              <w:t> </w:t>
            </w:r>
            <w:r>
              <w:rPr>
                <w:sz w:val="20"/>
              </w:rPr>
              <w:t>por</w:t>
            </w:r>
            <w:r>
              <w:rPr>
                <w:spacing w:val="-3"/>
                <w:sz w:val="20"/>
              </w:rPr>
              <w:t> </w:t>
            </w:r>
            <w:r>
              <w:rPr>
                <w:sz w:val="20"/>
              </w:rPr>
              <w:t>100. Esta fórmula permite medir el grado de cumplimiento del plan, expresado en</w:t>
            </w:r>
          </w:p>
          <w:p>
            <w:pPr>
              <w:pStyle w:val="TableParagraph"/>
              <w:spacing w:line="211" w:lineRule="exact" w:before="1"/>
              <w:ind w:left="69"/>
              <w:rPr>
                <w:sz w:val="20"/>
              </w:rPr>
            </w:pPr>
            <w:r>
              <w:rPr>
                <w:spacing w:val="-2"/>
                <w:sz w:val="20"/>
              </w:rPr>
              <w:t>porcentaje.</w:t>
            </w:r>
          </w:p>
        </w:tc>
      </w:tr>
      <w:tr>
        <w:trPr>
          <w:trHeight w:val="299" w:hRule="atLeast"/>
        </w:trPr>
        <w:tc>
          <w:tcPr>
            <w:tcW w:w="2986" w:type="dxa"/>
            <w:shd w:val="clear" w:color="auto" w:fill="DBE4F0"/>
          </w:tcPr>
          <w:p>
            <w:pPr>
              <w:pStyle w:val="TableParagraph"/>
              <w:spacing w:before="33"/>
              <w:ind w:left="67"/>
              <w:rPr>
                <w:b/>
                <w:sz w:val="20"/>
              </w:rPr>
            </w:pPr>
            <w:r>
              <w:rPr>
                <w:b/>
                <w:spacing w:val="-2"/>
                <w:sz w:val="20"/>
              </w:rPr>
              <w:t>Desagregación</w:t>
            </w:r>
          </w:p>
        </w:tc>
        <w:tc>
          <w:tcPr>
            <w:tcW w:w="7506" w:type="dxa"/>
          </w:tcPr>
          <w:p>
            <w:pPr>
              <w:pStyle w:val="TableParagraph"/>
              <w:spacing w:before="33"/>
              <w:ind w:left="69"/>
              <w:rPr>
                <w:sz w:val="20"/>
              </w:rPr>
            </w:pPr>
            <w:r>
              <w:rPr>
                <w:spacing w:val="-2"/>
                <w:sz w:val="20"/>
              </w:rPr>
              <w:t>Institucional</w:t>
            </w:r>
          </w:p>
        </w:tc>
      </w:tr>
      <w:tr>
        <w:trPr>
          <w:trHeight w:val="688" w:hRule="atLeast"/>
        </w:trPr>
        <w:tc>
          <w:tcPr>
            <w:tcW w:w="2986" w:type="dxa"/>
            <w:shd w:val="clear" w:color="auto" w:fill="DBE4F0"/>
          </w:tcPr>
          <w:p>
            <w:pPr>
              <w:pStyle w:val="TableParagraph"/>
              <w:spacing w:before="230"/>
              <w:ind w:left="67"/>
              <w:rPr>
                <w:b/>
                <w:sz w:val="20"/>
              </w:rPr>
            </w:pPr>
            <w:r>
              <w:rPr>
                <w:b/>
                <w:spacing w:val="-2"/>
                <w:sz w:val="20"/>
              </w:rPr>
              <w:t>Meta:</w:t>
            </w:r>
          </w:p>
        </w:tc>
        <w:tc>
          <w:tcPr>
            <w:tcW w:w="7506" w:type="dxa"/>
          </w:tcPr>
          <w:p>
            <w:pPr>
              <w:pStyle w:val="TableParagraph"/>
              <w:spacing w:line="229" w:lineRule="exact"/>
              <w:ind w:left="69"/>
              <w:rPr>
                <w:sz w:val="20"/>
              </w:rPr>
            </w:pPr>
            <w:r>
              <w:rPr>
                <w:sz w:val="20"/>
              </w:rPr>
              <w:t>90%</w:t>
            </w:r>
            <w:r>
              <w:rPr>
                <w:spacing w:val="-7"/>
                <w:sz w:val="20"/>
              </w:rPr>
              <w:t> </w:t>
            </w:r>
            <w:r>
              <w:rPr>
                <w:sz w:val="20"/>
              </w:rPr>
              <w:t>de</w:t>
            </w:r>
            <w:r>
              <w:rPr>
                <w:spacing w:val="-6"/>
                <w:sz w:val="20"/>
              </w:rPr>
              <w:t> </w:t>
            </w:r>
            <w:r>
              <w:rPr>
                <w:sz w:val="20"/>
              </w:rPr>
              <w:t>la</w:t>
            </w:r>
            <w:r>
              <w:rPr>
                <w:spacing w:val="-6"/>
                <w:sz w:val="20"/>
              </w:rPr>
              <w:t> </w:t>
            </w:r>
            <w:r>
              <w:rPr>
                <w:sz w:val="20"/>
              </w:rPr>
              <w:t>ejecución</w:t>
            </w:r>
            <w:r>
              <w:rPr>
                <w:spacing w:val="-7"/>
                <w:sz w:val="20"/>
              </w:rPr>
              <w:t> </w:t>
            </w:r>
            <w:r>
              <w:rPr>
                <w:sz w:val="20"/>
              </w:rPr>
              <w:t>del</w:t>
            </w:r>
            <w:r>
              <w:rPr>
                <w:spacing w:val="-6"/>
                <w:sz w:val="20"/>
              </w:rPr>
              <w:t> </w:t>
            </w:r>
            <w:r>
              <w:rPr>
                <w:sz w:val="20"/>
              </w:rPr>
              <w:t>presupuesto</w:t>
            </w:r>
            <w:r>
              <w:rPr>
                <w:spacing w:val="-6"/>
                <w:sz w:val="20"/>
              </w:rPr>
              <w:t> </w:t>
            </w:r>
            <w:r>
              <w:rPr>
                <w:sz w:val="20"/>
              </w:rPr>
              <w:t>del</w:t>
            </w:r>
            <w:r>
              <w:rPr>
                <w:spacing w:val="-7"/>
                <w:sz w:val="20"/>
              </w:rPr>
              <w:t> </w:t>
            </w:r>
            <w:r>
              <w:rPr>
                <w:sz w:val="20"/>
              </w:rPr>
              <w:t>plan</w:t>
            </w:r>
            <w:r>
              <w:rPr>
                <w:spacing w:val="-6"/>
                <w:sz w:val="20"/>
              </w:rPr>
              <w:t> </w:t>
            </w:r>
            <w:r>
              <w:rPr>
                <w:sz w:val="20"/>
              </w:rPr>
              <w:t>de</w:t>
            </w:r>
            <w:r>
              <w:rPr>
                <w:spacing w:val="-6"/>
                <w:sz w:val="20"/>
              </w:rPr>
              <w:t> </w:t>
            </w:r>
            <w:r>
              <w:rPr>
                <w:sz w:val="20"/>
              </w:rPr>
              <w:t>capacitación</w:t>
            </w:r>
            <w:r>
              <w:rPr>
                <w:spacing w:val="-7"/>
                <w:sz w:val="20"/>
              </w:rPr>
              <w:t> </w:t>
            </w:r>
            <w:r>
              <w:rPr>
                <w:sz w:val="20"/>
              </w:rPr>
              <w:t>para</w:t>
            </w:r>
            <w:r>
              <w:rPr>
                <w:spacing w:val="-6"/>
                <w:sz w:val="20"/>
              </w:rPr>
              <w:t> </w:t>
            </w:r>
            <w:r>
              <w:rPr>
                <w:sz w:val="20"/>
              </w:rPr>
              <w:t>fomentar</w:t>
            </w:r>
            <w:r>
              <w:rPr>
                <w:spacing w:val="-6"/>
                <w:sz w:val="20"/>
              </w:rPr>
              <w:t> </w:t>
            </w:r>
            <w:r>
              <w:rPr>
                <w:spacing w:val="-5"/>
                <w:sz w:val="20"/>
              </w:rPr>
              <w:t>el</w:t>
            </w:r>
          </w:p>
          <w:p>
            <w:pPr>
              <w:pStyle w:val="TableParagraph"/>
              <w:spacing w:line="228" w:lineRule="exact"/>
              <w:ind w:left="69" w:right="59"/>
              <w:rPr>
                <w:sz w:val="20"/>
              </w:rPr>
            </w:pPr>
            <w:r>
              <w:rPr>
                <w:sz w:val="20"/>
              </w:rPr>
              <w:t>desarrollo</w:t>
            </w:r>
            <w:r>
              <w:rPr>
                <w:spacing w:val="-7"/>
                <w:sz w:val="20"/>
              </w:rPr>
              <w:t> </w:t>
            </w:r>
            <w:r>
              <w:rPr>
                <w:sz w:val="20"/>
              </w:rPr>
              <w:t>de</w:t>
            </w:r>
            <w:r>
              <w:rPr>
                <w:spacing w:val="-7"/>
                <w:sz w:val="20"/>
              </w:rPr>
              <w:t> </w:t>
            </w:r>
            <w:r>
              <w:rPr>
                <w:sz w:val="20"/>
              </w:rPr>
              <w:t>competencias</w:t>
            </w:r>
            <w:r>
              <w:rPr>
                <w:spacing w:val="-4"/>
                <w:sz w:val="20"/>
              </w:rPr>
              <w:t> </w:t>
            </w:r>
            <w:r>
              <w:rPr>
                <w:sz w:val="20"/>
              </w:rPr>
              <w:t>innovadoras</w:t>
            </w:r>
            <w:r>
              <w:rPr>
                <w:spacing w:val="-6"/>
                <w:sz w:val="20"/>
              </w:rPr>
              <w:t> </w:t>
            </w:r>
            <w:r>
              <w:rPr>
                <w:sz w:val="20"/>
              </w:rPr>
              <w:t>de</w:t>
            </w:r>
            <w:r>
              <w:rPr>
                <w:spacing w:val="-6"/>
                <w:sz w:val="20"/>
              </w:rPr>
              <w:t> </w:t>
            </w:r>
            <w:r>
              <w:rPr>
                <w:sz w:val="20"/>
              </w:rPr>
              <w:t>las</w:t>
            </w:r>
            <w:r>
              <w:rPr>
                <w:spacing w:val="-6"/>
                <w:sz w:val="20"/>
              </w:rPr>
              <w:t> </w:t>
            </w:r>
            <w:r>
              <w:rPr>
                <w:sz w:val="20"/>
              </w:rPr>
              <w:t>personas</w:t>
            </w:r>
            <w:r>
              <w:rPr>
                <w:spacing w:val="-6"/>
                <w:sz w:val="20"/>
              </w:rPr>
              <w:t> </w:t>
            </w:r>
            <w:r>
              <w:rPr>
                <w:sz w:val="20"/>
              </w:rPr>
              <w:t>trabajadoras</w:t>
            </w:r>
            <w:r>
              <w:rPr>
                <w:spacing w:val="-5"/>
                <w:sz w:val="20"/>
              </w:rPr>
              <w:t> </w:t>
            </w:r>
            <w:r>
              <w:rPr>
                <w:sz w:val="20"/>
              </w:rPr>
              <w:t>y funcionarias en el 2027.</w:t>
            </w:r>
          </w:p>
        </w:tc>
      </w:tr>
      <w:tr>
        <w:trPr>
          <w:trHeight w:val="301" w:hRule="atLeast"/>
        </w:trPr>
        <w:tc>
          <w:tcPr>
            <w:tcW w:w="2986" w:type="dxa"/>
            <w:shd w:val="clear" w:color="auto" w:fill="DBE4F0"/>
          </w:tcPr>
          <w:p>
            <w:pPr>
              <w:pStyle w:val="TableParagraph"/>
              <w:spacing w:before="35"/>
              <w:ind w:left="67"/>
              <w:rPr>
                <w:b/>
                <w:sz w:val="20"/>
              </w:rPr>
            </w:pPr>
            <w:r>
              <w:rPr>
                <w:b/>
                <w:sz w:val="20"/>
              </w:rPr>
              <w:t>Línea</w:t>
            </w:r>
            <w:r>
              <w:rPr>
                <w:b/>
                <w:spacing w:val="-10"/>
                <w:sz w:val="20"/>
              </w:rPr>
              <w:t> </w:t>
            </w:r>
            <w:r>
              <w:rPr>
                <w:b/>
                <w:spacing w:val="-4"/>
                <w:sz w:val="20"/>
              </w:rPr>
              <w:t>Base</w:t>
            </w:r>
          </w:p>
        </w:tc>
        <w:tc>
          <w:tcPr>
            <w:tcW w:w="7506" w:type="dxa"/>
          </w:tcPr>
          <w:p>
            <w:pPr>
              <w:pStyle w:val="TableParagraph"/>
              <w:spacing w:before="35"/>
              <w:ind w:left="69"/>
              <w:rPr>
                <w:sz w:val="20"/>
              </w:rPr>
            </w:pPr>
            <w:r>
              <w:rPr>
                <w:spacing w:val="-2"/>
                <w:sz w:val="20"/>
              </w:rPr>
              <w:t>20,83%</w:t>
            </w:r>
          </w:p>
        </w:tc>
      </w:tr>
      <w:tr>
        <w:trPr>
          <w:trHeight w:val="479" w:hRule="atLeast"/>
        </w:trPr>
        <w:tc>
          <w:tcPr>
            <w:tcW w:w="2986" w:type="dxa"/>
            <w:shd w:val="clear" w:color="auto" w:fill="DBE4F0"/>
          </w:tcPr>
          <w:p>
            <w:pPr>
              <w:pStyle w:val="TableParagraph"/>
              <w:spacing w:line="230" w:lineRule="atLeast"/>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06" w:type="dxa"/>
          </w:tcPr>
          <w:p>
            <w:pPr>
              <w:pStyle w:val="TableParagraph"/>
              <w:spacing w:before="124"/>
              <w:ind w:left="69"/>
              <w:rPr>
                <w:sz w:val="20"/>
              </w:rPr>
            </w:pPr>
            <w:r>
              <w:rPr>
                <w:spacing w:val="-2"/>
                <w:sz w:val="20"/>
              </w:rPr>
              <w:t>Trimestral</w:t>
            </w:r>
          </w:p>
        </w:tc>
      </w:tr>
      <w:tr>
        <w:trPr>
          <w:trHeight w:val="1439" w:hRule="atLeast"/>
        </w:trPr>
        <w:tc>
          <w:tcPr>
            <w:tcW w:w="2986" w:type="dxa"/>
            <w:shd w:val="clear" w:color="auto" w:fill="DBE4F0"/>
          </w:tcPr>
          <w:p>
            <w:pPr>
              <w:pStyle w:val="TableParagraph"/>
              <w:rPr>
                <w:b/>
                <w:sz w:val="20"/>
              </w:rPr>
            </w:pPr>
          </w:p>
          <w:p>
            <w:pPr>
              <w:pStyle w:val="TableParagraph"/>
              <w:spacing w:before="29"/>
              <w:rPr>
                <w:b/>
                <w:sz w:val="20"/>
              </w:rPr>
            </w:pPr>
          </w:p>
          <w:p>
            <w:pPr>
              <w:pStyle w:val="TableParagraph"/>
              <w:ind w:left="67" w:right="524"/>
              <w:rPr>
                <w:b/>
                <w:sz w:val="20"/>
              </w:rPr>
            </w:pPr>
            <w:r>
              <w:rPr>
                <w:b/>
                <w:sz w:val="20"/>
              </w:rPr>
              <w:t>Responsable de la recopilación</w:t>
            </w:r>
            <w:r>
              <w:rPr>
                <w:b/>
                <w:spacing w:val="-14"/>
                <w:sz w:val="20"/>
              </w:rPr>
              <w:t> </w:t>
            </w:r>
            <w:r>
              <w:rPr>
                <w:b/>
                <w:sz w:val="20"/>
              </w:rPr>
              <w:t>información</w:t>
            </w:r>
          </w:p>
        </w:tc>
        <w:tc>
          <w:tcPr>
            <w:tcW w:w="7506" w:type="dxa"/>
          </w:tcPr>
          <w:p>
            <w:pPr>
              <w:pStyle w:val="TableParagraph"/>
              <w:rPr>
                <w:b/>
                <w:sz w:val="20"/>
              </w:rPr>
            </w:pPr>
          </w:p>
          <w:p>
            <w:pPr>
              <w:pStyle w:val="TableParagraph"/>
              <w:spacing w:before="29"/>
              <w:rPr>
                <w:b/>
                <w:sz w:val="20"/>
              </w:rPr>
            </w:pPr>
          </w:p>
          <w:p>
            <w:pPr>
              <w:pStyle w:val="TableParagraph"/>
              <w:ind w:left="69"/>
              <w:rPr>
                <w:sz w:val="20"/>
              </w:rPr>
            </w:pPr>
            <w:r>
              <w:rPr>
                <w:sz w:val="20"/>
              </w:rPr>
              <w:t>Sarita</w:t>
            </w:r>
            <w:r>
              <w:rPr>
                <w:spacing w:val="-7"/>
                <w:sz w:val="20"/>
              </w:rPr>
              <w:t> </w:t>
            </w:r>
            <w:r>
              <w:rPr>
                <w:sz w:val="20"/>
              </w:rPr>
              <w:t>Araya</w:t>
            </w:r>
            <w:r>
              <w:rPr>
                <w:spacing w:val="-6"/>
                <w:sz w:val="20"/>
              </w:rPr>
              <w:t> </w:t>
            </w:r>
            <w:r>
              <w:rPr>
                <w:spacing w:val="-2"/>
                <w:sz w:val="20"/>
              </w:rPr>
              <w:t>Ulate</w:t>
            </w:r>
          </w:p>
          <w:p>
            <w:pPr>
              <w:pStyle w:val="TableParagraph"/>
              <w:ind w:left="69"/>
              <w:rPr>
                <w:sz w:val="20"/>
              </w:rPr>
            </w:pPr>
            <w:r>
              <w:rPr>
                <w:sz w:val="20"/>
              </w:rPr>
              <w:t>Profesional</w:t>
            </w:r>
            <w:r>
              <w:rPr>
                <w:spacing w:val="-10"/>
                <w:sz w:val="20"/>
              </w:rPr>
              <w:t> </w:t>
            </w:r>
            <w:r>
              <w:rPr>
                <w:sz w:val="20"/>
              </w:rPr>
              <w:t>de</w:t>
            </w:r>
            <w:r>
              <w:rPr>
                <w:spacing w:val="-9"/>
                <w:sz w:val="20"/>
              </w:rPr>
              <w:t> </w:t>
            </w:r>
            <w:r>
              <w:rPr>
                <w:sz w:val="20"/>
              </w:rPr>
              <w:t>Desarrollo</w:t>
            </w:r>
            <w:r>
              <w:rPr>
                <w:spacing w:val="-9"/>
                <w:sz w:val="20"/>
              </w:rPr>
              <w:t> </w:t>
            </w:r>
            <w:r>
              <w:rPr>
                <w:spacing w:val="-2"/>
                <w:sz w:val="20"/>
              </w:rPr>
              <w:t>Humano</w:t>
            </w:r>
          </w:p>
        </w:tc>
      </w:tr>
      <w:tr>
        <w:trPr>
          <w:trHeight w:val="1027" w:hRule="atLeast"/>
        </w:trPr>
        <w:tc>
          <w:tcPr>
            <w:tcW w:w="2986" w:type="dxa"/>
            <w:shd w:val="clear" w:color="auto" w:fill="DBE4F0"/>
          </w:tcPr>
          <w:p>
            <w:pPr>
              <w:pStyle w:val="TableParagraph"/>
              <w:spacing w:before="53"/>
              <w:rPr>
                <w:b/>
                <w:sz w:val="20"/>
              </w:rPr>
            </w:pPr>
          </w:p>
          <w:p>
            <w:pPr>
              <w:pStyle w:val="TableParagraph"/>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06" w:type="dxa"/>
          </w:tcPr>
          <w:p>
            <w:pPr>
              <w:pStyle w:val="TableParagraph"/>
              <w:spacing w:before="168"/>
              <w:rPr>
                <w:b/>
                <w:sz w:val="20"/>
              </w:rPr>
            </w:pPr>
          </w:p>
          <w:p>
            <w:pPr>
              <w:pStyle w:val="TableParagraph"/>
              <w:ind w:left="69"/>
              <w:rPr>
                <w:sz w:val="20"/>
              </w:rPr>
            </w:pPr>
            <w:r>
              <w:rPr>
                <w:sz w:val="20"/>
              </w:rPr>
              <w:t>Desarrollo</w:t>
            </w:r>
            <w:r>
              <w:rPr>
                <w:spacing w:val="-12"/>
                <w:sz w:val="20"/>
              </w:rPr>
              <w:t> </w:t>
            </w:r>
            <w:r>
              <w:rPr>
                <w:spacing w:val="-2"/>
                <w:sz w:val="20"/>
              </w:rPr>
              <w:t>Humano</w:t>
            </w:r>
          </w:p>
        </w:tc>
      </w:tr>
    </w:tbl>
    <w:p>
      <w:pPr>
        <w:pStyle w:val="TableParagraph"/>
        <w:spacing w:after="0"/>
        <w:rPr>
          <w:sz w:val="20"/>
        </w:rPr>
        <w:sectPr>
          <w:type w:val="continuous"/>
          <w:pgSz w:w="12240" w:h="15840"/>
          <w:pgMar w:header="0" w:footer="2404" w:top="1400" w:bottom="260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86"/>
        <w:gridCol w:w="7506"/>
      </w:tblGrid>
      <w:tr>
        <w:trPr>
          <w:trHeight w:val="300" w:hRule="atLeast"/>
        </w:trPr>
        <w:tc>
          <w:tcPr>
            <w:tcW w:w="2986" w:type="dxa"/>
            <w:shd w:val="clear" w:color="auto" w:fill="DBE4F0"/>
          </w:tcPr>
          <w:p>
            <w:pPr>
              <w:pStyle w:val="TableParagraph"/>
              <w:spacing w:before="33"/>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06" w:type="dxa"/>
          </w:tcPr>
          <w:p>
            <w:pPr>
              <w:pStyle w:val="TableParagraph"/>
              <w:spacing w:before="33"/>
              <w:ind w:left="69"/>
              <w:rPr>
                <w:sz w:val="20"/>
              </w:rPr>
            </w:pPr>
            <w:r>
              <w:rPr>
                <w:sz w:val="20"/>
              </w:rPr>
              <w:t>Plan</w:t>
            </w:r>
            <w:r>
              <w:rPr>
                <w:spacing w:val="-5"/>
                <w:sz w:val="20"/>
              </w:rPr>
              <w:t> </w:t>
            </w:r>
            <w:r>
              <w:rPr>
                <w:sz w:val="20"/>
              </w:rPr>
              <w:t>de</w:t>
            </w:r>
            <w:r>
              <w:rPr>
                <w:spacing w:val="-5"/>
                <w:sz w:val="20"/>
              </w:rPr>
              <w:t> </w:t>
            </w:r>
            <w:r>
              <w:rPr>
                <w:spacing w:val="-2"/>
                <w:sz w:val="20"/>
              </w:rPr>
              <w:t>Capacitación</w:t>
            </w:r>
          </w:p>
        </w:tc>
      </w:tr>
      <w:tr>
        <w:trPr>
          <w:trHeight w:val="719" w:hRule="atLeast"/>
        </w:trPr>
        <w:tc>
          <w:tcPr>
            <w:tcW w:w="2986" w:type="dxa"/>
            <w:shd w:val="clear" w:color="auto" w:fill="DBE4F0"/>
          </w:tcPr>
          <w:p>
            <w:pPr>
              <w:pStyle w:val="TableParagraph"/>
              <w:spacing w:before="14"/>
              <w:rPr>
                <w:b/>
                <w:sz w:val="20"/>
              </w:rPr>
            </w:pPr>
          </w:p>
          <w:p>
            <w:pPr>
              <w:pStyle w:val="TableParagraph"/>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06" w:type="dxa"/>
          </w:tcPr>
          <w:p>
            <w:pPr>
              <w:pStyle w:val="TableParagraph"/>
              <w:spacing w:before="14"/>
              <w:ind w:left="69" w:right="5672"/>
              <w:rPr>
                <w:sz w:val="20"/>
              </w:rPr>
            </w:pPr>
            <w:r>
              <w:rPr>
                <w:spacing w:val="-2"/>
                <w:sz w:val="20"/>
              </w:rPr>
              <w:t>Convocatorias </w:t>
            </w:r>
            <w:r>
              <w:rPr>
                <w:sz w:val="20"/>
              </w:rPr>
              <w:t>Listas</w:t>
            </w:r>
            <w:r>
              <w:rPr>
                <w:spacing w:val="-14"/>
                <w:sz w:val="20"/>
              </w:rPr>
              <w:t> </w:t>
            </w:r>
            <w:r>
              <w:rPr>
                <w:sz w:val="20"/>
              </w:rPr>
              <w:t>de</w:t>
            </w:r>
            <w:r>
              <w:rPr>
                <w:spacing w:val="-14"/>
                <w:sz w:val="20"/>
              </w:rPr>
              <w:t> </w:t>
            </w:r>
            <w:r>
              <w:rPr>
                <w:sz w:val="20"/>
              </w:rPr>
              <w:t>asistencia</w:t>
            </w:r>
          </w:p>
          <w:p>
            <w:pPr>
              <w:pStyle w:val="TableParagraph"/>
              <w:spacing w:line="225" w:lineRule="exact"/>
              <w:ind w:left="69"/>
              <w:rPr>
                <w:sz w:val="20"/>
              </w:rPr>
            </w:pPr>
            <w:r>
              <w:rPr>
                <w:sz w:val="20"/>
              </w:rPr>
              <w:t>Oficios,</w:t>
            </w:r>
            <w:r>
              <w:rPr>
                <w:spacing w:val="-8"/>
                <w:sz w:val="20"/>
              </w:rPr>
              <w:t> </w:t>
            </w:r>
            <w:r>
              <w:rPr>
                <w:sz w:val="20"/>
              </w:rPr>
              <w:t>informe</w:t>
            </w:r>
            <w:r>
              <w:rPr>
                <w:spacing w:val="-9"/>
                <w:sz w:val="20"/>
              </w:rPr>
              <w:t> </w:t>
            </w:r>
            <w:r>
              <w:rPr>
                <w:sz w:val="20"/>
              </w:rPr>
              <w:t>trimestral</w:t>
            </w:r>
            <w:r>
              <w:rPr>
                <w:spacing w:val="-9"/>
                <w:sz w:val="20"/>
              </w:rPr>
              <w:t> </w:t>
            </w:r>
            <w:r>
              <w:rPr>
                <w:sz w:val="20"/>
              </w:rPr>
              <w:t>de</w:t>
            </w:r>
            <w:r>
              <w:rPr>
                <w:spacing w:val="-9"/>
                <w:sz w:val="20"/>
              </w:rPr>
              <w:t> </w:t>
            </w:r>
            <w:r>
              <w:rPr>
                <w:spacing w:val="-2"/>
                <w:sz w:val="20"/>
              </w:rPr>
              <w:t>capacitación</w:t>
            </w:r>
          </w:p>
        </w:tc>
      </w:tr>
      <w:tr>
        <w:trPr>
          <w:trHeight w:val="479" w:hRule="atLeast"/>
        </w:trPr>
        <w:tc>
          <w:tcPr>
            <w:tcW w:w="2986" w:type="dxa"/>
            <w:shd w:val="clear" w:color="auto" w:fill="DBE4F0"/>
          </w:tcPr>
          <w:p>
            <w:pPr>
              <w:pStyle w:val="TableParagraph"/>
              <w:spacing w:before="124"/>
              <w:ind w:left="67"/>
              <w:rPr>
                <w:b/>
                <w:sz w:val="20"/>
              </w:rPr>
            </w:pPr>
            <w:r>
              <w:rPr>
                <w:b/>
                <w:spacing w:val="-2"/>
                <w:sz w:val="20"/>
              </w:rPr>
              <w:t>Clasificación</w:t>
            </w:r>
          </w:p>
        </w:tc>
        <w:tc>
          <w:tcPr>
            <w:tcW w:w="7506" w:type="dxa"/>
          </w:tcPr>
          <w:p>
            <w:pPr>
              <w:pStyle w:val="TableParagraph"/>
              <w:spacing w:before="124"/>
              <w:ind w:left="69"/>
              <w:rPr>
                <w:sz w:val="20"/>
              </w:rPr>
            </w:pPr>
            <w:r>
              <w:rPr>
                <w:sz w:val="20"/>
              </w:rPr>
              <w:t>Impacto</w:t>
            </w:r>
            <w:r>
              <w:rPr>
                <w:spacing w:val="-5"/>
                <w:sz w:val="20"/>
              </w:rPr>
              <w:t> </w:t>
            </w:r>
            <w:r>
              <w:rPr>
                <w:sz w:val="20"/>
              </w:rPr>
              <w:t>()</w:t>
            </w:r>
            <w:r>
              <w:rPr>
                <w:spacing w:val="-5"/>
                <w:sz w:val="20"/>
              </w:rPr>
              <w:t> </w:t>
            </w:r>
            <w:r>
              <w:rPr>
                <w:sz w:val="20"/>
              </w:rPr>
              <w:t>Efecto</w:t>
            </w:r>
            <w:r>
              <w:rPr>
                <w:spacing w:val="-7"/>
                <w:sz w:val="20"/>
              </w:rPr>
              <w:t> </w:t>
            </w:r>
            <w:r>
              <w:rPr>
                <w:sz w:val="20"/>
              </w:rPr>
              <w:t>()</w:t>
            </w:r>
            <w:r>
              <w:rPr>
                <w:spacing w:val="-5"/>
                <w:sz w:val="20"/>
              </w:rPr>
              <w:t> </w:t>
            </w:r>
            <w:r>
              <w:rPr>
                <w:sz w:val="20"/>
              </w:rPr>
              <w:t>Producto</w:t>
            </w:r>
            <w:r>
              <w:rPr>
                <w:spacing w:val="-7"/>
                <w:sz w:val="20"/>
              </w:rPr>
              <w:t> </w:t>
            </w:r>
            <w:r>
              <w:rPr>
                <w:spacing w:val="-5"/>
                <w:sz w:val="20"/>
              </w:rPr>
              <w:t>(x)</w:t>
            </w:r>
          </w:p>
        </w:tc>
      </w:tr>
      <w:tr>
        <w:trPr>
          <w:trHeight w:val="302" w:hRule="atLeast"/>
        </w:trPr>
        <w:tc>
          <w:tcPr>
            <w:tcW w:w="2986" w:type="dxa"/>
            <w:shd w:val="clear" w:color="auto" w:fill="DBE4F0"/>
          </w:tcPr>
          <w:p>
            <w:pPr>
              <w:pStyle w:val="TableParagraph"/>
              <w:spacing w:before="35"/>
              <w:ind w:left="67"/>
              <w:rPr>
                <w:b/>
                <w:sz w:val="20"/>
              </w:rPr>
            </w:pPr>
            <w:r>
              <w:rPr>
                <w:b/>
                <w:spacing w:val="-2"/>
                <w:sz w:val="20"/>
              </w:rPr>
              <w:t>Comentarios</w:t>
            </w:r>
            <w:r>
              <w:rPr>
                <w:b/>
                <w:spacing w:val="6"/>
                <w:sz w:val="20"/>
              </w:rPr>
              <w:t> </w:t>
            </w:r>
            <w:r>
              <w:rPr>
                <w:b/>
                <w:spacing w:val="-2"/>
                <w:sz w:val="20"/>
              </w:rPr>
              <w:t>Generales</w:t>
            </w:r>
          </w:p>
        </w:tc>
        <w:tc>
          <w:tcPr>
            <w:tcW w:w="7506" w:type="dxa"/>
          </w:tcPr>
          <w:p>
            <w:pPr>
              <w:pStyle w:val="TableParagraph"/>
              <w:rPr>
                <w:rFonts w:ascii="Times New Roman"/>
                <w:sz w:val="20"/>
              </w:rPr>
            </w:pPr>
          </w:p>
        </w:tc>
      </w:tr>
    </w:tbl>
    <w:p>
      <w:pPr>
        <w:pStyle w:val="BodyText"/>
        <w:rPr>
          <w:b/>
          <w:sz w:val="20"/>
        </w:rPr>
      </w:pPr>
    </w:p>
    <w:p>
      <w:pPr>
        <w:pStyle w:val="BodyText"/>
        <w:rPr>
          <w:b/>
          <w:sz w:val="20"/>
        </w:rPr>
      </w:pPr>
    </w:p>
    <w:p>
      <w:pPr>
        <w:pStyle w:val="BodyText"/>
        <w:spacing w:before="18"/>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6"/>
      </w:tblGrid>
      <w:tr>
        <w:trPr>
          <w:trHeight w:val="316" w:hRule="atLeast"/>
        </w:trPr>
        <w:tc>
          <w:tcPr>
            <w:tcW w:w="2835" w:type="dxa"/>
            <w:shd w:val="clear" w:color="auto" w:fill="DBE4F0"/>
          </w:tcPr>
          <w:p>
            <w:pPr>
              <w:pStyle w:val="TableParagraph"/>
              <w:spacing w:before="42"/>
              <w:ind w:left="67"/>
              <w:rPr>
                <w:b/>
                <w:sz w:val="20"/>
              </w:rPr>
            </w:pPr>
            <w:r>
              <w:rPr>
                <w:b/>
                <w:sz w:val="20"/>
              </w:rPr>
              <w:t>PAC</w:t>
            </w:r>
            <w:r>
              <w:rPr>
                <w:b/>
                <w:spacing w:val="-8"/>
                <w:sz w:val="20"/>
              </w:rPr>
              <w:t> </w:t>
            </w:r>
            <w:r>
              <w:rPr>
                <w:b/>
                <w:spacing w:val="-2"/>
                <w:sz w:val="20"/>
              </w:rPr>
              <w:t>2.2.1</w:t>
            </w:r>
          </w:p>
        </w:tc>
        <w:tc>
          <w:tcPr>
            <w:tcW w:w="7516" w:type="dxa"/>
          </w:tcPr>
          <w:p>
            <w:pPr>
              <w:pStyle w:val="TableParagraph"/>
              <w:spacing w:before="42"/>
              <w:ind w:left="66"/>
              <w:rPr>
                <w:sz w:val="20"/>
              </w:rPr>
            </w:pPr>
            <w:r>
              <w:rPr>
                <w:sz w:val="20"/>
              </w:rPr>
              <w:t>Nombre</w:t>
            </w:r>
            <w:r>
              <w:rPr>
                <w:spacing w:val="-7"/>
                <w:sz w:val="20"/>
              </w:rPr>
              <w:t> </w:t>
            </w:r>
            <w:r>
              <w:rPr>
                <w:sz w:val="20"/>
              </w:rPr>
              <w:t>del</w:t>
            </w:r>
            <w:r>
              <w:rPr>
                <w:spacing w:val="-9"/>
                <w:sz w:val="20"/>
              </w:rPr>
              <w:t> </w:t>
            </w:r>
            <w:r>
              <w:rPr>
                <w:sz w:val="20"/>
              </w:rPr>
              <w:t>Indicador:</w:t>
            </w:r>
            <w:r>
              <w:rPr>
                <w:spacing w:val="-7"/>
                <w:sz w:val="20"/>
              </w:rPr>
              <w:t> </w:t>
            </w:r>
            <w:r>
              <w:rPr>
                <w:sz w:val="20"/>
              </w:rPr>
              <w:t>Cantidad</w:t>
            </w:r>
            <w:r>
              <w:rPr>
                <w:spacing w:val="-8"/>
                <w:sz w:val="20"/>
              </w:rPr>
              <w:t> </w:t>
            </w:r>
            <w:r>
              <w:rPr>
                <w:sz w:val="20"/>
              </w:rPr>
              <w:t>de</w:t>
            </w:r>
            <w:r>
              <w:rPr>
                <w:spacing w:val="-7"/>
                <w:sz w:val="20"/>
              </w:rPr>
              <w:t> </w:t>
            </w:r>
            <w:r>
              <w:rPr>
                <w:sz w:val="20"/>
              </w:rPr>
              <w:t>cursos</w:t>
            </w:r>
            <w:r>
              <w:rPr>
                <w:spacing w:val="-3"/>
                <w:sz w:val="20"/>
              </w:rPr>
              <w:t> </w:t>
            </w:r>
            <w:r>
              <w:rPr>
                <w:spacing w:val="-2"/>
                <w:sz w:val="20"/>
              </w:rPr>
              <w:t>impartidos</w:t>
            </w:r>
          </w:p>
        </w:tc>
      </w:tr>
      <w:tr>
        <w:trPr>
          <w:trHeight w:val="313" w:hRule="atLeast"/>
        </w:trPr>
        <w:tc>
          <w:tcPr>
            <w:tcW w:w="2835" w:type="dxa"/>
            <w:shd w:val="clear" w:color="auto" w:fill="DBE4F0"/>
          </w:tcPr>
          <w:p>
            <w:pPr>
              <w:pStyle w:val="TableParagraph"/>
              <w:spacing w:before="40"/>
              <w:ind w:left="67"/>
              <w:rPr>
                <w:b/>
                <w:sz w:val="20"/>
              </w:rPr>
            </w:pPr>
            <w:r>
              <w:rPr>
                <w:b/>
                <w:sz w:val="20"/>
              </w:rPr>
              <w:t>Fórmula</w:t>
            </w:r>
            <w:r>
              <w:rPr>
                <w:b/>
                <w:spacing w:val="-6"/>
                <w:sz w:val="20"/>
              </w:rPr>
              <w:t> </w:t>
            </w:r>
            <w:r>
              <w:rPr>
                <w:b/>
                <w:sz w:val="20"/>
              </w:rPr>
              <w:t>de</w:t>
            </w:r>
            <w:r>
              <w:rPr>
                <w:b/>
                <w:spacing w:val="-5"/>
                <w:sz w:val="20"/>
              </w:rPr>
              <w:t> </w:t>
            </w:r>
            <w:r>
              <w:rPr>
                <w:b/>
                <w:spacing w:val="-2"/>
                <w:sz w:val="20"/>
              </w:rPr>
              <w:t>cálculo:</w:t>
            </w:r>
          </w:p>
        </w:tc>
        <w:tc>
          <w:tcPr>
            <w:tcW w:w="7516" w:type="dxa"/>
          </w:tcPr>
          <w:p>
            <w:pPr>
              <w:pStyle w:val="TableParagraph"/>
              <w:spacing w:before="40"/>
              <w:ind w:left="66"/>
              <w:rPr>
                <w:sz w:val="20"/>
              </w:rPr>
            </w:pPr>
            <w:r>
              <w:rPr>
                <w:sz w:val="20"/>
              </w:rPr>
              <w:t>Sumatoria</w:t>
            </w:r>
            <w:r>
              <w:rPr>
                <w:spacing w:val="-7"/>
                <w:sz w:val="20"/>
              </w:rPr>
              <w:t> </w:t>
            </w:r>
            <w:r>
              <w:rPr>
                <w:sz w:val="20"/>
              </w:rPr>
              <w:t>de</w:t>
            </w:r>
            <w:r>
              <w:rPr>
                <w:spacing w:val="-7"/>
                <w:sz w:val="20"/>
              </w:rPr>
              <w:t> </w:t>
            </w:r>
            <w:r>
              <w:rPr>
                <w:sz w:val="20"/>
              </w:rPr>
              <w:t>la</w:t>
            </w:r>
            <w:r>
              <w:rPr>
                <w:spacing w:val="-6"/>
                <w:sz w:val="20"/>
              </w:rPr>
              <w:t> </w:t>
            </w:r>
            <w:r>
              <w:rPr>
                <w:sz w:val="20"/>
              </w:rPr>
              <w:t>cantidad</w:t>
            </w:r>
            <w:r>
              <w:rPr>
                <w:spacing w:val="-8"/>
                <w:sz w:val="20"/>
              </w:rPr>
              <w:t> </w:t>
            </w:r>
            <w:r>
              <w:rPr>
                <w:sz w:val="20"/>
              </w:rPr>
              <w:t>de</w:t>
            </w:r>
            <w:r>
              <w:rPr>
                <w:spacing w:val="-6"/>
                <w:sz w:val="20"/>
              </w:rPr>
              <w:t> </w:t>
            </w:r>
            <w:r>
              <w:rPr>
                <w:sz w:val="20"/>
              </w:rPr>
              <w:t>cursos</w:t>
            </w:r>
            <w:r>
              <w:rPr>
                <w:spacing w:val="-6"/>
                <w:sz w:val="20"/>
              </w:rPr>
              <w:t> </w:t>
            </w:r>
            <w:r>
              <w:rPr>
                <w:sz w:val="20"/>
              </w:rPr>
              <w:t>desarrollados</w:t>
            </w:r>
            <w:r>
              <w:rPr>
                <w:spacing w:val="-6"/>
                <w:sz w:val="20"/>
              </w:rPr>
              <w:t> </w:t>
            </w:r>
            <w:r>
              <w:rPr>
                <w:sz w:val="20"/>
              </w:rPr>
              <w:t>del</w:t>
            </w:r>
            <w:r>
              <w:rPr>
                <w:spacing w:val="-5"/>
                <w:sz w:val="20"/>
              </w:rPr>
              <w:t> </w:t>
            </w:r>
            <w:r>
              <w:rPr>
                <w:sz w:val="20"/>
              </w:rPr>
              <w:t>plan</w:t>
            </w:r>
            <w:r>
              <w:rPr>
                <w:spacing w:val="-7"/>
                <w:sz w:val="20"/>
              </w:rPr>
              <w:t> </w:t>
            </w:r>
            <w:r>
              <w:rPr>
                <w:sz w:val="20"/>
              </w:rPr>
              <w:t>de</w:t>
            </w:r>
            <w:r>
              <w:rPr>
                <w:spacing w:val="-5"/>
                <w:sz w:val="20"/>
              </w:rPr>
              <w:t> </w:t>
            </w:r>
            <w:r>
              <w:rPr>
                <w:spacing w:val="-2"/>
                <w:sz w:val="20"/>
              </w:rPr>
              <w:t>capacitación.</w:t>
            </w:r>
          </w:p>
        </w:tc>
      </w:tr>
      <w:tr>
        <w:trPr>
          <w:trHeight w:val="314" w:hRule="atLeast"/>
        </w:trPr>
        <w:tc>
          <w:tcPr>
            <w:tcW w:w="2835" w:type="dxa"/>
            <w:shd w:val="clear" w:color="auto" w:fill="DBE4F0"/>
          </w:tcPr>
          <w:p>
            <w:pPr>
              <w:pStyle w:val="TableParagraph"/>
              <w:spacing w:before="42"/>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6" w:type="dxa"/>
          </w:tcPr>
          <w:p>
            <w:pPr>
              <w:pStyle w:val="TableParagraph"/>
              <w:spacing w:before="42"/>
              <w:ind w:left="66"/>
              <w:rPr>
                <w:sz w:val="20"/>
              </w:rPr>
            </w:pPr>
            <w:r>
              <w:rPr>
                <w:spacing w:val="-2"/>
                <w:sz w:val="20"/>
              </w:rPr>
              <w:t>Cantidad</w:t>
            </w:r>
          </w:p>
        </w:tc>
      </w:tr>
      <w:tr>
        <w:trPr>
          <w:trHeight w:val="2102" w:hRule="atLeast"/>
        </w:trPr>
        <w:tc>
          <w:tcPr>
            <w:tcW w:w="2835" w:type="dxa"/>
            <w:shd w:val="clear" w:color="auto" w:fill="DBE4F0"/>
          </w:tcPr>
          <w:p>
            <w:pPr>
              <w:pStyle w:val="TableParagraph"/>
              <w:rPr>
                <w:b/>
                <w:sz w:val="20"/>
              </w:rPr>
            </w:pPr>
          </w:p>
          <w:p>
            <w:pPr>
              <w:pStyle w:val="TableParagraph"/>
              <w:rPr>
                <w:b/>
                <w:sz w:val="20"/>
              </w:rPr>
            </w:pPr>
          </w:p>
          <w:p>
            <w:pPr>
              <w:pStyle w:val="TableParagraph"/>
              <w:rPr>
                <w:b/>
                <w:sz w:val="20"/>
              </w:rPr>
            </w:pPr>
          </w:p>
          <w:p>
            <w:pPr>
              <w:pStyle w:val="TableParagraph"/>
              <w:spacing w:before="16"/>
              <w:rPr>
                <w:b/>
                <w:sz w:val="20"/>
              </w:rPr>
            </w:pPr>
          </w:p>
          <w:p>
            <w:pPr>
              <w:pStyle w:val="TableParagraph"/>
              <w:ind w:left="67"/>
              <w:rPr>
                <w:b/>
                <w:sz w:val="20"/>
              </w:rPr>
            </w:pPr>
            <w:r>
              <w:rPr>
                <w:b/>
                <w:spacing w:val="-2"/>
                <w:sz w:val="20"/>
              </w:rPr>
              <w:t>Interpretación:</w:t>
            </w:r>
          </w:p>
        </w:tc>
        <w:tc>
          <w:tcPr>
            <w:tcW w:w="7516" w:type="dxa"/>
          </w:tcPr>
          <w:p>
            <w:pPr>
              <w:pStyle w:val="TableParagraph"/>
              <w:spacing w:before="14"/>
              <w:rPr>
                <w:b/>
                <w:sz w:val="20"/>
              </w:rPr>
            </w:pPr>
          </w:p>
          <w:p>
            <w:pPr>
              <w:pStyle w:val="TableParagraph"/>
              <w:spacing w:before="1"/>
              <w:ind w:left="66" w:right="170"/>
              <w:rPr>
                <w:sz w:val="20"/>
              </w:rPr>
            </w:pPr>
            <w:r>
              <w:rPr>
                <w:sz w:val="20"/>
              </w:rPr>
              <w:t>El</w:t>
            </w:r>
            <w:r>
              <w:rPr>
                <w:spacing w:val="-4"/>
                <w:sz w:val="20"/>
              </w:rPr>
              <w:t> </w:t>
            </w:r>
            <w:r>
              <w:rPr>
                <w:sz w:val="20"/>
              </w:rPr>
              <w:t>Plan</w:t>
            </w:r>
            <w:r>
              <w:rPr>
                <w:spacing w:val="-4"/>
                <w:sz w:val="20"/>
              </w:rPr>
              <w:t> </w:t>
            </w:r>
            <w:r>
              <w:rPr>
                <w:sz w:val="20"/>
              </w:rPr>
              <w:t>de</w:t>
            </w:r>
            <w:r>
              <w:rPr>
                <w:spacing w:val="-6"/>
                <w:sz w:val="20"/>
              </w:rPr>
              <w:t> </w:t>
            </w:r>
            <w:r>
              <w:rPr>
                <w:sz w:val="20"/>
              </w:rPr>
              <w:t>Capacitación,</w:t>
            </w:r>
            <w:r>
              <w:rPr>
                <w:spacing w:val="-3"/>
                <w:sz w:val="20"/>
              </w:rPr>
              <w:t> </w:t>
            </w:r>
            <w:r>
              <w:rPr>
                <w:sz w:val="20"/>
              </w:rPr>
              <w:t>enmarca</w:t>
            </w:r>
            <w:r>
              <w:rPr>
                <w:spacing w:val="-3"/>
                <w:sz w:val="20"/>
              </w:rPr>
              <w:t> </w:t>
            </w:r>
            <w:r>
              <w:rPr>
                <w:sz w:val="20"/>
              </w:rPr>
              <w:t>la</w:t>
            </w:r>
            <w:r>
              <w:rPr>
                <w:spacing w:val="-5"/>
                <w:sz w:val="20"/>
              </w:rPr>
              <w:t> </w:t>
            </w:r>
            <w:r>
              <w:rPr>
                <w:sz w:val="20"/>
              </w:rPr>
              <w:t>temática</w:t>
            </w:r>
            <w:r>
              <w:rPr>
                <w:spacing w:val="-3"/>
                <w:sz w:val="20"/>
              </w:rPr>
              <w:t> </w:t>
            </w:r>
            <w:r>
              <w:rPr>
                <w:sz w:val="20"/>
              </w:rPr>
              <w:t>estratégica</w:t>
            </w:r>
            <w:r>
              <w:rPr>
                <w:spacing w:val="-5"/>
                <w:sz w:val="20"/>
              </w:rPr>
              <w:t> </w:t>
            </w:r>
            <w:r>
              <w:rPr>
                <w:sz w:val="20"/>
              </w:rPr>
              <w:t>y</w:t>
            </w:r>
            <w:r>
              <w:rPr>
                <w:spacing w:val="-4"/>
                <w:sz w:val="20"/>
              </w:rPr>
              <w:t> </w:t>
            </w:r>
            <w:r>
              <w:rPr>
                <w:sz w:val="20"/>
              </w:rPr>
              <w:t>prioritaria</w:t>
            </w:r>
            <w:r>
              <w:rPr>
                <w:spacing w:val="-4"/>
                <w:sz w:val="20"/>
              </w:rPr>
              <w:t> </w:t>
            </w:r>
            <w:r>
              <w:rPr>
                <w:sz w:val="20"/>
              </w:rPr>
              <w:t>que</w:t>
            </w:r>
            <w:r>
              <w:rPr>
                <w:spacing w:val="-3"/>
                <w:sz w:val="20"/>
              </w:rPr>
              <w:t> </w:t>
            </w:r>
            <w:r>
              <w:rPr>
                <w:sz w:val="20"/>
              </w:rPr>
              <w:t>se</w:t>
            </w:r>
            <w:r>
              <w:rPr>
                <w:spacing w:val="-5"/>
                <w:sz w:val="20"/>
              </w:rPr>
              <w:t> </w:t>
            </w:r>
            <w:r>
              <w:rPr>
                <w:sz w:val="20"/>
              </w:rPr>
              <w:t>debe de desarrollar y ejecutar de acuerdo con una serie de variables: Necesidades de Capacitación, requerimientos específicos de instancias institucionales como Gerencia General, Comisiones Institucionales, jefaturas inmediatas y temas que surjan como producto tanto de las Auditorías internas como externas. La meta señalada por año de los cursos que se deben realizar debe ser sobre temas señalados en los ejes del Plan de capacitación.</w:t>
            </w:r>
          </w:p>
        </w:tc>
      </w:tr>
      <w:tr>
        <w:trPr>
          <w:trHeight w:val="313" w:hRule="atLeast"/>
        </w:trPr>
        <w:tc>
          <w:tcPr>
            <w:tcW w:w="2835" w:type="dxa"/>
            <w:shd w:val="clear" w:color="auto" w:fill="DBE4F0"/>
          </w:tcPr>
          <w:p>
            <w:pPr>
              <w:pStyle w:val="TableParagraph"/>
              <w:spacing w:before="40"/>
              <w:ind w:left="67"/>
              <w:rPr>
                <w:b/>
                <w:sz w:val="20"/>
              </w:rPr>
            </w:pPr>
            <w:r>
              <w:rPr>
                <w:b/>
                <w:spacing w:val="-2"/>
                <w:sz w:val="20"/>
              </w:rPr>
              <w:t>Desagregación</w:t>
            </w:r>
          </w:p>
        </w:tc>
        <w:tc>
          <w:tcPr>
            <w:tcW w:w="7516" w:type="dxa"/>
          </w:tcPr>
          <w:p>
            <w:pPr>
              <w:pStyle w:val="TableParagraph"/>
              <w:spacing w:before="40"/>
              <w:ind w:left="66"/>
              <w:rPr>
                <w:sz w:val="20"/>
              </w:rPr>
            </w:pPr>
            <w:r>
              <w:rPr>
                <w:sz w:val="20"/>
              </w:rPr>
              <w:t>No</w:t>
            </w:r>
            <w:r>
              <w:rPr>
                <w:spacing w:val="-5"/>
                <w:sz w:val="20"/>
              </w:rPr>
              <w:t> </w:t>
            </w:r>
            <w:r>
              <w:rPr>
                <w:spacing w:val="-2"/>
                <w:sz w:val="20"/>
              </w:rPr>
              <w:t>aplica</w:t>
            </w:r>
          </w:p>
        </w:tc>
      </w:tr>
      <w:tr>
        <w:trPr>
          <w:trHeight w:val="700" w:hRule="atLeast"/>
        </w:trPr>
        <w:tc>
          <w:tcPr>
            <w:tcW w:w="2835" w:type="dxa"/>
            <w:shd w:val="clear" w:color="auto" w:fill="DBE4F0"/>
          </w:tcPr>
          <w:p>
            <w:pPr>
              <w:pStyle w:val="TableParagraph"/>
              <w:spacing w:before="4"/>
              <w:rPr>
                <w:b/>
                <w:sz w:val="20"/>
              </w:rPr>
            </w:pPr>
          </w:p>
          <w:p>
            <w:pPr>
              <w:pStyle w:val="TableParagraph"/>
              <w:ind w:left="67"/>
              <w:rPr>
                <w:b/>
                <w:sz w:val="20"/>
              </w:rPr>
            </w:pPr>
            <w:r>
              <w:rPr>
                <w:b/>
                <w:sz w:val="20"/>
              </w:rPr>
              <mc:AlternateContent>
                <mc:Choice Requires="wps">
                  <w:drawing>
                    <wp:anchor distT="0" distB="0" distL="0" distR="0" allowOverlap="1" layoutInCell="1" locked="0" behindDoc="0" simplePos="0" relativeHeight="15774720">
                      <wp:simplePos x="0" y="0"/>
                      <wp:positionH relativeFrom="column">
                        <wp:posOffset>331012</wp:posOffset>
                      </wp:positionH>
                      <wp:positionV relativeFrom="paragraph">
                        <wp:posOffset>132840</wp:posOffset>
                      </wp:positionV>
                      <wp:extent cx="44450" cy="13970"/>
                      <wp:effectExtent l="0" t="0" r="0" b="0"/>
                      <wp:wrapNone/>
                      <wp:docPr id="349" name="Group 349"/>
                      <wp:cNvGraphicFramePr>
                        <a:graphicFrameLocks/>
                      </wp:cNvGraphicFramePr>
                      <a:graphic>
                        <a:graphicData uri="http://schemas.microsoft.com/office/word/2010/wordprocessingGroup">
                          <wpg:wgp>
                            <wpg:cNvPr id="349" name="Group 349"/>
                            <wpg:cNvGrpSpPr/>
                            <wpg:grpSpPr>
                              <a:xfrm>
                                <a:off x="0" y="0"/>
                                <a:ext cx="44450" cy="13970"/>
                                <a:chExt cx="44450" cy="13970"/>
                              </a:xfrm>
                            </wpg:grpSpPr>
                            <wps:wsp>
                              <wps:cNvPr id="350" name="Graphic 350"/>
                              <wps:cNvSpPr/>
                              <wps:spPr>
                                <a:xfrm>
                                  <a:off x="0" y="0"/>
                                  <a:ext cx="44450" cy="13970"/>
                                </a:xfrm>
                                <a:custGeom>
                                  <a:avLst/>
                                  <a:gdLst/>
                                  <a:ahLst/>
                                  <a:cxnLst/>
                                  <a:rect l="l" t="t" r="r" b="b"/>
                                  <a:pathLst>
                                    <a:path w="44450" h="13970">
                                      <a:moveTo>
                                        <a:pt x="44196" y="0"/>
                                      </a:moveTo>
                                      <a:lnTo>
                                        <a:pt x="0" y="0"/>
                                      </a:lnTo>
                                      <a:lnTo>
                                        <a:pt x="0" y="13715"/>
                                      </a:lnTo>
                                      <a:lnTo>
                                        <a:pt x="44196" y="13715"/>
                                      </a:lnTo>
                                      <a:lnTo>
                                        <a:pt x="441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6.063999pt;margin-top:10.459895pt;width:3.5pt;height:1.1pt;mso-position-horizontal-relative:column;mso-position-vertical-relative:paragraph;z-index:15774720" id="docshapegroup261" coordorigin="521,209" coordsize="70,22">
                      <v:rect style="position:absolute;left:521;top:209;width:70;height:22" id="docshape262" filled="true" fillcolor="#000000" stroked="false">
                        <v:fill type="solid"/>
                      </v:rect>
                      <w10:wrap type="none"/>
                    </v:group>
                  </w:pict>
                </mc:Fallback>
              </mc:AlternateContent>
            </w:r>
            <w:r>
              <w:rPr>
                <w:b/>
                <w:spacing w:val="-2"/>
                <w:sz w:val="20"/>
              </w:rPr>
              <w:t>Meta:</w:t>
            </w:r>
          </w:p>
        </w:tc>
        <w:tc>
          <w:tcPr>
            <w:tcW w:w="7516" w:type="dxa"/>
          </w:tcPr>
          <w:p>
            <w:pPr>
              <w:pStyle w:val="TableParagraph"/>
              <w:spacing w:before="230"/>
              <w:ind w:left="66"/>
              <w:rPr>
                <w:sz w:val="20"/>
              </w:rPr>
            </w:pPr>
            <w:r>
              <w:rPr>
                <w:sz w:val="20"/>
              </w:rPr>
              <w:t>2027=45</w:t>
            </w:r>
            <w:r>
              <w:rPr>
                <w:spacing w:val="-10"/>
                <w:sz w:val="20"/>
              </w:rPr>
              <w:t> </w:t>
            </w:r>
            <w:r>
              <w:rPr>
                <w:spacing w:val="-2"/>
                <w:sz w:val="20"/>
              </w:rPr>
              <w:t>cursos</w:t>
            </w:r>
          </w:p>
        </w:tc>
      </w:tr>
      <w:tr>
        <w:trPr>
          <w:trHeight w:val="313" w:hRule="atLeast"/>
        </w:trPr>
        <w:tc>
          <w:tcPr>
            <w:tcW w:w="2835" w:type="dxa"/>
            <w:shd w:val="clear" w:color="auto" w:fill="DBE4F0"/>
          </w:tcPr>
          <w:p>
            <w:pPr>
              <w:pStyle w:val="TableParagraph"/>
              <w:spacing w:before="40"/>
              <w:ind w:left="67"/>
              <w:rPr>
                <w:b/>
                <w:sz w:val="20"/>
              </w:rPr>
            </w:pPr>
            <w:r>
              <w:rPr>
                <w:b/>
                <w:sz w:val="20"/>
              </w:rPr>
              <w:t>Línea</w:t>
            </w:r>
            <w:r>
              <w:rPr>
                <w:b/>
                <w:spacing w:val="-10"/>
                <w:sz w:val="20"/>
              </w:rPr>
              <w:t> </w:t>
            </w:r>
            <w:r>
              <w:rPr>
                <w:b/>
                <w:spacing w:val="-4"/>
                <w:sz w:val="20"/>
              </w:rPr>
              <w:t>Base</w:t>
            </w:r>
          </w:p>
        </w:tc>
        <w:tc>
          <w:tcPr>
            <w:tcW w:w="7516" w:type="dxa"/>
          </w:tcPr>
          <w:p>
            <w:pPr>
              <w:pStyle w:val="TableParagraph"/>
              <w:spacing w:before="40"/>
              <w:ind w:left="66"/>
              <w:rPr>
                <w:sz w:val="20"/>
              </w:rPr>
            </w:pPr>
            <w:r>
              <w:rPr>
                <w:sz w:val="20"/>
              </w:rPr>
              <w:t>Plan</w:t>
            </w:r>
            <w:r>
              <w:rPr>
                <w:spacing w:val="-7"/>
                <w:sz w:val="20"/>
              </w:rPr>
              <w:t> </w:t>
            </w:r>
            <w:r>
              <w:rPr>
                <w:sz w:val="20"/>
              </w:rPr>
              <w:t>trianual</w:t>
            </w:r>
            <w:r>
              <w:rPr>
                <w:spacing w:val="-6"/>
                <w:sz w:val="20"/>
              </w:rPr>
              <w:t> </w:t>
            </w:r>
            <w:r>
              <w:rPr>
                <w:sz w:val="20"/>
              </w:rPr>
              <w:t>de</w:t>
            </w:r>
            <w:r>
              <w:rPr>
                <w:spacing w:val="-8"/>
                <w:sz w:val="20"/>
              </w:rPr>
              <w:t> </w:t>
            </w:r>
            <w:r>
              <w:rPr>
                <w:spacing w:val="-2"/>
                <w:sz w:val="20"/>
              </w:rPr>
              <w:t>capacitaciones</w:t>
            </w:r>
          </w:p>
        </w:tc>
      </w:tr>
      <w:tr>
        <w:trPr>
          <w:trHeight w:val="631" w:hRule="atLeast"/>
        </w:trPr>
        <w:tc>
          <w:tcPr>
            <w:tcW w:w="2835" w:type="dxa"/>
            <w:shd w:val="clear" w:color="auto" w:fill="DBE4F0"/>
          </w:tcPr>
          <w:p>
            <w:pPr>
              <w:pStyle w:val="TableParagraph"/>
              <w:spacing w:before="8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6" w:type="dxa"/>
          </w:tcPr>
          <w:p>
            <w:pPr>
              <w:pStyle w:val="TableParagraph"/>
              <w:spacing w:before="201"/>
              <w:ind w:left="66"/>
              <w:rPr>
                <w:sz w:val="20"/>
              </w:rPr>
            </w:pPr>
            <w:r>
              <w:rPr>
                <w:spacing w:val="-2"/>
                <w:sz w:val="20"/>
              </w:rPr>
              <w:t>Trimestral</w:t>
            </w:r>
          </w:p>
        </w:tc>
      </w:tr>
      <w:tr>
        <w:trPr>
          <w:trHeight w:val="630" w:hRule="atLeast"/>
        </w:trPr>
        <w:tc>
          <w:tcPr>
            <w:tcW w:w="2835" w:type="dxa"/>
            <w:shd w:val="clear" w:color="auto" w:fill="DBE4F0"/>
          </w:tcPr>
          <w:p>
            <w:pPr>
              <w:pStyle w:val="TableParagraph"/>
              <w:spacing w:before="83"/>
              <w:ind w:left="67" w:right="373"/>
              <w:rPr>
                <w:b/>
                <w:sz w:val="20"/>
              </w:rPr>
            </w:pPr>
            <w:r>
              <w:rPr>
                <w:b/>
                <w:sz w:val="20"/>
              </w:rPr>
              <w:t>Responsable de la recopilación</w:t>
            </w:r>
            <w:r>
              <w:rPr>
                <w:b/>
                <w:spacing w:val="-14"/>
                <w:sz w:val="20"/>
              </w:rPr>
              <w:t> </w:t>
            </w:r>
            <w:r>
              <w:rPr>
                <w:b/>
                <w:sz w:val="20"/>
              </w:rPr>
              <w:t>información</w:t>
            </w:r>
          </w:p>
        </w:tc>
        <w:tc>
          <w:tcPr>
            <w:tcW w:w="7516" w:type="dxa"/>
          </w:tcPr>
          <w:p>
            <w:pPr>
              <w:pStyle w:val="TableParagraph"/>
              <w:spacing w:before="83"/>
              <w:ind w:left="66" w:right="3057"/>
              <w:rPr>
                <w:sz w:val="20"/>
              </w:rPr>
            </w:pPr>
            <w:r>
              <w:rPr>
                <w:sz w:val="20"/>
              </w:rPr>
              <w:t>Nombre del funcionario: Sarita Araya Ulate Cargo:</w:t>
            </w:r>
            <w:r>
              <w:rPr>
                <w:spacing w:val="-7"/>
                <w:sz w:val="20"/>
              </w:rPr>
              <w:t> </w:t>
            </w:r>
            <w:r>
              <w:rPr>
                <w:sz w:val="20"/>
              </w:rPr>
              <w:t>Profesional</w:t>
            </w:r>
            <w:r>
              <w:rPr>
                <w:spacing w:val="-8"/>
                <w:sz w:val="20"/>
              </w:rPr>
              <w:t> </w:t>
            </w:r>
            <w:r>
              <w:rPr>
                <w:sz w:val="20"/>
              </w:rPr>
              <w:t>en</w:t>
            </w:r>
            <w:r>
              <w:rPr>
                <w:spacing w:val="-10"/>
                <w:sz w:val="20"/>
              </w:rPr>
              <w:t> </w:t>
            </w:r>
            <w:r>
              <w:rPr>
                <w:sz w:val="20"/>
              </w:rPr>
              <w:t>Desarrollo</w:t>
            </w:r>
            <w:r>
              <w:rPr>
                <w:spacing w:val="-9"/>
                <w:sz w:val="20"/>
              </w:rPr>
              <w:t> </w:t>
            </w:r>
            <w:r>
              <w:rPr>
                <w:sz w:val="20"/>
              </w:rPr>
              <w:t>Humano</w:t>
            </w:r>
            <w:r>
              <w:rPr>
                <w:spacing w:val="-9"/>
                <w:sz w:val="20"/>
              </w:rPr>
              <w:t> </w:t>
            </w:r>
            <w:r>
              <w:rPr>
                <w:sz w:val="20"/>
              </w:rPr>
              <w:t>2</w:t>
            </w:r>
          </w:p>
        </w:tc>
      </w:tr>
      <w:tr>
        <w:trPr>
          <w:trHeight w:val="628" w:hRule="atLeast"/>
        </w:trPr>
        <w:tc>
          <w:tcPr>
            <w:tcW w:w="2835" w:type="dxa"/>
            <w:shd w:val="clear" w:color="auto" w:fill="DBE4F0"/>
          </w:tcPr>
          <w:p>
            <w:pPr>
              <w:pStyle w:val="TableParagraph"/>
              <w:spacing w:before="83"/>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6" w:type="dxa"/>
          </w:tcPr>
          <w:p>
            <w:pPr>
              <w:pStyle w:val="TableParagraph"/>
              <w:spacing w:before="198"/>
              <w:ind w:left="66"/>
              <w:rPr>
                <w:sz w:val="20"/>
              </w:rPr>
            </w:pPr>
            <w:r>
              <w:rPr>
                <w:sz w:val="20"/>
              </w:rPr>
              <w:t>Desarrollo</w:t>
            </w:r>
            <w:r>
              <w:rPr>
                <w:spacing w:val="-12"/>
                <w:sz w:val="20"/>
              </w:rPr>
              <w:t> </w:t>
            </w:r>
            <w:r>
              <w:rPr>
                <w:spacing w:val="-2"/>
                <w:sz w:val="20"/>
              </w:rPr>
              <w:t>Humano</w:t>
            </w:r>
          </w:p>
        </w:tc>
      </w:tr>
      <w:tr>
        <w:trPr>
          <w:trHeight w:val="599" w:hRule="atLeast"/>
        </w:trPr>
        <w:tc>
          <w:tcPr>
            <w:tcW w:w="2835" w:type="dxa"/>
            <w:shd w:val="clear" w:color="auto" w:fill="DBE4F0"/>
          </w:tcPr>
          <w:p>
            <w:pPr>
              <w:pStyle w:val="TableParagraph"/>
              <w:spacing w:before="184"/>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6" w:type="dxa"/>
          </w:tcPr>
          <w:p>
            <w:pPr>
              <w:pStyle w:val="TableParagraph"/>
              <w:spacing w:before="69"/>
              <w:ind w:left="66"/>
              <w:rPr>
                <w:sz w:val="20"/>
              </w:rPr>
            </w:pPr>
            <w:r>
              <w:rPr>
                <w:sz w:val="20"/>
              </w:rPr>
              <w:t>Plan</w:t>
            </w:r>
            <w:r>
              <w:rPr>
                <w:spacing w:val="-5"/>
                <w:sz w:val="20"/>
              </w:rPr>
              <w:t> </w:t>
            </w:r>
            <w:r>
              <w:rPr>
                <w:sz w:val="20"/>
              </w:rPr>
              <w:t>trianual</w:t>
            </w:r>
            <w:r>
              <w:rPr>
                <w:spacing w:val="-4"/>
                <w:sz w:val="20"/>
              </w:rPr>
              <w:t> </w:t>
            </w:r>
            <w:r>
              <w:rPr>
                <w:sz w:val="20"/>
              </w:rPr>
              <w:t>de</w:t>
            </w:r>
            <w:r>
              <w:rPr>
                <w:spacing w:val="-4"/>
                <w:sz w:val="20"/>
              </w:rPr>
              <w:t> </w:t>
            </w:r>
            <w:r>
              <w:rPr>
                <w:sz w:val="20"/>
              </w:rPr>
              <w:t>capacitaciones</w:t>
            </w:r>
            <w:r>
              <w:rPr>
                <w:spacing w:val="-4"/>
                <w:sz w:val="20"/>
              </w:rPr>
              <w:t> </w:t>
            </w:r>
            <w:r>
              <w:rPr>
                <w:sz w:val="20"/>
              </w:rPr>
              <w:t>brinda</w:t>
            </w:r>
            <w:r>
              <w:rPr>
                <w:spacing w:val="-2"/>
                <w:sz w:val="20"/>
              </w:rPr>
              <w:t> </w:t>
            </w:r>
            <w:r>
              <w:rPr>
                <w:sz w:val="20"/>
              </w:rPr>
              <w:t>la</w:t>
            </w:r>
            <w:r>
              <w:rPr>
                <w:spacing w:val="-3"/>
                <w:sz w:val="20"/>
              </w:rPr>
              <w:t> </w:t>
            </w:r>
            <w:r>
              <w:rPr>
                <w:sz w:val="20"/>
              </w:rPr>
              <w:t>programación</w:t>
            </w:r>
            <w:r>
              <w:rPr>
                <w:spacing w:val="-3"/>
                <w:sz w:val="20"/>
              </w:rPr>
              <w:t> </w:t>
            </w:r>
            <w:r>
              <w:rPr>
                <w:sz w:val="20"/>
              </w:rPr>
              <w:t>de</w:t>
            </w:r>
            <w:r>
              <w:rPr>
                <w:spacing w:val="-6"/>
                <w:sz w:val="20"/>
              </w:rPr>
              <w:t> </w:t>
            </w:r>
            <w:r>
              <w:rPr>
                <w:sz w:val="20"/>
              </w:rPr>
              <w:t>acuerdo</w:t>
            </w:r>
            <w:r>
              <w:rPr>
                <w:spacing w:val="-5"/>
                <w:sz w:val="20"/>
              </w:rPr>
              <w:t> </w:t>
            </w:r>
            <w:r>
              <w:rPr>
                <w:sz w:val="20"/>
              </w:rPr>
              <w:t>con</w:t>
            </w:r>
            <w:r>
              <w:rPr>
                <w:spacing w:val="-4"/>
                <w:sz w:val="20"/>
              </w:rPr>
              <w:t> </w:t>
            </w:r>
            <w:r>
              <w:rPr>
                <w:sz w:val="20"/>
              </w:rPr>
              <w:t>las necesidades que brinda el DNC y las evaluaciones del desempeño</w:t>
            </w:r>
          </w:p>
        </w:tc>
      </w:tr>
      <w:tr>
        <w:trPr>
          <w:trHeight w:val="690" w:hRule="atLeast"/>
        </w:trPr>
        <w:tc>
          <w:tcPr>
            <w:tcW w:w="2835" w:type="dxa"/>
            <w:shd w:val="clear" w:color="auto" w:fill="DBE4F0"/>
          </w:tcPr>
          <w:p>
            <w:pPr>
              <w:pStyle w:val="TableParagraph"/>
              <w:spacing w:before="230"/>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6" w:type="dxa"/>
          </w:tcPr>
          <w:p>
            <w:pPr>
              <w:pStyle w:val="TableParagraph"/>
              <w:ind w:left="66" w:right="5685"/>
              <w:rPr>
                <w:sz w:val="20"/>
              </w:rPr>
            </w:pPr>
            <w:r>
              <w:rPr>
                <w:spacing w:val="-2"/>
                <w:sz w:val="20"/>
              </w:rPr>
              <w:t>Convocatorias </w:t>
            </w:r>
            <w:r>
              <w:rPr>
                <w:sz w:val="20"/>
              </w:rPr>
              <w:t>Listas</w:t>
            </w:r>
            <w:r>
              <w:rPr>
                <w:spacing w:val="-14"/>
                <w:sz w:val="20"/>
              </w:rPr>
              <w:t> </w:t>
            </w:r>
            <w:r>
              <w:rPr>
                <w:sz w:val="20"/>
              </w:rPr>
              <w:t>de</w:t>
            </w:r>
            <w:r>
              <w:rPr>
                <w:spacing w:val="-14"/>
                <w:sz w:val="20"/>
              </w:rPr>
              <w:t> </w:t>
            </w:r>
            <w:r>
              <w:rPr>
                <w:sz w:val="20"/>
              </w:rPr>
              <w:t>asistencia</w:t>
            </w:r>
          </w:p>
          <w:p>
            <w:pPr>
              <w:pStyle w:val="TableParagraph"/>
              <w:spacing w:line="211" w:lineRule="exact"/>
              <w:ind w:left="66"/>
              <w:rPr>
                <w:sz w:val="20"/>
              </w:rPr>
            </w:pPr>
            <w:r>
              <w:rPr>
                <w:sz w:val="20"/>
              </w:rPr>
              <w:t>Oficios,</w:t>
            </w:r>
            <w:r>
              <w:rPr>
                <w:spacing w:val="-8"/>
                <w:sz w:val="20"/>
              </w:rPr>
              <w:t> </w:t>
            </w:r>
            <w:r>
              <w:rPr>
                <w:sz w:val="20"/>
              </w:rPr>
              <w:t>informe</w:t>
            </w:r>
            <w:r>
              <w:rPr>
                <w:spacing w:val="-9"/>
                <w:sz w:val="20"/>
              </w:rPr>
              <w:t> </w:t>
            </w:r>
            <w:r>
              <w:rPr>
                <w:sz w:val="20"/>
              </w:rPr>
              <w:t>trimestral</w:t>
            </w:r>
            <w:r>
              <w:rPr>
                <w:spacing w:val="-9"/>
                <w:sz w:val="20"/>
              </w:rPr>
              <w:t> </w:t>
            </w:r>
            <w:r>
              <w:rPr>
                <w:sz w:val="20"/>
              </w:rPr>
              <w:t>de</w:t>
            </w:r>
            <w:r>
              <w:rPr>
                <w:spacing w:val="-9"/>
                <w:sz w:val="20"/>
              </w:rPr>
              <w:t> </w:t>
            </w:r>
            <w:r>
              <w:rPr>
                <w:spacing w:val="-2"/>
                <w:sz w:val="20"/>
              </w:rPr>
              <w:t>capacitación</w:t>
            </w:r>
          </w:p>
        </w:tc>
      </w:tr>
      <w:tr>
        <w:trPr>
          <w:trHeight w:val="631" w:hRule="atLeast"/>
        </w:trPr>
        <w:tc>
          <w:tcPr>
            <w:tcW w:w="2835" w:type="dxa"/>
            <w:shd w:val="clear" w:color="auto" w:fill="DBE4F0"/>
          </w:tcPr>
          <w:p>
            <w:pPr>
              <w:pStyle w:val="TableParagraph"/>
              <w:spacing w:before="199"/>
              <w:ind w:left="67"/>
              <w:rPr>
                <w:b/>
                <w:sz w:val="20"/>
              </w:rPr>
            </w:pPr>
            <w:r>
              <w:rPr>
                <w:b/>
                <w:spacing w:val="-2"/>
                <w:sz w:val="20"/>
              </w:rPr>
              <w:t>Clasificación</w:t>
            </w:r>
          </w:p>
        </w:tc>
        <w:tc>
          <w:tcPr>
            <w:tcW w:w="7516" w:type="dxa"/>
          </w:tcPr>
          <w:p>
            <w:pPr>
              <w:pStyle w:val="TableParagraph"/>
              <w:spacing w:before="199"/>
              <w:ind w:left="66"/>
              <w:rPr>
                <w:sz w:val="20"/>
              </w:rPr>
            </w:pPr>
            <w:r>
              <w:rPr>
                <w:sz w:val="20"/>
              </w:rPr>
              <w:t>Impacto</w:t>
            </w:r>
            <w:r>
              <w:rPr>
                <w:spacing w:val="-7"/>
                <w:sz w:val="20"/>
              </w:rPr>
              <w:t> </w:t>
            </w:r>
            <w:r>
              <w:rPr>
                <w:sz w:val="20"/>
              </w:rPr>
              <w:t>()</w:t>
            </w:r>
            <w:r>
              <w:rPr>
                <w:spacing w:val="-7"/>
                <w:sz w:val="20"/>
              </w:rPr>
              <w:t> </w:t>
            </w:r>
            <w:r>
              <w:rPr>
                <w:sz w:val="20"/>
              </w:rPr>
              <w:t>Efecto(x)</w:t>
            </w:r>
            <w:r>
              <w:rPr>
                <w:spacing w:val="-5"/>
                <w:sz w:val="20"/>
              </w:rPr>
              <w:t> </w:t>
            </w:r>
            <w:r>
              <w:rPr>
                <w:sz w:val="20"/>
              </w:rPr>
              <w:t>Producto</w:t>
            </w:r>
            <w:r>
              <w:rPr>
                <w:spacing w:val="-9"/>
                <w:sz w:val="20"/>
              </w:rPr>
              <w:t> </w:t>
            </w:r>
            <w:r>
              <w:rPr>
                <w:spacing w:val="-5"/>
                <w:sz w:val="20"/>
              </w:rPr>
              <w:t>()</w:t>
            </w:r>
          </w:p>
        </w:tc>
      </w:tr>
      <w:tr>
        <w:trPr>
          <w:trHeight w:val="314" w:hRule="atLeast"/>
        </w:trPr>
        <w:tc>
          <w:tcPr>
            <w:tcW w:w="2835" w:type="dxa"/>
            <w:shd w:val="clear" w:color="auto" w:fill="DBE4F0"/>
          </w:tcPr>
          <w:p>
            <w:pPr>
              <w:pStyle w:val="TableParagraph"/>
              <w:spacing w:before="40"/>
              <w:ind w:left="67"/>
              <w:rPr>
                <w:b/>
                <w:sz w:val="20"/>
              </w:rPr>
            </w:pPr>
            <w:r>
              <w:rPr>
                <w:b/>
                <w:spacing w:val="-2"/>
                <w:sz w:val="20"/>
              </w:rPr>
              <w:t>Comentarios</w:t>
            </w:r>
            <w:r>
              <w:rPr>
                <w:b/>
                <w:spacing w:val="6"/>
                <w:sz w:val="20"/>
              </w:rPr>
              <w:t> </w:t>
            </w:r>
            <w:r>
              <w:rPr>
                <w:b/>
                <w:spacing w:val="-2"/>
                <w:sz w:val="20"/>
              </w:rPr>
              <w:t>Generales</w:t>
            </w:r>
          </w:p>
        </w:tc>
        <w:tc>
          <w:tcPr>
            <w:tcW w:w="7516" w:type="dxa"/>
          </w:tcPr>
          <w:p>
            <w:pPr>
              <w:pStyle w:val="TableParagraph"/>
              <w:rPr>
                <w:rFonts w:ascii="Times New Roman"/>
                <w:sz w:val="20"/>
              </w:rPr>
            </w:pPr>
          </w:p>
        </w:tc>
      </w:tr>
    </w:tbl>
    <w:p>
      <w:pPr>
        <w:pStyle w:val="TableParagraph"/>
        <w:spacing w:after="0"/>
        <w:rPr>
          <w:rFonts w:ascii="Times New Roman"/>
          <w:sz w:val="20"/>
        </w:rPr>
        <w:sectPr>
          <w:type w:val="continuous"/>
          <w:pgSz w:w="12240" w:h="15840"/>
          <w:pgMar w:header="0" w:footer="2404" w:top="1400" w:bottom="2600" w:left="720" w:right="72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57"/>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69"/>
        <w:gridCol w:w="7523"/>
      </w:tblGrid>
      <w:tr>
        <w:trPr>
          <w:trHeight w:val="479" w:hRule="atLeast"/>
        </w:trPr>
        <w:tc>
          <w:tcPr>
            <w:tcW w:w="2969" w:type="dxa"/>
            <w:shd w:val="clear" w:color="auto" w:fill="DBE4F0"/>
          </w:tcPr>
          <w:p>
            <w:pPr>
              <w:pStyle w:val="TableParagraph"/>
              <w:spacing w:before="124"/>
              <w:ind w:left="67"/>
              <w:rPr>
                <w:b/>
                <w:sz w:val="20"/>
              </w:rPr>
            </w:pPr>
            <w:r>
              <w:rPr>
                <w:b/>
                <w:sz w:val="20"/>
              </w:rPr>
              <w:t>PAC</w:t>
            </w:r>
            <w:r>
              <w:rPr>
                <w:b/>
                <w:spacing w:val="-8"/>
                <w:sz w:val="20"/>
              </w:rPr>
              <w:t> </w:t>
            </w:r>
            <w:r>
              <w:rPr>
                <w:b/>
                <w:spacing w:val="-2"/>
                <w:sz w:val="20"/>
              </w:rPr>
              <w:t>2.3.1:</w:t>
            </w:r>
          </w:p>
        </w:tc>
        <w:tc>
          <w:tcPr>
            <w:tcW w:w="7523" w:type="dxa"/>
          </w:tcPr>
          <w:p>
            <w:pPr>
              <w:pStyle w:val="TableParagraph"/>
              <w:spacing w:line="230" w:lineRule="atLeast"/>
              <w:ind w:left="67"/>
              <w:rPr>
                <w:sz w:val="20"/>
              </w:rPr>
            </w:pPr>
            <w:r>
              <w:rPr>
                <w:sz w:val="20"/>
              </w:rPr>
              <w:t>Nombre</w:t>
            </w:r>
            <w:r>
              <w:rPr>
                <w:spacing w:val="-5"/>
                <w:sz w:val="20"/>
              </w:rPr>
              <w:t> </w:t>
            </w:r>
            <w:r>
              <w:rPr>
                <w:sz w:val="20"/>
              </w:rPr>
              <w:t>del</w:t>
            </w:r>
            <w:r>
              <w:rPr>
                <w:spacing w:val="-7"/>
                <w:sz w:val="20"/>
              </w:rPr>
              <w:t> </w:t>
            </w:r>
            <w:r>
              <w:rPr>
                <w:sz w:val="20"/>
              </w:rPr>
              <w:t>indicador:</w:t>
            </w:r>
            <w:r>
              <w:rPr>
                <w:spacing w:val="-4"/>
                <w:sz w:val="20"/>
              </w:rPr>
              <w:t> </w:t>
            </w:r>
            <w:r>
              <w:rPr>
                <w:sz w:val="20"/>
              </w:rPr>
              <w:t>Cantidad</w:t>
            </w:r>
            <w:r>
              <w:rPr>
                <w:spacing w:val="-6"/>
                <w:sz w:val="20"/>
              </w:rPr>
              <w:t> </w:t>
            </w:r>
            <w:r>
              <w:rPr>
                <w:sz w:val="20"/>
              </w:rPr>
              <w:t>de</w:t>
            </w:r>
            <w:r>
              <w:rPr>
                <w:spacing w:val="-5"/>
                <w:sz w:val="20"/>
              </w:rPr>
              <w:t> </w:t>
            </w:r>
            <w:r>
              <w:rPr>
                <w:sz w:val="20"/>
              </w:rPr>
              <w:t>presupuestos</w:t>
            </w:r>
            <w:r>
              <w:rPr>
                <w:spacing w:val="-5"/>
                <w:sz w:val="20"/>
              </w:rPr>
              <w:t> </w:t>
            </w:r>
            <w:r>
              <w:rPr>
                <w:sz w:val="20"/>
              </w:rPr>
              <w:t>formulados</w:t>
            </w:r>
            <w:r>
              <w:rPr>
                <w:spacing w:val="-5"/>
                <w:sz w:val="20"/>
              </w:rPr>
              <w:t> </w:t>
            </w:r>
            <w:r>
              <w:rPr>
                <w:sz w:val="20"/>
              </w:rPr>
              <w:t>acorde</w:t>
            </w:r>
            <w:r>
              <w:rPr>
                <w:spacing w:val="-6"/>
                <w:sz w:val="20"/>
              </w:rPr>
              <w:t> </w:t>
            </w:r>
            <w:r>
              <w:rPr>
                <w:sz w:val="20"/>
              </w:rPr>
              <w:t>con</w:t>
            </w:r>
            <w:r>
              <w:rPr>
                <w:spacing w:val="-5"/>
                <w:sz w:val="20"/>
              </w:rPr>
              <w:t> </w:t>
            </w:r>
            <w:r>
              <w:rPr>
                <w:sz w:val="20"/>
              </w:rPr>
              <w:t>la implementación del Plan de Empleo Público.</w:t>
            </w:r>
          </w:p>
        </w:tc>
      </w:tr>
      <w:tr>
        <w:trPr>
          <w:trHeight w:val="302" w:hRule="atLeast"/>
        </w:trPr>
        <w:tc>
          <w:tcPr>
            <w:tcW w:w="2969" w:type="dxa"/>
            <w:shd w:val="clear" w:color="auto" w:fill="DBE4F0"/>
          </w:tcPr>
          <w:p>
            <w:pPr>
              <w:pStyle w:val="TableParagraph"/>
              <w:spacing w:before="35"/>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23" w:type="dxa"/>
          </w:tcPr>
          <w:p>
            <w:pPr>
              <w:pStyle w:val="TableParagraph"/>
              <w:spacing w:before="35"/>
              <w:ind w:left="67"/>
              <w:rPr>
                <w:sz w:val="20"/>
              </w:rPr>
            </w:pPr>
            <w:r>
              <w:rPr>
                <w:sz w:val="20"/>
              </w:rPr>
              <w:t>Sumatoria</w:t>
            </w:r>
            <w:r>
              <w:rPr>
                <w:spacing w:val="-10"/>
                <w:sz w:val="20"/>
              </w:rPr>
              <w:t> </w:t>
            </w:r>
            <w:r>
              <w:rPr>
                <w:sz w:val="20"/>
              </w:rPr>
              <w:t>de</w:t>
            </w:r>
            <w:r>
              <w:rPr>
                <w:spacing w:val="-9"/>
                <w:sz w:val="20"/>
              </w:rPr>
              <w:t> </w:t>
            </w:r>
            <w:r>
              <w:rPr>
                <w:sz w:val="20"/>
              </w:rPr>
              <w:t>presupuestos</w:t>
            </w:r>
            <w:r>
              <w:rPr>
                <w:spacing w:val="-8"/>
                <w:sz w:val="20"/>
              </w:rPr>
              <w:t> </w:t>
            </w:r>
            <w:r>
              <w:rPr>
                <w:spacing w:val="-2"/>
                <w:sz w:val="20"/>
              </w:rPr>
              <w:t>formulados</w:t>
            </w:r>
          </w:p>
        </w:tc>
      </w:tr>
      <w:tr>
        <w:trPr>
          <w:trHeight w:val="299" w:hRule="atLeast"/>
        </w:trPr>
        <w:tc>
          <w:tcPr>
            <w:tcW w:w="2969" w:type="dxa"/>
            <w:shd w:val="clear" w:color="auto" w:fill="DBE4F0"/>
          </w:tcPr>
          <w:p>
            <w:pPr>
              <w:pStyle w:val="TableParagraph"/>
              <w:spacing w:before="33"/>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23" w:type="dxa"/>
          </w:tcPr>
          <w:p>
            <w:pPr>
              <w:pStyle w:val="TableParagraph"/>
              <w:spacing w:before="33"/>
              <w:ind w:left="67"/>
              <w:rPr>
                <w:sz w:val="20"/>
              </w:rPr>
            </w:pPr>
            <w:r>
              <w:rPr>
                <w:spacing w:val="-2"/>
                <w:sz w:val="20"/>
              </w:rPr>
              <w:t>Cantidad</w:t>
            </w:r>
          </w:p>
        </w:tc>
      </w:tr>
      <w:tr>
        <w:trPr>
          <w:trHeight w:val="1610" w:hRule="atLeast"/>
        </w:trPr>
        <w:tc>
          <w:tcPr>
            <w:tcW w:w="2969" w:type="dxa"/>
            <w:shd w:val="clear" w:color="auto" w:fill="DBE4F0"/>
          </w:tcPr>
          <w:p>
            <w:pPr>
              <w:pStyle w:val="TableParagraph"/>
              <w:rPr>
                <w:b/>
                <w:sz w:val="20"/>
              </w:rPr>
            </w:pPr>
          </w:p>
          <w:p>
            <w:pPr>
              <w:pStyle w:val="TableParagraph"/>
              <w:spacing w:before="228"/>
              <w:rPr>
                <w:b/>
                <w:sz w:val="20"/>
              </w:rPr>
            </w:pPr>
          </w:p>
          <w:p>
            <w:pPr>
              <w:pStyle w:val="TableParagraph"/>
              <w:spacing w:before="1"/>
              <w:ind w:left="67"/>
              <w:rPr>
                <w:b/>
                <w:sz w:val="20"/>
              </w:rPr>
            </w:pPr>
            <w:r>
              <w:rPr>
                <w:b/>
                <w:spacing w:val="-2"/>
                <w:sz w:val="20"/>
              </w:rPr>
              <w:t>Interpretación:</w:t>
            </w:r>
          </w:p>
        </w:tc>
        <w:tc>
          <w:tcPr>
            <w:tcW w:w="7523" w:type="dxa"/>
          </w:tcPr>
          <w:p>
            <w:pPr>
              <w:pStyle w:val="TableParagraph"/>
              <w:ind w:left="67"/>
              <w:rPr>
                <w:sz w:val="20"/>
              </w:rPr>
            </w:pPr>
            <w:r>
              <w:rPr>
                <w:sz w:val="20"/>
              </w:rPr>
              <w:t>Se consideran todas las plazas institucionales vacantes y ocupadas, considerando todos los rubros salariales de cada una de dichas plazas. Cada uno de los rubros salariales multiplicado por 12 (Meses), para determinar la proyección anual de los recursos, considerando las cargas patronales, aguinaldo y salario escolar, que es proporcional a la proyección anual de los rubros salariales.</w:t>
            </w:r>
            <w:r>
              <w:rPr>
                <w:spacing w:val="40"/>
                <w:sz w:val="20"/>
              </w:rPr>
              <w:t> </w:t>
            </w:r>
            <w:r>
              <w:rPr>
                <w:sz w:val="20"/>
              </w:rPr>
              <w:t>Además, debe de incluirse</w:t>
            </w:r>
            <w:r>
              <w:rPr>
                <w:spacing w:val="-9"/>
                <w:sz w:val="20"/>
              </w:rPr>
              <w:t> </w:t>
            </w:r>
            <w:r>
              <w:rPr>
                <w:sz w:val="20"/>
              </w:rPr>
              <w:t>subpartidas</w:t>
            </w:r>
            <w:r>
              <w:rPr>
                <w:spacing w:val="-8"/>
                <w:sz w:val="20"/>
              </w:rPr>
              <w:t> </w:t>
            </w:r>
            <w:r>
              <w:rPr>
                <w:sz w:val="20"/>
              </w:rPr>
              <w:t>presupuestarias</w:t>
            </w:r>
            <w:r>
              <w:rPr>
                <w:spacing w:val="-8"/>
                <w:sz w:val="20"/>
              </w:rPr>
              <w:t> </w:t>
            </w:r>
            <w:r>
              <w:rPr>
                <w:sz w:val="20"/>
              </w:rPr>
              <w:t>como</w:t>
            </w:r>
            <w:r>
              <w:rPr>
                <w:spacing w:val="-7"/>
                <w:sz w:val="20"/>
              </w:rPr>
              <w:t> </w:t>
            </w:r>
            <w:r>
              <w:rPr>
                <w:sz w:val="20"/>
              </w:rPr>
              <w:t>indemnizaciones,</w:t>
            </w:r>
            <w:r>
              <w:rPr>
                <w:spacing w:val="-7"/>
                <w:sz w:val="20"/>
              </w:rPr>
              <w:t> </w:t>
            </w:r>
            <w:r>
              <w:rPr>
                <w:sz w:val="20"/>
              </w:rPr>
              <w:t>prestaciones</w:t>
            </w:r>
            <w:r>
              <w:rPr>
                <w:spacing w:val="-8"/>
                <w:sz w:val="20"/>
              </w:rPr>
              <w:t> </w:t>
            </w:r>
            <w:r>
              <w:rPr>
                <w:sz w:val="20"/>
              </w:rPr>
              <w:t>legales,</w:t>
            </w:r>
          </w:p>
          <w:p>
            <w:pPr>
              <w:pStyle w:val="TableParagraph"/>
              <w:spacing w:line="211" w:lineRule="exact"/>
              <w:ind w:left="67"/>
              <w:rPr>
                <w:sz w:val="20"/>
              </w:rPr>
            </w:pPr>
            <w:r>
              <w:rPr>
                <w:sz w:val="20"/>
              </w:rPr>
              <w:t>subsidios.</w:t>
            </w:r>
            <w:r>
              <w:rPr>
                <w:spacing w:val="-8"/>
                <w:sz w:val="20"/>
              </w:rPr>
              <w:t> </w:t>
            </w:r>
            <w:r>
              <w:rPr>
                <w:sz w:val="20"/>
              </w:rPr>
              <w:t>También</w:t>
            </w:r>
            <w:r>
              <w:rPr>
                <w:spacing w:val="-9"/>
                <w:sz w:val="20"/>
              </w:rPr>
              <w:t> </w:t>
            </w:r>
            <w:r>
              <w:rPr>
                <w:sz w:val="20"/>
              </w:rPr>
              <w:t>se</w:t>
            </w:r>
            <w:r>
              <w:rPr>
                <w:spacing w:val="-7"/>
                <w:sz w:val="20"/>
              </w:rPr>
              <w:t> </w:t>
            </w:r>
            <w:r>
              <w:rPr>
                <w:sz w:val="20"/>
              </w:rPr>
              <w:t>realiza</w:t>
            </w:r>
            <w:r>
              <w:rPr>
                <w:spacing w:val="-8"/>
                <w:sz w:val="20"/>
              </w:rPr>
              <w:t> </w:t>
            </w:r>
            <w:r>
              <w:rPr>
                <w:sz w:val="20"/>
              </w:rPr>
              <w:t>la</w:t>
            </w:r>
            <w:r>
              <w:rPr>
                <w:spacing w:val="-8"/>
                <w:sz w:val="20"/>
              </w:rPr>
              <w:t> </w:t>
            </w:r>
            <w:r>
              <w:rPr>
                <w:sz w:val="20"/>
              </w:rPr>
              <w:t>formulación</w:t>
            </w:r>
            <w:r>
              <w:rPr>
                <w:spacing w:val="-8"/>
                <w:sz w:val="20"/>
              </w:rPr>
              <w:t> </w:t>
            </w:r>
            <w:r>
              <w:rPr>
                <w:sz w:val="20"/>
              </w:rPr>
              <w:t>del</w:t>
            </w:r>
            <w:r>
              <w:rPr>
                <w:spacing w:val="-7"/>
                <w:sz w:val="20"/>
              </w:rPr>
              <w:t> </w:t>
            </w:r>
            <w:r>
              <w:rPr>
                <w:sz w:val="20"/>
              </w:rPr>
              <w:t>presupuesto</w:t>
            </w:r>
            <w:r>
              <w:rPr>
                <w:spacing w:val="-6"/>
                <w:sz w:val="20"/>
              </w:rPr>
              <w:t> </w:t>
            </w:r>
            <w:r>
              <w:rPr>
                <w:sz w:val="20"/>
              </w:rPr>
              <w:t>para</w:t>
            </w:r>
            <w:r>
              <w:rPr>
                <w:spacing w:val="-6"/>
                <w:sz w:val="20"/>
              </w:rPr>
              <w:t> </w:t>
            </w:r>
            <w:r>
              <w:rPr>
                <w:spacing w:val="-2"/>
                <w:sz w:val="20"/>
              </w:rPr>
              <w:t>Capacitación.</w:t>
            </w:r>
          </w:p>
        </w:tc>
      </w:tr>
      <w:tr>
        <w:trPr>
          <w:trHeight w:val="299" w:hRule="atLeast"/>
        </w:trPr>
        <w:tc>
          <w:tcPr>
            <w:tcW w:w="2969" w:type="dxa"/>
            <w:shd w:val="clear" w:color="auto" w:fill="DBE4F0"/>
          </w:tcPr>
          <w:p>
            <w:pPr>
              <w:pStyle w:val="TableParagraph"/>
              <w:spacing w:before="33"/>
              <w:ind w:left="67"/>
              <w:rPr>
                <w:b/>
                <w:sz w:val="20"/>
              </w:rPr>
            </w:pPr>
            <w:r>
              <w:rPr>
                <w:b/>
                <w:spacing w:val="-2"/>
                <w:sz w:val="20"/>
              </w:rPr>
              <w:t>Desagregación</w:t>
            </w:r>
          </w:p>
        </w:tc>
        <w:tc>
          <w:tcPr>
            <w:tcW w:w="7523" w:type="dxa"/>
          </w:tcPr>
          <w:p>
            <w:pPr>
              <w:pStyle w:val="TableParagraph"/>
              <w:spacing w:before="33"/>
              <w:ind w:left="67"/>
              <w:rPr>
                <w:sz w:val="20"/>
              </w:rPr>
            </w:pPr>
            <w:r>
              <w:rPr>
                <w:spacing w:val="-2"/>
                <w:sz w:val="20"/>
              </w:rPr>
              <w:t>Institucional</w:t>
            </w:r>
          </w:p>
        </w:tc>
      </w:tr>
      <w:tr>
        <w:trPr>
          <w:trHeight w:val="479" w:hRule="atLeast"/>
        </w:trPr>
        <w:tc>
          <w:tcPr>
            <w:tcW w:w="2969" w:type="dxa"/>
            <w:shd w:val="clear" w:color="auto" w:fill="DBE4F0"/>
          </w:tcPr>
          <w:p>
            <w:pPr>
              <w:pStyle w:val="TableParagraph"/>
              <w:spacing w:before="124"/>
              <w:ind w:left="67"/>
              <w:rPr>
                <w:b/>
                <w:sz w:val="20"/>
              </w:rPr>
            </w:pPr>
            <w:r>
              <w:rPr>
                <w:b/>
                <w:spacing w:val="-2"/>
                <w:sz w:val="20"/>
              </w:rPr>
              <w:t>Meta:</w:t>
            </w:r>
          </w:p>
        </w:tc>
        <w:tc>
          <w:tcPr>
            <w:tcW w:w="7523" w:type="dxa"/>
          </w:tcPr>
          <w:p>
            <w:pPr>
              <w:pStyle w:val="TableParagraph"/>
              <w:spacing w:before="124"/>
              <w:ind w:left="67"/>
              <w:rPr>
                <w:sz w:val="20"/>
              </w:rPr>
            </w:pPr>
            <w:r>
              <w:rPr>
                <w:spacing w:val="-10"/>
                <w:sz w:val="20"/>
              </w:rPr>
              <w:t>1</w:t>
            </w:r>
          </w:p>
        </w:tc>
      </w:tr>
      <w:tr>
        <w:trPr>
          <w:trHeight w:val="299" w:hRule="atLeast"/>
        </w:trPr>
        <w:tc>
          <w:tcPr>
            <w:tcW w:w="2969" w:type="dxa"/>
            <w:shd w:val="clear" w:color="auto" w:fill="DBE4F0"/>
          </w:tcPr>
          <w:p>
            <w:pPr>
              <w:pStyle w:val="TableParagraph"/>
              <w:spacing w:before="35"/>
              <w:ind w:left="67"/>
              <w:rPr>
                <w:b/>
                <w:sz w:val="20"/>
              </w:rPr>
            </w:pPr>
            <w:r>
              <w:rPr>
                <w:b/>
                <w:sz w:val="20"/>
              </w:rPr>
              <w:t>Línea</w:t>
            </w:r>
            <w:r>
              <w:rPr>
                <w:b/>
                <w:spacing w:val="-10"/>
                <w:sz w:val="20"/>
              </w:rPr>
              <w:t> </w:t>
            </w:r>
            <w:r>
              <w:rPr>
                <w:b/>
                <w:spacing w:val="-4"/>
                <w:sz w:val="20"/>
              </w:rPr>
              <w:t>Base</w:t>
            </w:r>
          </w:p>
        </w:tc>
        <w:tc>
          <w:tcPr>
            <w:tcW w:w="7523" w:type="dxa"/>
          </w:tcPr>
          <w:p>
            <w:pPr>
              <w:pStyle w:val="TableParagraph"/>
              <w:spacing w:before="35"/>
              <w:ind w:left="67"/>
              <w:rPr>
                <w:sz w:val="20"/>
              </w:rPr>
            </w:pPr>
            <w:r>
              <w:rPr>
                <w:spacing w:val="-10"/>
                <w:sz w:val="20"/>
              </w:rPr>
              <w:t>0</w:t>
            </w:r>
          </w:p>
        </w:tc>
      </w:tr>
      <w:tr>
        <w:trPr>
          <w:trHeight w:val="779" w:hRule="atLeast"/>
        </w:trPr>
        <w:tc>
          <w:tcPr>
            <w:tcW w:w="2969" w:type="dxa"/>
            <w:shd w:val="clear" w:color="auto" w:fill="DBE4F0"/>
          </w:tcPr>
          <w:p>
            <w:pPr>
              <w:pStyle w:val="TableParagraph"/>
              <w:spacing w:before="160"/>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23" w:type="dxa"/>
          </w:tcPr>
          <w:p>
            <w:pPr>
              <w:pStyle w:val="TableParagraph"/>
              <w:spacing w:before="45"/>
              <w:rPr>
                <w:b/>
                <w:sz w:val="20"/>
              </w:rPr>
            </w:pPr>
          </w:p>
          <w:p>
            <w:pPr>
              <w:pStyle w:val="TableParagraph"/>
              <w:ind w:left="67"/>
              <w:rPr>
                <w:sz w:val="20"/>
              </w:rPr>
            </w:pPr>
            <w:r>
              <w:rPr>
                <w:spacing w:val="-4"/>
                <w:sz w:val="20"/>
              </w:rPr>
              <w:t>Anual</w:t>
            </w:r>
          </w:p>
        </w:tc>
      </w:tr>
      <w:tr>
        <w:trPr>
          <w:trHeight w:val="662" w:hRule="atLeast"/>
        </w:trPr>
        <w:tc>
          <w:tcPr>
            <w:tcW w:w="2969" w:type="dxa"/>
            <w:shd w:val="clear" w:color="auto" w:fill="DBE4F0"/>
          </w:tcPr>
          <w:p>
            <w:pPr>
              <w:pStyle w:val="TableParagraph"/>
              <w:spacing w:before="100"/>
              <w:ind w:left="67" w:right="507"/>
              <w:rPr>
                <w:b/>
                <w:sz w:val="20"/>
              </w:rPr>
            </w:pPr>
            <w:r>
              <w:rPr>
                <w:b/>
                <w:sz w:val="20"/>
              </w:rPr>
              <w:t>Responsable de la recopilación</w:t>
            </w:r>
            <w:r>
              <w:rPr>
                <w:b/>
                <w:spacing w:val="-14"/>
                <w:sz w:val="20"/>
              </w:rPr>
              <w:t> </w:t>
            </w:r>
            <w:r>
              <w:rPr>
                <w:b/>
                <w:sz w:val="20"/>
              </w:rPr>
              <w:t>información</w:t>
            </w:r>
          </w:p>
        </w:tc>
        <w:tc>
          <w:tcPr>
            <w:tcW w:w="7523" w:type="dxa"/>
          </w:tcPr>
          <w:p>
            <w:pPr>
              <w:pStyle w:val="TableParagraph"/>
              <w:spacing w:before="100"/>
              <w:ind w:left="67" w:right="2887"/>
              <w:rPr>
                <w:sz w:val="20"/>
              </w:rPr>
            </w:pPr>
            <w:r>
              <w:rPr>
                <w:sz w:val="20"/>
              </w:rPr>
              <w:t>Nombre</w:t>
            </w:r>
            <w:r>
              <w:rPr>
                <w:spacing w:val="-7"/>
                <w:sz w:val="20"/>
              </w:rPr>
              <w:t> </w:t>
            </w:r>
            <w:r>
              <w:rPr>
                <w:sz w:val="20"/>
              </w:rPr>
              <w:t>del</w:t>
            </w:r>
            <w:r>
              <w:rPr>
                <w:spacing w:val="-10"/>
                <w:sz w:val="20"/>
              </w:rPr>
              <w:t> </w:t>
            </w:r>
            <w:r>
              <w:rPr>
                <w:sz w:val="20"/>
              </w:rPr>
              <w:t>funcionario:</w:t>
            </w:r>
            <w:r>
              <w:rPr>
                <w:spacing w:val="-9"/>
                <w:sz w:val="20"/>
              </w:rPr>
              <w:t> </w:t>
            </w:r>
            <w:r>
              <w:rPr>
                <w:sz w:val="20"/>
              </w:rPr>
              <w:t>Miguel</w:t>
            </w:r>
            <w:r>
              <w:rPr>
                <w:spacing w:val="-10"/>
                <w:sz w:val="20"/>
              </w:rPr>
              <w:t> </w:t>
            </w:r>
            <w:r>
              <w:rPr>
                <w:sz w:val="20"/>
              </w:rPr>
              <w:t>Goñi</w:t>
            </w:r>
            <w:r>
              <w:rPr>
                <w:spacing w:val="-10"/>
                <w:sz w:val="20"/>
              </w:rPr>
              <w:t> </w:t>
            </w:r>
            <w:r>
              <w:rPr>
                <w:sz w:val="20"/>
              </w:rPr>
              <w:t>Cordero Cargo: Profesional Desarrollo Humano 3</w:t>
            </w:r>
          </w:p>
        </w:tc>
      </w:tr>
      <w:tr>
        <w:trPr>
          <w:trHeight w:val="808" w:hRule="atLeast"/>
        </w:trPr>
        <w:tc>
          <w:tcPr>
            <w:tcW w:w="2969" w:type="dxa"/>
            <w:shd w:val="clear" w:color="auto" w:fill="DBE4F0"/>
          </w:tcPr>
          <w:p>
            <w:pPr>
              <w:pStyle w:val="TableParagraph"/>
              <w:spacing w:before="172"/>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23" w:type="dxa"/>
          </w:tcPr>
          <w:p>
            <w:pPr>
              <w:pStyle w:val="TableParagraph"/>
              <w:spacing w:before="57"/>
              <w:rPr>
                <w:b/>
                <w:sz w:val="20"/>
              </w:rPr>
            </w:pPr>
          </w:p>
          <w:p>
            <w:pPr>
              <w:pStyle w:val="TableParagraph"/>
              <w:ind w:left="67"/>
              <w:rPr>
                <w:sz w:val="20"/>
              </w:rPr>
            </w:pPr>
            <w:r>
              <w:rPr>
                <w:sz w:val="20"/>
              </w:rPr>
              <w:t>Desarrollo</w:t>
            </w:r>
            <w:r>
              <w:rPr>
                <w:spacing w:val="-12"/>
                <w:sz w:val="20"/>
              </w:rPr>
              <w:t> </w:t>
            </w:r>
            <w:r>
              <w:rPr>
                <w:spacing w:val="-2"/>
                <w:sz w:val="20"/>
              </w:rPr>
              <w:t>Humano</w:t>
            </w:r>
          </w:p>
        </w:tc>
      </w:tr>
      <w:tr>
        <w:trPr>
          <w:trHeight w:val="690" w:hRule="atLeast"/>
        </w:trPr>
        <w:tc>
          <w:tcPr>
            <w:tcW w:w="2969" w:type="dxa"/>
            <w:shd w:val="clear" w:color="auto" w:fill="DBE4F0"/>
          </w:tcPr>
          <w:p>
            <w:pPr>
              <w:pStyle w:val="TableParagraph"/>
              <w:spacing w:before="230"/>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23" w:type="dxa"/>
          </w:tcPr>
          <w:p>
            <w:pPr>
              <w:pStyle w:val="TableParagraph"/>
              <w:spacing w:before="114"/>
              <w:ind w:left="67"/>
              <w:rPr>
                <w:sz w:val="20"/>
              </w:rPr>
            </w:pPr>
            <w:r>
              <w:rPr>
                <w:sz w:val="20"/>
              </w:rPr>
              <w:t>Relación</w:t>
            </w:r>
            <w:r>
              <w:rPr>
                <w:spacing w:val="-6"/>
                <w:sz w:val="20"/>
              </w:rPr>
              <w:t> </w:t>
            </w:r>
            <w:r>
              <w:rPr>
                <w:sz w:val="20"/>
              </w:rPr>
              <w:t>de</w:t>
            </w:r>
            <w:r>
              <w:rPr>
                <w:spacing w:val="-6"/>
                <w:sz w:val="20"/>
              </w:rPr>
              <w:t> </w:t>
            </w:r>
            <w:r>
              <w:rPr>
                <w:sz w:val="20"/>
              </w:rPr>
              <w:t>puestos</w:t>
            </w:r>
            <w:r>
              <w:rPr>
                <w:spacing w:val="-6"/>
                <w:sz w:val="20"/>
              </w:rPr>
              <w:t> </w:t>
            </w:r>
            <w:r>
              <w:rPr>
                <w:sz w:val="20"/>
              </w:rPr>
              <w:t>generada</w:t>
            </w:r>
            <w:r>
              <w:rPr>
                <w:spacing w:val="-5"/>
                <w:sz w:val="20"/>
              </w:rPr>
              <w:t> </w:t>
            </w:r>
            <w:r>
              <w:rPr>
                <w:sz w:val="20"/>
              </w:rPr>
              <w:t>del</w:t>
            </w:r>
            <w:r>
              <w:rPr>
                <w:spacing w:val="-6"/>
                <w:sz w:val="20"/>
              </w:rPr>
              <w:t> </w:t>
            </w:r>
            <w:r>
              <w:rPr>
                <w:sz w:val="20"/>
              </w:rPr>
              <w:t>sistema</w:t>
            </w:r>
            <w:r>
              <w:rPr>
                <w:spacing w:val="-6"/>
                <w:sz w:val="20"/>
              </w:rPr>
              <w:t> </w:t>
            </w:r>
            <w:r>
              <w:rPr>
                <w:sz w:val="20"/>
              </w:rPr>
              <w:t>informático</w:t>
            </w:r>
            <w:r>
              <w:rPr>
                <w:spacing w:val="-5"/>
                <w:sz w:val="20"/>
              </w:rPr>
              <w:t> </w:t>
            </w:r>
            <w:r>
              <w:rPr>
                <w:sz w:val="20"/>
              </w:rPr>
              <w:t>de</w:t>
            </w:r>
            <w:r>
              <w:rPr>
                <w:spacing w:val="-7"/>
                <w:sz w:val="20"/>
              </w:rPr>
              <w:t> </w:t>
            </w:r>
            <w:r>
              <w:rPr>
                <w:sz w:val="20"/>
              </w:rPr>
              <w:t>Desarrollo</w:t>
            </w:r>
            <w:r>
              <w:rPr>
                <w:spacing w:val="-6"/>
                <w:sz w:val="20"/>
              </w:rPr>
              <w:t> </w:t>
            </w:r>
            <w:r>
              <w:rPr>
                <w:sz w:val="20"/>
              </w:rPr>
              <w:t>Humano. Estimación de presupuesto del Plan de Capacitación.</w:t>
            </w:r>
          </w:p>
        </w:tc>
      </w:tr>
      <w:tr>
        <w:trPr>
          <w:trHeight w:val="1185" w:hRule="atLeast"/>
        </w:trPr>
        <w:tc>
          <w:tcPr>
            <w:tcW w:w="2969" w:type="dxa"/>
            <w:shd w:val="clear" w:color="auto" w:fill="DBE4F0"/>
          </w:tcPr>
          <w:p>
            <w:pPr>
              <w:pStyle w:val="TableParagraph"/>
              <w:rPr>
                <w:b/>
                <w:sz w:val="20"/>
              </w:rPr>
            </w:pPr>
          </w:p>
          <w:p>
            <w:pPr>
              <w:pStyle w:val="TableParagraph"/>
              <w:spacing w:before="17"/>
              <w:rPr>
                <w:b/>
                <w:sz w:val="20"/>
              </w:rPr>
            </w:pPr>
          </w:p>
          <w:p>
            <w:pPr>
              <w:pStyle w:val="TableParagraph"/>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23" w:type="dxa"/>
          </w:tcPr>
          <w:p>
            <w:pPr>
              <w:pStyle w:val="TableParagraph"/>
              <w:spacing w:before="16"/>
              <w:rPr>
                <w:b/>
                <w:sz w:val="20"/>
              </w:rPr>
            </w:pPr>
          </w:p>
          <w:p>
            <w:pPr>
              <w:pStyle w:val="TableParagraph"/>
              <w:ind w:left="67"/>
              <w:rPr>
                <w:sz w:val="20"/>
              </w:rPr>
            </w:pPr>
            <w:r>
              <w:rPr>
                <w:sz w:val="20"/>
              </w:rPr>
              <w:t>Resumen</w:t>
            </w:r>
            <w:r>
              <w:rPr>
                <w:spacing w:val="-5"/>
                <w:sz w:val="20"/>
              </w:rPr>
              <w:t> </w:t>
            </w:r>
            <w:r>
              <w:rPr>
                <w:sz w:val="20"/>
              </w:rPr>
              <w:t>General</w:t>
            </w:r>
            <w:r>
              <w:rPr>
                <w:spacing w:val="-4"/>
                <w:sz w:val="20"/>
              </w:rPr>
              <w:t> </w:t>
            </w:r>
            <w:r>
              <w:rPr>
                <w:sz w:val="20"/>
              </w:rPr>
              <w:t>de</w:t>
            </w:r>
            <w:r>
              <w:rPr>
                <w:spacing w:val="-4"/>
                <w:sz w:val="20"/>
              </w:rPr>
              <w:t> </w:t>
            </w:r>
            <w:r>
              <w:rPr>
                <w:sz w:val="20"/>
              </w:rPr>
              <w:t>Sueldos</w:t>
            </w:r>
            <w:r>
              <w:rPr>
                <w:spacing w:val="-4"/>
                <w:sz w:val="20"/>
              </w:rPr>
              <w:t> </w:t>
            </w:r>
            <w:r>
              <w:rPr>
                <w:sz w:val="20"/>
              </w:rPr>
              <w:t>para</w:t>
            </w:r>
            <w:r>
              <w:rPr>
                <w:spacing w:val="-3"/>
                <w:sz w:val="20"/>
              </w:rPr>
              <w:t> </w:t>
            </w:r>
            <w:r>
              <w:rPr>
                <w:sz w:val="20"/>
              </w:rPr>
              <w:t>el</w:t>
            </w:r>
            <w:r>
              <w:rPr>
                <w:spacing w:val="-4"/>
                <w:sz w:val="20"/>
              </w:rPr>
              <w:t> </w:t>
            </w:r>
            <w:r>
              <w:rPr>
                <w:sz w:val="20"/>
              </w:rPr>
              <w:t>año</w:t>
            </w:r>
            <w:r>
              <w:rPr>
                <w:spacing w:val="-5"/>
                <w:sz w:val="20"/>
              </w:rPr>
              <w:t> </w:t>
            </w:r>
            <w:r>
              <w:rPr>
                <w:sz w:val="20"/>
              </w:rPr>
              <w:t>2027,</w:t>
            </w:r>
            <w:r>
              <w:rPr>
                <w:spacing w:val="-3"/>
                <w:sz w:val="20"/>
              </w:rPr>
              <w:t> </w:t>
            </w:r>
            <w:r>
              <w:rPr>
                <w:sz w:val="20"/>
              </w:rPr>
              <w:t>oficios</w:t>
            </w:r>
            <w:r>
              <w:rPr>
                <w:spacing w:val="-4"/>
                <w:sz w:val="20"/>
              </w:rPr>
              <w:t> </w:t>
            </w:r>
            <w:r>
              <w:rPr>
                <w:sz w:val="20"/>
              </w:rPr>
              <w:t>remitidos</w:t>
            </w:r>
            <w:r>
              <w:rPr>
                <w:spacing w:val="-4"/>
                <w:sz w:val="20"/>
              </w:rPr>
              <w:t> </w:t>
            </w:r>
            <w:r>
              <w:rPr>
                <w:sz w:val="20"/>
              </w:rPr>
              <w:t>a</w:t>
            </w:r>
            <w:r>
              <w:rPr>
                <w:spacing w:val="-6"/>
                <w:sz w:val="20"/>
              </w:rPr>
              <w:t> </w:t>
            </w:r>
            <w:r>
              <w:rPr>
                <w:sz w:val="20"/>
              </w:rPr>
              <w:t>diferentes dependencias relacionados a la formulación, reporte de la herramienta de formulación del presupuesto.</w:t>
            </w:r>
          </w:p>
        </w:tc>
      </w:tr>
      <w:tr>
        <w:trPr>
          <w:trHeight w:val="479" w:hRule="atLeast"/>
        </w:trPr>
        <w:tc>
          <w:tcPr>
            <w:tcW w:w="2969" w:type="dxa"/>
            <w:shd w:val="clear" w:color="auto" w:fill="DBE4F0"/>
          </w:tcPr>
          <w:p>
            <w:pPr>
              <w:pStyle w:val="TableParagraph"/>
              <w:spacing w:before="124"/>
              <w:ind w:left="67"/>
              <w:rPr>
                <w:b/>
                <w:sz w:val="20"/>
              </w:rPr>
            </w:pPr>
            <w:r>
              <w:rPr>
                <w:b/>
                <w:spacing w:val="-2"/>
                <w:sz w:val="20"/>
              </w:rPr>
              <w:t>Clasificación</w:t>
            </w:r>
          </w:p>
        </w:tc>
        <w:tc>
          <w:tcPr>
            <w:tcW w:w="7523" w:type="dxa"/>
          </w:tcPr>
          <w:p>
            <w:pPr>
              <w:pStyle w:val="TableParagraph"/>
              <w:spacing w:before="124"/>
              <w:ind w:left="67"/>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921" w:hRule="atLeast"/>
        </w:trPr>
        <w:tc>
          <w:tcPr>
            <w:tcW w:w="2969" w:type="dxa"/>
            <w:shd w:val="clear" w:color="auto" w:fill="DBE4F0"/>
          </w:tcPr>
          <w:p>
            <w:pPr>
              <w:pStyle w:val="TableParagraph"/>
              <w:spacing w:before="115"/>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23" w:type="dxa"/>
          </w:tcPr>
          <w:p>
            <w:pPr>
              <w:pStyle w:val="TableParagraph"/>
              <w:ind w:left="67"/>
              <w:rPr>
                <w:sz w:val="20"/>
              </w:rPr>
            </w:pPr>
            <w:r>
              <w:rPr>
                <w:sz w:val="20"/>
              </w:rPr>
              <w:t>Al 31 de julio ya se encuentra formulado el presupuesto para el año 2028, sin embargo, el mismo tiene que pasar por las etapas de revisión y aprobación.</w:t>
            </w:r>
          </w:p>
          <w:p>
            <w:pPr>
              <w:pStyle w:val="TableParagraph"/>
              <w:spacing w:line="228" w:lineRule="exact"/>
              <w:ind w:left="67" w:right="191"/>
              <w:rPr>
                <w:sz w:val="20"/>
              </w:rPr>
            </w:pPr>
            <w:r>
              <w:rPr>
                <w:sz w:val="20"/>
              </w:rPr>
              <w:t>Pasantías</w:t>
            </w:r>
            <w:r>
              <w:rPr>
                <w:spacing w:val="-5"/>
                <w:sz w:val="20"/>
              </w:rPr>
              <w:t> </w:t>
            </w:r>
            <w:r>
              <w:rPr>
                <w:sz w:val="20"/>
              </w:rPr>
              <w:t>no</w:t>
            </w:r>
            <w:r>
              <w:rPr>
                <w:spacing w:val="-4"/>
                <w:sz w:val="20"/>
              </w:rPr>
              <w:t> </w:t>
            </w:r>
            <w:r>
              <w:rPr>
                <w:sz w:val="20"/>
              </w:rPr>
              <w:t>tiene</w:t>
            </w:r>
            <w:r>
              <w:rPr>
                <w:spacing w:val="-4"/>
                <w:sz w:val="20"/>
              </w:rPr>
              <w:t> </w:t>
            </w:r>
            <w:r>
              <w:rPr>
                <w:sz w:val="20"/>
              </w:rPr>
              <w:t>presupuesto</w:t>
            </w:r>
            <w:r>
              <w:rPr>
                <w:spacing w:val="-7"/>
                <w:sz w:val="20"/>
              </w:rPr>
              <w:t> </w:t>
            </w:r>
            <w:r>
              <w:rPr>
                <w:sz w:val="20"/>
              </w:rPr>
              <w:t>programado,</w:t>
            </w:r>
            <w:r>
              <w:rPr>
                <w:spacing w:val="-4"/>
                <w:sz w:val="20"/>
              </w:rPr>
              <w:t> </w:t>
            </w:r>
            <w:r>
              <w:rPr>
                <w:sz w:val="20"/>
              </w:rPr>
              <w:t>por</w:t>
            </w:r>
            <w:r>
              <w:rPr>
                <w:spacing w:val="-5"/>
                <w:sz w:val="20"/>
              </w:rPr>
              <w:t> </w:t>
            </w:r>
            <w:r>
              <w:rPr>
                <w:sz w:val="20"/>
              </w:rPr>
              <w:t>error</w:t>
            </w:r>
            <w:r>
              <w:rPr>
                <w:spacing w:val="-3"/>
                <w:sz w:val="20"/>
              </w:rPr>
              <w:t> </w:t>
            </w:r>
            <w:r>
              <w:rPr>
                <w:sz w:val="20"/>
              </w:rPr>
              <w:t>material</w:t>
            </w:r>
            <w:r>
              <w:rPr>
                <w:spacing w:val="-5"/>
                <w:sz w:val="20"/>
              </w:rPr>
              <w:t> </w:t>
            </w:r>
            <w:r>
              <w:rPr>
                <w:sz w:val="20"/>
              </w:rPr>
              <w:t>se</w:t>
            </w:r>
            <w:r>
              <w:rPr>
                <w:spacing w:val="-6"/>
                <w:sz w:val="20"/>
              </w:rPr>
              <w:t> </w:t>
            </w:r>
            <w:r>
              <w:rPr>
                <w:sz w:val="20"/>
              </w:rPr>
              <w:t>indicó</w:t>
            </w:r>
            <w:r>
              <w:rPr>
                <w:spacing w:val="-4"/>
                <w:sz w:val="20"/>
              </w:rPr>
              <w:t> </w:t>
            </w:r>
            <w:r>
              <w:rPr>
                <w:sz w:val="20"/>
              </w:rPr>
              <w:t>en</w:t>
            </w:r>
            <w:r>
              <w:rPr>
                <w:spacing w:val="-5"/>
                <w:sz w:val="20"/>
              </w:rPr>
              <w:t> </w:t>
            </w:r>
            <w:r>
              <w:rPr>
                <w:sz w:val="20"/>
              </w:rPr>
              <w:t>el Plan de Empleo Público.</w:t>
            </w:r>
          </w:p>
        </w:tc>
      </w:tr>
    </w:tbl>
    <w:p>
      <w:pPr>
        <w:pStyle w:val="TableParagraph"/>
        <w:spacing w:after="0" w:line="228" w:lineRule="exact"/>
        <w:rPr>
          <w:sz w:val="20"/>
        </w:rPr>
        <w:sectPr>
          <w:pgSz w:w="12240" w:h="15840"/>
          <w:pgMar w:header="0" w:footer="2404" w:top="1820" w:bottom="2600" w:left="720" w:right="720"/>
        </w:sectPr>
      </w:pPr>
    </w:p>
    <w:p>
      <w:pPr>
        <w:pStyle w:val="BodyText"/>
        <w:spacing w:before="11"/>
        <w:rPr>
          <w:b/>
          <w:sz w:val="4"/>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7521"/>
      </w:tblGrid>
      <w:tr>
        <w:trPr>
          <w:trHeight w:val="302" w:hRule="atLeast"/>
        </w:trPr>
        <w:tc>
          <w:tcPr>
            <w:tcW w:w="2972" w:type="dxa"/>
            <w:shd w:val="clear" w:color="auto" w:fill="DBE4F0"/>
          </w:tcPr>
          <w:p>
            <w:pPr>
              <w:pStyle w:val="TableParagraph"/>
              <w:spacing w:before="35"/>
              <w:ind w:left="67"/>
              <w:rPr>
                <w:b/>
                <w:sz w:val="20"/>
              </w:rPr>
            </w:pPr>
            <w:r>
              <w:rPr>
                <w:b/>
                <w:sz w:val="20"/>
              </w:rPr>
              <w:t>PAC</w:t>
            </w:r>
            <w:r>
              <w:rPr>
                <w:b/>
                <w:spacing w:val="-8"/>
                <w:sz w:val="20"/>
              </w:rPr>
              <w:t> </w:t>
            </w:r>
            <w:r>
              <w:rPr>
                <w:b/>
                <w:spacing w:val="-2"/>
                <w:sz w:val="20"/>
              </w:rPr>
              <w:t>2.3.2:</w:t>
            </w:r>
          </w:p>
        </w:tc>
        <w:tc>
          <w:tcPr>
            <w:tcW w:w="7521" w:type="dxa"/>
          </w:tcPr>
          <w:p>
            <w:pPr>
              <w:pStyle w:val="TableParagraph"/>
              <w:spacing w:before="35"/>
              <w:ind w:left="69"/>
              <w:rPr>
                <w:sz w:val="20"/>
              </w:rPr>
            </w:pPr>
            <w:r>
              <w:rPr>
                <w:sz w:val="20"/>
              </w:rPr>
              <w:t>Nombre</w:t>
            </w:r>
            <w:r>
              <w:rPr>
                <w:spacing w:val="-8"/>
                <w:sz w:val="20"/>
              </w:rPr>
              <w:t> </w:t>
            </w:r>
            <w:r>
              <w:rPr>
                <w:sz w:val="20"/>
              </w:rPr>
              <w:t>del</w:t>
            </w:r>
            <w:r>
              <w:rPr>
                <w:spacing w:val="-10"/>
                <w:sz w:val="20"/>
              </w:rPr>
              <w:t> </w:t>
            </w:r>
            <w:r>
              <w:rPr>
                <w:sz w:val="20"/>
              </w:rPr>
              <w:t>indicador:</w:t>
            </w:r>
            <w:r>
              <w:rPr>
                <w:spacing w:val="-7"/>
                <w:sz w:val="20"/>
              </w:rPr>
              <w:t> </w:t>
            </w:r>
            <w:r>
              <w:rPr>
                <w:sz w:val="20"/>
              </w:rPr>
              <w:t>Cantidad</w:t>
            </w:r>
            <w:r>
              <w:rPr>
                <w:spacing w:val="-9"/>
                <w:sz w:val="20"/>
              </w:rPr>
              <w:t> </w:t>
            </w:r>
            <w:r>
              <w:rPr>
                <w:sz w:val="20"/>
              </w:rPr>
              <w:t>de</w:t>
            </w:r>
            <w:r>
              <w:rPr>
                <w:spacing w:val="-8"/>
                <w:sz w:val="20"/>
              </w:rPr>
              <w:t> </w:t>
            </w:r>
            <w:r>
              <w:rPr>
                <w:sz w:val="20"/>
              </w:rPr>
              <w:t>la</w:t>
            </w:r>
            <w:r>
              <w:rPr>
                <w:spacing w:val="-7"/>
                <w:sz w:val="20"/>
              </w:rPr>
              <w:t> </w:t>
            </w:r>
            <w:r>
              <w:rPr>
                <w:sz w:val="20"/>
              </w:rPr>
              <w:t>planilla</w:t>
            </w:r>
            <w:r>
              <w:rPr>
                <w:spacing w:val="-8"/>
                <w:sz w:val="20"/>
              </w:rPr>
              <w:t> </w:t>
            </w:r>
            <w:r>
              <w:rPr>
                <w:sz w:val="20"/>
              </w:rPr>
              <w:t>institucional</w:t>
            </w:r>
            <w:r>
              <w:rPr>
                <w:spacing w:val="-8"/>
                <w:sz w:val="20"/>
              </w:rPr>
              <w:t> </w:t>
            </w:r>
            <w:r>
              <w:rPr>
                <w:spacing w:val="-2"/>
                <w:sz w:val="20"/>
              </w:rPr>
              <w:t>aplicada</w:t>
            </w:r>
          </w:p>
        </w:tc>
      </w:tr>
      <w:tr>
        <w:trPr>
          <w:trHeight w:val="299" w:hRule="atLeast"/>
        </w:trPr>
        <w:tc>
          <w:tcPr>
            <w:tcW w:w="2972" w:type="dxa"/>
            <w:shd w:val="clear" w:color="auto" w:fill="DBE4F0"/>
          </w:tcPr>
          <w:p>
            <w:pPr>
              <w:pStyle w:val="TableParagraph"/>
              <w:spacing w:before="33"/>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21" w:type="dxa"/>
          </w:tcPr>
          <w:p>
            <w:pPr>
              <w:pStyle w:val="TableParagraph"/>
              <w:spacing w:before="33"/>
              <w:ind w:left="69"/>
              <w:rPr>
                <w:sz w:val="20"/>
              </w:rPr>
            </w:pPr>
            <w:r>
              <w:rPr>
                <w:sz w:val="20"/>
              </w:rPr>
              <w:t>Sumatoria</w:t>
            </w:r>
            <w:r>
              <w:rPr>
                <w:spacing w:val="-9"/>
                <w:sz w:val="20"/>
              </w:rPr>
              <w:t> </w:t>
            </w:r>
            <w:r>
              <w:rPr>
                <w:sz w:val="20"/>
              </w:rPr>
              <w:t>de</w:t>
            </w:r>
            <w:r>
              <w:rPr>
                <w:spacing w:val="-9"/>
                <w:sz w:val="20"/>
              </w:rPr>
              <w:t> </w:t>
            </w:r>
            <w:r>
              <w:rPr>
                <w:sz w:val="20"/>
              </w:rPr>
              <w:t>las</w:t>
            </w:r>
            <w:r>
              <w:rPr>
                <w:spacing w:val="-8"/>
                <w:sz w:val="20"/>
              </w:rPr>
              <w:t> </w:t>
            </w:r>
            <w:r>
              <w:rPr>
                <w:sz w:val="20"/>
              </w:rPr>
              <w:t>planillas</w:t>
            </w:r>
            <w:r>
              <w:rPr>
                <w:spacing w:val="-7"/>
                <w:sz w:val="20"/>
              </w:rPr>
              <w:t> </w:t>
            </w:r>
            <w:r>
              <w:rPr>
                <w:sz w:val="20"/>
              </w:rPr>
              <w:t>ejecutadas</w:t>
            </w:r>
            <w:r>
              <w:rPr>
                <w:spacing w:val="-8"/>
                <w:sz w:val="20"/>
              </w:rPr>
              <w:t> </w:t>
            </w:r>
            <w:r>
              <w:rPr>
                <w:spacing w:val="-2"/>
                <w:sz w:val="20"/>
              </w:rPr>
              <w:t>trimestralmente</w:t>
            </w:r>
          </w:p>
        </w:tc>
      </w:tr>
      <w:tr>
        <w:trPr>
          <w:trHeight w:val="299" w:hRule="atLeast"/>
        </w:trPr>
        <w:tc>
          <w:tcPr>
            <w:tcW w:w="2972" w:type="dxa"/>
            <w:shd w:val="clear" w:color="auto" w:fill="DBE4F0"/>
          </w:tcPr>
          <w:p>
            <w:pPr>
              <w:pStyle w:val="TableParagraph"/>
              <w:spacing w:before="33"/>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21" w:type="dxa"/>
          </w:tcPr>
          <w:p>
            <w:pPr>
              <w:pStyle w:val="TableParagraph"/>
              <w:spacing w:before="33"/>
              <w:ind w:left="69"/>
              <w:rPr>
                <w:sz w:val="20"/>
              </w:rPr>
            </w:pPr>
            <w:r>
              <w:rPr>
                <w:spacing w:val="-2"/>
                <w:sz w:val="20"/>
              </w:rPr>
              <w:t>Cantidad</w:t>
            </w:r>
          </w:p>
        </w:tc>
      </w:tr>
      <w:tr>
        <w:trPr>
          <w:trHeight w:val="1149" w:hRule="atLeast"/>
        </w:trPr>
        <w:tc>
          <w:tcPr>
            <w:tcW w:w="2972" w:type="dxa"/>
            <w:shd w:val="clear" w:color="auto" w:fill="DBE4F0"/>
          </w:tcPr>
          <w:p>
            <w:pPr>
              <w:pStyle w:val="TableParagraph"/>
              <w:rPr>
                <w:b/>
                <w:sz w:val="20"/>
              </w:rPr>
            </w:pPr>
          </w:p>
          <w:p>
            <w:pPr>
              <w:pStyle w:val="TableParagraph"/>
              <w:rPr>
                <w:b/>
                <w:sz w:val="20"/>
              </w:rPr>
            </w:pPr>
          </w:p>
          <w:p>
            <w:pPr>
              <w:pStyle w:val="TableParagraph"/>
              <w:ind w:left="67"/>
              <w:rPr>
                <w:b/>
                <w:sz w:val="20"/>
              </w:rPr>
            </w:pPr>
            <w:r>
              <w:rPr>
                <w:b/>
                <w:spacing w:val="-2"/>
                <w:sz w:val="20"/>
              </w:rPr>
              <w:t>Interpretación:</w:t>
            </w:r>
          </w:p>
        </w:tc>
        <w:tc>
          <w:tcPr>
            <w:tcW w:w="7521" w:type="dxa"/>
          </w:tcPr>
          <w:p>
            <w:pPr>
              <w:pStyle w:val="TableParagraph"/>
              <w:ind w:left="69"/>
              <w:rPr>
                <w:sz w:val="20"/>
              </w:rPr>
            </w:pPr>
            <w:r>
              <w:rPr>
                <w:sz w:val="20"/>
              </w:rPr>
              <w:t>Se consideran solamente las subpartidas correspondientes a remuneraciones pagados en la planilla a las personas funcionarias y trabajadoras, en total son 24 quincenas,</w:t>
            </w:r>
            <w:r>
              <w:rPr>
                <w:spacing w:val="-3"/>
                <w:sz w:val="20"/>
              </w:rPr>
              <w:t> </w:t>
            </w:r>
            <w:r>
              <w:rPr>
                <w:sz w:val="20"/>
              </w:rPr>
              <w:t>1</w:t>
            </w:r>
            <w:r>
              <w:rPr>
                <w:spacing w:val="-5"/>
                <w:sz w:val="20"/>
              </w:rPr>
              <w:t> </w:t>
            </w:r>
            <w:r>
              <w:rPr>
                <w:sz w:val="20"/>
              </w:rPr>
              <w:t>de</w:t>
            </w:r>
            <w:r>
              <w:rPr>
                <w:spacing w:val="-3"/>
                <w:sz w:val="20"/>
              </w:rPr>
              <w:t> </w:t>
            </w:r>
            <w:r>
              <w:rPr>
                <w:sz w:val="20"/>
              </w:rPr>
              <w:t>salario</w:t>
            </w:r>
            <w:r>
              <w:rPr>
                <w:spacing w:val="-4"/>
                <w:sz w:val="20"/>
              </w:rPr>
              <w:t> </w:t>
            </w:r>
            <w:r>
              <w:rPr>
                <w:sz w:val="20"/>
              </w:rPr>
              <w:t>escolar</w:t>
            </w:r>
            <w:r>
              <w:rPr>
                <w:spacing w:val="-5"/>
                <w:sz w:val="20"/>
              </w:rPr>
              <w:t> </w:t>
            </w:r>
            <w:r>
              <w:rPr>
                <w:sz w:val="20"/>
              </w:rPr>
              <w:t>y</w:t>
            </w:r>
            <w:r>
              <w:rPr>
                <w:spacing w:val="-3"/>
                <w:sz w:val="20"/>
              </w:rPr>
              <w:t> </w:t>
            </w:r>
            <w:r>
              <w:rPr>
                <w:sz w:val="20"/>
              </w:rPr>
              <w:t>1</w:t>
            </w:r>
            <w:r>
              <w:rPr>
                <w:spacing w:val="-3"/>
                <w:sz w:val="20"/>
              </w:rPr>
              <w:t> </w:t>
            </w:r>
            <w:r>
              <w:rPr>
                <w:sz w:val="20"/>
              </w:rPr>
              <w:t>de</w:t>
            </w:r>
            <w:r>
              <w:rPr>
                <w:spacing w:val="-4"/>
                <w:sz w:val="20"/>
              </w:rPr>
              <w:t> </w:t>
            </w:r>
            <w:r>
              <w:rPr>
                <w:sz w:val="20"/>
              </w:rPr>
              <w:t>aguinaldo.</w:t>
            </w:r>
            <w:r>
              <w:rPr>
                <w:spacing w:val="-3"/>
                <w:sz w:val="20"/>
              </w:rPr>
              <w:t> </w:t>
            </w:r>
            <w:r>
              <w:rPr>
                <w:sz w:val="20"/>
              </w:rPr>
              <w:t>Se</w:t>
            </w:r>
            <w:r>
              <w:rPr>
                <w:spacing w:val="-3"/>
                <w:sz w:val="20"/>
              </w:rPr>
              <w:t> </w:t>
            </w:r>
            <w:r>
              <w:rPr>
                <w:sz w:val="20"/>
              </w:rPr>
              <w:t>excluye</w:t>
            </w:r>
            <w:r>
              <w:rPr>
                <w:spacing w:val="-5"/>
                <w:sz w:val="20"/>
              </w:rPr>
              <w:t> </w:t>
            </w:r>
            <w:r>
              <w:rPr>
                <w:sz w:val="20"/>
              </w:rPr>
              <w:t>todas</w:t>
            </w:r>
            <w:r>
              <w:rPr>
                <w:spacing w:val="-4"/>
                <w:sz w:val="20"/>
              </w:rPr>
              <w:t> </w:t>
            </w:r>
            <w:r>
              <w:rPr>
                <w:sz w:val="20"/>
              </w:rPr>
              <w:t>las</w:t>
            </w:r>
            <w:r>
              <w:rPr>
                <w:spacing w:val="-4"/>
                <w:sz w:val="20"/>
              </w:rPr>
              <w:t> </w:t>
            </w:r>
            <w:r>
              <w:rPr>
                <w:sz w:val="20"/>
              </w:rPr>
              <w:t>subpartidas</w:t>
            </w:r>
          </w:p>
          <w:p>
            <w:pPr>
              <w:pStyle w:val="TableParagraph"/>
              <w:spacing w:line="230" w:lineRule="exact"/>
              <w:ind w:left="69"/>
              <w:rPr>
                <w:sz w:val="20"/>
              </w:rPr>
            </w:pPr>
            <w:r>
              <w:rPr>
                <w:sz w:val="20"/>
              </w:rPr>
              <w:t>correspondientes</w:t>
            </w:r>
            <w:r>
              <w:rPr>
                <w:spacing w:val="-4"/>
                <w:sz w:val="20"/>
              </w:rPr>
              <w:t> </w:t>
            </w:r>
            <w:r>
              <w:rPr>
                <w:sz w:val="20"/>
              </w:rPr>
              <w:t>a</w:t>
            </w:r>
            <w:r>
              <w:rPr>
                <w:spacing w:val="-5"/>
                <w:sz w:val="20"/>
              </w:rPr>
              <w:t> </w:t>
            </w:r>
            <w:r>
              <w:rPr>
                <w:sz w:val="20"/>
              </w:rPr>
              <w:t>la</w:t>
            </w:r>
            <w:r>
              <w:rPr>
                <w:spacing w:val="-7"/>
                <w:sz w:val="20"/>
              </w:rPr>
              <w:t> </w:t>
            </w:r>
            <w:r>
              <w:rPr>
                <w:sz w:val="20"/>
              </w:rPr>
              <w:t>subpartida</w:t>
            </w:r>
            <w:r>
              <w:rPr>
                <w:spacing w:val="-5"/>
                <w:sz w:val="20"/>
              </w:rPr>
              <w:t> </w:t>
            </w:r>
            <w:r>
              <w:rPr>
                <w:sz w:val="20"/>
              </w:rPr>
              <w:t>6</w:t>
            </w:r>
            <w:r>
              <w:rPr>
                <w:spacing w:val="-8"/>
                <w:sz w:val="20"/>
              </w:rPr>
              <w:t> </w:t>
            </w:r>
            <w:r>
              <w:rPr>
                <w:sz w:val="20"/>
              </w:rPr>
              <w:t>(indemnizaciones,</w:t>
            </w:r>
            <w:r>
              <w:rPr>
                <w:spacing w:val="-5"/>
                <w:sz w:val="20"/>
              </w:rPr>
              <w:t> </w:t>
            </w:r>
            <w:r>
              <w:rPr>
                <w:sz w:val="20"/>
              </w:rPr>
              <w:t>capacitaciones,</w:t>
            </w:r>
            <w:r>
              <w:rPr>
                <w:spacing w:val="-7"/>
                <w:sz w:val="20"/>
              </w:rPr>
              <w:t> </w:t>
            </w:r>
            <w:r>
              <w:rPr>
                <w:sz w:val="20"/>
              </w:rPr>
              <w:t>becas</w:t>
            </w:r>
            <w:r>
              <w:rPr>
                <w:spacing w:val="-4"/>
                <w:sz w:val="20"/>
              </w:rPr>
              <w:t> </w:t>
            </w:r>
            <w:r>
              <w:rPr>
                <w:sz w:val="20"/>
              </w:rPr>
              <w:t>a terceros, entre otros).</w:t>
            </w:r>
          </w:p>
        </w:tc>
      </w:tr>
      <w:tr>
        <w:trPr>
          <w:trHeight w:val="298" w:hRule="atLeast"/>
        </w:trPr>
        <w:tc>
          <w:tcPr>
            <w:tcW w:w="2972" w:type="dxa"/>
            <w:shd w:val="clear" w:color="auto" w:fill="DBE4F0"/>
          </w:tcPr>
          <w:p>
            <w:pPr>
              <w:pStyle w:val="TableParagraph"/>
              <w:spacing w:before="34"/>
              <w:ind w:left="67"/>
              <w:rPr>
                <w:b/>
                <w:sz w:val="20"/>
              </w:rPr>
            </w:pPr>
            <w:r>
              <w:rPr>
                <w:b/>
                <w:spacing w:val="-2"/>
                <w:sz w:val="20"/>
              </w:rPr>
              <w:t>Desagregación</w:t>
            </w:r>
          </w:p>
        </w:tc>
        <w:tc>
          <w:tcPr>
            <w:tcW w:w="7521" w:type="dxa"/>
          </w:tcPr>
          <w:p>
            <w:pPr>
              <w:pStyle w:val="TableParagraph"/>
              <w:spacing w:before="34"/>
              <w:ind w:left="69"/>
              <w:rPr>
                <w:sz w:val="20"/>
              </w:rPr>
            </w:pPr>
            <w:r>
              <w:rPr>
                <w:spacing w:val="-2"/>
                <w:sz w:val="20"/>
              </w:rPr>
              <w:t>Institucional</w:t>
            </w:r>
          </w:p>
        </w:tc>
      </w:tr>
      <w:tr>
        <w:trPr>
          <w:trHeight w:val="722" w:hRule="atLeast"/>
        </w:trPr>
        <w:tc>
          <w:tcPr>
            <w:tcW w:w="2972" w:type="dxa"/>
            <w:shd w:val="clear" w:color="auto" w:fill="DBE4F0"/>
          </w:tcPr>
          <w:p>
            <w:pPr>
              <w:pStyle w:val="TableParagraph"/>
              <w:spacing w:before="16"/>
              <w:rPr>
                <w:b/>
                <w:sz w:val="20"/>
              </w:rPr>
            </w:pPr>
          </w:p>
          <w:p>
            <w:pPr>
              <w:pStyle w:val="TableParagraph"/>
              <w:ind w:left="67"/>
              <w:rPr>
                <w:b/>
                <w:sz w:val="20"/>
              </w:rPr>
            </w:pPr>
            <w:r>
              <w:rPr>
                <w:b/>
                <w:spacing w:val="-2"/>
                <w:sz w:val="20"/>
              </w:rPr>
              <w:t>Meta:</w:t>
            </w:r>
          </w:p>
        </w:tc>
        <w:tc>
          <w:tcPr>
            <w:tcW w:w="7521" w:type="dxa"/>
          </w:tcPr>
          <w:p>
            <w:pPr>
              <w:pStyle w:val="TableParagraph"/>
              <w:spacing w:before="129"/>
              <w:rPr>
                <w:b/>
                <w:sz w:val="20"/>
              </w:rPr>
            </w:pPr>
          </w:p>
          <w:p>
            <w:pPr>
              <w:pStyle w:val="TableParagraph"/>
              <w:ind w:left="69"/>
              <w:rPr>
                <w:sz w:val="20"/>
              </w:rPr>
            </w:pPr>
            <w:r>
              <w:rPr>
                <w:sz w:val="20"/>
              </w:rPr>
              <w:t>2027=</w:t>
            </w:r>
            <w:r>
              <w:rPr>
                <w:spacing w:val="-6"/>
                <w:sz w:val="20"/>
              </w:rPr>
              <w:t> </w:t>
            </w:r>
            <w:r>
              <w:rPr>
                <w:sz w:val="20"/>
              </w:rPr>
              <w:t>planillas</w:t>
            </w:r>
            <w:r>
              <w:rPr>
                <w:spacing w:val="-7"/>
                <w:sz w:val="20"/>
              </w:rPr>
              <w:t> </w:t>
            </w:r>
            <w:r>
              <w:rPr>
                <w:sz w:val="20"/>
              </w:rPr>
              <w:t>aplicadas</w:t>
            </w:r>
            <w:r>
              <w:rPr>
                <w:spacing w:val="-7"/>
                <w:sz w:val="20"/>
              </w:rPr>
              <w:t> </w:t>
            </w:r>
            <w:r>
              <w:rPr>
                <w:sz w:val="20"/>
              </w:rPr>
              <w:t>en</w:t>
            </w:r>
            <w:r>
              <w:rPr>
                <w:spacing w:val="-8"/>
                <w:sz w:val="20"/>
              </w:rPr>
              <w:t> </w:t>
            </w:r>
            <w:r>
              <w:rPr>
                <w:sz w:val="20"/>
              </w:rPr>
              <w:t>total</w:t>
            </w:r>
            <w:r>
              <w:rPr>
                <w:spacing w:val="-7"/>
                <w:sz w:val="20"/>
              </w:rPr>
              <w:t> </w:t>
            </w:r>
            <w:r>
              <w:rPr>
                <w:sz w:val="20"/>
              </w:rPr>
              <w:t>26</w:t>
            </w:r>
            <w:r>
              <w:rPr>
                <w:spacing w:val="-9"/>
                <w:sz w:val="20"/>
              </w:rPr>
              <w:t> </w:t>
            </w:r>
            <w:r>
              <w:rPr>
                <w:spacing w:val="-2"/>
                <w:sz w:val="20"/>
              </w:rPr>
              <w:t>planillas</w:t>
            </w:r>
          </w:p>
        </w:tc>
      </w:tr>
      <w:tr>
        <w:trPr>
          <w:trHeight w:val="300" w:hRule="atLeast"/>
        </w:trPr>
        <w:tc>
          <w:tcPr>
            <w:tcW w:w="2972" w:type="dxa"/>
            <w:shd w:val="clear" w:color="auto" w:fill="DBE4F0"/>
          </w:tcPr>
          <w:p>
            <w:pPr>
              <w:pStyle w:val="TableParagraph"/>
              <w:spacing w:before="33"/>
              <w:ind w:left="67"/>
              <w:rPr>
                <w:b/>
                <w:sz w:val="20"/>
              </w:rPr>
            </w:pPr>
            <w:r>
              <w:rPr>
                <w:b/>
                <w:sz w:val="20"/>
              </w:rPr>
              <w:t>Línea</w:t>
            </w:r>
            <w:r>
              <w:rPr>
                <w:b/>
                <w:spacing w:val="-10"/>
                <w:sz w:val="20"/>
              </w:rPr>
              <w:t> </w:t>
            </w:r>
            <w:r>
              <w:rPr>
                <w:b/>
                <w:spacing w:val="-4"/>
                <w:sz w:val="20"/>
              </w:rPr>
              <w:t>Base</w:t>
            </w:r>
          </w:p>
        </w:tc>
        <w:tc>
          <w:tcPr>
            <w:tcW w:w="7521" w:type="dxa"/>
          </w:tcPr>
          <w:p>
            <w:pPr>
              <w:pStyle w:val="TableParagraph"/>
              <w:spacing w:before="33"/>
              <w:ind w:left="69"/>
              <w:rPr>
                <w:sz w:val="20"/>
              </w:rPr>
            </w:pPr>
            <w:r>
              <w:rPr>
                <w:sz w:val="20"/>
              </w:rPr>
              <w:t>26</w:t>
            </w:r>
            <w:r>
              <w:rPr>
                <w:spacing w:val="-6"/>
                <w:sz w:val="20"/>
              </w:rPr>
              <w:t> </w:t>
            </w:r>
            <w:r>
              <w:rPr>
                <w:spacing w:val="-2"/>
                <w:sz w:val="20"/>
              </w:rPr>
              <w:t>planillas</w:t>
            </w:r>
          </w:p>
        </w:tc>
      </w:tr>
      <w:tr>
        <w:trPr>
          <w:trHeight w:val="460" w:hRule="atLeast"/>
        </w:trPr>
        <w:tc>
          <w:tcPr>
            <w:tcW w:w="2972" w:type="dxa"/>
            <w:shd w:val="clear" w:color="auto" w:fill="DBE4F0"/>
          </w:tcPr>
          <w:p>
            <w:pPr>
              <w:pStyle w:val="TableParagraph"/>
              <w:spacing w:line="230" w:lineRule="exact"/>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21" w:type="dxa"/>
          </w:tcPr>
          <w:p>
            <w:pPr>
              <w:pStyle w:val="TableParagraph"/>
              <w:spacing w:before="114"/>
              <w:ind w:left="69"/>
              <w:rPr>
                <w:sz w:val="20"/>
              </w:rPr>
            </w:pPr>
            <w:r>
              <w:rPr>
                <w:spacing w:val="-2"/>
                <w:sz w:val="20"/>
              </w:rPr>
              <w:t>Trimestral</w:t>
            </w:r>
          </w:p>
        </w:tc>
      </w:tr>
      <w:tr>
        <w:trPr>
          <w:trHeight w:val="479" w:hRule="atLeast"/>
        </w:trPr>
        <w:tc>
          <w:tcPr>
            <w:tcW w:w="2972" w:type="dxa"/>
            <w:shd w:val="clear" w:color="auto" w:fill="DBE4F0"/>
          </w:tcPr>
          <w:p>
            <w:pPr>
              <w:pStyle w:val="TableParagraph"/>
              <w:spacing w:line="230" w:lineRule="atLeast"/>
              <w:ind w:left="67" w:right="510"/>
              <w:rPr>
                <w:b/>
                <w:sz w:val="20"/>
              </w:rPr>
            </w:pPr>
            <w:r>
              <w:rPr>
                <w:b/>
                <w:sz w:val="20"/>
              </w:rPr>
              <w:t>Responsable de la recopilación</w:t>
            </w:r>
            <w:r>
              <w:rPr>
                <w:b/>
                <w:spacing w:val="-14"/>
                <w:sz w:val="20"/>
              </w:rPr>
              <w:t> </w:t>
            </w:r>
            <w:r>
              <w:rPr>
                <w:b/>
                <w:sz w:val="20"/>
              </w:rPr>
              <w:t>información</w:t>
            </w:r>
          </w:p>
        </w:tc>
        <w:tc>
          <w:tcPr>
            <w:tcW w:w="7521" w:type="dxa"/>
          </w:tcPr>
          <w:p>
            <w:pPr>
              <w:pStyle w:val="TableParagraph"/>
              <w:spacing w:line="230" w:lineRule="atLeast"/>
              <w:ind w:left="69" w:right="2883"/>
              <w:rPr>
                <w:sz w:val="20"/>
              </w:rPr>
            </w:pPr>
            <w:r>
              <w:rPr>
                <w:sz w:val="20"/>
              </w:rPr>
              <w:t>Nombre</w:t>
            </w:r>
            <w:r>
              <w:rPr>
                <w:spacing w:val="-7"/>
                <w:sz w:val="20"/>
              </w:rPr>
              <w:t> </w:t>
            </w:r>
            <w:r>
              <w:rPr>
                <w:sz w:val="20"/>
              </w:rPr>
              <w:t>del</w:t>
            </w:r>
            <w:r>
              <w:rPr>
                <w:spacing w:val="-10"/>
                <w:sz w:val="20"/>
              </w:rPr>
              <w:t> </w:t>
            </w:r>
            <w:r>
              <w:rPr>
                <w:sz w:val="20"/>
              </w:rPr>
              <w:t>funcionario:</w:t>
            </w:r>
            <w:r>
              <w:rPr>
                <w:spacing w:val="-9"/>
                <w:sz w:val="20"/>
              </w:rPr>
              <w:t> </w:t>
            </w:r>
            <w:r>
              <w:rPr>
                <w:sz w:val="20"/>
              </w:rPr>
              <w:t>Miguel</w:t>
            </w:r>
            <w:r>
              <w:rPr>
                <w:spacing w:val="-10"/>
                <w:sz w:val="20"/>
              </w:rPr>
              <w:t> </w:t>
            </w:r>
            <w:r>
              <w:rPr>
                <w:sz w:val="20"/>
              </w:rPr>
              <w:t>Goñi</w:t>
            </w:r>
            <w:r>
              <w:rPr>
                <w:spacing w:val="-10"/>
                <w:sz w:val="20"/>
              </w:rPr>
              <w:t> </w:t>
            </w:r>
            <w:r>
              <w:rPr>
                <w:sz w:val="20"/>
              </w:rPr>
              <w:t>Cordero Cargo: Profesional Desarrollo Humano 3</w:t>
            </w:r>
          </w:p>
        </w:tc>
      </w:tr>
      <w:tr>
        <w:trPr>
          <w:trHeight w:val="479" w:hRule="atLeast"/>
        </w:trPr>
        <w:tc>
          <w:tcPr>
            <w:tcW w:w="2972" w:type="dxa"/>
            <w:shd w:val="clear" w:color="auto" w:fill="DBE4F0"/>
          </w:tcPr>
          <w:p>
            <w:pPr>
              <w:pStyle w:val="TableParagraph"/>
              <w:spacing w:line="230" w:lineRule="atLeast"/>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21" w:type="dxa"/>
          </w:tcPr>
          <w:p>
            <w:pPr>
              <w:pStyle w:val="TableParagraph"/>
              <w:spacing w:before="124"/>
              <w:ind w:left="69"/>
              <w:rPr>
                <w:sz w:val="20"/>
              </w:rPr>
            </w:pPr>
            <w:r>
              <w:rPr>
                <w:sz w:val="20"/>
              </w:rPr>
              <w:t>Desarrollo</w:t>
            </w:r>
            <w:r>
              <w:rPr>
                <w:spacing w:val="-12"/>
                <w:sz w:val="20"/>
              </w:rPr>
              <w:t> </w:t>
            </w:r>
            <w:r>
              <w:rPr>
                <w:spacing w:val="-2"/>
                <w:sz w:val="20"/>
              </w:rPr>
              <w:t>Humano</w:t>
            </w:r>
          </w:p>
        </w:tc>
      </w:tr>
      <w:tr>
        <w:trPr>
          <w:trHeight w:val="460" w:hRule="atLeast"/>
        </w:trPr>
        <w:tc>
          <w:tcPr>
            <w:tcW w:w="2972" w:type="dxa"/>
            <w:shd w:val="clear" w:color="auto" w:fill="DBE4F0"/>
          </w:tcPr>
          <w:p>
            <w:pPr>
              <w:pStyle w:val="TableParagraph"/>
              <w:spacing w:before="114"/>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21" w:type="dxa"/>
          </w:tcPr>
          <w:p>
            <w:pPr>
              <w:pStyle w:val="TableParagraph"/>
              <w:spacing w:line="230" w:lineRule="exact"/>
              <w:ind w:left="69"/>
              <w:rPr>
                <w:sz w:val="20"/>
              </w:rPr>
            </w:pPr>
            <w:r>
              <w:rPr>
                <w:sz w:val="20"/>
              </w:rPr>
              <w:t>Sistema</w:t>
            </w:r>
            <w:r>
              <w:rPr>
                <w:spacing w:val="-5"/>
                <w:sz w:val="20"/>
              </w:rPr>
              <w:t> </w:t>
            </w:r>
            <w:r>
              <w:rPr>
                <w:sz w:val="20"/>
              </w:rPr>
              <w:t>Informático</w:t>
            </w:r>
            <w:r>
              <w:rPr>
                <w:spacing w:val="-4"/>
                <w:sz w:val="20"/>
              </w:rPr>
              <w:t> </w:t>
            </w:r>
            <w:r>
              <w:rPr>
                <w:sz w:val="20"/>
              </w:rPr>
              <w:t>de</w:t>
            </w:r>
            <w:r>
              <w:rPr>
                <w:spacing w:val="-4"/>
                <w:sz w:val="20"/>
              </w:rPr>
              <w:t> </w:t>
            </w:r>
            <w:r>
              <w:rPr>
                <w:sz w:val="20"/>
              </w:rPr>
              <w:t>DH</w:t>
            </w:r>
            <w:r>
              <w:rPr>
                <w:spacing w:val="-3"/>
                <w:sz w:val="20"/>
              </w:rPr>
              <w:t> </w:t>
            </w:r>
            <w:r>
              <w:rPr>
                <w:sz w:val="20"/>
              </w:rPr>
              <w:t>y</w:t>
            </w:r>
            <w:r>
              <w:rPr>
                <w:spacing w:val="-4"/>
                <w:sz w:val="20"/>
              </w:rPr>
              <w:t> </w:t>
            </w:r>
            <w:r>
              <w:rPr>
                <w:sz w:val="20"/>
              </w:rPr>
              <w:t>en</w:t>
            </w:r>
            <w:r>
              <w:rPr>
                <w:spacing w:val="-6"/>
                <w:sz w:val="20"/>
              </w:rPr>
              <w:t> </w:t>
            </w:r>
            <w:r>
              <w:rPr>
                <w:sz w:val="20"/>
              </w:rPr>
              <w:t>SAP,</w:t>
            </w:r>
            <w:r>
              <w:rPr>
                <w:spacing w:val="-5"/>
                <w:sz w:val="20"/>
              </w:rPr>
              <w:t> </w:t>
            </w:r>
            <w:r>
              <w:rPr>
                <w:sz w:val="20"/>
              </w:rPr>
              <w:t>Generación</w:t>
            </w:r>
            <w:r>
              <w:rPr>
                <w:spacing w:val="-5"/>
                <w:sz w:val="20"/>
              </w:rPr>
              <w:t> </w:t>
            </w:r>
            <w:r>
              <w:rPr>
                <w:sz w:val="20"/>
              </w:rPr>
              <w:t>de</w:t>
            </w:r>
            <w:r>
              <w:rPr>
                <w:spacing w:val="-4"/>
                <w:sz w:val="20"/>
              </w:rPr>
              <w:t> </w:t>
            </w:r>
            <w:r>
              <w:rPr>
                <w:sz w:val="20"/>
              </w:rPr>
              <w:t>informes</w:t>
            </w:r>
            <w:r>
              <w:rPr>
                <w:spacing w:val="-4"/>
                <w:sz w:val="20"/>
              </w:rPr>
              <w:t> </w:t>
            </w:r>
            <w:r>
              <w:rPr>
                <w:sz w:val="20"/>
              </w:rPr>
              <w:t>y</w:t>
            </w:r>
            <w:r>
              <w:rPr>
                <w:spacing w:val="-4"/>
                <w:sz w:val="20"/>
              </w:rPr>
              <w:t> </w:t>
            </w:r>
            <w:r>
              <w:rPr>
                <w:sz w:val="20"/>
              </w:rPr>
              <w:t>registros presupuestarios de los egresos totales</w:t>
            </w:r>
          </w:p>
        </w:tc>
      </w:tr>
      <w:tr>
        <w:trPr>
          <w:trHeight w:val="479" w:hRule="atLeast"/>
        </w:trPr>
        <w:tc>
          <w:tcPr>
            <w:tcW w:w="2972" w:type="dxa"/>
            <w:shd w:val="clear" w:color="auto" w:fill="DBE4F0"/>
          </w:tcPr>
          <w:p>
            <w:pPr>
              <w:pStyle w:val="TableParagraph"/>
              <w:spacing w:before="124"/>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21" w:type="dxa"/>
          </w:tcPr>
          <w:p>
            <w:pPr>
              <w:pStyle w:val="TableParagraph"/>
              <w:spacing w:line="230" w:lineRule="atLeast"/>
              <w:ind w:left="69" w:right="41"/>
              <w:rPr>
                <w:sz w:val="20"/>
              </w:rPr>
            </w:pPr>
            <w:r>
              <w:rPr>
                <w:sz w:val="20"/>
              </w:rPr>
              <w:t>Resumen</w:t>
            </w:r>
            <w:r>
              <w:rPr>
                <w:spacing w:val="-5"/>
                <w:sz w:val="20"/>
              </w:rPr>
              <w:t> </w:t>
            </w:r>
            <w:r>
              <w:rPr>
                <w:sz w:val="20"/>
              </w:rPr>
              <w:t>de</w:t>
            </w:r>
            <w:r>
              <w:rPr>
                <w:spacing w:val="-5"/>
                <w:sz w:val="20"/>
              </w:rPr>
              <w:t> </w:t>
            </w:r>
            <w:r>
              <w:rPr>
                <w:sz w:val="20"/>
              </w:rPr>
              <w:t>salarios</w:t>
            </w:r>
            <w:r>
              <w:rPr>
                <w:spacing w:val="-4"/>
                <w:sz w:val="20"/>
              </w:rPr>
              <w:t> </w:t>
            </w:r>
            <w:r>
              <w:rPr>
                <w:sz w:val="20"/>
              </w:rPr>
              <w:t>y</w:t>
            </w:r>
            <w:r>
              <w:rPr>
                <w:spacing w:val="-4"/>
                <w:sz w:val="20"/>
              </w:rPr>
              <w:t> </w:t>
            </w:r>
            <w:r>
              <w:rPr>
                <w:sz w:val="20"/>
              </w:rPr>
              <w:t>devengados</w:t>
            </w:r>
            <w:r>
              <w:rPr>
                <w:spacing w:val="-4"/>
                <w:sz w:val="20"/>
              </w:rPr>
              <w:t> </w:t>
            </w:r>
            <w:r>
              <w:rPr>
                <w:sz w:val="20"/>
              </w:rPr>
              <w:t>mensuales</w:t>
            </w:r>
            <w:r>
              <w:rPr>
                <w:spacing w:val="-4"/>
                <w:sz w:val="20"/>
              </w:rPr>
              <w:t> </w:t>
            </w:r>
            <w:r>
              <w:rPr>
                <w:sz w:val="20"/>
              </w:rPr>
              <w:t>que</w:t>
            </w:r>
            <w:r>
              <w:rPr>
                <w:spacing w:val="-6"/>
                <w:sz w:val="20"/>
              </w:rPr>
              <w:t> </w:t>
            </w:r>
            <w:r>
              <w:rPr>
                <w:sz w:val="20"/>
              </w:rPr>
              <w:t>se</w:t>
            </w:r>
            <w:r>
              <w:rPr>
                <w:spacing w:val="-3"/>
                <w:sz w:val="20"/>
              </w:rPr>
              <w:t> </w:t>
            </w:r>
            <w:r>
              <w:rPr>
                <w:sz w:val="20"/>
              </w:rPr>
              <w:t>generan</w:t>
            </w:r>
            <w:r>
              <w:rPr>
                <w:spacing w:val="-3"/>
                <w:sz w:val="20"/>
              </w:rPr>
              <w:t> </w:t>
            </w:r>
            <w:r>
              <w:rPr>
                <w:sz w:val="20"/>
              </w:rPr>
              <w:t>del</w:t>
            </w:r>
            <w:r>
              <w:rPr>
                <w:spacing w:val="-4"/>
                <w:sz w:val="20"/>
              </w:rPr>
              <w:t> </w:t>
            </w:r>
            <w:r>
              <w:rPr>
                <w:sz w:val="20"/>
              </w:rPr>
              <w:t>Sistema</w:t>
            </w:r>
            <w:r>
              <w:rPr>
                <w:spacing w:val="-5"/>
                <w:sz w:val="20"/>
              </w:rPr>
              <w:t> </w:t>
            </w:r>
            <w:r>
              <w:rPr>
                <w:sz w:val="20"/>
              </w:rPr>
              <w:t>de</w:t>
            </w:r>
            <w:r>
              <w:rPr>
                <w:spacing w:val="-3"/>
                <w:sz w:val="20"/>
              </w:rPr>
              <w:t> </w:t>
            </w:r>
            <w:r>
              <w:rPr>
                <w:sz w:val="20"/>
              </w:rPr>
              <w:t>DH y del sistema SAP se generan reportes del presupuesto anual</w:t>
            </w:r>
          </w:p>
        </w:tc>
      </w:tr>
      <w:tr>
        <w:trPr>
          <w:trHeight w:val="479" w:hRule="atLeast"/>
        </w:trPr>
        <w:tc>
          <w:tcPr>
            <w:tcW w:w="2972" w:type="dxa"/>
            <w:shd w:val="clear" w:color="auto" w:fill="DBE4F0"/>
          </w:tcPr>
          <w:p>
            <w:pPr>
              <w:pStyle w:val="TableParagraph"/>
              <w:spacing w:before="124"/>
              <w:ind w:left="67"/>
              <w:rPr>
                <w:b/>
                <w:sz w:val="20"/>
              </w:rPr>
            </w:pPr>
            <w:r>
              <w:rPr>
                <w:b/>
                <w:spacing w:val="-2"/>
                <w:sz w:val="20"/>
              </w:rPr>
              <w:t>Clasificación</w:t>
            </w:r>
          </w:p>
        </w:tc>
        <w:tc>
          <w:tcPr>
            <w:tcW w:w="7521" w:type="dxa"/>
          </w:tcPr>
          <w:p>
            <w:pPr>
              <w:pStyle w:val="TableParagraph"/>
              <w:spacing w:before="124"/>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299" w:hRule="atLeast"/>
        </w:trPr>
        <w:tc>
          <w:tcPr>
            <w:tcW w:w="2972" w:type="dxa"/>
            <w:shd w:val="clear" w:color="auto" w:fill="DCE6F0"/>
          </w:tcPr>
          <w:p>
            <w:pPr>
              <w:pStyle w:val="TableParagraph"/>
              <w:spacing w:before="35"/>
              <w:ind w:left="67"/>
              <w:rPr>
                <w:b/>
                <w:sz w:val="20"/>
              </w:rPr>
            </w:pPr>
            <w:r>
              <w:rPr>
                <w:b/>
                <w:spacing w:val="-2"/>
                <w:sz w:val="20"/>
              </w:rPr>
              <w:t>Comentarios</w:t>
            </w:r>
            <w:r>
              <w:rPr>
                <w:b/>
                <w:spacing w:val="6"/>
                <w:sz w:val="20"/>
              </w:rPr>
              <w:t> </w:t>
            </w:r>
            <w:r>
              <w:rPr>
                <w:b/>
                <w:spacing w:val="-2"/>
                <w:sz w:val="20"/>
              </w:rPr>
              <w:t>Generales</w:t>
            </w:r>
          </w:p>
        </w:tc>
        <w:tc>
          <w:tcPr>
            <w:tcW w:w="7521" w:type="dxa"/>
          </w:tcPr>
          <w:p>
            <w:pPr>
              <w:pStyle w:val="TableParagraph"/>
              <w:rPr>
                <w:rFonts w:ascii="Times New Roman"/>
                <w:sz w:val="20"/>
              </w:rPr>
            </w:pPr>
          </w:p>
        </w:tc>
      </w:tr>
    </w:tbl>
    <w:p>
      <w:pPr>
        <w:spacing w:before="237"/>
        <w:ind w:left="840" w:right="0" w:firstLine="0"/>
        <w:jc w:val="left"/>
        <w:rPr>
          <w:b/>
          <w:sz w:val="24"/>
        </w:rPr>
      </w:pPr>
      <w:r>
        <w:rPr>
          <w:b/>
          <w:sz w:val="24"/>
        </w:rPr>
        <w:t>Tecnologías</w:t>
      </w:r>
      <w:r>
        <w:rPr>
          <w:b/>
          <w:spacing w:val="-5"/>
          <w:sz w:val="24"/>
        </w:rPr>
        <w:t> </w:t>
      </w:r>
      <w:r>
        <w:rPr>
          <w:b/>
          <w:sz w:val="24"/>
        </w:rPr>
        <w:t>de</w:t>
      </w:r>
      <w:r>
        <w:rPr>
          <w:b/>
          <w:spacing w:val="-5"/>
          <w:sz w:val="24"/>
        </w:rPr>
        <w:t> </w:t>
      </w:r>
      <w:r>
        <w:rPr>
          <w:b/>
          <w:spacing w:val="-2"/>
          <w:sz w:val="24"/>
        </w:rPr>
        <w:t>Información</w:t>
      </w:r>
    </w:p>
    <w:p>
      <w:pPr>
        <w:pStyle w:val="BodyText"/>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4"/>
        <w:gridCol w:w="7518"/>
      </w:tblGrid>
      <w:tr>
        <w:trPr>
          <w:trHeight w:val="853" w:hRule="atLeast"/>
        </w:trPr>
        <w:tc>
          <w:tcPr>
            <w:tcW w:w="2974" w:type="dxa"/>
            <w:shd w:val="clear" w:color="auto" w:fill="DBE4F0"/>
          </w:tcPr>
          <w:p>
            <w:pPr>
              <w:pStyle w:val="TableParagraph"/>
              <w:spacing w:before="81"/>
              <w:rPr>
                <w:b/>
                <w:sz w:val="20"/>
              </w:rPr>
            </w:pPr>
          </w:p>
          <w:p>
            <w:pPr>
              <w:pStyle w:val="TableParagraph"/>
              <w:ind w:left="67"/>
              <w:rPr>
                <w:b/>
                <w:sz w:val="20"/>
              </w:rPr>
            </w:pPr>
            <w:r>
              <w:rPr>
                <w:b/>
                <w:sz w:val="20"/>
              </w:rPr>
              <w:t>PAC</w:t>
            </w:r>
            <w:r>
              <w:rPr>
                <w:b/>
                <w:spacing w:val="-8"/>
                <w:sz w:val="20"/>
              </w:rPr>
              <w:t> </w:t>
            </w:r>
            <w:r>
              <w:rPr>
                <w:b/>
                <w:spacing w:val="-2"/>
                <w:sz w:val="20"/>
              </w:rPr>
              <w:t>2.4.1</w:t>
            </w:r>
          </w:p>
        </w:tc>
        <w:tc>
          <w:tcPr>
            <w:tcW w:w="7518" w:type="dxa"/>
          </w:tcPr>
          <w:p>
            <w:pPr>
              <w:pStyle w:val="TableParagraph"/>
              <w:spacing w:before="81"/>
              <w:ind w:left="69" w:right="172"/>
              <w:rPr>
                <w:sz w:val="20"/>
              </w:rPr>
            </w:pPr>
            <w:r>
              <w:rPr>
                <w:sz w:val="20"/>
              </w:rPr>
              <w:t>Nombre</w:t>
            </w:r>
            <w:r>
              <w:rPr>
                <w:spacing w:val="-5"/>
                <w:sz w:val="20"/>
              </w:rPr>
              <w:t> </w:t>
            </w:r>
            <w:r>
              <w:rPr>
                <w:sz w:val="20"/>
              </w:rPr>
              <w:t>del</w:t>
            </w:r>
            <w:r>
              <w:rPr>
                <w:spacing w:val="-7"/>
                <w:sz w:val="20"/>
              </w:rPr>
              <w:t> </w:t>
            </w:r>
            <w:r>
              <w:rPr>
                <w:sz w:val="20"/>
              </w:rPr>
              <w:t>Indicador:</w:t>
            </w:r>
            <w:r>
              <w:rPr>
                <w:spacing w:val="-5"/>
                <w:sz w:val="20"/>
              </w:rPr>
              <w:t> </w:t>
            </w:r>
            <w:r>
              <w:rPr>
                <w:sz w:val="20"/>
              </w:rPr>
              <w:t>Porcentaje</w:t>
            </w:r>
            <w:r>
              <w:rPr>
                <w:spacing w:val="-5"/>
                <w:sz w:val="20"/>
              </w:rPr>
              <w:t> </w:t>
            </w:r>
            <w:r>
              <w:rPr>
                <w:sz w:val="20"/>
              </w:rPr>
              <w:t>de</w:t>
            </w:r>
            <w:r>
              <w:rPr>
                <w:spacing w:val="-7"/>
                <w:sz w:val="20"/>
              </w:rPr>
              <w:t> </w:t>
            </w:r>
            <w:r>
              <w:rPr>
                <w:sz w:val="20"/>
              </w:rPr>
              <w:t>gestiones</w:t>
            </w:r>
            <w:r>
              <w:rPr>
                <w:spacing w:val="-6"/>
                <w:sz w:val="20"/>
              </w:rPr>
              <w:t> </w:t>
            </w:r>
            <w:r>
              <w:rPr>
                <w:sz w:val="20"/>
              </w:rPr>
              <w:t>de</w:t>
            </w:r>
            <w:r>
              <w:rPr>
                <w:spacing w:val="-7"/>
                <w:sz w:val="20"/>
              </w:rPr>
              <w:t> </w:t>
            </w:r>
            <w:r>
              <w:rPr>
                <w:sz w:val="20"/>
              </w:rPr>
              <w:t>las</w:t>
            </w:r>
            <w:r>
              <w:rPr>
                <w:spacing w:val="-4"/>
                <w:sz w:val="20"/>
              </w:rPr>
              <w:t> </w:t>
            </w:r>
            <w:r>
              <w:rPr>
                <w:sz w:val="20"/>
              </w:rPr>
              <w:t>solicitudes</w:t>
            </w:r>
            <w:r>
              <w:rPr>
                <w:spacing w:val="-4"/>
                <w:sz w:val="20"/>
              </w:rPr>
              <w:t> </w:t>
            </w:r>
            <w:r>
              <w:rPr>
                <w:sz w:val="20"/>
              </w:rPr>
              <w:t>efectuadas</w:t>
            </w:r>
            <w:r>
              <w:rPr>
                <w:spacing w:val="-4"/>
                <w:sz w:val="20"/>
              </w:rPr>
              <w:t> </w:t>
            </w:r>
            <w:r>
              <w:rPr>
                <w:sz w:val="20"/>
              </w:rPr>
              <w:t>por las dependencias para el mantenimiento y reparación de equipo de cómputo, sistemas de información.</w:t>
            </w:r>
          </w:p>
        </w:tc>
      </w:tr>
      <w:tr>
        <w:trPr>
          <w:trHeight w:val="577" w:hRule="atLeast"/>
        </w:trPr>
        <w:tc>
          <w:tcPr>
            <w:tcW w:w="2974" w:type="dxa"/>
            <w:shd w:val="clear" w:color="auto" w:fill="DBE4F0"/>
          </w:tcPr>
          <w:p>
            <w:pPr>
              <w:pStyle w:val="TableParagraph"/>
              <w:spacing w:before="174"/>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8" w:type="dxa"/>
          </w:tcPr>
          <w:p>
            <w:pPr>
              <w:pStyle w:val="TableParagraph"/>
              <w:spacing w:before="174"/>
              <w:ind w:left="69"/>
              <w:rPr>
                <w:sz w:val="20"/>
              </w:rPr>
            </w:pPr>
            <w:r>
              <w:rPr>
                <w:sz w:val="20"/>
              </w:rPr>
              <w:t>(Total</w:t>
            </w:r>
            <w:r>
              <w:rPr>
                <w:spacing w:val="-9"/>
                <w:sz w:val="20"/>
              </w:rPr>
              <w:t> </w:t>
            </w:r>
            <w:r>
              <w:rPr>
                <w:sz w:val="20"/>
              </w:rPr>
              <w:t>de</w:t>
            </w:r>
            <w:r>
              <w:rPr>
                <w:spacing w:val="-10"/>
                <w:sz w:val="20"/>
              </w:rPr>
              <w:t> </w:t>
            </w:r>
            <w:r>
              <w:rPr>
                <w:sz w:val="20"/>
              </w:rPr>
              <w:t>solicitudes</w:t>
            </w:r>
            <w:r>
              <w:rPr>
                <w:spacing w:val="-6"/>
                <w:sz w:val="20"/>
              </w:rPr>
              <w:t> </w:t>
            </w:r>
            <w:r>
              <w:rPr>
                <w:sz w:val="20"/>
              </w:rPr>
              <w:t>efectuadas</w:t>
            </w:r>
            <w:r>
              <w:rPr>
                <w:spacing w:val="-8"/>
                <w:sz w:val="20"/>
              </w:rPr>
              <w:t> </w:t>
            </w:r>
            <w:r>
              <w:rPr>
                <w:sz w:val="20"/>
              </w:rPr>
              <w:t>/</w:t>
            </w:r>
            <w:r>
              <w:rPr>
                <w:spacing w:val="-10"/>
                <w:sz w:val="20"/>
              </w:rPr>
              <w:t> </w:t>
            </w:r>
            <w:r>
              <w:rPr>
                <w:sz w:val="20"/>
              </w:rPr>
              <w:t>Total</w:t>
            </w:r>
            <w:r>
              <w:rPr>
                <w:spacing w:val="-8"/>
                <w:sz w:val="20"/>
              </w:rPr>
              <w:t> </w:t>
            </w:r>
            <w:r>
              <w:rPr>
                <w:sz w:val="20"/>
              </w:rPr>
              <w:t>de</w:t>
            </w:r>
            <w:r>
              <w:rPr>
                <w:spacing w:val="-10"/>
                <w:sz w:val="20"/>
              </w:rPr>
              <w:t> </w:t>
            </w:r>
            <w:r>
              <w:rPr>
                <w:sz w:val="20"/>
              </w:rPr>
              <w:t>solicitudes</w:t>
            </w:r>
            <w:r>
              <w:rPr>
                <w:spacing w:val="-8"/>
                <w:sz w:val="20"/>
              </w:rPr>
              <w:t> </w:t>
            </w:r>
            <w:r>
              <w:rPr>
                <w:sz w:val="20"/>
              </w:rPr>
              <w:t>recibidas)</w:t>
            </w:r>
            <w:r>
              <w:rPr>
                <w:spacing w:val="-8"/>
                <w:sz w:val="20"/>
              </w:rPr>
              <w:t> </w:t>
            </w:r>
            <w:r>
              <w:rPr>
                <w:spacing w:val="-4"/>
                <w:sz w:val="20"/>
              </w:rPr>
              <w:t>*100</w:t>
            </w:r>
          </w:p>
        </w:tc>
      </w:tr>
      <w:tr>
        <w:trPr>
          <w:trHeight w:val="570" w:hRule="atLeast"/>
        </w:trPr>
        <w:tc>
          <w:tcPr>
            <w:tcW w:w="2974" w:type="dxa"/>
            <w:shd w:val="clear" w:color="auto" w:fill="DBE4F0"/>
          </w:tcPr>
          <w:p>
            <w:pPr>
              <w:pStyle w:val="TableParagraph"/>
              <w:spacing w:before="170"/>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8" w:type="dxa"/>
          </w:tcPr>
          <w:p>
            <w:pPr>
              <w:pStyle w:val="TableParagraph"/>
              <w:spacing w:before="170"/>
              <w:ind w:left="69"/>
              <w:rPr>
                <w:sz w:val="20"/>
              </w:rPr>
            </w:pPr>
            <w:r>
              <w:rPr>
                <w:spacing w:val="-2"/>
                <w:sz w:val="20"/>
              </w:rPr>
              <w:t>Porcentaje</w:t>
            </w:r>
          </w:p>
        </w:tc>
      </w:tr>
      <w:tr>
        <w:trPr>
          <w:trHeight w:val="823" w:hRule="atLeast"/>
        </w:trPr>
        <w:tc>
          <w:tcPr>
            <w:tcW w:w="2974" w:type="dxa"/>
            <w:shd w:val="clear" w:color="auto" w:fill="DBE4F0"/>
          </w:tcPr>
          <w:p>
            <w:pPr>
              <w:pStyle w:val="TableParagraph"/>
              <w:spacing w:before="67"/>
              <w:rPr>
                <w:b/>
                <w:sz w:val="20"/>
              </w:rPr>
            </w:pPr>
          </w:p>
          <w:p>
            <w:pPr>
              <w:pStyle w:val="TableParagraph"/>
              <w:ind w:left="67"/>
              <w:rPr>
                <w:b/>
                <w:sz w:val="20"/>
              </w:rPr>
            </w:pPr>
            <w:r>
              <w:rPr>
                <w:b/>
                <w:spacing w:val="-2"/>
                <w:sz w:val="20"/>
              </w:rPr>
              <w:t>Interpretación:</w:t>
            </w:r>
          </w:p>
        </w:tc>
        <w:tc>
          <w:tcPr>
            <w:tcW w:w="7518" w:type="dxa"/>
          </w:tcPr>
          <w:p>
            <w:pPr>
              <w:pStyle w:val="TableParagraph"/>
              <w:spacing w:before="66"/>
              <w:ind w:left="69" w:right="172"/>
              <w:rPr>
                <w:sz w:val="20"/>
              </w:rPr>
            </w:pPr>
            <w:r>
              <w:rPr>
                <w:sz w:val="20"/>
              </w:rPr>
              <w:t>Su</w:t>
            </w:r>
            <w:r>
              <w:rPr>
                <w:spacing w:val="-5"/>
                <w:sz w:val="20"/>
              </w:rPr>
              <w:t> </w:t>
            </w:r>
            <w:r>
              <w:rPr>
                <w:sz w:val="20"/>
              </w:rPr>
              <w:t>resultado</w:t>
            </w:r>
            <w:r>
              <w:rPr>
                <w:spacing w:val="-6"/>
                <w:sz w:val="20"/>
              </w:rPr>
              <w:t> </w:t>
            </w:r>
            <w:r>
              <w:rPr>
                <w:sz w:val="20"/>
              </w:rPr>
              <w:t>es</w:t>
            </w:r>
            <w:r>
              <w:rPr>
                <w:spacing w:val="-2"/>
                <w:sz w:val="20"/>
              </w:rPr>
              <w:t> </w:t>
            </w:r>
            <w:r>
              <w:rPr>
                <w:sz w:val="20"/>
              </w:rPr>
              <w:t>la</w:t>
            </w:r>
            <w:r>
              <w:rPr>
                <w:spacing w:val="-3"/>
                <w:sz w:val="20"/>
              </w:rPr>
              <w:t> </w:t>
            </w:r>
            <w:r>
              <w:rPr>
                <w:sz w:val="20"/>
              </w:rPr>
              <w:t>derivación</w:t>
            </w:r>
            <w:r>
              <w:rPr>
                <w:spacing w:val="-6"/>
                <w:sz w:val="20"/>
              </w:rPr>
              <w:t> </w:t>
            </w:r>
            <w:r>
              <w:rPr>
                <w:sz w:val="20"/>
              </w:rPr>
              <w:t>de</w:t>
            </w:r>
            <w:r>
              <w:rPr>
                <w:spacing w:val="-5"/>
                <w:sz w:val="20"/>
              </w:rPr>
              <w:t> </w:t>
            </w:r>
            <w:r>
              <w:rPr>
                <w:sz w:val="20"/>
              </w:rPr>
              <w:t>la</w:t>
            </w:r>
            <w:r>
              <w:rPr>
                <w:spacing w:val="-5"/>
                <w:sz w:val="20"/>
              </w:rPr>
              <w:t> </w:t>
            </w:r>
            <w:r>
              <w:rPr>
                <w:sz w:val="20"/>
              </w:rPr>
              <w:t>relación</w:t>
            </w:r>
            <w:r>
              <w:rPr>
                <w:spacing w:val="-5"/>
                <w:sz w:val="20"/>
              </w:rPr>
              <w:t> </w:t>
            </w:r>
            <w:r>
              <w:rPr>
                <w:sz w:val="20"/>
              </w:rPr>
              <w:t>de</w:t>
            </w:r>
            <w:r>
              <w:rPr>
                <w:spacing w:val="-3"/>
                <w:sz w:val="20"/>
              </w:rPr>
              <w:t> </w:t>
            </w:r>
            <w:r>
              <w:rPr>
                <w:sz w:val="20"/>
              </w:rPr>
              <w:t>la</w:t>
            </w:r>
            <w:r>
              <w:rPr>
                <w:spacing w:val="-3"/>
                <w:sz w:val="20"/>
              </w:rPr>
              <w:t> </w:t>
            </w:r>
            <w:r>
              <w:rPr>
                <w:sz w:val="20"/>
              </w:rPr>
              <w:t>cantidad</w:t>
            </w:r>
            <w:r>
              <w:rPr>
                <w:spacing w:val="-3"/>
                <w:sz w:val="20"/>
              </w:rPr>
              <w:t> </w:t>
            </w:r>
            <w:r>
              <w:rPr>
                <w:sz w:val="20"/>
              </w:rPr>
              <w:t>de</w:t>
            </w:r>
            <w:r>
              <w:rPr>
                <w:spacing w:val="-6"/>
                <w:sz w:val="20"/>
              </w:rPr>
              <w:t> </w:t>
            </w:r>
            <w:r>
              <w:rPr>
                <w:sz w:val="20"/>
              </w:rPr>
              <w:t>solicitudes</w:t>
            </w:r>
            <w:r>
              <w:rPr>
                <w:spacing w:val="-2"/>
                <w:sz w:val="20"/>
              </w:rPr>
              <w:t> </w:t>
            </w:r>
            <w:r>
              <w:rPr>
                <w:sz w:val="20"/>
              </w:rPr>
              <w:t>que ejecuta o procesa TI versus la cantidad de solicitudes provenientes de las unidades expresado como relación porcentual.</w:t>
            </w:r>
          </w:p>
        </w:tc>
      </w:tr>
      <w:tr>
        <w:trPr>
          <w:trHeight w:val="601" w:hRule="atLeast"/>
        </w:trPr>
        <w:tc>
          <w:tcPr>
            <w:tcW w:w="2974" w:type="dxa"/>
            <w:shd w:val="clear" w:color="auto" w:fill="DBE4F0"/>
          </w:tcPr>
          <w:p>
            <w:pPr>
              <w:pStyle w:val="TableParagraph"/>
              <w:spacing w:before="184"/>
              <w:ind w:left="67"/>
              <w:rPr>
                <w:b/>
                <w:sz w:val="20"/>
              </w:rPr>
            </w:pPr>
            <w:r>
              <w:rPr>
                <w:b/>
                <w:spacing w:val="-2"/>
                <w:sz w:val="20"/>
              </w:rPr>
              <w:t>Desagregación</w:t>
            </w:r>
          </w:p>
        </w:tc>
        <w:tc>
          <w:tcPr>
            <w:tcW w:w="7518" w:type="dxa"/>
          </w:tcPr>
          <w:p>
            <w:pPr>
              <w:pStyle w:val="TableParagraph"/>
              <w:spacing w:before="184"/>
              <w:ind w:left="69"/>
              <w:rPr>
                <w:sz w:val="20"/>
              </w:rPr>
            </w:pPr>
            <w:r>
              <w:rPr>
                <w:spacing w:val="-2"/>
                <w:sz w:val="20"/>
              </w:rPr>
              <w:t>Regional</w:t>
            </w:r>
          </w:p>
        </w:tc>
      </w:tr>
    </w:tbl>
    <w:p>
      <w:pPr>
        <w:pStyle w:val="TableParagraph"/>
        <w:spacing w:after="0"/>
        <w:rPr>
          <w:sz w:val="20"/>
        </w:rPr>
        <w:sectPr>
          <w:pgSz w:w="12240" w:h="15840"/>
          <w:pgMar w:header="0" w:footer="2404" w:top="1820" w:bottom="2863"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4"/>
        <w:gridCol w:w="7518"/>
      </w:tblGrid>
      <w:tr>
        <w:trPr>
          <w:trHeight w:val="434" w:hRule="atLeast"/>
        </w:trPr>
        <w:tc>
          <w:tcPr>
            <w:tcW w:w="2974" w:type="dxa"/>
            <w:shd w:val="clear" w:color="auto" w:fill="DBE4F0"/>
          </w:tcPr>
          <w:p>
            <w:pPr>
              <w:pStyle w:val="TableParagraph"/>
              <w:spacing w:before="103"/>
              <w:ind w:left="67"/>
              <w:rPr>
                <w:b/>
                <w:sz w:val="20"/>
              </w:rPr>
            </w:pPr>
            <w:r>
              <w:rPr>
                <w:b/>
                <w:spacing w:val="-2"/>
                <w:sz w:val="20"/>
              </w:rPr>
              <w:t>Meta:</w:t>
            </w:r>
          </w:p>
        </w:tc>
        <w:tc>
          <w:tcPr>
            <w:tcW w:w="7518" w:type="dxa"/>
          </w:tcPr>
          <w:p>
            <w:pPr>
              <w:pStyle w:val="TableParagraph"/>
              <w:spacing w:before="103"/>
              <w:ind w:left="69"/>
              <w:rPr>
                <w:sz w:val="20"/>
              </w:rPr>
            </w:pPr>
            <w:r>
              <w:rPr>
                <w:spacing w:val="-4"/>
                <w:sz w:val="20"/>
              </w:rPr>
              <w:t>100%</w:t>
            </w:r>
          </w:p>
        </w:tc>
      </w:tr>
      <w:tr>
        <w:trPr>
          <w:trHeight w:val="316" w:hRule="atLeast"/>
        </w:trPr>
        <w:tc>
          <w:tcPr>
            <w:tcW w:w="2974" w:type="dxa"/>
            <w:shd w:val="clear" w:color="auto" w:fill="DBE4F0"/>
          </w:tcPr>
          <w:p>
            <w:pPr>
              <w:pStyle w:val="TableParagraph"/>
              <w:spacing w:before="42"/>
              <w:ind w:left="67"/>
              <w:rPr>
                <w:b/>
                <w:sz w:val="20"/>
              </w:rPr>
            </w:pPr>
            <w:r>
              <w:rPr>
                <w:b/>
                <w:sz w:val="20"/>
              </w:rPr>
              <w:t>Línea</w:t>
            </w:r>
            <w:r>
              <w:rPr>
                <w:b/>
                <w:spacing w:val="-10"/>
                <w:sz w:val="20"/>
              </w:rPr>
              <w:t> </w:t>
            </w:r>
            <w:r>
              <w:rPr>
                <w:b/>
                <w:spacing w:val="-4"/>
                <w:sz w:val="20"/>
              </w:rPr>
              <w:t>Base</w:t>
            </w:r>
          </w:p>
        </w:tc>
        <w:tc>
          <w:tcPr>
            <w:tcW w:w="7518" w:type="dxa"/>
          </w:tcPr>
          <w:p>
            <w:pPr>
              <w:pStyle w:val="TableParagraph"/>
              <w:spacing w:before="42"/>
              <w:ind w:left="69"/>
              <w:rPr>
                <w:sz w:val="20"/>
              </w:rPr>
            </w:pPr>
            <w:r>
              <w:rPr>
                <w:spacing w:val="-10"/>
                <w:sz w:val="20"/>
              </w:rPr>
              <w:t>-</w:t>
            </w:r>
          </w:p>
        </w:tc>
      </w:tr>
      <w:tr>
        <w:trPr>
          <w:trHeight w:val="628" w:hRule="atLeast"/>
        </w:trPr>
        <w:tc>
          <w:tcPr>
            <w:tcW w:w="2974" w:type="dxa"/>
            <w:shd w:val="clear" w:color="auto" w:fill="DBE4F0"/>
          </w:tcPr>
          <w:p>
            <w:pPr>
              <w:pStyle w:val="TableParagraph"/>
              <w:spacing w:before="8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8" w:type="dxa"/>
          </w:tcPr>
          <w:p>
            <w:pPr>
              <w:pStyle w:val="TableParagraph"/>
              <w:spacing w:before="198"/>
              <w:ind w:left="69"/>
              <w:rPr>
                <w:sz w:val="20"/>
              </w:rPr>
            </w:pPr>
            <w:r>
              <w:rPr>
                <w:spacing w:val="-4"/>
                <w:sz w:val="20"/>
              </w:rPr>
              <w:t>Anual</w:t>
            </w:r>
          </w:p>
        </w:tc>
      </w:tr>
      <w:tr>
        <w:trPr>
          <w:trHeight w:val="630" w:hRule="atLeast"/>
        </w:trPr>
        <w:tc>
          <w:tcPr>
            <w:tcW w:w="2974" w:type="dxa"/>
            <w:shd w:val="clear" w:color="auto" w:fill="DBE4F0"/>
          </w:tcPr>
          <w:p>
            <w:pPr>
              <w:pStyle w:val="TableParagraph"/>
              <w:spacing w:before="86"/>
              <w:ind w:left="67" w:right="512"/>
              <w:rPr>
                <w:b/>
                <w:sz w:val="20"/>
              </w:rPr>
            </w:pPr>
            <w:r>
              <w:rPr>
                <w:b/>
                <w:sz w:val="20"/>
              </w:rPr>
              <w:t>Responsable de la recopilación</w:t>
            </w:r>
            <w:r>
              <w:rPr>
                <w:b/>
                <w:spacing w:val="-14"/>
                <w:sz w:val="20"/>
              </w:rPr>
              <w:t> </w:t>
            </w:r>
            <w:r>
              <w:rPr>
                <w:b/>
                <w:sz w:val="20"/>
              </w:rPr>
              <w:t>información</w:t>
            </w:r>
          </w:p>
        </w:tc>
        <w:tc>
          <w:tcPr>
            <w:tcW w:w="7518" w:type="dxa"/>
          </w:tcPr>
          <w:p>
            <w:pPr>
              <w:pStyle w:val="TableParagraph"/>
              <w:spacing w:before="86"/>
              <w:ind w:left="69" w:right="2090"/>
              <w:rPr>
                <w:sz w:val="20"/>
              </w:rPr>
            </w:pPr>
            <w:r>
              <w:rPr>
                <w:sz w:val="20"/>
              </w:rPr>
              <w:t>Nombre</w:t>
            </w:r>
            <w:r>
              <w:rPr>
                <w:spacing w:val="-6"/>
                <w:sz w:val="20"/>
              </w:rPr>
              <w:t> </w:t>
            </w:r>
            <w:r>
              <w:rPr>
                <w:sz w:val="20"/>
              </w:rPr>
              <w:t>del</w:t>
            </w:r>
            <w:r>
              <w:rPr>
                <w:spacing w:val="-9"/>
                <w:sz w:val="20"/>
              </w:rPr>
              <w:t> </w:t>
            </w:r>
            <w:r>
              <w:rPr>
                <w:sz w:val="20"/>
              </w:rPr>
              <w:t>funcionario:</w:t>
            </w:r>
            <w:r>
              <w:rPr>
                <w:spacing w:val="-8"/>
                <w:sz w:val="20"/>
              </w:rPr>
              <w:t> </w:t>
            </w:r>
            <w:r>
              <w:rPr>
                <w:sz w:val="20"/>
              </w:rPr>
              <w:t>Luis</w:t>
            </w:r>
            <w:r>
              <w:rPr>
                <w:spacing w:val="-7"/>
                <w:sz w:val="20"/>
              </w:rPr>
              <w:t> </w:t>
            </w:r>
            <w:r>
              <w:rPr>
                <w:sz w:val="20"/>
              </w:rPr>
              <w:t>Adolfo</w:t>
            </w:r>
            <w:r>
              <w:rPr>
                <w:spacing w:val="-9"/>
                <w:sz w:val="20"/>
              </w:rPr>
              <w:t> </w:t>
            </w:r>
            <w:r>
              <w:rPr>
                <w:sz w:val="20"/>
              </w:rPr>
              <w:t>Gonzalez</w:t>
            </w:r>
            <w:r>
              <w:rPr>
                <w:spacing w:val="-7"/>
                <w:sz w:val="20"/>
              </w:rPr>
              <w:t> </w:t>
            </w:r>
            <w:r>
              <w:rPr>
                <w:sz w:val="20"/>
              </w:rPr>
              <w:t>Alguera Cargo: Jefatura TI</w:t>
            </w:r>
          </w:p>
        </w:tc>
      </w:tr>
      <w:tr>
        <w:trPr>
          <w:trHeight w:val="945" w:hRule="atLeast"/>
        </w:trPr>
        <w:tc>
          <w:tcPr>
            <w:tcW w:w="2974" w:type="dxa"/>
            <w:shd w:val="clear" w:color="auto" w:fill="DBE4F0"/>
          </w:tcPr>
          <w:p>
            <w:pPr>
              <w:pStyle w:val="TableParagraph"/>
              <w:spacing w:before="11"/>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8" w:type="dxa"/>
          </w:tcPr>
          <w:p>
            <w:pPr>
              <w:pStyle w:val="TableParagraph"/>
              <w:spacing w:before="127"/>
              <w:rPr>
                <w:b/>
                <w:sz w:val="20"/>
              </w:rPr>
            </w:pPr>
          </w:p>
          <w:p>
            <w:pPr>
              <w:pStyle w:val="TableParagraph"/>
              <w:ind w:left="69"/>
              <w:rPr>
                <w:sz w:val="20"/>
              </w:rPr>
            </w:pPr>
            <w:r>
              <w:rPr>
                <w:sz w:val="20"/>
              </w:rPr>
              <w:t>Tecnología</w:t>
            </w:r>
            <w:r>
              <w:rPr>
                <w:spacing w:val="-9"/>
                <w:sz w:val="20"/>
              </w:rPr>
              <w:t> </w:t>
            </w:r>
            <w:r>
              <w:rPr>
                <w:sz w:val="20"/>
              </w:rPr>
              <w:t>de</w:t>
            </w:r>
            <w:r>
              <w:rPr>
                <w:spacing w:val="-8"/>
                <w:sz w:val="20"/>
              </w:rPr>
              <w:t> </w:t>
            </w:r>
            <w:r>
              <w:rPr>
                <w:spacing w:val="-2"/>
                <w:sz w:val="20"/>
              </w:rPr>
              <w:t>Información</w:t>
            </w:r>
          </w:p>
        </w:tc>
      </w:tr>
      <w:tr>
        <w:trPr>
          <w:trHeight w:val="674" w:hRule="atLeast"/>
        </w:trPr>
        <w:tc>
          <w:tcPr>
            <w:tcW w:w="2974" w:type="dxa"/>
            <w:shd w:val="clear" w:color="auto" w:fill="DBE4F0"/>
          </w:tcPr>
          <w:p>
            <w:pPr>
              <w:pStyle w:val="TableParagraph"/>
              <w:spacing w:before="222"/>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8" w:type="dxa"/>
          </w:tcPr>
          <w:p>
            <w:pPr>
              <w:pStyle w:val="TableParagraph"/>
              <w:spacing w:before="222"/>
              <w:ind w:left="69"/>
              <w:rPr>
                <w:sz w:val="20"/>
              </w:rPr>
            </w:pPr>
            <w:r>
              <w:rPr>
                <w:sz w:val="20"/>
              </w:rPr>
              <w:t>La</w:t>
            </w:r>
            <w:r>
              <w:rPr>
                <w:spacing w:val="-7"/>
                <w:sz w:val="20"/>
              </w:rPr>
              <w:t> </w:t>
            </w:r>
            <w:r>
              <w:rPr>
                <w:sz w:val="20"/>
              </w:rPr>
              <w:t>fuente</w:t>
            </w:r>
            <w:r>
              <w:rPr>
                <w:spacing w:val="-6"/>
                <w:sz w:val="20"/>
              </w:rPr>
              <w:t> </w:t>
            </w:r>
            <w:r>
              <w:rPr>
                <w:sz w:val="20"/>
              </w:rPr>
              <w:t>de</w:t>
            </w:r>
            <w:r>
              <w:rPr>
                <w:spacing w:val="-4"/>
                <w:sz w:val="20"/>
              </w:rPr>
              <w:t> </w:t>
            </w:r>
            <w:r>
              <w:rPr>
                <w:sz w:val="20"/>
              </w:rPr>
              <w:t>la</w:t>
            </w:r>
            <w:r>
              <w:rPr>
                <w:spacing w:val="-4"/>
                <w:sz w:val="20"/>
              </w:rPr>
              <w:t> </w:t>
            </w:r>
            <w:r>
              <w:rPr>
                <w:sz w:val="20"/>
              </w:rPr>
              <w:t>información</w:t>
            </w:r>
            <w:r>
              <w:rPr>
                <w:spacing w:val="-5"/>
                <w:sz w:val="20"/>
              </w:rPr>
              <w:t> </w:t>
            </w:r>
            <w:r>
              <w:rPr>
                <w:sz w:val="20"/>
              </w:rPr>
              <w:t>es</w:t>
            </w:r>
            <w:r>
              <w:rPr>
                <w:spacing w:val="-5"/>
                <w:sz w:val="20"/>
              </w:rPr>
              <w:t> TI</w:t>
            </w:r>
          </w:p>
        </w:tc>
      </w:tr>
      <w:tr>
        <w:trPr>
          <w:trHeight w:val="1185" w:hRule="atLeast"/>
        </w:trPr>
        <w:tc>
          <w:tcPr>
            <w:tcW w:w="2974" w:type="dxa"/>
            <w:shd w:val="clear" w:color="auto" w:fill="DBE4F0"/>
          </w:tcPr>
          <w:p>
            <w:pPr>
              <w:pStyle w:val="TableParagraph"/>
              <w:rPr>
                <w:b/>
                <w:sz w:val="20"/>
              </w:rPr>
            </w:pPr>
          </w:p>
          <w:p>
            <w:pPr>
              <w:pStyle w:val="TableParagraph"/>
              <w:spacing w:before="17"/>
              <w:rPr>
                <w:b/>
                <w:sz w:val="20"/>
              </w:rPr>
            </w:pPr>
          </w:p>
          <w:p>
            <w:pPr>
              <w:pStyle w:val="TableParagraph"/>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8" w:type="dxa"/>
          </w:tcPr>
          <w:p>
            <w:pPr>
              <w:pStyle w:val="TableParagraph"/>
              <w:spacing w:before="16"/>
              <w:rPr>
                <w:b/>
                <w:sz w:val="20"/>
              </w:rPr>
            </w:pPr>
          </w:p>
          <w:p>
            <w:pPr>
              <w:pStyle w:val="TableParagraph"/>
              <w:ind w:left="69" w:right="172"/>
              <w:rPr>
                <w:sz w:val="20"/>
              </w:rPr>
            </w:pPr>
            <w:r>
              <w:rPr>
                <w:sz w:val="20"/>
              </w:rPr>
              <w:t>Reportes o informes generados por TI en donde se visualice la cantidad de solicitudes</w:t>
            </w:r>
            <w:r>
              <w:rPr>
                <w:spacing w:val="-4"/>
                <w:sz w:val="20"/>
              </w:rPr>
              <w:t> </w:t>
            </w:r>
            <w:r>
              <w:rPr>
                <w:sz w:val="20"/>
              </w:rPr>
              <w:t>efectuadas</w:t>
            </w:r>
            <w:r>
              <w:rPr>
                <w:spacing w:val="-4"/>
                <w:sz w:val="20"/>
              </w:rPr>
              <w:t> </w:t>
            </w:r>
            <w:r>
              <w:rPr>
                <w:sz w:val="20"/>
              </w:rPr>
              <w:t>por</w:t>
            </w:r>
            <w:r>
              <w:rPr>
                <w:spacing w:val="-6"/>
                <w:sz w:val="20"/>
              </w:rPr>
              <w:t> </w:t>
            </w:r>
            <w:r>
              <w:rPr>
                <w:sz w:val="20"/>
              </w:rPr>
              <w:t>las</w:t>
            </w:r>
            <w:r>
              <w:rPr>
                <w:spacing w:val="-6"/>
                <w:sz w:val="20"/>
              </w:rPr>
              <w:t> </w:t>
            </w:r>
            <w:r>
              <w:rPr>
                <w:sz w:val="20"/>
              </w:rPr>
              <w:t>dependencias</w:t>
            </w:r>
            <w:r>
              <w:rPr>
                <w:spacing w:val="-6"/>
                <w:sz w:val="20"/>
              </w:rPr>
              <w:t> </w:t>
            </w:r>
            <w:r>
              <w:rPr>
                <w:sz w:val="20"/>
              </w:rPr>
              <w:t>para</w:t>
            </w:r>
            <w:r>
              <w:rPr>
                <w:spacing w:val="-5"/>
                <w:sz w:val="20"/>
              </w:rPr>
              <w:t> </w:t>
            </w:r>
            <w:r>
              <w:rPr>
                <w:sz w:val="20"/>
              </w:rPr>
              <w:t>el</w:t>
            </w:r>
            <w:r>
              <w:rPr>
                <w:spacing w:val="-6"/>
                <w:sz w:val="20"/>
              </w:rPr>
              <w:t> </w:t>
            </w:r>
            <w:r>
              <w:rPr>
                <w:sz w:val="20"/>
              </w:rPr>
              <w:t>mantenimiento</w:t>
            </w:r>
            <w:r>
              <w:rPr>
                <w:spacing w:val="-8"/>
                <w:sz w:val="20"/>
              </w:rPr>
              <w:t> </w:t>
            </w:r>
            <w:r>
              <w:rPr>
                <w:sz w:val="20"/>
              </w:rPr>
              <w:t>y</w:t>
            </w:r>
            <w:r>
              <w:rPr>
                <w:spacing w:val="-6"/>
                <w:sz w:val="20"/>
              </w:rPr>
              <w:t> </w:t>
            </w:r>
            <w:r>
              <w:rPr>
                <w:sz w:val="20"/>
              </w:rPr>
              <w:t>reparación de equipo de cómputo y sistemas de información recibas en el SAP</w:t>
            </w:r>
          </w:p>
        </w:tc>
      </w:tr>
      <w:tr>
        <w:trPr>
          <w:trHeight w:val="630" w:hRule="atLeast"/>
        </w:trPr>
        <w:tc>
          <w:tcPr>
            <w:tcW w:w="2974" w:type="dxa"/>
            <w:shd w:val="clear" w:color="auto" w:fill="DBE4F0"/>
          </w:tcPr>
          <w:p>
            <w:pPr>
              <w:pStyle w:val="TableParagraph"/>
              <w:spacing w:before="201"/>
              <w:ind w:left="67"/>
              <w:rPr>
                <w:b/>
                <w:sz w:val="20"/>
              </w:rPr>
            </w:pPr>
            <w:r>
              <w:rPr>
                <w:b/>
                <w:spacing w:val="-2"/>
                <w:sz w:val="20"/>
              </w:rPr>
              <w:t>Clasificación</w:t>
            </w:r>
          </w:p>
        </w:tc>
        <w:tc>
          <w:tcPr>
            <w:tcW w:w="7518" w:type="dxa"/>
          </w:tcPr>
          <w:p>
            <w:pPr>
              <w:pStyle w:val="TableParagraph"/>
              <w:spacing w:before="201"/>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493" w:hRule="atLeast"/>
        </w:trPr>
        <w:tc>
          <w:tcPr>
            <w:tcW w:w="2974" w:type="dxa"/>
            <w:shd w:val="clear" w:color="auto" w:fill="DBE4F0"/>
          </w:tcPr>
          <w:p>
            <w:pPr>
              <w:pStyle w:val="TableParagraph"/>
              <w:spacing w:before="131"/>
              <w:ind w:left="67"/>
              <w:rPr>
                <w:b/>
                <w:sz w:val="20"/>
              </w:rPr>
            </w:pPr>
            <w:r>
              <w:rPr>
                <w:b/>
                <w:spacing w:val="-2"/>
                <w:sz w:val="20"/>
              </w:rPr>
              <w:t>Comentarios</w:t>
            </w:r>
            <w:r>
              <w:rPr>
                <w:b/>
                <w:spacing w:val="6"/>
                <w:sz w:val="20"/>
              </w:rPr>
              <w:t> </w:t>
            </w:r>
            <w:r>
              <w:rPr>
                <w:b/>
                <w:spacing w:val="-2"/>
                <w:sz w:val="20"/>
              </w:rPr>
              <w:t>Generales</w:t>
            </w:r>
          </w:p>
        </w:tc>
        <w:tc>
          <w:tcPr>
            <w:tcW w:w="7518" w:type="dxa"/>
          </w:tcPr>
          <w:p>
            <w:pPr>
              <w:pStyle w:val="TableParagraph"/>
              <w:spacing w:before="131"/>
              <w:ind w:left="125"/>
              <w:rPr>
                <w:sz w:val="20"/>
              </w:rPr>
            </w:pPr>
            <w:r>
              <w:rPr>
                <w:sz w:val="20"/>
              </w:rPr>
              <w:t>Partida</w:t>
            </w:r>
            <w:r>
              <w:rPr>
                <w:spacing w:val="-9"/>
                <w:sz w:val="20"/>
              </w:rPr>
              <w:t> </w:t>
            </w:r>
            <w:r>
              <w:rPr>
                <w:spacing w:val="-2"/>
                <w:sz w:val="20"/>
              </w:rPr>
              <w:t>1.08.08</w:t>
            </w:r>
          </w:p>
        </w:tc>
      </w:tr>
    </w:tbl>
    <w:p>
      <w:pPr>
        <w:pStyle w:val="BodyText"/>
        <w:rPr>
          <w:b/>
          <w:sz w:val="20"/>
        </w:rPr>
      </w:pPr>
    </w:p>
    <w:p>
      <w:pPr>
        <w:pStyle w:val="BodyText"/>
        <w:spacing w:before="23"/>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4"/>
        <w:gridCol w:w="7518"/>
      </w:tblGrid>
      <w:tr>
        <w:trPr>
          <w:trHeight w:val="765" w:hRule="atLeast"/>
        </w:trPr>
        <w:tc>
          <w:tcPr>
            <w:tcW w:w="2974" w:type="dxa"/>
            <w:shd w:val="clear" w:color="auto" w:fill="DBE4F0"/>
          </w:tcPr>
          <w:p>
            <w:pPr>
              <w:pStyle w:val="TableParagraph"/>
              <w:spacing w:before="38"/>
              <w:rPr>
                <w:b/>
                <w:sz w:val="20"/>
              </w:rPr>
            </w:pPr>
          </w:p>
          <w:p>
            <w:pPr>
              <w:pStyle w:val="TableParagraph"/>
              <w:ind w:left="67"/>
              <w:rPr>
                <w:b/>
                <w:sz w:val="20"/>
              </w:rPr>
            </w:pPr>
            <w:r>
              <w:rPr>
                <w:b/>
                <w:sz w:val="20"/>
              </w:rPr>
              <w:t>PAC</w:t>
            </w:r>
            <w:r>
              <w:rPr>
                <w:b/>
                <w:spacing w:val="-8"/>
                <w:sz w:val="20"/>
              </w:rPr>
              <w:t> </w:t>
            </w:r>
            <w:r>
              <w:rPr>
                <w:b/>
                <w:spacing w:val="-2"/>
                <w:sz w:val="20"/>
              </w:rPr>
              <w:t>2.4.2</w:t>
            </w:r>
          </w:p>
        </w:tc>
        <w:tc>
          <w:tcPr>
            <w:tcW w:w="7518" w:type="dxa"/>
          </w:tcPr>
          <w:p>
            <w:pPr>
              <w:pStyle w:val="TableParagraph"/>
              <w:spacing w:before="153"/>
              <w:ind w:left="69" w:right="172"/>
              <w:rPr>
                <w:sz w:val="20"/>
              </w:rPr>
            </w:pPr>
            <w:r>
              <w:rPr>
                <w:sz w:val="20"/>
              </w:rPr>
              <w:t>Nombre</w:t>
            </w:r>
            <w:r>
              <w:rPr>
                <w:spacing w:val="-5"/>
                <w:sz w:val="20"/>
              </w:rPr>
              <w:t> </w:t>
            </w:r>
            <w:r>
              <w:rPr>
                <w:sz w:val="20"/>
              </w:rPr>
              <w:t>del</w:t>
            </w:r>
            <w:r>
              <w:rPr>
                <w:spacing w:val="-7"/>
                <w:sz w:val="20"/>
              </w:rPr>
              <w:t> </w:t>
            </w:r>
            <w:r>
              <w:rPr>
                <w:sz w:val="20"/>
              </w:rPr>
              <w:t>Indicador:</w:t>
            </w:r>
            <w:r>
              <w:rPr>
                <w:spacing w:val="-5"/>
                <w:sz w:val="20"/>
              </w:rPr>
              <w:t> </w:t>
            </w:r>
            <w:r>
              <w:rPr>
                <w:sz w:val="20"/>
              </w:rPr>
              <w:t>Porcentaje</w:t>
            </w:r>
            <w:r>
              <w:rPr>
                <w:spacing w:val="-5"/>
                <w:sz w:val="20"/>
              </w:rPr>
              <w:t> </w:t>
            </w:r>
            <w:r>
              <w:rPr>
                <w:sz w:val="20"/>
              </w:rPr>
              <w:t>de</w:t>
            </w:r>
            <w:r>
              <w:rPr>
                <w:spacing w:val="-7"/>
                <w:sz w:val="20"/>
              </w:rPr>
              <w:t> </w:t>
            </w:r>
            <w:r>
              <w:rPr>
                <w:sz w:val="20"/>
              </w:rPr>
              <w:t>gestiones</w:t>
            </w:r>
            <w:r>
              <w:rPr>
                <w:spacing w:val="-6"/>
                <w:sz w:val="20"/>
              </w:rPr>
              <w:t> </w:t>
            </w:r>
            <w:r>
              <w:rPr>
                <w:sz w:val="20"/>
              </w:rPr>
              <w:t>de</w:t>
            </w:r>
            <w:r>
              <w:rPr>
                <w:spacing w:val="-7"/>
                <w:sz w:val="20"/>
              </w:rPr>
              <w:t> </w:t>
            </w:r>
            <w:r>
              <w:rPr>
                <w:sz w:val="20"/>
              </w:rPr>
              <w:t>las</w:t>
            </w:r>
            <w:r>
              <w:rPr>
                <w:spacing w:val="-4"/>
                <w:sz w:val="20"/>
              </w:rPr>
              <w:t> </w:t>
            </w:r>
            <w:r>
              <w:rPr>
                <w:sz w:val="20"/>
              </w:rPr>
              <w:t>solicitudes</w:t>
            </w:r>
            <w:r>
              <w:rPr>
                <w:spacing w:val="-4"/>
                <w:sz w:val="20"/>
              </w:rPr>
              <w:t> </w:t>
            </w:r>
            <w:r>
              <w:rPr>
                <w:sz w:val="20"/>
              </w:rPr>
              <w:t>efectuadas</w:t>
            </w:r>
            <w:r>
              <w:rPr>
                <w:spacing w:val="-4"/>
                <w:sz w:val="20"/>
              </w:rPr>
              <w:t> </w:t>
            </w:r>
            <w:r>
              <w:rPr>
                <w:sz w:val="20"/>
              </w:rPr>
              <w:t>por las dependencias para la adquisición de equipo y programas de cómputo</w:t>
            </w:r>
          </w:p>
        </w:tc>
      </w:tr>
      <w:tr>
        <w:trPr>
          <w:trHeight w:val="870" w:hRule="atLeast"/>
        </w:trPr>
        <w:tc>
          <w:tcPr>
            <w:tcW w:w="2974" w:type="dxa"/>
            <w:shd w:val="clear" w:color="auto" w:fill="DBE4F0"/>
          </w:tcPr>
          <w:p>
            <w:pPr>
              <w:pStyle w:val="TableParagraph"/>
              <w:spacing w:before="88"/>
              <w:rPr>
                <w:b/>
                <w:sz w:val="20"/>
              </w:rPr>
            </w:pPr>
          </w:p>
          <w:p>
            <w:pPr>
              <w:pStyle w:val="TableParagraph"/>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8" w:type="dxa"/>
          </w:tcPr>
          <w:p>
            <w:pPr>
              <w:pStyle w:val="TableParagraph"/>
              <w:spacing w:before="88"/>
              <w:rPr>
                <w:b/>
                <w:sz w:val="20"/>
              </w:rPr>
            </w:pPr>
          </w:p>
          <w:p>
            <w:pPr>
              <w:pStyle w:val="TableParagraph"/>
              <w:ind w:left="69"/>
              <w:rPr>
                <w:sz w:val="20"/>
              </w:rPr>
            </w:pPr>
            <w:r>
              <w:rPr>
                <w:sz w:val="20"/>
              </w:rPr>
              <w:t>(Total</w:t>
            </w:r>
            <w:r>
              <w:rPr>
                <w:spacing w:val="-8"/>
                <w:sz w:val="20"/>
              </w:rPr>
              <w:t> </w:t>
            </w:r>
            <w:r>
              <w:rPr>
                <w:sz w:val="20"/>
              </w:rPr>
              <w:t>de</w:t>
            </w:r>
            <w:r>
              <w:rPr>
                <w:spacing w:val="-9"/>
                <w:sz w:val="20"/>
              </w:rPr>
              <w:t> </w:t>
            </w:r>
            <w:r>
              <w:rPr>
                <w:sz w:val="20"/>
              </w:rPr>
              <w:t>gestiones</w:t>
            </w:r>
            <w:r>
              <w:rPr>
                <w:spacing w:val="-8"/>
                <w:sz w:val="20"/>
              </w:rPr>
              <w:t> </w:t>
            </w:r>
            <w:r>
              <w:rPr>
                <w:sz w:val="20"/>
              </w:rPr>
              <w:t>efectuadas</w:t>
            </w:r>
            <w:r>
              <w:rPr>
                <w:spacing w:val="-7"/>
                <w:sz w:val="20"/>
              </w:rPr>
              <w:t> </w:t>
            </w:r>
            <w:r>
              <w:rPr>
                <w:sz w:val="20"/>
              </w:rPr>
              <w:t>/</w:t>
            </w:r>
            <w:r>
              <w:rPr>
                <w:spacing w:val="-9"/>
                <w:sz w:val="20"/>
              </w:rPr>
              <w:t> </w:t>
            </w:r>
            <w:r>
              <w:rPr>
                <w:sz w:val="20"/>
              </w:rPr>
              <w:t>Total</w:t>
            </w:r>
            <w:r>
              <w:rPr>
                <w:spacing w:val="-7"/>
                <w:sz w:val="20"/>
              </w:rPr>
              <w:t> </w:t>
            </w:r>
            <w:r>
              <w:rPr>
                <w:sz w:val="20"/>
              </w:rPr>
              <w:t>de</w:t>
            </w:r>
            <w:r>
              <w:rPr>
                <w:spacing w:val="-9"/>
                <w:sz w:val="20"/>
              </w:rPr>
              <w:t> </w:t>
            </w:r>
            <w:r>
              <w:rPr>
                <w:sz w:val="20"/>
              </w:rPr>
              <w:t>solicitudes</w:t>
            </w:r>
            <w:r>
              <w:rPr>
                <w:spacing w:val="-8"/>
                <w:sz w:val="20"/>
              </w:rPr>
              <w:t> </w:t>
            </w:r>
            <w:r>
              <w:rPr>
                <w:sz w:val="20"/>
              </w:rPr>
              <w:t>recibidas)</w:t>
            </w:r>
            <w:r>
              <w:rPr>
                <w:spacing w:val="-7"/>
                <w:sz w:val="20"/>
              </w:rPr>
              <w:t> </w:t>
            </w:r>
            <w:r>
              <w:rPr>
                <w:spacing w:val="-4"/>
                <w:sz w:val="20"/>
              </w:rPr>
              <w:t>*100</w:t>
            </w:r>
          </w:p>
        </w:tc>
      </w:tr>
      <w:tr>
        <w:trPr>
          <w:trHeight w:val="520" w:hRule="atLeast"/>
        </w:trPr>
        <w:tc>
          <w:tcPr>
            <w:tcW w:w="2974" w:type="dxa"/>
            <w:shd w:val="clear" w:color="auto" w:fill="DBE4F0"/>
          </w:tcPr>
          <w:p>
            <w:pPr>
              <w:pStyle w:val="TableParagraph"/>
              <w:spacing w:before="146"/>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8" w:type="dxa"/>
          </w:tcPr>
          <w:p>
            <w:pPr>
              <w:pStyle w:val="TableParagraph"/>
              <w:spacing w:before="146"/>
              <w:ind w:left="69"/>
              <w:rPr>
                <w:sz w:val="20"/>
              </w:rPr>
            </w:pPr>
            <w:r>
              <w:rPr>
                <w:spacing w:val="-2"/>
                <w:sz w:val="20"/>
              </w:rPr>
              <w:t>Porcentaje</w:t>
            </w:r>
          </w:p>
        </w:tc>
      </w:tr>
      <w:tr>
        <w:trPr>
          <w:trHeight w:val="1350" w:hRule="atLeast"/>
        </w:trPr>
        <w:tc>
          <w:tcPr>
            <w:tcW w:w="2974" w:type="dxa"/>
            <w:shd w:val="clear" w:color="auto" w:fill="DBE4F0"/>
          </w:tcPr>
          <w:p>
            <w:pPr>
              <w:pStyle w:val="TableParagraph"/>
              <w:rPr>
                <w:b/>
                <w:sz w:val="20"/>
              </w:rPr>
            </w:pPr>
          </w:p>
          <w:p>
            <w:pPr>
              <w:pStyle w:val="TableParagraph"/>
              <w:spacing w:before="101"/>
              <w:rPr>
                <w:b/>
                <w:sz w:val="20"/>
              </w:rPr>
            </w:pPr>
          </w:p>
          <w:p>
            <w:pPr>
              <w:pStyle w:val="TableParagraph"/>
              <w:ind w:left="67"/>
              <w:rPr>
                <w:b/>
                <w:sz w:val="20"/>
              </w:rPr>
            </w:pPr>
            <w:r>
              <w:rPr>
                <w:b/>
                <w:spacing w:val="-2"/>
                <w:sz w:val="20"/>
              </w:rPr>
              <w:t>Interpretación:</w:t>
            </w:r>
          </w:p>
        </w:tc>
        <w:tc>
          <w:tcPr>
            <w:tcW w:w="7518" w:type="dxa"/>
          </w:tcPr>
          <w:p>
            <w:pPr>
              <w:pStyle w:val="TableParagraph"/>
              <w:spacing w:before="100"/>
              <w:rPr>
                <w:b/>
                <w:sz w:val="20"/>
              </w:rPr>
            </w:pPr>
          </w:p>
          <w:p>
            <w:pPr>
              <w:pStyle w:val="TableParagraph"/>
              <w:ind w:left="69" w:right="172"/>
              <w:rPr>
                <w:sz w:val="20"/>
              </w:rPr>
            </w:pPr>
            <w:r>
              <w:rPr>
                <w:sz w:val="20"/>
              </w:rPr>
              <w:t>Su</w:t>
            </w:r>
            <w:r>
              <w:rPr>
                <w:spacing w:val="-5"/>
                <w:sz w:val="20"/>
              </w:rPr>
              <w:t> </w:t>
            </w:r>
            <w:r>
              <w:rPr>
                <w:sz w:val="20"/>
              </w:rPr>
              <w:t>resultado</w:t>
            </w:r>
            <w:r>
              <w:rPr>
                <w:spacing w:val="-6"/>
                <w:sz w:val="20"/>
              </w:rPr>
              <w:t> </w:t>
            </w:r>
            <w:r>
              <w:rPr>
                <w:sz w:val="20"/>
              </w:rPr>
              <w:t>es</w:t>
            </w:r>
            <w:r>
              <w:rPr>
                <w:spacing w:val="-2"/>
                <w:sz w:val="20"/>
              </w:rPr>
              <w:t> </w:t>
            </w:r>
            <w:r>
              <w:rPr>
                <w:sz w:val="20"/>
              </w:rPr>
              <w:t>la</w:t>
            </w:r>
            <w:r>
              <w:rPr>
                <w:spacing w:val="-3"/>
                <w:sz w:val="20"/>
              </w:rPr>
              <w:t> </w:t>
            </w:r>
            <w:r>
              <w:rPr>
                <w:sz w:val="20"/>
              </w:rPr>
              <w:t>derivación</w:t>
            </w:r>
            <w:r>
              <w:rPr>
                <w:spacing w:val="-6"/>
                <w:sz w:val="20"/>
              </w:rPr>
              <w:t> </w:t>
            </w:r>
            <w:r>
              <w:rPr>
                <w:sz w:val="20"/>
              </w:rPr>
              <w:t>de</w:t>
            </w:r>
            <w:r>
              <w:rPr>
                <w:spacing w:val="-5"/>
                <w:sz w:val="20"/>
              </w:rPr>
              <w:t> </w:t>
            </w:r>
            <w:r>
              <w:rPr>
                <w:sz w:val="20"/>
              </w:rPr>
              <w:t>la</w:t>
            </w:r>
            <w:r>
              <w:rPr>
                <w:spacing w:val="-5"/>
                <w:sz w:val="20"/>
              </w:rPr>
              <w:t> </w:t>
            </w:r>
            <w:r>
              <w:rPr>
                <w:sz w:val="20"/>
              </w:rPr>
              <w:t>relación</w:t>
            </w:r>
            <w:r>
              <w:rPr>
                <w:spacing w:val="-5"/>
                <w:sz w:val="20"/>
              </w:rPr>
              <w:t> </w:t>
            </w:r>
            <w:r>
              <w:rPr>
                <w:sz w:val="20"/>
              </w:rPr>
              <w:t>de</w:t>
            </w:r>
            <w:r>
              <w:rPr>
                <w:spacing w:val="-3"/>
                <w:sz w:val="20"/>
              </w:rPr>
              <w:t> </w:t>
            </w:r>
            <w:r>
              <w:rPr>
                <w:sz w:val="20"/>
              </w:rPr>
              <w:t>la</w:t>
            </w:r>
            <w:r>
              <w:rPr>
                <w:spacing w:val="-3"/>
                <w:sz w:val="20"/>
              </w:rPr>
              <w:t> </w:t>
            </w:r>
            <w:r>
              <w:rPr>
                <w:sz w:val="20"/>
              </w:rPr>
              <w:t>cantidad</w:t>
            </w:r>
            <w:r>
              <w:rPr>
                <w:spacing w:val="-3"/>
                <w:sz w:val="20"/>
              </w:rPr>
              <w:t> </w:t>
            </w:r>
            <w:r>
              <w:rPr>
                <w:sz w:val="20"/>
              </w:rPr>
              <w:t>de</w:t>
            </w:r>
            <w:r>
              <w:rPr>
                <w:spacing w:val="-6"/>
                <w:sz w:val="20"/>
              </w:rPr>
              <w:t> </w:t>
            </w:r>
            <w:r>
              <w:rPr>
                <w:sz w:val="20"/>
              </w:rPr>
              <w:t>solicitudes</w:t>
            </w:r>
            <w:r>
              <w:rPr>
                <w:spacing w:val="-2"/>
                <w:sz w:val="20"/>
              </w:rPr>
              <w:t> </w:t>
            </w:r>
            <w:r>
              <w:rPr>
                <w:sz w:val="20"/>
              </w:rPr>
              <w:t>que ejecuta o procesa TI versus la cantidad de solicitudes provenientes de las unidades expresado como relación porcentual.</w:t>
            </w:r>
          </w:p>
        </w:tc>
      </w:tr>
      <w:tr>
        <w:trPr>
          <w:trHeight w:val="525" w:hRule="atLeast"/>
        </w:trPr>
        <w:tc>
          <w:tcPr>
            <w:tcW w:w="2974" w:type="dxa"/>
            <w:shd w:val="clear" w:color="auto" w:fill="DBE4F0"/>
          </w:tcPr>
          <w:p>
            <w:pPr>
              <w:pStyle w:val="TableParagraph"/>
              <w:spacing w:before="148"/>
              <w:ind w:left="67"/>
              <w:rPr>
                <w:b/>
                <w:sz w:val="20"/>
              </w:rPr>
            </w:pPr>
            <w:r>
              <w:rPr>
                <w:b/>
                <w:spacing w:val="-2"/>
                <w:sz w:val="20"/>
              </w:rPr>
              <w:t>Desagregación</w:t>
            </w:r>
          </w:p>
        </w:tc>
        <w:tc>
          <w:tcPr>
            <w:tcW w:w="7518" w:type="dxa"/>
          </w:tcPr>
          <w:p>
            <w:pPr>
              <w:pStyle w:val="TableParagraph"/>
              <w:spacing w:before="148"/>
              <w:ind w:left="69"/>
              <w:rPr>
                <w:sz w:val="20"/>
              </w:rPr>
            </w:pPr>
            <w:r>
              <w:rPr>
                <w:spacing w:val="-2"/>
                <w:sz w:val="20"/>
              </w:rPr>
              <w:t>Regional</w:t>
            </w:r>
          </w:p>
        </w:tc>
      </w:tr>
      <w:tr>
        <w:trPr>
          <w:trHeight w:val="314" w:hRule="atLeast"/>
        </w:trPr>
        <w:tc>
          <w:tcPr>
            <w:tcW w:w="2974" w:type="dxa"/>
            <w:shd w:val="clear" w:color="auto" w:fill="DBE4F0"/>
          </w:tcPr>
          <w:p>
            <w:pPr>
              <w:pStyle w:val="TableParagraph"/>
              <w:spacing w:before="43"/>
              <w:ind w:left="67"/>
              <w:rPr>
                <w:b/>
                <w:sz w:val="20"/>
              </w:rPr>
            </w:pPr>
            <w:r>
              <w:rPr>
                <w:b/>
                <w:spacing w:val="-2"/>
                <w:sz w:val="20"/>
              </w:rPr>
              <w:t>Meta:</w:t>
            </w:r>
          </w:p>
        </w:tc>
        <w:tc>
          <w:tcPr>
            <w:tcW w:w="7518" w:type="dxa"/>
          </w:tcPr>
          <w:p>
            <w:pPr>
              <w:pStyle w:val="TableParagraph"/>
              <w:spacing w:before="43"/>
              <w:ind w:left="69"/>
              <w:rPr>
                <w:sz w:val="20"/>
              </w:rPr>
            </w:pPr>
            <w:r>
              <w:rPr>
                <w:spacing w:val="-4"/>
                <w:sz w:val="20"/>
              </w:rPr>
              <w:t>100%</w:t>
            </w:r>
          </w:p>
        </w:tc>
      </w:tr>
      <w:tr>
        <w:trPr>
          <w:trHeight w:val="316" w:hRule="atLeast"/>
        </w:trPr>
        <w:tc>
          <w:tcPr>
            <w:tcW w:w="2974" w:type="dxa"/>
            <w:shd w:val="clear" w:color="auto" w:fill="DBE4F0"/>
          </w:tcPr>
          <w:p>
            <w:pPr>
              <w:pStyle w:val="TableParagraph"/>
              <w:spacing w:before="42"/>
              <w:ind w:left="67"/>
              <w:rPr>
                <w:b/>
                <w:sz w:val="20"/>
              </w:rPr>
            </w:pPr>
            <w:r>
              <w:rPr>
                <w:b/>
                <w:sz w:val="20"/>
              </w:rPr>
              <w:t>Línea</w:t>
            </w:r>
            <w:r>
              <w:rPr>
                <w:b/>
                <w:spacing w:val="-10"/>
                <w:sz w:val="20"/>
              </w:rPr>
              <w:t> </w:t>
            </w:r>
            <w:r>
              <w:rPr>
                <w:b/>
                <w:spacing w:val="-4"/>
                <w:sz w:val="20"/>
              </w:rPr>
              <w:t>Base</w:t>
            </w:r>
          </w:p>
        </w:tc>
        <w:tc>
          <w:tcPr>
            <w:tcW w:w="7518" w:type="dxa"/>
          </w:tcPr>
          <w:p>
            <w:pPr>
              <w:pStyle w:val="TableParagraph"/>
              <w:spacing w:before="42"/>
              <w:ind w:left="69"/>
              <w:rPr>
                <w:sz w:val="20"/>
              </w:rPr>
            </w:pPr>
            <w:r>
              <w:rPr>
                <w:spacing w:val="-10"/>
                <w:sz w:val="20"/>
              </w:rPr>
              <w:t>-</w:t>
            </w:r>
          </w:p>
        </w:tc>
      </w:tr>
    </w:tbl>
    <w:p>
      <w:pPr>
        <w:pStyle w:val="TableParagraph"/>
        <w:spacing w:after="0"/>
        <w:rPr>
          <w:sz w:val="20"/>
        </w:rPr>
        <w:sectPr>
          <w:type w:val="continuous"/>
          <w:pgSz w:w="12240" w:h="15840"/>
          <w:pgMar w:header="0" w:footer="2404" w:top="1400" w:bottom="2867"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4"/>
        <w:gridCol w:w="7518"/>
      </w:tblGrid>
      <w:tr>
        <w:trPr>
          <w:trHeight w:val="628" w:hRule="atLeast"/>
        </w:trPr>
        <w:tc>
          <w:tcPr>
            <w:tcW w:w="2974" w:type="dxa"/>
            <w:shd w:val="clear" w:color="auto" w:fill="DBE4F0"/>
          </w:tcPr>
          <w:p>
            <w:pPr>
              <w:pStyle w:val="TableParagraph"/>
              <w:spacing w:before="84"/>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8" w:type="dxa"/>
          </w:tcPr>
          <w:p>
            <w:pPr>
              <w:pStyle w:val="TableParagraph"/>
              <w:spacing w:before="199"/>
              <w:ind w:left="69"/>
              <w:rPr>
                <w:sz w:val="20"/>
              </w:rPr>
            </w:pPr>
            <w:r>
              <w:rPr>
                <w:spacing w:val="-4"/>
                <w:sz w:val="20"/>
              </w:rPr>
              <w:t>Anual</w:t>
            </w:r>
          </w:p>
        </w:tc>
      </w:tr>
      <w:tr>
        <w:trPr>
          <w:trHeight w:val="630" w:hRule="atLeast"/>
        </w:trPr>
        <w:tc>
          <w:tcPr>
            <w:tcW w:w="2974" w:type="dxa"/>
            <w:shd w:val="clear" w:color="auto" w:fill="DBE4F0"/>
          </w:tcPr>
          <w:p>
            <w:pPr>
              <w:pStyle w:val="TableParagraph"/>
              <w:spacing w:before="86"/>
              <w:ind w:left="67" w:right="512"/>
              <w:rPr>
                <w:b/>
                <w:sz w:val="20"/>
              </w:rPr>
            </w:pPr>
            <w:r>
              <w:rPr>
                <w:b/>
                <w:sz w:val="20"/>
              </w:rPr>
              <w:t>Responsable de la recopilación</w:t>
            </w:r>
            <w:r>
              <w:rPr>
                <w:b/>
                <w:spacing w:val="-14"/>
                <w:sz w:val="20"/>
              </w:rPr>
              <w:t> </w:t>
            </w:r>
            <w:r>
              <w:rPr>
                <w:b/>
                <w:sz w:val="20"/>
              </w:rPr>
              <w:t>información</w:t>
            </w:r>
          </w:p>
        </w:tc>
        <w:tc>
          <w:tcPr>
            <w:tcW w:w="7518" w:type="dxa"/>
          </w:tcPr>
          <w:p>
            <w:pPr>
              <w:pStyle w:val="TableParagraph"/>
              <w:spacing w:before="86"/>
              <w:ind w:left="69" w:right="2090"/>
              <w:rPr>
                <w:sz w:val="20"/>
              </w:rPr>
            </w:pPr>
            <w:r>
              <w:rPr>
                <w:sz w:val="20"/>
              </w:rPr>
              <w:t>Nombre</w:t>
            </w:r>
            <w:r>
              <w:rPr>
                <w:spacing w:val="-6"/>
                <w:sz w:val="20"/>
              </w:rPr>
              <w:t> </w:t>
            </w:r>
            <w:r>
              <w:rPr>
                <w:sz w:val="20"/>
              </w:rPr>
              <w:t>del</w:t>
            </w:r>
            <w:r>
              <w:rPr>
                <w:spacing w:val="-9"/>
                <w:sz w:val="20"/>
              </w:rPr>
              <w:t> </w:t>
            </w:r>
            <w:r>
              <w:rPr>
                <w:sz w:val="20"/>
              </w:rPr>
              <w:t>funcionario:</w:t>
            </w:r>
            <w:r>
              <w:rPr>
                <w:spacing w:val="-8"/>
                <w:sz w:val="20"/>
              </w:rPr>
              <w:t> </w:t>
            </w:r>
            <w:r>
              <w:rPr>
                <w:sz w:val="20"/>
              </w:rPr>
              <w:t>Luis</w:t>
            </w:r>
            <w:r>
              <w:rPr>
                <w:spacing w:val="-7"/>
                <w:sz w:val="20"/>
              </w:rPr>
              <w:t> </w:t>
            </w:r>
            <w:r>
              <w:rPr>
                <w:sz w:val="20"/>
              </w:rPr>
              <w:t>Adolfo</w:t>
            </w:r>
            <w:r>
              <w:rPr>
                <w:spacing w:val="-9"/>
                <w:sz w:val="20"/>
              </w:rPr>
              <w:t> </w:t>
            </w:r>
            <w:r>
              <w:rPr>
                <w:sz w:val="20"/>
              </w:rPr>
              <w:t>Gonzalez</w:t>
            </w:r>
            <w:r>
              <w:rPr>
                <w:spacing w:val="-7"/>
                <w:sz w:val="20"/>
              </w:rPr>
              <w:t> </w:t>
            </w:r>
            <w:r>
              <w:rPr>
                <w:sz w:val="20"/>
              </w:rPr>
              <w:t>Alguera Cargo: Jefatura TI</w:t>
            </w:r>
          </w:p>
        </w:tc>
      </w:tr>
      <w:tr>
        <w:trPr>
          <w:trHeight w:val="945" w:hRule="atLeast"/>
        </w:trPr>
        <w:tc>
          <w:tcPr>
            <w:tcW w:w="2974" w:type="dxa"/>
            <w:shd w:val="clear" w:color="auto" w:fill="DBE4F0"/>
          </w:tcPr>
          <w:p>
            <w:pPr>
              <w:pStyle w:val="TableParagraph"/>
              <w:spacing w:before="11"/>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8" w:type="dxa"/>
          </w:tcPr>
          <w:p>
            <w:pPr>
              <w:pStyle w:val="TableParagraph"/>
              <w:spacing w:before="127"/>
              <w:rPr>
                <w:b/>
                <w:sz w:val="20"/>
              </w:rPr>
            </w:pPr>
          </w:p>
          <w:p>
            <w:pPr>
              <w:pStyle w:val="TableParagraph"/>
              <w:ind w:left="69"/>
              <w:rPr>
                <w:sz w:val="20"/>
              </w:rPr>
            </w:pPr>
            <w:r>
              <w:rPr>
                <w:sz w:val="20"/>
              </w:rPr>
              <w:t>Tecnología</w:t>
            </w:r>
            <w:r>
              <w:rPr>
                <w:spacing w:val="-10"/>
                <w:sz w:val="20"/>
              </w:rPr>
              <w:t> </w:t>
            </w:r>
            <w:r>
              <w:rPr>
                <w:sz w:val="20"/>
              </w:rPr>
              <w:t>de</w:t>
            </w:r>
            <w:r>
              <w:rPr>
                <w:spacing w:val="-9"/>
                <w:sz w:val="20"/>
              </w:rPr>
              <w:t> </w:t>
            </w:r>
            <w:r>
              <w:rPr>
                <w:spacing w:val="-2"/>
                <w:sz w:val="20"/>
              </w:rPr>
              <w:t>Información</w:t>
            </w:r>
          </w:p>
        </w:tc>
      </w:tr>
      <w:tr>
        <w:trPr>
          <w:trHeight w:val="479" w:hRule="atLeast"/>
        </w:trPr>
        <w:tc>
          <w:tcPr>
            <w:tcW w:w="2974" w:type="dxa"/>
            <w:shd w:val="clear" w:color="auto" w:fill="DBE4F0"/>
          </w:tcPr>
          <w:p>
            <w:pPr>
              <w:pStyle w:val="TableParagraph"/>
              <w:spacing w:before="124"/>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8" w:type="dxa"/>
          </w:tcPr>
          <w:p>
            <w:pPr>
              <w:pStyle w:val="TableParagraph"/>
              <w:spacing w:before="124"/>
              <w:ind w:left="69"/>
              <w:rPr>
                <w:sz w:val="20"/>
              </w:rPr>
            </w:pPr>
            <w:r>
              <w:rPr>
                <w:sz w:val="20"/>
              </w:rPr>
              <w:t>La</w:t>
            </w:r>
            <w:r>
              <w:rPr>
                <w:spacing w:val="-7"/>
                <w:sz w:val="20"/>
              </w:rPr>
              <w:t> </w:t>
            </w:r>
            <w:r>
              <w:rPr>
                <w:sz w:val="20"/>
              </w:rPr>
              <w:t>fuente</w:t>
            </w:r>
            <w:r>
              <w:rPr>
                <w:spacing w:val="-6"/>
                <w:sz w:val="20"/>
              </w:rPr>
              <w:t> </w:t>
            </w:r>
            <w:r>
              <w:rPr>
                <w:sz w:val="20"/>
              </w:rPr>
              <w:t>de</w:t>
            </w:r>
            <w:r>
              <w:rPr>
                <w:spacing w:val="-4"/>
                <w:sz w:val="20"/>
              </w:rPr>
              <w:t> </w:t>
            </w:r>
            <w:r>
              <w:rPr>
                <w:sz w:val="20"/>
              </w:rPr>
              <w:t>la</w:t>
            </w:r>
            <w:r>
              <w:rPr>
                <w:spacing w:val="-4"/>
                <w:sz w:val="20"/>
              </w:rPr>
              <w:t> </w:t>
            </w:r>
            <w:r>
              <w:rPr>
                <w:sz w:val="20"/>
              </w:rPr>
              <w:t>información</w:t>
            </w:r>
            <w:r>
              <w:rPr>
                <w:spacing w:val="-5"/>
                <w:sz w:val="20"/>
              </w:rPr>
              <w:t> </w:t>
            </w:r>
            <w:r>
              <w:rPr>
                <w:sz w:val="20"/>
              </w:rPr>
              <w:t>es</w:t>
            </w:r>
            <w:r>
              <w:rPr>
                <w:spacing w:val="-5"/>
                <w:sz w:val="20"/>
              </w:rPr>
              <w:t> TI</w:t>
            </w:r>
          </w:p>
        </w:tc>
      </w:tr>
      <w:tr>
        <w:trPr>
          <w:trHeight w:val="1032" w:hRule="atLeast"/>
        </w:trPr>
        <w:tc>
          <w:tcPr>
            <w:tcW w:w="2974" w:type="dxa"/>
            <w:shd w:val="clear" w:color="auto" w:fill="DBE4F0"/>
          </w:tcPr>
          <w:p>
            <w:pPr>
              <w:pStyle w:val="TableParagraph"/>
              <w:spacing w:before="170"/>
              <w:rPr>
                <w:b/>
                <w:sz w:val="20"/>
              </w:rPr>
            </w:pPr>
          </w:p>
          <w:p>
            <w:pPr>
              <w:pStyle w:val="TableParagraph"/>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8" w:type="dxa"/>
          </w:tcPr>
          <w:p>
            <w:pPr>
              <w:pStyle w:val="TableParagraph"/>
              <w:spacing w:before="170"/>
              <w:ind w:left="69" w:right="172"/>
              <w:rPr>
                <w:sz w:val="20"/>
              </w:rPr>
            </w:pPr>
            <w:r>
              <w:rPr>
                <w:sz w:val="20"/>
              </w:rPr>
              <w:t>Reportes o informes generados por TI en donde se visualice la cantidad de solicitudes</w:t>
            </w:r>
            <w:r>
              <w:rPr>
                <w:spacing w:val="-4"/>
                <w:sz w:val="20"/>
              </w:rPr>
              <w:t> </w:t>
            </w:r>
            <w:r>
              <w:rPr>
                <w:sz w:val="20"/>
              </w:rPr>
              <w:t>efectuadas</w:t>
            </w:r>
            <w:r>
              <w:rPr>
                <w:spacing w:val="-4"/>
                <w:sz w:val="20"/>
              </w:rPr>
              <w:t> </w:t>
            </w:r>
            <w:r>
              <w:rPr>
                <w:sz w:val="20"/>
              </w:rPr>
              <w:t>por</w:t>
            </w:r>
            <w:r>
              <w:rPr>
                <w:spacing w:val="-6"/>
                <w:sz w:val="20"/>
              </w:rPr>
              <w:t> </w:t>
            </w:r>
            <w:r>
              <w:rPr>
                <w:sz w:val="20"/>
              </w:rPr>
              <w:t>las</w:t>
            </w:r>
            <w:r>
              <w:rPr>
                <w:spacing w:val="-6"/>
                <w:sz w:val="20"/>
              </w:rPr>
              <w:t> </w:t>
            </w:r>
            <w:r>
              <w:rPr>
                <w:sz w:val="20"/>
              </w:rPr>
              <w:t>dependencias</w:t>
            </w:r>
            <w:r>
              <w:rPr>
                <w:spacing w:val="-6"/>
                <w:sz w:val="20"/>
              </w:rPr>
              <w:t> </w:t>
            </w:r>
            <w:r>
              <w:rPr>
                <w:sz w:val="20"/>
              </w:rPr>
              <w:t>para</w:t>
            </w:r>
            <w:r>
              <w:rPr>
                <w:spacing w:val="-5"/>
                <w:sz w:val="20"/>
              </w:rPr>
              <w:t> </w:t>
            </w:r>
            <w:r>
              <w:rPr>
                <w:sz w:val="20"/>
              </w:rPr>
              <w:t>el</w:t>
            </w:r>
            <w:r>
              <w:rPr>
                <w:spacing w:val="-6"/>
                <w:sz w:val="20"/>
              </w:rPr>
              <w:t> </w:t>
            </w:r>
            <w:r>
              <w:rPr>
                <w:sz w:val="20"/>
              </w:rPr>
              <w:t>mantenimiento</w:t>
            </w:r>
            <w:r>
              <w:rPr>
                <w:spacing w:val="-8"/>
                <w:sz w:val="20"/>
              </w:rPr>
              <w:t> </w:t>
            </w:r>
            <w:r>
              <w:rPr>
                <w:sz w:val="20"/>
              </w:rPr>
              <w:t>y</w:t>
            </w:r>
            <w:r>
              <w:rPr>
                <w:spacing w:val="-6"/>
                <w:sz w:val="20"/>
              </w:rPr>
              <w:t> </w:t>
            </w:r>
            <w:r>
              <w:rPr>
                <w:sz w:val="20"/>
              </w:rPr>
              <w:t>reparación de equipo de cómputo y sistemas de información recibas en el SAP</w:t>
            </w:r>
          </w:p>
        </w:tc>
      </w:tr>
      <w:tr>
        <w:trPr>
          <w:trHeight w:val="628" w:hRule="atLeast"/>
        </w:trPr>
        <w:tc>
          <w:tcPr>
            <w:tcW w:w="2974" w:type="dxa"/>
            <w:shd w:val="clear" w:color="auto" w:fill="DBE4F0"/>
          </w:tcPr>
          <w:p>
            <w:pPr>
              <w:pStyle w:val="TableParagraph"/>
              <w:spacing w:before="198"/>
              <w:ind w:left="67"/>
              <w:rPr>
                <w:b/>
                <w:sz w:val="20"/>
              </w:rPr>
            </w:pPr>
            <w:r>
              <w:rPr>
                <w:b/>
                <w:spacing w:val="-2"/>
                <w:sz w:val="20"/>
              </w:rPr>
              <w:t>Clasificación</w:t>
            </w:r>
          </w:p>
        </w:tc>
        <w:tc>
          <w:tcPr>
            <w:tcW w:w="7518" w:type="dxa"/>
          </w:tcPr>
          <w:p>
            <w:pPr>
              <w:pStyle w:val="TableParagraph"/>
              <w:spacing w:before="198"/>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556" w:hRule="atLeast"/>
        </w:trPr>
        <w:tc>
          <w:tcPr>
            <w:tcW w:w="2974" w:type="dxa"/>
            <w:shd w:val="clear" w:color="auto" w:fill="DBE4F0"/>
          </w:tcPr>
          <w:p>
            <w:pPr>
              <w:pStyle w:val="TableParagraph"/>
              <w:spacing w:before="162"/>
              <w:ind w:left="67"/>
              <w:rPr>
                <w:b/>
                <w:sz w:val="20"/>
              </w:rPr>
            </w:pPr>
            <w:r>
              <w:rPr>
                <w:b/>
                <w:spacing w:val="-2"/>
                <w:sz w:val="20"/>
              </w:rPr>
              <w:t>Comentarios</w:t>
            </w:r>
            <w:r>
              <w:rPr>
                <w:b/>
                <w:spacing w:val="6"/>
                <w:sz w:val="20"/>
              </w:rPr>
              <w:t> </w:t>
            </w:r>
            <w:r>
              <w:rPr>
                <w:b/>
                <w:spacing w:val="-2"/>
                <w:sz w:val="20"/>
              </w:rPr>
              <w:t>Generales</w:t>
            </w:r>
          </w:p>
        </w:tc>
        <w:tc>
          <w:tcPr>
            <w:tcW w:w="7518" w:type="dxa"/>
          </w:tcPr>
          <w:p>
            <w:pPr>
              <w:pStyle w:val="TableParagraph"/>
              <w:spacing w:before="162"/>
              <w:ind w:left="125"/>
              <w:rPr>
                <w:sz w:val="20"/>
              </w:rPr>
            </w:pPr>
            <w:r>
              <w:rPr>
                <w:sz w:val="20"/>
              </w:rPr>
              <w:t>Partida</w:t>
            </w:r>
            <w:r>
              <w:rPr>
                <w:spacing w:val="-9"/>
                <w:sz w:val="20"/>
              </w:rPr>
              <w:t> </w:t>
            </w:r>
            <w:r>
              <w:rPr>
                <w:spacing w:val="-2"/>
                <w:sz w:val="20"/>
              </w:rPr>
              <w:t>5.01.05</w:t>
            </w:r>
          </w:p>
        </w:tc>
      </w:tr>
    </w:tbl>
    <w:p>
      <w:pPr>
        <w:pStyle w:val="BodyText"/>
        <w:rPr>
          <w:b/>
          <w:sz w:val="20"/>
        </w:rPr>
      </w:pPr>
    </w:p>
    <w:p>
      <w:pPr>
        <w:pStyle w:val="BodyText"/>
        <w:spacing w:before="19" w:after="1"/>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4"/>
        <w:gridCol w:w="7518"/>
      </w:tblGrid>
      <w:tr>
        <w:trPr>
          <w:trHeight w:val="611" w:hRule="atLeast"/>
        </w:trPr>
        <w:tc>
          <w:tcPr>
            <w:tcW w:w="2974" w:type="dxa"/>
            <w:shd w:val="clear" w:color="auto" w:fill="DBE4F0"/>
          </w:tcPr>
          <w:p>
            <w:pPr>
              <w:pStyle w:val="TableParagraph"/>
              <w:spacing w:before="191"/>
              <w:ind w:left="67"/>
              <w:rPr>
                <w:b/>
                <w:sz w:val="20"/>
              </w:rPr>
            </w:pPr>
            <w:r>
              <w:rPr>
                <w:b/>
                <w:sz w:val="20"/>
              </w:rPr>
              <w:t>PAC</w:t>
            </w:r>
            <w:r>
              <w:rPr>
                <w:b/>
                <w:spacing w:val="-8"/>
                <w:sz w:val="20"/>
              </w:rPr>
              <w:t> </w:t>
            </w:r>
            <w:r>
              <w:rPr>
                <w:b/>
                <w:spacing w:val="-2"/>
                <w:sz w:val="20"/>
              </w:rPr>
              <w:t>2.4.3</w:t>
            </w:r>
          </w:p>
        </w:tc>
        <w:tc>
          <w:tcPr>
            <w:tcW w:w="7518" w:type="dxa"/>
          </w:tcPr>
          <w:p>
            <w:pPr>
              <w:pStyle w:val="TableParagraph"/>
              <w:spacing w:before="76"/>
              <w:ind w:left="69" w:right="172"/>
              <w:rPr>
                <w:sz w:val="20"/>
              </w:rPr>
            </w:pPr>
            <w:r>
              <w:rPr>
                <w:sz w:val="20"/>
              </w:rPr>
              <w:t>Nombre</w:t>
            </w:r>
            <w:r>
              <w:rPr>
                <w:spacing w:val="-5"/>
                <w:sz w:val="20"/>
              </w:rPr>
              <w:t> </w:t>
            </w:r>
            <w:r>
              <w:rPr>
                <w:sz w:val="20"/>
              </w:rPr>
              <w:t>del</w:t>
            </w:r>
            <w:r>
              <w:rPr>
                <w:spacing w:val="-7"/>
                <w:sz w:val="20"/>
              </w:rPr>
              <w:t> </w:t>
            </w:r>
            <w:r>
              <w:rPr>
                <w:sz w:val="20"/>
              </w:rPr>
              <w:t>Indicador:</w:t>
            </w:r>
            <w:r>
              <w:rPr>
                <w:spacing w:val="-5"/>
                <w:sz w:val="20"/>
              </w:rPr>
              <w:t> </w:t>
            </w:r>
            <w:r>
              <w:rPr>
                <w:sz w:val="20"/>
              </w:rPr>
              <w:t>Porcentaje</w:t>
            </w:r>
            <w:r>
              <w:rPr>
                <w:spacing w:val="-5"/>
                <w:sz w:val="20"/>
              </w:rPr>
              <w:t> </w:t>
            </w:r>
            <w:r>
              <w:rPr>
                <w:sz w:val="20"/>
              </w:rPr>
              <w:t>de</w:t>
            </w:r>
            <w:r>
              <w:rPr>
                <w:spacing w:val="-7"/>
                <w:sz w:val="20"/>
              </w:rPr>
              <w:t> </w:t>
            </w:r>
            <w:r>
              <w:rPr>
                <w:sz w:val="20"/>
              </w:rPr>
              <w:t>gestiones</w:t>
            </w:r>
            <w:r>
              <w:rPr>
                <w:spacing w:val="-6"/>
                <w:sz w:val="20"/>
              </w:rPr>
              <w:t> </w:t>
            </w:r>
            <w:r>
              <w:rPr>
                <w:sz w:val="20"/>
              </w:rPr>
              <w:t>de</w:t>
            </w:r>
            <w:r>
              <w:rPr>
                <w:spacing w:val="-7"/>
                <w:sz w:val="20"/>
              </w:rPr>
              <w:t> </w:t>
            </w:r>
            <w:r>
              <w:rPr>
                <w:sz w:val="20"/>
              </w:rPr>
              <w:t>las</w:t>
            </w:r>
            <w:r>
              <w:rPr>
                <w:spacing w:val="-4"/>
                <w:sz w:val="20"/>
              </w:rPr>
              <w:t> </w:t>
            </w:r>
            <w:r>
              <w:rPr>
                <w:sz w:val="20"/>
              </w:rPr>
              <w:t>solicitudes</w:t>
            </w:r>
            <w:r>
              <w:rPr>
                <w:spacing w:val="-4"/>
                <w:sz w:val="20"/>
              </w:rPr>
              <w:t> </w:t>
            </w:r>
            <w:r>
              <w:rPr>
                <w:sz w:val="20"/>
              </w:rPr>
              <w:t>efectuadas</w:t>
            </w:r>
            <w:r>
              <w:rPr>
                <w:spacing w:val="-4"/>
                <w:sz w:val="20"/>
              </w:rPr>
              <w:t> </w:t>
            </w:r>
            <w:r>
              <w:rPr>
                <w:sz w:val="20"/>
              </w:rPr>
              <w:t>por las dependencias para la adquisición de equipo de comunicación</w:t>
            </w:r>
          </w:p>
        </w:tc>
      </w:tr>
      <w:tr>
        <w:trPr>
          <w:trHeight w:val="525" w:hRule="atLeast"/>
        </w:trPr>
        <w:tc>
          <w:tcPr>
            <w:tcW w:w="2974" w:type="dxa"/>
            <w:shd w:val="clear" w:color="auto" w:fill="DBE4F0"/>
          </w:tcPr>
          <w:p>
            <w:pPr>
              <w:pStyle w:val="TableParagraph"/>
              <w:spacing w:before="148"/>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8" w:type="dxa"/>
          </w:tcPr>
          <w:p>
            <w:pPr>
              <w:pStyle w:val="TableParagraph"/>
              <w:spacing w:before="148"/>
              <w:ind w:left="69"/>
              <w:rPr>
                <w:sz w:val="20"/>
              </w:rPr>
            </w:pPr>
            <w:r>
              <w:rPr>
                <w:sz w:val="20"/>
              </w:rPr>
              <w:t>(Total</w:t>
            </w:r>
            <w:r>
              <w:rPr>
                <w:spacing w:val="-8"/>
                <w:sz w:val="20"/>
              </w:rPr>
              <w:t> </w:t>
            </w:r>
            <w:r>
              <w:rPr>
                <w:sz w:val="20"/>
              </w:rPr>
              <w:t>de</w:t>
            </w:r>
            <w:r>
              <w:rPr>
                <w:spacing w:val="-9"/>
                <w:sz w:val="20"/>
              </w:rPr>
              <w:t> </w:t>
            </w:r>
            <w:r>
              <w:rPr>
                <w:sz w:val="20"/>
              </w:rPr>
              <w:t>gestiones</w:t>
            </w:r>
            <w:r>
              <w:rPr>
                <w:spacing w:val="-8"/>
                <w:sz w:val="20"/>
              </w:rPr>
              <w:t> </w:t>
            </w:r>
            <w:r>
              <w:rPr>
                <w:sz w:val="20"/>
              </w:rPr>
              <w:t>efectuadas</w:t>
            </w:r>
            <w:r>
              <w:rPr>
                <w:spacing w:val="-7"/>
                <w:sz w:val="20"/>
              </w:rPr>
              <w:t> </w:t>
            </w:r>
            <w:r>
              <w:rPr>
                <w:sz w:val="20"/>
              </w:rPr>
              <w:t>/</w:t>
            </w:r>
            <w:r>
              <w:rPr>
                <w:spacing w:val="-9"/>
                <w:sz w:val="20"/>
              </w:rPr>
              <w:t> </w:t>
            </w:r>
            <w:r>
              <w:rPr>
                <w:sz w:val="20"/>
              </w:rPr>
              <w:t>Total</w:t>
            </w:r>
            <w:r>
              <w:rPr>
                <w:spacing w:val="-7"/>
                <w:sz w:val="20"/>
              </w:rPr>
              <w:t> </w:t>
            </w:r>
            <w:r>
              <w:rPr>
                <w:sz w:val="20"/>
              </w:rPr>
              <w:t>de</w:t>
            </w:r>
            <w:r>
              <w:rPr>
                <w:spacing w:val="-9"/>
                <w:sz w:val="20"/>
              </w:rPr>
              <w:t> </w:t>
            </w:r>
            <w:r>
              <w:rPr>
                <w:sz w:val="20"/>
              </w:rPr>
              <w:t>solicitudes</w:t>
            </w:r>
            <w:r>
              <w:rPr>
                <w:spacing w:val="-8"/>
                <w:sz w:val="20"/>
              </w:rPr>
              <w:t> </w:t>
            </w:r>
            <w:r>
              <w:rPr>
                <w:sz w:val="20"/>
              </w:rPr>
              <w:t>recibidas)</w:t>
            </w:r>
            <w:r>
              <w:rPr>
                <w:spacing w:val="-7"/>
                <w:sz w:val="20"/>
              </w:rPr>
              <w:t> </w:t>
            </w:r>
            <w:r>
              <w:rPr>
                <w:spacing w:val="-4"/>
                <w:sz w:val="20"/>
              </w:rPr>
              <w:t>*100</w:t>
            </w:r>
          </w:p>
        </w:tc>
      </w:tr>
      <w:tr>
        <w:trPr>
          <w:trHeight w:val="523" w:hRule="atLeast"/>
        </w:trPr>
        <w:tc>
          <w:tcPr>
            <w:tcW w:w="2974" w:type="dxa"/>
            <w:shd w:val="clear" w:color="auto" w:fill="DBE4F0"/>
          </w:tcPr>
          <w:p>
            <w:pPr>
              <w:pStyle w:val="TableParagraph"/>
              <w:spacing w:before="146"/>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8" w:type="dxa"/>
          </w:tcPr>
          <w:p>
            <w:pPr>
              <w:pStyle w:val="TableParagraph"/>
              <w:spacing w:before="146"/>
              <w:ind w:left="69"/>
              <w:rPr>
                <w:sz w:val="20"/>
              </w:rPr>
            </w:pPr>
            <w:r>
              <w:rPr>
                <w:spacing w:val="-2"/>
                <w:sz w:val="20"/>
              </w:rPr>
              <w:t>Porcentaje</w:t>
            </w:r>
          </w:p>
        </w:tc>
      </w:tr>
      <w:tr>
        <w:trPr>
          <w:trHeight w:val="885" w:hRule="atLeast"/>
        </w:trPr>
        <w:tc>
          <w:tcPr>
            <w:tcW w:w="2974" w:type="dxa"/>
            <w:shd w:val="clear" w:color="auto" w:fill="DBE4F0"/>
          </w:tcPr>
          <w:p>
            <w:pPr>
              <w:pStyle w:val="TableParagraph"/>
              <w:spacing w:before="95"/>
              <w:rPr>
                <w:b/>
                <w:sz w:val="20"/>
              </w:rPr>
            </w:pPr>
          </w:p>
          <w:p>
            <w:pPr>
              <w:pStyle w:val="TableParagraph"/>
              <w:spacing w:before="1"/>
              <w:ind w:left="67"/>
              <w:rPr>
                <w:b/>
                <w:sz w:val="20"/>
              </w:rPr>
            </w:pPr>
            <w:r>
              <w:rPr>
                <w:b/>
                <w:spacing w:val="-2"/>
                <w:sz w:val="20"/>
              </w:rPr>
              <w:t>Interpretación:</w:t>
            </w:r>
          </w:p>
        </w:tc>
        <w:tc>
          <w:tcPr>
            <w:tcW w:w="7518" w:type="dxa"/>
          </w:tcPr>
          <w:p>
            <w:pPr>
              <w:pStyle w:val="TableParagraph"/>
              <w:spacing w:before="95"/>
              <w:ind w:left="69" w:right="172"/>
              <w:rPr>
                <w:sz w:val="20"/>
              </w:rPr>
            </w:pPr>
            <w:r>
              <w:rPr>
                <w:sz w:val="20"/>
              </w:rPr>
              <w:t>Su</w:t>
            </w:r>
            <w:r>
              <w:rPr>
                <w:spacing w:val="-5"/>
                <w:sz w:val="20"/>
              </w:rPr>
              <w:t> </w:t>
            </w:r>
            <w:r>
              <w:rPr>
                <w:sz w:val="20"/>
              </w:rPr>
              <w:t>resultado</w:t>
            </w:r>
            <w:r>
              <w:rPr>
                <w:spacing w:val="-6"/>
                <w:sz w:val="20"/>
              </w:rPr>
              <w:t> </w:t>
            </w:r>
            <w:r>
              <w:rPr>
                <w:sz w:val="20"/>
              </w:rPr>
              <w:t>es</w:t>
            </w:r>
            <w:r>
              <w:rPr>
                <w:spacing w:val="-2"/>
                <w:sz w:val="20"/>
              </w:rPr>
              <w:t> </w:t>
            </w:r>
            <w:r>
              <w:rPr>
                <w:sz w:val="20"/>
              </w:rPr>
              <w:t>la</w:t>
            </w:r>
            <w:r>
              <w:rPr>
                <w:spacing w:val="-3"/>
                <w:sz w:val="20"/>
              </w:rPr>
              <w:t> </w:t>
            </w:r>
            <w:r>
              <w:rPr>
                <w:sz w:val="20"/>
              </w:rPr>
              <w:t>derivación</w:t>
            </w:r>
            <w:r>
              <w:rPr>
                <w:spacing w:val="-6"/>
                <w:sz w:val="20"/>
              </w:rPr>
              <w:t> </w:t>
            </w:r>
            <w:r>
              <w:rPr>
                <w:sz w:val="20"/>
              </w:rPr>
              <w:t>de</w:t>
            </w:r>
            <w:r>
              <w:rPr>
                <w:spacing w:val="-5"/>
                <w:sz w:val="20"/>
              </w:rPr>
              <w:t> </w:t>
            </w:r>
            <w:r>
              <w:rPr>
                <w:sz w:val="20"/>
              </w:rPr>
              <w:t>la</w:t>
            </w:r>
            <w:r>
              <w:rPr>
                <w:spacing w:val="-5"/>
                <w:sz w:val="20"/>
              </w:rPr>
              <w:t> </w:t>
            </w:r>
            <w:r>
              <w:rPr>
                <w:sz w:val="20"/>
              </w:rPr>
              <w:t>relación</w:t>
            </w:r>
            <w:r>
              <w:rPr>
                <w:spacing w:val="-5"/>
                <w:sz w:val="20"/>
              </w:rPr>
              <w:t> </w:t>
            </w:r>
            <w:r>
              <w:rPr>
                <w:sz w:val="20"/>
              </w:rPr>
              <w:t>de</w:t>
            </w:r>
            <w:r>
              <w:rPr>
                <w:spacing w:val="-3"/>
                <w:sz w:val="20"/>
              </w:rPr>
              <w:t> </w:t>
            </w:r>
            <w:r>
              <w:rPr>
                <w:sz w:val="20"/>
              </w:rPr>
              <w:t>la</w:t>
            </w:r>
            <w:r>
              <w:rPr>
                <w:spacing w:val="-3"/>
                <w:sz w:val="20"/>
              </w:rPr>
              <w:t> </w:t>
            </w:r>
            <w:r>
              <w:rPr>
                <w:sz w:val="20"/>
              </w:rPr>
              <w:t>cantidad</w:t>
            </w:r>
            <w:r>
              <w:rPr>
                <w:spacing w:val="-3"/>
                <w:sz w:val="20"/>
              </w:rPr>
              <w:t> </w:t>
            </w:r>
            <w:r>
              <w:rPr>
                <w:sz w:val="20"/>
              </w:rPr>
              <w:t>de</w:t>
            </w:r>
            <w:r>
              <w:rPr>
                <w:spacing w:val="-6"/>
                <w:sz w:val="20"/>
              </w:rPr>
              <w:t> </w:t>
            </w:r>
            <w:r>
              <w:rPr>
                <w:sz w:val="20"/>
              </w:rPr>
              <w:t>solicitudes</w:t>
            </w:r>
            <w:r>
              <w:rPr>
                <w:spacing w:val="-2"/>
                <w:sz w:val="20"/>
              </w:rPr>
              <w:t> </w:t>
            </w:r>
            <w:r>
              <w:rPr>
                <w:sz w:val="20"/>
              </w:rPr>
              <w:t>que ejecuta o procesa TI versus la cantidad de solicitudes provenientes de las unidades expresado como relación porcentual.</w:t>
            </w:r>
          </w:p>
        </w:tc>
      </w:tr>
      <w:tr>
        <w:trPr>
          <w:trHeight w:val="493" w:hRule="atLeast"/>
        </w:trPr>
        <w:tc>
          <w:tcPr>
            <w:tcW w:w="2974" w:type="dxa"/>
            <w:shd w:val="clear" w:color="auto" w:fill="DBE4F0"/>
          </w:tcPr>
          <w:p>
            <w:pPr>
              <w:pStyle w:val="TableParagraph"/>
              <w:spacing w:before="131"/>
              <w:ind w:left="67"/>
              <w:rPr>
                <w:b/>
                <w:sz w:val="20"/>
              </w:rPr>
            </w:pPr>
            <w:r>
              <w:rPr>
                <w:b/>
                <w:spacing w:val="-2"/>
                <w:sz w:val="20"/>
              </w:rPr>
              <w:t>Desagregación</w:t>
            </w:r>
          </w:p>
        </w:tc>
        <w:tc>
          <w:tcPr>
            <w:tcW w:w="7518" w:type="dxa"/>
          </w:tcPr>
          <w:p>
            <w:pPr>
              <w:pStyle w:val="TableParagraph"/>
              <w:spacing w:before="131"/>
              <w:ind w:left="69"/>
              <w:rPr>
                <w:sz w:val="20"/>
              </w:rPr>
            </w:pPr>
            <w:r>
              <w:rPr>
                <w:spacing w:val="-2"/>
                <w:sz w:val="20"/>
              </w:rPr>
              <w:t>Regional</w:t>
            </w:r>
          </w:p>
        </w:tc>
      </w:tr>
      <w:tr>
        <w:trPr>
          <w:trHeight w:val="316" w:hRule="atLeast"/>
        </w:trPr>
        <w:tc>
          <w:tcPr>
            <w:tcW w:w="2974" w:type="dxa"/>
            <w:shd w:val="clear" w:color="auto" w:fill="DBE4F0"/>
          </w:tcPr>
          <w:p>
            <w:pPr>
              <w:pStyle w:val="TableParagraph"/>
              <w:spacing w:before="42"/>
              <w:ind w:left="67"/>
              <w:rPr>
                <w:b/>
                <w:sz w:val="20"/>
              </w:rPr>
            </w:pPr>
            <w:r>
              <w:rPr>
                <w:b/>
                <w:spacing w:val="-2"/>
                <w:sz w:val="20"/>
              </w:rPr>
              <w:t>Meta:</w:t>
            </w:r>
          </w:p>
        </w:tc>
        <w:tc>
          <w:tcPr>
            <w:tcW w:w="7518" w:type="dxa"/>
          </w:tcPr>
          <w:p>
            <w:pPr>
              <w:pStyle w:val="TableParagraph"/>
              <w:spacing w:before="42"/>
              <w:ind w:left="69"/>
              <w:rPr>
                <w:sz w:val="20"/>
              </w:rPr>
            </w:pPr>
            <w:r>
              <w:rPr>
                <w:spacing w:val="-4"/>
                <w:sz w:val="20"/>
              </w:rPr>
              <w:t>100%</w:t>
            </w:r>
          </w:p>
        </w:tc>
      </w:tr>
      <w:tr>
        <w:trPr>
          <w:trHeight w:val="314" w:hRule="atLeast"/>
        </w:trPr>
        <w:tc>
          <w:tcPr>
            <w:tcW w:w="2974" w:type="dxa"/>
            <w:shd w:val="clear" w:color="auto" w:fill="DBE4F0"/>
          </w:tcPr>
          <w:p>
            <w:pPr>
              <w:pStyle w:val="TableParagraph"/>
              <w:spacing w:before="40"/>
              <w:ind w:left="67"/>
              <w:rPr>
                <w:b/>
                <w:sz w:val="20"/>
              </w:rPr>
            </w:pPr>
            <w:r>
              <w:rPr>
                <w:b/>
                <w:sz w:val="20"/>
              </w:rPr>
              <w:t>Línea</w:t>
            </w:r>
            <w:r>
              <w:rPr>
                <w:b/>
                <w:spacing w:val="-10"/>
                <w:sz w:val="20"/>
              </w:rPr>
              <w:t> </w:t>
            </w:r>
            <w:r>
              <w:rPr>
                <w:b/>
                <w:spacing w:val="-4"/>
                <w:sz w:val="20"/>
              </w:rPr>
              <w:t>Base</w:t>
            </w:r>
          </w:p>
        </w:tc>
        <w:tc>
          <w:tcPr>
            <w:tcW w:w="7518" w:type="dxa"/>
          </w:tcPr>
          <w:p>
            <w:pPr>
              <w:pStyle w:val="TableParagraph"/>
              <w:spacing w:before="40"/>
              <w:ind w:left="69"/>
              <w:rPr>
                <w:sz w:val="20"/>
              </w:rPr>
            </w:pPr>
            <w:r>
              <w:rPr>
                <w:spacing w:val="-10"/>
                <w:sz w:val="20"/>
              </w:rPr>
              <w:t>-</w:t>
            </w:r>
          </w:p>
        </w:tc>
      </w:tr>
      <w:tr>
        <w:trPr>
          <w:trHeight w:val="460" w:hRule="atLeast"/>
        </w:trPr>
        <w:tc>
          <w:tcPr>
            <w:tcW w:w="2974" w:type="dxa"/>
            <w:shd w:val="clear" w:color="auto" w:fill="DBE4F0"/>
          </w:tcPr>
          <w:p>
            <w:pPr>
              <w:pStyle w:val="TableParagraph"/>
              <w:spacing w:line="230" w:lineRule="exact"/>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8" w:type="dxa"/>
          </w:tcPr>
          <w:p>
            <w:pPr>
              <w:pStyle w:val="TableParagraph"/>
              <w:spacing w:before="114"/>
              <w:ind w:left="69"/>
              <w:rPr>
                <w:sz w:val="20"/>
              </w:rPr>
            </w:pPr>
            <w:r>
              <w:rPr>
                <w:spacing w:val="-4"/>
                <w:sz w:val="20"/>
              </w:rPr>
              <w:t>Anual</w:t>
            </w:r>
          </w:p>
        </w:tc>
      </w:tr>
      <w:tr>
        <w:trPr>
          <w:trHeight w:val="628" w:hRule="atLeast"/>
        </w:trPr>
        <w:tc>
          <w:tcPr>
            <w:tcW w:w="2974" w:type="dxa"/>
            <w:shd w:val="clear" w:color="auto" w:fill="DBE4F0"/>
          </w:tcPr>
          <w:p>
            <w:pPr>
              <w:pStyle w:val="TableParagraph"/>
              <w:spacing w:before="83"/>
              <w:ind w:left="67" w:right="512"/>
              <w:rPr>
                <w:b/>
                <w:sz w:val="20"/>
              </w:rPr>
            </w:pPr>
            <w:r>
              <w:rPr>
                <w:b/>
                <w:sz w:val="20"/>
              </w:rPr>
              <w:t>Responsable de la recopilación</w:t>
            </w:r>
            <w:r>
              <w:rPr>
                <w:b/>
                <w:spacing w:val="-14"/>
                <w:sz w:val="20"/>
              </w:rPr>
              <w:t> </w:t>
            </w:r>
            <w:r>
              <w:rPr>
                <w:b/>
                <w:sz w:val="20"/>
              </w:rPr>
              <w:t>información</w:t>
            </w:r>
          </w:p>
        </w:tc>
        <w:tc>
          <w:tcPr>
            <w:tcW w:w="7518" w:type="dxa"/>
          </w:tcPr>
          <w:p>
            <w:pPr>
              <w:pStyle w:val="TableParagraph"/>
              <w:spacing w:before="83"/>
              <w:ind w:left="69" w:right="2090"/>
              <w:rPr>
                <w:sz w:val="20"/>
              </w:rPr>
            </w:pPr>
            <w:r>
              <w:rPr>
                <w:sz w:val="20"/>
              </w:rPr>
              <w:t>Nombre</w:t>
            </w:r>
            <w:r>
              <w:rPr>
                <w:spacing w:val="-6"/>
                <w:sz w:val="20"/>
              </w:rPr>
              <w:t> </w:t>
            </w:r>
            <w:r>
              <w:rPr>
                <w:sz w:val="20"/>
              </w:rPr>
              <w:t>del</w:t>
            </w:r>
            <w:r>
              <w:rPr>
                <w:spacing w:val="-9"/>
                <w:sz w:val="20"/>
              </w:rPr>
              <w:t> </w:t>
            </w:r>
            <w:r>
              <w:rPr>
                <w:sz w:val="20"/>
              </w:rPr>
              <w:t>funcionario:</w:t>
            </w:r>
            <w:r>
              <w:rPr>
                <w:spacing w:val="-8"/>
                <w:sz w:val="20"/>
              </w:rPr>
              <w:t> </w:t>
            </w:r>
            <w:r>
              <w:rPr>
                <w:sz w:val="20"/>
              </w:rPr>
              <w:t>Luis</w:t>
            </w:r>
            <w:r>
              <w:rPr>
                <w:spacing w:val="-7"/>
                <w:sz w:val="20"/>
              </w:rPr>
              <w:t> </w:t>
            </w:r>
            <w:r>
              <w:rPr>
                <w:sz w:val="20"/>
              </w:rPr>
              <w:t>Adolfo</w:t>
            </w:r>
            <w:r>
              <w:rPr>
                <w:spacing w:val="-9"/>
                <w:sz w:val="20"/>
              </w:rPr>
              <w:t> </w:t>
            </w:r>
            <w:r>
              <w:rPr>
                <w:sz w:val="20"/>
              </w:rPr>
              <w:t>Gonzalez</w:t>
            </w:r>
            <w:r>
              <w:rPr>
                <w:spacing w:val="-7"/>
                <w:sz w:val="20"/>
              </w:rPr>
              <w:t> </w:t>
            </w:r>
            <w:r>
              <w:rPr>
                <w:sz w:val="20"/>
              </w:rPr>
              <w:t>Alguera Cargo: Jefatura TI</w:t>
            </w:r>
          </w:p>
        </w:tc>
      </w:tr>
      <w:tr>
        <w:trPr>
          <w:trHeight w:val="785" w:hRule="atLeast"/>
        </w:trPr>
        <w:tc>
          <w:tcPr>
            <w:tcW w:w="2974" w:type="dxa"/>
            <w:shd w:val="clear" w:color="auto" w:fill="DBE4F0"/>
          </w:tcPr>
          <w:p>
            <w:pPr>
              <w:pStyle w:val="TableParagraph"/>
              <w:spacing w:before="163"/>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8" w:type="dxa"/>
          </w:tcPr>
          <w:p>
            <w:pPr>
              <w:pStyle w:val="TableParagraph"/>
              <w:spacing w:before="48"/>
              <w:rPr>
                <w:b/>
                <w:sz w:val="20"/>
              </w:rPr>
            </w:pPr>
          </w:p>
          <w:p>
            <w:pPr>
              <w:pStyle w:val="TableParagraph"/>
              <w:ind w:left="69"/>
              <w:rPr>
                <w:sz w:val="20"/>
              </w:rPr>
            </w:pPr>
            <w:r>
              <w:rPr>
                <w:sz w:val="20"/>
              </w:rPr>
              <w:t>Tecnología</w:t>
            </w:r>
            <w:r>
              <w:rPr>
                <w:spacing w:val="-10"/>
                <w:sz w:val="20"/>
              </w:rPr>
              <w:t> </w:t>
            </w:r>
            <w:r>
              <w:rPr>
                <w:sz w:val="20"/>
              </w:rPr>
              <w:t>de</w:t>
            </w:r>
            <w:r>
              <w:rPr>
                <w:spacing w:val="-9"/>
                <w:sz w:val="20"/>
              </w:rPr>
              <w:t> </w:t>
            </w:r>
            <w:r>
              <w:rPr>
                <w:spacing w:val="-2"/>
                <w:sz w:val="20"/>
              </w:rPr>
              <w:t>Información</w:t>
            </w:r>
          </w:p>
        </w:tc>
      </w:tr>
      <w:tr>
        <w:trPr>
          <w:trHeight w:val="450" w:hRule="atLeast"/>
        </w:trPr>
        <w:tc>
          <w:tcPr>
            <w:tcW w:w="2974" w:type="dxa"/>
            <w:shd w:val="clear" w:color="auto" w:fill="DBE4F0"/>
          </w:tcPr>
          <w:p>
            <w:pPr>
              <w:pStyle w:val="TableParagraph"/>
              <w:spacing w:before="110"/>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8" w:type="dxa"/>
          </w:tcPr>
          <w:p>
            <w:pPr>
              <w:pStyle w:val="TableParagraph"/>
              <w:spacing w:before="110"/>
              <w:ind w:left="69"/>
              <w:rPr>
                <w:sz w:val="20"/>
              </w:rPr>
            </w:pPr>
            <w:r>
              <w:rPr>
                <w:sz w:val="20"/>
              </w:rPr>
              <w:t>La</w:t>
            </w:r>
            <w:r>
              <w:rPr>
                <w:spacing w:val="-7"/>
                <w:sz w:val="20"/>
              </w:rPr>
              <w:t> </w:t>
            </w:r>
            <w:r>
              <w:rPr>
                <w:sz w:val="20"/>
              </w:rPr>
              <w:t>fuente</w:t>
            </w:r>
            <w:r>
              <w:rPr>
                <w:spacing w:val="-6"/>
                <w:sz w:val="20"/>
              </w:rPr>
              <w:t> </w:t>
            </w:r>
            <w:r>
              <w:rPr>
                <w:sz w:val="20"/>
              </w:rPr>
              <w:t>de</w:t>
            </w:r>
            <w:r>
              <w:rPr>
                <w:spacing w:val="-4"/>
                <w:sz w:val="20"/>
              </w:rPr>
              <w:t> </w:t>
            </w:r>
            <w:r>
              <w:rPr>
                <w:sz w:val="20"/>
              </w:rPr>
              <w:t>la</w:t>
            </w:r>
            <w:r>
              <w:rPr>
                <w:spacing w:val="-4"/>
                <w:sz w:val="20"/>
              </w:rPr>
              <w:t> </w:t>
            </w:r>
            <w:r>
              <w:rPr>
                <w:sz w:val="20"/>
              </w:rPr>
              <w:t>información</w:t>
            </w:r>
            <w:r>
              <w:rPr>
                <w:spacing w:val="-5"/>
                <w:sz w:val="20"/>
              </w:rPr>
              <w:t> </w:t>
            </w:r>
            <w:r>
              <w:rPr>
                <w:sz w:val="20"/>
              </w:rPr>
              <w:t>es</w:t>
            </w:r>
            <w:r>
              <w:rPr>
                <w:spacing w:val="-5"/>
                <w:sz w:val="20"/>
              </w:rPr>
              <w:t> TI</w:t>
            </w:r>
          </w:p>
        </w:tc>
      </w:tr>
    </w:tbl>
    <w:p>
      <w:pPr>
        <w:pStyle w:val="TableParagraph"/>
        <w:spacing w:after="0"/>
        <w:rPr>
          <w:sz w:val="20"/>
        </w:rPr>
        <w:sectPr>
          <w:type w:val="continuous"/>
          <w:pgSz w:w="12240" w:h="15840"/>
          <w:pgMar w:header="0" w:footer="2404" w:top="1400" w:bottom="260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4"/>
        <w:gridCol w:w="7518"/>
      </w:tblGrid>
      <w:tr>
        <w:trPr>
          <w:trHeight w:val="1020" w:hRule="atLeast"/>
        </w:trPr>
        <w:tc>
          <w:tcPr>
            <w:tcW w:w="2974" w:type="dxa"/>
            <w:shd w:val="clear" w:color="auto" w:fill="DBE4F0"/>
          </w:tcPr>
          <w:p>
            <w:pPr>
              <w:pStyle w:val="TableParagraph"/>
              <w:spacing w:before="163"/>
              <w:rPr>
                <w:b/>
                <w:sz w:val="20"/>
              </w:rPr>
            </w:pPr>
          </w:p>
          <w:p>
            <w:pPr>
              <w:pStyle w:val="TableParagraph"/>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8" w:type="dxa"/>
          </w:tcPr>
          <w:p>
            <w:pPr>
              <w:pStyle w:val="TableParagraph"/>
              <w:spacing w:before="165"/>
              <w:ind w:left="69" w:right="172"/>
              <w:rPr>
                <w:sz w:val="20"/>
              </w:rPr>
            </w:pPr>
            <w:r>
              <w:rPr>
                <w:sz w:val="20"/>
              </w:rPr>
              <w:t>Reportes o informes generados por TI en donde se visualice la cantidad de solicitudes</w:t>
            </w:r>
            <w:r>
              <w:rPr>
                <w:spacing w:val="-4"/>
                <w:sz w:val="20"/>
              </w:rPr>
              <w:t> </w:t>
            </w:r>
            <w:r>
              <w:rPr>
                <w:sz w:val="20"/>
              </w:rPr>
              <w:t>efectuadas</w:t>
            </w:r>
            <w:r>
              <w:rPr>
                <w:spacing w:val="-4"/>
                <w:sz w:val="20"/>
              </w:rPr>
              <w:t> </w:t>
            </w:r>
            <w:r>
              <w:rPr>
                <w:sz w:val="20"/>
              </w:rPr>
              <w:t>por</w:t>
            </w:r>
            <w:r>
              <w:rPr>
                <w:spacing w:val="-6"/>
                <w:sz w:val="20"/>
              </w:rPr>
              <w:t> </w:t>
            </w:r>
            <w:r>
              <w:rPr>
                <w:sz w:val="20"/>
              </w:rPr>
              <w:t>las</w:t>
            </w:r>
            <w:r>
              <w:rPr>
                <w:spacing w:val="-6"/>
                <w:sz w:val="20"/>
              </w:rPr>
              <w:t> </w:t>
            </w:r>
            <w:r>
              <w:rPr>
                <w:sz w:val="20"/>
              </w:rPr>
              <w:t>dependencias</w:t>
            </w:r>
            <w:r>
              <w:rPr>
                <w:spacing w:val="-6"/>
                <w:sz w:val="20"/>
              </w:rPr>
              <w:t> </w:t>
            </w:r>
            <w:r>
              <w:rPr>
                <w:sz w:val="20"/>
              </w:rPr>
              <w:t>para</w:t>
            </w:r>
            <w:r>
              <w:rPr>
                <w:spacing w:val="-5"/>
                <w:sz w:val="20"/>
              </w:rPr>
              <w:t> </w:t>
            </w:r>
            <w:r>
              <w:rPr>
                <w:sz w:val="20"/>
              </w:rPr>
              <w:t>el</w:t>
            </w:r>
            <w:r>
              <w:rPr>
                <w:spacing w:val="-6"/>
                <w:sz w:val="20"/>
              </w:rPr>
              <w:t> </w:t>
            </w:r>
            <w:r>
              <w:rPr>
                <w:sz w:val="20"/>
              </w:rPr>
              <w:t>mantenimiento</w:t>
            </w:r>
            <w:r>
              <w:rPr>
                <w:spacing w:val="-8"/>
                <w:sz w:val="20"/>
              </w:rPr>
              <w:t> </w:t>
            </w:r>
            <w:r>
              <w:rPr>
                <w:sz w:val="20"/>
              </w:rPr>
              <w:t>y</w:t>
            </w:r>
            <w:r>
              <w:rPr>
                <w:spacing w:val="-6"/>
                <w:sz w:val="20"/>
              </w:rPr>
              <w:t> </w:t>
            </w:r>
            <w:r>
              <w:rPr>
                <w:sz w:val="20"/>
              </w:rPr>
              <w:t>reparación de equipo de cómputo y sistemas de información recibas en el SAP</w:t>
            </w:r>
          </w:p>
        </w:tc>
      </w:tr>
      <w:tr>
        <w:trPr>
          <w:trHeight w:val="630" w:hRule="atLeast"/>
        </w:trPr>
        <w:tc>
          <w:tcPr>
            <w:tcW w:w="2974" w:type="dxa"/>
            <w:shd w:val="clear" w:color="auto" w:fill="DBE4F0"/>
          </w:tcPr>
          <w:p>
            <w:pPr>
              <w:pStyle w:val="TableParagraph"/>
              <w:spacing w:before="198"/>
              <w:ind w:left="67"/>
              <w:rPr>
                <w:b/>
                <w:sz w:val="20"/>
              </w:rPr>
            </w:pPr>
            <w:r>
              <w:rPr>
                <w:b/>
                <w:spacing w:val="-2"/>
                <w:sz w:val="20"/>
              </w:rPr>
              <w:t>Clasificación</w:t>
            </w:r>
          </w:p>
        </w:tc>
        <w:tc>
          <w:tcPr>
            <w:tcW w:w="7518" w:type="dxa"/>
          </w:tcPr>
          <w:p>
            <w:pPr>
              <w:pStyle w:val="TableParagraph"/>
              <w:spacing w:before="198"/>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544" w:hRule="atLeast"/>
        </w:trPr>
        <w:tc>
          <w:tcPr>
            <w:tcW w:w="2974" w:type="dxa"/>
            <w:shd w:val="clear" w:color="auto" w:fill="DBE4F0"/>
          </w:tcPr>
          <w:p>
            <w:pPr>
              <w:pStyle w:val="TableParagraph"/>
              <w:spacing w:before="155"/>
              <w:ind w:left="67"/>
              <w:rPr>
                <w:b/>
                <w:sz w:val="20"/>
              </w:rPr>
            </w:pPr>
            <w:r>
              <w:rPr>
                <w:b/>
                <w:spacing w:val="-2"/>
                <w:sz w:val="20"/>
              </w:rPr>
              <w:t>Comentarios</w:t>
            </w:r>
            <w:r>
              <w:rPr>
                <w:b/>
                <w:spacing w:val="6"/>
                <w:sz w:val="20"/>
              </w:rPr>
              <w:t> </w:t>
            </w:r>
            <w:r>
              <w:rPr>
                <w:b/>
                <w:spacing w:val="-2"/>
                <w:sz w:val="20"/>
              </w:rPr>
              <w:t>Generales</w:t>
            </w:r>
          </w:p>
        </w:tc>
        <w:tc>
          <w:tcPr>
            <w:tcW w:w="7518" w:type="dxa"/>
          </w:tcPr>
          <w:p>
            <w:pPr>
              <w:pStyle w:val="TableParagraph"/>
              <w:spacing w:before="155"/>
              <w:ind w:left="125"/>
              <w:rPr>
                <w:sz w:val="20"/>
              </w:rPr>
            </w:pPr>
            <w:r>
              <w:rPr>
                <w:sz w:val="20"/>
              </w:rPr>
              <w:t>Partida</w:t>
            </w:r>
            <w:r>
              <w:rPr>
                <w:spacing w:val="-9"/>
                <w:sz w:val="20"/>
              </w:rPr>
              <w:t> </w:t>
            </w:r>
            <w:r>
              <w:rPr>
                <w:spacing w:val="-2"/>
                <w:sz w:val="20"/>
              </w:rPr>
              <w:t>5.01.03</w:t>
            </w:r>
          </w:p>
        </w:tc>
      </w:tr>
    </w:tbl>
    <w:p>
      <w:pPr>
        <w:pStyle w:val="BodyText"/>
        <w:rPr>
          <w:b/>
          <w:sz w:val="20"/>
        </w:rPr>
      </w:pPr>
    </w:p>
    <w:p>
      <w:pPr>
        <w:pStyle w:val="BodyText"/>
        <w:spacing w:before="17"/>
        <w:rPr>
          <w:b/>
          <w:sz w:val="20"/>
        </w:rPr>
      </w:pPr>
    </w:p>
    <w:tbl>
      <w:tblPr>
        <w:tblW w:w="0" w:type="auto"/>
        <w:jc w:val="left"/>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40"/>
        <w:gridCol w:w="1337"/>
        <w:gridCol w:w="7516"/>
      </w:tblGrid>
      <w:tr>
        <w:trPr>
          <w:trHeight w:val="719" w:hRule="atLeast"/>
        </w:trPr>
        <w:tc>
          <w:tcPr>
            <w:tcW w:w="2977" w:type="dxa"/>
            <w:gridSpan w:val="2"/>
            <w:shd w:val="clear" w:color="auto" w:fill="DBE4F0"/>
          </w:tcPr>
          <w:p>
            <w:pPr>
              <w:pStyle w:val="TableParagraph"/>
              <w:spacing w:before="14"/>
              <w:rPr>
                <w:b/>
                <w:sz w:val="20"/>
              </w:rPr>
            </w:pPr>
          </w:p>
          <w:p>
            <w:pPr>
              <w:pStyle w:val="TableParagraph"/>
              <w:ind w:left="67"/>
              <w:rPr>
                <w:b/>
                <w:sz w:val="20"/>
              </w:rPr>
            </w:pPr>
            <w:r>
              <w:rPr>
                <w:b/>
                <w:sz w:val="20"/>
              </w:rPr>
              <w:t>PAC</w:t>
            </w:r>
            <w:r>
              <w:rPr>
                <w:b/>
                <w:spacing w:val="-8"/>
                <w:sz w:val="20"/>
              </w:rPr>
              <w:t> </w:t>
            </w:r>
            <w:r>
              <w:rPr>
                <w:b/>
                <w:spacing w:val="-2"/>
                <w:sz w:val="20"/>
              </w:rPr>
              <w:t>2.4.4</w:t>
            </w:r>
          </w:p>
        </w:tc>
        <w:tc>
          <w:tcPr>
            <w:tcW w:w="7516" w:type="dxa"/>
          </w:tcPr>
          <w:p>
            <w:pPr>
              <w:pStyle w:val="TableParagraph"/>
              <w:spacing w:before="129"/>
              <w:ind w:left="69" w:right="170"/>
              <w:rPr>
                <w:sz w:val="20"/>
              </w:rPr>
            </w:pPr>
            <w:r>
              <w:rPr>
                <w:sz w:val="20"/>
              </w:rPr>
              <w:t>Nombre</w:t>
            </w:r>
            <w:r>
              <w:rPr>
                <w:spacing w:val="-5"/>
                <w:sz w:val="20"/>
              </w:rPr>
              <w:t> </w:t>
            </w:r>
            <w:r>
              <w:rPr>
                <w:sz w:val="20"/>
              </w:rPr>
              <w:t>del</w:t>
            </w:r>
            <w:r>
              <w:rPr>
                <w:spacing w:val="-7"/>
                <w:sz w:val="20"/>
              </w:rPr>
              <w:t> </w:t>
            </w:r>
            <w:r>
              <w:rPr>
                <w:sz w:val="20"/>
              </w:rPr>
              <w:t>Indicador:</w:t>
            </w:r>
            <w:r>
              <w:rPr>
                <w:spacing w:val="-5"/>
                <w:sz w:val="20"/>
              </w:rPr>
              <w:t> </w:t>
            </w:r>
            <w:r>
              <w:rPr>
                <w:sz w:val="20"/>
              </w:rPr>
              <w:t>Porcentaje</w:t>
            </w:r>
            <w:r>
              <w:rPr>
                <w:spacing w:val="-5"/>
                <w:sz w:val="20"/>
              </w:rPr>
              <w:t> </w:t>
            </w:r>
            <w:r>
              <w:rPr>
                <w:sz w:val="20"/>
              </w:rPr>
              <w:t>de</w:t>
            </w:r>
            <w:r>
              <w:rPr>
                <w:spacing w:val="-7"/>
                <w:sz w:val="20"/>
              </w:rPr>
              <w:t> </w:t>
            </w:r>
            <w:r>
              <w:rPr>
                <w:sz w:val="20"/>
              </w:rPr>
              <w:t>gestiones</w:t>
            </w:r>
            <w:r>
              <w:rPr>
                <w:spacing w:val="-6"/>
                <w:sz w:val="20"/>
              </w:rPr>
              <w:t> </w:t>
            </w:r>
            <w:r>
              <w:rPr>
                <w:sz w:val="20"/>
              </w:rPr>
              <w:t>de</w:t>
            </w:r>
            <w:r>
              <w:rPr>
                <w:spacing w:val="-7"/>
                <w:sz w:val="20"/>
              </w:rPr>
              <w:t> </w:t>
            </w:r>
            <w:r>
              <w:rPr>
                <w:sz w:val="20"/>
              </w:rPr>
              <w:t>las</w:t>
            </w:r>
            <w:r>
              <w:rPr>
                <w:spacing w:val="-4"/>
                <w:sz w:val="20"/>
              </w:rPr>
              <w:t> </w:t>
            </w:r>
            <w:r>
              <w:rPr>
                <w:sz w:val="20"/>
              </w:rPr>
              <w:t>solicitudes</w:t>
            </w:r>
            <w:r>
              <w:rPr>
                <w:spacing w:val="-4"/>
                <w:sz w:val="20"/>
              </w:rPr>
              <w:t> </w:t>
            </w:r>
            <w:r>
              <w:rPr>
                <w:sz w:val="20"/>
              </w:rPr>
              <w:t>efectuadas</w:t>
            </w:r>
            <w:r>
              <w:rPr>
                <w:spacing w:val="-4"/>
                <w:sz w:val="20"/>
              </w:rPr>
              <w:t> </w:t>
            </w:r>
            <w:r>
              <w:rPr>
                <w:sz w:val="20"/>
              </w:rPr>
              <w:t>por las dependencias para la adquisición de bienes intangibles.</w:t>
            </w:r>
          </w:p>
        </w:tc>
      </w:tr>
      <w:tr>
        <w:trPr>
          <w:trHeight w:val="482" w:hRule="atLeast"/>
        </w:trPr>
        <w:tc>
          <w:tcPr>
            <w:tcW w:w="2977" w:type="dxa"/>
            <w:gridSpan w:val="2"/>
            <w:shd w:val="clear" w:color="auto" w:fill="DBE4F0"/>
          </w:tcPr>
          <w:p>
            <w:pPr>
              <w:pStyle w:val="TableParagraph"/>
              <w:spacing w:before="127"/>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6" w:type="dxa"/>
          </w:tcPr>
          <w:p>
            <w:pPr>
              <w:pStyle w:val="TableParagraph"/>
              <w:spacing w:before="127"/>
              <w:ind w:left="69"/>
              <w:rPr>
                <w:sz w:val="20"/>
              </w:rPr>
            </w:pPr>
            <w:r>
              <w:rPr>
                <w:sz w:val="20"/>
              </w:rPr>
              <w:t>(Total</w:t>
            </w:r>
            <w:r>
              <w:rPr>
                <w:spacing w:val="-8"/>
                <w:sz w:val="20"/>
              </w:rPr>
              <w:t> </w:t>
            </w:r>
            <w:r>
              <w:rPr>
                <w:sz w:val="20"/>
              </w:rPr>
              <w:t>de</w:t>
            </w:r>
            <w:r>
              <w:rPr>
                <w:spacing w:val="-9"/>
                <w:sz w:val="20"/>
              </w:rPr>
              <w:t> </w:t>
            </w:r>
            <w:r>
              <w:rPr>
                <w:sz w:val="20"/>
              </w:rPr>
              <w:t>gestiones</w:t>
            </w:r>
            <w:r>
              <w:rPr>
                <w:spacing w:val="-8"/>
                <w:sz w:val="20"/>
              </w:rPr>
              <w:t> </w:t>
            </w:r>
            <w:r>
              <w:rPr>
                <w:sz w:val="20"/>
              </w:rPr>
              <w:t>efectuadas</w:t>
            </w:r>
            <w:r>
              <w:rPr>
                <w:spacing w:val="-7"/>
                <w:sz w:val="20"/>
              </w:rPr>
              <w:t> </w:t>
            </w:r>
            <w:r>
              <w:rPr>
                <w:sz w:val="20"/>
              </w:rPr>
              <w:t>/</w:t>
            </w:r>
            <w:r>
              <w:rPr>
                <w:spacing w:val="-9"/>
                <w:sz w:val="20"/>
              </w:rPr>
              <w:t> </w:t>
            </w:r>
            <w:r>
              <w:rPr>
                <w:sz w:val="20"/>
              </w:rPr>
              <w:t>Total</w:t>
            </w:r>
            <w:r>
              <w:rPr>
                <w:spacing w:val="-7"/>
                <w:sz w:val="20"/>
              </w:rPr>
              <w:t> </w:t>
            </w:r>
            <w:r>
              <w:rPr>
                <w:sz w:val="20"/>
              </w:rPr>
              <w:t>de</w:t>
            </w:r>
            <w:r>
              <w:rPr>
                <w:spacing w:val="-9"/>
                <w:sz w:val="20"/>
              </w:rPr>
              <w:t> </w:t>
            </w:r>
            <w:r>
              <w:rPr>
                <w:sz w:val="20"/>
              </w:rPr>
              <w:t>solicitudes</w:t>
            </w:r>
            <w:r>
              <w:rPr>
                <w:spacing w:val="-8"/>
                <w:sz w:val="20"/>
              </w:rPr>
              <w:t> </w:t>
            </w:r>
            <w:r>
              <w:rPr>
                <w:sz w:val="20"/>
              </w:rPr>
              <w:t>recibidas)</w:t>
            </w:r>
            <w:r>
              <w:rPr>
                <w:spacing w:val="-7"/>
                <w:sz w:val="20"/>
              </w:rPr>
              <w:t> </w:t>
            </w:r>
            <w:r>
              <w:rPr>
                <w:spacing w:val="-4"/>
                <w:sz w:val="20"/>
              </w:rPr>
              <w:t>*100</w:t>
            </w:r>
          </w:p>
        </w:tc>
      </w:tr>
      <w:tr>
        <w:trPr>
          <w:trHeight w:val="520" w:hRule="atLeast"/>
        </w:trPr>
        <w:tc>
          <w:tcPr>
            <w:tcW w:w="2977" w:type="dxa"/>
            <w:gridSpan w:val="2"/>
            <w:shd w:val="clear" w:color="auto" w:fill="DBE4F0"/>
          </w:tcPr>
          <w:p>
            <w:pPr>
              <w:pStyle w:val="TableParagraph"/>
              <w:spacing w:before="143"/>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6" w:type="dxa"/>
          </w:tcPr>
          <w:p>
            <w:pPr>
              <w:pStyle w:val="TableParagraph"/>
              <w:spacing w:before="143"/>
              <w:ind w:left="69"/>
              <w:rPr>
                <w:sz w:val="20"/>
              </w:rPr>
            </w:pPr>
            <w:r>
              <w:rPr>
                <w:spacing w:val="-2"/>
                <w:sz w:val="20"/>
              </w:rPr>
              <w:t>Porcentaje</w:t>
            </w:r>
          </w:p>
        </w:tc>
      </w:tr>
      <w:tr>
        <w:trPr>
          <w:trHeight w:val="978" w:hRule="atLeast"/>
        </w:trPr>
        <w:tc>
          <w:tcPr>
            <w:tcW w:w="2977" w:type="dxa"/>
            <w:gridSpan w:val="2"/>
            <w:shd w:val="clear" w:color="auto" w:fill="DBE4F0"/>
          </w:tcPr>
          <w:p>
            <w:pPr>
              <w:pStyle w:val="TableParagraph"/>
              <w:spacing w:before="143"/>
              <w:rPr>
                <w:b/>
                <w:sz w:val="20"/>
              </w:rPr>
            </w:pPr>
          </w:p>
          <w:p>
            <w:pPr>
              <w:pStyle w:val="TableParagraph"/>
              <w:spacing w:before="1"/>
              <w:ind w:left="67"/>
              <w:rPr>
                <w:b/>
                <w:sz w:val="20"/>
              </w:rPr>
            </w:pPr>
            <w:r>
              <w:rPr>
                <w:b/>
                <w:spacing w:val="-2"/>
                <w:sz w:val="20"/>
              </w:rPr>
              <w:t>Interpretación:</w:t>
            </w:r>
          </w:p>
        </w:tc>
        <w:tc>
          <w:tcPr>
            <w:tcW w:w="7516" w:type="dxa"/>
          </w:tcPr>
          <w:p>
            <w:pPr>
              <w:pStyle w:val="TableParagraph"/>
              <w:spacing w:before="146"/>
              <w:ind w:left="69" w:right="170"/>
              <w:rPr>
                <w:sz w:val="20"/>
              </w:rPr>
            </w:pPr>
            <w:r>
              <w:rPr>
                <w:sz w:val="20"/>
              </w:rPr>
              <w:t>Su</w:t>
            </w:r>
            <w:r>
              <w:rPr>
                <w:spacing w:val="-5"/>
                <w:sz w:val="20"/>
              </w:rPr>
              <w:t> </w:t>
            </w:r>
            <w:r>
              <w:rPr>
                <w:sz w:val="20"/>
              </w:rPr>
              <w:t>resultado</w:t>
            </w:r>
            <w:r>
              <w:rPr>
                <w:spacing w:val="-6"/>
                <w:sz w:val="20"/>
              </w:rPr>
              <w:t> </w:t>
            </w:r>
            <w:r>
              <w:rPr>
                <w:sz w:val="20"/>
              </w:rPr>
              <w:t>es</w:t>
            </w:r>
            <w:r>
              <w:rPr>
                <w:spacing w:val="-2"/>
                <w:sz w:val="20"/>
              </w:rPr>
              <w:t> </w:t>
            </w:r>
            <w:r>
              <w:rPr>
                <w:sz w:val="20"/>
              </w:rPr>
              <w:t>la</w:t>
            </w:r>
            <w:r>
              <w:rPr>
                <w:spacing w:val="-3"/>
                <w:sz w:val="20"/>
              </w:rPr>
              <w:t> </w:t>
            </w:r>
            <w:r>
              <w:rPr>
                <w:sz w:val="20"/>
              </w:rPr>
              <w:t>derivación</w:t>
            </w:r>
            <w:r>
              <w:rPr>
                <w:spacing w:val="-6"/>
                <w:sz w:val="20"/>
              </w:rPr>
              <w:t> </w:t>
            </w:r>
            <w:r>
              <w:rPr>
                <w:sz w:val="20"/>
              </w:rPr>
              <w:t>de</w:t>
            </w:r>
            <w:r>
              <w:rPr>
                <w:spacing w:val="-5"/>
                <w:sz w:val="20"/>
              </w:rPr>
              <w:t> </w:t>
            </w:r>
            <w:r>
              <w:rPr>
                <w:sz w:val="20"/>
              </w:rPr>
              <w:t>la</w:t>
            </w:r>
            <w:r>
              <w:rPr>
                <w:spacing w:val="-5"/>
                <w:sz w:val="20"/>
              </w:rPr>
              <w:t> </w:t>
            </w:r>
            <w:r>
              <w:rPr>
                <w:sz w:val="20"/>
              </w:rPr>
              <w:t>relación</w:t>
            </w:r>
            <w:r>
              <w:rPr>
                <w:spacing w:val="-5"/>
                <w:sz w:val="20"/>
              </w:rPr>
              <w:t> </w:t>
            </w:r>
            <w:r>
              <w:rPr>
                <w:sz w:val="20"/>
              </w:rPr>
              <w:t>de</w:t>
            </w:r>
            <w:r>
              <w:rPr>
                <w:spacing w:val="-3"/>
                <w:sz w:val="20"/>
              </w:rPr>
              <w:t> </w:t>
            </w:r>
            <w:r>
              <w:rPr>
                <w:sz w:val="20"/>
              </w:rPr>
              <w:t>la</w:t>
            </w:r>
            <w:r>
              <w:rPr>
                <w:spacing w:val="-3"/>
                <w:sz w:val="20"/>
              </w:rPr>
              <w:t> </w:t>
            </w:r>
            <w:r>
              <w:rPr>
                <w:sz w:val="20"/>
              </w:rPr>
              <w:t>cantidad</w:t>
            </w:r>
            <w:r>
              <w:rPr>
                <w:spacing w:val="-3"/>
                <w:sz w:val="20"/>
              </w:rPr>
              <w:t> </w:t>
            </w:r>
            <w:r>
              <w:rPr>
                <w:sz w:val="20"/>
              </w:rPr>
              <w:t>de</w:t>
            </w:r>
            <w:r>
              <w:rPr>
                <w:spacing w:val="-6"/>
                <w:sz w:val="20"/>
              </w:rPr>
              <w:t> </w:t>
            </w:r>
            <w:r>
              <w:rPr>
                <w:sz w:val="20"/>
              </w:rPr>
              <w:t>solicitudes</w:t>
            </w:r>
            <w:r>
              <w:rPr>
                <w:spacing w:val="-2"/>
                <w:sz w:val="20"/>
              </w:rPr>
              <w:t> </w:t>
            </w:r>
            <w:r>
              <w:rPr>
                <w:sz w:val="20"/>
              </w:rPr>
              <w:t>que ejecuta o procesa TI versus la cantidad de solicitudes provenientes de las unidades expresado como relación porcentual.</w:t>
            </w:r>
          </w:p>
        </w:tc>
      </w:tr>
      <w:tr>
        <w:trPr>
          <w:trHeight w:val="544" w:hRule="atLeast"/>
        </w:trPr>
        <w:tc>
          <w:tcPr>
            <w:tcW w:w="2977" w:type="dxa"/>
            <w:gridSpan w:val="2"/>
            <w:shd w:val="clear" w:color="auto" w:fill="DBE4F0"/>
          </w:tcPr>
          <w:p>
            <w:pPr>
              <w:pStyle w:val="TableParagraph"/>
              <w:spacing w:before="158"/>
              <w:ind w:left="67"/>
              <w:rPr>
                <w:b/>
                <w:sz w:val="20"/>
              </w:rPr>
            </w:pPr>
            <w:r>
              <w:rPr>
                <w:b/>
                <w:spacing w:val="-2"/>
                <w:sz w:val="20"/>
              </w:rPr>
              <w:t>Desagregación</w:t>
            </w:r>
          </w:p>
        </w:tc>
        <w:tc>
          <w:tcPr>
            <w:tcW w:w="7516" w:type="dxa"/>
          </w:tcPr>
          <w:p>
            <w:pPr>
              <w:pStyle w:val="TableParagraph"/>
              <w:spacing w:before="158"/>
              <w:ind w:left="69"/>
              <w:rPr>
                <w:sz w:val="20"/>
              </w:rPr>
            </w:pPr>
            <w:r>
              <w:rPr>
                <w:spacing w:val="-2"/>
                <w:sz w:val="20"/>
              </w:rPr>
              <w:t>Regional</w:t>
            </w:r>
          </w:p>
        </w:tc>
      </w:tr>
      <w:tr>
        <w:trPr>
          <w:trHeight w:val="316" w:hRule="atLeast"/>
        </w:trPr>
        <w:tc>
          <w:tcPr>
            <w:tcW w:w="2977" w:type="dxa"/>
            <w:gridSpan w:val="2"/>
            <w:shd w:val="clear" w:color="auto" w:fill="DBE4F0"/>
          </w:tcPr>
          <w:p>
            <w:pPr>
              <w:pStyle w:val="TableParagraph"/>
              <w:spacing w:before="42"/>
              <w:ind w:left="67"/>
              <w:rPr>
                <w:b/>
                <w:sz w:val="20"/>
              </w:rPr>
            </w:pPr>
            <w:r>
              <w:rPr>
                <w:b/>
                <w:spacing w:val="-2"/>
                <w:sz w:val="20"/>
              </w:rPr>
              <w:t>Meta:</w:t>
            </w:r>
          </w:p>
        </w:tc>
        <w:tc>
          <w:tcPr>
            <w:tcW w:w="7516" w:type="dxa"/>
          </w:tcPr>
          <w:p>
            <w:pPr>
              <w:pStyle w:val="TableParagraph"/>
              <w:spacing w:before="42"/>
              <w:ind w:left="69"/>
              <w:rPr>
                <w:sz w:val="20"/>
              </w:rPr>
            </w:pPr>
            <w:r>
              <w:rPr>
                <w:spacing w:val="-4"/>
                <w:sz w:val="20"/>
              </w:rPr>
              <w:t>100%</w:t>
            </w:r>
          </w:p>
        </w:tc>
      </w:tr>
      <w:tr>
        <w:trPr>
          <w:trHeight w:val="313" w:hRule="atLeast"/>
        </w:trPr>
        <w:tc>
          <w:tcPr>
            <w:tcW w:w="2977" w:type="dxa"/>
            <w:gridSpan w:val="2"/>
            <w:shd w:val="clear" w:color="auto" w:fill="DBE4F0"/>
          </w:tcPr>
          <w:p>
            <w:pPr>
              <w:pStyle w:val="TableParagraph"/>
              <w:spacing w:before="40"/>
              <w:ind w:left="67"/>
              <w:rPr>
                <w:b/>
                <w:sz w:val="20"/>
              </w:rPr>
            </w:pPr>
            <w:r>
              <w:rPr>
                <w:b/>
                <w:sz w:val="20"/>
              </w:rPr>
              <w:t>Línea</w:t>
            </w:r>
            <w:r>
              <w:rPr>
                <w:b/>
                <w:spacing w:val="-10"/>
                <w:sz w:val="20"/>
              </w:rPr>
              <w:t> </w:t>
            </w:r>
            <w:r>
              <w:rPr>
                <w:b/>
                <w:spacing w:val="-4"/>
                <w:sz w:val="20"/>
              </w:rPr>
              <w:t>Base</w:t>
            </w:r>
          </w:p>
        </w:tc>
        <w:tc>
          <w:tcPr>
            <w:tcW w:w="7516" w:type="dxa"/>
          </w:tcPr>
          <w:p>
            <w:pPr>
              <w:pStyle w:val="TableParagraph"/>
              <w:spacing w:before="40"/>
              <w:ind w:left="69"/>
              <w:rPr>
                <w:sz w:val="20"/>
              </w:rPr>
            </w:pPr>
            <w:r>
              <w:rPr>
                <w:spacing w:val="-10"/>
                <w:sz w:val="20"/>
              </w:rPr>
              <w:t>-</w:t>
            </w:r>
          </w:p>
        </w:tc>
      </w:tr>
      <w:tr>
        <w:trPr>
          <w:trHeight w:val="631" w:hRule="atLeast"/>
        </w:trPr>
        <w:tc>
          <w:tcPr>
            <w:tcW w:w="2977" w:type="dxa"/>
            <w:gridSpan w:val="2"/>
            <w:shd w:val="clear" w:color="auto" w:fill="DBE4F0"/>
          </w:tcPr>
          <w:p>
            <w:pPr>
              <w:pStyle w:val="TableParagraph"/>
              <w:spacing w:before="8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6" w:type="dxa"/>
          </w:tcPr>
          <w:p>
            <w:pPr>
              <w:pStyle w:val="TableParagraph"/>
              <w:spacing w:before="198"/>
              <w:ind w:left="69"/>
              <w:rPr>
                <w:sz w:val="20"/>
              </w:rPr>
            </w:pPr>
            <w:r>
              <w:rPr>
                <w:spacing w:val="-4"/>
                <w:sz w:val="20"/>
              </w:rPr>
              <w:t>Anual</w:t>
            </w:r>
          </w:p>
        </w:tc>
      </w:tr>
      <w:tr>
        <w:trPr>
          <w:trHeight w:val="628" w:hRule="atLeast"/>
        </w:trPr>
        <w:tc>
          <w:tcPr>
            <w:tcW w:w="2977" w:type="dxa"/>
            <w:gridSpan w:val="2"/>
            <w:shd w:val="clear" w:color="auto" w:fill="DBE4F0"/>
          </w:tcPr>
          <w:p>
            <w:pPr>
              <w:pStyle w:val="TableParagraph"/>
              <w:spacing w:before="83"/>
              <w:ind w:left="67" w:right="515"/>
              <w:rPr>
                <w:b/>
                <w:sz w:val="20"/>
              </w:rPr>
            </w:pPr>
            <w:r>
              <w:rPr>
                <w:b/>
                <w:sz w:val="20"/>
              </w:rPr>
              <w:t>Responsable de la recopilación</w:t>
            </w:r>
            <w:r>
              <w:rPr>
                <w:b/>
                <w:spacing w:val="-14"/>
                <w:sz w:val="20"/>
              </w:rPr>
              <w:t> </w:t>
            </w:r>
            <w:r>
              <w:rPr>
                <w:b/>
                <w:sz w:val="20"/>
              </w:rPr>
              <w:t>información</w:t>
            </w:r>
          </w:p>
        </w:tc>
        <w:tc>
          <w:tcPr>
            <w:tcW w:w="7516" w:type="dxa"/>
          </w:tcPr>
          <w:p>
            <w:pPr>
              <w:pStyle w:val="TableParagraph"/>
              <w:spacing w:before="83"/>
              <w:ind w:left="69" w:right="2510"/>
              <w:rPr>
                <w:sz w:val="20"/>
              </w:rPr>
            </w:pPr>
            <w:r>
              <w:rPr>
                <w:sz w:val="20"/>
              </w:rPr>
              <w:t>Nombre</w:t>
            </w:r>
            <w:r>
              <w:rPr>
                <w:spacing w:val="-6"/>
                <w:sz w:val="20"/>
              </w:rPr>
              <w:t> </w:t>
            </w:r>
            <w:r>
              <w:rPr>
                <w:sz w:val="20"/>
              </w:rPr>
              <w:t>del</w:t>
            </w:r>
            <w:r>
              <w:rPr>
                <w:spacing w:val="-9"/>
                <w:sz w:val="20"/>
              </w:rPr>
              <w:t> </w:t>
            </w:r>
            <w:r>
              <w:rPr>
                <w:sz w:val="20"/>
              </w:rPr>
              <w:t>funcionario:</w:t>
            </w:r>
            <w:r>
              <w:rPr>
                <w:spacing w:val="-8"/>
                <w:sz w:val="20"/>
              </w:rPr>
              <w:t> </w:t>
            </w:r>
            <w:r>
              <w:rPr>
                <w:sz w:val="20"/>
              </w:rPr>
              <w:t>Luis</w:t>
            </w:r>
            <w:r>
              <w:rPr>
                <w:spacing w:val="-7"/>
                <w:sz w:val="20"/>
              </w:rPr>
              <w:t> </w:t>
            </w:r>
            <w:r>
              <w:rPr>
                <w:sz w:val="20"/>
              </w:rPr>
              <w:t>Adolfo</w:t>
            </w:r>
            <w:r>
              <w:rPr>
                <w:spacing w:val="-9"/>
                <w:sz w:val="20"/>
              </w:rPr>
              <w:t> </w:t>
            </w:r>
            <w:r>
              <w:rPr>
                <w:sz w:val="20"/>
              </w:rPr>
              <w:t>Gonzalez</w:t>
            </w:r>
            <w:r>
              <w:rPr>
                <w:spacing w:val="-7"/>
                <w:sz w:val="20"/>
              </w:rPr>
              <w:t> </w:t>
            </w:r>
            <w:r>
              <w:rPr>
                <w:sz w:val="20"/>
              </w:rPr>
              <w:t>Alguera Cargo: Jefatura TI</w:t>
            </w:r>
          </w:p>
        </w:tc>
      </w:tr>
      <w:tr>
        <w:trPr>
          <w:trHeight w:val="945" w:hRule="atLeast"/>
        </w:trPr>
        <w:tc>
          <w:tcPr>
            <w:tcW w:w="2977" w:type="dxa"/>
            <w:gridSpan w:val="2"/>
            <w:shd w:val="clear" w:color="auto" w:fill="DBE4F0"/>
          </w:tcPr>
          <w:p>
            <w:pPr>
              <w:pStyle w:val="TableParagraph"/>
              <w:spacing w:before="11"/>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6" w:type="dxa"/>
          </w:tcPr>
          <w:p>
            <w:pPr>
              <w:pStyle w:val="TableParagraph"/>
              <w:spacing w:before="127"/>
              <w:rPr>
                <w:b/>
                <w:sz w:val="20"/>
              </w:rPr>
            </w:pPr>
          </w:p>
          <w:p>
            <w:pPr>
              <w:pStyle w:val="TableParagraph"/>
              <w:ind w:left="69"/>
              <w:rPr>
                <w:sz w:val="20"/>
              </w:rPr>
            </w:pPr>
            <w:r>
              <w:rPr>
                <w:sz w:val="20"/>
              </w:rPr>
              <w:t>Tecnología</w:t>
            </w:r>
            <w:r>
              <w:rPr>
                <w:spacing w:val="-10"/>
                <w:sz w:val="20"/>
              </w:rPr>
              <w:t> </w:t>
            </w:r>
            <w:r>
              <w:rPr>
                <w:sz w:val="20"/>
              </w:rPr>
              <w:t>de</w:t>
            </w:r>
            <w:r>
              <w:rPr>
                <w:spacing w:val="-9"/>
                <w:sz w:val="20"/>
              </w:rPr>
              <w:t> </w:t>
            </w:r>
            <w:r>
              <w:rPr>
                <w:spacing w:val="-2"/>
                <w:sz w:val="20"/>
              </w:rPr>
              <w:t>Información</w:t>
            </w:r>
          </w:p>
        </w:tc>
      </w:tr>
      <w:tr>
        <w:trPr>
          <w:trHeight w:val="510" w:hRule="atLeast"/>
        </w:trPr>
        <w:tc>
          <w:tcPr>
            <w:tcW w:w="2977" w:type="dxa"/>
            <w:gridSpan w:val="2"/>
            <w:shd w:val="clear" w:color="auto" w:fill="DBE4F0"/>
          </w:tcPr>
          <w:p>
            <w:pPr>
              <w:pStyle w:val="TableParagraph"/>
              <w:spacing w:before="141"/>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6" w:type="dxa"/>
          </w:tcPr>
          <w:p>
            <w:pPr>
              <w:pStyle w:val="TableParagraph"/>
              <w:spacing w:before="141"/>
              <w:ind w:left="69"/>
              <w:rPr>
                <w:sz w:val="20"/>
              </w:rPr>
            </w:pPr>
            <w:r>
              <w:rPr>
                <w:sz w:val="20"/>
              </w:rPr>
              <w:t>La</w:t>
            </w:r>
            <w:r>
              <w:rPr>
                <w:spacing w:val="-7"/>
                <w:sz w:val="20"/>
              </w:rPr>
              <w:t> </w:t>
            </w:r>
            <w:r>
              <w:rPr>
                <w:sz w:val="20"/>
              </w:rPr>
              <w:t>fuente</w:t>
            </w:r>
            <w:r>
              <w:rPr>
                <w:spacing w:val="-6"/>
                <w:sz w:val="20"/>
              </w:rPr>
              <w:t> </w:t>
            </w:r>
            <w:r>
              <w:rPr>
                <w:sz w:val="20"/>
              </w:rPr>
              <w:t>de</w:t>
            </w:r>
            <w:r>
              <w:rPr>
                <w:spacing w:val="-4"/>
                <w:sz w:val="20"/>
              </w:rPr>
              <w:t> </w:t>
            </w:r>
            <w:r>
              <w:rPr>
                <w:sz w:val="20"/>
              </w:rPr>
              <w:t>la</w:t>
            </w:r>
            <w:r>
              <w:rPr>
                <w:spacing w:val="-4"/>
                <w:sz w:val="20"/>
              </w:rPr>
              <w:t> </w:t>
            </w:r>
            <w:r>
              <w:rPr>
                <w:sz w:val="20"/>
              </w:rPr>
              <w:t>información</w:t>
            </w:r>
            <w:r>
              <w:rPr>
                <w:spacing w:val="-5"/>
                <w:sz w:val="20"/>
              </w:rPr>
              <w:t> </w:t>
            </w:r>
            <w:r>
              <w:rPr>
                <w:sz w:val="20"/>
              </w:rPr>
              <w:t>es</w:t>
            </w:r>
            <w:r>
              <w:rPr>
                <w:spacing w:val="-5"/>
                <w:sz w:val="20"/>
              </w:rPr>
              <w:t> TI</w:t>
            </w:r>
          </w:p>
        </w:tc>
      </w:tr>
      <w:tr>
        <w:trPr>
          <w:trHeight w:val="1019" w:hRule="atLeast"/>
        </w:trPr>
        <w:tc>
          <w:tcPr>
            <w:tcW w:w="2977" w:type="dxa"/>
            <w:gridSpan w:val="2"/>
            <w:shd w:val="clear" w:color="auto" w:fill="DBE4F0"/>
          </w:tcPr>
          <w:p>
            <w:pPr>
              <w:pStyle w:val="TableParagraph"/>
              <w:spacing w:before="165"/>
              <w:rPr>
                <w:b/>
                <w:sz w:val="20"/>
              </w:rPr>
            </w:pPr>
          </w:p>
          <w:p>
            <w:pPr>
              <w:pStyle w:val="TableParagraph"/>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6" w:type="dxa"/>
          </w:tcPr>
          <w:p>
            <w:pPr>
              <w:pStyle w:val="TableParagraph"/>
              <w:spacing w:before="165"/>
              <w:ind w:left="69" w:right="170"/>
              <w:rPr>
                <w:sz w:val="20"/>
              </w:rPr>
            </w:pPr>
            <w:r>
              <w:rPr>
                <w:sz w:val="20"/>
              </w:rPr>
              <w:t>Reportes o informes generados por TI en donde se visualice la cantidad de solicitudes</w:t>
            </w:r>
            <w:r>
              <w:rPr>
                <w:spacing w:val="-4"/>
                <w:sz w:val="20"/>
              </w:rPr>
              <w:t> </w:t>
            </w:r>
            <w:r>
              <w:rPr>
                <w:sz w:val="20"/>
              </w:rPr>
              <w:t>efectuadas</w:t>
            </w:r>
            <w:r>
              <w:rPr>
                <w:spacing w:val="-4"/>
                <w:sz w:val="20"/>
              </w:rPr>
              <w:t> </w:t>
            </w:r>
            <w:r>
              <w:rPr>
                <w:sz w:val="20"/>
              </w:rPr>
              <w:t>por</w:t>
            </w:r>
            <w:r>
              <w:rPr>
                <w:spacing w:val="-6"/>
                <w:sz w:val="20"/>
              </w:rPr>
              <w:t> </w:t>
            </w:r>
            <w:r>
              <w:rPr>
                <w:sz w:val="20"/>
              </w:rPr>
              <w:t>las</w:t>
            </w:r>
            <w:r>
              <w:rPr>
                <w:spacing w:val="-6"/>
                <w:sz w:val="20"/>
              </w:rPr>
              <w:t> </w:t>
            </w:r>
            <w:r>
              <w:rPr>
                <w:sz w:val="20"/>
              </w:rPr>
              <w:t>dependencias</w:t>
            </w:r>
            <w:r>
              <w:rPr>
                <w:spacing w:val="-6"/>
                <w:sz w:val="20"/>
              </w:rPr>
              <w:t> </w:t>
            </w:r>
            <w:r>
              <w:rPr>
                <w:sz w:val="20"/>
              </w:rPr>
              <w:t>para</w:t>
            </w:r>
            <w:r>
              <w:rPr>
                <w:spacing w:val="-5"/>
                <w:sz w:val="20"/>
              </w:rPr>
              <w:t> </w:t>
            </w:r>
            <w:r>
              <w:rPr>
                <w:sz w:val="20"/>
              </w:rPr>
              <w:t>el</w:t>
            </w:r>
            <w:r>
              <w:rPr>
                <w:spacing w:val="-6"/>
                <w:sz w:val="20"/>
              </w:rPr>
              <w:t> </w:t>
            </w:r>
            <w:r>
              <w:rPr>
                <w:sz w:val="20"/>
              </w:rPr>
              <w:t>mantenimiento</w:t>
            </w:r>
            <w:r>
              <w:rPr>
                <w:spacing w:val="-8"/>
                <w:sz w:val="20"/>
              </w:rPr>
              <w:t> </w:t>
            </w:r>
            <w:r>
              <w:rPr>
                <w:sz w:val="20"/>
              </w:rPr>
              <w:t>y</w:t>
            </w:r>
            <w:r>
              <w:rPr>
                <w:spacing w:val="-6"/>
                <w:sz w:val="20"/>
              </w:rPr>
              <w:t> </w:t>
            </w:r>
            <w:r>
              <w:rPr>
                <w:sz w:val="20"/>
              </w:rPr>
              <w:t>reparación de equipo de cómputo y sistemas de información recibas en el SAP</w:t>
            </w:r>
          </w:p>
        </w:tc>
      </w:tr>
      <w:tr>
        <w:trPr>
          <w:trHeight w:val="631" w:hRule="atLeast"/>
        </w:trPr>
        <w:tc>
          <w:tcPr>
            <w:tcW w:w="2977" w:type="dxa"/>
            <w:gridSpan w:val="2"/>
            <w:shd w:val="clear" w:color="auto" w:fill="DBE4F0"/>
          </w:tcPr>
          <w:p>
            <w:pPr>
              <w:pStyle w:val="TableParagraph"/>
              <w:spacing w:before="199"/>
              <w:ind w:left="67"/>
              <w:rPr>
                <w:b/>
                <w:sz w:val="20"/>
              </w:rPr>
            </w:pPr>
            <w:r>
              <w:rPr>
                <w:b/>
                <w:spacing w:val="-2"/>
                <w:sz w:val="20"/>
              </w:rPr>
              <w:t>Clasificación</w:t>
            </w:r>
          </w:p>
        </w:tc>
        <w:tc>
          <w:tcPr>
            <w:tcW w:w="7516" w:type="dxa"/>
          </w:tcPr>
          <w:p>
            <w:pPr>
              <w:pStyle w:val="TableParagraph"/>
              <w:spacing w:before="199"/>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624" w:hRule="atLeast"/>
        </w:trPr>
        <w:tc>
          <w:tcPr>
            <w:tcW w:w="2977" w:type="dxa"/>
            <w:gridSpan w:val="2"/>
            <w:tcBorders>
              <w:bottom w:val="nil"/>
            </w:tcBorders>
            <w:shd w:val="clear" w:color="auto" w:fill="DBE4F0"/>
          </w:tcPr>
          <w:p>
            <w:pPr>
              <w:pStyle w:val="TableParagraph"/>
              <w:spacing w:before="194"/>
              <w:ind w:left="67"/>
              <w:rPr>
                <w:b/>
                <w:sz w:val="20"/>
              </w:rPr>
            </w:pPr>
            <w:r>
              <w:rPr>
                <w:b/>
                <w:spacing w:val="-2"/>
                <w:sz w:val="20"/>
              </w:rPr>
              <w:t>Comentarios</w:t>
            </w:r>
            <w:r>
              <w:rPr>
                <w:b/>
                <w:spacing w:val="6"/>
                <w:sz w:val="20"/>
              </w:rPr>
              <w:t> </w:t>
            </w:r>
            <w:r>
              <w:rPr>
                <w:b/>
                <w:spacing w:val="-2"/>
                <w:sz w:val="20"/>
              </w:rPr>
              <w:t>Generales</w:t>
            </w:r>
          </w:p>
        </w:tc>
        <w:tc>
          <w:tcPr>
            <w:tcW w:w="7516" w:type="dxa"/>
            <w:tcBorders>
              <w:bottom w:val="thickThinMediumGap" w:sz="9" w:space="0" w:color="808080"/>
            </w:tcBorders>
          </w:tcPr>
          <w:p>
            <w:pPr>
              <w:pStyle w:val="TableParagraph"/>
              <w:spacing w:before="194"/>
              <w:ind w:left="124"/>
              <w:rPr>
                <w:sz w:val="20"/>
              </w:rPr>
            </w:pPr>
            <w:r>
              <w:rPr>
                <w:sz w:val="20"/>
              </w:rPr>
              <w:t>Partida</w:t>
            </w:r>
            <w:r>
              <w:rPr>
                <w:spacing w:val="-9"/>
                <w:sz w:val="20"/>
              </w:rPr>
              <w:t> </w:t>
            </w:r>
            <w:r>
              <w:rPr>
                <w:spacing w:val="-2"/>
                <w:sz w:val="20"/>
              </w:rPr>
              <w:t>5.99.03</w:t>
            </w:r>
          </w:p>
        </w:tc>
      </w:tr>
      <w:tr>
        <w:trPr>
          <w:trHeight w:val="1664" w:hRule="atLeast"/>
        </w:trPr>
        <w:tc>
          <w:tcPr>
            <w:tcW w:w="1640" w:type="dxa"/>
            <w:tcBorders>
              <w:top w:val="thinThickMediumGap" w:sz="9" w:space="0" w:color="808080"/>
              <w:left w:val="nil"/>
              <w:bottom w:val="nil"/>
              <w:right w:val="single" w:sz="18" w:space="0" w:color="808080"/>
            </w:tcBorders>
          </w:tcPr>
          <w:p>
            <w:pPr>
              <w:pStyle w:val="TableParagraph"/>
              <w:spacing w:before="8"/>
              <w:ind w:left="821"/>
              <w:rPr>
                <w:b/>
                <w:sz w:val="24"/>
              </w:rPr>
            </w:pPr>
            <w:r>
              <w:rPr>
                <w:b/>
                <w:spacing w:val="-5"/>
                <w:sz w:val="24"/>
              </w:rPr>
              <w:t>205</w:t>
            </w:r>
          </w:p>
        </w:tc>
        <w:tc>
          <w:tcPr>
            <w:tcW w:w="8853" w:type="dxa"/>
            <w:gridSpan w:val="2"/>
            <w:tcBorders>
              <w:top w:val="nil"/>
              <w:left w:val="single" w:sz="18" w:space="0" w:color="808080"/>
              <w:bottom w:val="nil"/>
              <w:right w:val="nil"/>
            </w:tcBorders>
          </w:tcPr>
          <w:p>
            <w:pPr>
              <w:pStyle w:val="TableParagraph"/>
              <w:spacing w:before="8"/>
              <w:ind w:left="89"/>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c>
      </w:tr>
    </w:tbl>
    <w:p>
      <w:pPr>
        <w:pStyle w:val="TableParagraph"/>
        <w:spacing w:after="0"/>
        <w:rPr>
          <w:b/>
          <w:i/>
          <w:sz w:val="24"/>
        </w:rPr>
        <w:sectPr>
          <w:footerReference w:type="default" r:id="rId145"/>
          <w:pgSz w:w="12240" w:h="15840"/>
          <w:pgMar w:header="0" w:footer="0" w:top="1400" w:bottom="280" w:left="720" w:right="72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57"/>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6"/>
      </w:tblGrid>
      <w:tr>
        <w:trPr>
          <w:trHeight w:val="765" w:hRule="atLeast"/>
        </w:trPr>
        <w:tc>
          <w:tcPr>
            <w:tcW w:w="2976" w:type="dxa"/>
            <w:shd w:val="clear" w:color="auto" w:fill="DBE4F0"/>
          </w:tcPr>
          <w:p>
            <w:pPr>
              <w:pStyle w:val="TableParagraph"/>
              <w:spacing w:before="38"/>
              <w:rPr>
                <w:b/>
                <w:sz w:val="20"/>
              </w:rPr>
            </w:pPr>
          </w:p>
          <w:p>
            <w:pPr>
              <w:pStyle w:val="TableParagraph"/>
              <w:ind w:left="67"/>
              <w:rPr>
                <w:b/>
                <w:sz w:val="20"/>
              </w:rPr>
            </w:pPr>
            <w:r>
              <w:rPr>
                <w:b/>
                <w:sz w:val="20"/>
              </w:rPr>
              <w:t>PAC</w:t>
            </w:r>
            <w:r>
              <w:rPr>
                <w:b/>
                <w:spacing w:val="-8"/>
                <w:sz w:val="20"/>
              </w:rPr>
              <w:t> </w:t>
            </w:r>
            <w:r>
              <w:rPr>
                <w:b/>
                <w:spacing w:val="-2"/>
                <w:sz w:val="20"/>
              </w:rPr>
              <w:t>2.4.5</w:t>
            </w:r>
          </w:p>
        </w:tc>
        <w:tc>
          <w:tcPr>
            <w:tcW w:w="7516" w:type="dxa"/>
          </w:tcPr>
          <w:p>
            <w:pPr>
              <w:pStyle w:val="TableParagraph"/>
              <w:spacing w:before="153"/>
              <w:ind w:left="70" w:right="73"/>
              <w:rPr>
                <w:sz w:val="20"/>
              </w:rPr>
            </w:pPr>
            <w:r>
              <w:rPr>
                <w:sz w:val="20"/>
              </w:rPr>
              <w:t>Nombre del Indicador: Porcentaje de gestiones de las solicitudes efectuadas por las</w:t>
            </w:r>
            <w:r>
              <w:rPr>
                <w:spacing w:val="-4"/>
                <w:sz w:val="20"/>
              </w:rPr>
              <w:t> </w:t>
            </w:r>
            <w:r>
              <w:rPr>
                <w:sz w:val="20"/>
              </w:rPr>
              <w:t>dependencias</w:t>
            </w:r>
            <w:r>
              <w:rPr>
                <w:spacing w:val="-4"/>
                <w:sz w:val="20"/>
              </w:rPr>
              <w:t> </w:t>
            </w:r>
            <w:r>
              <w:rPr>
                <w:sz w:val="20"/>
              </w:rPr>
              <w:t>para</w:t>
            </w:r>
            <w:r>
              <w:rPr>
                <w:spacing w:val="-5"/>
                <w:sz w:val="20"/>
              </w:rPr>
              <w:t> </w:t>
            </w:r>
            <w:r>
              <w:rPr>
                <w:sz w:val="20"/>
              </w:rPr>
              <w:t>el</w:t>
            </w:r>
            <w:r>
              <w:rPr>
                <w:spacing w:val="-6"/>
                <w:sz w:val="20"/>
              </w:rPr>
              <w:t> </w:t>
            </w:r>
            <w:r>
              <w:rPr>
                <w:sz w:val="20"/>
              </w:rPr>
              <w:t>mantenimiento</w:t>
            </w:r>
            <w:r>
              <w:rPr>
                <w:spacing w:val="-6"/>
                <w:sz w:val="20"/>
              </w:rPr>
              <w:t> </w:t>
            </w:r>
            <w:r>
              <w:rPr>
                <w:sz w:val="20"/>
              </w:rPr>
              <w:t>y</w:t>
            </w:r>
            <w:r>
              <w:rPr>
                <w:spacing w:val="-4"/>
                <w:sz w:val="20"/>
              </w:rPr>
              <w:t> </w:t>
            </w:r>
            <w:r>
              <w:rPr>
                <w:sz w:val="20"/>
              </w:rPr>
              <w:t>reparación</w:t>
            </w:r>
            <w:r>
              <w:rPr>
                <w:spacing w:val="-4"/>
                <w:sz w:val="20"/>
              </w:rPr>
              <w:t> </w:t>
            </w:r>
            <w:r>
              <w:rPr>
                <w:sz w:val="20"/>
              </w:rPr>
              <w:t>de</w:t>
            </w:r>
            <w:r>
              <w:rPr>
                <w:spacing w:val="-6"/>
                <w:sz w:val="20"/>
              </w:rPr>
              <w:t> </w:t>
            </w:r>
            <w:r>
              <w:rPr>
                <w:sz w:val="20"/>
              </w:rPr>
              <w:t>equipo</w:t>
            </w:r>
            <w:r>
              <w:rPr>
                <w:spacing w:val="-4"/>
                <w:sz w:val="20"/>
              </w:rPr>
              <w:t> </w:t>
            </w:r>
            <w:r>
              <w:rPr>
                <w:sz w:val="20"/>
              </w:rPr>
              <w:t>de</w:t>
            </w:r>
            <w:r>
              <w:rPr>
                <w:spacing w:val="-6"/>
                <w:sz w:val="20"/>
              </w:rPr>
              <w:t> </w:t>
            </w:r>
            <w:r>
              <w:rPr>
                <w:sz w:val="20"/>
              </w:rPr>
              <w:t>comunicación.</w:t>
            </w:r>
          </w:p>
        </w:tc>
      </w:tr>
      <w:tr>
        <w:trPr>
          <w:trHeight w:val="482" w:hRule="atLeast"/>
        </w:trPr>
        <w:tc>
          <w:tcPr>
            <w:tcW w:w="2976" w:type="dxa"/>
            <w:shd w:val="clear" w:color="auto" w:fill="DBE4F0"/>
          </w:tcPr>
          <w:p>
            <w:pPr>
              <w:pStyle w:val="TableParagraph"/>
              <w:spacing w:before="124"/>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6" w:type="dxa"/>
          </w:tcPr>
          <w:p>
            <w:pPr>
              <w:pStyle w:val="TableParagraph"/>
              <w:spacing w:before="124"/>
              <w:ind w:left="70"/>
              <w:rPr>
                <w:sz w:val="20"/>
              </w:rPr>
            </w:pPr>
            <w:r>
              <w:rPr>
                <w:sz w:val="20"/>
              </w:rPr>
              <w:t>(Total</w:t>
            </w:r>
            <w:r>
              <w:rPr>
                <w:spacing w:val="-8"/>
                <w:sz w:val="20"/>
              </w:rPr>
              <w:t> </w:t>
            </w:r>
            <w:r>
              <w:rPr>
                <w:sz w:val="20"/>
              </w:rPr>
              <w:t>de</w:t>
            </w:r>
            <w:r>
              <w:rPr>
                <w:spacing w:val="-9"/>
                <w:sz w:val="20"/>
              </w:rPr>
              <w:t> </w:t>
            </w:r>
            <w:r>
              <w:rPr>
                <w:sz w:val="20"/>
              </w:rPr>
              <w:t>gestiones</w:t>
            </w:r>
            <w:r>
              <w:rPr>
                <w:spacing w:val="-8"/>
                <w:sz w:val="20"/>
              </w:rPr>
              <w:t> </w:t>
            </w:r>
            <w:r>
              <w:rPr>
                <w:sz w:val="20"/>
              </w:rPr>
              <w:t>efectuadas</w:t>
            </w:r>
            <w:r>
              <w:rPr>
                <w:spacing w:val="-7"/>
                <w:sz w:val="20"/>
              </w:rPr>
              <w:t> </w:t>
            </w:r>
            <w:r>
              <w:rPr>
                <w:sz w:val="20"/>
              </w:rPr>
              <w:t>/</w:t>
            </w:r>
            <w:r>
              <w:rPr>
                <w:spacing w:val="-9"/>
                <w:sz w:val="20"/>
              </w:rPr>
              <w:t> </w:t>
            </w:r>
            <w:r>
              <w:rPr>
                <w:sz w:val="20"/>
              </w:rPr>
              <w:t>Total</w:t>
            </w:r>
            <w:r>
              <w:rPr>
                <w:spacing w:val="-7"/>
                <w:sz w:val="20"/>
              </w:rPr>
              <w:t> </w:t>
            </w:r>
            <w:r>
              <w:rPr>
                <w:sz w:val="20"/>
              </w:rPr>
              <w:t>de</w:t>
            </w:r>
            <w:r>
              <w:rPr>
                <w:spacing w:val="-9"/>
                <w:sz w:val="20"/>
              </w:rPr>
              <w:t> </w:t>
            </w:r>
            <w:r>
              <w:rPr>
                <w:sz w:val="20"/>
              </w:rPr>
              <w:t>solicitudes</w:t>
            </w:r>
            <w:r>
              <w:rPr>
                <w:spacing w:val="-8"/>
                <w:sz w:val="20"/>
              </w:rPr>
              <w:t> </w:t>
            </w:r>
            <w:r>
              <w:rPr>
                <w:sz w:val="20"/>
              </w:rPr>
              <w:t>recibidas)</w:t>
            </w:r>
            <w:r>
              <w:rPr>
                <w:spacing w:val="-7"/>
                <w:sz w:val="20"/>
              </w:rPr>
              <w:t> </w:t>
            </w:r>
            <w:r>
              <w:rPr>
                <w:spacing w:val="-4"/>
                <w:sz w:val="20"/>
              </w:rPr>
              <w:t>*100</w:t>
            </w:r>
          </w:p>
        </w:tc>
      </w:tr>
      <w:tr>
        <w:trPr>
          <w:trHeight w:val="520" w:hRule="atLeast"/>
        </w:trPr>
        <w:tc>
          <w:tcPr>
            <w:tcW w:w="2976" w:type="dxa"/>
            <w:shd w:val="clear" w:color="auto" w:fill="DBE4F0"/>
          </w:tcPr>
          <w:p>
            <w:pPr>
              <w:pStyle w:val="TableParagraph"/>
              <w:spacing w:before="143"/>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6" w:type="dxa"/>
          </w:tcPr>
          <w:p>
            <w:pPr>
              <w:pStyle w:val="TableParagraph"/>
              <w:spacing w:before="143"/>
              <w:ind w:left="70"/>
              <w:rPr>
                <w:sz w:val="20"/>
              </w:rPr>
            </w:pPr>
            <w:r>
              <w:rPr>
                <w:spacing w:val="-2"/>
                <w:sz w:val="20"/>
              </w:rPr>
              <w:t>Porcentaje</w:t>
            </w:r>
          </w:p>
        </w:tc>
      </w:tr>
      <w:tr>
        <w:trPr>
          <w:trHeight w:val="885" w:hRule="atLeast"/>
        </w:trPr>
        <w:tc>
          <w:tcPr>
            <w:tcW w:w="2976" w:type="dxa"/>
            <w:shd w:val="clear" w:color="auto" w:fill="DBE4F0"/>
          </w:tcPr>
          <w:p>
            <w:pPr>
              <w:pStyle w:val="TableParagraph"/>
              <w:spacing w:before="98"/>
              <w:rPr>
                <w:b/>
                <w:sz w:val="20"/>
              </w:rPr>
            </w:pPr>
          </w:p>
          <w:p>
            <w:pPr>
              <w:pStyle w:val="TableParagraph"/>
              <w:spacing w:before="1"/>
              <w:ind w:left="67"/>
              <w:rPr>
                <w:b/>
                <w:sz w:val="20"/>
              </w:rPr>
            </w:pPr>
            <w:r>
              <w:rPr>
                <w:b/>
                <w:spacing w:val="-2"/>
                <w:sz w:val="20"/>
              </w:rPr>
              <w:t>Interpretación:</w:t>
            </w:r>
          </w:p>
        </w:tc>
        <w:tc>
          <w:tcPr>
            <w:tcW w:w="7516" w:type="dxa"/>
          </w:tcPr>
          <w:p>
            <w:pPr>
              <w:pStyle w:val="TableParagraph"/>
              <w:spacing w:before="98"/>
              <w:ind w:left="70" w:right="170"/>
              <w:rPr>
                <w:sz w:val="20"/>
              </w:rPr>
            </w:pPr>
            <w:r>
              <w:rPr>
                <w:sz w:val="20"/>
              </w:rPr>
              <w:t>Su</w:t>
            </w:r>
            <w:r>
              <w:rPr>
                <w:spacing w:val="-5"/>
                <w:sz w:val="20"/>
              </w:rPr>
              <w:t> </w:t>
            </w:r>
            <w:r>
              <w:rPr>
                <w:sz w:val="20"/>
              </w:rPr>
              <w:t>resultado</w:t>
            </w:r>
            <w:r>
              <w:rPr>
                <w:spacing w:val="-6"/>
                <w:sz w:val="20"/>
              </w:rPr>
              <w:t> </w:t>
            </w:r>
            <w:r>
              <w:rPr>
                <w:sz w:val="20"/>
              </w:rPr>
              <w:t>es</w:t>
            </w:r>
            <w:r>
              <w:rPr>
                <w:spacing w:val="-2"/>
                <w:sz w:val="20"/>
              </w:rPr>
              <w:t> </w:t>
            </w:r>
            <w:r>
              <w:rPr>
                <w:sz w:val="20"/>
              </w:rPr>
              <w:t>la</w:t>
            </w:r>
            <w:r>
              <w:rPr>
                <w:spacing w:val="-3"/>
                <w:sz w:val="20"/>
              </w:rPr>
              <w:t> </w:t>
            </w:r>
            <w:r>
              <w:rPr>
                <w:sz w:val="20"/>
              </w:rPr>
              <w:t>derivación</w:t>
            </w:r>
            <w:r>
              <w:rPr>
                <w:spacing w:val="-6"/>
                <w:sz w:val="20"/>
              </w:rPr>
              <w:t> </w:t>
            </w:r>
            <w:r>
              <w:rPr>
                <w:sz w:val="20"/>
              </w:rPr>
              <w:t>de</w:t>
            </w:r>
            <w:r>
              <w:rPr>
                <w:spacing w:val="-5"/>
                <w:sz w:val="20"/>
              </w:rPr>
              <w:t> </w:t>
            </w:r>
            <w:r>
              <w:rPr>
                <w:sz w:val="20"/>
              </w:rPr>
              <w:t>la</w:t>
            </w:r>
            <w:r>
              <w:rPr>
                <w:spacing w:val="-5"/>
                <w:sz w:val="20"/>
              </w:rPr>
              <w:t> </w:t>
            </w:r>
            <w:r>
              <w:rPr>
                <w:sz w:val="20"/>
              </w:rPr>
              <w:t>relación</w:t>
            </w:r>
            <w:r>
              <w:rPr>
                <w:spacing w:val="-5"/>
                <w:sz w:val="20"/>
              </w:rPr>
              <w:t> </w:t>
            </w:r>
            <w:r>
              <w:rPr>
                <w:sz w:val="20"/>
              </w:rPr>
              <w:t>de</w:t>
            </w:r>
            <w:r>
              <w:rPr>
                <w:spacing w:val="-3"/>
                <w:sz w:val="20"/>
              </w:rPr>
              <w:t> </w:t>
            </w:r>
            <w:r>
              <w:rPr>
                <w:sz w:val="20"/>
              </w:rPr>
              <w:t>la</w:t>
            </w:r>
            <w:r>
              <w:rPr>
                <w:spacing w:val="-3"/>
                <w:sz w:val="20"/>
              </w:rPr>
              <w:t> </w:t>
            </w:r>
            <w:r>
              <w:rPr>
                <w:sz w:val="20"/>
              </w:rPr>
              <w:t>cantidad</w:t>
            </w:r>
            <w:r>
              <w:rPr>
                <w:spacing w:val="-3"/>
                <w:sz w:val="20"/>
              </w:rPr>
              <w:t> </w:t>
            </w:r>
            <w:r>
              <w:rPr>
                <w:sz w:val="20"/>
              </w:rPr>
              <w:t>de</w:t>
            </w:r>
            <w:r>
              <w:rPr>
                <w:spacing w:val="-6"/>
                <w:sz w:val="20"/>
              </w:rPr>
              <w:t> </w:t>
            </w:r>
            <w:r>
              <w:rPr>
                <w:sz w:val="20"/>
              </w:rPr>
              <w:t>solicitudes</w:t>
            </w:r>
            <w:r>
              <w:rPr>
                <w:spacing w:val="-2"/>
                <w:sz w:val="20"/>
              </w:rPr>
              <w:t> </w:t>
            </w:r>
            <w:r>
              <w:rPr>
                <w:sz w:val="20"/>
              </w:rPr>
              <w:t>que ejecuta o procesa TI versus la cantidad de solicitudes provenientes de las unidades expresado como relación porcentual.</w:t>
            </w:r>
          </w:p>
        </w:tc>
      </w:tr>
      <w:tr>
        <w:trPr>
          <w:trHeight w:val="436" w:hRule="atLeast"/>
        </w:trPr>
        <w:tc>
          <w:tcPr>
            <w:tcW w:w="2976" w:type="dxa"/>
            <w:shd w:val="clear" w:color="auto" w:fill="DBE4F0"/>
          </w:tcPr>
          <w:p>
            <w:pPr>
              <w:pStyle w:val="TableParagraph"/>
              <w:spacing w:before="102"/>
              <w:ind w:left="67"/>
              <w:rPr>
                <w:b/>
                <w:sz w:val="20"/>
              </w:rPr>
            </w:pPr>
            <w:r>
              <w:rPr>
                <w:b/>
                <w:spacing w:val="-2"/>
                <w:sz w:val="20"/>
              </w:rPr>
              <w:t>Desagregación</w:t>
            </w:r>
          </w:p>
        </w:tc>
        <w:tc>
          <w:tcPr>
            <w:tcW w:w="7516" w:type="dxa"/>
          </w:tcPr>
          <w:p>
            <w:pPr>
              <w:pStyle w:val="TableParagraph"/>
              <w:spacing w:before="102"/>
              <w:ind w:left="70"/>
              <w:rPr>
                <w:sz w:val="20"/>
              </w:rPr>
            </w:pPr>
            <w:r>
              <w:rPr>
                <w:spacing w:val="-2"/>
                <w:sz w:val="20"/>
              </w:rPr>
              <w:t>Regional</w:t>
            </w:r>
          </w:p>
        </w:tc>
      </w:tr>
      <w:tr>
        <w:trPr>
          <w:trHeight w:val="313" w:hRule="atLeast"/>
        </w:trPr>
        <w:tc>
          <w:tcPr>
            <w:tcW w:w="2976" w:type="dxa"/>
            <w:shd w:val="clear" w:color="auto" w:fill="DBE4F0"/>
          </w:tcPr>
          <w:p>
            <w:pPr>
              <w:pStyle w:val="TableParagraph"/>
              <w:spacing w:before="40"/>
              <w:ind w:left="67"/>
              <w:rPr>
                <w:b/>
                <w:sz w:val="20"/>
              </w:rPr>
            </w:pPr>
            <w:r>
              <w:rPr>
                <w:b/>
                <w:spacing w:val="-2"/>
                <w:sz w:val="20"/>
              </w:rPr>
              <w:t>Meta:</w:t>
            </w:r>
          </w:p>
        </w:tc>
        <w:tc>
          <w:tcPr>
            <w:tcW w:w="7516" w:type="dxa"/>
          </w:tcPr>
          <w:p>
            <w:pPr>
              <w:pStyle w:val="TableParagraph"/>
              <w:spacing w:before="40"/>
              <w:ind w:left="70"/>
              <w:rPr>
                <w:sz w:val="20"/>
              </w:rPr>
            </w:pPr>
            <w:r>
              <w:rPr>
                <w:spacing w:val="-4"/>
                <w:sz w:val="20"/>
              </w:rPr>
              <w:t>100%</w:t>
            </w:r>
          </w:p>
        </w:tc>
      </w:tr>
      <w:tr>
        <w:trPr>
          <w:trHeight w:val="314" w:hRule="atLeast"/>
        </w:trPr>
        <w:tc>
          <w:tcPr>
            <w:tcW w:w="2976" w:type="dxa"/>
            <w:shd w:val="clear" w:color="auto" w:fill="DBE4F0"/>
          </w:tcPr>
          <w:p>
            <w:pPr>
              <w:pStyle w:val="TableParagraph"/>
              <w:spacing w:before="42"/>
              <w:ind w:left="67"/>
              <w:rPr>
                <w:b/>
                <w:sz w:val="20"/>
              </w:rPr>
            </w:pPr>
            <w:r>
              <w:rPr>
                <w:b/>
                <w:sz w:val="20"/>
              </w:rPr>
              <w:t>Línea</w:t>
            </w:r>
            <w:r>
              <w:rPr>
                <w:b/>
                <w:spacing w:val="-10"/>
                <w:sz w:val="20"/>
              </w:rPr>
              <w:t> </w:t>
            </w:r>
            <w:r>
              <w:rPr>
                <w:b/>
                <w:spacing w:val="-4"/>
                <w:sz w:val="20"/>
              </w:rPr>
              <w:t>Base</w:t>
            </w:r>
          </w:p>
        </w:tc>
        <w:tc>
          <w:tcPr>
            <w:tcW w:w="7516" w:type="dxa"/>
          </w:tcPr>
          <w:p>
            <w:pPr>
              <w:pStyle w:val="TableParagraph"/>
              <w:spacing w:before="42"/>
              <w:ind w:left="70"/>
              <w:rPr>
                <w:sz w:val="20"/>
              </w:rPr>
            </w:pPr>
            <w:r>
              <w:rPr>
                <w:spacing w:val="-10"/>
                <w:sz w:val="20"/>
              </w:rPr>
              <w:t>-</w:t>
            </w:r>
          </w:p>
        </w:tc>
      </w:tr>
      <w:tr>
        <w:trPr>
          <w:trHeight w:val="630" w:hRule="atLeast"/>
        </w:trPr>
        <w:tc>
          <w:tcPr>
            <w:tcW w:w="2976" w:type="dxa"/>
            <w:shd w:val="clear" w:color="auto" w:fill="DBE4F0"/>
          </w:tcPr>
          <w:p>
            <w:pPr>
              <w:pStyle w:val="TableParagraph"/>
              <w:spacing w:before="8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6" w:type="dxa"/>
          </w:tcPr>
          <w:p>
            <w:pPr>
              <w:pStyle w:val="TableParagraph"/>
              <w:spacing w:before="201"/>
              <w:ind w:left="70"/>
              <w:rPr>
                <w:sz w:val="20"/>
              </w:rPr>
            </w:pPr>
            <w:r>
              <w:rPr>
                <w:spacing w:val="-4"/>
                <w:sz w:val="20"/>
              </w:rPr>
              <w:t>Anual</w:t>
            </w:r>
          </w:p>
        </w:tc>
      </w:tr>
      <w:tr>
        <w:trPr>
          <w:trHeight w:val="734" w:hRule="atLeast"/>
        </w:trPr>
        <w:tc>
          <w:tcPr>
            <w:tcW w:w="2976" w:type="dxa"/>
            <w:shd w:val="clear" w:color="auto" w:fill="DBE4F0"/>
          </w:tcPr>
          <w:p>
            <w:pPr>
              <w:pStyle w:val="TableParagraph"/>
              <w:spacing w:before="136"/>
              <w:ind w:left="67" w:right="514"/>
              <w:rPr>
                <w:b/>
                <w:sz w:val="20"/>
              </w:rPr>
            </w:pPr>
            <w:r>
              <w:rPr>
                <w:b/>
                <w:sz w:val="20"/>
              </w:rPr>
              <w:t>Responsable de la recopilación</w:t>
            </w:r>
            <w:r>
              <w:rPr>
                <w:b/>
                <w:spacing w:val="-14"/>
                <w:sz w:val="20"/>
              </w:rPr>
              <w:t> </w:t>
            </w:r>
            <w:r>
              <w:rPr>
                <w:b/>
                <w:sz w:val="20"/>
              </w:rPr>
              <w:t>información</w:t>
            </w:r>
          </w:p>
        </w:tc>
        <w:tc>
          <w:tcPr>
            <w:tcW w:w="7516" w:type="dxa"/>
          </w:tcPr>
          <w:p>
            <w:pPr>
              <w:pStyle w:val="TableParagraph"/>
              <w:spacing w:before="136"/>
              <w:ind w:left="70" w:right="2510"/>
              <w:rPr>
                <w:sz w:val="20"/>
              </w:rPr>
            </w:pPr>
            <w:r>
              <w:rPr>
                <w:sz w:val="20"/>
              </w:rPr>
              <w:t>Nombre</w:t>
            </w:r>
            <w:r>
              <w:rPr>
                <w:spacing w:val="-6"/>
                <w:sz w:val="20"/>
              </w:rPr>
              <w:t> </w:t>
            </w:r>
            <w:r>
              <w:rPr>
                <w:sz w:val="20"/>
              </w:rPr>
              <w:t>del</w:t>
            </w:r>
            <w:r>
              <w:rPr>
                <w:spacing w:val="-9"/>
                <w:sz w:val="20"/>
              </w:rPr>
              <w:t> </w:t>
            </w:r>
            <w:r>
              <w:rPr>
                <w:sz w:val="20"/>
              </w:rPr>
              <w:t>funcionario:</w:t>
            </w:r>
            <w:r>
              <w:rPr>
                <w:spacing w:val="-8"/>
                <w:sz w:val="20"/>
              </w:rPr>
              <w:t> </w:t>
            </w:r>
            <w:r>
              <w:rPr>
                <w:sz w:val="20"/>
              </w:rPr>
              <w:t>Luis</w:t>
            </w:r>
            <w:r>
              <w:rPr>
                <w:spacing w:val="-7"/>
                <w:sz w:val="20"/>
              </w:rPr>
              <w:t> </w:t>
            </w:r>
            <w:r>
              <w:rPr>
                <w:sz w:val="20"/>
              </w:rPr>
              <w:t>Adolfo</w:t>
            </w:r>
            <w:r>
              <w:rPr>
                <w:spacing w:val="-9"/>
                <w:sz w:val="20"/>
              </w:rPr>
              <w:t> </w:t>
            </w:r>
            <w:r>
              <w:rPr>
                <w:sz w:val="20"/>
              </w:rPr>
              <w:t>Gonzalez</w:t>
            </w:r>
            <w:r>
              <w:rPr>
                <w:spacing w:val="-7"/>
                <w:sz w:val="20"/>
              </w:rPr>
              <w:t> </w:t>
            </w:r>
            <w:r>
              <w:rPr>
                <w:sz w:val="20"/>
              </w:rPr>
              <w:t>Alguera Cargo: Jefatura TI</w:t>
            </w:r>
          </w:p>
        </w:tc>
      </w:tr>
      <w:tr>
        <w:trPr>
          <w:trHeight w:val="945" w:hRule="atLeast"/>
        </w:trPr>
        <w:tc>
          <w:tcPr>
            <w:tcW w:w="2976" w:type="dxa"/>
            <w:shd w:val="clear" w:color="auto" w:fill="DBE4F0"/>
          </w:tcPr>
          <w:p>
            <w:pPr>
              <w:pStyle w:val="TableParagraph"/>
              <w:spacing w:before="12"/>
              <w:rPr>
                <w:b/>
                <w:sz w:val="20"/>
              </w:rPr>
            </w:pPr>
          </w:p>
          <w:p>
            <w:pPr>
              <w:pStyle w:val="TableParagraph"/>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6" w:type="dxa"/>
          </w:tcPr>
          <w:p>
            <w:pPr>
              <w:pStyle w:val="TableParagraph"/>
              <w:spacing w:before="127"/>
              <w:rPr>
                <w:b/>
                <w:sz w:val="20"/>
              </w:rPr>
            </w:pPr>
          </w:p>
          <w:p>
            <w:pPr>
              <w:pStyle w:val="TableParagraph"/>
              <w:ind w:left="70"/>
              <w:rPr>
                <w:sz w:val="20"/>
              </w:rPr>
            </w:pPr>
            <w:r>
              <w:rPr>
                <w:sz w:val="20"/>
              </w:rPr>
              <w:t>Tecnología</w:t>
            </w:r>
            <w:r>
              <w:rPr>
                <w:spacing w:val="-10"/>
                <w:sz w:val="20"/>
              </w:rPr>
              <w:t> </w:t>
            </w:r>
            <w:r>
              <w:rPr>
                <w:sz w:val="20"/>
              </w:rPr>
              <w:t>de</w:t>
            </w:r>
            <w:r>
              <w:rPr>
                <w:spacing w:val="-9"/>
                <w:sz w:val="20"/>
              </w:rPr>
              <w:t> </w:t>
            </w:r>
            <w:r>
              <w:rPr>
                <w:spacing w:val="-2"/>
                <w:sz w:val="20"/>
              </w:rPr>
              <w:t>Información</w:t>
            </w:r>
          </w:p>
        </w:tc>
      </w:tr>
      <w:tr>
        <w:trPr>
          <w:trHeight w:val="544" w:hRule="atLeast"/>
        </w:trPr>
        <w:tc>
          <w:tcPr>
            <w:tcW w:w="2976" w:type="dxa"/>
            <w:shd w:val="clear" w:color="auto" w:fill="DBE4F0"/>
          </w:tcPr>
          <w:p>
            <w:pPr>
              <w:pStyle w:val="TableParagraph"/>
              <w:spacing w:before="158"/>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6" w:type="dxa"/>
          </w:tcPr>
          <w:p>
            <w:pPr>
              <w:pStyle w:val="TableParagraph"/>
              <w:spacing w:before="158"/>
              <w:ind w:left="70"/>
              <w:rPr>
                <w:sz w:val="20"/>
              </w:rPr>
            </w:pPr>
            <w:r>
              <w:rPr>
                <w:sz w:val="20"/>
              </w:rPr>
              <w:t>La</w:t>
            </w:r>
            <w:r>
              <w:rPr>
                <w:spacing w:val="-7"/>
                <w:sz w:val="20"/>
              </w:rPr>
              <w:t> </w:t>
            </w:r>
            <w:r>
              <w:rPr>
                <w:sz w:val="20"/>
              </w:rPr>
              <w:t>fuente</w:t>
            </w:r>
            <w:r>
              <w:rPr>
                <w:spacing w:val="-6"/>
                <w:sz w:val="20"/>
              </w:rPr>
              <w:t> </w:t>
            </w:r>
            <w:r>
              <w:rPr>
                <w:sz w:val="20"/>
              </w:rPr>
              <w:t>de</w:t>
            </w:r>
            <w:r>
              <w:rPr>
                <w:spacing w:val="-4"/>
                <w:sz w:val="20"/>
              </w:rPr>
              <w:t> </w:t>
            </w:r>
            <w:r>
              <w:rPr>
                <w:sz w:val="20"/>
              </w:rPr>
              <w:t>la</w:t>
            </w:r>
            <w:r>
              <w:rPr>
                <w:spacing w:val="-4"/>
                <w:sz w:val="20"/>
              </w:rPr>
              <w:t> </w:t>
            </w:r>
            <w:r>
              <w:rPr>
                <w:sz w:val="20"/>
              </w:rPr>
              <w:t>información</w:t>
            </w:r>
            <w:r>
              <w:rPr>
                <w:spacing w:val="-5"/>
                <w:sz w:val="20"/>
              </w:rPr>
              <w:t> </w:t>
            </w:r>
            <w:r>
              <w:rPr>
                <w:sz w:val="20"/>
              </w:rPr>
              <w:t>es</w:t>
            </w:r>
            <w:r>
              <w:rPr>
                <w:spacing w:val="-5"/>
                <w:sz w:val="20"/>
              </w:rPr>
              <w:t> TI</w:t>
            </w:r>
          </w:p>
        </w:tc>
      </w:tr>
      <w:tr>
        <w:trPr>
          <w:trHeight w:val="1065" w:hRule="atLeast"/>
        </w:trPr>
        <w:tc>
          <w:tcPr>
            <w:tcW w:w="2976" w:type="dxa"/>
            <w:shd w:val="clear" w:color="auto" w:fill="DBE4F0"/>
          </w:tcPr>
          <w:p>
            <w:pPr>
              <w:pStyle w:val="TableParagraph"/>
              <w:spacing w:before="187"/>
              <w:rPr>
                <w:b/>
                <w:sz w:val="20"/>
              </w:rPr>
            </w:pPr>
          </w:p>
          <w:p>
            <w:pPr>
              <w:pStyle w:val="TableParagraph"/>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6" w:type="dxa"/>
          </w:tcPr>
          <w:p>
            <w:pPr>
              <w:pStyle w:val="TableParagraph"/>
              <w:spacing w:before="186"/>
              <w:ind w:left="70" w:right="170"/>
              <w:rPr>
                <w:sz w:val="20"/>
              </w:rPr>
            </w:pPr>
            <w:r>
              <w:rPr>
                <w:sz w:val="20"/>
              </w:rPr>
              <w:t>Reportes o informes generados por TI en donde se visualice la cantidad de solicitudes</w:t>
            </w:r>
            <w:r>
              <w:rPr>
                <w:spacing w:val="-4"/>
                <w:sz w:val="20"/>
              </w:rPr>
              <w:t> </w:t>
            </w:r>
            <w:r>
              <w:rPr>
                <w:sz w:val="20"/>
              </w:rPr>
              <w:t>efectuadas</w:t>
            </w:r>
            <w:r>
              <w:rPr>
                <w:spacing w:val="-4"/>
                <w:sz w:val="20"/>
              </w:rPr>
              <w:t> </w:t>
            </w:r>
            <w:r>
              <w:rPr>
                <w:sz w:val="20"/>
              </w:rPr>
              <w:t>por</w:t>
            </w:r>
            <w:r>
              <w:rPr>
                <w:spacing w:val="-6"/>
                <w:sz w:val="20"/>
              </w:rPr>
              <w:t> </w:t>
            </w:r>
            <w:r>
              <w:rPr>
                <w:sz w:val="20"/>
              </w:rPr>
              <w:t>las</w:t>
            </w:r>
            <w:r>
              <w:rPr>
                <w:spacing w:val="-6"/>
                <w:sz w:val="20"/>
              </w:rPr>
              <w:t> </w:t>
            </w:r>
            <w:r>
              <w:rPr>
                <w:sz w:val="20"/>
              </w:rPr>
              <w:t>dependencias</w:t>
            </w:r>
            <w:r>
              <w:rPr>
                <w:spacing w:val="-6"/>
                <w:sz w:val="20"/>
              </w:rPr>
              <w:t> </w:t>
            </w:r>
            <w:r>
              <w:rPr>
                <w:sz w:val="20"/>
              </w:rPr>
              <w:t>para</w:t>
            </w:r>
            <w:r>
              <w:rPr>
                <w:spacing w:val="-5"/>
                <w:sz w:val="20"/>
              </w:rPr>
              <w:t> </w:t>
            </w:r>
            <w:r>
              <w:rPr>
                <w:sz w:val="20"/>
              </w:rPr>
              <w:t>el</w:t>
            </w:r>
            <w:r>
              <w:rPr>
                <w:spacing w:val="-6"/>
                <w:sz w:val="20"/>
              </w:rPr>
              <w:t> </w:t>
            </w:r>
            <w:r>
              <w:rPr>
                <w:sz w:val="20"/>
              </w:rPr>
              <w:t>mantenimiento</w:t>
            </w:r>
            <w:r>
              <w:rPr>
                <w:spacing w:val="-8"/>
                <w:sz w:val="20"/>
              </w:rPr>
              <w:t> </w:t>
            </w:r>
            <w:r>
              <w:rPr>
                <w:sz w:val="20"/>
              </w:rPr>
              <w:t>y</w:t>
            </w:r>
            <w:r>
              <w:rPr>
                <w:spacing w:val="-6"/>
                <w:sz w:val="20"/>
              </w:rPr>
              <w:t> </w:t>
            </w:r>
            <w:r>
              <w:rPr>
                <w:sz w:val="20"/>
              </w:rPr>
              <w:t>reparación de equipo de cómputo y sistemas de información recibas en el SAP</w:t>
            </w:r>
          </w:p>
        </w:tc>
      </w:tr>
      <w:tr>
        <w:trPr>
          <w:trHeight w:val="630" w:hRule="atLeast"/>
        </w:trPr>
        <w:tc>
          <w:tcPr>
            <w:tcW w:w="2976" w:type="dxa"/>
            <w:shd w:val="clear" w:color="auto" w:fill="DBE4F0"/>
          </w:tcPr>
          <w:p>
            <w:pPr>
              <w:pStyle w:val="TableParagraph"/>
              <w:spacing w:before="198"/>
              <w:ind w:left="67"/>
              <w:rPr>
                <w:b/>
                <w:sz w:val="20"/>
              </w:rPr>
            </w:pPr>
            <w:r>
              <w:rPr>
                <w:b/>
                <w:spacing w:val="-2"/>
                <w:sz w:val="20"/>
              </w:rPr>
              <w:t>Clasificación</w:t>
            </w:r>
          </w:p>
        </w:tc>
        <w:tc>
          <w:tcPr>
            <w:tcW w:w="7516" w:type="dxa"/>
          </w:tcPr>
          <w:p>
            <w:pPr>
              <w:pStyle w:val="TableParagraph"/>
              <w:spacing w:before="198"/>
              <w:ind w:left="70"/>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545" w:hRule="atLeast"/>
        </w:trPr>
        <w:tc>
          <w:tcPr>
            <w:tcW w:w="2976" w:type="dxa"/>
            <w:shd w:val="clear" w:color="auto" w:fill="DBE4F0"/>
          </w:tcPr>
          <w:p>
            <w:pPr>
              <w:pStyle w:val="TableParagraph"/>
              <w:spacing w:before="156"/>
              <w:ind w:left="67"/>
              <w:rPr>
                <w:b/>
                <w:sz w:val="20"/>
              </w:rPr>
            </w:pPr>
            <w:r>
              <w:rPr>
                <w:b/>
                <w:spacing w:val="-2"/>
                <w:sz w:val="20"/>
              </w:rPr>
              <w:t>Comentarios</w:t>
            </w:r>
            <w:r>
              <w:rPr>
                <w:b/>
                <w:spacing w:val="6"/>
                <w:sz w:val="20"/>
              </w:rPr>
              <w:t> </w:t>
            </w:r>
            <w:r>
              <w:rPr>
                <w:b/>
                <w:spacing w:val="-2"/>
                <w:sz w:val="20"/>
              </w:rPr>
              <w:t>Generales</w:t>
            </w:r>
          </w:p>
        </w:tc>
        <w:tc>
          <w:tcPr>
            <w:tcW w:w="7516" w:type="dxa"/>
          </w:tcPr>
          <w:p>
            <w:pPr>
              <w:pStyle w:val="TableParagraph"/>
              <w:spacing w:before="156"/>
              <w:ind w:left="125"/>
              <w:rPr>
                <w:sz w:val="20"/>
              </w:rPr>
            </w:pPr>
            <w:r>
              <w:rPr>
                <w:sz w:val="20"/>
              </w:rPr>
              <w:t>Partida</w:t>
            </w:r>
            <w:r>
              <w:rPr>
                <w:spacing w:val="-9"/>
                <w:sz w:val="20"/>
              </w:rPr>
              <w:t> </w:t>
            </w:r>
            <w:r>
              <w:rPr>
                <w:spacing w:val="-2"/>
                <w:sz w:val="20"/>
              </w:rPr>
              <w:t>1.08.06</w:t>
            </w:r>
          </w:p>
        </w:tc>
      </w:tr>
    </w:tbl>
    <w:p>
      <w:pPr>
        <w:pStyle w:val="TableParagraph"/>
        <w:spacing w:after="0"/>
        <w:rPr>
          <w:sz w:val="20"/>
        </w:rPr>
        <w:sectPr>
          <w:footerReference w:type="default" r:id="rId146"/>
          <w:pgSz w:w="12240" w:h="15840"/>
          <w:pgMar w:header="0" w:footer="2082" w:top="1820" w:bottom="3220" w:left="720" w:right="720"/>
          <w:pgNumType w:start="206"/>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6"/>
      </w:tblGrid>
      <w:tr>
        <w:trPr>
          <w:trHeight w:val="808" w:hRule="atLeast"/>
        </w:trPr>
        <w:tc>
          <w:tcPr>
            <w:tcW w:w="2976" w:type="dxa"/>
            <w:shd w:val="clear" w:color="auto" w:fill="DBE4F0"/>
          </w:tcPr>
          <w:p>
            <w:pPr>
              <w:pStyle w:val="TableParagraph"/>
              <w:spacing w:before="60"/>
              <w:rPr>
                <w:b/>
                <w:sz w:val="20"/>
              </w:rPr>
            </w:pPr>
          </w:p>
          <w:p>
            <w:pPr>
              <w:pStyle w:val="TableParagraph"/>
              <w:ind w:left="67"/>
              <w:rPr>
                <w:b/>
                <w:sz w:val="20"/>
              </w:rPr>
            </w:pPr>
            <w:r>
              <w:rPr>
                <w:b/>
                <w:sz w:val="20"/>
              </w:rPr>
              <w:t>PAC</w:t>
            </w:r>
            <w:r>
              <w:rPr>
                <w:b/>
                <w:spacing w:val="-8"/>
                <w:sz w:val="20"/>
              </w:rPr>
              <w:t> </w:t>
            </w:r>
            <w:r>
              <w:rPr>
                <w:b/>
                <w:spacing w:val="-2"/>
                <w:sz w:val="20"/>
              </w:rPr>
              <w:t>2.4.6</w:t>
            </w:r>
          </w:p>
        </w:tc>
        <w:tc>
          <w:tcPr>
            <w:tcW w:w="7516" w:type="dxa"/>
          </w:tcPr>
          <w:p>
            <w:pPr>
              <w:pStyle w:val="TableParagraph"/>
              <w:spacing w:before="175"/>
              <w:ind w:left="70" w:right="170"/>
              <w:rPr>
                <w:sz w:val="20"/>
              </w:rPr>
            </w:pPr>
            <w:r>
              <w:rPr>
                <w:sz w:val="20"/>
              </w:rPr>
              <w:t>Nombre</w:t>
            </w:r>
            <w:r>
              <w:rPr>
                <w:spacing w:val="-5"/>
                <w:sz w:val="20"/>
              </w:rPr>
              <w:t> </w:t>
            </w:r>
            <w:r>
              <w:rPr>
                <w:sz w:val="20"/>
              </w:rPr>
              <w:t>del</w:t>
            </w:r>
            <w:r>
              <w:rPr>
                <w:spacing w:val="-7"/>
                <w:sz w:val="20"/>
              </w:rPr>
              <w:t> </w:t>
            </w:r>
            <w:r>
              <w:rPr>
                <w:sz w:val="20"/>
              </w:rPr>
              <w:t>Indicador:</w:t>
            </w:r>
            <w:r>
              <w:rPr>
                <w:spacing w:val="-5"/>
                <w:sz w:val="20"/>
              </w:rPr>
              <w:t> </w:t>
            </w:r>
            <w:r>
              <w:rPr>
                <w:sz w:val="20"/>
              </w:rPr>
              <w:t>Porcentaje</w:t>
            </w:r>
            <w:r>
              <w:rPr>
                <w:spacing w:val="-5"/>
                <w:sz w:val="20"/>
              </w:rPr>
              <w:t> </w:t>
            </w:r>
            <w:r>
              <w:rPr>
                <w:sz w:val="20"/>
              </w:rPr>
              <w:t>de</w:t>
            </w:r>
            <w:r>
              <w:rPr>
                <w:spacing w:val="-7"/>
                <w:sz w:val="20"/>
              </w:rPr>
              <w:t> </w:t>
            </w:r>
            <w:r>
              <w:rPr>
                <w:sz w:val="20"/>
              </w:rPr>
              <w:t>gestiones</w:t>
            </w:r>
            <w:r>
              <w:rPr>
                <w:spacing w:val="-6"/>
                <w:sz w:val="20"/>
              </w:rPr>
              <w:t> </w:t>
            </w:r>
            <w:r>
              <w:rPr>
                <w:sz w:val="20"/>
              </w:rPr>
              <w:t>de</w:t>
            </w:r>
            <w:r>
              <w:rPr>
                <w:spacing w:val="-7"/>
                <w:sz w:val="20"/>
              </w:rPr>
              <w:t> </w:t>
            </w:r>
            <w:r>
              <w:rPr>
                <w:sz w:val="20"/>
              </w:rPr>
              <w:t>las</w:t>
            </w:r>
            <w:r>
              <w:rPr>
                <w:spacing w:val="-4"/>
                <w:sz w:val="20"/>
              </w:rPr>
              <w:t> </w:t>
            </w:r>
            <w:r>
              <w:rPr>
                <w:sz w:val="20"/>
              </w:rPr>
              <w:t>solicitudes</w:t>
            </w:r>
            <w:r>
              <w:rPr>
                <w:spacing w:val="-4"/>
                <w:sz w:val="20"/>
              </w:rPr>
              <w:t> </w:t>
            </w:r>
            <w:r>
              <w:rPr>
                <w:sz w:val="20"/>
              </w:rPr>
              <w:t>efectuadas</w:t>
            </w:r>
            <w:r>
              <w:rPr>
                <w:spacing w:val="-4"/>
                <w:sz w:val="20"/>
              </w:rPr>
              <w:t> </w:t>
            </w:r>
            <w:r>
              <w:rPr>
                <w:sz w:val="20"/>
              </w:rPr>
              <w:t>por las dependencias para los servicios de tecnologías de información.</w:t>
            </w:r>
          </w:p>
        </w:tc>
      </w:tr>
      <w:tr>
        <w:trPr>
          <w:trHeight w:val="525" w:hRule="atLeast"/>
        </w:trPr>
        <w:tc>
          <w:tcPr>
            <w:tcW w:w="2976" w:type="dxa"/>
            <w:shd w:val="clear" w:color="auto" w:fill="DBE4F0"/>
          </w:tcPr>
          <w:p>
            <w:pPr>
              <w:pStyle w:val="TableParagraph"/>
              <w:spacing w:before="148"/>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6" w:type="dxa"/>
          </w:tcPr>
          <w:p>
            <w:pPr>
              <w:pStyle w:val="TableParagraph"/>
              <w:spacing w:before="148"/>
              <w:ind w:left="70"/>
              <w:rPr>
                <w:sz w:val="20"/>
              </w:rPr>
            </w:pPr>
            <w:r>
              <w:rPr>
                <w:sz w:val="20"/>
              </w:rPr>
              <w:t>(Total</w:t>
            </w:r>
            <w:r>
              <w:rPr>
                <w:spacing w:val="-8"/>
                <w:sz w:val="20"/>
              </w:rPr>
              <w:t> </w:t>
            </w:r>
            <w:r>
              <w:rPr>
                <w:sz w:val="20"/>
              </w:rPr>
              <w:t>de</w:t>
            </w:r>
            <w:r>
              <w:rPr>
                <w:spacing w:val="-9"/>
                <w:sz w:val="20"/>
              </w:rPr>
              <w:t> </w:t>
            </w:r>
            <w:r>
              <w:rPr>
                <w:sz w:val="20"/>
              </w:rPr>
              <w:t>gestiones</w:t>
            </w:r>
            <w:r>
              <w:rPr>
                <w:spacing w:val="-8"/>
                <w:sz w:val="20"/>
              </w:rPr>
              <w:t> </w:t>
            </w:r>
            <w:r>
              <w:rPr>
                <w:sz w:val="20"/>
              </w:rPr>
              <w:t>efectuadas</w:t>
            </w:r>
            <w:r>
              <w:rPr>
                <w:spacing w:val="-7"/>
                <w:sz w:val="20"/>
              </w:rPr>
              <w:t> </w:t>
            </w:r>
            <w:r>
              <w:rPr>
                <w:sz w:val="20"/>
              </w:rPr>
              <w:t>/</w:t>
            </w:r>
            <w:r>
              <w:rPr>
                <w:spacing w:val="-9"/>
                <w:sz w:val="20"/>
              </w:rPr>
              <w:t> </w:t>
            </w:r>
            <w:r>
              <w:rPr>
                <w:sz w:val="20"/>
              </w:rPr>
              <w:t>Total</w:t>
            </w:r>
            <w:r>
              <w:rPr>
                <w:spacing w:val="-7"/>
                <w:sz w:val="20"/>
              </w:rPr>
              <w:t> </w:t>
            </w:r>
            <w:r>
              <w:rPr>
                <w:sz w:val="20"/>
              </w:rPr>
              <w:t>de</w:t>
            </w:r>
            <w:r>
              <w:rPr>
                <w:spacing w:val="-9"/>
                <w:sz w:val="20"/>
              </w:rPr>
              <w:t> </w:t>
            </w:r>
            <w:r>
              <w:rPr>
                <w:sz w:val="20"/>
              </w:rPr>
              <w:t>solicitudes</w:t>
            </w:r>
            <w:r>
              <w:rPr>
                <w:spacing w:val="-8"/>
                <w:sz w:val="20"/>
              </w:rPr>
              <w:t> </w:t>
            </w:r>
            <w:r>
              <w:rPr>
                <w:sz w:val="20"/>
              </w:rPr>
              <w:t>recibidas)</w:t>
            </w:r>
            <w:r>
              <w:rPr>
                <w:spacing w:val="-7"/>
                <w:sz w:val="20"/>
              </w:rPr>
              <w:t> </w:t>
            </w:r>
            <w:r>
              <w:rPr>
                <w:spacing w:val="-4"/>
                <w:sz w:val="20"/>
              </w:rPr>
              <w:t>*100</w:t>
            </w:r>
          </w:p>
        </w:tc>
      </w:tr>
      <w:tr>
        <w:trPr>
          <w:trHeight w:val="522" w:hRule="atLeast"/>
        </w:trPr>
        <w:tc>
          <w:tcPr>
            <w:tcW w:w="2976" w:type="dxa"/>
            <w:shd w:val="clear" w:color="auto" w:fill="DBE4F0"/>
          </w:tcPr>
          <w:p>
            <w:pPr>
              <w:pStyle w:val="TableParagraph"/>
              <w:spacing w:before="146"/>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6" w:type="dxa"/>
          </w:tcPr>
          <w:p>
            <w:pPr>
              <w:pStyle w:val="TableParagraph"/>
              <w:spacing w:before="146"/>
              <w:ind w:left="70"/>
              <w:rPr>
                <w:sz w:val="20"/>
              </w:rPr>
            </w:pPr>
            <w:r>
              <w:rPr>
                <w:spacing w:val="-2"/>
                <w:sz w:val="20"/>
              </w:rPr>
              <w:t>Porcentaje</w:t>
            </w:r>
          </w:p>
        </w:tc>
      </w:tr>
      <w:tr>
        <w:trPr>
          <w:trHeight w:val="959" w:hRule="atLeast"/>
        </w:trPr>
        <w:tc>
          <w:tcPr>
            <w:tcW w:w="2976" w:type="dxa"/>
            <w:shd w:val="clear" w:color="auto" w:fill="DBE4F0"/>
          </w:tcPr>
          <w:p>
            <w:pPr>
              <w:pStyle w:val="TableParagraph"/>
              <w:spacing w:before="134"/>
              <w:rPr>
                <w:b/>
                <w:sz w:val="20"/>
              </w:rPr>
            </w:pPr>
          </w:p>
          <w:p>
            <w:pPr>
              <w:pStyle w:val="TableParagraph"/>
              <w:ind w:left="67"/>
              <w:rPr>
                <w:b/>
                <w:sz w:val="20"/>
              </w:rPr>
            </w:pPr>
            <w:r>
              <w:rPr>
                <w:b/>
                <w:spacing w:val="-2"/>
                <w:sz w:val="20"/>
              </w:rPr>
              <w:t>Interpretación:</w:t>
            </w:r>
          </w:p>
        </w:tc>
        <w:tc>
          <w:tcPr>
            <w:tcW w:w="7516" w:type="dxa"/>
          </w:tcPr>
          <w:p>
            <w:pPr>
              <w:pStyle w:val="TableParagraph"/>
              <w:spacing w:before="134"/>
              <w:ind w:left="70" w:right="170"/>
              <w:rPr>
                <w:sz w:val="20"/>
              </w:rPr>
            </w:pPr>
            <w:r>
              <w:rPr>
                <w:sz w:val="20"/>
              </w:rPr>
              <w:t>Su</w:t>
            </w:r>
            <w:r>
              <w:rPr>
                <w:spacing w:val="-5"/>
                <w:sz w:val="20"/>
              </w:rPr>
              <w:t> </w:t>
            </w:r>
            <w:r>
              <w:rPr>
                <w:sz w:val="20"/>
              </w:rPr>
              <w:t>resultado</w:t>
            </w:r>
            <w:r>
              <w:rPr>
                <w:spacing w:val="-6"/>
                <w:sz w:val="20"/>
              </w:rPr>
              <w:t> </w:t>
            </w:r>
            <w:r>
              <w:rPr>
                <w:sz w:val="20"/>
              </w:rPr>
              <w:t>es</w:t>
            </w:r>
            <w:r>
              <w:rPr>
                <w:spacing w:val="-2"/>
                <w:sz w:val="20"/>
              </w:rPr>
              <w:t> </w:t>
            </w:r>
            <w:r>
              <w:rPr>
                <w:sz w:val="20"/>
              </w:rPr>
              <w:t>la</w:t>
            </w:r>
            <w:r>
              <w:rPr>
                <w:spacing w:val="-3"/>
                <w:sz w:val="20"/>
              </w:rPr>
              <w:t> </w:t>
            </w:r>
            <w:r>
              <w:rPr>
                <w:sz w:val="20"/>
              </w:rPr>
              <w:t>derivación</w:t>
            </w:r>
            <w:r>
              <w:rPr>
                <w:spacing w:val="-6"/>
                <w:sz w:val="20"/>
              </w:rPr>
              <w:t> </w:t>
            </w:r>
            <w:r>
              <w:rPr>
                <w:sz w:val="20"/>
              </w:rPr>
              <w:t>de</w:t>
            </w:r>
            <w:r>
              <w:rPr>
                <w:spacing w:val="-5"/>
                <w:sz w:val="20"/>
              </w:rPr>
              <w:t> </w:t>
            </w:r>
            <w:r>
              <w:rPr>
                <w:sz w:val="20"/>
              </w:rPr>
              <w:t>la</w:t>
            </w:r>
            <w:r>
              <w:rPr>
                <w:spacing w:val="-5"/>
                <w:sz w:val="20"/>
              </w:rPr>
              <w:t> </w:t>
            </w:r>
            <w:r>
              <w:rPr>
                <w:sz w:val="20"/>
              </w:rPr>
              <w:t>relación</w:t>
            </w:r>
            <w:r>
              <w:rPr>
                <w:spacing w:val="-5"/>
                <w:sz w:val="20"/>
              </w:rPr>
              <w:t> </w:t>
            </w:r>
            <w:r>
              <w:rPr>
                <w:sz w:val="20"/>
              </w:rPr>
              <w:t>de</w:t>
            </w:r>
            <w:r>
              <w:rPr>
                <w:spacing w:val="-3"/>
                <w:sz w:val="20"/>
              </w:rPr>
              <w:t> </w:t>
            </w:r>
            <w:r>
              <w:rPr>
                <w:sz w:val="20"/>
              </w:rPr>
              <w:t>la</w:t>
            </w:r>
            <w:r>
              <w:rPr>
                <w:spacing w:val="-3"/>
                <w:sz w:val="20"/>
              </w:rPr>
              <w:t> </w:t>
            </w:r>
            <w:r>
              <w:rPr>
                <w:sz w:val="20"/>
              </w:rPr>
              <w:t>cantidad</w:t>
            </w:r>
            <w:r>
              <w:rPr>
                <w:spacing w:val="-3"/>
                <w:sz w:val="20"/>
              </w:rPr>
              <w:t> </w:t>
            </w:r>
            <w:r>
              <w:rPr>
                <w:sz w:val="20"/>
              </w:rPr>
              <w:t>de</w:t>
            </w:r>
            <w:r>
              <w:rPr>
                <w:spacing w:val="-6"/>
                <w:sz w:val="20"/>
              </w:rPr>
              <w:t> </w:t>
            </w:r>
            <w:r>
              <w:rPr>
                <w:sz w:val="20"/>
              </w:rPr>
              <w:t>solicitudes</w:t>
            </w:r>
            <w:r>
              <w:rPr>
                <w:spacing w:val="-2"/>
                <w:sz w:val="20"/>
              </w:rPr>
              <w:t> </w:t>
            </w:r>
            <w:r>
              <w:rPr>
                <w:sz w:val="20"/>
              </w:rPr>
              <w:t>que ejecuta o procesa TI versus la cantidad de solicitudes provenientes de las unidades expresado como relación porcentual.</w:t>
            </w:r>
          </w:p>
        </w:tc>
      </w:tr>
      <w:tr>
        <w:trPr>
          <w:trHeight w:val="525" w:hRule="atLeast"/>
        </w:trPr>
        <w:tc>
          <w:tcPr>
            <w:tcW w:w="2976" w:type="dxa"/>
            <w:shd w:val="clear" w:color="auto" w:fill="DBE4F0"/>
          </w:tcPr>
          <w:p>
            <w:pPr>
              <w:pStyle w:val="TableParagraph"/>
              <w:spacing w:before="148"/>
              <w:ind w:left="67"/>
              <w:rPr>
                <w:b/>
                <w:sz w:val="20"/>
              </w:rPr>
            </w:pPr>
            <w:r>
              <w:rPr>
                <w:b/>
                <w:spacing w:val="-2"/>
                <w:sz w:val="20"/>
              </w:rPr>
              <w:t>Desagregación</w:t>
            </w:r>
          </w:p>
        </w:tc>
        <w:tc>
          <w:tcPr>
            <w:tcW w:w="7516" w:type="dxa"/>
          </w:tcPr>
          <w:p>
            <w:pPr>
              <w:pStyle w:val="TableParagraph"/>
              <w:spacing w:before="148"/>
              <w:ind w:left="70"/>
              <w:rPr>
                <w:sz w:val="20"/>
              </w:rPr>
            </w:pPr>
            <w:r>
              <w:rPr>
                <w:spacing w:val="-2"/>
                <w:sz w:val="20"/>
              </w:rPr>
              <w:t>Regional</w:t>
            </w:r>
          </w:p>
        </w:tc>
      </w:tr>
      <w:tr>
        <w:trPr>
          <w:trHeight w:val="317" w:hRule="atLeast"/>
        </w:trPr>
        <w:tc>
          <w:tcPr>
            <w:tcW w:w="2976" w:type="dxa"/>
            <w:shd w:val="clear" w:color="auto" w:fill="DBE4F0"/>
          </w:tcPr>
          <w:p>
            <w:pPr>
              <w:pStyle w:val="TableParagraph"/>
              <w:spacing w:before="42"/>
              <w:ind w:left="67"/>
              <w:rPr>
                <w:b/>
                <w:sz w:val="20"/>
              </w:rPr>
            </w:pPr>
            <w:r>
              <w:rPr>
                <w:b/>
                <w:spacing w:val="-2"/>
                <w:sz w:val="20"/>
              </w:rPr>
              <w:t>Meta:</w:t>
            </w:r>
          </w:p>
        </w:tc>
        <w:tc>
          <w:tcPr>
            <w:tcW w:w="7516" w:type="dxa"/>
          </w:tcPr>
          <w:p>
            <w:pPr>
              <w:pStyle w:val="TableParagraph"/>
              <w:spacing w:before="42"/>
              <w:ind w:left="70"/>
              <w:rPr>
                <w:sz w:val="20"/>
              </w:rPr>
            </w:pPr>
            <w:r>
              <w:rPr>
                <w:spacing w:val="-4"/>
                <w:sz w:val="20"/>
              </w:rPr>
              <w:t>100%</w:t>
            </w:r>
          </w:p>
        </w:tc>
      </w:tr>
      <w:tr>
        <w:trPr>
          <w:trHeight w:val="313" w:hRule="atLeast"/>
        </w:trPr>
        <w:tc>
          <w:tcPr>
            <w:tcW w:w="2976" w:type="dxa"/>
            <w:shd w:val="clear" w:color="auto" w:fill="DBE4F0"/>
          </w:tcPr>
          <w:p>
            <w:pPr>
              <w:pStyle w:val="TableParagraph"/>
              <w:spacing w:before="40"/>
              <w:ind w:left="67"/>
              <w:rPr>
                <w:b/>
                <w:sz w:val="20"/>
              </w:rPr>
            </w:pPr>
            <w:r>
              <w:rPr>
                <w:b/>
                <w:sz w:val="20"/>
              </w:rPr>
              <w:t>Línea</w:t>
            </w:r>
            <w:r>
              <w:rPr>
                <w:b/>
                <w:spacing w:val="-10"/>
                <w:sz w:val="20"/>
              </w:rPr>
              <w:t> </w:t>
            </w:r>
            <w:r>
              <w:rPr>
                <w:b/>
                <w:spacing w:val="-4"/>
                <w:sz w:val="20"/>
              </w:rPr>
              <w:t>Base</w:t>
            </w:r>
          </w:p>
        </w:tc>
        <w:tc>
          <w:tcPr>
            <w:tcW w:w="7516" w:type="dxa"/>
          </w:tcPr>
          <w:p>
            <w:pPr>
              <w:pStyle w:val="TableParagraph"/>
              <w:spacing w:before="40"/>
              <w:ind w:left="70"/>
              <w:rPr>
                <w:sz w:val="20"/>
              </w:rPr>
            </w:pPr>
            <w:r>
              <w:rPr>
                <w:spacing w:val="-10"/>
                <w:sz w:val="20"/>
              </w:rPr>
              <w:t>-</w:t>
            </w:r>
          </w:p>
        </w:tc>
      </w:tr>
      <w:tr>
        <w:trPr>
          <w:trHeight w:val="630" w:hRule="atLeast"/>
        </w:trPr>
        <w:tc>
          <w:tcPr>
            <w:tcW w:w="2976" w:type="dxa"/>
            <w:shd w:val="clear" w:color="auto" w:fill="DBE4F0"/>
          </w:tcPr>
          <w:p>
            <w:pPr>
              <w:pStyle w:val="TableParagraph"/>
              <w:spacing w:before="8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6" w:type="dxa"/>
          </w:tcPr>
          <w:p>
            <w:pPr>
              <w:pStyle w:val="TableParagraph"/>
              <w:spacing w:before="198"/>
              <w:ind w:left="70"/>
              <w:rPr>
                <w:sz w:val="20"/>
              </w:rPr>
            </w:pPr>
            <w:r>
              <w:rPr>
                <w:spacing w:val="-4"/>
                <w:sz w:val="20"/>
              </w:rPr>
              <w:t>Anual</w:t>
            </w:r>
          </w:p>
        </w:tc>
      </w:tr>
      <w:tr>
        <w:trPr>
          <w:trHeight w:val="733" w:hRule="atLeast"/>
        </w:trPr>
        <w:tc>
          <w:tcPr>
            <w:tcW w:w="2976" w:type="dxa"/>
            <w:shd w:val="clear" w:color="auto" w:fill="DBE4F0"/>
          </w:tcPr>
          <w:p>
            <w:pPr>
              <w:pStyle w:val="TableParagraph"/>
              <w:spacing w:before="136"/>
              <w:ind w:left="67" w:right="514"/>
              <w:rPr>
                <w:b/>
                <w:sz w:val="20"/>
              </w:rPr>
            </w:pPr>
            <w:r>
              <w:rPr>
                <w:b/>
                <w:sz w:val="20"/>
              </w:rPr>
              <w:t>Responsable de la recopilación</w:t>
            </w:r>
            <w:r>
              <w:rPr>
                <w:b/>
                <w:spacing w:val="-14"/>
                <w:sz w:val="20"/>
              </w:rPr>
              <w:t> </w:t>
            </w:r>
            <w:r>
              <w:rPr>
                <w:b/>
                <w:sz w:val="20"/>
              </w:rPr>
              <w:t>información</w:t>
            </w:r>
          </w:p>
        </w:tc>
        <w:tc>
          <w:tcPr>
            <w:tcW w:w="7516" w:type="dxa"/>
          </w:tcPr>
          <w:p>
            <w:pPr>
              <w:pStyle w:val="TableParagraph"/>
              <w:spacing w:before="136"/>
              <w:ind w:left="70" w:right="2510"/>
              <w:rPr>
                <w:sz w:val="20"/>
              </w:rPr>
            </w:pPr>
            <w:r>
              <w:rPr>
                <w:sz w:val="20"/>
              </w:rPr>
              <w:t>Nombre</w:t>
            </w:r>
            <w:r>
              <w:rPr>
                <w:spacing w:val="-6"/>
                <w:sz w:val="20"/>
              </w:rPr>
              <w:t> </w:t>
            </w:r>
            <w:r>
              <w:rPr>
                <w:sz w:val="20"/>
              </w:rPr>
              <w:t>del</w:t>
            </w:r>
            <w:r>
              <w:rPr>
                <w:spacing w:val="-9"/>
                <w:sz w:val="20"/>
              </w:rPr>
              <w:t> </w:t>
            </w:r>
            <w:r>
              <w:rPr>
                <w:sz w:val="20"/>
              </w:rPr>
              <w:t>funcionario:</w:t>
            </w:r>
            <w:r>
              <w:rPr>
                <w:spacing w:val="-8"/>
                <w:sz w:val="20"/>
              </w:rPr>
              <w:t> </w:t>
            </w:r>
            <w:r>
              <w:rPr>
                <w:sz w:val="20"/>
              </w:rPr>
              <w:t>Luis</w:t>
            </w:r>
            <w:r>
              <w:rPr>
                <w:spacing w:val="-7"/>
                <w:sz w:val="20"/>
              </w:rPr>
              <w:t> </w:t>
            </w:r>
            <w:r>
              <w:rPr>
                <w:sz w:val="20"/>
              </w:rPr>
              <w:t>Adolfo</w:t>
            </w:r>
            <w:r>
              <w:rPr>
                <w:spacing w:val="-9"/>
                <w:sz w:val="20"/>
              </w:rPr>
              <w:t> </w:t>
            </w:r>
            <w:r>
              <w:rPr>
                <w:sz w:val="20"/>
              </w:rPr>
              <w:t>Gonzalez</w:t>
            </w:r>
            <w:r>
              <w:rPr>
                <w:spacing w:val="-7"/>
                <w:sz w:val="20"/>
              </w:rPr>
              <w:t> </w:t>
            </w:r>
            <w:r>
              <w:rPr>
                <w:sz w:val="20"/>
              </w:rPr>
              <w:t>Alguera Cargo: Jefatura TI</w:t>
            </w:r>
          </w:p>
        </w:tc>
      </w:tr>
      <w:tr>
        <w:trPr>
          <w:trHeight w:val="945" w:hRule="atLeast"/>
        </w:trPr>
        <w:tc>
          <w:tcPr>
            <w:tcW w:w="2976" w:type="dxa"/>
            <w:shd w:val="clear" w:color="auto" w:fill="DBE4F0"/>
          </w:tcPr>
          <w:p>
            <w:pPr>
              <w:pStyle w:val="TableParagraph"/>
              <w:spacing w:before="11"/>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6" w:type="dxa"/>
          </w:tcPr>
          <w:p>
            <w:pPr>
              <w:pStyle w:val="TableParagraph"/>
              <w:spacing w:before="127"/>
              <w:rPr>
                <w:b/>
                <w:sz w:val="20"/>
              </w:rPr>
            </w:pPr>
          </w:p>
          <w:p>
            <w:pPr>
              <w:pStyle w:val="TableParagraph"/>
              <w:ind w:left="70"/>
              <w:rPr>
                <w:sz w:val="20"/>
              </w:rPr>
            </w:pPr>
            <w:r>
              <w:rPr>
                <w:sz w:val="20"/>
              </w:rPr>
              <w:t>Tecnología</w:t>
            </w:r>
            <w:r>
              <w:rPr>
                <w:spacing w:val="-10"/>
                <w:sz w:val="20"/>
              </w:rPr>
              <w:t> </w:t>
            </w:r>
            <w:r>
              <w:rPr>
                <w:sz w:val="20"/>
              </w:rPr>
              <w:t>de</w:t>
            </w:r>
            <w:r>
              <w:rPr>
                <w:spacing w:val="-9"/>
                <w:sz w:val="20"/>
              </w:rPr>
              <w:t> </w:t>
            </w:r>
            <w:r>
              <w:rPr>
                <w:spacing w:val="-2"/>
                <w:sz w:val="20"/>
              </w:rPr>
              <w:t>Información</w:t>
            </w:r>
          </w:p>
        </w:tc>
      </w:tr>
      <w:tr>
        <w:trPr>
          <w:trHeight w:val="525" w:hRule="atLeast"/>
        </w:trPr>
        <w:tc>
          <w:tcPr>
            <w:tcW w:w="2976" w:type="dxa"/>
            <w:shd w:val="clear" w:color="auto" w:fill="DBE4F0"/>
          </w:tcPr>
          <w:p>
            <w:pPr>
              <w:pStyle w:val="TableParagraph"/>
              <w:spacing w:before="146"/>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6" w:type="dxa"/>
          </w:tcPr>
          <w:p>
            <w:pPr>
              <w:pStyle w:val="TableParagraph"/>
              <w:spacing w:before="146"/>
              <w:ind w:left="70"/>
              <w:rPr>
                <w:sz w:val="20"/>
              </w:rPr>
            </w:pPr>
            <w:r>
              <w:rPr>
                <w:sz w:val="20"/>
              </w:rPr>
              <w:t>La</w:t>
            </w:r>
            <w:r>
              <w:rPr>
                <w:spacing w:val="-7"/>
                <w:sz w:val="20"/>
              </w:rPr>
              <w:t> </w:t>
            </w:r>
            <w:r>
              <w:rPr>
                <w:sz w:val="20"/>
              </w:rPr>
              <w:t>fuente</w:t>
            </w:r>
            <w:r>
              <w:rPr>
                <w:spacing w:val="-6"/>
                <w:sz w:val="20"/>
              </w:rPr>
              <w:t> </w:t>
            </w:r>
            <w:r>
              <w:rPr>
                <w:sz w:val="20"/>
              </w:rPr>
              <w:t>de</w:t>
            </w:r>
            <w:r>
              <w:rPr>
                <w:spacing w:val="-4"/>
                <w:sz w:val="20"/>
              </w:rPr>
              <w:t> </w:t>
            </w:r>
            <w:r>
              <w:rPr>
                <w:sz w:val="20"/>
              </w:rPr>
              <w:t>la</w:t>
            </w:r>
            <w:r>
              <w:rPr>
                <w:spacing w:val="-4"/>
                <w:sz w:val="20"/>
              </w:rPr>
              <w:t> </w:t>
            </w:r>
            <w:r>
              <w:rPr>
                <w:sz w:val="20"/>
              </w:rPr>
              <w:t>información</w:t>
            </w:r>
            <w:r>
              <w:rPr>
                <w:spacing w:val="-5"/>
                <w:sz w:val="20"/>
              </w:rPr>
              <w:t> </w:t>
            </w:r>
            <w:r>
              <w:rPr>
                <w:sz w:val="20"/>
              </w:rPr>
              <w:t>es</w:t>
            </w:r>
            <w:r>
              <w:rPr>
                <w:spacing w:val="-5"/>
                <w:sz w:val="20"/>
              </w:rPr>
              <w:t> TI</w:t>
            </w:r>
          </w:p>
        </w:tc>
      </w:tr>
      <w:tr>
        <w:trPr>
          <w:trHeight w:val="991" w:hRule="atLeast"/>
        </w:trPr>
        <w:tc>
          <w:tcPr>
            <w:tcW w:w="2976" w:type="dxa"/>
            <w:shd w:val="clear" w:color="auto" w:fill="DBE4F0"/>
          </w:tcPr>
          <w:p>
            <w:pPr>
              <w:pStyle w:val="TableParagraph"/>
              <w:spacing w:before="149"/>
              <w:rPr>
                <w:b/>
                <w:sz w:val="20"/>
              </w:rPr>
            </w:pPr>
          </w:p>
          <w:p>
            <w:pPr>
              <w:pStyle w:val="TableParagraph"/>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6" w:type="dxa"/>
          </w:tcPr>
          <w:p>
            <w:pPr>
              <w:pStyle w:val="TableParagraph"/>
              <w:spacing w:before="148"/>
              <w:ind w:left="70" w:right="170"/>
              <w:rPr>
                <w:sz w:val="20"/>
              </w:rPr>
            </w:pPr>
            <w:r>
              <w:rPr>
                <w:sz w:val="20"/>
              </w:rPr>
              <w:t>Reportes o informes generados por TI en donde se visualice la cantidad de solicitudes</w:t>
            </w:r>
            <w:r>
              <w:rPr>
                <w:spacing w:val="-4"/>
                <w:sz w:val="20"/>
              </w:rPr>
              <w:t> </w:t>
            </w:r>
            <w:r>
              <w:rPr>
                <w:sz w:val="20"/>
              </w:rPr>
              <w:t>efectuadas</w:t>
            </w:r>
            <w:r>
              <w:rPr>
                <w:spacing w:val="-4"/>
                <w:sz w:val="20"/>
              </w:rPr>
              <w:t> </w:t>
            </w:r>
            <w:r>
              <w:rPr>
                <w:sz w:val="20"/>
              </w:rPr>
              <w:t>por</w:t>
            </w:r>
            <w:r>
              <w:rPr>
                <w:spacing w:val="-6"/>
                <w:sz w:val="20"/>
              </w:rPr>
              <w:t> </w:t>
            </w:r>
            <w:r>
              <w:rPr>
                <w:sz w:val="20"/>
              </w:rPr>
              <w:t>las</w:t>
            </w:r>
            <w:r>
              <w:rPr>
                <w:spacing w:val="-6"/>
                <w:sz w:val="20"/>
              </w:rPr>
              <w:t> </w:t>
            </w:r>
            <w:r>
              <w:rPr>
                <w:sz w:val="20"/>
              </w:rPr>
              <w:t>dependencias</w:t>
            </w:r>
            <w:r>
              <w:rPr>
                <w:spacing w:val="-6"/>
                <w:sz w:val="20"/>
              </w:rPr>
              <w:t> </w:t>
            </w:r>
            <w:r>
              <w:rPr>
                <w:sz w:val="20"/>
              </w:rPr>
              <w:t>para</w:t>
            </w:r>
            <w:r>
              <w:rPr>
                <w:spacing w:val="-5"/>
                <w:sz w:val="20"/>
              </w:rPr>
              <w:t> </w:t>
            </w:r>
            <w:r>
              <w:rPr>
                <w:sz w:val="20"/>
              </w:rPr>
              <w:t>el</w:t>
            </w:r>
            <w:r>
              <w:rPr>
                <w:spacing w:val="-6"/>
                <w:sz w:val="20"/>
              </w:rPr>
              <w:t> </w:t>
            </w:r>
            <w:r>
              <w:rPr>
                <w:sz w:val="20"/>
              </w:rPr>
              <w:t>mantenimiento</w:t>
            </w:r>
            <w:r>
              <w:rPr>
                <w:spacing w:val="-8"/>
                <w:sz w:val="20"/>
              </w:rPr>
              <w:t> </w:t>
            </w:r>
            <w:r>
              <w:rPr>
                <w:sz w:val="20"/>
              </w:rPr>
              <w:t>y</w:t>
            </w:r>
            <w:r>
              <w:rPr>
                <w:spacing w:val="-6"/>
                <w:sz w:val="20"/>
              </w:rPr>
              <w:t> </w:t>
            </w:r>
            <w:r>
              <w:rPr>
                <w:sz w:val="20"/>
              </w:rPr>
              <w:t>reparación de equipo de cómputo y sistemas de información recibas en el SAP</w:t>
            </w:r>
          </w:p>
        </w:tc>
      </w:tr>
      <w:tr>
        <w:trPr>
          <w:trHeight w:val="628" w:hRule="atLeast"/>
        </w:trPr>
        <w:tc>
          <w:tcPr>
            <w:tcW w:w="2976" w:type="dxa"/>
            <w:shd w:val="clear" w:color="auto" w:fill="DBE4F0"/>
          </w:tcPr>
          <w:p>
            <w:pPr>
              <w:pStyle w:val="TableParagraph"/>
              <w:spacing w:before="198"/>
              <w:ind w:left="67"/>
              <w:rPr>
                <w:b/>
                <w:sz w:val="20"/>
              </w:rPr>
            </w:pPr>
            <w:r>
              <w:rPr>
                <w:b/>
                <w:spacing w:val="-2"/>
                <w:sz w:val="20"/>
              </w:rPr>
              <w:t>Clasificación</w:t>
            </w:r>
          </w:p>
        </w:tc>
        <w:tc>
          <w:tcPr>
            <w:tcW w:w="7516" w:type="dxa"/>
          </w:tcPr>
          <w:p>
            <w:pPr>
              <w:pStyle w:val="TableParagraph"/>
              <w:spacing w:before="198"/>
              <w:ind w:left="70"/>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496" w:hRule="atLeast"/>
        </w:trPr>
        <w:tc>
          <w:tcPr>
            <w:tcW w:w="2976" w:type="dxa"/>
            <w:shd w:val="clear" w:color="auto" w:fill="DBE4F0"/>
          </w:tcPr>
          <w:p>
            <w:pPr>
              <w:pStyle w:val="TableParagraph"/>
              <w:spacing w:before="131"/>
              <w:ind w:left="67"/>
              <w:rPr>
                <w:b/>
                <w:sz w:val="20"/>
              </w:rPr>
            </w:pPr>
            <w:r>
              <w:rPr>
                <w:b/>
                <w:spacing w:val="-2"/>
                <w:sz w:val="20"/>
              </w:rPr>
              <w:t>Comentarios</w:t>
            </w:r>
            <w:r>
              <w:rPr>
                <w:b/>
                <w:spacing w:val="6"/>
                <w:sz w:val="20"/>
              </w:rPr>
              <w:t> </w:t>
            </w:r>
            <w:r>
              <w:rPr>
                <w:b/>
                <w:spacing w:val="-2"/>
                <w:sz w:val="20"/>
              </w:rPr>
              <w:t>Generales</w:t>
            </w:r>
          </w:p>
        </w:tc>
        <w:tc>
          <w:tcPr>
            <w:tcW w:w="7516" w:type="dxa"/>
          </w:tcPr>
          <w:p>
            <w:pPr>
              <w:pStyle w:val="TableParagraph"/>
              <w:spacing w:before="131"/>
              <w:ind w:left="125"/>
              <w:rPr>
                <w:sz w:val="20"/>
              </w:rPr>
            </w:pPr>
            <w:r>
              <w:rPr>
                <w:sz w:val="20"/>
              </w:rPr>
              <w:t>Partida</w:t>
            </w:r>
            <w:r>
              <w:rPr>
                <w:spacing w:val="-9"/>
                <w:sz w:val="20"/>
              </w:rPr>
              <w:t> </w:t>
            </w:r>
            <w:r>
              <w:rPr>
                <w:spacing w:val="-2"/>
                <w:sz w:val="20"/>
              </w:rPr>
              <w:t>1.03.07</w:t>
            </w:r>
          </w:p>
        </w:tc>
      </w:tr>
    </w:tbl>
    <w:p>
      <w:pPr>
        <w:pStyle w:val="BodyText"/>
        <w:rPr>
          <w:b/>
          <w:sz w:val="20"/>
        </w:rPr>
      </w:pPr>
    </w:p>
    <w:p>
      <w:pPr>
        <w:pStyle w:val="BodyText"/>
        <w:spacing w:before="23"/>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6"/>
      </w:tblGrid>
      <w:tr>
        <w:trPr>
          <w:trHeight w:val="621" w:hRule="atLeast"/>
        </w:trPr>
        <w:tc>
          <w:tcPr>
            <w:tcW w:w="2976" w:type="dxa"/>
            <w:shd w:val="clear" w:color="auto" w:fill="DBE4F0"/>
          </w:tcPr>
          <w:p>
            <w:pPr>
              <w:pStyle w:val="TableParagraph"/>
              <w:spacing w:before="196"/>
              <w:ind w:left="67"/>
              <w:rPr>
                <w:b/>
                <w:sz w:val="20"/>
              </w:rPr>
            </w:pPr>
            <w:r>
              <w:rPr>
                <w:b/>
                <w:sz w:val="20"/>
              </w:rPr>
              <w:t>PAC</w:t>
            </w:r>
            <w:r>
              <w:rPr>
                <w:b/>
                <w:spacing w:val="-8"/>
                <w:sz w:val="20"/>
              </w:rPr>
              <w:t> </w:t>
            </w:r>
            <w:r>
              <w:rPr>
                <w:b/>
                <w:spacing w:val="-2"/>
                <w:sz w:val="20"/>
              </w:rPr>
              <w:t>2.4.7</w:t>
            </w:r>
          </w:p>
        </w:tc>
        <w:tc>
          <w:tcPr>
            <w:tcW w:w="7516" w:type="dxa"/>
          </w:tcPr>
          <w:p>
            <w:pPr>
              <w:pStyle w:val="TableParagraph"/>
              <w:spacing w:before="81"/>
              <w:ind w:left="70" w:right="170"/>
              <w:rPr>
                <w:sz w:val="20"/>
              </w:rPr>
            </w:pPr>
            <w:r>
              <w:rPr>
                <w:sz w:val="20"/>
              </w:rPr>
              <w:t>Nombre</w:t>
            </w:r>
            <w:r>
              <w:rPr>
                <w:spacing w:val="-5"/>
                <w:sz w:val="20"/>
              </w:rPr>
              <w:t> </w:t>
            </w:r>
            <w:r>
              <w:rPr>
                <w:sz w:val="20"/>
              </w:rPr>
              <w:t>del</w:t>
            </w:r>
            <w:r>
              <w:rPr>
                <w:spacing w:val="-7"/>
                <w:sz w:val="20"/>
              </w:rPr>
              <w:t> </w:t>
            </w:r>
            <w:r>
              <w:rPr>
                <w:sz w:val="20"/>
              </w:rPr>
              <w:t>Indicador:</w:t>
            </w:r>
            <w:r>
              <w:rPr>
                <w:spacing w:val="-5"/>
                <w:sz w:val="20"/>
              </w:rPr>
              <w:t> </w:t>
            </w:r>
            <w:r>
              <w:rPr>
                <w:sz w:val="20"/>
              </w:rPr>
              <w:t>Porcentaje</w:t>
            </w:r>
            <w:r>
              <w:rPr>
                <w:spacing w:val="-5"/>
                <w:sz w:val="20"/>
              </w:rPr>
              <w:t> </w:t>
            </w:r>
            <w:r>
              <w:rPr>
                <w:sz w:val="20"/>
              </w:rPr>
              <w:t>de</w:t>
            </w:r>
            <w:r>
              <w:rPr>
                <w:spacing w:val="-7"/>
                <w:sz w:val="20"/>
              </w:rPr>
              <w:t> </w:t>
            </w:r>
            <w:r>
              <w:rPr>
                <w:sz w:val="20"/>
              </w:rPr>
              <w:t>gestiones</w:t>
            </w:r>
            <w:r>
              <w:rPr>
                <w:spacing w:val="-6"/>
                <w:sz w:val="20"/>
              </w:rPr>
              <w:t> </w:t>
            </w:r>
            <w:r>
              <w:rPr>
                <w:sz w:val="20"/>
              </w:rPr>
              <w:t>de</w:t>
            </w:r>
            <w:r>
              <w:rPr>
                <w:spacing w:val="-7"/>
                <w:sz w:val="20"/>
              </w:rPr>
              <w:t> </w:t>
            </w:r>
            <w:r>
              <w:rPr>
                <w:sz w:val="20"/>
              </w:rPr>
              <w:t>las</w:t>
            </w:r>
            <w:r>
              <w:rPr>
                <w:spacing w:val="-4"/>
                <w:sz w:val="20"/>
              </w:rPr>
              <w:t> </w:t>
            </w:r>
            <w:r>
              <w:rPr>
                <w:sz w:val="20"/>
              </w:rPr>
              <w:t>solicitudes</w:t>
            </w:r>
            <w:r>
              <w:rPr>
                <w:spacing w:val="-4"/>
                <w:sz w:val="20"/>
              </w:rPr>
              <w:t> </w:t>
            </w:r>
            <w:r>
              <w:rPr>
                <w:sz w:val="20"/>
              </w:rPr>
              <w:t>efectuadas</w:t>
            </w:r>
            <w:r>
              <w:rPr>
                <w:spacing w:val="-4"/>
                <w:sz w:val="20"/>
              </w:rPr>
              <w:t> </w:t>
            </w:r>
            <w:r>
              <w:rPr>
                <w:sz w:val="20"/>
              </w:rPr>
              <w:t>por las dependencias para los servicios informáticos.</w:t>
            </w:r>
          </w:p>
        </w:tc>
      </w:tr>
      <w:tr>
        <w:trPr>
          <w:trHeight w:val="583" w:hRule="atLeast"/>
        </w:trPr>
        <w:tc>
          <w:tcPr>
            <w:tcW w:w="2976" w:type="dxa"/>
            <w:shd w:val="clear" w:color="auto" w:fill="DBE4F0"/>
          </w:tcPr>
          <w:p>
            <w:pPr>
              <w:pStyle w:val="TableParagraph"/>
              <w:spacing w:before="177"/>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6" w:type="dxa"/>
          </w:tcPr>
          <w:p>
            <w:pPr>
              <w:pStyle w:val="TableParagraph"/>
              <w:spacing w:before="177"/>
              <w:ind w:left="70"/>
              <w:rPr>
                <w:sz w:val="20"/>
              </w:rPr>
            </w:pPr>
            <w:r>
              <w:rPr>
                <w:sz w:val="20"/>
              </w:rPr>
              <w:t>(Total</w:t>
            </w:r>
            <w:r>
              <w:rPr>
                <w:spacing w:val="-8"/>
                <w:sz w:val="20"/>
              </w:rPr>
              <w:t> </w:t>
            </w:r>
            <w:r>
              <w:rPr>
                <w:sz w:val="20"/>
              </w:rPr>
              <w:t>de</w:t>
            </w:r>
            <w:r>
              <w:rPr>
                <w:spacing w:val="-9"/>
                <w:sz w:val="20"/>
              </w:rPr>
              <w:t> </w:t>
            </w:r>
            <w:r>
              <w:rPr>
                <w:sz w:val="20"/>
              </w:rPr>
              <w:t>gestiones</w:t>
            </w:r>
            <w:r>
              <w:rPr>
                <w:spacing w:val="-8"/>
                <w:sz w:val="20"/>
              </w:rPr>
              <w:t> </w:t>
            </w:r>
            <w:r>
              <w:rPr>
                <w:sz w:val="20"/>
              </w:rPr>
              <w:t>efectuadas</w:t>
            </w:r>
            <w:r>
              <w:rPr>
                <w:spacing w:val="-7"/>
                <w:sz w:val="20"/>
              </w:rPr>
              <w:t> </w:t>
            </w:r>
            <w:r>
              <w:rPr>
                <w:sz w:val="20"/>
              </w:rPr>
              <w:t>/</w:t>
            </w:r>
            <w:r>
              <w:rPr>
                <w:spacing w:val="-9"/>
                <w:sz w:val="20"/>
              </w:rPr>
              <w:t> </w:t>
            </w:r>
            <w:r>
              <w:rPr>
                <w:sz w:val="20"/>
              </w:rPr>
              <w:t>Total</w:t>
            </w:r>
            <w:r>
              <w:rPr>
                <w:spacing w:val="-7"/>
                <w:sz w:val="20"/>
              </w:rPr>
              <w:t> </w:t>
            </w:r>
            <w:r>
              <w:rPr>
                <w:sz w:val="20"/>
              </w:rPr>
              <w:t>de</w:t>
            </w:r>
            <w:r>
              <w:rPr>
                <w:spacing w:val="-9"/>
                <w:sz w:val="20"/>
              </w:rPr>
              <w:t> </w:t>
            </w:r>
            <w:r>
              <w:rPr>
                <w:sz w:val="20"/>
              </w:rPr>
              <w:t>solicitudes</w:t>
            </w:r>
            <w:r>
              <w:rPr>
                <w:spacing w:val="-8"/>
                <w:sz w:val="20"/>
              </w:rPr>
              <w:t> </w:t>
            </w:r>
            <w:r>
              <w:rPr>
                <w:sz w:val="20"/>
              </w:rPr>
              <w:t>recibidas)</w:t>
            </w:r>
            <w:r>
              <w:rPr>
                <w:spacing w:val="-7"/>
                <w:sz w:val="20"/>
              </w:rPr>
              <w:t> </w:t>
            </w:r>
            <w:r>
              <w:rPr>
                <w:spacing w:val="-4"/>
                <w:sz w:val="20"/>
              </w:rPr>
              <w:t>*100</w:t>
            </w:r>
          </w:p>
        </w:tc>
      </w:tr>
      <w:tr>
        <w:trPr>
          <w:trHeight w:val="522" w:hRule="atLeast"/>
        </w:trPr>
        <w:tc>
          <w:tcPr>
            <w:tcW w:w="2976" w:type="dxa"/>
            <w:shd w:val="clear" w:color="auto" w:fill="DBE4F0"/>
          </w:tcPr>
          <w:p>
            <w:pPr>
              <w:pStyle w:val="TableParagraph"/>
              <w:spacing w:before="146"/>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6" w:type="dxa"/>
          </w:tcPr>
          <w:p>
            <w:pPr>
              <w:pStyle w:val="TableParagraph"/>
              <w:spacing w:before="146"/>
              <w:ind w:left="70"/>
              <w:rPr>
                <w:sz w:val="20"/>
              </w:rPr>
            </w:pPr>
            <w:r>
              <w:rPr>
                <w:spacing w:val="-2"/>
                <w:sz w:val="20"/>
              </w:rPr>
              <w:t>Porcentaje</w:t>
            </w:r>
          </w:p>
        </w:tc>
      </w:tr>
    </w:tbl>
    <w:p>
      <w:pPr>
        <w:pStyle w:val="TableParagraph"/>
        <w:spacing w:after="0"/>
        <w:rPr>
          <w:sz w:val="20"/>
        </w:rPr>
        <w:sectPr>
          <w:type w:val="continuous"/>
          <w:pgSz w:w="12240" w:h="15840"/>
          <w:pgMar w:header="0" w:footer="2082" w:top="1400" w:bottom="260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6"/>
      </w:tblGrid>
      <w:tr>
        <w:trPr>
          <w:trHeight w:val="945" w:hRule="atLeast"/>
        </w:trPr>
        <w:tc>
          <w:tcPr>
            <w:tcW w:w="2976" w:type="dxa"/>
            <w:shd w:val="clear" w:color="auto" w:fill="DBE4F0"/>
          </w:tcPr>
          <w:p>
            <w:pPr>
              <w:pStyle w:val="TableParagraph"/>
              <w:spacing w:before="127"/>
              <w:rPr>
                <w:b/>
                <w:sz w:val="20"/>
              </w:rPr>
            </w:pPr>
          </w:p>
          <w:p>
            <w:pPr>
              <w:pStyle w:val="TableParagraph"/>
              <w:ind w:left="67"/>
              <w:rPr>
                <w:b/>
                <w:sz w:val="20"/>
              </w:rPr>
            </w:pPr>
            <w:r>
              <w:rPr>
                <w:b/>
                <w:spacing w:val="-2"/>
                <w:sz w:val="20"/>
              </w:rPr>
              <w:t>Interpretación:</w:t>
            </w:r>
          </w:p>
        </w:tc>
        <w:tc>
          <w:tcPr>
            <w:tcW w:w="7516" w:type="dxa"/>
          </w:tcPr>
          <w:p>
            <w:pPr>
              <w:pStyle w:val="TableParagraph"/>
              <w:spacing w:before="127"/>
              <w:ind w:left="70" w:right="170"/>
              <w:rPr>
                <w:sz w:val="20"/>
              </w:rPr>
            </w:pPr>
            <w:r>
              <w:rPr>
                <w:sz w:val="20"/>
              </w:rPr>
              <w:t>Su</w:t>
            </w:r>
            <w:r>
              <w:rPr>
                <w:spacing w:val="-5"/>
                <w:sz w:val="20"/>
              </w:rPr>
              <w:t> </w:t>
            </w:r>
            <w:r>
              <w:rPr>
                <w:sz w:val="20"/>
              </w:rPr>
              <w:t>resultado</w:t>
            </w:r>
            <w:r>
              <w:rPr>
                <w:spacing w:val="-6"/>
                <w:sz w:val="20"/>
              </w:rPr>
              <w:t> </w:t>
            </w:r>
            <w:r>
              <w:rPr>
                <w:sz w:val="20"/>
              </w:rPr>
              <w:t>es</w:t>
            </w:r>
            <w:r>
              <w:rPr>
                <w:spacing w:val="-2"/>
                <w:sz w:val="20"/>
              </w:rPr>
              <w:t> </w:t>
            </w:r>
            <w:r>
              <w:rPr>
                <w:sz w:val="20"/>
              </w:rPr>
              <w:t>la</w:t>
            </w:r>
            <w:r>
              <w:rPr>
                <w:spacing w:val="-3"/>
                <w:sz w:val="20"/>
              </w:rPr>
              <w:t> </w:t>
            </w:r>
            <w:r>
              <w:rPr>
                <w:sz w:val="20"/>
              </w:rPr>
              <w:t>derivación</w:t>
            </w:r>
            <w:r>
              <w:rPr>
                <w:spacing w:val="-6"/>
                <w:sz w:val="20"/>
              </w:rPr>
              <w:t> </w:t>
            </w:r>
            <w:r>
              <w:rPr>
                <w:sz w:val="20"/>
              </w:rPr>
              <w:t>de</w:t>
            </w:r>
            <w:r>
              <w:rPr>
                <w:spacing w:val="-5"/>
                <w:sz w:val="20"/>
              </w:rPr>
              <w:t> </w:t>
            </w:r>
            <w:r>
              <w:rPr>
                <w:sz w:val="20"/>
              </w:rPr>
              <w:t>la</w:t>
            </w:r>
            <w:r>
              <w:rPr>
                <w:spacing w:val="-5"/>
                <w:sz w:val="20"/>
              </w:rPr>
              <w:t> </w:t>
            </w:r>
            <w:r>
              <w:rPr>
                <w:sz w:val="20"/>
              </w:rPr>
              <w:t>relación</w:t>
            </w:r>
            <w:r>
              <w:rPr>
                <w:spacing w:val="-5"/>
                <w:sz w:val="20"/>
              </w:rPr>
              <w:t> </w:t>
            </w:r>
            <w:r>
              <w:rPr>
                <w:sz w:val="20"/>
              </w:rPr>
              <w:t>de</w:t>
            </w:r>
            <w:r>
              <w:rPr>
                <w:spacing w:val="-3"/>
                <w:sz w:val="20"/>
              </w:rPr>
              <w:t> </w:t>
            </w:r>
            <w:r>
              <w:rPr>
                <w:sz w:val="20"/>
              </w:rPr>
              <w:t>la</w:t>
            </w:r>
            <w:r>
              <w:rPr>
                <w:spacing w:val="-3"/>
                <w:sz w:val="20"/>
              </w:rPr>
              <w:t> </w:t>
            </w:r>
            <w:r>
              <w:rPr>
                <w:sz w:val="20"/>
              </w:rPr>
              <w:t>cantidad</w:t>
            </w:r>
            <w:r>
              <w:rPr>
                <w:spacing w:val="-3"/>
                <w:sz w:val="20"/>
              </w:rPr>
              <w:t> </w:t>
            </w:r>
            <w:r>
              <w:rPr>
                <w:sz w:val="20"/>
              </w:rPr>
              <w:t>de</w:t>
            </w:r>
            <w:r>
              <w:rPr>
                <w:spacing w:val="-6"/>
                <w:sz w:val="20"/>
              </w:rPr>
              <w:t> </w:t>
            </w:r>
            <w:r>
              <w:rPr>
                <w:sz w:val="20"/>
              </w:rPr>
              <w:t>solicitudes</w:t>
            </w:r>
            <w:r>
              <w:rPr>
                <w:spacing w:val="-2"/>
                <w:sz w:val="20"/>
              </w:rPr>
              <w:t> </w:t>
            </w:r>
            <w:r>
              <w:rPr>
                <w:sz w:val="20"/>
              </w:rPr>
              <w:t>que ejecuta o procesa TI versus la cantidad de solicitudes provenientes de las unidades expresado como relación porcentual.</w:t>
            </w:r>
          </w:p>
        </w:tc>
      </w:tr>
      <w:tr>
        <w:trPr>
          <w:trHeight w:val="448" w:hRule="atLeast"/>
        </w:trPr>
        <w:tc>
          <w:tcPr>
            <w:tcW w:w="2976" w:type="dxa"/>
            <w:shd w:val="clear" w:color="auto" w:fill="DBE4F0"/>
          </w:tcPr>
          <w:p>
            <w:pPr>
              <w:pStyle w:val="TableParagraph"/>
              <w:spacing w:before="110"/>
              <w:ind w:left="67"/>
              <w:rPr>
                <w:b/>
                <w:sz w:val="20"/>
              </w:rPr>
            </w:pPr>
            <w:r>
              <w:rPr>
                <w:b/>
                <w:spacing w:val="-2"/>
                <w:sz w:val="20"/>
              </w:rPr>
              <w:t>Desagregación</w:t>
            </w:r>
          </w:p>
        </w:tc>
        <w:tc>
          <w:tcPr>
            <w:tcW w:w="7516" w:type="dxa"/>
          </w:tcPr>
          <w:p>
            <w:pPr>
              <w:pStyle w:val="TableParagraph"/>
              <w:spacing w:before="110"/>
              <w:ind w:left="70"/>
              <w:rPr>
                <w:sz w:val="20"/>
              </w:rPr>
            </w:pPr>
            <w:r>
              <w:rPr>
                <w:spacing w:val="-2"/>
                <w:sz w:val="20"/>
              </w:rPr>
              <w:t>Regional</w:t>
            </w:r>
          </w:p>
        </w:tc>
      </w:tr>
      <w:tr>
        <w:trPr>
          <w:trHeight w:val="496" w:hRule="atLeast"/>
        </w:trPr>
        <w:tc>
          <w:tcPr>
            <w:tcW w:w="2976" w:type="dxa"/>
            <w:shd w:val="clear" w:color="auto" w:fill="DBE4F0"/>
          </w:tcPr>
          <w:p>
            <w:pPr>
              <w:pStyle w:val="TableParagraph"/>
              <w:spacing w:before="134"/>
              <w:ind w:left="67"/>
              <w:rPr>
                <w:b/>
                <w:sz w:val="20"/>
              </w:rPr>
            </w:pPr>
            <w:r>
              <w:rPr>
                <w:b/>
                <w:spacing w:val="-2"/>
                <w:sz w:val="20"/>
              </w:rPr>
              <w:t>Meta:</w:t>
            </w:r>
          </w:p>
        </w:tc>
        <w:tc>
          <w:tcPr>
            <w:tcW w:w="7516" w:type="dxa"/>
          </w:tcPr>
          <w:p>
            <w:pPr>
              <w:pStyle w:val="TableParagraph"/>
              <w:spacing w:before="134"/>
              <w:ind w:left="70"/>
              <w:rPr>
                <w:sz w:val="20"/>
              </w:rPr>
            </w:pPr>
            <w:r>
              <w:rPr>
                <w:spacing w:val="-4"/>
                <w:sz w:val="20"/>
              </w:rPr>
              <w:t>100%</w:t>
            </w:r>
          </w:p>
        </w:tc>
      </w:tr>
      <w:tr>
        <w:trPr>
          <w:trHeight w:val="313" w:hRule="atLeast"/>
        </w:trPr>
        <w:tc>
          <w:tcPr>
            <w:tcW w:w="2976" w:type="dxa"/>
            <w:shd w:val="clear" w:color="auto" w:fill="DBE4F0"/>
          </w:tcPr>
          <w:p>
            <w:pPr>
              <w:pStyle w:val="TableParagraph"/>
              <w:spacing w:before="42"/>
              <w:ind w:left="67"/>
              <w:rPr>
                <w:b/>
                <w:sz w:val="20"/>
              </w:rPr>
            </w:pPr>
            <w:r>
              <w:rPr>
                <w:b/>
                <w:sz w:val="20"/>
              </w:rPr>
              <w:t>Línea</w:t>
            </w:r>
            <w:r>
              <w:rPr>
                <w:b/>
                <w:spacing w:val="-10"/>
                <w:sz w:val="20"/>
              </w:rPr>
              <w:t> </w:t>
            </w:r>
            <w:r>
              <w:rPr>
                <w:b/>
                <w:spacing w:val="-4"/>
                <w:sz w:val="20"/>
              </w:rPr>
              <w:t>Base</w:t>
            </w:r>
          </w:p>
        </w:tc>
        <w:tc>
          <w:tcPr>
            <w:tcW w:w="7516" w:type="dxa"/>
          </w:tcPr>
          <w:p>
            <w:pPr>
              <w:pStyle w:val="TableParagraph"/>
              <w:spacing w:before="42"/>
              <w:ind w:left="70"/>
              <w:rPr>
                <w:sz w:val="20"/>
              </w:rPr>
            </w:pPr>
            <w:r>
              <w:rPr>
                <w:spacing w:val="-10"/>
                <w:sz w:val="20"/>
              </w:rPr>
              <w:t>-</w:t>
            </w:r>
          </w:p>
        </w:tc>
      </w:tr>
      <w:tr>
        <w:trPr>
          <w:trHeight w:val="630" w:hRule="atLeast"/>
        </w:trPr>
        <w:tc>
          <w:tcPr>
            <w:tcW w:w="2976" w:type="dxa"/>
            <w:shd w:val="clear" w:color="auto" w:fill="DBE4F0"/>
          </w:tcPr>
          <w:p>
            <w:pPr>
              <w:pStyle w:val="TableParagraph"/>
              <w:spacing w:before="8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6" w:type="dxa"/>
          </w:tcPr>
          <w:p>
            <w:pPr>
              <w:pStyle w:val="TableParagraph"/>
              <w:spacing w:before="201"/>
              <w:ind w:left="70"/>
              <w:rPr>
                <w:sz w:val="20"/>
              </w:rPr>
            </w:pPr>
            <w:r>
              <w:rPr>
                <w:spacing w:val="-4"/>
                <w:sz w:val="20"/>
              </w:rPr>
              <w:t>Anual</w:t>
            </w:r>
          </w:p>
        </w:tc>
      </w:tr>
      <w:tr>
        <w:trPr>
          <w:trHeight w:val="630" w:hRule="atLeast"/>
        </w:trPr>
        <w:tc>
          <w:tcPr>
            <w:tcW w:w="2976" w:type="dxa"/>
            <w:shd w:val="clear" w:color="auto" w:fill="DBE4F0"/>
          </w:tcPr>
          <w:p>
            <w:pPr>
              <w:pStyle w:val="TableParagraph"/>
              <w:spacing w:before="83"/>
              <w:ind w:left="67" w:right="514"/>
              <w:rPr>
                <w:b/>
                <w:sz w:val="20"/>
              </w:rPr>
            </w:pPr>
            <w:r>
              <w:rPr>
                <w:b/>
                <w:sz w:val="20"/>
              </w:rPr>
              <w:t>Responsable de la recopilación</w:t>
            </w:r>
            <w:r>
              <w:rPr>
                <w:b/>
                <w:spacing w:val="-14"/>
                <w:sz w:val="20"/>
              </w:rPr>
              <w:t> </w:t>
            </w:r>
            <w:r>
              <w:rPr>
                <w:b/>
                <w:sz w:val="20"/>
              </w:rPr>
              <w:t>información</w:t>
            </w:r>
          </w:p>
        </w:tc>
        <w:tc>
          <w:tcPr>
            <w:tcW w:w="7516" w:type="dxa"/>
          </w:tcPr>
          <w:p>
            <w:pPr>
              <w:pStyle w:val="TableParagraph"/>
              <w:spacing w:before="83"/>
              <w:ind w:left="70" w:right="2510"/>
              <w:rPr>
                <w:sz w:val="20"/>
              </w:rPr>
            </w:pPr>
            <w:r>
              <w:rPr>
                <w:sz w:val="20"/>
              </w:rPr>
              <w:t>Nombre</w:t>
            </w:r>
            <w:r>
              <w:rPr>
                <w:spacing w:val="-6"/>
                <w:sz w:val="20"/>
              </w:rPr>
              <w:t> </w:t>
            </w:r>
            <w:r>
              <w:rPr>
                <w:sz w:val="20"/>
              </w:rPr>
              <w:t>del</w:t>
            </w:r>
            <w:r>
              <w:rPr>
                <w:spacing w:val="-9"/>
                <w:sz w:val="20"/>
              </w:rPr>
              <w:t> </w:t>
            </w:r>
            <w:r>
              <w:rPr>
                <w:sz w:val="20"/>
              </w:rPr>
              <w:t>funcionario:</w:t>
            </w:r>
            <w:r>
              <w:rPr>
                <w:spacing w:val="-8"/>
                <w:sz w:val="20"/>
              </w:rPr>
              <w:t> </w:t>
            </w:r>
            <w:r>
              <w:rPr>
                <w:sz w:val="20"/>
              </w:rPr>
              <w:t>Luis</w:t>
            </w:r>
            <w:r>
              <w:rPr>
                <w:spacing w:val="-7"/>
                <w:sz w:val="20"/>
              </w:rPr>
              <w:t> </w:t>
            </w:r>
            <w:r>
              <w:rPr>
                <w:sz w:val="20"/>
              </w:rPr>
              <w:t>Adolfo</w:t>
            </w:r>
            <w:r>
              <w:rPr>
                <w:spacing w:val="-9"/>
                <w:sz w:val="20"/>
              </w:rPr>
              <w:t> </w:t>
            </w:r>
            <w:r>
              <w:rPr>
                <w:sz w:val="20"/>
              </w:rPr>
              <w:t>Gonzalez</w:t>
            </w:r>
            <w:r>
              <w:rPr>
                <w:spacing w:val="-7"/>
                <w:sz w:val="20"/>
              </w:rPr>
              <w:t> </w:t>
            </w:r>
            <w:r>
              <w:rPr>
                <w:sz w:val="20"/>
              </w:rPr>
              <w:t>Alguera Cargo: Jefatura TI</w:t>
            </w:r>
          </w:p>
        </w:tc>
      </w:tr>
      <w:tr>
        <w:trPr>
          <w:trHeight w:val="943" w:hRule="atLeast"/>
        </w:trPr>
        <w:tc>
          <w:tcPr>
            <w:tcW w:w="2976" w:type="dxa"/>
            <w:shd w:val="clear" w:color="auto" w:fill="DBE4F0"/>
          </w:tcPr>
          <w:p>
            <w:pPr>
              <w:pStyle w:val="TableParagraph"/>
              <w:spacing w:before="12"/>
              <w:rPr>
                <w:b/>
                <w:sz w:val="20"/>
              </w:rPr>
            </w:pPr>
          </w:p>
          <w:p>
            <w:pPr>
              <w:pStyle w:val="TableParagraph"/>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6" w:type="dxa"/>
          </w:tcPr>
          <w:p>
            <w:pPr>
              <w:pStyle w:val="TableParagraph"/>
              <w:spacing w:before="127"/>
              <w:rPr>
                <w:b/>
                <w:sz w:val="20"/>
              </w:rPr>
            </w:pPr>
          </w:p>
          <w:p>
            <w:pPr>
              <w:pStyle w:val="TableParagraph"/>
              <w:ind w:left="70"/>
              <w:rPr>
                <w:sz w:val="20"/>
              </w:rPr>
            </w:pPr>
            <w:r>
              <w:rPr>
                <w:sz w:val="20"/>
              </w:rPr>
              <w:t>Tecnología</w:t>
            </w:r>
            <w:r>
              <w:rPr>
                <w:spacing w:val="-10"/>
                <w:sz w:val="20"/>
              </w:rPr>
              <w:t> </w:t>
            </w:r>
            <w:r>
              <w:rPr>
                <w:sz w:val="20"/>
              </w:rPr>
              <w:t>de</w:t>
            </w:r>
            <w:r>
              <w:rPr>
                <w:spacing w:val="-9"/>
                <w:sz w:val="20"/>
              </w:rPr>
              <w:t> </w:t>
            </w:r>
            <w:r>
              <w:rPr>
                <w:spacing w:val="-2"/>
                <w:sz w:val="20"/>
              </w:rPr>
              <w:t>Información</w:t>
            </w:r>
          </w:p>
        </w:tc>
      </w:tr>
      <w:tr>
        <w:trPr>
          <w:trHeight w:val="496" w:hRule="atLeast"/>
        </w:trPr>
        <w:tc>
          <w:tcPr>
            <w:tcW w:w="2976" w:type="dxa"/>
            <w:shd w:val="clear" w:color="auto" w:fill="DBE4F0"/>
          </w:tcPr>
          <w:p>
            <w:pPr>
              <w:pStyle w:val="TableParagraph"/>
              <w:spacing w:before="134"/>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6" w:type="dxa"/>
          </w:tcPr>
          <w:p>
            <w:pPr>
              <w:pStyle w:val="TableParagraph"/>
              <w:spacing w:before="134"/>
              <w:ind w:left="70"/>
              <w:rPr>
                <w:sz w:val="20"/>
              </w:rPr>
            </w:pPr>
            <w:r>
              <w:rPr>
                <w:sz w:val="20"/>
              </w:rPr>
              <w:t>La</w:t>
            </w:r>
            <w:r>
              <w:rPr>
                <w:spacing w:val="-7"/>
                <w:sz w:val="20"/>
              </w:rPr>
              <w:t> </w:t>
            </w:r>
            <w:r>
              <w:rPr>
                <w:sz w:val="20"/>
              </w:rPr>
              <w:t>fuente</w:t>
            </w:r>
            <w:r>
              <w:rPr>
                <w:spacing w:val="-6"/>
                <w:sz w:val="20"/>
              </w:rPr>
              <w:t> </w:t>
            </w:r>
            <w:r>
              <w:rPr>
                <w:sz w:val="20"/>
              </w:rPr>
              <w:t>de</w:t>
            </w:r>
            <w:r>
              <w:rPr>
                <w:spacing w:val="-4"/>
                <w:sz w:val="20"/>
              </w:rPr>
              <w:t> </w:t>
            </w:r>
            <w:r>
              <w:rPr>
                <w:sz w:val="20"/>
              </w:rPr>
              <w:t>la</w:t>
            </w:r>
            <w:r>
              <w:rPr>
                <w:spacing w:val="-4"/>
                <w:sz w:val="20"/>
              </w:rPr>
              <w:t> </w:t>
            </w:r>
            <w:r>
              <w:rPr>
                <w:sz w:val="20"/>
              </w:rPr>
              <w:t>información</w:t>
            </w:r>
            <w:r>
              <w:rPr>
                <w:spacing w:val="-5"/>
                <w:sz w:val="20"/>
              </w:rPr>
              <w:t> </w:t>
            </w:r>
            <w:r>
              <w:rPr>
                <w:sz w:val="20"/>
              </w:rPr>
              <w:t>es</w:t>
            </w:r>
            <w:r>
              <w:rPr>
                <w:spacing w:val="-5"/>
                <w:sz w:val="20"/>
              </w:rPr>
              <w:t> TI</w:t>
            </w:r>
          </w:p>
        </w:tc>
      </w:tr>
      <w:tr>
        <w:trPr>
          <w:trHeight w:val="990" w:hRule="atLeast"/>
        </w:trPr>
        <w:tc>
          <w:tcPr>
            <w:tcW w:w="2976" w:type="dxa"/>
            <w:shd w:val="clear" w:color="auto" w:fill="DBE4F0"/>
          </w:tcPr>
          <w:p>
            <w:pPr>
              <w:pStyle w:val="TableParagraph"/>
              <w:spacing w:before="148"/>
              <w:rPr>
                <w:b/>
                <w:sz w:val="20"/>
              </w:rPr>
            </w:pPr>
          </w:p>
          <w:p>
            <w:pPr>
              <w:pStyle w:val="TableParagraph"/>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6" w:type="dxa"/>
          </w:tcPr>
          <w:p>
            <w:pPr>
              <w:pStyle w:val="TableParagraph"/>
              <w:spacing w:before="148"/>
              <w:ind w:left="70" w:right="170"/>
              <w:rPr>
                <w:sz w:val="20"/>
              </w:rPr>
            </w:pPr>
            <w:r>
              <w:rPr>
                <w:sz w:val="20"/>
              </w:rPr>
              <w:t>Reportes o informes generados por TI en donde se visualice la cantidad de solicitudes</w:t>
            </w:r>
            <w:r>
              <w:rPr>
                <w:spacing w:val="-4"/>
                <w:sz w:val="20"/>
              </w:rPr>
              <w:t> </w:t>
            </w:r>
            <w:r>
              <w:rPr>
                <w:sz w:val="20"/>
              </w:rPr>
              <w:t>efectuadas</w:t>
            </w:r>
            <w:r>
              <w:rPr>
                <w:spacing w:val="-4"/>
                <w:sz w:val="20"/>
              </w:rPr>
              <w:t> </w:t>
            </w:r>
            <w:r>
              <w:rPr>
                <w:sz w:val="20"/>
              </w:rPr>
              <w:t>por</w:t>
            </w:r>
            <w:r>
              <w:rPr>
                <w:spacing w:val="-6"/>
                <w:sz w:val="20"/>
              </w:rPr>
              <w:t> </w:t>
            </w:r>
            <w:r>
              <w:rPr>
                <w:sz w:val="20"/>
              </w:rPr>
              <w:t>las</w:t>
            </w:r>
            <w:r>
              <w:rPr>
                <w:spacing w:val="-6"/>
                <w:sz w:val="20"/>
              </w:rPr>
              <w:t> </w:t>
            </w:r>
            <w:r>
              <w:rPr>
                <w:sz w:val="20"/>
              </w:rPr>
              <w:t>dependencias</w:t>
            </w:r>
            <w:r>
              <w:rPr>
                <w:spacing w:val="-6"/>
                <w:sz w:val="20"/>
              </w:rPr>
              <w:t> </w:t>
            </w:r>
            <w:r>
              <w:rPr>
                <w:sz w:val="20"/>
              </w:rPr>
              <w:t>para</w:t>
            </w:r>
            <w:r>
              <w:rPr>
                <w:spacing w:val="-5"/>
                <w:sz w:val="20"/>
              </w:rPr>
              <w:t> </w:t>
            </w:r>
            <w:r>
              <w:rPr>
                <w:sz w:val="20"/>
              </w:rPr>
              <w:t>el</w:t>
            </w:r>
            <w:r>
              <w:rPr>
                <w:spacing w:val="-6"/>
                <w:sz w:val="20"/>
              </w:rPr>
              <w:t> </w:t>
            </w:r>
            <w:r>
              <w:rPr>
                <w:sz w:val="20"/>
              </w:rPr>
              <w:t>mantenimiento</w:t>
            </w:r>
            <w:r>
              <w:rPr>
                <w:spacing w:val="-8"/>
                <w:sz w:val="20"/>
              </w:rPr>
              <w:t> </w:t>
            </w:r>
            <w:r>
              <w:rPr>
                <w:sz w:val="20"/>
              </w:rPr>
              <w:t>y</w:t>
            </w:r>
            <w:r>
              <w:rPr>
                <w:spacing w:val="-6"/>
                <w:sz w:val="20"/>
              </w:rPr>
              <w:t> </w:t>
            </w:r>
            <w:r>
              <w:rPr>
                <w:sz w:val="20"/>
              </w:rPr>
              <w:t>reparación de equipo de cómputo y sistemas de información recibas en el SAP</w:t>
            </w:r>
          </w:p>
        </w:tc>
      </w:tr>
      <w:tr>
        <w:trPr>
          <w:trHeight w:val="628" w:hRule="atLeast"/>
        </w:trPr>
        <w:tc>
          <w:tcPr>
            <w:tcW w:w="2976" w:type="dxa"/>
            <w:shd w:val="clear" w:color="auto" w:fill="DBE4F0"/>
          </w:tcPr>
          <w:p>
            <w:pPr>
              <w:pStyle w:val="TableParagraph"/>
              <w:spacing w:before="198"/>
              <w:ind w:left="67"/>
              <w:rPr>
                <w:b/>
                <w:sz w:val="20"/>
              </w:rPr>
            </w:pPr>
            <w:r>
              <w:rPr>
                <w:b/>
                <w:spacing w:val="-2"/>
                <w:sz w:val="20"/>
              </w:rPr>
              <w:t>Clasificación</w:t>
            </w:r>
          </w:p>
        </w:tc>
        <w:tc>
          <w:tcPr>
            <w:tcW w:w="7516" w:type="dxa"/>
          </w:tcPr>
          <w:p>
            <w:pPr>
              <w:pStyle w:val="TableParagraph"/>
              <w:spacing w:before="198"/>
              <w:ind w:left="70"/>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482" w:hRule="atLeast"/>
        </w:trPr>
        <w:tc>
          <w:tcPr>
            <w:tcW w:w="2976" w:type="dxa"/>
            <w:shd w:val="clear" w:color="auto" w:fill="DBE4F0"/>
          </w:tcPr>
          <w:p>
            <w:pPr>
              <w:pStyle w:val="TableParagraph"/>
              <w:spacing w:before="124"/>
              <w:ind w:left="67"/>
              <w:rPr>
                <w:b/>
                <w:sz w:val="20"/>
              </w:rPr>
            </w:pPr>
            <w:r>
              <w:rPr>
                <w:b/>
                <w:spacing w:val="-2"/>
                <w:sz w:val="20"/>
              </w:rPr>
              <w:t>Comentarios</w:t>
            </w:r>
            <w:r>
              <w:rPr>
                <w:b/>
                <w:spacing w:val="6"/>
                <w:sz w:val="20"/>
              </w:rPr>
              <w:t> </w:t>
            </w:r>
            <w:r>
              <w:rPr>
                <w:b/>
                <w:spacing w:val="-2"/>
                <w:sz w:val="20"/>
              </w:rPr>
              <w:t>Generales</w:t>
            </w:r>
          </w:p>
        </w:tc>
        <w:tc>
          <w:tcPr>
            <w:tcW w:w="7516" w:type="dxa"/>
          </w:tcPr>
          <w:p>
            <w:pPr>
              <w:pStyle w:val="TableParagraph"/>
              <w:spacing w:before="124"/>
              <w:ind w:left="125"/>
              <w:rPr>
                <w:sz w:val="20"/>
              </w:rPr>
            </w:pPr>
            <w:r>
              <w:rPr>
                <w:sz w:val="20"/>
              </w:rPr>
              <w:t>Partida</w:t>
            </w:r>
            <w:r>
              <w:rPr>
                <w:spacing w:val="-9"/>
                <w:sz w:val="20"/>
              </w:rPr>
              <w:t> </w:t>
            </w:r>
            <w:r>
              <w:rPr>
                <w:spacing w:val="-2"/>
                <w:sz w:val="20"/>
              </w:rPr>
              <w:t>1.04.05</w:t>
            </w:r>
          </w:p>
        </w:tc>
      </w:tr>
    </w:tbl>
    <w:p>
      <w:pPr>
        <w:spacing w:before="253"/>
        <w:ind w:left="840" w:right="0" w:firstLine="0"/>
        <w:jc w:val="left"/>
        <w:rPr>
          <w:b/>
          <w:sz w:val="24"/>
        </w:rPr>
      </w:pPr>
      <w:r>
        <w:rPr>
          <w:b/>
          <w:sz w:val="24"/>
        </w:rPr>
        <w:t>Departamento</w:t>
      </w:r>
      <w:r>
        <w:rPr>
          <w:b/>
          <w:spacing w:val="-5"/>
          <w:sz w:val="24"/>
        </w:rPr>
        <w:t> </w:t>
      </w:r>
      <w:r>
        <w:rPr>
          <w:b/>
          <w:sz w:val="24"/>
        </w:rPr>
        <w:t>de</w:t>
      </w:r>
      <w:r>
        <w:rPr>
          <w:b/>
          <w:spacing w:val="-5"/>
          <w:sz w:val="24"/>
        </w:rPr>
        <w:t> </w:t>
      </w:r>
      <w:r>
        <w:rPr>
          <w:b/>
          <w:sz w:val="24"/>
        </w:rPr>
        <w:t>Administración</w:t>
      </w:r>
      <w:r>
        <w:rPr>
          <w:b/>
          <w:spacing w:val="-5"/>
          <w:sz w:val="24"/>
        </w:rPr>
        <w:t> </w:t>
      </w:r>
      <w:r>
        <w:rPr>
          <w:b/>
          <w:spacing w:val="-2"/>
          <w:sz w:val="24"/>
        </w:rPr>
        <w:t>Financiera</w:t>
      </w:r>
    </w:p>
    <w:p>
      <w:pPr>
        <w:pStyle w:val="BodyText"/>
        <w:spacing w:before="11"/>
        <w:rPr>
          <w:b/>
          <w:sz w:val="19"/>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6"/>
      </w:tblGrid>
      <w:tr>
        <w:trPr>
          <w:trHeight w:val="789" w:hRule="atLeast"/>
        </w:trPr>
        <w:tc>
          <w:tcPr>
            <w:tcW w:w="2976" w:type="dxa"/>
            <w:shd w:val="clear" w:color="auto" w:fill="DCE6F0"/>
          </w:tcPr>
          <w:p>
            <w:pPr>
              <w:pStyle w:val="TableParagraph"/>
              <w:spacing w:before="47"/>
              <w:rPr>
                <w:b/>
                <w:sz w:val="20"/>
              </w:rPr>
            </w:pPr>
          </w:p>
          <w:p>
            <w:pPr>
              <w:pStyle w:val="TableParagraph"/>
              <w:spacing w:before="1"/>
              <w:ind w:left="67"/>
              <w:rPr>
                <w:b/>
                <w:sz w:val="20"/>
              </w:rPr>
            </w:pPr>
            <w:r>
              <w:rPr>
                <w:b/>
                <w:sz w:val="20"/>
              </w:rPr>
              <w:t>PAC</w:t>
            </w:r>
            <w:r>
              <w:rPr>
                <w:b/>
                <w:spacing w:val="-8"/>
                <w:sz w:val="20"/>
              </w:rPr>
              <w:t> </w:t>
            </w:r>
            <w:r>
              <w:rPr>
                <w:b/>
                <w:spacing w:val="-2"/>
                <w:sz w:val="20"/>
              </w:rPr>
              <w:t>2.5.2</w:t>
            </w:r>
          </w:p>
        </w:tc>
        <w:tc>
          <w:tcPr>
            <w:tcW w:w="7516" w:type="dxa"/>
          </w:tcPr>
          <w:p>
            <w:pPr>
              <w:pStyle w:val="TableParagraph"/>
              <w:spacing w:before="165"/>
              <w:ind w:left="70"/>
              <w:rPr>
                <w:sz w:val="20"/>
              </w:rPr>
            </w:pPr>
            <w:r>
              <w:rPr>
                <w:sz w:val="20"/>
              </w:rPr>
              <w:t>Nombre</w:t>
            </w:r>
            <w:r>
              <w:rPr>
                <w:spacing w:val="-4"/>
                <w:sz w:val="20"/>
              </w:rPr>
              <w:t> </w:t>
            </w:r>
            <w:r>
              <w:rPr>
                <w:sz w:val="20"/>
              </w:rPr>
              <w:t>del</w:t>
            </w:r>
            <w:r>
              <w:rPr>
                <w:spacing w:val="-6"/>
                <w:sz w:val="20"/>
              </w:rPr>
              <w:t> </w:t>
            </w:r>
            <w:r>
              <w:rPr>
                <w:sz w:val="20"/>
              </w:rPr>
              <w:t>indicador:</w:t>
            </w:r>
            <w:r>
              <w:rPr>
                <w:spacing w:val="-3"/>
                <w:sz w:val="20"/>
              </w:rPr>
              <w:t> </w:t>
            </w:r>
            <w:r>
              <w:rPr>
                <w:sz w:val="20"/>
              </w:rPr>
              <w:t>Porcentaje</w:t>
            </w:r>
            <w:r>
              <w:rPr>
                <w:spacing w:val="-4"/>
                <w:sz w:val="20"/>
              </w:rPr>
              <w:t> </w:t>
            </w:r>
            <w:r>
              <w:rPr>
                <w:sz w:val="20"/>
              </w:rPr>
              <w:t>de</w:t>
            </w:r>
            <w:r>
              <w:rPr>
                <w:spacing w:val="-6"/>
                <w:sz w:val="20"/>
              </w:rPr>
              <w:t> </w:t>
            </w:r>
            <w:r>
              <w:rPr>
                <w:sz w:val="20"/>
              </w:rPr>
              <w:t>ejecución</w:t>
            </w:r>
            <w:r>
              <w:rPr>
                <w:spacing w:val="-5"/>
                <w:sz w:val="20"/>
              </w:rPr>
              <w:t> </w:t>
            </w:r>
            <w:r>
              <w:rPr>
                <w:sz w:val="20"/>
              </w:rPr>
              <w:t>del</w:t>
            </w:r>
            <w:r>
              <w:rPr>
                <w:spacing w:val="-6"/>
                <w:sz w:val="20"/>
              </w:rPr>
              <w:t> </w:t>
            </w:r>
            <w:r>
              <w:rPr>
                <w:sz w:val="20"/>
              </w:rPr>
              <w:t>monto</w:t>
            </w:r>
            <w:r>
              <w:rPr>
                <w:spacing w:val="-6"/>
                <w:sz w:val="20"/>
              </w:rPr>
              <w:t> </w:t>
            </w:r>
            <w:r>
              <w:rPr>
                <w:sz w:val="20"/>
              </w:rPr>
              <w:t>adjudicado</w:t>
            </w:r>
            <w:r>
              <w:rPr>
                <w:spacing w:val="-6"/>
                <w:sz w:val="20"/>
              </w:rPr>
              <w:t> </w:t>
            </w:r>
            <w:r>
              <w:rPr>
                <w:sz w:val="20"/>
              </w:rPr>
              <w:t>según</w:t>
            </w:r>
            <w:r>
              <w:rPr>
                <w:spacing w:val="-4"/>
                <w:sz w:val="20"/>
              </w:rPr>
              <w:t> </w:t>
            </w:r>
            <w:r>
              <w:rPr>
                <w:sz w:val="20"/>
              </w:rPr>
              <w:t>la </w:t>
            </w:r>
            <w:r>
              <w:rPr>
                <w:spacing w:val="-2"/>
                <w:sz w:val="20"/>
              </w:rPr>
              <w:t>contratación.</w:t>
            </w:r>
          </w:p>
        </w:tc>
      </w:tr>
      <w:tr>
        <w:trPr>
          <w:trHeight w:val="714" w:hRule="atLeast"/>
        </w:trPr>
        <w:tc>
          <w:tcPr>
            <w:tcW w:w="2976" w:type="dxa"/>
            <w:shd w:val="clear" w:color="auto" w:fill="DCE6F0"/>
          </w:tcPr>
          <w:p>
            <w:pPr>
              <w:pStyle w:val="TableParagraph"/>
              <w:spacing w:before="11"/>
              <w:rPr>
                <w:b/>
                <w:sz w:val="20"/>
              </w:rPr>
            </w:pPr>
          </w:p>
          <w:p>
            <w:pPr>
              <w:pStyle w:val="TableParagraph"/>
              <w:spacing w:before="1"/>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6" w:type="dxa"/>
          </w:tcPr>
          <w:p>
            <w:pPr>
              <w:pStyle w:val="TableParagraph"/>
              <w:spacing w:before="11"/>
              <w:rPr>
                <w:b/>
                <w:sz w:val="20"/>
              </w:rPr>
            </w:pPr>
          </w:p>
          <w:p>
            <w:pPr>
              <w:pStyle w:val="TableParagraph"/>
              <w:spacing w:before="1"/>
              <w:ind w:left="70"/>
              <w:rPr>
                <w:sz w:val="20"/>
              </w:rPr>
            </w:pPr>
            <w:r>
              <w:rPr>
                <w:sz w:val="20"/>
              </w:rPr>
              <w:t>Monto</w:t>
            </w:r>
            <w:r>
              <w:rPr>
                <w:spacing w:val="-12"/>
                <w:sz w:val="20"/>
              </w:rPr>
              <w:t> </w:t>
            </w:r>
            <w:r>
              <w:rPr>
                <w:sz w:val="20"/>
              </w:rPr>
              <w:t>ejecutado/Monto</w:t>
            </w:r>
            <w:r>
              <w:rPr>
                <w:spacing w:val="-9"/>
                <w:sz w:val="20"/>
              </w:rPr>
              <w:t> </w:t>
            </w:r>
            <w:r>
              <w:rPr>
                <w:sz w:val="20"/>
              </w:rPr>
              <w:t>presupuestado</w:t>
            </w:r>
            <w:r>
              <w:rPr>
                <w:spacing w:val="-12"/>
                <w:sz w:val="20"/>
              </w:rPr>
              <w:t> </w:t>
            </w:r>
            <w:r>
              <w:rPr>
                <w:sz w:val="20"/>
              </w:rPr>
              <w:t>x</w:t>
            </w:r>
            <w:r>
              <w:rPr>
                <w:spacing w:val="-10"/>
                <w:sz w:val="20"/>
              </w:rPr>
              <w:t> </w:t>
            </w:r>
            <w:r>
              <w:rPr>
                <w:spacing w:val="-5"/>
                <w:sz w:val="20"/>
              </w:rPr>
              <w:t>100</w:t>
            </w:r>
          </w:p>
        </w:tc>
      </w:tr>
      <w:tr>
        <w:trPr>
          <w:trHeight w:val="527" w:hRule="atLeast"/>
        </w:trPr>
        <w:tc>
          <w:tcPr>
            <w:tcW w:w="2976" w:type="dxa"/>
            <w:shd w:val="clear" w:color="auto" w:fill="DCE6F0"/>
          </w:tcPr>
          <w:p>
            <w:pPr>
              <w:pStyle w:val="TableParagraph"/>
              <w:spacing w:before="148"/>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6" w:type="dxa"/>
          </w:tcPr>
          <w:p>
            <w:pPr>
              <w:pStyle w:val="TableParagraph"/>
              <w:spacing w:before="148"/>
              <w:ind w:left="70"/>
              <w:rPr>
                <w:sz w:val="20"/>
              </w:rPr>
            </w:pPr>
            <w:r>
              <w:rPr>
                <w:spacing w:val="-2"/>
                <w:sz w:val="20"/>
              </w:rPr>
              <w:t>Porcentaje</w:t>
            </w:r>
          </w:p>
        </w:tc>
      </w:tr>
      <w:tr>
        <w:trPr>
          <w:trHeight w:val="840" w:hRule="atLeast"/>
        </w:trPr>
        <w:tc>
          <w:tcPr>
            <w:tcW w:w="2976" w:type="dxa"/>
            <w:shd w:val="clear" w:color="auto" w:fill="DCE6F0"/>
          </w:tcPr>
          <w:p>
            <w:pPr>
              <w:pStyle w:val="TableParagraph"/>
              <w:spacing w:before="74"/>
              <w:rPr>
                <w:b/>
                <w:sz w:val="20"/>
              </w:rPr>
            </w:pPr>
          </w:p>
          <w:p>
            <w:pPr>
              <w:pStyle w:val="TableParagraph"/>
              <w:ind w:left="67"/>
              <w:rPr>
                <w:b/>
                <w:sz w:val="20"/>
              </w:rPr>
            </w:pPr>
            <w:r>
              <w:rPr>
                <w:b/>
                <w:spacing w:val="-2"/>
                <w:sz w:val="20"/>
              </w:rPr>
              <w:t>Interpretación:</w:t>
            </w:r>
          </w:p>
        </w:tc>
        <w:tc>
          <w:tcPr>
            <w:tcW w:w="7516" w:type="dxa"/>
          </w:tcPr>
          <w:p>
            <w:pPr>
              <w:pStyle w:val="TableParagraph"/>
              <w:spacing w:before="74"/>
              <w:rPr>
                <w:b/>
                <w:sz w:val="20"/>
              </w:rPr>
            </w:pPr>
          </w:p>
          <w:p>
            <w:pPr>
              <w:pStyle w:val="TableParagraph"/>
              <w:ind w:left="70"/>
              <w:rPr>
                <w:sz w:val="20"/>
              </w:rPr>
            </w:pPr>
            <w:r>
              <w:rPr>
                <w:sz w:val="20"/>
              </w:rPr>
              <w:t>Se</w:t>
            </w:r>
            <w:r>
              <w:rPr>
                <w:spacing w:val="-8"/>
                <w:sz w:val="20"/>
              </w:rPr>
              <w:t> </w:t>
            </w:r>
            <w:r>
              <w:rPr>
                <w:sz w:val="20"/>
              </w:rPr>
              <w:t>refiere</w:t>
            </w:r>
            <w:r>
              <w:rPr>
                <w:spacing w:val="-6"/>
                <w:sz w:val="20"/>
              </w:rPr>
              <w:t> </w:t>
            </w:r>
            <w:r>
              <w:rPr>
                <w:sz w:val="20"/>
              </w:rPr>
              <w:t>al</w:t>
            </w:r>
            <w:r>
              <w:rPr>
                <w:spacing w:val="-6"/>
                <w:sz w:val="20"/>
              </w:rPr>
              <w:t> </w:t>
            </w:r>
            <w:r>
              <w:rPr>
                <w:sz w:val="20"/>
              </w:rPr>
              <w:t>porcentaje</w:t>
            </w:r>
            <w:r>
              <w:rPr>
                <w:spacing w:val="-7"/>
                <w:sz w:val="20"/>
              </w:rPr>
              <w:t> </w:t>
            </w:r>
            <w:r>
              <w:rPr>
                <w:sz w:val="20"/>
              </w:rPr>
              <w:t>de</w:t>
            </w:r>
            <w:r>
              <w:rPr>
                <w:spacing w:val="-6"/>
                <w:sz w:val="20"/>
              </w:rPr>
              <w:t> </w:t>
            </w:r>
            <w:r>
              <w:rPr>
                <w:sz w:val="20"/>
              </w:rPr>
              <w:t>ejecución</w:t>
            </w:r>
            <w:r>
              <w:rPr>
                <w:spacing w:val="-7"/>
                <w:sz w:val="20"/>
              </w:rPr>
              <w:t> </w:t>
            </w:r>
            <w:r>
              <w:rPr>
                <w:sz w:val="20"/>
              </w:rPr>
              <w:t>del</w:t>
            </w:r>
            <w:r>
              <w:rPr>
                <w:spacing w:val="-6"/>
                <w:sz w:val="20"/>
              </w:rPr>
              <w:t> </w:t>
            </w:r>
            <w:r>
              <w:rPr>
                <w:sz w:val="20"/>
              </w:rPr>
              <w:t>monto</w:t>
            </w:r>
            <w:r>
              <w:rPr>
                <w:spacing w:val="-7"/>
                <w:sz w:val="20"/>
              </w:rPr>
              <w:t> </w:t>
            </w:r>
            <w:r>
              <w:rPr>
                <w:sz w:val="20"/>
              </w:rPr>
              <w:t>adjudicado</w:t>
            </w:r>
            <w:r>
              <w:rPr>
                <w:spacing w:val="-7"/>
                <w:sz w:val="20"/>
              </w:rPr>
              <w:t> </w:t>
            </w:r>
            <w:r>
              <w:rPr>
                <w:sz w:val="20"/>
              </w:rPr>
              <w:t>según</w:t>
            </w:r>
            <w:r>
              <w:rPr>
                <w:spacing w:val="-7"/>
                <w:sz w:val="20"/>
              </w:rPr>
              <w:t> </w:t>
            </w:r>
            <w:r>
              <w:rPr>
                <w:sz w:val="20"/>
              </w:rPr>
              <w:t>la</w:t>
            </w:r>
            <w:r>
              <w:rPr>
                <w:spacing w:val="-7"/>
                <w:sz w:val="20"/>
              </w:rPr>
              <w:t> </w:t>
            </w:r>
            <w:r>
              <w:rPr>
                <w:spacing w:val="-2"/>
                <w:sz w:val="20"/>
              </w:rPr>
              <w:t>contratación.</w:t>
            </w:r>
          </w:p>
        </w:tc>
      </w:tr>
      <w:tr>
        <w:trPr>
          <w:trHeight w:val="623" w:hRule="atLeast"/>
        </w:trPr>
        <w:tc>
          <w:tcPr>
            <w:tcW w:w="2976" w:type="dxa"/>
            <w:shd w:val="clear" w:color="auto" w:fill="DCE6F0"/>
          </w:tcPr>
          <w:p>
            <w:pPr>
              <w:pStyle w:val="TableParagraph"/>
              <w:spacing w:before="196"/>
              <w:ind w:left="67"/>
              <w:rPr>
                <w:b/>
                <w:sz w:val="20"/>
              </w:rPr>
            </w:pPr>
            <w:r>
              <w:rPr>
                <w:b/>
                <w:spacing w:val="-2"/>
                <w:sz w:val="20"/>
              </w:rPr>
              <w:t>Desagregación</w:t>
            </w:r>
          </w:p>
        </w:tc>
        <w:tc>
          <w:tcPr>
            <w:tcW w:w="7516" w:type="dxa"/>
          </w:tcPr>
          <w:p>
            <w:pPr>
              <w:pStyle w:val="TableParagraph"/>
              <w:spacing w:before="196"/>
              <w:ind w:left="70"/>
              <w:rPr>
                <w:sz w:val="20"/>
              </w:rPr>
            </w:pPr>
            <w:r>
              <w:rPr>
                <w:spacing w:val="-5"/>
                <w:sz w:val="20"/>
              </w:rPr>
              <w:t>N/A</w:t>
            </w:r>
          </w:p>
        </w:tc>
      </w:tr>
    </w:tbl>
    <w:p>
      <w:pPr>
        <w:pStyle w:val="TableParagraph"/>
        <w:spacing w:after="0"/>
        <w:rPr>
          <w:sz w:val="20"/>
        </w:rPr>
        <w:sectPr>
          <w:type w:val="continuous"/>
          <w:pgSz w:w="12240" w:h="15840"/>
          <w:pgMar w:header="0" w:footer="2082" w:top="1400" w:bottom="285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6"/>
      </w:tblGrid>
      <w:tr>
        <w:trPr>
          <w:trHeight w:val="314" w:hRule="atLeast"/>
        </w:trPr>
        <w:tc>
          <w:tcPr>
            <w:tcW w:w="2976" w:type="dxa"/>
            <w:shd w:val="clear" w:color="auto" w:fill="DCE6F0"/>
          </w:tcPr>
          <w:p>
            <w:pPr>
              <w:pStyle w:val="TableParagraph"/>
              <w:spacing w:before="43"/>
              <w:ind w:left="67"/>
              <w:rPr>
                <w:b/>
                <w:sz w:val="20"/>
              </w:rPr>
            </w:pPr>
            <w:r>
              <w:rPr>
                <w:b/>
                <w:spacing w:val="-2"/>
                <w:sz w:val="20"/>
              </w:rPr>
              <w:t>Meta:</w:t>
            </w:r>
          </w:p>
        </w:tc>
        <w:tc>
          <w:tcPr>
            <w:tcW w:w="7516" w:type="dxa"/>
          </w:tcPr>
          <w:p>
            <w:pPr>
              <w:pStyle w:val="TableParagraph"/>
              <w:spacing w:before="43"/>
              <w:ind w:left="70"/>
              <w:rPr>
                <w:sz w:val="20"/>
              </w:rPr>
            </w:pPr>
            <w:r>
              <w:rPr>
                <w:sz w:val="20"/>
              </w:rPr>
              <w:t>100/</w:t>
            </w:r>
            <w:r>
              <w:rPr>
                <w:spacing w:val="-4"/>
                <w:sz w:val="20"/>
              </w:rPr>
              <w:t> </w:t>
            </w:r>
            <w:r>
              <w:rPr>
                <w:sz w:val="20"/>
              </w:rPr>
              <w:t>al</w:t>
            </w:r>
            <w:r>
              <w:rPr>
                <w:spacing w:val="-4"/>
                <w:sz w:val="20"/>
              </w:rPr>
              <w:t> 2027</w:t>
            </w:r>
          </w:p>
        </w:tc>
      </w:tr>
      <w:tr>
        <w:trPr>
          <w:trHeight w:val="539" w:hRule="atLeast"/>
        </w:trPr>
        <w:tc>
          <w:tcPr>
            <w:tcW w:w="2976" w:type="dxa"/>
            <w:shd w:val="clear" w:color="auto" w:fill="DCE6F0"/>
          </w:tcPr>
          <w:p>
            <w:pPr>
              <w:pStyle w:val="TableParagraph"/>
              <w:spacing w:before="155"/>
              <w:ind w:left="67"/>
              <w:rPr>
                <w:b/>
                <w:sz w:val="20"/>
              </w:rPr>
            </w:pPr>
            <w:r>
              <w:rPr>
                <w:b/>
                <w:sz w:val="20"/>
              </w:rPr>
              <w:t>Línea</w:t>
            </w:r>
            <w:r>
              <w:rPr>
                <w:b/>
                <w:spacing w:val="-10"/>
                <w:sz w:val="20"/>
              </w:rPr>
              <w:t> </w:t>
            </w:r>
            <w:r>
              <w:rPr>
                <w:b/>
                <w:spacing w:val="-4"/>
                <w:sz w:val="20"/>
              </w:rPr>
              <w:t>Base</w:t>
            </w:r>
          </w:p>
        </w:tc>
        <w:tc>
          <w:tcPr>
            <w:tcW w:w="7516" w:type="dxa"/>
          </w:tcPr>
          <w:p>
            <w:pPr>
              <w:pStyle w:val="TableParagraph"/>
              <w:spacing w:before="155"/>
              <w:ind w:left="70"/>
              <w:rPr>
                <w:sz w:val="20"/>
              </w:rPr>
            </w:pPr>
            <w:r>
              <w:rPr>
                <w:spacing w:val="-5"/>
                <w:sz w:val="20"/>
              </w:rPr>
              <w:t>N/A</w:t>
            </w:r>
          </w:p>
        </w:tc>
      </w:tr>
      <w:tr>
        <w:trPr>
          <w:trHeight w:val="637" w:hRule="atLeast"/>
        </w:trPr>
        <w:tc>
          <w:tcPr>
            <w:tcW w:w="2976" w:type="dxa"/>
            <w:shd w:val="clear" w:color="auto" w:fill="DCE6F0"/>
          </w:tcPr>
          <w:p>
            <w:pPr>
              <w:pStyle w:val="TableParagraph"/>
              <w:spacing w:before="88"/>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6" w:type="dxa"/>
          </w:tcPr>
          <w:p>
            <w:pPr>
              <w:pStyle w:val="TableParagraph"/>
              <w:spacing w:before="203"/>
              <w:ind w:left="70"/>
              <w:rPr>
                <w:sz w:val="20"/>
              </w:rPr>
            </w:pPr>
            <w:r>
              <w:rPr>
                <w:sz w:val="20"/>
              </w:rPr>
              <w:t>100%</w:t>
            </w:r>
            <w:r>
              <w:rPr>
                <w:spacing w:val="-5"/>
                <w:sz w:val="20"/>
              </w:rPr>
              <w:t> </w:t>
            </w:r>
            <w:r>
              <w:rPr>
                <w:sz w:val="20"/>
              </w:rPr>
              <w:t>al</w:t>
            </w:r>
            <w:r>
              <w:rPr>
                <w:spacing w:val="-5"/>
                <w:sz w:val="20"/>
              </w:rPr>
              <w:t> </w:t>
            </w:r>
            <w:r>
              <w:rPr>
                <w:spacing w:val="-4"/>
                <w:sz w:val="20"/>
              </w:rPr>
              <w:t>2027</w:t>
            </w:r>
          </w:p>
        </w:tc>
      </w:tr>
      <w:tr>
        <w:trPr>
          <w:trHeight w:val="690" w:hRule="atLeast"/>
        </w:trPr>
        <w:tc>
          <w:tcPr>
            <w:tcW w:w="2976" w:type="dxa"/>
            <w:vMerge w:val="restart"/>
            <w:shd w:val="clear" w:color="auto" w:fill="DCE6F0"/>
          </w:tcPr>
          <w:p>
            <w:pPr>
              <w:pStyle w:val="TableParagraph"/>
              <w:spacing w:before="105"/>
              <w:rPr>
                <w:b/>
                <w:sz w:val="20"/>
              </w:rPr>
            </w:pPr>
          </w:p>
          <w:p>
            <w:pPr>
              <w:pStyle w:val="TableParagraph"/>
              <w:ind w:left="67" w:right="514"/>
              <w:rPr>
                <w:b/>
                <w:sz w:val="20"/>
              </w:rPr>
            </w:pPr>
            <w:r>
              <w:rPr>
                <w:b/>
                <w:sz w:val="20"/>
              </w:rPr>
              <w:t>Responsable de la recopilación</w:t>
            </w:r>
            <w:r>
              <w:rPr>
                <w:b/>
                <w:spacing w:val="-14"/>
                <w:sz w:val="20"/>
              </w:rPr>
              <w:t> </w:t>
            </w:r>
            <w:r>
              <w:rPr>
                <w:b/>
                <w:sz w:val="20"/>
              </w:rPr>
              <w:t>información</w:t>
            </w:r>
          </w:p>
        </w:tc>
        <w:tc>
          <w:tcPr>
            <w:tcW w:w="7516" w:type="dxa"/>
          </w:tcPr>
          <w:p>
            <w:pPr>
              <w:pStyle w:val="TableParagraph"/>
              <w:spacing w:before="230"/>
              <w:ind w:left="70"/>
              <w:rPr>
                <w:sz w:val="20"/>
              </w:rPr>
            </w:pPr>
            <w:r>
              <w:rPr>
                <w:sz w:val="20"/>
              </w:rPr>
              <w:t>Nombre</w:t>
            </w:r>
            <w:r>
              <w:rPr>
                <w:spacing w:val="-7"/>
                <w:sz w:val="20"/>
              </w:rPr>
              <w:t> </w:t>
            </w:r>
            <w:r>
              <w:rPr>
                <w:sz w:val="20"/>
              </w:rPr>
              <w:t>del</w:t>
            </w:r>
            <w:r>
              <w:rPr>
                <w:spacing w:val="-9"/>
                <w:sz w:val="20"/>
              </w:rPr>
              <w:t> </w:t>
            </w:r>
            <w:r>
              <w:rPr>
                <w:sz w:val="20"/>
              </w:rPr>
              <w:t>funcionario:</w:t>
            </w:r>
            <w:r>
              <w:rPr>
                <w:spacing w:val="41"/>
                <w:sz w:val="20"/>
              </w:rPr>
              <w:t> </w:t>
            </w:r>
            <w:r>
              <w:rPr>
                <w:sz w:val="20"/>
              </w:rPr>
              <w:t>Silvia</w:t>
            </w:r>
            <w:r>
              <w:rPr>
                <w:spacing w:val="-7"/>
                <w:sz w:val="20"/>
              </w:rPr>
              <w:t> </w:t>
            </w:r>
            <w:r>
              <w:rPr>
                <w:sz w:val="20"/>
              </w:rPr>
              <w:t>Morales</w:t>
            </w:r>
            <w:r>
              <w:rPr>
                <w:spacing w:val="-7"/>
                <w:sz w:val="20"/>
              </w:rPr>
              <w:t> </w:t>
            </w:r>
            <w:r>
              <w:rPr>
                <w:spacing w:val="-2"/>
                <w:sz w:val="20"/>
              </w:rPr>
              <w:t>Jimenez</w:t>
            </w:r>
          </w:p>
        </w:tc>
      </w:tr>
      <w:tr>
        <w:trPr>
          <w:trHeight w:val="429" w:hRule="atLeast"/>
        </w:trPr>
        <w:tc>
          <w:tcPr>
            <w:tcW w:w="2976" w:type="dxa"/>
            <w:vMerge/>
            <w:tcBorders>
              <w:top w:val="nil"/>
            </w:tcBorders>
            <w:shd w:val="clear" w:color="auto" w:fill="DCE6F0"/>
          </w:tcPr>
          <w:p>
            <w:pPr>
              <w:rPr>
                <w:sz w:val="2"/>
                <w:szCs w:val="2"/>
              </w:rPr>
            </w:pPr>
          </w:p>
        </w:tc>
        <w:tc>
          <w:tcPr>
            <w:tcW w:w="7516" w:type="dxa"/>
          </w:tcPr>
          <w:p>
            <w:pPr>
              <w:pStyle w:val="TableParagraph"/>
              <w:spacing w:before="100"/>
              <w:ind w:left="70"/>
              <w:rPr>
                <w:sz w:val="20"/>
              </w:rPr>
            </w:pPr>
            <w:r>
              <w:rPr>
                <w:sz w:val="20"/>
              </w:rPr>
              <w:t>Cargo:</w:t>
            </w:r>
            <w:r>
              <w:rPr>
                <w:spacing w:val="-10"/>
                <w:sz w:val="20"/>
              </w:rPr>
              <w:t> </w:t>
            </w:r>
            <w:r>
              <w:rPr>
                <w:sz w:val="20"/>
              </w:rPr>
              <w:t>Jefatura</w:t>
            </w:r>
            <w:r>
              <w:rPr>
                <w:spacing w:val="-8"/>
                <w:sz w:val="20"/>
              </w:rPr>
              <w:t> </w:t>
            </w:r>
            <w:r>
              <w:rPr>
                <w:spacing w:val="-5"/>
                <w:sz w:val="20"/>
              </w:rPr>
              <w:t>DAF</w:t>
            </w:r>
          </w:p>
        </w:tc>
      </w:tr>
      <w:tr>
        <w:trPr>
          <w:trHeight w:val="1053" w:hRule="atLeast"/>
        </w:trPr>
        <w:tc>
          <w:tcPr>
            <w:tcW w:w="2976" w:type="dxa"/>
            <w:shd w:val="clear" w:color="auto" w:fill="DCE6F0"/>
          </w:tcPr>
          <w:p>
            <w:pPr>
              <w:pStyle w:val="TableParagraph"/>
              <w:spacing w:before="67"/>
              <w:rPr>
                <w:b/>
                <w:sz w:val="20"/>
              </w:rPr>
            </w:pPr>
          </w:p>
          <w:p>
            <w:pPr>
              <w:pStyle w:val="TableParagraph"/>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6" w:type="dxa"/>
          </w:tcPr>
          <w:p>
            <w:pPr>
              <w:pStyle w:val="TableParagraph"/>
              <w:spacing w:before="182"/>
              <w:rPr>
                <w:b/>
                <w:sz w:val="20"/>
              </w:rPr>
            </w:pPr>
          </w:p>
          <w:p>
            <w:pPr>
              <w:pStyle w:val="TableParagraph"/>
              <w:ind w:left="70"/>
              <w:rPr>
                <w:sz w:val="20"/>
              </w:rPr>
            </w:pPr>
            <w:r>
              <w:rPr>
                <w:spacing w:val="-2"/>
                <w:sz w:val="20"/>
              </w:rPr>
              <w:t>Departamento</w:t>
            </w:r>
            <w:r>
              <w:rPr>
                <w:spacing w:val="8"/>
                <w:sz w:val="20"/>
              </w:rPr>
              <w:t> </w:t>
            </w:r>
            <w:r>
              <w:rPr>
                <w:spacing w:val="-2"/>
                <w:sz w:val="20"/>
              </w:rPr>
              <w:t>Administración</w:t>
            </w:r>
            <w:r>
              <w:rPr>
                <w:spacing w:val="7"/>
                <w:sz w:val="20"/>
              </w:rPr>
              <w:t> </w:t>
            </w:r>
            <w:r>
              <w:rPr>
                <w:spacing w:val="-2"/>
                <w:sz w:val="20"/>
              </w:rPr>
              <w:t>Financiera</w:t>
            </w:r>
          </w:p>
        </w:tc>
      </w:tr>
      <w:tr>
        <w:trPr>
          <w:trHeight w:val="628" w:hRule="atLeast"/>
        </w:trPr>
        <w:tc>
          <w:tcPr>
            <w:tcW w:w="2976" w:type="dxa"/>
            <w:shd w:val="clear" w:color="auto" w:fill="DCE6F0"/>
          </w:tcPr>
          <w:p>
            <w:pPr>
              <w:pStyle w:val="TableParagraph"/>
              <w:spacing w:before="198"/>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6" w:type="dxa"/>
          </w:tcPr>
          <w:p>
            <w:pPr>
              <w:pStyle w:val="TableParagraph"/>
              <w:spacing w:before="198"/>
              <w:ind w:left="70"/>
              <w:rPr>
                <w:sz w:val="20"/>
              </w:rPr>
            </w:pPr>
            <w:r>
              <w:rPr>
                <w:sz w:val="20"/>
              </w:rPr>
              <w:t>SICOP,</w:t>
            </w:r>
            <w:r>
              <w:rPr>
                <w:spacing w:val="-10"/>
                <w:sz w:val="20"/>
              </w:rPr>
              <w:t> </w:t>
            </w:r>
            <w:r>
              <w:rPr>
                <w:sz w:val="20"/>
              </w:rPr>
              <w:t>documentos</w:t>
            </w:r>
            <w:r>
              <w:rPr>
                <w:spacing w:val="-10"/>
                <w:sz w:val="20"/>
              </w:rPr>
              <w:t> </w:t>
            </w:r>
            <w:r>
              <w:rPr>
                <w:spacing w:val="-2"/>
                <w:sz w:val="20"/>
              </w:rPr>
              <w:t>respaldo.</w:t>
            </w:r>
          </w:p>
        </w:tc>
      </w:tr>
      <w:tr>
        <w:trPr>
          <w:trHeight w:val="810" w:hRule="atLeast"/>
        </w:trPr>
        <w:tc>
          <w:tcPr>
            <w:tcW w:w="2976" w:type="dxa"/>
            <w:shd w:val="clear" w:color="auto" w:fill="DCE6F0"/>
          </w:tcPr>
          <w:p>
            <w:pPr>
              <w:pStyle w:val="TableParagraph"/>
              <w:spacing w:before="59"/>
              <w:rPr>
                <w:b/>
                <w:sz w:val="20"/>
              </w:rPr>
            </w:pPr>
          </w:p>
          <w:p>
            <w:pPr>
              <w:pStyle w:val="TableParagraph"/>
              <w:spacing w:before="1"/>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6" w:type="dxa"/>
          </w:tcPr>
          <w:p>
            <w:pPr>
              <w:pStyle w:val="TableParagraph"/>
              <w:spacing w:before="174"/>
              <w:ind w:left="70" w:right="170"/>
              <w:rPr>
                <w:sz w:val="20"/>
              </w:rPr>
            </w:pPr>
            <w:r>
              <w:rPr>
                <w:sz w:val="20"/>
              </w:rPr>
              <w:t>Documentos</w:t>
            </w:r>
            <w:r>
              <w:rPr>
                <w:spacing w:val="-4"/>
                <w:sz w:val="20"/>
              </w:rPr>
              <w:t> </w:t>
            </w:r>
            <w:r>
              <w:rPr>
                <w:sz w:val="20"/>
              </w:rPr>
              <w:t>de</w:t>
            </w:r>
            <w:r>
              <w:rPr>
                <w:spacing w:val="-5"/>
                <w:sz w:val="20"/>
              </w:rPr>
              <w:t> </w:t>
            </w:r>
            <w:r>
              <w:rPr>
                <w:sz w:val="20"/>
              </w:rPr>
              <w:t>fiscalización,</w:t>
            </w:r>
            <w:r>
              <w:rPr>
                <w:spacing w:val="-5"/>
                <w:sz w:val="20"/>
              </w:rPr>
              <w:t> </w:t>
            </w:r>
            <w:r>
              <w:rPr>
                <w:sz w:val="20"/>
              </w:rPr>
              <w:t>ordenes</w:t>
            </w:r>
            <w:r>
              <w:rPr>
                <w:spacing w:val="-4"/>
                <w:sz w:val="20"/>
              </w:rPr>
              <w:t> </w:t>
            </w:r>
            <w:r>
              <w:rPr>
                <w:sz w:val="20"/>
              </w:rPr>
              <w:t>de</w:t>
            </w:r>
            <w:r>
              <w:rPr>
                <w:spacing w:val="-5"/>
                <w:sz w:val="20"/>
              </w:rPr>
              <w:t> </w:t>
            </w:r>
            <w:r>
              <w:rPr>
                <w:sz w:val="20"/>
              </w:rPr>
              <w:t>servicio</w:t>
            </w:r>
            <w:r>
              <w:rPr>
                <w:spacing w:val="-3"/>
                <w:sz w:val="20"/>
              </w:rPr>
              <w:t> </w:t>
            </w:r>
            <w:r>
              <w:rPr>
                <w:sz w:val="20"/>
              </w:rPr>
              <w:t>de</w:t>
            </w:r>
            <w:r>
              <w:rPr>
                <w:spacing w:val="-4"/>
                <w:sz w:val="20"/>
              </w:rPr>
              <w:t> </w:t>
            </w:r>
            <w:r>
              <w:rPr>
                <w:sz w:val="20"/>
              </w:rPr>
              <w:t>pago,</w:t>
            </w:r>
            <w:r>
              <w:rPr>
                <w:spacing w:val="-5"/>
                <w:sz w:val="20"/>
              </w:rPr>
              <w:t> </w:t>
            </w:r>
            <w:r>
              <w:rPr>
                <w:sz w:val="20"/>
              </w:rPr>
              <w:t>recepción</w:t>
            </w:r>
            <w:r>
              <w:rPr>
                <w:spacing w:val="-5"/>
                <w:sz w:val="20"/>
              </w:rPr>
              <w:t> </w:t>
            </w:r>
            <w:r>
              <w:rPr>
                <w:sz w:val="20"/>
              </w:rPr>
              <w:t>final</w:t>
            </w:r>
            <w:r>
              <w:rPr>
                <w:spacing w:val="-6"/>
                <w:sz w:val="20"/>
              </w:rPr>
              <w:t> </w:t>
            </w:r>
            <w:r>
              <w:rPr>
                <w:sz w:val="20"/>
              </w:rPr>
              <w:t>de</w:t>
            </w:r>
            <w:r>
              <w:rPr>
                <w:spacing w:val="-5"/>
                <w:sz w:val="20"/>
              </w:rPr>
              <w:t> </w:t>
            </w:r>
            <w:r>
              <w:rPr>
                <w:sz w:val="20"/>
              </w:rPr>
              <w:t>la </w:t>
            </w:r>
            <w:r>
              <w:rPr>
                <w:spacing w:val="-2"/>
                <w:sz w:val="20"/>
              </w:rPr>
              <w:t>obra.</w:t>
            </w:r>
          </w:p>
        </w:tc>
      </w:tr>
      <w:tr>
        <w:trPr>
          <w:trHeight w:val="698" w:hRule="atLeast"/>
        </w:trPr>
        <w:tc>
          <w:tcPr>
            <w:tcW w:w="2976" w:type="dxa"/>
            <w:shd w:val="clear" w:color="auto" w:fill="DCE6F0"/>
          </w:tcPr>
          <w:p>
            <w:pPr>
              <w:pStyle w:val="TableParagraph"/>
              <w:spacing w:before="2"/>
              <w:rPr>
                <w:b/>
                <w:sz w:val="20"/>
              </w:rPr>
            </w:pPr>
          </w:p>
          <w:p>
            <w:pPr>
              <w:pStyle w:val="TableParagraph"/>
              <w:ind w:left="67"/>
              <w:rPr>
                <w:b/>
                <w:sz w:val="20"/>
              </w:rPr>
            </w:pPr>
            <w:r>
              <w:rPr>
                <w:b/>
                <w:spacing w:val="-2"/>
                <w:sz w:val="20"/>
              </w:rPr>
              <w:t>Clasificación</w:t>
            </w:r>
          </w:p>
        </w:tc>
        <w:tc>
          <w:tcPr>
            <w:tcW w:w="7516" w:type="dxa"/>
          </w:tcPr>
          <w:p>
            <w:pPr>
              <w:pStyle w:val="TableParagraph"/>
              <w:spacing w:before="2"/>
              <w:rPr>
                <w:b/>
                <w:sz w:val="20"/>
              </w:rPr>
            </w:pPr>
          </w:p>
          <w:p>
            <w:pPr>
              <w:pStyle w:val="TableParagraph"/>
              <w:ind w:left="70"/>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1238" w:hRule="atLeast"/>
        </w:trPr>
        <w:tc>
          <w:tcPr>
            <w:tcW w:w="2976" w:type="dxa"/>
            <w:shd w:val="clear" w:color="auto" w:fill="DCE6F0"/>
          </w:tcPr>
          <w:p>
            <w:pPr>
              <w:pStyle w:val="TableParagraph"/>
              <w:rPr>
                <w:b/>
                <w:sz w:val="20"/>
              </w:rPr>
            </w:pPr>
          </w:p>
          <w:p>
            <w:pPr>
              <w:pStyle w:val="TableParagraph"/>
              <w:spacing w:before="43"/>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6" w:type="dxa"/>
          </w:tcPr>
          <w:p>
            <w:pPr>
              <w:pStyle w:val="TableParagraph"/>
              <w:rPr>
                <w:rFonts w:ascii="Times New Roman"/>
                <w:sz w:val="20"/>
              </w:rPr>
            </w:pPr>
          </w:p>
        </w:tc>
      </w:tr>
    </w:tbl>
    <w:p>
      <w:pPr>
        <w:spacing w:before="254"/>
        <w:ind w:left="840" w:right="0" w:firstLine="0"/>
        <w:jc w:val="left"/>
        <w:rPr>
          <w:b/>
          <w:sz w:val="24"/>
        </w:rPr>
      </w:pPr>
      <w:r>
        <w:rPr>
          <w:b/>
          <w:spacing w:val="-2"/>
          <w:sz w:val="24"/>
        </w:rPr>
        <w:t>Proveeduría</w:t>
      </w:r>
    </w:p>
    <w:p>
      <w:pPr>
        <w:pStyle w:val="BodyText"/>
        <w:spacing w:before="45" w:after="1"/>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6"/>
      </w:tblGrid>
      <w:tr>
        <w:trPr>
          <w:trHeight w:val="952" w:hRule="atLeast"/>
        </w:trPr>
        <w:tc>
          <w:tcPr>
            <w:tcW w:w="2976" w:type="dxa"/>
            <w:shd w:val="clear" w:color="auto" w:fill="DBE4F0"/>
          </w:tcPr>
          <w:p>
            <w:pPr>
              <w:pStyle w:val="TableParagraph"/>
              <w:spacing w:before="131"/>
              <w:rPr>
                <w:b/>
                <w:sz w:val="20"/>
              </w:rPr>
            </w:pPr>
          </w:p>
          <w:p>
            <w:pPr>
              <w:pStyle w:val="TableParagraph"/>
              <w:spacing w:before="1"/>
              <w:ind w:left="67"/>
              <w:rPr>
                <w:b/>
                <w:sz w:val="20"/>
              </w:rPr>
            </w:pPr>
            <w:r>
              <w:rPr>
                <w:b/>
                <w:sz w:val="20"/>
              </w:rPr>
              <w:t>PAC</w:t>
            </w:r>
            <w:r>
              <w:rPr>
                <w:b/>
                <w:spacing w:val="-8"/>
                <w:sz w:val="20"/>
              </w:rPr>
              <w:t> </w:t>
            </w:r>
            <w:r>
              <w:rPr>
                <w:b/>
                <w:spacing w:val="-2"/>
                <w:sz w:val="20"/>
              </w:rPr>
              <w:t>2.6.1</w:t>
            </w:r>
          </w:p>
        </w:tc>
        <w:tc>
          <w:tcPr>
            <w:tcW w:w="7516" w:type="dxa"/>
          </w:tcPr>
          <w:p>
            <w:pPr>
              <w:pStyle w:val="TableParagraph"/>
              <w:spacing w:before="131"/>
              <w:rPr>
                <w:b/>
                <w:sz w:val="20"/>
              </w:rPr>
            </w:pPr>
          </w:p>
          <w:p>
            <w:pPr>
              <w:pStyle w:val="TableParagraph"/>
              <w:spacing w:before="1"/>
              <w:ind w:left="70"/>
              <w:rPr>
                <w:sz w:val="20"/>
              </w:rPr>
            </w:pPr>
            <w:r>
              <w:rPr>
                <w:sz w:val="20"/>
              </w:rPr>
              <w:t>Nombre</w:t>
            </w:r>
            <w:r>
              <w:rPr>
                <w:spacing w:val="-7"/>
                <w:sz w:val="20"/>
              </w:rPr>
              <w:t> </w:t>
            </w:r>
            <w:r>
              <w:rPr>
                <w:sz w:val="20"/>
              </w:rPr>
              <w:t>del</w:t>
            </w:r>
            <w:r>
              <w:rPr>
                <w:spacing w:val="-10"/>
                <w:sz w:val="20"/>
              </w:rPr>
              <w:t> </w:t>
            </w:r>
            <w:r>
              <w:rPr>
                <w:sz w:val="20"/>
              </w:rPr>
              <w:t>indicador:</w:t>
            </w:r>
            <w:r>
              <w:rPr>
                <w:spacing w:val="-5"/>
                <w:sz w:val="20"/>
              </w:rPr>
              <w:t> </w:t>
            </w:r>
            <w:r>
              <w:rPr>
                <w:sz w:val="20"/>
              </w:rPr>
              <w:t>Porcentaje</w:t>
            </w:r>
            <w:r>
              <w:rPr>
                <w:spacing w:val="-7"/>
                <w:sz w:val="20"/>
              </w:rPr>
              <w:t> </w:t>
            </w:r>
            <w:r>
              <w:rPr>
                <w:sz w:val="20"/>
              </w:rPr>
              <w:t>de</w:t>
            </w:r>
            <w:r>
              <w:rPr>
                <w:spacing w:val="-9"/>
                <w:sz w:val="20"/>
              </w:rPr>
              <w:t> </w:t>
            </w:r>
            <w:r>
              <w:rPr>
                <w:sz w:val="20"/>
              </w:rPr>
              <w:t>activos</w:t>
            </w:r>
            <w:r>
              <w:rPr>
                <w:spacing w:val="-8"/>
                <w:sz w:val="20"/>
              </w:rPr>
              <w:t> </w:t>
            </w:r>
            <w:r>
              <w:rPr>
                <w:spacing w:val="-2"/>
                <w:sz w:val="20"/>
              </w:rPr>
              <w:t>asegurados</w:t>
            </w:r>
          </w:p>
        </w:tc>
      </w:tr>
      <w:tr>
        <w:trPr>
          <w:trHeight w:val="302" w:hRule="atLeast"/>
        </w:trPr>
        <w:tc>
          <w:tcPr>
            <w:tcW w:w="2976" w:type="dxa"/>
            <w:shd w:val="clear" w:color="auto" w:fill="DBE4F0"/>
          </w:tcPr>
          <w:p>
            <w:pPr>
              <w:pStyle w:val="TableParagraph"/>
              <w:spacing w:before="35"/>
              <w:ind w:left="67"/>
              <w:rPr>
                <w:b/>
                <w:sz w:val="20"/>
              </w:rPr>
            </w:pPr>
            <w:r>
              <w:rPr>
                <w:b/>
                <w:sz w:val="20"/>
              </w:rPr>
              <w:t>Programa</w:t>
            </w:r>
            <w:r>
              <w:rPr>
                <w:b/>
                <w:spacing w:val="-14"/>
                <w:sz w:val="20"/>
              </w:rPr>
              <w:t> </w:t>
            </w:r>
            <w:r>
              <w:rPr>
                <w:b/>
                <w:spacing w:val="-2"/>
                <w:sz w:val="20"/>
              </w:rPr>
              <w:t>institucional:</w:t>
            </w:r>
          </w:p>
        </w:tc>
        <w:tc>
          <w:tcPr>
            <w:tcW w:w="7516" w:type="dxa"/>
          </w:tcPr>
          <w:p>
            <w:pPr>
              <w:pStyle w:val="TableParagraph"/>
              <w:spacing w:before="35"/>
              <w:ind w:left="70"/>
              <w:rPr>
                <w:sz w:val="20"/>
              </w:rPr>
            </w:pPr>
            <w:r>
              <w:rPr>
                <w:sz w:val="20"/>
              </w:rPr>
              <w:t>Actividades</w:t>
            </w:r>
            <w:r>
              <w:rPr>
                <w:spacing w:val="-14"/>
                <w:sz w:val="20"/>
              </w:rPr>
              <w:t> </w:t>
            </w:r>
            <w:r>
              <w:rPr>
                <w:spacing w:val="-2"/>
                <w:sz w:val="20"/>
              </w:rPr>
              <w:t>Centrales</w:t>
            </w:r>
          </w:p>
        </w:tc>
      </w:tr>
      <w:tr>
        <w:trPr>
          <w:trHeight w:val="299" w:hRule="atLeast"/>
        </w:trPr>
        <w:tc>
          <w:tcPr>
            <w:tcW w:w="2976" w:type="dxa"/>
            <w:shd w:val="clear" w:color="auto" w:fill="DBE4F0"/>
          </w:tcPr>
          <w:p>
            <w:pPr>
              <w:pStyle w:val="TableParagraph"/>
              <w:spacing w:before="33"/>
              <w:ind w:left="67"/>
              <w:rPr>
                <w:b/>
                <w:sz w:val="20"/>
              </w:rPr>
            </w:pPr>
            <w:r>
              <w:rPr>
                <w:b/>
                <w:sz w:val="20"/>
              </w:rPr>
              <w:t>Órgano</w:t>
            </w:r>
            <w:r>
              <w:rPr>
                <w:b/>
                <w:spacing w:val="-9"/>
                <w:sz w:val="20"/>
              </w:rPr>
              <w:t> </w:t>
            </w:r>
            <w:r>
              <w:rPr>
                <w:b/>
                <w:spacing w:val="-2"/>
                <w:sz w:val="20"/>
              </w:rPr>
              <w:t>administrativo:</w:t>
            </w:r>
          </w:p>
        </w:tc>
        <w:tc>
          <w:tcPr>
            <w:tcW w:w="7516" w:type="dxa"/>
          </w:tcPr>
          <w:p>
            <w:pPr>
              <w:pStyle w:val="TableParagraph"/>
              <w:spacing w:before="33"/>
              <w:ind w:left="70"/>
              <w:rPr>
                <w:sz w:val="20"/>
              </w:rPr>
            </w:pPr>
            <w:r>
              <w:rPr>
                <w:sz w:val="20"/>
              </w:rPr>
              <w:t>Departamento</w:t>
            </w:r>
            <w:r>
              <w:rPr>
                <w:spacing w:val="-12"/>
                <w:sz w:val="20"/>
              </w:rPr>
              <w:t> </w:t>
            </w:r>
            <w:r>
              <w:rPr>
                <w:sz w:val="20"/>
              </w:rPr>
              <w:t>de</w:t>
            </w:r>
            <w:r>
              <w:rPr>
                <w:spacing w:val="-12"/>
                <w:sz w:val="20"/>
              </w:rPr>
              <w:t> </w:t>
            </w:r>
            <w:r>
              <w:rPr>
                <w:sz w:val="20"/>
              </w:rPr>
              <w:t>Proveeduría</w:t>
            </w:r>
            <w:r>
              <w:rPr>
                <w:spacing w:val="-13"/>
                <w:sz w:val="20"/>
              </w:rPr>
              <w:t> </w:t>
            </w:r>
            <w:r>
              <w:rPr>
                <w:spacing w:val="-2"/>
                <w:sz w:val="20"/>
              </w:rPr>
              <w:t>Institucional</w:t>
            </w:r>
          </w:p>
        </w:tc>
      </w:tr>
      <w:tr>
        <w:trPr>
          <w:trHeight w:val="299" w:hRule="atLeast"/>
        </w:trPr>
        <w:tc>
          <w:tcPr>
            <w:tcW w:w="2976" w:type="dxa"/>
            <w:shd w:val="clear" w:color="auto" w:fill="DBE4F0"/>
          </w:tcPr>
          <w:p>
            <w:pPr>
              <w:pStyle w:val="TableParagraph"/>
              <w:spacing w:before="33"/>
              <w:ind w:left="67"/>
              <w:rPr>
                <w:b/>
                <w:sz w:val="20"/>
              </w:rPr>
            </w:pPr>
            <w:r>
              <w:rPr>
                <w:b/>
                <w:spacing w:val="-4"/>
                <w:sz w:val="20"/>
              </w:rPr>
              <w:t>Meta</w:t>
            </w:r>
          </w:p>
        </w:tc>
        <w:tc>
          <w:tcPr>
            <w:tcW w:w="7516" w:type="dxa"/>
          </w:tcPr>
          <w:p>
            <w:pPr>
              <w:pStyle w:val="TableParagraph"/>
              <w:spacing w:before="33"/>
              <w:ind w:left="70"/>
              <w:rPr>
                <w:sz w:val="20"/>
              </w:rPr>
            </w:pPr>
            <w:r>
              <w:rPr>
                <w:sz w:val="20"/>
              </w:rPr>
              <w:t>100%</w:t>
            </w:r>
            <w:r>
              <w:rPr>
                <w:spacing w:val="-6"/>
                <w:sz w:val="20"/>
              </w:rPr>
              <w:t> </w:t>
            </w:r>
            <w:r>
              <w:rPr>
                <w:sz w:val="20"/>
              </w:rPr>
              <w:t>de</w:t>
            </w:r>
            <w:r>
              <w:rPr>
                <w:spacing w:val="-7"/>
                <w:sz w:val="20"/>
              </w:rPr>
              <w:t> </w:t>
            </w:r>
            <w:r>
              <w:rPr>
                <w:sz w:val="20"/>
              </w:rPr>
              <w:t>activos</w:t>
            </w:r>
            <w:r>
              <w:rPr>
                <w:spacing w:val="-6"/>
                <w:sz w:val="20"/>
              </w:rPr>
              <w:t> </w:t>
            </w:r>
            <w:r>
              <w:rPr>
                <w:spacing w:val="-2"/>
                <w:sz w:val="20"/>
              </w:rPr>
              <w:t>asegurados</w:t>
            </w:r>
          </w:p>
        </w:tc>
      </w:tr>
      <w:tr>
        <w:trPr>
          <w:trHeight w:val="299" w:hRule="atLeast"/>
        </w:trPr>
        <w:tc>
          <w:tcPr>
            <w:tcW w:w="2976" w:type="dxa"/>
            <w:shd w:val="clear" w:color="auto" w:fill="DBE4F0"/>
          </w:tcPr>
          <w:p>
            <w:pPr>
              <w:pStyle w:val="TableParagraph"/>
              <w:spacing w:before="35"/>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6" w:type="dxa"/>
          </w:tcPr>
          <w:p>
            <w:pPr>
              <w:pStyle w:val="TableParagraph"/>
              <w:spacing w:before="35"/>
              <w:ind w:left="70"/>
              <w:rPr>
                <w:sz w:val="20"/>
              </w:rPr>
            </w:pPr>
            <w:r>
              <w:rPr>
                <w:spacing w:val="-2"/>
                <w:sz w:val="20"/>
              </w:rPr>
              <w:t>Porcentaje</w:t>
            </w:r>
          </w:p>
        </w:tc>
      </w:tr>
      <w:tr>
        <w:trPr>
          <w:trHeight w:val="299" w:hRule="atLeast"/>
        </w:trPr>
        <w:tc>
          <w:tcPr>
            <w:tcW w:w="2976" w:type="dxa"/>
            <w:shd w:val="clear" w:color="auto" w:fill="DBE4F0"/>
          </w:tcPr>
          <w:p>
            <w:pPr>
              <w:pStyle w:val="TableParagraph"/>
              <w:spacing w:before="35"/>
              <w:ind w:left="67"/>
              <w:rPr>
                <w:b/>
                <w:sz w:val="20"/>
              </w:rPr>
            </w:pPr>
            <w:r>
              <w:rPr>
                <w:b/>
                <w:spacing w:val="-2"/>
                <w:sz w:val="20"/>
              </w:rPr>
              <w:t>Periodicidad</w:t>
            </w:r>
          </w:p>
        </w:tc>
        <w:tc>
          <w:tcPr>
            <w:tcW w:w="7516" w:type="dxa"/>
          </w:tcPr>
          <w:p>
            <w:pPr>
              <w:pStyle w:val="TableParagraph"/>
              <w:spacing w:before="35"/>
              <w:ind w:left="70"/>
              <w:rPr>
                <w:sz w:val="20"/>
              </w:rPr>
            </w:pPr>
            <w:r>
              <w:rPr>
                <w:sz w:val="20"/>
              </w:rPr>
              <w:t>Semestral</w:t>
            </w:r>
            <w:r>
              <w:rPr>
                <w:spacing w:val="-10"/>
                <w:sz w:val="20"/>
              </w:rPr>
              <w:t> </w:t>
            </w:r>
            <w:r>
              <w:rPr>
                <w:sz w:val="20"/>
              </w:rPr>
              <w:t>y</w:t>
            </w:r>
            <w:r>
              <w:rPr>
                <w:spacing w:val="-5"/>
                <w:sz w:val="20"/>
              </w:rPr>
              <w:t> </w:t>
            </w:r>
            <w:r>
              <w:rPr>
                <w:spacing w:val="-2"/>
                <w:sz w:val="20"/>
              </w:rPr>
              <w:t>anual</w:t>
            </w:r>
          </w:p>
        </w:tc>
      </w:tr>
      <w:tr>
        <w:trPr>
          <w:trHeight w:val="511" w:hRule="atLeast"/>
        </w:trPr>
        <w:tc>
          <w:tcPr>
            <w:tcW w:w="2976" w:type="dxa"/>
            <w:shd w:val="clear" w:color="auto" w:fill="DBE4F0"/>
          </w:tcPr>
          <w:p>
            <w:pPr>
              <w:pStyle w:val="TableParagraph"/>
              <w:spacing w:before="141"/>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6" w:type="dxa"/>
          </w:tcPr>
          <w:p>
            <w:pPr>
              <w:pStyle w:val="TableParagraph"/>
              <w:spacing w:before="26"/>
              <w:ind w:left="70"/>
              <w:rPr>
                <w:sz w:val="20"/>
              </w:rPr>
            </w:pPr>
            <w:r>
              <w:rPr>
                <w:sz w:val="20"/>
              </w:rPr>
              <w:t>(Cantidad</w:t>
            </w:r>
            <w:r>
              <w:rPr>
                <w:spacing w:val="-5"/>
                <w:sz w:val="20"/>
              </w:rPr>
              <w:t> </w:t>
            </w:r>
            <w:r>
              <w:rPr>
                <w:sz w:val="20"/>
              </w:rPr>
              <w:t>de</w:t>
            </w:r>
            <w:r>
              <w:rPr>
                <w:spacing w:val="-5"/>
                <w:sz w:val="20"/>
              </w:rPr>
              <w:t> </w:t>
            </w:r>
            <w:r>
              <w:rPr>
                <w:sz w:val="20"/>
              </w:rPr>
              <w:t>activos</w:t>
            </w:r>
            <w:r>
              <w:rPr>
                <w:spacing w:val="-4"/>
                <w:sz w:val="20"/>
              </w:rPr>
              <w:t> </w:t>
            </w:r>
            <w:r>
              <w:rPr>
                <w:sz w:val="20"/>
              </w:rPr>
              <w:t>institucionales/</w:t>
            </w:r>
            <w:r>
              <w:rPr>
                <w:spacing w:val="-6"/>
                <w:sz w:val="20"/>
              </w:rPr>
              <w:t> </w:t>
            </w:r>
            <w:r>
              <w:rPr>
                <w:sz w:val="20"/>
              </w:rPr>
              <w:t>Cantidad</w:t>
            </w:r>
            <w:r>
              <w:rPr>
                <w:spacing w:val="-6"/>
                <w:sz w:val="20"/>
              </w:rPr>
              <w:t> </w:t>
            </w:r>
            <w:r>
              <w:rPr>
                <w:sz w:val="20"/>
              </w:rPr>
              <w:t>de</w:t>
            </w:r>
            <w:r>
              <w:rPr>
                <w:spacing w:val="-6"/>
                <w:sz w:val="20"/>
              </w:rPr>
              <w:t> </w:t>
            </w:r>
            <w:r>
              <w:rPr>
                <w:sz w:val="20"/>
              </w:rPr>
              <w:t>activos</w:t>
            </w:r>
            <w:r>
              <w:rPr>
                <w:spacing w:val="-5"/>
                <w:sz w:val="20"/>
              </w:rPr>
              <w:t> </w:t>
            </w:r>
            <w:r>
              <w:rPr>
                <w:sz w:val="20"/>
              </w:rPr>
              <w:t>institucionales</w:t>
            </w:r>
            <w:r>
              <w:rPr>
                <w:spacing w:val="-5"/>
                <w:sz w:val="20"/>
              </w:rPr>
              <w:t> </w:t>
            </w:r>
            <w:r>
              <w:rPr>
                <w:sz w:val="20"/>
              </w:rPr>
              <w:t>con</w:t>
            </w:r>
            <w:r>
              <w:rPr>
                <w:spacing w:val="-5"/>
                <w:sz w:val="20"/>
              </w:rPr>
              <w:t> </w:t>
            </w:r>
            <w:r>
              <w:rPr>
                <w:sz w:val="20"/>
              </w:rPr>
              <w:t>pólizas activas) * 100</w:t>
            </w:r>
          </w:p>
        </w:tc>
      </w:tr>
      <w:tr>
        <w:trPr>
          <w:trHeight w:val="299" w:hRule="atLeast"/>
        </w:trPr>
        <w:tc>
          <w:tcPr>
            <w:tcW w:w="2976" w:type="dxa"/>
            <w:vMerge w:val="restart"/>
            <w:shd w:val="clear" w:color="auto" w:fill="DBE4F0"/>
          </w:tcPr>
          <w:p>
            <w:pPr>
              <w:pStyle w:val="TableParagraph"/>
              <w:spacing w:before="189"/>
              <w:ind w:left="67"/>
              <w:rPr>
                <w:b/>
                <w:sz w:val="20"/>
              </w:rPr>
            </w:pPr>
            <w:r>
              <w:rPr>
                <w:b/>
                <w:spacing w:val="-2"/>
                <w:sz w:val="20"/>
              </w:rPr>
              <w:t>Fuente</w:t>
            </w:r>
          </w:p>
        </w:tc>
        <w:tc>
          <w:tcPr>
            <w:tcW w:w="7516" w:type="dxa"/>
          </w:tcPr>
          <w:p>
            <w:pPr>
              <w:pStyle w:val="TableParagraph"/>
              <w:spacing w:before="35"/>
              <w:ind w:left="70"/>
              <w:rPr>
                <w:sz w:val="20"/>
              </w:rPr>
            </w:pPr>
            <w:r>
              <w:rPr>
                <w:sz w:val="20"/>
              </w:rPr>
              <w:t>Fuente:</w:t>
            </w:r>
            <w:r>
              <w:rPr>
                <w:spacing w:val="-10"/>
                <w:sz w:val="20"/>
              </w:rPr>
              <w:t> </w:t>
            </w:r>
            <w:r>
              <w:rPr>
                <w:sz w:val="20"/>
              </w:rPr>
              <w:t>Informe</w:t>
            </w:r>
            <w:r>
              <w:rPr>
                <w:spacing w:val="-7"/>
                <w:sz w:val="20"/>
              </w:rPr>
              <w:t> </w:t>
            </w:r>
            <w:r>
              <w:rPr>
                <w:sz w:val="20"/>
              </w:rPr>
              <w:t>de</w:t>
            </w:r>
            <w:r>
              <w:rPr>
                <w:spacing w:val="-9"/>
                <w:sz w:val="20"/>
              </w:rPr>
              <w:t> </w:t>
            </w:r>
            <w:r>
              <w:rPr>
                <w:sz w:val="20"/>
              </w:rPr>
              <w:t>aseguramiento</w:t>
            </w:r>
            <w:r>
              <w:rPr>
                <w:spacing w:val="-7"/>
                <w:sz w:val="20"/>
              </w:rPr>
              <w:t> </w:t>
            </w:r>
            <w:r>
              <w:rPr>
                <w:sz w:val="20"/>
              </w:rPr>
              <w:t>de</w:t>
            </w:r>
            <w:r>
              <w:rPr>
                <w:spacing w:val="-9"/>
                <w:sz w:val="20"/>
              </w:rPr>
              <w:t> </w:t>
            </w:r>
            <w:r>
              <w:rPr>
                <w:spacing w:val="-2"/>
                <w:sz w:val="20"/>
              </w:rPr>
              <w:t>activos</w:t>
            </w:r>
          </w:p>
        </w:tc>
      </w:tr>
      <w:tr>
        <w:trPr>
          <w:trHeight w:val="299" w:hRule="atLeast"/>
        </w:trPr>
        <w:tc>
          <w:tcPr>
            <w:tcW w:w="2976" w:type="dxa"/>
            <w:vMerge/>
            <w:tcBorders>
              <w:top w:val="nil"/>
            </w:tcBorders>
            <w:shd w:val="clear" w:color="auto" w:fill="DBE4F0"/>
          </w:tcPr>
          <w:p>
            <w:pPr>
              <w:rPr>
                <w:sz w:val="2"/>
                <w:szCs w:val="2"/>
              </w:rPr>
            </w:pPr>
          </w:p>
        </w:tc>
        <w:tc>
          <w:tcPr>
            <w:tcW w:w="7516" w:type="dxa"/>
          </w:tcPr>
          <w:p>
            <w:pPr>
              <w:pStyle w:val="TableParagraph"/>
              <w:spacing w:before="35"/>
              <w:ind w:left="70"/>
              <w:rPr>
                <w:sz w:val="20"/>
              </w:rPr>
            </w:pPr>
            <w:r>
              <w:rPr>
                <w:sz w:val="20"/>
              </w:rPr>
              <w:t>Tipo</w:t>
            </w:r>
            <w:r>
              <w:rPr>
                <w:spacing w:val="-6"/>
                <w:sz w:val="20"/>
              </w:rPr>
              <w:t> </w:t>
            </w:r>
            <w:r>
              <w:rPr>
                <w:sz w:val="20"/>
              </w:rPr>
              <w:t>de</w:t>
            </w:r>
            <w:r>
              <w:rPr>
                <w:spacing w:val="-7"/>
                <w:sz w:val="20"/>
              </w:rPr>
              <w:t> </w:t>
            </w:r>
            <w:r>
              <w:rPr>
                <w:sz w:val="20"/>
              </w:rPr>
              <w:t>fuente:</w:t>
            </w:r>
            <w:r>
              <w:rPr>
                <w:spacing w:val="-5"/>
                <w:sz w:val="20"/>
              </w:rPr>
              <w:t> </w:t>
            </w:r>
            <w:r>
              <w:rPr>
                <w:spacing w:val="-2"/>
                <w:sz w:val="20"/>
              </w:rPr>
              <w:t>Primaria</w:t>
            </w:r>
          </w:p>
        </w:tc>
      </w:tr>
    </w:tbl>
    <w:p>
      <w:pPr>
        <w:pStyle w:val="TableParagraph"/>
        <w:spacing w:after="0"/>
        <w:rPr>
          <w:sz w:val="20"/>
        </w:rPr>
        <w:sectPr>
          <w:type w:val="continuous"/>
          <w:pgSz w:w="12240" w:h="15840"/>
          <w:pgMar w:header="0" w:footer="2082" w:top="1400" w:bottom="260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6"/>
      </w:tblGrid>
      <w:tr>
        <w:trPr>
          <w:trHeight w:val="300" w:hRule="atLeast"/>
        </w:trPr>
        <w:tc>
          <w:tcPr>
            <w:tcW w:w="2976" w:type="dxa"/>
            <w:vMerge w:val="restart"/>
            <w:shd w:val="clear" w:color="auto" w:fill="DBE4F0"/>
          </w:tcPr>
          <w:p>
            <w:pPr>
              <w:pStyle w:val="TableParagraph"/>
              <w:spacing w:before="189"/>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6" w:type="dxa"/>
          </w:tcPr>
          <w:p>
            <w:pPr>
              <w:pStyle w:val="TableParagraph"/>
              <w:spacing w:before="33"/>
              <w:ind w:left="70"/>
              <w:rPr>
                <w:sz w:val="20"/>
              </w:rPr>
            </w:pPr>
            <w:r>
              <w:rPr>
                <w:sz w:val="20"/>
              </w:rPr>
              <w:t>1.</w:t>
            </w:r>
            <w:r>
              <w:rPr>
                <w:spacing w:val="-5"/>
                <w:sz w:val="20"/>
              </w:rPr>
              <w:t> </w:t>
            </w:r>
            <w:r>
              <w:rPr>
                <w:sz w:val="20"/>
              </w:rPr>
              <w:t>Informes</w:t>
            </w:r>
            <w:r>
              <w:rPr>
                <w:spacing w:val="-3"/>
                <w:sz w:val="20"/>
              </w:rPr>
              <w:t> </w:t>
            </w:r>
            <w:r>
              <w:rPr>
                <w:sz w:val="20"/>
              </w:rPr>
              <w:t>de</w:t>
            </w:r>
            <w:r>
              <w:rPr>
                <w:spacing w:val="-4"/>
                <w:sz w:val="20"/>
              </w:rPr>
              <w:t> </w:t>
            </w:r>
            <w:r>
              <w:rPr>
                <w:spacing w:val="-2"/>
                <w:sz w:val="20"/>
              </w:rPr>
              <w:t>aseguramiento.</w:t>
            </w:r>
          </w:p>
        </w:tc>
      </w:tr>
      <w:tr>
        <w:trPr>
          <w:trHeight w:val="299" w:hRule="atLeast"/>
        </w:trPr>
        <w:tc>
          <w:tcPr>
            <w:tcW w:w="2976" w:type="dxa"/>
            <w:vMerge/>
            <w:tcBorders>
              <w:top w:val="nil"/>
            </w:tcBorders>
            <w:shd w:val="clear" w:color="auto" w:fill="DBE4F0"/>
          </w:tcPr>
          <w:p>
            <w:pPr>
              <w:rPr>
                <w:sz w:val="2"/>
                <w:szCs w:val="2"/>
              </w:rPr>
            </w:pPr>
          </w:p>
        </w:tc>
        <w:tc>
          <w:tcPr>
            <w:tcW w:w="7516" w:type="dxa"/>
          </w:tcPr>
          <w:p>
            <w:pPr>
              <w:pStyle w:val="TableParagraph"/>
              <w:spacing w:before="35"/>
              <w:ind w:left="70"/>
              <w:rPr>
                <w:sz w:val="20"/>
              </w:rPr>
            </w:pPr>
            <w:r>
              <w:rPr>
                <w:sz w:val="20"/>
              </w:rPr>
              <w:t>2.</w:t>
            </w:r>
            <w:r>
              <w:rPr>
                <w:spacing w:val="-7"/>
                <w:sz w:val="20"/>
              </w:rPr>
              <w:t> </w:t>
            </w:r>
            <w:r>
              <w:rPr>
                <w:sz w:val="20"/>
              </w:rPr>
              <w:t>Comprobantes</w:t>
            </w:r>
            <w:r>
              <w:rPr>
                <w:spacing w:val="-5"/>
                <w:sz w:val="20"/>
              </w:rPr>
              <w:t> </w:t>
            </w:r>
            <w:r>
              <w:rPr>
                <w:sz w:val="20"/>
              </w:rPr>
              <w:t>de</w:t>
            </w:r>
            <w:r>
              <w:rPr>
                <w:spacing w:val="-5"/>
                <w:sz w:val="20"/>
              </w:rPr>
              <w:t> </w:t>
            </w:r>
            <w:r>
              <w:rPr>
                <w:sz w:val="20"/>
              </w:rPr>
              <w:t>pago</w:t>
            </w:r>
            <w:r>
              <w:rPr>
                <w:spacing w:val="-4"/>
                <w:sz w:val="20"/>
              </w:rPr>
              <w:t> </w:t>
            </w:r>
            <w:r>
              <w:rPr>
                <w:sz w:val="20"/>
              </w:rPr>
              <w:t>de</w:t>
            </w:r>
            <w:r>
              <w:rPr>
                <w:spacing w:val="-7"/>
                <w:sz w:val="20"/>
              </w:rPr>
              <w:t> </w:t>
            </w:r>
            <w:r>
              <w:rPr>
                <w:sz w:val="20"/>
              </w:rPr>
              <w:t>las</w:t>
            </w:r>
            <w:r>
              <w:rPr>
                <w:spacing w:val="-6"/>
                <w:sz w:val="20"/>
              </w:rPr>
              <w:t> </w:t>
            </w:r>
            <w:r>
              <w:rPr>
                <w:spacing w:val="-2"/>
                <w:sz w:val="20"/>
              </w:rPr>
              <w:t>pólizas.</w:t>
            </w:r>
          </w:p>
        </w:tc>
      </w:tr>
      <w:tr>
        <w:trPr>
          <w:trHeight w:val="1276" w:hRule="atLeast"/>
        </w:trPr>
        <w:tc>
          <w:tcPr>
            <w:tcW w:w="2976" w:type="dxa"/>
            <w:shd w:val="clear" w:color="auto" w:fill="DBE4F0"/>
          </w:tcPr>
          <w:p>
            <w:pPr>
              <w:pStyle w:val="TableParagraph"/>
              <w:rPr>
                <w:b/>
                <w:sz w:val="20"/>
              </w:rPr>
            </w:pPr>
          </w:p>
          <w:p>
            <w:pPr>
              <w:pStyle w:val="TableParagraph"/>
              <w:spacing w:before="62"/>
              <w:rPr>
                <w:b/>
                <w:sz w:val="20"/>
              </w:rPr>
            </w:pPr>
          </w:p>
          <w:p>
            <w:pPr>
              <w:pStyle w:val="TableParagraph"/>
              <w:ind w:left="67"/>
              <w:rPr>
                <w:b/>
                <w:sz w:val="20"/>
              </w:rPr>
            </w:pPr>
            <w:r>
              <w:rPr>
                <w:b/>
                <w:sz w:val="20"/>
              </w:rPr>
              <w:t>Definición</w:t>
            </w:r>
            <w:r>
              <w:rPr>
                <w:b/>
                <w:spacing w:val="-10"/>
                <w:sz w:val="20"/>
              </w:rPr>
              <w:t> </w:t>
            </w:r>
            <w:r>
              <w:rPr>
                <w:b/>
                <w:spacing w:val="-2"/>
                <w:sz w:val="20"/>
              </w:rPr>
              <w:t>conceptual</w:t>
            </w:r>
          </w:p>
        </w:tc>
        <w:tc>
          <w:tcPr>
            <w:tcW w:w="7516" w:type="dxa"/>
          </w:tcPr>
          <w:p>
            <w:pPr>
              <w:pStyle w:val="TableParagraph"/>
              <w:spacing w:before="62"/>
              <w:ind w:left="70" w:right="64"/>
              <w:jc w:val="both"/>
              <w:rPr>
                <w:sz w:val="20"/>
              </w:rPr>
            </w:pPr>
            <w:r>
              <w:rPr>
                <w:sz w:val="20"/>
              </w:rPr>
              <w:t>Se entenderá por activo asegurado</w:t>
            </w:r>
            <w:r>
              <w:rPr>
                <w:spacing w:val="-1"/>
                <w:sz w:val="20"/>
              </w:rPr>
              <w:t> </w:t>
            </w:r>
            <w:r>
              <w:rPr>
                <w:sz w:val="20"/>
              </w:rPr>
              <w:t>(recurso humano y bienes institucionales) todo recurso humano o bien institucional que se encuentre cubierto por una póliza de </w:t>
            </w:r>
            <w:r>
              <w:rPr>
                <w:spacing w:val="-2"/>
                <w:sz w:val="20"/>
              </w:rPr>
              <w:t>seguros</w:t>
            </w:r>
            <w:r>
              <w:rPr>
                <w:spacing w:val="-5"/>
                <w:sz w:val="20"/>
              </w:rPr>
              <w:t> </w:t>
            </w:r>
            <w:r>
              <w:rPr>
                <w:spacing w:val="-2"/>
                <w:sz w:val="20"/>
              </w:rPr>
              <w:t>vigente,</w:t>
            </w:r>
            <w:r>
              <w:rPr>
                <w:spacing w:val="-4"/>
                <w:sz w:val="20"/>
              </w:rPr>
              <w:t> </w:t>
            </w:r>
            <w:r>
              <w:rPr>
                <w:spacing w:val="-2"/>
                <w:sz w:val="20"/>
              </w:rPr>
              <w:t>derivada</w:t>
            </w:r>
            <w:r>
              <w:rPr>
                <w:spacing w:val="-5"/>
                <w:sz w:val="20"/>
              </w:rPr>
              <w:t> </w:t>
            </w:r>
            <w:r>
              <w:rPr>
                <w:spacing w:val="-2"/>
                <w:sz w:val="20"/>
              </w:rPr>
              <w:t>de</w:t>
            </w:r>
            <w:r>
              <w:rPr>
                <w:spacing w:val="-7"/>
                <w:sz w:val="20"/>
              </w:rPr>
              <w:t> </w:t>
            </w:r>
            <w:r>
              <w:rPr>
                <w:spacing w:val="-2"/>
                <w:sz w:val="20"/>
              </w:rPr>
              <w:t>un</w:t>
            </w:r>
            <w:r>
              <w:rPr>
                <w:spacing w:val="-5"/>
                <w:sz w:val="20"/>
              </w:rPr>
              <w:t> </w:t>
            </w:r>
            <w:r>
              <w:rPr>
                <w:spacing w:val="-2"/>
                <w:sz w:val="20"/>
              </w:rPr>
              <w:t>contrato</w:t>
            </w:r>
            <w:r>
              <w:rPr>
                <w:spacing w:val="-7"/>
                <w:sz w:val="20"/>
              </w:rPr>
              <w:t> </w:t>
            </w:r>
            <w:r>
              <w:rPr>
                <w:spacing w:val="-2"/>
                <w:sz w:val="20"/>
              </w:rPr>
              <w:t>celebrado</w:t>
            </w:r>
            <w:r>
              <w:rPr>
                <w:spacing w:val="-7"/>
                <w:sz w:val="20"/>
              </w:rPr>
              <w:t> </w:t>
            </w:r>
            <w:r>
              <w:rPr>
                <w:spacing w:val="-2"/>
                <w:sz w:val="20"/>
              </w:rPr>
              <w:t>entre</w:t>
            </w:r>
            <w:r>
              <w:rPr>
                <w:spacing w:val="-7"/>
                <w:sz w:val="20"/>
              </w:rPr>
              <w:t> </w:t>
            </w:r>
            <w:r>
              <w:rPr>
                <w:spacing w:val="-2"/>
                <w:sz w:val="20"/>
              </w:rPr>
              <w:t>el</w:t>
            </w:r>
            <w:r>
              <w:rPr>
                <w:spacing w:val="-7"/>
                <w:sz w:val="20"/>
              </w:rPr>
              <w:t> </w:t>
            </w:r>
            <w:r>
              <w:rPr>
                <w:spacing w:val="-2"/>
                <w:sz w:val="20"/>
              </w:rPr>
              <w:t>asegurado</w:t>
            </w:r>
            <w:r>
              <w:rPr>
                <w:spacing w:val="-7"/>
                <w:sz w:val="20"/>
              </w:rPr>
              <w:t> </w:t>
            </w:r>
            <w:r>
              <w:rPr>
                <w:spacing w:val="-2"/>
                <w:sz w:val="20"/>
              </w:rPr>
              <w:t>y una</w:t>
            </w:r>
            <w:r>
              <w:rPr>
                <w:spacing w:val="-7"/>
                <w:sz w:val="20"/>
              </w:rPr>
              <w:t> </w:t>
            </w:r>
            <w:r>
              <w:rPr>
                <w:spacing w:val="-2"/>
                <w:sz w:val="20"/>
              </w:rPr>
              <w:t>entidad </w:t>
            </w:r>
            <w:r>
              <w:rPr>
                <w:sz w:val="20"/>
              </w:rPr>
              <w:t>aseguradora, en el cual se definen las coberturas, condiciones, derechos y obligaciones de las partes.</w:t>
            </w:r>
          </w:p>
        </w:tc>
      </w:tr>
      <w:tr>
        <w:trPr>
          <w:trHeight w:val="2023" w:hRule="atLeast"/>
        </w:trPr>
        <w:tc>
          <w:tcPr>
            <w:tcW w:w="2976" w:type="dxa"/>
            <w:shd w:val="clear" w:color="auto" w:fill="DBE4F0"/>
          </w:tcPr>
          <w:p>
            <w:pPr>
              <w:pStyle w:val="TableParagraph"/>
              <w:rPr>
                <w:b/>
                <w:sz w:val="20"/>
              </w:rPr>
            </w:pPr>
          </w:p>
          <w:p>
            <w:pPr>
              <w:pStyle w:val="TableParagraph"/>
              <w:rPr>
                <w:b/>
                <w:sz w:val="20"/>
              </w:rPr>
            </w:pPr>
          </w:p>
          <w:p>
            <w:pPr>
              <w:pStyle w:val="TableParagraph"/>
              <w:spacing w:before="207"/>
              <w:rPr>
                <w:b/>
                <w:sz w:val="20"/>
              </w:rPr>
            </w:pPr>
          </w:p>
          <w:p>
            <w:pPr>
              <w:pStyle w:val="TableParagraph"/>
              <w:ind w:left="67"/>
              <w:rPr>
                <w:b/>
                <w:sz w:val="20"/>
              </w:rPr>
            </w:pPr>
            <w:r>
              <w:rPr>
                <w:b/>
                <w:spacing w:val="-2"/>
                <w:sz w:val="20"/>
              </w:rPr>
              <w:t>Interpretación</w:t>
            </w:r>
          </w:p>
        </w:tc>
        <w:tc>
          <w:tcPr>
            <w:tcW w:w="7516" w:type="dxa"/>
          </w:tcPr>
          <w:p>
            <w:pPr>
              <w:pStyle w:val="TableParagraph"/>
              <w:spacing w:before="91"/>
              <w:rPr>
                <w:b/>
                <w:sz w:val="20"/>
              </w:rPr>
            </w:pPr>
          </w:p>
          <w:p>
            <w:pPr>
              <w:pStyle w:val="TableParagraph"/>
              <w:ind w:left="70" w:right="59"/>
              <w:jc w:val="both"/>
              <w:rPr>
                <w:sz w:val="20"/>
              </w:rPr>
            </w:pPr>
            <w:r>
              <w:rPr>
                <w:sz w:val="20"/>
              </w:rPr>
              <w:t>Se</w:t>
            </w:r>
            <w:r>
              <w:rPr>
                <w:spacing w:val="-7"/>
                <w:sz w:val="20"/>
              </w:rPr>
              <w:t> </w:t>
            </w:r>
            <w:r>
              <w:rPr>
                <w:sz w:val="20"/>
              </w:rPr>
              <w:t>debe</w:t>
            </w:r>
            <w:r>
              <w:rPr>
                <w:spacing w:val="-7"/>
                <w:sz w:val="20"/>
              </w:rPr>
              <w:t> </w:t>
            </w:r>
            <w:r>
              <w:rPr>
                <w:sz w:val="20"/>
              </w:rPr>
              <w:t>tomar</w:t>
            </w:r>
            <w:r>
              <w:rPr>
                <w:spacing w:val="-6"/>
                <w:sz w:val="20"/>
              </w:rPr>
              <w:t> </w:t>
            </w:r>
            <w:r>
              <w:rPr>
                <w:sz w:val="20"/>
              </w:rPr>
              <w:t>en</w:t>
            </w:r>
            <w:r>
              <w:rPr>
                <w:spacing w:val="-7"/>
                <w:sz w:val="20"/>
              </w:rPr>
              <w:t> </w:t>
            </w:r>
            <w:r>
              <w:rPr>
                <w:sz w:val="20"/>
              </w:rPr>
              <w:t>cuenta</w:t>
            </w:r>
            <w:r>
              <w:rPr>
                <w:spacing w:val="-7"/>
                <w:sz w:val="20"/>
              </w:rPr>
              <w:t> </w:t>
            </w:r>
            <w:r>
              <w:rPr>
                <w:sz w:val="20"/>
              </w:rPr>
              <w:t>el</w:t>
            </w:r>
            <w:r>
              <w:rPr>
                <w:spacing w:val="-6"/>
                <w:sz w:val="20"/>
              </w:rPr>
              <w:t> </w:t>
            </w:r>
            <w:r>
              <w:rPr>
                <w:sz w:val="20"/>
              </w:rPr>
              <w:t>listado</w:t>
            </w:r>
            <w:r>
              <w:rPr>
                <w:spacing w:val="-7"/>
                <w:sz w:val="20"/>
              </w:rPr>
              <w:t> </w:t>
            </w:r>
            <w:r>
              <w:rPr>
                <w:sz w:val="20"/>
              </w:rPr>
              <w:t>de</w:t>
            </w:r>
            <w:r>
              <w:rPr>
                <w:spacing w:val="-7"/>
                <w:sz w:val="20"/>
              </w:rPr>
              <w:t> </w:t>
            </w:r>
            <w:r>
              <w:rPr>
                <w:sz w:val="20"/>
              </w:rPr>
              <w:t>activos</w:t>
            </w:r>
            <w:r>
              <w:rPr>
                <w:spacing w:val="-6"/>
                <w:sz w:val="20"/>
              </w:rPr>
              <w:t> </w:t>
            </w:r>
            <w:r>
              <w:rPr>
                <w:sz w:val="20"/>
              </w:rPr>
              <w:t>institucionales</w:t>
            </w:r>
            <w:r>
              <w:rPr>
                <w:spacing w:val="-6"/>
                <w:sz w:val="20"/>
              </w:rPr>
              <w:t> </w:t>
            </w:r>
            <w:r>
              <w:rPr>
                <w:sz w:val="20"/>
              </w:rPr>
              <w:t>que</w:t>
            </w:r>
            <w:r>
              <w:rPr>
                <w:spacing w:val="-7"/>
                <w:sz w:val="20"/>
              </w:rPr>
              <w:t> </w:t>
            </w:r>
            <w:r>
              <w:rPr>
                <w:sz w:val="20"/>
              </w:rPr>
              <w:t>posean</w:t>
            </w:r>
            <w:r>
              <w:rPr>
                <w:spacing w:val="-7"/>
                <w:sz w:val="20"/>
              </w:rPr>
              <w:t> </w:t>
            </w:r>
            <w:r>
              <w:rPr>
                <w:sz w:val="20"/>
              </w:rPr>
              <w:t>pólizas</w:t>
            </w:r>
            <w:r>
              <w:rPr>
                <w:spacing w:val="-6"/>
                <w:sz w:val="20"/>
              </w:rPr>
              <w:t> </w:t>
            </w:r>
            <w:r>
              <w:rPr>
                <w:sz w:val="20"/>
              </w:rPr>
              <w:t>de aseguramiento, así como su fecha de vencimiento; con la finalidad de determinar cuando</w:t>
            </w:r>
            <w:r>
              <w:rPr>
                <w:spacing w:val="-5"/>
                <w:sz w:val="20"/>
              </w:rPr>
              <w:t> </w:t>
            </w:r>
            <w:r>
              <w:rPr>
                <w:sz w:val="20"/>
              </w:rPr>
              <w:t>tienen</w:t>
            </w:r>
            <w:r>
              <w:rPr>
                <w:spacing w:val="-3"/>
                <w:sz w:val="20"/>
              </w:rPr>
              <w:t> </w:t>
            </w:r>
            <w:r>
              <w:rPr>
                <w:sz w:val="20"/>
              </w:rPr>
              <w:t>que</w:t>
            </w:r>
            <w:r>
              <w:rPr>
                <w:spacing w:val="-5"/>
                <w:sz w:val="20"/>
              </w:rPr>
              <w:t> </w:t>
            </w:r>
            <w:r>
              <w:rPr>
                <w:sz w:val="20"/>
              </w:rPr>
              <w:t>ser</w:t>
            </w:r>
            <w:r>
              <w:rPr>
                <w:spacing w:val="-5"/>
                <w:sz w:val="20"/>
              </w:rPr>
              <w:t> </w:t>
            </w:r>
            <w:r>
              <w:rPr>
                <w:sz w:val="20"/>
              </w:rPr>
              <w:t>renovadas,</w:t>
            </w:r>
            <w:r>
              <w:rPr>
                <w:spacing w:val="-5"/>
                <w:sz w:val="20"/>
              </w:rPr>
              <w:t> </w:t>
            </w:r>
            <w:r>
              <w:rPr>
                <w:sz w:val="20"/>
              </w:rPr>
              <w:t>para</w:t>
            </w:r>
            <w:r>
              <w:rPr>
                <w:spacing w:val="-5"/>
                <w:sz w:val="20"/>
              </w:rPr>
              <w:t> </w:t>
            </w:r>
            <w:r>
              <w:rPr>
                <w:sz w:val="20"/>
              </w:rPr>
              <w:t>mantener</w:t>
            </w:r>
            <w:r>
              <w:rPr>
                <w:spacing w:val="-5"/>
                <w:sz w:val="20"/>
              </w:rPr>
              <w:t> </w:t>
            </w:r>
            <w:r>
              <w:rPr>
                <w:sz w:val="20"/>
              </w:rPr>
              <w:t>todos</w:t>
            </w:r>
            <w:r>
              <w:rPr>
                <w:spacing w:val="-4"/>
                <w:sz w:val="20"/>
              </w:rPr>
              <w:t> </w:t>
            </w:r>
            <w:r>
              <w:rPr>
                <w:sz w:val="20"/>
              </w:rPr>
              <w:t>los</w:t>
            </w:r>
            <w:r>
              <w:rPr>
                <w:spacing w:val="-4"/>
                <w:sz w:val="20"/>
              </w:rPr>
              <w:t> </w:t>
            </w:r>
            <w:r>
              <w:rPr>
                <w:sz w:val="20"/>
              </w:rPr>
              <w:t>activos</w:t>
            </w:r>
            <w:r>
              <w:rPr>
                <w:spacing w:val="-4"/>
                <w:sz w:val="20"/>
              </w:rPr>
              <w:t> </w:t>
            </w:r>
            <w:r>
              <w:rPr>
                <w:sz w:val="20"/>
              </w:rPr>
              <w:t>institucionales</w:t>
            </w:r>
            <w:r>
              <w:rPr>
                <w:spacing w:val="-4"/>
                <w:sz w:val="20"/>
              </w:rPr>
              <w:t> </w:t>
            </w:r>
            <w:r>
              <w:rPr>
                <w:sz w:val="20"/>
              </w:rPr>
              <w:t>y las coberturas de riesgos debidamente actualizados. Por otra parte, se deberá de tener el listado de todos aquellos nuevos activos institucionales que requieren de algún</w:t>
            </w:r>
            <w:r>
              <w:rPr>
                <w:spacing w:val="-14"/>
                <w:sz w:val="20"/>
              </w:rPr>
              <w:t> </w:t>
            </w:r>
            <w:r>
              <w:rPr>
                <w:sz w:val="20"/>
              </w:rPr>
              <w:t>tipo</w:t>
            </w:r>
            <w:r>
              <w:rPr>
                <w:spacing w:val="-14"/>
                <w:sz w:val="20"/>
              </w:rPr>
              <w:t> </w:t>
            </w:r>
            <w:r>
              <w:rPr>
                <w:sz w:val="20"/>
              </w:rPr>
              <w:t>de</w:t>
            </w:r>
            <w:r>
              <w:rPr>
                <w:spacing w:val="-14"/>
                <w:sz w:val="20"/>
              </w:rPr>
              <w:t> </w:t>
            </w:r>
            <w:r>
              <w:rPr>
                <w:sz w:val="20"/>
              </w:rPr>
              <w:t>aseguramiento,</w:t>
            </w:r>
            <w:r>
              <w:rPr>
                <w:spacing w:val="-14"/>
                <w:sz w:val="20"/>
              </w:rPr>
              <w:t> </w:t>
            </w:r>
            <w:r>
              <w:rPr>
                <w:sz w:val="20"/>
              </w:rPr>
              <w:t>para</w:t>
            </w:r>
            <w:r>
              <w:rPr>
                <w:spacing w:val="-14"/>
                <w:sz w:val="20"/>
              </w:rPr>
              <w:t> </w:t>
            </w:r>
            <w:r>
              <w:rPr>
                <w:sz w:val="20"/>
              </w:rPr>
              <w:t>que</w:t>
            </w:r>
            <w:r>
              <w:rPr>
                <w:spacing w:val="-14"/>
                <w:sz w:val="20"/>
              </w:rPr>
              <w:t> </w:t>
            </w:r>
            <w:r>
              <w:rPr>
                <w:sz w:val="20"/>
              </w:rPr>
              <w:t>se</w:t>
            </w:r>
            <w:r>
              <w:rPr>
                <w:spacing w:val="-14"/>
                <w:sz w:val="20"/>
              </w:rPr>
              <w:t> </w:t>
            </w:r>
            <w:r>
              <w:rPr>
                <w:sz w:val="20"/>
              </w:rPr>
              <w:t>gestione</w:t>
            </w:r>
            <w:r>
              <w:rPr>
                <w:spacing w:val="-14"/>
                <w:sz w:val="20"/>
              </w:rPr>
              <w:t> </w:t>
            </w:r>
            <w:r>
              <w:rPr>
                <w:sz w:val="20"/>
              </w:rPr>
              <w:t>su</w:t>
            </w:r>
            <w:r>
              <w:rPr>
                <w:spacing w:val="-14"/>
                <w:sz w:val="20"/>
              </w:rPr>
              <w:t> </w:t>
            </w:r>
            <w:r>
              <w:rPr>
                <w:sz w:val="20"/>
              </w:rPr>
              <w:t>inclusión</w:t>
            </w:r>
            <w:r>
              <w:rPr>
                <w:spacing w:val="-13"/>
                <w:sz w:val="20"/>
              </w:rPr>
              <w:t> </w:t>
            </w:r>
            <w:r>
              <w:rPr>
                <w:sz w:val="20"/>
              </w:rPr>
              <w:t>dentro</w:t>
            </w:r>
            <w:r>
              <w:rPr>
                <w:spacing w:val="-14"/>
                <w:sz w:val="20"/>
              </w:rPr>
              <w:t> </w:t>
            </w:r>
            <w:r>
              <w:rPr>
                <w:sz w:val="20"/>
              </w:rPr>
              <w:t>de</w:t>
            </w:r>
            <w:r>
              <w:rPr>
                <w:spacing w:val="-14"/>
                <w:sz w:val="20"/>
              </w:rPr>
              <w:t> </w:t>
            </w:r>
            <w:r>
              <w:rPr>
                <w:sz w:val="20"/>
              </w:rPr>
              <w:t>una</w:t>
            </w:r>
            <w:r>
              <w:rPr>
                <w:spacing w:val="-14"/>
                <w:sz w:val="20"/>
              </w:rPr>
              <w:t> </w:t>
            </w:r>
            <w:r>
              <w:rPr>
                <w:sz w:val="20"/>
              </w:rPr>
              <w:t>póliza.</w:t>
            </w:r>
          </w:p>
        </w:tc>
      </w:tr>
      <w:tr>
        <w:trPr>
          <w:trHeight w:val="302" w:hRule="atLeast"/>
        </w:trPr>
        <w:tc>
          <w:tcPr>
            <w:tcW w:w="2976" w:type="dxa"/>
            <w:shd w:val="clear" w:color="auto" w:fill="DBE4F0"/>
          </w:tcPr>
          <w:p>
            <w:pPr>
              <w:pStyle w:val="TableParagraph"/>
              <w:spacing w:before="35"/>
              <w:ind w:left="67"/>
              <w:rPr>
                <w:b/>
                <w:sz w:val="20"/>
              </w:rPr>
            </w:pPr>
            <w:r>
              <w:rPr>
                <w:b/>
                <w:sz w:val="20"/>
              </w:rPr>
              <w:t>Línea</w:t>
            </w:r>
            <w:r>
              <w:rPr>
                <w:b/>
                <w:spacing w:val="-10"/>
                <w:sz w:val="20"/>
              </w:rPr>
              <w:t> </w:t>
            </w:r>
            <w:r>
              <w:rPr>
                <w:b/>
                <w:spacing w:val="-4"/>
                <w:sz w:val="20"/>
              </w:rPr>
              <w:t>Base</w:t>
            </w:r>
          </w:p>
        </w:tc>
        <w:tc>
          <w:tcPr>
            <w:tcW w:w="7516" w:type="dxa"/>
          </w:tcPr>
          <w:p>
            <w:pPr>
              <w:pStyle w:val="TableParagraph"/>
              <w:spacing w:before="35"/>
              <w:ind w:left="70"/>
              <w:rPr>
                <w:sz w:val="20"/>
              </w:rPr>
            </w:pPr>
            <w:r>
              <w:rPr>
                <w:spacing w:val="-4"/>
                <w:sz w:val="20"/>
              </w:rPr>
              <w:t>100%</w:t>
            </w:r>
          </w:p>
        </w:tc>
      </w:tr>
      <w:tr>
        <w:trPr>
          <w:trHeight w:val="765" w:hRule="atLeast"/>
        </w:trPr>
        <w:tc>
          <w:tcPr>
            <w:tcW w:w="2976" w:type="dxa"/>
            <w:vMerge w:val="restart"/>
            <w:shd w:val="clear" w:color="auto" w:fill="DBE4F0"/>
          </w:tcPr>
          <w:p>
            <w:pPr>
              <w:pStyle w:val="TableParagraph"/>
              <w:spacing w:before="172"/>
              <w:rPr>
                <w:b/>
                <w:sz w:val="20"/>
              </w:rPr>
            </w:pPr>
          </w:p>
          <w:p>
            <w:pPr>
              <w:pStyle w:val="TableParagraph"/>
              <w:ind w:left="67" w:right="514"/>
              <w:rPr>
                <w:b/>
                <w:sz w:val="20"/>
              </w:rPr>
            </w:pPr>
            <w:r>
              <w:rPr>
                <w:b/>
                <w:sz w:val="20"/>
              </w:rPr>
              <w:t>Responsable de la recopilación</w:t>
            </w:r>
            <w:r>
              <w:rPr>
                <w:b/>
                <w:spacing w:val="-14"/>
                <w:sz w:val="20"/>
              </w:rPr>
              <w:t> </w:t>
            </w:r>
            <w:r>
              <w:rPr>
                <w:b/>
                <w:sz w:val="20"/>
              </w:rPr>
              <w:t>información</w:t>
            </w:r>
          </w:p>
        </w:tc>
        <w:tc>
          <w:tcPr>
            <w:tcW w:w="7516" w:type="dxa"/>
          </w:tcPr>
          <w:p>
            <w:pPr>
              <w:pStyle w:val="TableParagraph"/>
              <w:spacing w:before="35"/>
              <w:rPr>
                <w:b/>
                <w:sz w:val="20"/>
              </w:rPr>
            </w:pPr>
          </w:p>
          <w:p>
            <w:pPr>
              <w:pStyle w:val="TableParagraph"/>
              <w:spacing w:before="1"/>
              <w:ind w:left="70"/>
              <w:rPr>
                <w:sz w:val="20"/>
              </w:rPr>
            </w:pPr>
            <w:r>
              <w:rPr>
                <w:sz w:val="20"/>
              </w:rPr>
              <w:t>Nombre</w:t>
            </w:r>
            <w:r>
              <w:rPr>
                <w:spacing w:val="-8"/>
                <w:sz w:val="20"/>
              </w:rPr>
              <w:t> </w:t>
            </w:r>
            <w:r>
              <w:rPr>
                <w:sz w:val="20"/>
              </w:rPr>
              <w:t>del</w:t>
            </w:r>
            <w:r>
              <w:rPr>
                <w:spacing w:val="-11"/>
                <w:sz w:val="20"/>
              </w:rPr>
              <w:t> </w:t>
            </w:r>
            <w:r>
              <w:rPr>
                <w:sz w:val="20"/>
              </w:rPr>
              <w:t>funcionario:</w:t>
            </w:r>
            <w:r>
              <w:rPr>
                <w:spacing w:val="-9"/>
                <w:sz w:val="20"/>
              </w:rPr>
              <w:t> </w:t>
            </w:r>
            <w:r>
              <w:rPr>
                <w:sz w:val="20"/>
              </w:rPr>
              <w:t>Fanny</w:t>
            </w:r>
            <w:r>
              <w:rPr>
                <w:spacing w:val="-9"/>
                <w:sz w:val="20"/>
              </w:rPr>
              <w:t> </w:t>
            </w:r>
            <w:r>
              <w:rPr>
                <w:sz w:val="20"/>
              </w:rPr>
              <w:t>Cordero</w:t>
            </w:r>
            <w:r>
              <w:rPr>
                <w:spacing w:val="-9"/>
                <w:sz w:val="20"/>
              </w:rPr>
              <w:t> </w:t>
            </w:r>
            <w:r>
              <w:rPr>
                <w:spacing w:val="-2"/>
                <w:sz w:val="20"/>
              </w:rPr>
              <w:t>Cerdas</w:t>
            </w:r>
          </w:p>
        </w:tc>
      </w:tr>
      <w:tr>
        <w:trPr>
          <w:trHeight w:val="493" w:hRule="atLeast"/>
        </w:trPr>
        <w:tc>
          <w:tcPr>
            <w:tcW w:w="2976" w:type="dxa"/>
            <w:vMerge/>
            <w:tcBorders>
              <w:top w:val="nil"/>
            </w:tcBorders>
            <w:shd w:val="clear" w:color="auto" w:fill="DBE4F0"/>
          </w:tcPr>
          <w:p>
            <w:pPr>
              <w:rPr>
                <w:sz w:val="2"/>
                <w:szCs w:val="2"/>
              </w:rPr>
            </w:pPr>
          </w:p>
        </w:tc>
        <w:tc>
          <w:tcPr>
            <w:tcW w:w="7516" w:type="dxa"/>
          </w:tcPr>
          <w:p>
            <w:pPr>
              <w:pStyle w:val="TableParagraph"/>
              <w:spacing w:before="131"/>
              <w:ind w:left="70"/>
              <w:rPr>
                <w:sz w:val="20"/>
              </w:rPr>
            </w:pPr>
            <w:r>
              <w:rPr>
                <w:sz w:val="20"/>
              </w:rPr>
              <w:t>Cargo:</w:t>
            </w:r>
            <w:r>
              <w:rPr>
                <w:spacing w:val="-7"/>
                <w:sz w:val="20"/>
              </w:rPr>
              <w:t> </w:t>
            </w:r>
            <w:r>
              <w:rPr>
                <w:sz w:val="20"/>
              </w:rPr>
              <w:t>Técnico</w:t>
            </w:r>
            <w:r>
              <w:rPr>
                <w:spacing w:val="-6"/>
                <w:sz w:val="20"/>
              </w:rPr>
              <w:t> </w:t>
            </w:r>
            <w:r>
              <w:rPr>
                <w:sz w:val="20"/>
              </w:rPr>
              <w:t>en</w:t>
            </w:r>
            <w:r>
              <w:rPr>
                <w:spacing w:val="-6"/>
                <w:sz w:val="20"/>
              </w:rPr>
              <w:t> </w:t>
            </w:r>
            <w:r>
              <w:rPr>
                <w:spacing w:val="-2"/>
                <w:sz w:val="20"/>
              </w:rPr>
              <w:t>Proveeduría</w:t>
            </w:r>
          </w:p>
        </w:tc>
      </w:tr>
      <w:tr>
        <w:trPr>
          <w:trHeight w:val="909" w:hRule="atLeast"/>
        </w:trPr>
        <w:tc>
          <w:tcPr>
            <w:tcW w:w="2976" w:type="dxa"/>
            <w:shd w:val="clear" w:color="auto" w:fill="DBE4F0"/>
          </w:tcPr>
          <w:p>
            <w:pPr>
              <w:pStyle w:val="TableParagraph"/>
              <w:spacing w:before="110"/>
              <w:rPr>
                <w:b/>
                <w:sz w:val="20"/>
              </w:rPr>
            </w:pPr>
          </w:p>
          <w:p>
            <w:pPr>
              <w:pStyle w:val="TableParagraph"/>
              <w:ind w:left="67"/>
              <w:rPr>
                <w:b/>
                <w:sz w:val="20"/>
              </w:rPr>
            </w:pPr>
            <w:r>
              <w:rPr>
                <w:b/>
                <w:spacing w:val="-2"/>
                <w:sz w:val="20"/>
              </w:rPr>
              <w:t>Clasificación</w:t>
            </w:r>
          </w:p>
        </w:tc>
        <w:tc>
          <w:tcPr>
            <w:tcW w:w="7516" w:type="dxa"/>
          </w:tcPr>
          <w:p>
            <w:pPr>
              <w:pStyle w:val="TableParagraph"/>
              <w:spacing w:before="110"/>
              <w:rPr>
                <w:b/>
                <w:sz w:val="20"/>
              </w:rPr>
            </w:pPr>
          </w:p>
          <w:p>
            <w:pPr>
              <w:pStyle w:val="TableParagraph"/>
              <w:ind w:left="70"/>
              <w:rPr>
                <w:sz w:val="20"/>
              </w:rPr>
            </w:pPr>
            <w:r>
              <w:rPr>
                <w:sz w:val="20"/>
              </w:rPr>
              <w:t>()</w:t>
            </w:r>
            <w:r>
              <w:rPr>
                <w:spacing w:val="-6"/>
                <w:sz w:val="20"/>
              </w:rPr>
              <w:t> </w:t>
            </w:r>
            <w:r>
              <w:rPr>
                <w:sz w:val="20"/>
              </w:rPr>
              <w:t>Impacto</w:t>
            </w:r>
            <w:r>
              <w:rPr>
                <w:spacing w:val="-6"/>
                <w:sz w:val="20"/>
              </w:rPr>
              <w:t> </w:t>
            </w:r>
            <w:r>
              <w:rPr>
                <w:sz w:val="20"/>
              </w:rPr>
              <w:t>()</w:t>
            </w:r>
            <w:r>
              <w:rPr>
                <w:spacing w:val="-4"/>
                <w:sz w:val="20"/>
              </w:rPr>
              <w:t> </w:t>
            </w:r>
            <w:r>
              <w:rPr>
                <w:sz w:val="20"/>
              </w:rPr>
              <w:t>Efecto</w:t>
            </w:r>
            <w:r>
              <w:rPr>
                <w:spacing w:val="-7"/>
                <w:sz w:val="20"/>
              </w:rPr>
              <w:t> </w:t>
            </w:r>
            <w:r>
              <w:rPr>
                <w:sz w:val="20"/>
              </w:rPr>
              <w:t>(X)Producto</w:t>
            </w:r>
            <w:r>
              <w:rPr>
                <w:spacing w:val="-7"/>
                <w:sz w:val="20"/>
              </w:rPr>
              <w:t> </w:t>
            </w:r>
            <w:r>
              <w:rPr>
                <w:sz w:val="20"/>
              </w:rPr>
              <w:t>o</w:t>
            </w:r>
            <w:r>
              <w:rPr>
                <w:spacing w:val="-7"/>
                <w:sz w:val="20"/>
              </w:rPr>
              <w:t> </w:t>
            </w:r>
            <w:r>
              <w:rPr>
                <w:spacing w:val="-2"/>
                <w:sz w:val="20"/>
              </w:rPr>
              <w:t>Gestión</w:t>
            </w:r>
          </w:p>
        </w:tc>
      </w:tr>
      <w:tr>
        <w:trPr>
          <w:trHeight w:val="450" w:hRule="atLeast"/>
        </w:trPr>
        <w:tc>
          <w:tcPr>
            <w:tcW w:w="2976" w:type="dxa"/>
            <w:shd w:val="clear" w:color="auto" w:fill="DBE4F0"/>
          </w:tcPr>
          <w:p>
            <w:pPr>
              <w:pStyle w:val="TableParagraph"/>
              <w:spacing w:before="110"/>
              <w:ind w:left="67"/>
              <w:rPr>
                <w:b/>
                <w:sz w:val="20"/>
              </w:rPr>
            </w:pPr>
            <w:r>
              <w:rPr>
                <w:b/>
                <w:spacing w:val="-2"/>
                <w:sz w:val="20"/>
              </w:rPr>
              <w:t>Comentarios</w:t>
            </w:r>
            <w:r>
              <w:rPr>
                <w:b/>
                <w:spacing w:val="6"/>
                <w:sz w:val="20"/>
              </w:rPr>
              <w:t> </w:t>
            </w:r>
            <w:r>
              <w:rPr>
                <w:b/>
                <w:spacing w:val="-2"/>
                <w:sz w:val="20"/>
              </w:rPr>
              <w:t>Generales</w:t>
            </w:r>
          </w:p>
        </w:tc>
        <w:tc>
          <w:tcPr>
            <w:tcW w:w="7516" w:type="dxa"/>
          </w:tcPr>
          <w:p>
            <w:pPr>
              <w:pStyle w:val="TableParagraph"/>
              <w:rPr>
                <w:rFonts w:ascii="Times New Roman"/>
                <w:sz w:val="20"/>
              </w:rPr>
            </w:pPr>
          </w:p>
        </w:tc>
      </w:tr>
    </w:tbl>
    <w:p>
      <w:pPr>
        <w:pStyle w:val="BodyText"/>
        <w:rPr>
          <w:b/>
          <w:sz w:val="20"/>
        </w:rPr>
      </w:pPr>
    </w:p>
    <w:p>
      <w:pPr>
        <w:pStyle w:val="BodyText"/>
        <w:spacing w:before="68"/>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834" w:hRule="atLeast"/>
        </w:trPr>
        <w:tc>
          <w:tcPr>
            <w:tcW w:w="2976" w:type="dxa"/>
            <w:shd w:val="clear" w:color="auto" w:fill="DBE4F0"/>
          </w:tcPr>
          <w:p>
            <w:pPr>
              <w:pStyle w:val="TableParagraph"/>
              <w:spacing w:before="71"/>
              <w:rPr>
                <w:b/>
                <w:sz w:val="20"/>
              </w:rPr>
            </w:pPr>
          </w:p>
          <w:p>
            <w:pPr>
              <w:pStyle w:val="TableParagraph"/>
              <w:spacing w:before="1"/>
              <w:ind w:left="67"/>
              <w:rPr>
                <w:b/>
                <w:sz w:val="20"/>
              </w:rPr>
            </w:pPr>
            <w:r>
              <w:rPr>
                <w:b/>
                <w:sz w:val="20"/>
              </w:rPr>
              <w:t>PAC</w:t>
            </w:r>
            <w:r>
              <w:rPr>
                <w:b/>
                <w:spacing w:val="-8"/>
                <w:sz w:val="20"/>
              </w:rPr>
              <w:t> </w:t>
            </w:r>
            <w:r>
              <w:rPr>
                <w:b/>
                <w:spacing w:val="-2"/>
                <w:sz w:val="20"/>
              </w:rPr>
              <w:t>2.6.2</w:t>
            </w:r>
          </w:p>
        </w:tc>
        <w:tc>
          <w:tcPr>
            <w:tcW w:w="7513" w:type="dxa"/>
          </w:tcPr>
          <w:p>
            <w:pPr>
              <w:pStyle w:val="TableParagraph"/>
              <w:spacing w:before="71"/>
              <w:ind w:left="70" w:right="133"/>
              <w:rPr>
                <w:sz w:val="20"/>
              </w:rPr>
            </w:pPr>
            <w:r>
              <w:rPr>
                <w:b/>
                <w:sz w:val="20"/>
              </w:rPr>
              <w:t>Nombre del indicador: </w:t>
            </w:r>
            <w:r>
              <w:rPr>
                <w:sz w:val="20"/>
              </w:rPr>
              <w:t>Porcentaje de solicitudes asignadas para realizar el procedimiento</w:t>
            </w:r>
            <w:r>
              <w:rPr>
                <w:spacing w:val="-4"/>
                <w:sz w:val="20"/>
              </w:rPr>
              <w:t> </w:t>
            </w:r>
            <w:r>
              <w:rPr>
                <w:sz w:val="20"/>
              </w:rPr>
              <w:t>de</w:t>
            </w:r>
            <w:r>
              <w:rPr>
                <w:spacing w:val="-7"/>
                <w:sz w:val="20"/>
              </w:rPr>
              <w:t> </w:t>
            </w:r>
            <w:r>
              <w:rPr>
                <w:sz w:val="20"/>
              </w:rPr>
              <w:t>contratación</w:t>
            </w:r>
            <w:r>
              <w:rPr>
                <w:spacing w:val="-5"/>
                <w:sz w:val="20"/>
              </w:rPr>
              <w:t> </w:t>
            </w:r>
            <w:r>
              <w:rPr>
                <w:sz w:val="20"/>
              </w:rPr>
              <w:t>pública</w:t>
            </w:r>
            <w:r>
              <w:rPr>
                <w:spacing w:val="-4"/>
                <w:sz w:val="20"/>
              </w:rPr>
              <w:t> </w:t>
            </w:r>
            <w:r>
              <w:rPr>
                <w:sz w:val="20"/>
              </w:rPr>
              <w:t>para</w:t>
            </w:r>
            <w:r>
              <w:rPr>
                <w:spacing w:val="-4"/>
                <w:sz w:val="20"/>
              </w:rPr>
              <w:t> </w:t>
            </w:r>
            <w:r>
              <w:rPr>
                <w:sz w:val="20"/>
              </w:rPr>
              <w:t>la</w:t>
            </w:r>
            <w:r>
              <w:rPr>
                <w:spacing w:val="-4"/>
                <w:sz w:val="20"/>
              </w:rPr>
              <w:t> </w:t>
            </w:r>
            <w:r>
              <w:rPr>
                <w:sz w:val="20"/>
              </w:rPr>
              <w:t>adquisición</w:t>
            </w:r>
            <w:r>
              <w:rPr>
                <w:spacing w:val="-5"/>
                <w:sz w:val="20"/>
              </w:rPr>
              <w:t> </w:t>
            </w:r>
            <w:r>
              <w:rPr>
                <w:sz w:val="20"/>
              </w:rPr>
              <w:t>de</w:t>
            </w:r>
            <w:r>
              <w:rPr>
                <w:spacing w:val="-5"/>
                <w:sz w:val="20"/>
              </w:rPr>
              <w:t> </w:t>
            </w:r>
            <w:r>
              <w:rPr>
                <w:sz w:val="20"/>
              </w:rPr>
              <w:t>bienes</w:t>
            </w:r>
            <w:r>
              <w:rPr>
                <w:spacing w:val="-5"/>
                <w:sz w:val="20"/>
              </w:rPr>
              <w:t> </w:t>
            </w:r>
            <w:r>
              <w:rPr>
                <w:sz w:val="20"/>
              </w:rPr>
              <w:t>en</w:t>
            </w:r>
            <w:r>
              <w:rPr>
                <w:spacing w:val="-6"/>
                <w:sz w:val="20"/>
              </w:rPr>
              <w:t> </w:t>
            </w:r>
            <w:r>
              <w:rPr>
                <w:sz w:val="20"/>
              </w:rPr>
              <w:t>la</w:t>
            </w:r>
            <w:r>
              <w:rPr>
                <w:spacing w:val="-6"/>
                <w:sz w:val="20"/>
              </w:rPr>
              <w:t> </w:t>
            </w:r>
            <w:r>
              <w:rPr>
                <w:sz w:val="20"/>
              </w:rPr>
              <w:t>partida de equipo y mobiliario de oficina.</w:t>
            </w:r>
          </w:p>
        </w:tc>
      </w:tr>
      <w:tr>
        <w:trPr>
          <w:trHeight w:val="705" w:hRule="atLeast"/>
        </w:trPr>
        <w:tc>
          <w:tcPr>
            <w:tcW w:w="2976" w:type="dxa"/>
            <w:shd w:val="clear" w:color="auto" w:fill="DBE4F0"/>
          </w:tcPr>
          <w:p>
            <w:pPr>
              <w:pStyle w:val="TableParagraph"/>
              <w:spacing w:before="7"/>
              <w:rPr>
                <w:b/>
                <w:sz w:val="20"/>
              </w:rPr>
            </w:pPr>
          </w:p>
          <w:p>
            <w:pPr>
              <w:pStyle w:val="TableParagraph"/>
              <w:ind w:left="67"/>
              <w:rPr>
                <w:b/>
                <w:sz w:val="20"/>
              </w:rPr>
            </w:pPr>
            <w:r>
              <w:rPr>
                <w:b/>
                <w:sz w:val="20"/>
              </w:rPr>
              <w:t>Programa</w:t>
            </w:r>
            <w:r>
              <w:rPr>
                <w:b/>
                <w:spacing w:val="-14"/>
                <w:sz w:val="20"/>
              </w:rPr>
              <w:t> </w:t>
            </w:r>
            <w:r>
              <w:rPr>
                <w:b/>
                <w:spacing w:val="-2"/>
                <w:sz w:val="20"/>
              </w:rPr>
              <w:t>institucional:</w:t>
            </w:r>
          </w:p>
        </w:tc>
        <w:tc>
          <w:tcPr>
            <w:tcW w:w="7513" w:type="dxa"/>
          </w:tcPr>
          <w:p>
            <w:pPr>
              <w:pStyle w:val="TableParagraph"/>
              <w:spacing w:before="122"/>
              <w:rPr>
                <w:b/>
                <w:sz w:val="20"/>
              </w:rPr>
            </w:pPr>
          </w:p>
          <w:p>
            <w:pPr>
              <w:pStyle w:val="TableParagraph"/>
              <w:ind w:left="70"/>
              <w:rPr>
                <w:sz w:val="20"/>
              </w:rPr>
            </w:pPr>
            <w:r>
              <w:rPr>
                <w:sz w:val="20"/>
              </w:rPr>
              <w:t>Actividades</w:t>
            </w:r>
            <w:r>
              <w:rPr>
                <w:spacing w:val="-14"/>
                <w:sz w:val="20"/>
              </w:rPr>
              <w:t> </w:t>
            </w:r>
            <w:r>
              <w:rPr>
                <w:spacing w:val="-2"/>
                <w:sz w:val="20"/>
              </w:rPr>
              <w:t>Centrales</w:t>
            </w:r>
          </w:p>
        </w:tc>
      </w:tr>
      <w:tr>
        <w:trPr>
          <w:trHeight w:val="553" w:hRule="atLeast"/>
        </w:trPr>
        <w:tc>
          <w:tcPr>
            <w:tcW w:w="2976" w:type="dxa"/>
            <w:shd w:val="clear" w:color="auto" w:fill="DBE4F0"/>
          </w:tcPr>
          <w:p>
            <w:pPr>
              <w:pStyle w:val="TableParagraph"/>
              <w:spacing w:before="162"/>
              <w:ind w:left="67"/>
              <w:rPr>
                <w:b/>
                <w:sz w:val="20"/>
              </w:rPr>
            </w:pPr>
            <w:r>
              <w:rPr>
                <w:b/>
                <w:sz w:val="20"/>
              </w:rPr>
              <w:t>Órgano</w:t>
            </w:r>
            <w:r>
              <w:rPr>
                <w:b/>
                <w:spacing w:val="-9"/>
                <w:sz w:val="20"/>
              </w:rPr>
              <w:t> </w:t>
            </w:r>
            <w:r>
              <w:rPr>
                <w:b/>
                <w:spacing w:val="-2"/>
                <w:sz w:val="20"/>
              </w:rPr>
              <w:t>administrativo:</w:t>
            </w:r>
          </w:p>
        </w:tc>
        <w:tc>
          <w:tcPr>
            <w:tcW w:w="7513" w:type="dxa"/>
          </w:tcPr>
          <w:p>
            <w:pPr>
              <w:pStyle w:val="TableParagraph"/>
              <w:spacing w:before="162"/>
              <w:ind w:left="70"/>
              <w:rPr>
                <w:sz w:val="20"/>
              </w:rPr>
            </w:pPr>
            <w:r>
              <w:rPr>
                <w:sz w:val="20"/>
              </w:rPr>
              <w:t>Departamento</w:t>
            </w:r>
            <w:r>
              <w:rPr>
                <w:spacing w:val="-12"/>
                <w:sz w:val="20"/>
              </w:rPr>
              <w:t> </w:t>
            </w:r>
            <w:r>
              <w:rPr>
                <w:sz w:val="20"/>
              </w:rPr>
              <w:t>de</w:t>
            </w:r>
            <w:r>
              <w:rPr>
                <w:spacing w:val="-12"/>
                <w:sz w:val="20"/>
              </w:rPr>
              <w:t> </w:t>
            </w:r>
            <w:r>
              <w:rPr>
                <w:sz w:val="20"/>
              </w:rPr>
              <w:t>Proveeduría</w:t>
            </w:r>
            <w:r>
              <w:rPr>
                <w:spacing w:val="-13"/>
                <w:sz w:val="20"/>
              </w:rPr>
              <w:t> </w:t>
            </w:r>
            <w:r>
              <w:rPr>
                <w:spacing w:val="-2"/>
                <w:sz w:val="20"/>
              </w:rPr>
              <w:t>Institucional</w:t>
            </w:r>
          </w:p>
        </w:tc>
      </w:tr>
      <w:tr>
        <w:trPr>
          <w:trHeight w:val="405" w:hRule="atLeast"/>
        </w:trPr>
        <w:tc>
          <w:tcPr>
            <w:tcW w:w="2976" w:type="dxa"/>
            <w:shd w:val="clear" w:color="auto" w:fill="DBE4F0"/>
          </w:tcPr>
          <w:p>
            <w:pPr>
              <w:pStyle w:val="TableParagraph"/>
              <w:spacing w:before="88"/>
              <w:ind w:left="67"/>
              <w:rPr>
                <w:b/>
                <w:sz w:val="20"/>
              </w:rPr>
            </w:pPr>
            <w:r>
              <w:rPr>
                <w:b/>
                <w:spacing w:val="-4"/>
                <w:sz w:val="20"/>
              </w:rPr>
              <w:t>Meta</w:t>
            </w:r>
          </w:p>
        </w:tc>
        <w:tc>
          <w:tcPr>
            <w:tcW w:w="7513" w:type="dxa"/>
          </w:tcPr>
          <w:p>
            <w:pPr>
              <w:pStyle w:val="TableParagraph"/>
              <w:spacing w:before="88"/>
              <w:ind w:left="70"/>
              <w:rPr>
                <w:sz w:val="20"/>
              </w:rPr>
            </w:pPr>
            <w:r>
              <w:rPr>
                <w:sz w:val="20"/>
              </w:rPr>
              <w:t>100%</w:t>
            </w:r>
            <w:r>
              <w:rPr>
                <w:spacing w:val="-7"/>
                <w:sz w:val="20"/>
              </w:rPr>
              <w:t> </w:t>
            </w:r>
            <w:r>
              <w:rPr>
                <w:sz w:val="20"/>
              </w:rPr>
              <w:t>de</w:t>
            </w:r>
            <w:r>
              <w:rPr>
                <w:spacing w:val="-10"/>
                <w:sz w:val="20"/>
              </w:rPr>
              <w:t> </w:t>
            </w:r>
            <w:r>
              <w:rPr>
                <w:sz w:val="20"/>
              </w:rPr>
              <w:t>solicitudes</w:t>
            </w:r>
            <w:r>
              <w:rPr>
                <w:spacing w:val="-7"/>
                <w:sz w:val="20"/>
              </w:rPr>
              <w:t> </w:t>
            </w:r>
            <w:r>
              <w:rPr>
                <w:spacing w:val="-2"/>
                <w:sz w:val="20"/>
              </w:rPr>
              <w:t>tramitadas</w:t>
            </w:r>
          </w:p>
        </w:tc>
      </w:tr>
      <w:tr>
        <w:trPr>
          <w:trHeight w:val="299" w:hRule="atLeast"/>
        </w:trPr>
        <w:tc>
          <w:tcPr>
            <w:tcW w:w="2976" w:type="dxa"/>
            <w:shd w:val="clear" w:color="auto" w:fill="DBE4F0"/>
          </w:tcPr>
          <w:p>
            <w:pPr>
              <w:pStyle w:val="TableParagraph"/>
              <w:spacing w:before="35"/>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35"/>
              <w:ind w:left="70"/>
              <w:rPr>
                <w:sz w:val="20"/>
              </w:rPr>
            </w:pPr>
            <w:r>
              <w:rPr>
                <w:sz w:val="20"/>
              </w:rPr>
              <w:t>Cantidad</w:t>
            </w:r>
            <w:r>
              <w:rPr>
                <w:spacing w:val="-9"/>
                <w:sz w:val="20"/>
              </w:rPr>
              <w:t> </w:t>
            </w:r>
            <w:r>
              <w:rPr>
                <w:sz w:val="20"/>
              </w:rPr>
              <w:t>de</w:t>
            </w:r>
            <w:r>
              <w:rPr>
                <w:spacing w:val="-7"/>
                <w:sz w:val="20"/>
              </w:rPr>
              <w:t> </w:t>
            </w:r>
            <w:r>
              <w:rPr>
                <w:sz w:val="20"/>
              </w:rPr>
              <w:t>solicitudes</w:t>
            </w:r>
            <w:r>
              <w:rPr>
                <w:spacing w:val="-8"/>
                <w:sz w:val="20"/>
              </w:rPr>
              <w:t> </w:t>
            </w:r>
            <w:r>
              <w:rPr>
                <w:sz w:val="20"/>
              </w:rPr>
              <w:t>enviadas</w:t>
            </w:r>
            <w:r>
              <w:rPr>
                <w:spacing w:val="-8"/>
                <w:sz w:val="20"/>
              </w:rPr>
              <w:t> </w:t>
            </w:r>
            <w:r>
              <w:rPr>
                <w:sz w:val="20"/>
              </w:rPr>
              <w:t>al</w:t>
            </w:r>
            <w:r>
              <w:rPr>
                <w:spacing w:val="-8"/>
                <w:sz w:val="20"/>
              </w:rPr>
              <w:t> </w:t>
            </w:r>
            <w:r>
              <w:rPr>
                <w:spacing w:val="-2"/>
                <w:sz w:val="20"/>
              </w:rPr>
              <w:t>distribuidor</w:t>
            </w:r>
          </w:p>
        </w:tc>
      </w:tr>
      <w:tr>
        <w:trPr>
          <w:trHeight w:val="557" w:hRule="atLeast"/>
        </w:trPr>
        <w:tc>
          <w:tcPr>
            <w:tcW w:w="2976" w:type="dxa"/>
            <w:shd w:val="clear" w:color="auto" w:fill="DBE4F0"/>
          </w:tcPr>
          <w:p>
            <w:pPr>
              <w:pStyle w:val="TableParagraph"/>
              <w:spacing w:before="163"/>
              <w:ind w:left="67"/>
              <w:rPr>
                <w:b/>
                <w:sz w:val="20"/>
              </w:rPr>
            </w:pPr>
            <w:r>
              <w:rPr>
                <w:b/>
                <w:spacing w:val="-2"/>
                <w:sz w:val="20"/>
              </w:rPr>
              <w:t>Periodicidad</w:t>
            </w:r>
          </w:p>
        </w:tc>
        <w:tc>
          <w:tcPr>
            <w:tcW w:w="7513" w:type="dxa"/>
          </w:tcPr>
          <w:p>
            <w:pPr>
              <w:pStyle w:val="TableParagraph"/>
              <w:spacing w:before="163"/>
              <w:ind w:left="70"/>
              <w:rPr>
                <w:sz w:val="20"/>
              </w:rPr>
            </w:pPr>
            <w:r>
              <w:rPr>
                <w:spacing w:val="-4"/>
                <w:sz w:val="20"/>
              </w:rPr>
              <w:t>Anual</w:t>
            </w:r>
          </w:p>
        </w:tc>
      </w:tr>
      <w:tr>
        <w:trPr>
          <w:trHeight w:val="585" w:hRule="atLeast"/>
        </w:trPr>
        <w:tc>
          <w:tcPr>
            <w:tcW w:w="2976" w:type="dxa"/>
            <w:shd w:val="clear" w:color="auto" w:fill="DBE4F0"/>
          </w:tcPr>
          <w:p>
            <w:pPr>
              <w:pStyle w:val="TableParagraph"/>
              <w:spacing w:before="177"/>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3" w:type="dxa"/>
          </w:tcPr>
          <w:p>
            <w:pPr>
              <w:pStyle w:val="TableParagraph"/>
              <w:spacing w:before="177"/>
              <w:ind w:left="70"/>
              <w:rPr>
                <w:sz w:val="20"/>
              </w:rPr>
            </w:pPr>
            <w:r>
              <w:rPr>
                <w:sz w:val="20"/>
              </w:rPr>
              <w:t>(Cantidad</w:t>
            </w:r>
            <w:r>
              <w:rPr>
                <w:spacing w:val="-8"/>
                <w:sz w:val="20"/>
              </w:rPr>
              <w:t> </w:t>
            </w:r>
            <w:r>
              <w:rPr>
                <w:sz w:val="20"/>
              </w:rPr>
              <w:t>de</w:t>
            </w:r>
            <w:r>
              <w:rPr>
                <w:spacing w:val="-10"/>
                <w:sz w:val="20"/>
              </w:rPr>
              <w:t> </w:t>
            </w:r>
            <w:r>
              <w:rPr>
                <w:sz w:val="20"/>
              </w:rPr>
              <w:t>solicitudes</w:t>
            </w:r>
            <w:r>
              <w:rPr>
                <w:spacing w:val="-8"/>
                <w:sz w:val="20"/>
              </w:rPr>
              <w:t> </w:t>
            </w:r>
            <w:r>
              <w:rPr>
                <w:sz w:val="20"/>
              </w:rPr>
              <w:t>tramitadas/</w:t>
            </w:r>
            <w:r>
              <w:rPr>
                <w:spacing w:val="-10"/>
                <w:sz w:val="20"/>
              </w:rPr>
              <w:t> </w:t>
            </w:r>
            <w:r>
              <w:rPr>
                <w:sz w:val="20"/>
              </w:rPr>
              <w:t>Cantidad</w:t>
            </w:r>
            <w:r>
              <w:rPr>
                <w:spacing w:val="-9"/>
                <w:sz w:val="20"/>
              </w:rPr>
              <w:t> </w:t>
            </w:r>
            <w:r>
              <w:rPr>
                <w:sz w:val="20"/>
              </w:rPr>
              <w:t>de</w:t>
            </w:r>
            <w:r>
              <w:rPr>
                <w:spacing w:val="-9"/>
                <w:sz w:val="20"/>
              </w:rPr>
              <w:t> </w:t>
            </w:r>
            <w:r>
              <w:rPr>
                <w:sz w:val="20"/>
              </w:rPr>
              <w:t>solicitudes</w:t>
            </w:r>
            <w:r>
              <w:rPr>
                <w:spacing w:val="-8"/>
                <w:sz w:val="20"/>
              </w:rPr>
              <w:t> </w:t>
            </w:r>
            <w:r>
              <w:rPr>
                <w:sz w:val="20"/>
              </w:rPr>
              <w:t>recibidas)</w:t>
            </w:r>
            <w:r>
              <w:rPr>
                <w:spacing w:val="-9"/>
                <w:sz w:val="20"/>
              </w:rPr>
              <w:t> </w:t>
            </w:r>
            <w:r>
              <w:rPr>
                <w:sz w:val="20"/>
              </w:rPr>
              <w:t>*</w:t>
            </w:r>
            <w:r>
              <w:rPr>
                <w:spacing w:val="-10"/>
                <w:sz w:val="20"/>
              </w:rPr>
              <w:t> </w:t>
            </w:r>
            <w:r>
              <w:rPr>
                <w:spacing w:val="-5"/>
                <w:sz w:val="20"/>
              </w:rPr>
              <w:t>100</w:t>
            </w:r>
          </w:p>
        </w:tc>
      </w:tr>
    </w:tbl>
    <w:p>
      <w:pPr>
        <w:pStyle w:val="TableParagraph"/>
        <w:spacing w:after="0"/>
        <w:rPr>
          <w:sz w:val="20"/>
        </w:rPr>
        <w:sectPr>
          <w:type w:val="continuous"/>
          <w:pgSz w:w="12240" w:h="15840"/>
          <w:pgMar w:header="0" w:footer="2082" w:top="1400" w:bottom="2826"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300" w:hRule="atLeast"/>
        </w:trPr>
        <w:tc>
          <w:tcPr>
            <w:tcW w:w="2976" w:type="dxa"/>
            <w:vMerge w:val="restart"/>
            <w:shd w:val="clear" w:color="auto" w:fill="DBE4F0"/>
          </w:tcPr>
          <w:p>
            <w:pPr>
              <w:pStyle w:val="TableParagraph"/>
              <w:spacing w:before="189"/>
              <w:ind w:left="67"/>
              <w:rPr>
                <w:b/>
                <w:sz w:val="20"/>
              </w:rPr>
            </w:pPr>
            <w:r>
              <w:rPr>
                <w:b/>
                <w:spacing w:val="-2"/>
                <w:sz w:val="20"/>
              </w:rPr>
              <w:t>Fuente</w:t>
            </w:r>
          </w:p>
        </w:tc>
        <w:tc>
          <w:tcPr>
            <w:tcW w:w="7513" w:type="dxa"/>
          </w:tcPr>
          <w:p>
            <w:pPr>
              <w:pStyle w:val="TableParagraph"/>
              <w:spacing w:before="33"/>
              <w:ind w:left="70"/>
              <w:rPr>
                <w:sz w:val="20"/>
              </w:rPr>
            </w:pPr>
            <w:r>
              <w:rPr>
                <w:sz w:val="20"/>
              </w:rPr>
              <w:t>Fuente:</w:t>
            </w:r>
            <w:r>
              <w:rPr>
                <w:spacing w:val="-10"/>
                <w:sz w:val="20"/>
              </w:rPr>
              <w:t> </w:t>
            </w:r>
            <w:r>
              <w:rPr>
                <w:sz w:val="20"/>
              </w:rPr>
              <w:t>Reportes</w:t>
            </w:r>
            <w:r>
              <w:rPr>
                <w:spacing w:val="-7"/>
                <w:sz w:val="20"/>
              </w:rPr>
              <w:t> </w:t>
            </w:r>
            <w:r>
              <w:rPr>
                <w:sz w:val="20"/>
              </w:rPr>
              <w:t>SAP-</w:t>
            </w:r>
            <w:r>
              <w:rPr>
                <w:spacing w:val="-9"/>
                <w:sz w:val="20"/>
              </w:rPr>
              <w:t> </w:t>
            </w:r>
            <w:r>
              <w:rPr>
                <w:sz w:val="20"/>
              </w:rPr>
              <w:t>Reportes</w:t>
            </w:r>
            <w:r>
              <w:rPr>
                <w:spacing w:val="-8"/>
                <w:sz w:val="20"/>
              </w:rPr>
              <w:t> </w:t>
            </w:r>
            <w:r>
              <w:rPr>
                <w:spacing w:val="-2"/>
                <w:sz w:val="20"/>
              </w:rPr>
              <w:t>SICOP</w:t>
            </w:r>
          </w:p>
        </w:tc>
      </w:tr>
      <w:tr>
        <w:trPr>
          <w:trHeight w:val="299" w:hRule="atLeast"/>
        </w:trPr>
        <w:tc>
          <w:tcPr>
            <w:tcW w:w="2976" w:type="dxa"/>
            <w:vMerge/>
            <w:tcBorders>
              <w:top w:val="nil"/>
            </w:tcBorders>
            <w:shd w:val="clear" w:color="auto" w:fill="DBE4F0"/>
          </w:tcPr>
          <w:p>
            <w:pPr>
              <w:rPr>
                <w:sz w:val="2"/>
                <w:szCs w:val="2"/>
              </w:rPr>
            </w:pPr>
          </w:p>
        </w:tc>
        <w:tc>
          <w:tcPr>
            <w:tcW w:w="7513" w:type="dxa"/>
          </w:tcPr>
          <w:p>
            <w:pPr>
              <w:pStyle w:val="TableParagraph"/>
              <w:spacing w:before="35"/>
              <w:ind w:left="70"/>
              <w:rPr>
                <w:sz w:val="20"/>
              </w:rPr>
            </w:pPr>
            <w:r>
              <w:rPr>
                <w:sz w:val="20"/>
              </w:rPr>
              <w:t>Tipo</w:t>
            </w:r>
            <w:r>
              <w:rPr>
                <w:spacing w:val="-6"/>
                <w:sz w:val="20"/>
              </w:rPr>
              <w:t> </w:t>
            </w:r>
            <w:r>
              <w:rPr>
                <w:sz w:val="20"/>
              </w:rPr>
              <w:t>de</w:t>
            </w:r>
            <w:r>
              <w:rPr>
                <w:spacing w:val="-7"/>
                <w:sz w:val="20"/>
              </w:rPr>
              <w:t> </w:t>
            </w:r>
            <w:r>
              <w:rPr>
                <w:sz w:val="20"/>
              </w:rPr>
              <w:t>fuente:</w:t>
            </w:r>
            <w:r>
              <w:rPr>
                <w:spacing w:val="-5"/>
                <w:sz w:val="20"/>
              </w:rPr>
              <w:t> </w:t>
            </w:r>
            <w:r>
              <w:rPr>
                <w:spacing w:val="-2"/>
                <w:sz w:val="20"/>
              </w:rPr>
              <w:t>Primaria</w:t>
            </w:r>
          </w:p>
        </w:tc>
      </w:tr>
      <w:tr>
        <w:trPr>
          <w:trHeight w:val="299" w:hRule="atLeast"/>
        </w:trPr>
        <w:tc>
          <w:tcPr>
            <w:tcW w:w="2976" w:type="dxa"/>
            <w:vMerge w:val="restart"/>
            <w:shd w:val="clear" w:color="auto" w:fill="DBE4F0"/>
          </w:tcPr>
          <w:p>
            <w:pPr>
              <w:pStyle w:val="TableParagraph"/>
              <w:spacing w:before="71"/>
              <w:rPr>
                <w:b/>
                <w:sz w:val="20"/>
              </w:rPr>
            </w:pPr>
          </w:p>
          <w:p>
            <w:pPr>
              <w:pStyle w:val="TableParagraph"/>
              <w:spacing w:before="1"/>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35"/>
              <w:ind w:left="70"/>
              <w:rPr>
                <w:sz w:val="20"/>
              </w:rPr>
            </w:pPr>
            <w:r>
              <w:rPr>
                <w:sz w:val="20"/>
              </w:rPr>
              <w:t>1.</w:t>
            </w:r>
            <w:r>
              <w:rPr>
                <w:spacing w:val="-6"/>
                <w:sz w:val="20"/>
              </w:rPr>
              <w:t> </w:t>
            </w:r>
            <w:r>
              <w:rPr>
                <w:sz w:val="20"/>
              </w:rPr>
              <w:t>Informes</w:t>
            </w:r>
            <w:r>
              <w:rPr>
                <w:spacing w:val="-4"/>
                <w:sz w:val="20"/>
              </w:rPr>
              <w:t> </w:t>
            </w:r>
            <w:r>
              <w:rPr>
                <w:spacing w:val="-2"/>
                <w:sz w:val="20"/>
              </w:rPr>
              <w:t>trimestrales</w:t>
            </w:r>
          </w:p>
        </w:tc>
      </w:tr>
      <w:tr>
        <w:trPr>
          <w:trHeight w:val="525" w:hRule="atLeast"/>
        </w:trPr>
        <w:tc>
          <w:tcPr>
            <w:tcW w:w="2976" w:type="dxa"/>
            <w:vMerge/>
            <w:tcBorders>
              <w:top w:val="nil"/>
            </w:tcBorders>
            <w:shd w:val="clear" w:color="auto" w:fill="DBE4F0"/>
          </w:tcPr>
          <w:p>
            <w:pPr>
              <w:rPr>
                <w:sz w:val="2"/>
                <w:szCs w:val="2"/>
              </w:rPr>
            </w:pPr>
          </w:p>
        </w:tc>
        <w:tc>
          <w:tcPr>
            <w:tcW w:w="7513" w:type="dxa"/>
          </w:tcPr>
          <w:p>
            <w:pPr>
              <w:pStyle w:val="TableParagraph"/>
              <w:spacing w:before="148"/>
              <w:ind w:left="70"/>
              <w:rPr>
                <w:sz w:val="20"/>
              </w:rPr>
            </w:pPr>
            <w:r>
              <w:rPr>
                <w:sz w:val="20"/>
              </w:rPr>
              <w:t>2.</w:t>
            </w:r>
            <w:r>
              <w:rPr>
                <w:spacing w:val="-8"/>
                <w:sz w:val="20"/>
              </w:rPr>
              <w:t> </w:t>
            </w:r>
            <w:r>
              <w:rPr>
                <w:sz w:val="20"/>
              </w:rPr>
              <w:t>Reuniones</w:t>
            </w:r>
            <w:r>
              <w:rPr>
                <w:spacing w:val="-5"/>
                <w:sz w:val="20"/>
              </w:rPr>
              <w:t> </w:t>
            </w:r>
            <w:r>
              <w:rPr>
                <w:sz w:val="20"/>
              </w:rPr>
              <w:t>de</w:t>
            </w:r>
            <w:r>
              <w:rPr>
                <w:spacing w:val="-8"/>
                <w:sz w:val="20"/>
              </w:rPr>
              <w:t> </w:t>
            </w:r>
            <w:r>
              <w:rPr>
                <w:sz w:val="20"/>
              </w:rPr>
              <w:t>seguimiento</w:t>
            </w:r>
            <w:r>
              <w:rPr>
                <w:spacing w:val="-9"/>
                <w:sz w:val="20"/>
              </w:rPr>
              <w:t> </w:t>
            </w:r>
            <w:r>
              <w:rPr>
                <w:sz w:val="20"/>
              </w:rPr>
              <w:t>del</w:t>
            </w:r>
            <w:r>
              <w:rPr>
                <w:spacing w:val="-6"/>
                <w:sz w:val="20"/>
              </w:rPr>
              <w:t> </w:t>
            </w:r>
            <w:r>
              <w:rPr>
                <w:spacing w:val="-5"/>
                <w:sz w:val="20"/>
              </w:rPr>
              <w:t>PAA</w:t>
            </w:r>
          </w:p>
        </w:tc>
      </w:tr>
      <w:tr>
        <w:trPr>
          <w:trHeight w:val="2025" w:hRule="atLeast"/>
        </w:trPr>
        <w:tc>
          <w:tcPr>
            <w:tcW w:w="2976" w:type="dxa"/>
            <w:shd w:val="clear" w:color="auto" w:fill="DBE4F0"/>
          </w:tcPr>
          <w:p>
            <w:pPr>
              <w:pStyle w:val="TableParagraph"/>
              <w:rPr>
                <w:b/>
                <w:sz w:val="20"/>
              </w:rPr>
            </w:pPr>
          </w:p>
          <w:p>
            <w:pPr>
              <w:pStyle w:val="TableParagraph"/>
              <w:rPr>
                <w:b/>
                <w:sz w:val="20"/>
              </w:rPr>
            </w:pPr>
          </w:p>
          <w:p>
            <w:pPr>
              <w:pStyle w:val="TableParagraph"/>
              <w:spacing w:before="207"/>
              <w:rPr>
                <w:b/>
                <w:sz w:val="20"/>
              </w:rPr>
            </w:pPr>
          </w:p>
          <w:p>
            <w:pPr>
              <w:pStyle w:val="TableParagraph"/>
              <w:ind w:left="67"/>
              <w:rPr>
                <w:b/>
                <w:sz w:val="20"/>
              </w:rPr>
            </w:pPr>
            <w:r>
              <w:rPr>
                <w:b/>
                <w:sz w:val="20"/>
              </w:rPr>
              <w:t>Definición</w:t>
            </w:r>
            <w:r>
              <w:rPr>
                <w:b/>
                <w:spacing w:val="-10"/>
                <w:sz w:val="20"/>
              </w:rPr>
              <w:t> </w:t>
            </w:r>
            <w:r>
              <w:rPr>
                <w:b/>
                <w:spacing w:val="-2"/>
                <w:sz w:val="20"/>
              </w:rPr>
              <w:t>conceptual</w:t>
            </w:r>
          </w:p>
        </w:tc>
        <w:tc>
          <w:tcPr>
            <w:tcW w:w="7513" w:type="dxa"/>
          </w:tcPr>
          <w:p>
            <w:pPr>
              <w:pStyle w:val="TableParagraph"/>
              <w:spacing w:before="208"/>
              <w:ind w:left="70" w:right="82"/>
              <w:rPr>
                <w:sz w:val="20"/>
              </w:rPr>
            </w:pPr>
            <w:r>
              <w:rPr>
                <w:sz w:val="20"/>
              </w:rPr>
              <w:t>Se entenderá por solicitudes tramitadas aquellas que cuentan con un contrato debidamente notificado o, en su defecto, con una orden de pedido formalmente notificada al contratista. Por su parte, se considerarán solicitudes recibidas aquellas</w:t>
            </w:r>
            <w:r>
              <w:rPr>
                <w:spacing w:val="-4"/>
                <w:sz w:val="20"/>
              </w:rPr>
              <w:t> </w:t>
            </w:r>
            <w:r>
              <w:rPr>
                <w:sz w:val="20"/>
              </w:rPr>
              <w:t>que</w:t>
            </w:r>
            <w:r>
              <w:rPr>
                <w:spacing w:val="-5"/>
                <w:sz w:val="20"/>
              </w:rPr>
              <w:t> </w:t>
            </w:r>
            <w:r>
              <w:rPr>
                <w:sz w:val="20"/>
              </w:rPr>
              <w:t>han</w:t>
            </w:r>
            <w:r>
              <w:rPr>
                <w:spacing w:val="-6"/>
                <w:sz w:val="20"/>
              </w:rPr>
              <w:t> </w:t>
            </w:r>
            <w:r>
              <w:rPr>
                <w:sz w:val="20"/>
              </w:rPr>
              <w:t>sido</w:t>
            </w:r>
            <w:r>
              <w:rPr>
                <w:spacing w:val="-6"/>
                <w:sz w:val="20"/>
              </w:rPr>
              <w:t> </w:t>
            </w:r>
            <w:r>
              <w:rPr>
                <w:sz w:val="20"/>
              </w:rPr>
              <w:t>remitidas</w:t>
            </w:r>
            <w:r>
              <w:rPr>
                <w:spacing w:val="-4"/>
                <w:sz w:val="20"/>
              </w:rPr>
              <w:t> </w:t>
            </w:r>
            <w:r>
              <w:rPr>
                <w:sz w:val="20"/>
              </w:rPr>
              <w:t>al</w:t>
            </w:r>
            <w:r>
              <w:rPr>
                <w:spacing w:val="-6"/>
                <w:sz w:val="20"/>
              </w:rPr>
              <w:t> </w:t>
            </w:r>
            <w:r>
              <w:rPr>
                <w:sz w:val="20"/>
              </w:rPr>
              <w:t>distribuidor</w:t>
            </w:r>
            <w:r>
              <w:rPr>
                <w:spacing w:val="-4"/>
                <w:sz w:val="20"/>
              </w:rPr>
              <w:t> </w:t>
            </w:r>
            <w:r>
              <w:rPr>
                <w:sz w:val="20"/>
              </w:rPr>
              <w:t>para</w:t>
            </w:r>
            <w:r>
              <w:rPr>
                <w:spacing w:val="-5"/>
                <w:sz w:val="20"/>
              </w:rPr>
              <w:t> </w:t>
            </w:r>
            <w:r>
              <w:rPr>
                <w:sz w:val="20"/>
              </w:rPr>
              <w:t>su</w:t>
            </w:r>
            <w:r>
              <w:rPr>
                <w:spacing w:val="-3"/>
                <w:sz w:val="20"/>
              </w:rPr>
              <w:t> </w:t>
            </w:r>
            <w:r>
              <w:rPr>
                <w:sz w:val="20"/>
              </w:rPr>
              <w:t>correspondiente</w:t>
            </w:r>
            <w:r>
              <w:rPr>
                <w:spacing w:val="-5"/>
                <w:sz w:val="20"/>
              </w:rPr>
              <w:t> </w:t>
            </w:r>
            <w:r>
              <w:rPr>
                <w:sz w:val="20"/>
              </w:rPr>
              <w:t>asignación, así</w:t>
            </w:r>
            <w:r>
              <w:rPr>
                <w:spacing w:val="-1"/>
                <w:sz w:val="20"/>
              </w:rPr>
              <w:t> </w:t>
            </w:r>
            <w:r>
              <w:rPr>
                <w:sz w:val="20"/>
              </w:rPr>
              <w:t>como las solicitudes de pedido que se</w:t>
            </w:r>
            <w:r>
              <w:rPr>
                <w:spacing w:val="-1"/>
                <w:sz w:val="20"/>
              </w:rPr>
              <w:t> </w:t>
            </w:r>
            <w:r>
              <w:rPr>
                <w:sz w:val="20"/>
              </w:rPr>
              <w:t>encuentran</w:t>
            </w:r>
            <w:r>
              <w:rPr>
                <w:spacing w:val="-1"/>
                <w:sz w:val="20"/>
              </w:rPr>
              <w:t> </w:t>
            </w:r>
            <w:r>
              <w:rPr>
                <w:sz w:val="20"/>
              </w:rPr>
              <w:t>totalmente liberadas para la emisión</w:t>
            </w:r>
            <w:r>
              <w:rPr>
                <w:spacing w:val="-1"/>
                <w:sz w:val="20"/>
              </w:rPr>
              <w:t> </w:t>
            </w:r>
            <w:r>
              <w:rPr>
                <w:sz w:val="20"/>
              </w:rPr>
              <w:t>de</w:t>
            </w:r>
            <w:r>
              <w:rPr>
                <w:spacing w:val="-1"/>
                <w:sz w:val="20"/>
              </w:rPr>
              <w:t> </w:t>
            </w:r>
            <w:r>
              <w:rPr>
                <w:sz w:val="20"/>
              </w:rPr>
              <w:t>la</w:t>
            </w:r>
            <w:r>
              <w:rPr>
                <w:spacing w:val="-2"/>
                <w:sz w:val="20"/>
              </w:rPr>
              <w:t> </w:t>
            </w:r>
            <w:r>
              <w:rPr>
                <w:sz w:val="20"/>
              </w:rPr>
              <w:t>respectiva orden de</w:t>
            </w:r>
            <w:r>
              <w:rPr>
                <w:spacing w:val="-3"/>
                <w:sz w:val="20"/>
              </w:rPr>
              <w:t> </w:t>
            </w:r>
            <w:r>
              <w:rPr>
                <w:sz w:val="20"/>
              </w:rPr>
              <w:t>pedido, específicamente en</w:t>
            </w:r>
            <w:r>
              <w:rPr>
                <w:spacing w:val="-1"/>
                <w:sz w:val="20"/>
              </w:rPr>
              <w:t> </w:t>
            </w:r>
            <w:r>
              <w:rPr>
                <w:sz w:val="20"/>
              </w:rPr>
              <w:t>la partida</w:t>
            </w:r>
            <w:r>
              <w:rPr>
                <w:spacing w:val="-1"/>
                <w:sz w:val="20"/>
              </w:rPr>
              <w:t> </w:t>
            </w:r>
            <w:r>
              <w:rPr>
                <w:sz w:val="20"/>
              </w:rPr>
              <w:t>de</w:t>
            </w:r>
            <w:r>
              <w:rPr>
                <w:spacing w:val="-3"/>
                <w:sz w:val="20"/>
              </w:rPr>
              <w:t> </w:t>
            </w:r>
            <w:r>
              <w:rPr>
                <w:sz w:val="20"/>
              </w:rPr>
              <w:t>equipo y mobiliario de oficina, cuando se trate de un contrato por demanda.</w:t>
            </w:r>
          </w:p>
        </w:tc>
      </w:tr>
      <w:tr>
        <w:trPr>
          <w:trHeight w:val="1140" w:hRule="atLeast"/>
        </w:trPr>
        <w:tc>
          <w:tcPr>
            <w:tcW w:w="2976" w:type="dxa"/>
            <w:shd w:val="clear" w:color="auto" w:fill="DBE4F0"/>
          </w:tcPr>
          <w:p>
            <w:pPr>
              <w:pStyle w:val="TableParagraph"/>
              <w:spacing w:before="226"/>
              <w:rPr>
                <w:b/>
                <w:sz w:val="20"/>
              </w:rPr>
            </w:pPr>
          </w:p>
          <w:p>
            <w:pPr>
              <w:pStyle w:val="TableParagraph"/>
              <w:ind w:left="67"/>
              <w:rPr>
                <w:b/>
                <w:sz w:val="20"/>
              </w:rPr>
            </w:pPr>
            <w:r>
              <w:rPr>
                <w:b/>
                <w:spacing w:val="-2"/>
                <w:sz w:val="20"/>
              </w:rPr>
              <w:t>Interpretación</w:t>
            </w:r>
          </w:p>
        </w:tc>
        <w:tc>
          <w:tcPr>
            <w:tcW w:w="7513" w:type="dxa"/>
          </w:tcPr>
          <w:p>
            <w:pPr>
              <w:pStyle w:val="TableParagraph"/>
              <w:spacing w:before="225"/>
              <w:ind w:left="70" w:right="63"/>
              <w:jc w:val="both"/>
              <w:rPr>
                <w:sz w:val="20"/>
              </w:rPr>
            </w:pPr>
            <w:r>
              <w:rPr>
                <w:sz w:val="20"/>
              </w:rPr>
              <w:t>Gestionar las solicitudes enviadas al distribuidor y asignadas para realizar el proceso</w:t>
            </w:r>
            <w:r>
              <w:rPr>
                <w:spacing w:val="-10"/>
                <w:sz w:val="20"/>
              </w:rPr>
              <w:t> </w:t>
            </w:r>
            <w:r>
              <w:rPr>
                <w:sz w:val="20"/>
              </w:rPr>
              <w:t>de</w:t>
            </w:r>
            <w:r>
              <w:rPr>
                <w:spacing w:val="-10"/>
                <w:sz w:val="20"/>
              </w:rPr>
              <w:t> </w:t>
            </w:r>
            <w:r>
              <w:rPr>
                <w:sz w:val="20"/>
              </w:rPr>
              <w:t>contratación</w:t>
            </w:r>
            <w:r>
              <w:rPr>
                <w:spacing w:val="-7"/>
                <w:sz w:val="20"/>
              </w:rPr>
              <w:t> </w:t>
            </w:r>
            <w:r>
              <w:rPr>
                <w:sz w:val="20"/>
              </w:rPr>
              <w:t>pública</w:t>
            </w:r>
            <w:r>
              <w:rPr>
                <w:spacing w:val="-7"/>
                <w:sz w:val="20"/>
              </w:rPr>
              <w:t> </w:t>
            </w:r>
            <w:r>
              <w:rPr>
                <w:sz w:val="20"/>
              </w:rPr>
              <w:t>correspondiente,</w:t>
            </w:r>
            <w:r>
              <w:rPr>
                <w:spacing w:val="-10"/>
                <w:sz w:val="20"/>
              </w:rPr>
              <w:t> </w:t>
            </w:r>
            <w:r>
              <w:rPr>
                <w:sz w:val="20"/>
              </w:rPr>
              <w:t>con</w:t>
            </w:r>
            <w:r>
              <w:rPr>
                <w:spacing w:val="-8"/>
                <w:sz w:val="20"/>
              </w:rPr>
              <w:t> </w:t>
            </w:r>
            <w:r>
              <w:rPr>
                <w:sz w:val="20"/>
              </w:rPr>
              <w:t>el</w:t>
            </w:r>
            <w:r>
              <w:rPr>
                <w:spacing w:val="-9"/>
                <w:sz w:val="20"/>
              </w:rPr>
              <w:t> </w:t>
            </w:r>
            <w:r>
              <w:rPr>
                <w:sz w:val="20"/>
              </w:rPr>
              <w:t>fin</w:t>
            </w:r>
            <w:r>
              <w:rPr>
                <w:spacing w:val="-8"/>
                <w:sz w:val="20"/>
              </w:rPr>
              <w:t> </w:t>
            </w:r>
            <w:r>
              <w:rPr>
                <w:sz w:val="20"/>
              </w:rPr>
              <w:t>de</w:t>
            </w:r>
            <w:r>
              <w:rPr>
                <w:spacing w:val="-8"/>
                <w:sz w:val="20"/>
              </w:rPr>
              <w:t> </w:t>
            </w:r>
            <w:r>
              <w:rPr>
                <w:sz w:val="20"/>
              </w:rPr>
              <w:t>atender</w:t>
            </w:r>
            <w:r>
              <w:rPr>
                <w:spacing w:val="-7"/>
                <w:sz w:val="20"/>
              </w:rPr>
              <w:t> </w:t>
            </w:r>
            <w:r>
              <w:rPr>
                <w:sz w:val="20"/>
              </w:rPr>
              <w:t>la</w:t>
            </w:r>
            <w:r>
              <w:rPr>
                <w:spacing w:val="-8"/>
                <w:sz w:val="20"/>
              </w:rPr>
              <w:t> </w:t>
            </w:r>
            <w:r>
              <w:rPr>
                <w:sz w:val="20"/>
              </w:rPr>
              <w:t>necesidad institucional, en la partida de equipo y mobiliario de oficina.</w:t>
            </w:r>
          </w:p>
        </w:tc>
      </w:tr>
      <w:tr>
        <w:trPr>
          <w:trHeight w:val="299" w:hRule="atLeast"/>
        </w:trPr>
        <w:tc>
          <w:tcPr>
            <w:tcW w:w="2976" w:type="dxa"/>
            <w:shd w:val="clear" w:color="auto" w:fill="DBE4F0"/>
          </w:tcPr>
          <w:p>
            <w:pPr>
              <w:pStyle w:val="TableParagraph"/>
              <w:spacing w:before="35"/>
              <w:ind w:left="67"/>
              <w:rPr>
                <w:b/>
                <w:sz w:val="20"/>
              </w:rPr>
            </w:pPr>
            <w:r>
              <w:rPr>
                <w:b/>
                <w:sz w:val="20"/>
              </w:rPr>
              <w:t>Línea</w:t>
            </w:r>
            <w:r>
              <w:rPr>
                <w:b/>
                <w:spacing w:val="-10"/>
                <w:sz w:val="20"/>
              </w:rPr>
              <w:t> </w:t>
            </w:r>
            <w:r>
              <w:rPr>
                <w:b/>
                <w:spacing w:val="-4"/>
                <w:sz w:val="20"/>
              </w:rPr>
              <w:t>Base</w:t>
            </w:r>
          </w:p>
        </w:tc>
        <w:tc>
          <w:tcPr>
            <w:tcW w:w="7513" w:type="dxa"/>
          </w:tcPr>
          <w:p>
            <w:pPr>
              <w:pStyle w:val="TableParagraph"/>
              <w:spacing w:before="35"/>
              <w:ind w:right="60"/>
              <w:jc w:val="right"/>
              <w:rPr>
                <w:sz w:val="20"/>
              </w:rPr>
            </w:pPr>
            <w:r>
              <w:rPr>
                <w:spacing w:val="-4"/>
                <w:sz w:val="20"/>
              </w:rPr>
              <w:t>100%</w:t>
            </w:r>
          </w:p>
        </w:tc>
      </w:tr>
      <w:tr>
        <w:trPr>
          <w:trHeight w:val="302" w:hRule="atLeast"/>
        </w:trPr>
        <w:tc>
          <w:tcPr>
            <w:tcW w:w="2976" w:type="dxa"/>
            <w:shd w:val="clear" w:color="auto" w:fill="DBE4F0"/>
          </w:tcPr>
          <w:p>
            <w:pPr>
              <w:pStyle w:val="TableParagraph"/>
              <w:spacing w:before="35"/>
              <w:ind w:left="67"/>
              <w:rPr>
                <w:b/>
                <w:sz w:val="20"/>
              </w:rPr>
            </w:pPr>
            <w:r>
              <w:rPr>
                <w:b/>
                <w:sz w:val="20"/>
              </w:rPr>
              <w:t>Responsable</w:t>
            </w:r>
            <w:r>
              <w:rPr>
                <w:b/>
                <w:spacing w:val="-9"/>
                <w:sz w:val="20"/>
              </w:rPr>
              <w:t> </w:t>
            </w:r>
            <w:r>
              <w:rPr>
                <w:b/>
                <w:sz w:val="20"/>
              </w:rPr>
              <w:t>de</w:t>
            </w:r>
            <w:r>
              <w:rPr>
                <w:b/>
                <w:spacing w:val="-9"/>
                <w:sz w:val="20"/>
              </w:rPr>
              <w:t> </w:t>
            </w:r>
            <w:r>
              <w:rPr>
                <w:b/>
                <w:spacing w:val="-5"/>
                <w:sz w:val="20"/>
              </w:rPr>
              <w:t>la</w:t>
            </w:r>
          </w:p>
        </w:tc>
        <w:tc>
          <w:tcPr>
            <w:tcW w:w="7513" w:type="dxa"/>
          </w:tcPr>
          <w:p>
            <w:pPr>
              <w:pStyle w:val="TableParagraph"/>
              <w:spacing w:before="35"/>
              <w:ind w:left="70"/>
              <w:rPr>
                <w:sz w:val="20"/>
              </w:rPr>
            </w:pPr>
            <w:r>
              <w:rPr>
                <w:sz w:val="20"/>
              </w:rPr>
              <w:t>Nombre</w:t>
            </w:r>
            <w:r>
              <w:rPr>
                <w:spacing w:val="-7"/>
                <w:sz w:val="20"/>
              </w:rPr>
              <w:t> </w:t>
            </w:r>
            <w:r>
              <w:rPr>
                <w:sz w:val="20"/>
              </w:rPr>
              <w:t>del</w:t>
            </w:r>
            <w:r>
              <w:rPr>
                <w:spacing w:val="-9"/>
                <w:sz w:val="20"/>
              </w:rPr>
              <w:t> </w:t>
            </w:r>
            <w:r>
              <w:rPr>
                <w:sz w:val="20"/>
              </w:rPr>
              <w:t>funcionario:</w:t>
            </w:r>
            <w:r>
              <w:rPr>
                <w:spacing w:val="-6"/>
                <w:sz w:val="20"/>
              </w:rPr>
              <w:t> </w:t>
            </w:r>
            <w:r>
              <w:rPr>
                <w:sz w:val="20"/>
              </w:rPr>
              <w:t>Alicia</w:t>
            </w:r>
            <w:r>
              <w:rPr>
                <w:spacing w:val="-8"/>
                <w:sz w:val="20"/>
              </w:rPr>
              <w:t> </w:t>
            </w:r>
            <w:r>
              <w:rPr>
                <w:sz w:val="20"/>
              </w:rPr>
              <w:t>Boza</w:t>
            </w:r>
            <w:r>
              <w:rPr>
                <w:spacing w:val="-8"/>
                <w:sz w:val="20"/>
              </w:rPr>
              <w:t> </w:t>
            </w:r>
            <w:r>
              <w:rPr>
                <w:spacing w:val="-4"/>
                <w:sz w:val="20"/>
              </w:rPr>
              <w:t>Ruiz</w:t>
            </w:r>
          </w:p>
        </w:tc>
      </w:tr>
      <w:tr>
        <w:trPr>
          <w:trHeight w:val="299" w:hRule="atLeast"/>
        </w:trPr>
        <w:tc>
          <w:tcPr>
            <w:tcW w:w="2976" w:type="dxa"/>
            <w:shd w:val="clear" w:color="auto" w:fill="DBE4F0"/>
          </w:tcPr>
          <w:p>
            <w:pPr>
              <w:pStyle w:val="TableParagraph"/>
              <w:spacing w:before="33"/>
              <w:ind w:left="67"/>
              <w:rPr>
                <w:b/>
                <w:sz w:val="20"/>
              </w:rPr>
            </w:pPr>
            <w:r>
              <w:rPr>
                <w:b/>
                <w:spacing w:val="-2"/>
                <w:sz w:val="20"/>
              </w:rPr>
              <w:t>recopilación</w:t>
            </w:r>
            <w:r>
              <w:rPr>
                <w:b/>
                <w:spacing w:val="8"/>
                <w:sz w:val="20"/>
              </w:rPr>
              <w:t> </w:t>
            </w:r>
            <w:r>
              <w:rPr>
                <w:b/>
                <w:spacing w:val="-2"/>
                <w:sz w:val="20"/>
              </w:rPr>
              <w:t>información</w:t>
            </w:r>
          </w:p>
        </w:tc>
        <w:tc>
          <w:tcPr>
            <w:tcW w:w="7513" w:type="dxa"/>
          </w:tcPr>
          <w:p>
            <w:pPr>
              <w:pStyle w:val="TableParagraph"/>
              <w:spacing w:before="33"/>
              <w:ind w:left="70"/>
              <w:rPr>
                <w:sz w:val="20"/>
              </w:rPr>
            </w:pPr>
            <w:r>
              <w:rPr>
                <w:sz w:val="20"/>
              </w:rPr>
              <w:t>Cargo:</w:t>
            </w:r>
            <w:r>
              <w:rPr>
                <w:spacing w:val="-8"/>
                <w:sz w:val="20"/>
              </w:rPr>
              <w:t> </w:t>
            </w:r>
            <w:r>
              <w:rPr>
                <w:sz w:val="20"/>
              </w:rPr>
              <w:t>Profesional</w:t>
            </w:r>
            <w:r>
              <w:rPr>
                <w:spacing w:val="-8"/>
                <w:sz w:val="20"/>
              </w:rPr>
              <w:t> </w:t>
            </w:r>
            <w:r>
              <w:rPr>
                <w:sz w:val="20"/>
              </w:rPr>
              <w:t>en</w:t>
            </w:r>
            <w:r>
              <w:rPr>
                <w:spacing w:val="-9"/>
                <w:sz w:val="20"/>
              </w:rPr>
              <w:t> </w:t>
            </w:r>
            <w:r>
              <w:rPr>
                <w:spacing w:val="-2"/>
                <w:sz w:val="20"/>
              </w:rPr>
              <w:t>Proveeduría</w:t>
            </w:r>
          </w:p>
        </w:tc>
      </w:tr>
      <w:tr>
        <w:trPr>
          <w:trHeight w:val="599" w:hRule="atLeast"/>
        </w:trPr>
        <w:tc>
          <w:tcPr>
            <w:tcW w:w="2976" w:type="dxa"/>
            <w:shd w:val="clear" w:color="auto" w:fill="DBE4F0"/>
          </w:tcPr>
          <w:p>
            <w:pPr>
              <w:pStyle w:val="TableParagraph"/>
              <w:spacing w:before="184"/>
              <w:ind w:left="67"/>
              <w:rPr>
                <w:b/>
                <w:sz w:val="20"/>
              </w:rPr>
            </w:pPr>
            <w:r>
              <w:rPr>
                <w:b/>
                <w:spacing w:val="-2"/>
                <w:sz w:val="20"/>
              </w:rPr>
              <w:t>Clasificación</w:t>
            </w:r>
          </w:p>
        </w:tc>
        <w:tc>
          <w:tcPr>
            <w:tcW w:w="7513" w:type="dxa"/>
          </w:tcPr>
          <w:p>
            <w:pPr>
              <w:pStyle w:val="TableParagraph"/>
              <w:spacing w:before="184"/>
              <w:ind w:left="70"/>
              <w:rPr>
                <w:sz w:val="20"/>
              </w:rPr>
            </w:pPr>
            <w:r>
              <w:rPr>
                <w:sz w:val="20"/>
              </w:rPr>
              <w:t>()</w:t>
            </w:r>
            <w:r>
              <w:rPr>
                <w:spacing w:val="-6"/>
                <w:sz w:val="20"/>
              </w:rPr>
              <w:t> </w:t>
            </w:r>
            <w:r>
              <w:rPr>
                <w:sz w:val="20"/>
              </w:rPr>
              <w:t>Impacto</w:t>
            </w:r>
            <w:r>
              <w:rPr>
                <w:spacing w:val="-6"/>
                <w:sz w:val="20"/>
              </w:rPr>
              <w:t> </w:t>
            </w:r>
            <w:r>
              <w:rPr>
                <w:sz w:val="20"/>
              </w:rPr>
              <w:t>()</w:t>
            </w:r>
            <w:r>
              <w:rPr>
                <w:spacing w:val="-4"/>
                <w:sz w:val="20"/>
              </w:rPr>
              <w:t> </w:t>
            </w:r>
            <w:r>
              <w:rPr>
                <w:sz w:val="20"/>
              </w:rPr>
              <w:t>Efecto</w:t>
            </w:r>
            <w:r>
              <w:rPr>
                <w:spacing w:val="-7"/>
                <w:sz w:val="20"/>
              </w:rPr>
              <w:t> </w:t>
            </w:r>
            <w:r>
              <w:rPr>
                <w:sz w:val="20"/>
              </w:rPr>
              <w:t>(X)Producto</w:t>
            </w:r>
            <w:r>
              <w:rPr>
                <w:spacing w:val="-7"/>
                <w:sz w:val="20"/>
              </w:rPr>
              <w:t> </w:t>
            </w:r>
            <w:r>
              <w:rPr>
                <w:sz w:val="20"/>
              </w:rPr>
              <w:t>o</w:t>
            </w:r>
            <w:r>
              <w:rPr>
                <w:spacing w:val="-7"/>
                <w:sz w:val="20"/>
              </w:rPr>
              <w:t> </w:t>
            </w:r>
            <w:r>
              <w:rPr>
                <w:spacing w:val="-2"/>
                <w:sz w:val="20"/>
              </w:rPr>
              <w:t>Gestión</w:t>
            </w:r>
          </w:p>
        </w:tc>
      </w:tr>
      <w:tr>
        <w:trPr>
          <w:trHeight w:val="630" w:hRule="atLeast"/>
        </w:trPr>
        <w:tc>
          <w:tcPr>
            <w:tcW w:w="2976" w:type="dxa"/>
            <w:shd w:val="clear" w:color="auto" w:fill="DBE4F0"/>
          </w:tcPr>
          <w:p>
            <w:pPr>
              <w:pStyle w:val="TableParagraph"/>
              <w:spacing w:before="198"/>
              <w:ind w:left="67"/>
              <w:rPr>
                <w:b/>
                <w:sz w:val="20"/>
              </w:rPr>
            </w:pPr>
            <w:r>
              <w:rPr>
                <w:b/>
                <w:spacing w:val="-2"/>
                <w:sz w:val="20"/>
              </w:rPr>
              <w:t>Comentarios</w:t>
            </w:r>
            <w:r>
              <w:rPr>
                <w:b/>
                <w:spacing w:val="6"/>
                <w:sz w:val="20"/>
              </w:rPr>
              <w:t> </w:t>
            </w:r>
            <w:r>
              <w:rPr>
                <w:b/>
                <w:spacing w:val="-2"/>
                <w:sz w:val="20"/>
              </w:rPr>
              <w:t>Generales</w:t>
            </w:r>
          </w:p>
        </w:tc>
        <w:tc>
          <w:tcPr>
            <w:tcW w:w="7513" w:type="dxa"/>
          </w:tcPr>
          <w:p>
            <w:pPr>
              <w:pStyle w:val="TableParagraph"/>
              <w:rPr>
                <w:rFonts w:ascii="Times New Roman"/>
                <w:sz w:val="20"/>
              </w:rPr>
            </w:pPr>
          </w:p>
        </w:tc>
      </w:tr>
      <w:tr>
        <w:trPr>
          <w:trHeight w:val="688" w:hRule="atLeast"/>
        </w:trPr>
        <w:tc>
          <w:tcPr>
            <w:tcW w:w="2976" w:type="dxa"/>
            <w:shd w:val="clear" w:color="auto" w:fill="DBE4F0"/>
          </w:tcPr>
          <w:p>
            <w:pPr>
              <w:pStyle w:val="TableParagraph"/>
              <w:spacing w:before="228"/>
              <w:ind w:left="67"/>
              <w:rPr>
                <w:b/>
                <w:sz w:val="20"/>
              </w:rPr>
            </w:pPr>
            <w:r>
              <w:rPr>
                <w:b/>
                <w:sz w:val="20"/>
              </w:rPr>
              <w:t>PAC</w:t>
            </w:r>
            <w:r>
              <w:rPr>
                <w:b/>
                <w:spacing w:val="-8"/>
                <w:sz w:val="20"/>
              </w:rPr>
              <w:t> </w:t>
            </w:r>
            <w:r>
              <w:rPr>
                <w:b/>
                <w:spacing w:val="-2"/>
                <w:sz w:val="20"/>
              </w:rPr>
              <w:t>2.6.3</w:t>
            </w:r>
          </w:p>
        </w:tc>
        <w:tc>
          <w:tcPr>
            <w:tcW w:w="7513" w:type="dxa"/>
          </w:tcPr>
          <w:p>
            <w:pPr>
              <w:pStyle w:val="TableParagraph"/>
              <w:ind w:left="70" w:right="133"/>
              <w:rPr>
                <w:sz w:val="20"/>
              </w:rPr>
            </w:pPr>
            <w:r>
              <w:rPr>
                <w:sz w:val="20"/>
              </w:rPr>
              <w:t>Nombre del indicador: Porcentaje de solicitudes asignadas para realizar el procedimiento</w:t>
            </w:r>
            <w:r>
              <w:rPr>
                <w:spacing w:val="-4"/>
                <w:sz w:val="20"/>
              </w:rPr>
              <w:t> </w:t>
            </w:r>
            <w:r>
              <w:rPr>
                <w:sz w:val="20"/>
              </w:rPr>
              <w:t>de</w:t>
            </w:r>
            <w:r>
              <w:rPr>
                <w:spacing w:val="-7"/>
                <w:sz w:val="20"/>
              </w:rPr>
              <w:t> </w:t>
            </w:r>
            <w:r>
              <w:rPr>
                <w:sz w:val="20"/>
              </w:rPr>
              <w:t>contratación</w:t>
            </w:r>
            <w:r>
              <w:rPr>
                <w:spacing w:val="-5"/>
                <w:sz w:val="20"/>
              </w:rPr>
              <w:t> </w:t>
            </w:r>
            <w:r>
              <w:rPr>
                <w:sz w:val="20"/>
              </w:rPr>
              <w:t>pública</w:t>
            </w:r>
            <w:r>
              <w:rPr>
                <w:spacing w:val="-4"/>
                <w:sz w:val="20"/>
              </w:rPr>
              <w:t> </w:t>
            </w:r>
            <w:r>
              <w:rPr>
                <w:sz w:val="20"/>
              </w:rPr>
              <w:t>para</w:t>
            </w:r>
            <w:r>
              <w:rPr>
                <w:spacing w:val="-4"/>
                <w:sz w:val="20"/>
              </w:rPr>
              <w:t> </w:t>
            </w:r>
            <w:r>
              <w:rPr>
                <w:sz w:val="20"/>
              </w:rPr>
              <w:t>la</w:t>
            </w:r>
            <w:r>
              <w:rPr>
                <w:spacing w:val="-4"/>
                <w:sz w:val="20"/>
              </w:rPr>
              <w:t> </w:t>
            </w:r>
            <w:r>
              <w:rPr>
                <w:sz w:val="20"/>
              </w:rPr>
              <w:t>adquisición</w:t>
            </w:r>
            <w:r>
              <w:rPr>
                <w:spacing w:val="-5"/>
                <w:sz w:val="20"/>
              </w:rPr>
              <w:t> </w:t>
            </w:r>
            <w:r>
              <w:rPr>
                <w:sz w:val="20"/>
              </w:rPr>
              <w:t>de</w:t>
            </w:r>
            <w:r>
              <w:rPr>
                <w:spacing w:val="-5"/>
                <w:sz w:val="20"/>
              </w:rPr>
              <w:t> </w:t>
            </w:r>
            <w:r>
              <w:rPr>
                <w:sz w:val="20"/>
              </w:rPr>
              <w:t>bienes</w:t>
            </w:r>
            <w:r>
              <w:rPr>
                <w:spacing w:val="-5"/>
                <w:sz w:val="20"/>
              </w:rPr>
              <w:t> </w:t>
            </w:r>
            <w:r>
              <w:rPr>
                <w:sz w:val="20"/>
              </w:rPr>
              <w:t>en</w:t>
            </w:r>
            <w:r>
              <w:rPr>
                <w:spacing w:val="-6"/>
                <w:sz w:val="20"/>
              </w:rPr>
              <w:t> </w:t>
            </w:r>
            <w:r>
              <w:rPr>
                <w:sz w:val="20"/>
              </w:rPr>
              <w:t>la</w:t>
            </w:r>
            <w:r>
              <w:rPr>
                <w:spacing w:val="-6"/>
                <w:sz w:val="20"/>
              </w:rPr>
              <w:t> </w:t>
            </w:r>
            <w:r>
              <w:rPr>
                <w:sz w:val="20"/>
              </w:rPr>
              <w:t>partida</w:t>
            </w:r>
          </w:p>
          <w:p>
            <w:pPr>
              <w:pStyle w:val="TableParagraph"/>
              <w:spacing w:line="209" w:lineRule="exact"/>
              <w:ind w:left="70"/>
              <w:rPr>
                <w:sz w:val="20"/>
              </w:rPr>
            </w:pPr>
            <w:r>
              <w:rPr>
                <w:sz w:val="20"/>
              </w:rPr>
              <w:t>maquinaria,</w:t>
            </w:r>
            <w:r>
              <w:rPr>
                <w:spacing w:val="-9"/>
                <w:sz w:val="20"/>
              </w:rPr>
              <w:t> </w:t>
            </w:r>
            <w:r>
              <w:rPr>
                <w:sz w:val="20"/>
              </w:rPr>
              <w:t>equipo</w:t>
            </w:r>
            <w:r>
              <w:rPr>
                <w:spacing w:val="-11"/>
                <w:sz w:val="20"/>
              </w:rPr>
              <w:t> </w:t>
            </w:r>
            <w:r>
              <w:rPr>
                <w:sz w:val="20"/>
              </w:rPr>
              <w:t>y</w:t>
            </w:r>
            <w:r>
              <w:rPr>
                <w:spacing w:val="-9"/>
                <w:sz w:val="20"/>
              </w:rPr>
              <w:t> </w:t>
            </w:r>
            <w:r>
              <w:rPr>
                <w:sz w:val="20"/>
              </w:rPr>
              <w:t>mobiliario</w:t>
            </w:r>
            <w:r>
              <w:rPr>
                <w:spacing w:val="-11"/>
                <w:sz w:val="20"/>
              </w:rPr>
              <w:t> </w:t>
            </w:r>
            <w:r>
              <w:rPr>
                <w:spacing w:val="-2"/>
                <w:sz w:val="20"/>
              </w:rPr>
              <w:t>diverso.</w:t>
            </w:r>
          </w:p>
        </w:tc>
      </w:tr>
      <w:tr>
        <w:trPr>
          <w:trHeight w:val="460" w:hRule="atLeast"/>
        </w:trPr>
        <w:tc>
          <w:tcPr>
            <w:tcW w:w="2976" w:type="dxa"/>
            <w:shd w:val="clear" w:color="auto" w:fill="DBE4F0"/>
          </w:tcPr>
          <w:p>
            <w:pPr>
              <w:pStyle w:val="TableParagraph"/>
              <w:spacing w:before="114"/>
              <w:ind w:left="67"/>
              <w:rPr>
                <w:b/>
                <w:sz w:val="20"/>
              </w:rPr>
            </w:pPr>
            <w:r>
              <w:rPr>
                <w:b/>
                <w:sz w:val="20"/>
              </w:rPr>
              <w:t>Programa</w:t>
            </w:r>
            <w:r>
              <w:rPr>
                <w:b/>
                <w:spacing w:val="-14"/>
                <w:sz w:val="20"/>
              </w:rPr>
              <w:t> </w:t>
            </w:r>
            <w:r>
              <w:rPr>
                <w:b/>
                <w:spacing w:val="-2"/>
                <w:sz w:val="20"/>
              </w:rPr>
              <w:t>institucional:</w:t>
            </w:r>
          </w:p>
        </w:tc>
        <w:tc>
          <w:tcPr>
            <w:tcW w:w="7513" w:type="dxa"/>
          </w:tcPr>
          <w:p>
            <w:pPr>
              <w:pStyle w:val="TableParagraph"/>
              <w:spacing w:line="211" w:lineRule="exact" w:before="230"/>
              <w:ind w:left="70"/>
              <w:rPr>
                <w:sz w:val="20"/>
              </w:rPr>
            </w:pPr>
            <w:r>
              <w:rPr>
                <w:sz w:val="20"/>
              </w:rPr>
              <w:t>Actividades</w:t>
            </w:r>
            <w:r>
              <w:rPr>
                <w:spacing w:val="-14"/>
                <w:sz w:val="20"/>
              </w:rPr>
              <w:t> </w:t>
            </w:r>
            <w:r>
              <w:rPr>
                <w:spacing w:val="-2"/>
                <w:sz w:val="20"/>
              </w:rPr>
              <w:t>Centrales</w:t>
            </w:r>
          </w:p>
        </w:tc>
      </w:tr>
      <w:tr>
        <w:trPr>
          <w:trHeight w:val="484" w:hRule="atLeast"/>
        </w:trPr>
        <w:tc>
          <w:tcPr>
            <w:tcW w:w="2976" w:type="dxa"/>
            <w:shd w:val="clear" w:color="auto" w:fill="DBE4F0"/>
          </w:tcPr>
          <w:p>
            <w:pPr>
              <w:pStyle w:val="TableParagraph"/>
              <w:spacing w:before="126"/>
              <w:ind w:left="67"/>
              <w:rPr>
                <w:b/>
                <w:sz w:val="20"/>
              </w:rPr>
            </w:pPr>
            <w:r>
              <w:rPr>
                <w:b/>
                <w:sz w:val="20"/>
              </w:rPr>
              <w:t>Órgano</w:t>
            </w:r>
            <w:r>
              <w:rPr>
                <w:b/>
                <w:spacing w:val="-9"/>
                <w:sz w:val="20"/>
              </w:rPr>
              <w:t> </w:t>
            </w:r>
            <w:r>
              <w:rPr>
                <w:b/>
                <w:spacing w:val="-2"/>
                <w:sz w:val="20"/>
              </w:rPr>
              <w:t>administrativo:</w:t>
            </w:r>
          </w:p>
        </w:tc>
        <w:tc>
          <w:tcPr>
            <w:tcW w:w="7513" w:type="dxa"/>
          </w:tcPr>
          <w:p>
            <w:pPr>
              <w:pStyle w:val="TableParagraph"/>
              <w:spacing w:before="126"/>
              <w:ind w:left="70"/>
              <w:rPr>
                <w:sz w:val="20"/>
              </w:rPr>
            </w:pPr>
            <w:r>
              <w:rPr>
                <w:sz w:val="20"/>
              </w:rPr>
              <w:t>Departamento</w:t>
            </w:r>
            <w:r>
              <w:rPr>
                <w:spacing w:val="-12"/>
                <w:sz w:val="20"/>
              </w:rPr>
              <w:t> </w:t>
            </w:r>
            <w:r>
              <w:rPr>
                <w:sz w:val="20"/>
              </w:rPr>
              <w:t>de</w:t>
            </w:r>
            <w:r>
              <w:rPr>
                <w:spacing w:val="-12"/>
                <w:sz w:val="20"/>
              </w:rPr>
              <w:t> </w:t>
            </w:r>
            <w:r>
              <w:rPr>
                <w:sz w:val="20"/>
              </w:rPr>
              <w:t>Proveeduría</w:t>
            </w:r>
            <w:r>
              <w:rPr>
                <w:spacing w:val="-13"/>
                <w:sz w:val="20"/>
              </w:rPr>
              <w:t> </w:t>
            </w:r>
            <w:r>
              <w:rPr>
                <w:spacing w:val="-2"/>
                <w:sz w:val="20"/>
              </w:rPr>
              <w:t>Institucional</w:t>
            </w:r>
          </w:p>
        </w:tc>
      </w:tr>
      <w:tr>
        <w:trPr>
          <w:trHeight w:val="448" w:hRule="atLeast"/>
        </w:trPr>
        <w:tc>
          <w:tcPr>
            <w:tcW w:w="2976" w:type="dxa"/>
            <w:shd w:val="clear" w:color="auto" w:fill="DBE4F0"/>
          </w:tcPr>
          <w:p>
            <w:pPr>
              <w:pStyle w:val="TableParagraph"/>
              <w:spacing w:before="110"/>
              <w:ind w:left="67"/>
              <w:rPr>
                <w:b/>
                <w:sz w:val="20"/>
              </w:rPr>
            </w:pPr>
            <w:r>
              <w:rPr>
                <w:b/>
                <w:spacing w:val="-4"/>
                <w:sz w:val="20"/>
              </w:rPr>
              <w:t>Meta</w:t>
            </w:r>
          </w:p>
        </w:tc>
        <w:tc>
          <w:tcPr>
            <w:tcW w:w="7513" w:type="dxa"/>
          </w:tcPr>
          <w:p>
            <w:pPr>
              <w:pStyle w:val="TableParagraph"/>
              <w:spacing w:before="110"/>
              <w:ind w:left="70"/>
              <w:rPr>
                <w:sz w:val="20"/>
              </w:rPr>
            </w:pPr>
            <w:r>
              <w:rPr>
                <w:sz w:val="20"/>
              </w:rPr>
              <w:t>100%</w:t>
            </w:r>
            <w:r>
              <w:rPr>
                <w:spacing w:val="-7"/>
                <w:sz w:val="20"/>
              </w:rPr>
              <w:t> </w:t>
            </w:r>
            <w:r>
              <w:rPr>
                <w:sz w:val="20"/>
              </w:rPr>
              <w:t>de</w:t>
            </w:r>
            <w:r>
              <w:rPr>
                <w:spacing w:val="-10"/>
                <w:sz w:val="20"/>
              </w:rPr>
              <w:t> </w:t>
            </w:r>
            <w:r>
              <w:rPr>
                <w:sz w:val="20"/>
              </w:rPr>
              <w:t>solicitudes</w:t>
            </w:r>
            <w:r>
              <w:rPr>
                <w:spacing w:val="-7"/>
                <w:sz w:val="20"/>
              </w:rPr>
              <w:t> </w:t>
            </w:r>
            <w:r>
              <w:rPr>
                <w:spacing w:val="-2"/>
                <w:sz w:val="20"/>
              </w:rPr>
              <w:t>tramitadas</w:t>
            </w:r>
          </w:p>
        </w:tc>
      </w:tr>
      <w:tr>
        <w:trPr>
          <w:trHeight w:val="628" w:hRule="atLeast"/>
        </w:trPr>
        <w:tc>
          <w:tcPr>
            <w:tcW w:w="2976" w:type="dxa"/>
            <w:shd w:val="clear" w:color="auto" w:fill="DBE4F0"/>
          </w:tcPr>
          <w:p>
            <w:pPr>
              <w:pStyle w:val="TableParagraph"/>
              <w:spacing w:before="198"/>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198"/>
              <w:ind w:left="70"/>
              <w:rPr>
                <w:sz w:val="20"/>
              </w:rPr>
            </w:pPr>
            <w:r>
              <w:rPr>
                <w:sz w:val="20"/>
              </w:rPr>
              <w:t>Cantidad</w:t>
            </w:r>
            <w:r>
              <w:rPr>
                <w:spacing w:val="-9"/>
                <w:sz w:val="20"/>
              </w:rPr>
              <w:t> </w:t>
            </w:r>
            <w:r>
              <w:rPr>
                <w:sz w:val="20"/>
              </w:rPr>
              <w:t>de</w:t>
            </w:r>
            <w:r>
              <w:rPr>
                <w:spacing w:val="-7"/>
                <w:sz w:val="20"/>
              </w:rPr>
              <w:t> </w:t>
            </w:r>
            <w:r>
              <w:rPr>
                <w:sz w:val="20"/>
              </w:rPr>
              <w:t>solicitudes</w:t>
            </w:r>
            <w:r>
              <w:rPr>
                <w:spacing w:val="-8"/>
                <w:sz w:val="20"/>
              </w:rPr>
              <w:t> </w:t>
            </w:r>
            <w:r>
              <w:rPr>
                <w:sz w:val="20"/>
              </w:rPr>
              <w:t>enviadas</w:t>
            </w:r>
            <w:r>
              <w:rPr>
                <w:spacing w:val="-8"/>
                <w:sz w:val="20"/>
              </w:rPr>
              <w:t> </w:t>
            </w:r>
            <w:r>
              <w:rPr>
                <w:sz w:val="20"/>
              </w:rPr>
              <w:t>al</w:t>
            </w:r>
            <w:r>
              <w:rPr>
                <w:spacing w:val="-8"/>
                <w:sz w:val="20"/>
              </w:rPr>
              <w:t> </w:t>
            </w:r>
            <w:r>
              <w:rPr>
                <w:spacing w:val="-2"/>
                <w:sz w:val="20"/>
              </w:rPr>
              <w:t>distribuidor</w:t>
            </w:r>
          </w:p>
        </w:tc>
      </w:tr>
      <w:tr>
        <w:trPr>
          <w:trHeight w:val="630" w:hRule="atLeast"/>
        </w:trPr>
        <w:tc>
          <w:tcPr>
            <w:tcW w:w="2976" w:type="dxa"/>
            <w:shd w:val="clear" w:color="auto" w:fill="DBE4F0"/>
          </w:tcPr>
          <w:p>
            <w:pPr>
              <w:pStyle w:val="TableParagraph"/>
              <w:spacing w:before="201"/>
              <w:ind w:left="67"/>
              <w:rPr>
                <w:b/>
                <w:sz w:val="20"/>
              </w:rPr>
            </w:pPr>
            <w:r>
              <w:rPr>
                <w:b/>
                <w:spacing w:val="-2"/>
                <w:sz w:val="20"/>
              </w:rPr>
              <w:t>Periodicidad</w:t>
            </w:r>
          </w:p>
        </w:tc>
        <w:tc>
          <w:tcPr>
            <w:tcW w:w="7513" w:type="dxa"/>
          </w:tcPr>
          <w:p>
            <w:pPr>
              <w:pStyle w:val="TableParagraph"/>
              <w:spacing w:before="201"/>
              <w:ind w:left="70"/>
              <w:rPr>
                <w:sz w:val="20"/>
              </w:rPr>
            </w:pPr>
            <w:r>
              <w:rPr>
                <w:spacing w:val="-4"/>
                <w:sz w:val="20"/>
              </w:rPr>
              <w:t>Anual</w:t>
            </w:r>
          </w:p>
        </w:tc>
      </w:tr>
      <w:tr>
        <w:trPr>
          <w:trHeight w:val="631" w:hRule="atLeast"/>
        </w:trPr>
        <w:tc>
          <w:tcPr>
            <w:tcW w:w="2976" w:type="dxa"/>
            <w:shd w:val="clear" w:color="auto" w:fill="DBE4F0"/>
          </w:tcPr>
          <w:p>
            <w:pPr>
              <w:pStyle w:val="TableParagraph"/>
              <w:spacing w:before="199"/>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3" w:type="dxa"/>
          </w:tcPr>
          <w:p>
            <w:pPr>
              <w:pStyle w:val="TableParagraph"/>
              <w:spacing w:before="199"/>
              <w:ind w:left="70"/>
              <w:rPr>
                <w:sz w:val="20"/>
              </w:rPr>
            </w:pPr>
            <w:r>
              <w:rPr>
                <w:sz w:val="20"/>
              </w:rPr>
              <w:t>(Cantidad</w:t>
            </w:r>
            <w:r>
              <w:rPr>
                <w:spacing w:val="-8"/>
                <w:sz w:val="20"/>
              </w:rPr>
              <w:t> </w:t>
            </w:r>
            <w:r>
              <w:rPr>
                <w:sz w:val="20"/>
              </w:rPr>
              <w:t>de</w:t>
            </w:r>
            <w:r>
              <w:rPr>
                <w:spacing w:val="-10"/>
                <w:sz w:val="20"/>
              </w:rPr>
              <w:t> </w:t>
            </w:r>
            <w:r>
              <w:rPr>
                <w:sz w:val="20"/>
              </w:rPr>
              <w:t>solicitudes</w:t>
            </w:r>
            <w:r>
              <w:rPr>
                <w:spacing w:val="-8"/>
                <w:sz w:val="20"/>
              </w:rPr>
              <w:t> </w:t>
            </w:r>
            <w:r>
              <w:rPr>
                <w:sz w:val="20"/>
              </w:rPr>
              <w:t>tramitadas/</w:t>
            </w:r>
            <w:r>
              <w:rPr>
                <w:spacing w:val="-10"/>
                <w:sz w:val="20"/>
              </w:rPr>
              <w:t> </w:t>
            </w:r>
            <w:r>
              <w:rPr>
                <w:sz w:val="20"/>
              </w:rPr>
              <w:t>Cantidad</w:t>
            </w:r>
            <w:r>
              <w:rPr>
                <w:spacing w:val="-9"/>
                <w:sz w:val="20"/>
              </w:rPr>
              <w:t> </w:t>
            </w:r>
            <w:r>
              <w:rPr>
                <w:sz w:val="20"/>
              </w:rPr>
              <w:t>de</w:t>
            </w:r>
            <w:r>
              <w:rPr>
                <w:spacing w:val="-9"/>
                <w:sz w:val="20"/>
              </w:rPr>
              <w:t> </w:t>
            </w:r>
            <w:r>
              <w:rPr>
                <w:sz w:val="20"/>
              </w:rPr>
              <w:t>solicitudes</w:t>
            </w:r>
            <w:r>
              <w:rPr>
                <w:spacing w:val="-8"/>
                <w:sz w:val="20"/>
              </w:rPr>
              <w:t> </w:t>
            </w:r>
            <w:r>
              <w:rPr>
                <w:sz w:val="20"/>
              </w:rPr>
              <w:t>recibidas)</w:t>
            </w:r>
            <w:r>
              <w:rPr>
                <w:spacing w:val="-9"/>
                <w:sz w:val="20"/>
              </w:rPr>
              <w:t> </w:t>
            </w:r>
            <w:r>
              <w:rPr>
                <w:sz w:val="20"/>
              </w:rPr>
              <w:t>*</w:t>
            </w:r>
            <w:r>
              <w:rPr>
                <w:spacing w:val="-10"/>
                <w:sz w:val="20"/>
              </w:rPr>
              <w:t> </w:t>
            </w:r>
            <w:r>
              <w:rPr>
                <w:spacing w:val="-5"/>
                <w:sz w:val="20"/>
              </w:rPr>
              <w:t>100</w:t>
            </w:r>
          </w:p>
        </w:tc>
      </w:tr>
      <w:tr>
        <w:trPr>
          <w:trHeight w:val="630" w:hRule="atLeast"/>
        </w:trPr>
        <w:tc>
          <w:tcPr>
            <w:tcW w:w="2976" w:type="dxa"/>
            <w:shd w:val="clear" w:color="auto" w:fill="DBE4F0"/>
          </w:tcPr>
          <w:p>
            <w:pPr>
              <w:pStyle w:val="TableParagraph"/>
              <w:spacing w:before="198"/>
              <w:ind w:left="67"/>
              <w:rPr>
                <w:b/>
                <w:sz w:val="20"/>
              </w:rPr>
            </w:pPr>
            <w:r>
              <w:rPr>
                <w:b/>
                <w:spacing w:val="-2"/>
                <w:sz w:val="20"/>
              </w:rPr>
              <w:t>Fuente</w:t>
            </w:r>
          </w:p>
        </w:tc>
        <w:tc>
          <w:tcPr>
            <w:tcW w:w="7513" w:type="dxa"/>
          </w:tcPr>
          <w:p>
            <w:pPr>
              <w:pStyle w:val="TableParagraph"/>
              <w:spacing w:before="198"/>
              <w:ind w:left="70"/>
              <w:rPr>
                <w:sz w:val="20"/>
              </w:rPr>
            </w:pPr>
            <w:r>
              <w:rPr>
                <w:sz w:val="20"/>
              </w:rPr>
              <w:t>Fuente:</w:t>
            </w:r>
            <w:r>
              <w:rPr>
                <w:spacing w:val="-10"/>
                <w:sz w:val="20"/>
              </w:rPr>
              <w:t> </w:t>
            </w:r>
            <w:r>
              <w:rPr>
                <w:sz w:val="20"/>
              </w:rPr>
              <w:t>Reportes</w:t>
            </w:r>
            <w:r>
              <w:rPr>
                <w:spacing w:val="-7"/>
                <w:sz w:val="20"/>
              </w:rPr>
              <w:t> </w:t>
            </w:r>
            <w:r>
              <w:rPr>
                <w:sz w:val="20"/>
              </w:rPr>
              <w:t>SAP-</w:t>
            </w:r>
            <w:r>
              <w:rPr>
                <w:spacing w:val="-9"/>
                <w:sz w:val="20"/>
              </w:rPr>
              <w:t> </w:t>
            </w:r>
            <w:r>
              <w:rPr>
                <w:sz w:val="20"/>
              </w:rPr>
              <w:t>Reportes</w:t>
            </w:r>
            <w:r>
              <w:rPr>
                <w:spacing w:val="-8"/>
                <w:sz w:val="20"/>
              </w:rPr>
              <w:t> </w:t>
            </w:r>
            <w:r>
              <w:rPr>
                <w:spacing w:val="-2"/>
                <w:sz w:val="20"/>
              </w:rPr>
              <w:t>SICOP</w:t>
            </w:r>
          </w:p>
        </w:tc>
      </w:tr>
    </w:tbl>
    <w:p>
      <w:pPr>
        <w:pStyle w:val="TableParagraph"/>
        <w:spacing w:after="0"/>
        <w:rPr>
          <w:sz w:val="20"/>
        </w:rPr>
        <w:sectPr>
          <w:type w:val="continuous"/>
          <w:pgSz w:w="12240" w:h="15840"/>
          <w:pgMar w:header="0" w:footer="2082" w:top="1400" w:bottom="260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628" w:hRule="atLeast"/>
        </w:trPr>
        <w:tc>
          <w:tcPr>
            <w:tcW w:w="2976" w:type="dxa"/>
            <w:shd w:val="clear" w:color="auto" w:fill="DBE4F0"/>
          </w:tcPr>
          <w:p>
            <w:pPr>
              <w:pStyle w:val="TableParagraph"/>
              <w:spacing w:before="199"/>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199"/>
              <w:ind w:left="70"/>
              <w:rPr>
                <w:sz w:val="20"/>
              </w:rPr>
            </w:pPr>
            <w:r>
              <w:rPr>
                <w:sz w:val="20"/>
              </w:rPr>
              <w:t>1.</w:t>
            </w:r>
            <w:r>
              <w:rPr>
                <w:spacing w:val="-6"/>
                <w:sz w:val="20"/>
              </w:rPr>
              <w:t> </w:t>
            </w:r>
            <w:r>
              <w:rPr>
                <w:sz w:val="20"/>
              </w:rPr>
              <w:t>Informes</w:t>
            </w:r>
            <w:r>
              <w:rPr>
                <w:spacing w:val="-4"/>
                <w:sz w:val="20"/>
              </w:rPr>
              <w:t> </w:t>
            </w:r>
            <w:r>
              <w:rPr>
                <w:spacing w:val="-2"/>
                <w:sz w:val="20"/>
              </w:rPr>
              <w:t>trimestrales</w:t>
            </w:r>
          </w:p>
        </w:tc>
      </w:tr>
      <w:tr>
        <w:trPr>
          <w:trHeight w:val="630" w:hRule="atLeast"/>
        </w:trPr>
        <w:tc>
          <w:tcPr>
            <w:tcW w:w="2976" w:type="dxa"/>
            <w:shd w:val="clear" w:color="auto" w:fill="DBE4F0"/>
          </w:tcPr>
          <w:p>
            <w:pPr>
              <w:pStyle w:val="TableParagraph"/>
              <w:rPr>
                <w:rFonts w:ascii="Times New Roman"/>
                <w:sz w:val="20"/>
              </w:rPr>
            </w:pPr>
          </w:p>
        </w:tc>
        <w:tc>
          <w:tcPr>
            <w:tcW w:w="7513" w:type="dxa"/>
          </w:tcPr>
          <w:p>
            <w:pPr>
              <w:pStyle w:val="TableParagraph"/>
              <w:spacing w:before="201"/>
              <w:ind w:left="70"/>
              <w:rPr>
                <w:sz w:val="20"/>
              </w:rPr>
            </w:pPr>
            <w:r>
              <w:rPr>
                <w:sz w:val="20"/>
              </w:rPr>
              <w:t>2.</w:t>
            </w:r>
            <w:r>
              <w:rPr>
                <w:spacing w:val="-8"/>
                <w:sz w:val="20"/>
              </w:rPr>
              <w:t> </w:t>
            </w:r>
            <w:r>
              <w:rPr>
                <w:sz w:val="20"/>
              </w:rPr>
              <w:t>Reuniones</w:t>
            </w:r>
            <w:r>
              <w:rPr>
                <w:spacing w:val="-5"/>
                <w:sz w:val="20"/>
              </w:rPr>
              <w:t> </w:t>
            </w:r>
            <w:r>
              <w:rPr>
                <w:sz w:val="20"/>
              </w:rPr>
              <w:t>de</w:t>
            </w:r>
            <w:r>
              <w:rPr>
                <w:spacing w:val="-8"/>
                <w:sz w:val="20"/>
              </w:rPr>
              <w:t> </w:t>
            </w:r>
            <w:r>
              <w:rPr>
                <w:sz w:val="20"/>
              </w:rPr>
              <w:t>seguimiento</w:t>
            </w:r>
            <w:r>
              <w:rPr>
                <w:spacing w:val="-9"/>
                <w:sz w:val="20"/>
              </w:rPr>
              <w:t> </w:t>
            </w:r>
            <w:r>
              <w:rPr>
                <w:sz w:val="20"/>
              </w:rPr>
              <w:t>del</w:t>
            </w:r>
            <w:r>
              <w:rPr>
                <w:spacing w:val="-6"/>
                <w:sz w:val="20"/>
              </w:rPr>
              <w:t> </w:t>
            </w:r>
            <w:r>
              <w:rPr>
                <w:spacing w:val="-5"/>
                <w:sz w:val="20"/>
              </w:rPr>
              <w:t>PAA</w:t>
            </w:r>
          </w:p>
        </w:tc>
      </w:tr>
      <w:tr>
        <w:trPr>
          <w:trHeight w:val="1530" w:hRule="atLeast"/>
        </w:trPr>
        <w:tc>
          <w:tcPr>
            <w:tcW w:w="2976" w:type="dxa"/>
            <w:shd w:val="clear" w:color="auto" w:fill="DBE4F0"/>
          </w:tcPr>
          <w:p>
            <w:pPr>
              <w:pStyle w:val="TableParagraph"/>
              <w:rPr>
                <w:b/>
                <w:sz w:val="20"/>
              </w:rPr>
            </w:pPr>
          </w:p>
          <w:p>
            <w:pPr>
              <w:pStyle w:val="TableParagraph"/>
              <w:spacing w:before="189"/>
              <w:rPr>
                <w:b/>
                <w:sz w:val="20"/>
              </w:rPr>
            </w:pPr>
          </w:p>
          <w:p>
            <w:pPr>
              <w:pStyle w:val="TableParagraph"/>
              <w:spacing w:before="1"/>
              <w:ind w:left="67"/>
              <w:rPr>
                <w:b/>
                <w:sz w:val="20"/>
              </w:rPr>
            </w:pPr>
            <w:r>
              <w:rPr>
                <w:b/>
                <w:sz w:val="20"/>
              </w:rPr>
              <w:t>Definición</w:t>
            </w:r>
            <w:r>
              <w:rPr>
                <w:b/>
                <w:spacing w:val="-10"/>
                <w:sz w:val="20"/>
              </w:rPr>
              <w:t> </w:t>
            </w:r>
            <w:r>
              <w:rPr>
                <w:b/>
                <w:spacing w:val="-2"/>
                <w:sz w:val="20"/>
              </w:rPr>
              <w:t>conceptual</w:t>
            </w:r>
          </w:p>
        </w:tc>
        <w:tc>
          <w:tcPr>
            <w:tcW w:w="7513" w:type="dxa"/>
          </w:tcPr>
          <w:p>
            <w:pPr>
              <w:pStyle w:val="TableParagraph"/>
              <w:spacing w:before="76"/>
              <w:ind w:left="70" w:right="133"/>
              <w:rPr>
                <w:sz w:val="20"/>
              </w:rPr>
            </w:pPr>
            <w:r>
              <w:rPr>
                <w:sz w:val="20"/>
              </w:rPr>
              <w:t>Se debe entender como solicitudes tramitadas, aquellas que cuentan con un contrato notificado o en su efecto tienen una orden de pedido debidamente notificada al contratista y solicitudes recibidas, aquellas que fueron enviadas al distribuidor</w:t>
            </w:r>
            <w:r>
              <w:rPr>
                <w:spacing w:val="-4"/>
                <w:sz w:val="20"/>
              </w:rPr>
              <w:t> </w:t>
            </w:r>
            <w:r>
              <w:rPr>
                <w:sz w:val="20"/>
              </w:rPr>
              <w:t>para</w:t>
            </w:r>
            <w:r>
              <w:rPr>
                <w:spacing w:val="-5"/>
                <w:sz w:val="20"/>
              </w:rPr>
              <w:t> </w:t>
            </w:r>
            <w:r>
              <w:rPr>
                <w:sz w:val="20"/>
              </w:rPr>
              <w:t>ser</w:t>
            </w:r>
            <w:r>
              <w:rPr>
                <w:spacing w:val="-5"/>
                <w:sz w:val="20"/>
              </w:rPr>
              <w:t> </w:t>
            </w:r>
            <w:r>
              <w:rPr>
                <w:sz w:val="20"/>
              </w:rPr>
              <w:t>asignadas</w:t>
            </w:r>
            <w:r>
              <w:rPr>
                <w:spacing w:val="-4"/>
                <w:sz w:val="20"/>
              </w:rPr>
              <w:t> </w:t>
            </w:r>
            <w:r>
              <w:rPr>
                <w:sz w:val="20"/>
              </w:rPr>
              <w:t>y</w:t>
            </w:r>
            <w:r>
              <w:rPr>
                <w:spacing w:val="-4"/>
                <w:sz w:val="20"/>
              </w:rPr>
              <w:t> </w:t>
            </w:r>
            <w:r>
              <w:rPr>
                <w:sz w:val="20"/>
              </w:rPr>
              <w:t>las</w:t>
            </w:r>
            <w:r>
              <w:rPr>
                <w:spacing w:val="-4"/>
                <w:sz w:val="20"/>
              </w:rPr>
              <w:t> </w:t>
            </w:r>
            <w:r>
              <w:rPr>
                <w:sz w:val="20"/>
              </w:rPr>
              <w:t>solicites</w:t>
            </w:r>
            <w:r>
              <w:rPr>
                <w:spacing w:val="-4"/>
                <w:sz w:val="20"/>
              </w:rPr>
              <w:t> </w:t>
            </w:r>
            <w:r>
              <w:rPr>
                <w:sz w:val="20"/>
              </w:rPr>
              <w:t>de</w:t>
            </w:r>
            <w:r>
              <w:rPr>
                <w:spacing w:val="-4"/>
                <w:sz w:val="20"/>
              </w:rPr>
              <w:t> </w:t>
            </w:r>
            <w:r>
              <w:rPr>
                <w:sz w:val="20"/>
              </w:rPr>
              <w:t>pedido</w:t>
            </w:r>
            <w:r>
              <w:rPr>
                <w:spacing w:val="-5"/>
                <w:sz w:val="20"/>
              </w:rPr>
              <w:t> </w:t>
            </w:r>
            <w:r>
              <w:rPr>
                <w:sz w:val="20"/>
              </w:rPr>
              <w:t>totalmente</w:t>
            </w:r>
            <w:r>
              <w:rPr>
                <w:spacing w:val="-5"/>
                <w:sz w:val="20"/>
              </w:rPr>
              <w:t> </w:t>
            </w:r>
            <w:r>
              <w:rPr>
                <w:sz w:val="20"/>
              </w:rPr>
              <w:t>liberadas</w:t>
            </w:r>
            <w:r>
              <w:rPr>
                <w:spacing w:val="-3"/>
                <w:sz w:val="20"/>
              </w:rPr>
              <w:t> </w:t>
            </w:r>
            <w:r>
              <w:rPr>
                <w:sz w:val="20"/>
              </w:rPr>
              <w:t>para realizar la orden de pedido correspondiente, específicamente en la partida maquinaria, equipo y mobiliario diverso.</w:t>
            </w:r>
          </w:p>
        </w:tc>
      </w:tr>
      <w:tr>
        <w:trPr>
          <w:trHeight w:val="921" w:hRule="atLeast"/>
        </w:trPr>
        <w:tc>
          <w:tcPr>
            <w:tcW w:w="2976" w:type="dxa"/>
            <w:shd w:val="clear" w:color="auto" w:fill="DBE4F0"/>
          </w:tcPr>
          <w:p>
            <w:pPr>
              <w:pStyle w:val="TableParagraph"/>
              <w:spacing w:before="115"/>
              <w:rPr>
                <w:b/>
                <w:sz w:val="20"/>
              </w:rPr>
            </w:pPr>
          </w:p>
          <w:p>
            <w:pPr>
              <w:pStyle w:val="TableParagraph"/>
              <w:ind w:left="67"/>
              <w:rPr>
                <w:b/>
                <w:sz w:val="20"/>
              </w:rPr>
            </w:pPr>
            <w:r>
              <w:rPr>
                <w:b/>
                <w:spacing w:val="-2"/>
                <w:sz w:val="20"/>
              </w:rPr>
              <w:t>Interpretación</w:t>
            </w:r>
          </w:p>
        </w:tc>
        <w:tc>
          <w:tcPr>
            <w:tcW w:w="7513" w:type="dxa"/>
          </w:tcPr>
          <w:p>
            <w:pPr>
              <w:pStyle w:val="TableParagraph"/>
              <w:ind w:left="70" w:right="133"/>
              <w:rPr>
                <w:sz w:val="20"/>
              </w:rPr>
            </w:pPr>
            <w:r>
              <w:rPr>
                <w:sz w:val="20"/>
              </w:rPr>
              <w:t>Gestionar</w:t>
            </w:r>
            <w:r>
              <w:rPr>
                <w:spacing w:val="-6"/>
                <w:sz w:val="20"/>
              </w:rPr>
              <w:t> </w:t>
            </w:r>
            <w:r>
              <w:rPr>
                <w:sz w:val="20"/>
              </w:rPr>
              <w:t>las</w:t>
            </w:r>
            <w:r>
              <w:rPr>
                <w:spacing w:val="-5"/>
                <w:sz w:val="20"/>
              </w:rPr>
              <w:t> </w:t>
            </w:r>
            <w:r>
              <w:rPr>
                <w:sz w:val="20"/>
              </w:rPr>
              <w:t>solicitudes</w:t>
            </w:r>
            <w:r>
              <w:rPr>
                <w:spacing w:val="-5"/>
                <w:sz w:val="20"/>
              </w:rPr>
              <w:t> </w:t>
            </w:r>
            <w:r>
              <w:rPr>
                <w:sz w:val="20"/>
              </w:rPr>
              <w:t>enviadas</w:t>
            </w:r>
            <w:r>
              <w:rPr>
                <w:spacing w:val="-5"/>
                <w:sz w:val="20"/>
              </w:rPr>
              <w:t> </w:t>
            </w:r>
            <w:r>
              <w:rPr>
                <w:sz w:val="20"/>
              </w:rPr>
              <w:t>al</w:t>
            </w:r>
            <w:r>
              <w:rPr>
                <w:spacing w:val="-7"/>
                <w:sz w:val="20"/>
              </w:rPr>
              <w:t> </w:t>
            </w:r>
            <w:r>
              <w:rPr>
                <w:sz w:val="20"/>
              </w:rPr>
              <w:t>distribuidor</w:t>
            </w:r>
            <w:r>
              <w:rPr>
                <w:spacing w:val="-5"/>
                <w:sz w:val="20"/>
              </w:rPr>
              <w:t> </w:t>
            </w:r>
            <w:r>
              <w:rPr>
                <w:sz w:val="20"/>
              </w:rPr>
              <w:t>y</w:t>
            </w:r>
            <w:r>
              <w:rPr>
                <w:spacing w:val="-5"/>
                <w:sz w:val="20"/>
              </w:rPr>
              <w:t> </w:t>
            </w:r>
            <w:r>
              <w:rPr>
                <w:sz w:val="20"/>
              </w:rPr>
              <w:t>asignadas</w:t>
            </w:r>
            <w:r>
              <w:rPr>
                <w:spacing w:val="-3"/>
                <w:sz w:val="20"/>
              </w:rPr>
              <w:t> </w:t>
            </w:r>
            <w:r>
              <w:rPr>
                <w:sz w:val="20"/>
              </w:rPr>
              <w:t>para</w:t>
            </w:r>
            <w:r>
              <w:rPr>
                <w:spacing w:val="-6"/>
                <w:sz w:val="20"/>
              </w:rPr>
              <w:t> </w:t>
            </w:r>
            <w:r>
              <w:rPr>
                <w:sz w:val="20"/>
              </w:rPr>
              <w:t>realizar</w:t>
            </w:r>
            <w:r>
              <w:rPr>
                <w:spacing w:val="-6"/>
                <w:sz w:val="20"/>
              </w:rPr>
              <w:t> </w:t>
            </w:r>
            <w:r>
              <w:rPr>
                <w:sz w:val="20"/>
              </w:rPr>
              <w:t>el proceso de contratación pública correspondiente, con el fin de atender la necesidad institucional, en las partidas de equipo y mobiliario de oficina y</w:t>
            </w:r>
          </w:p>
          <w:p>
            <w:pPr>
              <w:pStyle w:val="TableParagraph"/>
              <w:spacing w:line="211" w:lineRule="exact" w:before="1"/>
              <w:ind w:left="70"/>
              <w:rPr>
                <w:sz w:val="20"/>
              </w:rPr>
            </w:pPr>
            <w:r>
              <w:rPr>
                <w:sz w:val="20"/>
              </w:rPr>
              <w:t>maquinaria,</w:t>
            </w:r>
            <w:r>
              <w:rPr>
                <w:spacing w:val="-8"/>
                <w:sz w:val="20"/>
              </w:rPr>
              <w:t> </w:t>
            </w:r>
            <w:r>
              <w:rPr>
                <w:sz w:val="20"/>
              </w:rPr>
              <w:t>equipo</w:t>
            </w:r>
            <w:r>
              <w:rPr>
                <w:spacing w:val="-11"/>
                <w:sz w:val="20"/>
              </w:rPr>
              <w:t> </w:t>
            </w:r>
            <w:r>
              <w:rPr>
                <w:sz w:val="20"/>
              </w:rPr>
              <w:t>y</w:t>
            </w:r>
            <w:r>
              <w:rPr>
                <w:spacing w:val="-8"/>
                <w:sz w:val="20"/>
              </w:rPr>
              <w:t> </w:t>
            </w:r>
            <w:r>
              <w:rPr>
                <w:sz w:val="20"/>
              </w:rPr>
              <w:t>mobiliario</w:t>
            </w:r>
            <w:r>
              <w:rPr>
                <w:spacing w:val="-11"/>
                <w:sz w:val="20"/>
              </w:rPr>
              <w:t> </w:t>
            </w:r>
            <w:r>
              <w:rPr>
                <w:spacing w:val="-2"/>
                <w:sz w:val="20"/>
              </w:rPr>
              <w:t>diverso.</w:t>
            </w:r>
          </w:p>
        </w:tc>
      </w:tr>
      <w:tr>
        <w:trPr>
          <w:trHeight w:val="230" w:hRule="atLeast"/>
        </w:trPr>
        <w:tc>
          <w:tcPr>
            <w:tcW w:w="2976" w:type="dxa"/>
            <w:shd w:val="clear" w:color="auto" w:fill="DBE4F0"/>
          </w:tcPr>
          <w:p>
            <w:pPr>
              <w:pStyle w:val="TableParagraph"/>
              <w:spacing w:line="210" w:lineRule="exact"/>
              <w:ind w:left="67"/>
              <w:rPr>
                <w:b/>
                <w:sz w:val="20"/>
              </w:rPr>
            </w:pPr>
            <w:r>
              <w:rPr>
                <w:b/>
                <w:sz w:val="20"/>
              </w:rPr>
              <w:t>Línea</w:t>
            </w:r>
            <w:r>
              <w:rPr>
                <w:b/>
                <w:spacing w:val="-10"/>
                <w:sz w:val="20"/>
              </w:rPr>
              <w:t> </w:t>
            </w:r>
            <w:r>
              <w:rPr>
                <w:b/>
                <w:spacing w:val="-4"/>
                <w:sz w:val="20"/>
              </w:rPr>
              <w:t>Base</w:t>
            </w:r>
          </w:p>
        </w:tc>
        <w:tc>
          <w:tcPr>
            <w:tcW w:w="7513" w:type="dxa"/>
          </w:tcPr>
          <w:p>
            <w:pPr>
              <w:pStyle w:val="TableParagraph"/>
              <w:spacing w:line="210" w:lineRule="exact"/>
              <w:ind w:left="70"/>
              <w:rPr>
                <w:sz w:val="20"/>
              </w:rPr>
            </w:pPr>
            <w:r>
              <w:rPr>
                <w:spacing w:val="-4"/>
                <w:sz w:val="20"/>
              </w:rPr>
              <w:t>100%</w:t>
            </w:r>
          </w:p>
        </w:tc>
      </w:tr>
      <w:tr>
        <w:trPr>
          <w:trHeight w:val="268" w:hRule="atLeast"/>
        </w:trPr>
        <w:tc>
          <w:tcPr>
            <w:tcW w:w="2976" w:type="dxa"/>
            <w:shd w:val="clear" w:color="auto" w:fill="DBE4F0"/>
          </w:tcPr>
          <w:p>
            <w:pPr>
              <w:pStyle w:val="TableParagraph"/>
              <w:spacing w:before="18"/>
              <w:ind w:left="67"/>
              <w:rPr>
                <w:b/>
                <w:sz w:val="20"/>
              </w:rPr>
            </w:pPr>
            <w:r>
              <w:rPr>
                <w:b/>
                <w:sz w:val="20"/>
              </w:rPr>
              <w:t>Responsable</w:t>
            </w:r>
            <w:r>
              <w:rPr>
                <w:b/>
                <w:spacing w:val="-9"/>
                <w:sz w:val="20"/>
              </w:rPr>
              <w:t> </w:t>
            </w:r>
            <w:r>
              <w:rPr>
                <w:b/>
                <w:sz w:val="20"/>
              </w:rPr>
              <w:t>de</w:t>
            </w:r>
            <w:r>
              <w:rPr>
                <w:b/>
                <w:spacing w:val="-9"/>
                <w:sz w:val="20"/>
              </w:rPr>
              <w:t> </w:t>
            </w:r>
            <w:r>
              <w:rPr>
                <w:b/>
                <w:spacing w:val="-5"/>
                <w:sz w:val="20"/>
              </w:rPr>
              <w:t>la</w:t>
            </w:r>
          </w:p>
        </w:tc>
        <w:tc>
          <w:tcPr>
            <w:tcW w:w="7513" w:type="dxa"/>
          </w:tcPr>
          <w:p>
            <w:pPr>
              <w:pStyle w:val="TableParagraph"/>
              <w:spacing w:before="18"/>
              <w:ind w:left="70"/>
              <w:rPr>
                <w:sz w:val="20"/>
              </w:rPr>
            </w:pPr>
            <w:r>
              <w:rPr>
                <w:sz w:val="20"/>
              </w:rPr>
              <w:t>Nombre</w:t>
            </w:r>
            <w:r>
              <w:rPr>
                <w:spacing w:val="-7"/>
                <w:sz w:val="20"/>
              </w:rPr>
              <w:t> </w:t>
            </w:r>
            <w:r>
              <w:rPr>
                <w:sz w:val="20"/>
              </w:rPr>
              <w:t>del</w:t>
            </w:r>
            <w:r>
              <w:rPr>
                <w:spacing w:val="-9"/>
                <w:sz w:val="20"/>
              </w:rPr>
              <w:t> </w:t>
            </w:r>
            <w:r>
              <w:rPr>
                <w:sz w:val="20"/>
              </w:rPr>
              <w:t>funcionario:</w:t>
            </w:r>
            <w:r>
              <w:rPr>
                <w:spacing w:val="-6"/>
                <w:sz w:val="20"/>
              </w:rPr>
              <w:t> </w:t>
            </w:r>
            <w:r>
              <w:rPr>
                <w:sz w:val="20"/>
              </w:rPr>
              <w:t>Alicia</w:t>
            </w:r>
            <w:r>
              <w:rPr>
                <w:spacing w:val="-8"/>
                <w:sz w:val="20"/>
              </w:rPr>
              <w:t> </w:t>
            </w:r>
            <w:r>
              <w:rPr>
                <w:sz w:val="20"/>
              </w:rPr>
              <w:t>Boza</w:t>
            </w:r>
            <w:r>
              <w:rPr>
                <w:spacing w:val="-8"/>
                <w:sz w:val="20"/>
              </w:rPr>
              <w:t> </w:t>
            </w:r>
            <w:r>
              <w:rPr>
                <w:spacing w:val="-4"/>
                <w:sz w:val="20"/>
              </w:rPr>
              <w:t>Ruiz</w:t>
            </w:r>
          </w:p>
        </w:tc>
      </w:tr>
      <w:tr>
        <w:trPr>
          <w:trHeight w:val="630" w:hRule="atLeast"/>
        </w:trPr>
        <w:tc>
          <w:tcPr>
            <w:tcW w:w="2976" w:type="dxa"/>
            <w:shd w:val="clear" w:color="auto" w:fill="DBE4F0"/>
          </w:tcPr>
          <w:p>
            <w:pPr>
              <w:pStyle w:val="TableParagraph"/>
              <w:spacing w:before="198"/>
              <w:ind w:left="67"/>
              <w:rPr>
                <w:b/>
                <w:sz w:val="20"/>
              </w:rPr>
            </w:pPr>
            <w:r>
              <w:rPr>
                <w:b/>
                <w:spacing w:val="-2"/>
                <w:sz w:val="20"/>
              </w:rPr>
              <w:t>recopilación</w:t>
            </w:r>
            <w:r>
              <w:rPr>
                <w:b/>
                <w:spacing w:val="8"/>
                <w:sz w:val="20"/>
              </w:rPr>
              <w:t> </w:t>
            </w:r>
            <w:r>
              <w:rPr>
                <w:b/>
                <w:spacing w:val="-2"/>
                <w:sz w:val="20"/>
              </w:rPr>
              <w:t>información</w:t>
            </w:r>
          </w:p>
        </w:tc>
        <w:tc>
          <w:tcPr>
            <w:tcW w:w="7513" w:type="dxa"/>
          </w:tcPr>
          <w:p>
            <w:pPr>
              <w:pStyle w:val="TableParagraph"/>
              <w:spacing w:before="198"/>
              <w:ind w:left="70"/>
              <w:rPr>
                <w:sz w:val="20"/>
              </w:rPr>
            </w:pPr>
            <w:r>
              <w:rPr>
                <w:sz w:val="20"/>
              </w:rPr>
              <w:t>Cargo:</w:t>
            </w:r>
            <w:r>
              <w:rPr>
                <w:spacing w:val="-8"/>
                <w:sz w:val="20"/>
              </w:rPr>
              <w:t> </w:t>
            </w:r>
            <w:r>
              <w:rPr>
                <w:sz w:val="20"/>
              </w:rPr>
              <w:t>Profesional</w:t>
            </w:r>
            <w:r>
              <w:rPr>
                <w:spacing w:val="-8"/>
                <w:sz w:val="20"/>
              </w:rPr>
              <w:t> </w:t>
            </w:r>
            <w:r>
              <w:rPr>
                <w:sz w:val="20"/>
              </w:rPr>
              <w:t>en</w:t>
            </w:r>
            <w:r>
              <w:rPr>
                <w:spacing w:val="-9"/>
                <w:sz w:val="20"/>
              </w:rPr>
              <w:t> </w:t>
            </w:r>
            <w:r>
              <w:rPr>
                <w:spacing w:val="-2"/>
                <w:sz w:val="20"/>
              </w:rPr>
              <w:t>Proveeduría</w:t>
            </w:r>
          </w:p>
        </w:tc>
      </w:tr>
      <w:tr>
        <w:trPr>
          <w:trHeight w:val="628" w:hRule="atLeast"/>
        </w:trPr>
        <w:tc>
          <w:tcPr>
            <w:tcW w:w="2976" w:type="dxa"/>
            <w:shd w:val="clear" w:color="auto" w:fill="DBE4F0"/>
          </w:tcPr>
          <w:p>
            <w:pPr>
              <w:pStyle w:val="TableParagraph"/>
              <w:spacing w:before="198"/>
              <w:ind w:left="67"/>
              <w:rPr>
                <w:b/>
                <w:sz w:val="20"/>
              </w:rPr>
            </w:pPr>
            <w:r>
              <w:rPr>
                <w:b/>
                <w:spacing w:val="-2"/>
                <w:sz w:val="20"/>
              </w:rPr>
              <w:t>Clasificación</w:t>
            </w:r>
          </w:p>
        </w:tc>
        <w:tc>
          <w:tcPr>
            <w:tcW w:w="7513" w:type="dxa"/>
          </w:tcPr>
          <w:p>
            <w:pPr>
              <w:pStyle w:val="TableParagraph"/>
              <w:spacing w:before="198"/>
              <w:ind w:left="70"/>
              <w:rPr>
                <w:sz w:val="20"/>
              </w:rPr>
            </w:pPr>
            <w:r>
              <w:rPr>
                <w:sz w:val="20"/>
              </w:rPr>
              <w:t>()</w:t>
            </w:r>
            <w:r>
              <w:rPr>
                <w:spacing w:val="-6"/>
                <w:sz w:val="20"/>
              </w:rPr>
              <w:t> </w:t>
            </w:r>
            <w:r>
              <w:rPr>
                <w:sz w:val="20"/>
              </w:rPr>
              <w:t>Impacto</w:t>
            </w:r>
            <w:r>
              <w:rPr>
                <w:spacing w:val="-6"/>
                <w:sz w:val="20"/>
              </w:rPr>
              <w:t> </w:t>
            </w:r>
            <w:r>
              <w:rPr>
                <w:sz w:val="20"/>
              </w:rPr>
              <w:t>()</w:t>
            </w:r>
            <w:r>
              <w:rPr>
                <w:spacing w:val="-3"/>
                <w:sz w:val="20"/>
              </w:rPr>
              <w:t> </w:t>
            </w:r>
            <w:r>
              <w:rPr>
                <w:sz w:val="20"/>
              </w:rPr>
              <w:t>Efecto</w:t>
            </w:r>
            <w:r>
              <w:rPr>
                <w:spacing w:val="-5"/>
                <w:sz w:val="20"/>
              </w:rPr>
              <w:t> </w:t>
            </w:r>
            <w:r>
              <w:rPr>
                <w:spacing w:val="-2"/>
                <w:sz w:val="20"/>
              </w:rPr>
              <w:t>(X)Producto</w:t>
            </w:r>
          </w:p>
        </w:tc>
      </w:tr>
      <w:tr>
        <w:trPr>
          <w:trHeight w:val="630" w:hRule="atLeast"/>
        </w:trPr>
        <w:tc>
          <w:tcPr>
            <w:tcW w:w="2976" w:type="dxa"/>
            <w:shd w:val="clear" w:color="auto" w:fill="DBE4F0"/>
          </w:tcPr>
          <w:p>
            <w:pPr>
              <w:pStyle w:val="TableParagraph"/>
              <w:spacing w:before="201"/>
              <w:ind w:left="67"/>
              <w:rPr>
                <w:b/>
                <w:sz w:val="20"/>
              </w:rPr>
            </w:pPr>
            <w:r>
              <w:rPr>
                <w:b/>
                <w:spacing w:val="-2"/>
                <w:sz w:val="20"/>
              </w:rPr>
              <w:t>Comentarios</w:t>
            </w:r>
            <w:r>
              <w:rPr>
                <w:b/>
                <w:spacing w:val="6"/>
                <w:sz w:val="20"/>
              </w:rPr>
              <w:t> </w:t>
            </w:r>
            <w:r>
              <w:rPr>
                <w:b/>
                <w:spacing w:val="-2"/>
                <w:sz w:val="20"/>
              </w:rPr>
              <w:t>Generales</w:t>
            </w:r>
          </w:p>
        </w:tc>
        <w:tc>
          <w:tcPr>
            <w:tcW w:w="7513" w:type="dxa"/>
          </w:tcPr>
          <w:p>
            <w:pPr>
              <w:pStyle w:val="TableParagraph"/>
              <w:rPr>
                <w:rFonts w:ascii="Times New Roman"/>
                <w:sz w:val="20"/>
              </w:rPr>
            </w:pPr>
          </w:p>
        </w:tc>
      </w:tr>
    </w:tbl>
    <w:p>
      <w:pPr>
        <w:pStyle w:val="BodyText"/>
        <w:spacing w:before="208"/>
        <w:rPr>
          <w:b/>
          <w:sz w:val="24"/>
        </w:rPr>
      </w:pPr>
    </w:p>
    <w:p>
      <w:pPr>
        <w:spacing w:before="1"/>
        <w:ind w:left="840" w:right="0" w:firstLine="0"/>
        <w:jc w:val="left"/>
        <w:rPr>
          <w:b/>
          <w:sz w:val="24"/>
        </w:rPr>
      </w:pPr>
      <w:r>
        <w:rPr>
          <w:b/>
          <w:sz w:val="24"/>
        </w:rPr>
        <w:t>Servicios</w:t>
      </w:r>
      <w:r>
        <w:rPr>
          <w:b/>
          <w:spacing w:val="-6"/>
          <w:sz w:val="24"/>
        </w:rPr>
        <w:t> </w:t>
      </w:r>
      <w:r>
        <w:rPr>
          <w:b/>
          <w:spacing w:val="-2"/>
          <w:sz w:val="24"/>
        </w:rPr>
        <w:t>Generales</w:t>
      </w:r>
    </w:p>
    <w:p>
      <w:pPr>
        <w:pStyle w:val="BodyText"/>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539" w:hRule="atLeast"/>
        </w:trPr>
        <w:tc>
          <w:tcPr>
            <w:tcW w:w="2976" w:type="dxa"/>
            <w:shd w:val="clear" w:color="auto" w:fill="DCE6F0"/>
          </w:tcPr>
          <w:p>
            <w:pPr>
              <w:pStyle w:val="TableParagraph"/>
              <w:spacing w:before="153"/>
              <w:ind w:left="67"/>
              <w:rPr>
                <w:b/>
                <w:sz w:val="20"/>
              </w:rPr>
            </w:pPr>
            <w:r>
              <w:rPr>
                <w:b/>
                <w:sz w:val="20"/>
              </w:rPr>
              <w:t>PAC</w:t>
            </w:r>
            <w:r>
              <w:rPr>
                <w:b/>
                <w:spacing w:val="-8"/>
                <w:sz w:val="20"/>
              </w:rPr>
              <w:t> </w:t>
            </w:r>
            <w:r>
              <w:rPr>
                <w:b/>
                <w:spacing w:val="-2"/>
                <w:sz w:val="20"/>
              </w:rPr>
              <w:t>2.7.1:</w:t>
            </w:r>
          </w:p>
        </w:tc>
        <w:tc>
          <w:tcPr>
            <w:tcW w:w="7513" w:type="dxa"/>
          </w:tcPr>
          <w:p>
            <w:pPr>
              <w:pStyle w:val="TableParagraph"/>
              <w:spacing w:before="38"/>
              <w:ind w:left="70" w:right="133"/>
              <w:rPr>
                <w:sz w:val="20"/>
              </w:rPr>
            </w:pPr>
            <w:r>
              <w:rPr>
                <w:sz w:val="20"/>
              </w:rPr>
              <w:t>Nombre</w:t>
            </w:r>
            <w:r>
              <w:rPr>
                <w:spacing w:val="-3"/>
                <w:sz w:val="20"/>
              </w:rPr>
              <w:t> </w:t>
            </w:r>
            <w:r>
              <w:rPr>
                <w:sz w:val="20"/>
              </w:rPr>
              <w:t>del</w:t>
            </w:r>
            <w:r>
              <w:rPr>
                <w:spacing w:val="-6"/>
                <w:sz w:val="20"/>
              </w:rPr>
              <w:t> </w:t>
            </w:r>
            <w:r>
              <w:rPr>
                <w:sz w:val="20"/>
              </w:rPr>
              <w:t>indicador:</w:t>
            </w:r>
            <w:r>
              <w:rPr>
                <w:spacing w:val="-2"/>
                <w:sz w:val="20"/>
              </w:rPr>
              <w:t> </w:t>
            </w:r>
            <w:r>
              <w:rPr>
                <w:sz w:val="20"/>
              </w:rPr>
              <w:t>Porcentaje</w:t>
            </w:r>
            <w:r>
              <w:rPr>
                <w:spacing w:val="-3"/>
                <w:sz w:val="20"/>
              </w:rPr>
              <w:t> </w:t>
            </w:r>
            <w:r>
              <w:rPr>
                <w:sz w:val="20"/>
              </w:rPr>
              <w:t>de</w:t>
            </w:r>
            <w:r>
              <w:rPr>
                <w:spacing w:val="-6"/>
                <w:sz w:val="20"/>
              </w:rPr>
              <w:t> </w:t>
            </w:r>
            <w:r>
              <w:rPr>
                <w:sz w:val="20"/>
              </w:rPr>
              <w:t>ejecución</w:t>
            </w:r>
            <w:r>
              <w:rPr>
                <w:spacing w:val="-4"/>
                <w:sz w:val="20"/>
              </w:rPr>
              <w:t> </w:t>
            </w:r>
            <w:r>
              <w:rPr>
                <w:sz w:val="20"/>
              </w:rPr>
              <w:t>del</w:t>
            </w:r>
            <w:r>
              <w:rPr>
                <w:spacing w:val="-6"/>
                <w:sz w:val="20"/>
              </w:rPr>
              <w:t> </w:t>
            </w:r>
            <w:r>
              <w:rPr>
                <w:sz w:val="20"/>
              </w:rPr>
              <w:t>proyecto</w:t>
            </w:r>
            <w:r>
              <w:rPr>
                <w:spacing w:val="-6"/>
                <w:sz w:val="20"/>
              </w:rPr>
              <w:t> </w:t>
            </w:r>
            <w:r>
              <w:rPr>
                <w:sz w:val="20"/>
              </w:rPr>
              <w:t>programado</w:t>
            </w:r>
            <w:r>
              <w:rPr>
                <w:spacing w:val="-5"/>
                <w:sz w:val="20"/>
              </w:rPr>
              <w:t> </w:t>
            </w:r>
            <w:r>
              <w:rPr>
                <w:sz w:val="20"/>
              </w:rPr>
              <w:t>para</w:t>
            </w:r>
            <w:r>
              <w:rPr>
                <w:spacing w:val="-5"/>
                <w:sz w:val="20"/>
              </w:rPr>
              <w:t> </w:t>
            </w:r>
            <w:r>
              <w:rPr>
                <w:sz w:val="20"/>
              </w:rPr>
              <w:t>el </w:t>
            </w:r>
            <w:r>
              <w:rPr>
                <w:spacing w:val="-4"/>
                <w:sz w:val="20"/>
              </w:rPr>
              <w:t>2027</w:t>
            </w:r>
          </w:p>
        </w:tc>
      </w:tr>
      <w:tr>
        <w:trPr>
          <w:trHeight w:val="299" w:hRule="atLeast"/>
        </w:trPr>
        <w:tc>
          <w:tcPr>
            <w:tcW w:w="2976" w:type="dxa"/>
            <w:shd w:val="clear" w:color="auto" w:fill="DCE6F0"/>
          </w:tcPr>
          <w:p>
            <w:pPr>
              <w:pStyle w:val="TableParagraph"/>
              <w:spacing w:before="33"/>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3" w:type="dxa"/>
          </w:tcPr>
          <w:p>
            <w:pPr>
              <w:pStyle w:val="TableParagraph"/>
              <w:spacing w:before="33"/>
              <w:ind w:left="70"/>
              <w:rPr>
                <w:sz w:val="20"/>
              </w:rPr>
            </w:pPr>
            <w:r>
              <w:rPr>
                <w:sz w:val="20"/>
              </w:rPr>
              <w:t>(Etapas</w:t>
            </w:r>
            <w:r>
              <w:rPr>
                <w:spacing w:val="-7"/>
                <w:sz w:val="20"/>
              </w:rPr>
              <w:t> </w:t>
            </w:r>
            <w:r>
              <w:rPr>
                <w:sz w:val="20"/>
              </w:rPr>
              <w:t>del</w:t>
            </w:r>
            <w:r>
              <w:rPr>
                <w:spacing w:val="-8"/>
                <w:sz w:val="20"/>
              </w:rPr>
              <w:t> </w:t>
            </w:r>
            <w:r>
              <w:rPr>
                <w:sz w:val="20"/>
              </w:rPr>
              <w:t>proyecto</w:t>
            </w:r>
            <w:r>
              <w:rPr>
                <w:spacing w:val="-5"/>
                <w:sz w:val="20"/>
              </w:rPr>
              <w:t> </w:t>
            </w:r>
            <w:r>
              <w:rPr>
                <w:sz w:val="20"/>
              </w:rPr>
              <w:t>concluidas</w:t>
            </w:r>
            <w:r>
              <w:rPr>
                <w:spacing w:val="-7"/>
                <w:sz w:val="20"/>
              </w:rPr>
              <w:t> </w:t>
            </w:r>
            <w:r>
              <w:rPr>
                <w:sz w:val="20"/>
              </w:rPr>
              <w:t>/</w:t>
            </w:r>
            <w:r>
              <w:rPr>
                <w:spacing w:val="-7"/>
                <w:sz w:val="20"/>
              </w:rPr>
              <w:t> </w:t>
            </w:r>
            <w:r>
              <w:rPr>
                <w:sz w:val="20"/>
              </w:rPr>
              <w:t>etapas</w:t>
            </w:r>
            <w:r>
              <w:rPr>
                <w:spacing w:val="-6"/>
                <w:sz w:val="20"/>
              </w:rPr>
              <w:t> </w:t>
            </w:r>
            <w:r>
              <w:rPr>
                <w:sz w:val="20"/>
              </w:rPr>
              <w:t>del</w:t>
            </w:r>
            <w:r>
              <w:rPr>
                <w:spacing w:val="-6"/>
                <w:sz w:val="20"/>
              </w:rPr>
              <w:t> </w:t>
            </w:r>
            <w:r>
              <w:rPr>
                <w:sz w:val="20"/>
              </w:rPr>
              <w:t>proyecto</w:t>
            </w:r>
            <w:r>
              <w:rPr>
                <w:spacing w:val="-6"/>
                <w:sz w:val="20"/>
              </w:rPr>
              <w:t> </w:t>
            </w:r>
            <w:r>
              <w:rPr>
                <w:sz w:val="20"/>
              </w:rPr>
              <w:t>programadas)</w:t>
            </w:r>
            <w:r>
              <w:rPr>
                <w:spacing w:val="-6"/>
                <w:sz w:val="20"/>
              </w:rPr>
              <w:t> </w:t>
            </w:r>
            <w:r>
              <w:rPr>
                <w:sz w:val="20"/>
              </w:rPr>
              <w:t>*</w:t>
            </w:r>
            <w:r>
              <w:rPr>
                <w:spacing w:val="-5"/>
                <w:sz w:val="20"/>
              </w:rPr>
              <w:t> </w:t>
            </w:r>
            <w:r>
              <w:rPr>
                <w:spacing w:val="-4"/>
                <w:sz w:val="20"/>
              </w:rPr>
              <w:t>100%</w:t>
            </w:r>
          </w:p>
        </w:tc>
      </w:tr>
      <w:tr>
        <w:trPr>
          <w:trHeight w:val="299" w:hRule="atLeast"/>
        </w:trPr>
        <w:tc>
          <w:tcPr>
            <w:tcW w:w="2976" w:type="dxa"/>
            <w:shd w:val="clear" w:color="auto" w:fill="DCE6F0"/>
          </w:tcPr>
          <w:p>
            <w:pPr>
              <w:pStyle w:val="TableParagraph"/>
              <w:spacing w:before="35"/>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35"/>
              <w:ind w:left="70"/>
              <w:rPr>
                <w:sz w:val="20"/>
              </w:rPr>
            </w:pPr>
            <w:r>
              <w:rPr>
                <w:spacing w:val="-2"/>
                <w:sz w:val="20"/>
              </w:rPr>
              <w:t>Porcentaje</w:t>
            </w:r>
          </w:p>
        </w:tc>
      </w:tr>
      <w:tr>
        <w:trPr>
          <w:trHeight w:val="690" w:hRule="atLeast"/>
        </w:trPr>
        <w:tc>
          <w:tcPr>
            <w:tcW w:w="2976" w:type="dxa"/>
            <w:shd w:val="clear" w:color="auto" w:fill="DCE6F0"/>
          </w:tcPr>
          <w:p>
            <w:pPr>
              <w:pStyle w:val="TableParagraph"/>
              <w:spacing w:before="230"/>
              <w:ind w:left="67"/>
              <w:rPr>
                <w:b/>
                <w:sz w:val="20"/>
              </w:rPr>
            </w:pPr>
            <w:r>
              <w:rPr>
                <w:b/>
                <w:spacing w:val="-2"/>
                <w:sz w:val="20"/>
              </w:rPr>
              <w:t>Interpretación:</w:t>
            </w:r>
          </w:p>
        </w:tc>
        <w:tc>
          <w:tcPr>
            <w:tcW w:w="7513" w:type="dxa"/>
          </w:tcPr>
          <w:p>
            <w:pPr>
              <w:pStyle w:val="TableParagraph"/>
              <w:spacing w:line="230" w:lineRule="exact"/>
              <w:ind w:left="70" w:right="133"/>
              <w:rPr>
                <w:sz w:val="20"/>
              </w:rPr>
            </w:pPr>
            <w:r>
              <w:rPr>
                <w:sz w:val="20"/>
              </w:rPr>
              <w:t>Mide</w:t>
            </w:r>
            <w:r>
              <w:rPr>
                <w:spacing w:val="-4"/>
                <w:sz w:val="20"/>
              </w:rPr>
              <w:t> </w:t>
            </w:r>
            <w:r>
              <w:rPr>
                <w:sz w:val="20"/>
              </w:rPr>
              <w:t>el</w:t>
            </w:r>
            <w:r>
              <w:rPr>
                <w:spacing w:val="-5"/>
                <w:sz w:val="20"/>
              </w:rPr>
              <w:t> </w:t>
            </w:r>
            <w:r>
              <w:rPr>
                <w:sz w:val="20"/>
              </w:rPr>
              <w:t>avance</w:t>
            </w:r>
            <w:r>
              <w:rPr>
                <w:spacing w:val="-4"/>
                <w:sz w:val="20"/>
              </w:rPr>
              <w:t> </w:t>
            </w:r>
            <w:r>
              <w:rPr>
                <w:sz w:val="20"/>
              </w:rPr>
              <w:t>del</w:t>
            </w:r>
            <w:r>
              <w:rPr>
                <w:spacing w:val="-5"/>
                <w:sz w:val="20"/>
              </w:rPr>
              <w:t> </w:t>
            </w:r>
            <w:r>
              <w:rPr>
                <w:sz w:val="20"/>
              </w:rPr>
              <w:t>proyecto</w:t>
            </w:r>
            <w:r>
              <w:rPr>
                <w:spacing w:val="-5"/>
                <w:sz w:val="20"/>
              </w:rPr>
              <w:t> </w:t>
            </w:r>
            <w:r>
              <w:rPr>
                <w:sz w:val="20"/>
              </w:rPr>
              <w:t>para</w:t>
            </w:r>
            <w:r>
              <w:rPr>
                <w:spacing w:val="-2"/>
                <w:sz w:val="20"/>
              </w:rPr>
              <w:t> </w:t>
            </w:r>
            <w:r>
              <w:rPr>
                <w:sz w:val="20"/>
              </w:rPr>
              <w:t>la</w:t>
            </w:r>
            <w:r>
              <w:rPr>
                <w:spacing w:val="-4"/>
                <w:sz w:val="20"/>
              </w:rPr>
              <w:t> </w:t>
            </w:r>
            <w:r>
              <w:rPr>
                <w:sz w:val="20"/>
              </w:rPr>
              <w:t>construcción</w:t>
            </w:r>
            <w:r>
              <w:rPr>
                <w:spacing w:val="-3"/>
                <w:sz w:val="20"/>
              </w:rPr>
              <w:t> </w:t>
            </w:r>
            <w:r>
              <w:rPr>
                <w:sz w:val="20"/>
              </w:rPr>
              <w:t>de</w:t>
            </w:r>
            <w:r>
              <w:rPr>
                <w:spacing w:val="-3"/>
                <w:sz w:val="20"/>
              </w:rPr>
              <w:t> </w:t>
            </w:r>
            <w:r>
              <w:rPr>
                <w:sz w:val="20"/>
              </w:rPr>
              <w:t>la</w:t>
            </w:r>
            <w:r>
              <w:rPr>
                <w:spacing w:val="-2"/>
                <w:sz w:val="20"/>
              </w:rPr>
              <w:t> </w:t>
            </w:r>
            <w:r>
              <w:rPr>
                <w:sz w:val="20"/>
              </w:rPr>
              <w:t>escalera en</w:t>
            </w:r>
            <w:r>
              <w:rPr>
                <w:spacing w:val="-5"/>
                <w:sz w:val="20"/>
              </w:rPr>
              <w:t> </w:t>
            </w:r>
            <w:r>
              <w:rPr>
                <w:sz w:val="20"/>
              </w:rPr>
              <w:t>relación</w:t>
            </w:r>
            <w:r>
              <w:rPr>
                <w:spacing w:val="-5"/>
                <w:sz w:val="20"/>
              </w:rPr>
              <w:t> </w:t>
            </w:r>
            <w:r>
              <w:rPr>
                <w:sz w:val="20"/>
              </w:rPr>
              <w:t>con</w:t>
            </w:r>
            <w:r>
              <w:rPr>
                <w:spacing w:val="-4"/>
                <w:sz w:val="20"/>
              </w:rPr>
              <w:t> </w:t>
            </w:r>
            <w:r>
              <w:rPr>
                <w:sz w:val="20"/>
              </w:rPr>
              <w:t>el cumplimiento de las etapas programadas del cronograma establecido para dicho </w:t>
            </w:r>
            <w:r>
              <w:rPr>
                <w:spacing w:val="-2"/>
                <w:sz w:val="20"/>
              </w:rPr>
              <w:t>proyecto</w:t>
            </w:r>
          </w:p>
        </w:tc>
      </w:tr>
      <w:tr>
        <w:trPr>
          <w:trHeight w:val="299" w:hRule="atLeast"/>
        </w:trPr>
        <w:tc>
          <w:tcPr>
            <w:tcW w:w="2976" w:type="dxa"/>
            <w:shd w:val="clear" w:color="auto" w:fill="DCE6F0"/>
          </w:tcPr>
          <w:p>
            <w:pPr>
              <w:pStyle w:val="TableParagraph"/>
              <w:spacing w:before="33"/>
              <w:ind w:left="67"/>
              <w:rPr>
                <w:b/>
                <w:sz w:val="20"/>
              </w:rPr>
            </w:pPr>
            <w:r>
              <w:rPr>
                <w:b/>
                <w:spacing w:val="-2"/>
                <w:sz w:val="20"/>
              </w:rPr>
              <w:t>Desagregación</w:t>
            </w:r>
          </w:p>
        </w:tc>
        <w:tc>
          <w:tcPr>
            <w:tcW w:w="7513" w:type="dxa"/>
          </w:tcPr>
          <w:p>
            <w:pPr>
              <w:pStyle w:val="TableParagraph"/>
              <w:spacing w:before="33"/>
              <w:ind w:left="70"/>
              <w:rPr>
                <w:sz w:val="20"/>
              </w:rPr>
            </w:pPr>
            <w:r>
              <w:rPr>
                <w:sz w:val="20"/>
              </w:rPr>
              <w:t>Oficinas</w:t>
            </w:r>
            <w:r>
              <w:rPr>
                <w:spacing w:val="-14"/>
                <w:sz w:val="20"/>
              </w:rPr>
              <w:t> </w:t>
            </w:r>
            <w:r>
              <w:rPr>
                <w:spacing w:val="-2"/>
                <w:sz w:val="20"/>
              </w:rPr>
              <w:t>Centrales</w:t>
            </w:r>
          </w:p>
        </w:tc>
      </w:tr>
      <w:tr>
        <w:trPr>
          <w:trHeight w:val="299" w:hRule="atLeast"/>
        </w:trPr>
        <w:tc>
          <w:tcPr>
            <w:tcW w:w="2976" w:type="dxa"/>
            <w:shd w:val="clear" w:color="auto" w:fill="DCE6F0"/>
          </w:tcPr>
          <w:p>
            <w:pPr>
              <w:pStyle w:val="TableParagraph"/>
              <w:spacing w:before="33"/>
              <w:ind w:left="67"/>
              <w:rPr>
                <w:b/>
                <w:sz w:val="20"/>
              </w:rPr>
            </w:pPr>
            <w:r>
              <w:rPr>
                <w:b/>
                <w:spacing w:val="-2"/>
                <w:sz w:val="20"/>
              </w:rPr>
              <w:t>Meta:</w:t>
            </w:r>
          </w:p>
        </w:tc>
        <w:tc>
          <w:tcPr>
            <w:tcW w:w="7513" w:type="dxa"/>
          </w:tcPr>
          <w:p>
            <w:pPr>
              <w:pStyle w:val="TableParagraph"/>
              <w:spacing w:before="33"/>
              <w:ind w:left="70"/>
              <w:rPr>
                <w:sz w:val="20"/>
              </w:rPr>
            </w:pPr>
            <w:r>
              <w:rPr>
                <w:spacing w:val="-4"/>
                <w:sz w:val="20"/>
              </w:rPr>
              <w:t>100%</w:t>
            </w:r>
          </w:p>
        </w:tc>
      </w:tr>
      <w:tr>
        <w:trPr>
          <w:trHeight w:val="299" w:hRule="atLeast"/>
        </w:trPr>
        <w:tc>
          <w:tcPr>
            <w:tcW w:w="2976" w:type="dxa"/>
            <w:shd w:val="clear" w:color="auto" w:fill="DCE6F0"/>
          </w:tcPr>
          <w:p>
            <w:pPr>
              <w:pStyle w:val="TableParagraph"/>
              <w:spacing w:before="35"/>
              <w:ind w:left="67"/>
              <w:rPr>
                <w:b/>
                <w:sz w:val="20"/>
              </w:rPr>
            </w:pPr>
            <w:r>
              <w:rPr>
                <w:b/>
                <w:sz w:val="20"/>
              </w:rPr>
              <w:t>Línea</w:t>
            </w:r>
            <w:r>
              <w:rPr>
                <w:b/>
                <w:spacing w:val="-10"/>
                <w:sz w:val="20"/>
              </w:rPr>
              <w:t> </w:t>
            </w:r>
            <w:r>
              <w:rPr>
                <w:b/>
                <w:spacing w:val="-4"/>
                <w:sz w:val="20"/>
              </w:rPr>
              <w:t>Base</w:t>
            </w:r>
          </w:p>
        </w:tc>
        <w:tc>
          <w:tcPr>
            <w:tcW w:w="7513" w:type="dxa"/>
          </w:tcPr>
          <w:p>
            <w:pPr>
              <w:pStyle w:val="TableParagraph"/>
              <w:spacing w:before="35"/>
              <w:ind w:left="70"/>
              <w:rPr>
                <w:sz w:val="20"/>
              </w:rPr>
            </w:pPr>
            <w:r>
              <w:rPr>
                <w:spacing w:val="-4"/>
                <w:sz w:val="20"/>
              </w:rPr>
              <w:t>Cero</w:t>
            </w:r>
          </w:p>
        </w:tc>
      </w:tr>
      <w:tr>
        <w:trPr>
          <w:trHeight w:val="460" w:hRule="atLeast"/>
        </w:trPr>
        <w:tc>
          <w:tcPr>
            <w:tcW w:w="2976" w:type="dxa"/>
            <w:shd w:val="clear" w:color="auto" w:fill="DCE6F0"/>
          </w:tcPr>
          <w:p>
            <w:pPr>
              <w:pStyle w:val="TableParagraph"/>
              <w:spacing w:line="230" w:lineRule="exact"/>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114"/>
              <w:ind w:left="70"/>
              <w:rPr>
                <w:sz w:val="20"/>
              </w:rPr>
            </w:pPr>
            <w:r>
              <w:rPr>
                <w:sz w:val="20"/>
              </w:rPr>
              <w:t>Trimestral</w:t>
            </w:r>
            <w:r>
              <w:rPr>
                <w:spacing w:val="-13"/>
                <w:sz w:val="20"/>
              </w:rPr>
              <w:t> </w:t>
            </w:r>
            <w:r>
              <w:rPr>
                <w:spacing w:val="-2"/>
                <w:sz w:val="20"/>
              </w:rPr>
              <w:t>acumulado.</w:t>
            </w:r>
          </w:p>
        </w:tc>
      </w:tr>
      <w:tr>
        <w:trPr>
          <w:trHeight w:val="480" w:hRule="atLeast"/>
        </w:trPr>
        <w:tc>
          <w:tcPr>
            <w:tcW w:w="2976" w:type="dxa"/>
            <w:shd w:val="clear" w:color="auto" w:fill="DCE6F0"/>
          </w:tcPr>
          <w:p>
            <w:pPr>
              <w:pStyle w:val="TableParagraph"/>
              <w:spacing w:line="230" w:lineRule="atLeast"/>
              <w:ind w:left="67" w:right="514"/>
              <w:rPr>
                <w:b/>
                <w:sz w:val="20"/>
              </w:rPr>
            </w:pPr>
            <w:r>
              <w:rPr>
                <w:b/>
                <w:sz w:val="20"/>
              </w:rPr>
              <w:t>Responsable de la recopilación</w:t>
            </w:r>
            <w:r>
              <w:rPr>
                <w:b/>
                <w:spacing w:val="-14"/>
                <w:sz w:val="20"/>
              </w:rPr>
              <w:t> </w:t>
            </w:r>
            <w:r>
              <w:rPr>
                <w:b/>
                <w:sz w:val="20"/>
              </w:rPr>
              <w:t>información</w:t>
            </w:r>
          </w:p>
        </w:tc>
        <w:tc>
          <w:tcPr>
            <w:tcW w:w="7513" w:type="dxa"/>
          </w:tcPr>
          <w:p>
            <w:pPr>
              <w:pStyle w:val="TableParagraph"/>
              <w:spacing w:line="230" w:lineRule="atLeast"/>
              <w:ind w:left="70" w:right="3072"/>
              <w:rPr>
                <w:sz w:val="20"/>
              </w:rPr>
            </w:pPr>
            <w:r>
              <w:rPr>
                <w:sz w:val="20"/>
              </w:rPr>
              <w:t>Nombre del funcionario: Teodoro Hodgson Cargo:</w:t>
            </w:r>
            <w:r>
              <w:rPr>
                <w:spacing w:val="-14"/>
                <w:sz w:val="20"/>
              </w:rPr>
              <w:t> </w:t>
            </w:r>
            <w:r>
              <w:rPr>
                <w:sz w:val="20"/>
              </w:rPr>
              <w:t>Encargado</w:t>
            </w:r>
            <w:r>
              <w:rPr>
                <w:spacing w:val="-14"/>
                <w:sz w:val="20"/>
              </w:rPr>
              <w:t> </w:t>
            </w:r>
            <w:r>
              <w:rPr>
                <w:sz w:val="20"/>
              </w:rPr>
              <w:t>Infraestructura</w:t>
            </w:r>
            <w:r>
              <w:rPr>
                <w:spacing w:val="-14"/>
                <w:sz w:val="20"/>
              </w:rPr>
              <w:t> </w:t>
            </w:r>
            <w:r>
              <w:rPr>
                <w:sz w:val="20"/>
              </w:rPr>
              <w:t>Institucional</w:t>
            </w:r>
          </w:p>
        </w:tc>
      </w:tr>
      <w:tr>
        <w:trPr>
          <w:trHeight w:val="482" w:hRule="atLeast"/>
        </w:trPr>
        <w:tc>
          <w:tcPr>
            <w:tcW w:w="2976" w:type="dxa"/>
            <w:shd w:val="clear" w:color="auto" w:fill="DCE6F0"/>
          </w:tcPr>
          <w:p>
            <w:pPr>
              <w:pStyle w:val="TableParagraph"/>
              <w:spacing w:line="230" w:lineRule="atLeast" w:before="2"/>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3" w:type="dxa"/>
          </w:tcPr>
          <w:p>
            <w:pPr>
              <w:pStyle w:val="TableParagraph"/>
              <w:spacing w:before="124"/>
              <w:ind w:left="70"/>
              <w:rPr>
                <w:sz w:val="20"/>
              </w:rPr>
            </w:pPr>
            <w:r>
              <w:rPr>
                <w:sz w:val="20"/>
              </w:rPr>
              <w:t>Proceso</w:t>
            </w:r>
            <w:r>
              <w:rPr>
                <w:spacing w:val="-9"/>
                <w:sz w:val="20"/>
              </w:rPr>
              <w:t> </w:t>
            </w:r>
            <w:r>
              <w:rPr>
                <w:sz w:val="20"/>
              </w:rPr>
              <w:t>de</w:t>
            </w:r>
            <w:r>
              <w:rPr>
                <w:spacing w:val="-9"/>
                <w:sz w:val="20"/>
              </w:rPr>
              <w:t> </w:t>
            </w:r>
            <w:r>
              <w:rPr>
                <w:sz w:val="20"/>
              </w:rPr>
              <w:t>Infraestructura</w:t>
            </w:r>
            <w:r>
              <w:rPr>
                <w:spacing w:val="-8"/>
                <w:sz w:val="20"/>
              </w:rPr>
              <w:t> </w:t>
            </w:r>
            <w:r>
              <w:rPr>
                <w:sz w:val="20"/>
              </w:rPr>
              <w:t>Institucional</w:t>
            </w:r>
            <w:r>
              <w:rPr>
                <w:spacing w:val="-9"/>
                <w:sz w:val="20"/>
              </w:rPr>
              <w:t> </w:t>
            </w:r>
            <w:r>
              <w:rPr>
                <w:sz w:val="20"/>
              </w:rPr>
              <w:t>y</w:t>
            </w:r>
            <w:r>
              <w:rPr>
                <w:spacing w:val="-8"/>
                <w:sz w:val="20"/>
              </w:rPr>
              <w:t> </w:t>
            </w:r>
            <w:r>
              <w:rPr>
                <w:sz w:val="20"/>
              </w:rPr>
              <w:t>Departamento</w:t>
            </w:r>
            <w:r>
              <w:rPr>
                <w:spacing w:val="-9"/>
                <w:sz w:val="20"/>
              </w:rPr>
              <w:t> </w:t>
            </w:r>
            <w:r>
              <w:rPr>
                <w:sz w:val="20"/>
              </w:rPr>
              <w:t>de</w:t>
            </w:r>
            <w:r>
              <w:rPr>
                <w:spacing w:val="-7"/>
                <w:sz w:val="20"/>
              </w:rPr>
              <w:t> </w:t>
            </w:r>
            <w:r>
              <w:rPr>
                <w:sz w:val="20"/>
              </w:rPr>
              <w:t>Servicios</w:t>
            </w:r>
            <w:r>
              <w:rPr>
                <w:spacing w:val="-9"/>
                <w:sz w:val="20"/>
              </w:rPr>
              <w:t> </w:t>
            </w:r>
            <w:r>
              <w:rPr>
                <w:spacing w:val="-2"/>
                <w:sz w:val="20"/>
              </w:rPr>
              <w:t>Generales.</w:t>
            </w:r>
          </w:p>
        </w:tc>
      </w:tr>
    </w:tbl>
    <w:p>
      <w:pPr>
        <w:pStyle w:val="TableParagraph"/>
        <w:spacing w:after="0"/>
        <w:rPr>
          <w:sz w:val="20"/>
        </w:rPr>
        <w:sectPr>
          <w:type w:val="continuous"/>
          <w:pgSz w:w="12240" w:h="15840"/>
          <w:pgMar w:header="0" w:footer="2082" w:top="1400" w:bottom="260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1228" w:hRule="atLeast"/>
        </w:trPr>
        <w:tc>
          <w:tcPr>
            <w:tcW w:w="2976" w:type="dxa"/>
            <w:shd w:val="clear" w:color="auto" w:fill="DCE6F0"/>
          </w:tcPr>
          <w:p>
            <w:pPr>
              <w:pStyle w:val="TableParagraph"/>
              <w:rPr>
                <w:b/>
                <w:sz w:val="20"/>
              </w:rPr>
            </w:pPr>
          </w:p>
          <w:p>
            <w:pPr>
              <w:pStyle w:val="TableParagraph"/>
              <w:spacing w:before="39"/>
              <w:rPr>
                <w:b/>
                <w:sz w:val="20"/>
              </w:rPr>
            </w:pPr>
          </w:p>
          <w:p>
            <w:pPr>
              <w:pStyle w:val="TableParagraph"/>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3" w:type="dxa"/>
          </w:tcPr>
          <w:p>
            <w:pPr>
              <w:pStyle w:val="TableParagraph"/>
              <w:spacing w:before="153"/>
              <w:ind w:left="70" w:right="133"/>
              <w:rPr>
                <w:sz w:val="20"/>
              </w:rPr>
            </w:pPr>
            <w:r>
              <w:rPr>
                <w:sz w:val="20"/>
              </w:rPr>
              <w:t>Departamento de Servicios Generales, control de contrataciones, control de solicitudes</w:t>
            </w:r>
            <w:r>
              <w:rPr>
                <w:spacing w:val="-4"/>
                <w:sz w:val="20"/>
              </w:rPr>
              <w:t> </w:t>
            </w:r>
            <w:r>
              <w:rPr>
                <w:sz w:val="20"/>
              </w:rPr>
              <w:t>de</w:t>
            </w:r>
            <w:r>
              <w:rPr>
                <w:spacing w:val="-7"/>
                <w:sz w:val="20"/>
              </w:rPr>
              <w:t> </w:t>
            </w:r>
            <w:r>
              <w:rPr>
                <w:sz w:val="20"/>
              </w:rPr>
              <w:t>pedidos,</w:t>
            </w:r>
            <w:r>
              <w:rPr>
                <w:spacing w:val="-5"/>
                <w:sz w:val="20"/>
              </w:rPr>
              <w:t> </w:t>
            </w:r>
            <w:r>
              <w:rPr>
                <w:sz w:val="20"/>
              </w:rPr>
              <w:t>Archivo</w:t>
            </w:r>
            <w:r>
              <w:rPr>
                <w:spacing w:val="-6"/>
                <w:sz w:val="20"/>
              </w:rPr>
              <w:t> </w:t>
            </w:r>
            <w:r>
              <w:rPr>
                <w:sz w:val="20"/>
              </w:rPr>
              <w:t>digital</w:t>
            </w:r>
            <w:r>
              <w:rPr>
                <w:spacing w:val="-7"/>
                <w:sz w:val="20"/>
              </w:rPr>
              <w:t> </w:t>
            </w:r>
            <w:r>
              <w:rPr>
                <w:sz w:val="20"/>
              </w:rPr>
              <w:t>de</w:t>
            </w:r>
            <w:r>
              <w:rPr>
                <w:spacing w:val="-3"/>
                <w:sz w:val="20"/>
              </w:rPr>
              <w:t> </w:t>
            </w:r>
            <w:r>
              <w:rPr>
                <w:sz w:val="20"/>
              </w:rPr>
              <w:t>oficios,</w:t>
            </w:r>
            <w:r>
              <w:rPr>
                <w:spacing w:val="-6"/>
                <w:sz w:val="20"/>
              </w:rPr>
              <w:t> </w:t>
            </w:r>
            <w:r>
              <w:rPr>
                <w:sz w:val="20"/>
              </w:rPr>
              <w:t>cronogramas</w:t>
            </w:r>
            <w:r>
              <w:rPr>
                <w:spacing w:val="-4"/>
                <w:sz w:val="20"/>
              </w:rPr>
              <w:t> </w:t>
            </w:r>
            <w:r>
              <w:rPr>
                <w:sz w:val="20"/>
              </w:rPr>
              <w:t>trimestrales</w:t>
            </w:r>
            <w:r>
              <w:rPr>
                <w:spacing w:val="-4"/>
                <w:sz w:val="20"/>
              </w:rPr>
              <w:t> </w:t>
            </w:r>
            <w:r>
              <w:rPr>
                <w:sz w:val="20"/>
              </w:rPr>
              <w:t>de avance de proyectos. SICOP expedientes de contrataciones asociados al </w:t>
            </w:r>
            <w:r>
              <w:rPr>
                <w:spacing w:val="-2"/>
                <w:sz w:val="20"/>
              </w:rPr>
              <w:t>proyecto.</w:t>
            </w:r>
          </w:p>
        </w:tc>
      </w:tr>
      <w:tr>
        <w:trPr>
          <w:trHeight w:val="662" w:hRule="atLeast"/>
        </w:trPr>
        <w:tc>
          <w:tcPr>
            <w:tcW w:w="2976" w:type="dxa"/>
            <w:shd w:val="clear" w:color="auto" w:fill="DCE6F0"/>
          </w:tcPr>
          <w:p>
            <w:pPr>
              <w:pStyle w:val="TableParagraph"/>
              <w:spacing w:before="215"/>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100"/>
              <w:ind w:left="70"/>
              <w:rPr>
                <w:sz w:val="20"/>
              </w:rPr>
            </w:pPr>
            <w:r>
              <w:rPr>
                <w:sz w:val="20"/>
              </w:rPr>
              <w:t>Cronograma</w:t>
            </w:r>
            <w:r>
              <w:rPr>
                <w:spacing w:val="-4"/>
                <w:sz w:val="20"/>
              </w:rPr>
              <w:t> </w:t>
            </w:r>
            <w:r>
              <w:rPr>
                <w:sz w:val="20"/>
              </w:rPr>
              <w:t>del</w:t>
            </w:r>
            <w:r>
              <w:rPr>
                <w:spacing w:val="-6"/>
                <w:sz w:val="20"/>
              </w:rPr>
              <w:t> </w:t>
            </w:r>
            <w:r>
              <w:rPr>
                <w:sz w:val="20"/>
              </w:rPr>
              <w:t>proyecto,</w:t>
            </w:r>
            <w:r>
              <w:rPr>
                <w:spacing w:val="-4"/>
                <w:sz w:val="20"/>
              </w:rPr>
              <w:t> </w:t>
            </w:r>
            <w:r>
              <w:rPr>
                <w:sz w:val="20"/>
              </w:rPr>
              <w:t>oficios</w:t>
            </w:r>
            <w:r>
              <w:rPr>
                <w:spacing w:val="-5"/>
                <w:sz w:val="20"/>
              </w:rPr>
              <w:t> </w:t>
            </w:r>
            <w:r>
              <w:rPr>
                <w:sz w:val="20"/>
              </w:rPr>
              <w:t>de</w:t>
            </w:r>
            <w:r>
              <w:rPr>
                <w:spacing w:val="-5"/>
                <w:sz w:val="20"/>
              </w:rPr>
              <w:t> </w:t>
            </w:r>
            <w:r>
              <w:rPr>
                <w:sz w:val="20"/>
              </w:rPr>
              <w:t>aprobación</w:t>
            </w:r>
            <w:r>
              <w:rPr>
                <w:spacing w:val="-5"/>
                <w:sz w:val="20"/>
              </w:rPr>
              <w:t> </w:t>
            </w:r>
            <w:r>
              <w:rPr>
                <w:sz w:val="20"/>
              </w:rPr>
              <w:t>de</w:t>
            </w:r>
            <w:r>
              <w:rPr>
                <w:spacing w:val="-4"/>
                <w:sz w:val="20"/>
              </w:rPr>
              <w:t> </w:t>
            </w:r>
            <w:r>
              <w:rPr>
                <w:sz w:val="20"/>
              </w:rPr>
              <w:t>etapas,</w:t>
            </w:r>
            <w:r>
              <w:rPr>
                <w:spacing w:val="-5"/>
                <w:sz w:val="20"/>
              </w:rPr>
              <w:t> </w:t>
            </w:r>
            <w:r>
              <w:rPr>
                <w:sz w:val="20"/>
              </w:rPr>
              <w:t>formularios</w:t>
            </w:r>
            <w:r>
              <w:rPr>
                <w:spacing w:val="-5"/>
                <w:sz w:val="20"/>
              </w:rPr>
              <w:t> </w:t>
            </w:r>
            <w:r>
              <w:rPr>
                <w:sz w:val="20"/>
              </w:rPr>
              <w:t>de</w:t>
            </w:r>
            <w:r>
              <w:rPr>
                <w:spacing w:val="-6"/>
                <w:sz w:val="20"/>
              </w:rPr>
              <w:t> </w:t>
            </w:r>
            <w:r>
              <w:rPr>
                <w:sz w:val="20"/>
              </w:rPr>
              <w:t>revisión de etapas, actas de recibo de contrataciones</w:t>
            </w:r>
          </w:p>
        </w:tc>
      </w:tr>
      <w:tr>
        <w:trPr>
          <w:trHeight w:val="479" w:hRule="atLeast"/>
        </w:trPr>
        <w:tc>
          <w:tcPr>
            <w:tcW w:w="2976" w:type="dxa"/>
            <w:shd w:val="clear" w:color="auto" w:fill="DCE6F0"/>
          </w:tcPr>
          <w:p>
            <w:pPr>
              <w:pStyle w:val="TableParagraph"/>
              <w:spacing w:before="124"/>
              <w:ind w:left="67"/>
              <w:rPr>
                <w:b/>
                <w:sz w:val="20"/>
              </w:rPr>
            </w:pPr>
            <w:r>
              <w:rPr>
                <w:b/>
                <w:spacing w:val="-2"/>
                <w:sz w:val="20"/>
              </w:rPr>
              <w:t>Clasificación</w:t>
            </w:r>
          </w:p>
        </w:tc>
        <w:tc>
          <w:tcPr>
            <w:tcW w:w="7513" w:type="dxa"/>
          </w:tcPr>
          <w:p>
            <w:pPr>
              <w:pStyle w:val="TableParagraph"/>
              <w:spacing w:before="124"/>
              <w:ind w:left="70"/>
              <w:rPr>
                <w:sz w:val="20"/>
              </w:rPr>
            </w:pPr>
            <w:r>
              <w:rPr>
                <w:sz w:val="20"/>
              </w:rPr>
              <w:t>Impacto</w:t>
            </w:r>
            <w:r>
              <w:rPr>
                <w:spacing w:val="-4"/>
                <w:sz w:val="20"/>
              </w:rPr>
              <w:t> </w:t>
            </w:r>
            <w:r>
              <w:rPr>
                <w:sz w:val="20"/>
              </w:rPr>
              <w:t>()</w:t>
            </w:r>
            <w:r>
              <w:rPr>
                <w:spacing w:val="-5"/>
                <w:sz w:val="20"/>
              </w:rPr>
              <w:t> </w:t>
            </w:r>
            <w:r>
              <w:rPr>
                <w:sz w:val="20"/>
              </w:rPr>
              <w:t>Efecto</w:t>
            </w:r>
            <w:r>
              <w:rPr>
                <w:spacing w:val="-4"/>
                <w:sz w:val="20"/>
              </w:rPr>
              <w:t> </w:t>
            </w:r>
            <w:r>
              <w:rPr>
                <w:sz w:val="20"/>
              </w:rPr>
              <w:t>()</w:t>
            </w:r>
            <w:r>
              <w:rPr>
                <w:spacing w:val="-5"/>
                <w:sz w:val="20"/>
              </w:rPr>
              <w:t> </w:t>
            </w:r>
            <w:r>
              <w:rPr>
                <w:spacing w:val="-2"/>
                <w:sz w:val="20"/>
              </w:rPr>
              <w:t>Producto(X)</w:t>
            </w:r>
          </w:p>
        </w:tc>
      </w:tr>
      <w:tr>
        <w:trPr>
          <w:trHeight w:val="299" w:hRule="atLeast"/>
        </w:trPr>
        <w:tc>
          <w:tcPr>
            <w:tcW w:w="2976" w:type="dxa"/>
            <w:shd w:val="clear" w:color="auto" w:fill="DCE6F0"/>
          </w:tcPr>
          <w:p>
            <w:pPr>
              <w:pStyle w:val="TableParagraph"/>
              <w:spacing w:before="33"/>
              <w:ind w:left="67"/>
              <w:rPr>
                <w:b/>
                <w:sz w:val="20"/>
              </w:rPr>
            </w:pPr>
            <w:r>
              <w:rPr>
                <w:b/>
                <w:spacing w:val="-2"/>
                <w:sz w:val="20"/>
              </w:rPr>
              <w:t>Comentarios</w:t>
            </w:r>
            <w:r>
              <w:rPr>
                <w:b/>
                <w:spacing w:val="6"/>
                <w:sz w:val="20"/>
              </w:rPr>
              <w:t> </w:t>
            </w:r>
            <w:r>
              <w:rPr>
                <w:b/>
                <w:spacing w:val="-2"/>
                <w:sz w:val="20"/>
              </w:rPr>
              <w:t>Generales</w:t>
            </w:r>
          </w:p>
        </w:tc>
        <w:tc>
          <w:tcPr>
            <w:tcW w:w="7513" w:type="dxa"/>
          </w:tcPr>
          <w:p>
            <w:pPr>
              <w:pStyle w:val="TableParagraph"/>
              <w:rPr>
                <w:rFonts w:ascii="Times New Roman"/>
                <w:sz w:val="20"/>
              </w:rPr>
            </w:pPr>
          </w:p>
        </w:tc>
      </w:tr>
    </w:tbl>
    <w:p>
      <w:pPr>
        <w:pStyle w:val="BodyText"/>
        <w:rPr>
          <w:b/>
          <w:sz w:val="20"/>
        </w:rPr>
      </w:pPr>
    </w:p>
    <w:p>
      <w:pPr>
        <w:pStyle w:val="BodyText"/>
        <w:spacing w:before="20" w:after="1"/>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6"/>
      </w:tblGrid>
      <w:tr>
        <w:trPr>
          <w:trHeight w:val="705" w:hRule="atLeast"/>
        </w:trPr>
        <w:tc>
          <w:tcPr>
            <w:tcW w:w="2976" w:type="dxa"/>
            <w:shd w:val="clear" w:color="auto" w:fill="DCE6F0"/>
          </w:tcPr>
          <w:p>
            <w:pPr>
              <w:pStyle w:val="TableParagraph"/>
              <w:spacing w:before="7"/>
              <w:rPr>
                <w:b/>
                <w:sz w:val="20"/>
              </w:rPr>
            </w:pPr>
          </w:p>
          <w:p>
            <w:pPr>
              <w:pStyle w:val="TableParagraph"/>
              <w:ind w:left="67"/>
              <w:rPr>
                <w:b/>
                <w:sz w:val="20"/>
              </w:rPr>
            </w:pPr>
            <w:r>
              <w:rPr>
                <w:b/>
                <w:sz w:val="20"/>
              </w:rPr>
              <w:t>PAC</w:t>
            </w:r>
            <w:r>
              <w:rPr>
                <w:b/>
                <w:spacing w:val="-8"/>
                <w:sz w:val="20"/>
              </w:rPr>
              <w:t> </w:t>
            </w:r>
            <w:r>
              <w:rPr>
                <w:b/>
                <w:spacing w:val="-2"/>
                <w:sz w:val="20"/>
              </w:rPr>
              <w:t>2.8.2:</w:t>
            </w:r>
          </w:p>
        </w:tc>
        <w:tc>
          <w:tcPr>
            <w:tcW w:w="7516" w:type="dxa"/>
          </w:tcPr>
          <w:p>
            <w:pPr>
              <w:pStyle w:val="TableParagraph"/>
              <w:spacing w:before="122"/>
              <w:ind w:left="70" w:right="180"/>
              <w:rPr>
                <w:sz w:val="20"/>
              </w:rPr>
            </w:pPr>
            <w:r>
              <w:rPr>
                <w:sz w:val="20"/>
              </w:rPr>
              <w:t>Porcentaje</w:t>
            </w:r>
            <w:r>
              <w:rPr>
                <w:spacing w:val="-6"/>
                <w:sz w:val="20"/>
              </w:rPr>
              <w:t> </w:t>
            </w:r>
            <w:r>
              <w:rPr>
                <w:sz w:val="20"/>
              </w:rPr>
              <w:t>de</w:t>
            </w:r>
            <w:r>
              <w:rPr>
                <w:spacing w:val="-4"/>
                <w:sz w:val="20"/>
              </w:rPr>
              <w:t> </w:t>
            </w:r>
            <w:r>
              <w:rPr>
                <w:sz w:val="20"/>
              </w:rPr>
              <w:t>puestos</w:t>
            </w:r>
            <w:r>
              <w:rPr>
                <w:spacing w:val="-5"/>
                <w:sz w:val="20"/>
              </w:rPr>
              <w:t> </w:t>
            </w:r>
            <w:r>
              <w:rPr>
                <w:sz w:val="20"/>
              </w:rPr>
              <w:t>con</w:t>
            </w:r>
            <w:r>
              <w:rPr>
                <w:spacing w:val="-5"/>
                <w:sz w:val="20"/>
              </w:rPr>
              <w:t> </w:t>
            </w:r>
            <w:r>
              <w:rPr>
                <w:sz w:val="20"/>
              </w:rPr>
              <w:t>servicios</w:t>
            </w:r>
            <w:r>
              <w:rPr>
                <w:spacing w:val="-5"/>
                <w:sz w:val="20"/>
              </w:rPr>
              <w:t> </w:t>
            </w:r>
            <w:r>
              <w:rPr>
                <w:sz w:val="20"/>
              </w:rPr>
              <w:t>de</w:t>
            </w:r>
            <w:r>
              <w:rPr>
                <w:spacing w:val="-5"/>
                <w:sz w:val="20"/>
              </w:rPr>
              <w:t> </w:t>
            </w:r>
            <w:r>
              <w:rPr>
                <w:sz w:val="20"/>
              </w:rPr>
              <w:t>Seguridad</w:t>
            </w:r>
            <w:r>
              <w:rPr>
                <w:spacing w:val="-7"/>
                <w:sz w:val="20"/>
              </w:rPr>
              <w:t> </w:t>
            </w:r>
            <w:r>
              <w:rPr>
                <w:sz w:val="20"/>
              </w:rPr>
              <w:t>y</w:t>
            </w:r>
            <w:r>
              <w:rPr>
                <w:spacing w:val="-3"/>
                <w:sz w:val="20"/>
              </w:rPr>
              <w:t> </w:t>
            </w:r>
            <w:r>
              <w:rPr>
                <w:sz w:val="20"/>
              </w:rPr>
              <w:t>Vigilancia</w:t>
            </w:r>
            <w:r>
              <w:rPr>
                <w:spacing w:val="-6"/>
                <w:sz w:val="20"/>
              </w:rPr>
              <w:t> </w:t>
            </w:r>
            <w:r>
              <w:rPr>
                <w:sz w:val="20"/>
              </w:rPr>
              <w:t>ejecutados</w:t>
            </w:r>
            <w:r>
              <w:rPr>
                <w:spacing w:val="-5"/>
                <w:sz w:val="20"/>
              </w:rPr>
              <w:t> </w:t>
            </w:r>
            <w:r>
              <w:rPr>
                <w:sz w:val="20"/>
              </w:rPr>
              <w:t>de forma continua</w:t>
            </w:r>
          </w:p>
        </w:tc>
      </w:tr>
      <w:tr>
        <w:trPr>
          <w:trHeight w:val="748" w:hRule="atLeast"/>
        </w:trPr>
        <w:tc>
          <w:tcPr>
            <w:tcW w:w="2976" w:type="dxa"/>
            <w:shd w:val="clear" w:color="auto" w:fill="DCE6F0"/>
          </w:tcPr>
          <w:p>
            <w:pPr>
              <w:pStyle w:val="TableParagraph"/>
              <w:spacing w:before="28"/>
              <w:rPr>
                <w:b/>
                <w:sz w:val="20"/>
              </w:rPr>
            </w:pPr>
          </w:p>
          <w:p>
            <w:pPr>
              <w:pStyle w:val="TableParagraph"/>
              <w:ind w:left="67"/>
              <w:rPr>
                <w:b/>
                <w:sz w:val="20"/>
              </w:rPr>
            </w:pPr>
            <w:r>
              <w:rPr>
                <w:b/>
                <w:sz w:val="20"/>
              </w:rPr>
              <w:t>Formular</w:t>
            </w:r>
            <w:r>
              <w:rPr>
                <w:b/>
                <w:spacing w:val="-10"/>
                <w:sz w:val="20"/>
              </w:rPr>
              <w:t> </w:t>
            </w:r>
            <w:r>
              <w:rPr>
                <w:b/>
                <w:sz w:val="20"/>
              </w:rPr>
              <w:t>de</w:t>
            </w:r>
            <w:r>
              <w:rPr>
                <w:b/>
                <w:spacing w:val="-6"/>
                <w:sz w:val="20"/>
              </w:rPr>
              <w:t> </w:t>
            </w:r>
            <w:r>
              <w:rPr>
                <w:b/>
                <w:spacing w:val="-2"/>
                <w:sz w:val="20"/>
              </w:rPr>
              <w:t>cálculo:</w:t>
            </w:r>
          </w:p>
        </w:tc>
        <w:tc>
          <w:tcPr>
            <w:tcW w:w="7516" w:type="dxa"/>
          </w:tcPr>
          <w:p>
            <w:pPr>
              <w:pStyle w:val="TableParagraph"/>
              <w:spacing w:before="143"/>
              <w:ind w:left="70" w:right="180"/>
              <w:rPr>
                <w:sz w:val="20"/>
              </w:rPr>
            </w:pPr>
            <w:r>
              <w:rPr>
                <w:sz w:val="20"/>
              </w:rPr>
              <w:t>Porcentaje</w:t>
            </w:r>
            <w:r>
              <w:rPr>
                <w:spacing w:val="-6"/>
                <w:sz w:val="20"/>
              </w:rPr>
              <w:t> </w:t>
            </w:r>
            <w:r>
              <w:rPr>
                <w:sz w:val="20"/>
              </w:rPr>
              <w:t>de</w:t>
            </w:r>
            <w:r>
              <w:rPr>
                <w:spacing w:val="-4"/>
                <w:sz w:val="20"/>
              </w:rPr>
              <w:t> </w:t>
            </w:r>
            <w:r>
              <w:rPr>
                <w:sz w:val="20"/>
              </w:rPr>
              <w:t>puestos</w:t>
            </w:r>
            <w:r>
              <w:rPr>
                <w:spacing w:val="-5"/>
                <w:sz w:val="20"/>
              </w:rPr>
              <w:t> </w:t>
            </w:r>
            <w:r>
              <w:rPr>
                <w:sz w:val="20"/>
              </w:rPr>
              <w:t>con</w:t>
            </w:r>
            <w:r>
              <w:rPr>
                <w:spacing w:val="-5"/>
                <w:sz w:val="20"/>
              </w:rPr>
              <w:t> </w:t>
            </w:r>
            <w:r>
              <w:rPr>
                <w:sz w:val="20"/>
              </w:rPr>
              <w:t>servicios</w:t>
            </w:r>
            <w:r>
              <w:rPr>
                <w:spacing w:val="-5"/>
                <w:sz w:val="20"/>
              </w:rPr>
              <w:t> </w:t>
            </w:r>
            <w:r>
              <w:rPr>
                <w:sz w:val="20"/>
              </w:rPr>
              <w:t>de</w:t>
            </w:r>
            <w:r>
              <w:rPr>
                <w:spacing w:val="-5"/>
                <w:sz w:val="20"/>
              </w:rPr>
              <w:t> </w:t>
            </w:r>
            <w:r>
              <w:rPr>
                <w:sz w:val="20"/>
              </w:rPr>
              <w:t>Seguridad</w:t>
            </w:r>
            <w:r>
              <w:rPr>
                <w:spacing w:val="-7"/>
                <w:sz w:val="20"/>
              </w:rPr>
              <w:t> </w:t>
            </w:r>
            <w:r>
              <w:rPr>
                <w:sz w:val="20"/>
              </w:rPr>
              <w:t>y</w:t>
            </w:r>
            <w:r>
              <w:rPr>
                <w:spacing w:val="-3"/>
                <w:sz w:val="20"/>
              </w:rPr>
              <w:t> </w:t>
            </w:r>
            <w:r>
              <w:rPr>
                <w:sz w:val="20"/>
              </w:rPr>
              <w:t>Vigilancia</w:t>
            </w:r>
            <w:r>
              <w:rPr>
                <w:spacing w:val="-6"/>
                <w:sz w:val="20"/>
              </w:rPr>
              <w:t> </w:t>
            </w:r>
            <w:r>
              <w:rPr>
                <w:sz w:val="20"/>
              </w:rPr>
              <w:t>ejecutados</w:t>
            </w:r>
            <w:r>
              <w:rPr>
                <w:spacing w:val="-5"/>
                <w:sz w:val="20"/>
              </w:rPr>
              <w:t> </w:t>
            </w:r>
            <w:r>
              <w:rPr>
                <w:sz w:val="20"/>
              </w:rPr>
              <w:t>de forma continua entre No. de puestos institucionales con servicios continuos</w:t>
            </w:r>
          </w:p>
        </w:tc>
      </w:tr>
      <w:tr>
        <w:trPr>
          <w:trHeight w:val="302" w:hRule="atLeast"/>
        </w:trPr>
        <w:tc>
          <w:tcPr>
            <w:tcW w:w="2976" w:type="dxa"/>
            <w:shd w:val="clear" w:color="auto" w:fill="DCE6F0"/>
          </w:tcPr>
          <w:p>
            <w:pPr>
              <w:pStyle w:val="TableParagraph"/>
              <w:spacing w:before="35"/>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6" w:type="dxa"/>
          </w:tcPr>
          <w:p>
            <w:pPr>
              <w:pStyle w:val="TableParagraph"/>
              <w:spacing w:before="35"/>
              <w:ind w:left="70"/>
              <w:rPr>
                <w:sz w:val="20"/>
              </w:rPr>
            </w:pPr>
            <w:r>
              <w:rPr>
                <w:spacing w:val="-2"/>
                <w:sz w:val="20"/>
              </w:rPr>
              <w:t>Porcentaje</w:t>
            </w:r>
          </w:p>
        </w:tc>
      </w:tr>
      <w:tr>
        <w:trPr>
          <w:trHeight w:val="299" w:hRule="atLeast"/>
        </w:trPr>
        <w:tc>
          <w:tcPr>
            <w:tcW w:w="2976" w:type="dxa"/>
            <w:shd w:val="clear" w:color="auto" w:fill="DCE6F0"/>
          </w:tcPr>
          <w:p>
            <w:pPr>
              <w:pStyle w:val="TableParagraph"/>
              <w:spacing w:before="33"/>
              <w:ind w:left="67"/>
              <w:rPr>
                <w:b/>
                <w:sz w:val="20"/>
              </w:rPr>
            </w:pPr>
            <w:r>
              <w:rPr>
                <w:b/>
                <w:spacing w:val="-2"/>
                <w:sz w:val="20"/>
              </w:rPr>
              <w:t>Interpretación:</w:t>
            </w:r>
          </w:p>
        </w:tc>
        <w:tc>
          <w:tcPr>
            <w:tcW w:w="7516" w:type="dxa"/>
          </w:tcPr>
          <w:p>
            <w:pPr>
              <w:pStyle w:val="TableParagraph"/>
              <w:spacing w:before="33"/>
              <w:ind w:left="70"/>
              <w:rPr>
                <w:sz w:val="20"/>
              </w:rPr>
            </w:pPr>
            <w:r>
              <w:rPr>
                <w:sz w:val="20"/>
              </w:rPr>
              <w:t>Monitoreo</w:t>
            </w:r>
            <w:r>
              <w:rPr>
                <w:spacing w:val="-9"/>
                <w:sz w:val="20"/>
              </w:rPr>
              <w:t> </w:t>
            </w:r>
            <w:r>
              <w:rPr>
                <w:sz w:val="20"/>
              </w:rPr>
              <w:t>sobre</w:t>
            </w:r>
            <w:r>
              <w:rPr>
                <w:spacing w:val="-6"/>
                <w:sz w:val="20"/>
              </w:rPr>
              <w:t> </w:t>
            </w:r>
            <w:r>
              <w:rPr>
                <w:sz w:val="20"/>
              </w:rPr>
              <w:t>la</w:t>
            </w:r>
            <w:r>
              <w:rPr>
                <w:spacing w:val="-7"/>
                <w:sz w:val="20"/>
              </w:rPr>
              <w:t> </w:t>
            </w:r>
            <w:r>
              <w:rPr>
                <w:sz w:val="20"/>
              </w:rPr>
              <w:t>ejecución</w:t>
            </w:r>
            <w:r>
              <w:rPr>
                <w:spacing w:val="-8"/>
                <w:sz w:val="20"/>
              </w:rPr>
              <w:t> </w:t>
            </w:r>
            <w:r>
              <w:rPr>
                <w:sz w:val="20"/>
              </w:rPr>
              <w:t>del</w:t>
            </w:r>
            <w:r>
              <w:rPr>
                <w:spacing w:val="-9"/>
                <w:sz w:val="20"/>
              </w:rPr>
              <w:t> </w:t>
            </w:r>
            <w:r>
              <w:rPr>
                <w:spacing w:val="-2"/>
                <w:sz w:val="20"/>
              </w:rPr>
              <w:t>contrato.</w:t>
            </w:r>
          </w:p>
        </w:tc>
      </w:tr>
      <w:tr>
        <w:trPr>
          <w:trHeight w:val="299" w:hRule="atLeast"/>
        </w:trPr>
        <w:tc>
          <w:tcPr>
            <w:tcW w:w="2976" w:type="dxa"/>
            <w:shd w:val="clear" w:color="auto" w:fill="DCE6F0"/>
          </w:tcPr>
          <w:p>
            <w:pPr>
              <w:pStyle w:val="TableParagraph"/>
              <w:spacing w:before="33"/>
              <w:ind w:left="67"/>
              <w:rPr>
                <w:b/>
                <w:sz w:val="20"/>
              </w:rPr>
            </w:pPr>
            <w:r>
              <w:rPr>
                <w:b/>
                <w:spacing w:val="-2"/>
                <w:sz w:val="20"/>
              </w:rPr>
              <w:t>Desagregación</w:t>
            </w:r>
          </w:p>
        </w:tc>
        <w:tc>
          <w:tcPr>
            <w:tcW w:w="7516" w:type="dxa"/>
          </w:tcPr>
          <w:p>
            <w:pPr>
              <w:pStyle w:val="TableParagraph"/>
              <w:spacing w:before="33"/>
              <w:ind w:left="70"/>
              <w:rPr>
                <w:sz w:val="20"/>
              </w:rPr>
            </w:pPr>
            <w:r>
              <w:rPr>
                <w:sz w:val="20"/>
              </w:rPr>
              <w:t>La</w:t>
            </w:r>
            <w:r>
              <w:rPr>
                <w:spacing w:val="-8"/>
                <w:sz w:val="20"/>
              </w:rPr>
              <w:t> </w:t>
            </w:r>
            <w:r>
              <w:rPr>
                <w:sz w:val="20"/>
              </w:rPr>
              <w:t>cobertura</w:t>
            </w:r>
            <w:r>
              <w:rPr>
                <w:spacing w:val="-6"/>
                <w:sz w:val="20"/>
              </w:rPr>
              <w:t> </w:t>
            </w:r>
            <w:r>
              <w:rPr>
                <w:sz w:val="20"/>
              </w:rPr>
              <w:t>de</w:t>
            </w:r>
            <w:r>
              <w:rPr>
                <w:spacing w:val="-6"/>
                <w:sz w:val="20"/>
              </w:rPr>
              <w:t> </w:t>
            </w:r>
            <w:r>
              <w:rPr>
                <w:sz w:val="20"/>
              </w:rPr>
              <w:t>seguridad</w:t>
            </w:r>
            <w:r>
              <w:rPr>
                <w:spacing w:val="-5"/>
                <w:sz w:val="20"/>
              </w:rPr>
              <w:t> </w:t>
            </w:r>
            <w:r>
              <w:rPr>
                <w:sz w:val="20"/>
              </w:rPr>
              <w:t>y</w:t>
            </w:r>
            <w:r>
              <w:rPr>
                <w:spacing w:val="-6"/>
                <w:sz w:val="20"/>
              </w:rPr>
              <w:t> </w:t>
            </w:r>
            <w:r>
              <w:rPr>
                <w:sz w:val="20"/>
              </w:rPr>
              <w:t>vigilancia</w:t>
            </w:r>
            <w:r>
              <w:rPr>
                <w:spacing w:val="-6"/>
                <w:sz w:val="20"/>
              </w:rPr>
              <w:t> </w:t>
            </w:r>
            <w:r>
              <w:rPr>
                <w:sz w:val="20"/>
              </w:rPr>
              <w:t>es</w:t>
            </w:r>
            <w:r>
              <w:rPr>
                <w:spacing w:val="-5"/>
                <w:sz w:val="20"/>
              </w:rPr>
              <w:t> </w:t>
            </w:r>
            <w:r>
              <w:rPr>
                <w:sz w:val="20"/>
              </w:rPr>
              <w:t>a</w:t>
            </w:r>
            <w:r>
              <w:rPr>
                <w:spacing w:val="-5"/>
                <w:sz w:val="20"/>
              </w:rPr>
              <w:t> </w:t>
            </w:r>
            <w:r>
              <w:rPr>
                <w:sz w:val="20"/>
              </w:rPr>
              <w:t>nivel</w:t>
            </w:r>
            <w:r>
              <w:rPr>
                <w:spacing w:val="-7"/>
                <w:sz w:val="20"/>
              </w:rPr>
              <w:t> </w:t>
            </w:r>
            <w:r>
              <w:rPr>
                <w:spacing w:val="-2"/>
                <w:sz w:val="20"/>
              </w:rPr>
              <w:t>nacional</w:t>
            </w:r>
          </w:p>
        </w:tc>
      </w:tr>
      <w:tr>
        <w:trPr>
          <w:trHeight w:val="299" w:hRule="atLeast"/>
        </w:trPr>
        <w:tc>
          <w:tcPr>
            <w:tcW w:w="2976" w:type="dxa"/>
            <w:shd w:val="clear" w:color="auto" w:fill="DCE6F0"/>
          </w:tcPr>
          <w:p>
            <w:pPr>
              <w:pStyle w:val="TableParagraph"/>
              <w:spacing w:before="33"/>
              <w:ind w:left="67"/>
              <w:rPr>
                <w:b/>
                <w:sz w:val="20"/>
              </w:rPr>
            </w:pPr>
            <w:r>
              <w:rPr>
                <w:b/>
                <w:spacing w:val="-2"/>
                <w:sz w:val="20"/>
              </w:rPr>
              <w:t>Meta:</w:t>
            </w:r>
          </w:p>
        </w:tc>
        <w:tc>
          <w:tcPr>
            <w:tcW w:w="7516" w:type="dxa"/>
          </w:tcPr>
          <w:p>
            <w:pPr>
              <w:pStyle w:val="TableParagraph"/>
              <w:spacing w:before="33"/>
              <w:ind w:left="70"/>
              <w:rPr>
                <w:sz w:val="20"/>
              </w:rPr>
            </w:pPr>
            <w:r>
              <w:rPr>
                <w:sz w:val="20"/>
              </w:rPr>
              <w:t>100</w:t>
            </w:r>
            <w:r>
              <w:rPr>
                <w:spacing w:val="-7"/>
                <w:sz w:val="20"/>
              </w:rPr>
              <w:t> </w:t>
            </w:r>
            <w:r>
              <w:rPr>
                <w:spacing w:val="-10"/>
                <w:sz w:val="20"/>
              </w:rPr>
              <w:t>%</w:t>
            </w:r>
          </w:p>
        </w:tc>
      </w:tr>
      <w:tr>
        <w:trPr>
          <w:trHeight w:val="299" w:hRule="atLeast"/>
        </w:trPr>
        <w:tc>
          <w:tcPr>
            <w:tcW w:w="2976" w:type="dxa"/>
            <w:shd w:val="clear" w:color="auto" w:fill="DCE6F0"/>
          </w:tcPr>
          <w:p>
            <w:pPr>
              <w:pStyle w:val="TableParagraph"/>
              <w:spacing w:before="35"/>
              <w:ind w:left="67"/>
              <w:rPr>
                <w:b/>
                <w:sz w:val="20"/>
              </w:rPr>
            </w:pPr>
            <w:r>
              <w:rPr>
                <w:b/>
                <w:sz w:val="20"/>
              </w:rPr>
              <w:t>Línea</w:t>
            </w:r>
            <w:r>
              <w:rPr>
                <w:b/>
                <w:spacing w:val="-10"/>
                <w:sz w:val="20"/>
              </w:rPr>
              <w:t> </w:t>
            </w:r>
            <w:r>
              <w:rPr>
                <w:b/>
                <w:spacing w:val="-4"/>
                <w:sz w:val="20"/>
              </w:rPr>
              <w:t>Base</w:t>
            </w:r>
          </w:p>
        </w:tc>
        <w:tc>
          <w:tcPr>
            <w:tcW w:w="7516" w:type="dxa"/>
          </w:tcPr>
          <w:p>
            <w:pPr>
              <w:pStyle w:val="TableParagraph"/>
              <w:spacing w:before="35"/>
              <w:ind w:left="70"/>
              <w:rPr>
                <w:sz w:val="20"/>
              </w:rPr>
            </w:pPr>
            <w:r>
              <w:rPr>
                <w:sz w:val="20"/>
              </w:rPr>
              <w:t>100</w:t>
            </w:r>
            <w:r>
              <w:rPr>
                <w:spacing w:val="-7"/>
                <w:sz w:val="20"/>
              </w:rPr>
              <w:t> </w:t>
            </w:r>
            <w:r>
              <w:rPr>
                <w:spacing w:val="-10"/>
                <w:sz w:val="20"/>
              </w:rPr>
              <w:t>%</w:t>
            </w:r>
          </w:p>
        </w:tc>
      </w:tr>
      <w:tr>
        <w:trPr>
          <w:trHeight w:val="599" w:hRule="atLeast"/>
        </w:trPr>
        <w:tc>
          <w:tcPr>
            <w:tcW w:w="2976" w:type="dxa"/>
            <w:shd w:val="clear" w:color="auto" w:fill="DCE6F0"/>
          </w:tcPr>
          <w:p>
            <w:pPr>
              <w:pStyle w:val="TableParagraph"/>
              <w:spacing w:before="69"/>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6" w:type="dxa"/>
          </w:tcPr>
          <w:p>
            <w:pPr>
              <w:pStyle w:val="TableParagraph"/>
              <w:spacing w:before="184"/>
              <w:ind w:left="70"/>
              <w:rPr>
                <w:sz w:val="20"/>
              </w:rPr>
            </w:pPr>
            <w:r>
              <w:rPr>
                <w:spacing w:val="-2"/>
                <w:sz w:val="20"/>
              </w:rPr>
              <w:t>Trimestral</w:t>
            </w:r>
          </w:p>
        </w:tc>
      </w:tr>
      <w:tr>
        <w:trPr>
          <w:trHeight w:val="602" w:hRule="atLeast"/>
        </w:trPr>
        <w:tc>
          <w:tcPr>
            <w:tcW w:w="2976" w:type="dxa"/>
            <w:shd w:val="clear" w:color="auto" w:fill="DCE6F0"/>
          </w:tcPr>
          <w:p>
            <w:pPr>
              <w:pStyle w:val="TableParagraph"/>
              <w:spacing w:before="71"/>
              <w:ind w:left="67" w:right="514"/>
              <w:rPr>
                <w:b/>
                <w:sz w:val="20"/>
              </w:rPr>
            </w:pPr>
            <w:r>
              <w:rPr>
                <w:b/>
                <w:sz w:val="20"/>
              </w:rPr>
              <w:t>Responsable de la recopilación</w:t>
            </w:r>
            <w:r>
              <w:rPr>
                <w:b/>
                <w:spacing w:val="-14"/>
                <w:sz w:val="20"/>
              </w:rPr>
              <w:t> </w:t>
            </w:r>
            <w:r>
              <w:rPr>
                <w:b/>
                <w:sz w:val="20"/>
              </w:rPr>
              <w:t>información</w:t>
            </w:r>
          </w:p>
        </w:tc>
        <w:tc>
          <w:tcPr>
            <w:tcW w:w="7516" w:type="dxa"/>
          </w:tcPr>
          <w:p>
            <w:pPr>
              <w:pStyle w:val="TableParagraph"/>
              <w:spacing w:before="71"/>
              <w:ind w:left="70" w:right="2510"/>
              <w:rPr>
                <w:sz w:val="20"/>
              </w:rPr>
            </w:pPr>
            <w:r>
              <w:rPr>
                <w:sz w:val="20"/>
              </w:rPr>
              <w:t>Nombre</w:t>
            </w:r>
            <w:r>
              <w:rPr>
                <w:spacing w:val="-8"/>
                <w:sz w:val="20"/>
              </w:rPr>
              <w:t> </w:t>
            </w:r>
            <w:r>
              <w:rPr>
                <w:sz w:val="20"/>
              </w:rPr>
              <w:t>del</w:t>
            </w:r>
            <w:r>
              <w:rPr>
                <w:spacing w:val="-11"/>
                <w:sz w:val="20"/>
              </w:rPr>
              <w:t> </w:t>
            </w:r>
            <w:r>
              <w:rPr>
                <w:sz w:val="20"/>
              </w:rPr>
              <w:t>funcionario:</w:t>
            </w:r>
            <w:r>
              <w:rPr>
                <w:spacing w:val="-10"/>
                <w:sz w:val="20"/>
              </w:rPr>
              <w:t> </w:t>
            </w:r>
            <w:r>
              <w:rPr>
                <w:sz w:val="20"/>
              </w:rPr>
              <w:t>Merceditas</w:t>
            </w:r>
            <w:r>
              <w:rPr>
                <w:spacing w:val="-7"/>
                <w:sz w:val="20"/>
              </w:rPr>
              <w:t> </w:t>
            </w:r>
            <w:r>
              <w:rPr>
                <w:sz w:val="20"/>
              </w:rPr>
              <w:t>Blanco</w:t>
            </w:r>
            <w:r>
              <w:rPr>
                <w:spacing w:val="-10"/>
                <w:sz w:val="20"/>
              </w:rPr>
              <w:t> </w:t>
            </w:r>
            <w:r>
              <w:rPr>
                <w:sz w:val="20"/>
              </w:rPr>
              <w:t>Calvo Cargo: Encargado de Servicios Administrativos</w:t>
            </w:r>
          </w:p>
        </w:tc>
      </w:tr>
      <w:tr>
        <w:trPr>
          <w:trHeight w:val="899" w:hRule="atLeast"/>
        </w:trPr>
        <w:tc>
          <w:tcPr>
            <w:tcW w:w="2976" w:type="dxa"/>
            <w:shd w:val="clear" w:color="auto" w:fill="DCE6F0"/>
          </w:tcPr>
          <w:p>
            <w:pPr>
              <w:pStyle w:val="TableParagraph"/>
              <w:spacing w:before="218"/>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6" w:type="dxa"/>
          </w:tcPr>
          <w:p>
            <w:pPr>
              <w:pStyle w:val="TableParagraph"/>
              <w:rPr>
                <w:b/>
                <w:sz w:val="20"/>
              </w:rPr>
            </w:pPr>
          </w:p>
          <w:p>
            <w:pPr>
              <w:pStyle w:val="TableParagraph"/>
              <w:spacing w:before="209"/>
              <w:rPr>
                <w:b/>
                <w:sz w:val="20"/>
              </w:rPr>
            </w:pPr>
          </w:p>
          <w:p>
            <w:pPr>
              <w:pStyle w:val="TableParagraph"/>
              <w:spacing w:line="211" w:lineRule="exact"/>
              <w:ind w:left="70"/>
              <w:rPr>
                <w:sz w:val="20"/>
              </w:rPr>
            </w:pPr>
            <w:r>
              <w:rPr>
                <w:sz w:val="20"/>
              </w:rPr>
              <w:t>Departamento</w:t>
            </w:r>
            <w:r>
              <w:rPr>
                <w:spacing w:val="-10"/>
                <w:sz w:val="20"/>
              </w:rPr>
              <w:t> </w:t>
            </w:r>
            <w:r>
              <w:rPr>
                <w:sz w:val="20"/>
              </w:rPr>
              <w:t>de</w:t>
            </w:r>
            <w:r>
              <w:rPr>
                <w:spacing w:val="-10"/>
                <w:sz w:val="20"/>
              </w:rPr>
              <w:t> </w:t>
            </w:r>
            <w:r>
              <w:rPr>
                <w:sz w:val="20"/>
              </w:rPr>
              <w:t>Servicios</w:t>
            </w:r>
            <w:r>
              <w:rPr>
                <w:spacing w:val="-11"/>
                <w:sz w:val="20"/>
              </w:rPr>
              <w:t> </w:t>
            </w:r>
            <w:r>
              <w:rPr>
                <w:spacing w:val="-2"/>
                <w:sz w:val="20"/>
              </w:rPr>
              <w:t>Generales</w:t>
            </w:r>
          </w:p>
        </w:tc>
      </w:tr>
      <w:tr>
        <w:trPr>
          <w:trHeight w:val="299" w:hRule="atLeast"/>
        </w:trPr>
        <w:tc>
          <w:tcPr>
            <w:tcW w:w="2976" w:type="dxa"/>
            <w:shd w:val="clear" w:color="auto" w:fill="DCE6F0"/>
          </w:tcPr>
          <w:p>
            <w:pPr>
              <w:pStyle w:val="TableParagraph"/>
              <w:spacing w:before="33"/>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6" w:type="dxa"/>
          </w:tcPr>
          <w:p>
            <w:pPr>
              <w:pStyle w:val="TableParagraph"/>
              <w:spacing w:before="33"/>
              <w:ind w:left="70"/>
              <w:rPr>
                <w:sz w:val="20"/>
              </w:rPr>
            </w:pPr>
            <w:r>
              <w:rPr>
                <w:sz w:val="20"/>
              </w:rPr>
              <w:t>Contratos</w:t>
            </w:r>
            <w:r>
              <w:rPr>
                <w:spacing w:val="-9"/>
                <w:sz w:val="20"/>
              </w:rPr>
              <w:t> </w:t>
            </w:r>
            <w:r>
              <w:rPr>
                <w:sz w:val="20"/>
              </w:rPr>
              <w:t>en</w:t>
            </w:r>
            <w:r>
              <w:rPr>
                <w:spacing w:val="-8"/>
                <w:sz w:val="20"/>
              </w:rPr>
              <w:t> </w:t>
            </w:r>
            <w:r>
              <w:rPr>
                <w:sz w:val="20"/>
              </w:rPr>
              <w:t>ejecución</w:t>
            </w:r>
            <w:r>
              <w:rPr>
                <w:spacing w:val="-7"/>
                <w:sz w:val="20"/>
              </w:rPr>
              <w:t> </w:t>
            </w:r>
            <w:r>
              <w:rPr>
                <w:spacing w:val="-2"/>
                <w:sz w:val="20"/>
              </w:rPr>
              <w:t>continua.</w:t>
            </w:r>
          </w:p>
        </w:tc>
      </w:tr>
      <w:tr>
        <w:trPr>
          <w:trHeight w:val="599" w:hRule="atLeast"/>
        </w:trPr>
        <w:tc>
          <w:tcPr>
            <w:tcW w:w="2976" w:type="dxa"/>
            <w:shd w:val="clear" w:color="auto" w:fill="DCE6F0"/>
          </w:tcPr>
          <w:p>
            <w:pPr>
              <w:pStyle w:val="TableParagraph"/>
              <w:spacing w:before="184"/>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6" w:type="dxa"/>
          </w:tcPr>
          <w:p>
            <w:pPr>
              <w:pStyle w:val="TableParagraph"/>
              <w:spacing w:before="184"/>
              <w:ind w:left="70"/>
              <w:rPr>
                <w:sz w:val="20"/>
              </w:rPr>
            </w:pPr>
            <w:r>
              <w:rPr>
                <w:sz w:val="20"/>
              </w:rPr>
              <w:t>Control</w:t>
            </w:r>
            <w:r>
              <w:rPr>
                <w:spacing w:val="-8"/>
                <w:sz w:val="20"/>
              </w:rPr>
              <w:t> </w:t>
            </w:r>
            <w:r>
              <w:rPr>
                <w:sz w:val="20"/>
              </w:rPr>
              <w:t>de</w:t>
            </w:r>
            <w:r>
              <w:rPr>
                <w:spacing w:val="-6"/>
                <w:sz w:val="20"/>
              </w:rPr>
              <w:t> </w:t>
            </w:r>
            <w:r>
              <w:rPr>
                <w:sz w:val="20"/>
              </w:rPr>
              <w:t>las</w:t>
            </w:r>
            <w:r>
              <w:rPr>
                <w:spacing w:val="-6"/>
                <w:sz w:val="20"/>
              </w:rPr>
              <w:t> </w:t>
            </w:r>
            <w:r>
              <w:rPr>
                <w:sz w:val="20"/>
              </w:rPr>
              <w:t>Contrataciones</w:t>
            </w:r>
            <w:r>
              <w:rPr>
                <w:spacing w:val="-6"/>
                <w:sz w:val="20"/>
              </w:rPr>
              <w:t> </w:t>
            </w:r>
            <w:r>
              <w:rPr>
                <w:sz w:val="20"/>
              </w:rPr>
              <w:t>y</w:t>
            </w:r>
            <w:r>
              <w:rPr>
                <w:spacing w:val="-5"/>
                <w:sz w:val="20"/>
              </w:rPr>
              <w:t> </w:t>
            </w:r>
            <w:r>
              <w:rPr>
                <w:sz w:val="20"/>
              </w:rPr>
              <w:t>montos</w:t>
            </w:r>
            <w:r>
              <w:rPr>
                <w:spacing w:val="-6"/>
                <w:sz w:val="20"/>
              </w:rPr>
              <w:t> </w:t>
            </w:r>
            <w:r>
              <w:rPr>
                <w:spacing w:val="-2"/>
                <w:sz w:val="20"/>
              </w:rPr>
              <w:t>ejecutados</w:t>
            </w:r>
          </w:p>
        </w:tc>
      </w:tr>
      <w:tr>
        <w:trPr>
          <w:trHeight w:val="599" w:hRule="atLeast"/>
        </w:trPr>
        <w:tc>
          <w:tcPr>
            <w:tcW w:w="2976" w:type="dxa"/>
            <w:shd w:val="clear" w:color="auto" w:fill="DCE6F0"/>
          </w:tcPr>
          <w:p>
            <w:pPr>
              <w:pStyle w:val="TableParagraph"/>
              <w:spacing w:before="184"/>
              <w:ind w:left="67"/>
              <w:rPr>
                <w:b/>
                <w:sz w:val="20"/>
              </w:rPr>
            </w:pPr>
            <w:r>
              <w:rPr>
                <w:b/>
                <w:spacing w:val="-2"/>
                <w:sz w:val="20"/>
              </w:rPr>
              <w:t>Clasificación</w:t>
            </w:r>
          </w:p>
        </w:tc>
        <w:tc>
          <w:tcPr>
            <w:tcW w:w="7516" w:type="dxa"/>
          </w:tcPr>
          <w:p>
            <w:pPr>
              <w:pStyle w:val="TableParagraph"/>
              <w:spacing w:before="184"/>
              <w:ind w:left="70"/>
              <w:rPr>
                <w:sz w:val="20"/>
              </w:rPr>
            </w:pPr>
            <w:r>
              <w:rPr>
                <w:sz w:val="20"/>
              </w:rPr>
              <w:t>Impacto</w:t>
            </w:r>
            <w:r>
              <w:rPr>
                <w:spacing w:val="-4"/>
                <w:sz w:val="20"/>
              </w:rPr>
              <w:t> </w:t>
            </w:r>
            <w:r>
              <w:rPr>
                <w:sz w:val="20"/>
              </w:rPr>
              <w:t>()</w:t>
            </w:r>
            <w:r>
              <w:rPr>
                <w:spacing w:val="-4"/>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1651" w:hRule="atLeast"/>
        </w:trPr>
        <w:tc>
          <w:tcPr>
            <w:tcW w:w="2976" w:type="dxa"/>
            <w:shd w:val="clear" w:color="auto" w:fill="DCE6F0"/>
          </w:tcPr>
          <w:p>
            <w:pPr>
              <w:pStyle w:val="TableParagraph"/>
              <w:rPr>
                <w:b/>
                <w:sz w:val="20"/>
              </w:rPr>
            </w:pPr>
          </w:p>
          <w:p>
            <w:pPr>
              <w:pStyle w:val="TableParagraph"/>
              <w:rPr>
                <w:b/>
                <w:sz w:val="20"/>
              </w:rPr>
            </w:pPr>
          </w:p>
          <w:p>
            <w:pPr>
              <w:pStyle w:val="TableParagraph"/>
              <w:spacing w:before="20"/>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6" w:type="dxa"/>
          </w:tcPr>
          <w:p>
            <w:pPr>
              <w:pStyle w:val="TableParagraph"/>
              <w:spacing w:before="19"/>
              <w:rPr>
                <w:b/>
                <w:sz w:val="20"/>
              </w:rPr>
            </w:pPr>
          </w:p>
          <w:p>
            <w:pPr>
              <w:pStyle w:val="TableParagraph"/>
              <w:ind w:left="70"/>
              <w:rPr>
                <w:sz w:val="20"/>
              </w:rPr>
            </w:pPr>
            <w:r>
              <w:rPr>
                <w:sz w:val="20"/>
              </w:rPr>
              <w:t>Durante la ejecución del contrato se pueden presentar algunos inconvenientes, como,</w:t>
            </w:r>
            <w:r>
              <w:rPr>
                <w:spacing w:val="-5"/>
                <w:sz w:val="20"/>
              </w:rPr>
              <w:t> </w:t>
            </w:r>
            <w:r>
              <w:rPr>
                <w:sz w:val="20"/>
              </w:rPr>
              <w:t>por</w:t>
            </w:r>
            <w:r>
              <w:rPr>
                <w:spacing w:val="-5"/>
                <w:sz w:val="20"/>
              </w:rPr>
              <w:t> </w:t>
            </w:r>
            <w:r>
              <w:rPr>
                <w:sz w:val="20"/>
              </w:rPr>
              <w:t>ejemplo:</w:t>
            </w:r>
            <w:r>
              <w:rPr>
                <w:spacing w:val="-5"/>
                <w:sz w:val="20"/>
              </w:rPr>
              <w:t> </w:t>
            </w:r>
            <w:r>
              <w:rPr>
                <w:sz w:val="20"/>
              </w:rPr>
              <w:t>Interrupción</w:t>
            </w:r>
            <w:r>
              <w:rPr>
                <w:spacing w:val="-6"/>
                <w:sz w:val="20"/>
              </w:rPr>
              <w:t> </w:t>
            </w:r>
            <w:r>
              <w:rPr>
                <w:sz w:val="20"/>
              </w:rPr>
              <w:t>en</w:t>
            </w:r>
            <w:r>
              <w:rPr>
                <w:spacing w:val="-5"/>
                <w:sz w:val="20"/>
              </w:rPr>
              <w:t> </w:t>
            </w:r>
            <w:r>
              <w:rPr>
                <w:sz w:val="20"/>
              </w:rPr>
              <w:t>la</w:t>
            </w:r>
            <w:r>
              <w:rPr>
                <w:spacing w:val="-5"/>
                <w:sz w:val="20"/>
              </w:rPr>
              <w:t> </w:t>
            </w:r>
            <w:r>
              <w:rPr>
                <w:sz w:val="20"/>
              </w:rPr>
              <w:t>prestación</w:t>
            </w:r>
            <w:r>
              <w:rPr>
                <w:spacing w:val="-3"/>
                <w:sz w:val="20"/>
              </w:rPr>
              <w:t> </w:t>
            </w:r>
            <w:r>
              <w:rPr>
                <w:sz w:val="20"/>
              </w:rPr>
              <w:t>de</w:t>
            </w:r>
            <w:r>
              <w:rPr>
                <w:spacing w:val="-4"/>
                <w:sz w:val="20"/>
              </w:rPr>
              <w:t> </w:t>
            </w:r>
            <w:r>
              <w:rPr>
                <w:sz w:val="20"/>
              </w:rPr>
              <w:t>los</w:t>
            </w:r>
            <w:r>
              <w:rPr>
                <w:spacing w:val="-2"/>
                <w:sz w:val="20"/>
              </w:rPr>
              <w:t> </w:t>
            </w:r>
            <w:r>
              <w:rPr>
                <w:sz w:val="20"/>
              </w:rPr>
              <w:t>servicios</w:t>
            </w:r>
            <w:r>
              <w:rPr>
                <w:spacing w:val="-4"/>
                <w:sz w:val="20"/>
              </w:rPr>
              <w:t> </w:t>
            </w:r>
            <w:r>
              <w:rPr>
                <w:sz w:val="20"/>
              </w:rPr>
              <w:t>requeridos,</w:t>
            </w:r>
            <w:r>
              <w:rPr>
                <w:spacing w:val="-5"/>
                <w:sz w:val="20"/>
              </w:rPr>
              <w:t> </w:t>
            </w:r>
            <w:r>
              <w:rPr>
                <w:sz w:val="20"/>
              </w:rPr>
              <w:t>no</w:t>
            </w:r>
            <w:r>
              <w:rPr>
                <w:spacing w:val="-5"/>
                <w:sz w:val="20"/>
              </w:rPr>
              <w:t> </w:t>
            </w:r>
            <w:r>
              <w:rPr>
                <w:sz w:val="20"/>
              </w:rPr>
              <w:t>se recibe a tiempo el objeto contractual, el plazo de recepción se incumple, la contratación se declara infructuosa o precios ofertados exceden el presupuesto </w:t>
            </w:r>
            <w:r>
              <w:rPr>
                <w:spacing w:val="-2"/>
                <w:sz w:val="20"/>
              </w:rPr>
              <w:t>disponible.</w:t>
            </w:r>
          </w:p>
        </w:tc>
      </w:tr>
    </w:tbl>
    <w:p>
      <w:pPr>
        <w:pStyle w:val="TableParagraph"/>
        <w:spacing w:after="0"/>
        <w:rPr>
          <w:sz w:val="20"/>
        </w:rPr>
        <w:sectPr>
          <w:type w:val="continuous"/>
          <w:pgSz w:w="12240" w:h="15840"/>
          <w:pgMar w:header="0" w:footer="2082" w:top="1400" w:bottom="2600" w:left="720" w:right="720"/>
        </w:sectPr>
      </w:pPr>
    </w:p>
    <w:p>
      <w:pPr>
        <w:pStyle w:val="BodyText"/>
        <w:spacing w:before="57"/>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839" w:hRule="atLeast"/>
        </w:trPr>
        <w:tc>
          <w:tcPr>
            <w:tcW w:w="2976" w:type="dxa"/>
            <w:shd w:val="clear" w:color="auto" w:fill="DCE6F0"/>
          </w:tcPr>
          <w:p>
            <w:pPr>
              <w:pStyle w:val="TableParagraph"/>
              <w:spacing w:before="74"/>
              <w:rPr>
                <w:b/>
                <w:sz w:val="20"/>
              </w:rPr>
            </w:pPr>
          </w:p>
          <w:p>
            <w:pPr>
              <w:pStyle w:val="TableParagraph"/>
              <w:ind w:left="67"/>
              <w:rPr>
                <w:b/>
                <w:sz w:val="20"/>
              </w:rPr>
            </w:pPr>
            <w:r>
              <w:rPr>
                <w:b/>
                <w:sz w:val="20"/>
              </w:rPr>
              <w:t>PAC</w:t>
            </w:r>
            <w:r>
              <w:rPr>
                <w:b/>
                <w:spacing w:val="-8"/>
                <w:sz w:val="20"/>
              </w:rPr>
              <w:t> </w:t>
            </w:r>
            <w:r>
              <w:rPr>
                <w:b/>
                <w:spacing w:val="-2"/>
                <w:sz w:val="20"/>
              </w:rPr>
              <w:t>2.8.2:</w:t>
            </w:r>
          </w:p>
        </w:tc>
        <w:tc>
          <w:tcPr>
            <w:tcW w:w="7513" w:type="dxa"/>
          </w:tcPr>
          <w:p>
            <w:pPr>
              <w:pStyle w:val="TableParagraph"/>
              <w:spacing w:before="189"/>
              <w:ind w:left="70" w:right="133"/>
              <w:rPr>
                <w:sz w:val="20"/>
              </w:rPr>
            </w:pPr>
            <w:r>
              <w:rPr>
                <w:sz w:val="20"/>
              </w:rPr>
              <w:t>Nombre</w:t>
            </w:r>
            <w:r>
              <w:rPr>
                <w:spacing w:val="-3"/>
                <w:sz w:val="20"/>
              </w:rPr>
              <w:t> </w:t>
            </w:r>
            <w:r>
              <w:rPr>
                <w:sz w:val="20"/>
              </w:rPr>
              <w:t>del</w:t>
            </w:r>
            <w:r>
              <w:rPr>
                <w:spacing w:val="-6"/>
                <w:sz w:val="20"/>
              </w:rPr>
              <w:t> </w:t>
            </w:r>
            <w:r>
              <w:rPr>
                <w:sz w:val="20"/>
              </w:rPr>
              <w:t>Indicador:</w:t>
            </w:r>
            <w:r>
              <w:rPr>
                <w:spacing w:val="-3"/>
                <w:sz w:val="20"/>
              </w:rPr>
              <w:t> </w:t>
            </w:r>
            <w:r>
              <w:rPr>
                <w:sz w:val="20"/>
              </w:rPr>
              <w:t>Porcentaje</w:t>
            </w:r>
            <w:r>
              <w:rPr>
                <w:spacing w:val="-1"/>
                <w:sz w:val="20"/>
              </w:rPr>
              <w:t> </w:t>
            </w:r>
            <w:r>
              <w:rPr>
                <w:sz w:val="20"/>
              </w:rPr>
              <w:t>de</w:t>
            </w:r>
            <w:r>
              <w:rPr>
                <w:spacing w:val="-6"/>
                <w:sz w:val="20"/>
              </w:rPr>
              <w:t> </w:t>
            </w:r>
            <w:r>
              <w:rPr>
                <w:sz w:val="20"/>
              </w:rPr>
              <w:t>puestos</w:t>
            </w:r>
            <w:r>
              <w:rPr>
                <w:spacing w:val="-4"/>
                <w:sz w:val="20"/>
              </w:rPr>
              <w:t> </w:t>
            </w:r>
            <w:r>
              <w:rPr>
                <w:sz w:val="20"/>
              </w:rPr>
              <w:t>de</w:t>
            </w:r>
            <w:r>
              <w:rPr>
                <w:spacing w:val="-5"/>
                <w:sz w:val="20"/>
              </w:rPr>
              <w:t> </w:t>
            </w:r>
            <w:r>
              <w:rPr>
                <w:sz w:val="20"/>
              </w:rPr>
              <w:t>Limpieza</w:t>
            </w:r>
            <w:r>
              <w:rPr>
                <w:spacing w:val="-5"/>
                <w:sz w:val="20"/>
              </w:rPr>
              <w:t> </w:t>
            </w:r>
            <w:r>
              <w:rPr>
                <w:sz w:val="20"/>
              </w:rPr>
              <w:t>y</w:t>
            </w:r>
            <w:r>
              <w:rPr>
                <w:spacing w:val="-4"/>
                <w:sz w:val="20"/>
              </w:rPr>
              <w:t> </w:t>
            </w:r>
            <w:r>
              <w:rPr>
                <w:sz w:val="20"/>
              </w:rPr>
              <w:t>Aseo</w:t>
            </w:r>
            <w:r>
              <w:rPr>
                <w:spacing w:val="-4"/>
                <w:sz w:val="20"/>
              </w:rPr>
              <w:t> </w:t>
            </w:r>
            <w:r>
              <w:rPr>
                <w:sz w:val="20"/>
              </w:rPr>
              <w:t>ejecutados</w:t>
            </w:r>
            <w:r>
              <w:rPr>
                <w:spacing w:val="-4"/>
                <w:sz w:val="20"/>
              </w:rPr>
              <w:t> </w:t>
            </w:r>
            <w:r>
              <w:rPr>
                <w:sz w:val="20"/>
              </w:rPr>
              <w:t>de forma continua</w:t>
            </w:r>
          </w:p>
        </w:tc>
      </w:tr>
      <w:tr>
        <w:trPr>
          <w:trHeight w:val="902" w:hRule="atLeast"/>
        </w:trPr>
        <w:tc>
          <w:tcPr>
            <w:tcW w:w="2976" w:type="dxa"/>
            <w:shd w:val="clear" w:color="auto" w:fill="DCE6F0"/>
          </w:tcPr>
          <w:p>
            <w:pPr>
              <w:pStyle w:val="TableParagraph"/>
              <w:spacing w:before="105"/>
              <w:rPr>
                <w:b/>
                <w:sz w:val="20"/>
              </w:rPr>
            </w:pPr>
          </w:p>
          <w:p>
            <w:pPr>
              <w:pStyle w:val="TableParagraph"/>
              <w:ind w:left="67"/>
              <w:rPr>
                <w:b/>
                <w:sz w:val="20"/>
              </w:rPr>
            </w:pPr>
            <w:r>
              <w:rPr>
                <w:b/>
                <w:sz w:val="20"/>
              </w:rPr>
              <w:t>Formular</w:t>
            </w:r>
            <w:r>
              <w:rPr>
                <w:b/>
                <w:spacing w:val="-10"/>
                <w:sz w:val="20"/>
              </w:rPr>
              <w:t> </w:t>
            </w:r>
            <w:r>
              <w:rPr>
                <w:b/>
                <w:sz w:val="20"/>
              </w:rPr>
              <w:t>de</w:t>
            </w:r>
            <w:r>
              <w:rPr>
                <w:b/>
                <w:spacing w:val="-5"/>
                <w:sz w:val="20"/>
              </w:rPr>
              <w:t> </w:t>
            </w:r>
            <w:r>
              <w:rPr>
                <w:b/>
                <w:spacing w:val="-2"/>
                <w:sz w:val="20"/>
              </w:rPr>
              <w:t>cálculo:</w:t>
            </w:r>
          </w:p>
        </w:tc>
        <w:tc>
          <w:tcPr>
            <w:tcW w:w="7513" w:type="dxa"/>
          </w:tcPr>
          <w:p>
            <w:pPr>
              <w:pStyle w:val="TableParagraph"/>
              <w:spacing w:before="220"/>
              <w:ind w:left="70"/>
              <w:rPr>
                <w:sz w:val="20"/>
              </w:rPr>
            </w:pPr>
            <w:r>
              <w:rPr>
                <w:sz w:val="20"/>
              </w:rPr>
              <w:t>Porcentaje</w:t>
            </w:r>
            <w:r>
              <w:rPr>
                <w:spacing w:val="-5"/>
                <w:sz w:val="20"/>
              </w:rPr>
              <w:t> </w:t>
            </w:r>
            <w:r>
              <w:rPr>
                <w:sz w:val="20"/>
              </w:rPr>
              <w:t>de</w:t>
            </w:r>
            <w:r>
              <w:rPr>
                <w:spacing w:val="-4"/>
                <w:sz w:val="20"/>
              </w:rPr>
              <w:t> </w:t>
            </w:r>
            <w:r>
              <w:rPr>
                <w:sz w:val="20"/>
              </w:rPr>
              <w:t>puestos</w:t>
            </w:r>
            <w:r>
              <w:rPr>
                <w:spacing w:val="-3"/>
                <w:sz w:val="20"/>
              </w:rPr>
              <w:t> </w:t>
            </w:r>
            <w:r>
              <w:rPr>
                <w:sz w:val="20"/>
              </w:rPr>
              <w:t>de</w:t>
            </w:r>
            <w:r>
              <w:rPr>
                <w:spacing w:val="-4"/>
                <w:sz w:val="20"/>
              </w:rPr>
              <w:t> </w:t>
            </w:r>
            <w:r>
              <w:rPr>
                <w:sz w:val="20"/>
              </w:rPr>
              <w:t>Limpieza</w:t>
            </w:r>
            <w:r>
              <w:rPr>
                <w:spacing w:val="-5"/>
                <w:sz w:val="20"/>
              </w:rPr>
              <w:t> </w:t>
            </w:r>
            <w:r>
              <w:rPr>
                <w:sz w:val="20"/>
              </w:rPr>
              <w:t>y</w:t>
            </w:r>
            <w:r>
              <w:rPr>
                <w:spacing w:val="-2"/>
                <w:sz w:val="20"/>
              </w:rPr>
              <w:t> </w:t>
            </w:r>
            <w:r>
              <w:rPr>
                <w:sz w:val="20"/>
              </w:rPr>
              <w:t>Aseo</w:t>
            </w:r>
            <w:r>
              <w:rPr>
                <w:spacing w:val="-4"/>
                <w:sz w:val="20"/>
              </w:rPr>
              <w:t> </w:t>
            </w:r>
            <w:r>
              <w:rPr>
                <w:sz w:val="20"/>
              </w:rPr>
              <w:t>ejecutados</w:t>
            </w:r>
            <w:r>
              <w:rPr>
                <w:spacing w:val="-2"/>
                <w:sz w:val="20"/>
              </w:rPr>
              <w:t> </w:t>
            </w:r>
            <w:r>
              <w:rPr>
                <w:sz w:val="20"/>
              </w:rPr>
              <w:t>de</w:t>
            </w:r>
            <w:r>
              <w:rPr>
                <w:spacing w:val="-6"/>
                <w:sz w:val="20"/>
              </w:rPr>
              <w:t> </w:t>
            </w:r>
            <w:r>
              <w:rPr>
                <w:sz w:val="20"/>
              </w:rPr>
              <w:t>forma</w:t>
            </w:r>
            <w:r>
              <w:rPr>
                <w:spacing w:val="-5"/>
                <w:sz w:val="20"/>
              </w:rPr>
              <w:t> </w:t>
            </w:r>
            <w:r>
              <w:rPr>
                <w:sz w:val="20"/>
              </w:rPr>
              <w:t>continua</w:t>
            </w:r>
            <w:r>
              <w:rPr>
                <w:spacing w:val="-4"/>
                <w:sz w:val="20"/>
              </w:rPr>
              <w:t> </w:t>
            </w:r>
            <w:r>
              <w:rPr>
                <w:sz w:val="20"/>
              </w:rPr>
              <w:t>entre</w:t>
            </w:r>
            <w:r>
              <w:rPr>
                <w:spacing w:val="-3"/>
                <w:sz w:val="20"/>
              </w:rPr>
              <w:t> </w:t>
            </w:r>
            <w:r>
              <w:rPr>
                <w:sz w:val="20"/>
              </w:rPr>
              <w:t>No. de puestos institucionales con servicios continuos</w:t>
            </w:r>
          </w:p>
        </w:tc>
      </w:tr>
      <w:tr>
        <w:trPr>
          <w:trHeight w:val="299" w:hRule="atLeast"/>
        </w:trPr>
        <w:tc>
          <w:tcPr>
            <w:tcW w:w="2976" w:type="dxa"/>
            <w:shd w:val="clear" w:color="auto" w:fill="DCE6F0"/>
          </w:tcPr>
          <w:p>
            <w:pPr>
              <w:pStyle w:val="TableParagraph"/>
              <w:spacing w:before="33"/>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33"/>
              <w:ind w:left="70"/>
              <w:rPr>
                <w:sz w:val="20"/>
              </w:rPr>
            </w:pPr>
            <w:r>
              <w:rPr>
                <w:spacing w:val="-2"/>
                <w:sz w:val="20"/>
              </w:rPr>
              <w:t>Porcentaje</w:t>
            </w:r>
          </w:p>
        </w:tc>
      </w:tr>
      <w:tr>
        <w:trPr>
          <w:trHeight w:val="299" w:hRule="atLeast"/>
        </w:trPr>
        <w:tc>
          <w:tcPr>
            <w:tcW w:w="2976" w:type="dxa"/>
            <w:shd w:val="clear" w:color="auto" w:fill="DCE6F0"/>
          </w:tcPr>
          <w:p>
            <w:pPr>
              <w:pStyle w:val="TableParagraph"/>
              <w:spacing w:before="33"/>
              <w:ind w:left="67"/>
              <w:rPr>
                <w:b/>
                <w:sz w:val="20"/>
              </w:rPr>
            </w:pPr>
            <w:r>
              <w:rPr>
                <w:b/>
                <w:spacing w:val="-2"/>
                <w:sz w:val="20"/>
              </w:rPr>
              <w:t>Interpretación:</w:t>
            </w:r>
          </w:p>
        </w:tc>
        <w:tc>
          <w:tcPr>
            <w:tcW w:w="7513" w:type="dxa"/>
          </w:tcPr>
          <w:p>
            <w:pPr>
              <w:pStyle w:val="TableParagraph"/>
              <w:spacing w:before="33"/>
              <w:ind w:left="70"/>
              <w:rPr>
                <w:sz w:val="20"/>
              </w:rPr>
            </w:pPr>
            <w:r>
              <w:rPr>
                <w:sz w:val="20"/>
              </w:rPr>
              <w:t>Monitoreo</w:t>
            </w:r>
            <w:r>
              <w:rPr>
                <w:spacing w:val="-9"/>
                <w:sz w:val="20"/>
              </w:rPr>
              <w:t> </w:t>
            </w:r>
            <w:r>
              <w:rPr>
                <w:sz w:val="20"/>
              </w:rPr>
              <w:t>sobre</w:t>
            </w:r>
            <w:r>
              <w:rPr>
                <w:spacing w:val="-6"/>
                <w:sz w:val="20"/>
              </w:rPr>
              <w:t> </w:t>
            </w:r>
            <w:r>
              <w:rPr>
                <w:sz w:val="20"/>
              </w:rPr>
              <w:t>la</w:t>
            </w:r>
            <w:r>
              <w:rPr>
                <w:spacing w:val="-6"/>
                <w:sz w:val="20"/>
              </w:rPr>
              <w:t> </w:t>
            </w:r>
            <w:r>
              <w:rPr>
                <w:sz w:val="20"/>
              </w:rPr>
              <w:t>ejecución</w:t>
            </w:r>
            <w:r>
              <w:rPr>
                <w:spacing w:val="-7"/>
                <w:sz w:val="20"/>
              </w:rPr>
              <w:t> </w:t>
            </w:r>
            <w:r>
              <w:rPr>
                <w:sz w:val="20"/>
              </w:rPr>
              <w:t>del</w:t>
            </w:r>
            <w:r>
              <w:rPr>
                <w:spacing w:val="-9"/>
                <w:sz w:val="20"/>
              </w:rPr>
              <w:t> </w:t>
            </w:r>
            <w:r>
              <w:rPr>
                <w:spacing w:val="-2"/>
                <w:sz w:val="20"/>
              </w:rPr>
              <w:t>contrato.</w:t>
            </w:r>
          </w:p>
        </w:tc>
      </w:tr>
      <w:tr>
        <w:trPr>
          <w:trHeight w:val="299" w:hRule="atLeast"/>
        </w:trPr>
        <w:tc>
          <w:tcPr>
            <w:tcW w:w="2976" w:type="dxa"/>
            <w:shd w:val="clear" w:color="auto" w:fill="DCE6F0"/>
          </w:tcPr>
          <w:p>
            <w:pPr>
              <w:pStyle w:val="TableParagraph"/>
              <w:spacing w:before="35"/>
              <w:ind w:left="67"/>
              <w:rPr>
                <w:b/>
                <w:sz w:val="20"/>
              </w:rPr>
            </w:pPr>
            <w:r>
              <w:rPr>
                <w:b/>
                <w:spacing w:val="-2"/>
                <w:sz w:val="20"/>
              </w:rPr>
              <w:t>Desagregación</w:t>
            </w:r>
          </w:p>
        </w:tc>
        <w:tc>
          <w:tcPr>
            <w:tcW w:w="7513" w:type="dxa"/>
          </w:tcPr>
          <w:p>
            <w:pPr>
              <w:pStyle w:val="TableParagraph"/>
              <w:spacing w:before="35"/>
              <w:ind w:left="70"/>
              <w:rPr>
                <w:sz w:val="20"/>
              </w:rPr>
            </w:pPr>
            <w:r>
              <w:rPr>
                <w:sz w:val="20"/>
              </w:rPr>
              <w:t>La</w:t>
            </w:r>
            <w:r>
              <w:rPr>
                <w:spacing w:val="-6"/>
                <w:sz w:val="20"/>
              </w:rPr>
              <w:t> </w:t>
            </w:r>
            <w:r>
              <w:rPr>
                <w:sz w:val="20"/>
              </w:rPr>
              <w:t>cobertura</w:t>
            </w:r>
            <w:r>
              <w:rPr>
                <w:spacing w:val="-6"/>
                <w:sz w:val="20"/>
              </w:rPr>
              <w:t> </w:t>
            </w:r>
            <w:r>
              <w:rPr>
                <w:sz w:val="20"/>
              </w:rPr>
              <w:t>de</w:t>
            </w:r>
            <w:r>
              <w:rPr>
                <w:spacing w:val="-5"/>
                <w:sz w:val="20"/>
              </w:rPr>
              <w:t> </w:t>
            </w:r>
            <w:r>
              <w:rPr>
                <w:sz w:val="20"/>
              </w:rPr>
              <w:t>aseo</w:t>
            </w:r>
            <w:r>
              <w:rPr>
                <w:spacing w:val="-5"/>
                <w:sz w:val="20"/>
              </w:rPr>
              <w:t> </w:t>
            </w:r>
            <w:r>
              <w:rPr>
                <w:sz w:val="20"/>
              </w:rPr>
              <w:t>y</w:t>
            </w:r>
            <w:r>
              <w:rPr>
                <w:spacing w:val="-4"/>
                <w:sz w:val="20"/>
              </w:rPr>
              <w:t> </w:t>
            </w:r>
            <w:r>
              <w:rPr>
                <w:sz w:val="20"/>
              </w:rPr>
              <w:t>limpieza</w:t>
            </w:r>
            <w:r>
              <w:rPr>
                <w:spacing w:val="-3"/>
                <w:sz w:val="20"/>
              </w:rPr>
              <w:t> </w:t>
            </w:r>
            <w:r>
              <w:rPr>
                <w:sz w:val="20"/>
              </w:rPr>
              <w:t>es</w:t>
            </w:r>
            <w:r>
              <w:rPr>
                <w:spacing w:val="-4"/>
                <w:sz w:val="20"/>
              </w:rPr>
              <w:t> </w:t>
            </w:r>
            <w:r>
              <w:rPr>
                <w:sz w:val="20"/>
              </w:rPr>
              <w:t>a</w:t>
            </w:r>
            <w:r>
              <w:rPr>
                <w:spacing w:val="-6"/>
                <w:sz w:val="20"/>
              </w:rPr>
              <w:t> </w:t>
            </w:r>
            <w:r>
              <w:rPr>
                <w:sz w:val="20"/>
              </w:rPr>
              <w:t>nivel</w:t>
            </w:r>
            <w:r>
              <w:rPr>
                <w:spacing w:val="-4"/>
                <w:sz w:val="20"/>
              </w:rPr>
              <w:t> </w:t>
            </w:r>
            <w:r>
              <w:rPr>
                <w:spacing w:val="-2"/>
                <w:sz w:val="20"/>
              </w:rPr>
              <w:t>nacional</w:t>
            </w:r>
          </w:p>
        </w:tc>
      </w:tr>
      <w:tr>
        <w:trPr>
          <w:trHeight w:val="300" w:hRule="atLeast"/>
        </w:trPr>
        <w:tc>
          <w:tcPr>
            <w:tcW w:w="2976" w:type="dxa"/>
            <w:shd w:val="clear" w:color="auto" w:fill="DCE6F0"/>
          </w:tcPr>
          <w:p>
            <w:pPr>
              <w:pStyle w:val="TableParagraph"/>
              <w:spacing w:before="35"/>
              <w:ind w:left="67"/>
              <w:rPr>
                <w:b/>
                <w:sz w:val="20"/>
              </w:rPr>
            </w:pPr>
            <w:r>
              <w:rPr>
                <w:b/>
                <w:spacing w:val="-2"/>
                <w:sz w:val="20"/>
              </w:rPr>
              <w:t>Meta:</w:t>
            </w:r>
          </w:p>
        </w:tc>
        <w:tc>
          <w:tcPr>
            <w:tcW w:w="7513" w:type="dxa"/>
          </w:tcPr>
          <w:p>
            <w:pPr>
              <w:pStyle w:val="TableParagraph"/>
              <w:spacing w:before="35"/>
              <w:ind w:left="70"/>
              <w:rPr>
                <w:sz w:val="20"/>
              </w:rPr>
            </w:pPr>
            <w:r>
              <w:rPr>
                <w:sz w:val="20"/>
              </w:rPr>
              <w:t>100</w:t>
            </w:r>
            <w:r>
              <w:rPr>
                <w:spacing w:val="-7"/>
                <w:sz w:val="20"/>
              </w:rPr>
              <w:t> </w:t>
            </w:r>
            <w:r>
              <w:rPr>
                <w:spacing w:val="-10"/>
                <w:sz w:val="20"/>
              </w:rPr>
              <w:t>%</w:t>
            </w:r>
          </w:p>
        </w:tc>
      </w:tr>
      <w:tr>
        <w:trPr>
          <w:trHeight w:val="299" w:hRule="atLeast"/>
        </w:trPr>
        <w:tc>
          <w:tcPr>
            <w:tcW w:w="2976" w:type="dxa"/>
            <w:shd w:val="clear" w:color="auto" w:fill="DCE6F0"/>
          </w:tcPr>
          <w:p>
            <w:pPr>
              <w:pStyle w:val="TableParagraph"/>
              <w:spacing w:before="35"/>
              <w:ind w:left="67"/>
              <w:rPr>
                <w:b/>
                <w:sz w:val="20"/>
              </w:rPr>
            </w:pPr>
            <w:r>
              <w:rPr>
                <w:b/>
                <w:sz w:val="20"/>
              </w:rPr>
              <w:t>Línea</w:t>
            </w:r>
            <w:r>
              <w:rPr>
                <w:b/>
                <w:spacing w:val="-9"/>
                <w:sz w:val="20"/>
              </w:rPr>
              <w:t> </w:t>
            </w:r>
            <w:r>
              <w:rPr>
                <w:b/>
                <w:spacing w:val="-4"/>
                <w:sz w:val="20"/>
              </w:rPr>
              <w:t>Base</w:t>
            </w:r>
          </w:p>
        </w:tc>
        <w:tc>
          <w:tcPr>
            <w:tcW w:w="7513" w:type="dxa"/>
          </w:tcPr>
          <w:p>
            <w:pPr>
              <w:pStyle w:val="TableParagraph"/>
              <w:spacing w:before="35"/>
              <w:ind w:left="70"/>
              <w:rPr>
                <w:sz w:val="20"/>
              </w:rPr>
            </w:pPr>
            <w:r>
              <w:rPr>
                <w:sz w:val="20"/>
              </w:rPr>
              <w:t>100</w:t>
            </w:r>
            <w:r>
              <w:rPr>
                <w:spacing w:val="-7"/>
                <w:sz w:val="20"/>
              </w:rPr>
              <w:t> </w:t>
            </w:r>
            <w:r>
              <w:rPr>
                <w:spacing w:val="-10"/>
                <w:sz w:val="20"/>
              </w:rPr>
              <w:t>%</w:t>
            </w:r>
          </w:p>
        </w:tc>
      </w:tr>
      <w:tr>
        <w:trPr>
          <w:trHeight w:val="602" w:hRule="atLeast"/>
        </w:trPr>
        <w:tc>
          <w:tcPr>
            <w:tcW w:w="2976" w:type="dxa"/>
            <w:shd w:val="clear" w:color="auto" w:fill="DCE6F0"/>
          </w:tcPr>
          <w:p>
            <w:pPr>
              <w:pStyle w:val="TableParagraph"/>
              <w:spacing w:before="71"/>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186"/>
              <w:ind w:left="70"/>
              <w:rPr>
                <w:sz w:val="20"/>
              </w:rPr>
            </w:pPr>
            <w:r>
              <w:rPr>
                <w:spacing w:val="-2"/>
                <w:sz w:val="20"/>
              </w:rPr>
              <w:t>Trimestral</w:t>
            </w:r>
          </w:p>
        </w:tc>
      </w:tr>
      <w:tr>
        <w:trPr>
          <w:trHeight w:val="599" w:hRule="atLeast"/>
        </w:trPr>
        <w:tc>
          <w:tcPr>
            <w:tcW w:w="2976" w:type="dxa"/>
            <w:shd w:val="clear" w:color="auto" w:fill="DCE6F0"/>
          </w:tcPr>
          <w:p>
            <w:pPr>
              <w:pStyle w:val="TableParagraph"/>
              <w:spacing w:before="69"/>
              <w:ind w:left="67" w:right="514"/>
              <w:rPr>
                <w:b/>
                <w:sz w:val="20"/>
              </w:rPr>
            </w:pPr>
            <w:r>
              <w:rPr>
                <w:b/>
                <w:sz w:val="20"/>
              </w:rPr>
              <w:t>Responsable de la recopilación</w:t>
            </w:r>
            <w:r>
              <w:rPr>
                <w:b/>
                <w:spacing w:val="-14"/>
                <w:sz w:val="20"/>
              </w:rPr>
              <w:t> </w:t>
            </w:r>
            <w:r>
              <w:rPr>
                <w:b/>
                <w:sz w:val="20"/>
              </w:rPr>
              <w:t>información</w:t>
            </w:r>
          </w:p>
        </w:tc>
        <w:tc>
          <w:tcPr>
            <w:tcW w:w="7513" w:type="dxa"/>
          </w:tcPr>
          <w:p>
            <w:pPr>
              <w:pStyle w:val="TableParagraph"/>
              <w:spacing w:before="69"/>
              <w:ind w:left="70" w:right="2673"/>
              <w:rPr>
                <w:sz w:val="20"/>
              </w:rPr>
            </w:pPr>
            <w:r>
              <w:rPr>
                <w:sz w:val="20"/>
              </w:rPr>
              <w:t>Nombre</w:t>
            </w:r>
            <w:r>
              <w:rPr>
                <w:spacing w:val="-8"/>
                <w:sz w:val="20"/>
              </w:rPr>
              <w:t> </w:t>
            </w:r>
            <w:r>
              <w:rPr>
                <w:sz w:val="20"/>
              </w:rPr>
              <w:t>del</w:t>
            </w:r>
            <w:r>
              <w:rPr>
                <w:spacing w:val="-11"/>
                <w:sz w:val="20"/>
              </w:rPr>
              <w:t> </w:t>
            </w:r>
            <w:r>
              <w:rPr>
                <w:sz w:val="20"/>
              </w:rPr>
              <w:t>funcionario:</w:t>
            </w:r>
            <w:r>
              <w:rPr>
                <w:spacing w:val="-10"/>
                <w:sz w:val="20"/>
              </w:rPr>
              <w:t> </w:t>
            </w:r>
            <w:r>
              <w:rPr>
                <w:sz w:val="20"/>
              </w:rPr>
              <w:t>Merceditas</w:t>
            </w:r>
            <w:r>
              <w:rPr>
                <w:spacing w:val="-7"/>
                <w:sz w:val="20"/>
              </w:rPr>
              <w:t> </w:t>
            </w:r>
            <w:r>
              <w:rPr>
                <w:sz w:val="20"/>
              </w:rPr>
              <w:t>Blanco</w:t>
            </w:r>
            <w:r>
              <w:rPr>
                <w:spacing w:val="-10"/>
                <w:sz w:val="20"/>
              </w:rPr>
              <w:t> </w:t>
            </w:r>
            <w:r>
              <w:rPr>
                <w:sz w:val="20"/>
              </w:rPr>
              <w:t>Calvo Cargo: Encargado de Servicios Administrativos</w:t>
            </w:r>
          </w:p>
        </w:tc>
      </w:tr>
      <w:tr>
        <w:trPr>
          <w:trHeight w:val="899" w:hRule="atLeast"/>
        </w:trPr>
        <w:tc>
          <w:tcPr>
            <w:tcW w:w="2976" w:type="dxa"/>
            <w:shd w:val="clear" w:color="auto" w:fill="DCE6F0"/>
          </w:tcPr>
          <w:p>
            <w:pPr>
              <w:pStyle w:val="TableParagraph"/>
              <w:spacing w:before="218"/>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3" w:type="dxa"/>
          </w:tcPr>
          <w:p>
            <w:pPr>
              <w:pStyle w:val="TableParagraph"/>
              <w:spacing w:before="103"/>
              <w:rPr>
                <w:b/>
                <w:sz w:val="20"/>
              </w:rPr>
            </w:pPr>
          </w:p>
          <w:p>
            <w:pPr>
              <w:pStyle w:val="TableParagraph"/>
              <w:ind w:left="70"/>
              <w:rPr>
                <w:sz w:val="20"/>
              </w:rPr>
            </w:pPr>
            <w:r>
              <w:rPr>
                <w:sz w:val="20"/>
              </w:rPr>
              <w:t>Departamento</w:t>
            </w:r>
            <w:r>
              <w:rPr>
                <w:spacing w:val="-10"/>
                <w:sz w:val="20"/>
              </w:rPr>
              <w:t> </w:t>
            </w:r>
            <w:r>
              <w:rPr>
                <w:sz w:val="20"/>
              </w:rPr>
              <w:t>de</w:t>
            </w:r>
            <w:r>
              <w:rPr>
                <w:spacing w:val="-10"/>
                <w:sz w:val="20"/>
              </w:rPr>
              <w:t> </w:t>
            </w:r>
            <w:r>
              <w:rPr>
                <w:sz w:val="20"/>
              </w:rPr>
              <w:t>Servicios</w:t>
            </w:r>
            <w:r>
              <w:rPr>
                <w:spacing w:val="-11"/>
                <w:sz w:val="20"/>
              </w:rPr>
              <w:t> </w:t>
            </w:r>
            <w:r>
              <w:rPr>
                <w:spacing w:val="-2"/>
                <w:sz w:val="20"/>
              </w:rPr>
              <w:t>Generales</w:t>
            </w:r>
          </w:p>
        </w:tc>
      </w:tr>
      <w:tr>
        <w:trPr>
          <w:trHeight w:val="494" w:hRule="atLeast"/>
        </w:trPr>
        <w:tc>
          <w:tcPr>
            <w:tcW w:w="2976" w:type="dxa"/>
            <w:shd w:val="clear" w:color="auto" w:fill="DCE6F0"/>
          </w:tcPr>
          <w:p>
            <w:pPr>
              <w:pStyle w:val="TableParagraph"/>
              <w:spacing w:before="131"/>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3" w:type="dxa"/>
          </w:tcPr>
          <w:p>
            <w:pPr>
              <w:pStyle w:val="TableParagraph"/>
              <w:spacing w:before="131"/>
              <w:ind w:left="70"/>
              <w:rPr>
                <w:sz w:val="20"/>
              </w:rPr>
            </w:pPr>
            <w:r>
              <w:rPr>
                <w:sz w:val="20"/>
              </w:rPr>
              <w:t>Contratos</w:t>
            </w:r>
            <w:r>
              <w:rPr>
                <w:spacing w:val="-9"/>
                <w:sz w:val="20"/>
              </w:rPr>
              <w:t> </w:t>
            </w:r>
            <w:r>
              <w:rPr>
                <w:sz w:val="20"/>
              </w:rPr>
              <w:t>en</w:t>
            </w:r>
            <w:r>
              <w:rPr>
                <w:spacing w:val="-8"/>
                <w:sz w:val="20"/>
              </w:rPr>
              <w:t> </w:t>
            </w:r>
            <w:r>
              <w:rPr>
                <w:sz w:val="20"/>
              </w:rPr>
              <w:t>ejecución</w:t>
            </w:r>
            <w:r>
              <w:rPr>
                <w:spacing w:val="-7"/>
                <w:sz w:val="20"/>
              </w:rPr>
              <w:t> </w:t>
            </w:r>
            <w:r>
              <w:rPr>
                <w:spacing w:val="-2"/>
                <w:sz w:val="20"/>
              </w:rPr>
              <w:t>continua.</w:t>
            </w:r>
          </w:p>
        </w:tc>
      </w:tr>
      <w:tr>
        <w:trPr>
          <w:trHeight w:val="602" w:hRule="atLeast"/>
        </w:trPr>
        <w:tc>
          <w:tcPr>
            <w:tcW w:w="2976" w:type="dxa"/>
            <w:shd w:val="clear" w:color="auto" w:fill="DCE6F0"/>
          </w:tcPr>
          <w:p>
            <w:pPr>
              <w:pStyle w:val="TableParagraph"/>
              <w:spacing w:before="184"/>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184"/>
              <w:ind w:left="70"/>
              <w:rPr>
                <w:sz w:val="20"/>
              </w:rPr>
            </w:pPr>
            <w:r>
              <w:rPr>
                <w:sz w:val="20"/>
              </w:rPr>
              <w:t>Control</w:t>
            </w:r>
            <w:r>
              <w:rPr>
                <w:spacing w:val="-8"/>
                <w:sz w:val="20"/>
              </w:rPr>
              <w:t> </w:t>
            </w:r>
            <w:r>
              <w:rPr>
                <w:sz w:val="20"/>
              </w:rPr>
              <w:t>de</w:t>
            </w:r>
            <w:r>
              <w:rPr>
                <w:spacing w:val="-6"/>
                <w:sz w:val="20"/>
              </w:rPr>
              <w:t> </w:t>
            </w:r>
            <w:r>
              <w:rPr>
                <w:sz w:val="20"/>
              </w:rPr>
              <w:t>las</w:t>
            </w:r>
            <w:r>
              <w:rPr>
                <w:spacing w:val="-6"/>
                <w:sz w:val="20"/>
              </w:rPr>
              <w:t> </w:t>
            </w:r>
            <w:r>
              <w:rPr>
                <w:sz w:val="20"/>
              </w:rPr>
              <w:t>Contrataciones</w:t>
            </w:r>
            <w:r>
              <w:rPr>
                <w:spacing w:val="-6"/>
                <w:sz w:val="20"/>
              </w:rPr>
              <w:t> </w:t>
            </w:r>
            <w:r>
              <w:rPr>
                <w:sz w:val="20"/>
              </w:rPr>
              <w:t>y</w:t>
            </w:r>
            <w:r>
              <w:rPr>
                <w:spacing w:val="-5"/>
                <w:sz w:val="20"/>
              </w:rPr>
              <w:t> </w:t>
            </w:r>
            <w:r>
              <w:rPr>
                <w:sz w:val="20"/>
              </w:rPr>
              <w:t>montos</w:t>
            </w:r>
            <w:r>
              <w:rPr>
                <w:spacing w:val="-6"/>
                <w:sz w:val="20"/>
              </w:rPr>
              <w:t> </w:t>
            </w:r>
            <w:r>
              <w:rPr>
                <w:spacing w:val="-2"/>
                <w:sz w:val="20"/>
              </w:rPr>
              <w:t>ejecutados</w:t>
            </w:r>
          </w:p>
        </w:tc>
      </w:tr>
      <w:tr>
        <w:trPr>
          <w:trHeight w:val="599" w:hRule="atLeast"/>
        </w:trPr>
        <w:tc>
          <w:tcPr>
            <w:tcW w:w="2976" w:type="dxa"/>
            <w:shd w:val="clear" w:color="auto" w:fill="DCE6F0"/>
          </w:tcPr>
          <w:p>
            <w:pPr>
              <w:pStyle w:val="TableParagraph"/>
              <w:spacing w:before="184"/>
              <w:ind w:left="67"/>
              <w:rPr>
                <w:b/>
                <w:sz w:val="20"/>
              </w:rPr>
            </w:pPr>
            <w:r>
              <w:rPr>
                <w:b/>
                <w:spacing w:val="-2"/>
                <w:sz w:val="20"/>
              </w:rPr>
              <w:t>Clasificación</w:t>
            </w:r>
          </w:p>
        </w:tc>
        <w:tc>
          <w:tcPr>
            <w:tcW w:w="7513" w:type="dxa"/>
          </w:tcPr>
          <w:p>
            <w:pPr>
              <w:pStyle w:val="TableParagraph"/>
              <w:spacing w:before="184"/>
              <w:ind w:left="70"/>
              <w:rPr>
                <w:sz w:val="20"/>
              </w:rPr>
            </w:pPr>
            <w:r>
              <w:rPr>
                <w:sz w:val="20"/>
              </w:rPr>
              <w:t>Impacto</w:t>
            </w:r>
            <w:r>
              <w:rPr>
                <w:spacing w:val="-4"/>
                <w:sz w:val="20"/>
              </w:rPr>
              <w:t> </w:t>
            </w:r>
            <w:r>
              <w:rPr>
                <w:sz w:val="20"/>
              </w:rPr>
              <w:t>()</w:t>
            </w:r>
            <w:r>
              <w:rPr>
                <w:spacing w:val="-4"/>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1799" w:hRule="atLeast"/>
        </w:trPr>
        <w:tc>
          <w:tcPr>
            <w:tcW w:w="2976" w:type="dxa"/>
            <w:shd w:val="clear" w:color="auto" w:fill="DCE6F0"/>
          </w:tcPr>
          <w:p>
            <w:pPr>
              <w:pStyle w:val="TableParagraph"/>
              <w:rPr>
                <w:b/>
                <w:sz w:val="20"/>
              </w:rPr>
            </w:pPr>
          </w:p>
          <w:p>
            <w:pPr>
              <w:pStyle w:val="TableParagraph"/>
              <w:rPr>
                <w:b/>
                <w:sz w:val="20"/>
              </w:rPr>
            </w:pPr>
          </w:p>
          <w:p>
            <w:pPr>
              <w:pStyle w:val="TableParagraph"/>
              <w:spacing w:before="94"/>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3" w:type="dxa"/>
          </w:tcPr>
          <w:p>
            <w:pPr>
              <w:pStyle w:val="TableParagraph"/>
              <w:spacing w:before="93"/>
              <w:rPr>
                <w:b/>
                <w:sz w:val="20"/>
              </w:rPr>
            </w:pPr>
          </w:p>
          <w:p>
            <w:pPr>
              <w:pStyle w:val="TableParagraph"/>
              <w:ind w:left="70" w:right="133"/>
              <w:rPr>
                <w:sz w:val="20"/>
              </w:rPr>
            </w:pPr>
            <w:r>
              <w:rPr>
                <w:sz w:val="20"/>
              </w:rPr>
              <w:t>Durante la ejecución del contrato se pueden presentar algunos inconvenientes, como,</w:t>
            </w:r>
            <w:r>
              <w:rPr>
                <w:spacing w:val="-5"/>
                <w:sz w:val="20"/>
              </w:rPr>
              <w:t> </w:t>
            </w:r>
            <w:r>
              <w:rPr>
                <w:sz w:val="20"/>
              </w:rPr>
              <w:t>por</w:t>
            </w:r>
            <w:r>
              <w:rPr>
                <w:spacing w:val="-5"/>
                <w:sz w:val="20"/>
              </w:rPr>
              <w:t> </w:t>
            </w:r>
            <w:r>
              <w:rPr>
                <w:sz w:val="20"/>
              </w:rPr>
              <w:t>ejemplo:</w:t>
            </w:r>
            <w:r>
              <w:rPr>
                <w:spacing w:val="-5"/>
                <w:sz w:val="20"/>
              </w:rPr>
              <w:t> </w:t>
            </w:r>
            <w:r>
              <w:rPr>
                <w:sz w:val="20"/>
              </w:rPr>
              <w:t>Interrupción</w:t>
            </w:r>
            <w:r>
              <w:rPr>
                <w:spacing w:val="-6"/>
                <w:sz w:val="20"/>
              </w:rPr>
              <w:t> </w:t>
            </w:r>
            <w:r>
              <w:rPr>
                <w:sz w:val="20"/>
              </w:rPr>
              <w:t>en</w:t>
            </w:r>
            <w:r>
              <w:rPr>
                <w:spacing w:val="-5"/>
                <w:sz w:val="20"/>
              </w:rPr>
              <w:t> </w:t>
            </w:r>
            <w:r>
              <w:rPr>
                <w:sz w:val="20"/>
              </w:rPr>
              <w:t>la</w:t>
            </w:r>
            <w:r>
              <w:rPr>
                <w:spacing w:val="-5"/>
                <w:sz w:val="20"/>
              </w:rPr>
              <w:t> </w:t>
            </w:r>
            <w:r>
              <w:rPr>
                <w:sz w:val="20"/>
              </w:rPr>
              <w:t>prestación</w:t>
            </w:r>
            <w:r>
              <w:rPr>
                <w:spacing w:val="-3"/>
                <w:sz w:val="20"/>
              </w:rPr>
              <w:t> </w:t>
            </w:r>
            <w:r>
              <w:rPr>
                <w:sz w:val="20"/>
              </w:rPr>
              <w:t>de</w:t>
            </w:r>
            <w:r>
              <w:rPr>
                <w:spacing w:val="-4"/>
                <w:sz w:val="20"/>
              </w:rPr>
              <w:t> </w:t>
            </w:r>
            <w:r>
              <w:rPr>
                <w:sz w:val="20"/>
              </w:rPr>
              <w:t>los</w:t>
            </w:r>
            <w:r>
              <w:rPr>
                <w:spacing w:val="-2"/>
                <w:sz w:val="20"/>
              </w:rPr>
              <w:t> </w:t>
            </w:r>
            <w:r>
              <w:rPr>
                <w:sz w:val="20"/>
              </w:rPr>
              <w:t>servicios</w:t>
            </w:r>
            <w:r>
              <w:rPr>
                <w:spacing w:val="-4"/>
                <w:sz w:val="20"/>
              </w:rPr>
              <w:t> </w:t>
            </w:r>
            <w:r>
              <w:rPr>
                <w:sz w:val="20"/>
              </w:rPr>
              <w:t>requeridos,</w:t>
            </w:r>
            <w:r>
              <w:rPr>
                <w:spacing w:val="-5"/>
                <w:sz w:val="20"/>
              </w:rPr>
              <w:t> </w:t>
            </w:r>
            <w:r>
              <w:rPr>
                <w:sz w:val="20"/>
              </w:rPr>
              <w:t>no</w:t>
            </w:r>
            <w:r>
              <w:rPr>
                <w:spacing w:val="-5"/>
                <w:sz w:val="20"/>
              </w:rPr>
              <w:t> </w:t>
            </w:r>
            <w:r>
              <w:rPr>
                <w:sz w:val="20"/>
              </w:rPr>
              <w:t>se recibe a tiempo el objeto contractual, el plazo de recepción se incumple, la contratación se declara infructuosa o precios ofertados exceden el presupuesto </w:t>
            </w:r>
            <w:r>
              <w:rPr>
                <w:spacing w:val="-2"/>
                <w:sz w:val="20"/>
              </w:rPr>
              <w:t>disponible.</w:t>
            </w:r>
          </w:p>
        </w:tc>
      </w:tr>
    </w:tbl>
    <w:p>
      <w:pPr>
        <w:pStyle w:val="BodyText"/>
        <w:rPr>
          <w:b/>
          <w:sz w:val="20"/>
        </w:rPr>
      </w:pPr>
    </w:p>
    <w:p>
      <w:pPr>
        <w:pStyle w:val="BodyText"/>
        <w:spacing w:before="6"/>
        <w:rPr>
          <w:b/>
          <w:sz w:val="20"/>
        </w:rPr>
      </w:pPr>
    </w:p>
    <w:tbl>
      <w:tblPr>
        <w:tblW w:w="0" w:type="auto"/>
        <w:jc w:val="left"/>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40"/>
        <w:gridCol w:w="1337"/>
        <w:gridCol w:w="7514"/>
      </w:tblGrid>
      <w:tr>
        <w:trPr>
          <w:trHeight w:val="461" w:hRule="atLeast"/>
        </w:trPr>
        <w:tc>
          <w:tcPr>
            <w:tcW w:w="2977" w:type="dxa"/>
            <w:gridSpan w:val="2"/>
            <w:shd w:val="clear" w:color="auto" w:fill="DCE6F0"/>
          </w:tcPr>
          <w:p>
            <w:pPr>
              <w:pStyle w:val="TableParagraph"/>
              <w:spacing w:before="114"/>
              <w:ind w:left="67"/>
              <w:rPr>
                <w:b/>
                <w:sz w:val="20"/>
              </w:rPr>
            </w:pPr>
            <w:r>
              <w:rPr>
                <w:b/>
                <w:sz w:val="20"/>
              </w:rPr>
              <w:t>PAC</w:t>
            </w:r>
            <w:r>
              <w:rPr>
                <w:b/>
                <w:spacing w:val="-8"/>
                <w:sz w:val="20"/>
              </w:rPr>
              <w:t> </w:t>
            </w:r>
            <w:r>
              <w:rPr>
                <w:b/>
                <w:spacing w:val="-2"/>
                <w:sz w:val="20"/>
              </w:rPr>
              <w:t>2.8.3:</w:t>
            </w:r>
          </w:p>
        </w:tc>
        <w:tc>
          <w:tcPr>
            <w:tcW w:w="7514" w:type="dxa"/>
          </w:tcPr>
          <w:p>
            <w:pPr>
              <w:pStyle w:val="TableParagraph"/>
              <w:spacing w:line="230" w:lineRule="exact"/>
              <w:ind w:left="69"/>
              <w:rPr>
                <w:sz w:val="20"/>
              </w:rPr>
            </w:pPr>
            <w:r>
              <w:rPr>
                <w:sz w:val="20"/>
              </w:rPr>
              <w:t>Nombre</w:t>
            </w:r>
            <w:r>
              <w:rPr>
                <w:spacing w:val="-4"/>
                <w:sz w:val="20"/>
              </w:rPr>
              <w:t> </w:t>
            </w:r>
            <w:r>
              <w:rPr>
                <w:sz w:val="20"/>
              </w:rPr>
              <w:t>del</w:t>
            </w:r>
            <w:r>
              <w:rPr>
                <w:spacing w:val="-7"/>
                <w:sz w:val="20"/>
              </w:rPr>
              <w:t> </w:t>
            </w:r>
            <w:r>
              <w:rPr>
                <w:sz w:val="20"/>
              </w:rPr>
              <w:t>Indicador:</w:t>
            </w:r>
            <w:r>
              <w:rPr>
                <w:spacing w:val="-4"/>
                <w:sz w:val="20"/>
              </w:rPr>
              <w:t> </w:t>
            </w:r>
            <w:r>
              <w:rPr>
                <w:sz w:val="20"/>
              </w:rPr>
              <w:t>Porcentaje</w:t>
            </w:r>
            <w:r>
              <w:rPr>
                <w:spacing w:val="-4"/>
                <w:sz w:val="20"/>
              </w:rPr>
              <w:t> </w:t>
            </w:r>
            <w:r>
              <w:rPr>
                <w:sz w:val="20"/>
              </w:rPr>
              <w:t>de</w:t>
            </w:r>
            <w:r>
              <w:rPr>
                <w:spacing w:val="-7"/>
                <w:sz w:val="20"/>
              </w:rPr>
              <w:t> </w:t>
            </w:r>
            <w:r>
              <w:rPr>
                <w:sz w:val="20"/>
              </w:rPr>
              <w:t>equipos</w:t>
            </w:r>
            <w:r>
              <w:rPr>
                <w:spacing w:val="-3"/>
                <w:sz w:val="20"/>
              </w:rPr>
              <w:t> </w:t>
            </w:r>
            <w:r>
              <w:rPr>
                <w:sz w:val="20"/>
              </w:rPr>
              <w:t>que</w:t>
            </w:r>
            <w:r>
              <w:rPr>
                <w:spacing w:val="-6"/>
                <w:sz w:val="20"/>
              </w:rPr>
              <w:t> </w:t>
            </w:r>
            <w:r>
              <w:rPr>
                <w:sz w:val="20"/>
              </w:rPr>
              <w:t>cuentan</w:t>
            </w:r>
            <w:r>
              <w:rPr>
                <w:spacing w:val="-6"/>
                <w:sz w:val="20"/>
              </w:rPr>
              <w:t> </w:t>
            </w:r>
            <w:r>
              <w:rPr>
                <w:sz w:val="20"/>
              </w:rPr>
              <w:t>con</w:t>
            </w:r>
            <w:r>
              <w:rPr>
                <w:spacing w:val="-6"/>
                <w:sz w:val="20"/>
              </w:rPr>
              <w:t> </w:t>
            </w:r>
            <w:r>
              <w:rPr>
                <w:sz w:val="20"/>
              </w:rPr>
              <w:t>servicios</w:t>
            </w:r>
            <w:r>
              <w:rPr>
                <w:spacing w:val="-3"/>
                <w:sz w:val="20"/>
              </w:rPr>
              <w:t> </w:t>
            </w:r>
            <w:r>
              <w:rPr>
                <w:sz w:val="20"/>
              </w:rPr>
              <w:t>de </w:t>
            </w:r>
            <w:r>
              <w:rPr>
                <w:spacing w:val="-2"/>
                <w:sz w:val="20"/>
              </w:rPr>
              <w:t>mantenimiento.</w:t>
            </w:r>
          </w:p>
        </w:tc>
      </w:tr>
      <w:tr>
        <w:trPr>
          <w:trHeight w:val="457" w:hRule="atLeast"/>
        </w:trPr>
        <w:tc>
          <w:tcPr>
            <w:tcW w:w="2977" w:type="dxa"/>
            <w:gridSpan w:val="2"/>
            <w:shd w:val="clear" w:color="auto" w:fill="DCE6F0"/>
          </w:tcPr>
          <w:p>
            <w:pPr>
              <w:pStyle w:val="TableParagraph"/>
              <w:spacing w:before="112"/>
              <w:ind w:left="67"/>
              <w:rPr>
                <w:b/>
                <w:sz w:val="20"/>
              </w:rPr>
            </w:pPr>
            <w:r>
              <w:rPr>
                <w:b/>
                <w:sz w:val="20"/>
              </w:rPr>
              <w:t>Formular</w:t>
            </w:r>
            <w:r>
              <w:rPr>
                <w:b/>
                <w:spacing w:val="-10"/>
                <w:sz w:val="20"/>
              </w:rPr>
              <w:t> </w:t>
            </w:r>
            <w:r>
              <w:rPr>
                <w:b/>
                <w:sz w:val="20"/>
              </w:rPr>
              <w:t>de</w:t>
            </w:r>
            <w:r>
              <w:rPr>
                <w:b/>
                <w:spacing w:val="-6"/>
                <w:sz w:val="20"/>
              </w:rPr>
              <w:t> </w:t>
            </w:r>
            <w:r>
              <w:rPr>
                <w:b/>
                <w:spacing w:val="-2"/>
                <w:sz w:val="20"/>
              </w:rPr>
              <w:t>cálculo:</w:t>
            </w:r>
          </w:p>
        </w:tc>
        <w:tc>
          <w:tcPr>
            <w:tcW w:w="7514" w:type="dxa"/>
          </w:tcPr>
          <w:p>
            <w:pPr>
              <w:pStyle w:val="TableParagraph"/>
              <w:spacing w:line="228" w:lineRule="exact"/>
              <w:ind w:left="69"/>
              <w:rPr>
                <w:sz w:val="20"/>
              </w:rPr>
            </w:pPr>
            <w:r>
              <w:rPr>
                <w:sz w:val="20"/>
              </w:rPr>
              <w:t>Porcentaje</w:t>
            </w:r>
            <w:r>
              <w:rPr>
                <w:spacing w:val="-5"/>
                <w:sz w:val="20"/>
              </w:rPr>
              <w:t> </w:t>
            </w:r>
            <w:r>
              <w:rPr>
                <w:sz w:val="20"/>
              </w:rPr>
              <w:t>de</w:t>
            </w:r>
            <w:r>
              <w:rPr>
                <w:spacing w:val="-3"/>
                <w:sz w:val="20"/>
              </w:rPr>
              <w:t> </w:t>
            </w:r>
            <w:r>
              <w:rPr>
                <w:sz w:val="20"/>
              </w:rPr>
              <w:t>equipos</w:t>
            </w:r>
            <w:r>
              <w:rPr>
                <w:spacing w:val="-4"/>
                <w:sz w:val="20"/>
              </w:rPr>
              <w:t> </w:t>
            </w:r>
            <w:r>
              <w:rPr>
                <w:sz w:val="20"/>
              </w:rPr>
              <w:t>que</w:t>
            </w:r>
            <w:r>
              <w:rPr>
                <w:spacing w:val="-3"/>
                <w:sz w:val="20"/>
              </w:rPr>
              <w:t> </w:t>
            </w:r>
            <w:r>
              <w:rPr>
                <w:sz w:val="20"/>
              </w:rPr>
              <w:t>cuentan</w:t>
            </w:r>
            <w:r>
              <w:rPr>
                <w:spacing w:val="-5"/>
                <w:sz w:val="20"/>
              </w:rPr>
              <w:t> </w:t>
            </w:r>
            <w:r>
              <w:rPr>
                <w:sz w:val="20"/>
              </w:rPr>
              <w:t>con</w:t>
            </w:r>
            <w:r>
              <w:rPr>
                <w:spacing w:val="-6"/>
                <w:sz w:val="20"/>
              </w:rPr>
              <w:t> </w:t>
            </w:r>
            <w:r>
              <w:rPr>
                <w:sz w:val="20"/>
              </w:rPr>
              <w:t>servicios</w:t>
            </w:r>
            <w:r>
              <w:rPr>
                <w:spacing w:val="-4"/>
                <w:sz w:val="20"/>
              </w:rPr>
              <w:t> </w:t>
            </w:r>
            <w:r>
              <w:rPr>
                <w:sz w:val="20"/>
              </w:rPr>
              <w:t>de</w:t>
            </w:r>
            <w:r>
              <w:rPr>
                <w:spacing w:val="-4"/>
                <w:sz w:val="20"/>
              </w:rPr>
              <w:t> </w:t>
            </w:r>
            <w:r>
              <w:rPr>
                <w:sz w:val="20"/>
              </w:rPr>
              <w:t>mantenimiento</w:t>
            </w:r>
            <w:r>
              <w:rPr>
                <w:spacing w:val="-4"/>
                <w:sz w:val="20"/>
              </w:rPr>
              <w:t> </w:t>
            </w:r>
            <w:r>
              <w:rPr>
                <w:sz w:val="20"/>
              </w:rPr>
              <w:t>entre</w:t>
            </w:r>
            <w:r>
              <w:rPr>
                <w:spacing w:val="-3"/>
                <w:sz w:val="20"/>
              </w:rPr>
              <w:t> </w:t>
            </w:r>
            <w:r>
              <w:rPr>
                <w:sz w:val="20"/>
              </w:rPr>
              <w:t>No.</w:t>
            </w:r>
            <w:r>
              <w:rPr>
                <w:spacing w:val="-3"/>
                <w:sz w:val="20"/>
              </w:rPr>
              <w:t> </w:t>
            </w:r>
            <w:r>
              <w:rPr>
                <w:sz w:val="20"/>
              </w:rPr>
              <w:t>de equipos en funcionamiento.</w:t>
            </w:r>
          </w:p>
        </w:tc>
      </w:tr>
      <w:tr>
        <w:trPr>
          <w:trHeight w:val="302" w:hRule="atLeast"/>
        </w:trPr>
        <w:tc>
          <w:tcPr>
            <w:tcW w:w="2977" w:type="dxa"/>
            <w:gridSpan w:val="2"/>
            <w:shd w:val="clear" w:color="auto" w:fill="DCE6F0"/>
          </w:tcPr>
          <w:p>
            <w:pPr>
              <w:pStyle w:val="TableParagraph"/>
              <w:spacing w:before="35"/>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35"/>
              <w:ind w:left="69"/>
              <w:rPr>
                <w:sz w:val="20"/>
              </w:rPr>
            </w:pPr>
            <w:r>
              <w:rPr>
                <w:spacing w:val="-2"/>
                <w:sz w:val="20"/>
              </w:rPr>
              <w:t>Porcentaje</w:t>
            </w:r>
          </w:p>
        </w:tc>
      </w:tr>
      <w:tr>
        <w:trPr>
          <w:trHeight w:val="304" w:hRule="atLeast"/>
        </w:trPr>
        <w:tc>
          <w:tcPr>
            <w:tcW w:w="2977" w:type="dxa"/>
            <w:gridSpan w:val="2"/>
            <w:tcBorders>
              <w:bottom w:val="nil"/>
            </w:tcBorders>
            <w:shd w:val="clear" w:color="auto" w:fill="DCE6F0"/>
          </w:tcPr>
          <w:p>
            <w:pPr>
              <w:pStyle w:val="TableParagraph"/>
              <w:spacing w:before="33"/>
              <w:ind w:left="67"/>
              <w:rPr>
                <w:b/>
                <w:sz w:val="20"/>
              </w:rPr>
            </w:pPr>
            <w:r>
              <w:rPr>
                <w:b/>
                <w:spacing w:val="-2"/>
                <w:sz w:val="20"/>
              </w:rPr>
              <w:t>Interpretación:</w:t>
            </w:r>
          </w:p>
        </w:tc>
        <w:tc>
          <w:tcPr>
            <w:tcW w:w="7514" w:type="dxa"/>
            <w:tcBorders>
              <w:bottom w:val="thickThinMediumGap" w:sz="9" w:space="0" w:color="808080"/>
            </w:tcBorders>
          </w:tcPr>
          <w:p>
            <w:pPr>
              <w:pStyle w:val="TableParagraph"/>
              <w:spacing w:before="33"/>
              <w:ind w:left="69"/>
              <w:rPr>
                <w:sz w:val="20"/>
              </w:rPr>
            </w:pPr>
            <w:r>
              <w:rPr>
                <w:sz w:val="20"/>
              </w:rPr>
              <w:t>Monitoreo</w:t>
            </w:r>
            <w:r>
              <w:rPr>
                <w:spacing w:val="-10"/>
                <w:sz w:val="20"/>
              </w:rPr>
              <w:t> </w:t>
            </w:r>
            <w:r>
              <w:rPr>
                <w:sz w:val="20"/>
              </w:rPr>
              <w:t>sobre</w:t>
            </w:r>
            <w:r>
              <w:rPr>
                <w:spacing w:val="-9"/>
                <w:sz w:val="20"/>
              </w:rPr>
              <w:t> </w:t>
            </w:r>
            <w:r>
              <w:rPr>
                <w:sz w:val="20"/>
              </w:rPr>
              <w:t>los</w:t>
            </w:r>
            <w:r>
              <w:rPr>
                <w:spacing w:val="-9"/>
                <w:sz w:val="20"/>
              </w:rPr>
              <w:t> </w:t>
            </w:r>
            <w:r>
              <w:rPr>
                <w:sz w:val="20"/>
              </w:rPr>
              <w:t>mantenimientos</w:t>
            </w:r>
            <w:r>
              <w:rPr>
                <w:spacing w:val="-9"/>
                <w:sz w:val="20"/>
              </w:rPr>
              <w:t> </w:t>
            </w:r>
            <w:r>
              <w:rPr>
                <w:sz w:val="20"/>
              </w:rPr>
              <w:t>realizados</w:t>
            </w:r>
            <w:r>
              <w:rPr>
                <w:spacing w:val="-9"/>
                <w:sz w:val="20"/>
              </w:rPr>
              <w:t> </w:t>
            </w:r>
            <w:r>
              <w:rPr>
                <w:sz w:val="20"/>
              </w:rPr>
              <w:t>a</w:t>
            </w:r>
            <w:r>
              <w:rPr>
                <w:spacing w:val="-8"/>
                <w:sz w:val="20"/>
              </w:rPr>
              <w:t> </w:t>
            </w:r>
            <w:r>
              <w:rPr>
                <w:sz w:val="20"/>
              </w:rPr>
              <w:t>los</w:t>
            </w:r>
            <w:r>
              <w:rPr>
                <w:spacing w:val="-8"/>
                <w:sz w:val="20"/>
              </w:rPr>
              <w:t> </w:t>
            </w:r>
            <w:r>
              <w:rPr>
                <w:sz w:val="20"/>
              </w:rPr>
              <w:t>equipos</w:t>
            </w:r>
            <w:r>
              <w:rPr>
                <w:spacing w:val="-9"/>
                <w:sz w:val="20"/>
              </w:rPr>
              <w:t> </w:t>
            </w:r>
            <w:r>
              <w:rPr>
                <w:spacing w:val="-2"/>
                <w:sz w:val="20"/>
              </w:rPr>
              <w:t>electromecánicos.</w:t>
            </w:r>
          </w:p>
        </w:tc>
      </w:tr>
      <w:tr>
        <w:trPr>
          <w:trHeight w:val="1662" w:hRule="atLeast"/>
        </w:trPr>
        <w:tc>
          <w:tcPr>
            <w:tcW w:w="1640" w:type="dxa"/>
            <w:tcBorders>
              <w:top w:val="thinThickMediumGap" w:sz="9" w:space="0" w:color="808080"/>
              <w:left w:val="nil"/>
              <w:bottom w:val="nil"/>
              <w:right w:val="single" w:sz="18" w:space="0" w:color="808080"/>
            </w:tcBorders>
          </w:tcPr>
          <w:p>
            <w:pPr>
              <w:pStyle w:val="TableParagraph"/>
              <w:spacing w:before="7"/>
              <w:ind w:left="821"/>
              <w:rPr>
                <w:b/>
                <w:sz w:val="24"/>
              </w:rPr>
            </w:pPr>
            <w:r>
              <w:rPr>
                <w:b/>
                <w:spacing w:val="-5"/>
                <w:sz w:val="24"/>
              </w:rPr>
              <w:t>214</w:t>
            </w:r>
          </w:p>
        </w:tc>
        <w:tc>
          <w:tcPr>
            <w:tcW w:w="8851" w:type="dxa"/>
            <w:gridSpan w:val="2"/>
            <w:tcBorders>
              <w:top w:val="nil"/>
              <w:left w:val="single" w:sz="18" w:space="0" w:color="808080"/>
              <w:bottom w:val="nil"/>
              <w:right w:val="nil"/>
            </w:tcBorders>
          </w:tcPr>
          <w:p>
            <w:pPr>
              <w:pStyle w:val="TableParagraph"/>
              <w:spacing w:before="7"/>
              <w:ind w:left="89"/>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c>
      </w:tr>
    </w:tbl>
    <w:p>
      <w:pPr>
        <w:pStyle w:val="TableParagraph"/>
        <w:spacing w:after="0"/>
        <w:rPr>
          <w:b/>
          <w:i/>
          <w:sz w:val="24"/>
        </w:rPr>
        <w:sectPr>
          <w:footerReference w:type="default" r:id="rId147"/>
          <w:pgSz w:w="12240" w:h="15840"/>
          <w:pgMar w:header="0" w:footer="0" w:top="1820" w:bottom="28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300" w:hRule="atLeast"/>
        </w:trPr>
        <w:tc>
          <w:tcPr>
            <w:tcW w:w="2976" w:type="dxa"/>
            <w:shd w:val="clear" w:color="auto" w:fill="DCE6F0"/>
          </w:tcPr>
          <w:p>
            <w:pPr>
              <w:pStyle w:val="TableParagraph"/>
              <w:spacing w:before="33"/>
              <w:ind w:left="67"/>
              <w:rPr>
                <w:b/>
                <w:sz w:val="20"/>
              </w:rPr>
            </w:pPr>
            <w:r>
              <w:rPr>
                <w:b/>
                <w:spacing w:val="-2"/>
                <w:sz w:val="20"/>
              </w:rPr>
              <w:t>Desagregación</w:t>
            </w:r>
          </w:p>
        </w:tc>
        <w:tc>
          <w:tcPr>
            <w:tcW w:w="7513" w:type="dxa"/>
          </w:tcPr>
          <w:p>
            <w:pPr>
              <w:pStyle w:val="TableParagraph"/>
              <w:spacing w:before="33"/>
              <w:ind w:left="70"/>
              <w:rPr>
                <w:sz w:val="20"/>
              </w:rPr>
            </w:pPr>
            <w:r>
              <w:rPr>
                <w:sz w:val="20"/>
              </w:rPr>
              <w:t>Sólo</w:t>
            </w:r>
            <w:r>
              <w:rPr>
                <w:spacing w:val="-6"/>
                <w:sz w:val="20"/>
              </w:rPr>
              <w:t> </w:t>
            </w:r>
            <w:r>
              <w:rPr>
                <w:sz w:val="20"/>
              </w:rPr>
              <w:t>se</w:t>
            </w:r>
            <w:r>
              <w:rPr>
                <w:spacing w:val="-5"/>
                <w:sz w:val="20"/>
              </w:rPr>
              <w:t> </w:t>
            </w:r>
            <w:r>
              <w:rPr>
                <w:sz w:val="20"/>
              </w:rPr>
              <w:t>atiende</w:t>
            </w:r>
            <w:r>
              <w:rPr>
                <w:spacing w:val="-6"/>
                <w:sz w:val="20"/>
              </w:rPr>
              <w:t> </w:t>
            </w:r>
            <w:r>
              <w:rPr>
                <w:sz w:val="20"/>
              </w:rPr>
              <w:t>a</w:t>
            </w:r>
            <w:r>
              <w:rPr>
                <w:spacing w:val="-4"/>
                <w:sz w:val="20"/>
              </w:rPr>
              <w:t> </w:t>
            </w:r>
            <w:r>
              <w:rPr>
                <w:sz w:val="20"/>
              </w:rPr>
              <w:t>nivel</w:t>
            </w:r>
            <w:r>
              <w:rPr>
                <w:spacing w:val="-6"/>
                <w:sz w:val="20"/>
              </w:rPr>
              <w:t> </w:t>
            </w:r>
            <w:r>
              <w:rPr>
                <w:spacing w:val="-2"/>
                <w:sz w:val="20"/>
              </w:rPr>
              <w:t>central</w:t>
            </w:r>
          </w:p>
        </w:tc>
      </w:tr>
      <w:tr>
        <w:trPr>
          <w:trHeight w:val="299" w:hRule="atLeast"/>
        </w:trPr>
        <w:tc>
          <w:tcPr>
            <w:tcW w:w="2976" w:type="dxa"/>
            <w:shd w:val="clear" w:color="auto" w:fill="DCE6F0"/>
          </w:tcPr>
          <w:p>
            <w:pPr>
              <w:pStyle w:val="TableParagraph"/>
              <w:spacing w:before="35"/>
              <w:ind w:left="67"/>
              <w:rPr>
                <w:b/>
                <w:sz w:val="20"/>
              </w:rPr>
            </w:pPr>
            <w:r>
              <w:rPr>
                <w:b/>
                <w:spacing w:val="-2"/>
                <w:sz w:val="20"/>
              </w:rPr>
              <w:t>Meta:</w:t>
            </w:r>
          </w:p>
        </w:tc>
        <w:tc>
          <w:tcPr>
            <w:tcW w:w="7513" w:type="dxa"/>
          </w:tcPr>
          <w:p>
            <w:pPr>
              <w:pStyle w:val="TableParagraph"/>
              <w:spacing w:before="35"/>
              <w:ind w:left="70"/>
              <w:rPr>
                <w:sz w:val="20"/>
              </w:rPr>
            </w:pPr>
            <w:r>
              <w:rPr>
                <w:sz w:val="20"/>
              </w:rPr>
              <w:t>100</w:t>
            </w:r>
            <w:r>
              <w:rPr>
                <w:spacing w:val="-7"/>
                <w:sz w:val="20"/>
              </w:rPr>
              <w:t> </w:t>
            </w:r>
            <w:r>
              <w:rPr>
                <w:spacing w:val="-10"/>
                <w:sz w:val="20"/>
              </w:rPr>
              <w:t>%</w:t>
            </w:r>
          </w:p>
        </w:tc>
      </w:tr>
      <w:tr>
        <w:trPr>
          <w:trHeight w:val="299" w:hRule="atLeast"/>
        </w:trPr>
        <w:tc>
          <w:tcPr>
            <w:tcW w:w="2976" w:type="dxa"/>
            <w:shd w:val="clear" w:color="auto" w:fill="DCE6F0"/>
          </w:tcPr>
          <w:p>
            <w:pPr>
              <w:pStyle w:val="TableParagraph"/>
              <w:spacing w:before="35"/>
              <w:ind w:left="67"/>
              <w:rPr>
                <w:b/>
                <w:sz w:val="20"/>
              </w:rPr>
            </w:pPr>
            <w:r>
              <w:rPr>
                <w:b/>
                <w:sz w:val="20"/>
              </w:rPr>
              <w:t>Línea</w:t>
            </w:r>
            <w:r>
              <w:rPr>
                <w:b/>
                <w:spacing w:val="-10"/>
                <w:sz w:val="20"/>
              </w:rPr>
              <w:t> </w:t>
            </w:r>
            <w:r>
              <w:rPr>
                <w:b/>
                <w:spacing w:val="-4"/>
                <w:sz w:val="20"/>
              </w:rPr>
              <w:t>Base</w:t>
            </w:r>
          </w:p>
        </w:tc>
        <w:tc>
          <w:tcPr>
            <w:tcW w:w="7513" w:type="dxa"/>
          </w:tcPr>
          <w:p>
            <w:pPr>
              <w:pStyle w:val="TableParagraph"/>
              <w:spacing w:before="35"/>
              <w:ind w:left="70"/>
              <w:rPr>
                <w:sz w:val="20"/>
              </w:rPr>
            </w:pPr>
            <w:r>
              <w:rPr>
                <w:sz w:val="20"/>
              </w:rPr>
              <w:t>100</w:t>
            </w:r>
            <w:r>
              <w:rPr>
                <w:spacing w:val="-7"/>
                <w:sz w:val="20"/>
              </w:rPr>
              <w:t> </w:t>
            </w:r>
            <w:r>
              <w:rPr>
                <w:spacing w:val="-10"/>
                <w:sz w:val="20"/>
              </w:rPr>
              <w:t>%</w:t>
            </w:r>
          </w:p>
        </w:tc>
      </w:tr>
      <w:tr>
        <w:trPr>
          <w:trHeight w:val="599" w:hRule="atLeast"/>
        </w:trPr>
        <w:tc>
          <w:tcPr>
            <w:tcW w:w="2976" w:type="dxa"/>
            <w:shd w:val="clear" w:color="auto" w:fill="DCE6F0"/>
          </w:tcPr>
          <w:p>
            <w:pPr>
              <w:pStyle w:val="TableParagraph"/>
              <w:spacing w:before="69"/>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184"/>
              <w:ind w:left="70"/>
              <w:rPr>
                <w:sz w:val="20"/>
              </w:rPr>
            </w:pPr>
            <w:r>
              <w:rPr>
                <w:spacing w:val="-2"/>
                <w:sz w:val="20"/>
              </w:rPr>
              <w:t>Trimestral</w:t>
            </w:r>
          </w:p>
        </w:tc>
      </w:tr>
      <w:tr>
        <w:trPr>
          <w:trHeight w:val="602" w:hRule="atLeast"/>
        </w:trPr>
        <w:tc>
          <w:tcPr>
            <w:tcW w:w="2976" w:type="dxa"/>
            <w:shd w:val="clear" w:color="auto" w:fill="DCE6F0"/>
          </w:tcPr>
          <w:p>
            <w:pPr>
              <w:pStyle w:val="TableParagraph"/>
              <w:spacing w:before="71"/>
              <w:ind w:left="67" w:right="514"/>
              <w:rPr>
                <w:b/>
                <w:sz w:val="20"/>
              </w:rPr>
            </w:pPr>
            <w:r>
              <w:rPr>
                <w:b/>
                <w:sz w:val="20"/>
              </w:rPr>
              <w:t>Responsable de la recopilación</w:t>
            </w:r>
            <w:r>
              <w:rPr>
                <w:b/>
                <w:spacing w:val="-14"/>
                <w:sz w:val="20"/>
              </w:rPr>
              <w:t> </w:t>
            </w:r>
            <w:r>
              <w:rPr>
                <w:b/>
                <w:sz w:val="20"/>
              </w:rPr>
              <w:t>información</w:t>
            </w:r>
          </w:p>
        </w:tc>
        <w:tc>
          <w:tcPr>
            <w:tcW w:w="7513" w:type="dxa"/>
          </w:tcPr>
          <w:p>
            <w:pPr>
              <w:pStyle w:val="TableParagraph"/>
              <w:spacing w:before="71"/>
              <w:ind w:left="70" w:right="3072"/>
              <w:rPr>
                <w:sz w:val="20"/>
              </w:rPr>
            </w:pPr>
            <w:r>
              <w:rPr>
                <w:sz w:val="20"/>
              </w:rPr>
              <w:t>Nombre del funcionario: Luz Elena Escobar Cargo:</w:t>
            </w:r>
            <w:r>
              <w:rPr>
                <w:spacing w:val="-11"/>
                <w:sz w:val="20"/>
              </w:rPr>
              <w:t> </w:t>
            </w:r>
            <w:r>
              <w:rPr>
                <w:sz w:val="20"/>
              </w:rPr>
              <w:t>Profesional</w:t>
            </w:r>
            <w:r>
              <w:rPr>
                <w:spacing w:val="-11"/>
                <w:sz w:val="20"/>
              </w:rPr>
              <w:t> </w:t>
            </w:r>
            <w:r>
              <w:rPr>
                <w:sz w:val="20"/>
              </w:rPr>
              <w:t>de</w:t>
            </w:r>
            <w:r>
              <w:rPr>
                <w:spacing w:val="-11"/>
                <w:sz w:val="20"/>
              </w:rPr>
              <w:t> </w:t>
            </w:r>
            <w:r>
              <w:rPr>
                <w:sz w:val="20"/>
              </w:rPr>
              <w:t>Servicios</w:t>
            </w:r>
            <w:r>
              <w:rPr>
                <w:spacing w:val="-11"/>
                <w:sz w:val="20"/>
              </w:rPr>
              <w:t> </w:t>
            </w:r>
            <w:r>
              <w:rPr>
                <w:sz w:val="20"/>
              </w:rPr>
              <w:t>Administrativos</w:t>
            </w:r>
          </w:p>
        </w:tc>
      </w:tr>
      <w:tr>
        <w:trPr>
          <w:trHeight w:val="899" w:hRule="atLeast"/>
        </w:trPr>
        <w:tc>
          <w:tcPr>
            <w:tcW w:w="2976" w:type="dxa"/>
            <w:shd w:val="clear" w:color="auto" w:fill="DCE6F0"/>
          </w:tcPr>
          <w:p>
            <w:pPr>
              <w:pStyle w:val="TableParagraph"/>
              <w:spacing w:before="218"/>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3" w:type="dxa"/>
          </w:tcPr>
          <w:p>
            <w:pPr>
              <w:pStyle w:val="TableParagraph"/>
              <w:rPr>
                <w:b/>
                <w:sz w:val="20"/>
              </w:rPr>
            </w:pPr>
          </w:p>
          <w:p>
            <w:pPr>
              <w:pStyle w:val="TableParagraph"/>
              <w:spacing w:before="209"/>
              <w:rPr>
                <w:b/>
                <w:sz w:val="20"/>
              </w:rPr>
            </w:pPr>
          </w:p>
          <w:p>
            <w:pPr>
              <w:pStyle w:val="TableParagraph"/>
              <w:spacing w:line="211" w:lineRule="exact"/>
              <w:ind w:left="70"/>
              <w:rPr>
                <w:sz w:val="20"/>
              </w:rPr>
            </w:pPr>
            <w:r>
              <w:rPr>
                <w:sz w:val="20"/>
              </w:rPr>
              <w:t>Departamento</w:t>
            </w:r>
            <w:r>
              <w:rPr>
                <w:spacing w:val="-10"/>
                <w:sz w:val="20"/>
              </w:rPr>
              <w:t> </w:t>
            </w:r>
            <w:r>
              <w:rPr>
                <w:sz w:val="20"/>
              </w:rPr>
              <w:t>de</w:t>
            </w:r>
            <w:r>
              <w:rPr>
                <w:spacing w:val="-10"/>
                <w:sz w:val="20"/>
              </w:rPr>
              <w:t> </w:t>
            </w:r>
            <w:r>
              <w:rPr>
                <w:sz w:val="20"/>
              </w:rPr>
              <w:t>Servicios</w:t>
            </w:r>
            <w:r>
              <w:rPr>
                <w:spacing w:val="-11"/>
                <w:sz w:val="20"/>
              </w:rPr>
              <w:t> </w:t>
            </w:r>
            <w:r>
              <w:rPr>
                <w:spacing w:val="-2"/>
                <w:sz w:val="20"/>
              </w:rPr>
              <w:t>Generales</w:t>
            </w:r>
          </w:p>
        </w:tc>
      </w:tr>
      <w:tr>
        <w:trPr>
          <w:trHeight w:val="285" w:hRule="atLeast"/>
        </w:trPr>
        <w:tc>
          <w:tcPr>
            <w:tcW w:w="2976" w:type="dxa"/>
            <w:shd w:val="clear" w:color="auto" w:fill="DCE6F0"/>
          </w:tcPr>
          <w:p>
            <w:pPr>
              <w:pStyle w:val="TableParagraph"/>
              <w:spacing w:before="26"/>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3" w:type="dxa"/>
          </w:tcPr>
          <w:p>
            <w:pPr>
              <w:pStyle w:val="TableParagraph"/>
              <w:spacing w:before="26"/>
              <w:ind w:left="70"/>
              <w:rPr>
                <w:sz w:val="20"/>
              </w:rPr>
            </w:pPr>
            <w:r>
              <w:rPr>
                <w:sz w:val="20"/>
              </w:rPr>
              <w:t>Contratos</w:t>
            </w:r>
            <w:r>
              <w:rPr>
                <w:spacing w:val="-9"/>
                <w:sz w:val="20"/>
              </w:rPr>
              <w:t> </w:t>
            </w:r>
            <w:r>
              <w:rPr>
                <w:sz w:val="20"/>
              </w:rPr>
              <w:t>en</w:t>
            </w:r>
            <w:r>
              <w:rPr>
                <w:spacing w:val="-8"/>
                <w:sz w:val="20"/>
              </w:rPr>
              <w:t> </w:t>
            </w:r>
            <w:r>
              <w:rPr>
                <w:sz w:val="20"/>
              </w:rPr>
              <w:t>ejecución</w:t>
            </w:r>
            <w:r>
              <w:rPr>
                <w:spacing w:val="-7"/>
                <w:sz w:val="20"/>
              </w:rPr>
              <w:t> </w:t>
            </w:r>
            <w:r>
              <w:rPr>
                <w:spacing w:val="-2"/>
                <w:sz w:val="20"/>
              </w:rPr>
              <w:t>continua.</w:t>
            </w:r>
          </w:p>
        </w:tc>
      </w:tr>
      <w:tr>
        <w:trPr>
          <w:trHeight w:val="600" w:hRule="atLeast"/>
        </w:trPr>
        <w:tc>
          <w:tcPr>
            <w:tcW w:w="2976" w:type="dxa"/>
            <w:shd w:val="clear" w:color="auto" w:fill="DCE6F0"/>
          </w:tcPr>
          <w:p>
            <w:pPr>
              <w:pStyle w:val="TableParagraph"/>
              <w:spacing w:before="185"/>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185"/>
              <w:ind w:left="70"/>
              <w:rPr>
                <w:sz w:val="20"/>
              </w:rPr>
            </w:pPr>
            <w:r>
              <w:rPr>
                <w:sz w:val="20"/>
              </w:rPr>
              <w:t>Cronograma</w:t>
            </w:r>
            <w:r>
              <w:rPr>
                <w:spacing w:val="-8"/>
                <w:sz w:val="20"/>
              </w:rPr>
              <w:t> </w:t>
            </w:r>
            <w:r>
              <w:rPr>
                <w:sz w:val="20"/>
              </w:rPr>
              <w:t>de</w:t>
            </w:r>
            <w:r>
              <w:rPr>
                <w:spacing w:val="-9"/>
                <w:sz w:val="20"/>
              </w:rPr>
              <w:t> </w:t>
            </w:r>
            <w:r>
              <w:rPr>
                <w:sz w:val="20"/>
              </w:rPr>
              <w:t>mantenimientos</w:t>
            </w:r>
            <w:r>
              <w:rPr>
                <w:spacing w:val="-9"/>
                <w:sz w:val="20"/>
              </w:rPr>
              <w:t> </w:t>
            </w:r>
            <w:r>
              <w:rPr>
                <w:sz w:val="20"/>
              </w:rPr>
              <w:t>y</w:t>
            </w:r>
            <w:r>
              <w:rPr>
                <w:spacing w:val="-8"/>
                <w:sz w:val="20"/>
              </w:rPr>
              <w:t> </w:t>
            </w:r>
            <w:r>
              <w:rPr>
                <w:sz w:val="20"/>
              </w:rPr>
              <w:t>montos</w:t>
            </w:r>
            <w:r>
              <w:rPr>
                <w:spacing w:val="-8"/>
                <w:sz w:val="20"/>
              </w:rPr>
              <w:t> </w:t>
            </w:r>
            <w:r>
              <w:rPr>
                <w:spacing w:val="-2"/>
                <w:sz w:val="20"/>
              </w:rPr>
              <w:t>ejecutados</w:t>
            </w:r>
          </w:p>
        </w:tc>
      </w:tr>
      <w:tr>
        <w:trPr>
          <w:trHeight w:val="599" w:hRule="atLeast"/>
        </w:trPr>
        <w:tc>
          <w:tcPr>
            <w:tcW w:w="2976" w:type="dxa"/>
            <w:shd w:val="clear" w:color="auto" w:fill="DCE6F0"/>
          </w:tcPr>
          <w:p>
            <w:pPr>
              <w:pStyle w:val="TableParagraph"/>
              <w:spacing w:before="184"/>
              <w:ind w:left="67"/>
              <w:rPr>
                <w:b/>
                <w:sz w:val="20"/>
              </w:rPr>
            </w:pPr>
            <w:r>
              <w:rPr>
                <w:b/>
                <w:spacing w:val="-2"/>
                <w:sz w:val="20"/>
              </w:rPr>
              <w:t>Clasificación</w:t>
            </w:r>
          </w:p>
        </w:tc>
        <w:tc>
          <w:tcPr>
            <w:tcW w:w="7513" w:type="dxa"/>
          </w:tcPr>
          <w:p>
            <w:pPr>
              <w:pStyle w:val="TableParagraph"/>
              <w:spacing w:before="184"/>
              <w:ind w:left="70"/>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1170" w:hRule="atLeast"/>
        </w:trPr>
        <w:tc>
          <w:tcPr>
            <w:tcW w:w="2976" w:type="dxa"/>
            <w:shd w:val="clear" w:color="auto" w:fill="DCE6F0"/>
          </w:tcPr>
          <w:p>
            <w:pPr>
              <w:pStyle w:val="TableParagraph"/>
              <w:rPr>
                <w:b/>
                <w:sz w:val="20"/>
              </w:rPr>
            </w:pPr>
          </w:p>
          <w:p>
            <w:pPr>
              <w:pStyle w:val="TableParagraph"/>
              <w:spacing w:before="9"/>
              <w:rPr>
                <w:b/>
                <w:sz w:val="20"/>
              </w:rPr>
            </w:pPr>
          </w:p>
          <w:p>
            <w:pPr>
              <w:pStyle w:val="TableParagraph"/>
              <w:spacing w:before="1"/>
              <w:ind w:left="67"/>
              <w:rPr>
                <w:b/>
                <w:sz w:val="20"/>
              </w:rPr>
            </w:pPr>
            <w:r>
              <w:rPr>
                <w:b/>
                <w:spacing w:val="-2"/>
                <w:sz w:val="20"/>
              </w:rPr>
              <w:t>Comentarios</w:t>
            </w:r>
            <w:r>
              <w:rPr>
                <w:b/>
                <w:spacing w:val="6"/>
                <w:sz w:val="20"/>
              </w:rPr>
              <w:t> </w:t>
            </w:r>
            <w:r>
              <w:rPr>
                <w:b/>
                <w:spacing w:val="-2"/>
                <w:sz w:val="20"/>
              </w:rPr>
              <w:t>Generales</w:t>
            </w:r>
          </w:p>
        </w:tc>
        <w:tc>
          <w:tcPr>
            <w:tcW w:w="7513" w:type="dxa"/>
          </w:tcPr>
          <w:p>
            <w:pPr>
              <w:pStyle w:val="TableParagraph"/>
              <w:spacing w:line="230" w:lineRule="atLeast"/>
              <w:ind w:left="70" w:right="133"/>
              <w:rPr>
                <w:sz w:val="20"/>
              </w:rPr>
            </w:pPr>
            <w:r>
              <w:rPr>
                <w:sz w:val="20"/>
              </w:rPr>
              <w:t>Durante la ejecución del contrato se pueden presentar algunos inconvenientes, como,</w:t>
            </w:r>
            <w:r>
              <w:rPr>
                <w:spacing w:val="-5"/>
                <w:sz w:val="20"/>
              </w:rPr>
              <w:t> </w:t>
            </w:r>
            <w:r>
              <w:rPr>
                <w:sz w:val="20"/>
              </w:rPr>
              <w:t>por</w:t>
            </w:r>
            <w:r>
              <w:rPr>
                <w:spacing w:val="-5"/>
                <w:sz w:val="20"/>
              </w:rPr>
              <w:t> </w:t>
            </w:r>
            <w:r>
              <w:rPr>
                <w:sz w:val="20"/>
              </w:rPr>
              <w:t>ejemplo:</w:t>
            </w:r>
            <w:r>
              <w:rPr>
                <w:spacing w:val="-5"/>
                <w:sz w:val="20"/>
              </w:rPr>
              <w:t> </w:t>
            </w:r>
            <w:r>
              <w:rPr>
                <w:sz w:val="20"/>
              </w:rPr>
              <w:t>Interrupción</w:t>
            </w:r>
            <w:r>
              <w:rPr>
                <w:spacing w:val="-6"/>
                <w:sz w:val="20"/>
              </w:rPr>
              <w:t> </w:t>
            </w:r>
            <w:r>
              <w:rPr>
                <w:sz w:val="20"/>
              </w:rPr>
              <w:t>en</w:t>
            </w:r>
            <w:r>
              <w:rPr>
                <w:spacing w:val="-5"/>
                <w:sz w:val="20"/>
              </w:rPr>
              <w:t> </w:t>
            </w:r>
            <w:r>
              <w:rPr>
                <w:sz w:val="20"/>
              </w:rPr>
              <w:t>la</w:t>
            </w:r>
            <w:r>
              <w:rPr>
                <w:spacing w:val="-5"/>
                <w:sz w:val="20"/>
              </w:rPr>
              <w:t> </w:t>
            </w:r>
            <w:r>
              <w:rPr>
                <w:sz w:val="20"/>
              </w:rPr>
              <w:t>prestación</w:t>
            </w:r>
            <w:r>
              <w:rPr>
                <w:spacing w:val="-3"/>
                <w:sz w:val="20"/>
              </w:rPr>
              <w:t> </w:t>
            </w:r>
            <w:r>
              <w:rPr>
                <w:sz w:val="20"/>
              </w:rPr>
              <w:t>de</w:t>
            </w:r>
            <w:r>
              <w:rPr>
                <w:spacing w:val="-4"/>
                <w:sz w:val="20"/>
              </w:rPr>
              <w:t> </w:t>
            </w:r>
            <w:r>
              <w:rPr>
                <w:sz w:val="20"/>
              </w:rPr>
              <w:t>los</w:t>
            </w:r>
            <w:r>
              <w:rPr>
                <w:spacing w:val="-2"/>
                <w:sz w:val="20"/>
              </w:rPr>
              <w:t> </w:t>
            </w:r>
            <w:r>
              <w:rPr>
                <w:sz w:val="20"/>
              </w:rPr>
              <w:t>servicios</w:t>
            </w:r>
            <w:r>
              <w:rPr>
                <w:spacing w:val="-4"/>
                <w:sz w:val="20"/>
              </w:rPr>
              <w:t> </w:t>
            </w:r>
            <w:r>
              <w:rPr>
                <w:sz w:val="20"/>
              </w:rPr>
              <w:t>requeridos,</w:t>
            </w:r>
            <w:r>
              <w:rPr>
                <w:spacing w:val="-5"/>
                <w:sz w:val="20"/>
              </w:rPr>
              <w:t> </w:t>
            </w:r>
            <w:r>
              <w:rPr>
                <w:sz w:val="20"/>
              </w:rPr>
              <w:t>no</w:t>
            </w:r>
            <w:r>
              <w:rPr>
                <w:spacing w:val="-5"/>
                <w:sz w:val="20"/>
              </w:rPr>
              <w:t> </w:t>
            </w:r>
            <w:r>
              <w:rPr>
                <w:sz w:val="20"/>
              </w:rPr>
              <w:t>se recibe a tiempo el objeto contractual, el plazo de recepción se incumple, la contratación se declara infructuosa o precios ofertados exceden el presupuesto </w:t>
            </w:r>
            <w:r>
              <w:rPr>
                <w:spacing w:val="-2"/>
                <w:sz w:val="20"/>
              </w:rPr>
              <w:t>disponible.</w:t>
            </w:r>
          </w:p>
        </w:tc>
      </w:tr>
    </w:tbl>
    <w:p>
      <w:pPr>
        <w:pStyle w:val="BodyText"/>
        <w:rPr>
          <w:b/>
          <w:sz w:val="20"/>
        </w:rPr>
      </w:pPr>
    </w:p>
    <w:p>
      <w:pPr>
        <w:pStyle w:val="BodyText"/>
        <w:spacing w:before="23"/>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642" w:hRule="atLeast"/>
        </w:trPr>
        <w:tc>
          <w:tcPr>
            <w:tcW w:w="2976" w:type="dxa"/>
            <w:shd w:val="clear" w:color="auto" w:fill="DCE6F0"/>
          </w:tcPr>
          <w:p>
            <w:pPr>
              <w:pStyle w:val="TableParagraph"/>
              <w:spacing w:before="206"/>
              <w:ind w:left="67"/>
              <w:rPr>
                <w:b/>
                <w:sz w:val="20"/>
              </w:rPr>
            </w:pPr>
            <w:r>
              <w:rPr>
                <w:b/>
                <w:sz w:val="20"/>
              </w:rPr>
              <w:t>PAC</w:t>
            </w:r>
            <w:r>
              <w:rPr>
                <w:b/>
                <w:spacing w:val="-8"/>
                <w:sz w:val="20"/>
              </w:rPr>
              <w:t> </w:t>
            </w:r>
            <w:r>
              <w:rPr>
                <w:b/>
                <w:spacing w:val="-2"/>
                <w:sz w:val="20"/>
              </w:rPr>
              <w:t>2.8.4</w:t>
            </w:r>
          </w:p>
        </w:tc>
        <w:tc>
          <w:tcPr>
            <w:tcW w:w="7513" w:type="dxa"/>
          </w:tcPr>
          <w:p>
            <w:pPr>
              <w:pStyle w:val="TableParagraph"/>
              <w:spacing w:before="90"/>
              <w:ind w:left="70" w:right="133"/>
              <w:rPr>
                <w:sz w:val="20"/>
              </w:rPr>
            </w:pPr>
            <w:r>
              <w:rPr>
                <w:sz w:val="20"/>
              </w:rPr>
              <w:t>Nombre</w:t>
            </w:r>
            <w:r>
              <w:rPr>
                <w:spacing w:val="-4"/>
                <w:sz w:val="20"/>
              </w:rPr>
              <w:t> </w:t>
            </w:r>
            <w:r>
              <w:rPr>
                <w:sz w:val="20"/>
              </w:rPr>
              <w:t>del</w:t>
            </w:r>
            <w:r>
              <w:rPr>
                <w:spacing w:val="-7"/>
                <w:sz w:val="20"/>
              </w:rPr>
              <w:t> </w:t>
            </w:r>
            <w:r>
              <w:rPr>
                <w:sz w:val="20"/>
              </w:rPr>
              <w:t>Indicador:</w:t>
            </w:r>
            <w:r>
              <w:rPr>
                <w:spacing w:val="-4"/>
                <w:sz w:val="20"/>
              </w:rPr>
              <w:t> </w:t>
            </w:r>
            <w:r>
              <w:rPr>
                <w:sz w:val="20"/>
              </w:rPr>
              <w:t>Porcentaje</w:t>
            </w:r>
            <w:r>
              <w:rPr>
                <w:spacing w:val="-4"/>
                <w:sz w:val="20"/>
              </w:rPr>
              <w:t> </w:t>
            </w:r>
            <w:r>
              <w:rPr>
                <w:sz w:val="20"/>
              </w:rPr>
              <w:t>de</w:t>
            </w:r>
            <w:r>
              <w:rPr>
                <w:spacing w:val="-7"/>
                <w:sz w:val="20"/>
              </w:rPr>
              <w:t> </w:t>
            </w:r>
            <w:r>
              <w:rPr>
                <w:sz w:val="20"/>
              </w:rPr>
              <w:t>contrataciones</w:t>
            </w:r>
            <w:r>
              <w:rPr>
                <w:spacing w:val="-5"/>
                <w:sz w:val="20"/>
              </w:rPr>
              <w:t> </w:t>
            </w:r>
            <w:r>
              <w:rPr>
                <w:sz w:val="20"/>
              </w:rPr>
              <w:t>realizadas</w:t>
            </w:r>
            <w:r>
              <w:rPr>
                <w:spacing w:val="-5"/>
                <w:sz w:val="20"/>
              </w:rPr>
              <w:t> </w:t>
            </w:r>
            <w:r>
              <w:rPr>
                <w:sz w:val="20"/>
              </w:rPr>
              <w:t>para</w:t>
            </w:r>
            <w:r>
              <w:rPr>
                <w:spacing w:val="-6"/>
                <w:sz w:val="20"/>
              </w:rPr>
              <w:t> </w:t>
            </w:r>
            <w:r>
              <w:rPr>
                <w:sz w:val="20"/>
              </w:rPr>
              <w:t>velar</w:t>
            </w:r>
            <w:r>
              <w:rPr>
                <w:spacing w:val="-6"/>
                <w:sz w:val="20"/>
              </w:rPr>
              <w:t> </w:t>
            </w:r>
            <w:r>
              <w:rPr>
                <w:sz w:val="20"/>
              </w:rPr>
              <w:t>por</w:t>
            </w:r>
            <w:r>
              <w:rPr>
                <w:spacing w:val="-3"/>
                <w:sz w:val="20"/>
              </w:rPr>
              <w:t> </w:t>
            </w:r>
            <w:r>
              <w:rPr>
                <w:sz w:val="20"/>
              </w:rPr>
              <w:t>el adecuado mantenimiento de los edificios.</w:t>
            </w:r>
          </w:p>
        </w:tc>
      </w:tr>
      <w:tr>
        <w:trPr>
          <w:trHeight w:val="571" w:hRule="atLeast"/>
        </w:trPr>
        <w:tc>
          <w:tcPr>
            <w:tcW w:w="2976" w:type="dxa"/>
            <w:shd w:val="clear" w:color="auto" w:fill="DCE6F0"/>
          </w:tcPr>
          <w:p>
            <w:pPr>
              <w:pStyle w:val="TableParagraph"/>
              <w:spacing w:before="170"/>
              <w:ind w:left="67"/>
              <w:rPr>
                <w:b/>
                <w:sz w:val="20"/>
              </w:rPr>
            </w:pPr>
            <w:r>
              <w:rPr>
                <w:b/>
                <w:sz w:val="20"/>
              </w:rPr>
              <w:t>Formular</w:t>
            </w:r>
            <w:r>
              <w:rPr>
                <w:b/>
                <w:spacing w:val="-10"/>
                <w:sz w:val="20"/>
              </w:rPr>
              <w:t> </w:t>
            </w:r>
            <w:r>
              <w:rPr>
                <w:b/>
                <w:sz w:val="20"/>
              </w:rPr>
              <w:t>de</w:t>
            </w:r>
            <w:r>
              <w:rPr>
                <w:b/>
                <w:spacing w:val="-6"/>
                <w:sz w:val="20"/>
              </w:rPr>
              <w:t> </w:t>
            </w:r>
            <w:r>
              <w:rPr>
                <w:b/>
                <w:spacing w:val="-2"/>
                <w:sz w:val="20"/>
              </w:rPr>
              <w:t>cálculo:</w:t>
            </w:r>
          </w:p>
        </w:tc>
        <w:tc>
          <w:tcPr>
            <w:tcW w:w="7513" w:type="dxa"/>
          </w:tcPr>
          <w:p>
            <w:pPr>
              <w:pStyle w:val="TableParagraph"/>
              <w:spacing w:before="55"/>
              <w:ind w:left="70"/>
              <w:rPr>
                <w:sz w:val="20"/>
              </w:rPr>
            </w:pPr>
            <w:r>
              <w:rPr>
                <w:sz w:val="20"/>
              </w:rPr>
              <w:t>Porcentaje</w:t>
            </w:r>
            <w:r>
              <w:rPr>
                <w:spacing w:val="-6"/>
                <w:sz w:val="20"/>
              </w:rPr>
              <w:t> </w:t>
            </w:r>
            <w:r>
              <w:rPr>
                <w:sz w:val="20"/>
              </w:rPr>
              <w:t>de</w:t>
            </w:r>
            <w:r>
              <w:rPr>
                <w:spacing w:val="-6"/>
                <w:sz w:val="20"/>
              </w:rPr>
              <w:t> </w:t>
            </w:r>
            <w:r>
              <w:rPr>
                <w:sz w:val="20"/>
              </w:rPr>
              <w:t>contrataciones</w:t>
            </w:r>
            <w:r>
              <w:rPr>
                <w:spacing w:val="-5"/>
                <w:sz w:val="20"/>
              </w:rPr>
              <w:t> </w:t>
            </w:r>
            <w:r>
              <w:rPr>
                <w:sz w:val="20"/>
              </w:rPr>
              <w:t>realizadas</w:t>
            </w:r>
            <w:r>
              <w:rPr>
                <w:spacing w:val="-3"/>
                <w:sz w:val="20"/>
              </w:rPr>
              <w:t> </w:t>
            </w:r>
            <w:r>
              <w:rPr>
                <w:sz w:val="20"/>
              </w:rPr>
              <w:t>para</w:t>
            </w:r>
            <w:r>
              <w:rPr>
                <w:spacing w:val="-6"/>
                <w:sz w:val="20"/>
              </w:rPr>
              <w:t> </w:t>
            </w:r>
            <w:r>
              <w:rPr>
                <w:sz w:val="20"/>
              </w:rPr>
              <w:t>velar</w:t>
            </w:r>
            <w:r>
              <w:rPr>
                <w:spacing w:val="-6"/>
                <w:sz w:val="20"/>
              </w:rPr>
              <w:t> </w:t>
            </w:r>
            <w:r>
              <w:rPr>
                <w:sz w:val="20"/>
              </w:rPr>
              <w:t>por</w:t>
            </w:r>
            <w:r>
              <w:rPr>
                <w:spacing w:val="-5"/>
                <w:sz w:val="20"/>
              </w:rPr>
              <w:t> </w:t>
            </w:r>
            <w:r>
              <w:rPr>
                <w:sz w:val="20"/>
              </w:rPr>
              <w:t>el</w:t>
            </w:r>
            <w:r>
              <w:rPr>
                <w:spacing w:val="-7"/>
                <w:sz w:val="20"/>
              </w:rPr>
              <w:t> </w:t>
            </w:r>
            <w:r>
              <w:rPr>
                <w:sz w:val="20"/>
              </w:rPr>
              <w:t>adecuado</w:t>
            </w:r>
            <w:r>
              <w:rPr>
                <w:spacing w:val="-5"/>
                <w:sz w:val="20"/>
              </w:rPr>
              <w:t> </w:t>
            </w:r>
            <w:r>
              <w:rPr>
                <w:sz w:val="20"/>
              </w:rPr>
              <w:t>mantenimiento de los edificios entre No. de trabajos/contratos ejecutados.</w:t>
            </w:r>
          </w:p>
        </w:tc>
      </w:tr>
      <w:tr>
        <w:trPr>
          <w:trHeight w:val="299" w:hRule="atLeast"/>
        </w:trPr>
        <w:tc>
          <w:tcPr>
            <w:tcW w:w="2976" w:type="dxa"/>
            <w:shd w:val="clear" w:color="auto" w:fill="DCE6F0"/>
          </w:tcPr>
          <w:p>
            <w:pPr>
              <w:pStyle w:val="TableParagraph"/>
              <w:spacing w:before="35"/>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35"/>
              <w:ind w:left="70"/>
              <w:rPr>
                <w:sz w:val="20"/>
              </w:rPr>
            </w:pPr>
            <w:r>
              <w:rPr>
                <w:spacing w:val="-2"/>
                <w:sz w:val="20"/>
              </w:rPr>
              <w:t>Porcentaje</w:t>
            </w:r>
          </w:p>
        </w:tc>
      </w:tr>
      <w:tr>
        <w:trPr>
          <w:trHeight w:val="299" w:hRule="atLeast"/>
        </w:trPr>
        <w:tc>
          <w:tcPr>
            <w:tcW w:w="2976" w:type="dxa"/>
            <w:shd w:val="clear" w:color="auto" w:fill="DCE6F0"/>
          </w:tcPr>
          <w:p>
            <w:pPr>
              <w:pStyle w:val="TableParagraph"/>
              <w:spacing w:before="35"/>
              <w:ind w:left="67"/>
              <w:rPr>
                <w:b/>
                <w:sz w:val="20"/>
              </w:rPr>
            </w:pPr>
            <w:r>
              <w:rPr>
                <w:b/>
                <w:spacing w:val="-2"/>
                <w:sz w:val="20"/>
              </w:rPr>
              <w:t>Interpretación:</w:t>
            </w:r>
          </w:p>
        </w:tc>
        <w:tc>
          <w:tcPr>
            <w:tcW w:w="7513" w:type="dxa"/>
          </w:tcPr>
          <w:p>
            <w:pPr>
              <w:pStyle w:val="TableParagraph"/>
              <w:spacing w:before="35"/>
              <w:ind w:left="70"/>
              <w:rPr>
                <w:sz w:val="20"/>
              </w:rPr>
            </w:pPr>
            <w:r>
              <w:rPr>
                <w:sz w:val="20"/>
              </w:rPr>
              <w:t>Monitoreo</w:t>
            </w:r>
            <w:r>
              <w:rPr>
                <w:spacing w:val="-10"/>
                <w:sz w:val="20"/>
              </w:rPr>
              <w:t> </w:t>
            </w:r>
            <w:r>
              <w:rPr>
                <w:sz w:val="20"/>
              </w:rPr>
              <w:t>sobre</w:t>
            </w:r>
            <w:r>
              <w:rPr>
                <w:spacing w:val="-8"/>
                <w:sz w:val="20"/>
              </w:rPr>
              <w:t> </w:t>
            </w:r>
            <w:r>
              <w:rPr>
                <w:sz w:val="20"/>
              </w:rPr>
              <w:t>los</w:t>
            </w:r>
            <w:r>
              <w:rPr>
                <w:spacing w:val="-9"/>
                <w:sz w:val="20"/>
              </w:rPr>
              <w:t> </w:t>
            </w:r>
            <w:r>
              <w:rPr>
                <w:sz w:val="20"/>
              </w:rPr>
              <w:t>mantenimientos</w:t>
            </w:r>
            <w:r>
              <w:rPr>
                <w:spacing w:val="-9"/>
                <w:sz w:val="20"/>
              </w:rPr>
              <w:t> </w:t>
            </w:r>
            <w:r>
              <w:rPr>
                <w:sz w:val="20"/>
              </w:rPr>
              <w:t>realizados</w:t>
            </w:r>
            <w:r>
              <w:rPr>
                <w:spacing w:val="-9"/>
                <w:sz w:val="20"/>
              </w:rPr>
              <w:t> </w:t>
            </w:r>
            <w:r>
              <w:rPr>
                <w:sz w:val="20"/>
              </w:rPr>
              <w:t>a</w:t>
            </w:r>
            <w:r>
              <w:rPr>
                <w:spacing w:val="-8"/>
                <w:sz w:val="20"/>
              </w:rPr>
              <w:t> </w:t>
            </w:r>
            <w:r>
              <w:rPr>
                <w:sz w:val="20"/>
              </w:rPr>
              <w:t>los</w:t>
            </w:r>
            <w:r>
              <w:rPr>
                <w:spacing w:val="-7"/>
                <w:sz w:val="20"/>
              </w:rPr>
              <w:t> </w:t>
            </w:r>
            <w:r>
              <w:rPr>
                <w:sz w:val="20"/>
              </w:rPr>
              <w:t>Edificios</w:t>
            </w:r>
            <w:r>
              <w:rPr>
                <w:spacing w:val="-9"/>
                <w:sz w:val="20"/>
              </w:rPr>
              <w:t> </w:t>
            </w:r>
            <w:r>
              <w:rPr>
                <w:spacing w:val="-2"/>
                <w:sz w:val="20"/>
              </w:rPr>
              <w:t>Propios</w:t>
            </w:r>
          </w:p>
        </w:tc>
      </w:tr>
      <w:tr>
        <w:trPr>
          <w:trHeight w:val="301" w:hRule="atLeast"/>
        </w:trPr>
        <w:tc>
          <w:tcPr>
            <w:tcW w:w="2976" w:type="dxa"/>
            <w:shd w:val="clear" w:color="auto" w:fill="DCE6F0"/>
          </w:tcPr>
          <w:p>
            <w:pPr>
              <w:pStyle w:val="TableParagraph"/>
              <w:spacing w:before="35"/>
              <w:ind w:left="67"/>
              <w:rPr>
                <w:b/>
                <w:sz w:val="20"/>
              </w:rPr>
            </w:pPr>
            <w:r>
              <w:rPr>
                <w:b/>
                <w:spacing w:val="-2"/>
                <w:sz w:val="20"/>
              </w:rPr>
              <w:t>Desagregación</w:t>
            </w:r>
          </w:p>
        </w:tc>
        <w:tc>
          <w:tcPr>
            <w:tcW w:w="7513" w:type="dxa"/>
          </w:tcPr>
          <w:p>
            <w:pPr>
              <w:pStyle w:val="TableParagraph"/>
              <w:spacing w:before="35"/>
              <w:ind w:left="70"/>
              <w:rPr>
                <w:sz w:val="20"/>
              </w:rPr>
            </w:pPr>
            <w:r>
              <w:rPr>
                <w:sz w:val="20"/>
              </w:rPr>
              <w:t>Sólo</w:t>
            </w:r>
            <w:r>
              <w:rPr>
                <w:spacing w:val="-6"/>
                <w:sz w:val="20"/>
              </w:rPr>
              <w:t> </w:t>
            </w:r>
            <w:r>
              <w:rPr>
                <w:sz w:val="20"/>
              </w:rPr>
              <w:t>se</w:t>
            </w:r>
            <w:r>
              <w:rPr>
                <w:spacing w:val="-5"/>
                <w:sz w:val="20"/>
              </w:rPr>
              <w:t> </w:t>
            </w:r>
            <w:r>
              <w:rPr>
                <w:sz w:val="20"/>
              </w:rPr>
              <w:t>atiende</w:t>
            </w:r>
            <w:r>
              <w:rPr>
                <w:spacing w:val="-6"/>
                <w:sz w:val="20"/>
              </w:rPr>
              <w:t> </w:t>
            </w:r>
            <w:r>
              <w:rPr>
                <w:sz w:val="20"/>
              </w:rPr>
              <w:t>a</w:t>
            </w:r>
            <w:r>
              <w:rPr>
                <w:spacing w:val="-4"/>
                <w:sz w:val="20"/>
              </w:rPr>
              <w:t> </w:t>
            </w:r>
            <w:r>
              <w:rPr>
                <w:sz w:val="20"/>
              </w:rPr>
              <w:t>nivel</w:t>
            </w:r>
            <w:r>
              <w:rPr>
                <w:spacing w:val="-6"/>
                <w:sz w:val="20"/>
              </w:rPr>
              <w:t> </w:t>
            </w:r>
            <w:r>
              <w:rPr>
                <w:spacing w:val="-2"/>
                <w:sz w:val="20"/>
              </w:rPr>
              <w:t>central</w:t>
            </w:r>
          </w:p>
        </w:tc>
      </w:tr>
      <w:tr>
        <w:trPr>
          <w:trHeight w:val="299" w:hRule="atLeast"/>
        </w:trPr>
        <w:tc>
          <w:tcPr>
            <w:tcW w:w="2976" w:type="dxa"/>
            <w:shd w:val="clear" w:color="auto" w:fill="DCE6F0"/>
          </w:tcPr>
          <w:p>
            <w:pPr>
              <w:pStyle w:val="TableParagraph"/>
              <w:spacing w:before="33"/>
              <w:ind w:left="67"/>
              <w:rPr>
                <w:b/>
                <w:sz w:val="20"/>
              </w:rPr>
            </w:pPr>
            <w:r>
              <w:rPr>
                <w:b/>
                <w:spacing w:val="-2"/>
                <w:sz w:val="20"/>
              </w:rPr>
              <w:t>Meta:</w:t>
            </w:r>
          </w:p>
        </w:tc>
        <w:tc>
          <w:tcPr>
            <w:tcW w:w="7513" w:type="dxa"/>
          </w:tcPr>
          <w:p>
            <w:pPr>
              <w:pStyle w:val="TableParagraph"/>
              <w:spacing w:before="33"/>
              <w:ind w:left="70"/>
              <w:rPr>
                <w:sz w:val="20"/>
              </w:rPr>
            </w:pPr>
            <w:r>
              <w:rPr>
                <w:sz w:val="20"/>
              </w:rPr>
              <w:t>100</w:t>
            </w:r>
            <w:r>
              <w:rPr>
                <w:spacing w:val="-7"/>
                <w:sz w:val="20"/>
              </w:rPr>
              <w:t> </w:t>
            </w:r>
            <w:r>
              <w:rPr>
                <w:spacing w:val="-10"/>
                <w:sz w:val="20"/>
              </w:rPr>
              <w:t>%</w:t>
            </w:r>
          </w:p>
        </w:tc>
      </w:tr>
      <w:tr>
        <w:trPr>
          <w:trHeight w:val="299" w:hRule="atLeast"/>
        </w:trPr>
        <w:tc>
          <w:tcPr>
            <w:tcW w:w="2976" w:type="dxa"/>
            <w:shd w:val="clear" w:color="auto" w:fill="DCE6F0"/>
          </w:tcPr>
          <w:p>
            <w:pPr>
              <w:pStyle w:val="TableParagraph"/>
              <w:spacing w:before="33"/>
              <w:ind w:left="67"/>
              <w:rPr>
                <w:b/>
                <w:sz w:val="20"/>
              </w:rPr>
            </w:pPr>
            <w:r>
              <w:rPr>
                <w:b/>
                <w:sz w:val="20"/>
              </w:rPr>
              <w:t>Línea</w:t>
            </w:r>
            <w:r>
              <w:rPr>
                <w:b/>
                <w:spacing w:val="-10"/>
                <w:sz w:val="20"/>
              </w:rPr>
              <w:t> </w:t>
            </w:r>
            <w:r>
              <w:rPr>
                <w:b/>
                <w:spacing w:val="-4"/>
                <w:sz w:val="20"/>
              </w:rPr>
              <w:t>Base</w:t>
            </w:r>
          </w:p>
        </w:tc>
        <w:tc>
          <w:tcPr>
            <w:tcW w:w="7513" w:type="dxa"/>
          </w:tcPr>
          <w:p>
            <w:pPr>
              <w:pStyle w:val="TableParagraph"/>
              <w:spacing w:before="33"/>
              <w:ind w:left="70"/>
              <w:rPr>
                <w:sz w:val="20"/>
              </w:rPr>
            </w:pPr>
            <w:r>
              <w:rPr>
                <w:sz w:val="20"/>
              </w:rPr>
              <w:t>100</w:t>
            </w:r>
            <w:r>
              <w:rPr>
                <w:spacing w:val="-7"/>
                <w:sz w:val="20"/>
              </w:rPr>
              <w:t> </w:t>
            </w:r>
            <w:r>
              <w:rPr>
                <w:spacing w:val="-10"/>
                <w:sz w:val="20"/>
              </w:rPr>
              <w:t>%</w:t>
            </w:r>
          </w:p>
        </w:tc>
      </w:tr>
      <w:tr>
        <w:trPr>
          <w:trHeight w:val="599" w:hRule="atLeast"/>
        </w:trPr>
        <w:tc>
          <w:tcPr>
            <w:tcW w:w="2976" w:type="dxa"/>
            <w:shd w:val="clear" w:color="auto" w:fill="DCE6F0"/>
          </w:tcPr>
          <w:p>
            <w:pPr>
              <w:pStyle w:val="TableParagraph"/>
              <w:spacing w:before="69"/>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184"/>
              <w:ind w:left="70"/>
              <w:rPr>
                <w:sz w:val="20"/>
              </w:rPr>
            </w:pPr>
            <w:r>
              <w:rPr>
                <w:spacing w:val="-2"/>
                <w:sz w:val="20"/>
              </w:rPr>
              <w:t>Trimestral</w:t>
            </w:r>
          </w:p>
        </w:tc>
      </w:tr>
      <w:tr>
        <w:trPr>
          <w:trHeight w:val="599" w:hRule="atLeast"/>
        </w:trPr>
        <w:tc>
          <w:tcPr>
            <w:tcW w:w="2976" w:type="dxa"/>
            <w:shd w:val="clear" w:color="auto" w:fill="DCE6F0"/>
          </w:tcPr>
          <w:p>
            <w:pPr>
              <w:pStyle w:val="TableParagraph"/>
              <w:spacing w:before="69"/>
              <w:ind w:left="67" w:right="514"/>
              <w:rPr>
                <w:b/>
                <w:sz w:val="20"/>
              </w:rPr>
            </w:pPr>
            <w:r>
              <w:rPr>
                <w:b/>
                <w:sz w:val="20"/>
              </w:rPr>
              <w:t>Responsable de la recopilación</w:t>
            </w:r>
            <w:r>
              <w:rPr>
                <w:b/>
                <w:spacing w:val="-14"/>
                <w:sz w:val="20"/>
              </w:rPr>
              <w:t> </w:t>
            </w:r>
            <w:r>
              <w:rPr>
                <w:b/>
                <w:sz w:val="20"/>
              </w:rPr>
              <w:t>información</w:t>
            </w:r>
          </w:p>
        </w:tc>
        <w:tc>
          <w:tcPr>
            <w:tcW w:w="7513" w:type="dxa"/>
          </w:tcPr>
          <w:p>
            <w:pPr>
              <w:pStyle w:val="TableParagraph"/>
              <w:spacing w:before="69"/>
              <w:ind w:left="70" w:right="2673"/>
              <w:rPr>
                <w:sz w:val="20"/>
              </w:rPr>
            </w:pPr>
            <w:r>
              <w:rPr>
                <w:sz w:val="20"/>
              </w:rPr>
              <w:t>Nombre</w:t>
            </w:r>
            <w:r>
              <w:rPr>
                <w:spacing w:val="-8"/>
                <w:sz w:val="20"/>
              </w:rPr>
              <w:t> </w:t>
            </w:r>
            <w:r>
              <w:rPr>
                <w:sz w:val="20"/>
              </w:rPr>
              <w:t>del</w:t>
            </w:r>
            <w:r>
              <w:rPr>
                <w:spacing w:val="-11"/>
                <w:sz w:val="20"/>
              </w:rPr>
              <w:t> </w:t>
            </w:r>
            <w:r>
              <w:rPr>
                <w:sz w:val="20"/>
              </w:rPr>
              <w:t>funcionario:</w:t>
            </w:r>
            <w:r>
              <w:rPr>
                <w:spacing w:val="-10"/>
                <w:sz w:val="20"/>
              </w:rPr>
              <w:t> </w:t>
            </w:r>
            <w:r>
              <w:rPr>
                <w:sz w:val="20"/>
              </w:rPr>
              <w:t>Merceditas</w:t>
            </w:r>
            <w:r>
              <w:rPr>
                <w:spacing w:val="-7"/>
                <w:sz w:val="20"/>
              </w:rPr>
              <w:t> </w:t>
            </w:r>
            <w:r>
              <w:rPr>
                <w:sz w:val="20"/>
              </w:rPr>
              <w:t>Blanco</w:t>
            </w:r>
            <w:r>
              <w:rPr>
                <w:spacing w:val="-10"/>
                <w:sz w:val="20"/>
              </w:rPr>
              <w:t> </w:t>
            </w:r>
            <w:r>
              <w:rPr>
                <w:sz w:val="20"/>
              </w:rPr>
              <w:t>Calvo Cargo: Encargado de Servicios Administrativos</w:t>
            </w:r>
          </w:p>
        </w:tc>
      </w:tr>
      <w:tr>
        <w:trPr>
          <w:trHeight w:val="900" w:hRule="atLeast"/>
        </w:trPr>
        <w:tc>
          <w:tcPr>
            <w:tcW w:w="2976" w:type="dxa"/>
            <w:shd w:val="clear" w:color="auto" w:fill="DCE6F0"/>
          </w:tcPr>
          <w:p>
            <w:pPr>
              <w:pStyle w:val="TableParagraph"/>
              <w:spacing w:before="22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3" w:type="dxa"/>
          </w:tcPr>
          <w:p>
            <w:pPr>
              <w:pStyle w:val="TableParagraph"/>
              <w:rPr>
                <w:b/>
                <w:sz w:val="20"/>
              </w:rPr>
            </w:pPr>
          </w:p>
          <w:p>
            <w:pPr>
              <w:pStyle w:val="TableParagraph"/>
              <w:spacing w:before="209"/>
              <w:rPr>
                <w:b/>
                <w:sz w:val="20"/>
              </w:rPr>
            </w:pPr>
          </w:p>
          <w:p>
            <w:pPr>
              <w:pStyle w:val="TableParagraph"/>
              <w:spacing w:line="211" w:lineRule="exact"/>
              <w:ind w:left="70"/>
              <w:rPr>
                <w:sz w:val="20"/>
              </w:rPr>
            </w:pPr>
            <w:r>
              <w:rPr>
                <w:sz w:val="20"/>
              </w:rPr>
              <w:t>Departamento</w:t>
            </w:r>
            <w:r>
              <w:rPr>
                <w:spacing w:val="-10"/>
                <w:sz w:val="20"/>
              </w:rPr>
              <w:t> </w:t>
            </w:r>
            <w:r>
              <w:rPr>
                <w:sz w:val="20"/>
              </w:rPr>
              <w:t>de</w:t>
            </w:r>
            <w:r>
              <w:rPr>
                <w:spacing w:val="-10"/>
                <w:sz w:val="20"/>
              </w:rPr>
              <w:t> </w:t>
            </w:r>
            <w:r>
              <w:rPr>
                <w:sz w:val="20"/>
              </w:rPr>
              <w:t>Servicios</w:t>
            </w:r>
            <w:r>
              <w:rPr>
                <w:spacing w:val="-11"/>
                <w:sz w:val="20"/>
              </w:rPr>
              <w:t> </w:t>
            </w:r>
            <w:r>
              <w:rPr>
                <w:spacing w:val="-2"/>
                <w:sz w:val="20"/>
              </w:rPr>
              <w:t>Generales</w:t>
            </w:r>
          </w:p>
        </w:tc>
      </w:tr>
      <w:tr>
        <w:trPr>
          <w:trHeight w:val="287" w:hRule="atLeast"/>
        </w:trPr>
        <w:tc>
          <w:tcPr>
            <w:tcW w:w="2976" w:type="dxa"/>
            <w:shd w:val="clear" w:color="auto" w:fill="DCE6F0"/>
          </w:tcPr>
          <w:p>
            <w:pPr>
              <w:pStyle w:val="TableParagraph"/>
              <w:spacing w:before="28"/>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3" w:type="dxa"/>
          </w:tcPr>
          <w:p>
            <w:pPr>
              <w:pStyle w:val="TableParagraph"/>
              <w:spacing w:before="28"/>
              <w:ind w:left="70"/>
              <w:rPr>
                <w:sz w:val="20"/>
              </w:rPr>
            </w:pPr>
            <w:r>
              <w:rPr>
                <w:sz w:val="20"/>
              </w:rPr>
              <w:t>Contratos</w:t>
            </w:r>
            <w:r>
              <w:rPr>
                <w:spacing w:val="-9"/>
                <w:sz w:val="20"/>
              </w:rPr>
              <w:t> </w:t>
            </w:r>
            <w:r>
              <w:rPr>
                <w:sz w:val="20"/>
              </w:rPr>
              <w:t>en</w:t>
            </w:r>
            <w:r>
              <w:rPr>
                <w:spacing w:val="-8"/>
                <w:sz w:val="20"/>
              </w:rPr>
              <w:t> </w:t>
            </w:r>
            <w:r>
              <w:rPr>
                <w:sz w:val="20"/>
              </w:rPr>
              <w:t>ejecución</w:t>
            </w:r>
            <w:r>
              <w:rPr>
                <w:spacing w:val="-7"/>
                <w:sz w:val="20"/>
              </w:rPr>
              <w:t> </w:t>
            </w:r>
            <w:r>
              <w:rPr>
                <w:spacing w:val="-2"/>
                <w:sz w:val="20"/>
              </w:rPr>
              <w:t>continua.</w:t>
            </w:r>
          </w:p>
        </w:tc>
      </w:tr>
    </w:tbl>
    <w:p>
      <w:pPr>
        <w:pStyle w:val="TableParagraph"/>
        <w:spacing w:after="0"/>
        <w:rPr>
          <w:sz w:val="20"/>
        </w:rPr>
        <w:sectPr>
          <w:footerReference w:type="default" r:id="rId148"/>
          <w:pgSz w:w="12240" w:h="15840"/>
          <w:pgMar w:header="0" w:footer="2082" w:top="1400" w:bottom="2679" w:left="720" w:right="720"/>
          <w:pgNumType w:start="215"/>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600" w:hRule="atLeast"/>
        </w:trPr>
        <w:tc>
          <w:tcPr>
            <w:tcW w:w="2976" w:type="dxa"/>
            <w:shd w:val="clear" w:color="auto" w:fill="DCE6F0"/>
          </w:tcPr>
          <w:p>
            <w:pPr>
              <w:pStyle w:val="TableParagraph"/>
              <w:spacing w:before="184"/>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184"/>
              <w:ind w:left="70"/>
              <w:rPr>
                <w:sz w:val="20"/>
              </w:rPr>
            </w:pPr>
            <w:r>
              <w:rPr>
                <w:sz w:val="20"/>
              </w:rPr>
              <w:t>Ordenes</w:t>
            </w:r>
            <w:r>
              <w:rPr>
                <w:spacing w:val="-7"/>
                <w:sz w:val="20"/>
              </w:rPr>
              <w:t> </w:t>
            </w:r>
            <w:r>
              <w:rPr>
                <w:sz w:val="20"/>
              </w:rPr>
              <w:t>de</w:t>
            </w:r>
            <w:r>
              <w:rPr>
                <w:spacing w:val="-5"/>
                <w:sz w:val="20"/>
              </w:rPr>
              <w:t> </w:t>
            </w:r>
            <w:r>
              <w:rPr>
                <w:sz w:val="20"/>
              </w:rPr>
              <w:t>trabajo</w:t>
            </w:r>
            <w:r>
              <w:rPr>
                <w:spacing w:val="-7"/>
                <w:sz w:val="20"/>
              </w:rPr>
              <w:t> </w:t>
            </w:r>
            <w:r>
              <w:rPr>
                <w:sz w:val="20"/>
              </w:rPr>
              <w:t>y</w:t>
            </w:r>
            <w:r>
              <w:rPr>
                <w:spacing w:val="-6"/>
                <w:sz w:val="20"/>
              </w:rPr>
              <w:t> </w:t>
            </w:r>
            <w:r>
              <w:rPr>
                <w:sz w:val="20"/>
              </w:rPr>
              <w:t>montos</w:t>
            </w:r>
            <w:r>
              <w:rPr>
                <w:spacing w:val="-6"/>
                <w:sz w:val="20"/>
              </w:rPr>
              <w:t> </w:t>
            </w:r>
            <w:r>
              <w:rPr>
                <w:spacing w:val="-2"/>
                <w:sz w:val="20"/>
              </w:rPr>
              <w:t>ejecutados</w:t>
            </w:r>
          </w:p>
        </w:tc>
      </w:tr>
      <w:tr>
        <w:trPr>
          <w:trHeight w:val="599" w:hRule="atLeast"/>
        </w:trPr>
        <w:tc>
          <w:tcPr>
            <w:tcW w:w="2976" w:type="dxa"/>
            <w:shd w:val="clear" w:color="auto" w:fill="DCE6F0"/>
          </w:tcPr>
          <w:p>
            <w:pPr>
              <w:pStyle w:val="TableParagraph"/>
              <w:spacing w:before="184"/>
              <w:ind w:left="67"/>
              <w:rPr>
                <w:b/>
                <w:sz w:val="20"/>
              </w:rPr>
            </w:pPr>
            <w:r>
              <w:rPr>
                <w:b/>
                <w:spacing w:val="-2"/>
                <w:sz w:val="20"/>
              </w:rPr>
              <w:t>Clasificación</w:t>
            </w:r>
          </w:p>
        </w:tc>
        <w:tc>
          <w:tcPr>
            <w:tcW w:w="7513" w:type="dxa"/>
          </w:tcPr>
          <w:p>
            <w:pPr>
              <w:pStyle w:val="TableParagraph"/>
              <w:spacing w:before="184"/>
              <w:ind w:left="70"/>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1679" w:hRule="atLeast"/>
        </w:trPr>
        <w:tc>
          <w:tcPr>
            <w:tcW w:w="2976" w:type="dxa"/>
            <w:shd w:val="clear" w:color="auto" w:fill="DCE6F0"/>
          </w:tcPr>
          <w:p>
            <w:pPr>
              <w:pStyle w:val="TableParagraph"/>
              <w:rPr>
                <w:b/>
                <w:sz w:val="20"/>
              </w:rPr>
            </w:pPr>
          </w:p>
          <w:p>
            <w:pPr>
              <w:pStyle w:val="TableParagraph"/>
              <w:rPr>
                <w:b/>
                <w:sz w:val="20"/>
              </w:rPr>
            </w:pPr>
          </w:p>
          <w:p>
            <w:pPr>
              <w:pStyle w:val="TableParagraph"/>
              <w:spacing w:before="34"/>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3" w:type="dxa"/>
          </w:tcPr>
          <w:p>
            <w:pPr>
              <w:pStyle w:val="TableParagraph"/>
              <w:spacing w:before="150"/>
              <w:ind w:left="70" w:right="133"/>
              <w:rPr>
                <w:sz w:val="20"/>
              </w:rPr>
            </w:pPr>
            <w:r>
              <w:rPr>
                <w:sz w:val="20"/>
              </w:rPr>
              <w:t>Durante la ejecución del contrato se pueden presentar algunos inconvenientes, como,</w:t>
            </w:r>
            <w:r>
              <w:rPr>
                <w:spacing w:val="-5"/>
                <w:sz w:val="20"/>
              </w:rPr>
              <w:t> </w:t>
            </w:r>
            <w:r>
              <w:rPr>
                <w:sz w:val="20"/>
              </w:rPr>
              <w:t>por</w:t>
            </w:r>
            <w:r>
              <w:rPr>
                <w:spacing w:val="-5"/>
                <w:sz w:val="20"/>
              </w:rPr>
              <w:t> </w:t>
            </w:r>
            <w:r>
              <w:rPr>
                <w:sz w:val="20"/>
              </w:rPr>
              <w:t>ejemplo:</w:t>
            </w:r>
            <w:r>
              <w:rPr>
                <w:spacing w:val="-5"/>
                <w:sz w:val="20"/>
              </w:rPr>
              <w:t> </w:t>
            </w:r>
            <w:r>
              <w:rPr>
                <w:sz w:val="20"/>
              </w:rPr>
              <w:t>Interrupción</w:t>
            </w:r>
            <w:r>
              <w:rPr>
                <w:spacing w:val="-6"/>
                <w:sz w:val="20"/>
              </w:rPr>
              <w:t> </w:t>
            </w:r>
            <w:r>
              <w:rPr>
                <w:sz w:val="20"/>
              </w:rPr>
              <w:t>en</w:t>
            </w:r>
            <w:r>
              <w:rPr>
                <w:spacing w:val="-5"/>
                <w:sz w:val="20"/>
              </w:rPr>
              <w:t> </w:t>
            </w:r>
            <w:r>
              <w:rPr>
                <w:sz w:val="20"/>
              </w:rPr>
              <w:t>la</w:t>
            </w:r>
            <w:r>
              <w:rPr>
                <w:spacing w:val="-5"/>
                <w:sz w:val="20"/>
              </w:rPr>
              <w:t> </w:t>
            </w:r>
            <w:r>
              <w:rPr>
                <w:sz w:val="20"/>
              </w:rPr>
              <w:t>prestación</w:t>
            </w:r>
            <w:r>
              <w:rPr>
                <w:spacing w:val="-3"/>
                <w:sz w:val="20"/>
              </w:rPr>
              <w:t> </w:t>
            </w:r>
            <w:r>
              <w:rPr>
                <w:sz w:val="20"/>
              </w:rPr>
              <w:t>de</w:t>
            </w:r>
            <w:r>
              <w:rPr>
                <w:spacing w:val="-4"/>
                <w:sz w:val="20"/>
              </w:rPr>
              <w:t> </w:t>
            </w:r>
            <w:r>
              <w:rPr>
                <w:sz w:val="20"/>
              </w:rPr>
              <w:t>los</w:t>
            </w:r>
            <w:r>
              <w:rPr>
                <w:spacing w:val="-2"/>
                <w:sz w:val="20"/>
              </w:rPr>
              <w:t> </w:t>
            </w:r>
            <w:r>
              <w:rPr>
                <w:sz w:val="20"/>
              </w:rPr>
              <w:t>servicios</w:t>
            </w:r>
            <w:r>
              <w:rPr>
                <w:spacing w:val="-4"/>
                <w:sz w:val="20"/>
              </w:rPr>
              <w:t> </w:t>
            </w:r>
            <w:r>
              <w:rPr>
                <w:sz w:val="20"/>
              </w:rPr>
              <w:t>requeridos,</w:t>
            </w:r>
            <w:r>
              <w:rPr>
                <w:spacing w:val="-5"/>
                <w:sz w:val="20"/>
              </w:rPr>
              <w:t> </w:t>
            </w:r>
            <w:r>
              <w:rPr>
                <w:sz w:val="20"/>
              </w:rPr>
              <w:t>no</w:t>
            </w:r>
            <w:r>
              <w:rPr>
                <w:spacing w:val="-5"/>
                <w:sz w:val="20"/>
              </w:rPr>
              <w:t> </w:t>
            </w:r>
            <w:r>
              <w:rPr>
                <w:sz w:val="20"/>
              </w:rPr>
              <w:t>se recibe a tiempo el objeto contractual, el plazo de recepción se incumple, la contratación se declara infructuosa, los materiales no son de la calidad esperada, se incrementa el costo de la materia prima, insumos, transporte u otro aspecto componente del precio o precios ofertados exceden el presupuesto disponible.</w:t>
            </w:r>
          </w:p>
        </w:tc>
      </w:tr>
    </w:tbl>
    <w:p>
      <w:pPr>
        <w:pStyle w:val="BodyText"/>
        <w:rPr>
          <w:b/>
          <w:sz w:val="20"/>
        </w:rPr>
      </w:pPr>
    </w:p>
    <w:p>
      <w:pPr>
        <w:pStyle w:val="BodyText"/>
        <w:rPr>
          <w:b/>
          <w:sz w:val="20"/>
        </w:rPr>
      </w:pPr>
    </w:p>
    <w:p>
      <w:pPr>
        <w:pStyle w:val="BodyText"/>
        <w:spacing w:before="20"/>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314" w:hRule="atLeast"/>
        </w:trPr>
        <w:tc>
          <w:tcPr>
            <w:tcW w:w="2976" w:type="dxa"/>
            <w:shd w:val="clear" w:color="auto" w:fill="DCE6F0"/>
          </w:tcPr>
          <w:p>
            <w:pPr>
              <w:pStyle w:val="TableParagraph"/>
              <w:spacing w:before="43"/>
              <w:ind w:left="67"/>
              <w:rPr>
                <w:b/>
                <w:sz w:val="20"/>
              </w:rPr>
            </w:pPr>
            <w:r>
              <w:rPr>
                <w:b/>
                <w:sz w:val="20"/>
              </w:rPr>
              <w:t>PAC</w:t>
            </w:r>
            <w:r>
              <w:rPr>
                <w:b/>
                <w:spacing w:val="-8"/>
                <w:sz w:val="20"/>
              </w:rPr>
              <w:t> </w:t>
            </w:r>
            <w:r>
              <w:rPr>
                <w:b/>
                <w:spacing w:val="-2"/>
                <w:sz w:val="20"/>
              </w:rPr>
              <w:t>2.9.1:</w:t>
            </w:r>
          </w:p>
        </w:tc>
        <w:tc>
          <w:tcPr>
            <w:tcW w:w="7513" w:type="dxa"/>
          </w:tcPr>
          <w:p>
            <w:pPr>
              <w:pStyle w:val="TableParagraph"/>
              <w:spacing w:before="43"/>
              <w:ind w:left="70"/>
              <w:rPr>
                <w:sz w:val="20"/>
              </w:rPr>
            </w:pPr>
            <w:r>
              <w:rPr>
                <w:sz w:val="20"/>
              </w:rPr>
              <w:t>Cantidad</w:t>
            </w:r>
            <w:r>
              <w:rPr>
                <w:spacing w:val="-11"/>
                <w:sz w:val="20"/>
              </w:rPr>
              <w:t> </w:t>
            </w:r>
            <w:r>
              <w:rPr>
                <w:sz w:val="20"/>
              </w:rPr>
              <w:t>de</w:t>
            </w:r>
            <w:r>
              <w:rPr>
                <w:spacing w:val="-9"/>
                <w:sz w:val="20"/>
              </w:rPr>
              <w:t> </w:t>
            </w:r>
            <w:r>
              <w:rPr>
                <w:sz w:val="20"/>
              </w:rPr>
              <w:t>plataforma</w:t>
            </w:r>
            <w:r>
              <w:rPr>
                <w:spacing w:val="-8"/>
                <w:sz w:val="20"/>
              </w:rPr>
              <w:t> </w:t>
            </w:r>
            <w:r>
              <w:rPr>
                <w:sz w:val="20"/>
              </w:rPr>
              <w:t>hidráulica</w:t>
            </w:r>
            <w:r>
              <w:rPr>
                <w:spacing w:val="-11"/>
                <w:sz w:val="20"/>
              </w:rPr>
              <w:t> </w:t>
            </w:r>
            <w:r>
              <w:rPr>
                <w:spacing w:val="-2"/>
                <w:sz w:val="20"/>
              </w:rPr>
              <w:t>adquirida</w:t>
            </w:r>
          </w:p>
        </w:tc>
      </w:tr>
      <w:tr>
        <w:trPr>
          <w:trHeight w:val="657" w:hRule="atLeast"/>
        </w:trPr>
        <w:tc>
          <w:tcPr>
            <w:tcW w:w="2976" w:type="dxa"/>
            <w:shd w:val="clear" w:color="auto" w:fill="DCE6F0"/>
          </w:tcPr>
          <w:p>
            <w:pPr>
              <w:pStyle w:val="TableParagraph"/>
              <w:spacing w:before="213"/>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3" w:type="dxa"/>
          </w:tcPr>
          <w:p>
            <w:pPr>
              <w:pStyle w:val="TableParagraph"/>
              <w:spacing w:before="213"/>
              <w:ind w:left="70"/>
              <w:rPr>
                <w:sz w:val="20"/>
              </w:rPr>
            </w:pPr>
            <w:r>
              <w:rPr>
                <w:sz w:val="20"/>
              </w:rPr>
              <w:t>Cantidad</w:t>
            </w:r>
            <w:r>
              <w:rPr>
                <w:spacing w:val="-10"/>
                <w:sz w:val="20"/>
              </w:rPr>
              <w:t> </w:t>
            </w:r>
            <w:r>
              <w:rPr>
                <w:sz w:val="20"/>
              </w:rPr>
              <w:t>Final</w:t>
            </w:r>
            <w:r>
              <w:rPr>
                <w:spacing w:val="-9"/>
                <w:sz w:val="20"/>
              </w:rPr>
              <w:t> </w:t>
            </w:r>
            <w:r>
              <w:rPr>
                <w:sz w:val="20"/>
              </w:rPr>
              <w:t>de</w:t>
            </w:r>
            <w:r>
              <w:rPr>
                <w:spacing w:val="-9"/>
                <w:sz w:val="20"/>
              </w:rPr>
              <w:t> </w:t>
            </w:r>
            <w:r>
              <w:rPr>
                <w:sz w:val="20"/>
              </w:rPr>
              <w:t>plataforma</w:t>
            </w:r>
            <w:r>
              <w:rPr>
                <w:spacing w:val="-10"/>
                <w:sz w:val="20"/>
              </w:rPr>
              <w:t> </w:t>
            </w:r>
            <w:r>
              <w:rPr>
                <w:sz w:val="20"/>
              </w:rPr>
              <w:t>hidráulica</w:t>
            </w:r>
            <w:r>
              <w:rPr>
                <w:spacing w:val="-10"/>
                <w:sz w:val="20"/>
              </w:rPr>
              <w:t> </w:t>
            </w:r>
            <w:r>
              <w:rPr>
                <w:spacing w:val="-2"/>
                <w:sz w:val="20"/>
              </w:rPr>
              <w:t>adquirida</w:t>
            </w:r>
          </w:p>
        </w:tc>
      </w:tr>
      <w:tr>
        <w:trPr>
          <w:trHeight w:val="314" w:hRule="atLeast"/>
        </w:trPr>
        <w:tc>
          <w:tcPr>
            <w:tcW w:w="2976" w:type="dxa"/>
            <w:shd w:val="clear" w:color="auto" w:fill="DCE6F0"/>
          </w:tcPr>
          <w:p>
            <w:pPr>
              <w:pStyle w:val="TableParagraph"/>
              <w:spacing w:before="42"/>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42"/>
              <w:ind w:left="70"/>
              <w:rPr>
                <w:sz w:val="20"/>
              </w:rPr>
            </w:pPr>
            <w:r>
              <w:rPr>
                <w:spacing w:val="-2"/>
                <w:sz w:val="20"/>
              </w:rPr>
              <w:t>Cantidad</w:t>
            </w:r>
          </w:p>
        </w:tc>
      </w:tr>
      <w:tr>
        <w:trPr>
          <w:trHeight w:val="899" w:hRule="atLeast"/>
        </w:trPr>
        <w:tc>
          <w:tcPr>
            <w:tcW w:w="2976" w:type="dxa"/>
            <w:shd w:val="clear" w:color="auto" w:fill="DCE6F0"/>
          </w:tcPr>
          <w:p>
            <w:pPr>
              <w:pStyle w:val="TableParagraph"/>
              <w:spacing w:before="105"/>
              <w:rPr>
                <w:b/>
                <w:sz w:val="20"/>
              </w:rPr>
            </w:pPr>
          </w:p>
          <w:p>
            <w:pPr>
              <w:pStyle w:val="TableParagraph"/>
              <w:ind w:left="67"/>
              <w:rPr>
                <w:b/>
                <w:sz w:val="20"/>
              </w:rPr>
            </w:pPr>
            <w:r>
              <w:rPr>
                <w:b/>
                <w:spacing w:val="-2"/>
                <w:sz w:val="20"/>
              </w:rPr>
              <w:t>Interpretación:</w:t>
            </w:r>
          </w:p>
        </w:tc>
        <w:tc>
          <w:tcPr>
            <w:tcW w:w="7513" w:type="dxa"/>
          </w:tcPr>
          <w:p>
            <w:pPr>
              <w:pStyle w:val="TableParagraph"/>
              <w:spacing w:before="105"/>
              <w:ind w:left="70" w:right="133"/>
              <w:rPr>
                <w:sz w:val="20"/>
              </w:rPr>
            </w:pPr>
            <w:r>
              <w:rPr>
                <w:sz w:val="20"/>
              </w:rPr>
              <w:t>Determina el nivel de cumplimiento de las gestiones realizadas para adquirir e instalar</w:t>
            </w:r>
            <w:r>
              <w:rPr>
                <w:spacing w:val="-5"/>
                <w:sz w:val="20"/>
              </w:rPr>
              <w:t> </w:t>
            </w:r>
            <w:r>
              <w:rPr>
                <w:sz w:val="20"/>
              </w:rPr>
              <w:t>una</w:t>
            </w:r>
            <w:r>
              <w:rPr>
                <w:spacing w:val="-6"/>
                <w:sz w:val="20"/>
              </w:rPr>
              <w:t> </w:t>
            </w:r>
            <w:r>
              <w:rPr>
                <w:sz w:val="20"/>
              </w:rPr>
              <w:t>plataforma</w:t>
            </w:r>
            <w:r>
              <w:rPr>
                <w:spacing w:val="-5"/>
                <w:sz w:val="20"/>
              </w:rPr>
              <w:t> </w:t>
            </w:r>
            <w:r>
              <w:rPr>
                <w:sz w:val="20"/>
              </w:rPr>
              <w:t>hidráulica</w:t>
            </w:r>
            <w:r>
              <w:rPr>
                <w:spacing w:val="-5"/>
                <w:sz w:val="20"/>
              </w:rPr>
              <w:t> </w:t>
            </w:r>
            <w:r>
              <w:rPr>
                <w:sz w:val="20"/>
              </w:rPr>
              <w:t>en</w:t>
            </w:r>
            <w:r>
              <w:rPr>
                <w:spacing w:val="-5"/>
                <w:sz w:val="20"/>
              </w:rPr>
              <w:t> </w:t>
            </w:r>
            <w:r>
              <w:rPr>
                <w:sz w:val="20"/>
              </w:rPr>
              <w:t>el</w:t>
            </w:r>
            <w:r>
              <w:rPr>
                <w:spacing w:val="-6"/>
                <w:sz w:val="20"/>
              </w:rPr>
              <w:t> </w:t>
            </w:r>
            <w:r>
              <w:rPr>
                <w:sz w:val="20"/>
              </w:rPr>
              <w:t>camión</w:t>
            </w:r>
            <w:r>
              <w:rPr>
                <w:spacing w:val="-3"/>
                <w:sz w:val="20"/>
              </w:rPr>
              <w:t> </w:t>
            </w:r>
            <w:r>
              <w:rPr>
                <w:sz w:val="20"/>
              </w:rPr>
              <w:t>institucional</w:t>
            </w:r>
            <w:r>
              <w:rPr>
                <w:spacing w:val="-6"/>
                <w:sz w:val="20"/>
              </w:rPr>
              <w:t> </w:t>
            </w:r>
            <w:r>
              <w:rPr>
                <w:sz w:val="20"/>
              </w:rPr>
              <w:t>con</w:t>
            </w:r>
            <w:r>
              <w:rPr>
                <w:spacing w:val="-4"/>
                <w:sz w:val="20"/>
              </w:rPr>
              <w:t> </w:t>
            </w:r>
            <w:r>
              <w:rPr>
                <w:sz w:val="20"/>
              </w:rPr>
              <w:t>mayor</w:t>
            </w:r>
            <w:r>
              <w:rPr>
                <w:spacing w:val="-5"/>
                <w:sz w:val="20"/>
              </w:rPr>
              <w:t> </w:t>
            </w:r>
            <w:r>
              <w:rPr>
                <w:sz w:val="20"/>
              </w:rPr>
              <w:t>capacidad de carga</w:t>
            </w:r>
          </w:p>
        </w:tc>
      </w:tr>
      <w:tr>
        <w:trPr>
          <w:trHeight w:val="316" w:hRule="atLeast"/>
        </w:trPr>
        <w:tc>
          <w:tcPr>
            <w:tcW w:w="2976" w:type="dxa"/>
            <w:shd w:val="clear" w:color="auto" w:fill="DCE6F0"/>
          </w:tcPr>
          <w:p>
            <w:pPr>
              <w:pStyle w:val="TableParagraph"/>
              <w:spacing w:before="42"/>
              <w:ind w:left="67"/>
              <w:rPr>
                <w:b/>
                <w:sz w:val="20"/>
              </w:rPr>
            </w:pPr>
            <w:r>
              <w:rPr>
                <w:b/>
                <w:spacing w:val="-2"/>
                <w:sz w:val="20"/>
              </w:rPr>
              <w:t>Desagregación</w:t>
            </w:r>
          </w:p>
        </w:tc>
        <w:tc>
          <w:tcPr>
            <w:tcW w:w="7513" w:type="dxa"/>
          </w:tcPr>
          <w:p>
            <w:pPr>
              <w:pStyle w:val="TableParagraph"/>
              <w:spacing w:before="42"/>
              <w:ind w:left="70"/>
              <w:rPr>
                <w:sz w:val="20"/>
              </w:rPr>
            </w:pPr>
            <w:r>
              <w:rPr>
                <w:sz w:val="20"/>
              </w:rPr>
              <w:t>No</w:t>
            </w:r>
            <w:r>
              <w:rPr>
                <w:spacing w:val="-5"/>
                <w:sz w:val="20"/>
              </w:rPr>
              <w:t> </w:t>
            </w:r>
            <w:r>
              <w:rPr>
                <w:spacing w:val="-2"/>
                <w:sz w:val="20"/>
              </w:rPr>
              <w:t>aplica.</w:t>
            </w:r>
          </w:p>
        </w:tc>
      </w:tr>
      <w:tr>
        <w:trPr>
          <w:trHeight w:val="314" w:hRule="atLeast"/>
        </w:trPr>
        <w:tc>
          <w:tcPr>
            <w:tcW w:w="2976" w:type="dxa"/>
            <w:shd w:val="clear" w:color="auto" w:fill="DCE6F0"/>
          </w:tcPr>
          <w:p>
            <w:pPr>
              <w:pStyle w:val="TableParagraph"/>
              <w:spacing w:before="42"/>
              <w:ind w:left="67"/>
              <w:rPr>
                <w:b/>
                <w:sz w:val="20"/>
              </w:rPr>
            </w:pPr>
            <w:r>
              <w:rPr>
                <w:b/>
                <w:spacing w:val="-2"/>
                <w:sz w:val="20"/>
              </w:rPr>
              <w:t>Meta:</w:t>
            </w:r>
          </w:p>
        </w:tc>
        <w:tc>
          <w:tcPr>
            <w:tcW w:w="7513" w:type="dxa"/>
          </w:tcPr>
          <w:p>
            <w:pPr>
              <w:pStyle w:val="TableParagraph"/>
              <w:spacing w:before="42"/>
              <w:ind w:left="70"/>
              <w:rPr>
                <w:sz w:val="20"/>
              </w:rPr>
            </w:pPr>
            <w:r>
              <w:rPr>
                <w:sz w:val="20"/>
              </w:rPr>
              <w:t>1</w:t>
            </w:r>
            <w:r>
              <w:rPr>
                <w:spacing w:val="-9"/>
                <w:sz w:val="20"/>
              </w:rPr>
              <w:t> </w:t>
            </w:r>
            <w:r>
              <w:rPr>
                <w:sz w:val="20"/>
              </w:rPr>
              <w:t>adquisición</w:t>
            </w:r>
            <w:r>
              <w:rPr>
                <w:spacing w:val="-6"/>
                <w:sz w:val="20"/>
              </w:rPr>
              <w:t> </w:t>
            </w:r>
            <w:r>
              <w:rPr>
                <w:sz w:val="20"/>
              </w:rPr>
              <w:t>de</w:t>
            </w:r>
            <w:r>
              <w:rPr>
                <w:spacing w:val="-7"/>
                <w:sz w:val="20"/>
              </w:rPr>
              <w:t> </w:t>
            </w:r>
            <w:r>
              <w:rPr>
                <w:sz w:val="20"/>
              </w:rPr>
              <w:t>plataforma</w:t>
            </w:r>
            <w:r>
              <w:rPr>
                <w:spacing w:val="-6"/>
                <w:sz w:val="20"/>
              </w:rPr>
              <w:t> </w:t>
            </w:r>
            <w:r>
              <w:rPr>
                <w:sz w:val="20"/>
              </w:rPr>
              <w:t>hidráulica</w:t>
            </w:r>
            <w:r>
              <w:rPr>
                <w:spacing w:val="-9"/>
                <w:sz w:val="20"/>
              </w:rPr>
              <w:t> </w:t>
            </w:r>
            <w:r>
              <w:rPr>
                <w:sz w:val="20"/>
              </w:rPr>
              <w:t>al</w:t>
            </w:r>
            <w:r>
              <w:rPr>
                <w:spacing w:val="-8"/>
                <w:sz w:val="20"/>
              </w:rPr>
              <w:t> </w:t>
            </w:r>
            <w:r>
              <w:rPr>
                <w:sz w:val="20"/>
              </w:rPr>
              <w:t>finalizar</w:t>
            </w:r>
            <w:r>
              <w:rPr>
                <w:spacing w:val="-6"/>
                <w:sz w:val="20"/>
              </w:rPr>
              <w:t> </w:t>
            </w:r>
            <w:r>
              <w:rPr>
                <w:sz w:val="20"/>
              </w:rPr>
              <w:t>el</w:t>
            </w:r>
            <w:r>
              <w:rPr>
                <w:spacing w:val="-7"/>
                <w:sz w:val="20"/>
              </w:rPr>
              <w:t> </w:t>
            </w:r>
            <w:r>
              <w:rPr>
                <w:sz w:val="20"/>
              </w:rPr>
              <w:t>año</w:t>
            </w:r>
            <w:r>
              <w:rPr>
                <w:spacing w:val="-8"/>
                <w:sz w:val="20"/>
              </w:rPr>
              <w:t> </w:t>
            </w:r>
            <w:r>
              <w:rPr>
                <w:spacing w:val="-2"/>
                <w:sz w:val="20"/>
              </w:rPr>
              <w:t>2027.</w:t>
            </w:r>
          </w:p>
        </w:tc>
      </w:tr>
      <w:tr>
        <w:trPr>
          <w:trHeight w:val="976" w:hRule="atLeast"/>
        </w:trPr>
        <w:tc>
          <w:tcPr>
            <w:tcW w:w="2976" w:type="dxa"/>
            <w:shd w:val="clear" w:color="auto" w:fill="DCE6F0"/>
          </w:tcPr>
          <w:p>
            <w:pPr>
              <w:pStyle w:val="TableParagraph"/>
              <w:spacing w:before="143"/>
              <w:rPr>
                <w:b/>
                <w:sz w:val="20"/>
              </w:rPr>
            </w:pPr>
          </w:p>
          <w:p>
            <w:pPr>
              <w:pStyle w:val="TableParagraph"/>
              <w:spacing w:before="1"/>
              <w:ind w:left="67"/>
              <w:rPr>
                <w:b/>
                <w:sz w:val="20"/>
              </w:rPr>
            </w:pPr>
            <w:r>
              <w:rPr>
                <w:b/>
                <w:sz w:val="20"/>
              </w:rPr>
              <w:t>Línea</w:t>
            </w:r>
            <w:r>
              <w:rPr>
                <w:b/>
                <w:spacing w:val="-10"/>
                <w:sz w:val="20"/>
              </w:rPr>
              <w:t> </w:t>
            </w:r>
            <w:r>
              <w:rPr>
                <w:b/>
                <w:spacing w:val="-4"/>
                <w:sz w:val="20"/>
              </w:rPr>
              <w:t>Base</w:t>
            </w:r>
          </w:p>
        </w:tc>
        <w:tc>
          <w:tcPr>
            <w:tcW w:w="7513" w:type="dxa"/>
          </w:tcPr>
          <w:p>
            <w:pPr>
              <w:pStyle w:val="TableParagraph"/>
              <w:spacing w:before="143"/>
              <w:rPr>
                <w:b/>
                <w:sz w:val="20"/>
              </w:rPr>
            </w:pPr>
          </w:p>
          <w:p>
            <w:pPr>
              <w:pStyle w:val="TableParagraph"/>
              <w:spacing w:before="1"/>
              <w:ind w:left="70"/>
              <w:rPr>
                <w:sz w:val="20"/>
              </w:rPr>
            </w:pPr>
            <w:r>
              <w:rPr>
                <w:sz w:val="20"/>
              </w:rPr>
              <w:t>En</w:t>
            </w:r>
            <w:r>
              <w:rPr>
                <w:spacing w:val="-7"/>
                <w:sz w:val="20"/>
              </w:rPr>
              <w:t> </w:t>
            </w:r>
            <w:r>
              <w:rPr>
                <w:sz w:val="20"/>
              </w:rPr>
              <w:t>el</w:t>
            </w:r>
            <w:r>
              <w:rPr>
                <w:spacing w:val="-8"/>
                <w:sz w:val="20"/>
              </w:rPr>
              <w:t> </w:t>
            </w:r>
            <w:r>
              <w:rPr>
                <w:sz w:val="20"/>
              </w:rPr>
              <w:t>año</w:t>
            </w:r>
            <w:r>
              <w:rPr>
                <w:spacing w:val="-5"/>
                <w:sz w:val="20"/>
              </w:rPr>
              <w:t> </w:t>
            </w:r>
            <w:r>
              <w:rPr>
                <w:sz w:val="20"/>
              </w:rPr>
              <w:t>2025</w:t>
            </w:r>
            <w:r>
              <w:rPr>
                <w:spacing w:val="-7"/>
                <w:sz w:val="20"/>
              </w:rPr>
              <w:t> </w:t>
            </w:r>
            <w:r>
              <w:rPr>
                <w:sz w:val="20"/>
              </w:rPr>
              <w:t>no</w:t>
            </w:r>
            <w:r>
              <w:rPr>
                <w:spacing w:val="-7"/>
                <w:sz w:val="20"/>
              </w:rPr>
              <w:t> </w:t>
            </w:r>
            <w:r>
              <w:rPr>
                <w:sz w:val="20"/>
              </w:rPr>
              <w:t>se</w:t>
            </w:r>
            <w:r>
              <w:rPr>
                <w:spacing w:val="-6"/>
                <w:sz w:val="20"/>
              </w:rPr>
              <w:t> </w:t>
            </w:r>
            <w:r>
              <w:rPr>
                <w:sz w:val="20"/>
              </w:rPr>
              <w:t>contaba</w:t>
            </w:r>
            <w:r>
              <w:rPr>
                <w:spacing w:val="-8"/>
                <w:sz w:val="20"/>
              </w:rPr>
              <w:t> </w:t>
            </w:r>
            <w:r>
              <w:rPr>
                <w:sz w:val="20"/>
              </w:rPr>
              <w:t>con</w:t>
            </w:r>
            <w:r>
              <w:rPr>
                <w:spacing w:val="-6"/>
                <w:sz w:val="20"/>
              </w:rPr>
              <w:t> </w:t>
            </w:r>
            <w:r>
              <w:rPr>
                <w:sz w:val="20"/>
              </w:rPr>
              <w:t>una</w:t>
            </w:r>
            <w:r>
              <w:rPr>
                <w:spacing w:val="-4"/>
                <w:sz w:val="20"/>
              </w:rPr>
              <w:t> </w:t>
            </w:r>
            <w:r>
              <w:rPr>
                <w:sz w:val="20"/>
              </w:rPr>
              <w:t>plataforma</w:t>
            </w:r>
            <w:r>
              <w:rPr>
                <w:spacing w:val="-5"/>
                <w:sz w:val="20"/>
              </w:rPr>
              <w:t> </w:t>
            </w:r>
            <w:r>
              <w:rPr>
                <w:sz w:val="20"/>
              </w:rPr>
              <w:t>hidráulica</w:t>
            </w:r>
            <w:r>
              <w:rPr>
                <w:spacing w:val="-7"/>
                <w:sz w:val="20"/>
              </w:rPr>
              <w:t> </w:t>
            </w:r>
            <w:r>
              <w:rPr>
                <w:sz w:val="20"/>
              </w:rPr>
              <w:t>adquirida</w:t>
            </w:r>
            <w:r>
              <w:rPr>
                <w:spacing w:val="-7"/>
                <w:sz w:val="20"/>
              </w:rPr>
              <w:t> </w:t>
            </w:r>
            <w:r>
              <w:rPr>
                <w:sz w:val="20"/>
              </w:rPr>
              <w:t>ni</w:t>
            </w:r>
            <w:r>
              <w:rPr>
                <w:spacing w:val="-7"/>
                <w:sz w:val="20"/>
              </w:rPr>
              <w:t> </w:t>
            </w:r>
            <w:r>
              <w:rPr>
                <w:spacing w:val="-2"/>
                <w:sz w:val="20"/>
              </w:rPr>
              <w:t>instalada.</w:t>
            </w:r>
          </w:p>
        </w:tc>
      </w:tr>
      <w:tr>
        <w:trPr>
          <w:trHeight w:val="628" w:hRule="atLeast"/>
        </w:trPr>
        <w:tc>
          <w:tcPr>
            <w:tcW w:w="2976" w:type="dxa"/>
            <w:shd w:val="clear" w:color="auto" w:fill="DCE6F0"/>
          </w:tcPr>
          <w:p>
            <w:pPr>
              <w:pStyle w:val="TableParagraph"/>
              <w:spacing w:before="8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198"/>
              <w:ind w:left="70"/>
              <w:rPr>
                <w:sz w:val="20"/>
              </w:rPr>
            </w:pPr>
            <w:r>
              <w:rPr>
                <w:sz w:val="20"/>
              </w:rPr>
              <w:t>Para</w:t>
            </w:r>
            <w:r>
              <w:rPr>
                <w:spacing w:val="-5"/>
                <w:sz w:val="20"/>
              </w:rPr>
              <w:t> </w:t>
            </w:r>
            <w:r>
              <w:rPr>
                <w:sz w:val="20"/>
              </w:rPr>
              <w:t>adquirir</w:t>
            </w:r>
            <w:r>
              <w:rPr>
                <w:spacing w:val="-4"/>
                <w:sz w:val="20"/>
              </w:rPr>
              <w:t> </w:t>
            </w:r>
            <w:r>
              <w:rPr>
                <w:sz w:val="20"/>
              </w:rPr>
              <w:t>en</w:t>
            </w:r>
            <w:r>
              <w:rPr>
                <w:spacing w:val="-8"/>
                <w:sz w:val="20"/>
              </w:rPr>
              <w:t> </w:t>
            </w:r>
            <w:r>
              <w:rPr>
                <w:sz w:val="20"/>
              </w:rPr>
              <w:t>el</w:t>
            </w:r>
            <w:r>
              <w:rPr>
                <w:spacing w:val="-8"/>
                <w:sz w:val="20"/>
              </w:rPr>
              <w:t> </w:t>
            </w:r>
            <w:r>
              <w:rPr>
                <w:sz w:val="20"/>
              </w:rPr>
              <w:t>tercer</w:t>
            </w:r>
            <w:r>
              <w:rPr>
                <w:spacing w:val="-6"/>
                <w:sz w:val="20"/>
              </w:rPr>
              <w:t> </w:t>
            </w:r>
            <w:r>
              <w:rPr>
                <w:sz w:val="20"/>
              </w:rPr>
              <w:t>trimestre</w:t>
            </w:r>
            <w:r>
              <w:rPr>
                <w:spacing w:val="-7"/>
                <w:sz w:val="20"/>
              </w:rPr>
              <w:t> </w:t>
            </w:r>
            <w:r>
              <w:rPr>
                <w:spacing w:val="-4"/>
                <w:sz w:val="20"/>
              </w:rPr>
              <w:t>2027</w:t>
            </w:r>
          </w:p>
        </w:tc>
      </w:tr>
      <w:tr>
        <w:trPr>
          <w:trHeight w:val="1202" w:hRule="atLeast"/>
        </w:trPr>
        <w:tc>
          <w:tcPr>
            <w:tcW w:w="2976" w:type="dxa"/>
            <w:shd w:val="clear" w:color="auto" w:fill="DCE6F0"/>
          </w:tcPr>
          <w:p>
            <w:pPr>
              <w:pStyle w:val="TableParagraph"/>
              <w:spacing w:before="141"/>
              <w:rPr>
                <w:b/>
                <w:sz w:val="20"/>
              </w:rPr>
            </w:pPr>
          </w:p>
          <w:p>
            <w:pPr>
              <w:pStyle w:val="TableParagraph"/>
              <w:ind w:left="67" w:right="514"/>
              <w:rPr>
                <w:b/>
                <w:sz w:val="20"/>
              </w:rPr>
            </w:pPr>
            <w:r>
              <w:rPr>
                <w:b/>
                <w:sz w:val="20"/>
              </w:rPr>
              <w:t>Responsable de la recopilación</w:t>
            </w:r>
            <w:r>
              <w:rPr>
                <w:b/>
                <w:spacing w:val="-14"/>
                <w:sz w:val="20"/>
              </w:rPr>
              <w:t> </w:t>
            </w:r>
            <w:r>
              <w:rPr>
                <w:b/>
                <w:sz w:val="20"/>
              </w:rPr>
              <w:t>información</w:t>
            </w:r>
          </w:p>
        </w:tc>
        <w:tc>
          <w:tcPr>
            <w:tcW w:w="7513" w:type="dxa"/>
          </w:tcPr>
          <w:p>
            <w:pPr>
              <w:pStyle w:val="TableParagraph"/>
              <w:spacing w:before="141"/>
              <w:ind w:left="70" w:right="3072"/>
              <w:rPr>
                <w:sz w:val="20"/>
              </w:rPr>
            </w:pPr>
            <w:r>
              <w:rPr>
                <w:sz w:val="20"/>
              </w:rPr>
              <w:t>Nombre</w:t>
            </w:r>
            <w:r>
              <w:rPr>
                <w:spacing w:val="-7"/>
                <w:sz w:val="20"/>
              </w:rPr>
              <w:t> </w:t>
            </w:r>
            <w:r>
              <w:rPr>
                <w:sz w:val="20"/>
              </w:rPr>
              <w:t>del</w:t>
            </w:r>
            <w:r>
              <w:rPr>
                <w:spacing w:val="-10"/>
                <w:sz w:val="20"/>
              </w:rPr>
              <w:t> </w:t>
            </w:r>
            <w:r>
              <w:rPr>
                <w:sz w:val="20"/>
              </w:rPr>
              <w:t>funcionario:</w:t>
            </w:r>
            <w:r>
              <w:rPr>
                <w:spacing w:val="-9"/>
                <w:sz w:val="20"/>
              </w:rPr>
              <w:t> </w:t>
            </w:r>
            <w:r>
              <w:rPr>
                <w:sz w:val="20"/>
              </w:rPr>
              <w:t>Nelson</w:t>
            </w:r>
            <w:r>
              <w:rPr>
                <w:spacing w:val="-10"/>
                <w:sz w:val="20"/>
              </w:rPr>
              <w:t> </w:t>
            </w:r>
            <w:r>
              <w:rPr>
                <w:sz w:val="20"/>
              </w:rPr>
              <w:t>Uba</w:t>
            </w:r>
            <w:r>
              <w:rPr>
                <w:spacing w:val="-10"/>
                <w:sz w:val="20"/>
              </w:rPr>
              <w:t> </w:t>
            </w:r>
            <w:r>
              <w:rPr>
                <w:sz w:val="20"/>
              </w:rPr>
              <w:t>Fernández Cargo: Técnico en Transportes</w:t>
            </w:r>
          </w:p>
          <w:p>
            <w:pPr>
              <w:pStyle w:val="TableParagraph"/>
              <w:ind w:left="70" w:right="3460"/>
              <w:rPr>
                <w:sz w:val="20"/>
              </w:rPr>
            </w:pPr>
            <w:r>
              <w:rPr>
                <w:sz w:val="20"/>
              </w:rPr>
              <w:t>Nombre</w:t>
            </w:r>
            <w:r>
              <w:rPr>
                <w:spacing w:val="-10"/>
                <w:sz w:val="20"/>
              </w:rPr>
              <w:t> </w:t>
            </w:r>
            <w:r>
              <w:rPr>
                <w:sz w:val="20"/>
              </w:rPr>
              <w:t>del</w:t>
            </w:r>
            <w:r>
              <w:rPr>
                <w:spacing w:val="-12"/>
                <w:sz w:val="20"/>
              </w:rPr>
              <w:t> </w:t>
            </w:r>
            <w:r>
              <w:rPr>
                <w:sz w:val="20"/>
              </w:rPr>
              <w:t>funcionario:</w:t>
            </w:r>
            <w:r>
              <w:rPr>
                <w:spacing w:val="-10"/>
                <w:sz w:val="20"/>
              </w:rPr>
              <w:t> </w:t>
            </w:r>
            <w:r>
              <w:rPr>
                <w:sz w:val="20"/>
              </w:rPr>
              <w:t>Pedro</w:t>
            </w:r>
            <w:r>
              <w:rPr>
                <w:spacing w:val="-11"/>
                <w:sz w:val="20"/>
              </w:rPr>
              <w:t> </w:t>
            </w:r>
            <w:r>
              <w:rPr>
                <w:sz w:val="20"/>
              </w:rPr>
              <w:t>Llubere Cargo: Encargado de Transportes</w:t>
            </w:r>
          </w:p>
        </w:tc>
      </w:tr>
      <w:tr>
        <w:trPr>
          <w:trHeight w:val="628" w:hRule="atLeast"/>
        </w:trPr>
        <w:tc>
          <w:tcPr>
            <w:tcW w:w="2976" w:type="dxa"/>
            <w:shd w:val="clear" w:color="auto" w:fill="DCE6F0"/>
          </w:tcPr>
          <w:p>
            <w:pPr>
              <w:pStyle w:val="TableParagraph"/>
              <w:spacing w:before="83"/>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3" w:type="dxa"/>
          </w:tcPr>
          <w:p>
            <w:pPr>
              <w:pStyle w:val="TableParagraph"/>
              <w:spacing w:before="198"/>
              <w:ind w:left="70"/>
              <w:rPr>
                <w:sz w:val="20"/>
              </w:rPr>
            </w:pPr>
            <w:r>
              <w:rPr>
                <w:sz w:val="20"/>
              </w:rPr>
              <w:t>Proceso</w:t>
            </w:r>
            <w:r>
              <w:rPr>
                <w:spacing w:val="-8"/>
                <w:sz w:val="20"/>
              </w:rPr>
              <w:t> </w:t>
            </w:r>
            <w:r>
              <w:rPr>
                <w:sz w:val="20"/>
              </w:rPr>
              <w:t>de</w:t>
            </w:r>
            <w:r>
              <w:rPr>
                <w:spacing w:val="-7"/>
                <w:sz w:val="20"/>
              </w:rPr>
              <w:t> </w:t>
            </w:r>
            <w:r>
              <w:rPr>
                <w:sz w:val="20"/>
              </w:rPr>
              <w:t>Transportes</w:t>
            </w:r>
            <w:r>
              <w:rPr>
                <w:spacing w:val="-6"/>
                <w:sz w:val="20"/>
              </w:rPr>
              <w:t> </w:t>
            </w:r>
            <w:r>
              <w:rPr>
                <w:sz w:val="20"/>
              </w:rPr>
              <w:t>y</w:t>
            </w:r>
            <w:r>
              <w:rPr>
                <w:spacing w:val="-6"/>
                <w:sz w:val="20"/>
              </w:rPr>
              <w:t> </w:t>
            </w:r>
            <w:r>
              <w:rPr>
                <w:sz w:val="20"/>
              </w:rPr>
              <w:t>Área</w:t>
            </w:r>
            <w:r>
              <w:rPr>
                <w:spacing w:val="-6"/>
                <w:sz w:val="20"/>
              </w:rPr>
              <w:t> </w:t>
            </w:r>
            <w:r>
              <w:rPr>
                <w:sz w:val="20"/>
              </w:rPr>
              <w:t>de</w:t>
            </w:r>
            <w:r>
              <w:rPr>
                <w:spacing w:val="-6"/>
                <w:sz w:val="20"/>
              </w:rPr>
              <w:t> </w:t>
            </w:r>
            <w:r>
              <w:rPr>
                <w:sz w:val="20"/>
              </w:rPr>
              <w:t>Servicios</w:t>
            </w:r>
            <w:r>
              <w:rPr>
                <w:spacing w:val="-6"/>
                <w:sz w:val="20"/>
              </w:rPr>
              <w:t> </w:t>
            </w:r>
            <w:r>
              <w:rPr>
                <w:spacing w:val="-2"/>
                <w:sz w:val="20"/>
              </w:rPr>
              <w:t>Generales.</w:t>
            </w:r>
          </w:p>
        </w:tc>
      </w:tr>
      <w:tr>
        <w:trPr>
          <w:trHeight w:val="316" w:hRule="atLeast"/>
        </w:trPr>
        <w:tc>
          <w:tcPr>
            <w:tcW w:w="2976" w:type="dxa"/>
            <w:shd w:val="clear" w:color="auto" w:fill="DCE6F0"/>
          </w:tcPr>
          <w:p>
            <w:pPr>
              <w:pStyle w:val="TableParagraph"/>
              <w:spacing w:before="42"/>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3" w:type="dxa"/>
          </w:tcPr>
          <w:p>
            <w:pPr>
              <w:pStyle w:val="TableParagraph"/>
              <w:spacing w:before="42"/>
              <w:ind w:left="70"/>
              <w:rPr>
                <w:sz w:val="20"/>
              </w:rPr>
            </w:pPr>
            <w:r>
              <w:rPr>
                <w:spacing w:val="-2"/>
                <w:sz w:val="20"/>
              </w:rPr>
              <w:t>SICOP</w:t>
            </w:r>
          </w:p>
        </w:tc>
      </w:tr>
      <w:tr>
        <w:trPr>
          <w:trHeight w:val="628" w:hRule="atLeast"/>
        </w:trPr>
        <w:tc>
          <w:tcPr>
            <w:tcW w:w="2976" w:type="dxa"/>
            <w:shd w:val="clear" w:color="auto" w:fill="DCE6F0"/>
          </w:tcPr>
          <w:p>
            <w:pPr>
              <w:pStyle w:val="TableParagraph"/>
              <w:spacing w:before="199"/>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199"/>
              <w:ind w:left="70"/>
              <w:rPr>
                <w:sz w:val="20"/>
              </w:rPr>
            </w:pPr>
            <w:r>
              <w:rPr>
                <w:sz w:val="20"/>
              </w:rPr>
              <w:t>Solicitud</w:t>
            </w:r>
            <w:r>
              <w:rPr>
                <w:spacing w:val="-7"/>
                <w:sz w:val="20"/>
              </w:rPr>
              <w:t> </w:t>
            </w:r>
            <w:r>
              <w:rPr>
                <w:sz w:val="20"/>
              </w:rPr>
              <w:t>de</w:t>
            </w:r>
            <w:r>
              <w:rPr>
                <w:spacing w:val="-8"/>
                <w:sz w:val="20"/>
              </w:rPr>
              <w:t> </w:t>
            </w:r>
            <w:r>
              <w:rPr>
                <w:sz w:val="20"/>
              </w:rPr>
              <w:t>pedido</w:t>
            </w:r>
            <w:r>
              <w:rPr>
                <w:spacing w:val="-6"/>
                <w:sz w:val="20"/>
              </w:rPr>
              <w:t> </w:t>
            </w:r>
            <w:r>
              <w:rPr>
                <w:sz w:val="20"/>
              </w:rPr>
              <w:t>en</w:t>
            </w:r>
            <w:r>
              <w:rPr>
                <w:spacing w:val="-6"/>
                <w:sz w:val="20"/>
              </w:rPr>
              <w:t> </w:t>
            </w:r>
            <w:r>
              <w:rPr>
                <w:sz w:val="20"/>
              </w:rPr>
              <w:t>SICOP,</w:t>
            </w:r>
            <w:r>
              <w:rPr>
                <w:spacing w:val="-8"/>
                <w:sz w:val="20"/>
              </w:rPr>
              <w:t> </w:t>
            </w:r>
            <w:r>
              <w:rPr>
                <w:sz w:val="20"/>
              </w:rPr>
              <w:t>contrato,</w:t>
            </w:r>
            <w:r>
              <w:rPr>
                <w:spacing w:val="-7"/>
                <w:sz w:val="20"/>
              </w:rPr>
              <w:t> </w:t>
            </w:r>
            <w:r>
              <w:rPr>
                <w:sz w:val="20"/>
              </w:rPr>
              <w:t>factura,</w:t>
            </w:r>
            <w:r>
              <w:rPr>
                <w:spacing w:val="-5"/>
                <w:sz w:val="20"/>
              </w:rPr>
              <w:t> </w:t>
            </w:r>
            <w:r>
              <w:rPr>
                <w:sz w:val="20"/>
              </w:rPr>
              <w:t>acta</w:t>
            </w:r>
            <w:r>
              <w:rPr>
                <w:spacing w:val="-6"/>
                <w:sz w:val="20"/>
              </w:rPr>
              <w:t> </w:t>
            </w:r>
            <w:r>
              <w:rPr>
                <w:sz w:val="20"/>
              </w:rPr>
              <w:t>de</w:t>
            </w:r>
            <w:r>
              <w:rPr>
                <w:spacing w:val="-8"/>
                <w:sz w:val="20"/>
              </w:rPr>
              <w:t> </w:t>
            </w:r>
            <w:r>
              <w:rPr>
                <w:spacing w:val="-2"/>
                <w:sz w:val="20"/>
              </w:rPr>
              <w:t>recepción.</w:t>
            </w:r>
          </w:p>
        </w:tc>
      </w:tr>
      <w:tr>
        <w:trPr>
          <w:trHeight w:val="630" w:hRule="atLeast"/>
        </w:trPr>
        <w:tc>
          <w:tcPr>
            <w:tcW w:w="2976" w:type="dxa"/>
            <w:shd w:val="clear" w:color="auto" w:fill="DCE6F0"/>
          </w:tcPr>
          <w:p>
            <w:pPr>
              <w:pStyle w:val="TableParagraph"/>
              <w:spacing w:before="201"/>
              <w:ind w:left="67"/>
              <w:rPr>
                <w:b/>
                <w:sz w:val="20"/>
              </w:rPr>
            </w:pPr>
            <w:r>
              <w:rPr>
                <w:b/>
                <w:spacing w:val="-2"/>
                <w:sz w:val="20"/>
              </w:rPr>
              <w:t>Clasificación</w:t>
            </w:r>
          </w:p>
        </w:tc>
        <w:tc>
          <w:tcPr>
            <w:tcW w:w="7513" w:type="dxa"/>
          </w:tcPr>
          <w:p>
            <w:pPr>
              <w:pStyle w:val="TableParagraph"/>
              <w:spacing w:before="201"/>
              <w:ind w:left="70"/>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bl>
    <w:p>
      <w:pPr>
        <w:pStyle w:val="TableParagraph"/>
        <w:spacing w:after="0"/>
        <w:rPr>
          <w:sz w:val="20"/>
        </w:rPr>
        <w:sectPr>
          <w:type w:val="continuous"/>
          <w:pgSz w:w="12240" w:h="15840"/>
          <w:pgMar w:header="0" w:footer="2082" w:top="1400" w:bottom="260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600" w:hRule="atLeast"/>
        </w:trPr>
        <w:tc>
          <w:tcPr>
            <w:tcW w:w="2976" w:type="dxa"/>
            <w:shd w:val="clear" w:color="auto" w:fill="DCE6F0"/>
          </w:tcPr>
          <w:p>
            <w:pPr>
              <w:pStyle w:val="TableParagraph"/>
              <w:spacing w:before="184"/>
              <w:ind w:left="67"/>
              <w:rPr>
                <w:b/>
                <w:sz w:val="20"/>
              </w:rPr>
            </w:pPr>
            <w:r>
              <w:rPr>
                <w:b/>
                <w:spacing w:val="-2"/>
                <w:sz w:val="20"/>
              </w:rPr>
              <w:t>Comentarios</w:t>
            </w:r>
            <w:r>
              <w:rPr>
                <w:b/>
                <w:spacing w:val="6"/>
                <w:sz w:val="20"/>
              </w:rPr>
              <w:t> </w:t>
            </w:r>
            <w:r>
              <w:rPr>
                <w:b/>
                <w:spacing w:val="-2"/>
                <w:sz w:val="20"/>
              </w:rPr>
              <w:t>Generales</w:t>
            </w:r>
          </w:p>
        </w:tc>
        <w:tc>
          <w:tcPr>
            <w:tcW w:w="7513" w:type="dxa"/>
          </w:tcPr>
          <w:p>
            <w:pPr>
              <w:pStyle w:val="TableParagraph"/>
              <w:spacing w:before="69"/>
              <w:ind w:left="70"/>
              <w:rPr>
                <w:sz w:val="20"/>
              </w:rPr>
            </w:pPr>
            <w:r>
              <w:rPr>
                <w:sz w:val="20"/>
              </w:rPr>
              <w:t>El</w:t>
            </w:r>
            <w:r>
              <w:rPr>
                <w:spacing w:val="-4"/>
                <w:sz w:val="20"/>
              </w:rPr>
              <w:t> </w:t>
            </w:r>
            <w:r>
              <w:rPr>
                <w:sz w:val="20"/>
              </w:rPr>
              <w:t>indicador</w:t>
            </w:r>
            <w:r>
              <w:rPr>
                <w:spacing w:val="-5"/>
                <w:sz w:val="20"/>
              </w:rPr>
              <w:t> </w:t>
            </w:r>
            <w:r>
              <w:rPr>
                <w:sz w:val="20"/>
              </w:rPr>
              <w:t>contempla</w:t>
            </w:r>
            <w:r>
              <w:rPr>
                <w:spacing w:val="-5"/>
                <w:sz w:val="20"/>
              </w:rPr>
              <w:t> </w:t>
            </w:r>
            <w:r>
              <w:rPr>
                <w:sz w:val="20"/>
              </w:rPr>
              <w:t>todas</w:t>
            </w:r>
            <w:r>
              <w:rPr>
                <w:spacing w:val="-4"/>
                <w:sz w:val="20"/>
              </w:rPr>
              <w:t> </w:t>
            </w:r>
            <w:r>
              <w:rPr>
                <w:sz w:val="20"/>
              </w:rPr>
              <w:t>las</w:t>
            </w:r>
            <w:r>
              <w:rPr>
                <w:spacing w:val="-4"/>
                <w:sz w:val="20"/>
              </w:rPr>
              <w:t> </w:t>
            </w:r>
            <w:r>
              <w:rPr>
                <w:sz w:val="20"/>
              </w:rPr>
              <w:t>etapas</w:t>
            </w:r>
            <w:r>
              <w:rPr>
                <w:spacing w:val="-3"/>
                <w:sz w:val="20"/>
              </w:rPr>
              <w:t> </w:t>
            </w:r>
            <w:r>
              <w:rPr>
                <w:sz w:val="20"/>
              </w:rPr>
              <w:t>del</w:t>
            </w:r>
            <w:r>
              <w:rPr>
                <w:spacing w:val="-4"/>
                <w:sz w:val="20"/>
              </w:rPr>
              <w:t> </w:t>
            </w:r>
            <w:r>
              <w:rPr>
                <w:sz w:val="20"/>
              </w:rPr>
              <w:t>proceso</w:t>
            </w:r>
            <w:r>
              <w:rPr>
                <w:spacing w:val="-4"/>
                <w:sz w:val="20"/>
              </w:rPr>
              <w:t> </w:t>
            </w:r>
            <w:r>
              <w:rPr>
                <w:sz w:val="20"/>
              </w:rPr>
              <w:t>de</w:t>
            </w:r>
            <w:r>
              <w:rPr>
                <w:spacing w:val="-5"/>
                <w:sz w:val="20"/>
              </w:rPr>
              <w:t> </w:t>
            </w:r>
            <w:r>
              <w:rPr>
                <w:sz w:val="20"/>
              </w:rPr>
              <w:t>contratación,</w:t>
            </w:r>
            <w:r>
              <w:rPr>
                <w:spacing w:val="-5"/>
                <w:sz w:val="20"/>
              </w:rPr>
              <w:t> </w:t>
            </w:r>
            <w:r>
              <w:rPr>
                <w:sz w:val="20"/>
              </w:rPr>
              <w:t>adquisición</w:t>
            </w:r>
            <w:r>
              <w:rPr>
                <w:spacing w:val="-4"/>
                <w:sz w:val="20"/>
              </w:rPr>
              <w:t> </w:t>
            </w:r>
            <w:r>
              <w:rPr>
                <w:sz w:val="20"/>
              </w:rPr>
              <w:t>e instalación del equipo.</w:t>
            </w:r>
          </w:p>
        </w:tc>
      </w:tr>
    </w:tbl>
    <w:p>
      <w:pPr>
        <w:pStyle w:val="BodyText"/>
        <w:rPr>
          <w:b/>
          <w:sz w:val="20"/>
        </w:rPr>
      </w:pPr>
    </w:p>
    <w:p>
      <w:pPr>
        <w:pStyle w:val="BodyText"/>
        <w:spacing w:before="18" w:after="1"/>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599" w:hRule="atLeast"/>
        </w:trPr>
        <w:tc>
          <w:tcPr>
            <w:tcW w:w="2976" w:type="dxa"/>
            <w:shd w:val="clear" w:color="auto" w:fill="DCE6F0"/>
          </w:tcPr>
          <w:p>
            <w:pPr>
              <w:pStyle w:val="TableParagraph"/>
              <w:spacing w:before="184"/>
              <w:ind w:left="67"/>
              <w:rPr>
                <w:b/>
                <w:sz w:val="20"/>
              </w:rPr>
            </w:pPr>
            <w:r>
              <w:rPr>
                <w:b/>
                <w:sz w:val="20"/>
              </w:rPr>
              <w:t>PAC</w:t>
            </w:r>
            <w:r>
              <w:rPr>
                <w:b/>
                <w:spacing w:val="-8"/>
                <w:sz w:val="20"/>
              </w:rPr>
              <w:t> </w:t>
            </w:r>
            <w:r>
              <w:rPr>
                <w:b/>
                <w:spacing w:val="-2"/>
                <w:sz w:val="20"/>
              </w:rPr>
              <w:t>2.9.3:</w:t>
            </w:r>
          </w:p>
        </w:tc>
        <w:tc>
          <w:tcPr>
            <w:tcW w:w="7513" w:type="dxa"/>
          </w:tcPr>
          <w:p>
            <w:pPr>
              <w:pStyle w:val="TableParagraph"/>
              <w:spacing w:before="69"/>
              <w:ind w:left="70" w:right="133"/>
              <w:rPr>
                <w:sz w:val="20"/>
              </w:rPr>
            </w:pPr>
            <w:r>
              <w:rPr>
                <w:sz w:val="20"/>
              </w:rPr>
              <w:t>Porcentaje</w:t>
            </w:r>
            <w:r>
              <w:rPr>
                <w:spacing w:val="-5"/>
                <w:sz w:val="20"/>
              </w:rPr>
              <w:t> </w:t>
            </w:r>
            <w:r>
              <w:rPr>
                <w:sz w:val="20"/>
              </w:rPr>
              <w:t>de</w:t>
            </w:r>
            <w:r>
              <w:rPr>
                <w:spacing w:val="-5"/>
                <w:sz w:val="20"/>
              </w:rPr>
              <w:t> </w:t>
            </w:r>
            <w:r>
              <w:rPr>
                <w:sz w:val="20"/>
              </w:rPr>
              <w:t>vehículos</w:t>
            </w:r>
            <w:r>
              <w:rPr>
                <w:spacing w:val="-4"/>
                <w:sz w:val="20"/>
              </w:rPr>
              <w:t> </w:t>
            </w:r>
            <w:r>
              <w:rPr>
                <w:sz w:val="20"/>
              </w:rPr>
              <w:t>atendidos</w:t>
            </w:r>
            <w:r>
              <w:rPr>
                <w:spacing w:val="-4"/>
                <w:sz w:val="20"/>
              </w:rPr>
              <w:t> </w:t>
            </w:r>
            <w:r>
              <w:rPr>
                <w:sz w:val="20"/>
              </w:rPr>
              <w:t>respecto</w:t>
            </w:r>
            <w:r>
              <w:rPr>
                <w:spacing w:val="-6"/>
                <w:sz w:val="20"/>
              </w:rPr>
              <w:t> </w:t>
            </w:r>
            <w:r>
              <w:rPr>
                <w:sz w:val="20"/>
              </w:rPr>
              <w:t>del</w:t>
            </w:r>
            <w:r>
              <w:rPr>
                <w:spacing w:val="-6"/>
                <w:sz w:val="20"/>
              </w:rPr>
              <w:t> </w:t>
            </w:r>
            <w:r>
              <w:rPr>
                <w:sz w:val="20"/>
              </w:rPr>
              <w:t>total</w:t>
            </w:r>
            <w:r>
              <w:rPr>
                <w:spacing w:val="-6"/>
                <w:sz w:val="20"/>
              </w:rPr>
              <w:t> </w:t>
            </w:r>
            <w:r>
              <w:rPr>
                <w:sz w:val="20"/>
              </w:rPr>
              <w:t>de</w:t>
            </w:r>
            <w:r>
              <w:rPr>
                <w:spacing w:val="-5"/>
                <w:sz w:val="20"/>
              </w:rPr>
              <w:t> </w:t>
            </w:r>
            <w:r>
              <w:rPr>
                <w:sz w:val="20"/>
              </w:rPr>
              <w:t>la</w:t>
            </w:r>
            <w:r>
              <w:rPr>
                <w:spacing w:val="-3"/>
                <w:sz w:val="20"/>
              </w:rPr>
              <w:t> </w:t>
            </w:r>
            <w:r>
              <w:rPr>
                <w:sz w:val="20"/>
              </w:rPr>
              <w:t>flotilla</w:t>
            </w:r>
            <w:r>
              <w:rPr>
                <w:spacing w:val="-5"/>
                <w:sz w:val="20"/>
              </w:rPr>
              <w:t> </w:t>
            </w:r>
            <w:r>
              <w:rPr>
                <w:sz w:val="20"/>
              </w:rPr>
              <w:t>de</w:t>
            </w:r>
            <w:r>
              <w:rPr>
                <w:spacing w:val="-3"/>
                <w:sz w:val="20"/>
              </w:rPr>
              <w:t> </w:t>
            </w:r>
            <w:r>
              <w:rPr>
                <w:sz w:val="20"/>
              </w:rPr>
              <w:t>Actividades </w:t>
            </w:r>
            <w:r>
              <w:rPr>
                <w:spacing w:val="-2"/>
                <w:sz w:val="20"/>
              </w:rPr>
              <w:t>Centrales.</w:t>
            </w:r>
          </w:p>
        </w:tc>
      </w:tr>
      <w:tr>
        <w:trPr>
          <w:trHeight w:val="599" w:hRule="atLeast"/>
        </w:trPr>
        <w:tc>
          <w:tcPr>
            <w:tcW w:w="2976" w:type="dxa"/>
            <w:shd w:val="clear" w:color="auto" w:fill="DCE6F0"/>
          </w:tcPr>
          <w:p>
            <w:pPr>
              <w:pStyle w:val="TableParagraph"/>
              <w:spacing w:before="184"/>
              <w:ind w:left="67"/>
              <w:rPr>
                <w:b/>
                <w:sz w:val="20"/>
              </w:rPr>
            </w:pPr>
            <w:r>
              <w:rPr>
                <w:b/>
                <w:sz w:val="20"/>
              </w:rPr>
              <w:t>Fórmula</w:t>
            </w:r>
            <w:r>
              <w:rPr>
                <w:b/>
                <w:spacing w:val="-6"/>
                <w:sz w:val="20"/>
              </w:rPr>
              <w:t> </w:t>
            </w:r>
            <w:r>
              <w:rPr>
                <w:b/>
                <w:sz w:val="20"/>
              </w:rPr>
              <w:t>de</w:t>
            </w:r>
            <w:r>
              <w:rPr>
                <w:b/>
                <w:spacing w:val="-5"/>
                <w:sz w:val="20"/>
              </w:rPr>
              <w:t> </w:t>
            </w:r>
            <w:r>
              <w:rPr>
                <w:b/>
                <w:spacing w:val="-2"/>
                <w:sz w:val="20"/>
              </w:rPr>
              <w:t>cálculo:</w:t>
            </w:r>
          </w:p>
        </w:tc>
        <w:tc>
          <w:tcPr>
            <w:tcW w:w="7513" w:type="dxa"/>
          </w:tcPr>
          <w:p>
            <w:pPr>
              <w:pStyle w:val="TableParagraph"/>
              <w:spacing w:before="69"/>
              <w:ind w:left="70" w:right="133"/>
              <w:rPr>
                <w:sz w:val="20"/>
              </w:rPr>
            </w:pPr>
            <w:r>
              <w:rPr>
                <w:sz w:val="20"/>
              </w:rPr>
              <w:t>(Vehículos</w:t>
            </w:r>
            <w:r>
              <w:rPr>
                <w:spacing w:val="-5"/>
                <w:sz w:val="20"/>
              </w:rPr>
              <w:t> </w:t>
            </w:r>
            <w:r>
              <w:rPr>
                <w:sz w:val="20"/>
              </w:rPr>
              <w:t>con</w:t>
            </w:r>
            <w:r>
              <w:rPr>
                <w:spacing w:val="-5"/>
                <w:sz w:val="20"/>
              </w:rPr>
              <w:t> </w:t>
            </w:r>
            <w:r>
              <w:rPr>
                <w:sz w:val="20"/>
              </w:rPr>
              <w:t>mantenimiento</w:t>
            </w:r>
            <w:r>
              <w:rPr>
                <w:spacing w:val="-7"/>
                <w:sz w:val="20"/>
              </w:rPr>
              <w:t> </w:t>
            </w:r>
            <w:r>
              <w:rPr>
                <w:sz w:val="20"/>
              </w:rPr>
              <w:t>realizado</w:t>
            </w:r>
            <w:r>
              <w:rPr>
                <w:spacing w:val="-6"/>
                <w:sz w:val="20"/>
              </w:rPr>
              <w:t> </w:t>
            </w:r>
            <w:r>
              <w:rPr>
                <w:sz w:val="20"/>
              </w:rPr>
              <w:t>÷</w:t>
            </w:r>
            <w:r>
              <w:rPr>
                <w:spacing w:val="-6"/>
                <w:sz w:val="20"/>
              </w:rPr>
              <w:t> </w:t>
            </w:r>
            <w:r>
              <w:rPr>
                <w:sz w:val="20"/>
              </w:rPr>
              <w:t>Total</w:t>
            </w:r>
            <w:r>
              <w:rPr>
                <w:spacing w:val="-7"/>
                <w:sz w:val="20"/>
              </w:rPr>
              <w:t> </w:t>
            </w:r>
            <w:r>
              <w:rPr>
                <w:sz w:val="20"/>
              </w:rPr>
              <w:t>de</w:t>
            </w:r>
            <w:r>
              <w:rPr>
                <w:spacing w:val="-4"/>
                <w:sz w:val="20"/>
              </w:rPr>
              <w:t> </w:t>
            </w:r>
            <w:r>
              <w:rPr>
                <w:sz w:val="20"/>
              </w:rPr>
              <w:t>vehículos</w:t>
            </w:r>
            <w:r>
              <w:rPr>
                <w:spacing w:val="-3"/>
                <w:sz w:val="20"/>
              </w:rPr>
              <w:t> </w:t>
            </w:r>
            <w:r>
              <w:rPr>
                <w:sz w:val="20"/>
              </w:rPr>
              <w:t>de</w:t>
            </w:r>
            <w:r>
              <w:rPr>
                <w:spacing w:val="-5"/>
                <w:sz w:val="20"/>
              </w:rPr>
              <w:t> </w:t>
            </w:r>
            <w:r>
              <w:rPr>
                <w:sz w:val="20"/>
              </w:rPr>
              <w:t>Actividades Centrales) × 100</w:t>
            </w:r>
          </w:p>
        </w:tc>
      </w:tr>
      <w:tr>
        <w:trPr>
          <w:trHeight w:val="316" w:hRule="atLeast"/>
        </w:trPr>
        <w:tc>
          <w:tcPr>
            <w:tcW w:w="2976" w:type="dxa"/>
            <w:shd w:val="clear" w:color="auto" w:fill="DCE6F0"/>
          </w:tcPr>
          <w:p>
            <w:pPr>
              <w:pStyle w:val="TableParagraph"/>
              <w:spacing w:before="42"/>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42"/>
              <w:ind w:left="70"/>
              <w:rPr>
                <w:sz w:val="20"/>
              </w:rPr>
            </w:pPr>
            <w:r>
              <w:rPr>
                <w:sz w:val="20"/>
              </w:rPr>
              <w:t>Porcentaje</w:t>
            </w:r>
            <w:r>
              <w:rPr>
                <w:spacing w:val="-12"/>
                <w:sz w:val="20"/>
              </w:rPr>
              <w:t> </w:t>
            </w:r>
            <w:r>
              <w:rPr>
                <w:spacing w:val="-5"/>
                <w:sz w:val="20"/>
              </w:rPr>
              <w:t>(%)</w:t>
            </w:r>
          </w:p>
        </w:tc>
      </w:tr>
      <w:tr>
        <w:trPr>
          <w:trHeight w:val="599" w:hRule="atLeast"/>
        </w:trPr>
        <w:tc>
          <w:tcPr>
            <w:tcW w:w="2976" w:type="dxa"/>
            <w:shd w:val="clear" w:color="auto" w:fill="DCE6F0"/>
          </w:tcPr>
          <w:p>
            <w:pPr>
              <w:pStyle w:val="TableParagraph"/>
              <w:spacing w:before="184"/>
              <w:ind w:left="67"/>
              <w:rPr>
                <w:b/>
                <w:sz w:val="20"/>
              </w:rPr>
            </w:pPr>
            <w:r>
              <w:rPr>
                <w:b/>
                <w:spacing w:val="-2"/>
                <w:sz w:val="20"/>
              </w:rPr>
              <w:t>Interpretación:</w:t>
            </w:r>
          </w:p>
        </w:tc>
        <w:tc>
          <w:tcPr>
            <w:tcW w:w="7513" w:type="dxa"/>
          </w:tcPr>
          <w:p>
            <w:pPr>
              <w:pStyle w:val="TableParagraph"/>
              <w:spacing w:before="69"/>
              <w:ind w:left="70" w:right="133"/>
              <w:rPr>
                <w:sz w:val="20"/>
              </w:rPr>
            </w:pPr>
            <w:r>
              <w:rPr>
                <w:sz w:val="20"/>
              </w:rPr>
              <w:t>Mide</w:t>
            </w:r>
            <w:r>
              <w:rPr>
                <w:spacing w:val="-7"/>
                <w:sz w:val="20"/>
              </w:rPr>
              <w:t> </w:t>
            </w:r>
            <w:r>
              <w:rPr>
                <w:sz w:val="20"/>
              </w:rPr>
              <w:t>la</w:t>
            </w:r>
            <w:r>
              <w:rPr>
                <w:spacing w:val="-7"/>
                <w:sz w:val="20"/>
              </w:rPr>
              <w:t> </w:t>
            </w:r>
            <w:r>
              <w:rPr>
                <w:sz w:val="20"/>
              </w:rPr>
              <w:t>proporción</w:t>
            </w:r>
            <w:r>
              <w:rPr>
                <w:spacing w:val="-7"/>
                <w:sz w:val="20"/>
              </w:rPr>
              <w:t> </w:t>
            </w:r>
            <w:r>
              <w:rPr>
                <w:sz w:val="20"/>
              </w:rPr>
              <w:t>de</w:t>
            </w:r>
            <w:r>
              <w:rPr>
                <w:spacing w:val="-5"/>
                <w:sz w:val="20"/>
              </w:rPr>
              <w:t> </w:t>
            </w:r>
            <w:r>
              <w:rPr>
                <w:sz w:val="20"/>
              </w:rPr>
              <w:t>vehículos</w:t>
            </w:r>
            <w:r>
              <w:rPr>
                <w:spacing w:val="-6"/>
                <w:sz w:val="20"/>
              </w:rPr>
              <w:t> </w:t>
            </w:r>
            <w:r>
              <w:rPr>
                <w:sz w:val="20"/>
              </w:rPr>
              <w:t>institucionales</w:t>
            </w:r>
            <w:r>
              <w:rPr>
                <w:spacing w:val="-6"/>
                <w:sz w:val="20"/>
              </w:rPr>
              <w:t> </w:t>
            </w:r>
            <w:r>
              <w:rPr>
                <w:sz w:val="20"/>
              </w:rPr>
              <w:t>que</w:t>
            </w:r>
            <w:r>
              <w:rPr>
                <w:spacing w:val="-5"/>
                <w:sz w:val="20"/>
              </w:rPr>
              <w:t> </w:t>
            </w:r>
            <w:r>
              <w:rPr>
                <w:sz w:val="20"/>
              </w:rPr>
              <w:t>recibieron</w:t>
            </w:r>
            <w:r>
              <w:rPr>
                <w:spacing w:val="-7"/>
                <w:sz w:val="20"/>
              </w:rPr>
              <w:t> </w:t>
            </w:r>
            <w:r>
              <w:rPr>
                <w:sz w:val="20"/>
              </w:rPr>
              <w:t>mantenimiento preventivo o correctivo durante el período evaluado.</w:t>
            </w:r>
          </w:p>
        </w:tc>
      </w:tr>
      <w:tr>
        <w:trPr>
          <w:trHeight w:val="314" w:hRule="atLeast"/>
        </w:trPr>
        <w:tc>
          <w:tcPr>
            <w:tcW w:w="2976" w:type="dxa"/>
            <w:shd w:val="clear" w:color="auto" w:fill="DCE6F0"/>
          </w:tcPr>
          <w:p>
            <w:pPr>
              <w:pStyle w:val="TableParagraph"/>
              <w:spacing w:before="40"/>
              <w:ind w:left="67"/>
              <w:rPr>
                <w:b/>
                <w:sz w:val="20"/>
              </w:rPr>
            </w:pPr>
            <w:r>
              <w:rPr>
                <w:b/>
                <w:spacing w:val="-2"/>
                <w:sz w:val="20"/>
              </w:rPr>
              <w:t>Desagregación</w:t>
            </w:r>
          </w:p>
        </w:tc>
        <w:tc>
          <w:tcPr>
            <w:tcW w:w="7513" w:type="dxa"/>
          </w:tcPr>
          <w:p>
            <w:pPr>
              <w:pStyle w:val="TableParagraph"/>
              <w:spacing w:before="40"/>
              <w:ind w:left="70"/>
              <w:rPr>
                <w:sz w:val="20"/>
              </w:rPr>
            </w:pPr>
            <w:r>
              <w:rPr>
                <w:sz w:val="20"/>
              </w:rPr>
              <w:t>Nivel</w:t>
            </w:r>
            <w:r>
              <w:rPr>
                <w:spacing w:val="-7"/>
                <w:sz w:val="20"/>
              </w:rPr>
              <w:t> </w:t>
            </w:r>
            <w:r>
              <w:rPr>
                <w:spacing w:val="-2"/>
                <w:sz w:val="20"/>
              </w:rPr>
              <w:t>Central</w:t>
            </w:r>
          </w:p>
        </w:tc>
      </w:tr>
      <w:tr>
        <w:trPr>
          <w:trHeight w:val="317" w:hRule="atLeast"/>
        </w:trPr>
        <w:tc>
          <w:tcPr>
            <w:tcW w:w="2976" w:type="dxa"/>
            <w:shd w:val="clear" w:color="auto" w:fill="DCE6F0"/>
          </w:tcPr>
          <w:p>
            <w:pPr>
              <w:pStyle w:val="TableParagraph"/>
              <w:spacing w:before="43"/>
              <w:ind w:left="67"/>
              <w:rPr>
                <w:b/>
                <w:sz w:val="20"/>
              </w:rPr>
            </w:pPr>
            <w:r>
              <w:rPr>
                <w:b/>
                <w:spacing w:val="-2"/>
                <w:sz w:val="20"/>
              </w:rPr>
              <w:t>Meta:</w:t>
            </w:r>
          </w:p>
        </w:tc>
        <w:tc>
          <w:tcPr>
            <w:tcW w:w="7513" w:type="dxa"/>
          </w:tcPr>
          <w:p>
            <w:pPr>
              <w:pStyle w:val="TableParagraph"/>
              <w:spacing w:before="43"/>
              <w:ind w:left="70"/>
              <w:rPr>
                <w:sz w:val="20"/>
              </w:rPr>
            </w:pPr>
            <w:r>
              <w:rPr>
                <w:sz w:val="20"/>
              </w:rPr>
              <w:t>100</w:t>
            </w:r>
            <w:r>
              <w:rPr>
                <w:spacing w:val="-7"/>
                <w:sz w:val="20"/>
              </w:rPr>
              <w:t> </w:t>
            </w:r>
            <w:r>
              <w:rPr>
                <w:sz w:val="20"/>
              </w:rPr>
              <w:t>%</w:t>
            </w:r>
            <w:r>
              <w:rPr>
                <w:spacing w:val="-4"/>
                <w:sz w:val="20"/>
              </w:rPr>
              <w:t> </w:t>
            </w:r>
            <w:r>
              <w:rPr>
                <w:sz w:val="20"/>
              </w:rPr>
              <w:t>de</w:t>
            </w:r>
            <w:r>
              <w:rPr>
                <w:spacing w:val="-5"/>
                <w:sz w:val="20"/>
              </w:rPr>
              <w:t> </w:t>
            </w:r>
            <w:r>
              <w:rPr>
                <w:sz w:val="20"/>
              </w:rPr>
              <w:t>la</w:t>
            </w:r>
            <w:r>
              <w:rPr>
                <w:spacing w:val="-7"/>
                <w:sz w:val="20"/>
              </w:rPr>
              <w:t> </w:t>
            </w:r>
            <w:r>
              <w:rPr>
                <w:sz w:val="20"/>
              </w:rPr>
              <w:t>flotilla</w:t>
            </w:r>
            <w:r>
              <w:rPr>
                <w:spacing w:val="-4"/>
                <w:sz w:val="20"/>
              </w:rPr>
              <w:t> </w:t>
            </w:r>
            <w:r>
              <w:rPr>
                <w:sz w:val="20"/>
              </w:rPr>
              <w:t>atendida</w:t>
            </w:r>
            <w:r>
              <w:rPr>
                <w:spacing w:val="-4"/>
                <w:sz w:val="20"/>
              </w:rPr>
              <w:t> </w:t>
            </w:r>
            <w:r>
              <w:rPr>
                <w:sz w:val="20"/>
              </w:rPr>
              <w:t>durante</w:t>
            </w:r>
            <w:r>
              <w:rPr>
                <w:spacing w:val="-6"/>
                <w:sz w:val="20"/>
              </w:rPr>
              <w:t> </w:t>
            </w:r>
            <w:r>
              <w:rPr>
                <w:sz w:val="20"/>
              </w:rPr>
              <w:t>el</w:t>
            </w:r>
            <w:r>
              <w:rPr>
                <w:spacing w:val="-8"/>
                <w:sz w:val="20"/>
              </w:rPr>
              <w:t> </w:t>
            </w:r>
            <w:r>
              <w:rPr>
                <w:sz w:val="20"/>
              </w:rPr>
              <w:t>año</w:t>
            </w:r>
            <w:r>
              <w:rPr>
                <w:spacing w:val="-5"/>
                <w:sz w:val="20"/>
              </w:rPr>
              <w:t> </w:t>
            </w:r>
            <w:r>
              <w:rPr>
                <w:spacing w:val="-4"/>
                <w:sz w:val="20"/>
              </w:rPr>
              <w:t>2027.</w:t>
            </w:r>
          </w:p>
        </w:tc>
      </w:tr>
      <w:tr>
        <w:trPr>
          <w:trHeight w:val="313" w:hRule="atLeast"/>
        </w:trPr>
        <w:tc>
          <w:tcPr>
            <w:tcW w:w="2976" w:type="dxa"/>
            <w:shd w:val="clear" w:color="auto" w:fill="DCE6F0"/>
          </w:tcPr>
          <w:p>
            <w:pPr>
              <w:pStyle w:val="TableParagraph"/>
              <w:spacing w:before="40"/>
              <w:ind w:left="67"/>
              <w:rPr>
                <w:b/>
                <w:sz w:val="20"/>
              </w:rPr>
            </w:pPr>
            <w:r>
              <w:rPr>
                <w:b/>
                <w:sz w:val="20"/>
              </w:rPr>
              <w:t>Línea</w:t>
            </w:r>
            <w:r>
              <w:rPr>
                <w:b/>
                <w:spacing w:val="-10"/>
                <w:sz w:val="20"/>
              </w:rPr>
              <w:t> </w:t>
            </w:r>
            <w:r>
              <w:rPr>
                <w:b/>
                <w:spacing w:val="-4"/>
                <w:sz w:val="20"/>
              </w:rPr>
              <w:t>Base</w:t>
            </w:r>
          </w:p>
        </w:tc>
        <w:tc>
          <w:tcPr>
            <w:tcW w:w="7513" w:type="dxa"/>
          </w:tcPr>
          <w:p>
            <w:pPr>
              <w:pStyle w:val="TableParagraph"/>
              <w:spacing w:before="40"/>
              <w:ind w:left="70"/>
              <w:rPr>
                <w:sz w:val="20"/>
              </w:rPr>
            </w:pPr>
            <w:r>
              <w:rPr>
                <w:sz w:val="20"/>
              </w:rPr>
              <w:t>100</w:t>
            </w:r>
            <w:r>
              <w:rPr>
                <w:spacing w:val="-8"/>
                <w:sz w:val="20"/>
              </w:rPr>
              <w:t> </w:t>
            </w:r>
            <w:r>
              <w:rPr>
                <w:sz w:val="20"/>
              </w:rPr>
              <w:t>%</w:t>
            </w:r>
            <w:r>
              <w:rPr>
                <w:spacing w:val="-7"/>
                <w:sz w:val="20"/>
              </w:rPr>
              <w:t> </w:t>
            </w:r>
            <w:r>
              <w:rPr>
                <w:sz w:val="20"/>
              </w:rPr>
              <w:t>de</w:t>
            </w:r>
            <w:r>
              <w:rPr>
                <w:spacing w:val="-7"/>
                <w:sz w:val="20"/>
              </w:rPr>
              <w:t> </w:t>
            </w:r>
            <w:r>
              <w:rPr>
                <w:sz w:val="20"/>
              </w:rPr>
              <w:t>los</w:t>
            </w:r>
            <w:r>
              <w:rPr>
                <w:spacing w:val="-7"/>
                <w:sz w:val="20"/>
              </w:rPr>
              <w:t> </w:t>
            </w:r>
            <w:r>
              <w:rPr>
                <w:sz w:val="20"/>
              </w:rPr>
              <w:t>vehículos</w:t>
            </w:r>
            <w:r>
              <w:rPr>
                <w:spacing w:val="-5"/>
                <w:sz w:val="20"/>
              </w:rPr>
              <w:t> </w:t>
            </w:r>
            <w:r>
              <w:rPr>
                <w:sz w:val="20"/>
              </w:rPr>
              <w:t>de</w:t>
            </w:r>
            <w:r>
              <w:rPr>
                <w:spacing w:val="-7"/>
                <w:sz w:val="20"/>
              </w:rPr>
              <w:t> </w:t>
            </w:r>
            <w:r>
              <w:rPr>
                <w:sz w:val="20"/>
              </w:rPr>
              <w:t>Actividades</w:t>
            </w:r>
            <w:r>
              <w:rPr>
                <w:spacing w:val="-7"/>
                <w:sz w:val="20"/>
              </w:rPr>
              <w:t> </w:t>
            </w:r>
            <w:r>
              <w:rPr>
                <w:sz w:val="20"/>
              </w:rPr>
              <w:t>Centrales</w:t>
            </w:r>
            <w:r>
              <w:rPr>
                <w:spacing w:val="-6"/>
                <w:sz w:val="20"/>
              </w:rPr>
              <w:t> </w:t>
            </w:r>
            <w:r>
              <w:rPr>
                <w:sz w:val="20"/>
              </w:rPr>
              <w:t>atendidos</w:t>
            </w:r>
            <w:r>
              <w:rPr>
                <w:spacing w:val="-7"/>
                <w:sz w:val="20"/>
              </w:rPr>
              <w:t> </w:t>
            </w:r>
            <w:r>
              <w:rPr>
                <w:sz w:val="20"/>
              </w:rPr>
              <w:t>durante</w:t>
            </w:r>
            <w:r>
              <w:rPr>
                <w:spacing w:val="-7"/>
                <w:sz w:val="20"/>
              </w:rPr>
              <w:t> </w:t>
            </w:r>
            <w:r>
              <w:rPr>
                <w:sz w:val="20"/>
              </w:rPr>
              <w:t>el</w:t>
            </w:r>
            <w:r>
              <w:rPr>
                <w:spacing w:val="-7"/>
                <w:sz w:val="20"/>
              </w:rPr>
              <w:t> </w:t>
            </w:r>
            <w:r>
              <w:rPr>
                <w:sz w:val="20"/>
              </w:rPr>
              <w:t>año</w:t>
            </w:r>
            <w:r>
              <w:rPr>
                <w:spacing w:val="-6"/>
                <w:sz w:val="20"/>
              </w:rPr>
              <w:t> </w:t>
            </w:r>
            <w:r>
              <w:rPr>
                <w:spacing w:val="-2"/>
                <w:sz w:val="20"/>
              </w:rPr>
              <w:t>2025.</w:t>
            </w:r>
          </w:p>
        </w:tc>
      </w:tr>
      <w:tr>
        <w:trPr>
          <w:trHeight w:val="630" w:hRule="atLeast"/>
        </w:trPr>
        <w:tc>
          <w:tcPr>
            <w:tcW w:w="2976" w:type="dxa"/>
            <w:shd w:val="clear" w:color="auto" w:fill="DCE6F0"/>
          </w:tcPr>
          <w:p>
            <w:pPr>
              <w:pStyle w:val="TableParagraph"/>
              <w:spacing w:before="8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198"/>
              <w:ind w:left="70"/>
              <w:rPr>
                <w:sz w:val="20"/>
              </w:rPr>
            </w:pPr>
            <w:r>
              <w:rPr>
                <w:sz w:val="20"/>
              </w:rPr>
              <w:t>Trimestral</w:t>
            </w:r>
            <w:r>
              <w:rPr>
                <w:spacing w:val="-13"/>
                <w:sz w:val="20"/>
              </w:rPr>
              <w:t> </w:t>
            </w:r>
            <w:r>
              <w:rPr>
                <w:spacing w:val="-2"/>
                <w:sz w:val="20"/>
              </w:rPr>
              <w:t>acumulado.</w:t>
            </w:r>
          </w:p>
        </w:tc>
      </w:tr>
      <w:tr>
        <w:trPr>
          <w:trHeight w:val="1259" w:hRule="atLeast"/>
        </w:trPr>
        <w:tc>
          <w:tcPr>
            <w:tcW w:w="2976" w:type="dxa"/>
            <w:shd w:val="clear" w:color="auto" w:fill="DCE6F0"/>
          </w:tcPr>
          <w:p>
            <w:pPr>
              <w:pStyle w:val="TableParagraph"/>
              <w:spacing w:before="167"/>
              <w:rPr>
                <w:b/>
                <w:sz w:val="20"/>
              </w:rPr>
            </w:pPr>
          </w:p>
          <w:p>
            <w:pPr>
              <w:pStyle w:val="TableParagraph"/>
              <w:spacing w:before="1"/>
              <w:ind w:left="67" w:right="514"/>
              <w:rPr>
                <w:b/>
                <w:sz w:val="20"/>
              </w:rPr>
            </w:pPr>
            <w:r>
              <w:rPr>
                <w:b/>
                <w:sz w:val="20"/>
              </w:rPr>
              <w:t>Responsable de la recopilación</w:t>
            </w:r>
            <w:r>
              <w:rPr>
                <w:b/>
                <w:spacing w:val="-14"/>
                <w:sz w:val="20"/>
              </w:rPr>
              <w:t> </w:t>
            </w:r>
            <w:r>
              <w:rPr>
                <w:b/>
                <w:sz w:val="20"/>
              </w:rPr>
              <w:t>información</w:t>
            </w:r>
          </w:p>
        </w:tc>
        <w:tc>
          <w:tcPr>
            <w:tcW w:w="7513" w:type="dxa"/>
          </w:tcPr>
          <w:p>
            <w:pPr>
              <w:pStyle w:val="TableParagraph"/>
              <w:spacing w:before="167"/>
              <w:ind w:left="70" w:right="3072"/>
              <w:rPr>
                <w:sz w:val="20"/>
              </w:rPr>
            </w:pPr>
            <w:r>
              <w:rPr>
                <w:sz w:val="20"/>
              </w:rPr>
              <w:t>Nombre</w:t>
            </w:r>
            <w:r>
              <w:rPr>
                <w:spacing w:val="-7"/>
                <w:sz w:val="20"/>
              </w:rPr>
              <w:t> </w:t>
            </w:r>
            <w:r>
              <w:rPr>
                <w:sz w:val="20"/>
              </w:rPr>
              <w:t>del</w:t>
            </w:r>
            <w:r>
              <w:rPr>
                <w:spacing w:val="-10"/>
                <w:sz w:val="20"/>
              </w:rPr>
              <w:t> </w:t>
            </w:r>
            <w:r>
              <w:rPr>
                <w:sz w:val="20"/>
              </w:rPr>
              <w:t>funcionario:</w:t>
            </w:r>
            <w:r>
              <w:rPr>
                <w:spacing w:val="-9"/>
                <w:sz w:val="20"/>
              </w:rPr>
              <w:t> </w:t>
            </w:r>
            <w:r>
              <w:rPr>
                <w:sz w:val="20"/>
              </w:rPr>
              <w:t>Nelson</w:t>
            </w:r>
            <w:r>
              <w:rPr>
                <w:spacing w:val="-10"/>
                <w:sz w:val="20"/>
              </w:rPr>
              <w:t> </w:t>
            </w:r>
            <w:r>
              <w:rPr>
                <w:sz w:val="20"/>
              </w:rPr>
              <w:t>Uba</w:t>
            </w:r>
            <w:r>
              <w:rPr>
                <w:spacing w:val="-10"/>
                <w:sz w:val="20"/>
              </w:rPr>
              <w:t> </w:t>
            </w:r>
            <w:r>
              <w:rPr>
                <w:sz w:val="20"/>
              </w:rPr>
              <w:t>Fernández Cargo: Técnico en Transportes</w:t>
            </w:r>
          </w:p>
          <w:p>
            <w:pPr>
              <w:pStyle w:val="TableParagraph"/>
              <w:spacing w:before="1"/>
              <w:ind w:left="70" w:right="3460"/>
              <w:rPr>
                <w:sz w:val="20"/>
              </w:rPr>
            </w:pPr>
            <w:r>
              <w:rPr>
                <w:sz w:val="20"/>
              </w:rPr>
              <w:t>Nombre</w:t>
            </w:r>
            <w:r>
              <w:rPr>
                <w:spacing w:val="-10"/>
                <w:sz w:val="20"/>
              </w:rPr>
              <w:t> </w:t>
            </w:r>
            <w:r>
              <w:rPr>
                <w:sz w:val="20"/>
              </w:rPr>
              <w:t>del</w:t>
            </w:r>
            <w:r>
              <w:rPr>
                <w:spacing w:val="-12"/>
                <w:sz w:val="20"/>
              </w:rPr>
              <w:t> </w:t>
            </w:r>
            <w:r>
              <w:rPr>
                <w:sz w:val="20"/>
              </w:rPr>
              <w:t>funcionario:</w:t>
            </w:r>
            <w:r>
              <w:rPr>
                <w:spacing w:val="-10"/>
                <w:sz w:val="20"/>
              </w:rPr>
              <w:t> </w:t>
            </w:r>
            <w:r>
              <w:rPr>
                <w:sz w:val="20"/>
              </w:rPr>
              <w:t>Pedro</w:t>
            </w:r>
            <w:r>
              <w:rPr>
                <w:spacing w:val="-11"/>
                <w:sz w:val="20"/>
              </w:rPr>
              <w:t> </w:t>
            </w:r>
            <w:r>
              <w:rPr>
                <w:sz w:val="20"/>
              </w:rPr>
              <w:t>Llubere Cargo: Encargado de Transportes</w:t>
            </w:r>
          </w:p>
        </w:tc>
      </w:tr>
      <w:tr>
        <w:trPr>
          <w:trHeight w:val="611" w:hRule="atLeast"/>
        </w:trPr>
        <w:tc>
          <w:tcPr>
            <w:tcW w:w="2976" w:type="dxa"/>
            <w:shd w:val="clear" w:color="auto" w:fill="DCE6F0"/>
          </w:tcPr>
          <w:p>
            <w:pPr>
              <w:pStyle w:val="TableParagraph"/>
              <w:spacing w:before="76"/>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3" w:type="dxa"/>
          </w:tcPr>
          <w:p>
            <w:pPr>
              <w:pStyle w:val="TableParagraph"/>
              <w:spacing w:before="191"/>
              <w:ind w:left="70"/>
              <w:rPr>
                <w:sz w:val="20"/>
              </w:rPr>
            </w:pPr>
            <w:r>
              <w:rPr>
                <w:sz w:val="20"/>
              </w:rPr>
              <w:t>Proceso</w:t>
            </w:r>
            <w:r>
              <w:rPr>
                <w:spacing w:val="-6"/>
                <w:sz w:val="20"/>
              </w:rPr>
              <w:t> </w:t>
            </w:r>
            <w:r>
              <w:rPr>
                <w:sz w:val="20"/>
              </w:rPr>
              <w:t>de</w:t>
            </w:r>
            <w:r>
              <w:rPr>
                <w:spacing w:val="-6"/>
                <w:sz w:val="20"/>
              </w:rPr>
              <w:t> </w:t>
            </w:r>
            <w:r>
              <w:rPr>
                <w:spacing w:val="-2"/>
                <w:sz w:val="20"/>
              </w:rPr>
              <w:t>Transportes</w:t>
            </w:r>
          </w:p>
        </w:tc>
      </w:tr>
      <w:tr>
        <w:trPr>
          <w:trHeight w:val="316" w:hRule="atLeast"/>
        </w:trPr>
        <w:tc>
          <w:tcPr>
            <w:tcW w:w="2976" w:type="dxa"/>
            <w:shd w:val="clear" w:color="auto" w:fill="DCE6F0"/>
          </w:tcPr>
          <w:p>
            <w:pPr>
              <w:pStyle w:val="TableParagraph"/>
              <w:spacing w:before="42"/>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3" w:type="dxa"/>
          </w:tcPr>
          <w:p>
            <w:pPr>
              <w:pStyle w:val="TableParagraph"/>
              <w:spacing w:before="42"/>
              <w:ind w:left="70"/>
              <w:rPr>
                <w:sz w:val="20"/>
              </w:rPr>
            </w:pPr>
            <w:r>
              <w:rPr>
                <w:sz w:val="20"/>
              </w:rPr>
              <w:t>Sistema</w:t>
            </w:r>
            <w:r>
              <w:rPr>
                <w:spacing w:val="-7"/>
                <w:sz w:val="20"/>
              </w:rPr>
              <w:t> </w:t>
            </w:r>
            <w:r>
              <w:rPr>
                <w:sz w:val="20"/>
              </w:rPr>
              <w:t>SITRA,</w:t>
            </w:r>
            <w:r>
              <w:rPr>
                <w:spacing w:val="-8"/>
                <w:sz w:val="20"/>
              </w:rPr>
              <w:t> </w:t>
            </w:r>
            <w:r>
              <w:rPr>
                <w:sz w:val="20"/>
              </w:rPr>
              <w:t>Módulos</w:t>
            </w:r>
            <w:r>
              <w:rPr>
                <w:spacing w:val="-7"/>
                <w:sz w:val="20"/>
              </w:rPr>
              <w:t> </w:t>
            </w:r>
            <w:r>
              <w:rPr>
                <w:sz w:val="20"/>
              </w:rPr>
              <w:t>de</w:t>
            </w:r>
            <w:r>
              <w:rPr>
                <w:spacing w:val="-9"/>
                <w:sz w:val="20"/>
              </w:rPr>
              <w:t> </w:t>
            </w:r>
            <w:r>
              <w:rPr>
                <w:sz w:val="20"/>
              </w:rPr>
              <w:t>mantenimiento</w:t>
            </w:r>
            <w:r>
              <w:rPr>
                <w:spacing w:val="-9"/>
                <w:sz w:val="20"/>
              </w:rPr>
              <w:t> </w:t>
            </w:r>
            <w:r>
              <w:rPr>
                <w:sz w:val="20"/>
              </w:rPr>
              <w:t>y</w:t>
            </w:r>
            <w:r>
              <w:rPr>
                <w:spacing w:val="-7"/>
                <w:sz w:val="20"/>
              </w:rPr>
              <w:t> </w:t>
            </w:r>
            <w:r>
              <w:rPr>
                <w:sz w:val="20"/>
              </w:rPr>
              <w:t>Reportes</w:t>
            </w:r>
            <w:r>
              <w:rPr>
                <w:spacing w:val="-7"/>
                <w:sz w:val="20"/>
              </w:rPr>
              <w:t> </w:t>
            </w:r>
            <w:r>
              <w:rPr>
                <w:sz w:val="20"/>
              </w:rPr>
              <w:t>de</w:t>
            </w:r>
            <w:r>
              <w:rPr>
                <w:spacing w:val="-9"/>
                <w:sz w:val="20"/>
              </w:rPr>
              <w:t> </w:t>
            </w:r>
            <w:r>
              <w:rPr>
                <w:sz w:val="20"/>
              </w:rPr>
              <w:t>daños,</w:t>
            </w:r>
            <w:r>
              <w:rPr>
                <w:spacing w:val="-8"/>
                <w:sz w:val="20"/>
              </w:rPr>
              <w:t> </w:t>
            </w:r>
            <w:r>
              <w:rPr>
                <w:spacing w:val="-2"/>
                <w:sz w:val="20"/>
              </w:rPr>
              <w:t>Cotizaciones</w:t>
            </w:r>
          </w:p>
        </w:tc>
      </w:tr>
      <w:tr>
        <w:trPr>
          <w:trHeight w:val="441" w:hRule="atLeast"/>
        </w:trPr>
        <w:tc>
          <w:tcPr>
            <w:tcW w:w="2976" w:type="dxa"/>
            <w:shd w:val="clear" w:color="auto" w:fill="DCE6F0"/>
          </w:tcPr>
          <w:p>
            <w:pPr>
              <w:pStyle w:val="TableParagraph"/>
              <w:spacing w:before="105"/>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105"/>
              <w:ind w:left="70"/>
              <w:rPr>
                <w:sz w:val="20"/>
              </w:rPr>
            </w:pPr>
            <w:r>
              <w:rPr>
                <w:sz w:val="20"/>
              </w:rPr>
              <w:t>Solicitudes</w:t>
            </w:r>
            <w:r>
              <w:rPr>
                <w:spacing w:val="-5"/>
                <w:sz w:val="20"/>
              </w:rPr>
              <w:t> </w:t>
            </w:r>
            <w:r>
              <w:rPr>
                <w:sz w:val="20"/>
              </w:rPr>
              <w:t>de</w:t>
            </w:r>
            <w:r>
              <w:rPr>
                <w:spacing w:val="-9"/>
                <w:sz w:val="20"/>
              </w:rPr>
              <w:t> </w:t>
            </w:r>
            <w:r>
              <w:rPr>
                <w:sz w:val="20"/>
              </w:rPr>
              <w:t>pedidos</w:t>
            </w:r>
            <w:r>
              <w:rPr>
                <w:spacing w:val="-6"/>
                <w:sz w:val="20"/>
              </w:rPr>
              <w:t> </w:t>
            </w:r>
            <w:r>
              <w:rPr>
                <w:sz w:val="20"/>
              </w:rPr>
              <w:t>en</w:t>
            </w:r>
            <w:r>
              <w:rPr>
                <w:spacing w:val="-4"/>
                <w:sz w:val="20"/>
              </w:rPr>
              <w:t> </w:t>
            </w:r>
            <w:r>
              <w:rPr>
                <w:sz w:val="20"/>
              </w:rPr>
              <w:t>SICOP,</w:t>
            </w:r>
            <w:r>
              <w:rPr>
                <w:spacing w:val="-5"/>
                <w:sz w:val="20"/>
              </w:rPr>
              <w:t> </w:t>
            </w:r>
            <w:r>
              <w:rPr>
                <w:sz w:val="20"/>
              </w:rPr>
              <w:t>Facturas,</w:t>
            </w:r>
            <w:r>
              <w:rPr>
                <w:spacing w:val="-7"/>
                <w:sz w:val="20"/>
              </w:rPr>
              <w:t> </w:t>
            </w:r>
            <w:r>
              <w:rPr>
                <w:sz w:val="20"/>
              </w:rPr>
              <w:t>Contratos</w:t>
            </w:r>
            <w:r>
              <w:rPr>
                <w:spacing w:val="-6"/>
                <w:sz w:val="20"/>
              </w:rPr>
              <w:t> </w:t>
            </w:r>
            <w:r>
              <w:rPr>
                <w:sz w:val="20"/>
              </w:rPr>
              <w:t>y</w:t>
            </w:r>
            <w:r>
              <w:rPr>
                <w:spacing w:val="-6"/>
                <w:sz w:val="20"/>
              </w:rPr>
              <w:t> </w:t>
            </w:r>
            <w:r>
              <w:rPr>
                <w:sz w:val="20"/>
              </w:rPr>
              <w:t>registros</w:t>
            </w:r>
            <w:r>
              <w:rPr>
                <w:spacing w:val="-6"/>
                <w:sz w:val="20"/>
              </w:rPr>
              <w:t> </w:t>
            </w:r>
            <w:r>
              <w:rPr>
                <w:sz w:val="20"/>
              </w:rPr>
              <w:t>del</w:t>
            </w:r>
            <w:r>
              <w:rPr>
                <w:spacing w:val="-9"/>
                <w:sz w:val="20"/>
              </w:rPr>
              <w:t> </w:t>
            </w:r>
            <w:r>
              <w:rPr>
                <w:spacing w:val="-2"/>
                <w:sz w:val="20"/>
              </w:rPr>
              <w:t>sistema.</w:t>
            </w:r>
          </w:p>
        </w:tc>
      </w:tr>
      <w:tr>
        <w:trPr>
          <w:trHeight w:val="630" w:hRule="atLeast"/>
        </w:trPr>
        <w:tc>
          <w:tcPr>
            <w:tcW w:w="2976" w:type="dxa"/>
            <w:shd w:val="clear" w:color="auto" w:fill="DCE6F0"/>
          </w:tcPr>
          <w:p>
            <w:pPr>
              <w:pStyle w:val="TableParagraph"/>
              <w:spacing w:before="198"/>
              <w:ind w:left="67"/>
              <w:rPr>
                <w:b/>
                <w:sz w:val="20"/>
              </w:rPr>
            </w:pPr>
            <w:r>
              <w:rPr>
                <w:b/>
                <w:spacing w:val="-2"/>
                <w:sz w:val="20"/>
              </w:rPr>
              <w:t>Clasificación</w:t>
            </w:r>
          </w:p>
        </w:tc>
        <w:tc>
          <w:tcPr>
            <w:tcW w:w="7513" w:type="dxa"/>
          </w:tcPr>
          <w:p>
            <w:pPr>
              <w:pStyle w:val="TableParagraph"/>
              <w:spacing w:before="198"/>
              <w:ind w:left="70"/>
              <w:rPr>
                <w:sz w:val="20"/>
              </w:rPr>
            </w:pPr>
            <w:r>
              <w:rPr>
                <w:sz w:val="20"/>
              </w:rPr>
              <w:t>Impacto</w:t>
            </w:r>
            <w:r>
              <w:rPr>
                <w:spacing w:val="-4"/>
                <w:sz w:val="20"/>
              </w:rPr>
              <w:t> </w:t>
            </w:r>
            <w:r>
              <w:rPr>
                <w:sz w:val="20"/>
              </w:rPr>
              <w:t>()</w:t>
            </w:r>
            <w:r>
              <w:rPr>
                <w:spacing w:val="-4"/>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599" w:hRule="atLeast"/>
        </w:trPr>
        <w:tc>
          <w:tcPr>
            <w:tcW w:w="2976" w:type="dxa"/>
            <w:shd w:val="clear" w:color="auto" w:fill="DCE6F0"/>
          </w:tcPr>
          <w:p>
            <w:pPr>
              <w:pStyle w:val="TableParagraph"/>
              <w:spacing w:before="184"/>
              <w:ind w:left="67"/>
              <w:rPr>
                <w:b/>
                <w:sz w:val="20"/>
              </w:rPr>
            </w:pPr>
            <w:r>
              <w:rPr>
                <w:b/>
                <w:spacing w:val="-2"/>
                <w:sz w:val="20"/>
              </w:rPr>
              <w:t>Comentarios</w:t>
            </w:r>
            <w:r>
              <w:rPr>
                <w:b/>
                <w:spacing w:val="6"/>
                <w:sz w:val="20"/>
              </w:rPr>
              <w:t> </w:t>
            </w:r>
            <w:r>
              <w:rPr>
                <w:b/>
                <w:spacing w:val="-2"/>
                <w:sz w:val="20"/>
              </w:rPr>
              <w:t>Generales</w:t>
            </w:r>
          </w:p>
        </w:tc>
        <w:tc>
          <w:tcPr>
            <w:tcW w:w="7513" w:type="dxa"/>
          </w:tcPr>
          <w:p>
            <w:pPr>
              <w:pStyle w:val="TableParagraph"/>
              <w:spacing w:before="69"/>
              <w:ind w:left="70" w:right="133"/>
              <w:rPr>
                <w:sz w:val="20"/>
              </w:rPr>
            </w:pPr>
            <w:r>
              <w:rPr>
                <w:sz w:val="20"/>
              </w:rPr>
              <w:t>Incluye</w:t>
            </w:r>
            <w:r>
              <w:rPr>
                <w:spacing w:val="-5"/>
                <w:sz w:val="20"/>
              </w:rPr>
              <w:t> </w:t>
            </w:r>
            <w:r>
              <w:rPr>
                <w:sz w:val="20"/>
              </w:rPr>
              <w:t>tanto</w:t>
            </w:r>
            <w:r>
              <w:rPr>
                <w:spacing w:val="-5"/>
                <w:sz w:val="20"/>
              </w:rPr>
              <w:t> </w:t>
            </w:r>
            <w:r>
              <w:rPr>
                <w:sz w:val="20"/>
              </w:rPr>
              <w:t>el</w:t>
            </w:r>
            <w:r>
              <w:rPr>
                <w:spacing w:val="-6"/>
                <w:sz w:val="20"/>
              </w:rPr>
              <w:t> </w:t>
            </w:r>
            <w:r>
              <w:rPr>
                <w:sz w:val="20"/>
              </w:rPr>
              <w:t>mantenimiento</w:t>
            </w:r>
            <w:r>
              <w:rPr>
                <w:spacing w:val="-6"/>
                <w:sz w:val="20"/>
              </w:rPr>
              <w:t> </w:t>
            </w:r>
            <w:r>
              <w:rPr>
                <w:sz w:val="20"/>
              </w:rPr>
              <w:t>preventivo</w:t>
            </w:r>
            <w:r>
              <w:rPr>
                <w:spacing w:val="-5"/>
                <w:sz w:val="20"/>
              </w:rPr>
              <w:t> </w:t>
            </w:r>
            <w:r>
              <w:rPr>
                <w:sz w:val="20"/>
              </w:rPr>
              <w:t>como</w:t>
            </w:r>
            <w:r>
              <w:rPr>
                <w:spacing w:val="-3"/>
                <w:sz w:val="20"/>
              </w:rPr>
              <w:t> </w:t>
            </w:r>
            <w:r>
              <w:rPr>
                <w:sz w:val="20"/>
              </w:rPr>
              <w:t>las</w:t>
            </w:r>
            <w:r>
              <w:rPr>
                <w:spacing w:val="-4"/>
                <w:sz w:val="20"/>
              </w:rPr>
              <w:t> </w:t>
            </w:r>
            <w:r>
              <w:rPr>
                <w:sz w:val="20"/>
              </w:rPr>
              <w:t>reparaciones</w:t>
            </w:r>
            <w:r>
              <w:rPr>
                <w:spacing w:val="-4"/>
                <w:sz w:val="20"/>
              </w:rPr>
              <w:t> </w:t>
            </w:r>
            <w:r>
              <w:rPr>
                <w:sz w:val="20"/>
              </w:rPr>
              <w:t>correctivas</w:t>
            </w:r>
            <w:r>
              <w:rPr>
                <w:spacing w:val="-4"/>
                <w:sz w:val="20"/>
              </w:rPr>
              <w:t> </w:t>
            </w:r>
            <w:r>
              <w:rPr>
                <w:sz w:val="20"/>
              </w:rPr>
              <w:t>de</w:t>
            </w:r>
            <w:r>
              <w:rPr>
                <w:spacing w:val="-5"/>
                <w:sz w:val="20"/>
              </w:rPr>
              <w:t> </w:t>
            </w:r>
            <w:r>
              <w:rPr>
                <w:sz w:val="20"/>
              </w:rPr>
              <w:t>la flotilla institucional.</w:t>
            </w:r>
          </w:p>
        </w:tc>
      </w:tr>
    </w:tbl>
    <w:p>
      <w:pPr>
        <w:pStyle w:val="BodyText"/>
        <w:rPr>
          <w:b/>
          <w:sz w:val="20"/>
        </w:rPr>
      </w:pPr>
    </w:p>
    <w:p>
      <w:pPr>
        <w:pStyle w:val="BodyText"/>
        <w:spacing w:before="8"/>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313" w:hRule="atLeast"/>
        </w:trPr>
        <w:tc>
          <w:tcPr>
            <w:tcW w:w="2976" w:type="dxa"/>
            <w:shd w:val="clear" w:color="auto" w:fill="DBE4F0"/>
          </w:tcPr>
          <w:p>
            <w:pPr>
              <w:pStyle w:val="TableParagraph"/>
              <w:spacing w:before="42"/>
              <w:ind w:left="67"/>
              <w:rPr>
                <w:b/>
                <w:sz w:val="20"/>
              </w:rPr>
            </w:pPr>
            <w:r>
              <w:rPr>
                <w:b/>
                <w:sz w:val="20"/>
              </w:rPr>
              <w:t>PAC</w:t>
            </w:r>
            <w:r>
              <w:rPr>
                <w:b/>
                <w:spacing w:val="-8"/>
                <w:sz w:val="20"/>
              </w:rPr>
              <w:t> </w:t>
            </w:r>
            <w:r>
              <w:rPr>
                <w:b/>
                <w:spacing w:val="-2"/>
                <w:sz w:val="20"/>
              </w:rPr>
              <w:t>2.9.4:</w:t>
            </w:r>
          </w:p>
        </w:tc>
        <w:tc>
          <w:tcPr>
            <w:tcW w:w="7513" w:type="dxa"/>
          </w:tcPr>
          <w:p>
            <w:pPr>
              <w:pStyle w:val="TableParagraph"/>
              <w:spacing w:before="42"/>
              <w:ind w:left="70"/>
              <w:rPr>
                <w:sz w:val="20"/>
              </w:rPr>
            </w:pPr>
            <w:r>
              <w:rPr>
                <w:sz w:val="20"/>
              </w:rPr>
              <w:t>Nombre</w:t>
            </w:r>
            <w:r>
              <w:rPr>
                <w:spacing w:val="-8"/>
                <w:sz w:val="20"/>
              </w:rPr>
              <w:t> </w:t>
            </w:r>
            <w:r>
              <w:rPr>
                <w:sz w:val="20"/>
              </w:rPr>
              <w:t>del</w:t>
            </w:r>
            <w:r>
              <w:rPr>
                <w:spacing w:val="-10"/>
                <w:sz w:val="20"/>
              </w:rPr>
              <w:t> </w:t>
            </w:r>
            <w:r>
              <w:rPr>
                <w:sz w:val="20"/>
              </w:rPr>
              <w:t>Indicador:</w:t>
            </w:r>
            <w:r>
              <w:rPr>
                <w:spacing w:val="-9"/>
                <w:sz w:val="20"/>
              </w:rPr>
              <w:t> </w:t>
            </w:r>
            <w:r>
              <w:rPr>
                <w:sz w:val="20"/>
              </w:rPr>
              <w:t>Cantidad</w:t>
            </w:r>
            <w:r>
              <w:rPr>
                <w:spacing w:val="-9"/>
                <w:sz w:val="20"/>
              </w:rPr>
              <w:t> </w:t>
            </w:r>
            <w:r>
              <w:rPr>
                <w:sz w:val="20"/>
              </w:rPr>
              <w:t>de</w:t>
            </w:r>
            <w:r>
              <w:rPr>
                <w:spacing w:val="-7"/>
                <w:sz w:val="20"/>
              </w:rPr>
              <w:t> </w:t>
            </w:r>
            <w:r>
              <w:rPr>
                <w:sz w:val="20"/>
              </w:rPr>
              <w:t>vehículos</w:t>
            </w:r>
            <w:r>
              <w:rPr>
                <w:spacing w:val="-9"/>
                <w:sz w:val="20"/>
              </w:rPr>
              <w:t> </w:t>
            </w:r>
            <w:r>
              <w:rPr>
                <w:spacing w:val="-2"/>
                <w:sz w:val="20"/>
              </w:rPr>
              <w:t>adquiridos.</w:t>
            </w:r>
          </w:p>
        </w:tc>
      </w:tr>
      <w:tr>
        <w:trPr>
          <w:trHeight w:val="316" w:hRule="atLeast"/>
        </w:trPr>
        <w:tc>
          <w:tcPr>
            <w:tcW w:w="2976" w:type="dxa"/>
            <w:shd w:val="clear" w:color="auto" w:fill="DBE4F0"/>
          </w:tcPr>
          <w:p>
            <w:pPr>
              <w:pStyle w:val="TableParagraph"/>
              <w:spacing w:before="42"/>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3" w:type="dxa"/>
          </w:tcPr>
          <w:p>
            <w:pPr>
              <w:pStyle w:val="TableParagraph"/>
              <w:spacing w:before="42"/>
              <w:ind w:left="70"/>
              <w:rPr>
                <w:sz w:val="20"/>
              </w:rPr>
            </w:pPr>
            <w:r>
              <w:rPr>
                <w:sz w:val="20"/>
              </w:rPr>
              <w:t>Sumatoria</w:t>
            </w:r>
            <w:r>
              <w:rPr>
                <w:spacing w:val="-8"/>
                <w:sz w:val="20"/>
              </w:rPr>
              <w:t> </w:t>
            </w:r>
            <w:r>
              <w:rPr>
                <w:sz w:val="20"/>
              </w:rPr>
              <w:t>total</w:t>
            </w:r>
            <w:r>
              <w:rPr>
                <w:spacing w:val="-8"/>
                <w:sz w:val="20"/>
              </w:rPr>
              <w:t> </w:t>
            </w:r>
            <w:r>
              <w:rPr>
                <w:sz w:val="20"/>
              </w:rPr>
              <w:t>de</w:t>
            </w:r>
            <w:r>
              <w:rPr>
                <w:spacing w:val="-5"/>
                <w:sz w:val="20"/>
              </w:rPr>
              <w:t> </w:t>
            </w:r>
            <w:r>
              <w:rPr>
                <w:sz w:val="20"/>
              </w:rPr>
              <w:t>los</w:t>
            </w:r>
            <w:r>
              <w:rPr>
                <w:spacing w:val="-6"/>
                <w:sz w:val="20"/>
              </w:rPr>
              <w:t> </w:t>
            </w:r>
            <w:r>
              <w:rPr>
                <w:sz w:val="20"/>
              </w:rPr>
              <w:t>vehículos</w:t>
            </w:r>
            <w:r>
              <w:rPr>
                <w:spacing w:val="-7"/>
                <w:sz w:val="20"/>
              </w:rPr>
              <w:t> </w:t>
            </w:r>
            <w:r>
              <w:rPr>
                <w:spacing w:val="-2"/>
                <w:sz w:val="20"/>
              </w:rPr>
              <w:t>adquiridos</w:t>
            </w:r>
          </w:p>
        </w:tc>
      </w:tr>
      <w:tr>
        <w:trPr>
          <w:trHeight w:val="313" w:hRule="atLeast"/>
        </w:trPr>
        <w:tc>
          <w:tcPr>
            <w:tcW w:w="2976" w:type="dxa"/>
            <w:shd w:val="clear" w:color="auto" w:fill="DBE4F0"/>
          </w:tcPr>
          <w:p>
            <w:pPr>
              <w:pStyle w:val="TableParagraph"/>
              <w:spacing w:before="40"/>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40"/>
              <w:ind w:left="70"/>
              <w:rPr>
                <w:sz w:val="20"/>
              </w:rPr>
            </w:pPr>
            <w:r>
              <w:rPr>
                <w:sz w:val="20"/>
              </w:rPr>
              <w:t>Cantidad</w:t>
            </w:r>
            <w:r>
              <w:rPr>
                <w:spacing w:val="-9"/>
                <w:sz w:val="20"/>
              </w:rPr>
              <w:t> </w:t>
            </w:r>
            <w:r>
              <w:rPr>
                <w:sz w:val="20"/>
              </w:rPr>
              <w:t>de</w:t>
            </w:r>
            <w:r>
              <w:rPr>
                <w:spacing w:val="-7"/>
                <w:sz w:val="20"/>
              </w:rPr>
              <w:t> </w:t>
            </w:r>
            <w:r>
              <w:rPr>
                <w:sz w:val="20"/>
              </w:rPr>
              <w:t>vehículos</w:t>
            </w:r>
            <w:r>
              <w:rPr>
                <w:spacing w:val="-8"/>
                <w:sz w:val="20"/>
              </w:rPr>
              <w:t> </w:t>
            </w:r>
            <w:r>
              <w:rPr>
                <w:spacing w:val="-2"/>
                <w:sz w:val="20"/>
              </w:rPr>
              <w:t>adquiridos.</w:t>
            </w:r>
          </w:p>
        </w:tc>
      </w:tr>
      <w:tr>
        <w:trPr>
          <w:trHeight w:val="600" w:hRule="atLeast"/>
        </w:trPr>
        <w:tc>
          <w:tcPr>
            <w:tcW w:w="2976" w:type="dxa"/>
            <w:shd w:val="clear" w:color="auto" w:fill="DBE4F0"/>
          </w:tcPr>
          <w:p>
            <w:pPr>
              <w:pStyle w:val="TableParagraph"/>
              <w:spacing w:before="185"/>
              <w:ind w:left="67"/>
              <w:rPr>
                <w:b/>
                <w:sz w:val="20"/>
              </w:rPr>
            </w:pPr>
            <w:r>
              <w:rPr>
                <w:b/>
                <w:spacing w:val="-2"/>
                <w:sz w:val="20"/>
              </w:rPr>
              <w:t>Interpretación:</w:t>
            </w:r>
          </w:p>
        </w:tc>
        <w:tc>
          <w:tcPr>
            <w:tcW w:w="7513" w:type="dxa"/>
          </w:tcPr>
          <w:p>
            <w:pPr>
              <w:pStyle w:val="TableParagraph"/>
              <w:spacing w:before="69"/>
              <w:ind w:left="70" w:right="133"/>
              <w:rPr>
                <w:sz w:val="20"/>
              </w:rPr>
            </w:pPr>
            <w:r>
              <w:rPr>
                <w:sz w:val="20"/>
              </w:rPr>
              <w:t>Mide</w:t>
            </w:r>
            <w:r>
              <w:rPr>
                <w:spacing w:val="-5"/>
                <w:sz w:val="20"/>
              </w:rPr>
              <w:t> </w:t>
            </w:r>
            <w:r>
              <w:rPr>
                <w:sz w:val="20"/>
              </w:rPr>
              <w:t>la</w:t>
            </w:r>
            <w:r>
              <w:rPr>
                <w:spacing w:val="-5"/>
                <w:sz w:val="20"/>
              </w:rPr>
              <w:t> </w:t>
            </w:r>
            <w:r>
              <w:rPr>
                <w:sz w:val="20"/>
              </w:rPr>
              <w:t>cantidad</w:t>
            </w:r>
            <w:r>
              <w:rPr>
                <w:spacing w:val="-6"/>
                <w:sz w:val="20"/>
              </w:rPr>
              <w:t> </w:t>
            </w:r>
            <w:r>
              <w:rPr>
                <w:sz w:val="20"/>
              </w:rPr>
              <w:t>de</w:t>
            </w:r>
            <w:r>
              <w:rPr>
                <w:spacing w:val="-5"/>
                <w:sz w:val="20"/>
              </w:rPr>
              <w:t> </w:t>
            </w:r>
            <w:r>
              <w:rPr>
                <w:sz w:val="20"/>
              </w:rPr>
              <w:t>vehículos</w:t>
            </w:r>
            <w:r>
              <w:rPr>
                <w:spacing w:val="-4"/>
                <w:sz w:val="20"/>
              </w:rPr>
              <w:t> </w:t>
            </w:r>
            <w:r>
              <w:rPr>
                <w:sz w:val="20"/>
              </w:rPr>
              <w:t>adquiridos</w:t>
            </w:r>
            <w:r>
              <w:rPr>
                <w:spacing w:val="-4"/>
                <w:sz w:val="20"/>
              </w:rPr>
              <w:t> </w:t>
            </w:r>
            <w:r>
              <w:rPr>
                <w:sz w:val="20"/>
              </w:rPr>
              <w:t>por</w:t>
            </w:r>
            <w:r>
              <w:rPr>
                <w:spacing w:val="-5"/>
                <w:sz w:val="20"/>
              </w:rPr>
              <w:t> </w:t>
            </w:r>
            <w:r>
              <w:rPr>
                <w:sz w:val="20"/>
              </w:rPr>
              <w:t>medio</w:t>
            </w:r>
            <w:r>
              <w:rPr>
                <w:spacing w:val="-3"/>
                <w:sz w:val="20"/>
              </w:rPr>
              <w:t> </w:t>
            </w:r>
            <w:r>
              <w:rPr>
                <w:sz w:val="20"/>
              </w:rPr>
              <w:t>de</w:t>
            </w:r>
            <w:r>
              <w:rPr>
                <w:spacing w:val="-3"/>
                <w:sz w:val="20"/>
              </w:rPr>
              <w:t> </w:t>
            </w:r>
            <w:r>
              <w:rPr>
                <w:sz w:val="20"/>
              </w:rPr>
              <w:t>licitaciones</w:t>
            </w:r>
            <w:r>
              <w:rPr>
                <w:spacing w:val="-4"/>
                <w:sz w:val="20"/>
              </w:rPr>
              <w:t> </w:t>
            </w:r>
            <w:r>
              <w:rPr>
                <w:sz w:val="20"/>
              </w:rPr>
              <w:t>para</w:t>
            </w:r>
            <w:r>
              <w:rPr>
                <w:spacing w:val="-5"/>
                <w:sz w:val="20"/>
              </w:rPr>
              <w:t> </w:t>
            </w:r>
            <w:r>
              <w:rPr>
                <w:sz w:val="20"/>
              </w:rPr>
              <w:t>fortalecer la atención de los programas institucionales.</w:t>
            </w:r>
          </w:p>
        </w:tc>
      </w:tr>
      <w:tr>
        <w:trPr>
          <w:trHeight w:val="316" w:hRule="atLeast"/>
        </w:trPr>
        <w:tc>
          <w:tcPr>
            <w:tcW w:w="2976" w:type="dxa"/>
            <w:shd w:val="clear" w:color="auto" w:fill="DBE4F0"/>
          </w:tcPr>
          <w:p>
            <w:pPr>
              <w:pStyle w:val="TableParagraph"/>
              <w:spacing w:before="42"/>
              <w:ind w:left="67"/>
              <w:rPr>
                <w:b/>
                <w:sz w:val="20"/>
              </w:rPr>
            </w:pPr>
            <w:r>
              <w:rPr>
                <w:b/>
                <w:spacing w:val="-2"/>
                <w:sz w:val="20"/>
              </w:rPr>
              <w:t>Desagregación</w:t>
            </w:r>
          </w:p>
        </w:tc>
        <w:tc>
          <w:tcPr>
            <w:tcW w:w="7513" w:type="dxa"/>
          </w:tcPr>
          <w:p>
            <w:pPr>
              <w:pStyle w:val="TableParagraph"/>
              <w:spacing w:before="42"/>
              <w:ind w:left="70"/>
              <w:rPr>
                <w:sz w:val="20"/>
              </w:rPr>
            </w:pPr>
            <w:r>
              <w:rPr>
                <w:sz w:val="20"/>
              </w:rPr>
              <w:t>Areas</w:t>
            </w:r>
            <w:r>
              <w:rPr>
                <w:spacing w:val="-9"/>
                <w:sz w:val="20"/>
              </w:rPr>
              <w:t> </w:t>
            </w:r>
            <w:r>
              <w:rPr>
                <w:spacing w:val="-2"/>
                <w:sz w:val="20"/>
              </w:rPr>
              <w:t>Regionales</w:t>
            </w:r>
          </w:p>
        </w:tc>
      </w:tr>
      <w:tr>
        <w:trPr>
          <w:trHeight w:val="313" w:hRule="atLeast"/>
        </w:trPr>
        <w:tc>
          <w:tcPr>
            <w:tcW w:w="2976" w:type="dxa"/>
            <w:shd w:val="clear" w:color="auto" w:fill="DBE4F0"/>
          </w:tcPr>
          <w:p>
            <w:pPr>
              <w:pStyle w:val="TableParagraph"/>
              <w:spacing w:before="40"/>
              <w:ind w:left="67"/>
              <w:rPr>
                <w:b/>
                <w:sz w:val="20"/>
              </w:rPr>
            </w:pPr>
            <w:r>
              <w:rPr>
                <w:b/>
                <w:spacing w:val="-2"/>
                <w:sz w:val="20"/>
              </w:rPr>
              <w:t>Meta:</w:t>
            </w:r>
          </w:p>
        </w:tc>
        <w:tc>
          <w:tcPr>
            <w:tcW w:w="7513" w:type="dxa"/>
          </w:tcPr>
          <w:p>
            <w:pPr>
              <w:pStyle w:val="TableParagraph"/>
              <w:spacing w:before="40"/>
              <w:ind w:left="70"/>
              <w:rPr>
                <w:sz w:val="20"/>
              </w:rPr>
            </w:pPr>
            <w:r>
              <w:rPr>
                <w:sz w:val="20"/>
              </w:rPr>
              <w:t>3</w:t>
            </w:r>
            <w:r>
              <w:rPr>
                <w:spacing w:val="-6"/>
                <w:sz w:val="20"/>
              </w:rPr>
              <w:t> </w:t>
            </w:r>
            <w:r>
              <w:rPr>
                <w:sz w:val="20"/>
              </w:rPr>
              <w:t>vehículos</w:t>
            </w:r>
            <w:r>
              <w:rPr>
                <w:spacing w:val="-5"/>
                <w:sz w:val="20"/>
              </w:rPr>
              <w:t> </w:t>
            </w:r>
            <w:r>
              <w:rPr>
                <w:sz w:val="20"/>
              </w:rPr>
              <w:t>al</w:t>
            </w:r>
            <w:r>
              <w:rPr>
                <w:spacing w:val="-7"/>
                <w:sz w:val="20"/>
              </w:rPr>
              <w:t> </w:t>
            </w:r>
            <w:r>
              <w:rPr>
                <w:sz w:val="20"/>
              </w:rPr>
              <w:t>finalizar</w:t>
            </w:r>
            <w:r>
              <w:rPr>
                <w:spacing w:val="-5"/>
                <w:sz w:val="20"/>
              </w:rPr>
              <w:t> </w:t>
            </w:r>
            <w:r>
              <w:rPr>
                <w:sz w:val="20"/>
              </w:rPr>
              <w:t>el</w:t>
            </w:r>
            <w:r>
              <w:rPr>
                <w:spacing w:val="-7"/>
                <w:sz w:val="20"/>
              </w:rPr>
              <w:t> </w:t>
            </w:r>
            <w:r>
              <w:rPr>
                <w:spacing w:val="-4"/>
                <w:sz w:val="20"/>
              </w:rPr>
              <w:t>2027</w:t>
            </w:r>
          </w:p>
        </w:tc>
      </w:tr>
    </w:tbl>
    <w:p>
      <w:pPr>
        <w:pStyle w:val="TableParagraph"/>
        <w:spacing w:after="0"/>
        <w:rPr>
          <w:sz w:val="20"/>
        </w:rPr>
        <w:sectPr>
          <w:type w:val="continuous"/>
          <w:pgSz w:w="12240" w:h="15840"/>
          <w:pgMar w:header="0" w:footer="2082" w:top="1400" w:bottom="260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314" w:hRule="atLeast"/>
        </w:trPr>
        <w:tc>
          <w:tcPr>
            <w:tcW w:w="2976" w:type="dxa"/>
            <w:shd w:val="clear" w:color="auto" w:fill="DBE4F0"/>
          </w:tcPr>
          <w:p>
            <w:pPr>
              <w:pStyle w:val="TableParagraph"/>
              <w:spacing w:before="43"/>
              <w:ind w:left="67"/>
              <w:rPr>
                <w:b/>
                <w:sz w:val="20"/>
              </w:rPr>
            </w:pPr>
            <w:r>
              <w:rPr>
                <w:b/>
                <w:sz w:val="20"/>
              </w:rPr>
              <w:t>Línea</w:t>
            </w:r>
            <w:r>
              <w:rPr>
                <w:b/>
                <w:spacing w:val="-10"/>
                <w:sz w:val="20"/>
              </w:rPr>
              <w:t> </w:t>
            </w:r>
            <w:r>
              <w:rPr>
                <w:b/>
                <w:spacing w:val="-4"/>
                <w:sz w:val="20"/>
              </w:rPr>
              <w:t>Base</w:t>
            </w:r>
          </w:p>
        </w:tc>
        <w:tc>
          <w:tcPr>
            <w:tcW w:w="7513" w:type="dxa"/>
          </w:tcPr>
          <w:p>
            <w:pPr>
              <w:pStyle w:val="TableParagraph"/>
              <w:spacing w:before="43"/>
              <w:ind w:left="70"/>
              <w:rPr>
                <w:sz w:val="20"/>
              </w:rPr>
            </w:pPr>
            <w:r>
              <w:rPr>
                <w:spacing w:val="-4"/>
                <w:sz w:val="20"/>
              </w:rPr>
              <w:t>Cero</w:t>
            </w:r>
          </w:p>
        </w:tc>
      </w:tr>
      <w:tr>
        <w:trPr>
          <w:trHeight w:val="460" w:hRule="atLeast"/>
        </w:trPr>
        <w:tc>
          <w:tcPr>
            <w:tcW w:w="2976" w:type="dxa"/>
            <w:shd w:val="clear" w:color="auto" w:fill="DBE4F0"/>
          </w:tcPr>
          <w:p>
            <w:pPr>
              <w:pStyle w:val="TableParagraph"/>
              <w:spacing w:line="230" w:lineRule="exact"/>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114"/>
              <w:ind w:left="70"/>
              <w:rPr>
                <w:sz w:val="20"/>
              </w:rPr>
            </w:pPr>
            <w:r>
              <w:rPr>
                <w:sz w:val="20"/>
              </w:rPr>
              <w:t>Trimestral</w:t>
            </w:r>
            <w:r>
              <w:rPr>
                <w:spacing w:val="-13"/>
                <w:sz w:val="20"/>
              </w:rPr>
              <w:t> </w:t>
            </w:r>
            <w:r>
              <w:rPr>
                <w:spacing w:val="-2"/>
                <w:sz w:val="20"/>
              </w:rPr>
              <w:t>acumulado.</w:t>
            </w:r>
          </w:p>
        </w:tc>
      </w:tr>
      <w:tr>
        <w:trPr>
          <w:trHeight w:val="1199" w:hRule="atLeast"/>
        </w:trPr>
        <w:tc>
          <w:tcPr>
            <w:tcW w:w="2976" w:type="dxa"/>
            <w:shd w:val="clear" w:color="auto" w:fill="DBE4F0"/>
          </w:tcPr>
          <w:p>
            <w:pPr>
              <w:pStyle w:val="TableParagraph"/>
              <w:spacing w:before="139"/>
              <w:rPr>
                <w:b/>
                <w:sz w:val="20"/>
              </w:rPr>
            </w:pPr>
          </w:p>
          <w:p>
            <w:pPr>
              <w:pStyle w:val="TableParagraph"/>
              <w:ind w:left="67" w:right="514"/>
              <w:rPr>
                <w:b/>
                <w:sz w:val="20"/>
              </w:rPr>
            </w:pPr>
            <w:r>
              <w:rPr>
                <w:b/>
                <w:sz w:val="20"/>
              </w:rPr>
              <w:t>Responsable de la recopilación</w:t>
            </w:r>
            <w:r>
              <w:rPr>
                <w:b/>
                <w:spacing w:val="-14"/>
                <w:sz w:val="20"/>
              </w:rPr>
              <w:t> </w:t>
            </w:r>
            <w:r>
              <w:rPr>
                <w:b/>
                <w:sz w:val="20"/>
              </w:rPr>
              <w:t>información</w:t>
            </w:r>
          </w:p>
        </w:tc>
        <w:tc>
          <w:tcPr>
            <w:tcW w:w="7513" w:type="dxa"/>
          </w:tcPr>
          <w:p>
            <w:pPr>
              <w:pStyle w:val="TableParagraph"/>
              <w:spacing w:before="138"/>
              <w:ind w:left="70" w:right="3072"/>
              <w:rPr>
                <w:sz w:val="20"/>
              </w:rPr>
            </w:pPr>
            <w:r>
              <w:rPr>
                <w:sz w:val="20"/>
              </w:rPr>
              <w:t>Nombre</w:t>
            </w:r>
            <w:r>
              <w:rPr>
                <w:spacing w:val="-8"/>
                <w:sz w:val="20"/>
              </w:rPr>
              <w:t> </w:t>
            </w:r>
            <w:r>
              <w:rPr>
                <w:sz w:val="20"/>
              </w:rPr>
              <w:t>del</w:t>
            </w:r>
            <w:r>
              <w:rPr>
                <w:spacing w:val="-10"/>
                <w:sz w:val="20"/>
              </w:rPr>
              <w:t> </w:t>
            </w:r>
            <w:r>
              <w:rPr>
                <w:sz w:val="20"/>
              </w:rPr>
              <w:t>funcionario:</w:t>
            </w:r>
            <w:r>
              <w:rPr>
                <w:spacing w:val="-9"/>
                <w:sz w:val="20"/>
              </w:rPr>
              <w:t> </w:t>
            </w:r>
            <w:r>
              <w:rPr>
                <w:sz w:val="20"/>
              </w:rPr>
              <w:t>David</w:t>
            </w:r>
            <w:r>
              <w:rPr>
                <w:spacing w:val="-9"/>
                <w:sz w:val="20"/>
              </w:rPr>
              <w:t> </w:t>
            </w:r>
            <w:r>
              <w:rPr>
                <w:sz w:val="20"/>
              </w:rPr>
              <w:t>Cordero</w:t>
            </w:r>
            <w:r>
              <w:rPr>
                <w:spacing w:val="-9"/>
                <w:sz w:val="20"/>
              </w:rPr>
              <w:t> </w:t>
            </w:r>
            <w:r>
              <w:rPr>
                <w:sz w:val="20"/>
              </w:rPr>
              <w:t>Quirós Cargo: Jefatura Servicios Generales</w:t>
            </w:r>
          </w:p>
          <w:p>
            <w:pPr>
              <w:pStyle w:val="TableParagraph"/>
              <w:spacing w:before="1"/>
              <w:ind w:left="70" w:right="3460"/>
              <w:rPr>
                <w:sz w:val="20"/>
              </w:rPr>
            </w:pPr>
            <w:r>
              <w:rPr>
                <w:sz w:val="20"/>
              </w:rPr>
              <w:t>Nombre</w:t>
            </w:r>
            <w:r>
              <w:rPr>
                <w:spacing w:val="-10"/>
                <w:sz w:val="20"/>
              </w:rPr>
              <w:t> </w:t>
            </w:r>
            <w:r>
              <w:rPr>
                <w:sz w:val="20"/>
              </w:rPr>
              <w:t>del</w:t>
            </w:r>
            <w:r>
              <w:rPr>
                <w:spacing w:val="-12"/>
                <w:sz w:val="20"/>
              </w:rPr>
              <w:t> </w:t>
            </w:r>
            <w:r>
              <w:rPr>
                <w:sz w:val="20"/>
              </w:rPr>
              <w:t>funcionario:</w:t>
            </w:r>
            <w:r>
              <w:rPr>
                <w:spacing w:val="-10"/>
                <w:sz w:val="20"/>
              </w:rPr>
              <w:t> </w:t>
            </w:r>
            <w:r>
              <w:rPr>
                <w:sz w:val="20"/>
              </w:rPr>
              <w:t>Pedro</w:t>
            </w:r>
            <w:r>
              <w:rPr>
                <w:spacing w:val="-11"/>
                <w:sz w:val="20"/>
              </w:rPr>
              <w:t> </w:t>
            </w:r>
            <w:r>
              <w:rPr>
                <w:sz w:val="20"/>
              </w:rPr>
              <w:t>Llubere Cargo: Encargado de Transportes</w:t>
            </w:r>
          </w:p>
        </w:tc>
      </w:tr>
      <w:tr>
        <w:trPr>
          <w:trHeight w:val="671" w:hRule="atLeast"/>
        </w:trPr>
        <w:tc>
          <w:tcPr>
            <w:tcW w:w="2976" w:type="dxa"/>
            <w:shd w:val="clear" w:color="auto" w:fill="DBE4F0"/>
          </w:tcPr>
          <w:p>
            <w:pPr>
              <w:pStyle w:val="TableParagraph"/>
              <w:spacing w:before="105"/>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3" w:type="dxa"/>
          </w:tcPr>
          <w:p>
            <w:pPr>
              <w:pStyle w:val="TableParagraph"/>
              <w:spacing w:before="220"/>
              <w:ind w:left="70"/>
              <w:rPr>
                <w:sz w:val="20"/>
              </w:rPr>
            </w:pPr>
            <w:r>
              <w:rPr>
                <w:sz w:val="20"/>
              </w:rPr>
              <w:t>Proceso</w:t>
            </w:r>
            <w:r>
              <w:rPr>
                <w:spacing w:val="-8"/>
                <w:sz w:val="20"/>
              </w:rPr>
              <w:t> </w:t>
            </w:r>
            <w:r>
              <w:rPr>
                <w:sz w:val="20"/>
              </w:rPr>
              <w:t>de</w:t>
            </w:r>
            <w:r>
              <w:rPr>
                <w:spacing w:val="-7"/>
                <w:sz w:val="20"/>
              </w:rPr>
              <w:t> </w:t>
            </w:r>
            <w:r>
              <w:rPr>
                <w:sz w:val="20"/>
              </w:rPr>
              <w:t>Transportes</w:t>
            </w:r>
            <w:r>
              <w:rPr>
                <w:spacing w:val="-6"/>
                <w:sz w:val="20"/>
              </w:rPr>
              <w:t> </w:t>
            </w:r>
            <w:r>
              <w:rPr>
                <w:sz w:val="20"/>
              </w:rPr>
              <w:t>y</w:t>
            </w:r>
            <w:r>
              <w:rPr>
                <w:spacing w:val="-6"/>
                <w:sz w:val="20"/>
              </w:rPr>
              <w:t> </w:t>
            </w:r>
            <w:r>
              <w:rPr>
                <w:sz w:val="20"/>
              </w:rPr>
              <w:t>Área</w:t>
            </w:r>
            <w:r>
              <w:rPr>
                <w:spacing w:val="-6"/>
                <w:sz w:val="20"/>
              </w:rPr>
              <w:t> </w:t>
            </w:r>
            <w:r>
              <w:rPr>
                <w:sz w:val="20"/>
              </w:rPr>
              <w:t>de</w:t>
            </w:r>
            <w:r>
              <w:rPr>
                <w:spacing w:val="-6"/>
                <w:sz w:val="20"/>
              </w:rPr>
              <w:t> </w:t>
            </w:r>
            <w:r>
              <w:rPr>
                <w:sz w:val="20"/>
              </w:rPr>
              <w:t>Servicios</w:t>
            </w:r>
            <w:r>
              <w:rPr>
                <w:spacing w:val="-6"/>
                <w:sz w:val="20"/>
              </w:rPr>
              <w:t> </w:t>
            </w:r>
            <w:r>
              <w:rPr>
                <w:spacing w:val="-2"/>
                <w:sz w:val="20"/>
              </w:rPr>
              <w:t>Generales.</w:t>
            </w:r>
          </w:p>
        </w:tc>
      </w:tr>
      <w:tr>
        <w:trPr>
          <w:trHeight w:val="313" w:hRule="atLeast"/>
        </w:trPr>
        <w:tc>
          <w:tcPr>
            <w:tcW w:w="2976" w:type="dxa"/>
            <w:shd w:val="clear" w:color="auto" w:fill="DBE4F0"/>
          </w:tcPr>
          <w:p>
            <w:pPr>
              <w:pStyle w:val="TableParagraph"/>
              <w:spacing w:before="42"/>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3" w:type="dxa"/>
          </w:tcPr>
          <w:p>
            <w:pPr>
              <w:pStyle w:val="TableParagraph"/>
              <w:spacing w:before="42"/>
              <w:ind w:left="70"/>
              <w:rPr>
                <w:sz w:val="20"/>
              </w:rPr>
            </w:pPr>
            <w:r>
              <w:rPr>
                <w:sz w:val="20"/>
              </w:rPr>
              <w:t>SICOP,</w:t>
            </w:r>
            <w:r>
              <w:rPr>
                <w:spacing w:val="-10"/>
                <w:sz w:val="20"/>
              </w:rPr>
              <w:t> </w:t>
            </w:r>
            <w:r>
              <w:rPr>
                <w:sz w:val="20"/>
              </w:rPr>
              <w:t>expedientes</w:t>
            </w:r>
            <w:r>
              <w:rPr>
                <w:spacing w:val="-8"/>
                <w:sz w:val="20"/>
              </w:rPr>
              <w:t> </w:t>
            </w:r>
            <w:r>
              <w:rPr>
                <w:sz w:val="20"/>
              </w:rPr>
              <w:t>administrativos</w:t>
            </w:r>
            <w:r>
              <w:rPr>
                <w:spacing w:val="-11"/>
                <w:sz w:val="20"/>
              </w:rPr>
              <w:t> </w:t>
            </w:r>
            <w:r>
              <w:rPr>
                <w:sz w:val="20"/>
              </w:rPr>
              <w:t>y</w:t>
            </w:r>
            <w:r>
              <w:rPr>
                <w:spacing w:val="-10"/>
                <w:sz w:val="20"/>
              </w:rPr>
              <w:t> </w:t>
            </w:r>
            <w:r>
              <w:rPr>
                <w:sz w:val="20"/>
              </w:rPr>
              <w:t>registros</w:t>
            </w:r>
            <w:r>
              <w:rPr>
                <w:spacing w:val="-10"/>
                <w:sz w:val="20"/>
              </w:rPr>
              <w:t> </w:t>
            </w:r>
            <w:r>
              <w:rPr>
                <w:spacing w:val="-2"/>
                <w:sz w:val="20"/>
              </w:rPr>
              <w:t>contables.</w:t>
            </w:r>
          </w:p>
        </w:tc>
      </w:tr>
      <w:tr>
        <w:trPr>
          <w:trHeight w:val="630" w:hRule="atLeast"/>
        </w:trPr>
        <w:tc>
          <w:tcPr>
            <w:tcW w:w="2976" w:type="dxa"/>
            <w:shd w:val="clear" w:color="auto" w:fill="DBE4F0"/>
          </w:tcPr>
          <w:p>
            <w:pPr>
              <w:pStyle w:val="TableParagraph"/>
              <w:spacing w:before="201"/>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201"/>
              <w:ind w:left="70"/>
              <w:rPr>
                <w:sz w:val="20"/>
              </w:rPr>
            </w:pPr>
            <w:r>
              <w:rPr>
                <w:sz w:val="20"/>
              </w:rPr>
              <w:t>Solicitudes</w:t>
            </w:r>
            <w:r>
              <w:rPr>
                <w:spacing w:val="-5"/>
                <w:sz w:val="20"/>
              </w:rPr>
              <w:t> </w:t>
            </w:r>
            <w:r>
              <w:rPr>
                <w:sz w:val="20"/>
              </w:rPr>
              <w:t>de</w:t>
            </w:r>
            <w:r>
              <w:rPr>
                <w:spacing w:val="-7"/>
                <w:sz w:val="20"/>
              </w:rPr>
              <w:t> </w:t>
            </w:r>
            <w:r>
              <w:rPr>
                <w:sz w:val="20"/>
              </w:rPr>
              <w:t>pedidos</w:t>
            </w:r>
            <w:r>
              <w:rPr>
                <w:spacing w:val="-6"/>
                <w:sz w:val="20"/>
              </w:rPr>
              <w:t> </w:t>
            </w:r>
            <w:r>
              <w:rPr>
                <w:sz w:val="20"/>
              </w:rPr>
              <w:t>en</w:t>
            </w:r>
            <w:r>
              <w:rPr>
                <w:spacing w:val="-5"/>
                <w:sz w:val="20"/>
              </w:rPr>
              <w:t> </w:t>
            </w:r>
            <w:r>
              <w:rPr>
                <w:sz w:val="20"/>
              </w:rPr>
              <w:t>SICOP,</w:t>
            </w:r>
            <w:r>
              <w:rPr>
                <w:spacing w:val="-5"/>
                <w:sz w:val="20"/>
              </w:rPr>
              <w:t> </w:t>
            </w:r>
            <w:r>
              <w:rPr>
                <w:sz w:val="20"/>
              </w:rPr>
              <w:t>Facturas,</w:t>
            </w:r>
            <w:r>
              <w:rPr>
                <w:spacing w:val="-4"/>
                <w:sz w:val="20"/>
              </w:rPr>
              <w:t> </w:t>
            </w:r>
            <w:r>
              <w:rPr>
                <w:sz w:val="20"/>
              </w:rPr>
              <w:t>Contratos</w:t>
            </w:r>
            <w:r>
              <w:rPr>
                <w:spacing w:val="-6"/>
                <w:sz w:val="20"/>
              </w:rPr>
              <w:t> </w:t>
            </w:r>
            <w:r>
              <w:rPr>
                <w:sz w:val="20"/>
              </w:rPr>
              <w:t>y</w:t>
            </w:r>
            <w:r>
              <w:rPr>
                <w:spacing w:val="-5"/>
                <w:sz w:val="20"/>
              </w:rPr>
              <w:t> </w:t>
            </w:r>
            <w:r>
              <w:rPr>
                <w:sz w:val="20"/>
              </w:rPr>
              <w:t>actas</w:t>
            </w:r>
            <w:r>
              <w:rPr>
                <w:spacing w:val="-6"/>
                <w:sz w:val="20"/>
              </w:rPr>
              <w:t> </w:t>
            </w:r>
            <w:r>
              <w:rPr>
                <w:sz w:val="20"/>
              </w:rPr>
              <w:t>de</w:t>
            </w:r>
            <w:r>
              <w:rPr>
                <w:spacing w:val="-6"/>
                <w:sz w:val="20"/>
              </w:rPr>
              <w:t> </w:t>
            </w:r>
            <w:r>
              <w:rPr>
                <w:spacing w:val="-2"/>
                <w:sz w:val="20"/>
              </w:rPr>
              <w:t>recepción.</w:t>
            </w:r>
          </w:p>
        </w:tc>
      </w:tr>
      <w:tr>
        <w:trPr>
          <w:trHeight w:val="631" w:hRule="atLeast"/>
        </w:trPr>
        <w:tc>
          <w:tcPr>
            <w:tcW w:w="2976" w:type="dxa"/>
            <w:shd w:val="clear" w:color="auto" w:fill="DBE4F0"/>
          </w:tcPr>
          <w:p>
            <w:pPr>
              <w:pStyle w:val="TableParagraph"/>
              <w:spacing w:before="199"/>
              <w:ind w:left="67"/>
              <w:rPr>
                <w:b/>
                <w:sz w:val="20"/>
              </w:rPr>
            </w:pPr>
            <w:r>
              <w:rPr>
                <w:b/>
                <w:spacing w:val="-2"/>
                <w:sz w:val="20"/>
              </w:rPr>
              <w:t>Clasificación</w:t>
            </w:r>
          </w:p>
        </w:tc>
        <w:tc>
          <w:tcPr>
            <w:tcW w:w="7513" w:type="dxa"/>
          </w:tcPr>
          <w:p>
            <w:pPr>
              <w:pStyle w:val="TableParagraph"/>
              <w:spacing w:before="199"/>
              <w:ind w:left="70"/>
              <w:rPr>
                <w:sz w:val="20"/>
              </w:rPr>
            </w:pPr>
            <w:r>
              <w:rPr>
                <w:sz w:val="20"/>
              </w:rPr>
              <w:t>Impacto</w:t>
            </w:r>
            <w:r>
              <w:rPr>
                <w:spacing w:val="-4"/>
                <w:sz w:val="20"/>
              </w:rPr>
              <w:t> </w:t>
            </w:r>
            <w:r>
              <w:rPr>
                <w:sz w:val="20"/>
              </w:rPr>
              <w:t>()</w:t>
            </w:r>
            <w:r>
              <w:rPr>
                <w:spacing w:val="-4"/>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460" w:hRule="atLeast"/>
        </w:trPr>
        <w:tc>
          <w:tcPr>
            <w:tcW w:w="2976" w:type="dxa"/>
            <w:shd w:val="clear" w:color="auto" w:fill="DBE4F0"/>
          </w:tcPr>
          <w:p>
            <w:pPr>
              <w:pStyle w:val="TableParagraph"/>
              <w:spacing w:before="114"/>
              <w:ind w:left="67"/>
              <w:rPr>
                <w:b/>
                <w:sz w:val="20"/>
              </w:rPr>
            </w:pPr>
            <w:r>
              <w:rPr>
                <w:b/>
                <w:spacing w:val="-2"/>
                <w:sz w:val="20"/>
              </w:rPr>
              <w:t>Comentarios</w:t>
            </w:r>
            <w:r>
              <w:rPr>
                <w:b/>
                <w:spacing w:val="6"/>
                <w:sz w:val="20"/>
              </w:rPr>
              <w:t> </w:t>
            </w:r>
            <w:r>
              <w:rPr>
                <w:b/>
                <w:spacing w:val="-2"/>
                <w:sz w:val="20"/>
              </w:rPr>
              <w:t>Generales</w:t>
            </w:r>
          </w:p>
        </w:tc>
        <w:tc>
          <w:tcPr>
            <w:tcW w:w="7513" w:type="dxa"/>
          </w:tcPr>
          <w:p>
            <w:pPr>
              <w:pStyle w:val="TableParagraph"/>
              <w:spacing w:line="230" w:lineRule="exact"/>
              <w:ind w:left="70" w:right="160"/>
              <w:rPr>
                <w:sz w:val="20"/>
              </w:rPr>
            </w:pPr>
            <w:r>
              <w:rPr>
                <w:sz w:val="20"/>
              </w:rPr>
              <w:t>El</w:t>
            </w:r>
            <w:r>
              <w:rPr>
                <w:spacing w:val="-5"/>
                <w:sz w:val="20"/>
              </w:rPr>
              <w:t> </w:t>
            </w:r>
            <w:r>
              <w:rPr>
                <w:sz w:val="20"/>
              </w:rPr>
              <w:t>indicador</w:t>
            </w:r>
            <w:r>
              <w:rPr>
                <w:spacing w:val="-6"/>
                <w:sz w:val="20"/>
              </w:rPr>
              <w:t> </w:t>
            </w:r>
            <w:r>
              <w:rPr>
                <w:sz w:val="20"/>
              </w:rPr>
              <w:t>considera</w:t>
            </w:r>
            <w:r>
              <w:rPr>
                <w:spacing w:val="-6"/>
                <w:sz w:val="20"/>
              </w:rPr>
              <w:t> </w:t>
            </w:r>
            <w:r>
              <w:rPr>
                <w:sz w:val="20"/>
              </w:rPr>
              <w:t>únicamente</w:t>
            </w:r>
            <w:r>
              <w:rPr>
                <w:spacing w:val="-4"/>
                <w:sz w:val="20"/>
              </w:rPr>
              <w:t> </w:t>
            </w:r>
            <w:r>
              <w:rPr>
                <w:sz w:val="20"/>
              </w:rPr>
              <w:t>los</w:t>
            </w:r>
            <w:r>
              <w:rPr>
                <w:spacing w:val="-5"/>
                <w:sz w:val="20"/>
              </w:rPr>
              <w:t> </w:t>
            </w:r>
            <w:r>
              <w:rPr>
                <w:sz w:val="20"/>
              </w:rPr>
              <w:t>vehículos</w:t>
            </w:r>
            <w:r>
              <w:rPr>
                <w:spacing w:val="-5"/>
                <w:sz w:val="20"/>
              </w:rPr>
              <w:t> </w:t>
            </w:r>
            <w:r>
              <w:rPr>
                <w:sz w:val="20"/>
              </w:rPr>
              <w:t>recibidos</w:t>
            </w:r>
            <w:r>
              <w:rPr>
                <w:spacing w:val="-5"/>
                <w:sz w:val="20"/>
              </w:rPr>
              <w:t> </w:t>
            </w:r>
            <w:r>
              <w:rPr>
                <w:sz w:val="20"/>
              </w:rPr>
              <w:t>oficialmente</w:t>
            </w:r>
            <w:r>
              <w:rPr>
                <w:spacing w:val="-5"/>
                <w:sz w:val="20"/>
              </w:rPr>
              <w:t> </w:t>
            </w:r>
            <w:r>
              <w:rPr>
                <w:sz w:val="20"/>
              </w:rPr>
              <w:t>por</w:t>
            </w:r>
            <w:r>
              <w:rPr>
                <w:spacing w:val="-5"/>
                <w:sz w:val="20"/>
              </w:rPr>
              <w:t> </w:t>
            </w:r>
            <w:r>
              <w:rPr>
                <w:sz w:val="20"/>
              </w:rPr>
              <w:t>el </w:t>
            </w:r>
            <w:r>
              <w:rPr>
                <w:spacing w:val="-2"/>
                <w:sz w:val="20"/>
              </w:rPr>
              <w:t>IMAS.</w:t>
            </w:r>
          </w:p>
        </w:tc>
      </w:tr>
    </w:tbl>
    <w:p>
      <w:pPr>
        <w:spacing w:before="253"/>
        <w:ind w:left="840" w:right="0" w:firstLine="0"/>
        <w:jc w:val="left"/>
        <w:rPr>
          <w:b/>
          <w:sz w:val="24"/>
        </w:rPr>
      </w:pPr>
      <w:r>
        <w:rPr>
          <w:b/>
          <w:sz w:val="24"/>
        </w:rPr>
        <w:t>Administración</w:t>
      </w:r>
      <w:r>
        <w:rPr>
          <w:b/>
          <w:spacing w:val="-5"/>
          <w:sz w:val="24"/>
        </w:rPr>
        <w:t> </w:t>
      </w:r>
      <w:r>
        <w:rPr>
          <w:b/>
          <w:spacing w:val="-2"/>
          <w:sz w:val="24"/>
        </w:rPr>
        <w:t>Tributaria</w:t>
      </w:r>
    </w:p>
    <w:p>
      <w:pPr>
        <w:pStyle w:val="BodyText"/>
        <w:spacing w:before="9"/>
        <w:rPr>
          <w:b/>
          <w:sz w:val="19"/>
        </w:rPr>
      </w:pPr>
    </w:p>
    <w:tbl>
      <w:tblPr>
        <w:tblW w:w="0" w:type="auto"/>
        <w:jc w:val="left"/>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40"/>
        <w:gridCol w:w="1337"/>
        <w:gridCol w:w="7514"/>
      </w:tblGrid>
      <w:tr>
        <w:trPr>
          <w:trHeight w:val="481" w:hRule="atLeast"/>
        </w:trPr>
        <w:tc>
          <w:tcPr>
            <w:tcW w:w="2977" w:type="dxa"/>
            <w:gridSpan w:val="2"/>
            <w:shd w:val="clear" w:color="auto" w:fill="DBE4F0"/>
          </w:tcPr>
          <w:p>
            <w:pPr>
              <w:pStyle w:val="TableParagraph"/>
              <w:spacing w:before="124"/>
              <w:ind w:left="67"/>
              <w:rPr>
                <w:b/>
                <w:sz w:val="20"/>
              </w:rPr>
            </w:pPr>
            <w:r>
              <w:rPr>
                <w:b/>
                <w:sz w:val="20"/>
              </w:rPr>
              <w:t>PAC</w:t>
            </w:r>
            <w:r>
              <w:rPr>
                <w:b/>
                <w:spacing w:val="-8"/>
                <w:sz w:val="20"/>
              </w:rPr>
              <w:t> </w:t>
            </w:r>
            <w:r>
              <w:rPr>
                <w:b/>
                <w:spacing w:val="-2"/>
                <w:sz w:val="20"/>
              </w:rPr>
              <w:t>2.10.1</w:t>
            </w:r>
          </w:p>
        </w:tc>
        <w:tc>
          <w:tcPr>
            <w:tcW w:w="7514" w:type="dxa"/>
          </w:tcPr>
          <w:p>
            <w:pPr>
              <w:pStyle w:val="TableParagraph"/>
              <w:spacing w:before="124"/>
              <w:ind w:left="69"/>
              <w:rPr>
                <w:sz w:val="20"/>
              </w:rPr>
            </w:pPr>
            <w:r>
              <w:rPr>
                <w:sz w:val="20"/>
              </w:rPr>
              <w:t>Nombre</w:t>
            </w:r>
            <w:r>
              <w:rPr>
                <w:spacing w:val="-8"/>
                <w:sz w:val="20"/>
              </w:rPr>
              <w:t> </w:t>
            </w:r>
            <w:r>
              <w:rPr>
                <w:sz w:val="20"/>
              </w:rPr>
              <w:t>del</w:t>
            </w:r>
            <w:r>
              <w:rPr>
                <w:spacing w:val="-10"/>
                <w:sz w:val="20"/>
              </w:rPr>
              <w:t> </w:t>
            </w:r>
            <w:r>
              <w:rPr>
                <w:sz w:val="20"/>
              </w:rPr>
              <w:t>Indicador:</w:t>
            </w:r>
            <w:r>
              <w:rPr>
                <w:spacing w:val="-10"/>
                <w:sz w:val="20"/>
              </w:rPr>
              <w:t> </w:t>
            </w:r>
            <w:r>
              <w:rPr>
                <w:sz w:val="20"/>
              </w:rPr>
              <w:t>Cantidad</w:t>
            </w:r>
            <w:r>
              <w:rPr>
                <w:spacing w:val="-9"/>
                <w:sz w:val="20"/>
              </w:rPr>
              <w:t> </w:t>
            </w:r>
            <w:r>
              <w:rPr>
                <w:sz w:val="20"/>
              </w:rPr>
              <w:t>de</w:t>
            </w:r>
            <w:r>
              <w:rPr>
                <w:spacing w:val="-8"/>
                <w:sz w:val="20"/>
              </w:rPr>
              <w:t> </w:t>
            </w:r>
            <w:r>
              <w:rPr>
                <w:sz w:val="20"/>
              </w:rPr>
              <w:t>estrategias</w:t>
            </w:r>
            <w:r>
              <w:rPr>
                <w:spacing w:val="-9"/>
                <w:sz w:val="20"/>
              </w:rPr>
              <w:t> </w:t>
            </w:r>
            <w:r>
              <w:rPr>
                <w:sz w:val="20"/>
              </w:rPr>
              <w:t>cobratoria</w:t>
            </w:r>
            <w:r>
              <w:rPr>
                <w:spacing w:val="-9"/>
                <w:sz w:val="20"/>
              </w:rPr>
              <w:t> </w:t>
            </w:r>
            <w:r>
              <w:rPr>
                <w:sz w:val="20"/>
              </w:rPr>
              <w:t>diseñadas</w:t>
            </w:r>
            <w:r>
              <w:rPr>
                <w:spacing w:val="-9"/>
                <w:sz w:val="20"/>
              </w:rPr>
              <w:t> </w:t>
            </w:r>
            <w:r>
              <w:rPr>
                <w:sz w:val="20"/>
              </w:rPr>
              <w:t>y</w:t>
            </w:r>
            <w:r>
              <w:rPr>
                <w:spacing w:val="-8"/>
                <w:sz w:val="20"/>
              </w:rPr>
              <w:t> </w:t>
            </w:r>
            <w:r>
              <w:rPr>
                <w:spacing w:val="-2"/>
                <w:sz w:val="20"/>
              </w:rPr>
              <w:t>ejecutadas</w:t>
            </w:r>
          </w:p>
        </w:tc>
      </w:tr>
      <w:tr>
        <w:trPr>
          <w:trHeight w:val="479" w:hRule="atLeast"/>
        </w:trPr>
        <w:tc>
          <w:tcPr>
            <w:tcW w:w="2977" w:type="dxa"/>
            <w:gridSpan w:val="2"/>
            <w:shd w:val="clear" w:color="auto" w:fill="DBE4F0"/>
          </w:tcPr>
          <w:p>
            <w:pPr>
              <w:pStyle w:val="TableParagraph"/>
              <w:spacing w:before="124"/>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before="124"/>
              <w:ind w:left="69"/>
              <w:rPr>
                <w:sz w:val="20"/>
              </w:rPr>
            </w:pPr>
            <w:r>
              <w:rPr>
                <w:sz w:val="20"/>
              </w:rPr>
              <w:t>Sumatoria</w:t>
            </w:r>
            <w:r>
              <w:rPr>
                <w:spacing w:val="-8"/>
                <w:sz w:val="20"/>
              </w:rPr>
              <w:t> </w:t>
            </w:r>
            <w:r>
              <w:rPr>
                <w:sz w:val="20"/>
              </w:rPr>
              <w:t>de</w:t>
            </w:r>
            <w:r>
              <w:rPr>
                <w:spacing w:val="-8"/>
                <w:sz w:val="20"/>
              </w:rPr>
              <w:t> </w:t>
            </w:r>
            <w:r>
              <w:rPr>
                <w:sz w:val="20"/>
              </w:rPr>
              <w:t>la</w:t>
            </w:r>
            <w:r>
              <w:rPr>
                <w:spacing w:val="-8"/>
                <w:sz w:val="20"/>
              </w:rPr>
              <w:t> </w:t>
            </w:r>
            <w:r>
              <w:rPr>
                <w:sz w:val="20"/>
              </w:rPr>
              <w:t>Cantidad</w:t>
            </w:r>
            <w:r>
              <w:rPr>
                <w:spacing w:val="-5"/>
                <w:sz w:val="20"/>
              </w:rPr>
              <w:t> </w:t>
            </w:r>
            <w:r>
              <w:rPr>
                <w:sz w:val="20"/>
              </w:rPr>
              <w:t>de</w:t>
            </w:r>
            <w:r>
              <w:rPr>
                <w:spacing w:val="-8"/>
                <w:sz w:val="20"/>
              </w:rPr>
              <w:t> </w:t>
            </w:r>
            <w:r>
              <w:rPr>
                <w:sz w:val="20"/>
              </w:rPr>
              <w:t>estrategias</w:t>
            </w:r>
            <w:r>
              <w:rPr>
                <w:spacing w:val="-7"/>
                <w:sz w:val="20"/>
              </w:rPr>
              <w:t> </w:t>
            </w:r>
            <w:r>
              <w:rPr>
                <w:sz w:val="20"/>
              </w:rPr>
              <w:t>cobratorias</w:t>
            </w:r>
            <w:r>
              <w:rPr>
                <w:spacing w:val="-7"/>
                <w:sz w:val="20"/>
              </w:rPr>
              <w:t> </w:t>
            </w:r>
            <w:r>
              <w:rPr>
                <w:sz w:val="20"/>
              </w:rPr>
              <w:t>diseñadas</w:t>
            </w:r>
            <w:r>
              <w:rPr>
                <w:spacing w:val="-7"/>
                <w:sz w:val="20"/>
              </w:rPr>
              <w:t> </w:t>
            </w:r>
            <w:r>
              <w:rPr>
                <w:sz w:val="20"/>
              </w:rPr>
              <w:t>y</w:t>
            </w:r>
            <w:r>
              <w:rPr>
                <w:spacing w:val="-6"/>
                <w:sz w:val="20"/>
              </w:rPr>
              <w:t> </w:t>
            </w:r>
            <w:r>
              <w:rPr>
                <w:spacing w:val="-2"/>
                <w:sz w:val="20"/>
              </w:rPr>
              <w:t>ejecutadas</w:t>
            </w:r>
          </w:p>
        </w:tc>
      </w:tr>
      <w:tr>
        <w:trPr>
          <w:trHeight w:val="299" w:hRule="atLeast"/>
        </w:trPr>
        <w:tc>
          <w:tcPr>
            <w:tcW w:w="2977" w:type="dxa"/>
            <w:gridSpan w:val="2"/>
            <w:shd w:val="clear" w:color="auto" w:fill="DBE4F0"/>
          </w:tcPr>
          <w:p>
            <w:pPr>
              <w:pStyle w:val="TableParagraph"/>
              <w:spacing w:before="33"/>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33"/>
              <w:ind w:left="69"/>
              <w:rPr>
                <w:sz w:val="20"/>
              </w:rPr>
            </w:pPr>
            <w:r>
              <w:rPr>
                <w:sz w:val="20"/>
              </w:rPr>
              <w:t>Cantidad</w:t>
            </w:r>
            <w:r>
              <w:rPr>
                <w:spacing w:val="-11"/>
                <w:sz w:val="20"/>
              </w:rPr>
              <w:t> </w:t>
            </w:r>
            <w:r>
              <w:rPr>
                <w:sz w:val="20"/>
              </w:rPr>
              <w:t>de</w:t>
            </w:r>
            <w:r>
              <w:rPr>
                <w:spacing w:val="-8"/>
                <w:sz w:val="20"/>
              </w:rPr>
              <w:t> </w:t>
            </w:r>
            <w:r>
              <w:rPr>
                <w:sz w:val="20"/>
              </w:rPr>
              <w:t>estrategias</w:t>
            </w:r>
            <w:r>
              <w:rPr>
                <w:spacing w:val="-10"/>
                <w:sz w:val="20"/>
              </w:rPr>
              <w:t> </w:t>
            </w:r>
            <w:r>
              <w:rPr>
                <w:sz w:val="20"/>
              </w:rPr>
              <w:t>cobratorias</w:t>
            </w:r>
            <w:r>
              <w:rPr>
                <w:spacing w:val="-9"/>
                <w:sz w:val="20"/>
              </w:rPr>
              <w:t> </w:t>
            </w:r>
            <w:r>
              <w:rPr>
                <w:spacing w:val="-2"/>
                <w:sz w:val="20"/>
              </w:rPr>
              <w:t>implementadas</w:t>
            </w:r>
          </w:p>
        </w:tc>
      </w:tr>
      <w:tr>
        <w:trPr>
          <w:trHeight w:val="1440" w:hRule="atLeast"/>
        </w:trPr>
        <w:tc>
          <w:tcPr>
            <w:tcW w:w="2977" w:type="dxa"/>
            <w:gridSpan w:val="2"/>
            <w:shd w:val="clear" w:color="auto" w:fill="DBE4F0"/>
          </w:tcPr>
          <w:p>
            <w:pPr>
              <w:pStyle w:val="TableParagraph"/>
              <w:rPr>
                <w:b/>
                <w:sz w:val="20"/>
              </w:rPr>
            </w:pPr>
          </w:p>
          <w:p>
            <w:pPr>
              <w:pStyle w:val="TableParagraph"/>
              <w:spacing w:before="144"/>
              <w:rPr>
                <w:b/>
                <w:sz w:val="20"/>
              </w:rPr>
            </w:pPr>
          </w:p>
          <w:p>
            <w:pPr>
              <w:pStyle w:val="TableParagraph"/>
              <w:ind w:left="67"/>
              <w:rPr>
                <w:b/>
                <w:sz w:val="20"/>
              </w:rPr>
            </w:pPr>
            <w:r>
              <w:rPr>
                <w:b/>
                <w:spacing w:val="-2"/>
                <w:sz w:val="20"/>
              </w:rPr>
              <w:t>Interpretación:</w:t>
            </w:r>
          </w:p>
        </w:tc>
        <w:tc>
          <w:tcPr>
            <w:tcW w:w="7514" w:type="dxa"/>
          </w:tcPr>
          <w:p>
            <w:pPr>
              <w:pStyle w:val="TableParagraph"/>
              <w:spacing w:before="144"/>
              <w:ind w:left="69" w:right="170"/>
              <w:rPr>
                <w:sz w:val="20"/>
              </w:rPr>
            </w:pPr>
            <w:r>
              <w:rPr>
                <w:sz w:val="20"/>
              </w:rPr>
              <w:t>La Unidad de Administración Tributaria tiene la necesidad de la ejecución e implementación de estrategias cobratorias, con las cuales se realizan las gestiones cobratorias, dentro de las herramientas a utilizar se encuentran la utilización</w:t>
            </w:r>
            <w:r>
              <w:rPr>
                <w:spacing w:val="-6"/>
                <w:sz w:val="20"/>
              </w:rPr>
              <w:t> </w:t>
            </w:r>
            <w:r>
              <w:rPr>
                <w:sz w:val="20"/>
              </w:rPr>
              <w:t>del</w:t>
            </w:r>
            <w:r>
              <w:rPr>
                <w:spacing w:val="-6"/>
                <w:sz w:val="20"/>
              </w:rPr>
              <w:t> </w:t>
            </w:r>
            <w:r>
              <w:rPr>
                <w:sz w:val="20"/>
              </w:rPr>
              <w:t>centro</w:t>
            </w:r>
            <w:r>
              <w:rPr>
                <w:spacing w:val="-3"/>
                <w:sz w:val="20"/>
              </w:rPr>
              <w:t> </w:t>
            </w:r>
            <w:r>
              <w:rPr>
                <w:sz w:val="20"/>
              </w:rPr>
              <w:t>de</w:t>
            </w:r>
            <w:r>
              <w:rPr>
                <w:spacing w:val="-4"/>
                <w:sz w:val="20"/>
              </w:rPr>
              <w:t> </w:t>
            </w:r>
            <w:r>
              <w:rPr>
                <w:sz w:val="20"/>
              </w:rPr>
              <w:t>llamadas,</w:t>
            </w:r>
            <w:r>
              <w:rPr>
                <w:spacing w:val="-3"/>
                <w:sz w:val="20"/>
              </w:rPr>
              <w:t> </w:t>
            </w:r>
            <w:r>
              <w:rPr>
                <w:sz w:val="20"/>
              </w:rPr>
              <w:t>envío</w:t>
            </w:r>
            <w:r>
              <w:rPr>
                <w:spacing w:val="-3"/>
                <w:sz w:val="20"/>
              </w:rPr>
              <w:t> </w:t>
            </w:r>
            <w:r>
              <w:rPr>
                <w:sz w:val="20"/>
              </w:rPr>
              <w:t>de</w:t>
            </w:r>
            <w:r>
              <w:rPr>
                <w:spacing w:val="-6"/>
                <w:sz w:val="20"/>
              </w:rPr>
              <w:t> </w:t>
            </w:r>
            <w:r>
              <w:rPr>
                <w:sz w:val="20"/>
              </w:rPr>
              <w:t>correo</w:t>
            </w:r>
            <w:r>
              <w:rPr>
                <w:spacing w:val="-5"/>
                <w:sz w:val="20"/>
              </w:rPr>
              <w:t> </w:t>
            </w:r>
            <w:r>
              <w:rPr>
                <w:sz w:val="20"/>
              </w:rPr>
              <w:t>masivo,</w:t>
            </w:r>
            <w:r>
              <w:rPr>
                <w:spacing w:val="-5"/>
                <w:sz w:val="20"/>
              </w:rPr>
              <w:t> </w:t>
            </w:r>
            <w:r>
              <w:rPr>
                <w:sz w:val="20"/>
              </w:rPr>
              <w:t>asignación</w:t>
            </w:r>
            <w:r>
              <w:rPr>
                <w:spacing w:val="-6"/>
                <w:sz w:val="20"/>
              </w:rPr>
              <w:t> </w:t>
            </w:r>
            <w:r>
              <w:rPr>
                <w:sz w:val="20"/>
              </w:rPr>
              <w:t>de</w:t>
            </w:r>
            <w:r>
              <w:rPr>
                <w:spacing w:val="-5"/>
                <w:sz w:val="20"/>
              </w:rPr>
              <w:t> </w:t>
            </w:r>
            <w:r>
              <w:rPr>
                <w:sz w:val="20"/>
              </w:rPr>
              <w:t>cartera especifica, depuración de la cartera, giras, entre otras.</w:t>
            </w:r>
          </w:p>
        </w:tc>
      </w:tr>
      <w:tr>
        <w:trPr>
          <w:trHeight w:val="299" w:hRule="atLeast"/>
        </w:trPr>
        <w:tc>
          <w:tcPr>
            <w:tcW w:w="2977" w:type="dxa"/>
            <w:gridSpan w:val="2"/>
            <w:shd w:val="clear" w:color="auto" w:fill="DBE4F0"/>
          </w:tcPr>
          <w:p>
            <w:pPr>
              <w:pStyle w:val="TableParagraph"/>
              <w:spacing w:before="35"/>
              <w:ind w:left="67"/>
              <w:rPr>
                <w:b/>
                <w:sz w:val="20"/>
              </w:rPr>
            </w:pPr>
            <w:r>
              <w:rPr>
                <w:b/>
                <w:spacing w:val="-2"/>
                <w:sz w:val="20"/>
              </w:rPr>
              <w:t>Desagregación</w:t>
            </w:r>
          </w:p>
        </w:tc>
        <w:tc>
          <w:tcPr>
            <w:tcW w:w="7514" w:type="dxa"/>
          </w:tcPr>
          <w:p>
            <w:pPr>
              <w:pStyle w:val="TableParagraph"/>
              <w:spacing w:before="35"/>
              <w:ind w:left="69"/>
              <w:rPr>
                <w:sz w:val="20"/>
              </w:rPr>
            </w:pPr>
            <w:r>
              <w:rPr>
                <w:sz w:val="20"/>
              </w:rPr>
              <w:t>No</w:t>
            </w:r>
            <w:r>
              <w:rPr>
                <w:spacing w:val="-5"/>
                <w:sz w:val="20"/>
              </w:rPr>
              <w:t> </w:t>
            </w:r>
            <w:r>
              <w:rPr>
                <w:spacing w:val="-2"/>
                <w:sz w:val="20"/>
              </w:rPr>
              <w:t>Aplica</w:t>
            </w:r>
          </w:p>
        </w:tc>
      </w:tr>
      <w:tr>
        <w:trPr>
          <w:trHeight w:val="299" w:hRule="atLeast"/>
        </w:trPr>
        <w:tc>
          <w:tcPr>
            <w:tcW w:w="2977" w:type="dxa"/>
            <w:gridSpan w:val="2"/>
            <w:shd w:val="clear" w:color="auto" w:fill="DBE4F0"/>
          </w:tcPr>
          <w:p>
            <w:pPr>
              <w:pStyle w:val="TableParagraph"/>
              <w:spacing w:before="35"/>
              <w:ind w:left="67"/>
              <w:rPr>
                <w:b/>
                <w:sz w:val="20"/>
              </w:rPr>
            </w:pPr>
            <w:r>
              <w:rPr>
                <w:b/>
                <w:spacing w:val="-2"/>
                <w:sz w:val="20"/>
              </w:rPr>
              <w:t>Meta:</w:t>
            </w:r>
          </w:p>
        </w:tc>
        <w:tc>
          <w:tcPr>
            <w:tcW w:w="7514" w:type="dxa"/>
          </w:tcPr>
          <w:p>
            <w:pPr>
              <w:pStyle w:val="TableParagraph"/>
              <w:spacing w:before="35"/>
              <w:ind w:left="69"/>
              <w:rPr>
                <w:sz w:val="20"/>
              </w:rPr>
            </w:pPr>
            <w:r>
              <w:rPr>
                <w:sz w:val="20"/>
              </w:rPr>
              <w:t>12</w:t>
            </w:r>
            <w:r>
              <w:rPr>
                <w:spacing w:val="-9"/>
                <w:sz w:val="20"/>
              </w:rPr>
              <w:t> </w:t>
            </w:r>
            <w:r>
              <w:rPr>
                <w:sz w:val="20"/>
              </w:rPr>
              <w:t>estrategias</w:t>
            </w:r>
            <w:r>
              <w:rPr>
                <w:spacing w:val="-7"/>
                <w:sz w:val="20"/>
              </w:rPr>
              <w:t> </w:t>
            </w:r>
            <w:r>
              <w:rPr>
                <w:sz w:val="20"/>
              </w:rPr>
              <w:t>cobratorias</w:t>
            </w:r>
            <w:r>
              <w:rPr>
                <w:spacing w:val="-5"/>
                <w:sz w:val="20"/>
              </w:rPr>
              <w:t> </w:t>
            </w:r>
            <w:r>
              <w:rPr>
                <w:sz w:val="20"/>
              </w:rPr>
              <w:t>implementadas/</w:t>
            </w:r>
            <w:r>
              <w:rPr>
                <w:spacing w:val="-8"/>
                <w:sz w:val="20"/>
              </w:rPr>
              <w:t> </w:t>
            </w:r>
            <w:r>
              <w:rPr>
                <w:sz w:val="20"/>
              </w:rPr>
              <w:t>monto</w:t>
            </w:r>
            <w:r>
              <w:rPr>
                <w:spacing w:val="-8"/>
                <w:sz w:val="20"/>
              </w:rPr>
              <w:t> </w:t>
            </w:r>
            <w:r>
              <w:rPr>
                <w:sz w:val="20"/>
              </w:rPr>
              <w:t>C</w:t>
            </w:r>
            <w:r>
              <w:rPr>
                <w:spacing w:val="-8"/>
                <w:sz w:val="20"/>
              </w:rPr>
              <w:t> </w:t>
            </w:r>
            <w:r>
              <w:rPr>
                <w:sz w:val="20"/>
              </w:rPr>
              <w:t>40</w:t>
            </w:r>
            <w:r>
              <w:rPr>
                <w:spacing w:val="-7"/>
                <w:sz w:val="20"/>
              </w:rPr>
              <w:t> </w:t>
            </w:r>
            <w:r>
              <w:rPr>
                <w:sz w:val="20"/>
              </w:rPr>
              <w:t>000</w:t>
            </w:r>
            <w:r>
              <w:rPr>
                <w:spacing w:val="-8"/>
                <w:sz w:val="20"/>
              </w:rPr>
              <w:t> </w:t>
            </w:r>
            <w:r>
              <w:rPr>
                <w:spacing w:val="-5"/>
                <w:sz w:val="20"/>
              </w:rPr>
              <w:t>000</w:t>
            </w:r>
          </w:p>
        </w:tc>
      </w:tr>
      <w:tr>
        <w:trPr>
          <w:trHeight w:val="302" w:hRule="atLeast"/>
        </w:trPr>
        <w:tc>
          <w:tcPr>
            <w:tcW w:w="2977" w:type="dxa"/>
            <w:gridSpan w:val="2"/>
            <w:shd w:val="clear" w:color="auto" w:fill="DBE4F0"/>
          </w:tcPr>
          <w:p>
            <w:pPr>
              <w:pStyle w:val="TableParagraph"/>
              <w:spacing w:before="35"/>
              <w:ind w:left="67"/>
              <w:rPr>
                <w:b/>
                <w:sz w:val="20"/>
              </w:rPr>
            </w:pPr>
            <w:r>
              <w:rPr>
                <w:b/>
                <w:sz w:val="20"/>
              </w:rPr>
              <w:t>Línea</w:t>
            </w:r>
            <w:r>
              <w:rPr>
                <w:b/>
                <w:spacing w:val="-10"/>
                <w:sz w:val="20"/>
              </w:rPr>
              <w:t> </w:t>
            </w:r>
            <w:r>
              <w:rPr>
                <w:b/>
                <w:spacing w:val="-4"/>
                <w:sz w:val="20"/>
              </w:rPr>
              <w:t>Base</w:t>
            </w:r>
          </w:p>
        </w:tc>
        <w:tc>
          <w:tcPr>
            <w:tcW w:w="7514" w:type="dxa"/>
          </w:tcPr>
          <w:p>
            <w:pPr>
              <w:pStyle w:val="TableParagraph"/>
              <w:spacing w:before="35"/>
              <w:ind w:left="69"/>
              <w:rPr>
                <w:sz w:val="20"/>
              </w:rPr>
            </w:pPr>
            <w:r>
              <w:rPr>
                <w:sz w:val="20"/>
              </w:rPr>
              <w:t>La</w:t>
            </w:r>
            <w:r>
              <w:rPr>
                <w:spacing w:val="-6"/>
                <w:sz w:val="20"/>
              </w:rPr>
              <w:t> </w:t>
            </w:r>
            <w:r>
              <w:rPr>
                <w:sz w:val="20"/>
              </w:rPr>
              <w:t>línea</w:t>
            </w:r>
            <w:r>
              <w:rPr>
                <w:spacing w:val="-5"/>
                <w:sz w:val="20"/>
              </w:rPr>
              <w:t> </w:t>
            </w:r>
            <w:r>
              <w:rPr>
                <w:sz w:val="20"/>
              </w:rPr>
              <w:t>base</w:t>
            </w:r>
            <w:r>
              <w:rPr>
                <w:spacing w:val="-2"/>
                <w:sz w:val="20"/>
              </w:rPr>
              <w:t> </w:t>
            </w:r>
            <w:r>
              <w:rPr>
                <w:sz w:val="20"/>
              </w:rPr>
              <w:t>es</w:t>
            </w:r>
            <w:r>
              <w:rPr>
                <w:spacing w:val="-4"/>
                <w:sz w:val="20"/>
              </w:rPr>
              <w:t> </w:t>
            </w:r>
            <w:r>
              <w:rPr>
                <w:sz w:val="20"/>
              </w:rPr>
              <w:t>12</w:t>
            </w:r>
            <w:r>
              <w:rPr>
                <w:spacing w:val="-3"/>
                <w:sz w:val="20"/>
              </w:rPr>
              <w:t> </w:t>
            </w:r>
            <w:r>
              <w:rPr>
                <w:sz w:val="20"/>
              </w:rPr>
              <w:t>(2024)</w:t>
            </w:r>
            <w:r>
              <w:rPr>
                <w:spacing w:val="-2"/>
                <w:sz w:val="20"/>
              </w:rPr>
              <w:t> </w:t>
            </w:r>
            <w:r>
              <w:rPr>
                <w:sz w:val="20"/>
              </w:rPr>
              <w:t>y</w:t>
            </w:r>
            <w:r>
              <w:rPr>
                <w:spacing w:val="-3"/>
                <w:sz w:val="20"/>
              </w:rPr>
              <w:t> </w:t>
            </w:r>
            <w:r>
              <w:rPr>
                <w:sz w:val="20"/>
              </w:rPr>
              <w:t>el</w:t>
            </w:r>
            <w:r>
              <w:rPr>
                <w:spacing w:val="-6"/>
                <w:sz w:val="20"/>
              </w:rPr>
              <w:t> </w:t>
            </w:r>
            <w:r>
              <w:rPr>
                <w:sz w:val="20"/>
              </w:rPr>
              <w:t>dato</w:t>
            </w:r>
            <w:r>
              <w:rPr>
                <w:spacing w:val="-3"/>
                <w:sz w:val="20"/>
              </w:rPr>
              <w:t> </w:t>
            </w:r>
            <w:r>
              <w:rPr>
                <w:sz w:val="20"/>
              </w:rPr>
              <w:t>es</w:t>
            </w:r>
            <w:r>
              <w:rPr>
                <w:spacing w:val="-4"/>
                <w:sz w:val="20"/>
              </w:rPr>
              <w:t> </w:t>
            </w:r>
            <w:r>
              <w:rPr>
                <w:spacing w:val="-2"/>
                <w:sz w:val="20"/>
              </w:rPr>
              <w:t>acumulado.</w:t>
            </w:r>
          </w:p>
        </w:tc>
      </w:tr>
      <w:tr>
        <w:trPr>
          <w:trHeight w:val="479" w:hRule="atLeast"/>
        </w:trPr>
        <w:tc>
          <w:tcPr>
            <w:tcW w:w="2977" w:type="dxa"/>
            <w:gridSpan w:val="2"/>
            <w:shd w:val="clear" w:color="auto" w:fill="DBE4F0"/>
          </w:tcPr>
          <w:p>
            <w:pPr>
              <w:pStyle w:val="TableParagraph"/>
              <w:spacing w:line="230" w:lineRule="atLeast"/>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124"/>
              <w:ind w:left="69"/>
              <w:rPr>
                <w:sz w:val="20"/>
              </w:rPr>
            </w:pPr>
            <w:r>
              <w:rPr>
                <w:spacing w:val="-2"/>
                <w:sz w:val="20"/>
              </w:rPr>
              <w:t>Trimestral</w:t>
            </w:r>
          </w:p>
        </w:tc>
      </w:tr>
      <w:tr>
        <w:trPr>
          <w:trHeight w:val="479" w:hRule="atLeast"/>
        </w:trPr>
        <w:tc>
          <w:tcPr>
            <w:tcW w:w="2977" w:type="dxa"/>
            <w:gridSpan w:val="2"/>
            <w:shd w:val="clear" w:color="auto" w:fill="DBE4F0"/>
          </w:tcPr>
          <w:p>
            <w:pPr>
              <w:pStyle w:val="TableParagraph"/>
              <w:spacing w:line="230" w:lineRule="atLeast"/>
              <w:ind w:left="67" w:right="515"/>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line="230" w:lineRule="atLeast"/>
              <w:ind w:left="69" w:right="2852"/>
              <w:rPr>
                <w:sz w:val="20"/>
              </w:rPr>
            </w:pPr>
            <w:r>
              <w:rPr>
                <w:sz w:val="20"/>
              </w:rPr>
              <w:t>Nombre</w:t>
            </w:r>
            <w:r>
              <w:rPr>
                <w:spacing w:val="-8"/>
                <w:sz w:val="20"/>
              </w:rPr>
              <w:t> </w:t>
            </w:r>
            <w:r>
              <w:rPr>
                <w:sz w:val="20"/>
              </w:rPr>
              <w:t>del</w:t>
            </w:r>
            <w:r>
              <w:rPr>
                <w:spacing w:val="-11"/>
                <w:sz w:val="20"/>
              </w:rPr>
              <w:t> </w:t>
            </w:r>
            <w:r>
              <w:rPr>
                <w:sz w:val="20"/>
              </w:rPr>
              <w:t>funcionario:</w:t>
            </w:r>
            <w:r>
              <w:rPr>
                <w:spacing w:val="-10"/>
                <w:sz w:val="20"/>
              </w:rPr>
              <w:t> </w:t>
            </w:r>
            <w:r>
              <w:rPr>
                <w:sz w:val="20"/>
              </w:rPr>
              <w:t>Melvin</w:t>
            </w:r>
            <w:r>
              <w:rPr>
                <w:spacing w:val="-8"/>
                <w:sz w:val="20"/>
              </w:rPr>
              <w:t> </w:t>
            </w:r>
            <w:r>
              <w:rPr>
                <w:sz w:val="20"/>
              </w:rPr>
              <w:t>Cascante</w:t>
            </w:r>
            <w:r>
              <w:rPr>
                <w:spacing w:val="-10"/>
                <w:sz w:val="20"/>
              </w:rPr>
              <w:t> </w:t>
            </w:r>
            <w:r>
              <w:rPr>
                <w:sz w:val="20"/>
              </w:rPr>
              <w:t>López Cargo: Profesional Tributario</w:t>
            </w:r>
          </w:p>
        </w:tc>
      </w:tr>
      <w:tr>
        <w:trPr>
          <w:trHeight w:val="720" w:hRule="atLeast"/>
        </w:trPr>
        <w:tc>
          <w:tcPr>
            <w:tcW w:w="2977" w:type="dxa"/>
            <w:gridSpan w:val="2"/>
            <w:shd w:val="clear" w:color="auto" w:fill="DBE4F0"/>
          </w:tcPr>
          <w:p>
            <w:pPr>
              <w:pStyle w:val="TableParagraph"/>
              <w:spacing w:before="129"/>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4"/>
              <w:rPr>
                <w:b/>
                <w:sz w:val="20"/>
              </w:rPr>
            </w:pPr>
          </w:p>
          <w:p>
            <w:pPr>
              <w:pStyle w:val="TableParagraph"/>
              <w:spacing w:before="1"/>
              <w:ind w:left="69"/>
              <w:rPr>
                <w:sz w:val="20"/>
              </w:rPr>
            </w:pPr>
            <w:r>
              <w:rPr>
                <w:spacing w:val="-2"/>
                <w:sz w:val="20"/>
              </w:rPr>
              <w:t>Administración</w:t>
            </w:r>
            <w:r>
              <w:rPr>
                <w:spacing w:val="10"/>
                <w:sz w:val="20"/>
              </w:rPr>
              <w:t> </w:t>
            </w:r>
            <w:r>
              <w:rPr>
                <w:spacing w:val="-2"/>
                <w:sz w:val="20"/>
              </w:rPr>
              <w:t>Tributaria</w:t>
            </w:r>
          </w:p>
        </w:tc>
      </w:tr>
      <w:tr>
        <w:trPr>
          <w:trHeight w:val="299" w:hRule="atLeast"/>
        </w:trPr>
        <w:tc>
          <w:tcPr>
            <w:tcW w:w="2977" w:type="dxa"/>
            <w:gridSpan w:val="2"/>
            <w:shd w:val="clear" w:color="auto" w:fill="DBE4F0"/>
          </w:tcPr>
          <w:p>
            <w:pPr>
              <w:pStyle w:val="TableParagraph"/>
              <w:spacing w:before="35"/>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35"/>
              <w:ind w:left="69"/>
              <w:rPr>
                <w:sz w:val="20"/>
              </w:rPr>
            </w:pPr>
            <w:r>
              <w:rPr>
                <w:sz w:val="20"/>
              </w:rPr>
              <w:t>Unidad</w:t>
            </w:r>
            <w:r>
              <w:rPr>
                <w:spacing w:val="-10"/>
                <w:sz w:val="20"/>
              </w:rPr>
              <w:t> </w:t>
            </w:r>
            <w:r>
              <w:rPr>
                <w:sz w:val="20"/>
              </w:rPr>
              <w:t>de</w:t>
            </w:r>
            <w:r>
              <w:rPr>
                <w:spacing w:val="-10"/>
                <w:sz w:val="20"/>
              </w:rPr>
              <w:t> </w:t>
            </w:r>
            <w:r>
              <w:rPr>
                <w:sz w:val="20"/>
              </w:rPr>
              <w:t>Administración</w:t>
            </w:r>
            <w:r>
              <w:rPr>
                <w:spacing w:val="-9"/>
                <w:sz w:val="20"/>
              </w:rPr>
              <w:t> </w:t>
            </w:r>
            <w:r>
              <w:rPr>
                <w:spacing w:val="-2"/>
                <w:sz w:val="20"/>
              </w:rPr>
              <w:t>Tributaria</w:t>
            </w:r>
          </w:p>
        </w:tc>
      </w:tr>
      <w:tr>
        <w:trPr>
          <w:trHeight w:val="490" w:hRule="atLeast"/>
        </w:trPr>
        <w:tc>
          <w:tcPr>
            <w:tcW w:w="2977" w:type="dxa"/>
            <w:gridSpan w:val="2"/>
            <w:tcBorders>
              <w:bottom w:val="nil"/>
            </w:tcBorders>
            <w:shd w:val="clear" w:color="auto" w:fill="DBE4F0"/>
          </w:tcPr>
          <w:p>
            <w:pPr>
              <w:pStyle w:val="TableParagraph"/>
              <w:spacing w:before="124"/>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Borders>
              <w:bottom w:val="thickThinMediumGap" w:sz="9" w:space="0" w:color="808080"/>
            </w:tcBorders>
          </w:tcPr>
          <w:p>
            <w:pPr>
              <w:pStyle w:val="TableParagraph"/>
              <w:spacing w:before="124"/>
              <w:ind w:left="69"/>
              <w:rPr>
                <w:sz w:val="20"/>
              </w:rPr>
            </w:pPr>
            <w:r>
              <w:rPr>
                <w:sz w:val="20"/>
              </w:rPr>
              <w:t>Informes</w:t>
            </w:r>
            <w:r>
              <w:rPr>
                <w:spacing w:val="-9"/>
                <w:sz w:val="20"/>
              </w:rPr>
              <w:t> </w:t>
            </w:r>
            <w:r>
              <w:rPr>
                <w:sz w:val="20"/>
              </w:rPr>
              <w:t>Trimestrales</w:t>
            </w:r>
            <w:r>
              <w:rPr>
                <w:spacing w:val="-8"/>
                <w:sz w:val="20"/>
              </w:rPr>
              <w:t> </w:t>
            </w:r>
            <w:r>
              <w:rPr>
                <w:sz w:val="20"/>
              </w:rPr>
              <w:t>al</w:t>
            </w:r>
            <w:r>
              <w:rPr>
                <w:spacing w:val="-8"/>
                <w:sz w:val="20"/>
              </w:rPr>
              <w:t> </w:t>
            </w:r>
            <w:r>
              <w:rPr>
                <w:sz w:val="20"/>
              </w:rPr>
              <w:t>Superior</w:t>
            </w:r>
            <w:r>
              <w:rPr>
                <w:spacing w:val="-9"/>
                <w:sz w:val="20"/>
              </w:rPr>
              <w:t> </w:t>
            </w:r>
            <w:r>
              <w:rPr>
                <w:spacing w:val="-2"/>
                <w:sz w:val="20"/>
              </w:rPr>
              <w:t>Jerárquico</w:t>
            </w:r>
          </w:p>
        </w:tc>
      </w:tr>
      <w:tr>
        <w:trPr>
          <w:trHeight w:val="1666" w:hRule="atLeast"/>
        </w:trPr>
        <w:tc>
          <w:tcPr>
            <w:tcW w:w="1640" w:type="dxa"/>
            <w:tcBorders>
              <w:top w:val="thinThickMediumGap" w:sz="9" w:space="0" w:color="808080"/>
              <w:left w:val="nil"/>
              <w:bottom w:val="nil"/>
              <w:right w:val="single" w:sz="18" w:space="0" w:color="808080"/>
            </w:tcBorders>
          </w:tcPr>
          <w:p>
            <w:pPr>
              <w:pStyle w:val="TableParagraph"/>
              <w:spacing w:before="11"/>
              <w:ind w:left="821"/>
              <w:rPr>
                <w:b/>
                <w:sz w:val="24"/>
              </w:rPr>
            </w:pPr>
            <w:r>
              <w:rPr>
                <w:b/>
                <w:spacing w:val="-5"/>
                <w:sz w:val="24"/>
              </w:rPr>
              <w:t>218</w:t>
            </w:r>
          </w:p>
        </w:tc>
        <w:tc>
          <w:tcPr>
            <w:tcW w:w="8851" w:type="dxa"/>
            <w:gridSpan w:val="2"/>
            <w:tcBorders>
              <w:top w:val="nil"/>
              <w:left w:val="single" w:sz="18" w:space="0" w:color="808080"/>
              <w:bottom w:val="nil"/>
              <w:right w:val="nil"/>
            </w:tcBorders>
          </w:tcPr>
          <w:p>
            <w:pPr>
              <w:pStyle w:val="TableParagraph"/>
              <w:spacing w:before="11"/>
              <w:ind w:left="89"/>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c>
      </w:tr>
    </w:tbl>
    <w:p>
      <w:pPr>
        <w:pStyle w:val="TableParagraph"/>
        <w:spacing w:after="0"/>
        <w:rPr>
          <w:b/>
          <w:i/>
          <w:sz w:val="24"/>
        </w:rPr>
        <w:sectPr>
          <w:footerReference w:type="default" r:id="rId149"/>
          <w:pgSz w:w="12240" w:h="15840"/>
          <w:pgMar w:header="0" w:footer="0" w:top="1400" w:bottom="28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480" w:hRule="atLeast"/>
        </w:trPr>
        <w:tc>
          <w:tcPr>
            <w:tcW w:w="2976" w:type="dxa"/>
            <w:shd w:val="clear" w:color="auto" w:fill="DBE4F0"/>
          </w:tcPr>
          <w:p>
            <w:pPr>
              <w:pStyle w:val="TableParagraph"/>
              <w:spacing w:before="124"/>
              <w:ind w:left="67"/>
              <w:rPr>
                <w:b/>
                <w:sz w:val="20"/>
              </w:rPr>
            </w:pPr>
            <w:r>
              <w:rPr>
                <w:b/>
                <w:spacing w:val="-2"/>
                <w:sz w:val="20"/>
              </w:rPr>
              <w:t>Clasificación</w:t>
            </w:r>
          </w:p>
        </w:tc>
        <w:tc>
          <w:tcPr>
            <w:tcW w:w="7513" w:type="dxa"/>
          </w:tcPr>
          <w:p>
            <w:pPr>
              <w:pStyle w:val="TableParagraph"/>
              <w:spacing w:before="124"/>
              <w:ind w:left="70"/>
              <w:rPr>
                <w:sz w:val="20"/>
              </w:rPr>
            </w:pPr>
            <w:r>
              <w:rPr>
                <w:sz w:val="20"/>
              </w:rPr>
              <w:t>Impacto</w:t>
            </w:r>
            <w:r>
              <w:rPr>
                <w:spacing w:val="-4"/>
                <w:sz w:val="20"/>
              </w:rPr>
              <w:t> </w:t>
            </w:r>
            <w:r>
              <w:rPr>
                <w:sz w:val="20"/>
              </w:rPr>
              <w:t>()</w:t>
            </w:r>
            <w:r>
              <w:rPr>
                <w:spacing w:val="-4"/>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479" w:hRule="atLeast"/>
        </w:trPr>
        <w:tc>
          <w:tcPr>
            <w:tcW w:w="2976" w:type="dxa"/>
            <w:shd w:val="clear" w:color="auto" w:fill="DBE4F0"/>
          </w:tcPr>
          <w:p>
            <w:pPr>
              <w:pStyle w:val="TableParagraph"/>
              <w:spacing w:before="124"/>
              <w:ind w:left="67"/>
              <w:rPr>
                <w:b/>
                <w:sz w:val="20"/>
              </w:rPr>
            </w:pPr>
            <w:r>
              <w:rPr>
                <w:b/>
                <w:spacing w:val="-2"/>
                <w:sz w:val="20"/>
              </w:rPr>
              <w:t>Comentarios</w:t>
            </w:r>
            <w:r>
              <w:rPr>
                <w:b/>
                <w:spacing w:val="6"/>
                <w:sz w:val="20"/>
              </w:rPr>
              <w:t> </w:t>
            </w:r>
            <w:r>
              <w:rPr>
                <w:b/>
                <w:spacing w:val="-2"/>
                <w:sz w:val="20"/>
              </w:rPr>
              <w:t>Generales</w:t>
            </w:r>
          </w:p>
        </w:tc>
        <w:tc>
          <w:tcPr>
            <w:tcW w:w="7513" w:type="dxa"/>
          </w:tcPr>
          <w:p>
            <w:pPr>
              <w:pStyle w:val="TableParagraph"/>
              <w:spacing w:line="230" w:lineRule="atLeast"/>
              <w:ind w:left="70" w:right="133"/>
              <w:rPr>
                <w:sz w:val="20"/>
              </w:rPr>
            </w:pPr>
            <w:r>
              <w:rPr>
                <w:sz w:val="20"/>
              </w:rPr>
              <w:t>El</w:t>
            </w:r>
            <w:r>
              <w:rPr>
                <w:spacing w:val="-6"/>
                <w:sz w:val="20"/>
              </w:rPr>
              <w:t> </w:t>
            </w:r>
            <w:r>
              <w:rPr>
                <w:sz w:val="20"/>
              </w:rPr>
              <w:t>indicador</w:t>
            </w:r>
            <w:r>
              <w:rPr>
                <w:spacing w:val="-6"/>
                <w:sz w:val="20"/>
              </w:rPr>
              <w:t> </w:t>
            </w:r>
            <w:r>
              <w:rPr>
                <w:sz w:val="20"/>
              </w:rPr>
              <w:t>está</w:t>
            </w:r>
            <w:r>
              <w:rPr>
                <w:spacing w:val="-7"/>
                <w:sz w:val="20"/>
              </w:rPr>
              <w:t> </w:t>
            </w:r>
            <w:r>
              <w:rPr>
                <w:sz w:val="20"/>
              </w:rPr>
              <w:t>compuesto</w:t>
            </w:r>
            <w:r>
              <w:rPr>
                <w:spacing w:val="-6"/>
                <w:sz w:val="20"/>
              </w:rPr>
              <w:t> </w:t>
            </w:r>
            <w:r>
              <w:rPr>
                <w:sz w:val="20"/>
              </w:rPr>
              <w:t>12</w:t>
            </w:r>
            <w:r>
              <w:rPr>
                <w:spacing w:val="-5"/>
                <w:sz w:val="20"/>
              </w:rPr>
              <w:t> </w:t>
            </w:r>
            <w:r>
              <w:rPr>
                <w:sz w:val="20"/>
              </w:rPr>
              <w:t>estrategias</w:t>
            </w:r>
            <w:r>
              <w:rPr>
                <w:spacing w:val="-4"/>
                <w:sz w:val="20"/>
              </w:rPr>
              <w:t> </w:t>
            </w:r>
            <w:r>
              <w:rPr>
                <w:sz w:val="20"/>
              </w:rPr>
              <w:t>diseñadas</w:t>
            </w:r>
            <w:r>
              <w:rPr>
                <w:spacing w:val="-4"/>
                <w:sz w:val="20"/>
              </w:rPr>
              <w:t> </w:t>
            </w:r>
            <w:r>
              <w:rPr>
                <w:sz w:val="20"/>
              </w:rPr>
              <w:t>e</w:t>
            </w:r>
            <w:r>
              <w:rPr>
                <w:spacing w:val="-6"/>
                <w:sz w:val="20"/>
              </w:rPr>
              <w:t> </w:t>
            </w:r>
            <w:r>
              <w:rPr>
                <w:sz w:val="20"/>
              </w:rPr>
              <w:t>implementadas:</w:t>
            </w:r>
            <w:r>
              <w:rPr>
                <w:spacing w:val="-5"/>
                <w:sz w:val="20"/>
              </w:rPr>
              <w:t> </w:t>
            </w:r>
            <w:r>
              <w:rPr>
                <w:sz w:val="20"/>
              </w:rPr>
              <w:t>Se realizará una por mes durante el año.</w:t>
            </w:r>
          </w:p>
        </w:tc>
      </w:tr>
    </w:tbl>
    <w:p>
      <w:pPr>
        <w:pStyle w:val="BodyText"/>
        <w:rPr>
          <w:b/>
          <w:sz w:val="20"/>
        </w:rPr>
      </w:pPr>
    </w:p>
    <w:p>
      <w:pPr>
        <w:pStyle w:val="BodyText"/>
        <w:spacing w:before="19"/>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510" w:hRule="atLeast"/>
        </w:trPr>
        <w:tc>
          <w:tcPr>
            <w:tcW w:w="2976" w:type="dxa"/>
            <w:shd w:val="clear" w:color="auto" w:fill="DBE4F0"/>
          </w:tcPr>
          <w:p>
            <w:pPr>
              <w:pStyle w:val="TableParagraph"/>
              <w:spacing w:before="138"/>
              <w:ind w:left="67"/>
              <w:rPr>
                <w:b/>
                <w:sz w:val="20"/>
              </w:rPr>
            </w:pPr>
            <w:r>
              <w:rPr>
                <w:b/>
                <w:sz w:val="20"/>
              </w:rPr>
              <w:t>PAC</w:t>
            </w:r>
            <w:r>
              <w:rPr>
                <w:b/>
                <w:spacing w:val="-8"/>
                <w:sz w:val="20"/>
              </w:rPr>
              <w:t> </w:t>
            </w:r>
            <w:r>
              <w:rPr>
                <w:b/>
                <w:spacing w:val="-2"/>
                <w:sz w:val="20"/>
              </w:rPr>
              <w:t>2.10.2:</w:t>
            </w:r>
          </w:p>
        </w:tc>
        <w:tc>
          <w:tcPr>
            <w:tcW w:w="7513" w:type="dxa"/>
          </w:tcPr>
          <w:p>
            <w:pPr>
              <w:pStyle w:val="TableParagraph"/>
              <w:spacing w:before="138"/>
              <w:ind w:left="70"/>
              <w:rPr>
                <w:sz w:val="20"/>
              </w:rPr>
            </w:pPr>
            <w:r>
              <w:rPr>
                <w:sz w:val="20"/>
              </w:rPr>
              <w:t>Nombre</w:t>
            </w:r>
            <w:r>
              <w:rPr>
                <w:spacing w:val="-6"/>
                <w:sz w:val="20"/>
              </w:rPr>
              <w:t> </w:t>
            </w:r>
            <w:r>
              <w:rPr>
                <w:sz w:val="20"/>
              </w:rPr>
              <w:t>de</w:t>
            </w:r>
            <w:r>
              <w:rPr>
                <w:spacing w:val="-7"/>
                <w:sz w:val="20"/>
              </w:rPr>
              <w:t> </w:t>
            </w:r>
            <w:r>
              <w:rPr>
                <w:sz w:val="20"/>
              </w:rPr>
              <w:t>Indicador:</w:t>
            </w:r>
            <w:r>
              <w:rPr>
                <w:spacing w:val="-7"/>
                <w:sz w:val="20"/>
              </w:rPr>
              <w:t> </w:t>
            </w:r>
            <w:r>
              <w:rPr>
                <w:sz w:val="20"/>
              </w:rPr>
              <w:t>Monto</w:t>
            </w:r>
            <w:r>
              <w:rPr>
                <w:spacing w:val="-8"/>
                <w:sz w:val="20"/>
              </w:rPr>
              <w:t> </w:t>
            </w:r>
            <w:r>
              <w:rPr>
                <w:sz w:val="20"/>
              </w:rPr>
              <w:t>en</w:t>
            </w:r>
            <w:r>
              <w:rPr>
                <w:spacing w:val="-7"/>
                <w:sz w:val="20"/>
              </w:rPr>
              <w:t> </w:t>
            </w:r>
            <w:r>
              <w:rPr>
                <w:sz w:val="20"/>
              </w:rPr>
              <w:t>colones</w:t>
            </w:r>
            <w:r>
              <w:rPr>
                <w:spacing w:val="-7"/>
                <w:sz w:val="20"/>
              </w:rPr>
              <w:t> </w:t>
            </w:r>
            <w:r>
              <w:rPr>
                <w:sz w:val="20"/>
              </w:rPr>
              <w:t>estimado</w:t>
            </w:r>
            <w:r>
              <w:rPr>
                <w:spacing w:val="-8"/>
                <w:sz w:val="20"/>
              </w:rPr>
              <w:t> </w:t>
            </w:r>
            <w:r>
              <w:rPr>
                <w:sz w:val="20"/>
              </w:rPr>
              <w:t>de</w:t>
            </w:r>
            <w:r>
              <w:rPr>
                <w:spacing w:val="-8"/>
                <w:sz w:val="20"/>
              </w:rPr>
              <w:t> </w:t>
            </w:r>
            <w:r>
              <w:rPr>
                <w:sz w:val="20"/>
              </w:rPr>
              <w:t>los</w:t>
            </w:r>
            <w:r>
              <w:rPr>
                <w:spacing w:val="-6"/>
                <w:sz w:val="20"/>
              </w:rPr>
              <w:t> </w:t>
            </w:r>
            <w:r>
              <w:rPr>
                <w:sz w:val="20"/>
              </w:rPr>
              <w:t>ingresos</w:t>
            </w:r>
            <w:r>
              <w:rPr>
                <w:spacing w:val="-7"/>
                <w:sz w:val="20"/>
              </w:rPr>
              <w:t> </w:t>
            </w:r>
            <w:r>
              <w:rPr>
                <w:spacing w:val="-2"/>
                <w:sz w:val="20"/>
              </w:rPr>
              <w:t>tributarios</w:t>
            </w:r>
          </w:p>
        </w:tc>
      </w:tr>
      <w:tr>
        <w:trPr>
          <w:trHeight w:val="765" w:hRule="atLeast"/>
        </w:trPr>
        <w:tc>
          <w:tcPr>
            <w:tcW w:w="2976" w:type="dxa"/>
            <w:shd w:val="clear" w:color="auto" w:fill="DBE4F0"/>
          </w:tcPr>
          <w:p>
            <w:pPr>
              <w:pStyle w:val="TableParagraph"/>
              <w:spacing w:before="35"/>
              <w:rPr>
                <w:b/>
                <w:sz w:val="20"/>
              </w:rPr>
            </w:pPr>
          </w:p>
          <w:p>
            <w:pPr>
              <w:pStyle w:val="TableParagraph"/>
              <w:spacing w:before="1"/>
              <w:ind w:left="67"/>
              <w:rPr>
                <w:b/>
                <w:sz w:val="20"/>
              </w:rPr>
            </w:pPr>
            <w:r>
              <w:rPr>
                <w:b/>
                <w:sz w:val="20"/>
              </w:rPr>
              <w:t>Fórmula</w:t>
            </w:r>
            <w:r>
              <w:rPr>
                <w:b/>
                <w:spacing w:val="-6"/>
                <w:sz w:val="20"/>
              </w:rPr>
              <w:t> </w:t>
            </w:r>
            <w:r>
              <w:rPr>
                <w:b/>
                <w:sz w:val="20"/>
              </w:rPr>
              <w:t>de</w:t>
            </w:r>
            <w:r>
              <w:rPr>
                <w:b/>
                <w:spacing w:val="-5"/>
                <w:sz w:val="20"/>
              </w:rPr>
              <w:t> </w:t>
            </w:r>
            <w:r>
              <w:rPr>
                <w:b/>
                <w:spacing w:val="-2"/>
                <w:sz w:val="20"/>
              </w:rPr>
              <w:t>cálculo:</w:t>
            </w:r>
          </w:p>
        </w:tc>
        <w:tc>
          <w:tcPr>
            <w:tcW w:w="7513" w:type="dxa"/>
          </w:tcPr>
          <w:p>
            <w:pPr>
              <w:pStyle w:val="TableParagraph"/>
              <w:spacing w:before="150"/>
              <w:ind w:left="70" w:right="133"/>
              <w:rPr>
                <w:sz w:val="20"/>
              </w:rPr>
            </w:pPr>
            <w:r>
              <w:rPr>
                <w:sz w:val="20"/>
              </w:rPr>
              <w:t>Sumatoria</w:t>
            </w:r>
            <w:r>
              <w:rPr>
                <w:spacing w:val="-5"/>
                <w:sz w:val="20"/>
              </w:rPr>
              <w:t> </w:t>
            </w:r>
            <w:r>
              <w:rPr>
                <w:sz w:val="20"/>
              </w:rPr>
              <w:t>del</w:t>
            </w:r>
            <w:r>
              <w:rPr>
                <w:spacing w:val="-4"/>
                <w:sz w:val="20"/>
              </w:rPr>
              <w:t> </w:t>
            </w:r>
            <w:r>
              <w:rPr>
                <w:sz w:val="20"/>
              </w:rPr>
              <w:t>Monto</w:t>
            </w:r>
            <w:r>
              <w:rPr>
                <w:spacing w:val="-6"/>
                <w:sz w:val="20"/>
              </w:rPr>
              <w:t> </w:t>
            </w:r>
            <w:r>
              <w:rPr>
                <w:sz w:val="20"/>
              </w:rPr>
              <w:t>total</w:t>
            </w:r>
            <w:r>
              <w:rPr>
                <w:spacing w:val="-6"/>
                <w:sz w:val="20"/>
              </w:rPr>
              <w:t> </w:t>
            </w:r>
            <w:r>
              <w:rPr>
                <w:sz w:val="20"/>
              </w:rPr>
              <w:t>recaudado</w:t>
            </w:r>
            <w:r>
              <w:rPr>
                <w:spacing w:val="-4"/>
                <w:sz w:val="20"/>
              </w:rPr>
              <w:t> </w:t>
            </w:r>
            <w:r>
              <w:rPr>
                <w:sz w:val="20"/>
              </w:rPr>
              <w:t>por</w:t>
            </w:r>
            <w:r>
              <w:rPr>
                <w:spacing w:val="-4"/>
                <w:sz w:val="20"/>
              </w:rPr>
              <w:t> </w:t>
            </w:r>
            <w:r>
              <w:rPr>
                <w:sz w:val="20"/>
              </w:rPr>
              <w:t>concepto</w:t>
            </w:r>
            <w:r>
              <w:rPr>
                <w:spacing w:val="-4"/>
                <w:sz w:val="20"/>
              </w:rPr>
              <w:t> </w:t>
            </w:r>
            <w:r>
              <w:rPr>
                <w:sz w:val="20"/>
              </w:rPr>
              <w:t>de</w:t>
            </w:r>
            <w:r>
              <w:rPr>
                <w:spacing w:val="-4"/>
                <w:sz w:val="20"/>
              </w:rPr>
              <w:t> </w:t>
            </w:r>
            <w:r>
              <w:rPr>
                <w:sz w:val="20"/>
              </w:rPr>
              <w:t>Generación</w:t>
            </w:r>
            <w:r>
              <w:rPr>
                <w:spacing w:val="-6"/>
                <w:sz w:val="20"/>
              </w:rPr>
              <w:t> </w:t>
            </w:r>
            <w:r>
              <w:rPr>
                <w:sz w:val="20"/>
              </w:rPr>
              <w:t>de</w:t>
            </w:r>
            <w:r>
              <w:rPr>
                <w:spacing w:val="-5"/>
                <w:sz w:val="20"/>
              </w:rPr>
              <w:t> </w:t>
            </w:r>
            <w:r>
              <w:rPr>
                <w:sz w:val="20"/>
              </w:rPr>
              <w:t>ingresos</w:t>
            </w:r>
            <w:r>
              <w:rPr>
                <w:spacing w:val="-4"/>
                <w:sz w:val="20"/>
              </w:rPr>
              <w:t> </w:t>
            </w:r>
            <w:r>
              <w:rPr>
                <w:sz w:val="20"/>
              </w:rPr>
              <w:t>por gestión cobratoria de aportes Patronos Privados, establecidos en la Ley 4760.</w:t>
            </w:r>
          </w:p>
        </w:tc>
      </w:tr>
      <w:tr>
        <w:trPr>
          <w:trHeight w:val="299" w:hRule="atLeast"/>
        </w:trPr>
        <w:tc>
          <w:tcPr>
            <w:tcW w:w="2976" w:type="dxa"/>
            <w:shd w:val="clear" w:color="auto" w:fill="DBE4F0"/>
          </w:tcPr>
          <w:p>
            <w:pPr>
              <w:pStyle w:val="TableParagraph"/>
              <w:spacing w:before="33"/>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33"/>
              <w:ind w:left="70"/>
              <w:rPr>
                <w:sz w:val="20"/>
              </w:rPr>
            </w:pPr>
            <w:r>
              <w:rPr>
                <w:sz w:val="20"/>
              </w:rPr>
              <w:t>Monto</w:t>
            </w:r>
            <w:r>
              <w:rPr>
                <w:spacing w:val="-8"/>
                <w:sz w:val="20"/>
              </w:rPr>
              <w:t> </w:t>
            </w:r>
            <w:r>
              <w:rPr>
                <w:sz w:val="20"/>
              </w:rPr>
              <w:t>total</w:t>
            </w:r>
            <w:r>
              <w:rPr>
                <w:spacing w:val="-8"/>
                <w:sz w:val="20"/>
              </w:rPr>
              <w:t> </w:t>
            </w:r>
            <w:r>
              <w:rPr>
                <w:sz w:val="20"/>
              </w:rPr>
              <w:t>recaudado</w:t>
            </w:r>
            <w:r>
              <w:rPr>
                <w:spacing w:val="-5"/>
                <w:sz w:val="20"/>
              </w:rPr>
              <w:t> </w:t>
            </w:r>
            <w:r>
              <w:rPr>
                <w:sz w:val="20"/>
              </w:rPr>
              <w:t>en</w:t>
            </w:r>
            <w:r>
              <w:rPr>
                <w:spacing w:val="-9"/>
                <w:sz w:val="20"/>
              </w:rPr>
              <w:t> </w:t>
            </w:r>
            <w:r>
              <w:rPr>
                <w:spacing w:val="-2"/>
                <w:sz w:val="20"/>
              </w:rPr>
              <w:t>colones</w:t>
            </w:r>
          </w:p>
        </w:tc>
      </w:tr>
      <w:tr>
        <w:trPr>
          <w:trHeight w:val="765" w:hRule="atLeast"/>
        </w:trPr>
        <w:tc>
          <w:tcPr>
            <w:tcW w:w="2976" w:type="dxa"/>
            <w:shd w:val="clear" w:color="auto" w:fill="DBE4F0"/>
          </w:tcPr>
          <w:p>
            <w:pPr>
              <w:pStyle w:val="TableParagraph"/>
              <w:spacing w:before="35"/>
              <w:rPr>
                <w:b/>
                <w:sz w:val="20"/>
              </w:rPr>
            </w:pPr>
          </w:p>
          <w:p>
            <w:pPr>
              <w:pStyle w:val="TableParagraph"/>
              <w:spacing w:before="1"/>
              <w:ind w:left="67"/>
              <w:rPr>
                <w:b/>
                <w:sz w:val="20"/>
              </w:rPr>
            </w:pPr>
            <w:r>
              <w:rPr>
                <w:b/>
                <w:spacing w:val="-2"/>
                <w:sz w:val="20"/>
              </w:rPr>
              <w:t>Interpretación:</w:t>
            </w:r>
          </w:p>
        </w:tc>
        <w:tc>
          <w:tcPr>
            <w:tcW w:w="7513" w:type="dxa"/>
          </w:tcPr>
          <w:p>
            <w:pPr>
              <w:pStyle w:val="TableParagraph"/>
              <w:spacing w:before="150"/>
              <w:ind w:left="70" w:right="133"/>
              <w:rPr>
                <w:sz w:val="20"/>
              </w:rPr>
            </w:pPr>
            <w:r>
              <w:rPr>
                <w:sz w:val="20"/>
              </w:rPr>
              <w:t>La</w:t>
            </w:r>
            <w:r>
              <w:rPr>
                <w:spacing w:val="-6"/>
                <w:sz w:val="20"/>
              </w:rPr>
              <w:t> </w:t>
            </w:r>
            <w:r>
              <w:rPr>
                <w:sz w:val="20"/>
              </w:rPr>
              <w:t>Unidad</w:t>
            </w:r>
            <w:r>
              <w:rPr>
                <w:spacing w:val="-6"/>
                <w:sz w:val="20"/>
              </w:rPr>
              <w:t> </w:t>
            </w:r>
            <w:r>
              <w:rPr>
                <w:sz w:val="20"/>
              </w:rPr>
              <w:t>de</w:t>
            </w:r>
            <w:r>
              <w:rPr>
                <w:spacing w:val="-3"/>
                <w:sz w:val="20"/>
              </w:rPr>
              <w:t> </w:t>
            </w:r>
            <w:r>
              <w:rPr>
                <w:sz w:val="20"/>
              </w:rPr>
              <w:t>Administración</w:t>
            </w:r>
            <w:r>
              <w:rPr>
                <w:spacing w:val="-5"/>
                <w:sz w:val="20"/>
              </w:rPr>
              <w:t> </w:t>
            </w:r>
            <w:r>
              <w:rPr>
                <w:sz w:val="20"/>
              </w:rPr>
              <w:t>Tributaria</w:t>
            </w:r>
            <w:r>
              <w:rPr>
                <w:spacing w:val="-5"/>
                <w:sz w:val="20"/>
              </w:rPr>
              <w:t> </w:t>
            </w:r>
            <w:r>
              <w:rPr>
                <w:sz w:val="20"/>
              </w:rPr>
              <w:t>es</w:t>
            </w:r>
            <w:r>
              <w:rPr>
                <w:spacing w:val="-4"/>
                <w:sz w:val="20"/>
              </w:rPr>
              <w:t> </w:t>
            </w:r>
            <w:r>
              <w:rPr>
                <w:sz w:val="20"/>
              </w:rPr>
              <w:t>la</w:t>
            </w:r>
            <w:r>
              <w:rPr>
                <w:spacing w:val="-5"/>
                <w:sz w:val="20"/>
              </w:rPr>
              <w:t> </w:t>
            </w:r>
            <w:r>
              <w:rPr>
                <w:sz w:val="20"/>
              </w:rPr>
              <w:t>encargada</w:t>
            </w:r>
            <w:r>
              <w:rPr>
                <w:spacing w:val="-5"/>
                <w:sz w:val="20"/>
              </w:rPr>
              <w:t> </w:t>
            </w:r>
            <w:r>
              <w:rPr>
                <w:sz w:val="20"/>
              </w:rPr>
              <w:t>de</w:t>
            </w:r>
            <w:r>
              <w:rPr>
                <w:spacing w:val="-3"/>
                <w:sz w:val="20"/>
              </w:rPr>
              <w:t> </w:t>
            </w:r>
            <w:r>
              <w:rPr>
                <w:sz w:val="20"/>
              </w:rPr>
              <w:t>gestionar</w:t>
            </w:r>
            <w:r>
              <w:rPr>
                <w:spacing w:val="-5"/>
                <w:sz w:val="20"/>
              </w:rPr>
              <w:t> </w:t>
            </w:r>
            <w:r>
              <w:rPr>
                <w:sz w:val="20"/>
              </w:rPr>
              <w:t>y</w:t>
            </w:r>
            <w:r>
              <w:rPr>
                <w:spacing w:val="-3"/>
                <w:sz w:val="20"/>
              </w:rPr>
              <w:t> </w:t>
            </w:r>
            <w:r>
              <w:rPr>
                <w:sz w:val="20"/>
              </w:rPr>
              <w:t>controlar</w:t>
            </w:r>
            <w:r>
              <w:rPr>
                <w:spacing w:val="-5"/>
                <w:sz w:val="20"/>
              </w:rPr>
              <w:t> </w:t>
            </w:r>
            <w:r>
              <w:rPr>
                <w:sz w:val="20"/>
              </w:rPr>
              <w:t>la Generación de ingresos por gestión cobratoria de aportes Patronos Privado.</w:t>
            </w:r>
          </w:p>
        </w:tc>
      </w:tr>
      <w:tr>
        <w:trPr>
          <w:trHeight w:val="299" w:hRule="atLeast"/>
        </w:trPr>
        <w:tc>
          <w:tcPr>
            <w:tcW w:w="2976" w:type="dxa"/>
            <w:shd w:val="clear" w:color="auto" w:fill="DBE4F0"/>
          </w:tcPr>
          <w:p>
            <w:pPr>
              <w:pStyle w:val="TableParagraph"/>
              <w:spacing w:before="33"/>
              <w:ind w:left="67"/>
              <w:rPr>
                <w:b/>
                <w:sz w:val="20"/>
              </w:rPr>
            </w:pPr>
            <w:r>
              <w:rPr>
                <w:b/>
                <w:spacing w:val="-2"/>
                <w:sz w:val="20"/>
              </w:rPr>
              <w:t>Desagregación</w:t>
            </w:r>
          </w:p>
        </w:tc>
        <w:tc>
          <w:tcPr>
            <w:tcW w:w="7513" w:type="dxa"/>
          </w:tcPr>
          <w:p>
            <w:pPr>
              <w:pStyle w:val="TableParagraph"/>
              <w:spacing w:before="33"/>
              <w:ind w:left="70"/>
              <w:rPr>
                <w:sz w:val="20"/>
              </w:rPr>
            </w:pPr>
            <w:r>
              <w:rPr>
                <w:sz w:val="20"/>
              </w:rPr>
              <w:t>No</w:t>
            </w:r>
            <w:r>
              <w:rPr>
                <w:spacing w:val="-5"/>
                <w:sz w:val="20"/>
              </w:rPr>
              <w:t> </w:t>
            </w:r>
            <w:r>
              <w:rPr>
                <w:spacing w:val="-2"/>
                <w:sz w:val="20"/>
              </w:rPr>
              <w:t>Aplica</w:t>
            </w:r>
          </w:p>
        </w:tc>
      </w:tr>
      <w:tr>
        <w:trPr>
          <w:trHeight w:val="299" w:hRule="atLeast"/>
        </w:trPr>
        <w:tc>
          <w:tcPr>
            <w:tcW w:w="2976" w:type="dxa"/>
            <w:shd w:val="clear" w:color="auto" w:fill="DBE4F0"/>
          </w:tcPr>
          <w:p>
            <w:pPr>
              <w:pStyle w:val="TableParagraph"/>
              <w:spacing w:before="33"/>
              <w:ind w:left="122"/>
              <w:rPr>
                <w:b/>
                <w:sz w:val="20"/>
              </w:rPr>
            </w:pPr>
            <w:r>
              <w:rPr>
                <w:b/>
                <w:spacing w:val="-2"/>
                <w:sz w:val="20"/>
              </w:rPr>
              <w:t>Meta:</w:t>
            </w:r>
          </w:p>
        </w:tc>
        <w:tc>
          <w:tcPr>
            <w:tcW w:w="7513" w:type="dxa"/>
          </w:tcPr>
          <w:p>
            <w:pPr>
              <w:pStyle w:val="TableParagraph"/>
              <w:spacing w:before="33"/>
              <w:ind w:right="372"/>
              <w:jc w:val="right"/>
              <w:rPr>
                <w:sz w:val="20"/>
              </w:rPr>
            </w:pPr>
            <w:r>
              <w:rPr>
                <w:sz w:val="20"/>
              </w:rPr>
              <w:t>53</w:t>
            </w:r>
            <w:r>
              <w:rPr>
                <w:spacing w:val="-5"/>
                <w:sz w:val="20"/>
              </w:rPr>
              <w:t> </w:t>
            </w:r>
            <w:r>
              <w:rPr>
                <w:sz w:val="20"/>
              </w:rPr>
              <w:t>990</w:t>
            </w:r>
            <w:r>
              <w:rPr>
                <w:spacing w:val="-4"/>
                <w:sz w:val="20"/>
              </w:rPr>
              <w:t> </w:t>
            </w:r>
            <w:r>
              <w:rPr>
                <w:sz w:val="20"/>
              </w:rPr>
              <w:t>146</w:t>
            </w:r>
            <w:r>
              <w:rPr>
                <w:spacing w:val="-3"/>
                <w:sz w:val="20"/>
              </w:rPr>
              <w:t> </w:t>
            </w:r>
            <w:r>
              <w:rPr>
                <w:spacing w:val="-2"/>
                <w:sz w:val="20"/>
              </w:rPr>
              <w:t>861,65</w:t>
            </w:r>
          </w:p>
        </w:tc>
      </w:tr>
      <w:tr>
        <w:trPr>
          <w:trHeight w:val="299" w:hRule="atLeast"/>
        </w:trPr>
        <w:tc>
          <w:tcPr>
            <w:tcW w:w="2976" w:type="dxa"/>
            <w:shd w:val="clear" w:color="auto" w:fill="DBE4F0"/>
          </w:tcPr>
          <w:p>
            <w:pPr>
              <w:pStyle w:val="TableParagraph"/>
              <w:spacing w:before="35"/>
              <w:ind w:left="67"/>
              <w:rPr>
                <w:b/>
                <w:sz w:val="20"/>
              </w:rPr>
            </w:pPr>
            <w:r>
              <w:rPr>
                <w:b/>
                <w:sz w:val="20"/>
              </w:rPr>
              <w:t>Línea</w:t>
            </w:r>
            <w:r>
              <w:rPr>
                <w:b/>
                <w:spacing w:val="-9"/>
                <w:sz w:val="20"/>
              </w:rPr>
              <w:t> </w:t>
            </w:r>
            <w:r>
              <w:rPr>
                <w:b/>
                <w:spacing w:val="-4"/>
                <w:sz w:val="20"/>
              </w:rPr>
              <w:t>Base</w:t>
            </w:r>
          </w:p>
        </w:tc>
        <w:tc>
          <w:tcPr>
            <w:tcW w:w="7513" w:type="dxa"/>
          </w:tcPr>
          <w:p>
            <w:pPr>
              <w:pStyle w:val="TableParagraph"/>
              <w:spacing w:before="35"/>
              <w:ind w:left="70"/>
              <w:rPr>
                <w:sz w:val="20"/>
              </w:rPr>
            </w:pPr>
            <w:r>
              <w:rPr>
                <w:sz w:val="20"/>
              </w:rPr>
              <w:t>La</w:t>
            </w:r>
            <w:r>
              <w:rPr>
                <w:spacing w:val="-9"/>
                <w:sz w:val="20"/>
              </w:rPr>
              <w:t> </w:t>
            </w:r>
            <w:r>
              <w:rPr>
                <w:sz w:val="20"/>
              </w:rPr>
              <w:t>línea</w:t>
            </w:r>
            <w:r>
              <w:rPr>
                <w:spacing w:val="-7"/>
                <w:sz w:val="20"/>
              </w:rPr>
              <w:t> </w:t>
            </w:r>
            <w:r>
              <w:rPr>
                <w:sz w:val="20"/>
              </w:rPr>
              <w:t>base</w:t>
            </w:r>
            <w:r>
              <w:rPr>
                <w:spacing w:val="-6"/>
                <w:sz w:val="20"/>
              </w:rPr>
              <w:t> </w:t>
            </w:r>
            <w:r>
              <w:rPr>
                <w:sz w:val="20"/>
              </w:rPr>
              <w:t>son</w:t>
            </w:r>
            <w:r>
              <w:rPr>
                <w:spacing w:val="-6"/>
                <w:sz w:val="20"/>
              </w:rPr>
              <w:t> </w:t>
            </w:r>
            <w:r>
              <w:rPr>
                <w:sz w:val="20"/>
              </w:rPr>
              <w:t>los</w:t>
            </w:r>
            <w:r>
              <w:rPr>
                <w:spacing w:val="-7"/>
                <w:sz w:val="20"/>
              </w:rPr>
              <w:t> </w:t>
            </w:r>
            <w:r>
              <w:rPr>
                <w:sz w:val="20"/>
              </w:rPr>
              <w:t>ingresos</w:t>
            </w:r>
            <w:r>
              <w:rPr>
                <w:spacing w:val="-6"/>
                <w:sz w:val="20"/>
              </w:rPr>
              <w:t> </w:t>
            </w:r>
            <w:r>
              <w:rPr>
                <w:sz w:val="20"/>
              </w:rPr>
              <w:t>percibidos</w:t>
            </w:r>
            <w:r>
              <w:rPr>
                <w:spacing w:val="-7"/>
                <w:sz w:val="20"/>
              </w:rPr>
              <w:t> </w:t>
            </w:r>
            <w:r>
              <w:rPr>
                <w:spacing w:val="-4"/>
                <w:sz w:val="20"/>
              </w:rPr>
              <w:t>2024.</w:t>
            </w:r>
          </w:p>
        </w:tc>
      </w:tr>
      <w:tr>
        <w:trPr>
          <w:trHeight w:val="510" w:hRule="atLeast"/>
        </w:trPr>
        <w:tc>
          <w:tcPr>
            <w:tcW w:w="2976" w:type="dxa"/>
            <w:shd w:val="clear" w:color="auto" w:fill="DBE4F0"/>
          </w:tcPr>
          <w:p>
            <w:pPr>
              <w:pStyle w:val="TableParagraph"/>
              <w:spacing w:before="2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138"/>
              <w:ind w:left="70"/>
              <w:rPr>
                <w:sz w:val="20"/>
              </w:rPr>
            </w:pPr>
            <w:r>
              <w:rPr>
                <w:spacing w:val="-2"/>
                <w:sz w:val="20"/>
              </w:rPr>
              <w:t>Trimestral</w:t>
            </w:r>
          </w:p>
        </w:tc>
      </w:tr>
      <w:tr>
        <w:trPr>
          <w:trHeight w:val="765" w:hRule="atLeast"/>
        </w:trPr>
        <w:tc>
          <w:tcPr>
            <w:tcW w:w="2976" w:type="dxa"/>
            <w:shd w:val="clear" w:color="auto" w:fill="DBE4F0"/>
          </w:tcPr>
          <w:p>
            <w:pPr>
              <w:pStyle w:val="TableParagraph"/>
              <w:spacing w:before="150"/>
              <w:ind w:left="67" w:right="514"/>
              <w:rPr>
                <w:b/>
                <w:sz w:val="20"/>
              </w:rPr>
            </w:pPr>
            <w:r>
              <w:rPr>
                <w:b/>
                <w:sz w:val="20"/>
              </w:rPr>
              <w:t>Responsable de la recopilación</w:t>
            </w:r>
            <w:r>
              <w:rPr>
                <w:b/>
                <w:spacing w:val="-14"/>
                <w:sz w:val="20"/>
              </w:rPr>
              <w:t> </w:t>
            </w:r>
            <w:r>
              <w:rPr>
                <w:b/>
                <w:sz w:val="20"/>
              </w:rPr>
              <w:t>información</w:t>
            </w:r>
          </w:p>
        </w:tc>
        <w:tc>
          <w:tcPr>
            <w:tcW w:w="7513" w:type="dxa"/>
          </w:tcPr>
          <w:p>
            <w:pPr>
              <w:pStyle w:val="TableParagraph"/>
              <w:spacing w:before="150"/>
              <w:ind w:left="70" w:right="3072"/>
              <w:rPr>
                <w:sz w:val="20"/>
              </w:rPr>
            </w:pPr>
            <w:r>
              <w:rPr>
                <w:sz w:val="20"/>
              </w:rPr>
              <w:t>Nombre</w:t>
            </w:r>
            <w:r>
              <w:rPr>
                <w:spacing w:val="-8"/>
                <w:sz w:val="20"/>
              </w:rPr>
              <w:t> </w:t>
            </w:r>
            <w:r>
              <w:rPr>
                <w:sz w:val="20"/>
              </w:rPr>
              <w:t>del</w:t>
            </w:r>
            <w:r>
              <w:rPr>
                <w:spacing w:val="-11"/>
                <w:sz w:val="20"/>
              </w:rPr>
              <w:t> </w:t>
            </w:r>
            <w:r>
              <w:rPr>
                <w:sz w:val="20"/>
              </w:rPr>
              <w:t>funcionario:</w:t>
            </w:r>
            <w:r>
              <w:rPr>
                <w:spacing w:val="-10"/>
                <w:sz w:val="20"/>
              </w:rPr>
              <w:t> </w:t>
            </w:r>
            <w:r>
              <w:rPr>
                <w:sz w:val="20"/>
              </w:rPr>
              <w:t>Melvin</w:t>
            </w:r>
            <w:r>
              <w:rPr>
                <w:spacing w:val="-8"/>
                <w:sz w:val="20"/>
              </w:rPr>
              <w:t> </w:t>
            </w:r>
            <w:r>
              <w:rPr>
                <w:sz w:val="20"/>
              </w:rPr>
              <w:t>Cascante</w:t>
            </w:r>
            <w:r>
              <w:rPr>
                <w:spacing w:val="-10"/>
                <w:sz w:val="20"/>
              </w:rPr>
              <w:t> </w:t>
            </w:r>
            <w:r>
              <w:rPr>
                <w:sz w:val="20"/>
              </w:rPr>
              <w:t>López Cargo: Profesional Tributario</w:t>
            </w:r>
          </w:p>
        </w:tc>
      </w:tr>
      <w:tr>
        <w:trPr>
          <w:trHeight w:val="1019" w:hRule="atLeast"/>
        </w:trPr>
        <w:tc>
          <w:tcPr>
            <w:tcW w:w="2976" w:type="dxa"/>
            <w:shd w:val="clear" w:color="auto" w:fill="DBE4F0"/>
          </w:tcPr>
          <w:p>
            <w:pPr>
              <w:pStyle w:val="TableParagraph"/>
              <w:spacing w:before="47"/>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3" w:type="dxa"/>
          </w:tcPr>
          <w:p>
            <w:pPr>
              <w:pStyle w:val="TableParagraph"/>
              <w:spacing w:before="163"/>
              <w:rPr>
                <w:b/>
                <w:sz w:val="20"/>
              </w:rPr>
            </w:pPr>
          </w:p>
          <w:p>
            <w:pPr>
              <w:pStyle w:val="TableParagraph"/>
              <w:ind w:left="70"/>
              <w:rPr>
                <w:sz w:val="20"/>
              </w:rPr>
            </w:pPr>
            <w:r>
              <w:rPr>
                <w:spacing w:val="-2"/>
                <w:sz w:val="20"/>
              </w:rPr>
              <w:t>Administración</w:t>
            </w:r>
            <w:r>
              <w:rPr>
                <w:spacing w:val="10"/>
                <w:sz w:val="20"/>
              </w:rPr>
              <w:t> </w:t>
            </w:r>
            <w:r>
              <w:rPr>
                <w:spacing w:val="-2"/>
                <w:sz w:val="20"/>
              </w:rPr>
              <w:t>Tributaria</w:t>
            </w:r>
          </w:p>
        </w:tc>
      </w:tr>
      <w:tr>
        <w:trPr>
          <w:trHeight w:val="511" w:hRule="atLeast"/>
        </w:trPr>
        <w:tc>
          <w:tcPr>
            <w:tcW w:w="2976" w:type="dxa"/>
            <w:shd w:val="clear" w:color="auto" w:fill="DBE4F0"/>
          </w:tcPr>
          <w:p>
            <w:pPr>
              <w:pStyle w:val="TableParagraph"/>
              <w:spacing w:before="139"/>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3" w:type="dxa"/>
          </w:tcPr>
          <w:p>
            <w:pPr>
              <w:pStyle w:val="TableParagraph"/>
              <w:spacing w:before="139"/>
              <w:ind w:left="70"/>
              <w:rPr>
                <w:sz w:val="20"/>
              </w:rPr>
            </w:pPr>
            <w:r>
              <w:rPr>
                <w:sz w:val="20"/>
              </w:rPr>
              <w:t>Unidad</w:t>
            </w:r>
            <w:r>
              <w:rPr>
                <w:spacing w:val="-7"/>
                <w:sz w:val="20"/>
              </w:rPr>
              <w:t> </w:t>
            </w:r>
            <w:r>
              <w:rPr>
                <w:sz w:val="20"/>
              </w:rPr>
              <w:t>de</w:t>
            </w:r>
            <w:r>
              <w:rPr>
                <w:spacing w:val="-7"/>
                <w:sz w:val="20"/>
              </w:rPr>
              <w:t> </w:t>
            </w:r>
            <w:r>
              <w:rPr>
                <w:spacing w:val="-2"/>
                <w:sz w:val="20"/>
              </w:rPr>
              <w:t>Presupuesto</w:t>
            </w:r>
          </w:p>
        </w:tc>
      </w:tr>
      <w:tr>
        <w:trPr>
          <w:trHeight w:val="508" w:hRule="atLeast"/>
        </w:trPr>
        <w:tc>
          <w:tcPr>
            <w:tcW w:w="2976" w:type="dxa"/>
            <w:shd w:val="clear" w:color="auto" w:fill="DBE4F0"/>
          </w:tcPr>
          <w:p>
            <w:pPr>
              <w:pStyle w:val="TableParagraph"/>
              <w:spacing w:before="138"/>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138"/>
              <w:ind w:left="70"/>
              <w:rPr>
                <w:sz w:val="20"/>
              </w:rPr>
            </w:pPr>
            <w:r>
              <w:rPr>
                <w:sz w:val="20"/>
              </w:rPr>
              <w:t>Informes</w:t>
            </w:r>
            <w:r>
              <w:rPr>
                <w:spacing w:val="-9"/>
                <w:sz w:val="20"/>
              </w:rPr>
              <w:t> </w:t>
            </w:r>
            <w:r>
              <w:rPr>
                <w:sz w:val="20"/>
              </w:rPr>
              <w:t>Trimestrales</w:t>
            </w:r>
            <w:r>
              <w:rPr>
                <w:spacing w:val="-8"/>
                <w:sz w:val="20"/>
              </w:rPr>
              <w:t> </w:t>
            </w:r>
            <w:r>
              <w:rPr>
                <w:sz w:val="20"/>
              </w:rPr>
              <w:t>al</w:t>
            </w:r>
            <w:r>
              <w:rPr>
                <w:spacing w:val="-8"/>
                <w:sz w:val="20"/>
              </w:rPr>
              <w:t> </w:t>
            </w:r>
            <w:r>
              <w:rPr>
                <w:sz w:val="20"/>
              </w:rPr>
              <w:t>Superior</w:t>
            </w:r>
            <w:r>
              <w:rPr>
                <w:spacing w:val="-9"/>
                <w:sz w:val="20"/>
              </w:rPr>
              <w:t> </w:t>
            </w:r>
            <w:r>
              <w:rPr>
                <w:spacing w:val="-2"/>
                <w:sz w:val="20"/>
              </w:rPr>
              <w:t>Jerárquico</w:t>
            </w:r>
          </w:p>
        </w:tc>
      </w:tr>
      <w:tr>
        <w:trPr>
          <w:trHeight w:val="510" w:hRule="atLeast"/>
        </w:trPr>
        <w:tc>
          <w:tcPr>
            <w:tcW w:w="2976" w:type="dxa"/>
            <w:shd w:val="clear" w:color="auto" w:fill="DBE4F0"/>
          </w:tcPr>
          <w:p>
            <w:pPr>
              <w:pStyle w:val="TableParagraph"/>
              <w:spacing w:before="141"/>
              <w:ind w:left="67"/>
              <w:rPr>
                <w:b/>
                <w:sz w:val="20"/>
              </w:rPr>
            </w:pPr>
            <w:r>
              <w:rPr>
                <w:b/>
                <w:spacing w:val="-2"/>
                <w:sz w:val="20"/>
              </w:rPr>
              <w:t>Clasificación</w:t>
            </w:r>
          </w:p>
        </w:tc>
        <w:tc>
          <w:tcPr>
            <w:tcW w:w="7513" w:type="dxa"/>
          </w:tcPr>
          <w:p>
            <w:pPr>
              <w:pStyle w:val="TableParagraph"/>
              <w:spacing w:before="141"/>
              <w:ind w:left="70"/>
              <w:rPr>
                <w:sz w:val="20"/>
              </w:rPr>
            </w:pPr>
            <w:r>
              <w:rPr>
                <w:sz w:val="20"/>
              </w:rPr>
              <w:t>Impacto</w:t>
            </w:r>
            <w:r>
              <w:rPr>
                <w:spacing w:val="-4"/>
                <w:sz w:val="20"/>
              </w:rPr>
              <w:t> </w:t>
            </w:r>
            <w:r>
              <w:rPr>
                <w:sz w:val="20"/>
              </w:rPr>
              <w:t>()</w:t>
            </w:r>
            <w:r>
              <w:rPr>
                <w:spacing w:val="-4"/>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765" w:hRule="atLeast"/>
        </w:trPr>
        <w:tc>
          <w:tcPr>
            <w:tcW w:w="2976" w:type="dxa"/>
            <w:shd w:val="clear" w:color="auto" w:fill="DBE4F0"/>
          </w:tcPr>
          <w:p>
            <w:pPr>
              <w:pStyle w:val="TableParagraph"/>
              <w:spacing w:before="35"/>
              <w:rPr>
                <w:b/>
                <w:sz w:val="20"/>
              </w:rPr>
            </w:pPr>
          </w:p>
          <w:p>
            <w:pPr>
              <w:pStyle w:val="TableParagraph"/>
              <w:spacing w:before="1"/>
              <w:ind w:left="67"/>
              <w:rPr>
                <w:b/>
                <w:sz w:val="20"/>
              </w:rPr>
            </w:pPr>
            <w:r>
              <w:rPr>
                <w:b/>
                <w:spacing w:val="-2"/>
                <w:sz w:val="20"/>
              </w:rPr>
              <w:t>Comentarios</w:t>
            </w:r>
            <w:r>
              <w:rPr>
                <w:b/>
                <w:spacing w:val="6"/>
                <w:sz w:val="20"/>
              </w:rPr>
              <w:t> </w:t>
            </w:r>
            <w:r>
              <w:rPr>
                <w:b/>
                <w:spacing w:val="-2"/>
                <w:sz w:val="20"/>
              </w:rPr>
              <w:t>Generales</w:t>
            </w:r>
          </w:p>
        </w:tc>
        <w:tc>
          <w:tcPr>
            <w:tcW w:w="7513" w:type="dxa"/>
          </w:tcPr>
          <w:p>
            <w:pPr>
              <w:pStyle w:val="TableParagraph"/>
              <w:spacing w:before="38"/>
              <w:ind w:left="70" w:right="133"/>
              <w:rPr>
                <w:sz w:val="20"/>
              </w:rPr>
            </w:pPr>
            <w:r>
              <w:rPr>
                <w:sz w:val="20"/>
              </w:rPr>
              <w:t>Mensualmente la Unidad de Presupuesto presenta un informe en donde se detallan</w:t>
            </w:r>
            <w:r>
              <w:rPr>
                <w:spacing w:val="-4"/>
                <w:sz w:val="20"/>
              </w:rPr>
              <w:t> </w:t>
            </w:r>
            <w:r>
              <w:rPr>
                <w:sz w:val="20"/>
              </w:rPr>
              <w:t>los</w:t>
            </w:r>
            <w:r>
              <w:rPr>
                <w:spacing w:val="-4"/>
                <w:sz w:val="20"/>
              </w:rPr>
              <w:t> </w:t>
            </w:r>
            <w:r>
              <w:rPr>
                <w:sz w:val="20"/>
              </w:rPr>
              <w:t>ingresos</w:t>
            </w:r>
            <w:r>
              <w:rPr>
                <w:spacing w:val="-4"/>
                <w:sz w:val="20"/>
              </w:rPr>
              <w:t> </w:t>
            </w:r>
            <w:r>
              <w:rPr>
                <w:sz w:val="20"/>
              </w:rPr>
              <w:t>percibidos</w:t>
            </w:r>
            <w:r>
              <w:rPr>
                <w:spacing w:val="-4"/>
                <w:sz w:val="20"/>
              </w:rPr>
              <w:t> </w:t>
            </w:r>
            <w:r>
              <w:rPr>
                <w:sz w:val="20"/>
              </w:rPr>
              <w:t>en</w:t>
            </w:r>
            <w:r>
              <w:rPr>
                <w:spacing w:val="-5"/>
                <w:sz w:val="20"/>
              </w:rPr>
              <w:t> </w:t>
            </w:r>
            <w:r>
              <w:rPr>
                <w:sz w:val="20"/>
              </w:rPr>
              <w:t>cada</w:t>
            </w:r>
            <w:r>
              <w:rPr>
                <w:spacing w:val="-5"/>
                <w:sz w:val="20"/>
              </w:rPr>
              <w:t> </w:t>
            </w:r>
            <w:r>
              <w:rPr>
                <w:sz w:val="20"/>
              </w:rPr>
              <w:t>uno</w:t>
            </w:r>
            <w:r>
              <w:rPr>
                <w:spacing w:val="-5"/>
                <w:sz w:val="20"/>
              </w:rPr>
              <w:t> </w:t>
            </w:r>
            <w:r>
              <w:rPr>
                <w:sz w:val="20"/>
              </w:rPr>
              <w:t>de</w:t>
            </w:r>
            <w:r>
              <w:rPr>
                <w:spacing w:val="-5"/>
                <w:sz w:val="20"/>
              </w:rPr>
              <w:t> </w:t>
            </w:r>
            <w:r>
              <w:rPr>
                <w:sz w:val="20"/>
              </w:rPr>
              <w:t>los</w:t>
            </w:r>
            <w:r>
              <w:rPr>
                <w:spacing w:val="-4"/>
                <w:sz w:val="20"/>
              </w:rPr>
              <w:t> </w:t>
            </w:r>
            <w:r>
              <w:rPr>
                <w:sz w:val="20"/>
              </w:rPr>
              <w:t>ingresos</w:t>
            </w:r>
            <w:r>
              <w:rPr>
                <w:spacing w:val="-4"/>
                <w:sz w:val="20"/>
              </w:rPr>
              <w:t> </w:t>
            </w:r>
            <w:r>
              <w:rPr>
                <w:sz w:val="20"/>
              </w:rPr>
              <w:t>recaudados</w:t>
            </w:r>
            <w:r>
              <w:rPr>
                <w:spacing w:val="-4"/>
                <w:sz w:val="20"/>
              </w:rPr>
              <w:t> </w:t>
            </w:r>
            <w:r>
              <w:rPr>
                <w:sz w:val="20"/>
              </w:rPr>
              <w:t>por</w:t>
            </w:r>
            <w:r>
              <w:rPr>
                <w:spacing w:val="-2"/>
                <w:sz w:val="20"/>
              </w:rPr>
              <w:t> </w:t>
            </w:r>
            <w:r>
              <w:rPr>
                <w:sz w:val="20"/>
              </w:rPr>
              <w:t>el </w:t>
            </w:r>
            <w:r>
              <w:rPr>
                <w:spacing w:val="-2"/>
                <w:sz w:val="20"/>
              </w:rPr>
              <w:t>IMAS.</w:t>
            </w:r>
          </w:p>
        </w:tc>
      </w:tr>
    </w:tbl>
    <w:p>
      <w:pPr>
        <w:pStyle w:val="TableParagraph"/>
        <w:spacing w:after="0"/>
        <w:rPr>
          <w:sz w:val="20"/>
        </w:rPr>
        <w:sectPr>
          <w:footerReference w:type="default" r:id="rId150"/>
          <w:pgSz w:w="12240" w:h="15840"/>
          <w:pgMar w:header="0" w:footer="2082" w:top="1400" w:bottom="2280" w:left="720" w:right="720"/>
          <w:pgNumType w:start="219"/>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508" w:hRule="atLeast"/>
        </w:trPr>
        <w:tc>
          <w:tcPr>
            <w:tcW w:w="2835" w:type="dxa"/>
            <w:shd w:val="clear" w:color="auto" w:fill="DBE4F0"/>
          </w:tcPr>
          <w:p>
            <w:pPr>
              <w:pStyle w:val="TableParagraph"/>
              <w:spacing w:before="139"/>
              <w:ind w:left="67"/>
              <w:rPr>
                <w:b/>
                <w:sz w:val="20"/>
              </w:rPr>
            </w:pPr>
            <w:r>
              <w:rPr>
                <w:b/>
                <w:sz w:val="20"/>
              </w:rPr>
              <w:t>PAC</w:t>
            </w:r>
            <w:r>
              <w:rPr>
                <w:b/>
                <w:spacing w:val="-8"/>
                <w:sz w:val="20"/>
              </w:rPr>
              <w:t> </w:t>
            </w:r>
            <w:r>
              <w:rPr>
                <w:b/>
                <w:spacing w:val="-2"/>
                <w:sz w:val="20"/>
              </w:rPr>
              <w:t>2.10.3:</w:t>
            </w:r>
          </w:p>
        </w:tc>
        <w:tc>
          <w:tcPr>
            <w:tcW w:w="7514" w:type="dxa"/>
          </w:tcPr>
          <w:p>
            <w:pPr>
              <w:pStyle w:val="TableParagraph"/>
              <w:spacing w:before="139"/>
              <w:ind w:left="69"/>
              <w:rPr>
                <w:sz w:val="20"/>
              </w:rPr>
            </w:pPr>
            <w:r>
              <w:rPr>
                <w:sz w:val="20"/>
              </w:rPr>
              <w:t>Nombre</w:t>
            </w:r>
            <w:r>
              <w:rPr>
                <w:spacing w:val="-7"/>
                <w:sz w:val="20"/>
              </w:rPr>
              <w:t> </w:t>
            </w:r>
            <w:r>
              <w:rPr>
                <w:sz w:val="20"/>
              </w:rPr>
              <w:t>del</w:t>
            </w:r>
            <w:r>
              <w:rPr>
                <w:spacing w:val="-9"/>
                <w:sz w:val="20"/>
              </w:rPr>
              <w:t> </w:t>
            </w:r>
            <w:r>
              <w:rPr>
                <w:sz w:val="20"/>
              </w:rPr>
              <w:t>Indicador:</w:t>
            </w:r>
            <w:r>
              <w:rPr>
                <w:spacing w:val="-6"/>
                <w:sz w:val="20"/>
              </w:rPr>
              <w:t> </w:t>
            </w:r>
            <w:r>
              <w:rPr>
                <w:sz w:val="20"/>
              </w:rPr>
              <w:t>Monto</w:t>
            </w:r>
            <w:r>
              <w:rPr>
                <w:spacing w:val="-9"/>
                <w:sz w:val="20"/>
              </w:rPr>
              <w:t> </w:t>
            </w:r>
            <w:r>
              <w:rPr>
                <w:sz w:val="20"/>
              </w:rPr>
              <w:t>en</w:t>
            </w:r>
            <w:r>
              <w:rPr>
                <w:spacing w:val="-6"/>
                <w:sz w:val="20"/>
              </w:rPr>
              <w:t> </w:t>
            </w:r>
            <w:r>
              <w:rPr>
                <w:sz w:val="20"/>
              </w:rPr>
              <w:t>colones</w:t>
            </w:r>
            <w:r>
              <w:rPr>
                <w:spacing w:val="-7"/>
                <w:sz w:val="20"/>
              </w:rPr>
              <w:t> </w:t>
            </w:r>
            <w:r>
              <w:rPr>
                <w:sz w:val="20"/>
              </w:rPr>
              <w:t>estimado</w:t>
            </w:r>
            <w:r>
              <w:rPr>
                <w:spacing w:val="-7"/>
                <w:sz w:val="20"/>
              </w:rPr>
              <w:t> </w:t>
            </w:r>
            <w:r>
              <w:rPr>
                <w:sz w:val="20"/>
              </w:rPr>
              <w:t>de</w:t>
            </w:r>
            <w:r>
              <w:rPr>
                <w:spacing w:val="-7"/>
                <w:sz w:val="20"/>
              </w:rPr>
              <w:t> </w:t>
            </w:r>
            <w:r>
              <w:rPr>
                <w:sz w:val="20"/>
              </w:rPr>
              <w:t>los</w:t>
            </w:r>
            <w:r>
              <w:rPr>
                <w:spacing w:val="-7"/>
                <w:sz w:val="20"/>
              </w:rPr>
              <w:t> </w:t>
            </w:r>
            <w:r>
              <w:rPr>
                <w:sz w:val="20"/>
              </w:rPr>
              <w:t>ingresos</w:t>
            </w:r>
            <w:r>
              <w:rPr>
                <w:spacing w:val="-7"/>
                <w:sz w:val="20"/>
              </w:rPr>
              <w:t> </w:t>
            </w:r>
            <w:r>
              <w:rPr>
                <w:spacing w:val="-2"/>
                <w:sz w:val="20"/>
              </w:rPr>
              <w:t>tributarios</w:t>
            </w:r>
          </w:p>
        </w:tc>
      </w:tr>
      <w:tr>
        <w:trPr>
          <w:trHeight w:val="765" w:hRule="atLeast"/>
        </w:trPr>
        <w:tc>
          <w:tcPr>
            <w:tcW w:w="2835" w:type="dxa"/>
            <w:shd w:val="clear" w:color="auto" w:fill="DBE4F0"/>
          </w:tcPr>
          <w:p>
            <w:pPr>
              <w:pStyle w:val="TableParagraph"/>
              <w:spacing w:before="38"/>
              <w:rPr>
                <w:b/>
                <w:sz w:val="20"/>
              </w:rPr>
            </w:pPr>
          </w:p>
          <w:p>
            <w:pPr>
              <w:pStyle w:val="TableParagraph"/>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before="153"/>
              <w:ind w:left="69"/>
              <w:rPr>
                <w:sz w:val="20"/>
              </w:rPr>
            </w:pPr>
            <w:r>
              <w:rPr>
                <w:sz w:val="20"/>
              </w:rPr>
              <w:t>Sumatoria</w:t>
            </w:r>
            <w:r>
              <w:rPr>
                <w:spacing w:val="-5"/>
                <w:sz w:val="20"/>
              </w:rPr>
              <w:t> </w:t>
            </w:r>
            <w:r>
              <w:rPr>
                <w:sz w:val="20"/>
              </w:rPr>
              <w:t>del</w:t>
            </w:r>
            <w:r>
              <w:rPr>
                <w:spacing w:val="-4"/>
                <w:sz w:val="20"/>
              </w:rPr>
              <w:t> </w:t>
            </w:r>
            <w:r>
              <w:rPr>
                <w:sz w:val="20"/>
              </w:rPr>
              <w:t>Monto</w:t>
            </w:r>
            <w:r>
              <w:rPr>
                <w:spacing w:val="-5"/>
                <w:sz w:val="20"/>
              </w:rPr>
              <w:t> </w:t>
            </w:r>
            <w:r>
              <w:rPr>
                <w:sz w:val="20"/>
              </w:rPr>
              <w:t>total</w:t>
            </w:r>
            <w:r>
              <w:rPr>
                <w:spacing w:val="-5"/>
                <w:sz w:val="20"/>
              </w:rPr>
              <w:t> </w:t>
            </w:r>
            <w:r>
              <w:rPr>
                <w:sz w:val="20"/>
              </w:rPr>
              <w:t>recaudado</w:t>
            </w:r>
            <w:r>
              <w:rPr>
                <w:spacing w:val="-4"/>
                <w:sz w:val="20"/>
              </w:rPr>
              <w:t> </w:t>
            </w:r>
            <w:r>
              <w:rPr>
                <w:sz w:val="20"/>
              </w:rPr>
              <w:t>por</w:t>
            </w:r>
            <w:r>
              <w:rPr>
                <w:spacing w:val="-4"/>
                <w:sz w:val="20"/>
              </w:rPr>
              <w:t> </w:t>
            </w:r>
            <w:r>
              <w:rPr>
                <w:sz w:val="20"/>
              </w:rPr>
              <w:t>concepto</w:t>
            </w:r>
            <w:r>
              <w:rPr>
                <w:spacing w:val="-4"/>
                <w:sz w:val="20"/>
              </w:rPr>
              <w:t> </w:t>
            </w:r>
            <w:r>
              <w:rPr>
                <w:sz w:val="20"/>
              </w:rPr>
              <w:t>de</w:t>
            </w:r>
            <w:r>
              <w:rPr>
                <w:spacing w:val="-4"/>
                <w:sz w:val="20"/>
              </w:rPr>
              <w:t> </w:t>
            </w:r>
            <w:r>
              <w:rPr>
                <w:sz w:val="20"/>
              </w:rPr>
              <w:t>Generación</w:t>
            </w:r>
            <w:r>
              <w:rPr>
                <w:spacing w:val="-5"/>
                <w:sz w:val="20"/>
              </w:rPr>
              <w:t> </w:t>
            </w:r>
            <w:r>
              <w:rPr>
                <w:sz w:val="20"/>
              </w:rPr>
              <w:t>de</w:t>
            </w:r>
            <w:r>
              <w:rPr>
                <w:spacing w:val="-5"/>
                <w:sz w:val="20"/>
              </w:rPr>
              <w:t> </w:t>
            </w:r>
            <w:r>
              <w:rPr>
                <w:sz w:val="20"/>
              </w:rPr>
              <w:t>ingresos</w:t>
            </w:r>
            <w:r>
              <w:rPr>
                <w:spacing w:val="-4"/>
                <w:sz w:val="20"/>
              </w:rPr>
              <w:t> </w:t>
            </w:r>
            <w:r>
              <w:rPr>
                <w:sz w:val="20"/>
              </w:rPr>
              <w:t>por gestión cobratoria de aportes Patronos Público, establecidos en la Ley 6443.</w:t>
            </w:r>
          </w:p>
        </w:tc>
      </w:tr>
      <w:tr>
        <w:trPr>
          <w:trHeight w:val="302" w:hRule="atLeast"/>
        </w:trPr>
        <w:tc>
          <w:tcPr>
            <w:tcW w:w="2835" w:type="dxa"/>
            <w:shd w:val="clear" w:color="auto" w:fill="DBE4F0"/>
          </w:tcPr>
          <w:p>
            <w:pPr>
              <w:pStyle w:val="TableParagraph"/>
              <w:spacing w:before="35"/>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35"/>
              <w:ind w:left="69"/>
              <w:rPr>
                <w:sz w:val="20"/>
              </w:rPr>
            </w:pPr>
            <w:r>
              <w:rPr>
                <w:sz w:val="20"/>
              </w:rPr>
              <w:t>Monto</w:t>
            </w:r>
            <w:r>
              <w:rPr>
                <w:spacing w:val="-8"/>
                <w:sz w:val="20"/>
              </w:rPr>
              <w:t> </w:t>
            </w:r>
            <w:r>
              <w:rPr>
                <w:sz w:val="20"/>
              </w:rPr>
              <w:t>total</w:t>
            </w:r>
            <w:r>
              <w:rPr>
                <w:spacing w:val="-8"/>
                <w:sz w:val="20"/>
              </w:rPr>
              <w:t> </w:t>
            </w:r>
            <w:r>
              <w:rPr>
                <w:sz w:val="20"/>
              </w:rPr>
              <w:t>recaudado</w:t>
            </w:r>
            <w:r>
              <w:rPr>
                <w:spacing w:val="-5"/>
                <w:sz w:val="20"/>
              </w:rPr>
              <w:t> </w:t>
            </w:r>
            <w:r>
              <w:rPr>
                <w:sz w:val="20"/>
              </w:rPr>
              <w:t>en</w:t>
            </w:r>
            <w:r>
              <w:rPr>
                <w:spacing w:val="-9"/>
                <w:sz w:val="20"/>
              </w:rPr>
              <w:t> </w:t>
            </w:r>
            <w:r>
              <w:rPr>
                <w:spacing w:val="-2"/>
                <w:sz w:val="20"/>
              </w:rPr>
              <w:t>colones</w:t>
            </w:r>
          </w:p>
        </w:tc>
      </w:tr>
      <w:tr>
        <w:trPr>
          <w:trHeight w:val="762" w:hRule="atLeast"/>
        </w:trPr>
        <w:tc>
          <w:tcPr>
            <w:tcW w:w="2835" w:type="dxa"/>
            <w:shd w:val="clear" w:color="auto" w:fill="DBE4F0"/>
          </w:tcPr>
          <w:p>
            <w:pPr>
              <w:pStyle w:val="TableParagraph"/>
              <w:spacing w:before="35"/>
              <w:rPr>
                <w:b/>
                <w:sz w:val="20"/>
              </w:rPr>
            </w:pPr>
          </w:p>
          <w:p>
            <w:pPr>
              <w:pStyle w:val="TableParagraph"/>
              <w:spacing w:before="1"/>
              <w:ind w:left="67"/>
              <w:rPr>
                <w:b/>
                <w:sz w:val="20"/>
              </w:rPr>
            </w:pPr>
            <w:r>
              <w:rPr>
                <w:b/>
                <w:spacing w:val="-2"/>
                <w:sz w:val="20"/>
              </w:rPr>
              <w:t>Interpretación:</w:t>
            </w:r>
          </w:p>
        </w:tc>
        <w:tc>
          <w:tcPr>
            <w:tcW w:w="7514" w:type="dxa"/>
          </w:tcPr>
          <w:p>
            <w:pPr>
              <w:pStyle w:val="TableParagraph"/>
              <w:spacing w:before="150"/>
              <w:ind w:left="69"/>
              <w:rPr>
                <w:sz w:val="20"/>
              </w:rPr>
            </w:pPr>
            <w:r>
              <w:rPr>
                <w:sz w:val="20"/>
              </w:rPr>
              <w:t>La</w:t>
            </w:r>
            <w:r>
              <w:rPr>
                <w:spacing w:val="-6"/>
                <w:sz w:val="20"/>
              </w:rPr>
              <w:t> </w:t>
            </w:r>
            <w:r>
              <w:rPr>
                <w:sz w:val="20"/>
              </w:rPr>
              <w:t>Unidad</w:t>
            </w:r>
            <w:r>
              <w:rPr>
                <w:spacing w:val="-6"/>
                <w:sz w:val="20"/>
              </w:rPr>
              <w:t> </w:t>
            </w:r>
            <w:r>
              <w:rPr>
                <w:sz w:val="20"/>
              </w:rPr>
              <w:t>de</w:t>
            </w:r>
            <w:r>
              <w:rPr>
                <w:spacing w:val="-3"/>
                <w:sz w:val="20"/>
              </w:rPr>
              <w:t> </w:t>
            </w:r>
            <w:r>
              <w:rPr>
                <w:sz w:val="20"/>
              </w:rPr>
              <w:t>Administración</w:t>
            </w:r>
            <w:r>
              <w:rPr>
                <w:spacing w:val="-5"/>
                <w:sz w:val="20"/>
              </w:rPr>
              <w:t> </w:t>
            </w:r>
            <w:r>
              <w:rPr>
                <w:sz w:val="20"/>
              </w:rPr>
              <w:t>Tributaria</w:t>
            </w:r>
            <w:r>
              <w:rPr>
                <w:spacing w:val="-5"/>
                <w:sz w:val="20"/>
              </w:rPr>
              <w:t> </w:t>
            </w:r>
            <w:r>
              <w:rPr>
                <w:sz w:val="20"/>
              </w:rPr>
              <w:t>es</w:t>
            </w:r>
            <w:r>
              <w:rPr>
                <w:spacing w:val="-4"/>
                <w:sz w:val="20"/>
              </w:rPr>
              <w:t> </w:t>
            </w:r>
            <w:r>
              <w:rPr>
                <w:sz w:val="20"/>
              </w:rPr>
              <w:t>la</w:t>
            </w:r>
            <w:r>
              <w:rPr>
                <w:spacing w:val="-5"/>
                <w:sz w:val="20"/>
              </w:rPr>
              <w:t> </w:t>
            </w:r>
            <w:r>
              <w:rPr>
                <w:sz w:val="20"/>
              </w:rPr>
              <w:t>encargada</w:t>
            </w:r>
            <w:r>
              <w:rPr>
                <w:spacing w:val="-5"/>
                <w:sz w:val="20"/>
              </w:rPr>
              <w:t> </w:t>
            </w:r>
            <w:r>
              <w:rPr>
                <w:sz w:val="20"/>
              </w:rPr>
              <w:t>de</w:t>
            </w:r>
            <w:r>
              <w:rPr>
                <w:spacing w:val="-3"/>
                <w:sz w:val="20"/>
              </w:rPr>
              <w:t> </w:t>
            </w:r>
            <w:r>
              <w:rPr>
                <w:sz w:val="20"/>
              </w:rPr>
              <w:t>gestionar</w:t>
            </w:r>
            <w:r>
              <w:rPr>
                <w:spacing w:val="-5"/>
                <w:sz w:val="20"/>
              </w:rPr>
              <w:t> </w:t>
            </w:r>
            <w:r>
              <w:rPr>
                <w:sz w:val="20"/>
              </w:rPr>
              <w:t>y</w:t>
            </w:r>
            <w:r>
              <w:rPr>
                <w:spacing w:val="-3"/>
                <w:sz w:val="20"/>
              </w:rPr>
              <w:t> </w:t>
            </w:r>
            <w:r>
              <w:rPr>
                <w:sz w:val="20"/>
              </w:rPr>
              <w:t>controlar</w:t>
            </w:r>
            <w:r>
              <w:rPr>
                <w:spacing w:val="-5"/>
                <w:sz w:val="20"/>
              </w:rPr>
              <w:t> </w:t>
            </w:r>
            <w:r>
              <w:rPr>
                <w:sz w:val="20"/>
              </w:rPr>
              <w:t>la Generación de ingresos por gestión cobratoria de aportes Patronos Público.</w:t>
            </w:r>
          </w:p>
        </w:tc>
      </w:tr>
      <w:tr>
        <w:trPr>
          <w:trHeight w:val="302" w:hRule="atLeast"/>
        </w:trPr>
        <w:tc>
          <w:tcPr>
            <w:tcW w:w="2835" w:type="dxa"/>
            <w:shd w:val="clear" w:color="auto" w:fill="DBE4F0"/>
          </w:tcPr>
          <w:p>
            <w:pPr>
              <w:pStyle w:val="TableParagraph"/>
              <w:spacing w:before="35"/>
              <w:ind w:left="67"/>
              <w:rPr>
                <w:b/>
                <w:sz w:val="20"/>
              </w:rPr>
            </w:pPr>
            <w:r>
              <w:rPr>
                <w:b/>
                <w:spacing w:val="-2"/>
                <w:sz w:val="20"/>
              </w:rPr>
              <w:t>Desagregación</w:t>
            </w:r>
          </w:p>
        </w:tc>
        <w:tc>
          <w:tcPr>
            <w:tcW w:w="7514" w:type="dxa"/>
          </w:tcPr>
          <w:p>
            <w:pPr>
              <w:pStyle w:val="TableParagraph"/>
              <w:spacing w:before="35"/>
              <w:ind w:left="69"/>
              <w:rPr>
                <w:sz w:val="20"/>
              </w:rPr>
            </w:pPr>
            <w:r>
              <w:rPr>
                <w:sz w:val="20"/>
              </w:rPr>
              <w:t>No</w:t>
            </w:r>
            <w:r>
              <w:rPr>
                <w:spacing w:val="-5"/>
                <w:sz w:val="20"/>
              </w:rPr>
              <w:t> </w:t>
            </w:r>
            <w:r>
              <w:rPr>
                <w:spacing w:val="-2"/>
                <w:sz w:val="20"/>
              </w:rPr>
              <w:t>Aplica</w:t>
            </w:r>
          </w:p>
        </w:tc>
      </w:tr>
      <w:tr>
        <w:trPr>
          <w:trHeight w:val="299" w:hRule="atLeast"/>
        </w:trPr>
        <w:tc>
          <w:tcPr>
            <w:tcW w:w="2835" w:type="dxa"/>
            <w:shd w:val="clear" w:color="auto" w:fill="DBE4F0"/>
          </w:tcPr>
          <w:p>
            <w:pPr>
              <w:pStyle w:val="TableParagraph"/>
              <w:spacing w:before="33"/>
              <w:ind w:left="67"/>
              <w:rPr>
                <w:b/>
                <w:sz w:val="20"/>
              </w:rPr>
            </w:pPr>
            <w:r>
              <w:rPr>
                <w:b/>
                <w:spacing w:val="-2"/>
                <w:sz w:val="20"/>
              </w:rPr>
              <w:t>Meta:</w:t>
            </w:r>
          </w:p>
        </w:tc>
        <w:tc>
          <w:tcPr>
            <w:tcW w:w="7514" w:type="dxa"/>
          </w:tcPr>
          <w:p>
            <w:pPr>
              <w:pStyle w:val="TableParagraph"/>
              <w:spacing w:before="33"/>
              <w:ind w:right="152"/>
              <w:jc w:val="right"/>
              <w:rPr>
                <w:sz w:val="20"/>
              </w:rPr>
            </w:pPr>
            <w:r>
              <w:rPr>
                <w:sz w:val="20"/>
              </w:rPr>
              <w:t>4</w:t>
            </w:r>
            <w:r>
              <w:rPr>
                <w:spacing w:val="-4"/>
                <w:sz w:val="20"/>
              </w:rPr>
              <w:t> </w:t>
            </w:r>
            <w:r>
              <w:rPr>
                <w:sz w:val="20"/>
              </w:rPr>
              <w:t>867</w:t>
            </w:r>
            <w:r>
              <w:rPr>
                <w:spacing w:val="-5"/>
                <w:sz w:val="20"/>
              </w:rPr>
              <w:t> </w:t>
            </w:r>
            <w:r>
              <w:rPr>
                <w:sz w:val="20"/>
              </w:rPr>
              <w:t>487</w:t>
            </w:r>
            <w:r>
              <w:rPr>
                <w:spacing w:val="-2"/>
                <w:sz w:val="20"/>
              </w:rPr>
              <w:t> 231,43</w:t>
            </w:r>
          </w:p>
        </w:tc>
      </w:tr>
      <w:tr>
        <w:trPr>
          <w:trHeight w:val="299" w:hRule="atLeast"/>
        </w:trPr>
        <w:tc>
          <w:tcPr>
            <w:tcW w:w="2835" w:type="dxa"/>
            <w:shd w:val="clear" w:color="auto" w:fill="DBE4F0"/>
          </w:tcPr>
          <w:p>
            <w:pPr>
              <w:pStyle w:val="TableParagraph"/>
              <w:spacing w:before="33"/>
              <w:ind w:left="67"/>
              <w:rPr>
                <w:b/>
                <w:sz w:val="20"/>
              </w:rPr>
            </w:pPr>
            <w:r>
              <w:rPr>
                <w:b/>
                <w:sz w:val="20"/>
              </w:rPr>
              <w:t>Línea</w:t>
            </w:r>
            <w:r>
              <w:rPr>
                <w:b/>
                <w:spacing w:val="-10"/>
                <w:sz w:val="20"/>
              </w:rPr>
              <w:t> </w:t>
            </w:r>
            <w:r>
              <w:rPr>
                <w:b/>
                <w:spacing w:val="-4"/>
                <w:sz w:val="20"/>
              </w:rPr>
              <w:t>Base</w:t>
            </w:r>
          </w:p>
        </w:tc>
        <w:tc>
          <w:tcPr>
            <w:tcW w:w="7514" w:type="dxa"/>
          </w:tcPr>
          <w:p>
            <w:pPr>
              <w:pStyle w:val="TableParagraph"/>
              <w:spacing w:before="33"/>
              <w:ind w:left="69"/>
              <w:rPr>
                <w:sz w:val="20"/>
              </w:rPr>
            </w:pPr>
            <w:r>
              <w:rPr>
                <w:sz w:val="20"/>
              </w:rPr>
              <w:t>La</w:t>
            </w:r>
            <w:r>
              <w:rPr>
                <w:spacing w:val="-9"/>
                <w:sz w:val="20"/>
              </w:rPr>
              <w:t> </w:t>
            </w:r>
            <w:r>
              <w:rPr>
                <w:sz w:val="20"/>
              </w:rPr>
              <w:t>línea</w:t>
            </w:r>
            <w:r>
              <w:rPr>
                <w:spacing w:val="-7"/>
                <w:sz w:val="20"/>
              </w:rPr>
              <w:t> </w:t>
            </w:r>
            <w:r>
              <w:rPr>
                <w:sz w:val="20"/>
              </w:rPr>
              <w:t>base</w:t>
            </w:r>
            <w:r>
              <w:rPr>
                <w:spacing w:val="-6"/>
                <w:sz w:val="20"/>
              </w:rPr>
              <w:t> </w:t>
            </w:r>
            <w:r>
              <w:rPr>
                <w:sz w:val="20"/>
              </w:rPr>
              <w:t>son</w:t>
            </w:r>
            <w:r>
              <w:rPr>
                <w:spacing w:val="-6"/>
                <w:sz w:val="20"/>
              </w:rPr>
              <w:t> </w:t>
            </w:r>
            <w:r>
              <w:rPr>
                <w:sz w:val="20"/>
              </w:rPr>
              <w:t>los</w:t>
            </w:r>
            <w:r>
              <w:rPr>
                <w:spacing w:val="-7"/>
                <w:sz w:val="20"/>
              </w:rPr>
              <w:t> </w:t>
            </w:r>
            <w:r>
              <w:rPr>
                <w:sz w:val="20"/>
              </w:rPr>
              <w:t>ingresos</w:t>
            </w:r>
            <w:r>
              <w:rPr>
                <w:spacing w:val="-6"/>
                <w:sz w:val="20"/>
              </w:rPr>
              <w:t> </w:t>
            </w:r>
            <w:r>
              <w:rPr>
                <w:sz w:val="20"/>
              </w:rPr>
              <w:t>percibidos</w:t>
            </w:r>
            <w:r>
              <w:rPr>
                <w:spacing w:val="-7"/>
                <w:sz w:val="20"/>
              </w:rPr>
              <w:t> </w:t>
            </w:r>
            <w:r>
              <w:rPr>
                <w:spacing w:val="-4"/>
                <w:sz w:val="20"/>
              </w:rPr>
              <w:t>2024.</w:t>
            </w:r>
          </w:p>
        </w:tc>
      </w:tr>
      <w:tr>
        <w:trPr>
          <w:trHeight w:val="511" w:hRule="atLeast"/>
        </w:trPr>
        <w:tc>
          <w:tcPr>
            <w:tcW w:w="2835" w:type="dxa"/>
            <w:shd w:val="clear" w:color="auto" w:fill="DBE4F0"/>
          </w:tcPr>
          <w:p>
            <w:pPr>
              <w:pStyle w:val="TableParagraph"/>
              <w:spacing w:before="2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138"/>
              <w:ind w:left="69"/>
              <w:rPr>
                <w:sz w:val="20"/>
              </w:rPr>
            </w:pPr>
            <w:r>
              <w:rPr>
                <w:spacing w:val="-2"/>
                <w:sz w:val="20"/>
              </w:rPr>
              <w:t>Trimestral</w:t>
            </w:r>
          </w:p>
        </w:tc>
      </w:tr>
      <w:tr>
        <w:trPr>
          <w:trHeight w:val="765" w:hRule="atLeast"/>
        </w:trPr>
        <w:tc>
          <w:tcPr>
            <w:tcW w:w="2835" w:type="dxa"/>
            <w:shd w:val="clear" w:color="auto" w:fill="DBE4F0"/>
          </w:tcPr>
          <w:p>
            <w:pPr>
              <w:pStyle w:val="TableParagraph"/>
              <w:spacing w:before="150"/>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150"/>
              <w:ind w:left="69" w:right="2852"/>
              <w:rPr>
                <w:sz w:val="20"/>
              </w:rPr>
            </w:pPr>
            <w:r>
              <w:rPr>
                <w:sz w:val="20"/>
              </w:rPr>
              <w:t>Nombre</w:t>
            </w:r>
            <w:r>
              <w:rPr>
                <w:spacing w:val="-8"/>
                <w:sz w:val="20"/>
              </w:rPr>
              <w:t> </w:t>
            </w:r>
            <w:r>
              <w:rPr>
                <w:sz w:val="20"/>
              </w:rPr>
              <w:t>del</w:t>
            </w:r>
            <w:r>
              <w:rPr>
                <w:spacing w:val="-11"/>
                <w:sz w:val="20"/>
              </w:rPr>
              <w:t> </w:t>
            </w:r>
            <w:r>
              <w:rPr>
                <w:sz w:val="20"/>
              </w:rPr>
              <w:t>funcionario:</w:t>
            </w:r>
            <w:r>
              <w:rPr>
                <w:spacing w:val="-10"/>
                <w:sz w:val="20"/>
              </w:rPr>
              <w:t> </w:t>
            </w:r>
            <w:r>
              <w:rPr>
                <w:sz w:val="20"/>
              </w:rPr>
              <w:t>Melvin</w:t>
            </w:r>
            <w:r>
              <w:rPr>
                <w:spacing w:val="-8"/>
                <w:sz w:val="20"/>
              </w:rPr>
              <w:t> </w:t>
            </w:r>
            <w:r>
              <w:rPr>
                <w:sz w:val="20"/>
              </w:rPr>
              <w:t>Cascante</w:t>
            </w:r>
            <w:r>
              <w:rPr>
                <w:spacing w:val="-10"/>
                <w:sz w:val="20"/>
              </w:rPr>
              <w:t> </w:t>
            </w:r>
            <w:r>
              <w:rPr>
                <w:sz w:val="20"/>
              </w:rPr>
              <w:t>López Cargo: Profesional Tributario</w:t>
            </w:r>
          </w:p>
        </w:tc>
      </w:tr>
      <w:tr>
        <w:trPr>
          <w:trHeight w:val="1019" w:hRule="atLeast"/>
        </w:trPr>
        <w:tc>
          <w:tcPr>
            <w:tcW w:w="2835" w:type="dxa"/>
            <w:shd w:val="clear" w:color="auto" w:fill="DBE4F0"/>
          </w:tcPr>
          <w:p>
            <w:pPr>
              <w:pStyle w:val="TableParagraph"/>
              <w:spacing w:before="47"/>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63"/>
              <w:rPr>
                <w:b/>
                <w:sz w:val="20"/>
              </w:rPr>
            </w:pPr>
          </w:p>
          <w:p>
            <w:pPr>
              <w:pStyle w:val="TableParagraph"/>
              <w:ind w:left="69"/>
              <w:rPr>
                <w:sz w:val="20"/>
              </w:rPr>
            </w:pPr>
            <w:r>
              <w:rPr>
                <w:spacing w:val="-2"/>
                <w:sz w:val="20"/>
              </w:rPr>
              <w:t>Administración</w:t>
            </w:r>
            <w:r>
              <w:rPr>
                <w:spacing w:val="10"/>
                <w:sz w:val="20"/>
              </w:rPr>
              <w:t> </w:t>
            </w:r>
            <w:r>
              <w:rPr>
                <w:spacing w:val="-2"/>
                <w:sz w:val="20"/>
              </w:rPr>
              <w:t>Tributaria</w:t>
            </w:r>
          </w:p>
        </w:tc>
      </w:tr>
      <w:tr>
        <w:trPr>
          <w:trHeight w:val="508" w:hRule="atLeast"/>
        </w:trPr>
        <w:tc>
          <w:tcPr>
            <w:tcW w:w="2835" w:type="dxa"/>
            <w:shd w:val="clear" w:color="auto" w:fill="DBE4F0"/>
          </w:tcPr>
          <w:p>
            <w:pPr>
              <w:pStyle w:val="TableParagraph"/>
              <w:spacing w:before="138"/>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138"/>
              <w:ind w:left="69"/>
              <w:rPr>
                <w:sz w:val="20"/>
              </w:rPr>
            </w:pPr>
            <w:r>
              <w:rPr>
                <w:sz w:val="20"/>
              </w:rPr>
              <w:t>Unidad</w:t>
            </w:r>
            <w:r>
              <w:rPr>
                <w:spacing w:val="-7"/>
                <w:sz w:val="20"/>
              </w:rPr>
              <w:t> </w:t>
            </w:r>
            <w:r>
              <w:rPr>
                <w:sz w:val="20"/>
              </w:rPr>
              <w:t>de</w:t>
            </w:r>
            <w:r>
              <w:rPr>
                <w:spacing w:val="-7"/>
                <w:sz w:val="20"/>
              </w:rPr>
              <w:t> </w:t>
            </w:r>
            <w:r>
              <w:rPr>
                <w:spacing w:val="-2"/>
                <w:sz w:val="20"/>
              </w:rPr>
              <w:t>Presupuesto</w:t>
            </w:r>
          </w:p>
        </w:tc>
      </w:tr>
      <w:tr>
        <w:trPr>
          <w:trHeight w:val="510" w:hRule="atLeast"/>
        </w:trPr>
        <w:tc>
          <w:tcPr>
            <w:tcW w:w="2835" w:type="dxa"/>
            <w:shd w:val="clear" w:color="auto" w:fill="DBE4F0"/>
          </w:tcPr>
          <w:p>
            <w:pPr>
              <w:pStyle w:val="TableParagraph"/>
              <w:spacing w:before="141"/>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141"/>
              <w:ind w:left="69"/>
              <w:rPr>
                <w:sz w:val="20"/>
              </w:rPr>
            </w:pPr>
            <w:r>
              <w:rPr>
                <w:sz w:val="20"/>
              </w:rPr>
              <w:t>Informes</w:t>
            </w:r>
            <w:r>
              <w:rPr>
                <w:spacing w:val="-9"/>
                <w:sz w:val="20"/>
              </w:rPr>
              <w:t> </w:t>
            </w:r>
            <w:r>
              <w:rPr>
                <w:sz w:val="20"/>
              </w:rPr>
              <w:t>Trimestrales</w:t>
            </w:r>
            <w:r>
              <w:rPr>
                <w:spacing w:val="-8"/>
                <w:sz w:val="20"/>
              </w:rPr>
              <w:t> </w:t>
            </w:r>
            <w:r>
              <w:rPr>
                <w:sz w:val="20"/>
              </w:rPr>
              <w:t>al</w:t>
            </w:r>
            <w:r>
              <w:rPr>
                <w:spacing w:val="-8"/>
                <w:sz w:val="20"/>
              </w:rPr>
              <w:t> </w:t>
            </w:r>
            <w:r>
              <w:rPr>
                <w:sz w:val="20"/>
              </w:rPr>
              <w:t>Superior</w:t>
            </w:r>
            <w:r>
              <w:rPr>
                <w:spacing w:val="-9"/>
                <w:sz w:val="20"/>
              </w:rPr>
              <w:t> </w:t>
            </w:r>
            <w:r>
              <w:rPr>
                <w:spacing w:val="-2"/>
                <w:sz w:val="20"/>
              </w:rPr>
              <w:t>Jerárquico</w:t>
            </w:r>
          </w:p>
        </w:tc>
      </w:tr>
      <w:tr>
        <w:trPr>
          <w:trHeight w:val="511" w:hRule="atLeast"/>
        </w:trPr>
        <w:tc>
          <w:tcPr>
            <w:tcW w:w="2835" w:type="dxa"/>
            <w:shd w:val="clear" w:color="auto" w:fill="DBE4F0"/>
          </w:tcPr>
          <w:p>
            <w:pPr>
              <w:pStyle w:val="TableParagraph"/>
              <w:spacing w:before="138"/>
              <w:ind w:left="67"/>
              <w:rPr>
                <w:b/>
                <w:sz w:val="20"/>
              </w:rPr>
            </w:pPr>
            <w:r>
              <w:rPr>
                <w:b/>
                <w:spacing w:val="-2"/>
                <w:sz w:val="20"/>
              </w:rPr>
              <w:t>Clasificación</w:t>
            </w:r>
          </w:p>
        </w:tc>
        <w:tc>
          <w:tcPr>
            <w:tcW w:w="7514" w:type="dxa"/>
          </w:tcPr>
          <w:p>
            <w:pPr>
              <w:pStyle w:val="TableParagraph"/>
              <w:spacing w:before="138"/>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765" w:hRule="atLeast"/>
        </w:trPr>
        <w:tc>
          <w:tcPr>
            <w:tcW w:w="2835" w:type="dxa"/>
            <w:shd w:val="clear" w:color="auto" w:fill="DBE4F0"/>
          </w:tcPr>
          <w:p>
            <w:pPr>
              <w:pStyle w:val="TableParagraph"/>
              <w:spacing w:before="35"/>
              <w:rPr>
                <w:b/>
                <w:sz w:val="20"/>
              </w:rPr>
            </w:pPr>
          </w:p>
          <w:p>
            <w:pPr>
              <w:pStyle w:val="TableParagraph"/>
              <w:spacing w:before="1"/>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spacing w:before="35"/>
              <w:ind w:left="69" w:right="170"/>
              <w:rPr>
                <w:sz w:val="20"/>
              </w:rPr>
            </w:pPr>
            <w:r>
              <w:rPr>
                <w:sz w:val="20"/>
              </w:rPr>
              <w:t>Mensualmente la Unidad de Presupuesto presenta un informe en donde se detallan</w:t>
            </w:r>
            <w:r>
              <w:rPr>
                <w:spacing w:val="-4"/>
                <w:sz w:val="20"/>
              </w:rPr>
              <w:t> </w:t>
            </w:r>
            <w:r>
              <w:rPr>
                <w:sz w:val="20"/>
              </w:rPr>
              <w:t>los</w:t>
            </w:r>
            <w:r>
              <w:rPr>
                <w:spacing w:val="-4"/>
                <w:sz w:val="20"/>
              </w:rPr>
              <w:t> </w:t>
            </w:r>
            <w:r>
              <w:rPr>
                <w:sz w:val="20"/>
              </w:rPr>
              <w:t>ingresos</w:t>
            </w:r>
            <w:r>
              <w:rPr>
                <w:spacing w:val="-4"/>
                <w:sz w:val="20"/>
              </w:rPr>
              <w:t> </w:t>
            </w:r>
            <w:r>
              <w:rPr>
                <w:sz w:val="20"/>
              </w:rPr>
              <w:t>percibidos</w:t>
            </w:r>
            <w:r>
              <w:rPr>
                <w:spacing w:val="-4"/>
                <w:sz w:val="20"/>
              </w:rPr>
              <w:t> </w:t>
            </w:r>
            <w:r>
              <w:rPr>
                <w:sz w:val="20"/>
              </w:rPr>
              <w:t>en</w:t>
            </w:r>
            <w:r>
              <w:rPr>
                <w:spacing w:val="-5"/>
                <w:sz w:val="20"/>
              </w:rPr>
              <w:t> </w:t>
            </w:r>
            <w:r>
              <w:rPr>
                <w:sz w:val="20"/>
              </w:rPr>
              <w:t>cada</w:t>
            </w:r>
            <w:r>
              <w:rPr>
                <w:spacing w:val="-5"/>
                <w:sz w:val="20"/>
              </w:rPr>
              <w:t> </w:t>
            </w:r>
            <w:r>
              <w:rPr>
                <w:sz w:val="20"/>
              </w:rPr>
              <w:t>uno</w:t>
            </w:r>
            <w:r>
              <w:rPr>
                <w:spacing w:val="-5"/>
                <w:sz w:val="20"/>
              </w:rPr>
              <w:t> </w:t>
            </w:r>
            <w:r>
              <w:rPr>
                <w:sz w:val="20"/>
              </w:rPr>
              <w:t>de</w:t>
            </w:r>
            <w:r>
              <w:rPr>
                <w:spacing w:val="-5"/>
                <w:sz w:val="20"/>
              </w:rPr>
              <w:t> </w:t>
            </w:r>
            <w:r>
              <w:rPr>
                <w:sz w:val="20"/>
              </w:rPr>
              <w:t>los</w:t>
            </w:r>
            <w:r>
              <w:rPr>
                <w:spacing w:val="-4"/>
                <w:sz w:val="20"/>
              </w:rPr>
              <w:t> </w:t>
            </w:r>
            <w:r>
              <w:rPr>
                <w:sz w:val="20"/>
              </w:rPr>
              <w:t>ingresos</w:t>
            </w:r>
            <w:r>
              <w:rPr>
                <w:spacing w:val="-4"/>
                <w:sz w:val="20"/>
              </w:rPr>
              <w:t> </w:t>
            </w:r>
            <w:r>
              <w:rPr>
                <w:sz w:val="20"/>
              </w:rPr>
              <w:t>recaudados</w:t>
            </w:r>
            <w:r>
              <w:rPr>
                <w:spacing w:val="-4"/>
                <w:sz w:val="20"/>
              </w:rPr>
              <w:t> </w:t>
            </w:r>
            <w:r>
              <w:rPr>
                <w:sz w:val="20"/>
              </w:rPr>
              <w:t>por</w:t>
            </w:r>
            <w:r>
              <w:rPr>
                <w:spacing w:val="-2"/>
                <w:sz w:val="20"/>
              </w:rPr>
              <w:t> </w:t>
            </w:r>
            <w:r>
              <w:rPr>
                <w:sz w:val="20"/>
              </w:rPr>
              <w:t>el </w:t>
            </w:r>
            <w:r>
              <w:rPr>
                <w:spacing w:val="-2"/>
                <w:sz w:val="20"/>
              </w:rPr>
              <w:t>IMAS.</w:t>
            </w:r>
          </w:p>
        </w:tc>
      </w:tr>
    </w:tbl>
    <w:p>
      <w:pPr>
        <w:pStyle w:val="BodyText"/>
        <w:rPr>
          <w:b/>
          <w:sz w:val="20"/>
        </w:rPr>
      </w:pPr>
    </w:p>
    <w:p>
      <w:pPr>
        <w:pStyle w:val="BodyText"/>
        <w:spacing w:before="22"/>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510" w:hRule="atLeast"/>
        </w:trPr>
        <w:tc>
          <w:tcPr>
            <w:tcW w:w="2835" w:type="dxa"/>
            <w:shd w:val="clear" w:color="auto" w:fill="DBE4F0"/>
          </w:tcPr>
          <w:p>
            <w:pPr>
              <w:pStyle w:val="TableParagraph"/>
              <w:spacing w:before="141"/>
              <w:ind w:left="67"/>
              <w:rPr>
                <w:b/>
                <w:sz w:val="20"/>
              </w:rPr>
            </w:pPr>
            <w:r>
              <w:rPr>
                <w:b/>
                <w:sz w:val="20"/>
              </w:rPr>
              <w:t>PAC</w:t>
            </w:r>
            <w:r>
              <w:rPr>
                <w:b/>
                <w:spacing w:val="-8"/>
                <w:sz w:val="20"/>
              </w:rPr>
              <w:t> </w:t>
            </w:r>
            <w:r>
              <w:rPr>
                <w:b/>
                <w:spacing w:val="-2"/>
                <w:sz w:val="20"/>
              </w:rPr>
              <w:t>2.10.4:</w:t>
            </w:r>
          </w:p>
        </w:tc>
        <w:tc>
          <w:tcPr>
            <w:tcW w:w="7514" w:type="dxa"/>
          </w:tcPr>
          <w:p>
            <w:pPr>
              <w:pStyle w:val="TableParagraph"/>
              <w:spacing w:before="141"/>
              <w:ind w:left="69"/>
              <w:rPr>
                <w:sz w:val="20"/>
              </w:rPr>
            </w:pPr>
            <w:r>
              <w:rPr>
                <w:sz w:val="20"/>
              </w:rPr>
              <w:t>Nombre</w:t>
            </w:r>
            <w:r>
              <w:rPr>
                <w:spacing w:val="-7"/>
                <w:sz w:val="20"/>
              </w:rPr>
              <w:t> </w:t>
            </w:r>
            <w:r>
              <w:rPr>
                <w:sz w:val="20"/>
              </w:rPr>
              <w:t>del</w:t>
            </w:r>
            <w:r>
              <w:rPr>
                <w:spacing w:val="-9"/>
                <w:sz w:val="20"/>
              </w:rPr>
              <w:t> </w:t>
            </w:r>
            <w:r>
              <w:rPr>
                <w:sz w:val="20"/>
              </w:rPr>
              <w:t>Indicador:</w:t>
            </w:r>
            <w:r>
              <w:rPr>
                <w:spacing w:val="-6"/>
                <w:sz w:val="20"/>
              </w:rPr>
              <w:t> </w:t>
            </w:r>
            <w:r>
              <w:rPr>
                <w:sz w:val="20"/>
              </w:rPr>
              <w:t>Monto</w:t>
            </w:r>
            <w:r>
              <w:rPr>
                <w:spacing w:val="-9"/>
                <w:sz w:val="20"/>
              </w:rPr>
              <w:t> </w:t>
            </w:r>
            <w:r>
              <w:rPr>
                <w:sz w:val="20"/>
              </w:rPr>
              <w:t>en</w:t>
            </w:r>
            <w:r>
              <w:rPr>
                <w:spacing w:val="-6"/>
                <w:sz w:val="20"/>
              </w:rPr>
              <w:t> </w:t>
            </w:r>
            <w:r>
              <w:rPr>
                <w:sz w:val="20"/>
              </w:rPr>
              <w:t>colones</w:t>
            </w:r>
            <w:r>
              <w:rPr>
                <w:spacing w:val="-7"/>
                <w:sz w:val="20"/>
              </w:rPr>
              <w:t> </w:t>
            </w:r>
            <w:r>
              <w:rPr>
                <w:sz w:val="20"/>
              </w:rPr>
              <w:t>estimado</w:t>
            </w:r>
            <w:r>
              <w:rPr>
                <w:spacing w:val="-7"/>
                <w:sz w:val="20"/>
              </w:rPr>
              <w:t> </w:t>
            </w:r>
            <w:r>
              <w:rPr>
                <w:sz w:val="20"/>
              </w:rPr>
              <w:t>de</w:t>
            </w:r>
            <w:r>
              <w:rPr>
                <w:spacing w:val="-7"/>
                <w:sz w:val="20"/>
              </w:rPr>
              <w:t> </w:t>
            </w:r>
            <w:r>
              <w:rPr>
                <w:sz w:val="20"/>
              </w:rPr>
              <w:t>los</w:t>
            </w:r>
            <w:r>
              <w:rPr>
                <w:spacing w:val="-7"/>
                <w:sz w:val="20"/>
              </w:rPr>
              <w:t> </w:t>
            </w:r>
            <w:r>
              <w:rPr>
                <w:sz w:val="20"/>
              </w:rPr>
              <w:t>ingresos</w:t>
            </w:r>
            <w:r>
              <w:rPr>
                <w:spacing w:val="-7"/>
                <w:sz w:val="20"/>
              </w:rPr>
              <w:t> </w:t>
            </w:r>
            <w:r>
              <w:rPr>
                <w:spacing w:val="-2"/>
                <w:sz w:val="20"/>
              </w:rPr>
              <w:t>tributarios</w:t>
            </w:r>
          </w:p>
        </w:tc>
      </w:tr>
      <w:tr>
        <w:trPr>
          <w:trHeight w:val="765" w:hRule="atLeast"/>
        </w:trPr>
        <w:tc>
          <w:tcPr>
            <w:tcW w:w="2835" w:type="dxa"/>
            <w:shd w:val="clear" w:color="auto" w:fill="DBE4F0"/>
          </w:tcPr>
          <w:p>
            <w:pPr>
              <w:pStyle w:val="TableParagraph"/>
              <w:spacing w:before="38"/>
              <w:rPr>
                <w:b/>
                <w:sz w:val="20"/>
              </w:rPr>
            </w:pPr>
          </w:p>
          <w:p>
            <w:pPr>
              <w:pStyle w:val="TableParagraph"/>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before="153"/>
              <w:ind w:left="69"/>
              <w:rPr>
                <w:sz w:val="20"/>
              </w:rPr>
            </w:pPr>
            <w:r>
              <w:rPr>
                <w:sz w:val="20"/>
              </w:rPr>
              <w:t>Sumatoria</w:t>
            </w:r>
            <w:r>
              <w:rPr>
                <w:spacing w:val="-5"/>
                <w:sz w:val="20"/>
              </w:rPr>
              <w:t> </w:t>
            </w:r>
            <w:r>
              <w:rPr>
                <w:sz w:val="20"/>
              </w:rPr>
              <w:t>del</w:t>
            </w:r>
            <w:r>
              <w:rPr>
                <w:spacing w:val="-4"/>
                <w:sz w:val="20"/>
              </w:rPr>
              <w:t> </w:t>
            </w:r>
            <w:r>
              <w:rPr>
                <w:sz w:val="20"/>
              </w:rPr>
              <w:t>Monto</w:t>
            </w:r>
            <w:r>
              <w:rPr>
                <w:spacing w:val="-5"/>
                <w:sz w:val="20"/>
              </w:rPr>
              <w:t> </w:t>
            </w:r>
            <w:r>
              <w:rPr>
                <w:sz w:val="20"/>
              </w:rPr>
              <w:t>total</w:t>
            </w:r>
            <w:r>
              <w:rPr>
                <w:spacing w:val="-5"/>
                <w:sz w:val="20"/>
              </w:rPr>
              <w:t> </w:t>
            </w:r>
            <w:r>
              <w:rPr>
                <w:sz w:val="20"/>
              </w:rPr>
              <w:t>recaudado</w:t>
            </w:r>
            <w:r>
              <w:rPr>
                <w:spacing w:val="-4"/>
                <w:sz w:val="20"/>
              </w:rPr>
              <w:t> </w:t>
            </w:r>
            <w:r>
              <w:rPr>
                <w:sz w:val="20"/>
              </w:rPr>
              <w:t>por</w:t>
            </w:r>
            <w:r>
              <w:rPr>
                <w:spacing w:val="-4"/>
                <w:sz w:val="20"/>
              </w:rPr>
              <w:t> </w:t>
            </w:r>
            <w:r>
              <w:rPr>
                <w:sz w:val="20"/>
              </w:rPr>
              <w:t>concepto</w:t>
            </w:r>
            <w:r>
              <w:rPr>
                <w:spacing w:val="-4"/>
                <w:sz w:val="20"/>
              </w:rPr>
              <w:t> </w:t>
            </w:r>
            <w:r>
              <w:rPr>
                <w:sz w:val="20"/>
              </w:rPr>
              <w:t>de</w:t>
            </w:r>
            <w:r>
              <w:rPr>
                <w:spacing w:val="-4"/>
                <w:sz w:val="20"/>
              </w:rPr>
              <w:t> </w:t>
            </w:r>
            <w:r>
              <w:rPr>
                <w:sz w:val="20"/>
              </w:rPr>
              <w:t>Generación</w:t>
            </w:r>
            <w:r>
              <w:rPr>
                <w:spacing w:val="-5"/>
                <w:sz w:val="20"/>
              </w:rPr>
              <w:t> </w:t>
            </w:r>
            <w:r>
              <w:rPr>
                <w:sz w:val="20"/>
              </w:rPr>
              <w:t>de</w:t>
            </w:r>
            <w:r>
              <w:rPr>
                <w:spacing w:val="-5"/>
                <w:sz w:val="20"/>
              </w:rPr>
              <w:t> </w:t>
            </w:r>
            <w:r>
              <w:rPr>
                <w:sz w:val="20"/>
              </w:rPr>
              <w:t>ingresos</w:t>
            </w:r>
            <w:r>
              <w:rPr>
                <w:spacing w:val="-4"/>
                <w:sz w:val="20"/>
              </w:rPr>
              <w:t> </w:t>
            </w:r>
            <w:r>
              <w:rPr>
                <w:sz w:val="20"/>
              </w:rPr>
              <w:t>por gestión cobratoria del Impuesto a Moteles y Afines, establecidos en la Ley 9326.</w:t>
            </w:r>
          </w:p>
        </w:tc>
      </w:tr>
      <w:tr>
        <w:trPr>
          <w:trHeight w:val="299" w:hRule="atLeast"/>
        </w:trPr>
        <w:tc>
          <w:tcPr>
            <w:tcW w:w="2835" w:type="dxa"/>
            <w:shd w:val="clear" w:color="auto" w:fill="DBE4F0"/>
          </w:tcPr>
          <w:p>
            <w:pPr>
              <w:pStyle w:val="TableParagraph"/>
              <w:spacing w:before="35"/>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35"/>
              <w:ind w:left="69"/>
              <w:rPr>
                <w:sz w:val="20"/>
              </w:rPr>
            </w:pPr>
            <w:r>
              <w:rPr>
                <w:sz w:val="20"/>
              </w:rPr>
              <w:t>Monto</w:t>
            </w:r>
            <w:r>
              <w:rPr>
                <w:spacing w:val="-8"/>
                <w:sz w:val="20"/>
              </w:rPr>
              <w:t> </w:t>
            </w:r>
            <w:r>
              <w:rPr>
                <w:sz w:val="20"/>
              </w:rPr>
              <w:t>total</w:t>
            </w:r>
            <w:r>
              <w:rPr>
                <w:spacing w:val="-8"/>
                <w:sz w:val="20"/>
              </w:rPr>
              <w:t> </w:t>
            </w:r>
            <w:r>
              <w:rPr>
                <w:sz w:val="20"/>
              </w:rPr>
              <w:t>recaudado</w:t>
            </w:r>
            <w:r>
              <w:rPr>
                <w:spacing w:val="-5"/>
                <w:sz w:val="20"/>
              </w:rPr>
              <w:t> </w:t>
            </w:r>
            <w:r>
              <w:rPr>
                <w:sz w:val="20"/>
              </w:rPr>
              <w:t>en</w:t>
            </w:r>
            <w:r>
              <w:rPr>
                <w:spacing w:val="-9"/>
                <w:sz w:val="20"/>
              </w:rPr>
              <w:t> </w:t>
            </w:r>
            <w:r>
              <w:rPr>
                <w:spacing w:val="-2"/>
                <w:sz w:val="20"/>
              </w:rPr>
              <w:t>colones</w:t>
            </w:r>
          </w:p>
        </w:tc>
      </w:tr>
      <w:tr>
        <w:trPr>
          <w:trHeight w:val="765" w:hRule="atLeast"/>
        </w:trPr>
        <w:tc>
          <w:tcPr>
            <w:tcW w:w="2835" w:type="dxa"/>
            <w:shd w:val="clear" w:color="auto" w:fill="DBE4F0"/>
          </w:tcPr>
          <w:p>
            <w:pPr>
              <w:pStyle w:val="TableParagraph"/>
              <w:spacing w:before="38"/>
              <w:rPr>
                <w:b/>
                <w:sz w:val="20"/>
              </w:rPr>
            </w:pPr>
          </w:p>
          <w:p>
            <w:pPr>
              <w:pStyle w:val="TableParagraph"/>
              <w:ind w:left="67"/>
              <w:rPr>
                <w:b/>
                <w:sz w:val="20"/>
              </w:rPr>
            </w:pPr>
            <w:r>
              <w:rPr>
                <w:b/>
                <w:spacing w:val="-2"/>
                <w:sz w:val="20"/>
              </w:rPr>
              <w:t>Interpretación:</w:t>
            </w:r>
          </w:p>
        </w:tc>
        <w:tc>
          <w:tcPr>
            <w:tcW w:w="7514" w:type="dxa"/>
          </w:tcPr>
          <w:p>
            <w:pPr>
              <w:pStyle w:val="TableParagraph"/>
              <w:spacing w:before="153"/>
              <w:ind w:left="69"/>
              <w:rPr>
                <w:sz w:val="20"/>
              </w:rPr>
            </w:pPr>
            <w:r>
              <w:rPr>
                <w:sz w:val="20"/>
              </w:rPr>
              <w:t>La</w:t>
            </w:r>
            <w:r>
              <w:rPr>
                <w:spacing w:val="-6"/>
                <w:sz w:val="20"/>
              </w:rPr>
              <w:t> </w:t>
            </w:r>
            <w:r>
              <w:rPr>
                <w:sz w:val="20"/>
              </w:rPr>
              <w:t>Unidad</w:t>
            </w:r>
            <w:r>
              <w:rPr>
                <w:spacing w:val="-6"/>
                <w:sz w:val="20"/>
              </w:rPr>
              <w:t> </w:t>
            </w:r>
            <w:r>
              <w:rPr>
                <w:sz w:val="20"/>
              </w:rPr>
              <w:t>de</w:t>
            </w:r>
            <w:r>
              <w:rPr>
                <w:spacing w:val="-3"/>
                <w:sz w:val="20"/>
              </w:rPr>
              <w:t> </w:t>
            </w:r>
            <w:r>
              <w:rPr>
                <w:sz w:val="20"/>
              </w:rPr>
              <w:t>Administración</w:t>
            </w:r>
            <w:r>
              <w:rPr>
                <w:spacing w:val="-5"/>
                <w:sz w:val="20"/>
              </w:rPr>
              <w:t> </w:t>
            </w:r>
            <w:r>
              <w:rPr>
                <w:sz w:val="20"/>
              </w:rPr>
              <w:t>Tributaria</w:t>
            </w:r>
            <w:r>
              <w:rPr>
                <w:spacing w:val="-5"/>
                <w:sz w:val="20"/>
              </w:rPr>
              <w:t> </w:t>
            </w:r>
            <w:r>
              <w:rPr>
                <w:sz w:val="20"/>
              </w:rPr>
              <w:t>es</w:t>
            </w:r>
            <w:r>
              <w:rPr>
                <w:spacing w:val="-4"/>
                <w:sz w:val="20"/>
              </w:rPr>
              <w:t> </w:t>
            </w:r>
            <w:r>
              <w:rPr>
                <w:sz w:val="20"/>
              </w:rPr>
              <w:t>la</w:t>
            </w:r>
            <w:r>
              <w:rPr>
                <w:spacing w:val="-5"/>
                <w:sz w:val="20"/>
              </w:rPr>
              <w:t> </w:t>
            </w:r>
            <w:r>
              <w:rPr>
                <w:sz w:val="20"/>
              </w:rPr>
              <w:t>encargada</w:t>
            </w:r>
            <w:r>
              <w:rPr>
                <w:spacing w:val="-5"/>
                <w:sz w:val="20"/>
              </w:rPr>
              <w:t> </w:t>
            </w:r>
            <w:r>
              <w:rPr>
                <w:sz w:val="20"/>
              </w:rPr>
              <w:t>de</w:t>
            </w:r>
            <w:r>
              <w:rPr>
                <w:spacing w:val="-3"/>
                <w:sz w:val="20"/>
              </w:rPr>
              <w:t> </w:t>
            </w:r>
            <w:r>
              <w:rPr>
                <w:sz w:val="20"/>
              </w:rPr>
              <w:t>gestionar</w:t>
            </w:r>
            <w:r>
              <w:rPr>
                <w:spacing w:val="-5"/>
                <w:sz w:val="20"/>
              </w:rPr>
              <w:t> </w:t>
            </w:r>
            <w:r>
              <w:rPr>
                <w:sz w:val="20"/>
              </w:rPr>
              <w:t>y</w:t>
            </w:r>
            <w:r>
              <w:rPr>
                <w:spacing w:val="-3"/>
                <w:sz w:val="20"/>
              </w:rPr>
              <w:t> </w:t>
            </w:r>
            <w:r>
              <w:rPr>
                <w:sz w:val="20"/>
              </w:rPr>
              <w:t>controlar</w:t>
            </w:r>
            <w:r>
              <w:rPr>
                <w:spacing w:val="-5"/>
                <w:sz w:val="20"/>
              </w:rPr>
              <w:t> </w:t>
            </w:r>
            <w:r>
              <w:rPr>
                <w:sz w:val="20"/>
              </w:rPr>
              <w:t>la Generación de ingresos por gestión cobratoria del Impuesto a Moteles y Afines.</w:t>
            </w:r>
          </w:p>
        </w:tc>
      </w:tr>
      <w:tr>
        <w:trPr>
          <w:trHeight w:val="299" w:hRule="atLeast"/>
        </w:trPr>
        <w:tc>
          <w:tcPr>
            <w:tcW w:w="2835" w:type="dxa"/>
            <w:shd w:val="clear" w:color="auto" w:fill="DBE4F0"/>
          </w:tcPr>
          <w:p>
            <w:pPr>
              <w:pStyle w:val="TableParagraph"/>
              <w:spacing w:before="35"/>
              <w:ind w:left="67"/>
              <w:rPr>
                <w:b/>
                <w:sz w:val="20"/>
              </w:rPr>
            </w:pPr>
            <w:r>
              <w:rPr>
                <w:b/>
                <w:spacing w:val="-2"/>
                <w:sz w:val="20"/>
              </w:rPr>
              <w:t>Desagregación</w:t>
            </w:r>
          </w:p>
        </w:tc>
        <w:tc>
          <w:tcPr>
            <w:tcW w:w="7514" w:type="dxa"/>
          </w:tcPr>
          <w:p>
            <w:pPr>
              <w:pStyle w:val="TableParagraph"/>
              <w:spacing w:before="35"/>
              <w:ind w:left="69"/>
              <w:rPr>
                <w:sz w:val="20"/>
              </w:rPr>
            </w:pPr>
            <w:r>
              <w:rPr>
                <w:sz w:val="20"/>
              </w:rPr>
              <w:t>No</w:t>
            </w:r>
            <w:r>
              <w:rPr>
                <w:spacing w:val="-5"/>
                <w:sz w:val="20"/>
              </w:rPr>
              <w:t> </w:t>
            </w:r>
            <w:r>
              <w:rPr>
                <w:spacing w:val="-2"/>
                <w:sz w:val="20"/>
              </w:rPr>
              <w:t>Aplica</w:t>
            </w:r>
          </w:p>
        </w:tc>
      </w:tr>
      <w:tr>
        <w:trPr>
          <w:trHeight w:val="302" w:hRule="atLeast"/>
        </w:trPr>
        <w:tc>
          <w:tcPr>
            <w:tcW w:w="2835" w:type="dxa"/>
            <w:shd w:val="clear" w:color="auto" w:fill="DBE4F0"/>
          </w:tcPr>
          <w:p>
            <w:pPr>
              <w:pStyle w:val="TableParagraph"/>
              <w:spacing w:before="35"/>
              <w:ind w:left="67"/>
              <w:rPr>
                <w:b/>
                <w:sz w:val="20"/>
              </w:rPr>
            </w:pPr>
            <w:r>
              <w:rPr>
                <w:b/>
                <w:spacing w:val="-2"/>
                <w:sz w:val="20"/>
              </w:rPr>
              <w:t>Meta:</w:t>
            </w:r>
          </w:p>
        </w:tc>
        <w:tc>
          <w:tcPr>
            <w:tcW w:w="7514" w:type="dxa"/>
          </w:tcPr>
          <w:p>
            <w:pPr>
              <w:pStyle w:val="TableParagraph"/>
              <w:spacing w:before="35"/>
              <w:ind w:right="97"/>
              <w:jc w:val="right"/>
              <w:rPr>
                <w:sz w:val="20"/>
              </w:rPr>
            </w:pPr>
            <w:r>
              <w:rPr>
                <w:sz w:val="20"/>
              </w:rPr>
              <w:t>1</w:t>
            </w:r>
            <w:r>
              <w:rPr>
                <w:spacing w:val="-5"/>
                <w:sz w:val="20"/>
              </w:rPr>
              <w:t> </w:t>
            </w:r>
            <w:r>
              <w:rPr>
                <w:sz w:val="20"/>
              </w:rPr>
              <w:t>255</w:t>
            </w:r>
            <w:r>
              <w:rPr>
                <w:spacing w:val="-3"/>
                <w:sz w:val="20"/>
              </w:rPr>
              <w:t> </w:t>
            </w:r>
            <w:r>
              <w:rPr>
                <w:sz w:val="20"/>
              </w:rPr>
              <w:t>217</w:t>
            </w:r>
            <w:r>
              <w:rPr>
                <w:spacing w:val="-2"/>
                <w:sz w:val="20"/>
              </w:rPr>
              <w:t> 131,68</w:t>
            </w:r>
          </w:p>
        </w:tc>
      </w:tr>
    </w:tbl>
    <w:p>
      <w:pPr>
        <w:pStyle w:val="TableParagraph"/>
        <w:spacing w:after="0"/>
        <w:jc w:val="right"/>
        <w:rPr>
          <w:sz w:val="20"/>
        </w:rPr>
        <w:sectPr>
          <w:pgSz w:w="12240" w:h="15840"/>
          <w:pgMar w:header="0" w:footer="2082" w:top="1400" w:bottom="2821"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300" w:hRule="atLeast"/>
        </w:trPr>
        <w:tc>
          <w:tcPr>
            <w:tcW w:w="2835" w:type="dxa"/>
            <w:shd w:val="clear" w:color="auto" w:fill="DBE4F0"/>
          </w:tcPr>
          <w:p>
            <w:pPr>
              <w:pStyle w:val="TableParagraph"/>
              <w:spacing w:before="33"/>
              <w:ind w:left="67"/>
              <w:rPr>
                <w:b/>
                <w:sz w:val="20"/>
              </w:rPr>
            </w:pPr>
            <w:r>
              <w:rPr>
                <w:b/>
                <w:sz w:val="20"/>
              </w:rPr>
              <w:t>Línea</w:t>
            </w:r>
            <w:r>
              <w:rPr>
                <w:b/>
                <w:spacing w:val="-10"/>
                <w:sz w:val="20"/>
              </w:rPr>
              <w:t> </w:t>
            </w:r>
            <w:r>
              <w:rPr>
                <w:b/>
                <w:spacing w:val="-4"/>
                <w:sz w:val="20"/>
              </w:rPr>
              <w:t>Base</w:t>
            </w:r>
          </w:p>
        </w:tc>
        <w:tc>
          <w:tcPr>
            <w:tcW w:w="7514" w:type="dxa"/>
          </w:tcPr>
          <w:p>
            <w:pPr>
              <w:pStyle w:val="TableParagraph"/>
              <w:spacing w:before="33"/>
              <w:ind w:left="69"/>
              <w:rPr>
                <w:sz w:val="20"/>
              </w:rPr>
            </w:pPr>
            <w:r>
              <w:rPr>
                <w:sz w:val="20"/>
              </w:rPr>
              <w:t>La</w:t>
            </w:r>
            <w:r>
              <w:rPr>
                <w:spacing w:val="-9"/>
                <w:sz w:val="20"/>
              </w:rPr>
              <w:t> </w:t>
            </w:r>
            <w:r>
              <w:rPr>
                <w:sz w:val="20"/>
              </w:rPr>
              <w:t>línea</w:t>
            </w:r>
            <w:r>
              <w:rPr>
                <w:spacing w:val="-7"/>
                <w:sz w:val="20"/>
              </w:rPr>
              <w:t> </w:t>
            </w:r>
            <w:r>
              <w:rPr>
                <w:sz w:val="20"/>
              </w:rPr>
              <w:t>base</w:t>
            </w:r>
            <w:r>
              <w:rPr>
                <w:spacing w:val="-6"/>
                <w:sz w:val="20"/>
              </w:rPr>
              <w:t> </w:t>
            </w:r>
            <w:r>
              <w:rPr>
                <w:sz w:val="20"/>
              </w:rPr>
              <w:t>son</w:t>
            </w:r>
            <w:r>
              <w:rPr>
                <w:spacing w:val="-6"/>
                <w:sz w:val="20"/>
              </w:rPr>
              <w:t> </w:t>
            </w:r>
            <w:r>
              <w:rPr>
                <w:sz w:val="20"/>
              </w:rPr>
              <w:t>los</w:t>
            </w:r>
            <w:r>
              <w:rPr>
                <w:spacing w:val="-7"/>
                <w:sz w:val="20"/>
              </w:rPr>
              <w:t> </w:t>
            </w:r>
            <w:r>
              <w:rPr>
                <w:sz w:val="20"/>
              </w:rPr>
              <w:t>ingresos</w:t>
            </w:r>
            <w:r>
              <w:rPr>
                <w:spacing w:val="-6"/>
                <w:sz w:val="20"/>
              </w:rPr>
              <w:t> </w:t>
            </w:r>
            <w:r>
              <w:rPr>
                <w:sz w:val="20"/>
              </w:rPr>
              <w:t>percibidos</w:t>
            </w:r>
            <w:r>
              <w:rPr>
                <w:spacing w:val="-7"/>
                <w:sz w:val="20"/>
              </w:rPr>
              <w:t> </w:t>
            </w:r>
            <w:r>
              <w:rPr>
                <w:spacing w:val="-4"/>
                <w:sz w:val="20"/>
              </w:rPr>
              <w:t>2024.</w:t>
            </w:r>
          </w:p>
        </w:tc>
      </w:tr>
      <w:tr>
        <w:trPr>
          <w:trHeight w:val="510" w:hRule="atLeast"/>
        </w:trPr>
        <w:tc>
          <w:tcPr>
            <w:tcW w:w="2835" w:type="dxa"/>
            <w:shd w:val="clear" w:color="auto" w:fill="DBE4F0"/>
          </w:tcPr>
          <w:p>
            <w:pPr>
              <w:pStyle w:val="TableParagraph"/>
              <w:spacing w:before="2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138"/>
              <w:ind w:left="69"/>
              <w:rPr>
                <w:sz w:val="20"/>
              </w:rPr>
            </w:pPr>
            <w:r>
              <w:rPr>
                <w:spacing w:val="-2"/>
                <w:sz w:val="20"/>
              </w:rPr>
              <w:t>Trimestral</w:t>
            </w:r>
          </w:p>
        </w:tc>
      </w:tr>
      <w:tr>
        <w:trPr>
          <w:trHeight w:val="765" w:hRule="atLeast"/>
        </w:trPr>
        <w:tc>
          <w:tcPr>
            <w:tcW w:w="2835" w:type="dxa"/>
            <w:shd w:val="clear" w:color="auto" w:fill="DBE4F0"/>
          </w:tcPr>
          <w:p>
            <w:pPr>
              <w:pStyle w:val="TableParagraph"/>
              <w:spacing w:before="150"/>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150"/>
              <w:ind w:left="69" w:right="2852"/>
              <w:rPr>
                <w:sz w:val="20"/>
              </w:rPr>
            </w:pPr>
            <w:r>
              <w:rPr>
                <w:sz w:val="20"/>
              </w:rPr>
              <w:t>Nombre</w:t>
            </w:r>
            <w:r>
              <w:rPr>
                <w:spacing w:val="-8"/>
                <w:sz w:val="20"/>
              </w:rPr>
              <w:t> </w:t>
            </w:r>
            <w:r>
              <w:rPr>
                <w:sz w:val="20"/>
              </w:rPr>
              <w:t>del</w:t>
            </w:r>
            <w:r>
              <w:rPr>
                <w:spacing w:val="-11"/>
                <w:sz w:val="20"/>
              </w:rPr>
              <w:t> </w:t>
            </w:r>
            <w:r>
              <w:rPr>
                <w:sz w:val="20"/>
              </w:rPr>
              <w:t>funcionario:</w:t>
            </w:r>
            <w:r>
              <w:rPr>
                <w:spacing w:val="-10"/>
                <w:sz w:val="20"/>
              </w:rPr>
              <w:t> </w:t>
            </w:r>
            <w:r>
              <w:rPr>
                <w:sz w:val="20"/>
              </w:rPr>
              <w:t>Melvin</w:t>
            </w:r>
            <w:r>
              <w:rPr>
                <w:spacing w:val="-8"/>
                <w:sz w:val="20"/>
              </w:rPr>
              <w:t> </w:t>
            </w:r>
            <w:r>
              <w:rPr>
                <w:sz w:val="20"/>
              </w:rPr>
              <w:t>Cascante</w:t>
            </w:r>
            <w:r>
              <w:rPr>
                <w:spacing w:val="-10"/>
                <w:sz w:val="20"/>
              </w:rPr>
              <w:t> </w:t>
            </w:r>
            <w:r>
              <w:rPr>
                <w:sz w:val="20"/>
              </w:rPr>
              <w:t>López Cargo: Profesional Tributario</w:t>
            </w:r>
          </w:p>
        </w:tc>
      </w:tr>
      <w:tr>
        <w:trPr>
          <w:trHeight w:val="1019" w:hRule="atLeast"/>
        </w:trPr>
        <w:tc>
          <w:tcPr>
            <w:tcW w:w="2835" w:type="dxa"/>
            <w:shd w:val="clear" w:color="auto" w:fill="DBE4F0"/>
          </w:tcPr>
          <w:p>
            <w:pPr>
              <w:pStyle w:val="TableParagraph"/>
              <w:spacing w:before="47"/>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63"/>
              <w:rPr>
                <w:b/>
                <w:sz w:val="20"/>
              </w:rPr>
            </w:pPr>
          </w:p>
          <w:p>
            <w:pPr>
              <w:pStyle w:val="TableParagraph"/>
              <w:ind w:left="69"/>
              <w:rPr>
                <w:sz w:val="20"/>
              </w:rPr>
            </w:pPr>
            <w:r>
              <w:rPr>
                <w:spacing w:val="-2"/>
                <w:sz w:val="20"/>
              </w:rPr>
              <w:t>Administración</w:t>
            </w:r>
            <w:r>
              <w:rPr>
                <w:spacing w:val="10"/>
                <w:sz w:val="20"/>
              </w:rPr>
              <w:t> </w:t>
            </w:r>
            <w:r>
              <w:rPr>
                <w:spacing w:val="-2"/>
                <w:sz w:val="20"/>
              </w:rPr>
              <w:t>Tributaria</w:t>
            </w:r>
          </w:p>
        </w:tc>
      </w:tr>
      <w:tr>
        <w:trPr>
          <w:trHeight w:val="508" w:hRule="atLeast"/>
        </w:trPr>
        <w:tc>
          <w:tcPr>
            <w:tcW w:w="2835" w:type="dxa"/>
            <w:shd w:val="clear" w:color="auto" w:fill="DBE4F0"/>
          </w:tcPr>
          <w:p>
            <w:pPr>
              <w:pStyle w:val="TableParagraph"/>
              <w:spacing w:before="138"/>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138"/>
              <w:ind w:left="69"/>
              <w:rPr>
                <w:sz w:val="20"/>
              </w:rPr>
            </w:pPr>
            <w:r>
              <w:rPr>
                <w:sz w:val="20"/>
              </w:rPr>
              <w:t>Unidad</w:t>
            </w:r>
            <w:r>
              <w:rPr>
                <w:spacing w:val="-7"/>
                <w:sz w:val="20"/>
              </w:rPr>
              <w:t> </w:t>
            </w:r>
            <w:r>
              <w:rPr>
                <w:sz w:val="20"/>
              </w:rPr>
              <w:t>de</w:t>
            </w:r>
            <w:r>
              <w:rPr>
                <w:spacing w:val="-7"/>
                <w:sz w:val="20"/>
              </w:rPr>
              <w:t> </w:t>
            </w:r>
            <w:r>
              <w:rPr>
                <w:spacing w:val="-2"/>
                <w:sz w:val="20"/>
              </w:rPr>
              <w:t>Presupuesto</w:t>
            </w:r>
          </w:p>
        </w:tc>
      </w:tr>
      <w:tr>
        <w:trPr>
          <w:trHeight w:val="511" w:hRule="atLeast"/>
        </w:trPr>
        <w:tc>
          <w:tcPr>
            <w:tcW w:w="2835" w:type="dxa"/>
            <w:shd w:val="clear" w:color="auto" w:fill="DBE4F0"/>
          </w:tcPr>
          <w:p>
            <w:pPr>
              <w:pStyle w:val="TableParagraph"/>
              <w:spacing w:before="141"/>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141"/>
              <w:ind w:left="69"/>
              <w:rPr>
                <w:sz w:val="20"/>
              </w:rPr>
            </w:pPr>
            <w:r>
              <w:rPr>
                <w:sz w:val="20"/>
              </w:rPr>
              <w:t>Informes</w:t>
            </w:r>
            <w:r>
              <w:rPr>
                <w:spacing w:val="-9"/>
                <w:sz w:val="20"/>
              </w:rPr>
              <w:t> </w:t>
            </w:r>
            <w:r>
              <w:rPr>
                <w:sz w:val="20"/>
              </w:rPr>
              <w:t>Trimestrales</w:t>
            </w:r>
            <w:r>
              <w:rPr>
                <w:spacing w:val="-8"/>
                <w:sz w:val="20"/>
              </w:rPr>
              <w:t> </w:t>
            </w:r>
            <w:r>
              <w:rPr>
                <w:sz w:val="20"/>
              </w:rPr>
              <w:t>al</w:t>
            </w:r>
            <w:r>
              <w:rPr>
                <w:spacing w:val="-8"/>
                <w:sz w:val="20"/>
              </w:rPr>
              <w:t> </w:t>
            </w:r>
            <w:r>
              <w:rPr>
                <w:sz w:val="20"/>
              </w:rPr>
              <w:t>Superior</w:t>
            </w:r>
            <w:r>
              <w:rPr>
                <w:spacing w:val="-9"/>
                <w:sz w:val="20"/>
              </w:rPr>
              <w:t> </w:t>
            </w:r>
            <w:r>
              <w:rPr>
                <w:spacing w:val="-2"/>
                <w:sz w:val="20"/>
              </w:rPr>
              <w:t>Jerárquico</w:t>
            </w:r>
          </w:p>
        </w:tc>
      </w:tr>
      <w:tr>
        <w:trPr>
          <w:trHeight w:val="510" w:hRule="atLeast"/>
        </w:trPr>
        <w:tc>
          <w:tcPr>
            <w:tcW w:w="2835" w:type="dxa"/>
            <w:shd w:val="clear" w:color="auto" w:fill="DBE4F0"/>
          </w:tcPr>
          <w:p>
            <w:pPr>
              <w:pStyle w:val="TableParagraph"/>
              <w:spacing w:before="138"/>
              <w:ind w:left="67"/>
              <w:rPr>
                <w:b/>
                <w:sz w:val="20"/>
              </w:rPr>
            </w:pPr>
            <w:r>
              <w:rPr>
                <w:b/>
                <w:spacing w:val="-2"/>
                <w:sz w:val="20"/>
              </w:rPr>
              <w:t>Clasificación</w:t>
            </w:r>
          </w:p>
        </w:tc>
        <w:tc>
          <w:tcPr>
            <w:tcW w:w="7514" w:type="dxa"/>
          </w:tcPr>
          <w:p>
            <w:pPr>
              <w:pStyle w:val="TableParagraph"/>
              <w:spacing w:before="138"/>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765" w:hRule="atLeast"/>
        </w:trPr>
        <w:tc>
          <w:tcPr>
            <w:tcW w:w="2835" w:type="dxa"/>
            <w:shd w:val="clear" w:color="auto" w:fill="DBE4F0"/>
          </w:tcPr>
          <w:p>
            <w:pPr>
              <w:pStyle w:val="TableParagraph"/>
              <w:spacing w:before="35"/>
              <w:rPr>
                <w:b/>
                <w:sz w:val="20"/>
              </w:rPr>
            </w:pPr>
          </w:p>
          <w:p>
            <w:pPr>
              <w:pStyle w:val="TableParagraph"/>
              <w:spacing w:before="1"/>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spacing w:before="35"/>
              <w:ind w:left="69" w:right="170"/>
              <w:rPr>
                <w:sz w:val="20"/>
              </w:rPr>
            </w:pPr>
            <w:r>
              <w:rPr>
                <w:sz w:val="20"/>
              </w:rPr>
              <w:t>Mensualmente la Unidad de Presupuesto presenta un informe en donde se detallan</w:t>
            </w:r>
            <w:r>
              <w:rPr>
                <w:spacing w:val="-4"/>
                <w:sz w:val="20"/>
              </w:rPr>
              <w:t> </w:t>
            </w:r>
            <w:r>
              <w:rPr>
                <w:sz w:val="20"/>
              </w:rPr>
              <w:t>los</w:t>
            </w:r>
            <w:r>
              <w:rPr>
                <w:spacing w:val="-4"/>
                <w:sz w:val="20"/>
              </w:rPr>
              <w:t> </w:t>
            </w:r>
            <w:r>
              <w:rPr>
                <w:sz w:val="20"/>
              </w:rPr>
              <w:t>ingresos</w:t>
            </w:r>
            <w:r>
              <w:rPr>
                <w:spacing w:val="-4"/>
                <w:sz w:val="20"/>
              </w:rPr>
              <w:t> </w:t>
            </w:r>
            <w:r>
              <w:rPr>
                <w:sz w:val="20"/>
              </w:rPr>
              <w:t>percibidos</w:t>
            </w:r>
            <w:r>
              <w:rPr>
                <w:spacing w:val="-4"/>
                <w:sz w:val="20"/>
              </w:rPr>
              <w:t> </w:t>
            </w:r>
            <w:r>
              <w:rPr>
                <w:sz w:val="20"/>
              </w:rPr>
              <w:t>en</w:t>
            </w:r>
            <w:r>
              <w:rPr>
                <w:spacing w:val="-5"/>
                <w:sz w:val="20"/>
              </w:rPr>
              <w:t> </w:t>
            </w:r>
            <w:r>
              <w:rPr>
                <w:sz w:val="20"/>
              </w:rPr>
              <w:t>cada</w:t>
            </w:r>
            <w:r>
              <w:rPr>
                <w:spacing w:val="-5"/>
                <w:sz w:val="20"/>
              </w:rPr>
              <w:t> </w:t>
            </w:r>
            <w:r>
              <w:rPr>
                <w:sz w:val="20"/>
              </w:rPr>
              <w:t>uno</w:t>
            </w:r>
            <w:r>
              <w:rPr>
                <w:spacing w:val="-5"/>
                <w:sz w:val="20"/>
              </w:rPr>
              <w:t> </w:t>
            </w:r>
            <w:r>
              <w:rPr>
                <w:sz w:val="20"/>
              </w:rPr>
              <w:t>de</w:t>
            </w:r>
            <w:r>
              <w:rPr>
                <w:spacing w:val="-5"/>
                <w:sz w:val="20"/>
              </w:rPr>
              <w:t> </w:t>
            </w:r>
            <w:r>
              <w:rPr>
                <w:sz w:val="20"/>
              </w:rPr>
              <w:t>los</w:t>
            </w:r>
            <w:r>
              <w:rPr>
                <w:spacing w:val="-4"/>
                <w:sz w:val="20"/>
              </w:rPr>
              <w:t> </w:t>
            </w:r>
            <w:r>
              <w:rPr>
                <w:sz w:val="20"/>
              </w:rPr>
              <w:t>ingresos</w:t>
            </w:r>
            <w:r>
              <w:rPr>
                <w:spacing w:val="-4"/>
                <w:sz w:val="20"/>
              </w:rPr>
              <w:t> </w:t>
            </w:r>
            <w:r>
              <w:rPr>
                <w:sz w:val="20"/>
              </w:rPr>
              <w:t>recaudados</w:t>
            </w:r>
            <w:r>
              <w:rPr>
                <w:spacing w:val="-4"/>
                <w:sz w:val="20"/>
              </w:rPr>
              <w:t> </w:t>
            </w:r>
            <w:r>
              <w:rPr>
                <w:sz w:val="20"/>
              </w:rPr>
              <w:t>por</w:t>
            </w:r>
            <w:r>
              <w:rPr>
                <w:spacing w:val="-2"/>
                <w:sz w:val="20"/>
              </w:rPr>
              <w:t> </w:t>
            </w:r>
            <w:r>
              <w:rPr>
                <w:sz w:val="20"/>
              </w:rPr>
              <w:t>el </w:t>
            </w:r>
            <w:r>
              <w:rPr>
                <w:spacing w:val="-2"/>
                <w:sz w:val="20"/>
              </w:rPr>
              <w:t>IMAS.</w:t>
            </w:r>
          </w:p>
        </w:tc>
      </w:tr>
    </w:tbl>
    <w:p>
      <w:pPr>
        <w:pStyle w:val="BodyText"/>
        <w:rPr>
          <w:b/>
          <w:sz w:val="20"/>
        </w:rPr>
      </w:pPr>
    </w:p>
    <w:p>
      <w:pPr>
        <w:pStyle w:val="BodyText"/>
        <w:spacing w:before="19" w:after="1"/>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7"/>
        <w:gridCol w:w="7371"/>
      </w:tblGrid>
      <w:tr>
        <w:trPr>
          <w:trHeight w:val="510" w:hRule="atLeast"/>
        </w:trPr>
        <w:tc>
          <w:tcPr>
            <w:tcW w:w="2977" w:type="dxa"/>
            <w:shd w:val="clear" w:color="auto" w:fill="DBE4F0"/>
          </w:tcPr>
          <w:p>
            <w:pPr>
              <w:pStyle w:val="TableParagraph"/>
              <w:spacing w:before="141"/>
              <w:ind w:left="67"/>
              <w:rPr>
                <w:b/>
                <w:sz w:val="20"/>
              </w:rPr>
            </w:pPr>
            <w:r>
              <w:rPr>
                <w:b/>
                <w:sz w:val="20"/>
              </w:rPr>
              <w:t>PAC</w:t>
            </w:r>
            <w:r>
              <w:rPr>
                <w:b/>
                <w:spacing w:val="-8"/>
                <w:sz w:val="20"/>
              </w:rPr>
              <w:t> </w:t>
            </w:r>
            <w:r>
              <w:rPr>
                <w:b/>
                <w:spacing w:val="-2"/>
                <w:sz w:val="20"/>
              </w:rPr>
              <w:t>2.10.5:</w:t>
            </w:r>
          </w:p>
        </w:tc>
        <w:tc>
          <w:tcPr>
            <w:tcW w:w="7371" w:type="dxa"/>
          </w:tcPr>
          <w:p>
            <w:pPr>
              <w:pStyle w:val="TableParagraph"/>
              <w:spacing w:before="141"/>
              <w:ind w:left="69"/>
              <w:rPr>
                <w:sz w:val="20"/>
              </w:rPr>
            </w:pPr>
            <w:r>
              <w:rPr>
                <w:sz w:val="20"/>
              </w:rPr>
              <w:t>Nombre</w:t>
            </w:r>
            <w:r>
              <w:rPr>
                <w:spacing w:val="-7"/>
                <w:sz w:val="20"/>
              </w:rPr>
              <w:t> </w:t>
            </w:r>
            <w:r>
              <w:rPr>
                <w:sz w:val="20"/>
              </w:rPr>
              <w:t>del</w:t>
            </w:r>
            <w:r>
              <w:rPr>
                <w:spacing w:val="-9"/>
                <w:sz w:val="20"/>
              </w:rPr>
              <w:t> </w:t>
            </w:r>
            <w:r>
              <w:rPr>
                <w:sz w:val="20"/>
              </w:rPr>
              <w:t>Indicador:</w:t>
            </w:r>
            <w:r>
              <w:rPr>
                <w:spacing w:val="-6"/>
                <w:sz w:val="20"/>
              </w:rPr>
              <w:t> </w:t>
            </w:r>
            <w:r>
              <w:rPr>
                <w:sz w:val="20"/>
              </w:rPr>
              <w:t>Monto</w:t>
            </w:r>
            <w:r>
              <w:rPr>
                <w:spacing w:val="-9"/>
                <w:sz w:val="20"/>
              </w:rPr>
              <w:t> </w:t>
            </w:r>
            <w:r>
              <w:rPr>
                <w:sz w:val="20"/>
              </w:rPr>
              <w:t>en</w:t>
            </w:r>
            <w:r>
              <w:rPr>
                <w:spacing w:val="-6"/>
                <w:sz w:val="20"/>
              </w:rPr>
              <w:t> </w:t>
            </w:r>
            <w:r>
              <w:rPr>
                <w:sz w:val="20"/>
              </w:rPr>
              <w:t>colones</w:t>
            </w:r>
            <w:r>
              <w:rPr>
                <w:spacing w:val="-7"/>
                <w:sz w:val="20"/>
              </w:rPr>
              <w:t> </w:t>
            </w:r>
            <w:r>
              <w:rPr>
                <w:sz w:val="20"/>
              </w:rPr>
              <w:t>estimado</w:t>
            </w:r>
            <w:r>
              <w:rPr>
                <w:spacing w:val="-7"/>
                <w:sz w:val="20"/>
              </w:rPr>
              <w:t> </w:t>
            </w:r>
            <w:r>
              <w:rPr>
                <w:sz w:val="20"/>
              </w:rPr>
              <w:t>de</w:t>
            </w:r>
            <w:r>
              <w:rPr>
                <w:spacing w:val="-7"/>
                <w:sz w:val="20"/>
              </w:rPr>
              <w:t> </w:t>
            </w:r>
            <w:r>
              <w:rPr>
                <w:sz w:val="20"/>
              </w:rPr>
              <w:t>los</w:t>
            </w:r>
            <w:r>
              <w:rPr>
                <w:spacing w:val="-7"/>
                <w:sz w:val="20"/>
              </w:rPr>
              <w:t> </w:t>
            </w:r>
            <w:r>
              <w:rPr>
                <w:sz w:val="20"/>
              </w:rPr>
              <w:t>ingresos</w:t>
            </w:r>
            <w:r>
              <w:rPr>
                <w:spacing w:val="-7"/>
                <w:sz w:val="20"/>
              </w:rPr>
              <w:t> </w:t>
            </w:r>
            <w:r>
              <w:rPr>
                <w:spacing w:val="-2"/>
                <w:sz w:val="20"/>
              </w:rPr>
              <w:t>tributarios</w:t>
            </w:r>
          </w:p>
        </w:tc>
      </w:tr>
      <w:tr>
        <w:trPr>
          <w:trHeight w:val="510" w:hRule="atLeast"/>
        </w:trPr>
        <w:tc>
          <w:tcPr>
            <w:tcW w:w="2977" w:type="dxa"/>
            <w:shd w:val="clear" w:color="auto" w:fill="DBE4F0"/>
          </w:tcPr>
          <w:p>
            <w:pPr>
              <w:pStyle w:val="TableParagraph"/>
              <w:spacing w:before="138"/>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371" w:type="dxa"/>
          </w:tcPr>
          <w:p>
            <w:pPr>
              <w:pStyle w:val="TableParagraph"/>
              <w:spacing w:before="26"/>
              <w:ind w:left="69" w:right="124"/>
              <w:rPr>
                <w:sz w:val="20"/>
              </w:rPr>
            </w:pPr>
            <w:r>
              <w:rPr>
                <w:sz w:val="20"/>
              </w:rPr>
              <w:t>Sumatoria</w:t>
            </w:r>
            <w:r>
              <w:rPr>
                <w:spacing w:val="-5"/>
                <w:sz w:val="20"/>
              </w:rPr>
              <w:t> </w:t>
            </w:r>
            <w:r>
              <w:rPr>
                <w:sz w:val="20"/>
              </w:rPr>
              <w:t>del</w:t>
            </w:r>
            <w:r>
              <w:rPr>
                <w:spacing w:val="-4"/>
                <w:sz w:val="20"/>
              </w:rPr>
              <w:t> </w:t>
            </w:r>
            <w:r>
              <w:rPr>
                <w:sz w:val="20"/>
              </w:rPr>
              <w:t>Monto</w:t>
            </w:r>
            <w:r>
              <w:rPr>
                <w:spacing w:val="-6"/>
                <w:sz w:val="20"/>
              </w:rPr>
              <w:t> </w:t>
            </w:r>
            <w:r>
              <w:rPr>
                <w:sz w:val="20"/>
              </w:rPr>
              <w:t>total</w:t>
            </w:r>
            <w:r>
              <w:rPr>
                <w:spacing w:val="-6"/>
                <w:sz w:val="20"/>
              </w:rPr>
              <w:t> </w:t>
            </w:r>
            <w:r>
              <w:rPr>
                <w:sz w:val="20"/>
              </w:rPr>
              <w:t>recaudado</w:t>
            </w:r>
            <w:r>
              <w:rPr>
                <w:spacing w:val="-4"/>
                <w:sz w:val="20"/>
              </w:rPr>
              <w:t> </w:t>
            </w:r>
            <w:r>
              <w:rPr>
                <w:sz w:val="20"/>
              </w:rPr>
              <w:t>por</w:t>
            </w:r>
            <w:r>
              <w:rPr>
                <w:spacing w:val="-4"/>
                <w:sz w:val="20"/>
              </w:rPr>
              <w:t> </w:t>
            </w:r>
            <w:r>
              <w:rPr>
                <w:sz w:val="20"/>
              </w:rPr>
              <w:t>concepto</w:t>
            </w:r>
            <w:r>
              <w:rPr>
                <w:spacing w:val="-4"/>
                <w:sz w:val="20"/>
              </w:rPr>
              <w:t> </w:t>
            </w:r>
            <w:r>
              <w:rPr>
                <w:sz w:val="20"/>
              </w:rPr>
              <w:t>de</w:t>
            </w:r>
            <w:r>
              <w:rPr>
                <w:spacing w:val="80"/>
                <w:sz w:val="20"/>
              </w:rPr>
              <w:t> </w:t>
            </w:r>
            <w:r>
              <w:rPr>
                <w:sz w:val="20"/>
              </w:rPr>
              <w:t>Generación</w:t>
            </w:r>
            <w:r>
              <w:rPr>
                <w:spacing w:val="-4"/>
                <w:sz w:val="20"/>
              </w:rPr>
              <w:t> </w:t>
            </w:r>
            <w:r>
              <w:rPr>
                <w:sz w:val="20"/>
              </w:rPr>
              <w:t>de</w:t>
            </w:r>
            <w:r>
              <w:rPr>
                <w:spacing w:val="-4"/>
                <w:sz w:val="20"/>
              </w:rPr>
              <w:t> </w:t>
            </w:r>
            <w:r>
              <w:rPr>
                <w:sz w:val="20"/>
              </w:rPr>
              <w:t>ingresos por gestión cobratoria de recargos e intereses.</w:t>
            </w:r>
          </w:p>
        </w:tc>
      </w:tr>
      <w:tr>
        <w:trPr>
          <w:trHeight w:val="299" w:hRule="atLeast"/>
        </w:trPr>
        <w:tc>
          <w:tcPr>
            <w:tcW w:w="2977" w:type="dxa"/>
            <w:shd w:val="clear" w:color="auto" w:fill="DBE4F0"/>
          </w:tcPr>
          <w:p>
            <w:pPr>
              <w:pStyle w:val="TableParagraph"/>
              <w:spacing w:before="33"/>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71" w:type="dxa"/>
          </w:tcPr>
          <w:p>
            <w:pPr>
              <w:pStyle w:val="TableParagraph"/>
              <w:spacing w:before="33"/>
              <w:ind w:left="69"/>
              <w:rPr>
                <w:sz w:val="20"/>
              </w:rPr>
            </w:pPr>
            <w:r>
              <w:rPr>
                <w:sz w:val="20"/>
              </w:rPr>
              <w:t>Monto</w:t>
            </w:r>
            <w:r>
              <w:rPr>
                <w:spacing w:val="-8"/>
                <w:sz w:val="20"/>
              </w:rPr>
              <w:t> </w:t>
            </w:r>
            <w:r>
              <w:rPr>
                <w:sz w:val="20"/>
              </w:rPr>
              <w:t>total</w:t>
            </w:r>
            <w:r>
              <w:rPr>
                <w:spacing w:val="-8"/>
                <w:sz w:val="20"/>
              </w:rPr>
              <w:t> </w:t>
            </w:r>
            <w:r>
              <w:rPr>
                <w:sz w:val="20"/>
              </w:rPr>
              <w:t>recaudado</w:t>
            </w:r>
            <w:r>
              <w:rPr>
                <w:spacing w:val="-5"/>
                <w:sz w:val="20"/>
              </w:rPr>
              <w:t> </w:t>
            </w:r>
            <w:r>
              <w:rPr>
                <w:sz w:val="20"/>
              </w:rPr>
              <w:t>en</w:t>
            </w:r>
            <w:r>
              <w:rPr>
                <w:spacing w:val="-9"/>
                <w:sz w:val="20"/>
              </w:rPr>
              <w:t> </w:t>
            </w:r>
            <w:r>
              <w:rPr>
                <w:spacing w:val="-2"/>
                <w:sz w:val="20"/>
              </w:rPr>
              <w:t>colones</w:t>
            </w:r>
          </w:p>
        </w:tc>
      </w:tr>
      <w:tr>
        <w:trPr>
          <w:trHeight w:val="765" w:hRule="atLeast"/>
        </w:trPr>
        <w:tc>
          <w:tcPr>
            <w:tcW w:w="2977" w:type="dxa"/>
            <w:shd w:val="clear" w:color="auto" w:fill="DBE4F0"/>
          </w:tcPr>
          <w:p>
            <w:pPr>
              <w:pStyle w:val="TableParagraph"/>
              <w:spacing w:before="36"/>
              <w:rPr>
                <w:b/>
                <w:sz w:val="20"/>
              </w:rPr>
            </w:pPr>
          </w:p>
          <w:p>
            <w:pPr>
              <w:pStyle w:val="TableParagraph"/>
              <w:ind w:left="67"/>
              <w:rPr>
                <w:b/>
                <w:sz w:val="20"/>
              </w:rPr>
            </w:pPr>
            <w:r>
              <w:rPr>
                <w:b/>
                <w:spacing w:val="-2"/>
                <w:sz w:val="20"/>
              </w:rPr>
              <w:t>Interpretación:</w:t>
            </w:r>
          </w:p>
        </w:tc>
        <w:tc>
          <w:tcPr>
            <w:tcW w:w="7371" w:type="dxa"/>
          </w:tcPr>
          <w:p>
            <w:pPr>
              <w:pStyle w:val="TableParagraph"/>
              <w:spacing w:before="153"/>
              <w:ind w:left="69" w:right="124"/>
              <w:rPr>
                <w:sz w:val="20"/>
              </w:rPr>
            </w:pPr>
            <w:r>
              <w:rPr>
                <w:sz w:val="20"/>
              </w:rPr>
              <w:t>La</w:t>
            </w:r>
            <w:r>
              <w:rPr>
                <w:spacing w:val="-6"/>
                <w:sz w:val="20"/>
              </w:rPr>
              <w:t> </w:t>
            </w:r>
            <w:r>
              <w:rPr>
                <w:sz w:val="20"/>
              </w:rPr>
              <w:t>Unidad</w:t>
            </w:r>
            <w:r>
              <w:rPr>
                <w:spacing w:val="-6"/>
                <w:sz w:val="20"/>
              </w:rPr>
              <w:t> </w:t>
            </w:r>
            <w:r>
              <w:rPr>
                <w:sz w:val="20"/>
              </w:rPr>
              <w:t>de</w:t>
            </w:r>
            <w:r>
              <w:rPr>
                <w:spacing w:val="-3"/>
                <w:sz w:val="20"/>
              </w:rPr>
              <w:t> </w:t>
            </w:r>
            <w:r>
              <w:rPr>
                <w:sz w:val="20"/>
              </w:rPr>
              <w:t>Administración</w:t>
            </w:r>
            <w:r>
              <w:rPr>
                <w:spacing w:val="-5"/>
                <w:sz w:val="20"/>
              </w:rPr>
              <w:t> </w:t>
            </w:r>
            <w:r>
              <w:rPr>
                <w:sz w:val="20"/>
              </w:rPr>
              <w:t>Tributaria</w:t>
            </w:r>
            <w:r>
              <w:rPr>
                <w:spacing w:val="-5"/>
                <w:sz w:val="20"/>
              </w:rPr>
              <w:t> </w:t>
            </w:r>
            <w:r>
              <w:rPr>
                <w:sz w:val="20"/>
              </w:rPr>
              <w:t>es</w:t>
            </w:r>
            <w:r>
              <w:rPr>
                <w:spacing w:val="-4"/>
                <w:sz w:val="20"/>
              </w:rPr>
              <w:t> </w:t>
            </w:r>
            <w:r>
              <w:rPr>
                <w:sz w:val="20"/>
              </w:rPr>
              <w:t>la</w:t>
            </w:r>
            <w:r>
              <w:rPr>
                <w:spacing w:val="-5"/>
                <w:sz w:val="20"/>
              </w:rPr>
              <w:t> </w:t>
            </w:r>
            <w:r>
              <w:rPr>
                <w:sz w:val="20"/>
              </w:rPr>
              <w:t>encargada</w:t>
            </w:r>
            <w:r>
              <w:rPr>
                <w:spacing w:val="-5"/>
                <w:sz w:val="20"/>
              </w:rPr>
              <w:t> </w:t>
            </w:r>
            <w:r>
              <w:rPr>
                <w:sz w:val="20"/>
              </w:rPr>
              <w:t>de</w:t>
            </w:r>
            <w:r>
              <w:rPr>
                <w:spacing w:val="-3"/>
                <w:sz w:val="20"/>
              </w:rPr>
              <w:t> </w:t>
            </w:r>
            <w:r>
              <w:rPr>
                <w:sz w:val="20"/>
              </w:rPr>
              <w:t>gestionar</w:t>
            </w:r>
            <w:r>
              <w:rPr>
                <w:spacing w:val="-5"/>
                <w:sz w:val="20"/>
              </w:rPr>
              <w:t> </w:t>
            </w:r>
            <w:r>
              <w:rPr>
                <w:sz w:val="20"/>
              </w:rPr>
              <w:t>y</w:t>
            </w:r>
            <w:r>
              <w:rPr>
                <w:spacing w:val="-3"/>
                <w:sz w:val="20"/>
              </w:rPr>
              <w:t> </w:t>
            </w:r>
            <w:r>
              <w:rPr>
                <w:sz w:val="20"/>
              </w:rPr>
              <w:t>controlar la</w:t>
            </w:r>
            <w:r>
              <w:rPr>
                <w:spacing w:val="80"/>
                <w:sz w:val="20"/>
              </w:rPr>
              <w:t> </w:t>
            </w:r>
            <w:r>
              <w:rPr>
                <w:sz w:val="20"/>
              </w:rPr>
              <w:t>Generación de ingresos por gestión cobratoria de recargos e intereses.</w:t>
            </w:r>
          </w:p>
        </w:tc>
      </w:tr>
      <w:tr>
        <w:trPr>
          <w:trHeight w:val="299" w:hRule="atLeast"/>
        </w:trPr>
        <w:tc>
          <w:tcPr>
            <w:tcW w:w="2977" w:type="dxa"/>
            <w:shd w:val="clear" w:color="auto" w:fill="DBE4F0"/>
          </w:tcPr>
          <w:p>
            <w:pPr>
              <w:pStyle w:val="TableParagraph"/>
              <w:spacing w:before="33"/>
              <w:ind w:left="67"/>
              <w:rPr>
                <w:b/>
                <w:sz w:val="20"/>
              </w:rPr>
            </w:pPr>
            <w:r>
              <w:rPr>
                <w:b/>
                <w:spacing w:val="-2"/>
                <w:sz w:val="20"/>
              </w:rPr>
              <w:t>Desagregación</w:t>
            </w:r>
          </w:p>
        </w:tc>
        <w:tc>
          <w:tcPr>
            <w:tcW w:w="7371" w:type="dxa"/>
          </w:tcPr>
          <w:p>
            <w:pPr>
              <w:pStyle w:val="TableParagraph"/>
              <w:spacing w:before="33"/>
              <w:ind w:left="69"/>
              <w:rPr>
                <w:sz w:val="20"/>
              </w:rPr>
            </w:pPr>
            <w:r>
              <w:rPr>
                <w:sz w:val="20"/>
              </w:rPr>
              <w:t>No</w:t>
            </w:r>
            <w:r>
              <w:rPr>
                <w:spacing w:val="-5"/>
                <w:sz w:val="20"/>
              </w:rPr>
              <w:t> </w:t>
            </w:r>
            <w:r>
              <w:rPr>
                <w:spacing w:val="-2"/>
                <w:sz w:val="20"/>
              </w:rPr>
              <w:t>Aplica</w:t>
            </w:r>
          </w:p>
        </w:tc>
      </w:tr>
      <w:tr>
        <w:trPr>
          <w:trHeight w:val="460" w:hRule="atLeast"/>
        </w:trPr>
        <w:tc>
          <w:tcPr>
            <w:tcW w:w="2977" w:type="dxa"/>
            <w:shd w:val="clear" w:color="auto" w:fill="DBE4F0"/>
          </w:tcPr>
          <w:p>
            <w:pPr>
              <w:pStyle w:val="TableParagraph"/>
              <w:spacing w:before="114"/>
              <w:ind w:left="122"/>
              <w:rPr>
                <w:b/>
                <w:sz w:val="20"/>
              </w:rPr>
            </w:pPr>
            <w:r>
              <w:rPr>
                <w:b/>
                <w:spacing w:val="-2"/>
                <w:sz w:val="20"/>
              </w:rPr>
              <w:t>Meta:</w:t>
            </w:r>
          </w:p>
        </w:tc>
        <w:tc>
          <w:tcPr>
            <w:tcW w:w="7371" w:type="dxa"/>
          </w:tcPr>
          <w:p>
            <w:pPr>
              <w:pStyle w:val="TableParagraph"/>
              <w:spacing w:line="229" w:lineRule="exact"/>
              <w:ind w:left="5960"/>
              <w:rPr>
                <w:sz w:val="20"/>
              </w:rPr>
            </w:pPr>
            <w:r>
              <w:rPr>
                <w:sz w:val="20"/>
              </w:rPr>
              <w:t>259</w:t>
            </w:r>
            <w:r>
              <w:rPr>
                <w:spacing w:val="-5"/>
                <w:sz w:val="20"/>
              </w:rPr>
              <w:t> 648</w:t>
            </w:r>
          </w:p>
          <w:p>
            <w:pPr>
              <w:pStyle w:val="TableParagraph"/>
              <w:spacing w:line="211" w:lineRule="exact"/>
              <w:ind w:left="69"/>
              <w:rPr>
                <w:sz w:val="20"/>
              </w:rPr>
            </w:pPr>
            <w:r>
              <w:rPr>
                <w:spacing w:val="-2"/>
                <w:sz w:val="20"/>
              </w:rPr>
              <w:t>775,25</w:t>
            </w:r>
          </w:p>
        </w:tc>
      </w:tr>
      <w:tr>
        <w:trPr>
          <w:trHeight w:val="299" w:hRule="atLeast"/>
        </w:trPr>
        <w:tc>
          <w:tcPr>
            <w:tcW w:w="2977" w:type="dxa"/>
            <w:shd w:val="clear" w:color="auto" w:fill="DBE4F0"/>
          </w:tcPr>
          <w:p>
            <w:pPr>
              <w:pStyle w:val="TableParagraph"/>
              <w:spacing w:before="33"/>
              <w:ind w:left="67"/>
              <w:rPr>
                <w:b/>
                <w:sz w:val="20"/>
              </w:rPr>
            </w:pPr>
            <w:r>
              <w:rPr>
                <w:b/>
                <w:sz w:val="20"/>
              </w:rPr>
              <w:t>Línea</w:t>
            </w:r>
            <w:r>
              <w:rPr>
                <w:b/>
                <w:spacing w:val="-10"/>
                <w:sz w:val="20"/>
              </w:rPr>
              <w:t> </w:t>
            </w:r>
            <w:r>
              <w:rPr>
                <w:b/>
                <w:spacing w:val="-4"/>
                <w:sz w:val="20"/>
              </w:rPr>
              <w:t>Base</w:t>
            </w:r>
          </w:p>
        </w:tc>
        <w:tc>
          <w:tcPr>
            <w:tcW w:w="7371" w:type="dxa"/>
          </w:tcPr>
          <w:p>
            <w:pPr>
              <w:pStyle w:val="TableParagraph"/>
              <w:spacing w:before="33"/>
              <w:ind w:left="69"/>
              <w:rPr>
                <w:sz w:val="20"/>
              </w:rPr>
            </w:pPr>
            <w:r>
              <w:rPr>
                <w:sz w:val="20"/>
              </w:rPr>
              <w:t>La</w:t>
            </w:r>
            <w:r>
              <w:rPr>
                <w:spacing w:val="-9"/>
                <w:sz w:val="20"/>
              </w:rPr>
              <w:t> </w:t>
            </w:r>
            <w:r>
              <w:rPr>
                <w:sz w:val="20"/>
              </w:rPr>
              <w:t>línea</w:t>
            </w:r>
            <w:r>
              <w:rPr>
                <w:spacing w:val="-7"/>
                <w:sz w:val="20"/>
              </w:rPr>
              <w:t> </w:t>
            </w:r>
            <w:r>
              <w:rPr>
                <w:sz w:val="20"/>
              </w:rPr>
              <w:t>base</w:t>
            </w:r>
            <w:r>
              <w:rPr>
                <w:spacing w:val="-6"/>
                <w:sz w:val="20"/>
              </w:rPr>
              <w:t> </w:t>
            </w:r>
            <w:r>
              <w:rPr>
                <w:sz w:val="20"/>
              </w:rPr>
              <w:t>son</w:t>
            </w:r>
            <w:r>
              <w:rPr>
                <w:spacing w:val="-6"/>
                <w:sz w:val="20"/>
              </w:rPr>
              <w:t> </w:t>
            </w:r>
            <w:r>
              <w:rPr>
                <w:sz w:val="20"/>
              </w:rPr>
              <w:t>los</w:t>
            </w:r>
            <w:r>
              <w:rPr>
                <w:spacing w:val="-7"/>
                <w:sz w:val="20"/>
              </w:rPr>
              <w:t> </w:t>
            </w:r>
            <w:r>
              <w:rPr>
                <w:sz w:val="20"/>
              </w:rPr>
              <w:t>ingresos</w:t>
            </w:r>
            <w:r>
              <w:rPr>
                <w:spacing w:val="-6"/>
                <w:sz w:val="20"/>
              </w:rPr>
              <w:t> </w:t>
            </w:r>
            <w:r>
              <w:rPr>
                <w:sz w:val="20"/>
              </w:rPr>
              <w:t>percibidos</w:t>
            </w:r>
            <w:r>
              <w:rPr>
                <w:spacing w:val="-7"/>
                <w:sz w:val="20"/>
              </w:rPr>
              <w:t> </w:t>
            </w:r>
            <w:r>
              <w:rPr>
                <w:spacing w:val="-4"/>
                <w:sz w:val="20"/>
              </w:rPr>
              <w:t>2024.</w:t>
            </w:r>
          </w:p>
        </w:tc>
      </w:tr>
      <w:tr>
        <w:trPr>
          <w:trHeight w:val="510" w:hRule="atLeast"/>
        </w:trPr>
        <w:tc>
          <w:tcPr>
            <w:tcW w:w="2977" w:type="dxa"/>
            <w:shd w:val="clear" w:color="auto" w:fill="DBE4F0"/>
          </w:tcPr>
          <w:p>
            <w:pPr>
              <w:pStyle w:val="TableParagraph"/>
              <w:spacing w:before="2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371" w:type="dxa"/>
          </w:tcPr>
          <w:p>
            <w:pPr>
              <w:pStyle w:val="TableParagraph"/>
              <w:spacing w:before="138"/>
              <w:ind w:left="69"/>
              <w:rPr>
                <w:sz w:val="20"/>
              </w:rPr>
            </w:pPr>
            <w:r>
              <w:rPr>
                <w:spacing w:val="-2"/>
                <w:sz w:val="20"/>
              </w:rPr>
              <w:t>Trimestral</w:t>
            </w:r>
          </w:p>
        </w:tc>
      </w:tr>
      <w:tr>
        <w:trPr>
          <w:trHeight w:val="765" w:hRule="atLeast"/>
        </w:trPr>
        <w:tc>
          <w:tcPr>
            <w:tcW w:w="2977" w:type="dxa"/>
            <w:shd w:val="clear" w:color="auto" w:fill="DBE4F0"/>
          </w:tcPr>
          <w:p>
            <w:pPr>
              <w:pStyle w:val="TableParagraph"/>
              <w:spacing w:before="150"/>
              <w:ind w:left="67" w:right="515"/>
              <w:rPr>
                <w:b/>
                <w:sz w:val="20"/>
              </w:rPr>
            </w:pPr>
            <w:r>
              <w:rPr>
                <w:b/>
                <w:sz w:val="20"/>
              </w:rPr>
              <w:t>Responsable de la recopilación</w:t>
            </w:r>
            <w:r>
              <w:rPr>
                <w:b/>
                <w:spacing w:val="-14"/>
                <w:sz w:val="20"/>
              </w:rPr>
              <w:t> </w:t>
            </w:r>
            <w:r>
              <w:rPr>
                <w:b/>
                <w:sz w:val="20"/>
              </w:rPr>
              <w:t>información</w:t>
            </w:r>
          </w:p>
        </w:tc>
        <w:tc>
          <w:tcPr>
            <w:tcW w:w="7371" w:type="dxa"/>
          </w:tcPr>
          <w:p>
            <w:pPr>
              <w:pStyle w:val="TableParagraph"/>
              <w:spacing w:before="150"/>
              <w:ind w:left="69" w:right="2500"/>
              <w:rPr>
                <w:sz w:val="20"/>
              </w:rPr>
            </w:pPr>
            <w:r>
              <w:rPr>
                <w:sz w:val="20"/>
              </w:rPr>
              <w:t>Nombre</w:t>
            </w:r>
            <w:r>
              <w:rPr>
                <w:spacing w:val="-8"/>
                <w:sz w:val="20"/>
              </w:rPr>
              <w:t> </w:t>
            </w:r>
            <w:r>
              <w:rPr>
                <w:sz w:val="20"/>
              </w:rPr>
              <w:t>del</w:t>
            </w:r>
            <w:r>
              <w:rPr>
                <w:spacing w:val="-11"/>
                <w:sz w:val="20"/>
              </w:rPr>
              <w:t> </w:t>
            </w:r>
            <w:r>
              <w:rPr>
                <w:sz w:val="20"/>
              </w:rPr>
              <w:t>funcionario:</w:t>
            </w:r>
            <w:r>
              <w:rPr>
                <w:spacing w:val="-10"/>
                <w:sz w:val="20"/>
              </w:rPr>
              <w:t> </w:t>
            </w:r>
            <w:r>
              <w:rPr>
                <w:sz w:val="20"/>
              </w:rPr>
              <w:t>Melvin</w:t>
            </w:r>
            <w:r>
              <w:rPr>
                <w:spacing w:val="-8"/>
                <w:sz w:val="20"/>
              </w:rPr>
              <w:t> </w:t>
            </w:r>
            <w:r>
              <w:rPr>
                <w:sz w:val="20"/>
              </w:rPr>
              <w:t>Cascante</w:t>
            </w:r>
            <w:r>
              <w:rPr>
                <w:spacing w:val="-10"/>
                <w:sz w:val="20"/>
              </w:rPr>
              <w:t> </w:t>
            </w:r>
            <w:r>
              <w:rPr>
                <w:sz w:val="20"/>
              </w:rPr>
              <w:t>López Cargo: Profesional Tributario</w:t>
            </w:r>
          </w:p>
        </w:tc>
      </w:tr>
      <w:tr>
        <w:trPr>
          <w:trHeight w:val="1020" w:hRule="atLeast"/>
        </w:trPr>
        <w:tc>
          <w:tcPr>
            <w:tcW w:w="2977" w:type="dxa"/>
            <w:shd w:val="clear" w:color="auto" w:fill="DBE4F0"/>
          </w:tcPr>
          <w:p>
            <w:pPr>
              <w:pStyle w:val="TableParagraph"/>
              <w:spacing w:before="47"/>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371" w:type="dxa"/>
          </w:tcPr>
          <w:p>
            <w:pPr>
              <w:pStyle w:val="TableParagraph"/>
              <w:spacing w:before="163"/>
              <w:rPr>
                <w:b/>
                <w:sz w:val="20"/>
              </w:rPr>
            </w:pPr>
          </w:p>
          <w:p>
            <w:pPr>
              <w:pStyle w:val="TableParagraph"/>
              <w:ind w:left="69"/>
              <w:rPr>
                <w:sz w:val="20"/>
              </w:rPr>
            </w:pPr>
            <w:r>
              <w:rPr>
                <w:spacing w:val="-2"/>
                <w:sz w:val="20"/>
              </w:rPr>
              <w:t>Administración</w:t>
            </w:r>
            <w:r>
              <w:rPr>
                <w:spacing w:val="10"/>
                <w:sz w:val="20"/>
              </w:rPr>
              <w:t> </w:t>
            </w:r>
            <w:r>
              <w:rPr>
                <w:spacing w:val="-2"/>
                <w:sz w:val="20"/>
              </w:rPr>
              <w:t>Tributaria</w:t>
            </w:r>
          </w:p>
        </w:tc>
      </w:tr>
      <w:tr>
        <w:trPr>
          <w:trHeight w:val="510" w:hRule="atLeast"/>
        </w:trPr>
        <w:tc>
          <w:tcPr>
            <w:tcW w:w="2977" w:type="dxa"/>
            <w:shd w:val="clear" w:color="auto" w:fill="DBE4F0"/>
          </w:tcPr>
          <w:p>
            <w:pPr>
              <w:pStyle w:val="TableParagraph"/>
              <w:spacing w:before="138"/>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371" w:type="dxa"/>
          </w:tcPr>
          <w:p>
            <w:pPr>
              <w:pStyle w:val="TableParagraph"/>
              <w:spacing w:before="138"/>
              <w:ind w:left="69"/>
              <w:rPr>
                <w:sz w:val="20"/>
              </w:rPr>
            </w:pPr>
            <w:r>
              <w:rPr>
                <w:sz w:val="20"/>
              </w:rPr>
              <w:t>Unidad</w:t>
            </w:r>
            <w:r>
              <w:rPr>
                <w:spacing w:val="-7"/>
                <w:sz w:val="20"/>
              </w:rPr>
              <w:t> </w:t>
            </w:r>
            <w:r>
              <w:rPr>
                <w:sz w:val="20"/>
              </w:rPr>
              <w:t>de</w:t>
            </w:r>
            <w:r>
              <w:rPr>
                <w:spacing w:val="-7"/>
                <w:sz w:val="20"/>
              </w:rPr>
              <w:t> </w:t>
            </w:r>
            <w:r>
              <w:rPr>
                <w:spacing w:val="-2"/>
                <w:sz w:val="20"/>
              </w:rPr>
              <w:t>Presupuesto</w:t>
            </w:r>
          </w:p>
        </w:tc>
      </w:tr>
    </w:tbl>
    <w:p>
      <w:pPr>
        <w:pStyle w:val="TableParagraph"/>
        <w:spacing w:after="0"/>
        <w:rPr>
          <w:sz w:val="20"/>
        </w:rPr>
        <w:sectPr>
          <w:type w:val="continuous"/>
          <w:pgSz w:w="12240" w:h="15840"/>
          <w:pgMar w:header="0" w:footer="2082" w:top="1400" w:bottom="2600"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7"/>
        <w:gridCol w:w="7371"/>
      </w:tblGrid>
      <w:tr>
        <w:trPr>
          <w:trHeight w:val="508" w:hRule="atLeast"/>
        </w:trPr>
        <w:tc>
          <w:tcPr>
            <w:tcW w:w="2977" w:type="dxa"/>
            <w:shd w:val="clear" w:color="auto" w:fill="DBE4F0"/>
          </w:tcPr>
          <w:p>
            <w:pPr>
              <w:pStyle w:val="TableParagraph"/>
              <w:spacing w:before="139"/>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371" w:type="dxa"/>
          </w:tcPr>
          <w:p>
            <w:pPr>
              <w:pStyle w:val="TableParagraph"/>
              <w:spacing w:before="139"/>
              <w:ind w:left="69"/>
              <w:rPr>
                <w:sz w:val="20"/>
              </w:rPr>
            </w:pPr>
            <w:r>
              <w:rPr>
                <w:sz w:val="20"/>
              </w:rPr>
              <w:t>Informes</w:t>
            </w:r>
            <w:r>
              <w:rPr>
                <w:spacing w:val="-9"/>
                <w:sz w:val="20"/>
              </w:rPr>
              <w:t> </w:t>
            </w:r>
            <w:r>
              <w:rPr>
                <w:sz w:val="20"/>
              </w:rPr>
              <w:t>Trimestrales</w:t>
            </w:r>
            <w:r>
              <w:rPr>
                <w:spacing w:val="-8"/>
                <w:sz w:val="20"/>
              </w:rPr>
              <w:t> </w:t>
            </w:r>
            <w:r>
              <w:rPr>
                <w:sz w:val="20"/>
              </w:rPr>
              <w:t>al</w:t>
            </w:r>
            <w:r>
              <w:rPr>
                <w:spacing w:val="-8"/>
                <w:sz w:val="20"/>
              </w:rPr>
              <w:t> </w:t>
            </w:r>
            <w:r>
              <w:rPr>
                <w:sz w:val="20"/>
              </w:rPr>
              <w:t>Superior</w:t>
            </w:r>
            <w:r>
              <w:rPr>
                <w:spacing w:val="-9"/>
                <w:sz w:val="20"/>
              </w:rPr>
              <w:t> </w:t>
            </w:r>
            <w:r>
              <w:rPr>
                <w:spacing w:val="-2"/>
                <w:sz w:val="20"/>
              </w:rPr>
              <w:t>Jerárquico</w:t>
            </w:r>
          </w:p>
        </w:tc>
      </w:tr>
      <w:tr>
        <w:trPr>
          <w:trHeight w:val="510" w:hRule="atLeast"/>
        </w:trPr>
        <w:tc>
          <w:tcPr>
            <w:tcW w:w="2977" w:type="dxa"/>
            <w:shd w:val="clear" w:color="auto" w:fill="DBE4F0"/>
          </w:tcPr>
          <w:p>
            <w:pPr>
              <w:pStyle w:val="TableParagraph"/>
              <w:spacing w:before="141"/>
              <w:ind w:left="67"/>
              <w:rPr>
                <w:b/>
                <w:sz w:val="20"/>
              </w:rPr>
            </w:pPr>
            <w:r>
              <w:rPr>
                <w:b/>
                <w:spacing w:val="-2"/>
                <w:sz w:val="20"/>
              </w:rPr>
              <w:t>Clasificación</w:t>
            </w:r>
          </w:p>
        </w:tc>
        <w:tc>
          <w:tcPr>
            <w:tcW w:w="7371" w:type="dxa"/>
          </w:tcPr>
          <w:p>
            <w:pPr>
              <w:pStyle w:val="TableParagraph"/>
              <w:spacing w:before="141"/>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765" w:hRule="atLeast"/>
        </w:trPr>
        <w:tc>
          <w:tcPr>
            <w:tcW w:w="2977" w:type="dxa"/>
            <w:shd w:val="clear" w:color="auto" w:fill="DBE4F0"/>
          </w:tcPr>
          <w:p>
            <w:pPr>
              <w:pStyle w:val="TableParagraph"/>
              <w:spacing w:before="38"/>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371" w:type="dxa"/>
          </w:tcPr>
          <w:p>
            <w:pPr>
              <w:pStyle w:val="TableParagraph"/>
              <w:spacing w:before="38"/>
              <w:ind w:left="69"/>
              <w:rPr>
                <w:sz w:val="20"/>
              </w:rPr>
            </w:pPr>
            <w:r>
              <w:rPr>
                <w:sz w:val="20"/>
              </w:rPr>
              <w:t>Mensualmente la Unidad de Presupuesto presenta un informe en donde se detallan</w:t>
            </w:r>
            <w:r>
              <w:rPr>
                <w:spacing w:val="-4"/>
                <w:sz w:val="20"/>
              </w:rPr>
              <w:t> </w:t>
            </w:r>
            <w:r>
              <w:rPr>
                <w:sz w:val="20"/>
              </w:rPr>
              <w:t>los</w:t>
            </w:r>
            <w:r>
              <w:rPr>
                <w:spacing w:val="-4"/>
                <w:sz w:val="20"/>
              </w:rPr>
              <w:t> </w:t>
            </w:r>
            <w:r>
              <w:rPr>
                <w:sz w:val="20"/>
              </w:rPr>
              <w:t>ingresos</w:t>
            </w:r>
            <w:r>
              <w:rPr>
                <w:spacing w:val="-4"/>
                <w:sz w:val="20"/>
              </w:rPr>
              <w:t> </w:t>
            </w:r>
            <w:r>
              <w:rPr>
                <w:sz w:val="20"/>
              </w:rPr>
              <w:t>percibidos</w:t>
            </w:r>
            <w:r>
              <w:rPr>
                <w:spacing w:val="-4"/>
                <w:sz w:val="20"/>
              </w:rPr>
              <w:t> </w:t>
            </w:r>
            <w:r>
              <w:rPr>
                <w:sz w:val="20"/>
              </w:rPr>
              <w:t>en</w:t>
            </w:r>
            <w:r>
              <w:rPr>
                <w:spacing w:val="-5"/>
                <w:sz w:val="20"/>
              </w:rPr>
              <w:t> </w:t>
            </w:r>
            <w:r>
              <w:rPr>
                <w:sz w:val="20"/>
              </w:rPr>
              <w:t>cada</w:t>
            </w:r>
            <w:r>
              <w:rPr>
                <w:spacing w:val="-5"/>
                <w:sz w:val="20"/>
              </w:rPr>
              <w:t> </w:t>
            </w:r>
            <w:r>
              <w:rPr>
                <w:sz w:val="20"/>
              </w:rPr>
              <w:t>uno</w:t>
            </w:r>
            <w:r>
              <w:rPr>
                <w:spacing w:val="-5"/>
                <w:sz w:val="20"/>
              </w:rPr>
              <w:t> </w:t>
            </w:r>
            <w:r>
              <w:rPr>
                <w:sz w:val="20"/>
              </w:rPr>
              <w:t>de</w:t>
            </w:r>
            <w:r>
              <w:rPr>
                <w:spacing w:val="-5"/>
                <w:sz w:val="20"/>
              </w:rPr>
              <w:t> </w:t>
            </w:r>
            <w:r>
              <w:rPr>
                <w:sz w:val="20"/>
              </w:rPr>
              <w:t>los</w:t>
            </w:r>
            <w:r>
              <w:rPr>
                <w:spacing w:val="-4"/>
                <w:sz w:val="20"/>
              </w:rPr>
              <w:t> </w:t>
            </w:r>
            <w:r>
              <w:rPr>
                <w:sz w:val="20"/>
              </w:rPr>
              <w:t>ingresos</w:t>
            </w:r>
            <w:r>
              <w:rPr>
                <w:spacing w:val="-4"/>
                <w:sz w:val="20"/>
              </w:rPr>
              <w:t> </w:t>
            </w:r>
            <w:r>
              <w:rPr>
                <w:sz w:val="20"/>
              </w:rPr>
              <w:t>recaudados</w:t>
            </w:r>
            <w:r>
              <w:rPr>
                <w:spacing w:val="-4"/>
                <w:sz w:val="20"/>
              </w:rPr>
              <w:t> </w:t>
            </w:r>
            <w:r>
              <w:rPr>
                <w:sz w:val="20"/>
              </w:rPr>
              <w:t>por</w:t>
            </w:r>
            <w:r>
              <w:rPr>
                <w:spacing w:val="-2"/>
                <w:sz w:val="20"/>
              </w:rPr>
              <w:t> </w:t>
            </w:r>
            <w:r>
              <w:rPr>
                <w:sz w:val="20"/>
              </w:rPr>
              <w:t>el </w:t>
            </w:r>
            <w:r>
              <w:rPr>
                <w:spacing w:val="-2"/>
                <w:sz w:val="20"/>
              </w:rPr>
              <w:t>IMAS.</w:t>
            </w:r>
          </w:p>
        </w:tc>
      </w:tr>
    </w:tbl>
    <w:p>
      <w:pPr>
        <w:pStyle w:val="BodyText"/>
        <w:spacing w:before="20"/>
        <w:rPr>
          <w:b/>
          <w:sz w:val="24"/>
        </w:rPr>
      </w:pPr>
    </w:p>
    <w:p>
      <w:pPr>
        <w:spacing w:before="0"/>
        <w:ind w:left="840" w:right="0" w:firstLine="0"/>
        <w:jc w:val="left"/>
        <w:rPr>
          <w:b/>
          <w:sz w:val="24"/>
        </w:rPr>
      </w:pPr>
      <w:r>
        <w:rPr>
          <w:b/>
          <w:sz w:val="24"/>
        </w:rPr>
        <w:t>Asesoría</w:t>
      </w:r>
      <w:r>
        <w:rPr>
          <w:b/>
          <w:spacing w:val="-3"/>
          <w:sz w:val="24"/>
        </w:rPr>
        <w:t> </w:t>
      </w:r>
      <w:r>
        <w:rPr>
          <w:b/>
          <w:spacing w:val="-2"/>
          <w:sz w:val="24"/>
        </w:rPr>
        <w:t>Jurídica</w:t>
      </w:r>
    </w:p>
    <w:p>
      <w:pPr>
        <w:pStyle w:val="BodyText"/>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7"/>
        <w:gridCol w:w="7371"/>
      </w:tblGrid>
      <w:tr>
        <w:trPr>
          <w:trHeight w:val="554" w:hRule="atLeast"/>
        </w:trPr>
        <w:tc>
          <w:tcPr>
            <w:tcW w:w="2977" w:type="dxa"/>
            <w:shd w:val="clear" w:color="auto" w:fill="DCE6F0"/>
          </w:tcPr>
          <w:p>
            <w:pPr>
              <w:pStyle w:val="TableParagraph"/>
              <w:spacing w:before="162"/>
              <w:ind w:left="67"/>
              <w:rPr>
                <w:b/>
                <w:sz w:val="20"/>
              </w:rPr>
            </w:pPr>
            <w:r>
              <w:rPr>
                <w:b/>
                <w:sz w:val="20"/>
              </w:rPr>
              <w:t>Actividad</w:t>
            </w:r>
            <w:r>
              <w:rPr>
                <w:b/>
                <w:spacing w:val="-7"/>
                <w:sz w:val="20"/>
              </w:rPr>
              <w:t> </w:t>
            </w:r>
            <w:r>
              <w:rPr>
                <w:b/>
                <w:sz w:val="20"/>
              </w:rPr>
              <w:t>PAC</w:t>
            </w:r>
            <w:r>
              <w:rPr>
                <w:b/>
                <w:spacing w:val="-6"/>
                <w:sz w:val="20"/>
              </w:rPr>
              <w:t> </w:t>
            </w:r>
            <w:r>
              <w:rPr>
                <w:b/>
                <w:spacing w:val="-2"/>
                <w:sz w:val="20"/>
              </w:rPr>
              <w:t>2.11.1:</w:t>
            </w:r>
          </w:p>
        </w:tc>
        <w:tc>
          <w:tcPr>
            <w:tcW w:w="7371" w:type="dxa"/>
          </w:tcPr>
          <w:p>
            <w:pPr>
              <w:pStyle w:val="TableParagraph"/>
              <w:spacing w:before="162"/>
              <w:ind w:left="69"/>
              <w:rPr>
                <w:sz w:val="20"/>
              </w:rPr>
            </w:pPr>
            <w:r>
              <w:rPr>
                <w:sz w:val="20"/>
              </w:rPr>
              <w:t>Nombre</w:t>
            </w:r>
            <w:r>
              <w:rPr>
                <w:spacing w:val="-9"/>
                <w:sz w:val="20"/>
              </w:rPr>
              <w:t> </w:t>
            </w:r>
            <w:r>
              <w:rPr>
                <w:sz w:val="20"/>
              </w:rPr>
              <w:t>del</w:t>
            </w:r>
            <w:r>
              <w:rPr>
                <w:spacing w:val="-11"/>
                <w:sz w:val="20"/>
              </w:rPr>
              <w:t> </w:t>
            </w:r>
            <w:r>
              <w:rPr>
                <w:sz w:val="20"/>
              </w:rPr>
              <w:t>Indicador:</w:t>
            </w:r>
            <w:r>
              <w:rPr>
                <w:spacing w:val="-9"/>
                <w:sz w:val="20"/>
              </w:rPr>
              <w:t> </w:t>
            </w:r>
            <w:r>
              <w:rPr>
                <w:sz w:val="20"/>
              </w:rPr>
              <w:t>Porcentaje</w:t>
            </w:r>
            <w:r>
              <w:rPr>
                <w:spacing w:val="-9"/>
                <w:sz w:val="20"/>
              </w:rPr>
              <w:t> </w:t>
            </w:r>
            <w:r>
              <w:rPr>
                <w:sz w:val="20"/>
              </w:rPr>
              <w:t>de</w:t>
            </w:r>
            <w:r>
              <w:rPr>
                <w:spacing w:val="-11"/>
                <w:sz w:val="20"/>
              </w:rPr>
              <w:t> </w:t>
            </w:r>
            <w:r>
              <w:rPr>
                <w:sz w:val="20"/>
              </w:rPr>
              <w:t>asignaciones</w:t>
            </w:r>
            <w:r>
              <w:rPr>
                <w:spacing w:val="-10"/>
                <w:sz w:val="20"/>
              </w:rPr>
              <w:t> </w:t>
            </w:r>
            <w:r>
              <w:rPr>
                <w:spacing w:val="-2"/>
                <w:sz w:val="20"/>
              </w:rPr>
              <w:t>realizadas</w:t>
            </w:r>
          </w:p>
        </w:tc>
      </w:tr>
      <w:tr>
        <w:trPr>
          <w:trHeight w:val="542" w:hRule="atLeast"/>
        </w:trPr>
        <w:tc>
          <w:tcPr>
            <w:tcW w:w="2977" w:type="dxa"/>
            <w:shd w:val="clear" w:color="auto" w:fill="DCE6F0"/>
          </w:tcPr>
          <w:p>
            <w:pPr>
              <w:pStyle w:val="TableParagraph"/>
              <w:spacing w:before="155"/>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371" w:type="dxa"/>
          </w:tcPr>
          <w:p>
            <w:pPr>
              <w:pStyle w:val="TableParagraph"/>
              <w:spacing w:before="155"/>
              <w:ind w:left="69"/>
              <w:rPr>
                <w:sz w:val="20"/>
              </w:rPr>
            </w:pPr>
            <w:r>
              <w:rPr>
                <w:sz w:val="20"/>
              </w:rPr>
              <w:t>Porcentaje</w:t>
            </w:r>
            <w:r>
              <w:rPr>
                <w:spacing w:val="-10"/>
                <w:sz w:val="20"/>
              </w:rPr>
              <w:t> </w:t>
            </w:r>
            <w:r>
              <w:rPr>
                <w:sz w:val="20"/>
              </w:rPr>
              <w:t>de</w:t>
            </w:r>
            <w:r>
              <w:rPr>
                <w:spacing w:val="-7"/>
                <w:sz w:val="20"/>
              </w:rPr>
              <w:t> </w:t>
            </w:r>
            <w:r>
              <w:rPr>
                <w:sz w:val="20"/>
              </w:rPr>
              <w:t>las</w:t>
            </w:r>
            <w:r>
              <w:rPr>
                <w:spacing w:val="-8"/>
                <w:sz w:val="20"/>
              </w:rPr>
              <w:t> </w:t>
            </w:r>
            <w:r>
              <w:rPr>
                <w:sz w:val="20"/>
              </w:rPr>
              <w:t>asignaciones</w:t>
            </w:r>
            <w:r>
              <w:rPr>
                <w:spacing w:val="-9"/>
                <w:sz w:val="20"/>
              </w:rPr>
              <w:t> </w:t>
            </w:r>
            <w:r>
              <w:rPr>
                <w:spacing w:val="-2"/>
                <w:sz w:val="20"/>
              </w:rPr>
              <w:t>recibidas</w:t>
            </w:r>
          </w:p>
        </w:tc>
      </w:tr>
      <w:tr>
        <w:trPr>
          <w:trHeight w:val="553" w:hRule="atLeast"/>
        </w:trPr>
        <w:tc>
          <w:tcPr>
            <w:tcW w:w="2977" w:type="dxa"/>
            <w:shd w:val="clear" w:color="auto" w:fill="DCE6F0"/>
          </w:tcPr>
          <w:p>
            <w:pPr>
              <w:pStyle w:val="TableParagraph"/>
              <w:spacing w:before="160"/>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71" w:type="dxa"/>
          </w:tcPr>
          <w:p>
            <w:pPr>
              <w:pStyle w:val="TableParagraph"/>
              <w:spacing w:before="160"/>
              <w:ind w:left="69"/>
              <w:rPr>
                <w:sz w:val="20"/>
              </w:rPr>
            </w:pPr>
            <w:r>
              <w:rPr>
                <w:spacing w:val="-2"/>
                <w:sz w:val="20"/>
              </w:rPr>
              <w:t>Porcentaje</w:t>
            </w:r>
          </w:p>
        </w:tc>
      </w:tr>
      <w:tr>
        <w:trPr>
          <w:trHeight w:val="659" w:hRule="atLeast"/>
        </w:trPr>
        <w:tc>
          <w:tcPr>
            <w:tcW w:w="2977" w:type="dxa"/>
            <w:shd w:val="clear" w:color="auto" w:fill="DCE6F0"/>
          </w:tcPr>
          <w:p>
            <w:pPr>
              <w:pStyle w:val="TableParagraph"/>
              <w:spacing w:before="215"/>
              <w:ind w:left="67"/>
              <w:rPr>
                <w:b/>
                <w:sz w:val="20"/>
              </w:rPr>
            </w:pPr>
            <w:r>
              <w:rPr>
                <w:b/>
                <w:spacing w:val="-2"/>
                <w:sz w:val="20"/>
              </w:rPr>
              <w:t>Interpretación:</w:t>
            </w:r>
          </w:p>
        </w:tc>
        <w:tc>
          <w:tcPr>
            <w:tcW w:w="7371" w:type="dxa"/>
          </w:tcPr>
          <w:p>
            <w:pPr>
              <w:pStyle w:val="TableParagraph"/>
              <w:spacing w:before="215"/>
              <w:ind w:left="69"/>
              <w:rPr>
                <w:sz w:val="20"/>
              </w:rPr>
            </w:pPr>
            <w:r>
              <w:rPr>
                <w:sz w:val="20"/>
              </w:rPr>
              <w:t>Porcentaje</w:t>
            </w:r>
            <w:r>
              <w:rPr>
                <w:spacing w:val="-10"/>
                <w:sz w:val="20"/>
              </w:rPr>
              <w:t> </w:t>
            </w:r>
            <w:r>
              <w:rPr>
                <w:sz w:val="20"/>
              </w:rPr>
              <w:t>de</w:t>
            </w:r>
            <w:r>
              <w:rPr>
                <w:spacing w:val="-7"/>
                <w:sz w:val="20"/>
              </w:rPr>
              <w:t> </w:t>
            </w:r>
            <w:r>
              <w:rPr>
                <w:sz w:val="20"/>
              </w:rPr>
              <w:t>las</w:t>
            </w:r>
            <w:r>
              <w:rPr>
                <w:spacing w:val="-8"/>
                <w:sz w:val="20"/>
              </w:rPr>
              <w:t> </w:t>
            </w:r>
            <w:r>
              <w:rPr>
                <w:sz w:val="20"/>
              </w:rPr>
              <w:t>asignaciones</w:t>
            </w:r>
            <w:r>
              <w:rPr>
                <w:spacing w:val="-9"/>
                <w:sz w:val="20"/>
              </w:rPr>
              <w:t> </w:t>
            </w:r>
            <w:r>
              <w:rPr>
                <w:spacing w:val="-2"/>
                <w:sz w:val="20"/>
              </w:rPr>
              <w:t>recibidas</w:t>
            </w:r>
          </w:p>
        </w:tc>
      </w:tr>
      <w:tr>
        <w:trPr>
          <w:trHeight w:val="525" w:hRule="atLeast"/>
        </w:trPr>
        <w:tc>
          <w:tcPr>
            <w:tcW w:w="2977" w:type="dxa"/>
            <w:shd w:val="clear" w:color="auto" w:fill="DCE6F0"/>
          </w:tcPr>
          <w:p>
            <w:pPr>
              <w:pStyle w:val="TableParagraph"/>
              <w:spacing w:before="148"/>
              <w:ind w:left="67"/>
              <w:rPr>
                <w:b/>
                <w:sz w:val="20"/>
              </w:rPr>
            </w:pPr>
            <w:r>
              <w:rPr>
                <w:b/>
                <w:spacing w:val="-2"/>
                <w:sz w:val="20"/>
              </w:rPr>
              <w:t>Desagregación</w:t>
            </w:r>
          </w:p>
        </w:tc>
        <w:tc>
          <w:tcPr>
            <w:tcW w:w="7371" w:type="dxa"/>
          </w:tcPr>
          <w:p>
            <w:pPr>
              <w:pStyle w:val="TableParagraph"/>
              <w:spacing w:before="148"/>
              <w:ind w:left="69"/>
              <w:rPr>
                <w:sz w:val="20"/>
              </w:rPr>
            </w:pPr>
            <w:r>
              <w:rPr>
                <w:sz w:val="20"/>
              </w:rPr>
              <w:t>No</w:t>
            </w:r>
            <w:r>
              <w:rPr>
                <w:spacing w:val="-5"/>
                <w:sz w:val="20"/>
              </w:rPr>
              <w:t> </w:t>
            </w:r>
            <w:r>
              <w:rPr>
                <w:spacing w:val="-2"/>
                <w:sz w:val="20"/>
              </w:rPr>
              <w:t>aplica</w:t>
            </w:r>
          </w:p>
        </w:tc>
      </w:tr>
      <w:tr>
        <w:trPr>
          <w:trHeight w:val="460" w:hRule="atLeast"/>
        </w:trPr>
        <w:tc>
          <w:tcPr>
            <w:tcW w:w="2977" w:type="dxa"/>
            <w:shd w:val="clear" w:color="auto" w:fill="DCE6F0"/>
          </w:tcPr>
          <w:p>
            <w:pPr>
              <w:pStyle w:val="TableParagraph"/>
              <w:spacing w:before="114"/>
              <w:ind w:left="67"/>
              <w:rPr>
                <w:b/>
                <w:sz w:val="20"/>
              </w:rPr>
            </w:pPr>
            <w:r>
              <w:rPr>
                <w:b/>
                <w:spacing w:val="-2"/>
                <w:sz w:val="20"/>
              </w:rPr>
              <w:t>Meta:</w:t>
            </w:r>
          </w:p>
        </w:tc>
        <w:tc>
          <w:tcPr>
            <w:tcW w:w="7371" w:type="dxa"/>
          </w:tcPr>
          <w:p>
            <w:pPr>
              <w:pStyle w:val="TableParagraph"/>
              <w:spacing w:line="230" w:lineRule="exact"/>
              <w:ind w:left="69"/>
              <w:rPr>
                <w:sz w:val="20"/>
              </w:rPr>
            </w:pPr>
            <w:r>
              <w:rPr>
                <w:sz w:val="20"/>
              </w:rPr>
              <w:t>Cumplir</w:t>
            </w:r>
            <w:r>
              <w:rPr>
                <w:spacing w:val="-3"/>
                <w:sz w:val="20"/>
              </w:rPr>
              <w:t> </w:t>
            </w:r>
            <w:r>
              <w:rPr>
                <w:sz w:val="20"/>
              </w:rPr>
              <w:t>al</w:t>
            </w:r>
            <w:r>
              <w:rPr>
                <w:spacing w:val="-5"/>
                <w:sz w:val="20"/>
              </w:rPr>
              <w:t> </w:t>
            </w:r>
            <w:r>
              <w:rPr>
                <w:sz w:val="20"/>
              </w:rPr>
              <w:t>100%</w:t>
            </w:r>
            <w:r>
              <w:rPr>
                <w:spacing w:val="-3"/>
                <w:sz w:val="20"/>
              </w:rPr>
              <w:t> </w:t>
            </w:r>
            <w:r>
              <w:rPr>
                <w:sz w:val="20"/>
              </w:rPr>
              <w:t>la</w:t>
            </w:r>
            <w:r>
              <w:rPr>
                <w:spacing w:val="-4"/>
                <w:sz w:val="20"/>
              </w:rPr>
              <w:t> </w:t>
            </w:r>
            <w:r>
              <w:rPr>
                <w:sz w:val="20"/>
              </w:rPr>
              <w:t>asignación</w:t>
            </w:r>
            <w:r>
              <w:rPr>
                <w:spacing w:val="-5"/>
                <w:sz w:val="20"/>
              </w:rPr>
              <w:t> </w:t>
            </w:r>
            <w:r>
              <w:rPr>
                <w:sz w:val="20"/>
              </w:rPr>
              <w:t>de</w:t>
            </w:r>
            <w:r>
              <w:rPr>
                <w:spacing w:val="-5"/>
                <w:sz w:val="20"/>
              </w:rPr>
              <w:t> </w:t>
            </w:r>
            <w:r>
              <w:rPr>
                <w:sz w:val="20"/>
              </w:rPr>
              <w:t>las</w:t>
            </w:r>
            <w:r>
              <w:rPr>
                <w:spacing w:val="-5"/>
                <w:sz w:val="20"/>
              </w:rPr>
              <w:t> </w:t>
            </w:r>
            <w:r>
              <w:rPr>
                <w:sz w:val="20"/>
              </w:rPr>
              <w:t>gestiones</w:t>
            </w:r>
            <w:r>
              <w:rPr>
                <w:spacing w:val="-5"/>
                <w:sz w:val="20"/>
              </w:rPr>
              <w:t> </w:t>
            </w:r>
            <w:r>
              <w:rPr>
                <w:sz w:val="20"/>
              </w:rPr>
              <w:t>notariales</w:t>
            </w:r>
            <w:r>
              <w:rPr>
                <w:spacing w:val="-5"/>
                <w:sz w:val="20"/>
              </w:rPr>
              <w:t> </w:t>
            </w:r>
            <w:r>
              <w:rPr>
                <w:sz w:val="20"/>
              </w:rPr>
              <w:t>requeridas</w:t>
            </w:r>
            <w:r>
              <w:rPr>
                <w:spacing w:val="-5"/>
                <w:sz w:val="20"/>
              </w:rPr>
              <w:t> </w:t>
            </w:r>
            <w:r>
              <w:rPr>
                <w:sz w:val="20"/>
              </w:rPr>
              <w:t>por</w:t>
            </w:r>
            <w:r>
              <w:rPr>
                <w:spacing w:val="-3"/>
                <w:sz w:val="20"/>
              </w:rPr>
              <w:t> </w:t>
            </w:r>
            <w:r>
              <w:rPr>
                <w:sz w:val="20"/>
              </w:rPr>
              <w:t>otras instancias institucionales.</w:t>
            </w:r>
          </w:p>
        </w:tc>
      </w:tr>
      <w:tr>
        <w:trPr>
          <w:trHeight w:val="513" w:hRule="atLeast"/>
        </w:trPr>
        <w:tc>
          <w:tcPr>
            <w:tcW w:w="2977" w:type="dxa"/>
            <w:shd w:val="clear" w:color="auto" w:fill="DCE6F0"/>
          </w:tcPr>
          <w:p>
            <w:pPr>
              <w:pStyle w:val="TableParagraph"/>
              <w:spacing w:before="141"/>
              <w:ind w:left="67"/>
              <w:rPr>
                <w:b/>
                <w:sz w:val="20"/>
              </w:rPr>
            </w:pPr>
            <w:r>
              <w:rPr>
                <w:b/>
                <w:sz w:val="20"/>
              </w:rPr>
              <w:t>Línea</w:t>
            </w:r>
            <w:r>
              <w:rPr>
                <w:b/>
                <w:spacing w:val="-10"/>
                <w:sz w:val="20"/>
              </w:rPr>
              <w:t> </w:t>
            </w:r>
            <w:r>
              <w:rPr>
                <w:b/>
                <w:spacing w:val="-4"/>
                <w:sz w:val="20"/>
              </w:rPr>
              <w:t>Base</w:t>
            </w:r>
          </w:p>
        </w:tc>
        <w:tc>
          <w:tcPr>
            <w:tcW w:w="7371" w:type="dxa"/>
          </w:tcPr>
          <w:p>
            <w:pPr>
              <w:pStyle w:val="TableParagraph"/>
              <w:spacing w:before="21"/>
              <w:ind w:left="69"/>
              <w:rPr>
                <w:sz w:val="20"/>
              </w:rPr>
            </w:pPr>
            <w:r>
              <w:rPr>
                <w:spacing w:val="-4"/>
                <w:sz w:val="20"/>
              </w:rPr>
              <w:t>100%</w:t>
            </w:r>
          </w:p>
        </w:tc>
      </w:tr>
      <w:tr>
        <w:trPr>
          <w:trHeight w:val="631" w:hRule="atLeast"/>
        </w:trPr>
        <w:tc>
          <w:tcPr>
            <w:tcW w:w="2977" w:type="dxa"/>
            <w:shd w:val="clear" w:color="auto" w:fill="DCE6F0"/>
          </w:tcPr>
          <w:p>
            <w:pPr>
              <w:pStyle w:val="TableParagraph"/>
              <w:spacing w:before="8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371" w:type="dxa"/>
          </w:tcPr>
          <w:p>
            <w:pPr>
              <w:pStyle w:val="TableParagraph"/>
              <w:spacing w:before="198"/>
              <w:ind w:left="69"/>
              <w:rPr>
                <w:sz w:val="20"/>
              </w:rPr>
            </w:pPr>
            <w:r>
              <w:rPr>
                <w:spacing w:val="-2"/>
                <w:sz w:val="20"/>
              </w:rPr>
              <w:t>Trimestral</w:t>
            </w:r>
          </w:p>
        </w:tc>
      </w:tr>
      <w:tr>
        <w:trPr>
          <w:trHeight w:val="942" w:hRule="atLeast"/>
        </w:trPr>
        <w:tc>
          <w:tcPr>
            <w:tcW w:w="2977" w:type="dxa"/>
            <w:shd w:val="clear" w:color="auto" w:fill="DCE6F0"/>
          </w:tcPr>
          <w:p>
            <w:pPr>
              <w:pStyle w:val="TableParagraph"/>
              <w:spacing w:before="11"/>
              <w:rPr>
                <w:b/>
                <w:sz w:val="20"/>
              </w:rPr>
            </w:pPr>
          </w:p>
          <w:p>
            <w:pPr>
              <w:pStyle w:val="TableParagraph"/>
              <w:spacing w:before="1"/>
              <w:ind w:left="67" w:right="515"/>
              <w:rPr>
                <w:b/>
                <w:sz w:val="20"/>
              </w:rPr>
            </w:pPr>
            <w:r>
              <w:rPr>
                <w:b/>
                <w:sz w:val="20"/>
              </w:rPr>
              <w:t>Responsable de la recopilación</w:t>
            </w:r>
            <w:r>
              <w:rPr>
                <w:b/>
                <w:spacing w:val="-14"/>
                <w:sz w:val="20"/>
              </w:rPr>
              <w:t> </w:t>
            </w:r>
            <w:r>
              <w:rPr>
                <w:b/>
                <w:sz w:val="20"/>
              </w:rPr>
              <w:t>información</w:t>
            </w:r>
          </w:p>
        </w:tc>
        <w:tc>
          <w:tcPr>
            <w:tcW w:w="7371" w:type="dxa"/>
          </w:tcPr>
          <w:p>
            <w:pPr>
              <w:pStyle w:val="TableParagraph"/>
              <w:spacing w:before="11"/>
              <w:rPr>
                <w:b/>
                <w:sz w:val="20"/>
              </w:rPr>
            </w:pPr>
          </w:p>
          <w:p>
            <w:pPr>
              <w:pStyle w:val="TableParagraph"/>
              <w:spacing w:before="1"/>
              <w:ind w:left="69"/>
              <w:rPr>
                <w:sz w:val="20"/>
              </w:rPr>
            </w:pPr>
            <w:r>
              <w:rPr>
                <w:sz w:val="20"/>
              </w:rPr>
              <w:t>Nombre</w:t>
            </w:r>
            <w:r>
              <w:rPr>
                <w:spacing w:val="-4"/>
                <w:sz w:val="20"/>
              </w:rPr>
              <w:t> </w:t>
            </w:r>
            <w:r>
              <w:rPr>
                <w:sz w:val="20"/>
              </w:rPr>
              <w:t>del</w:t>
            </w:r>
            <w:r>
              <w:rPr>
                <w:spacing w:val="-6"/>
                <w:sz w:val="20"/>
              </w:rPr>
              <w:t> </w:t>
            </w:r>
            <w:r>
              <w:rPr>
                <w:sz w:val="20"/>
              </w:rPr>
              <w:t>funcionario:</w:t>
            </w:r>
            <w:r>
              <w:rPr>
                <w:spacing w:val="-6"/>
                <w:sz w:val="20"/>
              </w:rPr>
              <w:t> </w:t>
            </w:r>
            <w:r>
              <w:rPr>
                <w:sz w:val="20"/>
              </w:rPr>
              <w:t>Rosa</w:t>
            </w:r>
            <w:r>
              <w:rPr>
                <w:spacing w:val="-6"/>
                <w:sz w:val="20"/>
              </w:rPr>
              <w:t> </w:t>
            </w:r>
            <w:r>
              <w:rPr>
                <w:sz w:val="20"/>
              </w:rPr>
              <w:t>Zúñiga</w:t>
            </w:r>
            <w:r>
              <w:rPr>
                <w:spacing w:val="-6"/>
                <w:sz w:val="20"/>
              </w:rPr>
              <w:t> </w:t>
            </w:r>
            <w:r>
              <w:rPr>
                <w:sz w:val="20"/>
              </w:rPr>
              <w:t>Fenández</w:t>
            </w:r>
            <w:r>
              <w:rPr>
                <w:spacing w:val="-5"/>
                <w:sz w:val="20"/>
              </w:rPr>
              <w:t> </w:t>
            </w:r>
            <w:r>
              <w:rPr>
                <w:sz w:val="20"/>
              </w:rPr>
              <w:t>con</w:t>
            </w:r>
            <w:r>
              <w:rPr>
                <w:spacing w:val="-4"/>
                <w:sz w:val="20"/>
              </w:rPr>
              <w:t> </w:t>
            </w:r>
            <w:r>
              <w:rPr>
                <w:sz w:val="20"/>
              </w:rPr>
              <w:t>apoyo</w:t>
            </w:r>
            <w:r>
              <w:rPr>
                <w:spacing w:val="-6"/>
                <w:sz w:val="20"/>
              </w:rPr>
              <w:t> </w:t>
            </w:r>
            <w:r>
              <w:rPr>
                <w:sz w:val="20"/>
              </w:rPr>
              <w:t>de</w:t>
            </w:r>
            <w:r>
              <w:rPr>
                <w:spacing w:val="-6"/>
                <w:sz w:val="20"/>
              </w:rPr>
              <w:t> </w:t>
            </w:r>
            <w:r>
              <w:rPr>
                <w:sz w:val="20"/>
              </w:rPr>
              <w:t>Daniela</w:t>
            </w:r>
            <w:r>
              <w:rPr>
                <w:spacing w:val="-4"/>
                <w:sz w:val="20"/>
              </w:rPr>
              <w:t> </w:t>
            </w:r>
            <w:r>
              <w:rPr>
                <w:sz w:val="20"/>
              </w:rPr>
              <w:t>Lacayo Castro y Andrea Eugenia Solano Alegría</w:t>
            </w:r>
          </w:p>
        </w:tc>
      </w:tr>
      <w:tr>
        <w:trPr>
          <w:trHeight w:val="974" w:hRule="atLeast"/>
        </w:trPr>
        <w:tc>
          <w:tcPr>
            <w:tcW w:w="2977" w:type="dxa"/>
            <w:shd w:val="clear" w:color="auto" w:fill="DCE6F0"/>
          </w:tcPr>
          <w:p>
            <w:pPr>
              <w:pStyle w:val="TableParagraph"/>
              <w:spacing w:before="28"/>
              <w:rPr>
                <w:b/>
                <w:sz w:val="20"/>
              </w:rPr>
            </w:pPr>
          </w:p>
          <w:p>
            <w:pPr>
              <w:pStyle w:val="TableParagraph"/>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371" w:type="dxa"/>
          </w:tcPr>
          <w:p>
            <w:pPr>
              <w:pStyle w:val="TableParagraph"/>
              <w:spacing w:before="141"/>
              <w:rPr>
                <w:b/>
                <w:sz w:val="20"/>
              </w:rPr>
            </w:pPr>
          </w:p>
          <w:p>
            <w:pPr>
              <w:pStyle w:val="TableParagraph"/>
              <w:ind w:left="69"/>
              <w:rPr>
                <w:sz w:val="20"/>
              </w:rPr>
            </w:pPr>
            <w:r>
              <w:rPr>
                <w:sz w:val="20"/>
              </w:rPr>
              <w:t>Asesoría</w:t>
            </w:r>
            <w:r>
              <w:rPr>
                <w:spacing w:val="-12"/>
                <w:sz w:val="20"/>
              </w:rPr>
              <w:t> </w:t>
            </w:r>
            <w:r>
              <w:rPr>
                <w:spacing w:val="-2"/>
                <w:sz w:val="20"/>
              </w:rPr>
              <w:t>Jurídica</w:t>
            </w:r>
          </w:p>
        </w:tc>
      </w:tr>
      <w:tr>
        <w:trPr>
          <w:trHeight w:val="1355" w:hRule="atLeast"/>
        </w:trPr>
        <w:tc>
          <w:tcPr>
            <w:tcW w:w="2977" w:type="dxa"/>
            <w:shd w:val="clear" w:color="auto" w:fill="DCE6F0"/>
          </w:tcPr>
          <w:p>
            <w:pPr>
              <w:pStyle w:val="TableParagraph"/>
              <w:rPr>
                <w:b/>
                <w:sz w:val="20"/>
              </w:rPr>
            </w:pPr>
          </w:p>
          <w:p>
            <w:pPr>
              <w:pStyle w:val="TableParagraph"/>
              <w:spacing w:before="103"/>
              <w:rPr>
                <w:b/>
                <w:sz w:val="20"/>
              </w:rPr>
            </w:pPr>
          </w:p>
          <w:p>
            <w:pPr>
              <w:pStyle w:val="TableParagraph"/>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371" w:type="dxa"/>
          </w:tcPr>
          <w:p>
            <w:pPr>
              <w:pStyle w:val="TableParagraph"/>
              <w:spacing w:before="103"/>
              <w:rPr>
                <w:b/>
                <w:sz w:val="20"/>
              </w:rPr>
            </w:pPr>
          </w:p>
          <w:p>
            <w:pPr>
              <w:pStyle w:val="TableParagraph"/>
              <w:ind w:left="69"/>
              <w:rPr>
                <w:sz w:val="20"/>
              </w:rPr>
            </w:pPr>
            <w:r>
              <w:rPr>
                <w:sz w:val="20"/>
              </w:rPr>
              <w:t>Asesoría</w:t>
            </w:r>
            <w:r>
              <w:rPr>
                <w:spacing w:val="-12"/>
                <w:sz w:val="20"/>
              </w:rPr>
              <w:t> </w:t>
            </w:r>
            <w:r>
              <w:rPr>
                <w:spacing w:val="-2"/>
                <w:sz w:val="20"/>
              </w:rPr>
              <w:t>Jurídica.</w:t>
            </w:r>
          </w:p>
          <w:p>
            <w:pPr>
              <w:pStyle w:val="TableParagraph"/>
              <w:ind w:left="69"/>
              <w:rPr>
                <w:sz w:val="20"/>
              </w:rPr>
            </w:pPr>
            <w:r>
              <w:rPr>
                <w:sz w:val="20"/>
              </w:rPr>
              <w:t>Control</w:t>
            </w:r>
            <w:r>
              <w:rPr>
                <w:spacing w:val="-5"/>
                <w:sz w:val="20"/>
              </w:rPr>
              <w:t> </w:t>
            </w:r>
            <w:r>
              <w:rPr>
                <w:sz w:val="20"/>
              </w:rPr>
              <w:t>de</w:t>
            </w:r>
            <w:r>
              <w:rPr>
                <w:spacing w:val="-4"/>
                <w:sz w:val="20"/>
              </w:rPr>
              <w:t> </w:t>
            </w:r>
            <w:r>
              <w:rPr>
                <w:sz w:val="20"/>
              </w:rPr>
              <w:t>asignación</w:t>
            </w:r>
            <w:r>
              <w:rPr>
                <w:spacing w:val="-3"/>
                <w:sz w:val="20"/>
              </w:rPr>
              <w:t> </w:t>
            </w:r>
            <w:r>
              <w:rPr>
                <w:sz w:val="20"/>
              </w:rPr>
              <w:t>a</w:t>
            </w:r>
            <w:r>
              <w:rPr>
                <w:spacing w:val="-4"/>
                <w:sz w:val="20"/>
              </w:rPr>
              <w:t> </w:t>
            </w:r>
            <w:r>
              <w:rPr>
                <w:sz w:val="20"/>
              </w:rPr>
              <w:t>notarios</w:t>
            </w:r>
            <w:r>
              <w:rPr>
                <w:spacing w:val="-3"/>
                <w:sz w:val="20"/>
              </w:rPr>
              <w:t> </w:t>
            </w:r>
            <w:r>
              <w:rPr>
                <w:sz w:val="20"/>
              </w:rPr>
              <w:t>que</w:t>
            </w:r>
            <w:r>
              <w:rPr>
                <w:spacing w:val="-4"/>
                <w:sz w:val="20"/>
              </w:rPr>
              <w:t> </w:t>
            </w:r>
            <w:r>
              <w:rPr>
                <w:sz w:val="20"/>
              </w:rPr>
              <w:t>se</w:t>
            </w:r>
            <w:r>
              <w:rPr>
                <w:spacing w:val="-2"/>
                <w:sz w:val="20"/>
              </w:rPr>
              <w:t> </w:t>
            </w:r>
            <w:r>
              <w:rPr>
                <w:sz w:val="20"/>
              </w:rPr>
              <w:t>lleva</w:t>
            </w:r>
            <w:r>
              <w:rPr>
                <w:spacing w:val="-4"/>
                <w:sz w:val="20"/>
              </w:rPr>
              <w:t> </w:t>
            </w:r>
            <w:r>
              <w:rPr>
                <w:sz w:val="20"/>
              </w:rPr>
              <w:t>en</w:t>
            </w:r>
            <w:r>
              <w:rPr>
                <w:spacing w:val="-2"/>
                <w:sz w:val="20"/>
              </w:rPr>
              <w:t> </w:t>
            </w:r>
            <w:r>
              <w:rPr>
                <w:sz w:val="20"/>
              </w:rPr>
              <w:t>el</w:t>
            </w:r>
            <w:r>
              <w:rPr>
                <w:spacing w:val="-3"/>
                <w:sz w:val="20"/>
              </w:rPr>
              <w:t> </w:t>
            </w:r>
            <w:r>
              <w:rPr>
                <w:sz w:val="20"/>
              </w:rPr>
              <w:t>one</w:t>
            </w:r>
            <w:r>
              <w:rPr>
                <w:spacing w:val="-2"/>
                <w:sz w:val="20"/>
              </w:rPr>
              <w:t> </w:t>
            </w:r>
            <w:r>
              <w:rPr>
                <w:sz w:val="20"/>
              </w:rPr>
              <w:t>drive</w:t>
            </w:r>
            <w:r>
              <w:rPr>
                <w:spacing w:val="-4"/>
                <w:sz w:val="20"/>
              </w:rPr>
              <w:t> </w:t>
            </w:r>
            <w:r>
              <w:rPr>
                <w:sz w:val="20"/>
              </w:rPr>
              <w:t>de</w:t>
            </w:r>
            <w:r>
              <w:rPr>
                <w:spacing w:val="-4"/>
                <w:sz w:val="20"/>
              </w:rPr>
              <w:t> </w:t>
            </w:r>
            <w:r>
              <w:rPr>
                <w:sz w:val="20"/>
              </w:rPr>
              <w:t>la</w:t>
            </w:r>
            <w:r>
              <w:rPr>
                <w:spacing w:val="-4"/>
                <w:sz w:val="20"/>
              </w:rPr>
              <w:t> </w:t>
            </w:r>
            <w:r>
              <w:rPr>
                <w:sz w:val="20"/>
              </w:rPr>
              <w:t>Asesoría </w:t>
            </w:r>
            <w:r>
              <w:rPr>
                <w:spacing w:val="-2"/>
                <w:sz w:val="20"/>
              </w:rPr>
              <w:t>Jurídica</w:t>
            </w:r>
          </w:p>
        </w:tc>
      </w:tr>
      <w:tr>
        <w:trPr>
          <w:trHeight w:val="1020" w:hRule="atLeast"/>
        </w:trPr>
        <w:tc>
          <w:tcPr>
            <w:tcW w:w="2977" w:type="dxa"/>
            <w:shd w:val="clear" w:color="auto" w:fill="DCE6F0"/>
          </w:tcPr>
          <w:p>
            <w:pPr>
              <w:pStyle w:val="TableParagraph"/>
              <w:spacing w:before="163"/>
              <w:rPr>
                <w:b/>
                <w:sz w:val="20"/>
              </w:rPr>
            </w:pPr>
          </w:p>
          <w:p>
            <w:pPr>
              <w:pStyle w:val="TableParagraph"/>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371" w:type="dxa"/>
          </w:tcPr>
          <w:p>
            <w:pPr>
              <w:pStyle w:val="TableParagraph"/>
              <w:spacing w:before="48"/>
              <w:rPr>
                <w:b/>
                <w:sz w:val="20"/>
              </w:rPr>
            </w:pPr>
          </w:p>
          <w:p>
            <w:pPr>
              <w:pStyle w:val="TableParagraph"/>
              <w:ind w:left="69"/>
              <w:rPr>
                <w:sz w:val="20"/>
              </w:rPr>
            </w:pPr>
            <w:r>
              <w:rPr>
                <w:sz w:val="20"/>
              </w:rPr>
              <w:t>Informe</w:t>
            </w:r>
            <w:r>
              <w:rPr>
                <w:spacing w:val="-6"/>
                <w:sz w:val="20"/>
              </w:rPr>
              <w:t> </w:t>
            </w:r>
            <w:r>
              <w:rPr>
                <w:sz w:val="20"/>
              </w:rPr>
              <w:t>presentado</w:t>
            </w:r>
            <w:r>
              <w:rPr>
                <w:spacing w:val="-6"/>
                <w:sz w:val="20"/>
              </w:rPr>
              <w:t> </w:t>
            </w:r>
            <w:r>
              <w:rPr>
                <w:sz w:val="20"/>
              </w:rPr>
              <w:t>por</w:t>
            </w:r>
            <w:r>
              <w:rPr>
                <w:spacing w:val="-6"/>
                <w:sz w:val="20"/>
              </w:rPr>
              <w:t> </w:t>
            </w:r>
            <w:r>
              <w:rPr>
                <w:sz w:val="20"/>
              </w:rPr>
              <w:t>Fiscalizador</w:t>
            </w:r>
            <w:r>
              <w:rPr>
                <w:spacing w:val="-6"/>
                <w:sz w:val="20"/>
              </w:rPr>
              <w:t> </w:t>
            </w:r>
            <w:r>
              <w:rPr>
                <w:sz w:val="20"/>
              </w:rPr>
              <w:t>de</w:t>
            </w:r>
            <w:r>
              <w:rPr>
                <w:spacing w:val="-4"/>
                <w:sz w:val="20"/>
              </w:rPr>
              <w:t> </w:t>
            </w:r>
            <w:r>
              <w:rPr>
                <w:sz w:val="20"/>
              </w:rPr>
              <w:t>Contrato</w:t>
            </w:r>
            <w:r>
              <w:rPr>
                <w:spacing w:val="-7"/>
                <w:sz w:val="20"/>
              </w:rPr>
              <w:t> </w:t>
            </w:r>
            <w:r>
              <w:rPr>
                <w:sz w:val="20"/>
              </w:rPr>
              <w:t>y/o</w:t>
            </w:r>
            <w:r>
              <w:rPr>
                <w:spacing w:val="-6"/>
                <w:sz w:val="20"/>
              </w:rPr>
              <w:t> </w:t>
            </w:r>
            <w:r>
              <w:rPr>
                <w:sz w:val="20"/>
              </w:rPr>
              <w:t>control</w:t>
            </w:r>
            <w:r>
              <w:rPr>
                <w:spacing w:val="-5"/>
                <w:sz w:val="20"/>
              </w:rPr>
              <w:t> </w:t>
            </w:r>
            <w:r>
              <w:rPr>
                <w:sz w:val="20"/>
              </w:rPr>
              <w:t>interno</w:t>
            </w:r>
            <w:r>
              <w:rPr>
                <w:spacing w:val="-4"/>
                <w:sz w:val="20"/>
              </w:rPr>
              <w:t> </w:t>
            </w:r>
            <w:r>
              <w:rPr>
                <w:sz w:val="20"/>
              </w:rPr>
              <w:t>de asignaciones a notarios</w:t>
            </w:r>
          </w:p>
        </w:tc>
      </w:tr>
    </w:tbl>
    <w:p>
      <w:pPr>
        <w:pStyle w:val="TableParagraph"/>
        <w:spacing w:after="0"/>
        <w:rPr>
          <w:sz w:val="20"/>
        </w:rPr>
        <w:sectPr>
          <w:type w:val="continuous"/>
          <w:pgSz w:w="12240" w:h="15840"/>
          <w:pgMar w:header="0" w:footer="2082" w:top="1400" w:bottom="2600"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7"/>
        <w:gridCol w:w="7371"/>
      </w:tblGrid>
      <w:tr>
        <w:trPr>
          <w:trHeight w:val="900" w:hRule="atLeast"/>
        </w:trPr>
        <w:tc>
          <w:tcPr>
            <w:tcW w:w="2977" w:type="dxa"/>
            <w:shd w:val="clear" w:color="auto" w:fill="DCE6F0"/>
          </w:tcPr>
          <w:p>
            <w:pPr>
              <w:pStyle w:val="TableParagraph"/>
              <w:spacing w:before="103"/>
              <w:rPr>
                <w:b/>
                <w:sz w:val="20"/>
              </w:rPr>
            </w:pPr>
          </w:p>
          <w:p>
            <w:pPr>
              <w:pStyle w:val="TableParagraph"/>
              <w:ind w:left="67"/>
              <w:rPr>
                <w:b/>
                <w:sz w:val="20"/>
              </w:rPr>
            </w:pPr>
            <w:r>
              <w:rPr>
                <w:b/>
                <w:spacing w:val="-2"/>
                <w:sz w:val="20"/>
              </w:rPr>
              <w:t>Clasificación</w:t>
            </w:r>
          </w:p>
        </w:tc>
        <w:tc>
          <w:tcPr>
            <w:tcW w:w="7371" w:type="dxa"/>
          </w:tcPr>
          <w:p>
            <w:pPr>
              <w:pStyle w:val="TableParagraph"/>
              <w:spacing w:before="105"/>
              <w:ind w:left="69" w:right="6385"/>
              <w:rPr>
                <w:sz w:val="20"/>
              </w:rPr>
            </w:pPr>
            <w:r>
              <w:rPr>
                <w:sz w:val="20"/>
              </w:rPr>
              <w:t>()</w:t>
            </w:r>
            <w:r>
              <w:rPr>
                <w:spacing w:val="-14"/>
                <w:sz w:val="20"/>
              </w:rPr>
              <w:t> </w:t>
            </w:r>
            <w:r>
              <w:rPr>
                <w:sz w:val="20"/>
              </w:rPr>
              <w:t>Impacto ( )Efecto</w:t>
            </w:r>
          </w:p>
          <w:p>
            <w:pPr>
              <w:pStyle w:val="TableParagraph"/>
              <w:spacing w:line="228" w:lineRule="exact"/>
              <w:ind w:left="69"/>
              <w:rPr>
                <w:sz w:val="20"/>
              </w:rPr>
            </w:pPr>
            <w:r>
              <w:rPr>
                <w:sz w:val="20"/>
              </w:rPr>
              <w:t>(</w:t>
            </w:r>
            <w:r>
              <w:rPr>
                <w:spacing w:val="-1"/>
                <w:sz w:val="20"/>
              </w:rPr>
              <w:t> </w:t>
            </w:r>
            <w:r>
              <w:rPr>
                <w:spacing w:val="-2"/>
                <w:sz w:val="20"/>
              </w:rPr>
              <w:t>x)Producto</w:t>
            </w:r>
          </w:p>
        </w:tc>
      </w:tr>
      <w:tr>
        <w:trPr>
          <w:trHeight w:val="1439" w:hRule="atLeast"/>
        </w:trPr>
        <w:tc>
          <w:tcPr>
            <w:tcW w:w="2977" w:type="dxa"/>
            <w:shd w:val="clear" w:color="auto" w:fill="DCE6F0"/>
          </w:tcPr>
          <w:p>
            <w:pPr>
              <w:pStyle w:val="TableParagraph"/>
              <w:rPr>
                <w:b/>
                <w:sz w:val="20"/>
              </w:rPr>
            </w:pPr>
          </w:p>
          <w:p>
            <w:pPr>
              <w:pStyle w:val="TableParagraph"/>
              <w:spacing w:before="144"/>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371" w:type="dxa"/>
          </w:tcPr>
          <w:p>
            <w:pPr>
              <w:pStyle w:val="TableParagraph"/>
              <w:spacing w:before="143"/>
              <w:ind w:left="69" w:right="124"/>
              <w:rPr>
                <w:sz w:val="20"/>
              </w:rPr>
            </w:pPr>
            <w:r>
              <w:rPr>
                <w:sz w:val="20"/>
              </w:rPr>
              <w:t>Es</w:t>
            </w:r>
            <w:r>
              <w:rPr>
                <w:spacing w:val="-5"/>
                <w:sz w:val="20"/>
              </w:rPr>
              <w:t> </w:t>
            </w:r>
            <w:r>
              <w:rPr>
                <w:sz w:val="20"/>
              </w:rPr>
              <w:t>una</w:t>
            </w:r>
            <w:r>
              <w:rPr>
                <w:spacing w:val="-4"/>
                <w:sz w:val="20"/>
              </w:rPr>
              <w:t> </w:t>
            </w:r>
            <w:r>
              <w:rPr>
                <w:sz w:val="20"/>
              </w:rPr>
              <w:t>actividad</w:t>
            </w:r>
            <w:r>
              <w:rPr>
                <w:spacing w:val="-6"/>
                <w:sz w:val="20"/>
              </w:rPr>
              <w:t> </w:t>
            </w:r>
            <w:r>
              <w:rPr>
                <w:sz w:val="20"/>
              </w:rPr>
              <w:t>ordinaria</w:t>
            </w:r>
            <w:r>
              <w:rPr>
                <w:spacing w:val="-4"/>
                <w:sz w:val="20"/>
              </w:rPr>
              <w:t> </w:t>
            </w:r>
            <w:r>
              <w:rPr>
                <w:sz w:val="20"/>
              </w:rPr>
              <w:t>de</w:t>
            </w:r>
            <w:r>
              <w:rPr>
                <w:spacing w:val="-7"/>
                <w:sz w:val="20"/>
              </w:rPr>
              <w:t> </w:t>
            </w:r>
            <w:r>
              <w:rPr>
                <w:sz w:val="20"/>
              </w:rPr>
              <w:t>asignación</w:t>
            </w:r>
            <w:r>
              <w:rPr>
                <w:spacing w:val="-7"/>
                <w:sz w:val="20"/>
              </w:rPr>
              <w:t> </w:t>
            </w:r>
            <w:r>
              <w:rPr>
                <w:sz w:val="20"/>
              </w:rPr>
              <w:t>según</w:t>
            </w:r>
            <w:r>
              <w:rPr>
                <w:spacing w:val="-6"/>
                <w:sz w:val="20"/>
              </w:rPr>
              <w:t> </w:t>
            </w:r>
            <w:r>
              <w:rPr>
                <w:sz w:val="20"/>
              </w:rPr>
              <w:t>solicitudes</w:t>
            </w:r>
            <w:r>
              <w:rPr>
                <w:spacing w:val="-5"/>
                <w:sz w:val="20"/>
              </w:rPr>
              <w:t> </w:t>
            </w:r>
            <w:r>
              <w:rPr>
                <w:sz w:val="20"/>
              </w:rPr>
              <w:t>recibidas</w:t>
            </w:r>
            <w:r>
              <w:rPr>
                <w:spacing w:val="-5"/>
                <w:sz w:val="20"/>
              </w:rPr>
              <w:t> </w:t>
            </w:r>
            <w:r>
              <w:rPr>
                <w:sz w:val="20"/>
              </w:rPr>
              <w:t>en</w:t>
            </w:r>
            <w:r>
              <w:rPr>
                <w:spacing w:val="-5"/>
                <w:sz w:val="20"/>
              </w:rPr>
              <w:t> </w:t>
            </w:r>
            <w:r>
              <w:rPr>
                <w:sz w:val="20"/>
              </w:rPr>
              <w:t>la Asesoría Jurídica.</w:t>
            </w:r>
          </w:p>
          <w:p>
            <w:pPr>
              <w:pStyle w:val="TableParagraph"/>
              <w:spacing w:before="1"/>
              <w:ind w:left="69" w:right="593"/>
              <w:rPr>
                <w:sz w:val="20"/>
              </w:rPr>
            </w:pPr>
            <w:r>
              <w:rPr>
                <w:sz w:val="20"/>
              </w:rPr>
              <w:t>Para</w:t>
            </w:r>
            <w:r>
              <w:rPr>
                <w:spacing w:val="-4"/>
                <w:sz w:val="20"/>
              </w:rPr>
              <w:t> </w:t>
            </w:r>
            <w:r>
              <w:rPr>
                <w:sz w:val="20"/>
              </w:rPr>
              <w:t>el</w:t>
            </w:r>
            <w:r>
              <w:rPr>
                <w:spacing w:val="-5"/>
                <w:sz w:val="20"/>
              </w:rPr>
              <w:t> </w:t>
            </w:r>
            <w:r>
              <w:rPr>
                <w:sz w:val="20"/>
              </w:rPr>
              <w:t>2027</w:t>
            </w:r>
            <w:r>
              <w:rPr>
                <w:spacing w:val="-6"/>
                <w:sz w:val="20"/>
              </w:rPr>
              <w:t> </w:t>
            </w:r>
            <w:r>
              <w:rPr>
                <w:sz w:val="20"/>
              </w:rPr>
              <w:t>se</w:t>
            </w:r>
            <w:r>
              <w:rPr>
                <w:spacing w:val="-6"/>
                <w:sz w:val="20"/>
              </w:rPr>
              <w:t> </w:t>
            </w:r>
            <w:r>
              <w:rPr>
                <w:sz w:val="20"/>
              </w:rPr>
              <w:t>proyecta</w:t>
            </w:r>
            <w:r>
              <w:rPr>
                <w:spacing w:val="-6"/>
                <w:sz w:val="20"/>
              </w:rPr>
              <w:t> </w:t>
            </w:r>
            <w:r>
              <w:rPr>
                <w:sz w:val="20"/>
              </w:rPr>
              <w:t>la</w:t>
            </w:r>
            <w:r>
              <w:rPr>
                <w:spacing w:val="-4"/>
                <w:sz w:val="20"/>
              </w:rPr>
              <w:t> </w:t>
            </w:r>
            <w:r>
              <w:rPr>
                <w:sz w:val="20"/>
              </w:rPr>
              <w:t>continuidad</w:t>
            </w:r>
            <w:r>
              <w:rPr>
                <w:spacing w:val="-4"/>
                <w:sz w:val="20"/>
              </w:rPr>
              <w:t> </w:t>
            </w:r>
            <w:r>
              <w:rPr>
                <w:sz w:val="20"/>
              </w:rPr>
              <w:t>de</w:t>
            </w:r>
            <w:r>
              <w:rPr>
                <w:spacing w:val="-5"/>
                <w:sz w:val="20"/>
              </w:rPr>
              <w:t> </w:t>
            </w:r>
            <w:r>
              <w:rPr>
                <w:sz w:val="20"/>
              </w:rPr>
              <w:t>la</w:t>
            </w:r>
            <w:r>
              <w:rPr>
                <w:spacing w:val="-6"/>
                <w:sz w:val="20"/>
              </w:rPr>
              <w:t> </w:t>
            </w:r>
            <w:r>
              <w:rPr>
                <w:sz w:val="20"/>
              </w:rPr>
              <w:t>contratación:</w:t>
            </w:r>
            <w:r>
              <w:rPr>
                <w:spacing w:val="-4"/>
                <w:sz w:val="20"/>
              </w:rPr>
              <w:t> </w:t>
            </w:r>
            <w:r>
              <w:rPr>
                <w:sz w:val="20"/>
              </w:rPr>
              <w:t>Licitación</w:t>
            </w:r>
            <w:r>
              <w:rPr>
                <w:spacing w:val="-5"/>
                <w:sz w:val="20"/>
              </w:rPr>
              <w:t> </w:t>
            </w:r>
            <w:r>
              <w:rPr>
                <w:sz w:val="20"/>
              </w:rPr>
              <w:t>Mayor 2024LY-000008-0005300001-Contratación de Servicios Profesionales de Notariado para el IMAS.</w:t>
            </w:r>
          </w:p>
        </w:tc>
      </w:tr>
    </w:tbl>
    <w:p>
      <w:pPr>
        <w:pStyle w:val="BodyText"/>
        <w:spacing w:before="19"/>
        <w:rPr>
          <w:b/>
          <w:sz w:val="24"/>
        </w:rPr>
      </w:pPr>
    </w:p>
    <w:p>
      <w:pPr>
        <w:spacing w:before="0"/>
        <w:ind w:left="840" w:right="0" w:firstLine="0"/>
        <w:jc w:val="left"/>
        <w:rPr>
          <w:b/>
          <w:sz w:val="24"/>
        </w:rPr>
      </w:pPr>
      <w:r>
        <w:rPr>
          <w:b/>
          <w:sz w:val="24"/>
        </w:rPr>
        <w:t>Planificación</w:t>
      </w:r>
      <w:r>
        <w:rPr>
          <w:b/>
          <w:spacing w:val="-8"/>
          <w:sz w:val="24"/>
        </w:rPr>
        <w:t> </w:t>
      </w:r>
      <w:r>
        <w:rPr>
          <w:b/>
          <w:spacing w:val="-2"/>
          <w:sz w:val="24"/>
        </w:rPr>
        <w:t>Institucional</w:t>
      </w:r>
    </w:p>
    <w:p>
      <w:pPr>
        <w:pStyle w:val="BodyText"/>
        <w:spacing w:before="45"/>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19"/>
        <w:gridCol w:w="7372"/>
      </w:tblGrid>
      <w:tr>
        <w:trPr>
          <w:trHeight w:val="931" w:hRule="atLeast"/>
        </w:trPr>
        <w:tc>
          <w:tcPr>
            <w:tcW w:w="3119" w:type="dxa"/>
            <w:shd w:val="clear" w:color="auto" w:fill="DCE6F0"/>
          </w:tcPr>
          <w:p>
            <w:pPr>
              <w:pStyle w:val="TableParagraph"/>
              <w:spacing w:before="120"/>
              <w:rPr>
                <w:b/>
                <w:sz w:val="20"/>
              </w:rPr>
            </w:pPr>
          </w:p>
          <w:p>
            <w:pPr>
              <w:pStyle w:val="TableParagraph"/>
              <w:ind w:left="67"/>
              <w:rPr>
                <w:b/>
                <w:sz w:val="20"/>
              </w:rPr>
            </w:pPr>
            <w:r>
              <w:rPr>
                <w:b/>
                <w:sz w:val="20"/>
              </w:rPr>
              <w:t>PAC</w:t>
            </w:r>
            <w:r>
              <w:rPr>
                <w:b/>
                <w:spacing w:val="-8"/>
                <w:sz w:val="20"/>
              </w:rPr>
              <w:t> </w:t>
            </w:r>
            <w:r>
              <w:rPr>
                <w:b/>
                <w:spacing w:val="-2"/>
                <w:sz w:val="20"/>
              </w:rPr>
              <w:t>2.12.3:</w:t>
            </w:r>
          </w:p>
        </w:tc>
        <w:tc>
          <w:tcPr>
            <w:tcW w:w="7372" w:type="dxa"/>
          </w:tcPr>
          <w:p>
            <w:pPr>
              <w:pStyle w:val="TableParagraph"/>
              <w:spacing w:before="120"/>
              <w:rPr>
                <w:b/>
                <w:sz w:val="20"/>
              </w:rPr>
            </w:pPr>
          </w:p>
          <w:p>
            <w:pPr>
              <w:pStyle w:val="TableParagraph"/>
              <w:ind w:left="66"/>
              <w:rPr>
                <w:sz w:val="20"/>
              </w:rPr>
            </w:pPr>
            <w:r>
              <w:rPr>
                <w:sz w:val="20"/>
              </w:rPr>
              <w:t>Nombre</w:t>
            </w:r>
            <w:r>
              <w:rPr>
                <w:spacing w:val="-8"/>
                <w:sz w:val="20"/>
              </w:rPr>
              <w:t> </w:t>
            </w:r>
            <w:r>
              <w:rPr>
                <w:sz w:val="20"/>
              </w:rPr>
              <w:t>del</w:t>
            </w:r>
            <w:r>
              <w:rPr>
                <w:spacing w:val="-9"/>
                <w:sz w:val="20"/>
              </w:rPr>
              <w:t> </w:t>
            </w:r>
            <w:r>
              <w:rPr>
                <w:sz w:val="20"/>
              </w:rPr>
              <w:t>Indicador:</w:t>
            </w:r>
            <w:r>
              <w:rPr>
                <w:spacing w:val="-9"/>
                <w:sz w:val="20"/>
              </w:rPr>
              <w:t> </w:t>
            </w:r>
            <w:r>
              <w:rPr>
                <w:sz w:val="20"/>
              </w:rPr>
              <w:t>Cantidad</w:t>
            </w:r>
            <w:r>
              <w:rPr>
                <w:spacing w:val="-9"/>
                <w:sz w:val="20"/>
              </w:rPr>
              <w:t> </w:t>
            </w:r>
            <w:r>
              <w:rPr>
                <w:sz w:val="20"/>
              </w:rPr>
              <w:t>de</w:t>
            </w:r>
            <w:r>
              <w:rPr>
                <w:spacing w:val="-7"/>
                <w:sz w:val="20"/>
              </w:rPr>
              <w:t> </w:t>
            </w:r>
            <w:r>
              <w:rPr>
                <w:sz w:val="20"/>
              </w:rPr>
              <w:t>servicios</w:t>
            </w:r>
            <w:r>
              <w:rPr>
                <w:spacing w:val="-8"/>
                <w:sz w:val="20"/>
              </w:rPr>
              <w:t> </w:t>
            </w:r>
            <w:r>
              <w:rPr>
                <w:spacing w:val="-2"/>
                <w:sz w:val="20"/>
              </w:rPr>
              <w:t>evaluados</w:t>
            </w:r>
          </w:p>
        </w:tc>
      </w:tr>
      <w:tr>
        <w:trPr>
          <w:trHeight w:val="563" w:hRule="atLeast"/>
        </w:trPr>
        <w:tc>
          <w:tcPr>
            <w:tcW w:w="3119" w:type="dxa"/>
            <w:shd w:val="clear" w:color="auto" w:fill="DCE6F0"/>
          </w:tcPr>
          <w:p>
            <w:pPr>
              <w:pStyle w:val="TableParagraph"/>
              <w:spacing w:before="167"/>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372" w:type="dxa"/>
          </w:tcPr>
          <w:p>
            <w:pPr>
              <w:pStyle w:val="TableParagraph"/>
              <w:spacing w:before="167"/>
              <w:ind w:left="66"/>
              <w:rPr>
                <w:sz w:val="20"/>
              </w:rPr>
            </w:pPr>
            <w:r>
              <w:rPr>
                <w:sz w:val="20"/>
              </w:rPr>
              <w:t>Suma</w:t>
            </w:r>
            <w:r>
              <w:rPr>
                <w:spacing w:val="-7"/>
                <w:sz w:val="20"/>
              </w:rPr>
              <w:t> </w:t>
            </w:r>
            <w:r>
              <w:rPr>
                <w:sz w:val="20"/>
              </w:rPr>
              <w:t>de</w:t>
            </w:r>
            <w:r>
              <w:rPr>
                <w:spacing w:val="-6"/>
                <w:sz w:val="20"/>
              </w:rPr>
              <w:t> </w:t>
            </w:r>
            <w:r>
              <w:rPr>
                <w:sz w:val="20"/>
              </w:rPr>
              <w:t>la</w:t>
            </w:r>
            <w:r>
              <w:rPr>
                <w:spacing w:val="-7"/>
                <w:sz w:val="20"/>
              </w:rPr>
              <w:t> </w:t>
            </w:r>
            <w:r>
              <w:rPr>
                <w:sz w:val="20"/>
              </w:rPr>
              <w:t>cantidad</w:t>
            </w:r>
            <w:r>
              <w:rPr>
                <w:spacing w:val="-6"/>
                <w:sz w:val="20"/>
              </w:rPr>
              <w:t> </w:t>
            </w:r>
            <w:r>
              <w:rPr>
                <w:sz w:val="20"/>
              </w:rPr>
              <w:t>de</w:t>
            </w:r>
            <w:r>
              <w:rPr>
                <w:spacing w:val="-6"/>
                <w:sz w:val="20"/>
              </w:rPr>
              <w:t> </w:t>
            </w:r>
            <w:r>
              <w:rPr>
                <w:sz w:val="20"/>
              </w:rPr>
              <w:t>evaluaciones</w:t>
            </w:r>
            <w:r>
              <w:rPr>
                <w:spacing w:val="-6"/>
                <w:sz w:val="20"/>
              </w:rPr>
              <w:t> </w:t>
            </w:r>
            <w:r>
              <w:rPr>
                <w:spacing w:val="-2"/>
                <w:sz w:val="20"/>
              </w:rPr>
              <w:t>realizadas</w:t>
            </w:r>
          </w:p>
        </w:tc>
      </w:tr>
      <w:tr>
        <w:trPr>
          <w:trHeight w:val="698" w:hRule="atLeast"/>
        </w:trPr>
        <w:tc>
          <w:tcPr>
            <w:tcW w:w="3119" w:type="dxa"/>
            <w:shd w:val="clear" w:color="auto" w:fill="DCE6F0"/>
          </w:tcPr>
          <w:p>
            <w:pPr>
              <w:pStyle w:val="TableParagraph"/>
              <w:spacing w:before="2"/>
              <w:rPr>
                <w:b/>
                <w:sz w:val="20"/>
              </w:rPr>
            </w:pPr>
          </w:p>
          <w:p>
            <w:pPr>
              <w:pStyle w:val="TableParagraph"/>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72" w:type="dxa"/>
          </w:tcPr>
          <w:p>
            <w:pPr>
              <w:pStyle w:val="TableParagraph"/>
              <w:spacing w:before="2"/>
              <w:rPr>
                <w:b/>
                <w:sz w:val="20"/>
              </w:rPr>
            </w:pPr>
          </w:p>
          <w:p>
            <w:pPr>
              <w:pStyle w:val="TableParagraph"/>
              <w:ind w:left="66"/>
              <w:rPr>
                <w:sz w:val="20"/>
              </w:rPr>
            </w:pPr>
            <w:r>
              <w:rPr>
                <w:spacing w:val="-2"/>
                <w:sz w:val="20"/>
              </w:rPr>
              <w:t>Cantidad</w:t>
            </w:r>
          </w:p>
        </w:tc>
      </w:tr>
      <w:tr>
        <w:trPr>
          <w:trHeight w:val="839" w:hRule="atLeast"/>
        </w:trPr>
        <w:tc>
          <w:tcPr>
            <w:tcW w:w="3119" w:type="dxa"/>
            <w:shd w:val="clear" w:color="auto" w:fill="DCE6F0"/>
          </w:tcPr>
          <w:p>
            <w:pPr>
              <w:pStyle w:val="TableParagraph"/>
              <w:spacing w:before="74"/>
              <w:rPr>
                <w:b/>
                <w:sz w:val="20"/>
              </w:rPr>
            </w:pPr>
          </w:p>
          <w:p>
            <w:pPr>
              <w:pStyle w:val="TableParagraph"/>
              <w:ind w:left="67"/>
              <w:rPr>
                <w:b/>
                <w:sz w:val="20"/>
              </w:rPr>
            </w:pPr>
            <w:r>
              <w:rPr>
                <w:b/>
                <w:spacing w:val="-2"/>
                <w:sz w:val="20"/>
              </w:rPr>
              <w:t>Interpretación:</w:t>
            </w:r>
          </w:p>
        </w:tc>
        <w:tc>
          <w:tcPr>
            <w:tcW w:w="7372" w:type="dxa"/>
          </w:tcPr>
          <w:p>
            <w:pPr>
              <w:pStyle w:val="TableParagraph"/>
              <w:spacing w:before="189"/>
              <w:ind w:left="66" w:right="107"/>
              <w:rPr>
                <w:sz w:val="20"/>
              </w:rPr>
            </w:pPr>
            <w:r>
              <w:rPr>
                <w:sz w:val="20"/>
              </w:rPr>
              <w:t>Se</w:t>
            </w:r>
            <w:r>
              <w:rPr>
                <w:spacing w:val="-5"/>
                <w:sz w:val="20"/>
              </w:rPr>
              <w:t> </w:t>
            </w:r>
            <w:r>
              <w:rPr>
                <w:sz w:val="20"/>
              </w:rPr>
              <w:t>refiere</w:t>
            </w:r>
            <w:r>
              <w:rPr>
                <w:spacing w:val="-3"/>
                <w:sz w:val="20"/>
              </w:rPr>
              <w:t> </w:t>
            </w:r>
            <w:r>
              <w:rPr>
                <w:sz w:val="20"/>
              </w:rPr>
              <w:t>a</w:t>
            </w:r>
            <w:r>
              <w:rPr>
                <w:spacing w:val="-5"/>
                <w:sz w:val="20"/>
              </w:rPr>
              <w:t> </w:t>
            </w:r>
            <w:r>
              <w:rPr>
                <w:sz w:val="20"/>
              </w:rPr>
              <w:t>la</w:t>
            </w:r>
            <w:r>
              <w:rPr>
                <w:spacing w:val="-5"/>
                <w:sz w:val="20"/>
              </w:rPr>
              <w:t> </w:t>
            </w:r>
            <w:r>
              <w:rPr>
                <w:sz w:val="20"/>
              </w:rPr>
              <w:t>evaluación</w:t>
            </w:r>
            <w:r>
              <w:rPr>
                <w:spacing w:val="-3"/>
                <w:sz w:val="20"/>
              </w:rPr>
              <w:t> </w:t>
            </w:r>
            <w:r>
              <w:rPr>
                <w:sz w:val="20"/>
              </w:rPr>
              <w:t>realizada</w:t>
            </w:r>
            <w:r>
              <w:rPr>
                <w:spacing w:val="-3"/>
                <w:sz w:val="20"/>
              </w:rPr>
              <w:t> </w:t>
            </w:r>
            <w:r>
              <w:rPr>
                <w:sz w:val="20"/>
              </w:rPr>
              <w:t>a</w:t>
            </w:r>
            <w:r>
              <w:rPr>
                <w:spacing w:val="-6"/>
                <w:sz w:val="20"/>
              </w:rPr>
              <w:t> </w:t>
            </w:r>
            <w:r>
              <w:rPr>
                <w:sz w:val="20"/>
              </w:rPr>
              <w:t>servicios</w:t>
            </w:r>
            <w:r>
              <w:rPr>
                <w:spacing w:val="-4"/>
                <w:sz w:val="20"/>
              </w:rPr>
              <w:t> </w:t>
            </w:r>
            <w:r>
              <w:rPr>
                <w:sz w:val="20"/>
              </w:rPr>
              <w:t>de</w:t>
            </w:r>
            <w:r>
              <w:rPr>
                <w:spacing w:val="-4"/>
                <w:sz w:val="20"/>
              </w:rPr>
              <w:t> </w:t>
            </w:r>
            <w:r>
              <w:rPr>
                <w:sz w:val="20"/>
              </w:rPr>
              <w:t>la</w:t>
            </w:r>
            <w:r>
              <w:rPr>
                <w:spacing w:val="-3"/>
                <w:sz w:val="20"/>
              </w:rPr>
              <w:t> </w:t>
            </w:r>
            <w:r>
              <w:rPr>
                <w:sz w:val="20"/>
              </w:rPr>
              <w:t>oferta</w:t>
            </w:r>
            <w:r>
              <w:rPr>
                <w:spacing w:val="-5"/>
                <w:sz w:val="20"/>
              </w:rPr>
              <w:t> </w:t>
            </w:r>
            <w:r>
              <w:rPr>
                <w:sz w:val="20"/>
              </w:rPr>
              <w:t>programática</w:t>
            </w:r>
            <w:r>
              <w:rPr>
                <w:spacing w:val="-5"/>
                <w:sz w:val="20"/>
              </w:rPr>
              <w:t> </w:t>
            </w:r>
            <w:r>
              <w:rPr>
                <w:sz w:val="20"/>
              </w:rPr>
              <w:t>según los términos contratados</w:t>
            </w:r>
          </w:p>
        </w:tc>
      </w:tr>
      <w:tr>
        <w:trPr>
          <w:trHeight w:val="900" w:hRule="atLeast"/>
        </w:trPr>
        <w:tc>
          <w:tcPr>
            <w:tcW w:w="3119" w:type="dxa"/>
            <w:shd w:val="clear" w:color="auto" w:fill="DCE6F0"/>
          </w:tcPr>
          <w:p>
            <w:pPr>
              <w:pStyle w:val="TableParagraph"/>
              <w:spacing w:before="103"/>
              <w:rPr>
                <w:b/>
                <w:sz w:val="20"/>
              </w:rPr>
            </w:pPr>
          </w:p>
          <w:p>
            <w:pPr>
              <w:pStyle w:val="TableParagraph"/>
              <w:ind w:left="67"/>
              <w:rPr>
                <w:b/>
                <w:sz w:val="20"/>
              </w:rPr>
            </w:pPr>
            <w:r>
              <w:rPr>
                <w:b/>
                <w:spacing w:val="-2"/>
                <w:sz w:val="20"/>
              </w:rPr>
              <w:t>Desagregación:</w:t>
            </w:r>
          </w:p>
        </w:tc>
        <w:tc>
          <w:tcPr>
            <w:tcW w:w="7372" w:type="dxa"/>
          </w:tcPr>
          <w:p>
            <w:pPr>
              <w:pStyle w:val="TableParagraph"/>
              <w:spacing w:before="103"/>
              <w:rPr>
                <w:b/>
                <w:sz w:val="20"/>
              </w:rPr>
            </w:pPr>
          </w:p>
          <w:p>
            <w:pPr>
              <w:pStyle w:val="TableParagraph"/>
              <w:ind w:left="66"/>
              <w:rPr>
                <w:sz w:val="20"/>
              </w:rPr>
            </w:pPr>
            <w:r>
              <w:rPr>
                <w:sz w:val="20"/>
              </w:rPr>
              <w:t>No</w:t>
            </w:r>
            <w:r>
              <w:rPr>
                <w:spacing w:val="-5"/>
                <w:sz w:val="20"/>
              </w:rPr>
              <w:t> </w:t>
            </w:r>
            <w:r>
              <w:rPr>
                <w:spacing w:val="-2"/>
                <w:sz w:val="20"/>
              </w:rPr>
              <w:t>aplica</w:t>
            </w:r>
          </w:p>
        </w:tc>
      </w:tr>
      <w:tr>
        <w:trPr>
          <w:trHeight w:val="450" w:hRule="atLeast"/>
        </w:trPr>
        <w:tc>
          <w:tcPr>
            <w:tcW w:w="3119" w:type="dxa"/>
            <w:shd w:val="clear" w:color="auto" w:fill="DCE6F0"/>
          </w:tcPr>
          <w:p>
            <w:pPr>
              <w:pStyle w:val="TableParagraph"/>
              <w:spacing w:before="110"/>
              <w:ind w:left="67"/>
              <w:rPr>
                <w:b/>
                <w:sz w:val="20"/>
              </w:rPr>
            </w:pPr>
            <w:r>
              <w:rPr>
                <w:b/>
                <w:spacing w:val="-2"/>
                <w:sz w:val="20"/>
              </w:rPr>
              <w:t>Meta:</w:t>
            </w:r>
          </w:p>
        </w:tc>
        <w:tc>
          <w:tcPr>
            <w:tcW w:w="7372" w:type="dxa"/>
          </w:tcPr>
          <w:p>
            <w:pPr>
              <w:pStyle w:val="TableParagraph"/>
              <w:spacing w:before="110"/>
              <w:ind w:right="60"/>
              <w:jc w:val="right"/>
              <w:rPr>
                <w:sz w:val="20"/>
              </w:rPr>
            </w:pPr>
            <w:r>
              <w:rPr>
                <w:spacing w:val="-10"/>
                <w:sz w:val="20"/>
              </w:rPr>
              <w:t>1</w:t>
            </w:r>
          </w:p>
        </w:tc>
      </w:tr>
      <w:tr>
        <w:trPr>
          <w:trHeight w:val="553" w:hRule="atLeast"/>
        </w:trPr>
        <w:tc>
          <w:tcPr>
            <w:tcW w:w="3119" w:type="dxa"/>
            <w:shd w:val="clear" w:color="auto" w:fill="DCE6F0"/>
          </w:tcPr>
          <w:p>
            <w:pPr>
              <w:pStyle w:val="TableParagraph"/>
              <w:spacing w:before="160"/>
              <w:ind w:left="67"/>
              <w:rPr>
                <w:b/>
                <w:sz w:val="20"/>
              </w:rPr>
            </w:pPr>
            <w:r>
              <w:rPr>
                <w:b/>
                <w:sz w:val="20"/>
              </w:rPr>
              <w:t>Línea</w:t>
            </w:r>
            <w:r>
              <w:rPr>
                <w:b/>
                <w:spacing w:val="-10"/>
                <w:sz w:val="20"/>
              </w:rPr>
              <w:t> </w:t>
            </w:r>
            <w:r>
              <w:rPr>
                <w:b/>
                <w:spacing w:val="-2"/>
                <w:sz w:val="20"/>
              </w:rPr>
              <w:t>Base:</w:t>
            </w:r>
          </w:p>
        </w:tc>
        <w:tc>
          <w:tcPr>
            <w:tcW w:w="7372" w:type="dxa"/>
          </w:tcPr>
          <w:p>
            <w:pPr>
              <w:pStyle w:val="TableParagraph"/>
              <w:spacing w:before="160"/>
              <w:ind w:right="60"/>
              <w:jc w:val="right"/>
              <w:rPr>
                <w:sz w:val="20"/>
              </w:rPr>
            </w:pPr>
            <w:r>
              <w:rPr>
                <w:spacing w:val="-10"/>
                <w:sz w:val="20"/>
              </w:rPr>
              <w:t>1</w:t>
            </w:r>
          </w:p>
        </w:tc>
      </w:tr>
      <w:tr>
        <w:trPr>
          <w:trHeight w:val="700" w:hRule="atLeast"/>
        </w:trPr>
        <w:tc>
          <w:tcPr>
            <w:tcW w:w="3119" w:type="dxa"/>
            <w:shd w:val="clear" w:color="auto" w:fill="DCE6F0"/>
          </w:tcPr>
          <w:p>
            <w:pPr>
              <w:pStyle w:val="TableParagraph"/>
              <w:spacing w:before="119"/>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372" w:type="dxa"/>
          </w:tcPr>
          <w:p>
            <w:pPr>
              <w:pStyle w:val="TableParagraph"/>
              <w:spacing w:before="4"/>
              <w:rPr>
                <w:b/>
                <w:sz w:val="20"/>
              </w:rPr>
            </w:pPr>
          </w:p>
          <w:p>
            <w:pPr>
              <w:pStyle w:val="TableParagraph"/>
              <w:ind w:left="66"/>
              <w:rPr>
                <w:sz w:val="20"/>
              </w:rPr>
            </w:pPr>
            <w:r>
              <w:rPr>
                <w:spacing w:val="-4"/>
                <w:sz w:val="20"/>
              </w:rPr>
              <w:t>Anual</w:t>
            </w:r>
          </w:p>
        </w:tc>
      </w:tr>
      <w:tr>
        <w:trPr>
          <w:trHeight w:val="942" w:hRule="atLeast"/>
        </w:trPr>
        <w:tc>
          <w:tcPr>
            <w:tcW w:w="3119" w:type="dxa"/>
            <w:shd w:val="clear" w:color="auto" w:fill="DCE6F0"/>
          </w:tcPr>
          <w:p>
            <w:pPr>
              <w:pStyle w:val="TableParagraph"/>
              <w:spacing w:before="11"/>
              <w:rPr>
                <w:b/>
                <w:sz w:val="20"/>
              </w:rPr>
            </w:pPr>
          </w:p>
          <w:p>
            <w:pPr>
              <w:pStyle w:val="TableParagraph"/>
              <w:spacing w:before="1"/>
              <w:ind w:left="67" w:right="591"/>
              <w:rPr>
                <w:b/>
                <w:sz w:val="20"/>
              </w:rPr>
            </w:pPr>
            <w:r>
              <w:rPr>
                <w:b/>
                <w:sz w:val="20"/>
              </w:rPr>
              <w:t>Responsable de la recopilación</w:t>
            </w:r>
            <w:r>
              <w:rPr>
                <w:b/>
                <w:spacing w:val="-14"/>
                <w:sz w:val="20"/>
              </w:rPr>
              <w:t> </w:t>
            </w:r>
            <w:r>
              <w:rPr>
                <w:b/>
                <w:sz w:val="20"/>
              </w:rPr>
              <w:t>información:</w:t>
            </w:r>
          </w:p>
        </w:tc>
        <w:tc>
          <w:tcPr>
            <w:tcW w:w="7372" w:type="dxa"/>
          </w:tcPr>
          <w:p>
            <w:pPr>
              <w:pStyle w:val="TableParagraph"/>
              <w:spacing w:before="11"/>
              <w:rPr>
                <w:b/>
                <w:sz w:val="20"/>
              </w:rPr>
            </w:pPr>
          </w:p>
          <w:p>
            <w:pPr>
              <w:pStyle w:val="TableParagraph"/>
              <w:spacing w:line="229" w:lineRule="exact" w:before="1"/>
              <w:ind w:left="66"/>
              <w:rPr>
                <w:sz w:val="20"/>
              </w:rPr>
            </w:pPr>
            <w:r>
              <w:rPr>
                <w:b/>
                <w:sz w:val="20"/>
              </w:rPr>
              <w:t>Nombre</w:t>
            </w:r>
            <w:r>
              <w:rPr>
                <w:b/>
                <w:spacing w:val="-9"/>
                <w:sz w:val="20"/>
              </w:rPr>
              <w:t> </w:t>
            </w:r>
            <w:r>
              <w:rPr>
                <w:b/>
                <w:sz w:val="20"/>
              </w:rPr>
              <w:t>del</w:t>
            </w:r>
            <w:r>
              <w:rPr>
                <w:b/>
                <w:spacing w:val="-7"/>
                <w:sz w:val="20"/>
              </w:rPr>
              <w:t> </w:t>
            </w:r>
            <w:r>
              <w:rPr>
                <w:b/>
                <w:sz w:val="20"/>
              </w:rPr>
              <w:t>funcionario:</w:t>
            </w:r>
            <w:r>
              <w:rPr>
                <w:b/>
                <w:spacing w:val="-5"/>
                <w:sz w:val="20"/>
              </w:rPr>
              <w:t> </w:t>
            </w:r>
            <w:r>
              <w:rPr>
                <w:sz w:val="20"/>
              </w:rPr>
              <w:t>Silvia</w:t>
            </w:r>
            <w:r>
              <w:rPr>
                <w:spacing w:val="-7"/>
                <w:sz w:val="20"/>
              </w:rPr>
              <w:t> </w:t>
            </w:r>
            <w:r>
              <w:rPr>
                <w:sz w:val="20"/>
              </w:rPr>
              <w:t>Pizarro</w:t>
            </w:r>
            <w:r>
              <w:rPr>
                <w:spacing w:val="-7"/>
                <w:sz w:val="20"/>
              </w:rPr>
              <w:t> </w:t>
            </w:r>
            <w:r>
              <w:rPr>
                <w:spacing w:val="-2"/>
                <w:sz w:val="20"/>
              </w:rPr>
              <w:t>Araya</w:t>
            </w:r>
          </w:p>
          <w:p>
            <w:pPr>
              <w:pStyle w:val="TableParagraph"/>
              <w:spacing w:line="229" w:lineRule="exact"/>
              <w:ind w:left="66"/>
              <w:rPr>
                <w:sz w:val="20"/>
              </w:rPr>
            </w:pPr>
            <w:r>
              <w:rPr>
                <w:b/>
                <w:sz w:val="20"/>
              </w:rPr>
              <w:t>Cargo:</w:t>
            </w:r>
            <w:r>
              <w:rPr>
                <w:b/>
                <w:spacing w:val="-10"/>
                <w:sz w:val="20"/>
              </w:rPr>
              <w:t> </w:t>
            </w:r>
            <w:r>
              <w:rPr>
                <w:sz w:val="20"/>
              </w:rPr>
              <w:t>Profesional</w:t>
            </w:r>
            <w:r>
              <w:rPr>
                <w:spacing w:val="-11"/>
                <w:sz w:val="20"/>
              </w:rPr>
              <w:t> </w:t>
            </w:r>
            <w:r>
              <w:rPr>
                <w:sz w:val="20"/>
              </w:rPr>
              <w:t>en</w:t>
            </w:r>
            <w:r>
              <w:rPr>
                <w:spacing w:val="-10"/>
                <w:sz w:val="20"/>
              </w:rPr>
              <w:t> </w:t>
            </w:r>
            <w:r>
              <w:rPr>
                <w:sz w:val="20"/>
              </w:rPr>
              <w:t>Planificación</w:t>
            </w:r>
            <w:r>
              <w:rPr>
                <w:spacing w:val="-11"/>
                <w:sz w:val="20"/>
              </w:rPr>
              <w:t> </w:t>
            </w:r>
            <w:r>
              <w:rPr>
                <w:spacing w:val="-2"/>
                <w:sz w:val="20"/>
              </w:rPr>
              <w:t>Institucional</w:t>
            </w:r>
          </w:p>
        </w:tc>
      </w:tr>
      <w:tr>
        <w:trPr>
          <w:trHeight w:val="751" w:hRule="atLeast"/>
        </w:trPr>
        <w:tc>
          <w:tcPr>
            <w:tcW w:w="3119" w:type="dxa"/>
            <w:shd w:val="clear" w:color="auto" w:fill="DCE6F0"/>
          </w:tcPr>
          <w:p>
            <w:pPr>
              <w:pStyle w:val="TableParagraph"/>
              <w:spacing w:before="146"/>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372" w:type="dxa"/>
          </w:tcPr>
          <w:p>
            <w:pPr>
              <w:pStyle w:val="TableParagraph"/>
              <w:spacing w:before="31"/>
              <w:rPr>
                <w:b/>
                <w:sz w:val="20"/>
              </w:rPr>
            </w:pPr>
          </w:p>
          <w:p>
            <w:pPr>
              <w:pStyle w:val="TableParagraph"/>
              <w:ind w:left="66"/>
              <w:rPr>
                <w:sz w:val="20"/>
              </w:rPr>
            </w:pPr>
            <w:r>
              <w:rPr>
                <w:sz w:val="20"/>
              </w:rPr>
              <w:t>Unidad</w:t>
            </w:r>
            <w:r>
              <w:rPr>
                <w:spacing w:val="-10"/>
                <w:sz w:val="20"/>
              </w:rPr>
              <w:t> </w:t>
            </w:r>
            <w:r>
              <w:rPr>
                <w:sz w:val="20"/>
              </w:rPr>
              <w:t>de</w:t>
            </w:r>
            <w:r>
              <w:rPr>
                <w:spacing w:val="-9"/>
                <w:sz w:val="20"/>
              </w:rPr>
              <w:t> </w:t>
            </w:r>
            <w:r>
              <w:rPr>
                <w:sz w:val="20"/>
              </w:rPr>
              <w:t>Planificación</w:t>
            </w:r>
            <w:r>
              <w:rPr>
                <w:spacing w:val="-11"/>
                <w:sz w:val="20"/>
              </w:rPr>
              <w:t> </w:t>
            </w:r>
            <w:r>
              <w:rPr>
                <w:spacing w:val="-2"/>
                <w:sz w:val="20"/>
              </w:rPr>
              <w:t>Institucional</w:t>
            </w:r>
          </w:p>
        </w:tc>
      </w:tr>
      <w:tr>
        <w:trPr>
          <w:trHeight w:val="830" w:hRule="atLeast"/>
        </w:trPr>
        <w:tc>
          <w:tcPr>
            <w:tcW w:w="3119" w:type="dxa"/>
            <w:shd w:val="clear" w:color="auto" w:fill="DCE6F0"/>
          </w:tcPr>
          <w:p>
            <w:pPr>
              <w:pStyle w:val="TableParagraph"/>
              <w:spacing w:before="69"/>
              <w:rPr>
                <w:b/>
                <w:sz w:val="20"/>
              </w:rPr>
            </w:pPr>
          </w:p>
          <w:p>
            <w:pPr>
              <w:pStyle w:val="TableParagraph"/>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372" w:type="dxa"/>
          </w:tcPr>
          <w:p>
            <w:pPr>
              <w:pStyle w:val="TableParagraph"/>
              <w:spacing w:before="69"/>
              <w:rPr>
                <w:b/>
                <w:sz w:val="20"/>
              </w:rPr>
            </w:pPr>
          </w:p>
          <w:p>
            <w:pPr>
              <w:pStyle w:val="TableParagraph"/>
              <w:ind w:left="66"/>
              <w:rPr>
                <w:sz w:val="20"/>
              </w:rPr>
            </w:pPr>
            <w:r>
              <w:rPr>
                <w:sz w:val="20"/>
              </w:rPr>
              <w:t>Sistema</w:t>
            </w:r>
            <w:r>
              <w:rPr>
                <w:spacing w:val="-10"/>
                <w:sz w:val="20"/>
              </w:rPr>
              <w:t> </w:t>
            </w:r>
            <w:r>
              <w:rPr>
                <w:sz w:val="20"/>
              </w:rPr>
              <w:t>Integrado</w:t>
            </w:r>
            <w:r>
              <w:rPr>
                <w:spacing w:val="-7"/>
                <w:sz w:val="20"/>
              </w:rPr>
              <w:t> </w:t>
            </w:r>
            <w:r>
              <w:rPr>
                <w:sz w:val="20"/>
              </w:rPr>
              <w:t>de</w:t>
            </w:r>
            <w:r>
              <w:rPr>
                <w:spacing w:val="-9"/>
                <w:sz w:val="20"/>
              </w:rPr>
              <w:t> </w:t>
            </w:r>
            <w:r>
              <w:rPr>
                <w:sz w:val="20"/>
              </w:rPr>
              <w:t>Compras</w:t>
            </w:r>
            <w:r>
              <w:rPr>
                <w:spacing w:val="-8"/>
                <w:sz w:val="20"/>
              </w:rPr>
              <w:t> </w:t>
            </w:r>
            <w:r>
              <w:rPr>
                <w:sz w:val="20"/>
              </w:rPr>
              <w:t>Públicas</w:t>
            </w:r>
            <w:r>
              <w:rPr>
                <w:spacing w:val="-8"/>
                <w:sz w:val="20"/>
              </w:rPr>
              <w:t> </w:t>
            </w:r>
            <w:r>
              <w:rPr>
                <w:spacing w:val="-2"/>
                <w:sz w:val="20"/>
              </w:rPr>
              <w:t>(SICOP)</w:t>
            </w:r>
          </w:p>
        </w:tc>
      </w:tr>
    </w:tbl>
    <w:p>
      <w:pPr>
        <w:pStyle w:val="TableParagraph"/>
        <w:spacing w:after="0"/>
        <w:rPr>
          <w:sz w:val="20"/>
        </w:rPr>
        <w:sectPr>
          <w:type w:val="continuous"/>
          <w:pgSz w:w="12240" w:h="15840"/>
          <w:pgMar w:header="0" w:footer="2082" w:top="1400" w:bottom="260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19"/>
        <w:gridCol w:w="7372"/>
      </w:tblGrid>
      <w:tr>
        <w:trPr>
          <w:trHeight w:val="700" w:hRule="atLeast"/>
        </w:trPr>
        <w:tc>
          <w:tcPr>
            <w:tcW w:w="3119" w:type="dxa"/>
            <w:shd w:val="clear" w:color="auto" w:fill="DCE6F0"/>
          </w:tcPr>
          <w:p>
            <w:pPr>
              <w:pStyle w:val="TableParagraph"/>
              <w:spacing w:before="5"/>
              <w:rPr>
                <w:b/>
                <w:sz w:val="20"/>
              </w:rPr>
            </w:pPr>
          </w:p>
          <w:p>
            <w:pPr>
              <w:pStyle w:val="TableParagraph"/>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372" w:type="dxa"/>
          </w:tcPr>
          <w:p>
            <w:pPr>
              <w:pStyle w:val="TableParagraph"/>
              <w:spacing w:before="5"/>
              <w:rPr>
                <w:b/>
                <w:sz w:val="20"/>
              </w:rPr>
            </w:pPr>
          </w:p>
          <w:p>
            <w:pPr>
              <w:pStyle w:val="TableParagraph"/>
              <w:ind w:left="66"/>
              <w:rPr>
                <w:sz w:val="20"/>
              </w:rPr>
            </w:pPr>
            <w:r>
              <w:rPr>
                <w:sz w:val="20"/>
              </w:rPr>
              <w:t>Informe</w:t>
            </w:r>
            <w:r>
              <w:rPr>
                <w:spacing w:val="-5"/>
                <w:sz w:val="20"/>
              </w:rPr>
              <w:t> </w:t>
            </w:r>
            <w:r>
              <w:rPr>
                <w:sz w:val="20"/>
              </w:rPr>
              <w:t>final</w:t>
            </w:r>
            <w:r>
              <w:rPr>
                <w:spacing w:val="-6"/>
                <w:sz w:val="20"/>
              </w:rPr>
              <w:t> </w:t>
            </w:r>
            <w:r>
              <w:rPr>
                <w:sz w:val="20"/>
              </w:rPr>
              <w:t>de</w:t>
            </w:r>
            <w:r>
              <w:rPr>
                <w:spacing w:val="-4"/>
                <w:sz w:val="20"/>
              </w:rPr>
              <w:t> </w:t>
            </w:r>
            <w:r>
              <w:rPr>
                <w:sz w:val="20"/>
              </w:rPr>
              <w:t>la</w:t>
            </w:r>
            <w:r>
              <w:rPr>
                <w:spacing w:val="-3"/>
                <w:sz w:val="20"/>
              </w:rPr>
              <w:t> </w:t>
            </w:r>
            <w:r>
              <w:rPr>
                <w:spacing w:val="-2"/>
                <w:sz w:val="20"/>
              </w:rPr>
              <w:t>evaluación</w:t>
            </w:r>
          </w:p>
        </w:tc>
      </w:tr>
      <w:tr>
        <w:trPr>
          <w:trHeight w:val="628" w:hRule="atLeast"/>
        </w:trPr>
        <w:tc>
          <w:tcPr>
            <w:tcW w:w="3119" w:type="dxa"/>
            <w:shd w:val="clear" w:color="auto" w:fill="DCE6F0"/>
          </w:tcPr>
          <w:p>
            <w:pPr>
              <w:pStyle w:val="TableParagraph"/>
              <w:spacing w:before="198"/>
              <w:ind w:left="67"/>
              <w:rPr>
                <w:b/>
                <w:sz w:val="20"/>
              </w:rPr>
            </w:pPr>
            <w:r>
              <w:rPr>
                <w:b/>
                <w:spacing w:val="-2"/>
                <w:sz w:val="20"/>
              </w:rPr>
              <w:t>Clasificación:</w:t>
            </w:r>
          </w:p>
        </w:tc>
        <w:tc>
          <w:tcPr>
            <w:tcW w:w="7372" w:type="dxa"/>
          </w:tcPr>
          <w:p>
            <w:pPr>
              <w:pStyle w:val="TableParagraph"/>
              <w:spacing w:before="198"/>
              <w:ind w:left="66"/>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5"/>
                <w:sz w:val="20"/>
              </w:rPr>
              <w:t> </w:t>
            </w:r>
            <w:r>
              <w:rPr>
                <w:sz w:val="20"/>
              </w:rPr>
              <w:t>Producto</w:t>
            </w:r>
            <w:r>
              <w:rPr>
                <w:spacing w:val="-8"/>
                <w:sz w:val="20"/>
              </w:rPr>
              <w:t> </w:t>
            </w:r>
            <w:r>
              <w:rPr>
                <w:spacing w:val="-5"/>
                <w:sz w:val="20"/>
              </w:rPr>
              <w:t>(x)</w:t>
            </w:r>
          </w:p>
        </w:tc>
      </w:tr>
      <w:tr>
        <w:trPr>
          <w:trHeight w:val="1442" w:hRule="atLeast"/>
        </w:trPr>
        <w:tc>
          <w:tcPr>
            <w:tcW w:w="3119" w:type="dxa"/>
            <w:shd w:val="clear" w:color="auto" w:fill="DCE6F0"/>
          </w:tcPr>
          <w:p>
            <w:pPr>
              <w:pStyle w:val="TableParagraph"/>
              <w:rPr>
                <w:b/>
                <w:sz w:val="20"/>
              </w:rPr>
            </w:pPr>
          </w:p>
          <w:p>
            <w:pPr>
              <w:pStyle w:val="TableParagraph"/>
              <w:spacing w:before="144"/>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372" w:type="dxa"/>
          </w:tcPr>
          <w:p>
            <w:pPr>
              <w:pStyle w:val="TableParagraph"/>
              <w:rPr>
                <w:b/>
                <w:sz w:val="20"/>
              </w:rPr>
            </w:pPr>
          </w:p>
          <w:p>
            <w:pPr>
              <w:pStyle w:val="TableParagraph"/>
              <w:spacing w:before="29"/>
              <w:rPr>
                <w:b/>
                <w:sz w:val="20"/>
              </w:rPr>
            </w:pPr>
          </w:p>
          <w:p>
            <w:pPr>
              <w:pStyle w:val="TableParagraph"/>
              <w:ind w:left="66"/>
              <w:rPr>
                <w:sz w:val="20"/>
              </w:rPr>
            </w:pPr>
            <w:r>
              <w:rPr>
                <w:sz w:val="20"/>
              </w:rPr>
              <w:t>La</w:t>
            </w:r>
            <w:r>
              <w:rPr>
                <w:spacing w:val="-6"/>
                <w:sz w:val="20"/>
              </w:rPr>
              <w:t> </w:t>
            </w:r>
            <w:r>
              <w:rPr>
                <w:sz w:val="20"/>
              </w:rPr>
              <w:t>evaluación</w:t>
            </w:r>
            <w:r>
              <w:rPr>
                <w:spacing w:val="-6"/>
                <w:sz w:val="20"/>
              </w:rPr>
              <w:t> </w:t>
            </w:r>
            <w:r>
              <w:rPr>
                <w:sz w:val="20"/>
              </w:rPr>
              <w:t>se</w:t>
            </w:r>
            <w:r>
              <w:rPr>
                <w:spacing w:val="-3"/>
                <w:sz w:val="20"/>
              </w:rPr>
              <w:t> </w:t>
            </w:r>
            <w:r>
              <w:rPr>
                <w:sz w:val="20"/>
              </w:rPr>
              <w:t>medirá</w:t>
            </w:r>
            <w:r>
              <w:rPr>
                <w:spacing w:val="-3"/>
                <w:sz w:val="20"/>
              </w:rPr>
              <w:t> </w:t>
            </w:r>
            <w:r>
              <w:rPr>
                <w:sz w:val="20"/>
              </w:rPr>
              <w:t>por</w:t>
            </w:r>
            <w:r>
              <w:rPr>
                <w:spacing w:val="-4"/>
                <w:sz w:val="20"/>
              </w:rPr>
              <w:t> </w:t>
            </w:r>
            <w:r>
              <w:rPr>
                <w:sz w:val="20"/>
              </w:rPr>
              <w:t>la</w:t>
            </w:r>
            <w:r>
              <w:rPr>
                <w:spacing w:val="-5"/>
                <w:sz w:val="20"/>
              </w:rPr>
              <w:t> </w:t>
            </w:r>
            <w:r>
              <w:rPr>
                <w:sz w:val="20"/>
              </w:rPr>
              <w:t>cantidad</w:t>
            </w:r>
            <w:r>
              <w:rPr>
                <w:spacing w:val="-4"/>
                <w:sz w:val="20"/>
              </w:rPr>
              <w:t> </w:t>
            </w:r>
            <w:r>
              <w:rPr>
                <w:sz w:val="20"/>
              </w:rPr>
              <w:t>de</w:t>
            </w:r>
            <w:r>
              <w:rPr>
                <w:spacing w:val="-6"/>
                <w:sz w:val="20"/>
              </w:rPr>
              <w:t> </w:t>
            </w:r>
            <w:r>
              <w:rPr>
                <w:sz w:val="20"/>
              </w:rPr>
              <w:t>ofertas</w:t>
            </w:r>
            <w:r>
              <w:rPr>
                <w:spacing w:val="-4"/>
                <w:sz w:val="20"/>
              </w:rPr>
              <w:t> </w:t>
            </w:r>
            <w:r>
              <w:rPr>
                <w:sz w:val="20"/>
              </w:rPr>
              <w:t>recibidas,</w:t>
            </w:r>
            <w:r>
              <w:rPr>
                <w:spacing w:val="-5"/>
                <w:sz w:val="20"/>
              </w:rPr>
              <w:t> </w:t>
            </w:r>
            <w:r>
              <w:rPr>
                <w:sz w:val="20"/>
              </w:rPr>
              <w:t>sin</w:t>
            </w:r>
            <w:r>
              <w:rPr>
                <w:spacing w:val="-3"/>
                <w:sz w:val="20"/>
              </w:rPr>
              <w:t> </w:t>
            </w:r>
            <w:r>
              <w:rPr>
                <w:sz w:val="20"/>
              </w:rPr>
              <w:t>embargo,</w:t>
            </w:r>
            <w:r>
              <w:rPr>
                <w:spacing w:val="-3"/>
                <w:sz w:val="20"/>
              </w:rPr>
              <w:t> </w:t>
            </w:r>
            <w:r>
              <w:rPr>
                <w:sz w:val="20"/>
              </w:rPr>
              <w:t>el producto final será el informe final de evaluación</w:t>
            </w:r>
          </w:p>
        </w:tc>
      </w:tr>
    </w:tbl>
    <w:p>
      <w:pPr>
        <w:pStyle w:val="BodyText"/>
        <w:rPr>
          <w:b/>
          <w:sz w:val="20"/>
        </w:rPr>
      </w:pPr>
    </w:p>
    <w:p>
      <w:pPr>
        <w:pStyle w:val="BodyText"/>
        <w:spacing w:before="111"/>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19"/>
        <w:gridCol w:w="7372"/>
      </w:tblGrid>
      <w:tr>
        <w:trPr>
          <w:trHeight w:val="617" w:hRule="atLeast"/>
        </w:trPr>
        <w:tc>
          <w:tcPr>
            <w:tcW w:w="3119" w:type="dxa"/>
            <w:shd w:val="clear" w:color="auto" w:fill="DCE6F0"/>
          </w:tcPr>
          <w:p>
            <w:pPr>
              <w:pStyle w:val="TableParagraph"/>
              <w:spacing w:before="203"/>
              <w:ind w:left="67"/>
              <w:rPr>
                <w:b/>
                <w:sz w:val="18"/>
              </w:rPr>
            </w:pPr>
            <w:r>
              <w:rPr>
                <w:b/>
                <w:sz w:val="18"/>
              </w:rPr>
              <w:t>PAC</w:t>
            </w:r>
            <w:r>
              <w:rPr>
                <w:b/>
                <w:spacing w:val="-5"/>
                <w:sz w:val="18"/>
              </w:rPr>
              <w:t> </w:t>
            </w:r>
            <w:r>
              <w:rPr>
                <w:b/>
                <w:spacing w:val="-2"/>
                <w:sz w:val="18"/>
              </w:rPr>
              <w:t>2.13.1:</w:t>
            </w:r>
          </w:p>
        </w:tc>
        <w:tc>
          <w:tcPr>
            <w:tcW w:w="7372" w:type="dxa"/>
          </w:tcPr>
          <w:p>
            <w:pPr>
              <w:pStyle w:val="TableParagraph"/>
              <w:spacing w:before="78"/>
              <w:ind w:left="68"/>
              <w:rPr>
                <w:sz w:val="20"/>
              </w:rPr>
            </w:pPr>
            <w:r>
              <w:rPr>
                <w:sz w:val="20"/>
              </w:rPr>
              <w:t>Nombre</w:t>
            </w:r>
            <w:r>
              <w:rPr>
                <w:spacing w:val="80"/>
                <w:sz w:val="20"/>
              </w:rPr>
              <w:t> </w:t>
            </w:r>
            <w:r>
              <w:rPr>
                <w:sz w:val="20"/>
              </w:rPr>
              <w:t>del</w:t>
            </w:r>
            <w:r>
              <w:rPr>
                <w:spacing w:val="80"/>
                <w:sz w:val="20"/>
              </w:rPr>
              <w:t> </w:t>
            </w:r>
            <w:r>
              <w:rPr>
                <w:sz w:val="20"/>
              </w:rPr>
              <w:t>Indicador:</w:t>
            </w:r>
            <w:r>
              <w:rPr>
                <w:spacing w:val="80"/>
                <w:sz w:val="20"/>
              </w:rPr>
              <w:t> </w:t>
            </w:r>
            <w:r>
              <w:rPr>
                <w:sz w:val="20"/>
              </w:rPr>
              <w:t>Porcentaje</w:t>
            </w:r>
            <w:r>
              <w:rPr>
                <w:spacing w:val="80"/>
                <w:sz w:val="20"/>
              </w:rPr>
              <w:t> </w:t>
            </w:r>
            <w:r>
              <w:rPr>
                <w:sz w:val="20"/>
              </w:rPr>
              <w:t>de</w:t>
            </w:r>
            <w:r>
              <w:rPr>
                <w:spacing w:val="80"/>
                <w:sz w:val="20"/>
              </w:rPr>
              <w:t> </w:t>
            </w:r>
            <w:r>
              <w:rPr>
                <w:sz w:val="20"/>
              </w:rPr>
              <w:t>implementación</w:t>
            </w:r>
            <w:r>
              <w:rPr>
                <w:spacing w:val="80"/>
                <w:sz w:val="20"/>
              </w:rPr>
              <w:t> </w:t>
            </w:r>
            <w:r>
              <w:rPr>
                <w:sz w:val="20"/>
              </w:rPr>
              <w:t>de</w:t>
            </w:r>
            <w:r>
              <w:rPr>
                <w:spacing w:val="80"/>
                <w:sz w:val="20"/>
              </w:rPr>
              <w:t> </w:t>
            </w:r>
            <w:r>
              <w:rPr>
                <w:sz w:val="20"/>
              </w:rPr>
              <w:t>la</w:t>
            </w:r>
            <w:r>
              <w:rPr>
                <w:spacing w:val="80"/>
                <w:sz w:val="20"/>
              </w:rPr>
              <w:t> </w:t>
            </w:r>
            <w:r>
              <w:rPr>
                <w:sz w:val="20"/>
              </w:rPr>
              <w:t>Herramienta DELPHOS, módulo Delphos Net y Continuum.</w:t>
            </w:r>
          </w:p>
        </w:tc>
      </w:tr>
      <w:tr>
        <w:trPr>
          <w:trHeight w:val="690" w:hRule="atLeast"/>
        </w:trPr>
        <w:tc>
          <w:tcPr>
            <w:tcW w:w="3119" w:type="dxa"/>
            <w:shd w:val="clear" w:color="auto" w:fill="DCE6F0"/>
          </w:tcPr>
          <w:p>
            <w:pPr>
              <w:pStyle w:val="TableParagraph"/>
              <w:spacing w:before="230"/>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372" w:type="dxa"/>
          </w:tcPr>
          <w:p>
            <w:pPr>
              <w:pStyle w:val="TableParagraph"/>
              <w:spacing w:line="230" w:lineRule="exact"/>
              <w:ind w:left="68" w:right="62"/>
              <w:jc w:val="both"/>
              <w:rPr>
                <w:sz w:val="20"/>
              </w:rPr>
            </w:pPr>
            <w:r>
              <w:rPr>
                <w:sz w:val="20"/>
              </w:rPr>
              <w:t>Porcentaje</w:t>
            </w:r>
            <w:r>
              <w:rPr>
                <w:spacing w:val="-4"/>
                <w:sz w:val="20"/>
              </w:rPr>
              <w:t> </w:t>
            </w:r>
            <w:r>
              <w:rPr>
                <w:sz w:val="20"/>
              </w:rPr>
              <w:t>de</w:t>
            </w:r>
            <w:r>
              <w:rPr>
                <w:spacing w:val="-5"/>
                <w:sz w:val="20"/>
              </w:rPr>
              <w:t> </w:t>
            </w:r>
            <w:r>
              <w:rPr>
                <w:sz w:val="20"/>
              </w:rPr>
              <w:t>la</w:t>
            </w:r>
            <w:r>
              <w:rPr>
                <w:spacing w:val="-4"/>
                <w:sz w:val="20"/>
              </w:rPr>
              <w:t> </w:t>
            </w:r>
            <w:r>
              <w:rPr>
                <w:sz w:val="20"/>
              </w:rPr>
              <w:t>Implementación</w:t>
            </w:r>
            <w:r>
              <w:rPr>
                <w:spacing w:val="-5"/>
                <w:sz w:val="20"/>
              </w:rPr>
              <w:t> </w:t>
            </w:r>
            <w:r>
              <w:rPr>
                <w:sz w:val="20"/>
              </w:rPr>
              <w:t>Herramienta</w:t>
            </w:r>
            <w:r>
              <w:rPr>
                <w:spacing w:val="-4"/>
                <w:sz w:val="20"/>
              </w:rPr>
              <w:t> </w:t>
            </w:r>
            <w:r>
              <w:rPr>
                <w:sz w:val="20"/>
              </w:rPr>
              <w:t>DELPHOS,</w:t>
            </w:r>
            <w:r>
              <w:rPr>
                <w:spacing w:val="-4"/>
                <w:sz w:val="20"/>
              </w:rPr>
              <w:t> </w:t>
            </w:r>
            <w:r>
              <w:rPr>
                <w:sz w:val="20"/>
              </w:rPr>
              <w:t>módulo</w:t>
            </w:r>
            <w:r>
              <w:rPr>
                <w:spacing w:val="-4"/>
                <w:sz w:val="20"/>
              </w:rPr>
              <w:t> </w:t>
            </w:r>
            <w:r>
              <w:rPr>
                <w:sz w:val="20"/>
              </w:rPr>
              <w:t>Delphos Net/</w:t>
            </w:r>
            <w:r>
              <w:rPr>
                <w:spacing w:val="-4"/>
                <w:sz w:val="20"/>
              </w:rPr>
              <w:t> </w:t>
            </w:r>
            <w:r>
              <w:rPr>
                <w:sz w:val="20"/>
              </w:rPr>
              <w:t>y Continuum/ porcentaje de implementación en los instrumentos programáticos institucionales *100</w:t>
            </w:r>
          </w:p>
        </w:tc>
      </w:tr>
      <w:tr>
        <w:trPr>
          <w:trHeight w:val="484" w:hRule="atLeast"/>
        </w:trPr>
        <w:tc>
          <w:tcPr>
            <w:tcW w:w="3119" w:type="dxa"/>
            <w:shd w:val="clear" w:color="auto" w:fill="DCE6F0"/>
          </w:tcPr>
          <w:p>
            <w:pPr>
              <w:pStyle w:val="TableParagraph"/>
              <w:spacing w:before="126"/>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72" w:type="dxa"/>
          </w:tcPr>
          <w:p>
            <w:pPr>
              <w:pStyle w:val="TableParagraph"/>
              <w:spacing w:before="126"/>
              <w:ind w:left="68"/>
              <w:rPr>
                <w:sz w:val="20"/>
              </w:rPr>
            </w:pPr>
            <w:r>
              <w:rPr>
                <w:spacing w:val="-2"/>
                <w:sz w:val="20"/>
              </w:rPr>
              <w:t>Porcentaje</w:t>
            </w:r>
          </w:p>
        </w:tc>
      </w:tr>
      <w:tr>
        <w:trPr>
          <w:trHeight w:val="1840" w:hRule="atLeast"/>
        </w:trPr>
        <w:tc>
          <w:tcPr>
            <w:tcW w:w="3119" w:type="dxa"/>
            <w:shd w:val="clear" w:color="auto" w:fill="DCE6F0"/>
          </w:tcPr>
          <w:p>
            <w:pPr>
              <w:pStyle w:val="TableParagraph"/>
              <w:rPr>
                <w:b/>
                <w:sz w:val="20"/>
              </w:rPr>
            </w:pPr>
          </w:p>
          <w:p>
            <w:pPr>
              <w:pStyle w:val="TableParagraph"/>
              <w:rPr>
                <w:b/>
                <w:sz w:val="20"/>
              </w:rPr>
            </w:pPr>
          </w:p>
          <w:p>
            <w:pPr>
              <w:pStyle w:val="TableParagraph"/>
              <w:spacing w:before="115"/>
              <w:rPr>
                <w:b/>
                <w:sz w:val="20"/>
              </w:rPr>
            </w:pPr>
          </w:p>
          <w:p>
            <w:pPr>
              <w:pStyle w:val="TableParagraph"/>
              <w:spacing w:before="1"/>
              <w:ind w:left="67"/>
              <w:rPr>
                <w:b/>
                <w:sz w:val="20"/>
              </w:rPr>
            </w:pPr>
            <w:r>
              <w:rPr>
                <w:b/>
                <w:spacing w:val="-2"/>
                <w:sz w:val="20"/>
              </w:rPr>
              <w:t>Interpretación:</w:t>
            </w:r>
          </w:p>
        </w:tc>
        <w:tc>
          <w:tcPr>
            <w:tcW w:w="7372" w:type="dxa"/>
          </w:tcPr>
          <w:p>
            <w:pPr>
              <w:pStyle w:val="TableParagraph"/>
              <w:ind w:left="68" w:right="67"/>
              <w:jc w:val="both"/>
              <w:rPr>
                <w:sz w:val="20"/>
              </w:rPr>
            </w:pPr>
            <w:r>
              <w:rPr>
                <w:sz w:val="20"/>
              </w:rPr>
              <w:t>Modulo DELPHOS.NET: es el módulo de la herramienta DELPHOS que se implementa a nivel de IMAS para el seguimiento de los instrumentos programáticos: POI-POGE_PEI</w:t>
            </w:r>
          </w:p>
          <w:p>
            <w:pPr>
              <w:pStyle w:val="TableParagraph"/>
              <w:ind w:left="68" w:right="65"/>
              <w:jc w:val="both"/>
              <w:rPr>
                <w:sz w:val="20"/>
              </w:rPr>
            </w:pPr>
            <w:r>
              <w:rPr>
                <w:sz w:val="20"/>
              </w:rPr>
              <w:t>Modulo</w:t>
            </w:r>
            <w:r>
              <w:rPr>
                <w:spacing w:val="-11"/>
                <w:sz w:val="20"/>
              </w:rPr>
              <w:t> </w:t>
            </w:r>
            <w:r>
              <w:rPr>
                <w:sz w:val="20"/>
              </w:rPr>
              <w:t>Continuum:</w:t>
            </w:r>
            <w:r>
              <w:rPr>
                <w:spacing w:val="-8"/>
                <w:sz w:val="20"/>
              </w:rPr>
              <w:t> </w:t>
            </w:r>
            <w:r>
              <w:rPr>
                <w:sz w:val="20"/>
              </w:rPr>
              <w:t>es</w:t>
            </w:r>
            <w:r>
              <w:rPr>
                <w:spacing w:val="-10"/>
                <w:sz w:val="20"/>
              </w:rPr>
              <w:t> </w:t>
            </w:r>
            <w:r>
              <w:rPr>
                <w:sz w:val="20"/>
              </w:rPr>
              <w:t>el</w:t>
            </w:r>
            <w:r>
              <w:rPr>
                <w:spacing w:val="-11"/>
                <w:sz w:val="20"/>
              </w:rPr>
              <w:t> </w:t>
            </w:r>
            <w:r>
              <w:rPr>
                <w:sz w:val="20"/>
              </w:rPr>
              <w:t>módulo</w:t>
            </w:r>
            <w:r>
              <w:rPr>
                <w:spacing w:val="-11"/>
                <w:sz w:val="20"/>
              </w:rPr>
              <w:t> </w:t>
            </w:r>
            <w:r>
              <w:rPr>
                <w:sz w:val="20"/>
              </w:rPr>
              <w:t>de</w:t>
            </w:r>
            <w:r>
              <w:rPr>
                <w:spacing w:val="-9"/>
                <w:sz w:val="20"/>
              </w:rPr>
              <w:t> </w:t>
            </w:r>
            <w:r>
              <w:rPr>
                <w:sz w:val="20"/>
              </w:rPr>
              <w:t>la</w:t>
            </w:r>
            <w:r>
              <w:rPr>
                <w:spacing w:val="-11"/>
                <w:sz w:val="20"/>
              </w:rPr>
              <w:t> </w:t>
            </w:r>
            <w:r>
              <w:rPr>
                <w:sz w:val="20"/>
              </w:rPr>
              <w:t>herramienta</w:t>
            </w:r>
            <w:r>
              <w:rPr>
                <w:spacing w:val="-11"/>
                <w:sz w:val="20"/>
              </w:rPr>
              <w:t> </w:t>
            </w:r>
            <w:r>
              <w:rPr>
                <w:sz w:val="20"/>
              </w:rPr>
              <w:t>DELPHOS</w:t>
            </w:r>
            <w:r>
              <w:rPr>
                <w:spacing w:val="-11"/>
                <w:sz w:val="20"/>
              </w:rPr>
              <w:t> </w:t>
            </w:r>
            <w:r>
              <w:rPr>
                <w:sz w:val="20"/>
              </w:rPr>
              <w:t>que</w:t>
            </w:r>
            <w:r>
              <w:rPr>
                <w:spacing w:val="-11"/>
                <w:sz w:val="20"/>
              </w:rPr>
              <w:t> </w:t>
            </w:r>
            <w:r>
              <w:rPr>
                <w:sz w:val="20"/>
              </w:rPr>
              <w:t>se</w:t>
            </w:r>
            <w:r>
              <w:rPr>
                <w:spacing w:val="-9"/>
                <w:sz w:val="20"/>
              </w:rPr>
              <w:t> </w:t>
            </w:r>
            <w:r>
              <w:rPr>
                <w:sz w:val="20"/>
              </w:rPr>
              <w:t>implementa a nivel de IMAS para los procesos de Control Interno.</w:t>
            </w:r>
          </w:p>
          <w:p>
            <w:pPr>
              <w:pStyle w:val="TableParagraph"/>
              <w:ind w:left="68" w:right="68"/>
              <w:jc w:val="both"/>
              <w:rPr>
                <w:sz w:val="20"/>
              </w:rPr>
            </w:pPr>
            <w:r>
              <w:rPr>
                <w:sz w:val="20"/>
              </w:rPr>
              <w:t>instrumentos programáticos: Plan Operativo Institucional, Plan Operativo Gerencial Plan estratégico Institucional</w:t>
            </w:r>
          </w:p>
        </w:tc>
      </w:tr>
      <w:tr>
        <w:trPr>
          <w:trHeight w:val="477" w:hRule="atLeast"/>
        </w:trPr>
        <w:tc>
          <w:tcPr>
            <w:tcW w:w="3119" w:type="dxa"/>
            <w:shd w:val="clear" w:color="auto" w:fill="DCE6F0"/>
          </w:tcPr>
          <w:p>
            <w:pPr>
              <w:pStyle w:val="TableParagraph"/>
              <w:spacing w:before="122"/>
              <w:ind w:left="67"/>
              <w:rPr>
                <w:b/>
                <w:sz w:val="20"/>
              </w:rPr>
            </w:pPr>
            <w:r>
              <w:rPr>
                <w:b/>
                <w:spacing w:val="-2"/>
                <w:sz w:val="20"/>
              </w:rPr>
              <w:t>Desagregación:</w:t>
            </w:r>
          </w:p>
        </w:tc>
        <w:tc>
          <w:tcPr>
            <w:tcW w:w="7372" w:type="dxa"/>
          </w:tcPr>
          <w:p>
            <w:pPr>
              <w:pStyle w:val="TableParagraph"/>
              <w:spacing w:before="122"/>
              <w:ind w:left="68"/>
              <w:rPr>
                <w:sz w:val="20"/>
              </w:rPr>
            </w:pPr>
            <w:r>
              <w:rPr>
                <w:sz w:val="20"/>
              </w:rPr>
              <w:t>No</w:t>
            </w:r>
            <w:r>
              <w:rPr>
                <w:spacing w:val="-5"/>
                <w:sz w:val="20"/>
              </w:rPr>
              <w:t> </w:t>
            </w:r>
            <w:r>
              <w:rPr>
                <w:spacing w:val="-2"/>
                <w:sz w:val="20"/>
              </w:rPr>
              <w:t>aplica</w:t>
            </w:r>
          </w:p>
        </w:tc>
      </w:tr>
      <w:tr>
        <w:trPr>
          <w:trHeight w:val="412" w:hRule="atLeast"/>
        </w:trPr>
        <w:tc>
          <w:tcPr>
            <w:tcW w:w="3119" w:type="dxa"/>
            <w:shd w:val="clear" w:color="auto" w:fill="DCE6F0"/>
          </w:tcPr>
          <w:p>
            <w:pPr>
              <w:pStyle w:val="TableParagraph"/>
              <w:spacing w:before="90"/>
              <w:ind w:left="67"/>
              <w:rPr>
                <w:b/>
                <w:sz w:val="20"/>
              </w:rPr>
            </w:pPr>
            <w:r>
              <w:rPr>
                <w:b/>
                <w:spacing w:val="-2"/>
                <w:sz w:val="20"/>
              </w:rPr>
              <w:t>Meta:</w:t>
            </w:r>
          </w:p>
        </w:tc>
        <w:tc>
          <w:tcPr>
            <w:tcW w:w="7372" w:type="dxa"/>
          </w:tcPr>
          <w:p>
            <w:pPr>
              <w:pStyle w:val="TableParagraph"/>
              <w:spacing w:before="90"/>
              <w:ind w:left="68"/>
              <w:rPr>
                <w:sz w:val="20"/>
              </w:rPr>
            </w:pPr>
            <w:r>
              <w:rPr>
                <w:spacing w:val="-4"/>
                <w:sz w:val="20"/>
              </w:rPr>
              <w:t>100%</w:t>
            </w:r>
          </w:p>
        </w:tc>
      </w:tr>
      <w:tr>
        <w:trPr>
          <w:trHeight w:val="347" w:hRule="atLeast"/>
        </w:trPr>
        <w:tc>
          <w:tcPr>
            <w:tcW w:w="3119" w:type="dxa"/>
            <w:shd w:val="clear" w:color="auto" w:fill="DCE6F0"/>
          </w:tcPr>
          <w:p>
            <w:pPr>
              <w:pStyle w:val="TableParagraph"/>
              <w:spacing w:before="59"/>
              <w:ind w:left="67"/>
              <w:rPr>
                <w:b/>
                <w:sz w:val="20"/>
              </w:rPr>
            </w:pPr>
            <w:r>
              <w:rPr>
                <w:b/>
                <w:sz w:val="20"/>
              </w:rPr>
              <w:t>Línea</w:t>
            </w:r>
            <w:r>
              <w:rPr>
                <w:b/>
                <w:spacing w:val="-10"/>
                <w:sz w:val="20"/>
              </w:rPr>
              <w:t> </w:t>
            </w:r>
            <w:r>
              <w:rPr>
                <w:b/>
                <w:spacing w:val="-2"/>
                <w:sz w:val="20"/>
              </w:rPr>
              <w:t>Base:</w:t>
            </w:r>
          </w:p>
        </w:tc>
        <w:tc>
          <w:tcPr>
            <w:tcW w:w="7372" w:type="dxa"/>
          </w:tcPr>
          <w:p>
            <w:pPr>
              <w:pStyle w:val="TableParagraph"/>
              <w:spacing w:before="59"/>
              <w:ind w:left="68"/>
              <w:rPr>
                <w:sz w:val="20"/>
              </w:rPr>
            </w:pPr>
            <w:r>
              <w:rPr>
                <w:sz w:val="20"/>
              </w:rPr>
              <w:t>No</w:t>
            </w:r>
            <w:r>
              <w:rPr>
                <w:spacing w:val="-5"/>
                <w:sz w:val="20"/>
              </w:rPr>
              <w:t> </w:t>
            </w:r>
            <w:r>
              <w:rPr>
                <w:spacing w:val="-2"/>
                <w:sz w:val="20"/>
              </w:rPr>
              <w:t>aplica</w:t>
            </w:r>
          </w:p>
        </w:tc>
      </w:tr>
      <w:tr>
        <w:trPr>
          <w:trHeight w:val="614" w:hRule="atLeast"/>
        </w:trPr>
        <w:tc>
          <w:tcPr>
            <w:tcW w:w="3119" w:type="dxa"/>
            <w:shd w:val="clear" w:color="auto" w:fill="DCE6F0"/>
          </w:tcPr>
          <w:p>
            <w:pPr>
              <w:pStyle w:val="TableParagraph"/>
              <w:spacing w:before="7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372" w:type="dxa"/>
          </w:tcPr>
          <w:p>
            <w:pPr>
              <w:pStyle w:val="TableParagraph"/>
              <w:spacing w:before="191"/>
              <w:ind w:left="68"/>
              <w:rPr>
                <w:sz w:val="20"/>
              </w:rPr>
            </w:pPr>
            <w:r>
              <w:rPr>
                <w:spacing w:val="-2"/>
                <w:sz w:val="20"/>
              </w:rPr>
              <w:t>Semestral</w:t>
            </w:r>
          </w:p>
        </w:tc>
      </w:tr>
      <w:tr>
        <w:trPr>
          <w:trHeight w:val="474" w:hRule="atLeast"/>
        </w:trPr>
        <w:tc>
          <w:tcPr>
            <w:tcW w:w="3119" w:type="dxa"/>
            <w:vMerge w:val="restart"/>
            <w:shd w:val="clear" w:color="auto" w:fill="DCE6F0"/>
          </w:tcPr>
          <w:p>
            <w:pPr>
              <w:pStyle w:val="TableParagraph"/>
              <w:spacing w:before="16"/>
              <w:rPr>
                <w:b/>
                <w:sz w:val="20"/>
              </w:rPr>
            </w:pPr>
          </w:p>
          <w:p>
            <w:pPr>
              <w:pStyle w:val="TableParagraph"/>
              <w:ind w:left="67" w:right="657"/>
              <w:rPr>
                <w:b/>
                <w:sz w:val="20"/>
              </w:rPr>
            </w:pPr>
            <w:r>
              <w:rPr>
                <w:b/>
                <w:sz w:val="20"/>
              </w:rPr>
              <w:t>Responsable de la recopilación</w:t>
            </w:r>
            <w:r>
              <w:rPr>
                <w:b/>
                <w:spacing w:val="-14"/>
                <w:sz w:val="20"/>
              </w:rPr>
              <w:t> </w:t>
            </w:r>
            <w:r>
              <w:rPr>
                <w:b/>
                <w:sz w:val="20"/>
              </w:rPr>
              <w:t>información</w:t>
            </w:r>
          </w:p>
        </w:tc>
        <w:tc>
          <w:tcPr>
            <w:tcW w:w="7372" w:type="dxa"/>
          </w:tcPr>
          <w:p>
            <w:pPr>
              <w:pStyle w:val="TableParagraph"/>
              <w:spacing w:line="230" w:lineRule="atLeast"/>
              <w:ind w:left="68"/>
              <w:rPr>
                <w:sz w:val="20"/>
              </w:rPr>
            </w:pPr>
            <w:r>
              <w:rPr>
                <w:sz w:val="20"/>
              </w:rPr>
              <w:t>Nombre: Marta Isabel Brenes Bonilla, Johanna Solano Sequeira y Paola Flores </w:t>
            </w:r>
            <w:r>
              <w:rPr>
                <w:spacing w:val="-2"/>
                <w:sz w:val="20"/>
              </w:rPr>
              <w:t>Gonzalez</w:t>
            </w:r>
          </w:p>
        </w:tc>
      </w:tr>
      <w:tr>
        <w:trPr>
          <w:trHeight w:val="470" w:hRule="atLeast"/>
        </w:trPr>
        <w:tc>
          <w:tcPr>
            <w:tcW w:w="3119" w:type="dxa"/>
            <w:vMerge/>
            <w:tcBorders>
              <w:top w:val="nil"/>
            </w:tcBorders>
            <w:shd w:val="clear" w:color="auto" w:fill="DCE6F0"/>
          </w:tcPr>
          <w:p>
            <w:pPr>
              <w:rPr>
                <w:sz w:val="2"/>
                <w:szCs w:val="2"/>
              </w:rPr>
            </w:pPr>
          </w:p>
        </w:tc>
        <w:tc>
          <w:tcPr>
            <w:tcW w:w="7372" w:type="dxa"/>
          </w:tcPr>
          <w:p>
            <w:pPr>
              <w:pStyle w:val="TableParagraph"/>
              <w:spacing w:before="119"/>
              <w:ind w:left="68"/>
              <w:rPr>
                <w:sz w:val="20"/>
              </w:rPr>
            </w:pPr>
            <w:r>
              <w:rPr>
                <w:sz w:val="20"/>
              </w:rPr>
              <w:t>Cargo:</w:t>
            </w:r>
            <w:r>
              <w:rPr>
                <w:spacing w:val="-9"/>
                <w:sz w:val="20"/>
              </w:rPr>
              <w:t> </w:t>
            </w:r>
            <w:r>
              <w:rPr>
                <w:sz w:val="20"/>
              </w:rPr>
              <w:t>Profesional</w:t>
            </w:r>
            <w:r>
              <w:rPr>
                <w:spacing w:val="-10"/>
                <w:sz w:val="20"/>
              </w:rPr>
              <w:t> </w:t>
            </w:r>
            <w:r>
              <w:rPr>
                <w:sz w:val="20"/>
              </w:rPr>
              <w:t>en</w:t>
            </w:r>
            <w:r>
              <w:rPr>
                <w:spacing w:val="-10"/>
                <w:sz w:val="20"/>
              </w:rPr>
              <w:t> </w:t>
            </w:r>
            <w:r>
              <w:rPr>
                <w:sz w:val="20"/>
              </w:rPr>
              <w:t>Planificación</w:t>
            </w:r>
            <w:r>
              <w:rPr>
                <w:spacing w:val="-10"/>
                <w:sz w:val="20"/>
              </w:rPr>
              <w:t> </w:t>
            </w:r>
            <w:r>
              <w:rPr>
                <w:spacing w:val="-2"/>
                <w:sz w:val="20"/>
              </w:rPr>
              <w:t>Institucional</w:t>
            </w:r>
          </w:p>
        </w:tc>
      </w:tr>
      <w:tr>
        <w:trPr>
          <w:trHeight w:val="659" w:hRule="atLeast"/>
        </w:trPr>
        <w:tc>
          <w:tcPr>
            <w:tcW w:w="3119" w:type="dxa"/>
            <w:shd w:val="clear" w:color="auto" w:fill="DCE6F0"/>
          </w:tcPr>
          <w:p>
            <w:pPr>
              <w:pStyle w:val="TableParagraph"/>
              <w:spacing w:before="100"/>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372" w:type="dxa"/>
          </w:tcPr>
          <w:p>
            <w:pPr>
              <w:pStyle w:val="TableParagraph"/>
              <w:spacing w:before="215"/>
              <w:ind w:left="68"/>
              <w:rPr>
                <w:sz w:val="20"/>
              </w:rPr>
            </w:pPr>
            <w:r>
              <w:rPr>
                <w:spacing w:val="-2"/>
                <w:sz w:val="20"/>
              </w:rPr>
              <w:t>Planificación</w:t>
            </w:r>
            <w:r>
              <w:rPr>
                <w:spacing w:val="8"/>
                <w:sz w:val="20"/>
              </w:rPr>
              <w:t> </w:t>
            </w:r>
            <w:r>
              <w:rPr>
                <w:spacing w:val="-2"/>
                <w:sz w:val="20"/>
              </w:rPr>
              <w:t>Institucional</w:t>
            </w:r>
          </w:p>
        </w:tc>
      </w:tr>
      <w:tr>
        <w:trPr>
          <w:trHeight w:val="496" w:hRule="atLeast"/>
        </w:trPr>
        <w:tc>
          <w:tcPr>
            <w:tcW w:w="3119" w:type="dxa"/>
            <w:shd w:val="clear" w:color="auto" w:fill="DCE6F0"/>
          </w:tcPr>
          <w:p>
            <w:pPr>
              <w:pStyle w:val="TableParagraph"/>
              <w:spacing w:before="132"/>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372" w:type="dxa"/>
          </w:tcPr>
          <w:p>
            <w:pPr>
              <w:pStyle w:val="TableParagraph"/>
              <w:spacing w:before="132"/>
              <w:ind w:left="68"/>
              <w:rPr>
                <w:sz w:val="20"/>
              </w:rPr>
            </w:pPr>
            <w:r>
              <w:rPr>
                <w:sz w:val="20"/>
              </w:rPr>
              <w:t>Informes</w:t>
            </w:r>
            <w:r>
              <w:rPr>
                <w:spacing w:val="-7"/>
                <w:sz w:val="20"/>
              </w:rPr>
              <w:t> </w:t>
            </w:r>
            <w:r>
              <w:rPr>
                <w:spacing w:val="-2"/>
                <w:sz w:val="20"/>
              </w:rPr>
              <w:t>semestrales</w:t>
            </w:r>
          </w:p>
        </w:tc>
      </w:tr>
      <w:tr>
        <w:trPr>
          <w:trHeight w:val="417" w:hRule="atLeast"/>
        </w:trPr>
        <w:tc>
          <w:tcPr>
            <w:tcW w:w="3119" w:type="dxa"/>
            <w:shd w:val="clear" w:color="auto" w:fill="DCE6F0"/>
          </w:tcPr>
          <w:p>
            <w:pPr>
              <w:pStyle w:val="TableParagraph"/>
              <w:spacing w:before="93"/>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372" w:type="dxa"/>
          </w:tcPr>
          <w:p>
            <w:pPr>
              <w:pStyle w:val="TableParagraph"/>
              <w:spacing w:before="93"/>
              <w:ind w:left="68"/>
              <w:rPr>
                <w:sz w:val="20"/>
              </w:rPr>
            </w:pPr>
            <w:r>
              <w:rPr>
                <w:sz w:val="20"/>
              </w:rPr>
              <w:t>Módulos</w:t>
            </w:r>
            <w:r>
              <w:rPr>
                <w:spacing w:val="-8"/>
                <w:sz w:val="20"/>
              </w:rPr>
              <w:t> </w:t>
            </w:r>
            <w:r>
              <w:rPr>
                <w:sz w:val="20"/>
              </w:rPr>
              <w:t>Delphos</w:t>
            </w:r>
            <w:r>
              <w:rPr>
                <w:spacing w:val="-8"/>
                <w:sz w:val="20"/>
              </w:rPr>
              <w:t> </w:t>
            </w:r>
            <w:r>
              <w:rPr>
                <w:sz w:val="20"/>
              </w:rPr>
              <w:t>Net</w:t>
            </w:r>
            <w:r>
              <w:rPr>
                <w:spacing w:val="-8"/>
                <w:sz w:val="20"/>
              </w:rPr>
              <w:t> </w:t>
            </w:r>
            <w:r>
              <w:rPr>
                <w:sz w:val="20"/>
              </w:rPr>
              <w:t>y</w:t>
            </w:r>
            <w:r>
              <w:rPr>
                <w:spacing w:val="-7"/>
                <w:sz w:val="20"/>
              </w:rPr>
              <w:t> </w:t>
            </w:r>
            <w:r>
              <w:rPr>
                <w:sz w:val="20"/>
              </w:rPr>
              <w:t>Continuums</w:t>
            </w:r>
            <w:r>
              <w:rPr>
                <w:spacing w:val="-6"/>
                <w:sz w:val="20"/>
              </w:rPr>
              <w:t> </w:t>
            </w:r>
            <w:r>
              <w:rPr>
                <w:spacing w:val="-2"/>
                <w:sz w:val="20"/>
              </w:rPr>
              <w:t>operando.</w:t>
            </w:r>
          </w:p>
        </w:tc>
      </w:tr>
    </w:tbl>
    <w:p>
      <w:pPr>
        <w:pStyle w:val="TableParagraph"/>
        <w:spacing w:after="0"/>
        <w:rPr>
          <w:sz w:val="20"/>
        </w:rPr>
        <w:sectPr>
          <w:type w:val="continuous"/>
          <w:pgSz w:w="12240" w:h="15840"/>
          <w:pgMar w:header="0" w:footer="2082" w:top="1400" w:bottom="260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19"/>
        <w:gridCol w:w="7372"/>
      </w:tblGrid>
      <w:tr>
        <w:trPr>
          <w:trHeight w:val="698" w:hRule="atLeast"/>
        </w:trPr>
        <w:tc>
          <w:tcPr>
            <w:tcW w:w="3119" w:type="dxa"/>
            <w:shd w:val="clear" w:color="auto" w:fill="DCE6F0"/>
          </w:tcPr>
          <w:p>
            <w:pPr>
              <w:pStyle w:val="TableParagraph"/>
              <w:spacing w:before="5"/>
              <w:rPr>
                <w:b/>
                <w:sz w:val="20"/>
              </w:rPr>
            </w:pPr>
          </w:p>
          <w:p>
            <w:pPr>
              <w:pStyle w:val="TableParagraph"/>
              <w:ind w:left="67"/>
              <w:rPr>
                <w:b/>
                <w:sz w:val="20"/>
              </w:rPr>
            </w:pPr>
            <w:r>
              <w:rPr>
                <w:b/>
                <w:spacing w:val="-2"/>
                <w:sz w:val="20"/>
              </w:rPr>
              <w:t>Clasificación</w:t>
            </w:r>
          </w:p>
        </w:tc>
        <w:tc>
          <w:tcPr>
            <w:tcW w:w="7372" w:type="dxa"/>
          </w:tcPr>
          <w:p>
            <w:pPr>
              <w:pStyle w:val="TableParagraph"/>
              <w:spacing w:before="5"/>
              <w:rPr>
                <w:b/>
                <w:sz w:val="20"/>
              </w:rPr>
            </w:pPr>
          </w:p>
          <w:p>
            <w:pPr>
              <w:pStyle w:val="TableParagraph"/>
              <w:ind w:left="68"/>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561" w:hRule="atLeast"/>
        </w:trPr>
        <w:tc>
          <w:tcPr>
            <w:tcW w:w="3119" w:type="dxa"/>
            <w:shd w:val="clear" w:color="auto" w:fill="DCE6F0"/>
          </w:tcPr>
          <w:p>
            <w:pPr>
              <w:pStyle w:val="TableParagraph"/>
              <w:spacing w:before="165"/>
              <w:ind w:left="67"/>
              <w:rPr>
                <w:b/>
                <w:sz w:val="20"/>
              </w:rPr>
            </w:pPr>
            <w:r>
              <w:rPr>
                <w:b/>
                <w:spacing w:val="-2"/>
                <w:sz w:val="20"/>
              </w:rPr>
              <w:t>Comentarios</w:t>
            </w:r>
            <w:r>
              <w:rPr>
                <w:b/>
                <w:spacing w:val="6"/>
                <w:sz w:val="20"/>
              </w:rPr>
              <w:t> </w:t>
            </w:r>
            <w:r>
              <w:rPr>
                <w:b/>
                <w:spacing w:val="-2"/>
                <w:sz w:val="20"/>
              </w:rPr>
              <w:t>Generales</w:t>
            </w:r>
          </w:p>
        </w:tc>
        <w:tc>
          <w:tcPr>
            <w:tcW w:w="7372" w:type="dxa"/>
          </w:tcPr>
          <w:p>
            <w:pPr>
              <w:pStyle w:val="TableParagraph"/>
              <w:rPr>
                <w:rFonts w:ascii="Times New Roman"/>
                <w:sz w:val="20"/>
              </w:rPr>
            </w:pPr>
          </w:p>
        </w:tc>
      </w:tr>
    </w:tbl>
    <w:p>
      <w:pPr>
        <w:pStyle w:val="BodyText"/>
        <w:spacing w:before="19"/>
        <w:rPr>
          <w:b/>
          <w:sz w:val="24"/>
        </w:rPr>
      </w:pPr>
    </w:p>
    <w:p>
      <w:pPr>
        <w:spacing w:before="0"/>
        <w:ind w:left="840" w:right="0" w:firstLine="0"/>
        <w:jc w:val="left"/>
        <w:rPr>
          <w:b/>
          <w:sz w:val="24"/>
        </w:rPr>
      </w:pPr>
      <w:r>
        <w:rPr>
          <w:b/>
          <w:sz w:val="24"/>
        </w:rPr>
        <w:t>Unidad</w:t>
      </w:r>
      <w:r>
        <w:rPr>
          <w:b/>
          <w:spacing w:val="-3"/>
          <w:sz w:val="24"/>
        </w:rPr>
        <w:t> </w:t>
      </w:r>
      <w:r>
        <w:rPr>
          <w:b/>
          <w:sz w:val="24"/>
        </w:rPr>
        <w:t>de</w:t>
      </w:r>
      <w:r>
        <w:rPr>
          <w:b/>
          <w:spacing w:val="-2"/>
          <w:sz w:val="24"/>
        </w:rPr>
        <w:t> </w:t>
      </w:r>
      <w:r>
        <w:rPr>
          <w:b/>
          <w:sz w:val="24"/>
        </w:rPr>
        <w:t>Equidad</w:t>
      </w:r>
      <w:r>
        <w:rPr>
          <w:b/>
          <w:spacing w:val="-5"/>
          <w:sz w:val="24"/>
        </w:rPr>
        <w:t> </w:t>
      </w:r>
      <w:r>
        <w:rPr>
          <w:b/>
          <w:sz w:val="24"/>
        </w:rPr>
        <w:t>e</w:t>
      </w:r>
      <w:r>
        <w:rPr>
          <w:b/>
          <w:spacing w:val="-4"/>
          <w:sz w:val="24"/>
        </w:rPr>
        <w:t> </w:t>
      </w:r>
      <w:r>
        <w:rPr>
          <w:b/>
          <w:sz w:val="24"/>
        </w:rPr>
        <w:t>Igualdad</w:t>
      </w:r>
      <w:r>
        <w:rPr>
          <w:b/>
          <w:spacing w:val="-2"/>
          <w:sz w:val="24"/>
        </w:rPr>
        <w:t> </w:t>
      </w:r>
      <w:r>
        <w:rPr>
          <w:b/>
          <w:sz w:val="24"/>
        </w:rPr>
        <w:t>de</w:t>
      </w:r>
      <w:r>
        <w:rPr>
          <w:b/>
          <w:spacing w:val="-4"/>
          <w:sz w:val="24"/>
        </w:rPr>
        <w:t> </w:t>
      </w:r>
      <w:r>
        <w:rPr>
          <w:b/>
          <w:spacing w:val="-2"/>
          <w:sz w:val="24"/>
        </w:rPr>
        <w:t>Genero</w:t>
      </w:r>
    </w:p>
    <w:p>
      <w:pPr>
        <w:pStyle w:val="BodyText"/>
        <w:spacing w:before="45"/>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6"/>
      </w:tblGrid>
      <w:tr>
        <w:trPr>
          <w:trHeight w:val="585" w:hRule="atLeast"/>
        </w:trPr>
        <w:tc>
          <w:tcPr>
            <w:tcW w:w="2976" w:type="dxa"/>
            <w:shd w:val="clear" w:color="auto" w:fill="DCE6F0"/>
          </w:tcPr>
          <w:p>
            <w:pPr>
              <w:pStyle w:val="TableParagraph"/>
              <w:spacing w:before="177"/>
              <w:ind w:left="67"/>
              <w:rPr>
                <w:b/>
                <w:sz w:val="20"/>
              </w:rPr>
            </w:pPr>
            <w:r>
              <w:rPr>
                <w:b/>
                <w:sz w:val="20"/>
              </w:rPr>
              <w:t>PAC</w:t>
            </w:r>
            <w:r>
              <w:rPr>
                <w:b/>
                <w:spacing w:val="-8"/>
                <w:sz w:val="20"/>
              </w:rPr>
              <w:t> </w:t>
            </w:r>
            <w:r>
              <w:rPr>
                <w:b/>
                <w:spacing w:val="-2"/>
                <w:sz w:val="20"/>
              </w:rPr>
              <w:t>2.14.1:</w:t>
            </w:r>
          </w:p>
        </w:tc>
        <w:tc>
          <w:tcPr>
            <w:tcW w:w="7516" w:type="dxa"/>
          </w:tcPr>
          <w:p>
            <w:pPr>
              <w:pStyle w:val="TableParagraph"/>
              <w:spacing w:before="177"/>
              <w:ind w:left="125"/>
              <w:rPr>
                <w:sz w:val="20"/>
              </w:rPr>
            </w:pPr>
            <w:r>
              <w:rPr>
                <w:sz w:val="20"/>
              </w:rPr>
              <w:t>Nombre</w:t>
            </w:r>
            <w:r>
              <w:rPr>
                <w:spacing w:val="-9"/>
                <w:sz w:val="20"/>
              </w:rPr>
              <w:t> </w:t>
            </w:r>
            <w:r>
              <w:rPr>
                <w:sz w:val="20"/>
              </w:rPr>
              <w:t>del</w:t>
            </w:r>
            <w:r>
              <w:rPr>
                <w:spacing w:val="-9"/>
                <w:sz w:val="20"/>
              </w:rPr>
              <w:t> </w:t>
            </w:r>
            <w:r>
              <w:rPr>
                <w:sz w:val="20"/>
              </w:rPr>
              <w:t>Indicador:</w:t>
            </w:r>
            <w:r>
              <w:rPr>
                <w:spacing w:val="-9"/>
                <w:sz w:val="20"/>
              </w:rPr>
              <w:t> </w:t>
            </w:r>
            <w:r>
              <w:rPr>
                <w:sz w:val="20"/>
              </w:rPr>
              <w:t>Cantidad</w:t>
            </w:r>
            <w:r>
              <w:rPr>
                <w:spacing w:val="-9"/>
                <w:sz w:val="20"/>
              </w:rPr>
              <w:t> </w:t>
            </w:r>
            <w:r>
              <w:rPr>
                <w:sz w:val="20"/>
              </w:rPr>
              <w:t>de</w:t>
            </w:r>
            <w:r>
              <w:rPr>
                <w:spacing w:val="-8"/>
                <w:sz w:val="20"/>
              </w:rPr>
              <w:t> </w:t>
            </w:r>
            <w:r>
              <w:rPr>
                <w:sz w:val="20"/>
              </w:rPr>
              <w:t>acciones</w:t>
            </w:r>
            <w:r>
              <w:rPr>
                <w:spacing w:val="-8"/>
                <w:sz w:val="20"/>
              </w:rPr>
              <w:t> </w:t>
            </w:r>
            <w:r>
              <w:rPr>
                <w:sz w:val="20"/>
              </w:rPr>
              <w:t>de</w:t>
            </w:r>
            <w:r>
              <w:rPr>
                <w:spacing w:val="-8"/>
                <w:sz w:val="20"/>
              </w:rPr>
              <w:t> </w:t>
            </w:r>
            <w:r>
              <w:rPr>
                <w:sz w:val="20"/>
              </w:rPr>
              <w:t>seguimiento</w:t>
            </w:r>
            <w:r>
              <w:rPr>
                <w:spacing w:val="-8"/>
                <w:sz w:val="20"/>
              </w:rPr>
              <w:t> </w:t>
            </w:r>
            <w:r>
              <w:rPr>
                <w:spacing w:val="-2"/>
                <w:sz w:val="20"/>
              </w:rPr>
              <w:t>ejecutadas</w:t>
            </w:r>
          </w:p>
        </w:tc>
      </w:tr>
      <w:tr>
        <w:trPr>
          <w:trHeight w:val="690" w:hRule="atLeast"/>
        </w:trPr>
        <w:tc>
          <w:tcPr>
            <w:tcW w:w="2976" w:type="dxa"/>
            <w:shd w:val="clear" w:color="auto" w:fill="DCE6F0"/>
          </w:tcPr>
          <w:p>
            <w:pPr>
              <w:pStyle w:val="TableParagraph"/>
              <w:spacing w:before="230"/>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6" w:type="dxa"/>
          </w:tcPr>
          <w:p>
            <w:pPr>
              <w:pStyle w:val="TableParagraph"/>
              <w:spacing w:before="114"/>
              <w:ind w:left="70"/>
              <w:rPr>
                <w:sz w:val="20"/>
              </w:rPr>
            </w:pPr>
            <w:r>
              <w:rPr>
                <w:sz w:val="20"/>
              </w:rPr>
              <w:t>Conteo</w:t>
            </w:r>
            <w:r>
              <w:rPr>
                <w:spacing w:val="-4"/>
                <w:sz w:val="20"/>
              </w:rPr>
              <w:t> </w:t>
            </w:r>
            <w:r>
              <w:rPr>
                <w:sz w:val="20"/>
              </w:rPr>
              <w:t>de</w:t>
            </w:r>
            <w:r>
              <w:rPr>
                <w:spacing w:val="-4"/>
                <w:sz w:val="20"/>
              </w:rPr>
              <w:t> </w:t>
            </w:r>
            <w:r>
              <w:rPr>
                <w:sz w:val="20"/>
              </w:rPr>
              <w:t>la</w:t>
            </w:r>
            <w:r>
              <w:rPr>
                <w:spacing w:val="-4"/>
                <w:sz w:val="20"/>
              </w:rPr>
              <w:t> </w:t>
            </w:r>
            <w:r>
              <w:rPr>
                <w:sz w:val="20"/>
              </w:rPr>
              <w:t>cantidad</w:t>
            </w:r>
            <w:r>
              <w:rPr>
                <w:spacing w:val="-5"/>
                <w:sz w:val="20"/>
              </w:rPr>
              <w:t> </w:t>
            </w:r>
            <w:r>
              <w:rPr>
                <w:sz w:val="20"/>
              </w:rPr>
              <w:t>de</w:t>
            </w:r>
            <w:r>
              <w:rPr>
                <w:spacing w:val="-4"/>
                <w:sz w:val="20"/>
              </w:rPr>
              <w:t> </w:t>
            </w:r>
            <w:r>
              <w:rPr>
                <w:sz w:val="20"/>
              </w:rPr>
              <w:t>acciones</w:t>
            </w:r>
            <w:r>
              <w:rPr>
                <w:spacing w:val="-3"/>
                <w:sz w:val="20"/>
              </w:rPr>
              <w:t> </w:t>
            </w:r>
            <w:r>
              <w:rPr>
                <w:sz w:val="20"/>
              </w:rPr>
              <w:t>de</w:t>
            </w:r>
            <w:r>
              <w:rPr>
                <w:spacing w:val="-2"/>
                <w:sz w:val="20"/>
              </w:rPr>
              <w:t> </w:t>
            </w:r>
            <w:r>
              <w:rPr>
                <w:sz w:val="20"/>
              </w:rPr>
              <w:t>seguimiento</w:t>
            </w:r>
            <w:r>
              <w:rPr>
                <w:spacing w:val="-1"/>
                <w:sz w:val="20"/>
              </w:rPr>
              <w:t> </w:t>
            </w:r>
            <w:r>
              <w:rPr>
                <w:sz w:val="20"/>
              </w:rPr>
              <w:t>a</w:t>
            </w:r>
            <w:r>
              <w:rPr>
                <w:spacing w:val="-2"/>
                <w:sz w:val="20"/>
              </w:rPr>
              <w:t> </w:t>
            </w:r>
            <w:r>
              <w:rPr>
                <w:sz w:val="20"/>
              </w:rPr>
              <w:t>los</w:t>
            </w:r>
            <w:r>
              <w:rPr>
                <w:spacing w:val="-3"/>
                <w:sz w:val="20"/>
              </w:rPr>
              <w:t> </w:t>
            </w:r>
            <w:r>
              <w:rPr>
                <w:sz w:val="20"/>
              </w:rPr>
              <w:t>compromisos</w:t>
            </w:r>
            <w:r>
              <w:rPr>
                <w:spacing w:val="-3"/>
                <w:sz w:val="20"/>
              </w:rPr>
              <w:t> </w:t>
            </w:r>
            <w:r>
              <w:rPr>
                <w:sz w:val="20"/>
              </w:rPr>
              <w:t>del</w:t>
            </w:r>
            <w:r>
              <w:rPr>
                <w:spacing w:val="-5"/>
                <w:sz w:val="20"/>
              </w:rPr>
              <w:t> </w:t>
            </w:r>
            <w:r>
              <w:rPr>
                <w:sz w:val="20"/>
              </w:rPr>
              <w:t>IMAS</w:t>
            </w:r>
            <w:r>
              <w:rPr>
                <w:spacing w:val="-2"/>
                <w:sz w:val="20"/>
              </w:rPr>
              <w:t> </w:t>
            </w:r>
            <w:r>
              <w:rPr>
                <w:sz w:val="20"/>
              </w:rPr>
              <w:t>en los Ejes estructurales de PIEG y PLANOVI.</w:t>
            </w:r>
          </w:p>
        </w:tc>
      </w:tr>
      <w:tr>
        <w:trPr>
          <w:trHeight w:val="547" w:hRule="atLeast"/>
        </w:trPr>
        <w:tc>
          <w:tcPr>
            <w:tcW w:w="2976" w:type="dxa"/>
            <w:shd w:val="clear" w:color="auto" w:fill="DCE6F0"/>
          </w:tcPr>
          <w:p>
            <w:pPr>
              <w:pStyle w:val="TableParagraph"/>
              <w:spacing w:before="158"/>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6" w:type="dxa"/>
          </w:tcPr>
          <w:p>
            <w:pPr>
              <w:pStyle w:val="TableParagraph"/>
              <w:spacing w:before="158"/>
              <w:ind w:left="70"/>
              <w:rPr>
                <w:sz w:val="20"/>
              </w:rPr>
            </w:pPr>
            <w:r>
              <w:rPr>
                <w:spacing w:val="-2"/>
                <w:sz w:val="20"/>
              </w:rPr>
              <w:t>Cantidad.</w:t>
            </w:r>
          </w:p>
        </w:tc>
      </w:tr>
      <w:tr>
        <w:trPr>
          <w:trHeight w:val="870" w:hRule="atLeast"/>
        </w:trPr>
        <w:tc>
          <w:tcPr>
            <w:tcW w:w="2976" w:type="dxa"/>
            <w:shd w:val="clear" w:color="auto" w:fill="DCE6F0"/>
          </w:tcPr>
          <w:p>
            <w:pPr>
              <w:pStyle w:val="TableParagraph"/>
              <w:spacing w:before="91"/>
              <w:rPr>
                <w:b/>
                <w:sz w:val="20"/>
              </w:rPr>
            </w:pPr>
          </w:p>
          <w:p>
            <w:pPr>
              <w:pStyle w:val="TableParagraph"/>
              <w:ind w:left="67"/>
              <w:rPr>
                <w:b/>
                <w:sz w:val="20"/>
              </w:rPr>
            </w:pPr>
            <w:r>
              <w:rPr>
                <w:b/>
                <w:spacing w:val="-2"/>
                <w:sz w:val="20"/>
              </w:rPr>
              <w:t>Interpretación:</w:t>
            </w:r>
          </w:p>
        </w:tc>
        <w:tc>
          <w:tcPr>
            <w:tcW w:w="7516" w:type="dxa"/>
          </w:tcPr>
          <w:p>
            <w:pPr>
              <w:pStyle w:val="TableParagraph"/>
              <w:spacing w:before="206"/>
              <w:ind w:left="70"/>
              <w:rPr>
                <w:sz w:val="20"/>
              </w:rPr>
            </w:pPr>
            <w:r>
              <w:rPr>
                <w:sz w:val="20"/>
              </w:rPr>
              <w:t>Cantidad</w:t>
            </w:r>
            <w:r>
              <w:rPr>
                <w:spacing w:val="-6"/>
                <w:sz w:val="20"/>
              </w:rPr>
              <w:t> </w:t>
            </w:r>
            <w:r>
              <w:rPr>
                <w:sz w:val="20"/>
              </w:rPr>
              <w:t>de</w:t>
            </w:r>
            <w:r>
              <w:rPr>
                <w:spacing w:val="-4"/>
                <w:sz w:val="20"/>
              </w:rPr>
              <w:t> </w:t>
            </w:r>
            <w:r>
              <w:rPr>
                <w:sz w:val="20"/>
              </w:rPr>
              <w:t>acciones</w:t>
            </w:r>
            <w:r>
              <w:rPr>
                <w:spacing w:val="-5"/>
                <w:sz w:val="20"/>
              </w:rPr>
              <w:t> </w:t>
            </w:r>
            <w:r>
              <w:rPr>
                <w:sz w:val="20"/>
              </w:rPr>
              <w:t>ejecutadas</w:t>
            </w:r>
            <w:r>
              <w:rPr>
                <w:spacing w:val="-5"/>
                <w:sz w:val="20"/>
              </w:rPr>
              <w:t> </w:t>
            </w:r>
            <w:r>
              <w:rPr>
                <w:sz w:val="20"/>
              </w:rPr>
              <w:t>para</w:t>
            </w:r>
            <w:r>
              <w:rPr>
                <w:spacing w:val="-4"/>
                <w:sz w:val="20"/>
              </w:rPr>
              <w:t> </w:t>
            </w:r>
            <w:r>
              <w:rPr>
                <w:sz w:val="20"/>
              </w:rPr>
              <w:t>dar</w:t>
            </w:r>
            <w:r>
              <w:rPr>
                <w:spacing w:val="-5"/>
                <w:sz w:val="20"/>
              </w:rPr>
              <w:t> </w:t>
            </w:r>
            <w:r>
              <w:rPr>
                <w:sz w:val="20"/>
              </w:rPr>
              <w:t>seguimiento</w:t>
            </w:r>
            <w:r>
              <w:rPr>
                <w:spacing w:val="-6"/>
                <w:sz w:val="20"/>
              </w:rPr>
              <w:t> </w:t>
            </w:r>
            <w:r>
              <w:rPr>
                <w:sz w:val="20"/>
              </w:rPr>
              <w:t>al</w:t>
            </w:r>
            <w:r>
              <w:rPr>
                <w:spacing w:val="-5"/>
                <w:sz w:val="20"/>
              </w:rPr>
              <w:t> </w:t>
            </w:r>
            <w:r>
              <w:rPr>
                <w:sz w:val="20"/>
              </w:rPr>
              <w:t>cumplimiento</w:t>
            </w:r>
            <w:r>
              <w:rPr>
                <w:spacing w:val="-4"/>
                <w:sz w:val="20"/>
              </w:rPr>
              <w:t> </w:t>
            </w:r>
            <w:r>
              <w:rPr>
                <w:sz w:val="20"/>
              </w:rPr>
              <w:t>de</w:t>
            </w:r>
            <w:r>
              <w:rPr>
                <w:spacing w:val="-5"/>
                <w:sz w:val="20"/>
              </w:rPr>
              <w:t> </w:t>
            </w:r>
            <w:r>
              <w:rPr>
                <w:sz w:val="20"/>
              </w:rPr>
              <w:t>los</w:t>
            </w:r>
            <w:r>
              <w:rPr>
                <w:spacing w:val="-3"/>
                <w:sz w:val="20"/>
              </w:rPr>
              <w:t> </w:t>
            </w:r>
            <w:r>
              <w:rPr>
                <w:sz w:val="20"/>
              </w:rPr>
              <w:t>Ejes estructurales de PIEG y PLANOVI.</w:t>
            </w:r>
          </w:p>
        </w:tc>
      </w:tr>
      <w:tr>
        <w:trPr>
          <w:trHeight w:val="410" w:hRule="atLeast"/>
        </w:trPr>
        <w:tc>
          <w:tcPr>
            <w:tcW w:w="2976" w:type="dxa"/>
            <w:shd w:val="clear" w:color="auto" w:fill="DCE6F0"/>
          </w:tcPr>
          <w:p>
            <w:pPr>
              <w:pStyle w:val="TableParagraph"/>
              <w:spacing w:before="90"/>
              <w:ind w:left="67"/>
              <w:rPr>
                <w:b/>
                <w:sz w:val="20"/>
              </w:rPr>
            </w:pPr>
            <w:r>
              <w:rPr>
                <w:b/>
                <w:spacing w:val="-2"/>
                <w:sz w:val="20"/>
              </w:rPr>
              <w:t>Desagregación:</w:t>
            </w:r>
          </w:p>
        </w:tc>
        <w:tc>
          <w:tcPr>
            <w:tcW w:w="7516" w:type="dxa"/>
          </w:tcPr>
          <w:p>
            <w:pPr>
              <w:pStyle w:val="TableParagraph"/>
              <w:spacing w:before="90"/>
              <w:ind w:left="70"/>
              <w:rPr>
                <w:sz w:val="20"/>
              </w:rPr>
            </w:pPr>
            <w:r>
              <w:rPr>
                <w:sz w:val="20"/>
              </w:rPr>
              <w:t>No</w:t>
            </w:r>
            <w:r>
              <w:rPr>
                <w:spacing w:val="-5"/>
                <w:sz w:val="20"/>
              </w:rPr>
              <w:t> </w:t>
            </w:r>
            <w:r>
              <w:rPr>
                <w:spacing w:val="-2"/>
                <w:sz w:val="20"/>
              </w:rPr>
              <w:t>aplica</w:t>
            </w:r>
          </w:p>
        </w:tc>
      </w:tr>
      <w:tr>
        <w:trPr>
          <w:trHeight w:val="261" w:hRule="atLeast"/>
        </w:trPr>
        <w:tc>
          <w:tcPr>
            <w:tcW w:w="2976" w:type="dxa"/>
            <w:shd w:val="clear" w:color="auto" w:fill="DCE6F0"/>
          </w:tcPr>
          <w:p>
            <w:pPr>
              <w:pStyle w:val="TableParagraph"/>
              <w:spacing w:line="225" w:lineRule="exact" w:before="16"/>
              <w:ind w:left="67"/>
              <w:rPr>
                <w:b/>
                <w:sz w:val="20"/>
              </w:rPr>
            </w:pPr>
            <w:r>
              <w:rPr>
                <w:b/>
                <w:spacing w:val="-2"/>
                <w:sz w:val="20"/>
              </w:rPr>
              <w:t>Meta:</w:t>
            </w:r>
          </w:p>
        </w:tc>
        <w:tc>
          <w:tcPr>
            <w:tcW w:w="7516" w:type="dxa"/>
          </w:tcPr>
          <w:p>
            <w:pPr>
              <w:pStyle w:val="TableParagraph"/>
              <w:spacing w:line="225" w:lineRule="exact" w:before="16"/>
              <w:ind w:left="70"/>
              <w:rPr>
                <w:sz w:val="20"/>
              </w:rPr>
            </w:pPr>
            <w:r>
              <w:rPr>
                <w:spacing w:val="-5"/>
                <w:sz w:val="20"/>
              </w:rPr>
              <w:t>16</w:t>
            </w:r>
          </w:p>
        </w:tc>
      </w:tr>
      <w:tr>
        <w:trPr>
          <w:trHeight w:val="498" w:hRule="atLeast"/>
        </w:trPr>
        <w:tc>
          <w:tcPr>
            <w:tcW w:w="2976" w:type="dxa"/>
            <w:shd w:val="clear" w:color="auto" w:fill="DCE6F0"/>
          </w:tcPr>
          <w:p>
            <w:pPr>
              <w:pStyle w:val="TableParagraph"/>
              <w:spacing w:before="134"/>
              <w:ind w:left="67"/>
              <w:rPr>
                <w:b/>
                <w:sz w:val="20"/>
              </w:rPr>
            </w:pPr>
            <w:r>
              <w:rPr>
                <w:b/>
                <w:sz w:val="20"/>
              </w:rPr>
              <w:t>Línea</w:t>
            </w:r>
            <w:r>
              <w:rPr>
                <w:b/>
                <w:spacing w:val="-10"/>
                <w:sz w:val="20"/>
              </w:rPr>
              <w:t> </w:t>
            </w:r>
            <w:r>
              <w:rPr>
                <w:b/>
                <w:spacing w:val="-2"/>
                <w:sz w:val="20"/>
              </w:rPr>
              <w:t>Base:</w:t>
            </w:r>
          </w:p>
        </w:tc>
        <w:tc>
          <w:tcPr>
            <w:tcW w:w="7516" w:type="dxa"/>
          </w:tcPr>
          <w:p>
            <w:pPr>
              <w:pStyle w:val="TableParagraph"/>
              <w:spacing w:before="134"/>
              <w:ind w:left="70"/>
              <w:rPr>
                <w:sz w:val="20"/>
              </w:rPr>
            </w:pPr>
            <w:r>
              <w:rPr>
                <w:spacing w:val="-5"/>
                <w:sz w:val="20"/>
              </w:rPr>
              <w:t>16</w:t>
            </w:r>
          </w:p>
        </w:tc>
      </w:tr>
      <w:tr>
        <w:trPr>
          <w:trHeight w:val="482" w:hRule="atLeast"/>
        </w:trPr>
        <w:tc>
          <w:tcPr>
            <w:tcW w:w="2976" w:type="dxa"/>
            <w:shd w:val="clear" w:color="auto" w:fill="DCE6F0"/>
          </w:tcPr>
          <w:p>
            <w:pPr>
              <w:pStyle w:val="TableParagraph"/>
              <w:spacing w:line="228" w:lineRule="exact" w:before="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6" w:type="dxa"/>
          </w:tcPr>
          <w:p>
            <w:pPr>
              <w:pStyle w:val="TableParagraph"/>
              <w:spacing w:before="126"/>
              <w:ind w:left="70"/>
              <w:rPr>
                <w:sz w:val="20"/>
              </w:rPr>
            </w:pPr>
            <w:r>
              <w:rPr>
                <w:spacing w:val="-4"/>
                <w:sz w:val="20"/>
              </w:rPr>
              <w:t>Anual</w:t>
            </w:r>
          </w:p>
        </w:tc>
      </w:tr>
      <w:tr>
        <w:trPr>
          <w:trHeight w:val="510" w:hRule="atLeast"/>
        </w:trPr>
        <w:tc>
          <w:tcPr>
            <w:tcW w:w="2976" w:type="dxa"/>
            <w:shd w:val="clear" w:color="auto" w:fill="DCE6F0"/>
          </w:tcPr>
          <w:p>
            <w:pPr>
              <w:pStyle w:val="TableParagraph"/>
              <w:spacing w:before="26"/>
              <w:ind w:left="67" w:right="448"/>
              <w:rPr>
                <w:b/>
                <w:sz w:val="20"/>
              </w:rPr>
            </w:pPr>
            <w:r>
              <w:rPr>
                <w:b/>
                <w:sz w:val="20"/>
              </w:rPr>
              <w:t>Responsable de la recopilación</w:t>
            </w:r>
            <w:r>
              <w:rPr>
                <w:b/>
                <w:spacing w:val="-14"/>
                <w:sz w:val="20"/>
              </w:rPr>
              <w:t> </w:t>
            </w:r>
            <w:r>
              <w:rPr>
                <w:b/>
                <w:sz w:val="20"/>
              </w:rPr>
              <w:t>información:</w:t>
            </w:r>
          </w:p>
        </w:tc>
        <w:tc>
          <w:tcPr>
            <w:tcW w:w="7516" w:type="dxa"/>
          </w:tcPr>
          <w:p>
            <w:pPr>
              <w:pStyle w:val="TableParagraph"/>
              <w:spacing w:before="26"/>
              <w:ind w:left="70" w:right="1864"/>
              <w:rPr>
                <w:sz w:val="20"/>
              </w:rPr>
            </w:pPr>
            <w:r>
              <w:rPr>
                <w:sz w:val="20"/>
              </w:rPr>
              <w:t>Génesis Charpantier Alvarado, Jefatura a.i. de la UEIG. Rosibel</w:t>
            </w:r>
            <w:r>
              <w:rPr>
                <w:spacing w:val="-8"/>
                <w:sz w:val="20"/>
              </w:rPr>
              <w:t> </w:t>
            </w:r>
            <w:r>
              <w:rPr>
                <w:sz w:val="20"/>
              </w:rPr>
              <w:t>Robles</w:t>
            </w:r>
            <w:r>
              <w:rPr>
                <w:spacing w:val="-6"/>
                <w:sz w:val="20"/>
              </w:rPr>
              <w:t> </w:t>
            </w:r>
            <w:r>
              <w:rPr>
                <w:sz w:val="20"/>
              </w:rPr>
              <w:t>Delgado,</w:t>
            </w:r>
            <w:r>
              <w:rPr>
                <w:spacing w:val="-5"/>
                <w:sz w:val="20"/>
              </w:rPr>
              <w:t> </w:t>
            </w:r>
            <w:r>
              <w:rPr>
                <w:sz w:val="20"/>
              </w:rPr>
              <w:t>Profesional</w:t>
            </w:r>
            <w:r>
              <w:rPr>
                <w:spacing w:val="-6"/>
                <w:sz w:val="20"/>
              </w:rPr>
              <w:t> </w:t>
            </w:r>
            <w:r>
              <w:rPr>
                <w:sz w:val="20"/>
              </w:rPr>
              <w:t>Asesora</w:t>
            </w:r>
            <w:r>
              <w:rPr>
                <w:spacing w:val="-5"/>
                <w:sz w:val="20"/>
              </w:rPr>
              <w:t> </w:t>
            </w:r>
            <w:r>
              <w:rPr>
                <w:sz w:val="20"/>
              </w:rPr>
              <w:t>de</w:t>
            </w:r>
            <w:r>
              <w:rPr>
                <w:spacing w:val="-6"/>
                <w:sz w:val="20"/>
              </w:rPr>
              <w:t> </w:t>
            </w:r>
            <w:r>
              <w:rPr>
                <w:sz w:val="20"/>
              </w:rPr>
              <w:t>la</w:t>
            </w:r>
            <w:r>
              <w:rPr>
                <w:spacing w:val="-7"/>
                <w:sz w:val="20"/>
              </w:rPr>
              <w:t> </w:t>
            </w:r>
            <w:r>
              <w:rPr>
                <w:sz w:val="20"/>
              </w:rPr>
              <w:t>UEIG.</w:t>
            </w:r>
          </w:p>
        </w:tc>
      </w:tr>
      <w:tr>
        <w:trPr>
          <w:trHeight w:val="842" w:hRule="atLeast"/>
        </w:trPr>
        <w:tc>
          <w:tcPr>
            <w:tcW w:w="2976" w:type="dxa"/>
            <w:shd w:val="clear" w:color="auto" w:fill="DCE6F0"/>
          </w:tcPr>
          <w:p>
            <w:pPr>
              <w:pStyle w:val="TableParagraph"/>
              <w:spacing w:before="192"/>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6" w:type="dxa"/>
          </w:tcPr>
          <w:p>
            <w:pPr>
              <w:pStyle w:val="TableParagraph"/>
              <w:spacing w:before="77"/>
              <w:rPr>
                <w:b/>
                <w:sz w:val="20"/>
              </w:rPr>
            </w:pPr>
          </w:p>
          <w:p>
            <w:pPr>
              <w:pStyle w:val="TableParagraph"/>
              <w:ind w:left="70"/>
              <w:rPr>
                <w:sz w:val="20"/>
              </w:rPr>
            </w:pPr>
            <w:r>
              <w:rPr>
                <w:sz w:val="20"/>
              </w:rPr>
              <w:t>Unidad</w:t>
            </w:r>
            <w:r>
              <w:rPr>
                <w:spacing w:val="-7"/>
                <w:sz w:val="20"/>
              </w:rPr>
              <w:t> </w:t>
            </w:r>
            <w:r>
              <w:rPr>
                <w:sz w:val="20"/>
              </w:rPr>
              <w:t>de</w:t>
            </w:r>
            <w:r>
              <w:rPr>
                <w:spacing w:val="-7"/>
                <w:sz w:val="20"/>
              </w:rPr>
              <w:t> </w:t>
            </w:r>
            <w:r>
              <w:rPr>
                <w:sz w:val="20"/>
              </w:rPr>
              <w:t>Equidad</w:t>
            </w:r>
            <w:r>
              <w:rPr>
                <w:spacing w:val="-8"/>
                <w:sz w:val="20"/>
              </w:rPr>
              <w:t> </w:t>
            </w:r>
            <w:r>
              <w:rPr>
                <w:sz w:val="20"/>
              </w:rPr>
              <w:t>e</w:t>
            </w:r>
            <w:r>
              <w:rPr>
                <w:spacing w:val="-6"/>
                <w:sz w:val="20"/>
              </w:rPr>
              <w:t> </w:t>
            </w:r>
            <w:r>
              <w:rPr>
                <w:sz w:val="20"/>
              </w:rPr>
              <w:t>Igualdad</w:t>
            </w:r>
            <w:r>
              <w:rPr>
                <w:spacing w:val="-6"/>
                <w:sz w:val="20"/>
              </w:rPr>
              <w:t> </w:t>
            </w:r>
            <w:r>
              <w:rPr>
                <w:sz w:val="20"/>
              </w:rPr>
              <w:t>de</w:t>
            </w:r>
            <w:r>
              <w:rPr>
                <w:spacing w:val="-8"/>
                <w:sz w:val="20"/>
              </w:rPr>
              <w:t> </w:t>
            </w:r>
            <w:r>
              <w:rPr>
                <w:spacing w:val="-2"/>
                <w:sz w:val="20"/>
              </w:rPr>
              <w:t>Género.</w:t>
            </w:r>
          </w:p>
        </w:tc>
      </w:tr>
      <w:tr>
        <w:trPr>
          <w:trHeight w:val="705" w:hRule="atLeast"/>
        </w:trPr>
        <w:tc>
          <w:tcPr>
            <w:tcW w:w="2976" w:type="dxa"/>
            <w:shd w:val="clear" w:color="auto" w:fill="DCE6F0"/>
          </w:tcPr>
          <w:p>
            <w:pPr>
              <w:pStyle w:val="TableParagraph"/>
              <w:spacing w:before="7"/>
              <w:rPr>
                <w:b/>
                <w:sz w:val="20"/>
              </w:rPr>
            </w:pPr>
          </w:p>
          <w:p>
            <w:pPr>
              <w:pStyle w:val="TableParagraph"/>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6" w:type="dxa"/>
          </w:tcPr>
          <w:p>
            <w:pPr>
              <w:pStyle w:val="TableParagraph"/>
              <w:spacing w:before="7"/>
              <w:rPr>
                <w:b/>
                <w:sz w:val="20"/>
              </w:rPr>
            </w:pPr>
          </w:p>
          <w:p>
            <w:pPr>
              <w:pStyle w:val="TableParagraph"/>
              <w:ind w:left="70"/>
              <w:rPr>
                <w:sz w:val="20"/>
              </w:rPr>
            </w:pPr>
            <w:r>
              <w:rPr>
                <w:sz w:val="20"/>
              </w:rPr>
              <w:t>Unidad</w:t>
            </w:r>
            <w:r>
              <w:rPr>
                <w:spacing w:val="-7"/>
                <w:sz w:val="20"/>
              </w:rPr>
              <w:t> </w:t>
            </w:r>
            <w:r>
              <w:rPr>
                <w:sz w:val="20"/>
              </w:rPr>
              <w:t>de</w:t>
            </w:r>
            <w:r>
              <w:rPr>
                <w:spacing w:val="-7"/>
                <w:sz w:val="20"/>
              </w:rPr>
              <w:t> </w:t>
            </w:r>
            <w:r>
              <w:rPr>
                <w:sz w:val="20"/>
              </w:rPr>
              <w:t>Equidad</w:t>
            </w:r>
            <w:r>
              <w:rPr>
                <w:spacing w:val="-8"/>
                <w:sz w:val="20"/>
              </w:rPr>
              <w:t> </w:t>
            </w:r>
            <w:r>
              <w:rPr>
                <w:sz w:val="20"/>
              </w:rPr>
              <w:t>e</w:t>
            </w:r>
            <w:r>
              <w:rPr>
                <w:spacing w:val="-6"/>
                <w:sz w:val="20"/>
              </w:rPr>
              <w:t> </w:t>
            </w:r>
            <w:r>
              <w:rPr>
                <w:sz w:val="20"/>
              </w:rPr>
              <w:t>Igualdad</w:t>
            </w:r>
            <w:r>
              <w:rPr>
                <w:spacing w:val="-6"/>
                <w:sz w:val="20"/>
              </w:rPr>
              <w:t> </w:t>
            </w:r>
            <w:r>
              <w:rPr>
                <w:sz w:val="20"/>
              </w:rPr>
              <w:t>de</w:t>
            </w:r>
            <w:r>
              <w:rPr>
                <w:spacing w:val="-8"/>
                <w:sz w:val="20"/>
              </w:rPr>
              <w:t> </w:t>
            </w:r>
            <w:r>
              <w:rPr>
                <w:spacing w:val="-2"/>
                <w:sz w:val="20"/>
              </w:rPr>
              <w:t>Género.</w:t>
            </w:r>
          </w:p>
        </w:tc>
      </w:tr>
      <w:tr>
        <w:trPr>
          <w:trHeight w:val="705" w:hRule="atLeast"/>
        </w:trPr>
        <w:tc>
          <w:tcPr>
            <w:tcW w:w="2976" w:type="dxa"/>
            <w:shd w:val="clear" w:color="auto" w:fill="DCE6F0"/>
          </w:tcPr>
          <w:p>
            <w:pPr>
              <w:pStyle w:val="TableParagraph"/>
              <w:spacing w:before="7"/>
              <w:rPr>
                <w:b/>
                <w:sz w:val="20"/>
              </w:rPr>
            </w:pPr>
          </w:p>
          <w:p>
            <w:pPr>
              <w:pStyle w:val="TableParagraph"/>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6" w:type="dxa"/>
          </w:tcPr>
          <w:p>
            <w:pPr>
              <w:pStyle w:val="TableParagraph"/>
              <w:spacing w:before="122"/>
              <w:ind w:left="70"/>
              <w:rPr>
                <w:sz w:val="20"/>
              </w:rPr>
            </w:pPr>
            <w:r>
              <w:rPr>
                <w:sz w:val="20"/>
              </w:rPr>
              <w:t>Oficios,</w:t>
            </w:r>
            <w:r>
              <w:rPr>
                <w:spacing w:val="-6"/>
                <w:sz w:val="20"/>
              </w:rPr>
              <w:t> </w:t>
            </w:r>
            <w:r>
              <w:rPr>
                <w:sz w:val="20"/>
              </w:rPr>
              <w:t>correos,</w:t>
            </w:r>
            <w:r>
              <w:rPr>
                <w:spacing w:val="-4"/>
                <w:sz w:val="20"/>
              </w:rPr>
              <w:t> </w:t>
            </w:r>
            <w:r>
              <w:rPr>
                <w:sz w:val="20"/>
              </w:rPr>
              <w:t>agendas,</w:t>
            </w:r>
            <w:r>
              <w:rPr>
                <w:spacing w:val="-4"/>
                <w:sz w:val="20"/>
              </w:rPr>
              <w:t> </w:t>
            </w:r>
            <w:r>
              <w:rPr>
                <w:sz w:val="20"/>
              </w:rPr>
              <w:t>actas,</w:t>
            </w:r>
            <w:r>
              <w:rPr>
                <w:spacing w:val="-6"/>
                <w:sz w:val="20"/>
              </w:rPr>
              <w:t> </w:t>
            </w:r>
            <w:r>
              <w:rPr>
                <w:sz w:val="20"/>
              </w:rPr>
              <w:t>minutas,</w:t>
            </w:r>
            <w:r>
              <w:rPr>
                <w:spacing w:val="-6"/>
                <w:sz w:val="20"/>
              </w:rPr>
              <w:t> </w:t>
            </w:r>
            <w:r>
              <w:rPr>
                <w:sz w:val="20"/>
              </w:rPr>
              <w:t>listas</w:t>
            </w:r>
            <w:r>
              <w:rPr>
                <w:spacing w:val="-5"/>
                <w:sz w:val="20"/>
              </w:rPr>
              <w:t> </w:t>
            </w:r>
            <w:r>
              <w:rPr>
                <w:sz w:val="20"/>
              </w:rPr>
              <w:t>de</w:t>
            </w:r>
            <w:r>
              <w:rPr>
                <w:spacing w:val="-4"/>
                <w:sz w:val="20"/>
              </w:rPr>
              <w:t> </w:t>
            </w:r>
            <w:r>
              <w:rPr>
                <w:sz w:val="20"/>
              </w:rPr>
              <w:t>asistencia</w:t>
            </w:r>
            <w:r>
              <w:rPr>
                <w:spacing w:val="-6"/>
                <w:sz w:val="20"/>
              </w:rPr>
              <w:t> </w:t>
            </w:r>
            <w:r>
              <w:rPr>
                <w:sz w:val="20"/>
              </w:rPr>
              <w:t>y</w:t>
            </w:r>
            <w:r>
              <w:rPr>
                <w:spacing w:val="-5"/>
                <w:sz w:val="20"/>
              </w:rPr>
              <w:t> </w:t>
            </w:r>
            <w:r>
              <w:rPr>
                <w:sz w:val="20"/>
              </w:rPr>
              <w:t>otros</w:t>
            </w:r>
            <w:r>
              <w:rPr>
                <w:spacing w:val="-5"/>
                <w:sz w:val="20"/>
              </w:rPr>
              <w:t> </w:t>
            </w:r>
            <w:r>
              <w:rPr>
                <w:sz w:val="20"/>
              </w:rPr>
              <w:t>documentos </w:t>
            </w:r>
            <w:r>
              <w:rPr>
                <w:spacing w:val="-2"/>
                <w:sz w:val="20"/>
              </w:rPr>
              <w:t>pertinentes.</w:t>
            </w:r>
          </w:p>
        </w:tc>
      </w:tr>
      <w:tr>
        <w:trPr>
          <w:trHeight w:val="510" w:hRule="atLeast"/>
        </w:trPr>
        <w:tc>
          <w:tcPr>
            <w:tcW w:w="2976" w:type="dxa"/>
            <w:shd w:val="clear" w:color="auto" w:fill="DCE6F0"/>
          </w:tcPr>
          <w:p>
            <w:pPr>
              <w:pStyle w:val="TableParagraph"/>
              <w:spacing w:before="138"/>
              <w:ind w:left="67"/>
              <w:rPr>
                <w:b/>
                <w:sz w:val="20"/>
              </w:rPr>
            </w:pPr>
            <w:r>
              <w:rPr>
                <w:b/>
                <w:spacing w:val="-2"/>
                <w:sz w:val="20"/>
              </w:rPr>
              <w:t>Clasificación:</w:t>
            </w:r>
          </w:p>
        </w:tc>
        <w:tc>
          <w:tcPr>
            <w:tcW w:w="7516" w:type="dxa"/>
          </w:tcPr>
          <w:p>
            <w:pPr>
              <w:pStyle w:val="TableParagraph"/>
              <w:spacing w:before="138"/>
              <w:ind w:left="70"/>
              <w:rPr>
                <w:sz w:val="20"/>
              </w:rPr>
            </w:pPr>
            <w:r>
              <w:rPr>
                <w:sz w:val="20"/>
              </w:rPr>
              <w:t>Impacto</w:t>
            </w:r>
            <w:r>
              <w:rPr>
                <w:spacing w:val="-4"/>
                <w:sz w:val="20"/>
              </w:rPr>
              <w:t> </w:t>
            </w:r>
            <w:r>
              <w:rPr>
                <w:sz w:val="20"/>
              </w:rPr>
              <w:t>()</w:t>
            </w:r>
            <w:r>
              <w:rPr>
                <w:spacing w:val="-4"/>
                <w:sz w:val="20"/>
              </w:rPr>
              <w:t> </w:t>
            </w:r>
            <w:r>
              <w:rPr>
                <w:sz w:val="20"/>
              </w:rPr>
              <w:t>Efecto</w:t>
            </w:r>
            <w:r>
              <w:rPr>
                <w:spacing w:val="-5"/>
                <w:sz w:val="20"/>
              </w:rPr>
              <w:t> </w:t>
            </w:r>
            <w:r>
              <w:rPr>
                <w:sz w:val="20"/>
              </w:rPr>
              <w:t>()</w:t>
            </w:r>
            <w:r>
              <w:rPr>
                <w:spacing w:val="-5"/>
                <w:sz w:val="20"/>
              </w:rPr>
              <w:t> </w:t>
            </w:r>
            <w:r>
              <w:rPr>
                <w:spacing w:val="-2"/>
                <w:sz w:val="20"/>
              </w:rPr>
              <w:t>Producto(X)</w:t>
            </w:r>
          </w:p>
        </w:tc>
      </w:tr>
    </w:tbl>
    <w:p>
      <w:pPr>
        <w:pStyle w:val="TableParagraph"/>
        <w:spacing w:after="0"/>
        <w:rPr>
          <w:sz w:val="20"/>
        </w:rPr>
        <w:sectPr>
          <w:type w:val="continuous"/>
          <w:pgSz w:w="12240" w:h="15840"/>
          <w:pgMar w:header="0" w:footer="2082" w:top="1400" w:bottom="260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6"/>
      </w:tblGrid>
      <w:tr>
        <w:trPr>
          <w:trHeight w:val="7501" w:hRule="atLeast"/>
        </w:trPr>
        <w:tc>
          <w:tcPr>
            <w:tcW w:w="2976" w:type="dxa"/>
            <w:shd w:val="clear" w:color="auto" w:fill="DCE6F0"/>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84"/>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6" w:type="dxa"/>
          </w:tcPr>
          <w:p>
            <w:pPr>
              <w:pStyle w:val="TableParagraph"/>
              <w:rPr>
                <w:b/>
                <w:sz w:val="20"/>
              </w:rPr>
            </w:pPr>
          </w:p>
          <w:p>
            <w:pPr>
              <w:pStyle w:val="TableParagraph"/>
              <w:rPr>
                <w:b/>
                <w:sz w:val="20"/>
              </w:rPr>
            </w:pPr>
          </w:p>
          <w:p>
            <w:pPr>
              <w:pStyle w:val="TableParagraph"/>
              <w:rPr>
                <w:b/>
                <w:sz w:val="20"/>
              </w:rPr>
            </w:pPr>
          </w:p>
          <w:p>
            <w:pPr>
              <w:pStyle w:val="TableParagraph"/>
              <w:spacing w:before="68"/>
              <w:rPr>
                <w:b/>
                <w:sz w:val="20"/>
              </w:rPr>
            </w:pPr>
          </w:p>
          <w:p>
            <w:pPr>
              <w:pStyle w:val="TableParagraph"/>
              <w:ind w:left="70"/>
              <w:rPr>
                <w:sz w:val="20"/>
              </w:rPr>
            </w:pPr>
            <w:r>
              <w:rPr>
                <w:sz w:val="20"/>
              </w:rPr>
              <w:t>El</w:t>
            </w:r>
            <w:r>
              <w:rPr>
                <w:spacing w:val="-4"/>
                <w:sz w:val="20"/>
              </w:rPr>
              <w:t> </w:t>
            </w:r>
            <w:r>
              <w:rPr>
                <w:sz w:val="20"/>
              </w:rPr>
              <w:t>presupuesto</w:t>
            </w:r>
            <w:r>
              <w:rPr>
                <w:spacing w:val="-6"/>
                <w:sz w:val="20"/>
              </w:rPr>
              <w:t> </w:t>
            </w:r>
            <w:r>
              <w:rPr>
                <w:sz w:val="20"/>
              </w:rPr>
              <w:t>está</w:t>
            </w:r>
            <w:r>
              <w:rPr>
                <w:spacing w:val="-5"/>
                <w:sz w:val="20"/>
              </w:rPr>
              <w:t> </w:t>
            </w:r>
            <w:r>
              <w:rPr>
                <w:sz w:val="20"/>
              </w:rPr>
              <w:t>asociado</w:t>
            </w:r>
            <w:r>
              <w:rPr>
                <w:spacing w:val="-6"/>
                <w:sz w:val="20"/>
              </w:rPr>
              <w:t> </w:t>
            </w:r>
            <w:r>
              <w:rPr>
                <w:sz w:val="20"/>
              </w:rPr>
              <w:t>a</w:t>
            </w:r>
            <w:r>
              <w:rPr>
                <w:spacing w:val="-3"/>
                <w:sz w:val="20"/>
              </w:rPr>
              <w:t> </w:t>
            </w:r>
            <w:r>
              <w:rPr>
                <w:sz w:val="20"/>
              </w:rPr>
              <w:t>una</w:t>
            </w:r>
            <w:r>
              <w:rPr>
                <w:spacing w:val="-3"/>
                <w:sz w:val="20"/>
              </w:rPr>
              <w:t> </w:t>
            </w:r>
            <w:r>
              <w:rPr>
                <w:sz w:val="20"/>
              </w:rPr>
              <w:t>Contratación</w:t>
            </w:r>
            <w:r>
              <w:rPr>
                <w:spacing w:val="-4"/>
                <w:sz w:val="20"/>
              </w:rPr>
              <w:t> </w:t>
            </w:r>
            <w:r>
              <w:rPr>
                <w:sz w:val="20"/>
              </w:rPr>
              <w:t>Administrativa</w:t>
            </w:r>
            <w:r>
              <w:rPr>
                <w:spacing w:val="-5"/>
                <w:sz w:val="20"/>
              </w:rPr>
              <w:t> </w:t>
            </w:r>
            <w:r>
              <w:rPr>
                <w:sz w:val="20"/>
              </w:rPr>
              <w:t>relacionada</w:t>
            </w:r>
            <w:r>
              <w:rPr>
                <w:spacing w:val="-6"/>
                <w:sz w:val="20"/>
              </w:rPr>
              <w:t> </w:t>
            </w:r>
            <w:r>
              <w:rPr>
                <w:sz w:val="20"/>
              </w:rPr>
              <w:t>con</w:t>
            </w:r>
            <w:r>
              <w:rPr>
                <w:spacing w:val="-5"/>
                <w:sz w:val="20"/>
              </w:rPr>
              <w:t> </w:t>
            </w:r>
            <w:r>
              <w:rPr>
                <w:sz w:val="20"/>
              </w:rPr>
              <w:t>la Revisión y ajuste de SINCA a los estándares de excelencia en servicios institucionales de atención integral a mujeres afectadas por violencia. para brindar cumplimiento al Eje 4 de PLANOVI Protección efectiva, acceso real, debida diligencia, sanción y no revictimización.</w:t>
            </w:r>
          </w:p>
          <w:p>
            <w:pPr>
              <w:pStyle w:val="TableParagraph"/>
              <w:spacing w:before="2"/>
              <w:ind w:left="70"/>
              <w:rPr>
                <w:sz w:val="20"/>
              </w:rPr>
            </w:pPr>
            <w:r>
              <w:rPr>
                <w:sz w:val="20"/>
              </w:rPr>
              <w:t>Acción Estratégica 4.3 Implementación de estándares de excelencia nacional e internacional</w:t>
            </w:r>
            <w:r>
              <w:rPr>
                <w:spacing w:val="-7"/>
                <w:sz w:val="20"/>
              </w:rPr>
              <w:t> </w:t>
            </w:r>
            <w:r>
              <w:rPr>
                <w:sz w:val="20"/>
              </w:rPr>
              <w:t>en</w:t>
            </w:r>
            <w:r>
              <w:rPr>
                <w:spacing w:val="-4"/>
                <w:sz w:val="20"/>
              </w:rPr>
              <w:t> </w:t>
            </w:r>
            <w:r>
              <w:rPr>
                <w:sz w:val="20"/>
              </w:rPr>
              <w:t>servicios</w:t>
            </w:r>
            <w:r>
              <w:rPr>
                <w:spacing w:val="-5"/>
                <w:sz w:val="20"/>
              </w:rPr>
              <w:t> </w:t>
            </w:r>
            <w:r>
              <w:rPr>
                <w:sz w:val="20"/>
              </w:rPr>
              <w:t>institucionales</w:t>
            </w:r>
            <w:r>
              <w:rPr>
                <w:spacing w:val="-5"/>
                <w:sz w:val="20"/>
              </w:rPr>
              <w:t> </w:t>
            </w:r>
            <w:r>
              <w:rPr>
                <w:sz w:val="20"/>
              </w:rPr>
              <w:t>de</w:t>
            </w:r>
            <w:r>
              <w:rPr>
                <w:spacing w:val="-6"/>
                <w:sz w:val="20"/>
              </w:rPr>
              <w:t> </w:t>
            </w:r>
            <w:r>
              <w:rPr>
                <w:sz w:val="20"/>
              </w:rPr>
              <w:t>atención</w:t>
            </w:r>
            <w:r>
              <w:rPr>
                <w:spacing w:val="-5"/>
                <w:sz w:val="20"/>
              </w:rPr>
              <w:t> </w:t>
            </w:r>
            <w:r>
              <w:rPr>
                <w:sz w:val="20"/>
              </w:rPr>
              <w:t>integral</w:t>
            </w:r>
            <w:r>
              <w:rPr>
                <w:spacing w:val="-7"/>
                <w:sz w:val="20"/>
              </w:rPr>
              <w:t> </w:t>
            </w:r>
            <w:r>
              <w:rPr>
                <w:sz w:val="20"/>
              </w:rPr>
              <w:t>a</w:t>
            </w:r>
            <w:r>
              <w:rPr>
                <w:spacing w:val="-4"/>
                <w:sz w:val="20"/>
              </w:rPr>
              <w:t> </w:t>
            </w:r>
            <w:r>
              <w:rPr>
                <w:sz w:val="20"/>
              </w:rPr>
              <w:t>mujeres</w:t>
            </w:r>
            <w:r>
              <w:rPr>
                <w:spacing w:val="-4"/>
                <w:sz w:val="20"/>
              </w:rPr>
              <w:t> </w:t>
            </w:r>
            <w:r>
              <w:rPr>
                <w:sz w:val="20"/>
              </w:rPr>
              <w:t>afectadas por violencia.</w:t>
            </w:r>
          </w:p>
          <w:p>
            <w:pPr>
              <w:pStyle w:val="TableParagraph"/>
              <w:ind w:left="70"/>
              <w:rPr>
                <w:sz w:val="20"/>
              </w:rPr>
            </w:pPr>
            <w:r>
              <w:rPr>
                <w:sz w:val="20"/>
              </w:rPr>
              <w:t>Acción</w:t>
            </w:r>
            <w:r>
              <w:rPr>
                <w:spacing w:val="-7"/>
                <w:sz w:val="20"/>
              </w:rPr>
              <w:t> </w:t>
            </w:r>
            <w:r>
              <w:rPr>
                <w:sz w:val="20"/>
              </w:rPr>
              <w:t>Institucional</w:t>
            </w:r>
            <w:r>
              <w:rPr>
                <w:spacing w:val="-6"/>
                <w:sz w:val="20"/>
              </w:rPr>
              <w:t> </w:t>
            </w:r>
            <w:r>
              <w:rPr>
                <w:sz w:val="20"/>
              </w:rPr>
              <w:t>4.3.1.1</w:t>
            </w:r>
            <w:r>
              <w:rPr>
                <w:spacing w:val="-3"/>
                <w:sz w:val="20"/>
              </w:rPr>
              <w:t> </w:t>
            </w:r>
            <w:r>
              <w:rPr>
                <w:sz w:val="20"/>
              </w:rPr>
              <w:t>Ajuste</w:t>
            </w:r>
            <w:r>
              <w:rPr>
                <w:spacing w:val="-7"/>
                <w:sz w:val="20"/>
              </w:rPr>
              <w:t> </w:t>
            </w:r>
            <w:r>
              <w:rPr>
                <w:sz w:val="20"/>
              </w:rPr>
              <w:t>progresivo</w:t>
            </w:r>
            <w:r>
              <w:rPr>
                <w:spacing w:val="-7"/>
                <w:sz w:val="20"/>
              </w:rPr>
              <w:t> </w:t>
            </w:r>
            <w:r>
              <w:rPr>
                <w:sz w:val="20"/>
              </w:rPr>
              <w:t>de</w:t>
            </w:r>
            <w:r>
              <w:rPr>
                <w:spacing w:val="-7"/>
                <w:sz w:val="20"/>
              </w:rPr>
              <w:t> </w:t>
            </w:r>
            <w:r>
              <w:rPr>
                <w:sz w:val="20"/>
              </w:rPr>
              <w:t>procedimientos,</w:t>
            </w:r>
            <w:r>
              <w:rPr>
                <w:spacing w:val="-7"/>
                <w:sz w:val="20"/>
              </w:rPr>
              <w:t> </w:t>
            </w:r>
            <w:r>
              <w:rPr>
                <w:sz w:val="20"/>
              </w:rPr>
              <w:t>protocolos</w:t>
            </w:r>
            <w:r>
              <w:rPr>
                <w:spacing w:val="-6"/>
                <w:sz w:val="20"/>
              </w:rPr>
              <w:t> </w:t>
            </w:r>
            <w:r>
              <w:rPr>
                <w:sz w:val="20"/>
              </w:rPr>
              <w:t>y modelos de atención a mujeres afectadas por violencia, a los estándares de </w:t>
            </w:r>
            <w:r>
              <w:rPr>
                <w:spacing w:val="-2"/>
                <w:sz w:val="20"/>
              </w:rPr>
              <w:t>excelencia.</w:t>
            </w:r>
          </w:p>
          <w:p>
            <w:pPr>
              <w:pStyle w:val="TableParagraph"/>
              <w:ind w:left="70" w:right="73"/>
              <w:rPr>
                <w:sz w:val="20"/>
              </w:rPr>
            </w:pPr>
            <w:r>
              <w:rPr>
                <w:sz w:val="20"/>
              </w:rPr>
              <w:t>Indicador de la acción estratégica 4.3.1.1.2 Número de servicios de atención ajustados a los estándares de</w:t>
            </w:r>
            <w:r>
              <w:rPr>
                <w:spacing w:val="-1"/>
                <w:sz w:val="20"/>
              </w:rPr>
              <w:t> </w:t>
            </w:r>
            <w:r>
              <w:rPr>
                <w:sz w:val="20"/>
              </w:rPr>
              <w:t>excelencia que son evaluados.</w:t>
            </w:r>
            <w:r>
              <w:rPr>
                <w:spacing w:val="40"/>
                <w:sz w:val="20"/>
              </w:rPr>
              <w:t> </w:t>
            </w:r>
            <w:r>
              <w:rPr>
                <w:sz w:val="20"/>
              </w:rPr>
              <w:t>a los estándares de excelencia</w:t>
            </w:r>
            <w:r>
              <w:rPr>
                <w:spacing w:val="-6"/>
                <w:sz w:val="20"/>
              </w:rPr>
              <w:t> </w:t>
            </w:r>
            <w:r>
              <w:rPr>
                <w:sz w:val="20"/>
              </w:rPr>
              <w:t>en</w:t>
            </w:r>
            <w:r>
              <w:rPr>
                <w:spacing w:val="-6"/>
                <w:sz w:val="20"/>
              </w:rPr>
              <w:t> </w:t>
            </w:r>
            <w:r>
              <w:rPr>
                <w:sz w:val="20"/>
              </w:rPr>
              <w:t>servicios</w:t>
            </w:r>
            <w:r>
              <w:rPr>
                <w:spacing w:val="-3"/>
                <w:sz w:val="20"/>
              </w:rPr>
              <w:t> </w:t>
            </w:r>
            <w:r>
              <w:rPr>
                <w:sz w:val="20"/>
              </w:rPr>
              <w:t>institucionales</w:t>
            </w:r>
            <w:r>
              <w:rPr>
                <w:spacing w:val="-5"/>
                <w:sz w:val="20"/>
              </w:rPr>
              <w:t> </w:t>
            </w:r>
            <w:r>
              <w:rPr>
                <w:sz w:val="20"/>
              </w:rPr>
              <w:t>de</w:t>
            </w:r>
            <w:r>
              <w:rPr>
                <w:spacing w:val="-6"/>
                <w:sz w:val="20"/>
              </w:rPr>
              <w:t> </w:t>
            </w:r>
            <w:r>
              <w:rPr>
                <w:sz w:val="20"/>
              </w:rPr>
              <w:t>atención</w:t>
            </w:r>
            <w:r>
              <w:rPr>
                <w:spacing w:val="-5"/>
                <w:sz w:val="20"/>
              </w:rPr>
              <w:t> </w:t>
            </w:r>
            <w:r>
              <w:rPr>
                <w:sz w:val="20"/>
              </w:rPr>
              <w:t>integral</w:t>
            </w:r>
            <w:r>
              <w:rPr>
                <w:spacing w:val="-7"/>
                <w:sz w:val="20"/>
              </w:rPr>
              <w:t> </w:t>
            </w:r>
            <w:r>
              <w:rPr>
                <w:sz w:val="20"/>
              </w:rPr>
              <w:t>a</w:t>
            </w:r>
            <w:r>
              <w:rPr>
                <w:spacing w:val="-4"/>
                <w:sz w:val="20"/>
              </w:rPr>
              <w:t> </w:t>
            </w:r>
            <w:r>
              <w:rPr>
                <w:sz w:val="20"/>
              </w:rPr>
              <w:t>mujeres</w:t>
            </w:r>
            <w:r>
              <w:rPr>
                <w:spacing w:val="-2"/>
                <w:sz w:val="20"/>
              </w:rPr>
              <w:t> </w:t>
            </w:r>
            <w:r>
              <w:rPr>
                <w:sz w:val="20"/>
              </w:rPr>
              <w:t>afectadas</w:t>
            </w:r>
            <w:r>
              <w:rPr>
                <w:spacing w:val="-5"/>
                <w:sz w:val="20"/>
              </w:rPr>
              <w:t> </w:t>
            </w:r>
            <w:r>
              <w:rPr>
                <w:sz w:val="20"/>
              </w:rPr>
              <w:t>por violencia, que brinda cumplimiento al Eje 4 de PLANOVI Protección efectiva, acceso real, debida diligencia, sanción y no revictimización:</w:t>
            </w:r>
          </w:p>
          <w:p>
            <w:pPr>
              <w:pStyle w:val="TableParagraph"/>
              <w:spacing w:before="1"/>
              <w:ind w:left="70"/>
              <w:rPr>
                <w:sz w:val="20"/>
              </w:rPr>
            </w:pPr>
            <w:r>
              <w:rPr>
                <w:sz w:val="20"/>
              </w:rPr>
              <w:t>Acción Estratégica 4.3 Implementación de estándares de excelencia nacional e internacional</w:t>
            </w:r>
            <w:r>
              <w:rPr>
                <w:spacing w:val="-7"/>
                <w:sz w:val="20"/>
              </w:rPr>
              <w:t> </w:t>
            </w:r>
            <w:r>
              <w:rPr>
                <w:sz w:val="20"/>
              </w:rPr>
              <w:t>en</w:t>
            </w:r>
            <w:r>
              <w:rPr>
                <w:spacing w:val="-4"/>
                <w:sz w:val="20"/>
              </w:rPr>
              <w:t> </w:t>
            </w:r>
            <w:r>
              <w:rPr>
                <w:sz w:val="20"/>
              </w:rPr>
              <w:t>servicios</w:t>
            </w:r>
            <w:r>
              <w:rPr>
                <w:spacing w:val="-5"/>
                <w:sz w:val="20"/>
              </w:rPr>
              <w:t> </w:t>
            </w:r>
            <w:r>
              <w:rPr>
                <w:sz w:val="20"/>
              </w:rPr>
              <w:t>institucionales</w:t>
            </w:r>
            <w:r>
              <w:rPr>
                <w:spacing w:val="-5"/>
                <w:sz w:val="20"/>
              </w:rPr>
              <w:t> </w:t>
            </w:r>
            <w:r>
              <w:rPr>
                <w:sz w:val="20"/>
              </w:rPr>
              <w:t>de</w:t>
            </w:r>
            <w:r>
              <w:rPr>
                <w:spacing w:val="-6"/>
                <w:sz w:val="20"/>
              </w:rPr>
              <w:t> </w:t>
            </w:r>
            <w:r>
              <w:rPr>
                <w:sz w:val="20"/>
              </w:rPr>
              <w:t>atención</w:t>
            </w:r>
            <w:r>
              <w:rPr>
                <w:spacing w:val="-5"/>
                <w:sz w:val="20"/>
              </w:rPr>
              <w:t> </w:t>
            </w:r>
            <w:r>
              <w:rPr>
                <w:sz w:val="20"/>
              </w:rPr>
              <w:t>integral</w:t>
            </w:r>
            <w:r>
              <w:rPr>
                <w:spacing w:val="-7"/>
                <w:sz w:val="20"/>
              </w:rPr>
              <w:t> </w:t>
            </w:r>
            <w:r>
              <w:rPr>
                <w:sz w:val="20"/>
              </w:rPr>
              <w:t>a</w:t>
            </w:r>
            <w:r>
              <w:rPr>
                <w:spacing w:val="-4"/>
                <w:sz w:val="20"/>
              </w:rPr>
              <w:t> </w:t>
            </w:r>
            <w:r>
              <w:rPr>
                <w:sz w:val="20"/>
              </w:rPr>
              <w:t>mujeres</w:t>
            </w:r>
            <w:r>
              <w:rPr>
                <w:spacing w:val="-4"/>
                <w:sz w:val="20"/>
              </w:rPr>
              <w:t> </w:t>
            </w:r>
            <w:r>
              <w:rPr>
                <w:sz w:val="20"/>
              </w:rPr>
              <w:t>afectadas por violencia.</w:t>
            </w:r>
          </w:p>
          <w:p>
            <w:pPr>
              <w:pStyle w:val="TableParagraph"/>
              <w:ind w:left="70"/>
              <w:rPr>
                <w:sz w:val="20"/>
              </w:rPr>
            </w:pPr>
            <w:r>
              <w:rPr>
                <w:sz w:val="20"/>
              </w:rPr>
              <w:t>Acción</w:t>
            </w:r>
            <w:r>
              <w:rPr>
                <w:spacing w:val="-7"/>
                <w:sz w:val="20"/>
              </w:rPr>
              <w:t> </w:t>
            </w:r>
            <w:r>
              <w:rPr>
                <w:sz w:val="20"/>
              </w:rPr>
              <w:t>Institucional</w:t>
            </w:r>
            <w:r>
              <w:rPr>
                <w:spacing w:val="-6"/>
                <w:sz w:val="20"/>
              </w:rPr>
              <w:t> </w:t>
            </w:r>
            <w:r>
              <w:rPr>
                <w:sz w:val="20"/>
              </w:rPr>
              <w:t>4.3.1.1</w:t>
            </w:r>
            <w:r>
              <w:rPr>
                <w:spacing w:val="-3"/>
                <w:sz w:val="20"/>
              </w:rPr>
              <w:t> </w:t>
            </w:r>
            <w:r>
              <w:rPr>
                <w:sz w:val="20"/>
              </w:rPr>
              <w:t>Ajuste</w:t>
            </w:r>
            <w:r>
              <w:rPr>
                <w:spacing w:val="-7"/>
                <w:sz w:val="20"/>
              </w:rPr>
              <w:t> </w:t>
            </w:r>
            <w:r>
              <w:rPr>
                <w:sz w:val="20"/>
              </w:rPr>
              <w:t>progresivo</w:t>
            </w:r>
            <w:r>
              <w:rPr>
                <w:spacing w:val="-7"/>
                <w:sz w:val="20"/>
              </w:rPr>
              <w:t> </w:t>
            </w:r>
            <w:r>
              <w:rPr>
                <w:sz w:val="20"/>
              </w:rPr>
              <w:t>de</w:t>
            </w:r>
            <w:r>
              <w:rPr>
                <w:spacing w:val="-7"/>
                <w:sz w:val="20"/>
              </w:rPr>
              <w:t> </w:t>
            </w:r>
            <w:r>
              <w:rPr>
                <w:sz w:val="20"/>
              </w:rPr>
              <w:t>procedimientos,</w:t>
            </w:r>
            <w:r>
              <w:rPr>
                <w:spacing w:val="-7"/>
                <w:sz w:val="20"/>
              </w:rPr>
              <w:t> </w:t>
            </w:r>
            <w:r>
              <w:rPr>
                <w:sz w:val="20"/>
              </w:rPr>
              <w:t>protocolos</w:t>
            </w:r>
            <w:r>
              <w:rPr>
                <w:spacing w:val="-6"/>
                <w:sz w:val="20"/>
              </w:rPr>
              <w:t> </w:t>
            </w:r>
            <w:r>
              <w:rPr>
                <w:sz w:val="20"/>
              </w:rPr>
              <w:t>y modelos de atención a mujeres afectadas por violencia, a los estándares de </w:t>
            </w:r>
            <w:r>
              <w:rPr>
                <w:spacing w:val="-2"/>
                <w:sz w:val="20"/>
              </w:rPr>
              <w:t>excelencia.</w:t>
            </w:r>
          </w:p>
          <w:p>
            <w:pPr>
              <w:pStyle w:val="TableParagraph"/>
              <w:ind w:left="70"/>
              <w:rPr>
                <w:sz w:val="20"/>
              </w:rPr>
            </w:pPr>
            <w:r>
              <w:rPr>
                <w:sz w:val="20"/>
              </w:rPr>
              <w:t>Indicador</w:t>
            </w:r>
            <w:r>
              <w:rPr>
                <w:spacing w:val="-5"/>
                <w:sz w:val="20"/>
              </w:rPr>
              <w:t> </w:t>
            </w:r>
            <w:r>
              <w:rPr>
                <w:sz w:val="20"/>
              </w:rPr>
              <w:t>de</w:t>
            </w:r>
            <w:r>
              <w:rPr>
                <w:spacing w:val="-6"/>
                <w:sz w:val="20"/>
              </w:rPr>
              <w:t> </w:t>
            </w:r>
            <w:r>
              <w:rPr>
                <w:sz w:val="20"/>
              </w:rPr>
              <w:t>la</w:t>
            </w:r>
            <w:r>
              <w:rPr>
                <w:spacing w:val="-6"/>
                <w:sz w:val="20"/>
              </w:rPr>
              <w:t> </w:t>
            </w:r>
            <w:r>
              <w:rPr>
                <w:sz w:val="20"/>
              </w:rPr>
              <w:t>acción</w:t>
            </w:r>
            <w:r>
              <w:rPr>
                <w:spacing w:val="-6"/>
                <w:sz w:val="20"/>
              </w:rPr>
              <w:t> </w:t>
            </w:r>
            <w:r>
              <w:rPr>
                <w:sz w:val="20"/>
              </w:rPr>
              <w:t>estratégica</w:t>
            </w:r>
            <w:r>
              <w:rPr>
                <w:spacing w:val="-4"/>
                <w:sz w:val="20"/>
              </w:rPr>
              <w:t> </w:t>
            </w:r>
            <w:r>
              <w:rPr>
                <w:sz w:val="20"/>
              </w:rPr>
              <w:t>4.3.1.1.2</w:t>
            </w:r>
            <w:r>
              <w:rPr>
                <w:spacing w:val="-7"/>
                <w:sz w:val="20"/>
              </w:rPr>
              <w:t> </w:t>
            </w:r>
            <w:r>
              <w:rPr>
                <w:sz w:val="20"/>
              </w:rPr>
              <w:t>Número</w:t>
            </w:r>
            <w:r>
              <w:rPr>
                <w:spacing w:val="-3"/>
                <w:sz w:val="20"/>
              </w:rPr>
              <w:t> </w:t>
            </w:r>
            <w:r>
              <w:rPr>
                <w:sz w:val="20"/>
              </w:rPr>
              <w:t>de</w:t>
            </w:r>
            <w:r>
              <w:rPr>
                <w:spacing w:val="-4"/>
                <w:sz w:val="20"/>
              </w:rPr>
              <w:t> </w:t>
            </w:r>
            <w:r>
              <w:rPr>
                <w:sz w:val="20"/>
              </w:rPr>
              <w:t>servicios</w:t>
            </w:r>
            <w:r>
              <w:rPr>
                <w:spacing w:val="-5"/>
                <w:sz w:val="20"/>
              </w:rPr>
              <w:t> </w:t>
            </w:r>
            <w:r>
              <w:rPr>
                <w:sz w:val="20"/>
              </w:rPr>
              <w:t>de</w:t>
            </w:r>
            <w:r>
              <w:rPr>
                <w:spacing w:val="-5"/>
                <w:sz w:val="20"/>
              </w:rPr>
              <w:t> </w:t>
            </w:r>
            <w:r>
              <w:rPr>
                <w:sz w:val="20"/>
              </w:rPr>
              <w:t>atención ajustados a los estándares de excelencia que son evaluados.</w:t>
            </w:r>
          </w:p>
        </w:tc>
      </w:tr>
    </w:tbl>
    <w:p>
      <w:pPr>
        <w:pStyle w:val="BodyText"/>
        <w:rPr>
          <w:b/>
          <w:sz w:val="20"/>
        </w:rPr>
      </w:pPr>
    </w:p>
    <w:p>
      <w:pPr>
        <w:pStyle w:val="BodyText"/>
        <w:spacing w:before="110"/>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510" w:hRule="atLeast"/>
        </w:trPr>
        <w:tc>
          <w:tcPr>
            <w:tcW w:w="2976" w:type="dxa"/>
            <w:shd w:val="clear" w:color="auto" w:fill="DCE6F0"/>
          </w:tcPr>
          <w:p>
            <w:pPr>
              <w:pStyle w:val="TableParagraph"/>
              <w:spacing w:before="138"/>
              <w:ind w:left="67"/>
              <w:rPr>
                <w:b/>
                <w:sz w:val="20"/>
              </w:rPr>
            </w:pPr>
            <w:r>
              <w:rPr>
                <w:b/>
                <w:sz w:val="20"/>
              </w:rPr>
              <w:t>PAC</w:t>
            </w:r>
            <w:r>
              <w:rPr>
                <w:b/>
                <w:spacing w:val="-8"/>
                <w:sz w:val="20"/>
              </w:rPr>
              <w:t> </w:t>
            </w:r>
            <w:r>
              <w:rPr>
                <w:b/>
                <w:spacing w:val="-2"/>
                <w:sz w:val="20"/>
              </w:rPr>
              <w:t>2.14.2:</w:t>
            </w:r>
          </w:p>
        </w:tc>
        <w:tc>
          <w:tcPr>
            <w:tcW w:w="7513" w:type="dxa"/>
          </w:tcPr>
          <w:p>
            <w:pPr>
              <w:pStyle w:val="TableParagraph"/>
              <w:spacing w:before="26"/>
              <w:ind w:left="70" w:right="133"/>
              <w:rPr>
                <w:sz w:val="20"/>
              </w:rPr>
            </w:pPr>
            <w:r>
              <w:rPr>
                <w:sz w:val="20"/>
              </w:rPr>
              <w:t>Nombre</w:t>
            </w:r>
            <w:r>
              <w:rPr>
                <w:spacing w:val="-5"/>
                <w:sz w:val="20"/>
              </w:rPr>
              <w:t> </w:t>
            </w:r>
            <w:r>
              <w:rPr>
                <w:sz w:val="20"/>
              </w:rPr>
              <w:t>del</w:t>
            </w:r>
            <w:r>
              <w:rPr>
                <w:spacing w:val="-8"/>
                <w:sz w:val="20"/>
              </w:rPr>
              <w:t> </w:t>
            </w:r>
            <w:r>
              <w:rPr>
                <w:sz w:val="20"/>
              </w:rPr>
              <w:t>Indicador:</w:t>
            </w:r>
            <w:r>
              <w:rPr>
                <w:spacing w:val="-7"/>
                <w:sz w:val="20"/>
              </w:rPr>
              <w:t> </w:t>
            </w:r>
            <w:r>
              <w:rPr>
                <w:sz w:val="20"/>
              </w:rPr>
              <w:t>Cantidad</w:t>
            </w:r>
            <w:r>
              <w:rPr>
                <w:spacing w:val="-7"/>
                <w:sz w:val="20"/>
              </w:rPr>
              <w:t> </w:t>
            </w:r>
            <w:r>
              <w:rPr>
                <w:sz w:val="20"/>
              </w:rPr>
              <w:t>de</w:t>
            </w:r>
            <w:r>
              <w:rPr>
                <w:spacing w:val="-5"/>
                <w:sz w:val="20"/>
              </w:rPr>
              <w:t> </w:t>
            </w:r>
            <w:r>
              <w:rPr>
                <w:sz w:val="20"/>
              </w:rPr>
              <w:t>personas</w:t>
            </w:r>
            <w:r>
              <w:rPr>
                <w:spacing w:val="-6"/>
                <w:sz w:val="20"/>
              </w:rPr>
              <w:t> </w:t>
            </w:r>
            <w:r>
              <w:rPr>
                <w:sz w:val="20"/>
              </w:rPr>
              <w:t>funcionarias</w:t>
            </w:r>
            <w:r>
              <w:rPr>
                <w:spacing w:val="-6"/>
                <w:sz w:val="20"/>
              </w:rPr>
              <w:t> </w:t>
            </w:r>
            <w:r>
              <w:rPr>
                <w:sz w:val="20"/>
              </w:rPr>
              <w:t>y</w:t>
            </w:r>
            <w:r>
              <w:rPr>
                <w:spacing w:val="-6"/>
                <w:sz w:val="20"/>
              </w:rPr>
              <w:t> </w:t>
            </w:r>
            <w:r>
              <w:rPr>
                <w:sz w:val="20"/>
              </w:rPr>
              <w:t>trabajadoras </w:t>
            </w:r>
            <w:r>
              <w:rPr>
                <w:spacing w:val="-2"/>
                <w:sz w:val="20"/>
              </w:rPr>
              <w:t>sensibilizadas</w:t>
            </w:r>
          </w:p>
        </w:tc>
      </w:tr>
      <w:tr>
        <w:trPr>
          <w:trHeight w:val="508" w:hRule="atLeast"/>
        </w:trPr>
        <w:tc>
          <w:tcPr>
            <w:tcW w:w="2976" w:type="dxa"/>
            <w:shd w:val="clear" w:color="auto" w:fill="DCE6F0"/>
          </w:tcPr>
          <w:p>
            <w:pPr>
              <w:pStyle w:val="TableParagraph"/>
              <w:spacing w:before="138"/>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3" w:type="dxa"/>
          </w:tcPr>
          <w:p>
            <w:pPr>
              <w:pStyle w:val="TableParagraph"/>
              <w:spacing w:before="138"/>
              <w:ind w:left="70"/>
              <w:rPr>
                <w:sz w:val="20"/>
              </w:rPr>
            </w:pPr>
            <w:r>
              <w:rPr>
                <w:sz w:val="20"/>
              </w:rPr>
              <w:t>Conteo</w:t>
            </w:r>
            <w:r>
              <w:rPr>
                <w:spacing w:val="-8"/>
                <w:sz w:val="20"/>
              </w:rPr>
              <w:t> </w:t>
            </w:r>
            <w:r>
              <w:rPr>
                <w:sz w:val="20"/>
              </w:rPr>
              <w:t>de</w:t>
            </w:r>
            <w:r>
              <w:rPr>
                <w:spacing w:val="-8"/>
                <w:sz w:val="20"/>
              </w:rPr>
              <w:t> </w:t>
            </w:r>
            <w:r>
              <w:rPr>
                <w:sz w:val="20"/>
              </w:rPr>
              <w:t>la</w:t>
            </w:r>
            <w:r>
              <w:rPr>
                <w:spacing w:val="-7"/>
                <w:sz w:val="20"/>
              </w:rPr>
              <w:t> </w:t>
            </w:r>
            <w:r>
              <w:rPr>
                <w:sz w:val="20"/>
              </w:rPr>
              <w:t>cantidad</w:t>
            </w:r>
            <w:r>
              <w:rPr>
                <w:spacing w:val="-8"/>
                <w:sz w:val="20"/>
              </w:rPr>
              <w:t> </w:t>
            </w:r>
            <w:r>
              <w:rPr>
                <w:sz w:val="20"/>
              </w:rPr>
              <w:t>de</w:t>
            </w:r>
            <w:r>
              <w:rPr>
                <w:spacing w:val="-8"/>
                <w:sz w:val="20"/>
              </w:rPr>
              <w:t> </w:t>
            </w:r>
            <w:r>
              <w:rPr>
                <w:sz w:val="20"/>
              </w:rPr>
              <w:t>personas</w:t>
            </w:r>
            <w:r>
              <w:rPr>
                <w:spacing w:val="-7"/>
                <w:sz w:val="20"/>
              </w:rPr>
              <w:t> </w:t>
            </w:r>
            <w:r>
              <w:rPr>
                <w:sz w:val="20"/>
              </w:rPr>
              <w:t>funcionarias</w:t>
            </w:r>
            <w:r>
              <w:rPr>
                <w:spacing w:val="-6"/>
                <w:sz w:val="20"/>
              </w:rPr>
              <w:t> </w:t>
            </w:r>
            <w:r>
              <w:rPr>
                <w:sz w:val="20"/>
              </w:rPr>
              <w:t>y</w:t>
            </w:r>
            <w:r>
              <w:rPr>
                <w:spacing w:val="-7"/>
                <w:sz w:val="20"/>
              </w:rPr>
              <w:t> </w:t>
            </w:r>
            <w:r>
              <w:rPr>
                <w:sz w:val="20"/>
              </w:rPr>
              <w:t>trabajadoras</w:t>
            </w:r>
            <w:r>
              <w:rPr>
                <w:spacing w:val="-6"/>
                <w:sz w:val="20"/>
              </w:rPr>
              <w:t> </w:t>
            </w:r>
            <w:r>
              <w:rPr>
                <w:spacing w:val="-2"/>
                <w:sz w:val="20"/>
              </w:rPr>
              <w:t>sensibilizadas</w:t>
            </w:r>
          </w:p>
        </w:tc>
      </w:tr>
      <w:tr>
        <w:trPr>
          <w:trHeight w:val="302" w:hRule="atLeast"/>
        </w:trPr>
        <w:tc>
          <w:tcPr>
            <w:tcW w:w="2976" w:type="dxa"/>
            <w:shd w:val="clear" w:color="auto" w:fill="DCE6F0"/>
          </w:tcPr>
          <w:p>
            <w:pPr>
              <w:pStyle w:val="TableParagraph"/>
              <w:spacing w:before="35"/>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35"/>
              <w:ind w:left="70"/>
              <w:rPr>
                <w:sz w:val="20"/>
              </w:rPr>
            </w:pPr>
            <w:r>
              <w:rPr>
                <w:spacing w:val="-2"/>
                <w:sz w:val="20"/>
              </w:rPr>
              <w:t>Cantidad.</w:t>
            </w:r>
          </w:p>
        </w:tc>
      </w:tr>
      <w:tr>
        <w:trPr>
          <w:trHeight w:val="765" w:hRule="atLeast"/>
        </w:trPr>
        <w:tc>
          <w:tcPr>
            <w:tcW w:w="2976" w:type="dxa"/>
            <w:shd w:val="clear" w:color="auto" w:fill="DCE6F0"/>
          </w:tcPr>
          <w:p>
            <w:pPr>
              <w:pStyle w:val="TableParagraph"/>
              <w:spacing w:before="35"/>
              <w:rPr>
                <w:b/>
                <w:sz w:val="20"/>
              </w:rPr>
            </w:pPr>
          </w:p>
          <w:p>
            <w:pPr>
              <w:pStyle w:val="TableParagraph"/>
              <w:spacing w:before="1"/>
              <w:ind w:left="67"/>
              <w:rPr>
                <w:b/>
                <w:sz w:val="20"/>
              </w:rPr>
            </w:pPr>
            <w:r>
              <w:rPr>
                <w:b/>
                <w:spacing w:val="-2"/>
                <w:sz w:val="20"/>
              </w:rPr>
              <w:t>Interpretación:</w:t>
            </w:r>
          </w:p>
        </w:tc>
        <w:tc>
          <w:tcPr>
            <w:tcW w:w="7513" w:type="dxa"/>
          </w:tcPr>
          <w:p>
            <w:pPr>
              <w:pStyle w:val="TableParagraph"/>
              <w:spacing w:before="35"/>
              <w:ind w:left="70" w:right="133"/>
              <w:rPr>
                <w:sz w:val="20"/>
              </w:rPr>
            </w:pPr>
            <w:r>
              <w:rPr>
                <w:sz w:val="20"/>
              </w:rPr>
              <w:t>Cantidad de personas funcionarias y trabajadoras del IMAS sensibilizadas en temas</w:t>
            </w:r>
            <w:r>
              <w:rPr>
                <w:spacing w:val="-4"/>
                <w:sz w:val="20"/>
              </w:rPr>
              <w:t> </w:t>
            </w:r>
            <w:r>
              <w:rPr>
                <w:sz w:val="20"/>
              </w:rPr>
              <w:t>de</w:t>
            </w:r>
            <w:r>
              <w:rPr>
                <w:spacing w:val="-5"/>
                <w:sz w:val="20"/>
              </w:rPr>
              <w:t> </w:t>
            </w:r>
            <w:r>
              <w:rPr>
                <w:sz w:val="20"/>
              </w:rPr>
              <w:t>derechos</w:t>
            </w:r>
            <w:r>
              <w:rPr>
                <w:spacing w:val="-4"/>
                <w:sz w:val="20"/>
              </w:rPr>
              <w:t> </w:t>
            </w:r>
            <w:r>
              <w:rPr>
                <w:sz w:val="20"/>
              </w:rPr>
              <w:t>humanos</w:t>
            </w:r>
            <w:r>
              <w:rPr>
                <w:spacing w:val="-4"/>
                <w:sz w:val="20"/>
              </w:rPr>
              <w:t> </w:t>
            </w:r>
            <w:r>
              <w:rPr>
                <w:sz w:val="20"/>
              </w:rPr>
              <w:t>e</w:t>
            </w:r>
            <w:r>
              <w:rPr>
                <w:spacing w:val="-6"/>
                <w:sz w:val="20"/>
              </w:rPr>
              <w:t> </w:t>
            </w:r>
            <w:r>
              <w:rPr>
                <w:sz w:val="20"/>
              </w:rPr>
              <w:t>igualdad</w:t>
            </w:r>
            <w:r>
              <w:rPr>
                <w:spacing w:val="-5"/>
                <w:sz w:val="20"/>
              </w:rPr>
              <w:t> </w:t>
            </w:r>
            <w:r>
              <w:rPr>
                <w:sz w:val="20"/>
              </w:rPr>
              <w:t>y</w:t>
            </w:r>
            <w:r>
              <w:rPr>
                <w:spacing w:val="-4"/>
                <w:sz w:val="20"/>
              </w:rPr>
              <w:t> </w:t>
            </w:r>
            <w:r>
              <w:rPr>
                <w:sz w:val="20"/>
              </w:rPr>
              <w:t>equidad</w:t>
            </w:r>
            <w:r>
              <w:rPr>
                <w:spacing w:val="-3"/>
                <w:sz w:val="20"/>
              </w:rPr>
              <w:t> </w:t>
            </w:r>
            <w:r>
              <w:rPr>
                <w:sz w:val="20"/>
              </w:rPr>
              <w:t>de</w:t>
            </w:r>
            <w:r>
              <w:rPr>
                <w:spacing w:val="-4"/>
                <w:sz w:val="20"/>
              </w:rPr>
              <w:t> </w:t>
            </w:r>
            <w:r>
              <w:rPr>
                <w:sz w:val="20"/>
              </w:rPr>
              <w:t>género</w:t>
            </w:r>
            <w:r>
              <w:rPr>
                <w:spacing w:val="-5"/>
                <w:sz w:val="20"/>
              </w:rPr>
              <w:t> </w:t>
            </w:r>
            <w:r>
              <w:rPr>
                <w:sz w:val="20"/>
              </w:rPr>
              <w:t>contemplando</w:t>
            </w:r>
            <w:r>
              <w:rPr>
                <w:spacing w:val="-3"/>
                <w:sz w:val="20"/>
              </w:rPr>
              <w:t> </w:t>
            </w:r>
            <w:r>
              <w:rPr>
                <w:sz w:val="20"/>
              </w:rPr>
              <w:t>los temas relacionados.</w:t>
            </w:r>
          </w:p>
        </w:tc>
      </w:tr>
      <w:tr>
        <w:trPr>
          <w:trHeight w:val="299" w:hRule="atLeast"/>
        </w:trPr>
        <w:tc>
          <w:tcPr>
            <w:tcW w:w="2976" w:type="dxa"/>
            <w:shd w:val="clear" w:color="auto" w:fill="DCE6F0"/>
          </w:tcPr>
          <w:p>
            <w:pPr>
              <w:pStyle w:val="TableParagraph"/>
              <w:spacing w:before="33"/>
              <w:ind w:left="67"/>
              <w:rPr>
                <w:b/>
                <w:sz w:val="20"/>
              </w:rPr>
            </w:pPr>
            <w:r>
              <w:rPr>
                <w:b/>
                <w:spacing w:val="-2"/>
                <w:sz w:val="20"/>
              </w:rPr>
              <w:t>Desagregación:</w:t>
            </w:r>
          </w:p>
        </w:tc>
        <w:tc>
          <w:tcPr>
            <w:tcW w:w="7513" w:type="dxa"/>
          </w:tcPr>
          <w:p>
            <w:pPr>
              <w:pStyle w:val="TableParagraph"/>
              <w:spacing w:before="33"/>
              <w:ind w:left="70"/>
              <w:rPr>
                <w:sz w:val="20"/>
              </w:rPr>
            </w:pPr>
            <w:r>
              <w:rPr>
                <w:sz w:val="20"/>
              </w:rPr>
              <w:t>No</w:t>
            </w:r>
            <w:r>
              <w:rPr>
                <w:spacing w:val="-5"/>
                <w:sz w:val="20"/>
              </w:rPr>
              <w:t> </w:t>
            </w:r>
            <w:r>
              <w:rPr>
                <w:spacing w:val="-2"/>
                <w:sz w:val="20"/>
              </w:rPr>
              <w:t>aplica</w:t>
            </w:r>
          </w:p>
        </w:tc>
      </w:tr>
      <w:tr>
        <w:trPr>
          <w:trHeight w:val="300" w:hRule="atLeast"/>
        </w:trPr>
        <w:tc>
          <w:tcPr>
            <w:tcW w:w="2976" w:type="dxa"/>
            <w:shd w:val="clear" w:color="auto" w:fill="DCE6F0"/>
          </w:tcPr>
          <w:p>
            <w:pPr>
              <w:pStyle w:val="TableParagraph"/>
              <w:spacing w:before="33"/>
              <w:ind w:left="67"/>
              <w:rPr>
                <w:b/>
                <w:sz w:val="20"/>
              </w:rPr>
            </w:pPr>
            <w:r>
              <w:rPr>
                <w:b/>
                <w:spacing w:val="-2"/>
                <w:sz w:val="20"/>
              </w:rPr>
              <w:t>Meta:</w:t>
            </w:r>
          </w:p>
        </w:tc>
        <w:tc>
          <w:tcPr>
            <w:tcW w:w="7513" w:type="dxa"/>
          </w:tcPr>
          <w:p>
            <w:pPr>
              <w:pStyle w:val="TableParagraph"/>
              <w:spacing w:before="33"/>
              <w:ind w:left="70"/>
              <w:rPr>
                <w:sz w:val="20"/>
              </w:rPr>
            </w:pPr>
            <w:r>
              <w:rPr>
                <w:spacing w:val="-5"/>
                <w:sz w:val="20"/>
              </w:rPr>
              <w:t>300</w:t>
            </w:r>
          </w:p>
        </w:tc>
      </w:tr>
      <w:tr>
        <w:trPr>
          <w:trHeight w:val="299" w:hRule="atLeast"/>
        </w:trPr>
        <w:tc>
          <w:tcPr>
            <w:tcW w:w="2976" w:type="dxa"/>
            <w:shd w:val="clear" w:color="auto" w:fill="DCE6F0"/>
          </w:tcPr>
          <w:p>
            <w:pPr>
              <w:pStyle w:val="TableParagraph"/>
              <w:spacing w:before="33"/>
              <w:ind w:left="67"/>
              <w:rPr>
                <w:b/>
                <w:sz w:val="20"/>
              </w:rPr>
            </w:pPr>
            <w:r>
              <w:rPr>
                <w:b/>
                <w:sz w:val="20"/>
              </w:rPr>
              <w:t>Línea</w:t>
            </w:r>
            <w:r>
              <w:rPr>
                <w:b/>
                <w:spacing w:val="-10"/>
                <w:sz w:val="20"/>
              </w:rPr>
              <w:t> </w:t>
            </w:r>
            <w:r>
              <w:rPr>
                <w:b/>
                <w:spacing w:val="-2"/>
                <w:sz w:val="20"/>
              </w:rPr>
              <w:t>Base:</w:t>
            </w:r>
          </w:p>
        </w:tc>
        <w:tc>
          <w:tcPr>
            <w:tcW w:w="7513" w:type="dxa"/>
          </w:tcPr>
          <w:p>
            <w:pPr>
              <w:pStyle w:val="TableParagraph"/>
              <w:spacing w:before="33"/>
              <w:ind w:left="70"/>
              <w:rPr>
                <w:sz w:val="20"/>
              </w:rPr>
            </w:pPr>
            <w:r>
              <w:rPr>
                <w:spacing w:val="-5"/>
                <w:sz w:val="20"/>
              </w:rPr>
              <w:t>500</w:t>
            </w:r>
          </w:p>
        </w:tc>
      </w:tr>
      <w:tr>
        <w:trPr>
          <w:trHeight w:val="460" w:hRule="atLeast"/>
        </w:trPr>
        <w:tc>
          <w:tcPr>
            <w:tcW w:w="2976" w:type="dxa"/>
            <w:shd w:val="clear" w:color="auto" w:fill="DCE6F0"/>
          </w:tcPr>
          <w:p>
            <w:pPr>
              <w:pStyle w:val="TableParagraph"/>
              <w:spacing w:line="230" w:lineRule="exact"/>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114"/>
              <w:ind w:left="70"/>
              <w:rPr>
                <w:sz w:val="20"/>
              </w:rPr>
            </w:pPr>
            <w:r>
              <w:rPr>
                <w:spacing w:val="-4"/>
                <w:sz w:val="20"/>
              </w:rPr>
              <w:t>Anual</w:t>
            </w:r>
          </w:p>
        </w:tc>
      </w:tr>
    </w:tbl>
    <w:p>
      <w:pPr>
        <w:pStyle w:val="TableParagraph"/>
        <w:spacing w:after="0"/>
        <w:rPr>
          <w:sz w:val="20"/>
        </w:rPr>
        <w:sectPr>
          <w:pgSz w:w="12240" w:h="15840"/>
          <w:pgMar w:header="0" w:footer="2082" w:top="1400" w:bottom="260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508" w:hRule="atLeast"/>
        </w:trPr>
        <w:tc>
          <w:tcPr>
            <w:tcW w:w="2976" w:type="dxa"/>
            <w:shd w:val="clear" w:color="auto" w:fill="DCE6F0"/>
          </w:tcPr>
          <w:p>
            <w:pPr>
              <w:pStyle w:val="TableParagraph"/>
              <w:spacing w:before="24"/>
              <w:ind w:left="67" w:right="448"/>
              <w:rPr>
                <w:b/>
                <w:sz w:val="20"/>
              </w:rPr>
            </w:pPr>
            <w:r>
              <w:rPr>
                <w:b/>
                <w:sz w:val="20"/>
              </w:rPr>
              <w:t>Responsable de la recopilación</w:t>
            </w:r>
            <w:r>
              <w:rPr>
                <w:b/>
                <w:spacing w:val="-14"/>
                <w:sz w:val="20"/>
              </w:rPr>
              <w:t> </w:t>
            </w:r>
            <w:r>
              <w:rPr>
                <w:b/>
                <w:sz w:val="20"/>
              </w:rPr>
              <w:t>información:</w:t>
            </w:r>
          </w:p>
        </w:tc>
        <w:tc>
          <w:tcPr>
            <w:tcW w:w="7513" w:type="dxa"/>
          </w:tcPr>
          <w:p>
            <w:pPr>
              <w:pStyle w:val="TableParagraph"/>
              <w:spacing w:before="24"/>
              <w:ind w:left="70" w:right="1861"/>
              <w:rPr>
                <w:sz w:val="20"/>
              </w:rPr>
            </w:pPr>
            <w:r>
              <w:rPr>
                <w:sz w:val="20"/>
              </w:rPr>
              <w:t>Génesis Charpantier Alvarado, Jefatura a.i. de la UEIG. Rosibel</w:t>
            </w:r>
            <w:r>
              <w:rPr>
                <w:spacing w:val="-8"/>
                <w:sz w:val="20"/>
              </w:rPr>
              <w:t> </w:t>
            </w:r>
            <w:r>
              <w:rPr>
                <w:sz w:val="20"/>
              </w:rPr>
              <w:t>Robles</w:t>
            </w:r>
            <w:r>
              <w:rPr>
                <w:spacing w:val="-6"/>
                <w:sz w:val="20"/>
              </w:rPr>
              <w:t> </w:t>
            </w:r>
            <w:r>
              <w:rPr>
                <w:sz w:val="20"/>
              </w:rPr>
              <w:t>Delgado,</w:t>
            </w:r>
            <w:r>
              <w:rPr>
                <w:spacing w:val="-6"/>
                <w:sz w:val="20"/>
              </w:rPr>
              <w:t> </w:t>
            </w:r>
            <w:r>
              <w:rPr>
                <w:sz w:val="20"/>
              </w:rPr>
              <w:t>Profesional</w:t>
            </w:r>
            <w:r>
              <w:rPr>
                <w:spacing w:val="-7"/>
                <w:sz w:val="20"/>
              </w:rPr>
              <w:t> </w:t>
            </w:r>
            <w:r>
              <w:rPr>
                <w:sz w:val="20"/>
              </w:rPr>
              <w:t>Asesora</w:t>
            </w:r>
            <w:r>
              <w:rPr>
                <w:spacing w:val="-6"/>
                <w:sz w:val="20"/>
              </w:rPr>
              <w:t> </w:t>
            </w:r>
            <w:r>
              <w:rPr>
                <w:sz w:val="20"/>
              </w:rPr>
              <w:t>de</w:t>
            </w:r>
            <w:r>
              <w:rPr>
                <w:spacing w:val="-7"/>
                <w:sz w:val="20"/>
              </w:rPr>
              <w:t> </w:t>
            </w:r>
            <w:r>
              <w:rPr>
                <w:sz w:val="20"/>
              </w:rPr>
              <w:t>la</w:t>
            </w:r>
            <w:r>
              <w:rPr>
                <w:spacing w:val="-8"/>
                <w:sz w:val="20"/>
              </w:rPr>
              <w:t> </w:t>
            </w:r>
            <w:r>
              <w:rPr>
                <w:sz w:val="20"/>
              </w:rPr>
              <w:t>UEIG.</w:t>
            </w:r>
          </w:p>
        </w:tc>
      </w:tr>
      <w:tr>
        <w:trPr>
          <w:trHeight w:val="510" w:hRule="atLeast"/>
        </w:trPr>
        <w:tc>
          <w:tcPr>
            <w:tcW w:w="2976" w:type="dxa"/>
            <w:shd w:val="clear" w:color="auto" w:fill="DCE6F0"/>
          </w:tcPr>
          <w:p>
            <w:pPr>
              <w:pStyle w:val="TableParagraph"/>
              <w:spacing w:before="26"/>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3" w:type="dxa"/>
          </w:tcPr>
          <w:p>
            <w:pPr>
              <w:pStyle w:val="TableParagraph"/>
              <w:spacing w:before="141"/>
              <w:ind w:left="70"/>
              <w:rPr>
                <w:sz w:val="20"/>
              </w:rPr>
            </w:pPr>
            <w:r>
              <w:rPr>
                <w:sz w:val="20"/>
              </w:rPr>
              <w:t>Unidad</w:t>
            </w:r>
            <w:r>
              <w:rPr>
                <w:spacing w:val="-7"/>
                <w:sz w:val="20"/>
              </w:rPr>
              <w:t> </w:t>
            </w:r>
            <w:r>
              <w:rPr>
                <w:sz w:val="20"/>
              </w:rPr>
              <w:t>de</w:t>
            </w:r>
            <w:r>
              <w:rPr>
                <w:spacing w:val="-7"/>
                <w:sz w:val="20"/>
              </w:rPr>
              <w:t> </w:t>
            </w:r>
            <w:r>
              <w:rPr>
                <w:sz w:val="20"/>
              </w:rPr>
              <w:t>Equidad</w:t>
            </w:r>
            <w:r>
              <w:rPr>
                <w:spacing w:val="-8"/>
                <w:sz w:val="20"/>
              </w:rPr>
              <w:t> </w:t>
            </w:r>
            <w:r>
              <w:rPr>
                <w:sz w:val="20"/>
              </w:rPr>
              <w:t>e</w:t>
            </w:r>
            <w:r>
              <w:rPr>
                <w:spacing w:val="-6"/>
                <w:sz w:val="20"/>
              </w:rPr>
              <w:t> </w:t>
            </w:r>
            <w:r>
              <w:rPr>
                <w:sz w:val="20"/>
              </w:rPr>
              <w:t>Igualdad</w:t>
            </w:r>
            <w:r>
              <w:rPr>
                <w:spacing w:val="-6"/>
                <w:sz w:val="20"/>
              </w:rPr>
              <w:t> </w:t>
            </w:r>
            <w:r>
              <w:rPr>
                <w:sz w:val="20"/>
              </w:rPr>
              <w:t>de</w:t>
            </w:r>
            <w:r>
              <w:rPr>
                <w:spacing w:val="-8"/>
                <w:sz w:val="20"/>
              </w:rPr>
              <w:t> </w:t>
            </w:r>
            <w:r>
              <w:rPr>
                <w:spacing w:val="-2"/>
                <w:sz w:val="20"/>
              </w:rPr>
              <w:t>Género.</w:t>
            </w:r>
          </w:p>
        </w:tc>
      </w:tr>
      <w:tr>
        <w:trPr>
          <w:trHeight w:val="299" w:hRule="atLeast"/>
        </w:trPr>
        <w:tc>
          <w:tcPr>
            <w:tcW w:w="2976" w:type="dxa"/>
            <w:shd w:val="clear" w:color="auto" w:fill="DCE6F0"/>
          </w:tcPr>
          <w:p>
            <w:pPr>
              <w:pStyle w:val="TableParagraph"/>
              <w:spacing w:before="35"/>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3" w:type="dxa"/>
          </w:tcPr>
          <w:p>
            <w:pPr>
              <w:pStyle w:val="TableParagraph"/>
              <w:spacing w:before="35"/>
              <w:ind w:left="70"/>
              <w:rPr>
                <w:sz w:val="20"/>
              </w:rPr>
            </w:pPr>
            <w:r>
              <w:rPr>
                <w:sz w:val="20"/>
              </w:rPr>
              <w:t>Unidad</w:t>
            </w:r>
            <w:r>
              <w:rPr>
                <w:spacing w:val="-7"/>
                <w:sz w:val="20"/>
              </w:rPr>
              <w:t> </w:t>
            </w:r>
            <w:r>
              <w:rPr>
                <w:sz w:val="20"/>
              </w:rPr>
              <w:t>de</w:t>
            </w:r>
            <w:r>
              <w:rPr>
                <w:spacing w:val="-7"/>
                <w:sz w:val="20"/>
              </w:rPr>
              <w:t> </w:t>
            </w:r>
            <w:r>
              <w:rPr>
                <w:sz w:val="20"/>
              </w:rPr>
              <w:t>Equidad</w:t>
            </w:r>
            <w:r>
              <w:rPr>
                <w:spacing w:val="-8"/>
                <w:sz w:val="20"/>
              </w:rPr>
              <w:t> </w:t>
            </w:r>
            <w:r>
              <w:rPr>
                <w:sz w:val="20"/>
              </w:rPr>
              <w:t>e</w:t>
            </w:r>
            <w:r>
              <w:rPr>
                <w:spacing w:val="-6"/>
                <w:sz w:val="20"/>
              </w:rPr>
              <w:t> </w:t>
            </w:r>
            <w:r>
              <w:rPr>
                <w:sz w:val="20"/>
              </w:rPr>
              <w:t>Igualdad</w:t>
            </w:r>
            <w:r>
              <w:rPr>
                <w:spacing w:val="-6"/>
                <w:sz w:val="20"/>
              </w:rPr>
              <w:t> </w:t>
            </w:r>
            <w:r>
              <w:rPr>
                <w:sz w:val="20"/>
              </w:rPr>
              <w:t>de</w:t>
            </w:r>
            <w:r>
              <w:rPr>
                <w:spacing w:val="-8"/>
                <w:sz w:val="20"/>
              </w:rPr>
              <w:t> </w:t>
            </w:r>
            <w:r>
              <w:rPr>
                <w:spacing w:val="-2"/>
                <w:sz w:val="20"/>
              </w:rPr>
              <w:t>Género.</w:t>
            </w:r>
          </w:p>
        </w:tc>
      </w:tr>
      <w:tr>
        <w:trPr>
          <w:trHeight w:val="510" w:hRule="atLeast"/>
        </w:trPr>
        <w:tc>
          <w:tcPr>
            <w:tcW w:w="2976" w:type="dxa"/>
            <w:shd w:val="clear" w:color="auto" w:fill="DCE6F0"/>
          </w:tcPr>
          <w:p>
            <w:pPr>
              <w:pStyle w:val="TableParagraph"/>
              <w:spacing w:before="141"/>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141"/>
              <w:ind w:left="70"/>
              <w:rPr>
                <w:sz w:val="20"/>
              </w:rPr>
            </w:pPr>
            <w:r>
              <w:rPr>
                <w:sz w:val="20"/>
              </w:rPr>
              <w:t>Oficios,</w:t>
            </w:r>
            <w:r>
              <w:rPr>
                <w:spacing w:val="-8"/>
                <w:sz w:val="20"/>
              </w:rPr>
              <w:t> </w:t>
            </w:r>
            <w:r>
              <w:rPr>
                <w:sz w:val="20"/>
              </w:rPr>
              <w:t>correos,</w:t>
            </w:r>
            <w:r>
              <w:rPr>
                <w:spacing w:val="-6"/>
                <w:sz w:val="20"/>
              </w:rPr>
              <w:t> </w:t>
            </w:r>
            <w:r>
              <w:rPr>
                <w:sz w:val="20"/>
              </w:rPr>
              <w:t>listas</w:t>
            </w:r>
            <w:r>
              <w:rPr>
                <w:spacing w:val="-6"/>
                <w:sz w:val="20"/>
              </w:rPr>
              <w:t> </w:t>
            </w:r>
            <w:r>
              <w:rPr>
                <w:sz w:val="20"/>
              </w:rPr>
              <w:t>de</w:t>
            </w:r>
            <w:r>
              <w:rPr>
                <w:spacing w:val="-8"/>
                <w:sz w:val="20"/>
              </w:rPr>
              <w:t> </w:t>
            </w:r>
            <w:r>
              <w:rPr>
                <w:sz w:val="20"/>
              </w:rPr>
              <w:t>asistencia</w:t>
            </w:r>
            <w:r>
              <w:rPr>
                <w:spacing w:val="-8"/>
                <w:sz w:val="20"/>
              </w:rPr>
              <w:t> </w:t>
            </w:r>
            <w:r>
              <w:rPr>
                <w:sz w:val="20"/>
              </w:rPr>
              <w:t>y</w:t>
            </w:r>
            <w:r>
              <w:rPr>
                <w:spacing w:val="-5"/>
                <w:sz w:val="20"/>
              </w:rPr>
              <w:t> </w:t>
            </w:r>
            <w:r>
              <w:rPr>
                <w:sz w:val="20"/>
              </w:rPr>
              <w:t>otros</w:t>
            </w:r>
            <w:r>
              <w:rPr>
                <w:spacing w:val="-7"/>
                <w:sz w:val="20"/>
              </w:rPr>
              <w:t> </w:t>
            </w:r>
            <w:r>
              <w:rPr>
                <w:sz w:val="20"/>
              </w:rPr>
              <w:t>documentos</w:t>
            </w:r>
            <w:r>
              <w:rPr>
                <w:spacing w:val="-7"/>
                <w:sz w:val="20"/>
              </w:rPr>
              <w:t> </w:t>
            </w:r>
            <w:r>
              <w:rPr>
                <w:spacing w:val="-2"/>
                <w:sz w:val="20"/>
              </w:rPr>
              <w:t>pertinentes.</w:t>
            </w:r>
          </w:p>
        </w:tc>
      </w:tr>
      <w:tr>
        <w:trPr>
          <w:trHeight w:val="299" w:hRule="atLeast"/>
        </w:trPr>
        <w:tc>
          <w:tcPr>
            <w:tcW w:w="2976" w:type="dxa"/>
            <w:shd w:val="clear" w:color="auto" w:fill="DCE6F0"/>
          </w:tcPr>
          <w:p>
            <w:pPr>
              <w:pStyle w:val="TableParagraph"/>
              <w:spacing w:before="35"/>
              <w:ind w:left="67"/>
              <w:rPr>
                <w:b/>
                <w:sz w:val="20"/>
              </w:rPr>
            </w:pPr>
            <w:r>
              <w:rPr>
                <w:b/>
                <w:spacing w:val="-2"/>
                <w:sz w:val="20"/>
              </w:rPr>
              <w:t>Clasificación:</w:t>
            </w:r>
          </w:p>
        </w:tc>
        <w:tc>
          <w:tcPr>
            <w:tcW w:w="7513" w:type="dxa"/>
          </w:tcPr>
          <w:p>
            <w:pPr>
              <w:pStyle w:val="TableParagraph"/>
              <w:spacing w:before="35"/>
              <w:ind w:left="70"/>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1276" w:hRule="atLeast"/>
        </w:trPr>
        <w:tc>
          <w:tcPr>
            <w:tcW w:w="2976" w:type="dxa"/>
            <w:shd w:val="clear" w:color="auto" w:fill="DCE6F0"/>
          </w:tcPr>
          <w:p>
            <w:pPr>
              <w:pStyle w:val="TableParagraph"/>
              <w:rPr>
                <w:b/>
                <w:sz w:val="20"/>
              </w:rPr>
            </w:pPr>
          </w:p>
          <w:p>
            <w:pPr>
              <w:pStyle w:val="TableParagraph"/>
              <w:spacing w:before="62"/>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3" w:type="dxa"/>
          </w:tcPr>
          <w:p>
            <w:pPr>
              <w:pStyle w:val="TableParagraph"/>
              <w:spacing w:before="177"/>
              <w:ind w:left="70" w:right="133"/>
              <w:rPr>
                <w:sz w:val="20"/>
              </w:rPr>
            </w:pPr>
            <w:r>
              <w:rPr>
                <w:sz w:val="20"/>
              </w:rPr>
              <w:t>El</w:t>
            </w:r>
            <w:r>
              <w:rPr>
                <w:spacing w:val="-5"/>
                <w:sz w:val="20"/>
              </w:rPr>
              <w:t> </w:t>
            </w:r>
            <w:r>
              <w:rPr>
                <w:sz w:val="20"/>
              </w:rPr>
              <w:t>presupuesto</w:t>
            </w:r>
            <w:r>
              <w:rPr>
                <w:spacing w:val="-7"/>
                <w:sz w:val="20"/>
              </w:rPr>
              <w:t> </w:t>
            </w:r>
            <w:r>
              <w:rPr>
                <w:sz w:val="20"/>
              </w:rPr>
              <w:t>está</w:t>
            </w:r>
            <w:r>
              <w:rPr>
                <w:spacing w:val="-6"/>
                <w:sz w:val="20"/>
              </w:rPr>
              <w:t> </w:t>
            </w:r>
            <w:r>
              <w:rPr>
                <w:sz w:val="20"/>
              </w:rPr>
              <w:t>asociado</w:t>
            </w:r>
            <w:r>
              <w:rPr>
                <w:spacing w:val="-7"/>
                <w:sz w:val="20"/>
              </w:rPr>
              <w:t> </w:t>
            </w:r>
            <w:r>
              <w:rPr>
                <w:sz w:val="20"/>
              </w:rPr>
              <w:t>con</w:t>
            </w:r>
            <w:r>
              <w:rPr>
                <w:spacing w:val="-5"/>
                <w:sz w:val="20"/>
              </w:rPr>
              <w:t> </w:t>
            </w:r>
            <w:r>
              <w:rPr>
                <w:sz w:val="20"/>
              </w:rPr>
              <w:t>una</w:t>
            </w:r>
            <w:r>
              <w:rPr>
                <w:spacing w:val="-4"/>
                <w:sz w:val="20"/>
              </w:rPr>
              <w:t> </w:t>
            </w:r>
            <w:r>
              <w:rPr>
                <w:sz w:val="20"/>
              </w:rPr>
              <w:t>contratación</w:t>
            </w:r>
            <w:r>
              <w:rPr>
                <w:spacing w:val="-6"/>
                <w:sz w:val="20"/>
              </w:rPr>
              <w:t> </w:t>
            </w:r>
            <w:r>
              <w:rPr>
                <w:sz w:val="20"/>
              </w:rPr>
              <w:t>administrativa</w:t>
            </w:r>
            <w:r>
              <w:rPr>
                <w:spacing w:val="-4"/>
                <w:sz w:val="20"/>
              </w:rPr>
              <w:t> </w:t>
            </w:r>
            <w:r>
              <w:rPr>
                <w:sz w:val="20"/>
              </w:rPr>
              <w:t>relacionada</w:t>
            </w:r>
            <w:r>
              <w:rPr>
                <w:spacing w:val="-4"/>
                <w:sz w:val="20"/>
              </w:rPr>
              <w:t> </w:t>
            </w:r>
            <w:r>
              <w:rPr>
                <w:sz w:val="20"/>
              </w:rPr>
              <w:t>con servicios de diseño gráfico e impresión de materiales informativos relacionados con la normativa nacional e internacional en materia de derechos humanos, equidad e igualdad de género y prevención de la violencia de género.</w:t>
            </w:r>
          </w:p>
        </w:tc>
      </w:tr>
    </w:tbl>
    <w:p>
      <w:pPr>
        <w:pStyle w:val="BodyText"/>
        <w:spacing w:before="68"/>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508" w:hRule="atLeast"/>
        </w:trPr>
        <w:tc>
          <w:tcPr>
            <w:tcW w:w="2976" w:type="dxa"/>
            <w:shd w:val="clear" w:color="auto" w:fill="DCE6F0"/>
          </w:tcPr>
          <w:p>
            <w:pPr>
              <w:pStyle w:val="TableParagraph"/>
              <w:spacing w:before="138"/>
              <w:ind w:left="67"/>
              <w:rPr>
                <w:b/>
                <w:sz w:val="20"/>
              </w:rPr>
            </w:pPr>
            <w:r>
              <w:rPr>
                <w:b/>
                <w:sz w:val="20"/>
              </w:rPr>
              <w:t>PAC</w:t>
            </w:r>
            <w:r>
              <w:rPr>
                <w:b/>
                <w:spacing w:val="-8"/>
                <w:sz w:val="20"/>
              </w:rPr>
              <w:t> </w:t>
            </w:r>
            <w:r>
              <w:rPr>
                <w:b/>
                <w:spacing w:val="-2"/>
                <w:sz w:val="20"/>
              </w:rPr>
              <w:t>2.15.1:</w:t>
            </w:r>
          </w:p>
        </w:tc>
        <w:tc>
          <w:tcPr>
            <w:tcW w:w="7513" w:type="dxa"/>
          </w:tcPr>
          <w:p>
            <w:pPr>
              <w:pStyle w:val="TableParagraph"/>
              <w:spacing w:before="138"/>
              <w:ind w:left="70"/>
              <w:rPr>
                <w:sz w:val="20"/>
              </w:rPr>
            </w:pPr>
            <w:r>
              <w:rPr>
                <w:sz w:val="20"/>
              </w:rPr>
              <w:t>Nombre</w:t>
            </w:r>
            <w:r>
              <w:rPr>
                <w:spacing w:val="-7"/>
                <w:sz w:val="20"/>
              </w:rPr>
              <w:t> </w:t>
            </w:r>
            <w:r>
              <w:rPr>
                <w:sz w:val="20"/>
              </w:rPr>
              <w:t>del</w:t>
            </w:r>
            <w:r>
              <w:rPr>
                <w:spacing w:val="-10"/>
                <w:sz w:val="20"/>
              </w:rPr>
              <w:t> </w:t>
            </w:r>
            <w:r>
              <w:rPr>
                <w:sz w:val="20"/>
              </w:rPr>
              <w:t>Indicador:</w:t>
            </w:r>
            <w:r>
              <w:rPr>
                <w:spacing w:val="-8"/>
                <w:sz w:val="20"/>
              </w:rPr>
              <w:t> </w:t>
            </w:r>
            <w:r>
              <w:rPr>
                <w:sz w:val="20"/>
              </w:rPr>
              <w:t>Cantidad</w:t>
            </w:r>
            <w:r>
              <w:rPr>
                <w:spacing w:val="-9"/>
                <w:sz w:val="20"/>
              </w:rPr>
              <w:t> </w:t>
            </w:r>
            <w:r>
              <w:rPr>
                <w:sz w:val="20"/>
              </w:rPr>
              <w:t>de</w:t>
            </w:r>
            <w:r>
              <w:rPr>
                <w:spacing w:val="-7"/>
                <w:sz w:val="20"/>
              </w:rPr>
              <w:t> </w:t>
            </w:r>
            <w:r>
              <w:rPr>
                <w:sz w:val="20"/>
              </w:rPr>
              <w:t>acciones</w:t>
            </w:r>
            <w:r>
              <w:rPr>
                <w:spacing w:val="-8"/>
                <w:sz w:val="20"/>
              </w:rPr>
              <w:t> </w:t>
            </w:r>
            <w:r>
              <w:rPr>
                <w:sz w:val="20"/>
              </w:rPr>
              <w:t>de</w:t>
            </w:r>
            <w:r>
              <w:rPr>
                <w:spacing w:val="-7"/>
                <w:sz w:val="20"/>
              </w:rPr>
              <w:t> </w:t>
            </w:r>
            <w:r>
              <w:rPr>
                <w:sz w:val="20"/>
              </w:rPr>
              <w:t>cumplimiento</w:t>
            </w:r>
            <w:r>
              <w:rPr>
                <w:spacing w:val="-7"/>
                <w:sz w:val="20"/>
              </w:rPr>
              <w:t> </w:t>
            </w:r>
            <w:r>
              <w:rPr>
                <w:sz w:val="20"/>
              </w:rPr>
              <w:t>de</w:t>
            </w:r>
            <w:r>
              <w:rPr>
                <w:spacing w:val="-8"/>
                <w:sz w:val="20"/>
              </w:rPr>
              <w:t> </w:t>
            </w:r>
            <w:r>
              <w:rPr>
                <w:sz w:val="20"/>
              </w:rPr>
              <w:t>metas</w:t>
            </w:r>
            <w:r>
              <w:rPr>
                <w:spacing w:val="-8"/>
                <w:sz w:val="20"/>
              </w:rPr>
              <w:t> </w:t>
            </w:r>
            <w:r>
              <w:rPr>
                <w:spacing w:val="-2"/>
                <w:sz w:val="20"/>
              </w:rPr>
              <w:t>realizadas.</w:t>
            </w:r>
          </w:p>
        </w:tc>
      </w:tr>
      <w:tr>
        <w:trPr>
          <w:trHeight w:val="510" w:hRule="atLeast"/>
        </w:trPr>
        <w:tc>
          <w:tcPr>
            <w:tcW w:w="2976" w:type="dxa"/>
            <w:shd w:val="clear" w:color="auto" w:fill="DCE6F0"/>
          </w:tcPr>
          <w:p>
            <w:pPr>
              <w:pStyle w:val="TableParagraph"/>
              <w:spacing w:before="141"/>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3" w:type="dxa"/>
          </w:tcPr>
          <w:p>
            <w:pPr>
              <w:pStyle w:val="TableParagraph"/>
              <w:spacing w:before="141"/>
              <w:ind w:left="70"/>
              <w:rPr>
                <w:sz w:val="20"/>
              </w:rPr>
            </w:pPr>
            <w:r>
              <w:rPr>
                <w:sz w:val="20"/>
              </w:rPr>
              <w:t>Conteo</w:t>
            </w:r>
            <w:r>
              <w:rPr>
                <w:spacing w:val="-7"/>
                <w:sz w:val="20"/>
              </w:rPr>
              <w:t> </w:t>
            </w:r>
            <w:r>
              <w:rPr>
                <w:sz w:val="20"/>
              </w:rPr>
              <w:t>de</w:t>
            </w:r>
            <w:r>
              <w:rPr>
                <w:spacing w:val="-6"/>
                <w:sz w:val="20"/>
              </w:rPr>
              <w:t> </w:t>
            </w:r>
            <w:r>
              <w:rPr>
                <w:sz w:val="20"/>
              </w:rPr>
              <w:t>la</w:t>
            </w:r>
            <w:r>
              <w:rPr>
                <w:spacing w:val="-6"/>
                <w:sz w:val="20"/>
              </w:rPr>
              <w:t> </w:t>
            </w:r>
            <w:r>
              <w:rPr>
                <w:sz w:val="20"/>
              </w:rPr>
              <w:t>cantidad</w:t>
            </w:r>
            <w:r>
              <w:rPr>
                <w:spacing w:val="-7"/>
                <w:sz w:val="20"/>
              </w:rPr>
              <w:t> </w:t>
            </w:r>
            <w:r>
              <w:rPr>
                <w:sz w:val="20"/>
              </w:rPr>
              <w:t>de</w:t>
            </w:r>
            <w:r>
              <w:rPr>
                <w:spacing w:val="-7"/>
                <w:sz w:val="20"/>
              </w:rPr>
              <w:t> </w:t>
            </w:r>
            <w:r>
              <w:rPr>
                <w:sz w:val="20"/>
              </w:rPr>
              <w:t>acciones</w:t>
            </w:r>
            <w:r>
              <w:rPr>
                <w:spacing w:val="-5"/>
                <w:sz w:val="20"/>
              </w:rPr>
              <w:t> </w:t>
            </w:r>
            <w:r>
              <w:rPr>
                <w:sz w:val="20"/>
              </w:rPr>
              <w:t>de</w:t>
            </w:r>
            <w:r>
              <w:rPr>
                <w:spacing w:val="-4"/>
                <w:sz w:val="20"/>
              </w:rPr>
              <w:t> </w:t>
            </w:r>
            <w:r>
              <w:rPr>
                <w:sz w:val="20"/>
              </w:rPr>
              <w:t>cumplimiento</w:t>
            </w:r>
            <w:r>
              <w:rPr>
                <w:spacing w:val="-7"/>
                <w:sz w:val="20"/>
              </w:rPr>
              <w:t> </w:t>
            </w:r>
            <w:r>
              <w:rPr>
                <w:sz w:val="20"/>
              </w:rPr>
              <w:t>de</w:t>
            </w:r>
            <w:r>
              <w:rPr>
                <w:spacing w:val="-6"/>
                <w:sz w:val="20"/>
              </w:rPr>
              <w:t> </w:t>
            </w:r>
            <w:r>
              <w:rPr>
                <w:sz w:val="20"/>
              </w:rPr>
              <w:t>metas</w:t>
            </w:r>
            <w:r>
              <w:rPr>
                <w:spacing w:val="-5"/>
                <w:sz w:val="20"/>
              </w:rPr>
              <w:t> </w:t>
            </w:r>
            <w:r>
              <w:rPr>
                <w:spacing w:val="-2"/>
                <w:sz w:val="20"/>
              </w:rPr>
              <w:t>realizadas.</w:t>
            </w:r>
          </w:p>
        </w:tc>
      </w:tr>
      <w:tr>
        <w:trPr>
          <w:trHeight w:val="482" w:hRule="atLeast"/>
        </w:trPr>
        <w:tc>
          <w:tcPr>
            <w:tcW w:w="2976" w:type="dxa"/>
            <w:shd w:val="clear" w:color="auto" w:fill="DCE6F0"/>
          </w:tcPr>
          <w:p>
            <w:pPr>
              <w:pStyle w:val="TableParagraph"/>
              <w:spacing w:before="126"/>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126"/>
              <w:ind w:left="70"/>
              <w:rPr>
                <w:sz w:val="20"/>
              </w:rPr>
            </w:pPr>
            <w:r>
              <w:rPr>
                <w:spacing w:val="-2"/>
                <w:sz w:val="20"/>
              </w:rPr>
              <w:t>Cantidad.</w:t>
            </w:r>
          </w:p>
        </w:tc>
      </w:tr>
      <w:tr>
        <w:trPr>
          <w:trHeight w:val="510" w:hRule="atLeast"/>
        </w:trPr>
        <w:tc>
          <w:tcPr>
            <w:tcW w:w="2976" w:type="dxa"/>
            <w:shd w:val="clear" w:color="auto" w:fill="DCE6F0"/>
          </w:tcPr>
          <w:p>
            <w:pPr>
              <w:pStyle w:val="TableParagraph"/>
              <w:spacing w:before="141"/>
              <w:ind w:left="67"/>
              <w:rPr>
                <w:b/>
                <w:sz w:val="20"/>
              </w:rPr>
            </w:pPr>
            <w:r>
              <w:rPr>
                <w:b/>
                <w:spacing w:val="-2"/>
                <w:sz w:val="20"/>
              </w:rPr>
              <w:t>Interpretación:</w:t>
            </w:r>
          </w:p>
        </w:tc>
        <w:tc>
          <w:tcPr>
            <w:tcW w:w="7513" w:type="dxa"/>
          </w:tcPr>
          <w:p>
            <w:pPr>
              <w:pStyle w:val="TableParagraph"/>
              <w:spacing w:before="26"/>
              <w:ind w:left="70" w:right="133"/>
              <w:rPr>
                <w:sz w:val="20"/>
              </w:rPr>
            </w:pPr>
            <w:r>
              <w:rPr>
                <w:sz w:val="20"/>
              </w:rPr>
              <w:t>Cantidad</w:t>
            </w:r>
            <w:r>
              <w:rPr>
                <w:spacing w:val="-5"/>
                <w:sz w:val="20"/>
              </w:rPr>
              <w:t> </w:t>
            </w:r>
            <w:r>
              <w:rPr>
                <w:sz w:val="20"/>
              </w:rPr>
              <w:t>de</w:t>
            </w:r>
            <w:r>
              <w:rPr>
                <w:spacing w:val="-3"/>
                <w:sz w:val="20"/>
              </w:rPr>
              <w:t> </w:t>
            </w:r>
            <w:r>
              <w:rPr>
                <w:sz w:val="20"/>
              </w:rPr>
              <w:t>acciones</w:t>
            </w:r>
            <w:r>
              <w:rPr>
                <w:spacing w:val="-4"/>
                <w:sz w:val="20"/>
              </w:rPr>
              <w:t> </w:t>
            </w:r>
            <w:r>
              <w:rPr>
                <w:sz w:val="20"/>
              </w:rPr>
              <w:t>de</w:t>
            </w:r>
            <w:r>
              <w:rPr>
                <w:spacing w:val="-3"/>
                <w:sz w:val="20"/>
              </w:rPr>
              <w:t> </w:t>
            </w:r>
            <w:r>
              <w:rPr>
                <w:sz w:val="20"/>
              </w:rPr>
              <w:t>cumplimiento</w:t>
            </w:r>
            <w:r>
              <w:rPr>
                <w:spacing w:val="-4"/>
                <w:sz w:val="20"/>
              </w:rPr>
              <w:t> </w:t>
            </w:r>
            <w:r>
              <w:rPr>
                <w:sz w:val="20"/>
              </w:rPr>
              <w:t>de</w:t>
            </w:r>
            <w:r>
              <w:rPr>
                <w:spacing w:val="-4"/>
                <w:sz w:val="20"/>
              </w:rPr>
              <w:t> </w:t>
            </w:r>
            <w:r>
              <w:rPr>
                <w:sz w:val="20"/>
              </w:rPr>
              <w:t>las</w:t>
            </w:r>
            <w:r>
              <w:rPr>
                <w:spacing w:val="-4"/>
                <w:sz w:val="20"/>
              </w:rPr>
              <w:t> </w:t>
            </w:r>
            <w:r>
              <w:rPr>
                <w:sz w:val="20"/>
              </w:rPr>
              <w:t>metas</w:t>
            </w:r>
            <w:r>
              <w:rPr>
                <w:spacing w:val="-4"/>
                <w:sz w:val="20"/>
              </w:rPr>
              <w:t> </w:t>
            </w:r>
            <w:r>
              <w:rPr>
                <w:sz w:val="20"/>
              </w:rPr>
              <w:t>de</w:t>
            </w:r>
            <w:r>
              <w:rPr>
                <w:spacing w:val="-5"/>
                <w:sz w:val="20"/>
              </w:rPr>
              <w:t> </w:t>
            </w:r>
            <w:r>
              <w:rPr>
                <w:sz w:val="20"/>
              </w:rPr>
              <w:t>la</w:t>
            </w:r>
            <w:r>
              <w:rPr>
                <w:spacing w:val="-3"/>
                <w:sz w:val="20"/>
              </w:rPr>
              <w:t> </w:t>
            </w:r>
            <w:r>
              <w:rPr>
                <w:sz w:val="20"/>
              </w:rPr>
              <w:t>UEIG</w:t>
            </w:r>
            <w:r>
              <w:rPr>
                <w:spacing w:val="-2"/>
                <w:sz w:val="20"/>
              </w:rPr>
              <w:t> </w:t>
            </w:r>
            <w:r>
              <w:rPr>
                <w:sz w:val="20"/>
              </w:rPr>
              <w:t>en</w:t>
            </w:r>
            <w:r>
              <w:rPr>
                <w:spacing w:val="-4"/>
                <w:sz w:val="20"/>
              </w:rPr>
              <w:t> </w:t>
            </w:r>
            <w:r>
              <w:rPr>
                <w:sz w:val="20"/>
              </w:rPr>
              <w:t>el</w:t>
            </w:r>
            <w:r>
              <w:rPr>
                <w:spacing w:val="-4"/>
                <w:sz w:val="20"/>
              </w:rPr>
              <w:t> </w:t>
            </w:r>
            <w:r>
              <w:rPr>
                <w:sz w:val="20"/>
              </w:rPr>
              <w:t>plan quinquenal de la PIGI IMAS.</w:t>
            </w:r>
          </w:p>
        </w:tc>
      </w:tr>
      <w:tr>
        <w:trPr>
          <w:trHeight w:val="299" w:hRule="atLeast"/>
        </w:trPr>
        <w:tc>
          <w:tcPr>
            <w:tcW w:w="2976" w:type="dxa"/>
            <w:shd w:val="clear" w:color="auto" w:fill="DCE6F0"/>
          </w:tcPr>
          <w:p>
            <w:pPr>
              <w:pStyle w:val="TableParagraph"/>
              <w:spacing w:before="35"/>
              <w:ind w:left="67"/>
              <w:rPr>
                <w:b/>
                <w:sz w:val="20"/>
              </w:rPr>
            </w:pPr>
            <w:r>
              <w:rPr>
                <w:b/>
                <w:spacing w:val="-2"/>
                <w:sz w:val="20"/>
              </w:rPr>
              <w:t>Desagregación:</w:t>
            </w:r>
          </w:p>
        </w:tc>
        <w:tc>
          <w:tcPr>
            <w:tcW w:w="7513" w:type="dxa"/>
          </w:tcPr>
          <w:p>
            <w:pPr>
              <w:pStyle w:val="TableParagraph"/>
              <w:spacing w:before="35"/>
              <w:ind w:left="70"/>
              <w:rPr>
                <w:sz w:val="20"/>
              </w:rPr>
            </w:pPr>
            <w:r>
              <w:rPr>
                <w:sz w:val="20"/>
              </w:rPr>
              <w:t>No</w:t>
            </w:r>
            <w:r>
              <w:rPr>
                <w:spacing w:val="-5"/>
                <w:sz w:val="20"/>
              </w:rPr>
              <w:t> </w:t>
            </w:r>
            <w:r>
              <w:rPr>
                <w:spacing w:val="-2"/>
                <w:sz w:val="20"/>
              </w:rPr>
              <w:t>aplica</w:t>
            </w:r>
          </w:p>
        </w:tc>
      </w:tr>
      <w:tr>
        <w:trPr>
          <w:trHeight w:val="299" w:hRule="atLeast"/>
        </w:trPr>
        <w:tc>
          <w:tcPr>
            <w:tcW w:w="2976" w:type="dxa"/>
            <w:shd w:val="clear" w:color="auto" w:fill="DCE6F0"/>
          </w:tcPr>
          <w:p>
            <w:pPr>
              <w:pStyle w:val="TableParagraph"/>
              <w:spacing w:before="35"/>
              <w:ind w:left="67"/>
              <w:rPr>
                <w:b/>
                <w:sz w:val="20"/>
              </w:rPr>
            </w:pPr>
            <w:r>
              <w:rPr>
                <w:b/>
                <w:spacing w:val="-2"/>
                <w:sz w:val="20"/>
              </w:rPr>
              <w:t>Meta:</w:t>
            </w:r>
          </w:p>
        </w:tc>
        <w:tc>
          <w:tcPr>
            <w:tcW w:w="7513" w:type="dxa"/>
          </w:tcPr>
          <w:p>
            <w:pPr>
              <w:pStyle w:val="TableParagraph"/>
              <w:spacing w:before="35"/>
              <w:ind w:left="70"/>
              <w:rPr>
                <w:sz w:val="20"/>
              </w:rPr>
            </w:pPr>
            <w:r>
              <w:rPr>
                <w:spacing w:val="-10"/>
                <w:sz w:val="20"/>
              </w:rPr>
              <w:t>1</w:t>
            </w:r>
          </w:p>
        </w:tc>
      </w:tr>
      <w:tr>
        <w:trPr>
          <w:trHeight w:val="302" w:hRule="atLeast"/>
        </w:trPr>
        <w:tc>
          <w:tcPr>
            <w:tcW w:w="2976" w:type="dxa"/>
            <w:shd w:val="clear" w:color="auto" w:fill="DCE6F0"/>
          </w:tcPr>
          <w:p>
            <w:pPr>
              <w:pStyle w:val="TableParagraph"/>
              <w:spacing w:before="35"/>
              <w:ind w:left="67"/>
              <w:rPr>
                <w:b/>
                <w:sz w:val="20"/>
              </w:rPr>
            </w:pPr>
            <w:r>
              <w:rPr>
                <w:b/>
                <w:sz w:val="20"/>
              </w:rPr>
              <w:t>Línea</w:t>
            </w:r>
            <w:r>
              <w:rPr>
                <w:b/>
                <w:spacing w:val="-10"/>
                <w:sz w:val="20"/>
              </w:rPr>
              <w:t> </w:t>
            </w:r>
            <w:r>
              <w:rPr>
                <w:b/>
                <w:spacing w:val="-2"/>
                <w:sz w:val="20"/>
              </w:rPr>
              <w:t>Base:</w:t>
            </w:r>
          </w:p>
        </w:tc>
        <w:tc>
          <w:tcPr>
            <w:tcW w:w="7513" w:type="dxa"/>
          </w:tcPr>
          <w:p>
            <w:pPr>
              <w:pStyle w:val="TableParagraph"/>
              <w:spacing w:before="35"/>
              <w:ind w:left="70"/>
              <w:rPr>
                <w:sz w:val="20"/>
              </w:rPr>
            </w:pPr>
            <w:r>
              <w:rPr>
                <w:spacing w:val="-10"/>
                <w:sz w:val="20"/>
              </w:rPr>
              <w:t>1</w:t>
            </w:r>
          </w:p>
        </w:tc>
      </w:tr>
      <w:tr>
        <w:trPr>
          <w:trHeight w:val="508" w:hRule="atLeast"/>
        </w:trPr>
        <w:tc>
          <w:tcPr>
            <w:tcW w:w="2976" w:type="dxa"/>
            <w:shd w:val="clear" w:color="auto" w:fill="DCE6F0"/>
          </w:tcPr>
          <w:p>
            <w:pPr>
              <w:pStyle w:val="TableParagraph"/>
              <w:spacing w:before="2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138"/>
              <w:ind w:left="70"/>
              <w:rPr>
                <w:sz w:val="20"/>
              </w:rPr>
            </w:pPr>
            <w:r>
              <w:rPr>
                <w:spacing w:val="-4"/>
                <w:sz w:val="20"/>
              </w:rPr>
              <w:t>Anual</w:t>
            </w:r>
          </w:p>
        </w:tc>
      </w:tr>
      <w:tr>
        <w:trPr>
          <w:trHeight w:val="510" w:hRule="atLeast"/>
        </w:trPr>
        <w:tc>
          <w:tcPr>
            <w:tcW w:w="2976" w:type="dxa"/>
            <w:shd w:val="clear" w:color="auto" w:fill="DCE6F0"/>
          </w:tcPr>
          <w:p>
            <w:pPr>
              <w:pStyle w:val="TableParagraph"/>
              <w:spacing w:before="26"/>
              <w:ind w:left="67" w:right="448"/>
              <w:rPr>
                <w:b/>
                <w:sz w:val="20"/>
              </w:rPr>
            </w:pPr>
            <w:r>
              <w:rPr>
                <w:b/>
                <w:sz w:val="20"/>
              </w:rPr>
              <w:t>Responsable de la recopilación</w:t>
            </w:r>
            <w:r>
              <w:rPr>
                <w:b/>
                <w:spacing w:val="-14"/>
                <w:sz w:val="20"/>
              </w:rPr>
              <w:t> </w:t>
            </w:r>
            <w:r>
              <w:rPr>
                <w:b/>
                <w:sz w:val="20"/>
              </w:rPr>
              <w:t>información:</w:t>
            </w:r>
          </w:p>
        </w:tc>
        <w:tc>
          <w:tcPr>
            <w:tcW w:w="7513" w:type="dxa"/>
          </w:tcPr>
          <w:p>
            <w:pPr>
              <w:pStyle w:val="TableParagraph"/>
              <w:spacing w:before="26"/>
              <w:ind w:left="70" w:right="1861"/>
              <w:rPr>
                <w:sz w:val="20"/>
              </w:rPr>
            </w:pPr>
            <w:r>
              <w:rPr>
                <w:sz w:val="20"/>
              </w:rPr>
              <w:t>Génesis Charpantier Alvarado, Jefatura a.i. de la UEIG. Rosibel</w:t>
            </w:r>
            <w:r>
              <w:rPr>
                <w:spacing w:val="-8"/>
                <w:sz w:val="20"/>
              </w:rPr>
              <w:t> </w:t>
            </w:r>
            <w:r>
              <w:rPr>
                <w:sz w:val="20"/>
              </w:rPr>
              <w:t>Robles</w:t>
            </w:r>
            <w:r>
              <w:rPr>
                <w:spacing w:val="-6"/>
                <w:sz w:val="20"/>
              </w:rPr>
              <w:t> </w:t>
            </w:r>
            <w:r>
              <w:rPr>
                <w:sz w:val="20"/>
              </w:rPr>
              <w:t>Delgado,</w:t>
            </w:r>
            <w:r>
              <w:rPr>
                <w:spacing w:val="-5"/>
                <w:sz w:val="20"/>
              </w:rPr>
              <w:t> </w:t>
            </w:r>
            <w:r>
              <w:rPr>
                <w:sz w:val="20"/>
              </w:rPr>
              <w:t>Profesional</w:t>
            </w:r>
            <w:r>
              <w:rPr>
                <w:spacing w:val="-6"/>
                <w:sz w:val="20"/>
              </w:rPr>
              <w:t> </w:t>
            </w:r>
            <w:r>
              <w:rPr>
                <w:sz w:val="20"/>
              </w:rPr>
              <w:t>Asesora</w:t>
            </w:r>
            <w:r>
              <w:rPr>
                <w:spacing w:val="-5"/>
                <w:sz w:val="20"/>
              </w:rPr>
              <w:t> </w:t>
            </w:r>
            <w:r>
              <w:rPr>
                <w:sz w:val="20"/>
              </w:rPr>
              <w:t>de</w:t>
            </w:r>
            <w:r>
              <w:rPr>
                <w:spacing w:val="-6"/>
                <w:sz w:val="20"/>
              </w:rPr>
              <w:t> </w:t>
            </w:r>
            <w:r>
              <w:rPr>
                <w:sz w:val="20"/>
              </w:rPr>
              <w:t>la</w:t>
            </w:r>
            <w:r>
              <w:rPr>
                <w:spacing w:val="-7"/>
                <w:sz w:val="20"/>
              </w:rPr>
              <w:t> </w:t>
            </w:r>
            <w:r>
              <w:rPr>
                <w:sz w:val="20"/>
              </w:rPr>
              <w:t>UEIG.</w:t>
            </w:r>
          </w:p>
        </w:tc>
      </w:tr>
      <w:tr>
        <w:trPr>
          <w:trHeight w:val="599" w:hRule="atLeast"/>
        </w:trPr>
        <w:tc>
          <w:tcPr>
            <w:tcW w:w="2976" w:type="dxa"/>
            <w:shd w:val="clear" w:color="auto" w:fill="DCE6F0"/>
          </w:tcPr>
          <w:p>
            <w:pPr>
              <w:pStyle w:val="TableParagraph"/>
              <w:spacing w:before="69"/>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3" w:type="dxa"/>
          </w:tcPr>
          <w:p>
            <w:pPr>
              <w:pStyle w:val="TableParagraph"/>
              <w:spacing w:before="184"/>
              <w:ind w:left="70"/>
              <w:rPr>
                <w:sz w:val="20"/>
              </w:rPr>
            </w:pPr>
            <w:r>
              <w:rPr>
                <w:sz w:val="20"/>
              </w:rPr>
              <w:t>Unidad</w:t>
            </w:r>
            <w:r>
              <w:rPr>
                <w:spacing w:val="-7"/>
                <w:sz w:val="20"/>
              </w:rPr>
              <w:t> </w:t>
            </w:r>
            <w:r>
              <w:rPr>
                <w:sz w:val="20"/>
              </w:rPr>
              <w:t>de</w:t>
            </w:r>
            <w:r>
              <w:rPr>
                <w:spacing w:val="-7"/>
                <w:sz w:val="20"/>
              </w:rPr>
              <w:t> </w:t>
            </w:r>
            <w:r>
              <w:rPr>
                <w:sz w:val="20"/>
              </w:rPr>
              <w:t>Equidad</w:t>
            </w:r>
            <w:r>
              <w:rPr>
                <w:spacing w:val="-8"/>
                <w:sz w:val="20"/>
              </w:rPr>
              <w:t> </w:t>
            </w:r>
            <w:r>
              <w:rPr>
                <w:sz w:val="20"/>
              </w:rPr>
              <w:t>e</w:t>
            </w:r>
            <w:r>
              <w:rPr>
                <w:spacing w:val="-6"/>
                <w:sz w:val="20"/>
              </w:rPr>
              <w:t> </w:t>
            </w:r>
            <w:r>
              <w:rPr>
                <w:sz w:val="20"/>
              </w:rPr>
              <w:t>Igualdad</w:t>
            </w:r>
            <w:r>
              <w:rPr>
                <w:spacing w:val="-6"/>
                <w:sz w:val="20"/>
              </w:rPr>
              <w:t> </w:t>
            </w:r>
            <w:r>
              <w:rPr>
                <w:sz w:val="20"/>
              </w:rPr>
              <w:t>de</w:t>
            </w:r>
            <w:r>
              <w:rPr>
                <w:spacing w:val="-8"/>
                <w:sz w:val="20"/>
              </w:rPr>
              <w:t> </w:t>
            </w:r>
            <w:r>
              <w:rPr>
                <w:spacing w:val="-2"/>
                <w:sz w:val="20"/>
              </w:rPr>
              <w:t>Género.</w:t>
            </w:r>
          </w:p>
        </w:tc>
      </w:tr>
      <w:tr>
        <w:trPr>
          <w:trHeight w:val="299" w:hRule="atLeast"/>
        </w:trPr>
        <w:tc>
          <w:tcPr>
            <w:tcW w:w="2976" w:type="dxa"/>
            <w:shd w:val="clear" w:color="auto" w:fill="DCE6F0"/>
          </w:tcPr>
          <w:p>
            <w:pPr>
              <w:pStyle w:val="TableParagraph"/>
              <w:spacing w:before="33"/>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3" w:type="dxa"/>
          </w:tcPr>
          <w:p>
            <w:pPr>
              <w:pStyle w:val="TableParagraph"/>
              <w:spacing w:before="33"/>
              <w:ind w:left="70"/>
              <w:rPr>
                <w:sz w:val="20"/>
              </w:rPr>
            </w:pPr>
            <w:r>
              <w:rPr>
                <w:sz w:val="20"/>
              </w:rPr>
              <w:t>Unidad</w:t>
            </w:r>
            <w:r>
              <w:rPr>
                <w:spacing w:val="-7"/>
                <w:sz w:val="20"/>
              </w:rPr>
              <w:t> </w:t>
            </w:r>
            <w:r>
              <w:rPr>
                <w:sz w:val="20"/>
              </w:rPr>
              <w:t>de</w:t>
            </w:r>
            <w:r>
              <w:rPr>
                <w:spacing w:val="-7"/>
                <w:sz w:val="20"/>
              </w:rPr>
              <w:t> </w:t>
            </w:r>
            <w:r>
              <w:rPr>
                <w:sz w:val="20"/>
              </w:rPr>
              <w:t>Equidad</w:t>
            </w:r>
            <w:r>
              <w:rPr>
                <w:spacing w:val="-8"/>
                <w:sz w:val="20"/>
              </w:rPr>
              <w:t> </w:t>
            </w:r>
            <w:r>
              <w:rPr>
                <w:sz w:val="20"/>
              </w:rPr>
              <w:t>e</w:t>
            </w:r>
            <w:r>
              <w:rPr>
                <w:spacing w:val="-6"/>
                <w:sz w:val="20"/>
              </w:rPr>
              <w:t> </w:t>
            </w:r>
            <w:r>
              <w:rPr>
                <w:sz w:val="20"/>
              </w:rPr>
              <w:t>Igualdad</w:t>
            </w:r>
            <w:r>
              <w:rPr>
                <w:spacing w:val="-6"/>
                <w:sz w:val="20"/>
              </w:rPr>
              <w:t> </w:t>
            </w:r>
            <w:r>
              <w:rPr>
                <w:sz w:val="20"/>
              </w:rPr>
              <w:t>de</w:t>
            </w:r>
            <w:r>
              <w:rPr>
                <w:spacing w:val="-8"/>
                <w:sz w:val="20"/>
              </w:rPr>
              <w:t> </w:t>
            </w:r>
            <w:r>
              <w:rPr>
                <w:spacing w:val="-2"/>
                <w:sz w:val="20"/>
              </w:rPr>
              <w:t>Género.</w:t>
            </w:r>
          </w:p>
        </w:tc>
      </w:tr>
      <w:tr>
        <w:trPr>
          <w:trHeight w:val="510" w:hRule="atLeast"/>
        </w:trPr>
        <w:tc>
          <w:tcPr>
            <w:tcW w:w="2976" w:type="dxa"/>
            <w:shd w:val="clear" w:color="auto" w:fill="DCE6F0"/>
          </w:tcPr>
          <w:p>
            <w:pPr>
              <w:pStyle w:val="TableParagraph"/>
              <w:spacing w:before="138"/>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138"/>
              <w:ind w:left="70"/>
              <w:rPr>
                <w:sz w:val="20"/>
              </w:rPr>
            </w:pPr>
            <w:r>
              <w:rPr>
                <w:sz w:val="20"/>
              </w:rPr>
              <w:t>Oficios,</w:t>
            </w:r>
            <w:r>
              <w:rPr>
                <w:spacing w:val="-9"/>
                <w:sz w:val="20"/>
              </w:rPr>
              <w:t> </w:t>
            </w:r>
            <w:r>
              <w:rPr>
                <w:sz w:val="20"/>
              </w:rPr>
              <w:t>correos,</w:t>
            </w:r>
            <w:r>
              <w:rPr>
                <w:spacing w:val="-6"/>
                <w:sz w:val="20"/>
              </w:rPr>
              <w:t> </w:t>
            </w:r>
            <w:r>
              <w:rPr>
                <w:sz w:val="20"/>
              </w:rPr>
              <w:t>informes</w:t>
            </w:r>
            <w:r>
              <w:rPr>
                <w:spacing w:val="-8"/>
                <w:sz w:val="20"/>
              </w:rPr>
              <w:t> </w:t>
            </w:r>
            <w:r>
              <w:rPr>
                <w:sz w:val="20"/>
              </w:rPr>
              <w:t>y</w:t>
            </w:r>
            <w:r>
              <w:rPr>
                <w:spacing w:val="-5"/>
                <w:sz w:val="20"/>
              </w:rPr>
              <w:t> </w:t>
            </w:r>
            <w:r>
              <w:rPr>
                <w:sz w:val="20"/>
              </w:rPr>
              <w:t>otros</w:t>
            </w:r>
            <w:r>
              <w:rPr>
                <w:spacing w:val="-7"/>
                <w:sz w:val="20"/>
              </w:rPr>
              <w:t> </w:t>
            </w:r>
            <w:r>
              <w:rPr>
                <w:sz w:val="20"/>
              </w:rPr>
              <w:t>documentos</w:t>
            </w:r>
            <w:r>
              <w:rPr>
                <w:spacing w:val="-7"/>
                <w:sz w:val="20"/>
              </w:rPr>
              <w:t> </w:t>
            </w:r>
            <w:r>
              <w:rPr>
                <w:spacing w:val="-2"/>
                <w:sz w:val="20"/>
              </w:rPr>
              <w:t>pertinentes.</w:t>
            </w:r>
          </w:p>
        </w:tc>
      </w:tr>
      <w:tr>
        <w:trPr>
          <w:trHeight w:val="299" w:hRule="atLeast"/>
        </w:trPr>
        <w:tc>
          <w:tcPr>
            <w:tcW w:w="2976" w:type="dxa"/>
            <w:shd w:val="clear" w:color="auto" w:fill="DCE6F0"/>
          </w:tcPr>
          <w:p>
            <w:pPr>
              <w:pStyle w:val="TableParagraph"/>
              <w:spacing w:before="33"/>
              <w:ind w:left="67"/>
              <w:rPr>
                <w:b/>
                <w:sz w:val="20"/>
              </w:rPr>
            </w:pPr>
            <w:r>
              <w:rPr>
                <w:b/>
                <w:spacing w:val="-2"/>
                <w:sz w:val="20"/>
              </w:rPr>
              <w:t>Clasificación:</w:t>
            </w:r>
          </w:p>
        </w:tc>
        <w:tc>
          <w:tcPr>
            <w:tcW w:w="7513" w:type="dxa"/>
          </w:tcPr>
          <w:p>
            <w:pPr>
              <w:pStyle w:val="TableParagraph"/>
              <w:spacing w:before="33"/>
              <w:ind w:left="70"/>
              <w:rPr>
                <w:sz w:val="20"/>
              </w:rPr>
            </w:pPr>
            <w:r>
              <w:rPr>
                <w:sz w:val="20"/>
              </w:rPr>
              <w:t>Impacto</w:t>
            </w:r>
            <w:r>
              <w:rPr>
                <w:spacing w:val="-4"/>
                <w:sz w:val="20"/>
              </w:rPr>
              <w:t> </w:t>
            </w:r>
            <w:r>
              <w:rPr>
                <w:sz w:val="20"/>
              </w:rPr>
              <w:t>()</w:t>
            </w:r>
            <w:r>
              <w:rPr>
                <w:spacing w:val="-4"/>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1401" w:hRule="atLeast"/>
        </w:trPr>
        <w:tc>
          <w:tcPr>
            <w:tcW w:w="2976" w:type="dxa"/>
            <w:shd w:val="clear" w:color="auto" w:fill="DCE6F0"/>
          </w:tcPr>
          <w:p>
            <w:pPr>
              <w:pStyle w:val="TableParagraph"/>
              <w:rPr>
                <w:b/>
                <w:sz w:val="20"/>
              </w:rPr>
            </w:pPr>
          </w:p>
          <w:p>
            <w:pPr>
              <w:pStyle w:val="TableParagraph"/>
              <w:spacing w:before="125"/>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3" w:type="dxa"/>
          </w:tcPr>
          <w:p>
            <w:pPr>
              <w:pStyle w:val="TableParagraph"/>
              <w:rPr>
                <w:b/>
                <w:sz w:val="20"/>
              </w:rPr>
            </w:pPr>
          </w:p>
          <w:p>
            <w:pPr>
              <w:pStyle w:val="TableParagraph"/>
              <w:spacing w:before="9"/>
              <w:rPr>
                <w:b/>
                <w:sz w:val="20"/>
              </w:rPr>
            </w:pPr>
          </w:p>
          <w:p>
            <w:pPr>
              <w:pStyle w:val="TableParagraph"/>
              <w:spacing w:before="1"/>
              <w:ind w:left="70" w:right="133"/>
              <w:rPr>
                <w:sz w:val="20"/>
              </w:rPr>
            </w:pPr>
            <w:r>
              <w:rPr>
                <w:sz w:val="20"/>
              </w:rPr>
              <w:t>El</w:t>
            </w:r>
            <w:r>
              <w:rPr>
                <w:spacing w:val="-5"/>
                <w:sz w:val="20"/>
              </w:rPr>
              <w:t> </w:t>
            </w:r>
            <w:r>
              <w:rPr>
                <w:sz w:val="20"/>
              </w:rPr>
              <w:t>presupuesto</w:t>
            </w:r>
            <w:r>
              <w:rPr>
                <w:spacing w:val="-7"/>
                <w:sz w:val="20"/>
              </w:rPr>
              <w:t> </w:t>
            </w:r>
            <w:r>
              <w:rPr>
                <w:sz w:val="20"/>
              </w:rPr>
              <w:t>está</w:t>
            </w:r>
            <w:r>
              <w:rPr>
                <w:spacing w:val="-6"/>
                <w:sz w:val="20"/>
              </w:rPr>
              <w:t> </w:t>
            </w:r>
            <w:r>
              <w:rPr>
                <w:sz w:val="20"/>
              </w:rPr>
              <w:t>asociado</w:t>
            </w:r>
            <w:r>
              <w:rPr>
                <w:spacing w:val="-7"/>
                <w:sz w:val="20"/>
              </w:rPr>
              <w:t> </w:t>
            </w:r>
            <w:r>
              <w:rPr>
                <w:sz w:val="20"/>
              </w:rPr>
              <w:t>con</w:t>
            </w:r>
            <w:r>
              <w:rPr>
                <w:spacing w:val="-5"/>
                <w:sz w:val="20"/>
              </w:rPr>
              <w:t> </w:t>
            </w:r>
            <w:r>
              <w:rPr>
                <w:sz w:val="20"/>
              </w:rPr>
              <w:t>una</w:t>
            </w:r>
            <w:r>
              <w:rPr>
                <w:spacing w:val="-4"/>
                <w:sz w:val="20"/>
              </w:rPr>
              <w:t> </w:t>
            </w:r>
            <w:r>
              <w:rPr>
                <w:sz w:val="20"/>
              </w:rPr>
              <w:t>contratación</w:t>
            </w:r>
            <w:r>
              <w:rPr>
                <w:spacing w:val="-6"/>
                <w:sz w:val="20"/>
              </w:rPr>
              <w:t> </w:t>
            </w:r>
            <w:r>
              <w:rPr>
                <w:sz w:val="20"/>
              </w:rPr>
              <w:t>administrativa</w:t>
            </w:r>
            <w:r>
              <w:rPr>
                <w:spacing w:val="-4"/>
                <w:sz w:val="20"/>
              </w:rPr>
              <w:t> </w:t>
            </w:r>
            <w:r>
              <w:rPr>
                <w:sz w:val="20"/>
              </w:rPr>
              <w:t>relacionada</w:t>
            </w:r>
            <w:r>
              <w:rPr>
                <w:spacing w:val="-4"/>
                <w:sz w:val="20"/>
              </w:rPr>
              <w:t> </w:t>
            </w:r>
            <w:r>
              <w:rPr>
                <w:sz w:val="20"/>
              </w:rPr>
              <w:t>con el cumplimiento de las metas de la UEIG en el plan quinquenal de la PIGI IMAS.</w:t>
            </w:r>
          </w:p>
        </w:tc>
      </w:tr>
    </w:tbl>
    <w:p>
      <w:pPr>
        <w:pStyle w:val="TableParagraph"/>
        <w:spacing w:after="0"/>
        <w:rPr>
          <w:sz w:val="20"/>
        </w:rPr>
        <w:sectPr>
          <w:type w:val="continuous"/>
          <w:pgSz w:w="12240" w:h="15840"/>
          <w:pgMar w:header="0" w:footer="2082" w:top="1400" w:bottom="2600" w:left="720" w:right="720"/>
        </w:sectPr>
      </w:pPr>
    </w:p>
    <w:p>
      <w:pPr>
        <w:pStyle w:val="Heading3"/>
        <w:spacing w:before="75"/>
        <w:ind w:left="840"/>
      </w:pPr>
      <w:bookmarkStart w:name="_bookmark84" w:id="85"/>
      <w:bookmarkEnd w:id="85"/>
      <w:r>
        <w:rPr>
          <w:b w:val="0"/>
        </w:rPr>
      </w:r>
      <w:r>
        <w:rPr/>
        <w:t>Anexo</w:t>
      </w:r>
      <w:r>
        <w:rPr>
          <w:spacing w:val="-6"/>
        </w:rPr>
        <w:t> </w:t>
      </w:r>
      <w:r>
        <w:rPr/>
        <w:t>VII:</w:t>
      </w:r>
      <w:r>
        <w:rPr>
          <w:spacing w:val="-4"/>
        </w:rPr>
        <w:t> </w:t>
      </w:r>
      <w:r>
        <w:rPr/>
        <w:t>Fichas</w:t>
      </w:r>
      <w:r>
        <w:rPr>
          <w:spacing w:val="-6"/>
        </w:rPr>
        <w:t> </w:t>
      </w:r>
      <w:r>
        <w:rPr/>
        <w:t>de</w:t>
      </w:r>
      <w:r>
        <w:rPr>
          <w:spacing w:val="-5"/>
        </w:rPr>
        <w:t> </w:t>
      </w:r>
      <w:r>
        <w:rPr/>
        <w:t>Indicadores</w:t>
      </w:r>
      <w:r>
        <w:rPr>
          <w:spacing w:val="-4"/>
        </w:rPr>
        <w:t> </w:t>
      </w:r>
      <w:r>
        <w:rPr/>
        <w:t>Programa</w:t>
      </w:r>
      <w:r>
        <w:rPr>
          <w:spacing w:val="-4"/>
        </w:rPr>
        <w:t> </w:t>
      </w:r>
      <w:r>
        <w:rPr/>
        <w:t>Empresas</w:t>
      </w:r>
      <w:r>
        <w:rPr>
          <w:spacing w:val="-5"/>
        </w:rPr>
        <w:t> </w:t>
      </w:r>
      <w:r>
        <w:rPr>
          <w:spacing w:val="-2"/>
        </w:rPr>
        <w:t>Comerciales</w:t>
      </w:r>
    </w:p>
    <w:p>
      <w:pPr>
        <w:pStyle w:val="BodyText"/>
        <w:spacing w:before="45" w:after="1"/>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7519"/>
      </w:tblGrid>
      <w:tr>
        <w:trPr>
          <w:trHeight w:val="299" w:hRule="atLeast"/>
        </w:trPr>
        <w:tc>
          <w:tcPr>
            <w:tcW w:w="2972" w:type="dxa"/>
            <w:shd w:val="clear" w:color="auto" w:fill="DCE6F0"/>
          </w:tcPr>
          <w:p>
            <w:pPr>
              <w:pStyle w:val="TableParagraph"/>
              <w:spacing w:before="33"/>
              <w:ind w:left="67"/>
              <w:rPr>
                <w:b/>
                <w:sz w:val="20"/>
              </w:rPr>
            </w:pPr>
            <w:r>
              <w:rPr>
                <w:b/>
                <w:sz w:val="20"/>
              </w:rPr>
              <w:t>PEC</w:t>
            </w:r>
            <w:r>
              <w:rPr>
                <w:b/>
                <w:spacing w:val="-5"/>
                <w:sz w:val="20"/>
              </w:rPr>
              <w:t> </w:t>
            </w:r>
            <w:r>
              <w:rPr>
                <w:b/>
                <w:spacing w:val="-2"/>
                <w:sz w:val="20"/>
              </w:rPr>
              <w:t>3.1.1</w:t>
            </w:r>
          </w:p>
        </w:tc>
        <w:tc>
          <w:tcPr>
            <w:tcW w:w="7519" w:type="dxa"/>
          </w:tcPr>
          <w:p>
            <w:pPr>
              <w:pStyle w:val="TableParagraph"/>
              <w:spacing w:before="33"/>
              <w:ind w:left="66"/>
              <w:rPr>
                <w:sz w:val="20"/>
              </w:rPr>
            </w:pPr>
            <w:r>
              <w:rPr>
                <w:sz w:val="20"/>
              </w:rPr>
              <w:t>Nombre</w:t>
            </w:r>
            <w:r>
              <w:rPr>
                <w:spacing w:val="-7"/>
                <w:sz w:val="20"/>
              </w:rPr>
              <w:t> </w:t>
            </w:r>
            <w:r>
              <w:rPr>
                <w:sz w:val="20"/>
              </w:rPr>
              <w:t>del</w:t>
            </w:r>
            <w:r>
              <w:rPr>
                <w:spacing w:val="-8"/>
                <w:sz w:val="20"/>
              </w:rPr>
              <w:t> </w:t>
            </w:r>
            <w:r>
              <w:rPr>
                <w:sz w:val="20"/>
              </w:rPr>
              <w:t>Indicador:</w:t>
            </w:r>
            <w:r>
              <w:rPr>
                <w:spacing w:val="-6"/>
                <w:sz w:val="20"/>
              </w:rPr>
              <w:t> </w:t>
            </w:r>
            <w:r>
              <w:rPr>
                <w:sz w:val="20"/>
              </w:rPr>
              <w:t>Monto</w:t>
            </w:r>
            <w:r>
              <w:rPr>
                <w:spacing w:val="-9"/>
                <w:sz w:val="20"/>
              </w:rPr>
              <w:t> </w:t>
            </w:r>
            <w:r>
              <w:rPr>
                <w:sz w:val="20"/>
              </w:rPr>
              <w:t>estimado</w:t>
            </w:r>
            <w:r>
              <w:rPr>
                <w:spacing w:val="-8"/>
                <w:sz w:val="20"/>
              </w:rPr>
              <w:t> </w:t>
            </w:r>
            <w:r>
              <w:rPr>
                <w:sz w:val="20"/>
              </w:rPr>
              <w:t>de</w:t>
            </w:r>
            <w:r>
              <w:rPr>
                <w:spacing w:val="-8"/>
                <w:sz w:val="20"/>
              </w:rPr>
              <w:t> </w:t>
            </w:r>
            <w:r>
              <w:rPr>
                <w:sz w:val="20"/>
              </w:rPr>
              <w:t>ingresos</w:t>
            </w:r>
            <w:r>
              <w:rPr>
                <w:spacing w:val="-6"/>
                <w:sz w:val="20"/>
              </w:rPr>
              <w:t> </w:t>
            </w:r>
            <w:r>
              <w:rPr>
                <w:sz w:val="20"/>
              </w:rPr>
              <w:t>por</w:t>
            </w:r>
            <w:r>
              <w:rPr>
                <w:spacing w:val="-7"/>
                <w:sz w:val="20"/>
              </w:rPr>
              <w:t> </w:t>
            </w:r>
            <w:r>
              <w:rPr>
                <w:spacing w:val="-2"/>
                <w:sz w:val="20"/>
              </w:rPr>
              <w:t>ventas</w:t>
            </w:r>
          </w:p>
        </w:tc>
      </w:tr>
      <w:tr>
        <w:trPr>
          <w:trHeight w:val="299" w:hRule="atLeast"/>
        </w:trPr>
        <w:tc>
          <w:tcPr>
            <w:tcW w:w="2972" w:type="dxa"/>
            <w:shd w:val="clear" w:color="auto" w:fill="DCE6F0"/>
          </w:tcPr>
          <w:p>
            <w:pPr>
              <w:pStyle w:val="TableParagraph"/>
              <w:spacing w:before="35"/>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9" w:type="dxa"/>
          </w:tcPr>
          <w:p>
            <w:pPr>
              <w:pStyle w:val="TableParagraph"/>
              <w:spacing w:before="35"/>
              <w:ind w:left="66"/>
              <w:rPr>
                <w:sz w:val="20"/>
              </w:rPr>
            </w:pPr>
            <w:r>
              <w:rPr>
                <w:sz w:val="20"/>
              </w:rPr>
              <w:t>Sumatoria</w:t>
            </w:r>
            <w:r>
              <w:rPr>
                <w:spacing w:val="-7"/>
                <w:sz w:val="20"/>
              </w:rPr>
              <w:t> </w:t>
            </w:r>
            <w:r>
              <w:rPr>
                <w:sz w:val="20"/>
              </w:rPr>
              <w:t>total</w:t>
            </w:r>
            <w:r>
              <w:rPr>
                <w:spacing w:val="-8"/>
                <w:sz w:val="20"/>
              </w:rPr>
              <w:t> </w:t>
            </w:r>
            <w:r>
              <w:rPr>
                <w:sz w:val="20"/>
              </w:rPr>
              <w:t>de</w:t>
            </w:r>
            <w:r>
              <w:rPr>
                <w:spacing w:val="-5"/>
                <w:sz w:val="20"/>
              </w:rPr>
              <w:t> </w:t>
            </w:r>
            <w:r>
              <w:rPr>
                <w:sz w:val="20"/>
              </w:rPr>
              <w:t>las</w:t>
            </w:r>
            <w:r>
              <w:rPr>
                <w:spacing w:val="-5"/>
                <w:sz w:val="20"/>
              </w:rPr>
              <w:t> </w:t>
            </w:r>
            <w:r>
              <w:rPr>
                <w:sz w:val="20"/>
              </w:rPr>
              <w:t>ventas</w:t>
            </w:r>
            <w:r>
              <w:rPr>
                <w:spacing w:val="-6"/>
                <w:sz w:val="20"/>
              </w:rPr>
              <w:t> </w:t>
            </w:r>
            <w:r>
              <w:rPr>
                <w:sz w:val="20"/>
              </w:rPr>
              <w:t>realizadas</w:t>
            </w:r>
            <w:r>
              <w:rPr>
                <w:spacing w:val="-4"/>
                <w:sz w:val="20"/>
              </w:rPr>
              <w:t> </w:t>
            </w:r>
            <w:r>
              <w:rPr>
                <w:sz w:val="20"/>
              </w:rPr>
              <w:t>durante</w:t>
            </w:r>
            <w:r>
              <w:rPr>
                <w:spacing w:val="-8"/>
                <w:sz w:val="20"/>
              </w:rPr>
              <w:t> </w:t>
            </w:r>
            <w:r>
              <w:rPr>
                <w:sz w:val="20"/>
              </w:rPr>
              <w:t>el</w:t>
            </w:r>
            <w:r>
              <w:rPr>
                <w:spacing w:val="-7"/>
                <w:sz w:val="20"/>
              </w:rPr>
              <w:t> </w:t>
            </w:r>
            <w:r>
              <w:rPr>
                <w:sz w:val="20"/>
              </w:rPr>
              <w:t>año</w:t>
            </w:r>
            <w:r>
              <w:rPr>
                <w:spacing w:val="-7"/>
                <w:sz w:val="20"/>
              </w:rPr>
              <w:t> </w:t>
            </w:r>
            <w:r>
              <w:rPr>
                <w:spacing w:val="-4"/>
                <w:sz w:val="20"/>
              </w:rPr>
              <w:t>2027</w:t>
            </w:r>
          </w:p>
        </w:tc>
      </w:tr>
      <w:tr>
        <w:trPr>
          <w:trHeight w:val="479" w:hRule="atLeast"/>
        </w:trPr>
        <w:tc>
          <w:tcPr>
            <w:tcW w:w="2972" w:type="dxa"/>
            <w:shd w:val="clear" w:color="auto" w:fill="DCE6F0"/>
          </w:tcPr>
          <w:p>
            <w:pPr>
              <w:pStyle w:val="TableParagraph"/>
              <w:spacing w:before="124"/>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9" w:type="dxa"/>
          </w:tcPr>
          <w:p>
            <w:pPr>
              <w:pStyle w:val="TableParagraph"/>
              <w:spacing w:before="124"/>
              <w:ind w:left="66"/>
              <w:rPr>
                <w:sz w:val="20"/>
              </w:rPr>
            </w:pPr>
            <w:r>
              <w:rPr>
                <w:sz w:val="20"/>
              </w:rPr>
              <w:t>Cantidad</w:t>
            </w:r>
            <w:r>
              <w:rPr>
                <w:spacing w:val="-8"/>
                <w:sz w:val="20"/>
              </w:rPr>
              <w:t> </w:t>
            </w:r>
            <w:r>
              <w:rPr>
                <w:sz w:val="20"/>
              </w:rPr>
              <w:t>de</w:t>
            </w:r>
            <w:r>
              <w:rPr>
                <w:spacing w:val="-6"/>
                <w:sz w:val="20"/>
              </w:rPr>
              <w:t> </w:t>
            </w:r>
            <w:r>
              <w:rPr>
                <w:sz w:val="20"/>
              </w:rPr>
              <w:t>ventas</w:t>
            </w:r>
            <w:r>
              <w:rPr>
                <w:spacing w:val="-7"/>
                <w:sz w:val="20"/>
              </w:rPr>
              <w:t> </w:t>
            </w:r>
            <w:r>
              <w:rPr>
                <w:sz w:val="20"/>
              </w:rPr>
              <w:t>realizadas</w:t>
            </w:r>
            <w:r>
              <w:rPr>
                <w:spacing w:val="-7"/>
                <w:sz w:val="20"/>
              </w:rPr>
              <w:t> </w:t>
            </w:r>
            <w:r>
              <w:rPr>
                <w:sz w:val="20"/>
              </w:rPr>
              <w:t>en</w:t>
            </w:r>
            <w:r>
              <w:rPr>
                <w:spacing w:val="-9"/>
                <w:sz w:val="20"/>
              </w:rPr>
              <w:t> </w:t>
            </w:r>
            <w:r>
              <w:rPr>
                <w:spacing w:val="-2"/>
                <w:sz w:val="20"/>
              </w:rPr>
              <w:t>colones</w:t>
            </w:r>
          </w:p>
        </w:tc>
      </w:tr>
      <w:tr>
        <w:trPr>
          <w:trHeight w:val="750" w:hRule="atLeast"/>
        </w:trPr>
        <w:tc>
          <w:tcPr>
            <w:tcW w:w="2972" w:type="dxa"/>
            <w:shd w:val="clear" w:color="auto" w:fill="DCE6F0"/>
          </w:tcPr>
          <w:p>
            <w:pPr>
              <w:pStyle w:val="TableParagraph"/>
              <w:spacing w:before="31"/>
              <w:rPr>
                <w:b/>
                <w:sz w:val="20"/>
              </w:rPr>
            </w:pPr>
          </w:p>
          <w:p>
            <w:pPr>
              <w:pStyle w:val="TableParagraph"/>
              <w:ind w:left="67"/>
              <w:rPr>
                <w:b/>
                <w:sz w:val="20"/>
              </w:rPr>
            </w:pPr>
            <w:r>
              <w:rPr>
                <w:b/>
                <w:spacing w:val="-2"/>
                <w:sz w:val="20"/>
              </w:rPr>
              <w:t>Interpretación:</w:t>
            </w:r>
          </w:p>
        </w:tc>
        <w:tc>
          <w:tcPr>
            <w:tcW w:w="7519" w:type="dxa"/>
          </w:tcPr>
          <w:p>
            <w:pPr>
              <w:pStyle w:val="TableParagraph"/>
              <w:spacing w:before="146"/>
              <w:ind w:left="66"/>
              <w:rPr>
                <w:sz w:val="20"/>
              </w:rPr>
            </w:pPr>
            <w:r>
              <w:rPr>
                <w:sz w:val="20"/>
              </w:rPr>
              <w:t>Corresponde</w:t>
            </w:r>
            <w:r>
              <w:rPr>
                <w:spacing w:val="-6"/>
                <w:sz w:val="20"/>
              </w:rPr>
              <w:t> </w:t>
            </w:r>
            <w:r>
              <w:rPr>
                <w:sz w:val="20"/>
              </w:rPr>
              <w:t>al</w:t>
            </w:r>
            <w:r>
              <w:rPr>
                <w:spacing w:val="-6"/>
                <w:sz w:val="20"/>
              </w:rPr>
              <w:t> </w:t>
            </w:r>
            <w:r>
              <w:rPr>
                <w:sz w:val="20"/>
              </w:rPr>
              <w:t>ingreso</w:t>
            </w:r>
            <w:r>
              <w:rPr>
                <w:spacing w:val="-4"/>
                <w:sz w:val="20"/>
              </w:rPr>
              <w:t> </w:t>
            </w:r>
            <w:r>
              <w:rPr>
                <w:sz w:val="20"/>
              </w:rPr>
              <w:t>generado</w:t>
            </w:r>
            <w:r>
              <w:rPr>
                <w:spacing w:val="-6"/>
                <w:sz w:val="20"/>
              </w:rPr>
              <w:t> </w:t>
            </w:r>
            <w:r>
              <w:rPr>
                <w:sz w:val="20"/>
              </w:rPr>
              <w:t>en</w:t>
            </w:r>
            <w:r>
              <w:rPr>
                <w:spacing w:val="-4"/>
                <w:sz w:val="20"/>
              </w:rPr>
              <w:t> </w:t>
            </w:r>
            <w:r>
              <w:rPr>
                <w:sz w:val="20"/>
              </w:rPr>
              <w:t>las</w:t>
            </w:r>
            <w:r>
              <w:rPr>
                <w:spacing w:val="-5"/>
                <w:sz w:val="20"/>
              </w:rPr>
              <w:t> </w:t>
            </w:r>
            <w:r>
              <w:rPr>
                <w:sz w:val="20"/>
              </w:rPr>
              <w:t>tiendas</w:t>
            </w:r>
            <w:r>
              <w:rPr>
                <w:spacing w:val="-3"/>
                <w:sz w:val="20"/>
              </w:rPr>
              <w:t> </w:t>
            </w:r>
            <w:r>
              <w:rPr>
                <w:sz w:val="20"/>
              </w:rPr>
              <w:t>libres</w:t>
            </w:r>
            <w:r>
              <w:rPr>
                <w:spacing w:val="-5"/>
                <w:sz w:val="20"/>
              </w:rPr>
              <w:t> </w:t>
            </w:r>
            <w:r>
              <w:rPr>
                <w:sz w:val="20"/>
              </w:rPr>
              <w:t>generado</w:t>
            </w:r>
            <w:r>
              <w:rPr>
                <w:spacing w:val="-4"/>
                <w:sz w:val="20"/>
              </w:rPr>
              <w:t> </w:t>
            </w:r>
            <w:r>
              <w:rPr>
                <w:sz w:val="20"/>
              </w:rPr>
              <w:t>por</w:t>
            </w:r>
            <w:r>
              <w:rPr>
                <w:spacing w:val="-3"/>
                <w:sz w:val="20"/>
              </w:rPr>
              <w:t> </w:t>
            </w:r>
            <w:r>
              <w:rPr>
                <w:sz w:val="20"/>
              </w:rPr>
              <w:t>medio</w:t>
            </w:r>
            <w:r>
              <w:rPr>
                <w:spacing w:val="-4"/>
                <w:sz w:val="20"/>
              </w:rPr>
              <w:t> </w:t>
            </w:r>
            <w:r>
              <w:rPr>
                <w:sz w:val="20"/>
              </w:rPr>
              <w:t>de</w:t>
            </w:r>
            <w:r>
              <w:rPr>
                <w:spacing w:val="-5"/>
                <w:sz w:val="20"/>
              </w:rPr>
              <w:t> </w:t>
            </w:r>
            <w:r>
              <w:rPr>
                <w:sz w:val="20"/>
              </w:rPr>
              <w:t>la venta de mercadería.</w:t>
            </w:r>
          </w:p>
        </w:tc>
      </w:tr>
      <w:tr>
        <w:trPr>
          <w:trHeight w:val="510" w:hRule="atLeast"/>
        </w:trPr>
        <w:tc>
          <w:tcPr>
            <w:tcW w:w="2972" w:type="dxa"/>
            <w:shd w:val="clear" w:color="auto" w:fill="DCE6F0"/>
          </w:tcPr>
          <w:p>
            <w:pPr>
              <w:pStyle w:val="TableParagraph"/>
              <w:spacing w:before="138"/>
              <w:ind w:left="67"/>
              <w:rPr>
                <w:b/>
                <w:sz w:val="20"/>
              </w:rPr>
            </w:pPr>
            <w:r>
              <w:rPr>
                <w:b/>
                <w:spacing w:val="-2"/>
                <w:sz w:val="20"/>
              </w:rPr>
              <w:t>Desagregación</w:t>
            </w:r>
          </w:p>
        </w:tc>
        <w:tc>
          <w:tcPr>
            <w:tcW w:w="7519" w:type="dxa"/>
          </w:tcPr>
          <w:p>
            <w:pPr>
              <w:pStyle w:val="TableParagraph"/>
              <w:spacing w:before="23"/>
              <w:ind w:left="66"/>
              <w:rPr>
                <w:sz w:val="20"/>
              </w:rPr>
            </w:pPr>
            <w:r>
              <w:rPr>
                <w:sz w:val="20"/>
              </w:rPr>
              <w:t>Regional:</w:t>
            </w:r>
            <w:r>
              <w:rPr>
                <w:spacing w:val="40"/>
                <w:sz w:val="20"/>
              </w:rPr>
              <w:t> </w:t>
            </w:r>
            <w:r>
              <w:rPr>
                <w:sz w:val="20"/>
              </w:rPr>
              <w:t>Este</w:t>
            </w:r>
            <w:r>
              <w:rPr>
                <w:spacing w:val="-3"/>
                <w:sz w:val="20"/>
              </w:rPr>
              <w:t> </w:t>
            </w:r>
            <w:r>
              <w:rPr>
                <w:sz w:val="20"/>
              </w:rPr>
              <w:t>espacio</w:t>
            </w:r>
            <w:r>
              <w:rPr>
                <w:spacing w:val="-5"/>
                <w:sz w:val="20"/>
              </w:rPr>
              <w:t> </w:t>
            </w:r>
            <w:r>
              <w:rPr>
                <w:sz w:val="20"/>
              </w:rPr>
              <w:t>será</w:t>
            </w:r>
            <w:r>
              <w:rPr>
                <w:spacing w:val="-5"/>
                <w:sz w:val="20"/>
              </w:rPr>
              <w:t> </w:t>
            </w:r>
            <w:r>
              <w:rPr>
                <w:sz w:val="20"/>
              </w:rPr>
              <w:t>utilizado</w:t>
            </w:r>
            <w:r>
              <w:rPr>
                <w:spacing w:val="-3"/>
                <w:sz w:val="20"/>
              </w:rPr>
              <w:t> </w:t>
            </w:r>
            <w:r>
              <w:rPr>
                <w:sz w:val="20"/>
              </w:rPr>
              <w:t>para</w:t>
            </w:r>
            <w:r>
              <w:rPr>
                <w:spacing w:val="-3"/>
                <w:sz w:val="20"/>
              </w:rPr>
              <w:t> </w:t>
            </w:r>
            <w:r>
              <w:rPr>
                <w:sz w:val="20"/>
              </w:rPr>
              <w:t>aquellas</w:t>
            </w:r>
            <w:r>
              <w:rPr>
                <w:spacing w:val="-4"/>
                <w:sz w:val="20"/>
              </w:rPr>
              <w:t> </w:t>
            </w:r>
            <w:r>
              <w:rPr>
                <w:sz w:val="20"/>
              </w:rPr>
              <w:t>metas</w:t>
            </w:r>
            <w:r>
              <w:rPr>
                <w:spacing w:val="-4"/>
                <w:sz w:val="20"/>
              </w:rPr>
              <w:t> </w:t>
            </w:r>
            <w:r>
              <w:rPr>
                <w:sz w:val="20"/>
              </w:rPr>
              <w:t>que</w:t>
            </w:r>
            <w:r>
              <w:rPr>
                <w:spacing w:val="-5"/>
                <w:sz w:val="20"/>
              </w:rPr>
              <w:t> </w:t>
            </w:r>
            <w:r>
              <w:rPr>
                <w:sz w:val="20"/>
              </w:rPr>
              <w:t>tengan</w:t>
            </w:r>
            <w:r>
              <w:rPr>
                <w:spacing w:val="-5"/>
                <w:sz w:val="20"/>
              </w:rPr>
              <w:t> </w:t>
            </w:r>
            <w:r>
              <w:rPr>
                <w:sz w:val="20"/>
              </w:rPr>
              <w:t>una segregación por regiones.</w:t>
            </w:r>
          </w:p>
        </w:tc>
      </w:tr>
      <w:tr>
        <w:trPr>
          <w:trHeight w:val="299" w:hRule="atLeast"/>
        </w:trPr>
        <w:tc>
          <w:tcPr>
            <w:tcW w:w="2972" w:type="dxa"/>
            <w:shd w:val="clear" w:color="auto" w:fill="DCE6F0"/>
          </w:tcPr>
          <w:p>
            <w:pPr>
              <w:pStyle w:val="TableParagraph"/>
              <w:spacing w:before="33"/>
              <w:ind w:left="67"/>
              <w:rPr>
                <w:b/>
                <w:sz w:val="20"/>
              </w:rPr>
            </w:pPr>
            <w:r>
              <w:rPr>
                <w:b/>
                <w:spacing w:val="-2"/>
                <w:sz w:val="20"/>
              </w:rPr>
              <w:t>Meta:</w:t>
            </w:r>
          </w:p>
        </w:tc>
        <w:tc>
          <w:tcPr>
            <w:tcW w:w="7519" w:type="dxa"/>
          </w:tcPr>
          <w:p>
            <w:pPr>
              <w:pStyle w:val="TableParagraph"/>
              <w:spacing w:before="33"/>
              <w:ind w:left="66"/>
              <w:rPr>
                <w:sz w:val="20"/>
              </w:rPr>
            </w:pPr>
            <w:r>
              <w:rPr>
                <w:spacing w:val="-2"/>
                <w:sz w:val="20"/>
              </w:rPr>
              <w:t>¢21,796,808,313.00</w:t>
            </w:r>
          </w:p>
        </w:tc>
      </w:tr>
      <w:tr>
        <w:trPr>
          <w:trHeight w:val="300" w:hRule="atLeast"/>
        </w:trPr>
        <w:tc>
          <w:tcPr>
            <w:tcW w:w="2972" w:type="dxa"/>
            <w:shd w:val="clear" w:color="auto" w:fill="DCE6F0"/>
          </w:tcPr>
          <w:p>
            <w:pPr>
              <w:pStyle w:val="TableParagraph"/>
              <w:spacing w:before="33"/>
              <w:ind w:left="67"/>
              <w:rPr>
                <w:b/>
                <w:sz w:val="20"/>
              </w:rPr>
            </w:pPr>
            <w:r>
              <w:rPr>
                <w:b/>
                <w:sz w:val="20"/>
              </w:rPr>
              <w:t>Línea</w:t>
            </w:r>
            <w:r>
              <w:rPr>
                <w:b/>
                <w:spacing w:val="-10"/>
                <w:sz w:val="20"/>
              </w:rPr>
              <w:t> </w:t>
            </w:r>
            <w:r>
              <w:rPr>
                <w:b/>
                <w:spacing w:val="-4"/>
                <w:sz w:val="20"/>
              </w:rPr>
              <w:t>Base</w:t>
            </w:r>
          </w:p>
        </w:tc>
        <w:tc>
          <w:tcPr>
            <w:tcW w:w="7519" w:type="dxa"/>
          </w:tcPr>
          <w:p>
            <w:pPr>
              <w:pStyle w:val="TableParagraph"/>
              <w:spacing w:before="33"/>
              <w:ind w:left="66"/>
              <w:rPr>
                <w:sz w:val="20"/>
              </w:rPr>
            </w:pPr>
            <w:r>
              <w:rPr>
                <w:spacing w:val="-2"/>
                <w:sz w:val="20"/>
              </w:rPr>
              <w:t>¢20,756,843,165.00</w:t>
            </w:r>
          </w:p>
        </w:tc>
      </w:tr>
      <w:tr>
        <w:trPr>
          <w:trHeight w:val="510" w:hRule="atLeast"/>
        </w:trPr>
        <w:tc>
          <w:tcPr>
            <w:tcW w:w="2972" w:type="dxa"/>
            <w:shd w:val="clear" w:color="auto" w:fill="DCE6F0"/>
          </w:tcPr>
          <w:p>
            <w:pPr>
              <w:pStyle w:val="TableParagraph"/>
              <w:spacing w:before="2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9" w:type="dxa"/>
          </w:tcPr>
          <w:p>
            <w:pPr>
              <w:pStyle w:val="TableParagraph"/>
              <w:spacing w:before="138"/>
              <w:ind w:left="66"/>
              <w:rPr>
                <w:sz w:val="20"/>
              </w:rPr>
            </w:pPr>
            <w:r>
              <w:rPr>
                <w:spacing w:val="-2"/>
                <w:sz w:val="20"/>
              </w:rPr>
              <w:t>trimestral</w:t>
            </w:r>
          </w:p>
        </w:tc>
      </w:tr>
      <w:tr>
        <w:trPr>
          <w:trHeight w:val="885" w:hRule="atLeast"/>
        </w:trPr>
        <w:tc>
          <w:tcPr>
            <w:tcW w:w="2972" w:type="dxa"/>
            <w:shd w:val="clear" w:color="auto" w:fill="DCE6F0"/>
          </w:tcPr>
          <w:p>
            <w:pPr>
              <w:pStyle w:val="TableParagraph"/>
              <w:spacing w:before="210"/>
              <w:ind w:left="67" w:right="510"/>
              <w:rPr>
                <w:b/>
                <w:sz w:val="20"/>
              </w:rPr>
            </w:pPr>
            <w:r>
              <w:rPr>
                <w:b/>
                <w:sz w:val="20"/>
              </w:rPr>
              <w:t>Responsable de la recopilación</w:t>
            </w:r>
            <w:r>
              <w:rPr>
                <w:b/>
                <w:spacing w:val="-14"/>
                <w:sz w:val="20"/>
              </w:rPr>
              <w:t> </w:t>
            </w:r>
            <w:r>
              <w:rPr>
                <w:b/>
                <w:sz w:val="20"/>
              </w:rPr>
              <w:t>información</w:t>
            </w:r>
          </w:p>
        </w:tc>
        <w:tc>
          <w:tcPr>
            <w:tcW w:w="7519" w:type="dxa"/>
          </w:tcPr>
          <w:p>
            <w:pPr>
              <w:pStyle w:val="TableParagraph"/>
              <w:spacing w:before="210"/>
              <w:ind w:left="66" w:right="2858"/>
              <w:rPr>
                <w:sz w:val="20"/>
              </w:rPr>
            </w:pPr>
            <w:r>
              <w:rPr>
                <w:sz w:val="20"/>
              </w:rPr>
              <w:t>Nombre</w:t>
            </w:r>
            <w:r>
              <w:rPr>
                <w:spacing w:val="-8"/>
                <w:sz w:val="20"/>
              </w:rPr>
              <w:t> </w:t>
            </w:r>
            <w:r>
              <w:rPr>
                <w:sz w:val="20"/>
              </w:rPr>
              <w:t>del</w:t>
            </w:r>
            <w:r>
              <w:rPr>
                <w:spacing w:val="-10"/>
                <w:sz w:val="20"/>
              </w:rPr>
              <w:t> </w:t>
            </w:r>
            <w:r>
              <w:rPr>
                <w:sz w:val="20"/>
              </w:rPr>
              <w:t>funcionario:</w:t>
            </w:r>
            <w:r>
              <w:rPr>
                <w:spacing w:val="-9"/>
                <w:sz w:val="20"/>
              </w:rPr>
              <w:t> </w:t>
            </w:r>
            <w:r>
              <w:rPr>
                <w:sz w:val="20"/>
              </w:rPr>
              <w:t>María</w:t>
            </w:r>
            <w:r>
              <w:rPr>
                <w:spacing w:val="-9"/>
                <w:sz w:val="20"/>
              </w:rPr>
              <w:t> </w:t>
            </w:r>
            <w:r>
              <w:rPr>
                <w:sz w:val="20"/>
              </w:rPr>
              <w:t>Damaris</w:t>
            </w:r>
            <w:r>
              <w:rPr>
                <w:spacing w:val="-8"/>
                <w:sz w:val="20"/>
              </w:rPr>
              <w:t> </w:t>
            </w:r>
            <w:r>
              <w:rPr>
                <w:sz w:val="20"/>
              </w:rPr>
              <w:t>Rojas Cargo: jefe de Mercadeo y Ventas</w:t>
            </w:r>
          </w:p>
        </w:tc>
      </w:tr>
      <w:tr>
        <w:trPr>
          <w:trHeight w:val="762" w:hRule="atLeast"/>
        </w:trPr>
        <w:tc>
          <w:tcPr>
            <w:tcW w:w="2972" w:type="dxa"/>
            <w:shd w:val="clear" w:color="auto" w:fill="DCE6F0"/>
          </w:tcPr>
          <w:p>
            <w:pPr>
              <w:pStyle w:val="TableParagraph"/>
              <w:spacing w:before="150"/>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9" w:type="dxa"/>
          </w:tcPr>
          <w:p>
            <w:pPr>
              <w:pStyle w:val="TableParagraph"/>
              <w:spacing w:before="35"/>
              <w:rPr>
                <w:b/>
                <w:sz w:val="20"/>
              </w:rPr>
            </w:pPr>
          </w:p>
          <w:p>
            <w:pPr>
              <w:pStyle w:val="TableParagraph"/>
              <w:spacing w:before="1"/>
              <w:ind w:left="66"/>
              <w:rPr>
                <w:sz w:val="20"/>
              </w:rPr>
            </w:pPr>
            <w:r>
              <w:rPr>
                <w:sz w:val="20"/>
              </w:rPr>
              <w:t>Empresas</w:t>
            </w:r>
            <w:r>
              <w:rPr>
                <w:spacing w:val="-14"/>
                <w:sz w:val="20"/>
              </w:rPr>
              <w:t> </w:t>
            </w:r>
            <w:r>
              <w:rPr>
                <w:spacing w:val="-2"/>
                <w:sz w:val="20"/>
              </w:rPr>
              <w:t>Comerciales</w:t>
            </w:r>
          </w:p>
        </w:tc>
      </w:tr>
      <w:tr>
        <w:trPr>
          <w:trHeight w:val="510" w:hRule="atLeast"/>
        </w:trPr>
        <w:tc>
          <w:tcPr>
            <w:tcW w:w="2972" w:type="dxa"/>
            <w:shd w:val="clear" w:color="auto" w:fill="DCE6F0"/>
          </w:tcPr>
          <w:p>
            <w:pPr>
              <w:pStyle w:val="TableParagraph"/>
              <w:spacing w:before="141"/>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9" w:type="dxa"/>
          </w:tcPr>
          <w:p>
            <w:pPr>
              <w:pStyle w:val="TableParagraph"/>
              <w:spacing w:before="141"/>
              <w:ind w:left="66"/>
              <w:rPr>
                <w:sz w:val="20"/>
              </w:rPr>
            </w:pPr>
            <w:r>
              <w:rPr>
                <w:sz w:val="20"/>
              </w:rPr>
              <w:t>Estados</w:t>
            </w:r>
            <w:r>
              <w:rPr>
                <w:spacing w:val="-5"/>
                <w:sz w:val="20"/>
              </w:rPr>
              <w:t> </w:t>
            </w:r>
            <w:r>
              <w:rPr>
                <w:sz w:val="20"/>
              </w:rPr>
              <w:t>de</w:t>
            </w:r>
            <w:r>
              <w:rPr>
                <w:spacing w:val="-7"/>
                <w:sz w:val="20"/>
              </w:rPr>
              <w:t> </w:t>
            </w:r>
            <w:r>
              <w:rPr>
                <w:sz w:val="20"/>
              </w:rPr>
              <w:t>resultados</w:t>
            </w:r>
            <w:r>
              <w:rPr>
                <w:spacing w:val="-6"/>
                <w:sz w:val="20"/>
              </w:rPr>
              <w:t> </w:t>
            </w:r>
            <w:r>
              <w:rPr>
                <w:sz w:val="20"/>
              </w:rPr>
              <w:t>al</w:t>
            </w:r>
            <w:r>
              <w:rPr>
                <w:spacing w:val="-8"/>
                <w:sz w:val="20"/>
              </w:rPr>
              <w:t> </w:t>
            </w:r>
            <w:r>
              <w:rPr>
                <w:sz w:val="20"/>
              </w:rPr>
              <w:t>31</w:t>
            </w:r>
            <w:r>
              <w:rPr>
                <w:spacing w:val="-7"/>
                <w:sz w:val="20"/>
              </w:rPr>
              <w:t> </w:t>
            </w:r>
            <w:r>
              <w:rPr>
                <w:sz w:val="20"/>
              </w:rPr>
              <w:t>de</w:t>
            </w:r>
            <w:r>
              <w:rPr>
                <w:spacing w:val="-5"/>
                <w:sz w:val="20"/>
              </w:rPr>
              <w:t> </w:t>
            </w:r>
            <w:r>
              <w:rPr>
                <w:sz w:val="20"/>
              </w:rPr>
              <w:t>diciembre</w:t>
            </w:r>
            <w:r>
              <w:rPr>
                <w:spacing w:val="-7"/>
                <w:sz w:val="20"/>
              </w:rPr>
              <w:t> </w:t>
            </w:r>
            <w:r>
              <w:rPr>
                <w:spacing w:val="-4"/>
                <w:sz w:val="20"/>
              </w:rPr>
              <w:t>2027</w:t>
            </w:r>
          </w:p>
        </w:tc>
      </w:tr>
      <w:tr>
        <w:trPr>
          <w:trHeight w:val="510" w:hRule="atLeast"/>
        </w:trPr>
        <w:tc>
          <w:tcPr>
            <w:tcW w:w="2972" w:type="dxa"/>
            <w:shd w:val="clear" w:color="auto" w:fill="DCE6F0"/>
          </w:tcPr>
          <w:p>
            <w:pPr>
              <w:pStyle w:val="TableParagraph"/>
              <w:spacing w:before="138"/>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9" w:type="dxa"/>
          </w:tcPr>
          <w:p>
            <w:pPr>
              <w:pStyle w:val="TableParagraph"/>
              <w:spacing w:before="138"/>
              <w:ind w:left="66"/>
              <w:rPr>
                <w:sz w:val="20"/>
              </w:rPr>
            </w:pPr>
            <w:r>
              <w:rPr>
                <w:sz w:val="20"/>
              </w:rPr>
              <w:t>Estados</w:t>
            </w:r>
            <w:r>
              <w:rPr>
                <w:spacing w:val="-11"/>
                <w:sz w:val="20"/>
              </w:rPr>
              <w:t> </w:t>
            </w:r>
            <w:r>
              <w:rPr>
                <w:spacing w:val="-2"/>
                <w:sz w:val="20"/>
              </w:rPr>
              <w:t>Financieros</w:t>
            </w:r>
          </w:p>
        </w:tc>
      </w:tr>
      <w:tr>
        <w:trPr>
          <w:trHeight w:val="525" w:hRule="atLeast"/>
        </w:trPr>
        <w:tc>
          <w:tcPr>
            <w:tcW w:w="2972" w:type="dxa"/>
            <w:shd w:val="clear" w:color="auto" w:fill="DCE6F0"/>
          </w:tcPr>
          <w:p>
            <w:pPr>
              <w:pStyle w:val="TableParagraph"/>
              <w:spacing w:before="146"/>
              <w:ind w:left="67"/>
              <w:rPr>
                <w:b/>
                <w:sz w:val="20"/>
              </w:rPr>
            </w:pPr>
            <w:r>
              <w:rPr>
                <w:b/>
                <w:spacing w:val="-2"/>
                <w:sz w:val="20"/>
              </w:rPr>
              <w:t>Clasificación</w:t>
            </w:r>
          </w:p>
        </w:tc>
        <w:tc>
          <w:tcPr>
            <w:tcW w:w="7519" w:type="dxa"/>
          </w:tcPr>
          <w:p>
            <w:pPr>
              <w:pStyle w:val="TableParagraph"/>
              <w:spacing w:before="146"/>
              <w:ind w:left="66"/>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784" w:hRule="atLeast"/>
        </w:trPr>
        <w:tc>
          <w:tcPr>
            <w:tcW w:w="2972" w:type="dxa"/>
            <w:shd w:val="clear" w:color="auto" w:fill="DCE6F0"/>
          </w:tcPr>
          <w:p>
            <w:pPr>
              <w:pStyle w:val="TableParagraph"/>
              <w:spacing w:before="45"/>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9" w:type="dxa"/>
          </w:tcPr>
          <w:p>
            <w:pPr>
              <w:pStyle w:val="TableParagraph"/>
              <w:spacing w:before="160"/>
              <w:ind w:left="66"/>
              <w:rPr>
                <w:sz w:val="20"/>
              </w:rPr>
            </w:pPr>
            <w:r>
              <w:rPr>
                <w:sz w:val="20"/>
              </w:rPr>
              <w:t>Mencionar</w:t>
            </w:r>
            <w:r>
              <w:rPr>
                <w:spacing w:val="-4"/>
                <w:sz w:val="20"/>
              </w:rPr>
              <w:t> </w:t>
            </w:r>
            <w:r>
              <w:rPr>
                <w:sz w:val="20"/>
              </w:rPr>
              <w:t>cualquier</w:t>
            </w:r>
            <w:r>
              <w:rPr>
                <w:spacing w:val="-4"/>
                <w:sz w:val="20"/>
              </w:rPr>
              <w:t> </w:t>
            </w:r>
            <w:r>
              <w:rPr>
                <w:sz w:val="20"/>
              </w:rPr>
              <w:t>observación</w:t>
            </w:r>
            <w:r>
              <w:rPr>
                <w:spacing w:val="-5"/>
                <w:sz w:val="20"/>
              </w:rPr>
              <w:t> </w:t>
            </w:r>
            <w:r>
              <w:rPr>
                <w:sz w:val="20"/>
              </w:rPr>
              <w:t>que</w:t>
            </w:r>
            <w:r>
              <w:rPr>
                <w:spacing w:val="-5"/>
                <w:sz w:val="20"/>
              </w:rPr>
              <w:t> </w:t>
            </w:r>
            <w:r>
              <w:rPr>
                <w:sz w:val="20"/>
              </w:rPr>
              <w:t>se</w:t>
            </w:r>
            <w:r>
              <w:rPr>
                <w:spacing w:val="-4"/>
                <w:sz w:val="20"/>
              </w:rPr>
              <w:t> </w:t>
            </w:r>
            <w:r>
              <w:rPr>
                <w:sz w:val="20"/>
              </w:rPr>
              <w:t>considere</w:t>
            </w:r>
            <w:r>
              <w:rPr>
                <w:spacing w:val="-4"/>
                <w:sz w:val="20"/>
              </w:rPr>
              <w:t> </w:t>
            </w:r>
            <w:r>
              <w:rPr>
                <w:sz w:val="20"/>
              </w:rPr>
              <w:t>necesaria</w:t>
            </w:r>
            <w:r>
              <w:rPr>
                <w:spacing w:val="-5"/>
                <w:sz w:val="20"/>
              </w:rPr>
              <w:t> </w:t>
            </w:r>
            <w:r>
              <w:rPr>
                <w:sz w:val="20"/>
              </w:rPr>
              <w:t>para</w:t>
            </w:r>
            <w:r>
              <w:rPr>
                <w:spacing w:val="-4"/>
                <w:sz w:val="20"/>
              </w:rPr>
              <w:t> </w:t>
            </w:r>
            <w:r>
              <w:rPr>
                <w:sz w:val="20"/>
              </w:rPr>
              <w:t>que</w:t>
            </w:r>
            <w:r>
              <w:rPr>
                <w:spacing w:val="-4"/>
                <w:sz w:val="20"/>
              </w:rPr>
              <w:t> </w:t>
            </w:r>
            <w:r>
              <w:rPr>
                <w:sz w:val="20"/>
              </w:rPr>
              <w:t>el</w:t>
            </w:r>
            <w:r>
              <w:rPr>
                <w:spacing w:val="-5"/>
                <w:sz w:val="20"/>
              </w:rPr>
              <w:t> </w:t>
            </w:r>
            <w:r>
              <w:rPr>
                <w:sz w:val="20"/>
              </w:rPr>
              <w:t>usuario obtenga una mejor comprensión del indicador</w:t>
            </w:r>
          </w:p>
        </w:tc>
      </w:tr>
    </w:tbl>
    <w:p>
      <w:pPr>
        <w:pStyle w:val="TableParagraph"/>
        <w:spacing w:after="0"/>
        <w:rPr>
          <w:sz w:val="20"/>
        </w:rPr>
        <w:sectPr>
          <w:pgSz w:w="12240" w:h="15840"/>
          <w:pgMar w:header="0" w:footer="2082" w:top="1620" w:bottom="260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7519"/>
      </w:tblGrid>
      <w:tr>
        <w:trPr>
          <w:trHeight w:val="300" w:hRule="atLeast"/>
        </w:trPr>
        <w:tc>
          <w:tcPr>
            <w:tcW w:w="2972" w:type="dxa"/>
            <w:shd w:val="clear" w:color="auto" w:fill="DCE6F0"/>
          </w:tcPr>
          <w:p>
            <w:pPr>
              <w:pStyle w:val="TableParagraph"/>
              <w:spacing w:before="33"/>
              <w:ind w:left="67"/>
              <w:rPr>
                <w:b/>
                <w:sz w:val="20"/>
              </w:rPr>
            </w:pPr>
            <w:r>
              <w:rPr>
                <w:b/>
                <w:sz w:val="20"/>
              </w:rPr>
              <w:t>PEC</w:t>
            </w:r>
            <w:r>
              <w:rPr>
                <w:b/>
                <w:spacing w:val="-5"/>
                <w:sz w:val="20"/>
              </w:rPr>
              <w:t> </w:t>
            </w:r>
            <w:r>
              <w:rPr>
                <w:b/>
                <w:spacing w:val="-2"/>
                <w:sz w:val="20"/>
              </w:rPr>
              <w:t>3.2.1:</w:t>
            </w:r>
          </w:p>
        </w:tc>
        <w:tc>
          <w:tcPr>
            <w:tcW w:w="7519" w:type="dxa"/>
          </w:tcPr>
          <w:p>
            <w:pPr>
              <w:pStyle w:val="TableParagraph"/>
              <w:spacing w:before="33"/>
              <w:ind w:left="69"/>
              <w:rPr>
                <w:sz w:val="20"/>
              </w:rPr>
            </w:pPr>
            <w:r>
              <w:rPr>
                <w:sz w:val="20"/>
              </w:rPr>
              <w:t>Nombre</w:t>
            </w:r>
            <w:r>
              <w:rPr>
                <w:spacing w:val="-7"/>
                <w:sz w:val="20"/>
              </w:rPr>
              <w:t> </w:t>
            </w:r>
            <w:r>
              <w:rPr>
                <w:sz w:val="20"/>
              </w:rPr>
              <w:t>del</w:t>
            </w:r>
            <w:r>
              <w:rPr>
                <w:spacing w:val="-10"/>
                <w:sz w:val="20"/>
              </w:rPr>
              <w:t> </w:t>
            </w:r>
            <w:r>
              <w:rPr>
                <w:sz w:val="20"/>
              </w:rPr>
              <w:t>Indicador:</w:t>
            </w:r>
            <w:r>
              <w:rPr>
                <w:spacing w:val="-8"/>
                <w:sz w:val="20"/>
              </w:rPr>
              <w:t> </w:t>
            </w:r>
            <w:r>
              <w:rPr>
                <w:sz w:val="20"/>
              </w:rPr>
              <w:t>Cantidad</w:t>
            </w:r>
            <w:r>
              <w:rPr>
                <w:spacing w:val="-9"/>
                <w:sz w:val="20"/>
              </w:rPr>
              <w:t> </w:t>
            </w:r>
            <w:r>
              <w:rPr>
                <w:sz w:val="20"/>
              </w:rPr>
              <w:t>de</w:t>
            </w:r>
            <w:r>
              <w:rPr>
                <w:spacing w:val="-7"/>
                <w:sz w:val="20"/>
              </w:rPr>
              <w:t> </w:t>
            </w:r>
            <w:r>
              <w:rPr>
                <w:sz w:val="20"/>
              </w:rPr>
              <w:t>tiendas</w:t>
            </w:r>
            <w:r>
              <w:rPr>
                <w:spacing w:val="-8"/>
                <w:sz w:val="20"/>
              </w:rPr>
              <w:t> </w:t>
            </w:r>
            <w:r>
              <w:rPr>
                <w:spacing w:val="-2"/>
                <w:sz w:val="20"/>
              </w:rPr>
              <w:t>remodeladas</w:t>
            </w:r>
          </w:p>
        </w:tc>
      </w:tr>
      <w:tr>
        <w:trPr>
          <w:trHeight w:val="299" w:hRule="atLeast"/>
        </w:trPr>
        <w:tc>
          <w:tcPr>
            <w:tcW w:w="2972" w:type="dxa"/>
            <w:shd w:val="clear" w:color="auto" w:fill="DCE6F0"/>
          </w:tcPr>
          <w:p>
            <w:pPr>
              <w:pStyle w:val="TableParagraph"/>
              <w:spacing w:before="35"/>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9" w:type="dxa"/>
          </w:tcPr>
          <w:p>
            <w:pPr>
              <w:pStyle w:val="TableParagraph"/>
              <w:spacing w:before="35"/>
              <w:ind w:left="69"/>
              <w:rPr>
                <w:sz w:val="20"/>
              </w:rPr>
            </w:pPr>
            <w:r>
              <w:rPr>
                <w:sz w:val="20"/>
              </w:rPr>
              <w:t>Sumatoria</w:t>
            </w:r>
            <w:r>
              <w:rPr>
                <w:spacing w:val="-7"/>
                <w:sz w:val="20"/>
              </w:rPr>
              <w:t> </w:t>
            </w:r>
            <w:r>
              <w:rPr>
                <w:sz w:val="20"/>
              </w:rPr>
              <w:t>de</w:t>
            </w:r>
            <w:r>
              <w:rPr>
                <w:spacing w:val="-6"/>
                <w:sz w:val="20"/>
              </w:rPr>
              <w:t> </w:t>
            </w:r>
            <w:r>
              <w:rPr>
                <w:sz w:val="20"/>
              </w:rPr>
              <w:t>la</w:t>
            </w:r>
            <w:r>
              <w:rPr>
                <w:spacing w:val="-7"/>
                <w:sz w:val="20"/>
              </w:rPr>
              <w:t> </w:t>
            </w:r>
            <w:r>
              <w:rPr>
                <w:sz w:val="20"/>
              </w:rPr>
              <w:t>cantidad</w:t>
            </w:r>
            <w:r>
              <w:rPr>
                <w:spacing w:val="-7"/>
                <w:sz w:val="20"/>
              </w:rPr>
              <w:t> </w:t>
            </w:r>
            <w:r>
              <w:rPr>
                <w:sz w:val="20"/>
              </w:rPr>
              <w:t>de</w:t>
            </w:r>
            <w:r>
              <w:rPr>
                <w:spacing w:val="-6"/>
                <w:sz w:val="20"/>
              </w:rPr>
              <w:t> </w:t>
            </w:r>
            <w:r>
              <w:rPr>
                <w:sz w:val="20"/>
              </w:rPr>
              <w:t>tiendas</w:t>
            </w:r>
            <w:r>
              <w:rPr>
                <w:spacing w:val="-6"/>
                <w:sz w:val="20"/>
              </w:rPr>
              <w:t> </w:t>
            </w:r>
            <w:r>
              <w:rPr>
                <w:spacing w:val="-2"/>
                <w:sz w:val="20"/>
              </w:rPr>
              <w:t>remodeladas</w:t>
            </w:r>
          </w:p>
        </w:tc>
      </w:tr>
      <w:tr>
        <w:trPr>
          <w:trHeight w:val="299" w:hRule="atLeast"/>
        </w:trPr>
        <w:tc>
          <w:tcPr>
            <w:tcW w:w="2972" w:type="dxa"/>
            <w:shd w:val="clear" w:color="auto" w:fill="DCE6F0"/>
          </w:tcPr>
          <w:p>
            <w:pPr>
              <w:pStyle w:val="TableParagraph"/>
              <w:spacing w:before="35"/>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9" w:type="dxa"/>
          </w:tcPr>
          <w:p>
            <w:pPr>
              <w:pStyle w:val="TableParagraph"/>
              <w:spacing w:before="35"/>
              <w:ind w:left="69"/>
              <w:rPr>
                <w:sz w:val="20"/>
              </w:rPr>
            </w:pPr>
            <w:r>
              <w:rPr>
                <w:sz w:val="20"/>
              </w:rPr>
              <w:t>Cantidad</w:t>
            </w:r>
            <w:r>
              <w:rPr>
                <w:spacing w:val="-8"/>
                <w:sz w:val="20"/>
              </w:rPr>
              <w:t> </w:t>
            </w:r>
            <w:r>
              <w:rPr>
                <w:sz w:val="20"/>
              </w:rPr>
              <w:t>de</w:t>
            </w:r>
            <w:r>
              <w:rPr>
                <w:spacing w:val="-6"/>
                <w:sz w:val="20"/>
              </w:rPr>
              <w:t> </w:t>
            </w:r>
            <w:r>
              <w:rPr>
                <w:sz w:val="20"/>
              </w:rPr>
              <w:t>tiendas</w:t>
            </w:r>
            <w:r>
              <w:rPr>
                <w:spacing w:val="-7"/>
                <w:sz w:val="20"/>
              </w:rPr>
              <w:t> </w:t>
            </w:r>
            <w:r>
              <w:rPr>
                <w:spacing w:val="-2"/>
                <w:sz w:val="20"/>
              </w:rPr>
              <w:t>remodeladas</w:t>
            </w:r>
          </w:p>
        </w:tc>
      </w:tr>
      <w:tr>
        <w:trPr>
          <w:trHeight w:val="1019" w:hRule="atLeast"/>
        </w:trPr>
        <w:tc>
          <w:tcPr>
            <w:tcW w:w="2972" w:type="dxa"/>
            <w:shd w:val="clear" w:color="auto" w:fill="DCE6F0"/>
          </w:tcPr>
          <w:p>
            <w:pPr>
              <w:pStyle w:val="TableParagraph"/>
              <w:spacing w:before="165"/>
              <w:rPr>
                <w:b/>
                <w:sz w:val="20"/>
              </w:rPr>
            </w:pPr>
          </w:p>
          <w:p>
            <w:pPr>
              <w:pStyle w:val="TableParagraph"/>
              <w:ind w:left="67"/>
              <w:rPr>
                <w:b/>
                <w:sz w:val="20"/>
              </w:rPr>
            </w:pPr>
            <w:r>
              <w:rPr>
                <w:b/>
                <w:spacing w:val="-2"/>
                <w:sz w:val="20"/>
              </w:rPr>
              <w:t>Interpretación:</w:t>
            </w:r>
          </w:p>
        </w:tc>
        <w:tc>
          <w:tcPr>
            <w:tcW w:w="7519" w:type="dxa"/>
          </w:tcPr>
          <w:p>
            <w:pPr>
              <w:pStyle w:val="TableParagraph"/>
              <w:spacing w:before="50"/>
              <w:ind w:left="69" w:right="161"/>
              <w:rPr>
                <w:sz w:val="20"/>
              </w:rPr>
            </w:pPr>
            <w:r>
              <w:rPr>
                <w:sz w:val="20"/>
              </w:rPr>
              <w:t>Corresponde</w:t>
            </w:r>
            <w:r>
              <w:rPr>
                <w:spacing w:val="-5"/>
                <w:sz w:val="20"/>
              </w:rPr>
              <w:t> </w:t>
            </w:r>
            <w:r>
              <w:rPr>
                <w:sz w:val="20"/>
              </w:rPr>
              <w:t>a</w:t>
            </w:r>
            <w:r>
              <w:rPr>
                <w:spacing w:val="-4"/>
                <w:sz w:val="20"/>
              </w:rPr>
              <w:t> </w:t>
            </w:r>
            <w:r>
              <w:rPr>
                <w:sz w:val="20"/>
              </w:rPr>
              <w:t>la</w:t>
            </w:r>
            <w:r>
              <w:rPr>
                <w:spacing w:val="-3"/>
                <w:sz w:val="20"/>
              </w:rPr>
              <w:t> </w:t>
            </w:r>
            <w:r>
              <w:rPr>
                <w:sz w:val="20"/>
              </w:rPr>
              <w:t>ejecución</w:t>
            </w:r>
            <w:r>
              <w:rPr>
                <w:spacing w:val="-3"/>
                <w:sz w:val="20"/>
              </w:rPr>
              <w:t> </w:t>
            </w:r>
            <w:r>
              <w:rPr>
                <w:sz w:val="20"/>
              </w:rPr>
              <w:t>de</w:t>
            </w:r>
            <w:r>
              <w:rPr>
                <w:spacing w:val="-4"/>
                <w:sz w:val="20"/>
              </w:rPr>
              <w:t> </w:t>
            </w:r>
            <w:r>
              <w:rPr>
                <w:sz w:val="20"/>
              </w:rPr>
              <w:t>la</w:t>
            </w:r>
            <w:r>
              <w:rPr>
                <w:spacing w:val="-5"/>
                <w:sz w:val="20"/>
              </w:rPr>
              <w:t> </w:t>
            </w:r>
            <w:r>
              <w:rPr>
                <w:sz w:val="20"/>
              </w:rPr>
              <w:t>remodelación</w:t>
            </w:r>
            <w:r>
              <w:rPr>
                <w:spacing w:val="-3"/>
                <w:sz w:val="20"/>
              </w:rPr>
              <w:t> </w:t>
            </w:r>
            <w:r>
              <w:rPr>
                <w:sz w:val="20"/>
              </w:rPr>
              <w:t>de</w:t>
            </w:r>
            <w:r>
              <w:rPr>
                <w:spacing w:val="-4"/>
                <w:sz w:val="20"/>
              </w:rPr>
              <w:t> </w:t>
            </w:r>
            <w:r>
              <w:rPr>
                <w:sz w:val="20"/>
              </w:rPr>
              <w:t>la</w:t>
            </w:r>
            <w:r>
              <w:rPr>
                <w:spacing w:val="-3"/>
                <w:sz w:val="20"/>
              </w:rPr>
              <w:t> </w:t>
            </w:r>
            <w:r>
              <w:rPr>
                <w:sz w:val="20"/>
              </w:rPr>
              <w:t>tienda</w:t>
            </w:r>
            <w:r>
              <w:rPr>
                <w:spacing w:val="-3"/>
                <w:sz w:val="20"/>
              </w:rPr>
              <w:t> </w:t>
            </w:r>
            <w:r>
              <w:rPr>
                <w:sz w:val="20"/>
              </w:rPr>
              <w:t>19</w:t>
            </w:r>
            <w:r>
              <w:rPr>
                <w:spacing w:val="-4"/>
                <w:sz w:val="20"/>
              </w:rPr>
              <w:t> </w:t>
            </w:r>
            <w:r>
              <w:rPr>
                <w:sz w:val="20"/>
              </w:rPr>
              <w:t>que</w:t>
            </w:r>
            <w:r>
              <w:rPr>
                <w:spacing w:val="-3"/>
                <w:sz w:val="20"/>
              </w:rPr>
              <w:t> </w:t>
            </w:r>
            <w:r>
              <w:rPr>
                <w:sz w:val="20"/>
              </w:rPr>
              <w:t>se</w:t>
            </w:r>
            <w:r>
              <w:rPr>
                <w:spacing w:val="-5"/>
                <w:sz w:val="20"/>
              </w:rPr>
              <w:t> </w:t>
            </w:r>
            <w:r>
              <w:rPr>
                <w:sz w:val="20"/>
              </w:rPr>
              <w:t>programa para el año 2027 en busca de mejorar la identidad de imagen para el posicionamiento de la marca, mejores condiciones en los puntos de ventas y sentido de identificación con el programa IMAS-Duty Free-Social</w:t>
            </w:r>
          </w:p>
        </w:tc>
      </w:tr>
      <w:tr>
        <w:trPr>
          <w:trHeight w:val="460" w:hRule="atLeast"/>
        </w:trPr>
        <w:tc>
          <w:tcPr>
            <w:tcW w:w="2972" w:type="dxa"/>
            <w:shd w:val="clear" w:color="auto" w:fill="DCE6F0"/>
          </w:tcPr>
          <w:p>
            <w:pPr>
              <w:pStyle w:val="TableParagraph"/>
              <w:spacing w:before="114"/>
              <w:ind w:left="67"/>
              <w:rPr>
                <w:b/>
                <w:sz w:val="20"/>
              </w:rPr>
            </w:pPr>
            <w:r>
              <w:rPr>
                <w:b/>
                <w:spacing w:val="-2"/>
                <w:sz w:val="20"/>
              </w:rPr>
              <w:t>Desagregación</w:t>
            </w:r>
          </w:p>
        </w:tc>
        <w:tc>
          <w:tcPr>
            <w:tcW w:w="7519" w:type="dxa"/>
          </w:tcPr>
          <w:p>
            <w:pPr>
              <w:pStyle w:val="TableParagraph"/>
              <w:spacing w:line="230" w:lineRule="exact"/>
              <w:ind w:left="69"/>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299" w:hRule="atLeast"/>
        </w:trPr>
        <w:tc>
          <w:tcPr>
            <w:tcW w:w="2972" w:type="dxa"/>
            <w:shd w:val="clear" w:color="auto" w:fill="DCE6F0"/>
          </w:tcPr>
          <w:p>
            <w:pPr>
              <w:pStyle w:val="TableParagraph"/>
              <w:spacing w:before="35"/>
              <w:ind w:left="67"/>
              <w:rPr>
                <w:b/>
                <w:sz w:val="20"/>
              </w:rPr>
            </w:pPr>
            <w:r>
              <w:rPr>
                <w:b/>
                <w:spacing w:val="-2"/>
                <w:sz w:val="20"/>
              </w:rPr>
              <w:t>Meta:</w:t>
            </w:r>
          </w:p>
        </w:tc>
        <w:tc>
          <w:tcPr>
            <w:tcW w:w="7519" w:type="dxa"/>
          </w:tcPr>
          <w:p>
            <w:pPr>
              <w:pStyle w:val="TableParagraph"/>
              <w:spacing w:before="35"/>
              <w:ind w:left="69"/>
              <w:rPr>
                <w:sz w:val="20"/>
              </w:rPr>
            </w:pPr>
            <w:r>
              <w:rPr>
                <w:sz w:val="20"/>
              </w:rPr>
              <w:t>1</w:t>
            </w:r>
            <w:r>
              <w:rPr>
                <w:spacing w:val="-5"/>
                <w:sz w:val="20"/>
              </w:rPr>
              <w:t> </w:t>
            </w:r>
            <w:r>
              <w:rPr>
                <w:sz w:val="20"/>
              </w:rPr>
              <w:t>tienda</w:t>
            </w:r>
            <w:r>
              <w:rPr>
                <w:spacing w:val="-5"/>
                <w:sz w:val="20"/>
              </w:rPr>
              <w:t> </w:t>
            </w:r>
            <w:r>
              <w:rPr>
                <w:spacing w:val="-2"/>
                <w:sz w:val="20"/>
              </w:rPr>
              <w:t>remodelada</w:t>
            </w:r>
          </w:p>
        </w:tc>
      </w:tr>
      <w:tr>
        <w:trPr>
          <w:trHeight w:val="302" w:hRule="atLeast"/>
        </w:trPr>
        <w:tc>
          <w:tcPr>
            <w:tcW w:w="2972" w:type="dxa"/>
            <w:shd w:val="clear" w:color="auto" w:fill="DCE6F0"/>
          </w:tcPr>
          <w:p>
            <w:pPr>
              <w:pStyle w:val="TableParagraph"/>
              <w:spacing w:before="35"/>
              <w:ind w:left="67"/>
              <w:rPr>
                <w:b/>
                <w:sz w:val="20"/>
              </w:rPr>
            </w:pPr>
            <w:r>
              <w:rPr>
                <w:b/>
                <w:sz w:val="20"/>
              </w:rPr>
              <w:t>Línea</w:t>
            </w:r>
            <w:r>
              <w:rPr>
                <w:b/>
                <w:spacing w:val="-10"/>
                <w:sz w:val="20"/>
              </w:rPr>
              <w:t> </w:t>
            </w:r>
            <w:r>
              <w:rPr>
                <w:b/>
                <w:spacing w:val="-4"/>
                <w:sz w:val="20"/>
              </w:rPr>
              <w:t>Base</w:t>
            </w:r>
          </w:p>
        </w:tc>
        <w:tc>
          <w:tcPr>
            <w:tcW w:w="7519" w:type="dxa"/>
          </w:tcPr>
          <w:p>
            <w:pPr>
              <w:pStyle w:val="TableParagraph"/>
              <w:spacing w:before="35"/>
              <w:ind w:left="69"/>
              <w:rPr>
                <w:sz w:val="20"/>
              </w:rPr>
            </w:pPr>
            <w:r>
              <w:rPr>
                <w:spacing w:val="-10"/>
                <w:sz w:val="20"/>
              </w:rPr>
              <w:t>0</w:t>
            </w:r>
          </w:p>
        </w:tc>
      </w:tr>
      <w:tr>
        <w:trPr>
          <w:trHeight w:val="508" w:hRule="atLeast"/>
        </w:trPr>
        <w:tc>
          <w:tcPr>
            <w:tcW w:w="2972" w:type="dxa"/>
            <w:shd w:val="clear" w:color="auto" w:fill="DCE6F0"/>
          </w:tcPr>
          <w:p>
            <w:pPr>
              <w:pStyle w:val="TableParagraph"/>
              <w:spacing w:before="2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9" w:type="dxa"/>
          </w:tcPr>
          <w:p>
            <w:pPr>
              <w:pStyle w:val="TableParagraph"/>
              <w:spacing w:before="138"/>
              <w:ind w:left="69"/>
              <w:rPr>
                <w:sz w:val="20"/>
              </w:rPr>
            </w:pPr>
            <w:r>
              <w:rPr>
                <w:spacing w:val="-2"/>
                <w:sz w:val="20"/>
              </w:rPr>
              <w:t>trimestral</w:t>
            </w:r>
          </w:p>
        </w:tc>
      </w:tr>
      <w:tr>
        <w:trPr>
          <w:trHeight w:val="765" w:hRule="atLeast"/>
        </w:trPr>
        <w:tc>
          <w:tcPr>
            <w:tcW w:w="2972" w:type="dxa"/>
            <w:shd w:val="clear" w:color="auto" w:fill="DCE6F0"/>
          </w:tcPr>
          <w:p>
            <w:pPr>
              <w:pStyle w:val="TableParagraph"/>
              <w:spacing w:before="153"/>
              <w:ind w:left="67" w:right="510"/>
              <w:rPr>
                <w:b/>
                <w:sz w:val="20"/>
              </w:rPr>
            </w:pPr>
            <w:r>
              <w:rPr>
                <w:b/>
                <w:sz w:val="20"/>
              </w:rPr>
              <w:t>Responsable de la recopilación</w:t>
            </w:r>
            <w:r>
              <w:rPr>
                <w:b/>
                <w:spacing w:val="-14"/>
                <w:sz w:val="20"/>
              </w:rPr>
              <w:t> </w:t>
            </w:r>
            <w:r>
              <w:rPr>
                <w:b/>
                <w:sz w:val="20"/>
              </w:rPr>
              <w:t>información</w:t>
            </w:r>
          </w:p>
        </w:tc>
        <w:tc>
          <w:tcPr>
            <w:tcW w:w="7519" w:type="dxa"/>
          </w:tcPr>
          <w:p>
            <w:pPr>
              <w:pStyle w:val="TableParagraph"/>
              <w:spacing w:before="153"/>
              <w:ind w:left="69" w:right="2858"/>
              <w:rPr>
                <w:sz w:val="20"/>
              </w:rPr>
            </w:pPr>
            <w:r>
              <w:rPr>
                <w:sz w:val="20"/>
              </w:rPr>
              <w:t>Nombre</w:t>
            </w:r>
            <w:r>
              <w:rPr>
                <w:spacing w:val="-8"/>
                <w:sz w:val="20"/>
              </w:rPr>
              <w:t> </w:t>
            </w:r>
            <w:r>
              <w:rPr>
                <w:sz w:val="20"/>
              </w:rPr>
              <w:t>del</w:t>
            </w:r>
            <w:r>
              <w:rPr>
                <w:spacing w:val="-10"/>
                <w:sz w:val="20"/>
              </w:rPr>
              <w:t> </w:t>
            </w:r>
            <w:r>
              <w:rPr>
                <w:sz w:val="20"/>
              </w:rPr>
              <w:t>funcionario:</w:t>
            </w:r>
            <w:r>
              <w:rPr>
                <w:spacing w:val="-9"/>
                <w:sz w:val="20"/>
              </w:rPr>
              <w:t> </w:t>
            </w:r>
            <w:r>
              <w:rPr>
                <w:sz w:val="20"/>
              </w:rPr>
              <w:t>Maria</w:t>
            </w:r>
            <w:r>
              <w:rPr>
                <w:spacing w:val="-10"/>
                <w:sz w:val="20"/>
              </w:rPr>
              <w:t> </w:t>
            </w:r>
            <w:r>
              <w:rPr>
                <w:sz w:val="20"/>
              </w:rPr>
              <w:t>Damaris</w:t>
            </w:r>
            <w:r>
              <w:rPr>
                <w:spacing w:val="-8"/>
                <w:sz w:val="20"/>
              </w:rPr>
              <w:t> </w:t>
            </w:r>
            <w:r>
              <w:rPr>
                <w:sz w:val="20"/>
              </w:rPr>
              <w:t>Rojas Cargo: Jefatura Mercadeo y Ventas</w:t>
            </w:r>
          </w:p>
        </w:tc>
      </w:tr>
      <w:tr>
        <w:trPr>
          <w:trHeight w:val="1019" w:hRule="atLeast"/>
        </w:trPr>
        <w:tc>
          <w:tcPr>
            <w:tcW w:w="2972" w:type="dxa"/>
            <w:shd w:val="clear" w:color="auto" w:fill="DCE6F0"/>
          </w:tcPr>
          <w:p>
            <w:pPr>
              <w:pStyle w:val="TableParagraph"/>
              <w:spacing w:before="50"/>
              <w:rPr>
                <w:b/>
                <w:sz w:val="20"/>
              </w:rPr>
            </w:pPr>
          </w:p>
          <w:p>
            <w:pPr>
              <w:pStyle w:val="TableParagraph"/>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9" w:type="dxa"/>
          </w:tcPr>
          <w:p>
            <w:pPr>
              <w:pStyle w:val="TableParagraph"/>
              <w:spacing w:before="165"/>
              <w:rPr>
                <w:b/>
                <w:sz w:val="20"/>
              </w:rPr>
            </w:pPr>
          </w:p>
          <w:p>
            <w:pPr>
              <w:pStyle w:val="TableParagraph"/>
              <w:ind w:left="69"/>
              <w:rPr>
                <w:sz w:val="20"/>
              </w:rPr>
            </w:pPr>
            <w:r>
              <w:rPr>
                <w:sz w:val="20"/>
              </w:rPr>
              <w:t>Empresas</w:t>
            </w:r>
            <w:r>
              <w:rPr>
                <w:spacing w:val="-14"/>
                <w:sz w:val="20"/>
              </w:rPr>
              <w:t> </w:t>
            </w:r>
            <w:r>
              <w:rPr>
                <w:spacing w:val="-2"/>
                <w:sz w:val="20"/>
              </w:rPr>
              <w:t>Comerciales</w:t>
            </w:r>
          </w:p>
        </w:tc>
      </w:tr>
      <w:tr>
        <w:trPr>
          <w:trHeight w:val="510" w:hRule="atLeast"/>
        </w:trPr>
        <w:tc>
          <w:tcPr>
            <w:tcW w:w="2972" w:type="dxa"/>
            <w:shd w:val="clear" w:color="auto" w:fill="DCE6F0"/>
          </w:tcPr>
          <w:p>
            <w:pPr>
              <w:pStyle w:val="TableParagraph"/>
              <w:spacing w:before="141"/>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9" w:type="dxa"/>
          </w:tcPr>
          <w:p>
            <w:pPr>
              <w:pStyle w:val="TableParagraph"/>
              <w:spacing w:before="141"/>
              <w:ind w:left="69"/>
              <w:rPr>
                <w:sz w:val="20"/>
              </w:rPr>
            </w:pPr>
            <w:r>
              <w:rPr>
                <w:sz w:val="20"/>
              </w:rPr>
              <w:t>Informe</w:t>
            </w:r>
            <w:r>
              <w:rPr>
                <w:spacing w:val="-8"/>
                <w:sz w:val="20"/>
              </w:rPr>
              <w:t> </w:t>
            </w:r>
            <w:r>
              <w:rPr>
                <w:sz w:val="20"/>
              </w:rPr>
              <w:t>trimestral</w:t>
            </w:r>
            <w:r>
              <w:rPr>
                <w:spacing w:val="-6"/>
                <w:sz w:val="20"/>
              </w:rPr>
              <w:t> </w:t>
            </w:r>
            <w:r>
              <w:rPr>
                <w:sz w:val="20"/>
              </w:rPr>
              <w:t>de</w:t>
            </w:r>
            <w:r>
              <w:rPr>
                <w:spacing w:val="-7"/>
                <w:sz w:val="20"/>
              </w:rPr>
              <w:t> </w:t>
            </w:r>
            <w:r>
              <w:rPr>
                <w:spacing w:val="-2"/>
                <w:sz w:val="20"/>
              </w:rPr>
              <w:t>labores</w:t>
            </w:r>
          </w:p>
        </w:tc>
      </w:tr>
      <w:tr>
        <w:trPr>
          <w:trHeight w:val="765" w:hRule="atLeast"/>
        </w:trPr>
        <w:tc>
          <w:tcPr>
            <w:tcW w:w="2972" w:type="dxa"/>
            <w:shd w:val="clear" w:color="auto" w:fill="DCE6F0"/>
          </w:tcPr>
          <w:p>
            <w:pPr>
              <w:pStyle w:val="TableParagraph"/>
              <w:spacing w:before="38"/>
              <w:rPr>
                <w:b/>
                <w:sz w:val="20"/>
              </w:rPr>
            </w:pPr>
          </w:p>
          <w:p>
            <w:pPr>
              <w:pStyle w:val="TableParagraph"/>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9" w:type="dxa"/>
          </w:tcPr>
          <w:p>
            <w:pPr>
              <w:pStyle w:val="TableParagraph"/>
              <w:spacing w:before="38"/>
              <w:rPr>
                <w:b/>
                <w:sz w:val="20"/>
              </w:rPr>
            </w:pPr>
          </w:p>
          <w:p>
            <w:pPr>
              <w:pStyle w:val="TableParagraph"/>
              <w:ind w:left="69" w:right="161"/>
              <w:rPr>
                <w:sz w:val="20"/>
              </w:rPr>
            </w:pPr>
            <w:r>
              <w:rPr>
                <w:sz w:val="20"/>
              </w:rPr>
              <w:t>Informes,</w:t>
            </w:r>
            <w:r>
              <w:rPr>
                <w:spacing w:val="-5"/>
                <w:sz w:val="20"/>
              </w:rPr>
              <w:t> </w:t>
            </w:r>
            <w:r>
              <w:rPr>
                <w:sz w:val="20"/>
              </w:rPr>
              <w:t>avances</w:t>
            </w:r>
            <w:r>
              <w:rPr>
                <w:spacing w:val="-5"/>
                <w:sz w:val="20"/>
              </w:rPr>
              <w:t> </w:t>
            </w:r>
            <w:r>
              <w:rPr>
                <w:sz w:val="20"/>
              </w:rPr>
              <w:t>del</w:t>
            </w:r>
            <w:r>
              <w:rPr>
                <w:spacing w:val="-5"/>
                <w:sz w:val="20"/>
              </w:rPr>
              <w:t> </w:t>
            </w:r>
            <w:r>
              <w:rPr>
                <w:sz w:val="20"/>
              </w:rPr>
              <w:t>proyecto,</w:t>
            </w:r>
            <w:r>
              <w:rPr>
                <w:spacing w:val="-5"/>
                <w:sz w:val="20"/>
              </w:rPr>
              <w:t> </w:t>
            </w:r>
            <w:r>
              <w:rPr>
                <w:sz w:val="20"/>
              </w:rPr>
              <w:t>fotografías</w:t>
            </w:r>
            <w:r>
              <w:rPr>
                <w:spacing w:val="-5"/>
                <w:sz w:val="20"/>
              </w:rPr>
              <w:t> </w:t>
            </w:r>
            <w:r>
              <w:rPr>
                <w:sz w:val="20"/>
              </w:rPr>
              <w:t>y</w:t>
            </w:r>
            <w:r>
              <w:rPr>
                <w:spacing w:val="-5"/>
                <w:sz w:val="20"/>
              </w:rPr>
              <w:t> </w:t>
            </w:r>
            <w:r>
              <w:rPr>
                <w:sz w:val="20"/>
              </w:rPr>
              <w:t>registro</w:t>
            </w:r>
            <w:r>
              <w:rPr>
                <w:spacing w:val="-4"/>
                <w:sz w:val="20"/>
              </w:rPr>
              <w:t> </w:t>
            </w:r>
            <w:r>
              <w:rPr>
                <w:sz w:val="20"/>
              </w:rPr>
              <w:t>de</w:t>
            </w:r>
            <w:r>
              <w:rPr>
                <w:spacing w:val="-6"/>
                <w:sz w:val="20"/>
              </w:rPr>
              <w:t> </w:t>
            </w:r>
            <w:r>
              <w:rPr>
                <w:sz w:val="20"/>
              </w:rPr>
              <w:t>avances</w:t>
            </w:r>
            <w:r>
              <w:rPr>
                <w:spacing w:val="-5"/>
                <w:sz w:val="20"/>
              </w:rPr>
              <w:t> </w:t>
            </w:r>
            <w:r>
              <w:rPr>
                <w:sz w:val="20"/>
              </w:rPr>
              <w:t>en</w:t>
            </w:r>
            <w:r>
              <w:rPr>
                <w:spacing w:val="-5"/>
                <w:sz w:val="20"/>
              </w:rPr>
              <w:t> </w:t>
            </w:r>
            <w:r>
              <w:rPr>
                <w:sz w:val="20"/>
              </w:rPr>
              <w:t>la herramienta DELPHOS</w:t>
            </w:r>
          </w:p>
        </w:tc>
      </w:tr>
      <w:tr>
        <w:trPr>
          <w:trHeight w:val="511" w:hRule="atLeast"/>
        </w:trPr>
        <w:tc>
          <w:tcPr>
            <w:tcW w:w="2972" w:type="dxa"/>
            <w:shd w:val="clear" w:color="auto" w:fill="DCE6F0"/>
          </w:tcPr>
          <w:p>
            <w:pPr>
              <w:pStyle w:val="TableParagraph"/>
              <w:spacing w:before="138"/>
              <w:ind w:left="67"/>
              <w:rPr>
                <w:b/>
                <w:sz w:val="20"/>
              </w:rPr>
            </w:pPr>
            <w:r>
              <w:rPr>
                <w:b/>
                <w:spacing w:val="-2"/>
                <w:sz w:val="20"/>
              </w:rPr>
              <w:t>Clasificación</w:t>
            </w:r>
          </w:p>
        </w:tc>
        <w:tc>
          <w:tcPr>
            <w:tcW w:w="7519" w:type="dxa"/>
          </w:tcPr>
          <w:p>
            <w:pPr>
              <w:pStyle w:val="TableParagraph"/>
              <w:spacing w:before="138"/>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508" w:hRule="atLeast"/>
        </w:trPr>
        <w:tc>
          <w:tcPr>
            <w:tcW w:w="2972" w:type="dxa"/>
            <w:shd w:val="clear" w:color="auto" w:fill="DCE6F0"/>
          </w:tcPr>
          <w:p>
            <w:pPr>
              <w:pStyle w:val="TableParagraph"/>
              <w:spacing w:before="138"/>
              <w:ind w:left="67"/>
              <w:rPr>
                <w:b/>
                <w:sz w:val="20"/>
              </w:rPr>
            </w:pPr>
            <w:r>
              <w:rPr>
                <w:b/>
                <w:spacing w:val="-2"/>
                <w:sz w:val="20"/>
              </w:rPr>
              <w:t>Comentarios</w:t>
            </w:r>
            <w:r>
              <w:rPr>
                <w:b/>
                <w:spacing w:val="6"/>
                <w:sz w:val="20"/>
              </w:rPr>
              <w:t> </w:t>
            </w:r>
            <w:r>
              <w:rPr>
                <w:b/>
                <w:spacing w:val="-2"/>
                <w:sz w:val="20"/>
              </w:rPr>
              <w:t>Generales</w:t>
            </w:r>
          </w:p>
        </w:tc>
        <w:tc>
          <w:tcPr>
            <w:tcW w:w="7519" w:type="dxa"/>
          </w:tcPr>
          <w:p>
            <w:pPr>
              <w:pStyle w:val="TableParagraph"/>
              <w:rPr>
                <w:rFonts w:ascii="Times New Roman"/>
                <w:sz w:val="20"/>
              </w:rPr>
            </w:pPr>
          </w:p>
        </w:tc>
      </w:tr>
    </w:tbl>
    <w:p>
      <w:pPr>
        <w:pStyle w:val="BodyText"/>
        <w:rPr>
          <w:b/>
          <w:sz w:val="20"/>
        </w:rPr>
      </w:pPr>
    </w:p>
    <w:p>
      <w:pPr>
        <w:pStyle w:val="BodyText"/>
        <w:spacing w:before="116"/>
        <w:rPr>
          <w:b/>
          <w:sz w:val="20"/>
        </w:rPr>
      </w:pPr>
    </w:p>
    <w:tbl>
      <w:tblPr>
        <w:tblW w:w="0" w:type="auto"/>
        <w:jc w:val="left"/>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40"/>
        <w:gridCol w:w="1332"/>
        <w:gridCol w:w="7518"/>
      </w:tblGrid>
      <w:tr>
        <w:trPr>
          <w:trHeight w:val="301" w:hRule="atLeast"/>
        </w:trPr>
        <w:tc>
          <w:tcPr>
            <w:tcW w:w="2972" w:type="dxa"/>
            <w:gridSpan w:val="2"/>
            <w:shd w:val="clear" w:color="auto" w:fill="DCE6F0"/>
          </w:tcPr>
          <w:p>
            <w:pPr>
              <w:pStyle w:val="TableParagraph"/>
              <w:spacing w:before="35"/>
              <w:ind w:left="67"/>
              <w:rPr>
                <w:b/>
                <w:sz w:val="20"/>
              </w:rPr>
            </w:pPr>
            <w:r>
              <w:rPr>
                <w:b/>
                <w:sz w:val="20"/>
              </w:rPr>
              <w:t>PEC</w:t>
            </w:r>
            <w:r>
              <w:rPr>
                <w:b/>
                <w:spacing w:val="-5"/>
                <w:sz w:val="20"/>
              </w:rPr>
              <w:t> </w:t>
            </w:r>
            <w:r>
              <w:rPr>
                <w:b/>
                <w:spacing w:val="-2"/>
                <w:sz w:val="20"/>
              </w:rPr>
              <w:t>3.2.2:</w:t>
            </w:r>
          </w:p>
        </w:tc>
        <w:tc>
          <w:tcPr>
            <w:tcW w:w="7518" w:type="dxa"/>
          </w:tcPr>
          <w:p>
            <w:pPr>
              <w:pStyle w:val="TableParagraph"/>
              <w:spacing w:before="35"/>
              <w:ind w:left="69"/>
              <w:rPr>
                <w:sz w:val="20"/>
              </w:rPr>
            </w:pPr>
            <w:r>
              <w:rPr>
                <w:sz w:val="20"/>
              </w:rPr>
              <w:t>Nombre</w:t>
            </w:r>
            <w:r>
              <w:rPr>
                <w:spacing w:val="-7"/>
                <w:sz w:val="20"/>
              </w:rPr>
              <w:t> </w:t>
            </w:r>
            <w:r>
              <w:rPr>
                <w:sz w:val="20"/>
              </w:rPr>
              <w:t>del</w:t>
            </w:r>
            <w:r>
              <w:rPr>
                <w:spacing w:val="-10"/>
                <w:sz w:val="20"/>
              </w:rPr>
              <w:t> </w:t>
            </w:r>
            <w:r>
              <w:rPr>
                <w:sz w:val="20"/>
              </w:rPr>
              <w:t>Indicador:</w:t>
            </w:r>
            <w:r>
              <w:rPr>
                <w:spacing w:val="-8"/>
                <w:sz w:val="20"/>
              </w:rPr>
              <w:t> </w:t>
            </w:r>
            <w:r>
              <w:rPr>
                <w:sz w:val="20"/>
              </w:rPr>
              <w:t>Cantidad</w:t>
            </w:r>
            <w:r>
              <w:rPr>
                <w:spacing w:val="-9"/>
                <w:sz w:val="20"/>
              </w:rPr>
              <w:t> </w:t>
            </w:r>
            <w:r>
              <w:rPr>
                <w:sz w:val="20"/>
              </w:rPr>
              <w:t>de</w:t>
            </w:r>
            <w:r>
              <w:rPr>
                <w:spacing w:val="-7"/>
                <w:sz w:val="20"/>
              </w:rPr>
              <w:t> </w:t>
            </w:r>
            <w:r>
              <w:rPr>
                <w:sz w:val="20"/>
              </w:rPr>
              <w:t>tiendas</w:t>
            </w:r>
            <w:r>
              <w:rPr>
                <w:spacing w:val="-8"/>
                <w:sz w:val="20"/>
              </w:rPr>
              <w:t> </w:t>
            </w:r>
            <w:r>
              <w:rPr>
                <w:spacing w:val="-2"/>
                <w:sz w:val="20"/>
              </w:rPr>
              <w:t>remodeladas</w:t>
            </w:r>
          </w:p>
        </w:tc>
      </w:tr>
      <w:tr>
        <w:trPr>
          <w:trHeight w:val="299" w:hRule="atLeast"/>
        </w:trPr>
        <w:tc>
          <w:tcPr>
            <w:tcW w:w="2972" w:type="dxa"/>
            <w:gridSpan w:val="2"/>
            <w:shd w:val="clear" w:color="auto" w:fill="DCE6F0"/>
          </w:tcPr>
          <w:p>
            <w:pPr>
              <w:pStyle w:val="TableParagraph"/>
              <w:spacing w:before="33"/>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8" w:type="dxa"/>
          </w:tcPr>
          <w:p>
            <w:pPr>
              <w:pStyle w:val="TableParagraph"/>
              <w:spacing w:before="33"/>
              <w:ind w:left="69"/>
              <w:rPr>
                <w:sz w:val="20"/>
              </w:rPr>
            </w:pPr>
            <w:r>
              <w:rPr>
                <w:sz w:val="20"/>
              </w:rPr>
              <w:t>Sumatoria</w:t>
            </w:r>
            <w:r>
              <w:rPr>
                <w:spacing w:val="-7"/>
                <w:sz w:val="20"/>
              </w:rPr>
              <w:t> </w:t>
            </w:r>
            <w:r>
              <w:rPr>
                <w:sz w:val="20"/>
              </w:rPr>
              <w:t>de</w:t>
            </w:r>
            <w:r>
              <w:rPr>
                <w:spacing w:val="-6"/>
                <w:sz w:val="20"/>
              </w:rPr>
              <w:t> </w:t>
            </w:r>
            <w:r>
              <w:rPr>
                <w:sz w:val="20"/>
              </w:rPr>
              <w:t>la</w:t>
            </w:r>
            <w:r>
              <w:rPr>
                <w:spacing w:val="-7"/>
                <w:sz w:val="20"/>
              </w:rPr>
              <w:t> </w:t>
            </w:r>
            <w:r>
              <w:rPr>
                <w:sz w:val="20"/>
              </w:rPr>
              <w:t>cantidad</w:t>
            </w:r>
            <w:r>
              <w:rPr>
                <w:spacing w:val="-7"/>
                <w:sz w:val="20"/>
              </w:rPr>
              <w:t> </w:t>
            </w:r>
            <w:r>
              <w:rPr>
                <w:sz w:val="20"/>
              </w:rPr>
              <w:t>de</w:t>
            </w:r>
            <w:r>
              <w:rPr>
                <w:spacing w:val="-6"/>
                <w:sz w:val="20"/>
              </w:rPr>
              <w:t> </w:t>
            </w:r>
            <w:r>
              <w:rPr>
                <w:sz w:val="20"/>
              </w:rPr>
              <w:t>tiendas</w:t>
            </w:r>
            <w:r>
              <w:rPr>
                <w:spacing w:val="-6"/>
                <w:sz w:val="20"/>
              </w:rPr>
              <w:t> </w:t>
            </w:r>
            <w:r>
              <w:rPr>
                <w:spacing w:val="-2"/>
                <w:sz w:val="20"/>
              </w:rPr>
              <w:t>remodeladas</w:t>
            </w:r>
          </w:p>
        </w:tc>
      </w:tr>
      <w:tr>
        <w:trPr>
          <w:trHeight w:val="299" w:hRule="atLeast"/>
        </w:trPr>
        <w:tc>
          <w:tcPr>
            <w:tcW w:w="2972" w:type="dxa"/>
            <w:gridSpan w:val="2"/>
            <w:shd w:val="clear" w:color="auto" w:fill="DCE6F0"/>
          </w:tcPr>
          <w:p>
            <w:pPr>
              <w:pStyle w:val="TableParagraph"/>
              <w:spacing w:before="33"/>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8" w:type="dxa"/>
          </w:tcPr>
          <w:p>
            <w:pPr>
              <w:pStyle w:val="TableParagraph"/>
              <w:spacing w:before="33"/>
              <w:ind w:left="69"/>
              <w:rPr>
                <w:sz w:val="20"/>
              </w:rPr>
            </w:pPr>
            <w:r>
              <w:rPr>
                <w:sz w:val="20"/>
              </w:rPr>
              <w:t>Cantidad</w:t>
            </w:r>
            <w:r>
              <w:rPr>
                <w:spacing w:val="-8"/>
                <w:sz w:val="20"/>
              </w:rPr>
              <w:t> </w:t>
            </w:r>
            <w:r>
              <w:rPr>
                <w:sz w:val="20"/>
              </w:rPr>
              <w:t>de</w:t>
            </w:r>
            <w:r>
              <w:rPr>
                <w:spacing w:val="-6"/>
                <w:sz w:val="20"/>
              </w:rPr>
              <w:t> </w:t>
            </w:r>
            <w:r>
              <w:rPr>
                <w:sz w:val="20"/>
              </w:rPr>
              <w:t>tiendas</w:t>
            </w:r>
            <w:r>
              <w:rPr>
                <w:spacing w:val="-7"/>
                <w:sz w:val="20"/>
              </w:rPr>
              <w:t> </w:t>
            </w:r>
            <w:r>
              <w:rPr>
                <w:spacing w:val="-2"/>
                <w:sz w:val="20"/>
              </w:rPr>
              <w:t>remodeladas</w:t>
            </w:r>
          </w:p>
        </w:tc>
      </w:tr>
      <w:tr>
        <w:trPr>
          <w:trHeight w:val="918" w:hRule="atLeast"/>
        </w:trPr>
        <w:tc>
          <w:tcPr>
            <w:tcW w:w="2972" w:type="dxa"/>
            <w:gridSpan w:val="2"/>
            <w:shd w:val="clear" w:color="auto" w:fill="DCE6F0"/>
          </w:tcPr>
          <w:p>
            <w:pPr>
              <w:pStyle w:val="TableParagraph"/>
              <w:spacing w:before="115"/>
              <w:rPr>
                <w:b/>
                <w:sz w:val="20"/>
              </w:rPr>
            </w:pPr>
          </w:p>
          <w:p>
            <w:pPr>
              <w:pStyle w:val="TableParagraph"/>
              <w:ind w:left="67"/>
              <w:rPr>
                <w:b/>
                <w:sz w:val="20"/>
              </w:rPr>
            </w:pPr>
            <w:r>
              <w:rPr>
                <w:b/>
                <w:spacing w:val="-2"/>
                <w:sz w:val="20"/>
              </w:rPr>
              <w:t>Interpretación:</w:t>
            </w:r>
          </w:p>
        </w:tc>
        <w:tc>
          <w:tcPr>
            <w:tcW w:w="7518" w:type="dxa"/>
          </w:tcPr>
          <w:p>
            <w:pPr>
              <w:pStyle w:val="TableParagraph"/>
              <w:ind w:left="69" w:right="172"/>
              <w:rPr>
                <w:sz w:val="20"/>
              </w:rPr>
            </w:pPr>
            <w:r>
              <w:rPr>
                <w:sz w:val="20"/>
              </w:rPr>
              <w:t>Corresponde a la ejecución de la remodelación del área de cajas de la tienda 13 que se programa para el año 2027 en busca de mejorar la identidad de imagen</w:t>
            </w:r>
          </w:p>
          <w:p>
            <w:pPr>
              <w:pStyle w:val="TableParagraph"/>
              <w:spacing w:line="228" w:lineRule="exact"/>
              <w:ind w:left="69" w:right="97"/>
              <w:rPr>
                <w:sz w:val="20"/>
              </w:rPr>
            </w:pPr>
            <w:r>
              <w:rPr>
                <w:sz w:val="20"/>
              </w:rPr>
              <w:t>para</w:t>
            </w:r>
            <w:r>
              <w:rPr>
                <w:spacing w:val="-5"/>
                <w:sz w:val="20"/>
              </w:rPr>
              <w:t> </w:t>
            </w:r>
            <w:r>
              <w:rPr>
                <w:sz w:val="20"/>
              </w:rPr>
              <w:t>el</w:t>
            </w:r>
            <w:r>
              <w:rPr>
                <w:spacing w:val="-6"/>
                <w:sz w:val="20"/>
              </w:rPr>
              <w:t> </w:t>
            </w:r>
            <w:r>
              <w:rPr>
                <w:sz w:val="20"/>
              </w:rPr>
              <w:t>posicionamiento</w:t>
            </w:r>
            <w:r>
              <w:rPr>
                <w:spacing w:val="-4"/>
                <w:sz w:val="20"/>
              </w:rPr>
              <w:t> </w:t>
            </w:r>
            <w:r>
              <w:rPr>
                <w:sz w:val="20"/>
              </w:rPr>
              <w:t>de</w:t>
            </w:r>
            <w:r>
              <w:rPr>
                <w:spacing w:val="-4"/>
                <w:sz w:val="20"/>
              </w:rPr>
              <w:t> </w:t>
            </w:r>
            <w:r>
              <w:rPr>
                <w:sz w:val="20"/>
              </w:rPr>
              <w:t>la</w:t>
            </w:r>
            <w:r>
              <w:rPr>
                <w:spacing w:val="-5"/>
                <w:sz w:val="20"/>
              </w:rPr>
              <w:t> </w:t>
            </w:r>
            <w:r>
              <w:rPr>
                <w:sz w:val="20"/>
              </w:rPr>
              <w:t>marca,</w:t>
            </w:r>
            <w:r>
              <w:rPr>
                <w:spacing w:val="-5"/>
                <w:sz w:val="20"/>
              </w:rPr>
              <w:t> </w:t>
            </w:r>
            <w:r>
              <w:rPr>
                <w:sz w:val="20"/>
              </w:rPr>
              <w:t>mejores</w:t>
            </w:r>
            <w:r>
              <w:rPr>
                <w:spacing w:val="-3"/>
                <w:sz w:val="20"/>
              </w:rPr>
              <w:t> </w:t>
            </w:r>
            <w:r>
              <w:rPr>
                <w:sz w:val="20"/>
              </w:rPr>
              <w:t>condiciones</w:t>
            </w:r>
            <w:r>
              <w:rPr>
                <w:spacing w:val="-4"/>
                <w:sz w:val="20"/>
              </w:rPr>
              <w:t> </w:t>
            </w:r>
            <w:r>
              <w:rPr>
                <w:sz w:val="20"/>
              </w:rPr>
              <w:t>en</w:t>
            </w:r>
            <w:r>
              <w:rPr>
                <w:spacing w:val="-4"/>
                <w:sz w:val="20"/>
              </w:rPr>
              <w:t> </w:t>
            </w:r>
            <w:r>
              <w:rPr>
                <w:sz w:val="20"/>
              </w:rPr>
              <w:t>los</w:t>
            </w:r>
            <w:r>
              <w:rPr>
                <w:spacing w:val="-4"/>
                <w:sz w:val="20"/>
              </w:rPr>
              <w:t> </w:t>
            </w:r>
            <w:r>
              <w:rPr>
                <w:sz w:val="20"/>
              </w:rPr>
              <w:t>puntos</w:t>
            </w:r>
            <w:r>
              <w:rPr>
                <w:spacing w:val="-4"/>
                <w:sz w:val="20"/>
              </w:rPr>
              <w:t> </w:t>
            </w:r>
            <w:r>
              <w:rPr>
                <w:sz w:val="20"/>
              </w:rPr>
              <w:t>de</w:t>
            </w:r>
            <w:r>
              <w:rPr>
                <w:spacing w:val="-6"/>
                <w:sz w:val="20"/>
              </w:rPr>
              <w:t> </w:t>
            </w:r>
            <w:r>
              <w:rPr>
                <w:sz w:val="20"/>
              </w:rPr>
              <w:t>ventas y sentido de identificación con el programa IMAS-Duty Free-Social</w:t>
            </w:r>
          </w:p>
        </w:tc>
      </w:tr>
      <w:tr>
        <w:trPr>
          <w:trHeight w:val="460" w:hRule="atLeast"/>
        </w:trPr>
        <w:tc>
          <w:tcPr>
            <w:tcW w:w="2972" w:type="dxa"/>
            <w:gridSpan w:val="2"/>
            <w:shd w:val="clear" w:color="auto" w:fill="DCE6F0"/>
          </w:tcPr>
          <w:p>
            <w:pPr>
              <w:pStyle w:val="TableParagraph"/>
              <w:spacing w:before="114"/>
              <w:ind w:left="67"/>
              <w:rPr>
                <w:b/>
                <w:sz w:val="20"/>
              </w:rPr>
            </w:pPr>
            <w:r>
              <w:rPr>
                <w:b/>
                <w:spacing w:val="-2"/>
                <w:sz w:val="20"/>
              </w:rPr>
              <w:t>Desagregación</w:t>
            </w:r>
          </w:p>
        </w:tc>
        <w:tc>
          <w:tcPr>
            <w:tcW w:w="7518" w:type="dxa"/>
          </w:tcPr>
          <w:p>
            <w:pPr>
              <w:pStyle w:val="TableParagraph"/>
              <w:spacing w:line="230" w:lineRule="exact"/>
              <w:ind w:left="69" w:right="172"/>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299" w:hRule="atLeast"/>
        </w:trPr>
        <w:tc>
          <w:tcPr>
            <w:tcW w:w="2972" w:type="dxa"/>
            <w:gridSpan w:val="2"/>
            <w:shd w:val="clear" w:color="auto" w:fill="DCE6F0"/>
          </w:tcPr>
          <w:p>
            <w:pPr>
              <w:pStyle w:val="TableParagraph"/>
              <w:spacing w:before="35"/>
              <w:ind w:left="67"/>
              <w:rPr>
                <w:b/>
                <w:sz w:val="20"/>
              </w:rPr>
            </w:pPr>
            <w:r>
              <w:rPr>
                <w:b/>
                <w:spacing w:val="-2"/>
                <w:sz w:val="20"/>
              </w:rPr>
              <w:t>Meta:</w:t>
            </w:r>
          </w:p>
        </w:tc>
        <w:tc>
          <w:tcPr>
            <w:tcW w:w="7518" w:type="dxa"/>
          </w:tcPr>
          <w:p>
            <w:pPr>
              <w:pStyle w:val="TableParagraph"/>
              <w:spacing w:before="35"/>
              <w:ind w:left="69"/>
              <w:rPr>
                <w:sz w:val="20"/>
              </w:rPr>
            </w:pPr>
            <w:r>
              <w:rPr>
                <w:sz w:val="20"/>
              </w:rPr>
              <w:t>1</w:t>
            </w:r>
            <w:r>
              <w:rPr>
                <w:spacing w:val="-5"/>
                <w:sz w:val="20"/>
              </w:rPr>
              <w:t> </w:t>
            </w:r>
            <w:r>
              <w:rPr>
                <w:sz w:val="20"/>
              </w:rPr>
              <w:t>tienda</w:t>
            </w:r>
            <w:r>
              <w:rPr>
                <w:spacing w:val="-5"/>
                <w:sz w:val="20"/>
              </w:rPr>
              <w:t> </w:t>
            </w:r>
            <w:r>
              <w:rPr>
                <w:spacing w:val="-2"/>
                <w:sz w:val="20"/>
              </w:rPr>
              <w:t>remodelada</w:t>
            </w:r>
          </w:p>
        </w:tc>
      </w:tr>
      <w:tr>
        <w:trPr>
          <w:trHeight w:val="301" w:hRule="atLeast"/>
        </w:trPr>
        <w:tc>
          <w:tcPr>
            <w:tcW w:w="2972" w:type="dxa"/>
            <w:gridSpan w:val="2"/>
            <w:shd w:val="clear" w:color="auto" w:fill="DCE6F0"/>
          </w:tcPr>
          <w:p>
            <w:pPr>
              <w:pStyle w:val="TableParagraph"/>
              <w:spacing w:before="35"/>
              <w:ind w:left="67"/>
              <w:rPr>
                <w:b/>
                <w:sz w:val="20"/>
              </w:rPr>
            </w:pPr>
            <w:r>
              <w:rPr>
                <w:b/>
                <w:sz w:val="20"/>
              </w:rPr>
              <w:t>Línea</w:t>
            </w:r>
            <w:r>
              <w:rPr>
                <w:b/>
                <w:spacing w:val="-10"/>
                <w:sz w:val="20"/>
              </w:rPr>
              <w:t> </w:t>
            </w:r>
            <w:r>
              <w:rPr>
                <w:b/>
                <w:spacing w:val="-4"/>
                <w:sz w:val="20"/>
              </w:rPr>
              <w:t>Base</w:t>
            </w:r>
          </w:p>
        </w:tc>
        <w:tc>
          <w:tcPr>
            <w:tcW w:w="7518" w:type="dxa"/>
          </w:tcPr>
          <w:p>
            <w:pPr>
              <w:pStyle w:val="TableParagraph"/>
              <w:spacing w:before="35"/>
              <w:ind w:left="69"/>
              <w:rPr>
                <w:sz w:val="20"/>
              </w:rPr>
            </w:pPr>
            <w:r>
              <w:rPr>
                <w:spacing w:val="-10"/>
                <w:sz w:val="20"/>
              </w:rPr>
              <w:t>0</w:t>
            </w:r>
          </w:p>
        </w:tc>
      </w:tr>
      <w:tr>
        <w:trPr>
          <w:trHeight w:val="466" w:hRule="atLeast"/>
        </w:trPr>
        <w:tc>
          <w:tcPr>
            <w:tcW w:w="2972" w:type="dxa"/>
            <w:gridSpan w:val="2"/>
            <w:tcBorders>
              <w:bottom w:val="nil"/>
            </w:tcBorders>
            <w:shd w:val="clear" w:color="auto" w:fill="DCE6F0"/>
          </w:tcPr>
          <w:p>
            <w:pPr>
              <w:pStyle w:val="TableParagraph"/>
              <w:spacing w:line="228" w:lineRule="exact"/>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8" w:type="dxa"/>
            <w:tcBorders>
              <w:bottom w:val="thickThinMediumGap" w:sz="9" w:space="0" w:color="808080"/>
            </w:tcBorders>
          </w:tcPr>
          <w:p>
            <w:pPr>
              <w:pStyle w:val="TableParagraph"/>
              <w:spacing w:before="112"/>
              <w:ind w:left="69"/>
              <w:rPr>
                <w:sz w:val="20"/>
              </w:rPr>
            </w:pPr>
            <w:r>
              <w:rPr>
                <w:spacing w:val="-2"/>
                <w:sz w:val="20"/>
              </w:rPr>
              <w:t>trimestral</w:t>
            </w:r>
          </w:p>
        </w:tc>
      </w:tr>
      <w:tr>
        <w:trPr>
          <w:trHeight w:val="1664" w:hRule="atLeast"/>
        </w:trPr>
        <w:tc>
          <w:tcPr>
            <w:tcW w:w="1640" w:type="dxa"/>
            <w:tcBorders>
              <w:top w:val="thinThickMediumGap" w:sz="9" w:space="0" w:color="808080"/>
              <w:left w:val="nil"/>
              <w:bottom w:val="nil"/>
              <w:right w:val="single" w:sz="18" w:space="0" w:color="808080"/>
            </w:tcBorders>
          </w:tcPr>
          <w:p>
            <w:pPr>
              <w:pStyle w:val="TableParagraph"/>
              <w:spacing w:before="8"/>
              <w:ind w:left="821"/>
              <w:rPr>
                <w:b/>
                <w:sz w:val="24"/>
              </w:rPr>
            </w:pPr>
            <w:r>
              <w:rPr>
                <w:b/>
                <w:spacing w:val="-5"/>
                <w:sz w:val="24"/>
              </w:rPr>
              <w:t>229</w:t>
            </w:r>
          </w:p>
        </w:tc>
        <w:tc>
          <w:tcPr>
            <w:tcW w:w="8850" w:type="dxa"/>
            <w:gridSpan w:val="2"/>
            <w:tcBorders>
              <w:top w:val="nil"/>
              <w:left w:val="single" w:sz="18" w:space="0" w:color="808080"/>
              <w:bottom w:val="nil"/>
              <w:right w:val="nil"/>
            </w:tcBorders>
          </w:tcPr>
          <w:p>
            <w:pPr>
              <w:pStyle w:val="TableParagraph"/>
              <w:spacing w:before="8"/>
              <w:ind w:left="89"/>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c>
      </w:tr>
    </w:tbl>
    <w:p>
      <w:pPr>
        <w:pStyle w:val="TableParagraph"/>
        <w:spacing w:after="0"/>
        <w:rPr>
          <w:b/>
          <w:i/>
          <w:sz w:val="24"/>
        </w:rPr>
        <w:sectPr>
          <w:footerReference w:type="default" r:id="rId151"/>
          <w:pgSz w:w="12240" w:h="15840"/>
          <w:pgMar w:header="0" w:footer="0" w:top="1400" w:bottom="28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7519"/>
      </w:tblGrid>
      <w:tr>
        <w:trPr>
          <w:trHeight w:val="460" w:hRule="atLeast"/>
        </w:trPr>
        <w:tc>
          <w:tcPr>
            <w:tcW w:w="2972" w:type="dxa"/>
            <w:shd w:val="clear" w:color="auto" w:fill="DCE6F0"/>
          </w:tcPr>
          <w:p>
            <w:pPr>
              <w:pStyle w:val="TableParagraph"/>
              <w:spacing w:line="230" w:lineRule="exact"/>
              <w:ind w:left="67" w:right="510"/>
              <w:rPr>
                <w:b/>
                <w:sz w:val="20"/>
              </w:rPr>
            </w:pPr>
            <w:r>
              <w:rPr>
                <w:b/>
                <w:sz w:val="20"/>
              </w:rPr>
              <w:t>Responsable de la recopilación</w:t>
            </w:r>
            <w:r>
              <w:rPr>
                <w:b/>
                <w:spacing w:val="-14"/>
                <w:sz w:val="20"/>
              </w:rPr>
              <w:t> </w:t>
            </w:r>
            <w:r>
              <w:rPr>
                <w:b/>
                <w:sz w:val="20"/>
              </w:rPr>
              <w:t>información</w:t>
            </w:r>
          </w:p>
        </w:tc>
        <w:tc>
          <w:tcPr>
            <w:tcW w:w="7519" w:type="dxa"/>
          </w:tcPr>
          <w:p>
            <w:pPr>
              <w:pStyle w:val="TableParagraph"/>
              <w:spacing w:line="230" w:lineRule="exact"/>
              <w:ind w:left="69" w:right="2858"/>
              <w:rPr>
                <w:sz w:val="20"/>
              </w:rPr>
            </w:pPr>
            <w:r>
              <w:rPr>
                <w:sz w:val="20"/>
              </w:rPr>
              <w:t>Nombre</w:t>
            </w:r>
            <w:r>
              <w:rPr>
                <w:spacing w:val="-7"/>
                <w:sz w:val="20"/>
              </w:rPr>
              <w:t> </w:t>
            </w:r>
            <w:r>
              <w:rPr>
                <w:sz w:val="20"/>
              </w:rPr>
              <w:t>del</w:t>
            </w:r>
            <w:r>
              <w:rPr>
                <w:spacing w:val="-10"/>
                <w:sz w:val="20"/>
              </w:rPr>
              <w:t> </w:t>
            </w:r>
            <w:r>
              <w:rPr>
                <w:sz w:val="20"/>
              </w:rPr>
              <w:t>funcionario:</w:t>
            </w:r>
            <w:r>
              <w:rPr>
                <w:spacing w:val="-7"/>
                <w:sz w:val="20"/>
              </w:rPr>
              <w:t> </w:t>
            </w:r>
            <w:r>
              <w:rPr>
                <w:sz w:val="20"/>
              </w:rPr>
              <w:t>Maria</w:t>
            </w:r>
            <w:r>
              <w:rPr>
                <w:spacing w:val="-9"/>
                <w:sz w:val="20"/>
              </w:rPr>
              <w:t> </w:t>
            </w:r>
            <w:r>
              <w:rPr>
                <w:sz w:val="20"/>
              </w:rPr>
              <w:t>Damaris</w:t>
            </w:r>
            <w:r>
              <w:rPr>
                <w:spacing w:val="-8"/>
                <w:sz w:val="20"/>
              </w:rPr>
              <w:t> </w:t>
            </w:r>
            <w:r>
              <w:rPr>
                <w:sz w:val="20"/>
              </w:rPr>
              <w:t>Rojas Cargo: Jefatura Mercadeo y Ventas</w:t>
            </w:r>
          </w:p>
        </w:tc>
      </w:tr>
      <w:tr>
        <w:trPr>
          <w:trHeight w:val="457" w:hRule="atLeast"/>
        </w:trPr>
        <w:tc>
          <w:tcPr>
            <w:tcW w:w="2972" w:type="dxa"/>
            <w:shd w:val="clear" w:color="auto" w:fill="DCE6F0"/>
          </w:tcPr>
          <w:p>
            <w:pPr>
              <w:pStyle w:val="TableParagraph"/>
              <w:spacing w:line="228" w:lineRule="exact"/>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9" w:type="dxa"/>
          </w:tcPr>
          <w:p>
            <w:pPr>
              <w:pStyle w:val="TableParagraph"/>
              <w:spacing w:before="114"/>
              <w:ind w:left="69"/>
              <w:rPr>
                <w:sz w:val="20"/>
              </w:rPr>
            </w:pPr>
            <w:r>
              <w:rPr>
                <w:sz w:val="20"/>
              </w:rPr>
              <w:t>Empresas</w:t>
            </w:r>
            <w:r>
              <w:rPr>
                <w:spacing w:val="-14"/>
                <w:sz w:val="20"/>
              </w:rPr>
              <w:t> </w:t>
            </w:r>
            <w:r>
              <w:rPr>
                <w:spacing w:val="-2"/>
                <w:sz w:val="20"/>
              </w:rPr>
              <w:t>Comerciales</w:t>
            </w:r>
          </w:p>
        </w:tc>
      </w:tr>
      <w:tr>
        <w:trPr>
          <w:trHeight w:val="302" w:hRule="atLeast"/>
        </w:trPr>
        <w:tc>
          <w:tcPr>
            <w:tcW w:w="2972" w:type="dxa"/>
            <w:shd w:val="clear" w:color="auto" w:fill="DCE6F0"/>
          </w:tcPr>
          <w:p>
            <w:pPr>
              <w:pStyle w:val="TableParagraph"/>
              <w:spacing w:before="35"/>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9" w:type="dxa"/>
          </w:tcPr>
          <w:p>
            <w:pPr>
              <w:pStyle w:val="TableParagraph"/>
              <w:spacing w:before="35"/>
              <w:ind w:left="69"/>
              <w:rPr>
                <w:sz w:val="20"/>
              </w:rPr>
            </w:pPr>
            <w:r>
              <w:rPr>
                <w:sz w:val="20"/>
              </w:rPr>
              <w:t>Informe</w:t>
            </w:r>
            <w:r>
              <w:rPr>
                <w:spacing w:val="-8"/>
                <w:sz w:val="20"/>
              </w:rPr>
              <w:t> </w:t>
            </w:r>
            <w:r>
              <w:rPr>
                <w:sz w:val="20"/>
              </w:rPr>
              <w:t>trimestral</w:t>
            </w:r>
            <w:r>
              <w:rPr>
                <w:spacing w:val="-6"/>
                <w:sz w:val="20"/>
              </w:rPr>
              <w:t> </w:t>
            </w:r>
            <w:r>
              <w:rPr>
                <w:sz w:val="20"/>
              </w:rPr>
              <w:t>de</w:t>
            </w:r>
            <w:r>
              <w:rPr>
                <w:spacing w:val="-4"/>
                <w:sz w:val="20"/>
              </w:rPr>
              <w:t> </w:t>
            </w:r>
            <w:r>
              <w:rPr>
                <w:spacing w:val="-2"/>
                <w:sz w:val="20"/>
              </w:rPr>
              <w:t>labores</w:t>
            </w:r>
          </w:p>
        </w:tc>
      </w:tr>
      <w:tr>
        <w:trPr>
          <w:trHeight w:val="688" w:hRule="atLeast"/>
        </w:trPr>
        <w:tc>
          <w:tcPr>
            <w:tcW w:w="2972" w:type="dxa"/>
            <w:shd w:val="clear" w:color="auto" w:fill="DCE6F0"/>
          </w:tcPr>
          <w:p>
            <w:pPr>
              <w:pStyle w:val="TableParagraph"/>
              <w:spacing w:before="227"/>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9" w:type="dxa"/>
          </w:tcPr>
          <w:p>
            <w:pPr>
              <w:pStyle w:val="TableParagraph"/>
              <w:spacing w:line="230" w:lineRule="atLeast" w:before="208"/>
              <w:ind w:left="69" w:right="161"/>
              <w:rPr>
                <w:sz w:val="20"/>
              </w:rPr>
            </w:pPr>
            <w:r>
              <w:rPr>
                <w:sz w:val="20"/>
              </w:rPr>
              <w:t>Informes,</w:t>
            </w:r>
            <w:r>
              <w:rPr>
                <w:spacing w:val="-5"/>
                <w:sz w:val="20"/>
              </w:rPr>
              <w:t> </w:t>
            </w:r>
            <w:r>
              <w:rPr>
                <w:sz w:val="20"/>
              </w:rPr>
              <w:t>avances</w:t>
            </w:r>
            <w:r>
              <w:rPr>
                <w:spacing w:val="-5"/>
                <w:sz w:val="20"/>
              </w:rPr>
              <w:t> </w:t>
            </w:r>
            <w:r>
              <w:rPr>
                <w:sz w:val="20"/>
              </w:rPr>
              <w:t>del</w:t>
            </w:r>
            <w:r>
              <w:rPr>
                <w:spacing w:val="-5"/>
                <w:sz w:val="20"/>
              </w:rPr>
              <w:t> </w:t>
            </w:r>
            <w:r>
              <w:rPr>
                <w:sz w:val="20"/>
              </w:rPr>
              <w:t>proyecto,</w:t>
            </w:r>
            <w:r>
              <w:rPr>
                <w:spacing w:val="-5"/>
                <w:sz w:val="20"/>
              </w:rPr>
              <w:t> </w:t>
            </w:r>
            <w:r>
              <w:rPr>
                <w:sz w:val="20"/>
              </w:rPr>
              <w:t>fotografías</w:t>
            </w:r>
            <w:r>
              <w:rPr>
                <w:spacing w:val="-5"/>
                <w:sz w:val="20"/>
              </w:rPr>
              <w:t> </w:t>
            </w:r>
            <w:r>
              <w:rPr>
                <w:sz w:val="20"/>
              </w:rPr>
              <w:t>y</w:t>
            </w:r>
            <w:r>
              <w:rPr>
                <w:spacing w:val="-5"/>
                <w:sz w:val="20"/>
              </w:rPr>
              <w:t> </w:t>
            </w:r>
            <w:r>
              <w:rPr>
                <w:sz w:val="20"/>
              </w:rPr>
              <w:t>registro</w:t>
            </w:r>
            <w:r>
              <w:rPr>
                <w:spacing w:val="-4"/>
                <w:sz w:val="20"/>
              </w:rPr>
              <w:t> </w:t>
            </w:r>
            <w:r>
              <w:rPr>
                <w:sz w:val="20"/>
              </w:rPr>
              <w:t>de</w:t>
            </w:r>
            <w:r>
              <w:rPr>
                <w:spacing w:val="-6"/>
                <w:sz w:val="20"/>
              </w:rPr>
              <w:t> </w:t>
            </w:r>
            <w:r>
              <w:rPr>
                <w:sz w:val="20"/>
              </w:rPr>
              <w:t>avances</w:t>
            </w:r>
            <w:r>
              <w:rPr>
                <w:spacing w:val="-5"/>
                <w:sz w:val="20"/>
              </w:rPr>
              <w:t> </w:t>
            </w:r>
            <w:r>
              <w:rPr>
                <w:sz w:val="20"/>
              </w:rPr>
              <w:t>en</w:t>
            </w:r>
            <w:r>
              <w:rPr>
                <w:spacing w:val="-5"/>
                <w:sz w:val="20"/>
              </w:rPr>
              <w:t> </w:t>
            </w:r>
            <w:r>
              <w:rPr>
                <w:sz w:val="20"/>
              </w:rPr>
              <w:t>la herramienta DELPHOS</w:t>
            </w:r>
          </w:p>
        </w:tc>
      </w:tr>
      <w:tr>
        <w:trPr>
          <w:trHeight w:val="299" w:hRule="atLeast"/>
        </w:trPr>
        <w:tc>
          <w:tcPr>
            <w:tcW w:w="2972" w:type="dxa"/>
            <w:shd w:val="clear" w:color="auto" w:fill="DCE6F0"/>
          </w:tcPr>
          <w:p>
            <w:pPr>
              <w:pStyle w:val="TableParagraph"/>
              <w:spacing w:before="35"/>
              <w:ind w:left="67"/>
              <w:rPr>
                <w:b/>
                <w:sz w:val="20"/>
              </w:rPr>
            </w:pPr>
            <w:r>
              <w:rPr>
                <w:b/>
                <w:spacing w:val="-2"/>
                <w:sz w:val="20"/>
              </w:rPr>
              <w:t>Clasificación</w:t>
            </w:r>
          </w:p>
        </w:tc>
        <w:tc>
          <w:tcPr>
            <w:tcW w:w="7519" w:type="dxa"/>
          </w:tcPr>
          <w:p>
            <w:pPr>
              <w:pStyle w:val="TableParagraph"/>
              <w:spacing w:before="35"/>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302" w:hRule="atLeast"/>
        </w:trPr>
        <w:tc>
          <w:tcPr>
            <w:tcW w:w="2972" w:type="dxa"/>
            <w:shd w:val="clear" w:color="auto" w:fill="DCE6F0"/>
          </w:tcPr>
          <w:p>
            <w:pPr>
              <w:pStyle w:val="TableParagraph"/>
              <w:spacing w:before="35"/>
              <w:ind w:left="67"/>
              <w:rPr>
                <w:b/>
                <w:sz w:val="20"/>
              </w:rPr>
            </w:pPr>
            <w:r>
              <w:rPr>
                <w:b/>
                <w:spacing w:val="-2"/>
                <w:sz w:val="20"/>
              </w:rPr>
              <w:t>Comentarios</w:t>
            </w:r>
            <w:r>
              <w:rPr>
                <w:b/>
                <w:spacing w:val="6"/>
                <w:sz w:val="20"/>
              </w:rPr>
              <w:t> </w:t>
            </w:r>
            <w:r>
              <w:rPr>
                <w:b/>
                <w:spacing w:val="-2"/>
                <w:sz w:val="20"/>
              </w:rPr>
              <w:t>Generales</w:t>
            </w:r>
          </w:p>
        </w:tc>
        <w:tc>
          <w:tcPr>
            <w:tcW w:w="7519" w:type="dxa"/>
          </w:tcPr>
          <w:p>
            <w:pPr>
              <w:pStyle w:val="TableParagraph"/>
              <w:rPr>
                <w:rFonts w:ascii="Times New Roman"/>
                <w:sz w:val="20"/>
              </w:rPr>
            </w:pPr>
          </w:p>
        </w:tc>
      </w:tr>
    </w:tbl>
    <w:p>
      <w:pPr>
        <w:pStyle w:val="BodyText"/>
        <w:rPr>
          <w:b/>
          <w:sz w:val="20"/>
        </w:rPr>
      </w:pPr>
    </w:p>
    <w:p>
      <w:pPr>
        <w:pStyle w:val="BodyText"/>
        <w:spacing w:before="112" w:after="1"/>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508" w:hRule="atLeast"/>
        </w:trPr>
        <w:tc>
          <w:tcPr>
            <w:tcW w:w="2976" w:type="dxa"/>
            <w:shd w:val="clear" w:color="auto" w:fill="DCE6F0"/>
          </w:tcPr>
          <w:p>
            <w:pPr>
              <w:pStyle w:val="TableParagraph"/>
              <w:spacing w:before="138"/>
              <w:ind w:left="67"/>
              <w:rPr>
                <w:b/>
                <w:sz w:val="20"/>
              </w:rPr>
            </w:pPr>
            <w:r>
              <w:rPr>
                <w:b/>
                <w:sz w:val="20"/>
              </w:rPr>
              <w:t>PEC</w:t>
            </w:r>
            <w:r>
              <w:rPr>
                <w:b/>
                <w:spacing w:val="-5"/>
                <w:sz w:val="20"/>
              </w:rPr>
              <w:t> </w:t>
            </w:r>
            <w:r>
              <w:rPr>
                <w:b/>
                <w:spacing w:val="-2"/>
                <w:sz w:val="20"/>
              </w:rPr>
              <w:t>3.3.1:</w:t>
            </w:r>
          </w:p>
        </w:tc>
        <w:tc>
          <w:tcPr>
            <w:tcW w:w="7513" w:type="dxa"/>
          </w:tcPr>
          <w:p>
            <w:pPr>
              <w:pStyle w:val="TableParagraph"/>
              <w:spacing w:before="138"/>
              <w:ind w:left="70"/>
              <w:rPr>
                <w:sz w:val="20"/>
              </w:rPr>
            </w:pPr>
            <w:r>
              <w:rPr>
                <w:sz w:val="20"/>
              </w:rPr>
              <w:t>Cantidad</w:t>
            </w:r>
            <w:r>
              <w:rPr>
                <w:spacing w:val="-9"/>
                <w:sz w:val="20"/>
              </w:rPr>
              <w:t> </w:t>
            </w:r>
            <w:r>
              <w:rPr>
                <w:sz w:val="20"/>
              </w:rPr>
              <w:t>de</w:t>
            </w:r>
            <w:r>
              <w:rPr>
                <w:spacing w:val="-7"/>
                <w:sz w:val="20"/>
              </w:rPr>
              <w:t> </w:t>
            </w:r>
            <w:r>
              <w:rPr>
                <w:sz w:val="20"/>
              </w:rPr>
              <w:t>impresoras</w:t>
            </w:r>
            <w:r>
              <w:rPr>
                <w:spacing w:val="-8"/>
                <w:sz w:val="20"/>
              </w:rPr>
              <w:t> </w:t>
            </w:r>
            <w:r>
              <w:rPr>
                <w:spacing w:val="-2"/>
                <w:sz w:val="20"/>
              </w:rPr>
              <w:t>instaladas</w:t>
            </w:r>
          </w:p>
        </w:tc>
      </w:tr>
      <w:tr>
        <w:trPr>
          <w:trHeight w:val="302" w:hRule="atLeast"/>
        </w:trPr>
        <w:tc>
          <w:tcPr>
            <w:tcW w:w="2976" w:type="dxa"/>
            <w:shd w:val="clear" w:color="auto" w:fill="DCE6F0"/>
          </w:tcPr>
          <w:p>
            <w:pPr>
              <w:pStyle w:val="TableParagraph"/>
              <w:spacing w:before="36"/>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3" w:type="dxa"/>
          </w:tcPr>
          <w:p>
            <w:pPr>
              <w:pStyle w:val="TableParagraph"/>
              <w:spacing w:before="36"/>
              <w:ind w:left="70"/>
              <w:rPr>
                <w:sz w:val="20"/>
              </w:rPr>
            </w:pPr>
            <w:r>
              <w:rPr>
                <w:sz w:val="20"/>
              </w:rPr>
              <w:t>Sumatoria</w:t>
            </w:r>
            <w:r>
              <w:rPr>
                <w:spacing w:val="-9"/>
                <w:sz w:val="20"/>
              </w:rPr>
              <w:t> </w:t>
            </w:r>
            <w:r>
              <w:rPr>
                <w:sz w:val="20"/>
              </w:rPr>
              <w:t>de</w:t>
            </w:r>
            <w:r>
              <w:rPr>
                <w:spacing w:val="-9"/>
                <w:sz w:val="20"/>
              </w:rPr>
              <w:t> </w:t>
            </w:r>
            <w:r>
              <w:rPr>
                <w:sz w:val="20"/>
              </w:rPr>
              <w:t>impresoras</w:t>
            </w:r>
            <w:r>
              <w:rPr>
                <w:spacing w:val="-5"/>
                <w:sz w:val="20"/>
              </w:rPr>
              <w:t> </w:t>
            </w:r>
            <w:r>
              <w:rPr>
                <w:sz w:val="20"/>
              </w:rPr>
              <w:t>instaladas</w:t>
            </w:r>
            <w:r>
              <w:rPr>
                <w:spacing w:val="-8"/>
                <w:sz w:val="20"/>
              </w:rPr>
              <w:t> </w:t>
            </w:r>
            <w:r>
              <w:rPr>
                <w:sz w:val="20"/>
              </w:rPr>
              <w:t>en</w:t>
            </w:r>
            <w:r>
              <w:rPr>
                <w:spacing w:val="-8"/>
                <w:sz w:val="20"/>
              </w:rPr>
              <w:t> </w:t>
            </w:r>
            <w:r>
              <w:rPr>
                <w:spacing w:val="-2"/>
                <w:sz w:val="20"/>
              </w:rPr>
              <w:t>tiendas</w:t>
            </w:r>
          </w:p>
        </w:tc>
      </w:tr>
      <w:tr>
        <w:trPr>
          <w:trHeight w:val="299" w:hRule="atLeast"/>
        </w:trPr>
        <w:tc>
          <w:tcPr>
            <w:tcW w:w="2976" w:type="dxa"/>
            <w:shd w:val="clear" w:color="auto" w:fill="DCE6F0"/>
          </w:tcPr>
          <w:p>
            <w:pPr>
              <w:pStyle w:val="TableParagraph"/>
              <w:spacing w:before="33"/>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33"/>
              <w:ind w:left="70"/>
              <w:rPr>
                <w:sz w:val="20"/>
              </w:rPr>
            </w:pPr>
            <w:r>
              <w:rPr>
                <w:spacing w:val="-2"/>
                <w:sz w:val="20"/>
              </w:rPr>
              <w:t>Cantidad</w:t>
            </w:r>
          </w:p>
        </w:tc>
      </w:tr>
      <w:tr>
        <w:trPr>
          <w:trHeight w:val="575" w:hRule="atLeast"/>
        </w:trPr>
        <w:tc>
          <w:tcPr>
            <w:tcW w:w="2976" w:type="dxa"/>
            <w:shd w:val="clear" w:color="auto" w:fill="DCE6F0"/>
          </w:tcPr>
          <w:p>
            <w:pPr>
              <w:pStyle w:val="TableParagraph"/>
              <w:spacing w:before="172"/>
              <w:ind w:left="67"/>
              <w:rPr>
                <w:b/>
                <w:sz w:val="20"/>
              </w:rPr>
            </w:pPr>
            <w:r>
              <w:rPr>
                <w:b/>
                <w:spacing w:val="-2"/>
                <w:sz w:val="20"/>
              </w:rPr>
              <w:t>Interpretación:</w:t>
            </w:r>
          </w:p>
        </w:tc>
        <w:tc>
          <w:tcPr>
            <w:tcW w:w="7513" w:type="dxa"/>
          </w:tcPr>
          <w:p>
            <w:pPr>
              <w:pStyle w:val="TableParagraph"/>
              <w:spacing w:before="57"/>
              <w:ind w:left="70" w:right="133"/>
              <w:rPr>
                <w:sz w:val="20"/>
              </w:rPr>
            </w:pPr>
            <w:r>
              <w:rPr>
                <w:sz w:val="20"/>
              </w:rPr>
              <w:t>Se</w:t>
            </w:r>
            <w:r>
              <w:rPr>
                <w:spacing w:val="-5"/>
                <w:sz w:val="20"/>
              </w:rPr>
              <w:t> </w:t>
            </w:r>
            <w:r>
              <w:rPr>
                <w:sz w:val="20"/>
              </w:rPr>
              <w:t>refiere</w:t>
            </w:r>
            <w:r>
              <w:rPr>
                <w:spacing w:val="-3"/>
                <w:sz w:val="20"/>
              </w:rPr>
              <w:t> </w:t>
            </w:r>
            <w:r>
              <w:rPr>
                <w:sz w:val="20"/>
              </w:rPr>
              <w:t>a</w:t>
            </w:r>
            <w:r>
              <w:rPr>
                <w:spacing w:val="-5"/>
                <w:sz w:val="20"/>
              </w:rPr>
              <w:t> </w:t>
            </w:r>
            <w:r>
              <w:rPr>
                <w:sz w:val="20"/>
              </w:rPr>
              <w:t>la</w:t>
            </w:r>
            <w:r>
              <w:rPr>
                <w:spacing w:val="-3"/>
                <w:sz w:val="20"/>
              </w:rPr>
              <w:t> </w:t>
            </w:r>
            <w:r>
              <w:rPr>
                <w:sz w:val="20"/>
              </w:rPr>
              <w:t>instalación</w:t>
            </w:r>
            <w:r>
              <w:rPr>
                <w:spacing w:val="-5"/>
                <w:sz w:val="20"/>
              </w:rPr>
              <w:t> </w:t>
            </w:r>
            <w:r>
              <w:rPr>
                <w:sz w:val="20"/>
              </w:rPr>
              <w:t>de</w:t>
            </w:r>
            <w:r>
              <w:rPr>
                <w:spacing w:val="-5"/>
                <w:sz w:val="20"/>
              </w:rPr>
              <w:t> </w:t>
            </w:r>
            <w:r>
              <w:rPr>
                <w:sz w:val="20"/>
              </w:rPr>
              <w:t>impresoras</w:t>
            </w:r>
            <w:r>
              <w:rPr>
                <w:spacing w:val="-3"/>
                <w:sz w:val="20"/>
              </w:rPr>
              <w:t> </w:t>
            </w:r>
            <w:r>
              <w:rPr>
                <w:sz w:val="20"/>
              </w:rPr>
              <w:t>térmicas</w:t>
            </w:r>
            <w:r>
              <w:rPr>
                <w:spacing w:val="-4"/>
                <w:sz w:val="20"/>
              </w:rPr>
              <w:t> </w:t>
            </w:r>
            <w:r>
              <w:rPr>
                <w:sz w:val="20"/>
              </w:rPr>
              <w:t>que</w:t>
            </w:r>
            <w:r>
              <w:rPr>
                <w:spacing w:val="-4"/>
                <w:sz w:val="20"/>
              </w:rPr>
              <w:t> </w:t>
            </w:r>
            <w:r>
              <w:rPr>
                <w:sz w:val="20"/>
              </w:rPr>
              <w:t>contribuyan</w:t>
            </w:r>
            <w:r>
              <w:rPr>
                <w:spacing w:val="-6"/>
                <w:sz w:val="20"/>
              </w:rPr>
              <w:t> </w:t>
            </w:r>
            <w:r>
              <w:rPr>
                <w:sz w:val="20"/>
              </w:rPr>
              <w:t>a</w:t>
            </w:r>
            <w:r>
              <w:rPr>
                <w:spacing w:val="-3"/>
                <w:sz w:val="20"/>
              </w:rPr>
              <w:t> </w:t>
            </w:r>
            <w:r>
              <w:rPr>
                <w:sz w:val="20"/>
              </w:rPr>
              <w:t>facilitar</w:t>
            </w:r>
            <w:r>
              <w:rPr>
                <w:spacing w:val="-5"/>
                <w:sz w:val="20"/>
              </w:rPr>
              <w:t> </w:t>
            </w:r>
            <w:r>
              <w:rPr>
                <w:sz w:val="20"/>
              </w:rPr>
              <w:t>el proceso de facturación en las tiendas</w:t>
            </w:r>
          </w:p>
        </w:tc>
      </w:tr>
      <w:tr>
        <w:trPr>
          <w:trHeight w:val="882" w:hRule="atLeast"/>
        </w:trPr>
        <w:tc>
          <w:tcPr>
            <w:tcW w:w="2976" w:type="dxa"/>
            <w:shd w:val="clear" w:color="auto" w:fill="DCE6F0"/>
          </w:tcPr>
          <w:p>
            <w:pPr>
              <w:pStyle w:val="TableParagraph"/>
              <w:spacing w:before="95"/>
              <w:rPr>
                <w:b/>
                <w:sz w:val="20"/>
              </w:rPr>
            </w:pPr>
          </w:p>
          <w:p>
            <w:pPr>
              <w:pStyle w:val="TableParagraph"/>
              <w:spacing w:before="1"/>
              <w:ind w:left="67"/>
              <w:rPr>
                <w:b/>
                <w:sz w:val="20"/>
              </w:rPr>
            </w:pPr>
            <w:r>
              <w:rPr>
                <w:b/>
                <w:spacing w:val="-2"/>
                <w:sz w:val="20"/>
              </w:rPr>
              <w:t>Desagregación</w:t>
            </w:r>
          </w:p>
        </w:tc>
        <w:tc>
          <w:tcPr>
            <w:tcW w:w="7513" w:type="dxa"/>
          </w:tcPr>
          <w:p>
            <w:pPr>
              <w:pStyle w:val="TableParagraph"/>
              <w:spacing w:before="210"/>
              <w:ind w:left="70" w:right="133"/>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302" w:hRule="atLeast"/>
        </w:trPr>
        <w:tc>
          <w:tcPr>
            <w:tcW w:w="2976" w:type="dxa"/>
            <w:shd w:val="clear" w:color="auto" w:fill="DCE6F0"/>
          </w:tcPr>
          <w:p>
            <w:pPr>
              <w:pStyle w:val="TableParagraph"/>
              <w:spacing w:before="35"/>
              <w:ind w:left="67"/>
              <w:rPr>
                <w:b/>
                <w:sz w:val="20"/>
              </w:rPr>
            </w:pPr>
            <w:r>
              <w:rPr>
                <w:b/>
                <w:spacing w:val="-2"/>
                <w:sz w:val="20"/>
              </w:rPr>
              <w:t>Meta:</w:t>
            </w:r>
          </w:p>
        </w:tc>
        <w:tc>
          <w:tcPr>
            <w:tcW w:w="7513" w:type="dxa"/>
          </w:tcPr>
          <w:p>
            <w:pPr>
              <w:pStyle w:val="TableParagraph"/>
              <w:spacing w:before="35"/>
              <w:ind w:right="56"/>
              <w:jc w:val="right"/>
              <w:rPr>
                <w:sz w:val="20"/>
              </w:rPr>
            </w:pPr>
            <w:r>
              <w:rPr>
                <w:spacing w:val="-10"/>
                <w:sz w:val="20"/>
              </w:rPr>
              <w:t>1</w:t>
            </w:r>
          </w:p>
        </w:tc>
      </w:tr>
      <w:tr>
        <w:trPr>
          <w:trHeight w:val="299" w:hRule="atLeast"/>
        </w:trPr>
        <w:tc>
          <w:tcPr>
            <w:tcW w:w="2976" w:type="dxa"/>
            <w:shd w:val="clear" w:color="auto" w:fill="DCE6F0"/>
          </w:tcPr>
          <w:p>
            <w:pPr>
              <w:pStyle w:val="TableParagraph"/>
              <w:spacing w:before="33"/>
              <w:ind w:left="67"/>
              <w:rPr>
                <w:b/>
                <w:sz w:val="20"/>
              </w:rPr>
            </w:pPr>
            <w:r>
              <w:rPr>
                <w:b/>
                <w:sz w:val="20"/>
              </w:rPr>
              <w:t>Línea</w:t>
            </w:r>
            <w:r>
              <w:rPr>
                <w:b/>
                <w:spacing w:val="-10"/>
                <w:sz w:val="20"/>
              </w:rPr>
              <w:t> </w:t>
            </w:r>
            <w:r>
              <w:rPr>
                <w:b/>
                <w:spacing w:val="-4"/>
                <w:sz w:val="20"/>
              </w:rPr>
              <w:t>Base</w:t>
            </w:r>
          </w:p>
        </w:tc>
        <w:tc>
          <w:tcPr>
            <w:tcW w:w="7513" w:type="dxa"/>
          </w:tcPr>
          <w:p>
            <w:pPr>
              <w:pStyle w:val="TableParagraph"/>
              <w:spacing w:before="33"/>
              <w:ind w:left="70"/>
              <w:rPr>
                <w:sz w:val="20"/>
              </w:rPr>
            </w:pPr>
            <w:r>
              <w:rPr>
                <w:spacing w:val="-5"/>
                <w:sz w:val="20"/>
              </w:rPr>
              <w:t>n/d</w:t>
            </w:r>
          </w:p>
        </w:tc>
      </w:tr>
      <w:tr>
        <w:trPr>
          <w:trHeight w:val="508" w:hRule="atLeast"/>
        </w:trPr>
        <w:tc>
          <w:tcPr>
            <w:tcW w:w="2976" w:type="dxa"/>
            <w:shd w:val="clear" w:color="auto" w:fill="DCE6F0"/>
          </w:tcPr>
          <w:p>
            <w:pPr>
              <w:pStyle w:val="TableParagraph"/>
              <w:spacing w:before="2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138"/>
              <w:ind w:left="70"/>
              <w:rPr>
                <w:sz w:val="20"/>
              </w:rPr>
            </w:pPr>
            <w:r>
              <w:rPr>
                <w:spacing w:val="-2"/>
                <w:sz w:val="20"/>
              </w:rPr>
              <w:t>Trimestral</w:t>
            </w:r>
          </w:p>
        </w:tc>
      </w:tr>
      <w:tr>
        <w:trPr>
          <w:trHeight w:val="765" w:hRule="atLeast"/>
        </w:trPr>
        <w:tc>
          <w:tcPr>
            <w:tcW w:w="2976" w:type="dxa"/>
            <w:shd w:val="clear" w:color="auto" w:fill="DCE6F0"/>
          </w:tcPr>
          <w:p>
            <w:pPr>
              <w:pStyle w:val="TableParagraph"/>
              <w:spacing w:before="153"/>
              <w:ind w:left="67" w:right="514"/>
              <w:rPr>
                <w:b/>
                <w:sz w:val="20"/>
              </w:rPr>
            </w:pPr>
            <w:r>
              <w:rPr>
                <w:b/>
                <w:sz w:val="20"/>
              </w:rPr>
              <w:t>Responsable de la recopilación</w:t>
            </w:r>
            <w:r>
              <w:rPr>
                <w:b/>
                <w:spacing w:val="-14"/>
                <w:sz w:val="20"/>
              </w:rPr>
              <w:t> </w:t>
            </w:r>
            <w:r>
              <w:rPr>
                <w:b/>
                <w:sz w:val="20"/>
              </w:rPr>
              <w:t>información</w:t>
            </w:r>
          </w:p>
        </w:tc>
        <w:tc>
          <w:tcPr>
            <w:tcW w:w="7513" w:type="dxa"/>
          </w:tcPr>
          <w:p>
            <w:pPr>
              <w:pStyle w:val="TableParagraph"/>
              <w:spacing w:before="153"/>
              <w:ind w:left="70" w:right="133"/>
              <w:rPr>
                <w:sz w:val="20"/>
              </w:rPr>
            </w:pPr>
            <w:r>
              <w:rPr>
                <w:sz w:val="20"/>
              </w:rPr>
              <w:t>Nombre</w:t>
            </w:r>
            <w:r>
              <w:rPr>
                <w:spacing w:val="-4"/>
                <w:sz w:val="20"/>
              </w:rPr>
              <w:t> </w:t>
            </w:r>
            <w:r>
              <w:rPr>
                <w:sz w:val="20"/>
              </w:rPr>
              <w:t>del</w:t>
            </w:r>
            <w:r>
              <w:rPr>
                <w:spacing w:val="-7"/>
                <w:sz w:val="20"/>
              </w:rPr>
              <w:t> </w:t>
            </w:r>
            <w:r>
              <w:rPr>
                <w:sz w:val="20"/>
              </w:rPr>
              <w:t>funcionario:</w:t>
            </w:r>
            <w:r>
              <w:rPr>
                <w:spacing w:val="-5"/>
                <w:sz w:val="20"/>
              </w:rPr>
              <w:t> </w:t>
            </w:r>
            <w:r>
              <w:rPr>
                <w:sz w:val="20"/>
              </w:rPr>
              <w:t>Carlos</w:t>
            </w:r>
            <w:r>
              <w:rPr>
                <w:spacing w:val="-5"/>
                <w:sz w:val="20"/>
              </w:rPr>
              <w:t> </w:t>
            </w:r>
            <w:r>
              <w:rPr>
                <w:sz w:val="20"/>
              </w:rPr>
              <w:t>Alvarez</w:t>
            </w:r>
            <w:r>
              <w:rPr>
                <w:spacing w:val="-4"/>
                <w:sz w:val="20"/>
              </w:rPr>
              <w:t> </w:t>
            </w:r>
            <w:r>
              <w:rPr>
                <w:sz w:val="20"/>
              </w:rPr>
              <w:t>Gómez,</w:t>
            </w:r>
            <w:r>
              <w:rPr>
                <w:spacing w:val="-6"/>
                <w:sz w:val="20"/>
              </w:rPr>
              <w:t> </w:t>
            </w:r>
            <w:r>
              <w:rPr>
                <w:sz w:val="20"/>
              </w:rPr>
              <w:t>Jefatura</w:t>
            </w:r>
            <w:r>
              <w:rPr>
                <w:spacing w:val="-6"/>
                <w:sz w:val="20"/>
              </w:rPr>
              <w:t> </w:t>
            </w:r>
            <w:r>
              <w:rPr>
                <w:sz w:val="20"/>
              </w:rPr>
              <w:t>de</w:t>
            </w:r>
            <w:r>
              <w:rPr>
                <w:spacing w:val="-4"/>
                <w:sz w:val="20"/>
              </w:rPr>
              <w:t> </w:t>
            </w:r>
            <w:r>
              <w:rPr>
                <w:sz w:val="20"/>
              </w:rPr>
              <w:t>la</w:t>
            </w:r>
            <w:r>
              <w:rPr>
                <w:spacing w:val="-6"/>
                <w:sz w:val="20"/>
              </w:rPr>
              <w:t> </w:t>
            </w:r>
            <w:r>
              <w:rPr>
                <w:sz w:val="20"/>
              </w:rPr>
              <w:t>Unidad</w:t>
            </w:r>
            <w:r>
              <w:rPr>
                <w:spacing w:val="-4"/>
                <w:sz w:val="20"/>
              </w:rPr>
              <w:t> </w:t>
            </w:r>
            <w:r>
              <w:rPr>
                <w:sz w:val="20"/>
              </w:rPr>
              <w:t>de Coordinación Administrativa</w:t>
            </w:r>
          </w:p>
        </w:tc>
      </w:tr>
      <w:tr>
        <w:trPr>
          <w:trHeight w:val="827" w:hRule="atLeast"/>
        </w:trPr>
        <w:tc>
          <w:tcPr>
            <w:tcW w:w="2976" w:type="dxa"/>
            <w:shd w:val="clear" w:color="auto" w:fill="DCE6F0"/>
          </w:tcPr>
          <w:p>
            <w:pPr>
              <w:pStyle w:val="TableParagraph"/>
              <w:spacing w:before="184"/>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3" w:type="dxa"/>
          </w:tcPr>
          <w:p>
            <w:pPr>
              <w:pStyle w:val="TableParagraph"/>
              <w:spacing w:before="69"/>
              <w:rPr>
                <w:b/>
                <w:sz w:val="20"/>
              </w:rPr>
            </w:pPr>
          </w:p>
          <w:p>
            <w:pPr>
              <w:pStyle w:val="TableParagraph"/>
              <w:ind w:left="70"/>
              <w:rPr>
                <w:sz w:val="20"/>
              </w:rPr>
            </w:pPr>
            <w:r>
              <w:rPr>
                <w:sz w:val="20"/>
              </w:rPr>
              <w:t>Empresas</w:t>
            </w:r>
            <w:r>
              <w:rPr>
                <w:spacing w:val="-14"/>
                <w:sz w:val="20"/>
              </w:rPr>
              <w:t> </w:t>
            </w:r>
            <w:r>
              <w:rPr>
                <w:spacing w:val="-2"/>
                <w:sz w:val="20"/>
              </w:rPr>
              <w:t>Comerciales</w:t>
            </w:r>
          </w:p>
        </w:tc>
      </w:tr>
      <w:tr>
        <w:trPr>
          <w:trHeight w:val="508" w:hRule="atLeast"/>
        </w:trPr>
        <w:tc>
          <w:tcPr>
            <w:tcW w:w="2976" w:type="dxa"/>
            <w:shd w:val="clear" w:color="auto" w:fill="DCE6F0"/>
          </w:tcPr>
          <w:p>
            <w:pPr>
              <w:pStyle w:val="TableParagraph"/>
              <w:spacing w:before="138"/>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3" w:type="dxa"/>
          </w:tcPr>
          <w:p>
            <w:pPr>
              <w:pStyle w:val="TableParagraph"/>
              <w:spacing w:before="138"/>
              <w:ind w:left="70"/>
              <w:rPr>
                <w:sz w:val="20"/>
              </w:rPr>
            </w:pPr>
            <w:r>
              <w:rPr>
                <w:sz w:val="20"/>
              </w:rPr>
              <w:t>Informes</w:t>
            </w:r>
            <w:r>
              <w:rPr>
                <w:spacing w:val="-8"/>
                <w:sz w:val="20"/>
              </w:rPr>
              <w:t> </w:t>
            </w:r>
            <w:r>
              <w:rPr>
                <w:sz w:val="20"/>
              </w:rPr>
              <w:t>de</w:t>
            </w:r>
            <w:r>
              <w:rPr>
                <w:spacing w:val="-6"/>
                <w:sz w:val="20"/>
              </w:rPr>
              <w:t> </w:t>
            </w:r>
            <w:r>
              <w:rPr>
                <w:spacing w:val="-2"/>
                <w:sz w:val="20"/>
              </w:rPr>
              <w:t>seguimiento</w:t>
            </w:r>
          </w:p>
        </w:tc>
      </w:tr>
      <w:tr>
        <w:trPr>
          <w:trHeight w:val="765" w:hRule="atLeast"/>
        </w:trPr>
        <w:tc>
          <w:tcPr>
            <w:tcW w:w="2976" w:type="dxa"/>
            <w:shd w:val="clear" w:color="auto" w:fill="DCE6F0"/>
          </w:tcPr>
          <w:p>
            <w:pPr>
              <w:pStyle w:val="TableParagraph"/>
              <w:spacing w:before="38"/>
              <w:rPr>
                <w:b/>
                <w:sz w:val="20"/>
              </w:rPr>
            </w:pPr>
          </w:p>
          <w:p>
            <w:pPr>
              <w:pStyle w:val="TableParagraph"/>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38"/>
              <w:rPr>
                <w:b/>
                <w:sz w:val="20"/>
              </w:rPr>
            </w:pPr>
          </w:p>
          <w:p>
            <w:pPr>
              <w:pStyle w:val="TableParagraph"/>
              <w:ind w:left="70"/>
              <w:rPr>
                <w:sz w:val="20"/>
              </w:rPr>
            </w:pPr>
            <w:r>
              <w:rPr>
                <w:sz w:val="20"/>
              </w:rPr>
              <w:t>Facturas</w:t>
            </w:r>
            <w:r>
              <w:rPr>
                <w:spacing w:val="-8"/>
                <w:sz w:val="20"/>
              </w:rPr>
              <w:t> </w:t>
            </w:r>
            <w:r>
              <w:rPr>
                <w:sz w:val="20"/>
              </w:rPr>
              <w:t>de</w:t>
            </w:r>
            <w:r>
              <w:rPr>
                <w:spacing w:val="-8"/>
                <w:sz w:val="20"/>
              </w:rPr>
              <w:t> </w:t>
            </w:r>
            <w:r>
              <w:rPr>
                <w:sz w:val="20"/>
              </w:rPr>
              <w:t>pago,</w:t>
            </w:r>
            <w:r>
              <w:rPr>
                <w:spacing w:val="-9"/>
                <w:sz w:val="20"/>
              </w:rPr>
              <w:t> </w:t>
            </w:r>
            <w:r>
              <w:rPr>
                <w:sz w:val="20"/>
              </w:rPr>
              <w:t>contrato</w:t>
            </w:r>
            <w:r>
              <w:rPr>
                <w:spacing w:val="-8"/>
                <w:sz w:val="20"/>
              </w:rPr>
              <w:t> </w:t>
            </w:r>
            <w:r>
              <w:rPr>
                <w:sz w:val="20"/>
              </w:rPr>
              <w:t>ejecutado,</w:t>
            </w:r>
            <w:r>
              <w:rPr>
                <w:spacing w:val="-8"/>
                <w:sz w:val="20"/>
              </w:rPr>
              <w:t> </w:t>
            </w:r>
            <w:r>
              <w:rPr>
                <w:sz w:val="20"/>
              </w:rPr>
              <w:t>equipo</w:t>
            </w:r>
            <w:r>
              <w:rPr>
                <w:spacing w:val="-8"/>
                <w:sz w:val="20"/>
              </w:rPr>
              <w:t> </w:t>
            </w:r>
            <w:r>
              <w:rPr>
                <w:spacing w:val="-2"/>
                <w:sz w:val="20"/>
              </w:rPr>
              <w:t>adquirido</w:t>
            </w:r>
          </w:p>
        </w:tc>
      </w:tr>
      <w:tr>
        <w:trPr>
          <w:trHeight w:val="510" w:hRule="atLeast"/>
        </w:trPr>
        <w:tc>
          <w:tcPr>
            <w:tcW w:w="2976" w:type="dxa"/>
            <w:shd w:val="clear" w:color="auto" w:fill="DCE6F0"/>
          </w:tcPr>
          <w:p>
            <w:pPr>
              <w:pStyle w:val="TableParagraph"/>
              <w:spacing w:before="141"/>
              <w:ind w:left="67"/>
              <w:rPr>
                <w:b/>
                <w:sz w:val="20"/>
              </w:rPr>
            </w:pPr>
            <w:r>
              <w:rPr>
                <w:b/>
                <w:spacing w:val="-2"/>
                <w:sz w:val="20"/>
              </w:rPr>
              <w:t>Clasificación</w:t>
            </w:r>
          </w:p>
        </w:tc>
        <w:tc>
          <w:tcPr>
            <w:tcW w:w="7513" w:type="dxa"/>
          </w:tcPr>
          <w:p>
            <w:pPr>
              <w:pStyle w:val="TableParagraph"/>
              <w:spacing w:before="141"/>
              <w:ind w:left="70"/>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511" w:hRule="atLeast"/>
        </w:trPr>
        <w:tc>
          <w:tcPr>
            <w:tcW w:w="2976" w:type="dxa"/>
            <w:shd w:val="clear" w:color="auto" w:fill="DCE6F0"/>
          </w:tcPr>
          <w:p>
            <w:pPr>
              <w:pStyle w:val="TableParagraph"/>
              <w:spacing w:before="139"/>
              <w:ind w:left="67"/>
              <w:rPr>
                <w:b/>
                <w:sz w:val="20"/>
              </w:rPr>
            </w:pPr>
            <w:r>
              <w:rPr>
                <w:b/>
                <w:spacing w:val="-2"/>
                <w:sz w:val="20"/>
              </w:rPr>
              <w:t>Comentarios</w:t>
            </w:r>
            <w:r>
              <w:rPr>
                <w:b/>
                <w:spacing w:val="6"/>
                <w:sz w:val="20"/>
              </w:rPr>
              <w:t> </w:t>
            </w:r>
            <w:r>
              <w:rPr>
                <w:b/>
                <w:spacing w:val="-2"/>
                <w:sz w:val="20"/>
              </w:rPr>
              <w:t>Generales</w:t>
            </w:r>
          </w:p>
        </w:tc>
        <w:tc>
          <w:tcPr>
            <w:tcW w:w="7513" w:type="dxa"/>
          </w:tcPr>
          <w:p>
            <w:pPr>
              <w:pStyle w:val="TableParagraph"/>
              <w:spacing w:before="23"/>
              <w:ind w:left="70" w:right="133"/>
              <w:rPr>
                <w:sz w:val="20"/>
              </w:rPr>
            </w:pPr>
            <w:r>
              <w:rPr>
                <w:sz w:val="20"/>
              </w:rPr>
              <w:t>Mencionar</w:t>
            </w:r>
            <w:r>
              <w:rPr>
                <w:spacing w:val="-4"/>
                <w:sz w:val="20"/>
              </w:rPr>
              <w:t> </w:t>
            </w:r>
            <w:r>
              <w:rPr>
                <w:sz w:val="20"/>
              </w:rPr>
              <w:t>cualquier</w:t>
            </w:r>
            <w:r>
              <w:rPr>
                <w:spacing w:val="-4"/>
                <w:sz w:val="20"/>
              </w:rPr>
              <w:t> </w:t>
            </w:r>
            <w:r>
              <w:rPr>
                <w:sz w:val="20"/>
              </w:rPr>
              <w:t>observación</w:t>
            </w:r>
            <w:r>
              <w:rPr>
                <w:spacing w:val="-5"/>
                <w:sz w:val="20"/>
              </w:rPr>
              <w:t> </w:t>
            </w:r>
            <w:r>
              <w:rPr>
                <w:sz w:val="20"/>
              </w:rPr>
              <w:t>que</w:t>
            </w:r>
            <w:r>
              <w:rPr>
                <w:spacing w:val="-5"/>
                <w:sz w:val="20"/>
              </w:rPr>
              <w:t> </w:t>
            </w:r>
            <w:r>
              <w:rPr>
                <w:sz w:val="20"/>
              </w:rPr>
              <w:t>se</w:t>
            </w:r>
            <w:r>
              <w:rPr>
                <w:spacing w:val="-4"/>
                <w:sz w:val="20"/>
              </w:rPr>
              <w:t> </w:t>
            </w:r>
            <w:r>
              <w:rPr>
                <w:sz w:val="20"/>
              </w:rPr>
              <w:t>considere</w:t>
            </w:r>
            <w:r>
              <w:rPr>
                <w:spacing w:val="-4"/>
                <w:sz w:val="20"/>
              </w:rPr>
              <w:t> </w:t>
            </w:r>
            <w:r>
              <w:rPr>
                <w:sz w:val="20"/>
              </w:rPr>
              <w:t>necesaria</w:t>
            </w:r>
            <w:r>
              <w:rPr>
                <w:spacing w:val="-5"/>
                <w:sz w:val="20"/>
              </w:rPr>
              <w:t> </w:t>
            </w:r>
            <w:r>
              <w:rPr>
                <w:sz w:val="20"/>
              </w:rPr>
              <w:t>para</w:t>
            </w:r>
            <w:r>
              <w:rPr>
                <w:spacing w:val="-4"/>
                <w:sz w:val="20"/>
              </w:rPr>
              <w:t> </w:t>
            </w:r>
            <w:r>
              <w:rPr>
                <w:sz w:val="20"/>
              </w:rPr>
              <w:t>que</w:t>
            </w:r>
            <w:r>
              <w:rPr>
                <w:spacing w:val="-4"/>
                <w:sz w:val="20"/>
              </w:rPr>
              <w:t> </w:t>
            </w:r>
            <w:r>
              <w:rPr>
                <w:sz w:val="20"/>
              </w:rPr>
              <w:t>el</w:t>
            </w:r>
            <w:r>
              <w:rPr>
                <w:spacing w:val="-5"/>
                <w:sz w:val="20"/>
              </w:rPr>
              <w:t> </w:t>
            </w:r>
            <w:r>
              <w:rPr>
                <w:sz w:val="20"/>
              </w:rPr>
              <w:t>usuario obtenga una mejor comprensión del indicador</w:t>
            </w:r>
          </w:p>
        </w:tc>
      </w:tr>
    </w:tbl>
    <w:p>
      <w:pPr>
        <w:pStyle w:val="TableParagraph"/>
        <w:spacing w:after="0"/>
        <w:rPr>
          <w:sz w:val="20"/>
        </w:rPr>
        <w:sectPr>
          <w:footerReference w:type="default" r:id="rId152"/>
          <w:pgSz w:w="12240" w:h="15840"/>
          <w:pgMar w:header="0" w:footer="2082" w:top="1400" w:bottom="3278" w:left="720" w:right="720"/>
          <w:pgNumType w:start="23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600" w:hRule="atLeast"/>
        </w:trPr>
        <w:tc>
          <w:tcPr>
            <w:tcW w:w="2976" w:type="dxa"/>
            <w:shd w:val="clear" w:color="auto" w:fill="DCE6F0"/>
          </w:tcPr>
          <w:p>
            <w:pPr>
              <w:pStyle w:val="TableParagraph"/>
              <w:spacing w:before="184"/>
              <w:ind w:left="67"/>
              <w:rPr>
                <w:b/>
                <w:sz w:val="20"/>
              </w:rPr>
            </w:pPr>
            <w:r>
              <w:rPr>
                <w:b/>
                <w:sz w:val="20"/>
              </w:rPr>
              <w:t>PEC</w:t>
            </w:r>
            <w:r>
              <w:rPr>
                <w:b/>
                <w:spacing w:val="-5"/>
                <w:sz w:val="20"/>
              </w:rPr>
              <w:t> </w:t>
            </w:r>
            <w:r>
              <w:rPr>
                <w:b/>
                <w:spacing w:val="-2"/>
                <w:sz w:val="20"/>
              </w:rPr>
              <w:t>3.4.1:</w:t>
            </w:r>
          </w:p>
        </w:tc>
        <w:tc>
          <w:tcPr>
            <w:tcW w:w="7513" w:type="dxa"/>
          </w:tcPr>
          <w:p>
            <w:pPr>
              <w:pStyle w:val="TableParagraph"/>
              <w:spacing w:before="184"/>
              <w:ind w:left="70"/>
              <w:rPr>
                <w:sz w:val="20"/>
              </w:rPr>
            </w:pPr>
            <w:r>
              <w:rPr>
                <w:sz w:val="20"/>
              </w:rPr>
              <w:t>Nombre</w:t>
            </w:r>
            <w:r>
              <w:rPr>
                <w:spacing w:val="-8"/>
                <w:sz w:val="20"/>
              </w:rPr>
              <w:t> </w:t>
            </w:r>
            <w:r>
              <w:rPr>
                <w:sz w:val="20"/>
              </w:rPr>
              <w:t>del</w:t>
            </w:r>
            <w:r>
              <w:rPr>
                <w:spacing w:val="-10"/>
                <w:sz w:val="20"/>
              </w:rPr>
              <w:t> </w:t>
            </w:r>
            <w:r>
              <w:rPr>
                <w:sz w:val="20"/>
              </w:rPr>
              <w:t>Indicador:</w:t>
            </w:r>
            <w:r>
              <w:rPr>
                <w:spacing w:val="-10"/>
                <w:sz w:val="20"/>
              </w:rPr>
              <w:t> </w:t>
            </w:r>
            <w:r>
              <w:rPr>
                <w:sz w:val="20"/>
              </w:rPr>
              <w:t>cantidad</w:t>
            </w:r>
            <w:r>
              <w:rPr>
                <w:spacing w:val="-7"/>
                <w:sz w:val="20"/>
              </w:rPr>
              <w:t> </w:t>
            </w:r>
            <w:r>
              <w:rPr>
                <w:sz w:val="20"/>
              </w:rPr>
              <w:t>de</w:t>
            </w:r>
            <w:r>
              <w:rPr>
                <w:spacing w:val="-10"/>
                <w:sz w:val="20"/>
              </w:rPr>
              <w:t> </w:t>
            </w:r>
            <w:r>
              <w:rPr>
                <w:sz w:val="20"/>
              </w:rPr>
              <w:t>publicaciones</w:t>
            </w:r>
            <w:r>
              <w:rPr>
                <w:spacing w:val="-9"/>
                <w:sz w:val="20"/>
              </w:rPr>
              <w:t> </w:t>
            </w:r>
            <w:r>
              <w:rPr>
                <w:sz w:val="20"/>
              </w:rPr>
              <w:t>realizadas,</w:t>
            </w:r>
            <w:r>
              <w:rPr>
                <w:spacing w:val="-9"/>
                <w:sz w:val="20"/>
              </w:rPr>
              <w:t> </w:t>
            </w:r>
            <w:r>
              <w:rPr>
                <w:sz w:val="20"/>
              </w:rPr>
              <w:t>según</w:t>
            </w:r>
            <w:r>
              <w:rPr>
                <w:spacing w:val="-7"/>
                <w:sz w:val="20"/>
              </w:rPr>
              <w:t> </w:t>
            </w:r>
            <w:r>
              <w:rPr>
                <w:spacing w:val="-2"/>
                <w:sz w:val="20"/>
              </w:rPr>
              <w:t>medio</w:t>
            </w:r>
          </w:p>
        </w:tc>
      </w:tr>
      <w:tr>
        <w:trPr>
          <w:trHeight w:val="630" w:hRule="atLeast"/>
        </w:trPr>
        <w:tc>
          <w:tcPr>
            <w:tcW w:w="2976" w:type="dxa"/>
            <w:shd w:val="clear" w:color="auto" w:fill="DCE6F0"/>
          </w:tcPr>
          <w:p>
            <w:pPr>
              <w:pStyle w:val="TableParagraph"/>
              <w:spacing w:before="198"/>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3" w:type="dxa"/>
          </w:tcPr>
          <w:p>
            <w:pPr>
              <w:pStyle w:val="TableParagraph"/>
              <w:spacing w:before="198"/>
              <w:ind w:left="70"/>
              <w:rPr>
                <w:sz w:val="20"/>
              </w:rPr>
            </w:pPr>
            <w:r>
              <w:rPr>
                <w:sz w:val="20"/>
              </w:rPr>
              <w:t>Sumatoria</w:t>
            </w:r>
            <w:r>
              <w:rPr>
                <w:spacing w:val="-9"/>
                <w:sz w:val="20"/>
              </w:rPr>
              <w:t> </w:t>
            </w:r>
            <w:r>
              <w:rPr>
                <w:sz w:val="20"/>
              </w:rPr>
              <w:t>de</w:t>
            </w:r>
            <w:r>
              <w:rPr>
                <w:spacing w:val="-9"/>
                <w:sz w:val="20"/>
              </w:rPr>
              <w:t> </w:t>
            </w:r>
            <w:r>
              <w:rPr>
                <w:sz w:val="20"/>
              </w:rPr>
              <w:t>las</w:t>
            </w:r>
            <w:r>
              <w:rPr>
                <w:spacing w:val="-7"/>
                <w:sz w:val="20"/>
              </w:rPr>
              <w:t> </w:t>
            </w:r>
            <w:r>
              <w:rPr>
                <w:sz w:val="20"/>
              </w:rPr>
              <w:t>publicaciones</w:t>
            </w:r>
            <w:r>
              <w:rPr>
                <w:spacing w:val="-7"/>
                <w:sz w:val="20"/>
              </w:rPr>
              <w:t> </w:t>
            </w:r>
            <w:r>
              <w:rPr>
                <w:spacing w:val="-2"/>
                <w:sz w:val="20"/>
              </w:rPr>
              <w:t>realizadas</w:t>
            </w:r>
          </w:p>
        </w:tc>
      </w:tr>
      <w:tr>
        <w:trPr>
          <w:trHeight w:val="628" w:hRule="atLeast"/>
        </w:trPr>
        <w:tc>
          <w:tcPr>
            <w:tcW w:w="2976" w:type="dxa"/>
            <w:shd w:val="clear" w:color="auto" w:fill="DCE6F0"/>
          </w:tcPr>
          <w:p>
            <w:pPr>
              <w:pStyle w:val="TableParagraph"/>
              <w:spacing w:before="198"/>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198"/>
              <w:ind w:left="70"/>
              <w:rPr>
                <w:sz w:val="20"/>
              </w:rPr>
            </w:pPr>
            <w:r>
              <w:rPr>
                <w:spacing w:val="-2"/>
                <w:sz w:val="20"/>
              </w:rPr>
              <w:t>Cantidad</w:t>
            </w:r>
          </w:p>
        </w:tc>
      </w:tr>
      <w:tr>
        <w:trPr>
          <w:trHeight w:val="921" w:hRule="atLeast"/>
        </w:trPr>
        <w:tc>
          <w:tcPr>
            <w:tcW w:w="2976" w:type="dxa"/>
            <w:shd w:val="clear" w:color="auto" w:fill="DCE6F0"/>
          </w:tcPr>
          <w:p>
            <w:pPr>
              <w:pStyle w:val="TableParagraph"/>
              <w:spacing w:before="115"/>
              <w:rPr>
                <w:b/>
                <w:sz w:val="20"/>
              </w:rPr>
            </w:pPr>
          </w:p>
          <w:p>
            <w:pPr>
              <w:pStyle w:val="TableParagraph"/>
              <w:ind w:left="67"/>
              <w:rPr>
                <w:b/>
                <w:sz w:val="20"/>
              </w:rPr>
            </w:pPr>
            <w:r>
              <w:rPr>
                <w:b/>
                <w:spacing w:val="-2"/>
                <w:sz w:val="20"/>
              </w:rPr>
              <w:t>Interpretación:</w:t>
            </w:r>
          </w:p>
        </w:tc>
        <w:tc>
          <w:tcPr>
            <w:tcW w:w="7513" w:type="dxa"/>
          </w:tcPr>
          <w:p>
            <w:pPr>
              <w:pStyle w:val="TableParagraph"/>
              <w:spacing w:line="230" w:lineRule="exact"/>
              <w:ind w:left="70" w:right="133"/>
              <w:rPr>
                <w:sz w:val="20"/>
              </w:rPr>
            </w:pPr>
            <w:r>
              <w:rPr>
                <w:sz w:val="20"/>
              </w:rPr>
              <w:t>corresponde a la ejecución de publicaciones de comunicación en medios electrónicos, con el fin de crear uniformidad e identidad de imagen, para el posicionamiento</w:t>
            </w:r>
            <w:r>
              <w:rPr>
                <w:spacing w:val="-4"/>
                <w:sz w:val="20"/>
              </w:rPr>
              <w:t> </w:t>
            </w:r>
            <w:r>
              <w:rPr>
                <w:sz w:val="20"/>
              </w:rPr>
              <w:t>de</w:t>
            </w:r>
            <w:r>
              <w:rPr>
                <w:spacing w:val="-4"/>
                <w:sz w:val="20"/>
              </w:rPr>
              <w:t> </w:t>
            </w:r>
            <w:r>
              <w:rPr>
                <w:sz w:val="20"/>
              </w:rPr>
              <w:t>la</w:t>
            </w:r>
            <w:r>
              <w:rPr>
                <w:spacing w:val="-4"/>
                <w:sz w:val="20"/>
              </w:rPr>
              <w:t> </w:t>
            </w:r>
            <w:r>
              <w:rPr>
                <w:sz w:val="20"/>
              </w:rPr>
              <w:t>marca</w:t>
            </w:r>
            <w:r>
              <w:rPr>
                <w:spacing w:val="-5"/>
                <w:sz w:val="20"/>
              </w:rPr>
              <w:t> </w:t>
            </w:r>
            <w:r>
              <w:rPr>
                <w:sz w:val="20"/>
              </w:rPr>
              <w:t>IMAS-Duty</w:t>
            </w:r>
            <w:r>
              <w:rPr>
                <w:spacing w:val="-4"/>
                <w:sz w:val="20"/>
              </w:rPr>
              <w:t> </w:t>
            </w:r>
            <w:r>
              <w:rPr>
                <w:sz w:val="20"/>
              </w:rPr>
              <w:t>Free-Social</w:t>
            </w:r>
            <w:r>
              <w:rPr>
                <w:spacing w:val="-6"/>
                <w:sz w:val="20"/>
              </w:rPr>
              <w:t> </w:t>
            </w:r>
            <w:r>
              <w:rPr>
                <w:sz w:val="20"/>
              </w:rPr>
              <w:t>Program</w:t>
            </w:r>
            <w:r>
              <w:rPr>
                <w:spacing w:val="-5"/>
                <w:sz w:val="20"/>
              </w:rPr>
              <w:t> </w:t>
            </w:r>
            <w:r>
              <w:rPr>
                <w:sz w:val="20"/>
              </w:rPr>
              <w:t>tanto</w:t>
            </w:r>
            <w:r>
              <w:rPr>
                <w:spacing w:val="-4"/>
                <w:sz w:val="20"/>
              </w:rPr>
              <w:t> </w:t>
            </w:r>
            <w:r>
              <w:rPr>
                <w:sz w:val="20"/>
              </w:rPr>
              <w:t>en</w:t>
            </w:r>
            <w:r>
              <w:rPr>
                <w:spacing w:val="-4"/>
                <w:sz w:val="20"/>
              </w:rPr>
              <w:t> </w:t>
            </w:r>
            <w:r>
              <w:rPr>
                <w:sz w:val="20"/>
              </w:rPr>
              <w:t>el</w:t>
            </w:r>
            <w:r>
              <w:rPr>
                <w:spacing w:val="-4"/>
                <w:sz w:val="20"/>
              </w:rPr>
              <w:t> </w:t>
            </w:r>
            <w:r>
              <w:rPr>
                <w:sz w:val="20"/>
              </w:rPr>
              <w:t>AIJS como en el AIDO</w:t>
            </w:r>
          </w:p>
        </w:tc>
      </w:tr>
      <w:tr>
        <w:trPr>
          <w:trHeight w:val="1133" w:hRule="atLeast"/>
        </w:trPr>
        <w:tc>
          <w:tcPr>
            <w:tcW w:w="2976" w:type="dxa"/>
            <w:shd w:val="clear" w:color="auto" w:fill="DCE6F0"/>
          </w:tcPr>
          <w:p>
            <w:pPr>
              <w:pStyle w:val="TableParagraph"/>
              <w:spacing w:before="220"/>
              <w:rPr>
                <w:b/>
                <w:sz w:val="20"/>
              </w:rPr>
            </w:pPr>
          </w:p>
          <w:p>
            <w:pPr>
              <w:pStyle w:val="TableParagraph"/>
              <w:ind w:left="67"/>
              <w:rPr>
                <w:b/>
                <w:sz w:val="20"/>
              </w:rPr>
            </w:pPr>
            <w:r>
              <w:rPr>
                <w:b/>
                <w:spacing w:val="-2"/>
                <w:sz w:val="20"/>
              </w:rPr>
              <w:t>Desagregación</w:t>
            </w:r>
          </w:p>
        </w:tc>
        <w:tc>
          <w:tcPr>
            <w:tcW w:w="7513" w:type="dxa"/>
          </w:tcPr>
          <w:p>
            <w:pPr>
              <w:pStyle w:val="TableParagraph"/>
              <w:spacing w:before="105"/>
              <w:rPr>
                <w:b/>
                <w:sz w:val="20"/>
              </w:rPr>
            </w:pPr>
          </w:p>
          <w:p>
            <w:pPr>
              <w:pStyle w:val="TableParagraph"/>
              <w:ind w:left="70" w:right="133"/>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313" w:hRule="atLeast"/>
        </w:trPr>
        <w:tc>
          <w:tcPr>
            <w:tcW w:w="2976" w:type="dxa"/>
            <w:shd w:val="clear" w:color="auto" w:fill="DCE6F0"/>
          </w:tcPr>
          <w:p>
            <w:pPr>
              <w:pStyle w:val="TableParagraph"/>
              <w:spacing w:before="42"/>
              <w:ind w:left="67"/>
              <w:rPr>
                <w:b/>
                <w:sz w:val="20"/>
              </w:rPr>
            </w:pPr>
            <w:r>
              <w:rPr>
                <w:b/>
                <w:spacing w:val="-2"/>
                <w:sz w:val="20"/>
              </w:rPr>
              <w:t>Meta:</w:t>
            </w:r>
          </w:p>
        </w:tc>
        <w:tc>
          <w:tcPr>
            <w:tcW w:w="7513" w:type="dxa"/>
          </w:tcPr>
          <w:p>
            <w:pPr>
              <w:pStyle w:val="TableParagraph"/>
              <w:spacing w:before="42"/>
              <w:ind w:left="70"/>
              <w:rPr>
                <w:sz w:val="20"/>
              </w:rPr>
            </w:pPr>
            <w:r>
              <w:rPr>
                <w:spacing w:val="-10"/>
                <w:sz w:val="20"/>
              </w:rPr>
              <w:t>4</w:t>
            </w:r>
          </w:p>
        </w:tc>
      </w:tr>
      <w:tr>
        <w:trPr>
          <w:trHeight w:val="316" w:hRule="atLeast"/>
        </w:trPr>
        <w:tc>
          <w:tcPr>
            <w:tcW w:w="2976" w:type="dxa"/>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7513" w:type="dxa"/>
          </w:tcPr>
          <w:p>
            <w:pPr>
              <w:pStyle w:val="TableParagraph"/>
              <w:spacing w:before="42"/>
              <w:ind w:left="70"/>
              <w:rPr>
                <w:sz w:val="20"/>
              </w:rPr>
            </w:pPr>
            <w:r>
              <w:rPr>
                <w:spacing w:val="-5"/>
                <w:sz w:val="20"/>
              </w:rPr>
              <w:t>n/d</w:t>
            </w:r>
          </w:p>
        </w:tc>
      </w:tr>
      <w:tr>
        <w:trPr>
          <w:trHeight w:val="566" w:hRule="atLeast"/>
        </w:trPr>
        <w:tc>
          <w:tcPr>
            <w:tcW w:w="2976" w:type="dxa"/>
            <w:shd w:val="clear" w:color="auto" w:fill="DCE6F0"/>
          </w:tcPr>
          <w:p>
            <w:pPr>
              <w:pStyle w:val="TableParagraph"/>
              <w:spacing w:before="52"/>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167"/>
              <w:ind w:left="70"/>
              <w:rPr>
                <w:sz w:val="20"/>
              </w:rPr>
            </w:pPr>
            <w:r>
              <w:rPr>
                <w:spacing w:val="-2"/>
                <w:sz w:val="20"/>
              </w:rPr>
              <w:t>trimestral</w:t>
            </w:r>
          </w:p>
        </w:tc>
      </w:tr>
      <w:tr>
        <w:trPr>
          <w:trHeight w:val="986" w:hRule="atLeast"/>
        </w:trPr>
        <w:tc>
          <w:tcPr>
            <w:tcW w:w="2976" w:type="dxa"/>
            <w:shd w:val="clear" w:color="auto" w:fill="DCE6F0"/>
          </w:tcPr>
          <w:p>
            <w:pPr>
              <w:pStyle w:val="TableParagraph"/>
              <w:spacing w:before="33"/>
              <w:rPr>
                <w:b/>
                <w:sz w:val="20"/>
              </w:rPr>
            </w:pPr>
          </w:p>
          <w:p>
            <w:pPr>
              <w:pStyle w:val="TableParagraph"/>
              <w:ind w:left="67" w:right="514"/>
              <w:rPr>
                <w:b/>
                <w:sz w:val="20"/>
              </w:rPr>
            </w:pPr>
            <w:r>
              <w:rPr>
                <w:b/>
                <w:sz w:val="20"/>
              </w:rPr>
              <w:t>Responsable de la recopilación</w:t>
            </w:r>
            <w:r>
              <w:rPr>
                <w:b/>
                <w:spacing w:val="-14"/>
                <w:sz w:val="20"/>
              </w:rPr>
              <w:t> </w:t>
            </w:r>
            <w:r>
              <w:rPr>
                <w:b/>
                <w:sz w:val="20"/>
              </w:rPr>
              <w:t>información</w:t>
            </w:r>
          </w:p>
        </w:tc>
        <w:tc>
          <w:tcPr>
            <w:tcW w:w="7513" w:type="dxa"/>
          </w:tcPr>
          <w:p>
            <w:pPr>
              <w:pStyle w:val="TableParagraph"/>
              <w:spacing w:before="33"/>
              <w:rPr>
                <w:b/>
                <w:sz w:val="20"/>
              </w:rPr>
            </w:pPr>
          </w:p>
          <w:p>
            <w:pPr>
              <w:pStyle w:val="TableParagraph"/>
              <w:ind w:left="70" w:right="3072"/>
              <w:rPr>
                <w:sz w:val="20"/>
              </w:rPr>
            </w:pPr>
            <w:r>
              <w:rPr>
                <w:sz w:val="20"/>
              </w:rPr>
              <w:t>Nombre</w:t>
            </w:r>
            <w:r>
              <w:rPr>
                <w:spacing w:val="-8"/>
                <w:sz w:val="20"/>
              </w:rPr>
              <w:t> </w:t>
            </w:r>
            <w:r>
              <w:rPr>
                <w:sz w:val="20"/>
              </w:rPr>
              <w:t>del</w:t>
            </w:r>
            <w:r>
              <w:rPr>
                <w:spacing w:val="-10"/>
                <w:sz w:val="20"/>
              </w:rPr>
              <w:t> </w:t>
            </w:r>
            <w:r>
              <w:rPr>
                <w:sz w:val="20"/>
              </w:rPr>
              <w:t>funcionario:</w:t>
            </w:r>
            <w:r>
              <w:rPr>
                <w:spacing w:val="-9"/>
                <w:sz w:val="20"/>
              </w:rPr>
              <w:t> </w:t>
            </w:r>
            <w:r>
              <w:rPr>
                <w:sz w:val="20"/>
              </w:rPr>
              <w:t>Maria</w:t>
            </w:r>
            <w:r>
              <w:rPr>
                <w:spacing w:val="-10"/>
                <w:sz w:val="20"/>
              </w:rPr>
              <w:t> </w:t>
            </w:r>
            <w:r>
              <w:rPr>
                <w:sz w:val="20"/>
              </w:rPr>
              <w:t>Damaris</w:t>
            </w:r>
            <w:r>
              <w:rPr>
                <w:spacing w:val="-8"/>
                <w:sz w:val="20"/>
              </w:rPr>
              <w:t> </w:t>
            </w:r>
            <w:r>
              <w:rPr>
                <w:sz w:val="20"/>
              </w:rPr>
              <w:t>Rojas Cargo: Jefatura de Mercadeo y ventas</w:t>
            </w:r>
          </w:p>
        </w:tc>
      </w:tr>
      <w:tr>
        <w:trPr>
          <w:trHeight w:val="1259" w:hRule="atLeast"/>
        </w:trPr>
        <w:tc>
          <w:tcPr>
            <w:tcW w:w="2976" w:type="dxa"/>
            <w:shd w:val="clear" w:color="auto" w:fill="DCE6F0"/>
          </w:tcPr>
          <w:p>
            <w:pPr>
              <w:pStyle w:val="TableParagraph"/>
              <w:spacing w:before="170"/>
              <w:rPr>
                <w:b/>
                <w:sz w:val="20"/>
              </w:rPr>
            </w:pPr>
          </w:p>
          <w:p>
            <w:pPr>
              <w:pStyle w:val="TableParagraph"/>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3" w:type="dxa"/>
          </w:tcPr>
          <w:p>
            <w:pPr>
              <w:pStyle w:val="TableParagraph"/>
              <w:rPr>
                <w:b/>
                <w:sz w:val="20"/>
              </w:rPr>
            </w:pPr>
          </w:p>
          <w:p>
            <w:pPr>
              <w:pStyle w:val="TableParagraph"/>
              <w:spacing w:before="55"/>
              <w:rPr>
                <w:b/>
                <w:sz w:val="20"/>
              </w:rPr>
            </w:pPr>
          </w:p>
          <w:p>
            <w:pPr>
              <w:pStyle w:val="TableParagraph"/>
              <w:ind w:left="70"/>
              <w:rPr>
                <w:sz w:val="20"/>
              </w:rPr>
            </w:pPr>
            <w:r>
              <w:rPr>
                <w:sz w:val="20"/>
              </w:rPr>
              <w:t>Empresas</w:t>
            </w:r>
            <w:r>
              <w:rPr>
                <w:spacing w:val="-14"/>
                <w:sz w:val="20"/>
              </w:rPr>
              <w:t> </w:t>
            </w:r>
            <w:r>
              <w:rPr>
                <w:spacing w:val="-2"/>
                <w:sz w:val="20"/>
              </w:rPr>
              <w:t>Comerciales</w:t>
            </w:r>
          </w:p>
        </w:tc>
      </w:tr>
      <w:tr>
        <w:trPr>
          <w:trHeight w:val="630" w:hRule="atLeast"/>
        </w:trPr>
        <w:tc>
          <w:tcPr>
            <w:tcW w:w="2976" w:type="dxa"/>
            <w:shd w:val="clear" w:color="auto" w:fill="DCE6F0"/>
          </w:tcPr>
          <w:p>
            <w:pPr>
              <w:pStyle w:val="TableParagraph"/>
              <w:spacing w:before="201"/>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3" w:type="dxa"/>
          </w:tcPr>
          <w:p>
            <w:pPr>
              <w:pStyle w:val="TableParagraph"/>
              <w:spacing w:before="201"/>
              <w:ind w:left="70"/>
              <w:rPr>
                <w:sz w:val="20"/>
              </w:rPr>
            </w:pPr>
            <w:r>
              <w:rPr>
                <w:sz w:val="20"/>
              </w:rPr>
              <w:t>Informes</w:t>
            </w:r>
            <w:r>
              <w:rPr>
                <w:spacing w:val="-7"/>
                <w:sz w:val="20"/>
              </w:rPr>
              <w:t> </w:t>
            </w:r>
            <w:r>
              <w:rPr>
                <w:spacing w:val="-2"/>
                <w:sz w:val="20"/>
              </w:rPr>
              <w:t>trimestrales</w:t>
            </w:r>
          </w:p>
        </w:tc>
      </w:tr>
      <w:tr>
        <w:trPr>
          <w:trHeight w:val="477" w:hRule="atLeast"/>
        </w:trPr>
        <w:tc>
          <w:tcPr>
            <w:tcW w:w="2976" w:type="dxa"/>
            <w:shd w:val="clear" w:color="auto" w:fill="DCE6F0"/>
          </w:tcPr>
          <w:p>
            <w:pPr>
              <w:pStyle w:val="TableParagraph"/>
              <w:spacing w:before="124"/>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124"/>
              <w:ind w:left="70"/>
              <w:rPr>
                <w:sz w:val="20"/>
              </w:rPr>
            </w:pPr>
            <w:r>
              <w:rPr>
                <w:sz w:val="20"/>
              </w:rPr>
              <w:t>Publicaciones</w:t>
            </w:r>
            <w:r>
              <w:rPr>
                <w:spacing w:val="-8"/>
                <w:sz w:val="20"/>
              </w:rPr>
              <w:t> </w:t>
            </w:r>
            <w:r>
              <w:rPr>
                <w:sz w:val="20"/>
              </w:rPr>
              <w:t>comunicadas</w:t>
            </w:r>
            <w:r>
              <w:rPr>
                <w:spacing w:val="-8"/>
                <w:sz w:val="20"/>
              </w:rPr>
              <w:t> </w:t>
            </w:r>
            <w:r>
              <w:rPr>
                <w:sz w:val="20"/>
              </w:rPr>
              <w:t>en</w:t>
            </w:r>
            <w:r>
              <w:rPr>
                <w:spacing w:val="-10"/>
                <w:sz w:val="20"/>
              </w:rPr>
              <w:t> </w:t>
            </w:r>
            <w:r>
              <w:rPr>
                <w:sz w:val="20"/>
              </w:rPr>
              <w:t>los</w:t>
            </w:r>
            <w:r>
              <w:rPr>
                <w:spacing w:val="-8"/>
                <w:sz w:val="20"/>
              </w:rPr>
              <w:t> </w:t>
            </w:r>
            <w:r>
              <w:rPr>
                <w:spacing w:val="-2"/>
                <w:sz w:val="20"/>
              </w:rPr>
              <w:t>medios</w:t>
            </w:r>
          </w:p>
        </w:tc>
      </w:tr>
      <w:tr>
        <w:trPr>
          <w:trHeight w:val="630" w:hRule="atLeast"/>
        </w:trPr>
        <w:tc>
          <w:tcPr>
            <w:tcW w:w="2976" w:type="dxa"/>
            <w:shd w:val="clear" w:color="auto" w:fill="DCE6F0"/>
          </w:tcPr>
          <w:p>
            <w:pPr>
              <w:pStyle w:val="TableParagraph"/>
              <w:spacing w:before="201"/>
              <w:ind w:left="67"/>
              <w:rPr>
                <w:b/>
                <w:sz w:val="20"/>
              </w:rPr>
            </w:pPr>
            <w:r>
              <w:rPr>
                <w:b/>
                <w:spacing w:val="-2"/>
                <w:sz w:val="20"/>
              </w:rPr>
              <w:t>Clasificación</w:t>
            </w:r>
          </w:p>
        </w:tc>
        <w:tc>
          <w:tcPr>
            <w:tcW w:w="7513" w:type="dxa"/>
          </w:tcPr>
          <w:p>
            <w:pPr>
              <w:pStyle w:val="TableParagraph"/>
              <w:spacing w:before="201"/>
              <w:ind w:left="70"/>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630" w:hRule="atLeast"/>
        </w:trPr>
        <w:tc>
          <w:tcPr>
            <w:tcW w:w="2976" w:type="dxa"/>
            <w:shd w:val="clear" w:color="auto" w:fill="DCE6F0"/>
          </w:tcPr>
          <w:p>
            <w:pPr>
              <w:pStyle w:val="TableParagraph"/>
              <w:spacing w:before="198"/>
              <w:ind w:left="67"/>
              <w:rPr>
                <w:b/>
                <w:sz w:val="20"/>
              </w:rPr>
            </w:pPr>
            <w:r>
              <w:rPr>
                <w:b/>
                <w:spacing w:val="-2"/>
                <w:sz w:val="20"/>
              </w:rPr>
              <w:t>Comentarios</w:t>
            </w:r>
            <w:r>
              <w:rPr>
                <w:b/>
                <w:spacing w:val="6"/>
                <w:sz w:val="20"/>
              </w:rPr>
              <w:t> </w:t>
            </w:r>
            <w:r>
              <w:rPr>
                <w:b/>
                <w:spacing w:val="-2"/>
                <w:sz w:val="20"/>
              </w:rPr>
              <w:t>Generales</w:t>
            </w:r>
          </w:p>
        </w:tc>
        <w:tc>
          <w:tcPr>
            <w:tcW w:w="7513" w:type="dxa"/>
          </w:tcPr>
          <w:p>
            <w:pPr>
              <w:pStyle w:val="TableParagraph"/>
              <w:spacing w:before="86"/>
              <w:ind w:left="70" w:right="133"/>
              <w:rPr>
                <w:sz w:val="20"/>
              </w:rPr>
            </w:pPr>
            <w:r>
              <w:rPr>
                <w:sz w:val="20"/>
              </w:rPr>
              <w:t>Mencionar</w:t>
            </w:r>
            <w:r>
              <w:rPr>
                <w:spacing w:val="-4"/>
                <w:sz w:val="20"/>
              </w:rPr>
              <w:t> </w:t>
            </w:r>
            <w:r>
              <w:rPr>
                <w:sz w:val="20"/>
              </w:rPr>
              <w:t>cualquier</w:t>
            </w:r>
            <w:r>
              <w:rPr>
                <w:spacing w:val="-4"/>
                <w:sz w:val="20"/>
              </w:rPr>
              <w:t> </w:t>
            </w:r>
            <w:r>
              <w:rPr>
                <w:sz w:val="20"/>
              </w:rPr>
              <w:t>observación</w:t>
            </w:r>
            <w:r>
              <w:rPr>
                <w:spacing w:val="-5"/>
                <w:sz w:val="20"/>
              </w:rPr>
              <w:t> </w:t>
            </w:r>
            <w:r>
              <w:rPr>
                <w:sz w:val="20"/>
              </w:rPr>
              <w:t>que</w:t>
            </w:r>
            <w:r>
              <w:rPr>
                <w:spacing w:val="-5"/>
                <w:sz w:val="20"/>
              </w:rPr>
              <w:t> </w:t>
            </w:r>
            <w:r>
              <w:rPr>
                <w:sz w:val="20"/>
              </w:rPr>
              <w:t>se</w:t>
            </w:r>
            <w:r>
              <w:rPr>
                <w:spacing w:val="-4"/>
                <w:sz w:val="20"/>
              </w:rPr>
              <w:t> </w:t>
            </w:r>
            <w:r>
              <w:rPr>
                <w:sz w:val="20"/>
              </w:rPr>
              <w:t>considere</w:t>
            </w:r>
            <w:r>
              <w:rPr>
                <w:spacing w:val="-4"/>
                <w:sz w:val="20"/>
              </w:rPr>
              <w:t> </w:t>
            </w:r>
            <w:r>
              <w:rPr>
                <w:sz w:val="20"/>
              </w:rPr>
              <w:t>necesaria</w:t>
            </w:r>
            <w:r>
              <w:rPr>
                <w:spacing w:val="-5"/>
                <w:sz w:val="20"/>
              </w:rPr>
              <w:t> </w:t>
            </w:r>
            <w:r>
              <w:rPr>
                <w:sz w:val="20"/>
              </w:rPr>
              <w:t>para</w:t>
            </w:r>
            <w:r>
              <w:rPr>
                <w:spacing w:val="-4"/>
                <w:sz w:val="20"/>
              </w:rPr>
              <w:t> </w:t>
            </w:r>
            <w:r>
              <w:rPr>
                <w:sz w:val="20"/>
              </w:rPr>
              <w:t>que</w:t>
            </w:r>
            <w:r>
              <w:rPr>
                <w:spacing w:val="-4"/>
                <w:sz w:val="20"/>
              </w:rPr>
              <w:t> </w:t>
            </w:r>
            <w:r>
              <w:rPr>
                <w:sz w:val="20"/>
              </w:rPr>
              <w:t>el</w:t>
            </w:r>
            <w:r>
              <w:rPr>
                <w:spacing w:val="-5"/>
                <w:sz w:val="20"/>
              </w:rPr>
              <w:t> </w:t>
            </w:r>
            <w:r>
              <w:rPr>
                <w:sz w:val="20"/>
              </w:rPr>
              <w:t>usuario obtenga una mejor comprensión del indicador</w:t>
            </w:r>
          </w:p>
        </w:tc>
      </w:tr>
    </w:tbl>
    <w:p>
      <w:pPr>
        <w:pStyle w:val="TableParagraph"/>
        <w:spacing w:after="0"/>
        <w:rPr>
          <w:sz w:val="20"/>
        </w:rPr>
        <w:sectPr>
          <w:type w:val="continuous"/>
          <w:pgSz w:w="12240" w:h="15840"/>
          <w:pgMar w:header="0" w:footer="2082" w:top="1400" w:bottom="260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568" w:hRule="atLeast"/>
        </w:trPr>
        <w:tc>
          <w:tcPr>
            <w:tcW w:w="2976" w:type="dxa"/>
            <w:shd w:val="clear" w:color="auto" w:fill="DCE6F0"/>
          </w:tcPr>
          <w:p>
            <w:pPr>
              <w:pStyle w:val="TableParagraph"/>
              <w:spacing w:before="170"/>
              <w:ind w:left="67"/>
              <w:rPr>
                <w:b/>
                <w:sz w:val="20"/>
              </w:rPr>
            </w:pPr>
            <w:r>
              <w:rPr>
                <w:b/>
                <w:sz w:val="20"/>
              </w:rPr>
              <w:t>PEC</w:t>
            </w:r>
            <w:r>
              <w:rPr>
                <w:b/>
                <w:spacing w:val="-5"/>
                <w:sz w:val="20"/>
              </w:rPr>
              <w:t> </w:t>
            </w:r>
            <w:r>
              <w:rPr>
                <w:b/>
                <w:spacing w:val="-2"/>
                <w:sz w:val="20"/>
              </w:rPr>
              <w:t>3.4.2</w:t>
            </w:r>
          </w:p>
        </w:tc>
        <w:tc>
          <w:tcPr>
            <w:tcW w:w="7513" w:type="dxa"/>
          </w:tcPr>
          <w:p>
            <w:pPr>
              <w:pStyle w:val="TableParagraph"/>
              <w:spacing w:before="170"/>
              <w:ind w:left="70"/>
              <w:rPr>
                <w:sz w:val="20"/>
              </w:rPr>
            </w:pPr>
            <w:r>
              <w:rPr>
                <w:sz w:val="20"/>
              </w:rPr>
              <w:t>Nombre</w:t>
            </w:r>
            <w:r>
              <w:rPr>
                <w:spacing w:val="-5"/>
                <w:sz w:val="20"/>
              </w:rPr>
              <w:t> </w:t>
            </w:r>
            <w:r>
              <w:rPr>
                <w:sz w:val="20"/>
              </w:rPr>
              <w:t>del</w:t>
            </w:r>
            <w:r>
              <w:rPr>
                <w:spacing w:val="-7"/>
                <w:sz w:val="20"/>
              </w:rPr>
              <w:t> </w:t>
            </w:r>
            <w:r>
              <w:rPr>
                <w:sz w:val="20"/>
              </w:rPr>
              <w:t>Indicador:</w:t>
            </w:r>
            <w:r>
              <w:rPr>
                <w:spacing w:val="-6"/>
                <w:sz w:val="20"/>
              </w:rPr>
              <w:t> </w:t>
            </w:r>
            <w:r>
              <w:rPr>
                <w:sz w:val="20"/>
              </w:rPr>
              <w:t>%</w:t>
            </w:r>
            <w:r>
              <w:rPr>
                <w:spacing w:val="-4"/>
                <w:sz w:val="20"/>
              </w:rPr>
              <w:t> </w:t>
            </w:r>
            <w:r>
              <w:rPr>
                <w:sz w:val="20"/>
              </w:rPr>
              <w:t>de</w:t>
            </w:r>
            <w:r>
              <w:rPr>
                <w:spacing w:val="-7"/>
                <w:sz w:val="20"/>
              </w:rPr>
              <w:t> </w:t>
            </w:r>
            <w:r>
              <w:rPr>
                <w:sz w:val="20"/>
              </w:rPr>
              <w:t>ejecución</w:t>
            </w:r>
            <w:r>
              <w:rPr>
                <w:spacing w:val="-6"/>
                <w:sz w:val="20"/>
              </w:rPr>
              <w:t> </w:t>
            </w:r>
            <w:r>
              <w:rPr>
                <w:sz w:val="20"/>
              </w:rPr>
              <w:t>del</w:t>
            </w:r>
            <w:r>
              <w:rPr>
                <w:spacing w:val="-5"/>
                <w:sz w:val="20"/>
              </w:rPr>
              <w:t> </w:t>
            </w:r>
            <w:r>
              <w:rPr>
                <w:sz w:val="20"/>
              </w:rPr>
              <w:t>Plan</w:t>
            </w:r>
            <w:r>
              <w:rPr>
                <w:spacing w:val="-7"/>
                <w:sz w:val="20"/>
              </w:rPr>
              <w:t> </w:t>
            </w:r>
            <w:r>
              <w:rPr>
                <w:sz w:val="20"/>
              </w:rPr>
              <w:t>de</w:t>
            </w:r>
            <w:r>
              <w:rPr>
                <w:spacing w:val="-6"/>
                <w:sz w:val="20"/>
              </w:rPr>
              <w:t> </w:t>
            </w:r>
            <w:r>
              <w:rPr>
                <w:spacing w:val="-2"/>
                <w:sz w:val="20"/>
              </w:rPr>
              <w:t>Compras</w:t>
            </w:r>
          </w:p>
        </w:tc>
      </w:tr>
      <w:tr>
        <w:trPr>
          <w:trHeight w:val="962" w:hRule="atLeast"/>
        </w:trPr>
        <w:tc>
          <w:tcPr>
            <w:tcW w:w="2976" w:type="dxa"/>
            <w:shd w:val="clear" w:color="auto" w:fill="DCE6F0"/>
          </w:tcPr>
          <w:p>
            <w:pPr>
              <w:pStyle w:val="TableParagraph"/>
              <w:spacing w:before="136"/>
              <w:rPr>
                <w:b/>
                <w:sz w:val="20"/>
              </w:rPr>
            </w:pPr>
          </w:p>
          <w:p>
            <w:pPr>
              <w:pStyle w:val="TableParagraph"/>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3" w:type="dxa"/>
          </w:tcPr>
          <w:p>
            <w:pPr>
              <w:pStyle w:val="TableParagraph"/>
              <w:spacing w:before="21"/>
              <w:rPr>
                <w:b/>
                <w:sz w:val="20"/>
              </w:rPr>
            </w:pPr>
          </w:p>
          <w:p>
            <w:pPr>
              <w:pStyle w:val="TableParagraph"/>
              <w:ind w:left="70" w:right="133"/>
              <w:rPr>
                <w:sz w:val="20"/>
              </w:rPr>
            </w:pPr>
            <w:r>
              <w:rPr>
                <w:sz w:val="20"/>
              </w:rPr>
              <w:t>Sumatoria</w:t>
            </w:r>
            <w:r>
              <w:rPr>
                <w:spacing w:val="-5"/>
                <w:sz w:val="20"/>
              </w:rPr>
              <w:t> </w:t>
            </w:r>
            <w:r>
              <w:rPr>
                <w:sz w:val="20"/>
              </w:rPr>
              <w:t>total</w:t>
            </w:r>
            <w:r>
              <w:rPr>
                <w:spacing w:val="-6"/>
                <w:sz w:val="20"/>
              </w:rPr>
              <w:t> </w:t>
            </w:r>
            <w:r>
              <w:rPr>
                <w:sz w:val="20"/>
              </w:rPr>
              <w:t>de</w:t>
            </w:r>
            <w:r>
              <w:rPr>
                <w:spacing w:val="-3"/>
                <w:sz w:val="20"/>
              </w:rPr>
              <w:t> </w:t>
            </w:r>
            <w:r>
              <w:rPr>
                <w:sz w:val="20"/>
              </w:rPr>
              <w:t>los</w:t>
            </w:r>
            <w:r>
              <w:rPr>
                <w:spacing w:val="-2"/>
                <w:sz w:val="20"/>
              </w:rPr>
              <w:t> </w:t>
            </w:r>
            <w:r>
              <w:rPr>
                <w:sz w:val="20"/>
              </w:rPr>
              <w:t>montos</w:t>
            </w:r>
            <w:r>
              <w:rPr>
                <w:spacing w:val="-4"/>
                <w:sz w:val="20"/>
              </w:rPr>
              <w:t> </w:t>
            </w:r>
            <w:r>
              <w:rPr>
                <w:sz w:val="20"/>
              </w:rPr>
              <w:t>de</w:t>
            </w:r>
            <w:r>
              <w:rPr>
                <w:spacing w:val="-6"/>
                <w:sz w:val="20"/>
              </w:rPr>
              <w:t> </w:t>
            </w:r>
            <w:r>
              <w:rPr>
                <w:sz w:val="20"/>
              </w:rPr>
              <w:t>compras</w:t>
            </w:r>
            <w:r>
              <w:rPr>
                <w:spacing w:val="-3"/>
                <w:sz w:val="20"/>
              </w:rPr>
              <w:t> </w:t>
            </w:r>
            <w:r>
              <w:rPr>
                <w:sz w:val="20"/>
              </w:rPr>
              <w:t>realizadas</w:t>
            </w:r>
            <w:r>
              <w:rPr>
                <w:spacing w:val="-4"/>
                <w:sz w:val="20"/>
              </w:rPr>
              <w:t> </w:t>
            </w:r>
            <w:r>
              <w:rPr>
                <w:sz w:val="20"/>
              </w:rPr>
              <w:t>/</w:t>
            </w:r>
            <w:r>
              <w:rPr>
                <w:spacing w:val="-3"/>
                <w:sz w:val="20"/>
              </w:rPr>
              <w:t> </w:t>
            </w:r>
            <w:r>
              <w:rPr>
                <w:sz w:val="20"/>
              </w:rPr>
              <w:t>Presupuesto</w:t>
            </w:r>
            <w:r>
              <w:rPr>
                <w:spacing w:val="-6"/>
                <w:sz w:val="20"/>
              </w:rPr>
              <w:t> </w:t>
            </w:r>
            <w:r>
              <w:rPr>
                <w:sz w:val="20"/>
              </w:rPr>
              <w:t>total</w:t>
            </w:r>
            <w:r>
              <w:rPr>
                <w:spacing w:val="-6"/>
                <w:sz w:val="20"/>
              </w:rPr>
              <w:t> </w:t>
            </w:r>
            <w:r>
              <w:rPr>
                <w:sz w:val="20"/>
              </w:rPr>
              <w:t>de compras *100</w:t>
            </w:r>
          </w:p>
        </w:tc>
      </w:tr>
      <w:tr>
        <w:trPr>
          <w:trHeight w:val="313" w:hRule="atLeast"/>
        </w:trPr>
        <w:tc>
          <w:tcPr>
            <w:tcW w:w="2976" w:type="dxa"/>
            <w:shd w:val="clear" w:color="auto" w:fill="DCE6F0"/>
          </w:tcPr>
          <w:p>
            <w:pPr>
              <w:pStyle w:val="TableParagraph"/>
              <w:spacing w:before="40"/>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40"/>
              <w:ind w:left="70"/>
              <w:rPr>
                <w:sz w:val="20"/>
              </w:rPr>
            </w:pPr>
            <w:r>
              <w:rPr>
                <w:spacing w:val="-2"/>
                <w:sz w:val="20"/>
              </w:rPr>
              <w:t>Porcentaje</w:t>
            </w:r>
          </w:p>
        </w:tc>
      </w:tr>
      <w:tr>
        <w:trPr>
          <w:trHeight w:val="899" w:hRule="atLeast"/>
        </w:trPr>
        <w:tc>
          <w:tcPr>
            <w:tcW w:w="2976" w:type="dxa"/>
            <w:shd w:val="clear" w:color="auto" w:fill="DCE6F0"/>
          </w:tcPr>
          <w:p>
            <w:pPr>
              <w:pStyle w:val="TableParagraph"/>
              <w:spacing w:before="105"/>
              <w:rPr>
                <w:b/>
                <w:sz w:val="20"/>
              </w:rPr>
            </w:pPr>
          </w:p>
          <w:p>
            <w:pPr>
              <w:pStyle w:val="TableParagraph"/>
              <w:ind w:left="67"/>
              <w:rPr>
                <w:b/>
                <w:sz w:val="20"/>
              </w:rPr>
            </w:pPr>
            <w:r>
              <w:rPr>
                <w:b/>
                <w:spacing w:val="-2"/>
                <w:sz w:val="20"/>
              </w:rPr>
              <w:t>Interpretación:</w:t>
            </w:r>
          </w:p>
        </w:tc>
        <w:tc>
          <w:tcPr>
            <w:tcW w:w="7513" w:type="dxa"/>
          </w:tcPr>
          <w:p>
            <w:pPr>
              <w:pStyle w:val="TableParagraph"/>
              <w:spacing w:before="220"/>
              <w:ind w:left="70" w:right="133"/>
              <w:rPr>
                <w:sz w:val="20"/>
              </w:rPr>
            </w:pPr>
            <w:r>
              <w:rPr>
                <w:sz w:val="20"/>
              </w:rPr>
              <w:t>Corresponde</w:t>
            </w:r>
            <w:r>
              <w:rPr>
                <w:spacing w:val="-5"/>
                <w:sz w:val="20"/>
              </w:rPr>
              <w:t> </w:t>
            </w:r>
            <w:r>
              <w:rPr>
                <w:sz w:val="20"/>
              </w:rPr>
              <w:t>a</w:t>
            </w:r>
            <w:r>
              <w:rPr>
                <w:spacing w:val="-4"/>
                <w:sz w:val="20"/>
              </w:rPr>
              <w:t> </w:t>
            </w:r>
            <w:r>
              <w:rPr>
                <w:sz w:val="20"/>
              </w:rPr>
              <w:t>las</w:t>
            </w:r>
            <w:r>
              <w:rPr>
                <w:spacing w:val="-4"/>
                <w:sz w:val="20"/>
              </w:rPr>
              <w:t> </w:t>
            </w:r>
            <w:r>
              <w:rPr>
                <w:sz w:val="20"/>
              </w:rPr>
              <w:t>compras</w:t>
            </w:r>
            <w:r>
              <w:rPr>
                <w:spacing w:val="-4"/>
                <w:sz w:val="20"/>
              </w:rPr>
              <w:t> </w:t>
            </w:r>
            <w:r>
              <w:rPr>
                <w:sz w:val="20"/>
              </w:rPr>
              <w:t>de</w:t>
            </w:r>
            <w:r>
              <w:rPr>
                <w:spacing w:val="-6"/>
                <w:sz w:val="20"/>
              </w:rPr>
              <w:t> </w:t>
            </w:r>
            <w:r>
              <w:rPr>
                <w:sz w:val="20"/>
              </w:rPr>
              <w:t>mercadería</w:t>
            </w:r>
            <w:r>
              <w:rPr>
                <w:spacing w:val="-6"/>
                <w:sz w:val="20"/>
              </w:rPr>
              <w:t> </w:t>
            </w:r>
            <w:r>
              <w:rPr>
                <w:sz w:val="20"/>
              </w:rPr>
              <w:t>realizadas</w:t>
            </w:r>
            <w:r>
              <w:rPr>
                <w:spacing w:val="-4"/>
                <w:sz w:val="20"/>
              </w:rPr>
              <w:t> </w:t>
            </w:r>
            <w:r>
              <w:rPr>
                <w:sz w:val="20"/>
              </w:rPr>
              <w:t>con</w:t>
            </w:r>
            <w:r>
              <w:rPr>
                <w:spacing w:val="-6"/>
                <w:sz w:val="20"/>
              </w:rPr>
              <w:t> </w:t>
            </w:r>
            <w:r>
              <w:rPr>
                <w:sz w:val="20"/>
              </w:rPr>
              <w:t>relación</w:t>
            </w:r>
            <w:r>
              <w:rPr>
                <w:spacing w:val="-5"/>
                <w:sz w:val="20"/>
              </w:rPr>
              <w:t> </w:t>
            </w:r>
            <w:r>
              <w:rPr>
                <w:sz w:val="20"/>
              </w:rPr>
              <w:t>a</w:t>
            </w:r>
            <w:r>
              <w:rPr>
                <w:spacing w:val="-4"/>
                <w:sz w:val="20"/>
              </w:rPr>
              <w:t> </w:t>
            </w:r>
            <w:r>
              <w:rPr>
                <w:sz w:val="20"/>
              </w:rPr>
              <w:t>las programadas en el Plan de Compras para el año 2027</w:t>
            </w:r>
          </w:p>
        </w:tc>
      </w:tr>
      <w:tr>
        <w:trPr>
          <w:trHeight w:val="912" w:hRule="atLeast"/>
        </w:trPr>
        <w:tc>
          <w:tcPr>
            <w:tcW w:w="2976" w:type="dxa"/>
            <w:shd w:val="clear" w:color="auto" w:fill="DCE6F0"/>
          </w:tcPr>
          <w:p>
            <w:pPr>
              <w:pStyle w:val="TableParagraph"/>
              <w:spacing w:before="110"/>
              <w:rPr>
                <w:b/>
                <w:sz w:val="20"/>
              </w:rPr>
            </w:pPr>
          </w:p>
          <w:p>
            <w:pPr>
              <w:pStyle w:val="TableParagraph"/>
              <w:ind w:left="67"/>
              <w:rPr>
                <w:b/>
                <w:sz w:val="20"/>
              </w:rPr>
            </w:pPr>
            <w:r>
              <w:rPr>
                <w:b/>
                <w:spacing w:val="-2"/>
                <w:sz w:val="20"/>
              </w:rPr>
              <w:t>Desagregación</w:t>
            </w:r>
          </w:p>
        </w:tc>
        <w:tc>
          <w:tcPr>
            <w:tcW w:w="7513" w:type="dxa"/>
          </w:tcPr>
          <w:p>
            <w:pPr>
              <w:pStyle w:val="TableParagraph"/>
              <w:spacing w:before="225"/>
              <w:ind w:left="70" w:right="133"/>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313" w:hRule="atLeast"/>
        </w:trPr>
        <w:tc>
          <w:tcPr>
            <w:tcW w:w="2976" w:type="dxa"/>
            <w:shd w:val="clear" w:color="auto" w:fill="DCE6F0"/>
          </w:tcPr>
          <w:p>
            <w:pPr>
              <w:pStyle w:val="TableParagraph"/>
              <w:spacing w:before="40"/>
              <w:ind w:left="67"/>
              <w:rPr>
                <w:b/>
                <w:sz w:val="20"/>
              </w:rPr>
            </w:pPr>
            <w:r>
              <w:rPr>
                <w:b/>
                <w:spacing w:val="-2"/>
                <w:sz w:val="20"/>
              </w:rPr>
              <w:t>Meta:</w:t>
            </w:r>
          </w:p>
        </w:tc>
        <w:tc>
          <w:tcPr>
            <w:tcW w:w="7513" w:type="dxa"/>
          </w:tcPr>
          <w:p>
            <w:pPr>
              <w:pStyle w:val="TableParagraph"/>
              <w:spacing w:before="40"/>
              <w:ind w:left="70"/>
              <w:rPr>
                <w:sz w:val="20"/>
              </w:rPr>
            </w:pPr>
            <w:r>
              <w:rPr>
                <w:spacing w:val="-4"/>
                <w:sz w:val="20"/>
              </w:rPr>
              <w:t>100%</w:t>
            </w:r>
          </w:p>
        </w:tc>
      </w:tr>
      <w:tr>
        <w:trPr>
          <w:trHeight w:val="314" w:hRule="atLeast"/>
        </w:trPr>
        <w:tc>
          <w:tcPr>
            <w:tcW w:w="2976" w:type="dxa"/>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7513" w:type="dxa"/>
          </w:tcPr>
          <w:p>
            <w:pPr>
              <w:pStyle w:val="TableParagraph"/>
              <w:spacing w:before="42"/>
              <w:ind w:left="70"/>
              <w:rPr>
                <w:sz w:val="20"/>
              </w:rPr>
            </w:pPr>
            <w:r>
              <w:rPr>
                <w:spacing w:val="-4"/>
                <w:sz w:val="20"/>
              </w:rPr>
              <w:t>100%</w:t>
            </w:r>
          </w:p>
        </w:tc>
      </w:tr>
      <w:tr>
        <w:trPr>
          <w:trHeight w:val="664" w:hRule="atLeast"/>
        </w:trPr>
        <w:tc>
          <w:tcPr>
            <w:tcW w:w="2976" w:type="dxa"/>
            <w:shd w:val="clear" w:color="auto" w:fill="DCE6F0"/>
          </w:tcPr>
          <w:p>
            <w:pPr>
              <w:pStyle w:val="TableParagraph"/>
              <w:spacing w:before="102"/>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218"/>
              <w:ind w:left="70"/>
              <w:rPr>
                <w:sz w:val="20"/>
              </w:rPr>
            </w:pPr>
            <w:r>
              <w:rPr>
                <w:spacing w:val="-2"/>
                <w:sz w:val="20"/>
              </w:rPr>
              <w:t>trimestral</w:t>
            </w:r>
          </w:p>
        </w:tc>
      </w:tr>
      <w:tr>
        <w:trPr>
          <w:trHeight w:val="688" w:hRule="atLeast"/>
        </w:trPr>
        <w:tc>
          <w:tcPr>
            <w:tcW w:w="2976" w:type="dxa"/>
            <w:shd w:val="clear" w:color="auto" w:fill="DCE6F0"/>
          </w:tcPr>
          <w:p>
            <w:pPr>
              <w:pStyle w:val="TableParagraph"/>
              <w:spacing w:before="114"/>
              <w:ind w:left="67" w:right="514"/>
              <w:rPr>
                <w:b/>
                <w:sz w:val="20"/>
              </w:rPr>
            </w:pPr>
            <w:r>
              <w:rPr>
                <w:b/>
                <w:sz w:val="20"/>
              </w:rPr>
              <w:t>Responsable de la recopilación</w:t>
            </w:r>
            <w:r>
              <w:rPr>
                <w:b/>
                <w:spacing w:val="-14"/>
                <w:sz w:val="20"/>
              </w:rPr>
              <w:t> </w:t>
            </w:r>
            <w:r>
              <w:rPr>
                <w:b/>
                <w:sz w:val="20"/>
              </w:rPr>
              <w:t>información</w:t>
            </w:r>
          </w:p>
        </w:tc>
        <w:tc>
          <w:tcPr>
            <w:tcW w:w="7513" w:type="dxa"/>
          </w:tcPr>
          <w:p>
            <w:pPr>
              <w:pStyle w:val="TableParagraph"/>
              <w:spacing w:line="229" w:lineRule="exact"/>
              <w:ind w:left="70"/>
              <w:rPr>
                <w:sz w:val="20"/>
              </w:rPr>
            </w:pPr>
            <w:r>
              <w:rPr>
                <w:sz w:val="20"/>
              </w:rPr>
              <w:t>Nombre</w:t>
            </w:r>
            <w:r>
              <w:rPr>
                <w:spacing w:val="-8"/>
                <w:sz w:val="20"/>
              </w:rPr>
              <w:t> </w:t>
            </w:r>
            <w:r>
              <w:rPr>
                <w:sz w:val="20"/>
              </w:rPr>
              <w:t>del</w:t>
            </w:r>
            <w:r>
              <w:rPr>
                <w:spacing w:val="-10"/>
                <w:sz w:val="20"/>
              </w:rPr>
              <w:t> </w:t>
            </w:r>
            <w:r>
              <w:rPr>
                <w:sz w:val="20"/>
              </w:rPr>
              <w:t>funcionario:</w:t>
            </w:r>
            <w:r>
              <w:rPr>
                <w:spacing w:val="-9"/>
                <w:sz w:val="20"/>
              </w:rPr>
              <w:t> </w:t>
            </w:r>
            <w:r>
              <w:rPr>
                <w:sz w:val="20"/>
              </w:rPr>
              <w:t>Maria</w:t>
            </w:r>
            <w:r>
              <w:rPr>
                <w:spacing w:val="-10"/>
                <w:sz w:val="20"/>
              </w:rPr>
              <w:t> </w:t>
            </w:r>
            <w:r>
              <w:rPr>
                <w:sz w:val="20"/>
              </w:rPr>
              <w:t>Damaris</w:t>
            </w:r>
            <w:r>
              <w:rPr>
                <w:spacing w:val="-9"/>
                <w:sz w:val="20"/>
              </w:rPr>
              <w:t> </w:t>
            </w:r>
            <w:r>
              <w:rPr>
                <w:sz w:val="20"/>
              </w:rPr>
              <w:t>Rojas,</w:t>
            </w:r>
            <w:r>
              <w:rPr>
                <w:spacing w:val="-9"/>
                <w:sz w:val="20"/>
              </w:rPr>
              <w:t> </w:t>
            </w:r>
            <w:r>
              <w:rPr>
                <w:sz w:val="20"/>
              </w:rPr>
              <w:t>Claudio</w:t>
            </w:r>
            <w:r>
              <w:rPr>
                <w:spacing w:val="-9"/>
                <w:sz w:val="20"/>
              </w:rPr>
              <w:t> </w:t>
            </w:r>
            <w:r>
              <w:rPr>
                <w:sz w:val="20"/>
              </w:rPr>
              <w:t>Chinchilla</w:t>
            </w:r>
            <w:r>
              <w:rPr>
                <w:spacing w:val="-9"/>
                <w:sz w:val="20"/>
              </w:rPr>
              <w:t> </w:t>
            </w:r>
            <w:r>
              <w:rPr>
                <w:spacing w:val="-2"/>
                <w:sz w:val="20"/>
              </w:rPr>
              <w:t>Compras</w:t>
            </w:r>
          </w:p>
          <w:p>
            <w:pPr>
              <w:pStyle w:val="TableParagraph"/>
              <w:spacing w:line="228" w:lineRule="exact"/>
              <w:ind w:left="70" w:right="133"/>
              <w:rPr>
                <w:sz w:val="20"/>
              </w:rPr>
            </w:pPr>
            <w:r>
              <w:rPr>
                <w:sz w:val="20"/>
              </w:rPr>
              <w:t>Cargo:</w:t>
            </w:r>
            <w:r>
              <w:rPr>
                <w:spacing w:val="-5"/>
                <w:sz w:val="20"/>
              </w:rPr>
              <w:t> </w:t>
            </w:r>
            <w:r>
              <w:rPr>
                <w:sz w:val="20"/>
              </w:rPr>
              <w:t>Jefatura</w:t>
            </w:r>
            <w:r>
              <w:rPr>
                <w:spacing w:val="-3"/>
                <w:sz w:val="20"/>
              </w:rPr>
              <w:t> </w:t>
            </w:r>
            <w:r>
              <w:rPr>
                <w:sz w:val="20"/>
              </w:rPr>
              <w:t>de</w:t>
            </w:r>
            <w:r>
              <w:rPr>
                <w:spacing w:val="-4"/>
                <w:sz w:val="20"/>
              </w:rPr>
              <w:t> </w:t>
            </w:r>
            <w:r>
              <w:rPr>
                <w:sz w:val="20"/>
              </w:rPr>
              <w:t>Ventas</w:t>
            </w:r>
            <w:r>
              <w:rPr>
                <w:spacing w:val="-2"/>
                <w:sz w:val="20"/>
              </w:rPr>
              <w:t> </w:t>
            </w:r>
            <w:r>
              <w:rPr>
                <w:sz w:val="20"/>
              </w:rPr>
              <w:t>y</w:t>
            </w:r>
            <w:r>
              <w:rPr>
                <w:spacing w:val="-4"/>
                <w:sz w:val="20"/>
              </w:rPr>
              <w:t> </w:t>
            </w:r>
            <w:r>
              <w:rPr>
                <w:sz w:val="20"/>
              </w:rPr>
              <w:t>Mercadeo,</w:t>
            </w:r>
            <w:r>
              <w:rPr>
                <w:spacing w:val="-5"/>
                <w:sz w:val="20"/>
              </w:rPr>
              <w:t> </w:t>
            </w:r>
            <w:r>
              <w:rPr>
                <w:sz w:val="20"/>
              </w:rPr>
              <w:t>jefe</w:t>
            </w:r>
            <w:r>
              <w:rPr>
                <w:spacing w:val="-4"/>
                <w:sz w:val="20"/>
              </w:rPr>
              <w:t> </w:t>
            </w:r>
            <w:r>
              <w:rPr>
                <w:sz w:val="20"/>
              </w:rPr>
              <w:t>de</w:t>
            </w:r>
            <w:r>
              <w:rPr>
                <w:spacing w:val="-6"/>
                <w:sz w:val="20"/>
              </w:rPr>
              <w:t> </w:t>
            </w:r>
            <w:r>
              <w:rPr>
                <w:sz w:val="20"/>
              </w:rPr>
              <w:t>Unidad</w:t>
            </w:r>
            <w:r>
              <w:rPr>
                <w:spacing w:val="-3"/>
                <w:sz w:val="20"/>
              </w:rPr>
              <w:t> </w:t>
            </w:r>
            <w:r>
              <w:rPr>
                <w:sz w:val="20"/>
              </w:rPr>
              <w:t>de</w:t>
            </w:r>
            <w:r>
              <w:rPr>
                <w:spacing w:val="-6"/>
                <w:sz w:val="20"/>
              </w:rPr>
              <w:t> </w:t>
            </w:r>
            <w:r>
              <w:rPr>
                <w:sz w:val="20"/>
              </w:rPr>
              <w:t>Logística</w:t>
            </w:r>
            <w:r>
              <w:rPr>
                <w:spacing w:val="-5"/>
                <w:sz w:val="20"/>
              </w:rPr>
              <w:t> </w:t>
            </w:r>
            <w:r>
              <w:rPr>
                <w:sz w:val="20"/>
              </w:rPr>
              <w:t>e </w:t>
            </w:r>
            <w:r>
              <w:rPr>
                <w:spacing w:val="-2"/>
                <w:sz w:val="20"/>
              </w:rPr>
              <w:t>Importaciones</w:t>
            </w:r>
          </w:p>
        </w:tc>
      </w:tr>
      <w:tr>
        <w:trPr>
          <w:trHeight w:val="945" w:hRule="atLeast"/>
        </w:trPr>
        <w:tc>
          <w:tcPr>
            <w:tcW w:w="2976" w:type="dxa"/>
            <w:shd w:val="clear" w:color="auto" w:fill="DCE6F0"/>
          </w:tcPr>
          <w:p>
            <w:pPr>
              <w:pStyle w:val="TableParagraph"/>
              <w:spacing w:before="14"/>
              <w:rPr>
                <w:b/>
                <w:sz w:val="20"/>
              </w:rPr>
            </w:pPr>
          </w:p>
          <w:p>
            <w:pPr>
              <w:pStyle w:val="TableParagraph"/>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3" w:type="dxa"/>
          </w:tcPr>
          <w:p>
            <w:pPr>
              <w:pStyle w:val="TableParagraph"/>
              <w:spacing w:before="127"/>
              <w:rPr>
                <w:b/>
                <w:sz w:val="20"/>
              </w:rPr>
            </w:pPr>
          </w:p>
          <w:p>
            <w:pPr>
              <w:pStyle w:val="TableParagraph"/>
              <w:ind w:left="70"/>
              <w:rPr>
                <w:sz w:val="20"/>
              </w:rPr>
            </w:pPr>
            <w:r>
              <w:rPr>
                <w:sz w:val="20"/>
              </w:rPr>
              <w:t>Empresas</w:t>
            </w:r>
            <w:r>
              <w:rPr>
                <w:spacing w:val="-14"/>
                <w:sz w:val="20"/>
              </w:rPr>
              <w:t> </w:t>
            </w:r>
            <w:r>
              <w:rPr>
                <w:spacing w:val="-2"/>
                <w:sz w:val="20"/>
              </w:rPr>
              <w:t>Comerciales</w:t>
            </w:r>
          </w:p>
        </w:tc>
      </w:tr>
      <w:tr>
        <w:trPr>
          <w:trHeight w:val="739" w:hRule="atLeast"/>
        </w:trPr>
        <w:tc>
          <w:tcPr>
            <w:tcW w:w="2976" w:type="dxa"/>
            <w:shd w:val="clear" w:color="auto" w:fill="DCE6F0"/>
          </w:tcPr>
          <w:p>
            <w:pPr>
              <w:pStyle w:val="TableParagraph"/>
              <w:spacing w:before="24"/>
              <w:rPr>
                <w:b/>
                <w:sz w:val="20"/>
              </w:rPr>
            </w:pPr>
          </w:p>
          <w:p>
            <w:pPr>
              <w:pStyle w:val="TableParagraph"/>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3" w:type="dxa"/>
          </w:tcPr>
          <w:p>
            <w:pPr>
              <w:pStyle w:val="TableParagraph"/>
              <w:spacing w:before="138"/>
              <w:ind w:left="70" w:right="133"/>
              <w:rPr>
                <w:sz w:val="20"/>
              </w:rPr>
            </w:pPr>
            <w:r>
              <w:rPr>
                <w:sz w:val="20"/>
              </w:rPr>
              <w:t>Informes</w:t>
            </w:r>
            <w:r>
              <w:rPr>
                <w:spacing w:val="-4"/>
                <w:sz w:val="20"/>
              </w:rPr>
              <w:t> </w:t>
            </w:r>
            <w:r>
              <w:rPr>
                <w:sz w:val="20"/>
              </w:rPr>
              <w:t>de</w:t>
            </w:r>
            <w:r>
              <w:rPr>
                <w:spacing w:val="-4"/>
                <w:sz w:val="20"/>
              </w:rPr>
              <w:t> </w:t>
            </w:r>
            <w:r>
              <w:rPr>
                <w:sz w:val="20"/>
              </w:rPr>
              <w:t>ejecución</w:t>
            </w:r>
            <w:r>
              <w:rPr>
                <w:spacing w:val="-4"/>
                <w:sz w:val="20"/>
              </w:rPr>
              <w:t> </w:t>
            </w:r>
            <w:r>
              <w:rPr>
                <w:sz w:val="20"/>
              </w:rPr>
              <w:t>del</w:t>
            </w:r>
            <w:r>
              <w:rPr>
                <w:spacing w:val="-6"/>
                <w:sz w:val="20"/>
              </w:rPr>
              <w:t> </w:t>
            </w:r>
            <w:r>
              <w:rPr>
                <w:sz w:val="20"/>
              </w:rPr>
              <w:t>plan</w:t>
            </w:r>
            <w:r>
              <w:rPr>
                <w:spacing w:val="-4"/>
                <w:sz w:val="20"/>
              </w:rPr>
              <w:t> </w:t>
            </w:r>
            <w:r>
              <w:rPr>
                <w:sz w:val="20"/>
              </w:rPr>
              <w:t>de</w:t>
            </w:r>
            <w:r>
              <w:rPr>
                <w:spacing w:val="-6"/>
                <w:sz w:val="20"/>
              </w:rPr>
              <w:t> </w:t>
            </w:r>
            <w:r>
              <w:rPr>
                <w:sz w:val="20"/>
              </w:rPr>
              <w:t>compras</w:t>
            </w:r>
            <w:r>
              <w:rPr>
                <w:spacing w:val="-4"/>
                <w:sz w:val="20"/>
              </w:rPr>
              <w:t> </w:t>
            </w:r>
            <w:r>
              <w:rPr>
                <w:sz w:val="20"/>
              </w:rPr>
              <w:t>y</w:t>
            </w:r>
            <w:r>
              <w:rPr>
                <w:spacing w:val="-4"/>
                <w:sz w:val="20"/>
              </w:rPr>
              <w:t> </w:t>
            </w:r>
            <w:r>
              <w:rPr>
                <w:sz w:val="20"/>
              </w:rPr>
              <w:t>estudios</w:t>
            </w:r>
            <w:r>
              <w:rPr>
                <w:spacing w:val="-4"/>
                <w:sz w:val="20"/>
              </w:rPr>
              <w:t> </w:t>
            </w:r>
            <w:r>
              <w:rPr>
                <w:sz w:val="20"/>
              </w:rPr>
              <w:t>de</w:t>
            </w:r>
            <w:r>
              <w:rPr>
                <w:spacing w:val="-6"/>
                <w:sz w:val="20"/>
              </w:rPr>
              <w:t> </w:t>
            </w:r>
            <w:r>
              <w:rPr>
                <w:sz w:val="20"/>
              </w:rPr>
              <w:t>sensibilidad</w:t>
            </w:r>
            <w:r>
              <w:rPr>
                <w:spacing w:val="-3"/>
                <w:sz w:val="20"/>
              </w:rPr>
              <w:t> </w:t>
            </w:r>
            <w:r>
              <w:rPr>
                <w:sz w:val="20"/>
              </w:rPr>
              <w:t>preparado por la Unidad de Importaciones y Logística.</w:t>
            </w:r>
          </w:p>
        </w:tc>
      </w:tr>
      <w:tr>
        <w:trPr>
          <w:trHeight w:val="844" w:hRule="atLeast"/>
        </w:trPr>
        <w:tc>
          <w:tcPr>
            <w:tcW w:w="2976" w:type="dxa"/>
            <w:shd w:val="clear" w:color="auto" w:fill="DBE4F0"/>
          </w:tcPr>
          <w:p>
            <w:pPr>
              <w:pStyle w:val="TableParagraph"/>
              <w:spacing w:before="76"/>
              <w:rPr>
                <w:b/>
                <w:sz w:val="20"/>
              </w:rPr>
            </w:pPr>
          </w:p>
          <w:p>
            <w:pPr>
              <w:pStyle w:val="TableParagraph"/>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76"/>
              <w:rPr>
                <w:b/>
                <w:sz w:val="20"/>
              </w:rPr>
            </w:pPr>
          </w:p>
          <w:p>
            <w:pPr>
              <w:pStyle w:val="TableParagraph"/>
              <w:ind w:left="70" w:right="133"/>
              <w:rPr>
                <w:sz w:val="20"/>
              </w:rPr>
            </w:pPr>
            <w:r>
              <w:rPr>
                <w:sz w:val="20"/>
              </w:rPr>
              <w:t>Reporte</w:t>
            </w:r>
            <w:r>
              <w:rPr>
                <w:spacing w:val="-3"/>
                <w:sz w:val="20"/>
              </w:rPr>
              <w:t> </w:t>
            </w:r>
            <w:r>
              <w:rPr>
                <w:sz w:val="20"/>
              </w:rPr>
              <w:t>entradas</w:t>
            </w:r>
            <w:r>
              <w:rPr>
                <w:spacing w:val="-4"/>
                <w:sz w:val="20"/>
              </w:rPr>
              <w:t> </w:t>
            </w:r>
            <w:r>
              <w:rPr>
                <w:sz w:val="20"/>
              </w:rPr>
              <w:t>de</w:t>
            </w:r>
            <w:r>
              <w:rPr>
                <w:spacing w:val="-5"/>
                <w:sz w:val="20"/>
              </w:rPr>
              <w:t> </w:t>
            </w:r>
            <w:r>
              <w:rPr>
                <w:sz w:val="20"/>
              </w:rPr>
              <w:t>mercadería</w:t>
            </w:r>
            <w:r>
              <w:rPr>
                <w:spacing w:val="-6"/>
                <w:sz w:val="20"/>
              </w:rPr>
              <w:t> </w:t>
            </w:r>
            <w:r>
              <w:rPr>
                <w:sz w:val="20"/>
              </w:rPr>
              <w:t>y</w:t>
            </w:r>
            <w:r>
              <w:rPr>
                <w:spacing w:val="-4"/>
                <w:sz w:val="20"/>
              </w:rPr>
              <w:t> </w:t>
            </w:r>
            <w:r>
              <w:rPr>
                <w:sz w:val="20"/>
              </w:rPr>
              <w:t>comparativo</w:t>
            </w:r>
            <w:r>
              <w:rPr>
                <w:spacing w:val="-5"/>
                <w:sz w:val="20"/>
              </w:rPr>
              <w:t> </w:t>
            </w:r>
            <w:r>
              <w:rPr>
                <w:sz w:val="20"/>
              </w:rPr>
              <w:t>entre</w:t>
            </w:r>
            <w:r>
              <w:rPr>
                <w:spacing w:val="-5"/>
                <w:sz w:val="20"/>
              </w:rPr>
              <w:t> </w:t>
            </w:r>
            <w:r>
              <w:rPr>
                <w:sz w:val="20"/>
              </w:rPr>
              <w:t>compras</w:t>
            </w:r>
            <w:r>
              <w:rPr>
                <w:spacing w:val="-3"/>
                <w:sz w:val="20"/>
              </w:rPr>
              <w:t> </w:t>
            </w:r>
            <w:r>
              <w:rPr>
                <w:sz w:val="20"/>
              </w:rPr>
              <w:t>y</w:t>
            </w:r>
            <w:r>
              <w:rPr>
                <w:spacing w:val="-4"/>
                <w:sz w:val="20"/>
              </w:rPr>
              <w:t> </w:t>
            </w:r>
            <w:r>
              <w:rPr>
                <w:sz w:val="20"/>
              </w:rPr>
              <w:t>entregas</w:t>
            </w:r>
            <w:r>
              <w:rPr>
                <w:spacing w:val="-4"/>
                <w:sz w:val="20"/>
              </w:rPr>
              <w:t> </w:t>
            </w:r>
            <w:r>
              <w:rPr>
                <w:sz w:val="20"/>
              </w:rPr>
              <w:t>(plan</w:t>
            </w:r>
            <w:r>
              <w:rPr>
                <w:spacing w:val="-5"/>
                <w:sz w:val="20"/>
              </w:rPr>
              <w:t> </w:t>
            </w:r>
            <w:r>
              <w:rPr>
                <w:sz w:val="20"/>
              </w:rPr>
              <w:t>de </w:t>
            </w:r>
            <w:r>
              <w:rPr>
                <w:spacing w:val="-2"/>
                <w:sz w:val="20"/>
              </w:rPr>
              <w:t>compras)</w:t>
            </w:r>
          </w:p>
        </w:tc>
      </w:tr>
      <w:tr>
        <w:trPr>
          <w:trHeight w:val="630" w:hRule="atLeast"/>
        </w:trPr>
        <w:tc>
          <w:tcPr>
            <w:tcW w:w="2976" w:type="dxa"/>
            <w:shd w:val="clear" w:color="auto" w:fill="DCE6F0"/>
          </w:tcPr>
          <w:p>
            <w:pPr>
              <w:pStyle w:val="TableParagraph"/>
              <w:spacing w:before="198"/>
              <w:ind w:left="67"/>
              <w:rPr>
                <w:b/>
                <w:sz w:val="20"/>
              </w:rPr>
            </w:pPr>
            <w:r>
              <w:rPr>
                <w:b/>
                <w:spacing w:val="-2"/>
                <w:sz w:val="20"/>
              </w:rPr>
              <w:t>Clasificación</w:t>
            </w:r>
          </w:p>
        </w:tc>
        <w:tc>
          <w:tcPr>
            <w:tcW w:w="7513" w:type="dxa"/>
          </w:tcPr>
          <w:p>
            <w:pPr>
              <w:pStyle w:val="TableParagraph"/>
              <w:spacing w:before="198"/>
              <w:ind w:left="70"/>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710" w:hRule="atLeast"/>
        </w:trPr>
        <w:tc>
          <w:tcPr>
            <w:tcW w:w="2976" w:type="dxa"/>
            <w:shd w:val="clear" w:color="auto" w:fill="DCE6F0"/>
          </w:tcPr>
          <w:p>
            <w:pPr>
              <w:pStyle w:val="TableParagraph"/>
              <w:spacing w:before="9"/>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3" w:type="dxa"/>
          </w:tcPr>
          <w:p>
            <w:pPr>
              <w:pStyle w:val="TableParagraph"/>
              <w:spacing w:before="124"/>
              <w:ind w:left="70" w:right="133"/>
              <w:rPr>
                <w:sz w:val="20"/>
              </w:rPr>
            </w:pPr>
            <w:r>
              <w:rPr>
                <w:sz w:val="20"/>
              </w:rPr>
              <w:t>Mencionar</w:t>
            </w:r>
            <w:r>
              <w:rPr>
                <w:spacing w:val="-4"/>
                <w:sz w:val="20"/>
              </w:rPr>
              <w:t> </w:t>
            </w:r>
            <w:r>
              <w:rPr>
                <w:sz w:val="20"/>
              </w:rPr>
              <w:t>cualquier</w:t>
            </w:r>
            <w:r>
              <w:rPr>
                <w:spacing w:val="-4"/>
                <w:sz w:val="20"/>
              </w:rPr>
              <w:t> </w:t>
            </w:r>
            <w:r>
              <w:rPr>
                <w:sz w:val="20"/>
              </w:rPr>
              <w:t>observación</w:t>
            </w:r>
            <w:r>
              <w:rPr>
                <w:spacing w:val="-5"/>
                <w:sz w:val="20"/>
              </w:rPr>
              <w:t> </w:t>
            </w:r>
            <w:r>
              <w:rPr>
                <w:sz w:val="20"/>
              </w:rPr>
              <w:t>que</w:t>
            </w:r>
            <w:r>
              <w:rPr>
                <w:spacing w:val="-5"/>
                <w:sz w:val="20"/>
              </w:rPr>
              <w:t> </w:t>
            </w:r>
            <w:r>
              <w:rPr>
                <w:sz w:val="20"/>
              </w:rPr>
              <w:t>se</w:t>
            </w:r>
            <w:r>
              <w:rPr>
                <w:spacing w:val="-4"/>
                <w:sz w:val="20"/>
              </w:rPr>
              <w:t> </w:t>
            </w:r>
            <w:r>
              <w:rPr>
                <w:sz w:val="20"/>
              </w:rPr>
              <w:t>considere</w:t>
            </w:r>
            <w:r>
              <w:rPr>
                <w:spacing w:val="-4"/>
                <w:sz w:val="20"/>
              </w:rPr>
              <w:t> </w:t>
            </w:r>
            <w:r>
              <w:rPr>
                <w:sz w:val="20"/>
              </w:rPr>
              <w:t>necesaria</w:t>
            </w:r>
            <w:r>
              <w:rPr>
                <w:spacing w:val="-5"/>
                <w:sz w:val="20"/>
              </w:rPr>
              <w:t> </w:t>
            </w:r>
            <w:r>
              <w:rPr>
                <w:sz w:val="20"/>
              </w:rPr>
              <w:t>para</w:t>
            </w:r>
            <w:r>
              <w:rPr>
                <w:spacing w:val="-4"/>
                <w:sz w:val="20"/>
              </w:rPr>
              <w:t> </w:t>
            </w:r>
            <w:r>
              <w:rPr>
                <w:sz w:val="20"/>
              </w:rPr>
              <w:t>que</w:t>
            </w:r>
            <w:r>
              <w:rPr>
                <w:spacing w:val="-4"/>
                <w:sz w:val="20"/>
              </w:rPr>
              <w:t> </w:t>
            </w:r>
            <w:r>
              <w:rPr>
                <w:sz w:val="20"/>
              </w:rPr>
              <w:t>el</w:t>
            </w:r>
            <w:r>
              <w:rPr>
                <w:spacing w:val="-5"/>
                <w:sz w:val="20"/>
              </w:rPr>
              <w:t> </w:t>
            </w:r>
            <w:r>
              <w:rPr>
                <w:sz w:val="20"/>
              </w:rPr>
              <w:t>usuario obtenga una mejor comprensión del indicador</w:t>
            </w:r>
          </w:p>
        </w:tc>
      </w:tr>
    </w:tbl>
    <w:p>
      <w:pPr>
        <w:pStyle w:val="TableParagraph"/>
        <w:spacing w:after="0"/>
        <w:rPr>
          <w:sz w:val="20"/>
        </w:rPr>
        <w:sectPr>
          <w:pgSz w:w="12240" w:h="15840"/>
          <w:pgMar w:header="0" w:footer="2082" w:top="1400" w:bottom="260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299" w:hRule="atLeast"/>
        </w:trPr>
        <w:tc>
          <w:tcPr>
            <w:tcW w:w="2976" w:type="dxa"/>
            <w:shd w:val="clear" w:color="auto" w:fill="DBE4F0"/>
          </w:tcPr>
          <w:p>
            <w:pPr>
              <w:pStyle w:val="TableParagraph"/>
              <w:spacing w:before="33"/>
              <w:ind w:left="67"/>
              <w:rPr>
                <w:b/>
                <w:sz w:val="20"/>
              </w:rPr>
            </w:pPr>
            <w:r>
              <w:rPr>
                <w:b/>
                <w:sz w:val="20"/>
              </w:rPr>
              <w:t>PEC</w:t>
            </w:r>
            <w:r>
              <w:rPr>
                <w:b/>
                <w:spacing w:val="-5"/>
                <w:sz w:val="20"/>
              </w:rPr>
              <w:t> </w:t>
            </w:r>
            <w:r>
              <w:rPr>
                <w:b/>
                <w:spacing w:val="-2"/>
                <w:sz w:val="20"/>
              </w:rPr>
              <w:t>3.4.3:</w:t>
            </w:r>
          </w:p>
        </w:tc>
        <w:tc>
          <w:tcPr>
            <w:tcW w:w="7513" w:type="dxa"/>
          </w:tcPr>
          <w:p>
            <w:pPr>
              <w:pStyle w:val="TableParagraph"/>
              <w:spacing w:before="33"/>
              <w:ind w:left="70"/>
              <w:rPr>
                <w:sz w:val="20"/>
              </w:rPr>
            </w:pPr>
            <w:r>
              <w:rPr>
                <w:sz w:val="20"/>
              </w:rPr>
              <w:t>Nombre</w:t>
            </w:r>
            <w:r>
              <w:rPr>
                <w:spacing w:val="-8"/>
                <w:sz w:val="20"/>
              </w:rPr>
              <w:t> </w:t>
            </w:r>
            <w:r>
              <w:rPr>
                <w:sz w:val="20"/>
              </w:rPr>
              <w:t>del</w:t>
            </w:r>
            <w:r>
              <w:rPr>
                <w:spacing w:val="-9"/>
                <w:sz w:val="20"/>
              </w:rPr>
              <w:t> </w:t>
            </w:r>
            <w:r>
              <w:rPr>
                <w:sz w:val="20"/>
              </w:rPr>
              <w:t>Indicador:</w:t>
            </w:r>
            <w:r>
              <w:rPr>
                <w:spacing w:val="-8"/>
                <w:sz w:val="20"/>
              </w:rPr>
              <w:t> </w:t>
            </w:r>
            <w:r>
              <w:rPr>
                <w:sz w:val="20"/>
              </w:rPr>
              <w:t>Porcentaje</w:t>
            </w:r>
            <w:r>
              <w:rPr>
                <w:spacing w:val="-7"/>
                <w:sz w:val="20"/>
              </w:rPr>
              <w:t> </w:t>
            </w:r>
            <w:r>
              <w:rPr>
                <w:sz w:val="20"/>
              </w:rPr>
              <w:t>de</w:t>
            </w:r>
            <w:r>
              <w:rPr>
                <w:spacing w:val="-10"/>
                <w:sz w:val="20"/>
              </w:rPr>
              <w:t> </w:t>
            </w:r>
            <w:r>
              <w:rPr>
                <w:sz w:val="20"/>
              </w:rPr>
              <w:t>compras</w:t>
            </w:r>
            <w:r>
              <w:rPr>
                <w:spacing w:val="-8"/>
                <w:sz w:val="20"/>
              </w:rPr>
              <w:t> </w:t>
            </w:r>
            <w:r>
              <w:rPr>
                <w:sz w:val="20"/>
              </w:rPr>
              <w:t>de</w:t>
            </w:r>
            <w:r>
              <w:rPr>
                <w:spacing w:val="-7"/>
                <w:sz w:val="20"/>
              </w:rPr>
              <w:t> </w:t>
            </w:r>
            <w:r>
              <w:rPr>
                <w:sz w:val="20"/>
              </w:rPr>
              <w:t>equipos</w:t>
            </w:r>
            <w:r>
              <w:rPr>
                <w:spacing w:val="-8"/>
                <w:sz w:val="20"/>
              </w:rPr>
              <w:t> </w:t>
            </w:r>
            <w:r>
              <w:rPr>
                <w:spacing w:val="-2"/>
                <w:sz w:val="20"/>
              </w:rPr>
              <w:t>efectuadas</w:t>
            </w:r>
          </w:p>
        </w:tc>
      </w:tr>
      <w:tr>
        <w:trPr>
          <w:trHeight w:val="299" w:hRule="atLeast"/>
        </w:trPr>
        <w:tc>
          <w:tcPr>
            <w:tcW w:w="2976" w:type="dxa"/>
            <w:shd w:val="clear" w:color="auto" w:fill="DBE4F0"/>
          </w:tcPr>
          <w:p>
            <w:pPr>
              <w:pStyle w:val="TableParagraph"/>
              <w:spacing w:before="35"/>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3" w:type="dxa"/>
          </w:tcPr>
          <w:p>
            <w:pPr>
              <w:pStyle w:val="TableParagraph"/>
              <w:spacing w:before="35"/>
              <w:ind w:left="70"/>
              <w:rPr>
                <w:sz w:val="20"/>
              </w:rPr>
            </w:pPr>
            <w:r>
              <w:rPr>
                <w:sz w:val="20"/>
              </w:rPr>
              <w:t>equipo</w:t>
            </w:r>
            <w:r>
              <w:rPr>
                <w:spacing w:val="-11"/>
                <w:sz w:val="20"/>
              </w:rPr>
              <w:t> </w:t>
            </w:r>
            <w:r>
              <w:rPr>
                <w:sz w:val="20"/>
              </w:rPr>
              <w:t>adquirido/</w:t>
            </w:r>
            <w:r>
              <w:rPr>
                <w:spacing w:val="-9"/>
                <w:sz w:val="20"/>
              </w:rPr>
              <w:t> </w:t>
            </w:r>
            <w:r>
              <w:rPr>
                <w:sz w:val="20"/>
              </w:rPr>
              <w:t>equipo</w:t>
            </w:r>
            <w:r>
              <w:rPr>
                <w:spacing w:val="-12"/>
                <w:sz w:val="20"/>
              </w:rPr>
              <w:t> </w:t>
            </w:r>
            <w:r>
              <w:rPr>
                <w:sz w:val="20"/>
              </w:rPr>
              <w:t>programado</w:t>
            </w:r>
            <w:r>
              <w:rPr>
                <w:spacing w:val="-9"/>
                <w:sz w:val="20"/>
              </w:rPr>
              <w:t> </w:t>
            </w:r>
            <w:r>
              <w:rPr>
                <w:sz w:val="20"/>
              </w:rPr>
              <w:t>para</w:t>
            </w:r>
            <w:r>
              <w:rPr>
                <w:spacing w:val="-10"/>
                <w:sz w:val="20"/>
              </w:rPr>
              <w:t> </w:t>
            </w:r>
            <w:r>
              <w:rPr>
                <w:sz w:val="20"/>
              </w:rPr>
              <w:t>adquirir</w:t>
            </w:r>
            <w:r>
              <w:rPr>
                <w:spacing w:val="-10"/>
                <w:sz w:val="20"/>
              </w:rPr>
              <w:t> </w:t>
            </w:r>
            <w:r>
              <w:rPr>
                <w:spacing w:val="-4"/>
                <w:sz w:val="20"/>
              </w:rPr>
              <w:t>*100</w:t>
            </w:r>
          </w:p>
        </w:tc>
      </w:tr>
      <w:tr>
        <w:trPr>
          <w:trHeight w:val="299" w:hRule="atLeast"/>
        </w:trPr>
        <w:tc>
          <w:tcPr>
            <w:tcW w:w="2976" w:type="dxa"/>
            <w:shd w:val="clear" w:color="auto" w:fill="DBE4F0"/>
          </w:tcPr>
          <w:p>
            <w:pPr>
              <w:pStyle w:val="TableParagraph"/>
              <w:spacing w:before="35"/>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35"/>
              <w:ind w:left="70"/>
              <w:rPr>
                <w:sz w:val="20"/>
              </w:rPr>
            </w:pPr>
            <w:r>
              <w:rPr>
                <w:spacing w:val="-2"/>
                <w:sz w:val="20"/>
              </w:rPr>
              <w:t>Porcentaje</w:t>
            </w:r>
          </w:p>
        </w:tc>
      </w:tr>
      <w:tr>
        <w:trPr>
          <w:trHeight w:val="510" w:hRule="atLeast"/>
        </w:trPr>
        <w:tc>
          <w:tcPr>
            <w:tcW w:w="2976" w:type="dxa"/>
            <w:shd w:val="clear" w:color="auto" w:fill="DBE4F0"/>
          </w:tcPr>
          <w:p>
            <w:pPr>
              <w:pStyle w:val="TableParagraph"/>
              <w:spacing w:before="141"/>
              <w:ind w:left="67"/>
              <w:rPr>
                <w:b/>
                <w:sz w:val="20"/>
              </w:rPr>
            </w:pPr>
            <w:r>
              <w:rPr>
                <w:b/>
                <w:spacing w:val="-2"/>
                <w:sz w:val="20"/>
              </w:rPr>
              <w:t>Interpretación:</w:t>
            </w:r>
          </w:p>
        </w:tc>
        <w:tc>
          <w:tcPr>
            <w:tcW w:w="7513" w:type="dxa"/>
          </w:tcPr>
          <w:p>
            <w:pPr>
              <w:pStyle w:val="TableParagraph"/>
              <w:spacing w:before="141"/>
              <w:ind w:left="70"/>
              <w:rPr>
                <w:sz w:val="20"/>
              </w:rPr>
            </w:pPr>
            <w:r>
              <w:rPr>
                <w:sz w:val="20"/>
              </w:rPr>
              <w:t>Corresponde</w:t>
            </w:r>
            <w:r>
              <w:rPr>
                <w:spacing w:val="-6"/>
                <w:sz w:val="20"/>
              </w:rPr>
              <w:t> </w:t>
            </w:r>
            <w:r>
              <w:rPr>
                <w:sz w:val="20"/>
              </w:rPr>
              <w:t>a</w:t>
            </w:r>
            <w:r>
              <w:rPr>
                <w:spacing w:val="-5"/>
                <w:sz w:val="20"/>
              </w:rPr>
              <w:t> </w:t>
            </w:r>
            <w:r>
              <w:rPr>
                <w:sz w:val="20"/>
              </w:rPr>
              <w:t>la</w:t>
            </w:r>
            <w:r>
              <w:rPr>
                <w:spacing w:val="-6"/>
                <w:sz w:val="20"/>
              </w:rPr>
              <w:t> </w:t>
            </w:r>
            <w:r>
              <w:rPr>
                <w:sz w:val="20"/>
              </w:rPr>
              <w:t>compra</w:t>
            </w:r>
            <w:r>
              <w:rPr>
                <w:spacing w:val="-3"/>
                <w:sz w:val="20"/>
              </w:rPr>
              <w:t> </w:t>
            </w:r>
            <w:r>
              <w:rPr>
                <w:sz w:val="20"/>
              </w:rPr>
              <w:t>del</w:t>
            </w:r>
            <w:r>
              <w:rPr>
                <w:spacing w:val="-6"/>
                <w:sz w:val="20"/>
              </w:rPr>
              <w:t> </w:t>
            </w:r>
            <w:r>
              <w:rPr>
                <w:sz w:val="20"/>
              </w:rPr>
              <w:t>equipo</w:t>
            </w:r>
            <w:r>
              <w:rPr>
                <w:spacing w:val="-5"/>
                <w:sz w:val="20"/>
              </w:rPr>
              <w:t> </w:t>
            </w:r>
            <w:r>
              <w:rPr>
                <w:sz w:val="20"/>
              </w:rPr>
              <w:t>programado</w:t>
            </w:r>
            <w:r>
              <w:rPr>
                <w:spacing w:val="-6"/>
                <w:sz w:val="20"/>
              </w:rPr>
              <w:t> </w:t>
            </w:r>
            <w:r>
              <w:rPr>
                <w:sz w:val="20"/>
              </w:rPr>
              <w:t>en</w:t>
            </w:r>
            <w:r>
              <w:rPr>
                <w:spacing w:val="-6"/>
                <w:sz w:val="20"/>
              </w:rPr>
              <w:t> </w:t>
            </w:r>
            <w:r>
              <w:rPr>
                <w:sz w:val="20"/>
              </w:rPr>
              <w:t>el</w:t>
            </w:r>
            <w:r>
              <w:rPr>
                <w:spacing w:val="-5"/>
                <w:sz w:val="20"/>
              </w:rPr>
              <w:t> </w:t>
            </w:r>
            <w:r>
              <w:rPr>
                <w:sz w:val="20"/>
              </w:rPr>
              <w:t>PPA</w:t>
            </w:r>
            <w:r>
              <w:rPr>
                <w:spacing w:val="-5"/>
                <w:sz w:val="20"/>
              </w:rPr>
              <w:t> </w:t>
            </w:r>
            <w:r>
              <w:rPr>
                <w:sz w:val="20"/>
              </w:rPr>
              <w:t>para</w:t>
            </w:r>
            <w:r>
              <w:rPr>
                <w:spacing w:val="-6"/>
                <w:sz w:val="20"/>
              </w:rPr>
              <w:t> </w:t>
            </w:r>
            <w:r>
              <w:rPr>
                <w:sz w:val="20"/>
              </w:rPr>
              <w:t>el</w:t>
            </w:r>
            <w:r>
              <w:rPr>
                <w:spacing w:val="-7"/>
                <w:sz w:val="20"/>
              </w:rPr>
              <w:t> </w:t>
            </w:r>
            <w:r>
              <w:rPr>
                <w:sz w:val="20"/>
              </w:rPr>
              <w:t>año</w:t>
            </w:r>
            <w:r>
              <w:rPr>
                <w:spacing w:val="-5"/>
                <w:sz w:val="20"/>
              </w:rPr>
              <w:t> </w:t>
            </w:r>
            <w:r>
              <w:rPr>
                <w:spacing w:val="-4"/>
                <w:sz w:val="20"/>
              </w:rPr>
              <w:t>2027</w:t>
            </w:r>
          </w:p>
        </w:tc>
      </w:tr>
      <w:tr>
        <w:trPr>
          <w:trHeight w:val="510" w:hRule="atLeast"/>
        </w:trPr>
        <w:tc>
          <w:tcPr>
            <w:tcW w:w="2976" w:type="dxa"/>
            <w:shd w:val="clear" w:color="auto" w:fill="DBE4F0"/>
          </w:tcPr>
          <w:p>
            <w:pPr>
              <w:pStyle w:val="TableParagraph"/>
              <w:spacing w:before="138"/>
              <w:ind w:left="67"/>
              <w:rPr>
                <w:b/>
                <w:sz w:val="20"/>
              </w:rPr>
            </w:pPr>
            <w:r>
              <w:rPr>
                <w:b/>
                <w:spacing w:val="-2"/>
                <w:sz w:val="20"/>
              </w:rPr>
              <w:t>Desagregación</w:t>
            </w:r>
          </w:p>
        </w:tc>
        <w:tc>
          <w:tcPr>
            <w:tcW w:w="7513" w:type="dxa"/>
          </w:tcPr>
          <w:p>
            <w:pPr>
              <w:pStyle w:val="TableParagraph"/>
              <w:spacing w:before="23"/>
              <w:ind w:left="70" w:right="133"/>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299" w:hRule="atLeast"/>
        </w:trPr>
        <w:tc>
          <w:tcPr>
            <w:tcW w:w="2976" w:type="dxa"/>
            <w:shd w:val="clear" w:color="auto" w:fill="DBE4F0"/>
          </w:tcPr>
          <w:p>
            <w:pPr>
              <w:pStyle w:val="TableParagraph"/>
              <w:spacing w:before="33"/>
              <w:ind w:left="67"/>
              <w:rPr>
                <w:b/>
                <w:sz w:val="20"/>
              </w:rPr>
            </w:pPr>
            <w:r>
              <w:rPr>
                <w:b/>
                <w:spacing w:val="-2"/>
                <w:sz w:val="20"/>
              </w:rPr>
              <w:t>Meta:</w:t>
            </w:r>
          </w:p>
        </w:tc>
        <w:tc>
          <w:tcPr>
            <w:tcW w:w="7513" w:type="dxa"/>
          </w:tcPr>
          <w:p>
            <w:pPr>
              <w:pStyle w:val="TableParagraph"/>
              <w:spacing w:before="33"/>
              <w:ind w:left="70"/>
              <w:rPr>
                <w:sz w:val="20"/>
              </w:rPr>
            </w:pPr>
            <w:r>
              <w:rPr>
                <w:spacing w:val="-4"/>
                <w:sz w:val="20"/>
              </w:rPr>
              <w:t>100%</w:t>
            </w:r>
          </w:p>
        </w:tc>
      </w:tr>
      <w:tr>
        <w:trPr>
          <w:trHeight w:val="299" w:hRule="atLeast"/>
        </w:trPr>
        <w:tc>
          <w:tcPr>
            <w:tcW w:w="2976" w:type="dxa"/>
            <w:shd w:val="clear" w:color="auto" w:fill="DBE4F0"/>
          </w:tcPr>
          <w:p>
            <w:pPr>
              <w:pStyle w:val="TableParagraph"/>
              <w:spacing w:before="33"/>
              <w:ind w:left="67"/>
              <w:rPr>
                <w:b/>
                <w:sz w:val="20"/>
              </w:rPr>
            </w:pPr>
            <w:r>
              <w:rPr>
                <w:b/>
                <w:sz w:val="20"/>
              </w:rPr>
              <w:t>Línea</w:t>
            </w:r>
            <w:r>
              <w:rPr>
                <w:b/>
                <w:spacing w:val="-10"/>
                <w:sz w:val="20"/>
              </w:rPr>
              <w:t> </w:t>
            </w:r>
            <w:r>
              <w:rPr>
                <w:b/>
                <w:spacing w:val="-4"/>
                <w:sz w:val="20"/>
              </w:rPr>
              <w:t>Base</w:t>
            </w:r>
          </w:p>
        </w:tc>
        <w:tc>
          <w:tcPr>
            <w:tcW w:w="7513" w:type="dxa"/>
          </w:tcPr>
          <w:p>
            <w:pPr>
              <w:pStyle w:val="TableParagraph"/>
              <w:spacing w:before="33"/>
              <w:ind w:left="70"/>
              <w:rPr>
                <w:sz w:val="20"/>
              </w:rPr>
            </w:pPr>
            <w:r>
              <w:rPr>
                <w:spacing w:val="-4"/>
                <w:sz w:val="20"/>
              </w:rPr>
              <w:t>100%</w:t>
            </w:r>
          </w:p>
        </w:tc>
      </w:tr>
      <w:tr>
        <w:trPr>
          <w:trHeight w:val="510" w:hRule="atLeast"/>
        </w:trPr>
        <w:tc>
          <w:tcPr>
            <w:tcW w:w="2976" w:type="dxa"/>
            <w:shd w:val="clear" w:color="auto" w:fill="DBE4F0"/>
          </w:tcPr>
          <w:p>
            <w:pPr>
              <w:pStyle w:val="TableParagraph"/>
              <w:spacing w:before="2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138"/>
              <w:ind w:left="70"/>
              <w:rPr>
                <w:sz w:val="20"/>
              </w:rPr>
            </w:pPr>
            <w:r>
              <w:rPr>
                <w:spacing w:val="-2"/>
                <w:sz w:val="20"/>
              </w:rPr>
              <w:t>Trimestral</w:t>
            </w:r>
          </w:p>
        </w:tc>
      </w:tr>
      <w:tr>
        <w:trPr>
          <w:trHeight w:val="1149" w:hRule="atLeast"/>
        </w:trPr>
        <w:tc>
          <w:tcPr>
            <w:tcW w:w="2976" w:type="dxa"/>
            <w:shd w:val="clear" w:color="auto" w:fill="DBE4F0"/>
          </w:tcPr>
          <w:p>
            <w:pPr>
              <w:pStyle w:val="TableParagraph"/>
              <w:spacing w:before="113"/>
              <w:rPr>
                <w:b/>
                <w:sz w:val="20"/>
              </w:rPr>
            </w:pPr>
          </w:p>
          <w:p>
            <w:pPr>
              <w:pStyle w:val="TableParagraph"/>
              <w:ind w:left="67" w:right="514"/>
              <w:rPr>
                <w:b/>
                <w:sz w:val="20"/>
              </w:rPr>
            </w:pPr>
            <w:r>
              <w:rPr>
                <w:b/>
                <w:sz w:val="20"/>
              </w:rPr>
              <w:t>Responsable de la recopilación</w:t>
            </w:r>
            <w:r>
              <w:rPr>
                <w:b/>
                <w:spacing w:val="-14"/>
                <w:sz w:val="20"/>
              </w:rPr>
              <w:t> </w:t>
            </w:r>
            <w:r>
              <w:rPr>
                <w:b/>
                <w:sz w:val="20"/>
              </w:rPr>
              <w:t>información</w:t>
            </w:r>
          </w:p>
        </w:tc>
        <w:tc>
          <w:tcPr>
            <w:tcW w:w="7513" w:type="dxa"/>
          </w:tcPr>
          <w:p>
            <w:pPr>
              <w:pStyle w:val="TableParagraph"/>
              <w:ind w:left="70" w:right="133"/>
              <w:rPr>
                <w:sz w:val="20"/>
              </w:rPr>
            </w:pPr>
            <w:r>
              <w:rPr>
                <w:sz w:val="20"/>
              </w:rPr>
              <w:t>Nombre</w:t>
            </w:r>
            <w:r>
              <w:rPr>
                <w:spacing w:val="-4"/>
                <w:sz w:val="20"/>
              </w:rPr>
              <w:t> </w:t>
            </w:r>
            <w:r>
              <w:rPr>
                <w:sz w:val="20"/>
              </w:rPr>
              <w:t>del</w:t>
            </w:r>
            <w:r>
              <w:rPr>
                <w:spacing w:val="-7"/>
                <w:sz w:val="20"/>
              </w:rPr>
              <w:t> </w:t>
            </w:r>
            <w:r>
              <w:rPr>
                <w:sz w:val="20"/>
              </w:rPr>
              <w:t>funcionario:</w:t>
            </w:r>
            <w:r>
              <w:rPr>
                <w:spacing w:val="-6"/>
                <w:sz w:val="20"/>
              </w:rPr>
              <w:t> </w:t>
            </w:r>
            <w:r>
              <w:rPr>
                <w:sz w:val="20"/>
              </w:rPr>
              <w:t>Maria</w:t>
            </w:r>
            <w:r>
              <w:rPr>
                <w:spacing w:val="-7"/>
                <w:sz w:val="20"/>
              </w:rPr>
              <w:t> </w:t>
            </w:r>
            <w:r>
              <w:rPr>
                <w:sz w:val="20"/>
              </w:rPr>
              <w:t>Damaris</w:t>
            </w:r>
            <w:r>
              <w:rPr>
                <w:spacing w:val="-5"/>
                <w:sz w:val="20"/>
              </w:rPr>
              <w:t> </w:t>
            </w:r>
            <w:r>
              <w:rPr>
                <w:sz w:val="20"/>
              </w:rPr>
              <w:t>Rojas,</w:t>
            </w:r>
            <w:r>
              <w:rPr>
                <w:spacing w:val="-6"/>
                <w:sz w:val="20"/>
              </w:rPr>
              <w:t> </w:t>
            </w:r>
            <w:r>
              <w:rPr>
                <w:sz w:val="20"/>
              </w:rPr>
              <w:t>Carlos</w:t>
            </w:r>
            <w:r>
              <w:rPr>
                <w:spacing w:val="-3"/>
                <w:sz w:val="20"/>
              </w:rPr>
              <w:t> </w:t>
            </w:r>
            <w:r>
              <w:rPr>
                <w:sz w:val="20"/>
              </w:rPr>
              <w:t>Alvarez</w:t>
            </w:r>
            <w:r>
              <w:rPr>
                <w:spacing w:val="-4"/>
                <w:sz w:val="20"/>
              </w:rPr>
              <w:t> </w:t>
            </w:r>
            <w:r>
              <w:rPr>
                <w:sz w:val="20"/>
              </w:rPr>
              <w:t>Gómez,</w:t>
            </w:r>
            <w:r>
              <w:rPr>
                <w:spacing w:val="-6"/>
                <w:sz w:val="20"/>
              </w:rPr>
              <w:t> </w:t>
            </w:r>
            <w:r>
              <w:rPr>
                <w:sz w:val="20"/>
              </w:rPr>
              <w:t>Claudio Chinchilla Castro</w:t>
            </w:r>
          </w:p>
          <w:p>
            <w:pPr>
              <w:pStyle w:val="TableParagraph"/>
              <w:spacing w:line="230" w:lineRule="exact"/>
              <w:ind w:left="70" w:right="133"/>
              <w:rPr>
                <w:sz w:val="20"/>
              </w:rPr>
            </w:pPr>
            <w:r>
              <w:rPr>
                <w:sz w:val="20"/>
              </w:rPr>
              <w:t>Cargo:</w:t>
            </w:r>
            <w:r>
              <w:rPr>
                <w:spacing w:val="-5"/>
                <w:sz w:val="20"/>
              </w:rPr>
              <w:t> </w:t>
            </w:r>
            <w:r>
              <w:rPr>
                <w:sz w:val="20"/>
              </w:rPr>
              <w:t>Jefatura</w:t>
            </w:r>
            <w:r>
              <w:rPr>
                <w:spacing w:val="-3"/>
                <w:sz w:val="20"/>
              </w:rPr>
              <w:t> </w:t>
            </w:r>
            <w:r>
              <w:rPr>
                <w:sz w:val="20"/>
              </w:rPr>
              <w:t>de</w:t>
            </w:r>
            <w:r>
              <w:rPr>
                <w:spacing w:val="-4"/>
                <w:sz w:val="20"/>
              </w:rPr>
              <w:t> </w:t>
            </w:r>
            <w:r>
              <w:rPr>
                <w:sz w:val="20"/>
              </w:rPr>
              <w:t>Ventas</w:t>
            </w:r>
            <w:r>
              <w:rPr>
                <w:spacing w:val="-2"/>
                <w:sz w:val="20"/>
              </w:rPr>
              <w:t> </w:t>
            </w:r>
            <w:r>
              <w:rPr>
                <w:sz w:val="20"/>
              </w:rPr>
              <w:t>y</w:t>
            </w:r>
            <w:r>
              <w:rPr>
                <w:spacing w:val="-4"/>
                <w:sz w:val="20"/>
              </w:rPr>
              <w:t> </w:t>
            </w:r>
            <w:r>
              <w:rPr>
                <w:sz w:val="20"/>
              </w:rPr>
              <w:t>Mercadeo,</w:t>
            </w:r>
            <w:r>
              <w:rPr>
                <w:spacing w:val="-5"/>
                <w:sz w:val="20"/>
              </w:rPr>
              <w:t> </w:t>
            </w:r>
            <w:r>
              <w:rPr>
                <w:sz w:val="20"/>
              </w:rPr>
              <w:t>Jefatura</w:t>
            </w:r>
            <w:r>
              <w:rPr>
                <w:spacing w:val="-5"/>
                <w:sz w:val="20"/>
              </w:rPr>
              <w:t> </w:t>
            </w:r>
            <w:r>
              <w:rPr>
                <w:sz w:val="20"/>
              </w:rPr>
              <w:t>de</w:t>
            </w:r>
            <w:r>
              <w:rPr>
                <w:spacing w:val="-5"/>
                <w:sz w:val="20"/>
              </w:rPr>
              <w:t> </w:t>
            </w:r>
            <w:r>
              <w:rPr>
                <w:sz w:val="20"/>
              </w:rPr>
              <w:t>Unidad</w:t>
            </w:r>
            <w:r>
              <w:rPr>
                <w:spacing w:val="-6"/>
                <w:sz w:val="20"/>
              </w:rPr>
              <w:t> </w:t>
            </w:r>
            <w:r>
              <w:rPr>
                <w:sz w:val="20"/>
              </w:rPr>
              <w:t>de</w:t>
            </w:r>
            <w:r>
              <w:rPr>
                <w:spacing w:val="-5"/>
                <w:sz w:val="20"/>
              </w:rPr>
              <w:t> </w:t>
            </w:r>
            <w:r>
              <w:rPr>
                <w:sz w:val="20"/>
              </w:rPr>
              <w:t>Coordinación Administrativa y Jefatura de la Unidad de Logística e Importaciones, </w:t>
            </w:r>
            <w:r>
              <w:rPr>
                <w:spacing w:val="-2"/>
                <w:sz w:val="20"/>
              </w:rPr>
              <w:t>respectivamente</w:t>
            </w:r>
          </w:p>
        </w:tc>
      </w:tr>
      <w:tr>
        <w:trPr>
          <w:trHeight w:val="1019" w:hRule="atLeast"/>
        </w:trPr>
        <w:tc>
          <w:tcPr>
            <w:tcW w:w="2976" w:type="dxa"/>
            <w:shd w:val="clear" w:color="auto" w:fill="DBE4F0"/>
          </w:tcPr>
          <w:p>
            <w:pPr>
              <w:pStyle w:val="TableParagraph"/>
              <w:spacing w:before="50"/>
              <w:rPr>
                <w:b/>
                <w:sz w:val="20"/>
              </w:rPr>
            </w:pPr>
          </w:p>
          <w:p>
            <w:pPr>
              <w:pStyle w:val="TableParagraph"/>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3" w:type="dxa"/>
          </w:tcPr>
          <w:p>
            <w:pPr>
              <w:pStyle w:val="TableParagraph"/>
              <w:spacing w:before="165"/>
              <w:rPr>
                <w:b/>
                <w:sz w:val="20"/>
              </w:rPr>
            </w:pPr>
          </w:p>
          <w:p>
            <w:pPr>
              <w:pStyle w:val="TableParagraph"/>
              <w:ind w:left="70"/>
              <w:rPr>
                <w:sz w:val="20"/>
              </w:rPr>
            </w:pPr>
            <w:r>
              <w:rPr>
                <w:sz w:val="20"/>
              </w:rPr>
              <w:t>Empresas</w:t>
            </w:r>
            <w:r>
              <w:rPr>
                <w:spacing w:val="-14"/>
                <w:sz w:val="20"/>
              </w:rPr>
              <w:t> </w:t>
            </w:r>
            <w:r>
              <w:rPr>
                <w:spacing w:val="-2"/>
                <w:sz w:val="20"/>
              </w:rPr>
              <w:t>Comerciales</w:t>
            </w:r>
          </w:p>
        </w:tc>
      </w:tr>
      <w:tr>
        <w:trPr>
          <w:trHeight w:val="510" w:hRule="atLeast"/>
        </w:trPr>
        <w:tc>
          <w:tcPr>
            <w:tcW w:w="2976" w:type="dxa"/>
            <w:shd w:val="clear" w:color="auto" w:fill="DBE4F0"/>
          </w:tcPr>
          <w:p>
            <w:pPr>
              <w:pStyle w:val="TableParagraph"/>
              <w:spacing w:before="138"/>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3" w:type="dxa"/>
          </w:tcPr>
          <w:p>
            <w:pPr>
              <w:pStyle w:val="TableParagraph"/>
              <w:spacing w:before="138"/>
              <w:ind w:left="70"/>
              <w:rPr>
                <w:sz w:val="20"/>
              </w:rPr>
            </w:pPr>
            <w:r>
              <w:rPr>
                <w:sz w:val="20"/>
              </w:rPr>
              <w:t>Informes</w:t>
            </w:r>
            <w:r>
              <w:rPr>
                <w:spacing w:val="-7"/>
                <w:sz w:val="20"/>
              </w:rPr>
              <w:t> </w:t>
            </w:r>
            <w:r>
              <w:rPr>
                <w:spacing w:val="-2"/>
                <w:sz w:val="20"/>
              </w:rPr>
              <w:t>trimestrales</w:t>
            </w:r>
          </w:p>
        </w:tc>
      </w:tr>
      <w:tr>
        <w:trPr>
          <w:trHeight w:val="508" w:hRule="atLeast"/>
        </w:trPr>
        <w:tc>
          <w:tcPr>
            <w:tcW w:w="2976" w:type="dxa"/>
            <w:shd w:val="clear" w:color="auto" w:fill="DBE4F0"/>
          </w:tcPr>
          <w:p>
            <w:pPr>
              <w:pStyle w:val="TableParagraph"/>
              <w:spacing w:before="138"/>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138"/>
              <w:ind w:left="70"/>
              <w:rPr>
                <w:sz w:val="20"/>
              </w:rPr>
            </w:pPr>
            <w:r>
              <w:rPr>
                <w:sz w:val="20"/>
              </w:rPr>
              <w:t>Ejecución</w:t>
            </w:r>
            <w:r>
              <w:rPr>
                <w:spacing w:val="-7"/>
                <w:sz w:val="20"/>
              </w:rPr>
              <w:t> </w:t>
            </w:r>
            <w:r>
              <w:rPr>
                <w:sz w:val="20"/>
              </w:rPr>
              <w:t>presupuestaria</w:t>
            </w:r>
            <w:r>
              <w:rPr>
                <w:spacing w:val="-9"/>
                <w:sz w:val="20"/>
              </w:rPr>
              <w:t> </w:t>
            </w:r>
            <w:r>
              <w:rPr>
                <w:sz w:val="20"/>
              </w:rPr>
              <w:t>de</w:t>
            </w:r>
            <w:r>
              <w:rPr>
                <w:spacing w:val="-8"/>
                <w:sz w:val="20"/>
              </w:rPr>
              <w:t> </w:t>
            </w:r>
            <w:r>
              <w:rPr>
                <w:sz w:val="20"/>
              </w:rPr>
              <w:t>las</w:t>
            </w:r>
            <w:r>
              <w:rPr>
                <w:spacing w:val="-6"/>
                <w:sz w:val="20"/>
              </w:rPr>
              <w:t> </w:t>
            </w:r>
            <w:r>
              <w:rPr>
                <w:sz w:val="20"/>
              </w:rPr>
              <w:t>partidas</w:t>
            </w:r>
            <w:r>
              <w:rPr>
                <w:spacing w:val="-8"/>
                <w:sz w:val="20"/>
              </w:rPr>
              <w:t> </w:t>
            </w:r>
            <w:r>
              <w:rPr>
                <w:sz w:val="20"/>
              </w:rPr>
              <w:t>de</w:t>
            </w:r>
            <w:r>
              <w:rPr>
                <w:spacing w:val="-9"/>
                <w:sz w:val="20"/>
              </w:rPr>
              <w:t> </w:t>
            </w:r>
            <w:r>
              <w:rPr>
                <w:spacing w:val="-2"/>
                <w:sz w:val="20"/>
              </w:rPr>
              <w:t>equipamiento</w:t>
            </w:r>
          </w:p>
        </w:tc>
      </w:tr>
      <w:tr>
        <w:trPr>
          <w:trHeight w:val="511" w:hRule="atLeast"/>
        </w:trPr>
        <w:tc>
          <w:tcPr>
            <w:tcW w:w="2976" w:type="dxa"/>
            <w:shd w:val="clear" w:color="auto" w:fill="DBE4F0"/>
          </w:tcPr>
          <w:p>
            <w:pPr>
              <w:pStyle w:val="TableParagraph"/>
              <w:spacing w:before="141"/>
              <w:ind w:left="67"/>
              <w:rPr>
                <w:b/>
                <w:sz w:val="20"/>
              </w:rPr>
            </w:pPr>
            <w:r>
              <w:rPr>
                <w:b/>
                <w:spacing w:val="-2"/>
                <w:sz w:val="20"/>
              </w:rPr>
              <w:t>Clasificación</w:t>
            </w:r>
          </w:p>
        </w:tc>
        <w:tc>
          <w:tcPr>
            <w:tcW w:w="7513" w:type="dxa"/>
          </w:tcPr>
          <w:p>
            <w:pPr>
              <w:pStyle w:val="TableParagraph"/>
              <w:spacing w:before="141"/>
              <w:ind w:left="70"/>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510" w:hRule="atLeast"/>
        </w:trPr>
        <w:tc>
          <w:tcPr>
            <w:tcW w:w="2976" w:type="dxa"/>
            <w:shd w:val="clear" w:color="auto" w:fill="DBE4F0"/>
          </w:tcPr>
          <w:p>
            <w:pPr>
              <w:pStyle w:val="TableParagraph"/>
              <w:spacing w:before="138"/>
              <w:ind w:left="67"/>
              <w:rPr>
                <w:b/>
                <w:sz w:val="20"/>
              </w:rPr>
            </w:pPr>
            <w:r>
              <w:rPr>
                <w:b/>
                <w:spacing w:val="-2"/>
                <w:sz w:val="20"/>
              </w:rPr>
              <w:t>Comentarios</w:t>
            </w:r>
            <w:r>
              <w:rPr>
                <w:b/>
                <w:spacing w:val="6"/>
                <w:sz w:val="20"/>
              </w:rPr>
              <w:t> </w:t>
            </w:r>
            <w:r>
              <w:rPr>
                <w:b/>
                <w:spacing w:val="-2"/>
                <w:sz w:val="20"/>
              </w:rPr>
              <w:t>Generales</w:t>
            </w:r>
          </w:p>
        </w:tc>
        <w:tc>
          <w:tcPr>
            <w:tcW w:w="7513" w:type="dxa"/>
          </w:tcPr>
          <w:p>
            <w:pPr>
              <w:pStyle w:val="TableParagraph"/>
              <w:spacing w:before="26"/>
              <w:ind w:left="70" w:right="133"/>
              <w:rPr>
                <w:sz w:val="20"/>
              </w:rPr>
            </w:pPr>
            <w:r>
              <w:rPr>
                <w:sz w:val="20"/>
              </w:rPr>
              <w:t>Mencionar</w:t>
            </w:r>
            <w:r>
              <w:rPr>
                <w:spacing w:val="-4"/>
                <w:sz w:val="20"/>
              </w:rPr>
              <w:t> </w:t>
            </w:r>
            <w:r>
              <w:rPr>
                <w:sz w:val="20"/>
              </w:rPr>
              <w:t>cualquier</w:t>
            </w:r>
            <w:r>
              <w:rPr>
                <w:spacing w:val="-4"/>
                <w:sz w:val="20"/>
              </w:rPr>
              <w:t> </w:t>
            </w:r>
            <w:r>
              <w:rPr>
                <w:sz w:val="20"/>
              </w:rPr>
              <w:t>observación</w:t>
            </w:r>
            <w:r>
              <w:rPr>
                <w:spacing w:val="-5"/>
                <w:sz w:val="20"/>
              </w:rPr>
              <w:t> </w:t>
            </w:r>
            <w:r>
              <w:rPr>
                <w:sz w:val="20"/>
              </w:rPr>
              <w:t>que</w:t>
            </w:r>
            <w:r>
              <w:rPr>
                <w:spacing w:val="-5"/>
                <w:sz w:val="20"/>
              </w:rPr>
              <w:t> </w:t>
            </w:r>
            <w:r>
              <w:rPr>
                <w:sz w:val="20"/>
              </w:rPr>
              <w:t>se</w:t>
            </w:r>
            <w:r>
              <w:rPr>
                <w:spacing w:val="-4"/>
                <w:sz w:val="20"/>
              </w:rPr>
              <w:t> </w:t>
            </w:r>
            <w:r>
              <w:rPr>
                <w:sz w:val="20"/>
              </w:rPr>
              <w:t>considere</w:t>
            </w:r>
            <w:r>
              <w:rPr>
                <w:spacing w:val="-4"/>
                <w:sz w:val="20"/>
              </w:rPr>
              <w:t> </w:t>
            </w:r>
            <w:r>
              <w:rPr>
                <w:sz w:val="20"/>
              </w:rPr>
              <w:t>necesaria</w:t>
            </w:r>
            <w:r>
              <w:rPr>
                <w:spacing w:val="-5"/>
                <w:sz w:val="20"/>
              </w:rPr>
              <w:t> </w:t>
            </w:r>
            <w:r>
              <w:rPr>
                <w:sz w:val="20"/>
              </w:rPr>
              <w:t>para</w:t>
            </w:r>
            <w:r>
              <w:rPr>
                <w:spacing w:val="-4"/>
                <w:sz w:val="20"/>
              </w:rPr>
              <w:t> </w:t>
            </w:r>
            <w:r>
              <w:rPr>
                <w:sz w:val="20"/>
              </w:rPr>
              <w:t>que</w:t>
            </w:r>
            <w:r>
              <w:rPr>
                <w:spacing w:val="-4"/>
                <w:sz w:val="20"/>
              </w:rPr>
              <w:t> </w:t>
            </w:r>
            <w:r>
              <w:rPr>
                <w:sz w:val="20"/>
              </w:rPr>
              <w:t>el</w:t>
            </w:r>
            <w:r>
              <w:rPr>
                <w:spacing w:val="-5"/>
                <w:sz w:val="20"/>
              </w:rPr>
              <w:t> </w:t>
            </w:r>
            <w:r>
              <w:rPr>
                <w:sz w:val="20"/>
              </w:rPr>
              <w:t>usuario obtenga una mejor comprensión del indicador</w:t>
            </w:r>
          </w:p>
        </w:tc>
      </w:tr>
    </w:tbl>
    <w:p>
      <w:pPr>
        <w:pStyle w:val="BodyText"/>
        <w:rPr>
          <w:b/>
          <w:sz w:val="20"/>
        </w:rPr>
      </w:pPr>
    </w:p>
    <w:p>
      <w:pPr>
        <w:pStyle w:val="BodyText"/>
        <w:spacing w:before="115"/>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899" w:hRule="atLeast"/>
        </w:trPr>
        <w:tc>
          <w:tcPr>
            <w:tcW w:w="2976" w:type="dxa"/>
            <w:shd w:val="clear" w:color="auto" w:fill="DBE4F0"/>
          </w:tcPr>
          <w:p>
            <w:pPr>
              <w:pStyle w:val="TableParagraph"/>
              <w:spacing w:before="105"/>
              <w:rPr>
                <w:b/>
                <w:sz w:val="20"/>
              </w:rPr>
            </w:pPr>
          </w:p>
          <w:p>
            <w:pPr>
              <w:pStyle w:val="TableParagraph"/>
              <w:ind w:left="67"/>
              <w:rPr>
                <w:b/>
                <w:sz w:val="20"/>
              </w:rPr>
            </w:pPr>
            <w:r>
              <w:rPr>
                <w:b/>
                <w:sz w:val="20"/>
              </w:rPr>
              <w:t>PEC</w:t>
            </w:r>
            <w:r>
              <w:rPr>
                <w:b/>
                <w:spacing w:val="-5"/>
                <w:sz w:val="20"/>
              </w:rPr>
              <w:t> </w:t>
            </w:r>
            <w:r>
              <w:rPr>
                <w:b/>
                <w:spacing w:val="-2"/>
                <w:sz w:val="20"/>
              </w:rPr>
              <w:t>3.4.4:</w:t>
            </w:r>
          </w:p>
        </w:tc>
        <w:tc>
          <w:tcPr>
            <w:tcW w:w="7513" w:type="dxa"/>
          </w:tcPr>
          <w:p>
            <w:pPr>
              <w:pStyle w:val="TableParagraph"/>
              <w:spacing w:before="220"/>
              <w:ind w:left="70" w:right="133"/>
              <w:rPr>
                <w:sz w:val="20"/>
              </w:rPr>
            </w:pPr>
            <w:r>
              <w:rPr>
                <w:sz w:val="20"/>
              </w:rPr>
              <w:t>Nombre</w:t>
            </w:r>
            <w:r>
              <w:rPr>
                <w:spacing w:val="-4"/>
                <w:sz w:val="20"/>
              </w:rPr>
              <w:t> </w:t>
            </w:r>
            <w:r>
              <w:rPr>
                <w:sz w:val="20"/>
              </w:rPr>
              <w:t>del</w:t>
            </w:r>
            <w:r>
              <w:rPr>
                <w:spacing w:val="-6"/>
                <w:sz w:val="20"/>
              </w:rPr>
              <w:t> </w:t>
            </w:r>
            <w:r>
              <w:rPr>
                <w:sz w:val="20"/>
              </w:rPr>
              <w:t>Indicador:</w:t>
            </w:r>
            <w:r>
              <w:rPr>
                <w:spacing w:val="-4"/>
                <w:sz w:val="20"/>
              </w:rPr>
              <w:t> </w:t>
            </w:r>
            <w:r>
              <w:rPr>
                <w:sz w:val="20"/>
              </w:rPr>
              <w:t>monto</w:t>
            </w:r>
            <w:r>
              <w:rPr>
                <w:spacing w:val="-6"/>
                <w:sz w:val="20"/>
              </w:rPr>
              <w:t> </w:t>
            </w:r>
            <w:r>
              <w:rPr>
                <w:sz w:val="20"/>
              </w:rPr>
              <w:t>de</w:t>
            </w:r>
            <w:r>
              <w:rPr>
                <w:spacing w:val="-4"/>
                <w:sz w:val="20"/>
              </w:rPr>
              <w:t> </w:t>
            </w:r>
            <w:r>
              <w:rPr>
                <w:sz w:val="20"/>
              </w:rPr>
              <w:t>colones</w:t>
            </w:r>
            <w:r>
              <w:rPr>
                <w:spacing w:val="-5"/>
                <w:sz w:val="20"/>
              </w:rPr>
              <w:t> </w:t>
            </w:r>
            <w:r>
              <w:rPr>
                <w:sz w:val="20"/>
              </w:rPr>
              <w:t>producto</w:t>
            </w:r>
            <w:r>
              <w:rPr>
                <w:spacing w:val="-4"/>
                <w:sz w:val="20"/>
              </w:rPr>
              <w:t> </w:t>
            </w:r>
            <w:r>
              <w:rPr>
                <w:sz w:val="20"/>
              </w:rPr>
              <w:t>de</w:t>
            </w:r>
            <w:r>
              <w:rPr>
                <w:spacing w:val="-5"/>
                <w:sz w:val="20"/>
              </w:rPr>
              <w:t> </w:t>
            </w:r>
            <w:r>
              <w:rPr>
                <w:sz w:val="20"/>
              </w:rPr>
              <w:t>las</w:t>
            </w:r>
            <w:r>
              <w:rPr>
                <w:spacing w:val="-5"/>
                <w:sz w:val="20"/>
              </w:rPr>
              <w:t> </w:t>
            </w:r>
            <w:r>
              <w:rPr>
                <w:sz w:val="20"/>
              </w:rPr>
              <w:t>Utilidades</w:t>
            </w:r>
            <w:r>
              <w:rPr>
                <w:spacing w:val="-3"/>
                <w:sz w:val="20"/>
              </w:rPr>
              <w:t> </w:t>
            </w:r>
            <w:r>
              <w:rPr>
                <w:sz w:val="20"/>
              </w:rPr>
              <w:t>Brutas</w:t>
            </w:r>
            <w:r>
              <w:rPr>
                <w:spacing w:val="-3"/>
                <w:sz w:val="20"/>
              </w:rPr>
              <w:t> </w:t>
            </w:r>
            <w:r>
              <w:rPr>
                <w:sz w:val="20"/>
              </w:rPr>
              <w:t>en</w:t>
            </w:r>
            <w:r>
              <w:rPr>
                <w:spacing w:val="-5"/>
                <w:sz w:val="20"/>
              </w:rPr>
              <w:t> </w:t>
            </w:r>
            <w:r>
              <w:rPr>
                <w:sz w:val="20"/>
              </w:rPr>
              <w:t>las tiendas libres de impuestos</w:t>
            </w:r>
          </w:p>
        </w:tc>
      </w:tr>
      <w:tr>
        <w:trPr>
          <w:trHeight w:val="316" w:hRule="atLeast"/>
        </w:trPr>
        <w:tc>
          <w:tcPr>
            <w:tcW w:w="2976" w:type="dxa"/>
            <w:shd w:val="clear" w:color="auto" w:fill="DBE4F0"/>
          </w:tcPr>
          <w:p>
            <w:pPr>
              <w:pStyle w:val="TableParagraph"/>
              <w:spacing w:before="42"/>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3" w:type="dxa"/>
          </w:tcPr>
          <w:p>
            <w:pPr>
              <w:pStyle w:val="TableParagraph"/>
              <w:spacing w:before="42"/>
              <w:ind w:left="70"/>
              <w:rPr>
                <w:sz w:val="20"/>
              </w:rPr>
            </w:pPr>
            <w:r>
              <w:rPr>
                <w:sz w:val="20"/>
              </w:rPr>
              <w:t>Ingreso</w:t>
            </w:r>
            <w:r>
              <w:rPr>
                <w:spacing w:val="-7"/>
                <w:sz w:val="20"/>
              </w:rPr>
              <w:t> </w:t>
            </w:r>
            <w:r>
              <w:rPr>
                <w:sz w:val="20"/>
              </w:rPr>
              <w:t>de</w:t>
            </w:r>
            <w:r>
              <w:rPr>
                <w:spacing w:val="-6"/>
                <w:sz w:val="20"/>
              </w:rPr>
              <w:t> </w:t>
            </w:r>
            <w:r>
              <w:rPr>
                <w:sz w:val="20"/>
              </w:rPr>
              <w:t>ventas</w:t>
            </w:r>
            <w:r>
              <w:rPr>
                <w:spacing w:val="-5"/>
                <w:sz w:val="20"/>
              </w:rPr>
              <w:t> </w:t>
            </w:r>
            <w:r>
              <w:rPr>
                <w:sz w:val="20"/>
              </w:rPr>
              <w:t>menos</w:t>
            </w:r>
            <w:r>
              <w:rPr>
                <w:spacing w:val="-5"/>
                <w:sz w:val="20"/>
              </w:rPr>
              <w:t> </w:t>
            </w:r>
            <w:r>
              <w:rPr>
                <w:sz w:val="20"/>
              </w:rPr>
              <w:t>costo</w:t>
            </w:r>
            <w:r>
              <w:rPr>
                <w:spacing w:val="-7"/>
                <w:sz w:val="20"/>
              </w:rPr>
              <w:t> </w:t>
            </w:r>
            <w:r>
              <w:rPr>
                <w:sz w:val="20"/>
              </w:rPr>
              <w:t>de</w:t>
            </w:r>
            <w:r>
              <w:rPr>
                <w:spacing w:val="-4"/>
                <w:sz w:val="20"/>
              </w:rPr>
              <w:t> </w:t>
            </w:r>
            <w:r>
              <w:rPr>
                <w:spacing w:val="-2"/>
                <w:sz w:val="20"/>
              </w:rPr>
              <w:t>ventas</w:t>
            </w:r>
          </w:p>
        </w:tc>
      </w:tr>
      <w:tr>
        <w:trPr>
          <w:trHeight w:val="313" w:hRule="atLeast"/>
        </w:trPr>
        <w:tc>
          <w:tcPr>
            <w:tcW w:w="2976" w:type="dxa"/>
            <w:shd w:val="clear" w:color="auto" w:fill="DBE4F0"/>
          </w:tcPr>
          <w:p>
            <w:pPr>
              <w:pStyle w:val="TableParagraph"/>
              <w:spacing w:before="40"/>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40"/>
              <w:ind w:left="70"/>
              <w:rPr>
                <w:sz w:val="20"/>
              </w:rPr>
            </w:pPr>
            <w:r>
              <w:rPr>
                <w:spacing w:val="-2"/>
                <w:sz w:val="20"/>
              </w:rPr>
              <w:t>Cantidad</w:t>
            </w:r>
          </w:p>
        </w:tc>
      </w:tr>
      <w:tr>
        <w:trPr>
          <w:trHeight w:val="828" w:hRule="atLeast"/>
        </w:trPr>
        <w:tc>
          <w:tcPr>
            <w:tcW w:w="2976" w:type="dxa"/>
            <w:shd w:val="clear" w:color="auto" w:fill="DBE4F0"/>
          </w:tcPr>
          <w:p>
            <w:pPr>
              <w:pStyle w:val="TableParagraph"/>
              <w:spacing w:before="69"/>
              <w:rPr>
                <w:b/>
                <w:sz w:val="20"/>
              </w:rPr>
            </w:pPr>
          </w:p>
          <w:p>
            <w:pPr>
              <w:pStyle w:val="TableParagraph"/>
              <w:ind w:left="67"/>
              <w:rPr>
                <w:b/>
                <w:sz w:val="20"/>
              </w:rPr>
            </w:pPr>
            <w:r>
              <w:rPr>
                <w:b/>
                <w:spacing w:val="-2"/>
                <w:sz w:val="20"/>
              </w:rPr>
              <w:t>Interpretación:</w:t>
            </w:r>
          </w:p>
        </w:tc>
        <w:tc>
          <w:tcPr>
            <w:tcW w:w="7513" w:type="dxa"/>
          </w:tcPr>
          <w:p>
            <w:pPr>
              <w:pStyle w:val="TableParagraph"/>
              <w:spacing w:before="184"/>
              <w:ind w:left="70"/>
              <w:rPr>
                <w:sz w:val="20"/>
              </w:rPr>
            </w:pPr>
            <w:r>
              <w:rPr>
                <w:sz w:val="20"/>
              </w:rPr>
              <w:t>Las</w:t>
            </w:r>
            <w:r>
              <w:rPr>
                <w:spacing w:val="-3"/>
                <w:sz w:val="20"/>
              </w:rPr>
              <w:t> </w:t>
            </w:r>
            <w:r>
              <w:rPr>
                <w:sz w:val="20"/>
              </w:rPr>
              <w:t>utilidades</w:t>
            </w:r>
            <w:r>
              <w:rPr>
                <w:spacing w:val="-3"/>
                <w:sz w:val="20"/>
              </w:rPr>
              <w:t> </w:t>
            </w:r>
            <w:r>
              <w:rPr>
                <w:sz w:val="20"/>
              </w:rPr>
              <w:t>son</w:t>
            </w:r>
            <w:r>
              <w:rPr>
                <w:spacing w:val="-5"/>
                <w:sz w:val="20"/>
              </w:rPr>
              <w:t> </w:t>
            </w:r>
            <w:r>
              <w:rPr>
                <w:sz w:val="20"/>
              </w:rPr>
              <w:t>reflejadas</w:t>
            </w:r>
            <w:r>
              <w:rPr>
                <w:spacing w:val="-3"/>
                <w:sz w:val="20"/>
              </w:rPr>
              <w:t> </w:t>
            </w:r>
            <w:r>
              <w:rPr>
                <w:sz w:val="20"/>
              </w:rPr>
              <w:t>en</w:t>
            </w:r>
            <w:r>
              <w:rPr>
                <w:spacing w:val="-5"/>
                <w:sz w:val="20"/>
              </w:rPr>
              <w:t> </w:t>
            </w:r>
            <w:r>
              <w:rPr>
                <w:sz w:val="20"/>
              </w:rPr>
              <w:t>el</w:t>
            </w:r>
            <w:r>
              <w:rPr>
                <w:spacing w:val="-5"/>
                <w:sz w:val="20"/>
              </w:rPr>
              <w:t> </w:t>
            </w:r>
            <w:r>
              <w:rPr>
                <w:sz w:val="20"/>
              </w:rPr>
              <w:t>estado</w:t>
            </w:r>
            <w:r>
              <w:rPr>
                <w:spacing w:val="-5"/>
                <w:sz w:val="20"/>
              </w:rPr>
              <w:t> </w:t>
            </w:r>
            <w:r>
              <w:rPr>
                <w:sz w:val="20"/>
              </w:rPr>
              <w:t>de</w:t>
            </w:r>
            <w:r>
              <w:rPr>
                <w:spacing w:val="-4"/>
                <w:sz w:val="20"/>
              </w:rPr>
              <w:t> </w:t>
            </w:r>
            <w:r>
              <w:rPr>
                <w:sz w:val="20"/>
              </w:rPr>
              <w:t>resultados,</w:t>
            </w:r>
            <w:r>
              <w:rPr>
                <w:spacing w:val="-4"/>
                <w:sz w:val="20"/>
              </w:rPr>
              <w:t> </w:t>
            </w:r>
            <w:r>
              <w:rPr>
                <w:sz w:val="20"/>
              </w:rPr>
              <w:t>el</w:t>
            </w:r>
            <w:r>
              <w:rPr>
                <w:spacing w:val="-5"/>
                <w:sz w:val="20"/>
              </w:rPr>
              <w:t> </w:t>
            </w:r>
            <w:r>
              <w:rPr>
                <w:sz w:val="20"/>
              </w:rPr>
              <w:t>cual</w:t>
            </w:r>
            <w:r>
              <w:rPr>
                <w:spacing w:val="-5"/>
                <w:sz w:val="20"/>
              </w:rPr>
              <w:t> </w:t>
            </w:r>
            <w:r>
              <w:rPr>
                <w:sz w:val="20"/>
              </w:rPr>
              <w:t>se</w:t>
            </w:r>
            <w:r>
              <w:rPr>
                <w:spacing w:val="-4"/>
                <w:sz w:val="20"/>
              </w:rPr>
              <w:t> </w:t>
            </w:r>
            <w:r>
              <w:rPr>
                <w:sz w:val="20"/>
              </w:rPr>
              <w:t>compone</w:t>
            </w:r>
            <w:r>
              <w:rPr>
                <w:spacing w:val="-3"/>
                <w:sz w:val="20"/>
              </w:rPr>
              <w:t> </w:t>
            </w:r>
            <w:r>
              <w:rPr>
                <w:sz w:val="20"/>
              </w:rPr>
              <w:t>de</w:t>
            </w:r>
            <w:r>
              <w:rPr>
                <w:spacing w:val="-3"/>
                <w:sz w:val="20"/>
              </w:rPr>
              <w:t> </w:t>
            </w:r>
            <w:r>
              <w:rPr>
                <w:sz w:val="20"/>
              </w:rPr>
              <w:t>los ingresos por ventas menos los costos de ventas</w:t>
            </w:r>
          </w:p>
        </w:tc>
      </w:tr>
    </w:tbl>
    <w:p>
      <w:pPr>
        <w:pStyle w:val="TableParagraph"/>
        <w:spacing w:after="0"/>
        <w:rPr>
          <w:sz w:val="20"/>
        </w:rPr>
        <w:sectPr>
          <w:pgSz w:w="12240" w:h="15840"/>
          <w:pgMar w:header="0" w:footer="2082" w:top="1680" w:bottom="3235"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1123" w:hRule="atLeast"/>
        </w:trPr>
        <w:tc>
          <w:tcPr>
            <w:tcW w:w="2976" w:type="dxa"/>
            <w:shd w:val="clear" w:color="auto" w:fill="DCE6F0"/>
          </w:tcPr>
          <w:p>
            <w:pPr>
              <w:pStyle w:val="TableParagraph"/>
              <w:spacing w:before="216"/>
              <w:rPr>
                <w:b/>
                <w:sz w:val="20"/>
              </w:rPr>
            </w:pPr>
          </w:p>
          <w:p>
            <w:pPr>
              <w:pStyle w:val="TableParagraph"/>
              <w:ind w:left="67"/>
              <w:rPr>
                <w:b/>
                <w:sz w:val="20"/>
              </w:rPr>
            </w:pPr>
            <w:r>
              <w:rPr>
                <w:b/>
                <w:spacing w:val="-2"/>
                <w:sz w:val="20"/>
              </w:rPr>
              <w:t>Desagregación</w:t>
            </w:r>
          </w:p>
        </w:tc>
        <w:tc>
          <w:tcPr>
            <w:tcW w:w="7513" w:type="dxa"/>
          </w:tcPr>
          <w:p>
            <w:pPr>
              <w:pStyle w:val="TableParagraph"/>
              <w:spacing w:before="101"/>
              <w:rPr>
                <w:b/>
                <w:sz w:val="20"/>
              </w:rPr>
            </w:pPr>
          </w:p>
          <w:p>
            <w:pPr>
              <w:pStyle w:val="TableParagraph"/>
              <w:ind w:left="70" w:right="133"/>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313" w:hRule="atLeast"/>
        </w:trPr>
        <w:tc>
          <w:tcPr>
            <w:tcW w:w="2976" w:type="dxa"/>
            <w:shd w:val="clear" w:color="auto" w:fill="DCE6F0"/>
          </w:tcPr>
          <w:p>
            <w:pPr>
              <w:pStyle w:val="TableParagraph"/>
              <w:spacing w:before="42"/>
              <w:ind w:left="67"/>
              <w:rPr>
                <w:b/>
                <w:sz w:val="20"/>
              </w:rPr>
            </w:pPr>
            <w:r>
              <w:rPr>
                <w:b/>
                <w:spacing w:val="-2"/>
                <w:sz w:val="20"/>
              </w:rPr>
              <w:t>Meta:</w:t>
            </w:r>
          </w:p>
        </w:tc>
        <w:tc>
          <w:tcPr>
            <w:tcW w:w="7513" w:type="dxa"/>
          </w:tcPr>
          <w:p>
            <w:pPr>
              <w:pStyle w:val="TableParagraph"/>
              <w:spacing w:line="211" w:lineRule="exact" w:before="83"/>
              <w:ind w:left="70"/>
              <w:rPr>
                <w:sz w:val="20"/>
              </w:rPr>
            </w:pPr>
            <w:r>
              <w:rPr>
                <w:sz w:val="20"/>
              </w:rPr>
              <w:t>₡7</w:t>
            </w:r>
            <w:r>
              <w:rPr>
                <w:spacing w:val="-5"/>
                <w:sz w:val="20"/>
              </w:rPr>
              <w:t> </w:t>
            </w:r>
            <w:r>
              <w:rPr>
                <w:sz w:val="20"/>
              </w:rPr>
              <w:t>846</w:t>
            </w:r>
            <w:r>
              <w:rPr>
                <w:spacing w:val="-4"/>
                <w:sz w:val="20"/>
              </w:rPr>
              <w:t> </w:t>
            </w:r>
            <w:r>
              <w:rPr>
                <w:sz w:val="20"/>
              </w:rPr>
              <w:t>850</w:t>
            </w:r>
            <w:r>
              <w:rPr>
                <w:spacing w:val="-4"/>
                <w:sz w:val="20"/>
              </w:rPr>
              <w:t> </w:t>
            </w:r>
            <w:r>
              <w:rPr>
                <w:spacing w:val="-2"/>
                <w:sz w:val="20"/>
              </w:rPr>
              <w:t>992,78</w:t>
            </w:r>
          </w:p>
        </w:tc>
      </w:tr>
      <w:tr>
        <w:trPr>
          <w:trHeight w:val="316" w:hRule="atLeast"/>
        </w:trPr>
        <w:tc>
          <w:tcPr>
            <w:tcW w:w="2976" w:type="dxa"/>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7513" w:type="dxa"/>
          </w:tcPr>
          <w:p>
            <w:pPr>
              <w:pStyle w:val="TableParagraph"/>
              <w:spacing w:before="42"/>
              <w:ind w:left="70"/>
              <w:rPr>
                <w:sz w:val="20"/>
              </w:rPr>
            </w:pPr>
            <w:r>
              <w:rPr>
                <w:spacing w:val="-2"/>
                <w:sz w:val="20"/>
              </w:rPr>
              <w:t>₡7,822,570,155</w:t>
            </w:r>
          </w:p>
        </w:tc>
      </w:tr>
      <w:tr>
        <w:trPr>
          <w:trHeight w:val="460" w:hRule="atLeast"/>
        </w:trPr>
        <w:tc>
          <w:tcPr>
            <w:tcW w:w="2976" w:type="dxa"/>
            <w:shd w:val="clear" w:color="auto" w:fill="DCE6F0"/>
          </w:tcPr>
          <w:p>
            <w:pPr>
              <w:pStyle w:val="TableParagraph"/>
              <w:spacing w:line="230" w:lineRule="exact"/>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114"/>
              <w:ind w:left="70"/>
              <w:rPr>
                <w:sz w:val="20"/>
              </w:rPr>
            </w:pPr>
            <w:r>
              <w:rPr>
                <w:spacing w:val="-2"/>
                <w:sz w:val="20"/>
              </w:rPr>
              <w:t>trimestral</w:t>
            </w:r>
          </w:p>
        </w:tc>
      </w:tr>
      <w:tr>
        <w:trPr>
          <w:trHeight w:val="942" w:hRule="atLeast"/>
        </w:trPr>
        <w:tc>
          <w:tcPr>
            <w:tcW w:w="2976" w:type="dxa"/>
            <w:shd w:val="clear" w:color="auto" w:fill="DCE6F0"/>
          </w:tcPr>
          <w:p>
            <w:pPr>
              <w:pStyle w:val="TableParagraph"/>
              <w:spacing w:before="11"/>
              <w:rPr>
                <w:b/>
                <w:sz w:val="20"/>
              </w:rPr>
            </w:pPr>
          </w:p>
          <w:p>
            <w:pPr>
              <w:pStyle w:val="TableParagraph"/>
              <w:spacing w:before="1"/>
              <w:ind w:left="67" w:right="514"/>
              <w:rPr>
                <w:b/>
                <w:sz w:val="20"/>
              </w:rPr>
            </w:pPr>
            <w:r>
              <w:rPr>
                <w:b/>
                <w:sz w:val="20"/>
              </w:rPr>
              <w:t>Responsable de la recopilación</w:t>
            </w:r>
            <w:r>
              <w:rPr>
                <w:b/>
                <w:spacing w:val="-14"/>
                <w:sz w:val="20"/>
              </w:rPr>
              <w:t> </w:t>
            </w:r>
            <w:r>
              <w:rPr>
                <w:b/>
                <w:sz w:val="20"/>
              </w:rPr>
              <w:t>información</w:t>
            </w:r>
          </w:p>
        </w:tc>
        <w:tc>
          <w:tcPr>
            <w:tcW w:w="7513" w:type="dxa"/>
          </w:tcPr>
          <w:p>
            <w:pPr>
              <w:pStyle w:val="TableParagraph"/>
              <w:spacing w:before="11"/>
              <w:rPr>
                <w:b/>
                <w:sz w:val="20"/>
              </w:rPr>
            </w:pPr>
          </w:p>
          <w:p>
            <w:pPr>
              <w:pStyle w:val="TableParagraph"/>
              <w:spacing w:before="1"/>
              <w:ind w:left="70" w:right="2673"/>
              <w:rPr>
                <w:sz w:val="20"/>
              </w:rPr>
            </w:pPr>
            <w:r>
              <w:rPr>
                <w:sz w:val="20"/>
              </w:rPr>
              <w:t>Nombre del funcionario: Carlos Alvarez Gómez Cargo:</w:t>
            </w:r>
            <w:r>
              <w:rPr>
                <w:spacing w:val="-9"/>
                <w:sz w:val="20"/>
              </w:rPr>
              <w:t> </w:t>
            </w:r>
            <w:r>
              <w:rPr>
                <w:sz w:val="20"/>
              </w:rPr>
              <w:t>jefe</w:t>
            </w:r>
            <w:r>
              <w:rPr>
                <w:spacing w:val="-9"/>
                <w:sz w:val="20"/>
              </w:rPr>
              <w:t> </w:t>
            </w:r>
            <w:r>
              <w:rPr>
                <w:sz w:val="20"/>
              </w:rPr>
              <w:t>Unidad</w:t>
            </w:r>
            <w:r>
              <w:rPr>
                <w:spacing w:val="-10"/>
                <w:sz w:val="20"/>
              </w:rPr>
              <w:t> </w:t>
            </w:r>
            <w:r>
              <w:rPr>
                <w:sz w:val="20"/>
              </w:rPr>
              <w:t>de</w:t>
            </w:r>
            <w:r>
              <w:rPr>
                <w:spacing w:val="-9"/>
                <w:sz w:val="20"/>
              </w:rPr>
              <w:t> </w:t>
            </w:r>
            <w:r>
              <w:rPr>
                <w:sz w:val="20"/>
              </w:rPr>
              <w:t>Coordinación</w:t>
            </w:r>
            <w:r>
              <w:rPr>
                <w:spacing w:val="-7"/>
                <w:sz w:val="20"/>
              </w:rPr>
              <w:t> </w:t>
            </w:r>
            <w:r>
              <w:rPr>
                <w:sz w:val="20"/>
              </w:rPr>
              <w:t>Administrativa</w:t>
            </w:r>
          </w:p>
        </w:tc>
      </w:tr>
      <w:tr>
        <w:trPr>
          <w:trHeight w:val="1262" w:hRule="atLeast"/>
        </w:trPr>
        <w:tc>
          <w:tcPr>
            <w:tcW w:w="2976" w:type="dxa"/>
            <w:shd w:val="clear" w:color="auto" w:fill="DCE6F0"/>
          </w:tcPr>
          <w:p>
            <w:pPr>
              <w:pStyle w:val="TableParagraph"/>
              <w:spacing w:before="170"/>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3" w:type="dxa"/>
          </w:tcPr>
          <w:p>
            <w:pPr>
              <w:pStyle w:val="TableParagraph"/>
              <w:rPr>
                <w:b/>
                <w:sz w:val="20"/>
              </w:rPr>
            </w:pPr>
          </w:p>
          <w:p>
            <w:pPr>
              <w:pStyle w:val="TableParagraph"/>
              <w:spacing w:before="56"/>
              <w:rPr>
                <w:b/>
                <w:sz w:val="20"/>
              </w:rPr>
            </w:pPr>
          </w:p>
          <w:p>
            <w:pPr>
              <w:pStyle w:val="TableParagraph"/>
              <w:ind w:left="70"/>
              <w:rPr>
                <w:sz w:val="20"/>
              </w:rPr>
            </w:pPr>
            <w:r>
              <w:rPr>
                <w:sz w:val="20"/>
              </w:rPr>
              <w:t>Empresas</w:t>
            </w:r>
            <w:r>
              <w:rPr>
                <w:spacing w:val="-14"/>
                <w:sz w:val="20"/>
              </w:rPr>
              <w:t> </w:t>
            </w:r>
            <w:r>
              <w:rPr>
                <w:spacing w:val="-2"/>
                <w:sz w:val="20"/>
              </w:rPr>
              <w:t>Comerciales</w:t>
            </w:r>
          </w:p>
        </w:tc>
      </w:tr>
      <w:tr>
        <w:trPr>
          <w:trHeight w:val="628" w:hRule="atLeast"/>
        </w:trPr>
        <w:tc>
          <w:tcPr>
            <w:tcW w:w="2976" w:type="dxa"/>
            <w:shd w:val="clear" w:color="auto" w:fill="DCE6F0"/>
          </w:tcPr>
          <w:p>
            <w:pPr>
              <w:pStyle w:val="TableParagraph"/>
              <w:spacing w:before="198"/>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3" w:type="dxa"/>
          </w:tcPr>
          <w:p>
            <w:pPr>
              <w:pStyle w:val="TableParagraph"/>
              <w:spacing w:before="198"/>
              <w:ind w:left="70"/>
              <w:rPr>
                <w:sz w:val="20"/>
              </w:rPr>
            </w:pPr>
            <w:r>
              <w:rPr>
                <w:sz w:val="20"/>
              </w:rPr>
              <w:t>Estados</w:t>
            </w:r>
            <w:r>
              <w:rPr>
                <w:spacing w:val="-5"/>
                <w:sz w:val="20"/>
              </w:rPr>
              <w:t> </w:t>
            </w:r>
            <w:r>
              <w:rPr>
                <w:sz w:val="20"/>
              </w:rPr>
              <w:t>de</w:t>
            </w:r>
            <w:r>
              <w:rPr>
                <w:spacing w:val="-7"/>
                <w:sz w:val="20"/>
              </w:rPr>
              <w:t> </w:t>
            </w:r>
            <w:r>
              <w:rPr>
                <w:sz w:val="20"/>
              </w:rPr>
              <w:t>resultados</w:t>
            </w:r>
            <w:r>
              <w:rPr>
                <w:spacing w:val="-6"/>
                <w:sz w:val="20"/>
              </w:rPr>
              <w:t> </w:t>
            </w:r>
            <w:r>
              <w:rPr>
                <w:sz w:val="20"/>
              </w:rPr>
              <w:t>al</w:t>
            </w:r>
            <w:r>
              <w:rPr>
                <w:spacing w:val="-8"/>
                <w:sz w:val="20"/>
              </w:rPr>
              <w:t> </w:t>
            </w:r>
            <w:r>
              <w:rPr>
                <w:sz w:val="20"/>
              </w:rPr>
              <w:t>31</w:t>
            </w:r>
            <w:r>
              <w:rPr>
                <w:spacing w:val="-7"/>
                <w:sz w:val="20"/>
              </w:rPr>
              <w:t> </w:t>
            </w:r>
            <w:r>
              <w:rPr>
                <w:sz w:val="20"/>
              </w:rPr>
              <w:t>de</w:t>
            </w:r>
            <w:r>
              <w:rPr>
                <w:spacing w:val="-5"/>
                <w:sz w:val="20"/>
              </w:rPr>
              <w:t> </w:t>
            </w:r>
            <w:r>
              <w:rPr>
                <w:sz w:val="20"/>
              </w:rPr>
              <w:t>diciembre</w:t>
            </w:r>
            <w:r>
              <w:rPr>
                <w:spacing w:val="-7"/>
                <w:sz w:val="20"/>
              </w:rPr>
              <w:t> </w:t>
            </w:r>
            <w:r>
              <w:rPr>
                <w:spacing w:val="-4"/>
                <w:sz w:val="20"/>
              </w:rPr>
              <w:t>2027</w:t>
            </w:r>
          </w:p>
        </w:tc>
      </w:tr>
      <w:tr>
        <w:trPr>
          <w:trHeight w:val="630" w:hRule="atLeast"/>
        </w:trPr>
        <w:tc>
          <w:tcPr>
            <w:tcW w:w="2976" w:type="dxa"/>
            <w:shd w:val="clear" w:color="auto" w:fill="DCE6F0"/>
          </w:tcPr>
          <w:p>
            <w:pPr>
              <w:pStyle w:val="TableParagraph"/>
              <w:spacing w:before="201"/>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201"/>
              <w:ind w:left="70"/>
              <w:rPr>
                <w:sz w:val="20"/>
              </w:rPr>
            </w:pPr>
            <w:r>
              <w:rPr>
                <w:sz w:val="20"/>
              </w:rPr>
              <w:t>Estados</w:t>
            </w:r>
            <w:r>
              <w:rPr>
                <w:spacing w:val="-11"/>
                <w:sz w:val="20"/>
              </w:rPr>
              <w:t> </w:t>
            </w:r>
            <w:r>
              <w:rPr>
                <w:spacing w:val="-2"/>
                <w:sz w:val="20"/>
              </w:rPr>
              <w:t>Financieros</w:t>
            </w:r>
          </w:p>
        </w:tc>
      </w:tr>
      <w:tr>
        <w:trPr>
          <w:trHeight w:val="630" w:hRule="atLeast"/>
        </w:trPr>
        <w:tc>
          <w:tcPr>
            <w:tcW w:w="2976" w:type="dxa"/>
            <w:shd w:val="clear" w:color="auto" w:fill="DCE6F0"/>
          </w:tcPr>
          <w:p>
            <w:pPr>
              <w:pStyle w:val="TableParagraph"/>
              <w:spacing w:before="198"/>
              <w:ind w:left="67"/>
              <w:rPr>
                <w:b/>
                <w:sz w:val="20"/>
              </w:rPr>
            </w:pPr>
            <w:r>
              <w:rPr>
                <w:b/>
                <w:spacing w:val="-2"/>
                <w:sz w:val="20"/>
              </w:rPr>
              <w:t>Clasificación</w:t>
            </w:r>
          </w:p>
        </w:tc>
        <w:tc>
          <w:tcPr>
            <w:tcW w:w="7513" w:type="dxa"/>
          </w:tcPr>
          <w:p>
            <w:pPr>
              <w:pStyle w:val="TableParagraph"/>
              <w:spacing w:before="198"/>
              <w:ind w:left="70"/>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900" w:hRule="atLeast"/>
        </w:trPr>
        <w:tc>
          <w:tcPr>
            <w:tcW w:w="2976" w:type="dxa"/>
            <w:shd w:val="clear" w:color="auto" w:fill="DCE6F0"/>
          </w:tcPr>
          <w:p>
            <w:pPr>
              <w:pStyle w:val="TableParagraph"/>
              <w:spacing w:before="103"/>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3" w:type="dxa"/>
          </w:tcPr>
          <w:p>
            <w:pPr>
              <w:pStyle w:val="TableParagraph"/>
              <w:spacing w:before="218"/>
              <w:ind w:left="70" w:right="133"/>
              <w:rPr>
                <w:sz w:val="20"/>
              </w:rPr>
            </w:pPr>
            <w:r>
              <w:rPr>
                <w:sz w:val="20"/>
              </w:rPr>
              <w:t>Mencionar</w:t>
            </w:r>
            <w:r>
              <w:rPr>
                <w:spacing w:val="-4"/>
                <w:sz w:val="20"/>
              </w:rPr>
              <w:t> </w:t>
            </w:r>
            <w:r>
              <w:rPr>
                <w:sz w:val="20"/>
              </w:rPr>
              <w:t>cualquier</w:t>
            </w:r>
            <w:r>
              <w:rPr>
                <w:spacing w:val="-4"/>
                <w:sz w:val="20"/>
              </w:rPr>
              <w:t> </w:t>
            </w:r>
            <w:r>
              <w:rPr>
                <w:sz w:val="20"/>
              </w:rPr>
              <w:t>observación</w:t>
            </w:r>
            <w:r>
              <w:rPr>
                <w:spacing w:val="-5"/>
                <w:sz w:val="20"/>
              </w:rPr>
              <w:t> </w:t>
            </w:r>
            <w:r>
              <w:rPr>
                <w:sz w:val="20"/>
              </w:rPr>
              <w:t>que</w:t>
            </w:r>
            <w:r>
              <w:rPr>
                <w:spacing w:val="-5"/>
                <w:sz w:val="20"/>
              </w:rPr>
              <w:t> </w:t>
            </w:r>
            <w:r>
              <w:rPr>
                <w:sz w:val="20"/>
              </w:rPr>
              <w:t>se</w:t>
            </w:r>
            <w:r>
              <w:rPr>
                <w:spacing w:val="-4"/>
                <w:sz w:val="20"/>
              </w:rPr>
              <w:t> </w:t>
            </w:r>
            <w:r>
              <w:rPr>
                <w:sz w:val="20"/>
              </w:rPr>
              <w:t>considere</w:t>
            </w:r>
            <w:r>
              <w:rPr>
                <w:spacing w:val="-4"/>
                <w:sz w:val="20"/>
              </w:rPr>
              <w:t> </w:t>
            </w:r>
            <w:r>
              <w:rPr>
                <w:sz w:val="20"/>
              </w:rPr>
              <w:t>necesaria</w:t>
            </w:r>
            <w:r>
              <w:rPr>
                <w:spacing w:val="-5"/>
                <w:sz w:val="20"/>
              </w:rPr>
              <w:t> </w:t>
            </w:r>
            <w:r>
              <w:rPr>
                <w:sz w:val="20"/>
              </w:rPr>
              <w:t>para</w:t>
            </w:r>
            <w:r>
              <w:rPr>
                <w:spacing w:val="-4"/>
                <w:sz w:val="20"/>
              </w:rPr>
              <w:t> </w:t>
            </w:r>
            <w:r>
              <w:rPr>
                <w:sz w:val="20"/>
              </w:rPr>
              <w:t>que</w:t>
            </w:r>
            <w:r>
              <w:rPr>
                <w:spacing w:val="-4"/>
                <w:sz w:val="20"/>
              </w:rPr>
              <w:t> </w:t>
            </w:r>
            <w:r>
              <w:rPr>
                <w:sz w:val="20"/>
              </w:rPr>
              <w:t>el</w:t>
            </w:r>
            <w:r>
              <w:rPr>
                <w:spacing w:val="-5"/>
                <w:sz w:val="20"/>
              </w:rPr>
              <w:t> </w:t>
            </w:r>
            <w:r>
              <w:rPr>
                <w:sz w:val="20"/>
              </w:rPr>
              <w:t>usuario obtenga una mejor comprensión del indicador</w:t>
            </w:r>
          </w:p>
        </w:tc>
      </w:tr>
    </w:tbl>
    <w:p>
      <w:pPr>
        <w:pStyle w:val="BodyText"/>
        <w:spacing w:before="69"/>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599" w:hRule="atLeast"/>
        </w:trPr>
        <w:tc>
          <w:tcPr>
            <w:tcW w:w="2976" w:type="dxa"/>
            <w:shd w:val="clear" w:color="auto" w:fill="DCE6F0"/>
          </w:tcPr>
          <w:p>
            <w:pPr>
              <w:pStyle w:val="TableParagraph"/>
              <w:spacing w:before="184"/>
              <w:ind w:left="67"/>
              <w:rPr>
                <w:b/>
                <w:sz w:val="20"/>
              </w:rPr>
            </w:pPr>
            <w:r>
              <w:rPr>
                <w:b/>
                <w:sz w:val="20"/>
              </w:rPr>
              <w:t>PEC</w:t>
            </w:r>
            <w:r>
              <w:rPr>
                <w:b/>
                <w:spacing w:val="-5"/>
                <w:sz w:val="20"/>
              </w:rPr>
              <w:t> </w:t>
            </w:r>
            <w:r>
              <w:rPr>
                <w:b/>
                <w:spacing w:val="-2"/>
                <w:sz w:val="20"/>
              </w:rPr>
              <w:t>3.4.5:</w:t>
            </w:r>
          </w:p>
        </w:tc>
        <w:tc>
          <w:tcPr>
            <w:tcW w:w="7513" w:type="dxa"/>
          </w:tcPr>
          <w:p>
            <w:pPr>
              <w:pStyle w:val="TableParagraph"/>
              <w:spacing w:before="69"/>
              <w:ind w:left="70" w:right="133"/>
              <w:rPr>
                <w:sz w:val="20"/>
              </w:rPr>
            </w:pPr>
            <w:r>
              <w:rPr>
                <w:sz w:val="20"/>
              </w:rPr>
              <w:t>Nombre</w:t>
            </w:r>
            <w:r>
              <w:rPr>
                <w:spacing w:val="-4"/>
                <w:sz w:val="20"/>
              </w:rPr>
              <w:t> </w:t>
            </w:r>
            <w:r>
              <w:rPr>
                <w:sz w:val="20"/>
              </w:rPr>
              <w:t>del</w:t>
            </w:r>
            <w:r>
              <w:rPr>
                <w:spacing w:val="-7"/>
                <w:sz w:val="20"/>
              </w:rPr>
              <w:t> </w:t>
            </w:r>
            <w:r>
              <w:rPr>
                <w:sz w:val="20"/>
              </w:rPr>
              <w:t>Indicador:</w:t>
            </w:r>
            <w:r>
              <w:rPr>
                <w:spacing w:val="-4"/>
                <w:sz w:val="20"/>
              </w:rPr>
              <w:t> </w:t>
            </w:r>
            <w:r>
              <w:rPr>
                <w:sz w:val="20"/>
              </w:rPr>
              <w:t>Monto</w:t>
            </w:r>
            <w:r>
              <w:rPr>
                <w:spacing w:val="-7"/>
                <w:sz w:val="20"/>
              </w:rPr>
              <w:t> </w:t>
            </w:r>
            <w:r>
              <w:rPr>
                <w:sz w:val="20"/>
              </w:rPr>
              <w:t>de</w:t>
            </w:r>
            <w:r>
              <w:rPr>
                <w:spacing w:val="-4"/>
                <w:sz w:val="20"/>
              </w:rPr>
              <w:t> </w:t>
            </w:r>
            <w:r>
              <w:rPr>
                <w:sz w:val="20"/>
              </w:rPr>
              <w:t>colones</w:t>
            </w:r>
            <w:r>
              <w:rPr>
                <w:spacing w:val="-5"/>
                <w:sz w:val="20"/>
              </w:rPr>
              <w:t> </w:t>
            </w:r>
            <w:r>
              <w:rPr>
                <w:sz w:val="20"/>
              </w:rPr>
              <w:t>producto</w:t>
            </w:r>
            <w:r>
              <w:rPr>
                <w:spacing w:val="-4"/>
                <w:sz w:val="20"/>
              </w:rPr>
              <w:t> </w:t>
            </w:r>
            <w:r>
              <w:rPr>
                <w:sz w:val="20"/>
              </w:rPr>
              <w:t>de</w:t>
            </w:r>
            <w:r>
              <w:rPr>
                <w:spacing w:val="-5"/>
                <w:sz w:val="20"/>
              </w:rPr>
              <w:t> </w:t>
            </w:r>
            <w:r>
              <w:rPr>
                <w:sz w:val="20"/>
              </w:rPr>
              <w:t>las</w:t>
            </w:r>
            <w:r>
              <w:rPr>
                <w:spacing w:val="-5"/>
                <w:sz w:val="20"/>
              </w:rPr>
              <w:t> </w:t>
            </w:r>
            <w:r>
              <w:rPr>
                <w:sz w:val="20"/>
              </w:rPr>
              <w:t>Utilidades</w:t>
            </w:r>
            <w:r>
              <w:rPr>
                <w:spacing w:val="-3"/>
                <w:sz w:val="20"/>
              </w:rPr>
              <w:t> </w:t>
            </w:r>
            <w:r>
              <w:rPr>
                <w:sz w:val="20"/>
              </w:rPr>
              <w:t>netas</w:t>
            </w:r>
            <w:r>
              <w:rPr>
                <w:spacing w:val="-3"/>
                <w:sz w:val="20"/>
              </w:rPr>
              <w:t> </w:t>
            </w:r>
            <w:r>
              <w:rPr>
                <w:sz w:val="20"/>
              </w:rPr>
              <w:t>en</w:t>
            </w:r>
            <w:r>
              <w:rPr>
                <w:spacing w:val="-5"/>
                <w:sz w:val="20"/>
              </w:rPr>
              <w:t> </w:t>
            </w:r>
            <w:r>
              <w:rPr>
                <w:sz w:val="20"/>
              </w:rPr>
              <w:t>las tiendas libres de impuestos</w:t>
            </w:r>
          </w:p>
        </w:tc>
      </w:tr>
      <w:tr>
        <w:trPr>
          <w:trHeight w:val="316" w:hRule="atLeast"/>
        </w:trPr>
        <w:tc>
          <w:tcPr>
            <w:tcW w:w="2976" w:type="dxa"/>
            <w:shd w:val="clear" w:color="auto" w:fill="DCE6F0"/>
          </w:tcPr>
          <w:p>
            <w:pPr>
              <w:pStyle w:val="TableParagraph"/>
              <w:spacing w:before="42"/>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3" w:type="dxa"/>
          </w:tcPr>
          <w:p>
            <w:pPr>
              <w:pStyle w:val="TableParagraph"/>
              <w:spacing w:before="42"/>
              <w:ind w:left="70"/>
              <w:rPr>
                <w:sz w:val="20"/>
              </w:rPr>
            </w:pPr>
            <w:r>
              <w:rPr>
                <w:sz w:val="20"/>
              </w:rPr>
              <w:t>Utilidad</w:t>
            </w:r>
            <w:r>
              <w:rPr>
                <w:spacing w:val="-9"/>
                <w:sz w:val="20"/>
              </w:rPr>
              <w:t> </w:t>
            </w:r>
            <w:r>
              <w:rPr>
                <w:sz w:val="20"/>
              </w:rPr>
              <w:t>neta:</w:t>
            </w:r>
            <w:r>
              <w:rPr>
                <w:spacing w:val="-6"/>
                <w:sz w:val="20"/>
              </w:rPr>
              <w:t> </w:t>
            </w:r>
            <w:r>
              <w:rPr>
                <w:sz w:val="20"/>
              </w:rPr>
              <w:t>Ingresos</w:t>
            </w:r>
            <w:r>
              <w:rPr>
                <w:spacing w:val="-6"/>
                <w:sz w:val="20"/>
              </w:rPr>
              <w:t> </w:t>
            </w:r>
            <w:r>
              <w:rPr>
                <w:sz w:val="20"/>
              </w:rPr>
              <w:t>totales-</w:t>
            </w:r>
            <w:r>
              <w:rPr>
                <w:spacing w:val="-7"/>
                <w:sz w:val="20"/>
              </w:rPr>
              <w:t> </w:t>
            </w:r>
            <w:r>
              <w:rPr>
                <w:sz w:val="20"/>
              </w:rPr>
              <w:t>total</w:t>
            </w:r>
            <w:r>
              <w:rPr>
                <w:spacing w:val="-6"/>
                <w:sz w:val="20"/>
              </w:rPr>
              <w:t> </w:t>
            </w:r>
            <w:r>
              <w:rPr>
                <w:sz w:val="20"/>
              </w:rPr>
              <w:t>de</w:t>
            </w:r>
            <w:r>
              <w:rPr>
                <w:spacing w:val="-7"/>
                <w:sz w:val="20"/>
              </w:rPr>
              <w:t> </w:t>
            </w:r>
            <w:r>
              <w:rPr>
                <w:spacing w:val="-2"/>
                <w:sz w:val="20"/>
              </w:rPr>
              <w:t>gastos</w:t>
            </w:r>
          </w:p>
        </w:tc>
      </w:tr>
      <w:tr>
        <w:trPr>
          <w:trHeight w:val="313" w:hRule="atLeast"/>
        </w:trPr>
        <w:tc>
          <w:tcPr>
            <w:tcW w:w="2976" w:type="dxa"/>
            <w:shd w:val="clear" w:color="auto" w:fill="DCE6F0"/>
          </w:tcPr>
          <w:p>
            <w:pPr>
              <w:pStyle w:val="TableParagraph"/>
              <w:spacing w:before="40"/>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40"/>
              <w:ind w:left="70"/>
              <w:rPr>
                <w:sz w:val="20"/>
              </w:rPr>
            </w:pPr>
            <w:r>
              <w:rPr>
                <w:spacing w:val="-2"/>
                <w:sz w:val="20"/>
              </w:rPr>
              <w:t>Cantidad</w:t>
            </w:r>
          </w:p>
        </w:tc>
      </w:tr>
      <w:tr>
        <w:trPr>
          <w:trHeight w:val="899" w:hRule="atLeast"/>
        </w:trPr>
        <w:tc>
          <w:tcPr>
            <w:tcW w:w="2976" w:type="dxa"/>
            <w:shd w:val="clear" w:color="auto" w:fill="DCE6F0"/>
          </w:tcPr>
          <w:p>
            <w:pPr>
              <w:pStyle w:val="TableParagraph"/>
              <w:spacing w:before="105"/>
              <w:rPr>
                <w:b/>
                <w:sz w:val="20"/>
              </w:rPr>
            </w:pPr>
          </w:p>
          <w:p>
            <w:pPr>
              <w:pStyle w:val="TableParagraph"/>
              <w:ind w:left="67"/>
              <w:rPr>
                <w:b/>
                <w:sz w:val="20"/>
              </w:rPr>
            </w:pPr>
            <w:r>
              <w:rPr>
                <w:b/>
                <w:spacing w:val="-2"/>
                <w:sz w:val="20"/>
              </w:rPr>
              <w:t>Interpretación:</w:t>
            </w:r>
          </w:p>
        </w:tc>
        <w:tc>
          <w:tcPr>
            <w:tcW w:w="7513" w:type="dxa"/>
          </w:tcPr>
          <w:p>
            <w:pPr>
              <w:pStyle w:val="TableParagraph"/>
              <w:spacing w:before="220"/>
              <w:ind w:left="70" w:right="133"/>
              <w:rPr>
                <w:sz w:val="20"/>
              </w:rPr>
            </w:pPr>
            <w:r>
              <w:rPr>
                <w:sz w:val="20"/>
              </w:rPr>
              <w:t>La</w:t>
            </w:r>
            <w:r>
              <w:rPr>
                <w:spacing w:val="-5"/>
                <w:sz w:val="20"/>
              </w:rPr>
              <w:t> </w:t>
            </w:r>
            <w:r>
              <w:rPr>
                <w:sz w:val="20"/>
              </w:rPr>
              <w:t>utilidad</w:t>
            </w:r>
            <w:r>
              <w:rPr>
                <w:spacing w:val="-5"/>
                <w:sz w:val="20"/>
              </w:rPr>
              <w:t> </w:t>
            </w:r>
            <w:r>
              <w:rPr>
                <w:sz w:val="20"/>
              </w:rPr>
              <w:t>neta</w:t>
            </w:r>
            <w:r>
              <w:rPr>
                <w:spacing w:val="-5"/>
                <w:sz w:val="20"/>
              </w:rPr>
              <w:t> </w:t>
            </w:r>
            <w:r>
              <w:rPr>
                <w:sz w:val="20"/>
              </w:rPr>
              <w:t>corresponde</w:t>
            </w:r>
            <w:r>
              <w:rPr>
                <w:spacing w:val="-4"/>
                <w:sz w:val="20"/>
              </w:rPr>
              <w:t> </w:t>
            </w:r>
            <w:r>
              <w:rPr>
                <w:sz w:val="20"/>
              </w:rPr>
              <w:t>a</w:t>
            </w:r>
            <w:r>
              <w:rPr>
                <w:spacing w:val="-3"/>
                <w:sz w:val="20"/>
              </w:rPr>
              <w:t> </w:t>
            </w:r>
            <w:r>
              <w:rPr>
                <w:sz w:val="20"/>
              </w:rPr>
              <w:t>la</w:t>
            </w:r>
            <w:r>
              <w:rPr>
                <w:spacing w:val="-4"/>
                <w:sz w:val="20"/>
              </w:rPr>
              <w:t> </w:t>
            </w:r>
            <w:r>
              <w:rPr>
                <w:sz w:val="20"/>
              </w:rPr>
              <w:t>ganancia</w:t>
            </w:r>
            <w:r>
              <w:rPr>
                <w:spacing w:val="-4"/>
                <w:sz w:val="20"/>
              </w:rPr>
              <w:t> </w:t>
            </w:r>
            <w:r>
              <w:rPr>
                <w:sz w:val="20"/>
              </w:rPr>
              <w:t>real</w:t>
            </w:r>
            <w:r>
              <w:rPr>
                <w:spacing w:val="-3"/>
                <w:sz w:val="20"/>
              </w:rPr>
              <w:t> </w:t>
            </w:r>
            <w:r>
              <w:rPr>
                <w:sz w:val="20"/>
              </w:rPr>
              <w:t>del</w:t>
            </w:r>
            <w:r>
              <w:rPr>
                <w:spacing w:val="-5"/>
                <w:sz w:val="20"/>
              </w:rPr>
              <w:t> </w:t>
            </w:r>
            <w:r>
              <w:rPr>
                <w:sz w:val="20"/>
              </w:rPr>
              <w:t>negocio</w:t>
            </w:r>
            <w:r>
              <w:rPr>
                <w:spacing w:val="-2"/>
                <w:sz w:val="20"/>
              </w:rPr>
              <w:t> </w:t>
            </w:r>
            <w:r>
              <w:rPr>
                <w:sz w:val="20"/>
              </w:rPr>
              <w:t>el</w:t>
            </w:r>
            <w:r>
              <w:rPr>
                <w:spacing w:val="-5"/>
                <w:sz w:val="20"/>
              </w:rPr>
              <w:t> </w:t>
            </w:r>
            <w:r>
              <w:rPr>
                <w:sz w:val="20"/>
              </w:rPr>
              <w:t>cual</w:t>
            </w:r>
            <w:r>
              <w:rPr>
                <w:spacing w:val="-3"/>
                <w:sz w:val="20"/>
              </w:rPr>
              <w:t> </w:t>
            </w:r>
            <w:r>
              <w:rPr>
                <w:sz w:val="20"/>
              </w:rPr>
              <w:t>indica</w:t>
            </w:r>
            <w:r>
              <w:rPr>
                <w:spacing w:val="-4"/>
                <w:sz w:val="20"/>
              </w:rPr>
              <w:t> </w:t>
            </w:r>
            <w:r>
              <w:rPr>
                <w:sz w:val="20"/>
              </w:rPr>
              <w:t>si</w:t>
            </w:r>
            <w:r>
              <w:rPr>
                <w:spacing w:val="-5"/>
                <w:sz w:val="20"/>
              </w:rPr>
              <w:t> </w:t>
            </w:r>
            <w:r>
              <w:rPr>
                <w:sz w:val="20"/>
              </w:rPr>
              <w:t>es rentable o no. Si la utilidad es positiva el negocio está generando ganancias</w:t>
            </w:r>
          </w:p>
        </w:tc>
      </w:tr>
      <w:tr>
        <w:trPr>
          <w:trHeight w:val="991" w:hRule="atLeast"/>
        </w:trPr>
        <w:tc>
          <w:tcPr>
            <w:tcW w:w="2976" w:type="dxa"/>
            <w:shd w:val="clear" w:color="auto" w:fill="DCE6F0"/>
          </w:tcPr>
          <w:p>
            <w:pPr>
              <w:pStyle w:val="TableParagraph"/>
              <w:spacing w:before="148"/>
              <w:rPr>
                <w:b/>
                <w:sz w:val="20"/>
              </w:rPr>
            </w:pPr>
          </w:p>
          <w:p>
            <w:pPr>
              <w:pStyle w:val="TableParagraph"/>
              <w:ind w:left="67"/>
              <w:rPr>
                <w:b/>
                <w:sz w:val="20"/>
              </w:rPr>
            </w:pPr>
            <w:r>
              <w:rPr>
                <w:b/>
                <w:spacing w:val="-2"/>
                <w:sz w:val="20"/>
              </w:rPr>
              <w:t>Desagregación</w:t>
            </w:r>
          </w:p>
        </w:tc>
        <w:tc>
          <w:tcPr>
            <w:tcW w:w="7513" w:type="dxa"/>
          </w:tcPr>
          <w:p>
            <w:pPr>
              <w:pStyle w:val="TableParagraph"/>
              <w:spacing w:before="35"/>
              <w:rPr>
                <w:b/>
                <w:sz w:val="20"/>
              </w:rPr>
            </w:pPr>
          </w:p>
          <w:p>
            <w:pPr>
              <w:pStyle w:val="TableParagraph"/>
              <w:spacing w:before="1"/>
              <w:ind w:left="70" w:right="133"/>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314" w:hRule="atLeast"/>
        </w:trPr>
        <w:tc>
          <w:tcPr>
            <w:tcW w:w="2976" w:type="dxa"/>
            <w:shd w:val="clear" w:color="auto" w:fill="DCE6F0"/>
          </w:tcPr>
          <w:p>
            <w:pPr>
              <w:pStyle w:val="TableParagraph"/>
              <w:spacing w:before="42"/>
              <w:ind w:left="67"/>
              <w:rPr>
                <w:b/>
                <w:sz w:val="20"/>
              </w:rPr>
            </w:pPr>
            <w:r>
              <w:rPr>
                <w:b/>
                <w:spacing w:val="-2"/>
                <w:sz w:val="20"/>
              </w:rPr>
              <w:t>Meta:</w:t>
            </w:r>
          </w:p>
        </w:tc>
        <w:tc>
          <w:tcPr>
            <w:tcW w:w="7513" w:type="dxa"/>
          </w:tcPr>
          <w:p>
            <w:pPr>
              <w:pStyle w:val="TableParagraph"/>
              <w:spacing w:before="42"/>
              <w:ind w:left="70"/>
              <w:rPr>
                <w:sz w:val="20"/>
              </w:rPr>
            </w:pPr>
            <w:r>
              <w:rPr>
                <w:sz w:val="20"/>
              </w:rPr>
              <w:t>₡4</w:t>
            </w:r>
            <w:r>
              <w:rPr>
                <w:spacing w:val="-5"/>
                <w:sz w:val="20"/>
              </w:rPr>
              <w:t> </w:t>
            </w:r>
            <w:r>
              <w:rPr>
                <w:sz w:val="20"/>
              </w:rPr>
              <w:t>050</w:t>
            </w:r>
            <w:r>
              <w:rPr>
                <w:spacing w:val="-4"/>
                <w:sz w:val="20"/>
              </w:rPr>
              <w:t> </w:t>
            </w:r>
            <w:r>
              <w:rPr>
                <w:sz w:val="20"/>
              </w:rPr>
              <w:t>493</w:t>
            </w:r>
            <w:r>
              <w:rPr>
                <w:spacing w:val="-5"/>
                <w:sz w:val="20"/>
              </w:rPr>
              <w:t> 818</w:t>
            </w:r>
          </w:p>
        </w:tc>
      </w:tr>
      <w:tr>
        <w:trPr>
          <w:trHeight w:val="316" w:hRule="atLeast"/>
        </w:trPr>
        <w:tc>
          <w:tcPr>
            <w:tcW w:w="2976" w:type="dxa"/>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7513" w:type="dxa"/>
          </w:tcPr>
          <w:p>
            <w:pPr>
              <w:pStyle w:val="TableParagraph"/>
              <w:spacing w:before="42"/>
              <w:ind w:left="70"/>
              <w:rPr>
                <w:sz w:val="20"/>
              </w:rPr>
            </w:pPr>
            <w:r>
              <w:rPr>
                <w:sz w:val="20"/>
              </w:rPr>
              <w:t>₡4</w:t>
            </w:r>
            <w:r>
              <w:rPr>
                <w:spacing w:val="-5"/>
                <w:sz w:val="20"/>
              </w:rPr>
              <w:t> </w:t>
            </w:r>
            <w:r>
              <w:rPr>
                <w:sz w:val="20"/>
              </w:rPr>
              <w:t>050</w:t>
            </w:r>
            <w:r>
              <w:rPr>
                <w:spacing w:val="-4"/>
                <w:sz w:val="20"/>
              </w:rPr>
              <w:t> </w:t>
            </w:r>
            <w:r>
              <w:rPr>
                <w:sz w:val="20"/>
              </w:rPr>
              <w:t>627</w:t>
            </w:r>
            <w:r>
              <w:rPr>
                <w:spacing w:val="-5"/>
                <w:sz w:val="20"/>
              </w:rPr>
              <w:t> 424</w:t>
            </w:r>
          </w:p>
        </w:tc>
      </w:tr>
    </w:tbl>
    <w:p>
      <w:pPr>
        <w:pStyle w:val="TableParagraph"/>
        <w:spacing w:after="0"/>
        <w:rPr>
          <w:sz w:val="20"/>
        </w:rPr>
        <w:sectPr>
          <w:type w:val="continuous"/>
          <w:pgSz w:w="12240" w:h="15840"/>
          <w:pgMar w:header="0" w:footer="2082" w:top="1400" w:bottom="260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628" w:hRule="atLeast"/>
        </w:trPr>
        <w:tc>
          <w:tcPr>
            <w:tcW w:w="2976" w:type="dxa"/>
            <w:shd w:val="clear" w:color="auto" w:fill="DCE6F0"/>
          </w:tcPr>
          <w:p>
            <w:pPr>
              <w:pStyle w:val="TableParagraph"/>
              <w:spacing w:before="84"/>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199"/>
              <w:ind w:left="70"/>
              <w:rPr>
                <w:sz w:val="20"/>
              </w:rPr>
            </w:pPr>
            <w:r>
              <w:rPr>
                <w:spacing w:val="-2"/>
                <w:sz w:val="20"/>
              </w:rPr>
              <w:t>trimestral</w:t>
            </w:r>
          </w:p>
        </w:tc>
      </w:tr>
      <w:tr>
        <w:trPr>
          <w:trHeight w:val="945" w:hRule="atLeast"/>
        </w:trPr>
        <w:tc>
          <w:tcPr>
            <w:tcW w:w="2976" w:type="dxa"/>
            <w:shd w:val="clear" w:color="auto" w:fill="DCE6F0"/>
          </w:tcPr>
          <w:p>
            <w:pPr>
              <w:pStyle w:val="TableParagraph"/>
              <w:spacing w:before="14"/>
              <w:rPr>
                <w:b/>
                <w:sz w:val="20"/>
              </w:rPr>
            </w:pPr>
          </w:p>
          <w:p>
            <w:pPr>
              <w:pStyle w:val="TableParagraph"/>
              <w:ind w:left="67" w:right="514"/>
              <w:rPr>
                <w:b/>
                <w:sz w:val="20"/>
              </w:rPr>
            </w:pPr>
            <w:r>
              <w:rPr>
                <w:b/>
                <w:sz w:val="20"/>
              </w:rPr>
              <w:t>Responsable de la recopilación</w:t>
            </w:r>
            <w:r>
              <w:rPr>
                <w:b/>
                <w:spacing w:val="-14"/>
                <w:sz w:val="20"/>
              </w:rPr>
              <w:t> </w:t>
            </w:r>
            <w:r>
              <w:rPr>
                <w:b/>
                <w:sz w:val="20"/>
              </w:rPr>
              <w:t>información</w:t>
            </w:r>
          </w:p>
        </w:tc>
        <w:tc>
          <w:tcPr>
            <w:tcW w:w="7513" w:type="dxa"/>
          </w:tcPr>
          <w:p>
            <w:pPr>
              <w:pStyle w:val="TableParagraph"/>
              <w:spacing w:before="14"/>
              <w:rPr>
                <w:b/>
                <w:sz w:val="20"/>
              </w:rPr>
            </w:pPr>
          </w:p>
          <w:p>
            <w:pPr>
              <w:pStyle w:val="TableParagraph"/>
              <w:ind w:left="70" w:right="2673"/>
              <w:rPr>
                <w:sz w:val="20"/>
              </w:rPr>
            </w:pPr>
            <w:r>
              <w:rPr>
                <w:sz w:val="20"/>
              </w:rPr>
              <w:t>Nombre del funcionario: Carlos Alvarez Gómez Cargo:</w:t>
            </w:r>
            <w:r>
              <w:rPr>
                <w:spacing w:val="-9"/>
                <w:sz w:val="20"/>
              </w:rPr>
              <w:t> </w:t>
            </w:r>
            <w:r>
              <w:rPr>
                <w:sz w:val="20"/>
              </w:rPr>
              <w:t>jefe</w:t>
            </w:r>
            <w:r>
              <w:rPr>
                <w:spacing w:val="-9"/>
                <w:sz w:val="20"/>
              </w:rPr>
              <w:t> </w:t>
            </w:r>
            <w:r>
              <w:rPr>
                <w:sz w:val="20"/>
              </w:rPr>
              <w:t>Unidad</w:t>
            </w:r>
            <w:r>
              <w:rPr>
                <w:spacing w:val="-10"/>
                <w:sz w:val="20"/>
              </w:rPr>
              <w:t> </w:t>
            </w:r>
            <w:r>
              <w:rPr>
                <w:sz w:val="20"/>
              </w:rPr>
              <w:t>de</w:t>
            </w:r>
            <w:r>
              <w:rPr>
                <w:spacing w:val="-9"/>
                <w:sz w:val="20"/>
              </w:rPr>
              <w:t> </w:t>
            </w:r>
            <w:r>
              <w:rPr>
                <w:sz w:val="20"/>
              </w:rPr>
              <w:t>Coordinación</w:t>
            </w:r>
            <w:r>
              <w:rPr>
                <w:spacing w:val="-7"/>
                <w:sz w:val="20"/>
              </w:rPr>
              <w:t> </w:t>
            </w:r>
            <w:r>
              <w:rPr>
                <w:sz w:val="20"/>
              </w:rPr>
              <w:t>Administrativa</w:t>
            </w:r>
          </w:p>
        </w:tc>
      </w:tr>
      <w:tr>
        <w:trPr>
          <w:trHeight w:val="945" w:hRule="atLeast"/>
        </w:trPr>
        <w:tc>
          <w:tcPr>
            <w:tcW w:w="2976" w:type="dxa"/>
            <w:shd w:val="clear" w:color="auto" w:fill="DCE6F0"/>
          </w:tcPr>
          <w:p>
            <w:pPr>
              <w:pStyle w:val="TableParagraph"/>
              <w:spacing w:before="11"/>
              <w:rPr>
                <w:b/>
                <w:sz w:val="20"/>
              </w:rPr>
            </w:pPr>
          </w:p>
          <w:p>
            <w:pPr>
              <w:pStyle w:val="TableParagraph"/>
              <w:spacing w:before="1"/>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3" w:type="dxa"/>
          </w:tcPr>
          <w:p>
            <w:pPr>
              <w:pStyle w:val="TableParagraph"/>
              <w:spacing w:before="127"/>
              <w:rPr>
                <w:b/>
                <w:sz w:val="20"/>
              </w:rPr>
            </w:pPr>
          </w:p>
          <w:p>
            <w:pPr>
              <w:pStyle w:val="TableParagraph"/>
              <w:ind w:left="70"/>
              <w:rPr>
                <w:sz w:val="20"/>
              </w:rPr>
            </w:pPr>
            <w:r>
              <w:rPr>
                <w:sz w:val="20"/>
              </w:rPr>
              <w:t>Empresas</w:t>
            </w:r>
            <w:r>
              <w:rPr>
                <w:spacing w:val="-14"/>
                <w:sz w:val="20"/>
              </w:rPr>
              <w:t> </w:t>
            </w:r>
            <w:r>
              <w:rPr>
                <w:spacing w:val="-2"/>
                <w:sz w:val="20"/>
              </w:rPr>
              <w:t>Comerciales</w:t>
            </w:r>
          </w:p>
        </w:tc>
      </w:tr>
      <w:tr>
        <w:trPr>
          <w:trHeight w:val="630" w:hRule="atLeast"/>
        </w:trPr>
        <w:tc>
          <w:tcPr>
            <w:tcW w:w="2976" w:type="dxa"/>
            <w:shd w:val="clear" w:color="auto" w:fill="DCE6F0"/>
          </w:tcPr>
          <w:p>
            <w:pPr>
              <w:pStyle w:val="TableParagraph"/>
              <w:spacing w:before="201"/>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3" w:type="dxa"/>
          </w:tcPr>
          <w:p>
            <w:pPr>
              <w:pStyle w:val="TableParagraph"/>
              <w:spacing w:before="201"/>
              <w:ind w:left="70"/>
              <w:rPr>
                <w:sz w:val="20"/>
              </w:rPr>
            </w:pPr>
            <w:r>
              <w:rPr>
                <w:sz w:val="20"/>
              </w:rPr>
              <w:t>Estados</w:t>
            </w:r>
            <w:r>
              <w:rPr>
                <w:spacing w:val="-5"/>
                <w:sz w:val="20"/>
              </w:rPr>
              <w:t> </w:t>
            </w:r>
            <w:r>
              <w:rPr>
                <w:sz w:val="20"/>
              </w:rPr>
              <w:t>de</w:t>
            </w:r>
            <w:r>
              <w:rPr>
                <w:spacing w:val="-7"/>
                <w:sz w:val="20"/>
              </w:rPr>
              <w:t> </w:t>
            </w:r>
            <w:r>
              <w:rPr>
                <w:sz w:val="20"/>
              </w:rPr>
              <w:t>resultados</w:t>
            </w:r>
            <w:r>
              <w:rPr>
                <w:spacing w:val="-6"/>
                <w:sz w:val="20"/>
              </w:rPr>
              <w:t> </w:t>
            </w:r>
            <w:r>
              <w:rPr>
                <w:sz w:val="20"/>
              </w:rPr>
              <w:t>al</w:t>
            </w:r>
            <w:r>
              <w:rPr>
                <w:spacing w:val="-8"/>
                <w:sz w:val="20"/>
              </w:rPr>
              <w:t> </w:t>
            </w:r>
            <w:r>
              <w:rPr>
                <w:sz w:val="20"/>
              </w:rPr>
              <w:t>31</w:t>
            </w:r>
            <w:r>
              <w:rPr>
                <w:spacing w:val="-7"/>
                <w:sz w:val="20"/>
              </w:rPr>
              <w:t> </w:t>
            </w:r>
            <w:r>
              <w:rPr>
                <w:sz w:val="20"/>
              </w:rPr>
              <w:t>de</w:t>
            </w:r>
            <w:r>
              <w:rPr>
                <w:spacing w:val="-5"/>
                <w:sz w:val="20"/>
              </w:rPr>
              <w:t> </w:t>
            </w:r>
            <w:r>
              <w:rPr>
                <w:sz w:val="20"/>
              </w:rPr>
              <w:t>diciembre</w:t>
            </w:r>
            <w:r>
              <w:rPr>
                <w:spacing w:val="-7"/>
                <w:sz w:val="20"/>
              </w:rPr>
              <w:t> </w:t>
            </w:r>
            <w:r>
              <w:rPr>
                <w:spacing w:val="-4"/>
                <w:sz w:val="20"/>
              </w:rPr>
              <w:t>2027</w:t>
            </w:r>
          </w:p>
        </w:tc>
      </w:tr>
      <w:tr>
        <w:trPr>
          <w:trHeight w:val="631" w:hRule="atLeast"/>
        </w:trPr>
        <w:tc>
          <w:tcPr>
            <w:tcW w:w="2976" w:type="dxa"/>
            <w:shd w:val="clear" w:color="auto" w:fill="DCE6F0"/>
          </w:tcPr>
          <w:p>
            <w:pPr>
              <w:pStyle w:val="TableParagraph"/>
              <w:spacing w:before="198"/>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198"/>
              <w:ind w:left="70"/>
              <w:rPr>
                <w:sz w:val="20"/>
              </w:rPr>
            </w:pPr>
            <w:r>
              <w:rPr>
                <w:sz w:val="20"/>
              </w:rPr>
              <w:t>Estados</w:t>
            </w:r>
            <w:r>
              <w:rPr>
                <w:spacing w:val="-11"/>
                <w:sz w:val="20"/>
              </w:rPr>
              <w:t> </w:t>
            </w:r>
            <w:r>
              <w:rPr>
                <w:spacing w:val="-2"/>
                <w:sz w:val="20"/>
              </w:rPr>
              <w:t>Financieros</w:t>
            </w:r>
          </w:p>
        </w:tc>
      </w:tr>
      <w:tr>
        <w:trPr>
          <w:trHeight w:val="628" w:hRule="atLeast"/>
        </w:trPr>
        <w:tc>
          <w:tcPr>
            <w:tcW w:w="2976" w:type="dxa"/>
            <w:shd w:val="clear" w:color="auto" w:fill="DCE6F0"/>
          </w:tcPr>
          <w:p>
            <w:pPr>
              <w:pStyle w:val="TableParagraph"/>
              <w:spacing w:before="198"/>
              <w:ind w:left="67"/>
              <w:rPr>
                <w:b/>
                <w:sz w:val="20"/>
              </w:rPr>
            </w:pPr>
            <w:r>
              <w:rPr>
                <w:b/>
                <w:spacing w:val="-2"/>
                <w:sz w:val="20"/>
              </w:rPr>
              <w:t>Clasificación</w:t>
            </w:r>
          </w:p>
        </w:tc>
        <w:tc>
          <w:tcPr>
            <w:tcW w:w="7513" w:type="dxa"/>
          </w:tcPr>
          <w:p>
            <w:pPr>
              <w:pStyle w:val="TableParagraph"/>
              <w:spacing w:before="198"/>
              <w:ind w:left="70"/>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902" w:hRule="atLeast"/>
        </w:trPr>
        <w:tc>
          <w:tcPr>
            <w:tcW w:w="2976" w:type="dxa"/>
            <w:shd w:val="clear" w:color="auto" w:fill="DCE6F0"/>
          </w:tcPr>
          <w:p>
            <w:pPr>
              <w:pStyle w:val="TableParagraph"/>
              <w:spacing w:before="105"/>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3" w:type="dxa"/>
          </w:tcPr>
          <w:p>
            <w:pPr>
              <w:pStyle w:val="TableParagraph"/>
              <w:spacing w:before="220"/>
              <w:ind w:left="70" w:right="133"/>
              <w:rPr>
                <w:sz w:val="20"/>
              </w:rPr>
            </w:pPr>
            <w:r>
              <w:rPr>
                <w:sz w:val="20"/>
              </w:rPr>
              <w:t>Mencionar</w:t>
            </w:r>
            <w:r>
              <w:rPr>
                <w:spacing w:val="-4"/>
                <w:sz w:val="20"/>
              </w:rPr>
              <w:t> </w:t>
            </w:r>
            <w:r>
              <w:rPr>
                <w:sz w:val="20"/>
              </w:rPr>
              <w:t>cualquier</w:t>
            </w:r>
            <w:r>
              <w:rPr>
                <w:spacing w:val="-4"/>
                <w:sz w:val="20"/>
              </w:rPr>
              <w:t> </w:t>
            </w:r>
            <w:r>
              <w:rPr>
                <w:sz w:val="20"/>
              </w:rPr>
              <w:t>observación</w:t>
            </w:r>
            <w:r>
              <w:rPr>
                <w:spacing w:val="-5"/>
                <w:sz w:val="20"/>
              </w:rPr>
              <w:t> </w:t>
            </w:r>
            <w:r>
              <w:rPr>
                <w:sz w:val="20"/>
              </w:rPr>
              <w:t>que</w:t>
            </w:r>
            <w:r>
              <w:rPr>
                <w:spacing w:val="-5"/>
                <w:sz w:val="20"/>
              </w:rPr>
              <w:t> </w:t>
            </w:r>
            <w:r>
              <w:rPr>
                <w:sz w:val="20"/>
              </w:rPr>
              <w:t>se</w:t>
            </w:r>
            <w:r>
              <w:rPr>
                <w:spacing w:val="-4"/>
                <w:sz w:val="20"/>
              </w:rPr>
              <w:t> </w:t>
            </w:r>
            <w:r>
              <w:rPr>
                <w:sz w:val="20"/>
              </w:rPr>
              <w:t>considere</w:t>
            </w:r>
            <w:r>
              <w:rPr>
                <w:spacing w:val="-4"/>
                <w:sz w:val="20"/>
              </w:rPr>
              <w:t> </w:t>
            </w:r>
            <w:r>
              <w:rPr>
                <w:sz w:val="20"/>
              </w:rPr>
              <w:t>necesaria</w:t>
            </w:r>
            <w:r>
              <w:rPr>
                <w:spacing w:val="-5"/>
                <w:sz w:val="20"/>
              </w:rPr>
              <w:t> </w:t>
            </w:r>
            <w:r>
              <w:rPr>
                <w:sz w:val="20"/>
              </w:rPr>
              <w:t>para</w:t>
            </w:r>
            <w:r>
              <w:rPr>
                <w:spacing w:val="-4"/>
                <w:sz w:val="20"/>
              </w:rPr>
              <w:t> </w:t>
            </w:r>
            <w:r>
              <w:rPr>
                <w:sz w:val="20"/>
              </w:rPr>
              <w:t>que</w:t>
            </w:r>
            <w:r>
              <w:rPr>
                <w:spacing w:val="-4"/>
                <w:sz w:val="20"/>
              </w:rPr>
              <w:t> </w:t>
            </w:r>
            <w:r>
              <w:rPr>
                <w:sz w:val="20"/>
              </w:rPr>
              <w:t>el</w:t>
            </w:r>
            <w:r>
              <w:rPr>
                <w:spacing w:val="-5"/>
                <w:sz w:val="20"/>
              </w:rPr>
              <w:t> </w:t>
            </w:r>
            <w:r>
              <w:rPr>
                <w:sz w:val="20"/>
              </w:rPr>
              <w:t>usuario obtenga una mejor comprensión del indicador</w:t>
            </w:r>
          </w:p>
        </w:tc>
      </w:tr>
    </w:tbl>
    <w:p>
      <w:pPr>
        <w:pStyle w:val="BodyText"/>
        <w:rPr>
          <w:b/>
          <w:sz w:val="20"/>
        </w:rPr>
      </w:pPr>
    </w:p>
    <w:p>
      <w:pPr>
        <w:pStyle w:val="BodyText"/>
        <w:spacing w:before="112" w:after="1"/>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803" w:hRule="atLeast"/>
        </w:trPr>
        <w:tc>
          <w:tcPr>
            <w:tcW w:w="2976" w:type="dxa"/>
            <w:shd w:val="clear" w:color="auto" w:fill="E0EBF7"/>
          </w:tcPr>
          <w:p>
            <w:pPr>
              <w:pStyle w:val="TableParagraph"/>
              <w:spacing w:before="55"/>
              <w:rPr>
                <w:b/>
                <w:sz w:val="20"/>
              </w:rPr>
            </w:pPr>
          </w:p>
          <w:p>
            <w:pPr>
              <w:pStyle w:val="TableParagraph"/>
              <w:ind w:left="67"/>
              <w:rPr>
                <w:b/>
                <w:sz w:val="20"/>
              </w:rPr>
            </w:pPr>
            <w:r>
              <w:rPr>
                <w:b/>
                <w:sz w:val="20"/>
              </w:rPr>
              <w:t>PEC</w:t>
            </w:r>
            <w:r>
              <w:rPr>
                <w:b/>
                <w:spacing w:val="-5"/>
                <w:sz w:val="20"/>
              </w:rPr>
              <w:t> </w:t>
            </w:r>
            <w:r>
              <w:rPr>
                <w:b/>
                <w:spacing w:val="-2"/>
                <w:sz w:val="20"/>
              </w:rPr>
              <w:t>3.4.7:</w:t>
            </w:r>
          </w:p>
        </w:tc>
        <w:tc>
          <w:tcPr>
            <w:tcW w:w="7513" w:type="dxa"/>
          </w:tcPr>
          <w:p>
            <w:pPr>
              <w:pStyle w:val="TableParagraph"/>
              <w:spacing w:before="55"/>
              <w:rPr>
                <w:b/>
                <w:sz w:val="20"/>
              </w:rPr>
            </w:pPr>
          </w:p>
          <w:p>
            <w:pPr>
              <w:pStyle w:val="TableParagraph"/>
              <w:ind w:left="70"/>
              <w:rPr>
                <w:sz w:val="20"/>
              </w:rPr>
            </w:pPr>
            <w:r>
              <w:rPr>
                <w:sz w:val="20"/>
              </w:rPr>
              <w:t>Nombre</w:t>
            </w:r>
            <w:r>
              <w:rPr>
                <w:spacing w:val="-7"/>
                <w:sz w:val="20"/>
              </w:rPr>
              <w:t> </w:t>
            </w:r>
            <w:r>
              <w:rPr>
                <w:sz w:val="20"/>
              </w:rPr>
              <w:t>del</w:t>
            </w:r>
            <w:r>
              <w:rPr>
                <w:spacing w:val="-10"/>
                <w:sz w:val="20"/>
              </w:rPr>
              <w:t> </w:t>
            </w:r>
            <w:r>
              <w:rPr>
                <w:sz w:val="20"/>
              </w:rPr>
              <w:t>Indicador:</w:t>
            </w:r>
            <w:r>
              <w:rPr>
                <w:spacing w:val="-7"/>
                <w:sz w:val="20"/>
              </w:rPr>
              <w:t> </w:t>
            </w:r>
            <w:r>
              <w:rPr>
                <w:sz w:val="20"/>
              </w:rPr>
              <w:t>Porcentaje</w:t>
            </w:r>
            <w:r>
              <w:rPr>
                <w:spacing w:val="-7"/>
                <w:sz w:val="20"/>
              </w:rPr>
              <w:t> </w:t>
            </w:r>
            <w:r>
              <w:rPr>
                <w:sz w:val="20"/>
              </w:rPr>
              <w:t>de</w:t>
            </w:r>
            <w:r>
              <w:rPr>
                <w:spacing w:val="-6"/>
                <w:sz w:val="20"/>
              </w:rPr>
              <w:t> </w:t>
            </w:r>
            <w:r>
              <w:rPr>
                <w:sz w:val="20"/>
              </w:rPr>
              <w:t>ejecución</w:t>
            </w:r>
            <w:r>
              <w:rPr>
                <w:spacing w:val="-7"/>
                <w:sz w:val="20"/>
              </w:rPr>
              <w:t> </w:t>
            </w:r>
            <w:r>
              <w:rPr>
                <w:sz w:val="20"/>
              </w:rPr>
              <w:t>de</w:t>
            </w:r>
            <w:r>
              <w:rPr>
                <w:spacing w:val="-7"/>
                <w:sz w:val="20"/>
              </w:rPr>
              <w:t> </w:t>
            </w:r>
            <w:r>
              <w:rPr>
                <w:spacing w:val="-2"/>
                <w:sz w:val="20"/>
              </w:rPr>
              <w:t>mantenimientos</w:t>
            </w:r>
          </w:p>
        </w:tc>
      </w:tr>
      <w:tr>
        <w:trPr>
          <w:trHeight w:val="628" w:hRule="atLeast"/>
        </w:trPr>
        <w:tc>
          <w:tcPr>
            <w:tcW w:w="2976" w:type="dxa"/>
            <w:shd w:val="clear" w:color="auto" w:fill="DCE6F0"/>
          </w:tcPr>
          <w:p>
            <w:pPr>
              <w:pStyle w:val="TableParagraph"/>
              <w:spacing w:before="199"/>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3" w:type="dxa"/>
          </w:tcPr>
          <w:p>
            <w:pPr>
              <w:pStyle w:val="TableParagraph"/>
              <w:spacing w:before="199"/>
              <w:ind w:left="70"/>
              <w:rPr>
                <w:sz w:val="20"/>
              </w:rPr>
            </w:pPr>
            <w:r>
              <w:rPr>
                <w:sz w:val="20"/>
              </w:rPr>
              <w:t>mantenimientos</w:t>
            </w:r>
            <w:r>
              <w:rPr>
                <w:spacing w:val="-14"/>
                <w:sz w:val="20"/>
              </w:rPr>
              <w:t> </w:t>
            </w:r>
            <w:r>
              <w:rPr>
                <w:sz w:val="20"/>
              </w:rPr>
              <w:t>ejecutados/</w:t>
            </w:r>
            <w:r>
              <w:rPr>
                <w:spacing w:val="-14"/>
                <w:sz w:val="20"/>
              </w:rPr>
              <w:t> </w:t>
            </w:r>
            <w:r>
              <w:rPr>
                <w:sz w:val="20"/>
              </w:rPr>
              <w:t>mantenimientos</w:t>
            </w:r>
            <w:r>
              <w:rPr>
                <w:spacing w:val="-13"/>
                <w:sz w:val="20"/>
              </w:rPr>
              <w:t> </w:t>
            </w:r>
            <w:r>
              <w:rPr>
                <w:sz w:val="20"/>
              </w:rPr>
              <w:t>programados</w:t>
            </w:r>
            <w:r>
              <w:rPr>
                <w:spacing w:val="-14"/>
                <w:sz w:val="20"/>
              </w:rPr>
              <w:t> </w:t>
            </w:r>
            <w:r>
              <w:rPr>
                <w:sz w:val="20"/>
              </w:rPr>
              <w:t>*</w:t>
            </w:r>
            <w:r>
              <w:rPr>
                <w:spacing w:val="-14"/>
                <w:sz w:val="20"/>
              </w:rPr>
              <w:t> </w:t>
            </w:r>
            <w:r>
              <w:rPr>
                <w:spacing w:val="-5"/>
                <w:sz w:val="20"/>
              </w:rPr>
              <w:t>100</w:t>
            </w:r>
          </w:p>
        </w:tc>
      </w:tr>
      <w:tr>
        <w:trPr>
          <w:trHeight w:val="316" w:hRule="atLeast"/>
        </w:trPr>
        <w:tc>
          <w:tcPr>
            <w:tcW w:w="2976" w:type="dxa"/>
            <w:shd w:val="clear" w:color="auto" w:fill="DCE6F0"/>
          </w:tcPr>
          <w:p>
            <w:pPr>
              <w:pStyle w:val="TableParagraph"/>
              <w:spacing w:before="42"/>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42"/>
              <w:ind w:left="70"/>
              <w:rPr>
                <w:sz w:val="20"/>
              </w:rPr>
            </w:pPr>
            <w:r>
              <w:rPr>
                <w:spacing w:val="-2"/>
                <w:sz w:val="20"/>
              </w:rPr>
              <w:t>Porcentaje</w:t>
            </w:r>
          </w:p>
        </w:tc>
      </w:tr>
      <w:tr>
        <w:trPr>
          <w:trHeight w:val="599" w:hRule="atLeast"/>
        </w:trPr>
        <w:tc>
          <w:tcPr>
            <w:tcW w:w="2976" w:type="dxa"/>
            <w:shd w:val="clear" w:color="auto" w:fill="DCE6F0"/>
          </w:tcPr>
          <w:p>
            <w:pPr>
              <w:pStyle w:val="TableParagraph"/>
              <w:spacing w:before="184"/>
              <w:ind w:left="67"/>
              <w:rPr>
                <w:b/>
                <w:sz w:val="20"/>
              </w:rPr>
            </w:pPr>
            <w:r>
              <w:rPr>
                <w:b/>
                <w:spacing w:val="-2"/>
                <w:sz w:val="20"/>
              </w:rPr>
              <w:t>Interpretación:</w:t>
            </w:r>
          </w:p>
        </w:tc>
        <w:tc>
          <w:tcPr>
            <w:tcW w:w="7513" w:type="dxa"/>
          </w:tcPr>
          <w:p>
            <w:pPr>
              <w:pStyle w:val="TableParagraph"/>
              <w:spacing w:before="69"/>
              <w:ind w:left="70" w:right="133"/>
              <w:rPr>
                <w:sz w:val="20"/>
              </w:rPr>
            </w:pPr>
            <w:r>
              <w:rPr>
                <w:sz w:val="20"/>
              </w:rPr>
              <w:t>Corresponde</w:t>
            </w:r>
            <w:r>
              <w:rPr>
                <w:spacing w:val="-6"/>
                <w:sz w:val="20"/>
              </w:rPr>
              <w:t> </w:t>
            </w:r>
            <w:r>
              <w:rPr>
                <w:sz w:val="20"/>
              </w:rPr>
              <w:t>a</w:t>
            </w:r>
            <w:r>
              <w:rPr>
                <w:spacing w:val="-5"/>
                <w:sz w:val="20"/>
              </w:rPr>
              <w:t> </w:t>
            </w:r>
            <w:r>
              <w:rPr>
                <w:sz w:val="20"/>
              </w:rPr>
              <w:t>la</w:t>
            </w:r>
            <w:r>
              <w:rPr>
                <w:spacing w:val="-4"/>
                <w:sz w:val="20"/>
              </w:rPr>
              <w:t> </w:t>
            </w:r>
            <w:r>
              <w:rPr>
                <w:sz w:val="20"/>
              </w:rPr>
              <w:t>ejecución</w:t>
            </w:r>
            <w:r>
              <w:rPr>
                <w:spacing w:val="-4"/>
                <w:sz w:val="20"/>
              </w:rPr>
              <w:t> </w:t>
            </w:r>
            <w:r>
              <w:rPr>
                <w:sz w:val="20"/>
              </w:rPr>
              <w:t>de</w:t>
            </w:r>
            <w:r>
              <w:rPr>
                <w:spacing w:val="-7"/>
                <w:sz w:val="20"/>
              </w:rPr>
              <w:t> </w:t>
            </w:r>
            <w:r>
              <w:rPr>
                <w:sz w:val="20"/>
              </w:rPr>
              <w:t>todos</w:t>
            </w:r>
            <w:r>
              <w:rPr>
                <w:spacing w:val="-3"/>
                <w:sz w:val="20"/>
              </w:rPr>
              <w:t> </w:t>
            </w:r>
            <w:r>
              <w:rPr>
                <w:sz w:val="20"/>
              </w:rPr>
              <w:t>los</w:t>
            </w:r>
            <w:r>
              <w:rPr>
                <w:spacing w:val="-5"/>
                <w:sz w:val="20"/>
              </w:rPr>
              <w:t> </w:t>
            </w:r>
            <w:r>
              <w:rPr>
                <w:sz w:val="20"/>
              </w:rPr>
              <w:t>mantenimientos</w:t>
            </w:r>
            <w:r>
              <w:rPr>
                <w:spacing w:val="-5"/>
                <w:sz w:val="20"/>
              </w:rPr>
              <w:t> </w:t>
            </w:r>
            <w:r>
              <w:rPr>
                <w:sz w:val="20"/>
              </w:rPr>
              <w:t>realizados</w:t>
            </w:r>
            <w:r>
              <w:rPr>
                <w:spacing w:val="-3"/>
                <w:sz w:val="20"/>
              </w:rPr>
              <w:t> </w:t>
            </w:r>
            <w:r>
              <w:rPr>
                <w:sz w:val="20"/>
              </w:rPr>
              <w:t>que</w:t>
            </w:r>
            <w:r>
              <w:rPr>
                <w:spacing w:val="-6"/>
                <w:sz w:val="20"/>
              </w:rPr>
              <w:t> </w:t>
            </w:r>
            <w:r>
              <w:rPr>
                <w:sz w:val="20"/>
              </w:rPr>
              <w:t>se programaron en la partida 1.08</w:t>
            </w:r>
          </w:p>
        </w:tc>
      </w:tr>
      <w:tr>
        <w:trPr>
          <w:trHeight w:val="599" w:hRule="atLeast"/>
        </w:trPr>
        <w:tc>
          <w:tcPr>
            <w:tcW w:w="2976" w:type="dxa"/>
            <w:shd w:val="clear" w:color="auto" w:fill="DCE6F0"/>
          </w:tcPr>
          <w:p>
            <w:pPr>
              <w:pStyle w:val="TableParagraph"/>
              <w:spacing w:before="184"/>
              <w:ind w:left="67"/>
              <w:rPr>
                <w:b/>
                <w:sz w:val="20"/>
              </w:rPr>
            </w:pPr>
            <w:r>
              <w:rPr>
                <w:b/>
                <w:spacing w:val="-2"/>
                <w:sz w:val="20"/>
              </w:rPr>
              <w:t>Desagregación</w:t>
            </w:r>
          </w:p>
        </w:tc>
        <w:tc>
          <w:tcPr>
            <w:tcW w:w="7513" w:type="dxa"/>
          </w:tcPr>
          <w:p>
            <w:pPr>
              <w:pStyle w:val="TableParagraph"/>
              <w:spacing w:before="69"/>
              <w:ind w:left="70" w:right="133"/>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316" w:hRule="atLeast"/>
        </w:trPr>
        <w:tc>
          <w:tcPr>
            <w:tcW w:w="2976" w:type="dxa"/>
            <w:shd w:val="clear" w:color="auto" w:fill="DCE6F0"/>
          </w:tcPr>
          <w:p>
            <w:pPr>
              <w:pStyle w:val="TableParagraph"/>
              <w:spacing w:before="42"/>
              <w:ind w:left="67"/>
              <w:rPr>
                <w:b/>
                <w:sz w:val="20"/>
              </w:rPr>
            </w:pPr>
            <w:r>
              <w:rPr>
                <w:b/>
                <w:spacing w:val="-2"/>
                <w:sz w:val="20"/>
              </w:rPr>
              <w:t>Meta:</w:t>
            </w:r>
          </w:p>
        </w:tc>
        <w:tc>
          <w:tcPr>
            <w:tcW w:w="7513" w:type="dxa"/>
          </w:tcPr>
          <w:p>
            <w:pPr>
              <w:pStyle w:val="TableParagraph"/>
              <w:spacing w:before="42"/>
              <w:ind w:left="70"/>
              <w:rPr>
                <w:sz w:val="20"/>
              </w:rPr>
            </w:pPr>
            <w:r>
              <w:rPr>
                <w:spacing w:val="-4"/>
                <w:sz w:val="20"/>
              </w:rPr>
              <w:t>100%</w:t>
            </w:r>
          </w:p>
        </w:tc>
      </w:tr>
      <w:tr>
        <w:trPr>
          <w:trHeight w:val="313" w:hRule="atLeast"/>
        </w:trPr>
        <w:tc>
          <w:tcPr>
            <w:tcW w:w="2976" w:type="dxa"/>
            <w:shd w:val="clear" w:color="auto" w:fill="DCE6F0"/>
          </w:tcPr>
          <w:p>
            <w:pPr>
              <w:pStyle w:val="TableParagraph"/>
              <w:spacing w:before="40"/>
              <w:ind w:left="67"/>
              <w:rPr>
                <w:b/>
                <w:sz w:val="20"/>
              </w:rPr>
            </w:pPr>
            <w:r>
              <w:rPr>
                <w:b/>
                <w:sz w:val="20"/>
              </w:rPr>
              <w:t>Línea</w:t>
            </w:r>
            <w:r>
              <w:rPr>
                <w:b/>
                <w:spacing w:val="-10"/>
                <w:sz w:val="20"/>
              </w:rPr>
              <w:t> </w:t>
            </w:r>
            <w:r>
              <w:rPr>
                <w:b/>
                <w:spacing w:val="-4"/>
                <w:sz w:val="20"/>
              </w:rPr>
              <w:t>Base</w:t>
            </w:r>
          </w:p>
        </w:tc>
        <w:tc>
          <w:tcPr>
            <w:tcW w:w="7513" w:type="dxa"/>
          </w:tcPr>
          <w:p>
            <w:pPr>
              <w:pStyle w:val="TableParagraph"/>
              <w:spacing w:before="40"/>
              <w:ind w:left="70"/>
              <w:rPr>
                <w:sz w:val="20"/>
              </w:rPr>
            </w:pPr>
            <w:r>
              <w:rPr>
                <w:spacing w:val="-4"/>
                <w:sz w:val="20"/>
              </w:rPr>
              <w:t>100%</w:t>
            </w:r>
          </w:p>
        </w:tc>
      </w:tr>
      <w:tr>
        <w:trPr>
          <w:trHeight w:val="976" w:hRule="atLeast"/>
        </w:trPr>
        <w:tc>
          <w:tcPr>
            <w:tcW w:w="2976" w:type="dxa"/>
            <w:shd w:val="clear" w:color="auto" w:fill="DCE6F0"/>
          </w:tcPr>
          <w:p>
            <w:pPr>
              <w:pStyle w:val="TableParagraph"/>
              <w:spacing w:before="28"/>
              <w:rPr>
                <w:b/>
                <w:sz w:val="20"/>
              </w:rPr>
            </w:pPr>
          </w:p>
          <w:p>
            <w:pPr>
              <w:pStyle w:val="TableParagraph"/>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143"/>
              <w:rPr>
                <w:b/>
                <w:sz w:val="20"/>
              </w:rPr>
            </w:pPr>
          </w:p>
          <w:p>
            <w:pPr>
              <w:pStyle w:val="TableParagraph"/>
              <w:spacing w:before="1"/>
              <w:ind w:left="70"/>
              <w:rPr>
                <w:sz w:val="20"/>
              </w:rPr>
            </w:pPr>
            <w:r>
              <w:rPr>
                <w:spacing w:val="-2"/>
                <w:sz w:val="20"/>
              </w:rPr>
              <w:t>Trimestral</w:t>
            </w:r>
          </w:p>
        </w:tc>
      </w:tr>
      <w:tr>
        <w:trPr>
          <w:trHeight w:val="945" w:hRule="atLeast"/>
        </w:trPr>
        <w:tc>
          <w:tcPr>
            <w:tcW w:w="2976" w:type="dxa"/>
            <w:shd w:val="clear" w:color="auto" w:fill="DCE6F0"/>
          </w:tcPr>
          <w:p>
            <w:pPr>
              <w:pStyle w:val="TableParagraph"/>
              <w:spacing w:before="12"/>
              <w:rPr>
                <w:b/>
                <w:sz w:val="20"/>
              </w:rPr>
            </w:pPr>
          </w:p>
          <w:p>
            <w:pPr>
              <w:pStyle w:val="TableParagraph"/>
              <w:ind w:left="67" w:right="514"/>
              <w:rPr>
                <w:b/>
                <w:sz w:val="20"/>
              </w:rPr>
            </w:pPr>
            <w:r>
              <w:rPr>
                <w:b/>
                <w:sz w:val="20"/>
              </w:rPr>
              <w:t>Responsable de la recopilación</w:t>
            </w:r>
            <w:r>
              <w:rPr>
                <w:b/>
                <w:spacing w:val="-14"/>
                <w:sz w:val="20"/>
              </w:rPr>
              <w:t> </w:t>
            </w:r>
            <w:r>
              <w:rPr>
                <w:b/>
                <w:sz w:val="20"/>
              </w:rPr>
              <w:t>información</w:t>
            </w:r>
          </w:p>
        </w:tc>
        <w:tc>
          <w:tcPr>
            <w:tcW w:w="7513" w:type="dxa"/>
          </w:tcPr>
          <w:p>
            <w:pPr>
              <w:pStyle w:val="TableParagraph"/>
              <w:spacing w:before="12"/>
              <w:rPr>
                <w:b/>
                <w:sz w:val="20"/>
              </w:rPr>
            </w:pPr>
          </w:p>
          <w:p>
            <w:pPr>
              <w:pStyle w:val="TableParagraph"/>
              <w:ind w:left="70"/>
              <w:rPr>
                <w:sz w:val="20"/>
              </w:rPr>
            </w:pPr>
            <w:r>
              <w:rPr>
                <w:sz w:val="20"/>
              </w:rPr>
              <w:t>Nombre</w:t>
            </w:r>
            <w:r>
              <w:rPr>
                <w:spacing w:val="-7"/>
                <w:sz w:val="20"/>
              </w:rPr>
              <w:t> </w:t>
            </w:r>
            <w:r>
              <w:rPr>
                <w:sz w:val="20"/>
              </w:rPr>
              <w:t>del</w:t>
            </w:r>
            <w:r>
              <w:rPr>
                <w:spacing w:val="-9"/>
                <w:sz w:val="20"/>
              </w:rPr>
              <w:t> </w:t>
            </w:r>
            <w:r>
              <w:rPr>
                <w:sz w:val="20"/>
              </w:rPr>
              <w:t>funcionario:</w:t>
            </w:r>
            <w:r>
              <w:rPr>
                <w:spacing w:val="-9"/>
                <w:sz w:val="20"/>
              </w:rPr>
              <w:t> </w:t>
            </w:r>
            <w:r>
              <w:rPr>
                <w:sz w:val="20"/>
              </w:rPr>
              <w:t>Claudio</w:t>
            </w:r>
            <w:r>
              <w:rPr>
                <w:spacing w:val="-8"/>
                <w:sz w:val="20"/>
              </w:rPr>
              <w:t> </w:t>
            </w:r>
            <w:r>
              <w:rPr>
                <w:sz w:val="20"/>
              </w:rPr>
              <w:t>Chinchilla</w:t>
            </w:r>
            <w:r>
              <w:rPr>
                <w:spacing w:val="-3"/>
                <w:sz w:val="20"/>
              </w:rPr>
              <w:t> </w:t>
            </w:r>
            <w:r>
              <w:rPr>
                <w:sz w:val="20"/>
              </w:rPr>
              <w:t>y</w:t>
            </w:r>
            <w:r>
              <w:rPr>
                <w:spacing w:val="-7"/>
                <w:sz w:val="20"/>
              </w:rPr>
              <w:t> </w:t>
            </w:r>
            <w:r>
              <w:rPr>
                <w:sz w:val="20"/>
              </w:rPr>
              <w:t>Carlos</w:t>
            </w:r>
            <w:r>
              <w:rPr>
                <w:spacing w:val="-8"/>
                <w:sz w:val="20"/>
              </w:rPr>
              <w:t> </w:t>
            </w:r>
            <w:r>
              <w:rPr>
                <w:sz w:val="20"/>
              </w:rPr>
              <w:t>Alvarez</w:t>
            </w:r>
            <w:r>
              <w:rPr>
                <w:spacing w:val="-7"/>
                <w:sz w:val="20"/>
              </w:rPr>
              <w:t> </w:t>
            </w:r>
            <w:r>
              <w:rPr>
                <w:spacing w:val="-2"/>
                <w:sz w:val="20"/>
              </w:rPr>
              <w:t>Gómez</w:t>
            </w:r>
          </w:p>
          <w:p>
            <w:pPr>
              <w:pStyle w:val="TableParagraph"/>
              <w:ind w:left="70"/>
              <w:rPr>
                <w:sz w:val="20"/>
              </w:rPr>
            </w:pPr>
            <w:r>
              <w:rPr>
                <w:sz w:val="20"/>
              </w:rPr>
              <w:t>Cargo:</w:t>
            </w:r>
            <w:r>
              <w:rPr>
                <w:spacing w:val="-8"/>
                <w:sz w:val="20"/>
              </w:rPr>
              <w:t> </w:t>
            </w:r>
            <w:r>
              <w:rPr>
                <w:sz w:val="20"/>
              </w:rPr>
              <w:t>Jefe</w:t>
            </w:r>
            <w:r>
              <w:rPr>
                <w:spacing w:val="-7"/>
                <w:sz w:val="20"/>
              </w:rPr>
              <w:t> </w:t>
            </w:r>
            <w:r>
              <w:rPr>
                <w:sz w:val="20"/>
              </w:rPr>
              <w:t>de</w:t>
            </w:r>
            <w:r>
              <w:rPr>
                <w:spacing w:val="-7"/>
                <w:sz w:val="20"/>
              </w:rPr>
              <w:t> </w:t>
            </w:r>
            <w:r>
              <w:rPr>
                <w:sz w:val="20"/>
              </w:rPr>
              <w:t>Importaciones</w:t>
            </w:r>
            <w:r>
              <w:rPr>
                <w:spacing w:val="-6"/>
                <w:sz w:val="20"/>
              </w:rPr>
              <w:t> </w:t>
            </w:r>
            <w:r>
              <w:rPr>
                <w:sz w:val="20"/>
              </w:rPr>
              <w:t>y</w:t>
            </w:r>
            <w:r>
              <w:rPr>
                <w:spacing w:val="-7"/>
                <w:sz w:val="20"/>
              </w:rPr>
              <w:t> </w:t>
            </w:r>
            <w:r>
              <w:rPr>
                <w:sz w:val="20"/>
              </w:rPr>
              <w:t>Logística</w:t>
            </w:r>
            <w:r>
              <w:rPr>
                <w:spacing w:val="-4"/>
                <w:sz w:val="20"/>
              </w:rPr>
              <w:t> </w:t>
            </w:r>
            <w:r>
              <w:rPr>
                <w:sz w:val="20"/>
              </w:rPr>
              <w:t>y</w:t>
            </w:r>
            <w:r>
              <w:rPr>
                <w:spacing w:val="-6"/>
                <w:sz w:val="20"/>
              </w:rPr>
              <w:t> </w:t>
            </w:r>
            <w:r>
              <w:rPr>
                <w:sz w:val="20"/>
              </w:rPr>
              <w:t>Jefe</w:t>
            </w:r>
            <w:r>
              <w:rPr>
                <w:spacing w:val="-8"/>
                <w:sz w:val="20"/>
              </w:rPr>
              <w:t> </w:t>
            </w:r>
            <w:r>
              <w:rPr>
                <w:sz w:val="20"/>
              </w:rPr>
              <w:t>Coordinación</w:t>
            </w:r>
            <w:r>
              <w:rPr>
                <w:spacing w:val="-7"/>
                <w:sz w:val="20"/>
              </w:rPr>
              <w:t> </w:t>
            </w:r>
            <w:r>
              <w:rPr>
                <w:spacing w:val="-2"/>
                <w:sz w:val="20"/>
              </w:rPr>
              <w:t>Administrativa</w:t>
            </w:r>
          </w:p>
        </w:tc>
      </w:tr>
    </w:tbl>
    <w:p>
      <w:pPr>
        <w:pStyle w:val="TableParagraph"/>
        <w:spacing w:after="0"/>
        <w:rPr>
          <w:sz w:val="20"/>
        </w:rPr>
        <w:sectPr>
          <w:type w:val="continuous"/>
          <w:pgSz w:w="12240" w:h="15840"/>
          <w:pgMar w:header="0" w:footer="2082" w:top="1400" w:bottom="260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6"/>
        <w:gridCol w:w="7513"/>
      </w:tblGrid>
      <w:tr>
        <w:trPr>
          <w:trHeight w:val="1259" w:hRule="atLeast"/>
        </w:trPr>
        <w:tc>
          <w:tcPr>
            <w:tcW w:w="2976" w:type="dxa"/>
            <w:shd w:val="clear" w:color="auto" w:fill="DCE6F0"/>
          </w:tcPr>
          <w:p>
            <w:pPr>
              <w:pStyle w:val="TableParagraph"/>
              <w:spacing w:before="168"/>
              <w:rPr>
                <w:b/>
                <w:sz w:val="20"/>
              </w:rPr>
            </w:pPr>
          </w:p>
          <w:p>
            <w:pPr>
              <w:pStyle w:val="TableParagraph"/>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3" w:type="dxa"/>
          </w:tcPr>
          <w:p>
            <w:pPr>
              <w:pStyle w:val="TableParagraph"/>
              <w:rPr>
                <w:b/>
                <w:sz w:val="20"/>
              </w:rPr>
            </w:pPr>
          </w:p>
          <w:p>
            <w:pPr>
              <w:pStyle w:val="TableParagraph"/>
              <w:spacing w:before="53"/>
              <w:rPr>
                <w:b/>
                <w:sz w:val="20"/>
              </w:rPr>
            </w:pPr>
          </w:p>
          <w:p>
            <w:pPr>
              <w:pStyle w:val="TableParagraph"/>
              <w:ind w:left="70"/>
              <w:rPr>
                <w:sz w:val="20"/>
              </w:rPr>
            </w:pPr>
            <w:r>
              <w:rPr>
                <w:sz w:val="20"/>
              </w:rPr>
              <w:t>Empresas</w:t>
            </w:r>
            <w:r>
              <w:rPr>
                <w:spacing w:val="-14"/>
                <w:sz w:val="20"/>
              </w:rPr>
              <w:t> </w:t>
            </w:r>
            <w:r>
              <w:rPr>
                <w:spacing w:val="-2"/>
                <w:sz w:val="20"/>
              </w:rPr>
              <w:t>Comerciales</w:t>
            </w:r>
          </w:p>
        </w:tc>
      </w:tr>
      <w:tr>
        <w:trPr>
          <w:trHeight w:val="630" w:hRule="atLeast"/>
        </w:trPr>
        <w:tc>
          <w:tcPr>
            <w:tcW w:w="2976" w:type="dxa"/>
            <w:shd w:val="clear" w:color="auto" w:fill="DCE6F0"/>
          </w:tcPr>
          <w:p>
            <w:pPr>
              <w:pStyle w:val="TableParagraph"/>
              <w:spacing w:before="198"/>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3" w:type="dxa"/>
          </w:tcPr>
          <w:p>
            <w:pPr>
              <w:pStyle w:val="TableParagraph"/>
              <w:spacing w:before="198"/>
              <w:ind w:left="70"/>
              <w:rPr>
                <w:sz w:val="20"/>
              </w:rPr>
            </w:pPr>
            <w:r>
              <w:rPr>
                <w:sz w:val="20"/>
              </w:rPr>
              <w:t>Informes</w:t>
            </w:r>
            <w:r>
              <w:rPr>
                <w:spacing w:val="-7"/>
                <w:sz w:val="20"/>
              </w:rPr>
              <w:t> </w:t>
            </w:r>
            <w:r>
              <w:rPr>
                <w:spacing w:val="-2"/>
                <w:sz w:val="20"/>
              </w:rPr>
              <w:t>trimestrales</w:t>
            </w:r>
          </w:p>
        </w:tc>
      </w:tr>
      <w:tr>
        <w:trPr>
          <w:trHeight w:val="765" w:hRule="atLeast"/>
        </w:trPr>
        <w:tc>
          <w:tcPr>
            <w:tcW w:w="2976" w:type="dxa"/>
            <w:shd w:val="clear" w:color="auto" w:fill="DCE6F0"/>
          </w:tcPr>
          <w:p>
            <w:pPr>
              <w:pStyle w:val="TableParagraph"/>
              <w:spacing w:before="38"/>
              <w:rPr>
                <w:b/>
                <w:sz w:val="20"/>
              </w:rPr>
            </w:pPr>
          </w:p>
          <w:p>
            <w:pPr>
              <w:pStyle w:val="TableParagraph"/>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38"/>
              <w:rPr>
                <w:b/>
                <w:sz w:val="20"/>
              </w:rPr>
            </w:pPr>
          </w:p>
          <w:p>
            <w:pPr>
              <w:pStyle w:val="TableParagraph"/>
              <w:ind w:left="70"/>
              <w:rPr>
                <w:sz w:val="20"/>
              </w:rPr>
            </w:pPr>
            <w:r>
              <w:rPr>
                <w:sz w:val="20"/>
              </w:rPr>
              <w:t>Ejecución</w:t>
            </w:r>
            <w:r>
              <w:rPr>
                <w:spacing w:val="-7"/>
                <w:sz w:val="20"/>
              </w:rPr>
              <w:t> </w:t>
            </w:r>
            <w:r>
              <w:rPr>
                <w:sz w:val="20"/>
              </w:rPr>
              <w:t>presupuestaria</w:t>
            </w:r>
            <w:r>
              <w:rPr>
                <w:spacing w:val="-9"/>
                <w:sz w:val="20"/>
              </w:rPr>
              <w:t> </w:t>
            </w:r>
            <w:r>
              <w:rPr>
                <w:sz w:val="20"/>
              </w:rPr>
              <w:t>de</w:t>
            </w:r>
            <w:r>
              <w:rPr>
                <w:spacing w:val="-9"/>
                <w:sz w:val="20"/>
              </w:rPr>
              <w:t> </w:t>
            </w:r>
            <w:r>
              <w:rPr>
                <w:sz w:val="20"/>
              </w:rPr>
              <w:t>la</w:t>
            </w:r>
            <w:r>
              <w:rPr>
                <w:spacing w:val="-7"/>
                <w:sz w:val="20"/>
              </w:rPr>
              <w:t> </w:t>
            </w:r>
            <w:r>
              <w:rPr>
                <w:sz w:val="20"/>
              </w:rPr>
              <w:t>subpartida</w:t>
            </w:r>
            <w:r>
              <w:rPr>
                <w:spacing w:val="-8"/>
                <w:sz w:val="20"/>
              </w:rPr>
              <w:t> </w:t>
            </w:r>
            <w:r>
              <w:rPr>
                <w:sz w:val="20"/>
              </w:rPr>
              <w:t>de</w:t>
            </w:r>
            <w:r>
              <w:rPr>
                <w:spacing w:val="-9"/>
                <w:sz w:val="20"/>
              </w:rPr>
              <w:t> </w:t>
            </w:r>
            <w:r>
              <w:rPr>
                <w:spacing w:val="-2"/>
                <w:sz w:val="20"/>
              </w:rPr>
              <w:t>mantenimiento</w:t>
            </w:r>
          </w:p>
        </w:tc>
      </w:tr>
      <w:tr>
        <w:trPr>
          <w:trHeight w:val="630" w:hRule="atLeast"/>
        </w:trPr>
        <w:tc>
          <w:tcPr>
            <w:tcW w:w="2976" w:type="dxa"/>
            <w:shd w:val="clear" w:color="auto" w:fill="DCE6F0"/>
          </w:tcPr>
          <w:p>
            <w:pPr>
              <w:pStyle w:val="TableParagraph"/>
              <w:spacing w:before="201"/>
              <w:ind w:left="67"/>
              <w:rPr>
                <w:b/>
                <w:sz w:val="20"/>
              </w:rPr>
            </w:pPr>
            <w:r>
              <w:rPr>
                <w:b/>
                <w:spacing w:val="-2"/>
                <w:sz w:val="20"/>
              </w:rPr>
              <w:t>Clasificación</w:t>
            </w:r>
          </w:p>
        </w:tc>
        <w:tc>
          <w:tcPr>
            <w:tcW w:w="7513" w:type="dxa"/>
          </w:tcPr>
          <w:p>
            <w:pPr>
              <w:pStyle w:val="TableParagraph"/>
              <w:spacing w:before="201"/>
              <w:ind w:left="70"/>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900" w:hRule="atLeast"/>
        </w:trPr>
        <w:tc>
          <w:tcPr>
            <w:tcW w:w="2976" w:type="dxa"/>
            <w:shd w:val="clear" w:color="auto" w:fill="DCE6F0"/>
          </w:tcPr>
          <w:p>
            <w:pPr>
              <w:pStyle w:val="TableParagraph"/>
              <w:spacing w:before="106"/>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3" w:type="dxa"/>
          </w:tcPr>
          <w:p>
            <w:pPr>
              <w:pStyle w:val="TableParagraph"/>
              <w:spacing w:before="221"/>
              <w:ind w:left="70" w:right="133"/>
              <w:rPr>
                <w:sz w:val="20"/>
              </w:rPr>
            </w:pPr>
            <w:r>
              <w:rPr>
                <w:sz w:val="20"/>
              </w:rPr>
              <w:t>Mencionar</w:t>
            </w:r>
            <w:r>
              <w:rPr>
                <w:spacing w:val="-4"/>
                <w:sz w:val="20"/>
              </w:rPr>
              <w:t> </w:t>
            </w:r>
            <w:r>
              <w:rPr>
                <w:sz w:val="20"/>
              </w:rPr>
              <w:t>cualquier</w:t>
            </w:r>
            <w:r>
              <w:rPr>
                <w:spacing w:val="-4"/>
                <w:sz w:val="20"/>
              </w:rPr>
              <w:t> </w:t>
            </w:r>
            <w:r>
              <w:rPr>
                <w:sz w:val="20"/>
              </w:rPr>
              <w:t>observación</w:t>
            </w:r>
            <w:r>
              <w:rPr>
                <w:spacing w:val="-5"/>
                <w:sz w:val="20"/>
              </w:rPr>
              <w:t> </w:t>
            </w:r>
            <w:r>
              <w:rPr>
                <w:sz w:val="20"/>
              </w:rPr>
              <w:t>que</w:t>
            </w:r>
            <w:r>
              <w:rPr>
                <w:spacing w:val="-5"/>
                <w:sz w:val="20"/>
              </w:rPr>
              <w:t> </w:t>
            </w:r>
            <w:r>
              <w:rPr>
                <w:sz w:val="20"/>
              </w:rPr>
              <w:t>se</w:t>
            </w:r>
            <w:r>
              <w:rPr>
                <w:spacing w:val="-4"/>
                <w:sz w:val="20"/>
              </w:rPr>
              <w:t> </w:t>
            </w:r>
            <w:r>
              <w:rPr>
                <w:sz w:val="20"/>
              </w:rPr>
              <w:t>considere</w:t>
            </w:r>
            <w:r>
              <w:rPr>
                <w:spacing w:val="-4"/>
                <w:sz w:val="20"/>
              </w:rPr>
              <w:t> </w:t>
            </w:r>
            <w:r>
              <w:rPr>
                <w:sz w:val="20"/>
              </w:rPr>
              <w:t>necesaria</w:t>
            </w:r>
            <w:r>
              <w:rPr>
                <w:spacing w:val="-5"/>
                <w:sz w:val="20"/>
              </w:rPr>
              <w:t> </w:t>
            </w:r>
            <w:r>
              <w:rPr>
                <w:sz w:val="20"/>
              </w:rPr>
              <w:t>para</w:t>
            </w:r>
            <w:r>
              <w:rPr>
                <w:spacing w:val="-4"/>
                <w:sz w:val="20"/>
              </w:rPr>
              <w:t> </w:t>
            </w:r>
            <w:r>
              <w:rPr>
                <w:sz w:val="20"/>
              </w:rPr>
              <w:t>que</w:t>
            </w:r>
            <w:r>
              <w:rPr>
                <w:spacing w:val="-4"/>
                <w:sz w:val="20"/>
              </w:rPr>
              <w:t> </w:t>
            </w:r>
            <w:r>
              <w:rPr>
                <w:sz w:val="20"/>
              </w:rPr>
              <w:t>el</w:t>
            </w:r>
            <w:r>
              <w:rPr>
                <w:spacing w:val="-5"/>
                <w:sz w:val="20"/>
              </w:rPr>
              <w:t> </w:t>
            </w:r>
            <w:r>
              <w:rPr>
                <w:sz w:val="20"/>
              </w:rPr>
              <w:t>usuario obtenga una mejor comprensión del indicador</w:t>
            </w:r>
          </w:p>
        </w:tc>
      </w:tr>
    </w:tbl>
    <w:p>
      <w:pPr>
        <w:pStyle w:val="BodyText"/>
        <w:rPr>
          <w:b/>
          <w:sz w:val="20"/>
        </w:rPr>
      </w:pPr>
    </w:p>
    <w:p>
      <w:pPr>
        <w:pStyle w:val="BodyText"/>
        <w:spacing w:before="113"/>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602" w:hRule="atLeast"/>
        </w:trPr>
        <w:tc>
          <w:tcPr>
            <w:tcW w:w="2835" w:type="dxa"/>
            <w:shd w:val="clear" w:color="auto" w:fill="DCE6F0"/>
          </w:tcPr>
          <w:p>
            <w:pPr>
              <w:pStyle w:val="TableParagraph"/>
              <w:spacing w:before="184"/>
              <w:ind w:left="67"/>
              <w:rPr>
                <w:b/>
                <w:sz w:val="20"/>
              </w:rPr>
            </w:pPr>
            <w:r>
              <w:rPr>
                <w:b/>
                <w:sz w:val="20"/>
              </w:rPr>
              <w:t>PEC</w:t>
            </w:r>
            <w:r>
              <w:rPr>
                <w:b/>
                <w:spacing w:val="-5"/>
                <w:sz w:val="20"/>
              </w:rPr>
              <w:t> </w:t>
            </w:r>
            <w:r>
              <w:rPr>
                <w:b/>
                <w:spacing w:val="-2"/>
                <w:sz w:val="20"/>
              </w:rPr>
              <w:t>3.4.8:</w:t>
            </w:r>
          </w:p>
        </w:tc>
        <w:tc>
          <w:tcPr>
            <w:tcW w:w="7514" w:type="dxa"/>
          </w:tcPr>
          <w:p>
            <w:pPr>
              <w:pStyle w:val="TableParagraph"/>
              <w:spacing w:before="71"/>
              <w:ind w:left="69"/>
              <w:rPr>
                <w:sz w:val="20"/>
              </w:rPr>
            </w:pPr>
            <w:r>
              <w:rPr>
                <w:sz w:val="20"/>
              </w:rPr>
              <w:t>Nombre</w:t>
            </w:r>
            <w:r>
              <w:rPr>
                <w:spacing w:val="-4"/>
                <w:sz w:val="20"/>
              </w:rPr>
              <w:t> </w:t>
            </w:r>
            <w:r>
              <w:rPr>
                <w:sz w:val="20"/>
              </w:rPr>
              <w:t>del</w:t>
            </w:r>
            <w:r>
              <w:rPr>
                <w:spacing w:val="-7"/>
                <w:sz w:val="20"/>
              </w:rPr>
              <w:t> </w:t>
            </w:r>
            <w:r>
              <w:rPr>
                <w:sz w:val="20"/>
              </w:rPr>
              <w:t>Indicador:</w:t>
            </w:r>
            <w:r>
              <w:rPr>
                <w:spacing w:val="-4"/>
                <w:sz w:val="20"/>
              </w:rPr>
              <w:t> </w:t>
            </w:r>
            <w:r>
              <w:rPr>
                <w:sz w:val="20"/>
              </w:rPr>
              <w:t>Porcentaje</w:t>
            </w:r>
            <w:r>
              <w:rPr>
                <w:spacing w:val="-4"/>
                <w:sz w:val="20"/>
              </w:rPr>
              <w:t> </w:t>
            </w:r>
            <w:r>
              <w:rPr>
                <w:sz w:val="20"/>
              </w:rPr>
              <w:t>de</w:t>
            </w:r>
            <w:r>
              <w:rPr>
                <w:spacing w:val="-3"/>
                <w:sz w:val="20"/>
              </w:rPr>
              <w:t> </w:t>
            </w:r>
            <w:r>
              <w:rPr>
                <w:sz w:val="20"/>
              </w:rPr>
              <w:t>actividades</w:t>
            </w:r>
            <w:r>
              <w:rPr>
                <w:spacing w:val="-3"/>
                <w:sz w:val="20"/>
              </w:rPr>
              <w:t> </w:t>
            </w:r>
            <w:r>
              <w:rPr>
                <w:sz w:val="20"/>
              </w:rPr>
              <w:t>ejecutadas</w:t>
            </w:r>
            <w:r>
              <w:rPr>
                <w:spacing w:val="-5"/>
                <w:sz w:val="20"/>
              </w:rPr>
              <w:t> </w:t>
            </w:r>
            <w:r>
              <w:rPr>
                <w:sz w:val="20"/>
              </w:rPr>
              <w:t>de</w:t>
            </w:r>
            <w:r>
              <w:rPr>
                <w:spacing w:val="-6"/>
                <w:sz w:val="20"/>
              </w:rPr>
              <w:t> </w:t>
            </w:r>
            <w:r>
              <w:rPr>
                <w:sz w:val="20"/>
              </w:rPr>
              <w:t>acuerdo</w:t>
            </w:r>
            <w:r>
              <w:rPr>
                <w:spacing w:val="-6"/>
                <w:sz w:val="20"/>
              </w:rPr>
              <w:t> </w:t>
            </w:r>
            <w:r>
              <w:rPr>
                <w:sz w:val="20"/>
              </w:rPr>
              <w:t>con</w:t>
            </w:r>
            <w:r>
              <w:rPr>
                <w:spacing w:val="-6"/>
                <w:sz w:val="20"/>
              </w:rPr>
              <w:t> </w:t>
            </w:r>
            <w:r>
              <w:rPr>
                <w:sz w:val="20"/>
              </w:rPr>
              <w:t>la contratación de trademarketing</w:t>
            </w:r>
          </w:p>
        </w:tc>
      </w:tr>
      <w:tr>
        <w:trPr>
          <w:trHeight w:val="599" w:hRule="atLeast"/>
        </w:trPr>
        <w:tc>
          <w:tcPr>
            <w:tcW w:w="2835" w:type="dxa"/>
            <w:shd w:val="clear" w:color="auto" w:fill="DCE6F0"/>
          </w:tcPr>
          <w:p>
            <w:pPr>
              <w:pStyle w:val="TableParagraph"/>
              <w:spacing w:before="184"/>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before="69"/>
              <w:ind w:left="69"/>
              <w:rPr>
                <w:sz w:val="20"/>
              </w:rPr>
            </w:pPr>
            <w:r>
              <w:rPr>
                <w:sz w:val="20"/>
              </w:rPr>
              <w:t>actividades</w:t>
            </w:r>
            <w:r>
              <w:rPr>
                <w:spacing w:val="-5"/>
                <w:sz w:val="20"/>
              </w:rPr>
              <w:t> </w:t>
            </w:r>
            <w:r>
              <w:rPr>
                <w:sz w:val="20"/>
              </w:rPr>
              <w:t>de</w:t>
            </w:r>
            <w:r>
              <w:rPr>
                <w:spacing w:val="-6"/>
                <w:sz w:val="20"/>
              </w:rPr>
              <w:t> </w:t>
            </w:r>
            <w:r>
              <w:rPr>
                <w:sz w:val="20"/>
              </w:rPr>
              <w:t>la</w:t>
            </w:r>
            <w:r>
              <w:rPr>
                <w:spacing w:val="-6"/>
                <w:sz w:val="20"/>
              </w:rPr>
              <w:t> </w:t>
            </w:r>
            <w:r>
              <w:rPr>
                <w:sz w:val="20"/>
              </w:rPr>
              <w:t>campaña</w:t>
            </w:r>
            <w:r>
              <w:rPr>
                <w:spacing w:val="-4"/>
                <w:sz w:val="20"/>
              </w:rPr>
              <w:t> </w:t>
            </w:r>
            <w:r>
              <w:rPr>
                <w:sz w:val="20"/>
              </w:rPr>
              <w:t>ejecutadas/</w:t>
            </w:r>
            <w:r>
              <w:rPr>
                <w:spacing w:val="-4"/>
                <w:sz w:val="20"/>
              </w:rPr>
              <w:t> </w:t>
            </w:r>
            <w:r>
              <w:rPr>
                <w:sz w:val="20"/>
              </w:rPr>
              <w:t>actividades</w:t>
            </w:r>
            <w:r>
              <w:rPr>
                <w:spacing w:val="-5"/>
                <w:sz w:val="20"/>
              </w:rPr>
              <w:t> </w:t>
            </w:r>
            <w:r>
              <w:rPr>
                <w:sz w:val="20"/>
              </w:rPr>
              <w:t>de</w:t>
            </w:r>
            <w:r>
              <w:rPr>
                <w:spacing w:val="-5"/>
                <w:sz w:val="20"/>
              </w:rPr>
              <w:t> </w:t>
            </w:r>
            <w:r>
              <w:rPr>
                <w:sz w:val="20"/>
              </w:rPr>
              <w:t>la</w:t>
            </w:r>
            <w:r>
              <w:rPr>
                <w:spacing w:val="-6"/>
                <w:sz w:val="20"/>
              </w:rPr>
              <w:t> </w:t>
            </w:r>
            <w:r>
              <w:rPr>
                <w:sz w:val="20"/>
              </w:rPr>
              <w:t>campaña</w:t>
            </w:r>
            <w:r>
              <w:rPr>
                <w:spacing w:val="-7"/>
                <w:sz w:val="20"/>
              </w:rPr>
              <w:t> </w:t>
            </w:r>
            <w:r>
              <w:rPr>
                <w:sz w:val="20"/>
              </w:rPr>
              <w:t>programadas</w:t>
            </w:r>
            <w:r>
              <w:rPr>
                <w:spacing w:val="-3"/>
                <w:sz w:val="20"/>
              </w:rPr>
              <w:t> </w:t>
            </w:r>
            <w:r>
              <w:rPr>
                <w:sz w:val="20"/>
              </w:rPr>
              <w:t>* </w:t>
            </w:r>
            <w:r>
              <w:rPr>
                <w:spacing w:val="-4"/>
                <w:sz w:val="20"/>
              </w:rPr>
              <w:t>100</w:t>
            </w:r>
          </w:p>
        </w:tc>
      </w:tr>
      <w:tr>
        <w:trPr>
          <w:trHeight w:val="313" w:hRule="atLeast"/>
        </w:trPr>
        <w:tc>
          <w:tcPr>
            <w:tcW w:w="2835" w:type="dxa"/>
            <w:shd w:val="clear" w:color="auto" w:fill="DCE6F0"/>
          </w:tcPr>
          <w:p>
            <w:pPr>
              <w:pStyle w:val="TableParagraph"/>
              <w:spacing w:before="40"/>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40"/>
              <w:ind w:left="69"/>
              <w:rPr>
                <w:sz w:val="20"/>
              </w:rPr>
            </w:pPr>
            <w:r>
              <w:rPr>
                <w:spacing w:val="-2"/>
                <w:sz w:val="20"/>
              </w:rPr>
              <w:t>porcentaje</w:t>
            </w:r>
          </w:p>
        </w:tc>
      </w:tr>
      <w:tr>
        <w:trPr>
          <w:trHeight w:val="1852" w:hRule="atLeast"/>
        </w:trPr>
        <w:tc>
          <w:tcPr>
            <w:tcW w:w="2835" w:type="dxa"/>
            <w:shd w:val="clear" w:color="auto" w:fill="DCE6F0"/>
          </w:tcPr>
          <w:p>
            <w:pPr>
              <w:pStyle w:val="TableParagraph"/>
              <w:rPr>
                <w:b/>
                <w:sz w:val="20"/>
              </w:rPr>
            </w:pPr>
          </w:p>
          <w:p>
            <w:pPr>
              <w:pStyle w:val="TableParagraph"/>
              <w:rPr>
                <w:b/>
                <w:sz w:val="20"/>
              </w:rPr>
            </w:pPr>
          </w:p>
          <w:p>
            <w:pPr>
              <w:pStyle w:val="TableParagraph"/>
              <w:spacing w:before="121"/>
              <w:rPr>
                <w:b/>
                <w:sz w:val="20"/>
              </w:rPr>
            </w:pPr>
          </w:p>
          <w:p>
            <w:pPr>
              <w:pStyle w:val="TableParagraph"/>
              <w:ind w:left="67"/>
              <w:rPr>
                <w:b/>
                <w:sz w:val="20"/>
              </w:rPr>
            </w:pPr>
            <w:r>
              <w:rPr>
                <w:b/>
                <w:spacing w:val="-2"/>
                <w:sz w:val="20"/>
              </w:rPr>
              <w:t>Interpretación:</w:t>
            </w:r>
          </w:p>
        </w:tc>
        <w:tc>
          <w:tcPr>
            <w:tcW w:w="7514" w:type="dxa"/>
          </w:tcPr>
          <w:p>
            <w:pPr>
              <w:pStyle w:val="TableParagraph"/>
              <w:spacing w:before="122"/>
              <w:ind w:left="69" w:right="170"/>
              <w:rPr>
                <w:sz w:val="20"/>
              </w:rPr>
            </w:pPr>
            <w:r>
              <w:rPr>
                <w:sz w:val="20"/>
              </w:rPr>
              <w:t>Consiste en la ejecución de una campaña de mercadeo para la implementación detallada de material POP, elementos de rotulación y branding, mejoras en la experiencia de compra mediante tecnología LED, y material de apoyo promocional. Estas acciones buscan capitalizar las tendencias positivas del mercado</w:t>
            </w:r>
            <w:r>
              <w:rPr>
                <w:spacing w:val="-3"/>
                <w:sz w:val="20"/>
              </w:rPr>
              <w:t> </w:t>
            </w:r>
            <w:r>
              <w:rPr>
                <w:sz w:val="20"/>
              </w:rPr>
              <w:t>global</w:t>
            </w:r>
            <w:r>
              <w:rPr>
                <w:spacing w:val="-6"/>
                <w:sz w:val="20"/>
              </w:rPr>
              <w:t> </w:t>
            </w:r>
            <w:r>
              <w:rPr>
                <w:sz w:val="20"/>
              </w:rPr>
              <w:t>y</w:t>
            </w:r>
            <w:r>
              <w:rPr>
                <w:spacing w:val="-4"/>
                <w:sz w:val="20"/>
              </w:rPr>
              <w:t> </w:t>
            </w:r>
            <w:r>
              <w:rPr>
                <w:sz w:val="20"/>
              </w:rPr>
              <w:t>el</w:t>
            </w:r>
            <w:r>
              <w:rPr>
                <w:spacing w:val="-6"/>
                <w:sz w:val="20"/>
              </w:rPr>
              <w:t> </w:t>
            </w:r>
            <w:r>
              <w:rPr>
                <w:sz w:val="20"/>
              </w:rPr>
              <w:t>creciente</w:t>
            </w:r>
            <w:r>
              <w:rPr>
                <w:spacing w:val="-6"/>
                <w:sz w:val="20"/>
              </w:rPr>
              <w:t> </w:t>
            </w:r>
            <w:r>
              <w:rPr>
                <w:sz w:val="20"/>
              </w:rPr>
              <w:t>tráfico</w:t>
            </w:r>
            <w:r>
              <w:rPr>
                <w:spacing w:val="-5"/>
                <w:sz w:val="20"/>
              </w:rPr>
              <w:t> </w:t>
            </w:r>
            <w:r>
              <w:rPr>
                <w:sz w:val="20"/>
              </w:rPr>
              <w:t>de</w:t>
            </w:r>
            <w:r>
              <w:rPr>
                <w:spacing w:val="-3"/>
                <w:sz w:val="20"/>
              </w:rPr>
              <w:t> </w:t>
            </w:r>
            <w:r>
              <w:rPr>
                <w:sz w:val="20"/>
              </w:rPr>
              <w:t>pasajeros</w:t>
            </w:r>
            <w:r>
              <w:rPr>
                <w:spacing w:val="-3"/>
                <w:sz w:val="20"/>
              </w:rPr>
              <w:t> </w:t>
            </w:r>
            <w:r>
              <w:rPr>
                <w:sz w:val="20"/>
              </w:rPr>
              <w:t>en</w:t>
            </w:r>
            <w:r>
              <w:rPr>
                <w:spacing w:val="-5"/>
                <w:sz w:val="20"/>
              </w:rPr>
              <w:t> </w:t>
            </w:r>
            <w:r>
              <w:rPr>
                <w:sz w:val="20"/>
              </w:rPr>
              <w:t>Costa</w:t>
            </w:r>
            <w:r>
              <w:rPr>
                <w:spacing w:val="-6"/>
                <w:sz w:val="20"/>
              </w:rPr>
              <w:t> </w:t>
            </w:r>
            <w:r>
              <w:rPr>
                <w:sz w:val="20"/>
              </w:rPr>
              <w:t>Rica,</w:t>
            </w:r>
            <w:r>
              <w:rPr>
                <w:spacing w:val="-5"/>
                <w:sz w:val="20"/>
              </w:rPr>
              <w:t> </w:t>
            </w:r>
            <w:r>
              <w:rPr>
                <w:sz w:val="20"/>
              </w:rPr>
              <w:t>diferenciando</w:t>
            </w:r>
            <w:r>
              <w:rPr>
                <w:spacing w:val="-4"/>
                <w:sz w:val="20"/>
              </w:rPr>
              <w:t> </w:t>
            </w:r>
            <w:r>
              <w:rPr>
                <w:sz w:val="20"/>
              </w:rPr>
              <w:t>a IMAS</w:t>
            </w:r>
            <w:r>
              <w:rPr>
                <w:spacing w:val="-4"/>
                <w:sz w:val="20"/>
              </w:rPr>
              <w:t> </w:t>
            </w:r>
            <w:r>
              <w:rPr>
                <w:sz w:val="20"/>
              </w:rPr>
              <w:t>a</w:t>
            </w:r>
            <w:r>
              <w:rPr>
                <w:spacing w:val="-2"/>
                <w:sz w:val="20"/>
              </w:rPr>
              <w:t> </w:t>
            </w:r>
            <w:r>
              <w:rPr>
                <w:sz w:val="20"/>
              </w:rPr>
              <w:t>través</w:t>
            </w:r>
            <w:r>
              <w:rPr>
                <w:spacing w:val="-3"/>
                <w:sz w:val="20"/>
              </w:rPr>
              <w:t> </w:t>
            </w:r>
            <w:r>
              <w:rPr>
                <w:sz w:val="20"/>
              </w:rPr>
              <w:t>de</w:t>
            </w:r>
            <w:r>
              <w:rPr>
                <w:spacing w:val="-5"/>
                <w:sz w:val="20"/>
              </w:rPr>
              <w:t> </w:t>
            </w:r>
            <w:r>
              <w:rPr>
                <w:sz w:val="20"/>
              </w:rPr>
              <w:t>su</w:t>
            </w:r>
            <w:r>
              <w:rPr>
                <w:spacing w:val="-2"/>
                <w:sz w:val="20"/>
              </w:rPr>
              <w:t> </w:t>
            </w:r>
            <w:r>
              <w:rPr>
                <w:sz w:val="20"/>
              </w:rPr>
              <w:t>misión</w:t>
            </w:r>
            <w:r>
              <w:rPr>
                <w:spacing w:val="-2"/>
                <w:sz w:val="20"/>
              </w:rPr>
              <w:t> </w:t>
            </w:r>
            <w:r>
              <w:rPr>
                <w:sz w:val="20"/>
              </w:rPr>
              <w:t>social</w:t>
            </w:r>
            <w:r>
              <w:rPr>
                <w:spacing w:val="-5"/>
                <w:sz w:val="20"/>
              </w:rPr>
              <w:t> </w:t>
            </w:r>
            <w:r>
              <w:rPr>
                <w:sz w:val="20"/>
              </w:rPr>
              <w:t>"Do</w:t>
            </w:r>
            <w:r>
              <w:rPr>
                <w:spacing w:val="-2"/>
                <w:sz w:val="20"/>
              </w:rPr>
              <w:t> </w:t>
            </w:r>
            <w:r>
              <w:rPr>
                <w:sz w:val="20"/>
              </w:rPr>
              <w:t>Good</w:t>
            </w:r>
            <w:r>
              <w:rPr>
                <w:spacing w:val="-4"/>
                <w:sz w:val="20"/>
              </w:rPr>
              <w:t> </w:t>
            </w:r>
            <w:r>
              <w:rPr>
                <w:sz w:val="20"/>
              </w:rPr>
              <w:t>Shopping,</w:t>
            </w:r>
            <w:r>
              <w:rPr>
                <w:spacing w:val="-2"/>
                <w:sz w:val="20"/>
              </w:rPr>
              <w:t> </w:t>
            </w:r>
            <w:r>
              <w:rPr>
                <w:sz w:val="20"/>
              </w:rPr>
              <w:t>empower</w:t>
            </w:r>
            <w:r>
              <w:rPr>
                <w:spacing w:val="-1"/>
                <w:sz w:val="20"/>
              </w:rPr>
              <w:t> </w:t>
            </w:r>
            <w:r>
              <w:rPr>
                <w:sz w:val="20"/>
              </w:rPr>
              <w:t>lives</w:t>
            </w:r>
            <w:r>
              <w:rPr>
                <w:spacing w:val="-3"/>
                <w:sz w:val="20"/>
              </w:rPr>
              <w:t> </w:t>
            </w:r>
            <w:r>
              <w:rPr>
                <w:sz w:val="20"/>
              </w:rPr>
              <w:t>with</w:t>
            </w:r>
            <w:r>
              <w:rPr>
                <w:spacing w:val="-2"/>
                <w:sz w:val="20"/>
              </w:rPr>
              <w:t> </w:t>
            </w:r>
            <w:r>
              <w:rPr>
                <w:sz w:val="20"/>
              </w:rPr>
              <w:t>every </w:t>
            </w:r>
            <w:r>
              <w:rPr>
                <w:spacing w:val="-2"/>
                <w:sz w:val="20"/>
              </w:rPr>
              <w:t>buy".</w:t>
            </w:r>
          </w:p>
        </w:tc>
      </w:tr>
      <w:tr>
        <w:trPr>
          <w:trHeight w:val="851" w:hRule="atLeast"/>
        </w:trPr>
        <w:tc>
          <w:tcPr>
            <w:tcW w:w="2835" w:type="dxa"/>
            <w:shd w:val="clear" w:color="auto" w:fill="DCE6F0"/>
          </w:tcPr>
          <w:p>
            <w:pPr>
              <w:pStyle w:val="TableParagraph"/>
              <w:spacing w:before="81"/>
              <w:rPr>
                <w:b/>
                <w:sz w:val="20"/>
              </w:rPr>
            </w:pPr>
          </w:p>
          <w:p>
            <w:pPr>
              <w:pStyle w:val="TableParagraph"/>
              <w:ind w:left="67"/>
              <w:rPr>
                <w:b/>
                <w:sz w:val="20"/>
              </w:rPr>
            </w:pPr>
            <w:r>
              <w:rPr>
                <w:b/>
                <w:spacing w:val="-2"/>
                <w:sz w:val="20"/>
              </w:rPr>
              <w:t>Desagregación</w:t>
            </w:r>
          </w:p>
        </w:tc>
        <w:tc>
          <w:tcPr>
            <w:tcW w:w="7514" w:type="dxa"/>
          </w:tcPr>
          <w:p>
            <w:pPr>
              <w:pStyle w:val="TableParagraph"/>
              <w:spacing w:before="196"/>
              <w:ind w:left="69"/>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316" w:hRule="atLeast"/>
        </w:trPr>
        <w:tc>
          <w:tcPr>
            <w:tcW w:w="2835" w:type="dxa"/>
            <w:shd w:val="clear" w:color="auto" w:fill="DCE6F0"/>
          </w:tcPr>
          <w:p>
            <w:pPr>
              <w:pStyle w:val="TableParagraph"/>
              <w:spacing w:before="42"/>
              <w:ind w:left="67"/>
              <w:rPr>
                <w:b/>
                <w:sz w:val="20"/>
              </w:rPr>
            </w:pPr>
            <w:r>
              <w:rPr>
                <w:b/>
                <w:spacing w:val="-2"/>
                <w:sz w:val="20"/>
              </w:rPr>
              <w:t>Meta:</w:t>
            </w:r>
          </w:p>
        </w:tc>
        <w:tc>
          <w:tcPr>
            <w:tcW w:w="7514" w:type="dxa"/>
          </w:tcPr>
          <w:p>
            <w:pPr>
              <w:pStyle w:val="TableParagraph"/>
              <w:spacing w:before="42"/>
              <w:ind w:left="69"/>
              <w:rPr>
                <w:sz w:val="20"/>
              </w:rPr>
            </w:pPr>
            <w:r>
              <w:rPr>
                <w:spacing w:val="-4"/>
                <w:sz w:val="20"/>
              </w:rPr>
              <w:t>100%</w:t>
            </w:r>
          </w:p>
        </w:tc>
      </w:tr>
      <w:tr>
        <w:trPr>
          <w:trHeight w:val="313" w:hRule="atLeast"/>
        </w:trPr>
        <w:tc>
          <w:tcPr>
            <w:tcW w:w="2835" w:type="dxa"/>
            <w:shd w:val="clear" w:color="auto" w:fill="DCE6F0"/>
          </w:tcPr>
          <w:p>
            <w:pPr>
              <w:pStyle w:val="TableParagraph"/>
              <w:spacing w:before="40"/>
              <w:ind w:left="67"/>
              <w:rPr>
                <w:b/>
                <w:sz w:val="20"/>
              </w:rPr>
            </w:pPr>
            <w:r>
              <w:rPr>
                <w:b/>
                <w:sz w:val="20"/>
              </w:rPr>
              <w:t>Línea</w:t>
            </w:r>
            <w:r>
              <w:rPr>
                <w:b/>
                <w:spacing w:val="-10"/>
                <w:sz w:val="20"/>
              </w:rPr>
              <w:t> </w:t>
            </w:r>
            <w:r>
              <w:rPr>
                <w:b/>
                <w:spacing w:val="-4"/>
                <w:sz w:val="20"/>
              </w:rPr>
              <w:t>Base</w:t>
            </w:r>
          </w:p>
        </w:tc>
        <w:tc>
          <w:tcPr>
            <w:tcW w:w="7514" w:type="dxa"/>
          </w:tcPr>
          <w:p>
            <w:pPr>
              <w:pStyle w:val="TableParagraph"/>
              <w:spacing w:before="40"/>
              <w:ind w:left="69"/>
              <w:rPr>
                <w:sz w:val="20"/>
              </w:rPr>
            </w:pPr>
            <w:r>
              <w:rPr>
                <w:spacing w:val="-5"/>
                <w:sz w:val="20"/>
              </w:rPr>
              <w:t>n/d</w:t>
            </w:r>
          </w:p>
        </w:tc>
      </w:tr>
      <w:tr>
        <w:trPr>
          <w:trHeight w:val="734" w:hRule="atLeast"/>
        </w:trPr>
        <w:tc>
          <w:tcPr>
            <w:tcW w:w="2835" w:type="dxa"/>
            <w:shd w:val="clear" w:color="auto" w:fill="DCE6F0"/>
          </w:tcPr>
          <w:p>
            <w:pPr>
              <w:pStyle w:val="TableParagraph"/>
              <w:spacing w:before="13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21"/>
              <w:rPr>
                <w:b/>
                <w:sz w:val="20"/>
              </w:rPr>
            </w:pPr>
          </w:p>
          <w:p>
            <w:pPr>
              <w:pStyle w:val="TableParagraph"/>
              <w:ind w:left="69"/>
              <w:rPr>
                <w:sz w:val="20"/>
              </w:rPr>
            </w:pPr>
            <w:r>
              <w:rPr>
                <w:spacing w:val="-2"/>
                <w:sz w:val="20"/>
              </w:rPr>
              <w:t>trimestral</w:t>
            </w:r>
          </w:p>
        </w:tc>
      </w:tr>
      <w:tr>
        <w:trPr>
          <w:trHeight w:val="945" w:hRule="atLeast"/>
        </w:trPr>
        <w:tc>
          <w:tcPr>
            <w:tcW w:w="2835" w:type="dxa"/>
            <w:shd w:val="clear" w:color="auto" w:fill="DCE6F0"/>
          </w:tcPr>
          <w:p>
            <w:pPr>
              <w:pStyle w:val="TableParagraph"/>
              <w:spacing w:before="12"/>
              <w:rPr>
                <w:b/>
                <w:sz w:val="20"/>
              </w:rPr>
            </w:pPr>
          </w:p>
          <w:p>
            <w:pPr>
              <w:pStyle w:val="TableParagraph"/>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12"/>
              <w:rPr>
                <w:b/>
                <w:sz w:val="20"/>
              </w:rPr>
            </w:pPr>
          </w:p>
          <w:p>
            <w:pPr>
              <w:pStyle w:val="TableParagraph"/>
              <w:ind w:left="69" w:right="2852"/>
              <w:rPr>
                <w:sz w:val="20"/>
              </w:rPr>
            </w:pPr>
            <w:r>
              <w:rPr>
                <w:sz w:val="20"/>
              </w:rPr>
              <w:t>Nombre</w:t>
            </w:r>
            <w:r>
              <w:rPr>
                <w:spacing w:val="-7"/>
                <w:sz w:val="20"/>
              </w:rPr>
              <w:t> </w:t>
            </w:r>
            <w:r>
              <w:rPr>
                <w:sz w:val="20"/>
              </w:rPr>
              <w:t>del</w:t>
            </w:r>
            <w:r>
              <w:rPr>
                <w:spacing w:val="-10"/>
                <w:sz w:val="20"/>
              </w:rPr>
              <w:t> </w:t>
            </w:r>
            <w:r>
              <w:rPr>
                <w:sz w:val="20"/>
              </w:rPr>
              <w:t>funcionario:</w:t>
            </w:r>
            <w:r>
              <w:rPr>
                <w:spacing w:val="-9"/>
                <w:sz w:val="20"/>
              </w:rPr>
              <w:t> </w:t>
            </w:r>
            <w:r>
              <w:rPr>
                <w:sz w:val="20"/>
              </w:rPr>
              <w:t>Maria</w:t>
            </w:r>
            <w:r>
              <w:rPr>
                <w:spacing w:val="-10"/>
                <w:sz w:val="20"/>
              </w:rPr>
              <w:t> </w:t>
            </w:r>
            <w:r>
              <w:rPr>
                <w:sz w:val="20"/>
              </w:rPr>
              <w:t>Damaris</w:t>
            </w:r>
            <w:r>
              <w:rPr>
                <w:spacing w:val="-8"/>
                <w:sz w:val="20"/>
              </w:rPr>
              <w:t> </w:t>
            </w:r>
            <w:r>
              <w:rPr>
                <w:sz w:val="20"/>
              </w:rPr>
              <w:t>Rojas Cargo: Jefatura de Mercadeo y ventas</w:t>
            </w:r>
          </w:p>
        </w:tc>
      </w:tr>
    </w:tbl>
    <w:p>
      <w:pPr>
        <w:pStyle w:val="TableParagraph"/>
        <w:spacing w:after="0"/>
        <w:rPr>
          <w:sz w:val="20"/>
        </w:rPr>
        <w:sectPr>
          <w:type w:val="continuous"/>
          <w:pgSz w:w="12240" w:h="15840"/>
          <w:pgMar w:header="0" w:footer="2082" w:top="1400" w:bottom="2600"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945" w:hRule="atLeast"/>
        </w:trPr>
        <w:tc>
          <w:tcPr>
            <w:tcW w:w="2835" w:type="dxa"/>
            <w:shd w:val="clear" w:color="auto" w:fill="DCE6F0"/>
          </w:tcPr>
          <w:p>
            <w:pPr>
              <w:pStyle w:val="TableParagraph"/>
              <w:spacing w:before="12"/>
              <w:rPr>
                <w:b/>
                <w:sz w:val="20"/>
              </w:rPr>
            </w:pPr>
          </w:p>
          <w:p>
            <w:pPr>
              <w:pStyle w:val="TableParagraph"/>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127"/>
              <w:rPr>
                <w:b/>
                <w:sz w:val="20"/>
              </w:rPr>
            </w:pPr>
          </w:p>
          <w:p>
            <w:pPr>
              <w:pStyle w:val="TableParagraph"/>
              <w:ind w:left="69"/>
              <w:rPr>
                <w:sz w:val="20"/>
              </w:rPr>
            </w:pPr>
            <w:r>
              <w:rPr>
                <w:sz w:val="20"/>
              </w:rPr>
              <w:t>Empresas</w:t>
            </w:r>
            <w:r>
              <w:rPr>
                <w:spacing w:val="-14"/>
                <w:sz w:val="20"/>
              </w:rPr>
              <w:t> </w:t>
            </w:r>
            <w:r>
              <w:rPr>
                <w:spacing w:val="-2"/>
                <w:sz w:val="20"/>
              </w:rPr>
              <w:t>Comerciales</w:t>
            </w:r>
          </w:p>
        </w:tc>
      </w:tr>
      <w:tr>
        <w:trPr>
          <w:trHeight w:val="314" w:hRule="atLeast"/>
        </w:trPr>
        <w:tc>
          <w:tcPr>
            <w:tcW w:w="2835" w:type="dxa"/>
            <w:shd w:val="clear" w:color="auto" w:fill="DCE6F0"/>
          </w:tcPr>
          <w:p>
            <w:pPr>
              <w:pStyle w:val="TableParagraph"/>
              <w:spacing w:before="40"/>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40"/>
              <w:ind w:left="69"/>
              <w:rPr>
                <w:sz w:val="20"/>
              </w:rPr>
            </w:pPr>
            <w:r>
              <w:rPr>
                <w:sz w:val="20"/>
              </w:rPr>
              <w:t>Informes</w:t>
            </w:r>
            <w:r>
              <w:rPr>
                <w:spacing w:val="-7"/>
                <w:sz w:val="20"/>
              </w:rPr>
              <w:t> </w:t>
            </w:r>
            <w:r>
              <w:rPr>
                <w:spacing w:val="-2"/>
                <w:sz w:val="20"/>
              </w:rPr>
              <w:t>semestrales</w:t>
            </w:r>
          </w:p>
        </w:tc>
      </w:tr>
      <w:tr>
        <w:trPr>
          <w:trHeight w:val="630" w:hRule="atLeast"/>
        </w:trPr>
        <w:tc>
          <w:tcPr>
            <w:tcW w:w="2835" w:type="dxa"/>
            <w:shd w:val="clear" w:color="auto" w:fill="DCE6F0"/>
          </w:tcPr>
          <w:p>
            <w:pPr>
              <w:pStyle w:val="TableParagraph"/>
              <w:spacing w:before="198"/>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198"/>
              <w:ind w:left="69"/>
              <w:rPr>
                <w:sz w:val="20"/>
              </w:rPr>
            </w:pPr>
            <w:r>
              <w:rPr>
                <w:sz w:val="20"/>
              </w:rPr>
              <w:t>Campañas</w:t>
            </w:r>
            <w:r>
              <w:rPr>
                <w:spacing w:val="-7"/>
                <w:sz w:val="20"/>
              </w:rPr>
              <w:t> </w:t>
            </w:r>
            <w:r>
              <w:rPr>
                <w:sz w:val="20"/>
              </w:rPr>
              <w:t>en</w:t>
            </w:r>
            <w:r>
              <w:rPr>
                <w:spacing w:val="-10"/>
                <w:sz w:val="20"/>
              </w:rPr>
              <w:t> </w:t>
            </w:r>
            <w:r>
              <w:rPr>
                <w:spacing w:val="-2"/>
                <w:sz w:val="20"/>
              </w:rPr>
              <w:t>ejecución</w:t>
            </w:r>
          </w:p>
        </w:tc>
      </w:tr>
      <w:tr>
        <w:trPr>
          <w:trHeight w:val="628" w:hRule="atLeast"/>
        </w:trPr>
        <w:tc>
          <w:tcPr>
            <w:tcW w:w="2835" w:type="dxa"/>
            <w:shd w:val="clear" w:color="auto" w:fill="DCE6F0"/>
          </w:tcPr>
          <w:p>
            <w:pPr>
              <w:pStyle w:val="TableParagraph"/>
              <w:spacing w:before="198"/>
              <w:ind w:left="67"/>
              <w:rPr>
                <w:b/>
                <w:sz w:val="20"/>
              </w:rPr>
            </w:pPr>
            <w:r>
              <w:rPr>
                <w:b/>
                <w:spacing w:val="-2"/>
                <w:sz w:val="20"/>
              </w:rPr>
              <w:t>Clasificación</w:t>
            </w:r>
          </w:p>
        </w:tc>
        <w:tc>
          <w:tcPr>
            <w:tcW w:w="7514" w:type="dxa"/>
          </w:tcPr>
          <w:p>
            <w:pPr>
              <w:pStyle w:val="TableParagraph"/>
              <w:spacing w:before="198"/>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902" w:hRule="atLeast"/>
        </w:trPr>
        <w:tc>
          <w:tcPr>
            <w:tcW w:w="2835" w:type="dxa"/>
            <w:shd w:val="clear" w:color="auto" w:fill="DCE6F0"/>
          </w:tcPr>
          <w:p>
            <w:pPr>
              <w:pStyle w:val="TableParagraph"/>
              <w:spacing w:before="105"/>
              <w:rPr>
                <w:b/>
                <w:sz w:val="20"/>
              </w:rPr>
            </w:pPr>
          </w:p>
          <w:p>
            <w:pPr>
              <w:pStyle w:val="TableParagraph"/>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spacing w:before="220"/>
              <w:ind w:left="69"/>
              <w:rPr>
                <w:sz w:val="20"/>
              </w:rPr>
            </w:pPr>
            <w:r>
              <w:rPr>
                <w:sz w:val="20"/>
              </w:rPr>
              <w:t>Mencionar</w:t>
            </w:r>
            <w:r>
              <w:rPr>
                <w:spacing w:val="-4"/>
                <w:sz w:val="20"/>
              </w:rPr>
              <w:t> </w:t>
            </w:r>
            <w:r>
              <w:rPr>
                <w:sz w:val="20"/>
              </w:rPr>
              <w:t>cualquier</w:t>
            </w:r>
            <w:r>
              <w:rPr>
                <w:spacing w:val="-4"/>
                <w:sz w:val="20"/>
              </w:rPr>
              <w:t> </w:t>
            </w:r>
            <w:r>
              <w:rPr>
                <w:sz w:val="20"/>
              </w:rPr>
              <w:t>observación</w:t>
            </w:r>
            <w:r>
              <w:rPr>
                <w:spacing w:val="-5"/>
                <w:sz w:val="20"/>
              </w:rPr>
              <w:t> </w:t>
            </w:r>
            <w:r>
              <w:rPr>
                <w:sz w:val="20"/>
              </w:rPr>
              <w:t>que</w:t>
            </w:r>
            <w:r>
              <w:rPr>
                <w:spacing w:val="-5"/>
                <w:sz w:val="20"/>
              </w:rPr>
              <w:t> </w:t>
            </w:r>
            <w:r>
              <w:rPr>
                <w:sz w:val="20"/>
              </w:rPr>
              <w:t>se</w:t>
            </w:r>
            <w:r>
              <w:rPr>
                <w:spacing w:val="-4"/>
                <w:sz w:val="20"/>
              </w:rPr>
              <w:t> </w:t>
            </w:r>
            <w:r>
              <w:rPr>
                <w:sz w:val="20"/>
              </w:rPr>
              <w:t>considere</w:t>
            </w:r>
            <w:r>
              <w:rPr>
                <w:spacing w:val="-4"/>
                <w:sz w:val="20"/>
              </w:rPr>
              <w:t> </w:t>
            </w:r>
            <w:r>
              <w:rPr>
                <w:sz w:val="20"/>
              </w:rPr>
              <w:t>necesaria</w:t>
            </w:r>
            <w:r>
              <w:rPr>
                <w:spacing w:val="-5"/>
                <w:sz w:val="20"/>
              </w:rPr>
              <w:t> </w:t>
            </w:r>
            <w:r>
              <w:rPr>
                <w:sz w:val="20"/>
              </w:rPr>
              <w:t>para</w:t>
            </w:r>
            <w:r>
              <w:rPr>
                <w:spacing w:val="-4"/>
                <w:sz w:val="20"/>
              </w:rPr>
              <w:t> </w:t>
            </w:r>
            <w:r>
              <w:rPr>
                <w:sz w:val="20"/>
              </w:rPr>
              <w:t>que</w:t>
            </w:r>
            <w:r>
              <w:rPr>
                <w:spacing w:val="-4"/>
                <w:sz w:val="20"/>
              </w:rPr>
              <w:t> </w:t>
            </w:r>
            <w:r>
              <w:rPr>
                <w:sz w:val="20"/>
              </w:rPr>
              <w:t>el</w:t>
            </w:r>
            <w:r>
              <w:rPr>
                <w:spacing w:val="-5"/>
                <w:sz w:val="20"/>
              </w:rPr>
              <w:t> </w:t>
            </w:r>
            <w:r>
              <w:rPr>
                <w:sz w:val="20"/>
              </w:rPr>
              <w:t>usuario obtenga una mejor comprensión del indicador</w:t>
            </w:r>
          </w:p>
        </w:tc>
      </w:tr>
    </w:tbl>
    <w:p>
      <w:pPr>
        <w:pStyle w:val="BodyText"/>
        <w:rPr>
          <w:b/>
          <w:sz w:val="20"/>
        </w:rPr>
      </w:pPr>
    </w:p>
    <w:p>
      <w:pPr>
        <w:pStyle w:val="BodyText"/>
        <w:spacing w:before="112"/>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5"/>
        <w:gridCol w:w="7514"/>
      </w:tblGrid>
      <w:tr>
        <w:trPr>
          <w:trHeight w:val="494" w:hRule="atLeast"/>
        </w:trPr>
        <w:tc>
          <w:tcPr>
            <w:tcW w:w="2835" w:type="dxa"/>
            <w:shd w:val="clear" w:color="auto" w:fill="DCE6F0"/>
          </w:tcPr>
          <w:p>
            <w:pPr>
              <w:pStyle w:val="TableParagraph"/>
              <w:spacing w:before="131"/>
              <w:ind w:left="67"/>
              <w:rPr>
                <w:b/>
                <w:sz w:val="20"/>
              </w:rPr>
            </w:pPr>
            <w:r>
              <w:rPr>
                <w:b/>
                <w:sz w:val="20"/>
              </w:rPr>
              <w:t>PEC</w:t>
            </w:r>
            <w:r>
              <w:rPr>
                <w:b/>
                <w:spacing w:val="-5"/>
                <w:sz w:val="20"/>
              </w:rPr>
              <w:t> </w:t>
            </w:r>
            <w:r>
              <w:rPr>
                <w:b/>
                <w:spacing w:val="-2"/>
                <w:sz w:val="20"/>
              </w:rPr>
              <w:t>3.4.9:</w:t>
            </w:r>
          </w:p>
        </w:tc>
        <w:tc>
          <w:tcPr>
            <w:tcW w:w="7514" w:type="dxa"/>
          </w:tcPr>
          <w:p>
            <w:pPr>
              <w:pStyle w:val="TableParagraph"/>
              <w:spacing w:before="131"/>
              <w:ind w:left="69"/>
              <w:rPr>
                <w:sz w:val="20"/>
              </w:rPr>
            </w:pPr>
            <w:r>
              <w:rPr>
                <w:sz w:val="20"/>
              </w:rPr>
              <w:t>Nombre</w:t>
            </w:r>
            <w:r>
              <w:rPr>
                <w:spacing w:val="-9"/>
                <w:sz w:val="20"/>
              </w:rPr>
              <w:t> </w:t>
            </w:r>
            <w:r>
              <w:rPr>
                <w:sz w:val="20"/>
              </w:rPr>
              <w:t>del</w:t>
            </w:r>
            <w:r>
              <w:rPr>
                <w:spacing w:val="-10"/>
                <w:sz w:val="20"/>
              </w:rPr>
              <w:t> </w:t>
            </w:r>
            <w:r>
              <w:rPr>
                <w:sz w:val="20"/>
              </w:rPr>
              <w:t>Indicador:</w:t>
            </w:r>
            <w:r>
              <w:rPr>
                <w:spacing w:val="-8"/>
                <w:sz w:val="20"/>
              </w:rPr>
              <w:t> </w:t>
            </w:r>
            <w:r>
              <w:rPr>
                <w:sz w:val="20"/>
              </w:rPr>
              <w:t>Cantidad</w:t>
            </w:r>
            <w:r>
              <w:rPr>
                <w:spacing w:val="-10"/>
                <w:sz w:val="20"/>
              </w:rPr>
              <w:t> </w:t>
            </w:r>
            <w:r>
              <w:rPr>
                <w:sz w:val="20"/>
              </w:rPr>
              <w:t>de</w:t>
            </w:r>
            <w:r>
              <w:rPr>
                <w:spacing w:val="-8"/>
                <w:sz w:val="20"/>
              </w:rPr>
              <w:t> </w:t>
            </w:r>
            <w:r>
              <w:rPr>
                <w:sz w:val="20"/>
              </w:rPr>
              <w:t>contrataciones</w:t>
            </w:r>
            <w:r>
              <w:rPr>
                <w:spacing w:val="-9"/>
                <w:sz w:val="20"/>
              </w:rPr>
              <w:t> </w:t>
            </w:r>
            <w:r>
              <w:rPr>
                <w:spacing w:val="-2"/>
                <w:sz w:val="20"/>
              </w:rPr>
              <w:t>ejecutadas</w:t>
            </w:r>
          </w:p>
        </w:tc>
      </w:tr>
      <w:tr>
        <w:trPr>
          <w:trHeight w:val="491" w:hRule="atLeast"/>
        </w:trPr>
        <w:tc>
          <w:tcPr>
            <w:tcW w:w="2835" w:type="dxa"/>
            <w:shd w:val="clear" w:color="auto" w:fill="DCE6F0"/>
          </w:tcPr>
          <w:p>
            <w:pPr>
              <w:pStyle w:val="TableParagraph"/>
              <w:spacing w:before="131"/>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spacing w:before="131"/>
              <w:ind w:left="69"/>
              <w:rPr>
                <w:sz w:val="20"/>
              </w:rPr>
            </w:pPr>
            <w:r>
              <w:rPr>
                <w:sz w:val="20"/>
              </w:rPr>
              <w:t>Sumatoria</w:t>
            </w:r>
            <w:r>
              <w:rPr>
                <w:spacing w:val="-10"/>
                <w:sz w:val="20"/>
              </w:rPr>
              <w:t> </w:t>
            </w:r>
            <w:r>
              <w:rPr>
                <w:sz w:val="20"/>
              </w:rPr>
              <w:t>de</w:t>
            </w:r>
            <w:r>
              <w:rPr>
                <w:spacing w:val="-10"/>
                <w:sz w:val="20"/>
              </w:rPr>
              <w:t> </w:t>
            </w:r>
            <w:r>
              <w:rPr>
                <w:sz w:val="20"/>
              </w:rPr>
              <w:t>contrataciones</w:t>
            </w:r>
            <w:r>
              <w:rPr>
                <w:spacing w:val="-9"/>
                <w:sz w:val="20"/>
              </w:rPr>
              <w:t> </w:t>
            </w:r>
            <w:r>
              <w:rPr>
                <w:spacing w:val="-2"/>
                <w:sz w:val="20"/>
              </w:rPr>
              <w:t>realizadas</w:t>
            </w:r>
          </w:p>
        </w:tc>
      </w:tr>
      <w:tr>
        <w:trPr>
          <w:trHeight w:val="340" w:hRule="atLeast"/>
        </w:trPr>
        <w:tc>
          <w:tcPr>
            <w:tcW w:w="2835" w:type="dxa"/>
            <w:shd w:val="clear" w:color="auto" w:fill="DCE6F0"/>
          </w:tcPr>
          <w:p>
            <w:pPr>
              <w:pStyle w:val="TableParagraph"/>
              <w:spacing w:before="54"/>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54"/>
              <w:ind w:left="69"/>
              <w:rPr>
                <w:sz w:val="20"/>
              </w:rPr>
            </w:pPr>
            <w:r>
              <w:rPr>
                <w:spacing w:val="-2"/>
                <w:sz w:val="20"/>
              </w:rPr>
              <w:t>Cantidad</w:t>
            </w:r>
          </w:p>
        </w:tc>
      </w:tr>
      <w:tr>
        <w:trPr>
          <w:trHeight w:val="496" w:hRule="atLeast"/>
        </w:trPr>
        <w:tc>
          <w:tcPr>
            <w:tcW w:w="2835" w:type="dxa"/>
            <w:shd w:val="clear" w:color="auto" w:fill="DCE6F0"/>
          </w:tcPr>
          <w:p>
            <w:pPr>
              <w:pStyle w:val="TableParagraph"/>
              <w:spacing w:before="134"/>
              <w:ind w:left="67"/>
              <w:rPr>
                <w:b/>
                <w:sz w:val="20"/>
              </w:rPr>
            </w:pPr>
            <w:r>
              <w:rPr>
                <w:b/>
                <w:spacing w:val="-2"/>
                <w:sz w:val="20"/>
              </w:rPr>
              <w:t>Interpretación:</w:t>
            </w:r>
          </w:p>
        </w:tc>
        <w:tc>
          <w:tcPr>
            <w:tcW w:w="7514" w:type="dxa"/>
          </w:tcPr>
          <w:p>
            <w:pPr>
              <w:pStyle w:val="TableParagraph"/>
              <w:spacing w:line="230" w:lineRule="atLeast" w:before="16"/>
              <w:ind w:left="69"/>
              <w:rPr>
                <w:sz w:val="20"/>
              </w:rPr>
            </w:pPr>
            <w:r>
              <w:rPr>
                <w:sz w:val="20"/>
              </w:rPr>
              <w:t>Corresponde</w:t>
            </w:r>
            <w:r>
              <w:rPr>
                <w:spacing w:val="-5"/>
                <w:sz w:val="20"/>
              </w:rPr>
              <w:t> </w:t>
            </w:r>
            <w:r>
              <w:rPr>
                <w:sz w:val="20"/>
              </w:rPr>
              <w:t>a</w:t>
            </w:r>
            <w:r>
              <w:rPr>
                <w:spacing w:val="-4"/>
                <w:sz w:val="20"/>
              </w:rPr>
              <w:t> </w:t>
            </w:r>
            <w:r>
              <w:rPr>
                <w:sz w:val="20"/>
              </w:rPr>
              <w:t>la</w:t>
            </w:r>
            <w:r>
              <w:rPr>
                <w:spacing w:val="-3"/>
                <w:sz w:val="20"/>
              </w:rPr>
              <w:t> </w:t>
            </w:r>
            <w:r>
              <w:rPr>
                <w:sz w:val="20"/>
              </w:rPr>
              <w:t>ejecución de</w:t>
            </w:r>
            <w:r>
              <w:rPr>
                <w:spacing w:val="-4"/>
                <w:sz w:val="20"/>
              </w:rPr>
              <w:t> </w:t>
            </w:r>
            <w:r>
              <w:rPr>
                <w:sz w:val="20"/>
              </w:rPr>
              <w:t>la</w:t>
            </w:r>
            <w:r>
              <w:rPr>
                <w:spacing w:val="-5"/>
                <w:sz w:val="20"/>
              </w:rPr>
              <w:t> </w:t>
            </w:r>
            <w:r>
              <w:rPr>
                <w:sz w:val="20"/>
              </w:rPr>
              <w:t>contratación</w:t>
            </w:r>
            <w:r>
              <w:rPr>
                <w:spacing w:val="-4"/>
                <w:sz w:val="20"/>
              </w:rPr>
              <w:t> </w:t>
            </w:r>
            <w:r>
              <w:rPr>
                <w:sz w:val="20"/>
              </w:rPr>
              <w:t>de</w:t>
            </w:r>
            <w:r>
              <w:rPr>
                <w:spacing w:val="-4"/>
                <w:sz w:val="20"/>
              </w:rPr>
              <w:t> </w:t>
            </w:r>
            <w:r>
              <w:rPr>
                <w:sz w:val="20"/>
              </w:rPr>
              <w:t>Auditoría</w:t>
            </w:r>
            <w:r>
              <w:rPr>
                <w:spacing w:val="-5"/>
                <w:sz w:val="20"/>
              </w:rPr>
              <w:t> </w:t>
            </w:r>
            <w:r>
              <w:rPr>
                <w:sz w:val="20"/>
              </w:rPr>
              <w:t>externa</w:t>
            </w:r>
            <w:r>
              <w:rPr>
                <w:spacing w:val="-5"/>
                <w:sz w:val="20"/>
              </w:rPr>
              <w:t> </w:t>
            </w:r>
            <w:r>
              <w:rPr>
                <w:sz w:val="20"/>
              </w:rPr>
              <w:t>y</w:t>
            </w:r>
            <w:r>
              <w:rPr>
                <w:spacing w:val="-4"/>
                <w:sz w:val="20"/>
              </w:rPr>
              <w:t> </w:t>
            </w:r>
            <w:r>
              <w:rPr>
                <w:sz w:val="20"/>
              </w:rPr>
              <w:t>la</w:t>
            </w:r>
            <w:r>
              <w:rPr>
                <w:spacing w:val="-5"/>
                <w:sz w:val="20"/>
              </w:rPr>
              <w:t> </w:t>
            </w:r>
            <w:r>
              <w:rPr>
                <w:sz w:val="20"/>
              </w:rPr>
              <w:t>toma</w:t>
            </w:r>
            <w:r>
              <w:rPr>
                <w:spacing w:val="-5"/>
                <w:sz w:val="20"/>
              </w:rPr>
              <w:t> </w:t>
            </w:r>
            <w:r>
              <w:rPr>
                <w:sz w:val="20"/>
              </w:rPr>
              <w:t>física de inventario</w:t>
            </w:r>
          </w:p>
        </w:tc>
      </w:tr>
      <w:tr>
        <w:trPr>
          <w:trHeight w:val="846" w:hRule="atLeast"/>
        </w:trPr>
        <w:tc>
          <w:tcPr>
            <w:tcW w:w="2835" w:type="dxa"/>
            <w:shd w:val="clear" w:color="auto" w:fill="DCE6F0"/>
          </w:tcPr>
          <w:p>
            <w:pPr>
              <w:pStyle w:val="TableParagraph"/>
              <w:spacing w:before="79"/>
              <w:rPr>
                <w:b/>
                <w:sz w:val="20"/>
              </w:rPr>
            </w:pPr>
          </w:p>
          <w:p>
            <w:pPr>
              <w:pStyle w:val="TableParagraph"/>
              <w:ind w:left="67"/>
              <w:rPr>
                <w:b/>
                <w:sz w:val="20"/>
              </w:rPr>
            </w:pPr>
            <w:r>
              <w:rPr>
                <w:b/>
                <w:spacing w:val="-2"/>
                <w:sz w:val="20"/>
              </w:rPr>
              <w:t>Desagregación</w:t>
            </w:r>
          </w:p>
        </w:tc>
        <w:tc>
          <w:tcPr>
            <w:tcW w:w="7514" w:type="dxa"/>
          </w:tcPr>
          <w:p>
            <w:pPr>
              <w:pStyle w:val="TableParagraph"/>
              <w:spacing w:before="194"/>
              <w:ind w:left="69"/>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299" w:hRule="atLeast"/>
        </w:trPr>
        <w:tc>
          <w:tcPr>
            <w:tcW w:w="2835" w:type="dxa"/>
            <w:shd w:val="clear" w:color="auto" w:fill="DCE6F0"/>
          </w:tcPr>
          <w:p>
            <w:pPr>
              <w:pStyle w:val="TableParagraph"/>
              <w:spacing w:before="35"/>
              <w:ind w:left="67"/>
              <w:rPr>
                <w:b/>
                <w:sz w:val="20"/>
              </w:rPr>
            </w:pPr>
            <w:r>
              <w:rPr>
                <w:b/>
                <w:spacing w:val="-2"/>
                <w:sz w:val="20"/>
              </w:rPr>
              <w:t>Meta:</w:t>
            </w:r>
          </w:p>
        </w:tc>
        <w:tc>
          <w:tcPr>
            <w:tcW w:w="7514" w:type="dxa"/>
          </w:tcPr>
          <w:p>
            <w:pPr>
              <w:pStyle w:val="TableParagraph"/>
              <w:spacing w:before="35"/>
              <w:ind w:left="69"/>
              <w:rPr>
                <w:sz w:val="20"/>
              </w:rPr>
            </w:pPr>
            <w:r>
              <w:rPr>
                <w:spacing w:val="-10"/>
                <w:sz w:val="20"/>
              </w:rPr>
              <w:t>2</w:t>
            </w:r>
          </w:p>
        </w:tc>
      </w:tr>
      <w:tr>
        <w:trPr>
          <w:trHeight w:val="300" w:hRule="atLeast"/>
        </w:trPr>
        <w:tc>
          <w:tcPr>
            <w:tcW w:w="2835" w:type="dxa"/>
            <w:shd w:val="clear" w:color="auto" w:fill="DCE6F0"/>
          </w:tcPr>
          <w:p>
            <w:pPr>
              <w:pStyle w:val="TableParagraph"/>
              <w:spacing w:before="36"/>
              <w:ind w:left="67"/>
              <w:rPr>
                <w:b/>
                <w:sz w:val="20"/>
              </w:rPr>
            </w:pPr>
            <w:r>
              <w:rPr>
                <w:b/>
                <w:sz w:val="20"/>
              </w:rPr>
              <w:t>Línea</w:t>
            </w:r>
            <w:r>
              <w:rPr>
                <w:b/>
                <w:spacing w:val="-10"/>
                <w:sz w:val="20"/>
              </w:rPr>
              <w:t> </w:t>
            </w:r>
            <w:r>
              <w:rPr>
                <w:b/>
                <w:spacing w:val="-4"/>
                <w:sz w:val="20"/>
              </w:rPr>
              <w:t>Base</w:t>
            </w:r>
          </w:p>
        </w:tc>
        <w:tc>
          <w:tcPr>
            <w:tcW w:w="7514" w:type="dxa"/>
          </w:tcPr>
          <w:p>
            <w:pPr>
              <w:pStyle w:val="TableParagraph"/>
              <w:spacing w:before="36"/>
              <w:ind w:left="69"/>
              <w:rPr>
                <w:sz w:val="20"/>
              </w:rPr>
            </w:pPr>
            <w:r>
              <w:rPr>
                <w:spacing w:val="-10"/>
                <w:sz w:val="20"/>
              </w:rPr>
              <w:t>2</w:t>
            </w:r>
          </w:p>
        </w:tc>
      </w:tr>
      <w:tr>
        <w:trPr>
          <w:trHeight w:val="510" w:hRule="atLeast"/>
        </w:trPr>
        <w:tc>
          <w:tcPr>
            <w:tcW w:w="2835" w:type="dxa"/>
            <w:shd w:val="clear" w:color="auto" w:fill="DCE6F0"/>
          </w:tcPr>
          <w:p>
            <w:pPr>
              <w:pStyle w:val="TableParagraph"/>
              <w:spacing w:before="2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141"/>
              <w:ind w:left="69"/>
              <w:rPr>
                <w:sz w:val="20"/>
              </w:rPr>
            </w:pPr>
            <w:r>
              <w:rPr>
                <w:spacing w:val="-2"/>
                <w:sz w:val="20"/>
              </w:rPr>
              <w:t>Trimestral</w:t>
            </w:r>
          </w:p>
        </w:tc>
      </w:tr>
      <w:tr>
        <w:trPr>
          <w:trHeight w:val="587" w:hRule="atLeast"/>
        </w:trPr>
        <w:tc>
          <w:tcPr>
            <w:tcW w:w="2835" w:type="dxa"/>
            <w:shd w:val="clear" w:color="auto" w:fill="DCE6F0"/>
          </w:tcPr>
          <w:p>
            <w:pPr>
              <w:pStyle w:val="TableParagraph"/>
              <w:spacing w:before="64"/>
              <w:ind w:left="67" w:right="373"/>
              <w:rPr>
                <w:b/>
                <w:sz w:val="20"/>
              </w:rPr>
            </w:pPr>
            <w:r>
              <w:rPr>
                <w:b/>
                <w:sz w:val="20"/>
              </w:rPr>
              <w:t>Responsable de la recopilación</w:t>
            </w:r>
            <w:r>
              <w:rPr>
                <w:b/>
                <w:spacing w:val="-14"/>
                <w:sz w:val="20"/>
              </w:rPr>
              <w:t> </w:t>
            </w:r>
            <w:r>
              <w:rPr>
                <w:b/>
                <w:sz w:val="20"/>
              </w:rPr>
              <w:t>información</w:t>
            </w:r>
          </w:p>
        </w:tc>
        <w:tc>
          <w:tcPr>
            <w:tcW w:w="7514" w:type="dxa"/>
          </w:tcPr>
          <w:p>
            <w:pPr>
              <w:pStyle w:val="TableParagraph"/>
              <w:spacing w:before="64"/>
              <w:ind w:left="69" w:right="2852"/>
              <w:rPr>
                <w:sz w:val="20"/>
              </w:rPr>
            </w:pPr>
            <w:r>
              <w:rPr>
                <w:sz w:val="20"/>
              </w:rPr>
              <w:t>Nombre</w:t>
            </w:r>
            <w:r>
              <w:rPr>
                <w:spacing w:val="-8"/>
                <w:sz w:val="20"/>
              </w:rPr>
              <w:t> </w:t>
            </w:r>
            <w:r>
              <w:rPr>
                <w:sz w:val="20"/>
              </w:rPr>
              <w:t>del</w:t>
            </w:r>
            <w:r>
              <w:rPr>
                <w:spacing w:val="-11"/>
                <w:sz w:val="20"/>
              </w:rPr>
              <w:t> </w:t>
            </w:r>
            <w:r>
              <w:rPr>
                <w:sz w:val="20"/>
              </w:rPr>
              <w:t>funcionario:</w:t>
            </w:r>
            <w:r>
              <w:rPr>
                <w:spacing w:val="-10"/>
                <w:sz w:val="20"/>
              </w:rPr>
              <w:t> </w:t>
            </w:r>
            <w:r>
              <w:rPr>
                <w:sz w:val="20"/>
              </w:rPr>
              <w:t>Carlos</w:t>
            </w:r>
            <w:r>
              <w:rPr>
                <w:spacing w:val="-9"/>
                <w:sz w:val="20"/>
              </w:rPr>
              <w:t> </w:t>
            </w:r>
            <w:r>
              <w:rPr>
                <w:sz w:val="20"/>
              </w:rPr>
              <w:t>Alvarez</w:t>
            </w:r>
            <w:r>
              <w:rPr>
                <w:spacing w:val="-8"/>
                <w:sz w:val="20"/>
              </w:rPr>
              <w:t> </w:t>
            </w:r>
            <w:r>
              <w:rPr>
                <w:sz w:val="20"/>
              </w:rPr>
              <w:t>Gómez Cargo: jefe de Coordinación Administrativa</w:t>
            </w:r>
          </w:p>
        </w:tc>
      </w:tr>
      <w:tr>
        <w:trPr>
          <w:trHeight w:val="657" w:hRule="atLeast"/>
        </w:trPr>
        <w:tc>
          <w:tcPr>
            <w:tcW w:w="2835" w:type="dxa"/>
            <w:shd w:val="clear" w:color="auto" w:fill="DCE6F0"/>
          </w:tcPr>
          <w:p>
            <w:pPr>
              <w:pStyle w:val="TableParagraph"/>
              <w:spacing w:before="98"/>
              <w:ind w:left="67"/>
              <w:rPr>
                <w:b/>
                <w:sz w:val="20"/>
              </w:rPr>
            </w:pPr>
            <w:r>
              <w:rPr>
                <w:b/>
                <w:sz w:val="20"/>
              </w:rPr>
              <w:t>Órgano Administrativo responsable</w:t>
            </w:r>
            <w:r>
              <w:rPr>
                <w:b/>
                <w:spacing w:val="-14"/>
                <w:sz w:val="20"/>
              </w:rPr>
              <w:t> </w:t>
            </w:r>
            <w:r>
              <w:rPr>
                <w:b/>
                <w:sz w:val="20"/>
              </w:rPr>
              <w:t>de</w:t>
            </w:r>
            <w:r>
              <w:rPr>
                <w:b/>
                <w:spacing w:val="-13"/>
                <w:sz w:val="20"/>
              </w:rPr>
              <w:t> </w:t>
            </w:r>
            <w:r>
              <w:rPr>
                <w:b/>
                <w:sz w:val="20"/>
              </w:rPr>
              <w:t>la</w:t>
            </w:r>
            <w:r>
              <w:rPr>
                <w:b/>
                <w:spacing w:val="-14"/>
                <w:sz w:val="20"/>
              </w:rPr>
              <w:t> </w:t>
            </w:r>
            <w:r>
              <w:rPr>
                <w:b/>
                <w:sz w:val="20"/>
              </w:rPr>
              <w:t>ejecución</w:t>
            </w:r>
          </w:p>
        </w:tc>
        <w:tc>
          <w:tcPr>
            <w:tcW w:w="7514" w:type="dxa"/>
          </w:tcPr>
          <w:p>
            <w:pPr>
              <w:pStyle w:val="TableParagraph"/>
              <w:spacing w:before="213"/>
              <w:ind w:left="69"/>
              <w:rPr>
                <w:sz w:val="20"/>
              </w:rPr>
            </w:pPr>
            <w:r>
              <w:rPr>
                <w:sz w:val="20"/>
              </w:rPr>
              <w:t>Empresas</w:t>
            </w:r>
            <w:r>
              <w:rPr>
                <w:spacing w:val="-14"/>
                <w:sz w:val="20"/>
              </w:rPr>
              <w:t> </w:t>
            </w:r>
            <w:r>
              <w:rPr>
                <w:spacing w:val="-2"/>
                <w:sz w:val="20"/>
              </w:rPr>
              <w:t>Comerciales</w:t>
            </w:r>
          </w:p>
        </w:tc>
      </w:tr>
      <w:tr>
        <w:trPr>
          <w:trHeight w:val="510" w:hRule="atLeast"/>
        </w:trPr>
        <w:tc>
          <w:tcPr>
            <w:tcW w:w="2835" w:type="dxa"/>
            <w:shd w:val="clear" w:color="auto" w:fill="DCE6F0"/>
          </w:tcPr>
          <w:p>
            <w:pPr>
              <w:pStyle w:val="TableParagraph"/>
              <w:spacing w:before="141"/>
              <w:ind w:left="67"/>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141"/>
              <w:ind w:left="69"/>
              <w:rPr>
                <w:sz w:val="20"/>
              </w:rPr>
            </w:pPr>
            <w:r>
              <w:rPr>
                <w:sz w:val="20"/>
              </w:rPr>
              <w:t>Informes</w:t>
            </w:r>
            <w:r>
              <w:rPr>
                <w:spacing w:val="-7"/>
                <w:sz w:val="20"/>
              </w:rPr>
              <w:t> </w:t>
            </w:r>
            <w:r>
              <w:rPr>
                <w:spacing w:val="-2"/>
                <w:sz w:val="20"/>
              </w:rPr>
              <w:t>trimestrales</w:t>
            </w:r>
          </w:p>
        </w:tc>
      </w:tr>
      <w:tr>
        <w:trPr>
          <w:trHeight w:val="765" w:hRule="atLeast"/>
        </w:trPr>
        <w:tc>
          <w:tcPr>
            <w:tcW w:w="2835" w:type="dxa"/>
            <w:shd w:val="clear" w:color="auto" w:fill="DCE6F0"/>
          </w:tcPr>
          <w:p>
            <w:pPr>
              <w:pStyle w:val="TableParagraph"/>
              <w:spacing w:before="35"/>
              <w:rPr>
                <w:b/>
                <w:sz w:val="20"/>
              </w:rPr>
            </w:pPr>
          </w:p>
          <w:p>
            <w:pPr>
              <w:pStyle w:val="TableParagraph"/>
              <w:spacing w:before="1"/>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35"/>
              <w:rPr>
                <w:b/>
                <w:sz w:val="20"/>
              </w:rPr>
            </w:pPr>
          </w:p>
          <w:p>
            <w:pPr>
              <w:pStyle w:val="TableParagraph"/>
              <w:spacing w:before="1"/>
              <w:ind w:left="69"/>
              <w:rPr>
                <w:sz w:val="20"/>
              </w:rPr>
            </w:pPr>
            <w:r>
              <w:rPr>
                <w:sz w:val="20"/>
              </w:rPr>
              <w:t>Informes</w:t>
            </w:r>
            <w:r>
              <w:rPr>
                <w:spacing w:val="-7"/>
                <w:sz w:val="20"/>
              </w:rPr>
              <w:t> </w:t>
            </w:r>
            <w:r>
              <w:rPr>
                <w:sz w:val="20"/>
              </w:rPr>
              <w:t>de</w:t>
            </w:r>
            <w:r>
              <w:rPr>
                <w:spacing w:val="-9"/>
                <w:sz w:val="20"/>
              </w:rPr>
              <w:t> </w:t>
            </w:r>
            <w:r>
              <w:rPr>
                <w:sz w:val="20"/>
              </w:rPr>
              <w:t>resultados</w:t>
            </w:r>
            <w:r>
              <w:rPr>
                <w:spacing w:val="-7"/>
                <w:sz w:val="20"/>
              </w:rPr>
              <w:t> </w:t>
            </w:r>
            <w:r>
              <w:rPr>
                <w:sz w:val="20"/>
              </w:rPr>
              <w:t>elaborados</w:t>
            </w:r>
            <w:r>
              <w:rPr>
                <w:spacing w:val="-7"/>
                <w:sz w:val="20"/>
              </w:rPr>
              <w:t> </w:t>
            </w:r>
            <w:r>
              <w:rPr>
                <w:sz w:val="20"/>
              </w:rPr>
              <w:t>por</w:t>
            </w:r>
            <w:r>
              <w:rPr>
                <w:spacing w:val="-7"/>
                <w:sz w:val="20"/>
              </w:rPr>
              <w:t> </w:t>
            </w:r>
            <w:r>
              <w:rPr>
                <w:sz w:val="20"/>
              </w:rPr>
              <w:t>las</w:t>
            </w:r>
            <w:r>
              <w:rPr>
                <w:spacing w:val="-7"/>
                <w:sz w:val="20"/>
              </w:rPr>
              <w:t> </w:t>
            </w:r>
            <w:r>
              <w:rPr>
                <w:sz w:val="20"/>
              </w:rPr>
              <w:t>empresas</w:t>
            </w:r>
            <w:r>
              <w:rPr>
                <w:spacing w:val="-5"/>
                <w:sz w:val="20"/>
              </w:rPr>
              <w:t> </w:t>
            </w:r>
            <w:r>
              <w:rPr>
                <w:spacing w:val="-2"/>
                <w:sz w:val="20"/>
              </w:rPr>
              <w:t>contratadas</w:t>
            </w:r>
          </w:p>
        </w:tc>
      </w:tr>
      <w:tr>
        <w:trPr>
          <w:trHeight w:val="509" w:hRule="atLeast"/>
        </w:trPr>
        <w:tc>
          <w:tcPr>
            <w:tcW w:w="2835" w:type="dxa"/>
            <w:shd w:val="clear" w:color="auto" w:fill="DCE6F0"/>
          </w:tcPr>
          <w:p>
            <w:pPr>
              <w:pStyle w:val="TableParagraph"/>
              <w:spacing w:before="139"/>
              <w:ind w:left="67"/>
              <w:rPr>
                <w:b/>
                <w:sz w:val="20"/>
              </w:rPr>
            </w:pPr>
            <w:r>
              <w:rPr>
                <w:b/>
                <w:spacing w:val="-2"/>
                <w:sz w:val="20"/>
              </w:rPr>
              <w:t>Clasificación</w:t>
            </w:r>
          </w:p>
        </w:tc>
        <w:tc>
          <w:tcPr>
            <w:tcW w:w="7514" w:type="dxa"/>
          </w:tcPr>
          <w:p>
            <w:pPr>
              <w:pStyle w:val="TableParagraph"/>
              <w:spacing w:before="139"/>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510" w:hRule="atLeast"/>
        </w:trPr>
        <w:tc>
          <w:tcPr>
            <w:tcW w:w="2835" w:type="dxa"/>
            <w:shd w:val="clear" w:color="auto" w:fill="DCE6F0"/>
          </w:tcPr>
          <w:p>
            <w:pPr>
              <w:pStyle w:val="TableParagraph"/>
              <w:spacing w:before="141"/>
              <w:ind w:left="67"/>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spacing w:before="26"/>
              <w:ind w:left="69"/>
              <w:rPr>
                <w:sz w:val="20"/>
              </w:rPr>
            </w:pPr>
            <w:r>
              <w:rPr>
                <w:sz w:val="20"/>
              </w:rPr>
              <w:t>Mencionar</w:t>
            </w:r>
            <w:r>
              <w:rPr>
                <w:spacing w:val="-4"/>
                <w:sz w:val="20"/>
              </w:rPr>
              <w:t> </w:t>
            </w:r>
            <w:r>
              <w:rPr>
                <w:sz w:val="20"/>
              </w:rPr>
              <w:t>cualquier</w:t>
            </w:r>
            <w:r>
              <w:rPr>
                <w:spacing w:val="-4"/>
                <w:sz w:val="20"/>
              </w:rPr>
              <w:t> </w:t>
            </w:r>
            <w:r>
              <w:rPr>
                <w:sz w:val="20"/>
              </w:rPr>
              <w:t>observación</w:t>
            </w:r>
            <w:r>
              <w:rPr>
                <w:spacing w:val="-5"/>
                <w:sz w:val="20"/>
              </w:rPr>
              <w:t> </w:t>
            </w:r>
            <w:r>
              <w:rPr>
                <w:sz w:val="20"/>
              </w:rPr>
              <w:t>que</w:t>
            </w:r>
            <w:r>
              <w:rPr>
                <w:spacing w:val="-5"/>
                <w:sz w:val="20"/>
              </w:rPr>
              <w:t> </w:t>
            </w:r>
            <w:r>
              <w:rPr>
                <w:sz w:val="20"/>
              </w:rPr>
              <w:t>se</w:t>
            </w:r>
            <w:r>
              <w:rPr>
                <w:spacing w:val="-4"/>
                <w:sz w:val="20"/>
              </w:rPr>
              <w:t> </w:t>
            </w:r>
            <w:r>
              <w:rPr>
                <w:sz w:val="20"/>
              </w:rPr>
              <w:t>considere</w:t>
            </w:r>
            <w:r>
              <w:rPr>
                <w:spacing w:val="-4"/>
                <w:sz w:val="20"/>
              </w:rPr>
              <w:t> </w:t>
            </w:r>
            <w:r>
              <w:rPr>
                <w:sz w:val="20"/>
              </w:rPr>
              <w:t>necesaria</w:t>
            </w:r>
            <w:r>
              <w:rPr>
                <w:spacing w:val="-5"/>
                <w:sz w:val="20"/>
              </w:rPr>
              <w:t> </w:t>
            </w:r>
            <w:r>
              <w:rPr>
                <w:sz w:val="20"/>
              </w:rPr>
              <w:t>para</w:t>
            </w:r>
            <w:r>
              <w:rPr>
                <w:spacing w:val="-4"/>
                <w:sz w:val="20"/>
              </w:rPr>
              <w:t> </w:t>
            </w:r>
            <w:r>
              <w:rPr>
                <w:sz w:val="20"/>
              </w:rPr>
              <w:t>que</w:t>
            </w:r>
            <w:r>
              <w:rPr>
                <w:spacing w:val="-4"/>
                <w:sz w:val="20"/>
              </w:rPr>
              <w:t> </w:t>
            </w:r>
            <w:r>
              <w:rPr>
                <w:sz w:val="20"/>
              </w:rPr>
              <w:t>el</w:t>
            </w:r>
            <w:r>
              <w:rPr>
                <w:spacing w:val="-5"/>
                <w:sz w:val="20"/>
              </w:rPr>
              <w:t> </w:t>
            </w:r>
            <w:r>
              <w:rPr>
                <w:sz w:val="20"/>
              </w:rPr>
              <w:t>usuario obtenga una mejor comprensión del indicador</w:t>
            </w:r>
          </w:p>
        </w:tc>
      </w:tr>
    </w:tbl>
    <w:p>
      <w:pPr>
        <w:pStyle w:val="TableParagraph"/>
        <w:spacing w:after="0"/>
        <w:rPr>
          <w:sz w:val="20"/>
        </w:rPr>
        <w:sectPr>
          <w:type w:val="continuous"/>
          <w:pgSz w:w="12240" w:h="15840"/>
          <w:pgMar w:header="0" w:footer="2082" w:top="1400" w:bottom="2600" w:left="720" w:right="720"/>
        </w:sectPr>
      </w:pPr>
    </w:p>
    <w:p>
      <w:pPr>
        <w:pStyle w:val="Heading3"/>
        <w:spacing w:before="181"/>
        <w:ind w:left="338"/>
      </w:pPr>
      <w:bookmarkStart w:name="_bookmark85" w:id="86"/>
      <w:bookmarkEnd w:id="86"/>
      <w:r>
        <w:rPr>
          <w:b w:val="0"/>
        </w:rPr>
      </w:r>
      <w:r>
        <w:rPr/>
        <w:t>Anexo</w:t>
      </w:r>
      <w:r>
        <w:rPr>
          <w:spacing w:val="-5"/>
        </w:rPr>
        <w:t> </w:t>
      </w:r>
      <w:r>
        <w:rPr/>
        <w:t>VIII:</w:t>
      </w:r>
      <w:r>
        <w:rPr>
          <w:spacing w:val="-2"/>
        </w:rPr>
        <w:t> </w:t>
      </w:r>
      <w:r>
        <w:rPr/>
        <w:t>Listado</w:t>
      </w:r>
      <w:r>
        <w:rPr>
          <w:spacing w:val="-1"/>
        </w:rPr>
        <w:t> </w:t>
      </w:r>
      <w:r>
        <w:rPr/>
        <w:t>de</w:t>
      </w:r>
      <w:r>
        <w:rPr>
          <w:spacing w:val="-3"/>
        </w:rPr>
        <w:t> </w:t>
      </w:r>
      <w:r>
        <w:rPr/>
        <w:t>Sujetos</w:t>
      </w:r>
      <w:r>
        <w:rPr>
          <w:spacing w:val="-4"/>
        </w:rPr>
        <w:t> </w:t>
      </w:r>
      <w:r>
        <w:rPr/>
        <w:t>Privados</w:t>
      </w:r>
      <w:r>
        <w:rPr>
          <w:spacing w:val="-4"/>
        </w:rPr>
        <w:t> </w:t>
      </w:r>
      <w:r>
        <w:rPr/>
        <w:t>a</w:t>
      </w:r>
      <w:r>
        <w:rPr>
          <w:spacing w:val="-4"/>
        </w:rPr>
        <w:t> </w:t>
      </w:r>
      <w:r>
        <w:rPr/>
        <w:t>incorporar</w:t>
      </w:r>
      <w:r>
        <w:rPr>
          <w:spacing w:val="-3"/>
        </w:rPr>
        <w:t> </w:t>
      </w:r>
      <w:r>
        <w:rPr/>
        <w:t>en</w:t>
      </w:r>
      <w:r>
        <w:rPr>
          <w:spacing w:val="-5"/>
        </w:rPr>
        <w:t> </w:t>
      </w:r>
      <w:r>
        <w:rPr/>
        <w:t>el</w:t>
      </w:r>
      <w:r>
        <w:rPr>
          <w:spacing w:val="-4"/>
        </w:rPr>
        <w:t> </w:t>
      </w:r>
      <w:r>
        <w:rPr/>
        <w:t>Presupuesto</w:t>
      </w:r>
      <w:r>
        <w:rPr>
          <w:spacing w:val="-3"/>
        </w:rPr>
        <w:t> </w:t>
      </w:r>
      <w:r>
        <w:rPr/>
        <w:t>Ordinario</w:t>
      </w:r>
      <w:r>
        <w:rPr>
          <w:spacing w:val="-5"/>
        </w:rPr>
        <w:t> </w:t>
      </w:r>
      <w:r>
        <w:rPr/>
        <w:t>y</w:t>
      </w:r>
      <w:r>
        <w:rPr>
          <w:spacing w:val="-4"/>
        </w:rPr>
        <w:t> </w:t>
      </w:r>
      <w:r>
        <w:rPr/>
        <w:t>el</w:t>
      </w:r>
      <w:r>
        <w:rPr>
          <w:spacing w:val="-2"/>
        </w:rPr>
        <w:t> </w:t>
      </w:r>
      <w:r>
        <w:rPr/>
        <w:t>POI</w:t>
      </w:r>
      <w:r>
        <w:rPr>
          <w:spacing w:val="-2"/>
        </w:rPr>
        <w:t> </w:t>
      </w:r>
      <w:r>
        <w:rPr>
          <w:spacing w:val="-4"/>
        </w:rPr>
        <w:t>2027</w:t>
      </w:r>
    </w:p>
    <w:p>
      <w:pPr>
        <w:pStyle w:val="BodyText"/>
        <w:spacing w:before="45"/>
        <w:rPr>
          <w:b/>
          <w:sz w:val="20"/>
        </w:rPr>
      </w:pPr>
    </w:p>
    <w:tbl>
      <w:tblPr>
        <w:tblW w:w="0" w:type="auto"/>
        <w:jc w:val="left"/>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9"/>
        <w:gridCol w:w="3570"/>
        <w:gridCol w:w="1719"/>
        <w:gridCol w:w="1391"/>
        <w:gridCol w:w="1741"/>
        <w:gridCol w:w="3782"/>
      </w:tblGrid>
      <w:tr>
        <w:trPr>
          <w:trHeight w:val="1228" w:hRule="atLeast"/>
        </w:trPr>
        <w:tc>
          <w:tcPr>
            <w:tcW w:w="699" w:type="dxa"/>
            <w:shd w:val="clear" w:color="auto" w:fill="0A2F40"/>
          </w:tcPr>
          <w:p>
            <w:pPr>
              <w:pStyle w:val="TableParagraph"/>
              <w:rPr>
                <w:rFonts w:ascii="Times New Roman"/>
                <w:sz w:val="18"/>
              </w:rPr>
            </w:pPr>
          </w:p>
        </w:tc>
        <w:tc>
          <w:tcPr>
            <w:tcW w:w="3570" w:type="dxa"/>
            <w:shd w:val="clear" w:color="auto" w:fill="0A2F40"/>
          </w:tcPr>
          <w:p>
            <w:pPr>
              <w:pStyle w:val="TableParagraph"/>
              <w:rPr>
                <w:b/>
                <w:sz w:val="18"/>
              </w:rPr>
            </w:pPr>
          </w:p>
          <w:p>
            <w:pPr>
              <w:pStyle w:val="TableParagraph"/>
              <w:spacing w:before="96"/>
              <w:rPr>
                <w:b/>
                <w:sz w:val="18"/>
              </w:rPr>
            </w:pPr>
          </w:p>
          <w:p>
            <w:pPr>
              <w:pStyle w:val="TableParagraph"/>
              <w:ind w:left="222"/>
              <w:rPr>
                <w:b/>
                <w:sz w:val="18"/>
              </w:rPr>
            </w:pPr>
            <w:r>
              <w:rPr>
                <w:b/>
                <w:color w:val="FFFFFF"/>
                <w:sz w:val="18"/>
              </w:rPr>
              <w:t>Nombre</w:t>
            </w:r>
            <w:r>
              <w:rPr>
                <w:b/>
                <w:color w:val="FFFFFF"/>
                <w:spacing w:val="-2"/>
                <w:sz w:val="18"/>
              </w:rPr>
              <w:t> </w:t>
            </w:r>
            <w:r>
              <w:rPr>
                <w:b/>
                <w:color w:val="FFFFFF"/>
                <w:sz w:val="18"/>
              </w:rPr>
              <w:t>completo</w:t>
            </w:r>
            <w:r>
              <w:rPr>
                <w:b/>
                <w:color w:val="FFFFFF"/>
                <w:spacing w:val="-4"/>
                <w:sz w:val="18"/>
              </w:rPr>
              <w:t> </w:t>
            </w:r>
            <w:r>
              <w:rPr>
                <w:b/>
                <w:color w:val="FFFFFF"/>
                <w:sz w:val="18"/>
              </w:rPr>
              <w:t>del</w:t>
            </w:r>
            <w:r>
              <w:rPr>
                <w:b/>
                <w:color w:val="FFFFFF"/>
                <w:spacing w:val="-3"/>
                <w:sz w:val="18"/>
              </w:rPr>
              <w:t> </w:t>
            </w:r>
            <w:r>
              <w:rPr>
                <w:b/>
                <w:color w:val="FFFFFF"/>
                <w:sz w:val="18"/>
              </w:rPr>
              <w:t>sujeto</w:t>
            </w:r>
            <w:r>
              <w:rPr>
                <w:b/>
                <w:color w:val="FFFFFF"/>
                <w:spacing w:val="-3"/>
                <w:sz w:val="18"/>
              </w:rPr>
              <w:t> </w:t>
            </w:r>
            <w:r>
              <w:rPr>
                <w:b/>
                <w:color w:val="FFFFFF"/>
                <w:spacing w:val="-2"/>
                <w:sz w:val="18"/>
              </w:rPr>
              <w:t>privado</w:t>
            </w:r>
          </w:p>
        </w:tc>
        <w:tc>
          <w:tcPr>
            <w:tcW w:w="1719" w:type="dxa"/>
            <w:shd w:val="clear" w:color="auto" w:fill="0A2F40"/>
          </w:tcPr>
          <w:p>
            <w:pPr>
              <w:pStyle w:val="TableParagraph"/>
              <w:spacing w:before="199"/>
              <w:rPr>
                <w:b/>
                <w:sz w:val="18"/>
              </w:rPr>
            </w:pPr>
          </w:p>
          <w:p>
            <w:pPr>
              <w:pStyle w:val="TableParagraph"/>
              <w:spacing w:before="1"/>
              <w:ind w:left="510" w:hanging="233"/>
              <w:rPr>
                <w:b/>
                <w:sz w:val="18"/>
              </w:rPr>
            </w:pPr>
            <w:r>
              <w:rPr>
                <w:b/>
                <w:color w:val="FFFFFF"/>
                <w:sz w:val="18"/>
              </w:rPr>
              <w:t>N.º</w:t>
            </w:r>
            <w:r>
              <w:rPr>
                <w:b/>
                <w:color w:val="FFFFFF"/>
                <w:spacing w:val="-15"/>
                <w:sz w:val="18"/>
              </w:rPr>
              <w:t> </w:t>
            </w:r>
            <w:r>
              <w:rPr>
                <w:b/>
                <w:color w:val="FFFFFF"/>
                <w:sz w:val="18"/>
              </w:rPr>
              <w:t>de</w:t>
            </w:r>
            <w:r>
              <w:rPr>
                <w:b/>
                <w:color w:val="FFFFFF"/>
                <w:spacing w:val="-12"/>
                <w:sz w:val="18"/>
              </w:rPr>
              <w:t> </w:t>
            </w:r>
            <w:r>
              <w:rPr>
                <w:b/>
                <w:color w:val="FFFFFF"/>
                <w:sz w:val="18"/>
              </w:rPr>
              <w:t>Cédula </w:t>
            </w:r>
            <w:r>
              <w:rPr>
                <w:b/>
                <w:color w:val="FFFFFF"/>
                <w:spacing w:val="-2"/>
                <w:sz w:val="18"/>
              </w:rPr>
              <w:t>Jurídica</w:t>
            </w:r>
          </w:p>
        </w:tc>
        <w:tc>
          <w:tcPr>
            <w:tcW w:w="1391" w:type="dxa"/>
            <w:shd w:val="clear" w:color="auto" w:fill="0A2F40"/>
          </w:tcPr>
          <w:p>
            <w:pPr>
              <w:pStyle w:val="TableParagraph"/>
              <w:spacing w:before="199"/>
              <w:rPr>
                <w:b/>
                <w:sz w:val="18"/>
              </w:rPr>
            </w:pPr>
          </w:p>
          <w:p>
            <w:pPr>
              <w:pStyle w:val="TableParagraph"/>
              <w:spacing w:before="1"/>
              <w:ind w:left="281" w:firstLine="103"/>
              <w:rPr>
                <w:b/>
                <w:sz w:val="18"/>
              </w:rPr>
            </w:pPr>
            <w:r>
              <w:rPr>
                <w:b/>
                <w:color w:val="FFFFFF"/>
                <w:spacing w:val="-2"/>
                <w:sz w:val="18"/>
              </w:rPr>
              <w:t>Unidad Ejecutora</w:t>
            </w:r>
          </w:p>
        </w:tc>
        <w:tc>
          <w:tcPr>
            <w:tcW w:w="1741" w:type="dxa"/>
            <w:shd w:val="clear" w:color="auto" w:fill="0A2F40"/>
          </w:tcPr>
          <w:p>
            <w:pPr>
              <w:pStyle w:val="TableParagraph"/>
              <w:spacing w:before="199"/>
              <w:rPr>
                <w:b/>
                <w:sz w:val="18"/>
              </w:rPr>
            </w:pPr>
          </w:p>
          <w:p>
            <w:pPr>
              <w:pStyle w:val="TableParagraph"/>
              <w:spacing w:before="1"/>
              <w:ind w:left="470" w:hanging="305"/>
              <w:rPr>
                <w:b/>
                <w:sz w:val="18"/>
              </w:rPr>
            </w:pPr>
            <w:r>
              <w:rPr>
                <w:b/>
                <w:color w:val="FFFFFF"/>
                <w:sz w:val="18"/>
              </w:rPr>
              <w:t>Monto</w:t>
            </w:r>
            <w:r>
              <w:rPr>
                <w:b/>
                <w:color w:val="FFFFFF"/>
                <w:spacing w:val="-15"/>
                <w:sz w:val="18"/>
              </w:rPr>
              <w:t> </w:t>
            </w:r>
            <w:r>
              <w:rPr>
                <w:b/>
                <w:color w:val="FFFFFF"/>
                <w:sz w:val="18"/>
              </w:rPr>
              <w:t>total</w:t>
            </w:r>
            <w:r>
              <w:rPr>
                <w:b/>
                <w:color w:val="FFFFFF"/>
                <w:spacing w:val="-12"/>
                <w:sz w:val="18"/>
              </w:rPr>
              <w:t> </w:t>
            </w:r>
            <w:r>
              <w:rPr>
                <w:b/>
                <w:color w:val="FFFFFF"/>
                <w:sz w:val="18"/>
              </w:rPr>
              <w:t>para </w:t>
            </w:r>
            <w:r>
              <w:rPr>
                <w:b/>
                <w:color w:val="FFFFFF"/>
                <w:spacing w:val="-2"/>
                <w:sz w:val="18"/>
              </w:rPr>
              <w:t>transferir</w:t>
            </w:r>
          </w:p>
        </w:tc>
        <w:tc>
          <w:tcPr>
            <w:tcW w:w="3782" w:type="dxa"/>
            <w:shd w:val="clear" w:color="auto" w:fill="0A2F40"/>
          </w:tcPr>
          <w:p>
            <w:pPr>
              <w:pStyle w:val="TableParagraph"/>
              <w:spacing w:before="199"/>
              <w:rPr>
                <w:b/>
                <w:sz w:val="18"/>
              </w:rPr>
            </w:pPr>
          </w:p>
          <w:p>
            <w:pPr>
              <w:pStyle w:val="TableParagraph"/>
              <w:spacing w:before="1"/>
              <w:ind w:left="66" w:right="123"/>
              <w:rPr>
                <w:b/>
                <w:sz w:val="18"/>
              </w:rPr>
            </w:pPr>
            <w:r>
              <w:rPr>
                <w:b/>
                <w:color w:val="FFFFFF"/>
                <w:sz w:val="18"/>
              </w:rPr>
              <w:t>Descripción</w:t>
            </w:r>
            <w:r>
              <w:rPr>
                <w:b/>
                <w:color w:val="FFFFFF"/>
                <w:spacing w:val="-6"/>
                <w:sz w:val="18"/>
              </w:rPr>
              <w:t> </w:t>
            </w:r>
            <w:r>
              <w:rPr>
                <w:b/>
                <w:color w:val="FFFFFF"/>
                <w:sz w:val="18"/>
              </w:rPr>
              <w:t>de</w:t>
            </w:r>
            <w:r>
              <w:rPr>
                <w:b/>
                <w:color w:val="FFFFFF"/>
                <w:spacing w:val="-8"/>
                <w:sz w:val="18"/>
              </w:rPr>
              <w:t> </w:t>
            </w:r>
            <w:r>
              <w:rPr>
                <w:b/>
                <w:color w:val="FFFFFF"/>
                <w:sz w:val="18"/>
              </w:rPr>
              <w:t>la</w:t>
            </w:r>
            <w:r>
              <w:rPr>
                <w:b/>
                <w:color w:val="FFFFFF"/>
                <w:spacing w:val="-6"/>
                <w:sz w:val="18"/>
              </w:rPr>
              <w:t> </w:t>
            </w:r>
            <w:r>
              <w:rPr>
                <w:b/>
                <w:color w:val="FFFFFF"/>
                <w:sz w:val="18"/>
              </w:rPr>
              <w:t>Finalidad</w:t>
            </w:r>
            <w:r>
              <w:rPr>
                <w:b/>
                <w:color w:val="FFFFFF"/>
                <w:spacing w:val="-6"/>
                <w:sz w:val="18"/>
              </w:rPr>
              <w:t> </w:t>
            </w:r>
            <w:r>
              <w:rPr>
                <w:b/>
                <w:color w:val="FFFFFF"/>
                <w:sz w:val="18"/>
              </w:rPr>
              <w:t>(detalle</w:t>
            </w:r>
            <w:r>
              <w:rPr>
                <w:b/>
                <w:color w:val="FFFFFF"/>
                <w:spacing w:val="-8"/>
                <w:sz w:val="18"/>
              </w:rPr>
              <w:t> </w:t>
            </w:r>
            <w:r>
              <w:rPr>
                <w:b/>
                <w:color w:val="FFFFFF"/>
                <w:sz w:val="18"/>
              </w:rPr>
              <w:t>el</w:t>
            </w:r>
            <w:r>
              <w:rPr>
                <w:b/>
                <w:color w:val="FFFFFF"/>
                <w:spacing w:val="-6"/>
                <w:sz w:val="18"/>
              </w:rPr>
              <w:t> </w:t>
            </w:r>
            <w:r>
              <w:rPr>
                <w:b/>
                <w:color w:val="FFFFFF"/>
                <w:sz w:val="18"/>
              </w:rPr>
              <w:t>uso del beneficio)</w:t>
            </w:r>
          </w:p>
        </w:tc>
      </w:tr>
      <w:tr>
        <w:trPr>
          <w:trHeight w:val="1200" w:hRule="atLeast"/>
        </w:trPr>
        <w:tc>
          <w:tcPr>
            <w:tcW w:w="699" w:type="dxa"/>
          </w:tcPr>
          <w:p>
            <w:pPr>
              <w:pStyle w:val="TableParagraph"/>
              <w:spacing w:before="222"/>
              <w:rPr>
                <w:b/>
                <w:sz w:val="22"/>
              </w:rPr>
            </w:pPr>
          </w:p>
          <w:p>
            <w:pPr>
              <w:pStyle w:val="TableParagraph"/>
              <w:ind w:left="7" w:right="2"/>
              <w:jc w:val="center"/>
              <w:rPr>
                <w:sz w:val="22"/>
              </w:rPr>
            </w:pPr>
            <w:r>
              <w:rPr>
                <w:spacing w:val="-10"/>
                <w:sz w:val="22"/>
              </w:rPr>
              <w:t>1</w:t>
            </w:r>
          </w:p>
        </w:tc>
        <w:tc>
          <w:tcPr>
            <w:tcW w:w="3570" w:type="dxa"/>
          </w:tcPr>
          <w:p>
            <w:pPr>
              <w:pStyle w:val="TableParagraph"/>
              <w:spacing w:before="82"/>
              <w:rPr>
                <w:b/>
                <w:sz w:val="18"/>
              </w:rPr>
            </w:pPr>
          </w:p>
          <w:p>
            <w:pPr>
              <w:pStyle w:val="TableParagraph"/>
              <w:ind w:left="69"/>
              <w:rPr>
                <w:sz w:val="18"/>
              </w:rPr>
            </w:pPr>
            <w:r>
              <w:rPr>
                <w:sz w:val="18"/>
              </w:rPr>
              <w:t>Asociación</w:t>
            </w:r>
            <w:r>
              <w:rPr>
                <w:spacing w:val="-7"/>
                <w:sz w:val="18"/>
              </w:rPr>
              <w:t> </w:t>
            </w:r>
            <w:r>
              <w:rPr>
                <w:sz w:val="18"/>
              </w:rPr>
              <w:t>Casa</w:t>
            </w:r>
            <w:r>
              <w:rPr>
                <w:spacing w:val="-7"/>
                <w:sz w:val="18"/>
              </w:rPr>
              <w:t> </w:t>
            </w:r>
            <w:r>
              <w:rPr>
                <w:sz w:val="18"/>
              </w:rPr>
              <w:t>Hogar</w:t>
            </w:r>
            <w:r>
              <w:rPr>
                <w:spacing w:val="-7"/>
                <w:sz w:val="18"/>
              </w:rPr>
              <w:t> </w:t>
            </w:r>
            <w:r>
              <w:rPr>
                <w:sz w:val="18"/>
              </w:rPr>
              <w:t>San</w:t>
            </w:r>
            <w:r>
              <w:rPr>
                <w:spacing w:val="-8"/>
                <w:sz w:val="18"/>
              </w:rPr>
              <w:t> </w:t>
            </w:r>
            <w:r>
              <w:rPr>
                <w:sz w:val="18"/>
              </w:rPr>
              <w:t>José</w:t>
            </w:r>
            <w:r>
              <w:rPr>
                <w:spacing w:val="-8"/>
                <w:sz w:val="18"/>
              </w:rPr>
              <w:t> </w:t>
            </w:r>
            <w:r>
              <w:rPr>
                <w:sz w:val="18"/>
              </w:rPr>
              <w:t>de</w:t>
            </w:r>
            <w:r>
              <w:rPr>
                <w:spacing w:val="-7"/>
                <w:sz w:val="18"/>
              </w:rPr>
              <w:t> </w:t>
            </w:r>
            <w:r>
              <w:rPr>
                <w:sz w:val="18"/>
              </w:rPr>
              <w:t>la Pastoral Social de la Arquidiócesis (proyecto Sabana)</w:t>
            </w:r>
          </w:p>
        </w:tc>
        <w:tc>
          <w:tcPr>
            <w:tcW w:w="1719" w:type="dxa"/>
          </w:tcPr>
          <w:p>
            <w:pPr>
              <w:pStyle w:val="TableParagraph"/>
              <w:rPr>
                <w:b/>
                <w:sz w:val="18"/>
              </w:rPr>
            </w:pPr>
          </w:p>
          <w:p>
            <w:pPr>
              <w:pStyle w:val="TableParagraph"/>
              <w:spacing w:before="82"/>
              <w:rPr>
                <w:b/>
                <w:sz w:val="18"/>
              </w:rPr>
            </w:pPr>
          </w:p>
          <w:p>
            <w:pPr>
              <w:pStyle w:val="TableParagraph"/>
              <w:ind w:left="39" w:right="33"/>
              <w:jc w:val="center"/>
              <w:rPr>
                <w:sz w:val="18"/>
              </w:rPr>
            </w:pPr>
            <w:r>
              <w:rPr>
                <w:sz w:val="18"/>
              </w:rPr>
              <w:t>3-002-</w:t>
            </w:r>
            <w:r>
              <w:rPr>
                <w:spacing w:val="-2"/>
                <w:sz w:val="18"/>
              </w:rPr>
              <w:t>321407</w:t>
            </w:r>
          </w:p>
        </w:tc>
        <w:tc>
          <w:tcPr>
            <w:tcW w:w="1391" w:type="dxa"/>
          </w:tcPr>
          <w:p>
            <w:pPr>
              <w:pStyle w:val="TableParagraph"/>
              <w:rPr>
                <w:b/>
                <w:sz w:val="18"/>
              </w:rPr>
            </w:pPr>
          </w:p>
          <w:p>
            <w:pPr>
              <w:pStyle w:val="TableParagraph"/>
              <w:spacing w:before="82"/>
              <w:rPr>
                <w:b/>
                <w:sz w:val="18"/>
              </w:rPr>
            </w:pPr>
          </w:p>
          <w:p>
            <w:pPr>
              <w:pStyle w:val="TableParagraph"/>
              <w:ind w:left="8" w:right="8"/>
              <w:jc w:val="center"/>
              <w:rPr>
                <w:sz w:val="18"/>
              </w:rPr>
            </w:pPr>
            <w:r>
              <w:rPr>
                <w:spacing w:val="-2"/>
                <w:sz w:val="18"/>
              </w:rPr>
              <w:t>DASAI</w:t>
            </w:r>
          </w:p>
        </w:tc>
        <w:tc>
          <w:tcPr>
            <w:tcW w:w="1741" w:type="dxa"/>
          </w:tcPr>
          <w:p>
            <w:pPr>
              <w:pStyle w:val="TableParagraph"/>
              <w:rPr>
                <w:b/>
                <w:sz w:val="18"/>
              </w:rPr>
            </w:pPr>
          </w:p>
          <w:p>
            <w:pPr>
              <w:pStyle w:val="TableParagraph"/>
              <w:spacing w:before="82"/>
              <w:rPr>
                <w:b/>
                <w:sz w:val="18"/>
              </w:rPr>
            </w:pPr>
          </w:p>
          <w:p>
            <w:pPr>
              <w:pStyle w:val="TableParagraph"/>
              <w:ind w:right="63"/>
              <w:jc w:val="right"/>
              <w:rPr>
                <w:b/>
                <w:sz w:val="18"/>
              </w:rPr>
            </w:pPr>
            <w:r>
              <w:rPr>
                <w:b/>
                <w:sz w:val="18"/>
              </w:rPr>
              <w:t>₡</w:t>
            </w:r>
            <w:r>
              <w:rPr>
                <w:b/>
                <w:spacing w:val="-3"/>
                <w:sz w:val="18"/>
              </w:rPr>
              <w:t> </w:t>
            </w:r>
            <w:r>
              <w:rPr>
                <w:b/>
                <w:sz w:val="18"/>
              </w:rPr>
              <w:t>16</w:t>
            </w:r>
            <w:r>
              <w:rPr>
                <w:b/>
                <w:spacing w:val="-1"/>
                <w:sz w:val="18"/>
              </w:rPr>
              <w:t> </w:t>
            </w:r>
            <w:r>
              <w:rPr>
                <w:b/>
                <w:sz w:val="18"/>
              </w:rPr>
              <w:t>678 </w:t>
            </w:r>
            <w:r>
              <w:rPr>
                <w:b/>
                <w:spacing w:val="-2"/>
                <w:sz w:val="18"/>
              </w:rPr>
              <w:t>000,00</w:t>
            </w:r>
          </w:p>
        </w:tc>
        <w:tc>
          <w:tcPr>
            <w:tcW w:w="3782" w:type="dxa"/>
          </w:tcPr>
          <w:p>
            <w:pPr>
              <w:pStyle w:val="TableParagraph"/>
              <w:spacing w:before="83"/>
              <w:ind w:left="66" w:right="123"/>
              <w:rPr>
                <w:sz w:val="18"/>
              </w:rPr>
            </w:pPr>
            <w:r>
              <w:rPr>
                <w:sz w:val="18"/>
              </w:rPr>
              <w:t>Subsidio</w:t>
            </w:r>
            <w:r>
              <w:rPr>
                <w:spacing w:val="-9"/>
                <w:sz w:val="18"/>
              </w:rPr>
              <w:t> </w:t>
            </w:r>
            <w:r>
              <w:rPr>
                <w:sz w:val="18"/>
              </w:rPr>
              <w:t>para</w:t>
            </w:r>
            <w:r>
              <w:rPr>
                <w:spacing w:val="-9"/>
                <w:sz w:val="18"/>
              </w:rPr>
              <w:t> </w:t>
            </w:r>
            <w:r>
              <w:rPr>
                <w:sz w:val="18"/>
              </w:rPr>
              <w:t>complementar</w:t>
            </w:r>
            <w:r>
              <w:rPr>
                <w:spacing w:val="-9"/>
                <w:sz w:val="18"/>
              </w:rPr>
              <w:t> </w:t>
            </w:r>
            <w:r>
              <w:rPr>
                <w:sz w:val="18"/>
              </w:rPr>
              <w:t>los</w:t>
            </w:r>
            <w:r>
              <w:rPr>
                <w:spacing w:val="-7"/>
                <w:sz w:val="18"/>
              </w:rPr>
              <w:t> </w:t>
            </w:r>
            <w:r>
              <w:rPr>
                <w:sz w:val="18"/>
              </w:rPr>
              <w:t>costos</w:t>
            </w:r>
            <w:r>
              <w:rPr>
                <w:spacing w:val="-8"/>
                <w:sz w:val="18"/>
              </w:rPr>
              <w:t> </w:t>
            </w:r>
            <w:r>
              <w:rPr>
                <w:sz w:val="18"/>
              </w:rPr>
              <w:t>de atención de la población en los componentes: alimentación, limpieza de instalaciones y aseo personal, textiles y </w:t>
            </w:r>
            <w:r>
              <w:rPr>
                <w:spacing w:val="-2"/>
                <w:sz w:val="18"/>
              </w:rPr>
              <w:t>vestuario.</w:t>
            </w:r>
          </w:p>
        </w:tc>
      </w:tr>
      <w:tr>
        <w:trPr>
          <w:trHeight w:val="1202" w:hRule="atLeast"/>
        </w:trPr>
        <w:tc>
          <w:tcPr>
            <w:tcW w:w="699" w:type="dxa"/>
          </w:tcPr>
          <w:p>
            <w:pPr>
              <w:pStyle w:val="TableParagraph"/>
              <w:spacing w:before="222"/>
              <w:rPr>
                <w:b/>
                <w:sz w:val="22"/>
              </w:rPr>
            </w:pPr>
          </w:p>
          <w:p>
            <w:pPr>
              <w:pStyle w:val="TableParagraph"/>
              <w:ind w:left="7" w:right="2"/>
              <w:jc w:val="center"/>
              <w:rPr>
                <w:sz w:val="22"/>
              </w:rPr>
            </w:pPr>
            <w:r>
              <w:rPr>
                <w:spacing w:val="-10"/>
                <w:sz w:val="22"/>
              </w:rPr>
              <w:t>2</w:t>
            </w:r>
          </w:p>
        </w:tc>
        <w:tc>
          <w:tcPr>
            <w:tcW w:w="3570" w:type="dxa"/>
          </w:tcPr>
          <w:p>
            <w:pPr>
              <w:pStyle w:val="TableParagraph"/>
              <w:spacing w:before="82"/>
              <w:rPr>
                <w:b/>
                <w:sz w:val="18"/>
              </w:rPr>
            </w:pPr>
          </w:p>
          <w:p>
            <w:pPr>
              <w:pStyle w:val="TableParagraph"/>
              <w:ind w:left="69"/>
              <w:rPr>
                <w:sz w:val="18"/>
              </w:rPr>
            </w:pPr>
            <w:r>
              <w:rPr>
                <w:sz w:val="18"/>
              </w:rPr>
              <w:t>Asociación</w:t>
            </w:r>
            <w:r>
              <w:rPr>
                <w:spacing w:val="-7"/>
                <w:sz w:val="18"/>
              </w:rPr>
              <w:t> </w:t>
            </w:r>
            <w:r>
              <w:rPr>
                <w:sz w:val="18"/>
              </w:rPr>
              <w:t>Casa</w:t>
            </w:r>
            <w:r>
              <w:rPr>
                <w:spacing w:val="-7"/>
                <w:sz w:val="18"/>
              </w:rPr>
              <w:t> </w:t>
            </w:r>
            <w:r>
              <w:rPr>
                <w:sz w:val="18"/>
              </w:rPr>
              <w:t>Hogar</w:t>
            </w:r>
            <w:r>
              <w:rPr>
                <w:spacing w:val="-7"/>
                <w:sz w:val="18"/>
              </w:rPr>
              <w:t> </w:t>
            </w:r>
            <w:r>
              <w:rPr>
                <w:sz w:val="18"/>
              </w:rPr>
              <w:t>San</w:t>
            </w:r>
            <w:r>
              <w:rPr>
                <w:spacing w:val="-8"/>
                <w:sz w:val="18"/>
              </w:rPr>
              <w:t> </w:t>
            </w:r>
            <w:r>
              <w:rPr>
                <w:sz w:val="18"/>
              </w:rPr>
              <w:t>José</w:t>
            </w:r>
            <w:r>
              <w:rPr>
                <w:spacing w:val="-8"/>
                <w:sz w:val="18"/>
              </w:rPr>
              <w:t> </w:t>
            </w:r>
            <w:r>
              <w:rPr>
                <w:sz w:val="18"/>
              </w:rPr>
              <w:t>de</w:t>
            </w:r>
            <w:r>
              <w:rPr>
                <w:spacing w:val="-7"/>
                <w:sz w:val="18"/>
              </w:rPr>
              <w:t> </w:t>
            </w:r>
            <w:r>
              <w:rPr>
                <w:sz w:val="18"/>
              </w:rPr>
              <w:t>la Pastoral Social de la Arquiepiscopal (proyecto Heredia)</w:t>
            </w:r>
          </w:p>
        </w:tc>
        <w:tc>
          <w:tcPr>
            <w:tcW w:w="1719" w:type="dxa"/>
          </w:tcPr>
          <w:p>
            <w:pPr>
              <w:pStyle w:val="TableParagraph"/>
              <w:rPr>
                <w:b/>
                <w:sz w:val="18"/>
              </w:rPr>
            </w:pPr>
          </w:p>
          <w:p>
            <w:pPr>
              <w:pStyle w:val="TableParagraph"/>
              <w:spacing w:before="81"/>
              <w:rPr>
                <w:b/>
                <w:sz w:val="18"/>
              </w:rPr>
            </w:pPr>
          </w:p>
          <w:p>
            <w:pPr>
              <w:pStyle w:val="TableParagraph"/>
              <w:ind w:left="39" w:right="33"/>
              <w:jc w:val="center"/>
              <w:rPr>
                <w:sz w:val="18"/>
              </w:rPr>
            </w:pPr>
            <w:r>
              <w:rPr>
                <w:sz w:val="18"/>
              </w:rPr>
              <w:t>3-002-</w:t>
            </w:r>
            <w:r>
              <w:rPr>
                <w:spacing w:val="-2"/>
                <w:sz w:val="18"/>
              </w:rPr>
              <w:t>321407</w:t>
            </w:r>
          </w:p>
        </w:tc>
        <w:tc>
          <w:tcPr>
            <w:tcW w:w="1391" w:type="dxa"/>
          </w:tcPr>
          <w:p>
            <w:pPr>
              <w:pStyle w:val="TableParagraph"/>
              <w:rPr>
                <w:b/>
                <w:sz w:val="18"/>
              </w:rPr>
            </w:pPr>
          </w:p>
          <w:p>
            <w:pPr>
              <w:pStyle w:val="TableParagraph"/>
              <w:spacing w:before="81"/>
              <w:rPr>
                <w:b/>
                <w:sz w:val="18"/>
              </w:rPr>
            </w:pPr>
          </w:p>
          <w:p>
            <w:pPr>
              <w:pStyle w:val="TableParagraph"/>
              <w:ind w:left="8" w:right="8"/>
              <w:jc w:val="center"/>
              <w:rPr>
                <w:sz w:val="18"/>
              </w:rPr>
            </w:pPr>
            <w:r>
              <w:rPr>
                <w:spacing w:val="-2"/>
                <w:sz w:val="18"/>
              </w:rPr>
              <w:t>DASAI</w:t>
            </w:r>
          </w:p>
        </w:tc>
        <w:tc>
          <w:tcPr>
            <w:tcW w:w="1741" w:type="dxa"/>
          </w:tcPr>
          <w:p>
            <w:pPr>
              <w:pStyle w:val="TableParagraph"/>
              <w:rPr>
                <w:b/>
                <w:sz w:val="18"/>
              </w:rPr>
            </w:pPr>
          </w:p>
          <w:p>
            <w:pPr>
              <w:pStyle w:val="TableParagraph"/>
              <w:spacing w:before="81"/>
              <w:rPr>
                <w:b/>
                <w:sz w:val="18"/>
              </w:rPr>
            </w:pPr>
          </w:p>
          <w:p>
            <w:pPr>
              <w:pStyle w:val="TableParagraph"/>
              <w:ind w:right="63"/>
              <w:jc w:val="right"/>
              <w:rPr>
                <w:b/>
                <w:sz w:val="18"/>
              </w:rPr>
            </w:pPr>
            <w:r>
              <w:rPr>
                <w:b/>
                <w:sz w:val="18"/>
              </w:rPr>
              <w:t>₡</w:t>
            </w:r>
            <w:r>
              <w:rPr>
                <w:b/>
                <w:spacing w:val="-3"/>
                <w:sz w:val="18"/>
              </w:rPr>
              <w:t> </w:t>
            </w:r>
            <w:r>
              <w:rPr>
                <w:b/>
                <w:sz w:val="18"/>
              </w:rPr>
              <w:t>18</w:t>
            </w:r>
            <w:r>
              <w:rPr>
                <w:b/>
                <w:spacing w:val="-1"/>
                <w:sz w:val="18"/>
              </w:rPr>
              <w:t> </w:t>
            </w:r>
            <w:r>
              <w:rPr>
                <w:b/>
                <w:sz w:val="18"/>
              </w:rPr>
              <w:t>680 </w:t>
            </w:r>
            <w:r>
              <w:rPr>
                <w:b/>
                <w:spacing w:val="-2"/>
                <w:sz w:val="18"/>
              </w:rPr>
              <w:t>000,00</w:t>
            </w:r>
          </w:p>
        </w:tc>
        <w:tc>
          <w:tcPr>
            <w:tcW w:w="3782" w:type="dxa"/>
          </w:tcPr>
          <w:p>
            <w:pPr>
              <w:pStyle w:val="TableParagraph"/>
              <w:spacing w:before="83"/>
              <w:ind w:left="66" w:right="123"/>
              <w:rPr>
                <w:sz w:val="18"/>
              </w:rPr>
            </w:pPr>
            <w:r>
              <w:rPr>
                <w:sz w:val="18"/>
              </w:rPr>
              <w:t>Subsidio</w:t>
            </w:r>
            <w:r>
              <w:rPr>
                <w:spacing w:val="-9"/>
                <w:sz w:val="18"/>
              </w:rPr>
              <w:t> </w:t>
            </w:r>
            <w:r>
              <w:rPr>
                <w:sz w:val="18"/>
              </w:rPr>
              <w:t>para</w:t>
            </w:r>
            <w:r>
              <w:rPr>
                <w:spacing w:val="-9"/>
                <w:sz w:val="18"/>
              </w:rPr>
              <w:t> </w:t>
            </w:r>
            <w:r>
              <w:rPr>
                <w:sz w:val="18"/>
              </w:rPr>
              <w:t>complementar</w:t>
            </w:r>
            <w:r>
              <w:rPr>
                <w:spacing w:val="-9"/>
                <w:sz w:val="18"/>
              </w:rPr>
              <w:t> </w:t>
            </w:r>
            <w:r>
              <w:rPr>
                <w:sz w:val="18"/>
              </w:rPr>
              <w:t>los</w:t>
            </w:r>
            <w:r>
              <w:rPr>
                <w:spacing w:val="-7"/>
                <w:sz w:val="18"/>
              </w:rPr>
              <w:t> </w:t>
            </w:r>
            <w:r>
              <w:rPr>
                <w:sz w:val="18"/>
              </w:rPr>
              <w:t>costos</w:t>
            </w:r>
            <w:r>
              <w:rPr>
                <w:spacing w:val="-8"/>
                <w:sz w:val="18"/>
              </w:rPr>
              <w:t> </w:t>
            </w:r>
            <w:r>
              <w:rPr>
                <w:sz w:val="18"/>
              </w:rPr>
              <w:t>de atención de la población en los componentes: alimentación, limpieza de instalaciones y aseo personal, textiles y </w:t>
            </w:r>
            <w:r>
              <w:rPr>
                <w:spacing w:val="-2"/>
                <w:sz w:val="18"/>
              </w:rPr>
              <w:t>vestuario.</w:t>
            </w:r>
          </w:p>
        </w:tc>
      </w:tr>
      <w:tr>
        <w:trPr>
          <w:trHeight w:val="719" w:hRule="atLeast"/>
        </w:trPr>
        <w:tc>
          <w:tcPr>
            <w:tcW w:w="699" w:type="dxa"/>
          </w:tcPr>
          <w:p>
            <w:pPr>
              <w:pStyle w:val="TableParagraph"/>
              <w:spacing w:before="232"/>
              <w:ind w:left="7" w:right="2"/>
              <w:jc w:val="center"/>
              <w:rPr>
                <w:sz w:val="22"/>
              </w:rPr>
            </w:pPr>
            <w:r>
              <w:rPr>
                <w:spacing w:val="-10"/>
                <w:sz w:val="22"/>
              </w:rPr>
              <w:t>3</w:t>
            </w:r>
          </w:p>
        </w:tc>
        <w:tc>
          <w:tcPr>
            <w:tcW w:w="3570" w:type="dxa"/>
          </w:tcPr>
          <w:p>
            <w:pPr>
              <w:pStyle w:val="TableParagraph"/>
              <w:spacing w:before="48"/>
              <w:rPr>
                <w:b/>
                <w:sz w:val="18"/>
              </w:rPr>
            </w:pPr>
          </w:p>
          <w:p>
            <w:pPr>
              <w:pStyle w:val="TableParagraph"/>
              <w:ind w:left="69"/>
              <w:rPr>
                <w:sz w:val="18"/>
              </w:rPr>
            </w:pPr>
            <w:r>
              <w:rPr>
                <w:sz w:val="18"/>
              </w:rPr>
              <w:t>Asociación</w:t>
            </w:r>
            <w:r>
              <w:rPr>
                <w:spacing w:val="-4"/>
                <w:sz w:val="18"/>
              </w:rPr>
              <w:t> </w:t>
            </w:r>
            <w:r>
              <w:rPr>
                <w:sz w:val="18"/>
              </w:rPr>
              <w:t>Obras</w:t>
            </w:r>
            <w:r>
              <w:rPr>
                <w:spacing w:val="-4"/>
                <w:sz w:val="18"/>
              </w:rPr>
              <w:t> </w:t>
            </w:r>
            <w:r>
              <w:rPr>
                <w:sz w:val="18"/>
              </w:rPr>
              <w:t>del</w:t>
            </w:r>
            <w:r>
              <w:rPr>
                <w:spacing w:val="-3"/>
                <w:sz w:val="18"/>
              </w:rPr>
              <w:t> </w:t>
            </w:r>
            <w:r>
              <w:rPr>
                <w:sz w:val="18"/>
              </w:rPr>
              <w:t>Espíritu</w:t>
            </w:r>
            <w:r>
              <w:rPr>
                <w:spacing w:val="-4"/>
                <w:sz w:val="18"/>
              </w:rPr>
              <w:t> Santo</w:t>
            </w:r>
          </w:p>
        </w:tc>
        <w:tc>
          <w:tcPr>
            <w:tcW w:w="1719" w:type="dxa"/>
          </w:tcPr>
          <w:p>
            <w:pPr>
              <w:pStyle w:val="TableParagraph"/>
              <w:spacing w:before="48"/>
              <w:rPr>
                <w:b/>
                <w:sz w:val="18"/>
              </w:rPr>
            </w:pPr>
          </w:p>
          <w:p>
            <w:pPr>
              <w:pStyle w:val="TableParagraph"/>
              <w:ind w:left="39" w:right="33"/>
              <w:jc w:val="center"/>
              <w:rPr>
                <w:sz w:val="18"/>
              </w:rPr>
            </w:pPr>
            <w:r>
              <w:rPr>
                <w:sz w:val="18"/>
              </w:rPr>
              <w:t>3-002-</w:t>
            </w:r>
            <w:r>
              <w:rPr>
                <w:spacing w:val="-2"/>
                <w:sz w:val="18"/>
              </w:rPr>
              <w:t>344562</w:t>
            </w:r>
          </w:p>
        </w:tc>
        <w:tc>
          <w:tcPr>
            <w:tcW w:w="1391" w:type="dxa"/>
          </w:tcPr>
          <w:p>
            <w:pPr>
              <w:pStyle w:val="TableParagraph"/>
              <w:spacing w:before="48"/>
              <w:rPr>
                <w:b/>
                <w:sz w:val="18"/>
              </w:rPr>
            </w:pPr>
          </w:p>
          <w:p>
            <w:pPr>
              <w:pStyle w:val="TableParagraph"/>
              <w:ind w:left="8" w:right="8"/>
              <w:jc w:val="center"/>
              <w:rPr>
                <w:sz w:val="18"/>
              </w:rPr>
            </w:pPr>
            <w:r>
              <w:rPr>
                <w:spacing w:val="-2"/>
                <w:sz w:val="18"/>
              </w:rPr>
              <w:t>DASAI</w:t>
            </w:r>
          </w:p>
        </w:tc>
        <w:tc>
          <w:tcPr>
            <w:tcW w:w="1741" w:type="dxa"/>
          </w:tcPr>
          <w:p>
            <w:pPr>
              <w:pStyle w:val="TableParagraph"/>
              <w:spacing w:before="48"/>
              <w:rPr>
                <w:b/>
                <w:sz w:val="18"/>
              </w:rPr>
            </w:pPr>
          </w:p>
          <w:p>
            <w:pPr>
              <w:pStyle w:val="TableParagraph"/>
              <w:ind w:right="63"/>
              <w:jc w:val="right"/>
              <w:rPr>
                <w:b/>
                <w:sz w:val="18"/>
              </w:rPr>
            </w:pPr>
            <w:r>
              <w:rPr>
                <w:b/>
                <w:sz w:val="18"/>
              </w:rPr>
              <w:t>₡</w:t>
            </w:r>
            <w:r>
              <w:rPr>
                <w:b/>
                <w:spacing w:val="-1"/>
                <w:sz w:val="18"/>
              </w:rPr>
              <w:t> </w:t>
            </w:r>
            <w:r>
              <w:rPr>
                <w:b/>
                <w:sz w:val="18"/>
              </w:rPr>
              <w:t>200</w:t>
            </w:r>
            <w:r>
              <w:rPr>
                <w:b/>
                <w:spacing w:val="-1"/>
                <w:sz w:val="18"/>
              </w:rPr>
              <w:t> </w:t>
            </w:r>
            <w:r>
              <w:rPr>
                <w:b/>
                <w:sz w:val="18"/>
              </w:rPr>
              <w:t>042 </w:t>
            </w:r>
            <w:r>
              <w:rPr>
                <w:b/>
                <w:spacing w:val="-2"/>
                <w:sz w:val="18"/>
              </w:rPr>
              <w:t>641,00</w:t>
            </w:r>
          </w:p>
        </w:tc>
        <w:tc>
          <w:tcPr>
            <w:tcW w:w="3782" w:type="dxa"/>
          </w:tcPr>
          <w:p>
            <w:pPr>
              <w:pStyle w:val="TableParagraph"/>
              <w:spacing w:before="47"/>
              <w:ind w:left="66" w:right="123"/>
              <w:rPr>
                <w:sz w:val="18"/>
              </w:rPr>
            </w:pPr>
            <w:r>
              <w:rPr>
                <w:sz w:val="18"/>
              </w:rPr>
              <w:t>Subsidio</w:t>
            </w:r>
            <w:r>
              <w:rPr>
                <w:spacing w:val="-9"/>
                <w:sz w:val="18"/>
              </w:rPr>
              <w:t> </w:t>
            </w:r>
            <w:r>
              <w:rPr>
                <w:sz w:val="18"/>
              </w:rPr>
              <w:t>para</w:t>
            </w:r>
            <w:r>
              <w:rPr>
                <w:spacing w:val="-9"/>
                <w:sz w:val="18"/>
              </w:rPr>
              <w:t> </w:t>
            </w:r>
            <w:r>
              <w:rPr>
                <w:sz w:val="18"/>
              </w:rPr>
              <w:t>complementar</w:t>
            </w:r>
            <w:r>
              <w:rPr>
                <w:spacing w:val="-9"/>
                <w:sz w:val="18"/>
              </w:rPr>
              <w:t> </w:t>
            </w:r>
            <w:r>
              <w:rPr>
                <w:sz w:val="18"/>
              </w:rPr>
              <w:t>los</w:t>
            </w:r>
            <w:r>
              <w:rPr>
                <w:spacing w:val="-7"/>
                <w:sz w:val="18"/>
              </w:rPr>
              <w:t> </w:t>
            </w:r>
            <w:r>
              <w:rPr>
                <w:sz w:val="18"/>
              </w:rPr>
              <w:t>costos</w:t>
            </w:r>
            <w:r>
              <w:rPr>
                <w:spacing w:val="-8"/>
                <w:sz w:val="18"/>
              </w:rPr>
              <w:t> </w:t>
            </w:r>
            <w:r>
              <w:rPr>
                <w:sz w:val="18"/>
              </w:rPr>
              <w:t>de atención de la población en los componentes: alimentación</w:t>
            </w:r>
          </w:p>
        </w:tc>
      </w:tr>
      <w:tr>
        <w:trPr>
          <w:trHeight w:val="1200" w:hRule="atLeast"/>
        </w:trPr>
        <w:tc>
          <w:tcPr>
            <w:tcW w:w="699" w:type="dxa"/>
          </w:tcPr>
          <w:p>
            <w:pPr>
              <w:pStyle w:val="TableParagraph"/>
              <w:spacing w:before="220"/>
              <w:rPr>
                <w:b/>
                <w:sz w:val="22"/>
              </w:rPr>
            </w:pPr>
          </w:p>
          <w:p>
            <w:pPr>
              <w:pStyle w:val="TableParagraph"/>
              <w:ind w:left="7" w:right="2"/>
              <w:jc w:val="center"/>
              <w:rPr>
                <w:sz w:val="22"/>
              </w:rPr>
            </w:pPr>
            <w:r>
              <w:rPr>
                <w:spacing w:val="-10"/>
                <w:sz w:val="22"/>
              </w:rPr>
              <w:t>4</w:t>
            </w:r>
          </w:p>
        </w:tc>
        <w:tc>
          <w:tcPr>
            <w:tcW w:w="3570" w:type="dxa"/>
          </w:tcPr>
          <w:p>
            <w:pPr>
              <w:pStyle w:val="TableParagraph"/>
              <w:rPr>
                <w:b/>
                <w:sz w:val="18"/>
              </w:rPr>
            </w:pPr>
          </w:p>
          <w:p>
            <w:pPr>
              <w:pStyle w:val="TableParagraph"/>
              <w:spacing w:before="82"/>
              <w:rPr>
                <w:b/>
                <w:sz w:val="18"/>
              </w:rPr>
            </w:pPr>
          </w:p>
          <w:p>
            <w:pPr>
              <w:pStyle w:val="TableParagraph"/>
              <w:ind w:left="69"/>
              <w:rPr>
                <w:sz w:val="18"/>
              </w:rPr>
            </w:pPr>
            <w:r>
              <w:rPr>
                <w:sz w:val="18"/>
              </w:rPr>
              <w:t>Asociación</w:t>
            </w:r>
            <w:r>
              <w:rPr>
                <w:spacing w:val="-3"/>
                <w:sz w:val="18"/>
              </w:rPr>
              <w:t> </w:t>
            </w:r>
            <w:r>
              <w:rPr>
                <w:sz w:val="18"/>
              </w:rPr>
              <w:t>Hogar</w:t>
            </w:r>
            <w:r>
              <w:rPr>
                <w:spacing w:val="-3"/>
                <w:sz w:val="18"/>
              </w:rPr>
              <w:t> </w:t>
            </w:r>
            <w:r>
              <w:rPr>
                <w:sz w:val="18"/>
              </w:rPr>
              <w:t>Buen</w:t>
            </w:r>
            <w:r>
              <w:rPr>
                <w:spacing w:val="-3"/>
                <w:sz w:val="18"/>
              </w:rPr>
              <w:t> </w:t>
            </w:r>
            <w:r>
              <w:rPr>
                <w:spacing w:val="-2"/>
                <w:sz w:val="18"/>
              </w:rPr>
              <w:t>Samaritano</w:t>
            </w:r>
          </w:p>
        </w:tc>
        <w:tc>
          <w:tcPr>
            <w:tcW w:w="1719" w:type="dxa"/>
          </w:tcPr>
          <w:p>
            <w:pPr>
              <w:pStyle w:val="TableParagraph"/>
              <w:rPr>
                <w:b/>
                <w:sz w:val="18"/>
              </w:rPr>
            </w:pPr>
          </w:p>
          <w:p>
            <w:pPr>
              <w:pStyle w:val="TableParagraph"/>
              <w:spacing w:before="82"/>
              <w:rPr>
                <w:b/>
                <w:sz w:val="18"/>
              </w:rPr>
            </w:pPr>
          </w:p>
          <w:p>
            <w:pPr>
              <w:pStyle w:val="TableParagraph"/>
              <w:ind w:left="39" w:right="33"/>
              <w:jc w:val="center"/>
              <w:rPr>
                <w:sz w:val="18"/>
              </w:rPr>
            </w:pPr>
            <w:r>
              <w:rPr>
                <w:sz w:val="18"/>
              </w:rPr>
              <w:t>3-002-</w:t>
            </w:r>
            <w:r>
              <w:rPr>
                <w:spacing w:val="-2"/>
                <w:sz w:val="18"/>
              </w:rPr>
              <w:t>198717</w:t>
            </w:r>
          </w:p>
        </w:tc>
        <w:tc>
          <w:tcPr>
            <w:tcW w:w="1391" w:type="dxa"/>
          </w:tcPr>
          <w:p>
            <w:pPr>
              <w:pStyle w:val="TableParagraph"/>
              <w:rPr>
                <w:b/>
                <w:sz w:val="18"/>
              </w:rPr>
            </w:pPr>
          </w:p>
          <w:p>
            <w:pPr>
              <w:pStyle w:val="TableParagraph"/>
              <w:spacing w:before="82"/>
              <w:rPr>
                <w:b/>
                <w:sz w:val="18"/>
              </w:rPr>
            </w:pPr>
          </w:p>
          <w:p>
            <w:pPr>
              <w:pStyle w:val="TableParagraph"/>
              <w:ind w:left="8" w:right="8"/>
              <w:jc w:val="center"/>
              <w:rPr>
                <w:sz w:val="18"/>
              </w:rPr>
            </w:pPr>
            <w:r>
              <w:rPr>
                <w:spacing w:val="-2"/>
                <w:sz w:val="18"/>
              </w:rPr>
              <w:t>DASAI</w:t>
            </w:r>
          </w:p>
        </w:tc>
        <w:tc>
          <w:tcPr>
            <w:tcW w:w="1741" w:type="dxa"/>
          </w:tcPr>
          <w:p>
            <w:pPr>
              <w:pStyle w:val="TableParagraph"/>
              <w:rPr>
                <w:b/>
                <w:sz w:val="18"/>
              </w:rPr>
            </w:pPr>
          </w:p>
          <w:p>
            <w:pPr>
              <w:pStyle w:val="TableParagraph"/>
              <w:spacing w:before="82"/>
              <w:rPr>
                <w:b/>
                <w:sz w:val="18"/>
              </w:rPr>
            </w:pPr>
          </w:p>
          <w:p>
            <w:pPr>
              <w:pStyle w:val="TableParagraph"/>
              <w:ind w:right="63"/>
              <w:jc w:val="right"/>
              <w:rPr>
                <w:b/>
                <w:sz w:val="18"/>
              </w:rPr>
            </w:pPr>
            <w:r>
              <w:rPr>
                <w:b/>
                <w:sz w:val="18"/>
              </w:rPr>
              <w:t>₡</w:t>
            </w:r>
            <w:r>
              <w:rPr>
                <w:b/>
                <w:spacing w:val="-3"/>
                <w:sz w:val="18"/>
              </w:rPr>
              <w:t> </w:t>
            </w:r>
            <w:r>
              <w:rPr>
                <w:b/>
                <w:sz w:val="18"/>
              </w:rPr>
              <w:t>19</w:t>
            </w:r>
            <w:r>
              <w:rPr>
                <w:b/>
                <w:spacing w:val="-1"/>
                <w:sz w:val="18"/>
              </w:rPr>
              <w:t> </w:t>
            </w:r>
            <w:r>
              <w:rPr>
                <w:b/>
                <w:sz w:val="18"/>
              </w:rPr>
              <w:t>090 </w:t>
            </w:r>
            <w:r>
              <w:rPr>
                <w:b/>
                <w:spacing w:val="-2"/>
                <w:sz w:val="18"/>
              </w:rPr>
              <w:t>000,00</w:t>
            </w:r>
          </w:p>
        </w:tc>
        <w:tc>
          <w:tcPr>
            <w:tcW w:w="3782" w:type="dxa"/>
          </w:tcPr>
          <w:p>
            <w:pPr>
              <w:pStyle w:val="TableParagraph"/>
              <w:spacing w:before="81"/>
              <w:ind w:left="66" w:right="123"/>
              <w:rPr>
                <w:sz w:val="18"/>
              </w:rPr>
            </w:pPr>
            <w:r>
              <w:rPr>
                <w:sz w:val="18"/>
              </w:rPr>
              <w:t>Subsidio</w:t>
            </w:r>
            <w:r>
              <w:rPr>
                <w:spacing w:val="-9"/>
                <w:sz w:val="18"/>
              </w:rPr>
              <w:t> </w:t>
            </w:r>
            <w:r>
              <w:rPr>
                <w:sz w:val="18"/>
              </w:rPr>
              <w:t>para</w:t>
            </w:r>
            <w:r>
              <w:rPr>
                <w:spacing w:val="-9"/>
                <w:sz w:val="18"/>
              </w:rPr>
              <w:t> </w:t>
            </w:r>
            <w:r>
              <w:rPr>
                <w:sz w:val="18"/>
              </w:rPr>
              <w:t>complementar</w:t>
            </w:r>
            <w:r>
              <w:rPr>
                <w:spacing w:val="-9"/>
                <w:sz w:val="18"/>
              </w:rPr>
              <w:t> </w:t>
            </w:r>
            <w:r>
              <w:rPr>
                <w:sz w:val="18"/>
              </w:rPr>
              <w:t>los</w:t>
            </w:r>
            <w:r>
              <w:rPr>
                <w:spacing w:val="-7"/>
                <w:sz w:val="18"/>
              </w:rPr>
              <w:t> </w:t>
            </w:r>
            <w:r>
              <w:rPr>
                <w:sz w:val="18"/>
              </w:rPr>
              <w:t>costos</w:t>
            </w:r>
            <w:r>
              <w:rPr>
                <w:spacing w:val="-8"/>
                <w:sz w:val="18"/>
              </w:rPr>
              <w:t> </w:t>
            </w:r>
            <w:r>
              <w:rPr>
                <w:sz w:val="18"/>
              </w:rPr>
              <w:t>de atención de la población en los componentes: alimentación, limpieza de instalaciones y aseo personal, textiles y </w:t>
            </w:r>
            <w:r>
              <w:rPr>
                <w:spacing w:val="-2"/>
                <w:sz w:val="18"/>
              </w:rPr>
              <w:t>vestuario.</w:t>
            </w:r>
          </w:p>
        </w:tc>
      </w:tr>
      <w:tr>
        <w:trPr>
          <w:trHeight w:val="1199" w:hRule="atLeast"/>
        </w:trPr>
        <w:tc>
          <w:tcPr>
            <w:tcW w:w="699" w:type="dxa"/>
          </w:tcPr>
          <w:p>
            <w:pPr>
              <w:pStyle w:val="TableParagraph"/>
              <w:spacing w:before="219"/>
              <w:rPr>
                <w:b/>
                <w:sz w:val="22"/>
              </w:rPr>
            </w:pPr>
          </w:p>
          <w:p>
            <w:pPr>
              <w:pStyle w:val="TableParagraph"/>
              <w:ind w:left="7" w:right="2"/>
              <w:jc w:val="center"/>
              <w:rPr>
                <w:sz w:val="22"/>
              </w:rPr>
            </w:pPr>
            <w:r>
              <w:rPr>
                <w:spacing w:val="-10"/>
                <w:sz w:val="22"/>
              </w:rPr>
              <w:t>5</w:t>
            </w:r>
          </w:p>
        </w:tc>
        <w:tc>
          <w:tcPr>
            <w:tcW w:w="3570" w:type="dxa"/>
          </w:tcPr>
          <w:p>
            <w:pPr>
              <w:pStyle w:val="TableParagraph"/>
              <w:spacing w:before="185"/>
              <w:rPr>
                <w:b/>
                <w:sz w:val="18"/>
              </w:rPr>
            </w:pPr>
          </w:p>
          <w:p>
            <w:pPr>
              <w:pStyle w:val="TableParagraph"/>
              <w:ind w:left="69"/>
              <w:rPr>
                <w:sz w:val="18"/>
              </w:rPr>
            </w:pPr>
            <w:r>
              <w:rPr>
                <w:sz w:val="18"/>
              </w:rPr>
              <w:t>Asociación</w:t>
            </w:r>
            <w:r>
              <w:rPr>
                <w:spacing w:val="-10"/>
                <w:sz w:val="18"/>
              </w:rPr>
              <w:t> </w:t>
            </w:r>
            <w:r>
              <w:rPr>
                <w:sz w:val="18"/>
              </w:rPr>
              <w:t>Ciudad</w:t>
            </w:r>
            <w:r>
              <w:rPr>
                <w:spacing w:val="-10"/>
                <w:sz w:val="18"/>
              </w:rPr>
              <w:t> </w:t>
            </w:r>
            <w:r>
              <w:rPr>
                <w:sz w:val="18"/>
              </w:rPr>
              <w:t>Refugio</w:t>
            </w:r>
            <w:r>
              <w:rPr>
                <w:spacing w:val="-12"/>
                <w:sz w:val="18"/>
              </w:rPr>
              <w:t> </w:t>
            </w:r>
            <w:r>
              <w:rPr>
                <w:sz w:val="18"/>
              </w:rPr>
              <w:t>Dios</w:t>
            </w:r>
            <w:r>
              <w:rPr>
                <w:spacing w:val="-9"/>
                <w:sz w:val="18"/>
              </w:rPr>
              <w:t> </w:t>
            </w:r>
            <w:r>
              <w:rPr>
                <w:sz w:val="18"/>
              </w:rPr>
              <w:t>Restaura </w:t>
            </w:r>
            <w:r>
              <w:rPr>
                <w:spacing w:val="-2"/>
                <w:sz w:val="18"/>
              </w:rPr>
              <w:t>ELIASIB</w:t>
            </w:r>
          </w:p>
        </w:tc>
        <w:tc>
          <w:tcPr>
            <w:tcW w:w="1719" w:type="dxa"/>
          </w:tcPr>
          <w:p>
            <w:pPr>
              <w:pStyle w:val="TableParagraph"/>
              <w:rPr>
                <w:b/>
                <w:sz w:val="18"/>
              </w:rPr>
            </w:pPr>
          </w:p>
          <w:p>
            <w:pPr>
              <w:pStyle w:val="TableParagraph"/>
              <w:spacing w:before="81"/>
              <w:rPr>
                <w:b/>
                <w:sz w:val="18"/>
              </w:rPr>
            </w:pPr>
          </w:p>
          <w:p>
            <w:pPr>
              <w:pStyle w:val="TableParagraph"/>
              <w:ind w:left="39" w:right="33"/>
              <w:jc w:val="center"/>
              <w:rPr>
                <w:sz w:val="18"/>
              </w:rPr>
            </w:pPr>
            <w:r>
              <w:rPr>
                <w:sz w:val="18"/>
              </w:rPr>
              <w:t>3-002-</w:t>
            </w:r>
            <w:r>
              <w:rPr>
                <w:spacing w:val="-2"/>
                <w:sz w:val="18"/>
              </w:rPr>
              <w:t>338313</w:t>
            </w:r>
          </w:p>
        </w:tc>
        <w:tc>
          <w:tcPr>
            <w:tcW w:w="1391" w:type="dxa"/>
          </w:tcPr>
          <w:p>
            <w:pPr>
              <w:pStyle w:val="TableParagraph"/>
              <w:rPr>
                <w:b/>
                <w:sz w:val="18"/>
              </w:rPr>
            </w:pPr>
          </w:p>
          <w:p>
            <w:pPr>
              <w:pStyle w:val="TableParagraph"/>
              <w:spacing w:before="81"/>
              <w:rPr>
                <w:b/>
                <w:sz w:val="18"/>
              </w:rPr>
            </w:pPr>
          </w:p>
          <w:p>
            <w:pPr>
              <w:pStyle w:val="TableParagraph"/>
              <w:ind w:left="8" w:right="8"/>
              <w:jc w:val="center"/>
              <w:rPr>
                <w:sz w:val="18"/>
              </w:rPr>
            </w:pPr>
            <w:r>
              <w:rPr>
                <w:spacing w:val="-2"/>
                <w:sz w:val="18"/>
              </w:rPr>
              <w:t>DASAI</w:t>
            </w:r>
          </w:p>
        </w:tc>
        <w:tc>
          <w:tcPr>
            <w:tcW w:w="1741" w:type="dxa"/>
          </w:tcPr>
          <w:p>
            <w:pPr>
              <w:pStyle w:val="TableParagraph"/>
              <w:rPr>
                <w:b/>
                <w:sz w:val="18"/>
              </w:rPr>
            </w:pPr>
          </w:p>
          <w:p>
            <w:pPr>
              <w:pStyle w:val="TableParagraph"/>
              <w:spacing w:before="81"/>
              <w:rPr>
                <w:b/>
                <w:sz w:val="18"/>
              </w:rPr>
            </w:pPr>
          </w:p>
          <w:p>
            <w:pPr>
              <w:pStyle w:val="TableParagraph"/>
              <w:ind w:right="63"/>
              <w:jc w:val="right"/>
              <w:rPr>
                <w:b/>
                <w:sz w:val="18"/>
              </w:rPr>
            </w:pPr>
            <w:r>
              <w:rPr>
                <w:b/>
                <w:sz w:val="18"/>
              </w:rPr>
              <w:t>₡</w:t>
            </w:r>
            <w:r>
              <w:rPr>
                <w:b/>
                <w:spacing w:val="-3"/>
                <w:sz w:val="18"/>
              </w:rPr>
              <w:t> </w:t>
            </w:r>
            <w:r>
              <w:rPr>
                <w:b/>
                <w:sz w:val="18"/>
              </w:rPr>
              <w:t>13</w:t>
            </w:r>
            <w:r>
              <w:rPr>
                <w:b/>
                <w:spacing w:val="-1"/>
                <w:sz w:val="18"/>
              </w:rPr>
              <w:t> </w:t>
            </w:r>
            <w:r>
              <w:rPr>
                <w:b/>
                <w:sz w:val="18"/>
              </w:rPr>
              <w:t>060 </w:t>
            </w:r>
            <w:r>
              <w:rPr>
                <w:b/>
                <w:spacing w:val="-2"/>
                <w:sz w:val="18"/>
              </w:rPr>
              <w:t>000,00</w:t>
            </w:r>
          </w:p>
        </w:tc>
        <w:tc>
          <w:tcPr>
            <w:tcW w:w="3782" w:type="dxa"/>
          </w:tcPr>
          <w:p>
            <w:pPr>
              <w:pStyle w:val="TableParagraph"/>
              <w:spacing w:before="80"/>
              <w:ind w:left="66" w:right="123"/>
              <w:rPr>
                <w:sz w:val="18"/>
              </w:rPr>
            </w:pPr>
            <w:r>
              <w:rPr>
                <w:sz w:val="18"/>
              </w:rPr>
              <w:t>Subsidio</w:t>
            </w:r>
            <w:r>
              <w:rPr>
                <w:spacing w:val="-9"/>
                <w:sz w:val="18"/>
              </w:rPr>
              <w:t> </w:t>
            </w:r>
            <w:r>
              <w:rPr>
                <w:sz w:val="18"/>
              </w:rPr>
              <w:t>para</w:t>
            </w:r>
            <w:r>
              <w:rPr>
                <w:spacing w:val="-9"/>
                <w:sz w:val="18"/>
              </w:rPr>
              <w:t> </w:t>
            </w:r>
            <w:r>
              <w:rPr>
                <w:sz w:val="18"/>
              </w:rPr>
              <w:t>complementar</w:t>
            </w:r>
            <w:r>
              <w:rPr>
                <w:spacing w:val="-9"/>
                <w:sz w:val="18"/>
              </w:rPr>
              <w:t> </w:t>
            </w:r>
            <w:r>
              <w:rPr>
                <w:sz w:val="18"/>
              </w:rPr>
              <w:t>los</w:t>
            </w:r>
            <w:r>
              <w:rPr>
                <w:spacing w:val="-7"/>
                <w:sz w:val="18"/>
              </w:rPr>
              <w:t> </w:t>
            </w:r>
            <w:r>
              <w:rPr>
                <w:sz w:val="18"/>
              </w:rPr>
              <w:t>costos</w:t>
            </w:r>
            <w:r>
              <w:rPr>
                <w:spacing w:val="-8"/>
                <w:sz w:val="18"/>
              </w:rPr>
              <w:t> </w:t>
            </w:r>
            <w:r>
              <w:rPr>
                <w:sz w:val="18"/>
              </w:rPr>
              <w:t>de atención de la población en los componentes: alimentación, limpieza de instalaciones y aseo personal, textiles y </w:t>
            </w:r>
            <w:r>
              <w:rPr>
                <w:spacing w:val="-2"/>
                <w:sz w:val="18"/>
              </w:rPr>
              <w:t>vestuario.</w:t>
            </w:r>
          </w:p>
        </w:tc>
      </w:tr>
    </w:tbl>
    <w:p>
      <w:pPr>
        <w:pStyle w:val="TableParagraph"/>
        <w:spacing w:after="0"/>
        <w:rPr>
          <w:sz w:val="18"/>
        </w:rPr>
        <w:sectPr>
          <w:footerReference w:type="default" r:id="rId153"/>
          <w:pgSz w:w="15840" w:h="12240" w:orient="landscape"/>
          <w:pgMar w:header="0" w:footer="2404" w:top="1380" w:bottom="2600" w:left="1080" w:right="1440"/>
        </w:sectPr>
      </w:pPr>
    </w:p>
    <w:p>
      <w:pPr>
        <w:pStyle w:val="BodyText"/>
        <w:spacing w:before="7" w:after="1"/>
        <w:rPr>
          <w:b/>
          <w:sz w:val="15"/>
        </w:rPr>
      </w:pPr>
    </w:p>
    <w:tbl>
      <w:tblPr>
        <w:tblW w:w="0" w:type="auto"/>
        <w:jc w:val="left"/>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9"/>
        <w:gridCol w:w="3570"/>
        <w:gridCol w:w="1719"/>
        <w:gridCol w:w="1391"/>
        <w:gridCol w:w="1741"/>
        <w:gridCol w:w="3782"/>
      </w:tblGrid>
      <w:tr>
        <w:trPr>
          <w:trHeight w:val="1228" w:hRule="atLeast"/>
        </w:trPr>
        <w:tc>
          <w:tcPr>
            <w:tcW w:w="699" w:type="dxa"/>
            <w:shd w:val="clear" w:color="auto" w:fill="0A2F40"/>
          </w:tcPr>
          <w:p>
            <w:pPr>
              <w:pStyle w:val="TableParagraph"/>
              <w:rPr>
                <w:rFonts w:ascii="Times New Roman"/>
                <w:sz w:val="18"/>
              </w:rPr>
            </w:pPr>
          </w:p>
        </w:tc>
        <w:tc>
          <w:tcPr>
            <w:tcW w:w="3570" w:type="dxa"/>
            <w:shd w:val="clear" w:color="auto" w:fill="0A2F40"/>
          </w:tcPr>
          <w:p>
            <w:pPr>
              <w:pStyle w:val="TableParagraph"/>
              <w:rPr>
                <w:b/>
                <w:sz w:val="18"/>
              </w:rPr>
            </w:pPr>
          </w:p>
          <w:p>
            <w:pPr>
              <w:pStyle w:val="TableParagraph"/>
              <w:spacing w:before="96"/>
              <w:rPr>
                <w:b/>
                <w:sz w:val="18"/>
              </w:rPr>
            </w:pPr>
          </w:p>
          <w:p>
            <w:pPr>
              <w:pStyle w:val="TableParagraph"/>
              <w:ind w:left="222"/>
              <w:rPr>
                <w:b/>
                <w:sz w:val="18"/>
              </w:rPr>
            </w:pPr>
            <w:r>
              <w:rPr>
                <w:b/>
                <w:color w:val="FFFFFF"/>
                <w:sz w:val="18"/>
              </w:rPr>
              <w:t>Nombre</w:t>
            </w:r>
            <w:r>
              <w:rPr>
                <w:b/>
                <w:color w:val="FFFFFF"/>
                <w:spacing w:val="-2"/>
                <w:sz w:val="18"/>
              </w:rPr>
              <w:t> </w:t>
            </w:r>
            <w:r>
              <w:rPr>
                <w:b/>
                <w:color w:val="FFFFFF"/>
                <w:sz w:val="18"/>
              </w:rPr>
              <w:t>completo</w:t>
            </w:r>
            <w:r>
              <w:rPr>
                <w:b/>
                <w:color w:val="FFFFFF"/>
                <w:spacing w:val="-4"/>
                <w:sz w:val="18"/>
              </w:rPr>
              <w:t> </w:t>
            </w:r>
            <w:r>
              <w:rPr>
                <w:b/>
                <w:color w:val="FFFFFF"/>
                <w:sz w:val="18"/>
              </w:rPr>
              <w:t>del</w:t>
            </w:r>
            <w:r>
              <w:rPr>
                <w:b/>
                <w:color w:val="FFFFFF"/>
                <w:spacing w:val="-3"/>
                <w:sz w:val="18"/>
              </w:rPr>
              <w:t> </w:t>
            </w:r>
            <w:r>
              <w:rPr>
                <w:b/>
                <w:color w:val="FFFFFF"/>
                <w:sz w:val="18"/>
              </w:rPr>
              <w:t>sujeto</w:t>
            </w:r>
            <w:r>
              <w:rPr>
                <w:b/>
                <w:color w:val="FFFFFF"/>
                <w:spacing w:val="-3"/>
                <w:sz w:val="18"/>
              </w:rPr>
              <w:t> </w:t>
            </w:r>
            <w:r>
              <w:rPr>
                <w:b/>
                <w:color w:val="FFFFFF"/>
                <w:spacing w:val="-2"/>
                <w:sz w:val="18"/>
              </w:rPr>
              <w:t>privado</w:t>
            </w:r>
          </w:p>
        </w:tc>
        <w:tc>
          <w:tcPr>
            <w:tcW w:w="1719" w:type="dxa"/>
            <w:shd w:val="clear" w:color="auto" w:fill="0A2F40"/>
          </w:tcPr>
          <w:p>
            <w:pPr>
              <w:pStyle w:val="TableParagraph"/>
              <w:spacing w:before="199"/>
              <w:rPr>
                <w:b/>
                <w:sz w:val="18"/>
              </w:rPr>
            </w:pPr>
          </w:p>
          <w:p>
            <w:pPr>
              <w:pStyle w:val="TableParagraph"/>
              <w:spacing w:before="1"/>
              <w:ind w:left="510" w:hanging="233"/>
              <w:rPr>
                <w:b/>
                <w:sz w:val="18"/>
              </w:rPr>
            </w:pPr>
            <w:r>
              <w:rPr>
                <w:b/>
                <w:color w:val="FFFFFF"/>
                <w:sz w:val="18"/>
              </w:rPr>
              <w:t>N.º</w:t>
            </w:r>
            <w:r>
              <w:rPr>
                <w:b/>
                <w:color w:val="FFFFFF"/>
                <w:spacing w:val="-15"/>
                <w:sz w:val="18"/>
              </w:rPr>
              <w:t> </w:t>
            </w:r>
            <w:r>
              <w:rPr>
                <w:b/>
                <w:color w:val="FFFFFF"/>
                <w:sz w:val="18"/>
              </w:rPr>
              <w:t>de</w:t>
            </w:r>
            <w:r>
              <w:rPr>
                <w:b/>
                <w:color w:val="FFFFFF"/>
                <w:spacing w:val="-12"/>
                <w:sz w:val="18"/>
              </w:rPr>
              <w:t> </w:t>
            </w:r>
            <w:r>
              <w:rPr>
                <w:b/>
                <w:color w:val="FFFFFF"/>
                <w:sz w:val="18"/>
              </w:rPr>
              <w:t>Cédula </w:t>
            </w:r>
            <w:r>
              <w:rPr>
                <w:b/>
                <w:color w:val="FFFFFF"/>
                <w:spacing w:val="-2"/>
                <w:sz w:val="18"/>
              </w:rPr>
              <w:t>Jurídica</w:t>
            </w:r>
          </w:p>
        </w:tc>
        <w:tc>
          <w:tcPr>
            <w:tcW w:w="1391" w:type="dxa"/>
            <w:shd w:val="clear" w:color="auto" w:fill="0A2F40"/>
          </w:tcPr>
          <w:p>
            <w:pPr>
              <w:pStyle w:val="TableParagraph"/>
              <w:spacing w:before="199"/>
              <w:rPr>
                <w:b/>
                <w:sz w:val="18"/>
              </w:rPr>
            </w:pPr>
          </w:p>
          <w:p>
            <w:pPr>
              <w:pStyle w:val="TableParagraph"/>
              <w:spacing w:before="1"/>
              <w:ind w:left="281" w:firstLine="103"/>
              <w:rPr>
                <w:b/>
                <w:sz w:val="18"/>
              </w:rPr>
            </w:pPr>
            <w:r>
              <w:rPr>
                <w:b/>
                <w:color w:val="FFFFFF"/>
                <w:spacing w:val="-2"/>
                <w:sz w:val="18"/>
              </w:rPr>
              <w:t>Unidad Ejecutora</w:t>
            </w:r>
          </w:p>
        </w:tc>
        <w:tc>
          <w:tcPr>
            <w:tcW w:w="1741" w:type="dxa"/>
            <w:shd w:val="clear" w:color="auto" w:fill="0A2F40"/>
          </w:tcPr>
          <w:p>
            <w:pPr>
              <w:pStyle w:val="TableParagraph"/>
              <w:spacing w:before="199"/>
              <w:rPr>
                <w:b/>
                <w:sz w:val="18"/>
              </w:rPr>
            </w:pPr>
          </w:p>
          <w:p>
            <w:pPr>
              <w:pStyle w:val="TableParagraph"/>
              <w:spacing w:before="1"/>
              <w:ind w:left="470" w:hanging="305"/>
              <w:rPr>
                <w:b/>
                <w:sz w:val="18"/>
              </w:rPr>
            </w:pPr>
            <w:r>
              <w:rPr>
                <w:b/>
                <w:color w:val="FFFFFF"/>
                <w:sz w:val="18"/>
              </w:rPr>
              <w:t>Monto</w:t>
            </w:r>
            <w:r>
              <w:rPr>
                <w:b/>
                <w:color w:val="FFFFFF"/>
                <w:spacing w:val="-15"/>
                <w:sz w:val="18"/>
              </w:rPr>
              <w:t> </w:t>
            </w:r>
            <w:r>
              <w:rPr>
                <w:b/>
                <w:color w:val="FFFFFF"/>
                <w:sz w:val="18"/>
              </w:rPr>
              <w:t>total</w:t>
            </w:r>
            <w:r>
              <w:rPr>
                <w:b/>
                <w:color w:val="FFFFFF"/>
                <w:spacing w:val="-12"/>
                <w:sz w:val="18"/>
              </w:rPr>
              <w:t> </w:t>
            </w:r>
            <w:r>
              <w:rPr>
                <w:b/>
                <w:color w:val="FFFFFF"/>
                <w:sz w:val="18"/>
              </w:rPr>
              <w:t>para </w:t>
            </w:r>
            <w:r>
              <w:rPr>
                <w:b/>
                <w:color w:val="FFFFFF"/>
                <w:spacing w:val="-2"/>
                <w:sz w:val="18"/>
              </w:rPr>
              <w:t>transferir</w:t>
            </w:r>
          </w:p>
        </w:tc>
        <w:tc>
          <w:tcPr>
            <w:tcW w:w="3782" w:type="dxa"/>
            <w:shd w:val="clear" w:color="auto" w:fill="0A2F40"/>
          </w:tcPr>
          <w:p>
            <w:pPr>
              <w:pStyle w:val="TableParagraph"/>
              <w:spacing w:before="199"/>
              <w:rPr>
                <w:b/>
                <w:sz w:val="18"/>
              </w:rPr>
            </w:pPr>
          </w:p>
          <w:p>
            <w:pPr>
              <w:pStyle w:val="TableParagraph"/>
              <w:spacing w:before="1"/>
              <w:ind w:left="66" w:right="123"/>
              <w:rPr>
                <w:b/>
                <w:sz w:val="18"/>
              </w:rPr>
            </w:pPr>
            <w:r>
              <w:rPr>
                <w:b/>
                <w:color w:val="FFFFFF"/>
                <w:sz w:val="18"/>
              </w:rPr>
              <w:t>Descripción</w:t>
            </w:r>
            <w:r>
              <w:rPr>
                <w:b/>
                <w:color w:val="FFFFFF"/>
                <w:spacing w:val="-6"/>
                <w:sz w:val="18"/>
              </w:rPr>
              <w:t> </w:t>
            </w:r>
            <w:r>
              <w:rPr>
                <w:b/>
                <w:color w:val="FFFFFF"/>
                <w:sz w:val="18"/>
              </w:rPr>
              <w:t>de</w:t>
            </w:r>
            <w:r>
              <w:rPr>
                <w:b/>
                <w:color w:val="FFFFFF"/>
                <w:spacing w:val="-8"/>
                <w:sz w:val="18"/>
              </w:rPr>
              <w:t> </w:t>
            </w:r>
            <w:r>
              <w:rPr>
                <w:b/>
                <w:color w:val="FFFFFF"/>
                <w:sz w:val="18"/>
              </w:rPr>
              <w:t>la</w:t>
            </w:r>
            <w:r>
              <w:rPr>
                <w:b/>
                <w:color w:val="FFFFFF"/>
                <w:spacing w:val="-6"/>
                <w:sz w:val="18"/>
              </w:rPr>
              <w:t> </w:t>
            </w:r>
            <w:r>
              <w:rPr>
                <w:b/>
                <w:color w:val="FFFFFF"/>
                <w:sz w:val="18"/>
              </w:rPr>
              <w:t>Finalidad</w:t>
            </w:r>
            <w:r>
              <w:rPr>
                <w:b/>
                <w:color w:val="FFFFFF"/>
                <w:spacing w:val="-6"/>
                <w:sz w:val="18"/>
              </w:rPr>
              <w:t> </w:t>
            </w:r>
            <w:r>
              <w:rPr>
                <w:b/>
                <w:color w:val="FFFFFF"/>
                <w:sz w:val="18"/>
              </w:rPr>
              <w:t>(detalle</w:t>
            </w:r>
            <w:r>
              <w:rPr>
                <w:b/>
                <w:color w:val="FFFFFF"/>
                <w:spacing w:val="-8"/>
                <w:sz w:val="18"/>
              </w:rPr>
              <w:t> </w:t>
            </w:r>
            <w:r>
              <w:rPr>
                <w:b/>
                <w:color w:val="FFFFFF"/>
                <w:sz w:val="18"/>
              </w:rPr>
              <w:t>el</w:t>
            </w:r>
            <w:r>
              <w:rPr>
                <w:b/>
                <w:color w:val="FFFFFF"/>
                <w:spacing w:val="-6"/>
                <w:sz w:val="18"/>
              </w:rPr>
              <w:t> </w:t>
            </w:r>
            <w:r>
              <w:rPr>
                <w:b/>
                <w:color w:val="FFFFFF"/>
                <w:sz w:val="18"/>
              </w:rPr>
              <w:t>uso del beneficio)</w:t>
            </w:r>
          </w:p>
        </w:tc>
      </w:tr>
      <w:tr>
        <w:trPr>
          <w:trHeight w:val="1200" w:hRule="atLeast"/>
        </w:trPr>
        <w:tc>
          <w:tcPr>
            <w:tcW w:w="699" w:type="dxa"/>
          </w:tcPr>
          <w:p>
            <w:pPr>
              <w:pStyle w:val="TableParagraph"/>
              <w:spacing w:before="222"/>
              <w:rPr>
                <w:b/>
                <w:sz w:val="22"/>
              </w:rPr>
            </w:pPr>
          </w:p>
          <w:p>
            <w:pPr>
              <w:pStyle w:val="TableParagraph"/>
              <w:ind w:left="7" w:right="2"/>
              <w:jc w:val="center"/>
              <w:rPr>
                <w:sz w:val="22"/>
              </w:rPr>
            </w:pPr>
            <w:r>
              <w:rPr>
                <w:spacing w:val="-10"/>
                <w:sz w:val="22"/>
              </w:rPr>
              <w:t>6</w:t>
            </w:r>
          </w:p>
        </w:tc>
        <w:tc>
          <w:tcPr>
            <w:tcW w:w="3570" w:type="dxa"/>
          </w:tcPr>
          <w:p>
            <w:pPr>
              <w:pStyle w:val="TableParagraph"/>
              <w:spacing w:before="185"/>
              <w:rPr>
                <w:b/>
                <w:sz w:val="18"/>
              </w:rPr>
            </w:pPr>
          </w:p>
          <w:p>
            <w:pPr>
              <w:pStyle w:val="TableParagraph"/>
              <w:ind w:left="69" w:right="141"/>
              <w:rPr>
                <w:sz w:val="18"/>
              </w:rPr>
            </w:pPr>
            <w:r>
              <w:rPr>
                <w:sz w:val="18"/>
              </w:rPr>
              <w:t>Asociación</w:t>
            </w:r>
            <w:r>
              <w:rPr>
                <w:spacing w:val="-8"/>
                <w:sz w:val="18"/>
              </w:rPr>
              <w:t> </w:t>
            </w:r>
            <w:r>
              <w:rPr>
                <w:sz w:val="18"/>
              </w:rPr>
              <w:t>Hogar</w:t>
            </w:r>
            <w:r>
              <w:rPr>
                <w:spacing w:val="-8"/>
                <w:sz w:val="18"/>
              </w:rPr>
              <w:t> </w:t>
            </w:r>
            <w:r>
              <w:rPr>
                <w:sz w:val="18"/>
              </w:rPr>
              <w:t>Feliz</w:t>
            </w:r>
            <w:r>
              <w:rPr>
                <w:spacing w:val="-7"/>
                <w:sz w:val="18"/>
              </w:rPr>
              <w:t> </w:t>
            </w:r>
            <w:r>
              <w:rPr>
                <w:sz w:val="18"/>
              </w:rPr>
              <w:t>por</w:t>
            </w:r>
            <w:r>
              <w:rPr>
                <w:spacing w:val="-8"/>
                <w:sz w:val="18"/>
              </w:rPr>
              <w:t> </w:t>
            </w:r>
            <w:r>
              <w:rPr>
                <w:sz w:val="18"/>
              </w:rPr>
              <w:t>la</w:t>
            </w:r>
            <w:r>
              <w:rPr>
                <w:spacing w:val="-11"/>
                <w:sz w:val="18"/>
              </w:rPr>
              <w:t> </w:t>
            </w:r>
            <w:r>
              <w:rPr>
                <w:sz w:val="18"/>
              </w:rPr>
              <w:t>Salvación del Alcohólico (Naranjo)</w:t>
            </w:r>
          </w:p>
        </w:tc>
        <w:tc>
          <w:tcPr>
            <w:tcW w:w="1719" w:type="dxa"/>
          </w:tcPr>
          <w:p>
            <w:pPr>
              <w:pStyle w:val="TableParagraph"/>
              <w:rPr>
                <w:b/>
                <w:sz w:val="18"/>
              </w:rPr>
            </w:pPr>
          </w:p>
          <w:p>
            <w:pPr>
              <w:pStyle w:val="TableParagraph"/>
              <w:spacing w:before="81"/>
              <w:rPr>
                <w:b/>
                <w:sz w:val="18"/>
              </w:rPr>
            </w:pPr>
          </w:p>
          <w:p>
            <w:pPr>
              <w:pStyle w:val="TableParagraph"/>
              <w:ind w:left="39" w:right="33"/>
              <w:jc w:val="center"/>
              <w:rPr>
                <w:sz w:val="18"/>
              </w:rPr>
            </w:pPr>
            <w:r>
              <w:rPr>
                <w:sz w:val="18"/>
              </w:rPr>
              <w:t>3-002-</w:t>
            </w:r>
            <w:r>
              <w:rPr>
                <w:spacing w:val="-2"/>
                <w:sz w:val="18"/>
              </w:rPr>
              <w:t>109284</w:t>
            </w:r>
          </w:p>
        </w:tc>
        <w:tc>
          <w:tcPr>
            <w:tcW w:w="1391" w:type="dxa"/>
          </w:tcPr>
          <w:p>
            <w:pPr>
              <w:pStyle w:val="TableParagraph"/>
              <w:rPr>
                <w:b/>
                <w:sz w:val="18"/>
              </w:rPr>
            </w:pPr>
          </w:p>
          <w:p>
            <w:pPr>
              <w:pStyle w:val="TableParagraph"/>
              <w:spacing w:before="81"/>
              <w:rPr>
                <w:b/>
                <w:sz w:val="18"/>
              </w:rPr>
            </w:pPr>
          </w:p>
          <w:p>
            <w:pPr>
              <w:pStyle w:val="TableParagraph"/>
              <w:ind w:left="8" w:right="8"/>
              <w:jc w:val="center"/>
              <w:rPr>
                <w:sz w:val="18"/>
              </w:rPr>
            </w:pPr>
            <w:r>
              <w:rPr>
                <w:spacing w:val="-2"/>
                <w:sz w:val="18"/>
              </w:rPr>
              <w:t>DASAI</w:t>
            </w:r>
          </w:p>
        </w:tc>
        <w:tc>
          <w:tcPr>
            <w:tcW w:w="1741" w:type="dxa"/>
          </w:tcPr>
          <w:p>
            <w:pPr>
              <w:pStyle w:val="TableParagraph"/>
              <w:rPr>
                <w:b/>
                <w:sz w:val="18"/>
              </w:rPr>
            </w:pPr>
          </w:p>
          <w:p>
            <w:pPr>
              <w:pStyle w:val="TableParagraph"/>
              <w:spacing w:before="81"/>
              <w:rPr>
                <w:b/>
                <w:sz w:val="18"/>
              </w:rPr>
            </w:pPr>
          </w:p>
          <w:p>
            <w:pPr>
              <w:pStyle w:val="TableParagraph"/>
              <w:ind w:right="63"/>
              <w:jc w:val="right"/>
              <w:rPr>
                <w:b/>
                <w:sz w:val="18"/>
              </w:rPr>
            </w:pPr>
            <w:r>
              <w:rPr>
                <w:b/>
                <w:sz w:val="18"/>
              </w:rPr>
              <w:t>₡ 6 695</w:t>
            </w:r>
            <w:r>
              <w:rPr>
                <w:b/>
                <w:spacing w:val="-2"/>
                <w:sz w:val="18"/>
              </w:rPr>
              <w:t> 242,00</w:t>
            </w:r>
          </w:p>
        </w:tc>
        <w:tc>
          <w:tcPr>
            <w:tcW w:w="3782" w:type="dxa"/>
          </w:tcPr>
          <w:p>
            <w:pPr>
              <w:pStyle w:val="TableParagraph"/>
              <w:spacing w:before="83"/>
              <w:ind w:left="66" w:right="123"/>
              <w:rPr>
                <w:sz w:val="18"/>
              </w:rPr>
            </w:pPr>
            <w:r>
              <w:rPr>
                <w:sz w:val="18"/>
              </w:rPr>
              <w:t>Subsidio</w:t>
            </w:r>
            <w:r>
              <w:rPr>
                <w:spacing w:val="-9"/>
                <w:sz w:val="18"/>
              </w:rPr>
              <w:t> </w:t>
            </w:r>
            <w:r>
              <w:rPr>
                <w:sz w:val="18"/>
              </w:rPr>
              <w:t>para</w:t>
            </w:r>
            <w:r>
              <w:rPr>
                <w:spacing w:val="-9"/>
                <w:sz w:val="18"/>
              </w:rPr>
              <w:t> </w:t>
            </w:r>
            <w:r>
              <w:rPr>
                <w:sz w:val="18"/>
              </w:rPr>
              <w:t>complementar</w:t>
            </w:r>
            <w:r>
              <w:rPr>
                <w:spacing w:val="-9"/>
                <w:sz w:val="18"/>
              </w:rPr>
              <w:t> </w:t>
            </w:r>
            <w:r>
              <w:rPr>
                <w:sz w:val="18"/>
              </w:rPr>
              <w:t>los</w:t>
            </w:r>
            <w:r>
              <w:rPr>
                <w:spacing w:val="-7"/>
                <w:sz w:val="18"/>
              </w:rPr>
              <w:t> </w:t>
            </w:r>
            <w:r>
              <w:rPr>
                <w:sz w:val="18"/>
              </w:rPr>
              <w:t>costos</w:t>
            </w:r>
            <w:r>
              <w:rPr>
                <w:spacing w:val="-8"/>
                <w:sz w:val="18"/>
              </w:rPr>
              <w:t> </w:t>
            </w:r>
            <w:r>
              <w:rPr>
                <w:sz w:val="18"/>
              </w:rPr>
              <w:t>de atención de la población en los componentes: alimentación, limpieza de instalaciones y aseo personal, textiles y </w:t>
            </w:r>
            <w:r>
              <w:rPr>
                <w:spacing w:val="-2"/>
                <w:sz w:val="18"/>
              </w:rPr>
              <w:t>vestuario.</w:t>
            </w:r>
          </w:p>
        </w:tc>
      </w:tr>
      <w:tr>
        <w:trPr>
          <w:trHeight w:val="1201" w:hRule="atLeast"/>
        </w:trPr>
        <w:tc>
          <w:tcPr>
            <w:tcW w:w="699" w:type="dxa"/>
          </w:tcPr>
          <w:p>
            <w:pPr>
              <w:pStyle w:val="TableParagraph"/>
              <w:spacing w:before="222"/>
              <w:rPr>
                <w:b/>
                <w:sz w:val="22"/>
              </w:rPr>
            </w:pPr>
          </w:p>
          <w:p>
            <w:pPr>
              <w:pStyle w:val="TableParagraph"/>
              <w:ind w:left="7" w:right="2"/>
              <w:jc w:val="center"/>
              <w:rPr>
                <w:sz w:val="22"/>
              </w:rPr>
            </w:pPr>
            <w:r>
              <w:rPr>
                <w:spacing w:val="-10"/>
                <w:sz w:val="22"/>
              </w:rPr>
              <w:t>7</w:t>
            </w:r>
          </w:p>
        </w:tc>
        <w:tc>
          <w:tcPr>
            <w:tcW w:w="3570" w:type="dxa"/>
          </w:tcPr>
          <w:p>
            <w:pPr>
              <w:pStyle w:val="TableParagraph"/>
              <w:rPr>
                <w:b/>
                <w:sz w:val="18"/>
              </w:rPr>
            </w:pPr>
          </w:p>
          <w:p>
            <w:pPr>
              <w:pStyle w:val="TableParagraph"/>
              <w:spacing w:before="81"/>
              <w:rPr>
                <w:b/>
                <w:sz w:val="18"/>
              </w:rPr>
            </w:pPr>
          </w:p>
          <w:p>
            <w:pPr>
              <w:pStyle w:val="TableParagraph"/>
              <w:ind w:left="69"/>
              <w:rPr>
                <w:sz w:val="18"/>
              </w:rPr>
            </w:pPr>
            <w:r>
              <w:rPr>
                <w:sz w:val="18"/>
              </w:rPr>
              <w:t>Asociación</w:t>
            </w:r>
            <w:r>
              <w:rPr>
                <w:spacing w:val="-3"/>
                <w:sz w:val="18"/>
              </w:rPr>
              <w:t> </w:t>
            </w:r>
            <w:r>
              <w:rPr>
                <w:sz w:val="18"/>
              </w:rPr>
              <w:t>Rostro</w:t>
            </w:r>
            <w:r>
              <w:rPr>
                <w:spacing w:val="-3"/>
                <w:sz w:val="18"/>
              </w:rPr>
              <w:t> </w:t>
            </w:r>
            <w:r>
              <w:rPr>
                <w:sz w:val="18"/>
              </w:rPr>
              <w:t>de</w:t>
            </w:r>
            <w:r>
              <w:rPr>
                <w:spacing w:val="-4"/>
                <w:sz w:val="18"/>
              </w:rPr>
              <w:t> Jesús</w:t>
            </w:r>
          </w:p>
        </w:tc>
        <w:tc>
          <w:tcPr>
            <w:tcW w:w="1719" w:type="dxa"/>
          </w:tcPr>
          <w:p>
            <w:pPr>
              <w:pStyle w:val="TableParagraph"/>
              <w:rPr>
                <w:b/>
                <w:sz w:val="18"/>
              </w:rPr>
            </w:pPr>
          </w:p>
          <w:p>
            <w:pPr>
              <w:pStyle w:val="TableParagraph"/>
              <w:spacing w:before="81"/>
              <w:rPr>
                <w:b/>
                <w:sz w:val="18"/>
              </w:rPr>
            </w:pPr>
          </w:p>
          <w:p>
            <w:pPr>
              <w:pStyle w:val="TableParagraph"/>
              <w:ind w:left="39" w:right="33"/>
              <w:jc w:val="center"/>
              <w:rPr>
                <w:sz w:val="18"/>
              </w:rPr>
            </w:pPr>
            <w:r>
              <w:rPr>
                <w:sz w:val="18"/>
              </w:rPr>
              <w:t>3-002-</w:t>
            </w:r>
            <w:r>
              <w:rPr>
                <w:spacing w:val="-2"/>
                <w:sz w:val="18"/>
              </w:rPr>
              <w:t>335348</w:t>
            </w:r>
          </w:p>
        </w:tc>
        <w:tc>
          <w:tcPr>
            <w:tcW w:w="1391" w:type="dxa"/>
          </w:tcPr>
          <w:p>
            <w:pPr>
              <w:pStyle w:val="TableParagraph"/>
              <w:rPr>
                <w:b/>
                <w:sz w:val="18"/>
              </w:rPr>
            </w:pPr>
          </w:p>
          <w:p>
            <w:pPr>
              <w:pStyle w:val="TableParagraph"/>
              <w:spacing w:before="81"/>
              <w:rPr>
                <w:b/>
                <w:sz w:val="18"/>
              </w:rPr>
            </w:pPr>
          </w:p>
          <w:p>
            <w:pPr>
              <w:pStyle w:val="TableParagraph"/>
              <w:ind w:left="8" w:right="8"/>
              <w:jc w:val="center"/>
              <w:rPr>
                <w:sz w:val="18"/>
              </w:rPr>
            </w:pPr>
            <w:r>
              <w:rPr>
                <w:spacing w:val="-2"/>
                <w:sz w:val="18"/>
              </w:rPr>
              <w:t>DASAI</w:t>
            </w:r>
          </w:p>
        </w:tc>
        <w:tc>
          <w:tcPr>
            <w:tcW w:w="1741" w:type="dxa"/>
          </w:tcPr>
          <w:p>
            <w:pPr>
              <w:pStyle w:val="TableParagraph"/>
              <w:rPr>
                <w:b/>
                <w:sz w:val="18"/>
              </w:rPr>
            </w:pPr>
          </w:p>
          <w:p>
            <w:pPr>
              <w:pStyle w:val="TableParagraph"/>
              <w:spacing w:before="81"/>
              <w:rPr>
                <w:b/>
                <w:sz w:val="18"/>
              </w:rPr>
            </w:pPr>
          </w:p>
          <w:p>
            <w:pPr>
              <w:pStyle w:val="TableParagraph"/>
              <w:ind w:right="63"/>
              <w:jc w:val="right"/>
              <w:rPr>
                <w:b/>
                <w:sz w:val="18"/>
              </w:rPr>
            </w:pPr>
            <w:r>
              <w:rPr>
                <w:b/>
                <w:sz w:val="18"/>
              </w:rPr>
              <w:t>₡</w:t>
            </w:r>
            <w:r>
              <w:rPr>
                <w:b/>
                <w:spacing w:val="-3"/>
                <w:sz w:val="18"/>
              </w:rPr>
              <w:t> </w:t>
            </w:r>
            <w:r>
              <w:rPr>
                <w:b/>
                <w:sz w:val="18"/>
              </w:rPr>
              <w:t>19</w:t>
            </w:r>
            <w:r>
              <w:rPr>
                <w:b/>
                <w:spacing w:val="-1"/>
                <w:sz w:val="18"/>
              </w:rPr>
              <w:t> </w:t>
            </w:r>
            <w:r>
              <w:rPr>
                <w:b/>
                <w:sz w:val="18"/>
              </w:rPr>
              <w:t>090 </w:t>
            </w:r>
            <w:r>
              <w:rPr>
                <w:b/>
                <w:spacing w:val="-2"/>
                <w:sz w:val="18"/>
              </w:rPr>
              <w:t>000,00</w:t>
            </w:r>
          </w:p>
        </w:tc>
        <w:tc>
          <w:tcPr>
            <w:tcW w:w="3782" w:type="dxa"/>
          </w:tcPr>
          <w:p>
            <w:pPr>
              <w:pStyle w:val="TableParagraph"/>
              <w:spacing w:before="83"/>
              <w:ind w:left="66" w:right="123"/>
              <w:rPr>
                <w:sz w:val="18"/>
              </w:rPr>
            </w:pPr>
            <w:r>
              <w:rPr>
                <w:sz w:val="18"/>
              </w:rPr>
              <w:t>Subsidio</w:t>
            </w:r>
            <w:r>
              <w:rPr>
                <w:spacing w:val="-9"/>
                <w:sz w:val="18"/>
              </w:rPr>
              <w:t> </w:t>
            </w:r>
            <w:r>
              <w:rPr>
                <w:sz w:val="18"/>
              </w:rPr>
              <w:t>para</w:t>
            </w:r>
            <w:r>
              <w:rPr>
                <w:spacing w:val="-9"/>
                <w:sz w:val="18"/>
              </w:rPr>
              <w:t> </w:t>
            </w:r>
            <w:r>
              <w:rPr>
                <w:sz w:val="18"/>
              </w:rPr>
              <w:t>complementar</w:t>
            </w:r>
            <w:r>
              <w:rPr>
                <w:spacing w:val="-9"/>
                <w:sz w:val="18"/>
              </w:rPr>
              <w:t> </w:t>
            </w:r>
            <w:r>
              <w:rPr>
                <w:sz w:val="18"/>
              </w:rPr>
              <w:t>los</w:t>
            </w:r>
            <w:r>
              <w:rPr>
                <w:spacing w:val="-7"/>
                <w:sz w:val="18"/>
              </w:rPr>
              <w:t> </w:t>
            </w:r>
            <w:r>
              <w:rPr>
                <w:sz w:val="18"/>
              </w:rPr>
              <w:t>costos</w:t>
            </w:r>
            <w:r>
              <w:rPr>
                <w:spacing w:val="-8"/>
                <w:sz w:val="18"/>
              </w:rPr>
              <w:t> </w:t>
            </w:r>
            <w:r>
              <w:rPr>
                <w:sz w:val="18"/>
              </w:rPr>
              <w:t>de atención de la población en los componentes: alimentación, limpieza de instalaciones y aseo personal, textiles y </w:t>
            </w:r>
            <w:r>
              <w:rPr>
                <w:spacing w:val="-2"/>
                <w:sz w:val="18"/>
              </w:rPr>
              <w:t>vestuario.</w:t>
            </w:r>
          </w:p>
        </w:tc>
      </w:tr>
      <w:tr>
        <w:trPr>
          <w:trHeight w:val="1199" w:hRule="atLeast"/>
        </w:trPr>
        <w:tc>
          <w:tcPr>
            <w:tcW w:w="699" w:type="dxa"/>
          </w:tcPr>
          <w:p>
            <w:pPr>
              <w:pStyle w:val="TableParagraph"/>
              <w:spacing w:before="219"/>
              <w:rPr>
                <w:b/>
                <w:sz w:val="22"/>
              </w:rPr>
            </w:pPr>
          </w:p>
          <w:p>
            <w:pPr>
              <w:pStyle w:val="TableParagraph"/>
              <w:ind w:left="7" w:right="2"/>
              <w:jc w:val="center"/>
              <w:rPr>
                <w:sz w:val="22"/>
              </w:rPr>
            </w:pPr>
            <w:r>
              <w:rPr>
                <w:spacing w:val="-10"/>
                <w:sz w:val="22"/>
              </w:rPr>
              <w:t>8</w:t>
            </w:r>
          </w:p>
        </w:tc>
        <w:tc>
          <w:tcPr>
            <w:tcW w:w="3570" w:type="dxa"/>
          </w:tcPr>
          <w:p>
            <w:pPr>
              <w:pStyle w:val="TableParagraph"/>
              <w:spacing w:before="185"/>
              <w:rPr>
                <w:b/>
                <w:sz w:val="18"/>
              </w:rPr>
            </w:pPr>
          </w:p>
          <w:p>
            <w:pPr>
              <w:pStyle w:val="TableParagraph"/>
              <w:ind w:left="69"/>
              <w:rPr>
                <w:sz w:val="18"/>
              </w:rPr>
            </w:pPr>
            <w:r>
              <w:rPr>
                <w:sz w:val="18"/>
              </w:rPr>
              <w:t>Asociación</w:t>
            </w:r>
            <w:r>
              <w:rPr>
                <w:spacing w:val="-8"/>
                <w:sz w:val="18"/>
              </w:rPr>
              <w:t> </w:t>
            </w:r>
            <w:r>
              <w:rPr>
                <w:sz w:val="18"/>
              </w:rPr>
              <w:t>para</w:t>
            </w:r>
            <w:r>
              <w:rPr>
                <w:spacing w:val="-8"/>
                <w:sz w:val="18"/>
              </w:rPr>
              <w:t> </w:t>
            </w:r>
            <w:r>
              <w:rPr>
                <w:sz w:val="18"/>
              </w:rPr>
              <w:t>el</w:t>
            </w:r>
            <w:r>
              <w:rPr>
                <w:spacing w:val="-6"/>
                <w:sz w:val="18"/>
              </w:rPr>
              <w:t> </w:t>
            </w:r>
            <w:r>
              <w:rPr>
                <w:sz w:val="18"/>
              </w:rPr>
              <w:t>rescate</w:t>
            </w:r>
            <w:r>
              <w:rPr>
                <w:spacing w:val="-8"/>
                <w:sz w:val="18"/>
              </w:rPr>
              <w:t> </w:t>
            </w:r>
            <w:r>
              <w:rPr>
                <w:sz w:val="18"/>
              </w:rPr>
              <w:t>de</w:t>
            </w:r>
            <w:r>
              <w:rPr>
                <w:spacing w:val="-8"/>
                <w:sz w:val="18"/>
              </w:rPr>
              <w:t> </w:t>
            </w:r>
            <w:r>
              <w:rPr>
                <w:sz w:val="18"/>
              </w:rPr>
              <w:t>la</w:t>
            </w:r>
            <w:r>
              <w:rPr>
                <w:spacing w:val="-6"/>
                <w:sz w:val="18"/>
              </w:rPr>
              <w:t> </w:t>
            </w:r>
            <w:r>
              <w:rPr>
                <w:sz w:val="18"/>
              </w:rPr>
              <w:t>población en situación de calle de Turrialba</w:t>
            </w:r>
          </w:p>
        </w:tc>
        <w:tc>
          <w:tcPr>
            <w:tcW w:w="1719" w:type="dxa"/>
          </w:tcPr>
          <w:p>
            <w:pPr>
              <w:pStyle w:val="TableParagraph"/>
              <w:rPr>
                <w:b/>
                <w:sz w:val="18"/>
              </w:rPr>
            </w:pPr>
          </w:p>
          <w:p>
            <w:pPr>
              <w:pStyle w:val="TableParagraph"/>
              <w:spacing w:before="81"/>
              <w:rPr>
                <w:b/>
                <w:sz w:val="18"/>
              </w:rPr>
            </w:pPr>
          </w:p>
          <w:p>
            <w:pPr>
              <w:pStyle w:val="TableParagraph"/>
              <w:ind w:left="39" w:right="33"/>
              <w:jc w:val="center"/>
              <w:rPr>
                <w:sz w:val="18"/>
              </w:rPr>
            </w:pPr>
            <w:r>
              <w:rPr>
                <w:sz w:val="18"/>
              </w:rPr>
              <w:t>3-002-</w:t>
            </w:r>
            <w:r>
              <w:rPr>
                <w:spacing w:val="-2"/>
                <w:sz w:val="18"/>
              </w:rPr>
              <w:t>643256</w:t>
            </w:r>
          </w:p>
        </w:tc>
        <w:tc>
          <w:tcPr>
            <w:tcW w:w="1391" w:type="dxa"/>
          </w:tcPr>
          <w:p>
            <w:pPr>
              <w:pStyle w:val="TableParagraph"/>
              <w:rPr>
                <w:b/>
                <w:sz w:val="18"/>
              </w:rPr>
            </w:pPr>
          </w:p>
          <w:p>
            <w:pPr>
              <w:pStyle w:val="TableParagraph"/>
              <w:spacing w:before="81"/>
              <w:rPr>
                <w:b/>
                <w:sz w:val="18"/>
              </w:rPr>
            </w:pPr>
          </w:p>
          <w:p>
            <w:pPr>
              <w:pStyle w:val="TableParagraph"/>
              <w:ind w:left="8" w:right="8"/>
              <w:jc w:val="center"/>
              <w:rPr>
                <w:sz w:val="18"/>
              </w:rPr>
            </w:pPr>
            <w:r>
              <w:rPr>
                <w:spacing w:val="-2"/>
                <w:sz w:val="18"/>
              </w:rPr>
              <w:t>DASAI</w:t>
            </w:r>
          </w:p>
        </w:tc>
        <w:tc>
          <w:tcPr>
            <w:tcW w:w="1741" w:type="dxa"/>
          </w:tcPr>
          <w:p>
            <w:pPr>
              <w:pStyle w:val="TableParagraph"/>
              <w:rPr>
                <w:b/>
                <w:sz w:val="18"/>
              </w:rPr>
            </w:pPr>
          </w:p>
          <w:p>
            <w:pPr>
              <w:pStyle w:val="TableParagraph"/>
              <w:spacing w:before="81"/>
              <w:rPr>
                <w:b/>
                <w:sz w:val="18"/>
              </w:rPr>
            </w:pPr>
          </w:p>
          <w:p>
            <w:pPr>
              <w:pStyle w:val="TableParagraph"/>
              <w:ind w:right="63"/>
              <w:jc w:val="right"/>
              <w:rPr>
                <w:b/>
                <w:sz w:val="18"/>
              </w:rPr>
            </w:pPr>
            <w:r>
              <w:rPr>
                <w:b/>
                <w:sz w:val="18"/>
              </w:rPr>
              <w:t>₡ 7 516</w:t>
            </w:r>
            <w:r>
              <w:rPr>
                <w:b/>
                <w:spacing w:val="-2"/>
                <w:sz w:val="18"/>
              </w:rPr>
              <w:t> 000,00</w:t>
            </w:r>
          </w:p>
        </w:tc>
        <w:tc>
          <w:tcPr>
            <w:tcW w:w="3782" w:type="dxa"/>
          </w:tcPr>
          <w:p>
            <w:pPr>
              <w:pStyle w:val="TableParagraph"/>
              <w:spacing w:before="80"/>
              <w:ind w:left="66" w:right="123"/>
              <w:rPr>
                <w:sz w:val="18"/>
              </w:rPr>
            </w:pPr>
            <w:r>
              <w:rPr>
                <w:sz w:val="18"/>
              </w:rPr>
              <w:t>Subsidio</w:t>
            </w:r>
            <w:r>
              <w:rPr>
                <w:spacing w:val="-9"/>
                <w:sz w:val="18"/>
              </w:rPr>
              <w:t> </w:t>
            </w:r>
            <w:r>
              <w:rPr>
                <w:sz w:val="18"/>
              </w:rPr>
              <w:t>para</w:t>
            </w:r>
            <w:r>
              <w:rPr>
                <w:spacing w:val="-9"/>
                <w:sz w:val="18"/>
              </w:rPr>
              <w:t> </w:t>
            </w:r>
            <w:r>
              <w:rPr>
                <w:sz w:val="18"/>
              </w:rPr>
              <w:t>complementar</w:t>
            </w:r>
            <w:r>
              <w:rPr>
                <w:spacing w:val="-9"/>
                <w:sz w:val="18"/>
              </w:rPr>
              <w:t> </w:t>
            </w:r>
            <w:r>
              <w:rPr>
                <w:sz w:val="18"/>
              </w:rPr>
              <w:t>los</w:t>
            </w:r>
            <w:r>
              <w:rPr>
                <w:spacing w:val="-7"/>
                <w:sz w:val="18"/>
              </w:rPr>
              <w:t> </w:t>
            </w:r>
            <w:r>
              <w:rPr>
                <w:sz w:val="18"/>
              </w:rPr>
              <w:t>costos</w:t>
            </w:r>
            <w:r>
              <w:rPr>
                <w:spacing w:val="-8"/>
                <w:sz w:val="18"/>
              </w:rPr>
              <w:t> </w:t>
            </w:r>
            <w:r>
              <w:rPr>
                <w:sz w:val="18"/>
              </w:rPr>
              <w:t>de atención de la población en los componentes: alimentación, limpieza de instalaciones y aseo personal, textiles y </w:t>
            </w:r>
            <w:r>
              <w:rPr>
                <w:spacing w:val="-2"/>
                <w:sz w:val="18"/>
              </w:rPr>
              <w:t>vestuario.</w:t>
            </w:r>
          </w:p>
        </w:tc>
      </w:tr>
      <w:tr>
        <w:trPr>
          <w:trHeight w:val="1200" w:hRule="atLeast"/>
        </w:trPr>
        <w:tc>
          <w:tcPr>
            <w:tcW w:w="699" w:type="dxa"/>
          </w:tcPr>
          <w:p>
            <w:pPr>
              <w:pStyle w:val="TableParagraph"/>
              <w:spacing w:before="220"/>
              <w:rPr>
                <w:b/>
                <w:sz w:val="22"/>
              </w:rPr>
            </w:pPr>
          </w:p>
          <w:p>
            <w:pPr>
              <w:pStyle w:val="TableParagraph"/>
              <w:ind w:left="7" w:right="2"/>
              <w:jc w:val="center"/>
              <w:rPr>
                <w:sz w:val="22"/>
              </w:rPr>
            </w:pPr>
            <w:r>
              <w:rPr>
                <w:spacing w:val="-10"/>
                <w:sz w:val="22"/>
              </w:rPr>
              <w:t>9</w:t>
            </w:r>
          </w:p>
        </w:tc>
        <w:tc>
          <w:tcPr>
            <w:tcW w:w="3570" w:type="dxa"/>
          </w:tcPr>
          <w:p>
            <w:pPr>
              <w:pStyle w:val="TableParagraph"/>
              <w:spacing w:before="82"/>
              <w:rPr>
                <w:b/>
                <w:sz w:val="18"/>
              </w:rPr>
            </w:pPr>
          </w:p>
          <w:p>
            <w:pPr>
              <w:pStyle w:val="TableParagraph"/>
              <w:ind w:left="69"/>
              <w:rPr>
                <w:sz w:val="18"/>
              </w:rPr>
            </w:pPr>
            <w:r>
              <w:rPr>
                <w:sz w:val="18"/>
              </w:rPr>
              <w:t>Asociación</w:t>
            </w:r>
            <w:r>
              <w:rPr>
                <w:spacing w:val="-8"/>
                <w:sz w:val="18"/>
              </w:rPr>
              <w:t> </w:t>
            </w:r>
            <w:r>
              <w:rPr>
                <w:sz w:val="18"/>
              </w:rPr>
              <w:t>para</w:t>
            </w:r>
            <w:r>
              <w:rPr>
                <w:spacing w:val="-8"/>
                <w:sz w:val="18"/>
              </w:rPr>
              <w:t> </w:t>
            </w:r>
            <w:r>
              <w:rPr>
                <w:sz w:val="18"/>
              </w:rPr>
              <w:t>mejorar</w:t>
            </w:r>
            <w:r>
              <w:rPr>
                <w:spacing w:val="-8"/>
                <w:sz w:val="18"/>
              </w:rPr>
              <w:t> </w:t>
            </w:r>
            <w:r>
              <w:rPr>
                <w:sz w:val="18"/>
              </w:rPr>
              <w:t>la</w:t>
            </w:r>
            <w:r>
              <w:rPr>
                <w:spacing w:val="-8"/>
                <w:sz w:val="18"/>
              </w:rPr>
              <w:t> </w:t>
            </w:r>
            <w:r>
              <w:rPr>
                <w:sz w:val="18"/>
              </w:rPr>
              <w:t>calidad</w:t>
            </w:r>
            <w:r>
              <w:rPr>
                <w:spacing w:val="-6"/>
                <w:sz w:val="18"/>
              </w:rPr>
              <w:t> </w:t>
            </w:r>
            <w:r>
              <w:rPr>
                <w:sz w:val="18"/>
              </w:rPr>
              <w:t>de</w:t>
            </w:r>
            <w:r>
              <w:rPr>
                <w:spacing w:val="-6"/>
                <w:sz w:val="18"/>
              </w:rPr>
              <w:t> </w:t>
            </w:r>
            <w:r>
              <w:rPr>
                <w:sz w:val="18"/>
              </w:rPr>
              <w:t>vida de las personas en situación de calle del cantón de Paraíso</w:t>
            </w:r>
          </w:p>
        </w:tc>
        <w:tc>
          <w:tcPr>
            <w:tcW w:w="1719" w:type="dxa"/>
          </w:tcPr>
          <w:p>
            <w:pPr>
              <w:pStyle w:val="TableParagraph"/>
              <w:rPr>
                <w:b/>
                <w:sz w:val="18"/>
              </w:rPr>
            </w:pPr>
          </w:p>
          <w:p>
            <w:pPr>
              <w:pStyle w:val="TableParagraph"/>
              <w:spacing w:before="82"/>
              <w:rPr>
                <w:b/>
                <w:sz w:val="18"/>
              </w:rPr>
            </w:pPr>
          </w:p>
          <w:p>
            <w:pPr>
              <w:pStyle w:val="TableParagraph"/>
              <w:ind w:left="39" w:right="33"/>
              <w:jc w:val="center"/>
              <w:rPr>
                <w:sz w:val="18"/>
              </w:rPr>
            </w:pPr>
            <w:r>
              <w:rPr>
                <w:sz w:val="18"/>
              </w:rPr>
              <w:t>3-002-</w:t>
            </w:r>
            <w:r>
              <w:rPr>
                <w:spacing w:val="-2"/>
                <w:sz w:val="18"/>
              </w:rPr>
              <w:t>723713</w:t>
            </w:r>
          </w:p>
        </w:tc>
        <w:tc>
          <w:tcPr>
            <w:tcW w:w="1391" w:type="dxa"/>
          </w:tcPr>
          <w:p>
            <w:pPr>
              <w:pStyle w:val="TableParagraph"/>
              <w:rPr>
                <w:b/>
                <w:sz w:val="18"/>
              </w:rPr>
            </w:pPr>
          </w:p>
          <w:p>
            <w:pPr>
              <w:pStyle w:val="TableParagraph"/>
              <w:spacing w:before="82"/>
              <w:rPr>
                <w:b/>
                <w:sz w:val="18"/>
              </w:rPr>
            </w:pPr>
          </w:p>
          <w:p>
            <w:pPr>
              <w:pStyle w:val="TableParagraph"/>
              <w:ind w:left="8" w:right="8"/>
              <w:jc w:val="center"/>
              <w:rPr>
                <w:sz w:val="18"/>
              </w:rPr>
            </w:pPr>
            <w:r>
              <w:rPr>
                <w:spacing w:val="-2"/>
                <w:sz w:val="18"/>
              </w:rPr>
              <w:t>DASAI</w:t>
            </w:r>
          </w:p>
        </w:tc>
        <w:tc>
          <w:tcPr>
            <w:tcW w:w="1741" w:type="dxa"/>
          </w:tcPr>
          <w:p>
            <w:pPr>
              <w:pStyle w:val="TableParagraph"/>
              <w:rPr>
                <w:b/>
                <w:sz w:val="18"/>
              </w:rPr>
            </w:pPr>
          </w:p>
          <w:p>
            <w:pPr>
              <w:pStyle w:val="TableParagraph"/>
              <w:spacing w:before="82"/>
              <w:rPr>
                <w:b/>
                <w:sz w:val="18"/>
              </w:rPr>
            </w:pPr>
          </w:p>
          <w:p>
            <w:pPr>
              <w:pStyle w:val="TableParagraph"/>
              <w:ind w:right="63"/>
              <w:jc w:val="right"/>
              <w:rPr>
                <w:b/>
                <w:sz w:val="18"/>
              </w:rPr>
            </w:pPr>
            <w:r>
              <w:rPr>
                <w:b/>
                <w:sz w:val="18"/>
              </w:rPr>
              <w:t>₡ 9 340</w:t>
            </w:r>
            <w:r>
              <w:rPr>
                <w:b/>
                <w:spacing w:val="-2"/>
                <w:sz w:val="18"/>
              </w:rPr>
              <w:t> 000,00</w:t>
            </w:r>
          </w:p>
        </w:tc>
        <w:tc>
          <w:tcPr>
            <w:tcW w:w="3782" w:type="dxa"/>
          </w:tcPr>
          <w:p>
            <w:pPr>
              <w:pStyle w:val="TableParagraph"/>
              <w:spacing w:before="81"/>
              <w:ind w:left="66" w:right="123"/>
              <w:rPr>
                <w:sz w:val="18"/>
              </w:rPr>
            </w:pPr>
            <w:r>
              <w:rPr>
                <w:sz w:val="18"/>
              </w:rPr>
              <w:t>Subsidio</w:t>
            </w:r>
            <w:r>
              <w:rPr>
                <w:spacing w:val="-9"/>
                <w:sz w:val="18"/>
              </w:rPr>
              <w:t> </w:t>
            </w:r>
            <w:r>
              <w:rPr>
                <w:sz w:val="18"/>
              </w:rPr>
              <w:t>para</w:t>
            </w:r>
            <w:r>
              <w:rPr>
                <w:spacing w:val="-9"/>
                <w:sz w:val="18"/>
              </w:rPr>
              <w:t> </w:t>
            </w:r>
            <w:r>
              <w:rPr>
                <w:sz w:val="18"/>
              </w:rPr>
              <w:t>complementar</w:t>
            </w:r>
            <w:r>
              <w:rPr>
                <w:spacing w:val="-9"/>
                <w:sz w:val="18"/>
              </w:rPr>
              <w:t> </w:t>
            </w:r>
            <w:r>
              <w:rPr>
                <w:sz w:val="18"/>
              </w:rPr>
              <w:t>los</w:t>
            </w:r>
            <w:r>
              <w:rPr>
                <w:spacing w:val="-7"/>
                <w:sz w:val="18"/>
              </w:rPr>
              <w:t> </w:t>
            </w:r>
            <w:r>
              <w:rPr>
                <w:sz w:val="18"/>
              </w:rPr>
              <w:t>costos</w:t>
            </w:r>
            <w:r>
              <w:rPr>
                <w:spacing w:val="-8"/>
                <w:sz w:val="18"/>
              </w:rPr>
              <w:t> </w:t>
            </w:r>
            <w:r>
              <w:rPr>
                <w:sz w:val="18"/>
              </w:rPr>
              <w:t>de atención de la población en los componentes: alimentación, limpieza de instalaciones y aseo personal, textiles y </w:t>
            </w:r>
            <w:r>
              <w:rPr>
                <w:spacing w:val="-2"/>
                <w:sz w:val="18"/>
              </w:rPr>
              <w:t>vestuario.</w:t>
            </w:r>
          </w:p>
        </w:tc>
      </w:tr>
      <w:tr>
        <w:trPr>
          <w:trHeight w:val="1439" w:hRule="atLeast"/>
        </w:trPr>
        <w:tc>
          <w:tcPr>
            <w:tcW w:w="699" w:type="dxa"/>
          </w:tcPr>
          <w:p>
            <w:pPr>
              <w:pStyle w:val="TableParagraph"/>
              <w:rPr>
                <w:b/>
                <w:sz w:val="22"/>
              </w:rPr>
            </w:pPr>
          </w:p>
          <w:p>
            <w:pPr>
              <w:pStyle w:val="TableParagraph"/>
              <w:spacing w:before="86"/>
              <w:rPr>
                <w:b/>
                <w:sz w:val="22"/>
              </w:rPr>
            </w:pPr>
          </w:p>
          <w:p>
            <w:pPr>
              <w:pStyle w:val="TableParagraph"/>
              <w:ind w:left="7"/>
              <w:jc w:val="center"/>
              <w:rPr>
                <w:sz w:val="22"/>
              </w:rPr>
            </w:pPr>
            <w:r>
              <w:rPr>
                <w:spacing w:val="-5"/>
                <w:sz w:val="22"/>
              </w:rPr>
              <w:t>10</w:t>
            </w:r>
          </w:p>
        </w:tc>
        <w:tc>
          <w:tcPr>
            <w:tcW w:w="3570" w:type="dxa"/>
          </w:tcPr>
          <w:p>
            <w:pPr>
              <w:pStyle w:val="TableParagraph"/>
              <w:rPr>
                <w:b/>
                <w:sz w:val="18"/>
              </w:rPr>
            </w:pPr>
          </w:p>
          <w:p>
            <w:pPr>
              <w:pStyle w:val="TableParagraph"/>
              <w:spacing w:before="98"/>
              <w:rPr>
                <w:b/>
                <w:sz w:val="18"/>
              </w:rPr>
            </w:pPr>
          </w:p>
          <w:p>
            <w:pPr>
              <w:pStyle w:val="TableParagraph"/>
              <w:ind w:left="69"/>
              <w:rPr>
                <w:sz w:val="18"/>
              </w:rPr>
            </w:pPr>
            <w:r>
              <w:rPr>
                <w:sz w:val="18"/>
              </w:rPr>
              <w:t>Asociación</w:t>
            </w:r>
            <w:r>
              <w:rPr>
                <w:spacing w:val="-10"/>
                <w:sz w:val="18"/>
              </w:rPr>
              <w:t> </w:t>
            </w:r>
            <w:r>
              <w:rPr>
                <w:sz w:val="18"/>
              </w:rPr>
              <w:t>Servicio</w:t>
            </w:r>
            <w:r>
              <w:rPr>
                <w:spacing w:val="-10"/>
                <w:sz w:val="18"/>
              </w:rPr>
              <w:t> </w:t>
            </w:r>
            <w:r>
              <w:rPr>
                <w:sz w:val="18"/>
              </w:rPr>
              <w:t>Solidario</w:t>
            </w:r>
            <w:r>
              <w:rPr>
                <w:spacing w:val="-11"/>
                <w:sz w:val="18"/>
              </w:rPr>
              <w:t> </w:t>
            </w:r>
            <w:r>
              <w:rPr>
                <w:sz w:val="18"/>
              </w:rPr>
              <w:t>y</w:t>
            </w:r>
            <w:r>
              <w:rPr>
                <w:spacing w:val="-11"/>
                <w:sz w:val="18"/>
              </w:rPr>
              <w:t> </w:t>
            </w:r>
            <w:r>
              <w:rPr>
                <w:sz w:val="18"/>
              </w:rPr>
              <w:t>Misionero Unidos en la Esperanza</w:t>
            </w:r>
          </w:p>
        </w:tc>
        <w:tc>
          <w:tcPr>
            <w:tcW w:w="1719" w:type="dxa"/>
          </w:tcPr>
          <w:p>
            <w:pPr>
              <w:pStyle w:val="TableParagraph"/>
              <w:rPr>
                <w:b/>
                <w:sz w:val="18"/>
              </w:rPr>
            </w:pPr>
          </w:p>
          <w:p>
            <w:pPr>
              <w:pStyle w:val="TableParagraph"/>
              <w:spacing w:before="201"/>
              <w:rPr>
                <w:b/>
                <w:sz w:val="18"/>
              </w:rPr>
            </w:pPr>
          </w:p>
          <w:p>
            <w:pPr>
              <w:pStyle w:val="TableParagraph"/>
              <w:ind w:left="39" w:right="33"/>
              <w:jc w:val="center"/>
              <w:rPr>
                <w:sz w:val="18"/>
              </w:rPr>
            </w:pPr>
            <w:r>
              <w:rPr>
                <w:sz w:val="18"/>
              </w:rPr>
              <w:t>3-002-</w:t>
            </w:r>
            <w:r>
              <w:rPr>
                <w:spacing w:val="-2"/>
                <w:sz w:val="18"/>
              </w:rPr>
              <w:t>232914</w:t>
            </w:r>
          </w:p>
        </w:tc>
        <w:tc>
          <w:tcPr>
            <w:tcW w:w="1391" w:type="dxa"/>
          </w:tcPr>
          <w:p>
            <w:pPr>
              <w:pStyle w:val="TableParagraph"/>
              <w:rPr>
                <w:b/>
                <w:sz w:val="18"/>
              </w:rPr>
            </w:pPr>
          </w:p>
          <w:p>
            <w:pPr>
              <w:pStyle w:val="TableParagraph"/>
              <w:spacing w:before="201"/>
              <w:rPr>
                <w:b/>
                <w:sz w:val="18"/>
              </w:rPr>
            </w:pPr>
          </w:p>
          <w:p>
            <w:pPr>
              <w:pStyle w:val="TableParagraph"/>
              <w:ind w:left="8" w:right="8"/>
              <w:jc w:val="center"/>
              <w:rPr>
                <w:sz w:val="18"/>
              </w:rPr>
            </w:pPr>
            <w:r>
              <w:rPr>
                <w:spacing w:val="-2"/>
                <w:sz w:val="18"/>
              </w:rPr>
              <w:t>DASAI</w:t>
            </w:r>
          </w:p>
        </w:tc>
        <w:tc>
          <w:tcPr>
            <w:tcW w:w="1741" w:type="dxa"/>
          </w:tcPr>
          <w:p>
            <w:pPr>
              <w:pStyle w:val="TableParagraph"/>
              <w:rPr>
                <w:b/>
                <w:sz w:val="18"/>
              </w:rPr>
            </w:pPr>
          </w:p>
          <w:p>
            <w:pPr>
              <w:pStyle w:val="TableParagraph"/>
              <w:spacing w:before="201"/>
              <w:rPr>
                <w:b/>
                <w:sz w:val="18"/>
              </w:rPr>
            </w:pPr>
          </w:p>
          <w:p>
            <w:pPr>
              <w:pStyle w:val="TableParagraph"/>
              <w:ind w:right="63"/>
              <w:jc w:val="right"/>
              <w:rPr>
                <w:b/>
                <w:sz w:val="18"/>
              </w:rPr>
            </w:pPr>
            <w:r>
              <w:rPr>
                <w:b/>
                <w:sz w:val="18"/>
              </w:rPr>
              <w:t>₡</w:t>
            </w:r>
            <w:r>
              <w:rPr>
                <w:b/>
                <w:spacing w:val="-3"/>
                <w:sz w:val="18"/>
              </w:rPr>
              <w:t> </w:t>
            </w:r>
            <w:r>
              <w:rPr>
                <w:b/>
                <w:sz w:val="18"/>
              </w:rPr>
              <w:t>20</w:t>
            </w:r>
            <w:r>
              <w:rPr>
                <w:b/>
                <w:spacing w:val="-1"/>
                <w:sz w:val="18"/>
              </w:rPr>
              <w:t> </w:t>
            </w:r>
            <w:r>
              <w:rPr>
                <w:b/>
                <w:sz w:val="18"/>
              </w:rPr>
              <w:t>440 </w:t>
            </w:r>
            <w:r>
              <w:rPr>
                <w:b/>
                <w:spacing w:val="-2"/>
                <w:sz w:val="18"/>
              </w:rPr>
              <w:t>000,00</w:t>
            </w:r>
          </w:p>
        </w:tc>
        <w:tc>
          <w:tcPr>
            <w:tcW w:w="3782" w:type="dxa"/>
          </w:tcPr>
          <w:p>
            <w:pPr>
              <w:pStyle w:val="TableParagraph"/>
              <w:spacing w:before="97"/>
              <w:ind w:left="66" w:right="123"/>
              <w:rPr>
                <w:sz w:val="18"/>
              </w:rPr>
            </w:pPr>
            <w:r>
              <w:rPr>
                <w:sz w:val="18"/>
              </w:rPr>
              <w:t>Subsidio para complementar los costos de atención de la población en los componentes: alimentación, limpieza de instalaciones y aseo personal, textiles y vestuario,</w:t>
            </w:r>
            <w:r>
              <w:rPr>
                <w:spacing w:val="-9"/>
                <w:sz w:val="18"/>
              </w:rPr>
              <w:t> </w:t>
            </w:r>
            <w:r>
              <w:rPr>
                <w:sz w:val="18"/>
              </w:rPr>
              <w:t>contratación</w:t>
            </w:r>
            <w:r>
              <w:rPr>
                <w:spacing w:val="-11"/>
                <w:sz w:val="18"/>
              </w:rPr>
              <w:t> </w:t>
            </w:r>
            <w:r>
              <w:rPr>
                <w:sz w:val="18"/>
              </w:rPr>
              <w:t>de</w:t>
            </w:r>
            <w:r>
              <w:rPr>
                <w:spacing w:val="-11"/>
                <w:sz w:val="18"/>
              </w:rPr>
              <w:t> </w:t>
            </w:r>
            <w:r>
              <w:rPr>
                <w:sz w:val="18"/>
              </w:rPr>
              <w:t>profesionales</w:t>
            </w:r>
            <w:r>
              <w:rPr>
                <w:spacing w:val="-10"/>
                <w:sz w:val="18"/>
              </w:rPr>
              <w:t> </w:t>
            </w:r>
            <w:r>
              <w:rPr>
                <w:sz w:val="18"/>
              </w:rPr>
              <w:t>por </w:t>
            </w:r>
            <w:r>
              <w:rPr>
                <w:spacing w:val="-2"/>
                <w:sz w:val="18"/>
              </w:rPr>
              <w:t>servicio.</w:t>
            </w:r>
          </w:p>
        </w:tc>
      </w:tr>
    </w:tbl>
    <w:p>
      <w:pPr>
        <w:pStyle w:val="TableParagraph"/>
        <w:spacing w:after="0"/>
        <w:rPr>
          <w:sz w:val="18"/>
        </w:rPr>
        <w:sectPr>
          <w:pgSz w:w="15840" w:h="12240" w:orient="landscape"/>
          <w:pgMar w:header="0" w:footer="2404" w:top="1380" w:bottom="2600" w:left="1080" w:right="1440"/>
        </w:sectPr>
      </w:pPr>
    </w:p>
    <w:p>
      <w:pPr>
        <w:pStyle w:val="BodyText"/>
        <w:spacing w:before="7" w:after="1"/>
        <w:rPr>
          <w:b/>
          <w:sz w:val="15"/>
        </w:rPr>
      </w:pPr>
    </w:p>
    <w:tbl>
      <w:tblPr>
        <w:tblW w:w="0" w:type="auto"/>
        <w:jc w:val="left"/>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9"/>
        <w:gridCol w:w="3570"/>
        <w:gridCol w:w="1719"/>
        <w:gridCol w:w="1391"/>
        <w:gridCol w:w="1741"/>
        <w:gridCol w:w="3782"/>
      </w:tblGrid>
      <w:tr>
        <w:trPr>
          <w:trHeight w:val="1228" w:hRule="atLeast"/>
        </w:trPr>
        <w:tc>
          <w:tcPr>
            <w:tcW w:w="699" w:type="dxa"/>
            <w:shd w:val="clear" w:color="auto" w:fill="0A2F40"/>
          </w:tcPr>
          <w:p>
            <w:pPr>
              <w:pStyle w:val="TableParagraph"/>
              <w:rPr>
                <w:rFonts w:ascii="Times New Roman"/>
                <w:sz w:val="18"/>
              </w:rPr>
            </w:pPr>
          </w:p>
        </w:tc>
        <w:tc>
          <w:tcPr>
            <w:tcW w:w="3570" w:type="dxa"/>
            <w:shd w:val="clear" w:color="auto" w:fill="0A2F40"/>
          </w:tcPr>
          <w:p>
            <w:pPr>
              <w:pStyle w:val="TableParagraph"/>
              <w:rPr>
                <w:b/>
                <w:sz w:val="18"/>
              </w:rPr>
            </w:pPr>
          </w:p>
          <w:p>
            <w:pPr>
              <w:pStyle w:val="TableParagraph"/>
              <w:spacing w:before="96"/>
              <w:rPr>
                <w:b/>
                <w:sz w:val="18"/>
              </w:rPr>
            </w:pPr>
          </w:p>
          <w:p>
            <w:pPr>
              <w:pStyle w:val="TableParagraph"/>
              <w:ind w:left="222"/>
              <w:rPr>
                <w:b/>
                <w:sz w:val="18"/>
              </w:rPr>
            </w:pPr>
            <w:r>
              <w:rPr>
                <w:b/>
                <w:color w:val="FFFFFF"/>
                <w:sz w:val="18"/>
              </w:rPr>
              <w:t>Nombre</w:t>
            </w:r>
            <w:r>
              <w:rPr>
                <w:b/>
                <w:color w:val="FFFFFF"/>
                <w:spacing w:val="-2"/>
                <w:sz w:val="18"/>
              </w:rPr>
              <w:t> </w:t>
            </w:r>
            <w:r>
              <w:rPr>
                <w:b/>
                <w:color w:val="FFFFFF"/>
                <w:sz w:val="18"/>
              </w:rPr>
              <w:t>completo</w:t>
            </w:r>
            <w:r>
              <w:rPr>
                <w:b/>
                <w:color w:val="FFFFFF"/>
                <w:spacing w:val="-4"/>
                <w:sz w:val="18"/>
              </w:rPr>
              <w:t> </w:t>
            </w:r>
            <w:r>
              <w:rPr>
                <w:b/>
                <w:color w:val="FFFFFF"/>
                <w:sz w:val="18"/>
              </w:rPr>
              <w:t>del</w:t>
            </w:r>
            <w:r>
              <w:rPr>
                <w:b/>
                <w:color w:val="FFFFFF"/>
                <w:spacing w:val="-3"/>
                <w:sz w:val="18"/>
              </w:rPr>
              <w:t> </w:t>
            </w:r>
            <w:r>
              <w:rPr>
                <w:b/>
                <w:color w:val="FFFFFF"/>
                <w:sz w:val="18"/>
              </w:rPr>
              <w:t>sujeto</w:t>
            </w:r>
            <w:r>
              <w:rPr>
                <w:b/>
                <w:color w:val="FFFFFF"/>
                <w:spacing w:val="-3"/>
                <w:sz w:val="18"/>
              </w:rPr>
              <w:t> </w:t>
            </w:r>
            <w:r>
              <w:rPr>
                <w:b/>
                <w:color w:val="FFFFFF"/>
                <w:spacing w:val="-2"/>
                <w:sz w:val="18"/>
              </w:rPr>
              <w:t>privado</w:t>
            </w:r>
          </w:p>
        </w:tc>
        <w:tc>
          <w:tcPr>
            <w:tcW w:w="1719" w:type="dxa"/>
            <w:shd w:val="clear" w:color="auto" w:fill="0A2F40"/>
          </w:tcPr>
          <w:p>
            <w:pPr>
              <w:pStyle w:val="TableParagraph"/>
              <w:spacing w:before="199"/>
              <w:rPr>
                <w:b/>
                <w:sz w:val="18"/>
              </w:rPr>
            </w:pPr>
          </w:p>
          <w:p>
            <w:pPr>
              <w:pStyle w:val="TableParagraph"/>
              <w:spacing w:before="1"/>
              <w:ind w:left="510" w:hanging="233"/>
              <w:rPr>
                <w:b/>
                <w:sz w:val="18"/>
              </w:rPr>
            </w:pPr>
            <w:r>
              <w:rPr>
                <w:b/>
                <w:color w:val="FFFFFF"/>
                <w:sz w:val="18"/>
              </w:rPr>
              <w:t>N.º</w:t>
            </w:r>
            <w:r>
              <w:rPr>
                <w:b/>
                <w:color w:val="FFFFFF"/>
                <w:spacing w:val="-15"/>
                <w:sz w:val="18"/>
              </w:rPr>
              <w:t> </w:t>
            </w:r>
            <w:r>
              <w:rPr>
                <w:b/>
                <w:color w:val="FFFFFF"/>
                <w:sz w:val="18"/>
              </w:rPr>
              <w:t>de</w:t>
            </w:r>
            <w:r>
              <w:rPr>
                <w:b/>
                <w:color w:val="FFFFFF"/>
                <w:spacing w:val="-12"/>
                <w:sz w:val="18"/>
              </w:rPr>
              <w:t> </w:t>
            </w:r>
            <w:r>
              <w:rPr>
                <w:b/>
                <w:color w:val="FFFFFF"/>
                <w:sz w:val="18"/>
              </w:rPr>
              <w:t>Cédula </w:t>
            </w:r>
            <w:r>
              <w:rPr>
                <w:b/>
                <w:color w:val="FFFFFF"/>
                <w:spacing w:val="-2"/>
                <w:sz w:val="18"/>
              </w:rPr>
              <w:t>Jurídica</w:t>
            </w:r>
          </w:p>
        </w:tc>
        <w:tc>
          <w:tcPr>
            <w:tcW w:w="1391" w:type="dxa"/>
            <w:shd w:val="clear" w:color="auto" w:fill="0A2F40"/>
          </w:tcPr>
          <w:p>
            <w:pPr>
              <w:pStyle w:val="TableParagraph"/>
              <w:spacing w:before="199"/>
              <w:rPr>
                <w:b/>
                <w:sz w:val="18"/>
              </w:rPr>
            </w:pPr>
          </w:p>
          <w:p>
            <w:pPr>
              <w:pStyle w:val="TableParagraph"/>
              <w:spacing w:before="1"/>
              <w:ind w:left="281" w:firstLine="103"/>
              <w:rPr>
                <w:b/>
                <w:sz w:val="18"/>
              </w:rPr>
            </w:pPr>
            <w:r>
              <w:rPr>
                <w:b/>
                <w:color w:val="FFFFFF"/>
                <w:spacing w:val="-2"/>
                <w:sz w:val="18"/>
              </w:rPr>
              <w:t>Unidad Ejecutora</w:t>
            </w:r>
          </w:p>
        </w:tc>
        <w:tc>
          <w:tcPr>
            <w:tcW w:w="1741" w:type="dxa"/>
            <w:shd w:val="clear" w:color="auto" w:fill="0A2F40"/>
          </w:tcPr>
          <w:p>
            <w:pPr>
              <w:pStyle w:val="TableParagraph"/>
              <w:spacing w:before="199"/>
              <w:rPr>
                <w:b/>
                <w:sz w:val="18"/>
              </w:rPr>
            </w:pPr>
          </w:p>
          <w:p>
            <w:pPr>
              <w:pStyle w:val="TableParagraph"/>
              <w:spacing w:before="1"/>
              <w:ind w:left="470" w:hanging="305"/>
              <w:rPr>
                <w:b/>
                <w:sz w:val="18"/>
              </w:rPr>
            </w:pPr>
            <w:r>
              <w:rPr>
                <w:b/>
                <w:color w:val="FFFFFF"/>
                <w:sz w:val="18"/>
              </w:rPr>
              <w:t>Monto</w:t>
            </w:r>
            <w:r>
              <w:rPr>
                <w:b/>
                <w:color w:val="FFFFFF"/>
                <w:spacing w:val="-15"/>
                <w:sz w:val="18"/>
              </w:rPr>
              <w:t> </w:t>
            </w:r>
            <w:r>
              <w:rPr>
                <w:b/>
                <w:color w:val="FFFFFF"/>
                <w:sz w:val="18"/>
              </w:rPr>
              <w:t>total</w:t>
            </w:r>
            <w:r>
              <w:rPr>
                <w:b/>
                <w:color w:val="FFFFFF"/>
                <w:spacing w:val="-12"/>
                <w:sz w:val="18"/>
              </w:rPr>
              <w:t> </w:t>
            </w:r>
            <w:r>
              <w:rPr>
                <w:b/>
                <w:color w:val="FFFFFF"/>
                <w:sz w:val="18"/>
              </w:rPr>
              <w:t>para </w:t>
            </w:r>
            <w:r>
              <w:rPr>
                <w:b/>
                <w:color w:val="FFFFFF"/>
                <w:spacing w:val="-2"/>
                <w:sz w:val="18"/>
              </w:rPr>
              <w:t>transferir</w:t>
            </w:r>
          </w:p>
        </w:tc>
        <w:tc>
          <w:tcPr>
            <w:tcW w:w="3782" w:type="dxa"/>
            <w:shd w:val="clear" w:color="auto" w:fill="0A2F40"/>
          </w:tcPr>
          <w:p>
            <w:pPr>
              <w:pStyle w:val="TableParagraph"/>
              <w:spacing w:before="199"/>
              <w:rPr>
                <w:b/>
                <w:sz w:val="18"/>
              </w:rPr>
            </w:pPr>
          </w:p>
          <w:p>
            <w:pPr>
              <w:pStyle w:val="TableParagraph"/>
              <w:spacing w:before="1"/>
              <w:ind w:left="66" w:right="123"/>
              <w:rPr>
                <w:b/>
                <w:sz w:val="18"/>
              </w:rPr>
            </w:pPr>
            <w:r>
              <w:rPr>
                <w:b/>
                <w:color w:val="FFFFFF"/>
                <w:sz w:val="18"/>
              </w:rPr>
              <w:t>Descripción</w:t>
            </w:r>
            <w:r>
              <w:rPr>
                <w:b/>
                <w:color w:val="FFFFFF"/>
                <w:spacing w:val="-6"/>
                <w:sz w:val="18"/>
              </w:rPr>
              <w:t> </w:t>
            </w:r>
            <w:r>
              <w:rPr>
                <w:b/>
                <w:color w:val="FFFFFF"/>
                <w:sz w:val="18"/>
              </w:rPr>
              <w:t>de</w:t>
            </w:r>
            <w:r>
              <w:rPr>
                <w:b/>
                <w:color w:val="FFFFFF"/>
                <w:spacing w:val="-8"/>
                <w:sz w:val="18"/>
              </w:rPr>
              <w:t> </w:t>
            </w:r>
            <w:r>
              <w:rPr>
                <w:b/>
                <w:color w:val="FFFFFF"/>
                <w:sz w:val="18"/>
              </w:rPr>
              <w:t>la</w:t>
            </w:r>
            <w:r>
              <w:rPr>
                <w:b/>
                <w:color w:val="FFFFFF"/>
                <w:spacing w:val="-6"/>
                <w:sz w:val="18"/>
              </w:rPr>
              <w:t> </w:t>
            </w:r>
            <w:r>
              <w:rPr>
                <w:b/>
                <w:color w:val="FFFFFF"/>
                <w:sz w:val="18"/>
              </w:rPr>
              <w:t>Finalidad</w:t>
            </w:r>
            <w:r>
              <w:rPr>
                <w:b/>
                <w:color w:val="FFFFFF"/>
                <w:spacing w:val="-6"/>
                <w:sz w:val="18"/>
              </w:rPr>
              <w:t> </w:t>
            </w:r>
            <w:r>
              <w:rPr>
                <w:b/>
                <w:color w:val="FFFFFF"/>
                <w:sz w:val="18"/>
              </w:rPr>
              <w:t>(detalle</w:t>
            </w:r>
            <w:r>
              <w:rPr>
                <w:b/>
                <w:color w:val="FFFFFF"/>
                <w:spacing w:val="-8"/>
                <w:sz w:val="18"/>
              </w:rPr>
              <w:t> </w:t>
            </w:r>
            <w:r>
              <w:rPr>
                <w:b/>
                <w:color w:val="FFFFFF"/>
                <w:sz w:val="18"/>
              </w:rPr>
              <w:t>el</w:t>
            </w:r>
            <w:r>
              <w:rPr>
                <w:b/>
                <w:color w:val="FFFFFF"/>
                <w:spacing w:val="-6"/>
                <w:sz w:val="18"/>
              </w:rPr>
              <w:t> </w:t>
            </w:r>
            <w:r>
              <w:rPr>
                <w:b/>
                <w:color w:val="FFFFFF"/>
                <w:sz w:val="18"/>
              </w:rPr>
              <w:t>uso del beneficio)</w:t>
            </w:r>
          </w:p>
        </w:tc>
      </w:tr>
      <w:tr>
        <w:trPr>
          <w:trHeight w:val="1440" w:hRule="atLeast"/>
        </w:trPr>
        <w:tc>
          <w:tcPr>
            <w:tcW w:w="699" w:type="dxa"/>
          </w:tcPr>
          <w:p>
            <w:pPr>
              <w:pStyle w:val="TableParagraph"/>
              <w:rPr>
                <w:b/>
                <w:sz w:val="22"/>
              </w:rPr>
            </w:pPr>
          </w:p>
          <w:p>
            <w:pPr>
              <w:pStyle w:val="TableParagraph"/>
              <w:spacing w:before="89"/>
              <w:rPr>
                <w:b/>
                <w:sz w:val="22"/>
              </w:rPr>
            </w:pPr>
          </w:p>
          <w:p>
            <w:pPr>
              <w:pStyle w:val="TableParagraph"/>
              <w:ind w:left="7"/>
              <w:jc w:val="center"/>
              <w:rPr>
                <w:sz w:val="22"/>
              </w:rPr>
            </w:pPr>
            <w:r>
              <w:rPr>
                <w:spacing w:val="-5"/>
                <w:sz w:val="22"/>
              </w:rPr>
              <w:t>11</w:t>
            </w:r>
          </w:p>
        </w:tc>
        <w:tc>
          <w:tcPr>
            <w:tcW w:w="3570" w:type="dxa"/>
          </w:tcPr>
          <w:p>
            <w:pPr>
              <w:pStyle w:val="TableParagraph"/>
              <w:spacing w:before="202"/>
              <w:rPr>
                <w:b/>
                <w:sz w:val="18"/>
              </w:rPr>
            </w:pPr>
          </w:p>
          <w:p>
            <w:pPr>
              <w:pStyle w:val="TableParagraph"/>
              <w:ind w:left="69" w:right="141"/>
              <w:rPr>
                <w:sz w:val="18"/>
              </w:rPr>
            </w:pPr>
            <w:r>
              <w:rPr>
                <w:sz w:val="18"/>
              </w:rPr>
              <w:t>Asociación</w:t>
            </w:r>
            <w:r>
              <w:rPr>
                <w:spacing w:val="-13"/>
                <w:sz w:val="18"/>
              </w:rPr>
              <w:t> </w:t>
            </w:r>
            <w:r>
              <w:rPr>
                <w:sz w:val="18"/>
              </w:rPr>
              <w:t>de</w:t>
            </w:r>
            <w:r>
              <w:rPr>
                <w:spacing w:val="-12"/>
                <w:sz w:val="18"/>
              </w:rPr>
              <w:t> </w:t>
            </w:r>
            <w:r>
              <w:rPr>
                <w:sz w:val="18"/>
              </w:rPr>
              <w:t>Desarrollo</w:t>
            </w:r>
            <w:r>
              <w:rPr>
                <w:spacing w:val="-13"/>
                <w:sz w:val="18"/>
              </w:rPr>
              <w:t> </w:t>
            </w:r>
            <w:r>
              <w:rPr>
                <w:sz w:val="18"/>
              </w:rPr>
              <w:t>Específica Clínica para el enfermo alcohólico, </w:t>
            </w:r>
            <w:r>
              <w:rPr>
                <w:spacing w:val="-2"/>
                <w:sz w:val="18"/>
              </w:rPr>
              <w:t>Cartago.</w:t>
            </w:r>
          </w:p>
        </w:tc>
        <w:tc>
          <w:tcPr>
            <w:tcW w:w="1719" w:type="dxa"/>
          </w:tcPr>
          <w:p>
            <w:pPr>
              <w:pStyle w:val="TableParagraph"/>
              <w:rPr>
                <w:b/>
                <w:sz w:val="18"/>
              </w:rPr>
            </w:pPr>
          </w:p>
          <w:p>
            <w:pPr>
              <w:pStyle w:val="TableParagraph"/>
              <w:spacing w:before="201"/>
              <w:rPr>
                <w:b/>
                <w:sz w:val="18"/>
              </w:rPr>
            </w:pPr>
          </w:p>
          <w:p>
            <w:pPr>
              <w:pStyle w:val="TableParagraph"/>
              <w:ind w:left="39" w:right="33"/>
              <w:jc w:val="center"/>
              <w:rPr>
                <w:sz w:val="18"/>
              </w:rPr>
            </w:pPr>
            <w:r>
              <w:rPr>
                <w:sz w:val="18"/>
              </w:rPr>
              <w:t>3-002-</w:t>
            </w:r>
            <w:r>
              <w:rPr>
                <w:spacing w:val="-2"/>
                <w:sz w:val="18"/>
              </w:rPr>
              <w:t>056487</w:t>
            </w:r>
          </w:p>
        </w:tc>
        <w:tc>
          <w:tcPr>
            <w:tcW w:w="1391" w:type="dxa"/>
          </w:tcPr>
          <w:p>
            <w:pPr>
              <w:pStyle w:val="TableParagraph"/>
              <w:rPr>
                <w:b/>
                <w:sz w:val="18"/>
              </w:rPr>
            </w:pPr>
          </w:p>
          <w:p>
            <w:pPr>
              <w:pStyle w:val="TableParagraph"/>
              <w:spacing w:before="201"/>
              <w:rPr>
                <w:b/>
                <w:sz w:val="18"/>
              </w:rPr>
            </w:pPr>
          </w:p>
          <w:p>
            <w:pPr>
              <w:pStyle w:val="TableParagraph"/>
              <w:ind w:left="8" w:right="8"/>
              <w:jc w:val="center"/>
              <w:rPr>
                <w:sz w:val="18"/>
              </w:rPr>
            </w:pPr>
            <w:r>
              <w:rPr>
                <w:spacing w:val="-2"/>
                <w:sz w:val="18"/>
              </w:rPr>
              <w:t>DASAI</w:t>
            </w:r>
          </w:p>
        </w:tc>
        <w:tc>
          <w:tcPr>
            <w:tcW w:w="1741" w:type="dxa"/>
          </w:tcPr>
          <w:p>
            <w:pPr>
              <w:pStyle w:val="TableParagraph"/>
              <w:rPr>
                <w:b/>
                <w:sz w:val="18"/>
              </w:rPr>
            </w:pPr>
          </w:p>
          <w:p>
            <w:pPr>
              <w:pStyle w:val="TableParagraph"/>
              <w:spacing w:before="201"/>
              <w:rPr>
                <w:b/>
                <w:sz w:val="18"/>
              </w:rPr>
            </w:pPr>
          </w:p>
          <w:p>
            <w:pPr>
              <w:pStyle w:val="TableParagraph"/>
              <w:ind w:right="63"/>
              <w:jc w:val="right"/>
              <w:rPr>
                <w:b/>
                <w:sz w:val="18"/>
              </w:rPr>
            </w:pPr>
            <w:r>
              <w:rPr>
                <w:b/>
                <w:sz w:val="18"/>
              </w:rPr>
              <w:t>₡ 7 145</w:t>
            </w:r>
            <w:r>
              <w:rPr>
                <w:b/>
                <w:spacing w:val="-2"/>
                <w:sz w:val="18"/>
              </w:rPr>
              <w:t> 242,00</w:t>
            </w:r>
          </w:p>
        </w:tc>
        <w:tc>
          <w:tcPr>
            <w:tcW w:w="3782" w:type="dxa"/>
          </w:tcPr>
          <w:p>
            <w:pPr>
              <w:pStyle w:val="TableParagraph"/>
              <w:spacing w:before="99"/>
              <w:ind w:left="66" w:right="123"/>
              <w:rPr>
                <w:sz w:val="18"/>
              </w:rPr>
            </w:pPr>
            <w:r>
              <w:rPr>
                <w:sz w:val="18"/>
              </w:rPr>
              <w:t>Subsidio para complementar los costos de atención de la población en los componentes: alimentación, limpieza de instalaciones y aseo personal, textiles y vestuario,</w:t>
            </w:r>
            <w:r>
              <w:rPr>
                <w:spacing w:val="-9"/>
                <w:sz w:val="18"/>
              </w:rPr>
              <w:t> </w:t>
            </w:r>
            <w:r>
              <w:rPr>
                <w:sz w:val="18"/>
              </w:rPr>
              <w:t>contratación</w:t>
            </w:r>
            <w:r>
              <w:rPr>
                <w:spacing w:val="-11"/>
                <w:sz w:val="18"/>
              </w:rPr>
              <w:t> </w:t>
            </w:r>
            <w:r>
              <w:rPr>
                <w:sz w:val="18"/>
              </w:rPr>
              <w:t>de</w:t>
            </w:r>
            <w:r>
              <w:rPr>
                <w:spacing w:val="-11"/>
                <w:sz w:val="18"/>
              </w:rPr>
              <w:t> </w:t>
            </w:r>
            <w:r>
              <w:rPr>
                <w:sz w:val="18"/>
              </w:rPr>
              <w:t>profesionales</w:t>
            </w:r>
            <w:r>
              <w:rPr>
                <w:spacing w:val="-10"/>
                <w:sz w:val="18"/>
              </w:rPr>
              <w:t> </w:t>
            </w:r>
            <w:r>
              <w:rPr>
                <w:sz w:val="18"/>
              </w:rPr>
              <w:t>por </w:t>
            </w:r>
            <w:r>
              <w:rPr>
                <w:spacing w:val="-2"/>
                <w:sz w:val="18"/>
              </w:rPr>
              <w:t>servicio.</w:t>
            </w:r>
          </w:p>
        </w:tc>
      </w:tr>
      <w:tr>
        <w:trPr>
          <w:trHeight w:val="1201" w:hRule="atLeast"/>
        </w:trPr>
        <w:tc>
          <w:tcPr>
            <w:tcW w:w="699" w:type="dxa"/>
          </w:tcPr>
          <w:p>
            <w:pPr>
              <w:pStyle w:val="TableParagraph"/>
              <w:spacing w:before="222"/>
              <w:rPr>
                <w:b/>
                <w:sz w:val="22"/>
              </w:rPr>
            </w:pPr>
          </w:p>
          <w:p>
            <w:pPr>
              <w:pStyle w:val="TableParagraph"/>
              <w:ind w:left="7"/>
              <w:jc w:val="center"/>
              <w:rPr>
                <w:sz w:val="22"/>
              </w:rPr>
            </w:pPr>
            <w:r>
              <w:rPr>
                <w:spacing w:val="-5"/>
                <w:sz w:val="22"/>
              </w:rPr>
              <w:t>12</w:t>
            </w:r>
          </w:p>
        </w:tc>
        <w:tc>
          <w:tcPr>
            <w:tcW w:w="3570" w:type="dxa"/>
          </w:tcPr>
          <w:p>
            <w:pPr>
              <w:pStyle w:val="TableParagraph"/>
              <w:spacing w:before="185"/>
              <w:rPr>
                <w:b/>
                <w:sz w:val="18"/>
              </w:rPr>
            </w:pPr>
          </w:p>
          <w:p>
            <w:pPr>
              <w:pStyle w:val="TableParagraph"/>
              <w:ind w:left="69"/>
              <w:rPr>
                <w:sz w:val="18"/>
              </w:rPr>
            </w:pPr>
            <w:r>
              <w:rPr>
                <w:sz w:val="18"/>
              </w:rPr>
              <w:t>Asociación</w:t>
            </w:r>
            <w:r>
              <w:rPr>
                <w:spacing w:val="-10"/>
                <w:sz w:val="18"/>
              </w:rPr>
              <w:t> </w:t>
            </w:r>
            <w:r>
              <w:rPr>
                <w:sz w:val="18"/>
              </w:rPr>
              <w:t>para</w:t>
            </w:r>
            <w:r>
              <w:rPr>
                <w:spacing w:val="-10"/>
                <w:sz w:val="18"/>
              </w:rPr>
              <w:t> </w:t>
            </w:r>
            <w:r>
              <w:rPr>
                <w:sz w:val="18"/>
              </w:rPr>
              <w:t>disminuir</w:t>
            </w:r>
            <w:r>
              <w:rPr>
                <w:spacing w:val="-11"/>
                <w:sz w:val="18"/>
              </w:rPr>
              <w:t> </w:t>
            </w:r>
            <w:r>
              <w:rPr>
                <w:sz w:val="18"/>
              </w:rPr>
              <w:t>el</w:t>
            </w:r>
            <w:r>
              <w:rPr>
                <w:spacing w:val="-10"/>
                <w:sz w:val="18"/>
              </w:rPr>
              <w:t> </w:t>
            </w:r>
            <w:r>
              <w:rPr>
                <w:sz w:val="18"/>
              </w:rPr>
              <w:t>sufrimiento </w:t>
            </w:r>
            <w:r>
              <w:rPr>
                <w:spacing w:val="-2"/>
                <w:sz w:val="18"/>
              </w:rPr>
              <w:t>humano</w:t>
            </w:r>
          </w:p>
        </w:tc>
        <w:tc>
          <w:tcPr>
            <w:tcW w:w="1719" w:type="dxa"/>
          </w:tcPr>
          <w:p>
            <w:pPr>
              <w:pStyle w:val="TableParagraph"/>
              <w:rPr>
                <w:b/>
                <w:sz w:val="18"/>
              </w:rPr>
            </w:pPr>
          </w:p>
          <w:p>
            <w:pPr>
              <w:pStyle w:val="TableParagraph"/>
              <w:spacing w:before="81"/>
              <w:rPr>
                <w:b/>
                <w:sz w:val="18"/>
              </w:rPr>
            </w:pPr>
          </w:p>
          <w:p>
            <w:pPr>
              <w:pStyle w:val="TableParagraph"/>
              <w:ind w:left="39" w:right="33"/>
              <w:jc w:val="center"/>
              <w:rPr>
                <w:sz w:val="18"/>
              </w:rPr>
            </w:pPr>
            <w:r>
              <w:rPr>
                <w:sz w:val="18"/>
              </w:rPr>
              <w:t>3-002-</w:t>
            </w:r>
            <w:r>
              <w:rPr>
                <w:spacing w:val="-2"/>
                <w:sz w:val="18"/>
              </w:rPr>
              <w:t>639265</w:t>
            </w:r>
          </w:p>
        </w:tc>
        <w:tc>
          <w:tcPr>
            <w:tcW w:w="1391" w:type="dxa"/>
          </w:tcPr>
          <w:p>
            <w:pPr>
              <w:pStyle w:val="TableParagraph"/>
              <w:rPr>
                <w:b/>
                <w:sz w:val="18"/>
              </w:rPr>
            </w:pPr>
          </w:p>
          <w:p>
            <w:pPr>
              <w:pStyle w:val="TableParagraph"/>
              <w:spacing w:before="81"/>
              <w:rPr>
                <w:b/>
                <w:sz w:val="18"/>
              </w:rPr>
            </w:pPr>
          </w:p>
          <w:p>
            <w:pPr>
              <w:pStyle w:val="TableParagraph"/>
              <w:ind w:left="8" w:right="8"/>
              <w:jc w:val="center"/>
              <w:rPr>
                <w:sz w:val="18"/>
              </w:rPr>
            </w:pPr>
            <w:r>
              <w:rPr>
                <w:spacing w:val="-2"/>
                <w:sz w:val="18"/>
              </w:rPr>
              <w:t>DASAI</w:t>
            </w:r>
          </w:p>
        </w:tc>
        <w:tc>
          <w:tcPr>
            <w:tcW w:w="1741" w:type="dxa"/>
          </w:tcPr>
          <w:p>
            <w:pPr>
              <w:pStyle w:val="TableParagraph"/>
              <w:rPr>
                <w:b/>
                <w:sz w:val="18"/>
              </w:rPr>
            </w:pPr>
          </w:p>
          <w:p>
            <w:pPr>
              <w:pStyle w:val="TableParagraph"/>
              <w:spacing w:before="81"/>
              <w:rPr>
                <w:b/>
                <w:sz w:val="18"/>
              </w:rPr>
            </w:pPr>
          </w:p>
          <w:p>
            <w:pPr>
              <w:pStyle w:val="TableParagraph"/>
              <w:ind w:right="63"/>
              <w:jc w:val="right"/>
              <w:rPr>
                <w:b/>
                <w:sz w:val="18"/>
              </w:rPr>
            </w:pPr>
            <w:r>
              <w:rPr>
                <w:b/>
                <w:sz w:val="18"/>
              </w:rPr>
              <w:t>₡</w:t>
            </w:r>
            <w:r>
              <w:rPr>
                <w:b/>
                <w:spacing w:val="-3"/>
                <w:sz w:val="18"/>
              </w:rPr>
              <w:t> </w:t>
            </w:r>
            <w:r>
              <w:rPr>
                <w:b/>
                <w:sz w:val="18"/>
              </w:rPr>
              <w:t>16</w:t>
            </w:r>
            <w:r>
              <w:rPr>
                <w:b/>
                <w:spacing w:val="-1"/>
                <w:sz w:val="18"/>
              </w:rPr>
              <w:t> </w:t>
            </w:r>
            <w:r>
              <w:rPr>
                <w:b/>
                <w:sz w:val="18"/>
              </w:rPr>
              <w:t>900 </w:t>
            </w:r>
            <w:r>
              <w:rPr>
                <w:b/>
                <w:spacing w:val="-2"/>
                <w:sz w:val="18"/>
              </w:rPr>
              <w:t>000,00</w:t>
            </w:r>
          </w:p>
        </w:tc>
        <w:tc>
          <w:tcPr>
            <w:tcW w:w="3782" w:type="dxa"/>
          </w:tcPr>
          <w:p>
            <w:pPr>
              <w:pStyle w:val="TableParagraph"/>
              <w:spacing w:before="83"/>
              <w:ind w:left="66" w:right="123"/>
              <w:rPr>
                <w:sz w:val="18"/>
              </w:rPr>
            </w:pPr>
            <w:r>
              <w:rPr>
                <w:sz w:val="18"/>
              </w:rPr>
              <w:t>Subsidio</w:t>
            </w:r>
            <w:r>
              <w:rPr>
                <w:spacing w:val="-9"/>
                <w:sz w:val="18"/>
              </w:rPr>
              <w:t> </w:t>
            </w:r>
            <w:r>
              <w:rPr>
                <w:sz w:val="18"/>
              </w:rPr>
              <w:t>para</w:t>
            </w:r>
            <w:r>
              <w:rPr>
                <w:spacing w:val="-9"/>
                <w:sz w:val="18"/>
              </w:rPr>
              <w:t> </w:t>
            </w:r>
            <w:r>
              <w:rPr>
                <w:sz w:val="18"/>
              </w:rPr>
              <w:t>complementar</w:t>
            </w:r>
            <w:r>
              <w:rPr>
                <w:spacing w:val="-9"/>
                <w:sz w:val="18"/>
              </w:rPr>
              <w:t> </w:t>
            </w:r>
            <w:r>
              <w:rPr>
                <w:sz w:val="18"/>
              </w:rPr>
              <w:t>los</w:t>
            </w:r>
            <w:r>
              <w:rPr>
                <w:spacing w:val="-7"/>
                <w:sz w:val="18"/>
              </w:rPr>
              <w:t> </w:t>
            </w:r>
            <w:r>
              <w:rPr>
                <w:sz w:val="18"/>
              </w:rPr>
              <w:t>costos</w:t>
            </w:r>
            <w:r>
              <w:rPr>
                <w:spacing w:val="-8"/>
                <w:sz w:val="18"/>
              </w:rPr>
              <w:t> </w:t>
            </w:r>
            <w:r>
              <w:rPr>
                <w:sz w:val="18"/>
              </w:rPr>
              <w:t>de atención de la población en los componentes: alimentación, limpieza de instalaciones y aseo personal, textiles y </w:t>
            </w:r>
            <w:r>
              <w:rPr>
                <w:spacing w:val="-2"/>
                <w:sz w:val="18"/>
              </w:rPr>
              <w:t>vestuario.</w:t>
            </w:r>
          </w:p>
        </w:tc>
      </w:tr>
      <w:tr>
        <w:trPr>
          <w:trHeight w:val="1200" w:hRule="atLeast"/>
        </w:trPr>
        <w:tc>
          <w:tcPr>
            <w:tcW w:w="699" w:type="dxa"/>
          </w:tcPr>
          <w:p>
            <w:pPr>
              <w:pStyle w:val="TableParagraph"/>
              <w:spacing w:before="219"/>
              <w:rPr>
                <w:b/>
                <w:sz w:val="22"/>
              </w:rPr>
            </w:pPr>
          </w:p>
          <w:p>
            <w:pPr>
              <w:pStyle w:val="TableParagraph"/>
              <w:ind w:left="7"/>
              <w:jc w:val="center"/>
              <w:rPr>
                <w:sz w:val="22"/>
              </w:rPr>
            </w:pPr>
            <w:r>
              <w:rPr>
                <w:spacing w:val="-5"/>
                <w:sz w:val="22"/>
              </w:rPr>
              <w:t>13</w:t>
            </w:r>
          </w:p>
        </w:tc>
        <w:tc>
          <w:tcPr>
            <w:tcW w:w="3570" w:type="dxa"/>
          </w:tcPr>
          <w:p>
            <w:pPr>
              <w:pStyle w:val="TableParagraph"/>
              <w:spacing w:before="185"/>
              <w:rPr>
                <w:b/>
                <w:sz w:val="18"/>
              </w:rPr>
            </w:pPr>
          </w:p>
          <w:p>
            <w:pPr>
              <w:pStyle w:val="TableParagraph"/>
              <w:ind w:left="69"/>
              <w:rPr>
                <w:sz w:val="18"/>
              </w:rPr>
            </w:pPr>
            <w:r>
              <w:rPr>
                <w:sz w:val="18"/>
              </w:rPr>
              <w:t>Asociación</w:t>
            </w:r>
            <w:r>
              <w:rPr>
                <w:spacing w:val="-6"/>
                <w:sz w:val="18"/>
              </w:rPr>
              <w:t> </w:t>
            </w:r>
            <w:r>
              <w:rPr>
                <w:sz w:val="18"/>
              </w:rPr>
              <w:t>Salvando</w:t>
            </w:r>
            <w:r>
              <w:rPr>
                <w:spacing w:val="-6"/>
                <w:sz w:val="18"/>
              </w:rPr>
              <w:t> </w:t>
            </w:r>
            <w:r>
              <w:rPr>
                <w:sz w:val="18"/>
              </w:rPr>
              <w:t>al</w:t>
            </w:r>
            <w:r>
              <w:rPr>
                <w:spacing w:val="-8"/>
                <w:sz w:val="18"/>
              </w:rPr>
              <w:t> </w:t>
            </w:r>
            <w:r>
              <w:rPr>
                <w:sz w:val="18"/>
              </w:rPr>
              <w:t>adicto</w:t>
            </w:r>
            <w:r>
              <w:rPr>
                <w:spacing w:val="-10"/>
                <w:sz w:val="18"/>
              </w:rPr>
              <w:t> </w:t>
            </w:r>
            <w:r>
              <w:rPr>
                <w:sz w:val="18"/>
              </w:rPr>
              <w:t>de</w:t>
            </w:r>
            <w:r>
              <w:rPr>
                <w:spacing w:val="-6"/>
                <w:sz w:val="18"/>
              </w:rPr>
              <w:t> </w:t>
            </w:r>
            <w:r>
              <w:rPr>
                <w:sz w:val="18"/>
              </w:rPr>
              <w:t>la</w:t>
            </w:r>
            <w:r>
              <w:rPr>
                <w:spacing w:val="-8"/>
                <w:sz w:val="18"/>
              </w:rPr>
              <w:t> </w:t>
            </w:r>
            <w:r>
              <w:rPr>
                <w:sz w:val="18"/>
              </w:rPr>
              <w:t>región Huetar Norte</w:t>
            </w:r>
          </w:p>
        </w:tc>
        <w:tc>
          <w:tcPr>
            <w:tcW w:w="1719" w:type="dxa"/>
          </w:tcPr>
          <w:p>
            <w:pPr>
              <w:pStyle w:val="TableParagraph"/>
              <w:rPr>
                <w:b/>
                <w:sz w:val="18"/>
              </w:rPr>
            </w:pPr>
          </w:p>
          <w:p>
            <w:pPr>
              <w:pStyle w:val="TableParagraph"/>
              <w:spacing w:before="81"/>
              <w:rPr>
                <w:b/>
                <w:sz w:val="18"/>
              </w:rPr>
            </w:pPr>
          </w:p>
          <w:p>
            <w:pPr>
              <w:pStyle w:val="TableParagraph"/>
              <w:ind w:left="39" w:right="33"/>
              <w:jc w:val="center"/>
              <w:rPr>
                <w:sz w:val="18"/>
              </w:rPr>
            </w:pPr>
            <w:r>
              <w:rPr>
                <w:sz w:val="18"/>
              </w:rPr>
              <w:t>3-002-</w:t>
            </w:r>
            <w:r>
              <w:rPr>
                <w:spacing w:val="-2"/>
                <w:sz w:val="18"/>
              </w:rPr>
              <w:t>562383</w:t>
            </w:r>
          </w:p>
        </w:tc>
        <w:tc>
          <w:tcPr>
            <w:tcW w:w="1391" w:type="dxa"/>
          </w:tcPr>
          <w:p>
            <w:pPr>
              <w:pStyle w:val="TableParagraph"/>
              <w:rPr>
                <w:b/>
                <w:sz w:val="18"/>
              </w:rPr>
            </w:pPr>
          </w:p>
          <w:p>
            <w:pPr>
              <w:pStyle w:val="TableParagraph"/>
              <w:spacing w:before="81"/>
              <w:rPr>
                <w:b/>
                <w:sz w:val="18"/>
              </w:rPr>
            </w:pPr>
          </w:p>
          <w:p>
            <w:pPr>
              <w:pStyle w:val="TableParagraph"/>
              <w:ind w:left="8" w:right="8"/>
              <w:jc w:val="center"/>
              <w:rPr>
                <w:sz w:val="18"/>
              </w:rPr>
            </w:pPr>
            <w:r>
              <w:rPr>
                <w:spacing w:val="-2"/>
                <w:sz w:val="18"/>
              </w:rPr>
              <w:t>DASAI</w:t>
            </w:r>
          </w:p>
        </w:tc>
        <w:tc>
          <w:tcPr>
            <w:tcW w:w="1741" w:type="dxa"/>
          </w:tcPr>
          <w:p>
            <w:pPr>
              <w:pStyle w:val="TableParagraph"/>
              <w:rPr>
                <w:b/>
                <w:sz w:val="18"/>
              </w:rPr>
            </w:pPr>
          </w:p>
          <w:p>
            <w:pPr>
              <w:pStyle w:val="TableParagraph"/>
              <w:spacing w:before="81"/>
              <w:rPr>
                <w:b/>
                <w:sz w:val="18"/>
              </w:rPr>
            </w:pPr>
          </w:p>
          <w:p>
            <w:pPr>
              <w:pStyle w:val="TableParagraph"/>
              <w:ind w:right="63"/>
              <w:jc w:val="right"/>
              <w:rPr>
                <w:b/>
                <w:sz w:val="18"/>
              </w:rPr>
            </w:pPr>
            <w:r>
              <w:rPr>
                <w:b/>
                <w:sz w:val="18"/>
              </w:rPr>
              <w:t>₡</w:t>
            </w:r>
            <w:r>
              <w:rPr>
                <w:b/>
                <w:spacing w:val="-3"/>
                <w:sz w:val="18"/>
              </w:rPr>
              <w:t> </w:t>
            </w:r>
            <w:r>
              <w:rPr>
                <w:b/>
                <w:sz w:val="18"/>
              </w:rPr>
              <w:t>13</w:t>
            </w:r>
            <w:r>
              <w:rPr>
                <w:b/>
                <w:spacing w:val="-1"/>
                <w:sz w:val="18"/>
              </w:rPr>
              <w:t> </w:t>
            </w:r>
            <w:r>
              <w:rPr>
                <w:b/>
                <w:sz w:val="18"/>
              </w:rPr>
              <w:t>060 </w:t>
            </w:r>
            <w:r>
              <w:rPr>
                <w:b/>
                <w:spacing w:val="-2"/>
                <w:sz w:val="18"/>
              </w:rPr>
              <w:t>000,00</w:t>
            </w:r>
          </w:p>
        </w:tc>
        <w:tc>
          <w:tcPr>
            <w:tcW w:w="3782" w:type="dxa"/>
          </w:tcPr>
          <w:p>
            <w:pPr>
              <w:pStyle w:val="TableParagraph"/>
              <w:spacing w:before="80"/>
              <w:ind w:left="66" w:right="123"/>
              <w:rPr>
                <w:sz w:val="18"/>
              </w:rPr>
            </w:pPr>
            <w:r>
              <w:rPr>
                <w:sz w:val="18"/>
              </w:rPr>
              <w:t>Subsidio</w:t>
            </w:r>
            <w:r>
              <w:rPr>
                <w:spacing w:val="-9"/>
                <w:sz w:val="18"/>
              </w:rPr>
              <w:t> </w:t>
            </w:r>
            <w:r>
              <w:rPr>
                <w:sz w:val="18"/>
              </w:rPr>
              <w:t>para</w:t>
            </w:r>
            <w:r>
              <w:rPr>
                <w:spacing w:val="-9"/>
                <w:sz w:val="18"/>
              </w:rPr>
              <w:t> </w:t>
            </w:r>
            <w:r>
              <w:rPr>
                <w:sz w:val="18"/>
              </w:rPr>
              <w:t>complementar</w:t>
            </w:r>
            <w:r>
              <w:rPr>
                <w:spacing w:val="-9"/>
                <w:sz w:val="18"/>
              </w:rPr>
              <w:t> </w:t>
            </w:r>
            <w:r>
              <w:rPr>
                <w:sz w:val="18"/>
              </w:rPr>
              <w:t>los</w:t>
            </w:r>
            <w:r>
              <w:rPr>
                <w:spacing w:val="-7"/>
                <w:sz w:val="18"/>
              </w:rPr>
              <w:t> </w:t>
            </w:r>
            <w:r>
              <w:rPr>
                <w:sz w:val="18"/>
              </w:rPr>
              <w:t>costos</w:t>
            </w:r>
            <w:r>
              <w:rPr>
                <w:spacing w:val="-8"/>
                <w:sz w:val="18"/>
              </w:rPr>
              <w:t> </w:t>
            </w:r>
            <w:r>
              <w:rPr>
                <w:sz w:val="18"/>
              </w:rPr>
              <w:t>de atención de la población en los componentes: alimentación, limpieza de instalaciones y aseo personal, textiles y </w:t>
            </w:r>
            <w:r>
              <w:rPr>
                <w:spacing w:val="-2"/>
                <w:sz w:val="18"/>
              </w:rPr>
              <w:t>vestuario,</w:t>
            </w:r>
          </w:p>
        </w:tc>
      </w:tr>
      <w:tr>
        <w:trPr>
          <w:trHeight w:val="1199" w:hRule="atLeast"/>
        </w:trPr>
        <w:tc>
          <w:tcPr>
            <w:tcW w:w="699" w:type="dxa"/>
          </w:tcPr>
          <w:p>
            <w:pPr>
              <w:pStyle w:val="TableParagraph"/>
              <w:spacing w:before="219"/>
              <w:rPr>
                <w:b/>
                <w:sz w:val="22"/>
              </w:rPr>
            </w:pPr>
          </w:p>
          <w:p>
            <w:pPr>
              <w:pStyle w:val="TableParagraph"/>
              <w:ind w:left="7"/>
              <w:jc w:val="center"/>
              <w:rPr>
                <w:sz w:val="22"/>
              </w:rPr>
            </w:pPr>
            <w:r>
              <w:rPr>
                <w:spacing w:val="-5"/>
                <w:sz w:val="22"/>
              </w:rPr>
              <w:t>14</w:t>
            </w:r>
          </w:p>
        </w:tc>
        <w:tc>
          <w:tcPr>
            <w:tcW w:w="3570" w:type="dxa"/>
          </w:tcPr>
          <w:p>
            <w:pPr>
              <w:pStyle w:val="TableParagraph"/>
              <w:spacing w:before="185"/>
              <w:rPr>
                <w:b/>
                <w:sz w:val="18"/>
              </w:rPr>
            </w:pPr>
          </w:p>
          <w:p>
            <w:pPr>
              <w:pStyle w:val="TableParagraph"/>
              <w:ind w:left="69"/>
              <w:rPr>
                <w:sz w:val="18"/>
              </w:rPr>
            </w:pPr>
            <w:r>
              <w:rPr>
                <w:sz w:val="18"/>
              </w:rPr>
              <w:t>Fundación</w:t>
            </w:r>
            <w:r>
              <w:rPr>
                <w:spacing w:val="-13"/>
                <w:sz w:val="18"/>
              </w:rPr>
              <w:t> </w:t>
            </w:r>
            <w:r>
              <w:rPr>
                <w:sz w:val="18"/>
              </w:rPr>
              <w:t>Kañir</w:t>
            </w:r>
            <w:r>
              <w:rPr>
                <w:spacing w:val="-12"/>
                <w:sz w:val="18"/>
              </w:rPr>
              <w:t> </w:t>
            </w:r>
            <w:r>
              <w:rPr>
                <w:sz w:val="18"/>
              </w:rPr>
              <w:t>en</w:t>
            </w:r>
            <w:r>
              <w:rPr>
                <w:spacing w:val="-13"/>
                <w:sz w:val="18"/>
              </w:rPr>
              <w:t> </w:t>
            </w:r>
            <w:r>
              <w:rPr>
                <w:sz w:val="18"/>
              </w:rPr>
              <w:t>Comunidades </w:t>
            </w:r>
            <w:r>
              <w:rPr>
                <w:spacing w:val="-2"/>
                <w:sz w:val="18"/>
              </w:rPr>
              <w:t>Terapéuticas</w:t>
            </w:r>
          </w:p>
        </w:tc>
        <w:tc>
          <w:tcPr>
            <w:tcW w:w="1719" w:type="dxa"/>
          </w:tcPr>
          <w:p>
            <w:pPr>
              <w:pStyle w:val="TableParagraph"/>
              <w:rPr>
                <w:b/>
                <w:sz w:val="18"/>
              </w:rPr>
            </w:pPr>
          </w:p>
          <w:p>
            <w:pPr>
              <w:pStyle w:val="TableParagraph"/>
              <w:spacing w:before="81"/>
              <w:rPr>
                <w:b/>
                <w:sz w:val="18"/>
              </w:rPr>
            </w:pPr>
          </w:p>
          <w:p>
            <w:pPr>
              <w:pStyle w:val="TableParagraph"/>
              <w:ind w:left="39" w:right="33"/>
              <w:jc w:val="center"/>
              <w:rPr>
                <w:sz w:val="18"/>
              </w:rPr>
            </w:pPr>
            <w:r>
              <w:rPr>
                <w:sz w:val="18"/>
              </w:rPr>
              <w:t>3-006-</w:t>
            </w:r>
            <w:r>
              <w:rPr>
                <w:spacing w:val="-2"/>
                <w:sz w:val="18"/>
              </w:rPr>
              <w:t>332256</w:t>
            </w:r>
          </w:p>
        </w:tc>
        <w:tc>
          <w:tcPr>
            <w:tcW w:w="1391" w:type="dxa"/>
          </w:tcPr>
          <w:p>
            <w:pPr>
              <w:pStyle w:val="TableParagraph"/>
              <w:rPr>
                <w:b/>
                <w:sz w:val="18"/>
              </w:rPr>
            </w:pPr>
          </w:p>
          <w:p>
            <w:pPr>
              <w:pStyle w:val="TableParagraph"/>
              <w:spacing w:before="81"/>
              <w:rPr>
                <w:b/>
                <w:sz w:val="18"/>
              </w:rPr>
            </w:pPr>
          </w:p>
          <w:p>
            <w:pPr>
              <w:pStyle w:val="TableParagraph"/>
              <w:ind w:left="8" w:right="8"/>
              <w:jc w:val="center"/>
              <w:rPr>
                <w:sz w:val="18"/>
              </w:rPr>
            </w:pPr>
            <w:r>
              <w:rPr>
                <w:spacing w:val="-2"/>
                <w:sz w:val="18"/>
              </w:rPr>
              <w:t>DASAI</w:t>
            </w:r>
          </w:p>
        </w:tc>
        <w:tc>
          <w:tcPr>
            <w:tcW w:w="1741" w:type="dxa"/>
          </w:tcPr>
          <w:p>
            <w:pPr>
              <w:pStyle w:val="TableParagraph"/>
              <w:rPr>
                <w:b/>
                <w:sz w:val="18"/>
              </w:rPr>
            </w:pPr>
          </w:p>
          <w:p>
            <w:pPr>
              <w:pStyle w:val="TableParagraph"/>
              <w:spacing w:before="81"/>
              <w:rPr>
                <w:b/>
                <w:sz w:val="18"/>
              </w:rPr>
            </w:pPr>
          </w:p>
          <w:p>
            <w:pPr>
              <w:pStyle w:val="TableParagraph"/>
              <w:ind w:right="63"/>
              <w:jc w:val="right"/>
              <w:rPr>
                <w:b/>
                <w:sz w:val="18"/>
              </w:rPr>
            </w:pPr>
            <w:r>
              <w:rPr>
                <w:b/>
                <w:sz w:val="18"/>
              </w:rPr>
              <w:t>₡</w:t>
            </w:r>
            <w:r>
              <w:rPr>
                <w:b/>
                <w:spacing w:val="-3"/>
                <w:sz w:val="18"/>
              </w:rPr>
              <w:t> </w:t>
            </w:r>
            <w:r>
              <w:rPr>
                <w:b/>
                <w:sz w:val="18"/>
              </w:rPr>
              <w:t>13</w:t>
            </w:r>
            <w:r>
              <w:rPr>
                <w:b/>
                <w:spacing w:val="-1"/>
                <w:sz w:val="18"/>
              </w:rPr>
              <w:t> </w:t>
            </w:r>
            <w:r>
              <w:rPr>
                <w:b/>
                <w:sz w:val="18"/>
              </w:rPr>
              <w:t>060 </w:t>
            </w:r>
            <w:r>
              <w:rPr>
                <w:b/>
                <w:spacing w:val="-2"/>
                <w:sz w:val="18"/>
              </w:rPr>
              <w:t>000,00</w:t>
            </w:r>
          </w:p>
        </w:tc>
        <w:tc>
          <w:tcPr>
            <w:tcW w:w="3782" w:type="dxa"/>
          </w:tcPr>
          <w:p>
            <w:pPr>
              <w:pStyle w:val="TableParagraph"/>
              <w:spacing w:before="80"/>
              <w:ind w:left="66" w:right="123"/>
              <w:rPr>
                <w:sz w:val="18"/>
              </w:rPr>
            </w:pPr>
            <w:r>
              <w:rPr>
                <w:sz w:val="18"/>
              </w:rPr>
              <w:t>Subsidio</w:t>
            </w:r>
            <w:r>
              <w:rPr>
                <w:spacing w:val="-9"/>
                <w:sz w:val="18"/>
              </w:rPr>
              <w:t> </w:t>
            </w:r>
            <w:r>
              <w:rPr>
                <w:sz w:val="18"/>
              </w:rPr>
              <w:t>para</w:t>
            </w:r>
            <w:r>
              <w:rPr>
                <w:spacing w:val="-9"/>
                <w:sz w:val="18"/>
              </w:rPr>
              <w:t> </w:t>
            </w:r>
            <w:r>
              <w:rPr>
                <w:sz w:val="18"/>
              </w:rPr>
              <w:t>complementar</w:t>
            </w:r>
            <w:r>
              <w:rPr>
                <w:spacing w:val="-9"/>
                <w:sz w:val="18"/>
              </w:rPr>
              <w:t> </w:t>
            </w:r>
            <w:r>
              <w:rPr>
                <w:sz w:val="18"/>
              </w:rPr>
              <w:t>los</w:t>
            </w:r>
            <w:r>
              <w:rPr>
                <w:spacing w:val="-7"/>
                <w:sz w:val="18"/>
              </w:rPr>
              <w:t> </w:t>
            </w:r>
            <w:r>
              <w:rPr>
                <w:sz w:val="18"/>
              </w:rPr>
              <w:t>costos</w:t>
            </w:r>
            <w:r>
              <w:rPr>
                <w:spacing w:val="-8"/>
                <w:sz w:val="18"/>
              </w:rPr>
              <w:t> </w:t>
            </w:r>
            <w:r>
              <w:rPr>
                <w:sz w:val="18"/>
              </w:rPr>
              <w:t>de atención de la población en los componentes: alimentación, limpieza de instalaciones y aseo personal, textiles y </w:t>
            </w:r>
            <w:r>
              <w:rPr>
                <w:spacing w:val="-2"/>
                <w:sz w:val="18"/>
              </w:rPr>
              <w:t>vestuario,</w:t>
            </w:r>
          </w:p>
        </w:tc>
      </w:tr>
      <w:tr>
        <w:trPr>
          <w:trHeight w:val="1440" w:hRule="atLeast"/>
        </w:trPr>
        <w:tc>
          <w:tcPr>
            <w:tcW w:w="699" w:type="dxa"/>
          </w:tcPr>
          <w:p>
            <w:pPr>
              <w:pStyle w:val="TableParagraph"/>
              <w:rPr>
                <w:b/>
                <w:sz w:val="22"/>
              </w:rPr>
            </w:pPr>
          </w:p>
          <w:p>
            <w:pPr>
              <w:pStyle w:val="TableParagraph"/>
              <w:spacing w:before="86"/>
              <w:rPr>
                <w:b/>
                <w:sz w:val="22"/>
              </w:rPr>
            </w:pPr>
          </w:p>
          <w:p>
            <w:pPr>
              <w:pStyle w:val="TableParagraph"/>
              <w:ind w:left="7"/>
              <w:jc w:val="center"/>
              <w:rPr>
                <w:sz w:val="22"/>
              </w:rPr>
            </w:pPr>
            <w:r>
              <w:rPr>
                <w:spacing w:val="-5"/>
                <w:sz w:val="22"/>
              </w:rPr>
              <w:t>15</w:t>
            </w:r>
          </w:p>
        </w:tc>
        <w:tc>
          <w:tcPr>
            <w:tcW w:w="3570" w:type="dxa"/>
          </w:tcPr>
          <w:p>
            <w:pPr>
              <w:pStyle w:val="TableParagraph"/>
              <w:rPr>
                <w:b/>
                <w:sz w:val="18"/>
              </w:rPr>
            </w:pPr>
          </w:p>
          <w:p>
            <w:pPr>
              <w:pStyle w:val="TableParagraph"/>
              <w:spacing w:before="201"/>
              <w:rPr>
                <w:b/>
                <w:sz w:val="18"/>
              </w:rPr>
            </w:pPr>
          </w:p>
          <w:p>
            <w:pPr>
              <w:pStyle w:val="TableParagraph"/>
              <w:ind w:left="69"/>
              <w:rPr>
                <w:sz w:val="18"/>
              </w:rPr>
            </w:pPr>
            <w:r>
              <w:rPr>
                <w:sz w:val="18"/>
              </w:rPr>
              <w:t>Asociación</w:t>
            </w:r>
            <w:r>
              <w:rPr>
                <w:spacing w:val="-5"/>
                <w:sz w:val="18"/>
              </w:rPr>
              <w:t> </w:t>
            </w:r>
            <w:r>
              <w:rPr>
                <w:sz w:val="18"/>
              </w:rPr>
              <w:t>Misionera</w:t>
            </w:r>
            <w:r>
              <w:rPr>
                <w:spacing w:val="-3"/>
                <w:sz w:val="18"/>
              </w:rPr>
              <w:t> </w:t>
            </w:r>
            <w:r>
              <w:rPr>
                <w:sz w:val="18"/>
              </w:rPr>
              <w:t>Club</w:t>
            </w:r>
            <w:r>
              <w:rPr>
                <w:spacing w:val="-4"/>
                <w:sz w:val="18"/>
              </w:rPr>
              <w:t> </w:t>
            </w:r>
            <w:r>
              <w:rPr>
                <w:sz w:val="18"/>
              </w:rPr>
              <w:t>de</w:t>
            </w:r>
            <w:r>
              <w:rPr>
                <w:spacing w:val="-4"/>
                <w:sz w:val="18"/>
              </w:rPr>
              <w:t> </w:t>
            </w:r>
            <w:r>
              <w:rPr>
                <w:spacing w:val="-5"/>
                <w:sz w:val="18"/>
              </w:rPr>
              <w:t>Paz</w:t>
            </w:r>
          </w:p>
        </w:tc>
        <w:tc>
          <w:tcPr>
            <w:tcW w:w="1719" w:type="dxa"/>
          </w:tcPr>
          <w:p>
            <w:pPr>
              <w:pStyle w:val="TableParagraph"/>
              <w:rPr>
                <w:b/>
                <w:sz w:val="18"/>
              </w:rPr>
            </w:pPr>
          </w:p>
          <w:p>
            <w:pPr>
              <w:pStyle w:val="TableParagraph"/>
              <w:spacing w:before="201"/>
              <w:rPr>
                <w:b/>
                <w:sz w:val="18"/>
              </w:rPr>
            </w:pPr>
          </w:p>
          <w:p>
            <w:pPr>
              <w:pStyle w:val="TableParagraph"/>
              <w:ind w:left="39" w:right="33"/>
              <w:jc w:val="center"/>
              <w:rPr>
                <w:sz w:val="18"/>
              </w:rPr>
            </w:pPr>
            <w:r>
              <w:rPr>
                <w:sz w:val="18"/>
              </w:rPr>
              <w:t>3-002-</w:t>
            </w:r>
            <w:r>
              <w:rPr>
                <w:spacing w:val="-2"/>
                <w:sz w:val="18"/>
              </w:rPr>
              <w:t>092400</w:t>
            </w:r>
          </w:p>
        </w:tc>
        <w:tc>
          <w:tcPr>
            <w:tcW w:w="1391" w:type="dxa"/>
          </w:tcPr>
          <w:p>
            <w:pPr>
              <w:pStyle w:val="TableParagraph"/>
              <w:rPr>
                <w:b/>
                <w:sz w:val="18"/>
              </w:rPr>
            </w:pPr>
          </w:p>
          <w:p>
            <w:pPr>
              <w:pStyle w:val="TableParagraph"/>
              <w:spacing w:before="201"/>
              <w:rPr>
                <w:b/>
                <w:sz w:val="18"/>
              </w:rPr>
            </w:pPr>
          </w:p>
          <w:p>
            <w:pPr>
              <w:pStyle w:val="TableParagraph"/>
              <w:ind w:left="8" w:right="8"/>
              <w:jc w:val="center"/>
              <w:rPr>
                <w:sz w:val="18"/>
              </w:rPr>
            </w:pPr>
            <w:r>
              <w:rPr>
                <w:spacing w:val="-2"/>
                <w:sz w:val="18"/>
              </w:rPr>
              <w:t>DASAI</w:t>
            </w:r>
          </w:p>
        </w:tc>
        <w:tc>
          <w:tcPr>
            <w:tcW w:w="1741" w:type="dxa"/>
          </w:tcPr>
          <w:p>
            <w:pPr>
              <w:pStyle w:val="TableParagraph"/>
              <w:rPr>
                <w:b/>
                <w:sz w:val="18"/>
              </w:rPr>
            </w:pPr>
          </w:p>
          <w:p>
            <w:pPr>
              <w:pStyle w:val="TableParagraph"/>
              <w:spacing w:before="201"/>
              <w:rPr>
                <w:b/>
                <w:sz w:val="18"/>
              </w:rPr>
            </w:pPr>
          </w:p>
          <w:p>
            <w:pPr>
              <w:pStyle w:val="TableParagraph"/>
              <w:ind w:right="63"/>
              <w:jc w:val="right"/>
              <w:rPr>
                <w:b/>
                <w:sz w:val="18"/>
              </w:rPr>
            </w:pPr>
            <w:r>
              <w:rPr>
                <w:b/>
                <w:sz w:val="18"/>
              </w:rPr>
              <w:t>₡</w:t>
            </w:r>
            <w:r>
              <w:rPr>
                <w:b/>
                <w:spacing w:val="-3"/>
                <w:sz w:val="18"/>
              </w:rPr>
              <w:t> </w:t>
            </w:r>
            <w:r>
              <w:rPr>
                <w:b/>
                <w:sz w:val="18"/>
              </w:rPr>
              <w:t>51</w:t>
            </w:r>
            <w:r>
              <w:rPr>
                <w:b/>
                <w:spacing w:val="-1"/>
                <w:sz w:val="18"/>
              </w:rPr>
              <w:t> </w:t>
            </w:r>
            <w:r>
              <w:rPr>
                <w:b/>
                <w:sz w:val="18"/>
              </w:rPr>
              <w:t>720 </w:t>
            </w:r>
            <w:r>
              <w:rPr>
                <w:b/>
                <w:spacing w:val="-2"/>
                <w:sz w:val="18"/>
              </w:rPr>
              <w:t>000,00</w:t>
            </w:r>
          </w:p>
        </w:tc>
        <w:tc>
          <w:tcPr>
            <w:tcW w:w="3782" w:type="dxa"/>
          </w:tcPr>
          <w:p>
            <w:pPr>
              <w:pStyle w:val="TableParagraph"/>
              <w:spacing w:before="97"/>
              <w:ind w:left="66" w:right="123"/>
              <w:rPr>
                <w:sz w:val="18"/>
              </w:rPr>
            </w:pPr>
            <w:r>
              <w:rPr>
                <w:sz w:val="18"/>
              </w:rPr>
              <w:t>Subsidio para complementar los costos de atención de la población en los componentes: alimentación, limpieza de instalaciones y aseo personal, textiles y vestuario,</w:t>
            </w:r>
            <w:r>
              <w:rPr>
                <w:spacing w:val="-9"/>
                <w:sz w:val="18"/>
              </w:rPr>
              <w:t> </w:t>
            </w:r>
            <w:r>
              <w:rPr>
                <w:sz w:val="18"/>
              </w:rPr>
              <w:t>contratación</w:t>
            </w:r>
            <w:r>
              <w:rPr>
                <w:spacing w:val="-11"/>
                <w:sz w:val="18"/>
              </w:rPr>
              <w:t> </w:t>
            </w:r>
            <w:r>
              <w:rPr>
                <w:sz w:val="18"/>
              </w:rPr>
              <w:t>de</w:t>
            </w:r>
            <w:r>
              <w:rPr>
                <w:spacing w:val="-11"/>
                <w:sz w:val="18"/>
              </w:rPr>
              <w:t> </w:t>
            </w:r>
            <w:r>
              <w:rPr>
                <w:sz w:val="18"/>
              </w:rPr>
              <w:t>profesionales</w:t>
            </w:r>
            <w:r>
              <w:rPr>
                <w:spacing w:val="-10"/>
                <w:sz w:val="18"/>
              </w:rPr>
              <w:t> </w:t>
            </w:r>
            <w:r>
              <w:rPr>
                <w:sz w:val="18"/>
              </w:rPr>
              <w:t>por </w:t>
            </w:r>
            <w:r>
              <w:rPr>
                <w:spacing w:val="-2"/>
                <w:sz w:val="18"/>
              </w:rPr>
              <w:t>servicio.</w:t>
            </w:r>
          </w:p>
        </w:tc>
      </w:tr>
    </w:tbl>
    <w:p>
      <w:pPr>
        <w:pStyle w:val="TableParagraph"/>
        <w:spacing w:after="0"/>
        <w:rPr>
          <w:sz w:val="18"/>
        </w:rPr>
        <w:sectPr>
          <w:pgSz w:w="15840" w:h="12240" w:orient="landscape"/>
          <w:pgMar w:header="0" w:footer="2404" w:top="1380" w:bottom="2600" w:left="1080" w:right="1440"/>
        </w:sectPr>
      </w:pPr>
    </w:p>
    <w:p>
      <w:pPr>
        <w:pStyle w:val="BodyText"/>
        <w:spacing w:before="7" w:after="1"/>
        <w:rPr>
          <w:b/>
          <w:sz w:val="15"/>
        </w:rPr>
      </w:pPr>
    </w:p>
    <w:tbl>
      <w:tblPr>
        <w:tblW w:w="0" w:type="auto"/>
        <w:jc w:val="left"/>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9"/>
        <w:gridCol w:w="3570"/>
        <w:gridCol w:w="1719"/>
        <w:gridCol w:w="1391"/>
        <w:gridCol w:w="1741"/>
        <w:gridCol w:w="3782"/>
      </w:tblGrid>
      <w:tr>
        <w:trPr>
          <w:trHeight w:val="1228" w:hRule="atLeast"/>
        </w:trPr>
        <w:tc>
          <w:tcPr>
            <w:tcW w:w="699" w:type="dxa"/>
            <w:shd w:val="clear" w:color="auto" w:fill="0A2F40"/>
          </w:tcPr>
          <w:p>
            <w:pPr>
              <w:pStyle w:val="TableParagraph"/>
              <w:rPr>
                <w:rFonts w:ascii="Times New Roman"/>
                <w:sz w:val="18"/>
              </w:rPr>
            </w:pPr>
          </w:p>
        </w:tc>
        <w:tc>
          <w:tcPr>
            <w:tcW w:w="3570" w:type="dxa"/>
            <w:shd w:val="clear" w:color="auto" w:fill="0A2F40"/>
          </w:tcPr>
          <w:p>
            <w:pPr>
              <w:pStyle w:val="TableParagraph"/>
              <w:rPr>
                <w:b/>
                <w:sz w:val="18"/>
              </w:rPr>
            </w:pPr>
          </w:p>
          <w:p>
            <w:pPr>
              <w:pStyle w:val="TableParagraph"/>
              <w:spacing w:before="96"/>
              <w:rPr>
                <w:b/>
                <w:sz w:val="18"/>
              </w:rPr>
            </w:pPr>
          </w:p>
          <w:p>
            <w:pPr>
              <w:pStyle w:val="TableParagraph"/>
              <w:ind w:left="222"/>
              <w:rPr>
                <w:b/>
                <w:sz w:val="18"/>
              </w:rPr>
            </w:pPr>
            <w:r>
              <w:rPr>
                <w:b/>
                <w:color w:val="FFFFFF"/>
                <w:sz w:val="18"/>
              </w:rPr>
              <w:t>Nombre</w:t>
            </w:r>
            <w:r>
              <w:rPr>
                <w:b/>
                <w:color w:val="FFFFFF"/>
                <w:spacing w:val="-2"/>
                <w:sz w:val="18"/>
              </w:rPr>
              <w:t> </w:t>
            </w:r>
            <w:r>
              <w:rPr>
                <w:b/>
                <w:color w:val="FFFFFF"/>
                <w:sz w:val="18"/>
              </w:rPr>
              <w:t>completo</w:t>
            </w:r>
            <w:r>
              <w:rPr>
                <w:b/>
                <w:color w:val="FFFFFF"/>
                <w:spacing w:val="-4"/>
                <w:sz w:val="18"/>
              </w:rPr>
              <w:t> </w:t>
            </w:r>
            <w:r>
              <w:rPr>
                <w:b/>
                <w:color w:val="FFFFFF"/>
                <w:sz w:val="18"/>
              </w:rPr>
              <w:t>del</w:t>
            </w:r>
            <w:r>
              <w:rPr>
                <w:b/>
                <w:color w:val="FFFFFF"/>
                <w:spacing w:val="-3"/>
                <w:sz w:val="18"/>
              </w:rPr>
              <w:t> </w:t>
            </w:r>
            <w:r>
              <w:rPr>
                <w:b/>
                <w:color w:val="FFFFFF"/>
                <w:sz w:val="18"/>
              </w:rPr>
              <w:t>sujeto</w:t>
            </w:r>
            <w:r>
              <w:rPr>
                <w:b/>
                <w:color w:val="FFFFFF"/>
                <w:spacing w:val="-3"/>
                <w:sz w:val="18"/>
              </w:rPr>
              <w:t> </w:t>
            </w:r>
            <w:r>
              <w:rPr>
                <w:b/>
                <w:color w:val="FFFFFF"/>
                <w:spacing w:val="-2"/>
                <w:sz w:val="18"/>
              </w:rPr>
              <w:t>privado</w:t>
            </w:r>
          </w:p>
        </w:tc>
        <w:tc>
          <w:tcPr>
            <w:tcW w:w="1719" w:type="dxa"/>
            <w:shd w:val="clear" w:color="auto" w:fill="0A2F40"/>
          </w:tcPr>
          <w:p>
            <w:pPr>
              <w:pStyle w:val="TableParagraph"/>
              <w:spacing w:before="199"/>
              <w:rPr>
                <w:b/>
                <w:sz w:val="18"/>
              </w:rPr>
            </w:pPr>
          </w:p>
          <w:p>
            <w:pPr>
              <w:pStyle w:val="TableParagraph"/>
              <w:spacing w:before="1"/>
              <w:ind w:left="510" w:hanging="233"/>
              <w:rPr>
                <w:b/>
                <w:sz w:val="18"/>
              </w:rPr>
            </w:pPr>
            <w:r>
              <w:rPr>
                <w:b/>
                <w:color w:val="FFFFFF"/>
                <w:sz w:val="18"/>
              </w:rPr>
              <w:t>N.º</w:t>
            </w:r>
            <w:r>
              <w:rPr>
                <w:b/>
                <w:color w:val="FFFFFF"/>
                <w:spacing w:val="-15"/>
                <w:sz w:val="18"/>
              </w:rPr>
              <w:t> </w:t>
            </w:r>
            <w:r>
              <w:rPr>
                <w:b/>
                <w:color w:val="FFFFFF"/>
                <w:sz w:val="18"/>
              </w:rPr>
              <w:t>de</w:t>
            </w:r>
            <w:r>
              <w:rPr>
                <w:b/>
                <w:color w:val="FFFFFF"/>
                <w:spacing w:val="-12"/>
                <w:sz w:val="18"/>
              </w:rPr>
              <w:t> </w:t>
            </w:r>
            <w:r>
              <w:rPr>
                <w:b/>
                <w:color w:val="FFFFFF"/>
                <w:sz w:val="18"/>
              </w:rPr>
              <w:t>Cédula </w:t>
            </w:r>
            <w:r>
              <w:rPr>
                <w:b/>
                <w:color w:val="FFFFFF"/>
                <w:spacing w:val="-2"/>
                <w:sz w:val="18"/>
              </w:rPr>
              <w:t>Jurídica</w:t>
            </w:r>
          </w:p>
        </w:tc>
        <w:tc>
          <w:tcPr>
            <w:tcW w:w="1391" w:type="dxa"/>
            <w:shd w:val="clear" w:color="auto" w:fill="0A2F40"/>
          </w:tcPr>
          <w:p>
            <w:pPr>
              <w:pStyle w:val="TableParagraph"/>
              <w:spacing w:before="199"/>
              <w:rPr>
                <w:b/>
                <w:sz w:val="18"/>
              </w:rPr>
            </w:pPr>
          </w:p>
          <w:p>
            <w:pPr>
              <w:pStyle w:val="TableParagraph"/>
              <w:spacing w:before="1"/>
              <w:ind w:left="281" w:firstLine="103"/>
              <w:rPr>
                <w:b/>
                <w:sz w:val="18"/>
              </w:rPr>
            </w:pPr>
            <w:r>
              <w:rPr>
                <w:b/>
                <w:color w:val="FFFFFF"/>
                <w:spacing w:val="-2"/>
                <w:sz w:val="18"/>
              </w:rPr>
              <w:t>Unidad Ejecutora</w:t>
            </w:r>
          </w:p>
        </w:tc>
        <w:tc>
          <w:tcPr>
            <w:tcW w:w="1741" w:type="dxa"/>
            <w:shd w:val="clear" w:color="auto" w:fill="0A2F40"/>
          </w:tcPr>
          <w:p>
            <w:pPr>
              <w:pStyle w:val="TableParagraph"/>
              <w:spacing w:before="199"/>
              <w:rPr>
                <w:b/>
                <w:sz w:val="18"/>
              </w:rPr>
            </w:pPr>
          </w:p>
          <w:p>
            <w:pPr>
              <w:pStyle w:val="TableParagraph"/>
              <w:spacing w:before="1"/>
              <w:ind w:left="470" w:hanging="305"/>
              <w:rPr>
                <w:b/>
                <w:sz w:val="18"/>
              </w:rPr>
            </w:pPr>
            <w:r>
              <w:rPr>
                <w:b/>
                <w:color w:val="FFFFFF"/>
                <w:sz w:val="18"/>
              </w:rPr>
              <w:t>Monto</w:t>
            </w:r>
            <w:r>
              <w:rPr>
                <w:b/>
                <w:color w:val="FFFFFF"/>
                <w:spacing w:val="-15"/>
                <w:sz w:val="18"/>
              </w:rPr>
              <w:t> </w:t>
            </w:r>
            <w:r>
              <w:rPr>
                <w:b/>
                <w:color w:val="FFFFFF"/>
                <w:sz w:val="18"/>
              </w:rPr>
              <w:t>total</w:t>
            </w:r>
            <w:r>
              <w:rPr>
                <w:b/>
                <w:color w:val="FFFFFF"/>
                <w:spacing w:val="-12"/>
                <w:sz w:val="18"/>
              </w:rPr>
              <w:t> </w:t>
            </w:r>
            <w:r>
              <w:rPr>
                <w:b/>
                <w:color w:val="FFFFFF"/>
                <w:sz w:val="18"/>
              </w:rPr>
              <w:t>para </w:t>
            </w:r>
            <w:r>
              <w:rPr>
                <w:b/>
                <w:color w:val="FFFFFF"/>
                <w:spacing w:val="-2"/>
                <w:sz w:val="18"/>
              </w:rPr>
              <w:t>transferir</w:t>
            </w:r>
          </w:p>
        </w:tc>
        <w:tc>
          <w:tcPr>
            <w:tcW w:w="3782" w:type="dxa"/>
            <w:shd w:val="clear" w:color="auto" w:fill="0A2F40"/>
          </w:tcPr>
          <w:p>
            <w:pPr>
              <w:pStyle w:val="TableParagraph"/>
              <w:spacing w:before="199"/>
              <w:rPr>
                <w:b/>
                <w:sz w:val="18"/>
              </w:rPr>
            </w:pPr>
          </w:p>
          <w:p>
            <w:pPr>
              <w:pStyle w:val="TableParagraph"/>
              <w:spacing w:before="1"/>
              <w:ind w:left="66" w:right="123"/>
              <w:rPr>
                <w:b/>
                <w:sz w:val="18"/>
              </w:rPr>
            </w:pPr>
            <w:r>
              <w:rPr>
                <w:b/>
                <w:color w:val="FFFFFF"/>
                <w:sz w:val="18"/>
              </w:rPr>
              <w:t>Descripción</w:t>
            </w:r>
            <w:r>
              <w:rPr>
                <w:b/>
                <w:color w:val="FFFFFF"/>
                <w:spacing w:val="-6"/>
                <w:sz w:val="18"/>
              </w:rPr>
              <w:t> </w:t>
            </w:r>
            <w:r>
              <w:rPr>
                <w:b/>
                <w:color w:val="FFFFFF"/>
                <w:sz w:val="18"/>
              </w:rPr>
              <w:t>de</w:t>
            </w:r>
            <w:r>
              <w:rPr>
                <w:b/>
                <w:color w:val="FFFFFF"/>
                <w:spacing w:val="-8"/>
                <w:sz w:val="18"/>
              </w:rPr>
              <w:t> </w:t>
            </w:r>
            <w:r>
              <w:rPr>
                <w:b/>
                <w:color w:val="FFFFFF"/>
                <w:sz w:val="18"/>
              </w:rPr>
              <w:t>la</w:t>
            </w:r>
            <w:r>
              <w:rPr>
                <w:b/>
                <w:color w:val="FFFFFF"/>
                <w:spacing w:val="-6"/>
                <w:sz w:val="18"/>
              </w:rPr>
              <w:t> </w:t>
            </w:r>
            <w:r>
              <w:rPr>
                <w:b/>
                <w:color w:val="FFFFFF"/>
                <w:sz w:val="18"/>
              </w:rPr>
              <w:t>Finalidad</w:t>
            </w:r>
            <w:r>
              <w:rPr>
                <w:b/>
                <w:color w:val="FFFFFF"/>
                <w:spacing w:val="-6"/>
                <w:sz w:val="18"/>
              </w:rPr>
              <w:t> </w:t>
            </w:r>
            <w:r>
              <w:rPr>
                <w:b/>
                <w:color w:val="FFFFFF"/>
                <w:sz w:val="18"/>
              </w:rPr>
              <w:t>(detalle</w:t>
            </w:r>
            <w:r>
              <w:rPr>
                <w:b/>
                <w:color w:val="FFFFFF"/>
                <w:spacing w:val="-8"/>
                <w:sz w:val="18"/>
              </w:rPr>
              <w:t> </w:t>
            </w:r>
            <w:r>
              <w:rPr>
                <w:b/>
                <w:color w:val="FFFFFF"/>
                <w:sz w:val="18"/>
              </w:rPr>
              <w:t>el</w:t>
            </w:r>
            <w:r>
              <w:rPr>
                <w:b/>
                <w:color w:val="FFFFFF"/>
                <w:spacing w:val="-6"/>
                <w:sz w:val="18"/>
              </w:rPr>
              <w:t> </w:t>
            </w:r>
            <w:r>
              <w:rPr>
                <w:b/>
                <w:color w:val="FFFFFF"/>
                <w:sz w:val="18"/>
              </w:rPr>
              <w:t>uso del beneficio)</w:t>
            </w:r>
          </w:p>
        </w:tc>
      </w:tr>
      <w:tr>
        <w:trPr>
          <w:trHeight w:val="1440" w:hRule="atLeast"/>
        </w:trPr>
        <w:tc>
          <w:tcPr>
            <w:tcW w:w="699" w:type="dxa"/>
          </w:tcPr>
          <w:p>
            <w:pPr>
              <w:pStyle w:val="TableParagraph"/>
              <w:rPr>
                <w:b/>
                <w:sz w:val="22"/>
              </w:rPr>
            </w:pPr>
          </w:p>
          <w:p>
            <w:pPr>
              <w:pStyle w:val="TableParagraph"/>
              <w:spacing w:before="89"/>
              <w:rPr>
                <w:b/>
                <w:sz w:val="22"/>
              </w:rPr>
            </w:pPr>
          </w:p>
          <w:p>
            <w:pPr>
              <w:pStyle w:val="TableParagraph"/>
              <w:ind w:left="7"/>
              <w:jc w:val="center"/>
              <w:rPr>
                <w:sz w:val="22"/>
              </w:rPr>
            </w:pPr>
            <w:r>
              <w:rPr>
                <w:spacing w:val="-5"/>
                <w:sz w:val="22"/>
              </w:rPr>
              <w:t>16</w:t>
            </w:r>
          </w:p>
        </w:tc>
        <w:tc>
          <w:tcPr>
            <w:tcW w:w="3570" w:type="dxa"/>
          </w:tcPr>
          <w:p>
            <w:pPr>
              <w:pStyle w:val="TableParagraph"/>
              <w:rPr>
                <w:b/>
                <w:sz w:val="18"/>
              </w:rPr>
            </w:pPr>
          </w:p>
          <w:p>
            <w:pPr>
              <w:pStyle w:val="TableParagraph"/>
              <w:spacing w:before="201"/>
              <w:rPr>
                <w:b/>
                <w:sz w:val="18"/>
              </w:rPr>
            </w:pPr>
          </w:p>
          <w:p>
            <w:pPr>
              <w:pStyle w:val="TableParagraph"/>
              <w:ind w:left="69"/>
              <w:rPr>
                <w:sz w:val="18"/>
              </w:rPr>
            </w:pPr>
            <w:r>
              <w:rPr>
                <w:sz w:val="18"/>
              </w:rPr>
              <w:t>Asociación</w:t>
            </w:r>
            <w:r>
              <w:rPr>
                <w:spacing w:val="-5"/>
                <w:sz w:val="18"/>
              </w:rPr>
              <w:t> </w:t>
            </w:r>
            <w:r>
              <w:rPr>
                <w:sz w:val="18"/>
              </w:rPr>
              <w:t>Nuevo</w:t>
            </w:r>
            <w:r>
              <w:rPr>
                <w:spacing w:val="-4"/>
                <w:sz w:val="18"/>
              </w:rPr>
              <w:t> </w:t>
            </w:r>
            <w:r>
              <w:rPr>
                <w:spacing w:val="-2"/>
                <w:sz w:val="18"/>
              </w:rPr>
              <w:t>Camino</w:t>
            </w:r>
          </w:p>
        </w:tc>
        <w:tc>
          <w:tcPr>
            <w:tcW w:w="1719" w:type="dxa"/>
          </w:tcPr>
          <w:p>
            <w:pPr>
              <w:pStyle w:val="TableParagraph"/>
              <w:rPr>
                <w:b/>
                <w:sz w:val="18"/>
              </w:rPr>
            </w:pPr>
          </w:p>
          <w:p>
            <w:pPr>
              <w:pStyle w:val="TableParagraph"/>
              <w:spacing w:before="201"/>
              <w:rPr>
                <w:b/>
                <w:sz w:val="18"/>
              </w:rPr>
            </w:pPr>
          </w:p>
          <w:p>
            <w:pPr>
              <w:pStyle w:val="TableParagraph"/>
              <w:ind w:left="39" w:right="33"/>
              <w:jc w:val="center"/>
              <w:rPr>
                <w:sz w:val="18"/>
              </w:rPr>
            </w:pPr>
            <w:r>
              <w:rPr>
                <w:sz w:val="18"/>
              </w:rPr>
              <w:t>3-002-</w:t>
            </w:r>
            <w:r>
              <w:rPr>
                <w:spacing w:val="-2"/>
                <w:sz w:val="18"/>
              </w:rPr>
              <w:t>793313</w:t>
            </w:r>
          </w:p>
        </w:tc>
        <w:tc>
          <w:tcPr>
            <w:tcW w:w="1391" w:type="dxa"/>
          </w:tcPr>
          <w:p>
            <w:pPr>
              <w:pStyle w:val="TableParagraph"/>
              <w:rPr>
                <w:b/>
                <w:sz w:val="18"/>
              </w:rPr>
            </w:pPr>
          </w:p>
          <w:p>
            <w:pPr>
              <w:pStyle w:val="TableParagraph"/>
              <w:spacing w:before="201"/>
              <w:rPr>
                <w:b/>
                <w:sz w:val="18"/>
              </w:rPr>
            </w:pPr>
          </w:p>
          <w:p>
            <w:pPr>
              <w:pStyle w:val="TableParagraph"/>
              <w:ind w:left="8" w:right="8"/>
              <w:jc w:val="center"/>
              <w:rPr>
                <w:sz w:val="18"/>
              </w:rPr>
            </w:pPr>
            <w:r>
              <w:rPr>
                <w:spacing w:val="-2"/>
                <w:sz w:val="18"/>
              </w:rPr>
              <w:t>DASAI</w:t>
            </w:r>
          </w:p>
        </w:tc>
        <w:tc>
          <w:tcPr>
            <w:tcW w:w="1741" w:type="dxa"/>
          </w:tcPr>
          <w:p>
            <w:pPr>
              <w:pStyle w:val="TableParagraph"/>
              <w:rPr>
                <w:b/>
                <w:sz w:val="18"/>
              </w:rPr>
            </w:pPr>
          </w:p>
          <w:p>
            <w:pPr>
              <w:pStyle w:val="TableParagraph"/>
              <w:spacing w:before="201"/>
              <w:rPr>
                <w:b/>
                <w:sz w:val="18"/>
              </w:rPr>
            </w:pPr>
          </w:p>
          <w:p>
            <w:pPr>
              <w:pStyle w:val="TableParagraph"/>
              <w:ind w:right="63"/>
              <w:jc w:val="right"/>
              <w:rPr>
                <w:b/>
                <w:sz w:val="18"/>
              </w:rPr>
            </w:pPr>
            <w:r>
              <w:rPr>
                <w:b/>
                <w:sz w:val="18"/>
              </w:rPr>
              <w:t>₡</w:t>
            </w:r>
            <w:r>
              <w:rPr>
                <w:b/>
                <w:spacing w:val="-3"/>
                <w:sz w:val="18"/>
              </w:rPr>
              <w:t> </w:t>
            </w:r>
            <w:r>
              <w:rPr>
                <w:b/>
                <w:sz w:val="18"/>
              </w:rPr>
              <w:t>10</w:t>
            </w:r>
            <w:r>
              <w:rPr>
                <w:b/>
                <w:spacing w:val="-1"/>
                <w:sz w:val="18"/>
              </w:rPr>
              <w:t> </w:t>
            </w:r>
            <w:r>
              <w:rPr>
                <w:b/>
                <w:sz w:val="18"/>
              </w:rPr>
              <w:t>784 </w:t>
            </w:r>
            <w:r>
              <w:rPr>
                <w:b/>
                <w:spacing w:val="-2"/>
                <w:sz w:val="18"/>
              </w:rPr>
              <w:t>000,00</w:t>
            </w:r>
          </w:p>
        </w:tc>
        <w:tc>
          <w:tcPr>
            <w:tcW w:w="3782" w:type="dxa"/>
          </w:tcPr>
          <w:p>
            <w:pPr>
              <w:pStyle w:val="TableParagraph"/>
              <w:spacing w:before="99"/>
              <w:ind w:left="66" w:right="123"/>
              <w:rPr>
                <w:sz w:val="18"/>
              </w:rPr>
            </w:pPr>
            <w:r>
              <w:rPr>
                <w:sz w:val="18"/>
              </w:rPr>
              <w:t>Subsidio para complementar los costos de atención de la población en los componentes: alimentación, limpieza de instalaciones y aseo personal, textiles y vestuario,</w:t>
            </w:r>
            <w:r>
              <w:rPr>
                <w:spacing w:val="-9"/>
                <w:sz w:val="18"/>
              </w:rPr>
              <w:t> </w:t>
            </w:r>
            <w:r>
              <w:rPr>
                <w:sz w:val="18"/>
              </w:rPr>
              <w:t>contratación</w:t>
            </w:r>
            <w:r>
              <w:rPr>
                <w:spacing w:val="-11"/>
                <w:sz w:val="18"/>
              </w:rPr>
              <w:t> </w:t>
            </w:r>
            <w:r>
              <w:rPr>
                <w:sz w:val="18"/>
              </w:rPr>
              <w:t>de</w:t>
            </w:r>
            <w:r>
              <w:rPr>
                <w:spacing w:val="-11"/>
                <w:sz w:val="18"/>
              </w:rPr>
              <w:t> </w:t>
            </w:r>
            <w:r>
              <w:rPr>
                <w:sz w:val="18"/>
              </w:rPr>
              <w:t>profesionales</w:t>
            </w:r>
            <w:r>
              <w:rPr>
                <w:spacing w:val="-10"/>
                <w:sz w:val="18"/>
              </w:rPr>
              <w:t> </w:t>
            </w:r>
            <w:r>
              <w:rPr>
                <w:sz w:val="18"/>
              </w:rPr>
              <w:t>por </w:t>
            </w:r>
            <w:r>
              <w:rPr>
                <w:spacing w:val="-2"/>
                <w:sz w:val="18"/>
              </w:rPr>
              <w:t>servicio.</w:t>
            </w:r>
          </w:p>
        </w:tc>
      </w:tr>
      <w:tr>
        <w:trPr>
          <w:trHeight w:val="1441" w:hRule="atLeast"/>
        </w:trPr>
        <w:tc>
          <w:tcPr>
            <w:tcW w:w="699" w:type="dxa"/>
          </w:tcPr>
          <w:p>
            <w:pPr>
              <w:pStyle w:val="TableParagraph"/>
              <w:rPr>
                <w:b/>
                <w:sz w:val="22"/>
              </w:rPr>
            </w:pPr>
          </w:p>
          <w:p>
            <w:pPr>
              <w:pStyle w:val="TableParagraph"/>
              <w:spacing w:before="89"/>
              <w:rPr>
                <w:b/>
                <w:sz w:val="22"/>
              </w:rPr>
            </w:pPr>
          </w:p>
          <w:p>
            <w:pPr>
              <w:pStyle w:val="TableParagraph"/>
              <w:ind w:left="7"/>
              <w:jc w:val="center"/>
              <w:rPr>
                <w:sz w:val="22"/>
              </w:rPr>
            </w:pPr>
            <w:r>
              <w:rPr>
                <w:spacing w:val="-5"/>
                <w:sz w:val="22"/>
              </w:rPr>
              <w:t>17</w:t>
            </w:r>
          </w:p>
        </w:tc>
        <w:tc>
          <w:tcPr>
            <w:tcW w:w="3570" w:type="dxa"/>
          </w:tcPr>
          <w:p>
            <w:pPr>
              <w:pStyle w:val="TableParagraph"/>
              <w:rPr>
                <w:b/>
                <w:sz w:val="18"/>
              </w:rPr>
            </w:pPr>
          </w:p>
          <w:p>
            <w:pPr>
              <w:pStyle w:val="TableParagraph"/>
              <w:spacing w:before="98"/>
              <w:rPr>
                <w:b/>
                <w:sz w:val="18"/>
              </w:rPr>
            </w:pPr>
          </w:p>
          <w:p>
            <w:pPr>
              <w:pStyle w:val="TableParagraph"/>
              <w:ind w:left="69"/>
              <w:rPr>
                <w:sz w:val="18"/>
              </w:rPr>
            </w:pPr>
            <w:r>
              <w:rPr>
                <w:sz w:val="18"/>
              </w:rPr>
              <w:t>Asociación</w:t>
            </w:r>
            <w:r>
              <w:rPr>
                <w:spacing w:val="-8"/>
                <w:sz w:val="18"/>
              </w:rPr>
              <w:t> </w:t>
            </w:r>
            <w:r>
              <w:rPr>
                <w:sz w:val="18"/>
              </w:rPr>
              <w:t>Para</w:t>
            </w:r>
            <w:r>
              <w:rPr>
                <w:spacing w:val="-8"/>
                <w:sz w:val="18"/>
              </w:rPr>
              <w:t> </w:t>
            </w:r>
            <w:r>
              <w:rPr>
                <w:sz w:val="18"/>
              </w:rPr>
              <w:t>el</w:t>
            </w:r>
            <w:r>
              <w:rPr>
                <w:spacing w:val="-8"/>
                <w:sz w:val="18"/>
              </w:rPr>
              <w:t> </w:t>
            </w:r>
            <w:r>
              <w:rPr>
                <w:sz w:val="18"/>
              </w:rPr>
              <w:t>rescate</w:t>
            </w:r>
            <w:r>
              <w:rPr>
                <w:spacing w:val="-8"/>
                <w:sz w:val="18"/>
              </w:rPr>
              <w:t> </w:t>
            </w:r>
            <w:r>
              <w:rPr>
                <w:sz w:val="18"/>
              </w:rPr>
              <w:t>del</w:t>
            </w:r>
            <w:r>
              <w:rPr>
                <w:spacing w:val="-10"/>
                <w:sz w:val="18"/>
              </w:rPr>
              <w:t> </w:t>
            </w:r>
            <w:r>
              <w:rPr>
                <w:sz w:val="18"/>
              </w:rPr>
              <w:t>drogadicto Camino a la Libertad</w:t>
            </w:r>
          </w:p>
        </w:tc>
        <w:tc>
          <w:tcPr>
            <w:tcW w:w="1719" w:type="dxa"/>
          </w:tcPr>
          <w:p>
            <w:pPr>
              <w:pStyle w:val="TableParagraph"/>
              <w:rPr>
                <w:b/>
                <w:sz w:val="18"/>
              </w:rPr>
            </w:pPr>
          </w:p>
          <w:p>
            <w:pPr>
              <w:pStyle w:val="TableParagraph"/>
              <w:spacing w:before="201"/>
              <w:rPr>
                <w:b/>
                <w:sz w:val="18"/>
              </w:rPr>
            </w:pPr>
          </w:p>
          <w:p>
            <w:pPr>
              <w:pStyle w:val="TableParagraph"/>
              <w:ind w:left="39" w:right="33"/>
              <w:jc w:val="center"/>
              <w:rPr>
                <w:sz w:val="18"/>
              </w:rPr>
            </w:pPr>
            <w:r>
              <w:rPr>
                <w:sz w:val="18"/>
              </w:rPr>
              <w:t>3-002-</w:t>
            </w:r>
            <w:r>
              <w:rPr>
                <w:spacing w:val="-2"/>
                <w:sz w:val="18"/>
              </w:rPr>
              <w:t>267605</w:t>
            </w:r>
          </w:p>
        </w:tc>
        <w:tc>
          <w:tcPr>
            <w:tcW w:w="1391" w:type="dxa"/>
          </w:tcPr>
          <w:p>
            <w:pPr>
              <w:pStyle w:val="TableParagraph"/>
              <w:rPr>
                <w:b/>
                <w:sz w:val="18"/>
              </w:rPr>
            </w:pPr>
          </w:p>
          <w:p>
            <w:pPr>
              <w:pStyle w:val="TableParagraph"/>
              <w:spacing w:before="201"/>
              <w:rPr>
                <w:b/>
                <w:sz w:val="18"/>
              </w:rPr>
            </w:pPr>
          </w:p>
          <w:p>
            <w:pPr>
              <w:pStyle w:val="TableParagraph"/>
              <w:ind w:left="8" w:right="8"/>
              <w:jc w:val="center"/>
              <w:rPr>
                <w:sz w:val="18"/>
              </w:rPr>
            </w:pPr>
            <w:r>
              <w:rPr>
                <w:spacing w:val="-2"/>
                <w:sz w:val="18"/>
              </w:rPr>
              <w:t>DASAI</w:t>
            </w:r>
          </w:p>
        </w:tc>
        <w:tc>
          <w:tcPr>
            <w:tcW w:w="1741" w:type="dxa"/>
          </w:tcPr>
          <w:p>
            <w:pPr>
              <w:pStyle w:val="TableParagraph"/>
              <w:rPr>
                <w:b/>
                <w:sz w:val="18"/>
              </w:rPr>
            </w:pPr>
          </w:p>
          <w:p>
            <w:pPr>
              <w:pStyle w:val="TableParagraph"/>
              <w:spacing w:before="201"/>
              <w:rPr>
                <w:b/>
                <w:sz w:val="18"/>
              </w:rPr>
            </w:pPr>
          </w:p>
          <w:p>
            <w:pPr>
              <w:pStyle w:val="TableParagraph"/>
              <w:ind w:right="63"/>
              <w:jc w:val="right"/>
              <w:rPr>
                <w:b/>
                <w:sz w:val="18"/>
              </w:rPr>
            </w:pPr>
            <w:r>
              <w:rPr>
                <w:b/>
                <w:sz w:val="18"/>
              </w:rPr>
              <w:t>₡</w:t>
            </w:r>
            <w:r>
              <w:rPr>
                <w:b/>
                <w:spacing w:val="-3"/>
                <w:sz w:val="18"/>
              </w:rPr>
              <w:t> </w:t>
            </w:r>
            <w:r>
              <w:rPr>
                <w:b/>
                <w:sz w:val="18"/>
              </w:rPr>
              <w:t>29</w:t>
            </w:r>
            <w:r>
              <w:rPr>
                <w:b/>
                <w:spacing w:val="-1"/>
                <w:sz w:val="18"/>
              </w:rPr>
              <w:t> </w:t>
            </w:r>
            <w:r>
              <w:rPr>
                <w:b/>
                <w:sz w:val="18"/>
              </w:rPr>
              <w:t>512 </w:t>
            </w:r>
            <w:r>
              <w:rPr>
                <w:b/>
                <w:spacing w:val="-2"/>
                <w:sz w:val="18"/>
              </w:rPr>
              <w:t>000,00</w:t>
            </w:r>
          </w:p>
        </w:tc>
        <w:tc>
          <w:tcPr>
            <w:tcW w:w="3782" w:type="dxa"/>
          </w:tcPr>
          <w:p>
            <w:pPr>
              <w:pStyle w:val="TableParagraph"/>
              <w:spacing w:before="99"/>
              <w:ind w:left="66" w:right="123"/>
              <w:rPr>
                <w:sz w:val="18"/>
              </w:rPr>
            </w:pPr>
            <w:r>
              <w:rPr>
                <w:sz w:val="18"/>
              </w:rPr>
              <w:t>Subsidio para complementar los costos de atención de la población en los componentes: alimentación, limpieza de instalaciones y aseo personal, textiles y vestuario,</w:t>
            </w:r>
            <w:r>
              <w:rPr>
                <w:spacing w:val="-9"/>
                <w:sz w:val="18"/>
              </w:rPr>
              <w:t> </w:t>
            </w:r>
            <w:r>
              <w:rPr>
                <w:sz w:val="18"/>
              </w:rPr>
              <w:t>contratación</w:t>
            </w:r>
            <w:r>
              <w:rPr>
                <w:spacing w:val="-11"/>
                <w:sz w:val="18"/>
              </w:rPr>
              <w:t> </w:t>
            </w:r>
            <w:r>
              <w:rPr>
                <w:sz w:val="18"/>
              </w:rPr>
              <w:t>de</w:t>
            </w:r>
            <w:r>
              <w:rPr>
                <w:spacing w:val="-11"/>
                <w:sz w:val="18"/>
              </w:rPr>
              <w:t> </w:t>
            </w:r>
            <w:r>
              <w:rPr>
                <w:sz w:val="18"/>
              </w:rPr>
              <w:t>profesionales</w:t>
            </w:r>
            <w:r>
              <w:rPr>
                <w:spacing w:val="-10"/>
                <w:sz w:val="18"/>
              </w:rPr>
              <w:t> </w:t>
            </w:r>
            <w:r>
              <w:rPr>
                <w:sz w:val="18"/>
              </w:rPr>
              <w:t>por </w:t>
            </w:r>
            <w:r>
              <w:rPr>
                <w:spacing w:val="-2"/>
                <w:sz w:val="18"/>
              </w:rPr>
              <w:t>servicio.</w:t>
            </w:r>
          </w:p>
        </w:tc>
      </w:tr>
      <w:tr>
        <w:trPr>
          <w:trHeight w:val="1440" w:hRule="atLeast"/>
        </w:trPr>
        <w:tc>
          <w:tcPr>
            <w:tcW w:w="699" w:type="dxa"/>
          </w:tcPr>
          <w:p>
            <w:pPr>
              <w:pStyle w:val="TableParagraph"/>
              <w:rPr>
                <w:b/>
                <w:sz w:val="22"/>
              </w:rPr>
            </w:pPr>
          </w:p>
          <w:p>
            <w:pPr>
              <w:pStyle w:val="TableParagraph"/>
              <w:spacing w:before="86"/>
              <w:rPr>
                <w:b/>
                <w:sz w:val="22"/>
              </w:rPr>
            </w:pPr>
          </w:p>
          <w:p>
            <w:pPr>
              <w:pStyle w:val="TableParagraph"/>
              <w:ind w:left="7"/>
              <w:jc w:val="center"/>
              <w:rPr>
                <w:sz w:val="22"/>
              </w:rPr>
            </w:pPr>
            <w:r>
              <w:rPr>
                <w:spacing w:val="-5"/>
                <w:sz w:val="22"/>
              </w:rPr>
              <w:t>18</w:t>
            </w:r>
          </w:p>
        </w:tc>
        <w:tc>
          <w:tcPr>
            <w:tcW w:w="3570" w:type="dxa"/>
          </w:tcPr>
          <w:p>
            <w:pPr>
              <w:pStyle w:val="TableParagraph"/>
              <w:rPr>
                <w:b/>
                <w:sz w:val="18"/>
              </w:rPr>
            </w:pPr>
          </w:p>
          <w:p>
            <w:pPr>
              <w:pStyle w:val="TableParagraph"/>
              <w:spacing w:before="98"/>
              <w:rPr>
                <w:b/>
                <w:sz w:val="18"/>
              </w:rPr>
            </w:pPr>
          </w:p>
          <w:p>
            <w:pPr>
              <w:pStyle w:val="TableParagraph"/>
              <w:ind w:left="69" w:right="141"/>
              <w:rPr>
                <w:sz w:val="18"/>
              </w:rPr>
            </w:pPr>
            <w:r>
              <w:rPr>
                <w:sz w:val="18"/>
              </w:rPr>
              <w:t>Asociación</w:t>
            </w:r>
            <w:r>
              <w:rPr>
                <w:spacing w:val="-10"/>
                <w:sz w:val="18"/>
              </w:rPr>
              <w:t> </w:t>
            </w:r>
            <w:r>
              <w:rPr>
                <w:sz w:val="18"/>
              </w:rPr>
              <w:t>Hogar</w:t>
            </w:r>
            <w:r>
              <w:rPr>
                <w:spacing w:val="-10"/>
                <w:sz w:val="18"/>
              </w:rPr>
              <w:t> </w:t>
            </w:r>
            <w:r>
              <w:rPr>
                <w:sz w:val="18"/>
              </w:rPr>
              <w:t>Salvando</w:t>
            </w:r>
            <w:r>
              <w:rPr>
                <w:spacing w:val="-10"/>
                <w:sz w:val="18"/>
              </w:rPr>
              <w:t> </w:t>
            </w:r>
            <w:r>
              <w:rPr>
                <w:sz w:val="18"/>
              </w:rPr>
              <w:t>al</w:t>
            </w:r>
            <w:r>
              <w:rPr>
                <w:spacing w:val="-11"/>
                <w:sz w:val="18"/>
              </w:rPr>
              <w:t> </w:t>
            </w:r>
            <w:r>
              <w:rPr>
                <w:sz w:val="18"/>
              </w:rPr>
              <w:t>Alcohólico de Desamparados</w:t>
            </w:r>
          </w:p>
        </w:tc>
        <w:tc>
          <w:tcPr>
            <w:tcW w:w="1719" w:type="dxa"/>
          </w:tcPr>
          <w:p>
            <w:pPr>
              <w:pStyle w:val="TableParagraph"/>
              <w:rPr>
                <w:b/>
                <w:sz w:val="18"/>
              </w:rPr>
            </w:pPr>
          </w:p>
          <w:p>
            <w:pPr>
              <w:pStyle w:val="TableParagraph"/>
              <w:spacing w:before="201"/>
              <w:rPr>
                <w:b/>
                <w:sz w:val="18"/>
              </w:rPr>
            </w:pPr>
          </w:p>
          <w:p>
            <w:pPr>
              <w:pStyle w:val="TableParagraph"/>
              <w:ind w:left="39" w:right="33"/>
              <w:jc w:val="center"/>
              <w:rPr>
                <w:sz w:val="18"/>
              </w:rPr>
            </w:pPr>
            <w:r>
              <w:rPr>
                <w:sz w:val="18"/>
              </w:rPr>
              <w:t>3-002-</w:t>
            </w:r>
            <w:r>
              <w:rPr>
                <w:spacing w:val="-2"/>
                <w:sz w:val="18"/>
              </w:rPr>
              <w:t>147827</w:t>
            </w:r>
          </w:p>
        </w:tc>
        <w:tc>
          <w:tcPr>
            <w:tcW w:w="1391" w:type="dxa"/>
          </w:tcPr>
          <w:p>
            <w:pPr>
              <w:pStyle w:val="TableParagraph"/>
              <w:rPr>
                <w:b/>
                <w:sz w:val="18"/>
              </w:rPr>
            </w:pPr>
          </w:p>
          <w:p>
            <w:pPr>
              <w:pStyle w:val="TableParagraph"/>
              <w:spacing w:before="201"/>
              <w:rPr>
                <w:b/>
                <w:sz w:val="18"/>
              </w:rPr>
            </w:pPr>
          </w:p>
          <w:p>
            <w:pPr>
              <w:pStyle w:val="TableParagraph"/>
              <w:ind w:left="8" w:right="8"/>
              <w:jc w:val="center"/>
              <w:rPr>
                <w:sz w:val="18"/>
              </w:rPr>
            </w:pPr>
            <w:r>
              <w:rPr>
                <w:spacing w:val="-2"/>
                <w:sz w:val="18"/>
              </w:rPr>
              <w:t>DASAI</w:t>
            </w:r>
          </w:p>
        </w:tc>
        <w:tc>
          <w:tcPr>
            <w:tcW w:w="1741" w:type="dxa"/>
          </w:tcPr>
          <w:p>
            <w:pPr>
              <w:pStyle w:val="TableParagraph"/>
              <w:rPr>
                <w:b/>
                <w:sz w:val="18"/>
              </w:rPr>
            </w:pPr>
          </w:p>
          <w:p>
            <w:pPr>
              <w:pStyle w:val="TableParagraph"/>
              <w:spacing w:before="201"/>
              <w:rPr>
                <w:b/>
                <w:sz w:val="18"/>
              </w:rPr>
            </w:pPr>
          </w:p>
          <w:p>
            <w:pPr>
              <w:pStyle w:val="TableParagraph"/>
              <w:ind w:right="63"/>
              <w:jc w:val="right"/>
              <w:rPr>
                <w:b/>
                <w:sz w:val="18"/>
              </w:rPr>
            </w:pPr>
            <w:r>
              <w:rPr>
                <w:b/>
                <w:sz w:val="18"/>
              </w:rPr>
              <w:t>₡</w:t>
            </w:r>
            <w:r>
              <w:rPr>
                <w:b/>
                <w:spacing w:val="-3"/>
                <w:sz w:val="18"/>
              </w:rPr>
              <w:t> </w:t>
            </w:r>
            <w:r>
              <w:rPr>
                <w:b/>
                <w:sz w:val="18"/>
              </w:rPr>
              <w:t>16</w:t>
            </w:r>
            <w:r>
              <w:rPr>
                <w:b/>
                <w:spacing w:val="-1"/>
                <w:sz w:val="18"/>
              </w:rPr>
              <w:t> </w:t>
            </w:r>
            <w:r>
              <w:rPr>
                <w:b/>
                <w:sz w:val="18"/>
              </w:rPr>
              <w:t>552 </w:t>
            </w:r>
            <w:r>
              <w:rPr>
                <w:b/>
                <w:spacing w:val="-2"/>
                <w:sz w:val="18"/>
              </w:rPr>
              <w:t>000,00</w:t>
            </w:r>
          </w:p>
        </w:tc>
        <w:tc>
          <w:tcPr>
            <w:tcW w:w="3782" w:type="dxa"/>
          </w:tcPr>
          <w:p>
            <w:pPr>
              <w:pStyle w:val="TableParagraph"/>
              <w:spacing w:before="97"/>
              <w:ind w:left="66" w:right="123"/>
              <w:rPr>
                <w:sz w:val="18"/>
              </w:rPr>
            </w:pPr>
            <w:r>
              <w:rPr>
                <w:sz w:val="18"/>
              </w:rPr>
              <w:t>Subsidio para complementar los costos de atención de la población en los componentes: alimentación, limpieza de instalaciones y aseo personal, textiles y vestuario,</w:t>
            </w:r>
            <w:r>
              <w:rPr>
                <w:spacing w:val="-9"/>
                <w:sz w:val="18"/>
              </w:rPr>
              <w:t> </w:t>
            </w:r>
            <w:r>
              <w:rPr>
                <w:sz w:val="18"/>
              </w:rPr>
              <w:t>contratación</w:t>
            </w:r>
            <w:r>
              <w:rPr>
                <w:spacing w:val="-11"/>
                <w:sz w:val="18"/>
              </w:rPr>
              <w:t> </w:t>
            </w:r>
            <w:r>
              <w:rPr>
                <w:sz w:val="18"/>
              </w:rPr>
              <w:t>de</w:t>
            </w:r>
            <w:r>
              <w:rPr>
                <w:spacing w:val="-11"/>
                <w:sz w:val="18"/>
              </w:rPr>
              <w:t> </w:t>
            </w:r>
            <w:r>
              <w:rPr>
                <w:sz w:val="18"/>
              </w:rPr>
              <w:t>profesionales</w:t>
            </w:r>
            <w:r>
              <w:rPr>
                <w:spacing w:val="-10"/>
                <w:sz w:val="18"/>
              </w:rPr>
              <w:t> </w:t>
            </w:r>
            <w:r>
              <w:rPr>
                <w:sz w:val="18"/>
              </w:rPr>
              <w:t>por </w:t>
            </w:r>
            <w:r>
              <w:rPr>
                <w:spacing w:val="-2"/>
                <w:sz w:val="18"/>
              </w:rPr>
              <w:t>servicio.</w:t>
            </w:r>
          </w:p>
        </w:tc>
      </w:tr>
      <w:tr>
        <w:trPr>
          <w:trHeight w:val="719" w:hRule="atLeast"/>
        </w:trPr>
        <w:tc>
          <w:tcPr>
            <w:tcW w:w="699" w:type="dxa"/>
          </w:tcPr>
          <w:p>
            <w:pPr>
              <w:pStyle w:val="TableParagraph"/>
              <w:spacing w:before="232"/>
              <w:ind w:left="7"/>
              <w:jc w:val="center"/>
              <w:rPr>
                <w:sz w:val="22"/>
              </w:rPr>
            </w:pPr>
            <w:r>
              <w:rPr>
                <w:spacing w:val="-5"/>
                <w:sz w:val="22"/>
              </w:rPr>
              <w:t>19</w:t>
            </w:r>
          </w:p>
        </w:tc>
        <w:tc>
          <w:tcPr>
            <w:tcW w:w="3570" w:type="dxa"/>
          </w:tcPr>
          <w:p>
            <w:pPr>
              <w:pStyle w:val="TableParagraph"/>
              <w:spacing w:before="152"/>
              <w:ind w:left="69" w:right="141"/>
              <w:rPr>
                <w:sz w:val="18"/>
              </w:rPr>
            </w:pPr>
            <w:r>
              <w:rPr>
                <w:sz w:val="18"/>
              </w:rPr>
              <w:t>Asociación</w:t>
            </w:r>
            <w:r>
              <w:rPr>
                <w:spacing w:val="-13"/>
                <w:sz w:val="18"/>
              </w:rPr>
              <w:t> </w:t>
            </w:r>
            <w:r>
              <w:rPr>
                <w:sz w:val="18"/>
              </w:rPr>
              <w:t>Meta</w:t>
            </w:r>
            <w:r>
              <w:rPr>
                <w:spacing w:val="-12"/>
                <w:sz w:val="18"/>
              </w:rPr>
              <w:t> </w:t>
            </w:r>
            <w:r>
              <w:rPr>
                <w:sz w:val="18"/>
              </w:rPr>
              <w:t>Método</w:t>
            </w:r>
            <w:r>
              <w:rPr>
                <w:spacing w:val="-13"/>
                <w:sz w:val="18"/>
              </w:rPr>
              <w:t> </w:t>
            </w:r>
            <w:r>
              <w:rPr>
                <w:sz w:val="18"/>
              </w:rPr>
              <w:t>Especializado para el tratamiento de adicciones</w:t>
            </w:r>
          </w:p>
        </w:tc>
        <w:tc>
          <w:tcPr>
            <w:tcW w:w="1719" w:type="dxa"/>
          </w:tcPr>
          <w:p>
            <w:pPr>
              <w:pStyle w:val="TableParagraph"/>
              <w:spacing w:before="48"/>
              <w:rPr>
                <w:b/>
                <w:sz w:val="18"/>
              </w:rPr>
            </w:pPr>
          </w:p>
          <w:p>
            <w:pPr>
              <w:pStyle w:val="TableParagraph"/>
              <w:ind w:left="39" w:right="33"/>
              <w:jc w:val="center"/>
              <w:rPr>
                <w:sz w:val="18"/>
              </w:rPr>
            </w:pPr>
            <w:r>
              <w:rPr>
                <w:sz w:val="18"/>
              </w:rPr>
              <w:t>3-002-</w:t>
            </w:r>
            <w:r>
              <w:rPr>
                <w:spacing w:val="-2"/>
                <w:sz w:val="18"/>
              </w:rPr>
              <w:t>841432</w:t>
            </w:r>
          </w:p>
        </w:tc>
        <w:tc>
          <w:tcPr>
            <w:tcW w:w="1391" w:type="dxa"/>
          </w:tcPr>
          <w:p>
            <w:pPr>
              <w:pStyle w:val="TableParagraph"/>
              <w:spacing w:before="48"/>
              <w:rPr>
                <w:b/>
                <w:sz w:val="18"/>
              </w:rPr>
            </w:pPr>
          </w:p>
          <w:p>
            <w:pPr>
              <w:pStyle w:val="TableParagraph"/>
              <w:ind w:left="8" w:right="8"/>
              <w:jc w:val="center"/>
              <w:rPr>
                <w:sz w:val="18"/>
              </w:rPr>
            </w:pPr>
            <w:r>
              <w:rPr>
                <w:spacing w:val="-2"/>
                <w:sz w:val="18"/>
              </w:rPr>
              <w:t>DASAI</w:t>
            </w:r>
          </w:p>
        </w:tc>
        <w:tc>
          <w:tcPr>
            <w:tcW w:w="1741" w:type="dxa"/>
          </w:tcPr>
          <w:p>
            <w:pPr>
              <w:pStyle w:val="TableParagraph"/>
              <w:spacing w:before="48"/>
              <w:rPr>
                <w:b/>
                <w:sz w:val="18"/>
              </w:rPr>
            </w:pPr>
          </w:p>
          <w:p>
            <w:pPr>
              <w:pStyle w:val="TableParagraph"/>
              <w:ind w:right="63"/>
              <w:jc w:val="right"/>
              <w:rPr>
                <w:b/>
                <w:sz w:val="18"/>
              </w:rPr>
            </w:pPr>
            <w:r>
              <w:rPr>
                <w:b/>
                <w:sz w:val="18"/>
              </w:rPr>
              <w:t>₡ 1 440</w:t>
            </w:r>
            <w:r>
              <w:rPr>
                <w:b/>
                <w:spacing w:val="-2"/>
                <w:sz w:val="18"/>
              </w:rPr>
              <w:t> 000,00</w:t>
            </w:r>
          </w:p>
        </w:tc>
        <w:tc>
          <w:tcPr>
            <w:tcW w:w="3782" w:type="dxa"/>
          </w:tcPr>
          <w:p>
            <w:pPr>
              <w:pStyle w:val="TableParagraph"/>
              <w:spacing w:before="49"/>
              <w:ind w:left="66" w:right="123"/>
              <w:rPr>
                <w:sz w:val="18"/>
              </w:rPr>
            </w:pPr>
            <w:r>
              <w:rPr>
                <w:sz w:val="18"/>
              </w:rPr>
              <w:t>Subsidio</w:t>
            </w:r>
            <w:r>
              <w:rPr>
                <w:spacing w:val="-9"/>
                <w:sz w:val="18"/>
              </w:rPr>
              <w:t> </w:t>
            </w:r>
            <w:r>
              <w:rPr>
                <w:sz w:val="18"/>
              </w:rPr>
              <w:t>para</w:t>
            </w:r>
            <w:r>
              <w:rPr>
                <w:spacing w:val="-9"/>
                <w:sz w:val="18"/>
              </w:rPr>
              <w:t> </w:t>
            </w:r>
            <w:r>
              <w:rPr>
                <w:sz w:val="18"/>
              </w:rPr>
              <w:t>complementar</w:t>
            </w:r>
            <w:r>
              <w:rPr>
                <w:spacing w:val="-9"/>
                <w:sz w:val="18"/>
              </w:rPr>
              <w:t> </w:t>
            </w:r>
            <w:r>
              <w:rPr>
                <w:sz w:val="18"/>
              </w:rPr>
              <w:t>los</w:t>
            </w:r>
            <w:r>
              <w:rPr>
                <w:spacing w:val="-7"/>
                <w:sz w:val="18"/>
              </w:rPr>
              <w:t> </w:t>
            </w:r>
            <w:r>
              <w:rPr>
                <w:sz w:val="18"/>
              </w:rPr>
              <w:t>costos</w:t>
            </w:r>
            <w:r>
              <w:rPr>
                <w:spacing w:val="-8"/>
                <w:sz w:val="18"/>
              </w:rPr>
              <w:t> </w:t>
            </w:r>
            <w:r>
              <w:rPr>
                <w:sz w:val="18"/>
              </w:rPr>
              <w:t>de atención de la población contratación de profesionales por servicio.</w:t>
            </w:r>
          </w:p>
        </w:tc>
      </w:tr>
      <w:tr>
        <w:trPr>
          <w:trHeight w:val="1440" w:hRule="atLeast"/>
        </w:trPr>
        <w:tc>
          <w:tcPr>
            <w:tcW w:w="699" w:type="dxa"/>
          </w:tcPr>
          <w:p>
            <w:pPr>
              <w:pStyle w:val="TableParagraph"/>
              <w:rPr>
                <w:b/>
                <w:sz w:val="22"/>
              </w:rPr>
            </w:pPr>
          </w:p>
          <w:p>
            <w:pPr>
              <w:pStyle w:val="TableParagraph"/>
              <w:spacing w:before="86"/>
              <w:rPr>
                <w:b/>
                <w:sz w:val="22"/>
              </w:rPr>
            </w:pPr>
          </w:p>
          <w:p>
            <w:pPr>
              <w:pStyle w:val="TableParagraph"/>
              <w:ind w:left="7"/>
              <w:jc w:val="center"/>
              <w:rPr>
                <w:sz w:val="22"/>
              </w:rPr>
            </w:pPr>
            <w:r>
              <w:rPr>
                <w:spacing w:val="-5"/>
                <w:sz w:val="22"/>
              </w:rPr>
              <w:t>20</w:t>
            </w:r>
          </w:p>
        </w:tc>
        <w:tc>
          <w:tcPr>
            <w:tcW w:w="3570" w:type="dxa"/>
          </w:tcPr>
          <w:p>
            <w:pPr>
              <w:pStyle w:val="TableParagraph"/>
              <w:rPr>
                <w:b/>
                <w:sz w:val="18"/>
              </w:rPr>
            </w:pPr>
          </w:p>
          <w:p>
            <w:pPr>
              <w:pStyle w:val="TableParagraph"/>
              <w:spacing w:before="98"/>
              <w:rPr>
                <w:b/>
                <w:sz w:val="18"/>
              </w:rPr>
            </w:pPr>
          </w:p>
          <w:p>
            <w:pPr>
              <w:pStyle w:val="TableParagraph"/>
              <w:ind w:left="69" w:right="141"/>
              <w:rPr>
                <w:sz w:val="18"/>
              </w:rPr>
            </w:pPr>
            <w:r>
              <w:rPr>
                <w:sz w:val="18"/>
              </w:rPr>
              <w:t>Asociación Hogar Salvando al alcohólico de</w:t>
            </w:r>
            <w:r>
              <w:rPr>
                <w:spacing w:val="-10"/>
                <w:sz w:val="18"/>
              </w:rPr>
              <w:t> </w:t>
            </w:r>
            <w:r>
              <w:rPr>
                <w:sz w:val="18"/>
              </w:rPr>
              <w:t>Curridabat</w:t>
            </w:r>
            <w:r>
              <w:rPr>
                <w:spacing w:val="-10"/>
                <w:sz w:val="18"/>
              </w:rPr>
              <w:t> </w:t>
            </w:r>
            <w:r>
              <w:rPr>
                <w:sz w:val="18"/>
              </w:rPr>
              <w:t>Enrique</w:t>
            </w:r>
            <w:r>
              <w:rPr>
                <w:spacing w:val="-10"/>
                <w:sz w:val="18"/>
              </w:rPr>
              <w:t> </w:t>
            </w:r>
            <w:r>
              <w:rPr>
                <w:sz w:val="18"/>
              </w:rPr>
              <w:t>Amador</w:t>
            </w:r>
            <w:r>
              <w:rPr>
                <w:spacing w:val="-12"/>
                <w:sz w:val="18"/>
              </w:rPr>
              <w:t> </w:t>
            </w:r>
            <w:r>
              <w:rPr>
                <w:sz w:val="18"/>
              </w:rPr>
              <w:t>Céspedes</w:t>
            </w:r>
          </w:p>
        </w:tc>
        <w:tc>
          <w:tcPr>
            <w:tcW w:w="1719" w:type="dxa"/>
          </w:tcPr>
          <w:p>
            <w:pPr>
              <w:pStyle w:val="TableParagraph"/>
              <w:rPr>
                <w:b/>
                <w:sz w:val="18"/>
              </w:rPr>
            </w:pPr>
          </w:p>
          <w:p>
            <w:pPr>
              <w:pStyle w:val="TableParagraph"/>
              <w:spacing w:before="201"/>
              <w:rPr>
                <w:b/>
                <w:sz w:val="18"/>
              </w:rPr>
            </w:pPr>
          </w:p>
          <w:p>
            <w:pPr>
              <w:pStyle w:val="TableParagraph"/>
              <w:ind w:left="39" w:right="33"/>
              <w:jc w:val="center"/>
              <w:rPr>
                <w:sz w:val="18"/>
              </w:rPr>
            </w:pPr>
            <w:r>
              <w:rPr>
                <w:sz w:val="18"/>
              </w:rPr>
              <w:t>3-002-</w:t>
            </w:r>
            <w:r>
              <w:rPr>
                <w:spacing w:val="-2"/>
                <w:sz w:val="18"/>
              </w:rPr>
              <w:t>197992</w:t>
            </w:r>
          </w:p>
        </w:tc>
        <w:tc>
          <w:tcPr>
            <w:tcW w:w="1391" w:type="dxa"/>
          </w:tcPr>
          <w:p>
            <w:pPr>
              <w:pStyle w:val="TableParagraph"/>
              <w:rPr>
                <w:b/>
                <w:sz w:val="18"/>
              </w:rPr>
            </w:pPr>
          </w:p>
          <w:p>
            <w:pPr>
              <w:pStyle w:val="TableParagraph"/>
              <w:spacing w:before="201"/>
              <w:rPr>
                <w:b/>
                <w:sz w:val="18"/>
              </w:rPr>
            </w:pPr>
          </w:p>
          <w:p>
            <w:pPr>
              <w:pStyle w:val="TableParagraph"/>
              <w:ind w:left="8" w:right="8"/>
              <w:jc w:val="center"/>
              <w:rPr>
                <w:sz w:val="18"/>
              </w:rPr>
            </w:pPr>
            <w:r>
              <w:rPr>
                <w:spacing w:val="-2"/>
                <w:sz w:val="18"/>
              </w:rPr>
              <w:t>DASAI</w:t>
            </w:r>
          </w:p>
        </w:tc>
        <w:tc>
          <w:tcPr>
            <w:tcW w:w="1741" w:type="dxa"/>
          </w:tcPr>
          <w:p>
            <w:pPr>
              <w:pStyle w:val="TableParagraph"/>
              <w:rPr>
                <w:b/>
                <w:sz w:val="18"/>
              </w:rPr>
            </w:pPr>
          </w:p>
          <w:p>
            <w:pPr>
              <w:pStyle w:val="TableParagraph"/>
              <w:spacing w:before="201"/>
              <w:rPr>
                <w:b/>
                <w:sz w:val="18"/>
              </w:rPr>
            </w:pPr>
          </w:p>
          <w:p>
            <w:pPr>
              <w:pStyle w:val="TableParagraph"/>
              <w:ind w:right="63"/>
              <w:jc w:val="right"/>
              <w:rPr>
                <w:b/>
                <w:sz w:val="18"/>
              </w:rPr>
            </w:pPr>
            <w:r>
              <w:rPr>
                <w:b/>
                <w:sz w:val="18"/>
              </w:rPr>
              <w:t>₡ 8 574</w:t>
            </w:r>
            <w:r>
              <w:rPr>
                <w:b/>
                <w:spacing w:val="-2"/>
                <w:sz w:val="18"/>
              </w:rPr>
              <w:t> 291,00</w:t>
            </w:r>
          </w:p>
        </w:tc>
        <w:tc>
          <w:tcPr>
            <w:tcW w:w="3782" w:type="dxa"/>
          </w:tcPr>
          <w:p>
            <w:pPr>
              <w:pStyle w:val="TableParagraph"/>
              <w:spacing w:before="97"/>
              <w:ind w:left="66" w:right="123"/>
              <w:rPr>
                <w:sz w:val="18"/>
              </w:rPr>
            </w:pPr>
            <w:r>
              <w:rPr>
                <w:sz w:val="18"/>
              </w:rPr>
              <w:t>Subsidio para complementar los costos de atención de la población en los componentes: alimentación, limpieza de instalaciones y aseo personal, textiles y vestuario,</w:t>
            </w:r>
            <w:r>
              <w:rPr>
                <w:spacing w:val="-9"/>
                <w:sz w:val="18"/>
              </w:rPr>
              <w:t> </w:t>
            </w:r>
            <w:r>
              <w:rPr>
                <w:sz w:val="18"/>
              </w:rPr>
              <w:t>contratación</w:t>
            </w:r>
            <w:r>
              <w:rPr>
                <w:spacing w:val="-11"/>
                <w:sz w:val="18"/>
              </w:rPr>
              <w:t> </w:t>
            </w:r>
            <w:r>
              <w:rPr>
                <w:sz w:val="18"/>
              </w:rPr>
              <w:t>de</w:t>
            </w:r>
            <w:r>
              <w:rPr>
                <w:spacing w:val="-11"/>
                <w:sz w:val="18"/>
              </w:rPr>
              <w:t> </w:t>
            </w:r>
            <w:r>
              <w:rPr>
                <w:sz w:val="18"/>
              </w:rPr>
              <w:t>profesionales</w:t>
            </w:r>
            <w:r>
              <w:rPr>
                <w:spacing w:val="-10"/>
                <w:sz w:val="18"/>
              </w:rPr>
              <w:t> </w:t>
            </w:r>
            <w:r>
              <w:rPr>
                <w:sz w:val="18"/>
              </w:rPr>
              <w:t>por </w:t>
            </w:r>
            <w:r>
              <w:rPr>
                <w:spacing w:val="-2"/>
                <w:sz w:val="18"/>
              </w:rPr>
              <w:t>servicio.</w:t>
            </w:r>
          </w:p>
        </w:tc>
      </w:tr>
    </w:tbl>
    <w:p>
      <w:pPr>
        <w:pStyle w:val="TableParagraph"/>
        <w:spacing w:after="0"/>
        <w:rPr>
          <w:sz w:val="18"/>
        </w:rPr>
        <w:sectPr>
          <w:pgSz w:w="15840" w:h="12240" w:orient="landscape"/>
          <w:pgMar w:header="0" w:footer="2404" w:top="1380" w:bottom="2600" w:left="1080" w:right="1440"/>
        </w:sectPr>
      </w:pPr>
    </w:p>
    <w:p>
      <w:pPr>
        <w:pStyle w:val="BodyText"/>
        <w:spacing w:before="7" w:after="1"/>
        <w:rPr>
          <w:b/>
          <w:sz w:val="15"/>
        </w:rPr>
      </w:pPr>
    </w:p>
    <w:tbl>
      <w:tblPr>
        <w:tblW w:w="0" w:type="auto"/>
        <w:jc w:val="left"/>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9"/>
        <w:gridCol w:w="3570"/>
        <w:gridCol w:w="1719"/>
        <w:gridCol w:w="1391"/>
        <w:gridCol w:w="1741"/>
        <w:gridCol w:w="3782"/>
      </w:tblGrid>
      <w:tr>
        <w:trPr>
          <w:trHeight w:val="1228" w:hRule="atLeast"/>
        </w:trPr>
        <w:tc>
          <w:tcPr>
            <w:tcW w:w="699" w:type="dxa"/>
            <w:shd w:val="clear" w:color="auto" w:fill="0A2F40"/>
          </w:tcPr>
          <w:p>
            <w:pPr>
              <w:pStyle w:val="TableParagraph"/>
              <w:rPr>
                <w:rFonts w:ascii="Times New Roman"/>
                <w:sz w:val="18"/>
              </w:rPr>
            </w:pPr>
          </w:p>
        </w:tc>
        <w:tc>
          <w:tcPr>
            <w:tcW w:w="3570" w:type="dxa"/>
            <w:shd w:val="clear" w:color="auto" w:fill="0A2F40"/>
          </w:tcPr>
          <w:p>
            <w:pPr>
              <w:pStyle w:val="TableParagraph"/>
              <w:rPr>
                <w:b/>
                <w:sz w:val="18"/>
              </w:rPr>
            </w:pPr>
          </w:p>
          <w:p>
            <w:pPr>
              <w:pStyle w:val="TableParagraph"/>
              <w:spacing w:before="96"/>
              <w:rPr>
                <w:b/>
                <w:sz w:val="18"/>
              </w:rPr>
            </w:pPr>
          </w:p>
          <w:p>
            <w:pPr>
              <w:pStyle w:val="TableParagraph"/>
              <w:ind w:left="222"/>
              <w:rPr>
                <w:b/>
                <w:sz w:val="18"/>
              </w:rPr>
            </w:pPr>
            <w:r>
              <w:rPr>
                <w:b/>
                <w:color w:val="FFFFFF"/>
                <w:sz w:val="18"/>
              </w:rPr>
              <w:t>Nombre</w:t>
            </w:r>
            <w:r>
              <w:rPr>
                <w:b/>
                <w:color w:val="FFFFFF"/>
                <w:spacing w:val="-2"/>
                <w:sz w:val="18"/>
              </w:rPr>
              <w:t> </w:t>
            </w:r>
            <w:r>
              <w:rPr>
                <w:b/>
                <w:color w:val="FFFFFF"/>
                <w:sz w:val="18"/>
              </w:rPr>
              <w:t>completo</w:t>
            </w:r>
            <w:r>
              <w:rPr>
                <w:b/>
                <w:color w:val="FFFFFF"/>
                <w:spacing w:val="-4"/>
                <w:sz w:val="18"/>
              </w:rPr>
              <w:t> </w:t>
            </w:r>
            <w:r>
              <w:rPr>
                <w:b/>
                <w:color w:val="FFFFFF"/>
                <w:sz w:val="18"/>
              </w:rPr>
              <w:t>del</w:t>
            </w:r>
            <w:r>
              <w:rPr>
                <w:b/>
                <w:color w:val="FFFFFF"/>
                <w:spacing w:val="-3"/>
                <w:sz w:val="18"/>
              </w:rPr>
              <w:t> </w:t>
            </w:r>
            <w:r>
              <w:rPr>
                <w:b/>
                <w:color w:val="FFFFFF"/>
                <w:sz w:val="18"/>
              </w:rPr>
              <w:t>sujeto</w:t>
            </w:r>
            <w:r>
              <w:rPr>
                <w:b/>
                <w:color w:val="FFFFFF"/>
                <w:spacing w:val="-3"/>
                <w:sz w:val="18"/>
              </w:rPr>
              <w:t> </w:t>
            </w:r>
            <w:r>
              <w:rPr>
                <w:b/>
                <w:color w:val="FFFFFF"/>
                <w:spacing w:val="-2"/>
                <w:sz w:val="18"/>
              </w:rPr>
              <w:t>privado</w:t>
            </w:r>
          </w:p>
        </w:tc>
        <w:tc>
          <w:tcPr>
            <w:tcW w:w="1719" w:type="dxa"/>
            <w:shd w:val="clear" w:color="auto" w:fill="0A2F40"/>
          </w:tcPr>
          <w:p>
            <w:pPr>
              <w:pStyle w:val="TableParagraph"/>
              <w:spacing w:before="199"/>
              <w:rPr>
                <w:b/>
                <w:sz w:val="18"/>
              </w:rPr>
            </w:pPr>
          </w:p>
          <w:p>
            <w:pPr>
              <w:pStyle w:val="TableParagraph"/>
              <w:spacing w:before="1"/>
              <w:ind w:left="510" w:hanging="233"/>
              <w:rPr>
                <w:b/>
                <w:sz w:val="18"/>
              </w:rPr>
            </w:pPr>
            <w:r>
              <w:rPr>
                <w:b/>
                <w:color w:val="FFFFFF"/>
                <w:sz w:val="18"/>
              </w:rPr>
              <w:t>N.º</w:t>
            </w:r>
            <w:r>
              <w:rPr>
                <w:b/>
                <w:color w:val="FFFFFF"/>
                <w:spacing w:val="-15"/>
                <w:sz w:val="18"/>
              </w:rPr>
              <w:t> </w:t>
            </w:r>
            <w:r>
              <w:rPr>
                <w:b/>
                <w:color w:val="FFFFFF"/>
                <w:sz w:val="18"/>
              </w:rPr>
              <w:t>de</w:t>
            </w:r>
            <w:r>
              <w:rPr>
                <w:b/>
                <w:color w:val="FFFFFF"/>
                <w:spacing w:val="-12"/>
                <w:sz w:val="18"/>
              </w:rPr>
              <w:t> </w:t>
            </w:r>
            <w:r>
              <w:rPr>
                <w:b/>
                <w:color w:val="FFFFFF"/>
                <w:sz w:val="18"/>
              </w:rPr>
              <w:t>Cédula </w:t>
            </w:r>
            <w:r>
              <w:rPr>
                <w:b/>
                <w:color w:val="FFFFFF"/>
                <w:spacing w:val="-2"/>
                <w:sz w:val="18"/>
              </w:rPr>
              <w:t>Jurídica</w:t>
            </w:r>
          </w:p>
        </w:tc>
        <w:tc>
          <w:tcPr>
            <w:tcW w:w="1391" w:type="dxa"/>
            <w:shd w:val="clear" w:color="auto" w:fill="0A2F40"/>
          </w:tcPr>
          <w:p>
            <w:pPr>
              <w:pStyle w:val="TableParagraph"/>
              <w:spacing w:before="199"/>
              <w:rPr>
                <w:b/>
                <w:sz w:val="18"/>
              </w:rPr>
            </w:pPr>
          </w:p>
          <w:p>
            <w:pPr>
              <w:pStyle w:val="TableParagraph"/>
              <w:spacing w:before="1"/>
              <w:ind w:left="281" w:firstLine="103"/>
              <w:rPr>
                <w:b/>
                <w:sz w:val="18"/>
              </w:rPr>
            </w:pPr>
            <w:r>
              <w:rPr>
                <w:b/>
                <w:color w:val="FFFFFF"/>
                <w:spacing w:val="-2"/>
                <w:sz w:val="18"/>
              </w:rPr>
              <w:t>Unidad Ejecutora</w:t>
            </w:r>
          </w:p>
        </w:tc>
        <w:tc>
          <w:tcPr>
            <w:tcW w:w="1741" w:type="dxa"/>
            <w:shd w:val="clear" w:color="auto" w:fill="0A2F40"/>
          </w:tcPr>
          <w:p>
            <w:pPr>
              <w:pStyle w:val="TableParagraph"/>
              <w:spacing w:before="199"/>
              <w:rPr>
                <w:b/>
                <w:sz w:val="18"/>
              </w:rPr>
            </w:pPr>
          </w:p>
          <w:p>
            <w:pPr>
              <w:pStyle w:val="TableParagraph"/>
              <w:spacing w:before="1"/>
              <w:ind w:left="470" w:hanging="305"/>
              <w:rPr>
                <w:b/>
                <w:sz w:val="18"/>
              </w:rPr>
            </w:pPr>
            <w:r>
              <w:rPr>
                <w:b/>
                <w:color w:val="FFFFFF"/>
                <w:sz w:val="18"/>
              </w:rPr>
              <w:t>Monto</w:t>
            </w:r>
            <w:r>
              <w:rPr>
                <w:b/>
                <w:color w:val="FFFFFF"/>
                <w:spacing w:val="-15"/>
                <w:sz w:val="18"/>
              </w:rPr>
              <w:t> </w:t>
            </w:r>
            <w:r>
              <w:rPr>
                <w:b/>
                <w:color w:val="FFFFFF"/>
                <w:sz w:val="18"/>
              </w:rPr>
              <w:t>total</w:t>
            </w:r>
            <w:r>
              <w:rPr>
                <w:b/>
                <w:color w:val="FFFFFF"/>
                <w:spacing w:val="-12"/>
                <w:sz w:val="18"/>
              </w:rPr>
              <w:t> </w:t>
            </w:r>
            <w:r>
              <w:rPr>
                <w:b/>
                <w:color w:val="FFFFFF"/>
                <w:sz w:val="18"/>
              </w:rPr>
              <w:t>para </w:t>
            </w:r>
            <w:r>
              <w:rPr>
                <w:b/>
                <w:color w:val="FFFFFF"/>
                <w:spacing w:val="-2"/>
                <w:sz w:val="18"/>
              </w:rPr>
              <w:t>transferir</w:t>
            </w:r>
          </w:p>
        </w:tc>
        <w:tc>
          <w:tcPr>
            <w:tcW w:w="3782" w:type="dxa"/>
            <w:shd w:val="clear" w:color="auto" w:fill="0A2F40"/>
          </w:tcPr>
          <w:p>
            <w:pPr>
              <w:pStyle w:val="TableParagraph"/>
              <w:spacing w:before="199"/>
              <w:rPr>
                <w:b/>
                <w:sz w:val="18"/>
              </w:rPr>
            </w:pPr>
          </w:p>
          <w:p>
            <w:pPr>
              <w:pStyle w:val="TableParagraph"/>
              <w:spacing w:before="1"/>
              <w:ind w:left="66" w:right="123"/>
              <w:rPr>
                <w:b/>
                <w:sz w:val="18"/>
              </w:rPr>
            </w:pPr>
            <w:r>
              <w:rPr>
                <w:b/>
                <w:color w:val="FFFFFF"/>
                <w:sz w:val="18"/>
              </w:rPr>
              <w:t>Descripción</w:t>
            </w:r>
            <w:r>
              <w:rPr>
                <w:b/>
                <w:color w:val="FFFFFF"/>
                <w:spacing w:val="-6"/>
                <w:sz w:val="18"/>
              </w:rPr>
              <w:t> </w:t>
            </w:r>
            <w:r>
              <w:rPr>
                <w:b/>
                <w:color w:val="FFFFFF"/>
                <w:sz w:val="18"/>
              </w:rPr>
              <w:t>de</w:t>
            </w:r>
            <w:r>
              <w:rPr>
                <w:b/>
                <w:color w:val="FFFFFF"/>
                <w:spacing w:val="-8"/>
                <w:sz w:val="18"/>
              </w:rPr>
              <w:t> </w:t>
            </w:r>
            <w:r>
              <w:rPr>
                <w:b/>
                <w:color w:val="FFFFFF"/>
                <w:sz w:val="18"/>
              </w:rPr>
              <w:t>la</w:t>
            </w:r>
            <w:r>
              <w:rPr>
                <w:b/>
                <w:color w:val="FFFFFF"/>
                <w:spacing w:val="-6"/>
                <w:sz w:val="18"/>
              </w:rPr>
              <w:t> </w:t>
            </w:r>
            <w:r>
              <w:rPr>
                <w:b/>
                <w:color w:val="FFFFFF"/>
                <w:sz w:val="18"/>
              </w:rPr>
              <w:t>Finalidad</w:t>
            </w:r>
            <w:r>
              <w:rPr>
                <w:b/>
                <w:color w:val="FFFFFF"/>
                <w:spacing w:val="-6"/>
                <w:sz w:val="18"/>
              </w:rPr>
              <w:t> </w:t>
            </w:r>
            <w:r>
              <w:rPr>
                <w:b/>
                <w:color w:val="FFFFFF"/>
                <w:sz w:val="18"/>
              </w:rPr>
              <w:t>(detalle</w:t>
            </w:r>
            <w:r>
              <w:rPr>
                <w:b/>
                <w:color w:val="FFFFFF"/>
                <w:spacing w:val="-8"/>
                <w:sz w:val="18"/>
              </w:rPr>
              <w:t> </w:t>
            </w:r>
            <w:r>
              <w:rPr>
                <w:b/>
                <w:color w:val="FFFFFF"/>
                <w:sz w:val="18"/>
              </w:rPr>
              <w:t>el</w:t>
            </w:r>
            <w:r>
              <w:rPr>
                <w:b/>
                <w:color w:val="FFFFFF"/>
                <w:spacing w:val="-6"/>
                <w:sz w:val="18"/>
              </w:rPr>
              <w:t> </w:t>
            </w:r>
            <w:r>
              <w:rPr>
                <w:b/>
                <w:color w:val="FFFFFF"/>
                <w:sz w:val="18"/>
              </w:rPr>
              <w:t>uso del beneficio)</w:t>
            </w:r>
          </w:p>
        </w:tc>
      </w:tr>
      <w:tr>
        <w:trPr>
          <w:trHeight w:val="1243" w:hRule="atLeast"/>
        </w:trPr>
        <w:tc>
          <w:tcPr>
            <w:tcW w:w="699" w:type="dxa"/>
          </w:tcPr>
          <w:p>
            <w:pPr>
              <w:pStyle w:val="TableParagraph"/>
              <w:spacing w:before="241"/>
              <w:rPr>
                <w:b/>
                <w:sz w:val="22"/>
              </w:rPr>
            </w:pPr>
          </w:p>
          <w:p>
            <w:pPr>
              <w:pStyle w:val="TableParagraph"/>
              <w:ind w:left="7"/>
              <w:jc w:val="center"/>
              <w:rPr>
                <w:sz w:val="22"/>
              </w:rPr>
            </w:pPr>
            <w:r>
              <w:rPr>
                <w:spacing w:val="-5"/>
                <w:sz w:val="22"/>
              </w:rPr>
              <w:t>21</w:t>
            </w:r>
          </w:p>
        </w:tc>
        <w:tc>
          <w:tcPr>
            <w:tcW w:w="3570" w:type="dxa"/>
          </w:tcPr>
          <w:p>
            <w:pPr>
              <w:pStyle w:val="TableParagraph"/>
              <w:rPr>
                <w:b/>
                <w:sz w:val="18"/>
              </w:rPr>
            </w:pPr>
          </w:p>
          <w:p>
            <w:pPr>
              <w:pStyle w:val="TableParagraph"/>
              <w:rPr>
                <w:b/>
                <w:sz w:val="18"/>
              </w:rPr>
            </w:pPr>
          </w:p>
          <w:p>
            <w:pPr>
              <w:pStyle w:val="TableParagraph"/>
              <w:spacing w:line="207" w:lineRule="exact"/>
              <w:ind w:left="105"/>
              <w:rPr>
                <w:sz w:val="18"/>
              </w:rPr>
            </w:pPr>
            <w:r>
              <w:rPr>
                <w:sz w:val="18"/>
              </w:rPr>
              <w:t>Asociación</w:t>
            </w:r>
            <w:r>
              <w:rPr>
                <w:spacing w:val="-4"/>
                <w:sz w:val="18"/>
              </w:rPr>
              <w:t> </w:t>
            </w:r>
            <w:r>
              <w:rPr>
                <w:sz w:val="18"/>
              </w:rPr>
              <w:t>Autogestores</w:t>
            </w:r>
            <w:r>
              <w:rPr>
                <w:spacing w:val="-5"/>
                <w:sz w:val="18"/>
              </w:rPr>
              <w:t> </w:t>
            </w:r>
            <w:r>
              <w:rPr>
                <w:sz w:val="18"/>
              </w:rPr>
              <w:t>para</w:t>
            </w:r>
            <w:r>
              <w:rPr>
                <w:spacing w:val="-4"/>
                <w:sz w:val="18"/>
              </w:rPr>
              <w:t> </w:t>
            </w:r>
            <w:r>
              <w:rPr>
                <w:sz w:val="18"/>
              </w:rPr>
              <w:t>la</w:t>
            </w:r>
            <w:r>
              <w:rPr>
                <w:spacing w:val="-4"/>
                <w:sz w:val="18"/>
              </w:rPr>
              <w:t> </w:t>
            </w:r>
            <w:r>
              <w:rPr>
                <w:sz w:val="18"/>
              </w:rPr>
              <w:t>Salud</w:t>
            </w:r>
            <w:r>
              <w:rPr>
                <w:spacing w:val="-4"/>
                <w:sz w:val="18"/>
              </w:rPr>
              <w:t> </w:t>
            </w:r>
            <w:r>
              <w:rPr>
                <w:spacing w:val="-5"/>
                <w:sz w:val="18"/>
              </w:rPr>
              <w:t>de</w:t>
            </w:r>
          </w:p>
          <w:p>
            <w:pPr>
              <w:pStyle w:val="TableParagraph"/>
              <w:spacing w:line="207" w:lineRule="exact"/>
              <w:ind w:left="69"/>
              <w:rPr>
                <w:sz w:val="18"/>
              </w:rPr>
            </w:pPr>
            <w:r>
              <w:rPr>
                <w:spacing w:val="-2"/>
                <w:sz w:val="18"/>
              </w:rPr>
              <w:t>Coronado</w:t>
            </w:r>
          </w:p>
        </w:tc>
        <w:tc>
          <w:tcPr>
            <w:tcW w:w="1719" w:type="dxa"/>
          </w:tcPr>
          <w:p>
            <w:pPr>
              <w:pStyle w:val="TableParagraph"/>
              <w:rPr>
                <w:b/>
                <w:sz w:val="18"/>
              </w:rPr>
            </w:pPr>
          </w:p>
          <w:p>
            <w:pPr>
              <w:pStyle w:val="TableParagraph"/>
              <w:spacing w:before="103"/>
              <w:rPr>
                <w:b/>
                <w:sz w:val="18"/>
              </w:rPr>
            </w:pPr>
          </w:p>
          <w:p>
            <w:pPr>
              <w:pStyle w:val="TableParagraph"/>
              <w:ind w:left="39"/>
              <w:jc w:val="center"/>
              <w:rPr>
                <w:sz w:val="18"/>
              </w:rPr>
            </w:pPr>
            <w:r>
              <w:rPr>
                <w:sz w:val="18"/>
              </w:rPr>
              <w:t>3-002-</w:t>
            </w:r>
            <w:r>
              <w:rPr>
                <w:spacing w:val="-2"/>
                <w:sz w:val="18"/>
              </w:rPr>
              <w:t>188035</w:t>
            </w:r>
          </w:p>
        </w:tc>
        <w:tc>
          <w:tcPr>
            <w:tcW w:w="1391" w:type="dxa"/>
          </w:tcPr>
          <w:p>
            <w:pPr>
              <w:pStyle w:val="TableParagraph"/>
              <w:rPr>
                <w:b/>
                <w:sz w:val="18"/>
              </w:rPr>
            </w:pPr>
          </w:p>
          <w:p>
            <w:pPr>
              <w:pStyle w:val="TableParagraph"/>
              <w:spacing w:before="103"/>
              <w:rPr>
                <w:b/>
                <w:sz w:val="18"/>
              </w:rPr>
            </w:pPr>
          </w:p>
          <w:p>
            <w:pPr>
              <w:pStyle w:val="TableParagraph"/>
              <w:ind w:left="8" w:right="8"/>
              <w:jc w:val="center"/>
              <w:rPr>
                <w:sz w:val="18"/>
              </w:rPr>
            </w:pPr>
            <w:r>
              <w:rPr>
                <w:spacing w:val="-2"/>
                <w:sz w:val="18"/>
              </w:rPr>
              <w:t>DASAI</w:t>
            </w:r>
          </w:p>
        </w:tc>
        <w:tc>
          <w:tcPr>
            <w:tcW w:w="1741" w:type="dxa"/>
          </w:tcPr>
          <w:p>
            <w:pPr>
              <w:pStyle w:val="TableParagraph"/>
              <w:rPr>
                <w:b/>
                <w:sz w:val="18"/>
              </w:rPr>
            </w:pPr>
          </w:p>
          <w:p>
            <w:pPr>
              <w:pStyle w:val="TableParagraph"/>
              <w:spacing w:before="103"/>
              <w:rPr>
                <w:b/>
                <w:sz w:val="18"/>
              </w:rPr>
            </w:pPr>
          </w:p>
          <w:p>
            <w:pPr>
              <w:pStyle w:val="TableParagraph"/>
              <w:ind w:right="63"/>
              <w:jc w:val="right"/>
              <w:rPr>
                <w:b/>
                <w:sz w:val="18"/>
              </w:rPr>
            </w:pPr>
            <w:r>
              <w:rPr>
                <w:b/>
                <w:sz w:val="18"/>
              </w:rPr>
              <w:t>₡</w:t>
            </w:r>
            <w:r>
              <w:rPr>
                <w:b/>
                <w:spacing w:val="-3"/>
                <w:sz w:val="18"/>
              </w:rPr>
              <w:t> </w:t>
            </w:r>
            <w:r>
              <w:rPr>
                <w:b/>
                <w:sz w:val="18"/>
              </w:rPr>
              <w:t>13</w:t>
            </w:r>
            <w:r>
              <w:rPr>
                <w:b/>
                <w:spacing w:val="-1"/>
                <w:sz w:val="18"/>
              </w:rPr>
              <w:t> </w:t>
            </w:r>
            <w:r>
              <w:rPr>
                <w:b/>
                <w:sz w:val="18"/>
              </w:rPr>
              <w:t>960 </w:t>
            </w:r>
            <w:r>
              <w:rPr>
                <w:b/>
                <w:spacing w:val="-2"/>
                <w:sz w:val="18"/>
              </w:rPr>
              <w:t>000,00</w:t>
            </w:r>
          </w:p>
        </w:tc>
        <w:tc>
          <w:tcPr>
            <w:tcW w:w="3782" w:type="dxa"/>
          </w:tcPr>
          <w:p>
            <w:pPr>
              <w:pStyle w:val="TableParagraph"/>
              <w:ind w:left="66" w:right="123"/>
              <w:rPr>
                <w:sz w:val="18"/>
              </w:rPr>
            </w:pPr>
            <w:r>
              <w:rPr>
                <w:sz w:val="18"/>
              </w:rPr>
              <w:t>Subsidio para complementar los costos de atención de la población en los componentes: alimentación, limpieza de instalaciones y aseo personal, textiles y vestuario,</w:t>
            </w:r>
            <w:r>
              <w:rPr>
                <w:spacing w:val="-9"/>
                <w:sz w:val="18"/>
              </w:rPr>
              <w:t> </w:t>
            </w:r>
            <w:r>
              <w:rPr>
                <w:sz w:val="18"/>
              </w:rPr>
              <w:t>contratación</w:t>
            </w:r>
            <w:r>
              <w:rPr>
                <w:spacing w:val="-11"/>
                <w:sz w:val="18"/>
              </w:rPr>
              <w:t> </w:t>
            </w:r>
            <w:r>
              <w:rPr>
                <w:sz w:val="18"/>
              </w:rPr>
              <w:t>de</w:t>
            </w:r>
            <w:r>
              <w:rPr>
                <w:spacing w:val="-11"/>
                <w:sz w:val="18"/>
              </w:rPr>
              <w:t> </w:t>
            </w:r>
            <w:r>
              <w:rPr>
                <w:sz w:val="18"/>
              </w:rPr>
              <w:t>profesionales</w:t>
            </w:r>
            <w:r>
              <w:rPr>
                <w:spacing w:val="-10"/>
                <w:sz w:val="18"/>
              </w:rPr>
              <w:t> </w:t>
            </w:r>
            <w:r>
              <w:rPr>
                <w:sz w:val="18"/>
              </w:rPr>
              <w:t>por</w:t>
            </w:r>
          </w:p>
          <w:p>
            <w:pPr>
              <w:pStyle w:val="TableParagraph"/>
              <w:spacing w:line="187" w:lineRule="exact" w:before="1"/>
              <w:ind w:left="66"/>
              <w:rPr>
                <w:sz w:val="18"/>
              </w:rPr>
            </w:pPr>
            <w:r>
              <w:rPr>
                <w:spacing w:val="-2"/>
                <w:sz w:val="18"/>
              </w:rPr>
              <w:t>servicio.</w:t>
            </w:r>
          </w:p>
        </w:tc>
      </w:tr>
      <w:tr>
        <w:trPr>
          <w:trHeight w:val="1355" w:hRule="atLeast"/>
        </w:trPr>
        <w:tc>
          <w:tcPr>
            <w:tcW w:w="699" w:type="dxa"/>
          </w:tcPr>
          <w:p>
            <w:pPr>
              <w:pStyle w:val="TableParagraph"/>
              <w:rPr>
                <w:b/>
                <w:sz w:val="22"/>
              </w:rPr>
            </w:pPr>
          </w:p>
          <w:p>
            <w:pPr>
              <w:pStyle w:val="TableParagraph"/>
              <w:spacing w:before="45"/>
              <w:rPr>
                <w:b/>
                <w:sz w:val="22"/>
              </w:rPr>
            </w:pPr>
          </w:p>
          <w:p>
            <w:pPr>
              <w:pStyle w:val="TableParagraph"/>
              <w:spacing w:before="1"/>
              <w:ind w:left="7"/>
              <w:jc w:val="center"/>
              <w:rPr>
                <w:sz w:val="22"/>
              </w:rPr>
            </w:pPr>
            <w:r>
              <w:rPr>
                <w:spacing w:val="-5"/>
                <w:sz w:val="22"/>
              </w:rPr>
              <w:t>22</w:t>
            </w:r>
          </w:p>
        </w:tc>
        <w:tc>
          <w:tcPr>
            <w:tcW w:w="3570" w:type="dxa"/>
          </w:tcPr>
          <w:p>
            <w:pPr>
              <w:pStyle w:val="TableParagraph"/>
              <w:rPr>
                <w:b/>
                <w:sz w:val="18"/>
              </w:rPr>
            </w:pPr>
          </w:p>
          <w:p>
            <w:pPr>
              <w:pStyle w:val="TableParagraph"/>
              <w:spacing w:before="55"/>
              <w:rPr>
                <w:b/>
                <w:sz w:val="18"/>
              </w:rPr>
            </w:pPr>
          </w:p>
          <w:p>
            <w:pPr>
              <w:pStyle w:val="TableParagraph"/>
              <w:ind w:left="69"/>
              <w:rPr>
                <w:sz w:val="18"/>
              </w:rPr>
            </w:pPr>
            <w:r>
              <w:rPr>
                <w:sz w:val="18"/>
              </w:rPr>
              <w:t>Asociación</w:t>
            </w:r>
            <w:r>
              <w:rPr>
                <w:spacing w:val="-10"/>
                <w:sz w:val="18"/>
              </w:rPr>
              <w:t> </w:t>
            </w:r>
            <w:r>
              <w:rPr>
                <w:sz w:val="18"/>
              </w:rPr>
              <w:t>Centro</w:t>
            </w:r>
            <w:r>
              <w:rPr>
                <w:spacing w:val="-12"/>
                <w:sz w:val="18"/>
              </w:rPr>
              <w:t> </w:t>
            </w:r>
            <w:r>
              <w:rPr>
                <w:sz w:val="18"/>
              </w:rPr>
              <w:t>de</w:t>
            </w:r>
            <w:r>
              <w:rPr>
                <w:spacing w:val="-10"/>
                <w:sz w:val="18"/>
              </w:rPr>
              <w:t> </w:t>
            </w:r>
            <w:r>
              <w:rPr>
                <w:sz w:val="18"/>
              </w:rPr>
              <w:t>Rehabilitación</w:t>
            </w:r>
            <w:r>
              <w:rPr>
                <w:spacing w:val="-6"/>
                <w:sz w:val="18"/>
              </w:rPr>
              <w:t> </w:t>
            </w:r>
            <w:r>
              <w:rPr>
                <w:sz w:val="18"/>
              </w:rPr>
              <w:t>para Alcohólicos en Goicochea</w:t>
            </w:r>
          </w:p>
        </w:tc>
        <w:tc>
          <w:tcPr>
            <w:tcW w:w="1719" w:type="dxa"/>
          </w:tcPr>
          <w:p>
            <w:pPr>
              <w:pStyle w:val="TableParagraph"/>
              <w:rPr>
                <w:b/>
                <w:sz w:val="18"/>
              </w:rPr>
            </w:pPr>
          </w:p>
          <w:p>
            <w:pPr>
              <w:pStyle w:val="TableParagraph"/>
              <w:spacing w:before="158"/>
              <w:rPr>
                <w:b/>
                <w:sz w:val="18"/>
              </w:rPr>
            </w:pPr>
          </w:p>
          <w:p>
            <w:pPr>
              <w:pStyle w:val="TableParagraph"/>
              <w:ind w:left="39" w:right="33"/>
              <w:jc w:val="center"/>
              <w:rPr>
                <w:sz w:val="18"/>
              </w:rPr>
            </w:pPr>
            <w:r>
              <w:rPr>
                <w:sz w:val="18"/>
              </w:rPr>
              <w:t>3-002-</w:t>
            </w:r>
            <w:r>
              <w:rPr>
                <w:spacing w:val="-2"/>
                <w:sz w:val="18"/>
              </w:rPr>
              <w:t>124596</w:t>
            </w:r>
          </w:p>
        </w:tc>
        <w:tc>
          <w:tcPr>
            <w:tcW w:w="1391" w:type="dxa"/>
          </w:tcPr>
          <w:p>
            <w:pPr>
              <w:pStyle w:val="TableParagraph"/>
              <w:rPr>
                <w:b/>
                <w:sz w:val="18"/>
              </w:rPr>
            </w:pPr>
          </w:p>
          <w:p>
            <w:pPr>
              <w:pStyle w:val="TableParagraph"/>
              <w:spacing w:before="158"/>
              <w:rPr>
                <w:b/>
                <w:sz w:val="18"/>
              </w:rPr>
            </w:pPr>
          </w:p>
          <w:p>
            <w:pPr>
              <w:pStyle w:val="TableParagraph"/>
              <w:ind w:left="8" w:right="8"/>
              <w:jc w:val="center"/>
              <w:rPr>
                <w:sz w:val="18"/>
              </w:rPr>
            </w:pPr>
            <w:r>
              <w:rPr>
                <w:spacing w:val="-2"/>
                <w:sz w:val="18"/>
              </w:rPr>
              <w:t>DASAI</w:t>
            </w:r>
          </w:p>
        </w:tc>
        <w:tc>
          <w:tcPr>
            <w:tcW w:w="1741" w:type="dxa"/>
          </w:tcPr>
          <w:p>
            <w:pPr>
              <w:pStyle w:val="TableParagraph"/>
              <w:rPr>
                <w:b/>
                <w:sz w:val="18"/>
              </w:rPr>
            </w:pPr>
          </w:p>
          <w:p>
            <w:pPr>
              <w:pStyle w:val="TableParagraph"/>
              <w:spacing w:before="158"/>
              <w:rPr>
                <w:b/>
                <w:sz w:val="18"/>
              </w:rPr>
            </w:pPr>
          </w:p>
          <w:p>
            <w:pPr>
              <w:pStyle w:val="TableParagraph"/>
              <w:ind w:right="63"/>
              <w:jc w:val="right"/>
              <w:rPr>
                <w:b/>
                <w:sz w:val="18"/>
              </w:rPr>
            </w:pPr>
            <w:r>
              <w:rPr>
                <w:b/>
                <w:sz w:val="18"/>
              </w:rPr>
              <w:t>₡</w:t>
            </w:r>
            <w:r>
              <w:rPr>
                <w:b/>
                <w:spacing w:val="-3"/>
                <w:sz w:val="18"/>
              </w:rPr>
              <w:t> </w:t>
            </w:r>
            <w:r>
              <w:rPr>
                <w:b/>
                <w:sz w:val="18"/>
              </w:rPr>
              <w:t>20</w:t>
            </w:r>
            <w:r>
              <w:rPr>
                <w:b/>
                <w:spacing w:val="-1"/>
                <w:sz w:val="18"/>
              </w:rPr>
              <w:t> </w:t>
            </w:r>
            <w:r>
              <w:rPr>
                <w:b/>
                <w:sz w:val="18"/>
              </w:rPr>
              <w:t>440 </w:t>
            </w:r>
            <w:r>
              <w:rPr>
                <w:b/>
                <w:spacing w:val="-2"/>
                <w:sz w:val="18"/>
              </w:rPr>
              <w:t>000,00</w:t>
            </w:r>
          </w:p>
        </w:tc>
        <w:tc>
          <w:tcPr>
            <w:tcW w:w="3782" w:type="dxa"/>
          </w:tcPr>
          <w:p>
            <w:pPr>
              <w:pStyle w:val="TableParagraph"/>
              <w:spacing w:before="56"/>
              <w:ind w:left="66" w:right="123"/>
              <w:rPr>
                <w:sz w:val="18"/>
              </w:rPr>
            </w:pPr>
            <w:r>
              <w:rPr>
                <w:sz w:val="18"/>
              </w:rPr>
              <w:t>Subsidio para complementar los costos de atención de la población en los componentes: alimentación, limpieza de instalaciones y aseo personal, textiles y vestuario,</w:t>
            </w:r>
            <w:r>
              <w:rPr>
                <w:spacing w:val="-9"/>
                <w:sz w:val="18"/>
              </w:rPr>
              <w:t> </w:t>
            </w:r>
            <w:r>
              <w:rPr>
                <w:sz w:val="18"/>
              </w:rPr>
              <w:t>contratación</w:t>
            </w:r>
            <w:r>
              <w:rPr>
                <w:spacing w:val="-11"/>
                <w:sz w:val="18"/>
              </w:rPr>
              <w:t> </w:t>
            </w:r>
            <w:r>
              <w:rPr>
                <w:sz w:val="18"/>
              </w:rPr>
              <w:t>de</w:t>
            </w:r>
            <w:r>
              <w:rPr>
                <w:spacing w:val="-11"/>
                <w:sz w:val="18"/>
              </w:rPr>
              <w:t> </w:t>
            </w:r>
            <w:r>
              <w:rPr>
                <w:sz w:val="18"/>
              </w:rPr>
              <w:t>profesionales</w:t>
            </w:r>
            <w:r>
              <w:rPr>
                <w:spacing w:val="-10"/>
                <w:sz w:val="18"/>
              </w:rPr>
              <w:t> </w:t>
            </w:r>
            <w:r>
              <w:rPr>
                <w:sz w:val="18"/>
              </w:rPr>
              <w:t>por </w:t>
            </w:r>
            <w:r>
              <w:rPr>
                <w:spacing w:val="-2"/>
                <w:sz w:val="18"/>
              </w:rPr>
              <w:t>servicio.</w:t>
            </w:r>
          </w:p>
        </w:tc>
      </w:tr>
      <w:tr>
        <w:trPr>
          <w:trHeight w:val="1200" w:hRule="atLeast"/>
        </w:trPr>
        <w:tc>
          <w:tcPr>
            <w:tcW w:w="699" w:type="dxa"/>
          </w:tcPr>
          <w:p>
            <w:pPr>
              <w:pStyle w:val="TableParagraph"/>
              <w:spacing w:before="222"/>
              <w:rPr>
                <w:b/>
                <w:sz w:val="22"/>
              </w:rPr>
            </w:pPr>
          </w:p>
          <w:p>
            <w:pPr>
              <w:pStyle w:val="TableParagraph"/>
              <w:ind w:left="7"/>
              <w:jc w:val="center"/>
              <w:rPr>
                <w:sz w:val="22"/>
              </w:rPr>
            </w:pPr>
            <w:r>
              <w:rPr>
                <w:spacing w:val="-5"/>
                <w:sz w:val="22"/>
              </w:rPr>
              <w:t>23</w:t>
            </w:r>
          </w:p>
        </w:tc>
        <w:tc>
          <w:tcPr>
            <w:tcW w:w="3570" w:type="dxa"/>
          </w:tcPr>
          <w:p>
            <w:pPr>
              <w:pStyle w:val="TableParagraph"/>
              <w:rPr>
                <w:b/>
                <w:sz w:val="18"/>
              </w:rPr>
            </w:pPr>
          </w:p>
          <w:p>
            <w:pPr>
              <w:pStyle w:val="TableParagraph"/>
              <w:spacing w:before="81"/>
              <w:rPr>
                <w:b/>
                <w:sz w:val="18"/>
              </w:rPr>
            </w:pPr>
          </w:p>
          <w:p>
            <w:pPr>
              <w:pStyle w:val="TableParagraph"/>
              <w:ind w:left="69"/>
              <w:rPr>
                <w:sz w:val="18"/>
              </w:rPr>
            </w:pPr>
            <w:r>
              <w:rPr>
                <w:sz w:val="18"/>
              </w:rPr>
              <w:t>Asociación</w:t>
            </w:r>
            <w:r>
              <w:rPr>
                <w:spacing w:val="-5"/>
                <w:sz w:val="18"/>
              </w:rPr>
              <w:t> </w:t>
            </w:r>
            <w:r>
              <w:rPr>
                <w:sz w:val="18"/>
              </w:rPr>
              <w:t>Centro</w:t>
            </w:r>
            <w:r>
              <w:rPr>
                <w:spacing w:val="-5"/>
                <w:sz w:val="18"/>
              </w:rPr>
              <w:t> </w:t>
            </w:r>
            <w:r>
              <w:rPr>
                <w:sz w:val="18"/>
              </w:rPr>
              <w:t>Cristiano</w:t>
            </w:r>
            <w:r>
              <w:rPr>
                <w:spacing w:val="-5"/>
                <w:sz w:val="18"/>
              </w:rPr>
              <w:t> </w:t>
            </w:r>
            <w:r>
              <w:rPr>
                <w:spacing w:val="-2"/>
                <w:sz w:val="18"/>
              </w:rPr>
              <w:t>Canaán</w:t>
            </w:r>
          </w:p>
        </w:tc>
        <w:tc>
          <w:tcPr>
            <w:tcW w:w="1719" w:type="dxa"/>
          </w:tcPr>
          <w:p>
            <w:pPr>
              <w:pStyle w:val="TableParagraph"/>
              <w:rPr>
                <w:b/>
                <w:sz w:val="18"/>
              </w:rPr>
            </w:pPr>
          </w:p>
          <w:p>
            <w:pPr>
              <w:pStyle w:val="TableParagraph"/>
              <w:spacing w:before="81"/>
              <w:rPr>
                <w:b/>
                <w:sz w:val="18"/>
              </w:rPr>
            </w:pPr>
          </w:p>
          <w:p>
            <w:pPr>
              <w:pStyle w:val="TableParagraph"/>
              <w:ind w:left="39" w:right="33"/>
              <w:jc w:val="center"/>
              <w:rPr>
                <w:sz w:val="18"/>
              </w:rPr>
            </w:pPr>
            <w:r>
              <w:rPr>
                <w:sz w:val="18"/>
              </w:rPr>
              <w:t>3-002-</w:t>
            </w:r>
            <w:r>
              <w:rPr>
                <w:spacing w:val="-2"/>
                <w:sz w:val="18"/>
              </w:rPr>
              <w:t>066417</w:t>
            </w:r>
          </w:p>
        </w:tc>
        <w:tc>
          <w:tcPr>
            <w:tcW w:w="1391" w:type="dxa"/>
          </w:tcPr>
          <w:p>
            <w:pPr>
              <w:pStyle w:val="TableParagraph"/>
              <w:rPr>
                <w:b/>
                <w:sz w:val="18"/>
              </w:rPr>
            </w:pPr>
          </w:p>
          <w:p>
            <w:pPr>
              <w:pStyle w:val="TableParagraph"/>
              <w:spacing w:before="81"/>
              <w:rPr>
                <w:b/>
                <w:sz w:val="18"/>
              </w:rPr>
            </w:pPr>
          </w:p>
          <w:p>
            <w:pPr>
              <w:pStyle w:val="TableParagraph"/>
              <w:ind w:left="8" w:right="8"/>
              <w:jc w:val="center"/>
              <w:rPr>
                <w:sz w:val="18"/>
              </w:rPr>
            </w:pPr>
            <w:r>
              <w:rPr>
                <w:spacing w:val="-2"/>
                <w:sz w:val="18"/>
              </w:rPr>
              <w:t>DASAI</w:t>
            </w:r>
          </w:p>
        </w:tc>
        <w:tc>
          <w:tcPr>
            <w:tcW w:w="1741" w:type="dxa"/>
          </w:tcPr>
          <w:p>
            <w:pPr>
              <w:pStyle w:val="TableParagraph"/>
              <w:rPr>
                <w:b/>
                <w:sz w:val="18"/>
              </w:rPr>
            </w:pPr>
          </w:p>
          <w:p>
            <w:pPr>
              <w:pStyle w:val="TableParagraph"/>
              <w:spacing w:before="81"/>
              <w:rPr>
                <w:b/>
                <w:sz w:val="18"/>
              </w:rPr>
            </w:pPr>
          </w:p>
          <w:p>
            <w:pPr>
              <w:pStyle w:val="TableParagraph"/>
              <w:ind w:right="63"/>
              <w:jc w:val="right"/>
              <w:rPr>
                <w:b/>
                <w:sz w:val="18"/>
              </w:rPr>
            </w:pPr>
            <w:r>
              <w:rPr>
                <w:b/>
                <w:sz w:val="18"/>
              </w:rPr>
              <w:t>₡</w:t>
            </w:r>
            <w:r>
              <w:rPr>
                <w:b/>
                <w:spacing w:val="-3"/>
                <w:sz w:val="18"/>
              </w:rPr>
              <w:t> </w:t>
            </w:r>
            <w:r>
              <w:rPr>
                <w:b/>
                <w:sz w:val="18"/>
              </w:rPr>
              <w:t>16</w:t>
            </w:r>
            <w:r>
              <w:rPr>
                <w:b/>
                <w:spacing w:val="-1"/>
                <w:sz w:val="18"/>
              </w:rPr>
              <w:t> </w:t>
            </w:r>
            <w:r>
              <w:rPr>
                <w:b/>
                <w:sz w:val="18"/>
              </w:rPr>
              <w:t>678 </w:t>
            </w:r>
            <w:r>
              <w:rPr>
                <w:b/>
                <w:spacing w:val="-2"/>
                <w:sz w:val="18"/>
              </w:rPr>
              <w:t>000,00</w:t>
            </w:r>
          </w:p>
        </w:tc>
        <w:tc>
          <w:tcPr>
            <w:tcW w:w="3782" w:type="dxa"/>
          </w:tcPr>
          <w:p>
            <w:pPr>
              <w:pStyle w:val="TableParagraph"/>
              <w:spacing w:before="83"/>
              <w:ind w:left="66" w:right="123"/>
              <w:rPr>
                <w:sz w:val="18"/>
              </w:rPr>
            </w:pPr>
            <w:r>
              <w:rPr>
                <w:sz w:val="18"/>
              </w:rPr>
              <w:t>Subsidio</w:t>
            </w:r>
            <w:r>
              <w:rPr>
                <w:spacing w:val="-9"/>
                <w:sz w:val="18"/>
              </w:rPr>
              <w:t> </w:t>
            </w:r>
            <w:r>
              <w:rPr>
                <w:sz w:val="18"/>
              </w:rPr>
              <w:t>para</w:t>
            </w:r>
            <w:r>
              <w:rPr>
                <w:spacing w:val="-9"/>
                <w:sz w:val="18"/>
              </w:rPr>
              <w:t> </w:t>
            </w:r>
            <w:r>
              <w:rPr>
                <w:sz w:val="18"/>
              </w:rPr>
              <w:t>complementar</w:t>
            </w:r>
            <w:r>
              <w:rPr>
                <w:spacing w:val="-9"/>
                <w:sz w:val="18"/>
              </w:rPr>
              <w:t> </w:t>
            </w:r>
            <w:r>
              <w:rPr>
                <w:sz w:val="18"/>
              </w:rPr>
              <w:t>los</w:t>
            </w:r>
            <w:r>
              <w:rPr>
                <w:spacing w:val="-7"/>
                <w:sz w:val="18"/>
              </w:rPr>
              <w:t> </w:t>
            </w:r>
            <w:r>
              <w:rPr>
                <w:sz w:val="18"/>
              </w:rPr>
              <w:t>costos</w:t>
            </w:r>
            <w:r>
              <w:rPr>
                <w:spacing w:val="-8"/>
                <w:sz w:val="18"/>
              </w:rPr>
              <w:t> </w:t>
            </w:r>
            <w:r>
              <w:rPr>
                <w:sz w:val="18"/>
              </w:rPr>
              <w:t>de atención de la población en los componentes: alimentación, limpieza de instalaciones y aseo personal, textiles y </w:t>
            </w:r>
            <w:r>
              <w:rPr>
                <w:spacing w:val="-2"/>
                <w:sz w:val="18"/>
              </w:rPr>
              <w:t>vestuario.</w:t>
            </w:r>
          </w:p>
        </w:tc>
      </w:tr>
      <w:tr>
        <w:trPr>
          <w:trHeight w:val="621" w:hRule="atLeast"/>
        </w:trPr>
        <w:tc>
          <w:tcPr>
            <w:tcW w:w="7379" w:type="dxa"/>
            <w:gridSpan w:val="4"/>
            <w:shd w:val="clear" w:color="auto" w:fill="0E233D"/>
          </w:tcPr>
          <w:p>
            <w:pPr>
              <w:pStyle w:val="TableParagraph"/>
              <w:rPr>
                <w:b/>
                <w:sz w:val="18"/>
              </w:rPr>
            </w:pPr>
          </w:p>
          <w:p>
            <w:pPr>
              <w:pStyle w:val="TableParagraph"/>
              <w:ind w:left="7"/>
              <w:jc w:val="center"/>
              <w:rPr>
                <w:sz w:val="18"/>
              </w:rPr>
            </w:pPr>
            <w:r>
              <w:rPr>
                <w:color w:val="FFFFFF"/>
                <w:spacing w:val="-2"/>
                <w:sz w:val="18"/>
              </w:rPr>
              <w:t>Total</w:t>
            </w:r>
          </w:p>
        </w:tc>
        <w:tc>
          <w:tcPr>
            <w:tcW w:w="1741" w:type="dxa"/>
            <w:shd w:val="clear" w:color="auto" w:fill="0E233D"/>
          </w:tcPr>
          <w:p>
            <w:pPr>
              <w:pStyle w:val="TableParagraph"/>
              <w:rPr>
                <w:b/>
                <w:sz w:val="18"/>
              </w:rPr>
            </w:pPr>
          </w:p>
          <w:p>
            <w:pPr>
              <w:pStyle w:val="TableParagraph"/>
              <w:ind w:right="66"/>
              <w:jc w:val="right"/>
              <w:rPr>
                <w:b/>
                <w:sz w:val="18"/>
              </w:rPr>
            </w:pPr>
            <w:r>
              <w:rPr>
                <w:b/>
                <w:color w:val="FFFFFF"/>
                <w:sz w:val="18"/>
              </w:rPr>
              <w:t>₡</w:t>
            </w:r>
            <w:r>
              <w:rPr>
                <w:b/>
                <w:color w:val="FFFFFF"/>
                <w:spacing w:val="75"/>
                <w:w w:val="150"/>
                <w:sz w:val="18"/>
              </w:rPr>
              <w:t> </w:t>
            </w:r>
            <w:r>
              <w:rPr>
                <w:b/>
                <w:color w:val="FFFFFF"/>
                <w:sz w:val="18"/>
              </w:rPr>
              <w:t>550</w:t>
            </w:r>
            <w:r>
              <w:rPr>
                <w:b/>
                <w:color w:val="FFFFFF"/>
                <w:spacing w:val="-2"/>
                <w:sz w:val="18"/>
              </w:rPr>
              <w:t> </w:t>
            </w:r>
            <w:r>
              <w:rPr>
                <w:b/>
                <w:color w:val="FFFFFF"/>
                <w:sz w:val="18"/>
              </w:rPr>
              <w:t>457</w:t>
            </w:r>
            <w:r>
              <w:rPr>
                <w:b/>
                <w:color w:val="FFFFFF"/>
                <w:spacing w:val="-2"/>
                <w:sz w:val="18"/>
              </w:rPr>
              <w:t> 416,00</w:t>
            </w:r>
          </w:p>
        </w:tc>
        <w:tc>
          <w:tcPr>
            <w:tcW w:w="3782" w:type="dxa"/>
            <w:shd w:val="clear" w:color="auto" w:fill="0E233D"/>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2404" w:top="1380" w:bottom="2600" w:left="1080" w:right="1440"/>
        </w:sectPr>
      </w:pPr>
    </w:p>
    <w:p>
      <w:pPr>
        <w:pStyle w:val="Heading3"/>
        <w:spacing w:before="75"/>
        <w:ind w:left="4337" w:right="911" w:hanging="3371"/>
      </w:pPr>
      <w:bookmarkStart w:name="_bookmark86" w:id="87"/>
      <w:bookmarkEnd w:id="87"/>
      <w:r>
        <w:rPr>
          <w:b w:val="0"/>
        </w:rPr>
      </w:r>
      <w:r>
        <w:rPr/>
        <w:t>Anexo</w:t>
      </w:r>
      <w:r>
        <w:rPr>
          <w:spacing w:val="-4"/>
        </w:rPr>
        <w:t> </w:t>
      </w:r>
      <w:r>
        <w:rPr/>
        <w:t>IX:</w:t>
      </w:r>
      <w:r>
        <w:rPr>
          <w:spacing w:val="40"/>
        </w:rPr>
        <w:t> </w:t>
      </w:r>
      <w:r>
        <w:rPr/>
        <w:t>Certificación</w:t>
      </w:r>
      <w:r>
        <w:rPr>
          <w:spacing w:val="-4"/>
        </w:rPr>
        <w:t> </w:t>
      </w:r>
      <w:r>
        <w:rPr/>
        <w:t>de</w:t>
      </w:r>
      <w:r>
        <w:rPr>
          <w:spacing w:val="-4"/>
        </w:rPr>
        <w:t> </w:t>
      </w:r>
      <w:r>
        <w:rPr/>
        <w:t>Proyectos</w:t>
      </w:r>
      <w:r>
        <w:rPr>
          <w:spacing w:val="-4"/>
        </w:rPr>
        <w:t> </w:t>
      </w:r>
      <w:r>
        <w:rPr/>
        <w:t>Incluidos</w:t>
      </w:r>
      <w:r>
        <w:rPr>
          <w:spacing w:val="-4"/>
        </w:rPr>
        <w:t> </w:t>
      </w:r>
      <w:r>
        <w:rPr/>
        <w:t>en</w:t>
      </w:r>
      <w:r>
        <w:rPr>
          <w:spacing w:val="-4"/>
        </w:rPr>
        <w:t> </w:t>
      </w:r>
      <w:r>
        <w:rPr/>
        <w:t>el</w:t>
      </w:r>
      <w:r>
        <w:rPr>
          <w:spacing w:val="-4"/>
        </w:rPr>
        <w:t> </w:t>
      </w:r>
      <w:r>
        <w:rPr/>
        <w:t>Banco</w:t>
      </w:r>
      <w:r>
        <w:rPr>
          <w:spacing w:val="-4"/>
        </w:rPr>
        <w:t> </w:t>
      </w:r>
      <w:r>
        <w:rPr/>
        <w:t>de</w:t>
      </w:r>
      <w:r>
        <w:rPr>
          <w:spacing w:val="-6"/>
        </w:rPr>
        <w:t> </w:t>
      </w:r>
      <w:r>
        <w:rPr/>
        <w:t>Proyectos</w:t>
      </w:r>
      <w:r>
        <w:rPr>
          <w:spacing w:val="-4"/>
        </w:rPr>
        <w:t> </w:t>
      </w:r>
      <w:r>
        <w:rPr/>
        <w:t>de Inversión Pública</w:t>
      </w:r>
    </w:p>
    <w:p>
      <w:pPr>
        <w:pStyle w:val="BodyText"/>
        <w:spacing w:before="11"/>
        <w:rPr>
          <w:b/>
          <w:sz w:val="18"/>
        </w:rPr>
      </w:pPr>
      <w:r>
        <w:rPr>
          <w:b/>
          <w:sz w:val="18"/>
        </w:rPr>
        <w:drawing>
          <wp:anchor distT="0" distB="0" distL="0" distR="0" allowOverlap="1" layoutInCell="1" locked="0" behindDoc="1" simplePos="0" relativeHeight="487634432">
            <wp:simplePos x="0" y="0"/>
            <wp:positionH relativeFrom="page">
              <wp:posOffset>1002664</wp:posOffset>
            </wp:positionH>
            <wp:positionV relativeFrom="paragraph">
              <wp:posOffset>153803</wp:posOffset>
            </wp:positionV>
            <wp:extent cx="5625930" cy="6287071"/>
            <wp:effectExtent l="0" t="0" r="0" b="0"/>
            <wp:wrapTopAndBottom/>
            <wp:docPr id="369" name="Image 369"/>
            <wp:cNvGraphicFramePr>
              <a:graphicFrameLocks/>
            </wp:cNvGraphicFramePr>
            <a:graphic>
              <a:graphicData uri="http://schemas.openxmlformats.org/drawingml/2006/picture">
                <pic:pic>
                  <pic:nvPicPr>
                    <pic:cNvPr id="369" name="Image 369"/>
                    <pic:cNvPicPr/>
                  </pic:nvPicPr>
                  <pic:blipFill>
                    <a:blip r:embed="rId155" cstate="print"/>
                    <a:stretch>
                      <a:fillRect/>
                    </a:stretch>
                  </pic:blipFill>
                  <pic:spPr>
                    <a:xfrm>
                      <a:off x="0" y="0"/>
                      <a:ext cx="5625930" cy="6287071"/>
                    </a:xfrm>
                    <a:prstGeom prst="rect">
                      <a:avLst/>
                    </a:prstGeom>
                  </pic:spPr>
                </pic:pic>
              </a:graphicData>
            </a:graphic>
          </wp:anchor>
        </w:drawing>
      </w:r>
    </w:p>
    <w:p>
      <w:pPr>
        <w:pStyle w:val="BodyText"/>
        <w:spacing w:after="0"/>
        <w:rPr>
          <w:b/>
          <w:sz w:val="18"/>
        </w:rPr>
        <w:sectPr>
          <w:footerReference w:type="default" r:id="rId154"/>
          <w:pgSz w:w="12240" w:h="15840"/>
          <w:pgMar w:header="0" w:footer="2404" w:top="1300" w:bottom="2600" w:left="720" w:right="720"/>
        </w:sectPr>
      </w:pPr>
    </w:p>
    <w:p>
      <w:pPr>
        <w:pStyle w:val="BodyText"/>
        <w:spacing w:before="10"/>
        <w:rPr>
          <w:b/>
          <w:sz w:val="4"/>
        </w:rPr>
      </w:pPr>
    </w:p>
    <w:p>
      <w:pPr>
        <w:spacing w:line="20" w:lineRule="exact"/>
        <w:ind w:left="831" w:right="0" w:firstLine="0"/>
        <w:rPr>
          <w:sz w:val="2"/>
        </w:rPr>
      </w:pPr>
      <w:r>
        <w:rPr>
          <w:sz w:val="2"/>
        </w:rPr>
        <mc:AlternateContent>
          <mc:Choice Requires="wps">
            <w:drawing>
              <wp:inline distT="0" distB="0" distL="0" distR="0">
                <wp:extent cx="43180" cy="9525"/>
                <wp:effectExtent l="9525" t="0" r="0" b="0"/>
                <wp:docPr id="370" name="Group 370"/>
                <wp:cNvGraphicFramePr>
                  <a:graphicFrameLocks/>
                </wp:cNvGraphicFramePr>
                <a:graphic>
                  <a:graphicData uri="http://schemas.microsoft.com/office/word/2010/wordprocessingGroup">
                    <wpg:wgp>
                      <wpg:cNvPr id="370" name="Group 370"/>
                      <wpg:cNvGrpSpPr/>
                      <wpg:grpSpPr>
                        <a:xfrm>
                          <a:off x="0" y="0"/>
                          <a:ext cx="43180" cy="9525"/>
                          <a:chExt cx="43180" cy="9525"/>
                        </a:xfrm>
                      </wpg:grpSpPr>
                      <wps:wsp>
                        <wps:cNvPr id="371" name="Graphic 371"/>
                        <wps:cNvSpPr/>
                        <wps:spPr>
                          <a:xfrm>
                            <a:off x="0" y="4507"/>
                            <a:ext cx="14604" cy="1270"/>
                          </a:xfrm>
                          <a:custGeom>
                            <a:avLst/>
                            <a:gdLst/>
                            <a:ahLst/>
                            <a:cxnLst/>
                            <a:rect l="l" t="t" r="r" b="b"/>
                            <a:pathLst>
                              <a:path w="14604" h="0">
                                <a:moveTo>
                                  <a:pt x="0" y="0"/>
                                </a:moveTo>
                                <a:lnTo>
                                  <a:pt x="14265" y="0"/>
                                </a:lnTo>
                              </a:path>
                            </a:pathLst>
                          </a:custGeom>
                          <a:ln w="9015">
                            <a:solidFill>
                              <a:srgbClr val="FEFEFE"/>
                            </a:solidFill>
                            <a:prstDash val="solid"/>
                          </a:ln>
                        </wps:spPr>
                        <wps:bodyPr wrap="square" lIns="0" tIns="0" rIns="0" bIns="0" rtlCol="0">
                          <a:prstTxWarp prst="textNoShape">
                            <a:avLst/>
                          </a:prstTxWarp>
                          <a:noAutofit/>
                        </wps:bodyPr>
                      </wps:wsp>
                      <wps:wsp>
                        <wps:cNvPr id="372" name="Graphic 372"/>
                        <wps:cNvSpPr/>
                        <wps:spPr>
                          <a:xfrm>
                            <a:off x="28575" y="4507"/>
                            <a:ext cx="14604" cy="1270"/>
                          </a:xfrm>
                          <a:custGeom>
                            <a:avLst/>
                            <a:gdLst/>
                            <a:ahLst/>
                            <a:cxnLst/>
                            <a:rect l="l" t="t" r="r" b="b"/>
                            <a:pathLst>
                              <a:path w="14604" h="0">
                                <a:moveTo>
                                  <a:pt x="0" y="0"/>
                                </a:moveTo>
                                <a:lnTo>
                                  <a:pt x="14265" y="0"/>
                                </a:lnTo>
                              </a:path>
                            </a:pathLst>
                          </a:custGeom>
                          <a:ln w="9015">
                            <a:solidFill>
                              <a:srgbClr val="FEFEFE"/>
                            </a:solidFill>
                            <a:prstDash val="solid"/>
                          </a:ln>
                        </wps:spPr>
                        <wps:bodyPr wrap="square" lIns="0" tIns="0" rIns="0" bIns="0" rtlCol="0">
                          <a:prstTxWarp prst="textNoShape">
                            <a:avLst/>
                          </a:prstTxWarp>
                          <a:noAutofit/>
                        </wps:bodyPr>
                      </wps:wsp>
                    </wpg:wgp>
                  </a:graphicData>
                </a:graphic>
              </wp:inline>
            </w:drawing>
          </mc:Choice>
          <mc:Fallback>
            <w:pict>
              <v:group style="width:3.4pt;height:.75pt;mso-position-horizontal-relative:char;mso-position-vertical-relative:line" id="docshapegroup281" coordorigin="0,0" coordsize="68,15">
                <v:line style="position:absolute" from="0,7" to="22,7" stroked="true" strokeweight=".709861pt" strokecolor="#fefefe">
                  <v:stroke dashstyle="solid"/>
                </v:line>
                <v:line style="position:absolute" from="45,7" to="67,7" stroked="true" strokeweight=".709861pt" strokecolor="#fefefe">
                  <v:stroke dashstyle="solid"/>
                </v:line>
              </v:group>
            </w:pict>
          </mc:Fallback>
        </mc:AlternateContent>
      </w:r>
      <w:r>
        <w:rPr>
          <w:sz w:val="2"/>
        </w:rPr>
      </w:r>
    </w:p>
    <w:p>
      <w:pPr>
        <w:pStyle w:val="Heading3"/>
        <w:ind w:left="840"/>
      </w:pPr>
      <w:bookmarkStart w:name="_bookmark87" w:id="88"/>
      <w:bookmarkEnd w:id="88"/>
      <w:r>
        <w:rPr>
          <w:b w:val="0"/>
        </w:rPr>
      </w:r>
      <w:r>
        <w:rPr/>
        <w:t>Anexo</w:t>
      </w:r>
      <w:r>
        <w:rPr>
          <w:spacing w:val="-15"/>
        </w:rPr>
        <w:t> </w:t>
      </w:r>
      <w:r>
        <w:rPr/>
        <w:t>X:</w:t>
      </w:r>
      <w:r>
        <w:rPr>
          <w:spacing w:val="-12"/>
        </w:rPr>
        <w:t> </w:t>
      </w:r>
      <w:r>
        <w:rPr/>
        <w:t>Proyectos</w:t>
      </w:r>
      <w:r>
        <w:rPr>
          <w:spacing w:val="-11"/>
        </w:rPr>
        <w:t> </w:t>
      </w:r>
      <w:r>
        <w:rPr/>
        <w:t>de</w:t>
      </w:r>
      <w:r>
        <w:rPr>
          <w:spacing w:val="-11"/>
        </w:rPr>
        <w:t> </w:t>
      </w:r>
      <w:r>
        <w:rPr/>
        <w:t>Obra</w:t>
      </w:r>
      <w:r>
        <w:rPr>
          <w:spacing w:val="-13"/>
        </w:rPr>
        <w:t> </w:t>
      </w:r>
      <w:r>
        <w:rPr/>
        <w:t>Pública</w:t>
      </w:r>
      <w:r>
        <w:rPr>
          <w:spacing w:val="-11"/>
        </w:rPr>
        <w:t> </w:t>
      </w:r>
      <w:r>
        <w:rPr/>
        <w:t>que</w:t>
      </w:r>
      <w:r>
        <w:rPr>
          <w:spacing w:val="-14"/>
        </w:rPr>
        <w:t> </w:t>
      </w:r>
      <w:r>
        <w:rPr/>
        <w:t>cumplen</w:t>
      </w:r>
      <w:r>
        <w:rPr>
          <w:spacing w:val="-12"/>
        </w:rPr>
        <w:t> </w:t>
      </w:r>
      <w:r>
        <w:rPr/>
        <w:t>con</w:t>
      </w:r>
      <w:r>
        <w:rPr>
          <w:spacing w:val="-13"/>
        </w:rPr>
        <w:t> </w:t>
      </w:r>
      <w:r>
        <w:rPr/>
        <w:t>la</w:t>
      </w:r>
      <w:r>
        <w:rPr>
          <w:spacing w:val="-11"/>
        </w:rPr>
        <w:t> </w:t>
      </w:r>
      <w:r>
        <w:rPr/>
        <w:t>etapa</w:t>
      </w:r>
      <w:r>
        <w:rPr>
          <w:spacing w:val="-14"/>
        </w:rPr>
        <w:t> </w:t>
      </w:r>
      <w:r>
        <w:rPr/>
        <w:t>de</w:t>
      </w:r>
      <w:r>
        <w:rPr>
          <w:spacing w:val="-9"/>
        </w:rPr>
        <w:t> </w:t>
      </w:r>
      <w:r>
        <w:rPr>
          <w:spacing w:val="-2"/>
        </w:rPr>
        <w:t>Preinversión.</w:t>
      </w:r>
    </w:p>
    <w:p>
      <w:pPr>
        <w:pStyle w:val="BodyText"/>
        <w:spacing w:before="2"/>
        <w:rPr>
          <w:b/>
          <w:sz w:val="15"/>
        </w:rPr>
      </w:pPr>
      <w:r>
        <w:rPr>
          <w:b/>
          <w:sz w:val="15"/>
        </w:rPr>
        <w:drawing>
          <wp:anchor distT="0" distB="0" distL="0" distR="0" allowOverlap="1" layoutInCell="1" locked="0" behindDoc="1" simplePos="0" relativeHeight="487635456">
            <wp:simplePos x="0" y="0"/>
            <wp:positionH relativeFrom="page">
              <wp:posOffset>989964</wp:posOffset>
            </wp:positionH>
            <wp:positionV relativeFrom="paragraph">
              <wp:posOffset>126558</wp:posOffset>
            </wp:positionV>
            <wp:extent cx="6188494" cy="6830282"/>
            <wp:effectExtent l="0" t="0" r="0" b="0"/>
            <wp:wrapTopAndBottom/>
            <wp:docPr id="373" name="Image 373"/>
            <wp:cNvGraphicFramePr>
              <a:graphicFrameLocks/>
            </wp:cNvGraphicFramePr>
            <a:graphic>
              <a:graphicData uri="http://schemas.openxmlformats.org/drawingml/2006/picture">
                <pic:pic>
                  <pic:nvPicPr>
                    <pic:cNvPr id="373" name="Image 373"/>
                    <pic:cNvPicPr/>
                  </pic:nvPicPr>
                  <pic:blipFill>
                    <a:blip r:embed="rId156" cstate="print"/>
                    <a:stretch>
                      <a:fillRect/>
                    </a:stretch>
                  </pic:blipFill>
                  <pic:spPr>
                    <a:xfrm>
                      <a:off x="0" y="0"/>
                      <a:ext cx="6188494" cy="6830282"/>
                    </a:xfrm>
                    <a:prstGeom prst="rect">
                      <a:avLst/>
                    </a:prstGeom>
                  </pic:spPr>
                </pic:pic>
              </a:graphicData>
            </a:graphic>
          </wp:anchor>
        </w:drawing>
      </w:r>
    </w:p>
    <w:p>
      <w:pPr>
        <w:pStyle w:val="BodyText"/>
        <w:spacing w:after="0"/>
        <w:rPr>
          <w:b/>
          <w:sz w:val="15"/>
        </w:rPr>
        <w:sectPr>
          <w:pgSz w:w="12240" w:h="15840"/>
          <w:pgMar w:header="0" w:footer="2404" w:top="1580" w:bottom="2600" w:left="720" w:right="720"/>
        </w:sectPr>
      </w:pPr>
    </w:p>
    <w:p>
      <w:pPr>
        <w:spacing w:line="20" w:lineRule="exact"/>
        <w:ind w:left="5276" w:right="0" w:firstLine="0"/>
        <w:rPr>
          <w:sz w:val="2"/>
        </w:rPr>
      </w:pPr>
      <w:r>
        <w:rPr>
          <w:sz w:val="2"/>
        </w:rPr>
        <mc:AlternateContent>
          <mc:Choice Requires="wps">
            <w:drawing>
              <wp:inline distT="0" distB="0" distL="0" distR="0">
                <wp:extent cx="43180" cy="9525"/>
                <wp:effectExtent l="9525" t="0" r="0" b="0"/>
                <wp:docPr id="374" name="Group 374"/>
                <wp:cNvGraphicFramePr>
                  <a:graphicFrameLocks/>
                </wp:cNvGraphicFramePr>
                <a:graphic>
                  <a:graphicData uri="http://schemas.microsoft.com/office/word/2010/wordprocessingGroup">
                    <wpg:wgp>
                      <wpg:cNvPr id="374" name="Group 374"/>
                      <wpg:cNvGrpSpPr/>
                      <wpg:grpSpPr>
                        <a:xfrm>
                          <a:off x="0" y="0"/>
                          <a:ext cx="43180" cy="9525"/>
                          <a:chExt cx="43180" cy="9525"/>
                        </a:xfrm>
                      </wpg:grpSpPr>
                      <wps:wsp>
                        <wps:cNvPr id="375" name="Graphic 375"/>
                        <wps:cNvSpPr/>
                        <wps:spPr>
                          <a:xfrm>
                            <a:off x="0" y="4508"/>
                            <a:ext cx="14604" cy="1270"/>
                          </a:xfrm>
                          <a:custGeom>
                            <a:avLst/>
                            <a:gdLst/>
                            <a:ahLst/>
                            <a:cxnLst/>
                            <a:rect l="l" t="t" r="r" b="b"/>
                            <a:pathLst>
                              <a:path w="14604" h="0">
                                <a:moveTo>
                                  <a:pt x="0" y="0"/>
                                </a:moveTo>
                                <a:lnTo>
                                  <a:pt x="14264" y="0"/>
                                </a:lnTo>
                              </a:path>
                            </a:pathLst>
                          </a:custGeom>
                          <a:ln w="9017">
                            <a:solidFill>
                              <a:srgbClr val="FEFEFE"/>
                            </a:solidFill>
                            <a:prstDash val="solid"/>
                          </a:ln>
                        </wps:spPr>
                        <wps:bodyPr wrap="square" lIns="0" tIns="0" rIns="0" bIns="0" rtlCol="0">
                          <a:prstTxWarp prst="textNoShape">
                            <a:avLst/>
                          </a:prstTxWarp>
                          <a:noAutofit/>
                        </wps:bodyPr>
                      </wps:wsp>
                      <wps:wsp>
                        <wps:cNvPr id="376" name="Graphic 376"/>
                        <wps:cNvSpPr/>
                        <wps:spPr>
                          <a:xfrm>
                            <a:off x="28575" y="4508"/>
                            <a:ext cx="14604" cy="1270"/>
                          </a:xfrm>
                          <a:custGeom>
                            <a:avLst/>
                            <a:gdLst/>
                            <a:ahLst/>
                            <a:cxnLst/>
                            <a:rect l="l" t="t" r="r" b="b"/>
                            <a:pathLst>
                              <a:path w="14604" h="0">
                                <a:moveTo>
                                  <a:pt x="0" y="0"/>
                                </a:moveTo>
                                <a:lnTo>
                                  <a:pt x="14264" y="0"/>
                                </a:lnTo>
                              </a:path>
                            </a:pathLst>
                          </a:custGeom>
                          <a:ln w="9017">
                            <a:solidFill>
                              <a:srgbClr val="FEFEFE"/>
                            </a:solidFill>
                            <a:prstDash val="solid"/>
                          </a:ln>
                        </wps:spPr>
                        <wps:bodyPr wrap="square" lIns="0" tIns="0" rIns="0" bIns="0" rtlCol="0">
                          <a:prstTxWarp prst="textNoShape">
                            <a:avLst/>
                          </a:prstTxWarp>
                          <a:noAutofit/>
                        </wps:bodyPr>
                      </wps:wsp>
                    </wpg:wgp>
                  </a:graphicData>
                </a:graphic>
              </wp:inline>
            </w:drawing>
          </mc:Choice>
          <mc:Fallback>
            <w:pict>
              <v:group style="width:3.4pt;height:.75pt;mso-position-horizontal-relative:char;mso-position-vertical-relative:line" id="docshapegroup282" coordorigin="0,0" coordsize="68,15">
                <v:line style="position:absolute" from="0,7" to="22,7" stroked="true" strokeweight=".710005pt" strokecolor="#fefefe">
                  <v:stroke dashstyle="solid"/>
                </v:line>
                <v:line style="position:absolute" from="45,7" to="67,7" stroked="true" strokeweight=".710005pt" strokecolor="#fefefe">
                  <v:stroke dashstyle="solid"/>
                </v:line>
              </v:group>
            </w:pict>
          </mc:Fallback>
        </mc:AlternateContent>
      </w:r>
      <w:r>
        <w:rPr>
          <w:sz w:val="2"/>
        </w:rPr>
      </w:r>
    </w:p>
    <w:p>
      <w:pPr>
        <w:pStyle w:val="BodyText"/>
        <w:spacing w:before="272"/>
        <w:rPr>
          <w:b/>
          <w:sz w:val="24"/>
        </w:rPr>
      </w:pPr>
    </w:p>
    <w:p>
      <w:pPr>
        <w:pStyle w:val="Heading3"/>
        <w:ind w:left="840" w:right="911"/>
      </w:pPr>
      <w:bookmarkStart w:name="_bookmark88" w:id="89"/>
      <w:bookmarkEnd w:id="89"/>
      <w:r>
        <w:rPr>
          <w:b w:val="0"/>
        </w:rPr>
      </w:r>
      <w:r>
        <w:rPr/>
        <w:t>Anexo</w:t>
      </w:r>
      <w:r>
        <w:rPr>
          <w:spacing w:val="-14"/>
        </w:rPr>
        <w:t> </w:t>
      </w:r>
      <w:r>
        <w:rPr/>
        <w:t>XI:</w:t>
      </w:r>
      <w:r>
        <w:rPr>
          <w:spacing w:val="-14"/>
        </w:rPr>
        <w:t> </w:t>
      </w:r>
      <w:r>
        <w:rPr/>
        <w:t>Información</w:t>
      </w:r>
      <w:r>
        <w:rPr>
          <w:spacing w:val="-14"/>
        </w:rPr>
        <w:t> </w:t>
      </w:r>
      <w:r>
        <w:rPr/>
        <w:t>de</w:t>
      </w:r>
      <w:r>
        <w:rPr>
          <w:spacing w:val="-15"/>
        </w:rPr>
        <w:t> </w:t>
      </w:r>
      <w:r>
        <w:rPr/>
        <w:t>los</w:t>
      </w:r>
      <w:r>
        <w:rPr>
          <w:spacing w:val="-15"/>
        </w:rPr>
        <w:t> </w:t>
      </w:r>
      <w:r>
        <w:rPr/>
        <w:t>proyectos</w:t>
      </w:r>
      <w:r>
        <w:rPr>
          <w:spacing w:val="-10"/>
        </w:rPr>
        <w:t> </w:t>
      </w:r>
      <w:r>
        <w:rPr/>
        <w:t>de</w:t>
      </w:r>
      <w:r>
        <w:rPr>
          <w:spacing w:val="-15"/>
        </w:rPr>
        <w:t> </w:t>
      </w:r>
      <w:r>
        <w:rPr/>
        <w:t>Obra</w:t>
      </w:r>
      <w:r>
        <w:rPr>
          <w:spacing w:val="-15"/>
        </w:rPr>
        <w:t> </w:t>
      </w:r>
      <w:r>
        <w:rPr/>
        <w:t>Pública</w:t>
      </w:r>
      <w:r>
        <w:rPr>
          <w:spacing w:val="-15"/>
        </w:rPr>
        <w:t> </w:t>
      </w:r>
      <w:r>
        <w:rPr/>
        <w:t>incorporados</w:t>
      </w:r>
      <w:r>
        <w:rPr>
          <w:spacing w:val="-16"/>
        </w:rPr>
        <w:t> </w:t>
      </w:r>
      <w:r>
        <w:rPr/>
        <w:t>en</w:t>
      </w:r>
      <w:r>
        <w:rPr>
          <w:spacing w:val="-16"/>
        </w:rPr>
        <w:t> </w:t>
      </w:r>
      <w:r>
        <w:rPr/>
        <w:t>el</w:t>
      </w:r>
      <w:r>
        <w:rPr>
          <w:spacing w:val="-15"/>
        </w:rPr>
        <w:t> </w:t>
      </w:r>
      <w:r>
        <w:rPr/>
        <w:t>POI y Presupuesto 2027.</w:t>
      </w:r>
    </w:p>
    <w:p>
      <w:pPr>
        <w:pStyle w:val="BodyText"/>
        <w:spacing w:before="45"/>
        <w:rPr>
          <w:b/>
          <w:sz w:val="20"/>
        </w:rPr>
      </w:pPr>
    </w:p>
    <w:tbl>
      <w:tblPr>
        <w:tblW w:w="0" w:type="auto"/>
        <w:jc w:val="left"/>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824"/>
        <w:gridCol w:w="6526"/>
      </w:tblGrid>
      <w:tr>
        <w:trPr>
          <w:trHeight w:val="882" w:hRule="atLeast"/>
        </w:trPr>
        <w:tc>
          <w:tcPr>
            <w:tcW w:w="3824" w:type="dxa"/>
            <w:shd w:val="clear" w:color="auto" w:fill="0A2F40"/>
          </w:tcPr>
          <w:p>
            <w:pPr>
              <w:pStyle w:val="TableParagraph"/>
              <w:spacing w:before="95"/>
              <w:rPr>
                <w:b/>
                <w:sz w:val="20"/>
              </w:rPr>
            </w:pPr>
          </w:p>
          <w:p>
            <w:pPr>
              <w:pStyle w:val="TableParagraph"/>
              <w:spacing w:before="1"/>
              <w:ind w:left="69"/>
              <w:rPr>
                <w:sz w:val="20"/>
              </w:rPr>
            </w:pPr>
            <w:r>
              <w:rPr>
                <w:color w:val="FFFFFF"/>
                <w:sz w:val="20"/>
              </w:rPr>
              <w:t>Nombre</w:t>
            </w:r>
            <w:r>
              <w:rPr>
                <w:color w:val="FFFFFF"/>
                <w:spacing w:val="-6"/>
                <w:sz w:val="20"/>
              </w:rPr>
              <w:t> </w:t>
            </w:r>
            <w:r>
              <w:rPr>
                <w:color w:val="FFFFFF"/>
                <w:sz w:val="20"/>
              </w:rPr>
              <w:t>del</w:t>
            </w:r>
            <w:r>
              <w:rPr>
                <w:color w:val="FFFFFF"/>
                <w:spacing w:val="-7"/>
                <w:sz w:val="20"/>
              </w:rPr>
              <w:t> </w:t>
            </w:r>
            <w:r>
              <w:rPr>
                <w:color w:val="FFFFFF"/>
                <w:spacing w:val="-2"/>
                <w:sz w:val="20"/>
              </w:rPr>
              <w:t>Proyecto:</w:t>
            </w:r>
          </w:p>
        </w:tc>
        <w:tc>
          <w:tcPr>
            <w:tcW w:w="6526" w:type="dxa"/>
          </w:tcPr>
          <w:p>
            <w:pPr>
              <w:pStyle w:val="TableParagraph"/>
              <w:spacing w:before="95"/>
              <w:rPr>
                <w:b/>
                <w:sz w:val="20"/>
              </w:rPr>
            </w:pPr>
          </w:p>
          <w:p>
            <w:pPr>
              <w:pStyle w:val="TableParagraph"/>
              <w:spacing w:before="1"/>
              <w:ind w:left="69"/>
              <w:rPr>
                <w:sz w:val="20"/>
              </w:rPr>
            </w:pPr>
            <w:r>
              <w:rPr>
                <w:sz w:val="20"/>
              </w:rPr>
              <w:t>Reconstrucción</w:t>
            </w:r>
            <w:r>
              <w:rPr>
                <w:spacing w:val="-7"/>
                <w:sz w:val="20"/>
              </w:rPr>
              <w:t> </w:t>
            </w:r>
            <w:r>
              <w:rPr>
                <w:sz w:val="20"/>
              </w:rPr>
              <w:t>del</w:t>
            </w:r>
            <w:r>
              <w:rPr>
                <w:spacing w:val="-8"/>
                <w:sz w:val="20"/>
              </w:rPr>
              <w:t> </w:t>
            </w:r>
            <w:r>
              <w:rPr>
                <w:sz w:val="20"/>
              </w:rPr>
              <w:t>edificio</w:t>
            </w:r>
            <w:r>
              <w:rPr>
                <w:spacing w:val="-7"/>
                <w:sz w:val="20"/>
              </w:rPr>
              <w:t> </w:t>
            </w:r>
            <w:r>
              <w:rPr>
                <w:sz w:val="20"/>
              </w:rPr>
              <w:t>central</w:t>
            </w:r>
            <w:r>
              <w:rPr>
                <w:spacing w:val="-7"/>
                <w:sz w:val="20"/>
              </w:rPr>
              <w:t> </w:t>
            </w:r>
            <w:r>
              <w:rPr>
                <w:sz w:val="20"/>
              </w:rPr>
              <w:t>del</w:t>
            </w:r>
            <w:r>
              <w:rPr>
                <w:spacing w:val="-9"/>
                <w:sz w:val="20"/>
              </w:rPr>
              <w:t> </w:t>
            </w:r>
            <w:r>
              <w:rPr>
                <w:sz w:val="20"/>
              </w:rPr>
              <w:t>Área</w:t>
            </w:r>
            <w:r>
              <w:rPr>
                <w:spacing w:val="-8"/>
                <w:sz w:val="20"/>
              </w:rPr>
              <w:t> </w:t>
            </w:r>
            <w:r>
              <w:rPr>
                <w:sz w:val="20"/>
              </w:rPr>
              <w:t>Regional</w:t>
            </w:r>
            <w:r>
              <w:rPr>
                <w:spacing w:val="-8"/>
                <w:sz w:val="20"/>
              </w:rPr>
              <w:t> </w:t>
            </w:r>
            <w:r>
              <w:rPr>
                <w:sz w:val="20"/>
              </w:rPr>
              <w:t>Limón</w:t>
            </w:r>
            <w:r>
              <w:rPr>
                <w:spacing w:val="-8"/>
                <w:sz w:val="20"/>
              </w:rPr>
              <w:t> </w:t>
            </w:r>
            <w:r>
              <w:rPr>
                <w:sz w:val="20"/>
              </w:rPr>
              <w:t>del</w:t>
            </w:r>
            <w:r>
              <w:rPr>
                <w:spacing w:val="-9"/>
                <w:sz w:val="20"/>
              </w:rPr>
              <w:t> </w:t>
            </w:r>
            <w:r>
              <w:rPr>
                <w:spacing w:val="-4"/>
                <w:sz w:val="20"/>
              </w:rPr>
              <w:t>IMAS</w:t>
            </w:r>
          </w:p>
        </w:tc>
      </w:tr>
      <w:tr>
        <w:trPr>
          <w:trHeight w:val="2971" w:hRule="atLeast"/>
        </w:trPr>
        <w:tc>
          <w:tcPr>
            <w:tcW w:w="3824" w:type="dxa"/>
            <w:shd w:val="clear" w:color="auto" w:fill="0A2F40"/>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220"/>
              <w:rPr>
                <w:b/>
                <w:sz w:val="20"/>
              </w:rPr>
            </w:pPr>
          </w:p>
          <w:p>
            <w:pPr>
              <w:pStyle w:val="TableParagraph"/>
              <w:ind w:left="69"/>
              <w:rPr>
                <w:sz w:val="20"/>
              </w:rPr>
            </w:pPr>
            <w:r>
              <w:rPr>
                <w:color w:val="FFFFFF"/>
                <w:sz w:val="20"/>
              </w:rPr>
              <w:t>Descripción</w:t>
            </w:r>
            <w:r>
              <w:rPr>
                <w:color w:val="FFFFFF"/>
                <w:spacing w:val="-7"/>
                <w:sz w:val="20"/>
              </w:rPr>
              <w:t> </w:t>
            </w:r>
            <w:r>
              <w:rPr>
                <w:color w:val="FFFFFF"/>
                <w:sz w:val="20"/>
              </w:rPr>
              <w:t>y</w:t>
            </w:r>
            <w:r>
              <w:rPr>
                <w:color w:val="FFFFFF"/>
                <w:spacing w:val="-8"/>
                <w:sz w:val="20"/>
              </w:rPr>
              <w:t> </w:t>
            </w:r>
            <w:r>
              <w:rPr>
                <w:color w:val="FFFFFF"/>
                <w:sz w:val="20"/>
              </w:rPr>
              <w:t>objetivo</w:t>
            </w:r>
            <w:r>
              <w:rPr>
                <w:color w:val="FFFFFF"/>
                <w:spacing w:val="-9"/>
                <w:sz w:val="20"/>
              </w:rPr>
              <w:t> </w:t>
            </w:r>
            <w:r>
              <w:rPr>
                <w:color w:val="FFFFFF"/>
                <w:spacing w:val="-2"/>
                <w:sz w:val="20"/>
              </w:rPr>
              <w:t>general:</w:t>
            </w:r>
          </w:p>
        </w:tc>
        <w:tc>
          <w:tcPr>
            <w:tcW w:w="6526" w:type="dxa"/>
          </w:tcPr>
          <w:p>
            <w:pPr>
              <w:pStyle w:val="TableParagraph"/>
              <w:rPr>
                <w:b/>
                <w:sz w:val="20"/>
              </w:rPr>
            </w:pPr>
          </w:p>
          <w:p>
            <w:pPr>
              <w:pStyle w:val="TableParagraph"/>
              <w:spacing w:before="105"/>
              <w:rPr>
                <w:b/>
                <w:sz w:val="20"/>
              </w:rPr>
            </w:pPr>
          </w:p>
          <w:p>
            <w:pPr>
              <w:pStyle w:val="TableParagraph"/>
              <w:spacing w:before="1"/>
              <w:ind w:left="69" w:right="282"/>
              <w:jc w:val="both"/>
              <w:rPr>
                <w:sz w:val="20"/>
              </w:rPr>
            </w:pPr>
            <w:r>
              <w:rPr>
                <w:b/>
                <w:sz w:val="20"/>
              </w:rPr>
              <w:t>Descripción</w:t>
            </w:r>
            <w:r>
              <w:rPr>
                <w:sz w:val="20"/>
              </w:rPr>
              <w:t>: Reconstruir el</w:t>
            </w:r>
            <w:r>
              <w:rPr>
                <w:spacing w:val="-2"/>
                <w:sz w:val="20"/>
              </w:rPr>
              <w:t> </w:t>
            </w:r>
            <w:r>
              <w:rPr>
                <w:sz w:val="20"/>
              </w:rPr>
              <w:t>edificio</w:t>
            </w:r>
            <w:r>
              <w:rPr>
                <w:spacing w:val="-1"/>
                <w:sz w:val="20"/>
              </w:rPr>
              <w:t> </w:t>
            </w:r>
            <w:r>
              <w:rPr>
                <w:sz w:val="20"/>
              </w:rPr>
              <w:t>central del</w:t>
            </w:r>
            <w:r>
              <w:rPr>
                <w:spacing w:val="-2"/>
                <w:sz w:val="20"/>
              </w:rPr>
              <w:t> </w:t>
            </w:r>
            <w:r>
              <w:rPr>
                <w:sz w:val="20"/>
              </w:rPr>
              <w:t>Área</w:t>
            </w:r>
            <w:r>
              <w:rPr>
                <w:spacing w:val="-2"/>
                <w:sz w:val="20"/>
              </w:rPr>
              <w:t> </w:t>
            </w:r>
            <w:r>
              <w:rPr>
                <w:sz w:val="20"/>
              </w:rPr>
              <w:t>Regional</w:t>
            </w:r>
            <w:r>
              <w:rPr>
                <w:spacing w:val="-2"/>
                <w:sz w:val="20"/>
              </w:rPr>
              <w:t> </w:t>
            </w:r>
            <w:r>
              <w:rPr>
                <w:sz w:val="20"/>
              </w:rPr>
              <w:t>Huetar Caribe</w:t>
            </w:r>
            <w:r>
              <w:rPr>
                <w:spacing w:val="-5"/>
                <w:sz w:val="20"/>
              </w:rPr>
              <w:t> </w:t>
            </w:r>
            <w:r>
              <w:rPr>
                <w:sz w:val="20"/>
              </w:rPr>
              <w:t>para</w:t>
            </w:r>
            <w:r>
              <w:rPr>
                <w:spacing w:val="-2"/>
                <w:sz w:val="20"/>
              </w:rPr>
              <w:t> </w:t>
            </w:r>
            <w:r>
              <w:rPr>
                <w:sz w:val="20"/>
              </w:rPr>
              <w:t>contar</w:t>
            </w:r>
            <w:r>
              <w:rPr>
                <w:spacing w:val="-5"/>
                <w:sz w:val="20"/>
              </w:rPr>
              <w:t> </w:t>
            </w:r>
            <w:r>
              <w:rPr>
                <w:sz w:val="20"/>
              </w:rPr>
              <w:t>con</w:t>
            </w:r>
            <w:r>
              <w:rPr>
                <w:spacing w:val="-5"/>
                <w:sz w:val="20"/>
              </w:rPr>
              <w:t> </w:t>
            </w:r>
            <w:r>
              <w:rPr>
                <w:sz w:val="20"/>
              </w:rPr>
              <w:t>una</w:t>
            </w:r>
            <w:r>
              <w:rPr>
                <w:spacing w:val="-3"/>
                <w:sz w:val="20"/>
              </w:rPr>
              <w:t> </w:t>
            </w:r>
            <w:r>
              <w:rPr>
                <w:sz w:val="20"/>
              </w:rPr>
              <w:t>mayor</w:t>
            </w:r>
            <w:r>
              <w:rPr>
                <w:spacing w:val="-5"/>
                <w:sz w:val="20"/>
              </w:rPr>
              <w:t> </w:t>
            </w:r>
            <w:r>
              <w:rPr>
                <w:sz w:val="20"/>
              </w:rPr>
              <w:t>cantidad</w:t>
            </w:r>
            <w:r>
              <w:rPr>
                <w:spacing w:val="-6"/>
                <w:sz w:val="20"/>
              </w:rPr>
              <w:t> </w:t>
            </w:r>
            <w:r>
              <w:rPr>
                <w:sz w:val="20"/>
              </w:rPr>
              <w:t>de</w:t>
            </w:r>
            <w:r>
              <w:rPr>
                <w:spacing w:val="-5"/>
                <w:sz w:val="20"/>
              </w:rPr>
              <w:t> </w:t>
            </w:r>
            <w:r>
              <w:rPr>
                <w:sz w:val="20"/>
              </w:rPr>
              <w:t>espacio</w:t>
            </w:r>
            <w:r>
              <w:rPr>
                <w:spacing w:val="-3"/>
                <w:sz w:val="20"/>
              </w:rPr>
              <w:t> </w:t>
            </w:r>
            <w:r>
              <w:rPr>
                <w:sz w:val="20"/>
              </w:rPr>
              <w:t>para</w:t>
            </w:r>
            <w:r>
              <w:rPr>
                <w:spacing w:val="-5"/>
                <w:sz w:val="20"/>
              </w:rPr>
              <w:t> </w:t>
            </w:r>
            <w:r>
              <w:rPr>
                <w:sz w:val="20"/>
              </w:rPr>
              <w:t>suplir</w:t>
            </w:r>
            <w:r>
              <w:rPr>
                <w:spacing w:val="-4"/>
                <w:sz w:val="20"/>
              </w:rPr>
              <w:t> </w:t>
            </w:r>
            <w:r>
              <w:rPr>
                <w:sz w:val="20"/>
              </w:rPr>
              <w:t>las necesidades de las personas usuarias y personas funcionarias.</w:t>
            </w:r>
          </w:p>
          <w:p>
            <w:pPr>
              <w:pStyle w:val="TableParagraph"/>
              <w:spacing w:before="229"/>
              <w:ind w:left="69" w:right="78"/>
              <w:rPr>
                <w:sz w:val="20"/>
              </w:rPr>
            </w:pPr>
            <w:r>
              <w:rPr>
                <w:b/>
                <w:sz w:val="20"/>
              </w:rPr>
              <w:t>Objetivo General</w:t>
            </w:r>
            <w:r>
              <w:rPr>
                <w:sz w:val="20"/>
              </w:rPr>
              <w:t>: Reconstruir el edificio central del Área Regional Huetar</w:t>
            </w:r>
            <w:r>
              <w:rPr>
                <w:spacing w:val="-5"/>
                <w:sz w:val="20"/>
              </w:rPr>
              <w:t> </w:t>
            </w:r>
            <w:r>
              <w:rPr>
                <w:sz w:val="20"/>
              </w:rPr>
              <w:t>Caribe</w:t>
            </w:r>
            <w:r>
              <w:rPr>
                <w:spacing w:val="-5"/>
                <w:sz w:val="20"/>
              </w:rPr>
              <w:t> </w:t>
            </w:r>
            <w:r>
              <w:rPr>
                <w:sz w:val="20"/>
              </w:rPr>
              <w:t>para</w:t>
            </w:r>
            <w:r>
              <w:rPr>
                <w:spacing w:val="-5"/>
                <w:sz w:val="20"/>
              </w:rPr>
              <w:t> </w:t>
            </w:r>
            <w:r>
              <w:rPr>
                <w:sz w:val="20"/>
              </w:rPr>
              <w:t>contar</w:t>
            </w:r>
            <w:r>
              <w:rPr>
                <w:spacing w:val="-3"/>
                <w:sz w:val="20"/>
              </w:rPr>
              <w:t> </w:t>
            </w:r>
            <w:r>
              <w:rPr>
                <w:sz w:val="20"/>
              </w:rPr>
              <w:t>con</w:t>
            </w:r>
            <w:r>
              <w:rPr>
                <w:spacing w:val="-6"/>
                <w:sz w:val="20"/>
              </w:rPr>
              <w:t> </w:t>
            </w:r>
            <w:r>
              <w:rPr>
                <w:sz w:val="20"/>
              </w:rPr>
              <w:t>una</w:t>
            </w:r>
            <w:r>
              <w:rPr>
                <w:spacing w:val="-5"/>
                <w:sz w:val="20"/>
              </w:rPr>
              <w:t> </w:t>
            </w:r>
            <w:r>
              <w:rPr>
                <w:sz w:val="20"/>
              </w:rPr>
              <w:t>mayor</w:t>
            </w:r>
            <w:r>
              <w:rPr>
                <w:spacing w:val="-5"/>
                <w:sz w:val="20"/>
              </w:rPr>
              <w:t> </w:t>
            </w:r>
            <w:r>
              <w:rPr>
                <w:sz w:val="20"/>
              </w:rPr>
              <w:t>cantidad</w:t>
            </w:r>
            <w:r>
              <w:rPr>
                <w:spacing w:val="-5"/>
                <w:sz w:val="20"/>
              </w:rPr>
              <w:t> </w:t>
            </w:r>
            <w:r>
              <w:rPr>
                <w:sz w:val="20"/>
              </w:rPr>
              <w:t>de</w:t>
            </w:r>
            <w:r>
              <w:rPr>
                <w:spacing w:val="-3"/>
                <w:sz w:val="20"/>
              </w:rPr>
              <w:t> </w:t>
            </w:r>
            <w:r>
              <w:rPr>
                <w:sz w:val="20"/>
              </w:rPr>
              <w:t>espacio</w:t>
            </w:r>
            <w:r>
              <w:rPr>
                <w:spacing w:val="-3"/>
                <w:sz w:val="20"/>
              </w:rPr>
              <w:t> </w:t>
            </w:r>
            <w:r>
              <w:rPr>
                <w:sz w:val="20"/>
              </w:rPr>
              <w:t>para suplir las necesidades de las personas usuarias y personas </w:t>
            </w:r>
            <w:r>
              <w:rPr>
                <w:spacing w:val="-2"/>
                <w:sz w:val="20"/>
              </w:rPr>
              <w:t>funcionarias.</w:t>
            </w:r>
          </w:p>
        </w:tc>
      </w:tr>
      <w:tr>
        <w:trPr>
          <w:trHeight w:val="690" w:hRule="atLeast"/>
        </w:trPr>
        <w:tc>
          <w:tcPr>
            <w:tcW w:w="3824" w:type="dxa"/>
            <w:shd w:val="clear" w:color="auto" w:fill="0A2F40"/>
          </w:tcPr>
          <w:p>
            <w:pPr>
              <w:pStyle w:val="TableParagraph"/>
              <w:spacing w:line="230" w:lineRule="exact"/>
              <w:ind w:left="69" w:right="140"/>
              <w:rPr>
                <w:sz w:val="20"/>
              </w:rPr>
            </w:pPr>
            <w:r>
              <w:rPr>
                <w:color w:val="FFFFFF"/>
                <w:sz w:val="20"/>
              </w:rPr>
              <w:t>Fase</w:t>
            </w:r>
            <w:r>
              <w:rPr>
                <w:color w:val="FFFFFF"/>
                <w:spacing w:val="-9"/>
                <w:sz w:val="20"/>
              </w:rPr>
              <w:t> </w:t>
            </w:r>
            <w:r>
              <w:rPr>
                <w:color w:val="FFFFFF"/>
                <w:sz w:val="20"/>
              </w:rPr>
              <w:t>del</w:t>
            </w:r>
            <w:r>
              <w:rPr>
                <w:color w:val="FFFFFF"/>
                <w:spacing w:val="-10"/>
                <w:sz w:val="20"/>
              </w:rPr>
              <w:t> </w:t>
            </w:r>
            <w:r>
              <w:rPr>
                <w:color w:val="FFFFFF"/>
                <w:sz w:val="20"/>
              </w:rPr>
              <w:t>proyecto</w:t>
            </w:r>
            <w:r>
              <w:rPr>
                <w:color w:val="FFFFFF"/>
                <w:spacing w:val="-7"/>
                <w:sz w:val="20"/>
              </w:rPr>
              <w:t> </w:t>
            </w:r>
            <w:r>
              <w:rPr>
                <w:color w:val="FFFFFF"/>
                <w:sz w:val="20"/>
              </w:rPr>
              <w:t>que</w:t>
            </w:r>
            <w:r>
              <w:rPr>
                <w:color w:val="FFFFFF"/>
                <w:spacing w:val="-9"/>
                <w:sz w:val="20"/>
              </w:rPr>
              <w:t> </w:t>
            </w:r>
            <w:r>
              <w:rPr>
                <w:color w:val="FFFFFF"/>
                <w:sz w:val="20"/>
              </w:rPr>
              <w:t>se</w:t>
            </w:r>
            <w:r>
              <w:rPr>
                <w:color w:val="FFFFFF"/>
                <w:spacing w:val="-9"/>
                <w:sz w:val="20"/>
              </w:rPr>
              <w:t> </w:t>
            </w:r>
            <w:r>
              <w:rPr>
                <w:color w:val="FFFFFF"/>
                <w:sz w:val="20"/>
              </w:rPr>
              <w:t>espera alcanzar durante el periodo </w:t>
            </w:r>
            <w:r>
              <w:rPr>
                <w:color w:val="FFFFFF"/>
                <w:spacing w:val="-2"/>
                <w:sz w:val="20"/>
              </w:rPr>
              <w:t>presupuestario:</w:t>
            </w:r>
          </w:p>
        </w:tc>
        <w:tc>
          <w:tcPr>
            <w:tcW w:w="6526" w:type="dxa"/>
          </w:tcPr>
          <w:p>
            <w:pPr>
              <w:pStyle w:val="TableParagraph"/>
              <w:spacing w:before="230"/>
              <w:ind w:left="69"/>
              <w:rPr>
                <w:sz w:val="20"/>
              </w:rPr>
            </w:pPr>
            <w:r>
              <w:rPr>
                <w:spacing w:val="-2"/>
                <w:sz w:val="20"/>
              </w:rPr>
              <w:t>Ejecución</w:t>
            </w:r>
          </w:p>
        </w:tc>
      </w:tr>
      <w:tr>
        <w:trPr>
          <w:trHeight w:val="433" w:hRule="atLeast"/>
        </w:trPr>
        <w:tc>
          <w:tcPr>
            <w:tcW w:w="3824" w:type="dxa"/>
            <w:shd w:val="clear" w:color="auto" w:fill="0A2F40"/>
          </w:tcPr>
          <w:p>
            <w:pPr>
              <w:pStyle w:val="TableParagraph"/>
              <w:spacing w:before="100"/>
              <w:ind w:left="69"/>
              <w:rPr>
                <w:sz w:val="20"/>
              </w:rPr>
            </w:pPr>
            <w:r>
              <w:rPr>
                <w:color w:val="FFFFFF"/>
                <w:sz w:val="20"/>
              </w:rPr>
              <w:t>Modalidad</w:t>
            </w:r>
            <w:r>
              <w:rPr>
                <w:color w:val="FFFFFF"/>
                <w:spacing w:val="-8"/>
                <w:sz w:val="20"/>
              </w:rPr>
              <w:t> </w:t>
            </w:r>
            <w:r>
              <w:rPr>
                <w:color w:val="FFFFFF"/>
                <w:sz w:val="20"/>
              </w:rPr>
              <w:t>de</w:t>
            </w:r>
            <w:r>
              <w:rPr>
                <w:color w:val="FFFFFF"/>
                <w:spacing w:val="-6"/>
                <w:sz w:val="20"/>
              </w:rPr>
              <w:t> </w:t>
            </w:r>
            <w:r>
              <w:rPr>
                <w:color w:val="FFFFFF"/>
                <w:sz w:val="20"/>
              </w:rPr>
              <w:t>ejecución</w:t>
            </w:r>
            <w:r>
              <w:rPr>
                <w:color w:val="FFFFFF"/>
                <w:spacing w:val="-8"/>
                <w:sz w:val="20"/>
              </w:rPr>
              <w:t> </w:t>
            </w:r>
            <w:r>
              <w:rPr>
                <w:color w:val="FFFFFF"/>
                <w:sz w:val="20"/>
              </w:rPr>
              <w:t>y</w:t>
            </w:r>
            <w:r>
              <w:rPr>
                <w:color w:val="FFFFFF"/>
                <w:spacing w:val="-6"/>
                <w:sz w:val="20"/>
              </w:rPr>
              <w:t> </w:t>
            </w:r>
            <w:r>
              <w:rPr>
                <w:color w:val="FFFFFF"/>
                <w:spacing w:val="-2"/>
                <w:sz w:val="20"/>
              </w:rPr>
              <w:t>financiamiento:</w:t>
            </w:r>
          </w:p>
        </w:tc>
        <w:tc>
          <w:tcPr>
            <w:tcW w:w="6526" w:type="dxa"/>
          </w:tcPr>
          <w:p>
            <w:pPr>
              <w:pStyle w:val="TableParagraph"/>
              <w:spacing w:before="100"/>
              <w:ind w:left="69"/>
              <w:rPr>
                <w:sz w:val="20"/>
              </w:rPr>
            </w:pPr>
            <w:r>
              <w:rPr>
                <w:sz w:val="20"/>
              </w:rPr>
              <w:t>Recursos</w:t>
            </w:r>
            <w:r>
              <w:rPr>
                <w:spacing w:val="-8"/>
                <w:sz w:val="20"/>
              </w:rPr>
              <w:t> </w:t>
            </w:r>
            <w:r>
              <w:rPr>
                <w:spacing w:val="-2"/>
                <w:sz w:val="20"/>
              </w:rPr>
              <w:t>Propios</w:t>
            </w:r>
          </w:p>
        </w:tc>
      </w:tr>
      <w:tr>
        <w:trPr>
          <w:trHeight w:val="460" w:hRule="atLeast"/>
        </w:trPr>
        <w:tc>
          <w:tcPr>
            <w:tcW w:w="3824" w:type="dxa"/>
            <w:shd w:val="clear" w:color="auto" w:fill="0A2F40"/>
          </w:tcPr>
          <w:p>
            <w:pPr>
              <w:pStyle w:val="TableParagraph"/>
              <w:spacing w:before="114"/>
              <w:ind w:left="69"/>
              <w:rPr>
                <w:sz w:val="20"/>
              </w:rPr>
            </w:pPr>
            <w:r>
              <w:rPr>
                <w:color w:val="FFFFFF"/>
                <w:spacing w:val="-2"/>
                <w:sz w:val="20"/>
              </w:rPr>
              <w:t>Presupuesto</w:t>
            </w:r>
            <w:r>
              <w:rPr>
                <w:color w:val="FFFFFF"/>
                <w:spacing w:val="5"/>
                <w:sz w:val="20"/>
              </w:rPr>
              <w:t> </w:t>
            </w:r>
            <w:r>
              <w:rPr>
                <w:color w:val="FFFFFF"/>
                <w:spacing w:val="-2"/>
                <w:sz w:val="20"/>
              </w:rPr>
              <w:t>total:</w:t>
            </w:r>
          </w:p>
        </w:tc>
        <w:tc>
          <w:tcPr>
            <w:tcW w:w="6526" w:type="dxa"/>
          </w:tcPr>
          <w:p>
            <w:pPr>
              <w:pStyle w:val="TableParagraph"/>
              <w:spacing w:line="229" w:lineRule="exact"/>
              <w:ind w:left="5127"/>
              <w:rPr>
                <w:sz w:val="20"/>
              </w:rPr>
            </w:pPr>
            <w:r>
              <w:rPr>
                <w:b/>
                <w:sz w:val="20"/>
              </w:rPr>
              <w:t>₡</w:t>
            </w:r>
            <w:r>
              <w:rPr>
                <w:b/>
                <w:spacing w:val="-4"/>
                <w:sz w:val="20"/>
              </w:rPr>
              <w:t> </w:t>
            </w:r>
            <w:r>
              <w:rPr>
                <w:sz w:val="20"/>
              </w:rPr>
              <w:t>444</w:t>
            </w:r>
            <w:r>
              <w:rPr>
                <w:spacing w:val="-4"/>
                <w:sz w:val="20"/>
              </w:rPr>
              <w:t> </w:t>
            </w:r>
            <w:r>
              <w:rPr>
                <w:spacing w:val="-5"/>
                <w:sz w:val="20"/>
              </w:rPr>
              <w:t>700</w:t>
            </w:r>
          </w:p>
          <w:p>
            <w:pPr>
              <w:pStyle w:val="TableParagraph"/>
              <w:spacing w:line="211" w:lineRule="exact"/>
              <w:ind w:left="69"/>
              <w:rPr>
                <w:sz w:val="20"/>
              </w:rPr>
            </w:pPr>
            <w:r>
              <w:rPr>
                <w:spacing w:val="-2"/>
                <w:sz w:val="20"/>
              </w:rPr>
              <w:t>000,00</w:t>
            </w:r>
          </w:p>
        </w:tc>
      </w:tr>
      <w:tr>
        <w:trPr>
          <w:trHeight w:val="300" w:hRule="atLeast"/>
        </w:trPr>
        <w:tc>
          <w:tcPr>
            <w:tcW w:w="3824" w:type="dxa"/>
            <w:shd w:val="clear" w:color="auto" w:fill="0A2F40"/>
          </w:tcPr>
          <w:p>
            <w:pPr>
              <w:pStyle w:val="TableParagraph"/>
              <w:spacing w:before="33"/>
              <w:ind w:left="69"/>
              <w:rPr>
                <w:sz w:val="20"/>
              </w:rPr>
            </w:pPr>
            <w:r>
              <w:rPr>
                <w:color w:val="FFFFFF"/>
                <w:sz w:val="20"/>
              </w:rPr>
              <w:t>Plazo</w:t>
            </w:r>
            <w:r>
              <w:rPr>
                <w:color w:val="FFFFFF"/>
                <w:spacing w:val="-6"/>
                <w:sz w:val="20"/>
              </w:rPr>
              <w:t> </w:t>
            </w:r>
            <w:r>
              <w:rPr>
                <w:color w:val="FFFFFF"/>
                <w:sz w:val="20"/>
              </w:rPr>
              <w:t>estimado</w:t>
            </w:r>
            <w:r>
              <w:rPr>
                <w:color w:val="FFFFFF"/>
                <w:spacing w:val="-7"/>
                <w:sz w:val="20"/>
              </w:rPr>
              <w:t> </w:t>
            </w:r>
            <w:r>
              <w:rPr>
                <w:color w:val="FFFFFF"/>
                <w:sz w:val="20"/>
              </w:rPr>
              <w:t>para</w:t>
            </w:r>
            <w:r>
              <w:rPr>
                <w:color w:val="FFFFFF"/>
                <w:spacing w:val="-7"/>
                <w:sz w:val="20"/>
              </w:rPr>
              <w:t> </w:t>
            </w:r>
            <w:r>
              <w:rPr>
                <w:color w:val="FFFFFF"/>
                <w:sz w:val="20"/>
              </w:rPr>
              <w:t>su</w:t>
            </w:r>
            <w:r>
              <w:rPr>
                <w:color w:val="FFFFFF"/>
                <w:spacing w:val="-7"/>
                <w:sz w:val="20"/>
              </w:rPr>
              <w:t> </w:t>
            </w:r>
            <w:r>
              <w:rPr>
                <w:color w:val="FFFFFF"/>
                <w:spacing w:val="-2"/>
                <w:sz w:val="20"/>
              </w:rPr>
              <w:t>ejecución:</w:t>
            </w:r>
          </w:p>
        </w:tc>
        <w:tc>
          <w:tcPr>
            <w:tcW w:w="6526" w:type="dxa"/>
          </w:tcPr>
          <w:p>
            <w:pPr>
              <w:pStyle w:val="TableParagraph"/>
              <w:spacing w:before="33"/>
              <w:ind w:right="61"/>
              <w:jc w:val="right"/>
              <w:rPr>
                <w:sz w:val="20"/>
              </w:rPr>
            </w:pPr>
            <w:r>
              <w:rPr>
                <w:spacing w:val="-2"/>
                <w:sz w:val="20"/>
              </w:rPr>
              <w:t>25/10/2026</w:t>
            </w:r>
          </w:p>
        </w:tc>
      </w:tr>
      <w:tr>
        <w:trPr>
          <w:trHeight w:val="493" w:hRule="atLeast"/>
        </w:trPr>
        <w:tc>
          <w:tcPr>
            <w:tcW w:w="3824" w:type="dxa"/>
            <w:shd w:val="clear" w:color="auto" w:fill="0A2F40"/>
          </w:tcPr>
          <w:p>
            <w:pPr>
              <w:pStyle w:val="TableParagraph"/>
              <w:spacing w:before="131"/>
              <w:ind w:left="69"/>
              <w:rPr>
                <w:sz w:val="20"/>
              </w:rPr>
            </w:pPr>
            <w:r>
              <w:rPr>
                <w:color w:val="FFFFFF"/>
                <w:sz w:val="20"/>
              </w:rPr>
              <w:t>Monto</w:t>
            </w:r>
            <w:r>
              <w:rPr>
                <w:color w:val="FFFFFF"/>
                <w:spacing w:val="-7"/>
                <w:sz w:val="20"/>
              </w:rPr>
              <w:t> </w:t>
            </w:r>
            <w:r>
              <w:rPr>
                <w:color w:val="FFFFFF"/>
                <w:sz w:val="20"/>
              </w:rPr>
              <w:t>total</w:t>
            </w:r>
            <w:r>
              <w:rPr>
                <w:color w:val="FFFFFF"/>
                <w:spacing w:val="-5"/>
                <w:sz w:val="20"/>
              </w:rPr>
              <w:t> </w:t>
            </w:r>
            <w:r>
              <w:rPr>
                <w:color w:val="FFFFFF"/>
                <w:sz w:val="20"/>
              </w:rPr>
              <w:t>estimado</w:t>
            </w:r>
            <w:r>
              <w:rPr>
                <w:color w:val="FFFFFF"/>
                <w:spacing w:val="-7"/>
                <w:sz w:val="20"/>
              </w:rPr>
              <w:t> </w:t>
            </w:r>
            <w:r>
              <w:rPr>
                <w:color w:val="FFFFFF"/>
                <w:sz w:val="20"/>
              </w:rPr>
              <w:t>en</w:t>
            </w:r>
            <w:r>
              <w:rPr>
                <w:color w:val="FFFFFF"/>
                <w:spacing w:val="-4"/>
                <w:sz w:val="20"/>
              </w:rPr>
              <w:t> </w:t>
            </w:r>
            <w:r>
              <w:rPr>
                <w:color w:val="FFFFFF"/>
                <w:sz w:val="20"/>
              </w:rPr>
              <w:t>el</w:t>
            </w:r>
            <w:r>
              <w:rPr>
                <w:color w:val="FFFFFF"/>
                <w:spacing w:val="-4"/>
                <w:sz w:val="20"/>
              </w:rPr>
              <w:t> </w:t>
            </w:r>
            <w:r>
              <w:rPr>
                <w:color w:val="FFFFFF"/>
                <w:spacing w:val="-2"/>
                <w:sz w:val="20"/>
              </w:rPr>
              <w:t>presupuesto:</w:t>
            </w:r>
          </w:p>
        </w:tc>
        <w:tc>
          <w:tcPr>
            <w:tcW w:w="6526" w:type="dxa"/>
          </w:tcPr>
          <w:p>
            <w:pPr>
              <w:pStyle w:val="TableParagraph"/>
              <w:spacing w:before="131"/>
              <w:ind w:right="62"/>
              <w:jc w:val="right"/>
              <w:rPr>
                <w:sz w:val="20"/>
              </w:rPr>
            </w:pPr>
            <w:r>
              <w:rPr>
                <w:b/>
                <w:sz w:val="20"/>
              </w:rPr>
              <w:t>₡</w:t>
            </w:r>
            <w:r>
              <w:rPr>
                <w:sz w:val="20"/>
              </w:rPr>
              <w:t>407</w:t>
            </w:r>
            <w:r>
              <w:rPr>
                <w:spacing w:val="-6"/>
                <w:sz w:val="20"/>
              </w:rPr>
              <w:t> </w:t>
            </w:r>
            <w:r>
              <w:rPr>
                <w:sz w:val="20"/>
              </w:rPr>
              <w:t>500</w:t>
            </w:r>
            <w:r>
              <w:rPr>
                <w:spacing w:val="-5"/>
                <w:sz w:val="20"/>
              </w:rPr>
              <w:t> </w:t>
            </w:r>
            <w:r>
              <w:rPr>
                <w:spacing w:val="-2"/>
                <w:sz w:val="20"/>
              </w:rPr>
              <w:t>000,00</w:t>
            </w:r>
          </w:p>
        </w:tc>
      </w:tr>
      <w:tr>
        <w:trPr>
          <w:trHeight w:val="601" w:hRule="atLeast"/>
        </w:trPr>
        <w:tc>
          <w:tcPr>
            <w:tcW w:w="3824" w:type="dxa"/>
            <w:shd w:val="clear" w:color="auto" w:fill="0A2F40"/>
          </w:tcPr>
          <w:p>
            <w:pPr>
              <w:pStyle w:val="TableParagraph"/>
              <w:spacing w:before="71"/>
              <w:ind w:left="69" w:right="140"/>
              <w:rPr>
                <w:sz w:val="20"/>
              </w:rPr>
            </w:pPr>
            <w:r>
              <w:rPr>
                <w:color w:val="FFFFFF"/>
                <w:sz w:val="20"/>
              </w:rPr>
              <w:t>Meta</w:t>
            </w:r>
            <w:r>
              <w:rPr>
                <w:color w:val="FFFFFF"/>
                <w:spacing w:val="-8"/>
                <w:sz w:val="20"/>
              </w:rPr>
              <w:t> </w:t>
            </w:r>
            <w:r>
              <w:rPr>
                <w:color w:val="FFFFFF"/>
                <w:sz w:val="20"/>
              </w:rPr>
              <w:t>anual</w:t>
            </w:r>
            <w:r>
              <w:rPr>
                <w:color w:val="FFFFFF"/>
                <w:spacing w:val="-9"/>
                <w:sz w:val="20"/>
              </w:rPr>
              <w:t> </w:t>
            </w:r>
            <w:r>
              <w:rPr>
                <w:color w:val="FFFFFF"/>
                <w:sz w:val="20"/>
              </w:rPr>
              <w:t>que</w:t>
            </w:r>
            <w:r>
              <w:rPr>
                <w:color w:val="FFFFFF"/>
                <w:spacing w:val="-10"/>
                <w:sz w:val="20"/>
              </w:rPr>
              <w:t> </w:t>
            </w:r>
            <w:r>
              <w:rPr>
                <w:color w:val="FFFFFF"/>
                <w:sz w:val="20"/>
              </w:rPr>
              <w:t>se</w:t>
            </w:r>
            <w:r>
              <w:rPr>
                <w:color w:val="FFFFFF"/>
                <w:spacing w:val="-10"/>
                <w:sz w:val="20"/>
              </w:rPr>
              <w:t> </w:t>
            </w:r>
            <w:r>
              <w:rPr>
                <w:color w:val="FFFFFF"/>
                <w:sz w:val="20"/>
              </w:rPr>
              <w:t>espera</w:t>
            </w:r>
            <w:r>
              <w:rPr>
                <w:color w:val="FFFFFF"/>
                <w:spacing w:val="-8"/>
                <w:sz w:val="20"/>
              </w:rPr>
              <w:t> </w:t>
            </w:r>
            <w:r>
              <w:rPr>
                <w:color w:val="FFFFFF"/>
                <w:sz w:val="20"/>
              </w:rPr>
              <w:t>alcanzar durante el periodo presupuestario:</w:t>
            </w:r>
          </w:p>
        </w:tc>
        <w:tc>
          <w:tcPr>
            <w:tcW w:w="6526" w:type="dxa"/>
          </w:tcPr>
          <w:p>
            <w:pPr>
              <w:pStyle w:val="TableParagraph"/>
              <w:spacing w:before="186"/>
              <w:ind w:right="62"/>
              <w:jc w:val="right"/>
              <w:rPr>
                <w:sz w:val="20"/>
              </w:rPr>
            </w:pPr>
            <w:r>
              <w:rPr>
                <w:spacing w:val="-4"/>
                <w:sz w:val="20"/>
              </w:rPr>
              <w:t>100%</w:t>
            </w:r>
          </w:p>
        </w:tc>
      </w:tr>
      <w:tr>
        <w:trPr>
          <w:trHeight w:val="554" w:hRule="atLeast"/>
        </w:trPr>
        <w:tc>
          <w:tcPr>
            <w:tcW w:w="3824" w:type="dxa"/>
            <w:shd w:val="clear" w:color="auto" w:fill="0A2F40"/>
          </w:tcPr>
          <w:p>
            <w:pPr>
              <w:pStyle w:val="TableParagraph"/>
              <w:spacing w:before="160"/>
              <w:ind w:left="69"/>
              <w:rPr>
                <w:sz w:val="20"/>
              </w:rPr>
            </w:pPr>
            <w:r>
              <w:rPr>
                <w:color w:val="FFFFFF"/>
                <w:sz w:val="20"/>
              </w:rPr>
              <w:t>Unidad</w:t>
            </w:r>
            <w:r>
              <w:rPr>
                <w:color w:val="FFFFFF"/>
                <w:spacing w:val="-11"/>
                <w:sz w:val="20"/>
              </w:rPr>
              <w:t> </w:t>
            </w:r>
            <w:r>
              <w:rPr>
                <w:color w:val="FFFFFF"/>
                <w:sz w:val="20"/>
              </w:rPr>
              <w:t>responsable</w:t>
            </w:r>
            <w:r>
              <w:rPr>
                <w:color w:val="FFFFFF"/>
                <w:spacing w:val="-8"/>
                <w:sz w:val="20"/>
              </w:rPr>
              <w:t> </w:t>
            </w:r>
            <w:r>
              <w:rPr>
                <w:color w:val="FFFFFF"/>
                <w:sz w:val="20"/>
              </w:rPr>
              <w:t>del</w:t>
            </w:r>
            <w:r>
              <w:rPr>
                <w:color w:val="FFFFFF"/>
                <w:spacing w:val="-10"/>
                <w:sz w:val="20"/>
              </w:rPr>
              <w:t> </w:t>
            </w:r>
            <w:r>
              <w:rPr>
                <w:color w:val="FFFFFF"/>
                <w:spacing w:val="-2"/>
                <w:sz w:val="20"/>
              </w:rPr>
              <w:t>proyecto:</w:t>
            </w:r>
          </w:p>
        </w:tc>
        <w:tc>
          <w:tcPr>
            <w:tcW w:w="6526" w:type="dxa"/>
          </w:tcPr>
          <w:p>
            <w:pPr>
              <w:pStyle w:val="TableParagraph"/>
              <w:spacing w:before="160"/>
              <w:ind w:left="69"/>
              <w:rPr>
                <w:sz w:val="20"/>
              </w:rPr>
            </w:pPr>
            <w:r>
              <w:rPr>
                <w:sz w:val="20"/>
              </w:rPr>
              <w:t>Área</w:t>
            </w:r>
            <w:r>
              <w:rPr>
                <w:spacing w:val="-9"/>
                <w:sz w:val="20"/>
              </w:rPr>
              <w:t> </w:t>
            </w:r>
            <w:r>
              <w:rPr>
                <w:sz w:val="20"/>
              </w:rPr>
              <w:t>Regional</w:t>
            </w:r>
            <w:r>
              <w:rPr>
                <w:spacing w:val="-7"/>
                <w:sz w:val="20"/>
              </w:rPr>
              <w:t> </w:t>
            </w:r>
            <w:r>
              <w:rPr>
                <w:sz w:val="20"/>
              </w:rPr>
              <w:t>de</w:t>
            </w:r>
            <w:r>
              <w:rPr>
                <w:spacing w:val="-9"/>
                <w:sz w:val="20"/>
              </w:rPr>
              <w:t> </w:t>
            </w:r>
            <w:r>
              <w:rPr>
                <w:sz w:val="20"/>
              </w:rPr>
              <w:t>Desarrollo</w:t>
            </w:r>
            <w:r>
              <w:rPr>
                <w:spacing w:val="-8"/>
                <w:sz w:val="20"/>
              </w:rPr>
              <w:t> </w:t>
            </w:r>
            <w:r>
              <w:rPr>
                <w:sz w:val="20"/>
              </w:rPr>
              <w:t>Social</w:t>
            </w:r>
            <w:r>
              <w:rPr>
                <w:spacing w:val="-7"/>
                <w:sz w:val="20"/>
              </w:rPr>
              <w:t> </w:t>
            </w:r>
            <w:r>
              <w:rPr>
                <w:sz w:val="20"/>
              </w:rPr>
              <w:t>Huetar</w:t>
            </w:r>
            <w:r>
              <w:rPr>
                <w:spacing w:val="-7"/>
                <w:sz w:val="20"/>
              </w:rPr>
              <w:t> </w:t>
            </w:r>
            <w:r>
              <w:rPr>
                <w:spacing w:val="-2"/>
                <w:sz w:val="20"/>
              </w:rPr>
              <w:t>Caribe</w:t>
            </w:r>
          </w:p>
        </w:tc>
      </w:tr>
    </w:tbl>
    <w:p>
      <w:pPr>
        <w:pStyle w:val="TableParagraph"/>
        <w:spacing w:after="0"/>
        <w:rPr>
          <w:sz w:val="20"/>
        </w:rPr>
        <w:sectPr>
          <w:pgSz w:w="12240" w:h="15840"/>
          <w:pgMar w:header="0" w:footer="2404" w:top="1360" w:bottom="2600" w:left="720" w:right="720"/>
        </w:sectPr>
      </w:pPr>
    </w:p>
    <w:tbl>
      <w:tblPr>
        <w:tblW w:w="0" w:type="auto"/>
        <w:jc w:val="left"/>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827"/>
        <w:gridCol w:w="6522"/>
      </w:tblGrid>
      <w:tr>
        <w:trPr>
          <w:trHeight w:val="847" w:hRule="atLeast"/>
        </w:trPr>
        <w:tc>
          <w:tcPr>
            <w:tcW w:w="3827" w:type="dxa"/>
            <w:tcBorders>
              <w:bottom w:val="nil"/>
            </w:tcBorders>
            <w:shd w:val="clear" w:color="auto" w:fill="0A2F40"/>
          </w:tcPr>
          <w:p>
            <w:pPr>
              <w:pStyle w:val="TableParagraph"/>
              <w:spacing w:before="79"/>
              <w:rPr>
                <w:b/>
                <w:sz w:val="20"/>
              </w:rPr>
            </w:pPr>
          </w:p>
          <w:p>
            <w:pPr>
              <w:pStyle w:val="TableParagraph"/>
              <w:ind w:left="67"/>
              <w:rPr>
                <w:sz w:val="20"/>
              </w:rPr>
            </w:pPr>
            <w:r>
              <w:rPr>
                <w:color w:val="FFFFFF"/>
                <w:sz w:val="20"/>
              </w:rPr>
              <w:t>Nombre</w:t>
            </w:r>
            <w:r>
              <w:rPr>
                <w:color w:val="FFFFFF"/>
                <w:spacing w:val="-6"/>
                <w:sz w:val="20"/>
              </w:rPr>
              <w:t> </w:t>
            </w:r>
            <w:r>
              <w:rPr>
                <w:color w:val="FFFFFF"/>
                <w:sz w:val="20"/>
              </w:rPr>
              <w:t>del</w:t>
            </w:r>
            <w:r>
              <w:rPr>
                <w:color w:val="FFFFFF"/>
                <w:spacing w:val="-7"/>
                <w:sz w:val="20"/>
              </w:rPr>
              <w:t> </w:t>
            </w:r>
            <w:r>
              <w:rPr>
                <w:color w:val="FFFFFF"/>
                <w:spacing w:val="-2"/>
                <w:sz w:val="20"/>
              </w:rPr>
              <w:t>Proyecto:</w:t>
            </w:r>
          </w:p>
        </w:tc>
        <w:tc>
          <w:tcPr>
            <w:tcW w:w="6522" w:type="dxa"/>
          </w:tcPr>
          <w:p>
            <w:pPr>
              <w:pStyle w:val="TableParagraph"/>
              <w:spacing w:before="137"/>
              <w:rPr>
                <w:b/>
                <w:sz w:val="20"/>
              </w:rPr>
            </w:pPr>
          </w:p>
          <w:p>
            <w:pPr>
              <w:pStyle w:val="TableParagraph"/>
              <w:spacing w:line="230" w:lineRule="atLeast"/>
              <w:ind w:left="69"/>
              <w:rPr>
                <w:sz w:val="20"/>
              </w:rPr>
            </w:pPr>
            <w:r>
              <w:rPr>
                <w:sz w:val="20"/>
              </w:rPr>
              <w:t>Construcción</w:t>
            </w:r>
            <w:r>
              <w:rPr>
                <w:spacing w:val="-4"/>
                <w:sz w:val="20"/>
              </w:rPr>
              <w:t> </w:t>
            </w:r>
            <w:r>
              <w:rPr>
                <w:sz w:val="20"/>
              </w:rPr>
              <w:t>del</w:t>
            </w:r>
            <w:r>
              <w:rPr>
                <w:spacing w:val="-7"/>
                <w:sz w:val="20"/>
              </w:rPr>
              <w:t> </w:t>
            </w:r>
            <w:r>
              <w:rPr>
                <w:sz w:val="20"/>
              </w:rPr>
              <w:t>edificio</w:t>
            </w:r>
            <w:r>
              <w:rPr>
                <w:spacing w:val="-4"/>
                <w:sz w:val="20"/>
              </w:rPr>
              <w:t> </w:t>
            </w:r>
            <w:r>
              <w:rPr>
                <w:sz w:val="20"/>
              </w:rPr>
              <w:t>para</w:t>
            </w:r>
            <w:r>
              <w:rPr>
                <w:spacing w:val="-6"/>
                <w:sz w:val="20"/>
              </w:rPr>
              <w:t> </w:t>
            </w:r>
            <w:r>
              <w:rPr>
                <w:sz w:val="20"/>
              </w:rPr>
              <w:t>el</w:t>
            </w:r>
            <w:r>
              <w:rPr>
                <w:spacing w:val="-5"/>
                <w:sz w:val="20"/>
              </w:rPr>
              <w:t> </w:t>
            </w:r>
            <w:r>
              <w:rPr>
                <w:sz w:val="20"/>
              </w:rPr>
              <w:t>Área</w:t>
            </w:r>
            <w:r>
              <w:rPr>
                <w:spacing w:val="-5"/>
                <w:sz w:val="20"/>
              </w:rPr>
              <w:t> </w:t>
            </w:r>
            <w:r>
              <w:rPr>
                <w:sz w:val="20"/>
              </w:rPr>
              <w:t>Regional</w:t>
            </w:r>
            <w:r>
              <w:rPr>
                <w:spacing w:val="-5"/>
                <w:sz w:val="20"/>
              </w:rPr>
              <w:t> </w:t>
            </w:r>
            <w:r>
              <w:rPr>
                <w:sz w:val="20"/>
              </w:rPr>
              <w:t>de</w:t>
            </w:r>
            <w:r>
              <w:rPr>
                <w:spacing w:val="-5"/>
                <w:sz w:val="20"/>
              </w:rPr>
              <w:t> </w:t>
            </w:r>
            <w:r>
              <w:rPr>
                <w:sz w:val="20"/>
              </w:rPr>
              <w:t>Desarrollo</w:t>
            </w:r>
            <w:r>
              <w:rPr>
                <w:spacing w:val="-6"/>
                <w:sz w:val="20"/>
              </w:rPr>
              <w:t> </w:t>
            </w:r>
            <w:r>
              <w:rPr>
                <w:sz w:val="20"/>
              </w:rPr>
              <w:t>Social Brunca y la Unidad Local de Pérez Zeledón-IMAS.</w:t>
            </w:r>
          </w:p>
        </w:tc>
      </w:tr>
      <w:tr>
        <w:trPr>
          <w:trHeight w:val="1977" w:hRule="atLeast"/>
        </w:trPr>
        <w:tc>
          <w:tcPr>
            <w:tcW w:w="3827" w:type="dxa"/>
            <w:tcBorders>
              <w:top w:val="nil"/>
              <w:left w:val="nil"/>
              <w:bottom w:val="nil"/>
              <w:right w:val="nil"/>
            </w:tcBorders>
            <w:shd w:val="clear" w:color="auto" w:fill="0A2F40"/>
          </w:tcPr>
          <w:p>
            <w:pPr>
              <w:pStyle w:val="TableParagraph"/>
              <w:rPr>
                <w:b/>
                <w:sz w:val="20"/>
              </w:rPr>
            </w:pPr>
          </w:p>
          <w:p>
            <w:pPr>
              <w:pStyle w:val="TableParagraph"/>
              <w:rPr>
                <w:b/>
                <w:sz w:val="20"/>
              </w:rPr>
            </w:pPr>
          </w:p>
          <w:p>
            <w:pPr>
              <w:pStyle w:val="TableParagraph"/>
              <w:spacing w:before="183"/>
              <w:rPr>
                <w:b/>
                <w:sz w:val="20"/>
              </w:rPr>
            </w:pPr>
          </w:p>
          <w:p>
            <w:pPr>
              <w:pStyle w:val="TableParagraph"/>
              <w:ind w:left="72"/>
              <w:rPr>
                <w:sz w:val="20"/>
              </w:rPr>
            </w:pPr>
            <w:r>
              <w:rPr>
                <w:color w:val="FFFFFF"/>
                <w:sz w:val="20"/>
              </w:rPr>
              <w:t>Descripción</w:t>
            </w:r>
            <w:r>
              <w:rPr>
                <w:color w:val="FFFFFF"/>
                <w:spacing w:val="-7"/>
                <w:sz w:val="20"/>
              </w:rPr>
              <w:t> </w:t>
            </w:r>
            <w:r>
              <w:rPr>
                <w:color w:val="FFFFFF"/>
                <w:sz w:val="20"/>
              </w:rPr>
              <w:t>y</w:t>
            </w:r>
            <w:r>
              <w:rPr>
                <w:color w:val="FFFFFF"/>
                <w:spacing w:val="-8"/>
                <w:sz w:val="20"/>
              </w:rPr>
              <w:t> </w:t>
            </w:r>
            <w:r>
              <w:rPr>
                <w:color w:val="FFFFFF"/>
                <w:sz w:val="20"/>
              </w:rPr>
              <w:t>objetivo</w:t>
            </w:r>
            <w:r>
              <w:rPr>
                <w:color w:val="FFFFFF"/>
                <w:spacing w:val="-9"/>
                <w:sz w:val="20"/>
              </w:rPr>
              <w:t> </w:t>
            </w:r>
            <w:r>
              <w:rPr>
                <w:color w:val="FFFFFF"/>
                <w:spacing w:val="-2"/>
                <w:sz w:val="20"/>
              </w:rPr>
              <w:t>general:</w:t>
            </w:r>
          </w:p>
        </w:tc>
        <w:tc>
          <w:tcPr>
            <w:tcW w:w="6522" w:type="dxa"/>
            <w:tcBorders>
              <w:left w:val="nil"/>
            </w:tcBorders>
          </w:tcPr>
          <w:p>
            <w:pPr>
              <w:pStyle w:val="TableParagraph"/>
              <w:spacing w:before="136"/>
              <w:rPr>
                <w:b/>
                <w:sz w:val="20"/>
              </w:rPr>
            </w:pPr>
          </w:p>
          <w:p>
            <w:pPr>
              <w:pStyle w:val="TableParagraph"/>
              <w:ind w:left="74" w:right="150"/>
              <w:rPr>
                <w:sz w:val="20"/>
              </w:rPr>
            </w:pPr>
            <w:r>
              <w:rPr>
                <w:b/>
                <w:sz w:val="20"/>
              </w:rPr>
              <w:t>Descripción: </w:t>
            </w:r>
            <w:r>
              <w:rPr>
                <w:sz w:val="20"/>
              </w:rPr>
              <w:t>Este proyecto pretende realizar la construcción un edificio</w:t>
            </w:r>
            <w:r>
              <w:rPr>
                <w:spacing w:val="-4"/>
                <w:sz w:val="20"/>
              </w:rPr>
              <w:t> </w:t>
            </w:r>
            <w:r>
              <w:rPr>
                <w:sz w:val="20"/>
              </w:rPr>
              <w:t>que</w:t>
            </w:r>
            <w:r>
              <w:rPr>
                <w:spacing w:val="-6"/>
                <w:sz w:val="20"/>
              </w:rPr>
              <w:t> </w:t>
            </w:r>
            <w:r>
              <w:rPr>
                <w:sz w:val="20"/>
              </w:rPr>
              <w:t>permita</w:t>
            </w:r>
            <w:r>
              <w:rPr>
                <w:spacing w:val="-6"/>
                <w:sz w:val="20"/>
              </w:rPr>
              <w:t> </w:t>
            </w:r>
            <w:r>
              <w:rPr>
                <w:sz w:val="20"/>
              </w:rPr>
              <w:t>ubicar</w:t>
            </w:r>
            <w:r>
              <w:rPr>
                <w:spacing w:val="-3"/>
                <w:sz w:val="20"/>
              </w:rPr>
              <w:t> </w:t>
            </w:r>
            <w:r>
              <w:rPr>
                <w:sz w:val="20"/>
              </w:rPr>
              <w:t>el</w:t>
            </w:r>
            <w:r>
              <w:rPr>
                <w:spacing w:val="-5"/>
                <w:sz w:val="20"/>
              </w:rPr>
              <w:t> </w:t>
            </w:r>
            <w:r>
              <w:rPr>
                <w:sz w:val="20"/>
              </w:rPr>
              <w:t>ARDS</w:t>
            </w:r>
            <w:r>
              <w:rPr>
                <w:spacing w:val="-6"/>
                <w:sz w:val="20"/>
              </w:rPr>
              <w:t> </w:t>
            </w:r>
            <w:r>
              <w:rPr>
                <w:sz w:val="20"/>
              </w:rPr>
              <w:t>Brunca</w:t>
            </w:r>
            <w:r>
              <w:rPr>
                <w:spacing w:val="-6"/>
                <w:sz w:val="20"/>
              </w:rPr>
              <w:t> </w:t>
            </w:r>
            <w:r>
              <w:rPr>
                <w:sz w:val="20"/>
              </w:rPr>
              <w:t>(Jefatura</w:t>
            </w:r>
            <w:r>
              <w:rPr>
                <w:spacing w:val="-4"/>
                <w:sz w:val="20"/>
              </w:rPr>
              <w:t> </w:t>
            </w:r>
            <w:r>
              <w:rPr>
                <w:sz w:val="20"/>
              </w:rPr>
              <w:t>Regional,</w:t>
            </w:r>
            <w:r>
              <w:rPr>
                <w:spacing w:val="-6"/>
                <w:sz w:val="20"/>
              </w:rPr>
              <w:t> </w:t>
            </w:r>
            <w:r>
              <w:rPr>
                <w:sz w:val="20"/>
              </w:rPr>
              <w:t>UIPER y UCAR) y la ULDS Pérez Zeledón.</w:t>
            </w:r>
          </w:p>
          <w:p>
            <w:pPr>
              <w:pStyle w:val="TableParagraph"/>
              <w:spacing w:line="230" w:lineRule="atLeast" w:before="211"/>
              <w:ind w:left="74" w:right="59"/>
              <w:rPr>
                <w:sz w:val="20"/>
              </w:rPr>
            </w:pPr>
            <w:r>
              <w:rPr>
                <w:b/>
                <w:sz w:val="20"/>
              </w:rPr>
              <w:t>Objetivo</w:t>
            </w:r>
            <w:r>
              <w:rPr>
                <w:b/>
                <w:spacing w:val="-6"/>
                <w:sz w:val="20"/>
              </w:rPr>
              <w:t> </w:t>
            </w:r>
            <w:r>
              <w:rPr>
                <w:b/>
                <w:sz w:val="20"/>
              </w:rPr>
              <w:t>General:</w:t>
            </w:r>
            <w:r>
              <w:rPr>
                <w:b/>
                <w:spacing w:val="-5"/>
                <w:sz w:val="20"/>
              </w:rPr>
              <w:t> </w:t>
            </w:r>
            <w:r>
              <w:rPr>
                <w:sz w:val="20"/>
              </w:rPr>
              <w:t>Construir</w:t>
            </w:r>
            <w:r>
              <w:rPr>
                <w:spacing w:val="-5"/>
                <w:sz w:val="20"/>
              </w:rPr>
              <w:t> </w:t>
            </w:r>
            <w:r>
              <w:rPr>
                <w:sz w:val="20"/>
              </w:rPr>
              <w:t>un</w:t>
            </w:r>
            <w:r>
              <w:rPr>
                <w:spacing w:val="-5"/>
                <w:sz w:val="20"/>
              </w:rPr>
              <w:t> </w:t>
            </w:r>
            <w:r>
              <w:rPr>
                <w:sz w:val="20"/>
              </w:rPr>
              <w:t>edificio</w:t>
            </w:r>
            <w:r>
              <w:rPr>
                <w:spacing w:val="-6"/>
                <w:sz w:val="20"/>
              </w:rPr>
              <w:t> </w:t>
            </w:r>
            <w:r>
              <w:rPr>
                <w:sz w:val="20"/>
              </w:rPr>
              <w:t>en</w:t>
            </w:r>
            <w:r>
              <w:rPr>
                <w:spacing w:val="-6"/>
                <w:sz w:val="20"/>
              </w:rPr>
              <w:t> </w:t>
            </w:r>
            <w:r>
              <w:rPr>
                <w:sz w:val="20"/>
              </w:rPr>
              <w:t>terreno</w:t>
            </w:r>
            <w:r>
              <w:rPr>
                <w:spacing w:val="-6"/>
                <w:sz w:val="20"/>
              </w:rPr>
              <w:t> </w:t>
            </w:r>
            <w:r>
              <w:rPr>
                <w:sz w:val="20"/>
              </w:rPr>
              <w:t>propio,</w:t>
            </w:r>
            <w:r>
              <w:rPr>
                <w:spacing w:val="-4"/>
                <w:sz w:val="20"/>
              </w:rPr>
              <w:t> </w:t>
            </w:r>
            <w:r>
              <w:rPr>
                <w:sz w:val="20"/>
              </w:rPr>
              <w:t>por</w:t>
            </w:r>
            <w:r>
              <w:rPr>
                <w:spacing w:val="-3"/>
                <w:sz w:val="20"/>
              </w:rPr>
              <w:t> </w:t>
            </w:r>
            <w:r>
              <w:rPr>
                <w:sz w:val="20"/>
              </w:rPr>
              <w:t>medio</w:t>
            </w:r>
            <w:r>
              <w:rPr>
                <w:spacing w:val="-4"/>
                <w:sz w:val="20"/>
              </w:rPr>
              <w:t> </w:t>
            </w:r>
            <w:r>
              <w:rPr>
                <w:sz w:val="20"/>
              </w:rPr>
              <w:t>de una inversión económica Institucional, que permita ubicar las oficinas del ARDS Brunca y ULDS Pérez Zeledón del IMAS.</w:t>
            </w:r>
          </w:p>
        </w:tc>
      </w:tr>
      <w:tr>
        <w:trPr>
          <w:trHeight w:val="690" w:hRule="atLeast"/>
        </w:trPr>
        <w:tc>
          <w:tcPr>
            <w:tcW w:w="3827" w:type="dxa"/>
            <w:tcBorders>
              <w:top w:val="nil"/>
              <w:left w:val="nil"/>
              <w:bottom w:val="nil"/>
              <w:right w:val="nil"/>
            </w:tcBorders>
            <w:shd w:val="clear" w:color="auto" w:fill="0A2F40"/>
          </w:tcPr>
          <w:p>
            <w:pPr>
              <w:pStyle w:val="TableParagraph"/>
              <w:spacing w:line="230" w:lineRule="exact"/>
              <w:ind w:left="72" w:right="150"/>
              <w:rPr>
                <w:sz w:val="20"/>
              </w:rPr>
            </w:pPr>
            <w:r>
              <w:rPr>
                <w:color w:val="FFFFFF"/>
                <w:sz w:val="20"/>
              </w:rPr>
              <w:t>Fase</w:t>
            </w:r>
            <w:r>
              <w:rPr>
                <w:color w:val="FFFFFF"/>
                <w:spacing w:val="-9"/>
                <w:sz w:val="20"/>
              </w:rPr>
              <w:t> </w:t>
            </w:r>
            <w:r>
              <w:rPr>
                <w:color w:val="FFFFFF"/>
                <w:sz w:val="20"/>
              </w:rPr>
              <w:t>del</w:t>
            </w:r>
            <w:r>
              <w:rPr>
                <w:color w:val="FFFFFF"/>
                <w:spacing w:val="-10"/>
                <w:sz w:val="20"/>
              </w:rPr>
              <w:t> </w:t>
            </w:r>
            <w:r>
              <w:rPr>
                <w:color w:val="FFFFFF"/>
                <w:sz w:val="20"/>
              </w:rPr>
              <w:t>proyecto</w:t>
            </w:r>
            <w:r>
              <w:rPr>
                <w:color w:val="FFFFFF"/>
                <w:spacing w:val="-7"/>
                <w:sz w:val="20"/>
              </w:rPr>
              <w:t> </w:t>
            </w:r>
            <w:r>
              <w:rPr>
                <w:color w:val="FFFFFF"/>
                <w:sz w:val="20"/>
              </w:rPr>
              <w:t>que</w:t>
            </w:r>
            <w:r>
              <w:rPr>
                <w:color w:val="FFFFFF"/>
                <w:spacing w:val="-9"/>
                <w:sz w:val="20"/>
              </w:rPr>
              <w:t> </w:t>
            </w:r>
            <w:r>
              <w:rPr>
                <w:color w:val="FFFFFF"/>
                <w:sz w:val="20"/>
              </w:rPr>
              <w:t>se</w:t>
            </w:r>
            <w:r>
              <w:rPr>
                <w:color w:val="FFFFFF"/>
                <w:spacing w:val="-9"/>
                <w:sz w:val="20"/>
              </w:rPr>
              <w:t> </w:t>
            </w:r>
            <w:r>
              <w:rPr>
                <w:color w:val="FFFFFF"/>
                <w:sz w:val="20"/>
              </w:rPr>
              <w:t>espera alcanzar durante el periodo </w:t>
            </w:r>
            <w:r>
              <w:rPr>
                <w:color w:val="FFFFFF"/>
                <w:spacing w:val="-2"/>
                <w:sz w:val="20"/>
              </w:rPr>
              <w:t>presupuestario:</w:t>
            </w:r>
          </w:p>
        </w:tc>
        <w:tc>
          <w:tcPr>
            <w:tcW w:w="6522" w:type="dxa"/>
            <w:tcBorders>
              <w:left w:val="nil"/>
            </w:tcBorders>
          </w:tcPr>
          <w:p>
            <w:pPr>
              <w:pStyle w:val="TableParagraph"/>
              <w:spacing w:before="230"/>
              <w:ind w:left="74"/>
              <w:rPr>
                <w:sz w:val="20"/>
              </w:rPr>
            </w:pPr>
            <w:r>
              <w:rPr>
                <w:spacing w:val="-2"/>
                <w:sz w:val="20"/>
              </w:rPr>
              <w:t>Ejecución</w:t>
            </w:r>
          </w:p>
        </w:tc>
      </w:tr>
      <w:tr>
        <w:trPr>
          <w:trHeight w:val="299" w:hRule="atLeast"/>
        </w:trPr>
        <w:tc>
          <w:tcPr>
            <w:tcW w:w="3827" w:type="dxa"/>
            <w:tcBorders>
              <w:top w:val="nil"/>
              <w:left w:val="nil"/>
              <w:bottom w:val="nil"/>
              <w:right w:val="nil"/>
            </w:tcBorders>
            <w:shd w:val="clear" w:color="auto" w:fill="0A2F40"/>
          </w:tcPr>
          <w:p>
            <w:pPr>
              <w:pStyle w:val="TableParagraph"/>
              <w:spacing w:before="33"/>
              <w:ind w:left="72"/>
              <w:rPr>
                <w:sz w:val="20"/>
              </w:rPr>
            </w:pPr>
            <w:r>
              <w:rPr>
                <w:color w:val="FFFFFF"/>
                <w:sz w:val="20"/>
              </w:rPr>
              <w:t>Modalidad</w:t>
            </w:r>
            <w:r>
              <w:rPr>
                <w:color w:val="FFFFFF"/>
                <w:spacing w:val="-8"/>
                <w:sz w:val="20"/>
              </w:rPr>
              <w:t> </w:t>
            </w:r>
            <w:r>
              <w:rPr>
                <w:color w:val="FFFFFF"/>
                <w:sz w:val="20"/>
              </w:rPr>
              <w:t>de</w:t>
            </w:r>
            <w:r>
              <w:rPr>
                <w:color w:val="FFFFFF"/>
                <w:spacing w:val="-6"/>
                <w:sz w:val="20"/>
              </w:rPr>
              <w:t> </w:t>
            </w:r>
            <w:r>
              <w:rPr>
                <w:color w:val="FFFFFF"/>
                <w:sz w:val="20"/>
              </w:rPr>
              <w:t>ejecución</w:t>
            </w:r>
            <w:r>
              <w:rPr>
                <w:color w:val="FFFFFF"/>
                <w:spacing w:val="-8"/>
                <w:sz w:val="20"/>
              </w:rPr>
              <w:t> </w:t>
            </w:r>
            <w:r>
              <w:rPr>
                <w:color w:val="FFFFFF"/>
                <w:sz w:val="20"/>
              </w:rPr>
              <w:t>y</w:t>
            </w:r>
            <w:r>
              <w:rPr>
                <w:color w:val="FFFFFF"/>
                <w:spacing w:val="-6"/>
                <w:sz w:val="20"/>
              </w:rPr>
              <w:t> </w:t>
            </w:r>
            <w:r>
              <w:rPr>
                <w:color w:val="FFFFFF"/>
                <w:spacing w:val="-2"/>
                <w:sz w:val="20"/>
              </w:rPr>
              <w:t>financiamiento:</w:t>
            </w:r>
          </w:p>
        </w:tc>
        <w:tc>
          <w:tcPr>
            <w:tcW w:w="6522" w:type="dxa"/>
            <w:tcBorders>
              <w:left w:val="nil"/>
            </w:tcBorders>
          </w:tcPr>
          <w:p>
            <w:pPr>
              <w:pStyle w:val="TableParagraph"/>
              <w:spacing w:before="33"/>
              <w:ind w:left="74"/>
              <w:rPr>
                <w:sz w:val="20"/>
              </w:rPr>
            </w:pPr>
            <w:r>
              <w:rPr>
                <w:sz w:val="20"/>
              </w:rPr>
              <w:t>Recursos</w:t>
            </w:r>
            <w:r>
              <w:rPr>
                <w:spacing w:val="-8"/>
                <w:sz w:val="20"/>
              </w:rPr>
              <w:t> </w:t>
            </w:r>
            <w:r>
              <w:rPr>
                <w:spacing w:val="-2"/>
                <w:sz w:val="20"/>
              </w:rPr>
              <w:t>Propios</w:t>
            </w:r>
          </w:p>
        </w:tc>
      </w:tr>
      <w:tr>
        <w:trPr>
          <w:trHeight w:val="300" w:hRule="atLeast"/>
        </w:trPr>
        <w:tc>
          <w:tcPr>
            <w:tcW w:w="3827" w:type="dxa"/>
            <w:tcBorders>
              <w:top w:val="nil"/>
            </w:tcBorders>
            <w:shd w:val="clear" w:color="auto" w:fill="0A2F40"/>
          </w:tcPr>
          <w:p>
            <w:pPr>
              <w:pStyle w:val="TableParagraph"/>
              <w:spacing w:before="33"/>
              <w:ind w:left="67"/>
              <w:rPr>
                <w:sz w:val="20"/>
              </w:rPr>
            </w:pPr>
            <w:r>
              <w:rPr>
                <w:color w:val="FFFFFF"/>
                <w:spacing w:val="-2"/>
                <w:sz w:val="20"/>
              </w:rPr>
              <w:t>Presupuesto</w:t>
            </w:r>
            <w:r>
              <w:rPr>
                <w:color w:val="FFFFFF"/>
                <w:spacing w:val="5"/>
                <w:sz w:val="20"/>
              </w:rPr>
              <w:t> </w:t>
            </w:r>
            <w:r>
              <w:rPr>
                <w:color w:val="FFFFFF"/>
                <w:spacing w:val="-2"/>
                <w:sz w:val="20"/>
              </w:rPr>
              <w:t>total:</w:t>
            </w:r>
          </w:p>
        </w:tc>
        <w:tc>
          <w:tcPr>
            <w:tcW w:w="6522" w:type="dxa"/>
          </w:tcPr>
          <w:p>
            <w:pPr>
              <w:pStyle w:val="TableParagraph"/>
              <w:spacing w:line="211" w:lineRule="exact" w:before="69"/>
              <w:ind w:right="73"/>
              <w:jc w:val="right"/>
              <w:rPr>
                <w:sz w:val="20"/>
              </w:rPr>
            </w:pPr>
            <w:r>
              <w:rPr>
                <w:b/>
                <w:sz w:val="20"/>
              </w:rPr>
              <w:t>₡</w:t>
            </w:r>
            <w:r>
              <w:rPr>
                <w:sz w:val="20"/>
              </w:rPr>
              <w:t>3</w:t>
            </w:r>
            <w:r>
              <w:rPr>
                <w:spacing w:val="-4"/>
                <w:sz w:val="20"/>
              </w:rPr>
              <w:t> </w:t>
            </w:r>
            <w:r>
              <w:rPr>
                <w:sz w:val="20"/>
              </w:rPr>
              <w:t>138</w:t>
            </w:r>
            <w:r>
              <w:rPr>
                <w:spacing w:val="-3"/>
                <w:sz w:val="20"/>
              </w:rPr>
              <w:t> </w:t>
            </w:r>
            <w:r>
              <w:rPr>
                <w:sz w:val="20"/>
              </w:rPr>
              <w:t>825</w:t>
            </w:r>
            <w:r>
              <w:rPr>
                <w:spacing w:val="-4"/>
                <w:sz w:val="20"/>
              </w:rPr>
              <w:t> </w:t>
            </w:r>
            <w:r>
              <w:rPr>
                <w:spacing w:val="-2"/>
                <w:sz w:val="20"/>
              </w:rPr>
              <w:t>000,00</w:t>
            </w:r>
          </w:p>
        </w:tc>
      </w:tr>
      <w:tr>
        <w:trPr>
          <w:trHeight w:val="299" w:hRule="atLeast"/>
        </w:trPr>
        <w:tc>
          <w:tcPr>
            <w:tcW w:w="3827" w:type="dxa"/>
            <w:shd w:val="clear" w:color="auto" w:fill="0A2F40"/>
          </w:tcPr>
          <w:p>
            <w:pPr>
              <w:pStyle w:val="TableParagraph"/>
              <w:spacing w:before="33"/>
              <w:ind w:left="67"/>
              <w:rPr>
                <w:sz w:val="20"/>
              </w:rPr>
            </w:pPr>
            <w:r>
              <w:rPr>
                <w:color w:val="FFFFFF"/>
                <w:sz w:val="20"/>
              </w:rPr>
              <w:t>Plazo</w:t>
            </w:r>
            <w:r>
              <w:rPr>
                <w:color w:val="FFFFFF"/>
                <w:spacing w:val="-6"/>
                <w:sz w:val="20"/>
              </w:rPr>
              <w:t> </w:t>
            </w:r>
            <w:r>
              <w:rPr>
                <w:color w:val="FFFFFF"/>
                <w:sz w:val="20"/>
              </w:rPr>
              <w:t>estimado</w:t>
            </w:r>
            <w:r>
              <w:rPr>
                <w:color w:val="FFFFFF"/>
                <w:spacing w:val="-7"/>
                <w:sz w:val="20"/>
              </w:rPr>
              <w:t> </w:t>
            </w:r>
            <w:r>
              <w:rPr>
                <w:color w:val="FFFFFF"/>
                <w:sz w:val="20"/>
              </w:rPr>
              <w:t>para</w:t>
            </w:r>
            <w:r>
              <w:rPr>
                <w:color w:val="FFFFFF"/>
                <w:spacing w:val="-7"/>
                <w:sz w:val="20"/>
              </w:rPr>
              <w:t> </w:t>
            </w:r>
            <w:r>
              <w:rPr>
                <w:color w:val="FFFFFF"/>
                <w:sz w:val="20"/>
              </w:rPr>
              <w:t>su</w:t>
            </w:r>
            <w:r>
              <w:rPr>
                <w:color w:val="FFFFFF"/>
                <w:spacing w:val="-7"/>
                <w:sz w:val="20"/>
              </w:rPr>
              <w:t> </w:t>
            </w:r>
            <w:r>
              <w:rPr>
                <w:color w:val="FFFFFF"/>
                <w:spacing w:val="-2"/>
                <w:sz w:val="20"/>
              </w:rPr>
              <w:t>ejecución:</w:t>
            </w:r>
          </w:p>
        </w:tc>
        <w:tc>
          <w:tcPr>
            <w:tcW w:w="6522" w:type="dxa"/>
          </w:tcPr>
          <w:p>
            <w:pPr>
              <w:pStyle w:val="TableParagraph"/>
              <w:spacing w:line="211" w:lineRule="exact" w:before="69"/>
              <w:ind w:right="63"/>
              <w:jc w:val="right"/>
              <w:rPr>
                <w:sz w:val="20"/>
              </w:rPr>
            </w:pPr>
            <w:r>
              <w:rPr>
                <w:spacing w:val="-2"/>
                <w:sz w:val="20"/>
              </w:rPr>
              <w:t>21/11/2028</w:t>
            </w:r>
          </w:p>
        </w:tc>
      </w:tr>
      <w:tr>
        <w:trPr>
          <w:trHeight w:val="299" w:hRule="atLeast"/>
        </w:trPr>
        <w:tc>
          <w:tcPr>
            <w:tcW w:w="3827" w:type="dxa"/>
            <w:shd w:val="clear" w:color="auto" w:fill="0A2F40"/>
          </w:tcPr>
          <w:p>
            <w:pPr>
              <w:pStyle w:val="TableParagraph"/>
              <w:spacing w:before="35"/>
              <w:ind w:left="67"/>
              <w:rPr>
                <w:sz w:val="20"/>
              </w:rPr>
            </w:pPr>
            <w:r>
              <w:rPr>
                <w:color w:val="FFFFFF"/>
                <w:sz w:val="20"/>
              </w:rPr>
              <w:t>Monto</w:t>
            </w:r>
            <w:r>
              <w:rPr>
                <w:color w:val="FFFFFF"/>
                <w:spacing w:val="-7"/>
                <w:sz w:val="20"/>
              </w:rPr>
              <w:t> </w:t>
            </w:r>
            <w:r>
              <w:rPr>
                <w:color w:val="FFFFFF"/>
                <w:sz w:val="20"/>
              </w:rPr>
              <w:t>total</w:t>
            </w:r>
            <w:r>
              <w:rPr>
                <w:color w:val="FFFFFF"/>
                <w:spacing w:val="-5"/>
                <w:sz w:val="20"/>
              </w:rPr>
              <w:t> </w:t>
            </w:r>
            <w:r>
              <w:rPr>
                <w:color w:val="FFFFFF"/>
                <w:sz w:val="20"/>
              </w:rPr>
              <w:t>estimado</w:t>
            </w:r>
            <w:r>
              <w:rPr>
                <w:color w:val="FFFFFF"/>
                <w:spacing w:val="-7"/>
                <w:sz w:val="20"/>
              </w:rPr>
              <w:t> </w:t>
            </w:r>
            <w:r>
              <w:rPr>
                <w:color w:val="FFFFFF"/>
                <w:sz w:val="20"/>
              </w:rPr>
              <w:t>en</w:t>
            </w:r>
            <w:r>
              <w:rPr>
                <w:color w:val="FFFFFF"/>
                <w:spacing w:val="-4"/>
                <w:sz w:val="20"/>
              </w:rPr>
              <w:t> </w:t>
            </w:r>
            <w:r>
              <w:rPr>
                <w:color w:val="FFFFFF"/>
                <w:sz w:val="20"/>
              </w:rPr>
              <w:t>el</w:t>
            </w:r>
            <w:r>
              <w:rPr>
                <w:color w:val="FFFFFF"/>
                <w:spacing w:val="-4"/>
                <w:sz w:val="20"/>
              </w:rPr>
              <w:t> </w:t>
            </w:r>
            <w:r>
              <w:rPr>
                <w:color w:val="FFFFFF"/>
                <w:spacing w:val="-2"/>
                <w:sz w:val="20"/>
              </w:rPr>
              <w:t>presupuesto:</w:t>
            </w:r>
          </w:p>
        </w:tc>
        <w:tc>
          <w:tcPr>
            <w:tcW w:w="6522" w:type="dxa"/>
          </w:tcPr>
          <w:p>
            <w:pPr>
              <w:pStyle w:val="TableParagraph"/>
              <w:spacing w:line="211" w:lineRule="exact" w:before="69"/>
              <w:ind w:right="73"/>
              <w:jc w:val="right"/>
              <w:rPr>
                <w:sz w:val="20"/>
              </w:rPr>
            </w:pPr>
            <w:r>
              <w:rPr>
                <w:b/>
                <w:sz w:val="20"/>
              </w:rPr>
              <w:t>₡</w:t>
            </w:r>
            <w:r>
              <w:rPr>
                <w:b/>
                <w:spacing w:val="-5"/>
                <w:sz w:val="20"/>
              </w:rPr>
              <w:t> </w:t>
            </w:r>
            <w:r>
              <w:rPr>
                <w:sz w:val="20"/>
              </w:rPr>
              <w:t>766</w:t>
            </w:r>
            <w:r>
              <w:rPr>
                <w:spacing w:val="-2"/>
                <w:sz w:val="20"/>
              </w:rPr>
              <w:t> </w:t>
            </w:r>
            <w:r>
              <w:rPr>
                <w:sz w:val="20"/>
              </w:rPr>
              <w:t>150</w:t>
            </w:r>
            <w:r>
              <w:rPr>
                <w:spacing w:val="-5"/>
                <w:sz w:val="20"/>
              </w:rPr>
              <w:t> </w:t>
            </w:r>
            <w:r>
              <w:rPr>
                <w:spacing w:val="-2"/>
                <w:sz w:val="20"/>
              </w:rPr>
              <w:t>000,00</w:t>
            </w:r>
          </w:p>
        </w:tc>
      </w:tr>
      <w:tr>
        <w:trPr>
          <w:trHeight w:val="599" w:hRule="atLeast"/>
        </w:trPr>
        <w:tc>
          <w:tcPr>
            <w:tcW w:w="3827" w:type="dxa"/>
            <w:shd w:val="clear" w:color="auto" w:fill="0A2F40"/>
          </w:tcPr>
          <w:p>
            <w:pPr>
              <w:pStyle w:val="TableParagraph"/>
              <w:spacing w:before="69"/>
              <w:ind w:left="67" w:right="12"/>
              <w:rPr>
                <w:sz w:val="20"/>
              </w:rPr>
            </w:pPr>
            <w:r>
              <w:rPr>
                <w:color w:val="FFFFFF"/>
                <w:sz w:val="20"/>
              </w:rPr>
              <w:t>Meta</w:t>
            </w:r>
            <w:r>
              <w:rPr>
                <w:color w:val="FFFFFF"/>
                <w:spacing w:val="-8"/>
                <w:sz w:val="20"/>
              </w:rPr>
              <w:t> </w:t>
            </w:r>
            <w:r>
              <w:rPr>
                <w:color w:val="FFFFFF"/>
                <w:sz w:val="20"/>
              </w:rPr>
              <w:t>anual</w:t>
            </w:r>
            <w:r>
              <w:rPr>
                <w:color w:val="FFFFFF"/>
                <w:spacing w:val="-9"/>
                <w:sz w:val="20"/>
              </w:rPr>
              <w:t> </w:t>
            </w:r>
            <w:r>
              <w:rPr>
                <w:color w:val="FFFFFF"/>
                <w:sz w:val="20"/>
              </w:rPr>
              <w:t>que</w:t>
            </w:r>
            <w:r>
              <w:rPr>
                <w:color w:val="FFFFFF"/>
                <w:spacing w:val="-10"/>
                <w:sz w:val="20"/>
              </w:rPr>
              <w:t> </w:t>
            </w:r>
            <w:r>
              <w:rPr>
                <w:color w:val="FFFFFF"/>
                <w:sz w:val="20"/>
              </w:rPr>
              <w:t>se</w:t>
            </w:r>
            <w:r>
              <w:rPr>
                <w:color w:val="FFFFFF"/>
                <w:spacing w:val="-10"/>
                <w:sz w:val="20"/>
              </w:rPr>
              <w:t> </w:t>
            </w:r>
            <w:r>
              <w:rPr>
                <w:color w:val="FFFFFF"/>
                <w:sz w:val="20"/>
              </w:rPr>
              <w:t>espera</w:t>
            </w:r>
            <w:r>
              <w:rPr>
                <w:color w:val="FFFFFF"/>
                <w:spacing w:val="-8"/>
                <w:sz w:val="20"/>
              </w:rPr>
              <w:t> </w:t>
            </w:r>
            <w:r>
              <w:rPr>
                <w:color w:val="FFFFFF"/>
                <w:sz w:val="20"/>
              </w:rPr>
              <w:t>alcanzar durante el periodo presupuestario:</w:t>
            </w:r>
          </w:p>
        </w:tc>
        <w:tc>
          <w:tcPr>
            <w:tcW w:w="6522" w:type="dxa"/>
          </w:tcPr>
          <w:p>
            <w:pPr>
              <w:pStyle w:val="TableParagraph"/>
              <w:spacing w:before="139"/>
              <w:rPr>
                <w:b/>
                <w:sz w:val="20"/>
              </w:rPr>
            </w:pPr>
          </w:p>
          <w:p>
            <w:pPr>
              <w:pStyle w:val="TableParagraph"/>
              <w:spacing w:line="211" w:lineRule="exact"/>
              <w:ind w:right="64"/>
              <w:jc w:val="right"/>
              <w:rPr>
                <w:sz w:val="20"/>
              </w:rPr>
            </w:pPr>
            <w:r>
              <w:rPr>
                <w:spacing w:val="-4"/>
                <w:sz w:val="20"/>
              </w:rPr>
              <w:t>100%</w:t>
            </w:r>
          </w:p>
        </w:tc>
      </w:tr>
      <w:tr>
        <w:trPr>
          <w:trHeight w:val="302" w:hRule="atLeast"/>
        </w:trPr>
        <w:tc>
          <w:tcPr>
            <w:tcW w:w="3827" w:type="dxa"/>
            <w:shd w:val="clear" w:color="auto" w:fill="0A2F40"/>
          </w:tcPr>
          <w:p>
            <w:pPr>
              <w:pStyle w:val="TableParagraph"/>
              <w:spacing w:before="35"/>
              <w:ind w:left="67"/>
              <w:rPr>
                <w:sz w:val="20"/>
              </w:rPr>
            </w:pPr>
            <w:r>
              <w:rPr>
                <w:color w:val="FFFFFF"/>
                <w:sz w:val="20"/>
              </w:rPr>
              <w:t>Unidad</w:t>
            </w:r>
            <w:r>
              <w:rPr>
                <w:color w:val="FFFFFF"/>
                <w:spacing w:val="-11"/>
                <w:sz w:val="20"/>
              </w:rPr>
              <w:t> </w:t>
            </w:r>
            <w:r>
              <w:rPr>
                <w:color w:val="FFFFFF"/>
                <w:sz w:val="20"/>
              </w:rPr>
              <w:t>responsable</w:t>
            </w:r>
            <w:r>
              <w:rPr>
                <w:color w:val="FFFFFF"/>
                <w:spacing w:val="-8"/>
                <w:sz w:val="20"/>
              </w:rPr>
              <w:t> </w:t>
            </w:r>
            <w:r>
              <w:rPr>
                <w:color w:val="FFFFFF"/>
                <w:sz w:val="20"/>
              </w:rPr>
              <w:t>del</w:t>
            </w:r>
            <w:r>
              <w:rPr>
                <w:color w:val="FFFFFF"/>
                <w:spacing w:val="-10"/>
                <w:sz w:val="20"/>
              </w:rPr>
              <w:t> </w:t>
            </w:r>
            <w:r>
              <w:rPr>
                <w:color w:val="FFFFFF"/>
                <w:spacing w:val="-2"/>
                <w:sz w:val="20"/>
              </w:rPr>
              <w:t>proyecto:</w:t>
            </w:r>
          </w:p>
        </w:tc>
        <w:tc>
          <w:tcPr>
            <w:tcW w:w="6522" w:type="dxa"/>
          </w:tcPr>
          <w:p>
            <w:pPr>
              <w:pStyle w:val="TableParagraph"/>
              <w:spacing w:line="211" w:lineRule="exact" w:before="71"/>
              <w:ind w:left="69"/>
              <w:rPr>
                <w:sz w:val="20"/>
              </w:rPr>
            </w:pPr>
            <w:r>
              <w:rPr>
                <w:sz w:val="20"/>
              </w:rPr>
              <w:t>Área</w:t>
            </w:r>
            <w:r>
              <w:rPr>
                <w:spacing w:val="-9"/>
                <w:sz w:val="20"/>
              </w:rPr>
              <w:t> </w:t>
            </w:r>
            <w:r>
              <w:rPr>
                <w:sz w:val="20"/>
              </w:rPr>
              <w:t>Regional</w:t>
            </w:r>
            <w:r>
              <w:rPr>
                <w:spacing w:val="-7"/>
                <w:sz w:val="20"/>
              </w:rPr>
              <w:t> </w:t>
            </w:r>
            <w:r>
              <w:rPr>
                <w:sz w:val="20"/>
              </w:rPr>
              <w:t>de</w:t>
            </w:r>
            <w:r>
              <w:rPr>
                <w:spacing w:val="-8"/>
                <w:sz w:val="20"/>
              </w:rPr>
              <w:t> </w:t>
            </w:r>
            <w:r>
              <w:rPr>
                <w:sz w:val="20"/>
              </w:rPr>
              <w:t>Desarrollo</w:t>
            </w:r>
            <w:r>
              <w:rPr>
                <w:spacing w:val="-8"/>
                <w:sz w:val="20"/>
              </w:rPr>
              <w:t> </w:t>
            </w:r>
            <w:r>
              <w:rPr>
                <w:sz w:val="20"/>
              </w:rPr>
              <w:t>Social</w:t>
            </w:r>
            <w:r>
              <w:rPr>
                <w:spacing w:val="-6"/>
                <w:sz w:val="20"/>
              </w:rPr>
              <w:t> </w:t>
            </w:r>
            <w:r>
              <w:rPr>
                <w:spacing w:val="-2"/>
                <w:sz w:val="20"/>
              </w:rPr>
              <w:t>Brunca</w:t>
            </w:r>
          </w:p>
        </w:tc>
      </w:tr>
    </w:tbl>
    <w:p>
      <w:pPr>
        <w:pStyle w:val="BodyText"/>
        <w:spacing w:before="68"/>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98"/>
        <w:gridCol w:w="6568"/>
      </w:tblGrid>
      <w:tr>
        <w:trPr>
          <w:trHeight w:val="688" w:hRule="atLeast"/>
        </w:trPr>
        <w:tc>
          <w:tcPr>
            <w:tcW w:w="3798" w:type="dxa"/>
            <w:shd w:val="clear" w:color="auto" w:fill="0A2F40"/>
          </w:tcPr>
          <w:p>
            <w:pPr>
              <w:pStyle w:val="TableParagraph"/>
              <w:spacing w:before="230"/>
              <w:ind w:left="67"/>
              <w:rPr>
                <w:sz w:val="20"/>
              </w:rPr>
            </w:pPr>
            <w:r>
              <w:rPr>
                <w:color w:val="FFFFFF"/>
                <w:sz w:val="20"/>
              </w:rPr>
              <w:t>Nombre</w:t>
            </w:r>
            <w:r>
              <w:rPr>
                <w:color w:val="FFFFFF"/>
                <w:spacing w:val="-6"/>
                <w:sz w:val="20"/>
              </w:rPr>
              <w:t> </w:t>
            </w:r>
            <w:r>
              <w:rPr>
                <w:color w:val="FFFFFF"/>
                <w:sz w:val="20"/>
              </w:rPr>
              <w:t>del</w:t>
            </w:r>
            <w:r>
              <w:rPr>
                <w:color w:val="FFFFFF"/>
                <w:spacing w:val="-7"/>
                <w:sz w:val="20"/>
              </w:rPr>
              <w:t> </w:t>
            </w:r>
            <w:r>
              <w:rPr>
                <w:color w:val="FFFFFF"/>
                <w:spacing w:val="-2"/>
                <w:sz w:val="20"/>
              </w:rPr>
              <w:t>Proyecto:</w:t>
            </w:r>
          </w:p>
        </w:tc>
        <w:tc>
          <w:tcPr>
            <w:tcW w:w="6568" w:type="dxa"/>
          </w:tcPr>
          <w:p>
            <w:pPr>
              <w:pStyle w:val="TableParagraph"/>
              <w:spacing w:line="229" w:lineRule="exact"/>
              <w:ind w:left="69"/>
              <w:rPr>
                <w:sz w:val="20"/>
              </w:rPr>
            </w:pPr>
            <w:r>
              <w:rPr>
                <w:sz w:val="20"/>
              </w:rPr>
              <w:t>Construcción</w:t>
            </w:r>
            <w:r>
              <w:rPr>
                <w:spacing w:val="-6"/>
                <w:sz w:val="20"/>
              </w:rPr>
              <w:t> </w:t>
            </w:r>
            <w:r>
              <w:rPr>
                <w:sz w:val="20"/>
              </w:rPr>
              <w:t>del</w:t>
            </w:r>
            <w:r>
              <w:rPr>
                <w:spacing w:val="-8"/>
                <w:sz w:val="20"/>
              </w:rPr>
              <w:t> </w:t>
            </w:r>
            <w:r>
              <w:rPr>
                <w:sz w:val="20"/>
              </w:rPr>
              <w:t>edificio</w:t>
            </w:r>
            <w:r>
              <w:rPr>
                <w:spacing w:val="-6"/>
                <w:sz w:val="20"/>
              </w:rPr>
              <w:t> </w:t>
            </w:r>
            <w:r>
              <w:rPr>
                <w:sz w:val="20"/>
              </w:rPr>
              <w:t>para</w:t>
            </w:r>
            <w:r>
              <w:rPr>
                <w:spacing w:val="-7"/>
                <w:sz w:val="20"/>
              </w:rPr>
              <w:t> </w:t>
            </w:r>
            <w:r>
              <w:rPr>
                <w:sz w:val="20"/>
              </w:rPr>
              <w:t>las</w:t>
            </w:r>
            <w:r>
              <w:rPr>
                <w:spacing w:val="-6"/>
                <w:sz w:val="20"/>
              </w:rPr>
              <w:t> </w:t>
            </w:r>
            <w:r>
              <w:rPr>
                <w:sz w:val="20"/>
              </w:rPr>
              <w:t>oficinas</w:t>
            </w:r>
            <w:r>
              <w:rPr>
                <w:spacing w:val="-7"/>
                <w:sz w:val="20"/>
              </w:rPr>
              <w:t> </w:t>
            </w:r>
            <w:r>
              <w:rPr>
                <w:sz w:val="20"/>
              </w:rPr>
              <w:t>de</w:t>
            </w:r>
            <w:r>
              <w:rPr>
                <w:spacing w:val="-5"/>
                <w:sz w:val="20"/>
              </w:rPr>
              <w:t> </w:t>
            </w:r>
            <w:r>
              <w:rPr>
                <w:sz w:val="20"/>
              </w:rPr>
              <w:t>la</w:t>
            </w:r>
            <w:r>
              <w:rPr>
                <w:spacing w:val="-5"/>
                <w:sz w:val="20"/>
              </w:rPr>
              <w:t> </w:t>
            </w:r>
            <w:r>
              <w:rPr>
                <w:sz w:val="20"/>
              </w:rPr>
              <w:t>Unidad</w:t>
            </w:r>
            <w:r>
              <w:rPr>
                <w:spacing w:val="-6"/>
                <w:sz w:val="20"/>
              </w:rPr>
              <w:t> </w:t>
            </w:r>
            <w:r>
              <w:rPr>
                <w:sz w:val="20"/>
              </w:rPr>
              <w:t>Local</w:t>
            </w:r>
            <w:r>
              <w:rPr>
                <w:spacing w:val="-6"/>
                <w:sz w:val="20"/>
              </w:rPr>
              <w:t> </w:t>
            </w:r>
            <w:r>
              <w:rPr>
                <w:spacing w:val="-5"/>
                <w:sz w:val="20"/>
              </w:rPr>
              <w:t>de</w:t>
            </w:r>
          </w:p>
          <w:p>
            <w:pPr>
              <w:pStyle w:val="TableParagraph"/>
              <w:spacing w:line="228" w:lineRule="exact"/>
              <w:ind w:left="69" w:right="335"/>
              <w:rPr>
                <w:sz w:val="20"/>
              </w:rPr>
            </w:pPr>
            <w:r>
              <w:rPr>
                <w:sz w:val="20"/>
              </w:rPr>
              <w:t>Desarrollo</w:t>
            </w:r>
            <w:r>
              <w:rPr>
                <w:spacing w:val="-4"/>
                <w:sz w:val="20"/>
              </w:rPr>
              <w:t> </w:t>
            </w:r>
            <w:r>
              <w:rPr>
                <w:sz w:val="20"/>
              </w:rPr>
              <w:t>Social</w:t>
            </w:r>
            <w:r>
              <w:rPr>
                <w:spacing w:val="-7"/>
                <w:sz w:val="20"/>
              </w:rPr>
              <w:t> </w:t>
            </w:r>
            <w:r>
              <w:rPr>
                <w:sz w:val="20"/>
              </w:rPr>
              <w:t>de</w:t>
            </w:r>
            <w:r>
              <w:rPr>
                <w:spacing w:val="-4"/>
                <w:sz w:val="20"/>
              </w:rPr>
              <w:t> </w:t>
            </w:r>
            <w:r>
              <w:rPr>
                <w:sz w:val="20"/>
              </w:rPr>
              <w:t>Alajuela</w:t>
            </w:r>
            <w:r>
              <w:rPr>
                <w:spacing w:val="-6"/>
                <w:sz w:val="20"/>
              </w:rPr>
              <w:t> </w:t>
            </w:r>
            <w:r>
              <w:rPr>
                <w:sz w:val="20"/>
              </w:rPr>
              <w:t>y</w:t>
            </w:r>
            <w:r>
              <w:rPr>
                <w:spacing w:val="-5"/>
                <w:sz w:val="20"/>
              </w:rPr>
              <w:t> </w:t>
            </w:r>
            <w:r>
              <w:rPr>
                <w:sz w:val="20"/>
              </w:rPr>
              <w:t>Área</w:t>
            </w:r>
            <w:r>
              <w:rPr>
                <w:spacing w:val="-4"/>
                <w:sz w:val="20"/>
              </w:rPr>
              <w:t> </w:t>
            </w:r>
            <w:r>
              <w:rPr>
                <w:sz w:val="20"/>
              </w:rPr>
              <w:t>Regional</w:t>
            </w:r>
            <w:r>
              <w:rPr>
                <w:spacing w:val="-5"/>
                <w:sz w:val="20"/>
              </w:rPr>
              <w:t> </w:t>
            </w:r>
            <w:r>
              <w:rPr>
                <w:sz w:val="20"/>
              </w:rPr>
              <w:t>de</w:t>
            </w:r>
            <w:r>
              <w:rPr>
                <w:spacing w:val="-5"/>
                <w:sz w:val="20"/>
              </w:rPr>
              <w:t> </w:t>
            </w:r>
            <w:r>
              <w:rPr>
                <w:sz w:val="20"/>
              </w:rPr>
              <w:t>Desarrollo</w:t>
            </w:r>
            <w:r>
              <w:rPr>
                <w:spacing w:val="-4"/>
                <w:sz w:val="20"/>
              </w:rPr>
              <w:t> </w:t>
            </w:r>
            <w:r>
              <w:rPr>
                <w:sz w:val="20"/>
              </w:rPr>
              <w:t>Social</w:t>
            </w:r>
            <w:r>
              <w:rPr>
                <w:spacing w:val="-5"/>
                <w:sz w:val="20"/>
              </w:rPr>
              <w:t> </w:t>
            </w:r>
            <w:r>
              <w:rPr>
                <w:sz w:val="20"/>
              </w:rPr>
              <w:t>de </w:t>
            </w:r>
            <w:r>
              <w:rPr>
                <w:spacing w:val="-2"/>
                <w:sz w:val="20"/>
              </w:rPr>
              <w:t>Alajuela-IMAS</w:t>
            </w:r>
          </w:p>
        </w:tc>
      </w:tr>
      <w:tr>
        <w:trPr>
          <w:trHeight w:val="2311" w:hRule="atLeast"/>
        </w:trPr>
        <w:tc>
          <w:tcPr>
            <w:tcW w:w="3798" w:type="dxa"/>
            <w:shd w:val="clear" w:color="auto" w:fill="0A2F40"/>
          </w:tcPr>
          <w:p>
            <w:pPr>
              <w:pStyle w:val="TableParagraph"/>
              <w:rPr>
                <w:b/>
                <w:sz w:val="20"/>
              </w:rPr>
            </w:pPr>
          </w:p>
          <w:p>
            <w:pPr>
              <w:pStyle w:val="TableParagraph"/>
              <w:rPr>
                <w:b/>
                <w:sz w:val="20"/>
              </w:rPr>
            </w:pPr>
          </w:p>
          <w:p>
            <w:pPr>
              <w:pStyle w:val="TableParagraph"/>
              <w:rPr>
                <w:b/>
                <w:sz w:val="20"/>
              </w:rPr>
            </w:pPr>
          </w:p>
          <w:p>
            <w:pPr>
              <w:pStyle w:val="TableParagraph"/>
              <w:spacing w:before="121"/>
              <w:rPr>
                <w:b/>
                <w:sz w:val="20"/>
              </w:rPr>
            </w:pPr>
          </w:p>
          <w:p>
            <w:pPr>
              <w:pStyle w:val="TableParagraph"/>
              <w:ind w:left="67"/>
              <w:rPr>
                <w:sz w:val="20"/>
              </w:rPr>
            </w:pPr>
            <w:r>
              <w:rPr>
                <w:color w:val="FFFFFF"/>
                <w:sz w:val="20"/>
              </w:rPr>
              <w:t>Descripción</w:t>
            </w:r>
            <w:r>
              <w:rPr>
                <w:color w:val="FFFFFF"/>
                <w:spacing w:val="-7"/>
                <w:sz w:val="20"/>
              </w:rPr>
              <w:t> </w:t>
            </w:r>
            <w:r>
              <w:rPr>
                <w:color w:val="FFFFFF"/>
                <w:sz w:val="20"/>
              </w:rPr>
              <w:t>y</w:t>
            </w:r>
            <w:r>
              <w:rPr>
                <w:color w:val="FFFFFF"/>
                <w:spacing w:val="-8"/>
                <w:sz w:val="20"/>
              </w:rPr>
              <w:t> </w:t>
            </w:r>
            <w:r>
              <w:rPr>
                <w:color w:val="FFFFFF"/>
                <w:sz w:val="20"/>
              </w:rPr>
              <w:t>objetivo</w:t>
            </w:r>
            <w:r>
              <w:rPr>
                <w:color w:val="FFFFFF"/>
                <w:spacing w:val="-9"/>
                <w:sz w:val="20"/>
              </w:rPr>
              <w:t> </w:t>
            </w:r>
            <w:r>
              <w:rPr>
                <w:color w:val="FFFFFF"/>
                <w:spacing w:val="-2"/>
                <w:sz w:val="20"/>
              </w:rPr>
              <w:t>general:</w:t>
            </w:r>
          </w:p>
        </w:tc>
        <w:tc>
          <w:tcPr>
            <w:tcW w:w="6568" w:type="dxa"/>
          </w:tcPr>
          <w:p>
            <w:pPr>
              <w:pStyle w:val="TableParagraph"/>
              <w:spacing w:before="9"/>
              <w:rPr>
                <w:b/>
                <w:sz w:val="20"/>
              </w:rPr>
            </w:pPr>
          </w:p>
          <w:p>
            <w:pPr>
              <w:pStyle w:val="TableParagraph"/>
              <w:ind w:left="69" w:right="16"/>
              <w:rPr>
                <w:sz w:val="20"/>
              </w:rPr>
            </w:pPr>
            <w:r>
              <w:rPr>
                <w:b/>
                <w:sz w:val="20"/>
              </w:rPr>
              <w:t>Descripción: </w:t>
            </w:r>
            <w:r>
              <w:rPr>
                <w:sz w:val="20"/>
              </w:rPr>
              <w:t>El presente proyecto consiste en la construcción de un edificio</w:t>
            </w:r>
            <w:r>
              <w:rPr>
                <w:spacing w:val="-5"/>
                <w:sz w:val="20"/>
              </w:rPr>
              <w:t> </w:t>
            </w:r>
            <w:r>
              <w:rPr>
                <w:sz w:val="20"/>
              </w:rPr>
              <w:t>que</w:t>
            </w:r>
            <w:r>
              <w:rPr>
                <w:spacing w:val="-7"/>
                <w:sz w:val="20"/>
              </w:rPr>
              <w:t> </w:t>
            </w:r>
            <w:r>
              <w:rPr>
                <w:sz w:val="20"/>
              </w:rPr>
              <w:t>reúna</w:t>
            </w:r>
            <w:r>
              <w:rPr>
                <w:spacing w:val="-6"/>
                <w:sz w:val="20"/>
              </w:rPr>
              <w:t> </w:t>
            </w:r>
            <w:r>
              <w:rPr>
                <w:sz w:val="20"/>
              </w:rPr>
              <w:t>las</w:t>
            </w:r>
            <w:r>
              <w:rPr>
                <w:spacing w:val="-6"/>
                <w:sz w:val="20"/>
              </w:rPr>
              <w:t> </w:t>
            </w:r>
            <w:r>
              <w:rPr>
                <w:sz w:val="20"/>
              </w:rPr>
              <w:t>condiciones</w:t>
            </w:r>
            <w:r>
              <w:rPr>
                <w:spacing w:val="-6"/>
                <w:sz w:val="20"/>
              </w:rPr>
              <w:t> </w:t>
            </w:r>
            <w:r>
              <w:rPr>
                <w:sz w:val="20"/>
              </w:rPr>
              <w:t>necesarias</w:t>
            </w:r>
            <w:r>
              <w:rPr>
                <w:spacing w:val="-4"/>
                <w:sz w:val="20"/>
              </w:rPr>
              <w:t> </w:t>
            </w:r>
            <w:r>
              <w:rPr>
                <w:sz w:val="20"/>
              </w:rPr>
              <w:t>para</w:t>
            </w:r>
            <w:r>
              <w:rPr>
                <w:spacing w:val="-5"/>
                <w:sz w:val="20"/>
              </w:rPr>
              <w:t> </w:t>
            </w:r>
            <w:r>
              <w:rPr>
                <w:sz w:val="20"/>
              </w:rPr>
              <w:t>ofrecer</w:t>
            </w:r>
            <w:r>
              <w:rPr>
                <w:spacing w:val="-7"/>
                <w:sz w:val="20"/>
              </w:rPr>
              <w:t> </w:t>
            </w:r>
            <w:r>
              <w:rPr>
                <w:sz w:val="20"/>
              </w:rPr>
              <w:t>un</w:t>
            </w:r>
            <w:r>
              <w:rPr>
                <w:spacing w:val="-7"/>
                <w:sz w:val="20"/>
              </w:rPr>
              <w:t> </w:t>
            </w:r>
            <w:r>
              <w:rPr>
                <w:sz w:val="20"/>
              </w:rPr>
              <w:t>ambiente sano, óptimo y de calidad, a las personas usuarias en la prestación de los beneficios y servicios institucionales.</w:t>
            </w:r>
          </w:p>
          <w:p>
            <w:pPr>
              <w:pStyle w:val="TableParagraph"/>
              <w:spacing w:before="2"/>
              <w:rPr>
                <w:b/>
                <w:sz w:val="20"/>
              </w:rPr>
            </w:pPr>
          </w:p>
          <w:p>
            <w:pPr>
              <w:pStyle w:val="TableParagraph"/>
              <w:spacing w:before="1"/>
              <w:ind w:left="69"/>
              <w:rPr>
                <w:sz w:val="20"/>
              </w:rPr>
            </w:pPr>
            <w:r>
              <w:rPr>
                <w:b/>
                <w:sz w:val="20"/>
              </w:rPr>
              <w:t>Objetivo General: </w:t>
            </w:r>
            <w:r>
              <w:rPr>
                <w:sz w:val="20"/>
              </w:rPr>
              <w:t>Construir un edificio que reúna las condiciones necesarias</w:t>
            </w:r>
            <w:r>
              <w:rPr>
                <w:spacing w:val="-3"/>
                <w:sz w:val="20"/>
              </w:rPr>
              <w:t> </w:t>
            </w:r>
            <w:r>
              <w:rPr>
                <w:sz w:val="20"/>
              </w:rPr>
              <w:t>para</w:t>
            </w:r>
            <w:r>
              <w:rPr>
                <w:spacing w:val="-6"/>
                <w:sz w:val="20"/>
              </w:rPr>
              <w:t> </w:t>
            </w:r>
            <w:r>
              <w:rPr>
                <w:sz w:val="20"/>
              </w:rPr>
              <w:t>ofrecer</w:t>
            </w:r>
            <w:r>
              <w:rPr>
                <w:spacing w:val="-6"/>
                <w:sz w:val="20"/>
              </w:rPr>
              <w:t> </w:t>
            </w:r>
            <w:r>
              <w:rPr>
                <w:sz w:val="20"/>
              </w:rPr>
              <w:t>un</w:t>
            </w:r>
            <w:r>
              <w:rPr>
                <w:spacing w:val="-2"/>
                <w:sz w:val="20"/>
              </w:rPr>
              <w:t> </w:t>
            </w:r>
            <w:r>
              <w:rPr>
                <w:sz w:val="20"/>
              </w:rPr>
              <w:t>ambiente</w:t>
            </w:r>
            <w:r>
              <w:rPr>
                <w:spacing w:val="-6"/>
                <w:sz w:val="20"/>
              </w:rPr>
              <w:t> </w:t>
            </w:r>
            <w:r>
              <w:rPr>
                <w:sz w:val="20"/>
              </w:rPr>
              <w:t>sano,</w:t>
            </w:r>
            <w:r>
              <w:rPr>
                <w:spacing w:val="-6"/>
                <w:sz w:val="20"/>
              </w:rPr>
              <w:t> </w:t>
            </w:r>
            <w:r>
              <w:rPr>
                <w:sz w:val="20"/>
              </w:rPr>
              <w:t>óptimo</w:t>
            </w:r>
            <w:r>
              <w:rPr>
                <w:spacing w:val="-6"/>
                <w:sz w:val="20"/>
              </w:rPr>
              <w:t> </w:t>
            </w:r>
            <w:r>
              <w:rPr>
                <w:sz w:val="20"/>
              </w:rPr>
              <w:t>y</w:t>
            </w:r>
            <w:r>
              <w:rPr>
                <w:spacing w:val="-5"/>
                <w:sz w:val="20"/>
              </w:rPr>
              <w:t> </w:t>
            </w:r>
            <w:r>
              <w:rPr>
                <w:sz w:val="20"/>
              </w:rPr>
              <w:t>de</w:t>
            </w:r>
            <w:r>
              <w:rPr>
                <w:spacing w:val="-6"/>
                <w:sz w:val="20"/>
              </w:rPr>
              <w:t> </w:t>
            </w:r>
            <w:r>
              <w:rPr>
                <w:sz w:val="20"/>
              </w:rPr>
              <w:t>calidad,</w:t>
            </w:r>
            <w:r>
              <w:rPr>
                <w:spacing w:val="-6"/>
                <w:sz w:val="20"/>
              </w:rPr>
              <w:t> </w:t>
            </w:r>
            <w:r>
              <w:rPr>
                <w:sz w:val="20"/>
              </w:rPr>
              <w:t>a</w:t>
            </w:r>
            <w:r>
              <w:rPr>
                <w:spacing w:val="-4"/>
                <w:sz w:val="20"/>
              </w:rPr>
              <w:t> </w:t>
            </w:r>
            <w:r>
              <w:rPr>
                <w:sz w:val="20"/>
              </w:rPr>
              <w:t>las personas usuarias en la prestación de los beneficios y servicios</w:t>
            </w:r>
          </w:p>
          <w:p>
            <w:pPr>
              <w:pStyle w:val="TableParagraph"/>
              <w:spacing w:line="209" w:lineRule="exact"/>
              <w:ind w:left="69"/>
              <w:rPr>
                <w:sz w:val="20"/>
              </w:rPr>
            </w:pPr>
            <w:r>
              <w:rPr>
                <w:spacing w:val="-2"/>
                <w:sz w:val="20"/>
              </w:rPr>
              <w:t>institucionales</w:t>
            </w:r>
          </w:p>
        </w:tc>
      </w:tr>
      <w:tr>
        <w:trPr>
          <w:trHeight w:val="690" w:hRule="atLeast"/>
        </w:trPr>
        <w:tc>
          <w:tcPr>
            <w:tcW w:w="3798" w:type="dxa"/>
            <w:shd w:val="clear" w:color="auto" w:fill="0A2F40"/>
          </w:tcPr>
          <w:p>
            <w:pPr>
              <w:pStyle w:val="TableParagraph"/>
              <w:spacing w:line="230" w:lineRule="exact"/>
              <w:ind w:left="67" w:right="116"/>
              <w:rPr>
                <w:sz w:val="20"/>
              </w:rPr>
            </w:pPr>
            <w:r>
              <w:rPr>
                <w:color w:val="FFFFFF"/>
                <w:sz w:val="20"/>
              </w:rPr>
              <w:t>Fase</w:t>
            </w:r>
            <w:r>
              <w:rPr>
                <w:color w:val="FFFFFF"/>
                <w:spacing w:val="-9"/>
                <w:sz w:val="20"/>
              </w:rPr>
              <w:t> </w:t>
            </w:r>
            <w:r>
              <w:rPr>
                <w:color w:val="FFFFFF"/>
                <w:sz w:val="20"/>
              </w:rPr>
              <w:t>del</w:t>
            </w:r>
            <w:r>
              <w:rPr>
                <w:color w:val="FFFFFF"/>
                <w:spacing w:val="-10"/>
                <w:sz w:val="20"/>
              </w:rPr>
              <w:t> </w:t>
            </w:r>
            <w:r>
              <w:rPr>
                <w:color w:val="FFFFFF"/>
                <w:sz w:val="20"/>
              </w:rPr>
              <w:t>proyecto</w:t>
            </w:r>
            <w:r>
              <w:rPr>
                <w:color w:val="FFFFFF"/>
                <w:spacing w:val="-7"/>
                <w:sz w:val="20"/>
              </w:rPr>
              <w:t> </w:t>
            </w:r>
            <w:r>
              <w:rPr>
                <w:color w:val="FFFFFF"/>
                <w:sz w:val="20"/>
              </w:rPr>
              <w:t>que</w:t>
            </w:r>
            <w:r>
              <w:rPr>
                <w:color w:val="FFFFFF"/>
                <w:spacing w:val="-9"/>
                <w:sz w:val="20"/>
              </w:rPr>
              <w:t> </w:t>
            </w:r>
            <w:r>
              <w:rPr>
                <w:color w:val="FFFFFF"/>
                <w:sz w:val="20"/>
              </w:rPr>
              <w:t>se</w:t>
            </w:r>
            <w:r>
              <w:rPr>
                <w:color w:val="FFFFFF"/>
                <w:spacing w:val="-9"/>
                <w:sz w:val="20"/>
              </w:rPr>
              <w:t> </w:t>
            </w:r>
            <w:r>
              <w:rPr>
                <w:color w:val="FFFFFF"/>
                <w:sz w:val="20"/>
              </w:rPr>
              <w:t>espera alcanzar durante el periodo </w:t>
            </w:r>
            <w:r>
              <w:rPr>
                <w:color w:val="FFFFFF"/>
                <w:spacing w:val="-2"/>
                <w:sz w:val="20"/>
              </w:rPr>
              <w:t>presupuestario:</w:t>
            </w:r>
          </w:p>
        </w:tc>
        <w:tc>
          <w:tcPr>
            <w:tcW w:w="6568" w:type="dxa"/>
          </w:tcPr>
          <w:p>
            <w:pPr>
              <w:pStyle w:val="TableParagraph"/>
              <w:rPr>
                <w:b/>
                <w:sz w:val="20"/>
              </w:rPr>
            </w:pPr>
          </w:p>
          <w:p>
            <w:pPr>
              <w:pStyle w:val="TableParagraph"/>
              <w:rPr>
                <w:b/>
                <w:sz w:val="20"/>
              </w:rPr>
            </w:pPr>
          </w:p>
          <w:p>
            <w:pPr>
              <w:pStyle w:val="TableParagraph"/>
              <w:spacing w:line="211" w:lineRule="exact"/>
              <w:ind w:left="69"/>
              <w:rPr>
                <w:sz w:val="20"/>
              </w:rPr>
            </w:pPr>
            <w:r>
              <w:rPr>
                <w:spacing w:val="-2"/>
                <w:sz w:val="20"/>
              </w:rPr>
              <w:t>Ejecución</w:t>
            </w:r>
          </w:p>
        </w:tc>
      </w:tr>
      <w:tr>
        <w:trPr>
          <w:trHeight w:val="299" w:hRule="atLeast"/>
        </w:trPr>
        <w:tc>
          <w:tcPr>
            <w:tcW w:w="3798" w:type="dxa"/>
            <w:shd w:val="clear" w:color="auto" w:fill="0A2F40"/>
          </w:tcPr>
          <w:p>
            <w:pPr>
              <w:pStyle w:val="TableParagraph"/>
              <w:spacing w:before="33"/>
              <w:ind w:left="67"/>
              <w:rPr>
                <w:sz w:val="20"/>
              </w:rPr>
            </w:pPr>
            <w:r>
              <w:rPr>
                <w:color w:val="FFFFFF"/>
                <w:sz w:val="20"/>
              </w:rPr>
              <w:t>Modalidad</w:t>
            </w:r>
            <w:r>
              <w:rPr>
                <w:color w:val="FFFFFF"/>
                <w:spacing w:val="-8"/>
                <w:sz w:val="20"/>
              </w:rPr>
              <w:t> </w:t>
            </w:r>
            <w:r>
              <w:rPr>
                <w:color w:val="FFFFFF"/>
                <w:sz w:val="20"/>
              </w:rPr>
              <w:t>de</w:t>
            </w:r>
            <w:r>
              <w:rPr>
                <w:color w:val="FFFFFF"/>
                <w:spacing w:val="-6"/>
                <w:sz w:val="20"/>
              </w:rPr>
              <w:t> </w:t>
            </w:r>
            <w:r>
              <w:rPr>
                <w:color w:val="FFFFFF"/>
                <w:sz w:val="20"/>
              </w:rPr>
              <w:t>ejecución</w:t>
            </w:r>
            <w:r>
              <w:rPr>
                <w:color w:val="FFFFFF"/>
                <w:spacing w:val="-8"/>
                <w:sz w:val="20"/>
              </w:rPr>
              <w:t> </w:t>
            </w:r>
            <w:r>
              <w:rPr>
                <w:color w:val="FFFFFF"/>
                <w:sz w:val="20"/>
              </w:rPr>
              <w:t>y</w:t>
            </w:r>
            <w:r>
              <w:rPr>
                <w:color w:val="FFFFFF"/>
                <w:spacing w:val="-6"/>
                <w:sz w:val="20"/>
              </w:rPr>
              <w:t> </w:t>
            </w:r>
            <w:r>
              <w:rPr>
                <w:color w:val="FFFFFF"/>
                <w:spacing w:val="-2"/>
                <w:sz w:val="20"/>
              </w:rPr>
              <w:t>financiamiento:</w:t>
            </w:r>
          </w:p>
        </w:tc>
        <w:tc>
          <w:tcPr>
            <w:tcW w:w="6568" w:type="dxa"/>
          </w:tcPr>
          <w:p>
            <w:pPr>
              <w:pStyle w:val="TableParagraph"/>
              <w:spacing w:line="211" w:lineRule="exact" w:before="69"/>
              <w:ind w:left="69"/>
              <w:rPr>
                <w:sz w:val="20"/>
              </w:rPr>
            </w:pPr>
            <w:r>
              <w:rPr>
                <w:sz w:val="20"/>
              </w:rPr>
              <w:t>Recursos</w:t>
            </w:r>
            <w:r>
              <w:rPr>
                <w:spacing w:val="-8"/>
                <w:sz w:val="20"/>
              </w:rPr>
              <w:t> </w:t>
            </w:r>
            <w:r>
              <w:rPr>
                <w:spacing w:val="-2"/>
                <w:sz w:val="20"/>
              </w:rPr>
              <w:t>Propios</w:t>
            </w:r>
          </w:p>
        </w:tc>
      </w:tr>
      <w:tr>
        <w:trPr>
          <w:trHeight w:val="299" w:hRule="atLeast"/>
        </w:trPr>
        <w:tc>
          <w:tcPr>
            <w:tcW w:w="3798" w:type="dxa"/>
            <w:shd w:val="clear" w:color="auto" w:fill="0A2F40"/>
          </w:tcPr>
          <w:p>
            <w:pPr>
              <w:pStyle w:val="TableParagraph"/>
              <w:spacing w:before="33"/>
              <w:ind w:left="67"/>
              <w:rPr>
                <w:sz w:val="20"/>
              </w:rPr>
            </w:pPr>
            <w:r>
              <w:rPr>
                <w:color w:val="FFFFFF"/>
                <w:spacing w:val="-2"/>
                <w:sz w:val="20"/>
              </w:rPr>
              <w:t>Presupuesto</w:t>
            </w:r>
            <w:r>
              <w:rPr>
                <w:color w:val="FFFFFF"/>
                <w:spacing w:val="5"/>
                <w:sz w:val="20"/>
              </w:rPr>
              <w:t> </w:t>
            </w:r>
            <w:r>
              <w:rPr>
                <w:color w:val="FFFFFF"/>
                <w:spacing w:val="-2"/>
                <w:sz w:val="20"/>
              </w:rPr>
              <w:t>total:</w:t>
            </w:r>
          </w:p>
        </w:tc>
        <w:tc>
          <w:tcPr>
            <w:tcW w:w="6568" w:type="dxa"/>
          </w:tcPr>
          <w:p>
            <w:pPr>
              <w:pStyle w:val="TableParagraph"/>
              <w:spacing w:line="211" w:lineRule="exact" w:before="69"/>
              <w:ind w:right="119"/>
              <w:jc w:val="right"/>
              <w:rPr>
                <w:sz w:val="20"/>
              </w:rPr>
            </w:pPr>
            <w:r>
              <w:rPr>
                <w:sz w:val="20"/>
              </w:rPr>
              <w:t>₡3</w:t>
            </w:r>
            <w:r>
              <w:rPr>
                <w:spacing w:val="-4"/>
                <w:sz w:val="20"/>
              </w:rPr>
              <w:t> </w:t>
            </w:r>
            <w:r>
              <w:rPr>
                <w:sz w:val="20"/>
              </w:rPr>
              <w:t>271</w:t>
            </w:r>
            <w:r>
              <w:rPr>
                <w:spacing w:val="-3"/>
                <w:sz w:val="20"/>
              </w:rPr>
              <w:t> </w:t>
            </w:r>
            <w:r>
              <w:rPr>
                <w:sz w:val="20"/>
              </w:rPr>
              <w:t>300</w:t>
            </w:r>
            <w:r>
              <w:rPr>
                <w:spacing w:val="-4"/>
                <w:sz w:val="20"/>
              </w:rPr>
              <w:t> </w:t>
            </w:r>
            <w:r>
              <w:rPr>
                <w:spacing w:val="-2"/>
                <w:sz w:val="20"/>
              </w:rPr>
              <w:t>000,00</w:t>
            </w:r>
          </w:p>
        </w:tc>
      </w:tr>
      <w:tr>
        <w:trPr>
          <w:trHeight w:val="299" w:hRule="atLeast"/>
        </w:trPr>
        <w:tc>
          <w:tcPr>
            <w:tcW w:w="3798" w:type="dxa"/>
            <w:shd w:val="clear" w:color="auto" w:fill="0A2F40"/>
          </w:tcPr>
          <w:p>
            <w:pPr>
              <w:pStyle w:val="TableParagraph"/>
              <w:spacing w:before="35"/>
              <w:ind w:left="67"/>
              <w:rPr>
                <w:sz w:val="20"/>
              </w:rPr>
            </w:pPr>
            <w:r>
              <w:rPr>
                <w:color w:val="FFFFFF"/>
                <w:sz w:val="20"/>
              </w:rPr>
              <w:t>Plazo</w:t>
            </w:r>
            <w:r>
              <w:rPr>
                <w:color w:val="FFFFFF"/>
                <w:spacing w:val="-6"/>
                <w:sz w:val="20"/>
              </w:rPr>
              <w:t> </w:t>
            </w:r>
            <w:r>
              <w:rPr>
                <w:color w:val="FFFFFF"/>
                <w:sz w:val="20"/>
              </w:rPr>
              <w:t>estimado</w:t>
            </w:r>
            <w:r>
              <w:rPr>
                <w:color w:val="FFFFFF"/>
                <w:spacing w:val="-7"/>
                <w:sz w:val="20"/>
              </w:rPr>
              <w:t> </w:t>
            </w:r>
            <w:r>
              <w:rPr>
                <w:color w:val="FFFFFF"/>
                <w:sz w:val="20"/>
              </w:rPr>
              <w:t>para</w:t>
            </w:r>
            <w:r>
              <w:rPr>
                <w:color w:val="FFFFFF"/>
                <w:spacing w:val="-7"/>
                <w:sz w:val="20"/>
              </w:rPr>
              <w:t> </w:t>
            </w:r>
            <w:r>
              <w:rPr>
                <w:color w:val="FFFFFF"/>
                <w:sz w:val="20"/>
              </w:rPr>
              <w:t>su</w:t>
            </w:r>
            <w:r>
              <w:rPr>
                <w:color w:val="FFFFFF"/>
                <w:spacing w:val="-7"/>
                <w:sz w:val="20"/>
              </w:rPr>
              <w:t> </w:t>
            </w:r>
            <w:r>
              <w:rPr>
                <w:color w:val="FFFFFF"/>
                <w:spacing w:val="-2"/>
                <w:sz w:val="20"/>
              </w:rPr>
              <w:t>ejecución:</w:t>
            </w:r>
          </w:p>
        </w:tc>
        <w:tc>
          <w:tcPr>
            <w:tcW w:w="6568" w:type="dxa"/>
          </w:tcPr>
          <w:p>
            <w:pPr>
              <w:pStyle w:val="TableParagraph"/>
              <w:spacing w:line="211" w:lineRule="exact" w:before="69"/>
              <w:ind w:right="63"/>
              <w:jc w:val="right"/>
              <w:rPr>
                <w:sz w:val="20"/>
              </w:rPr>
            </w:pPr>
            <w:r>
              <w:rPr>
                <w:spacing w:val="-2"/>
                <w:sz w:val="20"/>
              </w:rPr>
              <w:t>20/10/2028</w:t>
            </w:r>
          </w:p>
        </w:tc>
      </w:tr>
      <w:tr>
        <w:trPr>
          <w:trHeight w:val="300" w:hRule="atLeast"/>
        </w:trPr>
        <w:tc>
          <w:tcPr>
            <w:tcW w:w="3798" w:type="dxa"/>
            <w:shd w:val="clear" w:color="auto" w:fill="0A2F40"/>
          </w:tcPr>
          <w:p>
            <w:pPr>
              <w:pStyle w:val="TableParagraph"/>
              <w:spacing w:before="35"/>
              <w:ind w:left="67"/>
              <w:rPr>
                <w:sz w:val="20"/>
              </w:rPr>
            </w:pPr>
            <w:r>
              <w:rPr>
                <w:color w:val="FFFFFF"/>
                <w:sz w:val="20"/>
              </w:rPr>
              <w:t>Monto</w:t>
            </w:r>
            <w:r>
              <w:rPr>
                <w:color w:val="FFFFFF"/>
                <w:spacing w:val="-7"/>
                <w:sz w:val="20"/>
              </w:rPr>
              <w:t> </w:t>
            </w:r>
            <w:r>
              <w:rPr>
                <w:color w:val="FFFFFF"/>
                <w:sz w:val="20"/>
              </w:rPr>
              <w:t>total</w:t>
            </w:r>
            <w:r>
              <w:rPr>
                <w:color w:val="FFFFFF"/>
                <w:spacing w:val="-5"/>
                <w:sz w:val="20"/>
              </w:rPr>
              <w:t> </w:t>
            </w:r>
            <w:r>
              <w:rPr>
                <w:color w:val="FFFFFF"/>
                <w:sz w:val="20"/>
              </w:rPr>
              <w:t>estimado</w:t>
            </w:r>
            <w:r>
              <w:rPr>
                <w:color w:val="FFFFFF"/>
                <w:spacing w:val="-7"/>
                <w:sz w:val="20"/>
              </w:rPr>
              <w:t> </w:t>
            </w:r>
            <w:r>
              <w:rPr>
                <w:color w:val="FFFFFF"/>
                <w:sz w:val="20"/>
              </w:rPr>
              <w:t>en</w:t>
            </w:r>
            <w:r>
              <w:rPr>
                <w:color w:val="FFFFFF"/>
                <w:spacing w:val="-4"/>
                <w:sz w:val="20"/>
              </w:rPr>
              <w:t> </w:t>
            </w:r>
            <w:r>
              <w:rPr>
                <w:color w:val="FFFFFF"/>
                <w:sz w:val="20"/>
              </w:rPr>
              <w:t>el</w:t>
            </w:r>
            <w:r>
              <w:rPr>
                <w:color w:val="FFFFFF"/>
                <w:spacing w:val="-4"/>
                <w:sz w:val="20"/>
              </w:rPr>
              <w:t> </w:t>
            </w:r>
            <w:r>
              <w:rPr>
                <w:color w:val="FFFFFF"/>
                <w:spacing w:val="-2"/>
                <w:sz w:val="20"/>
              </w:rPr>
              <w:t>presupuesto:</w:t>
            </w:r>
          </w:p>
        </w:tc>
        <w:tc>
          <w:tcPr>
            <w:tcW w:w="6568" w:type="dxa"/>
          </w:tcPr>
          <w:p>
            <w:pPr>
              <w:pStyle w:val="TableParagraph"/>
              <w:spacing w:line="211" w:lineRule="exact" w:before="69"/>
              <w:ind w:right="61"/>
              <w:jc w:val="right"/>
              <w:rPr>
                <w:sz w:val="20"/>
              </w:rPr>
            </w:pPr>
            <w:r>
              <w:rPr>
                <w:sz w:val="20"/>
              </w:rPr>
              <w:t>₡</w:t>
            </w:r>
            <w:r>
              <w:rPr>
                <w:spacing w:val="1"/>
                <w:sz w:val="20"/>
              </w:rPr>
              <w:t> </w:t>
            </w:r>
            <w:r>
              <w:rPr>
                <w:sz w:val="20"/>
              </w:rPr>
              <w:t>1</w:t>
            </w:r>
            <w:r>
              <w:rPr>
                <w:spacing w:val="-3"/>
                <w:sz w:val="20"/>
              </w:rPr>
              <w:t> </w:t>
            </w:r>
            <w:r>
              <w:rPr>
                <w:sz w:val="20"/>
              </w:rPr>
              <w:t>130</w:t>
            </w:r>
            <w:r>
              <w:rPr>
                <w:spacing w:val="-3"/>
                <w:sz w:val="20"/>
              </w:rPr>
              <w:t> </w:t>
            </w:r>
            <w:r>
              <w:rPr>
                <w:sz w:val="20"/>
              </w:rPr>
              <w:t>000</w:t>
            </w:r>
            <w:r>
              <w:rPr>
                <w:spacing w:val="-4"/>
                <w:sz w:val="20"/>
              </w:rPr>
              <w:t> </w:t>
            </w:r>
            <w:r>
              <w:rPr>
                <w:spacing w:val="-2"/>
                <w:sz w:val="20"/>
              </w:rPr>
              <w:t>000,00</w:t>
            </w:r>
          </w:p>
        </w:tc>
      </w:tr>
      <w:tr>
        <w:trPr>
          <w:trHeight w:val="510" w:hRule="atLeast"/>
        </w:trPr>
        <w:tc>
          <w:tcPr>
            <w:tcW w:w="3798" w:type="dxa"/>
            <w:shd w:val="clear" w:color="auto" w:fill="0A2F40"/>
          </w:tcPr>
          <w:p>
            <w:pPr>
              <w:pStyle w:val="TableParagraph"/>
              <w:spacing w:before="26"/>
              <w:ind w:left="67"/>
              <w:rPr>
                <w:sz w:val="20"/>
              </w:rPr>
            </w:pPr>
            <w:r>
              <w:rPr>
                <w:color w:val="FFFFFF"/>
                <w:sz w:val="20"/>
              </w:rPr>
              <w:t>Meta</w:t>
            </w:r>
            <w:r>
              <w:rPr>
                <w:color w:val="FFFFFF"/>
                <w:spacing w:val="-8"/>
                <w:sz w:val="20"/>
              </w:rPr>
              <w:t> </w:t>
            </w:r>
            <w:r>
              <w:rPr>
                <w:color w:val="FFFFFF"/>
                <w:sz w:val="20"/>
              </w:rPr>
              <w:t>anual</w:t>
            </w:r>
            <w:r>
              <w:rPr>
                <w:color w:val="FFFFFF"/>
                <w:spacing w:val="-9"/>
                <w:sz w:val="20"/>
              </w:rPr>
              <w:t> </w:t>
            </w:r>
            <w:r>
              <w:rPr>
                <w:color w:val="FFFFFF"/>
                <w:sz w:val="20"/>
              </w:rPr>
              <w:t>que</w:t>
            </w:r>
            <w:r>
              <w:rPr>
                <w:color w:val="FFFFFF"/>
                <w:spacing w:val="-10"/>
                <w:sz w:val="20"/>
              </w:rPr>
              <w:t> </w:t>
            </w:r>
            <w:r>
              <w:rPr>
                <w:color w:val="FFFFFF"/>
                <w:sz w:val="20"/>
              </w:rPr>
              <w:t>se</w:t>
            </w:r>
            <w:r>
              <w:rPr>
                <w:color w:val="FFFFFF"/>
                <w:spacing w:val="-10"/>
                <w:sz w:val="20"/>
              </w:rPr>
              <w:t> </w:t>
            </w:r>
            <w:r>
              <w:rPr>
                <w:color w:val="FFFFFF"/>
                <w:sz w:val="20"/>
              </w:rPr>
              <w:t>espera</w:t>
            </w:r>
            <w:r>
              <w:rPr>
                <w:color w:val="FFFFFF"/>
                <w:spacing w:val="-8"/>
                <w:sz w:val="20"/>
              </w:rPr>
              <w:t> </w:t>
            </w:r>
            <w:r>
              <w:rPr>
                <w:color w:val="FFFFFF"/>
                <w:sz w:val="20"/>
              </w:rPr>
              <w:t>alcanzar durante el periodo presupuestario:</w:t>
            </w:r>
          </w:p>
        </w:tc>
        <w:tc>
          <w:tcPr>
            <w:tcW w:w="6568" w:type="dxa"/>
          </w:tcPr>
          <w:p>
            <w:pPr>
              <w:pStyle w:val="TableParagraph"/>
              <w:spacing w:before="50"/>
              <w:rPr>
                <w:b/>
                <w:sz w:val="20"/>
              </w:rPr>
            </w:pPr>
          </w:p>
          <w:p>
            <w:pPr>
              <w:pStyle w:val="TableParagraph"/>
              <w:spacing w:line="211" w:lineRule="exact"/>
              <w:ind w:right="64"/>
              <w:jc w:val="right"/>
              <w:rPr>
                <w:sz w:val="20"/>
              </w:rPr>
            </w:pPr>
            <w:r>
              <w:rPr>
                <w:spacing w:val="-4"/>
                <w:sz w:val="20"/>
              </w:rPr>
              <w:t>100%</w:t>
            </w:r>
          </w:p>
        </w:tc>
      </w:tr>
      <w:tr>
        <w:trPr>
          <w:trHeight w:val="299" w:hRule="atLeast"/>
        </w:trPr>
        <w:tc>
          <w:tcPr>
            <w:tcW w:w="3798" w:type="dxa"/>
            <w:shd w:val="clear" w:color="auto" w:fill="0A2F40"/>
          </w:tcPr>
          <w:p>
            <w:pPr>
              <w:pStyle w:val="TableParagraph"/>
              <w:spacing w:before="35"/>
              <w:ind w:left="67"/>
              <w:rPr>
                <w:sz w:val="20"/>
              </w:rPr>
            </w:pPr>
            <w:r>
              <w:rPr>
                <w:color w:val="FFFFFF"/>
                <w:sz w:val="20"/>
              </w:rPr>
              <w:t>Unidad</w:t>
            </w:r>
            <w:r>
              <w:rPr>
                <w:color w:val="FFFFFF"/>
                <w:spacing w:val="-11"/>
                <w:sz w:val="20"/>
              </w:rPr>
              <w:t> </w:t>
            </w:r>
            <w:r>
              <w:rPr>
                <w:color w:val="FFFFFF"/>
                <w:sz w:val="20"/>
              </w:rPr>
              <w:t>responsable</w:t>
            </w:r>
            <w:r>
              <w:rPr>
                <w:color w:val="FFFFFF"/>
                <w:spacing w:val="-8"/>
                <w:sz w:val="20"/>
              </w:rPr>
              <w:t> </w:t>
            </w:r>
            <w:r>
              <w:rPr>
                <w:color w:val="FFFFFF"/>
                <w:sz w:val="20"/>
              </w:rPr>
              <w:t>del</w:t>
            </w:r>
            <w:r>
              <w:rPr>
                <w:color w:val="FFFFFF"/>
                <w:spacing w:val="-10"/>
                <w:sz w:val="20"/>
              </w:rPr>
              <w:t> </w:t>
            </w:r>
            <w:r>
              <w:rPr>
                <w:color w:val="FFFFFF"/>
                <w:spacing w:val="-2"/>
                <w:sz w:val="20"/>
              </w:rPr>
              <w:t>proyecto:</w:t>
            </w:r>
          </w:p>
        </w:tc>
        <w:tc>
          <w:tcPr>
            <w:tcW w:w="6568" w:type="dxa"/>
          </w:tcPr>
          <w:p>
            <w:pPr>
              <w:pStyle w:val="TableParagraph"/>
              <w:spacing w:line="211" w:lineRule="exact" w:before="69"/>
              <w:ind w:left="69"/>
              <w:rPr>
                <w:sz w:val="20"/>
              </w:rPr>
            </w:pPr>
            <w:r>
              <w:rPr>
                <w:sz w:val="20"/>
              </w:rPr>
              <w:t>Área</w:t>
            </w:r>
            <w:r>
              <w:rPr>
                <w:spacing w:val="-10"/>
                <w:sz w:val="20"/>
              </w:rPr>
              <w:t> </w:t>
            </w:r>
            <w:r>
              <w:rPr>
                <w:sz w:val="20"/>
              </w:rPr>
              <w:t>Regional</w:t>
            </w:r>
            <w:r>
              <w:rPr>
                <w:spacing w:val="-7"/>
                <w:sz w:val="20"/>
              </w:rPr>
              <w:t> </w:t>
            </w:r>
            <w:r>
              <w:rPr>
                <w:sz w:val="20"/>
              </w:rPr>
              <w:t>de</w:t>
            </w:r>
            <w:r>
              <w:rPr>
                <w:spacing w:val="-9"/>
                <w:sz w:val="20"/>
              </w:rPr>
              <w:t> </w:t>
            </w:r>
            <w:r>
              <w:rPr>
                <w:sz w:val="20"/>
              </w:rPr>
              <w:t>Desarrollo</w:t>
            </w:r>
            <w:r>
              <w:rPr>
                <w:spacing w:val="-8"/>
                <w:sz w:val="20"/>
              </w:rPr>
              <w:t> </w:t>
            </w:r>
            <w:r>
              <w:rPr>
                <w:sz w:val="20"/>
              </w:rPr>
              <w:t>Social</w:t>
            </w:r>
            <w:r>
              <w:rPr>
                <w:spacing w:val="-8"/>
                <w:sz w:val="20"/>
              </w:rPr>
              <w:t> </w:t>
            </w:r>
            <w:r>
              <w:rPr>
                <w:sz w:val="20"/>
              </w:rPr>
              <w:t>Central</w:t>
            </w:r>
            <w:r>
              <w:rPr>
                <w:spacing w:val="-9"/>
                <w:sz w:val="20"/>
              </w:rPr>
              <w:t> </w:t>
            </w:r>
            <w:r>
              <w:rPr>
                <w:spacing w:val="-2"/>
                <w:sz w:val="20"/>
              </w:rPr>
              <w:t>Occidente</w:t>
            </w:r>
          </w:p>
        </w:tc>
      </w:tr>
    </w:tbl>
    <w:p>
      <w:pPr>
        <w:pStyle w:val="TableParagraph"/>
        <w:spacing w:after="0" w:line="211" w:lineRule="exact"/>
        <w:rPr>
          <w:sz w:val="20"/>
        </w:rPr>
        <w:sectPr>
          <w:pgSz w:w="12240" w:h="15840"/>
          <w:pgMar w:header="0" w:footer="2404" w:top="1080" w:bottom="2600" w:left="720" w:right="720"/>
        </w:sect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829"/>
        <w:gridCol w:w="6236"/>
      </w:tblGrid>
      <w:tr>
        <w:trPr>
          <w:trHeight w:val="1151" w:hRule="atLeast"/>
        </w:trPr>
        <w:tc>
          <w:tcPr>
            <w:tcW w:w="3829" w:type="dxa"/>
            <w:shd w:val="clear" w:color="auto" w:fill="0A2F40"/>
          </w:tcPr>
          <w:p>
            <w:pPr>
              <w:pStyle w:val="TableParagraph"/>
              <w:rPr>
                <w:b/>
                <w:sz w:val="20"/>
              </w:rPr>
            </w:pPr>
          </w:p>
          <w:p>
            <w:pPr>
              <w:pStyle w:val="TableParagraph"/>
              <w:rPr>
                <w:b/>
                <w:sz w:val="20"/>
              </w:rPr>
            </w:pPr>
          </w:p>
          <w:p>
            <w:pPr>
              <w:pStyle w:val="TableParagraph"/>
              <w:ind w:left="67"/>
              <w:rPr>
                <w:sz w:val="20"/>
              </w:rPr>
            </w:pPr>
            <w:r>
              <w:rPr>
                <w:color w:val="FFFFFF"/>
                <w:sz w:val="20"/>
              </w:rPr>
              <w:t>Nombre</w:t>
            </w:r>
            <w:r>
              <w:rPr>
                <w:color w:val="FFFFFF"/>
                <w:spacing w:val="-6"/>
                <w:sz w:val="20"/>
              </w:rPr>
              <w:t> </w:t>
            </w:r>
            <w:r>
              <w:rPr>
                <w:color w:val="FFFFFF"/>
                <w:sz w:val="20"/>
              </w:rPr>
              <w:t>del</w:t>
            </w:r>
            <w:r>
              <w:rPr>
                <w:color w:val="FFFFFF"/>
                <w:spacing w:val="-7"/>
                <w:sz w:val="20"/>
              </w:rPr>
              <w:t> </w:t>
            </w:r>
            <w:r>
              <w:rPr>
                <w:color w:val="FFFFFF"/>
                <w:spacing w:val="-2"/>
                <w:sz w:val="20"/>
              </w:rPr>
              <w:t>Proyecto:</w:t>
            </w:r>
          </w:p>
        </w:tc>
        <w:tc>
          <w:tcPr>
            <w:tcW w:w="6236" w:type="dxa"/>
          </w:tcPr>
          <w:p>
            <w:pPr>
              <w:pStyle w:val="TableParagraph"/>
              <w:rPr>
                <w:b/>
                <w:sz w:val="20"/>
              </w:rPr>
            </w:pPr>
          </w:p>
          <w:p>
            <w:pPr>
              <w:pStyle w:val="TableParagraph"/>
              <w:rPr>
                <w:b/>
                <w:sz w:val="20"/>
              </w:rPr>
            </w:pPr>
          </w:p>
          <w:p>
            <w:pPr>
              <w:pStyle w:val="TableParagraph"/>
              <w:ind w:left="66"/>
              <w:rPr>
                <w:sz w:val="20"/>
              </w:rPr>
            </w:pPr>
            <w:r>
              <w:rPr>
                <w:sz w:val="20"/>
              </w:rPr>
              <w:t>Construcción</w:t>
            </w:r>
            <w:r>
              <w:rPr>
                <w:spacing w:val="-3"/>
                <w:sz w:val="20"/>
              </w:rPr>
              <w:t> </w:t>
            </w:r>
            <w:r>
              <w:rPr>
                <w:sz w:val="20"/>
              </w:rPr>
              <w:t>del</w:t>
            </w:r>
            <w:r>
              <w:rPr>
                <w:spacing w:val="-6"/>
                <w:sz w:val="20"/>
              </w:rPr>
              <w:t> </w:t>
            </w:r>
            <w:r>
              <w:rPr>
                <w:sz w:val="20"/>
              </w:rPr>
              <w:t>Edificio</w:t>
            </w:r>
            <w:r>
              <w:rPr>
                <w:spacing w:val="-5"/>
                <w:sz w:val="20"/>
              </w:rPr>
              <w:t> </w:t>
            </w:r>
            <w:r>
              <w:rPr>
                <w:sz w:val="20"/>
              </w:rPr>
              <w:t>para</w:t>
            </w:r>
            <w:r>
              <w:rPr>
                <w:spacing w:val="-5"/>
                <w:sz w:val="20"/>
              </w:rPr>
              <w:t> </w:t>
            </w:r>
            <w:r>
              <w:rPr>
                <w:sz w:val="20"/>
              </w:rPr>
              <w:t>las</w:t>
            </w:r>
            <w:r>
              <w:rPr>
                <w:spacing w:val="-2"/>
                <w:sz w:val="20"/>
              </w:rPr>
              <w:t> </w:t>
            </w:r>
            <w:r>
              <w:rPr>
                <w:sz w:val="20"/>
              </w:rPr>
              <w:t>oficinas</w:t>
            </w:r>
            <w:r>
              <w:rPr>
                <w:spacing w:val="-4"/>
                <w:sz w:val="20"/>
              </w:rPr>
              <w:t> </w:t>
            </w:r>
            <w:r>
              <w:rPr>
                <w:sz w:val="20"/>
              </w:rPr>
              <w:t>de</w:t>
            </w:r>
            <w:r>
              <w:rPr>
                <w:spacing w:val="-5"/>
                <w:sz w:val="20"/>
              </w:rPr>
              <w:t> </w:t>
            </w:r>
            <w:r>
              <w:rPr>
                <w:sz w:val="20"/>
              </w:rPr>
              <w:t>la</w:t>
            </w:r>
            <w:r>
              <w:rPr>
                <w:spacing w:val="-5"/>
                <w:sz w:val="20"/>
              </w:rPr>
              <w:t> </w:t>
            </w:r>
            <w:r>
              <w:rPr>
                <w:sz w:val="20"/>
              </w:rPr>
              <w:t>Unidad</w:t>
            </w:r>
            <w:r>
              <w:rPr>
                <w:spacing w:val="-5"/>
                <w:sz w:val="20"/>
              </w:rPr>
              <w:t> </w:t>
            </w:r>
            <w:r>
              <w:rPr>
                <w:sz w:val="20"/>
              </w:rPr>
              <w:t>Local</w:t>
            </w:r>
            <w:r>
              <w:rPr>
                <w:spacing w:val="-6"/>
                <w:sz w:val="20"/>
              </w:rPr>
              <w:t> </w:t>
            </w:r>
            <w:r>
              <w:rPr>
                <w:sz w:val="20"/>
              </w:rPr>
              <w:t>de Desarrollo Social de Los Chiles – IMAS</w:t>
            </w:r>
          </w:p>
        </w:tc>
      </w:tr>
      <w:tr>
        <w:trPr>
          <w:trHeight w:val="3703" w:hRule="atLeast"/>
        </w:trPr>
        <w:tc>
          <w:tcPr>
            <w:tcW w:w="3829" w:type="dxa"/>
            <w:shd w:val="clear" w:color="auto" w:fill="0A2F40"/>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24"/>
              <w:rPr>
                <w:b/>
                <w:sz w:val="20"/>
              </w:rPr>
            </w:pPr>
          </w:p>
          <w:p>
            <w:pPr>
              <w:pStyle w:val="TableParagraph"/>
              <w:ind w:left="67"/>
              <w:rPr>
                <w:sz w:val="20"/>
              </w:rPr>
            </w:pPr>
            <w:r>
              <w:rPr>
                <w:color w:val="FFFFFF"/>
                <w:sz w:val="20"/>
              </w:rPr>
              <w:t>Descripción</w:t>
            </w:r>
            <w:r>
              <w:rPr>
                <w:color w:val="FFFFFF"/>
                <w:spacing w:val="-7"/>
                <w:sz w:val="20"/>
              </w:rPr>
              <w:t> </w:t>
            </w:r>
            <w:r>
              <w:rPr>
                <w:color w:val="FFFFFF"/>
                <w:sz w:val="20"/>
              </w:rPr>
              <w:t>y</w:t>
            </w:r>
            <w:r>
              <w:rPr>
                <w:color w:val="FFFFFF"/>
                <w:spacing w:val="-8"/>
                <w:sz w:val="20"/>
              </w:rPr>
              <w:t> </w:t>
            </w:r>
            <w:r>
              <w:rPr>
                <w:color w:val="FFFFFF"/>
                <w:sz w:val="20"/>
              </w:rPr>
              <w:t>objetivo</w:t>
            </w:r>
            <w:r>
              <w:rPr>
                <w:color w:val="FFFFFF"/>
                <w:spacing w:val="-9"/>
                <w:sz w:val="20"/>
              </w:rPr>
              <w:t> </w:t>
            </w:r>
            <w:r>
              <w:rPr>
                <w:color w:val="FFFFFF"/>
                <w:spacing w:val="-2"/>
                <w:sz w:val="20"/>
              </w:rPr>
              <w:t>general:</w:t>
            </w:r>
          </w:p>
        </w:tc>
        <w:tc>
          <w:tcPr>
            <w:tcW w:w="6236" w:type="dxa"/>
          </w:tcPr>
          <w:p>
            <w:pPr>
              <w:pStyle w:val="TableParagraph"/>
              <w:rPr>
                <w:b/>
                <w:sz w:val="20"/>
              </w:rPr>
            </w:pPr>
          </w:p>
          <w:p>
            <w:pPr>
              <w:pStyle w:val="TableParagraph"/>
              <w:spacing w:before="21"/>
              <w:rPr>
                <w:b/>
                <w:sz w:val="20"/>
              </w:rPr>
            </w:pPr>
          </w:p>
          <w:p>
            <w:pPr>
              <w:pStyle w:val="TableParagraph"/>
              <w:spacing w:before="1"/>
              <w:ind w:left="66"/>
              <w:rPr>
                <w:sz w:val="20"/>
              </w:rPr>
            </w:pPr>
            <w:r>
              <w:rPr>
                <w:b/>
                <w:sz w:val="20"/>
              </w:rPr>
              <w:t>Descripción:</w:t>
            </w:r>
            <w:r>
              <w:rPr>
                <w:b/>
                <w:spacing w:val="-6"/>
                <w:sz w:val="20"/>
              </w:rPr>
              <w:t> </w:t>
            </w:r>
            <w:r>
              <w:rPr>
                <w:sz w:val="20"/>
              </w:rPr>
              <w:t>Construir</w:t>
            </w:r>
            <w:r>
              <w:rPr>
                <w:spacing w:val="-5"/>
                <w:sz w:val="20"/>
              </w:rPr>
              <w:t> </w:t>
            </w:r>
            <w:r>
              <w:rPr>
                <w:sz w:val="20"/>
              </w:rPr>
              <w:t>una</w:t>
            </w:r>
            <w:r>
              <w:rPr>
                <w:spacing w:val="-8"/>
                <w:sz w:val="20"/>
              </w:rPr>
              <w:t> </w:t>
            </w:r>
            <w:r>
              <w:rPr>
                <w:sz w:val="20"/>
              </w:rPr>
              <w:t>edificación</w:t>
            </w:r>
            <w:r>
              <w:rPr>
                <w:spacing w:val="-7"/>
                <w:sz w:val="20"/>
              </w:rPr>
              <w:t> </w:t>
            </w:r>
            <w:r>
              <w:rPr>
                <w:sz w:val="20"/>
              </w:rPr>
              <w:t>que</w:t>
            </w:r>
            <w:r>
              <w:rPr>
                <w:spacing w:val="-6"/>
                <w:sz w:val="20"/>
              </w:rPr>
              <w:t> </w:t>
            </w:r>
            <w:r>
              <w:rPr>
                <w:sz w:val="20"/>
              </w:rPr>
              <w:t>reúna</w:t>
            </w:r>
            <w:r>
              <w:rPr>
                <w:spacing w:val="-8"/>
                <w:sz w:val="20"/>
              </w:rPr>
              <w:t> </w:t>
            </w:r>
            <w:r>
              <w:rPr>
                <w:sz w:val="20"/>
              </w:rPr>
              <w:t>las</w:t>
            </w:r>
            <w:r>
              <w:rPr>
                <w:spacing w:val="-5"/>
                <w:sz w:val="20"/>
              </w:rPr>
              <w:t> </w:t>
            </w:r>
            <w:r>
              <w:rPr>
                <w:sz w:val="20"/>
              </w:rPr>
              <w:t>condiciones infraestructurales adecuadas, para la efectiva operación de la</w:t>
            </w:r>
          </w:p>
          <w:p>
            <w:pPr>
              <w:pStyle w:val="TableParagraph"/>
              <w:ind w:left="66"/>
              <w:rPr>
                <w:sz w:val="20"/>
              </w:rPr>
            </w:pPr>
            <w:r>
              <w:rPr>
                <w:sz w:val="20"/>
              </w:rPr>
              <w:t>U.L.D.S.</w:t>
            </w:r>
            <w:r>
              <w:rPr>
                <w:spacing w:val="-2"/>
                <w:sz w:val="20"/>
              </w:rPr>
              <w:t> </w:t>
            </w:r>
            <w:r>
              <w:rPr>
                <w:sz w:val="20"/>
              </w:rPr>
              <w:t>de</w:t>
            </w:r>
            <w:r>
              <w:rPr>
                <w:spacing w:val="-2"/>
                <w:sz w:val="20"/>
              </w:rPr>
              <w:t> </w:t>
            </w:r>
            <w:r>
              <w:rPr>
                <w:sz w:val="20"/>
              </w:rPr>
              <w:t>Los</w:t>
            </w:r>
            <w:r>
              <w:rPr>
                <w:spacing w:val="-1"/>
                <w:sz w:val="20"/>
              </w:rPr>
              <w:t> </w:t>
            </w:r>
            <w:r>
              <w:rPr>
                <w:sz w:val="20"/>
              </w:rPr>
              <w:t>Chiles, que</w:t>
            </w:r>
            <w:r>
              <w:rPr>
                <w:spacing w:val="-2"/>
                <w:sz w:val="20"/>
              </w:rPr>
              <w:t> </w:t>
            </w:r>
            <w:r>
              <w:rPr>
                <w:sz w:val="20"/>
              </w:rPr>
              <w:t>permitan</w:t>
            </w:r>
            <w:r>
              <w:rPr>
                <w:spacing w:val="-2"/>
                <w:sz w:val="20"/>
              </w:rPr>
              <w:t> </w:t>
            </w:r>
            <w:r>
              <w:rPr>
                <w:sz w:val="20"/>
              </w:rPr>
              <w:t>mejorar</w:t>
            </w:r>
            <w:r>
              <w:rPr>
                <w:spacing w:val="-1"/>
                <w:sz w:val="20"/>
              </w:rPr>
              <w:t> </w:t>
            </w:r>
            <w:r>
              <w:rPr>
                <w:sz w:val="20"/>
              </w:rPr>
              <w:t>la funcionalidad</w:t>
            </w:r>
            <w:r>
              <w:rPr>
                <w:spacing w:val="-3"/>
                <w:sz w:val="20"/>
              </w:rPr>
              <w:t> </w:t>
            </w:r>
            <w:r>
              <w:rPr>
                <w:sz w:val="20"/>
              </w:rPr>
              <w:t>y</w:t>
            </w:r>
            <w:r>
              <w:rPr>
                <w:spacing w:val="-1"/>
                <w:sz w:val="20"/>
              </w:rPr>
              <w:t> </w:t>
            </w:r>
            <w:r>
              <w:rPr>
                <w:sz w:val="20"/>
              </w:rPr>
              <w:t>de esta manera contar con ambientes laborales adecuados y en condiciones</w:t>
            </w:r>
            <w:r>
              <w:rPr>
                <w:spacing w:val="-3"/>
                <w:sz w:val="20"/>
              </w:rPr>
              <w:t> </w:t>
            </w:r>
            <w:r>
              <w:rPr>
                <w:sz w:val="20"/>
              </w:rPr>
              <w:t>óptimas</w:t>
            </w:r>
            <w:r>
              <w:rPr>
                <w:spacing w:val="-3"/>
                <w:sz w:val="20"/>
              </w:rPr>
              <w:t> </w:t>
            </w:r>
            <w:r>
              <w:rPr>
                <w:sz w:val="20"/>
              </w:rPr>
              <w:t>para</w:t>
            </w:r>
            <w:r>
              <w:rPr>
                <w:spacing w:val="-4"/>
                <w:sz w:val="20"/>
              </w:rPr>
              <w:t> </w:t>
            </w:r>
            <w:r>
              <w:rPr>
                <w:sz w:val="20"/>
              </w:rPr>
              <w:t>la</w:t>
            </w:r>
            <w:r>
              <w:rPr>
                <w:spacing w:val="-6"/>
                <w:sz w:val="20"/>
              </w:rPr>
              <w:t> </w:t>
            </w:r>
            <w:r>
              <w:rPr>
                <w:sz w:val="20"/>
              </w:rPr>
              <w:t>atención</w:t>
            </w:r>
            <w:r>
              <w:rPr>
                <w:spacing w:val="-6"/>
                <w:sz w:val="20"/>
              </w:rPr>
              <w:t> </w:t>
            </w:r>
            <w:r>
              <w:rPr>
                <w:sz w:val="20"/>
              </w:rPr>
              <w:t>de</w:t>
            </w:r>
            <w:r>
              <w:rPr>
                <w:spacing w:val="-4"/>
                <w:sz w:val="20"/>
              </w:rPr>
              <w:t> </w:t>
            </w:r>
            <w:r>
              <w:rPr>
                <w:sz w:val="20"/>
              </w:rPr>
              <w:t>la</w:t>
            </w:r>
            <w:r>
              <w:rPr>
                <w:spacing w:val="-4"/>
                <w:sz w:val="20"/>
              </w:rPr>
              <w:t> </w:t>
            </w:r>
            <w:r>
              <w:rPr>
                <w:sz w:val="20"/>
              </w:rPr>
              <w:t>población</w:t>
            </w:r>
            <w:r>
              <w:rPr>
                <w:spacing w:val="-2"/>
                <w:sz w:val="20"/>
              </w:rPr>
              <w:t> </w:t>
            </w:r>
            <w:r>
              <w:rPr>
                <w:sz w:val="20"/>
              </w:rPr>
              <w:t>del</w:t>
            </w:r>
            <w:r>
              <w:rPr>
                <w:spacing w:val="-7"/>
                <w:sz w:val="20"/>
              </w:rPr>
              <w:t> </w:t>
            </w:r>
            <w:r>
              <w:rPr>
                <w:sz w:val="20"/>
              </w:rPr>
              <w:t>cantón</w:t>
            </w:r>
            <w:r>
              <w:rPr>
                <w:spacing w:val="-6"/>
                <w:sz w:val="20"/>
              </w:rPr>
              <w:t> </w:t>
            </w:r>
            <w:r>
              <w:rPr>
                <w:sz w:val="20"/>
              </w:rPr>
              <w:t>de Los Chiles y el desempeño de las personas funcionarias.</w:t>
            </w:r>
          </w:p>
          <w:p>
            <w:pPr>
              <w:pStyle w:val="TableParagraph"/>
              <w:rPr>
                <w:b/>
                <w:sz w:val="20"/>
              </w:rPr>
            </w:pPr>
          </w:p>
          <w:p>
            <w:pPr>
              <w:pStyle w:val="TableParagraph"/>
              <w:ind w:left="66"/>
              <w:rPr>
                <w:sz w:val="20"/>
              </w:rPr>
            </w:pPr>
            <w:r>
              <w:rPr>
                <w:b/>
                <w:sz w:val="20"/>
              </w:rPr>
              <w:t>Objetivo General: </w:t>
            </w:r>
            <w:r>
              <w:rPr>
                <w:sz w:val="20"/>
              </w:rPr>
              <w:t>Construir una edificación que reúna las condiciones</w:t>
            </w:r>
            <w:r>
              <w:rPr>
                <w:spacing w:val="-7"/>
                <w:sz w:val="20"/>
              </w:rPr>
              <w:t> </w:t>
            </w:r>
            <w:r>
              <w:rPr>
                <w:sz w:val="20"/>
              </w:rPr>
              <w:t>infraestructurales</w:t>
            </w:r>
            <w:r>
              <w:rPr>
                <w:spacing w:val="-8"/>
                <w:sz w:val="20"/>
              </w:rPr>
              <w:t> </w:t>
            </w:r>
            <w:r>
              <w:rPr>
                <w:sz w:val="20"/>
              </w:rPr>
              <w:t>adecuadas,</w:t>
            </w:r>
            <w:r>
              <w:rPr>
                <w:spacing w:val="-7"/>
                <w:sz w:val="20"/>
              </w:rPr>
              <w:t> </w:t>
            </w:r>
            <w:r>
              <w:rPr>
                <w:sz w:val="20"/>
              </w:rPr>
              <w:t>para</w:t>
            </w:r>
            <w:r>
              <w:rPr>
                <w:spacing w:val="-7"/>
                <w:sz w:val="20"/>
              </w:rPr>
              <w:t> </w:t>
            </w:r>
            <w:r>
              <w:rPr>
                <w:sz w:val="20"/>
              </w:rPr>
              <w:t>la</w:t>
            </w:r>
            <w:r>
              <w:rPr>
                <w:spacing w:val="-7"/>
                <w:sz w:val="20"/>
              </w:rPr>
              <w:t> </w:t>
            </w:r>
            <w:r>
              <w:rPr>
                <w:sz w:val="20"/>
              </w:rPr>
              <w:t>efectiva</w:t>
            </w:r>
            <w:r>
              <w:rPr>
                <w:spacing w:val="-9"/>
                <w:sz w:val="20"/>
              </w:rPr>
              <w:t> </w:t>
            </w:r>
            <w:r>
              <w:rPr>
                <w:sz w:val="20"/>
              </w:rPr>
              <w:t>operación de la ULDS Los Chiles, que permitan mejorar la funcionalidad y de esta manera contar con ambientes laborales adecuados y en condiciones óptimas para la atención de la población del cantón de Los Chiles y el desempeño de las personas funcionarias</w:t>
            </w:r>
          </w:p>
        </w:tc>
      </w:tr>
      <w:tr>
        <w:trPr>
          <w:trHeight w:val="688" w:hRule="atLeast"/>
        </w:trPr>
        <w:tc>
          <w:tcPr>
            <w:tcW w:w="3829" w:type="dxa"/>
            <w:shd w:val="clear" w:color="auto" w:fill="0A2F40"/>
          </w:tcPr>
          <w:p>
            <w:pPr>
              <w:pStyle w:val="TableParagraph"/>
              <w:spacing w:line="229" w:lineRule="exact"/>
              <w:ind w:left="67"/>
              <w:rPr>
                <w:sz w:val="20"/>
              </w:rPr>
            </w:pPr>
            <w:r>
              <w:rPr>
                <w:color w:val="FFFFFF"/>
                <w:sz w:val="20"/>
              </w:rPr>
              <w:t>Fase</w:t>
            </w:r>
            <w:r>
              <w:rPr>
                <w:color w:val="FFFFFF"/>
                <w:spacing w:val="-6"/>
                <w:sz w:val="20"/>
              </w:rPr>
              <w:t> </w:t>
            </w:r>
            <w:r>
              <w:rPr>
                <w:color w:val="FFFFFF"/>
                <w:sz w:val="20"/>
              </w:rPr>
              <w:t>del</w:t>
            </w:r>
            <w:r>
              <w:rPr>
                <w:color w:val="FFFFFF"/>
                <w:spacing w:val="-5"/>
                <w:sz w:val="20"/>
              </w:rPr>
              <w:t> </w:t>
            </w:r>
            <w:r>
              <w:rPr>
                <w:color w:val="FFFFFF"/>
                <w:sz w:val="20"/>
              </w:rPr>
              <w:t>proyecto</w:t>
            </w:r>
            <w:r>
              <w:rPr>
                <w:color w:val="FFFFFF"/>
                <w:spacing w:val="-4"/>
                <w:sz w:val="20"/>
              </w:rPr>
              <w:t> </w:t>
            </w:r>
            <w:r>
              <w:rPr>
                <w:color w:val="FFFFFF"/>
                <w:sz w:val="20"/>
              </w:rPr>
              <w:t>que</w:t>
            </w:r>
            <w:r>
              <w:rPr>
                <w:color w:val="FFFFFF"/>
                <w:spacing w:val="-5"/>
                <w:sz w:val="20"/>
              </w:rPr>
              <w:t> </w:t>
            </w:r>
            <w:r>
              <w:rPr>
                <w:color w:val="FFFFFF"/>
                <w:sz w:val="20"/>
              </w:rPr>
              <w:t>se</w:t>
            </w:r>
            <w:r>
              <w:rPr>
                <w:color w:val="FFFFFF"/>
                <w:spacing w:val="-5"/>
                <w:sz w:val="20"/>
              </w:rPr>
              <w:t> </w:t>
            </w:r>
            <w:r>
              <w:rPr>
                <w:color w:val="FFFFFF"/>
                <w:spacing w:val="-2"/>
                <w:sz w:val="20"/>
              </w:rPr>
              <w:t>espera</w:t>
            </w:r>
          </w:p>
          <w:p>
            <w:pPr>
              <w:pStyle w:val="TableParagraph"/>
              <w:spacing w:line="228" w:lineRule="exact"/>
              <w:ind w:left="67" w:right="41"/>
              <w:rPr>
                <w:sz w:val="20"/>
              </w:rPr>
            </w:pPr>
            <w:r>
              <w:rPr>
                <w:color w:val="FFFFFF"/>
                <w:sz w:val="20"/>
              </w:rPr>
              <w:t>alcanzar</w:t>
            </w:r>
            <w:r>
              <w:rPr>
                <w:color w:val="FFFFFF"/>
                <w:spacing w:val="-14"/>
                <w:sz w:val="20"/>
              </w:rPr>
              <w:t> </w:t>
            </w:r>
            <w:r>
              <w:rPr>
                <w:color w:val="FFFFFF"/>
                <w:sz w:val="20"/>
              </w:rPr>
              <w:t>durante</w:t>
            </w:r>
            <w:r>
              <w:rPr>
                <w:color w:val="FFFFFF"/>
                <w:spacing w:val="-14"/>
                <w:sz w:val="20"/>
              </w:rPr>
              <w:t> </w:t>
            </w:r>
            <w:r>
              <w:rPr>
                <w:color w:val="FFFFFF"/>
                <w:sz w:val="20"/>
              </w:rPr>
              <w:t>el</w:t>
            </w:r>
            <w:r>
              <w:rPr>
                <w:color w:val="FFFFFF"/>
                <w:spacing w:val="-14"/>
                <w:sz w:val="20"/>
              </w:rPr>
              <w:t> </w:t>
            </w:r>
            <w:r>
              <w:rPr>
                <w:color w:val="FFFFFF"/>
                <w:sz w:val="20"/>
              </w:rPr>
              <w:t>periodo </w:t>
            </w:r>
            <w:r>
              <w:rPr>
                <w:color w:val="FFFFFF"/>
                <w:spacing w:val="-2"/>
                <w:sz w:val="20"/>
              </w:rPr>
              <w:t>presupuestario:</w:t>
            </w:r>
          </w:p>
        </w:tc>
        <w:tc>
          <w:tcPr>
            <w:tcW w:w="6236" w:type="dxa"/>
          </w:tcPr>
          <w:p>
            <w:pPr>
              <w:pStyle w:val="TableParagraph"/>
              <w:spacing w:before="227"/>
              <w:rPr>
                <w:b/>
                <w:sz w:val="20"/>
              </w:rPr>
            </w:pPr>
          </w:p>
          <w:p>
            <w:pPr>
              <w:pStyle w:val="TableParagraph"/>
              <w:spacing w:line="211" w:lineRule="exact" w:before="1"/>
              <w:ind w:left="66"/>
              <w:rPr>
                <w:sz w:val="20"/>
              </w:rPr>
            </w:pPr>
            <w:r>
              <w:rPr>
                <w:spacing w:val="-2"/>
                <w:sz w:val="20"/>
              </w:rPr>
              <w:t>Ejecución</w:t>
            </w:r>
          </w:p>
        </w:tc>
      </w:tr>
      <w:tr>
        <w:trPr>
          <w:trHeight w:val="690" w:hRule="atLeast"/>
        </w:trPr>
        <w:tc>
          <w:tcPr>
            <w:tcW w:w="3829" w:type="dxa"/>
            <w:shd w:val="clear" w:color="auto" w:fill="0A2F40"/>
          </w:tcPr>
          <w:p>
            <w:pPr>
              <w:pStyle w:val="TableParagraph"/>
              <w:spacing w:before="230"/>
              <w:ind w:left="67"/>
              <w:rPr>
                <w:sz w:val="20"/>
              </w:rPr>
            </w:pPr>
            <w:r>
              <w:rPr>
                <w:color w:val="FFFFFF"/>
                <w:sz w:val="20"/>
              </w:rPr>
              <w:t>Modalidad</w:t>
            </w:r>
            <w:r>
              <w:rPr>
                <w:color w:val="FFFFFF"/>
                <w:spacing w:val="-8"/>
                <w:sz w:val="20"/>
              </w:rPr>
              <w:t> </w:t>
            </w:r>
            <w:r>
              <w:rPr>
                <w:color w:val="FFFFFF"/>
                <w:sz w:val="20"/>
              </w:rPr>
              <w:t>de</w:t>
            </w:r>
            <w:r>
              <w:rPr>
                <w:color w:val="FFFFFF"/>
                <w:spacing w:val="-6"/>
                <w:sz w:val="20"/>
              </w:rPr>
              <w:t> </w:t>
            </w:r>
            <w:r>
              <w:rPr>
                <w:color w:val="FFFFFF"/>
                <w:sz w:val="20"/>
              </w:rPr>
              <w:t>ejecución</w:t>
            </w:r>
            <w:r>
              <w:rPr>
                <w:color w:val="FFFFFF"/>
                <w:spacing w:val="-8"/>
                <w:sz w:val="20"/>
              </w:rPr>
              <w:t> </w:t>
            </w:r>
            <w:r>
              <w:rPr>
                <w:color w:val="FFFFFF"/>
                <w:sz w:val="20"/>
              </w:rPr>
              <w:t>y</w:t>
            </w:r>
            <w:r>
              <w:rPr>
                <w:color w:val="FFFFFF"/>
                <w:spacing w:val="-6"/>
                <w:sz w:val="20"/>
              </w:rPr>
              <w:t> </w:t>
            </w:r>
            <w:r>
              <w:rPr>
                <w:color w:val="FFFFFF"/>
                <w:spacing w:val="-2"/>
                <w:sz w:val="20"/>
              </w:rPr>
              <w:t>financiamiento:</w:t>
            </w:r>
          </w:p>
        </w:tc>
        <w:tc>
          <w:tcPr>
            <w:tcW w:w="6236" w:type="dxa"/>
          </w:tcPr>
          <w:p>
            <w:pPr>
              <w:pStyle w:val="TableParagraph"/>
              <w:spacing w:before="230"/>
              <w:ind w:left="66"/>
              <w:rPr>
                <w:sz w:val="20"/>
              </w:rPr>
            </w:pPr>
            <w:r>
              <w:rPr>
                <w:sz w:val="20"/>
              </w:rPr>
              <w:t>Recursos</w:t>
            </w:r>
            <w:r>
              <w:rPr>
                <w:spacing w:val="-8"/>
                <w:sz w:val="20"/>
              </w:rPr>
              <w:t> </w:t>
            </w:r>
            <w:r>
              <w:rPr>
                <w:spacing w:val="-2"/>
                <w:sz w:val="20"/>
              </w:rPr>
              <w:t>Propios</w:t>
            </w:r>
          </w:p>
        </w:tc>
      </w:tr>
      <w:tr>
        <w:trPr>
          <w:trHeight w:val="690" w:hRule="atLeast"/>
        </w:trPr>
        <w:tc>
          <w:tcPr>
            <w:tcW w:w="3829" w:type="dxa"/>
            <w:shd w:val="clear" w:color="auto" w:fill="0A2F40"/>
          </w:tcPr>
          <w:p>
            <w:pPr>
              <w:pStyle w:val="TableParagraph"/>
              <w:spacing w:before="230"/>
              <w:ind w:left="67"/>
              <w:rPr>
                <w:sz w:val="20"/>
              </w:rPr>
            </w:pPr>
            <w:r>
              <w:rPr>
                <w:color w:val="FFFFFF"/>
                <w:spacing w:val="-2"/>
                <w:sz w:val="20"/>
              </w:rPr>
              <w:t>Presupuesto</w:t>
            </w:r>
            <w:r>
              <w:rPr>
                <w:color w:val="FFFFFF"/>
                <w:spacing w:val="5"/>
                <w:sz w:val="20"/>
              </w:rPr>
              <w:t> </w:t>
            </w:r>
            <w:r>
              <w:rPr>
                <w:color w:val="FFFFFF"/>
                <w:spacing w:val="-2"/>
                <w:sz w:val="20"/>
              </w:rPr>
              <w:t>total:</w:t>
            </w:r>
          </w:p>
        </w:tc>
        <w:tc>
          <w:tcPr>
            <w:tcW w:w="6236" w:type="dxa"/>
          </w:tcPr>
          <w:p>
            <w:pPr>
              <w:pStyle w:val="TableParagraph"/>
              <w:spacing w:before="230"/>
              <w:ind w:right="62"/>
              <w:jc w:val="right"/>
              <w:rPr>
                <w:sz w:val="20"/>
              </w:rPr>
            </w:pPr>
            <w:r>
              <w:rPr>
                <w:sz w:val="20"/>
              </w:rPr>
              <w:t>₡</w:t>
            </w:r>
            <w:r>
              <w:rPr>
                <w:spacing w:val="-3"/>
                <w:sz w:val="20"/>
              </w:rPr>
              <w:t> </w:t>
            </w:r>
            <w:r>
              <w:rPr>
                <w:sz w:val="20"/>
              </w:rPr>
              <w:t>1</w:t>
            </w:r>
            <w:r>
              <w:rPr>
                <w:spacing w:val="-1"/>
                <w:sz w:val="20"/>
              </w:rPr>
              <w:t> </w:t>
            </w:r>
            <w:r>
              <w:rPr>
                <w:sz w:val="20"/>
              </w:rPr>
              <w:t>014</w:t>
            </w:r>
            <w:r>
              <w:rPr>
                <w:spacing w:val="-3"/>
                <w:sz w:val="20"/>
              </w:rPr>
              <w:t> </w:t>
            </w:r>
            <w:r>
              <w:rPr>
                <w:sz w:val="20"/>
              </w:rPr>
              <w:t>600</w:t>
            </w:r>
            <w:r>
              <w:rPr>
                <w:spacing w:val="-4"/>
                <w:sz w:val="20"/>
              </w:rPr>
              <w:t> </w:t>
            </w:r>
            <w:r>
              <w:rPr>
                <w:spacing w:val="-2"/>
                <w:sz w:val="20"/>
              </w:rPr>
              <w:t>000,00</w:t>
            </w:r>
          </w:p>
        </w:tc>
      </w:tr>
      <w:tr>
        <w:trPr>
          <w:trHeight w:val="688" w:hRule="atLeast"/>
        </w:trPr>
        <w:tc>
          <w:tcPr>
            <w:tcW w:w="3829" w:type="dxa"/>
            <w:shd w:val="clear" w:color="auto" w:fill="0A2F40"/>
          </w:tcPr>
          <w:p>
            <w:pPr>
              <w:pStyle w:val="TableParagraph"/>
              <w:spacing w:before="227"/>
              <w:ind w:left="67"/>
              <w:rPr>
                <w:sz w:val="20"/>
              </w:rPr>
            </w:pPr>
            <w:r>
              <w:rPr>
                <w:color w:val="FFFFFF"/>
                <w:sz w:val="20"/>
              </w:rPr>
              <w:t>Plazo</w:t>
            </w:r>
            <w:r>
              <w:rPr>
                <w:color w:val="FFFFFF"/>
                <w:spacing w:val="-6"/>
                <w:sz w:val="20"/>
              </w:rPr>
              <w:t> </w:t>
            </w:r>
            <w:r>
              <w:rPr>
                <w:color w:val="FFFFFF"/>
                <w:sz w:val="20"/>
              </w:rPr>
              <w:t>estimado</w:t>
            </w:r>
            <w:r>
              <w:rPr>
                <w:color w:val="FFFFFF"/>
                <w:spacing w:val="-7"/>
                <w:sz w:val="20"/>
              </w:rPr>
              <w:t> </w:t>
            </w:r>
            <w:r>
              <w:rPr>
                <w:color w:val="FFFFFF"/>
                <w:sz w:val="20"/>
              </w:rPr>
              <w:t>para</w:t>
            </w:r>
            <w:r>
              <w:rPr>
                <w:color w:val="FFFFFF"/>
                <w:spacing w:val="-7"/>
                <w:sz w:val="20"/>
              </w:rPr>
              <w:t> </w:t>
            </w:r>
            <w:r>
              <w:rPr>
                <w:color w:val="FFFFFF"/>
                <w:sz w:val="20"/>
              </w:rPr>
              <w:t>su</w:t>
            </w:r>
            <w:r>
              <w:rPr>
                <w:color w:val="FFFFFF"/>
                <w:spacing w:val="-7"/>
                <w:sz w:val="20"/>
              </w:rPr>
              <w:t> </w:t>
            </w:r>
            <w:r>
              <w:rPr>
                <w:color w:val="FFFFFF"/>
                <w:spacing w:val="-2"/>
                <w:sz w:val="20"/>
              </w:rPr>
              <w:t>ejecución:</w:t>
            </w:r>
          </w:p>
        </w:tc>
        <w:tc>
          <w:tcPr>
            <w:tcW w:w="6236" w:type="dxa"/>
          </w:tcPr>
          <w:p>
            <w:pPr>
              <w:pStyle w:val="TableParagraph"/>
              <w:spacing w:before="227"/>
              <w:ind w:right="62"/>
              <w:jc w:val="right"/>
              <w:rPr>
                <w:sz w:val="20"/>
              </w:rPr>
            </w:pPr>
            <w:r>
              <w:rPr>
                <w:spacing w:val="-2"/>
                <w:sz w:val="20"/>
              </w:rPr>
              <w:t>23/8/2028</w:t>
            </w:r>
          </w:p>
        </w:tc>
      </w:tr>
      <w:tr>
        <w:trPr>
          <w:trHeight w:val="690" w:hRule="atLeast"/>
        </w:trPr>
        <w:tc>
          <w:tcPr>
            <w:tcW w:w="3829" w:type="dxa"/>
            <w:shd w:val="clear" w:color="auto" w:fill="0A2F40"/>
          </w:tcPr>
          <w:p>
            <w:pPr>
              <w:pStyle w:val="TableParagraph"/>
              <w:spacing w:before="230"/>
              <w:ind w:left="67"/>
              <w:rPr>
                <w:sz w:val="20"/>
              </w:rPr>
            </w:pPr>
            <w:r>
              <w:rPr>
                <w:color w:val="FFFFFF"/>
                <w:sz w:val="20"/>
              </w:rPr>
              <w:t>Monto</w:t>
            </w:r>
            <w:r>
              <w:rPr>
                <w:color w:val="FFFFFF"/>
                <w:spacing w:val="-7"/>
                <w:sz w:val="20"/>
              </w:rPr>
              <w:t> </w:t>
            </w:r>
            <w:r>
              <w:rPr>
                <w:color w:val="FFFFFF"/>
                <w:sz w:val="20"/>
              </w:rPr>
              <w:t>total</w:t>
            </w:r>
            <w:r>
              <w:rPr>
                <w:color w:val="FFFFFF"/>
                <w:spacing w:val="-5"/>
                <w:sz w:val="20"/>
              </w:rPr>
              <w:t> </w:t>
            </w:r>
            <w:r>
              <w:rPr>
                <w:color w:val="FFFFFF"/>
                <w:sz w:val="20"/>
              </w:rPr>
              <w:t>estimado</w:t>
            </w:r>
            <w:r>
              <w:rPr>
                <w:color w:val="FFFFFF"/>
                <w:spacing w:val="-7"/>
                <w:sz w:val="20"/>
              </w:rPr>
              <w:t> </w:t>
            </w:r>
            <w:r>
              <w:rPr>
                <w:color w:val="FFFFFF"/>
                <w:sz w:val="20"/>
              </w:rPr>
              <w:t>en</w:t>
            </w:r>
            <w:r>
              <w:rPr>
                <w:color w:val="FFFFFF"/>
                <w:spacing w:val="-4"/>
                <w:sz w:val="20"/>
              </w:rPr>
              <w:t> </w:t>
            </w:r>
            <w:r>
              <w:rPr>
                <w:color w:val="FFFFFF"/>
                <w:sz w:val="20"/>
              </w:rPr>
              <w:t>el</w:t>
            </w:r>
            <w:r>
              <w:rPr>
                <w:color w:val="FFFFFF"/>
                <w:spacing w:val="-4"/>
                <w:sz w:val="20"/>
              </w:rPr>
              <w:t> </w:t>
            </w:r>
            <w:r>
              <w:rPr>
                <w:color w:val="FFFFFF"/>
                <w:spacing w:val="-2"/>
                <w:sz w:val="20"/>
              </w:rPr>
              <w:t>presupuesto:</w:t>
            </w:r>
          </w:p>
        </w:tc>
        <w:tc>
          <w:tcPr>
            <w:tcW w:w="6236" w:type="dxa"/>
          </w:tcPr>
          <w:p>
            <w:pPr>
              <w:pStyle w:val="TableParagraph"/>
              <w:spacing w:before="230"/>
              <w:ind w:right="62"/>
              <w:jc w:val="right"/>
              <w:rPr>
                <w:sz w:val="20"/>
              </w:rPr>
            </w:pPr>
            <w:r>
              <w:rPr>
                <w:sz w:val="20"/>
              </w:rPr>
              <w:t>₡</w:t>
            </w:r>
            <w:r>
              <w:rPr>
                <w:spacing w:val="-4"/>
                <w:sz w:val="20"/>
              </w:rPr>
              <w:t> </w:t>
            </w:r>
            <w:r>
              <w:rPr>
                <w:sz w:val="20"/>
              </w:rPr>
              <w:t>598</w:t>
            </w:r>
            <w:r>
              <w:rPr>
                <w:spacing w:val="-4"/>
                <w:sz w:val="20"/>
              </w:rPr>
              <w:t> </w:t>
            </w:r>
            <w:r>
              <w:rPr>
                <w:sz w:val="20"/>
              </w:rPr>
              <w:t>200</w:t>
            </w:r>
            <w:r>
              <w:rPr>
                <w:spacing w:val="-5"/>
                <w:sz w:val="20"/>
              </w:rPr>
              <w:t> </w:t>
            </w:r>
            <w:r>
              <w:rPr>
                <w:spacing w:val="-2"/>
                <w:sz w:val="20"/>
              </w:rPr>
              <w:t>000,00</w:t>
            </w:r>
          </w:p>
        </w:tc>
      </w:tr>
      <w:tr>
        <w:trPr>
          <w:trHeight w:val="510" w:hRule="atLeast"/>
        </w:trPr>
        <w:tc>
          <w:tcPr>
            <w:tcW w:w="3829" w:type="dxa"/>
            <w:shd w:val="clear" w:color="auto" w:fill="0A2F40"/>
          </w:tcPr>
          <w:p>
            <w:pPr>
              <w:pStyle w:val="TableParagraph"/>
              <w:spacing w:before="23"/>
              <w:ind w:left="67" w:right="41"/>
              <w:rPr>
                <w:sz w:val="20"/>
              </w:rPr>
            </w:pPr>
            <w:r>
              <w:rPr>
                <w:color w:val="FFFFFF"/>
                <w:sz w:val="20"/>
              </w:rPr>
              <w:t>Meta</w:t>
            </w:r>
            <w:r>
              <w:rPr>
                <w:color w:val="FFFFFF"/>
                <w:spacing w:val="-8"/>
                <w:sz w:val="20"/>
              </w:rPr>
              <w:t> </w:t>
            </w:r>
            <w:r>
              <w:rPr>
                <w:color w:val="FFFFFF"/>
                <w:sz w:val="20"/>
              </w:rPr>
              <w:t>anual</w:t>
            </w:r>
            <w:r>
              <w:rPr>
                <w:color w:val="FFFFFF"/>
                <w:spacing w:val="-9"/>
                <w:sz w:val="20"/>
              </w:rPr>
              <w:t> </w:t>
            </w:r>
            <w:r>
              <w:rPr>
                <w:color w:val="FFFFFF"/>
                <w:sz w:val="20"/>
              </w:rPr>
              <w:t>que</w:t>
            </w:r>
            <w:r>
              <w:rPr>
                <w:color w:val="FFFFFF"/>
                <w:spacing w:val="-10"/>
                <w:sz w:val="20"/>
              </w:rPr>
              <w:t> </w:t>
            </w:r>
            <w:r>
              <w:rPr>
                <w:color w:val="FFFFFF"/>
                <w:sz w:val="20"/>
              </w:rPr>
              <w:t>se</w:t>
            </w:r>
            <w:r>
              <w:rPr>
                <w:color w:val="FFFFFF"/>
                <w:spacing w:val="-10"/>
                <w:sz w:val="20"/>
              </w:rPr>
              <w:t> </w:t>
            </w:r>
            <w:r>
              <w:rPr>
                <w:color w:val="FFFFFF"/>
                <w:sz w:val="20"/>
              </w:rPr>
              <w:t>espera</w:t>
            </w:r>
            <w:r>
              <w:rPr>
                <w:color w:val="FFFFFF"/>
                <w:spacing w:val="-8"/>
                <w:sz w:val="20"/>
              </w:rPr>
              <w:t> </w:t>
            </w:r>
            <w:r>
              <w:rPr>
                <w:color w:val="FFFFFF"/>
                <w:sz w:val="20"/>
              </w:rPr>
              <w:t>alcanzar durante el periodo presupuestario:</w:t>
            </w:r>
          </w:p>
        </w:tc>
        <w:tc>
          <w:tcPr>
            <w:tcW w:w="6236" w:type="dxa"/>
          </w:tcPr>
          <w:p>
            <w:pPr>
              <w:pStyle w:val="TableParagraph"/>
              <w:spacing w:before="50"/>
              <w:rPr>
                <w:b/>
                <w:sz w:val="20"/>
              </w:rPr>
            </w:pPr>
          </w:p>
          <w:p>
            <w:pPr>
              <w:pStyle w:val="TableParagraph"/>
              <w:spacing w:line="211" w:lineRule="exact"/>
              <w:ind w:right="63"/>
              <w:jc w:val="right"/>
              <w:rPr>
                <w:sz w:val="20"/>
              </w:rPr>
            </w:pPr>
            <w:r>
              <w:rPr>
                <w:spacing w:val="-4"/>
                <w:sz w:val="20"/>
              </w:rPr>
              <w:t>100%</w:t>
            </w:r>
          </w:p>
        </w:tc>
      </w:tr>
      <w:tr>
        <w:trPr>
          <w:trHeight w:val="688" w:hRule="atLeast"/>
        </w:trPr>
        <w:tc>
          <w:tcPr>
            <w:tcW w:w="3829" w:type="dxa"/>
            <w:shd w:val="clear" w:color="auto" w:fill="0A2F40"/>
          </w:tcPr>
          <w:p>
            <w:pPr>
              <w:pStyle w:val="TableParagraph"/>
              <w:spacing w:before="227"/>
              <w:ind w:left="67"/>
              <w:rPr>
                <w:sz w:val="20"/>
              </w:rPr>
            </w:pPr>
            <w:r>
              <w:rPr>
                <w:color w:val="FFFFFF"/>
                <w:sz w:val="20"/>
              </w:rPr>
              <w:t>Unidad</w:t>
            </w:r>
            <w:r>
              <w:rPr>
                <w:color w:val="FFFFFF"/>
                <w:spacing w:val="-11"/>
                <w:sz w:val="20"/>
              </w:rPr>
              <w:t> </w:t>
            </w:r>
            <w:r>
              <w:rPr>
                <w:color w:val="FFFFFF"/>
                <w:sz w:val="20"/>
              </w:rPr>
              <w:t>responsable</w:t>
            </w:r>
            <w:r>
              <w:rPr>
                <w:color w:val="FFFFFF"/>
                <w:spacing w:val="-8"/>
                <w:sz w:val="20"/>
              </w:rPr>
              <w:t> </w:t>
            </w:r>
            <w:r>
              <w:rPr>
                <w:color w:val="FFFFFF"/>
                <w:sz w:val="20"/>
              </w:rPr>
              <w:t>del</w:t>
            </w:r>
            <w:r>
              <w:rPr>
                <w:color w:val="FFFFFF"/>
                <w:spacing w:val="-10"/>
                <w:sz w:val="20"/>
              </w:rPr>
              <w:t> </w:t>
            </w:r>
            <w:r>
              <w:rPr>
                <w:color w:val="FFFFFF"/>
                <w:spacing w:val="-2"/>
                <w:sz w:val="20"/>
              </w:rPr>
              <w:t>proyecto:</w:t>
            </w:r>
          </w:p>
        </w:tc>
        <w:tc>
          <w:tcPr>
            <w:tcW w:w="6236" w:type="dxa"/>
          </w:tcPr>
          <w:p>
            <w:pPr>
              <w:pStyle w:val="TableParagraph"/>
              <w:spacing w:before="227"/>
              <w:ind w:left="66"/>
              <w:rPr>
                <w:sz w:val="20"/>
              </w:rPr>
            </w:pPr>
            <w:r>
              <w:rPr>
                <w:sz w:val="20"/>
              </w:rPr>
              <w:t>Área</w:t>
            </w:r>
            <w:r>
              <w:rPr>
                <w:spacing w:val="-9"/>
                <w:sz w:val="20"/>
              </w:rPr>
              <w:t> </w:t>
            </w:r>
            <w:r>
              <w:rPr>
                <w:sz w:val="20"/>
              </w:rPr>
              <w:t>Regional</w:t>
            </w:r>
            <w:r>
              <w:rPr>
                <w:spacing w:val="-7"/>
                <w:sz w:val="20"/>
              </w:rPr>
              <w:t> </w:t>
            </w:r>
            <w:r>
              <w:rPr>
                <w:sz w:val="20"/>
              </w:rPr>
              <w:t>de</w:t>
            </w:r>
            <w:r>
              <w:rPr>
                <w:spacing w:val="-9"/>
                <w:sz w:val="20"/>
              </w:rPr>
              <w:t> </w:t>
            </w:r>
            <w:r>
              <w:rPr>
                <w:sz w:val="20"/>
              </w:rPr>
              <w:t>Desarrollo</w:t>
            </w:r>
            <w:r>
              <w:rPr>
                <w:spacing w:val="-8"/>
                <w:sz w:val="20"/>
              </w:rPr>
              <w:t> </w:t>
            </w:r>
            <w:r>
              <w:rPr>
                <w:sz w:val="20"/>
              </w:rPr>
              <w:t>Social</w:t>
            </w:r>
            <w:r>
              <w:rPr>
                <w:spacing w:val="-7"/>
                <w:sz w:val="20"/>
              </w:rPr>
              <w:t> </w:t>
            </w:r>
            <w:r>
              <w:rPr>
                <w:sz w:val="20"/>
              </w:rPr>
              <w:t>Huetar</w:t>
            </w:r>
            <w:r>
              <w:rPr>
                <w:spacing w:val="-7"/>
                <w:sz w:val="20"/>
              </w:rPr>
              <w:t> </w:t>
            </w:r>
            <w:r>
              <w:rPr>
                <w:spacing w:val="-2"/>
                <w:sz w:val="20"/>
              </w:rPr>
              <w:t>Norte</w:t>
            </w:r>
          </w:p>
        </w:tc>
      </w:tr>
    </w:tbl>
    <w:p>
      <w:pPr>
        <w:pStyle w:val="TableParagraph"/>
        <w:spacing w:after="0"/>
        <w:rPr>
          <w:sz w:val="20"/>
        </w:rPr>
        <w:sectPr>
          <w:type w:val="continuous"/>
          <w:pgSz w:w="12240" w:h="15840"/>
          <w:pgMar w:header="0" w:footer="2404" w:top="1080" w:bottom="2600" w:left="720" w:right="720"/>
        </w:sectPr>
      </w:pPr>
    </w:p>
    <w:p>
      <w:pPr>
        <w:pStyle w:val="BodyText"/>
        <w:rPr>
          <w:b/>
          <w:sz w:val="20"/>
        </w:rPr>
      </w:pPr>
    </w:p>
    <w:p>
      <w:pPr>
        <w:pStyle w:val="BodyText"/>
        <w:spacing w:before="199"/>
        <w:rPr>
          <w:b/>
          <w:sz w:val="20"/>
        </w:rPr>
      </w:pPr>
    </w:p>
    <w:tbl>
      <w:tblPr>
        <w:tblW w:w="0" w:type="auto"/>
        <w:jc w:val="lef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98"/>
        <w:gridCol w:w="6268"/>
      </w:tblGrid>
      <w:tr>
        <w:trPr>
          <w:trHeight w:val="921" w:hRule="atLeast"/>
        </w:trPr>
        <w:tc>
          <w:tcPr>
            <w:tcW w:w="3798" w:type="dxa"/>
            <w:shd w:val="clear" w:color="auto" w:fill="0A2F40"/>
          </w:tcPr>
          <w:p>
            <w:pPr>
              <w:pStyle w:val="TableParagraph"/>
              <w:spacing w:before="115"/>
              <w:rPr>
                <w:b/>
                <w:sz w:val="20"/>
              </w:rPr>
            </w:pPr>
          </w:p>
          <w:p>
            <w:pPr>
              <w:pStyle w:val="TableParagraph"/>
              <w:ind w:left="67"/>
              <w:rPr>
                <w:sz w:val="20"/>
              </w:rPr>
            </w:pPr>
            <w:r>
              <w:rPr>
                <w:color w:val="FFFFFF"/>
                <w:sz w:val="20"/>
              </w:rPr>
              <w:t>Nombre</w:t>
            </w:r>
            <w:r>
              <w:rPr>
                <w:color w:val="FFFFFF"/>
                <w:spacing w:val="-6"/>
                <w:sz w:val="20"/>
              </w:rPr>
              <w:t> </w:t>
            </w:r>
            <w:r>
              <w:rPr>
                <w:color w:val="FFFFFF"/>
                <w:sz w:val="20"/>
              </w:rPr>
              <w:t>del</w:t>
            </w:r>
            <w:r>
              <w:rPr>
                <w:color w:val="FFFFFF"/>
                <w:spacing w:val="-7"/>
                <w:sz w:val="20"/>
              </w:rPr>
              <w:t> </w:t>
            </w:r>
            <w:r>
              <w:rPr>
                <w:color w:val="FFFFFF"/>
                <w:spacing w:val="-2"/>
                <w:sz w:val="20"/>
              </w:rPr>
              <w:t>Proyecto:</w:t>
            </w:r>
          </w:p>
        </w:tc>
        <w:tc>
          <w:tcPr>
            <w:tcW w:w="6268" w:type="dxa"/>
          </w:tcPr>
          <w:p>
            <w:pPr>
              <w:pStyle w:val="TableParagraph"/>
              <w:spacing w:before="230"/>
              <w:ind w:left="69"/>
              <w:rPr>
                <w:sz w:val="20"/>
              </w:rPr>
            </w:pPr>
            <w:r>
              <w:rPr>
                <w:sz w:val="20"/>
              </w:rPr>
              <w:t>Remodelación</w:t>
            </w:r>
            <w:r>
              <w:rPr>
                <w:spacing w:val="-9"/>
                <w:sz w:val="20"/>
              </w:rPr>
              <w:t> </w:t>
            </w:r>
            <w:r>
              <w:rPr>
                <w:sz w:val="20"/>
              </w:rPr>
              <w:t>de</w:t>
            </w:r>
            <w:r>
              <w:rPr>
                <w:spacing w:val="-9"/>
                <w:sz w:val="20"/>
              </w:rPr>
              <w:t> </w:t>
            </w:r>
            <w:r>
              <w:rPr>
                <w:sz w:val="20"/>
              </w:rPr>
              <w:t>oficinas</w:t>
            </w:r>
            <w:r>
              <w:rPr>
                <w:spacing w:val="-8"/>
                <w:sz w:val="20"/>
              </w:rPr>
              <w:t> </w:t>
            </w:r>
            <w:r>
              <w:rPr>
                <w:sz w:val="20"/>
              </w:rPr>
              <w:t>del</w:t>
            </w:r>
            <w:r>
              <w:rPr>
                <w:spacing w:val="-8"/>
                <w:sz w:val="20"/>
              </w:rPr>
              <w:t> </w:t>
            </w:r>
            <w:r>
              <w:rPr>
                <w:sz w:val="20"/>
              </w:rPr>
              <w:t>Departamento</w:t>
            </w:r>
            <w:r>
              <w:rPr>
                <w:spacing w:val="-7"/>
                <w:sz w:val="20"/>
              </w:rPr>
              <w:t> </w:t>
            </w:r>
            <w:r>
              <w:rPr>
                <w:sz w:val="20"/>
              </w:rPr>
              <w:t>de</w:t>
            </w:r>
            <w:r>
              <w:rPr>
                <w:spacing w:val="-8"/>
                <w:sz w:val="20"/>
              </w:rPr>
              <w:t> </w:t>
            </w:r>
            <w:r>
              <w:rPr>
                <w:sz w:val="20"/>
              </w:rPr>
              <w:t>Administración Financiera en el Edificio Central del IMAS</w:t>
            </w:r>
          </w:p>
        </w:tc>
      </w:tr>
      <w:tr>
        <w:trPr>
          <w:trHeight w:val="2299" w:hRule="atLeast"/>
        </w:trPr>
        <w:tc>
          <w:tcPr>
            <w:tcW w:w="3798" w:type="dxa"/>
            <w:shd w:val="clear" w:color="auto" w:fill="0A2F40"/>
          </w:tcPr>
          <w:p>
            <w:pPr>
              <w:pStyle w:val="TableParagraph"/>
              <w:rPr>
                <w:b/>
                <w:sz w:val="20"/>
              </w:rPr>
            </w:pPr>
          </w:p>
          <w:p>
            <w:pPr>
              <w:pStyle w:val="TableParagraph"/>
              <w:rPr>
                <w:b/>
                <w:sz w:val="20"/>
              </w:rPr>
            </w:pPr>
          </w:p>
          <w:p>
            <w:pPr>
              <w:pStyle w:val="TableParagraph"/>
              <w:rPr>
                <w:b/>
                <w:sz w:val="20"/>
              </w:rPr>
            </w:pPr>
          </w:p>
          <w:p>
            <w:pPr>
              <w:pStyle w:val="TableParagraph"/>
              <w:spacing w:before="113"/>
              <w:rPr>
                <w:b/>
                <w:sz w:val="20"/>
              </w:rPr>
            </w:pPr>
          </w:p>
          <w:p>
            <w:pPr>
              <w:pStyle w:val="TableParagraph"/>
              <w:spacing w:before="1"/>
              <w:ind w:left="67"/>
              <w:rPr>
                <w:sz w:val="20"/>
              </w:rPr>
            </w:pPr>
            <w:r>
              <w:rPr>
                <w:color w:val="FFFFFF"/>
                <w:sz w:val="20"/>
              </w:rPr>
              <w:t>Descripción</w:t>
            </w:r>
            <w:r>
              <w:rPr>
                <w:color w:val="FFFFFF"/>
                <w:spacing w:val="-7"/>
                <w:sz w:val="20"/>
              </w:rPr>
              <w:t> </w:t>
            </w:r>
            <w:r>
              <w:rPr>
                <w:color w:val="FFFFFF"/>
                <w:sz w:val="20"/>
              </w:rPr>
              <w:t>y</w:t>
            </w:r>
            <w:r>
              <w:rPr>
                <w:color w:val="FFFFFF"/>
                <w:spacing w:val="-8"/>
                <w:sz w:val="20"/>
              </w:rPr>
              <w:t> </w:t>
            </w:r>
            <w:r>
              <w:rPr>
                <w:color w:val="FFFFFF"/>
                <w:sz w:val="20"/>
              </w:rPr>
              <w:t>objetivo</w:t>
            </w:r>
            <w:r>
              <w:rPr>
                <w:color w:val="FFFFFF"/>
                <w:spacing w:val="-9"/>
                <w:sz w:val="20"/>
              </w:rPr>
              <w:t> </w:t>
            </w:r>
            <w:r>
              <w:rPr>
                <w:color w:val="FFFFFF"/>
                <w:spacing w:val="-2"/>
                <w:sz w:val="20"/>
              </w:rPr>
              <w:t>general:</w:t>
            </w:r>
          </w:p>
        </w:tc>
        <w:tc>
          <w:tcPr>
            <w:tcW w:w="6268" w:type="dxa"/>
          </w:tcPr>
          <w:p>
            <w:pPr>
              <w:pStyle w:val="TableParagraph"/>
              <w:spacing w:before="230"/>
              <w:ind w:left="69"/>
              <w:rPr>
                <w:sz w:val="20"/>
              </w:rPr>
            </w:pPr>
            <w:r>
              <w:rPr>
                <w:b/>
                <w:sz w:val="20"/>
              </w:rPr>
              <w:t>Descripción: </w:t>
            </w:r>
            <w:r>
              <w:rPr>
                <w:sz w:val="20"/>
              </w:rPr>
              <w:t>llevar a cabo la Remodelación de oficinas del Departamento</w:t>
            </w:r>
            <w:r>
              <w:rPr>
                <w:spacing w:val="-6"/>
                <w:sz w:val="20"/>
              </w:rPr>
              <w:t> </w:t>
            </w:r>
            <w:r>
              <w:rPr>
                <w:sz w:val="20"/>
              </w:rPr>
              <w:t>de</w:t>
            </w:r>
            <w:r>
              <w:rPr>
                <w:spacing w:val="-6"/>
                <w:sz w:val="20"/>
              </w:rPr>
              <w:t> </w:t>
            </w:r>
            <w:r>
              <w:rPr>
                <w:sz w:val="20"/>
              </w:rPr>
              <w:t>Administración</w:t>
            </w:r>
            <w:r>
              <w:rPr>
                <w:spacing w:val="-8"/>
                <w:sz w:val="20"/>
              </w:rPr>
              <w:t> </w:t>
            </w:r>
            <w:r>
              <w:rPr>
                <w:sz w:val="20"/>
              </w:rPr>
              <w:t>Financiera</w:t>
            </w:r>
            <w:r>
              <w:rPr>
                <w:spacing w:val="-4"/>
                <w:sz w:val="20"/>
              </w:rPr>
              <w:t> </w:t>
            </w:r>
            <w:r>
              <w:rPr>
                <w:sz w:val="20"/>
              </w:rPr>
              <w:t>en</w:t>
            </w:r>
            <w:r>
              <w:rPr>
                <w:spacing w:val="-5"/>
                <w:sz w:val="20"/>
              </w:rPr>
              <w:t> </w:t>
            </w:r>
            <w:r>
              <w:rPr>
                <w:sz w:val="20"/>
              </w:rPr>
              <w:t>el</w:t>
            </w:r>
            <w:r>
              <w:rPr>
                <w:spacing w:val="-6"/>
                <w:sz w:val="20"/>
              </w:rPr>
              <w:t> </w:t>
            </w:r>
            <w:r>
              <w:rPr>
                <w:sz w:val="20"/>
              </w:rPr>
              <w:t>Edificio</w:t>
            </w:r>
            <w:r>
              <w:rPr>
                <w:spacing w:val="-7"/>
                <w:sz w:val="20"/>
              </w:rPr>
              <w:t> </w:t>
            </w:r>
            <w:r>
              <w:rPr>
                <w:sz w:val="20"/>
              </w:rPr>
              <w:t>Central</w:t>
            </w:r>
            <w:r>
              <w:rPr>
                <w:spacing w:val="-6"/>
                <w:sz w:val="20"/>
              </w:rPr>
              <w:t> </w:t>
            </w:r>
            <w:r>
              <w:rPr>
                <w:sz w:val="20"/>
              </w:rPr>
              <w:t>del Instituto Mixto de Ayuda Social.</w:t>
            </w:r>
          </w:p>
          <w:p>
            <w:pPr>
              <w:pStyle w:val="TableParagraph"/>
              <w:ind w:left="69" w:right="105"/>
              <w:rPr>
                <w:sz w:val="20"/>
              </w:rPr>
            </w:pPr>
            <w:r>
              <w:rPr>
                <w:b/>
                <w:sz w:val="20"/>
              </w:rPr>
              <w:t>Objetivo General: </w:t>
            </w:r>
            <w:r>
              <w:rPr>
                <w:sz w:val="20"/>
              </w:rPr>
              <w:t>Remodelar los espacios del Departamento Administración Financiera y las Unidades de Presupuesto, Contabilidad respectivamente con el fin de adecuar espacios con una</w:t>
            </w:r>
            <w:r>
              <w:rPr>
                <w:spacing w:val="-3"/>
                <w:sz w:val="20"/>
              </w:rPr>
              <w:t> </w:t>
            </w:r>
            <w:r>
              <w:rPr>
                <w:sz w:val="20"/>
              </w:rPr>
              <w:t>mejor</w:t>
            </w:r>
            <w:r>
              <w:rPr>
                <w:spacing w:val="-5"/>
                <w:sz w:val="20"/>
              </w:rPr>
              <w:t> </w:t>
            </w:r>
            <w:r>
              <w:rPr>
                <w:sz w:val="20"/>
              </w:rPr>
              <w:t>distribución</w:t>
            </w:r>
            <w:r>
              <w:rPr>
                <w:spacing w:val="-5"/>
                <w:sz w:val="20"/>
              </w:rPr>
              <w:t> </w:t>
            </w:r>
            <w:r>
              <w:rPr>
                <w:sz w:val="20"/>
              </w:rPr>
              <w:t>con</w:t>
            </w:r>
            <w:r>
              <w:rPr>
                <w:spacing w:val="-3"/>
                <w:sz w:val="20"/>
              </w:rPr>
              <w:t> </w:t>
            </w:r>
            <w:r>
              <w:rPr>
                <w:sz w:val="20"/>
              </w:rPr>
              <w:t>el</w:t>
            </w:r>
            <w:r>
              <w:rPr>
                <w:spacing w:val="-5"/>
                <w:sz w:val="20"/>
              </w:rPr>
              <w:t> </w:t>
            </w:r>
            <w:r>
              <w:rPr>
                <w:sz w:val="20"/>
              </w:rPr>
              <w:t>fin</w:t>
            </w:r>
            <w:r>
              <w:rPr>
                <w:spacing w:val="-3"/>
                <w:sz w:val="20"/>
              </w:rPr>
              <w:t> </w:t>
            </w:r>
            <w:r>
              <w:rPr>
                <w:sz w:val="20"/>
              </w:rPr>
              <w:t>de</w:t>
            </w:r>
            <w:r>
              <w:rPr>
                <w:spacing w:val="-5"/>
                <w:sz w:val="20"/>
              </w:rPr>
              <w:t> </w:t>
            </w:r>
            <w:r>
              <w:rPr>
                <w:sz w:val="20"/>
              </w:rPr>
              <w:t>cumplir</w:t>
            </w:r>
            <w:r>
              <w:rPr>
                <w:spacing w:val="-4"/>
                <w:sz w:val="20"/>
              </w:rPr>
              <w:t> </w:t>
            </w:r>
            <w:r>
              <w:rPr>
                <w:sz w:val="20"/>
              </w:rPr>
              <w:t>con</w:t>
            </w:r>
            <w:r>
              <w:rPr>
                <w:spacing w:val="-4"/>
                <w:sz w:val="20"/>
              </w:rPr>
              <w:t> </w:t>
            </w:r>
            <w:r>
              <w:rPr>
                <w:sz w:val="20"/>
              </w:rPr>
              <w:t>un</w:t>
            </w:r>
            <w:r>
              <w:rPr>
                <w:spacing w:val="-4"/>
                <w:sz w:val="20"/>
              </w:rPr>
              <w:t> </w:t>
            </w:r>
            <w:r>
              <w:rPr>
                <w:sz w:val="20"/>
              </w:rPr>
              <w:t>espacio</w:t>
            </w:r>
            <w:r>
              <w:rPr>
                <w:spacing w:val="-5"/>
                <w:sz w:val="20"/>
              </w:rPr>
              <w:t> </w:t>
            </w:r>
            <w:r>
              <w:rPr>
                <w:sz w:val="20"/>
              </w:rPr>
              <w:t>acorde</w:t>
            </w:r>
            <w:r>
              <w:rPr>
                <w:spacing w:val="-5"/>
                <w:sz w:val="20"/>
              </w:rPr>
              <w:t> </w:t>
            </w:r>
            <w:r>
              <w:rPr>
                <w:sz w:val="20"/>
              </w:rPr>
              <w:t>a los requerimientos de salud ocupacional y la Ley 7600.</w:t>
            </w:r>
          </w:p>
        </w:tc>
      </w:tr>
      <w:tr>
        <w:trPr>
          <w:trHeight w:val="690" w:hRule="atLeast"/>
        </w:trPr>
        <w:tc>
          <w:tcPr>
            <w:tcW w:w="3798" w:type="dxa"/>
            <w:shd w:val="clear" w:color="auto" w:fill="0A2F40"/>
          </w:tcPr>
          <w:p>
            <w:pPr>
              <w:pStyle w:val="TableParagraph"/>
              <w:spacing w:line="230" w:lineRule="exact"/>
              <w:ind w:left="67" w:right="116"/>
              <w:rPr>
                <w:sz w:val="20"/>
              </w:rPr>
            </w:pPr>
            <w:r>
              <w:rPr>
                <w:color w:val="FFFFFF"/>
                <w:sz w:val="20"/>
              </w:rPr>
              <w:t>Fase</w:t>
            </w:r>
            <w:r>
              <w:rPr>
                <w:color w:val="FFFFFF"/>
                <w:spacing w:val="-9"/>
                <w:sz w:val="20"/>
              </w:rPr>
              <w:t> </w:t>
            </w:r>
            <w:r>
              <w:rPr>
                <w:color w:val="FFFFFF"/>
                <w:sz w:val="20"/>
              </w:rPr>
              <w:t>del</w:t>
            </w:r>
            <w:r>
              <w:rPr>
                <w:color w:val="FFFFFF"/>
                <w:spacing w:val="-10"/>
                <w:sz w:val="20"/>
              </w:rPr>
              <w:t> </w:t>
            </w:r>
            <w:r>
              <w:rPr>
                <w:color w:val="FFFFFF"/>
                <w:sz w:val="20"/>
              </w:rPr>
              <w:t>proyecto</w:t>
            </w:r>
            <w:r>
              <w:rPr>
                <w:color w:val="FFFFFF"/>
                <w:spacing w:val="-7"/>
                <w:sz w:val="20"/>
              </w:rPr>
              <w:t> </w:t>
            </w:r>
            <w:r>
              <w:rPr>
                <w:color w:val="FFFFFF"/>
                <w:sz w:val="20"/>
              </w:rPr>
              <w:t>que</w:t>
            </w:r>
            <w:r>
              <w:rPr>
                <w:color w:val="FFFFFF"/>
                <w:spacing w:val="-9"/>
                <w:sz w:val="20"/>
              </w:rPr>
              <w:t> </w:t>
            </w:r>
            <w:r>
              <w:rPr>
                <w:color w:val="FFFFFF"/>
                <w:sz w:val="20"/>
              </w:rPr>
              <w:t>se</w:t>
            </w:r>
            <w:r>
              <w:rPr>
                <w:color w:val="FFFFFF"/>
                <w:spacing w:val="-9"/>
                <w:sz w:val="20"/>
              </w:rPr>
              <w:t> </w:t>
            </w:r>
            <w:r>
              <w:rPr>
                <w:color w:val="FFFFFF"/>
                <w:sz w:val="20"/>
              </w:rPr>
              <w:t>espera alcanzar durante el periodo </w:t>
            </w:r>
            <w:r>
              <w:rPr>
                <w:color w:val="FFFFFF"/>
                <w:spacing w:val="-2"/>
                <w:sz w:val="20"/>
              </w:rPr>
              <w:t>presupuestario:</w:t>
            </w:r>
          </w:p>
        </w:tc>
        <w:tc>
          <w:tcPr>
            <w:tcW w:w="6268" w:type="dxa"/>
          </w:tcPr>
          <w:p>
            <w:pPr>
              <w:pStyle w:val="TableParagraph"/>
              <w:spacing w:before="230"/>
              <w:ind w:left="69"/>
              <w:rPr>
                <w:sz w:val="20"/>
              </w:rPr>
            </w:pPr>
            <w:r>
              <w:rPr>
                <w:spacing w:val="-2"/>
                <w:sz w:val="20"/>
              </w:rPr>
              <w:t>Ejecución</w:t>
            </w:r>
          </w:p>
        </w:tc>
      </w:tr>
      <w:tr>
        <w:trPr>
          <w:trHeight w:val="688" w:hRule="atLeast"/>
        </w:trPr>
        <w:tc>
          <w:tcPr>
            <w:tcW w:w="3798" w:type="dxa"/>
            <w:shd w:val="clear" w:color="auto" w:fill="0A2F40"/>
          </w:tcPr>
          <w:p>
            <w:pPr>
              <w:pStyle w:val="TableParagraph"/>
              <w:spacing w:before="230"/>
              <w:ind w:left="67"/>
              <w:rPr>
                <w:sz w:val="20"/>
              </w:rPr>
            </w:pPr>
            <w:r>
              <w:rPr>
                <w:color w:val="FFFFFF"/>
                <w:sz w:val="20"/>
              </w:rPr>
              <w:t>Modalidad</w:t>
            </w:r>
            <w:r>
              <w:rPr>
                <w:color w:val="FFFFFF"/>
                <w:spacing w:val="-8"/>
                <w:sz w:val="20"/>
              </w:rPr>
              <w:t> </w:t>
            </w:r>
            <w:r>
              <w:rPr>
                <w:color w:val="FFFFFF"/>
                <w:sz w:val="20"/>
              </w:rPr>
              <w:t>de</w:t>
            </w:r>
            <w:r>
              <w:rPr>
                <w:color w:val="FFFFFF"/>
                <w:spacing w:val="-6"/>
                <w:sz w:val="20"/>
              </w:rPr>
              <w:t> </w:t>
            </w:r>
            <w:r>
              <w:rPr>
                <w:color w:val="FFFFFF"/>
                <w:sz w:val="20"/>
              </w:rPr>
              <w:t>ejecución</w:t>
            </w:r>
            <w:r>
              <w:rPr>
                <w:color w:val="FFFFFF"/>
                <w:spacing w:val="-8"/>
                <w:sz w:val="20"/>
              </w:rPr>
              <w:t> </w:t>
            </w:r>
            <w:r>
              <w:rPr>
                <w:color w:val="FFFFFF"/>
                <w:sz w:val="20"/>
              </w:rPr>
              <w:t>y</w:t>
            </w:r>
            <w:r>
              <w:rPr>
                <w:color w:val="FFFFFF"/>
                <w:spacing w:val="-6"/>
                <w:sz w:val="20"/>
              </w:rPr>
              <w:t> </w:t>
            </w:r>
            <w:r>
              <w:rPr>
                <w:color w:val="FFFFFF"/>
                <w:spacing w:val="-2"/>
                <w:sz w:val="20"/>
              </w:rPr>
              <w:t>financiamiento:</w:t>
            </w:r>
          </w:p>
        </w:tc>
        <w:tc>
          <w:tcPr>
            <w:tcW w:w="6268" w:type="dxa"/>
          </w:tcPr>
          <w:p>
            <w:pPr>
              <w:pStyle w:val="TableParagraph"/>
              <w:spacing w:before="230"/>
              <w:ind w:left="69"/>
              <w:rPr>
                <w:sz w:val="20"/>
              </w:rPr>
            </w:pPr>
            <w:r>
              <w:rPr>
                <w:sz w:val="20"/>
              </w:rPr>
              <w:t>Recursos</w:t>
            </w:r>
            <w:r>
              <w:rPr>
                <w:spacing w:val="-8"/>
                <w:sz w:val="20"/>
              </w:rPr>
              <w:t> </w:t>
            </w:r>
            <w:r>
              <w:rPr>
                <w:spacing w:val="-2"/>
                <w:sz w:val="20"/>
              </w:rPr>
              <w:t>Propios</w:t>
            </w:r>
          </w:p>
        </w:tc>
      </w:tr>
      <w:tr>
        <w:trPr>
          <w:trHeight w:val="690" w:hRule="atLeast"/>
        </w:trPr>
        <w:tc>
          <w:tcPr>
            <w:tcW w:w="3798" w:type="dxa"/>
            <w:shd w:val="clear" w:color="auto" w:fill="0A2F40"/>
          </w:tcPr>
          <w:p>
            <w:pPr>
              <w:pStyle w:val="TableParagraph"/>
              <w:spacing w:before="230"/>
              <w:ind w:left="67"/>
              <w:rPr>
                <w:sz w:val="20"/>
              </w:rPr>
            </w:pPr>
            <w:r>
              <w:rPr>
                <w:color w:val="FFFFFF"/>
                <w:spacing w:val="-2"/>
                <w:sz w:val="20"/>
              </w:rPr>
              <w:t>Presupuesto</w:t>
            </w:r>
            <w:r>
              <w:rPr>
                <w:color w:val="FFFFFF"/>
                <w:spacing w:val="5"/>
                <w:sz w:val="20"/>
              </w:rPr>
              <w:t> </w:t>
            </w:r>
            <w:r>
              <w:rPr>
                <w:color w:val="FFFFFF"/>
                <w:spacing w:val="-2"/>
                <w:sz w:val="20"/>
              </w:rPr>
              <w:t>total:</w:t>
            </w:r>
          </w:p>
        </w:tc>
        <w:tc>
          <w:tcPr>
            <w:tcW w:w="6268" w:type="dxa"/>
          </w:tcPr>
          <w:p>
            <w:pPr>
              <w:pStyle w:val="TableParagraph"/>
              <w:spacing w:before="230"/>
              <w:ind w:right="61"/>
              <w:jc w:val="right"/>
              <w:rPr>
                <w:sz w:val="20"/>
              </w:rPr>
            </w:pPr>
            <w:r>
              <w:rPr>
                <w:sz w:val="20"/>
              </w:rPr>
              <w:t>₡</w:t>
            </w:r>
            <w:r>
              <w:rPr>
                <w:spacing w:val="-5"/>
                <w:sz w:val="20"/>
              </w:rPr>
              <w:t> </w:t>
            </w:r>
            <w:r>
              <w:rPr>
                <w:sz w:val="20"/>
              </w:rPr>
              <w:t>462</w:t>
            </w:r>
            <w:r>
              <w:rPr>
                <w:spacing w:val="-3"/>
                <w:sz w:val="20"/>
              </w:rPr>
              <w:t> </w:t>
            </w:r>
            <w:r>
              <w:rPr>
                <w:sz w:val="20"/>
              </w:rPr>
              <w:t>786</w:t>
            </w:r>
            <w:r>
              <w:rPr>
                <w:spacing w:val="-3"/>
                <w:sz w:val="20"/>
              </w:rPr>
              <w:t> </w:t>
            </w:r>
            <w:r>
              <w:rPr>
                <w:spacing w:val="-2"/>
                <w:sz w:val="20"/>
              </w:rPr>
              <w:t>660,00</w:t>
            </w:r>
          </w:p>
        </w:tc>
      </w:tr>
      <w:tr>
        <w:trPr>
          <w:trHeight w:val="690" w:hRule="atLeast"/>
        </w:trPr>
        <w:tc>
          <w:tcPr>
            <w:tcW w:w="3798" w:type="dxa"/>
            <w:shd w:val="clear" w:color="auto" w:fill="0A2F40"/>
          </w:tcPr>
          <w:p>
            <w:pPr>
              <w:pStyle w:val="TableParagraph"/>
              <w:spacing w:before="230"/>
              <w:ind w:left="67"/>
              <w:rPr>
                <w:sz w:val="20"/>
              </w:rPr>
            </w:pPr>
            <w:r>
              <w:rPr>
                <w:color w:val="FFFFFF"/>
                <w:sz w:val="20"/>
              </w:rPr>
              <w:t>Plazo</w:t>
            </w:r>
            <w:r>
              <w:rPr>
                <w:color w:val="FFFFFF"/>
                <w:spacing w:val="-6"/>
                <w:sz w:val="20"/>
              </w:rPr>
              <w:t> </w:t>
            </w:r>
            <w:r>
              <w:rPr>
                <w:color w:val="FFFFFF"/>
                <w:sz w:val="20"/>
              </w:rPr>
              <w:t>estimado</w:t>
            </w:r>
            <w:r>
              <w:rPr>
                <w:color w:val="FFFFFF"/>
                <w:spacing w:val="-7"/>
                <w:sz w:val="20"/>
              </w:rPr>
              <w:t> </w:t>
            </w:r>
            <w:r>
              <w:rPr>
                <w:color w:val="FFFFFF"/>
                <w:sz w:val="20"/>
              </w:rPr>
              <w:t>para</w:t>
            </w:r>
            <w:r>
              <w:rPr>
                <w:color w:val="FFFFFF"/>
                <w:spacing w:val="-7"/>
                <w:sz w:val="20"/>
              </w:rPr>
              <w:t> </w:t>
            </w:r>
            <w:r>
              <w:rPr>
                <w:color w:val="FFFFFF"/>
                <w:sz w:val="20"/>
              </w:rPr>
              <w:t>su</w:t>
            </w:r>
            <w:r>
              <w:rPr>
                <w:color w:val="FFFFFF"/>
                <w:spacing w:val="-7"/>
                <w:sz w:val="20"/>
              </w:rPr>
              <w:t> </w:t>
            </w:r>
            <w:r>
              <w:rPr>
                <w:color w:val="FFFFFF"/>
                <w:spacing w:val="-2"/>
                <w:sz w:val="20"/>
              </w:rPr>
              <w:t>ejecución:</w:t>
            </w:r>
          </w:p>
        </w:tc>
        <w:tc>
          <w:tcPr>
            <w:tcW w:w="6268" w:type="dxa"/>
          </w:tcPr>
          <w:p>
            <w:pPr>
              <w:pStyle w:val="TableParagraph"/>
              <w:spacing w:before="230"/>
              <w:ind w:right="61"/>
              <w:jc w:val="right"/>
              <w:rPr>
                <w:sz w:val="20"/>
              </w:rPr>
            </w:pPr>
            <w:r>
              <w:rPr>
                <w:spacing w:val="-2"/>
                <w:sz w:val="20"/>
              </w:rPr>
              <w:t>27/5/2027</w:t>
            </w:r>
          </w:p>
        </w:tc>
      </w:tr>
      <w:tr>
        <w:trPr>
          <w:trHeight w:val="688" w:hRule="atLeast"/>
        </w:trPr>
        <w:tc>
          <w:tcPr>
            <w:tcW w:w="3798" w:type="dxa"/>
            <w:shd w:val="clear" w:color="auto" w:fill="0A2F40"/>
          </w:tcPr>
          <w:p>
            <w:pPr>
              <w:pStyle w:val="TableParagraph"/>
              <w:rPr>
                <w:b/>
                <w:sz w:val="20"/>
              </w:rPr>
            </w:pPr>
          </w:p>
          <w:p>
            <w:pPr>
              <w:pStyle w:val="TableParagraph"/>
              <w:ind w:left="67"/>
              <w:rPr>
                <w:sz w:val="20"/>
              </w:rPr>
            </w:pPr>
            <w:r>
              <w:rPr>
                <w:color w:val="FFFFFF"/>
                <w:sz w:val="20"/>
              </w:rPr>
              <w:t>Monto</w:t>
            </w:r>
            <w:r>
              <w:rPr>
                <w:color w:val="FFFFFF"/>
                <w:spacing w:val="-7"/>
                <w:sz w:val="20"/>
              </w:rPr>
              <w:t> </w:t>
            </w:r>
            <w:r>
              <w:rPr>
                <w:color w:val="FFFFFF"/>
                <w:sz w:val="20"/>
              </w:rPr>
              <w:t>total</w:t>
            </w:r>
            <w:r>
              <w:rPr>
                <w:color w:val="FFFFFF"/>
                <w:spacing w:val="-5"/>
                <w:sz w:val="20"/>
              </w:rPr>
              <w:t> </w:t>
            </w:r>
            <w:r>
              <w:rPr>
                <w:color w:val="FFFFFF"/>
                <w:sz w:val="20"/>
              </w:rPr>
              <w:t>estimado</w:t>
            </w:r>
            <w:r>
              <w:rPr>
                <w:color w:val="FFFFFF"/>
                <w:spacing w:val="-7"/>
                <w:sz w:val="20"/>
              </w:rPr>
              <w:t> </w:t>
            </w:r>
            <w:r>
              <w:rPr>
                <w:color w:val="FFFFFF"/>
                <w:sz w:val="20"/>
              </w:rPr>
              <w:t>en</w:t>
            </w:r>
            <w:r>
              <w:rPr>
                <w:color w:val="FFFFFF"/>
                <w:spacing w:val="-4"/>
                <w:sz w:val="20"/>
              </w:rPr>
              <w:t> </w:t>
            </w:r>
            <w:r>
              <w:rPr>
                <w:color w:val="FFFFFF"/>
                <w:sz w:val="20"/>
              </w:rPr>
              <w:t>el</w:t>
            </w:r>
            <w:r>
              <w:rPr>
                <w:color w:val="FFFFFF"/>
                <w:spacing w:val="-4"/>
                <w:sz w:val="20"/>
              </w:rPr>
              <w:t> </w:t>
            </w:r>
            <w:r>
              <w:rPr>
                <w:color w:val="FFFFFF"/>
                <w:spacing w:val="-2"/>
                <w:sz w:val="20"/>
              </w:rPr>
              <w:t>presupuesto:</w:t>
            </w:r>
          </w:p>
        </w:tc>
        <w:tc>
          <w:tcPr>
            <w:tcW w:w="6268" w:type="dxa"/>
          </w:tcPr>
          <w:p>
            <w:pPr>
              <w:pStyle w:val="TableParagraph"/>
              <w:rPr>
                <w:b/>
                <w:sz w:val="20"/>
              </w:rPr>
            </w:pPr>
          </w:p>
          <w:p>
            <w:pPr>
              <w:pStyle w:val="TableParagraph"/>
              <w:ind w:right="61"/>
              <w:jc w:val="right"/>
              <w:rPr>
                <w:sz w:val="20"/>
              </w:rPr>
            </w:pPr>
            <w:r>
              <w:rPr>
                <w:sz w:val="20"/>
              </w:rPr>
              <w:t>₡</w:t>
            </w:r>
            <w:r>
              <w:rPr>
                <w:spacing w:val="-4"/>
                <w:sz w:val="20"/>
              </w:rPr>
              <w:t> </w:t>
            </w:r>
            <w:r>
              <w:rPr>
                <w:sz w:val="20"/>
              </w:rPr>
              <w:t>230</w:t>
            </w:r>
            <w:r>
              <w:rPr>
                <w:spacing w:val="-4"/>
                <w:sz w:val="20"/>
              </w:rPr>
              <w:t> </w:t>
            </w:r>
            <w:r>
              <w:rPr>
                <w:sz w:val="20"/>
              </w:rPr>
              <w:t>613</w:t>
            </w:r>
            <w:r>
              <w:rPr>
                <w:spacing w:val="-5"/>
                <w:sz w:val="20"/>
              </w:rPr>
              <w:t> </w:t>
            </w:r>
            <w:r>
              <w:rPr>
                <w:spacing w:val="-2"/>
                <w:sz w:val="20"/>
              </w:rPr>
              <w:t>280,00</w:t>
            </w:r>
          </w:p>
        </w:tc>
      </w:tr>
      <w:tr>
        <w:trPr>
          <w:trHeight w:val="690" w:hRule="atLeast"/>
        </w:trPr>
        <w:tc>
          <w:tcPr>
            <w:tcW w:w="3798" w:type="dxa"/>
            <w:shd w:val="clear" w:color="auto" w:fill="0A2F40"/>
          </w:tcPr>
          <w:p>
            <w:pPr>
              <w:pStyle w:val="TableParagraph"/>
              <w:spacing w:before="114"/>
              <w:ind w:left="67"/>
              <w:rPr>
                <w:sz w:val="20"/>
              </w:rPr>
            </w:pPr>
            <w:r>
              <w:rPr>
                <w:color w:val="FFFFFF"/>
                <w:sz w:val="20"/>
              </w:rPr>
              <w:t>Meta</w:t>
            </w:r>
            <w:r>
              <w:rPr>
                <w:color w:val="FFFFFF"/>
                <w:spacing w:val="-8"/>
                <w:sz w:val="20"/>
              </w:rPr>
              <w:t> </w:t>
            </w:r>
            <w:r>
              <w:rPr>
                <w:color w:val="FFFFFF"/>
                <w:sz w:val="20"/>
              </w:rPr>
              <w:t>anual</w:t>
            </w:r>
            <w:r>
              <w:rPr>
                <w:color w:val="FFFFFF"/>
                <w:spacing w:val="-9"/>
                <w:sz w:val="20"/>
              </w:rPr>
              <w:t> </w:t>
            </w:r>
            <w:r>
              <w:rPr>
                <w:color w:val="FFFFFF"/>
                <w:sz w:val="20"/>
              </w:rPr>
              <w:t>que</w:t>
            </w:r>
            <w:r>
              <w:rPr>
                <w:color w:val="FFFFFF"/>
                <w:spacing w:val="-10"/>
                <w:sz w:val="20"/>
              </w:rPr>
              <w:t> </w:t>
            </w:r>
            <w:r>
              <w:rPr>
                <w:color w:val="FFFFFF"/>
                <w:sz w:val="20"/>
              </w:rPr>
              <w:t>se</w:t>
            </w:r>
            <w:r>
              <w:rPr>
                <w:color w:val="FFFFFF"/>
                <w:spacing w:val="-10"/>
                <w:sz w:val="20"/>
              </w:rPr>
              <w:t> </w:t>
            </w:r>
            <w:r>
              <w:rPr>
                <w:color w:val="FFFFFF"/>
                <w:sz w:val="20"/>
              </w:rPr>
              <w:t>espera</w:t>
            </w:r>
            <w:r>
              <w:rPr>
                <w:color w:val="FFFFFF"/>
                <w:spacing w:val="-8"/>
                <w:sz w:val="20"/>
              </w:rPr>
              <w:t> </w:t>
            </w:r>
            <w:r>
              <w:rPr>
                <w:color w:val="FFFFFF"/>
                <w:sz w:val="20"/>
              </w:rPr>
              <w:t>alcanzar durante el periodo presupuestario:</w:t>
            </w:r>
          </w:p>
        </w:tc>
        <w:tc>
          <w:tcPr>
            <w:tcW w:w="6268" w:type="dxa"/>
          </w:tcPr>
          <w:p>
            <w:pPr>
              <w:pStyle w:val="TableParagraph"/>
              <w:spacing w:before="230"/>
              <w:ind w:right="61"/>
              <w:jc w:val="right"/>
              <w:rPr>
                <w:sz w:val="20"/>
              </w:rPr>
            </w:pPr>
            <w:r>
              <w:rPr>
                <w:spacing w:val="-4"/>
                <w:sz w:val="20"/>
              </w:rPr>
              <w:t>100%</w:t>
            </w:r>
          </w:p>
        </w:tc>
      </w:tr>
      <w:tr>
        <w:trPr>
          <w:trHeight w:val="690" w:hRule="atLeast"/>
        </w:trPr>
        <w:tc>
          <w:tcPr>
            <w:tcW w:w="3798" w:type="dxa"/>
            <w:shd w:val="clear" w:color="auto" w:fill="0A2F40"/>
          </w:tcPr>
          <w:p>
            <w:pPr>
              <w:pStyle w:val="TableParagraph"/>
              <w:spacing w:before="230"/>
              <w:ind w:left="67"/>
              <w:rPr>
                <w:sz w:val="20"/>
              </w:rPr>
            </w:pPr>
            <w:r>
              <w:rPr>
                <w:color w:val="FFFFFF"/>
                <w:sz w:val="20"/>
              </w:rPr>
              <w:t>Unidad</w:t>
            </w:r>
            <w:r>
              <w:rPr>
                <w:color w:val="FFFFFF"/>
                <w:spacing w:val="-11"/>
                <w:sz w:val="20"/>
              </w:rPr>
              <w:t> </w:t>
            </w:r>
            <w:r>
              <w:rPr>
                <w:color w:val="FFFFFF"/>
                <w:sz w:val="20"/>
              </w:rPr>
              <w:t>responsable</w:t>
            </w:r>
            <w:r>
              <w:rPr>
                <w:color w:val="FFFFFF"/>
                <w:spacing w:val="-8"/>
                <w:sz w:val="20"/>
              </w:rPr>
              <w:t> </w:t>
            </w:r>
            <w:r>
              <w:rPr>
                <w:color w:val="FFFFFF"/>
                <w:sz w:val="20"/>
              </w:rPr>
              <w:t>del</w:t>
            </w:r>
            <w:r>
              <w:rPr>
                <w:color w:val="FFFFFF"/>
                <w:spacing w:val="-10"/>
                <w:sz w:val="20"/>
              </w:rPr>
              <w:t> </w:t>
            </w:r>
            <w:r>
              <w:rPr>
                <w:color w:val="FFFFFF"/>
                <w:spacing w:val="-2"/>
                <w:sz w:val="20"/>
              </w:rPr>
              <w:t>proyecto:</w:t>
            </w:r>
          </w:p>
        </w:tc>
        <w:tc>
          <w:tcPr>
            <w:tcW w:w="6268" w:type="dxa"/>
          </w:tcPr>
          <w:p>
            <w:pPr>
              <w:pStyle w:val="TableParagraph"/>
              <w:spacing w:before="230"/>
              <w:ind w:left="69"/>
              <w:rPr>
                <w:sz w:val="20"/>
              </w:rPr>
            </w:pPr>
            <w:r>
              <w:rPr>
                <w:spacing w:val="-2"/>
                <w:sz w:val="20"/>
              </w:rPr>
              <w:t>Departamento</w:t>
            </w:r>
            <w:r>
              <w:rPr>
                <w:spacing w:val="5"/>
                <w:sz w:val="20"/>
              </w:rPr>
              <w:t> </w:t>
            </w:r>
            <w:r>
              <w:rPr>
                <w:spacing w:val="-2"/>
                <w:sz w:val="20"/>
              </w:rPr>
              <w:t>de</w:t>
            </w:r>
            <w:r>
              <w:rPr>
                <w:spacing w:val="5"/>
                <w:sz w:val="20"/>
              </w:rPr>
              <w:t> </w:t>
            </w:r>
            <w:r>
              <w:rPr>
                <w:spacing w:val="-2"/>
                <w:sz w:val="20"/>
              </w:rPr>
              <w:t>Administración</w:t>
            </w:r>
            <w:r>
              <w:rPr>
                <w:spacing w:val="3"/>
                <w:sz w:val="20"/>
              </w:rPr>
              <w:t> </w:t>
            </w:r>
            <w:r>
              <w:rPr>
                <w:spacing w:val="-2"/>
                <w:sz w:val="20"/>
              </w:rPr>
              <w:t>Financiera</w:t>
            </w:r>
          </w:p>
        </w:tc>
      </w:tr>
    </w:tbl>
    <w:sectPr>
      <w:pgSz w:w="12240" w:h="15840"/>
      <w:pgMar w:header="0" w:footer="2404" w:top="1820" w:bottom="260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ambria">
    <w:altName w:val="Cambria"/>
    <w:charset w:val="0"/>
    <w:family w:val="roman"/>
    <w:pitch w:val="variable"/>
  </w:font>
  <w:font w:name="Courier New">
    <w:altName w:val="Courier New"/>
    <w:charset w:val="0"/>
    <w:family w:val="modern"/>
    <w:pitch w:val="fixed"/>
  </w:font>
  <w:font w:name="Symbol">
    <w:altName w:val="Symbol"/>
    <w:charset w:val="2"/>
    <w:family w:val="roman"/>
    <w:pitch w:val="variable"/>
  </w:font>
  <w:font w:name="Wingdings">
    <w:altName w:val="Wingdings"/>
    <w:charset w:val="2"/>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5330560">
              <wp:simplePos x="0" y="0"/>
              <wp:positionH relativeFrom="page">
                <wp:posOffset>1080820</wp:posOffset>
              </wp:positionH>
              <wp:positionV relativeFrom="page">
                <wp:posOffset>8880055</wp:posOffset>
              </wp:positionV>
              <wp:extent cx="5614035" cy="55499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5614035" cy="554990"/>
                      </a:xfrm>
                      <a:custGeom>
                        <a:avLst/>
                        <a:gdLst/>
                        <a:ahLst/>
                        <a:cxnLst/>
                        <a:rect l="l" t="t" r="r" b="b"/>
                        <a:pathLst>
                          <a:path w="5614035" h="554990">
                            <a:moveTo>
                              <a:pt x="595833" y="28956"/>
                            </a:moveTo>
                            <a:lnTo>
                              <a:pt x="568401" y="28956"/>
                            </a:lnTo>
                            <a:lnTo>
                              <a:pt x="568401" y="554723"/>
                            </a:lnTo>
                            <a:lnTo>
                              <a:pt x="595833" y="554723"/>
                            </a:lnTo>
                            <a:lnTo>
                              <a:pt x="595833" y="28956"/>
                            </a:lnTo>
                            <a:close/>
                          </a:path>
                          <a:path w="5614035" h="554990">
                            <a:moveTo>
                              <a:pt x="5613730" y="0"/>
                            </a:moveTo>
                            <a:lnTo>
                              <a:pt x="595833" y="0"/>
                            </a:lnTo>
                            <a:lnTo>
                              <a:pt x="568452" y="0"/>
                            </a:lnTo>
                            <a:lnTo>
                              <a:pt x="0" y="0"/>
                            </a:lnTo>
                            <a:lnTo>
                              <a:pt x="0" y="27419"/>
                            </a:lnTo>
                            <a:lnTo>
                              <a:pt x="568401" y="27419"/>
                            </a:lnTo>
                            <a:lnTo>
                              <a:pt x="568401" y="28943"/>
                            </a:lnTo>
                            <a:lnTo>
                              <a:pt x="595833" y="28943"/>
                            </a:lnTo>
                            <a:lnTo>
                              <a:pt x="595833" y="27419"/>
                            </a:lnTo>
                            <a:lnTo>
                              <a:pt x="5613730" y="27419"/>
                            </a:lnTo>
                            <a:lnTo>
                              <a:pt x="5613730"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85.104004pt;margin-top:699.21698pt;width:442.05pt;height:43.7pt;mso-position-horizontal-relative:page;mso-position-vertical-relative:page;z-index:-27985920" id="docshape7" coordorigin="1702,13984" coordsize="8841,874" path="m2640,14030l2597,14030,2597,14858,2640,14858,2640,14030xm10543,13984l2640,13984,2597,13984,2597,13984,1702,13984,1702,14028,2597,14028,2597,14030,2640,14030,2640,14028,10543,14028,10543,13984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5331072">
              <wp:simplePos x="0" y="0"/>
              <wp:positionH relativeFrom="page">
                <wp:posOffset>1111300</wp:posOffset>
              </wp:positionH>
              <wp:positionV relativeFrom="page">
                <wp:posOffset>8901591</wp:posOffset>
              </wp:positionV>
              <wp:extent cx="179070" cy="19621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7907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 roman </w:instrText>
                          </w:r>
                          <w:r>
                            <w:rPr>
                              <w:b/>
                              <w:spacing w:val="-5"/>
                              <w:sz w:val="24"/>
                            </w:rPr>
                            <w:fldChar w:fldCharType="separate"/>
                          </w:r>
                          <w:r>
                            <w:rPr>
                              <w:b/>
                              <w:spacing w:val="-5"/>
                              <w:sz w:val="24"/>
                            </w:rPr>
                            <w:t>iii</w:t>
                          </w:r>
                          <w:r>
                            <w:rPr>
                              <w:b/>
                              <w:spacing w:val="-5"/>
                              <w:sz w:val="24"/>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7.503998pt;margin-top:700.91272pt;width:14.1pt;height:15.45pt;mso-position-horizontal-relative:page;mso-position-vertical-relative:page;z-index:-27985408" type="#_x0000_t202" id="docshape8"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 roman </w:instrText>
                    </w:r>
                    <w:r>
                      <w:rPr>
                        <w:b/>
                        <w:spacing w:val="-5"/>
                        <w:sz w:val="24"/>
                      </w:rPr>
                      <w:fldChar w:fldCharType="separate"/>
                    </w:r>
                    <w:r>
                      <w:rPr>
                        <w:b/>
                        <w:spacing w:val="-5"/>
                        <w:sz w:val="24"/>
                      </w:rPr>
                      <w:t>iii</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5331584">
              <wp:simplePos x="0" y="0"/>
              <wp:positionH relativeFrom="page">
                <wp:posOffset>1717294</wp:posOffset>
              </wp:positionH>
              <wp:positionV relativeFrom="page">
                <wp:posOffset>8901591</wp:posOffset>
              </wp:positionV>
              <wp:extent cx="2898775" cy="196215"/>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a:graphicData>
              </a:graphic>
            </wp:anchor>
          </w:drawing>
        </mc:Choice>
        <mc:Fallback>
          <w:pict>
            <v:shape style="position:absolute;margin-left:135.220001pt;margin-top:700.91272pt;width:228.25pt;height:15.45pt;mso-position-horizontal-relative:page;mso-position-vertical-relative:page;z-index:-27984896" type="#_x0000_t202" id="docshape9"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5330560">
              <wp:simplePos x="0" y="0"/>
              <wp:positionH relativeFrom="page">
                <wp:posOffset>1080820</wp:posOffset>
              </wp:positionH>
              <wp:positionV relativeFrom="page">
                <wp:posOffset>8880055</wp:posOffset>
              </wp:positionV>
              <wp:extent cx="5614035" cy="55499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5614035" cy="554990"/>
                      </a:xfrm>
                      <a:custGeom>
                        <a:avLst/>
                        <a:gdLst/>
                        <a:ahLst/>
                        <a:cxnLst/>
                        <a:rect l="l" t="t" r="r" b="b"/>
                        <a:pathLst>
                          <a:path w="5614035" h="554990">
                            <a:moveTo>
                              <a:pt x="595833" y="28956"/>
                            </a:moveTo>
                            <a:lnTo>
                              <a:pt x="568401" y="28956"/>
                            </a:lnTo>
                            <a:lnTo>
                              <a:pt x="568401" y="554723"/>
                            </a:lnTo>
                            <a:lnTo>
                              <a:pt x="595833" y="554723"/>
                            </a:lnTo>
                            <a:lnTo>
                              <a:pt x="595833" y="28956"/>
                            </a:lnTo>
                            <a:close/>
                          </a:path>
                          <a:path w="5614035" h="554990">
                            <a:moveTo>
                              <a:pt x="5613730" y="0"/>
                            </a:moveTo>
                            <a:lnTo>
                              <a:pt x="595833" y="0"/>
                            </a:lnTo>
                            <a:lnTo>
                              <a:pt x="568452" y="0"/>
                            </a:lnTo>
                            <a:lnTo>
                              <a:pt x="0" y="0"/>
                            </a:lnTo>
                            <a:lnTo>
                              <a:pt x="0" y="27419"/>
                            </a:lnTo>
                            <a:lnTo>
                              <a:pt x="568401" y="27419"/>
                            </a:lnTo>
                            <a:lnTo>
                              <a:pt x="568401" y="28943"/>
                            </a:lnTo>
                            <a:lnTo>
                              <a:pt x="595833" y="28943"/>
                            </a:lnTo>
                            <a:lnTo>
                              <a:pt x="595833" y="27419"/>
                            </a:lnTo>
                            <a:lnTo>
                              <a:pt x="5613730" y="27419"/>
                            </a:lnTo>
                            <a:lnTo>
                              <a:pt x="5613730"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85.104004pt;margin-top:699.21698pt;width:442.05pt;height:43.7pt;mso-position-horizontal-relative:page;mso-position-vertical-relative:page;z-index:-27985920" id="docshape10" coordorigin="1702,13984" coordsize="8841,874" path="m2640,14030l2597,14030,2597,14858,2640,14858,2640,14030xm10543,13984l2640,13984,2597,13984,2597,13984,1702,13984,1702,14028,2597,14028,2597,14030,2640,14030,2640,14028,10543,14028,10543,13984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5331072">
              <wp:simplePos x="0" y="0"/>
              <wp:positionH relativeFrom="page">
                <wp:posOffset>1111300</wp:posOffset>
              </wp:positionH>
              <wp:positionV relativeFrom="page">
                <wp:posOffset>8901591</wp:posOffset>
              </wp:positionV>
              <wp:extent cx="179070" cy="19621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7907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 roman </w:instrText>
                          </w:r>
                          <w:r>
                            <w:rPr>
                              <w:b/>
                              <w:spacing w:val="-5"/>
                              <w:sz w:val="24"/>
                            </w:rPr>
                            <w:fldChar w:fldCharType="separate"/>
                          </w:r>
                          <w:r>
                            <w:rPr>
                              <w:b/>
                              <w:spacing w:val="-5"/>
                              <w:sz w:val="24"/>
                            </w:rPr>
                            <w:t>iii</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87.503998pt;margin-top:700.91272pt;width:14.1pt;height:15.45pt;mso-position-horizontal-relative:page;mso-position-vertical-relative:page;z-index:-27985408" type="#_x0000_t202" id="docshape11"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 roman </w:instrText>
                    </w:r>
                    <w:r>
                      <w:rPr>
                        <w:b/>
                        <w:spacing w:val="-5"/>
                        <w:sz w:val="24"/>
                      </w:rPr>
                      <w:fldChar w:fldCharType="separate"/>
                    </w:r>
                    <w:r>
                      <w:rPr>
                        <w:b/>
                        <w:spacing w:val="-5"/>
                        <w:sz w:val="24"/>
                      </w:rPr>
                      <w:t>iii</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5331584">
              <wp:simplePos x="0" y="0"/>
              <wp:positionH relativeFrom="page">
                <wp:posOffset>1717294</wp:posOffset>
              </wp:positionH>
              <wp:positionV relativeFrom="page">
                <wp:posOffset>8901591</wp:posOffset>
              </wp:positionV>
              <wp:extent cx="2898775" cy="19621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a:graphicData>
              </a:graphic>
            </wp:anchor>
          </w:drawing>
        </mc:Choice>
        <mc:Fallback>
          <w:pict>
            <v:shape style="position:absolute;margin-left:135.220001pt;margin-top:700.91272pt;width:228.25pt;height:15.45pt;mso-position-horizontal-relative:page;mso-position-vertical-relative:page;z-index:-27984896" type="#_x0000_t202" id="docshape12"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5332096">
              <wp:simplePos x="0" y="0"/>
              <wp:positionH relativeFrom="page">
                <wp:posOffset>1260652</wp:posOffset>
              </wp:positionH>
              <wp:positionV relativeFrom="page">
                <wp:posOffset>8880055</wp:posOffset>
              </wp:positionV>
              <wp:extent cx="5614035" cy="55499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5614035" cy="554990"/>
                      </a:xfrm>
                      <a:custGeom>
                        <a:avLst/>
                        <a:gdLst/>
                        <a:ahLst/>
                        <a:cxnLst/>
                        <a:rect l="l" t="t" r="r" b="b"/>
                        <a:pathLst>
                          <a:path w="5614035" h="554990">
                            <a:moveTo>
                              <a:pt x="595833" y="28956"/>
                            </a:moveTo>
                            <a:lnTo>
                              <a:pt x="568401" y="28956"/>
                            </a:lnTo>
                            <a:lnTo>
                              <a:pt x="568401" y="554723"/>
                            </a:lnTo>
                            <a:lnTo>
                              <a:pt x="595833" y="554723"/>
                            </a:lnTo>
                            <a:lnTo>
                              <a:pt x="595833" y="28956"/>
                            </a:lnTo>
                            <a:close/>
                          </a:path>
                          <a:path w="5614035" h="554990">
                            <a:moveTo>
                              <a:pt x="5613730" y="0"/>
                            </a:moveTo>
                            <a:lnTo>
                              <a:pt x="595833" y="0"/>
                            </a:lnTo>
                            <a:lnTo>
                              <a:pt x="568452" y="0"/>
                            </a:lnTo>
                            <a:lnTo>
                              <a:pt x="0" y="0"/>
                            </a:lnTo>
                            <a:lnTo>
                              <a:pt x="0" y="27419"/>
                            </a:lnTo>
                            <a:lnTo>
                              <a:pt x="568401" y="27419"/>
                            </a:lnTo>
                            <a:lnTo>
                              <a:pt x="568401" y="28943"/>
                            </a:lnTo>
                            <a:lnTo>
                              <a:pt x="595833" y="28943"/>
                            </a:lnTo>
                            <a:lnTo>
                              <a:pt x="595833" y="27419"/>
                            </a:lnTo>
                            <a:lnTo>
                              <a:pt x="5613730" y="27419"/>
                            </a:lnTo>
                            <a:lnTo>
                              <a:pt x="5613730"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99.264008pt;margin-top:699.21698pt;width:442.05pt;height:43.7pt;mso-position-horizontal-relative:page;mso-position-vertical-relative:page;z-index:-27984384" id="docshape13" coordorigin="1985,13984" coordsize="8841,874" path="m2924,14030l2880,14030,2880,14858,2924,14858,2924,14030xm10826,13984l2924,13984,2880,13984,2880,13984,1985,13984,1985,14028,2880,14028,2880,14030,2924,14030,2924,14028,10826,14028,10826,13984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5332608">
              <wp:simplePos x="0" y="0"/>
              <wp:positionH relativeFrom="page">
                <wp:posOffset>1291082</wp:posOffset>
              </wp:positionH>
              <wp:positionV relativeFrom="page">
                <wp:posOffset>8901591</wp:posOffset>
              </wp:positionV>
              <wp:extent cx="307340" cy="19621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3073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100</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101.660004pt;margin-top:700.91272pt;width:24.2pt;height:15.45pt;mso-position-horizontal-relative:page;mso-position-vertical-relative:page;z-index:-27983872" type="#_x0000_t202" id="docshape14"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100</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5333120">
              <wp:simplePos x="0" y="0"/>
              <wp:positionH relativeFrom="page">
                <wp:posOffset>1898650</wp:posOffset>
              </wp:positionH>
              <wp:positionV relativeFrom="page">
                <wp:posOffset>8901591</wp:posOffset>
              </wp:positionV>
              <wp:extent cx="2898775" cy="196215"/>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a:graphicData>
              </a:graphic>
            </wp:anchor>
          </w:drawing>
        </mc:Choice>
        <mc:Fallback>
          <w:pict>
            <v:shape style="position:absolute;margin-left:149.5pt;margin-top:700.91272pt;width:228.25pt;height:15.45pt;mso-position-horizontal-relative:page;mso-position-vertical-relative:page;z-index:-27983360" type="#_x0000_t202" id="docshape15"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5333632">
              <wp:simplePos x="0" y="0"/>
              <wp:positionH relativeFrom="page">
                <wp:posOffset>900684</wp:posOffset>
              </wp:positionH>
              <wp:positionV relativeFrom="page">
                <wp:posOffset>6418833</wp:posOffset>
              </wp:positionV>
              <wp:extent cx="8258175" cy="730250"/>
              <wp:effectExtent l="0" t="0" r="0" b="0"/>
              <wp:wrapNone/>
              <wp:docPr id="80" name="Graphic 80"/>
              <wp:cNvGraphicFramePr>
                <a:graphicFrameLocks/>
              </wp:cNvGraphicFramePr>
              <a:graphic>
                <a:graphicData uri="http://schemas.microsoft.com/office/word/2010/wordprocessingShape">
                  <wps:wsp>
                    <wps:cNvPr id="80" name="Graphic 80"/>
                    <wps:cNvSpPr/>
                    <wps:spPr>
                      <a:xfrm>
                        <a:off x="0" y="0"/>
                        <a:ext cx="8258175" cy="730250"/>
                      </a:xfrm>
                      <a:custGeom>
                        <a:avLst/>
                        <a:gdLst/>
                        <a:ahLst/>
                        <a:cxnLst/>
                        <a:rect l="l" t="t" r="r" b="b"/>
                        <a:pathLst>
                          <a:path w="8258175" h="730250">
                            <a:moveTo>
                              <a:pt x="8258175" y="0"/>
                            </a:moveTo>
                            <a:lnTo>
                              <a:pt x="870458" y="0"/>
                            </a:lnTo>
                            <a:lnTo>
                              <a:pt x="843076" y="0"/>
                            </a:lnTo>
                            <a:lnTo>
                              <a:pt x="0" y="0"/>
                            </a:lnTo>
                            <a:lnTo>
                              <a:pt x="0" y="27432"/>
                            </a:lnTo>
                            <a:lnTo>
                              <a:pt x="843026" y="27432"/>
                            </a:lnTo>
                            <a:lnTo>
                              <a:pt x="843026" y="28905"/>
                            </a:lnTo>
                            <a:lnTo>
                              <a:pt x="843026" y="729945"/>
                            </a:lnTo>
                            <a:lnTo>
                              <a:pt x="870458" y="729945"/>
                            </a:lnTo>
                            <a:lnTo>
                              <a:pt x="870458" y="28956"/>
                            </a:lnTo>
                            <a:lnTo>
                              <a:pt x="870458" y="27432"/>
                            </a:lnTo>
                            <a:lnTo>
                              <a:pt x="8258175" y="27432"/>
                            </a:lnTo>
                            <a:lnTo>
                              <a:pt x="825817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0.920006pt;margin-top:505.419983pt;width:650.25pt;height:57.5pt;mso-position-horizontal-relative:page;mso-position-vertical-relative:page;z-index:-27982848" id="docshape60" coordorigin="1418,10108" coordsize="13005,1150" path="m14423,10108l2789,10108,2746,10108,1418,10108,1418,10152,2746,10152,2746,10154,2746,11258,2789,11258,2789,10154,2789,10152,14423,10152,14423,10108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5334144">
              <wp:simplePos x="0" y="0"/>
              <wp:positionH relativeFrom="page">
                <wp:posOffset>931163</wp:posOffset>
              </wp:positionH>
              <wp:positionV relativeFrom="page">
                <wp:posOffset>6440331</wp:posOffset>
              </wp:positionV>
              <wp:extent cx="345440" cy="196215"/>
              <wp:effectExtent l="0" t="0" r="0" b="0"/>
              <wp:wrapNone/>
              <wp:docPr id="81" name="Textbox 81"/>
              <wp:cNvGraphicFramePr>
                <a:graphicFrameLocks/>
              </wp:cNvGraphicFramePr>
              <a:graphic>
                <a:graphicData uri="http://schemas.microsoft.com/office/word/2010/wordprocessingShape">
                  <wps:wsp>
                    <wps:cNvPr id="81" name="Textbox 81"/>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105</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73.320pt;margin-top:507.112732pt;width:27.2pt;height:15.45pt;mso-position-horizontal-relative:page;mso-position-vertical-relative:page;z-index:-27982336" type="#_x0000_t202" id="docshape61"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105</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5334656">
              <wp:simplePos x="0" y="0"/>
              <wp:positionH relativeFrom="page">
                <wp:posOffset>1811782</wp:posOffset>
              </wp:positionH>
              <wp:positionV relativeFrom="page">
                <wp:posOffset>6440331</wp:posOffset>
              </wp:positionV>
              <wp:extent cx="2898140" cy="196215"/>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2898140"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a:graphicData>
              </a:graphic>
            </wp:anchor>
          </w:drawing>
        </mc:Choice>
        <mc:Fallback>
          <w:pict>
            <v:shape style="position:absolute;margin-left:142.660004pt;margin-top:507.112732pt;width:228.2pt;height:15.45pt;mso-position-horizontal-relative:page;mso-position-vertical-relative:page;z-index:-27981824" type="#_x0000_t202" id="docshape62"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5335168">
              <wp:simplePos x="0" y="0"/>
              <wp:positionH relativeFrom="page">
                <wp:posOffset>900684</wp:posOffset>
              </wp:positionH>
              <wp:positionV relativeFrom="page">
                <wp:posOffset>6418833</wp:posOffset>
              </wp:positionV>
              <wp:extent cx="8258175" cy="730250"/>
              <wp:effectExtent l="0" t="0" r="0" b="0"/>
              <wp:wrapNone/>
              <wp:docPr id="83" name="Graphic 83"/>
              <wp:cNvGraphicFramePr>
                <a:graphicFrameLocks/>
              </wp:cNvGraphicFramePr>
              <a:graphic>
                <a:graphicData uri="http://schemas.microsoft.com/office/word/2010/wordprocessingShape">
                  <wps:wsp>
                    <wps:cNvPr id="83" name="Graphic 83"/>
                    <wps:cNvSpPr/>
                    <wps:spPr>
                      <a:xfrm>
                        <a:off x="0" y="0"/>
                        <a:ext cx="8258175" cy="730250"/>
                      </a:xfrm>
                      <a:custGeom>
                        <a:avLst/>
                        <a:gdLst/>
                        <a:ahLst/>
                        <a:cxnLst/>
                        <a:rect l="l" t="t" r="r" b="b"/>
                        <a:pathLst>
                          <a:path w="8258175" h="730250">
                            <a:moveTo>
                              <a:pt x="8258175" y="0"/>
                            </a:moveTo>
                            <a:lnTo>
                              <a:pt x="870458" y="0"/>
                            </a:lnTo>
                            <a:lnTo>
                              <a:pt x="843076" y="0"/>
                            </a:lnTo>
                            <a:lnTo>
                              <a:pt x="0" y="0"/>
                            </a:lnTo>
                            <a:lnTo>
                              <a:pt x="0" y="27432"/>
                            </a:lnTo>
                            <a:lnTo>
                              <a:pt x="843026" y="27432"/>
                            </a:lnTo>
                            <a:lnTo>
                              <a:pt x="843026" y="28905"/>
                            </a:lnTo>
                            <a:lnTo>
                              <a:pt x="843026" y="729945"/>
                            </a:lnTo>
                            <a:lnTo>
                              <a:pt x="870458" y="729945"/>
                            </a:lnTo>
                            <a:lnTo>
                              <a:pt x="870458" y="28956"/>
                            </a:lnTo>
                            <a:lnTo>
                              <a:pt x="870458" y="27432"/>
                            </a:lnTo>
                            <a:lnTo>
                              <a:pt x="8258175" y="27432"/>
                            </a:lnTo>
                            <a:lnTo>
                              <a:pt x="825817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0.920006pt;margin-top:505.419983pt;width:650.25pt;height:57.5pt;mso-position-horizontal-relative:page;mso-position-vertical-relative:page;z-index:-27981312" id="docshape63" coordorigin="1418,10108" coordsize="13005,1150" path="m14423,10108l2789,10108,2746,10108,1418,10108,1418,10152,2746,10152,2746,10154,2746,11258,2789,11258,2789,10154,2789,10152,14423,10152,14423,10108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5335680">
              <wp:simplePos x="0" y="0"/>
              <wp:positionH relativeFrom="page">
                <wp:posOffset>931163</wp:posOffset>
              </wp:positionH>
              <wp:positionV relativeFrom="page">
                <wp:posOffset>6440331</wp:posOffset>
              </wp:positionV>
              <wp:extent cx="345440" cy="196215"/>
              <wp:effectExtent l="0" t="0" r="0" b="0"/>
              <wp:wrapNone/>
              <wp:docPr id="84" name="Textbox 84"/>
              <wp:cNvGraphicFramePr>
                <a:graphicFrameLocks/>
              </wp:cNvGraphicFramePr>
              <a:graphic>
                <a:graphicData uri="http://schemas.microsoft.com/office/word/2010/wordprocessingShape">
                  <wps:wsp>
                    <wps:cNvPr id="84" name="Textbox 84"/>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145</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73.320pt;margin-top:507.112732pt;width:27.2pt;height:15.45pt;mso-position-horizontal-relative:page;mso-position-vertical-relative:page;z-index:-27980800" type="#_x0000_t202" id="docshape64"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145</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5336192">
              <wp:simplePos x="0" y="0"/>
              <wp:positionH relativeFrom="page">
                <wp:posOffset>1811782</wp:posOffset>
              </wp:positionH>
              <wp:positionV relativeFrom="page">
                <wp:posOffset>6440331</wp:posOffset>
              </wp:positionV>
              <wp:extent cx="2898140" cy="196215"/>
              <wp:effectExtent l="0" t="0" r="0" b="0"/>
              <wp:wrapNone/>
              <wp:docPr id="85" name="Textbox 85"/>
              <wp:cNvGraphicFramePr>
                <a:graphicFrameLocks/>
              </wp:cNvGraphicFramePr>
              <a:graphic>
                <a:graphicData uri="http://schemas.microsoft.com/office/word/2010/wordprocessingShape">
                  <wps:wsp>
                    <wps:cNvPr id="85" name="Textbox 85"/>
                    <wps:cNvSpPr txBox="1"/>
                    <wps:spPr>
                      <a:xfrm>
                        <a:off x="0" y="0"/>
                        <a:ext cx="2898140"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a:graphicData>
              </a:graphic>
            </wp:anchor>
          </w:drawing>
        </mc:Choice>
        <mc:Fallback>
          <w:pict>
            <v:shape style="position:absolute;margin-left:142.660004pt;margin-top:507.112732pt;width:228.2pt;height:15.45pt;mso-position-horizontal-relative:page;mso-position-vertical-relative:page;z-index:-27980288" type="#_x0000_t202" id="docshape65"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5336704">
              <wp:simplePos x="0" y="0"/>
              <wp:positionH relativeFrom="page">
                <wp:posOffset>900684</wp:posOffset>
              </wp:positionH>
              <wp:positionV relativeFrom="page">
                <wp:posOffset>6418833</wp:posOffset>
              </wp:positionV>
              <wp:extent cx="8258175" cy="730250"/>
              <wp:effectExtent l="0" t="0" r="0" b="0"/>
              <wp:wrapNone/>
              <wp:docPr id="86" name="Graphic 86"/>
              <wp:cNvGraphicFramePr>
                <a:graphicFrameLocks/>
              </wp:cNvGraphicFramePr>
              <a:graphic>
                <a:graphicData uri="http://schemas.microsoft.com/office/word/2010/wordprocessingShape">
                  <wps:wsp>
                    <wps:cNvPr id="86" name="Graphic 86"/>
                    <wps:cNvSpPr/>
                    <wps:spPr>
                      <a:xfrm>
                        <a:off x="0" y="0"/>
                        <a:ext cx="8258175" cy="730250"/>
                      </a:xfrm>
                      <a:custGeom>
                        <a:avLst/>
                        <a:gdLst/>
                        <a:ahLst/>
                        <a:cxnLst/>
                        <a:rect l="l" t="t" r="r" b="b"/>
                        <a:pathLst>
                          <a:path w="8258175" h="730250">
                            <a:moveTo>
                              <a:pt x="8258175" y="0"/>
                            </a:moveTo>
                            <a:lnTo>
                              <a:pt x="870458" y="0"/>
                            </a:lnTo>
                            <a:lnTo>
                              <a:pt x="843076" y="0"/>
                            </a:lnTo>
                            <a:lnTo>
                              <a:pt x="0" y="0"/>
                            </a:lnTo>
                            <a:lnTo>
                              <a:pt x="0" y="27432"/>
                            </a:lnTo>
                            <a:lnTo>
                              <a:pt x="843026" y="27432"/>
                            </a:lnTo>
                            <a:lnTo>
                              <a:pt x="843026" y="28905"/>
                            </a:lnTo>
                            <a:lnTo>
                              <a:pt x="843026" y="729945"/>
                            </a:lnTo>
                            <a:lnTo>
                              <a:pt x="870458" y="729945"/>
                            </a:lnTo>
                            <a:lnTo>
                              <a:pt x="870458" y="28956"/>
                            </a:lnTo>
                            <a:lnTo>
                              <a:pt x="870458" y="27432"/>
                            </a:lnTo>
                            <a:lnTo>
                              <a:pt x="8258175" y="27432"/>
                            </a:lnTo>
                            <a:lnTo>
                              <a:pt x="825817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0.920006pt;margin-top:505.419983pt;width:650.25pt;height:57.5pt;mso-position-horizontal-relative:page;mso-position-vertical-relative:page;z-index:-27979776" id="docshape66" coordorigin="1418,10108" coordsize="13005,1150" path="m14423,10108l2789,10108,2746,10108,1418,10108,1418,10152,2746,10152,2746,10154,2746,11258,2789,11258,2789,10154,2789,10152,14423,10152,14423,10108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5337216">
              <wp:simplePos x="0" y="0"/>
              <wp:positionH relativeFrom="page">
                <wp:posOffset>931163</wp:posOffset>
              </wp:positionH>
              <wp:positionV relativeFrom="page">
                <wp:posOffset>6440331</wp:posOffset>
              </wp:positionV>
              <wp:extent cx="345440" cy="196215"/>
              <wp:effectExtent l="0" t="0" r="0" b="0"/>
              <wp:wrapNone/>
              <wp:docPr id="87" name="Textbox 87"/>
              <wp:cNvGraphicFramePr>
                <a:graphicFrameLocks/>
              </wp:cNvGraphicFramePr>
              <a:graphic>
                <a:graphicData uri="http://schemas.microsoft.com/office/word/2010/wordprocessingShape">
                  <wps:wsp>
                    <wps:cNvPr id="87" name="Textbox 87"/>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157</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73.320pt;margin-top:507.112732pt;width:27.2pt;height:15.45pt;mso-position-horizontal-relative:page;mso-position-vertical-relative:page;z-index:-27979264" type="#_x0000_t202" id="docshape67"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157</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5337728">
              <wp:simplePos x="0" y="0"/>
              <wp:positionH relativeFrom="page">
                <wp:posOffset>1811782</wp:posOffset>
              </wp:positionH>
              <wp:positionV relativeFrom="page">
                <wp:posOffset>6440331</wp:posOffset>
              </wp:positionV>
              <wp:extent cx="2898140" cy="196215"/>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2898140"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a:graphicData>
              </a:graphic>
            </wp:anchor>
          </w:drawing>
        </mc:Choice>
        <mc:Fallback>
          <w:pict>
            <v:shape style="position:absolute;margin-left:142.660004pt;margin-top:507.112732pt;width:228.2pt;height:15.45pt;mso-position-horizontal-relative:page;mso-position-vertical-relative:page;z-index:-27978752" type="#_x0000_t202" id="docshape68"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5338240">
              <wp:simplePos x="0" y="0"/>
              <wp:positionH relativeFrom="page">
                <wp:posOffset>990904</wp:posOffset>
              </wp:positionH>
              <wp:positionV relativeFrom="page">
                <wp:posOffset>8354314</wp:posOffset>
              </wp:positionV>
              <wp:extent cx="5704205" cy="1080770"/>
              <wp:effectExtent l="0" t="0" r="0" b="0"/>
              <wp:wrapNone/>
              <wp:docPr id="94" name="Graphic 94"/>
              <wp:cNvGraphicFramePr>
                <a:graphicFrameLocks/>
              </wp:cNvGraphicFramePr>
              <a:graphic>
                <a:graphicData uri="http://schemas.microsoft.com/office/word/2010/wordprocessingShape">
                  <wps:wsp>
                    <wps:cNvPr id="94" name="Graphic 94"/>
                    <wps:cNvSpPr/>
                    <wps:spPr>
                      <a:xfrm>
                        <a:off x="0" y="0"/>
                        <a:ext cx="5704205" cy="1080770"/>
                      </a:xfrm>
                      <a:custGeom>
                        <a:avLst/>
                        <a:gdLst/>
                        <a:ahLst/>
                        <a:cxnLst/>
                        <a:rect l="l" t="t" r="r" b="b"/>
                        <a:pathLst>
                          <a:path w="5704205" h="1080770">
                            <a:moveTo>
                              <a:pt x="5703646" y="0"/>
                            </a:moveTo>
                            <a:lnTo>
                              <a:pt x="604977" y="0"/>
                            </a:lnTo>
                            <a:lnTo>
                              <a:pt x="577583" y="0"/>
                            </a:lnTo>
                            <a:lnTo>
                              <a:pt x="0" y="0"/>
                            </a:lnTo>
                            <a:lnTo>
                              <a:pt x="0" y="27432"/>
                            </a:lnTo>
                            <a:lnTo>
                              <a:pt x="577545" y="27432"/>
                            </a:lnTo>
                            <a:lnTo>
                              <a:pt x="577545" y="28905"/>
                            </a:lnTo>
                            <a:lnTo>
                              <a:pt x="577545" y="1080465"/>
                            </a:lnTo>
                            <a:lnTo>
                              <a:pt x="604977" y="1080465"/>
                            </a:lnTo>
                            <a:lnTo>
                              <a:pt x="604977" y="28956"/>
                            </a:lnTo>
                            <a:lnTo>
                              <a:pt x="604977" y="27432"/>
                            </a:lnTo>
                            <a:lnTo>
                              <a:pt x="5703646" y="27432"/>
                            </a:lnTo>
                            <a:lnTo>
                              <a:pt x="5703646"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8.024002pt;margin-top:657.820007pt;width:449.15pt;height:85.1pt;mso-position-horizontal-relative:page;mso-position-vertical-relative:page;z-index:-27978240" id="docshape74" coordorigin="1560,13156" coordsize="8983,1702" path="m10543,13156l2513,13156,2470,13156,1560,13156,1560,13200,2470,13200,2470,13202,2470,14858,2513,14858,2513,13202,2513,13200,10543,13200,10543,13156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5338752">
              <wp:simplePos x="0" y="0"/>
              <wp:positionH relativeFrom="page">
                <wp:posOffset>1021384</wp:posOffset>
              </wp:positionH>
              <wp:positionV relativeFrom="page">
                <wp:posOffset>8375862</wp:posOffset>
              </wp:positionV>
              <wp:extent cx="345440" cy="196215"/>
              <wp:effectExtent l="0" t="0" r="0" b="0"/>
              <wp:wrapNone/>
              <wp:docPr id="95" name="Textbox 95"/>
              <wp:cNvGraphicFramePr>
                <a:graphicFrameLocks/>
              </wp:cNvGraphicFramePr>
              <a:graphic>
                <a:graphicData uri="http://schemas.microsoft.com/office/word/2010/wordprocessingShape">
                  <wps:wsp>
                    <wps:cNvPr id="95" name="Textbox 95"/>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166</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80.424004pt;margin-top:659.516724pt;width:27.2pt;height:15.45pt;mso-position-horizontal-relative:page;mso-position-vertical-relative:page;z-index:-27977728" type="#_x0000_t202" id="docshape75"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166</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5339264">
              <wp:simplePos x="0" y="0"/>
              <wp:positionH relativeFrom="page">
                <wp:posOffset>1638045</wp:posOffset>
              </wp:positionH>
              <wp:positionV relativeFrom="page">
                <wp:posOffset>8375862</wp:posOffset>
              </wp:positionV>
              <wp:extent cx="2898775" cy="196215"/>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a:graphicData>
              </a:graphic>
            </wp:anchor>
          </w:drawing>
        </mc:Choice>
        <mc:Fallback>
          <w:pict>
            <v:shape style="position:absolute;margin-left:128.979996pt;margin-top:659.516724pt;width:228.25pt;height:15.45pt;mso-position-horizontal-relative:page;mso-position-vertical-relative:page;z-index:-27977216" type="#_x0000_t202" id="docshape76"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5339776">
          <wp:simplePos x="0" y="0"/>
          <wp:positionH relativeFrom="page">
            <wp:posOffset>995206</wp:posOffset>
          </wp:positionH>
          <wp:positionV relativeFrom="page">
            <wp:posOffset>8331140</wp:posOffset>
          </wp:positionV>
          <wp:extent cx="5708700" cy="1098610"/>
          <wp:effectExtent l="0" t="0" r="0" b="0"/>
          <wp:wrapNone/>
          <wp:docPr id="98" name="Image 98"/>
          <wp:cNvGraphicFramePr>
            <a:graphicFrameLocks/>
          </wp:cNvGraphicFramePr>
          <a:graphic>
            <a:graphicData uri="http://schemas.openxmlformats.org/drawingml/2006/picture">
              <pic:pic>
                <pic:nvPicPr>
                  <pic:cNvPr id="98" name="Image 98"/>
                  <pic:cNvPicPr/>
                </pic:nvPicPr>
                <pic:blipFill>
                  <a:blip r:embed="rId1" cstate="print"/>
                  <a:stretch>
                    <a:fillRect/>
                  </a:stretch>
                </pic:blipFill>
                <pic:spPr>
                  <a:xfrm>
                    <a:off x="0" y="0"/>
                    <a:ext cx="5708700" cy="1098610"/>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5340288">
              <wp:simplePos x="0" y="0"/>
              <wp:positionH relativeFrom="page">
                <wp:posOffset>1021384</wp:posOffset>
              </wp:positionH>
              <wp:positionV relativeFrom="page">
                <wp:posOffset>8375862</wp:posOffset>
              </wp:positionV>
              <wp:extent cx="345440" cy="196215"/>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168</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80.424004pt;margin-top:659.516724pt;width:27.2pt;height:15.45pt;mso-position-horizontal-relative:page;mso-position-vertical-relative:page;z-index:-27976192" type="#_x0000_t202" id="docshape77"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168</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5340800">
              <wp:simplePos x="0" y="0"/>
              <wp:positionH relativeFrom="page">
                <wp:posOffset>1638045</wp:posOffset>
              </wp:positionH>
              <wp:positionV relativeFrom="page">
                <wp:posOffset>8375862</wp:posOffset>
              </wp:positionV>
              <wp:extent cx="2898775" cy="196215"/>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a:graphicData>
              </a:graphic>
            </wp:anchor>
          </w:drawing>
        </mc:Choice>
        <mc:Fallback>
          <w:pict>
            <v:shape style="position:absolute;margin-left:128.979996pt;margin-top:659.516724pt;width:228.25pt;height:15.45pt;mso-position-horizontal-relative:page;mso-position-vertical-relative:page;z-index:-27975680" type="#_x0000_t202" id="docshape78"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5341312">
              <wp:simplePos x="0" y="0"/>
              <wp:positionH relativeFrom="page">
                <wp:posOffset>990904</wp:posOffset>
              </wp:positionH>
              <wp:positionV relativeFrom="page">
                <wp:posOffset>8354314</wp:posOffset>
              </wp:positionV>
              <wp:extent cx="5704205" cy="1080770"/>
              <wp:effectExtent l="0" t="0" r="0" b="0"/>
              <wp:wrapNone/>
              <wp:docPr id="167" name="Graphic 167"/>
              <wp:cNvGraphicFramePr>
                <a:graphicFrameLocks/>
              </wp:cNvGraphicFramePr>
              <a:graphic>
                <a:graphicData uri="http://schemas.microsoft.com/office/word/2010/wordprocessingShape">
                  <wps:wsp>
                    <wps:cNvPr id="167" name="Graphic 167"/>
                    <wps:cNvSpPr/>
                    <wps:spPr>
                      <a:xfrm>
                        <a:off x="0" y="0"/>
                        <a:ext cx="5704205" cy="1080770"/>
                      </a:xfrm>
                      <a:custGeom>
                        <a:avLst/>
                        <a:gdLst/>
                        <a:ahLst/>
                        <a:cxnLst/>
                        <a:rect l="l" t="t" r="r" b="b"/>
                        <a:pathLst>
                          <a:path w="5704205" h="1080770">
                            <a:moveTo>
                              <a:pt x="5703646" y="0"/>
                            </a:moveTo>
                            <a:lnTo>
                              <a:pt x="604977" y="0"/>
                            </a:lnTo>
                            <a:lnTo>
                              <a:pt x="577583" y="0"/>
                            </a:lnTo>
                            <a:lnTo>
                              <a:pt x="0" y="0"/>
                            </a:lnTo>
                            <a:lnTo>
                              <a:pt x="0" y="27432"/>
                            </a:lnTo>
                            <a:lnTo>
                              <a:pt x="577545" y="27432"/>
                            </a:lnTo>
                            <a:lnTo>
                              <a:pt x="577545" y="28905"/>
                            </a:lnTo>
                            <a:lnTo>
                              <a:pt x="577545" y="1080465"/>
                            </a:lnTo>
                            <a:lnTo>
                              <a:pt x="604977" y="1080465"/>
                            </a:lnTo>
                            <a:lnTo>
                              <a:pt x="604977" y="28956"/>
                            </a:lnTo>
                            <a:lnTo>
                              <a:pt x="604977" y="27432"/>
                            </a:lnTo>
                            <a:lnTo>
                              <a:pt x="5703646" y="27432"/>
                            </a:lnTo>
                            <a:lnTo>
                              <a:pt x="5703646"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8.024002pt;margin-top:657.820007pt;width:449.15pt;height:85.1pt;mso-position-horizontal-relative:page;mso-position-vertical-relative:page;z-index:-27975168" id="docshape126" coordorigin="1560,13156" coordsize="8983,1702" path="m10543,13156l2513,13156,2470,13156,1560,13156,1560,13200,2470,13200,2470,13202,2470,14858,2513,14858,2513,13202,2513,13200,10543,13200,10543,13156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5341824">
              <wp:simplePos x="0" y="0"/>
              <wp:positionH relativeFrom="page">
                <wp:posOffset>1021384</wp:posOffset>
              </wp:positionH>
              <wp:positionV relativeFrom="page">
                <wp:posOffset>8375862</wp:posOffset>
              </wp:positionV>
              <wp:extent cx="345440" cy="196215"/>
              <wp:effectExtent l="0" t="0" r="0" b="0"/>
              <wp:wrapNone/>
              <wp:docPr id="168" name="Textbox 168"/>
              <wp:cNvGraphicFramePr>
                <a:graphicFrameLocks/>
              </wp:cNvGraphicFramePr>
              <a:graphic>
                <a:graphicData uri="http://schemas.microsoft.com/office/word/2010/wordprocessingShape">
                  <wps:wsp>
                    <wps:cNvPr id="168" name="Textbox 168"/>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171</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80.424004pt;margin-top:659.516724pt;width:27.2pt;height:15.45pt;mso-position-horizontal-relative:page;mso-position-vertical-relative:page;z-index:-27974656" type="#_x0000_t202" id="docshape127"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171</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5342336">
              <wp:simplePos x="0" y="0"/>
              <wp:positionH relativeFrom="page">
                <wp:posOffset>1638045</wp:posOffset>
              </wp:positionH>
              <wp:positionV relativeFrom="page">
                <wp:posOffset>8375862</wp:posOffset>
              </wp:positionV>
              <wp:extent cx="2898775" cy="196215"/>
              <wp:effectExtent l="0" t="0" r="0" b="0"/>
              <wp:wrapNone/>
              <wp:docPr id="169" name="Textbox 169"/>
              <wp:cNvGraphicFramePr>
                <a:graphicFrameLocks/>
              </wp:cNvGraphicFramePr>
              <a:graphic>
                <a:graphicData uri="http://schemas.microsoft.com/office/word/2010/wordprocessingShape">
                  <wps:wsp>
                    <wps:cNvPr id="169" name="Textbox 169"/>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a:graphicData>
              </a:graphic>
            </wp:anchor>
          </w:drawing>
        </mc:Choice>
        <mc:Fallback>
          <w:pict>
            <v:shape style="position:absolute;margin-left:128.979996pt;margin-top:659.516724pt;width:228.25pt;height:15.45pt;mso-position-horizontal-relative:page;mso-position-vertical-relative:page;z-index:-27974144" type="#_x0000_t202" id="docshape128"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5342848">
              <wp:simplePos x="0" y="0"/>
              <wp:positionH relativeFrom="page">
                <wp:posOffset>900684</wp:posOffset>
              </wp:positionH>
              <wp:positionV relativeFrom="page">
                <wp:posOffset>6068314</wp:posOffset>
              </wp:positionV>
              <wp:extent cx="5704205" cy="1080770"/>
              <wp:effectExtent l="0" t="0" r="0" b="0"/>
              <wp:wrapNone/>
              <wp:docPr id="334" name="Graphic 334"/>
              <wp:cNvGraphicFramePr>
                <a:graphicFrameLocks/>
              </wp:cNvGraphicFramePr>
              <a:graphic>
                <a:graphicData uri="http://schemas.microsoft.com/office/word/2010/wordprocessingShape">
                  <wps:wsp>
                    <wps:cNvPr id="334" name="Graphic 334"/>
                    <wps:cNvSpPr/>
                    <wps:spPr>
                      <a:xfrm>
                        <a:off x="0" y="0"/>
                        <a:ext cx="5704205" cy="1080770"/>
                      </a:xfrm>
                      <a:custGeom>
                        <a:avLst/>
                        <a:gdLst/>
                        <a:ahLst/>
                        <a:cxnLst/>
                        <a:rect l="l" t="t" r="r" b="b"/>
                        <a:pathLst>
                          <a:path w="5704205" h="1080770">
                            <a:moveTo>
                              <a:pt x="5703697" y="0"/>
                            </a:moveTo>
                            <a:lnTo>
                              <a:pt x="605282" y="0"/>
                            </a:lnTo>
                            <a:lnTo>
                              <a:pt x="577900" y="0"/>
                            </a:lnTo>
                            <a:lnTo>
                              <a:pt x="0" y="0"/>
                            </a:lnTo>
                            <a:lnTo>
                              <a:pt x="0" y="27432"/>
                            </a:lnTo>
                            <a:lnTo>
                              <a:pt x="577850" y="27432"/>
                            </a:lnTo>
                            <a:lnTo>
                              <a:pt x="577850" y="28905"/>
                            </a:lnTo>
                            <a:lnTo>
                              <a:pt x="577850" y="1080465"/>
                            </a:lnTo>
                            <a:lnTo>
                              <a:pt x="605282" y="1080465"/>
                            </a:lnTo>
                            <a:lnTo>
                              <a:pt x="605282" y="28956"/>
                            </a:lnTo>
                            <a:lnTo>
                              <a:pt x="605282" y="27432"/>
                            </a:lnTo>
                            <a:lnTo>
                              <a:pt x="5703697" y="27432"/>
                            </a:lnTo>
                            <a:lnTo>
                              <a:pt x="570369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0.920006pt;margin-top:477.820007pt;width:449.15pt;height:85.1pt;mso-position-horizontal-relative:page;mso-position-vertical-relative:page;z-index:-27973632" id="docshape246" coordorigin="1418,9556" coordsize="8983,1702" path="m10401,9556l2372,9556,2328,9556,1418,9556,1418,9600,2328,9600,2328,9602,2328,11258,2372,11258,2372,9602,2372,9600,10401,9600,10401,9556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5343360">
              <wp:simplePos x="0" y="0"/>
              <wp:positionH relativeFrom="page">
                <wp:posOffset>931163</wp:posOffset>
              </wp:positionH>
              <wp:positionV relativeFrom="page">
                <wp:posOffset>6089862</wp:posOffset>
              </wp:positionV>
              <wp:extent cx="345440" cy="196215"/>
              <wp:effectExtent l="0" t="0" r="0" b="0"/>
              <wp:wrapNone/>
              <wp:docPr id="335" name="Textbox 335"/>
              <wp:cNvGraphicFramePr>
                <a:graphicFrameLocks/>
              </wp:cNvGraphicFramePr>
              <a:graphic>
                <a:graphicData uri="http://schemas.microsoft.com/office/word/2010/wordprocessingShape">
                  <wps:wsp>
                    <wps:cNvPr id="335" name="Textbox 335"/>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177</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73.320pt;margin-top:479.516724pt;width:27.2pt;height:15.45pt;mso-position-horizontal-relative:page;mso-position-vertical-relative:page;z-index:-27973120" type="#_x0000_t202" id="docshape247"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177</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5343872">
              <wp:simplePos x="0" y="0"/>
              <wp:positionH relativeFrom="page">
                <wp:posOffset>1548130</wp:posOffset>
              </wp:positionH>
              <wp:positionV relativeFrom="page">
                <wp:posOffset>6089862</wp:posOffset>
              </wp:positionV>
              <wp:extent cx="2898140" cy="196215"/>
              <wp:effectExtent l="0" t="0" r="0" b="0"/>
              <wp:wrapNone/>
              <wp:docPr id="336" name="Textbox 336"/>
              <wp:cNvGraphicFramePr>
                <a:graphicFrameLocks/>
              </wp:cNvGraphicFramePr>
              <a:graphic>
                <a:graphicData uri="http://schemas.microsoft.com/office/word/2010/wordprocessingShape">
                  <wps:wsp>
                    <wps:cNvPr id="336" name="Textbox 336"/>
                    <wps:cNvSpPr txBox="1"/>
                    <wps:spPr>
                      <a:xfrm>
                        <a:off x="0" y="0"/>
                        <a:ext cx="2898140"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a:graphicData>
              </a:graphic>
            </wp:anchor>
          </w:drawing>
        </mc:Choice>
        <mc:Fallback>
          <w:pict>
            <v:shape style="position:absolute;margin-left:121.900002pt;margin-top:479.516724pt;width:228.2pt;height:15.45pt;mso-position-horizontal-relative:page;mso-position-vertical-relative:page;z-index:-27972608" type="#_x0000_t202" id="docshape248"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5344384">
              <wp:simplePos x="0" y="0"/>
              <wp:positionH relativeFrom="page">
                <wp:posOffset>990904</wp:posOffset>
              </wp:positionH>
              <wp:positionV relativeFrom="page">
                <wp:posOffset>8354314</wp:posOffset>
              </wp:positionV>
              <wp:extent cx="5704205" cy="1080770"/>
              <wp:effectExtent l="0" t="0" r="0" b="0"/>
              <wp:wrapNone/>
              <wp:docPr id="337" name="Graphic 337"/>
              <wp:cNvGraphicFramePr>
                <a:graphicFrameLocks/>
              </wp:cNvGraphicFramePr>
              <a:graphic>
                <a:graphicData uri="http://schemas.microsoft.com/office/word/2010/wordprocessingShape">
                  <wps:wsp>
                    <wps:cNvPr id="337" name="Graphic 337"/>
                    <wps:cNvSpPr/>
                    <wps:spPr>
                      <a:xfrm>
                        <a:off x="0" y="0"/>
                        <a:ext cx="5704205" cy="1080770"/>
                      </a:xfrm>
                      <a:custGeom>
                        <a:avLst/>
                        <a:gdLst/>
                        <a:ahLst/>
                        <a:cxnLst/>
                        <a:rect l="l" t="t" r="r" b="b"/>
                        <a:pathLst>
                          <a:path w="5704205" h="1080770">
                            <a:moveTo>
                              <a:pt x="5703646" y="0"/>
                            </a:moveTo>
                            <a:lnTo>
                              <a:pt x="604977" y="0"/>
                            </a:lnTo>
                            <a:lnTo>
                              <a:pt x="577583" y="0"/>
                            </a:lnTo>
                            <a:lnTo>
                              <a:pt x="0" y="0"/>
                            </a:lnTo>
                            <a:lnTo>
                              <a:pt x="0" y="27432"/>
                            </a:lnTo>
                            <a:lnTo>
                              <a:pt x="577545" y="27432"/>
                            </a:lnTo>
                            <a:lnTo>
                              <a:pt x="577545" y="28905"/>
                            </a:lnTo>
                            <a:lnTo>
                              <a:pt x="577545" y="1080465"/>
                            </a:lnTo>
                            <a:lnTo>
                              <a:pt x="604977" y="1080465"/>
                            </a:lnTo>
                            <a:lnTo>
                              <a:pt x="604977" y="28956"/>
                            </a:lnTo>
                            <a:lnTo>
                              <a:pt x="604977" y="27432"/>
                            </a:lnTo>
                            <a:lnTo>
                              <a:pt x="5703646" y="27432"/>
                            </a:lnTo>
                            <a:lnTo>
                              <a:pt x="5703646"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8.024002pt;margin-top:657.820007pt;width:449.15pt;height:85.1pt;mso-position-horizontal-relative:page;mso-position-vertical-relative:page;z-index:-27972096" id="docshape249" coordorigin="1560,13156" coordsize="8983,1702" path="m10543,13156l2513,13156,2470,13156,1560,13156,1560,13200,2470,13200,2470,13202,2470,14858,2513,14858,2513,13202,2513,13200,10543,13200,10543,13156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5344896">
              <wp:simplePos x="0" y="0"/>
              <wp:positionH relativeFrom="page">
                <wp:posOffset>1021384</wp:posOffset>
              </wp:positionH>
              <wp:positionV relativeFrom="page">
                <wp:posOffset>8375862</wp:posOffset>
              </wp:positionV>
              <wp:extent cx="345440" cy="196215"/>
              <wp:effectExtent l="0" t="0" r="0" b="0"/>
              <wp:wrapNone/>
              <wp:docPr id="338" name="Textbox 338"/>
              <wp:cNvGraphicFramePr>
                <a:graphicFrameLocks/>
              </wp:cNvGraphicFramePr>
              <a:graphic>
                <a:graphicData uri="http://schemas.microsoft.com/office/word/2010/wordprocessingShape">
                  <wps:wsp>
                    <wps:cNvPr id="338" name="Textbox 338"/>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179</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80.424004pt;margin-top:659.516724pt;width:27.2pt;height:15.45pt;mso-position-horizontal-relative:page;mso-position-vertical-relative:page;z-index:-27971584" type="#_x0000_t202" id="docshape250"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179</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5345408">
              <wp:simplePos x="0" y="0"/>
              <wp:positionH relativeFrom="page">
                <wp:posOffset>1638045</wp:posOffset>
              </wp:positionH>
              <wp:positionV relativeFrom="page">
                <wp:posOffset>8375862</wp:posOffset>
              </wp:positionV>
              <wp:extent cx="2898775" cy="196215"/>
              <wp:effectExtent l="0" t="0" r="0" b="0"/>
              <wp:wrapNone/>
              <wp:docPr id="339" name="Textbox 339"/>
              <wp:cNvGraphicFramePr>
                <a:graphicFrameLocks/>
              </wp:cNvGraphicFramePr>
              <a:graphic>
                <a:graphicData uri="http://schemas.microsoft.com/office/word/2010/wordprocessingShape">
                  <wps:wsp>
                    <wps:cNvPr id="339" name="Textbox 339"/>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a:graphicData>
              </a:graphic>
            </wp:anchor>
          </w:drawing>
        </mc:Choice>
        <mc:Fallback>
          <w:pict>
            <v:shape style="position:absolute;margin-left:128.979996pt;margin-top:659.516724pt;width:228.25pt;height:15.45pt;mso-position-horizontal-relative:page;mso-position-vertical-relative:page;z-index:-27971072" type="#_x0000_t202" id="docshape251"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5345920">
              <wp:simplePos x="0" y="0"/>
              <wp:positionH relativeFrom="page">
                <wp:posOffset>990904</wp:posOffset>
              </wp:positionH>
              <wp:positionV relativeFrom="page">
                <wp:posOffset>8354314</wp:posOffset>
              </wp:positionV>
              <wp:extent cx="5704205" cy="1080770"/>
              <wp:effectExtent l="0" t="0" r="0" b="0"/>
              <wp:wrapNone/>
              <wp:docPr id="340" name="Graphic 340"/>
              <wp:cNvGraphicFramePr>
                <a:graphicFrameLocks/>
              </wp:cNvGraphicFramePr>
              <a:graphic>
                <a:graphicData uri="http://schemas.microsoft.com/office/word/2010/wordprocessingShape">
                  <wps:wsp>
                    <wps:cNvPr id="340" name="Graphic 340"/>
                    <wps:cNvSpPr/>
                    <wps:spPr>
                      <a:xfrm>
                        <a:off x="0" y="0"/>
                        <a:ext cx="5704205" cy="1080770"/>
                      </a:xfrm>
                      <a:custGeom>
                        <a:avLst/>
                        <a:gdLst/>
                        <a:ahLst/>
                        <a:cxnLst/>
                        <a:rect l="l" t="t" r="r" b="b"/>
                        <a:pathLst>
                          <a:path w="5704205" h="1080770">
                            <a:moveTo>
                              <a:pt x="5703646" y="0"/>
                            </a:moveTo>
                            <a:lnTo>
                              <a:pt x="604977" y="0"/>
                            </a:lnTo>
                            <a:lnTo>
                              <a:pt x="577583" y="0"/>
                            </a:lnTo>
                            <a:lnTo>
                              <a:pt x="0" y="0"/>
                            </a:lnTo>
                            <a:lnTo>
                              <a:pt x="0" y="27432"/>
                            </a:lnTo>
                            <a:lnTo>
                              <a:pt x="577545" y="27432"/>
                            </a:lnTo>
                            <a:lnTo>
                              <a:pt x="577545" y="28905"/>
                            </a:lnTo>
                            <a:lnTo>
                              <a:pt x="577545" y="1080465"/>
                            </a:lnTo>
                            <a:lnTo>
                              <a:pt x="604977" y="1080465"/>
                            </a:lnTo>
                            <a:lnTo>
                              <a:pt x="604977" y="28956"/>
                            </a:lnTo>
                            <a:lnTo>
                              <a:pt x="604977" y="27432"/>
                            </a:lnTo>
                            <a:lnTo>
                              <a:pt x="5703646" y="27432"/>
                            </a:lnTo>
                            <a:lnTo>
                              <a:pt x="5703646"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8.024002pt;margin-top:657.820007pt;width:449.15pt;height:85.1pt;mso-position-horizontal-relative:page;mso-position-vertical-relative:page;z-index:-27970560" id="docshape252" coordorigin="1560,13156" coordsize="8983,1702" path="m10543,13156l2513,13156,2470,13156,1560,13156,1560,13200,2470,13200,2470,13202,2470,14858,2513,14858,2513,13202,2513,13200,10543,13200,10543,13156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5346432">
              <wp:simplePos x="0" y="0"/>
              <wp:positionH relativeFrom="page">
                <wp:posOffset>1021384</wp:posOffset>
              </wp:positionH>
              <wp:positionV relativeFrom="page">
                <wp:posOffset>8375862</wp:posOffset>
              </wp:positionV>
              <wp:extent cx="345440" cy="196215"/>
              <wp:effectExtent l="0" t="0" r="0" b="0"/>
              <wp:wrapNone/>
              <wp:docPr id="341" name="Textbox 341"/>
              <wp:cNvGraphicFramePr>
                <a:graphicFrameLocks/>
              </wp:cNvGraphicFramePr>
              <a:graphic>
                <a:graphicData uri="http://schemas.microsoft.com/office/word/2010/wordprocessingShape">
                  <wps:wsp>
                    <wps:cNvPr id="341" name="Textbox 341"/>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184</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80.424004pt;margin-top:659.516724pt;width:27.2pt;height:15.45pt;mso-position-horizontal-relative:page;mso-position-vertical-relative:page;z-index:-27970048" type="#_x0000_t202" id="docshape253"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184</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5346944">
              <wp:simplePos x="0" y="0"/>
              <wp:positionH relativeFrom="page">
                <wp:posOffset>1638045</wp:posOffset>
              </wp:positionH>
              <wp:positionV relativeFrom="page">
                <wp:posOffset>8375862</wp:posOffset>
              </wp:positionV>
              <wp:extent cx="2898775" cy="196215"/>
              <wp:effectExtent l="0" t="0" r="0" b="0"/>
              <wp:wrapNone/>
              <wp:docPr id="342" name="Textbox 342"/>
              <wp:cNvGraphicFramePr>
                <a:graphicFrameLocks/>
              </wp:cNvGraphicFramePr>
              <a:graphic>
                <a:graphicData uri="http://schemas.microsoft.com/office/word/2010/wordprocessingShape">
                  <wps:wsp>
                    <wps:cNvPr id="342" name="Textbox 342"/>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a:graphicData>
              </a:graphic>
            </wp:anchor>
          </w:drawing>
        </mc:Choice>
        <mc:Fallback>
          <w:pict>
            <v:shape style="position:absolute;margin-left:128.979996pt;margin-top:659.516724pt;width:228.25pt;height:15.45pt;mso-position-horizontal-relative:page;mso-position-vertical-relative:page;z-index:-27969536" type="#_x0000_t202" id="docshape254"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5347456">
              <wp:simplePos x="0" y="0"/>
              <wp:positionH relativeFrom="page">
                <wp:posOffset>990904</wp:posOffset>
              </wp:positionH>
              <wp:positionV relativeFrom="page">
                <wp:posOffset>8354314</wp:posOffset>
              </wp:positionV>
              <wp:extent cx="5704205" cy="1080770"/>
              <wp:effectExtent l="0" t="0" r="0" b="0"/>
              <wp:wrapNone/>
              <wp:docPr id="343" name="Graphic 343"/>
              <wp:cNvGraphicFramePr>
                <a:graphicFrameLocks/>
              </wp:cNvGraphicFramePr>
              <a:graphic>
                <a:graphicData uri="http://schemas.microsoft.com/office/word/2010/wordprocessingShape">
                  <wps:wsp>
                    <wps:cNvPr id="343" name="Graphic 343"/>
                    <wps:cNvSpPr/>
                    <wps:spPr>
                      <a:xfrm>
                        <a:off x="0" y="0"/>
                        <a:ext cx="5704205" cy="1080770"/>
                      </a:xfrm>
                      <a:custGeom>
                        <a:avLst/>
                        <a:gdLst/>
                        <a:ahLst/>
                        <a:cxnLst/>
                        <a:rect l="l" t="t" r="r" b="b"/>
                        <a:pathLst>
                          <a:path w="5704205" h="1080770">
                            <a:moveTo>
                              <a:pt x="5703646" y="0"/>
                            </a:moveTo>
                            <a:lnTo>
                              <a:pt x="604977" y="0"/>
                            </a:lnTo>
                            <a:lnTo>
                              <a:pt x="577583" y="0"/>
                            </a:lnTo>
                            <a:lnTo>
                              <a:pt x="0" y="0"/>
                            </a:lnTo>
                            <a:lnTo>
                              <a:pt x="0" y="27432"/>
                            </a:lnTo>
                            <a:lnTo>
                              <a:pt x="577545" y="27432"/>
                            </a:lnTo>
                            <a:lnTo>
                              <a:pt x="577545" y="28905"/>
                            </a:lnTo>
                            <a:lnTo>
                              <a:pt x="577545" y="1080465"/>
                            </a:lnTo>
                            <a:lnTo>
                              <a:pt x="604977" y="1080465"/>
                            </a:lnTo>
                            <a:lnTo>
                              <a:pt x="604977" y="28956"/>
                            </a:lnTo>
                            <a:lnTo>
                              <a:pt x="604977" y="27432"/>
                            </a:lnTo>
                            <a:lnTo>
                              <a:pt x="5703646" y="27432"/>
                            </a:lnTo>
                            <a:lnTo>
                              <a:pt x="5703646"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8.024002pt;margin-top:657.820007pt;width:449.15pt;height:85.1pt;mso-position-horizontal-relative:page;mso-position-vertical-relative:page;z-index:-27969024" id="docshape255" coordorigin="1560,13156" coordsize="8983,1702" path="m10543,13156l2513,13156,2470,13156,1560,13156,1560,13200,2470,13200,2470,13202,2470,14858,2513,14858,2513,13202,2513,13200,10543,13200,10543,13156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5347968">
              <wp:simplePos x="0" y="0"/>
              <wp:positionH relativeFrom="page">
                <wp:posOffset>1021384</wp:posOffset>
              </wp:positionH>
              <wp:positionV relativeFrom="page">
                <wp:posOffset>8375862</wp:posOffset>
              </wp:positionV>
              <wp:extent cx="345440" cy="196215"/>
              <wp:effectExtent l="0" t="0" r="0" b="0"/>
              <wp:wrapNone/>
              <wp:docPr id="344" name="Textbox 344"/>
              <wp:cNvGraphicFramePr>
                <a:graphicFrameLocks/>
              </wp:cNvGraphicFramePr>
              <a:graphic>
                <a:graphicData uri="http://schemas.microsoft.com/office/word/2010/wordprocessingShape">
                  <wps:wsp>
                    <wps:cNvPr id="344" name="Textbox 344"/>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191</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80.424004pt;margin-top:659.516724pt;width:27.2pt;height:15.45pt;mso-position-horizontal-relative:page;mso-position-vertical-relative:page;z-index:-27968512" type="#_x0000_t202" id="docshape256"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191</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5348480">
              <wp:simplePos x="0" y="0"/>
              <wp:positionH relativeFrom="page">
                <wp:posOffset>1638045</wp:posOffset>
              </wp:positionH>
              <wp:positionV relativeFrom="page">
                <wp:posOffset>8375862</wp:posOffset>
              </wp:positionV>
              <wp:extent cx="2898775" cy="196215"/>
              <wp:effectExtent l="0" t="0" r="0" b="0"/>
              <wp:wrapNone/>
              <wp:docPr id="345" name="Textbox 345"/>
              <wp:cNvGraphicFramePr>
                <a:graphicFrameLocks/>
              </wp:cNvGraphicFramePr>
              <a:graphic>
                <a:graphicData uri="http://schemas.microsoft.com/office/word/2010/wordprocessingShape">
                  <wps:wsp>
                    <wps:cNvPr id="345" name="Textbox 345"/>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a:graphicData>
              </a:graphic>
            </wp:anchor>
          </w:drawing>
        </mc:Choice>
        <mc:Fallback>
          <w:pict>
            <v:shape style="position:absolute;margin-left:128.979996pt;margin-top:659.516724pt;width:228.25pt;height:15.45pt;mso-position-horizontal-relative:page;mso-position-vertical-relative:page;z-index:-27968000" type="#_x0000_t202" id="docshape257"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pict>
        </mc:Fallback>
      </mc:AlternateContent>
    </w: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5348992">
              <wp:simplePos x="0" y="0"/>
              <wp:positionH relativeFrom="page">
                <wp:posOffset>990904</wp:posOffset>
              </wp:positionH>
              <wp:positionV relativeFrom="page">
                <wp:posOffset>8354314</wp:posOffset>
              </wp:positionV>
              <wp:extent cx="5704205" cy="1080770"/>
              <wp:effectExtent l="0" t="0" r="0" b="0"/>
              <wp:wrapNone/>
              <wp:docPr id="346" name="Graphic 346"/>
              <wp:cNvGraphicFramePr>
                <a:graphicFrameLocks/>
              </wp:cNvGraphicFramePr>
              <a:graphic>
                <a:graphicData uri="http://schemas.microsoft.com/office/word/2010/wordprocessingShape">
                  <wps:wsp>
                    <wps:cNvPr id="346" name="Graphic 346"/>
                    <wps:cNvSpPr/>
                    <wps:spPr>
                      <a:xfrm>
                        <a:off x="0" y="0"/>
                        <a:ext cx="5704205" cy="1080770"/>
                      </a:xfrm>
                      <a:custGeom>
                        <a:avLst/>
                        <a:gdLst/>
                        <a:ahLst/>
                        <a:cxnLst/>
                        <a:rect l="l" t="t" r="r" b="b"/>
                        <a:pathLst>
                          <a:path w="5704205" h="1080770">
                            <a:moveTo>
                              <a:pt x="5703646" y="0"/>
                            </a:moveTo>
                            <a:lnTo>
                              <a:pt x="604977" y="0"/>
                            </a:lnTo>
                            <a:lnTo>
                              <a:pt x="577583" y="0"/>
                            </a:lnTo>
                            <a:lnTo>
                              <a:pt x="0" y="0"/>
                            </a:lnTo>
                            <a:lnTo>
                              <a:pt x="0" y="27432"/>
                            </a:lnTo>
                            <a:lnTo>
                              <a:pt x="577545" y="27432"/>
                            </a:lnTo>
                            <a:lnTo>
                              <a:pt x="577545" y="28905"/>
                            </a:lnTo>
                            <a:lnTo>
                              <a:pt x="577545" y="1080465"/>
                            </a:lnTo>
                            <a:lnTo>
                              <a:pt x="604977" y="1080465"/>
                            </a:lnTo>
                            <a:lnTo>
                              <a:pt x="604977" y="28956"/>
                            </a:lnTo>
                            <a:lnTo>
                              <a:pt x="604977" y="27432"/>
                            </a:lnTo>
                            <a:lnTo>
                              <a:pt x="5703646" y="27432"/>
                            </a:lnTo>
                            <a:lnTo>
                              <a:pt x="5703646"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8.024002pt;margin-top:657.820007pt;width:449.15pt;height:85.1pt;mso-position-horizontal-relative:page;mso-position-vertical-relative:page;z-index:-27967488" id="docshape258" coordorigin="1560,13156" coordsize="8983,1702" path="m10543,13156l2513,13156,2470,13156,1560,13156,1560,13200,2470,13200,2470,13202,2470,14858,2513,14858,2513,13202,2513,13200,10543,13200,10543,13156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5349504">
              <wp:simplePos x="0" y="0"/>
              <wp:positionH relativeFrom="page">
                <wp:posOffset>1021384</wp:posOffset>
              </wp:positionH>
              <wp:positionV relativeFrom="page">
                <wp:posOffset>8375862</wp:posOffset>
              </wp:positionV>
              <wp:extent cx="345440" cy="196215"/>
              <wp:effectExtent l="0" t="0" r="0" b="0"/>
              <wp:wrapNone/>
              <wp:docPr id="347" name="Textbox 347"/>
              <wp:cNvGraphicFramePr>
                <a:graphicFrameLocks/>
              </wp:cNvGraphicFramePr>
              <a:graphic>
                <a:graphicData uri="http://schemas.microsoft.com/office/word/2010/wordprocessingShape">
                  <wps:wsp>
                    <wps:cNvPr id="347" name="Textbox 347"/>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198</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80.424004pt;margin-top:659.516724pt;width:27.2pt;height:15.45pt;mso-position-horizontal-relative:page;mso-position-vertical-relative:page;z-index:-27966976" type="#_x0000_t202" id="docshape259"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198</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5350016">
              <wp:simplePos x="0" y="0"/>
              <wp:positionH relativeFrom="page">
                <wp:posOffset>1638045</wp:posOffset>
              </wp:positionH>
              <wp:positionV relativeFrom="page">
                <wp:posOffset>8375862</wp:posOffset>
              </wp:positionV>
              <wp:extent cx="2898775" cy="196215"/>
              <wp:effectExtent l="0" t="0" r="0" b="0"/>
              <wp:wrapNone/>
              <wp:docPr id="348" name="Textbox 348"/>
              <wp:cNvGraphicFramePr>
                <a:graphicFrameLocks/>
              </wp:cNvGraphicFramePr>
              <a:graphic>
                <a:graphicData uri="http://schemas.microsoft.com/office/word/2010/wordprocessingShape">
                  <wps:wsp>
                    <wps:cNvPr id="348" name="Textbox 348"/>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a:graphicData>
              </a:graphic>
            </wp:anchor>
          </w:drawing>
        </mc:Choice>
        <mc:Fallback>
          <w:pict>
            <v:shape style="position:absolute;margin-left:128.979996pt;margin-top:659.516724pt;width:228.25pt;height:15.45pt;mso-position-horizontal-relative:page;mso-position-vertical-relative:page;z-index:-27966464" type="#_x0000_t202" id="docshape260"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pict>
        </mc:Fallback>
      </mc:AlternateContent>
    </w: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5350528">
              <wp:simplePos x="0" y="0"/>
              <wp:positionH relativeFrom="page">
                <wp:posOffset>990904</wp:posOffset>
              </wp:positionH>
              <wp:positionV relativeFrom="page">
                <wp:posOffset>8354314</wp:posOffset>
              </wp:positionV>
              <wp:extent cx="5704205" cy="1080770"/>
              <wp:effectExtent l="0" t="0" r="0" b="0"/>
              <wp:wrapNone/>
              <wp:docPr id="351" name="Graphic 351"/>
              <wp:cNvGraphicFramePr>
                <a:graphicFrameLocks/>
              </wp:cNvGraphicFramePr>
              <a:graphic>
                <a:graphicData uri="http://schemas.microsoft.com/office/word/2010/wordprocessingShape">
                  <wps:wsp>
                    <wps:cNvPr id="351" name="Graphic 351"/>
                    <wps:cNvSpPr/>
                    <wps:spPr>
                      <a:xfrm>
                        <a:off x="0" y="0"/>
                        <a:ext cx="5704205" cy="1080770"/>
                      </a:xfrm>
                      <a:custGeom>
                        <a:avLst/>
                        <a:gdLst/>
                        <a:ahLst/>
                        <a:cxnLst/>
                        <a:rect l="l" t="t" r="r" b="b"/>
                        <a:pathLst>
                          <a:path w="5704205" h="1080770">
                            <a:moveTo>
                              <a:pt x="5703646" y="0"/>
                            </a:moveTo>
                            <a:lnTo>
                              <a:pt x="604977" y="0"/>
                            </a:lnTo>
                            <a:lnTo>
                              <a:pt x="577583" y="0"/>
                            </a:lnTo>
                            <a:lnTo>
                              <a:pt x="0" y="0"/>
                            </a:lnTo>
                            <a:lnTo>
                              <a:pt x="0" y="27432"/>
                            </a:lnTo>
                            <a:lnTo>
                              <a:pt x="577545" y="27432"/>
                            </a:lnTo>
                            <a:lnTo>
                              <a:pt x="577545" y="28905"/>
                            </a:lnTo>
                            <a:lnTo>
                              <a:pt x="577545" y="1080465"/>
                            </a:lnTo>
                            <a:lnTo>
                              <a:pt x="604977" y="1080465"/>
                            </a:lnTo>
                            <a:lnTo>
                              <a:pt x="604977" y="28956"/>
                            </a:lnTo>
                            <a:lnTo>
                              <a:pt x="604977" y="27432"/>
                            </a:lnTo>
                            <a:lnTo>
                              <a:pt x="5703646" y="27432"/>
                            </a:lnTo>
                            <a:lnTo>
                              <a:pt x="5703646"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8.024002pt;margin-top:657.820007pt;width:449.15pt;height:85.1pt;mso-position-horizontal-relative:page;mso-position-vertical-relative:page;z-index:-27965952" id="docshape263" coordorigin="1560,13156" coordsize="8983,1702" path="m10543,13156l2513,13156,2470,13156,1560,13156,1560,13200,2470,13200,2470,13202,2470,14858,2513,14858,2513,13202,2513,13200,10543,13200,10543,13156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5351040">
              <wp:simplePos x="0" y="0"/>
              <wp:positionH relativeFrom="page">
                <wp:posOffset>1021384</wp:posOffset>
              </wp:positionH>
              <wp:positionV relativeFrom="page">
                <wp:posOffset>8375862</wp:posOffset>
              </wp:positionV>
              <wp:extent cx="345440" cy="196215"/>
              <wp:effectExtent l="0" t="0" r="0" b="0"/>
              <wp:wrapNone/>
              <wp:docPr id="352" name="Textbox 352"/>
              <wp:cNvGraphicFramePr>
                <a:graphicFrameLocks/>
              </wp:cNvGraphicFramePr>
              <a:graphic>
                <a:graphicData uri="http://schemas.microsoft.com/office/word/2010/wordprocessingShape">
                  <wps:wsp>
                    <wps:cNvPr id="352" name="Textbox 352"/>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206</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80.424004pt;margin-top:659.516724pt;width:27.2pt;height:15.45pt;mso-position-horizontal-relative:page;mso-position-vertical-relative:page;z-index:-27965440" type="#_x0000_t202" id="docshape264"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206</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5351552">
              <wp:simplePos x="0" y="0"/>
              <wp:positionH relativeFrom="page">
                <wp:posOffset>1638045</wp:posOffset>
              </wp:positionH>
              <wp:positionV relativeFrom="page">
                <wp:posOffset>8375862</wp:posOffset>
              </wp:positionV>
              <wp:extent cx="2898775" cy="196215"/>
              <wp:effectExtent l="0" t="0" r="0" b="0"/>
              <wp:wrapNone/>
              <wp:docPr id="353" name="Textbox 353"/>
              <wp:cNvGraphicFramePr>
                <a:graphicFrameLocks/>
              </wp:cNvGraphicFramePr>
              <a:graphic>
                <a:graphicData uri="http://schemas.microsoft.com/office/word/2010/wordprocessingShape">
                  <wps:wsp>
                    <wps:cNvPr id="353" name="Textbox 353"/>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a:graphicData>
              </a:graphic>
            </wp:anchor>
          </w:drawing>
        </mc:Choice>
        <mc:Fallback>
          <w:pict>
            <v:shape style="position:absolute;margin-left:128.979996pt;margin-top:659.516724pt;width:228.25pt;height:15.45pt;mso-position-horizontal-relative:page;mso-position-vertical-relative:page;z-index:-27964928" type="#_x0000_t202" id="docshape265"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pict>
        </mc:Fallback>
      </mc:AlternateContent>
    </w: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5352064">
              <wp:simplePos x="0" y="0"/>
              <wp:positionH relativeFrom="page">
                <wp:posOffset>990904</wp:posOffset>
              </wp:positionH>
              <wp:positionV relativeFrom="page">
                <wp:posOffset>8354314</wp:posOffset>
              </wp:positionV>
              <wp:extent cx="5704205" cy="1080770"/>
              <wp:effectExtent l="0" t="0" r="0" b="0"/>
              <wp:wrapNone/>
              <wp:docPr id="354" name="Graphic 354"/>
              <wp:cNvGraphicFramePr>
                <a:graphicFrameLocks/>
              </wp:cNvGraphicFramePr>
              <a:graphic>
                <a:graphicData uri="http://schemas.microsoft.com/office/word/2010/wordprocessingShape">
                  <wps:wsp>
                    <wps:cNvPr id="354" name="Graphic 354"/>
                    <wps:cNvSpPr/>
                    <wps:spPr>
                      <a:xfrm>
                        <a:off x="0" y="0"/>
                        <a:ext cx="5704205" cy="1080770"/>
                      </a:xfrm>
                      <a:custGeom>
                        <a:avLst/>
                        <a:gdLst/>
                        <a:ahLst/>
                        <a:cxnLst/>
                        <a:rect l="l" t="t" r="r" b="b"/>
                        <a:pathLst>
                          <a:path w="5704205" h="1080770">
                            <a:moveTo>
                              <a:pt x="5703646" y="0"/>
                            </a:moveTo>
                            <a:lnTo>
                              <a:pt x="604977" y="0"/>
                            </a:lnTo>
                            <a:lnTo>
                              <a:pt x="577583" y="0"/>
                            </a:lnTo>
                            <a:lnTo>
                              <a:pt x="0" y="0"/>
                            </a:lnTo>
                            <a:lnTo>
                              <a:pt x="0" y="27432"/>
                            </a:lnTo>
                            <a:lnTo>
                              <a:pt x="577545" y="27432"/>
                            </a:lnTo>
                            <a:lnTo>
                              <a:pt x="577545" y="28905"/>
                            </a:lnTo>
                            <a:lnTo>
                              <a:pt x="577545" y="1080465"/>
                            </a:lnTo>
                            <a:lnTo>
                              <a:pt x="604977" y="1080465"/>
                            </a:lnTo>
                            <a:lnTo>
                              <a:pt x="604977" y="28956"/>
                            </a:lnTo>
                            <a:lnTo>
                              <a:pt x="604977" y="27432"/>
                            </a:lnTo>
                            <a:lnTo>
                              <a:pt x="5703646" y="27432"/>
                            </a:lnTo>
                            <a:lnTo>
                              <a:pt x="5703646"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8.024002pt;margin-top:657.820007pt;width:449.15pt;height:85.1pt;mso-position-horizontal-relative:page;mso-position-vertical-relative:page;z-index:-27964416" id="docshape266" coordorigin="1560,13156" coordsize="8983,1702" path="m10543,13156l2513,13156,2470,13156,1560,13156,1560,13200,2470,13200,2470,13202,2470,14858,2513,14858,2513,13202,2513,13200,10543,13200,10543,13156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5352576">
              <wp:simplePos x="0" y="0"/>
              <wp:positionH relativeFrom="page">
                <wp:posOffset>1021384</wp:posOffset>
              </wp:positionH>
              <wp:positionV relativeFrom="page">
                <wp:posOffset>8375862</wp:posOffset>
              </wp:positionV>
              <wp:extent cx="345440" cy="196215"/>
              <wp:effectExtent l="0" t="0" r="0" b="0"/>
              <wp:wrapNone/>
              <wp:docPr id="355" name="Textbox 355"/>
              <wp:cNvGraphicFramePr>
                <a:graphicFrameLocks/>
              </wp:cNvGraphicFramePr>
              <a:graphic>
                <a:graphicData uri="http://schemas.microsoft.com/office/word/2010/wordprocessingShape">
                  <wps:wsp>
                    <wps:cNvPr id="355" name="Textbox 355"/>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215</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80.424004pt;margin-top:659.516724pt;width:27.2pt;height:15.45pt;mso-position-horizontal-relative:page;mso-position-vertical-relative:page;z-index:-27963904" type="#_x0000_t202" id="docshape267"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215</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5353088">
              <wp:simplePos x="0" y="0"/>
              <wp:positionH relativeFrom="page">
                <wp:posOffset>1638045</wp:posOffset>
              </wp:positionH>
              <wp:positionV relativeFrom="page">
                <wp:posOffset>8375862</wp:posOffset>
              </wp:positionV>
              <wp:extent cx="2898775" cy="196215"/>
              <wp:effectExtent l="0" t="0" r="0" b="0"/>
              <wp:wrapNone/>
              <wp:docPr id="356" name="Textbox 356"/>
              <wp:cNvGraphicFramePr>
                <a:graphicFrameLocks/>
              </wp:cNvGraphicFramePr>
              <a:graphic>
                <a:graphicData uri="http://schemas.microsoft.com/office/word/2010/wordprocessingShape">
                  <wps:wsp>
                    <wps:cNvPr id="356" name="Textbox 356"/>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a:graphicData>
              </a:graphic>
            </wp:anchor>
          </w:drawing>
        </mc:Choice>
        <mc:Fallback>
          <w:pict>
            <v:shape style="position:absolute;margin-left:128.979996pt;margin-top:659.516724pt;width:228.25pt;height:15.45pt;mso-position-horizontal-relative:page;mso-position-vertical-relative:page;z-index:-27963392" type="#_x0000_t202" id="docshape268"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pict>
        </mc:Fallback>
      </mc:AlternateContent>
    </w:r>
  </w:p>
</w:ftr>
</file>

<file path=word/footer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5353600">
              <wp:simplePos x="0" y="0"/>
              <wp:positionH relativeFrom="page">
                <wp:posOffset>990904</wp:posOffset>
              </wp:positionH>
              <wp:positionV relativeFrom="page">
                <wp:posOffset>8354314</wp:posOffset>
              </wp:positionV>
              <wp:extent cx="5704205" cy="1080770"/>
              <wp:effectExtent l="0" t="0" r="0" b="0"/>
              <wp:wrapNone/>
              <wp:docPr id="357" name="Graphic 357"/>
              <wp:cNvGraphicFramePr>
                <a:graphicFrameLocks/>
              </wp:cNvGraphicFramePr>
              <a:graphic>
                <a:graphicData uri="http://schemas.microsoft.com/office/word/2010/wordprocessingShape">
                  <wps:wsp>
                    <wps:cNvPr id="357" name="Graphic 357"/>
                    <wps:cNvSpPr/>
                    <wps:spPr>
                      <a:xfrm>
                        <a:off x="0" y="0"/>
                        <a:ext cx="5704205" cy="1080770"/>
                      </a:xfrm>
                      <a:custGeom>
                        <a:avLst/>
                        <a:gdLst/>
                        <a:ahLst/>
                        <a:cxnLst/>
                        <a:rect l="l" t="t" r="r" b="b"/>
                        <a:pathLst>
                          <a:path w="5704205" h="1080770">
                            <a:moveTo>
                              <a:pt x="5703646" y="0"/>
                            </a:moveTo>
                            <a:lnTo>
                              <a:pt x="604977" y="0"/>
                            </a:lnTo>
                            <a:lnTo>
                              <a:pt x="577583" y="0"/>
                            </a:lnTo>
                            <a:lnTo>
                              <a:pt x="0" y="0"/>
                            </a:lnTo>
                            <a:lnTo>
                              <a:pt x="0" y="27432"/>
                            </a:lnTo>
                            <a:lnTo>
                              <a:pt x="577545" y="27432"/>
                            </a:lnTo>
                            <a:lnTo>
                              <a:pt x="577545" y="28905"/>
                            </a:lnTo>
                            <a:lnTo>
                              <a:pt x="577545" y="1080465"/>
                            </a:lnTo>
                            <a:lnTo>
                              <a:pt x="604977" y="1080465"/>
                            </a:lnTo>
                            <a:lnTo>
                              <a:pt x="604977" y="28956"/>
                            </a:lnTo>
                            <a:lnTo>
                              <a:pt x="604977" y="27432"/>
                            </a:lnTo>
                            <a:lnTo>
                              <a:pt x="5703646" y="27432"/>
                            </a:lnTo>
                            <a:lnTo>
                              <a:pt x="5703646"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8.024002pt;margin-top:657.820007pt;width:449.15pt;height:85.1pt;mso-position-horizontal-relative:page;mso-position-vertical-relative:page;z-index:-27962880" id="docshape269" coordorigin="1560,13156" coordsize="8983,1702" path="m10543,13156l2513,13156,2470,13156,1560,13156,1560,13200,2470,13200,2470,13202,2470,14858,2513,14858,2513,13202,2513,13200,10543,13200,10543,13156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5354112">
              <wp:simplePos x="0" y="0"/>
              <wp:positionH relativeFrom="page">
                <wp:posOffset>1021384</wp:posOffset>
              </wp:positionH>
              <wp:positionV relativeFrom="page">
                <wp:posOffset>8375862</wp:posOffset>
              </wp:positionV>
              <wp:extent cx="345440" cy="196215"/>
              <wp:effectExtent l="0" t="0" r="0" b="0"/>
              <wp:wrapNone/>
              <wp:docPr id="358" name="Textbox 358"/>
              <wp:cNvGraphicFramePr>
                <a:graphicFrameLocks/>
              </wp:cNvGraphicFramePr>
              <a:graphic>
                <a:graphicData uri="http://schemas.microsoft.com/office/word/2010/wordprocessingShape">
                  <wps:wsp>
                    <wps:cNvPr id="358" name="Textbox 358"/>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219</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80.424004pt;margin-top:659.516724pt;width:27.2pt;height:15.45pt;mso-position-horizontal-relative:page;mso-position-vertical-relative:page;z-index:-27962368" type="#_x0000_t202" id="docshape270"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219</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5354624">
              <wp:simplePos x="0" y="0"/>
              <wp:positionH relativeFrom="page">
                <wp:posOffset>1638045</wp:posOffset>
              </wp:positionH>
              <wp:positionV relativeFrom="page">
                <wp:posOffset>8375862</wp:posOffset>
              </wp:positionV>
              <wp:extent cx="2898775" cy="196215"/>
              <wp:effectExtent l="0" t="0" r="0" b="0"/>
              <wp:wrapNone/>
              <wp:docPr id="359" name="Textbox 359"/>
              <wp:cNvGraphicFramePr>
                <a:graphicFrameLocks/>
              </wp:cNvGraphicFramePr>
              <a:graphic>
                <a:graphicData uri="http://schemas.microsoft.com/office/word/2010/wordprocessingShape">
                  <wps:wsp>
                    <wps:cNvPr id="359" name="Textbox 359"/>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a:graphicData>
              </a:graphic>
            </wp:anchor>
          </w:drawing>
        </mc:Choice>
        <mc:Fallback>
          <w:pict>
            <v:shape style="position:absolute;margin-left:128.979996pt;margin-top:659.516724pt;width:228.25pt;height:15.45pt;mso-position-horizontal-relative:page;mso-position-vertical-relative:page;z-index:-27961856" type="#_x0000_t202" id="docshape271"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pict>
        </mc:Fallback>
      </mc:AlternateContent>
    </w:r>
  </w:p>
</w:ftr>
</file>

<file path=word/footer3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5355136">
              <wp:simplePos x="0" y="0"/>
              <wp:positionH relativeFrom="page">
                <wp:posOffset>990904</wp:posOffset>
              </wp:positionH>
              <wp:positionV relativeFrom="page">
                <wp:posOffset>8354314</wp:posOffset>
              </wp:positionV>
              <wp:extent cx="5704205" cy="1080770"/>
              <wp:effectExtent l="0" t="0" r="0" b="0"/>
              <wp:wrapNone/>
              <wp:docPr id="360" name="Graphic 360"/>
              <wp:cNvGraphicFramePr>
                <a:graphicFrameLocks/>
              </wp:cNvGraphicFramePr>
              <a:graphic>
                <a:graphicData uri="http://schemas.microsoft.com/office/word/2010/wordprocessingShape">
                  <wps:wsp>
                    <wps:cNvPr id="360" name="Graphic 360"/>
                    <wps:cNvSpPr/>
                    <wps:spPr>
                      <a:xfrm>
                        <a:off x="0" y="0"/>
                        <a:ext cx="5704205" cy="1080770"/>
                      </a:xfrm>
                      <a:custGeom>
                        <a:avLst/>
                        <a:gdLst/>
                        <a:ahLst/>
                        <a:cxnLst/>
                        <a:rect l="l" t="t" r="r" b="b"/>
                        <a:pathLst>
                          <a:path w="5704205" h="1080770">
                            <a:moveTo>
                              <a:pt x="5703646" y="0"/>
                            </a:moveTo>
                            <a:lnTo>
                              <a:pt x="604977" y="0"/>
                            </a:lnTo>
                            <a:lnTo>
                              <a:pt x="577583" y="0"/>
                            </a:lnTo>
                            <a:lnTo>
                              <a:pt x="0" y="0"/>
                            </a:lnTo>
                            <a:lnTo>
                              <a:pt x="0" y="27432"/>
                            </a:lnTo>
                            <a:lnTo>
                              <a:pt x="577545" y="27432"/>
                            </a:lnTo>
                            <a:lnTo>
                              <a:pt x="577545" y="28905"/>
                            </a:lnTo>
                            <a:lnTo>
                              <a:pt x="577545" y="1080465"/>
                            </a:lnTo>
                            <a:lnTo>
                              <a:pt x="604977" y="1080465"/>
                            </a:lnTo>
                            <a:lnTo>
                              <a:pt x="604977" y="28956"/>
                            </a:lnTo>
                            <a:lnTo>
                              <a:pt x="604977" y="27432"/>
                            </a:lnTo>
                            <a:lnTo>
                              <a:pt x="5703646" y="27432"/>
                            </a:lnTo>
                            <a:lnTo>
                              <a:pt x="5703646"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8.024002pt;margin-top:657.820007pt;width:449.15pt;height:85.1pt;mso-position-horizontal-relative:page;mso-position-vertical-relative:page;z-index:-27961344" id="docshape272" coordorigin="1560,13156" coordsize="8983,1702" path="m10543,13156l2513,13156,2470,13156,1560,13156,1560,13200,2470,13200,2470,13202,2470,14858,2513,14858,2513,13202,2513,13200,10543,13200,10543,13156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5355648">
              <wp:simplePos x="0" y="0"/>
              <wp:positionH relativeFrom="page">
                <wp:posOffset>1021384</wp:posOffset>
              </wp:positionH>
              <wp:positionV relativeFrom="page">
                <wp:posOffset>8375862</wp:posOffset>
              </wp:positionV>
              <wp:extent cx="345440" cy="196215"/>
              <wp:effectExtent l="0" t="0" r="0" b="0"/>
              <wp:wrapNone/>
              <wp:docPr id="361" name="Textbox 361"/>
              <wp:cNvGraphicFramePr>
                <a:graphicFrameLocks/>
              </wp:cNvGraphicFramePr>
              <a:graphic>
                <a:graphicData uri="http://schemas.microsoft.com/office/word/2010/wordprocessingShape">
                  <wps:wsp>
                    <wps:cNvPr id="361" name="Textbox 361"/>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230</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80.424004pt;margin-top:659.516724pt;width:27.2pt;height:15.45pt;mso-position-horizontal-relative:page;mso-position-vertical-relative:page;z-index:-27960832" type="#_x0000_t202" id="docshape273"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230</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5356160">
              <wp:simplePos x="0" y="0"/>
              <wp:positionH relativeFrom="page">
                <wp:posOffset>1638045</wp:posOffset>
              </wp:positionH>
              <wp:positionV relativeFrom="page">
                <wp:posOffset>8375862</wp:posOffset>
              </wp:positionV>
              <wp:extent cx="2898775" cy="196215"/>
              <wp:effectExtent l="0" t="0" r="0" b="0"/>
              <wp:wrapNone/>
              <wp:docPr id="362" name="Textbox 362"/>
              <wp:cNvGraphicFramePr>
                <a:graphicFrameLocks/>
              </wp:cNvGraphicFramePr>
              <a:graphic>
                <a:graphicData uri="http://schemas.microsoft.com/office/word/2010/wordprocessingShape">
                  <wps:wsp>
                    <wps:cNvPr id="362" name="Textbox 362"/>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a:graphicData>
              </a:graphic>
            </wp:anchor>
          </w:drawing>
        </mc:Choice>
        <mc:Fallback>
          <w:pict>
            <v:shape style="position:absolute;margin-left:128.979996pt;margin-top:659.516724pt;width:228.25pt;height:15.45pt;mso-position-horizontal-relative:page;mso-position-vertical-relative:page;z-index:-27960320" type="#_x0000_t202" id="docshape274"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pict>
        </mc:Fallback>
      </mc:AlternateContent>
    </w:r>
  </w:p>
</w:ftr>
</file>

<file path=word/footer3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5356672">
              <wp:simplePos x="0" y="0"/>
              <wp:positionH relativeFrom="page">
                <wp:posOffset>900684</wp:posOffset>
              </wp:positionH>
              <wp:positionV relativeFrom="page">
                <wp:posOffset>6068314</wp:posOffset>
              </wp:positionV>
              <wp:extent cx="5704205" cy="1080770"/>
              <wp:effectExtent l="0" t="0" r="0" b="0"/>
              <wp:wrapNone/>
              <wp:docPr id="363" name="Graphic 363"/>
              <wp:cNvGraphicFramePr>
                <a:graphicFrameLocks/>
              </wp:cNvGraphicFramePr>
              <a:graphic>
                <a:graphicData uri="http://schemas.microsoft.com/office/word/2010/wordprocessingShape">
                  <wps:wsp>
                    <wps:cNvPr id="363" name="Graphic 363"/>
                    <wps:cNvSpPr/>
                    <wps:spPr>
                      <a:xfrm>
                        <a:off x="0" y="0"/>
                        <a:ext cx="5704205" cy="1080770"/>
                      </a:xfrm>
                      <a:custGeom>
                        <a:avLst/>
                        <a:gdLst/>
                        <a:ahLst/>
                        <a:cxnLst/>
                        <a:rect l="l" t="t" r="r" b="b"/>
                        <a:pathLst>
                          <a:path w="5704205" h="1080770">
                            <a:moveTo>
                              <a:pt x="5703697" y="0"/>
                            </a:moveTo>
                            <a:lnTo>
                              <a:pt x="605282" y="0"/>
                            </a:lnTo>
                            <a:lnTo>
                              <a:pt x="577900" y="0"/>
                            </a:lnTo>
                            <a:lnTo>
                              <a:pt x="0" y="0"/>
                            </a:lnTo>
                            <a:lnTo>
                              <a:pt x="0" y="27432"/>
                            </a:lnTo>
                            <a:lnTo>
                              <a:pt x="577850" y="27432"/>
                            </a:lnTo>
                            <a:lnTo>
                              <a:pt x="577850" y="28905"/>
                            </a:lnTo>
                            <a:lnTo>
                              <a:pt x="577850" y="1080465"/>
                            </a:lnTo>
                            <a:lnTo>
                              <a:pt x="605282" y="1080465"/>
                            </a:lnTo>
                            <a:lnTo>
                              <a:pt x="605282" y="28956"/>
                            </a:lnTo>
                            <a:lnTo>
                              <a:pt x="605282" y="27432"/>
                            </a:lnTo>
                            <a:lnTo>
                              <a:pt x="5703697" y="27432"/>
                            </a:lnTo>
                            <a:lnTo>
                              <a:pt x="570369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0.920006pt;margin-top:477.820007pt;width:449.15pt;height:85.1pt;mso-position-horizontal-relative:page;mso-position-vertical-relative:page;z-index:-27959808" id="docshape275" coordorigin="1418,9556" coordsize="8983,1702" path="m10401,9556l2372,9556,2328,9556,1418,9556,1418,9600,2328,9600,2328,9602,2328,11258,2372,11258,2372,9602,2372,9600,10401,9600,10401,9556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5357184">
              <wp:simplePos x="0" y="0"/>
              <wp:positionH relativeFrom="page">
                <wp:posOffset>931163</wp:posOffset>
              </wp:positionH>
              <wp:positionV relativeFrom="page">
                <wp:posOffset>6089862</wp:posOffset>
              </wp:positionV>
              <wp:extent cx="345440" cy="196215"/>
              <wp:effectExtent l="0" t="0" r="0" b="0"/>
              <wp:wrapNone/>
              <wp:docPr id="364" name="Textbox 364"/>
              <wp:cNvGraphicFramePr>
                <a:graphicFrameLocks/>
              </wp:cNvGraphicFramePr>
              <a:graphic>
                <a:graphicData uri="http://schemas.microsoft.com/office/word/2010/wordprocessingShape">
                  <wps:wsp>
                    <wps:cNvPr id="364" name="Textbox 364"/>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238</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73.320pt;margin-top:479.516724pt;width:27.2pt;height:15.45pt;mso-position-horizontal-relative:page;mso-position-vertical-relative:page;z-index:-27959296" type="#_x0000_t202" id="docshape276"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238</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5357696">
              <wp:simplePos x="0" y="0"/>
              <wp:positionH relativeFrom="page">
                <wp:posOffset>1548130</wp:posOffset>
              </wp:positionH>
              <wp:positionV relativeFrom="page">
                <wp:posOffset>6089862</wp:posOffset>
              </wp:positionV>
              <wp:extent cx="2898140" cy="196215"/>
              <wp:effectExtent l="0" t="0" r="0" b="0"/>
              <wp:wrapNone/>
              <wp:docPr id="365" name="Textbox 365"/>
              <wp:cNvGraphicFramePr>
                <a:graphicFrameLocks/>
              </wp:cNvGraphicFramePr>
              <a:graphic>
                <a:graphicData uri="http://schemas.microsoft.com/office/word/2010/wordprocessingShape">
                  <wps:wsp>
                    <wps:cNvPr id="365" name="Textbox 365"/>
                    <wps:cNvSpPr txBox="1"/>
                    <wps:spPr>
                      <a:xfrm>
                        <a:off x="0" y="0"/>
                        <a:ext cx="2898140"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a:graphicData>
              </a:graphic>
            </wp:anchor>
          </w:drawing>
        </mc:Choice>
        <mc:Fallback>
          <w:pict>
            <v:shape style="position:absolute;margin-left:121.900002pt;margin-top:479.516724pt;width:228.2pt;height:15.45pt;mso-position-horizontal-relative:page;mso-position-vertical-relative:page;z-index:-27958784" type="#_x0000_t202" id="docshape277"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pict>
        </mc:Fallback>
      </mc:AlternateContent>
    </w:r>
  </w:p>
</w:ftr>
</file>

<file path=word/footer3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5358208">
              <wp:simplePos x="0" y="0"/>
              <wp:positionH relativeFrom="page">
                <wp:posOffset>990904</wp:posOffset>
              </wp:positionH>
              <wp:positionV relativeFrom="page">
                <wp:posOffset>8354314</wp:posOffset>
              </wp:positionV>
              <wp:extent cx="5704205" cy="1080770"/>
              <wp:effectExtent l="0" t="0" r="0" b="0"/>
              <wp:wrapNone/>
              <wp:docPr id="366" name="Graphic 366"/>
              <wp:cNvGraphicFramePr>
                <a:graphicFrameLocks/>
              </wp:cNvGraphicFramePr>
              <a:graphic>
                <a:graphicData uri="http://schemas.microsoft.com/office/word/2010/wordprocessingShape">
                  <wps:wsp>
                    <wps:cNvPr id="366" name="Graphic 366"/>
                    <wps:cNvSpPr/>
                    <wps:spPr>
                      <a:xfrm>
                        <a:off x="0" y="0"/>
                        <a:ext cx="5704205" cy="1080770"/>
                      </a:xfrm>
                      <a:custGeom>
                        <a:avLst/>
                        <a:gdLst/>
                        <a:ahLst/>
                        <a:cxnLst/>
                        <a:rect l="l" t="t" r="r" b="b"/>
                        <a:pathLst>
                          <a:path w="5704205" h="1080770">
                            <a:moveTo>
                              <a:pt x="5703646" y="0"/>
                            </a:moveTo>
                            <a:lnTo>
                              <a:pt x="604977" y="0"/>
                            </a:lnTo>
                            <a:lnTo>
                              <a:pt x="577583" y="0"/>
                            </a:lnTo>
                            <a:lnTo>
                              <a:pt x="0" y="0"/>
                            </a:lnTo>
                            <a:lnTo>
                              <a:pt x="0" y="27432"/>
                            </a:lnTo>
                            <a:lnTo>
                              <a:pt x="577545" y="27432"/>
                            </a:lnTo>
                            <a:lnTo>
                              <a:pt x="577545" y="28905"/>
                            </a:lnTo>
                            <a:lnTo>
                              <a:pt x="577545" y="1080465"/>
                            </a:lnTo>
                            <a:lnTo>
                              <a:pt x="604977" y="1080465"/>
                            </a:lnTo>
                            <a:lnTo>
                              <a:pt x="604977" y="28956"/>
                            </a:lnTo>
                            <a:lnTo>
                              <a:pt x="604977" y="27432"/>
                            </a:lnTo>
                            <a:lnTo>
                              <a:pt x="5703646" y="27432"/>
                            </a:lnTo>
                            <a:lnTo>
                              <a:pt x="5703646"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8.024002pt;margin-top:657.820007pt;width:449.15pt;height:85.1pt;mso-position-horizontal-relative:page;mso-position-vertical-relative:page;z-index:-27958272" id="docshape278" coordorigin="1560,13156" coordsize="8983,1702" path="m10543,13156l2513,13156,2470,13156,1560,13156,1560,13200,2470,13200,2470,13202,2470,14858,2513,14858,2513,13202,2513,13200,10543,13200,10543,13156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5358720">
              <wp:simplePos x="0" y="0"/>
              <wp:positionH relativeFrom="page">
                <wp:posOffset>1021384</wp:posOffset>
              </wp:positionH>
              <wp:positionV relativeFrom="page">
                <wp:posOffset>8375862</wp:posOffset>
              </wp:positionV>
              <wp:extent cx="345440" cy="196215"/>
              <wp:effectExtent l="0" t="0" r="0" b="0"/>
              <wp:wrapNone/>
              <wp:docPr id="367" name="Textbox 367"/>
              <wp:cNvGraphicFramePr>
                <a:graphicFrameLocks/>
              </wp:cNvGraphicFramePr>
              <a:graphic>
                <a:graphicData uri="http://schemas.microsoft.com/office/word/2010/wordprocessingShape">
                  <wps:wsp>
                    <wps:cNvPr id="367" name="Textbox 367"/>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243</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80.424004pt;margin-top:659.516724pt;width:27.2pt;height:15.45pt;mso-position-horizontal-relative:page;mso-position-vertical-relative:page;z-index:-27957760" type="#_x0000_t202" id="docshape279"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243</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5359232">
              <wp:simplePos x="0" y="0"/>
              <wp:positionH relativeFrom="page">
                <wp:posOffset>1638045</wp:posOffset>
              </wp:positionH>
              <wp:positionV relativeFrom="page">
                <wp:posOffset>8375862</wp:posOffset>
              </wp:positionV>
              <wp:extent cx="2898775" cy="196215"/>
              <wp:effectExtent l="0" t="0" r="0" b="0"/>
              <wp:wrapNone/>
              <wp:docPr id="368" name="Textbox 368"/>
              <wp:cNvGraphicFramePr>
                <a:graphicFrameLocks/>
              </wp:cNvGraphicFramePr>
              <a:graphic>
                <a:graphicData uri="http://schemas.microsoft.com/office/word/2010/wordprocessingShape">
                  <wps:wsp>
                    <wps:cNvPr id="368" name="Textbox 368"/>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wps:txbx>
                    <wps:bodyPr wrap="square" lIns="0" tIns="0" rIns="0" bIns="0" rtlCol="0">
                      <a:noAutofit/>
                    </wps:bodyPr>
                  </wps:wsp>
                </a:graphicData>
              </a:graphic>
            </wp:anchor>
          </w:drawing>
        </mc:Choice>
        <mc:Fallback>
          <w:pict>
            <v:shape style="position:absolute;margin-left:128.979996pt;margin-top:659.516724pt;width:228.25pt;height:15.45pt;mso-position-horizontal-relative:page;mso-position-vertical-relative:page;z-index:-27957248" type="#_x0000_t202" id="docshape280"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2027</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
    <w:multiLevelType w:val="hybridMultilevel"/>
    <w:lvl w:ilvl="0">
      <w:start w:val="0"/>
      <w:numFmt w:val="bullet"/>
      <w:lvlText w:val="•"/>
      <w:lvlJc w:val="left"/>
      <w:pPr>
        <w:ind w:left="3386" w:hanging="51"/>
      </w:pPr>
      <w:rPr>
        <w:rFonts w:hint="default" w:ascii="Arial" w:hAnsi="Arial" w:eastAsia="Arial" w:cs="Arial"/>
        <w:b w:val="0"/>
        <w:bCs w:val="0"/>
        <w:i w:val="0"/>
        <w:iCs w:val="0"/>
        <w:color w:val="9ECDE9"/>
        <w:spacing w:val="0"/>
        <w:w w:val="41"/>
        <w:sz w:val="14"/>
        <w:szCs w:val="14"/>
        <w:lang w:val="es-ES" w:eastAsia="en-US" w:bidi="ar-SA"/>
      </w:rPr>
    </w:lvl>
    <w:lvl w:ilvl="1">
      <w:start w:val="0"/>
      <w:numFmt w:val="bullet"/>
      <w:lvlText w:val="•"/>
      <w:lvlJc w:val="left"/>
      <w:pPr>
        <w:ind w:left="4086" w:hanging="51"/>
      </w:pPr>
      <w:rPr>
        <w:rFonts w:hint="default"/>
        <w:lang w:val="es-ES" w:eastAsia="en-US" w:bidi="ar-SA"/>
      </w:rPr>
    </w:lvl>
    <w:lvl w:ilvl="2">
      <w:start w:val="0"/>
      <w:numFmt w:val="bullet"/>
      <w:lvlText w:val="•"/>
      <w:lvlJc w:val="left"/>
      <w:pPr>
        <w:ind w:left="4792" w:hanging="51"/>
      </w:pPr>
      <w:rPr>
        <w:rFonts w:hint="default"/>
        <w:lang w:val="es-ES" w:eastAsia="en-US" w:bidi="ar-SA"/>
      </w:rPr>
    </w:lvl>
    <w:lvl w:ilvl="3">
      <w:start w:val="0"/>
      <w:numFmt w:val="bullet"/>
      <w:lvlText w:val="•"/>
      <w:lvlJc w:val="left"/>
      <w:pPr>
        <w:ind w:left="5498" w:hanging="51"/>
      </w:pPr>
      <w:rPr>
        <w:rFonts w:hint="default"/>
        <w:lang w:val="es-ES" w:eastAsia="en-US" w:bidi="ar-SA"/>
      </w:rPr>
    </w:lvl>
    <w:lvl w:ilvl="4">
      <w:start w:val="0"/>
      <w:numFmt w:val="bullet"/>
      <w:lvlText w:val="•"/>
      <w:lvlJc w:val="left"/>
      <w:pPr>
        <w:ind w:left="6204" w:hanging="51"/>
      </w:pPr>
      <w:rPr>
        <w:rFonts w:hint="default"/>
        <w:lang w:val="es-ES" w:eastAsia="en-US" w:bidi="ar-SA"/>
      </w:rPr>
    </w:lvl>
    <w:lvl w:ilvl="5">
      <w:start w:val="0"/>
      <w:numFmt w:val="bullet"/>
      <w:lvlText w:val="•"/>
      <w:lvlJc w:val="left"/>
      <w:pPr>
        <w:ind w:left="6910" w:hanging="51"/>
      </w:pPr>
      <w:rPr>
        <w:rFonts w:hint="default"/>
        <w:lang w:val="es-ES" w:eastAsia="en-US" w:bidi="ar-SA"/>
      </w:rPr>
    </w:lvl>
    <w:lvl w:ilvl="6">
      <w:start w:val="0"/>
      <w:numFmt w:val="bullet"/>
      <w:lvlText w:val="•"/>
      <w:lvlJc w:val="left"/>
      <w:pPr>
        <w:ind w:left="7616" w:hanging="51"/>
      </w:pPr>
      <w:rPr>
        <w:rFonts w:hint="default"/>
        <w:lang w:val="es-ES" w:eastAsia="en-US" w:bidi="ar-SA"/>
      </w:rPr>
    </w:lvl>
    <w:lvl w:ilvl="7">
      <w:start w:val="0"/>
      <w:numFmt w:val="bullet"/>
      <w:lvlText w:val="•"/>
      <w:lvlJc w:val="left"/>
      <w:pPr>
        <w:ind w:left="8322" w:hanging="51"/>
      </w:pPr>
      <w:rPr>
        <w:rFonts w:hint="default"/>
        <w:lang w:val="es-ES" w:eastAsia="en-US" w:bidi="ar-SA"/>
      </w:rPr>
    </w:lvl>
    <w:lvl w:ilvl="8">
      <w:start w:val="0"/>
      <w:numFmt w:val="bullet"/>
      <w:lvlText w:val="•"/>
      <w:lvlJc w:val="left"/>
      <w:pPr>
        <w:ind w:left="9028" w:hanging="51"/>
      </w:pPr>
      <w:rPr>
        <w:rFonts w:hint="default"/>
        <w:lang w:val="es-ES" w:eastAsia="en-US" w:bidi="ar-SA"/>
      </w:rPr>
    </w:lvl>
  </w:abstractNum>
  <w:abstractNum w:abstractNumId="42">
    <w:multiLevelType w:val="hybridMultilevel"/>
    <w:lvl w:ilvl="0">
      <w:start w:val="0"/>
      <w:numFmt w:val="bullet"/>
      <w:lvlText w:val="•"/>
      <w:lvlJc w:val="left"/>
      <w:pPr>
        <w:ind w:left="53" w:hanging="54"/>
      </w:pPr>
      <w:rPr>
        <w:rFonts w:hint="default" w:ascii="Arial" w:hAnsi="Arial" w:eastAsia="Arial" w:cs="Arial"/>
        <w:b w:val="0"/>
        <w:bCs w:val="0"/>
        <w:i w:val="0"/>
        <w:iCs w:val="0"/>
        <w:color w:val="90C8EB"/>
        <w:spacing w:val="0"/>
        <w:w w:val="56"/>
        <w:sz w:val="10"/>
        <w:szCs w:val="10"/>
        <w:lang w:val="es-ES" w:eastAsia="en-US" w:bidi="ar-SA"/>
      </w:rPr>
    </w:lvl>
    <w:lvl w:ilvl="1">
      <w:start w:val="0"/>
      <w:numFmt w:val="bullet"/>
      <w:lvlText w:val="•"/>
      <w:lvlJc w:val="left"/>
      <w:pPr>
        <w:ind w:left="284" w:hanging="54"/>
      </w:pPr>
      <w:rPr>
        <w:rFonts w:hint="default"/>
        <w:lang w:val="es-ES" w:eastAsia="en-US" w:bidi="ar-SA"/>
      </w:rPr>
    </w:lvl>
    <w:lvl w:ilvl="2">
      <w:start w:val="0"/>
      <w:numFmt w:val="bullet"/>
      <w:lvlText w:val="•"/>
      <w:lvlJc w:val="left"/>
      <w:pPr>
        <w:ind w:left="509" w:hanging="54"/>
      </w:pPr>
      <w:rPr>
        <w:rFonts w:hint="default"/>
        <w:lang w:val="es-ES" w:eastAsia="en-US" w:bidi="ar-SA"/>
      </w:rPr>
    </w:lvl>
    <w:lvl w:ilvl="3">
      <w:start w:val="0"/>
      <w:numFmt w:val="bullet"/>
      <w:lvlText w:val="•"/>
      <w:lvlJc w:val="left"/>
      <w:pPr>
        <w:ind w:left="734" w:hanging="54"/>
      </w:pPr>
      <w:rPr>
        <w:rFonts w:hint="default"/>
        <w:lang w:val="es-ES" w:eastAsia="en-US" w:bidi="ar-SA"/>
      </w:rPr>
    </w:lvl>
    <w:lvl w:ilvl="4">
      <w:start w:val="0"/>
      <w:numFmt w:val="bullet"/>
      <w:lvlText w:val="•"/>
      <w:lvlJc w:val="left"/>
      <w:pPr>
        <w:ind w:left="959" w:hanging="54"/>
      </w:pPr>
      <w:rPr>
        <w:rFonts w:hint="default"/>
        <w:lang w:val="es-ES" w:eastAsia="en-US" w:bidi="ar-SA"/>
      </w:rPr>
    </w:lvl>
    <w:lvl w:ilvl="5">
      <w:start w:val="0"/>
      <w:numFmt w:val="bullet"/>
      <w:lvlText w:val="•"/>
      <w:lvlJc w:val="left"/>
      <w:pPr>
        <w:ind w:left="1184" w:hanging="54"/>
      </w:pPr>
      <w:rPr>
        <w:rFonts w:hint="default"/>
        <w:lang w:val="es-ES" w:eastAsia="en-US" w:bidi="ar-SA"/>
      </w:rPr>
    </w:lvl>
    <w:lvl w:ilvl="6">
      <w:start w:val="0"/>
      <w:numFmt w:val="bullet"/>
      <w:lvlText w:val="•"/>
      <w:lvlJc w:val="left"/>
      <w:pPr>
        <w:ind w:left="1409" w:hanging="54"/>
      </w:pPr>
      <w:rPr>
        <w:rFonts w:hint="default"/>
        <w:lang w:val="es-ES" w:eastAsia="en-US" w:bidi="ar-SA"/>
      </w:rPr>
    </w:lvl>
    <w:lvl w:ilvl="7">
      <w:start w:val="0"/>
      <w:numFmt w:val="bullet"/>
      <w:lvlText w:val="•"/>
      <w:lvlJc w:val="left"/>
      <w:pPr>
        <w:ind w:left="1634" w:hanging="54"/>
      </w:pPr>
      <w:rPr>
        <w:rFonts w:hint="default"/>
        <w:lang w:val="es-ES" w:eastAsia="en-US" w:bidi="ar-SA"/>
      </w:rPr>
    </w:lvl>
    <w:lvl w:ilvl="8">
      <w:start w:val="0"/>
      <w:numFmt w:val="bullet"/>
      <w:lvlText w:val="•"/>
      <w:lvlJc w:val="left"/>
      <w:pPr>
        <w:ind w:left="1859" w:hanging="54"/>
      </w:pPr>
      <w:rPr>
        <w:rFonts w:hint="default"/>
        <w:lang w:val="es-ES" w:eastAsia="en-US" w:bidi="ar-SA"/>
      </w:rPr>
    </w:lvl>
  </w:abstractNum>
  <w:abstractNum w:abstractNumId="41">
    <w:multiLevelType w:val="hybridMultilevel"/>
    <w:lvl w:ilvl="0">
      <w:start w:val="0"/>
      <w:numFmt w:val="bullet"/>
      <w:lvlText w:val="•"/>
      <w:lvlJc w:val="left"/>
      <w:pPr>
        <w:ind w:left="1143" w:hanging="97"/>
      </w:pPr>
      <w:rPr>
        <w:rFonts w:hint="default" w:ascii="Arial" w:hAnsi="Arial" w:eastAsia="Arial" w:cs="Arial"/>
        <w:spacing w:val="0"/>
        <w:w w:val="48"/>
        <w:lang w:val="es-ES" w:eastAsia="en-US" w:bidi="ar-SA"/>
      </w:rPr>
    </w:lvl>
    <w:lvl w:ilvl="1">
      <w:start w:val="0"/>
      <w:numFmt w:val="bullet"/>
      <w:lvlText w:val="•"/>
      <w:lvlJc w:val="left"/>
      <w:pPr>
        <w:ind w:left="2488" w:hanging="1184"/>
      </w:pPr>
      <w:rPr>
        <w:rFonts w:hint="default" w:ascii="Times New Roman" w:hAnsi="Times New Roman" w:eastAsia="Times New Roman" w:cs="Times New Roman"/>
        <w:b w:val="0"/>
        <w:bCs w:val="0"/>
        <w:i w:val="0"/>
        <w:iCs w:val="0"/>
        <w:color w:val="DDAE79"/>
        <w:spacing w:val="0"/>
        <w:w w:val="68"/>
        <w:sz w:val="14"/>
        <w:szCs w:val="14"/>
        <w:lang w:val="es-ES" w:eastAsia="en-US" w:bidi="ar-SA"/>
      </w:rPr>
    </w:lvl>
    <w:lvl w:ilvl="2">
      <w:start w:val="0"/>
      <w:numFmt w:val="bullet"/>
      <w:lvlText w:val="•"/>
      <w:lvlJc w:val="left"/>
      <w:pPr>
        <w:ind w:left="2198" w:hanging="1184"/>
      </w:pPr>
      <w:rPr>
        <w:rFonts w:hint="default"/>
        <w:lang w:val="es-ES" w:eastAsia="en-US" w:bidi="ar-SA"/>
      </w:rPr>
    </w:lvl>
    <w:lvl w:ilvl="3">
      <w:start w:val="0"/>
      <w:numFmt w:val="bullet"/>
      <w:lvlText w:val="•"/>
      <w:lvlJc w:val="left"/>
      <w:pPr>
        <w:ind w:left="1916" w:hanging="1184"/>
      </w:pPr>
      <w:rPr>
        <w:rFonts w:hint="default"/>
        <w:lang w:val="es-ES" w:eastAsia="en-US" w:bidi="ar-SA"/>
      </w:rPr>
    </w:lvl>
    <w:lvl w:ilvl="4">
      <w:start w:val="0"/>
      <w:numFmt w:val="bullet"/>
      <w:lvlText w:val="•"/>
      <w:lvlJc w:val="left"/>
      <w:pPr>
        <w:ind w:left="1634" w:hanging="1184"/>
      </w:pPr>
      <w:rPr>
        <w:rFonts w:hint="default"/>
        <w:lang w:val="es-ES" w:eastAsia="en-US" w:bidi="ar-SA"/>
      </w:rPr>
    </w:lvl>
    <w:lvl w:ilvl="5">
      <w:start w:val="0"/>
      <w:numFmt w:val="bullet"/>
      <w:lvlText w:val="•"/>
      <w:lvlJc w:val="left"/>
      <w:pPr>
        <w:ind w:left="1352" w:hanging="1184"/>
      </w:pPr>
      <w:rPr>
        <w:rFonts w:hint="default"/>
        <w:lang w:val="es-ES" w:eastAsia="en-US" w:bidi="ar-SA"/>
      </w:rPr>
    </w:lvl>
    <w:lvl w:ilvl="6">
      <w:start w:val="0"/>
      <w:numFmt w:val="bullet"/>
      <w:lvlText w:val="•"/>
      <w:lvlJc w:val="left"/>
      <w:pPr>
        <w:ind w:left="1070" w:hanging="1184"/>
      </w:pPr>
      <w:rPr>
        <w:rFonts w:hint="default"/>
        <w:lang w:val="es-ES" w:eastAsia="en-US" w:bidi="ar-SA"/>
      </w:rPr>
    </w:lvl>
    <w:lvl w:ilvl="7">
      <w:start w:val="0"/>
      <w:numFmt w:val="bullet"/>
      <w:lvlText w:val="•"/>
      <w:lvlJc w:val="left"/>
      <w:pPr>
        <w:ind w:left="788" w:hanging="1184"/>
      </w:pPr>
      <w:rPr>
        <w:rFonts w:hint="default"/>
        <w:lang w:val="es-ES" w:eastAsia="en-US" w:bidi="ar-SA"/>
      </w:rPr>
    </w:lvl>
    <w:lvl w:ilvl="8">
      <w:start w:val="0"/>
      <w:numFmt w:val="bullet"/>
      <w:lvlText w:val="•"/>
      <w:lvlJc w:val="left"/>
      <w:pPr>
        <w:ind w:left="506" w:hanging="1184"/>
      </w:pPr>
      <w:rPr>
        <w:rFonts w:hint="default"/>
        <w:lang w:val="es-ES" w:eastAsia="en-US" w:bidi="ar-SA"/>
      </w:rPr>
    </w:lvl>
  </w:abstractNum>
  <w:abstractNum w:abstractNumId="40">
    <w:multiLevelType w:val="hybridMultilevel"/>
    <w:lvl w:ilvl="0">
      <w:start w:val="0"/>
      <w:numFmt w:val="bullet"/>
      <w:lvlText w:val="•"/>
      <w:lvlJc w:val="left"/>
      <w:pPr>
        <w:ind w:left="280" w:hanging="102"/>
      </w:pPr>
      <w:rPr>
        <w:rFonts w:hint="default" w:ascii="Arial" w:hAnsi="Arial" w:eastAsia="Arial" w:cs="Arial"/>
        <w:b w:val="0"/>
        <w:bCs w:val="0"/>
        <w:i w:val="0"/>
        <w:iCs w:val="0"/>
        <w:color w:val="7E743D"/>
        <w:spacing w:val="0"/>
        <w:w w:val="35"/>
        <w:sz w:val="22"/>
        <w:szCs w:val="22"/>
        <w:lang w:val="es-ES" w:eastAsia="en-US" w:bidi="ar-SA"/>
      </w:rPr>
    </w:lvl>
    <w:lvl w:ilvl="1">
      <w:start w:val="0"/>
      <w:numFmt w:val="bullet"/>
      <w:lvlText w:val="•"/>
      <w:lvlJc w:val="left"/>
      <w:pPr>
        <w:ind w:left="1865" w:hanging="125"/>
      </w:pPr>
      <w:rPr>
        <w:rFonts w:hint="default" w:ascii="Times New Roman" w:hAnsi="Times New Roman" w:eastAsia="Times New Roman" w:cs="Times New Roman"/>
        <w:b w:val="0"/>
        <w:bCs w:val="0"/>
        <w:i w:val="0"/>
        <w:iCs w:val="0"/>
        <w:color w:val="D1AAD4"/>
        <w:spacing w:val="0"/>
        <w:w w:val="268"/>
        <w:sz w:val="11"/>
        <w:szCs w:val="11"/>
        <w:lang w:val="es-ES" w:eastAsia="en-US" w:bidi="ar-SA"/>
      </w:rPr>
    </w:lvl>
    <w:lvl w:ilvl="2">
      <w:start w:val="0"/>
      <w:numFmt w:val="bullet"/>
      <w:lvlText w:val="•"/>
      <w:lvlJc w:val="left"/>
      <w:pPr>
        <w:ind w:left="1922" w:hanging="125"/>
      </w:pPr>
      <w:rPr>
        <w:rFonts w:hint="default"/>
        <w:lang w:val="es-ES" w:eastAsia="en-US" w:bidi="ar-SA"/>
      </w:rPr>
    </w:lvl>
    <w:lvl w:ilvl="3">
      <w:start w:val="0"/>
      <w:numFmt w:val="bullet"/>
      <w:lvlText w:val="•"/>
      <w:lvlJc w:val="left"/>
      <w:pPr>
        <w:ind w:left="1985" w:hanging="125"/>
      </w:pPr>
      <w:rPr>
        <w:rFonts w:hint="default"/>
        <w:lang w:val="es-ES" w:eastAsia="en-US" w:bidi="ar-SA"/>
      </w:rPr>
    </w:lvl>
    <w:lvl w:ilvl="4">
      <w:start w:val="0"/>
      <w:numFmt w:val="bullet"/>
      <w:lvlText w:val="•"/>
      <w:lvlJc w:val="left"/>
      <w:pPr>
        <w:ind w:left="2048" w:hanging="125"/>
      </w:pPr>
      <w:rPr>
        <w:rFonts w:hint="default"/>
        <w:lang w:val="es-ES" w:eastAsia="en-US" w:bidi="ar-SA"/>
      </w:rPr>
    </w:lvl>
    <w:lvl w:ilvl="5">
      <w:start w:val="0"/>
      <w:numFmt w:val="bullet"/>
      <w:lvlText w:val="•"/>
      <w:lvlJc w:val="left"/>
      <w:pPr>
        <w:ind w:left="2111" w:hanging="125"/>
      </w:pPr>
      <w:rPr>
        <w:rFonts w:hint="default"/>
        <w:lang w:val="es-ES" w:eastAsia="en-US" w:bidi="ar-SA"/>
      </w:rPr>
    </w:lvl>
    <w:lvl w:ilvl="6">
      <w:start w:val="0"/>
      <w:numFmt w:val="bullet"/>
      <w:lvlText w:val="•"/>
      <w:lvlJc w:val="left"/>
      <w:pPr>
        <w:ind w:left="2173" w:hanging="125"/>
      </w:pPr>
      <w:rPr>
        <w:rFonts w:hint="default"/>
        <w:lang w:val="es-ES" w:eastAsia="en-US" w:bidi="ar-SA"/>
      </w:rPr>
    </w:lvl>
    <w:lvl w:ilvl="7">
      <w:start w:val="0"/>
      <w:numFmt w:val="bullet"/>
      <w:lvlText w:val="•"/>
      <w:lvlJc w:val="left"/>
      <w:pPr>
        <w:ind w:left="2236" w:hanging="125"/>
      </w:pPr>
      <w:rPr>
        <w:rFonts w:hint="default"/>
        <w:lang w:val="es-ES" w:eastAsia="en-US" w:bidi="ar-SA"/>
      </w:rPr>
    </w:lvl>
    <w:lvl w:ilvl="8">
      <w:start w:val="0"/>
      <w:numFmt w:val="bullet"/>
      <w:lvlText w:val="•"/>
      <w:lvlJc w:val="left"/>
      <w:pPr>
        <w:ind w:left="2299" w:hanging="125"/>
      </w:pPr>
      <w:rPr>
        <w:rFonts w:hint="default"/>
        <w:lang w:val="es-ES" w:eastAsia="en-US" w:bidi="ar-SA"/>
      </w:rPr>
    </w:lvl>
  </w:abstractNum>
  <w:abstractNum w:abstractNumId="39">
    <w:multiLevelType w:val="hybridMultilevel"/>
    <w:lvl w:ilvl="0">
      <w:start w:val="0"/>
      <w:numFmt w:val="bullet"/>
      <w:lvlText w:val="•"/>
      <w:lvlJc w:val="left"/>
      <w:pPr>
        <w:ind w:left="401" w:hanging="402"/>
      </w:pPr>
      <w:rPr>
        <w:rFonts w:hint="default" w:ascii="Times New Roman" w:hAnsi="Times New Roman" w:eastAsia="Times New Roman" w:cs="Times New Roman"/>
        <w:b w:val="0"/>
        <w:bCs w:val="0"/>
        <w:i w:val="0"/>
        <w:iCs w:val="0"/>
        <w:color w:val="E9B341"/>
        <w:spacing w:val="0"/>
        <w:w w:val="50"/>
        <w:sz w:val="15"/>
        <w:szCs w:val="15"/>
        <w:lang w:val="es-ES" w:eastAsia="en-US" w:bidi="ar-SA"/>
      </w:rPr>
    </w:lvl>
    <w:lvl w:ilvl="1">
      <w:start w:val="0"/>
      <w:numFmt w:val="bullet"/>
      <w:lvlText w:val="•"/>
      <w:lvlJc w:val="left"/>
      <w:pPr>
        <w:ind w:left="446" w:hanging="402"/>
      </w:pPr>
      <w:rPr>
        <w:rFonts w:hint="default"/>
        <w:lang w:val="es-ES" w:eastAsia="en-US" w:bidi="ar-SA"/>
      </w:rPr>
    </w:lvl>
    <w:lvl w:ilvl="2">
      <w:start w:val="0"/>
      <w:numFmt w:val="bullet"/>
      <w:lvlText w:val="•"/>
      <w:lvlJc w:val="left"/>
      <w:pPr>
        <w:ind w:left="493" w:hanging="402"/>
      </w:pPr>
      <w:rPr>
        <w:rFonts w:hint="default"/>
        <w:lang w:val="es-ES" w:eastAsia="en-US" w:bidi="ar-SA"/>
      </w:rPr>
    </w:lvl>
    <w:lvl w:ilvl="3">
      <w:start w:val="0"/>
      <w:numFmt w:val="bullet"/>
      <w:lvlText w:val="•"/>
      <w:lvlJc w:val="left"/>
      <w:pPr>
        <w:ind w:left="539" w:hanging="402"/>
      </w:pPr>
      <w:rPr>
        <w:rFonts w:hint="default"/>
        <w:lang w:val="es-ES" w:eastAsia="en-US" w:bidi="ar-SA"/>
      </w:rPr>
    </w:lvl>
    <w:lvl w:ilvl="4">
      <w:start w:val="0"/>
      <w:numFmt w:val="bullet"/>
      <w:lvlText w:val="•"/>
      <w:lvlJc w:val="left"/>
      <w:pPr>
        <w:ind w:left="586" w:hanging="402"/>
      </w:pPr>
      <w:rPr>
        <w:rFonts w:hint="default"/>
        <w:lang w:val="es-ES" w:eastAsia="en-US" w:bidi="ar-SA"/>
      </w:rPr>
    </w:lvl>
    <w:lvl w:ilvl="5">
      <w:start w:val="0"/>
      <w:numFmt w:val="bullet"/>
      <w:lvlText w:val="•"/>
      <w:lvlJc w:val="left"/>
      <w:pPr>
        <w:ind w:left="632" w:hanging="402"/>
      </w:pPr>
      <w:rPr>
        <w:rFonts w:hint="default"/>
        <w:lang w:val="es-ES" w:eastAsia="en-US" w:bidi="ar-SA"/>
      </w:rPr>
    </w:lvl>
    <w:lvl w:ilvl="6">
      <w:start w:val="0"/>
      <w:numFmt w:val="bullet"/>
      <w:lvlText w:val="•"/>
      <w:lvlJc w:val="left"/>
      <w:pPr>
        <w:ind w:left="679" w:hanging="402"/>
      </w:pPr>
      <w:rPr>
        <w:rFonts w:hint="default"/>
        <w:lang w:val="es-ES" w:eastAsia="en-US" w:bidi="ar-SA"/>
      </w:rPr>
    </w:lvl>
    <w:lvl w:ilvl="7">
      <w:start w:val="0"/>
      <w:numFmt w:val="bullet"/>
      <w:lvlText w:val="•"/>
      <w:lvlJc w:val="left"/>
      <w:pPr>
        <w:ind w:left="725" w:hanging="402"/>
      </w:pPr>
      <w:rPr>
        <w:rFonts w:hint="default"/>
        <w:lang w:val="es-ES" w:eastAsia="en-US" w:bidi="ar-SA"/>
      </w:rPr>
    </w:lvl>
    <w:lvl w:ilvl="8">
      <w:start w:val="0"/>
      <w:numFmt w:val="bullet"/>
      <w:lvlText w:val="•"/>
      <w:lvlJc w:val="left"/>
      <w:pPr>
        <w:ind w:left="772" w:hanging="402"/>
      </w:pPr>
      <w:rPr>
        <w:rFonts w:hint="default"/>
        <w:lang w:val="es-ES" w:eastAsia="en-US" w:bidi="ar-SA"/>
      </w:rPr>
    </w:lvl>
  </w:abstractNum>
  <w:abstractNum w:abstractNumId="38">
    <w:multiLevelType w:val="hybridMultilevel"/>
    <w:lvl w:ilvl="0">
      <w:start w:val="0"/>
      <w:numFmt w:val="bullet"/>
      <w:lvlText w:val="•"/>
      <w:lvlJc w:val="left"/>
      <w:pPr>
        <w:ind w:left="1249" w:hanging="114"/>
      </w:pPr>
      <w:rPr>
        <w:rFonts w:hint="default" w:ascii="Times New Roman" w:hAnsi="Times New Roman" w:eastAsia="Times New Roman" w:cs="Times New Roman"/>
        <w:b w:val="0"/>
        <w:bCs w:val="0"/>
        <w:i w:val="0"/>
        <w:iCs w:val="0"/>
        <w:color w:val="C3BF77"/>
        <w:spacing w:val="0"/>
        <w:w w:val="54"/>
        <w:sz w:val="14"/>
        <w:szCs w:val="14"/>
        <w:lang w:val="es-ES" w:eastAsia="en-US" w:bidi="ar-SA"/>
      </w:rPr>
    </w:lvl>
    <w:lvl w:ilvl="1">
      <w:start w:val="0"/>
      <w:numFmt w:val="bullet"/>
      <w:lvlText w:val="•"/>
      <w:lvlJc w:val="left"/>
      <w:pPr>
        <w:ind w:left="1415" w:hanging="114"/>
      </w:pPr>
      <w:rPr>
        <w:rFonts w:hint="default"/>
        <w:lang w:val="es-ES" w:eastAsia="en-US" w:bidi="ar-SA"/>
      </w:rPr>
    </w:lvl>
    <w:lvl w:ilvl="2">
      <w:start w:val="0"/>
      <w:numFmt w:val="bullet"/>
      <w:lvlText w:val="•"/>
      <w:lvlJc w:val="left"/>
      <w:pPr>
        <w:ind w:left="1591" w:hanging="114"/>
      </w:pPr>
      <w:rPr>
        <w:rFonts w:hint="default"/>
        <w:lang w:val="es-ES" w:eastAsia="en-US" w:bidi="ar-SA"/>
      </w:rPr>
    </w:lvl>
    <w:lvl w:ilvl="3">
      <w:start w:val="0"/>
      <w:numFmt w:val="bullet"/>
      <w:lvlText w:val="•"/>
      <w:lvlJc w:val="left"/>
      <w:pPr>
        <w:ind w:left="1767" w:hanging="114"/>
      </w:pPr>
      <w:rPr>
        <w:rFonts w:hint="default"/>
        <w:lang w:val="es-ES" w:eastAsia="en-US" w:bidi="ar-SA"/>
      </w:rPr>
    </w:lvl>
    <w:lvl w:ilvl="4">
      <w:start w:val="0"/>
      <w:numFmt w:val="bullet"/>
      <w:lvlText w:val="•"/>
      <w:lvlJc w:val="left"/>
      <w:pPr>
        <w:ind w:left="1943" w:hanging="114"/>
      </w:pPr>
      <w:rPr>
        <w:rFonts w:hint="default"/>
        <w:lang w:val="es-ES" w:eastAsia="en-US" w:bidi="ar-SA"/>
      </w:rPr>
    </w:lvl>
    <w:lvl w:ilvl="5">
      <w:start w:val="0"/>
      <w:numFmt w:val="bullet"/>
      <w:lvlText w:val="•"/>
      <w:lvlJc w:val="left"/>
      <w:pPr>
        <w:ind w:left="2119" w:hanging="114"/>
      </w:pPr>
      <w:rPr>
        <w:rFonts w:hint="default"/>
        <w:lang w:val="es-ES" w:eastAsia="en-US" w:bidi="ar-SA"/>
      </w:rPr>
    </w:lvl>
    <w:lvl w:ilvl="6">
      <w:start w:val="0"/>
      <w:numFmt w:val="bullet"/>
      <w:lvlText w:val="•"/>
      <w:lvlJc w:val="left"/>
      <w:pPr>
        <w:ind w:left="2295" w:hanging="114"/>
      </w:pPr>
      <w:rPr>
        <w:rFonts w:hint="default"/>
        <w:lang w:val="es-ES" w:eastAsia="en-US" w:bidi="ar-SA"/>
      </w:rPr>
    </w:lvl>
    <w:lvl w:ilvl="7">
      <w:start w:val="0"/>
      <w:numFmt w:val="bullet"/>
      <w:lvlText w:val="•"/>
      <w:lvlJc w:val="left"/>
      <w:pPr>
        <w:ind w:left="2471" w:hanging="114"/>
      </w:pPr>
      <w:rPr>
        <w:rFonts w:hint="default"/>
        <w:lang w:val="es-ES" w:eastAsia="en-US" w:bidi="ar-SA"/>
      </w:rPr>
    </w:lvl>
    <w:lvl w:ilvl="8">
      <w:start w:val="0"/>
      <w:numFmt w:val="bullet"/>
      <w:lvlText w:val="•"/>
      <w:lvlJc w:val="left"/>
      <w:pPr>
        <w:ind w:left="2647" w:hanging="114"/>
      </w:pPr>
      <w:rPr>
        <w:rFonts w:hint="default"/>
        <w:lang w:val="es-ES" w:eastAsia="en-US" w:bidi="ar-SA"/>
      </w:rPr>
    </w:lvl>
  </w:abstractNum>
  <w:abstractNum w:abstractNumId="37">
    <w:multiLevelType w:val="hybridMultilevel"/>
    <w:lvl w:ilvl="0">
      <w:start w:val="1"/>
      <w:numFmt w:val="decimal"/>
      <w:lvlText w:val="%1-"/>
      <w:lvlJc w:val="left"/>
      <w:pPr>
        <w:ind w:left="66" w:hanging="162"/>
        <w:jc w:val="left"/>
      </w:pPr>
      <w:rPr>
        <w:rFonts w:hint="default" w:ascii="Arial" w:hAnsi="Arial" w:eastAsia="Arial" w:cs="Arial"/>
        <w:b w:val="0"/>
        <w:bCs w:val="0"/>
        <w:i w:val="0"/>
        <w:iCs w:val="0"/>
        <w:spacing w:val="0"/>
        <w:w w:val="98"/>
        <w:sz w:val="16"/>
        <w:szCs w:val="16"/>
        <w:lang w:val="es-ES" w:eastAsia="en-US" w:bidi="ar-SA"/>
      </w:rPr>
    </w:lvl>
    <w:lvl w:ilvl="1">
      <w:start w:val="0"/>
      <w:numFmt w:val="bullet"/>
      <w:lvlText w:val="•"/>
      <w:lvlJc w:val="left"/>
      <w:pPr>
        <w:ind w:left="210" w:hanging="162"/>
      </w:pPr>
      <w:rPr>
        <w:rFonts w:hint="default"/>
        <w:lang w:val="es-ES" w:eastAsia="en-US" w:bidi="ar-SA"/>
      </w:rPr>
    </w:lvl>
    <w:lvl w:ilvl="2">
      <w:start w:val="0"/>
      <w:numFmt w:val="bullet"/>
      <w:lvlText w:val="•"/>
      <w:lvlJc w:val="left"/>
      <w:pPr>
        <w:ind w:left="360" w:hanging="162"/>
      </w:pPr>
      <w:rPr>
        <w:rFonts w:hint="default"/>
        <w:lang w:val="es-ES" w:eastAsia="en-US" w:bidi="ar-SA"/>
      </w:rPr>
    </w:lvl>
    <w:lvl w:ilvl="3">
      <w:start w:val="0"/>
      <w:numFmt w:val="bullet"/>
      <w:lvlText w:val="•"/>
      <w:lvlJc w:val="left"/>
      <w:pPr>
        <w:ind w:left="510" w:hanging="162"/>
      </w:pPr>
      <w:rPr>
        <w:rFonts w:hint="default"/>
        <w:lang w:val="es-ES" w:eastAsia="en-US" w:bidi="ar-SA"/>
      </w:rPr>
    </w:lvl>
    <w:lvl w:ilvl="4">
      <w:start w:val="0"/>
      <w:numFmt w:val="bullet"/>
      <w:lvlText w:val="•"/>
      <w:lvlJc w:val="left"/>
      <w:pPr>
        <w:ind w:left="661" w:hanging="162"/>
      </w:pPr>
      <w:rPr>
        <w:rFonts w:hint="default"/>
        <w:lang w:val="es-ES" w:eastAsia="en-US" w:bidi="ar-SA"/>
      </w:rPr>
    </w:lvl>
    <w:lvl w:ilvl="5">
      <w:start w:val="0"/>
      <w:numFmt w:val="bullet"/>
      <w:lvlText w:val="•"/>
      <w:lvlJc w:val="left"/>
      <w:pPr>
        <w:ind w:left="811" w:hanging="162"/>
      </w:pPr>
      <w:rPr>
        <w:rFonts w:hint="default"/>
        <w:lang w:val="es-ES" w:eastAsia="en-US" w:bidi="ar-SA"/>
      </w:rPr>
    </w:lvl>
    <w:lvl w:ilvl="6">
      <w:start w:val="0"/>
      <w:numFmt w:val="bullet"/>
      <w:lvlText w:val="•"/>
      <w:lvlJc w:val="left"/>
      <w:pPr>
        <w:ind w:left="961" w:hanging="162"/>
      </w:pPr>
      <w:rPr>
        <w:rFonts w:hint="default"/>
        <w:lang w:val="es-ES" w:eastAsia="en-US" w:bidi="ar-SA"/>
      </w:rPr>
    </w:lvl>
    <w:lvl w:ilvl="7">
      <w:start w:val="0"/>
      <w:numFmt w:val="bullet"/>
      <w:lvlText w:val="•"/>
      <w:lvlJc w:val="left"/>
      <w:pPr>
        <w:ind w:left="1112" w:hanging="162"/>
      </w:pPr>
      <w:rPr>
        <w:rFonts w:hint="default"/>
        <w:lang w:val="es-ES" w:eastAsia="en-US" w:bidi="ar-SA"/>
      </w:rPr>
    </w:lvl>
    <w:lvl w:ilvl="8">
      <w:start w:val="0"/>
      <w:numFmt w:val="bullet"/>
      <w:lvlText w:val="•"/>
      <w:lvlJc w:val="left"/>
      <w:pPr>
        <w:ind w:left="1262" w:hanging="162"/>
      </w:pPr>
      <w:rPr>
        <w:rFonts w:hint="default"/>
        <w:lang w:val="es-ES" w:eastAsia="en-US" w:bidi="ar-SA"/>
      </w:rPr>
    </w:lvl>
  </w:abstractNum>
  <w:abstractNum w:abstractNumId="36">
    <w:multiLevelType w:val="hybridMultilevel"/>
    <w:lvl w:ilvl="0">
      <w:start w:val="1"/>
      <w:numFmt w:val="decimal"/>
      <w:lvlText w:val="%1."/>
      <w:lvlJc w:val="left"/>
      <w:pPr>
        <w:ind w:left="270" w:hanging="202"/>
        <w:jc w:val="left"/>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393" w:hanging="202"/>
      </w:pPr>
      <w:rPr>
        <w:rFonts w:hint="default"/>
        <w:lang w:val="es-ES" w:eastAsia="en-US" w:bidi="ar-SA"/>
      </w:rPr>
    </w:lvl>
    <w:lvl w:ilvl="2">
      <w:start w:val="0"/>
      <w:numFmt w:val="bullet"/>
      <w:lvlText w:val="•"/>
      <w:lvlJc w:val="left"/>
      <w:pPr>
        <w:ind w:left="506" w:hanging="202"/>
      </w:pPr>
      <w:rPr>
        <w:rFonts w:hint="default"/>
        <w:lang w:val="es-ES" w:eastAsia="en-US" w:bidi="ar-SA"/>
      </w:rPr>
    </w:lvl>
    <w:lvl w:ilvl="3">
      <w:start w:val="0"/>
      <w:numFmt w:val="bullet"/>
      <w:lvlText w:val="•"/>
      <w:lvlJc w:val="left"/>
      <w:pPr>
        <w:ind w:left="619" w:hanging="202"/>
      </w:pPr>
      <w:rPr>
        <w:rFonts w:hint="default"/>
        <w:lang w:val="es-ES" w:eastAsia="en-US" w:bidi="ar-SA"/>
      </w:rPr>
    </w:lvl>
    <w:lvl w:ilvl="4">
      <w:start w:val="0"/>
      <w:numFmt w:val="bullet"/>
      <w:lvlText w:val="•"/>
      <w:lvlJc w:val="left"/>
      <w:pPr>
        <w:ind w:left="732" w:hanging="202"/>
      </w:pPr>
      <w:rPr>
        <w:rFonts w:hint="default"/>
        <w:lang w:val="es-ES" w:eastAsia="en-US" w:bidi="ar-SA"/>
      </w:rPr>
    </w:lvl>
    <w:lvl w:ilvl="5">
      <w:start w:val="0"/>
      <w:numFmt w:val="bullet"/>
      <w:lvlText w:val="•"/>
      <w:lvlJc w:val="left"/>
      <w:pPr>
        <w:ind w:left="846" w:hanging="202"/>
      </w:pPr>
      <w:rPr>
        <w:rFonts w:hint="default"/>
        <w:lang w:val="es-ES" w:eastAsia="en-US" w:bidi="ar-SA"/>
      </w:rPr>
    </w:lvl>
    <w:lvl w:ilvl="6">
      <w:start w:val="0"/>
      <w:numFmt w:val="bullet"/>
      <w:lvlText w:val="•"/>
      <w:lvlJc w:val="left"/>
      <w:pPr>
        <w:ind w:left="959" w:hanging="202"/>
      </w:pPr>
      <w:rPr>
        <w:rFonts w:hint="default"/>
        <w:lang w:val="es-ES" w:eastAsia="en-US" w:bidi="ar-SA"/>
      </w:rPr>
    </w:lvl>
    <w:lvl w:ilvl="7">
      <w:start w:val="0"/>
      <w:numFmt w:val="bullet"/>
      <w:lvlText w:val="•"/>
      <w:lvlJc w:val="left"/>
      <w:pPr>
        <w:ind w:left="1072" w:hanging="202"/>
      </w:pPr>
      <w:rPr>
        <w:rFonts w:hint="default"/>
        <w:lang w:val="es-ES" w:eastAsia="en-US" w:bidi="ar-SA"/>
      </w:rPr>
    </w:lvl>
    <w:lvl w:ilvl="8">
      <w:start w:val="0"/>
      <w:numFmt w:val="bullet"/>
      <w:lvlText w:val="•"/>
      <w:lvlJc w:val="left"/>
      <w:pPr>
        <w:ind w:left="1185" w:hanging="202"/>
      </w:pPr>
      <w:rPr>
        <w:rFonts w:hint="default"/>
        <w:lang w:val="es-ES" w:eastAsia="en-US" w:bidi="ar-SA"/>
      </w:rPr>
    </w:lvl>
  </w:abstractNum>
  <w:abstractNum w:abstractNumId="35">
    <w:multiLevelType w:val="hybridMultilevel"/>
    <w:lvl w:ilvl="0">
      <w:start w:val="1"/>
      <w:numFmt w:val="decimal"/>
      <w:lvlText w:val="%1."/>
      <w:lvlJc w:val="left"/>
      <w:pPr>
        <w:ind w:left="270" w:hanging="202"/>
        <w:jc w:val="left"/>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393" w:hanging="202"/>
      </w:pPr>
      <w:rPr>
        <w:rFonts w:hint="default"/>
        <w:lang w:val="es-ES" w:eastAsia="en-US" w:bidi="ar-SA"/>
      </w:rPr>
    </w:lvl>
    <w:lvl w:ilvl="2">
      <w:start w:val="0"/>
      <w:numFmt w:val="bullet"/>
      <w:lvlText w:val="•"/>
      <w:lvlJc w:val="left"/>
      <w:pPr>
        <w:ind w:left="506" w:hanging="202"/>
      </w:pPr>
      <w:rPr>
        <w:rFonts w:hint="default"/>
        <w:lang w:val="es-ES" w:eastAsia="en-US" w:bidi="ar-SA"/>
      </w:rPr>
    </w:lvl>
    <w:lvl w:ilvl="3">
      <w:start w:val="0"/>
      <w:numFmt w:val="bullet"/>
      <w:lvlText w:val="•"/>
      <w:lvlJc w:val="left"/>
      <w:pPr>
        <w:ind w:left="619" w:hanging="202"/>
      </w:pPr>
      <w:rPr>
        <w:rFonts w:hint="default"/>
        <w:lang w:val="es-ES" w:eastAsia="en-US" w:bidi="ar-SA"/>
      </w:rPr>
    </w:lvl>
    <w:lvl w:ilvl="4">
      <w:start w:val="0"/>
      <w:numFmt w:val="bullet"/>
      <w:lvlText w:val="•"/>
      <w:lvlJc w:val="left"/>
      <w:pPr>
        <w:ind w:left="732" w:hanging="202"/>
      </w:pPr>
      <w:rPr>
        <w:rFonts w:hint="default"/>
        <w:lang w:val="es-ES" w:eastAsia="en-US" w:bidi="ar-SA"/>
      </w:rPr>
    </w:lvl>
    <w:lvl w:ilvl="5">
      <w:start w:val="0"/>
      <w:numFmt w:val="bullet"/>
      <w:lvlText w:val="•"/>
      <w:lvlJc w:val="left"/>
      <w:pPr>
        <w:ind w:left="846" w:hanging="202"/>
      </w:pPr>
      <w:rPr>
        <w:rFonts w:hint="default"/>
        <w:lang w:val="es-ES" w:eastAsia="en-US" w:bidi="ar-SA"/>
      </w:rPr>
    </w:lvl>
    <w:lvl w:ilvl="6">
      <w:start w:val="0"/>
      <w:numFmt w:val="bullet"/>
      <w:lvlText w:val="•"/>
      <w:lvlJc w:val="left"/>
      <w:pPr>
        <w:ind w:left="959" w:hanging="202"/>
      </w:pPr>
      <w:rPr>
        <w:rFonts w:hint="default"/>
        <w:lang w:val="es-ES" w:eastAsia="en-US" w:bidi="ar-SA"/>
      </w:rPr>
    </w:lvl>
    <w:lvl w:ilvl="7">
      <w:start w:val="0"/>
      <w:numFmt w:val="bullet"/>
      <w:lvlText w:val="•"/>
      <w:lvlJc w:val="left"/>
      <w:pPr>
        <w:ind w:left="1072" w:hanging="202"/>
      </w:pPr>
      <w:rPr>
        <w:rFonts w:hint="default"/>
        <w:lang w:val="es-ES" w:eastAsia="en-US" w:bidi="ar-SA"/>
      </w:rPr>
    </w:lvl>
    <w:lvl w:ilvl="8">
      <w:start w:val="0"/>
      <w:numFmt w:val="bullet"/>
      <w:lvlText w:val="•"/>
      <w:lvlJc w:val="left"/>
      <w:pPr>
        <w:ind w:left="1185" w:hanging="202"/>
      </w:pPr>
      <w:rPr>
        <w:rFonts w:hint="default"/>
        <w:lang w:val="es-ES" w:eastAsia="en-US" w:bidi="ar-SA"/>
      </w:rPr>
    </w:lvl>
  </w:abstractNum>
  <w:abstractNum w:abstractNumId="34">
    <w:multiLevelType w:val="hybridMultilevel"/>
    <w:lvl w:ilvl="0">
      <w:start w:val="1"/>
      <w:numFmt w:val="decimal"/>
      <w:lvlText w:val="%1."/>
      <w:lvlJc w:val="left"/>
      <w:pPr>
        <w:ind w:left="70" w:hanging="202"/>
        <w:jc w:val="left"/>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281" w:hanging="202"/>
      </w:pPr>
      <w:rPr>
        <w:rFonts w:hint="default"/>
        <w:lang w:val="es-ES" w:eastAsia="en-US" w:bidi="ar-SA"/>
      </w:rPr>
    </w:lvl>
    <w:lvl w:ilvl="2">
      <w:start w:val="0"/>
      <w:numFmt w:val="bullet"/>
      <w:lvlText w:val="•"/>
      <w:lvlJc w:val="left"/>
      <w:pPr>
        <w:ind w:left="483" w:hanging="202"/>
      </w:pPr>
      <w:rPr>
        <w:rFonts w:hint="default"/>
        <w:lang w:val="es-ES" w:eastAsia="en-US" w:bidi="ar-SA"/>
      </w:rPr>
    </w:lvl>
    <w:lvl w:ilvl="3">
      <w:start w:val="0"/>
      <w:numFmt w:val="bullet"/>
      <w:lvlText w:val="•"/>
      <w:lvlJc w:val="left"/>
      <w:pPr>
        <w:ind w:left="685" w:hanging="202"/>
      </w:pPr>
      <w:rPr>
        <w:rFonts w:hint="default"/>
        <w:lang w:val="es-ES" w:eastAsia="en-US" w:bidi="ar-SA"/>
      </w:rPr>
    </w:lvl>
    <w:lvl w:ilvl="4">
      <w:start w:val="0"/>
      <w:numFmt w:val="bullet"/>
      <w:lvlText w:val="•"/>
      <w:lvlJc w:val="left"/>
      <w:pPr>
        <w:ind w:left="886" w:hanging="202"/>
      </w:pPr>
      <w:rPr>
        <w:rFonts w:hint="default"/>
        <w:lang w:val="es-ES" w:eastAsia="en-US" w:bidi="ar-SA"/>
      </w:rPr>
    </w:lvl>
    <w:lvl w:ilvl="5">
      <w:start w:val="0"/>
      <w:numFmt w:val="bullet"/>
      <w:lvlText w:val="•"/>
      <w:lvlJc w:val="left"/>
      <w:pPr>
        <w:ind w:left="1088" w:hanging="202"/>
      </w:pPr>
      <w:rPr>
        <w:rFonts w:hint="default"/>
        <w:lang w:val="es-ES" w:eastAsia="en-US" w:bidi="ar-SA"/>
      </w:rPr>
    </w:lvl>
    <w:lvl w:ilvl="6">
      <w:start w:val="0"/>
      <w:numFmt w:val="bullet"/>
      <w:lvlText w:val="•"/>
      <w:lvlJc w:val="left"/>
      <w:pPr>
        <w:ind w:left="1290" w:hanging="202"/>
      </w:pPr>
      <w:rPr>
        <w:rFonts w:hint="default"/>
        <w:lang w:val="es-ES" w:eastAsia="en-US" w:bidi="ar-SA"/>
      </w:rPr>
    </w:lvl>
    <w:lvl w:ilvl="7">
      <w:start w:val="0"/>
      <w:numFmt w:val="bullet"/>
      <w:lvlText w:val="•"/>
      <w:lvlJc w:val="left"/>
      <w:pPr>
        <w:ind w:left="1491" w:hanging="202"/>
      </w:pPr>
      <w:rPr>
        <w:rFonts w:hint="default"/>
        <w:lang w:val="es-ES" w:eastAsia="en-US" w:bidi="ar-SA"/>
      </w:rPr>
    </w:lvl>
    <w:lvl w:ilvl="8">
      <w:start w:val="0"/>
      <w:numFmt w:val="bullet"/>
      <w:lvlText w:val="•"/>
      <w:lvlJc w:val="left"/>
      <w:pPr>
        <w:ind w:left="1693" w:hanging="202"/>
      </w:pPr>
      <w:rPr>
        <w:rFonts w:hint="default"/>
        <w:lang w:val="es-ES" w:eastAsia="en-US" w:bidi="ar-SA"/>
      </w:rPr>
    </w:lvl>
  </w:abstractNum>
  <w:abstractNum w:abstractNumId="33">
    <w:multiLevelType w:val="hybridMultilevel"/>
    <w:lvl w:ilvl="0">
      <w:start w:val="1"/>
      <w:numFmt w:val="decimal"/>
      <w:lvlText w:val="%1."/>
      <w:lvlJc w:val="left"/>
      <w:pPr>
        <w:ind w:left="271" w:hanging="202"/>
        <w:jc w:val="left"/>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461" w:hanging="202"/>
      </w:pPr>
      <w:rPr>
        <w:rFonts w:hint="default"/>
        <w:lang w:val="es-ES" w:eastAsia="en-US" w:bidi="ar-SA"/>
      </w:rPr>
    </w:lvl>
    <w:lvl w:ilvl="2">
      <w:start w:val="0"/>
      <w:numFmt w:val="bullet"/>
      <w:lvlText w:val="•"/>
      <w:lvlJc w:val="left"/>
      <w:pPr>
        <w:ind w:left="643" w:hanging="202"/>
      </w:pPr>
      <w:rPr>
        <w:rFonts w:hint="default"/>
        <w:lang w:val="es-ES" w:eastAsia="en-US" w:bidi="ar-SA"/>
      </w:rPr>
    </w:lvl>
    <w:lvl w:ilvl="3">
      <w:start w:val="0"/>
      <w:numFmt w:val="bullet"/>
      <w:lvlText w:val="•"/>
      <w:lvlJc w:val="left"/>
      <w:pPr>
        <w:ind w:left="825" w:hanging="202"/>
      </w:pPr>
      <w:rPr>
        <w:rFonts w:hint="default"/>
        <w:lang w:val="es-ES" w:eastAsia="en-US" w:bidi="ar-SA"/>
      </w:rPr>
    </w:lvl>
    <w:lvl w:ilvl="4">
      <w:start w:val="0"/>
      <w:numFmt w:val="bullet"/>
      <w:lvlText w:val="•"/>
      <w:lvlJc w:val="left"/>
      <w:pPr>
        <w:ind w:left="1006" w:hanging="202"/>
      </w:pPr>
      <w:rPr>
        <w:rFonts w:hint="default"/>
        <w:lang w:val="es-ES" w:eastAsia="en-US" w:bidi="ar-SA"/>
      </w:rPr>
    </w:lvl>
    <w:lvl w:ilvl="5">
      <w:start w:val="0"/>
      <w:numFmt w:val="bullet"/>
      <w:lvlText w:val="•"/>
      <w:lvlJc w:val="left"/>
      <w:pPr>
        <w:ind w:left="1188" w:hanging="202"/>
      </w:pPr>
      <w:rPr>
        <w:rFonts w:hint="default"/>
        <w:lang w:val="es-ES" w:eastAsia="en-US" w:bidi="ar-SA"/>
      </w:rPr>
    </w:lvl>
    <w:lvl w:ilvl="6">
      <w:start w:val="0"/>
      <w:numFmt w:val="bullet"/>
      <w:lvlText w:val="•"/>
      <w:lvlJc w:val="left"/>
      <w:pPr>
        <w:ind w:left="1370" w:hanging="202"/>
      </w:pPr>
      <w:rPr>
        <w:rFonts w:hint="default"/>
        <w:lang w:val="es-ES" w:eastAsia="en-US" w:bidi="ar-SA"/>
      </w:rPr>
    </w:lvl>
    <w:lvl w:ilvl="7">
      <w:start w:val="0"/>
      <w:numFmt w:val="bullet"/>
      <w:lvlText w:val="•"/>
      <w:lvlJc w:val="left"/>
      <w:pPr>
        <w:ind w:left="1551" w:hanging="202"/>
      </w:pPr>
      <w:rPr>
        <w:rFonts w:hint="default"/>
        <w:lang w:val="es-ES" w:eastAsia="en-US" w:bidi="ar-SA"/>
      </w:rPr>
    </w:lvl>
    <w:lvl w:ilvl="8">
      <w:start w:val="0"/>
      <w:numFmt w:val="bullet"/>
      <w:lvlText w:val="•"/>
      <w:lvlJc w:val="left"/>
      <w:pPr>
        <w:ind w:left="1733" w:hanging="202"/>
      </w:pPr>
      <w:rPr>
        <w:rFonts w:hint="default"/>
        <w:lang w:val="es-ES" w:eastAsia="en-US" w:bidi="ar-SA"/>
      </w:rPr>
    </w:lvl>
  </w:abstractNum>
  <w:abstractNum w:abstractNumId="32">
    <w:multiLevelType w:val="hybridMultilevel"/>
    <w:lvl w:ilvl="0">
      <w:start w:val="1"/>
      <w:numFmt w:val="decimal"/>
      <w:lvlText w:val="%1)"/>
      <w:lvlJc w:val="left"/>
      <w:pPr>
        <w:ind w:left="71" w:hanging="233"/>
        <w:jc w:val="left"/>
      </w:pPr>
      <w:rPr>
        <w:rFonts w:hint="default" w:ascii="Arial" w:hAnsi="Arial" w:eastAsia="Arial" w:cs="Arial"/>
        <w:b w:val="0"/>
        <w:bCs w:val="0"/>
        <w:i w:val="0"/>
        <w:iCs w:val="0"/>
        <w:spacing w:val="0"/>
        <w:w w:val="99"/>
        <w:sz w:val="20"/>
        <w:szCs w:val="20"/>
        <w:lang w:val="es-ES" w:eastAsia="en-US" w:bidi="ar-SA"/>
      </w:rPr>
    </w:lvl>
    <w:lvl w:ilvl="1">
      <w:start w:val="0"/>
      <w:numFmt w:val="bullet"/>
      <w:lvlText w:val="•"/>
      <w:lvlJc w:val="left"/>
      <w:pPr>
        <w:ind w:left="312" w:hanging="233"/>
      </w:pPr>
      <w:rPr>
        <w:rFonts w:hint="default"/>
        <w:lang w:val="es-ES" w:eastAsia="en-US" w:bidi="ar-SA"/>
      </w:rPr>
    </w:lvl>
    <w:lvl w:ilvl="2">
      <w:start w:val="0"/>
      <w:numFmt w:val="bullet"/>
      <w:lvlText w:val="•"/>
      <w:lvlJc w:val="left"/>
      <w:pPr>
        <w:ind w:left="545" w:hanging="233"/>
      </w:pPr>
      <w:rPr>
        <w:rFonts w:hint="default"/>
        <w:lang w:val="es-ES" w:eastAsia="en-US" w:bidi="ar-SA"/>
      </w:rPr>
    </w:lvl>
    <w:lvl w:ilvl="3">
      <w:start w:val="0"/>
      <w:numFmt w:val="bullet"/>
      <w:lvlText w:val="•"/>
      <w:lvlJc w:val="left"/>
      <w:pPr>
        <w:ind w:left="778" w:hanging="233"/>
      </w:pPr>
      <w:rPr>
        <w:rFonts w:hint="default"/>
        <w:lang w:val="es-ES" w:eastAsia="en-US" w:bidi="ar-SA"/>
      </w:rPr>
    </w:lvl>
    <w:lvl w:ilvl="4">
      <w:start w:val="0"/>
      <w:numFmt w:val="bullet"/>
      <w:lvlText w:val="•"/>
      <w:lvlJc w:val="left"/>
      <w:pPr>
        <w:ind w:left="1011" w:hanging="233"/>
      </w:pPr>
      <w:rPr>
        <w:rFonts w:hint="default"/>
        <w:lang w:val="es-ES" w:eastAsia="en-US" w:bidi="ar-SA"/>
      </w:rPr>
    </w:lvl>
    <w:lvl w:ilvl="5">
      <w:start w:val="0"/>
      <w:numFmt w:val="bullet"/>
      <w:lvlText w:val="•"/>
      <w:lvlJc w:val="left"/>
      <w:pPr>
        <w:ind w:left="1244" w:hanging="233"/>
      </w:pPr>
      <w:rPr>
        <w:rFonts w:hint="default"/>
        <w:lang w:val="es-ES" w:eastAsia="en-US" w:bidi="ar-SA"/>
      </w:rPr>
    </w:lvl>
    <w:lvl w:ilvl="6">
      <w:start w:val="0"/>
      <w:numFmt w:val="bullet"/>
      <w:lvlText w:val="•"/>
      <w:lvlJc w:val="left"/>
      <w:pPr>
        <w:ind w:left="1476" w:hanging="233"/>
      </w:pPr>
      <w:rPr>
        <w:rFonts w:hint="default"/>
        <w:lang w:val="es-ES" w:eastAsia="en-US" w:bidi="ar-SA"/>
      </w:rPr>
    </w:lvl>
    <w:lvl w:ilvl="7">
      <w:start w:val="0"/>
      <w:numFmt w:val="bullet"/>
      <w:lvlText w:val="•"/>
      <w:lvlJc w:val="left"/>
      <w:pPr>
        <w:ind w:left="1709" w:hanging="233"/>
      </w:pPr>
      <w:rPr>
        <w:rFonts w:hint="default"/>
        <w:lang w:val="es-ES" w:eastAsia="en-US" w:bidi="ar-SA"/>
      </w:rPr>
    </w:lvl>
    <w:lvl w:ilvl="8">
      <w:start w:val="0"/>
      <w:numFmt w:val="bullet"/>
      <w:lvlText w:val="•"/>
      <w:lvlJc w:val="left"/>
      <w:pPr>
        <w:ind w:left="1942" w:hanging="233"/>
      </w:pPr>
      <w:rPr>
        <w:rFonts w:hint="default"/>
        <w:lang w:val="es-ES" w:eastAsia="en-US" w:bidi="ar-SA"/>
      </w:rPr>
    </w:lvl>
  </w:abstractNum>
  <w:abstractNum w:abstractNumId="31">
    <w:multiLevelType w:val="hybridMultilevel"/>
    <w:lvl w:ilvl="0">
      <w:start w:val="4"/>
      <w:numFmt w:val="decimal"/>
      <w:lvlText w:val="%1)"/>
      <w:lvlJc w:val="left"/>
      <w:pPr>
        <w:ind w:left="71" w:hanging="233"/>
        <w:jc w:val="left"/>
      </w:pPr>
      <w:rPr>
        <w:rFonts w:hint="default" w:ascii="Arial" w:hAnsi="Arial" w:eastAsia="Arial" w:cs="Arial"/>
        <w:b w:val="0"/>
        <w:bCs w:val="0"/>
        <w:i w:val="0"/>
        <w:iCs w:val="0"/>
        <w:spacing w:val="0"/>
        <w:w w:val="99"/>
        <w:sz w:val="20"/>
        <w:szCs w:val="20"/>
        <w:lang w:val="es-ES" w:eastAsia="en-US" w:bidi="ar-SA"/>
      </w:rPr>
    </w:lvl>
    <w:lvl w:ilvl="1">
      <w:start w:val="0"/>
      <w:numFmt w:val="bullet"/>
      <w:lvlText w:val="•"/>
      <w:lvlJc w:val="left"/>
      <w:pPr>
        <w:ind w:left="312" w:hanging="233"/>
      </w:pPr>
      <w:rPr>
        <w:rFonts w:hint="default"/>
        <w:lang w:val="es-ES" w:eastAsia="en-US" w:bidi="ar-SA"/>
      </w:rPr>
    </w:lvl>
    <w:lvl w:ilvl="2">
      <w:start w:val="0"/>
      <w:numFmt w:val="bullet"/>
      <w:lvlText w:val="•"/>
      <w:lvlJc w:val="left"/>
      <w:pPr>
        <w:ind w:left="545" w:hanging="233"/>
      </w:pPr>
      <w:rPr>
        <w:rFonts w:hint="default"/>
        <w:lang w:val="es-ES" w:eastAsia="en-US" w:bidi="ar-SA"/>
      </w:rPr>
    </w:lvl>
    <w:lvl w:ilvl="3">
      <w:start w:val="0"/>
      <w:numFmt w:val="bullet"/>
      <w:lvlText w:val="•"/>
      <w:lvlJc w:val="left"/>
      <w:pPr>
        <w:ind w:left="778" w:hanging="233"/>
      </w:pPr>
      <w:rPr>
        <w:rFonts w:hint="default"/>
        <w:lang w:val="es-ES" w:eastAsia="en-US" w:bidi="ar-SA"/>
      </w:rPr>
    </w:lvl>
    <w:lvl w:ilvl="4">
      <w:start w:val="0"/>
      <w:numFmt w:val="bullet"/>
      <w:lvlText w:val="•"/>
      <w:lvlJc w:val="left"/>
      <w:pPr>
        <w:ind w:left="1011" w:hanging="233"/>
      </w:pPr>
      <w:rPr>
        <w:rFonts w:hint="default"/>
        <w:lang w:val="es-ES" w:eastAsia="en-US" w:bidi="ar-SA"/>
      </w:rPr>
    </w:lvl>
    <w:lvl w:ilvl="5">
      <w:start w:val="0"/>
      <w:numFmt w:val="bullet"/>
      <w:lvlText w:val="•"/>
      <w:lvlJc w:val="left"/>
      <w:pPr>
        <w:ind w:left="1244" w:hanging="233"/>
      </w:pPr>
      <w:rPr>
        <w:rFonts w:hint="default"/>
        <w:lang w:val="es-ES" w:eastAsia="en-US" w:bidi="ar-SA"/>
      </w:rPr>
    </w:lvl>
    <w:lvl w:ilvl="6">
      <w:start w:val="0"/>
      <w:numFmt w:val="bullet"/>
      <w:lvlText w:val="•"/>
      <w:lvlJc w:val="left"/>
      <w:pPr>
        <w:ind w:left="1476" w:hanging="233"/>
      </w:pPr>
      <w:rPr>
        <w:rFonts w:hint="default"/>
        <w:lang w:val="es-ES" w:eastAsia="en-US" w:bidi="ar-SA"/>
      </w:rPr>
    </w:lvl>
    <w:lvl w:ilvl="7">
      <w:start w:val="0"/>
      <w:numFmt w:val="bullet"/>
      <w:lvlText w:val="•"/>
      <w:lvlJc w:val="left"/>
      <w:pPr>
        <w:ind w:left="1709" w:hanging="233"/>
      </w:pPr>
      <w:rPr>
        <w:rFonts w:hint="default"/>
        <w:lang w:val="es-ES" w:eastAsia="en-US" w:bidi="ar-SA"/>
      </w:rPr>
    </w:lvl>
    <w:lvl w:ilvl="8">
      <w:start w:val="0"/>
      <w:numFmt w:val="bullet"/>
      <w:lvlText w:val="•"/>
      <w:lvlJc w:val="left"/>
      <w:pPr>
        <w:ind w:left="1942" w:hanging="233"/>
      </w:pPr>
      <w:rPr>
        <w:rFonts w:hint="default"/>
        <w:lang w:val="es-ES" w:eastAsia="en-US" w:bidi="ar-SA"/>
      </w:rPr>
    </w:lvl>
  </w:abstractNum>
  <w:abstractNum w:abstractNumId="30">
    <w:multiLevelType w:val="hybridMultilevel"/>
    <w:lvl w:ilvl="0">
      <w:start w:val="1"/>
      <w:numFmt w:val="decimal"/>
      <w:lvlText w:val="%1)"/>
      <w:lvlJc w:val="left"/>
      <w:pPr>
        <w:ind w:left="70" w:hanging="233"/>
        <w:jc w:val="left"/>
      </w:pPr>
      <w:rPr>
        <w:rFonts w:hint="default" w:ascii="Arial" w:hAnsi="Arial" w:eastAsia="Arial" w:cs="Arial"/>
        <w:b w:val="0"/>
        <w:bCs w:val="0"/>
        <w:i w:val="0"/>
        <w:iCs w:val="0"/>
        <w:spacing w:val="0"/>
        <w:w w:val="99"/>
        <w:sz w:val="20"/>
        <w:szCs w:val="20"/>
        <w:lang w:val="es-ES" w:eastAsia="en-US" w:bidi="ar-SA"/>
      </w:rPr>
    </w:lvl>
    <w:lvl w:ilvl="1">
      <w:start w:val="0"/>
      <w:numFmt w:val="bullet"/>
      <w:lvlText w:val="•"/>
      <w:lvlJc w:val="left"/>
      <w:pPr>
        <w:ind w:left="312" w:hanging="233"/>
      </w:pPr>
      <w:rPr>
        <w:rFonts w:hint="default"/>
        <w:lang w:val="es-ES" w:eastAsia="en-US" w:bidi="ar-SA"/>
      </w:rPr>
    </w:lvl>
    <w:lvl w:ilvl="2">
      <w:start w:val="0"/>
      <w:numFmt w:val="bullet"/>
      <w:lvlText w:val="•"/>
      <w:lvlJc w:val="left"/>
      <w:pPr>
        <w:ind w:left="545" w:hanging="233"/>
      </w:pPr>
      <w:rPr>
        <w:rFonts w:hint="default"/>
        <w:lang w:val="es-ES" w:eastAsia="en-US" w:bidi="ar-SA"/>
      </w:rPr>
    </w:lvl>
    <w:lvl w:ilvl="3">
      <w:start w:val="0"/>
      <w:numFmt w:val="bullet"/>
      <w:lvlText w:val="•"/>
      <w:lvlJc w:val="left"/>
      <w:pPr>
        <w:ind w:left="778" w:hanging="233"/>
      </w:pPr>
      <w:rPr>
        <w:rFonts w:hint="default"/>
        <w:lang w:val="es-ES" w:eastAsia="en-US" w:bidi="ar-SA"/>
      </w:rPr>
    </w:lvl>
    <w:lvl w:ilvl="4">
      <w:start w:val="0"/>
      <w:numFmt w:val="bullet"/>
      <w:lvlText w:val="•"/>
      <w:lvlJc w:val="left"/>
      <w:pPr>
        <w:ind w:left="1010" w:hanging="233"/>
      </w:pPr>
      <w:rPr>
        <w:rFonts w:hint="default"/>
        <w:lang w:val="es-ES" w:eastAsia="en-US" w:bidi="ar-SA"/>
      </w:rPr>
    </w:lvl>
    <w:lvl w:ilvl="5">
      <w:start w:val="0"/>
      <w:numFmt w:val="bullet"/>
      <w:lvlText w:val="•"/>
      <w:lvlJc w:val="left"/>
      <w:pPr>
        <w:ind w:left="1243" w:hanging="233"/>
      </w:pPr>
      <w:rPr>
        <w:rFonts w:hint="default"/>
        <w:lang w:val="es-ES" w:eastAsia="en-US" w:bidi="ar-SA"/>
      </w:rPr>
    </w:lvl>
    <w:lvl w:ilvl="6">
      <w:start w:val="0"/>
      <w:numFmt w:val="bullet"/>
      <w:lvlText w:val="•"/>
      <w:lvlJc w:val="left"/>
      <w:pPr>
        <w:ind w:left="1476" w:hanging="233"/>
      </w:pPr>
      <w:rPr>
        <w:rFonts w:hint="default"/>
        <w:lang w:val="es-ES" w:eastAsia="en-US" w:bidi="ar-SA"/>
      </w:rPr>
    </w:lvl>
    <w:lvl w:ilvl="7">
      <w:start w:val="0"/>
      <w:numFmt w:val="bullet"/>
      <w:lvlText w:val="•"/>
      <w:lvlJc w:val="left"/>
      <w:pPr>
        <w:ind w:left="1708" w:hanging="233"/>
      </w:pPr>
      <w:rPr>
        <w:rFonts w:hint="default"/>
        <w:lang w:val="es-ES" w:eastAsia="en-US" w:bidi="ar-SA"/>
      </w:rPr>
    </w:lvl>
    <w:lvl w:ilvl="8">
      <w:start w:val="0"/>
      <w:numFmt w:val="bullet"/>
      <w:lvlText w:val="•"/>
      <w:lvlJc w:val="left"/>
      <w:pPr>
        <w:ind w:left="1941" w:hanging="233"/>
      </w:pPr>
      <w:rPr>
        <w:rFonts w:hint="default"/>
        <w:lang w:val="es-ES" w:eastAsia="en-US" w:bidi="ar-SA"/>
      </w:rPr>
    </w:lvl>
  </w:abstractNum>
  <w:abstractNum w:abstractNumId="29">
    <w:multiLevelType w:val="hybridMultilevel"/>
    <w:lvl w:ilvl="0">
      <w:start w:val="0"/>
      <w:numFmt w:val="bullet"/>
      <w:lvlText w:val=""/>
      <w:lvlJc w:val="left"/>
      <w:pPr>
        <w:ind w:left="2345" w:hanging="360"/>
      </w:pPr>
      <w:rPr>
        <w:rFonts w:hint="default" w:ascii="Wingdings" w:hAnsi="Wingdings" w:eastAsia="Wingdings" w:cs="Wingdings"/>
        <w:b w:val="0"/>
        <w:bCs w:val="0"/>
        <w:i w:val="0"/>
        <w:iCs w:val="0"/>
        <w:spacing w:val="0"/>
        <w:w w:val="100"/>
        <w:sz w:val="22"/>
        <w:szCs w:val="22"/>
        <w:lang w:val="es-ES" w:eastAsia="en-US" w:bidi="ar-SA"/>
      </w:rPr>
    </w:lvl>
    <w:lvl w:ilvl="1">
      <w:start w:val="0"/>
      <w:numFmt w:val="bullet"/>
      <w:lvlText w:val="•"/>
      <w:lvlJc w:val="left"/>
      <w:pPr>
        <w:ind w:left="3294" w:hanging="360"/>
      </w:pPr>
      <w:rPr>
        <w:rFonts w:hint="default"/>
        <w:lang w:val="es-ES" w:eastAsia="en-US" w:bidi="ar-SA"/>
      </w:rPr>
    </w:lvl>
    <w:lvl w:ilvl="2">
      <w:start w:val="0"/>
      <w:numFmt w:val="bullet"/>
      <w:lvlText w:val="•"/>
      <w:lvlJc w:val="left"/>
      <w:pPr>
        <w:ind w:left="4248" w:hanging="360"/>
      </w:pPr>
      <w:rPr>
        <w:rFonts w:hint="default"/>
        <w:lang w:val="es-ES" w:eastAsia="en-US" w:bidi="ar-SA"/>
      </w:rPr>
    </w:lvl>
    <w:lvl w:ilvl="3">
      <w:start w:val="0"/>
      <w:numFmt w:val="bullet"/>
      <w:lvlText w:val="•"/>
      <w:lvlJc w:val="left"/>
      <w:pPr>
        <w:ind w:left="5202" w:hanging="360"/>
      </w:pPr>
      <w:rPr>
        <w:rFonts w:hint="default"/>
        <w:lang w:val="es-ES" w:eastAsia="en-US" w:bidi="ar-SA"/>
      </w:rPr>
    </w:lvl>
    <w:lvl w:ilvl="4">
      <w:start w:val="0"/>
      <w:numFmt w:val="bullet"/>
      <w:lvlText w:val="•"/>
      <w:lvlJc w:val="left"/>
      <w:pPr>
        <w:ind w:left="6156" w:hanging="360"/>
      </w:pPr>
      <w:rPr>
        <w:rFonts w:hint="default"/>
        <w:lang w:val="es-ES" w:eastAsia="en-US" w:bidi="ar-SA"/>
      </w:rPr>
    </w:lvl>
    <w:lvl w:ilvl="5">
      <w:start w:val="0"/>
      <w:numFmt w:val="bullet"/>
      <w:lvlText w:val="•"/>
      <w:lvlJc w:val="left"/>
      <w:pPr>
        <w:ind w:left="7110" w:hanging="360"/>
      </w:pPr>
      <w:rPr>
        <w:rFonts w:hint="default"/>
        <w:lang w:val="es-ES" w:eastAsia="en-US" w:bidi="ar-SA"/>
      </w:rPr>
    </w:lvl>
    <w:lvl w:ilvl="6">
      <w:start w:val="0"/>
      <w:numFmt w:val="bullet"/>
      <w:lvlText w:val="•"/>
      <w:lvlJc w:val="left"/>
      <w:pPr>
        <w:ind w:left="8064" w:hanging="360"/>
      </w:pPr>
      <w:rPr>
        <w:rFonts w:hint="default"/>
        <w:lang w:val="es-ES" w:eastAsia="en-US" w:bidi="ar-SA"/>
      </w:rPr>
    </w:lvl>
    <w:lvl w:ilvl="7">
      <w:start w:val="0"/>
      <w:numFmt w:val="bullet"/>
      <w:lvlText w:val="•"/>
      <w:lvlJc w:val="left"/>
      <w:pPr>
        <w:ind w:left="9018" w:hanging="360"/>
      </w:pPr>
      <w:rPr>
        <w:rFonts w:hint="default"/>
        <w:lang w:val="es-ES" w:eastAsia="en-US" w:bidi="ar-SA"/>
      </w:rPr>
    </w:lvl>
    <w:lvl w:ilvl="8">
      <w:start w:val="0"/>
      <w:numFmt w:val="bullet"/>
      <w:lvlText w:val="•"/>
      <w:lvlJc w:val="left"/>
      <w:pPr>
        <w:ind w:left="9972" w:hanging="360"/>
      </w:pPr>
      <w:rPr>
        <w:rFonts w:hint="default"/>
        <w:lang w:val="es-ES" w:eastAsia="en-US" w:bidi="ar-SA"/>
      </w:rPr>
    </w:lvl>
  </w:abstractNum>
  <w:abstractNum w:abstractNumId="28">
    <w:multiLevelType w:val="hybridMultilevel"/>
    <w:lvl w:ilvl="0">
      <w:start w:val="1"/>
      <w:numFmt w:val="decimal"/>
      <w:lvlText w:val="%1-"/>
      <w:lvlJc w:val="left"/>
      <w:pPr>
        <w:ind w:left="1822" w:hanging="197"/>
        <w:jc w:val="left"/>
      </w:pPr>
      <w:rPr>
        <w:rFonts w:hint="default" w:ascii="Arial" w:hAnsi="Arial" w:eastAsia="Arial" w:cs="Arial"/>
        <w:b w:val="0"/>
        <w:bCs w:val="0"/>
        <w:i w:val="0"/>
        <w:iCs w:val="0"/>
        <w:spacing w:val="-1"/>
        <w:w w:val="99"/>
        <w:sz w:val="20"/>
        <w:szCs w:val="20"/>
        <w:lang w:val="es-ES" w:eastAsia="en-US" w:bidi="ar-SA"/>
      </w:rPr>
    </w:lvl>
    <w:lvl w:ilvl="1">
      <w:start w:val="0"/>
      <w:numFmt w:val="bullet"/>
      <w:lvlText w:val="•"/>
      <w:lvlJc w:val="left"/>
      <w:pPr>
        <w:ind w:left="2826" w:hanging="197"/>
      </w:pPr>
      <w:rPr>
        <w:rFonts w:hint="default"/>
        <w:lang w:val="es-ES" w:eastAsia="en-US" w:bidi="ar-SA"/>
      </w:rPr>
    </w:lvl>
    <w:lvl w:ilvl="2">
      <w:start w:val="0"/>
      <w:numFmt w:val="bullet"/>
      <w:lvlText w:val="•"/>
      <w:lvlJc w:val="left"/>
      <w:pPr>
        <w:ind w:left="3832" w:hanging="197"/>
      </w:pPr>
      <w:rPr>
        <w:rFonts w:hint="default"/>
        <w:lang w:val="es-ES" w:eastAsia="en-US" w:bidi="ar-SA"/>
      </w:rPr>
    </w:lvl>
    <w:lvl w:ilvl="3">
      <w:start w:val="0"/>
      <w:numFmt w:val="bullet"/>
      <w:lvlText w:val="•"/>
      <w:lvlJc w:val="left"/>
      <w:pPr>
        <w:ind w:left="4838" w:hanging="197"/>
      </w:pPr>
      <w:rPr>
        <w:rFonts w:hint="default"/>
        <w:lang w:val="es-ES" w:eastAsia="en-US" w:bidi="ar-SA"/>
      </w:rPr>
    </w:lvl>
    <w:lvl w:ilvl="4">
      <w:start w:val="0"/>
      <w:numFmt w:val="bullet"/>
      <w:lvlText w:val="•"/>
      <w:lvlJc w:val="left"/>
      <w:pPr>
        <w:ind w:left="5844" w:hanging="197"/>
      </w:pPr>
      <w:rPr>
        <w:rFonts w:hint="default"/>
        <w:lang w:val="es-ES" w:eastAsia="en-US" w:bidi="ar-SA"/>
      </w:rPr>
    </w:lvl>
    <w:lvl w:ilvl="5">
      <w:start w:val="0"/>
      <w:numFmt w:val="bullet"/>
      <w:lvlText w:val="•"/>
      <w:lvlJc w:val="left"/>
      <w:pPr>
        <w:ind w:left="6850" w:hanging="197"/>
      </w:pPr>
      <w:rPr>
        <w:rFonts w:hint="default"/>
        <w:lang w:val="es-ES" w:eastAsia="en-US" w:bidi="ar-SA"/>
      </w:rPr>
    </w:lvl>
    <w:lvl w:ilvl="6">
      <w:start w:val="0"/>
      <w:numFmt w:val="bullet"/>
      <w:lvlText w:val="•"/>
      <w:lvlJc w:val="left"/>
      <w:pPr>
        <w:ind w:left="7856" w:hanging="197"/>
      </w:pPr>
      <w:rPr>
        <w:rFonts w:hint="default"/>
        <w:lang w:val="es-ES" w:eastAsia="en-US" w:bidi="ar-SA"/>
      </w:rPr>
    </w:lvl>
    <w:lvl w:ilvl="7">
      <w:start w:val="0"/>
      <w:numFmt w:val="bullet"/>
      <w:lvlText w:val="•"/>
      <w:lvlJc w:val="left"/>
      <w:pPr>
        <w:ind w:left="8862" w:hanging="197"/>
      </w:pPr>
      <w:rPr>
        <w:rFonts w:hint="default"/>
        <w:lang w:val="es-ES" w:eastAsia="en-US" w:bidi="ar-SA"/>
      </w:rPr>
    </w:lvl>
    <w:lvl w:ilvl="8">
      <w:start w:val="0"/>
      <w:numFmt w:val="bullet"/>
      <w:lvlText w:val="•"/>
      <w:lvlJc w:val="left"/>
      <w:pPr>
        <w:ind w:left="9868" w:hanging="197"/>
      </w:pPr>
      <w:rPr>
        <w:rFonts w:hint="default"/>
        <w:lang w:val="es-ES" w:eastAsia="en-US" w:bidi="ar-SA"/>
      </w:rPr>
    </w:lvl>
  </w:abstractNum>
  <w:abstractNum w:abstractNumId="27">
    <w:multiLevelType w:val="hybridMultilevel"/>
    <w:lvl w:ilvl="0">
      <w:start w:val="5"/>
      <w:numFmt w:val="decimal"/>
      <w:lvlText w:val="%1"/>
      <w:lvlJc w:val="left"/>
      <w:pPr>
        <w:ind w:left="2890" w:hanging="404"/>
        <w:jc w:val="left"/>
      </w:pPr>
      <w:rPr>
        <w:rFonts w:hint="default"/>
        <w:lang w:val="es-ES" w:eastAsia="en-US" w:bidi="ar-SA"/>
      </w:rPr>
    </w:lvl>
    <w:lvl w:ilvl="1">
      <w:start w:val="5"/>
      <w:numFmt w:val="decimal"/>
      <w:lvlText w:val="%1.%2"/>
      <w:lvlJc w:val="left"/>
      <w:pPr>
        <w:ind w:left="2890" w:hanging="404"/>
        <w:jc w:val="left"/>
      </w:pPr>
      <w:rPr>
        <w:rFonts w:hint="default" w:ascii="Arial" w:hAnsi="Arial" w:eastAsia="Arial" w:cs="Arial"/>
        <w:b/>
        <w:bCs/>
        <w:i w:val="0"/>
        <w:iCs w:val="0"/>
        <w:spacing w:val="0"/>
        <w:w w:val="100"/>
        <w:sz w:val="24"/>
        <w:szCs w:val="24"/>
        <w:lang w:val="es-ES" w:eastAsia="en-US" w:bidi="ar-SA"/>
      </w:rPr>
    </w:lvl>
    <w:lvl w:ilvl="2">
      <w:start w:val="0"/>
      <w:numFmt w:val="bullet"/>
      <w:lvlText w:val="•"/>
      <w:lvlJc w:val="left"/>
      <w:pPr>
        <w:ind w:left="4696" w:hanging="404"/>
      </w:pPr>
      <w:rPr>
        <w:rFonts w:hint="default"/>
        <w:lang w:val="es-ES" w:eastAsia="en-US" w:bidi="ar-SA"/>
      </w:rPr>
    </w:lvl>
    <w:lvl w:ilvl="3">
      <w:start w:val="0"/>
      <w:numFmt w:val="bullet"/>
      <w:lvlText w:val="•"/>
      <w:lvlJc w:val="left"/>
      <w:pPr>
        <w:ind w:left="5594" w:hanging="404"/>
      </w:pPr>
      <w:rPr>
        <w:rFonts w:hint="default"/>
        <w:lang w:val="es-ES" w:eastAsia="en-US" w:bidi="ar-SA"/>
      </w:rPr>
    </w:lvl>
    <w:lvl w:ilvl="4">
      <w:start w:val="0"/>
      <w:numFmt w:val="bullet"/>
      <w:lvlText w:val="•"/>
      <w:lvlJc w:val="left"/>
      <w:pPr>
        <w:ind w:left="6492" w:hanging="404"/>
      </w:pPr>
      <w:rPr>
        <w:rFonts w:hint="default"/>
        <w:lang w:val="es-ES" w:eastAsia="en-US" w:bidi="ar-SA"/>
      </w:rPr>
    </w:lvl>
    <w:lvl w:ilvl="5">
      <w:start w:val="0"/>
      <w:numFmt w:val="bullet"/>
      <w:lvlText w:val="•"/>
      <w:lvlJc w:val="left"/>
      <w:pPr>
        <w:ind w:left="7390" w:hanging="404"/>
      </w:pPr>
      <w:rPr>
        <w:rFonts w:hint="default"/>
        <w:lang w:val="es-ES" w:eastAsia="en-US" w:bidi="ar-SA"/>
      </w:rPr>
    </w:lvl>
    <w:lvl w:ilvl="6">
      <w:start w:val="0"/>
      <w:numFmt w:val="bullet"/>
      <w:lvlText w:val="•"/>
      <w:lvlJc w:val="left"/>
      <w:pPr>
        <w:ind w:left="8288" w:hanging="404"/>
      </w:pPr>
      <w:rPr>
        <w:rFonts w:hint="default"/>
        <w:lang w:val="es-ES" w:eastAsia="en-US" w:bidi="ar-SA"/>
      </w:rPr>
    </w:lvl>
    <w:lvl w:ilvl="7">
      <w:start w:val="0"/>
      <w:numFmt w:val="bullet"/>
      <w:lvlText w:val="•"/>
      <w:lvlJc w:val="left"/>
      <w:pPr>
        <w:ind w:left="9186" w:hanging="404"/>
      </w:pPr>
      <w:rPr>
        <w:rFonts w:hint="default"/>
        <w:lang w:val="es-ES" w:eastAsia="en-US" w:bidi="ar-SA"/>
      </w:rPr>
    </w:lvl>
    <w:lvl w:ilvl="8">
      <w:start w:val="0"/>
      <w:numFmt w:val="bullet"/>
      <w:lvlText w:val="•"/>
      <w:lvlJc w:val="left"/>
      <w:pPr>
        <w:ind w:left="10084" w:hanging="404"/>
      </w:pPr>
      <w:rPr>
        <w:rFonts w:hint="default"/>
        <w:lang w:val="es-ES" w:eastAsia="en-US" w:bidi="ar-SA"/>
      </w:rPr>
    </w:lvl>
  </w:abstractNum>
  <w:abstractNum w:abstractNumId="26">
    <w:multiLevelType w:val="hybridMultilevel"/>
    <w:lvl w:ilvl="0">
      <w:start w:val="1"/>
      <w:numFmt w:val="decimal"/>
      <w:lvlText w:val="%1."/>
      <w:lvlJc w:val="left"/>
      <w:pPr>
        <w:ind w:left="2345" w:hanging="360"/>
        <w:jc w:val="left"/>
      </w:pPr>
      <w:rPr>
        <w:rFonts w:hint="default" w:ascii="Arial" w:hAnsi="Arial" w:eastAsia="Arial" w:cs="Arial"/>
        <w:b w:val="0"/>
        <w:bCs w:val="0"/>
        <w:i w:val="0"/>
        <w:iCs w:val="0"/>
        <w:spacing w:val="-1"/>
        <w:w w:val="100"/>
        <w:sz w:val="22"/>
        <w:szCs w:val="22"/>
        <w:lang w:val="es-ES" w:eastAsia="en-US" w:bidi="ar-SA"/>
      </w:rPr>
    </w:lvl>
    <w:lvl w:ilvl="1">
      <w:start w:val="0"/>
      <w:numFmt w:val="bullet"/>
      <w:lvlText w:val="•"/>
      <w:lvlJc w:val="left"/>
      <w:pPr>
        <w:ind w:left="3294" w:hanging="360"/>
      </w:pPr>
      <w:rPr>
        <w:rFonts w:hint="default"/>
        <w:lang w:val="es-ES" w:eastAsia="en-US" w:bidi="ar-SA"/>
      </w:rPr>
    </w:lvl>
    <w:lvl w:ilvl="2">
      <w:start w:val="0"/>
      <w:numFmt w:val="bullet"/>
      <w:lvlText w:val="•"/>
      <w:lvlJc w:val="left"/>
      <w:pPr>
        <w:ind w:left="4248" w:hanging="360"/>
      </w:pPr>
      <w:rPr>
        <w:rFonts w:hint="default"/>
        <w:lang w:val="es-ES" w:eastAsia="en-US" w:bidi="ar-SA"/>
      </w:rPr>
    </w:lvl>
    <w:lvl w:ilvl="3">
      <w:start w:val="0"/>
      <w:numFmt w:val="bullet"/>
      <w:lvlText w:val="•"/>
      <w:lvlJc w:val="left"/>
      <w:pPr>
        <w:ind w:left="5202" w:hanging="360"/>
      </w:pPr>
      <w:rPr>
        <w:rFonts w:hint="default"/>
        <w:lang w:val="es-ES" w:eastAsia="en-US" w:bidi="ar-SA"/>
      </w:rPr>
    </w:lvl>
    <w:lvl w:ilvl="4">
      <w:start w:val="0"/>
      <w:numFmt w:val="bullet"/>
      <w:lvlText w:val="•"/>
      <w:lvlJc w:val="left"/>
      <w:pPr>
        <w:ind w:left="6156" w:hanging="360"/>
      </w:pPr>
      <w:rPr>
        <w:rFonts w:hint="default"/>
        <w:lang w:val="es-ES" w:eastAsia="en-US" w:bidi="ar-SA"/>
      </w:rPr>
    </w:lvl>
    <w:lvl w:ilvl="5">
      <w:start w:val="0"/>
      <w:numFmt w:val="bullet"/>
      <w:lvlText w:val="•"/>
      <w:lvlJc w:val="left"/>
      <w:pPr>
        <w:ind w:left="7110" w:hanging="360"/>
      </w:pPr>
      <w:rPr>
        <w:rFonts w:hint="default"/>
        <w:lang w:val="es-ES" w:eastAsia="en-US" w:bidi="ar-SA"/>
      </w:rPr>
    </w:lvl>
    <w:lvl w:ilvl="6">
      <w:start w:val="0"/>
      <w:numFmt w:val="bullet"/>
      <w:lvlText w:val="•"/>
      <w:lvlJc w:val="left"/>
      <w:pPr>
        <w:ind w:left="8064" w:hanging="360"/>
      </w:pPr>
      <w:rPr>
        <w:rFonts w:hint="default"/>
        <w:lang w:val="es-ES" w:eastAsia="en-US" w:bidi="ar-SA"/>
      </w:rPr>
    </w:lvl>
    <w:lvl w:ilvl="7">
      <w:start w:val="0"/>
      <w:numFmt w:val="bullet"/>
      <w:lvlText w:val="•"/>
      <w:lvlJc w:val="left"/>
      <w:pPr>
        <w:ind w:left="9018" w:hanging="360"/>
      </w:pPr>
      <w:rPr>
        <w:rFonts w:hint="default"/>
        <w:lang w:val="es-ES" w:eastAsia="en-US" w:bidi="ar-SA"/>
      </w:rPr>
    </w:lvl>
    <w:lvl w:ilvl="8">
      <w:start w:val="0"/>
      <w:numFmt w:val="bullet"/>
      <w:lvlText w:val="•"/>
      <w:lvlJc w:val="left"/>
      <w:pPr>
        <w:ind w:left="9972" w:hanging="360"/>
      </w:pPr>
      <w:rPr>
        <w:rFonts w:hint="default"/>
        <w:lang w:val="es-ES" w:eastAsia="en-US" w:bidi="ar-SA"/>
      </w:rPr>
    </w:lvl>
  </w:abstractNum>
  <w:abstractNum w:abstractNumId="25">
    <w:multiLevelType w:val="hybridMultilevel"/>
    <w:lvl w:ilvl="0">
      <w:start w:val="5"/>
      <w:numFmt w:val="decimal"/>
      <w:lvlText w:val="%1"/>
      <w:lvlJc w:val="left"/>
      <w:pPr>
        <w:ind w:left="2954" w:hanging="468"/>
        <w:jc w:val="left"/>
      </w:pPr>
      <w:rPr>
        <w:rFonts w:hint="default"/>
        <w:lang w:val="es-ES" w:eastAsia="en-US" w:bidi="ar-SA"/>
      </w:rPr>
    </w:lvl>
    <w:lvl w:ilvl="1">
      <w:start w:val="4"/>
      <w:numFmt w:val="decimal"/>
      <w:lvlText w:val="%1.%2."/>
      <w:lvlJc w:val="left"/>
      <w:pPr>
        <w:ind w:left="2954" w:hanging="468"/>
        <w:jc w:val="left"/>
      </w:pPr>
      <w:rPr>
        <w:rFonts w:hint="default" w:ascii="Arial" w:hAnsi="Arial" w:eastAsia="Arial" w:cs="Arial"/>
        <w:b/>
        <w:bCs/>
        <w:i w:val="0"/>
        <w:iCs w:val="0"/>
        <w:spacing w:val="0"/>
        <w:w w:val="100"/>
        <w:sz w:val="24"/>
        <w:szCs w:val="24"/>
        <w:lang w:val="es-ES" w:eastAsia="en-US" w:bidi="ar-SA"/>
      </w:rPr>
    </w:lvl>
    <w:lvl w:ilvl="2">
      <w:start w:val="0"/>
      <w:numFmt w:val="bullet"/>
      <w:lvlText w:val="•"/>
      <w:lvlJc w:val="left"/>
      <w:pPr>
        <w:ind w:left="4744" w:hanging="468"/>
      </w:pPr>
      <w:rPr>
        <w:rFonts w:hint="default"/>
        <w:lang w:val="es-ES" w:eastAsia="en-US" w:bidi="ar-SA"/>
      </w:rPr>
    </w:lvl>
    <w:lvl w:ilvl="3">
      <w:start w:val="0"/>
      <w:numFmt w:val="bullet"/>
      <w:lvlText w:val="•"/>
      <w:lvlJc w:val="left"/>
      <w:pPr>
        <w:ind w:left="5636" w:hanging="468"/>
      </w:pPr>
      <w:rPr>
        <w:rFonts w:hint="default"/>
        <w:lang w:val="es-ES" w:eastAsia="en-US" w:bidi="ar-SA"/>
      </w:rPr>
    </w:lvl>
    <w:lvl w:ilvl="4">
      <w:start w:val="0"/>
      <w:numFmt w:val="bullet"/>
      <w:lvlText w:val="•"/>
      <w:lvlJc w:val="left"/>
      <w:pPr>
        <w:ind w:left="6528" w:hanging="468"/>
      </w:pPr>
      <w:rPr>
        <w:rFonts w:hint="default"/>
        <w:lang w:val="es-ES" w:eastAsia="en-US" w:bidi="ar-SA"/>
      </w:rPr>
    </w:lvl>
    <w:lvl w:ilvl="5">
      <w:start w:val="0"/>
      <w:numFmt w:val="bullet"/>
      <w:lvlText w:val="•"/>
      <w:lvlJc w:val="left"/>
      <w:pPr>
        <w:ind w:left="7420" w:hanging="468"/>
      </w:pPr>
      <w:rPr>
        <w:rFonts w:hint="default"/>
        <w:lang w:val="es-ES" w:eastAsia="en-US" w:bidi="ar-SA"/>
      </w:rPr>
    </w:lvl>
    <w:lvl w:ilvl="6">
      <w:start w:val="0"/>
      <w:numFmt w:val="bullet"/>
      <w:lvlText w:val="•"/>
      <w:lvlJc w:val="left"/>
      <w:pPr>
        <w:ind w:left="8312" w:hanging="468"/>
      </w:pPr>
      <w:rPr>
        <w:rFonts w:hint="default"/>
        <w:lang w:val="es-ES" w:eastAsia="en-US" w:bidi="ar-SA"/>
      </w:rPr>
    </w:lvl>
    <w:lvl w:ilvl="7">
      <w:start w:val="0"/>
      <w:numFmt w:val="bullet"/>
      <w:lvlText w:val="•"/>
      <w:lvlJc w:val="left"/>
      <w:pPr>
        <w:ind w:left="9204" w:hanging="468"/>
      </w:pPr>
      <w:rPr>
        <w:rFonts w:hint="default"/>
        <w:lang w:val="es-ES" w:eastAsia="en-US" w:bidi="ar-SA"/>
      </w:rPr>
    </w:lvl>
    <w:lvl w:ilvl="8">
      <w:start w:val="0"/>
      <w:numFmt w:val="bullet"/>
      <w:lvlText w:val="•"/>
      <w:lvlJc w:val="left"/>
      <w:pPr>
        <w:ind w:left="10096" w:hanging="468"/>
      </w:pPr>
      <w:rPr>
        <w:rFonts w:hint="default"/>
        <w:lang w:val="es-ES" w:eastAsia="en-US" w:bidi="ar-SA"/>
      </w:rPr>
    </w:lvl>
  </w:abstractNum>
  <w:abstractNum w:abstractNumId="24">
    <w:multiLevelType w:val="hybridMultilevel"/>
    <w:lvl w:ilvl="0">
      <w:start w:val="0"/>
      <w:numFmt w:val="bullet"/>
      <w:lvlText w:val=""/>
      <w:lvlJc w:val="left"/>
      <w:pPr>
        <w:ind w:left="2345" w:hanging="360"/>
      </w:pPr>
      <w:rPr>
        <w:rFonts w:hint="default" w:ascii="Wingdings" w:hAnsi="Wingdings" w:eastAsia="Wingdings" w:cs="Wingdings"/>
        <w:b w:val="0"/>
        <w:bCs w:val="0"/>
        <w:i w:val="0"/>
        <w:iCs w:val="0"/>
        <w:spacing w:val="0"/>
        <w:w w:val="100"/>
        <w:sz w:val="22"/>
        <w:szCs w:val="22"/>
        <w:lang w:val="es-ES" w:eastAsia="en-US" w:bidi="ar-SA"/>
      </w:rPr>
    </w:lvl>
    <w:lvl w:ilvl="1">
      <w:start w:val="0"/>
      <w:numFmt w:val="bullet"/>
      <w:lvlText w:val="•"/>
      <w:lvlJc w:val="left"/>
      <w:pPr>
        <w:ind w:left="3294" w:hanging="360"/>
      </w:pPr>
      <w:rPr>
        <w:rFonts w:hint="default"/>
        <w:lang w:val="es-ES" w:eastAsia="en-US" w:bidi="ar-SA"/>
      </w:rPr>
    </w:lvl>
    <w:lvl w:ilvl="2">
      <w:start w:val="0"/>
      <w:numFmt w:val="bullet"/>
      <w:lvlText w:val="•"/>
      <w:lvlJc w:val="left"/>
      <w:pPr>
        <w:ind w:left="4248" w:hanging="360"/>
      </w:pPr>
      <w:rPr>
        <w:rFonts w:hint="default"/>
        <w:lang w:val="es-ES" w:eastAsia="en-US" w:bidi="ar-SA"/>
      </w:rPr>
    </w:lvl>
    <w:lvl w:ilvl="3">
      <w:start w:val="0"/>
      <w:numFmt w:val="bullet"/>
      <w:lvlText w:val="•"/>
      <w:lvlJc w:val="left"/>
      <w:pPr>
        <w:ind w:left="5202" w:hanging="360"/>
      </w:pPr>
      <w:rPr>
        <w:rFonts w:hint="default"/>
        <w:lang w:val="es-ES" w:eastAsia="en-US" w:bidi="ar-SA"/>
      </w:rPr>
    </w:lvl>
    <w:lvl w:ilvl="4">
      <w:start w:val="0"/>
      <w:numFmt w:val="bullet"/>
      <w:lvlText w:val="•"/>
      <w:lvlJc w:val="left"/>
      <w:pPr>
        <w:ind w:left="6156" w:hanging="360"/>
      </w:pPr>
      <w:rPr>
        <w:rFonts w:hint="default"/>
        <w:lang w:val="es-ES" w:eastAsia="en-US" w:bidi="ar-SA"/>
      </w:rPr>
    </w:lvl>
    <w:lvl w:ilvl="5">
      <w:start w:val="0"/>
      <w:numFmt w:val="bullet"/>
      <w:lvlText w:val="•"/>
      <w:lvlJc w:val="left"/>
      <w:pPr>
        <w:ind w:left="7110" w:hanging="360"/>
      </w:pPr>
      <w:rPr>
        <w:rFonts w:hint="default"/>
        <w:lang w:val="es-ES" w:eastAsia="en-US" w:bidi="ar-SA"/>
      </w:rPr>
    </w:lvl>
    <w:lvl w:ilvl="6">
      <w:start w:val="0"/>
      <w:numFmt w:val="bullet"/>
      <w:lvlText w:val="•"/>
      <w:lvlJc w:val="left"/>
      <w:pPr>
        <w:ind w:left="8064" w:hanging="360"/>
      </w:pPr>
      <w:rPr>
        <w:rFonts w:hint="default"/>
        <w:lang w:val="es-ES" w:eastAsia="en-US" w:bidi="ar-SA"/>
      </w:rPr>
    </w:lvl>
    <w:lvl w:ilvl="7">
      <w:start w:val="0"/>
      <w:numFmt w:val="bullet"/>
      <w:lvlText w:val="•"/>
      <w:lvlJc w:val="left"/>
      <w:pPr>
        <w:ind w:left="9018" w:hanging="360"/>
      </w:pPr>
      <w:rPr>
        <w:rFonts w:hint="default"/>
        <w:lang w:val="es-ES" w:eastAsia="en-US" w:bidi="ar-SA"/>
      </w:rPr>
    </w:lvl>
    <w:lvl w:ilvl="8">
      <w:start w:val="0"/>
      <w:numFmt w:val="bullet"/>
      <w:lvlText w:val="•"/>
      <w:lvlJc w:val="left"/>
      <w:pPr>
        <w:ind w:left="9972" w:hanging="360"/>
      </w:pPr>
      <w:rPr>
        <w:rFonts w:hint="default"/>
        <w:lang w:val="es-ES" w:eastAsia="en-US" w:bidi="ar-SA"/>
      </w:rPr>
    </w:lvl>
  </w:abstractNum>
  <w:abstractNum w:abstractNumId="23">
    <w:multiLevelType w:val="hybridMultilevel"/>
    <w:lvl w:ilvl="0">
      <w:start w:val="0"/>
      <w:numFmt w:val="bullet"/>
      <w:lvlText w:val=""/>
      <w:lvlJc w:val="left"/>
      <w:pPr>
        <w:ind w:left="2345" w:hanging="360"/>
      </w:pPr>
      <w:rPr>
        <w:rFonts w:hint="default" w:ascii="Symbol" w:hAnsi="Symbol" w:eastAsia="Symbol" w:cs="Symbol"/>
        <w:b w:val="0"/>
        <w:bCs w:val="0"/>
        <w:i w:val="0"/>
        <w:iCs w:val="0"/>
        <w:spacing w:val="0"/>
        <w:w w:val="100"/>
        <w:sz w:val="22"/>
        <w:szCs w:val="22"/>
        <w:lang w:val="es-ES" w:eastAsia="en-US" w:bidi="ar-SA"/>
      </w:rPr>
    </w:lvl>
    <w:lvl w:ilvl="1">
      <w:start w:val="0"/>
      <w:numFmt w:val="bullet"/>
      <w:lvlText w:val="•"/>
      <w:lvlJc w:val="left"/>
      <w:pPr>
        <w:ind w:left="3294" w:hanging="360"/>
      </w:pPr>
      <w:rPr>
        <w:rFonts w:hint="default"/>
        <w:lang w:val="es-ES" w:eastAsia="en-US" w:bidi="ar-SA"/>
      </w:rPr>
    </w:lvl>
    <w:lvl w:ilvl="2">
      <w:start w:val="0"/>
      <w:numFmt w:val="bullet"/>
      <w:lvlText w:val="•"/>
      <w:lvlJc w:val="left"/>
      <w:pPr>
        <w:ind w:left="4248" w:hanging="360"/>
      </w:pPr>
      <w:rPr>
        <w:rFonts w:hint="default"/>
        <w:lang w:val="es-ES" w:eastAsia="en-US" w:bidi="ar-SA"/>
      </w:rPr>
    </w:lvl>
    <w:lvl w:ilvl="3">
      <w:start w:val="0"/>
      <w:numFmt w:val="bullet"/>
      <w:lvlText w:val="•"/>
      <w:lvlJc w:val="left"/>
      <w:pPr>
        <w:ind w:left="5202" w:hanging="360"/>
      </w:pPr>
      <w:rPr>
        <w:rFonts w:hint="default"/>
        <w:lang w:val="es-ES" w:eastAsia="en-US" w:bidi="ar-SA"/>
      </w:rPr>
    </w:lvl>
    <w:lvl w:ilvl="4">
      <w:start w:val="0"/>
      <w:numFmt w:val="bullet"/>
      <w:lvlText w:val="•"/>
      <w:lvlJc w:val="left"/>
      <w:pPr>
        <w:ind w:left="6156" w:hanging="360"/>
      </w:pPr>
      <w:rPr>
        <w:rFonts w:hint="default"/>
        <w:lang w:val="es-ES" w:eastAsia="en-US" w:bidi="ar-SA"/>
      </w:rPr>
    </w:lvl>
    <w:lvl w:ilvl="5">
      <w:start w:val="0"/>
      <w:numFmt w:val="bullet"/>
      <w:lvlText w:val="•"/>
      <w:lvlJc w:val="left"/>
      <w:pPr>
        <w:ind w:left="7110" w:hanging="360"/>
      </w:pPr>
      <w:rPr>
        <w:rFonts w:hint="default"/>
        <w:lang w:val="es-ES" w:eastAsia="en-US" w:bidi="ar-SA"/>
      </w:rPr>
    </w:lvl>
    <w:lvl w:ilvl="6">
      <w:start w:val="0"/>
      <w:numFmt w:val="bullet"/>
      <w:lvlText w:val="•"/>
      <w:lvlJc w:val="left"/>
      <w:pPr>
        <w:ind w:left="8064" w:hanging="360"/>
      </w:pPr>
      <w:rPr>
        <w:rFonts w:hint="default"/>
        <w:lang w:val="es-ES" w:eastAsia="en-US" w:bidi="ar-SA"/>
      </w:rPr>
    </w:lvl>
    <w:lvl w:ilvl="7">
      <w:start w:val="0"/>
      <w:numFmt w:val="bullet"/>
      <w:lvlText w:val="•"/>
      <w:lvlJc w:val="left"/>
      <w:pPr>
        <w:ind w:left="9018" w:hanging="360"/>
      </w:pPr>
      <w:rPr>
        <w:rFonts w:hint="default"/>
        <w:lang w:val="es-ES" w:eastAsia="en-US" w:bidi="ar-SA"/>
      </w:rPr>
    </w:lvl>
    <w:lvl w:ilvl="8">
      <w:start w:val="0"/>
      <w:numFmt w:val="bullet"/>
      <w:lvlText w:val="•"/>
      <w:lvlJc w:val="left"/>
      <w:pPr>
        <w:ind w:left="9972" w:hanging="360"/>
      </w:pPr>
      <w:rPr>
        <w:rFonts w:hint="default"/>
        <w:lang w:val="es-ES" w:eastAsia="en-US" w:bidi="ar-SA"/>
      </w:rPr>
    </w:lvl>
  </w:abstractNum>
  <w:abstractNum w:abstractNumId="22">
    <w:multiLevelType w:val="hybridMultilevel"/>
    <w:lvl w:ilvl="0">
      <w:start w:val="1"/>
      <w:numFmt w:val="lowerLetter"/>
      <w:lvlText w:val="%1)"/>
      <w:lvlJc w:val="left"/>
      <w:pPr>
        <w:ind w:left="1985" w:hanging="360"/>
        <w:jc w:val="left"/>
      </w:pPr>
      <w:rPr>
        <w:rFonts w:hint="default" w:ascii="Arial" w:hAnsi="Arial" w:eastAsia="Arial" w:cs="Arial"/>
        <w:b/>
        <w:bCs/>
        <w:i w:val="0"/>
        <w:iCs w:val="0"/>
        <w:spacing w:val="-1"/>
        <w:w w:val="100"/>
        <w:sz w:val="22"/>
        <w:szCs w:val="22"/>
        <w:lang w:val="es-ES" w:eastAsia="en-US" w:bidi="ar-SA"/>
      </w:rPr>
    </w:lvl>
    <w:lvl w:ilvl="1">
      <w:start w:val="0"/>
      <w:numFmt w:val="bullet"/>
      <w:lvlText w:val="•"/>
      <w:lvlJc w:val="left"/>
      <w:pPr>
        <w:ind w:left="2970" w:hanging="360"/>
      </w:pPr>
      <w:rPr>
        <w:rFonts w:hint="default"/>
        <w:lang w:val="es-ES" w:eastAsia="en-US" w:bidi="ar-SA"/>
      </w:rPr>
    </w:lvl>
    <w:lvl w:ilvl="2">
      <w:start w:val="0"/>
      <w:numFmt w:val="bullet"/>
      <w:lvlText w:val="•"/>
      <w:lvlJc w:val="left"/>
      <w:pPr>
        <w:ind w:left="3960" w:hanging="360"/>
      </w:pPr>
      <w:rPr>
        <w:rFonts w:hint="default"/>
        <w:lang w:val="es-ES" w:eastAsia="en-US" w:bidi="ar-SA"/>
      </w:rPr>
    </w:lvl>
    <w:lvl w:ilvl="3">
      <w:start w:val="0"/>
      <w:numFmt w:val="bullet"/>
      <w:lvlText w:val="•"/>
      <w:lvlJc w:val="left"/>
      <w:pPr>
        <w:ind w:left="4950" w:hanging="360"/>
      </w:pPr>
      <w:rPr>
        <w:rFonts w:hint="default"/>
        <w:lang w:val="es-ES" w:eastAsia="en-US" w:bidi="ar-SA"/>
      </w:rPr>
    </w:lvl>
    <w:lvl w:ilvl="4">
      <w:start w:val="0"/>
      <w:numFmt w:val="bullet"/>
      <w:lvlText w:val="•"/>
      <w:lvlJc w:val="left"/>
      <w:pPr>
        <w:ind w:left="5940" w:hanging="360"/>
      </w:pPr>
      <w:rPr>
        <w:rFonts w:hint="default"/>
        <w:lang w:val="es-ES" w:eastAsia="en-US" w:bidi="ar-SA"/>
      </w:rPr>
    </w:lvl>
    <w:lvl w:ilvl="5">
      <w:start w:val="0"/>
      <w:numFmt w:val="bullet"/>
      <w:lvlText w:val="•"/>
      <w:lvlJc w:val="left"/>
      <w:pPr>
        <w:ind w:left="6930" w:hanging="360"/>
      </w:pPr>
      <w:rPr>
        <w:rFonts w:hint="default"/>
        <w:lang w:val="es-ES" w:eastAsia="en-US" w:bidi="ar-SA"/>
      </w:rPr>
    </w:lvl>
    <w:lvl w:ilvl="6">
      <w:start w:val="0"/>
      <w:numFmt w:val="bullet"/>
      <w:lvlText w:val="•"/>
      <w:lvlJc w:val="left"/>
      <w:pPr>
        <w:ind w:left="7920" w:hanging="360"/>
      </w:pPr>
      <w:rPr>
        <w:rFonts w:hint="default"/>
        <w:lang w:val="es-ES" w:eastAsia="en-US" w:bidi="ar-SA"/>
      </w:rPr>
    </w:lvl>
    <w:lvl w:ilvl="7">
      <w:start w:val="0"/>
      <w:numFmt w:val="bullet"/>
      <w:lvlText w:val="•"/>
      <w:lvlJc w:val="left"/>
      <w:pPr>
        <w:ind w:left="8910" w:hanging="360"/>
      </w:pPr>
      <w:rPr>
        <w:rFonts w:hint="default"/>
        <w:lang w:val="es-ES" w:eastAsia="en-US" w:bidi="ar-SA"/>
      </w:rPr>
    </w:lvl>
    <w:lvl w:ilvl="8">
      <w:start w:val="0"/>
      <w:numFmt w:val="bullet"/>
      <w:lvlText w:val="•"/>
      <w:lvlJc w:val="left"/>
      <w:pPr>
        <w:ind w:left="9900" w:hanging="360"/>
      </w:pPr>
      <w:rPr>
        <w:rFonts w:hint="default"/>
        <w:lang w:val="es-ES" w:eastAsia="en-US" w:bidi="ar-SA"/>
      </w:rPr>
    </w:lvl>
  </w:abstractNum>
  <w:abstractNum w:abstractNumId="21">
    <w:multiLevelType w:val="hybridMultilevel"/>
    <w:lvl w:ilvl="0">
      <w:start w:val="0"/>
      <w:numFmt w:val="bullet"/>
      <w:lvlText w:val=""/>
      <w:lvlJc w:val="left"/>
      <w:pPr>
        <w:ind w:left="1985" w:hanging="360"/>
      </w:pPr>
      <w:rPr>
        <w:rFonts w:hint="default" w:ascii="Symbol" w:hAnsi="Symbol" w:eastAsia="Symbol" w:cs="Symbol"/>
        <w:b w:val="0"/>
        <w:bCs w:val="0"/>
        <w:i w:val="0"/>
        <w:iCs w:val="0"/>
        <w:spacing w:val="0"/>
        <w:w w:val="100"/>
        <w:sz w:val="22"/>
        <w:szCs w:val="22"/>
        <w:lang w:val="es-ES" w:eastAsia="en-US" w:bidi="ar-SA"/>
      </w:rPr>
    </w:lvl>
    <w:lvl w:ilvl="1">
      <w:start w:val="0"/>
      <w:numFmt w:val="bullet"/>
      <w:lvlText w:val="•"/>
      <w:lvlJc w:val="left"/>
      <w:pPr>
        <w:ind w:left="2970" w:hanging="360"/>
      </w:pPr>
      <w:rPr>
        <w:rFonts w:hint="default"/>
        <w:lang w:val="es-ES" w:eastAsia="en-US" w:bidi="ar-SA"/>
      </w:rPr>
    </w:lvl>
    <w:lvl w:ilvl="2">
      <w:start w:val="0"/>
      <w:numFmt w:val="bullet"/>
      <w:lvlText w:val="•"/>
      <w:lvlJc w:val="left"/>
      <w:pPr>
        <w:ind w:left="3960" w:hanging="360"/>
      </w:pPr>
      <w:rPr>
        <w:rFonts w:hint="default"/>
        <w:lang w:val="es-ES" w:eastAsia="en-US" w:bidi="ar-SA"/>
      </w:rPr>
    </w:lvl>
    <w:lvl w:ilvl="3">
      <w:start w:val="0"/>
      <w:numFmt w:val="bullet"/>
      <w:lvlText w:val="•"/>
      <w:lvlJc w:val="left"/>
      <w:pPr>
        <w:ind w:left="4950" w:hanging="360"/>
      </w:pPr>
      <w:rPr>
        <w:rFonts w:hint="default"/>
        <w:lang w:val="es-ES" w:eastAsia="en-US" w:bidi="ar-SA"/>
      </w:rPr>
    </w:lvl>
    <w:lvl w:ilvl="4">
      <w:start w:val="0"/>
      <w:numFmt w:val="bullet"/>
      <w:lvlText w:val="•"/>
      <w:lvlJc w:val="left"/>
      <w:pPr>
        <w:ind w:left="5940" w:hanging="360"/>
      </w:pPr>
      <w:rPr>
        <w:rFonts w:hint="default"/>
        <w:lang w:val="es-ES" w:eastAsia="en-US" w:bidi="ar-SA"/>
      </w:rPr>
    </w:lvl>
    <w:lvl w:ilvl="5">
      <w:start w:val="0"/>
      <w:numFmt w:val="bullet"/>
      <w:lvlText w:val="•"/>
      <w:lvlJc w:val="left"/>
      <w:pPr>
        <w:ind w:left="6930" w:hanging="360"/>
      </w:pPr>
      <w:rPr>
        <w:rFonts w:hint="default"/>
        <w:lang w:val="es-ES" w:eastAsia="en-US" w:bidi="ar-SA"/>
      </w:rPr>
    </w:lvl>
    <w:lvl w:ilvl="6">
      <w:start w:val="0"/>
      <w:numFmt w:val="bullet"/>
      <w:lvlText w:val="•"/>
      <w:lvlJc w:val="left"/>
      <w:pPr>
        <w:ind w:left="7920" w:hanging="360"/>
      </w:pPr>
      <w:rPr>
        <w:rFonts w:hint="default"/>
        <w:lang w:val="es-ES" w:eastAsia="en-US" w:bidi="ar-SA"/>
      </w:rPr>
    </w:lvl>
    <w:lvl w:ilvl="7">
      <w:start w:val="0"/>
      <w:numFmt w:val="bullet"/>
      <w:lvlText w:val="•"/>
      <w:lvlJc w:val="left"/>
      <w:pPr>
        <w:ind w:left="8910" w:hanging="360"/>
      </w:pPr>
      <w:rPr>
        <w:rFonts w:hint="default"/>
        <w:lang w:val="es-ES" w:eastAsia="en-US" w:bidi="ar-SA"/>
      </w:rPr>
    </w:lvl>
    <w:lvl w:ilvl="8">
      <w:start w:val="0"/>
      <w:numFmt w:val="bullet"/>
      <w:lvlText w:val="•"/>
      <w:lvlJc w:val="left"/>
      <w:pPr>
        <w:ind w:left="9900" w:hanging="360"/>
      </w:pPr>
      <w:rPr>
        <w:rFonts w:hint="default"/>
        <w:lang w:val="es-ES" w:eastAsia="en-US" w:bidi="ar-SA"/>
      </w:rPr>
    </w:lvl>
  </w:abstractNum>
  <w:abstractNum w:abstractNumId="20">
    <w:multiLevelType w:val="hybridMultilevel"/>
    <w:lvl w:ilvl="0">
      <w:start w:val="0"/>
      <w:numFmt w:val="bullet"/>
      <w:lvlText w:val=""/>
      <w:lvlJc w:val="left"/>
      <w:pPr>
        <w:ind w:left="2477" w:hanging="286"/>
      </w:pPr>
      <w:rPr>
        <w:rFonts w:hint="default" w:ascii="Wingdings" w:hAnsi="Wingdings" w:eastAsia="Wingdings" w:cs="Wingdings"/>
        <w:b w:val="0"/>
        <w:bCs w:val="0"/>
        <w:i w:val="0"/>
        <w:iCs w:val="0"/>
        <w:spacing w:val="0"/>
        <w:w w:val="100"/>
        <w:sz w:val="22"/>
        <w:szCs w:val="22"/>
        <w:lang w:val="es-ES" w:eastAsia="en-US" w:bidi="ar-SA"/>
      </w:rPr>
    </w:lvl>
    <w:lvl w:ilvl="1">
      <w:start w:val="0"/>
      <w:numFmt w:val="bullet"/>
      <w:lvlText w:val="•"/>
      <w:lvlJc w:val="left"/>
      <w:pPr>
        <w:ind w:left="3420" w:hanging="286"/>
      </w:pPr>
      <w:rPr>
        <w:rFonts w:hint="default"/>
        <w:lang w:val="es-ES" w:eastAsia="en-US" w:bidi="ar-SA"/>
      </w:rPr>
    </w:lvl>
    <w:lvl w:ilvl="2">
      <w:start w:val="0"/>
      <w:numFmt w:val="bullet"/>
      <w:lvlText w:val="•"/>
      <w:lvlJc w:val="left"/>
      <w:pPr>
        <w:ind w:left="4360" w:hanging="286"/>
      </w:pPr>
      <w:rPr>
        <w:rFonts w:hint="default"/>
        <w:lang w:val="es-ES" w:eastAsia="en-US" w:bidi="ar-SA"/>
      </w:rPr>
    </w:lvl>
    <w:lvl w:ilvl="3">
      <w:start w:val="0"/>
      <w:numFmt w:val="bullet"/>
      <w:lvlText w:val="•"/>
      <w:lvlJc w:val="left"/>
      <w:pPr>
        <w:ind w:left="5300" w:hanging="286"/>
      </w:pPr>
      <w:rPr>
        <w:rFonts w:hint="default"/>
        <w:lang w:val="es-ES" w:eastAsia="en-US" w:bidi="ar-SA"/>
      </w:rPr>
    </w:lvl>
    <w:lvl w:ilvl="4">
      <w:start w:val="0"/>
      <w:numFmt w:val="bullet"/>
      <w:lvlText w:val="•"/>
      <w:lvlJc w:val="left"/>
      <w:pPr>
        <w:ind w:left="6240" w:hanging="286"/>
      </w:pPr>
      <w:rPr>
        <w:rFonts w:hint="default"/>
        <w:lang w:val="es-ES" w:eastAsia="en-US" w:bidi="ar-SA"/>
      </w:rPr>
    </w:lvl>
    <w:lvl w:ilvl="5">
      <w:start w:val="0"/>
      <w:numFmt w:val="bullet"/>
      <w:lvlText w:val="•"/>
      <w:lvlJc w:val="left"/>
      <w:pPr>
        <w:ind w:left="7180" w:hanging="286"/>
      </w:pPr>
      <w:rPr>
        <w:rFonts w:hint="default"/>
        <w:lang w:val="es-ES" w:eastAsia="en-US" w:bidi="ar-SA"/>
      </w:rPr>
    </w:lvl>
    <w:lvl w:ilvl="6">
      <w:start w:val="0"/>
      <w:numFmt w:val="bullet"/>
      <w:lvlText w:val="•"/>
      <w:lvlJc w:val="left"/>
      <w:pPr>
        <w:ind w:left="8120" w:hanging="286"/>
      </w:pPr>
      <w:rPr>
        <w:rFonts w:hint="default"/>
        <w:lang w:val="es-ES" w:eastAsia="en-US" w:bidi="ar-SA"/>
      </w:rPr>
    </w:lvl>
    <w:lvl w:ilvl="7">
      <w:start w:val="0"/>
      <w:numFmt w:val="bullet"/>
      <w:lvlText w:val="•"/>
      <w:lvlJc w:val="left"/>
      <w:pPr>
        <w:ind w:left="9060" w:hanging="286"/>
      </w:pPr>
      <w:rPr>
        <w:rFonts w:hint="default"/>
        <w:lang w:val="es-ES" w:eastAsia="en-US" w:bidi="ar-SA"/>
      </w:rPr>
    </w:lvl>
    <w:lvl w:ilvl="8">
      <w:start w:val="0"/>
      <w:numFmt w:val="bullet"/>
      <w:lvlText w:val="•"/>
      <w:lvlJc w:val="left"/>
      <w:pPr>
        <w:ind w:left="10000" w:hanging="286"/>
      </w:pPr>
      <w:rPr>
        <w:rFonts w:hint="default"/>
        <w:lang w:val="es-ES" w:eastAsia="en-US" w:bidi="ar-SA"/>
      </w:rPr>
    </w:lvl>
  </w:abstractNum>
  <w:abstractNum w:abstractNumId="19">
    <w:multiLevelType w:val="hybridMultilevel"/>
    <w:lvl w:ilvl="0">
      <w:start w:val="0"/>
      <w:numFmt w:val="bullet"/>
      <w:lvlText w:val=""/>
      <w:lvlJc w:val="left"/>
      <w:pPr>
        <w:ind w:left="2477" w:hanging="286"/>
      </w:pPr>
      <w:rPr>
        <w:rFonts w:hint="default" w:ascii="Wingdings" w:hAnsi="Wingdings" w:eastAsia="Wingdings" w:cs="Wingdings"/>
        <w:b w:val="0"/>
        <w:bCs w:val="0"/>
        <w:i w:val="0"/>
        <w:iCs w:val="0"/>
        <w:spacing w:val="0"/>
        <w:w w:val="100"/>
        <w:sz w:val="22"/>
        <w:szCs w:val="22"/>
        <w:lang w:val="es-ES" w:eastAsia="en-US" w:bidi="ar-SA"/>
      </w:rPr>
    </w:lvl>
    <w:lvl w:ilvl="1">
      <w:start w:val="0"/>
      <w:numFmt w:val="bullet"/>
      <w:lvlText w:val="•"/>
      <w:lvlJc w:val="left"/>
      <w:pPr>
        <w:ind w:left="3420" w:hanging="286"/>
      </w:pPr>
      <w:rPr>
        <w:rFonts w:hint="default"/>
        <w:lang w:val="es-ES" w:eastAsia="en-US" w:bidi="ar-SA"/>
      </w:rPr>
    </w:lvl>
    <w:lvl w:ilvl="2">
      <w:start w:val="0"/>
      <w:numFmt w:val="bullet"/>
      <w:lvlText w:val="•"/>
      <w:lvlJc w:val="left"/>
      <w:pPr>
        <w:ind w:left="4360" w:hanging="286"/>
      </w:pPr>
      <w:rPr>
        <w:rFonts w:hint="default"/>
        <w:lang w:val="es-ES" w:eastAsia="en-US" w:bidi="ar-SA"/>
      </w:rPr>
    </w:lvl>
    <w:lvl w:ilvl="3">
      <w:start w:val="0"/>
      <w:numFmt w:val="bullet"/>
      <w:lvlText w:val="•"/>
      <w:lvlJc w:val="left"/>
      <w:pPr>
        <w:ind w:left="5300" w:hanging="286"/>
      </w:pPr>
      <w:rPr>
        <w:rFonts w:hint="default"/>
        <w:lang w:val="es-ES" w:eastAsia="en-US" w:bidi="ar-SA"/>
      </w:rPr>
    </w:lvl>
    <w:lvl w:ilvl="4">
      <w:start w:val="0"/>
      <w:numFmt w:val="bullet"/>
      <w:lvlText w:val="•"/>
      <w:lvlJc w:val="left"/>
      <w:pPr>
        <w:ind w:left="6240" w:hanging="286"/>
      </w:pPr>
      <w:rPr>
        <w:rFonts w:hint="default"/>
        <w:lang w:val="es-ES" w:eastAsia="en-US" w:bidi="ar-SA"/>
      </w:rPr>
    </w:lvl>
    <w:lvl w:ilvl="5">
      <w:start w:val="0"/>
      <w:numFmt w:val="bullet"/>
      <w:lvlText w:val="•"/>
      <w:lvlJc w:val="left"/>
      <w:pPr>
        <w:ind w:left="7180" w:hanging="286"/>
      </w:pPr>
      <w:rPr>
        <w:rFonts w:hint="default"/>
        <w:lang w:val="es-ES" w:eastAsia="en-US" w:bidi="ar-SA"/>
      </w:rPr>
    </w:lvl>
    <w:lvl w:ilvl="6">
      <w:start w:val="0"/>
      <w:numFmt w:val="bullet"/>
      <w:lvlText w:val="•"/>
      <w:lvlJc w:val="left"/>
      <w:pPr>
        <w:ind w:left="8120" w:hanging="286"/>
      </w:pPr>
      <w:rPr>
        <w:rFonts w:hint="default"/>
        <w:lang w:val="es-ES" w:eastAsia="en-US" w:bidi="ar-SA"/>
      </w:rPr>
    </w:lvl>
    <w:lvl w:ilvl="7">
      <w:start w:val="0"/>
      <w:numFmt w:val="bullet"/>
      <w:lvlText w:val="•"/>
      <w:lvlJc w:val="left"/>
      <w:pPr>
        <w:ind w:left="9060" w:hanging="286"/>
      </w:pPr>
      <w:rPr>
        <w:rFonts w:hint="default"/>
        <w:lang w:val="es-ES" w:eastAsia="en-US" w:bidi="ar-SA"/>
      </w:rPr>
    </w:lvl>
    <w:lvl w:ilvl="8">
      <w:start w:val="0"/>
      <w:numFmt w:val="bullet"/>
      <w:lvlText w:val="•"/>
      <w:lvlJc w:val="left"/>
      <w:pPr>
        <w:ind w:left="10000" w:hanging="286"/>
      </w:pPr>
      <w:rPr>
        <w:rFonts w:hint="default"/>
        <w:lang w:val="es-ES" w:eastAsia="en-US" w:bidi="ar-SA"/>
      </w:rPr>
    </w:lvl>
  </w:abstractNum>
  <w:abstractNum w:abstractNumId="18">
    <w:multiLevelType w:val="hybridMultilevel"/>
    <w:lvl w:ilvl="0">
      <w:start w:val="0"/>
      <w:numFmt w:val="bullet"/>
      <w:lvlText w:val=""/>
      <w:lvlJc w:val="left"/>
      <w:pPr>
        <w:ind w:left="2191" w:hanging="284"/>
      </w:pPr>
      <w:rPr>
        <w:rFonts w:hint="default" w:ascii="Symbol" w:hAnsi="Symbol" w:eastAsia="Symbol" w:cs="Symbol"/>
        <w:b w:val="0"/>
        <w:bCs w:val="0"/>
        <w:i w:val="0"/>
        <w:iCs w:val="0"/>
        <w:spacing w:val="0"/>
        <w:w w:val="100"/>
        <w:sz w:val="22"/>
        <w:szCs w:val="22"/>
        <w:lang w:val="es-ES" w:eastAsia="en-US" w:bidi="ar-SA"/>
      </w:rPr>
    </w:lvl>
    <w:lvl w:ilvl="1">
      <w:start w:val="1"/>
      <w:numFmt w:val="lowerLetter"/>
      <w:lvlText w:val="%2)"/>
      <w:lvlJc w:val="left"/>
      <w:pPr>
        <w:ind w:left="2477" w:hanging="286"/>
        <w:jc w:val="left"/>
      </w:pPr>
      <w:rPr>
        <w:rFonts w:hint="default" w:ascii="Arial" w:hAnsi="Arial" w:eastAsia="Arial" w:cs="Arial"/>
        <w:b w:val="0"/>
        <w:bCs w:val="0"/>
        <w:i w:val="0"/>
        <w:iCs w:val="0"/>
        <w:spacing w:val="-1"/>
        <w:w w:val="100"/>
        <w:sz w:val="22"/>
        <w:szCs w:val="22"/>
        <w:lang w:val="es-ES" w:eastAsia="en-US" w:bidi="ar-SA"/>
      </w:rPr>
    </w:lvl>
    <w:lvl w:ilvl="2">
      <w:start w:val="0"/>
      <w:numFmt w:val="bullet"/>
      <w:lvlText w:val="•"/>
      <w:lvlJc w:val="left"/>
      <w:pPr>
        <w:ind w:left="3524" w:hanging="286"/>
      </w:pPr>
      <w:rPr>
        <w:rFonts w:hint="default"/>
        <w:lang w:val="es-ES" w:eastAsia="en-US" w:bidi="ar-SA"/>
      </w:rPr>
    </w:lvl>
    <w:lvl w:ilvl="3">
      <w:start w:val="0"/>
      <w:numFmt w:val="bullet"/>
      <w:lvlText w:val="•"/>
      <w:lvlJc w:val="left"/>
      <w:pPr>
        <w:ind w:left="4568" w:hanging="286"/>
      </w:pPr>
      <w:rPr>
        <w:rFonts w:hint="default"/>
        <w:lang w:val="es-ES" w:eastAsia="en-US" w:bidi="ar-SA"/>
      </w:rPr>
    </w:lvl>
    <w:lvl w:ilvl="4">
      <w:start w:val="0"/>
      <w:numFmt w:val="bullet"/>
      <w:lvlText w:val="•"/>
      <w:lvlJc w:val="left"/>
      <w:pPr>
        <w:ind w:left="5613" w:hanging="286"/>
      </w:pPr>
      <w:rPr>
        <w:rFonts w:hint="default"/>
        <w:lang w:val="es-ES" w:eastAsia="en-US" w:bidi="ar-SA"/>
      </w:rPr>
    </w:lvl>
    <w:lvl w:ilvl="5">
      <w:start w:val="0"/>
      <w:numFmt w:val="bullet"/>
      <w:lvlText w:val="•"/>
      <w:lvlJc w:val="left"/>
      <w:pPr>
        <w:ind w:left="6657" w:hanging="286"/>
      </w:pPr>
      <w:rPr>
        <w:rFonts w:hint="default"/>
        <w:lang w:val="es-ES" w:eastAsia="en-US" w:bidi="ar-SA"/>
      </w:rPr>
    </w:lvl>
    <w:lvl w:ilvl="6">
      <w:start w:val="0"/>
      <w:numFmt w:val="bullet"/>
      <w:lvlText w:val="•"/>
      <w:lvlJc w:val="left"/>
      <w:pPr>
        <w:ind w:left="7702" w:hanging="286"/>
      </w:pPr>
      <w:rPr>
        <w:rFonts w:hint="default"/>
        <w:lang w:val="es-ES" w:eastAsia="en-US" w:bidi="ar-SA"/>
      </w:rPr>
    </w:lvl>
    <w:lvl w:ilvl="7">
      <w:start w:val="0"/>
      <w:numFmt w:val="bullet"/>
      <w:lvlText w:val="•"/>
      <w:lvlJc w:val="left"/>
      <w:pPr>
        <w:ind w:left="8746" w:hanging="286"/>
      </w:pPr>
      <w:rPr>
        <w:rFonts w:hint="default"/>
        <w:lang w:val="es-ES" w:eastAsia="en-US" w:bidi="ar-SA"/>
      </w:rPr>
    </w:lvl>
    <w:lvl w:ilvl="8">
      <w:start w:val="0"/>
      <w:numFmt w:val="bullet"/>
      <w:lvlText w:val="•"/>
      <w:lvlJc w:val="left"/>
      <w:pPr>
        <w:ind w:left="9791" w:hanging="286"/>
      </w:pPr>
      <w:rPr>
        <w:rFonts w:hint="default"/>
        <w:lang w:val="es-ES" w:eastAsia="en-US" w:bidi="ar-SA"/>
      </w:rPr>
    </w:lvl>
  </w:abstractNum>
  <w:abstractNum w:abstractNumId="17">
    <w:multiLevelType w:val="hybridMultilevel"/>
    <w:lvl w:ilvl="0">
      <w:start w:val="1"/>
      <w:numFmt w:val="decimal"/>
      <w:lvlText w:val="%1."/>
      <w:lvlJc w:val="left"/>
      <w:pPr>
        <w:ind w:left="2191" w:hanging="284"/>
        <w:jc w:val="left"/>
      </w:pPr>
      <w:rPr>
        <w:rFonts w:hint="default" w:ascii="Arial" w:hAnsi="Arial" w:eastAsia="Arial" w:cs="Arial"/>
        <w:b w:val="0"/>
        <w:bCs w:val="0"/>
        <w:i w:val="0"/>
        <w:iCs w:val="0"/>
        <w:spacing w:val="-1"/>
        <w:w w:val="100"/>
        <w:sz w:val="22"/>
        <w:szCs w:val="22"/>
        <w:lang w:val="es-ES" w:eastAsia="en-US" w:bidi="ar-SA"/>
      </w:rPr>
    </w:lvl>
    <w:lvl w:ilvl="1">
      <w:start w:val="0"/>
      <w:numFmt w:val="bullet"/>
      <w:lvlText w:val="•"/>
      <w:lvlJc w:val="left"/>
      <w:pPr>
        <w:ind w:left="3168" w:hanging="284"/>
      </w:pPr>
      <w:rPr>
        <w:rFonts w:hint="default"/>
        <w:lang w:val="es-ES" w:eastAsia="en-US" w:bidi="ar-SA"/>
      </w:rPr>
    </w:lvl>
    <w:lvl w:ilvl="2">
      <w:start w:val="0"/>
      <w:numFmt w:val="bullet"/>
      <w:lvlText w:val="•"/>
      <w:lvlJc w:val="left"/>
      <w:pPr>
        <w:ind w:left="4136" w:hanging="284"/>
      </w:pPr>
      <w:rPr>
        <w:rFonts w:hint="default"/>
        <w:lang w:val="es-ES" w:eastAsia="en-US" w:bidi="ar-SA"/>
      </w:rPr>
    </w:lvl>
    <w:lvl w:ilvl="3">
      <w:start w:val="0"/>
      <w:numFmt w:val="bullet"/>
      <w:lvlText w:val="•"/>
      <w:lvlJc w:val="left"/>
      <w:pPr>
        <w:ind w:left="5104" w:hanging="284"/>
      </w:pPr>
      <w:rPr>
        <w:rFonts w:hint="default"/>
        <w:lang w:val="es-ES" w:eastAsia="en-US" w:bidi="ar-SA"/>
      </w:rPr>
    </w:lvl>
    <w:lvl w:ilvl="4">
      <w:start w:val="0"/>
      <w:numFmt w:val="bullet"/>
      <w:lvlText w:val="•"/>
      <w:lvlJc w:val="left"/>
      <w:pPr>
        <w:ind w:left="6072" w:hanging="284"/>
      </w:pPr>
      <w:rPr>
        <w:rFonts w:hint="default"/>
        <w:lang w:val="es-ES" w:eastAsia="en-US" w:bidi="ar-SA"/>
      </w:rPr>
    </w:lvl>
    <w:lvl w:ilvl="5">
      <w:start w:val="0"/>
      <w:numFmt w:val="bullet"/>
      <w:lvlText w:val="•"/>
      <w:lvlJc w:val="left"/>
      <w:pPr>
        <w:ind w:left="7040" w:hanging="284"/>
      </w:pPr>
      <w:rPr>
        <w:rFonts w:hint="default"/>
        <w:lang w:val="es-ES" w:eastAsia="en-US" w:bidi="ar-SA"/>
      </w:rPr>
    </w:lvl>
    <w:lvl w:ilvl="6">
      <w:start w:val="0"/>
      <w:numFmt w:val="bullet"/>
      <w:lvlText w:val="•"/>
      <w:lvlJc w:val="left"/>
      <w:pPr>
        <w:ind w:left="8008" w:hanging="284"/>
      </w:pPr>
      <w:rPr>
        <w:rFonts w:hint="default"/>
        <w:lang w:val="es-ES" w:eastAsia="en-US" w:bidi="ar-SA"/>
      </w:rPr>
    </w:lvl>
    <w:lvl w:ilvl="7">
      <w:start w:val="0"/>
      <w:numFmt w:val="bullet"/>
      <w:lvlText w:val="•"/>
      <w:lvlJc w:val="left"/>
      <w:pPr>
        <w:ind w:left="8976" w:hanging="284"/>
      </w:pPr>
      <w:rPr>
        <w:rFonts w:hint="default"/>
        <w:lang w:val="es-ES" w:eastAsia="en-US" w:bidi="ar-SA"/>
      </w:rPr>
    </w:lvl>
    <w:lvl w:ilvl="8">
      <w:start w:val="0"/>
      <w:numFmt w:val="bullet"/>
      <w:lvlText w:val="•"/>
      <w:lvlJc w:val="left"/>
      <w:pPr>
        <w:ind w:left="9944" w:hanging="284"/>
      </w:pPr>
      <w:rPr>
        <w:rFonts w:hint="default"/>
        <w:lang w:val="es-ES" w:eastAsia="en-US" w:bidi="ar-SA"/>
      </w:rPr>
    </w:lvl>
  </w:abstractNum>
  <w:abstractNum w:abstractNumId="16">
    <w:multiLevelType w:val="hybridMultilevel"/>
    <w:lvl w:ilvl="0">
      <w:start w:val="2"/>
      <w:numFmt w:val="lowerLetter"/>
      <w:lvlText w:val="%1)"/>
      <w:lvlJc w:val="left"/>
      <w:pPr>
        <w:ind w:left="2140" w:hanging="233"/>
        <w:jc w:val="left"/>
      </w:pPr>
      <w:rPr>
        <w:rFonts w:hint="default" w:ascii="Arial" w:hAnsi="Arial" w:eastAsia="Arial" w:cs="Arial"/>
        <w:b w:val="0"/>
        <w:bCs w:val="0"/>
        <w:i/>
        <w:iCs/>
        <w:spacing w:val="0"/>
        <w:w w:val="99"/>
        <w:sz w:val="20"/>
        <w:szCs w:val="20"/>
        <w:lang w:val="es-ES" w:eastAsia="en-US" w:bidi="ar-SA"/>
      </w:rPr>
    </w:lvl>
    <w:lvl w:ilvl="1">
      <w:start w:val="0"/>
      <w:numFmt w:val="bullet"/>
      <w:lvlText w:val="•"/>
      <w:lvlJc w:val="left"/>
      <w:pPr>
        <w:ind w:left="3114" w:hanging="233"/>
      </w:pPr>
      <w:rPr>
        <w:rFonts w:hint="default"/>
        <w:lang w:val="es-ES" w:eastAsia="en-US" w:bidi="ar-SA"/>
      </w:rPr>
    </w:lvl>
    <w:lvl w:ilvl="2">
      <w:start w:val="0"/>
      <w:numFmt w:val="bullet"/>
      <w:lvlText w:val="•"/>
      <w:lvlJc w:val="left"/>
      <w:pPr>
        <w:ind w:left="4088" w:hanging="233"/>
      </w:pPr>
      <w:rPr>
        <w:rFonts w:hint="default"/>
        <w:lang w:val="es-ES" w:eastAsia="en-US" w:bidi="ar-SA"/>
      </w:rPr>
    </w:lvl>
    <w:lvl w:ilvl="3">
      <w:start w:val="0"/>
      <w:numFmt w:val="bullet"/>
      <w:lvlText w:val="•"/>
      <w:lvlJc w:val="left"/>
      <w:pPr>
        <w:ind w:left="5062" w:hanging="233"/>
      </w:pPr>
      <w:rPr>
        <w:rFonts w:hint="default"/>
        <w:lang w:val="es-ES" w:eastAsia="en-US" w:bidi="ar-SA"/>
      </w:rPr>
    </w:lvl>
    <w:lvl w:ilvl="4">
      <w:start w:val="0"/>
      <w:numFmt w:val="bullet"/>
      <w:lvlText w:val="•"/>
      <w:lvlJc w:val="left"/>
      <w:pPr>
        <w:ind w:left="6036" w:hanging="233"/>
      </w:pPr>
      <w:rPr>
        <w:rFonts w:hint="default"/>
        <w:lang w:val="es-ES" w:eastAsia="en-US" w:bidi="ar-SA"/>
      </w:rPr>
    </w:lvl>
    <w:lvl w:ilvl="5">
      <w:start w:val="0"/>
      <w:numFmt w:val="bullet"/>
      <w:lvlText w:val="•"/>
      <w:lvlJc w:val="left"/>
      <w:pPr>
        <w:ind w:left="7010" w:hanging="233"/>
      </w:pPr>
      <w:rPr>
        <w:rFonts w:hint="default"/>
        <w:lang w:val="es-ES" w:eastAsia="en-US" w:bidi="ar-SA"/>
      </w:rPr>
    </w:lvl>
    <w:lvl w:ilvl="6">
      <w:start w:val="0"/>
      <w:numFmt w:val="bullet"/>
      <w:lvlText w:val="•"/>
      <w:lvlJc w:val="left"/>
      <w:pPr>
        <w:ind w:left="7984" w:hanging="233"/>
      </w:pPr>
      <w:rPr>
        <w:rFonts w:hint="default"/>
        <w:lang w:val="es-ES" w:eastAsia="en-US" w:bidi="ar-SA"/>
      </w:rPr>
    </w:lvl>
    <w:lvl w:ilvl="7">
      <w:start w:val="0"/>
      <w:numFmt w:val="bullet"/>
      <w:lvlText w:val="•"/>
      <w:lvlJc w:val="left"/>
      <w:pPr>
        <w:ind w:left="8958" w:hanging="233"/>
      </w:pPr>
      <w:rPr>
        <w:rFonts w:hint="default"/>
        <w:lang w:val="es-ES" w:eastAsia="en-US" w:bidi="ar-SA"/>
      </w:rPr>
    </w:lvl>
    <w:lvl w:ilvl="8">
      <w:start w:val="0"/>
      <w:numFmt w:val="bullet"/>
      <w:lvlText w:val="•"/>
      <w:lvlJc w:val="left"/>
      <w:pPr>
        <w:ind w:left="9932" w:hanging="233"/>
      </w:pPr>
      <w:rPr>
        <w:rFonts w:hint="default"/>
        <w:lang w:val="es-ES" w:eastAsia="en-US" w:bidi="ar-SA"/>
      </w:rPr>
    </w:lvl>
  </w:abstractNum>
  <w:abstractNum w:abstractNumId="15">
    <w:multiLevelType w:val="hybridMultilevel"/>
    <w:lvl w:ilvl="0">
      <w:start w:val="0"/>
      <w:numFmt w:val="bullet"/>
      <w:lvlText w:val="•"/>
      <w:lvlJc w:val="left"/>
      <w:pPr>
        <w:ind w:left="2483" w:hanging="139"/>
      </w:pPr>
      <w:rPr>
        <w:rFonts w:hint="default" w:ascii="Arial" w:hAnsi="Arial" w:eastAsia="Arial" w:cs="Arial"/>
        <w:b w:val="0"/>
        <w:bCs w:val="0"/>
        <w:i w:val="0"/>
        <w:iCs w:val="0"/>
        <w:spacing w:val="0"/>
        <w:w w:val="100"/>
        <w:sz w:val="22"/>
        <w:szCs w:val="22"/>
        <w:lang w:val="es-ES" w:eastAsia="en-US" w:bidi="ar-SA"/>
      </w:rPr>
    </w:lvl>
    <w:lvl w:ilvl="1">
      <w:start w:val="0"/>
      <w:numFmt w:val="bullet"/>
      <w:lvlText w:val="•"/>
      <w:lvlJc w:val="left"/>
      <w:pPr>
        <w:ind w:left="3420" w:hanging="139"/>
      </w:pPr>
      <w:rPr>
        <w:rFonts w:hint="default"/>
        <w:lang w:val="es-ES" w:eastAsia="en-US" w:bidi="ar-SA"/>
      </w:rPr>
    </w:lvl>
    <w:lvl w:ilvl="2">
      <w:start w:val="0"/>
      <w:numFmt w:val="bullet"/>
      <w:lvlText w:val="•"/>
      <w:lvlJc w:val="left"/>
      <w:pPr>
        <w:ind w:left="4360" w:hanging="139"/>
      </w:pPr>
      <w:rPr>
        <w:rFonts w:hint="default"/>
        <w:lang w:val="es-ES" w:eastAsia="en-US" w:bidi="ar-SA"/>
      </w:rPr>
    </w:lvl>
    <w:lvl w:ilvl="3">
      <w:start w:val="0"/>
      <w:numFmt w:val="bullet"/>
      <w:lvlText w:val="•"/>
      <w:lvlJc w:val="left"/>
      <w:pPr>
        <w:ind w:left="5300" w:hanging="139"/>
      </w:pPr>
      <w:rPr>
        <w:rFonts w:hint="default"/>
        <w:lang w:val="es-ES" w:eastAsia="en-US" w:bidi="ar-SA"/>
      </w:rPr>
    </w:lvl>
    <w:lvl w:ilvl="4">
      <w:start w:val="0"/>
      <w:numFmt w:val="bullet"/>
      <w:lvlText w:val="•"/>
      <w:lvlJc w:val="left"/>
      <w:pPr>
        <w:ind w:left="6240" w:hanging="139"/>
      </w:pPr>
      <w:rPr>
        <w:rFonts w:hint="default"/>
        <w:lang w:val="es-ES" w:eastAsia="en-US" w:bidi="ar-SA"/>
      </w:rPr>
    </w:lvl>
    <w:lvl w:ilvl="5">
      <w:start w:val="0"/>
      <w:numFmt w:val="bullet"/>
      <w:lvlText w:val="•"/>
      <w:lvlJc w:val="left"/>
      <w:pPr>
        <w:ind w:left="7180" w:hanging="139"/>
      </w:pPr>
      <w:rPr>
        <w:rFonts w:hint="default"/>
        <w:lang w:val="es-ES" w:eastAsia="en-US" w:bidi="ar-SA"/>
      </w:rPr>
    </w:lvl>
    <w:lvl w:ilvl="6">
      <w:start w:val="0"/>
      <w:numFmt w:val="bullet"/>
      <w:lvlText w:val="•"/>
      <w:lvlJc w:val="left"/>
      <w:pPr>
        <w:ind w:left="8120" w:hanging="139"/>
      </w:pPr>
      <w:rPr>
        <w:rFonts w:hint="default"/>
        <w:lang w:val="es-ES" w:eastAsia="en-US" w:bidi="ar-SA"/>
      </w:rPr>
    </w:lvl>
    <w:lvl w:ilvl="7">
      <w:start w:val="0"/>
      <w:numFmt w:val="bullet"/>
      <w:lvlText w:val="•"/>
      <w:lvlJc w:val="left"/>
      <w:pPr>
        <w:ind w:left="9060" w:hanging="139"/>
      </w:pPr>
      <w:rPr>
        <w:rFonts w:hint="default"/>
        <w:lang w:val="es-ES" w:eastAsia="en-US" w:bidi="ar-SA"/>
      </w:rPr>
    </w:lvl>
    <w:lvl w:ilvl="8">
      <w:start w:val="0"/>
      <w:numFmt w:val="bullet"/>
      <w:lvlText w:val="•"/>
      <w:lvlJc w:val="left"/>
      <w:pPr>
        <w:ind w:left="10000" w:hanging="139"/>
      </w:pPr>
      <w:rPr>
        <w:rFonts w:hint="default"/>
        <w:lang w:val="es-ES" w:eastAsia="en-US" w:bidi="ar-SA"/>
      </w:rPr>
    </w:lvl>
  </w:abstractNum>
  <w:abstractNum w:abstractNumId="14">
    <w:multiLevelType w:val="hybridMultilevel"/>
    <w:lvl w:ilvl="0">
      <w:start w:val="1"/>
      <w:numFmt w:val="decimal"/>
      <w:lvlText w:val="%1."/>
      <w:lvlJc w:val="left"/>
      <w:pPr>
        <w:ind w:left="3065" w:hanging="360"/>
        <w:jc w:val="left"/>
      </w:pPr>
      <w:rPr>
        <w:rFonts w:hint="default" w:ascii="Arial" w:hAnsi="Arial" w:eastAsia="Arial" w:cs="Arial"/>
        <w:b w:val="0"/>
        <w:bCs w:val="0"/>
        <w:i w:val="0"/>
        <w:iCs w:val="0"/>
        <w:spacing w:val="-1"/>
        <w:w w:val="100"/>
        <w:sz w:val="22"/>
        <w:szCs w:val="22"/>
        <w:lang w:val="es-ES" w:eastAsia="en-US" w:bidi="ar-SA"/>
      </w:rPr>
    </w:lvl>
    <w:lvl w:ilvl="1">
      <w:start w:val="0"/>
      <w:numFmt w:val="bullet"/>
      <w:lvlText w:val="•"/>
      <w:lvlJc w:val="left"/>
      <w:pPr>
        <w:ind w:left="3682" w:hanging="356"/>
      </w:pPr>
      <w:rPr>
        <w:rFonts w:hint="default" w:ascii="Arial" w:hAnsi="Arial" w:eastAsia="Arial" w:cs="Arial"/>
        <w:b w:val="0"/>
        <w:bCs w:val="0"/>
        <w:i w:val="0"/>
        <w:iCs w:val="0"/>
        <w:spacing w:val="0"/>
        <w:w w:val="100"/>
        <w:sz w:val="22"/>
        <w:szCs w:val="22"/>
        <w:lang w:val="es-ES" w:eastAsia="en-US" w:bidi="ar-SA"/>
      </w:rPr>
    </w:lvl>
    <w:lvl w:ilvl="2">
      <w:start w:val="0"/>
      <w:numFmt w:val="bullet"/>
      <w:lvlText w:val="•"/>
      <w:lvlJc w:val="left"/>
      <w:pPr>
        <w:ind w:left="4591" w:hanging="356"/>
      </w:pPr>
      <w:rPr>
        <w:rFonts w:hint="default"/>
        <w:lang w:val="es-ES" w:eastAsia="en-US" w:bidi="ar-SA"/>
      </w:rPr>
    </w:lvl>
    <w:lvl w:ilvl="3">
      <w:start w:val="0"/>
      <w:numFmt w:val="bullet"/>
      <w:lvlText w:val="•"/>
      <w:lvlJc w:val="left"/>
      <w:pPr>
        <w:ind w:left="5502" w:hanging="356"/>
      </w:pPr>
      <w:rPr>
        <w:rFonts w:hint="default"/>
        <w:lang w:val="es-ES" w:eastAsia="en-US" w:bidi="ar-SA"/>
      </w:rPr>
    </w:lvl>
    <w:lvl w:ilvl="4">
      <w:start w:val="0"/>
      <w:numFmt w:val="bullet"/>
      <w:lvlText w:val="•"/>
      <w:lvlJc w:val="left"/>
      <w:pPr>
        <w:ind w:left="6413" w:hanging="356"/>
      </w:pPr>
      <w:rPr>
        <w:rFonts w:hint="default"/>
        <w:lang w:val="es-ES" w:eastAsia="en-US" w:bidi="ar-SA"/>
      </w:rPr>
    </w:lvl>
    <w:lvl w:ilvl="5">
      <w:start w:val="0"/>
      <w:numFmt w:val="bullet"/>
      <w:lvlText w:val="•"/>
      <w:lvlJc w:val="left"/>
      <w:pPr>
        <w:ind w:left="7324" w:hanging="356"/>
      </w:pPr>
      <w:rPr>
        <w:rFonts w:hint="default"/>
        <w:lang w:val="es-ES" w:eastAsia="en-US" w:bidi="ar-SA"/>
      </w:rPr>
    </w:lvl>
    <w:lvl w:ilvl="6">
      <w:start w:val="0"/>
      <w:numFmt w:val="bullet"/>
      <w:lvlText w:val="•"/>
      <w:lvlJc w:val="left"/>
      <w:pPr>
        <w:ind w:left="8235" w:hanging="356"/>
      </w:pPr>
      <w:rPr>
        <w:rFonts w:hint="default"/>
        <w:lang w:val="es-ES" w:eastAsia="en-US" w:bidi="ar-SA"/>
      </w:rPr>
    </w:lvl>
    <w:lvl w:ilvl="7">
      <w:start w:val="0"/>
      <w:numFmt w:val="bullet"/>
      <w:lvlText w:val="•"/>
      <w:lvlJc w:val="left"/>
      <w:pPr>
        <w:ind w:left="9146" w:hanging="356"/>
      </w:pPr>
      <w:rPr>
        <w:rFonts w:hint="default"/>
        <w:lang w:val="es-ES" w:eastAsia="en-US" w:bidi="ar-SA"/>
      </w:rPr>
    </w:lvl>
    <w:lvl w:ilvl="8">
      <w:start w:val="0"/>
      <w:numFmt w:val="bullet"/>
      <w:lvlText w:val="•"/>
      <w:lvlJc w:val="left"/>
      <w:pPr>
        <w:ind w:left="10057" w:hanging="356"/>
      </w:pPr>
      <w:rPr>
        <w:rFonts w:hint="default"/>
        <w:lang w:val="es-ES" w:eastAsia="en-US" w:bidi="ar-SA"/>
      </w:rPr>
    </w:lvl>
  </w:abstractNum>
  <w:abstractNum w:abstractNumId="13">
    <w:multiLevelType w:val="hybridMultilevel"/>
    <w:lvl w:ilvl="0">
      <w:start w:val="0"/>
      <w:numFmt w:val="bullet"/>
      <w:lvlText w:val=""/>
      <w:lvlJc w:val="left"/>
      <w:pPr>
        <w:ind w:left="2702" w:hanging="358"/>
      </w:pPr>
      <w:rPr>
        <w:rFonts w:hint="default" w:ascii="Symbol" w:hAnsi="Symbol" w:eastAsia="Symbol" w:cs="Symbol"/>
        <w:b w:val="0"/>
        <w:bCs w:val="0"/>
        <w:i w:val="0"/>
        <w:iCs w:val="0"/>
        <w:spacing w:val="0"/>
        <w:w w:val="100"/>
        <w:sz w:val="22"/>
        <w:szCs w:val="22"/>
        <w:lang w:val="es-ES" w:eastAsia="en-US" w:bidi="ar-SA"/>
      </w:rPr>
    </w:lvl>
    <w:lvl w:ilvl="1">
      <w:start w:val="0"/>
      <w:numFmt w:val="bullet"/>
      <w:lvlText w:val="•"/>
      <w:lvlJc w:val="left"/>
      <w:pPr>
        <w:ind w:left="3618" w:hanging="358"/>
      </w:pPr>
      <w:rPr>
        <w:rFonts w:hint="default"/>
        <w:lang w:val="es-ES" w:eastAsia="en-US" w:bidi="ar-SA"/>
      </w:rPr>
    </w:lvl>
    <w:lvl w:ilvl="2">
      <w:start w:val="0"/>
      <w:numFmt w:val="bullet"/>
      <w:lvlText w:val="•"/>
      <w:lvlJc w:val="left"/>
      <w:pPr>
        <w:ind w:left="4536" w:hanging="358"/>
      </w:pPr>
      <w:rPr>
        <w:rFonts w:hint="default"/>
        <w:lang w:val="es-ES" w:eastAsia="en-US" w:bidi="ar-SA"/>
      </w:rPr>
    </w:lvl>
    <w:lvl w:ilvl="3">
      <w:start w:val="0"/>
      <w:numFmt w:val="bullet"/>
      <w:lvlText w:val="•"/>
      <w:lvlJc w:val="left"/>
      <w:pPr>
        <w:ind w:left="5454" w:hanging="358"/>
      </w:pPr>
      <w:rPr>
        <w:rFonts w:hint="default"/>
        <w:lang w:val="es-ES" w:eastAsia="en-US" w:bidi="ar-SA"/>
      </w:rPr>
    </w:lvl>
    <w:lvl w:ilvl="4">
      <w:start w:val="0"/>
      <w:numFmt w:val="bullet"/>
      <w:lvlText w:val="•"/>
      <w:lvlJc w:val="left"/>
      <w:pPr>
        <w:ind w:left="6372" w:hanging="358"/>
      </w:pPr>
      <w:rPr>
        <w:rFonts w:hint="default"/>
        <w:lang w:val="es-ES" w:eastAsia="en-US" w:bidi="ar-SA"/>
      </w:rPr>
    </w:lvl>
    <w:lvl w:ilvl="5">
      <w:start w:val="0"/>
      <w:numFmt w:val="bullet"/>
      <w:lvlText w:val="•"/>
      <w:lvlJc w:val="left"/>
      <w:pPr>
        <w:ind w:left="7290" w:hanging="358"/>
      </w:pPr>
      <w:rPr>
        <w:rFonts w:hint="default"/>
        <w:lang w:val="es-ES" w:eastAsia="en-US" w:bidi="ar-SA"/>
      </w:rPr>
    </w:lvl>
    <w:lvl w:ilvl="6">
      <w:start w:val="0"/>
      <w:numFmt w:val="bullet"/>
      <w:lvlText w:val="•"/>
      <w:lvlJc w:val="left"/>
      <w:pPr>
        <w:ind w:left="8208" w:hanging="358"/>
      </w:pPr>
      <w:rPr>
        <w:rFonts w:hint="default"/>
        <w:lang w:val="es-ES" w:eastAsia="en-US" w:bidi="ar-SA"/>
      </w:rPr>
    </w:lvl>
    <w:lvl w:ilvl="7">
      <w:start w:val="0"/>
      <w:numFmt w:val="bullet"/>
      <w:lvlText w:val="•"/>
      <w:lvlJc w:val="left"/>
      <w:pPr>
        <w:ind w:left="9126" w:hanging="358"/>
      </w:pPr>
      <w:rPr>
        <w:rFonts w:hint="default"/>
        <w:lang w:val="es-ES" w:eastAsia="en-US" w:bidi="ar-SA"/>
      </w:rPr>
    </w:lvl>
    <w:lvl w:ilvl="8">
      <w:start w:val="0"/>
      <w:numFmt w:val="bullet"/>
      <w:lvlText w:val="•"/>
      <w:lvlJc w:val="left"/>
      <w:pPr>
        <w:ind w:left="10044" w:hanging="358"/>
      </w:pPr>
      <w:rPr>
        <w:rFonts w:hint="default"/>
        <w:lang w:val="es-ES" w:eastAsia="en-US" w:bidi="ar-SA"/>
      </w:rPr>
    </w:lvl>
  </w:abstractNum>
  <w:abstractNum w:abstractNumId="12">
    <w:multiLevelType w:val="hybridMultilevel"/>
    <w:lvl w:ilvl="0">
      <w:start w:val="0"/>
      <w:numFmt w:val="bullet"/>
      <w:lvlText w:val="•"/>
      <w:lvlJc w:val="left"/>
      <w:pPr>
        <w:ind w:left="1982" w:hanging="358"/>
      </w:pPr>
      <w:rPr>
        <w:rFonts w:hint="default" w:ascii="Arial" w:hAnsi="Arial" w:eastAsia="Arial" w:cs="Arial"/>
        <w:b w:val="0"/>
        <w:bCs w:val="0"/>
        <w:i w:val="0"/>
        <w:iCs w:val="0"/>
        <w:spacing w:val="0"/>
        <w:w w:val="100"/>
        <w:sz w:val="22"/>
        <w:szCs w:val="22"/>
        <w:lang w:val="es-ES" w:eastAsia="en-US" w:bidi="ar-SA"/>
      </w:rPr>
    </w:lvl>
    <w:lvl w:ilvl="1">
      <w:start w:val="0"/>
      <w:numFmt w:val="bullet"/>
      <w:lvlText w:val="•"/>
      <w:lvlJc w:val="left"/>
      <w:pPr>
        <w:ind w:left="2970" w:hanging="358"/>
      </w:pPr>
      <w:rPr>
        <w:rFonts w:hint="default"/>
        <w:lang w:val="es-ES" w:eastAsia="en-US" w:bidi="ar-SA"/>
      </w:rPr>
    </w:lvl>
    <w:lvl w:ilvl="2">
      <w:start w:val="0"/>
      <w:numFmt w:val="bullet"/>
      <w:lvlText w:val="•"/>
      <w:lvlJc w:val="left"/>
      <w:pPr>
        <w:ind w:left="3960" w:hanging="358"/>
      </w:pPr>
      <w:rPr>
        <w:rFonts w:hint="default"/>
        <w:lang w:val="es-ES" w:eastAsia="en-US" w:bidi="ar-SA"/>
      </w:rPr>
    </w:lvl>
    <w:lvl w:ilvl="3">
      <w:start w:val="0"/>
      <w:numFmt w:val="bullet"/>
      <w:lvlText w:val="•"/>
      <w:lvlJc w:val="left"/>
      <w:pPr>
        <w:ind w:left="4950" w:hanging="358"/>
      </w:pPr>
      <w:rPr>
        <w:rFonts w:hint="default"/>
        <w:lang w:val="es-ES" w:eastAsia="en-US" w:bidi="ar-SA"/>
      </w:rPr>
    </w:lvl>
    <w:lvl w:ilvl="4">
      <w:start w:val="0"/>
      <w:numFmt w:val="bullet"/>
      <w:lvlText w:val="•"/>
      <w:lvlJc w:val="left"/>
      <w:pPr>
        <w:ind w:left="5940" w:hanging="358"/>
      </w:pPr>
      <w:rPr>
        <w:rFonts w:hint="default"/>
        <w:lang w:val="es-ES" w:eastAsia="en-US" w:bidi="ar-SA"/>
      </w:rPr>
    </w:lvl>
    <w:lvl w:ilvl="5">
      <w:start w:val="0"/>
      <w:numFmt w:val="bullet"/>
      <w:lvlText w:val="•"/>
      <w:lvlJc w:val="left"/>
      <w:pPr>
        <w:ind w:left="6930" w:hanging="358"/>
      </w:pPr>
      <w:rPr>
        <w:rFonts w:hint="default"/>
        <w:lang w:val="es-ES" w:eastAsia="en-US" w:bidi="ar-SA"/>
      </w:rPr>
    </w:lvl>
    <w:lvl w:ilvl="6">
      <w:start w:val="0"/>
      <w:numFmt w:val="bullet"/>
      <w:lvlText w:val="•"/>
      <w:lvlJc w:val="left"/>
      <w:pPr>
        <w:ind w:left="7920" w:hanging="358"/>
      </w:pPr>
      <w:rPr>
        <w:rFonts w:hint="default"/>
        <w:lang w:val="es-ES" w:eastAsia="en-US" w:bidi="ar-SA"/>
      </w:rPr>
    </w:lvl>
    <w:lvl w:ilvl="7">
      <w:start w:val="0"/>
      <w:numFmt w:val="bullet"/>
      <w:lvlText w:val="•"/>
      <w:lvlJc w:val="left"/>
      <w:pPr>
        <w:ind w:left="8910" w:hanging="358"/>
      </w:pPr>
      <w:rPr>
        <w:rFonts w:hint="default"/>
        <w:lang w:val="es-ES" w:eastAsia="en-US" w:bidi="ar-SA"/>
      </w:rPr>
    </w:lvl>
    <w:lvl w:ilvl="8">
      <w:start w:val="0"/>
      <w:numFmt w:val="bullet"/>
      <w:lvlText w:val="•"/>
      <w:lvlJc w:val="left"/>
      <w:pPr>
        <w:ind w:left="9900" w:hanging="358"/>
      </w:pPr>
      <w:rPr>
        <w:rFonts w:hint="default"/>
        <w:lang w:val="es-ES" w:eastAsia="en-US" w:bidi="ar-SA"/>
      </w:rPr>
    </w:lvl>
  </w:abstractNum>
  <w:abstractNum w:abstractNumId="11">
    <w:multiLevelType w:val="hybridMultilevel"/>
    <w:lvl w:ilvl="0">
      <w:start w:val="1"/>
      <w:numFmt w:val="decimal"/>
      <w:lvlText w:val="%1."/>
      <w:lvlJc w:val="left"/>
      <w:pPr>
        <w:ind w:left="1625" w:hanging="288"/>
        <w:jc w:val="left"/>
      </w:pPr>
      <w:rPr>
        <w:rFonts w:hint="default" w:ascii="Arial" w:hAnsi="Arial" w:eastAsia="Arial" w:cs="Arial"/>
        <w:b w:val="0"/>
        <w:bCs w:val="0"/>
        <w:i w:val="0"/>
        <w:iCs w:val="0"/>
        <w:spacing w:val="-1"/>
        <w:w w:val="100"/>
        <w:sz w:val="22"/>
        <w:szCs w:val="22"/>
        <w:lang w:val="es-ES" w:eastAsia="en-US" w:bidi="ar-SA"/>
      </w:rPr>
    </w:lvl>
    <w:lvl w:ilvl="1">
      <w:start w:val="0"/>
      <w:numFmt w:val="bullet"/>
      <w:lvlText w:val="•"/>
      <w:lvlJc w:val="left"/>
      <w:pPr>
        <w:ind w:left="2646" w:hanging="288"/>
      </w:pPr>
      <w:rPr>
        <w:rFonts w:hint="default"/>
        <w:lang w:val="es-ES" w:eastAsia="en-US" w:bidi="ar-SA"/>
      </w:rPr>
    </w:lvl>
    <w:lvl w:ilvl="2">
      <w:start w:val="0"/>
      <w:numFmt w:val="bullet"/>
      <w:lvlText w:val="•"/>
      <w:lvlJc w:val="left"/>
      <w:pPr>
        <w:ind w:left="3672" w:hanging="288"/>
      </w:pPr>
      <w:rPr>
        <w:rFonts w:hint="default"/>
        <w:lang w:val="es-ES" w:eastAsia="en-US" w:bidi="ar-SA"/>
      </w:rPr>
    </w:lvl>
    <w:lvl w:ilvl="3">
      <w:start w:val="0"/>
      <w:numFmt w:val="bullet"/>
      <w:lvlText w:val="•"/>
      <w:lvlJc w:val="left"/>
      <w:pPr>
        <w:ind w:left="4698" w:hanging="288"/>
      </w:pPr>
      <w:rPr>
        <w:rFonts w:hint="default"/>
        <w:lang w:val="es-ES" w:eastAsia="en-US" w:bidi="ar-SA"/>
      </w:rPr>
    </w:lvl>
    <w:lvl w:ilvl="4">
      <w:start w:val="0"/>
      <w:numFmt w:val="bullet"/>
      <w:lvlText w:val="•"/>
      <w:lvlJc w:val="left"/>
      <w:pPr>
        <w:ind w:left="5724" w:hanging="288"/>
      </w:pPr>
      <w:rPr>
        <w:rFonts w:hint="default"/>
        <w:lang w:val="es-ES" w:eastAsia="en-US" w:bidi="ar-SA"/>
      </w:rPr>
    </w:lvl>
    <w:lvl w:ilvl="5">
      <w:start w:val="0"/>
      <w:numFmt w:val="bullet"/>
      <w:lvlText w:val="•"/>
      <w:lvlJc w:val="left"/>
      <w:pPr>
        <w:ind w:left="6750" w:hanging="288"/>
      </w:pPr>
      <w:rPr>
        <w:rFonts w:hint="default"/>
        <w:lang w:val="es-ES" w:eastAsia="en-US" w:bidi="ar-SA"/>
      </w:rPr>
    </w:lvl>
    <w:lvl w:ilvl="6">
      <w:start w:val="0"/>
      <w:numFmt w:val="bullet"/>
      <w:lvlText w:val="•"/>
      <w:lvlJc w:val="left"/>
      <w:pPr>
        <w:ind w:left="7776" w:hanging="288"/>
      </w:pPr>
      <w:rPr>
        <w:rFonts w:hint="default"/>
        <w:lang w:val="es-ES" w:eastAsia="en-US" w:bidi="ar-SA"/>
      </w:rPr>
    </w:lvl>
    <w:lvl w:ilvl="7">
      <w:start w:val="0"/>
      <w:numFmt w:val="bullet"/>
      <w:lvlText w:val="•"/>
      <w:lvlJc w:val="left"/>
      <w:pPr>
        <w:ind w:left="8802" w:hanging="288"/>
      </w:pPr>
      <w:rPr>
        <w:rFonts w:hint="default"/>
        <w:lang w:val="es-ES" w:eastAsia="en-US" w:bidi="ar-SA"/>
      </w:rPr>
    </w:lvl>
    <w:lvl w:ilvl="8">
      <w:start w:val="0"/>
      <w:numFmt w:val="bullet"/>
      <w:lvlText w:val="•"/>
      <w:lvlJc w:val="left"/>
      <w:pPr>
        <w:ind w:left="9828" w:hanging="288"/>
      </w:pPr>
      <w:rPr>
        <w:rFonts w:hint="default"/>
        <w:lang w:val="es-ES" w:eastAsia="en-US" w:bidi="ar-SA"/>
      </w:rPr>
    </w:lvl>
  </w:abstractNum>
  <w:abstractNum w:abstractNumId="10">
    <w:multiLevelType w:val="hybridMultilevel"/>
    <w:lvl w:ilvl="0">
      <w:start w:val="1"/>
      <w:numFmt w:val="decimal"/>
      <w:lvlText w:val="%1."/>
      <w:lvlJc w:val="left"/>
      <w:pPr>
        <w:ind w:left="1625" w:hanging="243"/>
        <w:jc w:val="left"/>
      </w:pPr>
      <w:rPr>
        <w:rFonts w:hint="default" w:ascii="Arial" w:hAnsi="Arial" w:eastAsia="Arial" w:cs="Arial"/>
        <w:b w:val="0"/>
        <w:bCs w:val="0"/>
        <w:i w:val="0"/>
        <w:iCs w:val="0"/>
        <w:spacing w:val="-1"/>
        <w:w w:val="100"/>
        <w:sz w:val="22"/>
        <w:szCs w:val="22"/>
        <w:lang w:val="es-ES" w:eastAsia="en-US" w:bidi="ar-SA"/>
      </w:rPr>
    </w:lvl>
    <w:lvl w:ilvl="1">
      <w:start w:val="0"/>
      <w:numFmt w:val="bullet"/>
      <w:lvlText w:val="•"/>
      <w:lvlJc w:val="left"/>
      <w:pPr>
        <w:ind w:left="2646" w:hanging="243"/>
      </w:pPr>
      <w:rPr>
        <w:rFonts w:hint="default"/>
        <w:lang w:val="es-ES" w:eastAsia="en-US" w:bidi="ar-SA"/>
      </w:rPr>
    </w:lvl>
    <w:lvl w:ilvl="2">
      <w:start w:val="0"/>
      <w:numFmt w:val="bullet"/>
      <w:lvlText w:val="•"/>
      <w:lvlJc w:val="left"/>
      <w:pPr>
        <w:ind w:left="3672" w:hanging="243"/>
      </w:pPr>
      <w:rPr>
        <w:rFonts w:hint="default"/>
        <w:lang w:val="es-ES" w:eastAsia="en-US" w:bidi="ar-SA"/>
      </w:rPr>
    </w:lvl>
    <w:lvl w:ilvl="3">
      <w:start w:val="0"/>
      <w:numFmt w:val="bullet"/>
      <w:lvlText w:val="•"/>
      <w:lvlJc w:val="left"/>
      <w:pPr>
        <w:ind w:left="4698" w:hanging="243"/>
      </w:pPr>
      <w:rPr>
        <w:rFonts w:hint="default"/>
        <w:lang w:val="es-ES" w:eastAsia="en-US" w:bidi="ar-SA"/>
      </w:rPr>
    </w:lvl>
    <w:lvl w:ilvl="4">
      <w:start w:val="0"/>
      <w:numFmt w:val="bullet"/>
      <w:lvlText w:val="•"/>
      <w:lvlJc w:val="left"/>
      <w:pPr>
        <w:ind w:left="5724" w:hanging="243"/>
      </w:pPr>
      <w:rPr>
        <w:rFonts w:hint="default"/>
        <w:lang w:val="es-ES" w:eastAsia="en-US" w:bidi="ar-SA"/>
      </w:rPr>
    </w:lvl>
    <w:lvl w:ilvl="5">
      <w:start w:val="0"/>
      <w:numFmt w:val="bullet"/>
      <w:lvlText w:val="•"/>
      <w:lvlJc w:val="left"/>
      <w:pPr>
        <w:ind w:left="6750" w:hanging="243"/>
      </w:pPr>
      <w:rPr>
        <w:rFonts w:hint="default"/>
        <w:lang w:val="es-ES" w:eastAsia="en-US" w:bidi="ar-SA"/>
      </w:rPr>
    </w:lvl>
    <w:lvl w:ilvl="6">
      <w:start w:val="0"/>
      <w:numFmt w:val="bullet"/>
      <w:lvlText w:val="•"/>
      <w:lvlJc w:val="left"/>
      <w:pPr>
        <w:ind w:left="7776" w:hanging="243"/>
      </w:pPr>
      <w:rPr>
        <w:rFonts w:hint="default"/>
        <w:lang w:val="es-ES" w:eastAsia="en-US" w:bidi="ar-SA"/>
      </w:rPr>
    </w:lvl>
    <w:lvl w:ilvl="7">
      <w:start w:val="0"/>
      <w:numFmt w:val="bullet"/>
      <w:lvlText w:val="•"/>
      <w:lvlJc w:val="left"/>
      <w:pPr>
        <w:ind w:left="8802" w:hanging="243"/>
      </w:pPr>
      <w:rPr>
        <w:rFonts w:hint="default"/>
        <w:lang w:val="es-ES" w:eastAsia="en-US" w:bidi="ar-SA"/>
      </w:rPr>
    </w:lvl>
    <w:lvl w:ilvl="8">
      <w:start w:val="0"/>
      <w:numFmt w:val="bullet"/>
      <w:lvlText w:val="•"/>
      <w:lvlJc w:val="left"/>
      <w:pPr>
        <w:ind w:left="9828" w:hanging="243"/>
      </w:pPr>
      <w:rPr>
        <w:rFonts w:hint="default"/>
        <w:lang w:val="es-ES" w:eastAsia="en-US" w:bidi="ar-SA"/>
      </w:rPr>
    </w:lvl>
  </w:abstractNum>
  <w:abstractNum w:abstractNumId="9">
    <w:multiLevelType w:val="hybridMultilevel"/>
    <w:lvl w:ilvl="0">
      <w:start w:val="1"/>
      <w:numFmt w:val="decimal"/>
      <w:lvlText w:val="%1."/>
      <w:lvlJc w:val="left"/>
      <w:pPr>
        <w:ind w:left="1625" w:hanging="236"/>
        <w:jc w:val="left"/>
      </w:pPr>
      <w:rPr>
        <w:rFonts w:hint="default" w:ascii="Arial" w:hAnsi="Arial" w:eastAsia="Arial" w:cs="Arial"/>
        <w:b w:val="0"/>
        <w:bCs w:val="0"/>
        <w:i w:val="0"/>
        <w:iCs w:val="0"/>
        <w:spacing w:val="-1"/>
        <w:w w:val="100"/>
        <w:sz w:val="22"/>
        <w:szCs w:val="22"/>
        <w:lang w:val="es-ES" w:eastAsia="en-US" w:bidi="ar-SA"/>
      </w:rPr>
    </w:lvl>
    <w:lvl w:ilvl="1">
      <w:start w:val="0"/>
      <w:numFmt w:val="bullet"/>
      <w:lvlText w:val="•"/>
      <w:lvlJc w:val="left"/>
      <w:pPr>
        <w:ind w:left="2646" w:hanging="236"/>
      </w:pPr>
      <w:rPr>
        <w:rFonts w:hint="default"/>
        <w:lang w:val="es-ES" w:eastAsia="en-US" w:bidi="ar-SA"/>
      </w:rPr>
    </w:lvl>
    <w:lvl w:ilvl="2">
      <w:start w:val="0"/>
      <w:numFmt w:val="bullet"/>
      <w:lvlText w:val="•"/>
      <w:lvlJc w:val="left"/>
      <w:pPr>
        <w:ind w:left="3672" w:hanging="236"/>
      </w:pPr>
      <w:rPr>
        <w:rFonts w:hint="default"/>
        <w:lang w:val="es-ES" w:eastAsia="en-US" w:bidi="ar-SA"/>
      </w:rPr>
    </w:lvl>
    <w:lvl w:ilvl="3">
      <w:start w:val="0"/>
      <w:numFmt w:val="bullet"/>
      <w:lvlText w:val="•"/>
      <w:lvlJc w:val="left"/>
      <w:pPr>
        <w:ind w:left="4698" w:hanging="236"/>
      </w:pPr>
      <w:rPr>
        <w:rFonts w:hint="default"/>
        <w:lang w:val="es-ES" w:eastAsia="en-US" w:bidi="ar-SA"/>
      </w:rPr>
    </w:lvl>
    <w:lvl w:ilvl="4">
      <w:start w:val="0"/>
      <w:numFmt w:val="bullet"/>
      <w:lvlText w:val="•"/>
      <w:lvlJc w:val="left"/>
      <w:pPr>
        <w:ind w:left="5724" w:hanging="236"/>
      </w:pPr>
      <w:rPr>
        <w:rFonts w:hint="default"/>
        <w:lang w:val="es-ES" w:eastAsia="en-US" w:bidi="ar-SA"/>
      </w:rPr>
    </w:lvl>
    <w:lvl w:ilvl="5">
      <w:start w:val="0"/>
      <w:numFmt w:val="bullet"/>
      <w:lvlText w:val="•"/>
      <w:lvlJc w:val="left"/>
      <w:pPr>
        <w:ind w:left="6750" w:hanging="236"/>
      </w:pPr>
      <w:rPr>
        <w:rFonts w:hint="default"/>
        <w:lang w:val="es-ES" w:eastAsia="en-US" w:bidi="ar-SA"/>
      </w:rPr>
    </w:lvl>
    <w:lvl w:ilvl="6">
      <w:start w:val="0"/>
      <w:numFmt w:val="bullet"/>
      <w:lvlText w:val="•"/>
      <w:lvlJc w:val="left"/>
      <w:pPr>
        <w:ind w:left="7776" w:hanging="236"/>
      </w:pPr>
      <w:rPr>
        <w:rFonts w:hint="default"/>
        <w:lang w:val="es-ES" w:eastAsia="en-US" w:bidi="ar-SA"/>
      </w:rPr>
    </w:lvl>
    <w:lvl w:ilvl="7">
      <w:start w:val="0"/>
      <w:numFmt w:val="bullet"/>
      <w:lvlText w:val="•"/>
      <w:lvlJc w:val="left"/>
      <w:pPr>
        <w:ind w:left="8802" w:hanging="236"/>
      </w:pPr>
      <w:rPr>
        <w:rFonts w:hint="default"/>
        <w:lang w:val="es-ES" w:eastAsia="en-US" w:bidi="ar-SA"/>
      </w:rPr>
    </w:lvl>
    <w:lvl w:ilvl="8">
      <w:start w:val="0"/>
      <w:numFmt w:val="bullet"/>
      <w:lvlText w:val="•"/>
      <w:lvlJc w:val="left"/>
      <w:pPr>
        <w:ind w:left="9828" w:hanging="236"/>
      </w:pPr>
      <w:rPr>
        <w:rFonts w:hint="default"/>
        <w:lang w:val="es-ES" w:eastAsia="en-US" w:bidi="ar-SA"/>
      </w:rPr>
    </w:lvl>
  </w:abstractNum>
  <w:abstractNum w:abstractNumId="8">
    <w:multiLevelType w:val="hybridMultilevel"/>
    <w:lvl w:ilvl="0">
      <w:start w:val="1"/>
      <w:numFmt w:val="decimal"/>
      <w:lvlText w:val="%1."/>
      <w:lvlJc w:val="left"/>
      <w:pPr>
        <w:ind w:left="1625" w:hanging="260"/>
        <w:jc w:val="left"/>
      </w:pPr>
      <w:rPr>
        <w:rFonts w:hint="default" w:ascii="Arial" w:hAnsi="Arial" w:eastAsia="Arial" w:cs="Arial"/>
        <w:b w:val="0"/>
        <w:bCs w:val="0"/>
        <w:i w:val="0"/>
        <w:iCs w:val="0"/>
        <w:spacing w:val="-1"/>
        <w:w w:val="100"/>
        <w:sz w:val="22"/>
        <w:szCs w:val="22"/>
        <w:lang w:val="es-ES" w:eastAsia="en-US" w:bidi="ar-SA"/>
      </w:rPr>
    </w:lvl>
    <w:lvl w:ilvl="1">
      <w:start w:val="0"/>
      <w:numFmt w:val="bullet"/>
      <w:lvlText w:val="•"/>
      <w:lvlJc w:val="left"/>
      <w:pPr>
        <w:ind w:left="2646" w:hanging="260"/>
      </w:pPr>
      <w:rPr>
        <w:rFonts w:hint="default"/>
        <w:lang w:val="es-ES" w:eastAsia="en-US" w:bidi="ar-SA"/>
      </w:rPr>
    </w:lvl>
    <w:lvl w:ilvl="2">
      <w:start w:val="0"/>
      <w:numFmt w:val="bullet"/>
      <w:lvlText w:val="•"/>
      <w:lvlJc w:val="left"/>
      <w:pPr>
        <w:ind w:left="3672" w:hanging="260"/>
      </w:pPr>
      <w:rPr>
        <w:rFonts w:hint="default"/>
        <w:lang w:val="es-ES" w:eastAsia="en-US" w:bidi="ar-SA"/>
      </w:rPr>
    </w:lvl>
    <w:lvl w:ilvl="3">
      <w:start w:val="0"/>
      <w:numFmt w:val="bullet"/>
      <w:lvlText w:val="•"/>
      <w:lvlJc w:val="left"/>
      <w:pPr>
        <w:ind w:left="4698" w:hanging="260"/>
      </w:pPr>
      <w:rPr>
        <w:rFonts w:hint="default"/>
        <w:lang w:val="es-ES" w:eastAsia="en-US" w:bidi="ar-SA"/>
      </w:rPr>
    </w:lvl>
    <w:lvl w:ilvl="4">
      <w:start w:val="0"/>
      <w:numFmt w:val="bullet"/>
      <w:lvlText w:val="•"/>
      <w:lvlJc w:val="left"/>
      <w:pPr>
        <w:ind w:left="5724" w:hanging="260"/>
      </w:pPr>
      <w:rPr>
        <w:rFonts w:hint="default"/>
        <w:lang w:val="es-ES" w:eastAsia="en-US" w:bidi="ar-SA"/>
      </w:rPr>
    </w:lvl>
    <w:lvl w:ilvl="5">
      <w:start w:val="0"/>
      <w:numFmt w:val="bullet"/>
      <w:lvlText w:val="•"/>
      <w:lvlJc w:val="left"/>
      <w:pPr>
        <w:ind w:left="6750" w:hanging="260"/>
      </w:pPr>
      <w:rPr>
        <w:rFonts w:hint="default"/>
        <w:lang w:val="es-ES" w:eastAsia="en-US" w:bidi="ar-SA"/>
      </w:rPr>
    </w:lvl>
    <w:lvl w:ilvl="6">
      <w:start w:val="0"/>
      <w:numFmt w:val="bullet"/>
      <w:lvlText w:val="•"/>
      <w:lvlJc w:val="left"/>
      <w:pPr>
        <w:ind w:left="7776" w:hanging="260"/>
      </w:pPr>
      <w:rPr>
        <w:rFonts w:hint="default"/>
        <w:lang w:val="es-ES" w:eastAsia="en-US" w:bidi="ar-SA"/>
      </w:rPr>
    </w:lvl>
    <w:lvl w:ilvl="7">
      <w:start w:val="0"/>
      <w:numFmt w:val="bullet"/>
      <w:lvlText w:val="•"/>
      <w:lvlJc w:val="left"/>
      <w:pPr>
        <w:ind w:left="8802" w:hanging="260"/>
      </w:pPr>
      <w:rPr>
        <w:rFonts w:hint="default"/>
        <w:lang w:val="es-ES" w:eastAsia="en-US" w:bidi="ar-SA"/>
      </w:rPr>
    </w:lvl>
    <w:lvl w:ilvl="8">
      <w:start w:val="0"/>
      <w:numFmt w:val="bullet"/>
      <w:lvlText w:val="•"/>
      <w:lvlJc w:val="left"/>
      <w:pPr>
        <w:ind w:left="9828" w:hanging="260"/>
      </w:pPr>
      <w:rPr>
        <w:rFonts w:hint="default"/>
        <w:lang w:val="es-ES" w:eastAsia="en-US" w:bidi="ar-SA"/>
      </w:rPr>
    </w:lvl>
  </w:abstractNum>
  <w:abstractNum w:abstractNumId="7">
    <w:multiLevelType w:val="hybridMultilevel"/>
    <w:lvl w:ilvl="0">
      <w:start w:val="1"/>
      <w:numFmt w:val="decimal"/>
      <w:lvlText w:val="%1."/>
      <w:lvlJc w:val="left"/>
      <w:pPr>
        <w:ind w:left="1625" w:hanging="257"/>
        <w:jc w:val="left"/>
      </w:pPr>
      <w:rPr>
        <w:rFonts w:hint="default" w:ascii="Arial" w:hAnsi="Arial" w:eastAsia="Arial" w:cs="Arial"/>
        <w:b w:val="0"/>
        <w:bCs w:val="0"/>
        <w:i w:val="0"/>
        <w:iCs w:val="0"/>
        <w:spacing w:val="0"/>
        <w:w w:val="100"/>
        <w:sz w:val="22"/>
        <w:szCs w:val="22"/>
        <w:lang w:val="es-ES" w:eastAsia="en-US" w:bidi="ar-SA"/>
      </w:rPr>
    </w:lvl>
    <w:lvl w:ilvl="1">
      <w:start w:val="0"/>
      <w:numFmt w:val="bullet"/>
      <w:lvlText w:val="•"/>
      <w:lvlJc w:val="left"/>
      <w:pPr>
        <w:ind w:left="2646" w:hanging="257"/>
      </w:pPr>
      <w:rPr>
        <w:rFonts w:hint="default"/>
        <w:lang w:val="es-ES" w:eastAsia="en-US" w:bidi="ar-SA"/>
      </w:rPr>
    </w:lvl>
    <w:lvl w:ilvl="2">
      <w:start w:val="0"/>
      <w:numFmt w:val="bullet"/>
      <w:lvlText w:val="•"/>
      <w:lvlJc w:val="left"/>
      <w:pPr>
        <w:ind w:left="3672" w:hanging="257"/>
      </w:pPr>
      <w:rPr>
        <w:rFonts w:hint="default"/>
        <w:lang w:val="es-ES" w:eastAsia="en-US" w:bidi="ar-SA"/>
      </w:rPr>
    </w:lvl>
    <w:lvl w:ilvl="3">
      <w:start w:val="0"/>
      <w:numFmt w:val="bullet"/>
      <w:lvlText w:val="•"/>
      <w:lvlJc w:val="left"/>
      <w:pPr>
        <w:ind w:left="4698" w:hanging="257"/>
      </w:pPr>
      <w:rPr>
        <w:rFonts w:hint="default"/>
        <w:lang w:val="es-ES" w:eastAsia="en-US" w:bidi="ar-SA"/>
      </w:rPr>
    </w:lvl>
    <w:lvl w:ilvl="4">
      <w:start w:val="0"/>
      <w:numFmt w:val="bullet"/>
      <w:lvlText w:val="•"/>
      <w:lvlJc w:val="left"/>
      <w:pPr>
        <w:ind w:left="5724" w:hanging="257"/>
      </w:pPr>
      <w:rPr>
        <w:rFonts w:hint="default"/>
        <w:lang w:val="es-ES" w:eastAsia="en-US" w:bidi="ar-SA"/>
      </w:rPr>
    </w:lvl>
    <w:lvl w:ilvl="5">
      <w:start w:val="0"/>
      <w:numFmt w:val="bullet"/>
      <w:lvlText w:val="•"/>
      <w:lvlJc w:val="left"/>
      <w:pPr>
        <w:ind w:left="6750" w:hanging="257"/>
      </w:pPr>
      <w:rPr>
        <w:rFonts w:hint="default"/>
        <w:lang w:val="es-ES" w:eastAsia="en-US" w:bidi="ar-SA"/>
      </w:rPr>
    </w:lvl>
    <w:lvl w:ilvl="6">
      <w:start w:val="0"/>
      <w:numFmt w:val="bullet"/>
      <w:lvlText w:val="•"/>
      <w:lvlJc w:val="left"/>
      <w:pPr>
        <w:ind w:left="7776" w:hanging="257"/>
      </w:pPr>
      <w:rPr>
        <w:rFonts w:hint="default"/>
        <w:lang w:val="es-ES" w:eastAsia="en-US" w:bidi="ar-SA"/>
      </w:rPr>
    </w:lvl>
    <w:lvl w:ilvl="7">
      <w:start w:val="0"/>
      <w:numFmt w:val="bullet"/>
      <w:lvlText w:val="•"/>
      <w:lvlJc w:val="left"/>
      <w:pPr>
        <w:ind w:left="8802" w:hanging="257"/>
      </w:pPr>
      <w:rPr>
        <w:rFonts w:hint="default"/>
        <w:lang w:val="es-ES" w:eastAsia="en-US" w:bidi="ar-SA"/>
      </w:rPr>
    </w:lvl>
    <w:lvl w:ilvl="8">
      <w:start w:val="0"/>
      <w:numFmt w:val="bullet"/>
      <w:lvlText w:val="•"/>
      <w:lvlJc w:val="left"/>
      <w:pPr>
        <w:ind w:left="9828" w:hanging="257"/>
      </w:pPr>
      <w:rPr>
        <w:rFonts w:hint="default"/>
        <w:lang w:val="es-ES" w:eastAsia="en-US" w:bidi="ar-SA"/>
      </w:rPr>
    </w:lvl>
  </w:abstractNum>
  <w:abstractNum w:abstractNumId="6">
    <w:multiLevelType w:val="hybridMultilevel"/>
    <w:lvl w:ilvl="0">
      <w:start w:val="1"/>
      <w:numFmt w:val="decimal"/>
      <w:lvlText w:val="%1."/>
      <w:lvlJc w:val="left"/>
      <w:pPr>
        <w:ind w:left="1625" w:hanging="276"/>
        <w:jc w:val="left"/>
      </w:pPr>
      <w:rPr>
        <w:rFonts w:hint="default" w:ascii="Arial" w:hAnsi="Arial" w:eastAsia="Arial" w:cs="Arial"/>
        <w:b w:val="0"/>
        <w:bCs w:val="0"/>
        <w:i w:val="0"/>
        <w:iCs w:val="0"/>
        <w:spacing w:val="-1"/>
        <w:w w:val="100"/>
        <w:sz w:val="22"/>
        <w:szCs w:val="22"/>
        <w:lang w:val="es-ES" w:eastAsia="en-US" w:bidi="ar-SA"/>
      </w:rPr>
    </w:lvl>
    <w:lvl w:ilvl="1">
      <w:start w:val="0"/>
      <w:numFmt w:val="bullet"/>
      <w:lvlText w:val="•"/>
      <w:lvlJc w:val="left"/>
      <w:pPr>
        <w:ind w:left="2646" w:hanging="276"/>
      </w:pPr>
      <w:rPr>
        <w:rFonts w:hint="default"/>
        <w:lang w:val="es-ES" w:eastAsia="en-US" w:bidi="ar-SA"/>
      </w:rPr>
    </w:lvl>
    <w:lvl w:ilvl="2">
      <w:start w:val="0"/>
      <w:numFmt w:val="bullet"/>
      <w:lvlText w:val="•"/>
      <w:lvlJc w:val="left"/>
      <w:pPr>
        <w:ind w:left="3672" w:hanging="276"/>
      </w:pPr>
      <w:rPr>
        <w:rFonts w:hint="default"/>
        <w:lang w:val="es-ES" w:eastAsia="en-US" w:bidi="ar-SA"/>
      </w:rPr>
    </w:lvl>
    <w:lvl w:ilvl="3">
      <w:start w:val="0"/>
      <w:numFmt w:val="bullet"/>
      <w:lvlText w:val="•"/>
      <w:lvlJc w:val="left"/>
      <w:pPr>
        <w:ind w:left="4698" w:hanging="276"/>
      </w:pPr>
      <w:rPr>
        <w:rFonts w:hint="default"/>
        <w:lang w:val="es-ES" w:eastAsia="en-US" w:bidi="ar-SA"/>
      </w:rPr>
    </w:lvl>
    <w:lvl w:ilvl="4">
      <w:start w:val="0"/>
      <w:numFmt w:val="bullet"/>
      <w:lvlText w:val="•"/>
      <w:lvlJc w:val="left"/>
      <w:pPr>
        <w:ind w:left="5724" w:hanging="276"/>
      </w:pPr>
      <w:rPr>
        <w:rFonts w:hint="default"/>
        <w:lang w:val="es-ES" w:eastAsia="en-US" w:bidi="ar-SA"/>
      </w:rPr>
    </w:lvl>
    <w:lvl w:ilvl="5">
      <w:start w:val="0"/>
      <w:numFmt w:val="bullet"/>
      <w:lvlText w:val="•"/>
      <w:lvlJc w:val="left"/>
      <w:pPr>
        <w:ind w:left="6750" w:hanging="276"/>
      </w:pPr>
      <w:rPr>
        <w:rFonts w:hint="default"/>
        <w:lang w:val="es-ES" w:eastAsia="en-US" w:bidi="ar-SA"/>
      </w:rPr>
    </w:lvl>
    <w:lvl w:ilvl="6">
      <w:start w:val="0"/>
      <w:numFmt w:val="bullet"/>
      <w:lvlText w:val="•"/>
      <w:lvlJc w:val="left"/>
      <w:pPr>
        <w:ind w:left="7776" w:hanging="276"/>
      </w:pPr>
      <w:rPr>
        <w:rFonts w:hint="default"/>
        <w:lang w:val="es-ES" w:eastAsia="en-US" w:bidi="ar-SA"/>
      </w:rPr>
    </w:lvl>
    <w:lvl w:ilvl="7">
      <w:start w:val="0"/>
      <w:numFmt w:val="bullet"/>
      <w:lvlText w:val="•"/>
      <w:lvlJc w:val="left"/>
      <w:pPr>
        <w:ind w:left="8802" w:hanging="276"/>
      </w:pPr>
      <w:rPr>
        <w:rFonts w:hint="default"/>
        <w:lang w:val="es-ES" w:eastAsia="en-US" w:bidi="ar-SA"/>
      </w:rPr>
    </w:lvl>
    <w:lvl w:ilvl="8">
      <w:start w:val="0"/>
      <w:numFmt w:val="bullet"/>
      <w:lvlText w:val="•"/>
      <w:lvlJc w:val="left"/>
      <w:pPr>
        <w:ind w:left="9828" w:hanging="276"/>
      </w:pPr>
      <w:rPr>
        <w:rFonts w:hint="default"/>
        <w:lang w:val="es-ES" w:eastAsia="en-US" w:bidi="ar-SA"/>
      </w:rPr>
    </w:lvl>
  </w:abstractNum>
  <w:abstractNum w:abstractNumId="5">
    <w:multiLevelType w:val="hybridMultilevel"/>
    <w:lvl w:ilvl="0">
      <w:start w:val="0"/>
      <w:numFmt w:val="bullet"/>
      <w:lvlText w:val=""/>
      <w:lvlJc w:val="left"/>
      <w:pPr>
        <w:ind w:left="2345" w:hanging="360"/>
      </w:pPr>
      <w:rPr>
        <w:rFonts w:hint="default" w:ascii="Symbol" w:hAnsi="Symbol" w:eastAsia="Symbol" w:cs="Symbol"/>
        <w:b w:val="0"/>
        <w:bCs w:val="0"/>
        <w:i w:val="0"/>
        <w:iCs w:val="0"/>
        <w:spacing w:val="0"/>
        <w:w w:val="100"/>
        <w:sz w:val="22"/>
        <w:szCs w:val="22"/>
        <w:lang w:val="es-ES" w:eastAsia="en-US" w:bidi="ar-SA"/>
      </w:rPr>
    </w:lvl>
    <w:lvl w:ilvl="1">
      <w:start w:val="0"/>
      <w:numFmt w:val="bullet"/>
      <w:lvlText w:val="•"/>
      <w:lvlJc w:val="left"/>
      <w:pPr>
        <w:ind w:left="3294" w:hanging="360"/>
      </w:pPr>
      <w:rPr>
        <w:rFonts w:hint="default"/>
        <w:lang w:val="es-ES" w:eastAsia="en-US" w:bidi="ar-SA"/>
      </w:rPr>
    </w:lvl>
    <w:lvl w:ilvl="2">
      <w:start w:val="0"/>
      <w:numFmt w:val="bullet"/>
      <w:lvlText w:val="•"/>
      <w:lvlJc w:val="left"/>
      <w:pPr>
        <w:ind w:left="4248" w:hanging="360"/>
      </w:pPr>
      <w:rPr>
        <w:rFonts w:hint="default"/>
        <w:lang w:val="es-ES" w:eastAsia="en-US" w:bidi="ar-SA"/>
      </w:rPr>
    </w:lvl>
    <w:lvl w:ilvl="3">
      <w:start w:val="0"/>
      <w:numFmt w:val="bullet"/>
      <w:lvlText w:val="•"/>
      <w:lvlJc w:val="left"/>
      <w:pPr>
        <w:ind w:left="5202" w:hanging="360"/>
      </w:pPr>
      <w:rPr>
        <w:rFonts w:hint="default"/>
        <w:lang w:val="es-ES" w:eastAsia="en-US" w:bidi="ar-SA"/>
      </w:rPr>
    </w:lvl>
    <w:lvl w:ilvl="4">
      <w:start w:val="0"/>
      <w:numFmt w:val="bullet"/>
      <w:lvlText w:val="•"/>
      <w:lvlJc w:val="left"/>
      <w:pPr>
        <w:ind w:left="6156" w:hanging="360"/>
      </w:pPr>
      <w:rPr>
        <w:rFonts w:hint="default"/>
        <w:lang w:val="es-ES" w:eastAsia="en-US" w:bidi="ar-SA"/>
      </w:rPr>
    </w:lvl>
    <w:lvl w:ilvl="5">
      <w:start w:val="0"/>
      <w:numFmt w:val="bullet"/>
      <w:lvlText w:val="•"/>
      <w:lvlJc w:val="left"/>
      <w:pPr>
        <w:ind w:left="7110" w:hanging="360"/>
      </w:pPr>
      <w:rPr>
        <w:rFonts w:hint="default"/>
        <w:lang w:val="es-ES" w:eastAsia="en-US" w:bidi="ar-SA"/>
      </w:rPr>
    </w:lvl>
    <w:lvl w:ilvl="6">
      <w:start w:val="0"/>
      <w:numFmt w:val="bullet"/>
      <w:lvlText w:val="•"/>
      <w:lvlJc w:val="left"/>
      <w:pPr>
        <w:ind w:left="8064" w:hanging="360"/>
      </w:pPr>
      <w:rPr>
        <w:rFonts w:hint="default"/>
        <w:lang w:val="es-ES" w:eastAsia="en-US" w:bidi="ar-SA"/>
      </w:rPr>
    </w:lvl>
    <w:lvl w:ilvl="7">
      <w:start w:val="0"/>
      <w:numFmt w:val="bullet"/>
      <w:lvlText w:val="•"/>
      <w:lvlJc w:val="left"/>
      <w:pPr>
        <w:ind w:left="9018" w:hanging="360"/>
      </w:pPr>
      <w:rPr>
        <w:rFonts w:hint="default"/>
        <w:lang w:val="es-ES" w:eastAsia="en-US" w:bidi="ar-SA"/>
      </w:rPr>
    </w:lvl>
    <w:lvl w:ilvl="8">
      <w:start w:val="0"/>
      <w:numFmt w:val="bullet"/>
      <w:lvlText w:val="•"/>
      <w:lvlJc w:val="left"/>
      <w:pPr>
        <w:ind w:left="9972" w:hanging="360"/>
      </w:pPr>
      <w:rPr>
        <w:rFonts w:hint="default"/>
        <w:lang w:val="es-ES" w:eastAsia="en-US" w:bidi="ar-SA"/>
      </w:rPr>
    </w:lvl>
  </w:abstractNum>
  <w:abstractNum w:abstractNumId="4">
    <w:multiLevelType w:val="hybridMultilevel"/>
    <w:lvl w:ilvl="0">
      <w:start w:val="2"/>
      <w:numFmt w:val="decimal"/>
      <w:lvlText w:val="%1."/>
      <w:lvlJc w:val="left"/>
      <w:pPr>
        <w:ind w:left="1894" w:hanging="269"/>
        <w:jc w:val="right"/>
      </w:pPr>
      <w:rPr>
        <w:rFonts w:hint="default" w:ascii="Arial" w:hAnsi="Arial" w:eastAsia="Arial" w:cs="Arial"/>
        <w:b/>
        <w:bCs/>
        <w:i w:val="0"/>
        <w:iCs w:val="0"/>
        <w:spacing w:val="0"/>
        <w:w w:val="90"/>
        <w:sz w:val="24"/>
        <w:szCs w:val="24"/>
        <w:lang w:val="es-ES" w:eastAsia="en-US" w:bidi="ar-SA"/>
      </w:rPr>
    </w:lvl>
    <w:lvl w:ilvl="1">
      <w:start w:val="1"/>
      <w:numFmt w:val="decimal"/>
      <w:lvlText w:val="%1.%2"/>
      <w:lvlJc w:val="left"/>
      <w:pPr>
        <w:ind w:left="2890" w:hanging="404"/>
        <w:jc w:val="left"/>
      </w:pPr>
      <w:rPr>
        <w:rFonts w:hint="default" w:ascii="Arial" w:hAnsi="Arial" w:eastAsia="Arial" w:cs="Arial"/>
        <w:b/>
        <w:bCs/>
        <w:i w:val="0"/>
        <w:iCs w:val="0"/>
        <w:spacing w:val="-1"/>
        <w:w w:val="100"/>
        <w:sz w:val="24"/>
        <w:szCs w:val="24"/>
        <w:lang w:val="es-ES" w:eastAsia="en-US" w:bidi="ar-SA"/>
      </w:rPr>
    </w:lvl>
    <w:lvl w:ilvl="2">
      <w:start w:val="1"/>
      <w:numFmt w:val="decimal"/>
      <w:lvlText w:val="%1.%2.%3"/>
      <w:lvlJc w:val="left"/>
      <w:pPr>
        <w:ind w:left="2227" w:hanging="603"/>
        <w:jc w:val="left"/>
      </w:pPr>
      <w:rPr>
        <w:rFonts w:hint="default" w:ascii="Arial" w:hAnsi="Arial" w:eastAsia="Arial" w:cs="Arial"/>
        <w:b/>
        <w:bCs/>
        <w:i w:val="0"/>
        <w:iCs w:val="0"/>
        <w:spacing w:val="-2"/>
        <w:w w:val="100"/>
        <w:sz w:val="24"/>
        <w:szCs w:val="24"/>
        <w:lang w:val="es-ES" w:eastAsia="en-US" w:bidi="ar-SA"/>
      </w:rPr>
    </w:lvl>
    <w:lvl w:ilvl="3">
      <w:start w:val="1"/>
      <w:numFmt w:val="lowerLetter"/>
      <w:lvlText w:val="%4)"/>
      <w:lvlJc w:val="left"/>
      <w:pPr>
        <w:ind w:left="2345" w:hanging="360"/>
        <w:jc w:val="left"/>
      </w:pPr>
      <w:rPr>
        <w:rFonts w:hint="default" w:ascii="Arial" w:hAnsi="Arial" w:eastAsia="Arial" w:cs="Arial"/>
        <w:b w:val="0"/>
        <w:bCs w:val="0"/>
        <w:i w:val="0"/>
        <w:iCs w:val="0"/>
        <w:spacing w:val="-1"/>
        <w:w w:val="100"/>
        <w:sz w:val="22"/>
        <w:szCs w:val="22"/>
        <w:lang w:val="es-ES" w:eastAsia="en-US" w:bidi="ar-SA"/>
      </w:rPr>
    </w:lvl>
    <w:lvl w:ilvl="4">
      <w:start w:val="0"/>
      <w:numFmt w:val="bullet"/>
      <w:lvlText w:val="•"/>
      <w:lvlJc w:val="left"/>
      <w:pPr>
        <w:ind w:left="2820" w:hanging="360"/>
      </w:pPr>
      <w:rPr>
        <w:rFonts w:hint="default"/>
        <w:lang w:val="es-ES" w:eastAsia="en-US" w:bidi="ar-SA"/>
      </w:rPr>
    </w:lvl>
    <w:lvl w:ilvl="5">
      <w:start w:val="0"/>
      <w:numFmt w:val="bullet"/>
      <w:lvlText w:val="•"/>
      <w:lvlJc w:val="left"/>
      <w:pPr>
        <w:ind w:left="2900" w:hanging="360"/>
      </w:pPr>
      <w:rPr>
        <w:rFonts w:hint="default"/>
        <w:lang w:val="es-ES" w:eastAsia="en-US" w:bidi="ar-SA"/>
      </w:rPr>
    </w:lvl>
    <w:lvl w:ilvl="6">
      <w:start w:val="0"/>
      <w:numFmt w:val="bullet"/>
      <w:lvlText w:val="•"/>
      <w:lvlJc w:val="left"/>
      <w:pPr>
        <w:ind w:left="3080" w:hanging="360"/>
      </w:pPr>
      <w:rPr>
        <w:rFonts w:hint="default"/>
        <w:lang w:val="es-ES" w:eastAsia="en-US" w:bidi="ar-SA"/>
      </w:rPr>
    </w:lvl>
    <w:lvl w:ilvl="7">
      <w:start w:val="0"/>
      <w:numFmt w:val="bullet"/>
      <w:lvlText w:val="•"/>
      <w:lvlJc w:val="left"/>
      <w:pPr>
        <w:ind w:left="5280" w:hanging="360"/>
      </w:pPr>
      <w:rPr>
        <w:rFonts w:hint="default"/>
        <w:lang w:val="es-ES" w:eastAsia="en-US" w:bidi="ar-SA"/>
      </w:rPr>
    </w:lvl>
    <w:lvl w:ilvl="8">
      <w:start w:val="0"/>
      <w:numFmt w:val="bullet"/>
      <w:lvlText w:val="•"/>
      <w:lvlJc w:val="left"/>
      <w:pPr>
        <w:ind w:left="7480" w:hanging="360"/>
      </w:pPr>
      <w:rPr>
        <w:rFonts w:hint="default"/>
        <w:lang w:val="es-ES" w:eastAsia="en-US" w:bidi="ar-SA"/>
      </w:rPr>
    </w:lvl>
  </w:abstractNum>
  <w:abstractNum w:abstractNumId="3">
    <w:multiLevelType w:val="hybridMultilevel"/>
    <w:lvl w:ilvl="0">
      <w:start w:val="1"/>
      <w:numFmt w:val="decimal"/>
      <w:lvlText w:val="%1"/>
      <w:lvlJc w:val="left"/>
      <w:pPr>
        <w:ind w:left="3041" w:hanging="555"/>
        <w:jc w:val="left"/>
      </w:pPr>
      <w:rPr>
        <w:rFonts w:hint="default"/>
        <w:lang w:val="es-ES" w:eastAsia="en-US" w:bidi="ar-SA"/>
      </w:rPr>
    </w:lvl>
    <w:lvl w:ilvl="1">
      <w:start w:val="1"/>
      <w:numFmt w:val="decimal"/>
      <w:lvlText w:val="%1.%2"/>
      <w:lvlJc w:val="left"/>
      <w:pPr>
        <w:ind w:left="3041" w:hanging="555"/>
        <w:jc w:val="right"/>
      </w:pPr>
      <w:rPr>
        <w:rFonts w:hint="default"/>
        <w:spacing w:val="-1"/>
        <w:w w:val="100"/>
        <w:lang w:val="es-ES" w:eastAsia="en-US" w:bidi="ar-SA"/>
      </w:rPr>
    </w:lvl>
    <w:lvl w:ilvl="2">
      <w:start w:val="1"/>
      <w:numFmt w:val="decimal"/>
      <w:lvlText w:val="%1.%2.%3"/>
      <w:lvlJc w:val="left"/>
      <w:pPr>
        <w:ind w:left="2176" w:hanging="552"/>
        <w:jc w:val="left"/>
      </w:pPr>
      <w:rPr>
        <w:rFonts w:hint="default" w:ascii="Arial" w:hAnsi="Arial" w:eastAsia="Arial" w:cs="Arial"/>
        <w:b/>
        <w:bCs/>
        <w:i w:val="0"/>
        <w:iCs w:val="0"/>
        <w:spacing w:val="0"/>
        <w:w w:val="100"/>
        <w:sz w:val="22"/>
        <w:szCs w:val="22"/>
        <w:lang w:val="es-ES" w:eastAsia="en-US" w:bidi="ar-SA"/>
      </w:rPr>
    </w:lvl>
    <w:lvl w:ilvl="3">
      <w:start w:val="0"/>
      <w:numFmt w:val="bullet"/>
      <w:lvlText w:val="•"/>
      <w:lvlJc w:val="left"/>
      <w:pPr>
        <w:ind w:left="5004" w:hanging="552"/>
      </w:pPr>
      <w:rPr>
        <w:rFonts w:hint="default"/>
        <w:lang w:val="es-ES" w:eastAsia="en-US" w:bidi="ar-SA"/>
      </w:rPr>
    </w:lvl>
    <w:lvl w:ilvl="4">
      <w:start w:val="0"/>
      <w:numFmt w:val="bullet"/>
      <w:lvlText w:val="•"/>
      <w:lvlJc w:val="left"/>
      <w:pPr>
        <w:ind w:left="5986" w:hanging="552"/>
      </w:pPr>
      <w:rPr>
        <w:rFonts w:hint="default"/>
        <w:lang w:val="es-ES" w:eastAsia="en-US" w:bidi="ar-SA"/>
      </w:rPr>
    </w:lvl>
    <w:lvl w:ilvl="5">
      <w:start w:val="0"/>
      <w:numFmt w:val="bullet"/>
      <w:lvlText w:val="•"/>
      <w:lvlJc w:val="left"/>
      <w:pPr>
        <w:ind w:left="6968" w:hanging="552"/>
      </w:pPr>
      <w:rPr>
        <w:rFonts w:hint="default"/>
        <w:lang w:val="es-ES" w:eastAsia="en-US" w:bidi="ar-SA"/>
      </w:rPr>
    </w:lvl>
    <w:lvl w:ilvl="6">
      <w:start w:val="0"/>
      <w:numFmt w:val="bullet"/>
      <w:lvlText w:val="•"/>
      <w:lvlJc w:val="left"/>
      <w:pPr>
        <w:ind w:left="7951" w:hanging="552"/>
      </w:pPr>
      <w:rPr>
        <w:rFonts w:hint="default"/>
        <w:lang w:val="es-ES" w:eastAsia="en-US" w:bidi="ar-SA"/>
      </w:rPr>
    </w:lvl>
    <w:lvl w:ilvl="7">
      <w:start w:val="0"/>
      <w:numFmt w:val="bullet"/>
      <w:lvlText w:val="•"/>
      <w:lvlJc w:val="left"/>
      <w:pPr>
        <w:ind w:left="8933" w:hanging="552"/>
      </w:pPr>
      <w:rPr>
        <w:rFonts w:hint="default"/>
        <w:lang w:val="es-ES" w:eastAsia="en-US" w:bidi="ar-SA"/>
      </w:rPr>
    </w:lvl>
    <w:lvl w:ilvl="8">
      <w:start w:val="0"/>
      <w:numFmt w:val="bullet"/>
      <w:lvlText w:val="•"/>
      <w:lvlJc w:val="left"/>
      <w:pPr>
        <w:ind w:left="9915" w:hanging="552"/>
      </w:pPr>
      <w:rPr>
        <w:rFonts w:hint="default"/>
        <w:lang w:val="es-ES" w:eastAsia="en-US" w:bidi="ar-SA"/>
      </w:rPr>
    </w:lvl>
  </w:abstractNum>
  <w:abstractNum w:abstractNumId="2">
    <w:multiLevelType w:val="hybridMultilevel"/>
    <w:lvl w:ilvl="0">
      <w:start w:val="5"/>
      <w:numFmt w:val="decimal"/>
      <w:lvlText w:val="%1"/>
      <w:lvlJc w:val="left"/>
      <w:pPr>
        <w:ind w:left="2153" w:hanging="332"/>
        <w:jc w:val="left"/>
      </w:pPr>
      <w:rPr>
        <w:rFonts w:hint="default"/>
        <w:lang w:val="es-ES" w:eastAsia="en-US" w:bidi="ar-SA"/>
      </w:rPr>
    </w:lvl>
    <w:lvl w:ilvl="1">
      <w:start w:val="5"/>
      <w:numFmt w:val="decimal"/>
      <w:lvlText w:val="%1.%2"/>
      <w:lvlJc w:val="left"/>
      <w:pPr>
        <w:ind w:left="2153" w:hanging="332"/>
        <w:jc w:val="left"/>
      </w:pPr>
      <w:rPr>
        <w:rFonts w:hint="default" w:ascii="Arial" w:hAnsi="Arial" w:eastAsia="Arial" w:cs="Arial"/>
        <w:b w:val="0"/>
        <w:bCs w:val="0"/>
        <w:i w:val="0"/>
        <w:iCs w:val="0"/>
        <w:spacing w:val="-1"/>
        <w:w w:val="99"/>
        <w:sz w:val="20"/>
        <w:szCs w:val="20"/>
        <w:lang w:val="es-ES" w:eastAsia="en-US" w:bidi="ar-SA"/>
      </w:rPr>
    </w:lvl>
    <w:lvl w:ilvl="2">
      <w:start w:val="0"/>
      <w:numFmt w:val="bullet"/>
      <w:lvlText w:val="•"/>
      <w:lvlJc w:val="left"/>
      <w:pPr>
        <w:ind w:left="4104" w:hanging="332"/>
      </w:pPr>
      <w:rPr>
        <w:rFonts w:hint="default"/>
        <w:lang w:val="es-ES" w:eastAsia="en-US" w:bidi="ar-SA"/>
      </w:rPr>
    </w:lvl>
    <w:lvl w:ilvl="3">
      <w:start w:val="0"/>
      <w:numFmt w:val="bullet"/>
      <w:lvlText w:val="•"/>
      <w:lvlJc w:val="left"/>
      <w:pPr>
        <w:ind w:left="5076" w:hanging="332"/>
      </w:pPr>
      <w:rPr>
        <w:rFonts w:hint="default"/>
        <w:lang w:val="es-ES" w:eastAsia="en-US" w:bidi="ar-SA"/>
      </w:rPr>
    </w:lvl>
    <w:lvl w:ilvl="4">
      <w:start w:val="0"/>
      <w:numFmt w:val="bullet"/>
      <w:lvlText w:val="•"/>
      <w:lvlJc w:val="left"/>
      <w:pPr>
        <w:ind w:left="6048" w:hanging="332"/>
      </w:pPr>
      <w:rPr>
        <w:rFonts w:hint="default"/>
        <w:lang w:val="es-ES" w:eastAsia="en-US" w:bidi="ar-SA"/>
      </w:rPr>
    </w:lvl>
    <w:lvl w:ilvl="5">
      <w:start w:val="0"/>
      <w:numFmt w:val="bullet"/>
      <w:lvlText w:val="•"/>
      <w:lvlJc w:val="left"/>
      <w:pPr>
        <w:ind w:left="7020" w:hanging="332"/>
      </w:pPr>
      <w:rPr>
        <w:rFonts w:hint="default"/>
        <w:lang w:val="es-ES" w:eastAsia="en-US" w:bidi="ar-SA"/>
      </w:rPr>
    </w:lvl>
    <w:lvl w:ilvl="6">
      <w:start w:val="0"/>
      <w:numFmt w:val="bullet"/>
      <w:lvlText w:val="•"/>
      <w:lvlJc w:val="left"/>
      <w:pPr>
        <w:ind w:left="7992" w:hanging="332"/>
      </w:pPr>
      <w:rPr>
        <w:rFonts w:hint="default"/>
        <w:lang w:val="es-ES" w:eastAsia="en-US" w:bidi="ar-SA"/>
      </w:rPr>
    </w:lvl>
    <w:lvl w:ilvl="7">
      <w:start w:val="0"/>
      <w:numFmt w:val="bullet"/>
      <w:lvlText w:val="•"/>
      <w:lvlJc w:val="left"/>
      <w:pPr>
        <w:ind w:left="8964" w:hanging="332"/>
      </w:pPr>
      <w:rPr>
        <w:rFonts w:hint="default"/>
        <w:lang w:val="es-ES" w:eastAsia="en-US" w:bidi="ar-SA"/>
      </w:rPr>
    </w:lvl>
    <w:lvl w:ilvl="8">
      <w:start w:val="0"/>
      <w:numFmt w:val="bullet"/>
      <w:lvlText w:val="•"/>
      <w:lvlJc w:val="left"/>
      <w:pPr>
        <w:ind w:left="9936" w:hanging="332"/>
      </w:pPr>
      <w:rPr>
        <w:rFonts w:hint="default"/>
        <w:lang w:val="es-ES" w:eastAsia="en-US" w:bidi="ar-SA"/>
      </w:rPr>
    </w:lvl>
  </w:abstractNum>
  <w:abstractNum w:abstractNumId="1">
    <w:multiLevelType w:val="hybridMultilevel"/>
    <w:lvl w:ilvl="0">
      <w:start w:val="5"/>
      <w:numFmt w:val="decimal"/>
      <w:lvlText w:val="%1"/>
      <w:lvlJc w:val="left"/>
      <w:pPr>
        <w:ind w:left="2208" w:hanging="387"/>
        <w:jc w:val="left"/>
      </w:pPr>
      <w:rPr>
        <w:rFonts w:hint="default"/>
        <w:lang w:val="es-ES" w:eastAsia="en-US" w:bidi="ar-SA"/>
      </w:rPr>
    </w:lvl>
    <w:lvl w:ilvl="1">
      <w:start w:val="4"/>
      <w:numFmt w:val="decimal"/>
      <w:lvlText w:val="%1.%2."/>
      <w:lvlJc w:val="left"/>
      <w:pPr>
        <w:ind w:left="2208" w:hanging="387"/>
        <w:jc w:val="left"/>
      </w:pPr>
      <w:rPr>
        <w:rFonts w:hint="default" w:ascii="Arial" w:hAnsi="Arial" w:eastAsia="Arial" w:cs="Arial"/>
        <w:b w:val="0"/>
        <w:bCs w:val="0"/>
        <w:i w:val="0"/>
        <w:iCs w:val="0"/>
        <w:spacing w:val="-1"/>
        <w:w w:val="99"/>
        <w:sz w:val="20"/>
        <w:szCs w:val="20"/>
        <w:lang w:val="es-ES" w:eastAsia="en-US" w:bidi="ar-SA"/>
      </w:rPr>
    </w:lvl>
    <w:lvl w:ilvl="2">
      <w:start w:val="0"/>
      <w:numFmt w:val="bullet"/>
      <w:lvlText w:val="•"/>
      <w:lvlJc w:val="left"/>
      <w:pPr>
        <w:ind w:left="4136" w:hanging="387"/>
      </w:pPr>
      <w:rPr>
        <w:rFonts w:hint="default"/>
        <w:lang w:val="es-ES" w:eastAsia="en-US" w:bidi="ar-SA"/>
      </w:rPr>
    </w:lvl>
    <w:lvl w:ilvl="3">
      <w:start w:val="0"/>
      <w:numFmt w:val="bullet"/>
      <w:lvlText w:val="•"/>
      <w:lvlJc w:val="left"/>
      <w:pPr>
        <w:ind w:left="5104" w:hanging="387"/>
      </w:pPr>
      <w:rPr>
        <w:rFonts w:hint="default"/>
        <w:lang w:val="es-ES" w:eastAsia="en-US" w:bidi="ar-SA"/>
      </w:rPr>
    </w:lvl>
    <w:lvl w:ilvl="4">
      <w:start w:val="0"/>
      <w:numFmt w:val="bullet"/>
      <w:lvlText w:val="•"/>
      <w:lvlJc w:val="left"/>
      <w:pPr>
        <w:ind w:left="6072" w:hanging="387"/>
      </w:pPr>
      <w:rPr>
        <w:rFonts w:hint="default"/>
        <w:lang w:val="es-ES" w:eastAsia="en-US" w:bidi="ar-SA"/>
      </w:rPr>
    </w:lvl>
    <w:lvl w:ilvl="5">
      <w:start w:val="0"/>
      <w:numFmt w:val="bullet"/>
      <w:lvlText w:val="•"/>
      <w:lvlJc w:val="left"/>
      <w:pPr>
        <w:ind w:left="7040" w:hanging="387"/>
      </w:pPr>
      <w:rPr>
        <w:rFonts w:hint="default"/>
        <w:lang w:val="es-ES" w:eastAsia="en-US" w:bidi="ar-SA"/>
      </w:rPr>
    </w:lvl>
    <w:lvl w:ilvl="6">
      <w:start w:val="0"/>
      <w:numFmt w:val="bullet"/>
      <w:lvlText w:val="•"/>
      <w:lvlJc w:val="left"/>
      <w:pPr>
        <w:ind w:left="8008" w:hanging="387"/>
      </w:pPr>
      <w:rPr>
        <w:rFonts w:hint="default"/>
        <w:lang w:val="es-ES" w:eastAsia="en-US" w:bidi="ar-SA"/>
      </w:rPr>
    </w:lvl>
    <w:lvl w:ilvl="7">
      <w:start w:val="0"/>
      <w:numFmt w:val="bullet"/>
      <w:lvlText w:val="•"/>
      <w:lvlJc w:val="left"/>
      <w:pPr>
        <w:ind w:left="8976" w:hanging="387"/>
      </w:pPr>
      <w:rPr>
        <w:rFonts w:hint="default"/>
        <w:lang w:val="es-ES" w:eastAsia="en-US" w:bidi="ar-SA"/>
      </w:rPr>
    </w:lvl>
    <w:lvl w:ilvl="8">
      <w:start w:val="0"/>
      <w:numFmt w:val="bullet"/>
      <w:lvlText w:val="•"/>
      <w:lvlJc w:val="left"/>
      <w:pPr>
        <w:ind w:left="9944" w:hanging="387"/>
      </w:pPr>
      <w:rPr>
        <w:rFonts w:hint="default"/>
        <w:lang w:val="es-ES" w:eastAsia="en-US" w:bidi="ar-SA"/>
      </w:rPr>
    </w:lvl>
  </w:abstractNum>
  <w:abstractNum w:abstractNumId="0">
    <w:multiLevelType w:val="hybridMultilevel"/>
    <w:lvl w:ilvl="0">
      <w:start w:val="1"/>
      <w:numFmt w:val="decimal"/>
      <w:lvlText w:val="%1."/>
      <w:lvlJc w:val="left"/>
      <w:pPr>
        <w:ind w:left="1379" w:hanging="167"/>
        <w:jc w:val="left"/>
      </w:pPr>
      <w:rPr>
        <w:rFonts w:hint="default" w:ascii="Arial" w:hAnsi="Arial" w:eastAsia="Arial" w:cs="Arial"/>
        <w:b/>
        <w:bCs/>
        <w:i w:val="0"/>
        <w:iCs w:val="0"/>
        <w:spacing w:val="-1"/>
        <w:w w:val="96"/>
        <w:sz w:val="18"/>
        <w:szCs w:val="18"/>
        <w:lang w:val="es-ES" w:eastAsia="en-US" w:bidi="ar-SA"/>
      </w:rPr>
    </w:lvl>
    <w:lvl w:ilvl="1">
      <w:start w:val="1"/>
      <w:numFmt w:val="decimal"/>
      <w:lvlText w:val="%1.%2"/>
      <w:lvlJc w:val="left"/>
      <w:pPr>
        <w:ind w:left="2153" w:hanging="332"/>
        <w:jc w:val="left"/>
      </w:pPr>
      <w:rPr>
        <w:rFonts w:hint="default" w:ascii="Arial" w:hAnsi="Arial" w:eastAsia="Arial" w:cs="Arial"/>
        <w:b w:val="0"/>
        <w:bCs w:val="0"/>
        <w:i w:val="0"/>
        <w:iCs w:val="0"/>
        <w:spacing w:val="-1"/>
        <w:w w:val="99"/>
        <w:sz w:val="20"/>
        <w:szCs w:val="20"/>
        <w:lang w:val="es-ES" w:eastAsia="en-US" w:bidi="ar-SA"/>
      </w:rPr>
    </w:lvl>
    <w:lvl w:ilvl="2">
      <w:start w:val="1"/>
      <w:numFmt w:val="decimal"/>
      <w:lvlText w:val="%1.%2.%3"/>
      <w:lvlJc w:val="left"/>
      <w:pPr>
        <w:ind w:left="2321" w:hanging="500"/>
        <w:jc w:val="left"/>
      </w:pPr>
      <w:rPr>
        <w:rFonts w:hint="default" w:ascii="Arial" w:hAnsi="Arial" w:eastAsia="Arial" w:cs="Arial"/>
        <w:b w:val="0"/>
        <w:bCs w:val="0"/>
        <w:i w:val="0"/>
        <w:iCs w:val="0"/>
        <w:spacing w:val="-1"/>
        <w:w w:val="99"/>
        <w:sz w:val="20"/>
        <w:szCs w:val="20"/>
        <w:lang w:val="es-ES" w:eastAsia="en-US" w:bidi="ar-SA"/>
      </w:rPr>
    </w:lvl>
    <w:lvl w:ilvl="3">
      <w:start w:val="0"/>
      <w:numFmt w:val="bullet"/>
      <w:lvlText w:val="•"/>
      <w:lvlJc w:val="left"/>
      <w:pPr>
        <w:ind w:left="2320" w:hanging="500"/>
      </w:pPr>
      <w:rPr>
        <w:rFonts w:hint="default"/>
        <w:lang w:val="es-ES" w:eastAsia="en-US" w:bidi="ar-SA"/>
      </w:rPr>
    </w:lvl>
    <w:lvl w:ilvl="4">
      <w:start w:val="0"/>
      <w:numFmt w:val="bullet"/>
      <w:lvlText w:val="•"/>
      <w:lvlJc w:val="left"/>
      <w:pPr>
        <w:ind w:left="3685" w:hanging="500"/>
      </w:pPr>
      <w:rPr>
        <w:rFonts w:hint="default"/>
        <w:lang w:val="es-ES" w:eastAsia="en-US" w:bidi="ar-SA"/>
      </w:rPr>
    </w:lvl>
    <w:lvl w:ilvl="5">
      <w:start w:val="0"/>
      <w:numFmt w:val="bullet"/>
      <w:lvlText w:val="•"/>
      <w:lvlJc w:val="left"/>
      <w:pPr>
        <w:ind w:left="5051" w:hanging="500"/>
      </w:pPr>
      <w:rPr>
        <w:rFonts w:hint="default"/>
        <w:lang w:val="es-ES" w:eastAsia="en-US" w:bidi="ar-SA"/>
      </w:rPr>
    </w:lvl>
    <w:lvl w:ilvl="6">
      <w:start w:val="0"/>
      <w:numFmt w:val="bullet"/>
      <w:lvlText w:val="•"/>
      <w:lvlJc w:val="left"/>
      <w:pPr>
        <w:ind w:left="6417" w:hanging="500"/>
      </w:pPr>
      <w:rPr>
        <w:rFonts w:hint="default"/>
        <w:lang w:val="es-ES" w:eastAsia="en-US" w:bidi="ar-SA"/>
      </w:rPr>
    </w:lvl>
    <w:lvl w:ilvl="7">
      <w:start w:val="0"/>
      <w:numFmt w:val="bullet"/>
      <w:lvlText w:val="•"/>
      <w:lvlJc w:val="left"/>
      <w:pPr>
        <w:ind w:left="7782" w:hanging="500"/>
      </w:pPr>
      <w:rPr>
        <w:rFonts w:hint="default"/>
        <w:lang w:val="es-ES" w:eastAsia="en-US" w:bidi="ar-SA"/>
      </w:rPr>
    </w:lvl>
    <w:lvl w:ilvl="8">
      <w:start w:val="0"/>
      <w:numFmt w:val="bullet"/>
      <w:lvlText w:val="•"/>
      <w:lvlJc w:val="left"/>
      <w:pPr>
        <w:ind w:left="9148" w:hanging="500"/>
      </w:pPr>
      <w:rPr>
        <w:rFonts w:hint="default"/>
        <w:lang w:val="es-ES" w:eastAsia="en-US" w:bidi="ar-SA"/>
      </w:rPr>
    </w:lvl>
  </w:abstract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TOC1" w:type="paragraph">
    <w:name w:val="TOC 1"/>
    <w:basedOn w:val="Normal"/>
    <w:uiPriority w:val="1"/>
    <w:qFormat/>
    <w:pPr>
      <w:ind w:left="1432" w:hanging="220"/>
    </w:pPr>
    <w:rPr>
      <w:rFonts w:ascii="Arial" w:hAnsi="Arial" w:eastAsia="Arial" w:cs="Arial"/>
      <w:b/>
      <w:bCs/>
      <w:sz w:val="20"/>
      <w:szCs w:val="20"/>
      <w:lang w:val="es-ES" w:eastAsia="en-US" w:bidi="ar-SA"/>
    </w:rPr>
  </w:style>
  <w:style w:styleId="TOC2" w:type="paragraph">
    <w:name w:val="TOC 2"/>
    <w:basedOn w:val="Normal"/>
    <w:uiPriority w:val="1"/>
    <w:qFormat/>
    <w:pPr>
      <w:ind w:left="1212"/>
    </w:pPr>
    <w:rPr>
      <w:rFonts w:ascii="Arial" w:hAnsi="Arial" w:eastAsia="Arial" w:cs="Arial"/>
      <w:sz w:val="20"/>
      <w:szCs w:val="20"/>
      <w:lang w:val="es-ES" w:eastAsia="en-US" w:bidi="ar-SA"/>
    </w:rPr>
  </w:style>
  <w:style w:styleId="TOC3" w:type="paragraph">
    <w:name w:val="TOC 3"/>
    <w:basedOn w:val="Normal"/>
    <w:uiPriority w:val="1"/>
    <w:qFormat/>
    <w:pPr>
      <w:ind w:left="1793"/>
    </w:pPr>
    <w:rPr>
      <w:rFonts w:ascii="Arial" w:hAnsi="Arial" w:eastAsia="Arial" w:cs="Arial"/>
      <w:sz w:val="20"/>
      <w:szCs w:val="20"/>
      <w:lang w:val="es-ES" w:eastAsia="en-US" w:bidi="ar-SA"/>
    </w:rPr>
  </w:style>
  <w:style w:styleId="TOC4" w:type="paragraph">
    <w:name w:val="TOC 4"/>
    <w:basedOn w:val="Normal"/>
    <w:uiPriority w:val="1"/>
    <w:qFormat/>
    <w:pPr>
      <w:ind w:left="2317" w:hanging="495"/>
    </w:pPr>
    <w:rPr>
      <w:rFonts w:ascii="Arial" w:hAnsi="Arial" w:eastAsia="Arial" w:cs="Arial"/>
      <w:sz w:val="20"/>
      <w:szCs w:val="20"/>
      <w:lang w:val="es-ES" w:eastAsia="en-US" w:bidi="ar-SA"/>
    </w:rPr>
  </w:style>
  <w:style w:styleId="BodyText" w:type="paragraph">
    <w:name w:val="Body Text"/>
    <w:basedOn w:val="Normal"/>
    <w:uiPriority w:val="1"/>
    <w:qFormat/>
    <w:pPr/>
    <w:rPr>
      <w:rFonts w:ascii="Arial" w:hAnsi="Arial" w:eastAsia="Arial" w:cs="Arial"/>
      <w:sz w:val="22"/>
      <w:szCs w:val="22"/>
      <w:lang w:val="es-ES" w:eastAsia="en-US" w:bidi="ar-SA"/>
    </w:rPr>
  </w:style>
  <w:style w:styleId="Heading1" w:type="paragraph">
    <w:name w:val="Heading 1"/>
    <w:basedOn w:val="Normal"/>
    <w:uiPriority w:val="1"/>
    <w:qFormat/>
    <w:pPr>
      <w:spacing w:before="58"/>
      <w:ind w:left="691"/>
      <w:outlineLvl w:val="1"/>
    </w:pPr>
    <w:rPr>
      <w:rFonts w:ascii="Arial" w:hAnsi="Arial" w:eastAsia="Arial" w:cs="Arial"/>
      <w:b/>
      <w:bCs/>
      <w:sz w:val="48"/>
      <w:szCs w:val="48"/>
      <w:lang w:val="es-ES" w:eastAsia="en-US" w:bidi="ar-SA"/>
    </w:rPr>
  </w:style>
  <w:style w:styleId="Heading2" w:type="paragraph">
    <w:name w:val="Heading 2"/>
    <w:basedOn w:val="Normal"/>
    <w:uiPriority w:val="1"/>
    <w:qFormat/>
    <w:pPr>
      <w:spacing w:before="61"/>
      <w:ind w:left="557"/>
      <w:outlineLvl w:val="2"/>
    </w:pPr>
    <w:rPr>
      <w:rFonts w:ascii="Arial" w:hAnsi="Arial" w:eastAsia="Arial" w:cs="Arial"/>
      <w:b/>
      <w:bCs/>
      <w:sz w:val="46"/>
      <w:szCs w:val="46"/>
      <w:lang w:val="es-ES" w:eastAsia="en-US" w:bidi="ar-SA"/>
    </w:rPr>
  </w:style>
  <w:style w:styleId="Heading3" w:type="paragraph">
    <w:name w:val="Heading 3"/>
    <w:basedOn w:val="Normal"/>
    <w:uiPriority w:val="1"/>
    <w:qFormat/>
    <w:pPr>
      <w:ind w:left="60"/>
      <w:outlineLvl w:val="3"/>
    </w:pPr>
    <w:rPr>
      <w:rFonts w:ascii="Arial" w:hAnsi="Arial" w:eastAsia="Arial" w:cs="Arial"/>
      <w:b/>
      <w:bCs/>
      <w:sz w:val="24"/>
      <w:szCs w:val="24"/>
      <w:lang w:val="es-ES" w:eastAsia="en-US" w:bidi="ar-SA"/>
    </w:rPr>
  </w:style>
  <w:style w:styleId="Heading4" w:type="paragraph">
    <w:name w:val="Heading 4"/>
    <w:basedOn w:val="Normal"/>
    <w:uiPriority w:val="1"/>
    <w:qFormat/>
    <w:pPr>
      <w:ind w:left="2191" w:right="1609"/>
      <w:jc w:val="both"/>
      <w:outlineLvl w:val="4"/>
    </w:pPr>
    <w:rPr>
      <w:rFonts w:ascii="Arial" w:hAnsi="Arial" w:eastAsia="Arial" w:cs="Arial"/>
      <w:sz w:val="24"/>
      <w:szCs w:val="24"/>
      <w:lang w:val="es-ES" w:eastAsia="en-US" w:bidi="ar-SA"/>
    </w:rPr>
  </w:style>
  <w:style w:styleId="Heading5" w:type="paragraph">
    <w:name w:val="Heading 5"/>
    <w:basedOn w:val="Normal"/>
    <w:uiPriority w:val="1"/>
    <w:qFormat/>
    <w:pPr>
      <w:ind w:left="1625"/>
      <w:outlineLvl w:val="5"/>
    </w:pPr>
    <w:rPr>
      <w:rFonts w:ascii="Arial" w:hAnsi="Arial" w:eastAsia="Arial" w:cs="Arial"/>
      <w:b/>
      <w:bCs/>
      <w:sz w:val="22"/>
      <w:szCs w:val="22"/>
      <w:lang w:val="es-ES" w:eastAsia="en-US" w:bidi="ar-SA"/>
    </w:rPr>
  </w:style>
  <w:style w:styleId="Title" w:type="paragraph">
    <w:name w:val="Title"/>
    <w:basedOn w:val="Normal"/>
    <w:uiPriority w:val="1"/>
    <w:qFormat/>
    <w:pPr>
      <w:ind w:left="300"/>
    </w:pPr>
    <w:rPr>
      <w:rFonts w:ascii="Cambria" w:hAnsi="Cambria" w:eastAsia="Cambria" w:cs="Cambria"/>
      <w:sz w:val="72"/>
      <w:szCs w:val="72"/>
      <w:lang w:val="es-ES" w:eastAsia="en-US" w:bidi="ar-SA"/>
    </w:rPr>
  </w:style>
  <w:style w:styleId="ListParagraph" w:type="paragraph">
    <w:name w:val="List Paragraph"/>
    <w:basedOn w:val="Normal"/>
    <w:uiPriority w:val="1"/>
    <w:qFormat/>
    <w:pPr>
      <w:ind w:left="2191" w:hanging="360"/>
    </w:pPr>
    <w:rPr>
      <w:rFonts w:ascii="Arial" w:hAnsi="Arial" w:eastAsia="Arial" w:cs="Arial"/>
      <w:lang w:val="es-ES" w:eastAsia="en-US" w:bidi="ar-SA"/>
    </w:rPr>
  </w:style>
  <w:style w:styleId="TableParagraph" w:type="paragraph">
    <w:name w:val="Table Paragraph"/>
    <w:basedOn w:val="Normal"/>
    <w:uiPriority w:val="1"/>
    <w:qFormat/>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yperlink" Target="mailto:yleon@imas.go.cr" TargetMode="External"/><Relationship Id="rId11" Type="http://schemas.openxmlformats.org/officeDocument/2006/relationships/hyperlink" Target="mailto:scastroq@imas.go.cr" TargetMode="External"/><Relationship Id="rId12" Type="http://schemas.openxmlformats.org/officeDocument/2006/relationships/hyperlink" Target="mailto:lbarrantes@imas.go.cr" TargetMode="External"/><Relationship Id="rId13" Type="http://schemas.openxmlformats.org/officeDocument/2006/relationships/hyperlink" Target="mailto:ccarvajal@imas.go.cr" TargetMode="External"/><Relationship Id="rId14" Type="http://schemas.openxmlformats.org/officeDocument/2006/relationships/hyperlink" Target="mailto:s@imas.go.cr" TargetMode="External"/><Relationship Id="rId15" Type="http://schemas.openxmlformats.org/officeDocument/2006/relationships/hyperlink" Target="mailto:bvargas@imas.go.cr" TargetMode="External"/><Relationship Id="rId16" Type="http://schemas.openxmlformats.org/officeDocument/2006/relationships/hyperlink" Target="mailto:mchavest@imas.go.cr" TargetMode="External"/><Relationship Id="rId17" Type="http://schemas.openxmlformats.org/officeDocument/2006/relationships/hyperlink" Target="mailto:smorales@imas.go.cr" TargetMode="External"/><Relationship Id="rId18" Type="http://schemas.openxmlformats.org/officeDocument/2006/relationships/hyperlink" Target="mailto:lgonzalez@imas.go.cr" TargetMode="External"/><Relationship Id="rId19" Type="http://schemas.openxmlformats.org/officeDocument/2006/relationships/hyperlink" Target="mailto:gcharpentier@imas.go.cr" TargetMode="External"/><Relationship Id="rId20" Type="http://schemas.openxmlformats.org/officeDocument/2006/relationships/hyperlink" Target="mailto:cbarboza@imas.go.cr" TargetMode="External"/><Relationship Id="rId21" Type="http://schemas.openxmlformats.org/officeDocument/2006/relationships/hyperlink" Target="mailto:lvalverde@imas.go.cr" TargetMode="External"/><Relationship Id="rId22" Type="http://schemas.openxmlformats.org/officeDocument/2006/relationships/hyperlink" Target="mailto:karaya@imas.go.cr" TargetMode="External"/><Relationship Id="rId23" Type="http://schemas.openxmlformats.org/officeDocument/2006/relationships/hyperlink" Target="mailto:ehernandez@imas.go.cr" TargetMode="External"/><Relationship Id="rId24" Type="http://schemas.openxmlformats.org/officeDocument/2006/relationships/hyperlink" Target="mailto:rarias@imas.go.cr" TargetMode="External"/><Relationship Id="rId25" Type="http://schemas.openxmlformats.org/officeDocument/2006/relationships/hyperlink" Target="mailto:sconejo@imas.go.cr" TargetMode="External"/><Relationship Id="rId26" Type="http://schemas.openxmlformats.org/officeDocument/2006/relationships/hyperlink" Target="mailto:drojas@imas.go.cr" TargetMode="External"/><Relationship Id="rId27" Type="http://schemas.openxmlformats.org/officeDocument/2006/relationships/hyperlink" Target="mailto:rjgutierrez@imas.go.cr" TargetMode="External"/><Relationship Id="rId28" Type="http://schemas.openxmlformats.org/officeDocument/2006/relationships/hyperlink" Target="mailto:dmurillo@imas.go.cr" TargetMode="External"/><Relationship Id="rId29" Type="http://schemas.openxmlformats.org/officeDocument/2006/relationships/hyperlink" Target="mailto:kcamacho@imas.go.cr" TargetMode="External"/><Relationship Id="rId30" Type="http://schemas.openxmlformats.org/officeDocument/2006/relationships/hyperlink" Target="mailto:gsandoval@imas.go.cr" TargetMode="External"/><Relationship Id="rId31" Type="http://schemas.openxmlformats.org/officeDocument/2006/relationships/image" Target="media/image3.jpeg"/><Relationship Id="rId32" Type="http://schemas.openxmlformats.org/officeDocument/2006/relationships/image" Target="media/image4.png"/><Relationship Id="rId33" Type="http://schemas.openxmlformats.org/officeDocument/2006/relationships/image" Target="media/image5.png"/><Relationship Id="rId34" Type="http://schemas.openxmlformats.org/officeDocument/2006/relationships/image" Target="media/image6.png"/><Relationship Id="rId35" Type="http://schemas.openxmlformats.org/officeDocument/2006/relationships/image" Target="media/image7.jpeg"/><Relationship Id="rId36" Type="http://schemas.openxmlformats.org/officeDocument/2006/relationships/image" Target="media/image8.png"/><Relationship Id="rId37" Type="http://schemas.openxmlformats.org/officeDocument/2006/relationships/image" Target="media/image9.png"/><Relationship Id="rId38" Type="http://schemas.openxmlformats.org/officeDocument/2006/relationships/image" Target="media/image10.png"/><Relationship Id="rId39" Type="http://schemas.openxmlformats.org/officeDocument/2006/relationships/image" Target="media/image11.jpeg"/><Relationship Id="rId40" Type="http://schemas.openxmlformats.org/officeDocument/2006/relationships/image" Target="media/image12.jpeg"/><Relationship Id="rId41" Type="http://schemas.openxmlformats.org/officeDocument/2006/relationships/image" Target="media/image13.jpeg"/><Relationship Id="rId42" Type="http://schemas.openxmlformats.org/officeDocument/2006/relationships/image" Target="media/image14.png"/><Relationship Id="rId43" Type="http://schemas.openxmlformats.org/officeDocument/2006/relationships/image" Target="media/image15.png"/><Relationship Id="rId44" Type="http://schemas.openxmlformats.org/officeDocument/2006/relationships/image" Target="media/image16.png"/><Relationship Id="rId45" Type="http://schemas.openxmlformats.org/officeDocument/2006/relationships/image" Target="media/image17.png"/><Relationship Id="rId46" Type="http://schemas.openxmlformats.org/officeDocument/2006/relationships/image" Target="media/image18.png"/><Relationship Id="rId47" Type="http://schemas.openxmlformats.org/officeDocument/2006/relationships/image" Target="media/image19.png"/><Relationship Id="rId48" Type="http://schemas.openxmlformats.org/officeDocument/2006/relationships/image" Target="media/image20.png"/><Relationship Id="rId49" Type="http://schemas.openxmlformats.org/officeDocument/2006/relationships/image" Target="media/image21.png"/><Relationship Id="rId50" Type="http://schemas.openxmlformats.org/officeDocument/2006/relationships/image" Target="media/image22.jpeg"/><Relationship Id="rId51" Type="http://schemas.openxmlformats.org/officeDocument/2006/relationships/footer" Target="footer4.xml"/><Relationship Id="rId52" Type="http://schemas.openxmlformats.org/officeDocument/2006/relationships/footer" Target="footer5.xml"/><Relationship Id="rId53" Type="http://schemas.openxmlformats.org/officeDocument/2006/relationships/footer" Target="footer6.xml"/><Relationship Id="rId54" Type="http://schemas.openxmlformats.org/officeDocument/2006/relationships/footer" Target="footer7.xml"/><Relationship Id="rId55" Type="http://schemas.openxmlformats.org/officeDocument/2006/relationships/footer" Target="footer8.xml"/><Relationship Id="rId56" Type="http://schemas.openxmlformats.org/officeDocument/2006/relationships/footer" Target="footer9.xml"/><Relationship Id="rId57" Type="http://schemas.openxmlformats.org/officeDocument/2006/relationships/image" Target="media/image23.png"/><Relationship Id="rId58" Type="http://schemas.openxmlformats.org/officeDocument/2006/relationships/footer" Target="footer10.xml"/><Relationship Id="rId59" Type="http://schemas.openxmlformats.org/officeDocument/2006/relationships/image" Target="media/image25.jpeg"/><Relationship Id="rId60" Type="http://schemas.openxmlformats.org/officeDocument/2006/relationships/image" Target="media/image26.png"/><Relationship Id="rId61" Type="http://schemas.openxmlformats.org/officeDocument/2006/relationships/image" Target="media/image27.png"/><Relationship Id="rId62" Type="http://schemas.openxmlformats.org/officeDocument/2006/relationships/image" Target="media/image28.png"/><Relationship Id="rId63" Type="http://schemas.openxmlformats.org/officeDocument/2006/relationships/image" Target="media/image29.png"/><Relationship Id="rId64" Type="http://schemas.openxmlformats.org/officeDocument/2006/relationships/image" Target="media/image30.png"/><Relationship Id="rId65" Type="http://schemas.openxmlformats.org/officeDocument/2006/relationships/image" Target="media/image31.png"/><Relationship Id="rId66" Type="http://schemas.openxmlformats.org/officeDocument/2006/relationships/image" Target="media/image32.jpeg"/><Relationship Id="rId67" Type="http://schemas.openxmlformats.org/officeDocument/2006/relationships/image" Target="media/image33.jpeg"/><Relationship Id="rId68" Type="http://schemas.openxmlformats.org/officeDocument/2006/relationships/image" Target="media/image34.png"/><Relationship Id="rId69" Type="http://schemas.openxmlformats.org/officeDocument/2006/relationships/image" Target="media/image35.png"/><Relationship Id="rId70" Type="http://schemas.openxmlformats.org/officeDocument/2006/relationships/image" Target="media/image36.png"/><Relationship Id="rId71" Type="http://schemas.openxmlformats.org/officeDocument/2006/relationships/image" Target="media/image37.jpeg"/><Relationship Id="rId72" Type="http://schemas.openxmlformats.org/officeDocument/2006/relationships/image" Target="media/image38.png"/><Relationship Id="rId73" Type="http://schemas.openxmlformats.org/officeDocument/2006/relationships/image" Target="media/image39.png"/><Relationship Id="rId74" Type="http://schemas.openxmlformats.org/officeDocument/2006/relationships/image" Target="media/image40.png"/><Relationship Id="rId75" Type="http://schemas.openxmlformats.org/officeDocument/2006/relationships/image" Target="media/image41.png"/><Relationship Id="rId76" Type="http://schemas.openxmlformats.org/officeDocument/2006/relationships/image" Target="media/image42.jpeg"/><Relationship Id="rId77" Type="http://schemas.openxmlformats.org/officeDocument/2006/relationships/image" Target="media/image43.png"/><Relationship Id="rId78" Type="http://schemas.openxmlformats.org/officeDocument/2006/relationships/image" Target="media/image44.jpeg"/><Relationship Id="rId79" Type="http://schemas.openxmlformats.org/officeDocument/2006/relationships/image" Target="media/image45.png"/><Relationship Id="rId80" Type="http://schemas.openxmlformats.org/officeDocument/2006/relationships/image" Target="media/image46.jpeg"/><Relationship Id="rId81" Type="http://schemas.openxmlformats.org/officeDocument/2006/relationships/image" Target="media/image47.png"/><Relationship Id="rId82" Type="http://schemas.openxmlformats.org/officeDocument/2006/relationships/image" Target="media/image48.jpeg"/><Relationship Id="rId83" Type="http://schemas.openxmlformats.org/officeDocument/2006/relationships/footer" Target="footer11.xml"/><Relationship Id="rId84" Type="http://schemas.openxmlformats.org/officeDocument/2006/relationships/image" Target="media/image49.png"/><Relationship Id="rId85" Type="http://schemas.openxmlformats.org/officeDocument/2006/relationships/image" Target="media/image50.png"/><Relationship Id="rId86" Type="http://schemas.openxmlformats.org/officeDocument/2006/relationships/footer" Target="footer12.xml"/><Relationship Id="rId87" Type="http://schemas.openxmlformats.org/officeDocument/2006/relationships/image" Target="media/image51.png"/><Relationship Id="rId88" Type="http://schemas.openxmlformats.org/officeDocument/2006/relationships/image" Target="media/image52.png"/><Relationship Id="rId89" Type="http://schemas.openxmlformats.org/officeDocument/2006/relationships/image" Target="media/image53.png"/><Relationship Id="rId90" Type="http://schemas.openxmlformats.org/officeDocument/2006/relationships/image" Target="media/image54.jpeg"/><Relationship Id="rId91" Type="http://schemas.openxmlformats.org/officeDocument/2006/relationships/image" Target="media/image55.png"/><Relationship Id="rId92" Type="http://schemas.openxmlformats.org/officeDocument/2006/relationships/image" Target="media/image56.png"/><Relationship Id="rId93" Type="http://schemas.openxmlformats.org/officeDocument/2006/relationships/image" Target="media/image57.png"/><Relationship Id="rId94" Type="http://schemas.openxmlformats.org/officeDocument/2006/relationships/image" Target="media/image58.jpeg"/><Relationship Id="rId95" Type="http://schemas.openxmlformats.org/officeDocument/2006/relationships/image" Target="media/image59.png"/><Relationship Id="rId96" Type="http://schemas.openxmlformats.org/officeDocument/2006/relationships/image" Target="media/image24.png"/><Relationship Id="rId97" Type="http://schemas.openxmlformats.org/officeDocument/2006/relationships/footer" Target="footer13.xml"/><Relationship Id="rId98" Type="http://schemas.openxmlformats.org/officeDocument/2006/relationships/image" Target="media/image60.png"/><Relationship Id="rId99" Type="http://schemas.openxmlformats.org/officeDocument/2006/relationships/image" Target="media/image61.png"/><Relationship Id="rId100" Type="http://schemas.openxmlformats.org/officeDocument/2006/relationships/image" Target="media/image62.jpeg"/><Relationship Id="rId101" Type="http://schemas.openxmlformats.org/officeDocument/2006/relationships/image" Target="media/image63.png"/><Relationship Id="rId102" Type="http://schemas.openxmlformats.org/officeDocument/2006/relationships/image" Target="media/image64.png"/><Relationship Id="rId103" Type="http://schemas.openxmlformats.org/officeDocument/2006/relationships/image" Target="media/image65.png"/><Relationship Id="rId104" Type="http://schemas.openxmlformats.org/officeDocument/2006/relationships/image" Target="media/image66.jpeg"/><Relationship Id="rId105" Type="http://schemas.openxmlformats.org/officeDocument/2006/relationships/image" Target="media/image67.png"/><Relationship Id="rId106" Type="http://schemas.openxmlformats.org/officeDocument/2006/relationships/image" Target="media/image68.jpeg"/><Relationship Id="rId107" Type="http://schemas.openxmlformats.org/officeDocument/2006/relationships/image" Target="media/image69.png"/><Relationship Id="rId108" Type="http://schemas.openxmlformats.org/officeDocument/2006/relationships/image" Target="media/image70.jpeg"/><Relationship Id="rId109" Type="http://schemas.openxmlformats.org/officeDocument/2006/relationships/image" Target="media/image71.png"/><Relationship Id="rId110" Type="http://schemas.openxmlformats.org/officeDocument/2006/relationships/image" Target="media/image72.jpeg"/><Relationship Id="rId111" Type="http://schemas.openxmlformats.org/officeDocument/2006/relationships/footer" Target="footer14.xml"/><Relationship Id="rId112" Type="http://schemas.openxmlformats.org/officeDocument/2006/relationships/image" Target="media/image73.png"/><Relationship Id="rId113" Type="http://schemas.openxmlformats.org/officeDocument/2006/relationships/image" Target="media/image74.png"/><Relationship Id="rId114" Type="http://schemas.openxmlformats.org/officeDocument/2006/relationships/image" Target="media/image75.png"/><Relationship Id="rId115" Type="http://schemas.openxmlformats.org/officeDocument/2006/relationships/image" Target="media/image76.png"/><Relationship Id="rId116" Type="http://schemas.openxmlformats.org/officeDocument/2006/relationships/image" Target="media/image77.png"/><Relationship Id="rId117" Type="http://schemas.openxmlformats.org/officeDocument/2006/relationships/image" Target="media/image78.jpeg"/><Relationship Id="rId118" Type="http://schemas.openxmlformats.org/officeDocument/2006/relationships/image" Target="media/image79.jpeg"/><Relationship Id="rId119" Type="http://schemas.openxmlformats.org/officeDocument/2006/relationships/image" Target="media/image80.png"/><Relationship Id="rId120" Type="http://schemas.openxmlformats.org/officeDocument/2006/relationships/image" Target="media/image81.png"/><Relationship Id="rId121" Type="http://schemas.openxmlformats.org/officeDocument/2006/relationships/image" Target="media/image82.png"/><Relationship Id="rId122" Type="http://schemas.openxmlformats.org/officeDocument/2006/relationships/image" Target="media/image83.png"/><Relationship Id="rId123" Type="http://schemas.openxmlformats.org/officeDocument/2006/relationships/image" Target="media/image84.png"/><Relationship Id="rId124" Type="http://schemas.openxmlformats.org/officeDocument/2006/relationships/image" Target="media/image85.jpeg"/><Relationship Id="rId125" Type="http://schemas.openxmlformats.org/officeDocument/2006/relationships/footer" Target="footer15.xml"/><Relationship Id="rId126" Type="http://schemas.openxmlformats.org/officeDocument/2006/relationships/image" Target="media/image86.png"/><Relationship Id="rId127" Type="http://schemas.openxmlformats.org/officeDocument/2006/relationships/image" Target="media/image87.png"/><Relationship Id="rId128" Type="http://schemas.openxmlformats.org/officeDocument/2006/relationships/image" Target="media/image88.png"/><Relationship Id="rId129" Type="http://schemas.openxmlformats.org/officeDocument/2006/relationships/image" Target="media/image89.png"/><Relationship Id="rId130" Type="http://schemas.openxmlformats.org/officeDocument/2006/relationships/image" Target="media/image90.jpeg"/><Relationship Id="rId131" Type="http://schemas.openxmlformats.org/officeDocument/2006/relationships/image" Target="media/image91.png"/><Relationship Id="rId132" Type="http://schemas.openxmlformats.org/officeDocument/2006/relationships/image" Target="media/image92.png"/><Relationship Id="rId133" Type="http://schemas.openxmlformats.org/officeDocument/2006/relationships/image" Target="media/image93.png"/><Relationship Id="rId134" Type="http://schemas.openxmlformats.org/officeDocument/2006/relationships/image" Target="media/image94.jpeg"/><Relationship Id="rId135" Type="http://schemas.openxmlformats.org/officeDocument/2006/relationships/footer" Target="footer16.xml"/><Relationship Id="rId136" Type="http://schemas.openxmlformats.org/officeDocument/2006/relationships/footer" Target="footer17.xml"/><Relationship Id="rId137" Type="http://schemas.openxmlformats.org/officeDocument/2006/relationships/footer" Target="footer18.xml"/><Relationship Id="rId138" Type="http://schemas.openxmlformats.org/officeDocument/2006/relationships/footer" Target="footer19.xml"/><Relationship Id="rId139" Type="http://schemas.openxmlformats.org/officeDocument/2006/relationships/footer" Target="footer20.xml"/><Relationship Id="rId140" Type="http://schemas.openxmlformats.org/officeDocument/2006/relationships/footer" Target="footer21.xml"/><Relationship Id="rId141" Type="http://schemas.openxmlformats.org/officeDocument/2006/relationships/footer" Target="footer22.xml"/><Relationship Id="rId142" Type="http://schemas.openxmlformats.org/officeDocument/2006/relationships/footer" Target="footer23.xml"/><Relationship Id="rId143" Type="http://schemas.openxmlformats.org/officeDocument/2006/relationships/footer" Target="footer24.xml"/><Relationship Id="rId144" Type="http://schemas.openxmlformats.org/officeDocument/2006/relationships/footer" Target="footer25.xml"/><Relationship Id="rId145" Type="http://schemas.openxmlformats.org/officeDocument/2006/relationships/footer" Target="footer26.xml"/><Relationship Id="rId146" Type="http://schemas.openxmlformats.org/officeDocument/2006/relationships/footer" Target="footer27.xml"/><Relationship Id="rId147" Type="http://schemas.openxmlformats.org/officeDocument/2006/relationships/footer" Target="footer28.xml"/><Relationship Id="rId148" Type="http://schemas.openxmlformats.org/officeDocument/2006/relationships/footer" Target="footer29.xml"/><Relationship Id="rId149" Type="http://schemas.openxmlformats.org/officeDocument/2006/relationships/footer" Target="footer30.xml"/><Relationship Id="rId150" Type="http://schemas.openxmlformats.org/officeDocument/2006/relationships/footer" Target="footer31.xml"/><Relationship Id="rId151" Type="http://schemas.openxmlformats.org/officeDocument/2006/relationships/footer" Target="footer32.xml"/><Relationship Id="rId152" Type="http://schemas.openxmlformats.org/officeDocument/2006/relationships/footer" Target="footer33.xml"/><Relationship Id="rId153" Type="http://schemas.openxmlformats.org/officeDocument/2006/relationships/footer" Target="footer34.xml"/><Relationship Id="rId154" Type="http://schemas.openxmlformats.org/officeDocument/2006/relationships/footer" Target="footer35.xml"/><Relationship Id="rId155" Type="http://schemas.openxmlformats.org/officeDocument/2006/relationships/image" Target="media/image95.png"/><Relationship Id="rId156" Type="http://schemas.openxmlformats.org/officeDocument/2006/relationships/image" Target="media/image96.png"/><Relationship Id="rId157" Type="http://schemas.openxmlformats.org/officeDocument/2006/relationships/numbering" Target="numbering.xml"/></Relationships>

</file>

<file path=word/_rels/footer10.xml.rels><?xml version="1.0" encoding="UTF-8" standalone="yes"?>
<Relationships xmlns="http://schemas.openxmlformats.org/package/2006/relationships"><Relationship Id="rId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Planificación Institucional</dc:creator>
  <dc:title>Plan Operativo Institucional 2027</dc:title>
  <dcterms:created xsi:type="dcterms:W3CDTF">2026-09-30T21:55:21Z</dcterms:created>
  <dcterms:modified xsi:type="dcterms:W3CDTF">2026-09-30T21:55:21Z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2026-09-14T00:00:00Z</vt:filetime>
  </property>
  <property fmtid="{D5CDD505-2E9C-101B-9397-08002B2CF9AE}" pid="3" name="Creator">
    <vt:lpwstr>Microsoft® Word para Microsoft 365</vt:lpwstr>
  </property>
  <property fmtid="{D5CDD505-2E9C-101B-9397-08002B2CF9AE}" pid="4" name="LastSaved">
    <vt:filetime>2026-09-30T00:00:00Z</vt:filetime>
  </property>
  <property fmtid="{D5CDD505-2E9C-101B-9397-08002B2CF9AE}" pid="5" name="Producer">
    <vt:lpwstr>Microsoft® Word para Microsoft 365</vt:lpwstr>
  </property>
</Properties>
</file>